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3DF176" w14:textId="1E7CEFC1" w:rsidR="00A85F2E" w:rsidRPr="00B275E2" w:rsidRDefault="00C23B41" w:rsidP="00435BAA">
      <w:pPr>
        <w:rPr>
          <w:rFonts w:eastAsia="Calibri"/>
          <w:b/>
          <w:lang w:val="en-NZ"/>
        </w:rPr>
      </w:pPr>
      <w:bookmarkStart w:id="0" w:name="_Hlk532914245"/>
      <w:r w:rsidRPr="00B275E2">
        <w:rPr>
          <w:rFonts w:eastAsia="Calibri"/>
          <w:b/>
          <w:noProof/>
          <w:lang w:val="en-NZ"/>
        </w:rPr>
        <w:drawing>
          <wp:anchor distT="0" distB="0" distL="114300" distR="114300" simplePos="0" relativeHeight="251658240" behindDoc="0" locked="0" layoutInCell="1" allowOverlap="1" wp14:anchorId="58871A08" wp14:editId="600F2D71">
            <wp:simplePos x="0" y="0"/>
            <wp:positionH relativeFrom="column">
              <wp:posOffset>-1302460</wp:posOffset>
            </wp:positionH>
            <wp:positionV relativeFrom="paragraph">
              <wp:posOffset>-794518</wp:posOffset>
            </wp:positionV>
            <wp:extent cx="7657300" cy="10831328"/>
            <wp:effectExtent l="0" t="0" r="1270" b="8255"/>
            <wp:wrapNone/>
            <wp:docPr id="1" name="Picture 1" descr="A picture containing text, nature,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nature, shor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60092" cy="10835278"/>
                    </a:xfrm>
                    <a:prstGeom prst="rect">
                      <a:avLst/>
                    </a:prstGeom>
                  </pic:spPr>
                </pic:pic>
              </a:graphicData>
            </a:graphic>
            <wp14:sizeRelH relativeFrom="margin">
              <wp14:pctWidth>0</wp14:pctWidth>
            </wp14:sizeRelH>
            <wp14:sizeRelV relativeFrom="margin">
              <wp14:pctHeight>0</wp14:pctHeight>
            </wp14:sizeRelV>
          </wp:anchor>
        </w:drawing>
      </w:r>
    </w:p>
    <w:p w14:paraId="0F8F501D" w14:textId="60D67615" w:rsidR="001F5855" w:rsidRPr="00B275E2" w:rsidRDefault="001F5855" w:rsidP="00700515">
      <w:pPr>
        <w:pStyle w:val="Imprint"/>
        <w:spacing w:after="0"/>
        <w:rPr>
          <w:b/>
        </w:rPr>
      </w:pPr>
    </w:p>
    <w:p w14:paraId="191215CA" w14:textId="77777777" w:rsidR="001F5855" w:rsidRPr="00B275E2" w:rsidRDefault="001F5855" w:rsidP="00700515">
      <w:pPr>
        <w:rPr>
          <w:b/>
          <w:lang w:val="en-NZ"/>
        </w:rPr>
        <w:sectPr w:rsidR="001F5855" w:rsidRPr="00B275E2" w:rsidSect="00D34C82">
          <w:headerReference w:type="even" r:id="rId13"/>
          <w:headerReference w:type="default" r:id="rId14"/>
          <w:footerReference w:type="even" r:id="rId15"/>
          <w:footerReference w:type="default" r:id="rId16"/>
          <w:headerReference w:type="first" r:id="rId17"/>
          <w:footerReference w:type="first" r:id="rId18"/>
          <w:pgSz w:w="11907" w:h="16840" w:code="9"/>
          <w:pgMar w:top="1134" w:right="1418" w:bottom="1134" w:left="1418" w:header="567" w:footer="567" w:gutter="567"/>
          <w:pgNumType w:fmt="lowerRoman"/>
          <w:cols w:space="720"/>
        </w:sectPr>
      </w:pPr>
    </w:p>
    <w:p w14:paraId="650911E4" w14:textId="7D7F55F8" w:rsidR="00700515" w:rsidRPr="00B275E2" w:rsidRDefault="00700515" w:rsidP="00700515">
      <w:pPr>
        <w:rPr>
          <w:b/>
          <w:lang w:val="en-NZ"/>
        </w:rPr>
      </w:pPr>
      <w:r w:rsidRPr="00B275E2">
        <w:rPr>
          <w:b/>
          <w:lang w:val="en-NZ"/>
        </w:rPr>
        <w:lastRenderedPageBreak/>
        <w:t>Acknowledgements</w:t>
      </w:r>
    </w:p>
    <w:p w14:paraId="650911E5" w14:textId="475DD0E6" w:rsidR="00700515" w:rsidRPr="00B275E2" w:rsidRDefault="004F4F86" w:rsidP="00700515">
      <w:pPr>
        <w:pStyle w:val="Imprint"/>
      </w:pPr>
      <w:r w:rsidRPr="00B275E2">
        <w:t>Prepared by the Ministry for the Environment, with technical expert advice from Agrilink</w:t>
      </w:r>
      <w:r w:rsidR="008522E7">
        <w:t> </w:t>
      </w:r>
      <w:r w:rsidRPr="00B275E2">
        <w:t>Limited, Thinkstep ANZ Limited, and</w:t>
      </w:r>
      <w:r w:rsidRPr="00B275E2" w:rsidDel="004F4F86">
        <w:t xml:space="preserve"> Enviro-Mark </w:t>
      </w:r>
      <w:r w:rsidRPr="00B275E2" w:rsidDel="004A4272">
        <w:t>Solutions</w:t>
      </w:r>
      <w:r w:rsidRPr="00B275E2" w:rsidDel="004F4F86">
        <w:t xml:space="preserve"> L</w:t>
      </w:r>
      <w:r w:rsidRPr="00B275E2" w:rsidDel="008E5C66">
        <w:t>imited (trading as</w:t>
      </w:r>
      <w:r w:rsidR="008E5C66" w:rsidRPr="00B275E2">
        <w:t xml:space="preserve"> Toitū</w:t>
      </w:r>
      <w:r w:rsidR="008522E7">
        <w:t> </w:t>
      </w:r>
      <w:r w:rsidR="008E5C66" w:rsidRPr="00B275E2">
        <w:t>Envirocare</w:t>
      </w:r>
      <w:r w:rsidRPr="00B275E2" w:rsidDel="008E5C66">
        <w:t>)</w:t>
      </w:r>
      <w:r w:rsidRPr="00B275E2">
        <w:t>.</w:t>
      </w:r>
    </w:p>
    <w:p w14:paraId="05B9B982" w14:textId="7390AC82" w:rsidR="009658A1" w:rsidRPr="00B275E2" w:rsidRDefault="009658A1" w:rsidP="00700515">
      <w:pPr>
        <w:pStyle w:val="Imprint"/>
      </w:pPr>
      <w:r>
        <w:t xml:space="preserve">The Ministry for the Environment thanks the following </w:t>
      </w:r>
      <w:r w:rsidR="78289539">
        <w:t xml:space="preserve">organisations and </w:t>
      </w:r>
      <w:r>
        <w:t xml:space="preserve">government </w:t>
      </w:r>
      <w:r w:rsidR="003F0A1A">
        <w:t>agencies for their contribution</w:t>
      </w:r>
      <w:r>
        <w:t xml:space="preserve"> to the production of </w:t>
      </w:r>
      <w:r w:rsidRPr="301514BB">
        <w:rPr>
          <w:i/>
          <w:iCs/>
        </w:rPr>
        <w:t xml:space="preserve">Measuring </w:t>
      </w:r>
      <w:r w:rsidR="00653387" w:rsidRPr="301514BB">
        <w:rPr>
          <w:i/>
          <w:iCs/>
        </w:rPr>
        <w:t>e</w:t>
      </w:r>
      <w:r w:rsidRPr="301514BB">
        <w:rPr>
          <w:i/>
          <w:iCs/>
        </w:rPr>
        <w:t xml:space="preserve">missions: A </w:t>
      </w:r>
      <w:r w:rsidR="00653387" w:rsidRPr="301514BB">
        <w:rPr>
          <w:i/>
          <w:iCs/>
        </w:rPr>
        <w:t>g</w:t>
      </w:r>
      <w:r w:rsidRPr="301514BB">
        <w:rPr>
          <w:i/>
          <w:iCs/>
        </w:rPr>
        <w:t xml:space="preserve">uide for </w:t>
      </w:r>
      <w:r w:rsidR="00653387" w:rsidRPr="301514BB">
        <w:rPr>
          <w:i/>
          <w:iCs/>
        </w:rPr>
        <w:t>o</w:t>
      </w:r>
      <w:r w:rsidRPr="301514BB">
        <w:rPr>
          <w:i/>
          <w:iCs/>
        </w:rPr>
        <w:t>rganisations</w:t>
      </w:r>
      <w:r w:rsidR="003D5CB9">
        <w:t>:</w:t>
      </w:r>
      <w:r>
        <w:br/>
      </w:r>
      <w:r w:rsidR="004057EE">
        <w:t xml:space="preserve">Greater Wellington </w:t>
      </w:r>
      <w:r w:rsidR="00357A3E">
        <w:t xml:space="preserve">Regional Council, </w:t>
      </w:r>
      <w:r>
        <w:t xml:space="preserve">Ministry of Business, Innovation and Employment, Ministry for Primary Industries, Ministry of Transport, </w:t>
      </w:r>
      <w:r w:rsidR="00897DD4">
        <w:t xml:space="preserve">Waka Kotahi </w:t>
      </w:r>
      <w:r>
        <w:t>NZ Transport Agency, Transpower, BRANZ, Air New Zealand, Kiwi Rail</w:t>
      </w:r>
      <w:r w:rsidR="00322B0C">
        <w:t>,</w:t>
      </w:r>
      <w:r w:rsidR="00C66C7C">
        <w:t xml:space="preserve"> </w:t>
      </w:r>
      <w:r w:rsidR="00244C2C">
        <w:t xml:space="preserve">and </w:t>
      </w:r>
      <w:r w:rsidR="00C66C7C">
        <w:t>Metlink</w:t>
      </w:r>
      <w:r>
        <w:t>.</w:t>
      </w:r>
    </w:p>
    <w:p w14:paraId="42ACFE3B" w14:textId="77777777" w:rsidR="00822A51" w:rsidRPr="00B275E2" w:rsidRDefault="00822A51" w:rsidP="00031FF2">
      <w:pPr>
        <w:spacing w:before="240"/>
        <w:jc w:val="left"/>
        <w:rPr>
          <w:rFonts w:asciiTheme="minorHAnsi" w:hAnsiTheme="minorHAnsi"/>
          <w:szCs w:val="22"/>
          <w:lang w:val="en-NZ"/>
        </w:rPr>
      </w:pPr>
    </w:p>
    <w:p w14:paraId="650911E7" w14:textId="21266C41" w:rsidR="00700515" w:rsidRPr="00B275E2" w:rsidRDefault="00700515" w:rsidP="563A5FE6">
      <w:pPr>
        <w:spacing w:before="240"/>
        <w:jc w:val="left"/>
        <w:rPr>
          <w:rFonts w:asciiTheme="minorHAnsi" w:hAnsiTheme="minorHAnsi"/>
          <w:lang w:val="en-NZ"/>
        </w:rPr>
      </w:pPr>
      <w:r w:rsidRPr="00B275E2">
        <w:rPr>
          <w:rFonts w:asciiTheme="minorHAnsi" w:hAnsiTheme="minorHAnsi"/>
          <w:lang w:val="en-NZ"/>
        </w:rPr>
        <w:t xml:space="preserve">This document may be cited as: Ministry for the Environment. </w:t>
      </w:r>
      <w:r w:rsidR="008E5C66" w:rsidRPr="00B275E2">
        <w:rPr>
          <w:rFonts w:asciiTheme="minorHAnsi" w:hAnsiTheme="minorHAnsi"/>
          <w:lang w:val="en-NZ"/>
        </w:rPr>
        <w:t>2022</w:t>
      </w:r>
      <w:r w:rsidRPr="00B275E2">
        <w:rPr>
          <w:rFonts w:asciiTheme="minorHAnsi" w:hAnsiTheme="minorHAnsi"/>
          <w:lang w:val="en-NZ"/>
        </w:rPr>
        <w:t xml:space="preserve">. </w:t>
      </w:r>
      <w:r w:rsidR="00B0485C" w:rsidRPr="00B275E2">
        <w:rPr>
          <w:rFonts w:asciiTheme="minorHAnsi" w:eastAsia="Times New Roman" w:hAnsiTheme="minorHAnsi"/>
          <w:i/>
          <w:iCs/>
          <w:color w:val="000000" w:themeColor="text1"/>
          <w:lang w:val="en-NZ"/>
        </w:rPr>
        <w:t xml:space="preserve">Measuring </w:t>
      </w:r>
      <w:r w:rsidR="00835D4C" w:rsidRPr="00B275E2">
        <w:rPr>
          <w:rFonts w:asciiTheme="minorHAnsi" w:eastAsia="Times New Roman" w:hAnsiTheme="minorHAnsi"/>
          <w:i/>
          <w:iCs/>
          <w:color w:val="000000" w:themeColor="text1"/>
          <w:lang w:val="en-NZ"/>
        </w:rPr>
        <w:t>e</w:t>
      </w:r>
      <w:r w:rsidR="00B0485C" w:rsidRPr="00B275E2">
        <w:rPr>
          <w:rFonts w:asciiTheme="minorHAnsi" w:eastAsia="Times New Roman" w:hAnsiTheme="minorHAnsi"/>
          <w:i/>
          <w:iCs/>
          <w:color w:val="000000" w:themeColor="text1"/>
          <w:lang w:val="en-NZ"/>
        </w:rPr>
        <w:t>missions: A</w:t>
      </w:r>
      <w:r w:rsidR="00F56A0A" w:rsidRPr="00B275E2">
        <w:rPr>
          <w:rFonts w:asciiTheme="minorHAnsi" w:eastAsia="Times New Roman" w:hAnsiTheme="minorHAnsi"/>
          <w:i/>
          <w:iCs/>
          <w:color w:val="000000" w:themeColor="text1"/>
          <w:lang w:val="en-NZ"/>
        </w:rPr>
        <w:t> </w:t>
      </w:r>
      <w:r w:rsidR="00835D4C" w:rsidRPr="00B275E2">
        <w:rPr>
          <w:rFonts w:asciiTheme="minorHAnsi" w:eastAsia="Times New Roman" w:hAnsiTheme="minorHAnsi"/>
          <w:i/>
          <w:iCs/>
          <w:color w:val="000000" w:themeColor="text1"/>
          <w:lang w:val="en-NZ"/>
        </w:rPr>
        <w:t>g</w:t>
      </w:r>
      <w:r w:rsidR="00B0485C" w:rsidRPr="00B275E2">
        <w:rPr>
          <w:rFonts w:asciiTheme="minorHAnsi" w:eastAsia="Times New Roman" w:hAnsiTheme="minorHAnsi"/>
          <w:i/>
          <w:iCs/>
          <w:color w:val="000000" w:themeColor="text1"/>
          <w:lang w:val="en-NZ"/>
        </w:rPr>
        <w:t xml:space="preserve">uide for </w:t>
      </w:r>
      <w:r w:rsidR="00835D4C" w:rsidRPr="00B275E2">
        <w:rPr>
          <w:rFonts w:asciiTheme="minorHAnsi" w:eastAsia="Times New Roman" w:hAnsiTheme="minorHAnsi"/>
          <w:i/>
          <w:iCs/>
          <w:color w:val="000000" w:themeColor="text1"/>
          <w:lang w:val="en-NZ"/>
        </w:rPr>
        <w:t>o</w:t>
      </w:r>
      <w:r w:rsidR="00B0485C" w:rsidRPr="00B275E2">
        <w:rPr>
          <w:rFonts w:asciiTheme="minorHAnsi" w:eastAsia="Times New Roman" w:hAnsiTheme="minorHAnsi"/>
          <w:i/>
          <w:iCs/>
          <w:color w:val="000000" w:themeColor="text1"/>
          <w:lang w:val="en-NZ"/>
        </w:rPr>
        <w:t>rganisations</w:t>
      </w:r>
      <w:r w:rsidR="00031FF2" w:rsidRPr="00B275E2">
        <w:rPr>
          <w:rFonts w:asciiTheme="minorHAnsi" w:eastAsia="Times New Roman" w:hAnsiTheme="minorHAnsi"/>
          <w:i/>
          <w:iCs/>
          <w:color w:val="000000" w:themeColor="text1"/>
          <w:lang w:val="en-NZ"/>
        </w:rPr>
        <w:t>:</w:t>
      </w:r>
      <w:r w:rsidR="009658A1" w:rsidRPr="00B275E2">
        <w:rPr>
          <w:rFonts w:asciiTheme="minorHAnsi" w:eastAsia="Times New Roman" w:hAnsiTheme="minorHAnsi"/>
          <w:i/>
          <w:iCs/>
          <w:lang w:val="en-NZ"/>
        </w:rPr>
        <w:t xml:space="preserve"> </w:t>
      </w:r>
      <w:r w:rsidR="008E5C66" w:rsidRPr="00B275E2">
        <w:rPr>
          <w:rFonts w:asciiTheme="minorHAnsi" w:eastAsia="Times New Roman" w:hAnsiTheme="minorHAnsi"/>
          <w:i/>
          <w:iCs/>
          <w:lang w:val="en-NZ"/>
        </w:rPr>
        <w:t xml:space="preserve">2022 </w:t>
      </w:r>
      <w:r w:rsidR="00835D4C" w:rsidRPr="00B275E2">
        <w:rPr>
          <w:rFonts w:asciiTheme="minorHAnsi" w:hAnsiTheme="minorHAnsi"/>
          <w:i/>
          <w:iCs/>
          <w:lang w:val="en-NZ"/>
        </w:rPr>
        <w:t>d</w:t>
      </w:r>
      <w:r w:rsidR="004F4F86" w:rsidRPr="00B275E2">
        <w:rPr>
          <w:rFonts w:asciiTheme="minorHAnsi" w:hAnsiTheme="minorHAnsi"/>
          <w:i/>
          <w:iCs/>
          <w:lang w:val="en-NZ"/>
        </w:rPr>
        <w:t xml:space="preserve">etailed </w:t>
      </w:r>
      <w:r w:rsidR="00835D4C" w:rsidRPr="00B275E2">
        <w:rPr>
          <w:rFonts w:asciiTheme="minorHAnsi" w:hAnsiTheme="minorHAnsi"/>
          <w:i/>
          <w:iCs/>
          <w:lang w:val="en-NZ"/>
        </w:rPr>
        <w:t>g</w:t>
      </w:r>
      <w:r w:rsidR="004F4F86" w:rsidRPr="00B275E2">
        <w:rPr>
          <w:rFonts w:asciiTheme="minorHAnsi" w:hAnsiTheme="minorHAnsi"/>
          <w:i/>
          <w:iCs/>
          <w:lang w:val="en-NZ"/>
        </w:rPr>
        <w:t>uide</w:t>
      </w:r>
      <w:r w:rsidRPr="00B275E2">
        <w:rPr>
          <w:rFonts w:asciiTheme="minorHAnsi" w:hAnsiTheme="minorHAnsi"/>
          <w:lang w:val="en-NZ"/>
        </w:rPr>
        <w:t>. Wellington: Ministry for the Environment.</w:t>
      </w:r>
    </w:p>
    <w:bookmarkEnd w:id="0"/>
    <w:p w14:paraId="650911E8" w14:textId="77777777" w:rsidR="00700515" w:rsidRPr="00B275E2" w:rsidRDefault="00700515" w:rsidP="00031FF2">
      <w:pPr>
        <w:pStyle w:val="Imprint"/>
      </w:pPr>
    </w:p>
    <w:p w14:paraId="650911EB" w14:textId="77777777" w:rsidR="00700515" w:rsidRPr="00B275E2" w:rsidRDefault="00700515" w:rsidP="00031FF2">
      <w:pPr>
        <w:pStyle w:val="Imprint"/>
      </w:pPr>
    </w:p>
    <w:p w14:paraId="1F651D1E" w14:textId="733A7E64" w:rsidR="004F4F86" w:rsidRPr="00B275E2" w:rsidRDefault="004F4F86" w:rsidP="00031FF2">
      <w:pPr>
        <w:pStyle w:val="Imprint"/>
      </w:pPr>
    </w:p>
    <w:p w14:paraId="260FA6CF" w14:textId="746B7FF0" w:rsidR="00822A51" w:rsidRPr="00B275E2" w:rsidRDefault="00822A51" w:rsidP="00031FF2">
      <w:pPr>
        <w:pStyle w:val="Imprint"/>
      </w:pPr>
    </w:p>
    <w:p w14:paraId="5B1801D0" w14:textId="6D64744C" w:rsidR="00822A51" w:rsidRPr="00B275E2" w:rsidRDefault="00822A51" w:rsidP="00031FF2">
      <w:pPr>
        <w:pStyle w:val="Imprint"/>
      </w:pPr>
    </w:p>
    <w:p w14:paraId="41CE778D" w14:textId="77777777" w:rsidR="00822A51" w:rsidRPr="00B275E2" w:rsidRDefault="00822A51" w:rsidP="00031FF2">
      <w:pPr>
        <w:pStyle w:val="Imprint"/>
      </w:pPr>
    </w:p>
    <w:p w14:paraId="650911EC" w14:textId="77777777" w:rsidR="00700515" w:rsidRPr="00B275E2" w:rsidRDefault="00700515" w:rsidP="00031FF2">
      <w:pPr>
        <w:pStyle w:val="Imprint"/>
      </w:pPr>
    </w:p>
    <w:p w14:paraId="650911ED" w14:textId="77777777" w:rsidR="00700515" w:rsidRPr="00B275E2" w:rsidRDefault="00700515" w:rsidP="00031FF2">
      <w:pPr>
        <w:pStyle w:val="Imprint"/>
      </w:pPr>
    </w:p>
    <w:p w14:paraId="650911EE" w14:textId="77777777" w:rsidR="00700515" w:rsidRPr="00B275E2" w:rsidRDefault="00700515" w:rsidP="00031FF2">
      <w:pPr>
        <w:pStyle w:val="Imprint"/>
      </w:pPr>
    </w:p>
    <w:p w14:paraId="650911EF" w14:textId="4EF78D7D" w:rsidR="00700515" w:rsidRPr="00B275E2" w:rsidRDefault="00700515" w:rsidP="00031FF2">
      <w:pPr>
        <w:pStyle w:val="Imprint"/>
      </w:pPr>
    </w:p>
    <w:p w14:paraId="2350E889" w14:textId="67DB4B96" w:rsidR="00822A51" w:rsidRPr="00B275E2" w:rsidRDefault="00822A51" w:rsidP="00031FF2">
      <w:pPr>
        <w:pStyle w:val="Imprint"/>
      </w:pPr>
    </w:p>
    <w:p w14:paraId="08AE58F0" w14:textId="77777777" w:rsidR="00F56A0A" w:rsidRPr="00B275E2" w:rsidRDefault="00F56A0A" w:rsidP="00031FF2">
      <w:pPr>
        <w:pStyle w:val="Imprint"/>
      </w:pPr>
    </w:p>
    <w:p w14:paraId="42DB8870" w14:textId="77777777" w:rsidR="000726C6" w:rsidRPr="00B275E2" w:rsidRDefault="000726C6" w:rsidP="00031FF2">
      <w:pPr>
        <w:pStyle w:val="Imprint"/>
      </w:pPr>
    </w:p>
    <w:p w14:paraId="3FF85070" w14:textId="77777777" w:rsidR="00303CBB" w:rsidRPr="00B275E2" w:rsidRDefault="00303CBB" w:rsidP="00303CBB">
      <w:pPr>
        <w:pStyle w:val="Imprint"/>
        <w:spacing w:after="0"/>
      </w:pPr>
    </w:p>
    <w:p w14:paraId="650911F1" w14:textId="60062428" w:rsidR="00700515" w:rsidRPr="00B275E2" w:rsidRDefault="00700515" w:rsidP="00031FF2">
      <w:pPr>
        <w:pStyle w:val="Imprint"/>
        <w:spacing w:before="0"/>
      </w:pPr>
      <w:bookmarkStart w:id="1" w:name="_Hlk532914258"/>
      <w:r w:rsidRPr="00B275E2">
        <w:t xml:space="preserve">Published in </w:t>
      </w:r>
      <w:r w:rsidR="00C504BE" w:rsidRPr="00B275E2">
        <w:t>April</w:t>
      </w:r>
      <w:r w:rsidR="00E9758F" w:rsidRPr="00B275E2">
        <w:t xml:space="preserve"> </w:t>
      </w:r>
      <w:r w:rsidR="004F4F86" w:rsidRPr="00B275E2">
        <w:t>20</w:t>
      </w:r>
      <w:r w:rsidR="00E9758F" w:rsidRPr="00B275E2">
        <w:t>22</w:t>
      </w:r>
      <w:r w:rsidR="00933186">
        <w:t xml:space="preserve"> and updated in August 202</w:t>
      </w:r>
      <w:r w:rsidR="0095233B">
        <w:t>2</w:t>
      </w:r>
      <w:r w:rsidRPr="00B275E2">
        <w:br/>
      </w:r>
      <w:r w:rsidR="0095233B">
        <w:t xml:space="preserve">by the </w:t>
      </w:r>
      <w:r w:rsidRPr="00B275E2">
        <w:t xml:space="preserve">Ministry for the Environment </w:t>
      </w:r>
      <w:r w:rsidRPr="00B275E2">
        <w:br/>
        <w:t>Manatū Mō Te Taiao</w:t>
      </w:r>
      <w:r w:rsidRPr="00B275E2">
        <w:br/>
        <w:t>PO Box 10362, Wellington 6143, New Zealand</w:t>
      </w:r>
    </w:p>
    <w:p w14:paraId="650911F3" w14:textId="75F88212" w:rsidR="00700515" w:rsidRPr="00B275E2" w:rsidRDefault="001C0CF7" w:rsidP="00031FF2">
      <w:pPr>
        <w:pStyle w:val="Imprint"/>
      </w:pPr>
      <w:r w:rsidRPr="00B275E2">
        <w:t xml:space="preserve">ISBN: </w:t>
      </w:r>
      <w:r w:rsidR="0095233B" w:rsidRPr="0095233B">
        <w:t>978-1-99-102529-6</w:t>
      </w:r>
      <w:r w:rsidRPr="00B275E2">
        <w:br/>
      </w:r>
      <w:r w:rsidR="00700515" w:rsidRPr="00B275E2">
        <w:t xml:space="preserve">Publication number: </w:t>
      </w:r>
      <w:r w:rsidR="0095233B" w:rsidRPr="0095233B">
        <w:t>ME 1642</w:t>
      </w:r>
    </w:p>
    <w:p w14:paraId="650911F4" w14:textId="4902DBF2" w:rsidR="00700515" w:rsidRPr="00B275E2" w:rsidRDefault="00700515" w:rsidP="00031FF2">
      <w:pPr>
        <w:pStyle w:val="Imprint"/>
        <w:spacing w:after="80"/>
      </w:pPr>
      <w:r w:rsidRPr="00B275E2">
        <w:t xml:space="preserve">© Crown copyright New Zealand </w:t>
      </w:r>
      <w:r w:rsidR="3414BBC1" w:rsidRPr="00B275E2">
        <w:t>2022</w:t>
      </w:r>
    </w:p>
    <w:bookmarkEnd w:id="1"/>
    <w:p w14:paraId="650911F6" w14:textId="18318C0B" w:rsidR="00700515" w:rsidRPr="00B275E2" w:rsidRDefault="00700515" w:rsidP="00303CBB">
      <w:pPr>
        <w:pStyle w:val="Imprint"/>
        <w:spacing w:before="240" w:after="0"/>
      </w:pPr>
      <w:r w:rsidRPr="00B275E2">
        <w:t xml:space="preserve">This document is available on the Ministry for the Environment website: </w:t>
      </w:r>
      <w:hyperlink r:id="rId19" w:history="1">
        <w:r w:rsidR="002306F7" w:rsidRPr="00B275E2">
          <w:rPr>
            <w:rStyle w:val="Hyperlink"/>
          </w:rPr>
          <w:t>environment.govt.nz</w:t>
        </w:r>
      </w:hyperlink>
      <w:r w:rsidR="00835D4C" w:rsidRPr="00B275E2">
        <w:t>.</w:t>
      </w:r>
      <w:r w:rsidR="002306F7" w:rsidRPr="00B275E2">
        <w:t xml:space="preserve"> </w:t>
      </w:r>
    </w:p>
    <w:p w14:paraId="650911F7" w14:textId="77777777" w:rsidR="00700515" w:rsidRPr="00B275E2" w:rsidRDefault="00700515" w:rsidP="00700515">
      <w:pPr>
        <w:rPr>
          <w:lang w:val="en-NZ"/>
        </w:rPr>
        <w:sectPr w:rsidR="00700515" w:rsidRPr="00B275E2" w:rsidSect="00D34C82">
          <w:pgSz w:w="11907" w:h="16840" w:code="9"/>
          <w:pgMar w:top="1134" w:right="1418" w:bottom="1134" w:left="1418" w:header="567" w:footer="567" w:gutter="567"/>
          <w:pgNumType w:fmt="lowerRoman"/>
          <w:cols w:space="720"/>
        </w:sectPr>
      </w:pPr>
    </w:p>
    <w:p w14:paraId="22C61A3A" w14:textId="76D78AEE" w:rsidR="00D24A22" w:rsidRDefault="008C4DB5" w:rsidP="00744FAA">
      <w:pPr>
        <w:pStyle w:val="Heading1"/>
      </w:pPr>
      <w:bookmarkStart w:id="2" w:name="_Toc111479248"/>
      <w:bookmarkStart w:id="3" w:name="_Toc600552"/>
      <w:bookmarkStart w:id="4" w:name="_Toc532904837"/>
      <w:bookmarkStart w:id="5" w:name="_Toc111536759"/>
      <w:r>
        <w:lastRenderedPageBreak/>
        <w:t>Version</w:t>
      </w:r>
      <w:r w:rsidR="007C1FF2">
        <w:t>s</w:t>
      </w:r>
      <w:r>
        <w:t xml:space="preserve"> and updates</w:t>
      </w:r>
      <w:bookmarkEnd w:id="2"/>
      <w:bookmarkEnd w:id="5"/>
    </w:p>
    <w:p w14:paraId="26994CDC" w14:textId="77777777" w:rsidR="008C4DB5" w:rsidRDefault="008C4DB5" w:rsidP="00744FAA">
      <w:pPr>
        <w:pStyle w:val="BodyText"/>
      </w:pPr>
      <w:r>
        <w:t>Updates to this document are as follows:</w:t>
      </w:r>
    </w:p>
    <w:tbl>
      <w:tblPr>
        <w:tblStyle w:val="LightList-Accent11"/>
        <w:tblW w:w="8505" w:type="dxa"/>
        <w:tblBorders>
          <w:top w:val="single" w:sz="4" w:space="0" w:color="1B556B"/>
          <w:bottom w:val="single" w:sz="4" w:space="0" w:color="1B556B"/>
          <w:insideH w:val="single" w:sz="4" w:space="0" w:color="1B556B"/>
          <w:insideV w:val="single" w:sz="4" w:space="0" w:color="1B556B"/>
        </w:tblBorders>
        <w:tblLook w:val="04A0" w:firstRow="1" w:lastRow="0" w:firstColumn="1" w:lastColumn="0" w:noHBand="0" w:noVBand="1"/>
      </w:tblPr>
      <w:tblGrid>
        <w:gridCol w:w="2415"/>
        <w:gridCol w:w="6090"/>
      </w:tblGrid>
      <w:tr w:rsidR="00EA4307" w:rsidRPr="00B275E2" w14:paraId="1A24C612" w14:textId="77777777" w:rsidTr="00EA43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pct"/>
            <w:shd w:val="clear" w:color="auto" w:fill="1B556B"/>
          </w:tcPr>
          <w:p w14:paraId="12DB0046" w14:textId="68F75300" w:rsidR="00EA4307" w:rsidRPr="00B275E2" w:rsidRDefault="00EA4307">
            <w:pPr>
              <w:pStyle w:val="TableTextbold"/>
              <w:keepNext/>
              <w:rPr>
                <w:rFonts w:eastAsia="Times New Roman"/>
                <w:b/>
              </w:rPr>
            </w:pPr>
            <w:r>
              <w:rPr>
                <w:rFonts w:eastAsia="Times New Roman"/>
                <w:b/>
              </w:rPr>
              <w:t>Date</w:t>
            </w:r>
          </w:p>
        </w:tc>
        <w:tc>
          <w:tcPr>
            <w:tcW w:w="3580" w:type="pct"/>
            <w:shd w:val="clear" w:color="auto" w:fill="1B556B"/>
          </w:tcPr>
          <w:p w14:paraId="4AAE41F2" w14:textId="0F2D1F00" w:rsidR="00EA4307" w:rsidRPr="007A40BD" w:rsidRDefault="00EA4307">
            <w:pPr>
              <w:pStyle w:val="TableTextbold"/>
              <w:keepNext/>
              <w:cnfStyle w:val="100000000000" w:firstRow="1" w:lastRow="0" w:firstColumn="0" w:lastColumn="0" w:oddVBand="0" w:evenVBand="0" w:oddHBand="0" w:evenHBand="0" w:firstRowFirstColumn="0" w:firstRowLastColumn="0" w:lastRowFirstColumn="0" w:lastRowLastColumn="0"/>
              <w:rPr>
                <w:rFonts w:eastAsia="Times New Roman"/>
                <w:b/>
                <w:bCs w:val="0"/>
              </w:rPr>
            </w:pPr>
            <w:r>
              <w:rPr>
                <w:rFonts w:eastAsia="Times New Roman"/>
                <w:b/>
                <w:bCs w:val="0"/>
              </w:rPr>
              <w:t>Update</w:t>
            </w:r>
          </w:p>
        </w:tc>
      </w:tr>
      <w:tr w:rsidR="00EA4307" w:rsidRPr="00B275E2" w14:paraId="2F020CB4" w14:textId="77777777" w:rsidTr="00EA43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pct"/>
            <w:tcBorders>
              <w:left w:val="single" w:sz="4" w:space="0" w:color="FFFFFF" w:themeColor="background1"/>
            </w:tcBorders>
          </w:tcPr>
          <w:p w14:paraId="0FCF5C43" w14:textId="5F0FE220" w:rsidR="00EA4307" w:rsidRPr="00EA4307" w:rsidRDefault="00EA4307" w:rsidP="00EA4307">
            <w:pPr>
              <w:pStyle w:val="TableText"/>
              <w:rPr>
                <w:rFonts w:eastAsia="Times New Roman"/>
                <w:b w:val="0"/>
                <w:bCs w:val="0"/>
              </w:rPr>
            </w:pPr>
            <w:r w:rsidRPr="00EA4307">
              <w:rPr>
                <w:b w:val="0"/>
                <w:bCs w:val="0"/>
              </w:rPr>
              <w:t>20 April 2022</w:t>
            </w:r>
          </w:p>
        </w:tc>
        <w:tc>
          <w:tcPr>
            <w:tcW w:w="3580" w:type="pct"/>
            <w:tcBorders>
              <w:right w:val="single" w:sz="4" w:space="0" w:color="FFFFFF" w:themeColor="background1"/>
            </w:tcBorders>
          </w:tcPr>
          <w:p w14:paraId="78F375FB" w14:textId="0C410631" w:rsidR="00EA4307" w:rsidRPr="00B275E2" w:rsidRDefault="00EA4307" w:rsidP="00EA4307">
            <w:pPr>
              <w:pStyle w:val="TableText"/>
              <w:cnfStyle w:val="000000100000" w:firstRow="0" w:lastRow="0" w:firstColumn="0" w:lastColumn="0" w:oddVBand="0" w:evenVBand="0" w:oddHBand="1" w:evenHBand="0" w:firstRowFirstColumn="0" w:firstRowLastColumn="0" w:lastRowFirstColumn="0" w:lastRowLastColumn="0"/>
              <w:rPr>
                <w:rFonts w:eastAsia="Times New Roman"/>
              </w:rPr>
            </w:pPr>
            <w:r>
              <w:t>Initial version published and circulated to stakeholders</w:t>
            </w:r>
            <w:r w:rsidR="0095233B">
              <w:t>.</w:t>
            </w:r>
          </w:p>
        </w:tc>
      </w:tr>
      <w:tr w:rsidR="00EA4307" w:rsidRPr="00B275E2" w14:paraId="5FD4C809" w14:textId="77777777" w:rsidTr="00EA4307">
        <w:tc>
          <w:tcPr>
            <w:cnfStyle w:val="001000000000" w:firstRow="0" w:lastRow="0" w:firstColumn="1" w:lastColumn="0" w:oddVBand="0" w:evenVBand="0" w:oddHBand="0" w:evenHBand="0" w:firstRowFirstColumn="0" w:firstRowLastColumn="0" w:lastRowFirstColumn="0" w:lastRowLastColumn="0"/>
            <w:tcW w:w="1420" w:type="pct"/>
          </w:tcPr>
          <w:p w14:paraId="7CAE2C3B" w14:textId="36252052" w:rsidR="00EA4307" w:rsidRPr="00EA4307" w:rsidRDefault="00EA4307" w:rsidP="00EA4307">
            <w:pPr>
              <w:pStyle w:val="TableText"/>
              <w:rPr>
                <w:rFonts w:eastAsia="Times New Roman"/>
                <w:b w:val="0"/>
                <w:bCs w:val="0"/>
              </w:rPr>
            </w:pPr>
            <w:r w:rsidRPr="00EA4307">
              <w:rPr>
                <w:b w:val="0"/>
                <w:bCs w:val="0"/>
              </w:rPr>
              <w:t>2</w:t>
            </w:r>
            <w:r w:rsidR="00611143">
              <w:rPr>
                <w:b w:val="0"/>
                <w:bCs w:val="0"/>
              </w:rPr>
              <w:t>0</w:t>
            </w:r>
            <w:r w:rsidRPr="00EA4307">
              <w:rPr>
                <w:b w:val="0"/>
                <w:bCs w:val="0"/>
              </w:rPr>
              <w:t xml:space="preserve"> May 2022</w:t>
            </w:r>
          </w:p>
        </w:tc>
        <w:tc>
          <w:tcPr>
            <w:tcW w:w="3580" w:type="pct"/>
          </w:tcPr>
          <w:p w14:paraId="5AC2B7FC" w14:textId="20C07E6B" w:rsidR="00EA4307" w:rsidRDefault="00FF2012" w:rsidP="00EA4307">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V</w:t>
            </w:r>
            <w:r w:rsidR="00E517F9">
              <w:rPr>
                <w:rFonts w:eastAsia="Times New Roman"/>
              </w:rPr>
              <w:t>ersion</w:t>
            </w:r>
            <w:r>
              <w:rPr>
                <w:rFonts w:eastAsia="Times New Roman"/>
              </w:rPr>
              <w:t xml:space="preserve"> 2</w:t>
            </w:r>
            <w:r w:rsidR="00E517F9">
              <w:rPr>
                <w:rFonts w:eastAsia="Times New Roman"/>
              </w:rPr>
              <w:t xml:space="preserve"> contained</w:t>
            </w:r>
            <w:r w:rsidR="001B33B5">
              <w:rPr>
                <w:rFonts w:eastAsia="Times New Roman"/>
              </w:rPr>
              <w:t xml:space="preserve"> </w:t>
            </w:r>
            <w:r w:rsidR="00B65AD2">
              <w:rPr>
                <w:rFonts w:eastAsia="Times New Roman"/>
              </w:rPr>
              <w:t>updates</w:t>
            </w:r>
            <w:r w:rsidR="001B33B5">
              <w:rPr>
                <w:rFonts w:eastAsia="Times New Roman"/>
              </w:rPr>
              <w:t xml:space="preserve"> to emission factors for:</w:t>
            </w:r>
          </w:p>
          <w:p w14:paraId="68469736" w14:textId="45F9D1C2" w:rsidR="001B33B5" w:rsidRDefault="0095233B" w:rsidP="00C24B73">
            <w:pPr>
              <w:pStyle w:val="TableBullet"/>
              <w:numPr>
                <w:ilvl w:val="0"/>
                <w:numId w:val="42"/>
              </w:numPr>
              <w:cnfStyle w:val="000000000000" w:firstRow="0" w:lastRow="0" w:firstColumn="0" w:lastColumn="0" w:oddVBand="0" w:evenVBand="0" w:oddHBand="0" w:evenHBand="0" w:firstRowFirstColumn="0" w:firstRowLastColumn="0" w:lastRowFirstColumn="0" w:lastRowLastColumn="0"/>
            </w:pPr>
            <w:r>
              <w:t>p</w:t>
            </w:r>
            <w:r w:rsidR="001B33B5">
              <w:t>urchased electricity</w:t>
            </w:r>
            <w:r w:rsidR="008F7CF5">
              <w:t xml:space="preserve"> and transmission &amp; distribution losses</w:t>
            </w:r>
          </w:p>
          <w:p w14:paraId="6B423191" w14:textId="1BF0DEB7" w:rsidR="001B33B5" w:rsidRDefault="0095233B" w:rsidP="00C24B73">
            <w:pPr>
              <w:pStyle w:val="TableBullet"/>
              <w:numPr>
                <w:ilvl w:val="0"/>
                <w:numId w:val="42"/>
              </w:numPr>
              <w:cnfStyle w:val="000000000000" w:firstRow="0" w:lastRow="0" w:firstColumn="0" w:lastColumn="0" w:oddVBand="0" w:evenVBand="0" w:oddHBand="0" w:evenHBand="0" w:firstRowFirstColumn="0" w:firstRowLastColumn="0" w:lastRowFirstColumn="0" w:lastRowLastColumn="0"/>
            </w:pPr>
            <w:r>
              <w:t>c</w:t>
            </w:r>
            <w:r w:rsidR="001B33B5">
              <w:t>oal</w:t>
            </w:r>
          </w:p>
          <w:p w14:paraId="553B9FC9" w14:textId="029CC0CA" w:rsidR="001B33B5" w:rsidRDefault="0095233B" w:rsidP="00C24B73">
            <w:pPr>
              <w:pStyle w:val="TableBullet"/>
              <w:numPr>
                <w:ilvl w:val="0"/>
                <w:numId w:val="42"/>
              </w:numPr>
              <w:cnfStyle w:val="000000000000" w:firstRow="0" w:lastRow="0" w:firstColumn="0" w:lastColumn="0" w:oddVBand="0" w:evenVBand="0" w:oddHBand="0" w:evenHBand="0" w:firstRowFirstColumn="0" w:firstRowLastColumn="0" w:lastRowFirstColumn="0" w:lastRowLastColumn="0"/>
            </w:pPr>
            <w:r>
              <w:t>p</w:t>
            </w:r>
            <w:r w:rsidR="001B33B5">
              <w:t>ublic rail</w:t>
            </w:r>
          </w:p>
          <w:p w14:paraId="5E2431C0" w14:textId="529CC299" w:rsidR="001B33B5" w:rsidRDefault="0095233B" w:rsidP="00C24B73">
            <w:pPr>
              <w:pStyle w:val="TableBullet"/>
              <w:numPr>
                <w:ilvl w:val="0"/>
                <w:numId w:val="42"/>
              </w:numPr>
              <w:cnfStyle w:val="000000000000" w:firstRow="0" w:lastRow="0" w:firstColumn="0" w:lastColumn="0" w:oddVBand="0" w:evenVBand="0" w:oddHBand="0" w:evenHBand="0" w:firstRowFirstColumn="0" w:firstRowLastColumn="0" w:lastRowFirstColumn="0" w:lastRowLastColumn="0"/>
            </w:pPr>
            <w:r>
              <w:t>h</w:t>
            </w:r>
            <w:r w:rsidR="001B33B5">
              <w:t>ybrid ele</w:t>
            </w:r>
            <w:r w:rsidR="001D4A3A">
              <w:t>ctric vehicles</w:t>
            </w:r>
            <w:r>
              <w:t>.</w:t>
            </w:r>
          </w:p>
          <w:p w14:paraId="08347763" w14:textId="5F187E68" w:rsidR="001D4A3A" w:rsidRPr="00B275E2" w:rsidRDefault="001D4A3A" w:rsidP="001D4A3A">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Stakeholders were notified via email</w:t>
            </w:r>
            <w:r w:rsidR="00FF2012">
              <w:rPr>
                <w:rFonts w:eastAsia="Times New Roman"/>
              </w:rPr>
              <w:t>. The initial version of the document was removed from the website.</w:t>
            </w:r>
          </w:p>
        </w:tc>
      </w:tr>
      <w:tr w:rsidR="00EA4307" w:rsidRPr="00B275E2" w14:paraId="204C9551" w14:textId="77777777" w:rsidTr="00EA43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pct"/>
            <w:tcBorders>
              <w:left w:val="single" w:sz="4" w:space="0" w:color="FFFFFF" w:themeColor="background1"/>
            </w:tcBorders>
          </w:tcPr>
          <w:p w14:paraId="010AEE85" w14:textId="62E250C8" w:rsidR="00EA4307" w:rsidRPr="00B275E2" w:rsidRDefault="0095233B" w:rsidP="00EA4307">
            <w:pPr>
              <w:pStyle w:val="TableText"/>
              <w:rPr>
                <w:rFonts w:eastAsia="Times New Roman"/>
                <w:b w:val="0"/>
              </w:rPr>
            </w:pPr>
            <w:r>
              <w:rPr>
                <w:rFonts w:eastAsia="Times New Roman"/>
                <w:b w:val="0"/>
              </w:rPr>
              <w:t>16 August</w:t>
            </w:r>
            <w:r w:rsidR="00611143">
              <w:rPr>
                <w:rFonts w:eastAsia="Times New Roman"/>
                <w:b w:val="0"/>
              </w:rPr>
              <w:t xml:space="preserve"> 2022</w:t>
            </w:r>
          </w:p>
        </w:tc>
        <w:tc>
          <w:tcPr>
            <w:tcW w:w="3580" w:type="pct"/>
            <w:tcBorders>
              <w:right w:val="single" w:sz="4" w:space="0" w:color="FFFFFF" w:themeColor="background1"/>
            </w:tcBorders>
          </w:tcPr>
          <w:p w14:paraId="596EF3C1" w14:textId="796FBEFC" w:rsidR="00EA4307" w:rsidRDefault="00FF2012" w:rsidP="00EA4307">
            <w:pPr>
              <w:pStyle w:val="TableText"/>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 xml:space="preserve">Version 3 </w:t>
            </w:r>
            <w:r w:rsidR="004C0046">
              <w:rPr>
                <w:rFonts w:eastAsia="Times New Roman"/>
              </w:rPr>
              <w:t xml:space="preserve">contained </w:t>
            </w:r>
            <w:r w:rsidR="00B65AD2">
              <w:rPr>
                <w:rFonts w:eastAsia="Times New Roman"/>
              </w:rPr>
              <w:t>updates</w:t>
            </w:r>
            <w:r w:rsidR="004C0046">
              <w:rPr>
                <w:rFonts w:eastAsia="Times New Roman"/>
              </w:rPr>
              <w:t xml:space="preserve"> to emission factors for:</w:t>
            </w:r>
          </w:p>
          <w:p w14:paraId="38376ED5" w14:textId="412FEA8E" w:rsidR="004C0046" w:rsidRDefault="0095233B" w:rsidP="00C24B73">
            <w:pPr>
              <w:pStyle w:val="TableBullet"/>
              <w:numPr>
                <w:ilvl w:val="0"/>
                <w:numId w:val="43"/>
              </w:numPr>
              <w:cnfStyle w:val="000000100000" w:firstRow="0" w:lastRow="0" w:firstColumn="0" w:lastColumn="0" w:oddVBand="0" w:evenVBand="0" w:oddHBand="1" w:evenHBand="0" w:firstRowFirstColumn="0" w:firstRowLastColumn="0" w:lastRowFirstColumn="0" w:lastRowLastColumn="0"/>
            </w:pPr>
            <w:r>
              <w:t>p</w:t>
            </w:r>
            <w:r w:rsidR="004C0046">
              <w:t>urchased electricity</w:t>
            </w:r>
            <w:r w:rsidR="008F7CF5">
              <w:t xml:space="preserve"> and transmission </w:t>
            </w:r>
            <w:r>
              <w:t>and</w:t>
            </w:r>
            <w:r w:rsidR="008F7CF5">
              <w:t xml:space="preserve"> distribution losses</w:t>
            </w:r>
            <w:r>
              <w:t>.</w:t>
            </w:r>
          </w:p>
          <w:p w14:paraId="69FBB497" w14:textId="664618B5" w:rsidR="004C0046" w:rsidRDefault="002B0B28" w:rsidP="004C0046">
            <w:pPr>
              <w:pStyle w:val="TableText"/>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 xml:space="preserve">Accompanying technical </w:t>
            </w:r>
            <w:r w:rsidR="00B65AD2">
              <w:rPr>
                <w:rFonts w:eastAsia="Times New Roman"/>
              </w:rPr>
              <w:t>information regarding the</w:t>
            </w:r>
            <w:r>
              <w:rPr>
                <w:rFonts w:eastAsia="Times New Roman"/>
              </w:rPr>
              <w:t xml:space="preserve"> </w:t>
            </w:r>
            <w:r w:rsidR="00B65AD2">
              <w:rPr>
                <w:rFonts w:eastAsia="Times New Roman"/>
              </w:rPr>
              <w:t xml:space="preserve">update </w:t>
            </w:r>
            <w:r>
              <w:rPr>
                <w:rFonts w:eastAsia="Times New Roman"/>
              </w:rPr>
              <w:t xml:space="preserve">was published </w:t>
            </w:r>
            <w:r w:rsidR="00B65AD2">
              <w:rPr>
                <w:rFonts w:eastAsia="Times New Roman"/>
              </w:rPr>
              <w:t>on the Ministry’s website</w:t>
            </w:r>
            <w:r w:rsidR="00313F5A">
              <w:rPr>
                <w:rFonts w:eastAsia="Times New Roman"/>
              </w:rPr>
              <w:t>.</w:t>
            </w:r>
          </w:p>
          <w:p w14:paraId="14DA932B" w14:textId="578033BD" w:rsidR="00313F5A" w:rsidRPr="00B275E2" w:rsidRDefault="00313F5A" w:rsidP="004C0046">
            <w:pPr>
              <w:pStyle w:val="TableText"/>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Stakeholders were notified via email. Version 2 of the document was removed from the website.</w:t>
            </w:r>
          </w:p>
        </w:tc>
      </w:tr>
    </w:tbl>
    <w:p w14:paraId="1FC9B2D9" w14:textId="77777777" w:rsidR="00EA4307" w:rsidRDefault="00EA4307" w:rsidP="00D34686">
      <w:pPr>
        <w:pStyle w:val="Heading"/>
        <w:sectPr w:rsidR="00EA4307" w:rsidSect="005010FC">
          <w:headerReference w:type="default" r:id="rId20"/>
          <w:footerReference w:type="even" r:id="rId21"/>
          <w:footerReference w:type="default" r:id="rId22"/>
          <w:pgSz w:w="11907" w:h="16840" w:code="9"/>
          <w:pgMar w:top="1134" w:right="1701" w:bottom="1134" w:left="1701" w:header="567" w:footer="567" w:gutter="0"/>
          <w:cols w:space="720"/>
          <w:docGrid w:linePitch="299"/>
        </w:sectPr>
      </w:pPr>
    </w:p>
    <w:p w14:paraId="6FCD1493" w14:textId="77777777" w:rsidR="00973889" w:rsidRPr="00B275E2" w:rsidRDefault="00206E30" w:rsidP="00D34686">
      <w:pPr>
        <w:pStyle w:val="Heading"/>
      </w:pPr>
      <w:r w:rsidRPr="00B275E2">
        <w:lastRenderedPageBreak/>
        <w:t>Contents</w:t>
      </w:r>
    </w:p>
    <w:bookmarkStart w:id="6" w:name="_Toc600553"/>
    <w:bookmarkEnd w:id="3"/>
    <w:p w14:paraId="531BB211" w14:textId="3CEF0A73" w:rsidR="00954B9C" w:rsidRDefault="00031FF2">
      <w:pPr>
        <w:pStyle w:val="TOC1"/>
      </w:pPr>
      <w:r w:rsidRPr="00B275E2">
        <w:rPr>
          <w:noProof w:val="0"/>
        </w:rPr>
        <w:fldChar w:fldCharType="begin"/>
      </w:r>
      <w:r w:rsidRPr="00B275E2">
        <w:rPr>
          <w:noProof w:val="0"/>
        </w:rPr>
        <w:instrText xml:space="preserve"> TOC \h \z \t "Heading 1,1,Heading 2,2" </w:instrText>
      </w:r>
      <w:r w:rsidRPr="00B275E2">
        <w:rPr>
          <w:noProof w:val="0"/>
        </w:rPr>
        <w:fldChar w:fldCharType="separate"/>
      </w:r>
      <w:hyperlink w:anchor="_Toc111536760" w:history="1">
        <w:r w:rsidR="00954B9C" w:rsidRPr="00EC43DA">
          <w:rPr>
            <w:rStyle w:val="Hyperlink"/>
          </w:rPr>
          <w:t>Overview of changes since the previous update</w:t>
        </w:r>
        <w:r w:rsidR="00954B9C">
          <w:rPr>
            <w:webHidden/>
          </w:rPr>
          <w:tab/>
        </w:r>
        <w:r w:rsidR="00954B9C">
          <w:rPr>
            <w:webHidden/>
          </w:rPr>
          <w:fldChar w:fldCharType="begin"/>
        </w:r>
        <w:r w:rsidR="00954B9C">
          <w:rPr>
            <w:webHidden/>
          </w:rPr>
          <w:instrText xml:space="preserve"> PAGEREF _Toc111536760 \h </w:instrText>
        </w:r>
        <w:r w:rsidR="00954B9C">
          <w:rPr>
            <w:webHidden/>
          </w:rPr>
        </w:r>
        <w:r w:rsidR="00954B9C">
          <w:rPr>
            <w:webHidden/>
          </w:rPr>
          <w:fldChar w:fldCharType="separate"/>
        </w:r>
        <w:r w:rsidR="00954B9C">
          <w:rPr>
            <w:webHidden/>
          </w:rPr>
          <w:t>10</w:t>
        </w:r>
        <w:r w:rsidR="00954B9C">
          <w:rPr>
            <w:webHidden/>
          </w:rPr>
          <w:fldChar w:fldCharType="end"/>
        </w:r>
      </w:hyperlink>
    </w:p>
    <w:p w14:paraId="688B20B9" w14:textId="75E7FB1C" w:rsidR="00954B9C" w:rsidRDefault="00954B9C">
      <w:pPr>
        <w:pStyle w:val="TOC1"/>
      </w:pPr>
      <w:hyperlink w:anchor="_Toc111536761" w:history="1">
        <w:r w:rsidRPr="00EC43DA">
          <w:rPr>
            <w:rStyle w:val="Hyperlink"/>
          </w:rPr>
          <w:t>Introduction</w:t>
        </w:r>
        <w:r>
          <w:rPr>
            <w:webHidden/>
          </w:rPr>
          <w:tab/>
        </w:r>
        <w:r>
          <w:rPr>
            <w:webHidden/>
          </w:rPr>
          <w:fldChar w:fldCharType="begin"/>
        </w:r>
        <w:r>
          <w:rPr>
            <w:webHidden/>
          </w:rPr>
          <w:instrText xml:space="preserve"> PAGEREF _Toc111536761 \h </w:instrText>
        </w:r>
        <w:r>
          <w:rPr>
            <w:webHidden/>
          </w:rPr>
        </w:r>
        <w:r>
          <w:rPr>
            <w:webHidden/>
          </w:rPr>
          <w:fldChar w:fldCharType="separate"/>
        </w:r>
        <w:r>
          <w:rPr>
            <w:webHidden/>
          </w:rPr>
          <w:t>11</w:t>
        </w:r>
        <w:r>
          <w:rPr>
            <w:webHidden/>
          </w:rPr>
          <w:fldChar w:fldCharType="end"/>
        </w:r>
      </w:hyperlink>
    </w:p>
    <w:p w14:paraId="3C733E49" w14:textId="6ECD6945" w:rsidR="00954B9C" w:rsidRDefault="00954B9C">
      <w:pPr>
        <w:pStyle w:val="TOC2"/>
        <w:rPr>
          <w:rFonts w:asciiTheme="minorHAnsi" w:hAnsiTheme="minorHAnsi"/>
          <w:noProof/>
        </w:rPr>
      </w:pPr>
      <w:hyperlink w:anchor="_Toc111536762" w:history="1">
        <w:r w:rsidRPr="00EC43DA">
          <w:rPr>
            <w:rStyle w:val="Hyperlink"/>
            <w:noProof/>
          </w:rPr>
          <w:t>Purpose of this guide</w:t>
        </w:r>
        <w:r>
          <w:rPr>
            <w:noProof/>
            <w:webHidden/>
          </w:rPr>
          <w:tab/>
        </w:r>
        <w:r>
          <w:rPr>
            <w:noProof/>
            <w:webHidden/>
          </w:rPr>
          <w:fldChar w:fldCharType="begin"/>
        </w:r>
        <w:r>
          <w:rPr>
            <w:noProof/>
            <w:webHidden/>
          </w:rPr>
          <w:instrText xml:space="preserve"> PAGEREF _Toc111536762 \h </w:instrText>
        </w:r>
        <w:r>
          <w:rPr>
            <w:noProof/>
            <w:webHidden/>
          </w:rPr>
        </w:r>
        <w:r>
          <w:rPr>
            <w:noProof/>
            <w:webHidden/>
          </w:rPr>
          <w:fldChar w:fldCharType="separate"/>
        </w:r>
        <w:r>
          <w:rPr>
            <w:noProof/>
            <w:webHidden/>
          </w:rPr>
          <w:t>11</w:t>
        </w:r>
        <w:r>
          <w:rPr>
            <w:noProof/>
            <w:webHidden/>
          </w:rPr>
          <w:fldChar w:fldCharType="end"/>
        </w:r>
      </w:hyperlink>
    </w:p>
    <w:p w14:paraId="2C2951A2" w14:textId="64BC2E7C" w:rsidR="00954B9C" w:rsidRDefault="00954B9C">
      <w:pPr>
        <w:pStyle w:val="TOC2"/>
        <w:rPr>
          <w:rFonts w:asciiTheme="minorHAnsi" w:hAnsiTheme="minorHAnsi"/>
          <w:noProof/>
        </w:rPr>
      </w:pPr>
      <w:hyperlink w:anchor="_Toc111536763" w:history="1">
        <w:r w:rsidRPr="00EC43DA">
          <w:rPr>
            <w:rStyle w:val="Hyperlink"/>
            <w:noProof/>
          </w:rPr>
          <w:t>Important notes</w:t>
        </w:r>
        <w:r>
          <w:rPr>
            <w:noProof/>
            <w:webHidden/>
          </w:rPr>
          <w:tab/>
        </w:r>
        <w:r>
          <w:rPr>
            <w:noProof/>
            <w:webHidden/>
          </w:rPr>
          <w:fldChar w:fldCharType="begin"/>
        </w:r>
        <w:r>
          <w:rPr>
            <w:noProof/>
            <w:webHidden/>
          </w:rPr>
          <w:instrText xml:space="preserve"> PAGEREF _Toc111536763 \h </w:instrText>
        </w:r>
        <w:r>
          <w:rPr>
            <w:noProof/>
            <w:webHidden/>
          </w:rPr>
        </w:r>
        <w:r>
          <w:rPr>
            <w:noProof/>
            <w:webHidden/>
          </w:rPr>
          <w:fldChar w:fldCharType="separate"/>
        </w:r>
        <w:r>
          <w:rPr>
            <w:noProof/>
            <w:webHidden/>
          </w:rPr>
          <w:t>12</w:t>
        </w:r>
        <w:r>
          <w:rPr>
            <w:noProof/>
            <w:webHidden/>
          </w:rPr>
          <w:fldChar w:fldCharType="end"/>
        </w:r>
      </w:hyperlink>
    </w:p>
    <w:p w14:paraId="482D88E5" w14:textId="4BA18537" w:rsidR="00954B9C" w:rsidRDefault="00954B9C">
      <w:pPr>
        <w:pStyle w:val="TOC2"/>
        <w:rPr>
          <w:rFonts w:asciiTheme="minorHAnsi" w:hAnsiTheme="minorHAnsi"/>
          <w:noProof/>
        </w:rPr>
      </w:pPr>
      <w:hyperlink w:anchor="_Toc111536764" w:history="1">
        <w:r w:rsidRPr="00EC43DA">
          <w:rPr>
            <w:rStyle w:val="Hyperlink"/>
            <w:noProof/>
          </w:rPr>
          <w:t>Gases included in the guide</w:t>
        </w:r>
        <w:r>
          <w:rPr>
            <w:noProof/>
            <w:webHidden/>
          </w:rPr>
          <w:tab/>
        </w:r>
        <w:r>
          <w:rPr>
            <w:noProof/>
            <w:webHidden/>
          </w:rPr>
          <w:fldChar w:fldCharType="begin"/>
        </w:r>
        <w:r>
          <w:rPr>
            <w:noProof/>
            <w:webHidden/>
          </w:rPr>
          <w:instrText xml:space="preserve"> PAGEREF _Toc111536764 \h </w:instrText>
        </w:r>
        <w:r>
          <w:rPr>
            <w:noProof/>
            <w:webHidden/>
          </w:rPr>
        </w:r>
        <w:r>
          <w:rPr>
            <w:noProof/>
            <w:webHidden/>
          </w:rPr>
          <w:fldChar w:fldCharType="separate"/>
        </w:r>
        <w:r>
          <w:rPr>
            <w:noProof/>
            <w:webHidden/>
          </w:rPr>
          <w:t>14</w:t>
        </w:r>
        <w:r>
          <w:rPr>
            <w:noProof/>
            <w:webHidden/>
          </w:rPr>
          <w:fldChar w:fldCharType="end"/>
        </w:r>
      </w:hyperlink>
    </w:p>
    <w:p w14:paraId="15E99941" w14:textId="3F884CB9" w:rsidR="00954B9C" w:rsidRDefault="00954B9C">
      <w:pPr>
        <w:pStyle w:val="TOC2"/>
        <w:rPr>
          <w:rFonts w:asciiTheme="minorHAnsi" w:hAnsiTheme="minorHAnsi"/>
          <w:noProof/>
        </w:rPr>
      </w:pPr>
      <w:hyperlink w:anchor="_Toc111536765" w:history="1">
        <w:r w:rsidRPr="00EC43DA">
          <w:rPr>
            <w:rStyle w:val="Hyperlink"/>
            <w:noProof/>
          </w:rPr>
          <w:t>Uncertainties</w:t>
        </w:r>
        <w:r>
          <w:rPr>
            <w:noProof/>
            <w:webHidden/>
          </w:rPr>
          <w:tab/>
        </w:r>
        <w:r>
          <w:rPr>
            <w:noProof/>
            <w:webHidden/>
          </w:rPr>
          <w:fldChar w:fldCharType="begin"/>
        </w:r>
        <w:r>
          <w:rPr>
            <w:noProof/>
            <w:webHidden/>
          </w:rPr>
          <w:instrText xml:space="preserve"> PAGEREF _Toc111536765 \h </w:instrText>
        </w:r>
        <w:r>
          <w:rPr>
            <w:noProof/>
            <w:webHidden/>
          </w:rPr>
        </w:r>
        <w:r>
          <w:rPr>
            <w:noProof/>
            <w:webHidden/>
          </w:rPr>
          <w:fldChar w:fldCharType="separate"/>
        </w:r>
        <w:r>
          <w:rPr>
            <w:noProof/>
            <w:webHidden/>
          </w:rPr>
          <w:t>15</w:t>
        </w:r>
        <w:r>
          <w:rPr>
            <w:noProof/>
            <w:webHidden/>
          </w:rPr>
          <w:fldChar w:fldCharType="end"/>
        </w:r>
      </w:hyperlink>
    </w:p>
    <w:p w14:paraId="3DA900D8" w14:textId="368B360E" w:rsidR="00954B9C" w:rsidRDefault="00954B9C">
      <w:pPr>
        <w:pStyle w:val="TOC2"/>
        <w:rPr>
          <w:rFonts w:asciiTheme="minorHAnsi" w:hAnsiTheme="minorHAnsi"/>
          <w:noProof/>
        </w:rPr>
      </w:pPr>
      <w:hyperlink w:anchor="_Toc111536766" w:history="1">
        <w:r w:rsidRPr="00EC43DA">
          <w:rPr>
            <w:rStyle w:val="Hyperlink"/>
            <w:noProof/>
          </w:rPr>
          <w:t>Standards to follow</w:t>
        </w:r>
        <w:r>
          <w:rPr>
            <w:noProof/>
            <w:webHidden/>
          </w:rPr>
          <w:tab/>
        </w:r>
        <w:r>
          <w:rPr>
            <w:noProof/>
            <w:webHidden/>
          </w:rPr>
          <w:fldChar w:fldCharType="begin"/>
        </w:r>
        <w:r>
          <w:rPr>
            <w:noProof/>
            <w:webHidden/>
          </w:rPr>
          <w:instrText xml:space="preserve"> PAGEREF _Toc111536766 \h </w:instrText>
        </w:r>
        <w:r>
          <w:rPr>
            <w:noProof/>
            <w:webHidden/>
          </w:rPr>
        </w:r>
        <w:r>
          <w:rPr>
            <w:noProof/>
            <w:webHidden/>
          </w:rPr>
          <w:fldChar w:fldCharType="separate"/>
        </w:r>
        <w:r>
          <w:rPr>
            <w:noProof/>
            <w:webHidden/>
          </w:rPr>
          <w:t>15</w:t>
        </w:r>
        <w:r>
          <w:rPr>
            <w:noProof/>
            <w:webHidden/>
          </w:rPr>
          <w:fldChar w:fldCharType="end"/>
        </w:r>
      </w:hyperlink>
    </w:p>
    <w:p w14:paraId="17923B15" w14:textId="2F4E23D2" w:rsidR="00954B9C" w:rsidRDefault="00954B9C">
      <w:pPr>
        <w:pStyle w:val="TOC1"/>
      </w:pPr>
      <w:hyperlink w:anchor="_Toc111536767" w:history="1">
        <w:r w:rsidRPr="00EC43DA">
          <w:rPr>
            <w:rStyle w:val="Hyperlink"/>
          </w:rPr>
          <w:t>How to quantify and report GHG emissions</w:t>
        </w:r>
        <w:r>
          <w:rPr>
            <w:webHidden/>
          </w:rPr>
          <w:tab/>
        </w:r>
        <w:r>
          <w:rPr>
            <w:webHidden/>
          </w:rPr>
          <w:fldChar w:fldCharType="begin"/>
        </w:r>
        <w:r>
          <w:rPr>
            <w:webHidden/>
          </w:rPr>
          <w:instrText xml:space="preserve"> PAGEREF _Toc111536767 \h </w:instrText>
        </w:r>
        <w:r>
          <w:rPr>
            <w:webHidden/>
          </w:rPr>
        </w:r>
        <w:r>
          <w:rPr>
            <w:webHidden/>
          </w:rPr>
          <w:fldChar w:fldCharType="separate"/>
        </w:r>
        <w:r>
          <w:rPr>
            <w:webHidden/>
          </w:rPr>
          <w:t>18</w:t>
        </w:r>
        <w:r>
          <w:rPr>
            <w:webHidden/>
          </w:rPr>
          <w:fldChar w:fldCharType="end"/>
        </w:r>
      </w:hyperlink>
    </w:p>
    <w:p w14:paraId="5FF15B96" w14:textId="1B18E3CC" w:rsidR="00954B9C" w:rsidRDefault="00954B9C">
      <w:pPr>
        <w:pStyle w:val="TOC2"/>
        <w:rPr>
          <w:rFonts w:asciiTheme="minorHAnsi" w:hAnsiTheme="minorHAnsi"/>
          <w:noProof/>
        </w:rPr>
      </w:pPr>
      <w:hyperlink w:anchor="_Toc111536768" w:history="1">
        <w:r w:rsidRPr="00EC43DA">
          <w:rPr>
            <w:rStyle w:val="Hyperlink"/>
            <w:noProof/>
          </w:rPr>
          <w:t>Step-by-step inventory preparation</w:t>
        </w:r>
        <w:r>
          <w:rPr>
            <w:noProof/>
            <w:webHidden/>
          </w:rPr>
          <w:tab/>
        </w:r>
        <w:r>
          <w:rPr>
            <w:noProof/>
            <w:webHidden/>
          </w:rPr>
          <w:fldChar w:fldCharType="begin"/>
        </w:r>
        <w:r>
          <w:rPr>
            <w:noProof/>
            <w:webHidden/>
          </w:rPr>
          <w:instrText xml:space="preserve"> PAGEREF _Toc111536768 \h </w:instrText>
        </w:r>
        <w:r>
          <w:rPr>
            <w:noProof/>
            <w:webHidden/>
          </w:rPr>
        </w:r>
        <w:r>
          <w:rPr>
            <w:noProof/>
            <w:webHidden/>
          </w:rPr>
          <w:fldChar w:fldCharType="separate"/>
        </w:r>
        <w:r>
          <w:rPr>
            <w:noProof/>
            <w:webHidden/>
          </w:rPr>
          <w:t>19</w:t>
        </w:r>
        <w:r>
          <w:rPr>
            <w:noProof/>
            <w:webHidden/>
          </w:rPr>
          <w:fldChar w:fldCharType="end"/>
        </w:r>
      </w:hyperlink>
    </w:p>
    <w:p w14:paraId="495363DB" w14:textId="75B81151" w:rsidR="00954B9C" w:rsidRDefault="00954B9C">
      <w:pPr>
        <w:pStyle w:val="TOC2"/>
        <w:rPr>
          <w:rFonts w:asciiTheme="minorHAnsi" w:hAnsiTheme="minorHAnsi"/>
          <w:noProof/>
        </w:rPr>
      </w:pPr>
      <w:hyperlink w:anchor="_Toc111536769" w:history="1">
        <w:r w:rsidRPr="00EC43DA">
          <w:rPr>
            <w:rStyle w:val="Hyperlink"/>
            <w:noProof/>
          </w:rPr>
          <w:t>Using the emission factors</w:t>
        </w:r>
        <w:r>
          <w:rPr>
            <w:noProof/>
            <w:webHidden/>
          </w:rPr>
          <w:tab/>
        </w:r>
        <w:r>
          <w:rPr>
            <w:noProof/>
            <w:webHidden/>
          </w:rPr>
          <w:fldChar w:fldCharType="begin"/>
        </w:r>
        <w:r>
          <w:rPr>
            <w:noProof/>
            <w:webHidden/>
          </w:rPr>
          <w:instrText xml:space="preserve"> PAGEREF _Toc111536769 \h </w:instrText>
        </w:r>
        <w:r>
          <w:rPr>
            <w:noProof/>
            <w:webHidden/>
          </w:rPr>
        </w:r>
        <w:r>
          <w:rPr>
            <w:noProof/>
            <w:webHidden/>
          </w:rPr>
          <w:fldChar w:fldCharType="separate"/>
        </w:r>
        <w:r>
          <w:rPr>
            <w:noProof/>
            <w:webHidden/>
          </w:rPr>
          <w:t>20</w:t>
        </w:r>
        <w:r>
          <w:rPr>
            <w:noProof/>
            <w:webHidden/>
          </w:rPr>
          <w:fldChar w:fldCharType="end"/>
        </w:r>
      </w:hyperlink>
    </w:p>
    <w:p w14:paraId="1F2AA4A6" w14:textId="7654C095" w:rsidR="00954B9C" w:rsidRDefault="00954B9C">
      <w:pPr>
        <w:pStyle w:val="TOC2"/>
        <w:rPr>
          <w:rFonts w:asciiTheme="minorHAnsi" w:hAnsiTheme="minorHAnsi"/>
          <w:noProof/>
        </w:rPr>
      </w:pPr>
      <w:hyperlink w:anchor="_Toc111536770" w:history="1">
        <w:r w:rsidRPr="00EC43DA">
          <w:rPr>
            <w:rStyle w:val="Hyperlink"/>
            <w:noProof/>
          </w:rPr>
          <w:t>Producing a GHG report</w:t>
        </w:r>
        <w:r>
          <w:rPr>
            <w:noProof/>
            <w:webHidden/>
          </w:rPr>
          <w:tab/>
        </w:r>
        <w:r>
          <w:rPr>
            <w:noProof/>
            <w:webHidden/>
          </w:rPr>
          <w:fldChar w:fldCharType="begin"/>
        </w:r>
        <w:r>
          <w:rPr>
            <w:noProof/>
            <w:webHidden/>
          </w:rPr>
          <w:instrText xml:space="preserve"> PAGEREF _Toc111536770 \h </w:instrText>
        </w:r>
        <w:r>
          <w:rPr>
            <w:noProof/>
            <w:webHidden/>
          </w:rPr>
        </w:r>
        <w:r>
          <w:rPr>
            <w:noProof/>
            <w:webHidden/>
          </w:rPr>
          <w:fldChar w:fldCharType="separate"/>
        </w:r>
        <w:r>
          <w:rPr>
            <w:noProof/>
            <w:webHidden/>
          </w:rPr>
          <w:t>21</w:t>
        </w:r>
        <w:r>
          <w:rPr>
            <w:noProof/>
            <w:webHidden/>
          </w:rPr>
          <w:fldChar w:fldCharType="end"/>
        </w:r>
      </w:hyperlink>
    </w:p>
    <w:p w14:paraId="41FB30D9" w14:textId="75211A7C" w:rsidR="00954B9C" w:rsidRDefault="00954B9C">
      <w:pPr>
        <w:pStyle w:val="TOC2"/>
        <w:rPr>
          <w:rFonts w:asciiTheme="minorHAnsi" w:hAnsiTheme="minorHAnsi"/>
          <w:noProof/>
        </w:rPr>
      </w:pPr>
      <w:hyperlink w:anchor="_Toc111536771" w:history="1">
        <w:r w:rsidRPr="00EC43DA">
          <w:rPr>
            <w:rStyle w:val="Hyperlink"/>
            <w:noProof/>
          </w:rPr>
          <w:t>Verification</w:t>
        </w:r>
        <w:r>
          <w:rPr>
            <w:noProof/>
            <w:webHidden/>
          </w:rPr>
          <w:tab/>
        </w:r>
        <w:r>
          <w:rPr>
            <w:noProof/>
            <w:webHidden/>
          </w:rPr>
          <w:fldChar w:fldCharType="begin"/>
        </w:r>
        <w:r>
          <w:rPr>
            <w:noProof/>
            <w:webHidden/>
          </w:rPr>
          <w:instrText xml:space="preserve"> PAGEREF _Toc111536771 \h </w:instrText>
        </w:r>
        <w:r>
          <w:rPr>
            <w:noProof/>
            <w:webHidden/>
          </w:rPr>
        </w:r>
        <w:r>
          <w:rPr>
            <w:noProof/>
            <w:webHidden/>
          </w:rPr>
          <w:fldChar w:fldCharType="separate"/>
        </w:r>
        <w:r>
          <w:rPr>
            <w:noProof/>
            <w:webHidden/>
          </w:rPr>
          <w:t>22</w:t>
        </w:r>
        <w:r>
          <w:rPr>
            <w:noProof/>
            <w:webHidden/>
          </w:rPr>
          <w:fldChar w:fldCharType="end"/>
        </w:r>
      </w:hyperlink>
    </w:p>
    <w:p w14:paraId="5C8DC5AE" w14:textId="1043423C" w:rsidR="00954B9C" w:rsidRDefault="00954B9C">
      <w:pPr>
        <w:pStyle w:val="TOC1"/>
      </w:pPr>
      <w:hyperlink w:anchor="_Toc111536772" w:history="1">
        <w:r w:rsidRPr="00EC43DA">
          <w:rPr>
            <w:rStyle w:val="Hyperlink"/>
          </w:rPr>
          <w:t>Fuel emission factors</w:t>
        </w:r>
        <w:r>
          <w:rPr>
            <w:webHidden/>
          </w:rPr>
          <w:tab/>
        </w:r>
        <w:r>
          <w:rPr>
            <w:webHidden/>
          </w:rPr>
          <w:fldChar w:fldCharType="begin"/>
        </w:r>
        <w:r>
          <w:rPr>
            <w:webHidden/>
          </w:rPr>
          <w:instrText xml:space="preserve"> PAGEREF _Toc111536772 \h </w:instrText>
        </w:r>
        <w:r>
          <w:rPr>
            <w:webHidden/>
          </w:rPr>
        </w:r>
        <w:r>
          <w:rPr>
            <w:webHidden/>
          </w:rPr>
          <w:fldChar w:fldCharType="separate"/>
        </w:r>
        <w:r>
          <w:rPr>
            <w:webHidden/>
          </w:rPr>
          <w:t>23</w:t>
        </w:r>
        <w:r>
          <w:rPr>
            <w:webHidden/>
          </w:rPr>
          <w:fldChar w:fldCharType="end"/>
        </w:r>
      </w:hyperlink>
    </w:p>
    <w:p w14:paraId="45E57DAD" w14:textId="1F7C727A" w:rsidR="00954B9C" w:rsidRDefault="00954B9C">
      <w:pPr>
        <w:pStyle w:val="TOC2"/>
        <w:rPr>
          <w:rFonts w:asciiTheme="minorHAnsi" w:hAnsiTheme="minorHAnsi"/>
          <w:noProof/>
        </w:rPr>
      </w:pPr>
      <w:hyperlink w:anchor="_Toc111536773" w:history="1">
        <w:r w:rsidRPr="00EC43DA">
          <w:rPr>
            <w:rStyle w:val="Hyperlink"/>
            <w:noProof/>
          </w:rPr>
          <w:t>Overview of changes since previous update</w:t>
        </w:r>
        <w:r>
          <w:rPr>
            <w:noProof/>
            <w:webHidden/>
          </w:rPr>
          <w:tab/>
        </w:r>
        <w:r>
          <w:rPr>
            <w:noProof/>
            <w:webHidden/>
          </w:rPr>
          <w:fldChar w:fldCharType="begin"/>
        </w:r>
        <w:r>
          <w:rPr>
            <w:noProof/>
            <w:webHidden/>
          </w:rPr>
          <w:instrText xml:space="preserve"> PAGEREF _Toc111536773 \h </w:instrText>
        </w:r>
        <w:r>
          <w:rPr>
            <w:noProof/>
            <w:webHidden/>
          </w:rPr>
        </w:r>
        <w:r>
          <w:rPr>
            <w:noProof/>
            <w:webHidden/>
          </w:rPr>
          <w:fldChar w:fldCharType="separate"/>
        </w:r>
        <w:r>
          <w:rPr>
            <w:noProof/>
            <w:webHidden/>
          </w:rPr>
          <w:t>23</w:t>
        </w:r>
        <w:r>
          <w:rPr>
            <w:noProof/>
            <w:webHidden/>
          </w:rPr>
          <w:fldChar w:fldCharType="end"/>
        </w:r>
      </w:hyperlink>
    </w:p>
    <w:p w14:paraId="10132B0B" w14:textId="76872E37" w:rsidR="00954B9C" w:rsidRDefault="00954B9C">
      <w:pPr>
        <w:pStyle w:val="TOC2"/>
        <w:rPr>
          <w:rFonts w:asciiTheme="minorHAnsi" w:hAnsiTheme="minorHAnsi"/>
          <w:noProof/>
        </w:rPr>
      </w:pPr>
      <w:hyperlink w:anchor="_Toc111536774" w:history="1">
        <w:r w:rsidRPr="00EC43DA">
          <w:rPr>
            <w:rStyle w:val="Hyperlink"/>
            <w:noProof/>
          </w:rPr>
          <w:t>Stationary combustion fuel</w:t>
        </w:r>
        <w:r>
          <w:rPr>
            <w:noProof/>
            <w:webHidden/>
          </w:rPr>
          <w:tab/>
        </w:r>
        <w:r>
          <w:rPr>
            <w:noProof/>
            <w:webHidden/>
          </w:rPr>
          <w:fldChar w:fldCharType="begin"/>
        </w:r>
        <w:r>
          <w:rPr>
            <w:noProof/>
            <w:webHidden/>
          </w:rPr>
          <w:instrText xml:space="preserve"> PAGEREF _Toc111536774 \h </w:instrText>
        </w:r>
        <w:r>
          <w:rPr>
            <w:noProof/>
            <w:webHidden/>
          </w:rPr>
        </w:r>
        <w:r>
          <w:rPr>
            <w:noProof/>
            <w:webHidden/>
          </w:rPr>
          <w:fldChar w:fldCharType="separate"/>
        </w:r>
        <w:r>
          <w:rPr>
            <w:noProof/>
            <w:webHidden/>
          </w:rPr>
          <w:t>23</w:t>
        </w:r>
        <w:r>
          <w:rPr>
            <w:noProof/>
            <w:webHidden/>
          </w:rPr>
          <w:fldChar w:fldCharType="end"/>
        </w:r>
      </w:hyperlink>
    </w:p>
    <w:p w14:paraId="4A670CA1" w14:textId="0D3DAC32" w:rsidR="00954B9C" w:rsidRDefault="00954B9C">
      <w:pPr>
        <w:pStyle w:val="TOC2"/>
        <w:rPr>
          <w:rFonts w:asciiTheme="minorHAnsi" w:hAnsiTheme="minorHAnsi"/>
          <w:noProof/>
        </w:rPr>
      </w:pPr>
      <w:hyperlink w:anchor="_Toc111536775" w:history="1">
        <w:r w:rsidRPr="00EC43DA">
          <w:rPr>
            <w:rStyle w:val="Hyperlink"/>
            <w:noProof/>
          </w:rPr>
          <w:t>Transport fuel</w:t>
        </w:r>
        <w:r>
          <w:rPr>
            <w:noProof/>
            <w:webHidden/>
          </w:rPr>
          <w:tab/>
        </w:r>
        <w:r>
          <w:rPr>
            <w:noProof/>
            <w:webHidden/>
          </w:rPr>
          <w:fldChar w:fldCharType="begin"/>
        </w:r>
        <w:r>
          <w:rPr>
            <w:noProof/>
            <w:webHidden/>
          </w:rPr>
          <w:instrText xml:space="preserve"> PAGEREF _Toc111536775 \h </w:instrText>
        </w:r>
        <w:r>
          <w:rPr>
            <w:noProof/>
            <w:webHidden/>
          </w:rPr>
        </w:r>
        <w:r>
          <w:rPr>
            <w:noProof/>
            <w:webHidden/>
          </w:rPr>
          <w:fldChar w:fldCharType="separate"/>
        </w:r>
        <w:r>
          <w:rPr>
            <w:noProof/>
            <w:webHidden/>
          </w:rPr>
          <w:t>25</w:t>
        </w:r>
        <w:r>
          <w:rPr>
            <w:noProof/>
            <w:webHidden/>
          </w:rPr>
          <w:fldChar w:fldCharType="end"/>
        </w:r>
      </w:hyperlink>
    </w:p>
    <w:p w14:paraId="6E5C48D6" w14:textId="4E67C54A" w:rsidR="00954B9C" w:rsidRDefault="00954B9C">
      <w:pPr>
        <w:pStyle w:val="TOC2"/>
        <w:rPr>
          <w:rFonts w:asciiTheme="minorHAnsi" w:hAnsiTheme="minorHAnsi"/>
          <w:noProof/>
        </w:rPr>
      </w:pPr>
      <w:hyperlink w:anchor="_Toc111536776" w:history="1">
        <w:r w:rsidRPr="00EC43DA">
          <w:rPr>
            <w:rStyle w:val="Hyperlink"/>
            <w:noProof/>
          </w:rPr>
          <w:t>Biofuels and biomass</w:t>
        </w:r>
        <w:r>
          <w:rPr>
            <w:noProof/>
            <w:webHidden/>
          </w:rPr>
          <w:tab/>
        </w:r>
        <w:r>
          <w:rPr>
            <w:noProof/>
            <w:webHidden/>
          </w:rPr>
          <w:fldChar w:fldCharType="begin"/>
        </w:r>
        <w:r>
          <w:rPr>
            <w:noProof/>
            <w:webHidden/>
          </w:rPr>
          <w:instrText xml:space="preserve"> PAGEREF _Toc111536776 \h </w:instrText>
        </w:r>
        <w:r>
          <w:rPr>
            <w:noProof/>
            <w:webHidden/>
          </w:rPr>
        </w:r>
        <w:r>
          <w:rPr>
            <w:noProof/>
            <w:webHidden/>
          </w:rPr>
          <w:fldChar w:fldCharType="separate"/>
        </w:r>
        <w:r>
          <w:rPr>
            <w:noProof/>
            <w:webHidden/>
          </w:rPr>
          <w:t>27</w:t>
        </w:r>
        <w:r>
          <w:rPr>
            <w:noProof/>
            <w:webHidden/>
          </w:rPr>
          <w:fldChar w:fldCharType="end"/>
        </w:r>
      </w:hyperlink>
    </w:p>
    <w:p w14:paraId="65633D77" w14:textId="0DCA6E56" w:rsidR="00954B9C" w:rsidRDefault="00954B9C">
      <w:pPr>
        <w:pStyle w:val="TOC2"/>
        <w:rPr>
          <w:rFonts w:asciiTheme="minorHAnsi" w:hAnsiTheme="minorHAnsi"/>
          <w:noProof/>
        </w:rPr>
      </w:pPr>
      <w:hyperlink w:anchor="_Toc111536777" w:history="1">
        <w:r w:rsidRPr="00EC43DA">
          <w:rPr>
            <w:rStyle w:val="Hyperlink"/>
            <w:noProof/>
          </w:rPr>
          <w:t>Transmission and distribution losses for reticulated gases</w:t>
        </w:r>
        <w:r>
          <w:rPr>
            <w:noProof/>
            <w:webHidden/>
          </w:rPr>
          <w:tab/>
        </w:r>
        <w:r>
          <w:rPr>
            <w:noProof/>
            <w:webHidden/>
          </w:rPr>
          <w:fldChar w:fldCharType="begin"/>
        </w:r>
        <w:r>
          <w:rPr>
            <w:noProof/>
            <w:webHidden/>
          </w:rPr>
          <w:instrText xml:space="preserve"> PAGEREF _Toc111536777 \h </w:instrText>
        </w:r>
        <w:r>
          <w:rPr>
            <w:noProof/>
            <w:webHidden/>
          </w:rPr>
        </w:r>
        <w:r>
          <w:rPr>
            <w:noProof/>
            <w:webHidden/>
          </w:rPr>
          <w:fldChar w:fldCharType="separate"/>
        </w:r>
        <w:r>
          <w:rPr>
            <w:noProof/>
            <w:webHidden/>
          </w:rPr>
          <w:t>29</w:t>
        </w:r>
        <w:r>
          <w:rPr>
            <w:noProof/>
            <w:webHidden/>
          </w:rPr>
          <w:fldChar w:fldCharType="end"/>
        </w:r>
      </w:hyperlink>
    </w:p>
    <w:p w14:paraId="2B39E4A9" w14:textId="4DF1FC96" w:rsidR="00954B9C" w:rsidRDefault="00954B9C">
      <w:pPr>
        <w:pStyle w:val="TOC1"/>
      </w:pPr>
      <w:hyperlink w:anchor="_Toc111536778" w:history="1">
        <w:r w:rsidRPr="00EC43DA">
          <w:rPr>
            <w:rStyle w:val="Hyperlink"/>
          </w:rPr>
          <w:t>Refrigerant and other gases use emission factors</w:t>
        </w:r>
        <w:r>
          <w:rPr>
            <w:webHidden/>
          </w:rPr>
          <w:tab/>
        </w:r>
        <w:r>
          <w:rPr>
            <w:webHidden/>
          </w:rPr>
          <w:fldChar w:fldCharType="begin"/>
        </w:r>
        <w:r>
          <w:rPr>
            <w:webHidden/>
          </w:rPr>
          <w:instrText xml:space="preserve"> PAGEREF _Toc111536778 \h </w:instrText>
        </w:r>
        <w:r>
          <w:rPr>
            <w:webHidden/>
          </w:rPr>
        </w:r>
        <w:r>
          <w:rPr>
            <w:webHidden/>
          </w:rPr>
          <w:fldChar w:fldCharType="separate"/>
        </w:r>
        <w:r>
          <w:rPr>
            <w:webHidden/>
          </w:rPr>
          <w:t>31</w:t>
        </w:r>
        <w:r>
          <w:rPr>
            <w:webHidden/>
          </w:rPr>
          <w:fldChar w:fldCharType="end"/>
        </w:r>
      </w:hyperlink>
    </w:p>
    <w:p w14:paraId="6705E67B" w14:textId="7AF74A1B" w:rsidR="00954B9C" w:rsidRDefault="00954B9C">
      <w:pPr>
        <w:pStyle w:val="TOC2"/>
        <w:rPr>
          <w:rFonts w:asciiTheme="minorHAnsi" w:hAnsiTheme="minorHAnsi"/>
          <w:noProof/>
        </w:rPr>
      </w:pPr>
      <w:hyperlink w:anchor="_Toc111536779" w:history="1">
        <w:r w:rsidRPr="00EC43DA">
          <w:rPr>
            <w:rStyle w:val="Hyperlink"/>
            <w:noProof/>
          </w:rPr>
          <w:t>Overview of changes since previous update</w:t>
        </w:r>
        <w:r>
          <w:rPr>
            <w:noProof/>
            <w:webHidden/>
          </w:rPr>
          <w:tab/>
        </w:r>
        <w:r>
          <w:rPr>
            <w:noProof/>
            <w:webHidden/>
          </w:rPr>
          <w:fldChar w:fldCharType="begin"/>
        </w:r>
        <w:r>
          <w:rPr>
            <w:noProof/>
            <w:webHidden/>
          </w:rPr>
          <w:instrText xml:space="preserve"> PAGEREF _Toc111536779 \h </w:instrText>
        </w:r>
        <w:r>
          <w:rPr>
            <w:noProof/>
            <w:webHidden/>
          </w:rPr>
        </w:r>
        <w:r>
          <w:rPr>
            <w:noProof/>
            <w:webHidden/>
          </w:rPr>
          <w:fldChar w:fldCharType="separate"/>
        </w:r>
        <w:r>
          <w:rPr>
            <w:noProof/>
            <w:webHidden/>
          </w:rPr>
          <w:t>31</w:t>
        </w:r>
        <w:r>
          <w:rPr>
            <w:noProof/>
            <w:webHidden/>
          </w:rPr>
          <w:fldChar w:fldCharType="end"/>
        </w:r>
      </w:hyperlink>
    </w:p>
    <w:p w14:paraId="6867FAA3" w14:textId="04523213" w:rsidR="00954B9C" w:rsidRDefault="00954B9C">
      <w:pPr>
        <w:pStyle w:val="TOC2"/>
        <w:rPr>
          <w:rFonts w:asciiTheme="minorHAnsi" w:hAnsiTheme="minorHAnsi"/>
          <w:noProof/>
        </w:rPr>
      </w:pPr>
      <w:hyperlink w:anchor="_Toc111536780" w:history="1">
        <w:r w:rsidRPr="00EC43DA">
          <w:rPr>
            <w:rStyle w:val="Hyperlink"/>
            <w:noProof/>
          </w:rPr>
          <w:t>Refrigerant use</w:t>
        </w:r>
        <w:r>
          <w:rPr>
            <w:noProof/>
            <w:webHidden/>
          </w:rPr>
          <w:tab/>
        </w:r>
        <w:r>
          <w:rPr>
            <w:noProof/>
            <w:webHidden/>
          </w:rPr>
          <w:fldChar w:fldCharType="begin"/>
        </w:r>
        <w:r>
          <w:rPr>
            <w:noProof/>
            <w:webHidden/>
          </w:rPr>
          <w:instrText xml:space="preserve"> PAGEREF _Toc111536780 \h </w:instrText>
        </w:r>
        <w:r>
          <w:rPr>
            <w:noProof/>
            <w:webHidden/>
          </w:rPr>
        </w:r>
        <w:r>
          <w:rPr>
            <w:noProof/>
            <w:webHidden/>
          </w:rPr>
          <w:fldChar w:fldCharType="separate"/>
        </w:r>
        <w:r>
          <w:rPr>
            <w:noProof/>
            <w:webHidden/>
          </w:rPr>
          <w:t>31</w:t>
        </w:r>
        <w:r>
          <w:rPr>
            <w:noProof/>
            <w:webHidden/>
          </w:rPr>
          <w:fldChar w:fldCharType="end"/>
        </w:r>
      </w:hyperlink>
    </w:p>
    <w:p w14:paraId="78072603" w14:textId="179F882A" w:rsidR="00954B9C" w:rsidRDefault="00954B9C">
      <w:pPr>
        <w:pStyle w:val="TOC2"/>
        <w:rPr>
          <w:rFonts w:asciiTheme="minorHAnsi" w:hAnsiTheme="minorHAnsi"/>
          <w:noProof/>
        </w:rPr>
      </w:pPr>
      <w:hyperlink w:anchor="_Toc111536781" w:history="1">
        <w:r w:rsidRPr="00EC43DA">
          <w:rPr>
            <w:rStyle w:val="Hyperlink"/>
            <w:noProof/>
          </w:rPr>
          <w:t>Medical gases use</w:t>
        </w:r>
        <w:r>
          <w:rPr>
            <w:noProof/>
            <w:webHidden/>
          </w:rPr>
          <w:tab/>
        </w:r>
        <w:r>
          <w:rPr>
            <w:noProof/>
            <w:webHidden/>
          </w:rPr>
          <w:fldChar w:fldCharType="begin"/>
        </w:r>
        <w:r>
          <w:rPr>
            <w:noProof/>
            <w:webHidden/>
          </w:rPr>
          <w:instrText xml:space="preserve"> PAGEREF _Toc111536781 \h </w:instrText>
        </w:r>
        <w:r>
          <w:rPr>
            <w:noProof/>
            <w:webHidden/>
          </w:rPr>
        </w:r>
        <w:r>
          <w:rPr>
            <w:noProof/>
            <w:webHidden/>
          </w:rPr>
          <w:fldChar w:fldCharType="separate"/>
        </w:r>
        <w:r>
          <w:rPr>
            <w:noProof/>
            <w:webHidden/>
          </w:rPr>
          <w:t>37</w:t>
        </w:r>
        <w:r>
          <w:rPr>
            <w:noProof/>
            <w:webHidden/>
          </w:rPr>
          <w:fldChar w:fldCharType="end"/>
        </w:r>
      </w:hyperlink>
    </w:p>
    <w:p w14:paraId="454A4962" w14:textId="66BF8E1E" w:rsidR="00954B9C" w:rsidRDefault="00954B9C">
      <w:pPr>
        <w:pStyle w:val="TOC1"/>
      </w:pPr>
      <w:hyperlink w:anchor="_Toc111536782" w:history="1">
        <w:r w:rsidRPr="00EC43DA">
          <w:rPr>
            <w:rStyle w:val="Hyperlink"/>
          </w:rPr>
          <w:t>Purchased electricity, heat and steam emission factors</w:t>
        </w:r>
        <w:r>
          <w:rPr>
            <w:webHidden/>
          </w:rPr>
          <w:tab/>
        </w:r>
        <w:r>
          <w:rPr>
            <w:webHidden/>
          </w:rPr>
          <w:fldChar w:fldCharType="begin"/>
        </w:r>
        <w:r>
          <w:rPr>
            <w:webHidden/>
          </w:rPr>
          <w:instrText xml:space="preserve"> PAGEREF _Toc111536782 \h </w:instrText>
        </w:r>
        <w:r>
          <w:rPr>
            <w:webHidden/>
          </w:rPr>
        </w:r>
        <w:r>
          <w:rPr>
            <w:webHidden/>
          </w:rPr>
          <w:fldChar w:fldCharType="separate"/>
        </w:r>
        <w:r>
          <w:rPr>
            <w:webHidden/>
          </w:rPr>
          <w:t>39</w:t>
        </w:r>
        <w:r>
          <w:rPr>
            <w:webHidden/>
          </w:rPr>
          <w:fldChar w:fldCharType="end"/>
        </w:r>
      </w:hyperlink>
    </w:p>
    <w:p w14:paraId="4DEE1E06" w14:textId="527ACA14" w:rsidR="00954B9C" w:rsidRDefault="00954B9C">
      <w:pPr>
        <w:pStyle w:val="TOC2"/>
        <w:rPr>
          <w:rFonts w:asciiTheme="minorHAnsi" w:hAnsiTheme="minorHAnsi"/>
          <w:noProof/>
        </w:rPr>
      </w:pPr>
      <w:hyperlink w:anchor="_Toc111536783" w:history="1">
        <w:r w:rsidRPr="00EC43DA">
          <w:rPr>
            <w:rStyle w:val="Hyperlink"/>
            <w:noProof/>
          </w:rPr>
          <w:t>Overview of changes since previous update</w:t>
        </w:r>
        <w:r>
          <w:rPr>
            <w:noProof/>
            <w:webHidden/>
          </w:rPr>
          <w:tab/>
        </w:r>
        <w:r>
          <w:rPr>
            <w:noProof/>
            <w:webHidden/>
          </w:rPr>
          <w:fldChar w:fldCharType="begin"/>
        </w:r>
        <w:r>
          <w:rPr>
            <w:noProof/>
            <w:webHidden/>
          </w:rPr>
          <w:instrText xml:space="preserve"> PAGEREF _Toc111536783 \h </w:instrText>
        </w:r>
        <w:r>
          <w:rPr>
            <w:noProof/>
            <w:webHidden/>
          </w:rPr>
        </w:r>
        <w:r>
          <w:rPr>
            <w:noProof/>
            <w:webHidden/>
          </w:rPr>
          <w:fldChar w:fldCharType="separate"/>
        </w:r>
        <w:r>
          <w:rPr>
            <w:noProof/>
            <w:webHidden/>
          </w:rPr>
          <w:t>39</w:t>
        </w:r>
        <w:r>
          <w:rPr>
            <w:noProof/>
            <w:webHidden/>
          </w:rPr>
          <w:fldChar w:fldCharType="end"/>
        </w:r>
      </w:hyperlink>
    </w:p>
    <w:p w14:paraId="4302BBD3" w14:textId="71D1F3DD" w:rsidR="00954B9C" w:rsidRDefault="00954B9C">
      <w:pPr>
        <w:pStyle w:val="TOC2"/>
        <w:rPr>
          <w:rFonts w:asciiTheme="minorHAnsi" w:hAnsiTheme="minorHAnsi"/>
          <w:noProof/>
        </w:rPr>
      </w:pPr>
      <w:hyperlink w:anchor="_Toc111536784" w:history="1">
        <w:r w:rsidRPr="00EC43DA">
          <w:rPr>
            <w:rStyle w:val="Hyperlink"/>
            <w:noProof/>
          </w:rPr>
          <w:t>Indirect Scope 2 emissions from purchased electricity from the New Zealand grid</w:t>
        </w:r>
        <w:r>
          <w:rPr>
            <w:noProof/>
            <w:webHidden/>
          </w:rPr>
          <w:tab/>
        </w:r>
        <w:r>
          <w:rPr>
            <w:noProof/>
            <w:webHidden/>
          </w:rPr>
          <w:fldChar w:fldCharType="begin"/>
        </w:r>
        <w:r>
          <w:rPr>
            <w:noProof/>
            <w:webHidden/>
          </w:rPr>
          <w:instrText xml:space="preserve"> PAGEREF _Toc111536784 \h </w:instrText>
        </w:r>
        <w:r>
          <w:rPr>
            <w:noProof/>
            <w:webHidden/>
          </w:rPr>
        </w:r>
        <w:r>
          <w:rPr>
            <w:noProof/>
            <w:webHidden/>
          </w:rPr>
          <w:fldChar w:fldCharType="separate"/>
        </w:r>
        <w:r>
          <w:rPr>
            <w:noProof/>
            <w:webHidden/>
          </w:rPr>
          <w:t>40</w:t>
        </w:r>
        <w:r>
          <w:rPr>
            <w:noProof/>
            <w:webHidden/>
          </w:rPr>
          <w:fldChar w:fldCharType="end"/>
        </w:r>
      </w:hyperlink>
    </w:p>
    <w:p w14:paraId="5AEC59DA" w14:textId="0A2EE023" w:rsidR="00954B9C" w:rsidRDefault="00954B9C">
      <w:pPr>
        <w:pStyle w:val="TOC2"/>
        <w:rPr>
          <w:rFonts w:asciiTheme="minorHAnsi" w:hAnsiTheme="minorHAnsi"/>
          <w:noProof/>
        </w:rPr>
      </w:pPr>
      <w:hyperlink w:anchor="_Toc111536785" w:history="1">
        <w:r w:rsidRPr="00EC43DA">
          <w:rPr>
            <w:rStyle w:val="Hyperlink"/>
            <w:noProof/>
          </w:rPr>
          <w:t>Transmission and distribution losses for electricity</w:t>
        </w:r>
        <w:r>
          <w:rPr>
            <w:noProof/>
            <w:webHidden/>
          </w:rPr>
          <w:tab/>
        </w:r>
        <w:r>
          <w:rPr>
            <w:noProof/>
            <w:webHidden/>
          </w:rPr>
          <w:fldChar w:fldCharType="begin"/>
        </w:r>
        <w:r>
          <w:rPr>
            <w:noProof/>
            <w:webHidden/>
          </w:rPr>
          <w:instrText xml:space="preserve"> PAGEREF _Toc111536785 \h </w:instrText>
        </w:r>
        <w:r>
          <w:rPr>
            <w:noProof/>
            <w:webHidden/>
          </w:rPr>
        </w:r>
        <w:r>
          <w:rPr>
            <w:noProof/>
            <w:webHidden/>
          </w:rPr>
          <w:fldChar w:fldCharType="separate"/>
        </w:r>
        <w:r>
          <w:rPr>
            <w:noProof/>
            <w:webHidden/>
          </w:rPr>
          <w:t>43</w:t>
        </w:r>
        <w:r>
          <w:rPr>
            <w:noProof/>
            <w:webHidden/>
          </w:rPr>
          <w:fldChar w:fldCharType="end"/>
        </w:r>
      </w:hyperlink>
    </w:p>
    <w:p w14:paraId="383FF5FC" w14:textId="23C97E2B" w:rsidR="00954B9C" w:rsidRDefault="00954B9C">
      <w:pPr>
        <w:pStyle w:val="TOC2"/>
        <w:rPr>
          <w:rFonts w:asciiTheme="minorHAnsi" w:hAnsiTheme="minorHAnsi"/>
          <w:noProof/>
        </w:rPr>
      </w:pPr>
      <w:hyperlink w:anchor="_Toc111536786" w:history="1">
        <w:r w:rsidRPr="00EC43DA">
          <w:rPr>
            <w:rStyle w:val="Hyperlink"/>
            <w:noProof/>
          </w:rPr>
          <w:t>Imported heat and steam</w:t>
        </w:r>
        <w:r>
          <w:rPr>
            <w:noProof/>
            <w:webHidden/>
          </w:rPr>
          <w:tab/>
        </w:r>
        <w:r>
          <w:rPr>
            <w:noProof/>
            <w:webHidden/>
          </w:rPr>
          <w:fldChar w:fldCharType="begin"/>
        </w:r>
        <w:r>
          <w:rPr>
            <w:noProof/>
            <w:webHidden/>
          </w:rPr>
          <w:instrText xml:space="preserve"> PAGEREF _Toc111536786 \h </w:instrText>
        </w:r>
        <w:r>
          <w:rPr>
            <w:noProof/>
            <w:webHidden/>
          </w:rPr>
        </w:r>
        <w:r>
          <w:rPr>
            <w:noProof/>
            <w:webHidden/>
          </w:rPr>
          <w:fldChar w:fldCharType="separate"/>
        </w:r>
        <w:r>
          <w:rPr>
            <w:noProof/>
            <w:webHidden/>
          </w:rPr>
          <w:t>44</w:t>
        </w:r>
        <w:r>
          <w:rPr>
            <w:noProof/>
            <w:webHidden/>
          </w:rPr>
          <w:fldChar w:fldCharType="end"/>
        </w:r>
      </w:hyperlink>
    </w:p>
    <w:p w14:paraId="08CC8CB5" w14:textId="0B300863" w:rsidR="00954B9C" w:rsidRDefault="00954B9C">
      <w:pPr>
        <w:pStyle w:val="TOC2"/>
        <w:rPr>
          <w:rFonts w:asciiTheme="minorHAnsi" w:hAnsiTheme="minorHAnsi"/>
          <w:noProof/>
        </w:rPr>
      </w:pPr>
      <w:hyperlink w:anchor="_Toc111536787" w:history="1">
        <w:r w:rsidRPr="00EC43DA">
          <w:rPr>
            <w:rStyle w:val="Hyperlink"/>
            <w:noProof/>
          </w:rPr>
          <w:t>Geothermal energy</w:t>
        </w:r>
        <w:r>
          <w:rPr>
            <w:noProof/>
            <w:webHidden/>
          </w:rPr>
          <w:tab/>
        </w:r>
        <w:r>
          <w:rPr>
            <w:noProof/>
            <w:webHidden/>
          </w:rPr>
          <w:fldChar w:fldCharType="begin"/>
        </w:r>
        <w:r>
          <w:rPr>
            <w:noProof/>
            <w:webHidden/>
          </w:rPr>
          <w:instrText xml:space="preserve"> PAGEREF _Toc111536787 \h </w:instrText>
        </w:r>
        <w:r>
          <w:rPr>
            <w:noProof/>
            <w:webHidden/>
          </w:rPr>
        </w:r>
        <w:r>
          <w:rPr>
            <w:noProof/>
            <w:webHidden/>
          </w:rPr>
          <w:fldChar w:fldCharType="separate"/>
        </w:r>
        <w:r>
          <w:rPr>
            <w:noProof/>
            <w:webHidden/>
          </w:rPr>
          <w:t>44</w:t>
        </w:r>
        <w:r>
          <w:rPr>
            <w:noProof/>
            <w:webHidden/>
          </w:rPr>
          <w:fldChar w:fldCharType="end"/>
        </w:r>
      </w:hyperlink>
    </w:p>
    <w:p w14:paraId="2A3EAC29" w14:textId="3AEBF08B" w:rsidR="00954B9C" w:rsidRDefault="00954B9C">
      <w:pPr>
        <w:pStyle w:val="TOC1"/>
      </w:pPr>
      <w:hyperlink w:anchor="_Toc111536788" w:history="1">
        <w:r w:rsidRPr="00EC43DA">
          <w:rPr>
            <w:rStyle w:val="Hyperlink"/>
          </w:rPr>
          <w:t>Indirect business-related emission factors</w:t>
        </w:r>
        <w:r>
          <w:rPr>
            <w:webHidden/>
          </w:rPr>
          <w:tab/>
        </w:r>
        <w:r>
          <w:rPr>
            <w:webHidden/>
          </w:rPr>
          <w:fldChar w:fldCharType="begin"/>
        </w:r>
        <w:r>
          <w:rPr>
            <w:webHidden/>
          </w:rPr>
          <w:instrText xml:space="preserve"> PAGEREF _Toc111536788 \h </w:instrText>
        </w:r>
        <w:r>
          <w:rPr>
            <w:webHidden/>
          </w:rPr>
        </w:r>
        <w:r>
          <w:rPr>
            <w:webHidden/>
          </w:rPr>
          <w:fldChar w:fldCharType="separate"/>
        </w:r>
        <w:r>
          <w:rPr>
            <w:webHidden/>
          </w:rPr>
          <w:t>45</w:t>
        </w:r>
        <w:r>
          <w:rPr>
            <w:webHidden/>
          </w:rPr>
          <w:fldChar w:fldCharType="end"/>
        </w:r>
      </w:hyperlink>
    </w:p>
    <w:p w14:paraId="415F6168" w14:textId="4AD9182E" w:rsidR="00954B9C" w:rsidRDefault="00954B9C">
      <w:pPr>
        <w:pStyle w:val="TOC2"/>
        <w:rPr>
          <w:rFonts w:asciiTheme="minorHAnsi" w:hAnsiTheme="minorHAnsi"/>
          <w:noProof/>
        </w:rPr>
      </w:pPr>
      <w:hyperlink w:anchor="_Toc111536789" w:history="1">
        <w:r w:rsidRPr="00EC43DA">
          <w:rPr>
            <w:rStyle w:val="Hyperlink"/>
            <w:noProof/>
          </w:rPr>
          <w:t>Overview of changes since previous update</w:t>
        </w:r>
        <w:r>
          <w:rPr>
            <w:noProof/>
            <w:webHidden/>
          </w:rPr>
          <w:tab/>
        </w:r>
        <w:r>
          <w:rPr>
            <w:noProof/>
            <w:webHidden/>
          </w:rPr>
          <w:fldChar w:fldCharType="begin"/>
        </w:r>
        <w:r>
          <w:rPr>
            <w:noProof/>
            <w:webHidden/>
          </w:rPr>
          <w:instrText xml:space="preserve"> PAGEREF _Toc111536789 \h </w:instrText>
        </w:r>
        <w:r>
          <w:rPr>
            <w:noProof/>
            <w:webHidden/>
          </w:rPr>
        </w:r>
        <w:r>
          <w:rPr>
            <w:noProof/>
            <w:webHidden/>
          </w:rPr>
          <w:fldChar w:fldCharType="separate"/>
        </w:r>
        <w:r>
          <w:rPr>
            <w:noProof/>
            <w:webHidden/>
          </w:rPr>
          <w:t>45</w:t>
        </w:r>
        <w:r>
          <w:rPr>
            <w:noProof/>
            <w:webHidden/>
          </w:rPr>
          <w:fldChar w:fldCharType="end"/>
        </w:r>
      </w:hyperlink>
    </w:p>
    <w:p w14:paraId="0328BBAF" w14:textId="0BBC0867" w:rsidR="00954B9C" w:rsidRDefault="00954B9C">
      <w:pPr>
        <w:pStyle w:val="TOC2"/>
        <w:rPr>
          <w:rFonts w:asciiTheme="minorHAnsi" w:hAnsiTheme="minorHAnsi"/>
          <w:noProof/>
        </w:rPr>
      </w:pPr>
      <w:hyperlink w:anchor="_Toc111536790" w:history="1">
        <w:r w:rsidRPr="00EC43DA">
          <w:rPr>
            <w:rStyle w:val="Hyperlink"/>
            <w:noProof/>
          </w:rPr>
          <w:t>Emissions associated with employees working from home</w:t>
        </w:r>
        <w:r>
          <w:rPr>
            <w:noProof/>
            <w:webHidden/>
          </w:rPr>
          <w:tab/>
        </w:r>
        <w:r>
          <w:rPr>
            <w:noProof/>
            <w:webHidden/>
          </w:rPr>
          <w:fldChar w:fldCharType="begin"/>
        </w:r>
        <w:r>
          <w:rPr>
            <w:noProof/>
            <w:webHidden/>
          </w:rPr>
          <w:instrText xml:space="preserve"> PAGEREF _Toc111536790 \h </w:instrText>
        </w:r>
        <w:r>
          <w:rPr>
            <w:noProof/>
            <w:webHidden/>
          </w:rPr>
        </w:r>
        <w:r>
          <w:rPr>
            <w:noProof/>
            <w:webHidden/>
          </w:rPr>
          <w:fldChar w:fldCharType="separate"/>
        </w:r>
        <w:r>
          <w:rPr>
            <w:noProof/>
            <w:webHidden/>
          </w:rPr>
          <w:t>45</w:t>
        </w:r>
        <w:r>
          <w:rPr>
            <w:noProof/>
            <w:webHidden/>
          </w:rPr>
          <w:fldChar w:fldCharType="end"/>
        </w:r>
      </w:hyperlink>
    </w:p>
    <w:p w14:paraId="4CB4E770" w14:textId="42FB2A09" w:rsidR="00954B9C" w:rsidRDefault="00954B9C">
      <w:pPr>
        <w:pStyle w:val="TOC2"/>
        <w:rPr>
          <w:rFonts w:asciiTheme="minorHAnsi" w:hAnsiTheme="minorHAnsi"/>
          <w:noProof/>
        </w:rPr>
      </w:pPr>
      <w:hyperlink w:anchor="_Toc111536791" w:history="1">
        <w:r w:rsidRPr="00EC43DA">
          <w:rPr>
            <w:rStyle w:val="Hyperlink"/>
            <w:noProof/>
          </w:rPr>
          <w:t>Guidance on the use of cloud-based data centres</w:t>
        </w:r>
        <w:r>
          <w:rPr>
            <w:noProof/>
            <w:webHidden/>
          </w:rPr>
          <w:tab/>
        </w:r>
        <w:r>
          <w:rPr>
            <w:noProof/>
            <w:webHidden/>
          </w:rPr>
          <w:fldChar w:fldCharType="begin"/>
        </w:r>
        <w:r>
          <w:rPr>
            <w:noProof/>
            <w:webHidden/>
          </w:rPr>
          <w:instrText xml:space="preserve"> PAGEREF _Toc111536791 \h </w:instrText>
        </w:r>
        <w:r>
          <w:rPr>
            <w:noProof/>
            <w:webHidden/>
          </w:rPr>
        </w:r>
        <w:r>
          <w:rPr>
            <w:noProof/>
            <w:webHidden/>
          </w:rPr>
          <w:fldChar w:fldCharType="separate"/>
        </w:r>
        <w:r>
          <w:rPr>
            <w:noProof/>
            <w:webHidden/>
          </w:rPr>
          <w:t>48</w:t>
        </w:r>
        <w:r>
          <w:rPr>
            <w:noProof/>
            <w:webHidden/>
          </w:rPr>
          <w:fldChar w:fldCharType="end"/>
        </w:r>
      </w:hyperlink>
    </w:p>
    <w:p w14:paraId="531F9CBD" w14:textId="210D9801" w:rsidR="00954B9C" w:rsidRDefault="00954B9C">
      <w:pPr>
        <w:pStyle w:val="TOC1"/>
      </w:pPr>
      <w:hyperlink w:anchor="_Toc111536792" w:history="1">
        <w:r w:rsidRPr="00EC43DA">
          <w:rPr>
            <w:rStyle w:val="Hyperlink"/>
          </w:rPr>
          <w:t>Travel emission factors</w:t>
        </w:r>
        <w:r>
          <w:rPr>
            <w:webHidden/>
          </w:rPr>
          <w:tab/>
        </w:r>
        <w:r>
          <w:rPr>
            <w:webHidden/>
          </w:rPr>
          <w:fldChar w:fldCharType="begin"/>
        </w:r>
        <w:r>
          <w:rPr>
            <w:webHidden/>
          </w:rPr>
          <w:instrText xml:space="preserve"> PAGEREF _Toc111536792 \h </w:instrText>
        </w:r>
        <w:r>
          <w:rPr>
            <w:webHidden/>
          </w:rPr>
        </w:r>
        <w:r>
          <w:rPr>
            <w:webHidden/>
          </w:rPr>
          <w:fldChar w:fldCharType="separate"/>
        </w:r>
        <w:r>
          <w:rPr>
            <w:webHidden/>
          </w:rPr>
          <w:t>49</w:t>
        </w:r>
        <w:r>
          <w:rPr>
            <w:webHidden/>
          </w:rPr>
          <w:fldChar w:fldCharType="end"/>
        </w:r>
      </w:hyperlink>
    </w:p>
    <w:p w14:paraId="7ECCE276" w14:textId="7AFACE26" w:rsidR="00954B9C" w:rsidRDefault="00954B9C">
      <w:pPr>
        <w:pStyle w:val="TOC2"/>
        <w:rPr>
          <w:rFonts w:asciiTheme="minorHAnsi" w:hAnsiTheme="minorHAnsi"/>
          <w:noProof/>
        </w:rPr>
      </w:pPr>
      <w:hyperlink w:anchor="_Toc111536793" w:history="1">
        <w:r w:rsidRPr="00EC43DA">
          <w:rPr>
            <w:rStyle w:val="Hyperlink"/>
            <w:noProof/>
          </w:rPr>
          <w:t>Overview of changes since previous update</w:t>
        </w:r>
        <w:r>
          <w:rPr>
            <w:noProof/>
            <w:webHidden/>
          </w:rPr>
          <w:tab/>
        </w:r>
        <w:r>
          <w:rPr>
            <w:noProof/>
            <w:webHidden/>
          </w:rPr>
          <w:fldChar w:fldCharType="begin"/>
        </w:r>
        <w:r>
          <w:rPr>
            <w:noProof/>
            <w:webHidden/>
          </w:rPr>
          <w:instrText xml:space="preserve"> PAGEREF _Toc111536793 \h </w:instrText>
        </w:r>
        <w:r>
          <w:rPr>
            <w:noProof/>
            <w:webHidden/>
          </w:rPr>
        </w:r>
        <w:r>
          <w:rPr>
            <w:noProof/>
            <w:webHidden/>
          </w:rPr>
          <w:fldChar w:fldCharType="separate"/>
        </w:r>
        <w:r>
          <w:rPr>
            <w:noProof/>
            <w:webHidden/>
          </w:rPr>
          <w:t>49</w:t>
        </w:r>
        <w:r>
          <w:rPr>
            <w:noProof/>
            <w:webHidden/>
          </w:rPr>
          <w:fldChar w:fldCharType="end"/>
        </w:r>
      </w:hyperlink>
    </w:p>
    <w:p w14:paraId="1518C6F9" w14:textId="6AE44CA0" w:rsidR="00954B9C" w:rsidRDefault="00954B9C">
      <w:pPr>
        <w:pStyle w:val="TOC2"/>
        <w:rPr>
          <w:rFonts w:asciiTheme="minorHAnsi" w:hAnsiTheme="minorHAnsi"/>
          <w:noProof/>
        </w:rPr>
      </w:pPr>
      <w:hyperlink w:anchor="_Toc111536794" w:history="1">
        <w:r w:rsidRPr="00EC43DA">
          <w:rPr>
            <w:rStyle w:val="Hyperlink"/>
            <w:noProof/>
          </w:rPr>
          <w:t>Passenger vehicles</w:t>
        </w:r>
        <w:r>
          <w:rPr>
            <w:noProof/>
            <w:webHidden/>
          </w:rPr>
          <w:tab/>
        </w:r>
        <w:r>
          <w:rPr>
            <w:noProof/>
            <w:webHidden/>
          </w:rPr>
          <w:fldChar w:fldCharType="begin"/>
        </w:r>
        <w:r>
          <w:rPr>
            <w:noProof/>
            <w:webHidden/>
          </w:rPr>
          <w:instrText xml:space="preserve"> PAGEREF _Toc111536794 \h </w:instrText>
        </w:r>
        <w:r>
          <w:rPr>
            <w:noProof/>
            <w:webHidden/>
          </w:rPr>
        </w:r>
        <w:r>
          <w:rPr>
            <w:noProof/>
            <w:webHidden/>
          </w:rPr>
          <w:fldChar w:fldCharType="separate"/>
        </w:r>
        <w:r>
          <w:rPr>
            <w:noProof/>
            <w:webHidden/>
          </w:rPr>
          <w:t>49</w:t>
        </w:r>
        <w:r>
          <w:rPr>
            <w:noProof/>
            <w:webHidden/>
          </w:rPr>
          <w:fldChar w:fldCharType="end"/>
        </w:r>
      </w:hyperlink>
    </w:p>
    <w:p w14:paraId="72960CE7" w14:textId="5E3027BD" w:rsidR="00954B9C" w:rsidRDefault="00954B9C">
      <w:pPr>
        <w:pStyle w:val="TOC2"/>
        <w:rPr>
          <w:rFonts w:asciiTheme="minorHAnsi" w:hAnsiTheme="minorHAnsi"/>
          <w:noProof/>
        </w:rPr>
      </w:pPr>
      <w:hyperlink w:anchor="_Toc111536795" w:history="1">
        <w:r w:rsidRPr="00EC43DA">
          <w:rPr>
            <w:rStyle w:val="Hyperlink"/>
            <w:noProof/>
          </w:rPr>
          <w:t>Public transport passenger</w:t>
        </w:r>
        <w:r>
          <w:rPr>
            <w:noProof/>
            <w:webHidden/>
          </w:rPr>
          <w:tab/>
        </w:r>
        <w:r>
          <w:rPr>
            <w:noProof/>
            <w:webHidden/>
          </w:rPr>
          <w:fldChar w:fldCharType="begin"/>
        </w:r>
        <w:r>
          <w:rPr>
            <w:noProof/>
            <w:webHidden/>
          </w:rPr>
          <w:instrText xml:space="preserve"> PAGEREF _Toc111536795 \h </w:instrText>
        </w:r>
        <w:r>
          <w:rPr>
            <w:noProof/>
            <w:webHidden/>
          </w:rPr>
        </w:r>
        <w:r>
          <w:rPr>
            <w:noProof/>
            <w:webHidden/>
          </w:rPr>
          <w:fldChar w:fldCharType="separate"/>
        </w:r>
        <w:r>
          <w:rPr>
            <w:noProof/>
            <w:webHidden/>
          </w:rPr>
          <w:t>59</w:t>
        </w:r>
        <w:r>
          <w:rPr>
            <w:noProof/>
            <w:webHidden/>
          </w:rPr>
          <w:fldChar w:fldCharType="end"/>
        </w:r>
      </w:hyperlink>
    </w:p>
    <w:p w14:paraId="017A00F1" w14:textId="4A27EABB" w:rsidR="00954B9C" w:rsidRDefault="00954B9C">
      <w:pPr>
        <w:pStyle w:val="TOC2"/>
        <w:rPr>
          <w:rFonts w:asciiTheme="minorHAnsi" w:hAnsiTheme="minorHAnsi"/>
          <w:noProof/>
        </w:rPr>
      </w:pPr>
      <w:hyperlink w:anchor="_Toc111536796" w:history="1">
        <w:r w:rsidRPr="00EC43DA">
          <w:rPr>
            <w:rStyle w:val="Hyperlink"/>
            <w:noProof/>
          </w:rPr>
          <w:t>Public transport vehicles</w:t>
        </w:r>
        <w:r>
          <w:rPr>
            <w:noProof/>
            <w:webHidden/>
          </w:rPr>
          <w:tab/>
        </w:r>
        <w:r>
          <w:rPr>
            <w:noProof/>
            <w:webHidden/>
          </w:rPr>
          <w:fldChar w:fldCharType="begin"/>
        </w:r>
        <w:r>
          <w:rPr>
            <w:noProof/>
            <w:webHidden/>
          </w:rPr>
          <w:instrText xml:space="preserve"> PAGEREF _Toc111536796 \h </w:instrText>
        </w:r>
        <w:r>
          <w:rPr>
            <w:noProof/>
            <w:webHidden/>
          </w:rPr>
        </w:r>
        <w:r>
          <w:rPr>
            <w:noProof/>
            <w:webHidden/>
          </w:rPr>
          <w:fldChar w:fldCharType="separate"/>
        </w:r>
        <w:r>
          <w:rPr>
            <w:noProof/>
            <w:webHidden/>
          </w:rPr>
          <w:t>63</w:t>
        </w:r>
        <w:r>
          <w:rPr>
            <w:noProof/>
            <w:webHidden/>
          </w:rPr>
          <w:fldChar w:fldCharType="end"/>
        </w:r>
      </w:hyperlink>
    </w:p>
    <w:p w14:paraId="4082DD51" w14:textId="7953FF36" w:rsidR="00954B9C" w:rsidRDefault="00954B9C">
      <w:pPr>
        <w:pStyle w:val="TOC2"/>
        <w:rPr>
          <w:rFonts w:asciiTheme="minorHAnsi" w:hAnsiTheme="minorHAnsi"/>
          <w:noProof/>
        </w:rPr>
      </w:pPr>
      <w:hyperlink w:anchor="_Toc111536797" w:history="1">
        <w:r w:rsidRPr="00EC43DA">
          <w:rPr>
            <w:rStyle w:val="Hyperlink"/>
            <w:noProof/>
          </w:rPr>
          <w:t>Air travel</w:t>
        </w:r>
        <w:r>
          <w:rPr>
            <w:noProof/>
            <w:webHidden/>
          </w:rPr>
          <w:tab/>
        </w:r>
        <w:r>
          <w:rPr>
            <w:noProof/>
            <w:webHidden/>
          </w:rPr>
          <w:fldChar w:fldCharType="begin"/>
        </w:r>
        <w:r>
          <w:rPr>
            <w:noProof/>
            <w:webHidden/>
          </w:rPr>
          <w:instrText xml:space="preserve"> PAGEREF _Toc111536797 \h </w:instrText>
        </w:r>
        <w:r>
          <w:rPr>
            <w:noProof/>
            <w:webHidden/>
          </w:rPr>
        </w:r>
        <w:r>
          <w:rPr>
            <w:noProof/>
            <w:webHidden/>
          </w:rPr>
          <w:fldChar w:fldCharType="separate"/>
        </w:r>
        <w:r>
          <w:rPr>
            <w:noProof/>
            <w:webHidden/>
          </w:rPr>
          <w:t>64</w:t>
        </w:r>
        <w:r>
          <w:rPr>
            <w:noProof/>
            <w:webHidden/>
          </w:rPr>
          <w:fldChar w:fldCharType="end"/>
        </w:r>
      </w:hyperlink>
    </w:p>
    <w:p w14:paraId="77713601" w14:textId="5C10E476" w:rsidR="00954B9C" w:rsidRDefault="00954B9C">
      <w:pPr>
        <w:pStyle w:val="TOC2"/>
        <w:tabs>
          <w:tab w:val="left" w:pos="1134"/>
        </w:tabs>
        <w:rPr>
          <w:rFonts w:asciiTheme="minorHAnsi" w:hAnsiTheme="minorHAnsi"/>
          <w:noProof/>
        </w:rPr>
      </w:pPr>
      <w:hyperlink w:anchor="_Toc111536798" w:history="1">
        <w:r w:rsidRPr="00EC43DA">
          <w:rPr>
            <w:rStyle w:val="Hyperlink"/>
            <w:noProof/>
          </w:rPr>
          <w:t>7.6</w:t>
        </w:r>
        <w:r>
          <w:rPr>
            <w:rFonts w:asciiTheme="minorHAnsi" w:hAnsiTheme="minorHAnsi"/>
            <w:noProof/>
          </w:rPr>
          <w:tab/>
        </w:r>
        <w:r w:rsidRPr="00EC43DA">
          <w:rPr>
            <w:rStyle w:val="Hyperlink"/>
            <w:noProof/>
          </w:rPr>
          <w:t>Helicopters</w:t>
        </w:r>
        <w:r>
          <w:rPr>
            <w:noProof/>
            <w:webHidden/>
          </w:rPr>
          <w:tab/>
        </w:r>
        <w:r>
          <w:rPr>
            <w:noProof/>
            <w:webHidden/>
          </w:rPr>
          <w:fldChar w:fldCharType="begin"/>
        </w:r>
        <w:r>
          <w:rPr>
            <w:noProof/>
            <w:webHidden/>
          </w:rPr>
          <w:instrText xml:space="preserve"> PAGEREF _Toc111536798 \h </w:instrText>
        </w:r>
        <w:r>
          <w:rPr>
            <w:noProof/>
            <w:webHidden/>
          </w:rPr>
        </w:r>
        <w:r>
          <w:rPr>
            <w:noProof/>
            <w:webHidden/>
          </w:rPr>
          <w:fldChar w:fldCharType="separate"/>
        </w:r>
        <w:r>
          <w:rPr>
            <w:noProof/>
            <w:webHidden/>
          </w:rPr>
          <w:t>74</w:t>
        </w:r>
        <w:r>
          <w:rPr>
            <w:noProof/>
            <w:webHidden/>
          </w:rPr>
          <w:fldChar w:fldCharType="end"/>
        </w:r>
      </w:hyperlink>
    </w:p>
    <w:p w14:paraId="4D31B7E7" w14:textId="3C506D7E" w:rsidR="00954B9C" w:rsidRDefault="00954B9C">
      <w:pPr>
        <w:pStyle w:val="TOC2"/>
        <w:tabs>
          <w:tab w:val="left" w:pos="1134"/>
        </w:tabs>
        <w:rPr>
          <w:rFonts w:asciiTheme="minorHAnsi" w:hAnsiTheme="minorHAnsi"/>
          <w:noProof/>
        </w:rPr>
      </w:pPr>
      <w:hyperlink w:anchor="_Toc111536799" w:history="1">
        <w:r w:rsidRPr="00EC43DA">
          <w:rPr>
            <w:rStyle w:val="Hyperlink"/>
            <w:noProof/>
          </w:rPr>
          <w:t>7.7</w:t>
        </w:r>
        <w:r>
          <w:rPr>
            <w:rFonts w:asciiTheme="minorHAnsi" w:hAnsiTheme="minorHAnsi"/>
            <w:noProof/>
          </w:rPr>
          <w:tab/>
        </w:r>
        <w:r w:rsidRPr="00EC43DA">
          <w:rPr>
            <w:rStyle w:val="Hyperlink"/>
            <w:noProof/>
          </w:rPr>
          <w:t>Accommodation</w:t>
        </w:r>
        <w:r>
          <w:rPr>
            <w:noProof/>
            <w:webHidden/>
          </w:rPr>
          <w:tab/>
        </w:r>
        <w:r>
          <w:rPr>
            <w:noProof/>
            <w:webHidden/>
          </w:rPr>
          <w:fldChar w:fldCharType="begin"/>
        </w:r>
        <w:r>
          <w:rPr>
            <w:noProof/>
            <w:webHidden/>
          </w:rPr>
          <w:instrText xml:space="preserve"> PAGEREF _Toc111536799 \h </w:instrText>
        </w:r>
        <w:r>
          <w:rPr>
            <w:noProof/>
            <w:webHidden/>
          </w:rPr>
        </w:r>
        <w:r>
          <w:rPr>
            <w:noProof/>
            <w:webHidden/>
          </w:rPr>
          <w:fldChar w:fldCharType="separate"/>
        </w:r>
        <w:r>
          <w:rPr>
            <w:noProof/>
            <w:webHidden/>
          </w:rPr>
          <w:t>75</w:t>
        </w:r>
        <w:r>
          <w:rPr>
            <w:noProof/>
            <w:webHidden/>
          </w:rPr>
          <w:fldChar w:fldCharType="end"/>
        </w:r>
      </w:hyperlink>
    </w:p>
    <w:p w14:paraId="0768F65B" w14:textId="11168ED1" w:rsidR="00954B9C" w:rsidRDefault="00954B9C">
      <w:pPr>
        <w:pStyle w:val="TOC1"/>
      </w:pPr>
      <w:hyperlink w:anchor="_Toc111536800" w:history="1">
        <w:r w:rsidRPr="00EC43DA">
          <w:rPr>
            <w:rStyle w:val="Hyperlink"/>
          </w:rPr>
          <w:t>Freight transport emission factors</w:t>
        </w:r>
        <w:r>
          <w:rPr>
            <w:webHidden/>
          </w:rPr>
          <w:tab/>
        </w:r>
        <w:r>
          <w:rPr>
            <w:webHidden/>
          </w:rPr>
          <w:fldChar w:fldCharType="begin"/>
        </w:r>
        <w:r>
          <w:rPr>
            <w:webHidden/>
          </w:rPr>
          <w:instrText xml:space="preserve"> PAGEREF _Toc111536800 \h </w:instrText>
        </w:r>
        <w:r>
          <w:rPr>
            <w:webHidden/>
          </w:rPr>
        </w:r>
        <w:r>
          <w:rPr>
            <w:webHidden/>
          </w:rPr>
          <w:fldChar w:fldCharType="separate"/>
        </w:r>
        <w:r>
          <w:rPr>
            <w:webHidden/>
          </w:rPr>
          <w:t>78</w:t>
        </w:r>
        <w:r>
          <w:rPr>
            <w:webHidden/>
          </w:rPr>
          <w:fldChar w:fldCharType="end"/>
        </w:r>
      </w:hyperlink>
    </w:p>
    <w:p w14:paraId="60BFC7F0" w14:textId="28B4835C" w:rsidR="00954B9C" w:rsidRDefault="00954B9C">
      <w:pPr>
        <w:pStyle w:val="TOC2"/>
        <w:rPr>
          <w:rFonts w:asciiTheme="minorHAnsi" w:hAnsiTheme="minorHAnsi"/>
          <w:noProof/>
        </w:rPr>
      </w:pPr>
      <w:hyperlink w:anchor="_Toc111536801" w:history="1">
        <w:r w:rsidRPr="00EC43DA">
          <w:rPr>
            <w:rStyle w:val="Hyperlink"/>
            <w:noProof/>
          </w:rPr>
          <w:t>Overview of changes since previous update</w:t>
        </w:r>
        <w:r>
          <w:rPr>
            <w:noProof/>
            <w:webHidden/>
          </w:rPr>
          <w:tab/>
        </w:r>
        <w:r>
          <w:rPr>
            <w:noProof/>
            <w:webHidden/>
          </w:rPr>
          <w:fldChar w:fldCharType="begin"/>
        </w:r>
        <w:r>
          <w:rPr>
            <w:noProof/>
            <w:webHidden/>
          </w:rPr>
          <w:instrText xml:space="preserve"> PAGEREF _Toc111536801 \h </w:instrText>
        </w:r>
        <w:r>
          <w:rPr>
            <w:noProof/>
            <w:webHidden/>
          </w:rPr>
        </w:r>
        <w:r>
          <w:rPr>
            <w:noProof/>
            <w:webHidden/>
          </w:rPr>
          <w:fldChar w:fldCharType="separate"/>
        </w:r>
        <w:r>
          <w:rPr>
            <w:noProof/>
            <w:webHidden/>
          </w:rPr>
          <w:t>78</w:t>
        </w:r>
        <w:r>
          <w:rPr>
            <w:noProof/>
            <w:webHidden/>
          </w:rPr>
          <w:fldChar w:fldCharType="end"/>
        </w:r>
      </w:hyperlink>
    </w:p>
    <w:p w14:paraId="38663BF2" w14:textId="4FE93D40" w:rsidR="00954B9C" w:rsidRDefault="00954B9C">
      <w:pPr>
        <w:pStyle w:val="TOC2"/>
        <w:rPr>
          <w:rFonts w:asciiTheme="minorHAnsi" w:hAnsiTheme="minorHAnsi"/>
          <w:noProof/>
        </w:rPr>
      </w:pPr>
      <w:hyperlink w:anchor="_Toc111536802" w:history="1">
        <w:r w:rsidRPr="00EC43DA">
          <w:rPr>
            <w:rStyle w:val="Hyperlink"/>
            <w:noProof/>
          </w:rPr>
          <w:t>Road freight</w:t>
        </w:r>
        <w:r>
          <w:rPr>
            <w:noProof/>
            <w:webHidden/>
          </w:rPr>
          <w:tab/>
        </w:r>
        <w:r>
          <w:rPr>
            <w:noProof/>
            <w:webHidden/>
          </w:rPr>
          <w:fldChar w:fldCharType="begin"/>
        </w:r>
        <w:r>
          <w:rPr>
            <w:noProof/>
            <w:webHidden/>
          </w:rPr>
          <w:instrText xml:space="preserve"> PAGEREF _Toc111536802 \h </w:instrText>
        </w:r>
        <w:r>
          <w:rPr>
            <w:noProof/>
            <w:webHidden/>
          </w:rPr>
        </w:r>
        <w:r>
          <w:rPr>
            <w:noProof/>
            <w:webHidden/>
          </w:rPr>
          <w:fldChar w:fldCharType="separate"/>
        </w:r>
        <w:r>
          <w:rPr>
            <w:noProof/>
            <w:webHidden/>
          </w:rPr>
          <w:t>78</w:t>
        </w:r>
        <w:r>
          <w:rPr>
            <w:noProof/>
            <w:webHidden/>
          </w:rPr>
          <w:fldChar w:fldCharType="end"/>
        </w:r>
      </w:hyperlink>
    </w:p>
    <w:p w14:paraId="4516931F" w14:textId="2039A187" w:rsidR="00954B9C" w:rsidRDefault="00954B9C">
      <w:pPr>
        <w:pStyle w:val="TOC2"/>
        <w:rPr>
          <w:rFonts w:asciiTheme="minorHAnsi" w:hAnsiTheme="minorHAnsi"/>
          <w:noProof/>
        </w:rPr>
      </w:pPr>
      <w:hyperlink w:anchor="_Toc111536803" w:history="1">
        <w:r w:rsidRPr="00EC43DA">
          <w:rPr>
            <w:rStyle w:val="Hyperlink"/>
            <w:noProof/>
          </w:rPr>
          <w:t>Rail freight</w:t>
        </w:r>
        <w:r>
          <w:rPr>
            <w:noProof/>
            <w:webHidden/>
          </w:rPr>
          <w:tab/>
        </w:r>
        <w:r>
          <w:rPr>
            <w:noProof/>
            <w:webHidden/>
          </w:rPr>
          <w:fldChar w:fldCharType="begin"/>
        </w:r>
        <w:r>
          <w:rPr>
            <w:noProof/>
            <w:webHidden/>
          </w:rPr>
          <w:instrText xml:space="preserve"> PAGEREF _Toc111536803 \h </w:instrText>
        </w:r>
        <w:r>
          <w:rPr>
            <w:noProof/>
            <w:webHidden/>
          </w:rPr>
        </w:r>
        <w:r>
          <w:rPr>
            <w:noProof/>
            <w:webHidden/>
          </w:rPr>
          <w:fldChar w:fldCharType="separate"/>
        </w:r>
        <w:r>
          <w:rPr>
            <w:noProof/>
            <w:webHidden/>
          </w:rPr>
          <w:t>89</w:t>
        </w:r>
        <w:r>
          <w:rPr>
            <w:noProof/>
            <w:webHidden/>
          </w:rPr>
          <w:fldChar w:fldCharType="end"/>
        </w:r>
      </w:hyperlink>
    </w:p>
    <w:p w14:paraId="0E16EECC" w14:textId="4C28D61A" w:rsidR="00954B9C" w:rsidRDefault="00954B9C">
      <w:pPr>
        <w:pStyle w:val="TOC2"/>
        <w:rPr>
          <w:rFonts w:asciiTheme="minorHAnsi" w:hAnsiTheme="minorHAnsi"/>
          <w:noProof/>
        </w:rPr>
      </w:pPr>
      <w:hyperlink w:anchor="_Toc111536804" w:history="1">
        <w:r w:rsidRPr="00EC43DA">
          <w:rPr>
            <w:rStyle w:val="Hyperlink"/>
            <w:noProof/>
          </w:rPr>
          <w:t>Air freight</w:t>
        </w:r>
        <w:r>
          <w:rPr>
            <w:noProof/>
            <w:webHidden/>
          </w:rPr>
          <w:tab/>
        </w:r>
        <w:r>
          <w:rPr>
            <w:noProof/>
            <w:webHidden/>
          </w:rPr>
          <w:fldChar w:fldCharType="begin"/>
        </w:r>
        <w:r>
          <w:rPr>
            <w:noProof/>
            <w:webHidden/>
          </w:rPr>
          <w:instrText xml:space="preserve"> PAGEREF _Toc111536804 \h </w:instrText>
        </w:r>
        <w:r>
          <w:rPr>
            <w:noProof/>
            <w:webHidden/>
          </w:rPr>
        </w:r>
        <w:r>
          <w:rPr>
            <w:noProof/>
            <w:webHidden/>
          </w:rPr>
          <w:fldChar w:fldCharType="separate"/>
        </w:r>
        <w:r>
          <w:rPr>
            <w:noProof/>
            <w:webHidden/>
          </w:rPr>
          <w:t>91</w:t>
        </w:r>
        <w:r>
          <w:rPr>
            <w:noProof/>
            <w:webHidden/>
          </w:rPr>
          <w:fldChar w:fldCharType="end"/>
        </w:r>
      </w:hyperlink>
    </w:p>
    <w:p w14:paraId="20D3B61E" w14:textId="1F697115" w:rsidR="00954B9C" w:rsidRDefault="00954B9C">
      <w:pPr>
        <w:pStyle w:val="TOC2"/>
        <w:rPr>
          <w:rFonts w:asciiTheme="minorHAnsi" w:hAnsiTheme="minorHAnsi"/>
          <w:noProof/>
        </w:rPr>
      </w:pPr>
      <w:hyperlink w:anchor="_Toc111536805" w:history="1">
        <w:r w:rsidRPr="00EC43DA">
          <w:rPr>
            <w:rStyle w:val="Hyperlink"/>
            <w:noProof/>
          </w:rPr>
          <w:t>Coastal and international shipping freight</w:t>
        </w:r>
        <w:r>
          <w:rPr>
            <w:noProof/>
            <w:webHidden/>
          </w:rPr>
          <w:tab/>
        </w:r>
        <w:r>
          <w:rPr>
            <w:noProof/>
            <w:webHidden/>
          </w:rPr>
          <w:fldChar w:fldCharType="begin"/>
        </w:r>
        <w:r>
          <w:rPr>
            <w:noProof/>
            <w:webHidden/>
          </w:rPr>
          <w:instrText xml:space="preserve"> PAGEREF _Toc111536805 \h </w:instrText>
        </w:r>
        <w:r>
          <w:rPr>
            <w:noProof/>
            <w:webHidden/>
          </w:rPr>
        </w:r>
        <w:r>
          <w:rPr>
            <w:noProof/>
            <w:webHidden/>
          </w:rPr>
          <w:fldChar w:fldCharType="separate"/>
        </w:r>
        <w:r>
          <w:rPr>
            <w:noProof/>
            <w:webHidden/>
          </w:rPr>
          <w:t>92</w:t>
        </w:r>
        <w:r>
          <w:rPr>
            <w:noProof/>
            <w:webHidden/>
          </w:rPr>
          <w:fldChar w:fldCharType="end"/>
        </w:r>
      </w:hyperlink>
    </w:p>
    <w:p w14:paraId="74FE649A" w14:textId="7522EF8F" w:rsidR="00954B9C" w:rsidRDefault="00954B9C">
      <w:pPr>
        <w:pStyle w:val="TOC1"/>
      </w:pPr>
      <w:hyperlink w:anchor="_Toc111536806" w:history="1">
        <w:r w:rsidRPr="00EC43DA">
          <w:rPr>
            <w:rStyle w:val="Hyperlink"/>
          </w:rPr>
          <w:t>Water supply and wastewater treatment emission factors</w:t>
        </w:r>
        <w:r>
          <w:rPr>
            <w:webHidden/>
          </w:rPr>
          <w:tab/>
        </w:r>
        <w:r>
          <w:rPr>
            <w:webHidden/>
          </w:rPr>
          <w:fldChar w:fldCharType="begin"/>
        </w:r>
        <w:r>
          <w:rPr>
            <w:webHidden/>
          </w:rPr>
          <w:instrText xml:space="preserve"> PAGEREF _Toc111536806 \h </w:instrText>
        </w:r>
        <w:r>
          <w:rPr>
            <w:webHidden/>
          </w:rPr>
        </w:r>
        <w:r>
          <w:rPr>
            <w:webHidden/>
          </w:rPr>
          <w:fldChar w:fldCharType="separate"/>
        </w:r>
        <w:r>
          <w:rPr>
            <w:webHidden/>
          </w:rPr>
          <w:t>96</w:t>
        </w:r>
        <w:r>
          <w:rPr>
            <w:webHidden/>
          </w:rPr>
          <w:fldChar w:fldCharType="end"/>
        </w:r>
      </w:hyperlink>
    </w:p>
    <w:p w14:paraId="5E6661A1" w14:textId="31C4C44F" w:rsidR="00954B9C" w:rsidRDefault="00954B9C">
      <w:pPr>
        <w:pStyle w:val="TOC2"/>
        <w:rPr>
          <w:rFonts w:asciiTheme="minorHAnsi" w:hAnsiTheme="minorHAnsi"/>
          <w:noProof/>
        </w:rPr>
      </w:pPr>
      <w:hyperlink w:anchor="_Toc111536807" w:history="1">
        <w:r w:rsidRPr="00EC43DA">
          <w:rPr>
            <w:rStyle w:val="Hyperlink"/>
            <w:noProof/>
          </w:rPr>
          <w:t>Overview of changes since previous update</w:t>
        </w:r>
        <w:r>
          <w:rPr>
            <w:noProof/>
            <w:webHidden/>
          </w:rPr>
          <w:tab/>
        </w:r>
        <w:r>
          <w:rPr>
            <w:noProof/>
            <w:webHidden/>
          </w:rPr>
          <w:fldChar w:fldCharType="begin"/>
        </w:r>
        <w:r>
          <w:rPr>
            <w:noProof/>
            <w:webHidden/>
          </w:rPr>
          <w:instrText xml:space="preserve"> PAGEREF _Toc111536807 \h </w:instrText>
        </w:r>
        <w:r>
          <w:rPr>
            <w:noProof/>
            <w:webHidden/>
          </w:rPr>
        </w:r>
        <w:r>
          <w:rPr>
            <w:noProof/>
            <w:webHidden/>
          </w:rPr>
          <w:fldChar w:fldCharType="separate"/>
        </w:r>
        <w:r>
          <w:rPr>
            <w:noProof/>
            <w:webHidden/>
          </w:rPr>
          <w:t>96</w:t>
        </w:r>
        <w:r>
          <w:rPr>
            <w:noProof/>
            <w:webHidden/>
          </w:rPr>
          <w:fldChar w:fldCharType="end"/>
        </w:r>
      </w:hyperlink>
    </w:p>
    <w:p w14:paraId="18BC36BB" w14:textId="0A65E303" w:rsidR="00954B9C" w:rsidRDefault="00954B9C">
      <w:pPr>
        <w:pStyle w:val="TOC2"/>
        <w:rPr>
          <w:rFonts w:asciiTheme="minorHAnsi" w:hAnsiTheme="minorHAnsi"/>
          <w:noProof/>
        </w:rPr>
      </w:pPr>
      <w:hyperlink w:anchor="_Toc111536808" w:history="1">
        <w:r w:rsidRPr="00EC43DA">
          <w:rPr>
            <w:rStyle w:val="Hyperlink"/>
            <w:noProof/>
          </w:rPr>
          <w:t>Water supply</w:t>
        </w:r>
        <w:r>
          <w:rPr>
            <w:noProof/>
            <w:webHidden/>
          </w:rPr>
          <w:tab/>
        </w:r>
        <w:r>
          <w:rPr>
            <w:noProof/>
            <w:webHidden/>
          </w:rPr>
          <w:fldChar w:fldCharType="begin"/>
        </w:r>
        <w:r>
          <w:rPr>
            <w:noProof/>
            <w:webHidden/>
          </w:rPr>
          <w:instrText xml:space="preserve"> PAGEREF _Toc111536808 \h </w:instrText>
        </w:r>
        <w:r>
          <w:rPr>
            <w:noProof/>
            <w:webHidden/>
          </w:rPr>
        </w:r>
        <w:r>
          <w:rPr>
            <w:noProof/>
            <w:webHidden/>
          </w:rPr>
          <w:fldChar w:fldCharType="separate"/>
        </w:r>
        <w:r>
          <w:rPr>
            <w:noProof/>
            <w:webHidden/>
          </w:rPr>
          <w:t>96</w:t>
        </w:r>
        <w:r>
          <w:rPr>
            <w:noProof/>
            <w:webHidden/>
          </w:rPr>
          <w:fldChar w:fldCharType="end"/>
        </w:r>
      </w:hyperlink>
    </w:p>
    <w:p w14:paraId="078C643A" w14:textId="1DF49CFB" w:rsidR="00954B9C" w:rsidRDefault="00954B9C">
      <w:pPr>
        <w:pStyle w:val="TOC2"/>
        <w:rPr>
          <w:rFonts w:asciiTheme="minorHAnsi" w:hAnsiTheme="minorHAnsi"/>
          <w:noProof/>
        </w:rPr>
      </w:pPr>
      <w:hyperlink w:anchor="_Toc111536809" w:history="1">
        <w:r w:rsidRPr="00EC43DA">
          <w:rPr>
            <w:rStyle w:val="Hyperlink"/>
            <w:noProof/>
          </w:rPr>
          <w:t>Wastewater treatment</w:t>
        </w:r>
        <w:r>
          <w:rPr>
            <w:noProof/>
            <w:webHidden/>
          </w:rPr>
          <w:tab/>
        </w:r>
        <w:r>
          <w:rPr>
            <w:noProof/>
            <w:webHidden/>
          </w:rPr>
          <w:fldChar w:fldCharType="begin"/>
        </w:r>
        <w:r>
          <w:rPr>
            <w:noProof/>
            <w:webHidden/>
          </w:rPr>
          <w:instrText xml:space="preserve"> PAGEREF _Toc111536809 \h </w:instrText>
        </w:r>
        <w:r>
          <w:rPr>
            <w:noProof/>
            <w:webHidden/>
          </w:rPr>
        </w:r>
        <w:r>
          <w:rPr>
            <w:noProof/>
            <w:webHidden/>
          </w:rPr>
          <w:fldChar w:fldCharType="separate"/>
        </w:r>
        <w:r>
          <w:rPr>
            <w:noProof/>
            <w:webHidden/>
          </w:rPr>
          <w:t>98</w:t>
        </w:r>
        <w:r>
          <w:rPr>
            <w:noProof/>
            <w:webHidden/>
          </w:rPr>
          <w:fldChar w:fldCharType="end"/>
        </w:r>
      </w:hyperlink>
    </w:p>
    <w:p w14:paraId="2FEDB2B4" w14:textId="3A33BD4A" w:rsidR="00954B9C" w:rsidRDefault="00954B9C">
      <w:pPr>
        <w:pStyle w:val="TOC1"/>
      </w:pPr>
      <w:hyperlink w:anchor="_Toc111536810" w:history="1">
        <w:r w:rsidRPr="00EC43DA">
          <w:rPr>
            <w:rStyle w:val="Hyperlink"/>
          </w:rPr>
          <w:t>Materials and waste emission factors</w:t>
        </w:r>
        <w:r>
          <w:rPr>
            <w:webHidden/>
          </w:rPr>
          <w:tab/>
        </w:r>
        <w:r>
          <w:rPr>
            <w:webHidden/>
          </w:rPr>
          <w:fldChar w:fldCharType="begin"/>
        </w:r>
        <w:r>
          <w:rPr>
            <w:webHidden/>
          </w:rPr>
          <w:instrText xml:space="preserve"> PAGEREF _Toc111536810 \h </w:instrText>
        </w:r>
        <w:r>
          <w:rPr>
            <w:webHidden/>
          </w:rPr>
        </w:r>
        <w:r>
          <w:rPr>
            <w:webHidden/>
          </w:rPr>
          <w:fldChar w:fldCharType="separate"/>
        </w:r>
        <w:r>
          <w:rPr>
            <w:webHidden/>
          </w:rPr>
          <w:t>104</w:t>
        </w:r>
        <w:r>
          <w:rPr>
            <w:webHidden/>
          </w:rPr>
          <w:fldChar w:fldCharType="end"/>
        </w:r>
      </w:hyperlink>
    </w:p>
    <w:p w14:paraId="4CED6E9E" w14:textId="2E808686" w:rsidR="00954B9C" w:rsidRDefault="00954B9C">
      <w:pPr>
        <w:pStyle w:val="TOC2"/>
        <w:rPr>
          <w:rFonts w:asciiTheme="minorHAnsi" w:hAnsiTheme="minorHAnsi"/>
          <w:noProof/>
        </w:rPr>
      </w:pPr>
      <w:hyperlink w:anchor="_Toc111536811" w:history="1">
        <w:r w:rsidRPr="00EC43DA">
          <w:rPr>
            <w:rStyle w:val="Hyperlink"/>
            <w:noProof/>
          </w:rPr>
          <w:t>Overview of changes since previous update</w:t>
        </w:r>
        <w:r>
          <w:rPr>
            <w:noProof/>
            <w:webHidden/>
          </w:rPr>
          <w:tab/>
        </w:r>
        <w:r>
          <w:rPr>
            <w:noProof/>
            <w:webHidden/>
          </w:rPr>
          <w:fldChar w:fldCharType="begin"/>
        </w:r>
        <w:r>
          <w:rPr>
            <w:noProof/>
            <w:webHidden/>
          </w:rPr>
          <w:instrText xml:space="preserve"> PAGEREF _Toc111536811 \h </w:instrText>
        </w:r>
        <w:r>
          <w:rPr>
            <w:noProof/>
            <w:webHidden/>
          </w:rPr>
        </w:r>
        <w:r>
          <w:rPr>
            <w:noProof/>
            <w:webHidden/>
          </w:rPr>
          <w:fldChar w:fldCharType="separate"/>
        </w:r>
        <w:r>
          <w:rPr>
            <w:noProof/>
            <w:webHidden/>
          </w:rPr>
          <w:t>104</w:t>
        </w:r>
        <w:r>
          <w:rPr>
            <w:noProof/>
            <w:webHidden/>
          </w:rPr>
          <w:fldChar w:fldCharType="end"/>
        </w:r>
      </w:hyperlink>
    </w:p>
    <w:p w14:paraId="4BB98B53" w14:textId="526A30BD" w:rsidR="00954B9C" w:rsidRDefault="00954B9C">
      <w:pPr>
        <w:pStyle w:val="TOC2"/>
        <w:rPr>
          <w:rFonts w:asciiTheme="minorHAnsi" w:hAnsiTheme="minorHAnsi"/>
          <w:noProof/>
        </w:rPr>
      </w:pPr>
      <w:hyperlink w:anchor="_Toc111536812" w:history="1">
        <w:r w:rsidRPr="00EC43DA">
          <w:rPr>
            <w:rStyle w:val="Hyperlink"/>
            <w:noProof/>
          </w:rPr>
          <w:t>Construction materials</w:t>
        </w:r>
        <w:r>
          <w:rPr>
            <w:noProof/>
            <w:webHidden/>
          </w:rPr>
          <w:tab/>
        </w:r>
        <w:r>
          <w:rPr>
            <w:noProof/>
            <w:webHidden/>
          </w:rPr>
          <w:fldChar w:fldCharType="begin"/>
        </w:r>
        <w:r>
          <w:rPr>
            <w:noProof/>
            <w:webHidden/>
          </w:rPr>
          <w:instrText xml:space="preserve"> PAGEREF _Toc111536812 \h </w:instrText>
        </w:r>
        <w:r>
          <w:rPr>
            <w:noProof/>
            <w:webHidden/>
          </w:rPr>
        </w:r>
        <w:r>
          <w:rPr>
            <w:noProof/>
            <w:webHidden/>
          </w:rPr>
          <w:fldChar w:fldCharType="separate"/>
        </w:r>
        <w:r>
          <w:rPr>
            <w:noProof/>
            <w:webHidden/>
          </w:rPr>
          <w:t>104</w:t>
        </w:r>
        <w:r>
          <w:rPr>
            <w:noProof/>
            <w:webHidden/>
          </w:rPr>
          <w:fldChar w:fldCharType="end"/>
        </w:r>
      </w:hyperlink>
    </w:p>
    <w:p w14:paraId="2822C685" w14:textId="076859AF" w:rsidR="00954B9C" w:rsidRDefault="00954B9C">
      <w:pPr>
        <w:pStyle w:val="TOC2"/>
        <w:rPr>
          <w:rFonts w:asciiTheme="minorHAnsi" w:hAnsiTheme="minorHAnsi"/>
          <w:noProof/>
        </w:rPr>
      </w:pPr>
      <w:hyperlink w:anchor="_Toc111536813" w:history="1">
        <w:r w:rsidRPr="00EC43DA">
          <w:rPr>
            <w:rStyle w:val="Hyperlink"/>
            <w:noProof/>
          </w:rPr>
          <w:t>Waste disposal</w:t>
        </w:r>
        <w:r>
          <w:rPr>
            <w:noProof/>
            <w:webHidden/>
          </w:rPr>
          <w:tab/>
        </w:r>
        <w:r>
          <w:rPr>
            <w:noProof/>
            <w:webHidden/>
          </w:rPr>
          <w:fldChar w:fldCharType="begin"/>
        </w:r>
        <w:r>
          <w:rPr>
            <w:noProof/>
            <w:webHidden/>
          </w:rPr>
          <w:instrText xml:space="preserve"> PAGEREF _Toc111536813 \h </w:instrText>
        </w:r>
        <w:r>
          <w:rPr>
            <w:noProof/>
            <w:webHidden/>
          </w:rPr>
        </w:r>
        <w:r>
          <w:rPr>
            <w:noProof/>
            <w:webHidden/>
          </w:rPr>
          <w:fldChar w:fldCharType="separate"/>
        </w:r>
        <w:r>
          <w:rPr>
            <w:noProof/>
            <w:webHidden/>
          </w:rPr>
          <w:t>104</w:t>
        </w:r>
        <w:r>
          <w:rPr>
            <w:noProof/>
            <w:webHidden/>
          </w:rPr>
          <w:fldChar w:fldCharType="end"/>
        </w:r>
      </w:hyperlink>
    </w:p>
    <w:p w14:paraId="5926AE36" w14:textId="59E849FF" w:rsidR="00954B9C" w:rsidRDefault="00954B9C">
      <w:pPr>
        <w:pStyle w:val="TOC1"/>
      </w:pPr>
      <w:hyperlink w:anchor="_Toc111536814" w:history="1">
        <w:r w:rsidRPr="00EC43DA">
          <w:rPr>
            <w:rStyle w:val="Hyperlink"/>
          </w:rPr>
          <w:t>Agriculture, forestry and other land use emission factors</w:t>
        </w:r>
        <w:r>
          <w:rPr>
            <w:webHidden/>
          </w:rPr>
          <w:tab/>
        </w:r>
        <w:r>
          <w:rPr>
            <w:webHidden/>
          </w:rPr>
          <w:fldChar w:fldCharType="begin"/>
        </w:r>
        <w:r>
          <w:rPr>
            <w:webHidden/>
          </w:rPr>
          <w:instrText xml:space="preserve"> PAGEREF _Toc111536814 \h </w:instrText>
        </w:r>
        <w:r>
          <w:rPr>
            <w:webHidden/>
          </w:rPr>
        </w:r>
        <w:r>
          <w:rPr>
            <w:webHidden/>
          </w:rPr>
          <w:fldChar w:fldCharType="separate"/>
        </w:r>
        <w:r>
          <w:rPr>
            <w:webHidden/>
          </w:rPr>
          <w:t>111</w:t>
        </w:r>
        <w:r>
          <w:rPr>
            <w:webHidden/>
          </w:rPr>
          <w:fldChar w:fldCharType="end"/>
        </w:r>
      </w:hyperlink>
    </w:p>
    <w:p w14:paraId="3BF63BEA" w14:textId="010EEC2C" w:rsidR="00954B9C" w:rsidRDefault="00954B9C">
      <w:pPr>
        <w:pStyle w:val="TOC2"/>
        <w:rPr>
          <w:rFonts w:asciiTheme="minorHAnsi" w:hAnsiTheme="minorHAnsi"/>
          <w:noProof/>
        </w:rPr>
      </w:pPr>
      <w:hyperlink w:anchor="_Toc111536815" w:history="1">
        <w:r w:rsidRPr="00EC43DA">
          <w:rPr>
            <w:rStyle w:val="Hyperlink"/>
            <w:noProof/>
          </w:rPr>
          <w:t>Overview of changes since previous update</w:t>
        </w:r>
        <w:r>
          <w:rPr>
            <w:noProof/>
            <w:webHidden/>
          </w:rPr>
          <w:tab/>
        </w:r>
        <w:r>
          <w:rPr>
            <w:noProof/>
            <w:webHidden/>
          </w:rPr>
          <w:fldChar w:fldCharType="begin"/>
        </w:r>
        <w:r>
          <w:rPr>
            <w:noProof/>
            <w:webHidden/>
          </w:rPr>
          <w:instrText xml:space="preserve"> PAGEREF _Toc111536815 \h </w:instrText>
        </w:r>
        <w:r>
          <w:rPr>
            <w:noProof/>
            <w:webHidden/>
          </w:rPr>
        </w:r>
        <w:r>
          <w:rPr>
            <w:noProof/>
            <w:webHidden/>
          </w:rPr>
          <w:fldChar w:fldCharType="separate"/>
        </w:r>
        <w:r>
          <w:rPr>
            <w:noProof/>
            <w:webHidden/>
          </w:rPr>
          <w:t>111</w:t>
        </w:r>
        <w:r>
          <w:rPr>
            <w:noProof/>
            <w:webHidden/>
          </w:rPr>
          <w:fldChar w:fldCharType="end"/>
        </w:r>
      </w:hyperlink>
    </w:p>
    <w:p w14:paraId="706541DE" w14:textId="4806BDF8" w:rsidR="00954B9C" w:rsidRDefault="00954B9C">
      <w:pPr>
        <w:pStyle w:val="TOC2"/>
        <w:rPr>
          <w:rFonts w:asciiTheme="minorHAnsi" w:hAnsiTheme="minorHAnsi"/>
          <w:noProof/>
        </w:rPr>
      </w:pPr>
      <w:hyperlink w:anchor="_Toc111536816" w:history="1">
        <w:r w:rsidRPr="00EC43DA">
          <w:rPr>
            <w:rStyle w:val="Hyperlink"/>
            <w:noProof/>
          </w:rPr>
          <w:t>Land use, land-use change and forestry (LULUCF)</w:t>
        </w:r>
        <w:r>
          <w:rPr>
            <w:noProof/>
            <w:webHidden/>
          </w:rPr>
          <w:tab/>
        </w:r>
        <w:r>
          <w:rPr>
            <w:noProof/>
            <w:webHidden/>
          </w:rPr>
          <w:fldChar w:fldCharType="begin"/>
        </w:r>
        <w:r>
          <w:rPr>
            <w:noProof/>
            <w:webHidden/>
          </w:rPr>
          <w:instrText xml:space="preserve"> PAGEREF _Toc111536816 \h </w:instrText>
        </w:r>
        <w:r>
          <w:rPr>
            <w:noProof/>
            <w:webHidden/>
          </w:rPr>
        </w:r>
        <w:r>
          <w:rPr>
            <w:noProof/>
            <w:webHidden/>
          </w:rPr>
          <w:fldChar w:fldCharType="separate"/>
        </w:r>
        <w:r>
          <w:rPr>
            <w:noProof/>
            <w:webHidden/>
          </w:rPr>
          <w:t>112</w:t>
        </w:r>
        <w:r>
          <w:rPr>
            <w:noProof/>
            <w:webHidden/>
          </w:rPr>
          <w:fldChar w:fldCharType="end"/>
        </w:r>
      </w:hyperlink>
    </w:p>
    <w:p w14:paraId="779CD4E3" w14:textId="655CE0FD" w:rsidR="00954B9C" w:rsidRDefault="00954B9C">
      <w:pPr>
        <w:pStyle w:val="TOC2"/>
        <w:rPr>
          <w:rFonts w:asciiTheme="minorHAnsi" w:hAnsiTheme="minorHAnsi"/>
          <w:noProof/>
        </w:rPr>
      </w:pPr>
      <w:hyperlink w:anchor="_Toc111536817" w:history="1">
        <w:r w:rsidRPr="00EC43DA">
          <w:rPr>
            <w:rStyle w:val="Hyperlink"/>
            <w:noProof/>
          </w:rPr>
          <w:t>Agriculture</w:t>
        </w:r>
        <w:r>
          <w:rPr>
            <w:noProof/>
            <w:webHidden/>
          </w:rPr>
          <w:tab/>
        </w:r>
        <w:r>
          <w:rPr>
            <w:noProof/>
            <w:webHidden/>
          </w:rPr>
          <w:fldChar w:fldCharType="begin"/>
        </w:r>
        <w:r>
          <w:rPr>
            <w:noProof/>
            <w:webHidden/>
          </w:rPr>
          <w:instrText xml:space="preserve"> PAGEREF _Toc111536817 \h </w:instrText>
        </w:r>
        <w:r>
          <w:rPr>
            <w:noProof/>
            <w:webHidden/>
          </w:rPr>
        </w:r>
        <w:r>
          <w:rPr>
            <w:noProof/>
            <w:webHidden/>
          </w:rPr>
          <w:fldChar w:fldCharType="separate"/>
        </w:r>
        <w:r>
          <w:rPr>
            <w:noProof/>
            <w:webHidden/>
          </w:rPr>
          <w:t>120</w:t>
        </w:r>
        <w:r>
          <w:rPr>
            <w:noProof/>
            <w:webHidden/>
          </w:rPr>
          <w:fldChar w:fldCharType="end"/>
        </w:r>
      </w:hyperlink>
    </w:p>
    <w:p w14:paraId="569FF064" w14:textId="1B10053A" w:rsidR="00954B9C" w:rsidRDefault="00954B9C">
      <w:pPr>
        <w:pStyle w:val="TOC1"/>
      </w:pPr>
      <w:hyperlink w:anchor="_Toc111536818" w:history="1">
        <w:r w:rsidRPr="00EC43DA">
          <w:rPr>
            <w:rStyle w:val="Hyperlink"/>
          </w:rPr>
          <w:t>Appendix A: Derivation of fuel emission factors</w:t>
        </w:r>
        <w:r>
          <w:rPr>
            <w:webHidden/>
          </w:rPr>
          <w:tab/>
        </w:r>
        <w:r>
          <w:rPr>
            <w:webHidden/>
          </w:rPr>
          <w:fldChar w:fldCharType="begin"/>
        </w:r>
        <w:r>
          <w:rPr>
            <w:webHidden/>
          </w:rPr>
          <w:instrText xml:space="preserve"> PAGEREF _Toc111536818 \h </w:instrText>
        </w:r>
        <w:r>
          <w:rPr>
            <w:webHidden/>
          </w:rPr>
        </w:r>
        <w:r>
          <w:rPr>
            <w:webHidden/>
          </w:rPr>
          <w:fldChar w:fldCharType="separate"/>
        </w:r>
        <w:r>
          <w:rPr>
            <w:webHidden/>
          </w:rPr>
          <w:t>130</w:t>
        </w:r>
        <w:r>
          <w:rPr>
            <w:webHidden/>
          </w:rPr>
          <w:fldChar w:fldCharType="end"/>
        </w:r>
      </w:hyperlink>
    </w:p>
    <w:p w14:paraId="50D603C5" w14:textId="75E18325" w:rsidR="00954B9C" w:rsidRDefault="00954B9C">
      <w:pPr>
        <w:pStyle w:val="TOC1"/>
      </w:pPr>
      <w:hyperlink w:anchor="_Toc111536819" w:history="1">
        <w:r w:rsidRPr="00EC43DA">
          <w:rPr>
            <w:rStyle w:val="Hyperlink"/>
          </w:rPr>
          <w:t>Appendix B: Alternative methods of calculating emissions from refrigerants and medical gases</w:t>
        </w:r>
        <w:r>
          <w:rPr>
            <w:webHidden/>
          </w:rPr>
          <w:tab/>
        </w:r>
        <w:r>
          <w:rPr>
            <w:webHidden/>
          </w:rPr>
          <w:fldChar w:fldCharType="begin"/>
        </w:r>
        <w:r>
          <w:rPr>
            <w:webHidden/>
          </w:rPr>
          <w:instrText xml:space="preserve"> PAGEREF _Toc111536819 \h </w:instrText>
        </w:r>
        <w:r>
          <w:rPr>
            <w:webHidden/>
          </w:rPr>
        </w:r>
        <w:r>
          <w:rPr>
            <w:webHidden/>
          </w:rPr>
          <w:fldChar w:fldCharType="separate"/>
        </w:r>
        <w:r>
          <w:rPr>
            <w:webHidden/>
          </w:rPr>
          <w:t>132</w:t>
        </w:r>
        <w:r>
          <w:rPr>
            <w:webHidden/>
          </w:rPr>
          <w:fldChar w:fldCharType="end"/>
        </w:r>
      </w:hyperlink>
    </w:p>
    <w:p w14:paraId="3D5B756F" w14:textId="51E82B3F" w:rsidR="00954B9C" w:rsidRDefault="00954B9C">
      <w:pPr>
        <w:pStyle w:val="TOC1"/>
      </w:pPr>
      <w:hyperlink w:anchor="_Toc111536820" w:history="1">
        <w:r w:rsidRPr="00EC43DA">
          <w:rPr>
            <w:rStyle w:val="Hyperlink"/>
          </w:rPr>
          <w:t>Appendix C: Landfills with and without landfill gas recovery</w:t>
        </w:r>
        <w:r>
          <w:rPr>
            <w:webHidden/>
          </w:rPr>
          <w:tab/>
        </w:r>
        <w:r>
          <w:rPr>
            <w:webHidden/>
          </w:rPr>
          <w:fldChar w:fldCharType="begin"/>
        </w:r>
        <w:r>
          <w:rPr>
            <w:webHidden/>
          </w:rPr>
          <w:instrText xml:space="preserve"> PAGEREF _Toc111536820 \h </w:instrText>
        </w:r>
        <w:r>
          <w:rPr>
            <w:webHidden/>
          </w:rPr>
        </w:r>
        <w:r>
          <w:rPr>
            <w:webHidden/>
          </w:rPr>
          <w:fldChar w:fldCharType="separate"/>
        </w:r>
        <w:r>
          <w:rPr>
            <w:webHidden/>
          </w:rPr>
          <w:t>136</w:t>
        </w:r>
        <w:r>
          <w:rPr>
            <w:webHidden/>
          </w:rPr>
          <w:fldChar w:fldCharType="end"/>
        </w:r>
      </w:hyperlink>
    </w:p>
    <w:p w14:paraId="78B4E722" w14:textId="23277CE4" w:rsidR="00954B9C" w:rsidRDefault="00954B9C">
      <w:pPr>
        <w:pStyle w:val="TOC1"/>
      </w:pPr>
      <w:hyperlink w:anchor="_Toc111536821" w:history="1">
        <w:r w:rsidRPr="00EC43DA">
          <w:rPr>
            <w:rStyle w:val="Hyperlink"/>
          </w:rPr>
          <w:t>Glossary</w:t>
        </w:r>
        <w:r>
          <w:rPr>
            <w:webHidden/>
          </w:rPr>
          <w:tab/>
        </w:r>
        <w:r>
          <w:rPr>
            <w:webHidden/>
          </w:rPr>
          <w:fldChar w:fldCharType="begin"/>
        </w:r>
        <w:r>
          <w:rPr>
            <w:webHidden/>
          </w:rPr>
          <w:instrText xml:space="preserve"> PAGEREF _Toc111536821 \h </w:instrText>
        </w:r>
        <w:r>
          <w:rPr>
            <w:webHidden/>
          </w:rPr>
        </w:r>
        <w:r>
          <w:rPr>
            <w:webHidden/>
          </w:rPr>
          <w:fldChar w:fldCharType="separate"/>
        </w:r>
        <w:r>
          <w:rPr>
            <w:webHidden/>
          </w:rPr>
          <w:t>138</w:t>
        </w:r>
        <w:r>
          <w:rPr>
            <w:webHidden/>
          </w:rPr>
          <w:fldChar w:fldCharType="end"/>
        </w:r>
      </w:hyperlink>
    </w:p>
    <w:p w14:paraId="74F3BA77" w14:textId="4F13EBF3" w:rsidR="0060497B" w:rsidRPr="00B275E2" w:rsidRDefault="00031FF2" w:rsidP="0060497B">
      <w:pPr>
        <w:pStyle w:val="BodyText"/>
      </w:pPr>
      <w:r w:rsidRPr="00B275E2">
        <w:fldChar w:fldCharType="end"/>
      </w:r>
      <w:r w:rsidR="0060497B" w:rsidRPr="00B275E2">
        <w:br w:type="page"/>
      </w:r>
    </w:p>
    <w:p w14:paraId="65091236" w14:textId="2BA50669" w:rsidR="0080531E" w:rsidRPr="00B275E2" w:rsidRDefault="00411E70" w:rsidP="00D34686">
      <w:pPr>
        <w:pStyle w:val="Heading"/>
      </w:pPr>
      <w:r w:rsidRPr="00B275E2">
        <w:lastRenderedPageBreak/>
        <w:t>Tables</w:t>
      </w:r>
      <w:bookmarkEnd w:id="4"/>
      <w:bookmarkEnd w:id="6"/>
    </w:p>
    <w:bookmarkStart w:id="7" w:name="_Toc532904838"/>
    <w:bookmarkStart w:id="8" w:name="_Toc600554"/>
    <w:p w14:paraId="672987E1" w14:textId="4C11AFC4" w:rsidR="00954B9C" w:rsidRDefault="007607CB">
      <w:pPr>
        <w:pStyle w:val="TableofFigures"/>
        <w:tabs>
          <w:tab w:val="right" w:pos="8495"/>
        </w:tabs>
        <w:rPr>
          <w:rFonts w:asciiTheme="minorHAnsi" w:hAnsiTheme="minorHAnsi"/>
          <w:noProof/>
        </w:rPr>
      </w:pPr>
      <w:r w:rsidRPr="00B275E2">
        <w:fldChar w:fldCharType="begin"/>
      </w:r>
      <w:r w:rsidRPr="00B275E2">
        <w:instrText xml:space="preserve"> TOC \h \z \t "Table heading" \c </w:instrText>
      </w:r>
      <w:r w:rsidRPr="00B275E2">
        <w:fldChar w:fldCharType="separate"/>
      </w:r>
      <w:hyperlink w:anchor="_Toc111536606" w:history="1">
        <w:r w:rsidR="00954B9C" w:rsidRPr="00A968B2">
          <w:rPr>
            <w:rStyle w:val="Hyperlink"/>
            <w:noProof/>
          </w:rPr>
          <w:t>Table 1:</w:t>
        </w:r>
        <w:r w:rsidR="00954B9C">
          <w:rPr>
            <w:rFonts w:asciiTheme="minorHAnsi" w:hAnsiTheme="minorHAnsi"/>
            <w:noProof/>
          </w:rPr>
          <w:tab/>
        </w:r>
        <w:r w:rsidR="00954B9C" w:rsidRPr="00A968B2">
          <w:rPr>
            <w:rStyle w:val="Hyperlink"/>
            <w:noProof/>
          </w:rPr>
          <w:t>Global warming potential (GWP) of GHGs based on 100-year period</w:t>
        </w:r>
        <w:r w:rsidR="00954B9C">
          <w:rPr>
            <w:noProof/>
            <w:webHidden/>
          </w:rPr>
          <w:tab/>
        </w:r>
        <w:r w:rsidR="00954B9C">
          <w:rPr>
            <w:noProof/>
            <w:webHidden/>
          </w:rPr>
          <w:fldChar w:fldCharType="begin"/>
        </w:r>
        <w:r w:rsidR="00954B9C">
          <w:rPr>
            <w:noProof/>
            <w:webHidden/>
          </w:rPr>
          <w:instrText xml:space="preserve"> PAGEREF _Toc111536606 \h </w:instrText>
        </w:r>
        <w:r w:rsidR="00954B9C">
          <w:rPr>
            <w:noProof/>
            <w:webHidden/>
          </w:rPr>
        </w:r>
        <w:r w:rsidR="00954B9C">
          <w:rPr>
            <w:noProof/>
            <w:webHidden/>
          </w:rPr>
          <w:fldChar w:fldCharType="separate"/>
        </w:r>
        <w:r w:rsidR="00954B9C">
          <w:rPr>
            <w:noProof/>
            <w:webHidden/>
          </w:rPr>
          <w:t>14</w:t>
        </w:r>
        <w:r w:rsidR="00954B9C">
          <w:rPr>
            <w:noProof/>
            <w:webHidden/>
          </w:rPr>
          <w:fldChar w:fldCharType="end"/>
        </w:r>
      </w:hyperlink>
    </w:p>
    <w:p w14:paraId="3F4EB647" w14:textId="2B6BE243" w:rsidR="00954B9C" w:rsidRDefault="00954B9C">
      <w:pPr>
        <w:pStyle w:val="TableofFigures"/>
        <w:tabs>
          <w:tab w:val="right" w:pos="8495"/>
        </w:tabs>
        <w:rPr>
          <w:rFonts w:asciiTheme="minorHAnsi" w:hAnsiTheme="minorHAnsi"/>
          <w:noProof/>
        </w:rPr>
      </w:pPr>
      <w:hyperlink w:anchor="_Toc111536607" w:history="1">
        <w:r w:rsidRPr="00A968B2">
          <w:rPr>
            <w:rStyle w:val="Hyperlink"/>
            <w:noProof/>
          </w:rPr>
          <w:t>Table 2:</w:t>
        </w:r>
        <w:r>
          <w:rPr>
            <w:rFonts w:asciiTheme="minorHAnsi" w:hAnsiTheme="minorHAnsi"/>
            <w:noProof/>
          </w:rPr>
          <w:tab/>
        </w:r>
        <w:r w:rsidRPr="00A968B2">
          <w:rPr>
            <w:rStyle w:val="Hyperlink"/>
            <w:noProof/>
          </w:rPr>
          <w:t>Emissions by scope, category and source category</w:t>
        </w:r>
        <w:r>
          <w:rPr>
            <w:noProof/>
            <w:webHidden/>
          </w:rPr>
          <w:tab/>
        </w:r>
        <w:r>
          <w:rPr>
            <w:noProof/>
            <w:webHidden/>
          </w:rPr>
          <w:fldChar w:fldCharType="begin"/>
        </w:r>
        <w:r>
          <w:rPr>
            <w:noProof/>
            <w:webHidden/>
          </w:rPr>
          <w:instrText xml:space="preserve"> PAGEREF _Toc111536607 \h </w:instrText>
        </w:r>
        <w:r>
          <w:rPr>
            <w:noProof/>
            <w:webHidden/>
          </w:rPr>
        </w:r>
        <w:r>
          <w:rPr>
            <w:noProof/>
            <w:webHidden/>
          </w:rPr>
          <w:fldChar w:fldCharType="separate"/>
        </w:r>
        <w:r>
          <w:rPr>
            <w:noProof/>
            <w:webHidden/>
          </w:rPr>
          <w:t>16</w:t>
        </w:r>
        <w:r>
          <w:rPr>
            <w:noProof/>
            <w:webHidden/>
          </w:rPr>
          <w:fldChar w:fldCharType="end"/>
        </w:r>
      </w:hyperlink>
    </w:p>
    <w:p w14:paraId="49B39F14" w14:textId="6025B879" w:rsidR="00954B9C" w:rsidRDefault="00954B9C">
      <w:pPr>
        <w:pStyle w:val="TableofFigures"/>
        <w:tabs>
          <w:tab w:val="right" w:pos="8495"/>
        </w:tabs>
        <w:rPr>
          <w:rFonts w:asciiTheme="minorHAnsi" w:hAnsiTheme="minorHAnsi"/>
          <w:noProof/>
        </w:rPr>
      </w:pPr>
      <w:hyperlink w:anchor="_Toc111536608" w:history="1">
        <w:r w:rsidRPr="00A968B2">
          <w:rPr>
            <w:rStyle w:val="Hyperlink"/>
            <w:noProof/>
          </w:rPr>
          <w:t>Table 3:</w:t>
        </w:r>
        <w:r>
          <w:rPr>
            <w:rFonts w:asciiTheme="minorHAnsi" w:hAnsiTheme="minorHAnsi"/>
            <w:noProof/>
          </w:rPr>
          <w:tab/>
        </w:r>
        <w:r w:rsidRPr="00A968B2">
          <w:rPr>
            <w:rStyle w:val="Hyperlink"/>
            <w:noProof/>
          </w:rPr>
          <w:t>Emission factors for the stationary combustion of fuels</w:t>
        </w:r>
        <w:r>
          <w:rPr>
            <w:noProof/>
            <w:webHidden/>
          </w:rPr>
          <w:tab/>
        </w:r>
        <w:r>
          <w:rPr>
            <w:noProof/>
            <w:webHidden/>
          </w:rPr>
          <w:fldChar w:fldCharType="begin"/>
        </w:r>
        <w:r>
          <w:rPr>
            <w:noProof/>
            <w:webHidden/>
          </w:rPr>
          <w:instrText xml:space="preserve"> PAGEREF _Toc111536608 \h </w:instrText>
        </w:r>
        <w:r>
          <w:rPr>
            <w:noProof/>
            <w:webHidden/>
          </w:rPr>
        </w:r>
        <w:r>
          <w:rPr>
            <w:noProof/>
            <w:webHidden/>
          </w:rPr>
          <w:fldChar w:fldCharType="separate"/>
        </w:r>
        <w:r>
          <w:rPr>
            <w:noProof/>
            <w:webHidden/>
          </w:rPr>
          <w:t>23</w:t>
        </w:r>
        <w:r>
          <w:rPr>
            <w:noProof/>
            <w:webHidden/>
          </w:rPr>
          <w:fldChar w:fldCharType="end"/>
        </w:r>
      </w:hyperlink>
    </w:p>
    <w:p w14:paraId="0AEAA194" w14:textId="3260FF38" w:rsidR="00954B9C" w:rsidRDefault="00954B9C">
      <w:pPr>
        <w:pStyle w:val="TableofFigures"/>
        <w:tabs>
          <w:tab w:val="right" w:pos="8495"/>
        </w:tabs>
        <w:rPr>
          <w:rFonts w:asciiTheme="minorHAnsi" w:hAnsiTheme="minorHAnsi"/>
          <w:noProof/>
        </w:rPr>
      </w:pPr>
      <w:hyperlink w:anchor="_Toc111536609" w:history="1">
        <w:r w:rsidRPr="00A968B2">
          <w:rPr>
            <w:rStyle w:val="Hyperlink"/>
            <w:noProof/>
          </w:rPr>
          <w:t>Table 4:</w:t>
        </w:r>
        <w:r>
          <w:rPr>
            <w:rFonts w:asciiTheme="minorHAnsi" w:hAnsiTheme="minorHAnsi"/>
            <w:noProof/>
          </w:rPr>
          <w:tab/>
        </w:r>
        <w:r w:rsidRPr="00A968B2">
          <w:rPr>
            <w:rStyle w:val="Hyperlink"/>
            <w:noProof/>
          </w:rPr>
          <w:t>Transport fuel emission factors</w:t>
        </w:r>
        <w:r>
          <w:rPr>
            <w:noProof/>
            <w:webHidden/>
          </w:rPr>
          <w:tab/>
        </w:r>
        <w:r>
          <w:rPr>
            <w:noProof/>
            <w:webHidden/>
          </w:rPr>
          <w:fldChar w:fldCharType="begin"/>
        </w:r>
        <w:r>
          <w:rPr>
            <w:noProof/>
            <w:webHidden/>
          </w:rPr>
          <w:instrText xml:space="preserve"> PAGEREF _Toc111536609 \h </w:instrText>
        </w:r>
        <w:r>
          <w:rPr>
            <w:noProof/>
            <w:webHidden/>
          </w:rPr>
        </w:r>
        <w:r>
          <w:rPr>
            <w:noProof/>
            <w:webHidden/>
          </w:rPr>
          <w:fldChar w:fldCharType="separate"/>
        </w:r>
        <w:r>
          <w:rPr>
            <w:noProof/>
            <w:webHidden/>
          </w:rPr>
          <w:t>25</w:t>
        </w:r>
        <w:r>
          <w:rPr>
            <w:noProof/>
            <w:webHidden/>
          </w:rPr>
          <w:fldChar w:fldCharType="end"/>
        </w:r>
      </w:hyperlink>
    </w:p>
    <w:p w14:paraId="6645600A" w14:textId="5DC47486" w:rsidR="00954B9C" w:rsidRDefault="00954B9C">
      <w:pPr>
        <w:pStyle w:val="TableofFigures"/>
        <w:tabs>
          <w:tab w:val="right" w:pos="8495"/>
        </w:tabs>
        <w:rPr>
          <w:rFonts w:asciiTheme="minorHAnsi" w:hAnsiTheme="minorHAnsi"/>
          <w:noProof/>
        </w:rPr>
      </w:pPr>
      <w:hyperlink w:anchor="_Toc111536610" w:history="1">
        <w:r w:rsidRPr="00A968B2">
          <w:rPr>
            <w:rStyle w:val="Hyperlink"/>
            <w:noProof/>
          </w:rPr>
          <w:t>Table 5:</w:t>
        </w:r>
        <w:r>
          <w:rPr>
            <w:rFonts w:asciiTheme="minorHAnsi" w:hAnsiTheme="minorHAnsi"/>
            <w:noProof/>
          </w:rPr>
          <w:tab/>
        </w:r>
        <w:r w:rsidRPr="00A968B2">
          <w:rPr>
            <w:rStyle w:val="Hyperlink"/>
            <w:noProof/>
          </w:rPr>
          <w:t>Biofuels and biomass emission factors</w:t>
        </w:r>
        <w:r>
          <w:rPr>
            <w:noProof/>
            <w:webHidden/>
          </w:rPr>
          <w:tab/>
        </w:r>
        <w:r>
          <w:rPr>
            <w:noProof/>
            <w:webHidden/>
          </w:rPr>
          <w:fldChar w:fldCharType="begin"/>
        </w:r>
        <w:r>
          <w:rPr>
            <w:noProof/>
            <w:webHidden/>
          </w:rPr>
          <w:instrText xml:space="preserve"> PAGEREF _Toc111536610 \h </w:instrText>
        </w:r>
        <w:r>
          <w:rPr>
            <w:noProof/>
            <w:webHidden/>
          </w:rPr>
        </w:r>
        <w:r>
          <w:rPr>
            <w:noProof/>
            <w:webHidden/>
          </w:rPr>
          <w:fldChar w:fldCharType="separate"/>
        </w:r>
        <w:r>
          <w:rPr>
            <w:noProof/>
            <w:webHidden/>
          </w:rPr>
          <w:t>27</w:t>
        </w:r>
        <w:r>
          <w:rPr>
            <w:noProof/>
            <w:webHidden/>
          </w:rPr>
          <w:fldChar w:fldCharType="end"/>
        </w:r>
      </w:hyperlink>
    </w:p>
    <w:p w14:paraId="0E823F18" w14:textId="1FD736B6" w:rsidR="00954B9C" w:rsidRDefault="00954B9C">
      <w:pPr>
        <w:pStyle w:val="TableofFigures"/>
        <w:tabs>
          <w:tab w:val="right" w:pos="8495"/>
        </w:tabs>
        <w:rPr>
          <w:rFonts w:asciiTheme="minorHAnsi" w:hAnsiTheme="minorHAnsi"/>
          <w:noProof/>
        </w:rPr>
      </w:pPr>
      <w:hyperlink w:anchor="_Toc111536611" w:history="1">
        <w:r w:rsidRPr="00A968B2">
          <w:rPr>
            <w:rStyle w:val="Hyperlink"/>
            <w:noProof/>
          </w:rPr>
          <w:t>Table 6:</w:t>
        </w:r>
        <w:r>
          <w:rPr>
            <w:rFonts w:asciiTheme="minorHAnsi" w:hAnsiTheme="minorHAnsi"/>
            <w:noProof/>
          </w:rPr>
          <w:tab/>
        </w:r>
        <w:r w:rsidRPr="00A968B2">
          <w:rPr>
            <w:rStyle w:val="Hyperlink"/>
            <w:noProof/>
          </w:rPr>
          <w:t>Transmission and distribution loss emission factors for natural gas</w:t>
        </w:r>
        <w:r>
          <w:rPr>
            <w:noProof/>
            <w:webHidden/>
          </w:rPr>
          <w:tab/>
        </w:r>
        <w:r>
          <w:rPr>
            <w:noProof/>
            <w:webHidden/>
          </w:rPr>
          <w:fldChar w:fldCharType="begin"/>
        </w:r>
        <w:r>
          <w:rPr>
            <w:noProof/>
            <w:webHidden/>
          </w:rPr>
          <w:instrText xml:space="preserve"> PAGEREF _Toc111536611 \h </w:instrText>
        </w:r>
        <w:r>
          <w:rPr>
            <w:noProof/>
            <w:webHidden/>
          </w:rPr>
        </w:r>
        <w:r>
          <w:rPr>
            <w:noProof/>
            <w:webHidden/>
          </w:rPr>
          <w:fldChar w:fldCharType="separate"/>
        </w:r>
        <w:r>
          <w:rPr>
            <w:noProof/>
            <w:webHidden/>
          </w:rPr>
          <w:t>29</w:t>
        </w:r>
        <w:r>
          <w:rPr>
            <w:noProof/>
            <w:webHidden/>
          </w:rPr>
          <w:fldChar w:fldCharType="end"/>
        </w:r>
      </w:hyperlink>
    </w:p>
    <w:p w14:paraId="35BB3EEE" w14:textId="1D962F4F" w:rsidR="00954B9C" w:rsidRDefault="00954B9C">
      <w:pPr>
        <w:pStyle w:val="TableofFigures"/>
        <w:tabs>
          <w:tab w:val="right" w:pos="8495"/>
        </w:tabs>
        <w:rPr>
          <w:rFonts w:asciiTheme="minorHAnsi" w:hAnsiTheme="minorHAnsi"/>
          <w:noProof/>
        </w:rPr>
      </w:pPr>
      <w:hyperlink w:anchor="_Toc111536612" w:history="1">
        <w:r w:rsidRPr="00A968B2">
          <w:rPr>
            <w:rStyle w:val="Hyperlink"/>
            <w:noProof/>
          </w:rPr>
          <w:t>Table 7:</w:t>
        </w:r>
        <w:r>
          <w:rPr>
            <w:rFonts w:asciiTheme="minorHAnsi" w:hAnsiTheme="minorHAnsi"/>
            <w:noProof/>
          </w:rPr>
          <w:tab/>
        </w:r>
        <w:r w:rsidRPr="00A968B2">
          <w:rPr>
            <w:rStyle w:val="Hyperlink"/>
            <w:noProof/>
          </w:rPr>
          <w:t>GWPs of refrigerants</w:t>
        </w:r>
        <w:r>
          <w:rPr>
            <w:noProof/>
            <w:webHidden/>
          </w:rPr>
          <w:tab/>
        </w:r>
        <w:r>
          <w:rPr>
            <w:noProof/>
            <w:webHidden/>
          </w:rPr>
          <w:fldChar w:fldCharType="begin"/>
        </w:r>
        <w:r>
          <w:rPr>
            <w:noProof/>
            <w:webHidden/>
          </w:rPr>
          <w:instrText xml:space="preserve"> PAGEREF _Toc111536612 \h </w:instrText>
        </w:r>
        <w:r>
          <w:rPr>
            <w:noProof/>
            <w:webHidden/>
          </w:rPr>
        </w:r>
        <w:r>
          <w:rPr>
            <w:noProof/>
            <w:webHidden/>
          </w:rPr>
          <w:fldChar w:fldCharType="separate"/>
        </w:r>
        <w:r>
          <w:rPr>
            <w:noProof/>
            <w:webHidden/>
          </w:rPr>
          <w:t>32</w:t>
        </w:r>
        <w:r>
          <w:rPr>
            <w:noProof/>
            <w:webHidden/>
          </w:rPr>
          <w:fldChar w:fldCharType="end"/>
        </w:r>
      </w:hyperlink>
    </w:p>
    <w:p w14:paraId="6B6A07AD" w14:textId="3C81C428" w:rsidR="00954B9C" w:rsidRDefault="00954B9C">
      <w:pPr>
        <w:pStyle w:val="TableofFigures"/>
        <w:tabs>
          <w:tab w:val="right" w:pos="8495"/>
        </w:tabs>
        <w:rPr>
          <w:rFonts w:asciiTheme="minorHAnsi" w:hAnsiTheme="minorHAnsi"/>
          <w:noProof/>
        </w:rPr>
      </w:pPr>
      <w:hyperlink w:anchor="_Toc111536613" w:history="1">
        <w:r w:rsidRPr="00A968B2">
          <w:rPr>
            <w:rStyle w:val="Hyperlink"/>
            <w:noProof/>
          </w:rPr>
          <w:t>Table 8:</w:t>
        </w:r>
        <w:r>
          <w:rPr>
            <w:rFonts w:asciiTheme="minorHAnsi" w:hAnsiTheme="minorHAnsi"/>
            <w:noProof/>
          </w:rPr>
          <w:tab/>
        </w:r>
        <w:r w:rsidRPr="00A968B2">
          <w:rPr>
            <w:rStyle w:val="Hyperlink"/>
            <w:noProof/>
          </w:rPr>
          <w:t>GWPs of medical gases</w:t>
        </w:r>
        <w:r>
          <w:rPr>
            <w:noProof/>
            <w:webHidden/>
          </w:rPr>
          <w:tab/>
        </w:r>
        <w:r>
          <w:rPr>
            <w:noProof/>
            <w:webHidden/>
          </w:rPr>
          <w:fldChar w:fldCharType="begin"/>
        </w:r>
        <w:r>
          <w:rPr>
            <w:noProof/>
            <w:webHidden/>
          </w:rPr>
          <w:instrText xml:space="preserve"> PAGEREF _Toc111536613 \h </w:instrText>
        </w:r>
        <w:r>
          <w:rPr>
            <w:noProof/>
            <w:webHidden/>
          </w:rPr>
        </w:r>
        <w:r>
          <w:rPr>
            <w:noProof/>
            <w:webHidden/>
          </w:rPr>
          <w:fldChar w:fldCharType="separate"/>
        </w:r>
        <w:r>
          <w:rPr>
            <w:noProof/>
            <w:webHidden/>
          </w:rPr>
          <w:t>38</w:t>
        </w:r>
        <w:r>
          <w:rPr>
            <w:noProof/>
            <w:webHidden/>
          </w:rPr>
          <w:fldChar w:fldCharType="end"/>
        </w:r>
      </w:hyperlink>
    </w:p>
    <w:p w14:paraId="5DB5622B" w14:textId="5EF1162C" w:rsidR="00954B9C" w:rsidRDefault="00954B9C">
      <w:pPr>
        <w:pStyle w:val="TableofFigures"/>
        <w:tabs>
          <w:tab w:val="right" w:pos="8495"/>
        </w:tabs>
        <w:rPr>
          <w:rFonts w:asciiTheme="minorHAnsi" w:hAnsiTheme="minorHAnsi"/>
          <w:noProof/>
        </w:rPr>
      </w:pPr>
      <w:hyperlink w:anchor="_Toc111536614" w:history="1">
        <w:r w:rsidRPr="00A968B2">
          <w:rPr>
            <w:rStyle w:val="Hyperlink"/>
            <w:noProof/>
          </w:rPr>
          <w:t>Table 9:</w:t>
        </w:r>
        <w:r>
          <w:rPr>
            <w:rFonts w:asciiTheme="minorHAnsi" w:hAnsiTheme="minorHAnsi"/>
            <w:noProof/>
          </w:rPr>
          <w:tab/>
        </w:r>
        <w:r w:rsidRPr="00A968B2">
          <w:rPr>
            <w:rStyle w:val="Hyperlink"/>
            <w:noProof/>
          </w:rPr>
          <w:t>Emission factor for purchased grid-average electricity – annual average</w:t>
        </w:r>
        <w:r>
          <w:rPr>
            <w:noProof/>
            <w:webHidden/>
          </w:rPr>
          <w:tab/>
        </w:r>
        <w:r>
          <w:rPr>
            <w:noProof/>
            <w:webHidden/>
          </w:rPr>
          <w:fldChar w:fldCharType="begin"/>
        </w:r>
        <w:r>
          <w:rPr>
            <w:noProof/>
            <w:webHidden/>
          </w:rPr>
          <w:instrText xml:space="preserve"> PAGEREF _Toc111536614 \h </w:instrText>
        </w:r>
        <w:r>
          <w:rPr>
            <w:noProof/>
            <w:webHidden/>
          </w:rPr>
        </w:r>
        <w:r>
          <w:rPr>
            <w:noProof/>
            <w:webHidden/>
          </w:rPr>
          <w:fldChar w:fldCharType="separate"/>
        </w:r>
        <w:r>
          <w:rPr>
            <w:noProof/>
            <w:webHidden/>
          </w:rPr>
          <w:t>40</w:t>
        </w:r>
        <w:r>
          <w:rPr>
            <w:noProof/>
            <w:webHidden/>
          </w:rPr>
          <w:fldChar w:fldCharType="end"/>
        </w:r>
      </w:hyperlink>
    </w:p>
    <w:p w14:paraId="1284023C" w14:textId="27651E3D" w:rsidR="00954B9C" w:rsidRDefault="00954B9C">
      <w:pPr>
        <w:pStyle w:val="TableofFigures"/>
        <w:tabs>
          <w:tab w:val="right" w:pos="8495"/>
        </w:tabs>
        <w:rPr>
          <w:rFonts w:asciiTheme="minorHAnsi" w:hAnsiTheme="minorHAnsi"/>
          <w:noProof/>
        </w:rPr>
      </w:pPr>
      <w:hyperlink w:anchor="_Toc111536615" w:history="1">
        <w:r w:rsidRPr="00A968B2">
          <w:rPr>
            <w:rStyle w:val="Hyperlink"/>
            <w:noProof/>
          </w:rPr>
          <w:t>Table 10:</w:t>
        </w:r>
        <w:r>
          <w:rPr>
            <w:rFonts w:asciiTheme="minorHAnsi" w:hAnsiTheme="minorHAnsi"/>
            <w:noProof/>
          </w:rPr>
          <w:tab/>
        </w:r>
        <w:r w:rsidRPr="00A968B2">
          <w:rPr>
            <w:rStyle w:val="Hyperlink"/>
            <w:noProof/>
          </w:rPr>
          <w:t>Emission factor for purchased grid-average electricity – calendar quarters</w:t>
        </w:r>
        <w:r>
          <w:rPr>
            <w:noProof/>
            <w:webHidden/>
          </w:rPr>
          <w:tab/>
        </w:r>
        <w:r>
          <w:rPr>
            <w:noProof/>
            <w:webHidden/>
          </w:rPr>
          <w:fldChar w:fldCharType="begin"/>
        </w:r>
        <w:r>
          <w:rPr>
            <w:noProof/>
            <w:webHidden/>
          </w:rPr>
          <w:instrText xml:space="preserve"> PAGEREF _Toc111536615 \h </w:instrText>
        </w:r>
        <w:r>
          <w:rPr>
            <w:noProof/>
            <w:webHidden/>
          </w:rPr>
        </w:r>
        <w:r>
          <w:rPr>
            <w:noProof/>
            <w:webHidden/>
          </w:rPr>
          <w:fldChar w:fldCharType="separate"/>
        </w:r>
        <w:r>
          <w:rPr>
            <w:noProof/>
            <w:webHidden/>
          </w:rPr>
          <w:t>41</w:t>
        </w:r>
        <w:r>
          <w:rPr>
            <w:noProof/>
            <w:webHidden/>
          </w:rPr>
          <w:fldChar w:fldCharType="end"/>
        </w:r>
      </w:hyperlink>
    </w:p>
    <w:p w14:paraId="6D567FE0" w14:textId="09B49195" w:rsidR="00954B9C" w:rsidRDefault="00954B9C">
      <w:pPr>
        <w:pStyle w:val="TableofFigures"/>
        <w:tabs>
          <w:tab w:val="right" w:pos="8495"/>
        </w:tabs>
        <w:rPr>
          <w:rFonts w:asciiTheme="minorHAnsi" w:hAnsiTheme="minorHAnsi"/>
          <w:noProof/>
        </w:rPr>
      </w:pPr>
      <w:hyperlink w:anchor="_Toc111536616" w:history="1">
        <w:r w:rsidRPr="00A968B2">
          <w:rPr>
            <w:rStyle w:val="Hyperlink"/>
            <w:noProof/>
          </w:rPr>
          <w:t xml:space="preserve">Table 11: </w:t>
        </w:r>
        <w:r>
          <w:rPr>
            <w:rFonts w:asciiTheme="minorHAnsi" w:hAnsiTheme="minorHAnsi"/>
            <w:noProof/>
          </w:rPr>
          <w:tab/>
        </w:r>
        <w:r w:rsidRPr="00A968B2">
          <w:rPr>
            <w:rStyle w:val="Hyperlink"/>
            <w:noProof/>
          </w:rPr>
          <w:t>Information used to calculate the purchased electricity emission factor for 2010–2020</w:t>
        </w:r>
        <w:r>
          <w:rPr>
            <w:noProof/>
            <w:webHidden/>
          </w:rPr>
          <w:tab/>
        </w:r>
        <w:r>
          <w:rPr>
            <w:noProof/>
            <w:webHidden/>
          </w:rPr>
          <w:fldChar w:fldCharType="begin"/>
        </w:r>
        <w:r>
          <w:rPr>
            <w:noProof/>
            <w:webHidden/>
          </w:rPr>
          <w:instrText xml:space="preserve"> PAGEREF _Toc111536616 \h </w:instrText>
        </w:r>
        <w:r>
          <w:rPr>
            <w:noProof/>
            <w:webHidden/>
          </w:rPr>
        </w:r>
        <w:r>
          <w:rPr>
            <w:noProof/>
            <w:webHidden/>
          </w:rPr>
          <w:fldChar w:fldCharType="separate"/>
        </w:r>
        <w:r>
          <w:rPr>
            <w:noProof/>
            <w:webHidden/>
          </w:rPr>
          <w:t>42</w:t>
        </w:r>
        <w:r>
          <w:rPr>
            <w:noProof/>
            <w:webHidden/>
          </w:rPr>
          <w:fldChar w:fldCharType="end"/>
        </w:r>
      </w:hyperlink>
    </w:p>
    <w:p w14:paraId="2A74AA8A" w14:textId="3D68C0B8" w:rsidR="00954B9C" w:rsidRDefault="00954B9C">
      <w:pPr>
        <w:pStyle w:val="TableofFigures"/>
        <w:tabs>
          <w:tab w:val="right" w:pos="8495"/>
        </w:tabs>
        <w:rPr>
          <w:rFonts w:asciiTheme="minorHAnsi" w:hAnsiTheme="minorHAnsi"/>
          <w:noProof/>
        </w:rPr>
      </w:pPr>
      <w:hyperlink w:anchor="_Toc111536617" w:history="1">
        <w:r w:rsidRPr="00A968B2">
          <w:rPr>
            <w:rStyle w:val="Hyperlink"/>
            <w:noProof/>
          </w:rPr>
          <w:t>Table 12:</w:t>
        </w:r>
        <w:r>
          <w:rPr>
            <w:rFonts w:asciiTheme="minorHAnsi" w:hAnsiTheme="minorHAnsi"/>
            <w:noProof/>
          </w:rPr>
          <w:tab/>
        </w:r>
        <w:r w:rsidRPr="00A968B2">
          <w:rPr>
            <w:rStyle w:val="Hyperlink"/>
            <w:noProof/>
          </w:rPr>
          <w:t>Transmission and distribution losses for electricity consumption</w:t>
        </w:r>
        <w:r>
          <w:rPr>
            <w:noProof/>
            <w:webHidden/>
          </w:rPr>
          <w:tab/>
        </w:r>
        <w:r>
          <w:rPr>
            <w:noProof/>
            <w:webHidden/>
          </w:rPr>
          <w:fldChar w:fldCharType="begin"/>
        </w:r>
        <w:r>
          <w:rPr>
            <w:noProof/>
            <w:webHidden/>
          </w:rPr>
          <w:instrText xml:space="preserve"> PAGEREF _Toc111536617 \h </w:instrText>
        </w:r>
        <w:r>
          <w:rPr>
            <w:noProof/>
            <w:webHidden/>
          </w:rPr>
        </w:r>
        <w:r>
          <w:rPr>
            <w:noProof/>
            <w:webHidden/>
          </w:rPr>
          <w:fldChar w:fldCharType="separate"/>
        </w:r>
        <w:r>
          <w:rPr>
            <w:noProof/>
            <w:webHidden/>
          </w:rPr>
          <w:t>43</w:t>
        </w:r>
        <w:r>
          <w:rPr>
            <w:noProof/>
            <w:webHidden/>
          </w:rPr>
          <w:fldChar w:fldCharType="end"/>
        </w:r>
      </w:hyperlink>
    </w:p>
    <w:p w14:paraId="58BF34D7" w14:textId="237963D4" w:rsidR="00954B9C" w:rsidRDefault="00954B9C">
      <w:pPr>
        <w:pStyle w:val="TableofFigures"/>
        <w:tabs>
          <w:tab w:val="right" w:pos="8495"/>
        </w:tabs>
        <w:rPr>
          <w:rFonts w:asciiTheme="minorHAnsi" w:hAnsiTheme="minorHAnsi"/>
          <w:noProof/>
        </w:rPr>
      </w:pPr>
      <w:hyperlink w:anchor="_Toc111536618" w:history="1">
        <w:r w:rsidRPr="00A968B2">
          <w:rPr>
            <w:rStyle w:val="Hyperlink"/>
            <w:noProof/>
          </w:rPr>
          <w:t>Table 13:</w:t>
        </w:r>
        <w:r>
          <w:rPr>
            <w:rFonts w:asciiTheme="minorHAnsi" w:hAnsiTheme="minorHAnsi"/>
            <w:noProof/>
          </w:rPr>
          <w:tab/>
        </w:r>
        <w:r w:rsidRPr="00A968B2">
          <w:rPr>
            <w:rStyle w:val="Hyperlink"/>
            <w:noProof/>
          </w:rPr>
          <w:t>Calculating the ratio of each gas from electricity emissions</w:t>
        </w:r>
        <w:r>
          <w:rPr>
            <w:noProof/>
            <w:webHidden/>
          </w:rPr>
          <w:tab/>
        </w:r>
        <w:r>
          <w:rPr>
            <w:noProof/>
            <w:webHidden/>
          </w:rPr>
          <w:fldChar w:fldCharType="begin"/>
        </w:r>
        <w:r>
          <w:rPr>
            <w:noProof/>
            <w:webHidden/>
          </w:rPr>
          <w:instrText xml:space="preserve"> PAGEREF _Toc111536618 \h </w:instrText>
        </w:r>
        <w:r>
          <w:rPr>
            <w:noProof/>
            <w:webHidden/>
          </w:rPr>
        </w:r>
        <w:r>
          <w:rPr>
            <w:noProof/>
            <w:webHidden/>
          </w:rPr>
          <w:fldChar w:fldCharType="separate"/>
        </w:r>
        <w:r>
          <w:rPr>
            <w:noProof/>
            <w:webHidden/>
          </w:rPr>
          <w:t>44</w:t>
        </w:r>
        <w:r>
          <w:rPr>
            <w:noProof/>
            <w:webHidden/>
          </w:rPr>
          <w:fldChar w:fldCharType="end"/>
        </w:r>
      </w:hyperlink>
    </w:p>
    <w:p w14:paraId="3A5B0B99" w14:textId="5E62F20A" w:rsidR="00954B9C" w:rsidRDefault="00954B9C">
      <w:pPr>
        <w:pStyle w:val="TableofFigures"/>
        <w:tabs>
          <w:tab w:val="right" w:pos="8495"/>
        </w:tabs>
        <w:rPr>
          <w:rFonts w:asciiTheme="minorHAnsi" w:hAnsiTheme="minorHAnsi"/>
          <w:noProof/>
        </w:rPr>
      </w:pPr>
      <w:hyperlink w:anchor="_Toc111536619" w:history="1">
        <w:r w:rsidRPr="00A968B2">
          <w:rPr>
            <w:rStyle w:val="Hyperlink"/>
            <w:noProof/>
          </w:rPr>
          <w:t>Table 14:</w:t>
        </w:r>
        <w:r>
          <w:rPr>
            <w:rFonts w:asciiTheme="minorHAnsi" w:hAnsiTheme="minorHAnsi"/>
            <w:noProof/>
          </w:rPr>
          <w:tab/>
        </w:r>
        <w:r w:rsidRPr="00A968B2">
          <w:rPr>
            <w:rStyle w:val="Hyperlink"/>
            <w:noProof/>
          </w:rPr>
          <w:t>Working from home emission factors</w:t>
        </w:r>
        <w:r>
          <w:rPr>
            <w:noProof/>
            <w:webHidden/>
          </w:rPr>
          <w:tab/>
        </w:r>
        <w:r>
          <w:rPr>
            <w:noProof/>
            <w:webHidden/>
          </w:rPr>
          <w:fldChar w:fldCharType="begin"/>
        </w:r>
        <w:r>
          <w:rPr>
            <w:noProof/>
            <w:webHidden/>
          </w:rPr>
          <w:instrText xml:space="preserve"> PAGEREF _Toc111536619 \h </w:instrText>
        </w:r>
        <w:r>
          <w:rPr>
            <w:noProof/>
            <w:webHidden/>
          </w:rPr>
        </w:r>
        <w:r>
          <w:rPr>
            <w:noProof/>
            <w:webHidden/>
          </w:rPr>
          <w:fldChar w:fldCharType="separate"/>
        </w:r>
        <w:r>
          <w:rPr>
            <w:noProof/>
            <w:webHidden/>
          </w:rPr>
          <w:t>45</w:t>
        </w:r>
        <w:r>
          <w:rPr>
            <w:noProof/>
            <w:webHidden/>
          </w:rPr>
          <w:fldChar w:fldCharType="end"/>
        </w:r>
      </w:hyperlink>
    </w:p>
    <w:p w14:paraId="51D8D136" w14:textId="261B3CDB" w:rsidR="00954B9C" w:rsidRDefault="00954B9C">
      <w:pPr>
        <w:pStyle w:val="TableofFigures"/>
        <w:tabs>
          <w:tab w:val="right" w:pos="8495"/>
        </w:tabs>
        <w:rPr>
          <w:rFonts w:asciiTheme="minorHAnsi" w:hAnsiTheme="minorHAnsi"/>
          <w:noProof/>
        </w:rPr>
      </w:pPr>
      <w:hyperlink w:anchor="_Toc111536620" w:history="1">
        <w:r w:rsidRPr="00A968B2">
          <w:rPr>
            <w:rStyle w:val="Hyperlink"/>
            <w:noProof/>
          </w:rPr>
          <w:t>Table 15:</w:t>
        </w:r>
        <w:r>
          <w:rPr>
            <w:rFonts w:asciiTheme="minorHAnsi" w:hAnsiTheme="minorHAnsi"/>
            <w:noProof/>
          </w:rPr>
          <w:tab/>
        </w:r>
        <w:r w:rsidRPr="00A968B2">
          <w:rPr>
            <w:rStyle w:val="Hyperlink"/>
            <w:noProof/>
          </w:rPr>
          <w:t>Data used to calculate the emission factors</w:t>
        </w:r>
        <w:r>
          <w:rPr>
            <w:noProof/>
            <w:webHidden/>
          </w:rPr>
          <w:tab/>
        </w:r>
        <w:r>
          <w:rPr>
            <w:noProof/>
            <w:webHidden/>
          </w:rPr>
          <w:fldChar w:fldCharType="begin"/>
        </w:r>
        <w:r>
          <w:rPr>
            <w:noProof/>
            <w:webHidden/>
          </w:rPr>
          <w:instrText xml:space="preserve"> PAGEREF _Toc111536620 \h </w:instrText>
        </w:r>
        <w:r>
          <w:rPr>
            <w:noProof/>
            <w:webHidden/>
          </w:rPr>
        </w:r>
        <w:r>
          <w:rPr>
            <w:noProof/>
            <w:webHidden/>
          </w:rPr>
          <w:fldChar w:fldCharType="separate"/>
        </w:r>
        <w:r>
          <w:rPr>
            <w:noProof/>
            <w:webHidden/>
          </w:rPr>
          <w:t>47</w:t>
        </w:r>
        <w:r>
          <w:rPr>
            <w:noProof/>
            <w:webHidden/>
          </w:rPr>
          <w:fldChar w:fldCharType="end"/>
        </w:r>
      </w:hyperlink>
    </w:p>
    <w:p w14:paraId="05DEDC4A" w14:textId="632EB206" w:rsidR="00954B9C" w:rsidRDefault="00954B9C">
      <w:pPr>
        <w:pStyle w:val="TableofFigures"/>
        <w:tabs>
          <w:tab w:val="right" w:pos="8495"/>
        </w:tabs>
        <w:rPr>
          <w:rFonts w:asciiTheme="minorHAnsi" w:hAnsiTheme="minorHAnsi"/>
          <w:noProof/>
        </w:rPr>
      </w:pPr>
      <w:hyperlink w:anchor="_Toc111536621" w:history="1">
        <w:r w:rsidRPr="00A968B2">
          <w:rPr>
            <w:rStyle w:val="Hyperlink"/>
            <w:noProof/>
          </w:rPr>
          <w:t>Table 16:</w:t>
        </w:r>
        <w:r>
          <w:rPr>
            <w:rFonts w:asciiTheme="minorHAnsi" w:hAnsiTheme="minorHAnsi"/>
            <w:noProof/>
          </w:rPr>
          <w:tab/>
        </w:r>
        <w:r w:rsidRPr="00A968B2">
          <w:rPr>
            <w:rStyle w:val="Hyperlink"/>
            <w:noProof/>
          </w:rPr>
          <w:t>Vehicle engine sizes and common car types</w:t>
        </w:r>
        <w:r>
          <w:rPr>
            <w:noProof/>
            <w:webHidden/>
          </w:rPr>
          <w:tab/>
        </w:r>
        <w:r>
          <w:rPr>
            <w:noProof/>
            <w:webHidden/>
          </w:rPr>
          <w:fldChar w:fldCharType="begin"/>
        </w:r>
        <w:r>
          <w:rPr>
            <w:noProof/>
            <w:webHidden/>
          </w:rPr>
          <w:instrText xml:space="preserve"> PAGEREF _Toc111536621 \h </w:instrText>
        </w:r>
        <w:r>
          <w:rPr>
            <w:noProof/>
            <w:webHidden/>
          </w:rPr>
        </w:r>
        <w:r>
          <w:rPr>
            <w:noProof/>
            <w:webHidden/>
          </w:rPr>
          <w:fldChar w:fldCharType="separate"/>
        </w:r>
        <w:r>
          <w:rPr>
            <w:noProof/>
            <w:webHidden/>
          </w:rPr>
          <w:t>50</w:t>
        </w:r>
        <w:r>
          <w:rPr>
            <w:noProof/>
            <w:webHidden/>
          </w:rPr>
          <w:fldChar w:fldCharType="end"/>
        </w:r>
      </w:hyperlink>
    </w:p>
    <w:p w14:paraId="51B5A3ED" w14:textId="62588787" w:rsidR="00954B9C" w:rsidRDefault="00954B9C">
      <w:pPr>
        <w:pStyle w:val="TableofFigures"/>
        <w:tabs>
          <w:tab w:val="right" w:pos="8495"/>
        </w:tabs>
        <w:rPr>
          <w:rFonts w:asciiTheme="minorHAnsi" w:hAnsiTheme="minorHAnsi"/>
          <w:noProof/>
        </w:rPr>
      </w:pPr>
      <w:hyperlink w:anchor="_Toc111536622" w:history="1">
        <w:r w:rsidRPr="00A968B2">
          <w:rPr>
            <w:rStyle w:val="Hyperlink"/>
            <w:noProof/>
          </w:rPr>
          <w:t>Table 17:</w:t>
        </w:r>
        <w:r>
          <w:rPr>
            <w:rFonts w:asciiTheme="minorHAnsi" w:hAnsiTheme="minorHAnsi"/>
            <w:noProof/>
          </w:rPr>
          <w:tab/>
        </w:r>
        <w:r w:rsidRPr="00A968B2">
          <w:rPr>
            <w:rStyle w:val="Hyperlink"/>
            <w:noProof/>
          </w:rPr>
          <w:t>Pre-2010 vehicle fleet emission factors per km travelled</w:t>
        </w:r>
        <w:r>
          <w:rPr>
            <w:noProof/>
            <w:webHidden/>
          </w:rPr>
          <w:tab/>
        </w:r>
        <w:r>
          <w:rPr>
            <w:noProof/>
            <w:webHidden/>
          </w:rPr>
          <w:fldChar w:fldCharType="begin"/>
        </w:r>
        <w:r>
          <w:rPr>
            <w:noProof/>
            <w:webHidden/>
          </w:rPr>
          <w:instrText xml:space="preserve"> PAGEREF _Toc111536622 \h </w:instrText>
        </w:r>
        <w:r>
          <w:rPr>
            <w:noProof/>
            <w:webHidden/>
          </w:rPr>
        </w:r>
        <w:r>
          <w:rPr>
            <w:noProof/>
            <w:webHidden/>
          </w:rPr>
          <w:fldChar w:fldCharType="separate"/>
        </w:r>
        <w:r>
          <w:rPr>
            <w:noProof/>
            <w:webHidden/>
          </w:rPr>
          <w:t>50</w:t>
        </w:r>
        <w:r>
          <w:rPr>
            <w:noProof/>
            <w:webHidden/>
          </w:rPr>
          <w:fldChar w:fldCharType="end"/>
        </w:r>
      </w:hyperlink>
    </w:p>
    <w:p w14:paraId="405E98E8" w14:textId="6D893CAC" w:rsidR="00954B9C" w:rsidRDefault="00954B9C">
      <w:pPr>
        <w:pStyle w:val="TableofFigures"/>
        <w:tabs>
          <w:tab w:val="right" w:pos="8495"/>
        </w:tabs>
        <w:rPr>
          <w:rFonts w:asciiTheme="minorHAnsi" w:hAnsiTheme="minorHAnsi"/>
          <w:noProof/>
        </w:rPr>
      </w:pPr>
      <w:hyperlink w:anchor="_Toc111536623" w:history="1">
        <w:r w:rsidRPr="00A968B2">
          <w:rPr>
            <w:rStyle w:val="Hyperlink"/>
            <w:noProof/>
          </w:rPr>
          <w:t>Table 18:</w:t>
        </w:r>
        <w:r>
          <w:rPr>
            <w:rFonts w:asciiTheme="minorHAnsi" w:hAnsiTheme="minorHAnsi"/>
            <w:noProof/>
          </w:rPr>
          <w:tab/>
        </w:r>
        <w:r w:rsidRPr="00A968B2">
          <w:rPr>
            <w:rStyle w:val="Hyperlink"/>
            <w:noProof/>
          </w:rPr>
          <w:t>2010–2015 vehicle fleet emission factors per km travelled</w:t>
        </w:r>
        <w:r>
          <w:rPr>
            <w:noProof/>
            <w:webHidden/>
          </w:rPr>
          <w:tab/>
        </w:r>
        <w:r>
          <w:rPr>
            <w:noProof/>
            <w:webHidden/>
          </w:rPr>
          <w:fldChar w:fldCharType="begin"/>
        </w:r>
        <w:r>
          <w:rPr>
            <w:noProof/>
            <w:webHidden/>
          </w:rPr>
          <w:instrText xml:space="preserve"> PAGEREF _Toc111536623 \h </w:instrText>
        </w:r>
        <w:r>
          <w:rPr>
            <w:noProof/>
            <w:webHidden/>
          </w:rPr>
        </w:r>
        <w:r>
          <w:rPr>
            <w:noProof/>
            <w:webHidden/>
          </w:rPr>
          <w:fldChar w:fldCharType="separate"/>
        </w:r>
        <w:r>
          <w:rPr>
            <w:noProof/>
            <w:webHidden/>
          </w:rPr>
          <w:t>51</w:t>
        </w:r>
        <w:r>
          <w:rPr>
            <w:noProof/>
            <w:webHidden/>
          </w:rPr>
          <w:fldChar w:fldCharType="end"/>
        </w:r>
      </w:hyperlink>
    </w:p>
    <w:p w14:paraId="081CE602" w14:textId="0D7499CA" w:rsidR="00954B9C" w:rsidRDefault="00954B9C">
      <w:pPr>
        <w:pStyle w:val="TableofFigures"/>
        <w:tabs>
          <w:tab w:val="right" w:pos="8495"/>
        </w:tabs>
        <w:rPr>
          <w:rFonts w:asciiTheme="minorHAnsi" w:hAnsiTheme="minorHAnsi"/>
          <w:noProof/>
        </w:rPr>
      </w:pPr>
      <w:hyperlink w:anchor="_Toc111536624" w:history="1">
        <w:r w:rsidRPr="00A968B2">
          <w:rPr>
            <w:rStyle w:val="Hyperlink"/>
            <w:noProof/>
          </w:rPr>
          <w:t>Table 19:</w:t>
        </w:r>
        <w:r>
          <w:rPr>
            <w:rFonts w:asciiTheme="minorHAnsi" w:hAnsiTheme="minorHAnsi"/>
            <w:noProof/>
          </w:rPr>
          <w:tab/>
        </w:r>
        <w:r w:rsidRPr="00A968B2">
          <w:rPr>
            <w:rStyle w:val="Hyperlink"/>
            <w:noProof/>
          </w:rPr>
          <w:t>Post-2015 vehicle fleet emissions per km travelled</w:t>
        </w:r>
        <w:r>
          <w:rPr>
            <w:noProof/>
            <w:webHidden/>
          </w:rPr>
          <w:tab/>
        </w:r>
        <w:r>
          <w:rPr>
            <w:noProof/>
            <w:webHidden/>
          </w:rPr>
          <w:fldChar w:fldCharType="begin"/>
        </w:r>
        <w:r>
          <w:rPr>
            <w:noProof/>
            <w:webHidden/>
          </w:rPr>
          <w:instrText xml:space="preserve"> PAGEREF _Toc111536624 \h </w:instrText>
        </w:r>
        <w:r>
          <w:rPr>
            <w:noProof/>
            <w:webHidden/>
          </w:rPr>
        </w:r>
        <w:r>
          <w:rPr>
            <w:noProof/>
            <w:webHidden/>
          </w:rPr>
          <w:fldChar w:fldCharType="separate"/>
        </w:r>
        <w:r>
          <w:rPr>
            <w:noProof/>
            <w:webHidden/>
          </w:rPr>
          <w:t>52</w:t>
        </w:r>
        <w:r>
          <w:rPr>
            <w:noProof/>
            <w:webHidden/>
          </w:rPr>
          <w:fldChar w:fldCharType="end"/>
        </w:r>
      </w:hyperlink>
    </w:p>
    <w:p w14:paraId="57B09984" w14:textId="5D97B343" w:rsidR="00954B9C" w:rsidRDefault="00954B9C">
      <w:pPr>
        <w:pStyle w:val="TableofFigures"/>
        <w:tabs>
          <w:tab w:val="right" w:pos="8495"/>
        </w:tabs>
        <w:rPr>
          <w:rFonts w:asciiTheme="minorHAnsi" w:hAnsiTheme="minorHAnsi"/>
          <w:noProof/>
        </w:rPr>
      </w:pPr>
      <w:hyperlink w:anchor="_Toc111536625" w:history="1">
        <w:r w:rsidRPr="00A968B2">
          <w:rPr>
            <w:rStyle w:val="Hyperlink"/>
            <w:noProof/>
          </w:rPr>
          <w:t>Table 20:</w:t>
        </w:r>
        <w:r>
          <w:rPr>
            <w:rFonts w:asciiTheme="minorHAnsi" w:hAnsiTheme="minorHAnsi"/>
            <w:noProof/>
          </w:rPr>
          <w:tab/>
        </w:r>
        <w:r w:rsidRPr="00A968B2">
          <w:rPr>
            <w:rStyle w:val="Hyperlink"/>
            <w:noProof/>
          </w:rPr>
          <w:t>Default private car emission factors per km travelled for default age of vehicle and &lt;3000 cc engine size</w:t>
        </w:r>
        <w:r>
          <w:rPr>
            <w:noProof/>
            <w:webHidden/>
          </w:rPr>
          <w:tab/>
        </w:r>
        <w:r>
          <w:rPr>
            <w:noProof/>
            <w:webHidden/>
          </w:rPr>
          <w:fldChar w:fldCharType="begin"/>
        </w:r>
        <w:r>
          <w:rPr>
            <w:noProof/>
            <w:webHidden/>
          </w:rPr>
          <w:instrText xml:space="preserve"> PAGEREF _Toc111536625 \h </w:instrText>
        </w:r>
        <w:r>
          <w:rPr>
            <w:noProof/>
            <w:webHidden/>
          </w:rPr>
        </w:r>
        <w:r>
          <w:rPr>
            <w:noProof/>
            <w:webHidden/>
          </w:rPr>
          <w:fldChar w:fldCharType="separate"/>
        </w:r>
        <w:r>
          <w:rPr>
            <w:noProof/>
            <w:webHidden/>
          </w:rPr>
          <w:t>53</w:t>
        </w:r>
        <w:r>
          <w:rPr>
            <w:noProof/>
            <w:webHidden/>
          </w:rPr>
          <w:fldChar w:fldCharType="end"/>
        </w:r>
      </w:hyperlink>
    </w:p>
    <w:p w14:paraId="2CFE3F09" w14:textId="2D1D84F8" w:rsidR="00954B9C" w:rsidRDefault="00954B9C">
      <w:pPr>
        <w:pStyle w:val="TableofFigures"/>
        <w:tabs>
          <w:tab w:val="right" w:pos="8495"/>
        </w:tabs>
        <w:rPr>
          <w:rFonts w:asciiTheme="minorHAnsi" w:hAnsiTheme="minorHAnsi"/>
          <w:noProof/>
        </w:rPr>
      </w:pPr>
      <w:hyperlink w:anchor="_Toc111536626" w:history="1">
        <w:r w:rsidRPr="00A968B2">
          <w:rPr>
            <w:rStyle w:val="Hyperlink"/>
            <w:noProof/>
          </w:rPr>
          <w:t>Table 21:</w:t>
        </w:r>
        <w:r>
          <w:rPr>
            <w:rFonts w:asciiTheme="minorHAnsi" w:hAnsiTheme="minorHAnsi"/>
            <w:noProof/>
          </w:rPr>
          <w:tab/>
        </w:r>
        <w:r w:rsidRPr="00A968B2">
          <w:rPr>
            <w:rStyle w:val="Hyperlink"/>
            <w:noProof/>
          </w:rPr>
          <w:t>Default rental car emission factors per km travelled</w:t>
        </w:r>
        <w:r>
          <w:rPr>
            <w:noProof/>
            <w:webHidden/>
          </w:rPr>
          <w:tab/>
        </w:r>
        <w:r>
          <w:rPr>
            <w:noProof/>
            <w:webHidden/>
          </w:rPr>
          <w:fldChar w:fldCharType="begin"/>
        </w:r>
        <w:r>
          <w:rPr>
            <w:noProof/>
            <w:webHidden/>
          </w:rPr>
          <w:instrText xml:space="preserve"> PAGEREF _Toc111536626 \h </w:instrText>
        </w:r>
        <w:r>
          <w:rPr>
            <w:noProof/>
            <w:webHidden/>
          </w:rPr>
        </w:r>
        <w:r>
          <w:rPr>
            <w:noProof/>
            <w:webHidden/>
          </w:rPr>
          <w:fldChar w:fldCharType="separate"/>
        </w:r>
        <w:r>
          <w:rPr>
            <w:noProof/>
            <w:webHidden/>
          </w:rPr>
          <w:t>54</w:t>
        </w:r>
        <w:r>
          <w:rPr>
            <w:noProof/>
            <w:webHidden/>
          </w:rPr>
          <w:fldChar w:fldCharType="end"/>
        </w:r>
      </w:hyperlink>
    </w:p>
    <w:p w14:paraId="30C50D31" w14:textId="43272DDC" w:rsidR="00954B9C" w:rsidRDefault="00954B9C">
      <w:pPr>
        <w:pStyle w:val="TableofFigures"/>
        <w:tabs>
          <w:tab w:val="right" w:pos="8495"/>
        </w:tabs>
        <w:rPr>
          <w:rFonts w:asciiTheme="minorHAnsi" w:hAnsiTheme="minorHAnsi"/>
          <w:noProof/>
        </w:rPr>
      </w:pPr>
      <w:hyperlink w:anchor="_Toc111536627" w:history="1">
        <w:r w:rsidRPr="00A968B2">
          <w:rPr>
            <w:rStyle w:val="Hyperlink"/>
            <w:noProof/>
          </w:rPr>
          <w:t xml:space="preserve">Table 22: </w:t>
        </w:r>
        <w:r>
          <w:rPr>
            <w:rFonts w:asciiTheme="minorHAnsi" w:hAnsiTheme="minorHAnsi"/>
            <w:noProof/>
          </w:rPr>
          <w:tab/>
        </w:r>
        <w:r w:rsidRPr="00A968B2">
          <w:rPr>
            <w:rStyle w:val="Hyperlink"/>
            <w:noProof/>
          </w:rPr>
          <w:t>Emission factors for taxi travel</w:t>
        </w:r>
        <w:r>
          <w:rPr>
            <w:noProof/>
            <w:webHidden/>
          </w:rPr>
          <w:tab/>
        </w:r>
        <w:r>
          <w:rPr>
            <w:noProof/>
            <w:webHidden/>
          </w:rPr>
          <w:fldChar w:fldCharType="begin"/>
        </w:r>
        <w:r>
          <w:rPr>
            <w:noProof/>
            <w:webHidden/>
          </w:rPr>
          <w:instrText xml:space="preserve"> PAGEREF _Toc111536627 \h </w:instrText>
        </w:r>
        <w:r>
          <w:rPr>
            <w:noProof/>
            <w:webHidden/>
          </w:rPr>
        </w:r>
        <w:r>
          <w:rPr>
            <w:noProof/>
            <w:webHidden/>
          </w:rPr>
          <w:fldChar w:fldCharType="separate"/>
        </w:r>
        <w:r>
          <w:rPr>
            <w:noProof/>
            <w:webHidden/>
          </w:rPr>
          <w:t>54</w:t>
        </w:r>
        <w:r>
          <w:rPr>
            <w:noProof/>
            <w:webHidden/>
          </w:rPr>
          <w:fldChar w:fldCharType="end"/>
        </w:r>
      </w:hyperlink>
    </w:p>
    <w:p w14:paraId="1297F13D" w14:textId="24F60672" w:rsidR="00954B9C" w:rsidRDefault="00954B9C">
      <w:pPr>
        <w:pStyle w:val="TableofFigures"/>
        <w:tabs>
          <w:tab w:val="right" w:pos="8495"/>
        </w:tabs>
        <w:rPr>
          <w:rFonts w:asciiTheme="minorHAnsi" w:hAnsiTheme="minorHAnsi"/>
          <w:noProof/>
        </w:rPr>
      </w:pPr>
      <w:hyperlink w:anchor="_Toc111536628" w:history="1">
        <w:r w:rsidRPr="00A968B2">
          <w:rPr>
            <w:rStyle w:val="Hyperlink"/>
            <w:noProof/>
          </w:rPr>
          <w:t>Table 23:</w:t>
        </w:r>
        <w:r>
          <w:rPr>
            <w:rFonts w:asciiTheme="minorHAnsi" w:hAnsiTheme="minorHAnsi"/>
            <w:noProof/>
          </w:rPr>
          <w:tab/>
        </w:r>
        <w:r w:rsidRPr="00A968B2">
          <w:rPr>
            <w:rStyle w:val="Hyperlink"/>
            <w:noProof/>
          </w:rPr>
          <w:t>Fuel consumption in litres per 100 km</w:t>
        </w:r>
        <w:r>
          <w:rPr>
            <w:noProof/>
            <w:webHidden/>
          </w:rPr>
          <w:tab/>
        </w:r>
        <w:r>
          <w:rPr>
            <w:noProof/>
            <w:webHidden/>
          </w:rPr>
          <w:fldChar w:fldCharType="begin"/>
        </w:r>
        <w:r>
          <w:rPr>
            <w:noProof/>
            <w:webHidden/>
          </w:rPr>
          <w:instrText xml:space="preserve"> PAGEREF _Toc111536628 \h </w:instrText>
        </w:r>
        <w:r>
          <w:rPr>
            <w:noProof/>
            <w:webHidden/>
          </w:rPr>
        </w:r>
        <w:r>
          <w:rPr>
            <w:noProof/>
            <w:webHidden/>
          </w:rPr>
          <w:fldChar w:fldCharType="separate"/>
        </w:r>
        <w:r>
          <w:rPr>
            <w:noProof/>
            <w:webHidden/>
          </w:rPr>
          <w:t>56</w:t>
        </w:r>
        <w:r>
          <w:rPr>
            <w:noProof/>
            <w:webHidden/>
          </w:rPr>
          <w:fldChar w:fldCharType="end"/>
        </w:r>
      </w:hyperlink>
    </w:p>
    <w:p w14:paraId="6A0E5BDE" w14:textId="1B87B083" w:rsidR="00954B9C" w:rsidRDefault="00954B9C">
      <w:pPr>
        <w:pStyle w:val="TableofFigures"/>
        <w:tabs>
          <w:tab w:val="right" w:pos="8495"/>
        </w:tabs>
        <w:rPr>
          <w:rFonts w:asciiTheme="minorHAnsi" w:hAnsiTheme="minorHAnsi"/>
          <w:noProof/>
        </w:rPr>
      </w:pPr>
      <w:hyperlink w:anchor="_Toc111536629" w:history="1">
        <w:r w:rsidRPr="00A968B2">
          <w:rPr>
            <w:rStyle w:val="Hyperlink"/>
            <w:noProof/>
          </w:rPr>
          <w:t>Table 24:</w:t>
        </w:r>
        <w:r>
          <w:rPr>
            <w:rFonts w:asciiTheme="minorHAnsi" w:hAnsiTheme="minorHAnsi"/>
            <w:noProof/>
          </w:rPr>
          <w:tab/>
        </w:r>
        <w:r w:rsidRPr="00A968B2">
          <w:rPr>
            <w:rStyle w:val="Hyperlink"/>
            <w:noProof/>
          </w:rPr>
          <w:t>Data used for calculating the taxi emission factors</w:t>
        </w:r>
        <w:r>
          <w:rPr>
            <w:noProof/>
            <w:webHidden/>
          </w:rPr>
          <w:tab/>
        </w:r>
        <w:r>
          <w:rPr>
            <w:noProof/>
            <w:webHidden/>
          </w:rPr>
          <w:fldChar w:fldCharType="begin"/>
        </w:r>
        <w:r>
          <w:rPr>
            <w:noProof/>
            <w:webHidden/>
          </w:rPr>
          <w:instrText xml:space="preserve"> PAGEREF _Toc111536629 \h </w:instrText>
        </w:r>
        <w:r>
          <w:rPr>
            <w:noProof/>
            <w:webHidden/>
          </w:rPr>
        </w:r>
        <w:r>
          <w:rPr>
            <w:noProof/>
            <w:webHidden/>
          </w:rPr>
          <w:fldChar w:fldCharType="separate"/>
        </w:r>
        <w:r>
          <w:rPr>
            <w:noProof/>
            <w:webHidden/>
          </w:rPr>
          <w:t>58</w:t>
        </w:r>
        <w:r>
          <w:rPr>
            <w:noProof/>
            <w:webHidden/>
          </w:rPr>
          <w:fldChar w:fldCharType="end"/>
        </w:r>
      </w:hyperlink>
    </w:p>
    <w:p w14:paraId="43E74205" w14:textId="63699E7E" w:rsidR="00954B9C" w:rsidRDefault="00954B9C">
      <w:pPr>
        <w:pStyle w:val="TableofFigures"/>
        <w:tabs>
          <w:tab w:val="right" w:pos="8495"/>
        </w:tabs>
        <w:rPr>
          <w:rFonts w:asciiTheme="minorHAnsi" w:hAnsiTheme="minorHAnsi"/>
          <w:noProof/>
        </w:rPr>
      </w:pPr>
      <w:hyperlink w:anchor="_Toc111536630" w:history="1">
        <w:r w:rsidRPr="00A968B2">
          <w:rPr>
            <w:rStyle w:val="Hyperlink"/>
            <w:noProof/>
          </w:rPr>
          <w:t>Table 25:</w:t>
        </w:r>
        <w:r>
          <w:rPr>
            <w:rFonts w:asciiTheme="minorHAnsi" w:hAnsiTheme="minorHAnsi"/>
            <w:noProof/>
          </w:rPr>
          <w:tab/>
        </w:r>
        <w:r w:rsidRPr="00A968B2">
          <w:rPr>
            <w:rStyle w:val="Hyperlink"/>
            <w:noProof/>
          </w:rPr>
          <w:t>Data on the number of taxis purchased by fuel type</w:t>
        </w:r>
        <w:r>
          <w:rPr>
            <w:noProof/>
            <w:webHidden/>
          </w:rPr>
          <w:tab/>
        </w:r>
        <w:r>
          <w:rPr>
            <w:noProof/>
            <w:webHidden/>
          </w:rPr>
          <w:fldChar w:fldCharType="begin"/>
        </w:r>
        <w:r>
          <w:rPr>
            <w:noProof/>
            <w:webHidden/>
          </w:rPr>
          <w:instrText xml:space="preserve"> PAGEREF _Toc111536630 \h </w:instrText>
        </w:r>
        <w:r>
          <w:rPr>
            <w:noProof/>
            <w:webHidden/>
          </w:rPr>
        </w:r>
        <w:r>
          <w:rPr>
            <w:noProof/>
            <w:webHidden/>
          </w:rPr>
          <w:fldChar w:fldCharType="separate"/>
        </w:r>
        <w:r>
          <w:rPr>
            <w:noProof/>
            <w:webHidden/>
          </w:rPr>
          <w:t>58</w:t>
        </w:r>
        <w:r>
          <w:rPr>
            <w:noProof/>
            <w:webHidden/>
          </w:rPr>
          <w:fldChar w:fldCharType="end"/>
        </w:r>
      </w:hyperlink>
    </w:p>
    <w:p w14:paraId="19DC82A6" w14:textId="3DC5D46C" w:rsidR="00954B9C" w:rsidRDefault="00954B9C">
      <w:pPr>
        <w:pStyle w:val="TableofFigures"/>
        <w:tabs>
          <w:tab w:val="right" w:pos="8495"/>
        </w:tabs>
        <w:rPr>
          <w:rFonts w:asciiTheme="minorHAnsi" w:hAnsiTheme="minorHAnsi"/>
          <w:noProof/>
        </w:rPr>
      </w:pPr>
      <w:hyperlink w:anchor="_Toc111536631" w:history="1">
        <w:r w:rsidRPr="00A968B2">
          <w:rPr>
            <w:rStyle w:val="Hyperlink"/>
            <w:noProof/>
          </w:rPr>
          <w:t>Table 26:</w:t>
        </w:r>
        <w:r>
          <w:rPr>
            <w:rFonts w:asciiTheme="minorHAnsi" w:hAnsiTheme="minorHAnsi"/>
            <w:noProof/>
          </w:rPr>
          <w:tab/>
        </w:r>
        <w:r w:rsidRPr="00A968B2">
          <w:rPr>
            <w:rStyle w:val="Hyperlink"/>
            <w:noProof/>
          </w:rPr>
          <w:t>Energy consumption per 100 km for light passenger vehicles manufactured in 2004</w:t>
        </w:r>
        <w:r>
          <w:rPr>
            <w:noProof/>
            <w:webHidden/>
          </w:rPr>
          <w:tab/>
        </w:r>
        <w:r>
          <w:rPr>
            <w:noProof/>
            <w:webHidden/>
          </w:rPr>
          <w:fldChar w:fldCharType="begin"/>
        </w:r>
        <w:r>
          <w:rPr>
            <w:noProof/>
            <w:webHidden/>
          </w:rPr>
          <w:instrText xml:space="preserve"> PAGEREF _Toc111536631 \h </w:instrText>
        </w:r>
        <w:r>
          <w:rPr>
            <w:noProof/>
            <w:webHidden/>
          </w:rPr>
        </w:r>
        <w:r>
          <w:rPr>
            <w:noProof/>
            <w:webHidden/>
          </w:rPr>
          <w:fldChar w:fldCharType="separate"/>
        </w:r>
        <w:r>
          <w:rPr>
            <w:noProof/>
            <w:webHidden/>
          </w:rPr>
          <w:t>58</w:t>
        </w:r>
        <w:r>
          <w:rPr>
            <w:noProof/>
            <w:webHidden/>
          </w:rPr>
          <w:fldChar w:fldCharType="end"/>
        </w:r>
      </w:hyperlink>
    </w:p>
    <w:p w14:paraId="3B8CE310" w14:textId="4039F03D" w:rsidR="00954B9C" w:rsidRDefault="00954B9C">
      <w:pPr>
        <w:pStyle w:val="TableofFigures"/>
        <w:tabs>
          <w:tab w:val="right" w:pos="8495"/>
        </w:tabs>
        <w:rPr>
          <w:rFonts w:asciiTheme="minorHAnsi" w:hAnsiTheme="minorHAnsi"/>
          <w:noProof/>
        </w:rPr>
      </w:pPr>
      <w:hyperlink w:anchor="_Toc111536632" w:history="1">
        <w:r w:rsidRPr="00A968B2">
          <w:rPr>
            <w:rStyle w:val="Hyperlink"/>
            <w:noProof/>
          </w:rPr>
          <w:t>Table 27:</w:t>
        </w:r>
        <w:r>
          <w:rPr>
            <w:rFonts w:asciiTheme="minorHAnsi" w:hAnsiTheme="minorHAnsi"/>
            <w:noProof/>
          </w:rPr>
          <w:tab/>
        </w:r>
        <w:r w:rsidRPr="00A968B2">
          <w:rPr>
            <w:rStyle w:val="Hyperlink"/>
            <w:noProof/>
          </w:rPr>
          <w:t>Emission factors for public transport</w:t>
        </w:r>
        <w:r>
          <w:rPr>
            <w:noProof/>
            <w:webHidden/>
          </w:rPr>
          <w:tab/>
        </w:r>
        <w:r>
          <w:rPr>
            <w:noProof/>
            <w:webHidden/>
          </w:rPr>
          <w:fldChar w:fldCharType="begin"/>
        </w:r>
        <w:r>
          <w:rPr>
            <w:noProof/>
            <w:webHidden/>
          </w:rPr>
          <w:instrText xml:space="preserve"> PAGEREF _Toc111536632 \h </w:instrText>
        </w:r>
        <w:r>
          <w:rPr>
            <w:noProof/>
            <w:webHidden/>
          </w:rPr>
        </w:r>
        <w:r>
          <w:rPr>
            <w:noProof/>
            <w:webHidden/>
          </w:rPr>
          <w:fldChar w:fldCharType="separate"/>
        </w:r>
        <w:r>
          <w:rPr>
            <w:noProof/>
            <w:webHidden/>
          </w:rPr>
          <w:t>60</w:t>
        </w:r>
        <w:r>
          <w:rPr>
            <w:noProof/>
            <w:webHidden/>
          </w:rPr>
          <w:fldChar w:fldCharType="end"/>
        </w:r>
      </w:hyperlink>
    </w:p>
    <w:p w14:paraId="26EF9E9A" w14:textId="2CF6AC1F" w:rsidR="00954B9C" w:rsidRDefault="00954B9C">
      <w:pPr>
        <w:pStyle w:val="TableofFigures"/>
        <w:tabs>
          <w:tab w:val="right" w:pos="8495"/>
        </w:tabs>
        <w:rPr>
          <w:rFonts w:asciiTheme="minorHAnsi" w:hAnsiTheme="minorHAnsi"/>
          <w:noProof/>
        </w:rPr>
      </w:pPr>
      <w:hyperlink w:anchor="_Toc111536633" w:history="1">
        <w:r w:rsidRPr="00A968B2">
          <w:rPr>
            <w:rStyle w:val="Hyperlink"/>
            <w:noProof/>
          </w:rPr>
          <w:t>Table 28:</w:t>
        </w:r>
        <w:r>
          <w:rPr>
            <w:rFonts w:asciiTheme="minorHAnsi" w:hAnsiTheme="minorHAnsi"/>
            <w:noProof/>
          </w:rPr>
          <w:tab/>
        </w:r>
        <w:r w:rsidRPr="00A968B2">
          <w:rPr>
            <w:rStyle w:val="Hyperlink"/>
            <w:noProof/>
          </w:rPr>
          <w:t>National bus pkm in 2020/21</w:t>
        </w:r>
        <w:r>
          <w:rPr>
            <w:noProof/>
            <w:webHidden/>
          </w:rPr>
          <w:tab/>
        </w:r>
        <w:r>
          <w:rPr>
            <w:noProof/>
            <w:webHidden/>
          </w:rPr>
          <w:fldChar w:fldCharType="begin"/>
        </w:r>
        <w:r>
          <w:rPr>
            <w:noProof/>
            <w:webHidden/>
          </w:rPr>
          <w:instrText xml:space="preserve"> PAGEREF _Toc111536633 \h </w:instrText>
        </w:r>
        <w:r>
          <w:rPr>
            <w:noProof/>
            <w:webHidden/>
          </w:rPr>
        </w:r>
        <w:r>
          <w:rPr>
            <w:noProof/>
            <w:webHidden/>
          </w:rPr>
          <w:fldChar w:fldCharType="separate"/>
        </w:r>
        <w:r>
          <w:rPr>
            <w:noProof/>
            <w:webHidden/>
          </w:rPr>
          <w:t>61</w:t>
        </w:r>
        <w:r>
          <w:rPr>
            <w:noProof/>
            <w:webHidden/>
          </w:rPr>
          <w:fldChar w:fldCharType="end"/>
        </w:r>
      </w:hyperlink>
    </w:p>
    <w:p w14:paraId="51A43FDA" w14:textId="103F4086" w:rsidR="00954B9C" w:rsidRDefault="00954B9C">
      <w:pPr>
        <w:pStyle w:val="TableofFigures"/>
        <w:tabs>
          <w:tab w:val="right" w:pos="8495"/>
        </w:tabs>
        <w:rPr>
          <w:rFonts w:asciiTheme="minorHAnsi" w:hAnsiTheme="minorHAnsi"/>
          <w:noProof/>
        </w:rPr>
      </w:pPr>
      <w:hyperlink w:anchor="_Toc111536634" w:history="1">
        <w:r w:rsidRPr="00A968B2">
          <w:rPr>
            <w:rStyle w:val="Hyperlink"/>
            <w:noProof/>
          </w:rPr>
          <w:t>Table 29:</w:t>
        </w:r>
        <w:r>
          <w:rPr>
            <w:rFonts w:asciiTheme="minorHAnsi" w:hAnsiTheme="minorHAnsi"/>
            <w:noProof/>
          </w:rPr>
          <w:tab/>
        </w:r>
        <w:r w:rsidRPr="00A968B2">
          <w:rPr>
            <w:rStyle w:val="Hyperlink"/>
            <w:noProof/>
          </w:rPr>
          <w:t>National bus passenger loading by region</w:t>
        </w:r>
        <w:r>
          <w:rPr>
            <w:noProof/>
            <w:webHidden/>
          </w:rPr>
          <w:tab/>
        </w:r>
        <w:r>
          <w:rPr>
            <w:noProof/>
            <w:webHidden/>
          </w:rPr>
          <w:fldChar w:fldCharType="begin"/>
        </w:r>
        <w:r>
          <w:rPr>
            <w:noProof/>
            <w:webHidden/>
          </w:rPr>
          <w:instrText xml:space="preserve"> PAGEREF _Toc111536634 \h </w:instrText>
        </w:r>
        <w:r>
          <w:rPr>
            <w:noProof/>
            <w:webHidden/>
          </w:rPr>
        </w:r>
        <w:r>
          <w:rPr>
            <w:noProof/>
            <w:webHidden/>
          </w:rPr>
          <w:fldChar w:fldCharType="separate"/>
        </w:r>
        <w:r>
          <w:rPr>
            <w:noProof/>
            <w:webHidden/>
          </w:rPr>
          <w:t>61</w:t>
        </w:r>
        <w:r>
          <w:rPr>
            <w:noProof/>
            <w:webHidden/>
          </w:rPr>
          <w:fldChar w:fldCharType="end"/>
        </w:r>
      </w:hyperlink>
    </w:p>
    <w:p w14:paraId="25327A18" w14:textId="2B2843B5" w:rsidR="00954B9C" w:rsidRDefault="00954B9C">
      <w:pPr>
        <w:pStyle w:val="TableofFigures"/>
        <w:tabs>
          <w:tab w:val="right" w:pos="8495"/>
        </w:tabs>
        <w:rPr>
          <w:rFonts w:asciiTheme="minorHAnsi" w:hAnsiTheme="minorHAnsi"/>
          <w:noProof/>
        </w:rPr>
      </w:pPr>
      <w:hyperlink w:anchor="_Toc111536635" w:history="1">
        <w:r w:rsidRPr="00A968B2">
          <w:rPr>
            <w:rStyle w:val="Hyperlink"/>
            <w:noProof/>
          </w:rPr>
          <w:t>Table 30:</w:t>
        </w:r>
        <w:r>
          <w:rPr>
            <w:rFonts w:asciiTheme="minorHAnsi" w:hAnsiTheme="minorHAnsi"/>
            <w:noProof/>
          </w:rPr>
          <w:tab/>
        </w:r>
        <w:r w:rsidRPr="00A968B2">
          <w:rPr>
            <w:rStyle w:val="Hyperlink"/>
            <w:noProof/>
          </w:rPr>
          <w:t>Emission factor for diesel bus</w:t>
        </w:r>
        <w:r>
          <w:rPr>
            <w:noProof/>
            <w:webHidden/>
          </w:rPr>
          <w:tab/>
        </w:r>
        <w:r>
          <w:rPr>
            <w:noProof/>
            <w:webHidden/>
          </w:rPr>
          <w:fldChar w:fldCharType="begin"/>
        </w:r>
        <w:r>
          <w:rPr>
            <w:noProof/>
            <w:webHidden/>
          </w:rPr>
          <w:instrText xml:space="preserve"> PAGEREF _Toc111536635 \h </w:instrText>
        </w:r>
        <w:r>
          <w:rPr>
            <w:noProof/>
            <w:webHidden/>
          </w:rPr>
        </w:r>
        <w:r>
          <w:rPr>
            <w:noProof/>
            <w:webHidden/>
          </w:rPr>
          <w:fldChar w:fldCharType="separate"/>
        </w:r>
        <w:r>
          <w:rPr>
            <w:noProof/>
            <w:webHidden/>
          </w:rPr>
          <w:t>61</w:t>
        </w:r>
        <w:r>
          <w:rPr>
            <w:noProof/>
            <w:webHidden/>
          </w:rPr>
          <w:fldChar w:fldCharType="end"/>
        </w:r>
      </w:hyperlink>
    </w:p>
    <w:p w14:paraId="1C82B3C7" w14:textId="51C1F94A" w:rsidR="00954B9C" w:rsidRDefault="00954B9C">
      <w:pPr>
        <w:pStyle w:val="TableofFigures"/>
        <w:tabs>
          <w:tab w:val="right" w:pos="8495"/>
        </w:tabs>
        <w:rPr>
          <w:rFonts w:asciiTheme="minorHAnsi" w:hAnsiTheme="minorHAnsi"/>
          <w:noProof/>
        </w:rPr>
      </w:pPr>
      <w:hyperlink w:anchor="_Toc111536636" w:history="1">
        <w:r w:rsidRPr="00A968B2">
          <w:rPr>
            <w:rStyle w:val="Hyperlink"/>
            <w:noProof/>
          </w:rPr>
          <w:t>Table 31:</w:t>
        </w:r>
        <w:r>
          <w:rPr>
            <w:rFonts w:asciiTheme="minorHAnsi" w:hAnsiTheme="minorHAnsi"/>
            <w:noProof/>
          </w:rPr>
          <w:tab/>
        </w:r>
        <w:r w:rsidRPr="00A968B2">
          <w:rPr>
            <w:rStyle w:val="Hyperlink"/>
            <w:noProof/>
          </w:rPr>
          <w:t>Greater Wellington Regional Council 2020 data for electric buses</w:t>
        </w:r>
        <w:r>
          <w:rPr>
            <w:noProof/>
            <w:webHidden/>
          </w:rPr>
          <w:tab/>
        </w:r>
        <w:r>
          <w:rPr>
            <w:noProof/>
            <w:webHidden/>
          </w:rPr>
          <w:fldChar w:fldCharType="begin"/>
        </w:r>
        <w:r>
          <w:rPr>
            <w:noProof/>
            <w:webHidden/>
          </w:rPr>
          <w:instrText xml:space="preserve"> PAGEREF _Toc111536636 \h </w:instrText>
        </w:r>
        <w:r>
          <w:rPr>
            <w:noProof/>
            <w:webHidden/>
          </w:rPr>
        </w:r>
        <w:r>
          <w:rPr>
            <w:noProof/>
            <w:webHidden/>
          </w:rPr>
          <w:fldChar w:fldCharType="separate"/>
        </w:r>
        <w:r>
          <w:rPr>
            <w:noProof/>
            <w:webHidden/>
          </w:rPr>
          <w:t>62</w:t>
        </w:r>
        <w:r>
          <w:rPr>
            <w:noProof/>
            <w:webHidden/>
          </w:rPr>
          <w:fldChar w:fldCharType="end"/>
        </w:r>
      </w:hyperlink>
    </w:p>
    <w:p w14:paraId="5D379097" w14:textId="492485AC" w:rsidR="00954B9C" w:rsidRDefault="00954B9C">
      <w:pPr>
        <w:pStyle w:val="TableofFigures"/>
        <w:tabs>
          <w:tab w:val="right" w:pos="8495"/>
        </w:tabs>
        <w:rPr>
          <w:rFonts w:asciiTheme="minorHAnsi" w:hAnsiTheme="minorHAnsi"/>
          <w:noProof/>
        </w:rPr>
      </w:pPr>
      <w:hyperlink w:anchor="_Toc111536637" w:history="1">
        <w:r w:rsidRPr="00A968B2">
          <w:rPr>
            <w:rStyle w:val="Hyperlink"/>
            <w:noProof/>
          </w:rPr>
          <w:t>Table 32:</w:t>
        </w:r>
        <w:r>
          <w:rPr>
            <w:rFonts w:asciiTheme="minorHAnsi" w:hAnsiTheme="minorHAnsi"/>
            <w:noProof/>
          </w:rPr>
          <w:tab/>
        </w:r>
        <w:r w:rsidRPr="00A968B2">
          <w:rPr>
            <w:rStyle w:val="Hyperlink"/>
            <w:noProof/>
          </w:rPr>
          <w:t>Greater Wellington Regional Council 2020 data for diesel buses</w:t>
        </w:r>
        <w:r>
          <w:rPr>
            <w:noProof/>
            <w:webHidden/>
          </w:rPr>
          <w:tab/>
        </w:r>
        <w:r>
          <w:rPr>
            <w:noProof/>
            <w:webHidden/>
          </w:rPr>
          <w:fldChar w:fldCharType="begin"/>
        </w:r>
        <w:r>
          <w:rPr>
            <w:noProof/>
            <w:webHidden/>
          </w:rPr>
          <w:instrText xml:space="preserve"> PAGEREF _Toc111536637 \h </w:instrText>
        </w:r>
        <w:r>
          <w:rPr>
            <w:noProof/>
            <w:webHidden/>
          </w:rPr>
        </w:r>
        <w:r>
          <w:rPr>
            <w:noProof/>
            <w:webHidden/>
          </w:rPr>
          <w:fldChar w:fldCharType="separate"/>
        </w:r>
        <w:r>
          <w:rPr>
            <w:noProof/>
            <w:webHidden/>
          </w:rPr>
          <w:t>62</w:t>
        </w:r>
        <w:r>
          <w:rPr>
            <w:noProof/>
            <w:webHidden/>
          </w:rPr>
          <w:fldChar w:fldCharType="end"/>
        </w:r>
      </w:hyperlink>
    </w:p>
    <w:p w14:paraId="37B2CCA5" w14:textId="1E95839E" w:rsidR="00954B9C" w:rsidRDefault="00954B9C">
      <w:pPr>
        <w:pStyle w:val="TableofFigures"/>
        <w:tabs>
          <w:tab w:val="right" w:pos="8495"/>
        </w:tabs>
        <w:rPr>
          <w:rFonts w:asciiTheme="minorHAnsi" w:hAnsiTheme="minorHAnsi"/>
          <w:noProof/>
        </w:rPr>
      </w:pPr>
      <w:hyperlink w:anchor="_Toc111536638" w:history="1">
        <w:r w:rsidRPr="00A968B2">
          <w:rPr>
            <w:rStyle w:val="Hyperlink"/>
            <w:noProof/>
          </w:rPr>
          <w:t>Table 33:</w:t>
        </w:r>
        <w:r>
          <w:rPr>
            <w:rFonts w:asciiTheme="minorHAnsi" w:hAnsiTheme="minorHAnsi"/>
            <w:noProof/>
          </w:rPr>
          <w:tab/>
        </w:r>
        <w:r w:rsidRPr="00A968B2">
          <w:rPr>
            <w:rStyle w:val="Hyperlink"/>
            <w:noProof/>
          </w:rPr>
          <w:t>Train data</w:t>
        </w:r>
        <w:r>
          <w:rPr>
            <w:noProof/>
            <w:webHidden/>
          </w:rPr>
          <w:tab/>
        </w:r>
        <w:r>
          <w:rPr>
            <w:noProof/>
            <w:webHidden/>
          </w:rPr>
          <w:fldChar w:fldCharType="begin"/>
        </w:r>
        <w:r>
          <w:rPr>
            <w:noProof/>
            <w:webHidden/>
          </w:rPr>
          <w:instrText xml:space="preserve"> PAGEREF _Toc111536638 \h </w:instrText>
        </w:r>
        <w:r>
          <w:rPr>
            <w:noProof/>
            <w:webHidden/>
          </w:rPr>
        </w:r>
        <w:r>
          <w:rPr>
            <w:noProof/>
            <w:webHidden/>
          </w:rPr>
          <w:fldChar w:fldCharType="separate"/>
        </w:r>
        <w:r>
          <w:rPr>
            <w:noProof/>
            <w:webHidden/>
          </w:rPr>
          <w:t>62</w:t>
        </w:r>
        <w:r>
          <w:rPr>
            <w:noProof/>
            <w:webHidden/>
          </w:rPr>
          <w:fldChar w:fldCharType="end"/>
        </w:r>
      </w:hyperlink>
    </w:p>
    <w:p w14:paraId="61619CF9" w14:textId="6AEB7F53" w:rsidR="00954B9C" w:rsidRDefault="00954B9C">
      <w:pPr>
        <w:pStyle w:val="TableofFigures"/>
        <w:tabs>
          <w:tab w:val="right" w:pos="8495"/>
        </w:tabs>
        <w:rPr>
          <w:rFonts w:asciiTheme="minorHAnsi" w:hAnsiTheme="minorHAnsi"/>
          <w:noProof/>
        </w:rPr>
      </w:pPr>
      <w:hyperlink w:anchor="_Toc111536639" w:history="1">
        <w:r w:rsidRPr="00A968B2">
          <w:rPr>
            <w:rStyle w:val="Hyperlink"/>
            <w:noProof/>
          </w:rPr>
          <w:t>Table 34:</w:t>
        </w:r>
        <w:r>
          <w:rPr>
            <w:rFonts w:asciiTheme="minorHAnsi" w:hAnsiTheme="minorHAnsi"/>
            <w:noProof/>
          </w:rPr>
          <w:tab/>
        </w:r>
        <w:r w:rsidRPr="00A968B2">
          <w:rPr>
            <w:rStyle w:val="Hyperlink"/>
            <w:noProof/>
          </w:rPr>
          <w:t>Bus emission factors per km travelled</w:t>
        </w:r>
        <w:r>
          <w:rPr>
            <w:noProof/>
            <w:webHidden/>
          </w:rPr>
          <w:tab/>
        </w:r>
        <w:r>
          <w:rPr>
            <w:noProof/>
            <w:webHidden/>
          </w:rPr>
          <w:fldChar w:fldCharType="begin"/>
        </w:r>
        <w:r>
          <w:rPr>
            <w:noProof/>
            <w:webHidden/>
          </w:rPr>
          <w:instrText xml:space="preserve"> PAGEREF _Toc111536639 \h </w:instrText>
        </w:r>
        <w:r>
          <w:rPr>
            <w:noProof/>
            <w:webHidden/>
          </w:rPr>
        </w:r>
        <w:r>
          <w:rPr>
            <w:noProof/>
            <w:webHidden/>
          </w:rPr>
          <w:fldChar w:fldCharType="separate"/>
        </w:r>
        <w:r>
          <w:rPr>
            <w:noProof/>
            <w:webHidden/>
          </w:rPr>
          <w:t>63</w:t>
        </w:r>
        <w:r>
          <w:rPr>
            <w:noProof/>
            <w:webHidden/>
          </w:rPr>
          <w:fldChar w:fldCharType="end"/>
        </w:r>
      </w:hyperlink>
    </w:p>
    <w:p w14:paraId="78CFDDC9" w14:textId="25DA7DCB" w:rsidR="00954B9C" w:rsidRDefault="00954B9C">
      <w:pPr>
        <w:pStyle w:val="TableofFigures"/>
        <w:tabs>
          <w:tab w:val="right" w:pos="8495"/>
        </w:tabs>
        <w:rPr>
          <w:rFonts w:asciiTheme="minorHAnsi" w:hAnsiTheme="minorHAnsi"/>
          <w:noProof/>
        </w:rPr>
      </w:pPr>
      <w:hyperlink w:anchor="_Toc111536640" w:history="1">
        <w:r w:rsidRPr="00A968B2">
          <w:rPr>
            <w:rStyle w:val="Hyperlink"/>
            <w:noProof/>
          </w:rPr>
          <w:t>Table 35:</w:t>
        </w:r>
        <w:r>
          <w:rPr>
            <w:rFonts w:asciiTheme="minorHAnsi" w:hAnsiTheme="minorHAnsi"/>
            <w:noProof/>
          </w:rPr>
          <w:tab/>
        </w:r>
        <w:r w:rsidRPr="00A968B2">
          <w:rPr>
            <w:rStyle w:val="Hyperlink"/>
            <w:noProof/>
          </w:rPr>
          <w:t>Fuel/energy consumption per 100 km for pre-2010 fleet buses</w:t>
        </w:r>
        <w:r>
          <w:rPr>
            <w:noProof/>
            <w:webHidden/>
          </w:rPr>
          <w:tab/>
        </w:r>
        <w:r>
          <w:rPr>
            <w:noProof/>
            <w:webHidden/>
          </w:rPr>
          <w:fldChar w:fldCharType="begin"/>
        </w:r>
        <w:r>
          <w:rPr>
            <w:noProof/>
            <w:webHidden/>
          </w:rPr>
          <w:instrText xml:space="preserve"> PAGEREF _Toc111536640 \h </w:instrText>
        </w:r>
        <w:r>
          <w:rPr>
            <w:noProof/>
            <w:webHidden/>
          </w:rPr>
        </w:r>
        <w:r>
          <w:rPr>
            <w:noProof/>
            <w:webHidden/>
          </w:rPr>
          <w:fldChar w:fldCharType="separate"/>
        </w:r>
        <w:r>
          <w:rPr>
            <w:noProof/>
            <w:webHidden/>
          </w:rPr>
          <w:t>64</w:t>
        </w:r>
        <w:r>
          <w:rPr>
            <w:noProof/>
            <w:webHidden/>
          </w:rPr>
          <w:fldChar w:fldCharType="end"/>
        </w:r>
      </w:hyperlink>
    </w:p>
    <w:p w14:paraId="597C6659" w14:textId="39979A5B" w:rsidR="00954B9C" w:rsidRDefault="00954B9C">
      <w:pPr>
        <w:pStyle w:val="TableofFigures"/>
        <w:tabs>
          <w:tab w:val="right" w:pos="8495"/>
        </w:tabs>
        <w:rPr>
          <w:rFonts w:asciiTheme="minorHAnsi" w:hAnsiTheme="minorHAnsi"/>
          <w:noProof/>
        </w:rPr>
      </w:pPr>
      <w:hyperlink w:anchor="_Toc111536641" w:history="1">
        <w:r w:rsidRPr="00A968B2">
          <w:rPr>
            <w:rStyle w:val="Hyperlink"/>
            <w:noProof/>
          </w:rPr>
          <w:t>Table 36:</w:t>
        </w:r>
        <w:r>
          <w:rPr>
            <w:rFonts w:asciiTheme="minorHAnsi" w:hAnsiTheme="minorHAnsi"/>
            <w:noProof/>
          </w:rPr>
          <w:tab/>
        </w:r>
        <w:r w:rsidRPr="00A968B2">
          <w:rPr>
            <w:rStyle w:val="Hyperlink"/>
            <w:noProof/>
          </w:rPr>
          <w:t>Domestic air travel emission factors for 2019 without a radiative forcing multiplier</w:t>
        </w:r>
        <w:r>
          <w:rPr>
            <w:noProof/>
            <w:webHidden/>
          </w:rPr>
          <w:tab/>
        </w:r>
        <w:r>
          <w:rPr>
            <w:noProof/>
            <w:webHidden/>
          </w:rPr>
          <w:fldChar w:fldCharType="begin"/>
        </w:r>
        <w:r>
          <w:rPr>
            <w:noProof/>
            <w:webHidden/>
          </w:rPr>
          <w:instrText xml:space="preserve"> PAGEREF _Toc111536641 \h </w:instrText>
        </w:r>
        <w:r>
          <w:rPr>
            <w:noProof/>
            <w:webHidden/>
          </w:rPr>
        </w:r>
        <w:r>
          <w:rPr>
            <w:noProof/>
            <w:webHidden/>
          </w:rPr>
          <w:fldChar w:fldCharType="separate"/>
        </w:r>
        <w:r>
          <w:rPr>
            <w:noProof/>
            <w:webHidden/>
          </w:rPr>
          <w:t>65</w:t>
        </w:r>
        <w:r>
          <w:rPr>
            <w:noProof/>
            <w:webHidden/>
          </w:rPr>
          <w:fldChar w:fldCharType="end"/>
        </w:r>
      </w:hyperlink>
    </w:p>
    <w:p w14:paraId="146F47C4" w14:textId="146A23B4" w:rsidR="00954B9C" w:rsidRDefault="00954B9C">
      <w:pPr>
        <w:pStyle w:val="TableofFigures"/>
        <w:tabs>
          <w:tab w:val="right" w:pos="8495"/>
        </w:tabs>
        <w:rPr>
          <w:rFonts w:asciiTheme="minorHAnsi" w:hAnsiTheme="minorHAnsi"/>
          <w:noProof/>
        </w:rPr>
      </w:pPr>
      <w:hyperlink w:anchor="_Toc111536642" w:history="1">
        <w:r w:rsidRPr="00A968B2">
          <w:rPr>
            <w:rStyle w:val="Hyperlink"/>
            <w:noProof/>
          </w:rPr>
          <w:t>Table 37:</w:t>
        </w:r>
        <w:r>
          <w:rPr>
            <w:rFonts w:asciiTheme="minorHAnsi" w:hAnsiTheme="minorHAnsi"/>
            <w:noProof/>
          </w:rPr>
          <w:tab/>
        </w:r>
        <w:r w:rsidRPr="00A968B2">
          <w:rPr>
            <w:rStyle w:val="Hyperlink"/>
            <w:noProof/>
          </w:rPr>
          <w:t>Domestic aviation emission factors for 2019 with a radiative forcing multiplier</w:t>
        </w:r>
        <w:r>
          <w:rPr>
            <w:noProof/>
            <w:webHidden/>
          </w:rPr>
          <w:tab/>
        </w:r>
        <w:r>
          <w:rPr>
            <w:noProof/>
            <w:webHidden/>
          </w:rPr>
          <w:fldChar w:fldCharType="begin"/>
        </w:r>
        <w:r>
          <w:rPr>
            <w:noProof/>
            <w:webHidden/>
          </w:rPr>
          <w:instrText xml:space="preserve"> PAGEREF _Toc111536642 \h </w:instrText>
        </w:r>
        <w:r>
          <w:rPr>
            <w:noProof/>
            <w:webHidden/>
          </w:rPr>
        </w:r>
        <w:r>
          <w:rPr>
            <w:noProof/>
            <w:webHidden/>
          </w:rPr>
          <w:fldChar w:fldCharType="separate"/>
        </w:r>
        <w:r>
          <w:rPr>
            <w:noProof/>
            <w:webHidden/>
          </w:rPr>
          <w:t>65</w:t>
        </w:r>
        <w:r>
          <w:rPr>
            <w:noProof/>
            <w:webHidden/>
          </w:rPr>
          <w:fldChar w:fldCharType="end"/>
        </w:r>
      </w:hyperlink>
    </w:p>
    <w:p w14:paraId="0C20DF1B" w14:textId="10BA3A61" w:rsidR="00954B9C" w:rsidRDefault="00954B9C">
      <w:pPr>
        <w:pStyle w:val="TableofFigures"/>
        <w:tabs>
          <w:tab w:val="right" w:pos="8495"/>
        </w:tabs>
        <w:rPr>
          <w:rFonts w:asciiTheme="minorHAnsi" w:hAnsiTheme="minorHAnsi"/>
          <w:noProof/>
        </w:rPr>
      </w:pPr>
      <w:hyperlink w:anchor="_Toc111536643" w:history="1">
        <w:r w:rsidRPr="00A968B2">
          <w:rPr>
            <w:rStyle w:val="Hyperlink"/>
            <w:noProof/>
          </w:rPr>
          <w:t>Table 38:</w:t>
        </w:r>
        <w:r>
          <w:rPr>
            <w:rFonts w:asciiTheme="minorHAnsi" w:hAnsiTheme="minorHAnsi"/>
            <w:noProof/>
          </w:rPr>
          <w:tab/>
        </w:r>
        <w:r w:rsidRPr="00A968B2">
          <w:rPr>
            <w:rStyle w:val="Hyperlink"/>
            <w:noProof/>
          </w:rPr>
          <w:t>Domestic air travel emission factors for 2020 without a radiative forcing multiplier</w:t>
        </w:r>
        <w:r>
          <w:rPr>
            <w:noProof/>
            <w:webHidden/>
          </w:rPr>
          <w:tab/>
        </w:r>
        <w:r>
          <w:rPr>
            <w:noProof/>
            <w:webHidden/>
          </w:rPr>
          <w:fldChar w:fldCharType="begin"/>
        </w:r>
        <w:r>
          <w:rPr>
            <w:noProof/>
            <w:webHidden/>
          </w:rPr>
          <w:instrText xml:space="preserve"> PAGEREF _Toc111536643 \h </w:instrText>
        </w:r>
        <w:r>
          <w:rPr>
            <w:noProof/>
            <w:webHidden/>
          </w:rPr>
        </w:r>
        <w:r>
          <w:rPr>
            <w:noProof/>
            <w:webHidden/>
          </w:rPr>
          <w:fldChar w:fldCharType="separate"/>
        </w:r>
        <w:r>
          <w:rPr>
            <w:noProof/>
            <w:webHidden/>
          </w:rPr>
          <w:t>66</w:t>
        </w:r>
        <w:r>
          <w:rPr>
            <w:noProof/>
            <w:webHidden/>
          </w:rPr>
          <w:fldChar w:fldCharType="end"/>
        </w:r>
      </w:hyperlink>
    </w:p>
    <w:p w14:paraId="641BCB6C" w14:textId="35381FB9" w:rsidR="00954B9C" w:rsidRDefault="00954B9C">
      <w:pPr>
        <w:pStyle w:val="TableofFigures"/>
        <w:tabs>
          <w:tab w:val="right" w:pos="8495"/>
        </w:tabs>
        <w:rPr>
          <w:rFonts w:asciiTheme="minorHAnsi" w:hAnsiTheme="minorHAnsi"/>
          <w:noProof/>
        </w:rPr>
      </w:pPr>
      <w:hyperlink w:anchor="_Toc111536644" w:history="1">
        <w:r w:rsidRPr="00A968B2">
          <w:rPr>
            <w:rStyle w:val="Hyperlink"/>
            <w:noProof/>
          </w:rPr>
          <w:t>Table 39:</w:t>
        </w:r>
        <w:r>
          <w:rPr>
            <w:rFonts w:asciiTheme="minorHAnsi" w:hAnsiTheme="minorHAnsi"/>
            <w:noProof/>
          </w:rPr>
          <w:tab/>
        </w:r>
        <w:r w:rsidRPr="00A968B2">
          <w:rPr>
            <w:rStyle w:val="Hyperlink"/>
            <w:noProof/>
          </w:rPr>
          <w:t>Domestic aviation emission factors for 2020 with a radiative forcing multiplier</w:t>
        </w:r>
        <w:r>
          <w:rPr>
            <w:noProof/>
            <w:webHidden/>
          </w:rPr>
          <w:tab/>
        </w:r>
        <w:r>
          <w:rPr>
            <w:noProof/>
            <w:webHidden/>
          </w:rPr>
          <w:fldChar w:fldCharType="begin"/>
        </w:r>
        <w:r>
          <w:rPr>
            <w:noProof/>
            <w:webHidden/>
          </w:rPr>
          <w:instrText xml:space="preserve"> PAGEREF _Toc111536644 \h </w:instrText>
        </w:r>
        <w:r>
          <w:rPr>
            <w:noProof/>
            <w:webHidden/>
          </w:rPr>
        </w:r>
        <w:r>
          <w:rPr>
            <w:noProof/>
            <w:webHidden/>
          </w:rPr>
          <w:fldChar w:fldCharType="separate"/>
        </w:r>
        <w:r>
          <w:rPr>
            <w:noProof/>
            <w:webHidden/>
          </w:rPr>
          <w:t>66</w:t>
        </w:r>
        <w:r>
          <w:rPr>
            <w:noProof/>
            <w:webHidden/>
          </w:rPr>
          <w:fldChar w:fldCharType="end"/>
        </w:r>
      </w:hyperlink>
    </w:p>
    <w:p w14:paraId="1957EC6B" w14:textId="4FCB0B5F" w:rsidR="00954B9C" w:rsidRDefault="00954B9C">
      <w:pPr>
        <w:pStyle w:val="TableofFigures"/>
        <w:tabs>
          <w:tab w:val="right" w:pos="8495"/>
        </w:tabs>
        <w:rPr>
          <w:rFonts w:asciiTheme="minorHAnsi" w:hAnsiTheme="minorHAnsi"/>
          <w:noProof/>
        </w:rPr>
      </w:pPr>
      <w:hyperlink w:anchor="_Toc111536645" w:history="1">
        <w:r w:rsidRPr="00A968B2">
          <w:rPr>
            <w:rStyle w:val="Hyperlink"/>
            <w:noProof/>
          </w:rPr>
          <w:t>Table 40:</w:t>
        </w:r>
        <w:r>
          <w:rPr>
            <w:rFonts w:asciiTheme="minorHAnsi" w:hAnsiTheme="minorHAnsi"/>
            <w:noProof/>
          </w:rPr>
          <w:tab/>
        </w:r>
        <w:r w:rsidRPr="00A968B2">
          <w:rPr>
            <w:rStyle w:val="Hyperlink"/>
            <w:noProof/>
          </w:rPr>
          <w:t>Domestic aviation data (applicable to 2019)</w:t>
        </w:r>
        <w:r>
          <w:rPr>
            <w:noProof/>
            <w:webHidden/>
          </w:rPr>
          <w:tab/>
        </w:r>
        <w:r>
          <w:rPr>
            <w:noProof/>
            <w:webHidden/>
          </w:rPr>
          <w:fldChar w:fldCharType="begin"/>
        </w:r>
        <w:r>
          <w:rPr>
            <w:noProof/>
            <w:webHidden/>
          </w:rPr>
          <w:instrText xml:space="preserve"> PAGEREF _Toc111536645 \h </w:instrText>
        </w:r>
        <w:r>
          <w:rPr>
            <w:noProof/>
            <w:webHidden/>
          </w:rPr>
        </w:r>
        <w:r>
          <w:rPr>
            <w:noProof/>
            <w:webHidden/>
          </w:rPr>
          <w:fldChar w:fldCharType="separate"/>
        </w:r>
        <w:r>
          <w:rPr>
            <w:noProof/>
            <w:webHidden/>
          </w:rPr>
          <w:t>67</w:t>
        </w:r>
        <w:r>
          <w:rPr>
            <w:noProof/>
            <w:webHidden/>
          </w:rPr>
          <w:fldChar w:fldCharType="end"/>
        </w:r>
      </w:hyperlink>
    </w:p>
    <w:p w14:paraId="5D1573DA" w14:textId="7F6E7E02" w:rsidR="00954B9C" w:rsidRDefault="00954B9C">
      <w:pPr>
        <w:pStyle w:val="TableofFigures"/>
        <w:tabs>
          <w:tab w:val="right" w:pos="8495"/>
        </w:tabs>
        <w:rPr>
          <w:rFonts w:asciiTheme="minorHAnsi" w:hAnsiTheme="minorHAnsi"/>
          <w:noProof/>
        </w:rPr>
      </w:pPr>
      <w:hyperlink w:anchor="_Toc111536646" w:history="1">
        <w:r w:rsidRPr="00A968B2">
          <w:rPr>
            <w:rStyle w:val="Hyperlink"/>
            <w:noProof/>
          </w:rPr>
          <w:t>Table 41:</w:t>
        </w:r>
        <w:r>
          <w:rPr>
            <w:rFonts w:asciiTheme="minorHAnsi" w:hAnsiTheme="minorHAnsi"/>
            <w:noProof/>
          </w:rPr>
          <w:tab/>
        </w:r>
        <w:r w:rsidRPr="00A968B2">
          <w:rPr>
            <w:rStyle w:val="Hyperlink"/>
            <w:noProof/>
          </w:rPr>
          <w:t>Domestic aviation data (applicable to 2020)</w:t>
        </w:r>
        <w:r>
          <w:rPr>
            <w:noProof/>
            <w:webHidden/>
          </w:rPr>
          <w:tab/>
        </w:r>
        <w:r>
          <w:rPr>
            <w:noProof/>
            <w:webHidden/>
          </w:rPr>
          <w:fldChar w:fldCharType="begin"/>
        </w:r>
        <w:r>
          <w:rPr>
            <w:noProof/>
            <w:webHidden/>
          </w:rPr>
          <w:instrText xml:space="preserve"> PAGEREF _Toc111536646 \h </w:instrText>
        </w:r>
        <w:r>
          <w:rPr>
            <w:noProof/>
            <w:webHidden/>
          </w:rPr>
        </w:r>
        <w:r>
          <w:rPr>
            <w:noProof/>
            <w:webHidden/>
          </w:rPr>
          <w:fldChar w:fldCharType="separate"/>
        </w:r>
        <w:r>
          <w:rPr>
            <w:noProof/>
            <w:webHidden/>
          </w:rPr>
          <w:t>67</w:t>
        </w:r>
        <w:r>
          <w:rPr>
            <w:noProof/>
            <w:webHidden/>
          </w:rPr>
          <w:fldChar w:fldCharType="end"/>
        </w:r>
      </w:hyperlink>
    </w:p>
    <w:p w14:paraId="1B0A47C4" w14:textId="7F89B011" w:rsidR="00954B9C" w:rsidRDefault="00954B9C">
      <w:pPr>
        <w:pStyle w:val="TableofFigures"/>
        <w:tabs>
          <w:tab w:val="right" w:pos="8495"/>
        </w:tabs>
        <w:rPr>
          <w:rFonts w:asciiTheme="minorHAnsi" w:hAnsiTheme="minorHAnsi"/>
          <w:noProof/>
        </w:rPr>
      </w:pPr>
      <w:hyperlink w:anchor="_Toc111536647" w:history="1">
        <w:r w:rsidRPr="00A968B2">
          <w:rPr>
            <w:rStyle w:val="Hyperlink"/>
            <w:noProof/>
          </w:rPr>
          <w:t>Table 42:</w:t>
        </w:r>
        <w:r>
          <w:rPr>
            <w:rFonts w:asciiTheme="minorHAnsi" w:hAnsiTheme="minorHAnsi"/>
            <w:noProof/>
          </w:rPr>
          <w:tab/>
        </w:r>
        <w:r w:rsidRPr="00A968B2">
          <w:rPr>
            <w:rStyle w:val="Hyperlink"/>
            <w:noProof/>
          </w:rPr>
          <w:t>Average fuel and passenger data for 2019</w:t>
        </w:r>
        <w:r>
          <w:rPr>
            <w:noProof/>
            <w:webHidden/>
          </w:rPr>
          <w:tab/>
        </w:r>
        <w:r>
          <w:rPr>
            <w:noProof/>
            <w:webHidden/>
          </w:rPr>
          <w:fldChar w:fldCharType="begin"/>
        </w:r>
        <w:r>
          <w:rPr>
            <w:noProof/>
            <w:webHidden/>
          </w:rPr>
          <w:instrText xml:space="preserve"> PAGEREF _Toc111536647 \h </w:instrText>
        </w:r>
        <w:r>
          <w:rPr>
            <w:noProof/>
            <w:webHidden/>
          </w:rPr>
        </w:r>
        <w:r>
          <w:rPr>
            <w:noProof/>
            <w:webHidden/>
          </w:rPr>
          <w:fldChar w:fldCharType="separate"/>
        </w:r>
        <w:r>
          <w:rPr>
            <w:noProof/>
            <w:webHidden/>
          </w:rPr>
          <w:t>68</w:t>
        </w:r>
        <w:r>
          <w:rPr>
            <w:noProof/>
            <w:webHidden/>
          </w:rPr>
          <w:fldChar w:fldCharType="end"/>
        </w:r>
      </w:hyperlink>
    </w:p>
    <w:p w14:paraId="746FEE4F" w14:textId="2DF6146E" w:rsidR="00954B9C" w:rsidRDefault="00954B9C">
      <w:pPr>
        <w:pStyle w:val="TableofFigures"/>
        <w:tabs>
          <w:tab w:val="right" w:pos="8495"/>
        </w:tabs>
        <w:rPr>
          <w:rFonts w:asciiTheme="minorHAnsi" w:hAnsiTheme="minorHAnsi"/>
          <w:noProof/>
        </w:rPr>
      </w:pPr>
      <w:hyperlink w:anchor="_Toc111536648" w:history="1">
        <w:r w:rsidRPr="00A968B2">
          <w:rPr>
            <w:rStyle w:val="Hyperlink"/>
            <w:noProof/>
          </w:rPr>
          <w:t>Table 43:</w:t>
        </w:r>
        <w:r>
          <w:rPr>
            <w:rFonts w:asciiTheme="minorHAnsi" w:hAnsiTheme="minorHAnsi"/>
            <w:noProof/>
          </w:rPr>
          <w:tab/>
        </w:r>
        <w:r w:rsidRPr="00A968B2">
          <w:rPr>
            <w:rStyle w:val="Hyperlink"/>
            <w:noProof/>
          </w:rPr>
          <w:t>Average fuel and passenger data for 2020</w:t>
        </w:r>
        <w:r>
          <w:rPr>
            <w:noProof/>
            <w:webHidden/>
          </w:rPr>
          <w:tab/>
        </w:r>
        <w:r>
          <w:rPr>
            <w:noProof/>
            <w:webHidden/>
          </w:rPr>
          <w:fldChar w:fldCharType="begin"/>
        </w:r>
        <w:r>
          <w:rPr>
            <w:noProof/>
            <w:webHidden/>
          </w:rPr>
          <w:instrText xml:space="preserve"> PAGEREF _Toc111536648 \h </w:instrText>
        </w:r>
        <w:r>
          <w:rPr>
            <w:noProof/>
            <w:webHidden/>
          </w:rPr>
        </w:r>
        <w:r>
          <w:rPr>
            <w:noProof/>
            <w:webHidden/>
          </w:rPr>
          <w:fldChar w:fldCharType="separate"/>
        </w:r>
        <w:r>
          <w:rPr>
            <w:noProof/>
            <w:webHidden/>
          </w:rPr>
          <w:t>68</w:t>
        </w:r>
        <w:r>
          <w:rPr>
            <w:noProof/>
            <w:webHidden/>
          </w:rPr>
          <w:fldChar w:fldCharType="end"/>
        </w:r>
      </w:hyperlink>
    </w:p>
    <w:p w14:paraId="0516512D" w14:textId="4BCEB316" w:rsidR="00954B9C" w:rsidRDefault="00954B9C">
      <w:pPr>
        <w:pStyle w:val="TableofFigures"/>
        <w:tabs>
          <w:tab w:val="right" w:pos="8495"/>
        </w:tabs>
        <w:rPr>
          <w:rFonts w:asciiTheme="minorHAnsi" w:hAnsiTheme="minorHAnsi"/>
          <w:noProof/>
        </w:rPr>
      </w:pPr>
      <w:hyperlink w:anchor="_Toc111536649" w:history="1">
        <w:r w:rsidRPr="00A968B2">
          <w:rPr>
            <w:rStyle w:val="Hyperlink"/>
            <w:noProof/>
          </w:rPr>
          <w:t>Table 44:</w:t>
        </w:r>
        <w:r>
          <w:rPr>
            <w:rFonts w:asciiTheme="minorHAnsi" w:hAnsiTheme="minorHAnsi"/>
            <w:noProof/>
          </w:rPr>
          <w:tab/>
        </w:r>
        <w:r w:rsidRPr="00A968B2">
          <w:rPr>
            <w:rStyle w:val="Hyperlink"/>
            <w:noProof/>
          </w:rPr>
          <w:t>Calculated emissions for 2019, without the radiative forcing multiplier, per aircraft type</w:t>
        </w:r>
        <w:r>
          <w:rPr>
            <w:noProof/>
            <w:webHidden/>
          </w:rPr>
          <w:tab/>
        </w:r>
        <w:r>
          <w:rPr>
            <w:noProof/>
            <w:webHidden/>
          </w:rPr>
          <w:fldChar w:fldCharType="begin"/>
        </w:r>
        <w:r>
          <w:rPr>
            <w:noProof/>
            <w:webHidden/>
          </w:rPr>
          <w:instrText xml:space="preserve"> PAGEREF _Toc111536649 \h </w:instrText>
        </w:r>
        <w:r>
          <w:rPr>
            <w:noProof/>
            <w:webHidden/>
          </w:rPr>
        </w:r>
        <w:r>
          <w:rPr>
            <w:noProof/>
            <w:webHidden/>
          </w:rPr>
          <w:fldChar w:fldCharType="separate"/>
        </w:r>
        <w:r>
          <w:rPr>
            <w:noProof/>
            <w:webHidden/>
          </w:rPr>
          <w:t>69</w:t>
        </w:r>
        <w:r>
          <w:rPr>
            <w:noProof/>
            <w:webHidden/>
          </w:rPr>
          <w:fldChar w:fldCharType="end"/>
        </w:r>
      </w:hyperlink>
    </w:p>
    <w:p w14:paraId="4434E438" w14:textId="6A1A6A84" w:rsidR="00954B9C" w:rsidRDefault="00954B9C">
      <w:pPr>
        <w:pStyle w:val="TableofFigures"/>
        <w:tabs>
          <w:tab w:val="right" w:pos="8495"/>
        </w:tabs>
        <w:rPr>
          <w:rFonts w:asciiTheme="minorHAnsi" w:hAnsiTheme="minorHAnsi"/>
          <w:noProof/>
        </w:rPr>
      </w:pPr>
      <w:hyperlink w:anchor="_Toc111536650" w:history="1">
        <w:r w:rsidRPr="00A968B2">
          <w:rPr>
            <w:rStyle w:val="Hyperlink"/>
            <w:noProof/>
          </w:rPr>
          <w:t>Table 45:</w:t>
        </w:r>
        <w:r>
          <w:rPr>
            <w:rFonts w:asciiTheme="minorHAnsi" w:hAnsiTheme="minorHAnsi"/>
            <w:noProof/>
          </w:rPr>
          <w:tab/>
        </w:r>
        <w:r w:rsidRPr="00A968B2">
          <w:rPr>
            <w:rStyle w:val="Hyperlink"/>
            <w:noProof/>
          </w:rPr>
          <w:t>Calculated emissions for 2019, with the radiative forcing multiplier, per aircraft type</w:t>
        </w:r>
        <w:r>
          <w:rPr>
            <w:noProof/>
            <w:webHidden/>
          </w:rPr>
          <w:tab/>
        </w:r>
        <w:r>
          <w:rPr>
            <w:noProof/>
            <w:webHidden/>
          </w:rPr>
          <w:fldChar w:fldCharType="begin"/>
        </w:r>
        <w:r>
          <w:rPr>
            <w:noProof/>
            <w:webHidden/>
          </w:rPr>
          <w:instrText xml:space="preserve"> PAGEREF _Toc111536650 \h </w:instrText>
        </w:r>
        <w:r>
          <w:rPr>
            <w:noProof/>
            <w:webHidden/>
          </w:rPr>
        </w:r>
        <w:r>
          <w:rPr>
            <w:noProof/>
            <w:webHidden/>
          </w:rPr>
          <w:fldChar w:fldCharType="separate"/>
        </w:r>
        <w:r>
          <w:rPr>
            <w:noProof/>
            <w:webHidden/>
          </w:rPr>
          <w:t>69</w:t>
        </w:r>
        <w:r>
          <w:rPr>
            <w:noProof/>
            <w:webHidden/>
          </w:rPr>
          <w:fldChar w:fldCharType="end"/>
        </w:r>
      </w:hyperlink>
    </w:p>
    <w:p w14:paraId="3C240D03" w14:textId="5006DD29" w:rsidR="00954B9C" w:rsidRDefault="00954B9C">
      <w:pPr>
        <w:pStyle w:val="TableofFigures"/>
        <w:tabs>
          <w:tab w:val="right" w:pos="8495"/>
        </w:tabs>
        <w:rPr>
          <w:rFonts w:asciiTheme="minorHAnsi" w:hAnsiTheme="minorHAnsi"/>
          <w:noProof/>
        </w:rPr>
      </w:pPr>
      <w:hyperlink w:anchor="_Toc111536651" w:history="1">
        <w:r w:rsidRPr="00A968B2">
          <w:rPr>
            <w:rStyle w:val="Hyperlink"/>
            <w:noProof/>
          </w:rPr>
          <w:t>Table 46:</w:t>
        </w:r>
        <w:r>
          <w:rPr>
            <w:rFonts w:asciiTheme="minorHAnsi" w:hAnsiTheme="minorHAnsi"/>
            <w:noProof/>
          </w:rPr>
          <w:tab/>
        </w:r>
        <w:r w:rsidRPr="00A968B2">
          <w:rPr>
            <w:rStyle w:val="Hyperlink"/>
            <w:noProof/>
          </w:rPr>
          <w:t>Calculated emissions for 2020, without the radiative forcing multiplier, per aircraft type</w:t>
        </w:r>
        <w:r>
          <w:rPr>
            <w:noProof/>
            <w:webHidden/>
          </w:rPr>
          <w:tab/>
        </w:r>
        <w:r>
          <w:rPr>
            <w:noProof/>
            <w:webHidden/>
          </w:rPr>
          <w:fldChar w:fldCharType="begin"/>
        </w:r>
        <w:r>
          <w:rPr>
            <w:noProof/>
            <w:webHidden/>
          </w:rPr>
          <w:instrText xml:space="preserve"> PAGEREF _Toc111536651 \h </w:instrText>
        </w:r>
        <w:r>
          <w:rPr>
            <w:noProof/>
            <w:webHidden/>
          </w:rPr>
        </w:r>
        <w:r>
          <w:rPr>
            <w:noProof/>
            <w:webHidden/>
          </w:rPr>
          <w:fldChar w:fldCharType="separate"/>
        </w:r>
        <w:r>
          <w:rPr>
            <w:noProof/>
            <w:webHidden/>
          </w:rPr>
          <w:t>70</w:t>
        </w:r>
        <w:r>
          <w:rPr>
            <w:noProof/>
            <w:webHidden/>
          </w:rPr>
          <w:fldChar w:fldCharType="end"/>
        </w:r>
      </w:hyperlink>
    </w:p>
    <w:p w14:paraId="4E140FAB" w14:textId="069CD980" w:rsidR="00954B9C" w:rsidRDefault="00954B9C">
      <w:pPr>
        <w:pStyle w:val="TableofFigures"/>
        <w:tabs>
          <w:tab w:val="right" w:pos="8495"/>
        </w:tabs>
        <w:rPr>
          <w:rFonts w:asciiTheme="minorHAnsi" w:hAnsiTheme="minorHAnsi"/>
          <w:noProof/>
        </w:rPr>
      </w:pPr>
      <w:hyperlink w:anchor="_Toc111536652" w:history="1">
        <w:r w:rsidRPr="00A968B2">
          <w:rPr>
            <w:rStyle w:val="Hyperlink"/>
            <w:noProof/>
          </w:rPr>
          <w:t>Table 47:</w:t>
        </w:r>
        <w:r>
          <w:rPr>
            <w:rFonts w:asciiTheme="minorHAnsi" w:hAnsiTheme="minorHAnsi"/>
            <w:noProof/>
          </w:rPr>
          <w:tab/>
        </w:r>
        <w:r w:rsidRPr="00A968B2">
          <w:rPr>
            <w:rStyle w:val="Hyperlink"/>
            <w:noProof/>
          </w:rPr>
          <w:t>Calculated emissions for 2020, with the radiative forcing multiplier, per aircraft type</w:t>
        </w:r>
        <w:r>
          <w:rPr>
            <w:noProof/>
            <w:webHidden/>
          </w:rPr>
          <w:tab/>
        </w:r>
        <w:r>
          <w:rPr>
            <w:noProof/>
            <w:webHidden/>
          </w:rPr>
          <w:fldChar w:fldCharType="begin"/>
        </w:r>
        <w:r>
          <w:rPr>
            <w:noProof/>
            <w:webHidden/>
          </w:rPr>
          <w:instrText xml:space="preserve"> PAGEREF _Toc111536652 \h </w:instrText>
        </w:r>
        <w:r>
          <w:rPr>
            <w:noProof/>
            <w:webHidden/>
          </w:rPr>
        </w:r>
        <w:r>
          <w:rPr>
            <w:noProof/>
            <w:webHidden/>
          </w:rPr>
          <w:fldChar w:fldCharType="separate"/>
        </w:r>
        <w:r>
          <w:rPr>
            <w:noProof/>
            <w:webHidden/>
          </w:rPr>
          <w:t>70</w:t>
        </w:r>
        <w:r>
          <w:rPr>
            <w:noProof/>
            <w:webHidden/>
          </w:rPr>
          <w:fldChar w:fldCharType="end"/>
        </w:r>
      </w:hyperlink>
    </w:p>
    <w:p w14:paraId="72A9FC51" w14:textId="3B0BC033" w:rsidR="00954B9C" w:rsidRDefault="00954B9C">
      <w:pPr>
        <w:pStyle w:val="TableofFigures"/>
        <w:tabs>
          <w:tab w:val="right" w:pos="8495"/>
        </w:tabs>
        <w:rPr>
          <w:rFonts w:asciiTheme="minorHAnsi" w:hAnsiTheme="minorHAnsi"/>
          <w:noProof/>
        </w:rPr>
      </w:pPr>
      <w:hyperlink w:anchor="_Toc111536653" w:history="1">
        <w:r w:rsidRPr="00A968B2">
          <w:rPr>
            <w:rStyle w:val="Hyperlink"/>
            <w:noProof/>
          </w:rPr>
          <w:t>Table 48:</w:t>
        </w:r>
        <w:r>
          <w:rPr>
            <w:rFonts w:asciiTheme="minorHAnsi" w:hAnsiTheme="minorHAnsi"/>
            <w:noProof/>
          </w:rPr>
          <w:tab/>
        </w:r>
        <w:r w:rsidRPr="00A968B2">
          <w:rPr>
            <w:rStyle w:val="Hyperlink"/>
            <w:noProof/>
          </w:rPr>
          <w:t>Emission factors for international air travel with radiative forcing multiplier</w:t>
        </w:r>
        <w:r>
          <w:rPr>
            <w:noProof/>
            <w:webHidden/>
          </w:rPr>
          <w:tab/>
        </w:r>
        <w:r>
          <w:rPr>
            <w:noProof/>
            <w:webHidden/>
          </w:rPr>
          <w:fldChar w:fldCharType="begin"/>
        </w:r>
        <w:r>
          <w:rPr>
            <w:noProof/>
            <w:webHidden/>
          </w:rPr>
          <w:instrText xml:space="preserve"> PAGEREF _Toc111536653 \h </w:instrText>
        </w:r>
        <w:r>
          <w:rPr>
            <w:noProof/>
            <w:webHidden/>
          </w:rPr>
        </w:r>
        <w:r>
          <w:rPr>
            <w:noProof/>
            <w:webHidden/>
          </w:rPr>
          <w:fldChar w:fldCharType="separate"/>
        </w:r>
        <w:r>
          <w:rPr>
            <w:noProof/>
            <w:webHidden/>
          </w:rPr>
          <w:t>71</w:t>
        </w:r>
        <w:r>
          <w:rPr>
            <w:noProof/>
            <w:webHidden/>
          </w:rPr>
          <w:fldChar w:fldCharType="end"/>
        </w:r>
      </w:hyperlink>
    </w:p>
    <w:p w14:paraId="7E41B086" w14:textId="14A8136C" w:rsidR="00954B9C" w:rsidRDefault="00954B9C">
      <w:pPr>
        <w:pStyle w:val="TableofFigures"/>
        <w:tabs>
          <w:tab w:val="right" w:pos="8495"/>
        </w:tabs>
        <w:rPr>
          <w:rFonts w:asciiTheme="minorHAnsi" w:hAnsiTheme="minorHAnsi"/>
          <w:noProof/>
        </w:rPr>
      </w:pPr>
      <w:hyperlink w:anchor="_Toc111536654" w:history="1">
        <w:r w:rsidRPr="00A968B2">
          <w:rPr>
            <w:rStyle w:val="Hyperlink"/>
            <w:noProof/>
          </w:rPr>
          <w:t>Table 49:</w:t>
        </w:r>
        <w:r>
          <w:rPr>
            <w:rFonts w:asciiTheme="minorHAnsi" w:hAnsiTheme="minorHAnsi"/>
            <w:noProof/>
          </w:rPr>
          <w:tab/>
        </w:r>
        <w:r w:rsidRPr="00A968B2">
          <w:rPr>
            <w:rStyle w:val="Hyperlink"/>
            <w:noProof/>
          </w:rPr>
          <w:t>Emission factors for international air travel without radiative forcing multiplier</w:t>
        </w:r>
        <w:r>
          <w:rPr>
            <w:noProof/>
            <w:webHidden/>
          </w:rPr>
          <w:tab/>
        </w:r>
        <w:r>
          <w:rPr>
            <w:noProof/>
            <w:webHidden/>
          </w:rPr>
          <w:fldChar w:fldCharType="begin"/>
        </w:r>
        <w:r>
          <w:rPr>
            <w:noProof/>
            <w:webHidden/>
          </w:rPr>
          <w:instrText xml:space="preserve"> PAGEREF _Toc111536654 \h </w:instrText>
        </w:r>
        <w:r>
          <w:rPr>
            <w:noProof/>
            <w:webHidden/>
          </w:rPr>
        </w:r>
        <w:r>
          <w:rPr>
            <w:noProof/>
            <w:webHidden/>
          </w:rPr>
          <w:fldChar w:fldCharType="separate"/>
        </w:r>
        <w:r>
          <w:rPr>
            <w:noProof/>
            <w:webHidden/>
          </w:rPr>
          <w:t>72</w:t>
        </w:r>
        <w:r>
          <w:rPr>
            <w:noProof/>
            <w:webHidden/>
          </w:rPr>
          <w:fldChar w:fldCharType="end"/>
        </w:r>
      </w:hyperlink>
    </w:p>
    <w:p w14:paraId="391E03AF" w14:textId="41233E82" w:rsidR="00954B9C" w:rsidRDefault="00954B9C">
      <w:pPr>
        <w:pStyle w:val="TableofFigures"/>
        <w:tabs>
          <w:tab w:val="right" w:pos="8495"/>
        </w:tabs>
        <w:rPr>
          <w:rFonts w:asciiTheme="minorHAnsi" w:hAnsiTheme="minorHAnsi"/>
          <w:noProof/>
        </w:rPr>
      </w:pPr>
      <w:hyperlink w:anchor="_Toc111536655" w:history="1">
        <w:r w:rsidRPr="00A968B2">
          <w:rPr>
            <w:rStyle w:val="Hyperlink"/>
            <w:noProof/>
          </w:rPr>
          <w:t>Table 50:</w:t>
        </w:r>
        <w:r>
          <w:rPr>
            <w:rFonts w:asciiTheme="minorHAnsi" w:hAnsiTheme="minorHAnsi"/>
            <w:noProof/>
          </w:rPr>
          <w:tab/>
        </w:r>
        <w:r w:rsidRPr="00A968B2">
          <w:rPr>
            <w:rStyle w:val="Hyperlink"/>
            <w:noProof/>
          </w:rPr>
          <w:t>Emission factors for helicopters</w:t>
        </w:r>
        <w:r>
          <w:rPr>
            <w:noProof/>
            <w:webHidden/>
          </w:rPr>
          <w:tab/>
        </w:r>
        <w:r>
          <w:rPr>
            <w:noProof/>
            <w:webHidden/>
          </w:rPr>
          <w:fldChar w:fldCharType="begin"/>
        </w:r>
        <w:r>
          <w:rPr>
            <w:noProof/>
            <w:webHidden/>
          </w:rPr>
          <w:instrText xml:space="preserve"> PAGEREF _Toc111536655 \h </w:instrText>
        </w:r>
        <w:r>
          <w:rPr>
            <w:noProof/>
            <w:webHidden/>
          </w:rPr>
        </w:r>
        <w:r>
          <w:rPr>
            <w:noProof/>
            <w:webHidden/>
          </w:rPr>
          <w:fldChar w:fldCharType="separate"/>
        </w:r>
        <w:r>
          <w:rPr>
            <w:noProof/>
            <w:webHidden/>
          </w:rPr>
          <w:t>74</w:t>
        </w:r>
        <w:r>
          <w:rPr>
            <w:noProof/>
            <w:webHidden/>
          </w:rPr>
          <w:fldChar w:fldCharType="end"/>
        </w:r>
      </w:hyperlink>
    </w:p>
    <w:p w14:paraId="4F8025EB" w14:textId="2042EFD9" w:rsidR="00954B9C" w:rsidRDefault="00954B9C">
      <w:pPr>
        <w:pStyle w:val="TableofFigures"/>
        <w:tabs>
          <w:tab w:val="right" w:pos="8495"/>
        </w:tabs>
        <w:rPr>
          <w:rFonts w:asciiTheme="minorHAnsi" w:hAnsiTheme="minorHAnsi"/>
          <w:noProof/>
        </w:rPr>
      </w:pPr>
      <w:hyperlink w:anchor="_Toc111536656" w:history="1">
        <w:r w:rsidRPr="00A968B2">
          <w:rPr>
            <w:rStyle w:val="Hyperlink"/>
            <w:noProof/>
          </w:rPr>
          <w:t>Table 51:</w:t>
        </w:r>
        <w:r>
          <w:rPr>
            <w:rFonts w:asciiTheme="minorHAnsi" w:hAnsiTheme="minorHAnsi"/>
            <w:noProof/>
          </w:rPr>
          <w:tab/>
        </w:r>
        <w:r w:rsidRPr="00A968B2">
          <w:rPr>
            <w:rStyle w:val="Hyperlink"/>
            <w:noProof/>
          </w:rPr>
          <w:t>Accommodation emission factors</w:t>
        </w:r>
        <w:r>
          <w:rPr>
            <w:noProof/>
            <w:webHidden/>
          </w:rPr>
          <w:tab/>
        </w:r>
        <w:r>
          <w:rPr>
            <w:noProof/>
            <w:webHidden/>
          </w:rPr>
          <w:fldChar w:fldCharType="begin"/>
        </w:r>
        <w:r>
          <w:rPr>
            <w:noProof/>
            <w:webHidden/>
          </w:rPr>
          <w:instrText xml:space="preserve"> PAGEREF _Toc111536656 \h </w:instrText>
        </w:r>
        <w:r>
          <w:rPr>
            <w:noProof/>
            <w:webHidden/>
          </w:rPr>
        </w:r>
        <w:r>
          <w:rPr>
            <w:noProof/>
            <w:webHidden/>
          </w:rPr>
          <w:fldChar w:fldCharType="separate"/>
        </w:r>
        <w:r>
          <w:rPr>
            <w:noProof/>
            <w:webHidden/>
          </w:rPr>
          <w:t>75</w:t>
        </w:r>
        <w:r>
          <w:rPr>
            <w:noProof/>
            <w:webHidden/>
          </w:rPr>
          <w:fldChar w:fldCharType="end"/>
        </w:r>
      </w:hyperlink>
    </w:p>
    <w:p w14:paraId="023B7DF1" w14:textId="7FE558E8" w:rsidR="00954B9C" w:rsidRDefault="00954B9C">
      <w:pPr>
        <w:pStyle w:val="TableofFigures"/>
        <w:tabs>
          <w:tab w:val="right" w:pos="8495"/>
        </w:tabs>
        <w:rPr>
          <w:rFonts w:asciiTheme="minorHAnsi" w:hAnsiTheme="minorHAnsi"/>
          <w:noProof/>
        </w:rPr>
      </w:pPr>
      <w:hyperlink w:anchor="_Toc111536657" w:history="1">
        <w:r w:rsidRPr="00A968B2">
          <w:rPr>
            <w:rStyle w:val="Hyperlink"/>
            <w:noProof/>
          </w:rPr>
          <w:t>Table 52:</w:t>
        </w:r>
        <w:r>
          <w:rPr>
            <w:rFonts w:asciiTheme="minorHAnsi" w:hAnsiTheme="minorHAnsi"/>
            <w:noProof/>
          </w:rPr>
          <w:tab/>
        </w:r>
        <w:r w:rsidRPr="00A968B2">
          <w:rPr>
            <w:rStyle w:val="Hyperlink"/>
            <w:noProof/>
          </w:rPr>
          <w:t>Emission factors for light commercial vehicles manufactured pre-2010</w:t>
        </w:r>
        <w:r>
          <w:rPr>
            <w:noProof/>
            <w:webHidden/>
          </w:rPr>
          <w:tab/>
        </w:r>
        <w:r>
          <w:rPr>
            <w:noProof/>
            <w:webHidden/>
          </w:rPr>
          <w:fldChar w:fldCharType="begin"/>
        </w:r>
        <w:r>
          <w:rPr>
            <w:noProof/>
            <w:webHidden/>
          </w:rPr>
          <w:instrText xml:space="preserve"> PAGEREF _Toc111536657 \h </w:instrText>
        </w:r>
        <w:r>
          <w:rPr>
            <w:noProof/>
            <w:webHidden/>
          </w:rPr>
        </w:r>
        <w:r>
          <w:rPr>
            <w:noProof/>
            <w:webHidden/>
          </w:rPr>
          <w:fldChar w:fldCharType="separate"/>
        </w:r>
        <w:r>
          <w:rPr>
            <w:noProof/>
            <w:webHidden/>
          </w:rPr>
          <w:t>79</w:t>
        </w:r>
        <w:r>
          <w:rPr>
            <w:noProof/>
            <w:webHidden/>
          </w:rPr>
          <w:fldChar w:fldCharType="end"/>
        </w:r>
      </w:hyperlink>
    </w:p>
    <w:p w14:paraId="3F5B4AA9" w14:textId="52F092B0" w:rsidR="00954B9C" w:rsidRDefault="00954B9C">
      <w:pPr>
        <w:pStyle w:val="TableofFigures"/>
        <w:tabs>
          <w:tab w:val="right" w:pos="8495"/>
        </w:tabs>
        <w:rPr>
          <w:rFonts w:asciiTheme="minorHAnsi" w:hAnsiTheme="minorHAnsi"/>
          <w:noProof/>
        </w:rPr>
      </w:pPr>
      <w:hyperlink w:anchor="_Toc111536658" w:history="1">
        <w:r w:rsidRPr="00A968B2">
          <w:rPr>
            <w:rStyle w:val="Hyperlink"/>
            <w:noProof/>
          </w:rPr>
          <w:t>Table 53:</w:t>
        </w:r>
        <w:r>
          <w:rPr>
            <w:rFonts w:asciiTheme="minorHAnsi" w:hAnsiTheme="minorHAnsi"/>
            <w:noProof/>
          </w:rPr>
          <w:tab/>
        </w:r>
        <w:r w:rsidRPr="00A968B2">
          <w:rPr>
            <w:rStyle w:val="Hyperlink"/>
            <w:noProof/>
          </w:rPr>
          <w:t>Emission factors for light commercial vehicles manufactured between 2010 and 2015</w:t>
        </w:r>
        <w:r>
          <w:rPr>
            <w:noProof/>
            <w:webHidden/>
          </w:rPr>
          <w:tab/>
        </w:r>
        <w:r>
          <w:rPr>
            <w:noProof/>
            <w:webHidden/>
          </w:rPr>
          <w:fldChar w:fldCharType="begin"/>
        </w:r>
        <w:r>
          <w:rPr>
            <w:noProof/>
            <w:webHidden/>
          </w:rPr>
          <w:instrText xml:space="preserve"> PAGEREF _Toc111536658 \h </w:instrText>
        </w:r>
        <w:r>
          <w:rPr>
            <w:noProof/>
            <w:webHidden/>
          </w:rPr>
        </w:r>
        <w:r>
          <w:rPr>
            <w:noProof/>
            <w:webHidden/>
          </w:rPr>
          <w:fldChar w:fldCharType="separate"/>
        </w:r>
        <w:r>
          <w:rPr>
            <w:noProof/>
            <w:webHidden/>
          </w:rPr>
          <w:t>79</w:t>
        </w:r>
        <w:r>
          <w:rPr>
            <w:noProof/>
            <w:webHidden/>
          </w:rPr>
          <w:fldChar w:fldCharType="end"/>
        </w:r>
      </w:hyperlink>
    </w:p>
    <w:p w14:paraId="2C4C1382" w14:textId="3A56823B" w:rsidR="00954B9C" w:rsidRDefault="00954B9C">
      <w:pPr>
        <w:pStyle w:val="TableofFigures"/>
        <w:tabs>
          <w:tab w:val="right" w:pos="8495"/>
        </w:tabs>
        <w:rPr>
          <w:rFonts w:asciiTheme="minorHAnsi" w:hAnsiTheme="minorHAnsi"/>
          <w:noProof/>
        </w:rPr>
      </w:pPr>
      <w:hyperlink w:anchor="_Toc111536659" w:history="1">
        <w:r w:rsidRPr="00A968B2">
          <w:rPr>
            <w:rStyle w:val="Hyperlink"/>
            <w:noProof/>
          </w:rPr>
          <w:t>Table 54:</w:t>
        </w:r>
        <w:r>
          <w:rPr>
            <w:rFonts w:asciiTheme="minorHAnsi" w:hAnsiTheme="minorHAnsi"/>
            <w:noProof/>
          </w:rPr>
          <w:tab/>
        </w:r>
        <w:r w:rsidRPr="00A968B2">
          <w:rPr>
            <w:rStyle w:val="Hyperlink"/>
            <w:noProof/>
          </w:rPr>
          <w:t>Emission factors for light commercial vehicles manufactured post-2015</w:t>
        </w:r>
        <w:r>
          <w:rPr>
            <w:noProof/>
            <w:webHidden/>
          </w:rPr>
          <w:tab/>
        </w:r>
        <w:r>
          <w:rPr>
            <w:noProof/>
            <w:webHidden/>
          </w:rPr>
          <w:fldChar w:fldCharType="begin"/>
        </w:r>
        <w:r>
          <w:rPr>
            <w:noProof/>
            <w:webHidden/>
          </w:rPr>
          <w:instrText xml:space="preserve"> PAGEREF _Toc111536659 \h </w:instrText>
        </w:r>
        <w:r>
          <w:rPr>
            <w:noProof/>
            <w:webHidden/>
          </w:rPr>
        </w:r>
        <w:r>
          <w:rPr>
            <w:noProof/>
            <w:webHidden/>
          </w:rPr>
          <w:fldChar w:fldCharType="separate"/>
        </w:r>
        <w:r>
          <w:rPr>
            <w:noProof/>
            <w:webHidden/>
          </w:rPr>
          <w:t>81</w:t>
        </w:r>
        <w:r>
          <w:rPr>
            <w:noProof/>
            <w:webHidden/>
          </w:rPr>
          <w:fldChar w:fldCharType="end"/>
        </w:r>
      </w:hyperlink>
    </w:p>
    <w:p w14:paraId="7D953219" w14:textId="75818C5A" w:rsidR="00954B9C" w:rsidRDefault="00954B9C">
      <w:pPr>
        <w:pStyle w:val="TableofFigures"/>
        <w:tabs>
          <w:tab w:val="right" w:pos="8495"/>
        </w:tabs>
        <w:rPr>
          <w:rFonts w:asciiTheme="minorHAnsi" w:hAnsiTheme="minorHAnsi"/>
          <w:noProof/>
        </w:rPr>
      </w:pPr>
      <w:hyperlink w:anchor="_Toc111536660" w:history="1">
        <w:r w:rsidRPr="00A968B2">
          <w:rPr>
            <w:rStyle w:val="Hyperlink"/>
            <w:noProof/>
          </w:rPr>
          <w:t>Table 55:</w:t>
        </w:r>
        <w:r>
          <w:rPr>
            <w:rFonts w:asciiTheme="minorHAnsi" w:hAnsiTheme="minorHAnsi"/>
            <w:noProof/>
          </w:rPr>
          <w:tab/>
        </w:r>
        <w:r w:rsidRPr="00A968B2">
          <w:rPr>
            <w:rStyle w:val="Hyperlink"/>
            <w:noProof/>
          </w:rPr>
          <w:t>Default light commercial vehicle values (based on pre-2010 fleet and a 2000–3000 cc engine size)</w:t>
        </w:r>
        <w:r>
          <w:rPr>
            <w:noProof/>
            <w:webHidden/>
          </w:rPr>
          <w:tab/>
        </w:r>
        <w:r>
          <w:rPr>
            <w:noProof/>
            <w:webHidden/>
          </w:rPr>
          <w:fldChar w:fldCharType="begin"/>
        </w:r>
        <w:r>
          <w:rPr>
            <w:noProof/>
            <w:webHidden/>
          </w:rPr>
          <w:instrText xml:space="preserve"> PAGEREF _Toc111536660 \h </w:instrText>
        </w:r>
        <w:r>
          <w:rPr>
            <w:noProof/>
            <w:webHidden/>
          </w:rPr>
        </w:r>
        <w:r>
          <w:rPr>
            <w:noProof/>
            <w:webHidden/>
          </w:rPr>
          <w:fldChar w:fldCharType="separate"/>
        </w:r>
        <w:r>
          <w:rPr>
            <w:noProof/>
            <w:webHidden/>
          </w:rPr>
          <w:t>82</w:t>
        </w:r>
        <w:r>
          <w:rPr>
            <w:noProof/>
            <w:webHidden/>
          </w:rPr>
          <w:fldChar w:fldCharType="end"/>
        </w:r>
      </w:hyperlink>
    </w:p>
    <w:p w14:paraId="5FAFDB0C" w14:textId="062C21F5" w:rsidR="00954B9C" w:rsidRDefault="00954B9C">
      <w:pPr>
        <w:pStyle w:val="TableofFigures"/>
        <w:tabs>
          <w:tab w:val="right" w:pos="8495"/>
        </w:tabs>
        <w:rPr>
          <w:rFonts w:asciiTheme="minorHAnsi" w:hAnsiTheme="minorHAnsi"/>
          <w:noProof/>
        </w:rPr>
      </w:pPr>
      <w:hyperlink w:anchor="_Toc111536661" w:history="1">
        <w:r w:rsidRPr="00A968B2">
          <w:rPr>
            <w:rStyle w:val="Hyperlink"/>
            <w:noProof/>
          </w:rPr>
          <w:t>Table 56:</w:t>
        </w:r>
        <w:r>
          <w:rPr>
            <w:rFonts w:asciiTheme="minorHAnsi" w:hAnsiTheme="minorHAnsi"/>
            <w:noProof/>
          </w:rPr>
          <w:tab/>
        </w:r>
        <w:r w:rsidRPr="00A968B2">
          <w:rPr>
            <w:rStyle w:val="Hyperlink"/>
            <w:noProof/>
          </w:rPr>
          <w:t>Emission factors for heavy goods vehicles manufactured pre-2010</w:t>
        </w:r>
        <w:r>
          <w:rPr>
            <w:noProof/>
            <w:webHidden/>
          </w:rPr>
          <w:tab/>
        </w:r>
        <w:r>
          <w:rPr>
            <w:noProof/>
            <w:webHidden/>
          </w:rPr>
          <w:fldChar w:fldCharType="begin"/>
        </w:r>
        <w:r>
          <w:rPr>
            <w:noProof/>
            <w:webHidden/>
          </w:rPr>
          <w:instrText xml:space="preserve"> PAGEREF _Toc111536661 \h </w:instrText>
        </w:r>
        <w:r>
          <w:rPr>
            <w:noProof/>
            <w:webHidden/>
          </w:rPr>
        </w:r>
        <w:r>
          <w:rPr>
            <w:noProof/>
            <w:webHidden/>
          </w:rPr>
          <w:fldChar w:fldCharType="separate"/>
        </w:r>
        <w:r>
          <w:rPr>
            <w:noProof/>
            <w:webHidden/>
          </w:rPr>
          <w:t>82</w:t>
        </w:r>
        <w:r>
          <w:rPr>
            <w:noProof/>
            <w:webHidden/>
          </w:rPr>
          <w:fldChar w:fldCharType="end"/>
        </w:r>
      </w:hyperlink>
    </w:p>
    <w:p w14:paraId="78733FD6" w14:textId="0440F21E" w:rsidR="00954B9C" w:rsidRDefault="00954B9C">
      <w:pPr>
        <w:pStyle w:val="TableofFigures"/>
        <w:tabs>
          <w:tab w:val="right" w:pos="8495"/>
        </w:tabs>
        <w:rPr>
          <w:rFonts w:asciiTheme="minorHAnsi" w:hAnsiTheme="minorHAnsi"/>
          <w:noProof/>
        </w:rPr>
      </w:pPr>
      <w:hyperlink w:anchor="_Toc111536662" w:history="1">
        <w:r w:rsidRPr="00A968B2">
          <w:rPr>
            <w:rStyle w:val="Hyperlink"/>
            <w:noProof/>
          </w:rPr>
          <w:t>Table 57:</w:t>
        </w:r>
        <w:r>
          <w:rPr>
            <w:rFonts w:asciiTheme="minorHAnsi" w:hAnsiTheme="minorHAnsi"/>
            <w:noProof/>
          </w:rPr>
          <w:tab/>
        </w:r>
        <w:r w:rsidRPr="00A968B2">
          <w:rPr>
            <w:rStyle w:val="Hyperlink"/>
            <w:noProof/>
          </w:rPr>
          <w:t>Emission factors for heavy goods vehicles manufactured between 2010 and 2015</w:t>
        </w:r>
        <w:r>
          <w:rPr>
            <w:noProof/>
            <w:webHidden/>
          </w:rPr>
          <w:tab/>
        </w:r>
        <w:r>
          <w:rPr>
            <w:noProof/>
            <w:webHidden/>
          </w:rPr>
          <w:fldChar w:fldCharType="begin"/>
        </w:r>
        <w:r>
          <w:rPr>
            <w:noProof/>
            <w:webHidden/>
          </w:rPr>
          <w:instrText xml:space="preserve"> PAGEREF _Toc111536662 \h </w:instrText>
        </w:r>
        <w:r>
          <w:rPr>
            <w:noProof/>
            <w:webHidden/>
          </w:rPr>
        </w:r>
        <w:r>
          <w:rPr>
            <w:noProof/>
            <w:webHidden/>
          </w:rPr>
          <w:fldChar w:fldCharType="separate"/>
        </w:r>
        <w:r>
          <w:rPr>
            <w:noProof/>
            <w:webHidden/>
          </w:rPr>
          <w:t>83</w:t>
        </w:r>
        <w:r>
          <w:rPr>
            <w:noProof/>
            <w:webHidden/>
          </w:rPr>
          <w:fldChar w:fldCharType="end"/>
        </w:r>
      </w:hyperlink>
    </w:p>
    <w:p w14:paraId="7864E4D5" w14:textId="5B104EF2" w:rsidR="00954B9C" w:rsidRDefault="00954B9C">
      <w:pPr>
        <w:pStyle w:val="TableofFigures"/>
        <w:tabs>
          <w:tab w:val="right" w:pos="8495"/>
        </w:tabs>
        <w:rPr>
          <w:rFonts w:asciiTheme="minorHAnsi" w:hAnsiTheme="minorHAnsi"/>
          <w:noProof/>
        </w:rPr>
      </w:pPr>
      <w:hyperlink w:anchor="_Toc111536663" w:history="1">
        <w:r w:rsidRPr="00A968B2">
          <w:rPr>
            <w:rStyle w:val="Hyperlink"/>
            <w:noProof/>
          </w:rPr>
          <w:t>Table 58:</w:t>
        </w:r>
        <w:r>
          <w:rPr>
            <w:rFonts w:asciiTheme="minorHAnsi" w:hAnsiTheme="minorHAnsi"/>
            <w:noProof/>
          </w:rPr>
          <w:tab/>
        </w:r>
        <w:r w:rsidRPr="00A968B2">
          <w:rPr>
            <w:rStyle w:val="Hyperlink"/>
            <w:noProof/>
          </w:rPr>
          <w:t>Emission factors for heavy goods vehicles manufactured post-2015</w:t>
        </w:r>
        <w:r>
          <w:rPr>
            <w:noProof/>
            <w:webHidden/>
          </w:rPr>
          <w:tab/>
        </w:r>
        <w:r>
          <w:rPr>
            <w:noProof/>
            <w:webHidden/>
          </w:rPr>
          <w:fldChar w:fldCharType="begin"/>
        </w:r>
        <w:r>
          <w:rPr>
            <w:noProof/>
            <w:webHidden/>
          </w:rPr>
          <w:instrText xml:space="preserve"> PAGEREF _Toc111536663 \h </w:instrText>
        </w:r>
        <w:r>
          <w:rPr>
            <w:noProof/>
            <w:webHidden/>
          </w:rPr>
        </w:r>
        <w:r>
          <w:rPr>
            <w:noProof/>
            <w:webHidden/>
          </w:rPr>
          <w:fldChar w:fldCharType="separate"/>
        </w:r>
        <w:r>
          <w:rPr>
            <w:noProof/>
            <w:webHidden/>
          </w:rPr>
          <w:t>83</w:t>
        </w:r>
        <w:r>
          <w:rPr>
            <w:noProof/>
            <w:webHidden/>
          </w:rPr>
          <w:fldChar w:fldCharType="end"/>
        </w:r>
      </w:hyperlink>
    </w:p>
    <w:p w14:paraId="51ABB564" w14:textId="7294A39F" w:rsidR="00954B9C" w:rsidRDefault="00954B9C">
      <w:pPr>
        <w:pStyle w:val="TableofFigures"/>
        <w:tabs>
          <w:tab w:val="right" w:pos="8495"/>
        </w:tabs>
        <w:rPr>
          <w:rFonts w:asciiTheme="minorHAnsi" w:hAnsiTheme="minorHAnsi"/>
          <w:noProof/>
        </w:rPr>
      </w:pPr>
      <w:hyperlink w:anchor="_Toc111536664" w:history="1">
        <w:r w:rsidRPr="00A968B2">
          <w:rPr>
            <w:rStyle w:val="Hyperlink"/>
            <w:noProof/>
          </w:rPr>
          <w:t>Table 59:</w:t>
        </w:r>
        <w:r>
          <w:rPr>
            <w:rFonts w:asciiTheme="minorHAnsi" w:hAnsiTheme="minorHAnsi"/>
            <w:noProof/>
          </w:rPr>
          <w:tab/>
        </w:r>
        <w:r w:rsidRPr="00A968B2">
          <w:rPr>
            <w:rStyle w:val="Hyperlink"/>
            <w:noProof/>
          </w:rPr>
          <w:t>Default emission factors for heavy goods vehicles</w:t>
        </w:r>
        <w:r>
          <w:rPr>
            <w:noProof/>
            <w:webHidden/>
          </w:rPr>
          <w:tab/>
        </w:r>
        <w:r>
          <w:rPr>
            <w:noProof/>
            <w:webHidden/>
          </w:rPr>
          <w:fldChar w:fldCharType="begin"/>
        </w:r>
        <w:r>
          <w:rPr>
            <w:noProof/>
            <w:webHidden/>
          </w:rPr>
          <w:instrText xml:space="preserve"> PAGEREF _Toc111536664 \h </w:instrText>
        </w:r>
        <w:r>
          <w:rPr>
            <w:noProof/>
            <w:webHidden/>
          </w:rPr>
        </w:r>
        <w:r>
          <w:rPr>
            <w:noProof/>
            <w:webHidden/>
          </w:rPr>
          <w:fldChar w:fldCharType="separate"/>
        </w:r>
        <w:r>
          <w:rPr>
            <w:noProof/>
            <w:webHidden/>
          </w:rPr>
          <w:t>84</w:t>
        </w:r>
        <w:r>
          <w:rPr>
            <w:noProof/>
            <w:webHidden/>
          </w:rPr>
          <w:fldChar w:fldCharType="end"/>
        </w:r>
      </w:hyperlink>
    </w:p>
    <w:p w14:paraId="435A9A77" w14:textId="02EFBE77" w:rsidR="00954B9C" w:rsidRDefault="00954B9C">
      <w:pPr>
        <w:pStyle w:val="TableofFigures"/>
        <w:tabs>
          <w:tab w:val="right" w:pos="8495"/>
        </w:tabs>
        <w:rPr>
          <w:rFonts w:asciiTheme="minorHAnsi" w:hAnsiTheme="minorHAnsi"/>
          <w:noProof/>
        </w:rPr>
      </w:pPr>
      <w:hyperlink w:anchor="_Toc111536665" w:history="1">
        <w:r w:rsidRPr="00A968B2">
          <w:rPr>
            <w:rStyle w:val="Hyperlink"/>
            <w:noProof/>
          </w:rPr>
          <w:t>Table 60:</w:t>
        </w:r>
        <w:r>
          <w:rPr>
            <w:rFonts w:asciiTheme="minorHAnsi" w:hAnsiTheme="minorHAnsi"/>
            <w:noProof/>
          </w:rPr>
          <w:tab/>
        </w:r>
        <w:r w:rsidRPr="00A968B2">
          <w:rPr>
            <w:rStyle w:val="Hyperlink"/>
            <w:noProof/>
          </w:rPr>
          <w:t>Emission factors for freighting goods by road</w:t>
        </w:r>
        <w:r>
          <w:rPr>
            <w:noProof/>
            <w:webHidden/>
          </w:rPr>
          <w:tab/>
        </w:r>
        <w:r>
          <w:rPr>
            <w:noProof/>
            <w:webHidden/>
          </w:rPr>
          <w:fldChar w:fldCharType="begin"/>
        </w:r>
        <w:r>
          <w:rPr>
            <w:noProof/>
            <w:webHidden/>
          </w:rPr>
          <w:instrText xml:space="preserve"> PAGEREF _Toc111536665 \h </w:instrText>
        </w:r>
        <w:r>
          <w:rPr>
            <w:noProof/>
            <w:webHidden/>
          </w:rPr>
        </w:r>
        <w:r>
          <w:rPr>
            <w:noProof/>
            <w:webHidden/>
          </w:rPr>
          <w:fldChar w:fldCharType="separate"/>
        </w:r>
        <w:r>
          <w:rPr>
            <w:noProof/>
            <w:webHidden/>
          </w:rPr>
          <w:t>84</w:t>
        </w:r>
        <w:r>
          <w:rPr>
            <w:noProof/>
            <w:webHidden/>
          </w:rPr>
          <w:fldChar w:fldCharType="end"/>
        </w:r>
      </w:hyperlink>
    </w:p>
    <w:p w14:paraId="05E4989B" w14:textId="0EECE930" w:rsidR="00954B9C" w:rsidRDefault="00954B9C">
      <w:pPr>
        <w:pStyle w:val="TableofFigures"/>
        <w:tabs>
          <w:tab w:val="right" w:pos="8495"/>
        </w:tabs>
        <w:rPr>
          <w:rFonts w:asciiTheme="minorHAnsi" w:hAnsiTheme="minorHAnsi"/>
          <w:noProof/>
        </w:rPr>
      </w:pPr>
      <w:hyperlink w:anchor="_Toc111536666" w:history="1">
        <w:r w:rsidRPr="00A968B2">
          <w:rPr>
            <w:rStyle w:val="Hyperlink"/>
            <w:noProof/>
          </w:rPr>
          <w:t>Table 61:</w:t>
        </w:r>
        <w:r>
          <w:rPr>
            <w:rFonts w:asciiTheme="minorHAnsi" w:hAnsiTheme="minorHAnsi"/>
            <w:noProof/>
          </w:rPr>
          <w:tab/>
        </w:r>
        <w:r w:rsidRPr="00A968B2">
          <w:rPr>
            <w:rStyle w:val="Hyperlink"/>
            <w:noProof/>
          </w:rPr>
          <w:t>Light commercial vehicles (energy consumption per 100 km)</w:t>
        </w:r>
        <w:r>
          <w:rPr>
            <w:noProof/>
            <w:webHidden/>
          </w:rPr>
          <w:tab/>
        </w:r>
        <w:r>
          <w:rPr>
            <w:noProof/>
            <w:webHidden/>
          </w:rPr>
          <w:fldChar w:fldCharType="begin"/>
        </w:r>
        <w:r>
          <w:rPr>
            <w:noProof/>
            <w:webHidden/>
          </w:rPr>
          <w:instrText xml:space="preserve"> PAGEREF _Toc111536666 \h </w:instrText>
        </w:r>
        <w:r>
          <w:rPr>
            <w:noProof/>
            <w:webHidden/>
          </w:rPr>
        </w:r>
        <w:r>
          <w:rPr>
            <w:noProof/>
            <w:webHidden/>
          </w:rPr>
          <w:fldChar w:fldCharType="separate"/>
        </w:r>
        <w:r>
          <w:rPr>
            <w:noProof/>
            <w:webHidden/>
          </w:rPr>
          <w:t>86</w:t>
        </w:r>
        <w:r>
          <w:rPr>
            <w:noProof/>
            <w:webHidden/>
          </w:rPr>
          <w:fldChar w:fldCharType="end"/>
        </w:r>
      </w:hyperlink>
    </w:p>
    <w:p w14:paraId="2DBF2FD3" w14:textId="735F4A4C" w:rsidR="00954B9C" w:rsidRDefault="00954B9C">
      <w:pPr>
        <w:pStyle w:val="TableofFigures"/>
        <w:tabs>
          <w:tab w:val="right" w:pos="8495"/>
        </w:tabs>
        <w:rPr>
          <w:rFonts w:asciiTheme="minorHAnsi" w:hAnsiTheme="minorHAnsi"/>
          <w:noProof/>
        </w:rPr>
      </w:pPr>
      <w:hyperlink w:anchor="_Toc111536667" w:history="1">
        <w:r w:rsidRPr="00A968B2">
          <w:rPr>
            <w:rStyle w:val="Hyperlink"/>
            <w:noProof/>
          </w:rPr>
          <w:t>Table 62:</w:t>
        </w:r>
        <w:r>
          <w:rPr>
            <w:rFonts w:asciiTheme="minorHAnsi" w:hAnsiTheme="minorHAnsi"/>
            <w:noProof/>
          </w:rPr>
          <w:tab/>
        </w:r>
        <w:r w:rsidRPr="00A968B2">
          <w:rPr>
            <w:rStyle w:val="Hyperlink"/>
            <w:noProof/>
          </w:rPr>
          <w:t>Heavy goods vehicles (energy consumption per 100 km)</w:t>
        </w:r>
        <w:r>
          <w:rPr>
            <w:noProof/>
            <w:webHidden/>
          </w:rPr>
          <w:tab/>
        </w:r>
        <w:r>
          <w:rPr>
            <w:noProof/>
            <w:webHidden/>
          </w:rPr>
          <w:fldChar w:fldCharType="begin"/>
        </w:r>
        <w:r>
          <w:rPr>
            <w:noProof/>
            <w:webHidden/>
          </w:rPr>
          <w:instrText xml:space="preserve"> PAGEREF _Toc111536667 \h </w:instrText>
        </w:r>
        <w:r>
          <w:rPr>
            <w:noProof/>
            <w:webHidden/>
          </w:rPr>
        </w:r>
        <w:r>
          <w:rPr>
            <w:noProof/>
            <w:webHidden/>
          </w:rPr>
          <w:fldChar w:fldCharType="separate"/>
        </w:r>
        <w:r>
          <w:rPr>
            <w:noProof/>
            <w:webHidden/>
          </w:rPr>
          <w:t>87</w:t>
        </w:r>
        <w:r>
          <w:rPr>
            <w:noProof/>
            <w:webHidden/>
          </w:rPr>
          <w:fldChar w:fldCharType="end"/>
        </w:r>
      </w:hyperlink>
    </w:p>
    <w:p w14:paraId="1A9A905D" w14:textId="0F2DD682" w:rsidR="00954B9C" w:rsidRDefault="00954B9C">
      <w:pPr>
        <w:pStyle w:val="TableofFigures"/>
        <w:tabs>
          <w:tab w:val="right" w:pos="8495"/>
        </w:tabs>
        <w:rPr>
          <w:rFonts w:asciiTheme="minorHAnsi" w:hAnsiTheme="minorHAnsi"/>
          <w:noProof/>
        </w:rPr>
      </w:pPr>
      <w:hyperlink w:anchor="_Toc111536668" w:history="1">
        <w:r w:rsidRPr="00A968B2">
          <w:rPr>
            <w:rStyle w:val="Hyperlink"/>
            <w:noProof/>
          </w:rPr>
          <w:t>Table 63:</w:t>
        </w:r>
        <w:r>
          <w:rPr>
            <w:rFonts w:asciiTheme="minorHAnsi" w:hAnsiTheme="minorHAnsi"/>
            <w:noProof/>
          </w:rPr>
          <w:tab/>
        </w:r>
        <w:r w:rsidRPr="00A968B2">
          <w:rPr>
            <w:rStyle w:val="Hyperlink"/>
            <w:noProof/>
          </w:rPr>
          <w:t>Data used to calculate the road freight (tkm) emission factor</w:t>
        </w:r>
        <w:r>
          <w:rPr>
            <w:noProof/>
            <w:webHidden/>
          </w:rPr>
          <w:tab/>
        </w:r>
        <w:r>
          <w:rPr>
            <w:noProof/>
            <w:webHidden/>
          </w:rPr>
          <w:fldChar w:fldCharType="begin"/>
        </w:r>
        <w:r>
          <w:rPr>
            <w:noProof/>
            <w:webHidden/>
          </w:rPr>
          <w:instrText xml:space="preserve"> PAGEREF _Toc111536668 \h </w:instrText>
        </w:r>
        <w:r>
          <w:rPr>
            <w:noProof/>
            <w:webHidden/>
          </w:rPr>
        </w:r>
        <w:r>
          <w:rPr>
            <w:noProof/>
            <w:webHidden/>
          </w:rPr>
          <w:fldChar w:fldCharType="separate"/>
        </w:r>
        <w:r>
          <w:rPr>
            <w:noProof/>
            <w:webHidden/>
          </w:rPr>
          <w:t>88</w:t>
        </w:r>
        <w:r>
          <w:rPr>
            <w:noProof/>
            <w:webHidden/>
          </w:rPr>
          <w:fldChar w:fldCharType="end"/>
        </w:r>
      </w:hyperlink>
    </w:p>
    <w:p w14:paraId="36A10A0A" w14:textId="53B80A02" w:rsidR="00954B9C" w:rsidRDefault="00954B9C">
      <w:pPr>
        <w:pStyle w:val="TableofFigures"/>
        <w:tabs>
          <w:tab w:val="right" w:pos="8495"/>
        </w:tabs>
        <w:rPr>
          <w:rFonts w:asciiTheme="minorHAnsi" w:hAnsiTheme="minorHAnsi"/>
          <w:noProof/>
        </w:rPr>
      </w:pPr>
      <w:hyperlink w:anchor="_Toc111536669" w:history="1">
        <w:r w:rsidRPr="00A968B2">
          <w:rPr>
            <w:rStyle w:val="Hyperlink"/>
            <w:noProof/>
          </w:rPr>
          <w:t>Table 64:</w:t>
        </w:r>
        <w:r>
          <w:rPr>
            <w:rFonts w:asciiTheme="minorHAnsi" w:hAnsiTheme="minorHAnsi"/>
            <w:noProof/>
          </w:rPr>
          <w:tab/>
        </w:r>
        <w:r w:rsidRPr="00A968B2">
          <w:rPr>
            <w:rStyle w:val="Hyperlink"/>
            <w:noProof/>
          </w:rPr>
          <w:t>Calculating the ratio of gases in diesel</w:t>
        </w:r>
        <w:r>
          <w:rPr>
            <w:noProof/>
            <w:webHidden/>
          </w:rPr>
          <w:tab/>
        </w:r>
        <w:r>
          <w:rPr>
            <w:noProof/>
            <w:webHidden/>
          </w:rPr>
          <w:fldChar w:fldCharType="begin"/>
        </w:r>
        <w:r>
          <w:rPr>
            <w:noProof/>
            <w:webHidden/>
          </w:rPr>
          <w:instrText xml:space="preserve"> PAGEREF _Toc111536669 \h </w:instrText>
        </w:r>
        <w:r>
          <w:rPr>
            <w:noProof/>
            <w:webHidden/>
          </w:rPr>
        </w:r>
        <w:r>
          <w:rPr>
            <w:noProof/>
            <w:webHidden/>
          </w:rPr>
          <w:fldChar w:fldCharType="separate"/>
        </w:r>
        <w:r>
          <w:rPr>
            <w:noProof/>
            <w:webHidden/>
          </w:rPr>
          <w:t>89</w:t>
        </w:r>
        <w:r>
          <w:rPr>
            <w:noProof/>
            <w:webHidden/>
          </w:rPr>
          <w:fldChar w:fldCharType="end"/>
        </w:r>
      </w:hyperlink>
    </w:p>
    <w:p w14:paraId="5B0AFBB2" w14:textId="14F33484" w:rsidR="00954B9C" w:rsidRDefault="00954B9C">
      <w:pPr>
        <w:pStyle w:val="TableofFigures"/>
        <w:tabs>
          <w:tab w:val="right" w:pos="8495"/>
        </w:tabs>
        <w:rPr>
          <w:rFonts w:asciiTheme="minorHAnsi" w:hAnsiTheme="minorHAnsi"/>
          <w:noProof/>
        </w:rPr>
      </w:pPr>
      <w:hyperlink w:anchor="_Toc111536670" w:history="1">
        <w:r w:rsidRPr="00A968B2">
          <w:rPr>
            <w:rStyle w:val="Hyperlink"/>
            <w:noProof/>
          </w:rPr>
          <w:t>Table 65:</w:t>
        </w:r>
        <w:r>
          <w:rPr>
            <w:rFonts w:asciiTheme="minorHAnsi" w:hAnsiTheme="minorHAnsi"/>
            <w:noProof/>
          </w:rPr>
          <w:tab/>
        </w:r>
        <w:r w:rsidRPr="00A968B2">
          <w:rPr>
            <w:rStyle w:val="Hyperlink"/>
            <w:noProof/>
          </w:rPr>
          <w:t>Emission factors for rail freight</w:t>
        </w:r>
        <w:r>
          <w:rPr>
            <w:noProof/>
            <w:webHidden/>
          </w:rPr>
          <w:tab/>
        </w:r>
        <w:r>
          <w:rPr>
            <w:noProof/>
            <w:webHidden/>
          </w:rPr>
          <w:fldChar w:fldCharType="begin"/>
        </w:r>
        <w:r>
          <w:rPr>
            <w:noProof/>
            <w:webHidden/>
          </w:rPr>
          <w:instrText xml:space="preserve"> PAGEREF _Toc111536670 \h </w:instrText>
        </w:r>
        <w:r>
          <w:rPr>
            <w:noProof/>
            <w:webHidden/>
          </w:rPr>
        </w:r>
        <w:r>
          <w:rPr>
            <w:noProof/>
            <w:webHidden/>
          </w:rPr>
          <w:fldChar w:fldCharType="separate"/>
        </w:r>
        <w:r>
          <w:rPr>
            <w:noProof/>
            <w:webHidden/>
          </w:rPr>
          <w:t>89</w:t>
        </w:r>
        <w:r>
          <w:rPr>
            <w:noProof/>
            <w:webHidden/>
          </w:rPr>
          <w:fldChar w:fldCharType="end"/>
        </w:r>
      </w:hyperlink>
    </w:p>
    <w:p w14:paraId="4F66C23E" w14:textId="52941D82" w:rsidR="00954B9C" w:rsidRDefault="00954B9C">
      <w:pPr>
        <w:pStyle w:val="TableofFigures"/>
        <w:tabs>
          <w:tab w:val="right" w:pos="8495"/>
        </w:tabs>
        <w:rPr>
          <w:rFonts w:asciiTheme="minorHAnsi" w:hAnsiTheme="minorHAnsi"/>
          <w:noProof/>
        </w:rPr>
      </w:pPr>
      <w:hyperlink w:anchor="_Toc111536671" w:history="1">
        <w:r w:rsidRPr="00A968B2">
          <w:rPr>
            <w:rStyle w:val="Hyperlink"/>
            <w:noProof/>
          </w:rPr>
          <w:t>Table 66:</w:t>
        </w:r>
        <w:r>
          <w:rPr>
            <w:rFonts w:asciiTheme="minorHAnsi" w:hAnsiTheme="minorHAnsi"/>
            <w:noProof/>
          </w:rPr>
          <w:tab/>
        </w:r>
        <w:r w:rsidRPr="00A968B2">
          <w:rPr>
            <w:rStyle w:val="Hyperlink"/>
            <w:noProof/>
          </w:rPr>
          <w:t>Information provided by KiwiRail</w:t>
        </w:r>
        <w:r>
          <w:rPr>
            <w:noProof/>
            <w:webHidden/>
          </w:rPr>
          <w:tab/>
        </w:r>
        <w:r>
          <w:rPr>
            <w:noProof/>
            <w:webHidden/>
          </w:rPr>
          <w:fldChar w:fldCharType="begin"/>
        </w:r>
        <w:r>
          <w:rPr>
            <w:noProof/>
            <w:webHidden/>
          </w:rPr>
          <w:instrText xml:space="preserve"> PAGEREF _Toc111536671 \h </w:instrText>
        </w:r>
        <w:r>
          <w:rPr>
            <w:noProof/>
            <w:webHidden/>
          </w:rPr>
        </w:r>
        <w:r>
          <w:rPr>
            <w:noProof/>
            <w:webHidden/>
          </w:rPr>
          <w:fldChar w:fldCharType="separate"/>
        </w:r>
        <w:r>
          <w:rPr>
            <w:noProof/>
            <w:webHidden/>
          </w:rPr>
          <w:t>90</w:t>
        </w:r>
        <w:r>
          <w:rPr>
            <w:noProof/>
            <w:webHidden/>
          </w:rPr>
          <w:fldChar w:fldCharType="end"/>
        </w:r>
      </w:hyperlink>
    </w:p>
    <w:p w14:paraId="3436918D" w14:textId="49B6F731" w:rsidR="00954B9C" w:rsidRDefault="00954B9C">
      <w:pPr>
        <w:pStyle w:val="TableofFigures"/>
        <w:tabs>
          <w:tab w:val="right" w:pos="8495"/>
        </w:tabs>
        <w:rPr>
          <w:rFonts w:asciiTheme="minorHAnsi" w:hAnsiTheme="minorHAnsi"/>
          <w:noProof/>
        </w:rPr>
      </w:pPr>
      <w:hyperlink w:anchor="_Toc111536672" w:history="1">
        <w:r w:rsidRPr="00A968B2">
          <w:rPr>
            <w:rStyle w:val="Hyperlink"/>
            <w:noProof/>
          </w:rPr>
          <w:t>Table 67:</w:t>
        </w:r>
        <w:r>
          <w:rPr>
            <w:rFonts w:asciiTheme="minorHAnsi" w:hAnsiTheme="minorHAnsi"/>
            <w:noProof/>
          </w:rPr>
          <w:tab/>
        </w:r>
        <w:r w:rsidRPr="00A968B2">
          <w:rPr>
            <w:rStyle w:val="Hyperlink"/>
            <w:noProof/>
          </w:rPr>
          <w:t>Air freight emission factors with radiative forcing multiplier</w:t>
        </w:r>
        <w:r>
          <w:rPr>
            <w:noProof/>
            <w:webHidden/>
          </w:rPr>
          <w:tab/>
        </w:r>
        <w:r>
          <w:rPr>
            <w:noProof/>
            <w:webHidden/>
          </w:rPr>
          <w:fldChar w:fldCharType="begin"/>
        </w:r>
        <w:r>
          <w:rPr>
            <w:noProof/>
            <w:webHidden/>
          </w:rPr>
          <w:instrText xml:space="preserve"> PAGEREF _Toc111536672 \h </w:instrText>
        </w:r>
        <w:r>
          <w:rPr>
            <w:noProof/>
            <w:webHidden/>
          </w:rPr>
        </w:r>
        <w:r>
          <w:rPr>
            <w:noProof/>
            <w:webHidden/>
          </w:rPr>
          <w:fldChar w:fldCharType="separate"/>
        </w:r>
        <w:r>
          <w:rPr>
            <w:noProof/>
            <w:webHidden/>
          </w:rPr>
          <w:t>91</w:t>
        </w:r>
        <w:r>
          <w:rPr>
            <w:noProof/>
            <w:webHidden/>
          </w:rPr>
          <w:fldChar w:fldCharType="end"/>
        </w:r>
      </w:hyperlink>
    </w:p>
    <w:p w14:paraId="2C7A9D93" w14:textId="50909C80" w:rsidR="00954B9C" w:rsidRDefault="00954B9C">
      <w:pPr>
        <w:pStyle w:val="TableofFigures"/>
        <w:tabs>
          <w:tab w:val="right" w:pos="8495"/>
        </w:tabs>
        <w:rPr>
          <w:rFonts w:asciiTheme="minorHAnsi" w:hAnsiTheme="minorHAnsi"/>
          <w:noProof/>
        </w:rPr>
      </w:pPr>
      <w:hyperlink w:anchor="_Toc111536673" w:history="1">
        <w:r w:rsidRPr="00A968B2">
          <w:rPr>
            <w:rStyle w:val="Hyperlink"/>
            <w:noProof/>
          </w:rPr>
          <w:t>Table 68:</w:t>
        </w:r>
        <w:r>
          <w:rPr>
            <w:rFonts w:asciiTheme="minorHAnsi" w:hAnsiTheme="minorHAnsi"/>
            <w:noProof/>
          </w:rPr>
          <w:tab/>
        </w:r>
        <w:r w:rsidRPr="00A968B2">
          <w:rPr>
            <w:rStyle w:val="Hyperlink"/>
            <w:noProof/>
          </w:rPr>
          <w:t>Air freight emissions without radiative forcing multiplier</w:t>
        </w:r>
        <w:r>
          <w:rPr>
            <w:noProof/>
            <w:webHidden/>
          </w:rPr>
          <w:tab/>
        </w:r>
        <w:r>
          <w:rPr>
            <w:noProof/>
            <w:webHidden/>
          </w:rPr>
          <w:fldChar w:fldCharType="begin"/>
        </w:r>
        <w:r>
          <w:rPr>
            <w:noProof/>
            <w:webHidden/>
          </w:rPr>
          <w:instrText xml:space="preserve"> PAGEREF _Toc111536673 \h </w:instrText>
        </w:r>
        <w:r>
          <w:rPr>
            <w:noProof/>
            <w:webHidden/>
          </w:rPr>
        </w:r>
        <w:r>
          <w:rPr>
            <w:noProof/>
            <w:webHidden/>
          </w:rPr>
          <w:fldChar w:fldCharType="separate"/>
        </w:r>
        <w:r>
          <w:rPr>
            <w:noProof/>
            <w:webHidden/>
          </w:rPr>
          <w:t>91</w:t>
        </w:r>
        <w:r>
          <w:rPr>
            <w:noProof/>
            <w:webHidden/>
          </w:rPr>
          <w:fldChar w:fldCharType="end"/>
        </w:r>
      </w:hyperlink>
    </w:p>
    <w:p w14:paraId="76FBD196" w14:textId="121FAFDD" w:rsidR="00954B9C" w:rsidRDefault="00954B9C">
      <w:pPr>
        <w:pStyle w:val="TableofFigures"/>
        <w:tabs>
          <w:tab w:val="right" w:pos="8495"/>
        </w:tabs>
        <w:rPr>
          <w:rFonts w:asciiTheme="minorHAnsi" w:hAnsiTheme="minorHAnsi"/>
          <w:noProof/>
        </w:rPr>
      </w:pPr>
      <w:hyperlink w:anchor="_Toc111536674" w:history="1">
        <w:r w:rsidRPr="00A968B2">
          <w:rPr>
            <w:rStyle w:val="Hyperlink"/>
            <w:noProof/>
          </w:rPr>
          <w:t>Table 69:</w:t>
        </w:r>
        <w:r>
          <w:rPr>
            <w:rFonts w:asciiTheme="minorHAnsi" w:hAnsiTheme="minorHAnsi"/>
            <w:noProof/>
          </w:rPr>
          <w:tab/>
        </w:r>
        <w:r w:rsidRPr="00A968B2">
          <w:rPr>
            <w:rStyle w:val="Hyperlink"/>
            <w:noProof/>
          </w:rPr>
          <w:t>Coastal shipping emission factors</w:t>
        </w:r>
        <w:r>
          <w:rPr>
            <w:noProof/>
            <w:webHidden/>
          </w:rPr>
          <w:tab/>
        </w:r>
        <w:r>
          <w:rPr>
            <w:noProof/>
            <w:webHidden/>
          </w:rPr>
          <w:fldChar w:fldCharType="begin"/>
        </w:r>
        <w:r>
          <w:rPr>
            <w:noProof/>
            <w:webHidden/>
          </w:rPr>
          <w:instrText xml:space="preserve"> PAGEREF _Toc111536674 \h </w:instrText>
        </w:r>
        <w:r>
          <w:rPr>
            <w:noProof/>
            <w:webHidden/>
          </w:rPr>
        </w:r>
        <w:r>
          <w:rPr>
            <w:noProof/>
            <w:webHidden/>
          </w:rPr>
          <w:fldChar w:fldCharType="separate"/>
        </w:r>
        <w:r>
          <w:rPr>
            <w:noProof/>
            <w:webHidden/>
          </w:rPr>
          <w:t>93</w:t>
        </w:r>
        <w:r>
          <w:rPr>
            <w:noProof/>
            <w:webHidden/>
          </w:rPr>
          <w:fldChar w:fldCharType="end"/>
        </w:r>
      </w:hyperlink>
    </w:p>
    <w:p w14:paraId="35A468BF" w14:textId="08BA0F9E" w:rsidR="00954B9C" w:rsidRDefault="00954B9C">
      <w:pPr>
        <w:pStyle w:val="TableofFigures"/>
        <w:tabs>
          <w:tab w:val="right" w:pos="8495"/>
        </w:tabs>
        <w:rPr>
          <w:rFonts w:asciiTheme="minorHAnsi" w:hAnsiTheme="minorHAnsi"/>
          <w:noProof/>
        </w:rPr>
      </w:pPr>
      <w:hyperlink w:anchor="_Toc111536675" w:history="1">
        <w:r w:rsidRPr="00A968B2">
          <w:rPr>
            <w:rStyle w:val="Hyperlink"/>
            <w:noProof/>
          </w:rPr>
          <w:t>Table 70:</w:t>
        </w:r>
        <w:r>
          <w:rPr>
            <w:rFonts w:asciiTheme="minorHAnsi" w:hAnsiTheme="minorHAnsi"/>
            <w:noProof/>
          </w:rPr>
          <w:tab/>
        </w:r>
        <w:r w:rsidRPr="00A968B2">
          <w:rPr>
            <w:rStyle w:val="Hyperlink"/>
            <w:noProof/>
          </w:rPr>
          <w:t>International shipping emission factors</w:t>
        </w:r>
        <w:r>
          <w:rPr>
            <w:noProof/>
            <w:webHidden/>
          </w:rPr>
          <w:tab/>
        </w:r>
        <w:r>
          <w:rPr>
            <w:noProof/>
            <w:webHidden/>
          </w:rPr>
          <w:fldChar w:fldCharType="begin"/>
        </w:r>
        <w:r>
          <w:rPr>
            <w:noProof/>
            <w:webHidden/>
          </w:rPr>
          <w:instrText xml:space="preserve"> PAGEREF _Toc111536675 \h </w:instrText>
        </w:r>
        <w:r>
          <w:rPr>
            <w:noProof/>
            <w:webHidden/>
          </w:rPr>
        </w:r>
        <w:r>
          <w:rPr>
            <w:noProof/>
            <w:webHidden/>
          </w:rPr>
          <w:fldChar w:fldCharType="separate"/>
        </w:r>
        <w:r>
          <w:rPr>
            <w:noProof/>
            <w:webHidden/>
          </w:rPr>
          <w:t>93</w:t>
        </w:r>
        <w:r>
          <w:rPr>
            <w:noProof/>
            <w:webHidden/>
          </w:rPr>
          <w:fldChar w:fldCharType="end"/>
        </w:r>
      </w:hyperlink>
    </w:p>
    <w:p w14:paraId="7F532799" w14:textId="796BEBAD" w:rsidR="00954B9C" w:rsidRDefault="00954B9C">
      <w:pPr>
        <w:pStyle w:val="TableofFigures"/>
        <w:tabs>
          <w:tab w:val="right" w:pos="8495"/>
        </w:tabs>
        <w:rPr>
          <w:rFonts w:asciiTheme="minorHAnsi" w:hAnsiTheme="minorHAnsi"/>
          <w:noProof/>
        </w:rPr>
      </w:pPr>
      <w:hyperlink w:anchor="_Toc111536676" w:history="1">
        <w:r w:rsidRPr="00A968B2">
          <w:rPr>
            <w:rStyle w:val="Hyperlink"/>
            <w:noProof/>
          </w:rPr>
          <w:t>Table 71:</w:t>
        </w:r>
        <w:r>
          <w:rPr>
            <w:rFonts w:asciiTheme="minorHAnsi" w:hAnsiTheme="minorHAnsi"/>
            <w:noProof/>
          </w:rPr>
          <w:tab/>
        </w:r>
        <w:r w:rsidRPr="00A968B2">
          <w:rPr>
            <w:rStyle w:val="Hyperlink"/>
            <w:noProof/>
          </w:rPr>
          <w:t>Coastal shipping data</w:t>
        </w:r>
        <w:r>
          <w:rPr>
            <w:noProof/>
            <w:webHidden/>
          </w:rPr>
          <w:tab/>
        </w:r>
        <w:r>
          <w:rPr>
            <w:noProof/>
            <w:webHidden/>
          </w:rPr>
          <w:fldChar w:fldCharType="begin"/>
        </w:r>
        <w:r>
          <w:rPr>
            <w:noProof/>
            <w:webHidden/>
          </w:rPr>
          <w:instrText xml:space="preserve"> PAGEREF _Toc111536676 \h </w:instrText>
        </w:r>
        <w:r>
          <w:rPr>
            <w:noProof/>
            <w:webHidden/>
          </w:rPr>
        </w:r>
        <w:r>
          <w:rPr>
            <w:noProof/>
            <w:webHidden/>
          </w:rPr>
          <w:fldChar w:fldCharType="separate"/>
        </w:r>
        <w:r>
          <w:rPr>
            <w:noProof/>
            <w:webHidden/>
          </w:rPr>
          <w:t>94</w:t>
        </w:r>
        <w:r>
          <w:rPr>
            <w:noProof/>
            <w:webHidden/>
          </w:rPr>
          <w:fldChar w:fldCharType="end"/>
        </w:r>
      </w:hyperlink>
    </w:p>
    <w:p w14:paraId="34230BF9" w14:textId="33D4A350" w:rsidR="00954B9C" w:rsidRDefault="00954B9C">
      <w:pPr>
        <w:pStyle w:val="TableofFigures"/>
        <w:tabs>
          <w:tab w:val="right" w:pos="8495"/>
        </w:tabs>
        <w:rPr>
          <w:rFonts w:asciiTheme="minorHAnsi" w:hAnsiTheme="minorHAnsi"/>
          <w:noProof/>
        </w:rPr>
      </w:pPr>
      <w:hyperlink w:anchor="_Toc111536677" w:history="1">
        <w:r w:rsidRPr="00A968B2">
          <w:rPr>
            <w:rStyle w:val="Hyperlink"/>
            <w:noProof/>
          </w:rPr>
          <w:t>Table 72:</w:t>
        </w:r>
        <w:r>
          <w:rPr>
            <w:rFonts w:asciiTheme="minorHAnsi" w:hAnsiTheme="minorHAnsi"/>
            <w:noProof/>
          </w:rPr>
          <w:tab/>
        </w:r>
        <w:r w:rsidRPr="00A968B2">
          <w:rPr>
            <w:rStyle w:val="Hyperlink"/>
            <w:noProof/>
          </w:rPr>
          <w:t>Water supply emission factors</w:t>
        </w:r>
        <w:r>
          <w:rPr>
            <w:noProof/>
            <w:webHidden/>
          </w:rPr>
          <w:tab/>
        </w:r>
        <w:r>
          <w:rPr>
            <w:noProof/>
            <w:webHidden/>
          </w:rPr>
          <w:fldChar w:fldCharType="begin"/>
        </w:r>
        <w:r>
          <w:rPr>
            <w:noProof/>
            <w:webHidden/>
          </w:rPr>
          <w:instrText xml:space="preserve"> PAGEREF _Toc111536677 \h </w:instrText>
        </w:r>
        <w:r>
          <w:rPr>
            <w:noProof/>
            <w:webHidden/>
          </w:rPr>
        </w:r>
        <w:r>
          <w:rPr>
            <w:noProof/>
            <w:webHidden/>
          </w:rPr>
          <w:fldChar w:fldCharType="separate"/>
        </w:r>
        <w:r>
          <w:rPr>
            <w:noProof/>
            <w:webHidden/>
          </w:rPr>
          <w:t>96</w:t>
        </w:r>
        <w:r>
          <w:rPr>
            <w:noProof/>
            <w:webHidden/>
          </w:rPr>
          <w:fldChar w:fldCharType="end"/>
        </w:r>
      </w:hyperlink>
    </w:p>
    <w:p w14:paraId="3F8F1ECE" w14:textId="17656DD8" w:rsidR="00954B9C" w:rsidRDefault="00954B9C">
      <w:pPr>
        <w:pStyle w:val="TableofFigures"/>
        <w:tabs>
          <w:tab w:val="right" w:pos="8495"/>
        </w:tabs>
        <w:rPr>
          <w:rFonts w:asciiTheme="minorHAnsi" w:hAnsiTheme="minorHAnsi"/>
          <w:noProof/>
        </w:rPr>
      </w:pPr>
      <w:hyperlink w:anchor="_Toc111536678" w:history="1">
        <w:r w:rsidRPr="00A968B2">
          <w:rPr>
            <w:rStyle w:val="Hyperlink"/>
            <w:noProof/>
          </w:rPr>
          <w:t>Table 73:</w:t>
        </w:r>
        <w:r>
          <w:rPr>
            <w:rFonts w:asciiTheme="minorHAnsi" w:hAnsiTheme="minorHAnsi"/>
            <w:noProof/>
          </w:rPr>
          <w:tab/>
        </w:r>
        <w:r w:rsidRPr="00A968B2">
          <w:rPr>
            <w:rStyle w:val="Hyperlink"/>
            <w:noProof/>
          </w:rPr>
          <w:t>Domestic wastewater treatment emission factors</w:t>
        </w:r>
        <w:r>
          <w:rPr>
            <w:noProof/>
            <w:webHidden/>
          </w:rPr>
          <w:tab/>
        </w:r>
        <w:r>
          <w:rPr>
            <w:noProof/>
            <w:webHidden/>
          </w:rPr>
          <w:fldChar w:fldCharType="begin"/>
        </w:r>
        <w:r>
          <w:rPr>
            <w:noProof/>
            <w:webHidden/>
          </w:rPr>
          <w:instrText xml:space="preserve"> PAGEREF _Toc111536678 \h </w:instrText>
        </w:r>
        <w:r>
          <w:rPr>
            <w:noProof/>
            <w:webHidden/>
          </w:rPr>
        </w:r>
        <w:r>
          <w:rPr>
            <w:noProof/>
            <w:webHidden/>
          </w:rPr>
          <w:fldChar w:fldCharType="separate"/>
        </w:r>
        <w:r>
          <w:rPr>
            <w:noProof/>
            <w:webHidden/>
          </w:rPr>
          <w:t>99</w:t>
        </w:r>
        <w:r>
          <w:rPr>
            <w:noProof/>
            <w:webHidden/>
          </w:rPr>
          <w:fldChar w:fldCharType="end"/>
        </w:r>
      </w:hyperlink>
    </w:p>
    <w:p w14:paraId="709DAC62" w14:textId="75054002" w:rsidR="00954B9C" w:rsidRDefault="00954B9C">
      <w:pPr>
        <w:pStyle w:val="TableofFigures"/>
        <w:tabs>
          <w:tab w:val="right" w:pos="8495"/>
        </w:tabs>
        <w:rPr>
          <w:rFonts w:asciiTheme="minorHAnsi" w:hAnsiTheme="minorHAnsi"/>
          <w:noProof/>
        </w:rPr>
      </w:pPr>
      <w:hyperlink w:anchor="_Toc111536679" w:history="1">
        <w:r w:rsidRPr="00A968B2">
          <w:rPr>
            <w:rStyle w:val="Hyperlink"/>
            <w:noProof/>
          </w:rPr>
          <w:t>Table 74:</w:t>
        </w:r>
        <w:r>
          <w:rPr>
            <w:rFonts w:asciiTheme="minorHAnsi" w:hAnsiTheme="minorHAnsi"/>
            <w:noProof/>
          </w:rPr>
          <w:tab/>
        </w:r>
        <w:r w:rsidRPr="00A968B2">
          <w:rPr>
            <w:rStyle w:val="Hyperlink"/>
            <w:noProof/>
          </w:rPr>
          <w:t>Industrial wastewater treatment emission factors</w:t>
        </w:r>
        <w:r>
          <w:rPr>
            <w:noProof/>
            <w:webHidden/>
          </w:rPr>
          <w:tab/>
        </w:r>
        <w:r>
          <w:rPr>
            <w:noProof/>
            <w:webHidden/>
          </w:rPr>
          <w:fldChar w:fldCharType="begin"/>
        </w:r>
        <w:r>
          <w:rPr>
            <w:noProof/>
            <w:webHidden/>
          </w:rPr>
          <w:instrText xml:space="preserve"> PAGEREF _Toc111536679 \h </w:instrText>
        </w:r>
        <w:r>
          <w:rPr>
            <w:noProof/>
            <w:webHidden/>
          </w:rPr>
        </w:r>
        <w:r>
          <w:rPr>
            <w:noProof/>
            <w:webHidden/>
          </w:rPr>
          <w:fldChar w:fldCharType="separate"/>
        </w:r>
        <w:r>
          <w:rPr>
            <w:noProof/>
            <w:webHidden/>
          </w:rPr>
          <w:t>99</w:t>
        </w:r>
        <w:r>
          <w:rPr>
            <w:noProof/>
            <w:webHidden/>
          </w:rPr>
          <w:fldChar w:fldCharType="end"/>
        </w:r>
      </w:hyperlink>
    </w:p>
    <w:p w14:paraId="6BEB2CDA" w14:textId="6D56FDDB" w:rsidR="00954B9C" w:rsidRDefault="00954B9C">
      <w:pPr>
        <w:pStyle w:val="TableofFigures"/>
        <w:tabs>
          <w:tab w:val="right" w:pos="8495"/>
        </w:tabs>
        <w:rPr>
          <w:rFonts w:asciiTheme="minorHAnsi" w:hAnsiTheme="minorHAnsi"/>
          <w:noProof/>
        </w:rPr>
      </w:pPr>
      <w:hyperlink w:anchor="_Toc111536680" w:history="1">
        <w:r w:rsidRPr="00A968B2">
          <w:rPr>
            <w:rStyle w:val="Hyperlink"/>
            <w:noProof/>
          </w:rPr>
          <w:t>Table 75:</w:t>
        </w:r>
        <w:r>
          <w:rPr>
            <w:rFonts w:asciiTheme="minorHAnsi" w:hAnsiTheme="minorHAnsi"/>
            <w:noProof/>
          </w:rPr>
          <w:tab/>
        </w:r>
        <w:r w:rsidRPr="00A968B2">
          <w:rPr>
            <w:rStyle w:val="Hyperlink"/>
            <w:noProof/>
          </w:rPr>
          <w:t>Domestic wastewater treatment emissions calculation components</w:t>
        </w:r>
        <w:r>
          <w:rPr>
            <w:noProof/>
            <w:webHidden/>
          </w:rPr>
          <w:tab/>
        </w:r>
        <w:r>
          <w:rPr>
            <w:noProof/>
            <w:webHidden/>
          </w:rPr>
          <w:fldChar w:fldCharType="begin"/>
        </w:r>
        <w:r>
          <w:rPr>
            <w:noProof/>
            <w:webHidden/>
          </w:rPr>
          <w:instrText xml:space="preserve"> PAGEREF _Toc111536680 \h </w:instrText>
        </w:r>
        <w:r>
          <w:rPr>
            <w:noProof/>
            <w:webHidden/>
          </w:rPr>
        </w:r>
        <w:r>
          <w:rPr>
            <w:noProof/>
            <w:webHidden/>
          </w:rPr>
          <w:fldChar w:fldCharType="separate"/>
        </w:r>
        <w:r>
          <w:rPr>
            <w:noProof/>
            <w:webHidden/>
          </w:rPr>
          <w:t>101</w:t>
        </w:r>
        <w:r>
          <w:rPr>
            <w:noProof/>
            <w:webHidden/>
          </w:rPr>
          <w:fldChar w:fldCharType="end"/>
        </w:r>
      </w:hyperlink>
    </w:p>
    <w:p w14:paraId="38248DC6" w14:textId="71449398" w:rsidR="00954B9C" w:rsidRDefault="00954B9C">
      <w:pPr>
        <w:pStyle w:val="TableofFigures"/>
        <w:tabs>
          <w:tab w:val="right" w:pos="8495"/>
        </w:tabs>
        <w:rPr>
          <w:rFonts w:asciiTheme="minorHAnsi" w:hAnsiTheme="minorHAnsi"/>
          <w:noProof/>
        </w:rPr>
      </w:pPr>
      <w:hyperlink w:anchor="_Toc111536681" w:history="1">
        <w:r w:rsidRPr="00A968B2">
          <w:rPr>
            <w:rStyle w:val="Hyperlink"/>
            <w:noProof/>
          </w:rPr>
          <w:t>Table 76:</w:t>
        </w:r>
        <w:r>
          <w:rPr>
            <w:rFonts w:asciiTheme="minorHAnsi" w:hAnsiTheme="minorHAnsi"/>
            <w:noProof/>
          </w:rPr>
          <w:tab/>
        </w:r>
        <w:r w:rsidRPr="00A968B2">
          <w:rPr>
            <w:rStyle w:val="Hyperlink"/>
            <w:noProof/>
          </w:rPr>
          <w:t>Industrial wastewater treatment methane emissions calculation information</w:t>
        </w:r>
        <w:r>
          <w:rPr>
            <w:noProof/>
            <w:webHidden/>
          </w:rPr>
          <w:tab/>
        </w:r>
        <w:r>
          <w:rPr>
            <w:noProof/>
            <w:webHidden/>
          </w:rPr>
          <w:fldChar w:fldCharType="begin"/>
        </w:r>
        <w:r>
          <w:rPr>
            <w:noProof/>
            <w:webHidden/>
          </w:rPr>
          <w:instrText xml:space="preserve"> PAGEREF _Toc111536681 \h </w:instrText>
        </w:r>
        <w:r>
          <w:rPr>
            <w:noProof/>
            <w:webHidden/>
          </w:rPr>
        </w:r>
        <w:r>
          <w:rPr>
            <w:noProof/>
            <w:webHidden/>
          </w:rPr>
          <w:fldChar w:fldCharType="separate"/>
        </w:r>
        <w:r>
          <w:rPr>
            <w:noProof/>
            <w:webHidden/>
          </w:rPr>
          <w:t>102</w:t>
        </w:r>
        <w:r>
          <w:rPr>
            <w:noProof/>
            <w:webHidden/>
          </w:rPr>
          <w:fldChar w:fldCharType="end"/>
        </w:r>
      </w:hyperlink>
    </w:p>
    <w:p w14:paraId="6D5FB207" w14:textId="5042BF17" w:rsidR="00954B9C" w:rsidRDefault="00954B9C">
      <w:pPr>
        <w:pStyle w:val="TableofFigures"/>
        <w:tabs>
          <w:tab w:val="right" w:pos="8495"/>
        </w:tabs>
        <w:rPr>
          <w:rFonts w:asciiTheme="minorHAnsi" w:hAnsiTheme="minorHAnsi"/>
          <w:noProof/>
        </w:rPr>
      </w:pPr>
      <w:hyperlink w:anchor="_Toc111536682" w:history="1">
        <w:r w:rsidRPr="00A968B2">
          <w:rPr>
            <w:rStyle w:val="Hyperlink"/>
            <w:noProof/>
          </w:rPr>
          <w:t>Table 77:</w:t>
        </w:r>
        <w:r>
          <w:rPr>
            <w:rFonts w:asciiTheme="minorHAnsi" w:hAnsiTheme="minorHAnsi"/>
            <w:noProof/>
          </w:rPr>
          <w:tab/>
        </w:r>
        <w:r w:rsidRPr="00A968B2">
          <w:rPr>
            <w:rStyle w:val="Hyperlink"/>
            <w:noProof/>
          </w:rPr>
          <w:t>Industrial wastewater treatment nitrous oxide emissions calculation information</w:t>
        </w:r>
        <w:r>
          <w:rPr>
            <w:noProof/>
            <w:webHidden/>
          </w:rPr>
          <w:tab/>
        </w:r>
        <w:r>
          <w:rPr>
            <w:noProof/>
            <w:webHidden/>
          </w:rPr>
          <w:fldChar w:fldCharType="begin"/>
        </w:r>
        <w:r>
          <w:rPr>
            <w:noProof/>
            <w:webHidden/>
          </w:rPr>
          <w:instrText xml:space="preserve"> PAGEREF _Toc111536682 \h </w:instrText>
        </w:r>
        <w:r>
          <w:rPr>
            <w:noProof/>
            <w:webHidden/>
          </w:rPr>
        </w:r>
        <w:r>
          <w:rPr>
            <w:noProof/>
            <w:webHidden/>
          </w:rPr>
          <w:fldChar w:fldCharType="separate"/>
        </w:r>
        <w:r>
          <w:rPr>
            <w:noProof/>
            <w:webHidden/>
          </w:rPr>
          <w:t>103</w:t>
        </w:r>
        <w:r>
          <w:rPr>
            <w:noProof/>
            <w:webHidden/>
          </w:rPr>
          <w:fldChar w:fldCharType="end"/>
        </w:r>
      </w:hyperlink>
    </w:p>
    <w:p w14:paraId="0B3DB33A" w14:textId="0FE2CD84" w:rsidR="00954B9C" w:rsidRDefault="00954B9C">
      <w:pPr>
        <w:pStyle w:val="TableofFigures"/>
        <w:tabs>
          <w:tab w:val="right" w:pos="8495"/>
        </w:tabs>
        <w:rPr>
          <w:rFonts w:asciiTheme="minorHAnsi" w:hAnsiTheme="minorHAnsi"/>
          <w:noProof/>
        </w:rPr>
      </w:pPr>
      <w:hyperlink w:anchor="_Toc111536683" w:history="1">
        <w:r w:rsidRPr="00A968B2">
          <w:rPr>
            <w:rStyle w:val="Hyperlink"/>
            <w:noProof/>
          </w:rPr>
          <w:t>Table 78:</w:t>
        </w:r>
        <w:r>
          <w:rPr>
            <w:rFonts w:asciiTheme="minorHAnsi" w:hAnsiTheme="minorHAnsi"/>
            <w:noProof/>
          </w:rPr>
          <w:tab/>
        </w:r>
        <w:r w:rsidRPr="00A968B2">
          <w:rPr>
            <w:rStyle w:val="Hyperlink"/>
            <w:noProof/>
          </w:rPr>
          <w:t>Uncertainties with wastewater treatment emission source category</w:t>
        </w:r>
        <w:r>
          <w:rPr>
            <w:noProof/>
            <w:webHidden/>
          </w:rPr>
          <w:tab/>
        </w:r>
        <w:r>
          <w:rPr>
            <w:noProof/>
            <w:webHidden/>
          </w:rPr>
          <w:fldChar w:fldCharType="begin"/>
        </w:r>
        <w:r>
          <w:rPr>
            <w:noProof/>
            <w:webHidden/>
          </w:rPr>
          <w:instrText xml:space="preserve"> PAGEREF _Toc111536683 \h </w:instrText>
        </w:r>
        <w:r>
          <w:rPr>
            <w:noProof/>
            <w:webHidden/>
          </w:rPr>
        </w:r>
        <w:r>
          <w:rPr>
            <w:noProof/>
            <w:webHidden/>
          </w:rPr>
          <w:fldChar w:fldCharType="separate"/>
        </w:r>
        <w:r>
          <w:rPr>
            <w:noProof/>
            <w:webHidden/>
          </w:rPr>
          <w:t>103</w:t>
        </w:r>
        <w:r>
          <w:rPr>
            <w:noProof/>
            <w:webHidden/>
          </w:rPr>
          <w:fldChar w:fldCharType="end"/>
        </w:r>
      </w:hyperlink>
    </w:p>
    <w:p w14:paraId="59117523" w14:textId="61354B1F" w:rsidR="00954B9C" w:rsidRDefault="00954B9C">
      <w:pPr>
        <w:pStyle w:val="TableofFigures"/>
        <w:tabs>
          <w:tab w:val="right" w:pos="8495"/>
        </w:tabs>
        <w:rPr>
          <w:rFonts w:asciiTheme="minorHAnsi" w:hAnsiTheme="minorHAnsi"/>
          <w:noProof/>
        </w:rPr>
      </w:pPr>
      <w:hyperlink w:anchor="_Toc111536684" w:history="1">
        <w:r w:rsidRPr="00A968B2">
          <w:rPr>
            <w:rStyle w:val="Hyperlink"/>
            <w:noProof/>
          </w:rPr>
          <w:t>Table 79:</w:t>
        </w:r>
        <w:r>
          <w:rPr>
            <w:rFonts w:asciiTheme="minorHAnsi" w:hAnsiTheme="minorHAnsi"/>
            <w:noProof/>
          </w:rPr>
          <w:tab/>
        </w:r>
        <w:r w:rsidRPr="00A968B2">
          <w:rPr>
            <w:rStyle w:val="Hyperlink"/>
            <w:noProof/>
          </w:rPr>
          <w:t>Description of landfill types</w:t>
        </w:r>
        <w:r>
          <w:rPr>
            <w:noProof/>
            <w:webHidden/>
          </w:rPr>
          <w:tab/>
        </w:r>
        <w:r>
          <w:rPr>
            <w:noProof/>
            <w:webHidden/>
          </w:rPr>
          <w:fldChar w:fldCharType="begin"/>
        </w:r>
        <w:r>
          <w:rPr>
            <w:noProof/>
            <w:webHidden/>
          </w:rPr>
          <w:instrText xml:space="preserve"> PAGEREF _Toc111536684 \h </w:instrText>
        </w:r>
        <w:r>
          <w:rPr>
            <w:noProof/>
            <w:webHidden/>
          </w:rPr>
        </w:r>
        <w:r>
          <w:rPr>
            <w:noProof/>
            <w:webHidden/>
          </w:rPr>
          <w:fldChar w:fldCharType="separate"/>
        </w:r>
        <w:r>
          <w:rPr>
            <w:noProof/>
            <w:webHidden/>
          </w:rPr>
          <w:t>105</w:t>
        </w:r>
        <w:r>
          <w:rPr>
            <w:noProof/>
            <w:webHidden/>
          </w:rPr>
          <w:fldChar w:fldCharType="end"/>
        </w:r>
      </w:hyperlink>
    </w:p>
    <w:p w14:paraId="0DC79AFB" w14:textId="4BEF04E1" w:rsidR="00954B9C" w:rsidRDefault="00954B9C">
      <w:pPr>
        <w:pStyle w:val="TableofFigures"/>
        <w:tabs>
          <w:tab w:val="right" w:pos="8495"/>
        </w:tabs>
        <w:rPr>
          <w:rFonts w:asciiTheme="minorHAnsi" w:hAnsiTheme="minorHAnsi"/>
          <w:noProof/>
        </w:rPr>
      </w:pPr>
      <w:hyperlink w:anchor="_Toc111536685" w:history="1">
        <w:r w:rsidRPr="00A968B2">
          <w:rPr>
            <w:rStyle w:val="Hyperlink"/>
            <w:noProof/>
          </w:rPr>
          <w:t>Table 80:</w:t>
        </w:r>
        <w:r>
          <w:rPr>
            <w:rFonts w:asciiTheme="minorHAnsi" w:hAnsiTheme="minorHAnsi"/>
            <w:noProof/>
          </w:rPr>
          <w:tab/>
        </w:r>
        <w:r w:rsidRPr="00A968B2">
          <w:rPr>
            <w:rStyle w:val="Hyperlink"/>
            <w:noProof/>
          </w:rPr>
          <w:t>Waste disposal to municipal (class 1) landfills with gas recovery</w:t>
        </w:r>
        <w:r>
          <w:rPr>
            <w:noProof/>
            <w:webHidden/>
          </w:rPr>
          <w:tab/>
        </w:r>
        <w:r>
          <w:rPr>
            <w:noProof/>
            <w:webHidden/>
          </w:rPr>
          <w:fldChar w:fldCharType="begin"/>
        </w:r>
        <w:r>
          <w:rPr>
            <w:noProof/>
            <w:webHidden/>
          </w:rPr>
          <w:instrText xml:space="preserve"> PAGEREF _Toc111536685 \h </w:instrText>
        </w:r>
        <w:r>
          <w:rPr>
            <w:noProof/>
            <w:webHidden/>
          </w:rPr>
        </w:r>
        <w:r>
          <w:rPr>
            <w:noProof/>
            <w:webHidden/>
          </w:rPr>
          <w:fldChar w:fldCharType="separate"/>
        </w:r>
        <w:r>
          <w:rPr>
            <w:noProof/>
            <w:webHidden/>
          </w:rPr>
          <w:t>105</w:t>
        </w:r>
        <w:r>
          <w:rPr>
            <w:noProof/>
            <w:webHidden/>
          </w:rPr>
          <w:fldChar w:fldCharType="end"/>
        </w:r>
      </w:hyperlink>
    </w:p>
    <w:p w14:paraId="3D914BCD" w14:textId="2A3B37F3" w:rsidR="00954B9C" w:rsidRDefault="00954B9C">
      <w:pPr>
        <w:pStyle w:val="TableofFigures"/>
        <w:tabs>
          <w:tab w:val="right" w:pos="8495"/>
        </w:tabs>
        <w:rPr>
          <w:rFonts w:asciiTheme="minorHAnsi" w:hAnsiTheme="minorHAnsi"/>
          <w:noProof/>
        </w:rPr>
      </w:pPr>
      <w:hyperlink w:anchor="_Toc111536686" w:history="1">
        <w:r w:rsidRPr="00A968B2">
          <w:rPr>
            <w:rStyle w:val="Hyperlink"/>
            <w:noProof/>
          </w:rPr>
          <w:t>Table 81:</w:t>
        </w:r>
        <w:r>
          <w:rPr>
            <w:rFonts w:asciiTheme="minorHAnsi" w:hAnsiTheme="minorHAnsi"/>
            <w:noProof/>
          </w:rPr>
          <w:tab/>
        </w:r>
        <w:r w:rsidRPr="00A968B2">
          <w:rPr>
            <w:rStyle w:val="Hyperlink"/>
            <w:noProof/>
          </w:rPr>
          <w:t>Waste disposal to municipal (class 1) landfills without gas recovery</w:t>
        </w:r>
        <w:r>
          <w:rPr>
            <w:noProof/>
            <w:webHidden/>
          </w:rPr>
          <w:tab/>
        </w:r>
        <w:r>
          <w:rPr>
            <w:noProof/>
            <w:webHidden/>
          </w:rPr>
          <w:fldChar w:fldCharType="begin"/>
        </w:r>
        <w:r>
          <w:rPr>
            <w:noProof/>
            <w:webHidden/>
          </w:rPr>
          <w:instrText xml:space="preserve"> PAGEREF _Toc111536686 \h </w:instrText>
        </w:r>
        <w:r>
          <w:rPr>
            <w:noProof/>
            <w:webHidden/>
          </w:rPr>
        </w:r>
        <w:r>
          <w:rPr>
            <w:noProof/>
            <w:webHidden/>
          </w:rPr>
          <w:fldChar w:fldCharType="separate"/>
        </w:r>
        <w:r>
          <w:rPr>
            <w:noProof/>
            <w:webHidden/>
          </w:rPr>
          <w:t>106</w:t>
        </w:r>
        <w:r>
          <w:rPr>
            <w:noProof/>
            <w:webHidden/>
          </w:rPr>
          <w:fldChar w:fldCharType="end"/>
        </w:r>
      </w:hyperlink>
    </w:p>
    <w:p w14:paraId="0A15CF4B" w14:textId="5EA2BE53" w:rsidR="00954B9C" w:rsidRDefault="00954B9C">
      <w:pPr>
        <w:pStyle w:val="TableofFigures"/>
        <w:tabs>
          <w:tab w:val="right" w:pos="8495"/>
        </w:tabs>
        <w:rPr>
          <w:rFonts w:asciiTheme="minorHAnsi" w:hAnsiTheme="minorHAnsi"/>
          <w:noProof/>
        </w:rPr>
      </w:pPr>
      <w:hyperlink w:anchor="_Toc111536687" w:history="1">
        <w:r w:rsidRPr="00A968B2">
          <w:rPr>
            <w:rStyle w:val="Hyperlink"/>
            <w:noProof/>
          </w:rPr>
          <w:t>Table 82:</w:t>
        </w:r>
        <w:r>
          <w:rPr>
            <w:rFonts w:asciiTheme="minorHAnsi" w:hAnsiTheme="minorHAnsi"/>
            <w:noProof/>
          </w:rPr>
          <w:tab/>
        </w:r>
        <w:r w:rsidRPr="00A968B2">
          <w:rPr>
            <w:rStyle w:val="Hyperlink"/>
            <w:noProof/>
          </w:rPr>
          <w:t>Waste disposal to non-municipal (class 2-5) landfills</w:t>
        </w:r>
        <w:r>
          <w:rPr>
            <w:noProof/>
            <w:webHidden/>
          </w:rPr>
          <w:tab/>
        </w:r>
        <w:r>
          <w:rPr>
            <w:noProof/>
            <w:webHidden/>
          </w:rPr>
          <w:fldChar w:fldCharType="begin"/>
        </w:r>
        <w:r>
          <w:rPr>
            <w:noProof/>
            <w:webHidden/>
          </w:rPr>
          <w:instrText xml:space="preserve"> PAGEREF _Toc111536687 \h </w:instrText>
        </w:r>
        <w:r>
          <w:rPr>
            <w:noProof/>
            <w:webHidden/>
          </w:rPr>
        </w:r>
        <w:r>
          <w:rPr>
            <w:noProof/>
            <w:webHidden/>
          </w:rPr>
          <w:fldChar w:fldCharType="separate"/>
        </w:r>
        <w:r>
          <w:rPr>
            <w:noProof/>
            <w:webHidden/>
          </w:rPr>
          <w:t>106</w:t>
        </w:r>
        <w:r>
          <w:rPr>
            <w:noProof/>
            <w:webHidden/>
          </w:rPr>
          <w:fldChar w:fldCharType="end"/>
        </w:r>
      </w:hyperlink>
    </w:p>
    <w:p w14:paraId="01BE1F3B" w14:textId="1B53E8CA" w:rsidR="00954B9C" w:rsidRDefault="00954B9C">
      <w:pPr>
        <w:pStyle w:val="TableofFigures"/>
        <w:tabs>
          <w:tab w:val="right" w:pos="8495"/>
        </w:tabs>
        <w:rPr>
          <w:rFonts w:asciiTheme="minorHAnsi" w:hAnsiTheme="minorHAnsi"/>
          <w:noProof/>
        </w:rPr>
      </w:pPr>
      <w:hyperlink w:anchor="_Toc111536688" w:history="1">
        <w:r w:rsidRPr="00A968B2">
          <w:rPr>
            <w:rStyle w:val="Hyperlink"/>
            <w:noProof/>
          </w:rPr>
          <w:t>Table 83:</w:t>
        </w:r>
        <w:r>
          <w:rPr>
            <w:rFonts w:asciiTheme="minorHAnsi" w:hAnsiTheme="minorHAnsi"/>
            <w:noProof/>
          </w:rPr>
          <w:tab/>
        </w:r>
        <w:r w:rsidRPr="00A968B2">
          <w:rPr>
            <w:rStyle w:val="Hyperlink"/>
            <w:noProof/>
          </w:rPr>
          <w:t>Biological treatment of waste emission factors</w:t>
        </w:r>
        <w:r>
          <w:rPr>
            <w:noProof/>
            <w:webHidden/>
          </w:rPr>
          <w:tab/>
        </w:r>
        <w:r>
          <w:rPr>
            <w:noProof/>
            <w:webHidden/>
          </w:rPr>
          <w:fldChar w:fldCharType="begin"/>
        </w:r>
        <w:r>
          <w:rPr>
            <w:noProof/>
            <w:webHidden/>
          </w:rPr>
          <w:instrText xml:space="preserve"> PAGEREF _Toc111536688 \h </w:instrText>
        </w:r>
        <w:r>
          <w:rPr>
            <w:noProof/>
            <w:webHidden/>
          </w:rPr>
        </w:r>
        <w:r>
          <w:rPr>
            <w:noProof/>
            <w:webHidden/>
          </w:rPr>
          <w:fldChar w:fldCharType="separate"/>
        </w:r>
        <w:r>
          <w:rPr>
            <w:noProof/>
            <w:webHidden/>
          </w:rPr>
          <w:t>106</w:t>
        </w:r>
        <w:r>
          <w:rPr>
            <w:noProof/>
            <w:webHidden/>
          </w:rPr>
          <w:fldChar w:fldCharType="end"/>
        </w:r>
      </w:hyperlink>
    </w:p>
    <w:p w14:paraId="75C0C9A3" w14:textId="01D0395E" w:rsidR="00954B9C" w:rsidRDefault="00954B9C">
      <w:pPr>
        <w:pStyle w:val="TableofFigures"/>
        <w:tabs>
          <w:tab w:val="right" w:pos="8495"/>
        </w:tabs>
        <w:rPr>
          <w:rFonts w:asciiTheme="minorHAnsi" w:hAnsiTheme="minorHAnsi"/>
          <w:noProof/>
        </w:rPr>
      </w:pPr>
      <w:hyperlink w:anchor="_Toc111536689" w:history="1">
        <w:r w:rsidRPr="00A968B2">
          <w:rPr>
            <w:rStyle w:val="Hyperlink"/>
            <w:noProof/>
          </w:rPr>
          <w:t>Table 84:</w:t>
        </w:r>
        <w:r>
          <w:rPr>
            <w:rFonts w:asciiTheme="minorHAnsi" w:hAnsiTheme="minorHAnsi"/>
            <w:noProof/>
          </w:rPr>
          <w:tab/>
        </w:r>
        <w:r w:rsidRPr="00A968B2">
          <w:rPr>
            <w:rStyle w:val="Hyperlink"/>
            <w:noProof/>
          </w:rPr>
          <w:t>Composition of waste sent to NZ landfills in 2020</w:t>
        </w:r>
        <w:r>
          <w:rPr>
            <w:noProof/>
            <w:webHidden/>
          </w:rPr>
          <w:tab/>
        </w:r>
        <w:r>
          <w:rPr>
            <w:noProof/>
            <w:webHidden/>
          </w:rPr>
          <w:fldChar w:fldCharType="begin"/>
        </w:r>
        <w:r>
          <w:rPr>
            <w:noProof/>
            <w:webHidden/>
          </w:rPr>
          <w:instrText xml:space="preserve"> PAGEREF _Toc111536689 \h </w:instrText>
        </w:r>
        <w:r>
          <w:rPr>
            <w:noProof/>
            <w:webHidden/>
          </w:rPr>
        </w:r>
        <w:r>
          <w:rPr>
            <w:noProof/>
            <w:webHidden/>
          </w:rPr>
          <w:fldChar w:fldCharType="separate"/>
        </w:r>
        <w:r>
          <w:rPr>
            <w:noProof/>
            <w:webHidden/>
          </w:rPr>
          <w:t>107</w:t>
        </w:r>
        <w:r>
          <w:rPr>
            <w:noProof/>
            <w:webHidden/>
          </w:rPr>
          <w:fldChar w:fldCharType="end"/>
        </w:r>
      </w:hyperlink>
    </w:p>
    <w:p w14:paraId="00045CB2" w14:textId="4AA9E75C" w:rsidR="00954B9C" w:rsidRDefault="00954B9C">
      <w:pPr>
        <w:pStyle w:val="TableofFigures"/>
        <w:tabs>
          <w:tab w:val="right" w:pos="8495"/>
        </w:tabs>
        <w:rPr>
          <w:rFonts w:asciiTheme="minorHAnsi" w:hAnsiTheme="minorHAnsi"/>
          <w:noProof/>
        </w:rPr>
      </w:pPr>
      <w:hyperlink w:anchor="_Toc111536690" w:history="1">
        <w:r w:rsidRPr="00A968B2">
          <w:rPr>
            <w:rStyle w:val="Hyperlink"/>
            <w:noProof/>
          </w:rPr>
          <w:t>Table 85:</w:t>
        </w:r>
        <w:r>
          <w:rPr>
            <w:rFonts w:asciiTheme="minorHAnsi" w:hAnsiTheme="minorHAnsi"/>
            <w:noProof/>
          </w:rPr>
          <w:tab/>
        </w:r>
        <w:r w:rsidRPr="00A968B2">
          <w:rPr>
            <w:rStyle w:val="Hyperlink"/>
            <w:noProof/>
          </w:rPr>
          <w:t>Information on managed solid waste in 2020</w:t>
        </w:r>
        <w:r>
          <w:rPr>
            <w:noProof/>
            <w:webHidden/>
          </w:rPr>
          <w:tab/>
        </w:r>
        <w:r>
          <w:rPr>
            <w:noProof/>
            <w:webHidden/>
          </w:rPr>
          <w:fldChar w:fldCharType="begin"/>
        </w:r>
        <w:r>
          <w:rPr>
            <w:noProof/>
            <w:webHidden/>
          </w:rPr>
          <w:instrText xml:space="preserve"> PAGEREF _Toc111536690 \h </w:instrText>
        </w:r>
        <w:r>
          <w:rPr>
            <w:noProof/>
            <w:webHidden/>
          </w:rPr>
        </w:r>
        <w:r>
          <w:rPr>
            <w:noProof/>
            <w:webHidden/>
          </w:rPr>
          <w:fldChar w:fldCharType="separate"/>
        </w:r>
        <w:r>
          <w:rPr>
            <w:noProof/>
            <w:webHidden/>
          </w:rPr>
          <w:t>108</w:t>
        </w:r>
        <w:r>
          <w:rPr>
            <w:noProof/>
            <w:webHidden/>
          </w:rPr>
          <w:fldChar w:fldCharType="end"/>
        </w:r>
      </w:hyperlink>
    </w:p>
    <w:p w14:paraId="4264C10D" w14:textId="44E924BD" w:rsidR="00954B9C" w:rsidRDefault="00954B9C">
      <w:pPr>
        <w:pStyle w:val="TableofFigures"/>
        <w:tabs>
          <w:tab w:val="right" w:pos="8495"/>
        </w:tabs>
        <w:rPr>
          <w:rFonts w:asciiTheme="minorHAnsi" w:hAnsiTheme="minorHAnsi"/>
          <w:noProof/>
        </w:rPr>
      </w:pPr>
      <w:hyperlink w:anchor="_Toc111536691" w:history="1">
        <w:r w:rsidRPr="00A968B2">
          <w:rPr>
            <w:rStyle w:val="Hyperlink"/>
            <w:noProof/>
          </w:rPr>
          <w:t>Table 86:</w:t>
        </w:r>
        <w:r>
          <w:rPr>
            <w:rFonts w:asciiTheme="minorHAnsi" w:hAnsiTheme="minorHAnsi"/>
            <w:noProof/>
          </w:rPr>
          <w:tab/>
        </w:r>
        <w:r w:rsidRPr="00A968B2">
          <w:rPr>
            <w:rStyle w:val="Hyperlink"/>
            <w:noProof/>
          </w:rPr>
          <w:t>Information on non-municipal solid waste in 2020</w:t>
        </w:r>
        <w:r>
          <w:rPr>
            <w:noProof/>
            <w:webHidden/>
          </w:rPr>
          <w:tab/>
        </w:r>
        <w:r>
          <w:rPr>
            <w:noProof/>
            <w:webHidden/>
          </w:rPr>
          <w:fldChar w:fldCharType="begin"/>
        </w:r>
        <w:r>
          <w:rPr>
            <w:noProof/>
            <w:webHidden/>
          </w:rPr>
          <w:instrText xml:space="preserve"> PAGEREF _Toc111536691 \h </w:instrText>
        </w:r>
        <w:r>
          <w:rPr>
            <w:noProof/>
            <w:webHidden/>
          </w:rPr>
        </w:r>
        <w:r>
          <w:rPr>
            <w:noProof/>
            <w:webHidden/>
          </w:rPr>
          <w:fldChar w:fldCharType="separate"/>
        </w:r>
        <w:r>
          <w:rPr>
            <w:noProof/>
            <w:webHidden/>
          </w:rPr>
          <w:t>109</w:t>
        </w:r>
        <w:r>
          <w:rPr>
            <w:noProof/>
            <w:webHidden/>
          </w:rPr>
          <w:fldChar w:fldCharType="end"/>
        </w:r>
      </w:hyperlink>
    </w:p>
    <w:p w14:paraId="2E4EE5E5" w14:textId="5E549F55" w:rsidR="00954B9C" w:rsidRDefault="00954B9C">
      <w:pPr>
        <w:pStyle w:val="TableofFigures"/>
        <w:tabs>
          <w:tab w:val="right" w:pos="8495"/>
        </w:tabs>
        <w:rPr>
          <w:rFonts w:asciiTheme="minorHAnsi" w:hAnsiTheme="minorHAnsi"/>
          <w:noProof/>
        </w:rPr>
      </w:pPr>
      <w:hyperlink w:anchor="_Toc111536692" w:history="1">
        <w:r w:rsidRPr="00A968B2">
          <w:rPr>
            <w:rStyle w:val="Hyperlink"/>
            <w:noProof/>
          </w:rPr>
          <w:t>Table 87:</w:t>
        </w:r>
        <w:r>
          <w:rPr>
            <w:rFonts w:asciiTheme="minorHAnsi" w:hAnsiTheme="minorHAnsi"/>
            <w:noProof/>
          </w:rPr>
          <w:tab/>
        </w:r>
        <w:r w:rsidRPr="00A968B2">
          <w:rPr>
            <w:rStyle w:val="Hyperlink"/>
            <w:noProof/>
          </w:rPr>
          <w:t>Composition of typical office waste</w:t>
        </w:r>
        <w:r>
          <w:rPr>
            <w:noProof/>
            <w:webHidden/>
          </w:rPr>
          <w:tab/>
        </w:r>
        <w:r>
          <w:rPr>
            <w:noProof/>
            <w:webHidden/>
          </w:rPr>
          <w:fldChar w:fldCharType="begin"/>
        </w:r>
        <w:r>
          <w:rPr>
            <w:noProof/>
            <w:webHidden/>
          </w:rPr>
          <w:instrText xml:space="preserve"> PAGEREF _Toc111536692 \h </w:instrText>
        </w:r>
        <w:r>
          <w:rPr>
            <w:noProof/>
            <w:webHidden/>
          </w:rPr>
        </w:r>
        <w:r>
          <w:rPr>
            <w:noProof/>
            <w:webHidden/>
          </w:rPr>
          <w:fldChar w:fldCharType="separate"/>
        </w:r>
        <w:r>
          <w:rPr>
            <w:noProof/>
            <w:webHidden/>
          </w:rPr>
          <w:t>109</w:t>
        </w:r>
        <w:r>
          <w:rPr>
            <w:noProof/>
            <w:webHidden/>
          </w:rPr>
          <w:fldChar w:fldCharType="end"/>
        </w:r>
      </w:hyperlink>
    </w:p>
    <w:p w14:paraId="23D63F2F" w14:textId="30761674" w:rsidR="00954B9C" w:rsidRDefault="00954B9C">
      <w:pPr>
        <w:pStyle w:val="TableofFigures"/>
        <w:tabs>
          <w:tab w:val="right" w:pos="8495"/>
        </w:tabs>
        <w:rPr>
          <w:rFonts w:asciiTheme="minorHAnsi" w:hAnsiTheme="minorHAnsi"/>
          <w:noProof/>
        </w:rPr>
      </w:pPr>
      <w:hyperlink w:anchor="_Toc111536693" w:history="1">
        <w:r w:rsidRPr="00A968B2">
          <w:rPr>
            <w:rStyle w:val="Hyperlink"/>
            <w:noProof/>
          </w:rPr>
          <w:t>Table 88:</w:t>
        </w:r>
        <w:r>
          <w:rPr>
            <w:rFonts w:asciiTheme="minorHAnsi" w:hAnsiTheme="minorHAnsi"/>
            <w:noProof/>
          </w:rPr>
          <w:tab/>
        </w:r>
        <w:r w:rsidRPr="00A968B2">
          <w:rPr>
            <w:rStyle w:val="Hyperlink"/>
            <w:noProof/>
          </w:rPr>
          <w:t>IPCC default data used to calculate composting and anaerobic digestion</w:t>
        </w:r>
        <w:r>
          <w:rPr>
            <w:noProof/>
            <w:webHidden/>
          </w:rPr>
          <w:tab/>
        </w:r>
        <w:r>
          <w:rPr>
            <w:noProof/>
            <w:webHidden/>
          </w:rPr>
          <w:fldChar w:fldCharType="begin"/>
        </w:r>
        <w:r>
          <w:rPr>
            <w:noProof/>
            <w:webHidden/>
          </w:rPr>
          <w:instrText xml:space="preserve"> PAGEREF _Toc111536693 \h </w:instrText>
        </w:r>
        <w:r>
          <w:rPr>
            <w:noProof/>
            <w:webHidden/>
          </w:rPr>
        </w:r>
        <w:r>
          <w:rPr>
            <w:noProof/>
            <w:webHidden/>
          </w:rPr>
          <w:fldChar w:fldCharType="separate"/>
        </w:r>
        <w:r>
          <w:rPr>
            <w:noProof/>
            <w:webHidden/>
          </w:rPr>
          <w:t>110</w:t>
        </w:r>
        <w:r>
          <w:rPr>
            <w:noProof/>
            <w:webHidden/>
          </w:rPr>
          <w:fldChar w:fldCharType="end"/>
        </w:r>
      </w:hyperlink>
    </w:p>
    <w:p w14:paraId="6D42C25E" w14:textId="2630BCCD" w:rsidR="00954B9C" w:rsidRDefault="00954B9C">
      <w:pPr>
        <w:pStyle w:val="TableofFigures"/>
        <w:tabs>
          <w:tab w:val="right" w:pos="8495"/>
        </w:tabs>
        <w:rPr>
          <w:rFonts w:asciiTheme="minorHAnsi" w:hAnsiTheme="minorHAnsi"/>
          <w:noProof/>
        </w:rPr>
      </w:pPr>
      <w:hyperlink w:anchor="_Toc111536694" w:history="1">
        <w:r w:rsidRPr="00A968B2">
          <w:rPr>
            <w:rStyle w:val="Hyperlink"/>
            <w:noProof/>
          </w:rPr>
          <w:t>Table 89:</w:t>
        </w:r>
        <w:r>
          <w:rPr>
            <w:rFonts w:asciiTheme="minorHAnsi" w:hAnsiTheme="minorHAnsi"/>
            <w:noProof/>
          </w:rPr>
          <w:tab/>
        </w:r>
        <w:r w:rsidRPr="00A968B2">
          <w:rPr>
            <w:rStyle w:val="Hyperlink"/>
            <w:noProof/>
          </w:rPr>
          <w:t>LULUCF forest growth emission factors</w:t>
        </w:r>
        <w:r>
          <w:rPr>
            <w:noProof/>
            <w:webHidden/>
          </w:rPr>
          <w:tab/>
        </w:r>
        <w:r>
          <w:rPr>
            <w:noProof/>
            <w:webHidden/>
          </w:rPr>
          <w:fldChar w:fldCharType="begin"/>
        </w:r>
        <w:r>
          <w:rPr>
            <w:noProof/>
            <w:webHidden/>
          </w:rPr>
          <w:instrText xml:space="preserve"> PAGEREF _Toc111536694 \h </w:instrText>
        </w:r>
        <w:r>
          <w:rPr>
            <w:noProof/>
            <w:webHidden/>
          </w:rPr>
        </w:r>
        <w:r>
          <w:rPr>
            <w:noProof/>
            <w:webHidden/>
          </w:rPr>
          <w:fldChar w:fldCharType="separate"/>
        </w:r>
        <w:r>
          <w:rPr>
            <w:noProof/>
            <w:webHidden/>
          </w:rPr>
          <w:t>114</w:t>
        </w:r>
        <w:r>
          <w:rPr>
            <w:noProof/>
            <w:webHidden/>
          </w:rPr>
          <w:fldChar w:fldCharType="end"/>
        </w:r>
      </w:hyperlink>
    </w:p>
    <w:p w14:paraId="35277740" w14:textId="3F617B3A" w:rsidR="00954B9C" w:rsidRDefault="00954B9C">
      <w:pPr>
        <w:pStyle w:val="TableofFigures"/>
        <w:tabs>
          <w:tab w:val="right" w:pos="8495"/>
        </w:tabs>
        <w:rPr>
          <w:rFonts w:asciiTheme="minorHAnsi" w:hAnsiTheme="minorHAnsi"/>
          <w:noProof/>
        </w:rPr>
      </w:pPr>
      <w:hyperlink w:anchor="_Toc111536695" w:history="1">
        <w:r w:rsidRPr="00A968B2">
          <w:rPr>
            <w:rStyle w:val="Hyperlink"/>
            <w:noProof/>
          </w:rPr>
          <w:t>Table 90:</w:t>
        </w:r>
        <w:r>
          <w:rPr>
            <w:rFonts w:asciiTheme="minorHAnsi" w:hAnsiTheme="minorHAnsi"/>
            <w:noProof/>
          </w:rPr>
          <w:tab/>
        </w:r>
        <w:r w:rsidRPr="00A968B2">
          <w:rPr>
            <w:rStyle w:val="Hyperlink"/>
            <w:noProof/>
          </w:rPr>
          <w:t>LULUCF land-use change emission factors</w:t>
        </w:r>
        <w:r>
          <w:rPr>
            <w:noProof/>
            <w:webHidden/>
          </w:rPr>
          <w:tab/>
        </w:r>
        <w:r>
          <w:rPr>
            <w:noProof/>
            <w:webHidden/>
          </w:rPr>
          <w:fldChar w:fldCharType="begin"/>
        </w:r>
        <w:r>
          <w:rPr>
            <w:noProof/>
            <w:webHidden/>
          </w:rPr>
          <w:instrText xml:space="preserve"> PAGEREF _Toc111536695 \h </w:instrText>
        </w:r>
        <w:r>
          <w:rPr>
            <w:noProof/>
            <w:webHidden/>
          </w:rPr>
        </w:r>
        <w:r>
          <w:rPr>
            <w:noProof/>
            <w:webHidden/>
          </w:rPr>
          <w:fldChar w:fldCharType="separate"/>
        </w:r>
        <w:r>
          <w:rPr>
            <w:noProof/>
            <w:webHidden/>
          </w:rPr>
          <w:t>115</w:t>
        </w:r>
        <w:r>
          <w:rPr>
            <w:noProof/>
            <w:webHidden/>
          </w:rPr>
          <w:fldChar w:fldCharType="end"/>
        </w:r>
      </w:hyperlink>
    </w:p>
    <w:p w14:paraId="4616A9B1" w14:textId="6D621C55" w:rsidR="00954B9C" w:rsidRDefault="00954B9C">
      <w:pPr>
        <w:pStyle w:val="TableofFigures"/>
        <w:tabs>
          <w:tab w:val="right" w:pos="8495"/>
        </w:tabs>
        <w:rPr>
          <w:rFonts w:asciiTheme="minorHAnsi" w:hAnsiTheme="minorHAnsi"/>
          <w:noProof/>
        </w:rPr>
      </w:pPr>
      <w:hyperlink w:anchor="_Toc111536696" w:history="1">
        <w:r w:rsidRPr="00A968B2">
          <w:rPr>
            <w:rStyle w:val="Hyperlink"/>
            <w:noProof/>
          </w:rPr>
          <w:t>Table 91:</w:t>
        </w:r>
        <w:r>
          <w:rPr>
            <w:rFonts w:asciiTheme="minorHAnsi" w:hAnsiTheme="minorHAnsi"/>
            <w:noProof/>
          </w:rPr>
          <w:tab/>
        </w:r>
        <w:r w:rsidRPr="00A968B2">
          <w:rPr>
            <w:rStyle w:val="Hyperlink"/>
            <w:noProof/>
          </w:rPr>
          <w:t>Enteric fermentation emission factors</w:t>
        </w:r>
        <w:r>
          <w:rPr>
            <w:noProof/>
            <w:webHidden/>
          </w:rPr>
          <w:tab/>
        </w:r>
        <w:r>
          <w:rPr>
            <w:noProof/>
            <w:webHidden/>
          </w:rPr>
          <w:fldChar w:fldCharType="begin"/>
        </w:r>
        <w:r>
          <w:rPr>
            <w:noProof/>
            <w:webHidden/>
          </w:rPr>
          <w:instrText xml:space="preserve"> PAGEREF _Toc111536696 \h </w:instrText>
        </w:r>
        <w:r>
          <w:rPr>
            <w:noProof/>
            <w:webHidden/>
          </w:rPr>
        </w:r>
        <w:r>
          <w:rPr>
            <w:noProof/>
            <w:webHidden/>
          </w:rPr>
          <w:fldChar w:fldCharType="separate"/>
        </w:r>
        <w:r>
          <w:rPr>
            <w:noProof/>
            <w:webHidden/>
          </w:rPr>
          <w:t>120</w:t>
        </w:r>
        <w:r>
          <w:rPr>
            <w:noProof/>
            <w:webHidden/>
          </w:rPr>
          <w:fldChar w:fldCharType="end"/>
        </w:r>
      </w:hyperlink>
    </w:p>
    <w:p w14:paraId="6E78C42A" w14:textId="150B8413" w:rsidR="00954B9C" w:rsidRDefault="00954B9C">
      <w:pPr>
        <w:pStyle w:val="TableofFigures"/>
        <w:tabs>
          <w:tab w:val="right" w:pos="8495"/>
        </w:tabs>
        <w:rPr>
          <w:rFonts w:asciiTheme="minorHAnsi" w:hAnsiTheme="minorHAnsi"/>
          <w:noProof/>
        </w:rPr>
      </w:pPr>
      <w:hyperlink w:anchor="_Toc111536697" w:history="1">
        <w:r w:rsidRPr="00A968B2">
          <w:rPr>
            <w:rStyle w:val="Hyperlink"/>
            <w:noProof/>
          </w:rPr>
          <w:t>Table 92:</w:t>
        </w:r>
        <w:r>
          <w:rPr>
            <w:rFonts w:asciiTheme="minorHAnsi" w:hAnsiTheme="minorHAnsi"/>
            <w:noProof/>
          </w:rPr>
          <w:tab/>
        </w:r>
        <w:r w:rsidRPr="00A968B2">
          <w:rPr>
            <w:rStyle w:val="Hyperlink"/>
            <w:noProof/>
          </w:rPr>
          <w:t>Enteric fermentation figures per livestock type</w:t>
        </w:r>
        <w:r>
          <w:rPr>
            <w:noProof/>
            <w:webHidden/>
          </w:rPr>
          <w:tab/>
        </w:r>
        <w:r>
          <w:rPr>
            <w:noProof/>
            <w:webHidden/>
          </w:rPr>
          <w:fldChar w:fldCharType="begin"/>
        </w:r>
        <w:r>
          <w:rPr>
            <w:noProof/>
            <w:webHidden/>
          </w:rPr>
          <w:instrText xml:space="preserve"> PAGEREF _Toc111536697 \h </w:instrText>
        </w:r>
        <w:r>
          <w:rPr>
            <w:noProof/>
            <w:webHidden/>
          </w:rPr>
        </w:r>
        <w:r>
          <w:rPr>
            <w:noProof/>
            <w:webHidden/>
          </w:rPr>
          <w:fldChar w:fldCharType="separate"/>
        </w:r>
        <w:r>
          <w:rPr>
            <w:noProof/>
            <w:webHidden/>
          </w:rPr>
          <w:t>121</w:t>
        </w:r>
        <w:r>
          <w:rPr>
            <w:noProof/>
            <w:webHidden/>
          </w:rPr>
          <w:fldChar w:fldCharType="end"/>
        </w:r>
      </w:hyperlink>
    </w:p>
    <w:p w14:paraId="2A0A696F" w14:textId="25A9BFE2" w:rsidR="00954B9C" w:rsidRDefault="00954B9C">
      <w:pPr>
        <w:pStyle w:val="TableofFigures"/>
        <w:tabs>
          <w:tab w:val="right" w:pos="8495"/>
        </w:tabs>
        <w:rPr>
          <w:rFonts w:asciiTheme="minorHAnsi" w:hAnsiTheme="minorHAnsi"/>
          <w:noProof/>
        </w:rPr>
      </w:pPr>
      <w:hyperlink w:anchor="_Toc111536698" w:history="1">
        <w:r w:rsidRPr="00A968B2">
          <w:rPr>
            <w:rStyle w:val="Hyperlink"/>
            <w:noProof/>
          </w:rPr>
          <w:t>Table 93:</w:t>
        </w:r>
        <w:r>
          <w:rPr>
            <w:rFonts w:asciiTheme="minorHAnsi" w:hAnsiTheme="minorHAnsi"/>
            <w:noProof/>
          </w:rPr>
          <w:tab/>
        </w:r>
        <w:r w:rsidRPr="00A968B2">
          <w:rPr>
            <w:rStyle w:val="Hyperlink"/>
            <w:noProof/>
          </w:rPr>
          <w:t>Manure management emission factors</w:t>
        </w:r>
        <w:r>
          <w:rPr>
            <w:noProof/>
            <w:webHidden/>
          </w:rPr>
          <w:tab/>
        </w:r>
        <w:r>
          <w:rPr>
            <w:noProof/>
            <w:webHidden/>
          </w:rPr>
          <w:fldChar w:fldCharType="begin"/>
        </w:r>
        <w:r>
          <w:rPr>
            <w:noProof/>
            <w:webHidden/>
          </w:rPr>
          <w:instrText xml:space="preserve"> PAGEREF _Toc111536698 \h </w:instrText>
        </w:r>
        <w:r>
          <w:rPr>
            <w:noProof/>
            <w:webHidden/>
          </w:rPr>
        </w:r>
        <w:r>
          <w:rPr>
            <w:noProof/>
            <w:webHidden/>
          </w:rPr>
          <w:fldChar w:fldCharType="separate"/>
        </w:r>
        <w:r>
          <w:rPr>
            <w:noProof/>
            <w:webHidden/>
          </w:rPr>
          <w:t>122</w:t>
        </w:r>
        <w:r>
          <w:rPr>
            <w:noProof/>
            <w:webHidden/>
          </w:rPr>
          <w:fldChar w:fldCharType="end"/>
        </w:r>
      </w:hyperlink>
    </w:p>
    <w:p w14:paraId="6C7B89A2" w14:textId="63083036" w:rsidR="00954B9C" w:rsidRDefault="00954B9C">
      <w:pPr>
        <w:pStyle w:val="TableofFigures"/>
        <w:tabs>
          <w:tab w:val="right" w:pos="8495"/>
        </w:tabs>
        <w:rPr>
          <w:rFonts w:asciiTheme="minorHAnsi" w:hAnsiTheme="minorHAnsi"/>
          <w:noProof/>
        </w:rPr>
      </w:pPr>
      <w:hyperlink w:anchor="_Toc111536699" w:history="1">
        <w:r w:rsidRPr="00A968B2">
          <w:rPr>
            <w:rStyle w:val="Hyperlink"/>
            <w:noProof/>
          </w:rPr>
          <w:t>Table 94:</w:t>
        </w:r>
        <w:r>
          <w:rPr>
            <w:rFonts w:asciiTheme="minorHAnsi" w:hAnsiTheme="minorHAnsi"/>
            <w:noProof/>
          </w:rPr>
          <w:tab/>
        </w:r>
        <w:r w:rsidRPr="00A968B2">
          <w:rPr>
            <w:rStyle w:val="Hyperlink"/>
            <w:noProof/>
          </w:rPr>
          <w:t>Manure management source data</w:t>
        </w:r>
        <w:r>
          <w:rPr>
            <w:noProof/>
            <w:webHidden/>
          </w:rPr>
          <w:tab/>
        </w:r>
        <w:r>
          <w:rPr>
            <w:noProof/>
            <w:webHidden/>
          </w:rPr>
          <w:fldChar w:fldCharType="begin"/>
        </w:r>
        <w:r>
          <w:rPr>
            <w:noProof/>
            <w:webHidden/>
          </w:rPr>
          <w:instrText xml:space="preserve"> PAGEREF _Toc111536699 \h </w:instrText>
        </w:r>
        <w:r>
          <w:rPr>
            <w:noProof/>
            <w:webHidden/>
          </w:rPr>
        </w:r>
        <w:r>
          <w:rPr>
            <w:noProof/>
            <w:webHidden/>
          </w:rPr>
          <w:fldChar w:fldCharType="separate"/>
        </w:r>
        <w:r>
          <w:rPr>
            <w:noProof/>
            <w:webHidden/>
          </w:rPr>
          <w:t>123</w:t>
        </w:r>
        <w:r>
          <w:rPr>
            <w:noProof/>
            <w:webHidden/>
          </w:rPr>
          <w:fldChar w:fldCharType="end"/>
        </w:r>
      </w:hyperlink>
    </w:p>
    <w:p w14:paraId="5A5C0289" w14:textId="3E0881C9" w:rsidR="00954B9C" w:rsidRDefault="00954B9C">
      <w:pPr>
        <w:pStyle w:val="TableofFigures"/>
        <w:tabs>
          <w:tab w:val="right" w:pos="8495"/>
        </w:tabs>
        <w:rPr>
          <w:rFonts w:asciiTheme="minorHAnsi" w:hAnsiTheme="minorHAnsi"/>
          <w:noProof/>
        </w:rPr>
      </w:pPr>
      <w:hyperlink w:anchor="_Toc111536700" w:history="1">
        <w:r w:rsidRPr="00A968B2">
          <w:rPr>
            <w:rStyle w:val="Hyperlink"/>
            <w:noProof/>
          </w:rPr>
          <w:t>Table 95:</w:t>
        </w:r>
        <w:r>
          <w:rPr>
            <w:rFonts w:asciiTheme="minorHAnsi" w:hAnsiTheme="minorHAnsi"/>
            <w:noProof/>
          </w:rPr>
          <w:tab/>
        </w:r>
        <w:r w:rsidRPr="00A968B2">
          <w:rPr>
            <w:rStyle w:val="Hyperlink"/>
            <w:noProof/>
          </w:rPr>
          <w:t>Emissions from dairy cattle</w:t>
        </w:r>
        <w:r>
          <w:rPr>
            <w:noProof/>
            <w:webHidden/>
          </w:rPr>
          <w:tab/>
        </w:r>
        <w:r>
          <w:rPr>
            <w:noProof/>
            <w:webHidden/>
          </w:rPr>
          <w:fldChar w:fldCharType="begin"/>
        </w:r>
        <w:r>
          <w:rPr>
            <w:noProof/>
            <w:webHidden/>
          </w:rPr>
          <w:instrText xml:space="preserve"> PAGEREF _Toc111536700 \h </w:instrText>
        </w:r>
        <w:r>
          <w:rPr>
            <w:noProof/>
            <w:webHidden/>
          </w:rPr>
        </w:r>
        <w:r>
          <w:rPr>
            <w:noProof/>
            <w:webHidden/>
          </w:rPr>
          <w:fldChar w:fldCharType="separate"/>
        </w:r>
        <w:r>
          <w:rPr>
            <w:noProof/>
            <w:webHidden/>
          </w:rPr>
          <w:t>124</w:t>
        </w:r>
        <w:r>
          <w:rPr>
            <w:noProof/>
            <w:webHidden/>
          </w:rPr>
          <w:fldChar w:fldCharType="end"/>
        </w:r>
      </w:hyperlink>
    </w:p>
    <w:p w14:paraId="16DA372F" w14:textId="4AE75A05" w:rsidR="00954B9C" w:rsidRDefault="00954B9C">
      <w:pPr>
        <w:pStyle w:val="TableofFigures"/>
        <w:tabs>
          <w:tab w:val="right" w:pos="8495"/>
        </w:tabs>
        <w:rPr>
          <w:rFonts w:asciiTheme="minorHAnsi" w:hAnsiTheme="minorHAnsi"/>
          <w:noProof/>
        </w:rPr>
      </w:pPr>
      <w:hyperlink w:anchor="_Toc111536701" w:history="1">
        <w:r w:rsidRPr="00A968B2">
          <w:rPr>
            <w:rStyle w:val="Hyperlink"/>
            <w:noProof/>
          </w:rPr>
          <w:t>Table 96:</w:t>
        </w:r>
        <w:r>
          <w:rPr>
            <w:rFonts w:asciiTheme="minorHAnsi" w:hAnsiTheme="minorHAnsi"/>
            <w:noProof/>
          </w:rPr>
          <w:tab/>
        </w:r>
        <w:r w:rsidRPr="00A968B2">
          <w:rPr>
            <w:rStyle w:val="Hyperlink"/>
            <w:noProof/>
          </w:rPr>
          <w:t>Agricultural soils emission factors</w:t>
        </w:r>
        <w:r>
          <w:rPr>
            <w:noProof/>
            <w:webHidden/>
          </w:rPr>
          <w:tab/>
        </w:r>
        <w:r>
          <w:rPr>
            <w:noProof/>
            <w:webHidden/>
          </w:rPr>
          <w:fldChar w:fldCharType="begin"/>
        </w:r>
        <w:r>
          <w:rPr>
            <w:noProof/>
            <w:webHidden/>
          </w:rPr>
          <w:instrText xml:space="preserve"> PAGEREF _Toc111536701 \h </w:instrText>
        </w:r>
        <w:r>
          <w:rPr>
            <w:noProof/>
            <w:webHidden/>
          </w:rPr>
        </w:r>
        <w:r>
          <w:rPr>
            <w:noProof/>
            <w:webHidden/>
          </w:rPr>
          <w:fldChar w:fldCharType="separate"/>
        </w:r>
        <w:r>
          <w:rPr>
            <w:noProof/>
            <w:webHidden/>
          </w:rPr>
          <w:t>124</w:t>
        </w:r>
        <w:r>
          <w:rPr>
            <w:noProof/>
            <w:webHidden/>
          </w:rPr>
          <w:fldChar w:fldCharType="end"/>
        </w:r>
      </w:hyperlink>
    </w:p>
    <w:p w14:paraId="4C83D1C0" w14:textId="27C1AF57" w:rsidR="00954B9C" w:rsidRDefault="00954B9C">
      <w:pPr>
        <w:pStyle w:val="TableofFigures"/>
        <w:tabs>
          <w:tab w:val="right" w:pos="8495"/>
        </w:tabs>
        <w:rPr>
          <w:rFonts w:asciiTheme="minorHAnsi" w:hAnsiTheme="minorHAnsi"/>
          <w:noProof/>
        </w:rPr>
      </w:pPr>
      <w:hyperlink w:anchor="_Toc111536702" w:history="1">
        <w:r w:rsidRPr="00A968B2">
          <w:rPr>
            <w:rStyle w:val="Hyperlink"/>
            <w:noProof/>
          </w:rPr>
          <w:t>Table 97:</w:t>
        </w:r>
        <w:r>
          <w:rPr>
            <w:rFonts w:asciiTheme="minorHAnsi" w:hAnsiTheme="minorHAnsi"/>
            <w:noProof/>
          </w:rPr>
          <w:tab/>
        </w:r>
        <w:r w:rsidRPr="00A968B2">
          <w:rPr>
            <w:rStyle w:val="Hyperlink"/>
            <w:noProof/>
          </w:rPr>
          <w:t>Data used for agricultural soils emission factors</w:t>
        </w:r>
        <w:r>
          <w:rPr>
            <w:noProof/>
            <w:webHidden/>
          </w:rPr>
          <w:tab/>
        </w:r>
        <w:r>
          <w:rPr>
            <w:noProof/>
            <w:webHidden/>
          </w:rPr>
          <w:fldChar w:fldCharType="begin"/>
        </w:r>
        <w:r>
          <w:rPr>
            <w:noProof/>
            <w:webHidden/>
          </w:rPr>
          <w:instrText xml:space="preserve"> PAGEREF _Toc111536702 \h </w:instrText>
        </w:r>
        <w:r>
          <w:rPr>
            <w:noProof/>
            <w:webHidden/>
          </w:rPr>
        </w:r>
        <w:r>
          <w:rPr>
            <w:noProof/>
            <w:webHidden/>
          </w:rPr>
          <w:fldChar w:fldCharType="separate"/>
        </w:r>
        <w:r>
          <w:rPr>
            <w:noProof/>
            <w:webHidden/>
          </w:rPr>
          <w:t>125</w:t>
        </w:r>
        <w:r>
          <w:rPr>
            <w:noProof/>
            <w:webHidden/>
          </w:rPr>
          <w:fldChar w:fldCharType="end"/>
        </w:r>
      </w:hyperlink>
    </w:p>
    <w:p w14:paraId="78129E1F" w14:textId="77667CB9" w:rsidR="00954B9C" w:rsidRDefault="00954B9C">
      <w:pPr>
        <w:pStyle w:val="TableofFigures"/>
        <w:tabs>
          <w:tab w:val="right" w:pos="8495"/>
        </w:tabs>
        <w:rPr>
          <w:rFonts w:asciiTheme="minorHAnsi" w:hAnsiTheme="minorHAnsi"/>
          <w:noProof/>
        </w:rPr>
      </w:pPr>
      <w:hyperlink w:anchor="_Toc111536703" w:history="1">
        <w:r w:rsidRPr="00A968B2">
          <w:rPr>
            <w:rStyle w:val="Hyperlink"/>
            <w:noProof/>
          </w:rPr>
          <w:t>Table 98:</w:t>
        </w:r>
        <w:r>
          <w:rPr>
            <w:rFonts w:asciiTheme="minorHAnsi" w:hAnsiTheme="minorHAnsi"/>
            <w:noProof/>
          </w:rPr>
          <w:tab/>
        </w:r>
        <w:r w:rsidRPr="00A968B2">
          <w:rPr>
            <w:rStyle w:val="Hyperlink"/>
            <w:noProof/>
          </w:rPr>
          <w:t>Fertiliser use emission factors</w:t>
        </w:r>
        <w:r>
          <w:rPr>
            <w:noProof/>
            <w:webHidden/>
          </w:rPr>
          <w:tab/>
        </w:r>
        <w:r>
          <w:rPr>
            <w:noProof/>
            <w:webHidden/>
          </w:rPr>
          <w:fldChar w:fldCharType="begin"/>
        </w:r>
        <w:r>
          <w:rPr>
            <w:noProof/>
            <w:webHidden/>
          </w:rPr>
          <w:instrText xml:space="preserve"> PAGEREF _Toc111536703 \h </w:instrText>
        </w:r>
        <w:r>
          <w:rPr>
            <w:noProof/>
            <w:webHidden/>
          </w:rPr>
        </w:r>
        <w:r>
          <w:rPr>
            <w:noProof/>
            <w:webHidden/>
          </w:rPr>
          <w:fldChar w:fldCharType="separate"/>
        </w:r>
        <w:r>
          <w:rPr>
            <w:noProof/>
            <w:webHidden/>
          </w:rPr>
          <w:t>126</w:t>
        </w:r>
        <w:r>
          <w:rPr>
            <w:noProof/>
            <w:webHidden/>
          </w:rPr>
          <w:fldChar w:fldCharType="end"/>
        </w:r>
      </w:hyperlink>
    </w:p>
    <w:p w14:paraId="7D48F043" w14:textId="016A7DDB" w:rsidR="00954B9C" w:rsidRDefault="00954B9C">
      <w:pPr>
        <w:pStyle w:val="TableofFigures"/>
        <w:tabs>
          <w:tab w:val="right" w:pos="8495"/>
        </w:tabs>
        <w:rPr>
          <w:rFonts w:asciiTheme="minorHAnsi" w:hAnsiTheme="minorHAnsi"/>
          <w:noProof/>
        </w:rPr>
      </w:pPr>
      <w:hyperlink w:anchor="_Toc111536704" w:history="1">
        <w:r w:rsidRPr="00A968B2">
          <w:rPr>
            <w:rStyle w:val="Hyperlink"/>
            <w:noProof/>
          </w:rPr>
          <w:t>Table 99:</w:t>
        </w:r>
        <w:r>
          <w:rPr>
            <w:rFonts w:asciiTheme="minorHAnsi" w:hAnsiTheme="minorHAnsi"/>
            <w:noProof/>
          </w:rPr>
          <w:tab/>
        </w:r>
        <w:r w:rsidRPr="00A968B2">
          <w:rPr>
            <w:rStyle w:val="Hyperlink"/>
            <w:noProof/>
          </w:rPr>
          <w:t>Examples of different categories of fertilisers</w:t>
        </w:r>
        <w:r>
          <w:rPr>
            <w:noProof/>
            <w:webHidden/>
          </w:rPr>
          <w:tab/>
        </w:r>
        <w:r>
          <w:rPr>
            <w:noProof/>
            <w:webHidden/>
          </w:rPr>
          <w:fldChar w:fldCharType="begin"/>
        </w:r>
        <w:r>
          <w:rPr>
            <w:noProof/>
            <w:webHidden/>
          </w:rPr>
          <w:instrText xml:space="preserve"> PAGEREF _Toc111536704 \h </w:instrText>
        </w:r>
        <w:r>
          <w:rPr>
            <w:noProof/>
            <w:webHidden/>
          </w:rPr>
        </w:r>
        <w:r>
          <w:rPr>
            <w:noProof/>
            <w:webHidden/>
          </w:rPr>
          <w:fldChar w:fldCharType="separate"/>
        </w:r>
        <w:r>
          <w:rPr>
            <w:noProof/>
            <w:webHidden/>
          </w:rPr>
          <w:t>126</w:t>
        </w:r>
        <w:r>
          <w:rPr>
            <w:noProof/>
            <w:webHidden/>
          </w:rPr>
          <w:fldChar w:fldCharType="end"/>
        </w:r>
      </w:hyperlink>
    </w:p>
    <w:p w14:paraId="723634D8" w14:textId="04BA42D9" w:rsidR="00954B9C" w:rsidRDefault="00954B9C">
      <w:pPr>
        <w:pStyle w:val="TableofFigures"/>
        <w:tabs>
          <w:tab w:val="right" w:pos="8495"/>
        </w:tabs>
        <w:rPr>
          <w:rFonts w:asciiTheme="minorHAnsi" w:hAnsiTheme="minorHAnsi"/>
          <w:noProof/>
        </w:rPr>
      </w:pPr>
      <w:hyperlink w:anchor="_Toc111536705" w:history="1">
        <w:r w:rsidRPr="00A968B2">
          <w:rPr>
            <w:rStyle w:val="Hyperlink"/>
            <w:noProof/>
          </w:rPr>
          <w:t>Table 100:</w:t>
        </w:r>
        <w:r>
          <w:rPr>
            <w:rFonts w:asciiTheme="minorHAnsi" w:hAnsiTheme="minorHAnsi"/>
            <w:noProof/>
          </w:rPr>
          <w:tab/>
        </w:r>
        <w:r w:rsidRPr="00A968B2">
          <w:rPr>
            <w:rStyle w:val="Hyperlink"/>
            <w:noProof/>
          </w:rPr>
          <w:t>Nitrogen fertiliser emission factors</w:t>
        </w:r>
        <w:r>
          <w:rPr>
            <w:noProof/>
            <w:webHidden/>
          </w:rPr>
          <w:tab/>
        </w:r>
        <w:r>
          <w:rPr>
            <w:noProof/>
            <w:webHidden/>
          </w:rPr>
          <w:fldChar w:fldCharType="begin"/>
        </w:r>
        <w:r>
          <w:rPr>
            <w:noProof/>
            <w:webHidden/>
          </w:rPr>
          <w:instrText xml:space="preserve"> PAGEREF _Toc111536705 \h </w:instrText>
        </w:r>
        <w:r>
          <w:rPr>
            <w:noProof/>
            <w:webHidden/>
          </w:rPr>
        </w:r>
        <w:r>
          <w:rPr>
            <w:noProof/>
            <w:webHidden/>
          </w:rPr>
          <w:fldChar w:fldCharType="separate"/>
        </w:r>
        <w:r>
          <w:rPr>
            <w:noProof/>
            <w:webHidden/>
          </w:rPr>
          <w:t>127</w:t>
        </w:r>
        <w:r>
          <w:rPr>
            <w:noProof/>
            <w:webHidden/>
          </w:rPr>
          <w:fldChar w:fldCharType="end"/>
        </w:r>
      </w:hyperlink>
    </w:p>
    <w:p w14:paraId="24964213" w14:textId="6FEA1AA3" w:rsidR="00954B9C" w:rsidRDefault="00954B9C">
      <w:pPr>
        <w:pStyle w:val="TableofFigures"/>
        <w:tabs>
          <w:tab w:val="right" w:pos="8495"/>
        </w:tabs>
        <w:rPr>
          <w:rFonts w:asciiTheme="minorHAnsi" w:hAnsiTheme="minorHAnsi"/>
          <w:noProof/>
        </w:rPr>
      </w:pPr>
      <w:hyperlink w:anchor="_Toc111536706" w:history="1">
        <w:r w:rsidRPr="00A968B2">
          <w:rPr>
            <w:rStyle w:val="Hyperlink"/>
            <w:noProof/>
          </w:rPr>
          <w:t>Table 101:</w:t>
        </w:r>
        <w:r>
          <w:rPr>
            <w:rFonts w:asciiTheme="minorHAnsi" w:hAnsiTheme="minorHAnsi"/>
            <w:noProof/>
          </w:rPr>
          <w:tab/>
        </w:r>
        <w:r w:rsidRPr="00A968B2">
          <w:rPr>
            <w:rStyle w:val="Hyperlink"/>
            <w:noProof/>
          </w:rPr>
          <w:t>Quantified emissions factors from limestone and dolomite</w:t>
        </w:r>
        <w:r>
          <w:rPr>
            <w:noProof/>
            <w:webHidden/>
          </w:rPr>
          <w:tab/>
        </w:r>
        <w:r>
          <w:rPr>
            <w:noProof/>
            <w:webHidden/>
          </w:rPr>
          <w:fldChar w:fldCharType="begin"/>
        </w:r>
        <w:r>
          <w:rPr>
            <w:noProof/>
            <w:webHidden/>
          </w:rPr>
          <w:instrText xml:space="preserve"> PAGEREF _Toc111536706 \h </w:instrText>
        </w:r>
        <w:r>
          <w:rPr>
            <w:noProof/>
            <w:webHidden/>
          </w:rPr>
        </w:r>
        <w:r>
          <w:rPr>
            <w:noProof/>
            <w:webHidden/>
          </w:rPr>
          <w:fldChar w:fldCharType="separate"/>
        </w:r>
        <w:r>
          <w:rPr>
            <w:noProof/>
            <w:webHidden/>
          </w:rPr>
          <w:t>127</w:t>
        </w:r>
        <w:r>
          <w:rPr>
            <w:noProof/>
            <w:webHidden/>
          </w:rPr>
          <w:fldChar w:fldCharType="end"/>
        </w:r>
      </w:hyperlink>
    </w:p>
    <w:p w14:paraId="33719344" w14:textId="68F85A04" w:rsidR="00954B9C" w:rsidRDefault="00954B9C">
      <w:pPr>
        <w:pStyle w:val="TableofFigures"/>
        <w:tabs>
          <w:tab w:val="right" w:pos="8495"/>
        </w:tabs>
        <w:rPr>
          <w:rFonts w:asciiTheme="minorHAnsi" w:hAnsiTheme="minorHAnsi"/>
          <w:noProof/>
        </w:rPr>
      </w:pPr>
      <w:hyperlink w:anchor="_Toc111536707" w:history="1">
        <w:r w:rsidRPr="00A968B2">
          <w:rPr>
            <w:rStyle w:val="Hyperlink"/>
            <w:noProof/>
          </w:rPr>
          <w:t>Table 102:</w:t>
        </w:r>
        <w:r>
          <w:rPr>
            <w:rFonts w:asciiTheme="minorHAnsi" w:hAnsiTheme="minorHAnsi"/>
            <w:noProof/>
          </w:rPr>
          <w:tab/>
        </w:r>
        <w:r w:rsidRPr="00A968B2">
          <w:rPr>
            <w:rStyle w:val="Hyperlink"/>
            <w:noProof/>
          </w:rPr>
          <w:t>Emission factors for non-urea nitrogen fertilisers</w:t>
        </w:r>
        <w:r>
          <w:rPr>
            <w:noProof/>
            <w:webHidden/>
          </w:rPr>
          <w:tab/>
        </w:r>
        <w:r>
          <w:rPr>
            <w:noProof/>
            <w:webHidden/>
          </w:rPr>
          <w:fldChar w:fldCharType="begin"/>
        </w:r>
        <w:r>
          <w:rPr>
            <w:noProof/>
            <w:webHidden/>
          </w:rPr>
          <w:instrText xml:space="preserve"> PAGEREF _Toc111536707 \h </w:instrText>
        </w:r>
        <w:r>
          <w:rPr>
            <w:noProof/>
            <w:webHidden/>
          </w:rPr>
        </w:r>
        <w:r>
          <w:rPr>
            <w:noProof/>
            <w:webHidden/>
          </w:rPr>
          <w:fldChar w:fldCharType="separate"/>
        </w:r>
        <w:r>
          <w:rPr>
            <w:noProof/>
            <w:webHidden/>
          </w:rPr>
          <w:t>128</w:t>
        </w:r>
        <w:r>
          <w:rPr>
            <w:noProof/>
            <w:webHidden/>
          </w:rPr>
          <w:fldChar w:fldCharType="end"/>
        </w:r>
      </w:hyperlink>
    </w:p>
    <w:p w14:paraId="272B72AB" w14:textId="4931A920" w:rsidR="00954B9C" w:rsidRDefault="00954B9C">
      <w:pPr>
        <w:pStyle w:val="TableofFigures"/>
        <w:tabs>
          <w:tab w:val="right" w:pos="8495"/>
        </w:tabs>
        <w:rPr>
          <w:rFonts w:asciiTheme="minorHAnsi" w:hAnsiTheme="minorHAnsi"/>
          <w:noProof/>
        </w:rPr>
      </w:pPr>
      <w:hyperlink w:anchor="_Toc111536708" w:history="1">
        <w:r w:rsidRPr="00A968B2">
          <w:rPr>
            <w:rStyle w:val="Hyperlink"/>
            <w:noProof/>
          </w:rPr>
          <w:t>Table 103:</w:t>
        </w:r>
        <w:r>
          <w:rPr>
            <w:rFonts w:asciiTheme="minorHAnsi" w:hAnsiTheme="minorHAnsi"/>
            <w:noProof/>
          </w:rPr>
          <w:tab/>
        </w:r>
        <w:r w:rsidRPr="00A968B2">
          <w:rPr>
            <w:rStyle w:val="Hyperlink"/>
            <w:noProof/>
          </w:rPr>
          <w:t>Parameters for calculating emissions from fertilisers</w:t>
        </w:r>
        <w:r>
          <w:rPr>
            <w:noProof/>
            <w:webHidden/>
          </w:rPr>
          <w:tab/>
        </w:r>
        <w:r>
          <w:rPr>
            <w:noProof/>
            <w:webHidden/>
          </w:rPr>
          <w:fldChar w:fldCharType="begin"/>
        </w:r>
        <w:r>
          <w:rPr>
            <w:noProof/>
            <w:webHidden/>
          </w:rPr>
          <w:instrText xml:space="preserve"> PAGEREF _Toc111536708 \h </w:instrText>
        </w:r>
        <w:r>
          <w:rPr>
            <w:noProof/>
            <w:webHidden/>
          </w:rPr>
        </w:r>
        <w:r>
          <w:rPr>
            <w:noProof/>
            <w:webHidden/>
          </w:rPr>
          <w:fldChar w:fldCharType="separate"/>
        </w:r>
        <w:r>
          <w:rPr>
            <w:noProof/>
            <w:webHidden/>
          </w:rPr>
          <w:t>128</w:t>
        </w:r>
        <w:r>
          <w:rPr>
            <w:noProof/>
            <w:webHidden/>
          </w:rPr>
          <w:fldChar w:fldCharType="end"/>
        </w:r>
      </w:hyperlink>
    </w:p>
    <w:p w14:paraId="48DAD13A" w14:textId="2CDDC80D" w:rsidR="00954B9C" w:rsidRDefault="00954B9C">
      <w:pPr>
        <w:pStyle w:val="TableofFigures"/>
        <w:tabs>
          <w:tab w:val="right" w:pos="8495"/>
        </w:tabs>
        <w:rPr>
          <w:rFonts w:asciiTheme="minorHAnsi" w:hAnsiTheme="minorHAnsi"/>
          <w:noProof/>
        </w:rPr>
      </w:pPr>
      <w:hyperlink w:anchor="_Toc111536709" w:history="1">
        <w:r w:rsidRPr="00A968B2">
          <w:rPr>
            <w:rStyle w:val="Hyperlink"/>
            <w:noProof/>
          </w:rPr>
          <w:t>Table A1:</w:t>
        </w:r>
        <w:r>
          <w:rPr>
            <w:rFonts w:asciiTheme="minorHAnsi" w:hAnsiTheme="minorHAnsi"/>
            <w:noProof/>
          </w:rPr>
          <w:tab/>
        </w:r>
        <w:r w:rsidRPr="00A968B2">
          <w:rPr>
            <w:rStyle w:val="Hyperlink"/>
            <w:noProof/>
          </w:rPr>
          <w:t>Underlying data used to calculate fuel emission factors</w:t>
        </w:r>
        <w:r>
          <w:rPr>
            <w:noProof/>
            <w:webHidden/>
          </w:rPr>
          <w:tab/>
        </w:r>
        <w:r>
          <w:rPr>
            <w:noProof/>
            <w:webHidden/>
          </w:rPr>
          <w:fldChar w:fldCharType="begin"/>
        </w:r>
        <w:r>
          <w:rPr>
            <w:noProof/>
            <w:webHidden/>
          </w:rPr>
          <w:instrText xml:space="preserve"> PAGEREF _Toc111536709 \h </w:instrText>
        </w:r>
        <w:r>
          <w:rPr>
            <w:noProof/>
            <w:webHidden/>
          </w:rPr>
        </w:r>
        <w:r>
          <w:rPr>
            <w:noProof/>
            <w:webHidden/>
          </w:rPr>
          <w:fldChar w:fldCharType="separate"/>
        </w:r>
        <w:r>
          <w:rPr>
            <w:noProof/>
            <w:webHidden/>
          </w:rPr>
          <w:t>130</w:t>
        </w:r>
        <w:r>
          <w:rPr>
            <w:noProof/>
            <w:webHidden/>
          </w:rPr>
          <w:fldChar w:fldCharType="end"/>
        </w:r>
      </w:hyperlink>
    </w:p>
    <w:p w14:paraId="0D998660" w14:textId="38A52B70" w:rsidR="00954B9C" w:rsidRDefault="00954B9C">
      <w:pPr>
        <w:pStyle w:val="TableofFigures"/>
        <w:tabs>
          <w:tab w:val="right" w:pos="8495"/>
        </w:tabs>
        <w:rPr>
          <w:rFonts w:asciiTheme="minorHAnsi" w:hAnsiTheme="minorHAnsi"/>
          <w:noProof/>
        </w:rPr>
      </w:pPr>
      <w:hyperlink w:anchor="_Toc111536710" w:history="1">
        <w:r w:rsidRPr="00A968B2">
          <w:rPr>
            <w:rStyle w:val="Hyperlink"/>
            <w:noProof/>
          </w:rPr>
          <w:t>Table B1:</w:t>
        </w:r>
        <w:r>
          <w:rPr>
            <w:rFonts w:asciiTheme="minorHAnsi" w:hAnsiTheme="minorHAnsi"/>
            <w:noProof/>
          </w:rPr>
          <w:tab/>
        </w:r>
        <w:r w:rsidRPr="00A968B2">
          <w:rPr>
            <w:rStyle w:val="Hyperlink"/>
            <w:noProof/>
          </w:rPr>
          <w:t>Default refrigerant charges for refrigeration and air-conditioning equipment</w:t>
        </w:r>
        <w:r>
          <w:rPr>
            <w:noProof/>
            <w:webHidden/>
          </w:rPr>
          <w:tab/>
        </w:r>
        <w:r>
          <w:rPr>
            <w:noProof/>
            <w:webHidden/>
          </w:rPr>
          <w:fldChar w:fldCharType="begin"/>
        </w:r>
        <w:r>
          <w:rPr>
            <w:noProof/>
            <w:webHidden/>
          </w:rPr>
          <w:instrText xml:space="preserve"> PAGEREF _Toc111536710 \h </w:instrText>
        </w:r>
        <w:r>
          <w:rPr>
            <w:noProof/>
            <w:webHidden/>
          </w:rPr>
        </w:r>
        <w:r>
          <w:rPr>
            <w:noProof/>
            <w:webHidden/>
          </w:rPr>
          <w:fldChar w:fldCharType="separate"/>
        </w:r>
        <w:r>
          <w:rPr>
            <w:noProof/>
            <w:webHidden/>
          </w:rPr>
          <w:t>133</w:t>
        </w:r>
        <w:r>
          <w:rPr>
            <w:noProof/>
            <w:webHidden/>
          </w:rPr>
          <w:fldChar w:fldCharType="end"/>
        </w:r>
      </w:hyperlink>
    </w:p>
    <w:p w14:paraId="55C4BE5B" w14:textId="3F221AAD" w:rsidR="00954B9C" w:rsidRDefault="00954B9C">
      <w:pPr>
        <w:pStyle w:val="TableofFigures"/>
        <w:tabs>
          <w:tab w:val="right" w:pos="8495"/>
        </w:tabs>
        <w:rPr>
          <w:rFonts w:asciiTheme="minorHAnsi" w:hAnsiTheme="minorHAnsi"/>
          <w:noProof/>
        </w:rPr>
      </w:pPr>
      <w:hyperlink w:anchor="_Toc111536711" w:history="1">
        <w:r w:rsidRPr="00A968B2">
          <w:rPr>
            <w:rStyle w:val="Hyperlink"/>
            <w:noProof/>
          </w:rPr>
          <w:t>Table B2:</w:t>
        </w:r>
        <w:r>
          <w:rPr>
            <w:rFonts w:asciiTheme="minorHAnsi" w:hAnsiTheme="minorHAnsi"/>
            <w:noProof/>
          </w:rPr>
          <w:tab/>
        </w:r>
        <w:r w:rsidRPr="00A968B2">
          <w:rPr>
            <w:rStyle w:val="Hyperlink"/>
            <w:noProof/>
          </w:rPr>
          <w:t>Detailed 100-year GWPs for various refrigerant mixtures</w:t>
        </w:r>
        <w:r>
          <w:rPr>
            <w:noProof/>
            <w:webHidden/>
          </w:rPr>
          <w:tab/>
        </w:r>
        <w:r>
          <w:rPr>
            <w:noProof/>
            <w:webHidden/>
          </w:rPr>
          <w:fldChar w:fldCharType="begin"/>
        </w:r>
        <w:r>
          <w:rPr>
            <w:noProof/>
            <w:webHidden/>
          </w:rPr>
          <w:instrText xml:space="preserve"> PAGEREF _Toc111536711 \h </w:instrText>
        </w:r>
        <w:r>
          <w:rPr>
            <w:noProof/>
            <w:webHidden/>
          </w:rPr>
        </w:r>
        <w:r>
          <w:rPr>
            <w:noProof/>
            <w:webHidden/>
          </w:rPr>
          <w:fldChar w:fldCharType="separate"/>
        </w:r>
        <w:r>
          <w:rPr>
            <w:noProof/>
            <w:webHidden/>
          </w:rPr>
          <w:t>134</w:t>
        </w:r>
        <w:r>
          <w:rPr>
            <w:noProof/>
            <w:webHidden/>
          </w:rPr>
          <w:fldChar w:fldCharType="end"/>
        </w:r>
      </w:hyperlink>
    </w:p>
    <w:p w14:paraId="77C78CB6" w14:textId="55EC56AD" w:rsidR="00954B9C" w:rsidRDefault="00954B9C">
      <w:pPr>
        <w:pStyle w:val="TableofFigures"/>
        <w:tabs>
          <w:tab w:val="right" w:pos="8495"/>
        </w:tabs>
        <w:rPr>
          <w:rFonts w:asciiTheme="minorHAnsi" w:hAnsiTheme="minorHAnsi"/>
          <w:noProof/>
        </w:rPr>
      </w:pPr>
      <w:hyperlink w:anchor="_Toc111536712" w:history="1">
        <w:r w:rsidRPr="00A968B2">
          <w:rPr>
            <w:rStyle w:val="Hyperlink"/>
            <w:noProof/>
          </w:rPr>
          <w:t>Table B3:</w:t>
        </w:r>
        <w:r>
          <w:rPr>
            <w:rFonts w:asciiTheme="minorHAnsi" w:hAnsiTheme="minorHAnsi"/>
            <w:noProof/>
          </w:rPr>
          <w:tab/>
        </w:r>
        <w:r w:rsidRPr="00A968B2">
          <w:rPr>
            <w:rStyle w:val="Hyperlink"/>
            <w:noProof/>
          </w:rPr>
          <w:t>Detailed 100-year GWPs (IPCC, 2007) for medical gas blends</w:t>
        </w:r>
        <w:r>
          <w:rPr>
            <w:noProof/>
            <w:webHidden/>
          </w:rPr>
          <w:tab/>
        </w:r>
        <w:r>
          <w:rPr>
            <w:noProof/>
            <w:webHidden/>
          </w:rPr>
          <w:fldChar w:fldCharType="begin"/>
        </w:r>
        <w:r>
          <w:rPr>
            <w:noProof/>
            <w:webHidden/>
          </w:rPr>
          <w:instrText xml:space="preserve"> PAGEREF _Toc111536712 \h </w:instrText>
        </w:r>
        <w:r>
          <w:rPr>
            <w:noProof/>
            <w:webHidden/>
          </w:rPr>
        </w:r>
        <w:r>
          <w:rPr>
            <w:noProof/>
            <w:webHidden/>
          </w:rPr>
          <w:fldChar w:fldCharType="separate"/>
        </w:r>
        <w:r>
          <w:rPr>
            <w:noProof/>
            <w:webHidden/>
          </w:rPr>
          <w:t>135</w:t>
        </w:r>
        <w:r>
          <w:rPr>
            <w:noProof/>
            <w:webHidden/>
          </w:rPr>
          <w:fldChar w:fldCharType="end"/>
        </w:r>
      </w:hyperlink>
    </w:p>
    <w:p w14:paraId="3D6E1249" w14:textId="6CDA376E" w:rsidR="00954B9C" w:rsidRDefault="00954B9C">
      <w:pPr>
        <w:pStyle w:val="TableofFigures"/>
        <w:tabs>
          <w:tab w:val="right" w:pos="8495"/>
        </w:tabs>
        <w:rPr>
          <w:rFonts w:asciiTheme="minorHAnsi" w:hAnsiTheme="minorHAnsi"/>
          <w:noProof/>
        </w:rPr>
      </w:pPr>
      <w:hyperlink w:anchor="_Toc111536713" w:history="1">
        <w:r w:rsidRPr="00A968B2">
          <w:rPr>
            <w:rStyle w:val="Hyperlink"/>
            <w:noProof/>
          </w:rPr>
          <w:t>Table C1:</w:t>
        </w:r>
        <w:r>
          <w:rPr>
            <w:rFonts w:asciiTheme="minorHAnsi" w:hAnsiTheme="minorHAnsi"/>
            <w:noProof/>
          </w:rPr>
          <w:tab/>
        </w:r>
        <w:r w:rsidRPr="00A968B2">
          <w:rPr>
            <w:rStyle w:val="Hyperlink"/>
            <w:noProof/>
          </w:rPr>
          <w:t>Landfills with and without landfill gas recovery</w:t>
        </w:r>
        <w:r>
          <w:rPr>
            <w:noProof/>
            <w:webHidden/>
          </w:rPr>
          <w:tab/>
        </w:r>
        <w:r>
          <w:rPr>
            <w:noProof/>
            <w:webHidden/>
          </w:rPr>
          <w:fldChar w:fldCharType="begin"/>
        </w:r>
        <w:r>
          <w:rPr>
            <w:noProof/>
            <w:webHidden/>
          </w:rPr>
          <w:instrText xml:space="preserve"> PAGEREF _Toc111536713 \h </w:instrText>
        </w:r>
        <w:r>
          <w:rPr>
            <w:noProof/>
            <w:webHidden/>
          </w:rPr>
        </w:r>
        <w:r>
          <w:rPr>
            <w:noProof/>
            <w:webHidden/>
          </w:rPr>
          <w:fldChar w:fldCharType="separate"/>
        </w:r>
        <w:r>
          <w:rPr>
            <w:noProof/>
            <w:webHidden/>
          </w:rPr>
          <w:t>136</w:t>
        </w:r>
        <w:r>
          <w:rPr>
            <w:noProof/>
            <w:webHidden/>
          </w:rPr>
          <w:fldChar w:fldCharType="end"/>
        </w:r>
      </w:hyperlink>
    </w:p>
    <w:p w14:paraId="0F66DE89" w14:textId="42C05136" w:rsidR="00B27A68" w:rsidRPr="00B275E2" w:rsidRDefault="007607CB" w:rsidP="00B27A68">
      <w:pPr>
        <w:pStyle w:val="TableofFigures"/>
        <w:tabs>
          <w:tab w:val="right" w:leader="dot" w:pos="8636"/>
        </w:tabs>
      </w:pPr>
      <w:r w:rsidRPr="00B275E2">
        <w:fldChar w:fldCharType="end"/>
      </w:r>
    </w:p>
    <w:p w14:paraId="35D753FA" w14:textId="64122DB6" w:rsidR="00FC6A7D" w:rsidRPr="00B275E2" w:rsidRDefault="00FC6A7D" w:rsidP="001C0EDF">
      <w:pPr>
        <w:pStyle w:val="BodyText"/>
      </w:pPr>
    </w:p>
    <w:p w14:paraId="372C4C34" w14:textId="63E60EEE" w:rsidR="00411E70" w:rsidRPr="00B275E2" w:rsidRDefault="00411E70" w:rsidP="001C0EDF">
      <w:pPr>
        <w:pStyle w:val="Heading"/>
      </w:pPr>
      <w:r w:rsidRPr="00B275E2">
        <w:t>Figure</w:t>
      </w:r>
      <w:bookmarkEnd w:id="7"/>
      <w:bookmarkEnd w:id="8"/>
    </w:p>
    <w:p w14:paraId="280097F5" w14:textId="210AA724" w:rsidR="00954B9C" w:rsidRDefault="00411F52">
      <w:pPr>
        <w:pStyle w:val="TableofFigures"/>
        <w:tabs>
          <w:tab w:val="right" w:pos="8495"/>
        </w:tabs>
        <w:rPr>
          <w:rFonts w:asciiTheme="minorHAnsi" w:hAnsiTheme="minorHAnsi"/>
          <w:noProof/>
        </w:rPr>
      </w:pPr>
      <w:r w:rsidRPr="00B275E2">
        <w:rPr>
          <w:b/>
          <w:bCs/>
        </w:rPr>
        <w:fldChar w:fldCharType="begin"/>
      </w:r>
      <w:r w:rsidRPr="00B275E2">
        <w:rPr>
          <w:b/>
          <w:bCs/>
        </w:rPr>
        <w:instrText xml:space="preserve"> TOC \h \z \c "Figure" </w:instrText>
      </w:r>
      <w:r w:rsidRPr="00B275E2">
        <w:rPr>
          <w:b/>
          <w:bCs/>
        </w:rPr>
        <w:fldChar w:fldCharType="separate"/>
      </w:r>
      <w:hyperlink w:anchor="_Toc111536714" w:history="1">
        <w:r w:rsidR="00954B9C" w:rsidRPr="00F128F0">
          <w:rPr>
            <w:rStyle w:val="Hyperlink"/>
            <w:noProof/>
          </w:rPr>
          <w:t>Figure 1:</w:t>
        </w:r>
        <w:r w:rsidR="00954B9C">
          <w:rPr>
            <w:rFonts w:asciiTheme="minorHAnsi" w:hAnsiTheme="minorHAnsi"/>
            <w:noProof/>
          </w:rPr>
          <w:tab/>
        </w:r>
        <w:r w:rsidR="00954B9C" w:rsidRPr="00F128F0">
          <w:rPr>
            <w:rStyle w:val="Hyperlink"/>
            <w:noProof/>
          </w:rPr>
          <w:t>Documents in measuring emissions: A guide for organisations</w:t>
        </w:r>
        <w:r w:rsidR="00954B9C">
          <w:rPr>
            <w:noProof/>
            <w:webHidden/>
          </w:rPr>
          <w:tab/>
        </w:r>
        <w:r w:rsidR="00954B9C">
          <w:rPr>
            <w:noProof/>
            <w:webHidden/>
          </w:rPr>
          <w:fldChar w:fldCharType="begin"/>
        </w:r>
        <w:r w:rsidR="00954B9C">
          <w:rPr>
            <w:noProof/>
            <w:webHidden/>
          </w:rPr>
          <w:instrText xml:space="preserve"> PAGEREF _Toc111536714 \h </w:instrText>
        </w:r>
        <w:r w:rsidR="00954B9C">
          <w:rPr>
            <w:noProof/>
            <w:webHidden/>
          </w:rPr>
        </w:r>
        <w:r w:rsidR="00954B9C">
          <w:rPr>
            <w:noProof/>
            <w:webHidden/>
          </w:rPr>
          <w:fldChar w:fldCharType="separate"/>
        </w:r>
        <w:r w:rsidR="00954B9C">
          <w:rPr>
            <w:noProof/>
            <w:webHidden/>
          </w:rPr>
          <w:t>11</w:t>
        </w:r>
        <w:r w:rsidR="00954B9C">
          <w:rPr>
            <w:noProof/>
            <w:webHidden/>
          </w:rPr>
          <w:fldChar w:fldCharType="end"/>
        </w:r>
      </w:hyperlink>
    </w:p>
    <w:p w14:paraId="3A0EF9A3" w14:textId="39D26912" w:rsidR="0072215D" w:rsidRPr="00B275E2" w:rsidRDefault="00411F52" w:rsidP="001C0EDF">
      <w:pPr>
        <w:pStyle w:val="Heading1"/>
      </w:pPr>
      <w:r w:rsidRPr="00B275E2">
        <w:rPr>
          <w:rFonts w:eastAsiaTheme="minorEastAsia" w:cstheme="minorBidi"/>
          <w:b w:val="0"/>
          <w:bCs w:val="0"/>
          <w:color w:val="auto"/>
          <w:sz w:val="22"/>
          <w:szCs w:val="22"/>
        </w:rPr>
        <w:fldChar w:fldCharType="end"/>
      </w:r>
      <w:r w:rsidR="00796A6F" w:rsidRPr="00B275E2">
        <w:br w:type="page"/>
      </w:r>
      <w:bookmarkStart w:id="9" w:name="_Toc532904835"/>
      <w:bookmarkStart w:id="10" w:name="_Toc600551"/>
      <w:bookmarkStart w:id="11" w:name="_Ref53143370"/>
      <w:bookmarkStart w:id="12" w:name="_Ref53143377"/>
      <w:bookmarkStart w:id="13" w:name="_Ref54880677"/>
      <w:bookmarkStart w:id="14" w:name="_Ref54880681"/>
      <w:bookmarkStart w:id="15" w:name="_Toc111536760"/>
      <w:r w:rsidR="0072215D" w:rsidRPr="00B275E2">
        <w:lastRenderedPageBreak/>
        <w:t>Overview of changes since the previous</w:t>
      </w:r>
      <w:r w:rsidR="00724C42" w:rsidRPr="00B275E2">
        <w:t> </w:t>
      </w:r>
      <w:r w:rsidR="0072215D" w:rsidRPr="00B275E2">
        <w:t>update</w:t>
      </w:r>
      <w:bookmarkEnd w:id="9"/>
      <w:bookmarkEnd w:id="10"/>
      <w:bookmarkEnd w:id="11"/>
      <w:bookmarkEnd w:id="12"/>
      <w:bookmarkEnd w:id="13"/>
      <w:bookmarkEnd w:id="14"/>
      <w:bookmarkEnd w:id="15"/>
    </w:p>
    <w:p w14:paraId="6B8BB2D6" w14:textId="1FC76CD0" w:rsidR="0072215D" w:rsidRPr="00B275E2" w:rsidRDefault="0072215D" w:rsidP="00F56A0A">
      <w:pPr>
        <w:pStyle w:val="BodyText"/>
        <w:spacing w:after="240"/>
      </w:pPr>
      <w:r>
        <w:t xml:space="preserve">This is the </w:t>
      </w:r>
      <w:r w:rsidR="00951E8A">
        <w:t>twelfth</w:t>
      </w:r>
      <w:r w:rsidR="00543112">
        <w:t xml:space="preserve"> </w:t>
      </w:r>
      <w:r>
        <w:t xml:space="preserve">version of the publication </w:t>
      </w:r>
      <w:r w:rsidR="009D1367">
        <w:t xml:space="preserve">originally </w:t>
      </w:r>
      <w:r>
        <w:t xml:space="preserve">titled </w:t>
      </w:r>
      <w:r w:rsidRPr="6C408B0B">
        <w:rPr>
          <w:i/>
          <w:iCs/>
        </w:rPr>
        <w:t>Guidance for Voluntary Greenhouse Gas Reporting</w:t>
      </w:r>
      <w:r>
        <w:t xml:space="preserve">. </w:t>
      </w:r>
      <w:r w:rsidR="00F4752E">
        <w:t xml:space="preserve">Previous versions can be accessed on the Ministry’s website </w:t>
      </w:r>
      <w:hyperlink r:id="rId23">
        <w:r w:rsidR="00F4752E" w:rsidRPr="6C408B0B">
          <w:rPr>
            <w:rStyle w:val="Hyperlink"/>
          </w:rPr>
          <w:t>here</w:t>
        </w:r>
      </w:hyperlink>
      <w:r w:rsidR="004A5EBC">
        <w:t>.</w:t>
      </w:r>
    </w:p>
    <w:tbl>
      <w:tblPr>
        <w:tblStyle w:val="mfebox"/>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1" w:themeFill="background2"/>
        <w:tblLook w:val="04A0" w:firstRow="1" w:lastRow="0" w:firstColumn="1" w:lastColumn="0" w:noHBand="0" w:noVBand="1"/>
      </w:tblPr>
      <w:tblGrid>
        <w:gridCol w:w="8505"/>
      </w:tblGrid>
      <w:tr w:rsidR="002324F2" w:rsidRPr="00B275E2" w14:paraId="7695A5B3" w14:textId="77777777" w:rsidTr="6C408B0B">
        <w:trPr>
          <w:trHeight w:val="7050"/>
        </w:trPr>
        <w:tc>
          <w:tcPr>
            <w:tcW w:w="8505" w:type="dxa"/>
            <w:shd w:val="clear" w:color="auto" w:fill="D2DDE1" w:themeFill="background2"/>
          </w:tcPr>
          <w:p w14:paraId="56CEFEC3" w14:textId="77777777" w:rsidR="002324F2" w:rsidRPr="00B275E2" w:rsidRDefault="002324F2" w:rsidP="002324F2">
            <w:pPr>
              <w:pStyle w:val="Boxheading"/>
              <w:spacing w:after="120"/>
              <w:rPr>
                <w:highlight w:val="yellow"/>
              </w:rPr>
            </w:pPr>
            <w:r w:rsidRPr="00B275E2">
              <w:t>There have been several updates since the last edition of the guidance in 2020</w:t>
            </w:r>
          </w:p>
          <w:p w14:paraId="36C1BEE1" w14:textId="488DB048" w:rsidR="002324F2" w:rsidRPr="00B275E2" w:rsidRDefault="002324F2" w:rsidP="002324F2">
            <w:pPr>
              <w:pStyle w:val="Boxtext"/>
              <w:spacing w:after="80"/>
            </w:pPr>
            <w:r>
              <w:t xml:space="preserve">The </w:t>
            </w:r>
            <w:r w:rsidR="002042A8">
              <w:t xml:space="preserve">emission factors in the </w:t>
            </w:r>
            <w:r>
              <w:t>fuel chapter ha</w:t>
            </w:r>
            <w:r w:rsidR="002042A8">
              <w:t>ve</w:t>
            </w:r>
            <w:r>
              <w:t xml:space="preserve"> been updated to align with</w:t>
            </w:r>
            <w:r w:rsidR="002042A8">
              <w:t xml:space="preserve"> activity data from</w:t>
            </w:r>
            <w:r>
              <w:t xml:space="preserve"> </w:t>
            </w:r>
            <w:hyperlink r:id="rId24">
              <w:r w:rsidRPr="6C408B0B">
                <w:rPr>
                  <w:rStyle w:val="Hyperlink"/>
                  <w:i/>
                  <w:iCs/>
                </w:rPr>
                <w:t>New Zealand’s Greenhouse Gas Inventory 1990–2020</w:t>
              </w:r>
            </w:hyperlink>
            <w:r>
              <w:t>.</w:t>
            </w:r>
          </w:p>
          <w:p w14:paraId="41C49A20" w14:textId="77777777" w:rsidR="002324F2" w:rsidRPr="00B275E2" w:rsidRDefault="002324F2" w:rsidP="002324F2">
            <w:pPr>
              <w:pStyle w:val="Boxtext"/>
              <w:spacing w:after="80"/>
            </w:pPr>
            <w:r w:rsidRPr="00B275E2">
              <w:t xml:space="preserve">The purchased electricity, heat and steam emissions chapter now includes a time series for electricity and transmission and distribution losses from 2019 and 2020. </w:t>
            </w:r>
          </w:p>
          <w:p w14:paraId="2E59960B" w14:textId="5AA10889" w:rsidR="002324F2" w:rsidRPr="00B275E2" w:rsidRDefault="002324F2" w:rsidP="002324F2">
            <w:pPr>
              <w:pStyle w:val="Boxtext"/>
              <w:spacing w:after="80"/>
            </w:pPr>
            <w:r w:rsidRPr="00B275E2">
              <w:t xml:space="preserve">The </w:t>
            </w:r>
            <w:r w:rsidR="002042A8">
              <w:t xml:space="preserve">methodology in the </w:t>
            </w:r>
            <w:r w:rsidRPr="00B275E2">
              <w:t>indirect business emissions (working from home) chapter has been updated to align with international practices on emissions calculation methodologies.</w:t>
            </w:r>
          </w:p>
          <w:p w14:paraId="3DDDE45C" w14:textId="1B0FC076" w:rsidR="002324F2" w:rsidRPr="00B275E2" w:rsidRDefault="002324F2" w:rsidP="002324F2">
            <w:pPr>
              <w:pStyle w:val="Boxtext"/>
              <w:spacing w:after="80"/>
            </w:pPr>
            <w:r>
              <w:t xml:space="preserve">The travel chapter includes updated emission factors for domestic air travel based on 2019 and 2020 data. Public transport emission factors for buses and rail services have been updated based on 2020 data. International air travel emission factors have been updated to align with the 2021 conversion factors from the </w:t>
            </w:r>
            <w:r w:rsidR="003A6E88">
              <w:t>United Kingdom Government Department for Business, Energy and Industrial</w:t>
            </w:r>
            <w:r w:rsidR="00D42FD6">
              <w:t xml:space="preserve"> Strategy (</w:t>
            </w:r>
            <w:r>
              <w:t>UK BEIS</w:t>
            </w:r>
            <w:r w:rsidR="00D42FD6">
              <w:t>)</w:t>
            </w:r>
            <w:r>
              <w:t>. Accommodation emission factors have been updated to align with the 2021 Cornell Hotel Sustainability Benchmarking Index.</w:t>
            </w:r>
          </w:p>
          <w:p w14:paraId="048E7864" w14:textId="77777777" w:rsidR="002324F2" w:rsidRPr="00B275E2" w:rsidRDefault="002324F2" w:rsidP="002324F2">
            <w:pPr>
              <w:pStyle w:val="Boxtext"/>
              <w:spacing w:after="80"/>
            </w:pPr>
            <w:r w:rsidRPr="00B275E2">
              <w:t>The freight transport emissions chapter includes an update to heavy trucks and rail based on 2020 data, and an update to international shipping factors based on the 2021 conversion factors from the UK BEIS.</w:t>
            </w:r>
          </w:p>
          <w:p w14:paraId="68AD3512" w14:textId="7EB08694" w:rsidR="002324F2" w:rsidRPr="00B275E2" w:rsidRDefault="002324F2" w:rsidP="002324F2">
            <w:pPr>
              <w:pStyle w:val="Boxtext"/>
              <w:spacing w:after="80"/>
            </w:pPr>
            <w:r w:rsidRPr="00B275E2">
              <w:t>The materials and waste chapter now recommends users refer directly to the BRANZ CO</w:t>
            </w:r>
            <w:r w:rsidRPr="00B275E2">
              <w:rPr>
                <w:vertAlign w:val="subscript"/>
              </w:rPr>
              <w:t>2</w:t>
            </w:r>
            <w:r w:rsidRPr="00B275E2">
              <w:t xml:space="preserve">NSTRUCT Report and the EPD Australasia database for up-to-date emission factors for construction materials. The wastewater and waste </w:t>
            </w:r>
            <w:r w:rsidR="002C462F">
              <w:t>emission factors</w:t>
            </w:r>
            <w:r w:rsidRPr="00B275E2">
              <w:t xml:space="preserve"> have been updated to align with </w:t>
            </w:r>
            <w:r w:rsidRPr="00B275E2">
              <w:rPr>
                <w:i/>
                <w:iCs/>
              </w:rPr>
              <w:t>New Zealand’s Greenhouse Gas Inventory 1990–2020</w:t>
            </w:r>
            <w:r w:rsidRPr="00B275E2">
              <w:t>.</w:t>
            </w:r>
          </w:p>
          <w:p w14:paraId="50E83066" w14:textId="76C0F8BB" w:rsidR="002324F2" w:rsidRPr="00B275E2" w:rsidRDefault="002C462F" w:rsidP="002324F2">
            <w:pPr>
              <w:pStyle w:val="Boxtext"/>
              <w:rPr>
                <w:highlight w:val="yellow"/>
              </w:rPr>
            </w:pPr>
            <w:r>
              <w:t>In t</w:t>
            </w:r>
            <w:r w:rsidR="002324F2" w:rsidRPr="00B275E2">
              <w:t>he agriculture, forestry and other land use chapter</w:t>
            </w:r>
            <w:r>
              <w:t xml:space="preserve"> the methodology and emission factors</w:t>
            </w:r>
            <w:r w:rsidR="002324F2" w:rsidRPr="00B275E2">
              <w:t xml:space="preserve"> ha</w:t>
            </w:r>
            <w:r w:rsidR="001833EA">
              <w:t>ve</w:t>
            </w:r>
            <w:r w:rsidR="002324F2" w:rsidRPr="00B275E2">
              <w:t xml:space="preserve"> been updated to align with </w:t>
            </w:r>
            <w:r w:rsidR="002324F2" w:rsidRPr="00B275E2">
              <w:rPr>
                <w:i/>
                <w:iCs/>
              </w:rPr>
              <w:t>New Zealand’s Greenhouse Gas Inventory 1990–2020.</w:t>
            </w:r>
          </w:p>
        </w:tc>
      </w:tr>
      <w:tr w:rsidR="00887FD1" w:rsidRPr="00B275E2" w14:paraId="5C2C2A34" w14:textId="77777777" w:rsidTr="6C408B0B">
        <w:tc>
          <w:tcPr>
            <w:tcW w:w="8505" w:type="dxa"/>
            <w:shd w:val="clear" w:color="auto" w:fill="D2DDE1" w:themeFill="background2"/>
          </w:tcPr>
          <w:p w14:paraId="349F3E77" w14:textId="0DF645D4" w:rsidR="00887FD1" w:rsidRPr="00B275E2" w:rsidRDefault="0557C29B" w:rsidP="002324F2">
            <w:pPr>
              <w:pStyle w:val="Boxtext"/>
              <w:spacing w:after="180"/>
            </w:pPr>
            <w:r w:rsidRPr="00B275E2">
              <w:rPr>
                <w:b/>
                <w:bCs/>
              </w:rPr>
              <w:t>Impacts of the COVID-19 pandemic:</w:t>
            </w:r>
            <w:r w:rsidRPr="00B275E2">
              <w:t xml:space="preserve"> Many organisations’ emissions for</w:t>
            </w:r>
            <w:r w:rsidR="3E9C9FEB" w:rsidRPr="00B275E2">
              <w:t xml:space="preserve"> </w:t>
            </w:r>
            <w:r w:rsidRPr="00B275E2">
              <w:t xml:space="preserve">2020 have been significantly impacted by COVID-19, for example travel may have been reduced or levels of production reduced. ISO 14064-1:2018 allows a base year to be quantified using an average of several years. This may be an appropriate and representative approach for organisations that have </w:t>
            </w:r>
            <w:r w:rsidR="3E9C9FEB" w:rsidRPr="00B275E2">
              <w:t xml:space="preserve">begun </w:t>
            </w:r>
            <w:r w:rsidRPr="00B275E2">
              <w:t>measuring their emissions in 2020.</w:t>
            </w:r>
          </w:p>
        </w:tc>
      </w:tr>
    </w:tbl>
    <w:p w14:paraId="6628BBE6" w14:textId="5DB7B9AE" w:rsidR="00D97D22" w:rsidRPr="00B275E2" w:rsidRDefault="00D97D22" w:rsidP="002324F2">
      <w:pPr>
        <w:pStyle w:val="BodyText"/>
      </w:pPr>
      <w:bookmarkStart w:id="16" w:name="_Toc532904839"/>
      <w:bookmarkStart w:id="17" w:name="_Toc600555"/>
    </w:p>
    <w:p w14:paraId="6C5B2126" w14:textId="77777777" w:rsidR="00D97D22" w:rsidRPr="00B275E2" w:rsidRDefault="00D97D22" w:rsidP="002324F2">
      <w:pPr>
        <w:pStyle w:val="BodyText"/>
      </w:pPr>
      <w:r w:rsidRPr="00B275E2">
        <w:br w:type="page"/>
      </w:r>
    </w:p>
    <w:p w14:paraId="74A1C1CF" w14:textId="205D92CC" w:rsidR="005A054A" w:rsidRPr="00B275E2" w:rsidRDefault="005A054A" w:rsidP="00C24B73">
      <w:pPr>
        <w:pStyle w:val="Heading1"/>
        <w:numPr>
          <w:ilvl w:val="0"/>
          <w:numId w:val="15"/>
        </w:numPr>
      </w:pPr>
      <w:bookmarkStart w:id="18" w:name="_Toc532904840"/>
      <w:bookmarkStart w:id="19" w:name="_Toc600556"/>
      <w:bookmarkStart w:id="20" w:name="_Toc111536761"/>
      <w:bookmarkEnd w:id="16"/>
      <w:bookmarkEnd w:id="17"/>
      <w:r w:rsidRPr="00B275E2">
        <w:lastRenderedPageBreak/>
        <w:t>Introduction</w:t>
      </w:r>
      <w:bookmarkEnd w:id="20"/>
    </w:p>
    <w:p w14:paraId="74E6CA91" w14:textId="725DBE7C" w:rsidR="00B17ABF" w:rsidRPr="00B275E2" w:rsidRDefault="00B17ABF" w:rsidP="00B66410">
      <w:pPr>
        <w:pStyle w:val="Heading2"/>
        <w:spacing w:before="240"/>
      </w:pPr>
      <w:bookmarkStart w:id="21" w:name="_Toc111536762"/>
      <w:r w:rsidRPr="00B275E2">
        <w:t>Purpose of this guid</w:t>
      </w:r>
      <w:r w:rsidR="00B43474" w:rsidRPr="00B275E2">
        <w:t>e</w:t>
      </w:r>
      <w:bookmarkEnd w:id="18"/>
      <w:bookmarkEnd w:id="19"/>
      <w:bookmarkEnd w:id="21"/>
    </w:p>
    <w:p w14:paraId="550BDB8F" w14:textId="3DF2007E" w:rsidR="00391C2A" w:rsidRPr="00B275E2" w:rsidRDefault="00B17ABF" w:rsidP="002A7A97">
      <w:pPr>
        <w:pStyle w:val="BodyText"/>
      </w:pPr>
      <w:r w:rsidRPr="00B275E2">
        <w:t>The Ministry for the Environment support</w:t>
      </w:r>
      <w:r w:rsidR="004107B6" w:rsidRPr="00B275E2">
        <w:t>s</w:t>
      </w:r>
      <w:r w:rsidRPr="00B275E2">
        <w:t xml:space="preserve"> organisations </w:t>
      </w:r>
      <w:r w:rsidR="005A635A">
        <w:t>taking climate action</w:t>
      </w:r>
      <w:r w:rsidRPr="00B275E2">
        <w:t>. We recognise there is strong interest from organisations across New Zealand to measure, report and</w:t>
      </w:r>
      <w:r w:rsidR="00ED3F1A" w:rsidRPr="00B275E2">
        <w:t xml:space="preserve"> </w:t>
      </w:r>
      <w:r w:rsidRPr="00B275E2">
        <w:t xml:space="preserve">reduce their emissions. </w:t>
      </w:r>
      <w:r w:rsidR="00E135B6" w:rsidRPr="00B275E2">
        <w:t>We prepared t</w:t>
      </w:r>
      <w:r w:rsidRPr="00B275E2">
        <w:t xml:space="preserve">his guide to </w:t>
      </w:r>
      <w:r w:rsidR="003102AF" w:rsidRPr="00B275E2">
        <w:t xml:space="preserve">help you measure and report your </w:t>
      </w:r>
      <w:r w:rsidR="00640C77" w:rsidRPr="00B275E2">
        <w:t xml:space="preserve">organisation’s </w:t>
      </w:r>
      <w:r w:rsidRPr="00B275E2">
        <w:t>greenhouse gas</w:t>
      </w:r>
      <w:r w:rsidR="005870E3" w:rsidRPr="00B275E2">
        <w:t xml:space="preserve"> (GHG)</w:t>
      </w:r>
      <w:r w:rsidRPr="00B275E2">
        <w:t xml:space="preserve"> emissions</w:t>
      </w:r>
      <w:r w:rsidR="005870E3" w:rsidRPr="00B275E2">
        <w:t xml:space="preserve">. Measuring and reporting </w:t>
      </w:r>
      <w:r w:rsidR="004107B6" w:rsidRPr="00B275E2">
        <w:t>empowers</w:t>
      </w:r>
      <w:r w:rsidR="005870E3" w:rsidRPr="00B275E2">
        <w:t xml:space="preserve"> organisat</w:t>
      </w:r>
      <w:r w:rsidR="005870E3" w:rsidRPr="00B275E2">
        <w:rPr>
          <w:rStyle w:val="BodyTextChar"/>
        </w:rPr>
        <w:t>i</w:t>
      </w:r>
      <w:r w:rsidR="005870E3" w:rsidRPr="00B275E2">
        <w:t>ons</w:t>
      </w:r>
      <w:r w:rsidRPr="00B275E2">
        <w:t xml:space="preserve"> </w:t>
      </w:r>
      <w:r w:rsidR="005870E3" w:rsidRPr="00B275E2">
        <w:t>to</w:t>
      </w:r>
      <w:r w:rsidRPr="00B275E2">
        <w:t xml:space="preserve"> manage and reduce emissions</w:t>
      </w:r>
      <w:r w:rsidR="003102AF" w:rsidRPr="00B275E2">
        <w:t xml:space="preserve"> more effectively</w:t>
      </w:r>
      <w:r w:rsidR="004107B6" w:rsidRPr="00B275E2">
        <w:t xml:space="preserve"> over time</w:t>
      </w:r>
      <w:r w:rsidRPr="00B275E2">
        <w:t>.</w:t>
      </w:r>
    </w:p>
    <w:p w14:paraId="4FA60E07" w14:textId="64132327" w:rsidR="00BF3EAD" w:rsidRPr="00B275E2" w:rsidRDefault="00B17ABF" w:rsidP="002839E5">
      <w:pPr>
        <w:pStyle w:val="BodyText"/>
      </w:pPr>
      <w:r w:rsidRPr="00B275E2">
        <w:t>The guide aligns with and endorses the use of the</w:t>
      </w:r>
      <w:r w:rsidRPr="00B275E2">
        <w:rPr>
          <w:i/>
          <w:iCs/>
        </w:rPr>
        <w:t xml:space="preserve"> </w:t>
      </w:r>
      <w:hyperlink r:id="rId25">
        <w:r w:rsidRPr="00B275E2">
          <w:rPr>
            <w:i/>
            <w:iCs/>
            <w:color w:val="32809C"/>
          </w:rPr>
          <w:t>GHG Prot</w:t>
        </w:r>
      </w:hyperlink>
      <w:bookmarkStart w:id="22" w:name="_Hlt54943824"/>
      <w:bookmarkStart w:id="23" w:name="_Hlt54943825"/>
      <w:r w:rsidRPr="00B275E2">
        <w:rPr>
          <w:i/>
          <w:iCs/>
          <w:color w:val="32809C"/>
        </w:rPr>
        <w:t>o</w:t>
      </w:r>
      <w:bookmarkEnd w:id="22"/>
      <w:bookmarkEnd w:id="23"/>
      <w:r w:rsidRPr="00B275E2">
        <w:rPr>
          <w:i/>
          <w:iCs/>
          <w:color w:val="32809C"/>
        </w:rPr>
        <w:t>col</w:t>
      </w:r>
      <w:r w:rsidR="003102AF" w:rsidRPr="00B275E2">
        <w:rPr>
          <w:i/>
          <w:iCs/>
          <w:color w:val="32809C"/>
        </w:rPr>
        <w:t xml:space="preserve"> Corporate Accounting and Reporting Standard</w:t>
      </w:r>
      <w:r w:rsidR="003102AF" w:rsidRPr="00B275E2">
        <w:t xml:space="preserve"> (refe</w:t>
      </w:r>
      <w:r w:rsidR="00615796" w:rsidRPr="00B275E2">
        <w:t>r</w:t>
      </w:r>
      <w:r w:rsidR="003102AF" w:rsidRPr="00B275E2">
        <w:t>red to as the</w:t>
      </w:r>
      <w:r w:rsidR="00ED3F1A" w:rsidRPr="00B275E2">
        <w:t xml:space="preserve"> </w:t>
      </w:r>
      <w:r w:rsidR="003102AF" w:rsidRPr="00B275E2">
        <w:rPr>
          <w:i/>
          <w:iCs/>
        </w:rPr>
        <w:t>GHG Protocol</w:t>
      </w:r>
      <w:r w:rsidR="003102AF" w:rsidRPr="00B275E2">
        <w:t xml:space="preserve"> throughout the rest of the document)</w:t>
      </w:r>
      <w:r w:rsidRPr="00B275E2">
        <w:t xml:space="preserve"> and</w:t>
      </w:r>
      <w:r w:rsidR="002A7A97" w:rsidRPr="00B275E2">
        <w:t> </w:t>
      </w:r>
      <w:hyperlink r:id="rId26">
        <w:r w:rsidRPr="00B275E2">
          <w:rPr>
            <w:color w:val="32809C"/>
          </w:rPr>
          <w:t>ISO 14064-1</w:t>
        </w:r>
      </w:hyperlink>
      <w:r w:rsidR="003102AF" w:rsidRPr="00B275E2">
        <w:rPr>
          <w:color w:val="32809C"/>
        </w:rPr>
        <w:t>:</w:t>
      </w:r>
      <w:r w:rsidR="00B536F7" w:rsidRPr="00B275E2">
        <w:rPr>
          <w:color w:val="32809C"/>
        </w:rPr>
        <w:t xml:space="preserve"> 2018</w:t>
      </w:r>
      <w:r w:rsidRPr="00B275E2">
        <w:rPr>
          <w:i/>
          <w:iCs/>
        </w:rPr>
        <w:t xml:space="preserve"> </w:t>
      </w:r>
      <w:r w:rsidRPr="00B275E2">
        <w:t xml:space="preserve">(see </w:t>
      </w:r>
      <w:hyperlink w:anchor="_Standards_to_follow">
        <w:r w:rsidR="00A21DE4" w:rsidRPr="00B275E2">
          <w:rPr>
            <w:rStyle w:val="Hyperlink"/>
          </w:rPr>
          <w:t>section</w:t>
        </w:r>
        <w:r w:rsidR="008A5328" w:rsidRPr="00B275E2">
          <w:rPr>
            <w:rStyle w:val="Hyperlink"/>
          </w:rPr>
          <w:t xml:space="preserve"> 1.5</w:t>
        </w:r>
      </w:hyperlink>
      <w:r w:rsidRPr="00B275E2">
        <w:t>)</w:t>
      </w:r>
      <w:r w:rsidR="00DB5968" w:rsidRPr="00B275E2">
        <w:t>.</w:t>
      </w:r>
      <w:r w:rsidR="00ED3F1A" w:rsidRPr="00B275E2">
        <w:t xml:space="preserve"> </w:t>
      </w:r>
      <w:r w:rsidR="005870E3" w:rsidRPr="00B275E2">
        <w:t>It</w:t>
      </w:r>
      <w:r w:rsidRPr="00B275E2">
        <w:t xml:space="preserve"> provides </w:t>
      </w:r>
      <w:r w:rsidR="00757097" w:rsidRPr="00B275E2">
        <w:t>information about preparing a GHG inventory (</w:t>
      </w:r>
      <w:hyperlink w:anchor="_How_to_quantify">
        <w:r w:rsidR="00757097" w:rsidRPr="00B275E2">
          <w:rPr>
            <w:rStyle w:val="Hyperlink"/>
          </w:rPr>
          <w:t>section</w:t>
        </w:r>
        <w:r w:rsidR="008A5328" w:rsidRPr="00B275E2">
          <w:rPr>
            <w:rStyle w:val="Hyperlink"/>
          </w:rPr>
          <w:t xml:space="preserve"> 2</w:t>
        </w:r>
      </w:hyperlink>
      <w:r w:rsidR="00757097" w:rsidRPr="00B275E2">
        <w:t>)</w:t>
      </w:r>
      <w:r w:rsidR="003102AF" w:rsidRPr="00B275E2">
        <w:t>,</w:t>
      </w:r>
      <w:r w:rsidRPr="00B275E2">
        <w:t xml:space="preserve"> emission factors (see section</w:t>
      </w:r>
      <w:r w:rsidR="004F4F86" w:rsidRPr="00B275E2">
        <w:t>s</w:t>
      </w:r>
      <w:r w:rsidRPr="00B275E2">
        <w:t xml:space="preserve"> </w:t>
      </w:r>
      <w:r w:rsidR="00757097" w:rsidRPr="00B275E2">
        <w:t>3</w:t>
      </w:r>
      <w:r w:rsidR="00FC6A7D" w:rsidRPr="00B275E2">
        <w:t>–</w:t>
      </w:r>
      <w:r w:rsidR="00757097" w:rsidRPr="00B275E2">
        <w:t>10</w:t>
      </w:r>
      <w:r w:rsidRPr="00B275E2">
        <w:t>, and</w:t>
      </w:r>
      <w:r w:rsidR="00615796" w:rsidRPr="00B275E2">
        <w:t xml:space="preserve"> the</w:t>
      </w:r>
      <w:r w:rsidRPr="00B275E2">
        <w:t xml:space="preserve"> </w:t>
      </w:r>
      <w:r w:rsidR="00173E48" w:rsidRPr="00D637BC">
        <w:t>Emission factors workbook</w:t>
      </w:r>
      <w:r w:rsidRPr="00B275E2">
        <w:t>) and methods to apply them</w:t>
      </w:r>
      <w:r w:rsidR="004107B6" w:rsidRPr="00B275E2">
        <w:t xml:space="preserve"> to activity data</w:t>
      </w:r>
      <w:r w:rsidRPr="00B275E2">
        <w:t>.</w:t>
      </w:r>
      <w:r w:rsidR="007E2733" w:rsidRPr="00B275E2">
        <w:t xml:space="preserve"> </w:t>
      </w:r>
      <w:r w:rsidRPr="00B275E2">
        <w:t>We update th</w:t>
      </w:r>
      <w:r w:rsidR="005870E3" w:rsidRPr="00B275E2">
        <w:t>e</w:t>
      </w:r>
      <w:r w:rsidRPr="00B275E2">
        <w:t xml:space="preserve"> guide </w:t>
      </w:r>
      <w:r w:rsidR="00615796" w:rsidRPr="00B275E2">
        <w:t>in line</w:t>
      </w:r>
      <w:r w:rsidRPr="00B275E2">
        <w:t xml:space="preserve"> with international best practice and the </w:t>
      </w:r>
      <w:r w:rsidRPr="00173E48">
        <w:t>New Zealand Government’s</w:t>
      </w:r>
      <w:r w:rsidR="00BF3EAD" w:rsidRPr="00173E48">
        <w:t xml:space="preserve"> </w:t>
      </w:r>
      <w:r w:rsidR="002F2932" w:rsidRPr="00173E48">
        <w:t>Greenhouse Gas Inventory</w:t>
      </w:r>
      <w:r w:rsidR="002F2932" w:rsidRPr="00B275E2">
        <w:t xml:space="preserve"> </w:t>
      </w:r>
      <w:r w:rsidR="00F225C7" w:rsidRPr="00B275E2">
        <w:t>to provide new</w:t>
      </w:r>
      <w:r w:rsidR="002A7A97" w:rsidRPr="00B275E2">
        <w:t> </w:t>
      </w:r>
      <w:r w:rsidR="00F225C7" w:rsidRPr="00B275E2">
        <w:t>emission factors.</w:t>
      </w:r>
      <w:r w:rsidRPr="00B275E2">
        <w:t xml:space="preserve"> </w:t>
      </w:r>
      <w:r w:rsidR="006653DE" w:rsidRPr="00B275E2">
        <w:t xml:space="preserve">The majority of the source data which was used in the development of these emission factors is from 2020. This is done to align with </w:t>
      </w:r>
      <w:r w:rsidR="00065A66" w:rsidRPr="00B275E2">
        <w:rPr>
          <w:i/>
          <w:iCs/>
        </w:rPr>
        <w:t>New Zealand’s Greenhouse Gas Inventory 1990-2020</w:t>
      </w:r>
      <w:r w:rsidR="00C75E1D" w:rsidRPr="00B275E2">
        <w:t xml:space="preserve">. </w:t>
      </w:r>
      <w:r w:rsidR="00032F1E" w:rsidRPr="00B275E2">
        <w:t>Th</w:t>
      </w:r>
      <w:r w:rsidR="00065A66" w:rsidRPr="00B275E2">
        <w:t>is</w:t>
      </w:r>
      <w:r w:rsidR="00032F1E" w:rsidRPr="00B275E2">
        <w:t xml:space="preserve"> contains data for the calendar years from 1990 to 2020 (inclusive). </w:t>
      </w:r>
      <w:r w:rsidR="006C42A9" w:rsidRPr="00B275E2">
        <w:t>New Zealand’s Greenhouse Gas Inventory</w:t>
      </w:r>
      <w:r w:rsidR="00032F1E" w:rsidRPr="00B275E2">
        <w:t xml:space="preserve"> is published 15 months after the end of the period being reported on to allow time to collect and process the data and prepare its publication.</w:t>
      </w:r>
      <w:r w:rsidR="00BF3EAD" w:rsidRPr="00B275E2">
        <w:t xml:space="preserve"> </w:t>
      </w:r>
    </w:p>
    <w:p w14:paraId="4AE7F1E2" w14:textId="2BB9A5B8" w:rsidR="00F10774" w:rsidRPr="00B275E2" w:rsidRDefault="00B17ABF" w:rsidP="563A5FE6">
      <w:pPr>
        <w:pStyle w:val="BodyText"/>
        <w:rPr>
          <w:rFonts w:asciiTheme="minorHAnsi" w:hAnsiTheme="minorHAnsi"/>
        </w:rPr>
      </w:pPr>
      <w:r w:rsidRPr="00B275E2">
        <w:t xml:space="preserve">This </w:t>
      </w:r>
      <w:r w:rsidR="006A2B36">
        <w:t>d</w:t>
      </w:r>
      <w:r w:rsidRPr="00B275E2">
        <w:t xml:space="preserve">etailed </w:t>
      </w:r>
      <w:r w:rsidR="006A2B36">
        <w:t>g</w:t>
      </w:r>
      <w:r w:rsidRPr="00B275E2">
        <w:t xml:space="preserve">uide is part of a suite of documents that comprise </w:t>
      </w:r>
      <w:r w:rsidR="00CC3634" w:rsidRPr="00B275E2">
        <w:rPr>
          <w:i/>
          <w:iCs/>
        </w:rPr>
        <w:t xml:space="preserve">Measuring </w:t>
      </w:r>
      <w:r w:rsidR="003B5906" w:rsidRPr="00B275E2">
        <w:rPr>
          <w:i/>
          <w:iCs/>
        </w:rPr>
        <w:t>e</w:t>
      </w:r>
      <w:r w:rsidR="00CC3634" w:rsidRPr="00B275E2">
        <w:rPr>
          <w:i/>
          <w:iCs/>
        </w:rPr>
        <w:t xml:space="preserve">missions: A </w:t>
      </w:r>
      <w:r w:rsidR="003B5906" w:rsidRPr="00B275E2">
        <w:rPr>
          <w:i/>
          <w:iCs/>
        </w:rPr>
        <w:t>g</w:t>
      </w:r>
      <w:r w:rsidR="00CC3634" w:rsidRPr="00B275E2">
        <w:rPr>
          <w:i/>
          <w:iCs/>
        </w:rPr>
        <w:t xml:space="preserve">uide for </w:t>
      </w:r>
      <w:r w:rsidR="003B5906" w:rsidRPr="00B275E2">
        <w:rPr>
          <w:i/>
          <w:iCs/>
        </w:rPr>
        <w:t>o</w:t>
      </w:r>
      <w:r w:rsidR="00CC3634" w:rsidRPr="00B275E2">
        <w:rPr>
          <w:i/>
          <w:iCs/>
        </w:rPr>
        <w:t>rganisations</w:t>
      </w:r>
      <w:r w:rsidR="00CC3634" w:rsidRPr="00B275E2">
        <w:t>,</w:t>
      </w:r>
      <w:r w:rsidR="00CC3634" w:rsidRPr="00B275E2">
        <w:rPr>
          <w:b/>
          <w:bCs/>
        </w:rPr>
        <w:t xml:space="preserve"> </w:t>
      </w:r>
      <w:r w:rsidR="00615796" w:rsidRPr="00B275E2">
        <w:t>listed</w:t>
      </w:r>
      <w:r w:rsidR="005052ED" w:rsidRPr="00B275E2">
        <w:t xml:space="preserve"> in </w:t>
      </w:r>
      <w:r w:rsidR="0082360E" w:rsidRPr="00B275E2">
        <w:t>figure 1</w:t>
      </w:r>
      <w:r w:rsidRPr="00B275E2">
        <w:t xml:space="preserve">. The </w:t>
      </w:r>
      <w:r w:rsidR="006A2B36">
        <w:t>d</w:t>
      </w:r>
      <w:r w:rsidRPr="00B275E2">
        <w:t xml:space="preserve">etailed </w:t>
      </w:r>
      <w:r w:rsidR="003B5906" w:rsidRPr="00B275E2">
        <w:t>g</w:t>
      </w:r>
      <w:r w:rsidRPr="00B275E2">
        <w:t xml:space="preserve">uide explains how </w:t>
      </w:r>
      <w:r w:rsidR="00E135B6" w:rsidRPr="00B275E2">
        <w:t xml:space="preserve">we derived </w:t>
      </w:r>
      <w:r w:rsidRPr="00B275E2">
        <w:t>these emission factors and sets out the assumptions surrounding their use.</w:t>
      </w:r>
    </w:p>
    <w:p w14:paraId="04812E04" w14:textId="2672E1FA" w:rsidR="00B756AD" w:rsidRPr="00B275E2" w:rsidRDefault="00B756AD" w:rsidP="002324F2">
      <w:pPr>
        <w:pStyle w:val="Figureheading"/>
        <w:spacing w:after="0"/>
      </w:pPr>
      <w:bookmarkStart w:id="24" w:name="_Ref55217060"/>
      <w:bookmarkStart w:id="25" w:name="_Toc111536714"/>
      <w:r w:rsidRPr="00B275E2">
        <w:t xml:space="preserve">Figure </w:t>
      </w:r>
      <w:r w:rsidRPr="00B275E2">
        <w:fldChar w:fldCharType="begin"/>
      </w:r>
      <w:r w:rsidRPr="00B275E2">
        <w:instrText>SEQ Figure \* ARABIC</w:instrText>
      </w:r>
      <w:r w:rsidRPr="00B275E2">
        <w:fldChar w:fldCharType="separate"/>
      </w:r>
      <w:r w:rsidR="003E141C" w:rsidRPr="00B275E2">
        <w:t>1</w:t>
      </w:r>
      <w:r w:rsidRPr="00B275E2">
        <w:fldChar w:fldCharType="end"/>
      </w:r>
      <w:bookmarkEnd w:id="24"/>
      <w:r w:rsidRPr="00B275E2">
        <w:t>:</w:t>
      </w:r>
      <w:r w:rsidRPr="00B275E2">
        <w:tab/>
        <w:t xml:space="preserve">Documents in </w:t>
      </w:r>
      <w:r w:rsidR="003B5906" w:rsidRPr="00B275E2">
        <w:t>m</w:t>
      </w:r>
      <w:r w:rsidRPr="00B275E2">
        <w:t xml:space="preserve">easuring </w:t>
      </w:r>
      <w:r w:rsidR="003B5906" w:rsidRPr="00B275E2">
        <w:t>e</w:t>
      </w:r>
      <w:r w:rsidRPr="00B275E2">
        <w:t xml:space="preserve">missions: A </w:t>
      </w:r>
      <w:r w:rsidR="003B5906" w:rsidRPr="00B275E2">
        <w:t>g</w:t>
      </w:r>
      <w:r w:rsidRPr="00B275E2">
        <w:t xml:space="preserve">uide for </w:t>
      </w:r>
      <w:r w:rsidR="003B5906" w:rsidRPr="00B275E2">
        <w:t>o</w:t>
      </w:r>
      <w:r w:rsidRPr="00B275E2">
        <w:t>rganisations</w:t>
      </w:r>
      <w:bookmarkEnd w:id="25"/>
    </w:p>
    <w:p w14:paraId="30E94451" w14:textId="0453B1EC" w:rsidR="00084998" w:rsidRPr="00B275E2" w:rsidRDefault="00606F88" w:rsidP="563A5FE6">
      <w:pPr>
        <w:pStyle w:val="BodyText"/>
      </w:pPr>
      <w:r>
        <w:rPr>
          <w:noProof/>
        </w:rPr>
        <w:drawing>
          <wp:inline distT="0" distB="0" distL="0" distR="0" wp14:anchorId="19DD6781" wp14:editId="654483CF">
            <wp:extent cx="5400675" cy="3632835"/>
            <wp:effectExtent l="0" t="0" r="9525" b="5715"/>
            <wp:docPr id="2"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27"/>
                    <a:stretch>
                      <a:fillRect/>
                    </a:stretch>
                  </pic:blipFill>
                  <pic:spPr>
                    <a:xfrm>
                      <a:off x="0" y="0"/>
                      <a:ext cx="5400675" cy="3632835"/>
                    </a:xfrm>
                    <a:prstGeom prst="rect">
                      <a:avLst/>
                    </a:prstGeom>
                  </pic:spPr>
                </pic:pic>
              </a:graphicData>
            </a:graphic>
          </wp:inline>
        </w:drawing>
      </w:r>
    </w:p>
    <w:p w14:paraId="2DF0BAA0" w14:textId="7E4A1CA5" w:rsidR="00CC3634" w:rsidRPr="00B275E2" w:rsidRDefault="00CC3634" w:rsidP="006B7605">
      <w:pPr>
        <w:pStyle w:val="Heading3"/>
      </w:pPr>
      <w:r w:rsidRPr="00B275E2">
        <w:lastRenderedPageBreak/>
        <w:t>Feedback</w:t>
      </w:r>
    </w:p>
    <w:p w14:paraId="74266964" w14:textId="19D8916B" w:rsidR="00B17ABF" w:rsidRPr="00B275E2" w:rsidRDefault="00B17ABF" w:rsidP="00A01167">
      <w:pPr>
        <w:pStyle w:val="BodyText"/>
        <w:rPr>
          <w:rFonts w:eastAsia="Times New Roman"/>
        </w:rPr>
      </w:pPr>
      <w:r w:rsidRPr="00B275E2">
        <w:rPr>
          <w:rFonts w:eastAsia="Times New Roman"/>
        </w:rPr>
        <w:t>We welcome your feedback on this update</w:t>
      </w:r>
      <w:r w:rsidR="00CC3634" w:rsidRPr="00B275E2">
        <w:rPr>
          <w:rFonts w:eastAsia="Times New Roman"/>
        </w:rPr>
        <w:t>. P</w:t>
      </w:r>
      <w:r w:rsidRPr="00B275E2">
        <w:rPr>
          <w:rFonts w:eastAsia="Times New Roman"/>
        </w:rPr>
        <w:t xml:space="preserve">lease email </w:t>
      </w:r>
      <w:hyperlink r:id="rId28" w:history="1">
        <w:r w:rsidR="00F225C7" w:rsidRPr="00B275E2">
          <w:rPr>
            <w:rStyle w:val="Hyperlink"/>
            <w:rFonts w:eastAsia="Times New Roman"/>
          </w:rPr>
          <w:t>emissions-guide@mfe.govt.nz</w:t>
        </w:r>
      </w:hyperlink>
      <w:r w:rsidRPr="00B275E2">
        <w:rPr>
          <w:rFonts w:eastAsia="Times New Roman"/>
        </w:rPr>
        <w:t>.</w:t>
      </w:r>
    </w:p>
    <w:p w14:paraId="5D9095DD" w14:textId="0162B8CA" w:rsidR="00B17ABF" w:rsidRPr="00B275E2" w:rsidRDefault="00B17ABF" w:rsidP="003B02D6">
      <w:pPr>
        <w:pStyle w:val="Heading2"/>
      </w:pPr>
      <w:bookmarkStart w:id="26" w:name="_Toc532904841"/>
      <w:bookmarkStart w:id="27" w:name="_Toc600557"/>
      <w:bookmarkStart w:id="28" w:name="_Toc111536763"/>
      <w:r w:rsidRPr="00B275E2">
        <w:t>Important notes</w:t>
      </w:r>
      <w:bookmarkEnd w:id="26"/>
      <w:bookmarkEnd w:id="27"/>
      <w:bookmarkEnd w:id="28"/>
    </w:p>
    <w:p w14:paraId="0ED22DF5" w14:textId="4C3B9480" w:rsidR="00B17ABF" w:rsidRPr="00B275E2" w:rsidRDefault="005E756A" w:rsidP="002839E5">
      <w:pPr>
        <w:pStyle w:val="BodyText"/>
      </w:pPr>
      <w:r w:rsidRPr="00B275E2">
        <w:t xml:space="preserve">The information in this guide is intended to help organisations that want to report their </w:t>
      </w:r>
      <w:r w:rsidR="00B905F9" w:rsidRPr="00B275E2">
        <w:t>GHG</w:t>
      </w:r>
      <w:r w:rsidRPr="00B275E2">
        <w:t xml:space="preserve"> emissions on a voluntary basis. </w:t>
      </w:r>
      <w:r w:rsidR="00B17ABF" w:rsidRPr="00B275E2">
        <w:t>This guide does not represent, or form part of, any mandatory reporting framework or scheme</w:t>
      </w:r>
      <w:r w:rsidR="005A0893" w:rsidRPr="00B275E2">
        <w:t>.</w:t>
      </w:r>
    </w:p>
    <w:p w14:paraId="15256755" w14:textId="7EBAAB43" w:rsidR="001C5567" w:rsidRPr="00B275E2" w:rsidRDefault="001C5567" w:rsidP="001C5567">
      <w:pPr>
        <w:pStyle w:val="BodyText"/>
      </w:pPr>
      <w:r w:rsidRPr="00B275E2">
        <w:t>This guide recognises and supports the Government’s ambition of a NetZero by 2050 target, and the many organisations that have already set, or are looking to set, ambitious emission reduction targets aligned with a science-based approach. The External Reporting Board guidance which is currently being developed will include the need for disclosure of GHG metrics and targets.</w:t>
      </w:r>
    </w:p>
    <w:p w14:paraId="21760AA6" w14:textId="77777777" w:rsidR="00C17B04" w:rsidRPr="00B275E2" w:rsidRDefault="00C17B04" w:rsidP="00E759C9">
      <w:pPr>
        <w:pStyle w:val="BodyText"/>
      </w:pPr>
      <w:r w:rsidRPr="00B275E2">
        <w:t xml:space="preserve">This </w:t>
      </w:r>
      <w:r w:rsidRPr="00B275E2">
        <w:rPr>
          <w:rFonts w:eastAsia="Times New Roman"/>
          <w:spacing w:val="-2"/>
        </w:rPr>
        <w:t xml:space="preserve">information is not appropriate for use in an emissions trading scheme. Organisations required to participate in the New Zealand Emissions Trading Scheme (NZ ETS) need to comply with the scheme-specific reporting requirements. The NZ ETS regulations determine which emission factors and methods must be used to calculate and report emissions. </w:t>
      </w:r>
    </w:p>
    <w:p w14:paraId="788ABD71" w14:textId="4AC9C204" w:rsidR="00490AB5" w:rsidRPr="00B275E2" w:rsidRDefault="0041212A" w:rsidP="00F40CFE">
      <w:pPr>
        <w:pStyle w:val="BodyText"/>
        <w:spacing w:after="240"/>
      </w:pPr>
      <w:r w:rsidRPr="00B275E2">
        <w:t xml:space="preserve">The emission factors and methods in this guide are for sources common to many New Zealand organisations and supports the recommended disclosure of GHG emissions consistent with the </w:t>
      </w:r>
      <w:r w:rsidRPr="00B275E2">
        <w:rPr>
          <w:spacing w:val="-2"/>
        </w:rPr>
        <w:t>Climate-related Disclosures framework and the</w:t>
      </w:r>
      <w:r w:rsidR="00B232F2" w:rsidRPr="00B275E2">
        <w:rPr>
          <w:spacing w:val="-2"/>
        </w:rPr>
        <w:t xml:space="preserve"> Carbon Neutral Government Programme</w:t>
      </w:r>
      <w:r w:rsidR="005D6C31" w:rsidRPr="00B275E2">
        <w:rPr>
          <w:spacing w:val="-2"/>
        </w:rPr>
        <w:t xml:space="preserve"> (CNGP)</w:t>
      </w:r>
      <w:r w:rsidRPr="00B275E2">
        <w:rPr>
          <w:spacing w:val="-2"/>
        </w:rPr>
        <w:t>.</w:t>
      </w:r>
    </w:p>
    <w:tbl>
      <w:tblPr>
        <w:tblStyle w:val="TableGrid"/>
        <w:tblW w:w="8604"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604"/>
      </w:tblGrid>
      <w:tr w:rsidR="00A30347" w:rsidRPr="00B275E2" w14:paraId="437B1B35" w14:textId="77777777" w:rsidTr="00B92612">
        <w:trPr>
          <w:trHeight w:val="840"/>
        </w:trPr>
        <w:tc>
          <w:tcPr>
            <w:tcW w:w="0" w:type="auto"/>
            <w:shd w:val="clear" w:color="auto" w:fill="D2DDE1" w:themeFill="background2"/>
          </w:tcPr>
          <w:p w14:paraId="7E6F335C" w14:textId="3768523D" w:rsidR="009A137E" w:rsidRPr="00B275E2" w:rsidRDefault="009A137E" w:rsidP="00B92612">
            <w:pPr>
              <w:pStyle w:val="Boxheading"/>
              <w:keepNext w:val="0"/>
            </w:pPr>
            <w:r w:rsidRPr="00B275E2">
              <w:t xml:space="preserve">Climate-related </w:t>
            </w:r>
            <w:r w:rsidR="0076425F" w:rsidRPr="00B275E2">
              <w:t>d</w:t>
            </w:r>
            <w:r w:rsidRPr="00B275E2">
              <w:t>isclosures</w:t>
            </w:r>
          </w:p>
          <w:p w14:paraId="533BDAF5" w14:textId="461A8756" w:rsidR="00AF5E05" w:rsidRPr="00B275E2" w:rsidRDefault="2D3BF123" w:rsidP="00B92612">
            <w:pPr>
              <w:pStyle w:val="Boxtext"/>
              <w:spacing w:after="80"/>
              <w:rPr>
                <w:szCs w:val="20"/>
              </w:rPr>
            </w:pPr>
            <w:r w:rsidRPr="00B275E2">
              <w:t xml:space="preserve">In October 2021, New </w:t>
            </w:r>
            <w:r w:rsidR="07556133" w:rsidRPr="00B275E2">
              <w:t>Zealand became the first country to legislate mandatory climate risk reporting on the</w:t>
            </w:r>
            <w:r w:rsidR="24DED8D6" w:rsidRPr="00B275E2">
              <w:t xml:space="preserve"> Task Force on Climate-related Financial Disclosures (TCFD) </w:t>
            </w:r>
            <w:r w:rsidR="5DCE31A4" w:rsidRPr="00B275E2">
              <w:t>recommendations for large listed issuers, banks, investment managers and insurers. By December 2022, the External Reporting Board expects to release climate standards based on the TCFD recommendations for th</w:t>
            </w:r>
            <w:r w:rsidR="540896A8" w:rsidRPr="00B275E2">
              <w:t>ese entities to disclose against</w:t>
            </w:r>
            <w:r w:rsidR="19A389C6" w:rsidRPr="00B275E2">
              <w:t>. T</w:t>
            </w:r>
            <w:r w:rsidR="6F381B43" w:rsidRPr="00B275E2">
              <w:t xml:space="preserve">his will include the need for disclosure </w:t>
            </w:r>
            <w:r w:rsidR="6F381B43" w:rsidRPr="00B275E2">
              <w:rPr>
                <w:szCs w:val="20"/>
              </w:rPr>
              <w:t>of GHG metrics</w:t>
            </w:r>
            <w:r w:rsidR="00B92612" w:rsidRPr="00B275E2">
              <w:rPr>
                <w:szCs w:val="20"/>
              </w:rPr>
              <w:t>.</w:t>
            </w:r>
            <w:r w:rsidR="00CA0EB6" w:rsidRPr="00B275E2">
              <w:rPr>
                <w:rStyle w:val="FootnoteReference"/>
                <w:sz w:val="20"/>
                <w:szCs w:val="20"/>
              </w:rPr>
              <w:footnoteReference w:id="2"/>
            </w:r>
          </w:p>
          <w:p w14:paraId="47BF3FD0" w14:textId="5BC8C360" w:rsidR="00A30347" w:rsidRPr="00B275E2" w:rsidRDefault="00AF5E05" w:rsidP="00B92612">
            <w:pPr>
              <w:pStyle w:val="Boxtext"/>
              <w:spacing w:after="80"/>
              <w:rPr>
                <w:szCs w:val="20"/>
              </w:rPr>
            </w:pPr>
            <w:r w:rsidRPr="00B275E2">
              <w:t xml:space="preserve">The TCFD </w:t>
            </w:r>
            <w:r w:rsidR="00A30347" w:rsidRPr="00B275E2">
              <w:t>was set up by the Financial Stability Board to increase transparency, stability, and resilience in financial markets.</w:t>
            </w:r>
            <w:r w:rsidR="00724C42" w:rsidRPr="00B275E2">
              <w:t xml:space="preserve"> </w:t>
            </w:r>
            <w:r w:rsidR="00A30347" w:rsidRPr="00B275E2">
              <w:t xml:space="preserve">The TCFD framework promotes consistent climate-related financial risk disclosures aligned with investors’ needs and which supports organisations in understanding how </w:t>
            </w:r>
            <w:r w:rsidR="00A30347" w:rsidRPr="00B275E2">
              <w:rPr>
                <w:szCs w:val="20"/>
              </w:rPr>
              <w:t xml:space="preserve">to measure and report on their climate change risks and opportunities. </w:t>
            </w:r>
          </w:p>
          <w:p w14:paraId="1510E057" w14:textId="0C175DC3" w:rsidR="00A30347" w:rsidRPr="00B275E2" w:rsidRDefault="00986AE2" w:rsidP="00FD6370">
            <w:pPr>
              <w:pStyle w:val="Boxtext"/>
              <w:spacing w:after="240"/>
            </w:pPr>
            <w:r w:rsidRPr="00B275E2">
              <w:rPr>
                <w:szCs w:val="20"/>
              </w:rPr>
              <w:t>The complete TCFD recommendations go beyond the scope of this guidance. For further guidance on these consult the TCFD website</w:t>
            </w:r>
            <w:r w:rsidR="00B92612" w:rsidRPr="00B275E2">
              <w:rPr>
                <w:szCs w:val="20"/>
              </w:rPr>
              <w:t>.</w:t>
            </w:r>
            <w:r w:rsidRPr="00B275E2">
              <w:rPr>
                <w:rStyle w:val="FootnoteReference"/>
                <w:color w:val="auto"/>
                <w:sz w:val="20"/>
                <w:szCs w:val="20"/>
              </w:rPr>
              <w:footnoteReference w:id="3"/>
            </w:r>
          </w:p>
        </w:tc>
      </w:tr>
      <w:tr w:rsidR="00B92612" w:rsidRPr="00B275E2" w14:paraId="62DB7E76" w14:textId="77777777" w:rsidTr="00B92612">
        <w:trPr>
          <w:trHeight w:val="840"/>
        </w:trPr>
        <w:tc>
          <w:tcPr>
            <w:tcW w:w="0" w:type="auto"/>
            <w:shd w:val="clear" w:color="auto" w:fill="D2DDE1" w:themeFill="background2"/>
          </w:tcPr>
          <w:p w14:paraId="22A3E2B5" w14:textId="77777777" w:rsidR="00B92612" w:rsidRPr="00B275E2" w:rsidRDefault="00B92612" w:rsidP="00FD6370">
            <w:pPr>
              <w:pStyle w:val="Boxtext"/>
              <w:keepNext/>
              <w:spacing w:before="240" w:after="0"/>
              <w:rPr>
                <w:b/>
                <w:bCs/>
              </w:rPr>
            </w:pPr>
            <w:r w:rsidRPr="00B275E2">
              <w:rPr>
                <w:b/>
                <w:bCs/>
              </w:rPr>
              <w:lastRenderedPageBreak/>
              <w:t>Carbon Neutral Government Programme</w:t>
            </w:r>
          </w:p>
          <w:p w14:paraId="043CF6D3" w14:textId="2A0A66F3" w:rsidR="00B92612" w:rsidRPr="00B275E2" w:rsidRDefault="00B92612" w:rsidP="00FD6370">
            <w:pPr>
              <w:pStyle w:val="Boxtext"/>
              <w:spacing w:after="80"/>
              <w:rPr>
                <w:szCs w:val="20"/>
              </w:rPr>
            </w:pPr>
            <w:r w:rsidRPr="00B275E2">
              <w:t xml:space="preserve">The Carbon Neutral Government Programme (CNGP) was set up by the Government to accelerate the reduction of emissions within the public sector. The </w:t>
            </w:r>
            <w:r w:rsidRPr="00B275E2">
              <w:rPr>
                <w:szCs w:val="20"/>
              </w:rPr>
              <w:t>CNGP has published guidance for CNGP organisations on measuring and reporting their GHG emissions</w:t>
            </w:r>
            <w:r w:rsidR="00FD6370" w:rsidRPr="00B275E2">
              <w:rPr>
                <w:szCs w:val="20"/>
              </w:rPr>
              <w:t>.</w:t>
            </w:r>
            <w:r w:rsidRPr="00B275E2">
              <w:rPr>
                <w:rStyle w:val="FootnoteReference"/>
                <w:sz w:val="20"/>
                <w:szCs w:val="20"/>
              </w:rPr>
              <w:footnoteReference w:id="4"/>
            </w:r>
            <w:r w:rsidRPr="00B275E2">
              <w:rPr>
                <w:szCs w:val="20"/>
              </w:rPr>
              <w:t xml:space="preserve"> It includes information on what sources of GHG emissions organisations need to collect, standards to follow, methods for calculating emissions, the required information to report, who to report to,</w:t>
            </w:r>
            <w:r w:rsidR="00FD6370" w:rsidRPr="00B275E2">
              <w:rPr>
                <w:szCs w:val="20"/>
              </w:rPr>
              <w:t> </w:t>
            </w:r>
            <w:r w:rsidRPr="00B275E2">
              <w:rPr>
                <w:szCs w:val="20"/>
              </w:rPr>
              <w:t xml:space="preserve">and by when. </w:t>
            </w:r>
          </w:p>
          <w:p w14:paraId="282D09BE" w14:textId="62FA6EB2" w:rsidR="00B92612" w:rsidRPr="00B275E2" w:rsidRDefault="00B92612" w:rsidP="00FD6370">
            <w:pPr>
              <w:pStyle w:val="Boxtext"/>
              <w:spacing w:after="240"/>
            </w:pPr>
            <w:r w:rsidRPr="00B275E2">
              <w:rPr>
                <w:szCs w:val="20"/>
              </w:rPr>
              <w:t>For further guidance on this consult the CNGP website</w:t>
            </w:r>
            <w:r w:rsidRPr="00B275E2">
              <w:rPr>
                <w:rStyle w:val="FootnoteReference"/>
                <w:sz w:val="20"/>
                <w:szCs w:val="20"/>
              </w:rPr>
              <w:footnoteReference w:id="5"/>
            </w:r>
            <w:r w:rsidRPr="00B275E2">
              <w:rPr>
                <w:szCs w:val="20"/>
              </w:rPr>
              <w:t xml:space="preserve"> or</w:t>
            </w:r>
            <w:r w:rsidRPr="00B275E2">
              <w:t xml:space="preserve"> contact </w:t>
            </w:r>
            <w:hyperlink r:id="rId29" w:history="1">
              <w:r w:rsidRPr="00B275E2">
                <w:rPr>
                  <w:rStyle w:val="Hyperlink"/>
                </w:rPr>
                <w:t>cngp@mfe.govt.nz</w:t>
              </w:r>
            </w:hyperlink>
            <w:r w:rsidRPr="00B275E2">
              <w:t>.</w:t>
            </w:r>
          </w:p>
        </w:tc>
      </w:tr>
    </w:tbl>
    <w:p w14:paraId="34ADE49B" w14:textId="146A8760" w:rsidR="00B17ABF" w:rsidRPr="00B275E2" w:rsidRDefault="00B17ABF" w:rsidP="00FD6370">
      <w:pPr>
        <w:pStyle w:val="BodyText"/>
        <w:spacing w:before="240"/>
      </w:pPr>
      <w:bookmarkStart w:id="29" w:name="_Hlk52444003"/>
      <w:r w:rsidRPr="00B275E2">
        <w:t>This guide, and the emission factors and methods</w:t>
      </w:r>
      <w:bookmarkEnd w:id="29"/>
      <w:r w:rsidRPr="00B275E2">
        <w:t>, are not appropriate for a full life-cycle assessment or product carbon foot</w:t>
      </w:r>
      <w:r w:rsidR="00B545AD" w:rsidRPr="00B275E2">
        <w:t xml:space="preserve"> </w:t>
      </w:r>
      <w:r w:rsidRPr="00B275E2">
        <w:t>printing. T</w:t>
      </w:r>
      <w:r w:rsidR="00B905F9" w:rsidRPr="00B275E2">
        <w:t>he</w:t>
      </w:r>
      <w:r w:rsidRPr="00B275E2">
        <w:t xml:space="preserve"> factors</w:t>
      </w:r>
      <w:r w:rsidR="00B905F9" w:rsidRPr="00B275E2">
        <w:t xml:space="preserve"> presented in this guide</w:t>
      </w:r>
      <w:r w:rsidRPr="00B275E2">
        <w:t xml:space="preserve"> only include direct emissions from activities, and do not include all sources of emissions required for a full life-cycle </w:t>
      </w:r>
      <w:r w:rsidR="000C5EAC" w:rsidRPr="00B275E2">
        <w:t>assessment</w:t>
      </w:r>
      <w:r w:rsidRPr="00B275E2">
        <w:t xml:space="preserve">. If you want to do a full life-cycle assessment, we recommend </w:t>
      </w:r>
      <w:r w:rsidR="00991D31" w:rsidRPr="00B275E2">
        <w:t>using</w:t>
      </w:r>
      <w:r w:rsidRPr="00B275E2">
        <w:t xml:space="preserve"> </w:t>
      </w:r>
      <w:r w:rsidR="00D47600" w:rsidRPr="00B275E2">
        <w:t>l</w:t>
      </w:r>
      <w:r w:rsidR="005D0A83" w:rsidRPr="00B275E2">
        <w:t xml:space="preserve">ife-cycle assessment </w:t>
      </w:r>
      <w:r w:rsidR="00430590" w:rsidRPr="00B275E2">
        <w:t>databases and/or</w:t>
      </w:r>
      <w:r w:rsidR="005D0A83" w:rsidRPr="00B275E2">
        <w:t xml:space="preserve"> software tools.</w:t>
      </w:r>
      <w:r w:rsidR="008231D0" w:rsidRPr="00B275E2">
        <w:t xml:space="preserve"> A list of </w:t>
      </w:r>
      <w:r w:rsidR="00F3584B" w:rsidRPr="00B275E2">
        <w:t>relevant life</w:t>
      </w:r>
      <w:r w:rsidR="00293949" w:rsidRPr="00B275E2">
        <w:t>-</w:t>
      </w:r>
      <w:r w:rsidR="00F3584B" w:rsidRPr="00B275E2">
        <w:t>cycle inventory databases can be found on the</w:t>
      </w:r>
      <w:hyperlink r:id="rId30" w:anchor="LCI" w:history="1">
        <w:r w:rsidR="00F3584B" w:rsidRPr="00B275E2">
          <w:rPr>
            <w:rStyle w:val="Hyperlink"/>
            <w:rFonts w:asciiTheme="minorHAnsi" w:eastAsia="Times New Roman" w:hAnsiTheme="minorHAnsi"/>
          </w:rPr>
          <w:t xml:space="preserve"> LCANZ website</w:t>
        </w:r>
        <w:r w:rsidR="00FD6370" w:rsidRPr="00B275E2">
          <w:rPr>
            <w:rStyle w:val="Hyperlink"/>
            <w:rFonts w:asciiTheme="minorHAnsi" w:eastAsia="Times New Roman" w:hAnsiTheme="minorHAnsi"/>
          </w:rPr>
          <w:t>.</w:t>
        </w:r>
        <w:r w:rsidR="007F4695" w:rsidRPr="00B275E2">
          <w:rPr>
            <w:rStyle w:val="FootnoteReference"/>
            <w:rFonts w:eastAsia="Times New Roman"/>
          </w:rPr>
          <w:footnoteReference w:id="6"/>
        </w:r>
      </w:hyperlink>
    </w:p>
    <w:p w14:paraId="5162C961" w14:textId="631C21FB" w:rsidR="00D4767A" w:rsidRPr="00B275E2" w:rsidRDefault="00BF7F60" w:rsidP="007F0B1E">
      <w:pPr>
        <w:pStyle w:val="BodyText"/>
      </w:pPr>
      <w:bookmarkStart w:id="30" w:name="_Hlk532887735"/>
      <w:r w:rsidRPr="00B275E2">
        <w:t xml:space="preserve">Measuring your organisation’s emissions is the first step in the journey to reducing your emissions. Developing and implementing a reduction plan is the next important step. </w:t>
      </w:r>
      <w:r w:rsidR="00A63C4F" w:rsidRPr="00B275E2">
        <w:t>The New</w:t>
      </w:r>
      <w:r w:rsidR="00FD6370" w:rsidRPr="00B275E2">
        <w:t> </w:t>
      </w:r>
      <w:r w:rsidR="00A63C4F" w:rsidRPr="00B275E2">
        <w:t>Zealand Government’s</w:t>
      </w:r>
      <w:r w:rsidRPr="00B275E2">
        <w:t xml:space="preserve"> </w:t>
      </w:r>
      <w:r w:rsidR="00293949" w:rsidRPr="00B275E2">
        <w:t>e</w:t>
      </w:r>
      <w:r w:rsidRPr="00B275E2">
        <w:t xml:space="preserve">missions </w:t>
      </w:r>
      <w:r w:rsidR="00293949" w:rsidRPr="00B275E2">
        <w:t>r</w:t>
      </w:r>
      <w:r w:rsidRPr="00B275E2">
        <w:t xml:space="preserve">eduction </w:t>
      </w:r>
      <w:r w:rsidR="00293949" w:rsidRPr="00B275E2">
        <w:t>p</w:t>
      </w:r>
      <w:r w:rsidRPr="00B275E2">
        <w:t>lan will be published in</w:t>
      </w:r>
      <w:r w:rsidR="00A63C4F" w:rsidRPr="00B275E2">
        <w:t xml:space="preserve"> </w:t>
      </w:r>
      <w:r w:rsidR="00735289" w:rsidRPr="00B275E2">
        <w:t>mid-</w:t>
      </w:r>
      <w:r w:rsidRPr="00B275E2">
        <w:t>2022</w:t>
      </w:r>
      <w:r w:rsidR="00D4767A" w:rsidRPr="00B275E2">
        <w:t>. Th</w:t>
      </w:r>
      <w:r w:rsidR="00AC164E" w:rsidRPr="00B275E2">
        <w:t xml:space="preserve">e </w:t>
      </w:r>
      <w:r w:rsidR="004D5962" w:rsidRPr="00B275E2">
        <w:t>e</w:t>
      </w:r>
      <w:r w:rsidR="00AC164E" w:rsidRPr="00B275E2">
        <w:t xml:space="preserve">missions </w:t>
      </w:r>
      <w:r w:rsidR="004D5962" w:rsidRPr="00B275E2">
        <w:t>r</w:t>
      </w:r>
      <w:r w:rsidR="00AC164E" w:rsidRPr="00B275E2">
        <w:t xml:space="preserve">eduction </w:t>
      </w:r>
      <w:r w:rsidR="004D5962" w:rsidRPr="00B275E2">
        <w:t>p</w:t>
      </w:r>
      <w:r w:rsidR="00AC164E" w:rsidRPr="00B275E2">
        <w:t>lan</w:t>
      </w:r>
      <w:r w:rsidR="00D4767A" w:rsidRPr="00B275E2">
        <w:t xml:space="preserve"> is not intended to be guidance for how organisations </w:t>
      </w:r>
      <w:r w:rsidR="008A7EC7" w:rsidRPr="00B275E2">
        <w:t>should create their own emission reduction plan</w:t>
      </w:r>
      <w:r w:rsidR="0023637B" w:rsidRPr="00B275E2">
        <w:t>s.</w:t>
      </w:r>
    </w:p>
    <w:p w14:paraId="5AD22443" w14:textId="103FA3C9" w:rsidR="00BF7F60" w:rsidRPr="00B275E2" w:rsidRDefault="00BF7F60" w:rsidP="007F0B1E">
      <w:pPr>
        <w:pStyle w:val="BodyText"/>
      </w:pPr>
      <w:r w:rsidRPr="00B275E2">
        <w:t xml:space="preserve">It is best practice to reduce emissions as much as possible before offsetting – see the Ministry’s </w:t>
      </w:r>
      <w:hyperlink r:id="rId31" w:history="1">
        <w:r w:rsidR="008148EF" w:rsidRPr="00B275E2">
          <w:rPr>
            <w:rStyle w:val="Hyperlink"/>
            <w:i/>
            <w:iCs/>
          </w:rPr>
          <w:t>Interim guidance for voluntary climate change mitigation</w:t>
        </w:r>
      </w:hyperlink>
      <w:r w:rsidR="008148EF" w:rsidRPr="00B275E2">
        <w:t xml:space="preserve">. </w:t>
      </w:r>
    </w:p>
    <w:p w14:paraId="527F2972" w14:textId="347E68BF" w:rsidR="003B7105" w:rsidRPr="00B275E2" w:rsidRDefault="003B7105" w:rsidP="007F0B1E">
      <w:pPr>
        <w:pStyle w:val="BodyText"/>
      </w:pPr>
      <w:r w:rsidRPr="00B275E2">
        <w:t xml:space="preserve">Users seeking guidance on preparing a regional inventory should refer to the </w:t>
      </w:r>
      <w:hyperlink r:id="rId32" w:history="1">
        <w:r w:rsidRPr="00B275E2">
          <w:rPr>
            <w:rStyle w:val="Hyperlink"/>
          </w:rPr>
          <w:t>GHG Protocol for Community-scale Greenhouse Gas Emission Inventories</w:t>
        </w:r>
      </w:hyperlink>
      <w:r w:rsidRPr="00B275E2">
        <w:t>.</w:t>
      </w:r>
    </w:p>
    <w:p w14:paraId="25C88DEC" w14:textId="1B212830" w:rsidR="004C4413" w:rsidRPr="00B275E2" w:rsidRDefault="00ED26A1" w:rsidP="007F0B1E">
      <w:pPr>
        <w:pStyle w:val="BodyText"/>
        <w:rPr>
          <w:rStyle w:val="Hyperlink"/>
          <w:color w:val="auto"/>
        </w:rPr>
      </w:pPr>
      <w:r w:rsidRPr="00B275E2">
        <w:t xml:space="preserve">If emission factors relevant to your organisation are not included in Measuring </w:t>
      </w:r>
      <w:r w:rsidR="006C07C9">
        <w:t>e</w:t>
      </w:r>
      <w:r w:rsidRPr="00B275E2">
        <w:t xml:space="preserve">missions: A </w:t>
      </w:r>
      <w:r w:rsidR="006C07C9">
        <w:t>g</w:t>
      </w:r>
      <w:r w:rsidRPr="00B275E2">
        <w:t xml:space="preserve">uide for </w:t>
      </w:r>
      <w:r w:rsidR="006C07C9">
        <w:t>o</w:t>
      </w:r>
      <w:r w:rsidRPr="00B275E2">
        <w:t xml:space="preserve">rganisations, we suggest using alternatives such as those published by the UK government: </w:t>
      </w:r>
      <w:r w:rsidR="004C4413" w:rsidRPr="00B275E2">
        <w:rPr>
          <w:rStyle w:val="Hyperlink"/>
        </w:rPr>
        <w:t>https://www.gov.uk/government/publications/greenhouse-gas-reporting-conversion-factors-2021</w:t>
      </w:r>
      <w:r w:rsidR="004C4413" w:rsidRPr="00B275E2">
        <w:rPr>
          <w:rStyle w:val="Hyperlink"/>
          <w:color w:val="auto"/>
        </w:rPr>
        <w:t xml:space="preserve">. </w:t>
      </w:r>
    </w:p>
    <w:p w14:paraId="19F9590C" w14:textId="747B0C7D" w:rsidR="004C4413" w:rsidRPr="00B275E2" w:rsidRDefault="004C4413" w:rsidP="007F0B1E">
      <w:pPr>
        <w:pStyle w:val="BodyText"/>
        <w:rPr>
          <w:rStyle w:val="Hyperlink"/>
          <w:color w:val="auto"/>
        </w:rPr>
      </w:pPr>
      <w:r w:rsidRPr="00B275E2">
        <w:rPr>
          <w:rStyle w:val="Hyperlink"/>
          <w:color w:val="auto"/>
        </w:rPr>
        <w:t>When using emission factors from other sources, it is important to consider factors such as:</w:t>
      </w:r>
    </w:p>
    <w:p w14:paraId="0DD9F1B0" w14:textId="2F9B19A3" w:rsidR="004C4413" w:rsidRPr="00B275E2" w:rsidRDefault="006C2165" w:rsidP="00FD6370">
      <w:pPr>
        <w:pStyle w:val="Bullet"/>
      </w:pPr>
      <w:r w:rsidRPr="00B275E2">
        <w:t>t</w:t>
      </w:r>
      <w:r w:rsidR="004C4413" w:rsidRPr="00B275E2">
        <w:t>he geographic context – ideally the data should reflect the country or region that the emissions calculation is associated with</w:t>
      </w:r>
    </w:p>
    <w:p w14:paraId="7D19959F" w14:textId="6C33505D" w:rsidR="004C4413" w:rsidRPr="00B275E2" w:rsidRDefault="617C9D11" w:rsidP="00FD6370">
      <w:pPr>
        <w:pStyle w:val="Bullet"/>
      </w:pPr>
      <w:r>
        <w:t>t</w:t>
      </w:r>
      <w:r w:rsidR="662E9C3F">
        <w:t>he time period it applies to – ideally the data should reflect the time period that the emissions calculation is associated with</w:t>
      </w:r>
    </w:p>
    <w:p w14:paraId="598DE6CD" w14:textId="76A7A312" w:rsidR="004C4413" w:rsidRPr="00B275E2" w:rsidRDefault="006C2165" w:rsidP="00FD6370">
      <w:pPr>
        <w:pStyle w:val="Bullet"/>
      </w:pPr>
      <w:r w:rsidRPr="00B275E2">
        <w:t>t</w:t>
      </w:r>
      <w:r w:rsidR="004C4413" w:rsidRPr="00B275E2">
        <w:t>he age of emission factor – ideally emission factors should be based on methods and data published less than 5</w:t>
      </w:r>
      <w:r w:rsidRPr="00B275E2">
        <w:t>–</w:t>
      </w:r>
      <w:r w:rsidR="004C4413" w:rsidRPr="00B275E2">
        <w:t>10 years ago</w:t>
      </w:r>
    </w:p>
    <w:p w14:paraId="33DC31FF" w14:textId="1827D7FC" w:rsidR="004C4413" w:rsidRPr="00B275E2" w:rsidRDefault="006C2165" w:rsidP="00FD6370">
      <w:pPr>
        <w:pStyle w:val="Bullet"/>
      </w:pPr>
      <w:r w:rsidRPr="00B275E2">
        <w:t>c</w:t>
      </w:r>
      <w:r w:rsidR="004C4413" w:rsidRPr="00B275E2">
        <w:t>overage – are the emission factors combustion based or life cycle</w:t>
      </w:r>
    </w:p>
    <w:p w14:paraId="2176D037" w14:textId="47717CFE" w:rsidR="004C4413" w:rsidRPr="00B275E2" w:rsidRDefault="006C2165" w:rsidP="00CF7698">
      <w:pPr>
        <w:pStyle w:val="Bullet"/>
      </w:pPr>
      <w:r w:rsidRPr="00B275E2">
        <w:t>g</w:t>
      </w:r>
      <w:r w:rsidR="004C4413" w:rsidRPr="00B275E2">
        <w:t xml:space="preserve">lobal warming potential (GWP) values – are they based on </w:t>
      </w:r>
      <w:r w:rsidR="00165B8D">
        <w:t>the Intergovernmental Panel on Climate Change (IPCC) fourth assessment report (</w:t>
      </w:r>
      <w:r w:rsidR="004C4413" w:rsidRPr="00B275E2">
        <w:t>AR4</w:t>
      </w:r>
      <w:r w:rsidR="00165B8D">
        <w:t>)</w:t>
      </w:r>
      <w:r w:rsidR="004C4413" w:rsidRPr="00B275E2">
        <w:t xml:space="preserve"> or</w:t>
      </w:r>
      <w:r w:rsidR="00B24D48">
        <w:t xml:space="preserve"> fifth assessment report</w:t>
      </w:r>
      <w:r w:rsidR="004C4413" w:rsidRPr="00B275E2">
        <w:t xml:space="preserve"> </w:t>
      </w:r>
      <w:r w:rsidR="00B24D48">
        <w:t>(</w:t>
      </w:r>
      <w:r w:rsidR="004C4413" w:rsidRPr="00B275E2">
        <w:t>AR5</w:t>
      </w:r>
      <w:r w:rsidR="00B24D48">
        <w:t>)</w:t>
      </w:r>
      <w:r w:rsidR="004C4413" w:rsidRPr="00B275E2">
        <w:t xml:space="preserve"> </w:t>
      </w:r>
    </w:p>
    <w:p w14:paraId="661E99E1" w14:textId="5C11D009" w:rsidR="004C4413" w:rsidRPr="00B275E2" w:rsidRDefault="006C2165" w:rsidP="00CF7698">
      <w:pPr>
        <w:pStyle w:val="Bullet"/>
      </w:pPr>
      <w:r w:rsidRPr="00B275E2">
        <w:lastRenderedPageBreak/>
        <w:t xml:space="preserve">whether </w:t>
      </w:r>
      <w:r w:rsidR="004C4413" w:rsidRPr="00B275E2">
        <w:t xml:space="preserve">suitable supplier specific emissions factors are available rather than </w:t>
      </w:r>
      <w:r w:rsidRPr="00B275E2">
        <w:t>n</w:t>
      </w:r>
      <w:r w:rsidR="004C4413" w:rsidRPr="00B275E2">
        <w:t>ational average factors.</w:t>
      </w:r>
    </w:p>
    <w:p w14:paraId="5673EE2E" w14:textId="37884BB8" w:rsidR="00206E30" w:rsidRPr="00B275E2" w:rsidRDefault="00206E30" w:rsidP="003B02D6">
      <w:pPr>
        <w:pStyle w:val="Heading2"/>
      </w:pPr>
      <w:bookmarkStart w:id="31" w:name="_Toc600558"/>
      <w:bookmarkStart w:id="32" w:name="_Toc532904836"/>
      <w:bookmarkStart w:id="33" w:name="_Toc532904842"/>
      <w:bookmarkStart w:id="34" w:name="_Toc111536764"/>
      <w:bookmarkEnd w:id="30"/>
      <w:r w:rsidRPr="00B275E2">
        <w:t>Gases included in the guide</w:t>
      </w:r>
      <w:bookmarkEnd w:id="31"/>
      <w:bookmarkEnd w:id="34"/>
    </w:p>
    <w:p w14:paraId="151BE6AC" w14:textId="2D8C69F8" w:rsidR="00CC3634" w:rsidRPr="00B275E2" w:rsidRDefault="00206E30" w:rsidP="00CF7698">
      <w:pPr>
        <w:pStyle w:val="BodyText"/>
        <w:rPr>
          <w:rFonts w:asciiTheme="minorHAnsi" w:hAnsiTheme="minorHAnsi"/>
        </w:rPr>
      </w:pPr>
      <w:r w:rsidRPr="00B275E2">
        <w:t>Th</w:t>
      </w:r>
      <w:r w:rsidR="00D018DE" w:rsidRPr="00B275E2">
        <w:t>is</w:t>
      </w:r>
      <w:r w:rsidRPr="00B275E2">
        <w:t xml:space="preserve"> guide covers the following greenhouse gases (GHGs): </w:t>
      </w:r>
      <w:r w:rsidRPr="00B275E2">
        <w:rPr>
          <w:rFonts w:cs="Calibri"/>
          <w:shd w:val="clear" w:color="auto" w:fill="FFFFFF"/>
        </w:rPr>
        <w:t>carbon dioxide (</w:t>
      </w:r>
      <w:r w:rsidRPr="00B275E2">
        <w:rPr>
          <w:shd w:val="clear" w:color="auto" w:fill="FFFFFF"/>
        </w:rPr>
        <w:t>CO</w:t>
      </w:r>
      <w:r w:rsidRPr="00B275E2">
        <w:rPr>
          <w:shd w:val="clear" w:color="auto" w:fill="FFFFFF"/>
          <w:vertAlign w:val="subscript"/>
        </w:rPr>
        <w:t>2</w:t>
      </w:r>
      <w:r w:rsidRPr="00B275E2">
        <w:rPr>
          <w:rFonts w:cs="Calibri"/>
          <w:shd w:val="clear" w:color="auto" w:fill="FFFFFF"/>
        </w:rPr>
        <w:t>)</w:t>
      </w:r>
      <w:r w:rsidRPr="00B275E2">
        <w:t>, methane (CH</w:t>
      </w:r>
      <w:r w:rsidRPr="00B275E2">
        <w:rPr>
          <w:vertAlign w:val="subscript"/>
        </w:rPr>
        <w:t>4</w:t>
      </w:r>
      <w:r w:rsidRPr="00B275E2">
        <w:rPr>
          <w:rFonts w:cs="Calibri"/>
          <w:shd w:val="clear" w:color="auto" w:fill="FFFFFF"/>
        </w:rPr>
        <w:t>),</w:t>
      </w:r>
      <w:r w:rsidRPr="00B275E2">
        <w:t xml:space="preserve"> nitrous oxide (N</w:t>
      </w:r>
      <w:r w:rsidRPr="00B275E2">
        <w:rPr>
          <w:vertAlign w:val="subscript"/>
        </w:rPr>
        <w:t>2</w:t>
      </w:r>
      <w:r w:rsidRPr="00B275E2">
        <w:t xml:space="preserve">O), </w:t>
      </w:r>
      <w:r w:rsidRPr="00B275E2">
        <w:rPr>
          <w:rFonts w:cs="Calibri"/>
          <w:shd w:val="clear" w:color="auto" w:fill="FFFFFF"/>
        </w:rPr>
        <w:t>hydrofluorocarbons (</w:t>
      </w:r>
      <w:r w:rsidRPr="00B275E2">
        <w:rPr>
          <w:shd w:val="clear" w:color="auto" w:fill="FFFFFF"/>
        </w:rPr>
        <w:t>HFCs</w:t>
      </w:r>
      <w:r w:rsidRPr="00B275E2">
        <w:rPr>
          <w:rFonts w:cs="Calibri"/>
          <w:shd w:val="clear" w:color="auto" w:fill="FFFFFF"/>
        </w:rPr>
        <w:t>)</w:t>
      </w:r>
      <w:r w:rsidRPr="00B275E2">
        <w:t xml:space="preserve">, </w:t>
      </w:r>
      <w:r w:rsidRPr="00B275E2">
        <w:rPr>
          <w:rFonts w:cs="Calibri"/>
          <w:shd w:val="clear" w:color="auto" w:fill="FFFFFF"/>
        </w:rPr>
        <w:t>perfluorocarbons (</w:t>
      </w:r>
      <w:r w:rsidRPr="00B275E2">
        <w:rPr>
          <w:shd w:val="clear" w:color="auto" w:fill="FFFFFF"/>
        </w:rPr>
        <w:t>PFCs</w:t>
      </w:r>
      <w:r w:rsidRPr="00B275E2">
        <w:rPr>
          <w:rFonts w:cs="Calibri"/>
          <w:shd w:val="clear" w:color="auto" w:fill="FFFFFF"/>
        </w:rPr>
        <w:t>)</w:t>
      </w:r>
      <w:r w:rsidRPr="00B275E2">
        <w:t xml:space="preserve">, </w:t>
      </w:r>
      <w:r w:rsidRPr="00B275E2">
        <w:rPr>
          <w:rFonts w:cs="Calibri"/>
          <w:shd w:val="clear" w:color="auto" w:fill="FFFFFF"/>
        </w:rPr>
        <w:t>sulphur hexafluoride (SF</w:t>
      </w:r>
      <w:r w:rsidRPr="00B275E2">
        <w:rPr>
          <w:rFonts w:cs="Calibri"/>
          <w:shd w:val="clear" w:color="auto" w:fill="FFFFFF"/>
          <w:vertAlign w:val="subscript"/>
        </w:rPr>
        <w:t>6</w:t>
      </w:r>
      <w:r w:rsidRPr="00B275E2">
        <w:rPr>
          <w:rFonts w:cs="Calibri"/>
          <w:shd w:val="clear" w:color="auto" w:fill="FFFFFF"/>
        </w:rPr>
        <w:t>)</w:t>
      </w:r>
      <w:r w:rsidR="00EE5ED9" w:rsidRPr="00B275E2">
        <w:t xml:space="preserve">, </w:t>
      </w:r>
      <w:r w:rsidRPr="00B275E2">
        <w:rPr>
          <w:rFonts w:cs="Calibri"/>
          <w:shd w:val="clear" w:color="auto" w:fill="FFFFFF"/>
        </w:rPr>
        <w:t>nitrogen trifluoride (NF</w:t>
      </w:r>
      <w:r w:rsidRPr="00B275E2">
        <w:rPr>
          <w:rFonts w:cs="Calibri"/>
          <w:shd w:val="clear" w:color="auto" w:fill="FFFFFF"/>
          <w:vertAlign w:val="subscript"/>
        </w:rPr>
        <w:t>3</w:t>
      </w:r>
      <w:r w:rsidRPr="00B275E2">
        <w:rPr>
          <w:rFonts w:cs="Calibri"/>
          <w:shd w:val="clear" w:color="auto" w:fill="FFFFFF"/>
        </w:rPr>
        <w:t>)</w:t>
      </w:r>
      <w:bookmarkStart w:id="35" w:name="_Hlk532887809"/>
      <w:r w:rsidR="00D67A71" w:rsidRPr="00B275E2">
        <w:rPr>
          <w:rFonts w:cs="Calibri"/>
          <w:shd w:val="clear" w:color="auto" w:fill="FFFFFF"/>
        </w:rPr>
        <w:t xml:space="preserve"> </w:t>
      </w:r>
      <w:bookmarkEnd w:id="35"/>
      <w:r w:rsidR="00587D87" w:rsidRPr="00B275E2">
        <w:t>and other gases (eg</w:t>
      </w:r>
      <w:r w:rsidR="00360E64" w:rsidRPr="00B275E2">
        <w:t>,</w:t>
      </w:r>
      <w:r w:rsidR="00587D87" w:rsidRPr="00B275E2">
        <w:t xml:space="preserve"> </w:t>
      </w:r>
      <w:r w:rsidR="00DB262F" w:rsidRPr="00B275E2">
        <w:t>Montreal Protocol refrigerant gases or medical gases</w:t>
      </w:r>
      <w:r w:rsidR="00B24D48">
        <w:t>)</w:t>
      </w:r>
      <w:r w:rsidR="00FB197E" w:rsidRPr="00B275E2">
        <w:t>.</w:t>
      </w:r>
      <w:r w:rsidR="005575B8" w:rsidRPr="00B275E2">
        <w:rPr>
          <w:rFonts w:cs="Calibri"/>
          <w:shd w:val="clear" w:color="auto" w:fill="FFFFFF"/>
          <w:vertAlign w:val="superscript"/>
        </w:rPr>
        <w:footnoteReference w:id="7"/>
      </w:r>
    </w:p>
    <w:p w14:paraId="08EA2750" w14:textId="33F9BC9D" w:rsidR="00206E30" w:rsidRPr="00B275E2" w:rsidRDefault="00206E30" w:rsidP="007F0B1E">
      <w:pPr>
        <w:pStyle w:val="BodyText"/>
        <w:rPr>
          <w:rFonts w:eastAsia="Times New Roman"/>
        </w:rPr>
      </w:pPr>
      <w:r w:rsidRPr="00B275E2">
        <w:rPr>
          <w:rFonts w:eastAsia="Times New Roman"/>
        </w:rPr>
        <w:t>GHGs can trap differing amounts of heat in the atmosphere, meaning they have different relative impacts on climate change. These are known as global warming potentials (GWPs)</w:t>
      </w:r>
      <w:r w:rsidR="00145AB2" w:rsidRPr="00B275E2">
        <w:rPr>
          <w:rFonts w:eastAsia="Times New Roman"/>
        </w:rPr>
        <w:t>.</w:t>
      </w:r>
      <w:r w:rsidRPr="00B275E2">
        <w:rPr>
          <w:rFonts w:eastAsia="Times New Roman"/>
          <w:color w:val="183C47"/>
          <w:vertAlign w:val="superscript"/>
        </w:rPr>
        <w:footnoteReference w:id="8"/>
      </w:r>
      <w:r w:rsidRPr="00B275E2">
        <w:rPr>
          <w:rFonts w:eastAsia="Times New Roman"/>
        </w:rPr>
        <w:t xml:space="preserve"> To</w:t>
      </w:r>
      <w:r w:rsidR="00FB197E" w:rsidRPr="00B275E2">
        <w:rPr>
          <w:rFonts w:eastAsia="Times New Roman"/>
        </w:rPr>
        <w:t> </w:t>
      </w:r>
      <w:r w:rsidRPr="00B275E2">
        <w:rPr>
          <w:rFonts w:eastAsia="Times New Roman"/>
        </w:rPr>
        <w:t>enable a meaningful comparison between the seven gas</w:t>
      </w:r>
      <w:r w:rsidR="00957626" w:rsidRPr="00B275E2">
        <w:rPr>
          <w:rFonts w:eastAsia="Times New Roman"/>
        </w:rPr>
        <w:t xml:space="preserve"> types</w:t>
      </w:r>
      <w:r w:rsidRPr="00B275E2">
        <w:rPr>
          <w:rFonts w:eastAsia="Times New Roman"/>
        </w:rPr>
        <w:t>, GHG emissions are commonly expressed as carbon dioxide equivalent or CO</w:t>
      </w:r>
      <w:r w:rsidRPr="00B275E2">
        <w:rPr>
          <w:rFonts w:eastAsia="Times New Roman"/>
          <w:vertAlign w:val="subscript"/>
        </w:rPr>
        <w:t>2</w:t>
      </w:r>
      <w:r w:rsidRPr="00B275E2">
        <w:rPr>
          <w:rFonts w:eastAsia="Times New Roman"/>
        </w:rPr>
        <w:t>-e</w:t>
      </w:r>
      <w:r w:rsidR="00991D31" w:rsidRPr="00B275E2">
        <w:rPr>
          <w:rFonts w:eastAsia="Times New Roman"/>
        </w:rPr>
        <w:t>. T</w:t>
      </w:r>
      <w:r w:rsidRPr="00B275E2">
        <w:rPr>
          <w:rFonts w:eastAsia="Times New Roman"/>
        </w:rPr>
        <w:t xml:space="preserve">his is used throughout the guide. </w:t>
      </w:r>
    </w:p>
    <w:p w14:paraId="19F2E5A8" w14:textId="4B58F7FD" w:rsidR="00206E30" w:rsidRPr="00B275E2" w:rsidRDefault="00206E30" w:rsidP="007F0B1E">
      <w:pPr>
        <w:pStyle w:val="BodyText"/>
        <w:rPr>
          <w:rFonts w:eastAsia="Times New Roman"/>
        </w:rPr>
      </w:pPr>
      <w:r w:rsidRPr="00B275E2">
        <w:rPr>
          <w:rFonts w:eastAsia="Times New Roman"/>
        </w:rPr>
        <w:t>To do this, we multiply the emissions for each gas by the GWP in a 100-year period</w:t>
      </w:r>
      <w:r w:rsidR="00991D31" w:rsidRPr="00B275E2">
        <w:rPr>
          <w:rFonts w:eastAsia="Times New Roman"/>
        </w:rPr>
        <w:t xml:space="preserve"> – see</w:t>
      </w:r>
      <w:r w:rsidR="009E3E3F" w:rsidRPr="00B275E2">
        <w:rPr>
          <w:rFonts w:eastAsia="Times New Roman"/>
        </w:rPr>
        <w:t xml:space="preserve"> </w:t>
      </w:r>
      <w:r w:rsidR="009E3E3F" w:rsidRPr="00B275E2">
        <w:rPr>
          <w:rFonts w:eastAsia="Times New Roman"/>
          <w:color w:val="2C9986" w:themeColor="accent4"/>
        </w:rPr>
        <w:fldChar w:fldCharType="begin"/>
      </w:r>
      <w:r w:rsidR="009E3E3F" w:rsidRPr="00B275E2">
        <w:rPr>
          <w:rFonts w:eastAsia="Times New Roman"/>
          <w:color w:val="2C9986" w:themeColor="accent4"/>
        </w:rPr>
        <w:instrText xml:space="preserve"> REF _Ref606115 \h </w:instrText>
      </w:r>
      <w:r w:rsidR="008F1FA3" w:rsidRPr="00B275E2">
        <w:rPr>
          <w:rFonts w:eastAsia="Times New Roman"/>
          <w:color w:val="2C9986" w:themeColor="accent4"/>
        </w:rPr>
        <w:instrText xml:space="preserve"> \* MERGEFORMAT </w:instrText>
      </w:r>
      <w:r w:rsidR="009E3E3F" w:rsidRPr="00B275E2">
        <w:rPr>
          <w:rFonts w:eastAsia="Times New Roman"/>
          <w:color w:val="2C9986" w:themeColor="accent4"/>
        </w:rPr>
      </w:r>
      <w:r w:rsidR="009E3E3F" w:rsidRPr="00B275E2">
        <w:rPr>
          <w:rFonts w:eastAsia="Times New Roman"/>
          <w:color w:val="2C9986" w:themeColor="accent4"/>
        </w:rPr>
        <w:fldChar w:fldCharType="separate"/>
      </w:r>
      <w:r w:rsidR="007A40BD">
        <w:t>t</w:t>
      </w:r>
      <w:r w:rsidR="003E141C" w:rsidRPr="00B275E2">
        <w:t>able 1</w:t>
      </w:r>
      <w:r w:rsidR="009E3E3F" w:rsidRPr="00B275E2">
        <w:rPr>
          <w:rFonts w:eastAsia="Times New Roman"/>
          <w:color w:val="2C9986" w:themeColor="accent4"/>
        </w:rPr>
        <w:fldChar w:fldCharType="end"/>
      </w:r>
      <w:r w:rsidR="009E3E3F" w:rsidRPr="00B275E2">
        <w:rPr>
          <w:rFonts w:eastAsia="Times New Roman"/>
        </w:rPr>
        <w:t>.</w:t>
      </w:r>
      <w:r w:rsidR="00991D31" w:rsidRPr="00B275E2">
        <w:rPr>
          <w:rFonts w:eastAsia="Times New Roman"/>
        </w:rPr>
        <w:t xml:space="preserve"> </w:t>
      </w:r>
      <w:r w:rsidRPr="00B275E2">
        <w:rPr>
          <w:rFonts w:eastAsia="Times New Roman"/>
        </w:rPr>
        <w:t xml:space="preserve">The </w:t>
      </w:r>
      <w:r w:rsidR="00053F7F" w:rsidRPr="00B275E2">
        <w:rPr>
          <w:rFonts w:eastAsia="Times New Roman"/>
        </w:rPr>
        <w:t>Intergovernmental Panel on Climate Change (</w:t>
      </w:r>
      <w:r w:rsidRPr="00B275E2">
        <w:rPr>
          <w:rFonts w:eastAsia="Times New Roman"/>
        </w:rPr>
        <w:t>IPCC</w:t>
      </w:r>
      <w:r w:rsidR="00053F7F" w:rsidRPr="00B275E2">
        <w:rPr>
          <w:rFonts w:eastAsia="Times New Roman"/>
        </w:rPr>
        <w:t>)</w:t>
      </w:r>
      <w:r w:rsidRPr="00B275E2">
        <w:rPr>
          <w:rFonts w:eastAsia="Times New Roman"/>
        </w:rPr>
        <w:t xml:space="preserve"> provides more information on</w:t>
      </w:r>
      <w:r w:rsidR="000B68D1" w:rsidRPr="00B275E2">
        <w:rPr>
          <w:rFonts w:eastAsia="Times New Roman"/>
        </w:rPr>
        <w:t> </w:t>
      </w:r>
      <w:r w:rsidRPr="00B275E2">
        <w:rPr>
          <w:rFonts w:eastAsia="Times New Roman"/>
        </w:rPr>
        <w:t>how these factors are calculated.</w:t>
      </w:r>
      <w:r w:rsidRPr="00B275E2">
        <w:rPr>
          <w:rFonts w:eastAsia="Times New Roman"/>
          <w:vertAlign w:val="superscript"/>
        </w:rPr>
        <w:footnoteReference w:id="9"/>
      </w:r>
    </w:p>
    <w:p w14:paraId="16611D59" w14:textId="79D0EDDE" w:rsidR="00206E30" w:rsidRPr="00B275E2" w:rsidRDefault="00206E30" w:rsidP="007F0B1E">
      <w:pPr>
        <w:pStyle w:val="BodyText"/>
        <w:rPr>
          <w:rFonts w:eastAsia="Times New Roman"/>
        </w:rPr>
      </w:pPr>
      <w:r w:rsidRPr="00B275E2">
        <w:rPr>
          <w:rFonts w:eastAsia="Times New Roman"/>
        </w:rPr>
        <w:t>Throughout the guide, kilograms (kg) of methane and nitrous oxide are reported in kg CO</w:t>
      </w:r>
      <w:r w:rsidRPr="00B275E2">
        <w:rPr>
          <w:rFonts w:eastAsia="Times New Roman"/>
          <w:vertAlign w:val="subscript"/>
        </w:rPr>
        <w:t>2</w:t>
      </w:r>
      <w:r w:rsidRPr="00B275E2">
        <w:rPr>
          <w:rFonts w:eastAsia="Times New Roman"/>
        </w:rPr>
        <w:t xml:space="preserve">-e by multiplying the actual methane emissions by the </w:t>
      </w:r>
      <w:r w:rsidR="00DB262F" w:rsidRPr="00B275E2">
        <w:rPr>
          <w:rFonts w:eastAsia="Times New Roman"/>
        </w:rPr>
        <w:t>GWP</w:t>
      </w:r>
      <w:r w:rsidRPr="00B275E2">
        <w:rPr>
          <w:rFonts w:eastAsia="Times New Roman"/>
        </w:rPr>
        <w:t xml:space="preserve"> of 25 and actual nitrous oxide emissions by the </w:t>
      </w:r>
      <w:r w:rsidR="00DB262F" w:rsidRPr="00B275E2">
        <w:rPr>
          <w:rFonts w:eastAsia="Times New Roman"/>
        </w:rPr>
        <w:t>GWP</w:t>
      </w:r>
      <w:r w:rsidRPr="00B275E2">
        <w:rPr>
          <w:rFonts w:eastAsia="Times New Roman"/>
        </w:rPr>
        <w:t xml:space="preserve"> of 298, as per</w:t>
      </w:r>
      <w:r w:rsidR="009E3E3F" w:rsidRPr="00B275E2">
        <w:rPr>
          <w:rFonts w:eastAsia="Times New Roman"/>
          <w:color w:val="32809C" w:themeColor="accent2"/>
        </w:rPr>
        <w:t xml:space="preserve"> </w:t>
      </w:r>
      <w:r w:rsidR="00FB197E" w:rsidRPr="00B275E2">
        <w:t>table 1</w:t>
      </w:r>
      <w:r w:rsidRPr="00B275E2">
        <w:rPr>
          <w:rFonts w:eastAsia="Times New Roman"/>
        </w:rPr>
        <w:t>.</w:t>
      </w:r>
    </w:p>
    <w:p w14:paraId="0C5B8000" w14:textId="5B92B831" w:rsidR="004D2627" w:rsidRPr="00B275E2" w:rsidRDefault="00954B9C" w:rsidP="007F0B1E">
      <w:pPr>
        <w:pStyle w:val="BodyText"/>
        <w:rPr>
          <w:rFonts w:eastAsia="Times New Roman"/>
        </w:rPr>
      </w:pPr>
      <w:hyperlink r:id="rId33" w:history="1">
        <w:r w:rsidR="004914D0" w:rsidRPr="00B275E2">
          <w:rPr>
            <w:rStyle w:val="Hyperlink"/>
          </w:rPr>
          <w:t>ISO 14064-1:2018</w:t>
        </w:r>
      </w:hyperlink>
      <w:r w:rsidR="004914D0" w:rsidRPr="00B275E2">
        <w:rPr>
          <w:rFonts w:eastAsia="Times New Roman"/>
        </w:rPr>
        <w:t xml:space="preserve"> recommends </w:t>
      </w:r>
      <w:r w:rsidR="00552CB8" w:rsidRPr="00B275E2">
        <w:rPr>
          <w:rFonts w:eastAsia="Times New Roman"/>
        </w:rPr>
        <w:t xml:space="preserve">using </w:t>
      </w:r>
      <w:r w:rsidR="00F724EC" w:rsidRPr="00B275E2">
        <w:rPr>
          <w:rFonts w:eastAsia="Times New Roman"/>
        </w:rPr>
        <w:t>the latest IPCC GWPs</w:t>
      </w:r>
      <w:r w:rsidR="006B7F59" w:rsidRPr="00B275E2">
        <w:rPr>
          <w:rFonts w:eastAsia="Times New Roman"/>
        </w:rPr>
        <w:t xml:space="preserve">. However, this guide uses the </w:t>
      </w:r>
      <w:r w:rsidR="00236D38" w:rsidRPr="00B275E2">
        <w:rPr>
          <w:rFonts w:eastAsia="Times New Roman"/>
        </w:rPr>
        <w:t>100</w:t>
      </w:r>
      <w:r w:rsidR="004C24FD" w:rsidRPr="00B275E2">
        <w:rPr>
          <w:rFonts w:eastAsia="Times New Roman"/>
        </w:rPr>
        <w:noBreakHyphen/>
      </w:r>
      <w:r w:rsidR="00236D38" w:rsidRPr="00B275E2">
        <w:rPr>
          <w:rFonts w:eastAsia="Times New Roman"/>
        </w:rPr>
        <w:t>year</w:t>
      </w:r>
      <w:r w:rsidR="006B7F59" w:rsidRPr="00B275E2">
        <w:rPr>
          <w:rFonts w:eastAsia="Times New Roman"/>
        </w:rPr>
        <w:t xml:space="preserve"> GWPs</w:t>
      </w:r>
      <w:r w:rsidR="008A09C6" w:rsidRPr="00B275E2">
        <w:rPr>
          <w:rFonts w:eastAsia="Times New Roman"/>
        </w:rPr>
        <w:t xml:space="preserve"> </w:t>
      </w:r>
      <w:r w:rsidR="006B7F59" w:rsidRPr="00B275E2">
        <w:rPr>
          <w:rFonts w:eastAsia="Times New Roman"/>
        </w:rPr>
        <w:t xml:space="preserve">in the </w:t>
      </w:r>
      <w:r w:rsidR="00535FC7" w:rsidRPr="00B275E2">
        <w:rPr>
          <w:rFonts w:eastAsia="Times New Roman"/>
        </w:rPr>
        <w:t>IPCC</w:t>
      </w:r>
      <w:r w:rsidR="006B7F59" w:rsidRPr="00B275E2">
        <w:rPr>
          <w:rFonts w:eastAsia="Times New Roman"/>
        </w:rPr>
        <w:t xml:space="preserve"> </w:t>
      </w:r>
      <w:r w:rsidR="00535FC7" w:rsidRPr="00B275E2">
        <w:rPr>
          <w:rFonts w:eastAsia="Times New Roman"/>
        </w:rPr>
        <w:t>Fourth</w:t>
      </w:r>
      <w:r w:rsidR="00CD4108" w:rsidRPr="00B275E2">
        <w:rPr>
          <w:rFonts w:eastAsia="Times New Roman"/>
        </w:rPr>
        <w:t xml:space="preserve"> Assessment Report </w:t>
      </w:r>
      <w:r w:rsidR="00D21195" w:rsidRPr="00B275E2">
        <w:rPr>
          <w:rFonts w:eastAsia="Times New Roman"/>
        </w:rPr>
        <w:t>(AR4)</w:t>
      </w:r>
      <w:r w:rsidR="00CD4108" w:rsidRPr="00B275E2">
        <w:rPr>
          <w:rFonts w:eastAsia="Times New Roman"/>
        </w:rPr>
        <w:t xml:space="preserve"> to align with the </w:t>
      </w:r>
      <w:r w:rsidR="00114CDD" w:rsidRPr="00B275E2">
        <w:rPr>
          <w:rFonts w:eastAsia="Times New Roman"/>
        </w:rPr>
        <w:t>approach used in</w:t>
      </w:r>
      <w:r w:rsidR="00311651" w:rsidRPr="00B275E2">
        <w:rPr>
          <w:rFonts w:eastAsia="Times New Roman"/>
        </w:rPr>
        <w:t> </w:t>
      </w:r>
      <w:hyperlink r:id="rId34" w:history="1">
        <w:r w:rsidR="002F2932" w:rsidRPr="00B275E2">
          <w:rPr>
            <w:rStyle w:val="Hyperlink"/>
            <w:rFonts w:eastAsia="Times New Roman"/>
            <w:i/>
            <w:iCs/>
          </w:rPr>
          <w:t>New Zealand’s Greenhouse Gas Inventory 1990-2020</w:t>
        </w:r>
      </w:hyperlink>
      <w:r w:rsidR="00CD4108" w:rsidRPr="00B275E2">
        <w:rPr>
          <w:rFonts w:eastAsia="Times New Roman"/>
        </w:rPr>
        <w:t>.</w:t>
      </w:r>
      <w:r w:rsidR="00CB3328" w:rsidRPr="00B275E2">
        <w:rPr>
          <w:rFonts w:eastAsia="Times New Roman"/>
        </w:rPr>
        <w:t xml:space="preserve"> There are a small number of </w:t>
      </w:r>
      <w:r w:rsidR="00DB262F" w:rsidRPr="00B275E2">
        <w:rPr>
          <w:rFonts w:eastAsia="Times New Roman"/>
        </w:rPr>
        <w:t xml:space="preserve">‘other gases’ that are </w:t>
      </w:r>
      <w:r w:rsidR="00BE4144" w:rsidRPr="00B275E2">
        <w:rPr>
          <w:rFonts w:eastAsia="Times New Roman"/>
        </w:rPr>
        <w:t xml:space="preserve">included in the </w:t>
      </w:r>
      <w:r w:rsidR="00535FC7" w:rsidRPr="00B275E2">
        <w:rPr>
          <w:rFonts w:eastAsia="Times New Roman"/>
        </w:rPr>
        <w:t>Fifth</w:t>
      </w:r>
      <w:r w:rsidR="00BE4144" w:rsidRPr="00B275E2">
        <w:rPr>
          <w:rFonts w:eastAsia="Times New Roman"/>
        </w:rPr>
        <w:t xml:space="preserve"> Assessment Report </w:t>
      </w:r>
      <w:r w:rsidR="00D21195" w:rsidRPr="00B275E2">
        <w:rPr>
          <w:rFonts w:eastAsia="Times New Roman"/>
        </w:rPr>
        <w:t>(AR5)</w:t>
      </w:r>
      <w:r w:rsidR="00BE4144" w:rsidRPr="00B275E2">
        <w:rPr>
          <w:rFonts w:eastAsia="Times New Roman"/>
        </w:rPr>
        <w:t xml:space="preserve"> but not </w:t>
      </w:r>
      <w:r w:rsidR="00D21195" w:rsidRPr="00B275E2">
        <w:rPr>
          <w:rFonts w:eastAsia="Times New Roman"/>
        </w:rPr>
        <w:t>AR4</w:t>
      </w:r>
      <w:r w:rsidR="00E7062E" w:rsidRPr="00B275E2">
        <w:rPr>
          <w:rFonts w:eastAsia="Times New Roman"/>
        </w:rPr>
        <w:t xml:space="preserve">; in these cases the </w:t>
      </w:r>
      <w:r w:rsidR="00D21195" w:rsidRPr="00B275E2">
        <w:rPr>
          <w:rFonts w:eastAsia="Times New Roman"/>
        </w:rPr>
        <w:t>AR5</w:t>
      </w:r>
      <w:r w:rsidR="00E7062E" w:rsidRPr="00B275E2">
        <w:rPr>
          <w:rFonts w:eastAsia="Times New Roman"/>
        </w:rPr>
        <w:t xml:space="preserve"> </w:t>
      </w:r>
      <w:r w:rsidR="00DB262F" w:rsidRPr="00B275E2">
        <w:rPr>
          <w:rFonts w:eastAsia="Times New Roman"/>
        </w:rPr>
        <w:t>GWPs are u</w:t>
      </w:r>
      <w:r w:rsidR="00750080" w:rsidRPr="00B275E2">
        <w:rPr>
          <w:rFonts w:eastAsia="Times New Roman"/>
        </w:rPr>
        <w:t>sed. These gases are clearly identified in this guidance.</w:t>
      </w:r>
    </w:p>
    <w:p w14:paraId="1CFBB393" w14:textId="71332597" w:rsidR="007C0928" w:rsidRPr="00B275E2" w:rsidRDefault="00845DB4" w:rsidP="007F0B1E">
      <w:pPr>
        <w:pStyle w:val="BodyText"/>
        <w:rPr>
          <w:rFonts w:eastAsia="Times New Roman"/>
        </w:rPr>
      </w:pPr>
      <w:r w:rsidRPr="00B275E2">
        <w:rPr>
          <w:rFonts w:eastAsia="Times New Roman"/>
        </w:rPr>
        <w:t xml:space="preserve">The change from AR4 to AR5 </w:t>
      </w:r>
      <w:r w:rsidR="00F07C99" w:rsidRPr="00B275E2">
        <w:rPr>
          <w:rFonts w:eastAsia="Times New Roman"/>
        </w:rPr>
        <w:t>GWPs</w:t>
      </w:r>
      <w:r w:rsidRPr="00B275E2">
        <w:rPr>
          <w:rFonts w:eastAsia="Times New Roman"/>
        </w:rPr>
        <w:t xml:space="preserve"> may cause a significant change in some organisation’s inventories, including those who use large quantities of refrigerants. For those that see reductions in their footprints, it would be misleading to interpret this as a true reduction, and</w:t>
      </w:r>
      <w:r w:rsidR="00311651" w:rsidRPr="00B275E2">
        <w:rPr>
          <w:rFonts w:eastAsia="Times New Roman"/>
        </w:rPr>
        <w:t> </w:t>
      </w:r>
      <w:r w:rsidRPr="00B275E2">
        <w:rPr>
          <w:rFonts w:eastAsia="Times New Roman"/>
        </w:rPr>
        <w:t>the focus should remain on reducing the use of these refrigerants or switching to more climate</w:t>
      </w:r>
      <w:r w:rsidR="00676144" w:rsidRPr="00B275E2">
        <w:rPr>
          <w:rFonts w:eastAsia="Times New Roman"/>
        </w:rPr>
        <w:t>-</w:t>
      </w:r>
      <w:r w:rsidRPr="00B275E2">
        <w:rPr>
          <w:rFonts w:eastAsia="Times New Roman"/>
        </w:rPr>
        <w:t>friendly alternatives. It may be necessary to restate previous inventories based on updated global warming potentials.</w:t>
      </w:r>
    </w:p>
    <w:p w14:paraId="6A4E908D" w14:textId="0063B0B1" w:rsidR="00845DB4" w:rsidRPr="00B275E2" w:rsidRDefault="007C0928" w:rsidP="007F0B1E">
      <w:pPr>
        <w:pStyle w:val="BodyText"/>
        <w:rPr>
          <w:rFonts w:eastAsia="Times New Roman"/>
        </w:rPr>
      </w:pPr>
      <w:r w:rsidRPr="00B275E2">
        <w:rPr>
          <w:rFonts w:eastAsia="Times New Roman"/>
        </w:rPr>
        <w:t xml:space="preserve">From 2023, the rest of this guidance will be updated to align with AR5 </w:t>
      </w:r>
      <w:r w:rsidR="00956637" w:rsidRPr="00B275E2">
        <w:rPr>
          <w:rFonts w:eastAsia="Times New Roman"/>
        </w:rPr>
        <w:t xml:space="preserve">GWPs </w:t>
      </w:r>
      <w:r w:rsidRPr="00B275E2">
        <w:rPr>
          <w:rFonts w:eastAsia="Times New Roman"/>
        </w:rPr>
        <w:t>as we enter the reporting period</w:t>
      </w:r>
      <w:r w:rsidR="00334853" w:rsidRPr="00B275E2">
        <w:rPr>
          <w:rFonts w:eastAsia="Times New Roman"/>
        </w:rPr>
        <w:t xml:space="preserve"> for the Paris Agreement</w:t>
      </w:r>
      <w:r w:rsidRPr="00B275E2">
        <w:rPr>
          <w:rFonts w:eastAsia="Times New Roman"/>
        </w:rPr>
        <w:t>.</w:t>
      </w:r>
      <w:r w:rsidR="00845DB4" w:rsidRPr="00B275E2">
        <w:rPr>
          <w:rFonts w:eastAsia="Times New Roman"/>
        </w:rPr>
        <w:t xml:space="preserve"> Additional guidance will be provided at the next update about how to transition to the new global warming potentials. </w:t>
      </w:r>
    </w:p>
    <w:p w14:paraId="26AFA577" w14:textId="31A0EFAA" w:rsidR="00206E30" w:rsidRPr="00B275E2" w:rsidRDefault="00206E30" w:rsidP="00311651">
      <w:pPr>
        <w:pStyle w:val="Tableheading"/>
      </w:pPr>
      <w:bookmarkStart w:id="36" w:name="_Ref606115"/>
      <w:bookmarkStart w:id="37" w:name="_Toc111536606"/>
      <w:r w:rsidRPr="00B275E2">
        <w:t xml:space="preserve">Table </w:t>
      </w:r>
      <w:r w:rsidRPr="00B275E2">
        <w:fldChar w:fldCharType="begin"/>
      </w:r>
      <w:r w:rsidRPr="00B275E2">
        <w:instrText>SEQ Table \* ARABIC</w:instrText>
      </w:r>
      <w:r w:rsidRPr="00B275E2">
        <w:fldChar w:fldCharType="separate"/>
      </w:r>
      <w:r w:rsidR="003E141C" w:rsidRPr="00B275E2">
        <w:t>1</w:t>
      </w:r>
      <w:r w:rsidRPr="00B275E2">
        <w:fldChar w:fldCharType="end"/>
      </w:r>
      <w:bookmarkEnd w:id="36"/>
      <w:r w:rsidRPr="00B275E2">
        <w:t>:</w:t>
      </w:r>
      <w:r w:rsidRPr="00B275E2">
        <w:tab/>
        <w:t xml:space="preserve">Global warming potential (GWP) of </w:t>
      </w:r>
      <w:r w:rsidR="00831325" w:rsidRPr="00B275E2">
        <w:t>GHGs</w:t>
      </w:r>
      <w:r w:rsidRPr="00B275E2">
        <w:t xml:space="preserve"> based on 100-year period</w:t>
      </w:r>
      <w:bookmarkEnd w:id="37"/>
    </w:p>
    <w:tbl>
      <w:tblPr>
        <w:tblStyle w:val="LightList-Accent11"/>
        <w:tblW w:w="8505" w:type="dxa"/>
        <w:tblBorders>
          <w:top w:val="single" w:sz="4" w:space="0" w:color="1B556B"/>
          <w:bottom w:val="single" w:sz="4" w:space="0" w:color="1B556B"/>
          <w:insideH w:val="single" w:sz="4" w:space="0" w:color="1B556B"/>
          <w:insideV w:val="single" w:sz="4" w:space="0" w:color="1B556B"/>
        </w:tblBorders>
        <w:tblLook w:val="04A0" w:firstRow="1" w:lastRow="0" w:firstColumn="1" w:lastColumn="0" w:noHBand="0" w:noVBand="1"/>
      </w:tblPr>
      <w:tblGrid>
        <w:gridCol w:w="2416"/>
        <w:gridCol w:w="2031"/>
        <w:gridCol w:w="2029"/>
        <w:gridCol w:w="2029"/>
      </w:tblGrid>
      <w:tr w:rsidR="007A40BD" w:rsidRPr="00B275E2" w14:paraId="2C23D422" w14:textId="3F1AC7E0" w:rsidTr="007A40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pct"/>
            <w:shd w:val="clear" w:color="auto" w:fill="1B556B"/>
          </w:tcPr>
          <w:p w14:paraId="3B6BA0AB" w14:textId="6AB9F1F3" w:rsidR="007A40BD" w:rsidRPr="00B275E2" w:rsidRDefault="007A40BD" w:rsidP="001C296C">
            <w:pPr>
              <w:pStyle w:val="TableTextbold"/>
              <w:keepNext/>
              <w:rPr>
                <w:rFonts w:eastAsia="Times New Roman"/>
                <w:b/>
              </w:rPr>
            </w:pPr>
            <w:r w:rsidRPr="00B275E2">
              <w:rPr>
                <w:rFonts w:eastAsia="Times New Roman"/>
                <w:b/>
              </w:rPr>
              <w:t>GHGs</w:t>
            </w:r>
          </w:p>
        </w:tc>
        <w:tc>
          <w:tcPr>
            <w:tcW w:w="1194" w:type="pct"/>
            <w:shd w:val="clear" w:color="auto" w:fill="1B556B"/>
          </w:tcPr>
          <w:p w14:paraId="24BA36A9" w14:textId="7DF03F93" w:rsidR="007A40BD" w:rsidRPr="00B275E2" w:rsidRDefault="007A40BD" w:rsidP="001C296C">
            <w:pPr>
              <w:pStyle w:val="TableTextbold"/>
              <w:cnfStyle w:val="100000000000" w:firstRow="1" w:lastRow="0" w:firstColumn="0" w:lastColumn="0" w:oddVBand="0" w:evenVBand="0" w:oddHBand="0" w:evenHBand="0" w:firstRowFirstColumn="0" w:firstRowLastColumn="0" w:lastRowFirstColumn="0" w:lastRowLastColumn="0"/>
              <w:rPr>
                <w:rFonts w:eastAsia="Times New Roman"/>
                <w:b/>
              </w:rPr>
            </w:pPr>
            <w:r w:rsidRPr="00B275E2">
              <w:rPr>
                <w:rFonts w:cs="Times New Roman"/>
                <w:b/>
                <w:bCs w:val="0"/>
                <w:szCs w:val="20"/>
              </w:rPr>
              <w:t>Scientific</w:t>
            </w:r>
            <w:r w:rsidRPr="00B275E2">
              <w:rPr>
                <w:rFonts w:eastAsia="Times New Roman"/>
                <w:b/>
              </w:rPr>
              <w:t xml:space="preserve"> Formula</w:t>
            </w:r>
          </w:p>
        </w:tc>
        <w:tc>
          <w:tcPr>
            <w:tcW w:w="1193" w:type="pct"/>
            <w:shd w:val="clear" w:color="auto" w:fill="1B556B"/>
          </w:tcPr>
          <w:p w14:paraId="2AFFA32E" w14:textId="604A25E0" w:rsidR="007A40BD" w:rsidRPr="00B275E2" w:rsidRDefault="007A40BD" w:rsidP="001C296C">
            <w:pPr>
              <w:pStyle w:val="TableTextbold"/>
              <w:keepNext/>
              <w:cnfStyle w:val="100000000000" w:firstRow="1" w:lastRow="0" w:firstColumn="0" w:lastColumn="0" w:oddVBand="0" w:evenVBand="0" w:oddHBand="0" w:evenHBand="0" w:firstRowFirstColumn="0" w:firstRowLastColumn="0" w:lastRowFirstColumn="0" w:lastRowLastColumn="0"/>
              <w:rPr>
                <w:rFonts w:eastAsia="Times New Roman"/>
                <w:b/>
              </w:rPr>
            </w:pPr>
            <w:r w:rsidRPr="00B275E2">
              <w:rPr>
                <w:rFonts w:eastAsia="Times New Roman"/>
                <w:b/>
              </w:rPr>
              <w:t>GWP (AR4)</w:t>
            </w:r>
          </w:p>
        </w:tc>
        <w:tc>
          <w:tcPr>
            <w:tcW w:w="1193" w:type="pct"/>
            <w:shd w:val="clear" w:color="auto" w:fill="1B556B"/>
          </w:tcPr>
          <w:p w14:paraId="0172BA1D" w14:textId="1B059D25" w:rsidR="007A40BD" w:rsidRPr="007A40BD" w:rsidRDefault="007A40BD" w:rsidP="001C296C">
            <w:pPr>
              <w:pStyle w:val="TableTextbold"/>
              <w:keepNext/>
              <w:cnfStyle w:val="100000000000" w:firstRow="1" w:lastRow="0" w:firstColumn="0" w:lastColumn="0" w:oddVBand="0" w:evenVBand="0" w:oddHBand="0" w:evenHBand="0" w:firstRowFirstColumn="0" w:firstRowLastColumn="0" w:lastRowFirstColumn="0" w:lastRowLastColumn="0"/>
              <w:rPr>
                <w:rFonts w:eastAsia="Times New Roman"/>
                <w:b/>
                <w:bCs w:val="0"/>
              </w:rPr>
            </w:pPr>
            <w:r w:rsidRPr="007A40BD">
              <w:rPr>
                <w:rFonts w:eastAsia="Times New Roman"/>
                <w:b/>
                <w:bCs w:val="0"/>
              </w:rPr>
              <w:t>GWP (AR5)</w:t>
            </w:r>
          </w:p>
        </w:tc>
      </w:tr>
      <w:tr w:rsidR="007A40BD" w:rsidRPr="00B275E2" w14:paraId="0AFA7500" w14:textId="6A9B18B8" w:rsidTr="003B00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pct"/>
            <w:tcBorders>
              <w:left w:val="single" w:sz="4" w:space="0" w:color="FFFFFF" w:themeColor="background1"/>
            </w:tcBorders>
          </w:tcPr>
          <w:p w14:paraId="758DED92" w14:textId="05F412F2" w:rsidR="007A40BD" w:rsidRPr="00B275E2" w:rsidRDefault="007A40BD" w:rsidP="001C296C">
            <w:pPr>
              <w:pStyle w:val="TableText"/>
              <w:rPr>
                <w:rFonts w:eastAsia="Times New Roman"/>
                <w:b w:val="0"/>
              </w:rPr>
            </w:pPr>
            <w:r w:rsidRPr="00B275E2">
              <w:rPr>
                <w:rFonts w:eastAsia="Times New Roman"/>
                <w:b w:val="0"/>
              </w:rPr>
              <w:t xml:space="preserve">Nitrous Oxide </w:t>
            </w:r>
          </w:p>
        </w:tc>
        <w:tc>
          <w:tcPr>
            <w:tcW w:w="1194" w:type="pct"/>
          </w:tcPr>
          <w:p w14:paraId="3975D3D8" w14:textId="0F4E897D" w:rsidR="007A40BD" w:rsidRPr="00B275E2" w:rsidRDefault="007A40BD" w:rsidP="001C296C">
            <w:pPr>
              <w:pStyle w:val="TableText"/>
              <w:cnfStyle w:val="000000100000" w:firstRow="0" w:lastRow="0" w:firstColumn="0" w:lastColumn="0" w:oddVBand="0" w:evenVBand="0" w:oddHBand="1" w:evenHBand="0" w:firstRowFirstColumn="0" w:firstRowLastColumn="0" w:lastRowFirstColumn="0" w:lastRowLastColumn="0"/>
              <w:rPr>
                <w:rFonts w:eastAsia="Times New Roman"/>
              </w:rPr>
            </w:pPr>
            <w:r w:rsidRPr="00B275E2">
              <w:rPr>
                <w:rFonts w:eastAsia="Times New Roman"/>
              </w:rPr>
              <w:t>N</w:t>
            </w:r>
            <w:r w:rsidRPr="00B275E2">
              <w:rPr>
                <w:rFonts w:eastAsia="Times New Roman"/>
                <w:vertAlign w:val="subscript"/>
              </w:rPr>
              <w:t>2</w:t>
            </w:r>
            <w:r w:rsidRPr="00B275E2">
              <w:rPr>
                <w:rFonts w:eastAsia="Times New Roman"/>
              </w:rPr>
              <w:t>O</w:t>
            </w:r>
          </w:p>
        </w:tc>
        <w:tc>
          <w:tcPr>
            <w:tcW w:w="1193" w:type="pct"/>
          </w:tcPr>
          <w:p w14:paraId="60DFF658" w14:textId="16CFB595" w:rsidR="007A40BD" w:rsidRPr="00B275E2" w:rsidRDefault="007A40BD" w:rsidP="001C296C">
            <w:pPr>
              <w:pStyle w:val="TableText"/>
              <w:cnfStyle w:val="000000100000" w:firstRow="0" w:lastRow="0" w:firstColumn="0" w:lastColumn="0" w:oddVBand="0" w:evenVBand="0" w:oddHBand="1" w:evenHBand="0" w:firstRowFirstColumn="0" w:firstRowLastColumn="0" w:lastRowFirstColumn="0" w:lastRowLastColumn="0"/>
              <w:rPr>
                <w:rFonts w:eastAsia="Times New Roman"/>
              </w:rPr>
            </w:pPr>
            <w:r w:rsidRPr="00B275E2">
              <w:rPr>
                <w:rFonts w:eastAsia="Times New Roman"/>
              </w:rPr>
              <w:t>298</w:t>
            </w:r>
          </w:p>
        </w:tc>
        <w:tc>
          <w:tcPr>
            <w:tcW w:w="1193" w:type="pct"/>
            <w:tcBorders>
              <w:right w:val="single" w:sz="4" w:space="0" w:color="FFFFFF" w:themeColor="background1"/>
            </w:tcBorders>
          </w:tcPr>
          <w:p w14:paraId="5B102DEF" w14:textId="61709372" w:rsidR="007A40BD" w:rsidRPr="00B275E2" w:rsidRDefault="00086579" w:rsidP="001C296C">
            <w:pPr>
              <w:pStyle w:val="TableText"/>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265</w:t>
            </w:r>
          </w:p>
        </w:tc>
      </w:tr>
      <w:tr w:rsidR="007A40BD" w:rsidRPr="00B275E2" w14:paraId="363F1E55" w14:textId="38D79101" w:rsidTr="007A40BD">
        <w:tc>
          <w:tcPr>
            <w:cnfStyle w:val="001000000000" w:firstRow="0" w:lastRow="0" w:firstColumn="1" w:lastColumn="0" w:oddVBand="0" w:evenVBand="0" w:oddHBand="0" w:evenHBand="0" w:firstRowFirstColumn="0" w:firstRowLastColumn="0" w:lastRowFirstColumn="0" w:lastRowLastColumn="0"/>
            <w:tcW w:w="1420" w:type="pct"/>
          </w:tcPr>
          <w:p w14:paraId="45672B1C" w14:textId="7021E6E1" w:rsidR="007A40BD" w:rsidRPr="00B275E2" w:rsidRDefault="007A40BD" w:rsidP="001C296C">
            <w:pPr>
              <w:pStyle w:val="TableText"/>
              <w:rPr>
                <w:rFonts w:eastAsia="Times New Roman"/>
                <w:b w:val="0"/>
              </w:rPr>
            </w:pPr>
            <w:r w:rsidRPr="00B275E2">
              <w:rPr>
                <w:rFonts w:eastAsia="Times New Roman"/>
                <w:b w:val="0"/>
              </w:rPr>
              <w:lastRenderedPageBreak/>
              <w:t xml:space="preserve">Methane </w:t>
            </w:r>
          </w:p>
        </w:tc>
        <w:tc>
          <w:tcPr>
            <w:tcW w:w="1194" w:type="pct"/>
          </w:tcPr>
          <w:p w14:paraId="3850892C" w14:textId="0201B656" w:rsidR="007A40BD" w:rsidRPr="00B275E2" w:rsidRDefault="007A40BD" w:rsidP="001C296C">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sidRPr="00B275E2">
              <w:rPr>
                <w:rFonts w:eastAsia="Times New Roman"/>
              </w:rPr>
              <w:t>CH</w:t>
            </w:r>
            <w:r w:rsidRPr="00B275E2">
              <w:rPr>
                <w:rFonts w:eastAsia="Times New Roman"/>
                <w:vertAlign w:val="subscript"/>
              </w:rPr>
              <w:t>4</w:t>
            </w:r>
          </w:p>
        </w:tc>
        <w:tc>
          <w:tcPr>
            <w:tcW w:w="1193" w:type="pct"/>
          </w:tcPr>
          <w:p w14:paraId="21EDAE29" w14:textId="784CE094" w:rsidR="007A40BD" w:rsidRPr="00B275E2" w:rsidRDefault="007A40BD" w:rsidP="001C296C">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sidRPr="00B275E2">
              <w:rPr>
                <w:rFonts w:eastAsia="Times New Roman"/>
              </w:rPr>
              <w:t>25</w:t>
            </w:r>
          </w:p>
        </w:tc>
        <w:tc>
          <w:tcPr>
            <w:tcW w:w="1193" w:type="pct"/>
          </w:tcPr>
          <w:p w14:paraId="40E2B8BE" w14:textId="799949C9" w:rsidR="007A40BD" w:rsidRPr="00B275E2" w:rsidRDefault="00086579" w:rsidP="001C296C">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28</w:t>
            </w:r>
          </w:p>
        </w:tc>
      </w:tr>
      <w:tr w:rsidR="007A40BD" w:rsidRPr="00B275E2" w14:paraId="336E76A5" w14:textId="5FAF7CD7" w:rsidTr="003B00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pct"/>
            <w:tcBorders>
              <w:left w:val="single" w:sz="4" w:space="0" w:color="FFFFFF" w:themeColor="background1"/>
            </w:tcBorders>
          </w:tcPr>
          <w:p w14:paraId="2E7B68A3" w14:textId="32118CE3" w:rsidR="007A40BD" w:rsidRPr="00B275E2" w:rsidRDefault="007A40BD" w:rsidP="001C296C">
            <w:pPr>
              <w:pStyle w:val="TableText"/>
              <w:rPr>
                <w:rFonts w:eastAsia="Times New Roman"/>
                <w:b w:val="0"/>
              </w:rPr>
            </w:pPr>
            <w:r w:rsidRPr="00B275E2">
              <w:rPr>
                <w:rFonts w:eastAsia="Times New Roman"/>
                <w:b w:val="0"/>
              </w:rPr>
              <w:t xml:space="preserve">Carbon Dioxide </w:t>
            </w:r>
          </w:p>
        </w:tc>
        <w:tc>
          <w:tcPr>
            <w:tcW w:w="1194" w:type="pct"/>
          </w:tcPr>
          <w:p w14:paraId="38548376" w14:textId="44B0114B" w:rsidR="007A40BD" w:rsidRPr="00B275E2" w:rsidRDefault="007A40BD" w:rsidP="001C296C">
            <w:pPr>
              <w:pStyle w:val="TableText"/>
              <w:cnfStyle w:val="000000100000" w:firstRow="0" w:lastRow="0" w:firstColumn="0" w:lastColumn="0" w:oddVBand="0" w:evenVBand="0" w:oddHBand="1" w:evenHBand="0" w:firstRowFirstColumn="0" w:firstRowLastColumn="0" w:lastRowFirstColumn="0" w:lastRowLastColumn="0"/>
              <w:rPr>
                <w:rFonts w:eastAsia="Times New Roman"/>
              </w:rPr>
            </w:pPr>
            <w:r w:rsidRPr="00B275E2">
              <w:rPr>
                <w:rFonts w:eastAsia="Times New Roman"/>
              </w:rPr>
              <w:t>CO</w:t>
            </w:r>
            <w:r w:rsidRPr="00B275E2">
              <w:rPr>
                <w:rFonts w:eastAsia="Times New Roman"/>
                <w:vertAlign w:val="subscript"/>
              </w:rPr>
              <w:t>2</w:t>
            </w:r>
          </w:p>
        </w:tc>
        <w:tc>
          <w:tcPr>
            <w:tcW w:w="1193" w:type="pct"/>
          </w:tcPr>
          <w:p w14:paraId="4F6A132D" w14:textId="04AB3D1F" w:rsidR="007A40BD" w:rsidRPr="00B275E2" w:rsidRDefault="007A40BD" w:rsidP="001C296C">
            <w:pPr>
              <w:pStyle w:val="TableText"/>
              <w:cnfStyle w:val="000000100000" w:firstRow="0" w:lastRow="0" w:firstColumn="0" w:lastColumn="0" w:oddVBand="0" w:evenVBand="0" w:oddHBand="1" w:evenHBand="0" w:firstRowFirstColumn="0" w:firstRowLastColumn="0" w:lastRowFirstColumn="0" w:lastRowLastColumn="0"/>
              <w:rPr>
                <w:rFonts w:eastAsia="Times New Roman"/>
              </w:rPr>
            </w:pPr>
            <w:r w:rsidRPr="00B275E2">
              <w:rPr>
                <w:rFonts w:eastAsia="Times New Roman"/>
              </w:rPr>
              <w:t>1</w:t>
            </w:r>
          </w:p>
        </w:tc>
        <w:tc>
          <w:tcPr>
            <w:tcW w:w="1193" w:type="pct"/>
            <w:tcBorders>
              <w:right w:val="single" w:sz="4" w:space="0" w:color="FFFFFF" w:themeColor="background1"/>
            </w:tcBorders>
          </w:tcPr>
          <w:p w14:paraId="6A5530F9" w14:textId="60DE8B42" w:rsidR="007A40BD" w:rsidRPr="00B275E2" w:rsidRDefault="00086579" w:rsidP="001C296C">
            <w:pPr>
              <w:pStyle w:val="TableText"/>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1</w:t>
            </w:r>
          </w:p>
        </w:tc>
      </w:tr>
    </w:tbl>
    <w:p w14:paraId="56E2F38F" w14:textId="424583FA" w:rsidR="00206E30" w:rsidRPr="00B275E2" w:rsidRDefault="00531162" w:rsidP="006B7605">
      <w:pPr>
        <w:pStyle w:val="Heading3"/>
      </w:pPr>
      <w:bookmarkStart w:id="38" w:name="_Toc532904843"/>
      <w:r w:rsidRPr="00B275E2">
        <w:t xml:space="preserve">1.3.1 </w:t>
      </w:r>
      <w:r w:rsidR="00676144" w:rsidRPr="00B275E2">
        <w:tab/>
      </w:r>
      <w:r w:rsidR="00206E30" w:rsidRPr="00B275E2">
        <w:t xml:space="preserve">Kyoto and Montreal </w:t>
      </w:r>
      <w:r w:rsidR="00086579">
        <w:t>P</w:t>
      </w:r>
      <w:r w:rsidR="00206E30" w:rsidRPr="00B275E2">
        <w:t>rotocols and Paris Agreement</w:t>
      </w:r>
      <w:bookmarkEnd w:id="38"/>
    </w:p>
    <w:p w14:paraId="5BA6965B" w14:textId="2666D3A4" w:rsidR="00206E30" w:rsidRPr="00B275E2" w:rsidRDefault="00206E30" w:rsidP="00A6758F">
      <w:pPr>
        <w:pStyle w:val="BodyText"/>
        <w:rPr>
          <w:shd w:val="clear" w:color="auto" w:fill="FFFFFF"/>
        </w:rPr>
      </w:pPr>
      <w:r w:rsidRPr="00B275E2">
        <w:t>The Kyoto Protocol</w:t>
      </w:r>
      <w:r w:rsidR="00145AB2" w:rsidRPr="00B275E2">
        <w:t>,</w:t>
      </w:r>
      <w:r w:rsidR="00F66B9F" w:rsidRPr="00B275E2">
        <w:rPr>
          <w:rStyle w:val="FootnoteReference"/>
          <w:spacing w:val="2"/>
        </w:rPr>
        <w:footnoteReference w:id="10"/>
      </w:r>
      <w:r w:rsidRPr="00B275E2">
        <w:t xml:space="preserve"> agreed in 1997</w:t>
      </w:r>
      <w:r w:rsidR="00ED26A1" w:rsidRPr="00B275E2">
        <w:t>, is</w:t>
      </w:r>
      <w:r w:rsidRPr="00B275E2">
        <w:t xml:space="preserve"> linked to the United Nations Framework Convention on</w:t>
      </w:r>
      <w:r w:rsidR="00A6758F" w:rsidRPr="00B275E2">
        <w:t> </w:t>
      </w:r>
      <w:r w:rsidRPr="00B275E2">
        <w:t>Climate Change</w:t>
      </w:r>
      <w:r w:rsidRPr="00B275E2" w:rsidDel="0066481B">
        <w:t xml:space="preserve"> </w:t>
      </w:r>
      <w:r w:rsidRPr="00B275E2">
        <w:t>(UNFCCC).</w:t>
      </w:r>
      <w:r w:rsidRPr="00B275E2">
        <w:rPr>
          <w:rStyle w:val="FootnoteReference"/>
          <w:spacing w:val="2"/>
        </w:rPr>
        <w:t xml:space="preserve"> </w:t>
      </w:r>
      <w:r w:rsidRPr="00B275E2">
        <w:t>It commit</w:t>
      </w:r>
      <w:r w:rsidR="00ED26A1" w:rsidRPr="00B275E2">
        <w:t>s</w:t>
      </w:r>
      <w:r w:rsidRPr="00B275E2">
        <w:t xml:space="preserve"> developed country parties to reducing GHG emissions and covers seven gases: </w:t>
      </w:r>
      <w:r w:rsidR="0055299F" w:rsidRPr="00B275E2">
        <w:rPr>
          <w:shd w:val="clear" w:color="auto" w:fill="FFFFFF"/>
        </w:rPr>
        <w:t>CO</w:t>
      </w:r>
      <w:r w:rsidR="0055299F" w:rsidRPr="00B275E2">
        <w:rPr>
          <w:shd w:val="clear" w:color="auto" w:fill="FFFFFF"/>
          <w:vertAlign w:val="subscript"/>
        </w:rPr>
        <w:t>2</w:t>
      </w:r>
      <w:r w:rsidR="0055299F" w:rsidRPr="00B275E2">
        <w:rPr>
          <w:shd w:val="clear" w:color="auto" w:fill="FFFFFF"/>
        </w:rPr>
        <w:t>, CH</w:t>
      </w:r>
      <w:r w:rsidR="0055299F" w:rsidRPr="00B275E2">
        <w:rPr>
          <w:shd w:val="clear" w:color="auto" w:fill="FFFFFF"/>
          <w:vertAlign w:val="subscript"/>
        </w:rPr>
        <w:t>4</w:t>
      </w:r>
      <w:r w:rsidRPr="00B275E2">
        <w:rPr>
          <w:shd w:val="clear" w:color="auto" w:fill="FFFFFF"/>
        </w:rPr>
        <w:t xml:space="preserve">, </w:t>
      </w:r>
      <w:r w:rsidR="0055299F" w:rsidRPr="00B275E2">
        <w:rPr>
          <w:shd w:val="clear" w:color="auto" w:fill="FFFFFF"/>
        </w:rPr>
        <w:t>N</w:t>
      </w:r>
      <w:r w:rsidR="0055299F" w:rsidRPr="00B275E2">
        <w:rPr>
          <w:shd w:val="clear" w:color="auto" w:fill="FFFFFF"/>
          <w:vertAlign w:val="subscript"/>
        </w:rPr>
        <w:t>2</w:t>
      </w:r>
      <w:r w:rsidR="0055299F" w:rsidRPr="00B275E2">
        <w:rPr>
          <w:shd w:val="clear" w:color="auto" w:fill="FFFFFF"/>
        </w:rPr>
        <w:t>O</w:t>
      </w:r>
      <w:r w:rsidRPr="00B275E2">
        <w:rPr>
          <w:shd w:val="clear" w:color="auto" w:fill="FFFFFF"/>
        </w:rPr>
        <w:t xml:space="preserve">, </w:t>
      </w:r>
      <w:r w:rsidRPr="00B275E2">
        <w:rPr>
          <w:rFonts w:eastAsia="Times New Roman" w:cs="Calibri"/>
          <w:shd w:val="clear" w:color="auto" w:fill="FFFFFF"/>
        </w:rPr>
        <w:t>HFCs</w:t>
      </w:r>
      <w:r w:rsidR="0055299F" w:rsidRPr="00B275E2">
        <w:rPr>
          <w:rFonts w:eastAsia="Times New Roman" w:cs="Times New Roman"/>
        </w:rPr>
        <w:t>, PFCs</w:t>
      </w:r>
      <w:r w:rsidRPr="00B275E2">
        <w:rPr>
          <w:rFonts w:eastAsia="Times New Roman" w:cs="Times New Roman"/>
        </w:rPr>
        <w:t xml:space="preserve">, </w:t>
      </w:r>
      <w:r w:rsidR="0055299F" w:rsidRPr="00B275E2">
        <w:rPr>
          <w:rFonts w:eastAsia="Times New Roman" w:cs="Calibri"/>
          <w:shd w:val="clear" w:color="auto" w:fill="FFFFFF"/>
        </w:rPr>
        <w:t>SF</w:t>
      </w:r>
      <w:r w:rsidR="0055299F" w:rsidRPr="00B275E2">
        <w:rPr>
          <w:rFonts w:eastAsia="Times New Roman" w:cs="Calibri"/>
          <w:shd w:val="clear" w:color="auto" w:fill="FFFFFF"/>
          <w:vertAlign w:val="subscript"/>
        </w:rPr>
        <w:t>6</w:t>
      </w:r>
      <w:r w:rsidRPr="00B275E2">
        <w:rPr>
          <w:rFonts w:eastAsia="Times New Roman" w:cs="Calibri"/>
          <w:shd w:val="clear" w:color="auto" w:fill="FFFFFF"/>
        </w:rPr>
        <w:t xml:space="preserve"> </w:t>
      </w:r>
      <w:r w:rsidRPr="00B275E2">
        <w:rPr>
          <w:rFonts w:eastAsia="Times New Roman" w:cs="Times New Roman"/>
        </w:rPr>
        <w:t xml:space="preserve">and </w:t>
      </w:r>
      <w:r w:rsidR="0055299F" w:rsidRPr="00B275E2">
        <w:rPr>
          <w:rFonts w:eastAsia="Times New Roman" w:cs="Calibri"/>
          <w:shd w:val="clear" w:color="auto" w:fill="FFFFFF"/>
        </w:rPr>
        <w:t>NF</w:t>
      </w:r>
      <w:r w:rsidR="0055299F" w:rsidRPr="00B275E2">
        <w:rPr>
          <w:rFonts w:eastAsia="Times New Roman" w:cs="Calibri"/>
          <w:shd w:val="clear" w:color="auto" w:fill="FFFFFF"/>
          <w:vertAlign w:val="subscript"/>
        </w:rPr>
        <w:t>3</w:t>
      </w:r>
      <w:r w:rsidR="00FB197E" w:rsidRPr="00B275E2">
        <w:t>.</w:t>
      </w:r>
      <w:r w:rsidRPr="00B275E2">
        <w:rPr>
          <w:shd w:val="clear" w:color="auto" w:fill="FFFFFF"/>
        </w:rPr>
        <w:t xml:space="preserve"> </w:t>
      </w:r>
    </w:p>
    <w:p w14:paraId="20E2FFFF" w14:textId="019D131C" w:rsidR="00206E30" w:rsidRPr="00B275E2" w:rsidRDefault="00206E30" w:rsidP="00A6758F">
      <w:pPr>
        <w:pStyle w:val="BodyText"/>
      </w:pPr>
      <w:r w:rsidRPr="00B275E2">
        <w:t>The Montreal Protocol,</w:t>
      </w:r>
      <w:r w:rsidRPr="00B275E2">
        <w:rPr>
          <w:rStyle w:val="FootnoteReference"/>
        </w:rPr>
        <w:footnoteReference w:id="11"/>
      </w:r>
      <w:r w:rsidRPr="00B275E2">
        <w:t xml:space="preserve"> agreed in 1987, is an international environmental agreement to</w:t>
      </w:r>
      <w:r w:rsidR="00A6758F" w:rsidRPr="00B275E2">
        <w:t> </w:t>
      </w:r>
      <w:r w:rsidRPr="00B275E2">
        <w:t>protect the ozone layer by phasing out production and consumption of ozone</w:t>
      </w:r>
      <w:r w:rsidR="00991D31" w:rsidRPr="00B275E2">
        <w:t>-</w:t>
      </w:r>
      <w:r w:rsidRPr="00B275E2">
        <w:t xml:space="preserve">depleting substances (ODS). The Montreal Protocol includes chlorofluorocarbons (CFCs), </w:t>
      </w:r>
      <w:r w:rsidR="005C3447" w:rsidRPr="00B275E2">
        <w:t>hydro</w:t>
      </w:r>
      <w:r w:rsidRPr="00B275E2">
        <w:t>chloro</w:t>
      </w:r>
      <w:r w:rsidR="005C3447" w:rsidRPr="00B275E2">
        <w:t>fluoro</w:t>
      </w:r>
      <w:r w:rsidRPr="00B275E2">
        <w:t>carbons</w:t>
      </w:r>
      <w:r w:rsidR="005C3447" w:rsidRPr="00B275E2">
        <w:t xml:space="preserve"> (HCFCs)</w:t>
      </w:r>
      <w:r w:rsidRPr="00B275E2">
        <w:t xml:space="preserve">, </w:t>
      </w:r>
      <w:r w:rsidR="005C3447" w:rsidRPr="00B275E2">
        <w:t>hydro</w:t>
      </w:r>
      <w:r w:rsidRPr="00B275E2">
        <w:t>bromo</w:t>
      </w:r>
      <w:r w:rsidR="005C3447" w:rsidRPr="00B275E2">
        <w:t>fluoro</w:t>
      </w:r>
      <w:r w:rsidRPr="00B275E2">
        <w:t xml:space="preserve">carbons </w:t>
      </w:r>
      <w:r w:rsidR="005C3447" w:rsidRPr="00B275E2">
        <w:t>(HBFCs)</w:t>
      </w:r>
      <w:r w:rsidR="00461359" w:rsidRPr="00B275E2">
        <w:t>, methyl bromide, carbon tetrachloride, methyl chloroform</w:t>
      </w:r>
      <w:r w:rsidR="005C3447" w:rsidRPr="00B275E2">
        <w:t xml:space="preserve"> </w:t>
      </w:r>
      <w:r w:rsidRPr="00B275E2">
        <w:t>and halons. New Zealand prohibits imports of CFCs</w:t>
      </w:r>
      <w:r w:rsidR="00E80E1E" w:rsidRPr="00B275E2">
        <w:t> </w:t>
      </w:r>
      <w:r w:rsidRPr="00B275E2">
        <w:t xml:space="preserve">and </w:t>
      </w:r>
      <w:r w:rsidRPr="00B275E2">
        <w:rPr>
          <w:rFonts w:eastAsia="Times New Roman" w:cs="Calibri"/>
          <w:shd w:val="clear" w:color="auto" w:fill="FFFFFF"/>
        </w:rPr>
        <w:t>H</w:t>
      </w:r>
      <w:r w:rsidR="005C3447" w:rsidRPr="00B275E2">
        <w:rPr>
          <w:rFonts w:eastAsia="Times New Roman" w:cs="Calibri"/>
          <w:shd w:val="clear" w:color="auto" w:fill="FFFFFF"/>
        </w:rPr>
        <w:t>C</w:t>
      </w:r>
      <w:r w:rsidRPr="00B275E2">
        <w:rPr>
          <w:rFonts w:eastAsia="Times New Roman" w:cs="Calibri"/>
          <w:shd w:val="clear" w:color="auto" w:fill="FFFFFF"/>
        </w:rPr>
        <w:t>FCs</w:t>
      </w:r>
      <w:r w:rsidRPr="00B275E2">
        <w:t xml:space="preserve"> as part of our implementation of the </w:t>
      </w:r>
      <w:r w:rsidR="00991D31" w:rsidRPr="00B275E2">
        <w:t>p</w:t>
      </w:r>
      <w:r w:rsidRPr="00B275E2">
        <w:t>rotocol.</w:t>
      </w:r>
    </w:p>
    <w:p w14:paraId="3F83926F" w14:textId="7FE4EC27" w:rsidR="00206E30" w:rsidRPr="00B275E2" w:rsidRDefault="00A931A5" w:rsidP="00A6758F">
      <w:pPr>
        <w:pStyle w:val="BodyText"/>
      </w:pPr>
      <w:r w:rsidRPr="00B275E2">
        <w:t>Many of the ozone depleting substances controlled by t</w:t>
      </w:r>
      <w:r w:rsidR="00206E30" w:rsidRPr="00B275E2">
        <w:t xml:space="preserve">he Montreal Protocol </w:t>
      </w:r>
      <w:r w:rsidRPr="00B275E2">
        <w:t>are also powerful</w:t>
      </w:r>
      <w:r w:rsidR="00A6758F" w:rsidRPr="00B275E2">
        <w:t> </w:t>
      </w:r>
      <w:r w:rsidR="008A197E" w:rsidRPr="00B275E2">
        <w:t>greenhouse gases. This, together with the 20</w:t>
      </w:r>
      <w:r w:rsidR="00206E30" w:rsidRPr="00B275E2">
        <w:t>16</w:t>
      </w:r>
      <w:r w:rsidR="00086579">
        <w:t xml:space="preserve"> Kilgali</w:t>
      </w:r>
      <w:r w:rsidR="003E2354" w:rsidRPr="00B275E2">
        <w:t xml:space="preserve"> </w:t>
      </w:r>
      <w:r w:rsidR="00086579">
        <w:t>A</w:t>
      </w:r>
      <w:r w:rsidR="008A197E" w:rsidRPr="00B275E2">
        <w:t>mendment of t</w:t>
      </w:r>
      <w:r w:rsidR="00206E30" w:rsidRPr="00B275E2">
        <w:t xml:space="preserve">he </w:t>
      </w:r>
      <w:r w:rsidR="00145AB2" w:rsidRPr="00B275E2">
        <w:t>Montreal P</w:t>
      </w:r>
      <w:r w:rsidR="00206E30" w:rsidRPr="00B275E2">
        <w:t xml:space="preserve">rotocol </w:t>
      </w:r>
      <w:r w:rsidR="003E2354" w:rsidRPr="00B275E2">
        <w:t xml:space="preserve">to include the </w:t>
      </w:r>
      <w:r w:rsidR="00206E30" w:rsidRPr="00B275E2">
        <w:t>phas</w:t>
      </w:r>
      <w:r w:rsidR="003E2354" w:rsidRPr="00B275E2">
        <w:t xml:space="preserve">e down </w:t>
      </w:r>
      <w:r w:rsidR="00145AB2" w:rsidRPr="00B275E2">
        <w:t xml:space="preserve">of </w:t>
      </w:r>
      <w:r w:rsidR="00206E30" w:rsidRPr="00B275E2">
        <w:rPr>
          <w:rFonts w:eastAsia="Times New Roman" w:cs="Calibri"/>
          <w:shd w:val="clear" w:color="auto" w:fill="FFFFFF"/>
        </w:rPr>
        <w:t>HFC</w:t>
      </w:r>
      <w:r w:rsidR="003E2354" w:rsidRPr="00B275E2">
        <w:t xml:space="preserve"> means that it has a </w:t>
      </w:r>
      <w:r w:rsidR="00185A86" w:rsidRPr="00B275E2">
        <w:t>significant</w:t>
      </w:r>
      <w:r w:rsidR="00206E30" w:rsidRPr="00B275E2">
        <w:t xml:space="preserve"> role in mitigating climate change.</w:t>
      </w:r>
    </w:p>
    <w:p w14:paraId="42771FE1" w14:textId="79C7071E" w:rsidR="00206E30" w:rsidRPr="00B275E2" w:rsidRDefault="00206E30" w:rsidP="00A6758F">
      <w:pPr>
        <w:pStyle w:val="BodyText"/>
      </w:pPr>
      <w:r w:rsidRPr="00B275E2">
        <w:t xml:space="preserve">The </w:t>
      </w:r>
      <w:r w:rsidR="00436D2E" w:rsidRPr="00B275E2">
        <w:t xml:space="preserve">2015 </w:t>
      </w:r>
      <w:r w:rsidRPr="00B275E2">
        <w:t>Paris Agreement commits parties to put forward their best efforts to limit global temperature rise through nationally determined contributions (NDCs)</w:t>
      </w:r>
      <w:r w:rsidR="00991D31" w:rsidRPr="00B275E2">
        <w:t>,</w:t>
      </w:r>
      <w:r w:rsidRPr="00B275E2">
        <w:t xml:space="preserve"> and to strengthen these</w:t>
      </w:r>
      <w:r w:rsidR="00A6758F" w:rsidRPr="00B275E2">
        <w:t> </w:t>
      </w:r>
      <w:r w:rsidRPr="00B275E2">
        <w:t xml:space="preserve">efforts over time. </w:t>
      </w:r>
      <w:r w:rsidR="006C748C" w:rsidRPr="00B275E2">
        <w:t xml:space="preserve">New Zealand’s </w:t>
      </w:r>
      <w:r w:rsidR="00820644" w:rsidRPr="00B275E2">
        <w:t>Greenhouse Gas</w:t>
      </w:r>
      <w:r w:rsidR="00BF3EAD" w:rsidRPr="00B275E2">
        <w:t xml:space="preserve"> I</w:t>
      </w:r>
      <w:r w:rsidR="004C3BEF" w:rsidRPr="00B275E2">
        <w:t>nventory reporting under the Paris Agreement</w:t>
      </w:r>
      <w:r w:rsidR="006C748C" w:rsidRPr="00B275E2">
        <w:t xml:space="preserve"> </w:t>
      </w:r>
      <w:r w:rsidR="004C3BEF" w:rsidRPr="00B275E2">
        <w:t xml:space="preserve">will be using </w:t>
      </w:r>
      <w:r w:rsidR="002D258A" w:rsidRPr="00B275E2">
        <w:t>100</w:t>
      </w:r>
      <w:r w:rsidR="002D258A" w:rsidRPr="00B275E2">
        <w:noBreakHyphen/>
        <w:t xml:space="preserve">year </w:t>
      </w:r>
      <w:r w:rsidR="004C3BEF" w:rsidRPr="00B275E2">
        <w:t>GWPs from IPCC AR5</w:t>
      </w:r>
      <w:r w:rsidR="00C75076" w:rsidRPr="00B275E2">
        <w:t>.</w:t>
      </w:r>
      <w:r w:rsidR="006C748C" w:rsidRPr="00B275E2">
        <w:t xml:space="preserve"> </w:t>
      </w:r>
      <w:r w:rsidR="00C75076" w:rsidRPr="00B275E2">
        <w:t>T</w:t>
      </w:r>
      <w:r w:rsidR="004C3BEF" w:rsidRPr="00B275E2">
        <w:t xml:space="preserve">he first such </w:t>
      </w:r>
      <w:r w:rsidR="00820644" w:rsidRPr="00B275E2">
        <w:t>Greenhouse Gas</w:t>
      </w:r>
      <w:r w:rsidR="00BF3EAD" w:rsidRPr="00B275E2">
        <w:t xml:space="preserve"> I</w:t>
      </w:r>
      <w:r w:rsidR="004C3BEF" w:rsidRPr="00B275E2">
        <w:t>nventory will be submitted in 2023.</w:t>
      </w:r>
    </w:p>
    <w:p w14:paraId="68F5A96D" w14:textId="53B6A89B" w:rsidR="00206E30" w:rsidRPr="00B275E2" w:rsidRDefault="00206E30" w:rsidP="003B02D6">
      <w:pPr>
        <w:pStyle w:val="Heading2"/>
        <w:rPr>
          <w:rFonts w:cs="Times New Roman"/>
        </w:rPr>
      </w:pPr>
      <w:bookmarkStart w:id="39" w:name="_Toc532904844"/>
      <w:bookmarkStart w:id="40" w:name="_Toc600559"/>
      <w:bookmarkStart w:id="41" w:name="_Toc111536765"/>
      <w:r w:rsidRPr="00B275E2">
        <w:t>Uncertainties</w:t>
      </w:r>
      <w:bookmarkEnd w:id="39"/>
      <w:bookmarkEnd w:id="40"/>
      <w:bookmarkEnd w:id="41"/>
    </w:p>
    <w:p w14:paraId="53121D77" w14:textId="145581CE" w:rsidR="008A74B8" w:rsidRPr="00B275E2" w:rsidRDefault="00AA1077" w:rsidP="00A6758F">
      <w:pPr>
        <w:pStyle w:val="BodyText"/>
      </w:pPr>
      <w:r w:rsidRPr="00B275E2">
        <w:t>ISO 14064-1:2018 focus</w:t>
      </w:r>
      <w:r w:rsidR="001579AA" w:rsidRPr="00B275E2">
        <w:t>es</w:t>
      </w:r>
      <w:r w:rsidRPr="00B275E2">
        <w:t xml:space="preserve"> on uncertainty, in </w:t>
      </w:r>
      <w:r w:rsidR="001579AA" w:rsidRPr="00B275E2">
        <w:t>particular,</w:t>
      </w:r>
      <w:r w:rsidRPr="00B275E2">
        <w:t xml:space="preserve"> assessing and disclosing uncertainty associated with the </w:t>
      </w:r>
      <w:r w:rsidR="00112C8B" w:rsidRPr="00B275E2">
        <w:t xml:space="preserve">organisation’s GHG </w:t>
      </w:r>
      <w:r w:rsidRPr="00B275E2">
        <w:t>inventory.</w:t>
      </w:r>
    </w:p>
    <w:p w14:paraId="11EE51BE" w14:textId="74F76CB4" w:rsidR="00206E30" w:rsidRPr="00B275E2" w:rsidRDefault="00206E30" w:rsidP="00A6758F">
      <w:pPr>
        <w:pStyle w:val="BodyText"/>
      </w:pPr>
      <w:r w:rsidRPr="00B275E2">
        <w:t>We have used the following approach to disclose uncertainty, in order of preference</w:t>
      </w:r>
      <w:r w:rsidR="00991D31" w:rsidRPr="00B275E2">
        <w:t>.</w:t>
      </w:r>
    </w:p>
    <w:p w14:paraId="7EC297D9" w14:textId="156AD97F" w:rsidR="00206E30" w:rsidRPr="00B275E2" w:rsidRDefault="00206E30" w:rsidP="00A6758F">
      <w:pPr>
        <w:pStyle w:val="Bullet"/>
      </w:pPr>
      <w:r w:rsidRPr="00B275E2">
        <w:t>Disclose the data on the quantified uncertainty if known</w:t>
      </w:r>
      <w:r w:rsidR="006151BD" w:rsidRPr="00B275E2">
        <w:t>.</w:t>
      </w:r>
    </w:p>
    <w:p w14:paraId="0A485805" w14:textId="3F26A392" w:rsidR="00206E30" w:rsidRPr="00B275E2" w:rsidRDefault="00206E30" w:rsidP="00A6758F">
      <w:pPr>
        <w:pStyle w:val="Bullet"/>
      </w:pPr>
      <w:r w:rsidRPr="00B275E2">
        <w:t>Disclose the qualitative uncertainty if known based on expert judgement from those providing the data</w:t>
      </w:r>
      <w:r w:rsidR="006151BD" w:rsidRPr="00B275E2">
        <w:t>.</w:t>
      </w:r>
    </w:p>
    <w:p w14:paraId="146578C8" w14:textId="35937C5F" w:rsidR="00206E30" w:rsidRPr="00B275E2" w:rsidRDefault="00206E30" w:rsidP="00A6758F">
      <w:pPr>
        <w:pStyle w:val="Bullet"/>
      </w:pPr>
      <w:r w:rsidRPr="00B275E2">
        <w:t>Disclose the uncertainty ranges in the</w:t>
      </w:r>
      <w:r w:rsidRPr="00B275E2">
        <w:rPr>
          <w:i/>
        </w:rPr>
        <w:t xml:space="preserve"> </w:t>
      </w:r>
      <w:hyperlink r:id="rId35" w:history="1">
        <w:r w:rsidRPr="00B275E2">
          <w:rPr>
            <w:rStyle w:val="Hyperlink"/>
          </w:rPr>
          <w:t>IPCC Guidelines</w:t>
        </w:r>
      </w:hyperlink>
      <w:r w:rsidRPr="00B275E2">
        <w:t xml:space="preserve"> if provided</w:t>
      </w:r>
      <w:r w:rsidR="006151BD" w:rsidRPr="00B275E2">
        <w:t>.</w:t>
      </w:r>
    </w:p>
    <w:p w14:paraId="13D756A4" w14:textId="5599A77B" w:rsidR="00206E30" w:rsidRPr="00B275E2" w:rsidRDefault="00206E30" w:rsidP="00A6758F">
      <w:pPr>
        <w:pStyle w:val="Bullet"/>
      </w:pPr>
      <w:r w:rsidRPr="00B275E2">
        <w:t>Disclose that the uncertainty is unknown</w:t>
      </w:r>
      <w:r w:rsidR="006151BD" w:rsidRPr="00B275E2">
        <w:t>.</w:t>
      </w:r>
    </w:p>
    <w:p w14:paraId="072A0BA4" w14:textId="7B89AC96" w:rsidR="00206E30" w:rsidRPr="00B275E2" w:rsidRDefault="00206E30" w:rsidP="003B02D6">
      <w:pPr>
        <w:pStyle w:val="Heading2"/>
      </w:pPr>
      <w:bookmarkStart w:id="42" w:name="_Standards_to_follow"/>
      <w:bookmarkStart w:id="43" w:name="_Toc530051489"/>
      <w:bookmarkStart w:id="44" w:name="_Toc530051517"/>
      <w:bookmarkStart w:id="45" w:name="_Toc530055796"/>
      <w:bookmarkStart w:id="46" w:name="_Ref532548819"/>
      <w:bookmarkStart w:id="47" w:name="_Toc532904845"/>
      <w:bookmarkStart w:id="48" w:name="_Toc600560"/>
      <w:bookmarkStart w:id="49" w:name="_Toc111536766"/>
      <w:bookmarkEnd w:id="42"/>
      <w:r w:rsidRPr="00B275E2">
        <w:t>Standards</w:t>
      </w:r>
      <w:bookmarkEnd w:id="43"/>
      <w:bookmarkEnd w:id="44"/>
      <w:bookmarkEnd w:id="45"/>
      <w:r w:rsidRPr="00B275E2">
        <w:t xml:space="preserve"> to follow</w:t>
      </w:r>
      <w:bookmarkEnd w:id="46"/>
      <w:bookmarkEnd w:id="47"/>
      <w:bookmarkEnd w:id="48"/>
      <w:bookmarkEnd w:id="49"/>
    </w:p>
    <w:p w14:paraId="730D3844" w14:textId="3C2E0728" w:rsidR="00206E30" w:rsidRPr="00B275E2" w:rsidRDefault="00BD685C" w:rsidP="00122C0A">
      <w:pPr>
        <w:pStyle w:val="BodyText"/>
      </w:pPr>
      <w:bookmarkStart w:id="50" w:name="_Hlk532887954"/>
      <w:r w:rsidRPr="00B275E2">
        <w:t>We recommend</w:t>
      </w:r>
      <w:r w:rsidR="00206E30" w:rsidRPr="00B275E2">
        <w:t xml:space="preserve"> follow</w:t>
      </w:r>
      <w:r w:rsidR="00D018DE" w:rsidRPr="00B275E2">
        <w:t>ing</w:t>
      </w:r>
      <w:r w:rsidR="00206E30" w:rsidRPr="00B275E2">
        <w:t xml:space="preserve"> </w:t>
      </w:r>
      <w:hyperlink r:id="rId36" w:history="1">
        <w:r w:rsidR="00D018DE" w:rsidRPr="00B275E2">
          <w:rPr>
            <w:rStyle w:val="Hyperlink"/>
          </w:rPr>
          <w:t>ISO 14064-1:2018</w:t>
        </w:r>
      </w:hyperlink>
      <w:r w:rsidR="00D018DE" w:rsidRPr="00B275E2">
        <w:t xml:space="preserve"> and </w:t>
      </w:r>
      <w:r w:rsidR="00206E30" w:rsidRPr="00B275E2">
        <w:t xml:space="preserve">the </w:t>
      </w:r>
      <w:hyperlink r:id="rId37" w:history="1">
        <w:r w:rsidR="00206E30" w:rsidRPr="00B275E2">
          <w:rPr>
            <w:rStyle w:val="Hyperlink"/>
          </w:rPr>
          <w:t>GHG Protocol</w:t>
        </w:r>
        <w:r w:rsidR="00D018DE" w:rsidRPr="00B275E2">
          <w:rPr>
            <w:rStyle w:val="Hyperlink"/>
          </w:rPr>
          <w:t xml:space="preserve"> Corporate Accounting and Reporting Standard</w:t>
        </w:r>
      </w:hyperlink>
      <w:r w:rsidR="00206E30" w:rsidRPr="00B275E2">
        <w:t xml:space="preserve">. We wrote this guide to align with both. </w:t>
      </w:r>
      <w:r w:rsidR="00954512" w:rsidRPr="00B275E2">
        <w:t xml:space="preserve">Depending on your intended final </w:t>
      </w:r>
      <w:r w:rsidR="00954512" w:rsidRPr="00B275E2">
        <w:lastRenderedPageBreak/>
        <w:t xml:space="preserve">use and users, we recommend downloading the relevant following standards and using </w:t>
      </w:r>
      <w:r w:rsidR="00331799" w:rsidRPr="00B275E2">
        <w:t xml:space="preserve">them </w:t>
      </w:r>
      <w:r w:rsidR="00954512" w:rsidRPr="00B275E2">
        <w:t>in tandem with this guidance:</w:t>
      </w:r>
    </w:p>
    <w:p w14:paraId="5D34708D" w14:textId="3AD4D741" w:rsidR="00206E30" w:rsidRPr="00B275E2" w:rsidRDefault="00954B9C" w:rsidP="00122C0A">
      <w:pPr>
        <w:pStyle w:val="Bullet"/>
      </w:pPr>
      <w:hyperlink r:id="rId38" w:history="1">
        <w:r w:rsidR="00206E30" w:rsidRPr="00B275E2">
          <w:rPr>
            <w:rStyle w:val="Hyperlink"/>
          </w:rPr>
          <w:t>ISO 14064-1</w:t>
        </w:r>
        <w:r w:rsidR="00330EAD" w:rsidRPr="00B275E2">
          <w:rPr>
            <w:rStyle w:val="Hyperlink"/>
          </w:rPr>
          <w:t>:2018</w:t>
        </w:r>
      </w:hyperlink>
      <w:r w:rsidR="00206E30" w:rsidRPr="00B275E2">
        <w:rPr>
          <w:rStyle w:val="FootnoteReference"/>
        </w:rPr>
        <w:footnoteReference w:id="12"/>
      </w:r>
      <w:r w:rsidR="00206E30" w:rsidRPr="00B275E2">
        <w:t xml:space="preserve"> is shorter and more direct than the GHG Protocol</w:t>
      </w:r>
      <w:r w:rsidR="00ED26A1" w:rsidRPr="00B275E2">
        <w:t>. A</w:t>
      </w:r>
      <w:r w:rsidR="006151BD" w:rsidRPr="00B275E2">
        <w:t xml:space="preserve"> PDF copy </w:t>
      </w:r>
      <w:r w:rsidR="00E45D0B" w:rsidRPr="00B275E2">
        <w:t>can be purchased.</w:t>
      </w:r>
    </w:p>
    <w:p w14:paraId="3FCEC7FC" w14:textId="5F8084E7" w:rsidR="00206E30" w:rsidRPr="00B275E2" w:rsidRDefault="00206E30" w:rsidP="00122C0A">
      <w:pPr>
        <w:pStyle w:val="Bullet"/>
      </w:pPr>
      <w:r w:rsidRPr="00B275E2">
        <w:t>The</w:t>
      </w:r>
      <w:r w:rsidRPr="00B275E2">
        <w:rPr>
          <w:i/>
        </w:rPr>
        <w:t xml:space="preserve"> </w:t>
      </w:r>
      <w:hyperlink r:id="rId39" w:history="1">
        <w:r w:rsidRPr="00B275E2">
          <w:rPr>
            <w:rStyle w:val="Hyperlink"/>
          </w:rPr>
          <w:t>GHG Protocol</w:t>
        </w:r>
      </w:hyperlink>
      <w:r w:rsidRPr="00B275E2">
        <w:rPr>
          <w:rStyle w:val="FootnoteReference"/>
        </w:rPr>
        <w:footnoteReference w:id="13"/>
      </w:r>
      <w:r w:rsidRPr="00B275E2">
        <w:t xml:space="preserve"> gives more description and context </w:t>
      </w:r>
      <w:r w:rsidR="00ED26A1" w:rsidRPr="00B275E2">
        <w:t>around</w:t>
      </w:r>
      <w:r w:rsidRPr="00B275E2">
        <w:t xml:space="preserve"> what to do</w:t>
      </w:r>
      <w:r w:rsidR="00A8360E" w:rsidRPr="00B275E2">
        <w:t xml:space="preserve"> </w:t>
      </w:r>
      <w:r w:rsidR="00ED26A1" w:rsidRPr="00B275E2">
        <w:t>to produce an inventory</w:t>
      </w:r>
      <w:r w:rsidRPr="00B275E2">
        <w:t xml:space="preserve">. It is free to download. </w:t>
      </w:r>
      <w:r w:rsidR="0053377B">
        <w:t xml:space="preserve">The </w:t>
      </w:r>
      <w:hyperlink r:id="rId40" w:history="1">
        <w:r w:rsidR="0053377B" w:rsidRPr="0035204F">
          <w:rPr>
            <w:rStyle w:val="Hyperlink"/>
          </w:rPr>
          <w:t>Corporate Value Chain (Scope 3) Accounting and Reporting Standards</w:t>
        </w:r>
      </w:hyperlink>
      <w:r w:rsidR="0053377B">
        <w:t xml:space="preserve"> are </w:t>
      </w:r>
      <w:r w:rsidR="00990BA2">
        <w:t>also available which allow companies to assess their entire value chain emissions impact and identify where to focus reduction activities.</w:t>
      </w:r>
    </w:p>
    <w:p w14:paraId="7ADAE490" w14:textId="60C228A6" w:rsidR="00206E30" w:rsidRPr="00B275E2" w:rsidRDefault="00EF50D7" w:rsidP="00122C0A">
      <w:pPr>
        <w:pStyle w:val="BodyText"/>
      </w:pPr>
      <w:r w:rsidRPr="00B275E2">
        <w:t>These</w:t>
      </w:r>
      <w:r w:rsidR="00206E30" w:rsidRPr="00B275E2">
        <w:t xml:space="preserve"> standards provide comprehensive guidance on the core issues of GHG monitoring and reporting at an organisational level, including:</w:t>
      </w:r>
    </w:p>
    <w:p w14:paraId="3A7F563C" w14:textId="77777777" w:rsidR="00206E30" w:rsidRPr="00B275E2" w:rsidRDefault="00206E30" w:rsidP="00D36A4F">
      <w:pPr>
        <w:pStyle w:val="Bullet"/>
      </w:pPr>
      <w:r w:rsidRPr="00B275E2">
        <w:t>principles underlying monitoring and reporting</w:t>
      </w:r>
    </w:p>
    <w:p w14:paraId="421C0141" w14:textId="77777777" w:rsidR="00206E30" w:rsidRPr="00B275E2" w:rsidRDefault="00206E30" w:rsidP="00D36A4F">
      <w:pPr>
        <w:pStyle w:val="Bullet"/>
      </w:pPr>
      <w:r w:rsidRPr="00B275E2">
        <w:t>setting organisational boundaries</w:t>
      </w:r>
    </w:p>
    <w:p w14:paraId="47690310" w14:textId="23B5AFDE" w:rsidR="00206E30" w:rsidRPr="00B275E2" w:rsidRDefault="00206E30" w:rsidP="00D36A4F">
      <w:pPr>
        <w:pStyle w:val="Bullet"/>
      </w:pPr>
      <w:r w:rsidRPr="00B275E2">
        <w:t xml:space="preserve">setting </w:t>
      </w:r>
      <w:r w:rsidR="003D1674" w:rsidRPr="00B275E2">
        <w:t>reporting</w:t>
      </w:r>
      <w:r w:rsidRPr="00B275E2">
        <w:t xml:space="preserve"> boundaries</w:t>
      </w:r>
    </w:p>
    <w:p w14:paraId="22A75E99" w14:textId="77777777" w:rsidR="00206E30" w:rsidRPr="00B275E2" w:rsidRDefault="00206E30" w:rsidP="00D36A4F">
      <w:pPr>
        <w:pStyle w:val="Bullet"/>
      </w:pPr>
      <w:r w:rsidRPr="00B275E2">
        <w:t>establishing a base year</w:t>
      </w:r>
    </w:p>
    <w:p w14:paraId="09E4C8A3" w14:textId="77777777" w:rsidR="00206E30" w:rsidRPr="00B275E2" w:rsidRDefault="00206E30" w:rsidP="00D36A4F">
      <w:pPr>
        <w:pStyle w:val="Bullet"/>
      </w:pPr>
      <w:r w:rsidRPr="00B275E2">
        <w:t>managing the quality of a GHG inventory</w:t>
      </w:r>
    </w:p>
    <w:p w14:paraId="28F1B968" w14:textId="3CA3FDB8" w:rsidR="00206E30" w:rsidRPr="00B275E2" w:rsidRDefault="00206E30" w:rsidP="00D36A4F">
      <w:pPr>
        <w:pStyle w:val="Bullet"/>
      </w:pPr>
      <w:r w:rsidRPr="00B275E2">
        <w:t xml:space="preserve">content of </w:t>
      </w:r>
      <w:r w:rsidR="00ED26A1" w:rsidRPr="00B275E2">
        <w:t xml:space="preserve">a </w:t>
      </w:r>
      <w:r w:rsidRPr="00B275E2">
        <w:t>GHG report</w:t>
      </w:r>
      <w:bookmarkStart w:id="51" w:name="_Hlk530037436"/>
      <w:r w:rsidR="00E80E1E" w:rsidRPr="00B275E2">
        <w:t>.</w:t>
      </w:r>
    </w:p>
    <w:p w14:paraId="49CF74A3" w14:textId="156B5818" w:rsidR="00206E30" w:rsidRPr="00B275E2" w:rsidRDefault="00206E30" w:rsidP="006B7605">
      <w:pPr>
        <w:pStyle w:val="Heading3"/>
      </w:pPr>
      <w:bookmarkStart w:id="52" w:name="_How_emission_sources"/>
      <w:bookmarkStart w:id="53" w:name="_Ref532821687"/>
      <w:bookmarkStart w:id="54" w:name="_Toc532904846"/>
      <w:bookmarkEnd w:id="50"/>
      <w:bookmarkEnd w:id="51"/>
      <w:bookmarkEnd w:id="52"/>
      <w:r w:rsidRPr="00B275E2">
        <w:t>How emission sources are categorised</w:t>
      </w:r>
      <w:bookmarkEnd w:id="53"/>
      <w:bookmarkEnd w:id="54"/>
    </w:p>
    <w:p w14:paraId="36BA5E9E" w14:textId="4A6F807B" w:rsidR="00206E30" w:rsidRPr="00B275E2" w:rsidRDefault="00206E30" w:rsidP="007F0B1E">
      <w:pPr>
        <w:pStyle w:val="BodyText"/>
        <w:spacing w:after="100"/>
      </w:pPr>
      <w:r w:rsidRPr="00B275E2">
        <w:t>The</w:t>
      </w:r>
      <w:r w:rsidRPr="00B275E2">
        <w:rPr>
          <w:i/>
        </w:rPr>
        <w:t xml:space="preserve"> </w:t>
      </w:r>
      <w:hyperlink r:id="rId41" w:history="1">
        <w:r w:rsidRPr="00B275E2">
          <w:rPr>
            <w:rStyle w:val="Hyperlink"/>
            <w:spacing w:val="2"/>
          </w:rPr>
          <w:t>GHG Protocol</w:t>
        </w:r>
      </w:hyperlink>
      <w:r w:rsidRPr="00B275E2">
        <w:t xml:space="preserve"> </w:t>
      </w:r>
      <w:r w:rsidR="00ED26A1" w:rsidRPr="00B275E2">
        <w:t>place</w:t>
      </w:r>
      <w:r w:rsidRPr="00B275E2">
        <w:t>s emission sources into Scope 1, Scope 2 and Scope 3 activities</w:t>
      </w:r>
      <w:r w:rsidR="00ED26A1" w:rsidRPr="00B275E2">
        <w:t xml:space="preserve">. </w:t>
      </w:r>
    </w:p>
    <w:p w14:paraId="26CC9F3A" w14:textId="58242139" w:rsidR="00206E30" w:rsidRPr="00B275E2" w:rsidRDefault="479232FA" w:rsidP="00122C0A">
      <w:pPr>
        <w:pStyle w:val="Bullet"/>
      </w:pPr>
      <w:r>
        <w:t>Scope 1: Direct GHG emissions from sources owned or controlled by the company (ie, within the organisational boundary). For example, emissions from combustion of fuel in vehicles</w:t>
      </w:r>
      <w:r w:rsidR="09A5D66B">
        <w:t xml:space="preserve"> owned or controlled by the organisation</w:t>
      </w:r>
      <w:r>
        <w:t xml:space="preserve">. </w:t>
      </w:r>
    </w:p>
    <w:p w14:paraId="13054705" w14:textId="74C2187E" w:rsidR="00206E30" w:rsidRPr="00B275E2" w:rsidRDefault="00206E30" w:rsidP="00122C0A">
      <w:pPr>
        <w:pStyle w:val="Bullet"/>
      </w:pPr>
      <w:r>
        <w:t xml:space="preserve">Scope 2: Indirect GHG emissions from the generation of purchased energy (in the form of electricity, heat or steam) </w:t>
      </w:r>
      <w:r w:rsidR="0093657E">
        <w:t>that</w:t>
      </w:r>
      <w:r>
        <w:t xml:space="preserve"> the </w:t>
      </w:r>
      <w:r w:rsidR="00950C0B">
        <w:t>organisation</w:t>
      </w:r>
      <w:r w:rsidR="0093657E">
        <w:t xml:space="preserve"> uses</w:t>
      </w:r>
      <w:r>
        <w:t xml:space="preserve">. </w:t>
      </w:r>
    </w:p>
    <w:p w14:paraId="4C824137" w14:textId="5051EA12" w:rsidR="00206E30" w:rsidRPr="00B275E2" w:rsidRDefault="0CA79FE7" w:rsidP="00122C0A">
      <w:pPr>
        <w:pStyle w:val="Bullet"/>
      </w:pPr>
      <w:r>
        <w:t>Scope 3: Other indirect GHG emissions occurring because of the activities of the</w:t>
      </w:r>
      <w:r w:rsidR="05E6B465">
        <w:t xml:space="preserve"> organisation</w:t>
      </w:r>
      <w:r>
        <w:t xml:space="preserve"> but generated from sources </w:t>
      </w:r>
      <w:r w:rsidR="5F5907C8">
        <w:t xml:space="preserve">that </w:t>
      </w:r>
      <w:r w:rsidR="05E6B465">
        <w:t>it</w:t>
      </w:r>
      <w:r w:rsidR="5F5907C8">
        <w:t xml:space="preserve"> does not own or control</w:t>
      </w:r>
      <w:r>
        <w:t xml:space="preserve"> (eg, air travel). </w:t>
      </w:r>
    </w:p>
    <w:p w14:paraId="3C0CAFE0" w14:textId="32A0D1BD" w:rsidR="00206E30" w:rsidRPr="00B275E2" w:rsidRDefault="00954B9C" w:rsidP="007F0B1E">
      <w:pPr>
        <w:pStyle w:val="BodyText"/>
        <w:spacing w:after="100"/>
      </w:pPr>
      <w:hyperlink r:id="rId42" w:history="1">
        <w:r w:rsidR="00206E30" w:rsidRPr="00B275E2">
          <w:rPr>
            <w:rStyle w:val="Hyperlink"/>
          </w:rPr>
          <w:t>ISO 14064-1</w:t>
        </w:r>
        <w:r w:rsidR="00330EAD" w:rsidRPr="00B275E2">
          <w:rPr>
            <w:rStyle w:val="Hyperlink"/>
          </w:rPr>
          <w:t>:2018</w:t>
        </w:r>
      </w:hyperlink>
      <w:r w:rsidR="00206E30" w:rsidRPr="00B275E2">
        <w:t xml:space="preserve"> categorises emissions as direct or indirect sources. This is to manage double counting of emissions (such as between an electricity generator’s direct emissions associated with generation and the indirect emissions linked to the user of that electricity). </w:t>
      </w:r>
      <w:r w:rsidR="00C6317C" w:rsidRPr="00B275E2">
        <w:t xml:space="preserve">The </w:t>
      </w:r>
      <w:r w:rsidR="002A6CC4" w:rsidRPr="00B275E2">
        <w:t>terminology of ‘Categories’ is used in ISO 14064</w:t>
      </w:r>
      <w:r w:rsidR="00CF3584" w:rsidRPr="00B275E2">
        <w:t>-</w:t>
      </w:r>
      <w:r w:rsidR="002A6CC4" w:rsidRPr="00B275E2">
        <w:t>1:2018, replacing the use of ‘Scopes’</w:t>
      </w:r>
      <w:r w:rsidR="00CF3584" w:rsidRPr="00B275E2">
        <w:t>.</w:t>
      </w:r>
    </w:p>
    <w:p w14:paraId="68C6EA5A" w14:textId="0D0B6F3A" w:rsidR="001B3080" w:rsidRPr="00B275E2" w:rsidRDefault="007D55A4" w:rsidP="007F0B1E">
      <w:pPr>
        <w:pStyle w:val="BodyText"/>
        <w:spacing w:after="100"/>
      </w:pPr>
      <w:r w:rsidRPr="00B275E2">
        <w:t xml:space="preserve">The GHG Protocol </w:t>
      </w:r>
      <w:hyperlink r:id="rId43" w:history="1">
        <w:r w:rsidR="00897AD6" w:rsidRPr="00B275E2">
          <w:rPr>
            <w:rStyle w:val="Hyperlink"/>
            <w:i/>
            <w:iCs/>
          </w:rPr>
          <w:t>Corporate Value Chain (Scope 3) Accounting and Reporting Standard</w:t>
        </w:r>
      </w:hyperlink>
      <w:r w:rsidR="00897AD6" w:rsidRPr="00B275E2">
        <w:t xml:space="preserve"> </w:t>
      </w:r>
      <w:r w:rsidR="00AE155E" w:rsidRPr="00B275E2">
        <w:t>goes</w:t>
      </w:r>
      <w:r w:rsidR="00122C0A" w:rsidRPr="00B275E2">
        <w:t> </w:t>
      </w:r>
      <w:r w:rsidR="00AE155E" w:rsidRPr="00B275E2">
        <w:t>into more detail</w:t>
      </w:r>
      <w:r w:rsidR="002D66CD" w:rsidRPr="00B275E2">
        <w:t xml:space="preserve"> providing a</w:t>
      </w:r>
      <w:r w:rsidR="001B14AD" w:rsidRPr="00B275E2">
        <w:t xml:space="preserve"> method to enable GHG </w:t>
      </w:r>
      <w:r w:rsidR="00375E45" w:rsidRPr="00B275E2">
        <w:t xml:space="preserve">management of </w:t>
      </w:r>
      <w:r w:rsidR="00494524" w:rsidRPr="00B275E2">
        <w:t>organisations’ value</w:t>
      </w:r>
      <w:r w:rsidR="00122C0A" w:rsidRPr="00B275E2">
        <w:t> </w:t>
      </w:r>
      <w:r w:rsidR="00494524" w:rsidRPr="00B275E2">
        <w:t xml:space="preserve">chains. </w:t>
      </w:r>
      <w:r w:rsidR="00ED131B" w:rsidRPr="00B275E2">
        <w:t>Users should be aware that in this standard, Scope 3 is broken down into 15 ‘Categories’. These should not be confused with the Categories outlined in ISO 14064-1:2018.</w:t>
      </w:r>
      <w:r w:rsidR="002F6D7F" w:rsidRPr="00B275E2">
        <w:t xml:space="preserve"> </w:t>
      </w:r>
    </w:p>
    <w:p w14:paraId="48693AE2" w14:textId="36505A66" w:rsidR="000D3678" w:rsidRPr="00B275E2" w:rsidRDefault="00206E30" w:rsidP="007F0B1E">
      <w:pPr>
        <w:pStyle w:val="BodyText"/>
        <w:spacing w:after="100"/>
      </w:pPr>
      <w:r w:rsidRPr="00B275E2">
        <w:t xml:space="preserve">The guide </w:t>
      </w:r>
      <w:r w:rsidR="00D915D3" w:rsidRPr="00B275E2">
        <w:t xml:space="preserve">reports emission factors for </w:t>
      </w:r>
      <w:r w:rsidRPr="00B275E2">
        <w:t>direct (Scope 1)</w:t>
      </w:r>
      <w:r w:rsidR="00D915D3" w:rsidRPr="00B275E2">
        <w:t xml:space="preserve"> and</w:t>
      </w:r>
      <w:r w:rsidRPr="00B275E2">
        <w:t xml:space="preserve"> indirect (Scope 2) </w:t>
      </w:r>
      <w:r w:rsidR="00D915D3" w:rsidRPr="00B275E2">
        <w:t xml:space="preserve">emissions and a limited set of </w:t>
      </w:r>
      <w:r w:rsidRPr="00B275E2">
        <w:t>indirect (Scope 3) emissions,</w:t>
      </w:r>
      <w:r w:rsidR="00ED26A1" w:rsidRPr="00B275E2">
        <w:t xml:space="preserve"> as summarised in</w:t>
      </w:r>
      <w:r w:rsidRPr="00B275E2">
        <w:t xml:space="preserve"> </w:t>
      </w:r>
      <w:r w:rsidR="00FB197E" w:rsidRPr="00B275E2">
        <w:t>table 2</w:t>
      </w:r>
      <w:r w:rsidRPr="00B275E2">
        <w:t>.</w:t>
      </w:r>
    </w:p>
    <w:p w14:paraId="2E02B6C7" w14:textId="301DB10E" w:rsidR="009C2CAF" w:rsidRPr="00B275E2" w:rsidRDefault="00206E30" w:rsidP="00122C0A">
      <w:pPr>
        <w:pStyle w:val="Tableheading"/>
      </w:pPr>
      <w:bookmarkStart w:id="55" w:name="_Ref532379207"/>
      <w:bookmarkStart w:id="56" w:name="_Toc111536607"/>
      <w:r w:rsidRPr="00B275E2">
        <w:t xml:space="preserve">Table </w:t>
      </w:r>
      <w:r w:rsidRPr="00B275E2">
        <w:fldChar w:fldCharType="begin"/>
      </w:r>
      <w:r w:rsidRPr="00B275E2">
        <w:instrText>SEQ Table \* ARABIC</w:instrText>
      </w:r>
      <w:r w:rsidRPr="00B275E2">
        <w:fldChar w:fldCharType="separate"/>
      </w:r>
      <w:r w:rsidR="003E141C" w:rsidRPr="00B275E2">
        <w:t>2</w:t>
      </w:r>
      <w:r w:rsidRPr="00B275E2">
        <w:fldChar w:fldCharType="end"/>
      </w:r>
      <w:bookmarkEnd w:id="55"/>
      <w:r w:rsidRPr="00B275E2">
        <w:t>:</w:t>
      </w:r>
      <w:r w:rsidRPr="00B275E2">
        <w:tab/>
      </w:r>
      <w:r w:rsidR="00253690" w:rsidRPr="00B275E2">
        <w:t>Emissions by scope, category and source category</w:t>
      </w:r>
      <w:bookmarkEnd w:id="56"/>
    </w:p>
    <w:tbl>
      <w:tblPr>
        <w:tblStyle w:val="LightList-Accent11"/>
        <w:tblW w:w="8442" w:type="dxa"/>
        <w:tblBorders>
          <w:top w:val="single" w:sz="4" w:space="0" w:color="1B556B"/>
          <w:bottom w:val="single" w:sz="4" w:space="0" w:color="1B556B"/>
          <w:insideH w:val="single" w:sz="4" w:space="0" w:color="1B556B"/>
          <w:insideV w:val="single" w:sz="4" w:space="0" w:color="1B556B"/>
        </w:tblBorders>
        <w:tblLook w:val="04A0" w:firstRow="1" w:lastRow="0" w:firstColumn="1" w:lastColumn="0" w:noHBand="0" w:noVBand="1"/>
      </w:tblPr>
      <w:tblGrid>
        <w:gridCol w:w="1609"/>
        <w:gridCol w:w="1625"/>
        <w:gridCol w:w="2700"/>
        <w:gridCol w:w="2508"/>
      </w:tblGrid>
      <w:tr w:rsidR="00774924" w:rsidRPr="00B275E2" w14:paraId="5824F3CA" w14:textId="77777777" w:rsidTr="00122C0A">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609" w:type="dxa"/>
            <w:shd w:val="clear" w:color="auto" w:fill="1B556B"/>
            <w:vAlign w:val="bottom"/>
          </w:tcPr>
          <w:p w14:paraId="1D8F8B29" w14:textId="0378BB7E" w:rsidR="00B128E6" w:rsidRPr="00B275E2" w:rsidRDefault="00B128E6" w:rsidP="00B128E6">
            <w:pPr>
              <w:pStyle w:val="TableTextbold"/>
              <w:spacing w:before="40" w:after="40" w:line="240" w:lineRule="auto"/>
              <w:rPr>
                <w:b/>
              </w:rPr>
            </w:pPr>
            <w:r w:rsidRPr="00B275E2">
              <w:rPr>
                <w:b/>
              </w:rPr>
              <w:t>Scope</w:t>
            </w:r>
            <w:r w:rsidR="00253690" w:rsidRPr="00B275E2">
              <w:rPr>
                <w:b/>
              </w:rPr>
              <w:t xml:space="preserve">s used in the </w:t>
            </w:r>
            <w:r w:rsidR="00F3434B" w:rsidRPr="00B275E2">
              <w:rPr>
                <w:b/>
              </w:rPr>
              <w:br/>
            </w:r>
            <w:r w:rsidR="00253690" w:rsidRPr="00B275E2">
              <w:rPr>
                <w:b/>
              </w:rPr>
              <w:t>GHG Protocol</w:t>
            </w:r>
          </w:p>
        </w:tc>
        <w:tc>
          <w:tcPr>
            <w:tcW w:w="1625" w:type="dxa"/>
            <w:shd w:val="clear" w:color="auto" w:fill="1B556B"/>
            <w:vAlign w:val="bottom"/>
          </w:tcPr>
          <w:p w14:paraId="74518EB5" w14:textId="7BFF1294" w:rsidR="00B128E6" w:rsidRPr="00B275E2" w:rsidRDefault="00B128E6" w:rsidP="00B128E6">
            <w:pPr>
              <w:pStyle w:val="TableTextbold"/>
              <w:spacing w:before="40" w:after="40" w:line="240" w:lineRule="auto"/>
              <w:cnfStyle w:val="100000000000" w:firstRow="1" w:lastRow="0" w:firstColumn="0" w:lastColumn="0" w:oddVBand="0" w:evenVBand="0" w:oddHBand="0" w:evenHBand="0" w:firstRowFirstColumn="0" w:firstRowLastColumn="0" w:lastRowFirstColumn="0" w:lastRowLastColumn="0"/>
              <w:rPr>
                <w:b/>
              </w:rPr>
            </w:pPr>
            <w:r w:rsidRPr="00B275E2">
              <w:rPr>
                <w:b/>
              </w:rPr>
              <w:t>Categor</w:t>
            </w:r>
            <w:r w:rsidR="00253690" w:rsidRPr="00B275E2">
              <w:rPr>
                <w:b/>
              </w:rPr>
              <w:t xml:space="preserve">ies used in </w:t>
            </w:r>
            <w:r w:rsidR="00F3434B" w:rsidRPr="00B275E2">
              <w:rPr>
                <w:b/>
              </w:rPr>
              <w:br/>
            </w:r>
            <w:r w:rsidR="00253690" w:rsidRPr="00B275E2">
              <w:rPr>
                <w:b/>
              </w:rPr>
              <w:t>ISO 14064-1:2018</w:t>
            </w:r>
          </w:p>
        </w:tc>
        <w:tc>
          <w:tcPr>
            <w:tcW w:w="2700" w:type="dxa"/>
            <w:shd w:val="clear" w:color="auto" w:fill="1B556B"/>
            <w:vAlign w:val="bottom"/>
          </w:tcPr>
          <w:p w14:paraId="26DA55A6" w14:textId="609A3873" w:rsidR="00B128E6" w:rsidRPr="00B275E2" w:rsidRDefault="00B128E6" w:rsidP="00B128E6">
            <w:pPr>
              <w:pStyle w:val="TableTextbold"/>
              <w:spacing w:before="40" w:after="40" w:line="240" w:lineRule="auto"/>
              <w:cnfStyle w:val="100000000000" w:firstRow="1" w:lastRow="0" w:firstColumn="0" w:lastColumn="0" w:oddVBand="0" w:evenVBand="0" w:oddHBand="0" w:evenHBand="0" w:firstRowFirstColumn="0" w:firstRowLastColumn="0" w:lastRowFirstColumn="0" w:lastRowLastColumn="0"/>
              <w:rPr>
                <w:b/>
              </w:rPr>
            </w:pPr>
            <w:r w:rsidRPr="00B275E2">
              <w:rPr>
                <w:b/>
              </w:rPr>
              <w:t>Direct/Indirect emissions and removals</w:t>
            </w:r>
          </w:p>
        </w:tc>
        <w:tc>
          <w:tcPr>
            <w:tcW w:w="2508" w:type="dxa"/>
            <w:shd w:val="clear" w:color="auto" w:fill="1B556B"/>
            <w:vAlign w:val="bottom"/>
          </w:tcPr>
          <w:p w14:paraId="3BA4857C" w14:textId="1B25D6E2" w:rsidR="00B128E6" w:rsidRPr="00B275E2" w:rsidRDefault="00B128E6" w:rsidP="00B128E6">
            <w:pPr>
              <w:pStyle w:val="TableTextbold"/>
              <w:spacing w:before="40" w:after="40" w:line="240" w:lineRule="auto"/>
              <w:cnfStyle w:val="100000000000" w:firstRow="1" w:lastRow="0" w:firstColumn="0" w:lastColumn="0" w:oddVBand="0" w:evenVBand="0" w:oddHBand="0" w:evenHBand="0" w:firstRowFirstColumn="0" w:firstRowLastColumn="0" w:lastRowFirstColumn="0" w:lastRowLastColumn="0"/>
            </w:pPr>
            <w:r w:rsidRPr="00B275E2">
              <w:rPr>
                <w:b/>
              </w:rPr>
              <w:t xml:space="preserve">Source </w:t>
            </w:r>
          </w:p>
        </w:tc>
      </w:tr>
      <w:tr w:rsidR="00774924" w:rsidRPr="00B275E2" w14:paraId="47C239D2" w14:textId="77777777" w:rsidTr="00557D1B">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1609" w:type="dxa"/>
            <w:vMerge w:val="restart"/>
            <w:tcBorders>
              <w:left w:val="single" w:sz="4" w:space="0" w:color="FFFFFF" w:themeColor="background1"/>
            </w:tcBorders>
          </w:tcPr>
          <w:p w14:paraId="1CA982C6" w14:textId="77777777" w:rsidR="00B128E6" w:rsidRPr="00B275E2" w:rsidRDefault="00B128E6" w:rsidP="00B128E6">
            <w:pPr>
              <w:pStyle w:val="TableText"/>
              <w:spacing w:before="40" w:after="40" w:line="240" w:lineRule="auto"/>
              <w:rPr>
                <w:b w:val="0"/>
                <w:bCs w:val="0"/>
              </w:rPr>
            </w:pPr>
            <w:r w:rsidRPr="00B275E2">
              <w:rPr>
                <w:b w:val="0"/>
                <w:bCs w:val="0"/>
              </w:rPr>
              <w:lastRenderedPageBreak/>
              <w:t>Scope 1</w:t>
            </w:r>
          </w:p>
        </w:tc>
        <w:tc>
          <w:tcPr>
            <w:tcW w:w="1625" w:type="dxa"/>
            <w:vMerge w:val="restart"/>
          </w:tcPr>
          <w:p w14:paraId="7C5B9B83" w14:textId="4746449B" w:rsidR="00B128E6" w:rsidRPr="00B275E2" w:rsidRDefault="00B128E6" w:rsidP="00B128E6">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pPr>
            <w:r w:rsidRPr="00B275E2">
              <w:t>Category 1</w:t>
            </w:r>
          </w:p>
        </w:tc>
        <w:tc>
          <w:tcPr>
            <w:tcW w:w="2700" w:type="dxa"/>
            <w:vMerge w:val="restart"/>
          </w:tcPr>
          <w:p w14:paraId="2E0A991B" w14:textId="3C5AA43D" w:rsidR="00B128E6" w:rsidRPr="00B275E2" w:rsidRDefault="00B128E6" w:rsidP="00B128E6">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pPr>
            <w:r w:rsidRPr="00B275E2">
              <w:t>Direct GHG emissions and removals</w:t>
            </w:r>
          </w:p>
        </w:tc>
        <w:tc>
          <w:tcPr>
            <w:tcW w:w="2508" w:type="dxa"/>
            <w:tcBorders>
              <w:right w:val="single" w:sz="4" w:space="0" w:color="FFFFFF" w:themeColor="background1"/>
            </w:tcBorders>
          </w:tcPr>
          <w:p w14:paraId="3FD20058" w14:textId="15B164A3" w:rsidR="00B128E6" w:rsidRPr="00B275E2" w:rsidRDefault="00B128E6" w:rsidP="00B128E6">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pPr>
            <w:r w:rsidRPr="00B275E2">
              <w:t xml:space="preserve">Fuel </w:t>
            </w:r>
          </w:p>
        </w:tc>
      </w:tr>
      <w:tr w:rsidR="00931480" w:rsidRPr="00B275E2" w14:paraId="619133ED" w14:textId="77777777" w:rsidTr="00557D1B">
        <w:trPr>
          <w:trHeight w:val="250"/>
        </w:trPr>
        <w:tc>
          <w:tcPr>
            <w:cnfStyle w:val="001000000000" w:firstRow="0" w:lastRow="0" w:firstColumn="1" w:lastColumn="0" w:oddVBand="0" w:evenVBand="0" w:oddHBand="0" w:evenHBand="0" w:firstRowFirstColumn="0" w:firstRowLastColumn="0" w:lastRowFirstColumn="0" w:lastRowLastColumn="0"/>
            <w:tcW w:w="1609" w:type="dxa"/>
            <w:vMerge/>
            <w:tcBorders>
              <w:left w:val="single" w:sz="4" w:space="0" w:color="FFFFFF" w:themeColor="background1"/>
            </w:tcBorders>
          </w:tcPr>
          <w:p w14:paraId="01310722" w14:textId="77777777" w:rsidR="00B128E6" w:rsidRPr="00B275E2" w:rsidRDefault="00B128E6" w:rsidP="00B128E6">
            <w:pPr>
              <w:pStyle w:val="TableText"/>
              <w:spacing w:before="40" w:after="40" w:line="240" w:lineRule="auto"/>
              <w:rPr>
                <w:b w:val="0"/>
              </w:rPr>
            </w:pPr>
          </w:p>
        </w:tc>
        <w:tc>
          <w:tcPr>
            <w:tcW w:w="1625" w:type="dxa"/>
            <w:vMerge/>
          </w:tcPr>
          <w:p w14:paraId="76E5C273" w14:textId="77777777" w:rsidR="00B128E6" w:rsidRPr="00B275E2" w:rsidRDefault="00B128E6" w:rsidP="00B128E6">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p>
        </w:tc>
        <w:tc>
          <w:tcPr>
            <w:tcW w:w="2700" w:type="dxa"/>
            <w:vMerge/>
          </w:tcPr>
          <w:p w14:paraId="50EB4EA9" w14:textId="46E5BF39" w:rsidR="00B128E6" w:rsidRPr="00B275E2" w:rsidRDefault="00B128E6" w:rsidP="00B128E6">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p>
        </w:tc>
        <w:tc>
          <w:tcPr>
            <w:tcW w:w="2508" w:type="dxa"/>
            <w:tcBorders>
              <w:right w:val="single" w:sz="4" w:space="0" w:color="FFFFFF" w:themeColor="background1"/>
            </w:tcBorders>
          </w:tcPr>
          <w:p w14:paraId="559D1953" w14:textId="516E6E19" w:rsidR="00B128E6" w:rsidRPr="00B275E2" w:rsidRDefault="00B128E6" w:rsidP="00B128E6">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275E2">
              <w:t>Refrigerant and medical gases*</w:t>
            </w:r>
          </w:p>
        </w:tc>
      </w:tr>
      <w:tr w:rsidR="00587D75" w:rsidRPr="00B275E2" w14:paraId="37428254" w14:textId="77777777" w:rsidTr="00557D1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609" w:type="dxa"/>
            <w:vMerge/>
            <w:tcBorders>
              <w:left w:val="single" w:sz="4" w:space="0" w:color="FFFFFF" w:themeColor="background1"/>
            </w:tcBorders>
          </w:tcPr>
          <w:p w14:paraId="1A81F3B3" w14:textId="77777777" w:rsidR="00B128E6" w:rsidRPr="00B275E2" w:rsidRDefault="00B128E6" w:rsidP="00B128E6">
            <w:pPr>
              <w:pStyle w:val="TableText"/>
              <w:spacing w:before="40" w:after="40" w:line="240" w:lineRule="auto"/>
              <w:rPr>
                <w:b w:val="0"/>
              </w:rPr>
            </w:pPr>
          </w:p>
        </w:tc>
        <w:tc>
          <w:tcPr>
            <w:tcW w:w="1625" w:type="dxa"/>
            <w:vMerge/>
          </w:tcPr>
          <w:p w14:paraId="16892AB0" w14:textId="77777777" w:rsidR="00B128E6" w:rsidRPr="00B275E2" w:rsidRDefault="00B128E6" w:rsidP="00B128E6">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pPr>
          </w:p>
        </w:tc>
        <w:tc>
          <w:tcPr>
            <w:tcW w:w="2700" w:type="dxa"/>
            <w:vMerge/>
          </w:tcPr>
          <w:p w14:paraId="066EE363" w14:textId="54B3F349" w:rsidR="00B128E6" w:rsidRPr="00B275E2" w:rsidRDefault="00B128E6" w:rsidP="00B128E6">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pPr>
          </w:p>
        </w:tc>
        <w:tc>
          <w:tcPr>
            <w:tcW w:w="2508" w:type="dxa"/>
            <w:tcBorders>
              <w:right w:val="single" w:sz="4" w:space="0" w:color="FFFFFF" w:themeColor="background1"/>
            </w:tcBorders>
          </w:tcPr>
          <w:p w14:paraId="45322636" w14:textId="1E3CD2FB" w:rsidR="00B128E6" w:rsidRPr="00B275E2" w:rsidRDefault="00B128E6" w:rsidP="00B128E6">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pPr>
            <w:r w:rsidRPr="00B275E2">
              <w:t>Agriculture, forestry</w:t>
            </w:r>
            <w:r w:rsidR="00E15FC2" w:rsidRPr="00B275E2">
              <w:t>,</w:t>
            </w:r>
            <w:r w:rsidRPr="00B275E2">
              <w:t xml:space="preserve"> and other land uses</w:t>
            </w:r>
          </w:p>
        </w:tc>
      </w:tr>
      <w:tr w:rsidR="003C2DDF" w:rsidRPr="00B275E2" w14:paraId="51EDF785" w14:textId="77777777" w:rsidTr="00557D1B">
        <w:trPr>
          <w:trHeight w:val="338"/>
        </w:trPr>
        <w:tc>
          <w:tcPr>
            <w:cnfStyle w:val="001000000000" w:firstRow="0" w:lastRow="0" w:firstColumn="1" w:lastColumn="0" w:oddVBand="0" w:evenVBand="0" w:oddHBand="0" w:evenHBand="0" w:firstRowFirstColumn="0" w:firstRowLastColumn="0" w:lastRowFirstColumn="0" w:lastRowLastColumn="0"/>
            <w:tcW w:w="1609" w:type="dxa"/>
            <w:tcBorders>
              <w:left w:val="single" w:sz="4" w:space="0" w:color="FFFFFF" w:themeColor="background1"/>
              <w:bottom w:val="single" w:sz="4" w:space="0" w:color="1C556C" w:themeColor="accent1"/>
            </w:tcBorders>
          </w:tcPr>
          <w:p w14:paraId="0D8EA3C4" w14:textId="77777777" w:rsidR="00B128E6" w:rsidRPr="00B275E2" w:rsidRDefault="00B128E6" w:rsidP="00B128E6">
            <w:pPr>
              <w:pStyle w:val="TableText"/>
              <w:spacing w:before="40" w:after="40" w:line="240" w:lineRule="auto"/>
              <w:rPr>
                <w:b w:val="0"/>
              </w:rPr>
            </w:pPr>
            <w:r w:rsidRPr="00B275E2">
              <w:rPr>
                <w:b w:val="0"/>
              </w:rPr>
              <w:t>Scope 2</w:t>
            </w:r>
          </w:p>
        </w:tc>
        <w:tc>
          <w:tcPr>
            <w:tcW w:w="1625" w:type="dxa"/>
            <w:tcBorders>
              <w:bottom w:val="single" w:sz="4" w:space="0" w:color="1C556C" w:themeColor="accent1"/>
            </w:tcBorders>
          </w:tcPr>
          <w:p w14:paraId="6613D987" w14:textId="5C85A77D" w:rsidR="00B128E6" w:rsidRPr="00B275E2" w:rsidRDefault="00B128E6" w:rsidP="00B128E6">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275E2">
              <w:t>Category 2</w:t>
            </w:r>
          </w:p>
        </w:tc>
        <w:tc>
          <w:tcPr>
            <w:tcW w:w="2700" w:type="dxa"/>
            <w:tcBorders>
              <w:bottom w:val="single" w:sz="4" w:space="0" w:color="1C556C" w:themeColor="accent1"/>
            </w:tcBorders>
          </w:tcPr>
          <w:p w14:paraId="342D421D" w14:textId="560056EE" w:rsidR="00B128E6" w:rsidRPr="00B275E2" w:rsidRDefault="00B128E6" w:rsidP="00B128E6">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275E2">
              <w:t>Indirect GHG emissions from imported energy</w:t>
            </w:r>
          </w:p>
        </w:tc>
        <w:tc>
          <w:tcPr>
            <w:tcW w:w="2508" w:type="dxa"/>
            <w:tcBorders>
              <w:bottom w:val="single" w:sz="4" w:space="0" w:color="1C556C" w:themeColor="accent1"/>
              <w:right w:val="single" w:sz="4" w:space="0" w:color="FFFFFF" w:themeColor="background1"/>
            </w:tcBorders>
          </w:tcPr>
          <w:p w14:paraId="0B21172D" w14:textId="6E8F7277" w:rsidR="00B128E6" w:rsidRPr="00B275E2" w:rsidRDefault="00B128E6" w:rsidP="00B128E6">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275E2">
              <w:t>Purchased energy</w:t>
            </w:r>
          </w:p>
        </w:tc>
      </w:tr>
      <w:tr w:rsidR="00AB039F" w:rsidRPr="00B275E2" w14:paraId="0788415A" w14:textId="77777777" w:rsidTr="00557D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9" w:type="dxa"/>
            <w:vMerge w:val="restart"/>
            <w:tcBorders>
              <w:top w:val="single" w:sz="4" w:space="0" w:color="1C556C" w:themeColor="accent1"/>
              <w:left w:val="single" w:sz="4" w:space="0" w:color="FFFFFF" w:themeColor="background1"/>
              <w:bottom w:val="single" w:sz="4" w:space="0" w:color="1C556C" w:themeColor="accent1"/>
            </w:tcBorders>
          </w:tcPr>
          <w:p w14:paraId="313D7F7C" w14:textId="77777777" w:rsidR="00AB039F" w:rsidRPr="00B275E2" w:rsidRDefault="00AB039F" w:rsidP="00B128E6">
            <w:pPr>
              <w:pStyle w:val="TableText"/>
              <w:spacing w:before="40" w:after="40" w:line="240" w:lineRule="auto"/>
              <w:rPr>
                <w:b w:val="0"/>
              </w:rPr>
            </w:pPr>
            <w:r w:rsidRPr="00B275E2">
              <w:rPr>
                <w:b w:val="0"/>
              </w:rPr>
              <w:t>Scope 3</w:t>
            </w:r>
          </w:p>
        </w:tc>
        <w:tc>
          <w:tcPr>
            <w:tcW w:w="1625" w:type="dxa"/>
            <w:vMerge w:val="restart"/>
            <w:tcBorders>
              <w:top w:val="single" w:sz="4" w:space="0" w:color="1C556C" w:themeColor="accent1"/>
              <w:bottom w:val="single" w:sz="4" w:space="0" w:color="1C556C" w:themeColor="accent1"/>
            </w:tcBorders>
          </w:tcPr>
          <w:p w14:paraId="1887B6F4" w14:textId="70693E1C" w:rsidR="00AB039F" w:rsidRPr="00B275E2" w:rsidRDefault="00AB039F" w:rsidP="00B128E6">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pPr>
            <w:r w:rsidRPr="00B275E2">
              <w:t>Category 3</w:t>
            </w:r>
          </w:p>
        </w:tc>
        <w:tc>
          <w:tcPr>
            <w:tcW w:w="2700" w:type="dxa"/>
            <w:vMerge w:val="restart"/>
            <w:tcBorders>
              <w:top w:val="single" w:sz="4" w:space="0" w:color="1C556C" w:themeColor="accent1"/>
              <w:bottom w:val="single" w:sz="4" w:space="0" w:color="1C556C" w:themeColor="accent1"/>
            </w:tcBorders>
          </w:tcPr>
          <w:p w14:paraId="1F508D8B" w14:textId="043C4DF7" w:rsidR="00AB039F" w:rsidRPr="00B275E2" w:rsidRDefault="00AB039F" w:rsidP="00B128E6">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pPr>
            <w:r w:rsidRPr="00B275E2">
              <w:t>Indirect GHG emissions from transportation</w:t>
            </w:r>
          </w:p>
        </w:tc>
        <w:tc>
          <w:tcPr>
            <w:tcW w:w="2508" w:type="dxa"/>
            <w:tcBorders>
              <w:top w:val="single" w:sz="4" w:space="0" w:color="1C556C" w:themeColor="accent1"/>
              <w:bottom w:val="single" w:sz="4" w:space="0" w:color="1C556C" w:themeColor="accent1"/>
              <w:right w:val="single" w:sz="4" w:space="0" w:color="FFFFFF" w:themeColor="background1"/>
            </w:tcBorders>
          </w:tcPr>
          <w:p w14:paraId="222AED9F" w14:textId="10273938" w:rsidR="00AB039F" w:rsidRPr="00B275E2" w:rsidRDefault="00AB039F" w:rsidP="00B128E6">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pPr>
            <w:r w:rsidRPr="00B275E2">
              <w:t>Business travel</w:t>
            </w:r>
          </w:p>
        </w:tc>
      </w:tr>
      <w:tr w:rsidR="00AB039F" w:rsidRPr="00B275E2" w14:paraId="52E61255" w14:textId="77777777" w:rsidTr="00557D1B">
        <w:trPr>
          <w:trHeight w:val="145"/>
        </w:trPr>
        <w:tc>
          <w:tcPr>
            <w:cnfStyle w:val="001000000000" w:firstRow="0" w:lastRow="0" w:firstColumn="1" w:lastColumn="0" w:oddVBand="0" w:evenVBand="0" w:oddHBand="0" w:evenHBand="0" w:firstRowFirstColumn="0" w:firstRowLastColumn="0" w:lastRowFirstColumn="0" w:lastRowLastColumn="0"/>
            <w:tcW w:w="1609" w:type="dxa"/>
            <w:vMerge/>
            <w:tcBorders>
              <w:top w:val="single" w:sz="4" w:space="0" w:color="1C556C" w:themeColor="accent1"/>
              <w:left w:val="single" w:sz="4" w:space="0" w:color="FFFFFF" w:themeColor="background1"/>
              <w:bottom w:val="single" w:sz="4" w:space="0" w:color="1C556C" w:themeColor="accent1"/>
            </w:tcBorders>
          </w:tcPr>
          <w:p w14:paraId="22E29EDA" w14:textId="77777777" w:rsidR="00AB039F" w:rsidRPr="00B275E2" w:rsidRDefault="00AB039F" w:rsidP="00B128E6">
            <w:pPr>
              <w:pStyle w:val="TableText"/>
              <w:spacing w:before="40" w:after="40" w:line="240" w:lineRule="auto"/>
            </w:pPr>
          </w:p>
        </w:tc>
        <w:tc>
          <w:tcPr>
            <w:tcW w:w="1625" w:type="dxa"/>
            <w:vMerge/>
            <w:tcBorders>
              <w:top w:val="single" w:sz="4" w:space="0" w:color="1C556C" w:themeColor="accent1"/>
              <w:bottom w:val="single" w:sz="4" w:space="0" w:color="1C556C" w:themeColor="accent1"/>
            </w:tcBorders>
          </w:tcPr>
          <w:p w14:paraId="2CAC342E" w14:textId="77777777" w:rsidR="00AB039F" w:rsidRPr="00B275E2" w:rsidRDefault="00AB039F" w:rsidP="00B128E6">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p>
        </w:tc>
        <w:tc>
          <w:tcPr>
            <w:tcW w:w="2700" w:type="dxa"/>
            <w:vMerge/>
            <w:tcBorders>
              <w:top w:val="single" w:sz="4" w:space="0" w:color="1C556C" w:themeColor="accent1"/>
              <w:bottom w:val="single" w:sz="4" w:space="0" w:color="1C556C" w:themeColor="accent1"/>
            </w:tcBorders>
          </w:tcPr>
          <w:p w14:paraId="6AF4D05C" w14:textId="330046E3" w:rsidR="00AB039F" w:rsidRPr="00B275E2" w:rsidRDefault="00AB039F" w:rsidP="00B128E6">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p>
        </w:tc>
        <w:tc>
          <w:tcPr>
            <w:tcW w:w="2508" w:type="dxa"/>
            <w:tcBorders>
              <w:top w:val="single" w:sz="4" w:space="0" w:color="1C556C" w:themeColor="accent1"/>
              <w:bottom w:val="single" w:sz="4" w:space="0" w:color="1C556C" w:themeColor="accent1"/>
              <w:right w:val="single" w:sz="4" w:space="0" w:color="FFFFFF" w:themeColor="background1"/>
            </w:tcBorders>
          </w:tcPr>
          <w:p w14:paraId="3BB37719" w14:textId="37C6E4DC" w:rsidR="00AB039F" w:rsidRPr="00B275E2" w:rsidRDefault="00BA7FEE" w:rsidP="00B128E6">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t>Employee</w:t>
            </w:r>
            <w:r w:rsidR="00AB039F" w:rsidRPr="00B275E2">
              <w:t xml:space="preserve"> commute</w:t>
            </w:r>
            <w:r>
              <w:t xml:space="preserve"> (travel)</w:t>
            </w:r>
          </w:p>
        </w:tc>
      </w:tr>
      <w:tr w:rsidR="00AB039F" w:rsidRPr="00B275E2" w14:paraId="13133ED3" w14:textId="77777777" w:rsidTr="00557D1B">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1609" w:type="dxa"/>
            <w:vMerge/>
            <w:tcBorders>
              <w:top w:val="single" w:sz="4" w:space="0" w:color="1C556C" w:themeColor="accent1"/>
              <w:left w:val="single" w:sz="4" w:space="0" w:color="FFFFFF" w:themeColor="background1"/>
              <w:bottom w:val="single" w:sz="4" w:space="0" w:color="1C556C" w:themeColor="accent1"/>
            </w:tcBorders>
          </w:tcPr>
          <w:p w14:paraId="113FD27F" w14:textId="77777777" w:rsidR="00AB039F" w:rsidRPr="00B275E2" w:rsidRDefault="00AB039F" w:rsidP="00B128E6">
            <w:pPr>
              <w:pStyle w:val="TableText"/>
              <w:spacing w:before="40" w:after="40" w:line="240" w:lineRule="auto"/>
            </w:pPr>
          </w:p>
        </w:tc>
        <w:tc>
          <w:tcPr>
            <w:tcW w:w="1625" w:type="dxa"/>
            <w:vMerge/>
            <w:tcBorders>
              <w:top w:val="single" w:sz="4" w:space="0" w:color="1C556C" w:themeColor="accent1"/>
              <w:bottom w:val="single" w:sz="4" w:space="0" w:color="1C556C" w:themeColor="accent1"/>
            </w:tcBorders>
          </w:tcPr>
          <w:p w14:paraId="16231790" w14:textId="77777777" w:rsidR="00AB039F" w:rsidRPr="00B275E2" w:rsidRDefault="00AB039F" w:rsidP="00B128E6">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pPr>
          </w:p>
        </w:tc>
        <w:tc>
          <w:tcPr>
            <w:tcW w:w="2700" w:type="dxa"/>
            <w:vMerge/>
            <w:tcBorders>
              <w:top w:val="single" w:sz="4" w:space="0" w:color="1C556C" w:themeColor="accent1"/>
              <w:bottom w:val="single" w:sz="4" w:space="0" w:color="1C556C" w:themeColor="accent1"/>
            </w:tcBorders>
          </w:tcPr>
          <w:p w14:paraId="587AF979" w14:textId="3774C7D5" w:rsidR="00AB039F" w:rsidRPr="00B275E2" w:rsidRDefault="00AB039F" w:rsidP="00B128E6">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pPr>
          </w:p>
        </w:tc>
        <w:tc>
          <w:tcPr>
            <w:tcW w:w="2508" w:type="dxa"/>
            <w:tcBorders>
              <w:top w:val="single" w:sz="4" w:space="0" w:color="1C556C" w:themeColor="accent1"/>
              <w:bottom w:val="single" w:sz="4" w:space="0" w:color="1C556C" w:themeColor="accent1"/>
              <w:right w:val="single" w:sz="4" w:space="0" w:color="FFFFFF" w:themeColor="background1"/>
            </w:tcBorders>
          </w:tcPr>
          <w:p w14:paraId="382AE723" w14:textId="3C76F91A" w:rsidR="00AB039F" w:rsidRPr="00B275E2" w:rsidRDefault="00AB039F" w:rsidP="00B128E6">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pPr>
            <w:r w:rsidRPr="00B275E2">
              <w:t>Freight transport</w:t>
            </w:r>
          </w:p>
        </w:tc>
      </w:tr>
      <w:tr w:rsidR="00AB039F" w:rsidRPr="00B275E2" w14:paraId="1C8890E0" w14:textId="77777777" w:rsidTr="00557D1B">
        <w:trPr>
          <w:trHeight w:val="455"/>
        </w:trPr>
        <w:tc>
          <w:tcPr>
            <w:cnfStyle w:val="001000000000" w:firstRow="0" w:lastRow="0" w:firstColumn="1" w:lastColumn="0" w:oddVBand="0" w:evenVBand="0" w:oddHBand="0" w:evenHBand="0" w:firstRowFirstColumn="0" w:firstRowLastColumn="0" w:lastRowFirstColumn="0" w:lastRowLastColumn="0"/>
            <w:tcW w:w="1609" w:type="dxa"/>
            <w:vMerge/>
            <w:tcBorders>
              <w:top w:val="single" w:sz="4" w:space="0" w:color="1C556C" w:themeColor="accent1"/>
              <w:left w:val="single" w:sz="4" w:space="0" w:color="FFFFFF" w:themeColor="background1"/>
              <w:bottom w:val="single" w:sz="4" w:space="0" w:color="1C556C" w:themeColor="accent1"/>
            </w:tcBorders>
          </w:tcPr>
          <w:p w14:paraId="645DD099" w14:textId="77777777" w:rsidR="00AB039F" w:rsidRPr="00B275E2" w:rsidRDefault="00AB039F" w:rsidP="00B128E6">
            <w:pPr>
              <w:pStyle w:val="TableText"/>
              <w:spacing w:before="40" w:after="40" w:line="240" w:lineRule="auto"/>
            </w:pPr>
          </w:p>
        </w:tc>
        <w:tc>
          <w:tcPr>
            <w:tcW w:w="1625" w:type="dxa"/>
            <w:vMerge/>
            <w:tcBorders>
              <w:top w:val="single" w:sz="4" w:space="0" w:color="1C556C" w:themeColor="accent1"/>
              <w:bottom w:val="single" w:sz="4" w:space="0" w:color="1C556C" w:themeColor="accent1"/>
            </w:tcBorders>
          </w:tcPr>
          <w:p w14:paraId="3B0D8695" w14:textId="77777777" w:rsidR="00AB039F" w:rsidRPr="00B275E2" w:rsidRDefault="00AB039F" w:rsidP="00B128E6">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p>
        </w:tc>
        <w:tc>
          <w:tcPr>
            <w:tcW w:w="2700" w:type="dxa"/>
            <w:vMerge/>
            <w:tcBorders>
              <w:top w:val="single" w:sz="4" w:space="0" w:color="1C556C" w:themeColor="accent1"/>
              <w:bottom w:val="single" w:sz="4" w:space="0" w:color="1C556C" w:themeColor="accent1"/>
            </w:tcBorders>
          </w:tcPr>
          <w:p w14:paraId="7E1858A7" w14:textId="6AE70090" w:rsidR="00AB039F" w:rsidRPr="00B275E2" w:rsidRDefault="00AB039F" w:rsidP="00B128E6">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p>
        </w:tc>
        <w:tc>
          <w:tcPr>
            <w:tcW w:w="2508" w:type="dxa"/>
            <w:tcBorders>
              <w:top w:val="single" w:sz="4" w:space="0" w:color="1C556C" w:themeColor="accent1"/>
              <w:bottom w:val="single" w:sz="4" w:space="0" w:color="1C556C" w:themeColor="accent1"/>
              <w:right w:val="single" w:sz="4" w:space="0" w:color="FFFFFF" w:themeColor="background1"/>
            </w:tcBorders>
          </w:tcPr>
          <w:p w14:paraId="501994D2" w14:textId="3B3F2FF0" w:rsidR="00AB039F" w:rsidRPr="00B275E2" w:rsidRDefault="00AB039F" w:rsidP="00B128E6">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275E2">
              <w:t>Refrigerant use (from chilled transport or air conditioner)</w:t>
            </w:r>
          </w:p>
        </w:tc>
      </w:tr>
      <w:tr w:rsidR="00AB039F" w:rsidRPr="00B275E2" w14:paraId="0B0903B4" w14:textId="77777777" w:rsidTr="00557D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9" w:type="dxa"/>
            <w:vMerge/>
            <w:tcBorders>
              <w:top w:val="single" w:sz="4" w:space="0" w:color="1C556C" w:themeColor="accent1"/>
              <w:left w:val="single" w:sz="4" w:space="0" w:color="FFFFFF" w:themeColor="background1"/>
              <w:bottom w:val="single" w:sz="4" w:space="0" w:color="1C556C" w:themeColor="accent1"/>
            </w:tcBorders>
          </w:tcPr>
          <w:p w14:paraId="0A772312" w14:textId="77777777" w:rsidR="00AB039F" w:rsidRPr="00B275E2" w:rsidRDefault="00AB039F" w:rsidP="00B128E6">
            <w:pPr>
              <w:pStyle w:val="TableText"/>
              <w:spacing w:before="40" w:after="40" w:line="240" w:lineRule="auto"/>
            </w:pPr>
          </w:p>
        </w:tc>
        <w:tc>
          <w:tcPr>
            <w:tcW w:w="1625" w:type="dxa"/>
            <w:vMerge/>
            <w:tcBorders>
              <w:top w:val="single" w:sz="4" w:space="0" w:color="1C556C" w:themeColor="accent1"/>
              <w:bottom w:val="single" w:sz="4" w:space="0" w:color="1C556C" w:themeColor="accent1"/>
            </w:tcBorders>
          </w:tcPr>
          <w:p w14:paraId="17891EF7" w14:textId="77777777" w:rsidR="00AB039F" w:rsidRPr="00B275E2" w:rsidRDefault="00AB039F" w:rsidP="00B128E6">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pPr>
          </w:p>
        </w:tc>
        <w:tc>
          <w:tcPr>
            <w:tcW w:w="2700" w:type="dxa"/>
            <w:vMerge/>
            <w:tcBorders>
              <w:top w:val="single" w:sz="4" w:space="0" w:color="1C556C" w:themeColor="accent1"/>
              <w:bottom w:val="single" w:sz="4" w:space="0" w:color="1C556C" w:themeColor="accent1"/>
            </w:tcBorders>
          </w:tcPr>
          <w:p w14:paraId="7BED4A0A" w14:textId="5C1A2160" w:rsidR="00AB039F" w:rsidRPr="00B275E2" w:rsidRDefault="00AB039F" w:rsidP="00B128E6">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pPr>
          </w:p>
        </w:tc>
        <w:tc>
          <w:tcPr>
            <w:tcW w:w="2508" w:type="dxa"/>
            <w:tcBorders>
              <w:top w:val="single" w:sz="4" w:space="0" w:color="1C556C" w:themeColor="accent1"/>
              <w:bottom w:val="single" w:sz="4" w:space="0" w:color="1C556C" w:themeColor="accent1"/>
              <w:right w:val="single" w:sz="4" w:space="0" w:color="FFFFFF" w:themeColor="background1"/>
            </w:tcBorders>
          </w:tcPr>
          <w:p w14:paraId="780B0A2B" w14:textId="717F54AF" w:rsidR="00AB039F" w:rsidRPr="00B275E2" w:rsidRDefault="00AB039F" w:rsidP="00B128E6">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pPr>
            <w:r w:rsidRPr="00B275E2">
              <w:t>Working from home</w:t>
            </w:r>
          </w:p>
        </w:tc>
      </w:tr>
      <w:tr w:rsidR="00AB039F" w:rsidRPr="00B275E2" w14:paraId="30425CA1" w14:textId="77777777" w:rsidTr="00557D1B">
        <w:trPr>
          <w:trHeight w:val="250"/>
        </w:trPr>
        <w:tc>
          <w:tcPr>
            <w:cnfStyle w:val="001000000000" w:firstRow="0" w:lastRow="0" w:firstColumn="1" w:lastColumn="0" w:oddVBand="0" w:evenVBand="0" w:oddHBand="0" w:evenHBand="0" w:firstRowFirstColumn="0" w:firstRowLastColumn="0" w:lastRowFirstColumn="0" w:lastRowLastColumn="0"/>
            <w:tcW w:w="1609" w:type="dxa"/>
            <w:vMerge w:val="restart"/>
            <w:tcBorders>
              <w:top w:val="single" w:sz="4" w:space="0" w:color="1C556C" w:themeColor="accent1"/>
              <w:left w:val="single" w:sz="4" w:space="0" w:color="FFFFFF" w:themeColor="background1"/>
              <w:bottom w:val="single" w:sz="4" w:space="0" w:color="1C556C" w:themeColor="accent1"/>
            </w:tcBorders>
          </w:tcPr>
          <w:p w14:paraId="3E2A9573" w14:textId="77777777" w:rsidR="00AB039F" w:rsidRPr="00B275E2" w:rsidRDefault="00AB039F" w:rsidP="00B128E6">
            <w:pPr>
              <w:pStyle w:val="TableText"/>
              <w:spacing w:before="40" w:after="40" w:line="240" w:lineRule="auto"/>
              <w:rPr>
                <w:b w:val="0"/>
                <w:bCs w:val="0"/>
              </w:rPr>
            </w:pPr>
          </w:p>
        </w:tc>
        <w:tc>
          <w:tcPr>
            <w:tcW w:w="1625" w:type="dxa"/>
            <w:vMerge w:val="restart"/>
            <w:tcBorders>
              <w:top w:val="single" w:sz="4" w:space="0" w:color="1C556C" w:themeColor="accent1"/>
              <w:bottom w:val="single" w:sz="4" w:space="0" w:color="1C556C" w:themeColor="accent1"/>
            </w:tcBorders>
          </w:tcPr>
          <w:p w14:paraId="23535E15" w14:textId="32F34732" w:rsidR="00AB039F" w:rsidRPr="00B275E2" w:rsidRDefault="00AB039F" w:rsidP="00B128E6">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275E2">
              <w:t>Category 4</w:t>
            </w:r>
          </w:p>
        </w:tc>
        <w:tc>
          <w:tcPr>
            <w:tcW w:w="2700" w:type="dxa"/>
            <w:vMerge w:val="restart"/>
            <w:tcBorders>
              <w:top w:val="single" w:sz="4" w:space="0" w:color="1C556C" w:themeColor="accent1"/>
              <w:bottom w:val="single" w:sz="4" w:space="0" w:color="1C556C" w:themeColor="accent1"/>
            </w:tcBorders>
          </w:tcPr>
          <w:p w14:paraId="02B43FD6" w14:textId="0B42F8E7" w:rsidR="00AB039F" w:rsidRPr="00B275E2" w:rsidRDefault="00AB039F" w:rsidP="00B128E6">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275E2">
              <w:t>Indirect GHG emissions from products an organisation uses</w:t>
            </w:r>
          </w:p>
        </w:tc>
        <w:tc>
          <w:tcPr>
            <w:tcW w:w="2508" w:type="dxa"/>
            <w:tcBorders>
              <w:top w:val="single" w:sz="4" w:space="0" w:color="1C556C" w:themeColor="accent1"/>
              <w:bottom w:val="single" w:sz="4" w:space="0" w:color="1C556C" w:themeColor="accent1"/>
              <w:right w:val="single" w:sz="4" w:space="0" w:color="FFFFFF" w:themeColor="background1"/>
            </w:tcBorders>
          </w:tcPr>
          <w:p w14:paraId="5DA43CE5" w14:textId="021EEDB2" w:rsidR="00AB039F" w:rsidRPr="00B275E2" w:rsidRDefault="00AB039F" w:rsidP="00B128E6">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275E2">
              <w:t>Transmission and distribution losses</w:t>
            </w:r>
          </w:p>
        </w:tc>
      </w:tr>
      <w:tr w:rsidR="00AB039F" w:rsidRPr="00B275E2" w14:paraId="1D788F4E" w14:textId="77777777" w:rsidTr="00557D1B">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1609" w:type="dxa"/>
            <w:vMerge/>
            <w:tcBorders>
              <w:top w:val="single" w:sz="4" w:space="0" w:color="1C556C" w:themeColor="accent1"/>
              <w:left w:val="single" w:sz="4" w:space="0" w:color="FFFFFF" w:themeColor="background1"/>
              <w:bottom w:val="single" w:sz="4" w:space="0" w:color="1C556C" w:themeColor="accent1"/>
            </w:tcBorders>
          </w:tcPr>
          <w:p w14:paraId="1D0BA361" w14:textId="77777777" w:rsidR="00AB039F" w:rsidRPr="00B275E2" w:rsidRDefault="00AB039F" w:rsidP="00B128E6">
            <w:pPr>
              <w:pStyle w:val="TableText"/>
              <w:spacing w:before="40" w:after="40" w:line="240" w:lineRule="auto"/>
            </w:pPr>
          </w:p>
        </w:tc>
        <w:tc>
          <w:tcPr>
            <w:tcW w:w="1625" w:type="dxa"/>
            <w:vMerge/>
            <w:tcBorders>
              <w:top w:val="single" w:sz="4" w:space="0" w:color="1C556C" w:themeColor="accent1"/>
              <w:bottom w:val="single" w:sz="4" w:space="0" w:color="1C556C" w:themeColor="accent1"/>
            </w:tcBorders>
          </w:tcPr>
          <w:p w14:paraId="2F569BA1" w14:textId="77777777" w:rsidR="00AB039F" w:rsidRPr="00B275E2" w:rsidRDefault="00AB039F" w:rsidP="00B128E6">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pPr>
          </w:p>
        </w:tc>
        <w:tc>
          <w:tcPr>
            <w:tcW w:w="2700" w:type="dxa"/>
            <w:vMerge/>
            <w:tcBorders>
              <w:top w:val="single" w:sz="4" w:space="0" w:color="1C556C" w:themeColor="accent1"/>
              <w:bottom w:val="single" w:sz="4" w:space="0" w:color="1C556C" w:themeColor="accent1"/>
            </w:tcBorders>
          </w:tcPr>
          <w:p w14:paraId="62877716" w14:textId="78996222" w:rsidR="00AB039F" w:rsidRPr="00B275E2" w:rsidRDefault="00AB039F" w:rsidP="00B128E6">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pPr>
          </w:p>
        </w:tc>
        <w:tc>
          <w:tcPr>
            <w:tcW w:w="2508" w:type="dxa"/>
            <w:tcBorders>
              <w:top w:val="single" w:sz="4" w:space="0" w:color="1C556C" w:themeColor="accent1"/>
              <w:bottom w:val="single" w:sz="4" w:space="0" w:color="1C556C" w:themeColor="accent1"/>
              <w:right w:val="single" w:sz="4" w:space="0" w:color="FFFFFF" w:themeColor="background1"/>
            </w:tcBorders>
          </w:tcPr>
          <w:p w14:paraId="3E46C2DF" w14:textId="34057288" w:rsidR="00AB039F" w:rsidRPr="00B275E2" w:rsidRDefault="00AB039F" w:rsidP="00B128E6">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pPr>
            <w:r w:rsidRPr="00B275E2">
              <w:t>Water supply and wastewater treatment</w:t>
            </w:r>
          </w:p>
        </w:tc>
      </w:tr>
      <w:tr w:rsidR="00AB039F" w:rsidRPr="00B275E2" w14:paraId="55ABF312" w14:textId="77777777" w:rsidTr="00557D1B">
        <w:trPr>
          <w:trHeight w:val="350"/>
        </w:trPr>
        <w:tc>
          <w:tcPr>
            <w:cnfStyle w:val="001000000000" w:firstRow="0" w:lastRow="0" w:firstColumn="1" w:lastColumn="0" w:oddVBand="0" w:evenVBand="0" w:oddHBand="0" w:evenHBand="0" w:firstRowFirstColumn="0" w:firstRowLastColumn="0" w:lastRowFirstColumn="0" w:lastRowLastColumn="0"/>
            <w:tcW w:w="1609" w:type="dxa"/>
            <w:vMerge/>
            <w:tcBorders>
              <w:top w:val="single" w:sz="4" w:space="0" w:color="1C556C" w:themeColor="accent1"/>
              <w:left w:val="single" w:sz="4" w:space="0" w:color="FFFFFF" w:themeColor="background1"/>
              <w:bottom w:val="single" w:sz="4" w:space="0" w:color="1C556C" w:themeColor="accent1"/>
            </w:tcBorders>
          </w:tcPr>
          <w:p w14:paraId="7CE86A5F" w14:textId="77777777" w:rsidR="00AB039F" w:rsidRPr="00B275E2" w:rsidRDefault="00AB039F" w:rsidP="00B128E6">
            <w:pPr>
              <w:pStyle w:val="TableText"/>
              <w:spacing w:before="40" w:after="40" w:line="240" w:lineRule="auto"/>
            </w:pPr>
          </w:p>
        </w:tc>
        <w:tc>
          <w:tcPr>
            <w:tcW w:w="1625" w:type="dxa"/>
            <w:vMerge/>
            <w:tcBorders>
              <w:top w:val="single" w:sz="4" w:space="0" w:color="1C556C" w:themeColor="accent1"/>
              <w:bottom w:val="single" w:sz="4" w:space="0" w:color="1C556C" w:themeColor="accent1"/>
            </w:tcBorders>
          </w:tcPr>
          <w:p w14:paraId="27BE17EB" w14:textId="77777777" w:rsidR="00AB039F" w:rsidRPr="00B275E2" w:rsidRDefault="00AB039F" w:rsidP="00B128E6">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p>
        </w:tc>
        <w:tc>
          <w:tcPr>
            <w:tcW w:w="2700" w:type="dxa"/>
            <w:vMerge/>
            <w:tcBorders>
              <w:top w:val="single" w:sz="4" w:space="0" w:color="1C556C" w:themeColor="accent1"/>
              <w:bottom w:val="single" w:sz="4" w:space="0" w:color="1C556C" w:themeColor="accent1"/>
            </w:tcBorders>
          </w:tcPr>
          <w:p w14:paraId="7B45AF33" w14:textId="4E763438" w:rsidR="00AB039F" w:rsidRPr="00B275E2" w:rsidRDefault="00AB039F" w:rsidP="00B128E6">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p>
        </w:tc>
        <w:tc>
          <w:tcPr>
            <w:tcW w:w="2508" w:type="dxa"/>
            <w:tcBorders>
              <w:top w:val="single" w:sz="4" w:space="0" w:color="1C556C" w:themeColor="accent1"/>
              <w:bottom w:val="single" w:sz="4" w:space="0" w:color="1C556C" w:themeColor="accent1"/>
              <w:right w:val="single" w:sz="4" w:space="0" w:color="FFFFFF" w:themeColor="background1"/>
            </w:tcBorders>
          </w:tcPr>
          <w:p w14:paraId="1FBBA03B" w14:textId="2FE272A1" w:rsidR="00AB039F" w:rsidRPr="00B275E2" w:rsidRDefault="00AB039F" w:rsidP="00B128E6">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275E2">
              <w:t>Materials and waste</w:t>
            </w:r>
          </w:p>
        </w:tc>
      </w:tr>
      <w:tr w:rsidR="00AB039F" w:rsidRPr="00B275E2" w14:paraId="7E9555F3" w14:textId="77777777" w:rsidTr="00557D1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609" w:type="dxa"/>
            <w:vMerge/>
            <w:tcBorders>
              <w:top w:val="single" w:sz="4" w:space="0" w:color="1C556C" w:themeColor="accent1"/>
              <w:left w:val="single" w:sz="4" w:space="0" w:color="FFFFFF" w:themeColor="background1"/>
              <w:bottom w:val="single" w:sz="4" w:space="0" w:color="1C556C" w:themeColor="accent1"/>
            </w:tcBorders>
          </w:tcPr>
          <w:p w14:paraId="5D2F36AF" w14:textId="77777777" w:rsidR="00AB039F" w:rsidRPr="00B275E2" w:rsidRDefault="00AB039F" w:rsidP="00B128E6">
            <w:pPr>
              <w:pStyle w:val="TableText"/>
              <w:spacing w:before="40" w:after="40" w:line="240" w:lineRule="auto"/>
            </w:pPr>
          </w:p>
        </w:tc>
        <w:tc>
          <w:tcPr>
            <w:tcW w:w="1625" w:type="dxa"/>
            <w:tcBorders>
              <w:top w:val="single" w:sz="4" w:space="0" w:color="1C556C" w:themeColor="accent1"/>
              <w:bottom w:val="single" w:sz="4" w:space="0" w:color="1C556C" w:themeColor="accent1"/>
            </w:tcBorders>
          </w:tcPr>
          <w:p w14:paraId="7751D048" w14:textId="6F1143B3" w:rsidR="00AB039F" w:rsidRPr="00B275E2" w:rsidRDefault="00AB039F" w:rsidP="00B128E6">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pPr>
            <w:r w:rsidRPr="00B275E2">
              <w:t>Category 5</w:t>
            </w:r>
          </w:p>
        </w:tc>
        <w:tc>
          <w:tcPr>
            <w:tcW w:w="2700" w:type="dxa"/>
            <w:tcBorders>
              <w:top w:val="single" w:sz="4" w:space="0" w:color="1C556C" w:themeColor="accent1"/>
              <w:bottom w:val="single" w:sz="4" w:space="0" w:color="1C556C" w:themeColor="accent1"/>
            </w:tcBorders>
          </w:tcPr>
          <w:p w14:paraId="18B04BE6" w14:textId="5D9FC7E8" w:rsidR="00AB039F" w:rsidRPr="00B275E2" w:rsidRDefault="00AB039F" w:rsidP="00B128E6">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pPr>
            <w:r w:rsidRPr="00B275E2">
              <w:rPr>
                <w:rFonts w:cs="Calibri"/>
                <w:szCs w:val="18"/>
                <w:shd w:val="clear" w:color="auto" w:fill="FFFFFF"/>
              </w:rPr>
              <w:t>Indirect GHG emissions (use of products from the organisation)</w:t>
            </w:r>
          </w:p>
        </w:tc>
        <w:tc>
          <w:tcPr>
            <w:tcW w:w="2508" w:type="dxa"/>
            <w:tcBorders>
              <w:top w:val="single" w:sz="4" w:space="0" w:color="1C556C" w:themeColor="accent1"/>
              <w:bottom w:val="single" w:sz="4" w:space="0" w:color="1C556C" w:themeColor="accent1"/>
              <w:right w:val="single" w:sz="4" w:space="0" w:color="FFFFFF" w:themeColor="background1"/>
            </w:tcBorders>
          </w:tcPr>
          <w:p w14:paraId="3E5C8634" w14:textId="77777777" w:rsidR="00AB039F" w:rsidRPr="00B275E2" w:rsidRDefault="00AB039F" w:rsidP="00B128E6">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pPr>
          </w:p>
        </w:tc>
      </w:tr>
      <w:tr w:rsidR="00AB039F" w:rsidRPr="00B275E2" w14:paraId="7A90760D" w14:textId="77777777" w:rsidTr="00557D1B">
        <w:trPr>
          <w:trHeight w:val="350"/>
        </w:trPr>
        <w:tc>
          <w:tcPr>
            <w:cnfStyle w:val="001000000000" w:firstRow="0" w:lastRow="0" w:firstColumn="1" w:lastColumn="0" w:oddVBand="0" w:evenVBand="0" w:oddHBand="0" w:evenHBand="0" w:firstRowFirstColumn="0" w:firstRowLastColumn="0" w:lastRowFirstColumn="0" w:lastRowLastColumn="0"/>
            <w:tcW w:w="1609" w:type="dxa"/>
            <w:vMerge/>
            <w:tcBorders>
              <w:top w:val="single" w:sz="4" w:space="0" w:color="1C556C" w:themeColor="accent1"/>
              <w:left w:val="single" w:sz="4" w:space="0" w:color="FFFFFF" w:themeColor="background1"/>
            </w:tcBorders>
          </w:tcPr>
          <w:p w14:paraId="0335620C" w14:textId="77777777" w:rsidR="00AB039F" w:rsidRPr="00B275E2" w:rsidRDefault="00AB039F" w:rsidP="00B128E6">
            <w:pPr>
              <w:pStyle w:val="TableText"/>
              <w:spacing w:before="40" w:after="40" w:line="240" w:lineRule="auto"/>
            </w:pPr>
          </w:p>
        </w:tc>
        <w:tc>
          <w:tcPr>
            <w:tcW w:w="1625" w:type="dxa"/>
            <w:tcBorders>
              <w:top w:val="single" w:sz="4" w:space="0" w:color="1C556C" w:themeColor="accent1"/>
            </w:tcBorders>
          </w:tcPr>
          <w:p w14:paraId="31FF0E5F" w14:textId="23CE55C3" w:rsidR="00AB039F" w:rsidRPr="00B275E2" w:rsidRDefault="00AB039F" w:rsidP="00B128E6">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275E2">
              <w:t>Category 6</w:t>
            </w:r>
          </w:p>
        </w:tc>
        <w:tc>
          <w:tcPr>
            <w:tcW w:w="2700" w:type="dxa"/>
            <w:tcBorders>
              <w:top w:val="single" w:sz="4" w:space="0" w:color="1C556C" w:themeColor="accent1"/>
            </w:tcBorders>
          </w:tcPr>
          <w:p w14:paraId="20D72C35" w14:textId="4FC2475B" w:rsidR="00AB039F" w:rsidRPr="00B275E2" w:rsidRDefault="00AB039F" w:rsidP="00B128E6">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rPr>
                <w:rFonts w:cs="Calibri"/>
                <w:szCs w:val="18"/>
                <w:shd w:val="clear" w:color="auto" w:fill="FFFFFF"/>
              </w:rPr>
            </w:pPr>
            <w:r w:rsidRPr="00B275E2">
              <w:rPr>
                <w:rFonts w:cs="Calibri"/>
                <w:szCs w:val="18"/>
                <w:shd w:val="clear" w:color="auto" w:fill="FFFFFF"/>
              </w:rPr>
              <w:t>Indirect GHG emissions (other sources)</w:t>
            </w:r>
          </w:p>
        </w:tc>
        <w:tc>
          <w:tcPr>
            <w:tcW w:w="2508" w:type="dxa"/>
            <w:tcBorders>
              <w:top w:val="single" w:sz="4" w:space="0" w:color="1C556C" w:themeColor="accent1"/>
              <w:right w:val="single" w:sz="4" w:space="0" w:color="FFFFFF" w:themeColor="background1"/>
            </w:tcBorders>
          </w:tcPr>
          <w:p w14:paraId="79C7A1A0" w14:textId="77777777" w:rsidR="00AB039F" w:rsidRPr="00B275E2" w:rsidRDefault="00AB039F" w:rsidP="00B128E6">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p>
        </w:tc>
      </w:tr>
    </w:tbl>
    <w:p w14:paraId="29089DE8" w14:textId="05D164BD" w:rsidR="00206E30" w:rsidRPr="00B275E2" w:rsidRDefault="00206E30" w:rsidP="00122C0A">
      <w:pPr>
        <w:pStyle w:val="Note"/>
        <w:spacing w:after="0"/>
      </w:pPr>
      <w:bookmarkStart w:id="57" w:name="_Hlk532888203"/>
      <w:r w:rsidRPr="00B275E2">
        <w:t xml:space="preserve">Note: Depending on </w:t>
      </w:r>
      <w:r w:rsidR="00950C0B" w:rsidRPr="00B275E2">
        <w:t>your</w:t>
      </w:r>
      <w:r w:rsidRPr="00B275E2">
        <w:t xml:space="preserve"> organisation’s </w:t>
      </w:r>
      <w:r w:rsidR="003D1674" w:rsidRPr="00B275E2">
        <w:t>reporting</w:t>
      </w:r>
      <w:r w:rsidRPr="00B275E2">
        <w:t xml:space="preserve"> and financial boundaries, some </w:t>
      </w:r>
      <w:r w:rsidR="00A90D22" w:rsidRPr="00B275E2">
        <w:t>emission sources</w:t>
      </w:r>
      <w:r w:rsidRPr="00B275E2">
        <w:t xml:space="preserve"> may be either Scope 1 or Scope 3</w:t>
      </w:r>
      <w:r w:rsidR="000E290B" w:rsidRPr="00B275E2">
        <w:t>.</w:t>
      </w:r>
      <w:r w:rsidR="00825664" w:rsidRPr="00B275E2">
        <w:t xml:space="preserve"> </w:t>
      </w:r>
    </w:p>
    <w:p w14:paraId="60B253DE" w14:textId="1A3E00C2" w:rsidR="0009645C" w:rsidRPr="00B275E2" w:rsidRDefault="0009645C" w:rsidP="007F0B1E">
      <w:pPr>
        <w:pStyle w:val="Note"/>
        <w:spacing w:before="60" w:line="200" w:lineRule="atLeast"/>
      </w:pPr>
      <w:r w:rsidRPr="00B275E2">
        <w:t>* Emissions inventories, in line with the Greenhouse Gas Protocol, report only Kyoto Protocol gases under direct (Scope 1) emissions. All non-Kyoto gases, such as the Montreal Protocol refrigerant gases or medical gases, should be reported separately as ‘other gases’. However, ISO 14064-1:2018 requires all relevant direct (</w:t>
      </w:r>
      <w:r w:rsidR="001E15DC" w:rsidRPr="00B275E2">
        <w:t>S</w:t>
      </w:r>
      <w:r w:rsidRPr="00B275E2">
        <w:t xml:space="preserve">cope 1) emissions to be reported, in line with the </w:t>
      </w:r>
      <w:r w:rsidRPr="00B275E2">
        <w:rPr>
          <w:iCs/>
        </w:rPr>
        <w:t>Interactive workbook</w:t>
      </w:r>
      <w:r w:rsidRPr="00B275E2">
        <w:rPr>
          <w:i/>
        </w:rPr>
        <w:t>.</w:t>
      </w:r>
    </w:p>
    <w:p w14:paraId="1B47249B" w14:textId="67F639BE" w:rsidR="00D914D8" w:rsidRDefault="00ED26A1" w:rsidP="00122C0A">
      <w:pPr>
        <w:pStyle w:val="BodyText"/>
      </w:pPr>
      <w:bookmarkStart w:id="58" w:name="_Hlk532888226"/>
      <w:bookmarkEnd w:id="57"/>
      <w:r w:rsidRPr="00B275E2">
        <w:t>C</w:t>
      </w:r>
      <w:r w:rsidR="00206E30" w:rsidRPr="00B275E2">
        <w:t xml:space="preserve">urrently for direct emissions, </w:t>
      </w:r>
      <w:hyperlink r:id="rId44" w:history="1">
        <w:r w:rsidR="00206E30" w:rsidRPr="00B275E2">
          <w:rPr>
            <w:rStyle w:val="Hyperlink"/>
          </w:rPr>
          <w:t>ISO 14064-1</w:t>
        </w:r>
        <w:r w:rsidR="00330EAD" w:rsidRPr="00B275E2">
          <w:rPr>
            <w:rStyle w:val="Hyperlink"/>
          </w:rPr>
          <w:t>:2018</w:t>
        </w:r>
      </w:hyperlink>
      <w:r w:rsidR="00206E30" w:rsidRPr="00B275E2">
        <w:t xml:space="preserve"> requires that organisations report emissions by GHG as well as in carbon dioxide equivalents</w:t>
      </w:r>
      <w:r w:rsidRPr="00B275E2">
        <w:t xml:space="preserve"> (CO</w:t>
      </w:r>
      <w:r w:rsidRPr="00B275E2">
        <w:rPr>
          <w:vertAlign w:val="subscript"/>
        </w:rPr>
        <w:t>2</w:t>
      </w:r>
      <w:r w:rsidRPr="00B275E2">
        <w:t>-e)</w:t>
      </w:r>
      <w:r w:rsidR="00206E30" w:rsidRPr="00B275E2">
        <w:t>. Example calculations in this guide do so</w:t>
      </w:r>
      <w:r w:rsidR="00B8798E" w:rsidRPr="00B275E2">
        <w:t>. S</w:t>
      </w:r>
      <w:r w:rsidR="00206E30" w:rsidRPr="00B275E2">
        <w:t xml:space="preserve">ee the </w:t>
      </w:r>
      <w:hyperlink r:id="rId45" w:history="1">
        <w:r w:rsidR="00747516" w:rsidRPr="00B275E2">
          <w:rPr>
            <w:rStyle w:val="Hyperlink"/>
          </w:rPr>
          <w:t xml:space="preserve">2019 </w:t>
        </w:r>
        <w:r w:rsidR="000805DF" w:rsidRPr="00B275E2">
          <w:rPr>
            <w:rStyle w:val="Hyperlink"/>
          </w:rPr>
          <w:t>Example GHG Report</w:t>
        </w:r>
      </w:hyperlink>
      <w:r w:rsidR="000805DF" w:rsidRPr="00B275E2">
        <w:t xml:space="preserve"> and </w:t>
      </w:r>
      <w:r w:rsidR="00D70DAB" w:rsidRPr="00D637BC">
        <w:t>2019 Example GHG Inventory</w:t>
      </w:r>
      <w:r w:rsidR="00206E30" w:rsidRPr="00B275E2">
        <w:t xml:space="preserve"> for further examples.</w:t>
      </w:r>
      <w:bookmarkStart w:id="59" w:name="_How_to_calculate"/>
      <w:bookmarkStart w:id="60" w:name="_Toc530051490"/>
      <w:bookmarkStart w:id="61" w:name="_Toc530051519"/>
      <w:bookmarkStart w:id="62" w:name="_Toc530055798"/>
      <w:bookmarkStart w:id="63" w:name="_Ref532548882"/>
      <w:bookmarkStart w:id="64" w:name="_Ref532556630"/>
      <w:bookmarkStart w:id="65" w:name="_Ref532556657"/>
      <w:bookmarkStart w:id="66" w:name="_Ref532557549"/>
      <w:bookmarkStart w:id="67" w:name="_Ref532820773"/>
      <w:bookmarkStart w:id="68" w:name="_Toc532904847"/>
      <w:bookmarkStart w:id="69" w:name="_Toc600561"/>
      <w:bookmarkStart w:id="70" w:name="_Ref55219925"/>
      <w:bookmarkEnd w:id="32"/>
      <w:bookmarkEnd w:id="33"/>
      <w:bookmarkEnd w:id="58"/>
      <w:bookmarkEnd w:id="59"/>
    </w:p>
    <w:p w14:paraId="6C1223F5" w14:textId="77777777" w:rsidR="00D914D8" w:rsidRDefault="00D914D8">
      <w:pPr>
        <w:spacing w:after="200" w:line="276" w:lineRule="auto"/>
        <w:jc w:val="left"/>
        <w:rPr>
          <w:rFonts w:eastAsiaTheme="minorEastAsia" w:cstheme="minorBidi"/>
          <w:szCs w:val="22"/>
          <w:lang w:val="en-NZ" w:eastAsia="en-NZ"/>
        </w:rPr>
      </w:pPr>
      <w:r>
        <w:br w:type="page"/>
      </w:r>
    </w:p>
    <w:p w14:paraId="4CD10AF6" w14:textId="63A742AC" w:rsidR="00B17ABF" w:rsidRPr="00D914D8" w:rsidRDefault="00B17ABF" w:rsidP="00D914D8">
      <w:pPr>
        <w:pStyle w:val="Heading1"/>
      </w:pPr>
      <w:bookmarkStart w:id="71" w:name="_How_to_quantify"/>
      <w:bookmarkStart w:id="72" w:name="_Toc111536767"/>
      <w:bookmarkEnd w:id="71"/>
      <w:r w:rsidRPr="00D914D8">
        <w:lastRenderedPageBreak/>
        <w:t xml:space="preserve">How to </w:t>
      </w:r>
      <w:bookmarkEnd w:id="60"/>
      <w:bookmarkEnd w:id="61"/>
      <w:bookmarkEnd w:id="62"/>
      <w:bookmarkEnd w:id="63"/>
      <w:bookmarkEnd w:id="64"/>
      <w:bookmarkEnd w:id="65"/>
      <w:bookmarkEnd w:id="66"/>
      <w:bookmarkEnd w:id="67"/>
      <w:bookmarkEnd w:id="68"/>
      <w:r w:rsidR="00950C0B" w:rsidRPr="00D914D8">
        <w:t>quantify and report GHG</w:t>
      </w:r>
      <w:bookmarkEnd w:id="69"/>
      <w:r w:rsidR="00663D3A" w:rsidRPr="00D914D8">
        <w:t> </w:t>
      </w:r>
      <w:r w:rsidR="002C6649" w:rsidRPr="00D914D8">
        <w:t>emissions</w:t>
      </w:r>
      <w:bookmarkEnd w:id="70"/>
      <w:bookmarkEnd w:id="72"/>
    </w:p>
    <w:p w14:paraId="470461FF" w14:textId="316E2B82" w:rsidR="008D1B42" w:rsidRPr="00B275E2" w:rsidRDefault="00B17ABF" w:rsidP="007F0B1E">
      <w:pPr>
        <w:pStyle w:val="BodyText"/>
      </w:pPr>
      <w:r w:rsidRPr="00B275E2">
        <w:t xml:space="preserve">To </w:t>
      </w:r>
      <w:r w:rsidR="00F230F3" w:rsidRPr="00B275E2">
        <w:t xml:space="preserve">quantify and </w:t>
      </w:r>
      <w:r w:rsidRPr="00B275E2">
        <w:t xml:space="preserve">report GHG emissions, organisations need data about their </w:t>
      </w:r>
      <w:r w:rsidR="00E60829" w:rsidRPr="00B275E2">
        <w:t>activities (</w:t>
      </w:r>
      <w:r w:rsidR="004128C3" w:rsidRPr="00B275E2">
        <w:t>for example the</w:t>
      </w:r>
      <w:r w:rsidR="00E60829" w:rsidRPr="00B275E2">
        <w:t xml:space="preserve"> quantity of fuel used</w:t>
      </w:r>
      <w:r w:rsidRPr="00B275E2">
        <w:t>). They can then convert this into information about their emissions (measured in tonnes of CO</w:t>
      </w:r>
      <w:r w:rsidRPr="00B275E2">
        <w:rPr>
          <w:vertAlign w:val="subscript"/>
        </w:rPr>
        <w:t>2</w:t>
      </w:r>
      <w:r w:rsidRPr="00B275E2">
        <w:t>-e) using emission factors</w:t>
      </w:r>
      <w:r w:rsidR="00B8798E" w:rsidRPr="00B275E2">
        <w:t xml:space="preserve">. </w:t>
      </w:r>
    </w:p>
    <w:p w14:paraId="0A9E6041" w14:textId="3EC0BD38" w:rsidR="00B17ABF" w:rsidRPr="00B275E2" w:rsidRDefault="008D1B42" w:rsidP="007F0B1E">
      <w:pPr>
        <w:pStyle w:val="BodyText"/>
        <w:spacing w:after="240"/>
      </w:pPr>
      <w:r w:rsidRPr="00B275E2">
        <w:rPr>
          <w:b/>
        </w:rPr>
        <w:t>An emission factor</w:t>
      </w:r>
      <w:r w:rsidR="00B17ABF" w:rsidRPr="00B275E2">
        <w:t xml:space="preserve"> allows </w:t>
      </w:r>
      <w:r w:rsidR="00285D36" w:rsidRPr="00B275E2">
        <w:t xml:space="preserve">the estimation of </w:t>
      </w:r>
      <w:r w:rsidR="00B17ABF" w:rsidRPr="00B275E2">
        <w:t xml:space="preserve">GHG emissions from a unit of available activity data (eg, litres of fuel </w:t>
      </w:r>
      <w:r w:rsidR="00F230F3" w:rsidRPr="00B275E2">
        <w:t>us</w:t>
      </w:r>
      <w:r w:rsidR="00B17ABF" w:rsidRPr="00B275E2">
        <w:t>ed).</w:t>
      </w:r>
      <w:r w:rsidRPr="00B275E2">
        <w:t xml:space="preserve"> The factors are set out in the </w:t>
      </w:r>
      <w:hyperlink r:id="rId46" w:history="1">
        <w:r w:rsidR="00F230F3" w:rsidRPr="00B275E2">
          <w:rPr>
            <w:rStyle w:val="Hyperlink"/>
          </w:rPr>
          <w:t xml:space="preserve">Emission </w:t>
        </w:r>
        <w:r w:rsidR="006956FA" w:rsidRPr="00B275E2">
          <w:rPr>
            <w:rStyle w:val="Hyperlink"/>
          </w:rPr>
          <w:t>f</w:t>
        </w:r>
        <w:r w:rsidR="00F230F3" w:rsidRPr="00B275E2">
          <w:rPr>
            <w:rStyle w:val="Hyperlink"/>
          </w:rPr>
          <w:t xml:space="preserve">actors </w:t>
        </w:r>
        <w:r w:rsidR="006956FA" w:rsidRPr="00B275E2">
          <w:rPr>
            <w:rStyle w:val="Hyperlink"/>
          </w:rPr>
          <w:t>s</w:t>
        </w:r>
        <w:r w:rsidR="00F230F3" w:rsidRPr="00B275E2">
          <w:rPr>
            <w:rStyle w:val="Hyperlink"/>
          </w:rPr>
          <w:t>ummary</w:t>
        </w:r>
      </w:hyperlink>
      <w:r w:rsidR="00F230F3" w:rsidRPr="00B275E2">
        <w:t xml:space="preserve"> and the </w:t>
      </w:r>
      <w:r w:rsidR="009A30EE" w:rsidRPr="00D637BC">
        <w:t>Emission factors workbook.</w:t>
      </w:r>
    </w:p>
    <w:tbl>
      <w:tblPr>
        <w:tblW w:w="8505"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5"/>
      </w:tblGrid>
      <w:tr w:rsidR="009A0989" w:rsidRPr="00B275E2" w14:paraId="049B560A" w14:textId="77777777" w:rsidTr="00B11EDC">
        <w:tc>
          <w:tcPr>
            <w:tcW w:w="8505" w:type="dxa"/>
            <w:tcBorders>
              <w:top w:val="single" w:sz="4" w:space="0" w:color="0F7B7D"/>
              <w:left w:val="single" w:sz="4" w:space="0" w:color="0F7B7D"/>
              <w:bottom w:val="nil"/>
              <w:right w:val="single" w:sz="4" w:space="0" w:color="0F7B7D"/>
            </w:tcBorders>
            <w:shd w:val="clear" w:color="auto" w:fill="0F7B7D"/>
            <w:vAlign w:val="center"/>
          </w:tcPr>
          <w:p w14:paraId="31CF9BDE" w14:textId="711A3BA8" w:rsidR="009A0989" w:rsidRPr="00B275E2" w:rsidDel="00D5390D" w:rsidRDefault="009A0989" w:rsidP="00FC287D">
            <w:pPr>
              <w:pStyle w:val="Casestudyheading"/>
            </w:pPr>
            <w:r w:rsidRPr="00B275E2">
              <w:t>CALCULATION METHODOLOGY</w:t>
            </w:r>
          </w:p>
        </w:tc>
      </w:tr>
      <w:tr w:rsidR="009A0989" w:rsidRPr="00B275E2" w14:paraId="6B430544" w14:textId="77777777" w:rsidTr="00B11EDC">
        <w:tc>
          <w:tcPr>
            <w:tcW w:w="8505" w:type="dxa"/>
            <w:tcBorders>
              <w:top w:val="nil"/>
              <w:left w:val="single" w:sz="4" w:space="0" w:color="CFE5E5"/>
              <w:bottom w:val="single" w:sz="4" w:space="0" w:color="CFE5E5"/>
              <w:right w:val="single" w:sz="4" w:space="0" w:color="CFE5E5"/>
            </w:tcBorders>
            <w:shd w:val="clear" w:color="auto" w:fill="D5EBE8"/>
          </w:tcPr>
          <w:p w14:paraId="6D408FE8" w14:textId="277AA32B" w:rsidR="009A0989" w:rsidRPr="00B275E2" w:rsidRDefault="009A0989" w:rsidP="00AB0C7F">
            <w:pPr>
              <w:pStyle w:val="Boxtext"/>
              <w:spacing w:after="0"/>
            </w:pPr>
            <w:r w:rsidRPr="00B275E2">
              <w:t xml:space="preserve">E = Q </w:t>
            </w:r>
            <w:r w:rsidR="00B96968" w:rsidRPr="00B275E2">
              <w:rPr>
                <w:rFonts w:cs="Calibri"/>
              </w:rPr>
              <w:t>×</w:t>
            </w:r>
            <w:r w:rsidRPr="00B275E2">
              <w:t xml:space="preserve"> F</w:t>
            </w:r>
          </w:p>
          <w:p w14:paraId="60DDB05D" w14:textId="77777777" w:rsidR="009A0989" w:rsidRPr="00B275E2" w:rsidRDefault="009A0989" w:rsidP="00905090">
            <w:pPr>
              <w:pStyle w:val="Boxtext"/>
              <w:spacing w:after="60"/>
            </w:pPr>
            <w:r w:rsidRPr="00B275E2">
              <w:t>Where:</w:t>
            </w:r>
          </w:p>
          <w:p w14:paraId="33C3CE01" w14:textId="430CB689" w:rsidR="009A0989" w:rsidRPr="00B275E2" w:rsidRDefault="009A0989" w:rsidP="00905090">
            <w:pPr>
              <w:pStyle w:val="Boxtext"/>
              <w:tabs>
                <w:tab w:val="left" w:pos="1128"/>
              </w:tabs>
              <w:spacing w:before="20" w:after="20"/>
            </w:pPr>
            <w:r w:rsidRPr="00B275E2">
              <w:t>E</w:t>
            </w:r>
            <w:r w:rsidRPr="00B275E2">
              <w:tab/>
              <w:t>=</w:t>
            </w:r>
            <w:r w:rsidRPr="00B275E2">
              <w:tab/>
              <w:t>emissions from the emissions source in kg CO</w:t>
            </w:r>
            <w:r w:rsidRPr="00B275E2">
              <w:rPr>
                <w:vertAlign w:val="subscript"/>
              </w:rPr>
              <w:t>2</w:t>
            </w:r>
            <w:r w:rsidRPr="00B275E2">
              <w:t>-e per year</w:t>
            </w:r>
          </w:p>
          <w:p w14:paraId="79C2DD9E" w14:textId="5ADE6D0B" w:rsidR="009A0989" w:rsidRPr="00B275E2" w:rsidRDefault="009A0989" w:rsidP="00905090">
            <w:pPr>
              <w:pStyle w:val="Boxtext"/>
              <w:tabs>
                <w:tab w:val="left" w:pos="1128"/>
              </w:tabs>
              <w:spacing w:before="20" w:after="20"/>
            </w:pPr>
            <w:r w:rsidRPr="00B275E2">
              <w:t>Q</w:t>
            </w:r>
            <w:r w:rsidRPr="00B275E2">
              <w:tab/>
              <w:t>=</w:t>
            </w:r>
            <w:r w:rsidRPr="00B275E2">
              <w:tab/>
              <w:t>activity data</w:t>
            </w:r>
            <w:r w:rsidR="00D914D8">
              <w:t>,</w:t>
            </w:r>
            <w:r w:rsidRPr="00B275E2">
              <w:t xml:space="preserve"> eg</w:t>
            </w:r>
            <w:r w:rsidR="00BD685C" w:rsidRPr="00B275E2">
              <w:t>,</w:t>
            </w:r>
            <w:r w:rsidRPr="00B275E2">
              <w:t xml:space="preserve"> quantity of fuel used</w:t>
            </w:r>
          </w:p>
          <w:p w14:paraId="43BCEDC2" w14:textId="77777777" w:rsidR="009A0989" w:rsidRPr="00B275E2" w:rsidRDefault="009A0989" w:rsidP="00905090">
            <w:pPr>
              <w:pStyle w:val="Boxtext"/>
              <w:tabs>
                <w:tab w:val="left" w:pos="1128"/>
              </w:tabs>
              <w:spacing w:before="20" w:after="20"/>
            </w:pPr>
            <w:r w:rsidRPr="00B275E2">
              <w:t>F</w:t>
            </w:r>
            <w:r w:rsidRPr="00B275E2">
              <w:tab/>
              <w:t>=</w:t>
            </w:r>
            <w:r w:rsidRPr="00B275E2">
              <w:tab/>
              <w:t>emission factor for emissions source</w:t>
            </w:r>
          </w:p>
          <w:p w14:paraId="41FA12F4" w14:textId="12853A21" w:rsidR="009A0989" w:rsidRPr="00B275E2" w:rsidRDefault="009A0989" w:rsidP="00905090">
            <w:pPr>
              <w:pStyle w:val="Boxtext"/>
              <w:spacing w:after="80"/>
            </w:pPr>
            <w:r w:rsidRPr="00B275E2">
              <w:t xml:space="preserve">This formula applies to the calculation of </w:t>
            </w:r>
            <w:r w:rsidR="008D1B42" w:rsidRPr="00B275E2">
              <w:t xml:space="preserve">both </w:t>
            </w:r>
            <w:r w:rsidRPr="00B275E2">
              <w:t>CO</w:t>
            </w:r>
            <w:r w:rsidRPr="00B275E2">
              <w:rPr>
                <w:vertAlign w:val="subscript"/>
              </w:rPr>
              <w:t>2</w:t>
            </w:r>
            <w:r w:rsidRPr="00B275E2">
              <w:t xml:space="preserve">-e emissions and individual </w:t>
            </w:r>
            <w:r w:rsidR="00D86618" w:rsidRPr="00B275E2">
              <w:t>carbon dioxide</w:t>
            </w:r>
            <w:r w:rsidRPr="00B275E2">
              <w:t xml:space="preserve">, </w:t>
            </w:r>
            <w:r w:rsidR="00D86618" w:rsidRPr="00B275E2">
              <w:t xml:space="preserve">methane </w:t>
            </w:r>
            <w:r w:rsidRPr="00B275E2">
              <w:t xml:space="preserve">and </w:t>
            </w:r>
            <w:r w:rsidR="00D86618" w:rsidRPr="00B275E2">
              <w:t xml:space="preserve">nitrous oxide </w:t>
            </w:r>
            <w:r w:rsidRPr="00B275E2">
              <w:t>emissions, with the appropriate emission factors applied for F.</w:t>
            </w:r>
          </w:p>
          <w:p w14:paraId="68965B8C" w14:textId="2A4764D2" w:rsidR="009A0989" w:rsidRPr="00B275E2" w:rsidRDefault="009A0989" w:rsidP="00905090">
            <w:pPr>
              <w:pStyle w:val="Boxtext"/>
              <w:spacing w:after="180"/>
            </w:pPr>
            <w:r w:rsidRPr="00B275E2">
              <w:t>The preferred form of data is in the units expressed in the emission factor tables, which results in the most accurate emission calculation. If the data cannot be collected in this unit</w:t>
            </w:r>
            <w:r w:rsidR="008D1B42" w:rsidRPr="00B275E2">
              <w:t xml:space="preserve">, use the </w:t>
            </w:r>
            <w:r w:rsidRPr="00B275E2">
              <w:t xml:space="preserve">appropriate conversion factors. </w:t>
            </w:r>
          </w:p>
        </w:tc>
      </w:tr>
    </w:tbl>
    <w:p w14:paraId="01A7747C" w14:textId="4A3A5B5F" w:rsidR="0092578C" w:rsidRPr="00B275E2" w:rsidRDefault="001A749D" w:rsidP="00905090">
      <w:pPr>
        <w:pStyle w:val="BodyText"/>
        <w:spacing w:before="240"/>
      </w:pPr>
      <w:bookmarkStart w:id="73" w:name="_Hlk532888370"/>
      <w:r w:rsidRPr="00B275E2">
        <w:t>A</w:t>
      </w:r>
      <w:r w:rsidR="00301928" w:rsidRPr="00B275E2">
        <w:t xml:space="preserve"> </w:t>
      </w:r>
      <w:r w:rsidR="00301928" w:rsidRPr="00B275E2">
        <w:rPr>
          <w:b/>
        </w:rPr>
        <w:t>GHG</w:t>
      </w:r>
      <w:r w:rsidRPr="00B275E2">
        <w:rPr>
          <w:b/>
        </w:rPr>
        <w:t xml:space="preserve"> inventory</w:t>
      </w:r>
      <w:r w:rsidRPr="00B275E2">
        <w:t xml:space="preserve"> </w:t>
      </w:r>
      <w:r w:rsidR="0092578C" w:rsidRPr="00B275E2">
        <w:t>(</w:t>
      </w:r>
      <w:r w:rsidR="00F230F3" w:rsidRPr="00B275E2">
        <w:t>see</w:t>
      </w:r>
      <w:r w:rsidR="00CE1779" w:rsidRPr="00B275E2">
        <w:t xml:space="preserve"> </w:t>
      </w:r>
      <w:hyperlink w:anchor="_Step-by-step_inventory_preparation" w:history="1">
        <w:r w:rsidR="008B10A2" w:rsidRPr="00B275E2">
          <w:rPr>
            <w:rStyle w:val="Hyperlink"/>
          </w:rPr>
          <w:t>section 2.1</w:t>
        </w:r>
      </w:hyperlink>
      <w:r w:rsidR="0092578C" w:rsidRPr="00B275E2">
        <w:t xml:space="preserve">) </w:t>
      </w:r>
      <w:r w:rsidRPr="00B275E2">
        <w:t xml:space="preserve">contains all applicable </w:t>
      </w:r>
      <w:r w:rsidR="004A0EA2" w:rsidRPr="00B275E2">
        <w:t>emissions</w:t>
      </w:r>
      <w:r w:rsidRPr="00B275E2">
        <w:t xml:space="preserve"> for an organisation within a defined boundary during a set period. A</w:t>
      </w:r>
      <w:r w:rsidR="00301928" w:rsidRPr="00B275E2">
        <w:t xml:space="preserve"> GHG</w:t>
      </w:r>
      <w:r w:rsidRPr="00B275E2">
        <w:t xml:space="preserve"> inventory is key to measuring emissions. </w:t>
      </w:r>
    </w:p>
    <w:p w14:paraId="1157F8DC" w14:textId="08582839" w:rsidR="0092578C" w:rsidRPr="00B275E2" w:rsidRDefault="00301928" w:rsidP="00905090">
      <w:pPr>
        <w:pStyle w:val="BodyText"/>
      </w:pPr>
      <w:r w:rsidRPr="00B275E2">
        <w:t>A</w:t>
      </w:r>
      <w:r w:rsidR="008F7859" w:rsidRPr="00B275E2">
        <w:t xml:space="preserve"> </w:t>
      </w:r>
      <w:r w:rsidRPr="00B275E2">
        <w:rPr>
          <w:b/>
        </w:rPr>
        <w:t>GHG</w:t>
      </w:r>
      <w:r w:rsidR="008F7859" w:rsidRPr="00B275E2">
        <w:rPr>
          <w:b/>
        </w:rPr>
        <w:t xml:space="preserve"> report</w:t>
      </w:r>
      <w:r w:rsidR="008F7859" w:rsidRPr="00B275E2">
        <w:t xml:space="preserve"> (see </w:t>
      </w:r>
      <w:hyperlink w:anchor="_Producing_a_GHG" w:history="1">
        <w:r w:rsidR="008F7859" w:rsidRPr="00B275E2">
          <w:rPr>
            <w:rStyle w:val="Hyperlink"/>
          </w:rPr>
          <w:t>section</w:t>
        </w:r>
        <w:r w:rsidR="002347CE" w:rsidRPr="00B275E2">
          <w:rPr>
            <w:rStyle w:val="Hyperlink"/>
          </w:rPr>
          <w:t xml:space="preserve"> 2.3</w:t>
        </w:r>
      </w:hyperlink>
      <w:r w:rsidR="008F7859" w:rsidRPr="00B275E2">
        <w:t>) expands on the inventory</w:t>
      </w:r>
      <w:r w:rsidR="001A749D" w:rsidRPr="00B275E2">
        <w:t xml:space="preserve"> </w:t>
      </w:r>
      <w:r w:rsidR="008F7859" w:rsidRPr="00B275E2">
        <w:t>with</w:t>
      </w:r>
      <w:r w:rsidR="001A749D" w:rsidRPr="00B275E2">
        <w:t xml:space="preserve"> context about the </w:t>
      </w:r>
      <w:r w:rsidR="008F7859" w:rsidRPr="00B275E2">
        <w:t>organisation,</w:t>
      </w:r>
      <w:r w:rsidR="0092578C" w:rsidRPr="00B275E2">
        <w:t xml:space="preserve"> as well as</w:t>
      </w:r>
      <w:r w:rsidR="001A749D" w:rsidRPr="00B275E2">
        <w:t xml:space="preserve"> analysis </w:t>
      </w:r>
      <w:r w:rsidR="0092578C" w:rsidRPr="00B275E2">
        <w:t>and progress over time</w:t>
      </w:r>
      <w:r w:rsidR="001A749D" w:rsidRPr="00B275E2">
        <w:t>. A</w:t>
      </w:r>
      <w:r w:rsidRPr="00B275E2">
        <w:t xml:space="preserve"> GHG</w:t>
      </w:r>
      <w:r w:rsidR="001A749D" w:rsidRPr="00B275E2">
        <w:t xml:space="preserve"> report is key to reporting emissions. </w:t>
      </w:r>
    </w:p>
    <w:p w14:paraId="4DE0FF4C" w14:textId="695012C4" w:rsidR="0092578C" w:rsidRPr="00B275E2" w:rsidRDefault="0092578C" w:rsidP="00905090">
      <w:pPr>
        <w:pStyle w:val="BodyText"/>
      </w:pPr>
      <w:r w:rsidRPr="00B275E2">
        <w:t xml:space="preserve">Organisations that wish to be in line with </w:t>
      </w:r>
      <w:hyperlink r:id="rId47" w:history="1">
        <w:r w:rsidRPr="00B275E2">
          <w:rPr>
            <w:rStyle w:val="Hyperlink"/>
          </w:rPr>
          <w:t>ISO 14064-1</w:t>
        </w:r>
        <w:r w:rsidR="00330EAD" w:rsidRPr="00B275E2">
          <w:rPr>
            <w:rStyle w:val="Hyperlink"/>
          </w:rPr>
          <w:t>:2018</w:t>
        </w:r>
      </w:hyperlink>
      <w:r w:rsidRPr="00B275E2">
        <w:rPr>
          <w:i/>
        </w:rPr>
        <w:t xml:space="preserve"> </w:t>
      </w:r>
      <w:r w:rsidRPr="00B275E2">
        <w:t xml:space="preserve">should be aware that the standard has specific requirements about what </w:t>
      </w:r>
      <w:r w:rsidR="00F230F3" w:rsidRPr="00B275E2">
        <w:t>to include</w:t>
      </w:r>
      <w:r w:rsidRPr="00B275E2">
        <w:t xml:space="preserve"> in the inventory and report.</w:t>
      </w:r>
    </w:p>
    <w:p w14:paraId="2DE8188B" w14:textId="149B6AC1" w:rsidR="00774924" w:rsidRPr="00B275E2" w:rsidRDefault="00774924" w:rsidP="00905090">
      <w:pPr>
        <w:pStyle w:val="BodyText"/>
      </w:pPr>
      <w:r w:rsidRPr="00B275E2">
        <w:t xml:space="preserve">Organisations that wish to be in line with </w:t>
      </w:r>
      <w:r w:rsidR="002621AD" w:rsidRPr="00B275E2">
        <w:t xml:space="preserve">the </w:t>
      </w:r>
      <w:hyperlink r:id="rId48" w:history="1">
        <w:r w:rsidR="002621AD" w:rsidRPr="00B275E2">
          <w:rPr>
            <w:rStyle w:val="Hyperlink"/>
          </w:rPr>
          <w:t>GHG Protocol</w:t>
        </w:r>
      </w:hyperlink>
      <w:r w:rsidR="002621AD" w:rsidRPr="00B275E2">
        <w:t xml:space="preserve"> </w:t>
      </w:r>
      <w:r w:rsidR="00155801" w:rsidRPr="00D03081">
        <w:t xml:space="preserve">and ISO 1406-1:2018 </w:t>
      </w:r>
      <w:r w:rsidR="00155801" w:rsidRPr="00617411">
        <w:t>should be aware that</w:t>
      </w:r>
      <w:r w:rsidR="00155801" w:rsidRPr="008D77A1">
        <w:t xml:space="preserve"> </w:t>
      </w:r>
      <w:r w:rsidR="00155801" w:rsidRPr="00A80462">
        <w:t xml:space="preserve">it is best practice for organisations to understand their full scope 3 </w:t>
      </w:r>
      <w:r w:rsidR="00155801">
        <w:t xml:space="preserve">(value chain) </w:t>
      </w:r>
      <w:r w:rsidR="00155801" w:rsidRPr="00A053A0">
        <w:t>emission</w:t>
      </w:r>
      <w:r w:rsidR="00155801">
        <w:t>s.</w:t>
      </w:r>
    </w:p>
    <w:p w14:paraId="65833FE3" w14:textId="3CF8534F" w:rsidR="00971806" w:rsidRPr="00B275E2" w:rsidRDefault="001A749D" w:rsidP="00905090">
      <w:pPr>
        <w:pStyle w:val="BodyText"/>
      </w:pPr>
      <w:r w:rsidRPr="00B275E2">
        <w:t>Organisations may opt</w:t>
      </w:r>
      <w:r w:rsidR="00296E1A" w:rsidRPr="00B275E2">
        <w:t xml:space="preserve"> to verify </w:t>
      </w:r>
      <w:r w:rsidR="00301928" w:rsidRPr="00B275E2">
        <w:t>the GHG</w:t>
      </w:r>
      <w:r w:rsidRPr="00B275E2">
        <w:t xml:space="preserve"> inventory or report against the measurement standards</w:t>
      </w:r>
      <w:r w:rsidR="0092578C" w:rsidRPr="00B275E2">
        <w:t xml:space="preserve"> (see </w:t>
      </w:r>
      <w:hyperlink w:anchor="_Verification" w:history="1">
        <w:r w:rsidR="0092578C" w:rsidRPr="00B275E2">
          <w:rPr>
            <w:rStyle w:val="Hyperlink"/>
          </w:rPr>
          <w:t>section</w:t>
        </w:r>
        <w:r w:rsidR="00CB406C" w:rsidRPr="00B275E2">
          <w:rPr>
            <w:rStyle w:val="Hyperlink"/>
          </w:rPr>
          <w:t xml:space="preserve"> 2.4</w:t>
        </w:r>
      </w:hyperlink>
      <w:r w:rsidR="0092578C" w:rsidRPr="00B275E2">
        <w:t>)</w:t>
      </w:r>
      <w:r w:rsidRPr="00B275E2">
        <w:t xml:space="preserve">. While verification is optional, </w:t>
      </w:r>
      <w:r w:rsidR="00F230F3" w:rsidRPr="00B275E2">
        <w:t>this can give confidence that the inventory is accurate and complete, so that organisations can effectively manage and reduce their emissions.</w:t>
      </w:r>
    </w:p>
    <w:p w14:paraId="39FB98A2" w14:textId="7C510D3F" w:rsidR="00B17ABF" w:rsidRPr="00B275E2" w:rsidRDefault="00B17ABF" w:rsidP="00C24B73">
      <w:pPr>
        <w:pStyle w:val="Heading2"/>
        <w:numPr>
          <w:ilvl w:val="0"/>
          <w:numId w:val="19"/>
        </w:numPr>
      </w:pPr>
      <w:bookmarkStart w:id="74" w:name="_Step-by-step_inventory_preparation"/>
      <w:bookmarkStart w:id="75" w:name="_Ref532552858"/>
      <w:bookmarkStart w:id="76" w:name="_Toc532904848"/>
      <w:bookmarkStart w:id="77" w:name="_Toc600562"/>
      <w:bookmarkStart w:id="78" w:name="_Ref606432"/>
      <w:bookmarkStart w:id="79" w:name="_Toc111536768"/>
      <w:bookmarkEnd w:id="73"/>
      <w:bookmarkEnd w:id="74"/>
      <w:r w:rsidRPr="00B275E2">
        <w:lastRenderedPageBreak/>
        <w:t>Step</w:t>
      </w:r>
      <w:r w:rsidR="00BD685C" w:rsidRPr="00B275E2">
        <w:t>-</w:t>
      </w:r>
      <w:r w:rsidRPr="00B275E2">
        <w:t>by</w:t>
      </w:r>
      <w:r w:rsidR="00BD685C" w:rsidRPr="00B275E2">
        <w:t>-</w:t>
      </w:r>
      <w:r w:rsidRPr="00B275E2">
        <w:t>step</w:t>
      </w:r>
      <w:r w:rsidR="009A0989" w:rsidRPr="00B275E2">
        <w:t xml:space="preserve"> inventory preparation</w:t>
      </w:r>
      <w:bookmarkEnd w:id="75"/>
      <w:bookmarkEnd w:id="76"/>
      <w:bookmarkEnd w:id="77"/>
      <w:bookmarkEnd w:id="78"/>
      <w:bookmarkEnd w:id="79"/>
    </w:p>
    <w:p w14:paraId="0A25D8D6" w14:textId="66BE828A" w:rsidR="008F7859" w:rsidRPr="00B275E2" w:rsidRDefault="008F7859" w:rsidP="00905090">
      <w:pPr>
        <w:pStyle w:val="BodyText"/>
        <w:keepNext/>
      </w:pPr>
      <w:r w:rsidRPr="00B275E2">
        <w:t>To prepare an inventory:</w:t>
      </w:r>
    </w:p>
    <w:p w14:paraId="041B4FA1" w14:textId="237E3077" w:rsidR="00B17ABF" w:rsidRPr="00B275E2" w:rsidRDefault="0C33A2AB" w:rsidP="00905090">
      <w:pPr>
        <w:pStyle w:val="Numberedparagraph"/>
      </w:pPr>
      <w:r w:rsidRPr="00B275E2">
        <w:t>Select the boundar</w:t>
      </w:r>
      <w:r w:rsidR="298B86AF" w:rsidRPr="00B275E2">
        <w:t>ies</w:t>
      </w:r>
      <w:r w:rsidRPr="00B275E2">
        <w:t xml:space="preserve"> (organisational and </w:t>
      </w:r>
      <w:r w:rsidR="298B86AF" w:rsidRPr="00B275E2">
        <w:t>reporting</w:t>
      </w:r>
      <w:r w:rsidR="00B17ABF" w:rsidRPr="00B275E2">
        <w:rPr>
          <w:rStyle w:val="FootnoteReference"/>
          <w:color w:val="auto"/>
        </w:rPr>
        <w:footnoteReference w:id="14"/>
      </w:r>
      <w:r w:rsidRPr="00B275E2">
        <w:t>) and measurement period (ie, calendar or financial year) you will report against for your organisation</w:t>
      </w:r>
      <w:r w:rsidR="16E820B0" w:rsidRPr="00B275E2">
        <w:t xml:space="preserve">, based on the </w:t>
      </w:r>
      <w:r w:rsidR="67DC6CDE" w:rsidRPr="00B275E2">
        <w:t>intended uses of the inventory</w:t>
      </w:r>
      <w:r w:rsidRPr="00B275E2">
        <w:t xml:space="preserve">. </w:t>
      </w:r>
    </w:p>
    <w:p w14:paraId="26CA7F9F" w14:textId="1E3BFAEF" w:rsidR="00B17ABF" w:rsidRPr="00B275E2" w:rsidRDefault="00B17ABF" w:rsidP="00905090">
      <w:pPr>
        <w:pStyle w:val="Numberedparagraph"/>
      </w:pPr>
      <w:bookmarkStart w:id="80" w:name="_Hlk532888497"/>
      <w:r w:rsidRPr="00B275E2">
        <w:t xml:space="preserve">Collect </w:t>
      </w:r>
      <w:r w:rsidR="004D24E7" w:rsidRPr="00B275E2">
        <w:t xml:space="preserve">activity </w:t>
      </w:r>
      <w:r w:rsidRPr="00B275E2">
        <w:t>data on each emission source within the boundar</w:t>
      </w:r>
      <w:r w:rsidR="003D1674" w:rsidRPr="00B275E2">
        <w:t>ies</w:t>
      </w:r>
      <w:r w:rsidRPr="00B275E2">
        <w:t xml:space="preserve"> for that period. </w:t>
      </w:r>
    </w:p>
    <w:p w14:paraId="418ED014" w14:textId="0327E756" w:rsidR="00B17ABF" w:rsidRPr="00B275E2" w:rsidRDefault="00E65C02" w:rsidP="00905090">
      <w:pPr>
        <w:pStyle w:val="Numberedparagraph"/>
      </w:pPr>
      <w:r w:rsidRPr="00B275E2">
        <w:t>M</w:t>
      </w:r>
      <w:r w:rsidR="00B17ABF" w:rsidRPr="00B275E2">
        <w:t xml:space="preserve">ultiply the quantity used by the appropriate emission factor in a spreadsheet. See </w:t>
      </w:r>
      <w:r w:rsidR="00710E9C" w:rsidRPr="00B275E2">
        <w:t xml:space="preserve">the </w:t>
      </w:r>
      <w:r w:rsidR="009A30EE" w:rsidRPr="00D637BC">
        <w:t>2019 Example GHG Inventory</w:t>
      </w:r>
      <w:r w:rsidR="00B17ABF" w:rsidRPr="00B275E2">
        <w:t xml:space="preserve">. </w:t>
      </w:r>
    </w:p>
    <w:p w14:paraId="1ED15686" w14:textId="3A452245" w:rsidR="00B17ABF" w:rsidRPr="00B275E2" w:rsidRDefault="00B17ABF" w:rsidP="00905090">
      <w:pPr>
        <w:pStyle w:val="Numberedparagraph"/>
      </w:pPr>
      <w:r w:rsidRPr="00B275E2">
        <w:t>Produce a</w:t>
      </w:r>
      <w:r w:rsidR="00301928" w:rsidRPr="00B275E2">
        <w:t xml:space="preserve"> GHG</w:t>
      </w:r>
      <w:r w:rsidRPr="00B275E2">
        <w:t xml:space="preserve"> report</w:t>
      </w:r>
      <w:r w:rsidR="00E65C02" w:rsidRPr="00B275E2">
        <w:t>, if applicable. S</w:t>
      </w:r>
      <w:r w:rsidRPr="00B275E2">
        <w:t xml:space="preserve">ee </w:t>
      </w:r>
      <w:hyperlink w:anchor="_Producing_a_GHG" w:history="1">
        <w:r w:rsidRPr="00B275E2">
          <w:rPr>
            <w:rStyle w:val="Hyperlink"/>
          </w:rPr>
          <w:t xml:space="preserve">section </w:t>
        </w:r>
        <w:r w:rsidR="00CB406C" w:rsidRPr="00B275E2">
          <w:rPr>
            <w:rStyle w:val="Hyperlink"/>
          </w:rPr>
          <w:t>2.3</w:t>
        </w:r>
      </w:hyperlink>
      <w:r w:rsidR="004D24E7" w:rsidRPr="00B275E2">
        <w:t xml:space="preserve"> </w:t>
      </w:r>
      <w:r w:rsidRPr="00B275E2">
        <w:t>and</w:t>
      </w:r>
      <w:r w:rsidR="00710E9C" w:rsidRPr="00B275E2">
        <w:t xml:space="preserve"> the </w:t>
      </w:r>
      <w:hyperlink r:id="rId49" w:history="1">
        <w:r w:rsidR="008279C5" w:rsidRPr="00B275E2">
          <w:rPr>
            <w:rStyle w:val="Hyperlink"/>
          </w:rPr>
          <w:t xml:space="preserve">2019 </w:t>
        </w:r>
        <w:r w:rsidR="004821B4" w:rsidRPr="00B275E2">
          <w:rPr>
            <w:rStyle w:val="Hyperlink"/>
          </w:rPr>
          <w:t>E</w:t>
        </w:r>
        <w:r w:rsidRPr="00B275E2">
          <w:rPr>
            <w:rStyle w:val="Hyperlink"/>
          </w:rPr>
          <w:t xml:space="preserve">xample </w:t>
        </w:r>
        <w:r w:rsidR="00CC5743" w:rsidRPr="00B275E2">
          <w:rPr>
            <w:rStyle w:val="Hyperlink"/>
          </w:rPr>
          <w:t xml:space="preserve">GHG </w:t>
        </w:r>
        <w:r w:rsidR="004821B4" w:rsidRPr="00B275E2">
          <w:rPr>
            <w:rStyle w:val="Hyperlink"/>
          </w:rPr>
          <w:t>R</w:t>
        </w:r>
        <w:r w:rsidRPr="00B275E2">
          <w:rPr>
            <w:rStyle w:val="Hyperlink"/>
          </w:rPr>
          <w:t>eport</w:t>
        </w:r>
      </w:hyperlink>
      <w:r w:rsidRPr="00B275E2">
        <w:t xml:space="preserve">. </w:t>
      </w:r>
    </w:p>
    <w:p w14:paraId="64A753C0" w14:textId="295B28C9" w:rsidR="00E60829" w:rsidRPr="00B275E2" w:rsidRDefault="00E60829" w:rsidP="00905090">
      <w:pPr>
        <w:pStyle w:val="BodyText"/>
      </w:pPr>
      <w:bookmarkStart w:id="81" w:name="_Hlk532888612"/>
      <w:bookmarkEnd w:id="80"/>
      <w:r w:rsidRPr="00B275E2">
        <w:t xml:space="preserve">If this is the first year your organisation has produced an inventory, </w:t>
      </w:r>
      <w:r w:rsidR="006F44B2" w:rsidRPr="00B275E2">
        <w:t>you can use it as a base year for measuring the change in emissions over time (as long as the scope and boundaries represent your usual operations, and that comparable reporting is used in future years).</w:t>
      </w:r>
      <w:r w:rsidR="00635506" w:rsidRPr="00B275E2">
        <w:t xml:space="preserve"> ISO</w:t>
      </w:r>
      <w:r w:rsidR="00905090" w:rsidRPr="00B275E2">
        <w:t> </w:t>
      </w:r>
      <w:r w:rsidR="00635506" w:rsidRPr="00B275E2">
        <w:t xml:space="preserve">14064-1:2018 </w:t>
      </w:r>
      <w:r w:rsidR="00B620DE" w:rsidRPr="00B275E2">
        <w:t xml:space="preserve">also </w:t>
      </w:r>
      <w:r w:rsidR="00635506" w:rsidRPr="00B275E2">
        <w:t xml:space="preserve">allows a base year to be quantified using an average of several years. </w:t>
      </w:r>
      <w:r w:rsidR="00B620DE" w:rsidRPr="00B275E2">
        <w:t xml:space="preserve">Due to </w:t>
      </w:r>
      <w:r w:rsidR="009916CB" w:rsidRPr="00B275E2">
        <w:t>COVID</w:t>
      </w:r>
      <w:r w:rsidR="00B620DE" w:rsidRPr="00B275E2">
        <w:t>-19 t</w:t>
      </w:r>
      <w:r w:rsidR="00635506" w:rsidRPr="00B275E2">
        <w:t xml:space="preserve">his may be an appropriate and representative approach for organisations that have </w:t>
      </w:r>
      <w:r w:rsidR="009916CB" w:rsidRPr="00B275E2">
        <w:t xml:space="preserve">begun </w:t>
      </w:r>
      <w:r w:rsidR="00635506" w:rsidRPr="00B275E2">
        <w:t xml:space="preserve">measuring their emissions in </w:t>
      </w:r>
      <w:r w:rsidR="00380F8E" w:rsidRPr="00B275E2">
        <w:t>2020</w:t>
      </w:r>
      <w:r w:rsidR="00DB6594" w:rsidRPr="00B275E2">
        <w:t xml:space="preserve"> and 2021</w:t>
      </w:r>
      <w:r w:rsidR="00380F8E" w:rsidRPr="00B275E2">
        <w:t>.</w:t>
      </w:r>
    </w:p>
    <w:p w14:paraId="16EFE666" w14:textId="77777777" w:rsidR="00B157C7" w:rsidRPr="00B275E2" w:rsidRDefault="00B157C7" w:rsidP="007F0B1E">
      <w:pPr>
        <w:pStyle w:val="BodyText"/>
      </w:pPr>
      <w:r w:rsidRPr="00B275E2">
        <w:t>To ensure the representativeness of your base year GHG inventory, it is good practice to undertake a base year review and recalculation procedure to account for any significant changes that may have occurred since. Examples of such changes may result from:</w:t>
      </w:r>
    </w:p>
    <w:p w14:paraId="0C668A16" w14:textId="77777777" w:rsidR="00B157C7" w:rsidRPr="00B275E2" w:rsidRDefault="00B157C7" w:rsidP="00905090">
      <w:pPr>
        <w:pStyle w:val="Bullet"/>
      </w:pPr>
      <w:r w:rsidRPr="00B275E2">
        <w:t>a structural change in your reporting or organisational boundary</w:t>
      </w:r>
    </w:p>
    <w:p w14:paraId="54CC15DA" w14:textId="77777777" w:rsidR="00B157C7" w:rsidRPr="00B275E2" w:rsidRDefault="00B157C7" w:rsidP="00905090">
      <w:pPr>
        <w:pStyle w:val="Bullet"/>
      </w:pPr>
      <w:r w:rsidRPr="00B275E2">
        <w:t>a change in calculation methodologies or emission factors, or</w:t>
      </w:r>
    </w:p>
    <w:p w14:paraId="346F3E50" w14:textId="77777777" w:rsidR="00B157C7" w:rsidRPr="00B275E2" w:rsidRDefault="00B157C7" w:rsidP="00905090">
      <w:pPr>
        <w:pStyle w:val="Bullet"/>
      </w:pPr>
      <w:r w:rsidRPr="00B275E2">
        <w:t>the discovery of an error or cumulative errors in your activity data.</w:t>
      </w:r>
    </w:p>
    <w:p w14:paraId="6344B35C" w14:textId="4A53946F" w:rsidR="00B157C7" w:rsidRPr="00B275E2" w:rsidRDefault="00B157C7" w:rsidP="00905090">
      <w:pPr>
        <w:pStyle w:val="BodyText"/>
      </w:pPr>
      <w:r w:rsidRPr="00B275E2">
        <w:t>Any base year recalculations should be documented in subsequent inventories.</w:t>
      </w:r>
    </w:p>
    <w:p w14:paraId="0960F78D" w14:textId="7EED5516" w:rsidR="00DB6594" w:rsidRPr="00B275E2" w:rsidRDefault="00DB6594" w:rsidP="007F0B1E">
      <w:pPr>
        <w:pStyle w:val="BodyText"/>
      </w:pPr>
      <w:r w:rsidRPr="00B275E2">
        <w:t xml:space="preserve">If the change to a factor is material and could result in a +/- 5% change in an organisations published GHG </w:t>
      </w:r>
      <w:r w:rsidR="003421F1" w:rsidRPr="00B275E2">
        <w:t>i</w:t>
      </w:r>
      <w:r w:rsidRPr="00B275E2">
        <w:t>nventory then recalculation and re-publishing of the inventory is required. In the cases where historic emission factors have changed it is suggested these figures are provided in the document itself or made available elsewhere.</w:t>
      </w:r>
    </w:p>
    <w:p w14:paraId="21A6BC96" w14:textId="54698331" w:rsidR="00294FE7" w:rsidRPr="00B275E2" w:rsidRDefault="00294FE7" w:rsidP="007F0B1E">
      <w:pPr>
        <w:pStyle w:val="BodyText"/>
      </w:pPr>
      <w:r w:rsidRPr="00B275E2">
        <w:t xml:space="preserve">For some </w:t>
      </w:r>
      <w:r w:rsidR="00365684" w:rsidRPr="00B275E2">
        <w:t>organisations</w:t>
      </w:r>
      <w:r w:rsidRPr="00B275E2">
        <w:t xml:space="preserve">, certain GHG emissions may contribute such a small portion of the inventory that they make up less than </w:t>
      </w:r>
      <w:r w:rsidR="00E14C88" w:rsidRPr="00B275E2">
        <w:t xml:space="preserve">1 </w:t>
      </w:r>
      <w:r w:rsidRPr="00B275E2">
        <w:t xml:space="preserve">per cent of the total inventory. These are known as </w:t>
      </w:r>
      <w:r w:rsidRPr="00B275E2">
        <w:rPr>
          <w:i/>
        </w:rPr>
        <w:t>de</w:t>
      </w:r>
      <w:r w:rsidR="00954A9E" w:rsidRPr="00B275E2">
        <w:rPr>
          <w:i/>
        </w:rPr>
        <w:t> </w:t>
      </w:r>
      <w:r w:rsidRPr="00B275E2">
        <w:rPr>
          <w:i/>
        </w:rPr>
        <w:t>minimis</w:t>
      </w:r>
      <w:r w:rsidR="00365684" w:rsidRPr="00B275E2">
        <w:rPr>
          <w:rStyle w:val="FootnoteReference"/>
          <w:iCs/>
        </w:rPr>
        <w:footnoteReference w:id="15"/>
      </w:r>
      <w:r w:rsidRPr="00B275E2">
        <w:rPr>
          <w:iCs/>
        </w:rPr>
        <w:t xml:space="preserve"> </w:t>
      </w:r>
      <w:r w:rsidRPr="00B275E2">
        <w:t xml:space="preserve">and </w:t>
      </w:r>
      <w:r w:rsidR="008F7859" w:rsidRPr="00B275E2">
        <w:t>may</w:t>
      </w:r>
      <w:r w:rsidRPr="00B275E2">
        <w:t xml:space="preserve"> be excluded from the total inventory</w:t>
      </w:r>
      <w:r w:rsidR="00CB31B8" w:rsidRPr="00B275E2">
        <w:t>, provided that the total of excluded emissions does not exceed the materiality threshold</w:t>
      </w:r>
      <w:r w:rsidRPr="00B275E2">
        <w:t>.</w:t>
      </w:r>
      <w:r w:rsidR="00CB31B8" w:rsidRPr="00B275E2">
        <w:t xml:space="preserve"> For example, if </w:t>
      </w:r>
      <w:r w:rsidR="009076C9" w:rsidRPr="00B275E2">
        <w:t xml:space="preserve">using </w:t>
      </w:r>
      <w:r w:rsidR="00CB31B8" w:rsidRPr="00B275E2">
        <w:t xml:space="preserve">a materiality threshold of </w:t>
      </w:r>
      <w:r w:rsidR="00E14C88" w:rsidRPr="00B275E2">
        <w:t xml:space="preserve">5 </w:t>
      </w:r>
      <w:r w:rsidR="009076C9" w:rsidRPr="00B275E2">
        <w:t>per cent</w:t>
      </w:r>
      <w:r w:rsidR="00CB31B8" w:rsidRPr="00B275E2">
        <w:t xml:space="preserve">, the total of all </w:t>
      </w:r>
      <w:r w:rsidR="00A90D22" w:rsidRPr="00B275E2">
        <w:t>emission sources</w:t>
      </w:r>
      <w:r w:rsidR="00CB31B8" w:rsidRPr="00B275E2">
        <w:t xml:space="preserve"> excluded as </w:t>
      </w:r>
      <w:r w:rsidR="00CB31B8" w:rsidRPr="00B275E2">
        <w:rPr>
          <w:i/>
        </w:rPr>
        <w:t>de minimis</w:t>
      </w:r>
      <w:r w:rsidR="00CB31B8" w:rsidRPr="00B275E2">
        <w:t xml:space="preserve"> must not exceed </w:t>
      </w:r>
      <w:r w:rsidR="00E14C88" w:rsidRPr="00B275E2">
        <w:t xml:space="preserve">5 </w:t>
      </w:r>
      <w:r w:rsidR="009076C9" w:rsidRPr="00B275E2">
        <w:t>per cent</w:t>
      </w:r>
      <w:r w:rsidR="00CB31B8" w:rsidRPr="00B275E2">
        <w:t xml:space="preserve"> of the inventory</w:t>
      </w:r>
      <w:r w:rsidR="009076C9" w:rsidRPr="00B275E2">
        <w:t>.</w:t>
      </w:r>
      <w:r w:rsidRPr="00B275E2">
        <w:t xml:space="preserve"> </w:t>
      </w:r>
      <w:r w:rsidR="00365684" w:rsidRPr="00B275E2">
        <w:t>Typically,</w:t>
      </w:r>
      <w:r w:rsidRPr="00B275E2">
        <w:t xml:space="preserve"> </w:t>
      </w:r>
      <w:r w:rsidR="008F7859" w:rsidRPr="00B275E2">
        <w:t xml:space="preserve">an organisation estimates </w:t>
      </w:r>
      <w:r w:rsidRPr="00B275E2">
        <w:t xml:space="preserve">any emissions considered </w:t>
      </w:r>
      <w:r w:rsidRPr="00B275E2">
        <w:rPr>
          <w:i/>
        </w:rPr>
        <w:t>de</w:t>
      </w:r>
      <w:r w:rsidR="00954A9E" w:rsidRPr="00B275E2">
        <w:rPr>
          <w:i/>
        </w:rPr>
        <w:t> </w:t>
      </w:r>
      <w:r w:rsidRPr="00B275E2">
        <w:rPr>
          <w:i/>
        </w:rPr>
        <w:t>minimis</w:t>
      </w:r>
      <w:r w:rsidRPr="00B275E2">
        <w:t xml:space="preserve"> using simplified methods to justify the classification. </w:t>
      </w:r>
      <w:r w:rsidR="006F44B2" w:rsidRPr="00B275E2">
        <w:t xml:space="preserve">It is important these are transparently documented and justified. You </w:t>
      </w:r>
      <w:r w:rsidR="008F7859" w:rsidRPr="00B275E2">
        <w:t>only need to re-estimate</w:t>
      </w:r>
      <w:r w:rsidRPr="00B275E2">
        <w:t xml:space="preserve"> excluded emissions in subsequent years if the assumptions </w:t>
      </w:r>
      <w:r w:rsidR="00183EFB" w:rsidRPr="00B275E2">
        <w:t>change.</w:t>
      </w:r>
    </w:p>
    <w:p w14:paraId="7655E43A" w14:textId="783B50B8" w:rsidR="00D36CD0" w:rsidRPr="00B275E2" w:rsidRDefault="00D36CD0" w:rsidP="007F0B1E">
      <w:pPr>
        <w:pStyle w:val="BodyText"/>
      </w:pPr>
      <w:r w:rsidRPr="00B275E2">
        <w:t xml:space="preserve">Note however, if the user is needing to report into a particular programme or satisfy an intended use or user, they may decide to include </w:t>
      </w:r>
      <w:r w:rsidRPr="00B275E2">
        <w:rPr>
          <w:i/>
          <w:iCs/>
        </w:rPr>
        <w:t>de minimis</w:t>
      </w:r>
      <w:r w:rsidRPr="00B275E2">
        <w:t xml:space="preserve"> activities.</w:t>
      </w:r>
    </w:p>
    <w:p w14:paraId="5FF1228D" w14:textId="591BF318" w:rsidR="00B17ABF" w:rsidRPr="00B275E2" w:rsidRDefault="00B17ABF" w:rsidP="00C24B73">
      <w:pPr>
        <w:pStyle w:val="Heading2"/>
        <w:numPr>
          <w:ilvl w:val="0"/>
          <w:numId w:val="19"/>
        </w:numPr>
      </w:pPr>
      <w:bookmarkStart w:id="82" w:name="_Toc532904849"/>
      <w:bookmarkStart w:id="83" w:name="_Toc600563"/>
      <w:bookmarkStart w:id="84" w:name="_Toc530051521"/>
      <w:bookmarkStart w:id="85" w:name="_Toc530055800"/>
      <w:bookmarkStart w:id="86" w:name="_Toc111536769"/>
      <w:bookmarkEnd w:id="81"/>
      <w:r w:rsidRPr="00B275E2">
        <w:lastRenderedPageBreak/>
        <w:t>Using the emission factors</w:t>
      </w:r>
      <w:bookmarkEnd w:id="82"/>
      <w:bookmarkEnd w:id="83"/>
      <w:bookmarkEnd w:id="86"/>
      <w:r w:rsidRPr="00B275E2">
        <w:t xml:space="preserve"> </w:t>
      </w:r>
      <w:bookmarkEnd w:id="84"/>
      <w:bookmarkEnd w:id="85"/>
    </w:p>
    <w:p w14:paraId="75437BA6" w14:textId="632F2246" w:rsidR="00537E33" w:rsidRPr="00B275E2" w:rsidRDefault="00537E33" w:rsidP="007F0B1E">
      <w:pPr>
        <w:pStyle w:val="BodyText"/>
      </w:pPr>
      <w:bookmarkStart w:id="87" w:name="_Hlk532888669"/>
      <w:r w:rsidRPr="00B275E2">
        <w:t xml:space="preserve">Emission factors rely on historical data. This </w:t>
      </w:r>
      <w:r w:rsidR="00C201E0" w:rsidRPr="00B275E2">
        <w:t xml:space="preserve">version of the </w:t>
      </w:r>
      <w:r w:rsidRPr="00B275E2">
        <w:t>guid</w:t>
      </w:r>
      <w:r w:rsidR="00C201E0" w:rsidRPr="00B275E2">
        <w:t>ance</w:t>
      </w:r>
      <w:r w:rsidRPr="00B275E2">
        <w:t xml:space="preserve"> is based on </w:t>
      </w:r>
      <w:hyperlink r:id="rId50" w:history="1">
        <w:r w:rsidR="00114CDD" w:rsidRPr="00B275E2">
          <w:rPr>
            <w:rStyle w:val="Hyperlink"/>
            <w:i/>
            <w:iCs/>
          </w:rPr>
          <w:t>New Zealand’s Greenhouse Gas Inventory 1990–2020</w:t>
        </w:r>
      </w:hyperlink>
      <w:r w:rsidRPr="00B275E2">
        <w:t xml:space="preserve"> as this was the latest complete set of data available. We intend to update these emissions factors </w:t>
      </w:r>
      <w:r w:rsidR="007624D2" w:rsidRPr="00B275E2">
        <w:t>annually</w:t>
      </w:r>
      <w:r w:rsidRPr="00B275E2">
        <w:t xml:space="preserve">, where more recent data is available. </w:t>
      </w:r>
    </w:p>
    <w:p w14:paraId="61FBA563" w14:textId="43FFD72D" w:rsidR="006F44B2" w:rsidRPr="00B275E2" w:rsidRDefault="006F44B2" w:rsidP="007F0B1E">
      <w:pPr>
        <w:pStyle w:val="BodyText"/>
      </w:pPr>
      <w:r w:rsidRPr="00B275E2">
        <w:t xml:space="preserve">If you use the </w:t>
      </w:r>
      <w:r w:rsidR="009A30EE" w:rsidRPr="00D637BC">
        <w:t>Interactive workbook,</w:t>
      </w:r>
      <w:r w:rsidRPr="00B275E2">
        <w:t xml:space="preserve"> input your activity data and the emission factors will</w:t>
      </w:r>
      <w:r w:rsidR="007C0168" w:rsidRPr="00B275E2">
        <w:t xml:space="preserve"> </w:t>
      </w:r>
      <w:r w:rsidRPr="00B275E2">
        <w:t>be</w:t>
      </w:r>
      <w:r w:rsidR="00905090" w:rsidRPr="00B275E2">
        <w:t> </w:t>
      </w:r>
      <w:r w:rsidRPr="00B275E2">
        <w:t xml:space="preserve">applied automatically. If you do not use the Interactive </w:t>
      </w:r>
      <w:r w:rsidR="00BC56F5" w:rsidRPr="00B275E2">
        <w:t>w</w:t>
      </w:r>
      <w:r w:rsidRPr="00B275E2">
        <w:t xml:space="preserve">orkbook, </w:t>
      </w:r>
      <w:r w:rsidR="00F57943" w:rsidRPr="00B275E2">
        <w:t xml:space="preserve">simplified </w:t>
      </w:r>
      <w:r w:rsidRPr="00B275E2">
        <w:t>example</w:t>
      </w:r>
      <w:r w:rsidR="007C0168" w:rsidRPr="00B275E2">
        <w:t xml:space="preserve"> </w:t>
      </w:r>
      <w:r w:rsidRPr="00B275E2">
        <w:t>calculations are provided throughout chapter 4 to demonstrate how to use the emission</w:t>
      </w:r>
      <w:r w:rsidR="007C0168" w:rsidRPr="00B275E2">
        <w:t xml:space="preserve"> </w:t>
      </w:r>
      <w:r w:rsidRPr="00B275E2">
        <w:t>factors.</w:t>
      </w:r>
      <w:r w:rsidRPr="00B275E2">
        <w:rPr>
          <w:rStyle w:val="FootnoteReference"/>
        </w:rPr>
        <w:footnoteReference w:id="16"/>
      </w:r>
      <w:r w:rsidRPr="00B275E2">
        <w:t xml:space="preserve"> </w:t>
      </w:r>
    </w:p>
    <w:p w14:paraId="3DB4AED8" w14:textId="6BE8AA45" w:rsidR="00B17ABF" w:rsidRPr="00B275E2" w:rsidRDefault="00B17ABF" w:rsidP="007F0B1E">
      <w:pPr>
        <w:pStyle w:val="BodyText"/>
      </w:pPr>
      <w:r w:rsidRPr="00B275E2">
        <w:t>Organisations can choose to report on a calendar</w:t>
      </w:r>
      <w:r w:rsidR="00632614" w:rsidRPr="00B275E2">
        <w:t>-</w:t>
      </w:r>
      <w:r w:rsidRPr="00B275E2">
        <w:t xml:space="preserve"> or </w:t>
      </w:r>
      <w:r w:rsidR="00C450B5" w:rsidRPr="00B275E2">
        <w:t>financial-year</w:t>
      </w:r>
      <w:r w:rsidRPr="00B275E2">
        <w:t xml:space="preserve"> basis.</w:t>
      </w:r>
      <w:r w:rsidR="008F7859" w:rsidRPr="00B275E2">
        <w:t xml:space="preserve"> The chosen period </w:t>
      </w:r>
      <w:r w:rsidR="00CF740B" w:rsidRPr="00B275E2">
        <w:t>determines which historical factors to use.</w:t>
      </w:r>
    </w:p>
    <w:p w14:paraId="57A4573B" w14:textId="40E1FFFD" w:rsidR="00B17ABF" w:rsidRPr="00B275E2" w:rsidRDefault="00B17ABF" w:rsidP="007F0B1E">
      <w:pPr>
        <w:pStyle w:val="BodyText"/>
      </w:pPr>
      <w:r w:rsidRPr="00B275E2">
        <w:rPr>
          <w:b/>
        </w:rPr>
        <w:t>Calendar year:</w:t>
      </w:r>
      <w:r w:rsidRPr="00B275E2">
        <w:t xml:space="preserve"> If you are reporting on a </w:t>
      </w:r>
      <w:r w:rsidR="00C450B5" w:rsidRPr="00B275E2">
        <w:t>calendar-year</w:t>
      </w:r>
      <w:r w:rsidRPr="00B275E2">
        <w:t xml:space="preserve"> basis, use the latest published emission factors. For example, if you are reporting emissio</w:t>
      </w:r>
      <w:r w:rsidR="0029605E" w:rsidRPr="00B275E2">
        <w:t xml:space="preserve">ns for the </w:t>
      </w:r>
      <w:r w:rsidR="00421225" w:rsidRPr="00B275E2">
        <w:t>20</w:t>
      </w:r>
      <w:r w:rsidR="001340A5" w:rsidRPr="00B275E2">
        <w:t>21</w:t>
      </w:r>
      <w:r w:rsidR="00421225" w:rsidRPr="00B275E2">
        <w:t xml:space="preserve"> </w:t>
      </w:r>
      <w:r w:rsidR="0029605E" w:rsidRPr="00B275E2">
        <w:t xml:space="preserve">calendar year, </w:t>
      </w:r>
      <w:r w:rsidRPr="00B275E2">
        <w:t>use this 20</w:t>
      </w:r>
      <w:r w:rsidR="00421225" w:rsidRPr="00B275E2">
        <w:t>2</w:t>
      </w:r>
      <w:r w:rsidR="001340A5" w:rsidRPr="00B275E2">
        <w:t>2</w:t>
      </w:r>
      <w:r w:rsidRPr="00B275E2">
        <w:t xml:space="preserve"> guide, which </w:t>
      </w:r>
      <w:r w:rsidR="00B6117D" w:rsidRPr="00B275E2">
        <w:t xml:space="preserve">largely </w:t>
      </w:r>
      <w:r w:rsidRPr="00B275E2">
        <w:t xml:space="preserve">relies on </w:t>
      </w:r>
      <w:r w:rsidR="00A2755C" w:rsidRPr="00B275E2">
        <w:t>201</w:t>
      </w:r>
      <w:r w:rsidR="004568AB" w:rsidRPr="00B275E2">
        <w:t>9 and 2020</w:t>
      </w:r>
      <w:r w:rsidR="00B6117D" w:rsidRPr="00B275E2">
        <w:t xml:space="preserve"> </w:t>
      </w:r>
      <w:r w:rsidRPr="00B275E2">
        <w:t>data.</w:t>
      </w:r>
      <w:r w:rsidR="00ED5CA9" w:rsidRPr="00B275E2">
        <w:t xml:space="preserve"> </w:t>
      </w:r>
    </w:p>
    <w:p w14:paraId="36991594" w14:textId="45B27485" w:rsidR="00B17ABF" w:rsidRPr="00B275E2" w:rsidRDefault="00B17ABF" w:rsidP="007F0B1E">
      <w:pPr>
        <w:pStyle w:val="BodyText"/>
      </w:pPr>
      <w:r w:rsidRPr="00B275E2">
        <w:rPr>
          <w:b/>
          <w:bCs/>
        </w:rPr>
        <w:t xml:space="preserve">Financial year: </w:t>
      </w:r>
      <w:r w:rsidRPr="00B275E2">
        <w:t xml:space="preserve">If you are reporting on a </w:t>
      </w:r>
      <w:r w:rsidR="00C450B5" w:rsidRPr="00B275E2">
        <w:t>financial-year</w:t>
      </w:r>
      <w:r w:rsidRPr="00B275E2">
        <w:t xml:space="preserve"> basis, use the guide </w:t>
      </w:r>
      <w:r w:rsidR="004D24E7" w:rsidRPr="00B275E2">
        <w:t>that</w:t>
      </w:r>
      <w:r w:rsidRPr="00B275E2">
        <w:t xml:space="preserve"> the greatest portion of your data falls </w:t>
      </w:r>
      <w:r w:rsidR="006F44B2" w:rsidRPr="00B275E2">
        <w:t>with</w:t>
      </w:r>
      <w:r w:rsidRPr="00B275E2">
        <w:t xml:space="preserve">in. For example, if you are reporting for the </w:t>
      </w:r>
      <w:r w:rsidR="00325CD7" w:rsidRPr="00B275E2">
        <w:t>20</w:t>
      </w:r>
      <w:r w:rsidR="004568AB" w:rsidRPr="00B275E2">
        <w:t>20</w:t>
      </w:r>
      <w:r w:rsidRPr="00B275E2">
        <w:t>/</w:t>
      </w:r>
      <w:r w:rsidR="00325CD7" w:rsidRPr="00B275E2">
        <w:t>2</w:t>
      </w:r>
      <w:r w:rsidR="004568AB" w:rsidRPr="00B275E2">
        <w:t>1</w:t>
      </w:r>
      <w:r w:rsidR="00325CD7" w:rsidRPr="00B275E2">
        <w:t xml:space="preserve"> </w:t>
      </w:r>
      <w:r w:rsidRPr="00B275E2">
        <w:t>financial year</w:t>
      </w:r>
      <w:r w:rsidR="009D1401" w:rsidRPr="00B275E2">
        <w:t>,</w:t>
      </w:r>
      <w:r w:rsidRPr="00B275E2">
        <w:t xml:space="preserve"> use th</w:t>
      </w:r>
      <w:r w:rsidR="00B213DF" w:rsidRPr="00B275E2">
        <w:t>is</w:t>
      </w:r>
      <w:r w:rsidRPr="00B275E2">
        <w:t xml:space="preserve"> </w:t>
      </w:r>
      <w:r w:rsidR="00325CD7" w:rsidRPr="00B275E2">
        <w:t>202</w:t>
      </w:r>
      <w:r w:rsidR="004568AB" w:rsidRPr="00B275E2">
        <w:t>2</w:t>
      </w:r>
      <w:r w:rsidR="00325CD7" w:rsidRPr="00B275E2">
        <w:t xml:space="preserve"> </w:t>
      </w:r>
      <w:r w:rsidRPr="00B275E2">
        <w:t xml:space="preserve">guide. </w:t>
      </w:r>
      <w:r w:rsidR="009D1401" w:rsidRPr="00B275E2">
        <w:t xml:space="preserve">For </w:t>
      </w:r>
      <w:r w:rsidRPr="00B275E2">
        <w:t>a July to June reporting year</w:t>
      </w:r>
      <w:r w:rsidR="009D1401" w:rsidRPr="00B275E2">
        <w:t>,</w:t>
      </w:r>
      <w:r w:rsidRPr="00B275E2">
        <w:t xml:space="preserve"> apply the </w:t>
      </w:r>
      <w:r w:rsidR="004D24E7" w:rsidRPr="00B275E2">
        <w:t>more recent</w:t>
      </w:r>
      <w:r w:rsidRPr="00B275E2">
        <w:t xml:space="preserve"> set of factors.</w:t>
      </w:r>
    </w:p>
    <w:p w14:paraId="29DD9CB1" w14:textId="14181CEB" w:rsidR="00B17ABF" w:rsidRPr="00B275E2" w:rsidRDefault="00B17ABF" w:rsidP="007F0B1E">
      <w:pPr>
        <w:pStyle w:val="BodyText"/>
      </w:pPr>
      <w:bookmarkStart w:id="88" w:name="_Toc530051522"/>
      <w:bookmarkStart w:id="89" w:name="_Toc530055801"/>
      <w:r w:rsidRPr="00B275E2">
        <w:t xml:space="preserve">The emission factors in this guide are: </w:t>
      </w:r>
    </w:p>
    <w:p w14:paraId="35D1088B" w14:textId="5239EC08" w:rsidR="00B17ABF" w:rsidRPr="00B275E2" w:rsidRDefault="00B17ABF" w:rsidP="00905090">
      <w:pPr>
        <w:pStyle w:val="Bullet"/>
      </w:pPr>
      <w:bookmarkStart w:id="90" w:name="_Hlk532888707"/>
      <w:bookmarkEnd w:id="87"/>
      <w:r w:rsidRPr="00B275E2">
        <w:t>default factors</w:t>
      </w:r>
      <w:r w:rsidR="00CF740B" w:rsidRPr="00B275E2">
        <w:t>,</w:t>
      </w:r>
      <w:r w:rsidRPr="00B275E2">
        <w:t xml:space="preserve"> used in the absence of better company</w:t>
      </w:r>
      <w:r w:rsidR="004D24E7" w:rsidRPr="00B275E2">
        <w:t>-</w:t>
      </w:r>
      <w:r w:rsidRPr="00B275E2">
        <w:t xml:space="preserve"> or industry-specific information </w:t>
      </w:r>
    </w:p>
    <w:p w14:paraId="2F4198F5" w14:textId="68F9701C" w:rsidR="00B17ABF" w:rsidRPr="00B275E2" w:rsidRDefault="00B17ABF" w:rsidP="00905090">
      <w:pPr>
        <w:pStyle w:val="Bullet"/>
      </w:pPr>
      <w:r w:rsidRPr="00B275E2">
        <w:t xml:space="preserve">consistent with the reporting requirements of </w:t>
      </w:r>
      <w:hyperlink r:id="rId51" w:history="1">
        <w:r w:rsidRPr="00B275E2">
          <w:rPr>
            <w:rStyle w:val="Hyperlink"/>
          </w:rPr>
          <w:t>ISO 14064-1</w:t>
        </w:r>
        <w:r w:rsidR="000179C1" w:rsidRPr="00B275E2">
          <w:rPr>
            <w:rStyle w:val="Hyperlink"/>
          </w:rPr>
          <w:t>:2018</w:t>
        </w:r>
      </w:hyperlink>
      <w:r w:rsidRPr="00B275E2">
        <w:t xml:space="preserve"> and </w:t>
      </w:r>
      <w:r w:rsidR="004D24E7" w:rsidRPr="00B275E2">
        <w:t>t</w:t>
      </w:r>
      <w:r w:rsidRPr="00B275E2">
        <w:t>he</w:t>
      </w:r>
      <w:r w:rsidRPr="00B275E2">
        <w:rPr>
          <w:i/>
        </w:rPr>
        <w:t xml:space="preserve"> </w:t>
      </w:r>
      <w:hyperlink r:id="rId52" w:history="1">
        <w:r w:rsidR="00C107FC" w:rsidRPr="00B275E2">
          <w:rPr>
            <w:rStyle w:val="Hyperlink"/>
          </w:rPr>
          <w:t>GHG Protocol</w:t>
        </w:r>
      </w:hyperlink>
    </w:p>
    <w:p w14:paraId="0295CE64" w14:textId="24056987" w:rsidR="00B17ABF" w:rsidRPr="00B275E2" w:rsidRDefault="00B17ABF" w:rsidP="00905090">
      <w:pPr>
        <w:pStyle w:val="Bullet"/>
      </w:pPr>
      <w:r w:rsidRPr="00B275E2">
        <w:t>aligned with</w:t>
      </w:r>
      <w:r w:rsidR="003768AA" w:rsidRPr="00B275E2">
        <w:t xml:space="preserve"> </w:t>
      </w:r>
      <w:hyperlink r:id="rId53" w:history="1">
        <w:r w:rsidR="00EF7F4B" w:rsidRPr="00B275E2">
          <w:rPr>
            <w:rStyle w:val="Hyperlink"/>
            <w:i/>
            <w:iCs/>
          </w:rPr>
          <w:t>New Zealand’s Greenhouse Gas Inventory 1990–2020</w:t>
        </w:r>
      </w:hyperlink>
      <w:r w:rsidRPr="00B275E2">
        <w:t xml:space="preserve">. This also means we use the </w:t>
      </w:r>
      <w:r w:rsidR="00113FCF" w:rsidRPr="00B275E2">
        <w:t xml:space="preserve">GWPs from the </w:t>
      </w:r>
      <w:r w:rsidR="009F740E" w:rsidRPr="00B275E2">
        <w:t>AR4</w:t>
      </w:r>
      <w:r w:rsidR="00113FCF" w:rsidRPr="00B275E2">
        <w:t xml:space="preserve"> </w:t>
      </w:r>
      <w:r w:rsidRPr="00B275E2">
        <w:t>to ensure consistency.</w:t>
      </w:r>
    </w:p>
    <w:bookmarkEnd w:id="90"/>
    <w:p w14:paraId="481B8E92" w14:textId="4B3AEC84" w:rsidR="00B17ABF" w:rsidRPr="00B275E2" w:rsidRDefault="00B17ABF" w:rsidP="00905090">
      <w:pPr>
        <w:pStyle w:val="BodyText"/>
      </w:pPr>
      <w:r w:rsidRPr="00B275E2">
        <w:t xml:space="preserve">Under the reporting requirements of </w:t>
      </w:r>
      <w:hyperlink r:id="rId54" w:history="1">
        <w:r w:rsidRPr="00B275E2">
          <w:rPr>
            <w:rStyle w:val="Hyperlink"/>
          </w:rPr>
          <w:t>ISO 14064-1</w:t>
        </w:r>
        <w:r w:rsidR="00330EAD" w:rsidRPr="00B275E2">
          <w:rPr>
            <w:rStyle w:val="Hyperlink"/>
          </w:rPr>
          <w:t>:2018</w:t>
        </w:r>
      </w:hyperlink>
      <w:r w:rsidRPr="00B275E2">
        <w:t>and the</w:t>
      </w:r>
      <w:r w:rsidRPr="00B275E2">
        <w:rPr>
          <w:i/>
        </w:rPr>
        <w:t xml:space="preserve"> </w:t>
      </w:r>
      <w:hyperlink r:id="rId55" w:history="1">
        <w:r w:rsidRPr="00B275E2">
          <w:rPr>
            <w:rStyle w:val="Hyperlink"/>
          </w:rPr>
          <w:t>GHG Protocol</w:t>
        </w:r>
      </w:hyperlink>
      <w:r w:rsidRPr="00B275E2">
        <w:rPr>
          <w:i/>
        </w:rPr>
        <w:t>,</w:t>
      </w:r>
      <w:r w:rsidRPr="00B275E2">
        <w:t xml:space="preserve"> GHG emissions should be reported in tonnes CO</w:t>
      </w:r>
      <w:r w:rsidRPr="00B275E2">
        <w:rPr>
          <w:vertAlign w:val="subscript"/>
        </w:rPr>
        <w:t>2</w:t>
      </w:r>
      <w:r w:rsidRPr="00B275E2">
        <w:t>-e. However, many emission factors are too small to be reported meaningfully in tonnes, therefore this guide presents emission factors in kg CO</w:t>
      </w:r>
      <w:r w:rsidRPr="00B275E2">
        <w:rPr>
          <w:vertAlign w:val="subscript"/>
        </w:rPr>
        <w:t>2</w:t>
      </w:r>
      <w:r w:rsidRPr="00B275E2">
        <w:t>-e per unit. Divi</w:t>
      </w:r>
      <w:r w:rsidR="002B2817" w:rsidRPr="00B275E2">
        <w:t>ding</w:t>
      </w:r>
      <w:r w:rsidRPr="00B275E2">
        <w:t xml:space="preserve"> by 1000 converts kg to tonnes (see example calculations on the following pages). </w:t>
      </w:r>
    </w:p>
    <w:p w14:paraId="64395261" w14:textId="062494CB" w:rsidR="00B17ABF" w:rsidRPr="00B275E2" w:rsidRDefault="00B17ABF" w:rsidP="007F0B1E">
      <w:pPr>
        <w:pStyle w:val="BodyText"/>
      </w:pPr>
      <w:r w:rsidRPr="00B275E2">
        <w:t xml:space="preserve">In line with the reporting requirements of </w:t>
      </w:r>
      <w:hyperlink r:id="rId56" w:history="1">
        <w:r w:rsidRPr="00B275E2">
          <w:rPr>
            <w:rStyle w:val="Hyperlink"/>
          </w:rPr>
          <w:t>ISO 14064-1</w:t>
        </w:r>
        <w:r w:rsidR="00330EAD" w:rsidRPr="00B275E2">
          <w:rPr>
            <w:rStyle w:val="Hyperlink"/>
          </w:rPr>
          <w:t>:2018</w:t>
        </w:r>
      </w:hyperlink>
      <w:r w:rsidRPr="00B275E2">
        <w:t xml:space="preserve">, the emission factors allow calculation of </w:t>
      </w:r>
      <w:r w:rsidR="00D86618" w:rsidRPr="00B275E2">
        <w:t>carbon dioxide</w:t>
      </w:r>
      <w:r w:rsidRPr="00B275E2">
        <w:t xml:space="preserve">, </w:t>
      </w:r>
      <w:r w:rsidR="00D86618" w:rsidRPr="00B275E2">
        <w:t xml:space="preserve">methane </w:t>
      </w:r>
      <w:r w:rsidRPr="00B275E2">
        <w:t xml:space="preserve">and </w:t>
      </w:r>
      <w:r w:rsidR="00D86618" w:rsidRPr="00B275E2">
        <w:t xml:space="preserve">nitrous oxide </w:t>
      </w:r>
      <w:r w:rsidRPr="00B275E2">
        <w:t xml:space="preserve">separately, as well as the total </w:t>
      </w:r>
      <w:r w:rsidR="00D86618" w:rsidRPr="00B275E2">
        <w:t>carbon</w:t>
      </w:r>
      <w:r w:rsidR="007C0168" w:rsidRPr="00B275E2">
        <w:t xml:space="preserve"> </w:t>
      </w:r>
      <w:r w:rsidR="00D86618" w:rsidRPr="00B275E2">
        <w:t>dioxide</w:t>
      </w:r>
      <w:r w:rsidRPr="00B275E2">
        <w:t xml:space="preserve"> equivalent for direct (Scope 1) emission sources.</w:t>
      </w:r>
    </w:p>
    <w:p w14:paraId="061A2DD5" w14:textId="66020A80" w:rsidR="00B17ABF" w:rsidRPr="00B275E2" w:rsidRDefault="00B17ABF" w:rsidP="007F0B1E">
      <w:pPr>
        <w:pStyle w:val="BodyText"/>
      </w:pPr>
      <w:r w:rsidRPr="00B275E2">
        <w:t xml:space="preserve">Carbon dioxide emission factors are based on the carbon and energy content of a </w:t>
      </w:r>
      <w:r w:rsidR="004D24E7" w:rsidRPr="00B275E2">
        <w:t>fuel</w:t>
      </w:r>
      <w:r w:rsidR="002B2817" w:rsidRPr="00B275E2">
        <w:t>. T</w:t>
      </w:r>
      <w:r w:rsidR="004D24E7" w:rsidRPr="00B275E2">
        <w:t>herefore,</w:t>
      </w:r>
      <w:r w:rsidRPr="00B275E2">
        <w:t xml:space="preserve"> the </w:t>
      </w:r>
      <w:r w:rsidR="00D86618" w:rsidRPr="00B275E2">
        <w:t>carbon dioxide</w:t>
      </w:r>
      <w:r w:rsidRPr="00B275E2">
        <w:t xml:space="preserve"> emissions remain constant </w:t>
      </w:r>
      <w:r w:rsidR="00615A41" w:rsidRPr="00B275E2">
        <w:t xml:space="preserve">irrespective of how </w:t>
      </w:r>
      <w:r w:rsidRPr="00B275E2">
        <w:t xml:space="preserve">a fuel is combusted. </w:t>
      </w:r>
    </w:p>
    <w:p w14:paraId="355CE8A5" w14:textId="0F5A8CFA" w:rsidR="00B17ABF" w:rsidRPr="00B275E2" w:rsidRDefault="004D24E7" w:rsidP="007F0B1E">
      <w:pPr>
        <w:pStyle w:val="BodyText"/>
      </w:pPr>
      <w:r w:rsidRPr="00B275E2">
        <w:t xml:space="preserve">Non-carbon dioxide emissions (ie, </w:t>
      </w:r>
      <w:r w:rsidR="00D86618" w:rsidRPr="00B275E2">
        <w:t>methane and nitrous oxide</w:t>
      </w:r>
      <w:r w:rsidR="00B17ABF" w:rsidRPr="00B275E2">
        <w:t>) and emission factors depend on</w:t>
      </w:r>
      <w:r w:rsidR="00BD7E36" w:rsidRPr="00B275E2">
        <w:t> </w:t>
      </w:r>
      <w:r w:rsidR="00B17ABF" w:rsidRPr="00B275E2">
        <w:t xml:space="preserve">the </w:t>
      </w:r>
      <w:r w:rsidR="003B7105" w:rsidRPr="00B275E2">
        <w:t>way</w:t>
      </w:r>
      <w:r w:rsidR="00B17ABF" w:rsidRPr="00B275E2">
        <w:t xml:space="preserve"> the fuel is combusted</w:t>
      </w:r>
      <w:r w:rsidR="009279C4" w:rsidRPr="00B275E2">
        <w:t>.</w:t>
      </w:r>
      <w:r w:rsidR="00B17ABF" w:rsidRPr="00B275E2">
        <w:rPr>
          <w:rStyle w:val="FootnoteReference"/>
        </w:rPr>
        <w:footnoteReference w:id="17"/>
      </w:r>
      <w:r w:rsidR="00B17ABF" w:rsidRPr="00B275E2">
        <w:t xml:space="preserve"> To reflect this variability, the guide provides uncertainty estimates for </w:t>
      </w:r>
      <w:r w:rsidR="003B7105" w:rsidRPr="00B275E2">
        <w:t>direct (</w:t>
      </w:r>
      <w:r w:rsidR="001C6281" w:rsidRPr="00B275E2">
        <w:t xml:space="preserve">Scope </w:t>
      </w:r>
      <w:r w:rsidR="00B17ABF" w:rsidRPr="00B275E2">
        <w:t>1</w:t>
      </w:r>
      <w:r w:rsidR="003B7105" w:rsidRPr="00B275E2">
        <w:t>)</w:t>
      </w:r>
      <w:r w:rsidR="00B17ABF" w:rsidRPr="00B275E2">
        <w:t xml:space="preserve"> emission factors. </w:t>
      </w:r>
      <w:hyperlink w:anchor="table3" w:history="1">
        <w:r w:rsidR="007F767D" w:rsidRPr="00B275E2">
          <w:rPr>
            <w:rStyle w:val="Hyperlink"/>
          </w:rPr>
          <w:t>Table 3</w:t>
        </w:r>
      </w:hyperlink>
      <w:r w:rsidR="00672B63" w:rsidRPr="00B275E2">
        <w:t xml:space="preserve"> </w:t>
      </w:r>
      <w:r w:rsidR="004A1AA3" w:rsidRPr="00B275E2">
        <w:t>presents s</w:t>
      </w:r>
      <w:r w:rsidR="00B17ABF" w:rsidRPr="00B275E2">
        <w:t xml:space="preserve">eparate </w:t>
      </w:r>
      <w:r w:rsidR="00C2252B" w:rsidRPr="00B275E2">
        <w:t xml:space="preserve">carbon dioxide </w:t>
      </w:r>
      <w:r w:rsidR="00C2252B" w:rsidRPr="00B275E2">
        <w:lastRenderedPageBreak/>
        <w:t>equivalent</w:t>
      </w:r>
      <w:r w:rsidR="00B17ABF" w:rsidRPr="00B275E2">
        <w:t xml:space="preserve"> emission factors for residential, commercial and industrial users. </w:t>
      </w:r>
      <w:r w:rsidR="00FD364D" w:rsidRPr="00B275E2">
        <w:t>It follows t</w:t>
      </w:r>
      <w:r w:rsidR="00B17ABF" w:rsidRPr="00B275E2">
        <w:t>he</w:t>
      </w:r>
      <w:r w:rsidR="00F710B4" w:rsidRPr="00B275E2">
        <w:t xml:space="preserve"> IPCC</w:t>
      </w:r>
      <w:r w:rsidR="00BD7E36" w:rsidRPr="00B275E2">
        <w:t> </w:t>
      </w:r>
      <w:r w:rsidR="00F710B4" w:rsidRPr="00B275E2">
        <w:t xml:space="preserve">guidelines for combustion and </w:t>
      </w:r>
      <w:r w:rsidR="00FD364D" w:rsidRPr="00B275E2">
        <w:t xml:space="preserve">adopts </w:t>
      </w:r>
      <w:r w:rsidR="00F710B4" w:rsidRPr="00B275E2">
        <w:t>the uncertainties</w:t>
      </w:r>
      <w:r w:rsidR="009279C4" w:rsidRPr="00B275E2">
        <w:t>.</w:t>
      </w:r>
      <w:r w:rsidR="00F710B4" w:rsidRPr="00B275E2">
        <w:rPr>
          <w:rStyle w:val="FootnoteReference"/>
        </w:rPr>
        <w:footnoteReference w:id="18"/>
      </w:r>
    </w:p>
    <w:p w14:paraId="205EDF05" w14:textId="0545E5EC" w:rsidR="00B17ABF" w:rsidRPr="00B275E2" w:rsidRDefault="00CF740B" w:rsidP="007F0B1E">
      <w:pPr>
        <w:pStyle w:val="BodyText"/>
      </w:pPr>
      <w:r w:rsidRPr="00B275E2">
        <w:t xml:space="preserve">We </w:t>
      </w:r>
      <w:r w:rsidR="009279C4" w:rsidRPr="00B275E2">
        <w:t xml:space="preserve">mainly </w:t>
      </w:r>
      <w:r w:rsidRPr="00B275E2">
        <w:t>derived t</w:t>
      </w:r>
      <w:r w:rsidR="00B17ABF" w:rsidRPr="00B275E2">
        <w:t>hese emission factors from technical information published by New</w:t>
      </w:r>
      <w:r w:rsidR="00143832" w:rsidRPr="00B275E2">
        <w:t> </w:t>
      </w:r>
      <w:r w:rsidR="00B17ABF" w:rsidRPr="00B275E2">
        <w:t xml:space="preserve">Zealand government agencies. Each section </w:t>
      </w:r>
      <w:r w:rsidR="003B7105" w:rsidRPr="00B275E2">
        <w:t xml:space="preserve">below </w:t>
      </w:r>
      <w:r w:rsidR="00B17ABF" w:rsidRPr="00B275E2">
        <w:t>provides the source for each emission</w:t>
      </w:r>
      <w:r w:rsidR="00143832" w:rsidRPr="00B275E2">
        <w:t> </w:t>
      </w:r>
      <w:r w:rsidR="00B17ABF" w:rsidRPr="00B275E2">
        <w:t xml:space="preserve">factor and </w:t>
      </w:r>
      <w:r w:rsidRPr="00B275E2">
        <w:t xml:space="preserve">describes </w:t>
      </w:r>
      <w:r w:rsidR="00B17ABF" w:rsidRPr="00B275E2">
        <w:t xml:space="preserve">how </w:t>
      </w:r>
      <w:r w:rsidRPr="00B275E2">
        <w:t>we derived the</w:t>
      </w:r>
      <w:r w:rsidR="00B17ABF" w:rsidRPr="00B275E2">
        <w:t xml:space="preserve"> factors.</w:t>
      </w:r>
    </w:p>
    <w:p w14:paraId="729E91B7" w14:textId="5273CF62" w:rsidR="00B17ABF" w:rsidRPr="00B275E2" w:rsidRDefault="00B17ABF" w:rsidP="00C24B73">
      <w:pPr>
        <w:pStyle w:val="Heading2"/>
        <w:numPr>
          <w:ilvl w:val="0"/>
          <w:numId w:val="19"/>
        </w:numPr>
      </w:pPr>
      <w:bookmarkStart w:id="91" w:name="_Producing_a_GHG"/>
      <w:bookmarkStart w:id="92" w:name="_Ref532552867"/>
      <w:bookmarkStart w:id="93" w:name="_Toc532904850"/>
      <w:bookmarkStart w:id="94" w:name="_Toc600564"/>
      <w:bookmarkStart w:id="95" w:name="_Ref54881295"/>
      <w:bookmarkStart w:id="96" w:name="_Toc111536770"/>
      <w:bookmarkEnd w:id="91"/>
      <w:r w:rsidRPr="00B275E2">
        <w:t>Producing a</w:t>
      </w:r>
      <w:r w:rsidR="00301928" w:rsidRPr="00B275E2">
        <w:t xml:space="preserve"> GHG</w:t>
      </w:r>
      <w:r w:rsidRPr="00B275E2">
        <w:t xml:space="preserve"> report</w:t>
      </w:r>
      <w:bookmarkEnd w:id="88"/>
      <w:bookmarkEnd w:id="89"/>
      <w:bookmarkEnd w:id="92"/>
      <w:bookmarkEnd w:id="93"/>
      <w:bookmarkEnd w:id="94"/>
      <w:bookmarkEnd w:id="95"/>
      <w:bookmarkEnd w:id="96"/>
    </w:p>
    <w:tbl>
      <w:tblPr>
        <w:tblpPr w:leftFromText="180" w:rightFromText="180" w:vertAnchor="text" w:horzAnchor="margin" w:tblpY="1215"/>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5"/>
      </w:tblGrid>
      <w:tr w:rsidR="0068533B" w:rsidRPr="00B275E2" w14:paraId="79398283" w14:textId="77777777" w:rsidTr="0068533B">
        <w:trPr>
          <w:tblHeader/>
        </w:trPr>
        <w:tc>
          <w:tcPr>
            <w:tcW w:w="8505" w:type="dxa"/>
            <w:tcBorders>
              <w:top w:val="single" w:sz="4" w:space="0" w:color="0F7B7D"/>
              <w:left w:val="single" w:sz="4" w:space="0" w:color="0F7B7D"/>
              <w:bottom w:val="nil"/>
              <w:right w:val="single" w:sz="4" w:space="0" w:color="0F7B7D"/>
            </w:tcBorders>
            <w:shd w:val="clear" w:color="auto" w:fill="0F7B7D"/>
            <w:vAlign w:val="center"/>
          </w:tcPr>
          <w:p w14:paraId="571FC79C" w14:textId="77777777" w:rsidR="0068533B" w:rsidRPr="00B275E2" w:rsidDel="00D5390D" w:rsidRDefault="0068533B" w:rsidP="0068533B">
            <w:pPr>
              <w:pStyle w:val="Casestudyheading"/>
            </w:pPr>
            <w:r w:rsidRPr="00B275E2">
              <w:t xml:space="preserve">A GHG Report </w:t>
            </w:r>
          </w:p>
        </w:tc>
      </w:tr>
      <w:tr w:rsidR="0068533B" w:rsidRPr="00B275E2" w14:paraId="363ABBB7" w14:textId="77777777" w:rsidTr="0068533B">
        <w:tc>
          <w:tcPr>
            <w:tcW w:w="8505" w:type="dxa"/>
            <w:tcBorders>
              <w:top w:val="nil"/>
              <w:left w:val="single" w:sz="4" w:space="0" w:color="D5EBE8" w:themeColor="accent3"/>
              <w:bottom w:val="single" w:sz="4" w:space="0" w:color="D5EBE8" w:themeColor="accent3"/>
              <w:right w:val="single" w:sz="4" w:space="0" w:color="D5EBE8" w:themeColor="accent3"/>
            </w:tcBorders>
            <w:shd w:val="clear" w:color="auto" w:fill="D5EBE8" w:themeFill="accent3"/>
          </w:tcPr>
          <w:p w14:paraId="2E50C970" w14:textId="77777777" w:rsidR="0068533B" w:rsidRPr="00B275E2" w:rsidRDefault="0068533B" w:rsidP="0068533B">
            <w:pPr>
              <w:pStyle w:val="Boxtext"/>
              <w:spacing w:after="80"/>
            </w:pPr>
            <w:r w:rsidRPr="00B275E2">
              <w:t>To compile a full GHG report, organisations should include:</w:t>
            </w:r>
          </w:p>
          <w:p w14:paraId="6C4C8C40" w14:textId="77777777" w:rsidR="0068533B" w:rsidRPr="00B275E2" w:rsidRDefault="0068533B" w:rsidP="0068533B">
            <w:pPr>
              <w:pStyle w:val="Boxbullet"/>
              <w:numPr>
                <w:ilvl w:val="0"/>
                <w:numId w:val="44"/>
              </w:numPr>
            </w:pPr>
            <w:r w:rsidRPr="00B275E2">
              <w:t>a description of the organisation</w:t>
            </w:r>
          </w:p>
          <w:p w14:paraId="4FAD66CA" w14:textId="77777777" w:rsidR="0068533B" w:rsidRPr="00B275E2" w:rsidRDefault="0068533B" w:rsidP="0068533B">
            <w:pPr>
              <w:pStyle w:val="Boxbullet"/>
              <w:numPr>
                <w:ilvl w:val="0"/>
                <w:numId w:val="44"/>
              </w:numPr>
            </w:pPr>
            <w:r w:rsidRPr="00B275E2">
              <w:t>the person or entity responsible for the report</w:t>
            </w:r>
          </w:p>
          <w:p w14:paraId="4A4D30D1" w14:textId="77777777" w:rsidR="0068533B" w:rsidRPr="00B275E2" w:rsidRDefault="0068533B" w:rsidP="0068533B">
            <w:pPr>
              <w:pStyle w:val="Boxbullet"/>
              <w:numPr>
                <w:ilvl w:val="0"/>
                <w:numId w:val="44"/>
              </w:numPr>
            </w:pPr>
            <w:r w:rsidRPr="00B275E2">
              <w:t xml:space="preserve">a description of the inventory boundaries </w:t>
            </w:r>
          </w:p>
          <w:p w14:paraId="0E56AF2D" w14:textId="77777777" w:rsidR="0068533B" w:rsidRPr="00B275E2" w:rsidRDefault="0068533B" w:rsidP="0068533B">
            <w:pPr>
              <w:pStyle w:val="Boxbullet"/>
              <w:numPr>
                <w:ilvl w:val="0"/>
                <w:numId w:val="44"/>
              </w:numPr>
            </w:pPr>
            <w:r w:rsidRPr="00B275E2">
              <w:t>organisational boundary</w:t>
            </w:r>
          </w:p>
          <w:p w14:paraId="2E8AFE62" w14:textId="77777777" w:rsidR="0068533B" w:rsidRPr="00B275E2" w:rsidRDefault="0068533B" w:rsidP="0068533B">
            <w:pPr>
              <w:pStyle w:val="Boxbullet"/>
              <w:numPr>
                <w:ilvl w:val="0"/>
                <w:numId w:val="44"/>
              </w:numPr>
            </w:pPr>
            <w:r w:rsidRPr="00B275E2">
              <w:t>reporting boundary</w:t>
            </w:r>
          </w:p>
          <w:p w14:paraId="254DAF73" w14:textId="77777777" w:rsidR="0068533B" w:rsidRPr="00B275E2" w:rsidRDefault="0068533B" w:rsidP="0068533B">
            <w:pPr>
              <w:pStyle w:val="Boxbullet"/>
              <w:numPr>
                <w:ilvl w:val="0"/>
                <w:numId w:val="44"/>
              </w:numPr>
            </w:pPr>
            <w:r w:rsidRPr="00B275E2">
              <w:t>measurement period</w:t>
            </w:r>
          </w:p>
          <w:p w14:paraId="30508AF2" w14:textId="77777777" w:rsidR="0068533B" w:rsidRPr="00B275E2" w:rsidRDefault="0068533B" w:rsidP="0068533B">
            <w:pPr>
              <w:pStyle w:val="Boxbullet"/>
              <w:numPr>
                <w:ilvl w:val="0"/>
                <w:numId w:val="44"/>
              </w:numPr>
            </w:pPr>
            <w:r w:rsidRPr="00B275E2">
              <w:t>the chosen base year (initial measurement period for comparing annual results)</w:t>
            </w:r>
          </w:p>
          <w:p w14:paraId="1CEF3A49" w14:textId="77777777" w:rsidR="0068533B" w:rsidRPr="00B275E2" w:rsidRDefault="0068533B" w:rsidP="0068533B">
            <w:pPr>
              <w:pStyle w:val="Boxbullet"/>
              <w:numPr>
                <w:ilvl w:val="0"/>
                <w:numId w:val="44"/>
              </w:numPr>
            </w:pPr>
            <w:r w:rsidRPr="00B275E2">
              <w:t xml:space="preserve">emissions (and removals where appropriate) </w:t>
            </w:r>
          </w:p>
          <w:p w14:paraId="209BCA3A" w14:textId="77777777" w:rsidR="0068533B" w:rsidRPr="00B275E2" w:rsidRDefault="0068533B" w:rsidP="0068533B">
            <w:pPr>
              <w:pStyle w:val="Boxbullet"/>
              <w:numPr>
                <w:ilvl w:val="0"/>
                <w:numId w:val="44"/>
              </w:numPr>
            </w:pPr>
            <w:r w:rsidRPr="00B275E2">
              <w:t>for all seven GHGs separately in metric tonnes CO</w:t>
            </w:r>
            <w:r w:rsidRPr="00B275E2">
              <w:rPr>
                <w:vertAlign w:val="subscript"/>
              </w:rPr>
              <w:t>2</w:t>
            </w:r>
            <w:r w:rsidRPr="00B275E2">
              <w:t>-e</w:t>
            </w:r>
          </w:p>
          <w:p w14:paraId="13A9E665" w14:textId="77777777" w:rsidR="0068533B" w:rsidRPr="00B275E2" w:rsidRDefault="0068533B" w:rsidP="0068533B">
            <w:pPr>
              <w:pStyle w:val="Boxbullet"/>
              <w:numPr>
                <w:ilvl w:val="0"/>
                <w:numId w:val="44"/>
              </w:numPr>
            </w:pPr>
            <w:r w:rsidRPr="00B275E2">
              <w:t xml:space="preserve">emissions separated by scope </w:t>
            </w:r>
          </w:p>
          <w:p w14:paraId="77F86391" w14:textId="77777777" w:rsidR="0068533B" w:rsidRPr="00B275E2" w:rsidRDefault="0068533B" w:rsidP="0068533B">
            <w:pPr>
              <w:pStyle w:val="Boxbullet"/>
              <w:numPr>
                <w:ilvl w:val="0"/>
                <w:numId w:val="44"/>
              </w:numPr>
            </w:pPr>
            <w:r w:rsidRPr="00B275E2">
              <w:t>total Scope 1 and 2 emissions</w:t>
            </w:r>
          </w:p>
          <w:p w14:paraId="0F109855" w14:textId="77777777" w:rsidR="0068533B" w:rsidRPr="00B275E2" w:rsidRDefault="0068533B" w:rsidP="0068533B">
            <w:pPr>
              <w:pStyle w:val="Boxbullet"/>
              <w:numPr>
                <w:ilvl w:val="0"/>
                <w:numId w:val="44"/>
              </w:numPr>
            </w:pPr>
            <w:r w:rsidRPr="00B275E2">
              <w:t xml:space="preserve">specified Scope 3 emissions </w:t>
            </w:r>
          </w:p>
          <w:p w14:paraId="0AB0A2AA" w14:textId="77777777" w:rsidR="0068533B" w:rsidRPr="00B275E2" w:rsidRDefault="0068533B" w:rsidP="0068533B">
            <w:pPr>
              <w:pStyle w:val="Boxbullet"/>
              <w:numPr>
                <w:ilvl w:val="0"/>
                <w:numId w:val="44"/>
              </w:numPr>
            </w:pPr>
            <w:r w:rsidRPr="00B275E2">
              <w:t>emissions from biologically sequestered carbon reported separately from the scopes</w:t>
            </w:r>
          </w:p>
          <w:p w14:paraId="355D068F" w14:textId="77777777" w:rsidR="0068533B" w:rsidRPr="00B275E2" w:rsidRDefault="0068533B" w:rsidP="0068533B">
            <w:pPr>
              <w:pStyle w:val="Boxbullet"/>
              <w:numPr>
                <w:ilvl w:val="0"/>
                <w:numId w:val="44"/>
              </w:numPr>
            </w:pPr>
            <w:r w:rsidRPr="00B275E2">
              <w:t xml:space="preserve">a time series of emissions results from base year to present year </w:t>
            </w:r>
          </w:p>
          <w:p w14:paraId="4CD17BA2" w14:textId="77777777" w:rsidR="0068533B" w:rsidRPr="00B275E2" w:rsidRDefault="0068533B" w:rsidP="0068533B">
            <w:pPr>
              <w:pStyle w:val="Boxbullet"/>
              <w:numPr>
                <w:ilvl w:val="0"/>
                <w:numId w:val="44"/>
              </w:numPr>
            </w:pPr>
            <w:r w:rsidRPr="00B275E2">
              <w:t>significant emissions changes, including in the context of triggering any base year recalculations</w:t>
            </w:r>
          </w:p>
          <w:p w14:paraId="1B80CDF8" w14:textId="77777777" w:rsidR="0068533B" w:rsidRPr="00B275E2" w:rsidRDefault="0068533B" w:rsidP="0068533B">
            <w:pPr>
              <w:pStyle w:val="Boxbullet"/>
              <w:numPr>
                <w:ilvl w:val="0"/>
                <w:numId w:val="44"/>
              </w:numPr>
            </w:pPr>
            <w:r w:rsidRPr="00B275E2">
              <w:t>the methodologies for calculating emissions, and references to key data sources</w:t>
            </w:r>
          </w:p>
          <w:p w14:paraId="376A6DF3" w14:textId="77777777" w:rsidR="0068533B" w:rsidRPr="00B275E2" w:rsidRDefault="0068533B" w:rsidP="0068533B">
            <w:pPr>
              <w:pStyle w:val="Boxbullet"/>
              <w:numPr>
                <w:ilvl w:val="0"/>
                <w:numId w:val="44"/>
              </w:numPr>
            </w:pPr>
            <w:r w:rsidRPr="00B275E2">
              <w:t xml:space="preserve">impacts of uncertainty on the inventory </w:t>
            </w:r>
          </w:p>
          <w:p w14:paraId="0908C85D" w14:textId="77777777" w:rsidR="0068533B" w:rsidRPr="00B275E2" w:rsidRDefault="0068533B" w:rsidP="0068533B">
            <w:pPr>
              <w:pStyle w:val="Boxbullet"/>
              <w:numPr>
                <w:ilvl w:val="0"/>
                <w:numId w:val="44"/>
              </w:numPr>
            </w:pPr>
            <w:r>
              <w:t>any specific exclusions of sources, facilities or operations.</w:t>
            </w:r>
          </w:p>
          <w:p w14:paraId="30FB5D65" w14:textId="77777777" w:rsidR="0068533B" w:rsidRPr="00B275E2" w:rsidRDefault="0068533B" w:rsidP="0068533B">
            <w:pPr>
              <w:pStyle w:val="Boxtext"/>
              <w:spacing w:after="180"/>
            </w:pPr>
            <w:r w:rsidRPr="00B275E2">
              <w:t xml:space="preserve">View an example reporting template on the </w:t>
            </w:r>
            <w:hyperlink r:id="rId57" w:anchor="supporting-documents" w:history="1">
              <w:r w:rsidRPr="00B275E2">
                <w:rPr>
                  <w:rStyle w:val="Hyperlink"/>
                  <w:color w:val="4CAAD0" w:themeColor="accent1" w:themeTint="99"/>
                  <w:szCs w:val="20"/>
                </w:rPr>
                <w:t>GHG Protocol Corporate Standard webpage</w:t>
              </w:r>
            </w:hyperlink>
            <w:r w:rsidRPr="00B275E2">
              <w:t xml:space="preserve">. </w:t>
            </w:r>
          </w:p>
        </w:tc>
      </w:tr>
    </w:tbl>
    <w:p w14:paraId="6C3E7FC4" w14:textId="77777777" w:rsidR="00EA42E6" w:rsidRPr="00B275E2" w:rsidRDefault="00B17ABF" w:rsidP="007F0B1E">
      <w:pPr>
        <w:pStyle w:val="BodyText"/>
        <w:spacing w:after="240"/>
      </w:pPr>
      <w:r w:rsidRPr="00B275E2">
        <w:t xml:space="preserve">A full </w:t>
      </w:r>
      <w:r w:rsidR="00301928" w:rsidRPr="00B275E2">
        <w:t xml:space="preserve">GHG </w:t>
      </w:r>
      <w:r w:rsidRPr="00B275E2">
        <w:t xml:space="preserve">report provides context to the GHG </w:t>
      </w:r>
      <w:r w:rsidR="003B7105" w:rsidRPr="00B275E2">
        <w:t>inventory</w:t>
      </w:r>
      <w:r w:rsidRPr="00B275E2">
        <w:t xml:space="preserve"> by including information about the organisation, comparing annual inventories, </w:t>
      </w:r>
      <w:r w:rsidR="00CF740B" w:rsidRPr="00B275E2">
        <w:t>discussing</w:t>
      </w:r>
      <w:r w:rsidRPr="00B275E2">
        <w:t xml:space="preserve"> significant changes to emissions,</w:t>
      </w:r>
      <w:r w:rsidR="00CF740B" w:rsidRPr="00B275E2">
        <w:t xml:space="preserve"> listing</w:t>
      </w:r>
      <w:r w:rsidRPr="00B275E2">
        <w:t xml:space="preserve"> excluded emissions, and </w:t>
      </w:r>
      <w:r w:rsidR="00CF740B" w:rsidRPr="00B275E2">
        <w:t xml:space="preserve">stating </w:t>
      </w:r>
      <w:r w:rsidRPr="00B275E2">
        <w:t xml:space="preserve">the methods and references for the calculations. </w:t>
      </w:r>
      <w:bookmarkStart w:id="97" w:name="_Hlk530039161"/>
    </w:p>
    <w:p w14:paraId="654BE05C" w14:textId="69D06B71" w:rsidR="00B17ABF" w:rsidRPr="00B275E2" w:rsidRDefault="00051A63" w:rsidP="00C24B73">
      <w:pPr>
        <w:pStyle w:val="Heading2"/>
        <w:numPr>
          <w:ilvl w:val="0"/>
          <w:numId w:val="19"/>
        </w:numPr>
      </w:pPr>
      <w:bookmarkStart w:id="98" w:name="_Verification"/>
      <w:bookmarkStart w:id="99" w:name="_Toc530051491"/>
      <w:bookmarkStart w:id="100" w:name="_Toc530051523"/>
      <w:bookmarkStart w:id="101" w:name="_Toc530055802"/>
      <w:bookmarkStart w:id="102" w:name="_Ref532552874"/>
      <w:bookmarkStart w:id="103" w:name="_Toc532904851"/>
      <w:bookmarkStart w:id="104" w:name="_Toc600565"/>
      <w:bookmarkStart w:id="105" w:name="_Toc111536771"/>
      <w:bookmarkEnd w:id="97"/>
      <w:bookmarkEnd w:id="98"/>
      <w:r w:rsidRPr="00B275E2">
        <w:lastRenderedPageBreak/>
        <w:t>V</w:t>
      </w:r>
      <w:r w:rsidR="00B17ABF" w:rsidRPr="00B275E2">
        <w:t>erification</w:t>
      </w:r>
      <w:bookmarkEnd w:id="99"/>
      <w:bookmarkEnd w:id="100"/>
      <w:bookmarkEnd w:id="101"/>
      <w:bookmarkEnd w:id="102"/>
      <w:bookmarkEnd w:id="103"/>
      <w:bookmarkEnd w:id="104"/>
      <w:bookmarkEnd w:id="105"/>
    </w:p>
    <w:p w14:paraId="2AEB18C4" w14:textId="7FEF2C3A" w:rsidR="00B17ABF" w:rsidRPr="00B275E2" w:rsidRDefault="00B17ABF" w:rsidP="00905090">
      <w:pPr>
        <w:pStyle w:val="BodyText"/>
      </w:pPr>
      <w:bookmarkStart w:id="106" w:name="_Hlk532888905"/>
      <w:r w:rsidRPr="00B275E2">
        <w:t>Verification</w:t>
      </w:r>
      <w:r w:rsidRPr="00B275E2">
        <w:rPr>
          <w:rStyle w:val="FootnoteReference"/>
          <w:spacing w:val="-2"/>
        </w:rPr>
        <w:footnoteReference w:id="19"/>
      </w:r>
      <w:r w:rsidRPr="00B275E2">
        <w:t xml:space="preserve"> </w:t>
      </w:r>
      <w:r w:rsidR="00BB1C42" w:rsidRPr="00B275E2">
        <w:t>give</w:t>
      </w:r>
      <w:r w:rsidRPr="00B275E2">
        <w:t xml:space="preserve">s confidence about the </w:t>
      </w:r>
      <w:r w:rsidR="00301928" w:rsidRPr="00B275E2">
        <w:t xml:space="preserve">GHG </w:t>
      </w:r>
      <w:r w:rsidRPr="00B275E2">
        <w:t>inventory</w:t>
      </w:r>
      <w:r w:rsidR="003B7105" w:rsidRPr="00B275E2">
        <w:t xml:space="preserve"> and report</w:t>
      </w:r>
      <w:r w:rsidRPr="00B275E2">
        <w:t xml:space="preserve">. If </w:t>
      </w:r>
      <w:r w:rsidR="00EB657F" w:rsidRPr="00B275E2">
        <w:t>you</w:t>
      </w:r>
      <w:r w:rsidR="00CF740B" w:rsidRPr="00B275E2">
        <w:t xml:space="preserve"> intend to publicly release the</w:t>
      </w:r>
      <w:r w:rsidRPr="00B275E2">
        <w:t xml:space="preserve"> inventory, </w:t>
      </w:r>
      <w:r w:rsidR="00EB657F" w:rsidRPr="00B275E2">
        <w:t xml:space="preserve">we </w:t>
      </w:r>
      <w:r w:rsidRPr="00B275E2">
        <w:t xml:space="preserve">recommend it is independently verified to confirm calculations are accurate, the inventory is complete and </w:t>
      </w:r>
      <w:r w:rsidR="00EB657F" w:rsidRPr="00B275E2">
        <w:t xml:space="preserve">you have followed </w:t>
      </w:r>
      <w:r w:rsidR="00EB542E" w:rsidRPr="00B275E2">
        <w:t>the correct methodologies</w:t>
      </w:r>
      <w:r w:rsidRPr="00B275E2">
        <w:t>.</w:t>
      </w:r>
    </w:p>
    <w:p w14:paraId="1821EDE6" w14:textId="12C8205B" w:rsidR="00B17ABF" w:rsidRPr="00D914D8" w:rsidRDefault="00B17ABF" w:rsidP="006B7605">
      <w:pPr>
        <w:pStyle w:val="Heading3"/>
      </w:pPr>
      <w:bookmarkStart w:id="107" w:name="_Toc530051525"/>
      <w:bookmarkStart w:id="108" w:name="_Toc530055804"/>
      <w:bookmarkStart w:id="109" w:name="_Toc532904852"/>
      <w:bookmarkEnd w:id="106"/>
      <w:r w:rsidRPr="00D914D8">
        <w:t>Who should verify my inventory?</w:t>
      </w:r>
      <w:bookmarkEnd w:id="107"/>
      <w:bookmarkEnd w:id="108"/>
      <w:bookmarkEnd w:id="109"/>
    </w:p>
    <w:p w14:paraId="15BB764D" w14:textId="5D0133E4" w:rsidR="003B7105" w:rsidRPr="00B275E2" w:rsidRDefault="00CF740B" w:rsidP="00744FAA">
      <w:pPr>
        <w:pStyle w:val="BodyText"/>
      </w:pPr>
      <w:bookmarkStart w:id="110" w:name="_Hlk532888919"/>
      <w:r w:rsidRPr="00B275E2">
        <w:t xml:space="preserve">If </w:t>
      </w:r>
      <w:r w:rsidR="008A3CD1" w:rsidRPr="00B275E2">
        <w:t>you opt for</w:t>
      </w:r>
      <w:r w:rsidR="003B7105" w:rsidRPr="00B275E2">
        <w:t xml:space="preserve"> verification, </w:t>
      </w:r>
      <w:r w:rsidR="008A3CD1" w:rsidRPr="00B275E2">
        <w:t xml:space="preserve">we </w:t>
      </w:r>
      <w:r w:rsidR="003B7105" w:rsidRPr="00B275E2">
        <w:t>recommend us</w:t>
      </w:r>
      <w:r w:rsidRPr="00B275E2">
        <w:t>ing</w:t>
      </w:r>
      <w:r w:rsidR="003B7105" w:rsidRPr="00B275E2">
        <w:t xml:space="preserve"> verifiers who:</w:t>
      </w:r>
    </w:p>
    <w:p w14:paraId="53B62BDB" w14:textId="77777777" w:rsidR="003B7105" w:rsidRPr="00B275E2" w:rsidRDefault="003B7105" w:rsidP="00C24B73">
      <w:pPr>
        <w:pStyle w:val="Bullet"/>
        <w:numPr>
          <w:ilvl w:val="0"/>
          <w:numId w:val="45"/>
        </w:numPr>
      </w:pPr>
      <w:r w:rsidRPr="00B275E2">
        <w:t>are independent</w:t>
      </w:r>
    </w:p>
    <w:p w14:paraId="6E65BF16" w14:textId="2390737B" w:rsidR="0038137B" w:rsidRPr="00B34BB5" w:rsidRDefault="0038137B" w:rsidP="00C24B73">
      <w:pPr>
        <w:pStyle w:val="Bullet"/>
        <w:numPr>
          <w:ilvl w:val="0"/>
          <w:numId w:val="45"/>
        </w:numPr>
      </w:pPr>
      <w:r>
        <w:t>hold accreditation or certification from</w:t>
      </w:r>
      <w:r w:rsidRPr="00B34BB5">
        <w:t xml:space="preserve"> a suitable professional organisation</w:t>
      </w:r>
      <w:r>
        <w:t xml:space="preserve"> (for example</w:t>
      </w:r>
      <w:r w:rsidR="00C31D9E">
        <w:t>,</w:t>
      </w:r>
      <w:r>
        <w:t xml:space="preserve"> a professional recognition from NZICA, a carbon auditor certification from Carbon and Energy Professionals New Zealand, or organisations accredited to </w:t>
      </w:r>
      <w:r w:rsidRPr="00D03081">
        <w:rPr>
          <w:iCs/>
          <w:spacing w:val="-2"/>
        </w:rPr>
        <w:t>ISO</w:t>
      </w:r>
      <w:r w:rsidRPr="00A15BFD">
        <w:rPr>
          <w:iCs/>
          <w:spacing w:val="-2"/>
        </w:rPr>
        <w:t xml:space="preserve"> </w:t>
      </w:r>
      <w:r w:rsidRPr="00D03081">
        <w:rPr>
          <w:iCs/>
          <w:spacing w:val="-2"/>
        </w:rPr>
        <w:t>14065</w:t>
      </w:r>
      <w:r w:rsidRPr="00A15BFD">
        <w:rPr>
          <w:iCs/>
          <w:spacing w:val="-2"/>
        </w:rPr>
        <w:t xml:space="preserve"> standard</w:t>
      </w:r>
      <w:r>
        <w:rPr>
          <w:spacing w:val="-2"/>
        </w:rPr>
        <w:t>)</w:t>
      </w:r>
    </w:p>
    <w:p w14:paraId="121D973A" w14:textId="3AE14CD6" w:rsidR="003B7105" w:rsidRPr="00B275E2" w:rsidRDefault="003B7105" w:rsidP="00C24B73">
      <w:pPr>
        <w:pStyle w:val="Bullet"/>
        <w:numPr>
          <w:ilvl w:val="0"/>
          <w:numId w:val="45"/>
        </w:numPr>
      </w:pPr>
      <w:r w:rsidRPr="00B275E2">
        <w:t>have experience with emissions inventories</w:t>
      </w:r>
    </w:p>
    <w:p w14:paraId="143F3941" w14:textId="7159E2D0" w:rsidR="003B7105" w:rsidRPr="00B275E2" w:rsidRDefault="003B7105" w:rsidP="00C24B73">
      <w:pPr>
        <w:pStyle w:val="Bullet"/>
        <w:numPr>
          <w:ilvl w:val="0"/>
          <w:numId w:val="45"/>
        </w:numPr>
      </w:pPr>
      <w:r w:rsidRPr="00B275E2">
        <w:t xml:space="preserve">understand </w:t>
      </w:r>
      <w:hyperlink r:id="rId58" w:history="1">
        <w:r w:rsidRPr="00B275E2">
          <w:rPr>
            <w:rStyle w:val="Hyperlink"/>
          </w:rPr>
          <w:t>ISO 14064</w:t>
        </w:r>
      </w:hyperlink>
      <w:r w:rsidR="00C376BB" w:rsidRPr="00B275E2">
        <w:rPr>
          <w:rStyle w:val="Hyperlink"/>
        </w:rPr>
        <w:t xml:space="preserve">, </w:t>
      </w:r>
      <w:hyperlink r:id="rId59" w:history="1">
        <w:r w:rsidR="00C376BB" w:rsidRPr="00B275E2">
          <w:rPr>
            <w:rStyle w:val="Hyperlink"/>
          </w:rPr>
          <w:t>ISAE (NZ) 3410</w:t>
        </w:r>
      </w:hyperlink>
      <w:r w:rsidR="00C376BB" w:rsidRPr="00B275E2">
        <w:rPr>
          <w:rStyle w:val="Hyperlink"/>
        </w:rPr>
        <w:t>,</w:t>
      </w:r>
      <w:r w:rsidRPr="00B275E2">
        <w:t xml:space="preserve"> and the</w:t>
      </w:r>
      <w:r w:rsidRPr="00B275E2">
        <w:rPr>
          <w:i/>
        </w:rPr>
        <w:t xml:space="preserve"> </w:t>
      </w:r>
      <w:hyperlink r:id="rId60" w:history="1">
        <w:r w:rsidRPr="00B275E2">
          <w:rPr>
            <w:rStyle w:val="Hyperlink"/>
          </w:rPr>
          <w:t>GHG Protocol</w:t>
        </w:r>
      </w:hyperlink>
    </w:p>
    <w:p w14:paraId="0A2EA57A" w14:textId="110B06DF" w:rsidR="003B7105" w:rsidRPr="00B275E2" w:rsidRDefault="003B7105" w:rsidP="00C24B73">
      <w:pPr>
        <w:pStyle w:val="Bullet"/>
        <w:numPr>
          <w:ilvl w:val="0"/>
          <w:numId w:val="45"/>
        </w:numPr>
      </w:pPr>
      <w:r w:rsidRPr="00B275E2">
        <w:t>have effective internal peer review and quality control proce</w:t>
      </w:r>
      <w:r w:rsidR="00BB1C42" w:rsidRPr="00B275E2">
        <w:t>sses</w:t>
      </w:r>
      <w:r w:rsidRPr="00B275E2">
        <w:t>.</w:t>
      </w:r>
    </w:p>
    <w:p w14:paraId="010393FD" w14:textId="20A1135F" w:rsidR="00EA42E6" w:rsidRPr="00B275E2" w:rsidRDefault="00F86E56" w:rsidP="00C24B73">
      <w:pPr>
        <w:pStyle w:val="Bullet"/>
        <w:numPr>
          <w:ilvl w:val="0"/>
          <w:numId w:val="45"/>
        </w:numPr>
      </w:pPr>
      <w:r w:rsidRPr="00B275E2">
        <w:t xml:space="preserve">In New Zealand, </w:t>
      </w:r>
      <w:r w:rsidR="00C320D1" w:rsidRPr="00B275E2">
        <w:t>the</w:t>
      </w:r>
      <w:r w:rsidRPr="00B275E2">
        <w:t xml:space="preserve"> Joint Accreditation System of Australia and New Zealand (JAS-ANZ)</w:t>
      </w:r>
      <w:r w:rsidR="00CF740B" w:rsidRPr="00B275E2">
        <w:t xml:space="preserve"> issues accreditations</w:t>
      </w:r>
      <w:r w:rsidRPr="00B275E2">
        <w:t xml:space="preserve"> and publish</w:t>
      </w:r>
      <w:r w:rsidR="00CF740B" w:rsidRPr="00B275E2">
        <w:t>es</w:t>
      </w:r>
      <w:r w:rsidRPr="00B275E2">
        <w:t xml:space="preserve"> a list of accredited bodies on </w:t>
      </w:r>
      <w:r w:rsidR="009279C4" w:rsidRPr="00B275E2">
        <w:t xml:space="preserve">its </w:t>
      </w:r>
      <w:r w:rsidRPr="00B275E2">
        <w:t>website</w:t>
      </w:r>
      <w:r w:rsidR="009279C4" w:rsidRPr="00B275E2">
        <w:t>.</w:t>
      </w:r>
      <w:r w:rsidR="00B17ABF" w:rsidRPr="00B275E2">
        <w:rPr>
          <w:rStyle w:val="FootnoteReference"/>
          <w:spacing w:val="-2"/>
        </w:rPr>
        <w:footnoteReference w:id="20"/>
      </w:r>
      <w:bookmarkEnd w:id="110"/>
    </w:p>
    <w:bookmarkStart w:id="111" w:name="_Toc185407814"/>
    <w:bookmarkStart w:id="112" w:name="_Ref532640055"/>
    <w:bookmarkStart w:id="113" w:name="_Toc532904853"/>
    <w:bookmarkStart w:id="114" w:name="_Toc600566"/>
    <w:bookmarkEnd w:id="111"/>
    <w:p w14:paraId="79011A31" w14:textId="77777777" w:rsidR="00737EC9" w:rsidRPr="00B275E2" w:rsidRDefault="00737EC9" w:rsidP="00C24B73">
      <w:pPr>
        <w:pStyle w:val="Bullet"/>
        <w:numPr>
          <w:ilvl w:val="0"/>
          <w:numId w:val="45"/>
        </w:numPr>
      </w:pPr>
      <w:r w:rsidRPr="00B275E2">
        <w:fldChar w:fldCharType="begin"/>
      </w:r>
      <w:r w:rsidRPr="00B275E2">
        <w:instrText xml:space="preserve"> HYPERLINK "https://www.xrb.govt.nz/standards/assurance-standards/other-assurance-engagement-standards-2/other-assurance-engagement-standards/isae-nz-3410/" </w:instrText>
      </w:r>
      <w:r w:rsidRPr="00B275E2">
        <w:fldChar w:fldCharType="separate"/>
      </w:r>
      <w:r w:rsidRPr="00B275E2">
        <w:rPr>
          <w:rStyle w:val="Hyperlink"/>
        </w:rPr>
        <w:t>ISAE (NZ) 3410</w:t>
      </w:r>
      <w:r w:rsidRPr="00B275E2">
        <w:fldChar w:fldCharType="end"/>
      </w:r>
      <w:r w:rsidRPr="00B275E2">
        <w:t xml:space="preserve"> deals with assurance engagements to report on an entity’s GHG statement. It is free to download.</w:t>
      </w:r>
    </w:p>
    <w:p w14:paraId="277037AA" w14:textId="77777777" w:rsidR="000013C2" w:rsidRPr="00B275E2" w:rsidRDefault="000013C2" w:rsidP="007F0B1E">
      <w:pPr>
        <w:pStyle w:val="BodyText"/>
        <w:spacing w:before="0" w:after="0"/>
      </w:pPr>
      <w:r w:rsidRPr="00B275E2">
        <w:br w:type="page"/>
      </w:r>
    </w:p>
    <w:p w14:paraId="65091368" w14:textId="5E4C128B" w:rsidR="00321918" w:rsidRPr="00B275E2" w:rsidRDefault="00321918" w:rsidP="00C24B73">
      <w:pPr>
        <w:pStyle w:val="Heading1"/>
        <w:numPr>
          <w:ilvl w:val="0"/>
          <w:numId w:val="15"/>
        </w:numPr>
      </w:pPr>
      <w:bookmarkStart w:id="115" w:name="_Fuel_emission_factors"/>
      <w:bookmarkStart w:id="116" w:name="_Toc111536772"/>
      <w:bookmarkEnd w:id="115"/>
      <w:r w:rsidRPr="00B275E2">
        <w:lastRenderedPageBreak/>
        <w:t>Fuel emission factors</w:t>
      </w:r>
      <w:bookmarkEnd w:id="112"/>
      <w:bookmarkEnd w:id="113"/>
      <w:bookmarkEnd w:id="114"/>
      <w:bookmarkEnd w:id="116"/>
    </w:p>
    <w:p w14:paraId="54200AC3" w14:textId="2F9D64F6" w:rsidR="00817D03" w:rsidRPr="00B275E2" w:rsidRDefault="00817D03" w:rsidP="007F0B1E">
      <w:pPr>
        <w:pStyle w:val="BodyText"/>
        <w:spacing w:after="100"/>
      </w:pPr>
      <w:r w:rsidRPr="00B275E2">
        <w:t xml:space="preserve">Fuel can be categorised </w:t>
      </w:r>
      <w:r w:rsidR="00500CFC" w:rsidRPr="00B275E2">
        <w:t>by its end-use, i</w:t>
      </w:r>
      <w:r w:rsidR="007C0168" w:rsidRPr="00B275E2">
        <w:t>e</w:t>
      </w:r>
      <w:r w:rsidR="00500CFC" w:rsidRPr="00B275E2">
        <w:t>, either</w:t>
      </w:r>
      <w:r w:rsidRPr="00B275E2">
        <w:t xml:space="preserve"> stationary combustion or transport. This section also includes biofuels, and the transmission and distribution losses for reticulated natural gas. </w:t>
      </w:r>
    </w:p>
    <w:p w14:paraId="15DDF6FA" w14:textId="719D83B2" w:rsidR="00E813CC" w:rsidRPr="00B275E2" w:rsidRDefault="00E813CC" w:rsidP="007F0B1E">
      <w:pPr>
        <w:pStyle w:val="BodyText"/>
        <w:spacing w:after="100"/>
      </w:pPr>
      <w:r w:rsidRPr="00B275E2">
        <w:t xml:space="preserve">In line with the reporting requirements of </w:t>
      </w:r>
      <w:hyperlink r:id="rId61" w:history="1">
        <w:r w:rsidRPr="00B275E2">
          <w:rPr>
            <w:rStyle w:val="Hyperlink"/>
          </w:rPr>
          <w:t>ISO 14064-1</w:t>
        </w:r>
        <w:r w:rsidR="00330EAD" w:rsidRPr="00B275E2">
          <w:rPr>
            <w:rStyle w:val="Hyperlink"/>
          </w:rPr>
          <w:t>:2018</w:t>
        </w:r>
      </w:hyperlink>
      <w:r w:rsidR="003634E1" w:rsidRPr="00B275E2">
        <w:rPr>
          <w:rStyle w:val="Hyperlink"/>
        </w:rPr>
        <w:t xml:space="preserve"> </w:t>
      </w:r>
      <w:r w:rsidRPr="00B275E2">
        <w:t xml:space="preserve">and </w:t>
      </w:r>
      <w:r w:rsidR="00CC5B26" w:rsidRPr="00B275E2">
        <w:t>t</w:t>
      </w:r>
      <w:r w:rsidRPr="00B275E2">
        <w:t>he</w:t>
      </w:r>
      <w:r w:rsidRPr="00B275E2">
        <w:rPr>
          <w:i/>
        </w:rPr>
        <w:t xml:space="preserve"> </w:t>
      </w:r>
      <w:hyperlink r:id="rId62" w:history="1">
        <w:r w:rsidRPr="00B275E2">
          <w:rPr>
            <w:rStyle w:val="Hyperlink"/>
          </w:rPr>
          <w:t>GHG Protocol</w:t>
        </w:r>
      </w:hyperlink>
      <w:r w:rsidRPr="00B275E2">
        <w:t xml:space="preserve">, </w:t>
      </w:r>
      <w:r w:rsidR="00D34AC3" w:rsidRPr="00B275E2">
        <w:t xml:space="preserve">we provide </w:t>
      </w:r>
      <w:r w:rsidRPr="00B275E2">
        <w:t xml:space="preserve">emission factors for direct (Scope 1) sources to allow </w:t>
      </w:r>
      <w:r w:rsidR="008F43BF" w:rsidRPr="00B275E2">
        <w:t>separate</w:t>
      </w:r>
      <w:r w:rsidRPr="00B275E2">
        <w:t xml:space="preserve"> </w:t>
      </w:r>
      <w:r w:rsidR="00C2252B" w:rsidRPr="00B275E2">
        <w:t>carbon dioxide</w:t>
      </w:r>
      <w:r w:rsidRPr="00B275E2">
        <w:t xml:space="preserve">, </w:t>
      </w:r>
      <w:r w:rsidR="00C2252B" w:rsidRPr="00B275E2">
        <w:t>methane and nitrous oxide</w:t>
      </w:r>
      <w:r w:rsidRPr="00B275E2">
        <w:t xml:space="preserve"> </w:t>
      </w:r>
      <w:r w:rsidR="008F43BF" w:rsidRPr="00B275E2">
        <w:t>calculations</w:t>
      </w:r>
      <w:r w:rsidRPr="00B275E2">
        <w:t xml:space="preserve">. </w:t>
      </w:r>
    </w:p>
    <w:p w14:paraId="44880DBC" w14:textId="77777777" w:rsidR="00DF357B" w:rsidRPr="00B275E2" w:rsidRDefault="00DF357B" w:rsidP="00C24B73">
      <w:pPr>
        <w:pStyle w:val="Heading2"/>
        <w:numPr>
          <w:ilvl w:val="0"/>
          <w:numId w:val="20"/>
        </w:numPr>
      </w:pPr>
      <w:bookmarkStart w:id="117" w:name="_Toc111536773"/>
      <w:r w:rsidRPr="00B275E2">
        <w:t>Overview of changes since previous update</w:t>
      </w:r>
      <w:bookmarkEnd w:id="117"/>
      <w:r w:rsidRPr="00B275E2">
        <w:t xml:space="preserve"> </w:t>
      </w:r>
    </w:p>
    <w:p w14:paraId="3089C48E" w14:textId="25C4C3E2" w:rsidR="00DF357B" w:rsidRPr="00B275E2" w:rsidRDefault="00D7676A" w:rsidP="00F92211">
      <w:pPr>
        <w:pStyle w:val="BodyText"/>
      </w:pPr>
      <w:r w:rsidRPr="00B275E2">
        <w:t>T</w:t>
      </w:r>
      <w:r w:rsidR="001107C4" w:rsidRPr="00B275E2">
        <w:t xml:space="preserve">he fuel emissions factors are based on data from </w:t>
      </w:r>
      <w:r w:rsidR="00EF7F4B" w:rsidRPr="00B275E2">
        <w:t xml:space="preserve">the </w:t>
      </w:r>
      <w:hyperlink r:id="rId63" w:history="1">
        <w:r w:rsidR="00EF7F4B" w:rsidRPr="00B275E2">
          <w:rPr>
            <w:rStyle w:val="Hyperlink"/>
            <w:i/>
            <w:iCs/>
          </w:rPr>
          <w:t>New Zealand Greenhouse Gas Inventory 1990</w:t>
        </w:r>
        <w:r w:rsidR="00905090" w:rsidRPr="00B275E2">
          <w:rPr>
            <w:rStyle w:val="Hyperlink"/>
            <w:i/>
            <w:iCs/>
          </w:rPr>
          <w:t>–</w:t>
        </w:r>
        <w:r w:rsidR="00EF7F4B" w:rsidRPr="00B275E2">
          <w:rPr>
            <w:rStyle w:val="Hyperlink"/>
            <w:i/>
            <w:iCs/>
          </w:rPr>
          <w:t>2020</w:t>
        </w:r>
      </w:hyperlink>
      <w:r w:rsidRPr="00B275E2">
        <w:t xml:space="preserve">. Updates were made to commercial </w:t>
      </w:r>
      <w:r w:rsidR="00AB38AA" w:rsidRPr="00B275E2">
        <w:t>dies</w:t>
      </w:r>
      <w:r w:rsidR="00E871B8" w:rsidRPr="00B275E2">
        <w:t xml:space="preserve">el, </w:t>
      </w:r>
      <w:r w:rsidRPr="00B275E2">
        <w:t>heavy</w:t>
      </w:r>
      <w:r w:rsidR="002954A0" w:rsidRPr="00B275E2">
        <w:t xml:space="preserve"> and light fuel oil, regular and premium petrol,</w:t>
      </w:r>
      <w:r w:rsidR="000A6C99" w:rsidRPr="00B275E2">
        <w:t xml:space="preserve"> and</w:t>
      </w:r>
      <w:r w:rsidR="002954A0" w:rsidRPr="00B275E2">
        <w:t xml:space="preserve"> </w:t>
      </w:r>
      <w:r w:rsidR="000A6C99" w:rsidRPr="00B275E2">
        <w:t>wood</w:t>
      </w:r>
      <w:r w:rsidR="000C08EA" w:rsidRPr="00B275E2">
        <w:t>y biomass.</w:t>
      </w:r>
    </w:p>
    <w:p w14:paraId="65091380" w14:textId="6C215F81" w:rsidR="00BC2EEA" w:rsidRPr="00B275E2" w:rsidRDefault="00BC2EEA" w:rsidP="00C24B73">
      <w:pPr>
        <w:pStyle w:val="Heading2"/>
        <w:numPr>
          <w:ilvl w:val="0"/>
          <w:numId w:val="20"/>
        </w:numPr>
      </w:pPr>
      <w:bookmarkStart w:id="118" w:name="_Toc532904855"/>
      <w:bookmarkStart w:id="119" w:name="_Toc600568"/>
      <w:bookmarkStart w:id="120" w:name="_Toc111536774"/>
      <w:r w:rsidRPr="00B275E2">
        <w:t>Stationary combustion fuel</w:t>
      </w:r>
      <w:bookmarkEnd w:id="120"/>
      <w:r w:rsidRPr="00B275E2">
        <w:t xml:space="preserve"> </w:t>
      </w:r>
      <w:bookmarkEnd w:id="118"/>
      <w:bookmarkEnd w:id="119"/>
    </w:p>
    <w:p w14:paraId="65091381" w14:textId="166FC55E" w:rsidR="00564C0D" w:rsidRPr="00B275E2" w:rsidRDefault="00564C0D" w:rsidP="00102B9C">
      <w:pPr>
        <w:pStyle w:val="BodyText"/>
      </w:pPr>
      <w:bookmarkStart w:id="121" w:name="_Hlk532891054"/>
      <w:r w:rsidRPr="00B275E2">
        <w:t>Stationary combustion fuels are burnt in a fixed unit or asset</w:t>
      </w:r>
      <w:r w:rsidR="00B20C46" w:rsidRPr="00B275E2">
        <w:t>, such as a boiler</w:t>
      </w:r>
      <w:r w:rsidRPr="00B275E2">
        <w:t xml:space="preserve">. </w:t>
      </w:r>
      <w:bookmarkEnd w:id="121"/>
      <w:r w:rsidR="00A0565D" w:rsidRPr="00B275E2">
        <w:t>Direct (</w:t>
      </w:r>
      <w:r w:rsidR="00BC2EEA" w:rsidRPr="00B275E2">
        <w:t>Scope 1</w:t>
      </w:r>
      <w:r w:rsidR="00A0565D" w:rsidRPr="00B275E2">
        <w:t>)</w:t>
      </w:r>
      <w:r w:rsidR="00BC2EEA" w:rsidRPr="00B275E2">
        <w:t xml:space="preserve"> emissions occur from the combustion of fuels </w:t>
      </w:r>
      <w:r w:rsidR="00813C8F" w:rsidRPr="00B275E2">
        <w:t>within equipment</w:t>
      </w:r>
      <w:r w:rsidR="00BC2EEA" w:rsidRPr="00B275E2">
        <w:t xml:space="preserve"> owned or controlled by the</w:t>
      </w:r>
      <w:r w:rsidR="000F53F6" w:rsidRPr="00B275E2">
        <w:t xml:space="preserve"> reporting organisation. </w:t>
      </w:r>
      <w:r w:rsidR="0041480A" w:rsidRPr="00B275E2">
        <w:t xml:space="preserve">If the organisation does not own or control the assets where combustion takes </w:t>
      </w:r>
      <w:r w:rsidR="007745C8" w:rsidRPr="00B275E2">
        <w:t>place,</w:t>
      </w:r>
      <w:r w:rsidR="0041480A" w:rsidRPr="00B275E2">
        <w:t xml:space="preserve"> then these emissions are </w:t>
      </w:r>
      <w:r w:rsidR="00E20896" w:rsidRPr="00B275E2">
        <w:t>indirect (</w:t>
      </w:r>
      <w:r w:rsidR="00B20C46" w:rsidRPr="00B275E2">
        <w:t xml:space="preserve">Scope </w:t>
      </w:r>
      <w:r w:rsidR="0041480A" w:rsidRPr="00B275E2">
        <w:t>3</w:t>
      </w:r>
      <w:r w:rsidR="00E20896" w:rsidRPr="00B275E2">
        <w:t>) emissions</w:t>
      </w:r>
      <w:r w:rsidR="00A87561" w:rsidRPr="00B275E2">
        <w:t>. For more information see</w:t>
      </w:r>
      <w:r w:rsidR="0041480A" w:rsidRPr="00B275E2">
        <w:t xml:space="preserve"> </w:t>
      </w:r>
      <w:hyperlink w:anchor="_How_emission_sources" w:history="1">
        <w:r w:rsidR="0041480A" w:rsidRPr="00B275E2">
          <w:rPr>
            <w:rStyle w:val="Hyperlink"/>
          </w:rPr>
          <w:t>section</w:t>
        </w:r>
        <w:r w:rsidR="00110731" w:rsidRPr="00B275E2">
          <w:rPr>
            <w:rStyle w:val="Hyperlink"/>
          </w:rPr>
          <w:t xml:space="preserve"> 1.5.1</w:t>
        </w:r>
      </w:hyperlink>
      <w:r w:rsidR="0041480A" w:rsidRPr="00B275E2">
        <w:t xml:space="preserve">. </w:t>
      </w:r>
    </w:p>
    <w:p w14:paraId="3AA9867A" w14:textId="6D757135" w:rsidR="00817D03" w:rsidRPr="00B275E2" w:rsidRDefault="00C04FA9" w:rsidP="007F0B1E">
      <w:pPr>
        <w:pStyle w:val="BodyText"/>
      </w:pPr>
      <w:r w:rsidRPr="00B275E2">
        <w:t xml:space="preserve">Table 3 </w:t>
      </w:r>
      <w:r w:rsidR="00817D03" w:rsidRPr="00B275E2">
        <w:t xml:space="preserve">contains emission factors for common fuels used for stationary combustion in New Zealand. </w:t>
      </w:r>
      <w:r w:rsidR="009279C4" w:rsidRPr="00B275E2">
        <w:t xml:space="preserve">The Ministry of Business, Innovation and Employment (MBIE) </w:t>
      </w:r>
      <w:r w:rsidR="004A1AA3" w:rsidRPr="00B275E2">
        <w:t>provided t</w:t>
      </w:r>
      <w:r w:rsidR="00817D03" w:rsidRPr="00B275E2">
        <w:t>he</w:t>
      </w:r>
      <w:r w:rsidR="00817D03" w:rsidRPr="00B275E2" w:rsidDel="00C25B7F">
        <w:t xml:space="preserve"> </w:t>
      </w:r>
      <w:r w:rsidR="00817D03" w:rsidRPr="00B275E2">
        <w:t>emission factors and supporting data</w:t>
      </w:r>
      <w:r w:rsidR="00E813CC" w:rsidRPr="00B275E2">
        <w:t xml:space="preserve">. </w:t>
      </w:r>
      <w:r w:rsidR="00817D03" w:rsidRPr="00B275E2">
        <w:t xml:space="preserve">The same data </w:t>
      </w:r>
      <w:r w:rsidR="0003097B" w:rsidRPr="00B275E2">
        <w:t xml:space="preserve">were </w:t>
      </w:r>
      <w:r w:rsidR="00817D03" w:rsidRPr="00B275E2">
        <w:t>used in the</w:t>
      </w:r>
      <w:r w:rsidR="00C6514B" w:rsidRPr="00B275E2">
        <w:t xml:space="preserve"> </w:t>
      </w:r>
      <w:hyperlink r:id="rId64" w:history="1">
        <w:r w:rsidR="00FA5382" w:rsidRPr="00B275E2">
          <w:rPr>
            <w:rStyle w:val="Hyperlink"/>
            <w:i/>
            <w:iCs/>
          </w:rPr>
          <w:t>New Zealand Greenhouse Gas Inventory 1990</w:t>
        </w:r>
        <w:r w:rsidR="00102B9C" w:rsidRPr="00B275E2">
          <w:rPr>
            <w:rStyle w:val="Hyperlink"/>
            <w:i/>
            <w:iCs/>
          </w:rPr>
          <w:t>–</w:t>
        </w:r>
        <w:r w:rsidR="00FA5382" w:rsidRPr="00B275E2">
          <w:rPr>
            <w:rStyle w:val="Hyperlink"/>
            <w:i/>
            <w:iCs/>
          </w:rPr>
          <w:t>2020</w:t>
        </w:r>
      </w:hyperlink>
      <w:r w:rsidR="00FA5382" w:rsidRPr="00B275E2">
        <w:t>.</w:t>
      </w:r>
    </w:p>
    <w:p w14:paraId="65091384" w14:textId="118FAEF9" w:rsidR="001D5C82" w:rsidRPr="00B275E2" w:rsidRDefault="001D5C82" w:rsidP="00102B9C">
      <w:pPr>
        <w:pStyle w:val="Tableheading"/>
      </w:pPr>
      <w:bookmarkStart w:id="122" w:name="_Ref529879360"/>
      <w:bookmarkStart w:id="123" w:name="_Ref529526813"/>
      <w:bookmarkStart w:id="124" w:name="_Ref532307649"/>
      <w:bookmarkStart w:id="125" w:name="_Ref606746"/>
      <w:bookmarkStart w:id="126" w:name="table3"/>
      <w:bookmarkStart w:id="127" w:name="_Ref529877207"/>
      <w:bookmarkStart w:id="128" w:name="_Toc111536608"/>
      <w:r w:rsidRPr="00B275E2">
        <w:t>Table</w:t>
      </w:r>
      <w:bookmarkEnd w:id="122"/>
      <w:r w:rsidRPr="00B275E2">
        <w:t xml:space="preserve"> </w:t>
      </w:r>
      <w:bookmarkEnd w:id="123"/>
      <w:r w:rsidR="009C6F41" w:rsidRPr="00B275E2">
        <w:fldChar w:fldCharType="begin"/>
      </w:r>
      <w:r w:rsidR="009C6F41" w:rsidRPr="00B275E2">
        <w:instrText xml:space="preserve"> SEQ Table \* ARABIC </w:instrText>
      </w:r>
      <w:r w:rsidR="009C6F41" w:rsidRPr="00B275E2">
        <w:fldChar w:fldCharType="separate"/>
      </w:r>
      <w:r w:rsidR="003E141C" w:rsidRPr="00B275E2">
        <w:t>3</w:t>
      </w:r>
      <w:r w:rsidR="009C6F41" w:rsidRPr="00B275E2">
        <w:fldChar w:fldCharType="end"/>
      </w:r>
      <w:bookmarkEnd w:id="124"/>
      <w:bookmarkEnd w:id="125"/>
      <w:bookmarkEnd w:id="126"/>
      <w:r w:rsidR="009C6F41" w:rsidRPr="00B275E2">
        <w:t>:</w:t>
      </w:r>
      <w:r w:rsidR="009C6F41" w:rsidRPr="00B275E2">
        <w:tab/>
      </w:r>
      <w:r w:rsidR="004411AD" w:rsidRPr="00B275E2">
        <w:t>Emission factors for the stationary combustion of fuels</w:t>
      </w:r>
      <w:bookmarkEnd w:id="127"/>
      <w:bookmarkEnd w:id="128"/>
      <w:r w:rsidRPr="00B275E2">
        <w:t xml:space="preserve"> </w:t>
      </w:r>
    </w:p>
    <w:tbl>
      <w:tblPr>
        <w:tblStyle w:val="LightList-Accent2"/>
        <w:tblW w:w="8505"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ayout w:type="fixed"/>
        <w:tblLook w:val="04A0" w:firstRow="1" w:lastRow="0" w:firstColumn="1" w:lastColumn="0" w:noHBand="0" w:noVBand="1"/>
      </w:tblPr>
      <w:tblGrid>
        <w:gridCol w:w="1843"/>
        <w:gridCol w:w="567"/>
        <w:gridCol w:w="1311"/>
        <w:gridCol w:w="1170"/>
        <w:gridCol w:w="1169"/>
        <w:gridCol w:w="1170"/>
        <w:gridCol w:w="1275"/>
      </w:tblGrid>
      <w:tr w:rsidR="00817D03" w:rsidRPr="00B275E2" w14:paraId="6509138D" w14:textId="77777777" w:rsidTr="00A25EE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3" w:type="dxa"/>
            <w:tcBorders>
              <w:bottom w:val="single" w:sz="4" w:space="0" w:color="1B556B"/>
            </w:tcBorders>
            <w:shd w:val="clear" w:color="auto" w:fill="1C556C" w:themeFill="accent1"/>
            <w:noWrap/>
            <w:vAlign w:val="bottom"/>
            <w:hideMark/>
          </w:tcPr>
          <w:p w14:paraId="65091385" w14:textId="262E1EF3" w:rsidR="00817D03" w:rsidRPr="00B275E2" w:rsidRDefault="00817D03" w:rsidP="00CD1B90">
            <w:pPr>
              <w:pStyle w:val="TableTextbold"/>
              <w:spacing w:before="50" w:after="50"/>
              <w:rPr>
                <w:b/>
                <w:bCs w:val="0"/>
              </w:rPr>
            </w:pPr>
            <w:r w:rsidRPr="00B275E2">
              <w:rPr>
                <w:b/>
                <w:bCs w:val="0"/>
              </w:rPr>
              <w:t xml:space="preserve">Emission </w:t>
            </w:r>
            <w:r w:rsidR="00A87561" w:rsidRPr="00B275E2">
              <w:rPr>
                <w:b/>
                <w:bCs w:val="0"/>
              </w:rPr>
              <w:t>s</w:t>
            </w:r>
            <w:r w:rsidRPr="00B275E2">
              <w:rPr>
                <w:b/>
                <w:bCs w:val="0"/>
              </w:rPr>
              <w:t>ource</w:t>
            </w:r>
          </w:p>
        </w:tc>
        <w:tc>
          <w:tcPr>
            <w:tcW w:w="567" w:type="dxa"/>
            <w:tcBorders>
              <w:bottom w:val="single" w:sz="4" w:space="0" w:color="1B556B"/>
            </w:tcBorders>
            <w:shd w:val="clear" w:color="auto" w:fill="1C556C" w:themeFill="accent1"/>
            <w:noWrap/>
            <w:vAlign w:val="bottom"/>
            <w:hideMark/>
          </w:tcPr>
          <w:p w14:paraId="65091386" w14:textId="14E44E28" w:rsidR="00817D03" w:rsidRPr="00B275E2" w:rsidRDefault="00817D03" w:rsidP="00CD1B90">
            <w:pPr>
              <w:pStyle w:val="TableTextbold"/>
              <w:spacing w:before="50" w:after="50"/>
              <w:cnfStyle w:val="100000000000" w:firstRow="1" w:lastRow="0" w:firstColumn="0" w:lastColumn="0" w:oddVBand="0" w:evenVBand="0" w:oddHBand="0" w:evenHBand="0" w:firstRowFirstColumn="0" w:firstRowLastColumn="0" w:lastRowFirstColumn="0" w:lastRowLastColumn="0"/>
              <w:rPr>
                <w:b/>
                <w:bCs w:val="0"/>
              </w:rPr>
            </w:pPr>
            <w:r w:rsidRPr="00B275E2">
              <w:rPr>
                <w:b/>
                <w:bCs w:val="0"/>
              </w:rPr>
              <w:t>Unit</w:t>
            </w:r>
          </w:p>
        </w:tc>
        <w:tc>
          <w:tcPr>
            <w:tcW w:w="1311" w:type="dxa"/>
            <w:tcBorders>
              <w:bottom w:val="single" w:sz="4" w:space="0" w:color="1B556B"/>
            </w:tcBorders>
            <w:shd w:val="clear" w:color="auto" w:fill="D2DDE1" w:themeFill="background2"/>
            <w:noWrap/>
            <w:vAlign w:val="bottom"/>
            <w:hideMark/>
          </w:tcPr>
          <w:p w14:paraId="65091387" w14:textId="693D8942" w:rsidR="00817D03" w:rsidRPr="00B275E2" w:rsidRDefault="00817D03" w:rsidP="009B659E">
            <w:pPr>
              <w:pStyle w:val="TableTextbold"/>
              <w:spacing w:before="50" w:after="50"/>
              <w:jc w:val="right"/>
              <w:cnfStyle w:val="100000000000" w:firstRow="1" w:lastRow="0" w:firstColumn="0" w:lastColumn="0" w:oddVBand="0" w:evenVBand="0" w:oddHBand="0" w:evenHBand="0" w:firstRowFirstColumn="0" w:firstRowLastColumn="0" w:lastRowFirstColumn="0" w:lastRowLastColumn="0"/>
              <w:rPr>
                <w:b/>
                <w:bCs w:val="0"/>
                <w:color w:val="auto"/>
              </w:rPr>
            </w:pPr>
            <w:r w:rsidRPr="00B275E2">
              <w:rPr>
                <w:b/>
                <w:bCs w:val="0"/>
                <w:color w:val="auto"/>
              </w:rPr>
              <w:t>kg CO</w:t>
            </w:r>
            <w:r w:rsidRPr="00B275E2">
              <w:rPr>
                <w:b/>
                <w:bCs w:val="0"/>
                <w:color w:val="auto"/>
                <w:vertAlign w:val="subscript"/>
              </w:rPr>
              <w:t>2</w:t>
            </w:r>
            <w:r w:rsidRPr="00B275E2">
              <w:rPr>
                <w:b/>
                <w:bCs w:val="0"/>
                <w:color w:val="auto"/>
              </w:rPr>
              <w:t>-e/unit</w:t>
            </w:r>
          </w:p>
        </w:tc>
        <w:tc>
          <w:tcPr>
            <w:tcW w:w="1170" w:type="dxa"/>
            <w:tcBorders>
              <w:bottom w:val="single" w:sz="4" w:space="0" w:color="1B556B"/>
            </w:tcBorders>
            <w:shd w:val="clear" w:color="auto" w:fill="1C556C" w:themeFill="accent1"/>
            <w:noWrap/>
            <w:vAlign w:val="bottom"/>
            <w:hideMark/>
          </w:tcPr>
          <w:p w14:paraId="65091388" w14:textId="42E4E791" w:rsidR="00817D03" w:rsidRPr="00B275E2" w:rsidRDefault="00817D03" w:rsidP="009B659E">
            <w:pPr>
              <w:pStyle w:val="TableTextbold"/>
              <w:spacing w:before="50" w:after="50"/>
              <w:jc w:val="right"/>
              <w:cnfStyle w:val="100000000000" w:firstRow="1" w:lastRow="0" w:firstColumn="0" w:lastColumn="0" w:oddVBand="0" w:evenVBand="0" w:oddHBand="0" w:evenHBand="0" w:firstRowFirstColumn="0" w:firstRowLastColumn="0" w:lastRowFirstColumn="0" w:lastRowLastColumn="0"/>
              <w:rPr>
                <w:b/>
                <w:bCs w:val="0"/>
              </w:rPr>
            </w:pPr>
            <w:r w:rsidRPr="00B275E2">
              <w:rPr>
                <w:b/>
                <w:bCs w:val="0"/>
              </w:rPr>
              <w:t>kg CO</w:t>
            </w:r>
            <w:r w:rsidRPr="00B275E2">
              <w:rPr>
                <w:b/>
                <w:bCs w:val="0"/>
                <w:vertAlign w:val="subscript"/>
              </w:rPr>
              <w:t>2</w:t>
            </w:r>
            <w:r w:rsidRPr="00B275E2">
              <w:rPr>
                <w:b/>
                <w:bCs w:val="0"/>
              </w:rPr>
              <w:t>/unit</w:t>
            </w:r>
          </w:p>
        </w:tc>
        <w:tc>
          <w:tcPr>
            <w:tcW w:w="1169" w:type="dxa"/>
            <w:tcBorders>
              <w:bottom w:val="single" w:sz="4" w:space="0" w:color="1B556B"/>
            </w:tcBorders>
            <w:shd w:val="clear" w:color="auto" w:fill="1C556C" w:themeFill="accent1"/>
            <w:noWrap/>
            <w:vAlign w:val="bottom"/>
            <w:hideMark/>
          </w:tcPr>
          <w:p w14:paraId="65091389" w14:textId="647E0B71" w:rsidR="00817D03" w:rsidRPr="00B275E2" w:rsidRDefault="00EB542E" w:rsidP="009B659E">
            <w:pPr>
              <w:pStyle w:val="TableTextbold"/>
              <w:spacing w:before="50" w:after="50"/>
              <w:jc w:val="right"/>
              <w:cnfStyle w:val="100000000000" w:firstRow="1" w:lastRow="0" w:firstColumn="0" w:lastColumn="0" w:oddVBand="0" w:evenVBand="0" w:oddHBand="0" w:evenHBand="0" w:firstRowFirstColumn="0" w:firstRowLastColumn="0" w:lastRowFirstColumn="0" w:lastRowLastColumn="0"/>
              <w:rPr>
                <w:b/>
                <w:bCs w:val="0"/>
              </w:rPr>
            </w:pPr>
            <w:r w:rsidRPr="00B275E2">
              <w:rPr>
                <w:b/>
                <w:bCs w:val="0"/>
              </w:rPr>
              <w:t>kg CH</w:t>
            </w:r>
            <w:r w:rsidRPr="00B275E2">
              <w:rPr>
                <w:b/>
                <w:bCs w:val="0"/>
                <w:vertAlign w:val="subscript"/>
              </w:rPr>
              <w:t>4</w:t>
            </w:r>
            <w:r w:rsidRPr="00B275E2">
              <w:rPr>
                <w:b/>
                <w:bCs w:val="0"/>
              </w:rPr>
              <w:t>/unit (kg CO</w:t>
            </w:r>
            <w:r w:rsidRPr="00B275E2">
              <w:rPr>
                <w:b/>
                <w:bCs w:val="0"/>
                <w:vertAlign w:val="subscript"/>
              </w:rPr>
              <w:t>2</w:t>
            </w:r>
            <w:r w:rsidRPr="00B275E2">
              <w:rPr>
                <w:b/>
                <w:bCs w:val="0"/>
              </w:rPr>
              <w:t>-e)</w:t>
            </w:r>
          </w:p>
        </w:tc>
        <w:tc>
          <w:tcPr>
            <w:tcW w:w="1170" w:type="dxa"/>
            <w:tcBorders>
              <w:bottom w:val="single" w:sz="4" w:space="0" w:color="1B556B"/>
            </w:tcBorders>
            <w:shd w:val="clear" w:color="auto" w:fill="1C556C" w:themeFill="accent1"/>
            <w:noWrap/>
            <w:vAlign w:val="bottom"/>
            <w:hideMark/>
          </w:tcPr>
          <w:p w14:paraId="6509138A" w14:textId="2D683EDF" w:rsidR="00817D03" w:rsidRPr="00B275E2" w:rsidRDefault="00EA5CF2" w:rsidP="009B659E">
            <w:pPr>
              <w:pStyle w:val="TableTextbold"/>
              <w:spacing w:before="50" w:after="50"/>
              <w:jc w:val="right"/>
              <w:cnfStyle w:val="100000000000" w:firstRow="1" w:lastRow="0" w:firstColumn="0" w:lastColumn="0" w:oddVBand="0" w:evenVBand="0" w:oddHBand="0" w:evenHBand="0" w:firstRowFirstColumn="0" w:firstRowLastColumn="0" w:lastRowFirstColumn="0" w:lastRowLastColumn="0"/>
              <w:rPr>
                <w:b/>
                <w:bCs w:val="0"/>
              </w:rPr>
            </w:pPr>
            <w:r w:rsidRPr="00B275E2">
              <w:rPr>
                <w:b/>
                <w:bCs w:val="0"/>
              </w:rPr>
              <w:t>kg N</w:t>
            </w:r>
            <w:r w:rsidRPr="00B275E2">
              <w:rPr>
                <w:b/>
                <w:bCs w:val="0"/>
                <w:vertAlign w:val="subscript"/>
              </w:rPr>
              <w:t>2</w:t>
            </w:r>
            <w:r w:rsidRPr="00B275E2">
              <w:rPr>
                <w:b/>
                <w:bCs w:val="0"/>
              </w:rPr>
              <w:t>O</w:t>
            </w:r>
            <w:r w:rsidR="00EB542E" w:rsidRPr="00B275E2">
              <w:rPr>
                <w:b/>
                <w:bCs w:val="0"/>
              </w:rPr>
              <w:t>/unit (kg CO</w:t>
            </w:r>
            <w:r w:rsidR="00EB542E" w:rsidRPr="00B275E2">
              <w:rPr>
                <w:b/>
                <w:bCs w:val="0"/>
                <w:vertAlign w:val="subscript"/>
              </w:rPr>
              <w:t>2</w:t>
            </w:r>
            <w:r w:rsidR="00EB542E" w:rsidRPr="00B275E2">
              <w:rPr>
                <w:b/>
                <w:bCs w:val="0"/>
              </w:rPr>
              <w:t>-e)</w:t>
            </w:r>
          </w:p>
        </w:tc>
        <w:tc>
          <w:tcPr>
            <w:tcW w:w="1275" w:type="dxa"/>
            <w:tcBorders>
              <w:bottom w:val="single" w:sz="4" w:space="0" w:color="1B556B"/>
            </w:tcBorders>
            <w:shd w:val="clear" w:color="auto" w:fill="1C556C" w:themeFill="accent1"/>
            <w:noWrap/>
            <w:vAlign w:val="bottom"/>
            <w:hideMark/>
          </w:tcPr>
          <w:p w14:paraId="6509138C" w14:textId="67410594" w:rsidR="00817D03" w:rsidRPr="00B275E2" w:rsidRDefault="00817D03" w:rsidP="009B659E">
            <w:pPr>
              <w:pStyle w:val="TableTextbold"/>
              <w:spacing w:before="50" w:after="50"/>
              <w:jc w:val="right"/>
              <w:cnfStyle w:val="100000000000" w:firstRow="1" w:lastRow="0" w:firstColumn="0" w:lastColumn="0" w:oddVBand="0" w:evenVBand="0" w:oddHBand="0" w:evenHBand="0" w:firstRowFirstColumn="0" w:firstRowLastColumn="0" w:lastRowFirstColumn="0" w:lastRowLastColumn="0"/>
              <w:rPr>
                <w:b/>
                <w:bCs w:val="0"/>
              </w:rPr>
            </w:pPr>
            <w:r w:rsidRPr="00B275E2">
              <w:rPr>
                <w:b/>
                <w:bCs w:val="0"/>
              </w:rPr>
              <w:t>Uncertainties</w:t>
            </w:r>
            <w:r w:rsidR="00E813CC" w:rsidRPr="00B275E2">
              <w:rPr>
                <w:b/>
                <w:bCs w:val="0"/>
              </w:rPr>
              <w:t xml:space="preserve"> </w:t>
            </w:r>
            <w:r w:rsidRPr="00B275E2">
              <w:rPr>
                <w:b/>
                <w:bCs w:val="0"/>
              </w:rPr>
              <w:t>kg CO</w:t>
            </w:r>
            <w:r w:rsidRPr="00B275E2">
              <w:rPr>
                <w:b/>
                <w:bCs w:val="0"/>
                <w:vertAlign w:val="subscript"/>
              </w:rPr>
              <w:t>2</w:t>
            </w:r>
            <w:r w:rsidRPr="00B275E2">
              <w:rPr>
                <w:b/>
                <w:bCs w:val="0"/>
              </w:rPr>
              <w:t>-e/unit</w:t>
            </w:r>
          </w:p>
        </w:tc>
      </w:tr>
      <w:tr w:rsidR="00817D03" w:rsidRPr="00B275E2" w14:paraId="6509138F" w14:textId="77777777" w:rsidTr="00DC4F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gridSpan w:val="7"/>
            <w:tcBorders>
              <w:left w:val="single" w:sz="4" w:space="0" w:color="FFFFFF" w:themeColor="background1"/>
              <w:right w:val="single" w:sz="4" w:space="0" w:color="FFFFFF" w:themeColor="background1"/>
            </w:tcBorders>
            <w:shd w:val="clear" w:color="auto" w:fill="D2DDE1" w:themeFill="background2"/>
            <w:noWrap/>
            <w:hideMark/>
          </w:tcPr>
          <w:p w14:paraId="6509138E" w14:textId="77777777" w:rsidR="00817D03" w:rsidRPr="00B275E2" w:rsidRDefault="00817D03" w:rsidP="00CD1B90">
            <w:pPr>
              <w:pStyle w:val="TableText"/>
              <w:spacing w:before="50" w:after="50"/>
              <w:rPr>
                <w:bCs w:val="0"/>
                <w:iCs/>
              </w:rPr>
            </w:pPr>
            <w:r w:rsidRPr="00B275E2">
              <w:rPr>
                <w:bCs w:val="0"/>
                <w:iCs/>
              </w:rPr>
              <w:t>Residential use</w:t>
            </w:r>
          </w:p>
        </w:tc>
      </w:tr>
      <w:tr w:rsidR="00817D03" w:rsidRPr="00B275E2" w14:paraId="65091397" w14:textId="77777777" w:rsidTr="00A25EE5">
        <w:tc>
          <w:tcPr>
            <w:cnfStyle w:val="001000000000" w:firstRow="0" w:lastRow="0" w:firstColumn="1" w:lastColumn="0" w:oddVBand="0" w:evenVBand="0" w:oddHBand="0" w:evenHBand="0" w:firstRowFirstColumn="0" w:firstRowLastColumn="0" w:lastRowFirstColumn="0" w:lastRowLastColumn="0"/>
            <w:tcW w:w="1843" w:type="dxa"/>
            <w:noWrap/>
            <w:hideMark/>
          </w:tcPr>
          <w:p w14:paraId="65091390" w14:textId="77991C01" w:rsidR="00817D03" w:rsidRPr="00B275E2" w:rsidRDefault="00817D03" w:rsidP="00CD1B90">
            <w:pPr>
              <w:pStyle w:val="TableText"/>
              <w:spacing w:before="50" w:after="50"/>
              <w:rPr>
                <w:b w:val="0"/>
              </w:rPr>
            </w:pPr>
            <w:r w:rsidRPr="00B275E2">
              <w:rPr>
                <w:b w:val="0"/>
              </w:rPr>
              <w:t xml:space="preserve">Coal </w:t>
            </w:r>
            <w:r w:rsidR="00980E54" w:rsidRPr="00B275E2">
              <w:rPr>
                <w:b w:val="0"/>
              </w:rPr>
              <w:t>–</w:t>
            </w:r>
            <w:r w:rsidRPr="00B275E2">
              <w:rPr>
                <w:b w:val="0"/>
              </w:rPr>
              <w:t xml:space="preserve"> </w:t>
            </w:r>
            <w:r w:rsidR="00980E54" w:rsidRPr="00B275E2">
              <w:rPr>
                <w:b w:val="0"/>
              </w:rPr>
              <w:t>d</w:t>
            </w:r>
            <w:r w:rsidRPr="00B275E2">
              <w:rPr>
                <w:b w:val="0"/>
              </w:rPr>
              <w:t>efault</w:t>
            </w:r>
          </w:p>
        </w:tc>
        <w:tc>
          <w:tcPr>
            <w:tcW w:w="567" w:type="dxa"/>
            <w:noWrap/>
            <w:hideMark/>
          </w:tcPr>
          <w:p w14:paraId="65091391" w14:textId="77777777" w:rsidR="00817D03" w:rsidRPr="00B275E2" w:rsidRDefault="00817D03" w:rsidP="00CD1B90">
            <w:pPr>
              <w:pStyle w:val="TableText"/>
              <w:spacing w:before="50" w:after="50"/>
              <w:cnfStyle w:val="000000000000" w:firstRow="0" w:lastRow="0" w:firstColumn="0" w:lastColumn="0" w:oddVBand="0" w:evenVBand="0" w:oddHBand="0" w:evenHBand="0" w:firstRowFirstColumn="0" w:firstRowLastColumn="0" w:lastRowFirstColumn="0" w:lastRowLastColumn="0"/>
            </w:pPr>
            <w:r w:rsidRPr="00B275E2">
              <w:t>kg</w:t>
            </w:r>
          </w:p>
        </w:tc>
        <w:tc>
          <w:tcPr>
            <w:tcW w:w="1311" w:type="dxa"/>
            <w:shd w:val="clear" w:color="auto" w:fill="D2DDE1" w:themeFill="background2"/>
            <w:noWrap/>
            <w:hideMark/>
          </w:tcPr>
          <w:p w14:paraId="65091392" w14:textId="6D6C9B32" w:rsidR="00817D03" w:rsidRPr="00B275E2" w:rsidRDefault="00547AEF" w:rsidP="00CD1B90">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t>2.10</w:t>
            </w:r>
          </w:p>
        </w:tc>
        <w:tc>
          <w:tcPr>
            <w:tcW w:w="1170" w:type="dxa"/>
            <w:noWrap/>
            <w:hideMark/>
          </w:tcPr>
          <w:p w14:paraId="65091393" w14:textId="44D754E9" w:rsidR="00817D03" w:rsidRPr="00B275E2" w:rsidRDefault="00547AEF" w:rsidP="00CD1B90">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t>1.94</w:t>
            </w:r>
          </w:p>
        </w:tc>
        <w:tc>
          <w:tcPr>
            <w:tcW w:w="1169" w:type="dxa"/>
            <w:noWrap/>
            <w:hideMark/>
          </w:tcPr>
          <w:p w14:paraId="65091394" w14:textId="388B43E7" w:rsidR="00817D03" w:rsidRPr="00B275E2" w:rsidRDefault="00547AEF" w:rsidP="00CD1B90">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t>0.15</w:t>
            </w:r>
            <w:r w:rsidR="00CB267B">
              <w:t>0</w:t>
            </w:r>
          </w:p>
        </w:tc>
        <w:tc>
          <w:tcPr>
            <w:tcW w:w="1170" w:type="dxa"/>
            <w:noWrap/>
            <w:hideMark/>
          </w:tcPr>
          <w:p w14:paraId="65091395" w14:textId="7EF0EEC4" w:rsidR="00817D03" w:rsidRPr="00B275E2" w:rsidRDefault="00CD364E" w:rsidP="00CD1B90">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275E2">
              <w:t>0.00</w:t>
            </w:r>
            <w:r w:rsidR="00CB267B">
              <w:t>895</w:t>
            </w:r>
          </w:p>
        </w:tc>
        <w:tc>
          <w:tcPr>
            <w:tcW w:w="1275" w:type="dxa"/>
            <w:noWrap/>
            <w:hideMark/>
          </w:tcPr>
          <w:p w14:paraId="65091396" w14:textId="77777777" w:rsidR="00817D03" w:rsidRPr="00B275E2" w:rsidRDefault="00817D03" w:rsidP="00CD1B90">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275E2">
              <w:t>4.9%</w:t>
            </w:r>
          </w:p>
        </w:tc>
      </w:tr>
      <w:tr w:rsidR="00817D03" w:rsidRPr="00B275E2" w14:paraId="6509139F" w14:textId="77777777" w:rsidTr="00C12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left w:val="single" w:sz="4" w:space="0" w:color="FFFFFF" w:themeColor="background1"/>
            </w:tcBorders>
            <w:noWrap/>
            <w:hideMark/>
          </w:tcPr>
          <w:p w14:paraId="65091398" w14:textId="27092648" w:rsidR="00817D03" w:rsidRPr="00B275E2" w:rsidRDefault="00817D03" w:rsidP="00CD1B90">
            <w:pPr>
              <w:pStyle w:val="TableText"/>
              <w:spacing w:before="50" w:after="50"/>
              <w:rPr>
                <w:b w:val="0"/>
              </w:rPr>
            </w:pPr>
            <w:r w:rsidRPr="00B275E2">
              <w:rPr>
                <w:b w:val="0"/>
              </w:rPr>
              <w:t xml:space="preserve">Coal </w:t>
            </w:r>
            <w:r w:rsidR="00980E54" w:rsidRPr="00B275E2">
              <w:rPr>
                <w:b w:val="0"/>
              </w:rPr>
              <w:t>–</w:t>
            </w:r>
            <w:r w:rsidRPr="00B275E2">
              <w:rPr>
                <w:b w:val="0"/>
              </w:rPr>
              <w:t xml:space="preserve"> </w:t>
            </w:r>
            <w:r w:rsidR="00980E54" w:rsidRPr="00B275E2">
              <w:rPr>
                <w:b w:val="0"/>
              </w:rPr>
              <w:t>b</w:t>
            </w:r>
            <w:r w:rsidRPr="00B275E2">
              <w:rPr>
                <w:b w:val="0"/>
              </w:rPr>
              <w:t>ituminous</w:t>
            </w:r>
          </w:p>
        </w:tc>
        <w:tc>
          <w:tcPr>
            <w:tcW w:w="567" w:type="dxa"/>
            <w:noWrap/>
            <w:hideMark/>
          </w:tcPr>
          <w:p w14:paraId="65091399" w14:textId="77777777" w:rsidR="00817D03" w:rsidRPr="00B275E2" w:rsidRDefault="00817D03" w:rsidP="00CD1B90">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275E2">
              <w:t>kg</w:t>
            </w:r>
          </w:p>
        </w:tc>
        <w:tc>
          <w:tcPr>
            <w:tcW w:w="1311" w:type="dxa"/>
            <w:shd w:val="clear" w:color="auto" w:fill="D2DDE1" w:themeFill="background2"/>
            <w:noWrap/>
            <w:hideMark/>
          </w:tcPr>
          <w:p w14:paraId="6509139A" w14:textId="77777777" w:rsidR="00817D03" w:rsidRPr="00B275E2" w:rsidRDefault="00817D03" w:rsidP="00CD1B90">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275E2">
              <w:t>2.86</w:t>
            </w:r>
          </w:p>
        </w:tc>
        <w:tc>
          <w:tcPr>
            <w:tcW w:w="1170" w:type="dxa"/>
            <w:noWrap/>
            <w:hideMark/>
          </w:tcPr>
          <w:p w14:paraId="6509139B" w14:textId="77777777" w:rsidR="00817D03" w:rsidRPr="00B275E2" w:rsidRDefault="00817D03" w:rsidP="00CD1B90">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275E2">
              <w:t>2.64</w:t>
            </w:r>
          </w:p>
        </w:tc>
        <w:tc>
          <w:tcPr>
            <w:tcW w:w="1169" w:type="dxa"/>
            <w:noWrap/>
            <w:hideMark/>
          </w:tcPr>
          <w:p w14:paraId="6509139C" w14:textId="77777777" w:rsidR="00817D03" w:rsidRPr="00B275E2" w:rsidRDefault="00817D03" w:rsidP="00CD1B90">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275E2">
              <w:t>0.211</w:t>
            </w:r>
          </w:p>
        </w:tc>
        <w:tc>
          <w:tcPr>
            <w:tcW w:w="1170" w:type="dxa"/>
            <w:noWrap/>
            <w:hideMark/>
          </w:tcPr>
          <w:p w14:paraId="6509139D" w14:textId="77777777" w:rsidR="00817D03" w:rsidRPr="00B275E2" w:rsidRDefault="00817D03" w:rsidP="00CD1B90">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275E2">
              <w:t>0.0126</w:t>
            </w:r>
          </w:p>
        </w:tc>
        <w:tc>
          <w:tcPr>
            <w:tcW w:w="1275" w:type="dxa"/>
            <w:tcBorders>
              <w:right w:val="single" w:sz="4" w:space="0" w:color="FFFFFF" w:themeColor="background1"/>
            </w:tcBorders>
            <w:noWrap/>
            <w:hideMark/>
          </w:tcPr>
          <w:p w14:paraId="6509139E" w14:textId="77777777" w:rsidR="00817D03" w:rsidRPr="00B275E2" w:rsidRDefault="00817D03" w:rsidP="00CD1B90">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275E2">
              <w:t>4.8%</w:t>
            </w:r>
          </w:p>
        </w:tc>
      </w:tr>
      <w:tr w:rsidR="00817D03" w:rsidRPr="00B275E2" w14:paraId="650913A7" w14:textId="77777777" w:rsidTr="00A25EE5">
        <w:tc>
          <w:tcPr>
            <w:cnfStyle w:val="001000000000" w:firstRow="0" w:lastRow="0" w:firstColumn="1" w:lastColumn="0" w:oddVBand="0" w:evenVBand="0" w:oddHBand="0" w:evenHBand="0" w:firstRowFirstColumn="0" w:firstRowLastColumn="0" w:lastRowFirstColumn="0" w:lastRowLastColumn="0"/>
            <w:tcW w:w="1843" w:type="dxa"/>
            <w:noWrap/>
            <w:hideMark/>
          </w:tcPr>
          <w:p w14:paraId="650913A0" w14:textId="547B13B2" w:rsidR="00817D03" w:rsidRPr="00B275E2" w:rsidRDefault="00817D03" w:rsidP="00CD1B90">
            <w:pPr>
              <w:pStyle w:val="TableText"/>
              <w:spacing w:before="50" w:after="50"/>
              <w:rPr>
                <w:b w:val="0"/>
              </w:rPr>
            </w:pPr>
            <w:r w:rsidRPr="00B275E2">
              <w:rPr>
                <w:b w:val="0"/>
              </w:rPr>
              <w:t xml:space="preserve">Coal </w:t>
            </w:r>
            <w:r w:rsidR="00980E54" w:rsidRPr="00B275E2">
              <w:rPr>
                <w:b w:val="0"/>
              </w:rPr>
              <w:t>–</w:t>
            </w:r>
            <w:r w:rsidRPr="00B275E2">
              <w:rPr>
                <w:b w:val="0"/>
              </w:rPr>
              <w:t xml:space="preserve"> </w:t>
            </w:r>
            <w:r w:rsidR="00980E54" w:rsidRPr="00B275E2">
              <w:rPr>
                <w:b w:val="0"/>
              </w:rPr>
              <w:t>s</w:t>
            </w:r>
            <w:r w:rsidRPr="00B275E2">
              <w:rPr>
                <w:b w:val="0"/>
              </w:rPr>
              <w:t>ub-</w:t>
            </w:r>
            <w:r w:rsidR="00A87561" w:rsidRPr="00B275E2">
              <w:rPr>
                <w:b w:val="0"/>
              </w:rPr>
              <w:t>b</w:t>
            </w:r>
            <w:r w:rsidRPr="00B275E2">
              <w:rPr>
                <w:b w:val="0"/>
              </w:rPr>
              <w:t>ituminous</w:t>
            </w:r>
          </w:p>
        </w:tc>
        <w:tc>
          <w:tcPr>
            <w:tcW w:w="567" w:type="dxa"/>
            <w:noWrap/>
            <w:hideMark/>
          </w:tcPr>
          <w:p w14:paraId="650913A1" w14:textId="77777777" w:rsidR="00817D03" w:rsidRPr="00B275E2" w:rsidRDefault="00817D03" w:rsidP="00CD1B90">
            <w:pPr>
              <w:pStyle w:val="TableText"/>
              <w:spacing w:before="50" w:after="50"/>
              <w:cnfStyle w:val="000000000000" w:firstRow="0" w:lastRow="0" w:firstColumn="0" w:lastColumn="0" w:oddVBand="0" w:evenVBand="0" w:oddHBand="0" w:evenHBand="0" w:firstRowFirstColumn="0" w:firstRowLastColumn="0" w:lastRowFirstColumn="0" w:lastRowLastColumn="0"/>
            </w:pPr>
            <w:r w:rsidRPr="00B275E2">
              <w:t>kg</w:t>
            </w:r>
          </w:p>
        </w:tc>
        <w:tc>
          <w:tcPr>
            <w:tcW w:w="1311" w:type="dxa"/>
            <w:shd w:val="clear" w:color="auto" w:fill="D2DDE1" w:themeFill="background2"/>
            <w:noWrap/>
            <w:hideMark/>
          </w:tcPr>
          <w:p w14:paraId="650913A2" w14:textId="77777777" w:rsidR="00817D03" w:rsidRPr="00B275E2" w:rsidRDefault="00817D03" w:rsidP="00CD1B90">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275E2">
              <w:t>2.15</w:t>
            </w:r>
          </w:p>
        </w:tc>
        <w:tc>
          <w:tcPr>
            <w:tcW w:w="1170" w:type="dxa"/>
            <w:noWrap/>
            <w:hideMark/>
          </w:tcPr>
          <w:p w14:paraId="650913A3" w14:textId="77777777" w:rsidR="00817D03" w:rsidRPr="00B275E2" w:rsidRDefault="00817D03" w:rsidP="00CD1B90">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275E2">
              <w:t>1.99</w:t>
            </w:r>
          </w:p>
        </w:tc>
        <w:tc>
          <w:tcPr>
            <w:tcW w:w="1169" w:type="dxa"/>
            <w:noWrap/>
            <w:hideMark/>
          </w:tcPr>
          <w:p w14:paraId="650913A4" w14:textId="77777777" w:rsidR="00817D03" w:rsidRPr="00B275E2" w:rsidRDefault="00817D03" w:rsidP="00CD1B90">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275E2">
              <w:t>0.154</w:t>
            </w:r>
          </w:p>
        </w:tc>
        <w:tc>
          <w:tcPr>
            <w:tcW w:w="1170" w:type="dxa"/>
            <w:noWrap/>
            <w:hideMark/>
          </w:tcPr>
          <w:p w14:paraId="650913A5" w14:textId="77777777" w:rsidR="00817D03" w:rsidRPr="00B275E2" w:rsidRDefault="00817D03" w:rsidP="00CD1B90">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275E2">
              <w:t>0.00919</w:t>
            </w:r>
          </w:p>
        </w:tc>
        <w:tc>
          <w:tcPr>
            <w:tcW w:w="1275" w:type="dxa"/>
            <w:noWrap/>
            <w:hideMark/>
          </w:tcPr>
          <w:p w14:paraId="650913A6" w14:textId="77777777" w:rsidR="00817D03" w:rsidRPr="00B275E2" w:rsidRDefault="00817D03" w:rsidP="00CD1B90">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275E2">
              <w:t>4.8%</w:t>
            </w:r>
          </w:p>
        </w:tc>
      </w:tr>
      <w:tr w:rsidR="00817D03" w:rsidRPr="00B275E2" w14:paraId="650913AF" w14:textId="77777777" w:rsidTr="00C12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left w:val="single" w:sz="4" w:space="0" w:color="FFFFFF" w:themeColor="background1"/>
              <w:bottom w:val="single" w:sz="4" w:space="0" w:color="1B556B"/>
            </w:tcBorders>
            <w:noWrap/>
            <w:hideMark/>
          </w:tcPr>
          <w:p w14:paraId="650913A8" w14:textId="2AD35726" w:rsidR="00817D03" w:rsidRPr="00B275E2" w:rsidRDefault="00817D03" w:rsidP="00CD1B90">
            <w:pPr>
              <w:pStyle w:val="TableText"/>
              <w:spacing w:before="50" w:after="50"/>
              <w:rPr>
                <w:b w:val="0"/>
              </w:rPr>
            </w:pPr>
            <w:r w:rsidRPr="00B275E2">
              <w:rPr>
                <w:b w:val="0"/>
              </w:rPr>
              <w:t xml:space="preserve">Coal </w:t>
            </w:r>
            <w:r w:rsidR="00980E54" w:rsidRPr="00B275E2">
              <w:rPr>
                <w:b w:val="0"/>
              </w:rPr>
              <w:t>–</w:t>
            </w:r>
            <w:r w:rsidRPr="00B275E2">
              <w:rPr>
                <w:b w:val="0"/>
              </w:rPr>
              <w:t xml:space="preserve"> </w:t>
            </w:r>
            <w:r w:rsidR="00980E54" w:rsidRPr="00B275E2">
              <w:rPr>
                <w:b w:val="0"/>
              </w:rPr>
              <w:t>l</w:t>
            </w:r>
            <w:r w:rsidRPr="00B275E2">
              <w:rPr>
                <w:b w:val="0"/>
              </w:rPr>
              <w:t>ignite</w:t>
            </w:r>
          </w:p>
        </w:tc>
        <w:tc>
          <w:tcPr>
            <w:tcW w:w="567" w:type="dxa"/>
            <w:tcBorders>
              <w:bottom w:val="single" w:sz="4" w:space="0" w:color="1B556B"/>
            </w:tcBorders>
            <w:noWrap/>
            <w:hideMark/>
          </w:tcPr>
          <w:p w14:paraId="650913A9" w14:textId="77777777" w:rsidR="00817D03" w:rsidRPr="00B275E2" w:rsidRDefault="00817D03" w:rsidP="00CD1B90">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275E2">
              <w:t>kg</w:t>
            </w:r>
          </w:p>
        </w:tc>
        <w:tc>
          <w:tcPr>
            <w:tcW w:w="1311" w:type="dxa"/>
            <w:tcBorders>
              <w:bottom w:val="single" w:sz="4" w:space="0" w:color="1B556B"/>
            </w:tcBorders>
            <w:shd w:val="clear" w:color="auto" w:fill="D2DDE1" w:themeFill="background2"/>
            <w:noWrap/>
            <w:hideMark/>
          </w:tcPr>
          <w:p w14:paraId="650913AA" w14:textId="77777777" w:rsidR="00817D03" w:rsidRPr="00B275E2" w:rsidRDefault="00817D03" w:rsidP="00CD1B90">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275E2">
              <w:t>1.54</w:t>
            </w:r>
          </w:p>
        </w:tc>
        <w:tc>
          <w:tcPr>
            <w:tcW w:w="1170" w:type="dxa"/>
            <w:tcBorders>
              <w:bottom w:val="single" w:sz="4" w:space="0" w:color="1B556B"/>
            </w:tcBorders>
            <w:noWrap/>
            <w:hideMark/>
          </w:tcPr>
          <w:p w14:paraId="650913AB" w14:textId="77777777" w:rsidR="00817D03" w:rsidRPr="00B275E2" w:rsidRDefault="00817D03" w:rsidP="00CD1B90">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275E2">
              <w:t>1.42</w:t>
            </w:r>
          </w:p>
        </w:tc>
        <w:tc>
          <w:tcPr>
            <w:tcW w:w="1169" w:type="dxa"/>
            <w:tcBorders>
              <w:bottom w:val="single" w:sz="4" w:space="0" w:color="1B556B"/>
            </w:tcBorders>
            <w:noWrap/>
            <w:hideMark/>
          </w:tcPr>
          <w:p w14:paraId="650913AC" w14:textId="77777777" w:rsidR="00817D03" w:rsidRPr="00B275E2" w:rsidRDefault="00817D03" w:rsidP="00CD1B90">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275E2">
              <w:t>0.109</w:t>
            </w:r>
          </w:p>
        </w:tc>
        <w:tc>
          <w:tcPr>
            <w:tcW w:w="1170" w:type="dxa"/>
            <w:tcBorders>
              <w:bottom w:val="single" w:sz="4" w:space="0" w:color="1B556B"/>
            </w:tcBorders>
            <w:noWrap/>
            <w:hideMark/>
          </w:tcPr>
          <w:p w14:paraId="650913AD" w14:textId="77777777" w:rsidR="00817D03" w:rsidRPr="00B275E2" w:rsidRDefault="00817D03" w:rsidP="00CD1B90">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275E2">
              <w:t>0.00648</w:t>
            </w:r>
          </w:p>
        </w:tc>
        <w:tc>
          <w:tcPr>
            <w:tcW w:w="1275" w:type="dxa"/>
            <w:tcBorders>
              <w:bottom w:val="single" w:sz="4" w:space="0" w:color="1B556B"/>
              <w:right w:val="single" w:sz="4" w:space="0" w:color="FFFFFF" w:themeColor="background1"/>
            </w:tcBorders>
            <w:noWrap/>
            <w:hideMark/>
          </w:tcPr>
          <w:p w14:paraId="650913AE" w14:textId="77777777" w:rsidR="00817D03" w:rsidRPr="00B275E2" w:rsidRDefault="00817D03" w:rsidP="00CD1B90">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275E2">
              <w:t>4.8%</w:t>
            </w:r>
          </w:p>
        </w:tc>
      </w:tr>
      <w:tr w:rsidR="00817D03" w:rsidRPr="00B275E2" w14:paraId="650913B1" w14:textId="77777777" w:rsidTr="00A25EE5">
        <w:tc>
          <w:tcPr>
            <w:cnfStyle w:val="001000000000" w:firstRow="0" w:lastRow="0" w:firstColumn="1" w:lastColumn="0" w:oddVBand="0" w:evenVBand="0" w:oddHBand="0" w:evenHBand="0" w:firstRowFirstColumn="0" w:firstRowLastColumn="0" w:lastRowFirstColumn="0" w:lastRowLastColumn="0"/>
            <w:tcW w:w="8505" w:type="dxa"/>
            <w:gridSpan w:val="7"/>
            <w:shd w:val="clear" w:color="auto" w:fill="D2DDE1" w:themeFill="background2"/>
            <w:noWrap/>
            <w:hideMark/>
          </w:tcPr>
          <w:p w14:paraId="650913B0" w14:textId="77777777" w:rsidR="00817D03" w:rsidRPr="00B275E2" w:rsidRDefault="00817D03" w:rsidP="00CD1B90">
            <w:pPr>
              <w:pStyle w:val="TableText"/>
              <w:spacing w:before="50" w:after="50"/>
              <w:rPr>
                <w:bCs w:val="0"/>
                <w:iCs/>
              </w:rPr>
            </w:pPr>
            <w:r w:rsidRPr="00B275E2">
              <w:rPr>
                <w:bCs w:val="0"/>
                <w:iCs/>
              </w:rPr>
              <w:t xml:space="preserve">Commercial use </w:t>
            </w:r>
          </w:p>
        </w:tc>
      </w:tr>
      <w:tr w:rsidR="00817D03" w:rsidRPr="00B275E2" w14:paraId="650913B9" w14:textId="77777777" w:rsidTr="00C12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left w:val="single" w:sz="4" w:space="0" w:color="FFFFFF" w:themeColor="background1"/>
            </w:tcBorders>
            <w:noWrap/>
            <w:hideMark/>
          </w:tcPr>
          <w:p w14:paraId="650913B2" w14:textId="705525D4" w:rsidR="00817D03" w:rsidRPr="00B275E2" w:rsidRDefault="00817D03" w:rsidP="00CD1B90">
            <w:pPr>
              <w:pStyle w:val="TableText"/>
              <w:spacing w:before="50" w:after="50"/>
              <w:rPr>
                <w:b w:val="0"/>
              </w:rPr>
            </w:pPr>
            <w:r w:rsidRPr="00B275E2">
              <w:rPr>
                <w:b w:val="0"/>
              </w:rPr>
              <w:t xml:space="preserve">Coal </w:t>
            </w:r>
            <w:r w:rsidR="00980E54" w:rsidRPr="00B275E2">
              <w:rPr>
                <w:b w:val="0"/>
              </w:rPr>
              <w:t>–</w:t>
            </w:r>
            <w:r w:rsidRPr="00B275E2">
              <w:rPr>
                <w:b w:val="0"/>
              </w:rPr>
              <w:t xml:space="preserve"> </w:t>
            </w:r>
            <w:r w:rsidR="00980E54" w:rsidRPr="00B275E2">
              <w:rPr>
                <w:b w:val="0"/>
              </w:rPr>
              <w:t>d</w:t>
            </w:r>
            <w:r w:rsidRPr="00B275E2">
              <w:rPr>
                <w:b w:val="0"/>
              </w:rPr>
              <w:t xml:space="preserve">efault </w:t>
            </w:r>
          </w:p>
        </w:tc>
        <w:tc>
          <w:tcPr>
            <w:tcW w:w="567" w:type="dxa"/>
            <w:noWrap/>
            <w:hideMark/>
          </w:tcPr>
          <w:p w14:paraId="650913B3" w14:textId="77777777" w:rsidR="00817D03" w:rsidRPr="00B275E2" w:rsidRDefault="00817D03" w:rsidP="00CD1B90">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275E2">
              <w:t>kg</w:t>
            </w:r>
          </w:p>
        </w:tc>
        <w:tc>
          <w:tcPr>
            <w:tcW w:w="1311" w:type="dxa"/>
            <w:shd w:val="clear" w:color="auto" w:fill="D2DDE1" w:themeFill="background2"/>
            <w:noWrap/>
            <w:hideMark/>
          </w:tcPr>
          <w:p w14:paraId="650913B4" w14:textId="531BF25D" w:rsidR="00817D03" w:rsidRPr="00B275E2" w:rsidRDefault="00CB267B" w:rsidP="00CD1B90">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t>2.01</w:t>
            </w:r>
          </w:p>
        </w:tc>
        <w:tc>
          <w:tcPr>
            <w:tcW w:w="1170" w:type="dxa"/>
            <w:noWrap/>
            <w:hideMark/>
          </w:tcPr>
          <w:p w14:paraId="650913B5" w14:textId="7CD79934" w:rsidR="00817D03" w:rsidRPr="00B275E2" w:rsidRDefault="00CB267B" w:rsidP="00CD1B90">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t>1.99</w:t>
            </w:r>
          </w:p>
        </w:tc>
        <w:tc>
          <w:tcPr>
            <w:tcW w:w="1169" w:type="dxa"/>
            <w:noWrap/>
            <w:hideMark/>
          </w:tcPr>
          <w:p w14:paraId="650913B6" w14:textId="597BFFC3" w:rsidR="00817D03" w:rsidRPr="00B275E2" w:rsidRDefault="00CB267B" w:rsidP="00CD1B90">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t>0.00517</w:t>
            </w:r>
          </w:p>
        </w:tc>
        <w:tc>
          <w:tcPr>
            <w:tcW w:w="1170" w:type="dxa"/>
            <w:noWrap/>
            <w:hideMark/>
          </w:tcPr>
          <w:p w14:paraId="650913B7" w14:textId="37D59F58" w:rsidR="00817D03" w:rsidRPr="00B275E2" w:rsidRDefault="00CD364E" w:rsidP="00CD1B90">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275E2">
              <w:t>0.00</w:t>
            </w:r>
            <w:r w:rsidR="00CB267B">
              <w:t>924</w:t>
            </w:r>
          </w:p>
        </w:tc>
        <w:tc>
          <w:tcPr>
            <w:tcW w:w="1275" w:type="dxa"/>
            <w:tcBorders>
              <w:right w:val="single" w:sz="4" w:space="0" w:color="FFFFFF" w:themeColor="background1"/>
            </w:tcBorders>
            <w:noWrap/>
            <w:hideMark/>
          </w:tcPr>
          <w:p w14:paraId="650913B8" w14:textId="77777777" w:rsidR="00817D03" w:rsidRPr="00B275E2" w:rsidRDefault="00817D03" w:rsidP="00CD1B90">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275E2">
              <w:t>3.5%</w:t>
            </w:r>
          </w:p>
        </w:tc>
      </w:tr>
      <w:tr w:rsidR="00817D03" w:rsidRPr="00B275E2" w14:paraId="650913C1" w14:textId="77777777" w:rsidTr="00A25EE5">
        <w:tc>
          <w:tcPr>
            <w:cnfStyle w:val="001000000000" w:firstRow="0" w:lastRow="0" w:firstColumn="1" w:lastColumn="0" w:oddVBand="0" w:evenVBand="0" w:oddHBand="0" w:evenHBand="0" w:firstRowFirstColumn="0" w:firstRowLastColumn="0" w:lastRowFirstColumn="0" w:lastRowLastColumn="0"/>
            <w:tcW w:w="1843" w:type="dxa"/>
            <w:noWrap/>
            <w:hideMark/>
          </w:tcPr>
          <w:p w14:paraId="650913BA" w14:textId="39A5053A" w:rsidR="00817D03" w:rsidRPr="00B275E2" w:rsidRDefault="00817D03" w:rsidP="00CD1B90">
            <w:pPr>
              <w:pStyle w:val="TableText"/>
              <w:spacing w:before="50" w:after="50"/>
              <w:rPr>
                <w:b w:val="0"/>
              </w:rPr>
            </w:pPr>
            <w:r w:rsidRPr="00B275E2">
              <w:rPr>
                <w:b w:val="0"/>
              </w:rPr>
              <w:t xml:space="preserve">Coal </w:t>
            </w:r>
            <w:r w:rsidR="00980E54" w:rsidRPr="00B275E2">
              <w:rPr>
                <w:b w:val="0"/>
              </w:rPr>
              <w:t>–</w:t>
            </w:r>
            <w:r w:rsidRPr="00B275E2">
              <w:rPr>
                <w:b w:val="0"/>
              </w:rPr>
              <w:t xml:space="preserve"> </w:t>
            </w:r>
            <w:r w:rsidR="00980E54" w:rsidRPr="00B275E2">
              <w:rPr>
                <w:b w:val="0"/>
              </w:rPr>
              <w:t>b</w:t>
            </w:r>
            <w:r w:rsidRPr="00B275E2">
              <w:rPr>
                <w:b w:val="0"/>
              </w:rPr>
              <w:t>ituminous</w:t>
            </w:r>
          </w:p>
        </w:tc>
        <w:tc>
          <w:tcPr>
            <w:tcW w:w="567" w:type="dxa"/>
            <w:noWrap/>
            <w:hideMark/>
          </w:tcPr>
          <w:p w14:paraId="650913BB" w14:textId="77777777" w:rsidR="00817D03" w:rsidRPr="00B275E2" w:rsidRDefault="00817D03" w:rsidP="00CD1B90">
            <w:pPr>
              <w:pStyle w:val="TableText"/>
              <w:spacing w:before="50" w:after="50"/>
              <w:cnfStyle w:val="000000000000" w:firstRow="0" w:lastRow="0" w:firstColumn="0" w:lastColumn="0" w:oddVBand="0" w:evenVBand="0" w:oddHBand="0" w:evenHBand="0" w:firstRowFirstColumn="0" w:firstRowLastColumn="0" w:lastRowFirstColumn="0" w:lastRowLastColumn="0"/>
            </w:pPr>
            <w:r w:rsidRPr="00B275E2">
              <w:t>kg</w:t>
            </w:r>
          </w:p>
        </w:tc>
        <w:tc>
          <w:tcPr>
            <w:tcW w:w="1311" w:type="dxa"/>
            <w:shd w:val="clear" w:color="auto" w:fill="D2DDE1" w:themeFill="background2"/>
            <w:noWrap/>
            <w:hideMark/>
          </w:tcPr>
          <w:p w14:paraId="650913BC" w14:textId="77777777" w:rsidR="00817D03" w:rsidRPr="00B275E2" w:rsidRDefault="00817D03" w:rsidP="00CD1B90">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275E2">
              <w:t>2.66</w:t>
            </w:r>
          </w:p>
        </w:tc>
        <w:tc>
          <w:tcPr>
            <w:tcW w:w="1170" w:type="dxa"/>
            <w:noWrap/>
            <w:hideMark/>
          </w:tcPr>
          <w:p w14:paraId="650913BD" w14:textId="77777777" w:rsidR="00817D03" w:rsidRPr="00B275E2" w:rsidRDefault="00817D03" w:rsidP="00CD1B90">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275E2">
              <w:t>2.64</w:t>
            </w:r>
          </w:p>
        </w:tc>
        <w:tc>
          <w:tcPr>
            <w:tcW w:w="1169" w:type="dxa"/>
            <w:noWrap/>
            <w:hideMark/>
          </w:tcPr>
          <w:p w14:paraId="650913BE" w14:textId="77777777" w:rsidR="00817D03" w:rsidRPr="00B275E2" w:rsidRDefault="00817D03" w:rsidP="00CD1B90">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275E2">
              <w:t>0.00703</w:t>
            </w:r>
          </w:p>
        </w:tc>
        <w:tc>
          <w:tcPr>
            <w:tcW w:w="1170" w:type="dxa"/>
            <w:noWrap/>
            <w:hideMark/>
          </w:tcPr>
          <w:p w14:paraId="650913BF" w14:textId="77777777" w:rsidR="00817D03" w:rsidRPr="00B275E2" w:rsidRDefault="00817D03" w:rsidP="00CD1B90">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275E2">
              <w:t>0.0126</w:t>
            </w:r>
          </w:p>
        </w:tc>
        <w:tc>
          <w:tcPr>
            <w:tcW w:w="1275" w:type="dxa"/>
            <w:noWrap/>
            <w:hideMark/>
          </w:tcPr>
          <w:p w14:paraId="650913C0" w14:textId="77777777" w:rsidR="00817D03" w:rsidRPr="00B275E2" w:rsidRDefault="00817D03" w:rsidP="00CD1B90">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275E2">
              <w:t>3.5%</w:t>
            </w:r>
          </w:p>
        </w:tc>
      </w:tr>
      <w:tr w:rsidR="00817D03" w:rsidRPr="00B275E2" w14:paraId="650913C9" w14:textId="77777777" w:rsidTr="00C12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left w:val="single" w:sz="4" w:space="0" w:color="FFFFFF" w:themeColor="background1"/>
            </w:tcBorders>
            <w:noWrap/>
            <w:hideMark/>
          </w:tcPr>
          <w:p w14:paraId="650913C2" w14:textId="3B005BBE" w:rsidR="00817D03" w:rsidRPr="00B275E2" w:rsidRDefault="00817D03" w:rsidP="00CD1B90">
            <w:pPr>
              <w:pStyle w:val="TableText"/>
              <w:spacing w:before="50" w:after="50"/>
              <w:rPr>
                <w:b w:val="0"/>
                <w:spacing w:val="-2"/>
              </w:rPr>
            </w:pPr>
            <w:r w:rsidRPr="00B275E2">
              <w:rPr>
                <w:b w:val="0"/>
                <w:spacing w:val="-2"/>
              </w:rPr>
              <w:t xml:space="preserve">Coal </w:t>
            </w:r>
            <w:r w:rsidR="00980E54" w:rsidRPr="00B275E2">
              <w:rPr>
                <w:b w:val="0"/>
                <w:spacing w:val="-2"/>
              </w:rPr>
              <w:t>–</w:t>
            </w:r>
            <w:r w:rsidRPr="00B275E2">
              <w:rPr>
                <w:b w:val="0"/>
                <w:spacing w:val="-2"/>
              </w:rPr>
              <w:t xml:space="preserve"> </w:t>
            </w:r>
            <w:r w:rsidR="00980E54" w:rsidRPr="00B275E2">
              <w:rPr>
                <w:b w:val="0"/>
                <w:spacing w:val="-2"/>
              </w:rPr>
              <w:t>s</w:t>
            </w:r>
            <w:r w:rsidRPr="00B275E2">
              <w:rPr>
                <w:b w:val="0"/>
                <w:spacing w:val="-2"/>
              </w:rPr>
              <w:t>ub-</w:t>
            </w:r>
            <w:r w:rsidR="00A87561" w:rsidRPr="00B275E2">
              <w:rPr>
                <w:b w:val="0"/>
                <w:spacing w:val="-2"/>
              </w:rPr>
              <w:t>b</w:t>
            </w:r>
            <w:r w:rsidRPr="00B275E2">
              <w:rPr>
                <w:b w:val="0"/>
                <w:spacing w:val="-2"/>
              </w:rPr>
              <w:t>ituminous</w:t>
            </w:r>
          </w:p>
        </w:tc>
        <w:tc>
          <w:tcPr>
            <w:tcW w:w="567" w:type="dxa"/>
            <w:noWrap/>
            <w:hideMark/>
          </w:tcPr>
          <w:p w14:paraId="650913C3" w14:textId="77777777" w:rsidR="00817D03" w:rsidRPr="00B275E2" w:rsidRDefault="00817D03" w:rsidP="00CD1B90">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275E2">
              <w:t>kg</w:t>
            </w:r>
          </w:p>
        </w:tc>
        <w:tc>
          <w:tcPr>
            <w:tcW w:w="1311" w:type="dxa"/>
            <w:shd w:val="clear" w:color="auto" w:fill="D2DDE1" w:themeFill="background2"/>
            <w:noWrap/>
            <w:hideMark/>
          </w:tcPr>
          <w:p w14:paraId="650913C4" w14:textId="77777777" w:rsidR="00817D03" w:rsidRPr="00B275E2" w:rsidRDefault="00817D03" w:rsidP="00CD1B90">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275E2">
              <w:t>2.01</w:t>
            </w:r>
          </w:p>
        </w:tc>
        <w:tc>
          <w:tcPr>
            <w:tcW w:w="1170" w:type="dxa"/>
            <w:noWrap/>
            <w:hideMark/>
          </w:tcPr>
          <w:p w14:paraId="650913C5" w14:textId="77777777" w:rsidR="00817D03" w:rsidRPr="00B275E2" w:rsidRDefault="00817D03" w:rsidP="00CD1B90">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275E2">
              <w:t>1.99</w:t>
            </w:r>
          </w:p>
        </w:tc>
        <w:tc>
          <w:tcPr>
            <w:tcW w:w="1169" w:type="dxa"/>
            <w:noWrap/>
            <w:hideMark/>
          </w:tcPr>
          <w:p w14:paraId="650913C6" w14:textId="77777777" w:rsidR="00817D03" w:rsidRPr="00B275E2" w:rsidRDefault="00817D03" w:rsidP="00CD1B90">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275E2">
              <w:t>0.00514</w:t>
            </w:r>
          </w:p>
        </w:tc>
        <w:tc>
          <w:tcPr>
            <w:tcW w:w="1170" w:type="dxa"/>
            <w:noWrap/>
            <w:hideMark/>
          </w:tcPr>
          <w:p w14:paraId="650913C7" w14:textId="77777777" w:rsidR="00817D03" w:rsidRPr="00B275E2" w:rsidRDefault="00817D03" w:rsidP="00CD1B90">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275E2">
              <w:t>0.0092</w:t>
            </w:r>
          </w:p>
        </w:tc>
        <w:tc>
          <w:tcPr>
            <w:tcW w:w="1275" w:type="dxa"/>
            <w:tcBorders>
              <w:right w:val="single" w:sz="4" w:space="0" w:color="FFFFFF" w:themeColor="background1"/>
            </w:tcBorders>
            <w:noWrap/>
            <w:hideMark/>
          </w:tcPr>
          <w:p w14:paraId="650913C8" w14:textId="77777777" w:rsidR="00817D03" w:rsidRPr="00B275E2" w:rsidRDefault="00817D03" w:rsidP="00CD1B90">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275E2">
              <w:t>3.5%</w:t>
            </w:r>
          </w:p>
        </w:tc>
      </w:tr>
      <w:tr w:rsidR="00817D03" w:rsidRPr="00B275E2" w14:paraId="650913D1" w14:textId="77777777" w:rsidTr="00A25EE5">
        <w:tc>
          <w:tcPr>
            <w:cnfStyle w:val="001000000000" w:firstRow="0" w:lastRow="0" w:firstColumn="1" w:lastColumn="0" w:oddVBand="0" w:evenVBand="0" w:oddHBand="0" w:evenHBand="0" w:firstRowFirstColumn="0" w:firstRowLastColumn="0" w:lastRowFirstColumn="0" w:lastRowLastColumn="0"/>
            <w:tcW w:w="1843" w:type="dxa"/>
            <w:noWrap/>
            <w:hideMark/>
          </w:tcPr>
          <w:p w14:paraId="650913CA" w14:textId="5B7DEEB2" w:rsidR="00817D03" w:rsidRPr="00B275E2" w:rsidRDefault="00817D03" w:rsidP="00CD1B90">
            <w:pPr>
              <w:pStyle w:val="TableText"/>
              <w:spacing w:before="50" w:after="50"/>
              <w:rPr>
                <w:b w:val="0"/>
              </w:rPr>
            </w:pPr>
            <w:r w:rsidRPr="00B275E2">
              <w:rPr>
                <w:b w:val="0"/>
              </w:rPr>
              <w:t xml:space="preserve">Coal </w:t>
            </w:r>
            <w:r w:rsidR="00980E54" w:rsidRPr="00B275E2">
              <w:rPr>
                <w:b w:val="0"/>
              </w:rPr>
              <w:t>–</w:t>
            </w:r>
            <w:r w:rsidRPr="00B275E2">
              <w:rPr>
                <w:b w:val="0"/>
              </w:rPr>
              <w:t xml:space="preserve"> </w:t>
            </w:r>
            <w:r w:rsidR="00980E54" w:rsidRPr="00B275E2">
              <w:rPr>
                <w:b w:val="0"/>
              </w:rPr>
              <w:t>l</w:t>
            </w:r>
            <w:r w:rsidRPr="00B275E2">
              <w:rPr>
                <w:b w:val="0"/>
              </w:rPr>
              <w:t>ignite</w:t>
            </w:r>
          </w:p>
        </w:tc>
        <w:tc>
          <w:tcPr>
            <w:tcW w:w="567" w:type="dxa"/>
            <w:noWrap/>
            <w:hideMark/>
          </w:tcPr>
          <w:p w14:paraId="650913CB" w14:textId="77777777" w:rsidR="00817D03" w:rsidRPr="00B275E2" w:rsidRDefault="00817D03" w:rsidP="00CD1B90">
            <w:pPr>
              <w:pStyle w:val="TableText"/>
              <w:spacing w:before="50" w:after="50"/>
              <w:cnfStyle w:val="000000000000" w:firstRow="0" w:lastRow="0" w:firstColumn="0" w:lastColumn="0" w:oddVBand="0" w:evenVBand="0" w:oddHBand="0" w:evenHBand="0" w:firstRowFirstColumn="0" w:firstRowLastColumn="0" w:lastRowFirstColumn="0" w:lastRowLastColumn="0"/>
            </w:pPr>
            <w:r w:rsidRPr="00B275E2">
              <w:t>kg</w:t>
            </w:r>
          </w:p>
        </w:tc>
        <w:tc>
          <w:tcPr>
            <w:tcW w:w="1311" w:type="dxa"/>
            <w:shd w:val="clear" w:color="auto" w:fill="D2DDE1" w:themeFill="background2"/>
            <w:noWrap/>
            <w:hideMark/>
          </w:tcPr>
          <w:p w14:paraId="650913CC" w14:textId="77777777" w:rsidR="00817D03" w:rsidRPr="00B275E2" w:rsidRDefault="00817D03" w:rsidP="00CD1B90">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275E2">
              <w:t>1.43</w:t>
            </w:r>
          </w:p>
        </w:tc>
        <w:tc>
          <w:tcPr>
            <w:tcW w:w="1170" w:type="dxa"/>
            <w:noWrap/>
            <w:hideMark/>
          </w:tcPr>
          <w:p w14:paraId="650913CD" w14:textId="77777777" w:rsidR="00817D03" w:rsidRPr="00B275E2" w:rsidRDefault="00817D03" w:rsidP="00CD1B90">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275E2">
              <w:t>1.42</w:t>
            </w:r>
          </w:p>
        </w:tc>
        <w:tc>
          <w:tcPr>
            <w:tcW w:w="1169" w:type="dxa"/>
            <w:noWrap/>
            <w:hideMark/>
          </w:tcPr>
          <w:p w14:paraId="650913CE" w14:textId="77777777" w:rsidR="00817D03" w:rsidRPr="00B275E2" w:rsidRDefault="00817D03" w:rsidP="00CD1B90">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275E2">
              <w:t>0.00362</w:t>
            </w:r>
          </w:p>
        </w:tc>
        <w:tc>
          <w:tcPr>
            <w:tcW w:w="1170" w:type="dxa"/>
            <w:noWrap/>
            <w:hideMark/>
          </w:tcPr>
          <w:p w14:paraId="650913CF" w14:textId="77777777" w:rsidR="00817D03" w:rsidRPr="00B275E2" w:rsidRDefault="00817D03" w:rsidP="00CD1B90">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275E2">
              <w:t>0.0065</w:t>
            </w:r>
          </w:p>
        </w:tc>
        <w:tc>
          <w:tcPr>
            <w:tcW w:w="1275" w:type="dxa"/>
            <w:noWrap/>
            <w:hideMark/>
          </w:tcPr>
          <w:p w14:paraId="650913D0" w14:textId="77777777" w:rsidR="00817D03" w:rsidRPr="00B275E2" w:rsidRDefault="00817D03" w:rsidP="00CD1B90">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275E2">
              <w:t>3.5%</w:t>
            </w:r>
          </w:p>
        </w:tc>
      </w:tr>
      <w:tr w:rsidR="00817D03" w:rsidRPr="00B275E2" w14:paraId="650913D9" w14:textId="77777777" w:rsidTr="00C12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left w:val="single" w:sz="4" w:space="0" w:color="FFFFFF" w:themeColor="background1"/>
            </w:tcBorders>
            <w:noWrap/>
            <w:hideMark/>
          </w:tcPr>
          <w:p w14:paraId="650913D2" w14:textId="77777777" w:rsidR="00817D03" w:rsidRPr="00B275E2" w:rsidRDefault="00817D03" w:rsidP="00CD1B90">
            <w:pPr>
              <w:pStyle w:val="TableText"/>
              <w:spacing w:before="50" w:after="50"/>
              <w:rPr>
                <w:b w:val="0"/>
              </w:rPr>
            </w:pPr>
            <w:r w:rsidRPr="00B275E2">
              <w:rPr>
                <w:b w:val="0"/>
              </w:rPr>
              <w:t>Diesel</w:t>
            </w:r>
          </w:p>
        </w:tc>
        <w:tc>
          <w:tcPr>
            <w:tcW w:w="567" w:type="dxa"/>
            <w:noWrap/>
            <w:hideMark/>
          </w:tcPr>
          <w:p w14:paraId="650913D3" w14:textId="77777777" w:rsidR="00817D03" w:rsidRPr="00B275E2" w:rsidRDefault="00817D03" w:rsidP="00CD1B90">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275E2">
              <w:t>litre</w:t>
            </w:r>
          </w:p>
        </w:tc>
        <w:tc>
          <w:tcPr>
            <w:tcW w:w="1311" w:type="dxa"/>
            <w:shd w:val="clear" w:color="auto" w:fill="D2DDE1" w:themeFill="background2"/>
            <w:noWrap/>
            <w:hideMark/>
          </w:tcPr>
          <w:p w14:paraId="650913D4" w14:textId="13E124E5" w:rsidR="00817D03" w:rsidRPr="00B275E2" w:rsidRDefault="00817D03" w:rsidP="00CD1B90">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275E2">
              <w:t>2.6</w:t>
            </w:r>
            <w:r w:rsidR="00E871B8" w:rsidRPr="00B275E2">
              <w:t>7</w:t>
            </w:r>
          </w:p>
        </w:tc>
        <w:tc>
          <w:tcPr>
            <w:tcW w:w="1170" w:type="dxa"/>
            <w:noWrap/>
            <w:hideMark/>
          </w:tcPr>
          <w:p w14:paraId="650913D5" w14:textId="77777777" w:rsidR="00817D03" w:rsidRPr="00B275E2" w:rsidRDefault="00817D03" w:rsidP="00CD1B90">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275E2">
              <w:t>2.65</w:t>
            </w:r>
          </w:p>
        </w:tc>
        <w:tc>
          <w:tcPr>
            <w:tcW w:w="1169" w:type="dxa"/>
            <w:noWrap/>
            <w:hideMark/>
          </w:tcPr>
          <w:p w14:paraId="650913D6" w14:textId="77777777" w:rsidR="00817D03" w:rsidRPr="00B275E2" w:rsidRDefault="00817D03" w:rsidP="00CD1B90">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275E2">
              <w:t>0.00907</w:t>
            </w:r>
          </w:p>
        </w:tc>
        <w:tc>
          <w:tcPr>
            <w:tcW w:w="1170" w:type="dxa"/>
            <w:noWrap/>
            <w:hideMark/>
          </w:tcPr>
          <w:p w14:paraId="650913D7" w14:textId="77777777" w:rsidR="00817D03" w:rsidRPr="00B275E2" w:rsidRDefault="00817D03" w:rsidP="00CD1B90">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275E2">
              <w:t>0.0065</w:t>
            </w:r>
          </w:p>
        </w:tc>
        <w:tc>
          <w:tcPr>
            <w:tcW w:w="1275" w:type="dxa"/>
            <w:tcBorders>
              <w:right w:val="single" w:sz="4" w:space="0" w:color="FFFFFF" w:themeColor="background1"/>
            </w:tcBorders>
            <w:noWrap/>
            <w:hideMark/>
          </w:tcPr>
          <w:p w14:paraId="650913D8" w14:textId="77777777" w:rsidR="00817D03" w:rsidRPr="00B275E2" w:rsidRDefault="00817D03" w:rsidP="00CD1B90">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275E2">
              <w:t>0.5%</w:t>
            </w:r>
          </w:p>
        </w:tc>
      </w:tr>
      <w:tr w:rsidR="00817D03" w:rsidRPr="00B275E2" w14:paraId="650913E1" w14:textId="77777777" w:rsidTr="00A25EE5">
        <w:tc>
          <w:tcPr>
            <w:cnfStyle w:val="001000000000" w:firstRow="0" w:lastRow="0" w:firstColumn="1" w:lastColumn="0" w:oddVBand="0" w:evenVBand="0" w:oddHBand="0" w:evenHBand="0" w:firstRowFirstColumn="0" w:firstRowLastColumn="0" w:lastRowFirstColumn="0" w:lastRowLastColumn="0"/>
            <w:tcW w:w="1843" w:type="dxa"/>
            <w:noWrap/>
            <w:hideMark/>
          </w:tcPr>
          <w:p w14:paraId="650913DA" w14:textId="77777777" w:rsidR="00817D03" w:rsidRPr="00B275E2" w:rsidRDefault="00817D03" w:rsidP="00CD1B90">
            <w:pPr>
              <w:pStyle w:val="TableText"/>
              <w:spacing w:before="50" w:after="50"/>
              <w:rPr>
                <w:b w:val="0"/>
              </w:rPr>
            </w:pPr>
            <w:r w:rsidRPr="00B275E2">
              <w:rPr>
                <w:b w:val="0"/>
              </w:rPr>
              <w:t>LPG</w:t>
            </w:r>
          </w:p>
        </w:tc>
        <w:tc>
          <w:tcPr>
            <w:tcW w:w="567" w:type="dxa"/>
            <w:noWrap/>
            <w:hideMark/>
          </w:tcPr>
          <w:p w14:paraId="650913DB" w14:textId="77777777" w:rsidR="00817D03" w:rsidRPr="00B275E2" w:rsidRDefault="00817D03" w:rsidP="00CD1B90">
            <w:pPr>
              <w:pStyle w:val="TableText"/>
              <w:spacing w:before="50" w:after="50"/>
              <w:cnfStyle w:val="000000000000" w:firstRow="0" w:lastRow="0" w:firstColumn="0" w:lastColumn="0" w:oddVBand="0" w:evenVBand="0" w:oddHBand="0" w:evenHBand="0" w:firstRowFirstColumn="0" w:firstRowLastColumn="0" w:lastRowFirstColumn="0" w:lastRowLastColumn="0"/>
            </w:pPr>
            <w:r w:rsidRPr="00B275E2">
              <w:t>kg</w:t>
            </w:r>
          </w:p>
        </w:tc>
        <w:tc>
          <w:tcPr>
            <w:tcW w:w="1311" w:type="dxa"/>
            <w:shd w:val="clear" w:color="auto" w:fill="D2DDE1" w:themeFill="background2"/>
            <w:noWrap/>
            <w:hideMark/>
          </w:tcPr>
          <w:p w14:paraId="650913DC" w14:textId="6F9035D2" w:rsidR="00817D03" w:rsidRPr="00B275E2" w:rsidRDefault="00817D03" w:rsidP="00CD1B90">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275E2">
              <w:t>3.03</w:t>
            </w:r>
          </w:p>
        </w:tc>
        <w:tc>
          <w:tcPr>
            <w:tcW w:w="1170" w:type="dxa"/>
            <w:noWrap/>
            <w:hideMark/>
          </w:tcPr>
          <w:p w14:paraId="650913DD" w14:textId="77777777" w:rsidR="00817D03" w:rsidRPr="00B275E2" w:rsidRDefault="00817D03" w:rsidP="00CD1B90">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275E2">
              <w:t>3.02</w:t>
            </w:r>
          </w:p>
        </w:tc>
        <w:tc>
          <w:tcPr>
            <w:tcW w:w="1169" w:type="dxa"/>
            <w:noWrap/>
            <w:hideMark/>
          </w:tcPr>
          <w:p w14:paraId="650913DE" w14:textId="77777777" w:rsidR="00817D03" w:rsidRPr="00B275E2" w:rsidRDefault="00817D03" w:rsidP="00CD1B90">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275E2">
              <w:t>0.00594</w:t>
            </w:r>
          </w:p>
        </w:tc>
        <w:tc>
          <w:tcPr>
            <w:tcW w:w="1170" w:type="dxa"/>
            <w:noWrap/>
            <w:hideMark/>
          </w:tcPr>
          <w:p w14:paraId="650913DF" w14:textId="77777777" w:rsidR="00817D03" w:rsidRPr="00B275E2" w:rsidRDefault="00817D03" w:rsidP="00CD1B90">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275E2">
              <w:t>0.0014</w:t>
            </w:r>
          </w:p>
        </w:tc>
        <w:tc>
          <w:tcPr>
            <w:tcW w:w="1275" w:type="dxa"/>
            <w:noWrap/>
            <w:hideMark/>
          </w:tcPr>
          <w:p w14:paraId="650913E0" w14:textId="77777777" w:rsidR="00817D03" w:rsidRPr="00B275E2" w:rsidRDefault="00817D03" w:rsidP="00CD1B90">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275E2">
              <w:t>0.5%</w:t>
            </w:r>
          </w:p>
        </w:tc>
      </w:tr>
      <w:tr w:rsidR="00817D03" w:rsidRPr="00B275E2" w14:paraId="650913E9" w14:textId="77777777" w:rsidTr="00C12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left w:val="single" w:sz="4" w:space="0" w:color="FFFFFF" w:themeColor="background1"/>
            </w:tcBorders>
            <w:noWrap/>
            <w:hideMark/>
          </w:tcPr>
          <w:p w14:paraId="650913E2" w14:textId="7C61D45A" w:rsidR="00817D03" w:rsidRPr="00B275E2" w:rsidRDefault="00817D03" w:rsidP="00CD1B90">
            <w:pPr>
              <w:pStyle w:val="TableText"/>
              <w:spacing w:before="50" w:after="50"/>
              <w:rPr>
                <w:b w:val="0"/>
              </w:rPr>
            </w:pPr>
            <w:r w:rsidRPr="00B275E2">
              <w:rPr>
                <w:b w:val="0"/>
              </w:rPr>
              <w:lastRenderedPageBreak/>
              <w:t xml:space="preserve">Heavy </w:t>
            </w:r>
            <w:r w:rsidR="00A87561" w:rsidRPr="00B275E2">
              <w:rPr>
                <w:b w:val="0"/>
              </w:rPr>
              <w:t>f</w:t>
            </w:r>
            <w:r w:rsidRPr="00B275E2">
              <w:rPr>
                <w:b w:val="0"/>
              </w:rPr>
              <w:t xml:space="preserve">uel </w:t>
            </w:r>
            <w:r w:rsidR="00A87561" w:rsidRPr="00B275E2">
              <w:rPr>
                <w:b w:val="0"/>
              </w:rPr>
              <w:t>o</w:t>
            </w:r>
            <w:r w:rsidRPr="00B275E2">
              <w:rPr>
                <w:b w:val="0"/>
              </w:rPr>
              <w:t>il</w:t>
            </w:r>
          </w:p>
        </w:tc>
        <w:tc>
          <w:tcPr>
            <w:tcW w:w="567" w:type="dxa"/>
            <w:noWrap/>
            <w:hideMark/>
          </w:tcPr>
          <w:p w14:paraId="650913E3" w14:textId="77777777" w:rsidR="00817D03" w:rsidRPr="00B275E2" w:rsidRDefault="00817D03" w:rsidP="00CD1B90">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275E2">
              <w:t>litre</w:t>
            </w:r>
          </w:p>
        </w:tc>
        <w:tc>
          <w:tcPr>
            <w:tcW w:w="1311" w:type="dxa"/>
            <w:shd w:val="clear" w:color="auto" w:fill="D2DDE1" w:themeFill="background2"/>
            <w:noWrap/>
            <w:hideMark/>
          </w:tcPr>
          <w:p w14:paraId="650913E4" w14:textId="3F511FA3" w:rsidR="00817D03" w:rsidRPr="00B275E2" w:rsidRDefault="00817D03" w:rsidP="00CD1B90">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275E2">
              <w:t>3.0</w:t>
            </w:r>
            <w:r w:rsidR="005F6C65" w:rsidRPr="00B275E2">
              <w:t>2</w:t>
            </w:r>
          </w:p>
        </w:tc>
        <w:tc>
          <w:tcPr>
            <w:tcW w:w="1170" w:type="dxa"/>
            <w:noWrap/>
            <w:hideMark/>
          </w:tcPr>
          <w:p w14:paraId="650913E5" w14:textId="26377DC4" w:rsidR="00817D03" w:rsidRPr="00B275E2" w:rsidRDefault="00817D03" w:rsidP="00CD1B90">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275E2">
              <w:t>3.0</w:t>
            </w:r>
            <w:r w:rsidR="005F6C65" w:rsidRPr="00B275E2">
              <w:t>0</w:t>
            </w:r>
          </w:p>
        </w:tc>
        <w:tc>
          <w:tcPr>
            <w:tcW w:w="1169" w:type="dxa"/>
            <w:noWrap/>
            <w:hideMark/>
          </w:tcPr>
          <w:p w14:paraId="650913E6" w14:textId="77777777" w:rsidR="00817D03" w:rsidRPr="00B275E2" w:rsidRDefault="00817D03" w:rsidP="00CD1B90">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275E2">
              <w:t>0.00971</w:t>
            </w:r>
          </w:p>
        </w:tc>
        <w:tc>
          <w:tcPr>
            <w:tcW w:w="1170" w:type="dxa"/>
            <w:noWrap/>
            <w:hideMark/>
          </w:tcPr>
          <w:p w14:paraId="650913E7" w14:textId="77777777" w:rsidR="00817D03" w:rsidRPr="00B275E2" w:rsidRDefault="00817D03" w:rsidP="00CD1B90">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275E2">
              <w:t>0.0069</w:t>
            </w:r>
          </w:p>
        </w:tc>
        <w:tc>
          <w:tcPr>
            <w:tcW w:w="1275" w:type="dxa"/>
            <w:tcBorders>
              <w:right w:val="single" w:sz="4" w:space="0" w:color="FFFFFF" w:themeColor="background1"/>
            </w:tcBorders>
            <w:noWrap/>
            <w:hideMark/>
          </w:tcPr>
          <w:p w14:paraId="650913E8" w14:textId="77777777" w:rsidR="00817D03" w:rsidRPr="00B275E2" w:rsidRDefault="00817D03" w:rsidP="00CD1B90">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275E2">
              <w:t>0.5%</w:t>
            </w:r>
          </w:p>
        </w:tc>
      </w:tr>
      <w:tr w:rsidR="00817D03" w:rsidRPr="00B275E2" w14:paraId="650913F1" w14:textId="77777777" w:rsidTr="00A25EE5">
        <w:tc>
          <w:tcPr>
            <w:cnfStyle w:val="001000000000" w:firstRow="0" w:lastRow="0" w:firstColumn="1" w:lastColumn="0" w:oddVBand="0" w:evenVBand="0" w:oddHBand="0" w:evenHBand="0" w:firstRowFirstColumn="0" w:firstRowLastColumn="0" w:lastRowFirstColumn="0" w:lastRowLastColumn="0"/>
            <w:tcW w:w="1843" w:type="dxa"/>
            <w:noWrap/>
            <w:hideMark/>
          </w:tcPr>
          <w:p w14:paraId="650913EA" w14:textId="3E53F610" w:rsidR="00817D03" w:rsidRPr="00B275E2" w:rsidRDefault="00817D03" w:rsidP="00CD1B90">
            <w:pPr>
              <w:pStyle w:val="TableText"/>
              <w:spacing w:before="50" w:after="50"/>
              <w:rPr>
                <w:b w:val="0"/>
              </w:rPr>
            </w:pPr>
            <w:r w:rsidRPr="00B275E2">
              <w:rPr>
                <w:b w:val="0"/>
              </w:rPr>
              <w:t xml:space="preserve">Light </w:t>
            </w:r>
            <w:r w:rsidR="00A87561" w:rsidRPr="00B275E2">
              <w:rPr>
                <w:b w:val="0"/>
              </w:rPr>
              <w:t>f</w:t>
            </w:r>
            <w:r w:rsidRPr="00B275E2">
              <w:rPr>
                <w:b w:val="0"/>
              </w:rPr>
              <w:t xml:space="preserve">uel </w:t>
            </w:r>
            <w:r w:rsidR="00A87561" w:rsidRPr="00B275E2">
              <w:rPr>
                <w:b w:val="0"/>
              </w:rPr>
              <w:t>o</w:t>
            </w:r>
            <w:r w:rsidRPr="00B275E2">
              <w:rPr>
                <w:b w:val="0"/>
              </w:rPr>
              <w:t>il</w:t>
            </w:r>
          </w:p>
        </w:tc>
        <w:tc>
          <w:tcPr>
            <w:tcW w:w="567" w:type="dxa"/>
            <w:noWrap/>
            <w:hideMark/>
          </w:tcPr>
          <w:p w14:paraId="650913EB" w14:textId="77777777" w:rsidR="00817D03" w:rsidRPr="00B275E2" w:rsidRDefault="00817D03" w:rsidP="00CD1B90">
            <w:pPr>
              <w:pStyle w:val="TableText"/>
              <w:spacing w:before="50" w:after="50"/>
              <w:cnfStyle w:val="000000000000" w:firstRow="0" w:lastRow="0" w:firstColumn="0" w:lastColumn="0" w:oddVBand="0" w:evenVBand="0" w:oddHBand="0" w:evenHBand="0" w:firstRowFirstColumn="0" w:firstRowLastColumn="0" w:lastRowFirstColumn="0" w:lastRowLastColumn="0"/>
            </w:pPr>
            <w:r w:rsidRPr="00B275E2">
              <w:t>litre</w:t>
            </w:r>
          </w:p>
        </w:tc>
        <w:tc>
          <w:tcPr>
            <w:tcW w:w="1311" w:type="dxa"/>
            <w:shd w:val="clear" w:color="auto" w:fill="D2DDE1" w:themeFill="background2"/>
            <w:noWrap/>
            <w:hideMark/>
          </w:tcPr>
          <w:p w14:paraId="650913EC" w14:textId="39E0A1F8" w:rsidR="00817D03" w:rsidRPr="00B275E2" w:rsidRDefault="00817D03" w:rsidP="00CD1B90">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275E2">
              <w:t>2.9</w:t>
            </w:r>
            <w:r w:rsidR="005F6C65" w:rsidRPr="00B275E2">
              <w:t>6</w:t>
            </w:r>
          </w:p>
        </w:tc>
        <w:tc>
          <w:tcPr>
            <w:tcW w:w="1170" w:type="dxa"/>
            <w:noWrap/>
            <w:hideMark/>
          </w:tcPr>
          <w:p w14:paraId="650913ED" w14:textId="79B271CB" w:rsidR="00817D03" w:rsidRPr="00B275E2" w:rsidRDefault="00817D03" w:rsidP="00CD1B90">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275E2">
              <w:t>2.9</w:t>
            </w:r>
            <w:r w:rsidR="005F6C65" w:rsidRPr="00B275E2">
              <w:t>4</w:t>
            </w:r>
          </w:p>
        </w:tc>
        <w:tc>
          <w:tcPr>
            <w:tcW w:w="1169" w:type="dxa"/>
            <w:noWrap/>
            <w:hideMark/>
          </w:tcPr>
          <w:p w14:paraId="650913EE" w14:textId="77777777" w:rsidR="00817D03" w:rsidRPr="00B275E2" w:rsidRDefault="00817D03" w:rsidP="00CD1B90">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275E2">
              <w:t>0.00958</w:t>
            </w:r>
          </w:p>
        </w:tc>
        <w:tc>
          <w:tcPr>
            <w:tcW w:w="1170" w:type="dxa"/>
            <w:noWrap/>
            <w:hideMark/>
          </w:tcPr>
          <w:p w14:paraId="650913EF" w14:textId="77777777" w:rsidR="00817D03" w:rsidRPr="00B275E2" w:rsidRDefault="00817D03" w:rsidP="00CD1B90">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275E2">
              <w:t>0.00685</w:t>
            </w:r>
          </w:p>
        </w:tc>
        <w:tc>
          <w:tcPr>
            <w:tcW w:w="1275" w:type="dxa"/>
            <w:noWrap/>
            <w:hideMark/>
          </w:tcPr>
          <w:p w14:paraId="650913F0" w14:textId="77777777" w:rsidR="00817D03" w:rsidRPr="00B275E2" w:rsidRDefault="00817D03" w:rsidP="00CD1B90">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275E2">
              <w:t>0.5%</w:t>
            </w:r>
          </w:p>
        </w:tc>
      </w:tr>
      <w:tr w:rsidR="00817D03" w:rsidRPr="00B275E2" w14:paraId="650913F9" w14:textId="77777777" w:rsidTr="00C12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val="restart"/>
            <w:tcBorders>
              <w:left w:val="single" w:sz="4" w:space="0" w:color="FFFFFF" w:themeColor="background1"/>
            </w:tcBorders>
            <w:noWrap/>
            <w:hideMark/>
          </w:tcPr>
          <w:p w14:paraId="650913F2" w14:textId="3D3BFE9D" w:rsidR="00817D03" w:rsidRPr="00B275E2" w:rsidRDefault="00817D03" w:rsidP="00CD1B90">
            <w:pPr>
              <w:pStyle w:val="TableText"/>
              <w:spacing w:before="50" w:after="50"/>
              <w:rPr>
                <w:b w:val="0"/>
              </w:rPr>
            </w:pPr>
            <w:r w:rsidRPr="00B275E2">
              <w:rPr>
                <w:b w:val="0"/>
              </w:rPr>
              <w:t xml:space="preserve">Natural </w:t>
            </w:r>
            <w:r w:rsidR="00A87561" w:rsidRPr="00B275E2">
              <w:rPr>
                <w:b w:val="0"/>
              </w:rPr>
              <w:t>g</w:t>
            </w:r>
            <w:r w:rsidRPr="00B275E2">
              <w:rPr>
                <w:b w:val="0"/>
              </w:rPr>
              <w:t>as</w:t>
            </w:r>
          </w:p>
        </w:tc>
        <w:tc>
          <w:tcPr>
            <w:tcW w:w="567" w:type="dxa"/>
            <w:noWrap/>
            <w:hideMark/>
          </w:tcPr>
          <w:p w14:paraId="650913F3" w14:textId="77777777" w:rsidR="00817D03" w:rsidRPr="00B275E2" w:rsidRDefault="00817D03" w:rsidP="00CD1B90">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275E2">
              <w:t>kWh</w:t>
            </w:r>
          </w:p>
        </w:tc>
        <w:tc>
          <w:tcPr>
            <w:tcW w:w="1311" w:type="dxa"/>
            <w:shd w:val="clear" w:color="auto" w:fill="D2DDE1" w:themeFill="background2"/>
            <w:noWrap/>
            <w:hideMark/>
          </w:tcPr>
          <w:p w14:paraId="650913F4" w14:textId="53F5259D" w:rsidR="00817D03" w:rsidRPr="00B275E2" w:rsidRDefault="00817D03" w:rsidP="00CD1B90">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275E2">
              <w:t>0.19</w:t>
            </w:r>
            <w:r w:rsidR="00EB1F84" w:rsidRPr="00B275E2">
              <w:t>5</w:t>
            </w:r>
          </w:p>
        </w:tc>
        <w:tc>
          <w:tcPr>
            <w:tcW w:w="1170" w:type="dxa"/>
            <w:noWrap/>
            <w:hideMark/>
          </w:tcPr>
          <w:p w14:paraId="650913F5" w14:textId="77777777" w:rsidR="00817D03" w:rsidRPr="00B275E2" w:rsidRDefault="00817D03" w:rsidP="00CD1B90">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275E2">
              <w:t>0.194</w:t>
            </w:r>
          </w:p>
        </w:tc>
        <w:tc>
          <w:tcPr>
            <w:tcW w:w="1169" w:type="dxa"/>
            <w:noWrap/>
            <w:hideMark/>
          </w:tcPr>
          <w:p w14:paraId="650913F6" w14:textId="77777777" w:rsidR="00817D03" w:rsidRPr="00B275E2" w:rsidRDefault="00817D03" w:rsidP="00CD1B90">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275E2">
              <w:t>0.000405</w:t>
            </w:r>
          </w:p>
        </w:tc>
        <w:tc>
          <w:tcPr>
            <w:tcW w:w="1170" w:type="dxa"/>
            <w:noWrap/>
            <w:hideMark/>
          </w:tcPr>
          <w:p w14:paraId="650913F7" w14:textId="09B8DA09" w:rsidR="00817D03" w:rsidRPr="00B275E2" w:rsidRDefault="00817D03" w:rsidP="00CD1B90">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275E2">
              <w:t>0.000</w:t>
            </w:r>
            <w:r w:rsidR="00EB1F84" w:rsidRPr="00B275E2">
              <w:t>0966</w:t>
            </w:r>
          </w:p>
        </w:tc>
        <w:tc>
          <w:tcPr>
            <w:tcW w:w="1275" w:type="dxa"/>
            <w:tcBorders>
              <w:right w:val="single" w:sz="4" w:space="0" w:color="FFFFFF" w:themeColor="background1"/>
            </w:tcBorders>
            <w:noWrap/>
            <w:hideMark/>
          </w:tcPr>
          <w:p w14:paraId="650913F8" w14:textId="77777777" w:rsidR="00817D03" w:rsidRPr="00B275E2" w:rsidRDefault="00817D03" w:rsidP="00CD1B90">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275E2">
              <w:t>2.4%</w:t>
            </w:r>
          </w:p>
        </w:tc>
      </w:tr>
      <w:tr w:rsidR="00817D03" w:rsidRPr="00B275E2" w14:paraId="65091401" w14:textId="77777777" w:rsidTr="00C12ECB">
        <w:tc>
          <w:tcPr>
            <w:cnfStyle w:val="001000000000" w:firstRow="0" w:lastRow="0" w:firstColumn="1" w:lastColumn="0" w:oddVBand="0" w:evenVBand="0" w:oddHBand="0" w:evenHBand="0" w:firstRowFirstColumn="0" w:firstRowLastColumn="0" w:lastRowFirstColumn="0" w:lastRowLastColumn="0"/>
            <w:tcW w:w="1843" w:type="dxa"/>
            <w:vMerge/>
            <w:tcBorders>
              <w:left w:val="single" w:sz="4" w:space="0" w:color="FFFFFF" w:themeColor="background1"/>
              <w:bottom w:val="single" w:sz="4" w:space="0" w:color="1B556B"/>
            </w:tcBorders>
            <w:hideMark/>
          </w:tcPr>
          <w:p w14:paraId="650913FA" w14:textId="77777777" w:rsidR="00817D03" w:rsidRPr="00B275E2" w:rsidRDefault="00817D03" w:rsidP="00CD1B90">
            <w:pPr>
              <w:pStyle w:val="TableText"/>
              <w:spacing w:before="50" w:after="50"/>
              <w:rPr>
                <w:b w:val="0"/>
              </w:rPr>
            </w:pPr>
          </w:p>
        </w:tc>
        <w:tc>
          <w:tcPr>
            <w:tcW w:w="567" w:type="dxa"/>
            <w:tcBorders>
              <w:bottom w:val="single" w:sz="4" w:space="0" w:color="1B556B"/>
            </w:tcBorders>
            <w:noWrap/>
            <w:hideMark/>
          </w:tcPr>
          <w:p w14:paraId="650913FB" w14:textId="77777777" w:rsidR="00817D03" w:rsidRPr="00B275E2" w:rsidRDefault="00817D03" w:rsidP="00CD1B90">
            <w:pPr>
              <w:pStyle w:val="TableText"/>
              <w:spacing w:before="50" w:after="50"/>
              <w:cnfStyle w:val="000000000000" w:firstRow="0" w:lastRow="0" w:firstColumn="0" w:lastColumn="0" w:oddVBand="0" w:evenVBand="0" w:oddHBand="0" w:evenHBand="0" w:firstRowFirstColumn="0" w:firstRowLastColumn="0" w:lastRowFirstColumn="0" w:lastRowLastColumn="0"/>
            </w:pPr>
            <w:r w:rsidRPr="00B275E2">
              <w:t>GJ</w:t>
            </w:r>
          </w:p>
        </w:tc>
        <w:tc>
          <w:tcPr>
            <w:tcW w:w="1311" w:type="dxa"/>
            <w:tcBorders>
              <w:bottom w:val="single" w:sz="4" w:space="0" w:color="1B556B"/>
            </w:tcBorders>
            <w:shd w:val="clear" w:color="auto" w:fill="D2DDE1" w:themeFill="background2"/>
            <w:noWrap/>
            <w:hideMark/>
          </w:tcPr>
          <w:p w14:paraId="650913FC" w14:textId="77777777" w:rsidR="00817D03" w:rsidRPr="00B275E2" w:rsidRDefault="00817D03" w:rsidP="00CD1B90">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275E2">
              <w:t>54.1</w:t>
            </w:r>
          </w:p>
        </w:tc>
        <w:tc>
          <w:tcPr>
            <w:tcW w:w="1170" w:type="dxa"/>
            <w:tcBorders>
              <w:bottom w:val="single" w:sz="4" w:space="0" w:color="1B556B"/>
            </w:tcBorders>
            <w:noWrap/>
            <w:hideMark/>
          </w:tcPr>
          <w:p w14:paraId="650913FD" w14:textId="77777777" w:rsidR="00817D03" w:rsidRPr="00B275E2" w:rsidRDefault="00817D03" w:rsidP="00CD1B90">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275E2">
              <w:t>54.0</w:t>
            </w:r>
          </w:p>
        </w:tc>
        <w:tc>
          <w:tcPr>
            <w:tcW w:w="1169" w:type="dxa"/>
            <w:tcBorders>
              <w:bottom w:val="single" w:sz="4" w:space="0" w:color="1B556B"/>
            </w:tcBorders>
            <w:noWrap/>
            <w:hideMark/>
          </w:tcPr>
          <w:p w14:paraId="650913FE" w14:textId="77777777" w:rsidR="00817D03" w:rsidRPr="00B275E2" w:rsidRDefault="00817D03" w:rsidP="00CD1B90">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275E2">
              <w:t>0.113</w:t>
            </w:r>
          </w:p>
        </w:tc>
        <w:tc>
          <w:tcPr>
            <w:tcW w:w="1170" w:type="dxa"/>
            <w:tcBorders>
              <w:bottom w:val="single" w:sz="4" w:space="0" w:color="1B556B"/>
            </w:tcBorders>
            <w:noWrap/>
            <w:hideMark/>
          </w:tcPr>
          <w:p w14:paraId="650913FF" w14:textId="77777777" w:rsidR="00817D03" w:rsidRPr="00B275E2" w:rsidRDefault="00817D03" w:rsidP="00CD1B90">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275E2">
              <w:t>0.0268</w:t>
            </w:r>
          </w:p>
        </w:tc>
        <w:tc>
          <w:tcPr>
            <w:tcW w:w="1275" w:type="dxa"/>
            <w:tcBorders>
              <w:bottom w:val="single" w:sz="4" w:space="0" w:color="1B556B"/>
            </w:tcBorders>
            <w:noWrap/>
            <w:hideMark/>
          </w:tcPr>
          <w:p w14:paraId="65091400" w14:textId="77777777" w:rsidR="00817D03" w:rsidRPr="00B275E2" w:rsidRDefault="00817D03" w:rsidP="00CD1B90">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275E2">
              <w:t>2.4%</w:t>
            </w:r>
          </w:p>
        </w:tc>
      </w:tr>
      <w:tr w:rsidR="00817D03" w:rsidRPr="00B275E2" w14:paraId="65091403" w14:textId="77777777" w:rsidTr="00DC4F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gridSpan w:val="7"/>
            <w:tcBorders>
              <w:left w:val="single" w:sz="4" w:space="0" w:color="FFFFFF" w:themeColor="background1"/>
              <w:right w:val="single" w:sz="4" w:space="0" w:color="FFFFFF" w:themeColor="background1"/>
            </w:tcBorders>
            <w:shd w:val="clear" w:color="auto" w:fill="D2DDE1" w:themeFill="background2"/>
            <w:noWrap/>
            <w:hideMark/>
          </w:tcPr>
          <w:p w14:paraId="65091402" w14:textId="4C573E17" w:rsidR="00817D03" w:rsidRPr="00B275E2" w:rsidRDefault="00817D03" w:rsidP="00F7278D">
            <w:pPr>
              <w:pStyle w:val="TableText"/>
              <w:spacing w:before="40" w:after="50"/>
              <w:rPr>
                <w:bCs w:val="0"/>
                <w:iCs/>
              </w:rPr>
            </w:pPr>
            <w:r w:rsidRPr="00B275E2">
              <w:rPr>
                <w:bCs w:val="0"/>
                <w:iCs/>
              </w:rPr>
              <w:t xml:space="preserve">Industrial </w:t>
            </w:r>
            <w:r w:rsidR="00980E54" w:rsidRPr="00B275E2">
              <w:rPr>
                <w:bCs w:val="0"/>
                <w:iCs/>
              </w:rPr>
              <w:t>u</w:t>
            </w:r>
            <w:r w:rsidRPr="00B275E2">
              <w:rPr>
                <w:bCs w:val="0"/>
                <w:iCs/>
              </w:rPr>
              <w:t>se</w:t>
            </w:r>
          </w:p>
        </w:tc>
      </w:tr>
      <w:tr w:rsidR="00817D03" w:rsidRPr="00B275E2" w14:paraId="6509140B" w14:textId="77777777" w:rsidTr="00A25EE5">
        <w:tc>
          <w:tcPr>
            <w:cnfStyle w:val="001000000000" w:firstRow="0" w:lastRow="0" w:firstColumn="1" w:lastColumn="0" w:oddVBand="0" w:evenVBand="0" w:oddHBand="0" w:evenHBand="0" w:firstRowFirstColumn="0" w:firstRowLastColumn="0" w:lastRowFirstColumn="0" w:lastRowLastColumn="0"/>
            <w:tcW w:w="1843" w:type="dxa"/>
            <w:noWrap/>
            <w:hideMark/>
          </w:tcPr>
          <w:p w14:paraId="65091404" w14:textId="5F1F8B3B" w:rsidR="00817D03" w:rsidRPr="00B275E2" w:rsidRDefault="00817D03" w:rsidP="00F7278D">
            <w:pPr>
              <w:pStyle w:val="TableText"/>
              <w:spacing w:before="40" w:after="50"/>
              <w:rPr>
                <w:b w:val="0"/>
              </w:rPr>
            </w:pPr>
            <w:r w:rsidRPr="00B275E2">
              <w:rPr>
                <w:b w:val="0"/>
              </w:rPr>
              <w:t xml:space="preserve">Coal </w:t>
            </w:r>
            <w:r w:rsidR="00980E54" w:rsidRPr="00B275E2">
              <w:rPr>
                <w:b w:val="0"/>
              </w:rPr>
              <w:t>– d</w:t>
            </w:r>
            <w:r w:rsidRPr="00B275E2">
              <w:rPr>
                <w:b w:val="0"/>
              </w:rPr>
              <w:t xml:space="preserve">efault </w:t>
            </w:r>
          </w:p>
        </w:tc>
        <w:tc>
          <w:tcPr>
            <w:tcW w:w="567" w:type="dxa"/>
            <w:noWrap/>
            <w:hideMark/>
          </w:tcPr>
          <w:p w14:paraId="65091405" w14:textId="77777777" w:rsidR="00817D03" w:rsidRPr="00B275E2" w:rsidRDefault="00817D03" w:rsidP="00F7278D">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275E2">
              <w:t>kg</w:t>
            </w:r>
          </w:p>
        </w:tc>
        <w:tc>
          <w:tcPr>
            <w:tcW w:w="1311" w:type="dxa"/>
            <w:shd w:val="clear" w:color="auto" w:fill="D2DDE1" w:themeFill="background2"/>
            <w:noWrap/>
            <w:hideMark/>
          </w:tcPr>
          <w:p w14:paraId="65091406" w14:textId="0E9398E6" w:rsidR="00817D03" w:rsidRPr="00B275E2" w:rsidRDefault="00CB267B" w:rsidP="00F7278D">
            <w:pPr>
              <w:pStyle w:val="TableText"/>
              <w:spacing w:before="40" w:after="50"/>
              <w:jc w:val="right"/>
              <w:cnfStyle w:val="000000000000" w:firstRow="0" w:lastRow="0" w:firstColumn="0" w:lastColumn="0" w:oddVBand="0" w:evenVBand="0" w:oddHBand="0" w:evenHBand="0" w:firstRowFirstColumn="0" w:firstRowLastColumn="0" w:lastRowFirstColumn="0" w:lastRowLastColumn="0"/>
            </w:pPr>
            <w:r>
              <w:t>1.93</w:t>
            </w:r>
          </w:p>
        </w:tc>
        <w:tc>
          <w:tcPr>
            <w:tcW w:w="1170" w:type="dxa"/>
            <w:noWrap/>
            <w:hideMark/>
          </w:tcPr>
          <w:p w14:paraId="65091407" w14:textId="3B160CE8" w:rsidR="00817D03" w:rsidRPr="00B275E2" w:rsidRDefault="00CB267B" w:rsidP="00F7278D">
            <w:pPr>
              <w:pStyle w:val="TableText"/>
              <w:spacing w:before="40" w:after="50"/>
              <w:jc w:val="right"/>
              <w:cnfStyle w:val="000000000000" w:firstRow="0" w:lastRow="0" w:firstColumn="0" w:lastColumn="0" w:oddVBand="0" w:evenVBand="0" w:oddHBand="0" w:evenHBand="0" w:firstRowFirstColumn="0" w:firstRowLastColumn="0" w:lastRowFirstColumn="0" w:lastRowLastColumn="0"/>
            </w:pPr>
            <w:r>
              <w:t>1.</w:t>
            </w:r>
            <w:r w:rsidR="00401A99">
              <w:t>92</w:t>
            </w:r>
          </w:p>
        </w:tc>
        <w:tc>
          <w:tcPr>
            <w:tcW w:w="1169" w:type="dxa"/>
            <w:noWrap/>
            <w:hideMark/>
          </w:tcPr>
          <w:p w14:paraId="65091408" w14:textId="5F8D461C" w:rsidR="00817D03" w:rsidRPr="00B275E2" w:rsidRDefault="004D7B84" w:rsidP="00F7278D">
            <w:pPr>
              <w:pStyle w:val="TableText"/>
              <w:spacing w:before="40" w:after="50"/>
              <w:jc w:val="right"/>
              <w:cnfStyle w:val="000000000000" w:firstRow="0" w:lastRow="0" w:firstColumn="0" w:lastColumn="0" w:oddVBand="0" w:evenVBand="0" w:oddHBand="0" w:evenHBand="0" w:firstRowFirstColumn="0" w:firstRowLastColumn="0" w:lastRowFirstColumn="0" w:lastRowLastColumn="0"/>
            </w:pPr>
            <w:r w:rsidRPr="00B275E2">
              <w:t>0.</w:t>
            </w:r>
            <w:r w:rsidR="00401A99">
              <w:t>00496</w:t>
            </w:r>
          </w:p>
        </w:tc>
        <w:tc>
          <w:tcPr>
            <w:tcW w:w="1170" w:type="dxa"/>
            <w:noWrap/>
            <w:hideMark/>
          </w:tcPr>
          <w:p w14:paraId="65091409" w14:textId="36C18634" w:rsidR="00817D03" w:rsidRPr="00B275E2" w:rsidRDefault="004D7B84" w:rsidP="00F7278D">
            <w:pPr>
              <w:pStyle w:val="TableText"/>
              <w:spacing w:before="40" w:after="50"/>
              <w:jc w:val="right"/>
              <w:cnfStyle w:val="000000000000" w:firstRow="0" w:lastRow="0" w:firstColumn="0" w:lastColumn="0" w:oddVBand="0" w:evenVBand="0" w:oddHBand="0" w:evenHBand="0" w:firstRowFirstColumn="0" w:firstRowLastColumn="0" w:lastRowFirstColumn="0" w:lastRowLastColumn="0"/>
            </w:pPr>
            <w:r w:rsidRPr="00B275E2">
              <w:t>0.</w:t>
            </w:r>
            <w:r w:rsidR="00B45DB8">
              <w:t>0089</w:t>
            </w:r>
          </w:p>
        </w:tc>
        <w:tc>
          <w:tcPr>
            <w:tcW w:w="1275" w:type="dxa"/>
            <w:noWrap/>
            <w:hideMark/>
          </w:tcPr>
          <w:p w14:paraId="6509140A" w14:textId="77777777" w:rsidR="00817D03" w:rsidRPr="00B275E2" w:rsidRDefault="00817D03" w:rsidP="00F7278D">
            <w:pPr>
              <w:pStyle w:val="TableText"/>
              <w:spacing w:before="40" w:after="50"/>
              <w:jc w:val="right"/>
              <w:cnfStyle w:val="000000000000" w:firstRow="0" w:lastRow="0" w:firstColumn="0" w:lastColumn="0" w:oddVBand="0" w:evenVBand="0" w:oddHBand="0" w:evenHBand="0" w:firstRowFirstColumn="0" w:firstRowLastColumn="0" w:lastRowFirstColumn="0" w:lastRowLastColumn="0"/>
            </w:pPr>
            <w:r w:rsidRPr="00B275E2">
              <w:t>3.5%</w:t>
            </w:r>
          </w:p>
        </w:tc>
      </w:tr>
      <w:tr w:rsidR="00817D03" w:rsidRPr="00B275E2" w14:paraId="65091413" w14:textId="77777777" w:rsidTr="00C12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left w:val="single" w:sz="4" w:space="0" w:color="FFFFFF" w:themeColor="background1"/>
            </w:tcBorders>
            <w:noWrap/>
            <w:hideMark/>
          </w:tcPr>
          <w:p w14:paraId="6509140C" w14:textId="587D2B88" w:rsidR="00817D03" w:rsidRPr="00B275E2" w:rsidRDefault="00817D03" w:rsidP="00F7278D">
            <w:pPr>
              <w:pStyle w:val="TableText"/>
              <w:spacing w:before="40" w:after="50"/>
              <w:rPr>
                <w:b w:val="0"/>
              </w:rPr>
            </w:pPr>
            <w:r w:rsidRPr="00B275E2">
              <w:rPr>
                <w:b w:val="0"/>
              </w:rPr>
              <w:t xml:space="preserve">Coal </w:t>
            </w:r>
            <w:r w:rsidR="00980E54" w:rsidRPr="00B275E2">
              <w:rPr>
                <w:b w:val="0"/>
              </w:rPr>
              <w:t>–</w:t>
            </w:r>
            <w:r w:rsidRPr="00B275E2">
              <w:rPr>
                <w:b w:val="0"/>
              </w:rPr>
              <w:t xml:space="preserve"> </w:t>
            </w:r>
            <w:r w:rsidR="00980E54" w:rsidRPr="00B275E2">
              <w:rPr>
                <w:b w:val="0"/>
              </w:rPr>
              <w:t>b</w:t>
            </w:r>
            <w:r w:rsidRPr="00B275E2">
              <w:rPr>
                <w:b w:val="0"/>
              </w:rPr>
              <w:t>ituminous</w:t>
            </w:r>
          </w:p>
        </w:tc>
        <w:tc>
          <w:tcPr>
            <w:tcW w:w="567" w:type="dxa"/>
            <w:noWrap/>
            <w:hideMark/>
          </w:tcPr>
          <w:p w14:paraId="6509140D" w14:textId="77777777" w:rsidR="00817D03" w:rsidRPr="00B275E2" w:rsidRDefault="00817D03" w:rsidP="00F7278D">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275E2">
              <w:t>kg</w:t>
            </w:r>
          </w:p>
        </w:tc>
        <w:tc>
          <w:tcPr>
            <w:tcW w:w="1311" w:type="dxa"/>
            <w:shd w:val="clear" w:color="auto" w:fill="D2DDE1" w:themeFill="background2"/>
            <w:noWrap/>
            <w:hideMark/>
          </w:tcPr>
          <w:p w14:paraId="6509140E" w14:textId="77777777" w:rsidR="00817D03" w:rsidRPr="00B275E2" w:rsidRDefault="00817D03" w:rsidP="00F7278D">
            <w:pPr>
              <w:pStyle w:val="TableText"/>
              <w:spacing w:before="40" w:after="50"/>
              <w:jc w:val="right"/>
              <w:cnfStyle w:val="000000100000" w:firstRow="0" w:lastRow="0" w:firstColumn="0" w:lastColumn="0" w:oddVBand="0" w:evenVBand="0" w:oddHBand="1" w:evenHBand="0" w:firstRowFirstColumn="0" w:firstRowLastColumn="0" w:lastRowFirstColumn="0" w:lastRowLastColumn="0"/>
            </w:pPr>
            <w:r w:rsidRPr="00B275E2">
              <w:t>2.66</w:t>
            </w:r>
          </w:p>
        </w:tc>
        <w:tc>
          <w:tcPr>
            <w:tcW w:w="1170" w:type="dxa"/>
            <w:noWrap/>
            <w:hideMark/>
          </w:tcPr>
          <w:p w14:paraId="6509140F" w14:textId="77777777" w:rsidR="00817D03" w:rsidRPr="00B275E2" w:rsidRDefault="00817D03" w:rsidP="00F7278D">
            <w:pPr>
              <w:pStyle w:val="TableText"/>
              <w:spacing w:before="40" w:after="50"/>
              <w:jc w:val="right"/>
              <w:cnfStyle w:val="000000100000" w:firstRow="0" w:lastRow="0" w:firstColumn="0" w:lastColumn="0" w:oddVBand="0" w:evenVBand="0" w:oddHBand="1" w:evenHBand="0" w:firstRowFirstColumn="0" w:firstRowLastColumn="0" w:lastRowFirstColumn="0" w:lastRowLastColumn="0"/>
            </w:pPr>
            <w:r w:rsidRPr="00B275E2">
              <w:t>2.64</w:t>
            </w:r>
          </w:p>
        </w:tc>
        <w:tc>
          <w:tcPr>
            <w:tcW w:w="1169" w:type="dxa"/>
            <w:noWrap/>
            <w:hideMark/>
          </w:tcPr>
          <w:p w14:paraId="65091410" w14:textId="77777777" w:rsidR="00817D03" w:rsidRPr="00B275E2" w:rsidRDefault="00817D03" w:rsidP="00F7278D">
            <w:pPr>
              <w:pStyle w:val="TableText"/>
              <w:spacing w:before="40" w:after="50"/>
              <w:jc w:val="right"/>
              <w:cnfStyle w:val="000000100000" w:firstRow="0" w:lastRow="0" w:firstColumn="0" w:lastColumn="0" w:oddVBand="0" w:evenVBand="0" w:oddHBand="1" w:evenHBand="0" w:firstRowFirstColumn="0" w:firstRowLastColumn="0" w:lastRowFirstColumn="0" w:lastRowLastColumn="0"/>
            </w:pPr>
            <w:r w:rsidRPr="00B275E2">
              <w:t>0.00703</w:t>
            </w:r>
          </w:p>
        </w:tc>
        <w:tc>
          <w:tcPr>
            <w:tcW w:w="1170" w:type="dxa"/>
            <w:noWrap/>
            <w:hideMark/>
          </w:tcPr>
          <w:p w14:paraId="65091411" w14:textId="77777777" w:rsidR="00817D03" w:rsidRPr="00B275E2" w:rsidRDefault="00817D03" w:rsidP="00F7278D">
            <w:pPr>
              <w:pStyle w:val="TableText"/>
              <w:spacing w:before="40" w:after="50"/>
              <w:jc w:val="right"/>
              <w:cnfStyle w:val="000000100000" w:firstRow="0" w:lastRow="0" w:firstColumn="0" w:lastColumn="0" w:oddVBand="0" w:evenVBand="0" w:oddHBand="1" w:evenHBand="0" w:firstRowFirstColumn="0" w:firstRowLastColumn="0" w:lastRowFirstColumn="0" w:lastRowLastColumn="0"/>
            </w:pPr>
            <w:r w:rsidRPr="00B275E2">
              <w:t>0.0126</w:t>
            </w:r>
          </w:p>
        </w:tc>
        <w:tc>
          <w:tcPr>
            <w:tcW w:w="1275" w:type="dxa"/>
            <w:tcBorders>
              <w:right w:val="single" w:sz="4" w:space="0" w:color="FFFFFF" w:themeColor="background1"/>
            </w:tcBorders>
            <w:noWrap/>
            <w:hideMark/>
          </w:tcPr>
          <w:p w14:paraId="65091412" w14:textId="77777777" w:rsidR="00817D03" w:rsidRPr="00B275E2" w:rsidRDefault="00817D03" w:rsidP="00F7278D">
            <w:pPr>
              <w:pStyle w:val="TableText"/>
              <w:spacing w:before="40" w:after="50"/>
              <w:jc w:val="right"/>
              <w:cnfStyle w:val="000000100000" w:firstRow="0" w:lastRow="0" w:firstColumn="0" w:lastColumn="0" w:oddVBand="0" w:evenVBand="0" w:oddHBand="1" w:evenHBand="0" w:firstRowFirstColumn="0" w:firstRowLastColumn="0" w:lastRowFirstColumn="0" w:lastRowLastColumn="0"/>
            </w:pPr>
            <w:r w:rsidRPr="00B275E2">
              <w:t>3.5%</w:t>
            </w:r>
          </w:p>
        </w:tc>
      </w:tr>
      <w:tr w:rsidR="00817D03" w:rsidRPr="00B275E2" w14:paraId="6509141B" w14:textId="77777777" w:rsidTr="00A25EE5">
        <w:tc>
          <w:tcPr>
            <w:cnfStyle w:val="001000000000" w:firstRow="0" w:lastRow="0" w:firstColumn="1" w:lastColumn="0" w:oddVBand="0" w:evenVBand="0" w:oddHBand="0" w:evenHBand="0" w:firstRowFirstColumn="0" w:firstRowLastColumn="0" w:lastRowFirstColumn="0" w:lastRowLastColumn="0"/>
            <w:tcW w:w="1843" w:type="dxa"/>
            <w:noWrap/>
            <w:hideMark/>
          </w:tcPr>
          <w:p w14:paraId="65091414" w14:textId="52158EE3" w:rsidR="00817D03" w:rsidRPr="00B275E2" w:rsidRDefault="00817D03" w:rsidP="00F7278D">
            <w:pPr>
              <w:pStyle w:val="TableText"/>
              <w:spacing w:before="40" w:after="50"/>
              <w:rPr>
                <w:b w:val="0"/>
                <w:spacing w:val="-2"/>
              </w:rPr>
            </w:pPr>
            <w:r w:rsidRPr="00B275E2">
              <w:rPr>
                <w:b w:val="0"/>
                <w:spacing w:val="-2"/>
              </w:rPr>
              <w:t xml:space="preserve">Coal </w:t>
            </w:r>
            <w:r w:rsidR="00980E54" w:rsidRPr="00B275E2">
              <w:rPr>
                <w:b w:val="0"/>
                <w:spacing w:val="-2"/>
              </w:rPr>
              <w:t>–</w:t>
            </w:r>
            <w:r w:rsidRPr="00B275E2">
              <w:rPr>
                <w:b w:val="0"/>
                <w:spacing w:val="-2"/>
              </w:rPr>
              <w:t xml:space="preserve"> </w:t>
            </w:r>
            <w:r w:rsidR="00980E54" w:rsidRPr="00B275E2">
              <w:rPr>
                <w:b w:val="0"/>
                <w:spacing w:val="-2"/>
              </w:rPr>
              <w:t>s</w:t>
            </w:r>
            <w:r w:rsidRPr="00B275E2">
              <w:rPr>
                <w:b w:val="0"/>
                <w:spacing w:val="-2"/>
              </w:rPr>
              <w:t>ub-</w:t>
            </w:r>
            <w:r w:rsidR="009279C4" w:rsidRPr="00B275E2">
              <w:rPr>
                <w:b w:val="0"/>
                <w:spacing w:val="-2"/>
              </w:rPr>
              <w:t>b</w:t>
            </w:r>
            <w:r w:rsidRPr="00B275E2">
              <w:rPr>
                <w:b w:val="0"/>
                <w:spacing w:val="-2"/>
              </w:rPr>
              <w:t>ituminous</w:t>
            </w:r>
          </w:p>
        </w:tc>
        <w:tc>
          <w:tcPr>
            <w:tcW w:w="567" w:type="dxa"/>
            <w:noWrap/>
            <w:hideMark/>
          </w:tcPr>
          <w:p w14:paraId="65091415" w14:textId="77777777" w:rsidR="00817D03" w:rsidRPr="00B275E2" w:rsidRDefault="00817D03" w:rsidP="00F7278D">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275E2">
              <w:t>kg</w:t>
            </w:r>
          </w:p>
        </w:tc>
        <w:tc>
          <w:tcPr>
            <w:tcW w:w="1311" w:type="dxa"/>
            <w:shd w:val="clear" w:color="auto" w:fill="D2DDE1" w:themeFill="background2"/>
            <w:noWrap/>
            <w:hideMark/>
          </w:tcPr>
          <w:p w14:paraId="65091416" w14:textId="77777777" w:rsidR="00817D03" w:rsidRPr="00B275E2" w:rsidRDefault="00817D03" w:rsidP="00F7278D">
            <w:pPr>
              <w:pStyle w:val="TableText"/>
              <w:spacing w:before="40" w:after="50"/>
              <w:jc w:val="right"/>
              <w:cnfStyle w:val="000000000000" w:firstRow="0" w:lastRow="0" w:firstColumn="0" w:lastColumn="0" w:oddVBand="0" w:evenVBand="0" w:oddHBand="0" w:evenHBand="0" w:firstRowFirstColumn="0" w:firstRowLastColumn="0" w:lastRowFirstColumn="0" w:lastRowLastColumn="0"/>
            </w:pPr>
            <w:r w:rsidRPr="00B275E2">
              <w:t>2.01</w:t>
            </w:r>
          </w:p>
        </w:tc>
        <w:tc>
          <w:tcPr>
            <w:tcW w:w="1170" w:type="dxa"/>
            <w:noWrap/>
            <w:hideMark/>
          </w:tcPr>
          <w:p w14:paraId="65091417" w14:textId="77777777" w:rsidR="00817D03" w:rsidRPr="00B275E2" w:rsidRDefault="00817D03" w:rsidP="00F7278D">
            <w:pPr>
              <w:pStyle w:val="TableText"/>
              <w:spacing w:before="40" w:after="50"/>
              <w:jc w:val="right"/>
              <w:cnfStyle w:val="000000000000" w:firstRow="0" w:lastRow="0" w:firstColumn="0" w:lastColumn="0" w:oddVBand="0" w:evenVBand="0" w:oddHBand="0" w:evenHBand="0" w:firstRowFirstColumn="0" w:firstRowLastColumn="0" w:lastRowFirstColumn="0" w:lastRowLastColumn="0"/>
            </w:pPr>
            <w:r w:rsidRPr="00B275E2">
              <w:t>1.99</w:t>
            </w:r>
          </w:p>
        </w:tc>
        <w:tc>
          <w:tcPr>
            <w:tcW w:w="1169" w:type="dxa"/>
            <w:noWrap/>
            <w:hideMark/>
          </w:tcPr>
          <w:p w14:paraId="65091418" w14:textId="77777777" w:rsidR="00817D03" w:rsidRPr="00B275E2" w:rsidRDefault="00817D03" w:rsidP="00F7278D">
            <w:pPr>
              <w:pStyle w:val="TableText"/>
              <w:spacing w:before="40" w:after="50"/>
              <w:jc w:val="right"/>
              <w:cnfStyle w:val="000000000000" w:firstRow="0" w:lastRow="0" w:firstColumn="0" w:lastColumn="0" w:oddVBand="0" w:evenVBand="0" w:oddHBand="0" w:evenHBand="0" w:firstRowFirstColumn="0" w:firstRowLastColumn="0" w:lastRowFirstColumn="0" w:lastRowLastColumn="0"/>
            </w:pPr>
            <w:r w:rsidRPr="00B275E2">
              <w:t>0.00514</w:t>
            </w:r>
          </w:p>
        </w:tc>
        <w:tc>
          <w:tcPr>
            <w:tcW w:w="1170" w:type="dxa"/>
            <w:noWrap/>
            <w:hideMark/>
          </w:tcPr>
          <w:p w14:paraId="65091419" w14:textId="77777777" w:rsidR="00817D03" w:rsidRPr="00B275E2" w:rsidRDefault="00817D03" w:rsidP="00F7278D">
            <w:pPr>
              <w:pStyle w:val="TableText"/>
              <w:spacing w:before="40" w:after="50"/>
              <w:jc w:val="right"/>
              <w:cnfStyle w:val="000000000000" w:firstRow="0" w:lastRow="0" w:firstColumn="0" w:lastColumn="0" w:oddVBand="0" w:evenVBand="0" w:oddHBand="0" w:evenHBand="0" w:firstRowFirstColumn="0" w:firstRowLastColumn="0" w:lastRowFirstColumn="0" w:lastRowLastColumn="0"/>
            </w:pPr>
            <w:r w:rsidRPr="00B275E2">
              <w:t>0.00919</w:t>
            </w:r>
          </w:p>
        </w:tc>
        <w:tc>
          <w:tcPr>
            <w:tcW w:w="1275" w:type="dxa"/>
            <w:noWrap/>
            <w:hideMark/>
          </w:tcPr>
          <w:p w14:paraId="6509141A" w14:textId="77777777" w:rsidR="00817D03" w:rsidRPr="00B275E2" w:rsidRDefault="00817D03" w:rsidP="00F7278D">
            <w:pPr>
              <w:pStyle w:val="TableText"/>
              <w:spacing w:before="40" w:after="50"/>
              <w:jc w:val="right"/>
              <w:cnfStyle w:val="000000000000" w:firstRow="0" w:lastRow="0" w:firstColumn="0" w:lastColumn="0" w:oddVBand="0" w:evenVBand="0" w:oddHBand="0" w:evenHBand="0" w:firstRowFirstColumn="0" w:firstRowLastColumn="0" w:lastRowFirstColumn="0" w:lastRowLastColumn="0"/>
            </w:pPr>
            <w:r w:rsidRPr="00B275E2">
              <w:t>3.5%</w:t>
            </w:r>
          </w:p>
        </w:tc>
      </w:tr>
      <w:tr w:rsidR="00817D03" w:rsidRPr="00B275E2" w14:paraId="65091423" w14:textId="77777777" w:rsidTr="00C12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left w:val="single" w:sz="4" w:space="0" w:color="FFFFFF" w:themeColor="background1"/>
            </w:tcBorders>
            <w:noWrap/>
            <w:hideMark/>
          </w:tcPr>
          <w:p w14:paraId="6509141C" w14:textId="582ABA93" w:rsidR="00817D03" w:rsidRPr="00B275E2" w:rsidRDefault="00817D03" w:rsidP="00F7278D">
            <w:pPr>
              <w:pStyle w:val="TableText"/>
              <w:spacing w:before="40" w:after="50"/>
              <w:rPr>
                <w:b w:val="0"/>
              </w:rPr>
            </w:pPr>
            <w:r w:rsidRPr="00B275E2">
              <w:rPr>
                <w:b w:val="0"/>
              </w:rPr>
              <w:t xml:space="preserve">Coal </w:t>
            </w:r>
            <w:r w:rsidR="00980E54" w:rsidRPr="00B275E2">
              <w:rPr>
                <w:b w:val="0"/>
              </w:rPr>
              <w:t>– l</w:t>
            </w:r>
            <w:r w:rsidRPr="00B275E2">
              <w:rPr>
                <w:b w:val="0"/>
              </w:rPr>
              <w:t>ignite</w:t>
            </w:r>
          </w:p>
        </w:tc>
        <w:tc>
          <w:tcPr>
            <w:tcW w:w="567" w:type="dxa"/>
            <w:noWrap/>
            <w:hideMark/>
          </w:tcPr>
          <w:p w14:paraId="6509141D" w14:textId="77777777" w:rsidR="00817D03" w:rsidRPr="00B275E2" w:rsidRDefault="00817D03" w:rsidP="00F7278D">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275E2">
              <w:t>kg</w:t>
            </w:r>
          </w:p>
        </w:tc>
        <w:tc>
          <w:tcPr>
            <w:tcW w:w="1311" w:type="dxa"/>
            <w:shd w:val="clear" w:color="auto" w:fill="D2DDE1" w:themeFill="background2"/>
            <w:noWrap/>
            <w:hideMark/>
          </w:tcPr>
          <w:p w14:paraId="6509141E" w14:textId="77777777" w:rsidR="00817D03" w:rsidRPr="00B275E2" w:rsidRDefault="00817D03" w:rsidP="00F7278D">
            <w:pPr>
              <w:pStyle w:val="TableText"/>
              <w:spacing w:before="40" w:after="50"/>
              <w:jc w:val="right"/>
              <w:cnfStyle w:val="000000100000" w:firstRow="0" w:lastRow="0" w:firstColumn="0" w:lastColumn="0" w:oddVBand="0" w:evenVBand="0" w:oddHBand="1" w:evenHBand="0" w:firstRowFirstColumn="0" w:firstRowLastColumn="0" w:lastRowFirstColumn="0" w:lastRowLastColumn="0"/>
            </w:pPr>
            <w:r w:rsidRPr="00B275E2">
              <w:t>1.43</w:t>
            </w:r>
          </w:p>
        </w:tc>
        <w:tc>
          <w:tcPr>
            <w:tcW w:w="1170" w:type="dxa"/>
            <w:noWrap/>
            <w:hideMark/>
          </w:tcPr>
          <w:p w14:paraId="6509141F" w14:textId="77777777" w:rsidR="00817D03" w:rsidRPr="00B275E2" w:rsidRDefault="00817D03" w:rsidP="00F7278D">
            <w:pPr>
              <w:pStyle w:val="TableText"/>
              <w:spacing w:before="40" w:after="50"/>
              <w:jc w:val="right"/>
              <w:cnfStyle w:val="000000100000" w:firstRow="0" w:lastRow="0" w:firstColumn="0" w:lastColumn="0" w:oddVBand="0" w:evenVBand="0" w:oddHBand="1" w:evenHBand="0" w:firstRowFirstColumn="0" w:firstRowLastColumn="0" w:lastRowFirstColumn="0" w:lastRowLastColumn="0"/>
            </w:pPr>
            <w:r w:rsidRPr="00B275E2">
              <w:t>1.42</w:t>
            </w:r>
          </w:p>
        </w:tc>
        <w:tc>
          <w:tcPr>
            <w:tcW w:w="1169" w:type="dxa"/>
            <w:noWrap/>
            <w:hideMark/>
          </w:tcPr>
          <w:p w14:paraId="65091420" w14:textId="77777777" w:rsidR="00817D03" w:rsidRPr="00B275E2" w:rsidRDefault="00817D03" w:rsidP="00F7278D">
            <w:pPr>
              <w:pStyle w:val="TableText"/>
              <w:spacing w:before="40" w:after="50"/>
              <w:jc w:val="right"/>
              <w:cnfStyle w:val="000000100000" w:firstRow="0" w:lastRow="0" w:firstColumn="0" w:lastColumn="0" w:oddVBand="0" w:evenVBand="0" w:oddHBand="1" w:evenHBand="0" w:firstRowFirstColumn="0" w:firstRowLastColumn="0" w:lastRowFirstColumn="0" w:lastRowLastColumn="0"/>
            </w:pPr>
            <w:r w:rsidRPr="00B275E2">
              <w:t>0.00362</w:t>
            </w:r>
          </w:p>
        </w:tc>
        <w:tc>
          <w:tcPr>
            <w:tcW w:w="1170" w:type="dxa"/>
            <w:noWrap/>
            <w:hideMark/>
          </w:tcPr>
          <w:p w14:paraId="65091421" w14:textId="77777777" w:rsidR="00817D03" w:rsidRPr="00B275E2" w:rsidRDefault="00817D03" w:rsidP="00F7278D">
            <w:pPr>
              <w:pStyle w:val="TableText"/>
              <w:spacing w:before="40" w:after="50"/>
              <w:jc w:val="right"/>
              <w:cnfStyle w:val="000000100000" w:firstRow="0" w:lastRow="0" w:firstColumn="0" w:lastColumn="0" w:oddVBand="0" w:evenVBand="0" w:oddHBand="1" w:evenHBand="0" w:firstRowFirstColumn="0" w:firstRowLastColumn="0" w:lastRowFirstColumn="0" w:lastRowLastColumn="0"/>
            </w:pPr>
            <w:r w:rsidRPr="00B275E2">
              <w:t>0.00648</w:t>
            </w:r>
          </w:p>
        </w:tc>
        <w:tc>
          <w:tcPr>
            <w:tcW w:w="1275" w:type="dxa"/>
            <w:tcBorders>
              <w:right w:val="single" w:sz="4" w:space="0" w:color="FFFFFF" w:themeColor="background1"/>
            </w:tcBorders>
            <w:noWrap/>
            <w:hideMark/>
          </w:tcPr>
          <w:p w14:paraId="65091422" w14:textId="77777777" w:rsidR="00817D03" w:rsidRPr="00B275E2" w:rsidRDefault="00817D03" w:rsidP="00F7278D">
            <w:pPr>
              <w:pStyle w:val="TableText"/>
              <w:spacing w:before="40" w:after="50"/>
              <w:jc w:val="right"/>
              <w:cnfStyle w:val="000000100000" w:firstRow="0" w:lastRow="0" w:firstColumn="0" w:lastColumn="0" w:oddVBand="0" w:evenVBand="0" w:oddHBand="1" w:evenHBand="0" w:firstRowFirstColumn="0" w:firstRowLastColumn="0" w:lastRowFirstColumn="0" w:lastRowLastColumn="0"/>
            </w:pPr>
            <w:r w:rsidRPr="00B275E2">
              <w:t>3.5%</w:t>
            </w:r>
          </w:p>
        </w:tc>
      </w:tr>
      <w:tr w:rsidR="00817D03" w:rsidRPr="00B275E2" w14:paraId="6509142B" w14:textId="77777777" w:rsidTr="00A25EE5">
        <w:tc>
          <w:tcPr>
            <w:cnfStyle w:val="001000000000" w:firstRow="0" w:lastRow="0" w:firstColumn="1" w:lastColumn="0" w:oddVBand="0" w:evenVBand="0" w:oddHBand="0" w:evenHBand="0" w:firstRowFirstColumn="0" w:firstRowLastColumn="0" w:lastRowFirstColumn="0" w:lastRowLastColumn="0"/>
            <w:tcW w:w="1843" w:type="dxa"/>
            <w:noWrap/>
            <w:hideMark/>
          </w:tcPr>
          <w:p w14:paraId="65091424" w14:textId="77777777" w:rsidR="00817D03" w:rsidRPr="00B275E2" w:rsidRDefault="00817D03" w:rsidP="00F7278D">
            <w:pPr>
              <w:pStyle w:val="TableText"/>
              <w:spacing w:before="40" w:after="50"/>
              <w:rPr>
                <w:b w:val="0"/>
              </w:rPr>
            </w:pPr>
            <w:r w:rsidRPr="00B275E2">
              <w:rPr>
                <w:b w:val="0"/>
              </w:rPr>
              <w:t xml:space="preserve">Diesel </w:t>
            </w:r>
          </w:p>
        </w:tc>
        <w:tc>
          <w:tcPr>
            <w:tcW w:w="567" w:type="dxa"/>
            <w:noWrap/>
            <w:hideMark/>
          </w:tcPr>
          <w:p w14:paraId="65091425" w14:textId="77777777" w:rsidR="00817D03" w:rsidRPr="00B275E2" w:rsidRDefault="00817D03" w:rsidP="00F7278D">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275E2">
              <w:t>litre</w:t>
            </w:r>
          </w:p>
        </w:tc>
        <w:tc>
          <w:tcPr>
            <w:tcW w:w="1311" w:type="dxa"/>
            <w:shd w:val="clear" w:color="auto" w:fill="D2DDE1" w:themeFill="background2"/>
            <w:noWrap/>
            <w:hideMark/>
          </w:tcPr>
          <w:p w14:paraId="65091426" w14:textId="77777777" w:rsidR="00817D03" w:rsidRPr="00B275E2" w:rsidRDefault="00817D03" w:rsidP="00F7278D">
            <w:pPr>
              <w:pStyle w:val="TableText"/>
              <w:spacing w:before="40" w:after="50"/>
              <w:jc w:val="right"/>
              <w:cnfStyle w:val="000000000000" w:firstRow="0" w:lastRow="0" w:firstColumn="0" w:lastColumn="0" w:oddVBand="0" w:evenVBand="0" w:oddHBand="0" w:evenHBand="0" w:firstRowFirstColumn="0" w:firstRowLastColumn="0" w:lastRowFirstColumn="0" w:lastRowLastColumn="0"/>
            </w:pPr>
            <w:r w:rsidRPr="00B275E2">
              <w:t>2.66</w:t>
            </w:r>
          </w:p>
        </w:tc>
        <w:tc>
          <w:tcPr>
            <w:tcW w:w="1170" w:type="dxa"/>
            <w:noWrap/>
            <w:hideMark/>
          </w:tcPr>
          <w:p w14:paraId="65091427" w14:textId="77777777" w:rsidR="00817D03" w:rsidRPr="00B275E2" w:rsidRDefault="00817D03" w:rsidP="00F7278D">
            <w:pPr>
              <w:pStyle w:val="TableText"/>
              <w:spacing w:before="40" w:after="50"/>
              <w:jc w:val="right"/>
              <w:cnfStyle w:val="000000000000" w:firstRow="0" w:lastRow="0" w:firstColumn="0" w:lastColumn="0" w:oddVBand="0" w:evenVBand="0" w:oddHBand="0" w:evenHBand="0" w:firstRowFirstColumn="0" w:firstRowLastColumn="0" w:lastRowFirstColumn="0" w:lastRowLastColumn="0"/>
            </w:pPr>
            <w:r w:rsidRPr="00B275E2">
              <w:t>2.65</w:t>
            </w:r>
          </w:p>
        </w:tc>
        <w:tc>
          <w:tcPr>
            <w:tcW w:w="1169" w:type="dxa"/>
            <w:noWrap/>
            <w:hideMark/>
          </w:tcPr>
          <w:p w14:paraId="65091428" w14:textId="77777777" w:rsidR="00817D03" w:rsidRPr="00B275E2" w:rsidRDefault="00817D03" w:rsidP="00F7278D">
            <w:pPr>
              <w:pStyle w:val="TableText"/>
              <w:spacing w:before="40" w:after="50"/>
              <w:jc w:val="right"/>
              <w:cnfStyle w:val="000000000000" w:firstRow="0" w:lastRow="0" w:firstColumn="0" w:lastColumn="0" w:oddVBand="0" w:evenVBand="0" w:oddHBand="0" w:evenHBand="0" w:firstRowFirstColumn="0" w:firstRowLastColumn="0" w:lastRowFirstColumn="0" w:lastRowLastColumn="0"/>
            </w:pPr>
            <w:r w:rsidRPr="00B275E2">
              <w:t>0.00272</w:t>
            </w:r>
          </w:p>
        </w:tc>
        <w:tc>
          <w:tcPr>
            <w:tcW w:w="1170" w:type="dxa"/>
            <w:noWrap/>
            <w:hideMark/>
          </w:tcPr>
          <w:p w14:paraId="65091429" w14:textId="77777777" w:rsidR="00817D03" w:rsidRPr="00B275E2" w:rsidRDefault="00817D03" w:rsidP="00F7278D">
            <w:pPr>
              <w:pStyle w:val="TableText"/>
              <w:spacing w:before="40" w:after="50"/>
              <w:jc w:val="right"/>
              <w:cnfStyle w:val="000000000000" w:firstRow="0" w:lastRow="0" w:firstColumn="0" w:lastColumn="0" w:oddVBand="0" w:evenVBand="0" w:oddHBand="0" w:evenHBand="0" w:firstRowFirstColumn="0" w:firstRowLastColumn="0" w:lastRowFirstColumn="0" w:lastRowLastColumn="0"/>
            </w:pPr>
            <w:r w:rsidRPr="00B275E2">
              <w:t>0.00649</w:t>
            </w:r>
          </w:p>
        </w:tc>
        <w:tc>
          <w:tcPr>
            <w:tcW w:w="1275" w:type="dxa"/>
            <w:noWrap/>
            <w:hideMark/>
          </w:tcPr>
          <w:p w14:paraId="6509142A" w14:textId="77777777" w:rsidR="00817D03" w:rsidRPr="00B275E2" w:rsidRDefault="00817D03" w:rsidP="00F7278D">
            <w:pPr>
              <w:pStyle w:val="TableText"/>
              <w:spacing w:before="40" w:after="50"/>
              <w:jc w:val="right"/>
              <w:cnfStyle w:val="000000000000" w:firstRow="0" w:lastRow="0" w:firstColumn="0" w:lastColumn="0" w:oddVBand="0" w:evenVBand="0" w:oddHBand="0" w:evenHBand="0" w:firstRowFirstColumn="0" w:firstRowLastColumn="0" w:lastRowFirstColumn="0" w:lastRowLastColumn="0"/>
            </w:pPr>
            <w:r w:rsidRPr="00B275E2">
              <w:t>0.5%</w:t>
            </w:r>
          </w:p>
        </w:tc>
      </w:tr>
      <w:tr w:rsidR="00817D03" w:rsidRPr="00B275E2" w14:paraId="65091433" w14:textId="77777777" w:rsidTr="00C12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left w:val="single" w:sz="4" w:space="0" w:color="FFFFFF" w:themeColor="background1"/>
            </w:tcBorders>
            <w:noWrap/>
            <w:hideMark/>
          </w:tcPr>
          <w:p w14:paraId="6509142C" w14:textId="77777777" w:rsidR="00817D03" w:rsidRPr="00B275E2" w:rsidRDefault="00817D03" w:rsidP="00F7278D">
            <w:pPr>
              <w:pStyle w:val="TableText"/>
              <w:spacing w:before="40" w:after="50"/>
              <w:rPr>
                <w:b w:val="0"/>
              </w:rPr>
            </w:pPr>
            <w:r w:rsidRPr="00B275E2">
              <w:rPr>
                <w:b w:val="0"/>
              </w:rPr>
              <w:t>LPG</w:t>
            </w:r>
          </w:p>
        </w:tc>
        <w:tc>
          <w:tcPr>
            <w:tcW w:w="567" w:type="dxa"/>
            <w:noWrap/>
            <w:hideMark/>
          </w:tcPr>
          <w:p w14:paraId="6509142D" w14:textId="77777777" w:rsidR="00817D03" w:rsidRPr="00B275E2" w:rsidRDefault="00817D03" w:rsidP="00F7278D">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275E2">
              <w:t>kg</w:t>
            </w:r>
          </w:p>
        </w:tc>
        <w:tc>
          <w:tcPr>
            <w:tcW w:w="1311" w:type="dxa"/>
            <w:shd w:val="clear" w:color="auto" w:fill="D2DDE1" w:themeFill="background2"/>
            <w:noWrap/>
            <w:hideMark/>
          </w:tcPr>
          <w:p w14:paraId="6509142E" w14:textId="77777777" w:rsidR="00817D03" w:rsidRPr="00B275E2" w:rsidRDefault="00817D03" w:rsidP="00F7278D">
            <w:pPr>
              <w:pStyle w:val="TableText"/>
              <w:spacing w:before="40" w:after="50"/>
              <w:jc w:val="right"/>
              <w:cnfStyle w:val="000000100000" w:firstRow="0" w:lastRow="0" w:firstColumn="0" w:lastColumn="0" w:oddVBand="0" w:evenVBand="0" w:oddHBand="1" w:evenHBand="0" w:firstRowFirstColumn="0" w:firstRowLastColumn="0" w:lastRowFirstColumn="0" w:lastRowLastColumn="0"/>
            </w:pPr>
            <w:r w:rsidRPr="00B275E2">
              <w:t>3.02</w:t>
            </w:r>
          </w:p>
        </w:tc>
        <w:tc>
          <w:tcPr>
            <w:tcW w:w="1170" w:type="dxa"/>
            <w:noWrap/>
            <w:hideMark/>
          </w:tcPr>
          <w:p w14:paraId="6509142F" w14:textId="77777777" w:rsidR="00817D03" w:rsidRPr="00B275E2" w:rsidRDefault="00817D03" w:rsidP="00F7278D">
            <w:pPr>
              <w:pStyle w:val="TableText"/>
              <w:spacing w:before="40" w:after="50"/>
              <w:jc w:val="right"/>
              <w:cnfStyle w:val="000000100000" w:firstRow="0" w:lastRow="0" w:firstColumn="0" w:lastColumn="0" w:oddVBand="0" w:evenVBand="0" w:oddHBand="1" w:evenHBand="0" w:firstRowFirstColumn="0" w:firstRowLastColumn="0" w:lastRowFirstColumn="0" w:lastRowLastColumn="0"/>
            </w:pPr>
            <w:r w:rsidRPr="00B275E2">
              <w:t>3.02</w:t>
            </w:r>
          </w:p>
        </w:tc>
        <w:tc>
          <w:tcPr>
            <w:tcW w:w="1169" w:type="dxa"/>
            <w:noWrap/>
            <w:hideMark/>
          </w:tcPr>
          <w:p w14:paraId="65091430" w14:textId="77777777" w:rsidR="00817D03" w:rsidRPr="00B275E2" w:rsidRDefault="00817D03" w:rsidP="00F7278D">
            <w:pPr>
              <w:pStyle w:val="TableText"/>
              <w:spacing w:before="40" w:after="50"/>
              <w:jc w:val="right"/>
              <w:cnfStyle w:val="000000100000" w:firstRow="0" w:lastRow="0" w:firstColumn="0" w:lastColumn="0" w:oddVBand="0" w:evenVBand="0" w:oddHBand="1" w:evenHBand="0" w:firstRowFirstColumn="0" w:firstRowLastColumn="0" w:lastRowFirstColumn="0" w:lastRowLastColumn="0"/>
            </w:pPr>
            <w:r w:rsidRPr="00B275E2">
              <w:t>0.00119</w:t>
            </w:r>
          </w:p>
        </w:tc>
        <w:tc>
          <w:tcPr>
            <w:tcW w:w="1170" w:type="dxa"/>
            <w:noWrap/>
            <w:hideMark/>
          </w:tcPr>
          <w:p w14:paraId="65091431" w14:textId="77777777" w:rsidR="00817D03" w:rsidRPr="00B275E2" w:rsidRDefault="00817D03" w:rsidP="00F7278D">
            <w:pPr>
              <w:pStyle w:val="TableText"/>
              <w:spacing w:before="40" w:after="50"/>
              <w:jc w:val="right"/>
              <w:cnfStyle w:val="000000100000" w:firstRow="0" w:lastRow="0" w:firstColumn="0" w:lastColumn="0" w:oddVBand="0" w:evenVBand="0" w:oddHBand="1" w:evenHBand="0" w:firstRowFirstColumn="0" w:firstRowLastColumn="0" w:lastRowFirstColumn="0" w:lastRowLastColumn="0"/>
            </w:pPr>
            <w:r w:rsidRPr="00B275E2">
              <w:t>0.00142</w:t>
            </w:r>
          </w:p>
        </w:tc>
        <w:tc>
          <w:tcPr>
            <w:tcW w:w="1275" w:type="dxa"/>
            <w:tcBorders>
              <w:right w:val="single" w:sz="4" w:space="0" w:color="FFFFFF" w:themeColor="background1"/>
            </w:tcBorders>
            <w:noWrap/>
            <w:hideMark/>
          </w:tcPr>
          <w:p w14:paraId="65091432" w14:textId="77777777" w:rsidR="00817D03" w:rsidRPr="00B275E2" w:rsidRDefault="00817D03" w:rsidP="00F7278D">
            <w:pPr>
              <w:pStyle w:val="TableText"/>
              <w:spacing w:before="40" w:after="50"/>
              <w:jc w:val="right"/>
              <w:cnfStyle w:val="000000100000" w:firstRow="0" w:lastRow="0" w:firstColumn="0" w:lastColumn="0" w:oddVBand="0" w:evenVBand="0" w:oddHBand="1" w:evenHBand="0" w:firstRowFirstColumn="0" w:firstRowLastColumn="0" w:lastRowFirstColumn="0" w:lastRowLastColumn="0"/>
            </w:pPr>
            <w:r w:rsidRPr="00B275E2">
              <w:t>0.5%</w:t>
            </w:r>
          </w:p>
        </w:tc>
      </w:tr>
      <w:tr w:rsidR="00817D03" w:rsidRPr="00B275E2" w14:paraId="6509143B" w14:textId="77777777" w:rsidTr="00A25EE5">
        <w:tc>
          <w:tcPr>
            <w:cnfStyle w:val="001000000000" w:firstRow="0" w:lastRow="0" w:firstColumn="1" w:lastColumn="0" w:oddVBand="0" w:evenVBand="0" w:oddHBand="0" w:evenHBand="0" w:firstRowFirstColumn="0" w:firstRowLastColumn="0" w:lastRowFirstColumn="0" w:lastRowLastColumn="0"/>
            <w:tcW w:w="1843" w:type="dxa"/>
            <w:noWrap/>
            <w:hideMark/>
          </w:tcPr>
          <w:p w14:paraId="65091434" w14:textId="5C30C272" w:rsidR="00817D03" w:rsidRPr="00B275E2" w:rsidRDefault="00817D03" w:rsidP="00F7278D">
            <w:pPr>
              <w:pStyle w:val="TableText"/>
              <w:spacing w:before="40" w:after="50"/>
              <w:rPr>
                <w:b w:val="0"/>
              </w:rPr>
            </w:pPr>
            <w:r w:rsidRPr="00B275E2">
              <w:rPr>
                <w:b w:val="0"/>
              </w:rPr>
              <w:t xml:space="preserve">Heavy </w:t>
            </w:r>
            <w:r w:rsidR="00A87561" w:rsidRPr="00B275E2">
              <w:rPr>
                <w:b w:val="0"/>
              </w:rPr>
              <w:t>f</w:t>
            </w:r>
            <w:r w:rsidRPr="00B275E2">
              <w:rPr>
                <w:b w:val="0"/>
              </w:rPr>
              <w:t xml:space="preserve">uel </w:t>
            </w:r>
            <w:r w:rsidR="00A87561" w:rsidRPr="00B275E2">
              <w:rPr>
                <w:b w:val="0"/>
              </w:rPr>
              <w:t>o</w:t>
            </w:r>
            <w:r w:rsidRPr="00B275E2">
              <w:rPr>
                <w:b w:val="0"/>
              </w:rPr>
              <w:t xml:space="preserve">il </w:t>
            </w:r>
          </w:p>
        </w:tc>
        <w:tc>
          <w:tcPr>
            <w:tcW w:w="567" w:type="dxa"/>
            <w:noWrap/>
            <w:hideMark/>
          </w:tcPr>
          <w:p w14:paraId="65091435" w14:textId="77777777" w:rsidR="00817D03" w:rsidRPr="00B275E2" w:rsidRDefault="00817D03" w:rsidP="00F7278D">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275E2">
              <w:t>litre</w:t>
            </w:r>
          </w:p>
        </w:tc>
        <w:tc>
          <w:tcPr>
            <w:tcW w:w="1311" w:type="dxa"/>
            <w:shd w:val="clear" w:color="auto" w:fill="D2DDE1" w:themeFill="background2"/>
            <w:noWrap/>
            <w:hideMark/>
          </w:tcPr>
          <w:p w14:paraId="65091436" w14:textId="77777777" w:rsidR="00817D03" w:rsidRPr="00B275E2" w:rsidRDefault="00817D03" w:rsidP="00F7278D">
            <w:pPr>
              <w:pStyle w:val="TableText"/>
              <w:spacing w:before="40" w:after="50"/>
              <w:jc w:val="right"/>
              <w:cnfStyle w:val="000000000000" w:firstRow="0" w:lastRow="0" w:firstColumn="0" w:lastColumn="0" w:oddVBand="0" w:evenVBand="0" w:oddHBand="0" w:evenHBand="0" w:firstRowFirstColumn="0" w:firstRowLastColumn="0" w:lastRowFirstColumn="0" w:lastRowLastColumn="0"/>
            </w:pPr>
            <w:r w:rsidRPr="00B275E2">
              <w:t>3.02</w:t>
            </w:r>
          </w:p>
        </w:tc>
        <w:tc>
          <w:tcPr>
            <w:tcW w:w="1170" w:type="dxa"/>
            <w:noWrap/>
            <w:hideMark/>
          </w:tcPr>
          <w:p w14:paraId="65091437" w14:textId="77777777" w:rsidR="00817D03" w:rsidRPr="00B275E2" w:rsidRDefault="00817D03" w:rsidP="00F7278D">
            <w:pPr>
              <w:pStyle w:val="TableText"/>
              <w:spacing w:before="40" w:after="50"/>
              <w:jc w:val="right"/>
              <w:cnfStyle w:val="000000000000" w:firstRow="0" w:lastRow="0" w:firstColumn="0" w:lastColumn="0" w:oddVBand="0" w:evenVBand="0" w:oddHBand="0" w:evenHBand="0" w:firstRowFirstColumn="0" w:firstRowLastColumn="0" w:lastRowFirstColumn="0" w:lastRowLastColumn="0"/>
            </w:pPr>
            <w:r w:rsidRPr="00B275E2">
              <w:t>3.01</w:t>
            </w:r>
          </w:p>
        </w:tc>
        <w:tc>
          <w:tcPr>
            <w:tcW w:w="1169" w:type="dxa"/>
            <w:noWrap/>
            <w:hideMark/>
          </w:tcPr>
          <w:p w14:paraId="65091438" w14:textId="77777777" w:rsidR="00817D03" w:rsidRPr="00B275E2" w:rsidRDefault="00817D03" w:rsidP="00F7278D">
            <w:pPr>
              <w:pStyle w:val="TableText"/>
              <w:spacing w:before="40" w:after="50"/>
              <w:jc w:val="right"/>
              <w:cnfStyle w:val="000000000000" w:firstRow="0" w:lastRow="0" w:firstColumn="0" w:lastColumn="0" w:oddVBand="0" w:evenVBand="0" w:oddHBand="0" w:evenHBand="0" w:firstRowFirstColumn="0" w:firstRowLastColumn="0" w:lastRowFirstColumn="0" w:lastRowLastColumn="0"/>
            </w:pPr>
            <w:r w:rsidRPr="00B275E2">
              <w:t>0.00291</w:t>
            </w:r>
          </w:p>
        </w:tc>
        <w:tc>
          <w:tcPr>
            <w:tcW w:w="1170" w:type="dxa"/>
            <w:noWrap/>
            <w:hideMark/>
          </w:tcPr>
          <w:p w14:paraId="65091439" w14:textId="77777777" w:rsidR="00817D03" w:rsidRPr="00B275E2" w:rsidRDefault="00817D03" w:rsidP="00F7278D">
            <w:pPr>
              <w:pStyle w:val="TableText"/>
              <w:spacing w:before="40" w:after="50"/>
              <w:jc w:val="right"/>
              <w:cnfStyle w:val="000000000000" w:firstRow="0" w:lastRow="0" w:firstColumn="0" w:lastColumn="0" w:oddVBand="0" w:evenVBand="0" w:oddHBand="0" w:evenHBand="0" w:firstRowFirstColumn="0" w:firstRowLastColumn="0" w:lastRowFirstColumn="0" w:lastRowLastColumn="0"/>
            </w:pPr>
            <w:r w:rsidRPr="00B275E2">
              <w:t>0.00695</w:t>
            </w:r>
          </w:p>
        </w:tc>
        <w:tc>
          <w:tcPr>
            <w:tcW w:w="1275" w:type="dxa"/>
            <w:noWrap/>
            <w:hideMark/>
          </w:tcPr>
          <w:p w14:paraId="6509143A" w14:textId="77777777" w:rsidR="00817D03" w:rsidRPr="00B275E2" w:rsidRDefault="00817D03" w:rsidP="00F7278D">
            <w:pPr>
              <w:pStyle w:val="TableText"/>
              <w:spacing w:before="40" w:after="50"/>
              <w:jc w:val="right"/>
              <w:cnfStyle w:val="000000000000" w:firstRow="0" w:lastRow="0" w:firstColumn="0" w:lastColumn="0" w:oddVBand="0" w:evenVBand="0" w:oddHBand="0" w:evenHBand="0" w:firstRowFirstColumn="0" w:firstRowLastColumn="0" w:lastRowFirstColumn="0" w:lastRowLastColumn="0"/>
            </w:pPr>
            <w:r w:rsidRPr="00B275E2">
              <w:t>0.5%</w:t>
            </w:r>
          </w:p>
        </w:tc>
      </w:tr>
      <w:tr w:rsidR="00817D03" w:rsidRPr="00B275E2" w14:paraId="65091443" w14:textId="77777777" w:rsidTr="00C12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left w:val="single" w:sz="4" w:space="0" w:color="FFFFFF" w:themeColor="background1"/>
            </w:tcBorders>
            <w:noWrap/>
            <w:hideMark/>
          </w:tcPr>
          <w:p w14:paraId="6509143C" w14:textId="0FBECC5C" w:rsidR="00817D03" w:rsidRPr="00B275E2" w:rsidRDefault="00817D03" w:rsidP="00F7278D">
            <w:pPr>
              <w:pStyle w:val="TableText"/>
              <w:spacing w:before="40" w:after="50"/>
              <w:rPr>
                <w:b w:val="0"/>
              </w:rPr>
            </w:pPr>
            <w:r w:rsidRPr="00B275E2">
              <w:rPr>
                <w:b w:val="0"/>
              </w:rPr>
              <w:t xml:space="preserve">Light </w:t>
            </w:r>
            <w:r w:rsidR="00A87561" w:rsidRPr="00B275E2">
              <w:rPr>
                <w:b w:val="0"/>
              </w:rPr>
              <w:t>f</w:t>
            </w:r>
            <w:r w:rsidRPr="00B275E2">
              <w:rPr>
                <w:b w:val="0"/>
              </w:rPr>
              <w:t xml:space="preserve">uel </w:t>
            </w:r>
            <w:r w:rsidR="00A87561" w:rsidRPr="00B275E2">
              <w:rPr>
                <w:b w:val="0"/>
              </w:rPr>
              <w:t>o</w:t>
            </w:r>
            <w:r w:rsidRPr="00B275E2">
              <w:rPr>
                <w:b w:val="0"/>
              </w:rPr>
              <w:t xml:space="preserve">il </w:t>
            </w:r>
          </w:p>
        </w:tc>
        <w:tc>
          <w:tcPr>
            <w:tcW w:w="567" w:type="dxa"/>
            <w:noWrap/>
            <w:hideMark/>
          </w:tcPr>
          <w:p w14:paraId="6509143D" w14:textId="77777777" w:rsidR="00817D03" w:rsidRPr="00B275E2" w:rsidRDefault="00817D03" w:rsidP="00F7278D">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275E2">
              <w:t>litre</w:t>
            </w:r>
          </w:p>
        </w:tc>
        <w:tc>
          <w:tcPr>
            <w:tcW w:w="1311" w:type="dxa"/>
            <w:shd w:val="clear" w:color="auto" w:fill="D2DDE1" w:themeFill="background2"/>
            <w:noWrap/>
            <w:hideMark/>
          </w:tcPr>
          <w:p w14:paraId="6509143E" w14:textId="77777777" w:rsidR="00817D03" w:rsidRPr="00B275E2" w:rsidRDefault="00817D03" w:rsidP="00F7278D">
            <w:pPr>
              <w:pStyle w:val="TableText"/>
              <w:spacing w:before="40" w:after="50"/>
              <w:jc w:val="right"/>
              <w:cnfStyle w:val="000000100000" w:firstRow="0" w:lastRow="0" w:firstColumn="0" w:lastColumn="0" w:oddVBand="0" w:evenVBand="0" w:oddHBand="1" w:evenHBand="0" w:firstRowFirstColumn="0" w:firstRowLastColumn="0" w:lastRowFirstColumn="0" w:lastRowLastColumn="0"/>
            </w:pPr>
            <w:r w:rsidRPr="00B275E2">
              <w:t>2.92</w:t>
            </w:r>
          </w:p>
        </w:tc>
        <w:tc>
          <w:tcPr>
            <w:tcW w:w="1170" w:type="dxa"/>
            <w:noWrap/>
            <w:hideMark/>
          </w:tcPr>
          <w:p w14:paraId="6509143F" w14:textId="77777777" w:rsidR="00817D03" w:rsidRPr="00B275E2" w:rsidRDefault="00817D03" w:rsidP="00F7278D">
            <w:pPr>
              <w:pStyle w:val="TableText"/>
              <w:spacing w:before="40" w:after="50"/>
              <w:jc w:val="right"/>
              <w:cnfStyle w:val="000000100000" w:firstRow="0" w:lastRow="0" w:firstColumn="0" w:lastColumn="0" w:oddVBand="0" w:evenVBand="0" w:oddHBand="1" w:evenHBand="0" w:firstRowFirstColumn="0" w:firstRowLastColumn="0" w:lastRowFirstColumn="0" w:lastRowLastColumn="0"/>
            </w:pPr>
            <w:r w:rsidRPr="00B275E2">
              <w:t>2.92</w:t>
            </w:r>
          </w:p>
        </w:tc>
        <w:tc>
          <w:tcPr>
            <w:tcW w:w="1169" w:type="dxa"/>
            <w:noWrap/>
            <w:hideMark/>
          </w:tcPr>
          <w:p w14:paraId="65091440" w14:textId="77777777" w:rsidR="00817D03" w:rsidRPr="00B275E2" w:rsidRDefault="00817D03" w:rsidP="00F7278D">
            <w:pPr>
              <w:pStyle w:val="TableText"/>
              <w:spacing w:before="40" w:after="50"/>
              <w:jc w:val="right"/>
              <w:cnfStyle w:val="000000100000" w:firstRow="0" w:lastRow="0" w:firstColumn="0" w:lastColumn="0" w:oddVBand="0" w:evenVBand="0" w:oddHBand="1" w:evenHBand="0" w:firstRowFirstColumn="0" w:firstRowLastColumn="0" w:lastRowFirstColumn="0" w:lastRowLastColumn="0"/>
            </w:pPr>
            <w:r w:rsidRPr="00B275E2">
              <w:t>0.00287</w:t>
            </w:r>
          </w:p>
        </w:tc>
        <w:tc>
          <w:tcPr>
            <w:tcW w:w="1170" w:type="dxa"/>
            <w:noWrap/>
            <w:hideMark/>
          </w:tcPr>
          <w:p w14:paraId="65091441" w14:textId="77777777" w:rsidR="00817D03" w:rsidRPr="00B275E2" w:rsidRDefault="00817D03" w:rsidP="00F7278D">
            <w:pPr>
              <w:pStyle w:val="TableText"/>
              <w:spacing w:before="40" w:after="50"/>
              <w:jc w:val="right"/>
              <w:cnfStyle w:val="000000100000" w:firstRow="0" w:lastRow="0" w:firstColumn="0" w:lastColumn="0" w:oddVBand="0" w:evenVBand="0" w:oddHBand="1" w:evenHBand="0" w:firstRowFirstColumn="0" w:firstRowLastColumn="0" w:lastRowFirstColumn="0" w:lastRowLastColumn="0"/>
            </w:pPr>
            <w:r w:rsidRPr="00B275E2">
              <w:t>0.00685</w:t>
            </w:r>
          </w:p>
        </w:tc>
        <w:tc>
          <w:tcPr>
            <w:tcW w:w="1275" w:type="dxa"/>
            <w:tcBorders>
              <w:right w:val="single" w:sz="4" w:space="0" w:color="FFFFFF" w:themeColor="background1"/>
            </w:tcBorders>
            <w:noWrap/>
            <w:hideMark/>
          </w:tcPr>
          <w:p w14:paraId="65091442" w14:textId="77777777" w:rsidR="00817D03" w:rsidRPr="00B275E2" w:rsidRDefault="00817D03" w:rsidP="00F7278D">
            <w:pPr>
              <w:pStyle w:val="TableText"/>
              <w:spacing w:before="40" w:after="50"/>
              <w:jc w:val="right"/>
              <w:cnfStyle w:val="000000100000" w:firstRow="0" w:lastRow="0" w:firstColumn="0" w:lastColumn="0" w:oddVBand="0" w:evenVBand="0" w:oddHBand="1" w:evenHBand="0" w:firstRowFirstColumn="0" w:firstRowLastColumn="0" w:lastRowFirstColumn="0" w:lastRowLastColumn="0"/>
            </w:pPr>
            <w:r w:rsidRPr="00B275E2">
              <w:t>0.5%</w:t>
            </w:r>
          </w:p>
        </w:tc>
      </w:tr>
      <w:tr w:rsidR="00817D03" w:rsidRPr="00B275E2" w14:paraId="6509144B" w14:textId="77777777" w:rsidTr="00C12ECB">
        <w:tc>
          <w:tcPr>
            <w:cnfStyle w:val="001000000000" w:firstRow="0" w:lastRow="0" w:firstColumn="1" w:lastColumn="0" w:oddVBand="0" w:evenVBand="0" w:oddHBand="0" w:evenHBand="0" w:firstRowFirstColumn="0" w:firstRowLastColumn="0" w:lastRowFirstColumn="0" w:lastRowLastColumn="0"/>
            <w:tcW w:w="1843" w:type="dxa"/>
            <w:vMerge w:val="restart"/>
            <w:tcBorders>
              <w:left w:val="single" w:sz="4" w:space="0" w:color="FFFFFF" w:themeColor="background1"/>
            </w:tcBorders>
            <w:noWrap/>
            <w:hideMark/>
          </w:tcPr>
          <w:p w14:paraId="65091444" w14:textId="636B8DDA" w:rsidR="00817D03" w:rsidRPr="00B275E2" w:rsidRDefault="00817D03" w:rsidP="00F7278D">
            <w:pPr>
              <w:pStyle w:val="TableText"/>
              <w:spacing w:before="40" w:after="50"/>
              <w:rPr>
                <w:b w:val="0"/>
              </w:rPr>
            </w:pPr>
            <w:r w:rsidRPr="00B275E2">
              <w:rPr>
                <w:b w:val="0"/>
              </w:rPr>
              <w:t xml:space="preserve">Natural </w:t>
            </w:r>
            <w:r w:rsidR="00A87561" w:rsidRPr="00B275E2">
              <w:rPr>
                <w:b w:val="0"/>
              </w:rPr>
              <w:t>g</w:t>
            </w:r>
            <w:r w:rsidRPr="00B275E2">
              <w:rPr>
                <w:b w:val="0"/>
              </w:rPr>
              <w:t>as</w:t>
            </w:r>
          </w:p>
        </w:tc>
        <w:tc>
          <w:tcPr>
            <w:tcW w:w="567" w:type="dxa"/>
            <w:noWrap/>
            <w:hideMark/>
          </w:tcPr>
          <w:p w14:paraId="65091445" w14:textId="77777777" w:rsidR="00817D03" w:rsidRPr="00B275E2" w:rsidRDefault="00817D03" w:rsidP="00F7278D">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275E2">
              <w:t>kWh</w:t>
            </w:r>
          </w:p>
        </w:tc>
        <w:tc>
          <w:tcPr>
            <w:tcW w:w="1311" w:type="dxa"/>
            <w:shd w:val="clear" w:color="auto" w:fill="D2DDE1" w:themeFill="background2"/>
            <w:noWrap/>
            <w:hideMark/>
          </w:tcPr>
          <w:p w14:paraId="65091446" w14:textId="77777777" w:rsidR="00817D03" w:rsidRPr="00B275E2" w:rsidRDefault="00817D03" w:rsidP="00F7278D">
            <w:pPr>
              <w:pStyle w:val="TableText"/>
              <w:spacing w:before="40" w:after="50"/>
              <w:jc w:val="right"/>
              <w:cnfStyle w:val="000000000000" w:firstRow="0" w:lastRow="0" w:firstColumn="0" w:lastColumn="0" w:oddVBand="0" w:evenVBand="0" w:oddHBand="0" w:evenHBand="0" w:firstRowFirstColumn="0" w:firstRowLastColumn="0" w:lastRowFirstColumn="0" w:lastRowLastColumn="0"/>
            </w:pPr>
            <w:r w:rsidRPr="00B275E2">
              <w:t>0.194</w:t>
            </w:r>
          </w:p>
        </w:tc>
        <w:tc>
          <w:tcPr>
            <w:tcW w:w="1170" w:type="dxa"/>
            <w:noWrap/>
            <w:hideMark/>
          </w:tcPr>
          <w:p w14:paraId="65091447" w14:textId="77777777" w:rsidR="00817D03" w:rsidRPr="00B275E2" w:rsidRDefault="00817D03" w:rsidP="00F7278D">
            <w:pPr>
              <w:pStyle w:val="TableText"/>
              <w:spacing w:before="40" w:after="50"/>
              <w:jc w:val="right"/>
              <w:cnfStyle w:val="000000000000" w:firstRow="0" w:lastRow="0" w:firstColumn="0" w:lastColumn="0" w:oddVBand="0" w:evenVBand="0" w:oddHBand="0" w:evenHBand="0" w:firstRowFirstColumn="0" w:firstRowLastColumn="0" w:lastRowFirstColumn="0" w:lastRowLastColumn="0"/>
            </w:pPr>
            <w:r w:rsidRPr="00B275E2">
              <w:t>0.194</w:t>
            </w:r>
          </w:p>
        </w:tc>
        <w:tc>
          <w:tcPr>
            <w:tcW w:w="1169" w:type="dxa"/>
            <w:noWrap/>
            <w:hideMark/>
          </w:tcPr>
          <w:p w14:paraId="65091448" w14:textId="77777777" w:rsidR="00817D03" w:rsidRPr="00B275E2" w:rsidRDefault="00817D03" w:rsidP="00F7278D">
            <w:pPr>
              <w:pStyle w:val="TableText"/>
              <w:spacing w:before="40" w:after="50"/>
              <w:jc w:val="right"/>
              <w:cnfStyle w:val="000000000000" w:firstRow="0" w:lastRow="0" w:firstColumn="0" w:lastColumn="0" w:oddVBand="0" w:evenVBand="0" w:oddHBand="0" w:evenHBand="0" w:firstRowFirstColumn="0" w:firstRowLastColumn="0" w:lastRowFirstColumn="0" w:lastRowLastColumn="0"/>
            </w:pPr>
            <w:r w:rsidRPr="00B275E2">
              <w:t>0.0000810</w:t>
            </w:r>
          </w:p>
        </w:tc>
        <w:tc>
          <w:tcPr>
            <w:tcW w:w="1170" w:type="dxa"/>
            <w:noWrap/>
            <w:hideMark/>
          </w:tcPr>
          <w:p w14:paraId="65091449" w14:textId="77777777" w:rsidR="00817D03" w:rsidRPr="00B275E2" w:rsidRDefault="00817D03" w:rsidP="00F7278D">
            <w:pPr>
              <w:pStyle w:val="TableText"/>
              <w:spacing w:before="40" w:after="50"/>
              <w:jc w:val="right"/>
              <w:cnfStyle w:val="000000000000" w:firstRow="0" w:lastRow="0" w:firstColumn="0" w:lastColumn="0" w:oddVBand="0" w:evenVBand="0" w:oddHBand="0" w:evenHBand="0" w:firstRowFirstColumn="0" w:firstRowLastColumn="0" w:lastRowFirstColumn="0" w:lastRowLastColumn="0"/>
            </w:pPr>
            <w:r w:rsidRPr="00B275E2">
              <w:t>0.0000966</w:t>
            </w:r>
          </w:p>
        </w:tc>
        <w:tc>
          <w:tcPr>
            <w:tcW w:w="1275" w:type="dxa"/>
            <w:noWrap/>
            <w:hideMark/>
          </w:tcPr>
          <w:p w14:paraId="6509144A" w14:textId="77777777" w:rsidR="00817D03" w:rsidRPr="00B275E2" w:rsidRDefault="00817D03" w:rsidP="00F7278D">
            <w:pPr>
              <w:pStyle w:val="TableText"/>
              <w:spacing w:before="40" w:after="50"/>
              <w:jc w:val="right"/>
              <w:cnfStyle w:val="000000000000" w:firstRow="0" w:lastRow="0" w:firstColumn="0" w:lastColumn="0" w:oddVBand="0" w:evenVBand="0" w:oddHBand="0" w:evenHBand="0" w:firstRowFirstColumn="0" w:firstRowLastColumn="0" w:lastRowFirstColumn="0" w:lastRowLastColumn="0"/>
            </w:pPr>
            <w:r w:rsidRPr="00B275E2">
              <w:t>2.4%</w:t>
            </w:r>
          </w:p>
        </w:tc>
      </w:tr>
      <w:tr w:rsidR="00817D03" w:rsidRPr="00B275E2" w14:paraId="65091453" w14:textId="77777777" w:rsidTr="00C12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Borders>
              <w:left w:val="single" w:sz="4" w:space="0" w:color="FFFFFF" w:themeColor="background1"/>
            </w:tcBorders>
            <w:hideMark/>
          </w:tcPr>
          <w:p w14:paraId="6509144C" w14:textId="77777777" w:rsidR="00817D03" w:rsidRPr="00B275E2" w:rsidRDefault="00817D03" w:rsidP="00F7278D">
            <w:pPr>
              <w:pStyle w:val="TableText"/>
              <w:spacing w:before="40" w:after="50"/>
              <w:rPr>
                <w:b w:val="0"/>
              </w:rPr>
            </w:pPr>
          </w:p>
        </w:tc>
        <w:tc>
          <w:tcPr>
            <w:tcW w:w="567" w:type="dxa"/>
            <w:noWrap/>
            <w:hideMark/>
          </w:tcPr>
          <w:p w14:paraId="6509144D" w14:textId="77777777" w:rsidR="00817D03" w:rsidRPr="00B275E2" w:rsidRDefault="00817D03" w:rsidP="00F7278D">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275E2">
              <w:t>GJ</w:t>
            </w:r>
          </w:p>
        </w:tc>
        <w:tc>
          <w:tcPr>
            <w:tcW w:w="1311" w:type="dxa"/>
            <w:shd w:val="clear" w:color="auto" w:fill="D2DDE1" w:themeFill="background2"/>
            <w:noWrap/>
            <w:hideMark/>
          </w:tcPr>
          <w:p w14:paraId="6509144E" w14:textId="77777777" w:rsidR="00817D03" w:rsidRPr="00B275E2" w:rsidRDefault="00817D03" w:rsidP="00F7278D">
            <w:pPr>
              <w:pStyle w:val="TableText"/>
              <w:spacing w:before="40" w:after="50"/>
              <w:jc w:val="right"/>
              <w:cnfStyle w:val="000000100000" w:firstRow="0" w:lastRow="0" w:firstColumn="0" w:lastColumn="0" w:oddVBand="0" w:evenVBand="0" w:oddHBand="1" w:evenHBand="0" w:firstRowFirstColumn="0" w:firstRowLastColumn="0" w:lastRowFirstColumn="0" w:lastRowLastColumn="0"/>
            </w:pPr>
            <w:r w:rsidRPr="00B275E2">
              <w:t>54.0</w:t>
            </w:r>
          </w:p>
        </w:tc>
        <w:tc>
          <w:tcPr>
            <w:tcW w:w="1170" w:type="dxa"/>
            <w:noWrap/>
            <w:hideMark/>
          </w:tcPr>
          <w:p w14:paraId="6509144F" w14:textId="77777777" w:rsidR="00817D03" w:rsidRPr="00B275E2" w:rsidRDefault="00817D03" w:rsidP="00F7278D">
            <w:pPr>
              <w:pStyle w:val="TableText"/>
              <w:spacing w:before="40" w:after="50"/>
              <w:jc w:val="right"/>
              <w:cnfStyle w:val="000000100000" w:firstRow="0" w:lastRow="0" w:firstColumn="0" w:lastColumn="0" w:oddVBand="0" w:evenVBand="0" w:oddHBand="1" w:evenHBand="0" w:firstRowFirstColumn="0" w:firstRowLastColumn="0" w:lastRowFirstColumn="0" w:lastRowLastColumn="0"/>
            </w:pPr>
            <w:r w:rsidRPr="00B275E2">
              <w:t>54.0</w:t>
            </w:r>
          </w:p>
        </w:tc>
        <w:tc>
          <w:tcPr>
            <w:tcW w:w="1169" w:type="dxa"/>
            <w:noWrap/>
            <w:hideMark/>
          </w:tcPr>
          <w:p w14:paraId="65091450" w14:textId="77777777" w:rsidR="00817D03" w:rsidRPr="00B275E2" w:rsidRDefault="00817D03" w:rsidP="00F7278D">
            <w:pPr>
              <w:pStyle w:val="TableText"/>
              <w:spacing w:before="40" w:after="50"/>
              <w:jc w:val="right"/>
              <w:cnfStyle w:val="000000100000" w:firstRow="0" w:lastRow="0" w:firstColumn="0" w:lastColumn="0" w:oddVBand="0" w:evenVBand="0" w:oddHBand="1" w:evenHBand="0" w:firstRowFirstColumn="0" w:firstRowLastColumn="0" w:lastRowFirstColumn="0" w:lastRowLastColumn="0"/>
            </w:pPr>
            <w:r w:rsidRPr="00B275E2">
              <w:t>0.0225</w:t>
            </w:r>
          </w:p>
        </w:tc>
        <w:tc>
          <w:tcPr>
            <w:tcW w:w="1170" w:type="dxa"/>
            <w:noWrap/>
            <w:hideMark/>
          </w:tcPr>
          <w:p w14:paraId="65091451" w14:textId="77777777" w:rsidR="00817D03" w:rsidRPr="00B275E2" w:rsidRDefault="00817D03" w:rsidP="00F7278D">
            <w:pPr>
              <w:pStyle w:val="TableText"/>
              <w:spacing w:before="40" w:after="50"/>
              <w:jc w:val="right"/>
              <w:cnfStyle w:val="000000100000" w:firstRow="0" w:lastRow="0" w:firstColumn="0" w:lastColumn="0" w:oddVBand="0" w:evenVBand="0" w:oddHBand="1" w:evenHBand="0" w:firstRowFirstColumn="0" w:firstRowLastColumn="0" w:lastRowFirstColumn="0" w:lastRowLastColumn="0"/>
            </w:pPr>
            <w:r w:rsidRPr="00B275E2">
              <w:t>0.0268</w:t>
            </w:r>
          </w:p>
        </w:tc>
        <w:tc>
          <w:tcPr>
            <w:tcW w:w="1275" w:type="dxa"/>
            <w:tcBorders>
              <w:right w:val="single" w:sz="4" w:space="0" w:color="FFFFFF" w:themeColor="background1"/>
            </w:tcBorders>
            <w:noWrap/>
            <w:hideMark/>
          </w:tcPr>
          <w:p w14:paraId="65091452" w14:textId="77777777" w:rsidR="00817D03" w:rsidRPr="00B275E2" w:rsidRDefault="00817D03" w:rsidP="00F7278D">
            <w:pPr>
              <w:pStyle w:val="TableText"/>
              <w:spacing w:before="40" w:after="50"/>
              <w:jc w:val="right"/>
              <w:cnfStyle w:val="000000100000" w:firstRow="0" w:lastRow="0" w:firstColumn="0" w:lastColumn="0" w:oddVBand="0" w:evenVBand="0" w:oddHBand="1" w:evenHBand="0" w:firstRowFirstColumn="0" w:firstRowLastColumn="0" w:lastRowFirstColumn="0" w:lastRowLastColumn="0"/>
            </w:pPr>
            <w:r w:rsidRPr="00B275E2">
              <w:t>2.4%</w:t>
            </w:r>
          </w:p>
        </w:tc>
      </w:tr>
    </w:tbl>
    <w:p w14:paraId="321A3D43" w14:textId="34D4C495" w:rsidR="0041106E" w:rsidRPr="00B275E2" w:rsidRDefault="0041106E" w:rsidP="007F0B1E">
      <w:pPr>
        <w:pStyle w:val="Note"/>
        <w:spacing w:after="60"/>
      </w:pPr>
      <w:bookmarkStart w:id="129" w:name="_Hlk532730916"/>
      <w:r w:rsidRPr="00B275E2">
        <w:t xml:space="preserve">Notes </w:t>
      </w:r>
    </w:p>
    <w:p w14:paraId="33DB1580" w14:textId="2F51383C" w:rsidR="0022416C" w:rsidRPr="00B275E2" w:rsidRDefault="0022416C" w:rsidP="00C24B73">
      <w:pPr>
        <w:pStyle w:val="Note"/>
        <w:numPr>
          <w:ilvl w:val="0"/>
          <w:numId w:val="46"/>
        </w:numPr>
        <w:spacing w:before="0" w:after="60"/>
        <w:ind w:left="284" w:hanging="284"/>
        <w:rPr>
          <w:szCs w:val="18"/>
        </w:rPr>
      </w:pPr>
      <w:r w:rsidRPr="00B275E2">
        <w:rPr>
          <w:szCs w:val="18"/>
        </w:rPr>
        <w:t>These numbers are rounded to three significant</w:t>
      </w:r>
      <w:r w:rsidR="00EB1F84" w:rsidRPr="00B275E2">
        <w:rPr>
          <w:szCs w:val="18"/>
        </w:rPr>
        <w:t xml:space="preserve"> figures</w:t>
      </w:r>
      <w:r w:rsidRPr="00B275E2">
        <w:rPr>
          <w:szCs w:val="18"/>
        </w:rPr>
        <w:t>.</w:t>
      </w:r>
    </w:p>
    <w:p w14:paraId="33ACF055" w14:textId="27288801" w:rsidR="0041106E" w:rsidRPr="00B275E2" w:rsidRDefault="0041106E" w:rsidP="00C24B73">
      <w:pPr>
        <w:pStyle w:val="Note"/>
        <w:numPr>
          <w:ilvl w:val="0"/>
          <w:numId w:val="46"/>
        </w:numPr>
        <w:spacing w:before="0" w:after="60"/>
        <w:ind w:left="284" w:hanging="284"/>
        <w:rPr>
          <w:szCs w:val="18"/>
        </w:rPr>
      </w:pPr>
      <w:r w:rsidRPr="00B275E2">
        <w:rPr>
          <w:szCs w:val="18"/>
        </w:rPr>
        <w:t xml:space="preserve">Commercial and industrial classifications are based on standard </w:t>
      </w:r>
      <w:r w:rsidR="008760C6" w:rsidRPr="00B275E2">
        <w:rPr>
          <w:szCs w:val="18"/>
        </w:rPr>
        <w:t>classi</w:t>
      </w:r>
      <w:r w:rsidR="00E813CC" w:rsidRPr="00B275E2">
        <w:rPr>
          <w:szCs w:val="18"/>
        </w:rPr>
        <w:t>f</w:t>
      </w:r>
      <w:r w:rsidR="008760C6" w:rsidRPr="00B275E2">
        <w:rPr>
          <w:szCs w:val="18"/>
        </w:rPr>
        <w:t>i</w:t>
      </w:r>
      <w:r w:rsidR="00E813CC" w:rsidRPr="00B275E2">
        <w:rPr>
          <w:szCs w:val="18"/>
        </w:rPr>
        <w:t>c</w:t>
      </w:r>
      <w:r w:rsidR="008760C6" w:rsidRPr="00B275E2">
        <w:rPr>
          <w:szCs w:val="18"/>
        </w:rPr>
        <w:t>atio</w:t>
      </w:r>
      <w:r w:rsidR="008760C6" w:rsidRPr="00B275E2">
        <w:rPr>
          <w:rFonts w:cs="Calibri"/>
          <w:szCs w:val="18"/>
        </w:rPr>
        <w:t>n</w:t>
      </w:r>
      <w:r w:rsidR="00E31F04" w:rsidRPr="00B275E2">
        <w:rPr>
          <w:rFonts w:cs="Calibri"/>
          <w:szCs w:val="18"/>
        </w:rPr>
        <w:t>.</w:t>
      </w:r>
      <w:r w:rsidRPr="00B275E2">
        <w:rPr>
          <w:rStyle w:val="FootnoteReference"/>
          <w:rFonts w:cs="Calibri"/>
          <w:sz w:val="18"/>
          <w:szCs w:val="18"/>
        </w:rPr>
        <w:footnoteReference w:id="21"/>
      </w:r>
    </w:p>
    <w:p w14:paraId="0C8CC12D" w14:textId="1C2C777F" w:rsidR="0041106E" w:rsidRPr="00B275E2" w:rsidRDefault="00E31F04" w:rsidP="00C24B73">
      <w:pPr>
        <w:pStyle w:val="Note"/>
        <w:numPr>
          <w:ilvl w:val="0"/>
          <w:numId w:val="46"/>
        </w:numPr>
        <w:spacing w:before="0" w:after="60"/>
        <w:ind w:left="284" w:hanging="284"/>
        <w:rPr>
          <w:szCs w:val="18"/>
        </w:rPr>
      </w:pPr>
      <w:r w:rsidRPr="00B275E2">
        <w:rPr>
          <w:szCs w:val="18"/>
        </w:rPr>
        <w:t>Use t</w:t>
      </w:r>
      <w:r w:rsidR="0041106E" w:rsidRPr="00B275E2">
        <w:rPr>
          <w:szCs w:val="18"/>
        </w:rPr>
        <w:t xml:space="preserve">he default coal emission factor if it is not possible to identify the type of coal. </w:t>
      </w:r>
    </w:p>
    <w:p w14:paraId="556F4C0E" w14:textId="62B1E1B3" w:rsidR="00405261" w:rsidRPr="00B275E2" w:rsidRDefault="00E31F04" w:rsidP="00C24B73">
      <w:pPr>
        <w:pStyle w:val="Note"/>
        <w:numPr>
          <w:ilvl w:val="0"/>
          <w:numId w:val="46"/>
        </w:numPr>
        <w:spacing w:before="0" w:after="60"/>
        <w:ind w:left="284" w:hanging="284"/>
      </w:pPr>
      <w:r w:rsidRPr="00B275E2">
        <w:rPr>
          <w:szCs w:val="18"/>
        </w:rPr>
        <w:t xml:space="preserve">Convert </w:t>
      </w:r>
      <w:r w:rsidR="0041106E" w:rsidRPr="00B275E2">
        <w:rPr>
          <w:szCs w:val="18"/>
        </w:rPr>
        <w:t>LPG-use data in litres to kilograms by multiplying by the specific gravity of 0.536 kg/litre.</w:t>
      </w:r>
      <w:bookmarkEnd w:id="129"/>
    </w:p>
    <w:p w14:paraId="7E89668F" w14:textId="717F63C8" w:rsidR="0041106E" w:rsidRPr="00B275E2" w:rsidRDefault="00301928" w:rsidP="006B7605">
      <w:pPr>
        <w:pStyle w:val="Heading3"/>
      </w:pPr>
      <w:bookmarkStart w:id="130" w:name="_Toc532904856"/>
      <w:r w:rsidRPr="00B275E2">
        <w:t xml:space="preserve">GHG </w:t>
      </w:r>
      <w:r w:rsidR="0041106E" w:rsidRPr="00B275E2">
        <w:t>inventory development</w:t>
      </w:r>
      <w:bookmarkEnd w:id="130"/>
    </w:p>
    <w:p w14:paraId="7830745B" w14:textId="54668E84" w:rsidR="0041106E" w:rsidRPr="00B275E2" w:rsidRDefault="0041106E" w:rsidP="00E732A7">
      <w:pPr>
        <w:pStyle w:val="BodyText"/>
      </w:pPr>
      <w:r w:rsidRPr="00B275E2">
        <w:t xml:space="preserve">To calculate stationary combustion fuel emissions, collect data on the quantity of fuel used in the unit expressed. </w:t>
      </w:r>
      <w:bookmarkStart w:id="131" w:name="_Hlk532730909"/>
      <w:r w:rsidR="00055A0C" w:rsidRPr="00B275E2">
        <w:t>Applying</w:t>
      </w:r>
      <w:r w:rsidRPr="00B275E2">
        <w:t xml:space="preserve"> the equation </w:t>
      </w:r>
      <w:r w:rsidR="00A71EB9" w:rsidRPr="00B275E2">
        <w:t>E=Q x F (</w:t>
      </w:r>
      <w:hyperlink w:anchor="_How_to_quantify" w:history="1">
        <w:r w:rsidR="00376C5F" w:rsidRPr="00B275E2">
          <w:rPr>
            <w:rStyle w:val="Hyperlink"/>
          </w:rPr>
          <w:t>section 2</w:t>
        </w:r>
      </w:hyperlink>
      <w:r w:rsidR="00A71EB9" w:rsidRPr="00B275E2">
        <w:rPr>
          <w:rStyle w:val="Hyperlink"/>
          <w:color w:val="auto"/>
        </w:rPr>
        <w:t>)</w:t>
      </w:r>
      <w:r w:rsidR="00055A0C" w:rsidRPr="00B275E2">
        <w:t>,</w:t>
      </w:r>
      <w:r w:rsidRPr="00B275E2">
        <w:t xml:space="preserve"> </w:t>
      </w:r>
      <w:r w:rsidR="00055A0C" w:rsidRPr="00B275E2">
        <w:t>this means</w:t>
      </w:r>
      <w:r w:rsidRPr="00B275E2">
        <w:t>:</w:t>
      </w:r>
    </w:p>
    <w:p w14:paraId="6EE29FBF" w14:textId="7B772689" w:rsidR="00A71EB9" w:rsidRPr="00B275E2" w:rsidRDefault="00A71EB9" w:rsidP="00E732A7">
      <w:pPr>
        <w:pStyle w:val="BodyText"/>
        <w:tabs>
          <w:tab w:val="left" w:pos="567"/>
          <w:tab w:val="left" w:pos="993"/>
        </w:tabs>
        <w:contextualSpacing/>
      </w:pPr>
      <w:r w:rsidRPr="00B275E2">
        <w:t>E</w:t>
      </w:r>
      <w:r w:rsidRPr="00B275E2">
        <w:tab/>
        <w:t>=</w:t>
      </w:r>
      <w:r w:rsidRPr="00B275E2">
        <w:tab/>
        <w:t>emissions from the emissions source in kg CO</w:t>
      </w:r>
      <w:r w:rsidRPr="00B275E2">
        <w:rPr>
          <w:vertAlign w:val="subscript"/>
        </w:rPr>
        <w:t>2</w:t>
      </w:r>
      <w:r w:rsidRPr="00B275E2">
        <w:t>-e per year</w:t>
      </w:r>
    </w:p>
    <w:p w14:paraId="75ECC35D" w14:textId="03CCF741" w:rsidR="0041106E" w:rsidRPr="00B275E2" w:rsidRDefault="00C87034" w:rsidP="00E732A7">
      <w:pPr>
        <w:pStyle w:val="BodyText"/>
        <w:tabs>
          <w:tab w:val="left" w:pos="567"/>
          <w:tab w:val="left" w:pos="993"/>
        </w:tabs>
        <w:contextualSpacing/>
      </w:pPr>
      <w:r w:rsidRPr="00B275E2">
        <w:t>Q</w:t>
      </w:r>
      <w:r w:rsidRPr="00B275E2">
        <w:tab/>
      </w:r>
      <w:r w:rsidR="0041106E" w:rsidRPr="00B275E2">
        <w:t>=</w:t>
      </w:r>
      <w:r w:rsidRPr="00B275E2">
        <w:tab/>
      </w:r>
      <w:r w:rsidR="0041106E" w:rsidRPr="00B275E2">
        <w:t>quantity of fuel used (unit)</w:t>
      </w:r>
    </w:p>
    <w:p w14:paraId="170FADD0" w14:textId="0D7CA118" w:rsidR="0041106E" w:rsidRPr="00B275E2" w:rsidRDefault="00C87034" w:rsidP="00E732A7">
      <w:pPr>
        <w:pStyle w:val="BodyText"/>
        <w:tabs>
          <w:tab w:val="left" w:pos="567"/>
          <w:tab w:val="left" w:pos="993"/>
        </w:tabs>
        <w:contextualSpacing/>
      </w:pPr>
      <w:r w:rsidRPr="00B275E2">
        <w:t>F</w:t>
      </w:r>
      <w:r w:rsidRPr="00B275E2">
        <w:tab/>
        <w:t>=</w:t>
      </w:r>
      <w:r w:rsidRPr="00B275E2">
        <w:tab/>
      </w:r>
      <w:r w:rsidR="0041106E" w:rsidRPr="00B275E2">
        <w:t>appropriate emission factors from</w:t>
      </w:r>
      <w:r w:rsidR="002E1293" w:rsidRPr="00B275E2">
        <w:t xml:space="preserve"> </w:t>
      </w:r>
      <w:hyperlink w:anchor="table3" w:history="1">
        <w:r w:rsidR="00124E50" w:rsidRPr="00B275E2">
          <w:rPr>
            <w:rStyle w:val="Hyperlink"/>
          </w:rPr>
          <w:t>table 3</w:t>
        </w:r>
      </w:hyperlink>
      <w:r w:rsidR="00526F22" w:rsidRPr="00B275E2">
        <w:rPr>
          <w:rStyle w:val="Hyperlink"/>
          <w:color w:val="auto"/>
        </w:rPr>
        <w:t>.</w:t>
      </w:r>
    </w:p>
    <w:tbl>
      <w:tblPr>
        <w:tblpPr w:leftFromText="180" w:rightFromText="180" w:vertAnchor="text" w:horzAnchor="margin" w:tblpY="893"/>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0"/>
      </w:tblGrid>
      <w:tr w:rsidR="0068533B" w:rsidRPr="00B275E2" w:rsidDel="00D5390D" w14:paraId="632213FB" w14:textId="77777777" w:rsidTr="0068533B">
        <w:tc>
          <w:tcPr>
            <w:tcW w:w="8500" w:type="dxa"/>
            <w:tcBorders>
              <w:top w:val="single" w:sz="4" w:space="0" w:color="0F7B7D"/>
              <w:left w:val="single" w:sz="4" w:space="0" w:color="0F7B7D"/>
              <w:bottom w:val="nil"/>
              <w:right w:val="single" w:sz="4" w:space="0" w:color="0F7B7D"/>
            </w:tcBorders>
            <w:shd w:val="clear" w:color="auto" w:fill="0F7B7D"/>
            <w:vAlign w:val="center"/>
          </w:tcPr>
          <w:p w14:paraId="529CC443" w14:textId="77777777" w:rsidR="0068533B" w:rsidRPr="00B275E2" w:rsidDel="00D5390D" w:rsidRDefault="0068533B" w:rsidP="0068533B">
            <w:pPr>
              <w:pStyle w:val="Casestudyheading"/>
            </w:pPr>
            <w:bookmarkStart w:id="132" w:name="_Hlk532556830"/>
            <w:bookmarkEnd w:id="131"/>
            <w:r w:rsidRPr="00B275E2">
              <w:t>STATIONARY COMBUSTION: Example Calculation</w:t>
            </w:r>
          </w:p>
        </w:tc>
      </w:tr>
      <w:tr w:rsidR="0068533B" w:rsidRPr="00B275E2" w14:paraId="0AC48790" w14:textId="77777777" w:rsidTr="0068533B">
        <w:tc>
          <w:tcPr>
            <w:tcW w:w="8500" w:type="dxa"/>
            <w:tcBorders>
              <w:top w:val="nil"/>
              <w:left w:val="single" w:sz="4" w:space="0" w:color="D5EBE8" w:themeColor="accent3"/>
              <w:bottom w:val="single" w:sz="4" w:space="0" w:color="D5EBE8" w:themeColor="accent3"/>
              <w:right w:val="single" w:sz="4" w:space="0" w:color="D5EBE8" w:themeColor="accent3"/>
            </w:tcBorders>
            <w:shd w:val="clear" w:color="auto" w:fill="D5EBE8" w:themeFill="accent3"/>
          </w:tcPr>
          <w:p w14:paraId="2D6575A0" w14:textId="77777777" w:rsidR="0068533B" w:rsidRPr="00B275E2" w:rsidRDefault="0068533B" w:rsidP="0068533B">
            <w:pPr>
              <w:pStyle w:val="Boxtext"/>
            </w:pPr>
            <w:r w:rsidRPr="00B275E2">
              <w:t xml:space="preserve">An organisation uses 1400 kg of LPG to heat an office building in the reporting year. </w:t>
            </w:r>
          </w:p>
          <w:p w14:paraId="285E551E" w14:textId="77777777" w:rsidR="0068533B" w:rsidRPr="00B275E2" w:rsidRDefault="0068533B" w:rsidP="0068533B">
            <w:pPr>
              <w:pStyle w:val="Boxtext"/>
              <w:tabs>
                <w:tab w:val="left" w:pos="2921"/>
                <w:tab w:val="left" w:pos="4619"/>
              </w:tabs>
              <w:spacing w:before="20" w:after="20"/>
              <w:ind w:left="850"/>
            </w:pPr>
            <w:r w:rsidRPr="00B275E2">
              <w:t>CO</w:t>
            </w:r>
            <w:r w:rsidRPr="00B275E2">
              <w:rPr>
                <w:vertAlign w:val="subscript"/>
              </w:rPr>
              <w:t>2</w:t>
            </w:r>
            <w:r w:rsidRPr="00B275E2">
              <w:t xml:space="preserve"> emissions</w:t>
            </w:r>
            <w:r w:rsidRPr="00B275E2">
              <w:tab/>
              <w:t xml:space="preserve">= 1,400 </w:t>
            </w:r>
            <w:r w:rsidRPr="00B275E2">
              <w:rPr>
                <w:rFonts w:cs="Calibri"/>
              </w:rPr>
              <w:t>×</w:t>
            </w:r>
            <w:r w:rsidRPr="00B275E2">
              <w:t xml:space="preserve"> 3.02</w:t>
            </w:r>
            <w:r w:rsidRPr="00B275E2">
              <w:tab/>
              <w:t>= 4,228 kg CO</w:t>
            </w:r>
            <w:r w:rsidRPr="00B275E2">
              <w:rPr>
                <w:vertAlign w:val="subscript"/>
              </w:rPr>
              <w:t>2</w:t>
            </w:r>
            <w:r w:rsidRPr="00B275E2">
              <w:t xml:space="preserve"> </w:t>
            </w:r>
          </w:p>
          <w:p w14:paraId="45F41925" w14:textId="77777777" w:rsidR="0068533B" w:rsidRPr="00B275E2" w:rsidRDefault="0068533B" w:rsidP="0068533B">
            <w:pPr>
              <w:pStyle w:val="Boxtext"/>
              <w:tabs>
                <w:tab w:val="left" w:pos="2921"/>
                <w:tab w:val="left" w:pos="4619"/>
              </w:tabs>
              <w:spacing w:before="20" w:after="20"/>
              <w:ind w:left="850"/>
            </w:pPr>
            <w:r w:rsidRPr="00B275E2">
              <w:t>CH</w:t>
            </w:r>
            <w:r w:rsidRPr="00B275E2">
              <w:rPr>
                <w:vertAlign w:val="subscript"/>
              </w:rPr>
              <w:t>4</w:t>
            </w:r>
            <w:r w:rsidRPr="00B275E2">
              <w:t xml:space="preserve"> emissions</w:t>
            </w:r>
            <w:r w:rsidRPr="00B275E2">
              <w:tab/>
              <w:t xml:space="preserve">= 1,400 </w:t>
            </w:r>
            <w:r w:rsidRPr="00B275E2">
              <w:rPr>
                <w:rFonts w:cs="Calibri"/>
              </w:rPr>
              <w:t>×</w:t>
            </w:r>
            <w:r w:rsidRPr="00B275E2">
              <w:t xml:space="preserve"> 0.00594</w:t>
            </w:r>
            <w:r w:rsidRPr="00B275E2">
              <w:tab/>
              <w:t>= 8.32 kg CO</w:t>
            </w:r>
            <w:r w:rsidRPr="00B275E2">
              <w:rPr>
                <w:vertAlign w:val="subscript"/>
              </w:rPr>
              <w:t>2</w:t>
            </w:r>
            <w:r w:rsidRPr="00B275E2">
              <w:t xml:space="preserve">-e </w:t>
            </w:r>
          </w:p>
          <w:p w14:paraId="40757197" w14:textId="77777777" w:rsidR="0068533B" w:rsidRPr="00B275E2" w:rsidRDefault="0068533B" w:rsidP="0068533B">
            <w:pPr>
              <w:pStyle w:val="Boxtext"/>
              <w:tabs>
                <w:tab w:val="left" w:pos="2921"/>
                <w:tab w:val="left" w:pos="4619"/>
              </w:tabs>
              <w:spacing w:before="20" w:after="20"/>
              <w:ind w:left="850"/>
            </w:pPr>
            <w:r w:rsidRPr="00B275E2">
              <w:t>N</w:t>
            </w:r>
            <w:r w:rsidRPr="00B275E2">
              <w:rPr>
                <w:vertAlign w:val="subscript"/>
              </w:rPr>
              <w:t>2</w:t>
            </w:r>
            <w:r w:rsidRPr="00B275E2">
              <w:t>O emissions</w:t>
            </w:r>
            <w:r w:rsidRPr="00B275E2">
              <w:tab/>
              <w:t xml:space="preserve">= 1,400 </w:t>
            </w:r>
            <w:r w:rsidRPr="00B275E2">
              <w:rPr>
                <w:rFonts w:cs="Calibri"/>
              </w:rPr>
              <w:t>×</w:t>
            </w:r>
            <w:r w:rsidRPr="00B275E2">
              <w:t xml:space="preserve"> 0.00142</w:t>
            </w:r>
            <w:r w:rsidRPr="00B275E2">
              <w:tab/>
              <w:t>= 1.99 kg CO</w:t>
            </w:r>
            <w:r w:rsidRPr="00B275E2">
              <w:rPr>
                <w:vertAlign w:val="subscript"/>
              </w:rPr>
              <w:t>2</w:t>
            </w:r>
            <w:r w:rsidRPr="00B275E2">
              <w:t xml:space="preserve">-e </w:t>
            </w:r>
          </w:p>
          <w:p w14:paraId="74937CD4" w14:textId="77777777" w:rsidR="0068533B" w:rsidRPr="00B275E2" w:rsidRDefault="0068533B" w:rsidP="0068533B">
            <w:pPr>
              <w:pStyle w:val="Boxtext"/>
              <w:tabs>
                <w:tab w:val="left" w:pos="2921"/>
                <w:tab w:val="left" w:pos="4619"/>
              </w:tabs>
              <w:spacing w:before="20" w:after="20"/>
              <w:ind w:left="850"/>
            </w:pPr>
            <w:r w:rsidRPr="00B275E2">
              <w:t>Total CO</w:t>
            </w:r>
            <w:r w:rsidRPr="00B275E2">
              <w:rPr>
                <w:vertAlign w:val="subscript"/>
              </w:rPr>
              <w:t>2</w:t>
            </w:r>
            <w:r w:rsidRPr="00B275E2">
              <w:t>-e emissions</w:t>
            </w:r>
            <w:r w:rsidRPr="00B275E2">
              <w:tab/>
              <w:t xml:space="preserve">= 1,400 </w:t>
            </w:r>
            <w:r w:rsidRPr="00B275E2">
              <w:rPr>
                <w:rFonts w:cs="Calibri"/>
              </w:rPr>
              <w:t>×</w:t>
            </w:r>
            <w:r w:rsidRPr="00B275E2">
              <w:t xml:space="preserve"> 3.03</w:t>
            </w:r>
            <w:r w:rsidRPr="00B275E2">
              <w:tab/>
              <w:t>= 4,242 kg CO</w:t>
            </w:r>
            <w:r w:rsidRPr="00B275E2">
              <w:rPr>
                <w:vertAlign w:val="subscript"/>
              </w:rPr>
              <w:t>2</w:t>
            </w:r>
            <w:r w:rsidRPr="00B275E2">
              <w:t xml:space="preserve">-e </w:t>
            </w:r>
          </w:p>
          <w:p w14:paraId="5928BC16" w14:textId="77777777" w:rsidR="0068533B" w:rsidRPr="00B275E2" w:rsidRDefault="0068533B" w:rsidP="0068533B">
            <w:pPr>
              <w:pStyle w:val="Boxtext"/>
              <w:spacing w:before="80" w:after="180"/>
            </w:pPr>
            <w:r w:rsidRPr="00B275E2">
              <w:rPr>
                <w:sz w:val="18"/>
              </w:rPr>
              <w:t>Note: Numbers may not add due to rounding.</w:t>
            </w:r>
          </w:p>
        </w:tc>
      </w:tr>
    </w:tbl>
    <w:bookmarkEnd w:id="132"/>
    <w:p w14:paraId="4D20DD5A" w14:textId="638E495F" w:rsidR="00710A25" w:rsidRPr="00B275E2" w:rsidRDefault="0041106E" w:rsidP="007F0B1E">
      <w:pPr>
        <w:pStyle w:val="BodyText"/>
        <w:spacing w:after="240"/>
      </w:pPr>
      <w:r w:rsidRPr="00B275E2">
        <w:t xml:space="preserve">All organisations across sectors typically report emissions using data on the amount of fuel used during the reporting period. </w:t>
      </w:r>
    </w:p>
    <w:p w14:paraId="767B1C23" w14:textId="55B15CCC" w:rsidR="0041106E" w:rsidRPr="00B275E2" w:rsidRDefault="0041106E" w:rsidP="006B7605">
      <w:pPr>
        <w:pStyle w:val="Heading3"/>
      </w:pPr>
      <w:bookmarkStart w:id="133" w:name="_Toc532904857"/>
      <w:bookmarkStart w:id="134" w:name="_Ref534892130"/>
      <w:r w:rsidRPr="00B275E2">
        <w:lastRenderedPageBreak/>
        <w:t>Emission factor derivation methodology</w:t>
      </w:r>
      <w:bookmarkEnd w:id="133"/>
      <w:bookmarkEnd w:id="134"/>
    </w:p>
    <w:p w14:paraId="6BF373E8" w14:textId="5632F4C4" w:rsidR="0041106E" w:rsidRPr="00B275E2" w:rsidRDefault="00EA3E4C" w:rsidP="00D429A6">
      <w:pPr>
        <w:pStyle w:val="BodyText"/>
        <w:spacing w:before="100" w:after="100"/>
      </w:pPr>
      <w:r w:rsidRPr="00B275E2">
        <w:t>MBIE derived t</w:t>
      </w:r>
      <w:r w:rsidR="0041106E" w:rsidRPr="00B275E2">
        <w:t>he kg CO</w:t>
      </w:r>
      <w:r w:rsidR="0041106E" w:rsidRPr="00B275E2">
        <w:rPr>
          <w:vertAlign w:val="subscript"/>
        </w:rPr>
        <w:t>2</w:t>
      </w:r>
      <w:r w:rsidR="0041106E" w:rsidRPr="00B275E2">
        <w:t>-e per activity unit emission factors supplied in</w:t>
      </w:r>
      <w:r w:rsidR="00B96968" w:rsidRPr="00B275E2">
        <w:t xml:space="preserve"> </w:t>
      </w:r>
      <w:hyperlink w:anchor="table3" w:history="1">
        <w:r w:rsidR="000317A9" w:rsidRPr="00B275E2">
          <w:rPr>
            <w:rStyle w:val="Hyperlink"/>
          </w:rPr>
          <w:t>table 3</w:t>
        </w:r>
      </w:hyperlink>
      <w:r w:rsidR="0041106E" w:rsidRPr="00B275E2">
        <w:t xml:space="preserve"> using calorific</w:t>
      </w:r>
      <w:r w:rsidR="00741835" w:rsidRPr="00B275E2">
        <w:t> </w:t>
      </w:r>
      <w:r w:rsidR="0041106E" w:rsidRPr="00B275E2">
        <w:t>values</w:t>
      </w:r>
      <w:r w:rsidR="007945D1" w:rsidRPr="00B275E2">
        <w:rPr>
          <w:rStyle w:val="FootnoteReference"/>
        </w:rPr>
        <w:footnoteReference w:id="22"/>
      </w:r>
      <w:r w:rsidR="0041106E" w:rsidRPr="00B275E2">
        <w:t xml:space="preserve"> and emission factors for tonnes</w:t>
      </w:r>
      <w:r w:rsidR="00B96968" w:rsidRPr="00B275E2">
        <w:t xml:space="preserve"> (t)</w:t>
      </w:r>
      <w:r w:rsidR="0041106E" w:rsidRPr="00B275E2">
        <w:t xml:space="preserve"> of gas per </w:t>
      </w:r>
      <w:r w:rsidR="00B96968" w:rsidRPr="00B275E2">
        <w:t>terajoule (TJ)</w:t>
      </w:r>
      <w:r w:rsidR="0041106E" w:rsidRPr="00B275E2">
        <w:t xml:space="preserve">. The </w:t>
      </w:r>
      <w:r w:rsidR="007945D1" w:rsidRPr="00B275E2">
        <w:t xml:space="preserve">calorific </w:t>
      </w:r>
      <w:r w:rsidR="0041106E" w:rsidRPr="00B275E2">
        <w:t>values</w:t>
      </w:r>
      <w:r w:rsidR="00741835" w:rsidRPr="00B275E2">
        <w:t> </w:t>
      </w:r>
      <w:r w:rsidRPr="00B275E2">
        <w:t>are</w:t>
      </w:r>
      <w:r w:rsidR="0041106E" w:rsidRPr="00B275E2">
        <w:t xml:space="preserve"> in</w:t>
      </w:r>
      <w:r w:rsidR="00E76EEB" w:rsidRPr="00B275E2">
        <w:t xml:space="preserve"> </w:t>
      </w:r>
      <w:hyperlink w:anchor="_Appendix_A:_Derivation_1" w:history="1">
        <w:r w:rsidR="00E76EEB" w:rsidRPr="00B275E2">
          <w:rPr>
            <w:rStyle w:val="Hyperlink"/>
          </w:rPr>
          <w:t>Appendix A: Derivation of fuel emission factors</w:t>
        </w:r>
      </w:hyperlink>
      <w:r w:rsidR="002E1293" w:rsidRPr="00B275E2">
        <w:t xml:space="preserve"> </w:t>
      </w:r>
      <w:r w:rsidR="00B82B00" w:rsidRPr="00B275E2">
        <w:t>alongside</w:t>
      </w:r>
      <w:r w:rsidR="0041106E" w:rsidRPr="00B275E2">
        <w:t xml:space="preserve"> further information on</w:t>
      </w:r>
      <w:r w:rsidR="00741835" w:rsidRPr="00B275E2">
        <w:t> </w:t>
      </w:r>
      <w:r w:rsidR="0041106E" w:rsidRPr="00B275E2">
        <w:t>the methodology.</w:t>
      </w:r>
    </w:p>
    <w:p w14:paraId="4F20B1F1" w14:textId="1041E8CF" w:rsidR="0041106E" w:rsidRPr="00B275E2" w:rsidRDefault="48317B27" w:rsidP="006B7605">
      <w:pPr>
        <w:pStyle w:val="Heading3"/>
      </w:pPr>
      <w:bookmarkStart w:id="135" w:name="_Toc532904858"/>
      <w:r>
        <w:t>Assumptions, limitations and uncertainties</w:t>
      </w:r>
      <w:bookmarkEnd w:id="135"/>
    </w:p>
    <w:p w14:paraId="34573D59" w14:textId="0CFB9425" w:rsidR="0041106E" w:rsidRPr="00B275E2" w:rsidRDefault="00EA3E4C" w:rsidP="00D429A6">
      <w:pPr>
        <w:pStyle w:val="BodyText"/>
        <w:spacing w:before="100" w:after="100"/>
      </w:pPr>
      <w:r w:rsidRPr="00B275E2">
        <w:t>MBIE derived t</w:t>
      </w:r>
      <w:r w:rsidR="0041106E" w:rsidRPr="00B275E2">
        <w:t>he kg CO</w:t>
      </w:r>
      <w:r w:rsidR="0041106E" w:rsidRPr="00B275E2">
        <w:rPr>
          <w:vertAlign w:val="subscript"/>
        </w:rPr>
        <w:t>2</w:t>
      </w:r>
      <w:r w:rsidR="0041106E" w:rsidRPr="00B275E2">
        <w:t>-e per activity unit emission factors supplied in</w:t>
      </w:r>
      <w:r w:rsidR="000317A9" w:rsidRPr="00B275E2">
        <w:t xml:space="preserve"> </w:t>
      </w:r>
      <w:hyperlink w:anchor="table3" w:history="1">
        <w:r w:rsidR="000317A9" w:rsidRPr="00B275E2">
          <w:rPr>
            <w:rStyle w:val="Hyperlink"/>
          </w:rPr>
          <w:t>table 3</w:t>
        </w:r>
      </w:hyperlink>
      <w:r w:rsidR="00E967C2" w:rsidRPr="00B275E2">
        <w:rPr>
          <w:color w:val="32809C" w:themeColor="accent2"/>
        </w:rPr>
        <w:t xml:space="preserve"> </w:t>
      </w:r>
      <w:r w:rsidR="0041106E" w:rsidRPr="00B275E2">
        <w:t>using calorific values</w:t>
      </w:r>
      <w:r w:rsidR="00526F22" w:rsidRPr="00B275E2">
        <w:t xml:space="preserve">, listed </w:t>
      </w:r>
      <w:r w:rsidR="00543DC9" w:rsidRPr="00B275E2">
        <w:t>in</w:t>
      </w:r>
      <w:r w:rsidR="00904E57" w:rsidRPr="00B275E2">
        <w:t xml:space="preserve"> </w:t>
      </w:r>
      <w:hyperlink w:anchor="_Appendix_A:_Derivation_1" w:history="1">
        <w:r w:rsidR="00904E57" w:rsidRPr="00B275E2">
          <w:rPr>
            <w:rStyle w:val="Hyperlink"/>
          </w:rPr>
          <w:t>Appendix A: Derivation of fuel emission factors</w:t>
        </w:r>
      </w:hyperlink>
      <w:r w:rsidR="0041106E" w:rsidRPr="00B275E2">
        <w:t xml:space="preserve">. </w:t>
      </w:r>
    </w:p>
    <w:p w14:paraId="11D94E29" w14:textId="67191038" w:rsidR="0041106E" w:rsidRPr="00B275E2" w:rsidRDefault="0041106E" w:rsidP="00D429A6">
      <w:pPr>
        <w:pStyle w:val="BodyText"/>
        <w:spacing w:before="100" w:after="100"/>
      </w:pPr>
      <w:r w:rsidRPr="00B275E2">
        <w:t xml:space="preserve">For a breakdown of the uncertainty by gas type see the </w:t>
      </w:r>
      <w:r w:rsidR="00975178" w:rsidRPr="00D637BC">
        <w:t>Emission factors workbook</w:t>
      </w:r>
      <w:r w:rsidRPr="00B275E2">
        <w:t>.</w:t>
      </w:r>
    </w:p>
    <w:p w14:paraId="3A2ED636" w14:textId="2DF5F7A8" w:rsidR="00E9178B" w:rsidRPr="00B275E2" w:rsidRDefault="0041106E" w:rsidP="00D429A6">
      <w:pPr>
        <w:pStyle w:val="BodyText"/>
        <w:spacing w:before="100" w:after="100"/>
      </w:pPr>
      <w:r w:rsidRPr="00B275E2">
        <w:t>The emission factors above account for the direct (Scope 1) emissions from fuel combustion. They are not full fuel</w:t>
      </w:r>
      <w:r w:rsidR="00415675" w:rsidRPr="00B275E2">
        <w:t>-</w:t>
      </w:r>
      <w:r w:rsidRPr="00B275E2">
        <w:t xml:space="preserve">cycle emission factors and do not incorporate indirect (Scope 3) emissions associated with the extraction, production and transport of the </w:t>
      </w:r>
      <w:r w:rsidR="00401E16" w:rsidRPr="00B275E2">
        <w:t>fuel.</w:t>
      </w:r>
    </w:p>
    <w:p w14:paraId="151916B9" w14:textId="5A5CB40F" w:rsidR="0041106E" w:rsidRPr="00B275E2" w:rsidRDefault="00EA3E4C" w:rsidP="00D429A6">
      <w:pPr>
        <w:pStyle w:val="BodyText"/>
        <w:spacing w:before="100" w:after="100"/>
      </w:pPr>
      <w:r w:rsidRPr="00B275E2">
        <w:t>We calculated t</w:t>
      </w:r>
      <w:r w:rsidR="0041106E" w:rsidRPr="00B275E2">
        <w:t>he default coal emission factor by weighting the emission factors for the different ranks of coal (bituminous, sub-bituminous and lignite) by the amount of coal used for</w:t>
      </w:r>
      <w:r w:rsidR="00CD1B90" w:rsidRPr="00B275E2">
        <w:t> </w:t>
      </w:r>
      <w:r w:rsidR="0041106E" w:rsidRPr="00B275E2">
        <w:t xml:space="preserve">each sector (commercial, residential, industrial). </w:t>
      </w:r>
      <w:r w:rsidRPr="00B275E2">
        <w:t>The guide includes e</w:t>
      </w:r>
      <w:r w:rsidR="0041106E" w:rsidRPr="00B275E2">
        <w:t>mission factors for residential coal for completeness.</w:t>
      </w:r>
    </w:p>
    <w:p w14:paraId="650915A5" w14:textId="020E994D" w:rsidR="00321918" w:rsidRPr="00B275E2" w:rsidRDefault="00321918" w:rsidP="00C24B73">
      <w:pPr>
        <w:pStyle w:val="Heading2"/>
        <w:numPr>
          <w:ilvl w:val="0"/>
          <w:numId w:val="20"/>
        </w:numPr>
        <w:spacing w:before="280"/>
      </w:pPr>
      <w:bookmarkStart w:id="136" w:name="_Transport_fuel_emission"/>
      <w:bookmarkStart w:id="137" w:name="_Transport_fuel"/>
      <w:bookmarkStart w:id="138" w:name="_Ref55214499"/>
      <w:bookmarkStart w:id="139" w:name="_Ref55214530"/>
      <w:bookmarkStart w:id="140" w:name="_Ref55214556"/>
      <w:bookmarkStart w:id="141" w:name="_Ref55214582"/>
      <w:bookmarkStart w:id="142" w:name="_Ref532308943"/>
      <w:bookmarkStart w:id="143" w:name="_Toc532904859"/>
      <w:bookmarkStart w:id="144" w:name="_Toc600569"/>
      <w:bookmarkStart w:id="145" w:name="_Toc111536775"/>
      <w:bookmarkEnd w:id="136"/>
      <w:bookmarkEnd w:id="137"/>
      <w:r w:rsidRPr="00B275E2">
        <w:t>Transport fuel</w:t>
      </w:r>
      <w:bookmarkEnd w:id="138"/>
      <w:bookmarkEnd w:id="139"/>
      <w:bookmarkEnd w:id="140"/>
      <w:bookmarkEnd w:id="141"/>
      <w:bookmarkEnd w:id="142"/>
      <w:bookmarkEnd w:id="143"/>
      <w:bookmarkEnd w:id="144"/>
      <w:bookmarkEnd w:id="145"/>
    </w:p>
    <w:p w14:paraId="650915A7" w14:textId="08B7C8B1" w:rsidR="00E02CE6" w:rsidRPr="00B275E2" w:rsidRDefault="003C5D9D" w:rsidP="00DF7511">
      <w:pPr>
        <w:pStyle w:val="BodyText"/>
        <w:spacing w:before="100" w:after="100"/>
      </w:pPr>
      <w:bookmarkStart w:id="146" w:name="_Hlk532891046"/>
      <w:r w:rsidRPr="00B275E2">
        <w:t xml:space="preserve">Transport fuels are used in an engine to move a vehicle. </w:t>
      </w:r>
      <w:bookmarkEnd w:id="146"/>
      <w:r w:rsidR="00904E57" w:rsidRPr="00B275E2">
        <w:t>Table 4</w:t>
      </w:r>
      <w:r w:rsidR="00B96968" w:rsidRPr="00B275E2">
        <w:t xml:space="preserve"> </w:t>
      </w:r>
      <w:r w:rsidR="00526F22" w:rsidRPr="00B275E2">
        <w:t>lists the</w:t>
      </w:r>
      <w:r w:rsidR="00157D27" w:rsidRPr="00B275E2">
        <w:t xml:space="preserve"> emission factors</w:t>
      </w:r>
      <w:r w:rsidR="002149FC" w:rsidRPr="00B275E2">
        <w:t>.</w:t>
      </w:r>
    </w:p>
    <w:p w14:paraId="650915A8" w14:textId="46D268FD" w:rsidR="002149FC" w:rsidRPr="00B275E2" w:rsidRDefault="002149FC" w:rsidP="00E732A7">
      <w:pPr>
        <w:pStyle w:val="Tableheading"/>
      </w:pPr>
      <w:bookmarkStart w:id="147" w:name="_Ref529535569"/>
      <w:bookmarkStart w:id="148" w:name="_Ref529909871"/>
      <w:bookmarkStart w:id="149" w:name="table4"/>
      <w:bookmarkStart w:id="150" w:name="_Ref529909862"/>
      <w:bookmarkStart w:id="151" w:name="_Toc111536609"/>
      <w:r w:rsidRPr="00B275E2">
        <w:t xml:space="preserve">Table </w:t>
      </w:r>
      <w:bookmarkEnd w:id="147"/>
      <w:r w:rsidR="009C6F41" w:rsidRPr="00B275E2">
        <w:fldChar w:fldCharType="begin"/>
      </w:r>
      <w:r w:rsidR="009C6F41" w:rsidRPr="00B275E2">
        <w:instrText xml:space="preserve"> SEQ Table \* ARABIC </w:instrText>
      </w:r>
      <w:r w:rsidR="009C6F41" w:rsidRPr="00B275E2">
        <w:fldChar w:fldCharType="separate"/>
      </w:r>
      <w:r w:rsidR="003E141C" w:rsidRPr="00B275E2">
        <w:t>4</w:t>
      </w:r>
      <w:r w:rsidR="009C6F41" w:rsidRPr="00B275E2">
        <w:fldChar w:fldCharType="end"/>
      </w:r>
      <w:bookmarkEnd w:id="148"/>
      <w:bookmarkEnd w:id="149"/>
      <w:r w:rsidR="009C6F41" w:rsidRPr="00B275E2">
        <w:t>:</w:t>
      </w:r>
      <w:r w:rsidR="009C6F41" w:rsidRPr="00B275E2">
        <w:tab/>
      </w:r>
      <w:r w:rsidRPr="00B275E2">
        <w:t>Transport fuel emission factors</w:t>
      </w:r>
      <w:bookmarkEnd w:id="150"/>
      <w:bookmarkEnd w:id="151"/>
    </w:p>
    <w:tbl>
      <w:tblPr>
        <w:tblStyle w:val="LightList-Accent11"/>
        <w:tblW w:w="8505" w:type="dxa"/>
        <w:tblBorders>
          <w:top w:val="single" w:sz="4" w:space="0" w:color="1B556B" w:themeColor="text2"/>
          <w:insideV w:val="single" w:sz="4" w:space="0" w:color="1B556B" w:themeColor="text2"/>
        </w:tblBorders>
        <w:tblLayout w:type="fixed"/>
        <w:tblCellMar>
          <w:left w:w="85" w:type="dxa"/>
          <w:right w:w="85" w:type="dxa"/>
        </w:tblCellMar>
        <w:tblLook w:val="04A0" w:firstRow="1" w:lastRow="0" w:firstColumn="1" w:lastColumn="0" w:noHBand="0" w:noVBand="1"/>
      </w:tblPr>
      <w:tblGrid>
        <w:gridCol w:w="2232"/>
        <w:gridCol w:w="603"/>
        <w:gridCol w:w="1206"/>
        <w:gridCol w:w="1086"/>
        <w:gridCol w:w="1086"/>
        <w:gridCol w:w="1086"/>
        <w:gridCol w:w="1206"/>
      </w:tblGrid>
      <w:tr w:rsidR="00E0760E" w:rsidRPr="00B275E2" w14:paraId="650915B0" w14:textId="77777777" w:rsidTr="28059C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98" w:type="dxa"/>
            <w:shd w:val="clear" w:color="auto" w:fill="1B556B" w:themeFill="text2"/>
            <w:vAlign w:val="bottom"/>
          </w:tcPr>
          <w:p w14:paraId="650915A9" w14:textId="77777777" w:rsidR="002504AB" w:rsidRPr="00B275E2" w:rsidRDefault="002504AB" w:rsidP="00DD3B8D">
            <w:pPr>
              <w:pStyle w:val="TableText"/>
              <w:spacing w:before="20" w:after="20" w:line="220" w:lineRule="atLeast"/>
            </w:pPr>
            <w:r w:rsidRPr="00B275E2">
              <w:rPr>
                <w:rFonts w:eastAsia="Times New Roman"/>
              </w:rPr>
              <w:t>Fuel type</w:t>
            </w:r>
          </w:p>
        </w:tc>
        <w:tc>
          <w:tcPr>
            <w:tcW w:w="567" w:type="dxa"/>
            <w:shd w:val="clear" w:color="auto" w:fill="1B556B" w:themeFill="text2"/>
            <w:vAlign w:val="bottom"/>
          </w:tcPr>
          <w:p w14:paraId="650915AA" w14:textId="77777777" w:rsidR="002504AB" w:rsidRPr="00B275E2" w:rsidRDefault="002504AB" w:rsidP="00DD3B8D">
            <w:pPr>
              <w:pStyle w:val="TableText"/>
              <w:spacing w:before="20" w:after="20" w:line="220" w:lineRule="atLeast"/>
              <w:cnfStyle w:val="100000000000" w:firstRow="1" w:lastRow="0" w:firstColumn="0" w:lastColumn="0" w:oddVBand="0" w:evenVBand="0" w:oddHBand="0" w:evenHBand="0" w:firstRowFirstColumn="0" w:firstRowLastColumn="0" w:lastRowFirstColumn="0" w:lastRowLastColumn="0"/>
            </w:pPr>
            <w:r w:rsidRPr="00B275E2">
              <w:rPr>
                <w:rFonts w:eastAsia="Times New Roman"/>
              </w:rPr>
              <w:t>Unit</w:t>
            </w:r>
          </w:p>
        </w:tc>
        <w:tc>
          <w:tcPr>
            <w:tcW w:w="1134" w:type="dxa"/>
            <w:shd w:val="clear" w:color="auto" w:fill="D2DDE1" w:themeFill="background2"/>
            <w:vAlign w:val="bottom"/>
          </w:tcPr>
          <w:p w14:paraId="650915AB" w14:textId="2AD79947" w:rsidR="002504AB" w:rsidRPr="00B275E2" w:rsidRDefault="00B74F56" w:rsidP="00DD3B8D">
            <w:pPr>
              <w:pStyle w:val="TableText"/>
              <w:spacing w:before="20" w:after="20" w:line="220" w:lineRule="atLeast"/>
              <w:jc w:val="right"/>
              <w:cnfStyle w:val="100000000000" w:firstRow="1" w:lastRow="0" w:firstColumn="0" w:lastColumn="0" w:oddVBand="0" w:evenVBand="0" w:oddHBand="0" w:evenHBand="0" w:firstRowFirstColumn="0" w:firstRowLastColumn="0" w:lastRowFirstColumn="0" w:lastRowLastColumn="0"/>
              <w:rPr>
                <w:color w:val="auto"/>
              </w:rPr>
            </w:pPr>
            <w:r w:rsidRPr="00B275E2">
              <w:rPr>
                <w:rFonts w:eastAsia="Times New Roman"/>
                <w:color w:val="auto"/>
              </w:rPr>
              <w:t>kg</w:t>
            </w:r>
            <w:r w:rsidR="005B3FFB" w:rsidRPr="00B275E2">
              <w:rPr>
                <w:color w:val="auto"/>
              </w:rPr>
              <w:t xml:space="preserve"> CO</w:t>
            </w:r>
            <w:r w:rsidR="005B3FFB" w:rsidRPr="00B275E2">
              <w:rPr>
                <w:color w:val="auto"/>
                <w:vertAlign w:val="subscript"/>
              </w:rPr>
              <w:t>2</w:t>
            </w:r>
            <w:r w:rsidR="005B3FFB" w:rsidRPr="00B275E2">
              <w:rPr>
                <w:color w:val="auto"/>
              </w:rPr>
              <w:t>-e</w:t>
            </w:r>
            <w:r w:rsidR="00836D5A" w:rsidRPr="00B275E2">
              <w:rPr>
                <w:color w:val="auto"/>
              </w:rPr>
              <w:t>/unit</w:t>
            </w:r>
          </w:p>
        </w:tc>
        <w:tc>
          <w:tcPr>
            <w:tcW w:w="1021" w:type="dxa"/>
            <w:shd w:val="clear" w:color="auto" w:fill="1B556B" w:themeFill="text2"/>
            <w:vAlign w:val="bottom"/>
          </w:tcPr>
          <w:p w14:paraId="650915AC" w14:textId="3A90CAAE" w:rsidR="002504AB" w:rsidRPr="00B275E2" w:rsidRDefault="00B74F56" w:rsidP="00DD3B8D">
            <w:pPr>
              <w:pStyle w:val="TableText"/>
              <w:spacing w:before="20" w:after="20" w:line="220" w:lineRule="atLeast"/>
              <w:jc w:val="right"/>
              <w:cnfStyle w:val="100000000000" w:firstRow="1" w:lastRow="0" w:firstColumn="0" w:lastColumn="0" w:oddVBand="0" w:evenVBand="0" w:oddHBand="0" w:evenHBand="0" w:firstRowFirstColumn="0" w:firstRowLastColumn="0" w:lastRowFirstColumn="0" w:lastRowLastColumn="0"/>
            </w:pPr>
            <w:r w:rsidRPr="00B275E2">
              <w:rPr>
                <w:rFonts w:eastAsia="Times New Roman"/>
              </w:rPr>
              <w:t>kg</w:t>
            </w:r>
            <w:r w:rsidR="002504AB" w:rsidRPr="00B275E2">
              <w:rPr>
                <w:rFonts w:eastAsia="Times New Roman"/>
              </w:rPr>
              <w:t xml:space="preserve"> CO</w:t>
            </w:r>
            <w:r w:rsidR="002504AB" w:rsidRPr="00B275E2">
              <w:rPr>
                <w:rFonts w:eastAsia="Times New Roman"/>
                <w:vertAlign w:val="subscript"/>
              </w:rPr>
              <w:t>2</w:t>
            </w:r>
            <w:r w:rsidR="00836D5A" w:rsidRPr="00B275E2">
              <w:t>/unit</w:t>
            </w:r>
          </w:p>
        </w:tc>
        <w:tc>
          <w:tcPr>
            <w:tcW w:w="1021" w:type="dxa"/>
            <w:shd w:val="clear" w:color="auto" w:fill="1B556B" w:themeFill="text2"/>
            <w:vAlign w:val="bottom"/>
          </w:tcPr>
          <w:p w14:paraId="650915AD" w14:textId="32647B3E" w:rsidR="00C91F73" w:rsidRPr="00B275E2" w:rsidRDefault="00B74F56" w:rsidP="00DD3B8D">
            <w:pPr>
              <w:pStyle w:val="TableText"/>
              <w:spacing w:before="20" w:after="20" w:line="220" w:lineRule="atLeast"/>
              <w:jc w:val="right"/>
              <w:cnfStyle w:val="100000000000" w:firstRow="1" w:lastRow="0" w:firstColumn="0" w:lastColumn="0" w:oddVBand="0" w:evenVBand="0" w:oddHBand="0" w:evenHBand="0" w:firstRowFirstColumn="0" w:firstRowLastColumn="0" w:lastRowFirstColumn="0" w:lastRowLastColumn="0"/>
            </w:pPr>
            <w:r w:rsidRPr="00B275E2">
              <w:rPr>
                <w:rFonts w:eastAsia="Times New Roman"/>
              </w:rPr>
              <w:t>kg</w:t>
            </w:r>
            <w:r w:rsidR="002504AB" w:rsidRPr="00B275E2">
              <w:rPr>
                <w:rFonts w:eastAsia="Times New Roman"/>
              </w:rPr>
              <w:t xml:space="preserve"> CH</w:t>
            </w:r>
            <w:r w:rsidR="002504AB" w:rsidRPr="00B275E2">
              <w:rPr>
                <w:rFonts w:eastAsia="Times New Roman"/>
                <w:vertAlign w:val="subscript"/>
              </w:rPr>
              <w:t>4</w:t>
            </w:r>
            <w:r w:rsidR="00836D5A" w:rsidRPr="00B275E2">
              <w:t>/unit</w:t>
            </w:r>
            <w:r w:rsidR="005F61F2" w:rsidRPr="00B275E2">
              <w:t xml:space="preserve"> </w:t>
            </w:r>
            <w:r w:rsidR="00C91F73" w:rsidRPr="00B275E2">
              <w:t>(kg CO</w:t>
            </w:r>
            <w:r w:rsidR="00C91F73" w:rsidRPr="00B275E2">
              <w:rPr>
                <w:vertAlign w:val="subscript"/>
              </w:rPr>
              <w:t>2</w:t>
            </w:r>
            <w:r w:rsidR="00C91F73" w:rsidRPr="00B275E2">
              <w:t>-e)</w:t>
            </w:r>
          </w:p>
        </w:tc>
        <w:tc>
          <w:tcPr>
            <w:tcW w:w="1021" w:type="dxa"/>
            <w:shd w:val="clear" w:color="auto" w:fill="1B556B" w:themeFill="text2"/>
            <w:vAlign w:val="bottom"/>
          </w:tcPr>
          <w:p w14:paraId="650915AE" w14:textId="2D1E8A38" w:rsidR="002504AB" w:rsidRPr="00B275E2" w:rsidRDefault="00B74F56" w:rsidP="00DD3B8D">
            <w:pPr>
              <w:pStyle w:val="TableText"/>
              <w:spacing w:before="20" w:after="20" w:line="220" w:lineRule="atLeast"/>
              <w:jc w:val="right"/>
              <w:cnfStyle w:val="100000000000" w:firstRow="1" w:lastRow="0" w:firstColumn="0" w:lastColumn="0" w:oddVBand="0" w:evenVBand="0" w:oddHBand="0" w:evenHBand="0" w:firstRowFirstColumn="0" w:firstRowLastColumn="0" w:lastRowFirstColumn="0" w:lastRowLastColumn="0"/>
            </w:pPr>
            <w:r w:rsidRPr="00B275E2">
              <w:rPr>
                <w:rFonts w:eastAsia="Times New Roman"/>
              </w:rPr>
              <w:t>kg</w:t>
            </w:r>
            <w:r w:rsidR="002504AB" w:rsidRPr="00B275E2">
              <w:rPr>
                <w:rFonts w:eastAsia="Times New Roman"/>
              </w:rPr>
              <w:t xml:space="preserve"> </w:t>
            </w:r>
            <w:r w:rsidR="00035F53" w:rsidRPr="00B275E2">
              <w:rPr>
                <w:rFonts w:eastAsia="Times New Roman"/>
              </w:rPr>
              <w:t>N</w:t>
            </w:r>
            <w:r w:rsidR="00035F53" w:rsidRPr="00B275E2">
              <w:rPr>
                <w:rFonts w:eastAsia="Times New Roman"/>
                <w:vertAlign w:val="subscript"/>
              </w:rPr>
              <w:t>2</w:t>
            </w:r>
            <w:r w:rsidR="00035F53" w:rsidRPr="00B275E2">
              <w:rPr>
                <w:rFonts w:eastAsia="Times New Roman"/>
              </w:rPr>
              <w:t>O</w:t>
            </w:r>
            <w:r w:rsidR="00836D5A" w:rsidRPr="00B275E2">
              <w:t>/unit</w:t>
            </w:r>
            <w:r w:rsidR="00C91F73" w:rsidRPr="00B275E2">
              <w:t xml:space="preserve"> (kg CO</w:t>
            </w:r>
            <w:r w:rsidR="00C91F73" w:rsidRPr="00B275E2">
              <w:rPr>
                <w:vertAlign w:val="subscript"/>
              </w:rPr>
              <w:t>2</w:t>
            </w:r>
            <w:r w:rsidR="00C91F73" w:rsidRPr="00B275E2">
              <w:t>-e)</w:t>
            </w:r>
          </w:p>
        </w:tc>
        <w:tc>
          <w:tcPr>
            <w:tcW w:w="1134" w:type="dxa"/>
            <w:shd w:val="clear" w:color="auto" w:fill="1B556B" w:themeFill="text2"/>
            <w:vAlign w:val="bottom"/>
          </w:tcPr>
          <w:p w14:paraId="650915AF" w14:textId="3AA63266" w:rsidR="002504AB" w:rsidRPr="00B275E2" w:rsidRDefault="002504AB" w:rsidP="00DD3B8D">
            <w:pPr>
              <w:pStyle w:val="TableText"/>
              <w:spacing w:before="20" w:after="20" w:line="220" w:lineRule="atLeast"/>
              <w:jc w:val="right"/>
              <w:cnfStyle w:val="100000000000" w:firstRow="1" w:lastRow="0" w:firstColumn="0" w:lastColumn="0" w:oddVBand="0" w:evenVBand="0" w:oddHBand="0" w:evenHBand="0" w:firstRowFirstColumn="0" w:firstRowLastColumn="0" w:lastRowFirstColumn="0" w:lastRowLastColumn="0"/>
            </w:pPr>
            <w:r w:rsidRPr="00B275E2">
              <w:rPr>
                <w:rFonts w:eastAsia="Times New Roman"/>
              </w:rPr>
              <w:t xml:space="preserve">Uncertainties </w:t>
            </w:r>
            <w:r w:rsidR="00B74F56" w:rsidRPr="00B275E2">
              <w:rPr>
                <w:rFonts w:eastAsia="Times New Roman"/>
              </w:rPr>
              <w:t>kg</w:t>
            </w:r>
            <w:r w:rsidR="005B3FFB" w:rsidRPr="00B275E2">
              <w:t xml:space="preserve"> CO</w:t>
            </w:r>
            <w:r w:rsidR="005B3FFB" w:rsidRPr="00B275E2">
              <w:rPr>
                <w:vertAlign w:val="subscript"/>
              </w:rPr>
              <w:t>2</w:t>
            </w:r>
            <w:r w:rsidR="005B3FFB" w:rsidRPr="00B275E2">
              <w:t>-e</w:t>
            </w:r>
            <w:r w:rsidR="00836D5A" w:rsidRPr="00B275E2">
              <w:t>/unit</w:t>
            </w:r>
          </w:p>
        </w:tc>
      </w:tr>
      <w:tr w:rsidR="00E0760E" w:rsidRPr="00B275E2" w14:paraId="650915B8" w14:textId="77777777" w:rsidTr="28059C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8" w:type="dxa"/>
            <w:tcBorders>
              <w:left w:val="single" w:sz="4" w:space="0" w:color="FFFFFF" w:themeColor="background1"/>
            </w:tcBorders>
          </w:tcPr>
          <w:p w14:paraId="650915B1" w14:textId="0249486F" w:rsidR="0041106E" w:rsidRPr="00B275E2" w:rsidRDefault="0041106E" w:rsidP="00DD3B8D">
            <w:pPr>
              <w:pStyle w:val="TableText"/>
              <w:spacing w:before="20" w:after="20" w:line="220" w:lineRule="atLeast"/>
              <w:rPr>
                <w:b w:val="0"/>
              </w:rPr>
            </w:pPr>
            <w:r w:rsidRPr="00B275E2">
              <w:rPr>
                <w:b w:val="0"/>
              </w:rPr>
              <w:t xml:space="preserve">Regular </w:t>
            </w:r>
            <w:r w:rsidR="00526F22" w:rsidRPr="00B275E2">
              <w:rPr>
                <w:b w:val="0"/>
              </w:rPr>
              <w:t>p</w:t>
            </w:r>
            <w:r w:rsidRPr="00B275E2">
              <w:rPr>
                <w:b w:val="0"/>
              </w:rPr>
              <w:t>etrol</w:t>
            </w:r>
            <w:r w:rsidR="00F447A4">
              <w:rPr>
                <w:b w:val="0"/>
              </w:rPr>
              <w:t xml:space="preserve"> (default)</w:t>
            </w:r>
          </w:p>
        </w:tc>
        <w:tc>
          <w:tcPr>
            <w:tcW w:w="567" w:type="dxa"/>
          </w:tcPr>
          <w:p w14:paraId="650915B2" w14:textId="77777777" w:rsidR="0041106E" w:rsidRPr="00B275E2" w:rsidRDefault="0041106E" w:rsidP="00DD3B8D">
            <w:pPr>
              <w:pStyle w:val="TableText"/>
              <w:spacing w:before="20" w:after="20" w:line="220" w:lineRule="atLeast"/>
              <w:cnfStyle w:val="000000100000" w:firstRow="0" w:lastRow="0" w:firstColumn="0" w:lastColumn="0" w:oddVBand="0" w:evenVBand="0" w:oddHBand="1" w:evenHBand="0" w:firstRowFirstColumn="0" w:firstRowLastColumn="0" w:lastRowFirstColumn="0" w:lastRowLastColumn="0"/>
            </w:pPr>
            <w:r w:rsidRPr="00B275E2">
              <w:t>litre</w:t>
            </w:r>
          </w:p>
        </w:tc>
        <w:tc>
          <w:tcPr>
            <w:tcW w:w="1134" w:type="dxa"/>
            <w:shd w:val="clear" w:color="auto" w:fill="D2DDE1" w:themeFill="background2"/>
          </w:tcPr>
          <w:p w14:paraId="650915B3" w14:textId="4F0E0B2A" w:rsidR="0041106E" w:rsidRPr="00B275E2" w:rsidRDefault="0041106E" w:rsidP="00DD3B8D">
            <w:pPr>
              <w:pStyle w:val="TableText"/>
              <w:spacing w:before="20" w:after="20" w:line="220" w:lineRule="atLeast"/>
              <w:jc w:val="right"/>
              <w:cnfStyle w:val="000000100000" w:firstRow="0" w:lastRow="0" w:firstColumn="0" w:lastColumn="0" w:oddVBand="0" w:evenVBand="0" w:oddHBand="1" w:evenHBand="0" w:firstRowFirstColumn="0" w:firstRowLastColumn="0" w:lastRowFirstColumn="0" w:lastRowLastColumn="0"/>
            </w:pPr>
            <w:r w:rsidRPr="00B275E2">
              <w:t>2.4</w:t>
            </w:r>
            <w:r w:rsidR="00AC0C52" w:rsidRPr="00B275E2">
              <w:t>6</w:t>
            </w:r>
          </w:p>
        </w:tc>
        <w:tc>
          <w:tcPr>
            <w:tcW w:w="1021" w:type="dxa"/>
          </w:tcPr>
          <w:p w14:paraId="650915B4" w14:textId="23A91919" w:rsidR="0041106E" w:rsidRPr="00B275E2" w:rsidRDefault="0041106E" w:rsidP="00DD3B8D">
            <w:pPr>
              <w:pStyle w:val="TableText"/>
              <w:spacing w:before="20" w:after="20" w:line="220" w:lineRule="atLeast"/>
              <w:jc w:val="right"/>
              <w:cnfStyle w:val="000000100000" w:firstRow="0" w:lastRow="0" w:firstColumn="0" w:lastColumn="0" w:oddVBand="0" w:evenVBand="0" w:oddHBand="1" w:evenHBand="0" w:firstRowFirstColumn="0" w:firstRowLastColumn="0" w:lastRowFirstColumn="0" w:lastRowLastColumn="0"/>
            </w:pPr>
            <w:r w:rsidRPr="00B275E2">
              <w:t>2.35</w:t>
            </w:r>
          </w:p>
        </w:tc>
        <w:tc>
          <w:tcPr>
            <w:tcW w:w="1021" w:type="dxa"/>
          </w:tcPr>
          <w:p w14:paraId="650915B5" w14:textId="29349AAB" w:rsidR="0041106E" w:rsidRPr="00B275E2" w:rsidRDefault="0041106E" w:rsidP="00DD3B8D">
            <w:pPr>
              <w:pStyle w:val="TableText"/>
              <w:spacing w:before="20" w:after="20" w:line="220" w:lineRule="atLeast"/>
              <w:jc w:val="right"/>
              <w:cnfStyle w:val="000000100000" w:firstRow="0" w:lastRow="0" w:firstColumn="0" w:lastColumn="0" w:oddVBand="0" w:evenVBand="0" w:oddHBand="1" w:evenHBand="0" w:firstRowFirstColumn="0" w:firstRowLastColumn="0" w:lastRowFirstColumn="0" w:lastRowLastColumn="0"/>
            </w:pPr>
            <w:r w:rsidRPr="00B275E2">
              <w:t>0.0276</w:t>
            </w:r>
          </w:p>
        </w:tc>
        <w:tc>
          <w:tcPr>
            <w:tcW w:w="1021" w:type="dxa"/>
          </w:tcPr>
          <w:p w14:paraId="650915B6" w14:textId="621E49A4" w:rsidR="0041106E" w:rsidRPr="00B275E2" w:rsidRDefault="0041106E" w:rsidP="00DD3B8D">
            <w:pPr>
              <w:pStyle w:val="TableText"/>
              <w:spacing w:before="20" w:after="20" w:line="220" w:lineRule="atLeast"/>
              <w:jc w:val="right"/>
              <w:cnfStyle w:val="000000100000" w:firstRow="0" w:lastRow="0" w:firstColumn="0" w:lastColumn="0" w:oddVBand="0" w:evenVBand="0" w:oddHBand="1" w:evenHBand="0" w:firstRowFirstColumn="0" w:firstRowLastColumn="0" w:lastRowFirstColumn="0" w:lastRowLastColumn="0"/>
            </w:pPr>
            <w:r w:rsidRPr="00B275E2">
              <w:t>0.0797</w:t>
            </w:r>
          </w:p>
        </w:tc>
        <w:tc>
          <w:tcPr>
            <w:tcW w:w="1134" w:type="dxa"/>
            <w:tcBorders>
              <w:right w:val="single" w:sz="4" w:space="0" w:color="FFFFFF" w:themeColor="background1"/>
            </w:tcBorders>
          </w:tcPr>
          <w:p w14:paraId="650915B7" w14:textId="77777777" w:rsidR="0041106E" w:rsidRPr="00B275E2" w:rsidRDefault="0041106E" w:rsidP="00DD3B8D">
            <w:pPr>
              <w:pStyle w:val="TableText"/>
              <w:spacing w:before="20" w:after="20" w:line="220" w:lineRule="atLeast"/>
              <w:jc w:val="right"/>
              <w:cnfStyle w:val="000000100000" w:firstRow="0" w:lastRow="0" w:firstColumn="0" w:lastColumn="0" w:oddVBand="0" w:evenVBand="0" w:oddHBand="1" w:evenHBand="0" w:firstRowFirstColumn="0" w:firstRowLastColumn="0" w:lastRowFirstColumn="0" w:lastRowLastColumn="0"/>
            </w:pPr>
            <w:r w:rsidRPr="00B275E2">
              <w:t>1.8%</w:t>
            </w:r>
          </w:p>
        </w:tc>
      </w:tr>
      <w:tr w:rsidR="00E0760E" w:rsidRPr="00B275E2" w14:paraId="650915C0" w14:textId="77777777" w:rsidTr="28059CFA">
        <w:tc>
          <w:tcPr>
            <w:cnfStyle w:val="001000000000" w:firstRow="0" w:lastRow="0" w:firstColumn="1" w:lastColumn="0" w:oddVBand="0" w:evenVBand="0" w:oddHBand="0" w:evenHBand="0" w:firstRowFirstColumn="0" w:firstRowLastColumn="0" w:lastRowFirstColumn="0" w:lastRowLastColumn="0"/>
            <w:tcW w:w="2098" w:type="dxa"/>
            <w:tcBorders>
              <w:left w:val="single" w:sz="4" w:space="0" w:color="FFFFFF" w:themeColor="background1"/>
            </w:tcBorders>
          </w:tcPr>
          <w:p w14:paraId="650915B9" w14:textId="065C67A7" w:rsidR="0041106E" w:rsidRPr="00B275E2" w:rsidRDefault="0041106E" w:rsidP="00DD3B8D">
            <w:pPr>
              <w:pStyle w:val="TableText"/>
              <w:spacing w:before="20" w:after="20" w:line="220" w:lineRule="atLeast"/>
              <w:rPr>
                <w:b w:val="0"/>
              </w:rPr>
            </w:pPr>
            <w:r w:rsidRPr="00B275E2">
              <w:rPr>
                <w:b w:val="0"/>
              </w:rPr>
              <w:t xml:space="preserve">Premium </w:t>
            </w:r>
            <w:r w:rsidR="00526F22" w:rsidRPr="00B275E2">
              <w:rPr>
                <w:b w:val="0"/>
              </w:rPr>
              <w:t>p</w:t>
            </w:r>
            <w:r w:rsidRPr="00B275E2">
              <w:rPr>
                <w:b w:val="0"/>
              </w:rPr>
              <w:t>etrol</w:t>
            </w:r>
          </w:p>
        </w:tc>
        <w:tc>
          <w:tcPr>
            <w:tcW w:w="567" w:type="dxa"/>
          </w:tcPr>
          <w:p w14:paraId="650915BA" w14:textId="77777777" w:rsidR="0041106E" w:rsidRPr="00B275E2" w:rsidRDefault="0041106E" w:rsidP="00DD3B8D">
            <w:pPr>
              <w:pStyle w:val="TableText"/>
              <w:spacing w:before="20" w:after="20" w:line="220" w:lineRule="atLeast"/>
              <w:cnfStyle w:val="000000000000" w:firstRow="0" w:lastRow="0" w:firstColumn="0" w:lastColumn="0" w:oddVBand="0" w:evenVBand="0" w:oddHBand="0" w:evenHBand="0" w:firstRowFirstColumn="0" w:firstRowLastColumn="0" w:lastRowFirstColumn="0" w:lastRowLastColumn="0"/>
            </w:pPr>
            <w:r w:rsidRPr="00B275E2">
              <w:t>litre</w:t>
            </w:r>
          </w:p>
        </w:tc>
        <w:tc>
          <w:tcPr>
            <w:tcW w:w="1134" w:type="dxa"/>
            <w:shd w:val="clear" w:color="auto" w:fill="D2DDE1" w:themeFill="background2"/>
          </w:tcPr>
          <w:p w14:paraId="650915BB" w14:textId="68CF3062" w:rsidR="0041106E" w:rsidRPr="00B275E2" w:rsidRDefault="0041106E" w:rsidP="00DD3B8D">
            <w:pPr>
              <w:pStyle w:val="TableText"/>
              <w:spacing w:before="20" w:after="20" w:line="220" w:lineRule="atLeast"/>
              <w:jc w:val="right"/>
              <w:cnfStyle w:val="000000000000" w:firstRow="0" w:lastRow="0" w:firstColumn="0" w:lastColumn="0" w:oddVBand="0" w:evenVBand="0" w:oddHBand="0" w:evenHBand="0" w:firstRowFirstColumn="0" w:firstRowLastColumn="0" w:lastRowFirstColumn="0" w:lastRowLastColumn="0"/>
            </w:pPr>
            <w:r w:rsidRPr="00B275E2">
              <w:t>2.4</w:t>
            </w:r>
            <w:r w:rsidR="00AC0C52" w:rsidRPr="00B275E2">
              <w:t>8</w:t>
            </w:r>
          </w:p>
        </w:tc>
        <w:tc>
          <w:tcPr>
            <w:tcW w:w="1021" w:type="dxa"/>
          </w:tcPr>
          <w:p w14:paraId="650915BC" w14:textId="6F800F8B" w:rsidR="0041106E" w:rsidRPr="00B275E2" w:rsidRDefault="0041106E" w:rsidP="00DD3B8D">
            <w:pPr>
              <w:pStyle w:val="TableText"/>
              <w:spacing w:before="20" w:after="20" w:line="220" w:lineRule="atLeast"/>
              <w:jc w:val="right"/>
              <w:cnfStyle w:val="000000000000" w:firstRow="0" w:lastRow="0" w:firstColumn="0" w:lastColumn="0" w:oddVBand="0" w:evenVBand="0" w:oddHBand="0" w:evenHBand="0" w:firstRowFirstColumn="0" w:firstRowLastColumn="0" w:lastRowFirstColumn="0" w:lastRowLastColumn="0"/>
            </w:pPr>
            <w:r w:rsidRPr="00B275E2">
              <w:t>2.3</w:t>
            </w:r>
            <w:r w:rsidR="00AC0C52" w:rsidRPr="00B275E2">
              <w:t>7</w:t>
            </w:r>
          </w:p>
        </w:tc>
        <w:tc>
          <w:tcPr>
            <w:tcW w:w="1021" w:type="dxa"/>
          </w:tcPr>
          <w:p w14:paraId="650915BD" w14:textId="22580A8A" w:rsidR="0041106E" w:rsidRPr="00B275E2" w:rsidRDefault="0041106E" w:rsidP="00DD3B8D">
            <w:pPr>
              <w:pStyle w:val="TableText"/>
              <w:spacing w:before="20" w:after="20" w:line="220" w:lineRule="atLeast"/>
              <w:jc w:val="right"/>
              <w:cnfStyle w:val="000000000000" w:firstRow="0" w:lastRow="0" w:firstColumn="0" w:lastColumn="0" w:oddVBand="0" w:evenVBand="0" w:oddHBand="0" w:evenHBand="0" w:firstRowFirstColumn="0" w:firstRowLastColumn="0" w:lastRowFirstColumn="0" w:lastRowLastColumn="0"/>
            </w:pPr>
            <w:r w:rsidRPr="00B275E2">
              <w:t>0.0277</w:t>
            </w:r>
          </w:p>
        </w:tc>
        <w:tc>
          <w:tcPr>
            <w:tcW w:w="1021" w:type="dxa"/>
          </w:tcPr>
          <w:p w14:paraId="650915BE" w14:textId="26991D89" w:rsidR="0041106E" w:rsidRPr="00B275E2" w:rsidRDefault="0041106E" w:rsidP="00DD3B8D">
            <w:pPr>
              <w:pStyle w:val="TableText"/>
              <w:spacing w:before="20" w:after="20" w:line="220" w:lineRule="atLeast"/>
              <w:jc w:val="right"/>
              <w:cnfStyle w:val="000000000000" w:firstRow="0" w:lastRow="0" w:firstColumn="0" w:lastColumn="0" w:oddVBand="0" w:evenVBand="0" w:oddHBand="0" w:evenHBand="0" w:firstRowFirstColumn="0" w:firstRowLastColumn="0" w:lastRowFirstColumn="0" w:lastRowLastColumn="0"/>
            </w:pPr>
            <w:r w:rsidRPr="00B275E2">
              <w:t>0.0801</w:t>
            </w:r>
          </w:p>
        </w:tc>
        <w:tc>
          <w:tcPr>
            <w:tcW w:w="1134" w:type="dxa"/>
            <w:tcBorders>
              <w:right w:val="single" w:sz="4" w:space="0" w:color="FFFFFF" w:themeColor="background1"/>
            </w:tcBorders>
          </w:tcPr>
          <w:p w14:paraId="650915BF" w14:textId="77777777" w:rsidR="0041106E" w:rsidRPr="00B275E2" w:rsidRDefault="0041106E" w:rsidP="00DD3B8D">
            <w:pPr>
              <w:pStyle w:val="TableText"/>
              <w:spacing w:before="20" w:after="20" w:line="220" w:lineRule="atLeast"/>
              <w:jc w:val="right"/>
              <w:cnfStyle w:val="000000000000" w:firstRow="0" w:lastRow="0" w:firstColumn="0" w:lastColumn="0" w:oddVBand="0" w:evenVBand="0" w:oddHBand="0" w:evenHBand="0" w:firstRowFirstColumn="0" w:firstRowLastColumn="0" w:lastRowFirstColumn="0" w:lastRowLastColumn="0"/>
            </w:pPr>
            <w:r w:rsidRPr="00B275E2">
              <w:t>1.8%</w:t>
            </w:r>
          </w:p>
        </w:tc>
      </w:tr>
      <w:tr w:rsidR="00E0760E" w:rsidRPr="00B275E2" w14:paraId="650915D0" w14:textId="77777777" w:rsidTr="28059C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8" w:type="dxa"/>
            <w:tcBorders>
              <w:left w:val="single" w:sz="4" w:space="0" w:color="FFFFFF" w:themeColor="background1"/>
            </w:tcBorders>
          </w:tcPr>
          <w:p w14:paraId="650915C9" w14:textId="77777777" w:rsidR="0041106E" w:rsidRPr="00B275E2" w:rsidRDefault="0041106E" w:rsidP="00DD3B8D">
            <w:pPr>
              <w:pStyle w:val="TableText"/>
              <w:spacing w:before="20" w:after="20" w:line="220" w:lineRule="atLeast"/>
              <w:rPr>
                <w:b w:val="0"/>
              </w:rPr>
            </w:pPr>
            <w:r w:rsidRPr="00B275E2">
              <w:rPr>
                <w:b w:val="0"/>
              </w:rPr>
              <w:t>Diesel</w:t>
            </w:r>
          </w:p>
        </w:tc>
        <w:tc>
          <w:tcPr>
            <w:tcW w:w="567" w:type="dxa"/>
          </w:tcPr>
          <w:p w14:paraId="650915CA" w14:textId="77777777" w:rsidR="0041106E" w:rsidRPr="00B275E2" w:rsidRDefault="0041106E" w:rsidP="00DD3B8D">
            <w:pPr>
              <w:pStyle w:val="TableText"/>
              <w:spacing w:before="20" w:after="20" w:line="220" w:lineRule="atLeast"/>
              <w:cnfStyle w:val="000000100000" w:firstRow="0" w:lastRow="0" w:firstColumn="0" w:lastColumn="0" w:oddVBand="0" w:evenVBand="0" w:oddHBand="1" w:evenHBand="0" w:firstRowFirstColumn="0" w:firstRowLastColumn="0" w:lastRowFirstColumn="0" w:lastRowLastColumn="0"/>
            </w:pPr>
            <w:r w:rsidRPr="00B275E2">
              <w:t>litre</w:t>
            </w:r>
          </w:p>
        </w:tc>
        <w:tc>
          <w:tcPr>
            <w:tcW w:w="1134" w:type="dxa"/>
            <w:shd w:val="clear" w:color="auto" w:fill="D2DDE1" w:themeFill="background2"/>
          </w:tcPr>
          <w:p w14:paraId="650915CB" w14:textId="61E94A0E" w:rsidR="0041106E" w:rsidRPr="00B275E2" w:rsidRDefault="0041106E" w:rsidP="00DD3B8D">
            <w:pPr>
              <w:pStyle w:val="TableText"/>
              <w:spacing w:before="20" w:after="20" w:line="220" w:lineRule="atLeast"/>
              <w:jc w:val="right"/>
              <w:cnfStyle w:val="000000100000" w:firstRow="0" w:lastRow="0" w:firstColumn="0" w:lastColumn="0" w:oddVBand="0" w:evenVBand="0" w:oddHBand="1" w:evenHBand="0" w:firstRowFirstColumn="0" w:firstRowLastColumn="0" w:lastRowFirstColumn="0" w:lastRowLastColumn="0"/>
            </w:pPr>
            <w:r w:rsidRPr="00B275E2">
              <w:t>2.69</w:t>
            </w:r>
          </w:p>
        </w:tc>
        <w:tc>
          <w:tcPr>
            <w:tcW w:w="1021" w:type="dxa"/>
          </w:tcPr>
          <w:p w14:paraId="650915CC" w14:textId="4DCAD7EC" w:rsidR="0041106E" w:rsidRPr="00B275E2" w:rsidRDefault="0041106E" w:rsidP="00DD3B8D">
            <w:pPr>
              <w:pStyle w:val="TableText"/>
              <w:spacing w:before="20" w:after="20" w:line="220" w:lineRule="atLeast"/>
              <w:jc w:val="right"/>
              <w:cnfStyle w:val="000000100000" w:firstRow="0" w:lastRow="0" w:firstColumn="0" w:lastColumn="0" w:oddVBand="0" w:evenVBand="0" w:oddHBand="1" w:evenHBand="0" w:firstRowFirstColumn="0" w:firstRowLastColumn="0" w:lastRowFirstColumn="0" w:lastRowLastColumn="0"/>
            </w:pPr>
            <w:r w:rsidRPr="00B275E2">
              <w:t>2.65</w:t>
            </w:r>
          </w:p>
        </w:tc>
        <w:tc>
          <w:tcPr>
            <w:tcW w:w="1021" w:type="dxa"/>
          </w:tcPr>
          <w:p w14:paraId="650915CD" w14:textId="79CA5498" w:rsidR="0041106E" w:rsidRPr="00B275E2" w:rsidRDefault="0041106E" w:rsidP="00DD3B8D">
            <w:pPr>
              <w:pStyle w:val="TableText"/>
              <w:spacing w:before="20" w:after="20" w:line="220" w:lineRule="atLeast"/>
              <w:jc w:val="right"/>
              <w:cnfStyle w:val="000000100000" w:firstRow="0" w:lastRow="0" w:firstColumn="0" w:lastColumn="0" w:oddVBand="0" w:evenVBand="0" w:oddHBand="1" w:evenHBand="0" w:firstRowFirstColumn="0" w:firstRowLastColumn="0" w:lastRowFirstColumn="0" w:lastRowLastColumn="0"/>
            </w:pPr>
            <w:r w:rsidRPr="00B275E2">
              <w:t>0.00354</w:t>
            </w:r>
          </w:p>
        </w:tc>
        <w:tc>
          <w:tcPr>
            <w:tcW w:w="1021" w:type="dxa"/>
          </w:tcPr>
          <w:p w14:paraId="650915CE" w14:textId="621C3F95" w:rsidR="0041106E" w:rsidRPr="00B275E2" w:rsidRDefault="0041106E" w:rsidP="00DD3B8D">
            <w:pPr>
              <w:pStyle w:val="TableText"/>
              <w:spacing w:before="20" w:after="20" w:line="220" w:lineRule="atLeast"/>
              <w:jc w:val="right"/>
              <w:cnfStyle w:val="000000100000" w:firstRow="0" w:lastRow="0" w:firstColumn="0" w:lastColumn="0" w:oddVBand="0" w:evenVBand="0" w:oddHBand="1" w:evenHBand="0" w:firstRowFirstColumn="0" w:firstRowLastColumn="0" w:lastRowFirstColumn="0" w:lastRowLastColumn="0"/>
            </w:pPr>
            <w:r w:rsidRPr="00B275E2">
              <w:t>0.0422</w:t>
            </w:r>
          </w:p>
        </w:tc>
        <w:tc>
          <w:tcPr>
            <w:tcW w:w="1134" w:type="dxa"/>
            <w:tcBorders>
              <w:right w:val="single" w:sz="4" w:space="0" w:color="FFFFFF" w:themeColor="background1"/>
            </w:tcBorders>
          </w:tcPr>
          <w:p w14:paraId="650915CF" w14:textId="77777777" w:rsidR="0041106E" w:rsidRPr="00B275E2" w:rsidRDefault="0041106E" w:rsidP="00DD3B8D">
            <w:pPr>
              <w:pStyle w:val="TableText"/>
              <w:spacing w:before="20" w:after="20" w:line="220" w:lineRule="atLeast"/>
              <w:jc w:val="right"/>
              <w:cnfStyle w:val="000000100000" w:firstRow="0" w:lastRow="0" w:firstColumn="0" w:lastColumn="0" w:oddVBand="0" w:evenVBand="0" w:oddHBand="1" w:evenHBand="0" w:firstRowFirstColumn="0" w:firstRowLastColumn="0" w:lastRowFirstColumn="0" w:lastRowLastColumn="0"/>
            </w:pPr>
            <w:r w:rsidRPr="00B275E2">
              <w:t>0.9%</w:t>
            </w:r>
          </w:p>
        </w:tc>
      </w:tr>
      <w:tr w:rsidR="00E0760E" w:rsidRPr="00B275E2" w14:paraId="650915D8" w14:textId="77777777" w:rsidTr="28059CFA">
        <w:tc>
          <w:tcPr>
            <w:cnfStyle w:val="001000000000" w:firstRow="0" w:lastRow="0" w:firstColumn="1" w:lastColumn="0" w:oddVBand="0" w:evenVBand="0" w:oddHBand="0" w:evenHBand="0" w:firstRowFirstColumn="0" w:firstRowLastColumn="0" w:lastRowFirstColumn="0" w:lastRowLastColumn="0"/>
            <w:tcW w:w="2098" w:type="dxa"/>
            <w:tcBorders>
              <w:left w:val="single" w:sz="4" w:space="0" w:color="FFFFFF" w:themeColor="background1"/>
            </w:tcBorders>
          </w:tcPr>
          <w:p w14:paraId="650915D1" w14:textId="77777777" w:rsidR="0041106E" w:rsidRPr="00B275E2" w:rsidRDefault="0041106E" w:rsidP="00DD3B8D">
            <w:pPr>
              <w:pStyle w:val="TableText"/>
              <w:spacing w:before="20" w:after="20" w:line="220" w:lineRule="atLeast"/>
              <w:rPr>
                <w:b w:val="0"/>
              </w:rPr>
            </w:pPr>
            <w:r w:rsidRPr="00B275E2">
              <w:rPr>
                <w:b w:val="0"/>
              </w:rPr>
              <w:t>LPG</w:t>
            </w:r>
          </w:p>
        </w:tc>
        <w:tc>
          <w:tcPr>
            <w:tcW w:w="567" w:type="dxa"/>
          </w:tcPr>
          <w:p w14:paraId="650915D2" w14:textId="77777777" w:rsidR="0041106E" w:rsidRPr="00B275E2" w:rsidRDefault="0041106E" w:rsidP="00DD3B8D">
            <w:pPr>
              <w:pStyle w:val="TableText"/>
              <w:spacing w:before="20" w:after="20" w:line="220" w:lineRule="atLeast"/>
              <w:cnfStyle w:val="000000000000" w:firstRow="0" w:lastRow="0" w:firstColumn="0" w:lastColumn="0" w:oddVBand="0" w:evenVBand="0" w:oddHBand="0" w:evenHBand="0" w:firstRowFirstColumn="0" w:firstRowLastColumn="0" w:lastRowFirstColumn="0" w:lastRowLastColumn="0"/>
            </w:pPr>
            <w:r w:rsidRPr="00B275E2">
              <w:t>litre</w:t>
            </w:r>
          </w:p>
        </w:tc>
        <w:tc>
          <w:tcPr>
            <w:tcW w:w="1134" w:type="dxa"/>
            <w:shd w:val="clear" w:color="auto" w:fill="D2DDE1" w:themeFill="background2"/>
          </w:tcPr>
          <w:p w14:paraId="650915D3" w14:textId="70C01469" w:rsidR="0041106E" w:rsidRPr="00B275E2" w:rsidRDefault="0041106E" w:rsidP="00DD3B8D">
            <w:pPr>
              <w:pStyle w:val="TableText"/>
              <w:spacing w:before="20" w:after="20" w:line="220" w:lineRule="atLeast"/>
              <w:jc w:val="right"/>
              <w:cnfStyle w:val="000000000000" w:firstRow="0" w:lastRow="0" w:firstColumn="0" w:lastColumn="0" w:oddVBand="0" w:evenVBand="0" w:oddHBand="0" w:evenHBand="0" w:firstRowFirstColumn="0" w:firstRowLastColumn="0" w:lastRowFirstColumn="0" w:lastRowLastColumn="0"/>
            </w:pPr>
            <w:r w:rsidRPr="00B275E2">
              <w:t>1.64</w:t>
            </w:r>
          </w:p>
        </w:tc>
        <w:tc>
          <w:tcPr>
            <w:tcW w:w="1021" w:type="dxa"/>
          </w:tcPr>
          <w:p w14:paraId="650915D4" w14:textId="13DC05D2" w:rsidR="0041106E" w:rsidRPr="00B275E2" w:rsidRDefault="0041106E" w:rsidP="00DD3B8D">
            <w:pPr>
              <w:pStyle w:val="TableText"/>
              <w:spacing w:before="20" w:after="20" w:line="220" w:lineRule="atLeast"/>
              <w:jc w:val="right"/>
              <w:cnfStyle w:val="000000000000" w:firstRow="0" w:lastRow="0" w:firstColumn="0" w:lastColumn="0" w:oddVBand="0" w:evenVBand="0" w:oddHBand="0" w:evenHBand="0" w:firstRowFirstColumn="0" w:firstRowLastColumn="0" w:lastRowFirstColumn="0" w:lastRowLastColumn="0"/>
            </w:pPr>
            <w:r w:rsidRPr="00B275E2">
              <w:t>1.60</w:t>
            </w:r>
          </w:p>
        </w:tc>
        <w:tc>
          <w:tcPr>
            <w:tcW w:w="1021" w:type="dxa"/>
          </w:tcPr>
          <w:p w14:paraId="650915D5" w14:textId="7AD7FE8F" w:rsidR="0041106E" w:rsidRPr="00B275E2" w:rsidRDefault="0041106E" w:rsidP="00DD3B8D">
            <w:pPr>
              <w:pStyle w:val="TableText"/>
              <w:spacing w:before="20" w:after="20" w:line="220" w:lineRule="atLeast"/>
              <w:jc w:val="right"/>
              <w:cnfStyle w:val="000000000000" w:firstRow="0" w:lastRow="0" w:firstColumn="0" w:lastColumn="0" w:oddVBand="0" w:evenVBand="0" w:oddHBand="0" w:evenHBand="0" w:firstRowFirstColumn="0" w:firstRowLastColumn="0" w:lastRowFirstColumn="0" w:lastRowLastColumn="0"/>
            </w:pPr>
            <w:r w:rsidRPr="00B275E2">
              <w:t>0.0391</w:t>
            </w:r>
          </w:p>
        </w:tc>
        <w:tc>
          <w:tcPr>
            <w:tcW w:w="1021" w:type="dxa"/>
          </w:tcPr>
          <w:p w14:paraId="650915D6" w14:textId="4B4DB9C5" w:rsidR="0041106E" w:rsidRPr="00B275E2" w:rsidRDefault="0041106E" w:rsidP="00DD3B8D">
            <w:pPr>
              <w:pStyle w:val="TableText"/>
              <w:spacing w:before="20" w:after="20" w:line="220" w:lineRule="atLeast"/>
              <w:jc w:val="right"/>
              <w:cnfStyle w:val="000000000000" w:firstRow="0" w:lastRow="0" w:firstColumn="0" w:lastColumn="0" w:oddVBand="0" w:evenVBand="0" w:oddHBand="0" w:evenHBand="0" w:firstRowFirstColumn="0" w:firstRowLastColumn="0" w:lastRowFirstColumn="0" w:lastRowLastColumn="0"/>
            </w:pPr>
            <w:r w:rsidRPr="00B275E2">
              <w:t>0.00150</w:t>
            </w:r>
          </w:p>
        </w:tc>
        <w:tc>
          <w:tcPr>
            <w:tcW w:w="1134" w:type="dxa"/>
            <w:tcBorders>
              <w:right w:val="single" w:sz="4" w:space="0" w:color="FFFFFF" w:themeColor="background1"/>
            </w:tcBorders>
          </w:tcPr>
          <w:p w14:paraId="650915D7" w14:textId="77777777" w:rsidR="0041106E" w:rsidRPr="00B275E2" w:rsidRDefault="0041106E" w:rsidP="00DD3B8D">
            <w:pPr>
              <w:pStyle w:val="TableText"/>
              <w:spacing w:before="20" w:after="20" w:line="220" w:lineRule="atLeast"/>
              <w:jc w:val="right"/>
              <w:cnfStyle w:val="000000000000" w:firstRow="0" w:lastRow="0" w:firstColumn="0" w:lastColumn="0" w:oddVBand="0" w:evenVBand="0" w:oddHBand="0" w:evenHBand="0" w:firstRowFirstColumn="0" w:firstRowLastColumn="0" w:lastRowFirstColumn="0" w:lastRowLastColumn="0"/>
            </w:pPr>
            <w:r w:rsidRPr="00B275E2">
              <w:t>1.3%</w:t>
            </w:r>
          </w:p>
        </w:tc>
      </w:tr>
      <w:tr w:rsidR="00E0760E" w:rsidRPr="00B275E2" w14:paraId="650915E0" w14:textId="77777777" w:rsidTr="28059C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8" w:type="dxa"/>
            <w:tcBorders>
              <w:left w:val="single" w:sz="4" w:space="0" w:color="FFFFFF" w:themeColor="background1"/>
            </w:tcBorders>
          </w:tcPr>
          <w:p w14:paraId="650915D9" w14:textId="16014022" w:rsidR="0041106E" w:rsidRPr="00B275E2" w:rsidRDefault="0041106E" w:rsidP="00DD3B8D">
            <w:pPr>
              <w:pStyle w:val="TableText"/>
              <w:spacing w:before="20" w:after="20" w:line="220" w:lineRule="atLeast"/>
              <w:rPr>
                <w:b w:val="0"/>
              </w:rPr>
            </w:pPr>
            <w:r w:rsidRPr="00B275E2">
              <w:rPr>
                <w:b w:val="0"/>
              </w:rPr>
              <w:t xml:space="preserve">Heavy </w:t>
            </w:r>
            <w:r w:rsidR="00526F22" w:rsidRPr="00B275E2">
              <w:rPr>
                <w:b w:val="0"/>
              </w:rPr>
              <w:t>f</w:t>
            </w:r>
            <w:r w:rsidRPr="00B275E2">
              <w:rPr>
                <w:b w:val="0"/>
              </w:rPr>
              <w:t xml:space="preserve">uel </w:t>
            </w:r>
            <w:r w:rsidR="00526F22" w:rsidRPr="00B275E2">
              <w:rPr>
                <w:b w:val="0"/>
              </w:rPr>
              <w:t>o</w:t>
            </w:r>
            <w:r w:rsidRPr="00B275E2">
              <w:rPr>
                <w:b w:val="0"/>
              </w:rPr>
              <w:t>il</w:t>
            </w:r>
          </w:p>
        </w:tc>
        <w:tc>
          <w:tcPr>
            <w:tcW w:w="567" w:type="dxa"/>
          </w:tcPr>
          <w:p w14:paraId="650915DA" w14:textId="77777777" w:rsidR="0041106E" w:rsidRPr="00B275E2" w:rsidRDefault="0041106E" w:rsidP="00DD3B8D">
            <w:pPr>
              <w:pStyle w:val="TableText"/>
              <w:spacing w:before="20" w:after="20" w:line="220" w:lineRule="atLeast"/>
              <w:cnfStyle w:val="000000100000" w:firstRow="0" w:lastRow="0" w:firstColumn="0" w:lastColumn="0" w:oddVBand="0" w:evenVBand="0" w:oddHBand="1" w:evenHBand="0" w:firstRowFirstColumn="0" w:firstRowLastColumn="0" w:lastRowFirstColumn="0" w:lastRowLastColumn="0"/>
            </w:pPr>
            <w:r w:rsidRPr="00B275E2">
              <w:t>litre</w:t>
            </w:r>
          </w:p>
        </w:tc>
        <w:tc>
          <w:tcPr>
            <w:tcW w:w="1134" w:type="dxa"/>
            <w:shd w:val="clear" w:color="auto" w:fill="D2DDE1" w:themeFill="background2"/>
          </w:tcPr>
          <w:p w14:paraId="650915DB" w14:textId="7FDCA449" w:rsidR="0041106E" w:rsidRPr="00B275E2" w:rsidRDefault="0041106E" w:rsidP="00DD3B8D">
            <w:pPr>
              <w:pStyle w:val="TableText"/>
              <w:spacing w:before="20" w:after="20" w:line="220" w:lineRule="atLeast"/>
              <w:jc w:val="right"/>
              <w:cnfStyle w:val="000000100000" w:firstRow="0" w:lastRow="0" w:firstColumn="0" w:lastColumn="0" w:oddVBand="0" w:evenVBand="0" w:oddHBand="1" w:evenHBand="0" w:firstRowFirstColumn="0" w:firstRowLastColumn="0" w:lastRowFirstColumn="0" w:lastRowLastColumn="0"/>
            </w:pPr>
            <w:r w:rsidRPr="00B275E2">
              <w:t>3.04</w:t>
            </w:r>
          </w:p>
        </w:tc>
        <w:tc>
          <w:tcPr>
            <w:tcW w:w="1021" w:type="dxa"/>
          </w:tcPr>
          <w:p w14:paraId="650915DC" w14:textId="4E979009" w:rsidR="0041106E" w:rsidRPr="00B275E2" w:rsidRDefault="0041106E" w:rsidP="00DD3B8D">
            <w:pPr>
              <w:pStyle w:val="TableText"/>
              <w:spacing w:before="20" w:after="20" w:line="220" w:lineRule="atLeast"/>
              <w:jc w:val="right"/>
              <w:cnfStyle w:val="000000100000" w:firstRow="0" w:lastRow="0" w:firstColumn="0" w:lastColumn="0" w:oddVBand="0" w:evenVBand="0" w:oddHBand="1" w:evenHBand="0" w:firstRowFirstColumn="0" w:firstRowLastColumn="0" w:lastRowFirstColumn="0" w:lastRowLastColumn="0"/>
            </w:pPr>
            <w:r w:rsidRPr="00B275E2">
              <w:t>3.01</w:t>
            </w:r>
          </w:p>
        </w:tc>
        <w:tc>
          <w:tcPr>
            <w:tcW w:w="1021" w:type="dxa"/>
          </w:tcPr>
          <w:p w14:paraId="650915DD" w14:textId="277D8B81" w:rsidR="0041106E" w:rsidRPr="00B275E2" w:rsidRDefault="0041106E" w:rsidP="00DD3B8D">
            <w:pPr>
              <w:pStyle w:val="TableText"/>
              <w:spacing w:before="20" w:after="20" w:line="220" w:lineRule="atLeast"/>
              <w:jc w:val="right"/>
              <w:cnfStyle w:val="000000100000" w:firstRow="0" w:lastRow="0" w:firstColumn="0" w:lastColumn="0" w:oddVBand="0" w:evenVBand="0" w:oddHBand="1" w:evenHBand="0" w:firstRowFirstColumn="0" w:firstRowLastColumn="0" w:lastRowFirstColumn="0" w:lastRowLastColumn="0"/>
            </w:pPr>
            <w:r w:rsidRPr="00B275E2">
              <w:t>0.00680</w:t>
            </w:r>
          </w:p>
        </w:tc>
        <w:tc>
          <w:tcPr>
            <w:tcW w:w="1021" w:type="dxa"/>
          </w:tcPr>
          <w:p w14:paraId="650915DE" w14:textId="165D8C5D" w:rsidR="0041106E" w:rsidRPr="00B275E2" w:rsidRDefault="0041106E" w:rsidP="00DD3B8D">
            <w:pPr>
              <w:pStyle w:val="TableText"/>
              <w:spacing w:before="20" w:after="20" w:line="220" w:lineRule="atLeast"/>
              <w:jc w:val="right"/>
              <w:cnfStyle w:val="000000100000" w:firstRow="0" w:lastRow="0" w:firstColumn="0" w:lastColumn="0" w:oddVBand="0" w:evenVBand="0" w:oddHBand="1" w:evenHBand="0" w:firstRowFirstColumn="0" w:firstRowLastColumn="0" w:lastRowFirstColumn="0" w:lastRowLastColumn="0"/>
            </w:pPr>
            <w:r w:rsidRPr="00B275E2">
              <w:t>0.0232</w:t>
            </w:r>
          </w:p>
        </w:tc>
        <w:tc>
          <w:tcPr>
            <w:tcW w:w="1134" w:type="dxa"/>
            <w:tcBorders>
              <w:right w:val="single" w:sz="4" w:space="0" w:color="FFFFFF" w:themeColor="background1"/>
            </w:tcBorders>
          </w:tcPr>
          <w:p w14:paraId="650915DF" w14:textId="77777777" w:rsidR="0041106E" w:rsidRPr="00B275E2" w:rsidRDefault="0041106E" w:rsidP="00DD3B8D">
            <w:pPr>
              <w:pStyle w:val="TableText"/>
              <w:spacing w:before="20" w:after="20" w:line="220" w:lineRule="atLeast"/>
              <w:jc w:val="right"/>
              <w:cnfStyle w:val="000000100000" w:firstRow="0" w:lastRow="0" w:firstColumn="0" w:lastColumn="0" w:oddVBand="0" w:evenVBand="0" w:oddHBand="1" w:evenHBand="0" w:firstRowFirstColumn="0" w:firstRowLastColumn="0" w:lastRowFirstColumn="0" w:lastRowLastColumn="0"/>
            </w:pPr>
            <w:r w:rsidRPr="00B275E2">
              <w:t>0.6%</w:t>
            </w:r>
          </w:p>
        </w:tc>
      </w:tr>
      <w:tr w:rsidR="00E0760E" w:rsidRPr="00B275E2" w14:paraId="650915E8" w14:textId="77777777" w:rsidTr="28059CFA">
        <w:tc>
          <w:tcPr>
            <w:cnfStyle w:val="001000000000" w:firstRow="0" w:lastRow="0" w:firstColumn="1" w:lastColumn="0" w:oddVBand="0" w:evenVBand="0" w:oddHBand="0" w:evenHBand="0" w:firstRowFirstColumn="0" w:firstRowLastColumn="0" w:lastRowFirstColumn="0" w:lastRowLastColumn="0"/>
            <w:tcW w:w="2098" w:type="dxa"/>
            <w:tcBorders>
              <w:left w:val="single" w:sz="4" w:space="0" w:color="FFFFFF" w:themeColor="background1"/>
            </w:tcBorders>
          </w:tcPr>
          <w:p w14:paraId="650915E1" w14:textId="165C0F61" w:rsidR="0041106E" w:rsidRPr="00B275E2" w:rsidRDefault="0041106E" w:rsidP="00DD3B8D">
            <w:pPr>
              <w:pStyle w:val="TableText"/>
              <w:spacing w:before="20" w:after="20" w:line="220" w:lineRule="atLeast"/>
              <w:rPr>
                <w:b w:val="0"/>
              </w:rPr>
            </w:pPr>
            <w:r w:rsidRPr="00B275E2">
              <w:rPr>
                <w:b w:val="0"/>
              </w:rPr>
              <w:t xml:space="preserve">Light </w:t>
            </w:r>
            <w:r w:rsidR="00526F22" w:rsidRPr="00B275E2">
              <w:rPr>
                <w:b w:val="0"/>
              </w:rPr>
              <w:t>f</w:t>
            </w:r>
            <w:r w:rsidRPr="00B275E2">
              <w:rPr>
                <w:b w:val="0"/>
              </w:rPr>
              <w:t xml:space="preserve">uel </w:t>
            </w:r>
            <w:r w:rsidR="00526F22" w:rsidRPr="00B275E2">
              <w:rPr>
                <w:b w:val="0"/>
              </w:rPr>
              <w:t>o</w:t>
            </w:r>
            <w:r w:rsidRPr="00B275E2">
              <w:rPr>
                <w:b w:val="0"/>
              </w:rPr>
              <w:t>il</w:t>
            </w:r>
          </w:p>
        </w:tc>
        <w:tc>
          <w:tcPr>
            <w:tcW w:w="567" w:type="dxa"/>
          </w:tcPr>
          <w:p w14:paraId="650915E2" w14:textId="77777777" w:rsidR="0041106E" w:rsidRPr="00B275E2" w:rsidRDefault="0041106E" w:rsidP="00DD3B8D">
            <w:pPr>
              <w:pStyle w:val="TableText"/>
              <w:spacing w:before="20" w:after="20" w:line="220" w:lineRule="atLeast"/>
              <w:cnfStyle w:val="000000000000" w:firstRow="0" w:lastRow="0" w:firstColumn="0" w:lastColumn="0" w:oddVBand="0" w:evenVBand="0" w:oddHBand="0" w:evenHBand="0" w:firstRowFirstColumn="0" w:firstRowLastColumn="0" w:lastRowFirstColumn="0" w:lastRowLastColumn="0"/>
            </w:pPr>
            <w:r w:rsidRPr="00B275E2">
              <w:t>litre</w:t>
            </w:r>
          </w:p>
        </w:tc>
        <w:tc>
          <w:tcPr>
            <w:tcW w:w="1134" w:type="dxa"/>
            <w:shd w:val="clear" w:color="auto" w:fill="D2DDE1" w:themeFill="background2"/>
          </w:tcPr>
          <w:p w14:paraId="650915E3" w14:textId="1DDE7D9D" w:rsidR="0041106E" w:rsidRPr="00B275E2" w:rsidRDefault="0041106E" w:rsidP="00DD3B8D">
            <w:pPr>
              <w:pStyle w:val="TableText"/>
              <w:spacing w:before="20" w:after="20" w:line="220" w:lineRule="atLeast"/>
              <w:jc w:val="right"/>
              <w:cnfStyle w:val="000000000000" w:firstRow="0" w:lastRow="0" w:firstColumn="0" w:lastColumn="0" w:oddVBand="0" w:evenVBand="0" w:oddHBand="0" w:evenHBand="0" w:firstRowFirstColumn="0" w:firstRowLastColumn="0" w:lastRowFirstColumn="0" w:lastRowLastColumn="0"/>
            </w:pPr>
            <w:r w:rsidRPr="00B275E2">
              <w:t>2.94</w:t>
            </w:r>
          </w:p>
        </w:tc>
        <w:tc>
          <w:tcPr>
            <w:tcW w:w="1021" w:type="dxa"/>
          </w:tcPr>
          <w:p w14:paraId="650915E4" w14:textId="7B85C1DB" w:rsidR="0041106E" w:rsidRPr="00B275E2" w:rsidRDefault="0041106E" w:rsidP="00DD3B8D">
            <w:pPr>
              <w:pStyle w:val="TableText"/>
              <w:spacing w:before="20" w:after="20" w:line="220" w:lineRule="atLeast"/>
              <w:jc w:val="right"/>
              <w:cnfStyle w:val="000000000000" w:firstRow="0" w:lastRow="0" w:firstColumn="0" w:lastColumn="0" w:oddVBand="0" w:evenVBand="0" w:oddHBand="0" w:evenHBand="0" w:firstRowFirstColumn="0" w:firstRowLastColumn="0" w:lastRowFirstColumn="0" w:lastRowLastColumn="0"/>
            </w:pPr>
            <w:r w:rsidRPr="00B275E2">
              <w:t>2.92</w:t>
            </w:r>
          </w:p>
        </w:tc>
        <w:tc>
          <w:tcPr>
            <w:tcW w:w="1021" w:type="dxa"/>
          </w:tcPr>
          <w:p w14:paraId="650915E5" w14:textId="556AD5E2" w:rsidR="0041106E" w:rsidRPr="00B275E2" w:rsidRDefault="0041106E" w:rsidP="00DD3B8D">
            <w:pPr>
              <w:pStyle w:val="TableText"/>
              <w:spacing w:before="20" w:after="20" w:line="220" w:lineRule="atLeast"/>
              <w:jc w:val="right"/>
              <w:cnfStyle w:val="000000000000" w:firstRow="0" w:lastRow="0" w:firstColumn="0" w:lastColumn="0" w:oddVBand="0" w:evenVBand="0" w:oddHBand="0" w:evenHBand="0" w:firstRowFirstColumn="0" w:firstRowLastColumn="0" w:lastRowFirstColumn="0" w:lastRowLastColumn="0"/>
            </w:pPr>
            <w:r w:rsidRPr="00B275E2">
              <w:t>0.00670</w:t>
            </w:r>
          </w:p>
        </w:tc>
        <w:tc>
          <w:tcPr>
            <w:tcW w:w="1021" w:type="dxa"/>
          </w:tcPr>
          <w:p w14:paraId="650915E6" w14:textId="7E9C2B85" w:rsidR="0041106E" w:rsidRPr="00B275E2" w:rsidRDefault="0041106E" w:rsidP="00DD3B8D">
            <w:pPr>
              <w:pStyle w:val="TableText"/>
              <w:spacing w:before="20" w:after="20" w:line="220" w:lineRule="atLeast"/>
              <w:jc w:val="right"/>
              <w:cnfStyle w:val="000000000000" w:firstRow="0" w:lastRow="0" w:firstColumn="0" w:lastColumn="0" w:oddVBand="0" w:evenVBand="0" w:oddHBand="0" w:evenHBand="0" w:firstRowFirstColumn="0" w:firstRowLastColumn="0" w:lastRowFirstColumn="0" w:lastRowLastColumn="0"/>
            </w:pPr>
            <w:r w:rsidRPr="00B275E2">
              <w:t>0.0228</w:t>
            </w:r>
          </w:p>
        </w:tc>
        <w:tc>
          <w:tcPr>
            <w:tcW w:w="1134" w:type="dxa"/>
            <w:tcBorders>
              <w:right w:val="single" w:sz="4" w:space="0" w:color="FFFFFF" w:themeColor="background1"/>
            </w:tcBorders>
          </w:tcPr>
          <w:p w14:paraId="650915E7" w14:textId="77777777" w:rsidR="0041106E" w:rsidRPr="00B275E2" w:rsidRDefault="0041106E" w:rsidP="00DD3B8D">
            <w:pPr>
              <w:pStyle w:val="TableText"/>
              <w:spacing w:before="20" w:after="20" w:line="220" w:lineRule="atLeast"/>
              <w:jc w:val="right"/>
              <w:cnfStyle w:val="000000000000" w:firstRow="0" w:lastRow="0" w:firstColumn="0" w:lastColumn="0" w:oddVBand="0" w:evenVBand="0" w:oddHBand="0" w:evenHBand="0" w:firstRowFirstColumn="0" w:firstRowLastColumn="0" w:lastRowFirstColumn="0" w:lastRowLastColumn="0"/>
            </w:pPr>
            <w:r w:rsidRPr="00B275E2">
              <w:t>0.6%</w:t>
            </w:r>
          </w:p>
        </w:tc>
      </w:tr>
      <w:tr w:rsidR="00E0760E" w:rsidRPr="00B275E2" w14:paraId="650915F0" w14:textId="77777777" w:rsidTr="28059C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8" w:type="dxa"/>
            <w:vMerge w:val="restart"/>
            <w:tcBorders>
              <w:left w:val="single" w:sz="4" w:space="0" w:color="FFFFFF" w:themeColor="background1"/>
            </w:tcBorders>
          </w:tcPr>
          <w:p w14:paraId="650915E9" w14:textId="1B65FE93" w:rsidR="0041106E" w:rsidRPr="00B275E2" w:rsidRDefault="0041106E" w:rsidP="00DD3B8D">
            <w:pPr>
              <w:pStyle w:val="TableText"/>
              <w:spacing w:before="20" w:after="20" w:line="220" w:lineRule="atLeast"/>
              <w:rPr>
                <w:b w:val="0"/>
              </w:rPr>
            </w:pPr>
            <w:r w:rsidRPr="00B275E2">
              <w:rPr>
                <w:rFonts w:eastAsia="Times New Roman"/>
                <w:b w:val="0"/>
                <w:color w:val="000000"/>
              </w:rPr>
              <w:t>Aviation fuel (</w:t>
            </w:r>
            <w:r w:rsidR="00526F22" w:rsidRPr="00B275E2">
              <w:rPr>
                <w:rFonts w:eastAsia="Times New Roman"/>
                <w:b w:val="0"/>
                <w:color w:val="000000"/>
              </w:rPr>
              <w:t>k</w:t>
            </w:r>
            <w:r w:rsidRPr="00B275E2">
              <w:rPr>
                <w:rFonts w:eastAsia="Times New Roman"/>
                <w:b w:val="0"/>
                <w:color w:val="000000"/>
              </w:rPr>
              <w:t>erosene)</w:t>
            </w:r>
            <w:r w:rsidR="00E813F5" w:rsidRPr="00B275E2">
              <w:rPr>
                <w:rFonts w:eastAsia="Times New Roman"/>
                <w:b w:val="0"/>
                <w:color w:val="000000"/>
              </w:rPr>
              <w:t xml:space="preserve"> / Jet A1</w:t>
            </w:r>
          </w:p>
        </w:tc>
        <w:tc>
          <w:tcPr>
            <w:tcW w:w="567" w:type="dxa"/>
          </w:tcPr>
          <w:p w14:paraId="650915EA" w14:textId="77777777" w:rsidR="0041106E" w:rsidRPr="00B275E2" w:rsidRDefault="0041106E" w:rsidP="00DD3B8D">
            <w:pPr>
              <w:pStyle w:val="TableText"/>
              <w:spacing w:before="20" w:after="20" w:line="220" w:lineRule="atLeast"/>
              <w:cnfStyle w:val="000000100000" w:firstRow="0" w:lastRow="0" w:firstColumn="0" w:lastColumn="0" w:oddVBand="0" w:evenVBand="0" w:oddHBand="1" w:evenHBand="0" w:firstRowFirstColumn="0" w:firstRowLastColumn="0" w:lastRowFirstColumn="0" w:lastRowLastColumn="0"/>
            </w:pPr>
            <w:r w:rsidRPr="00B275E2">
              <w:rPr>
                <w:rFonts w:eastAsia="Times New Roman"/>
                <w:color w:val="000000"/>
              </w:rPr>
              <w:t>GJ</w:t>
            </w:r>
          </w:p>
        </w:tc>
        <w:tc>
          <w:tcPr>
            <w:tcW w:w="1134" w:type="dxa"/>
            <w:shd w:val="clear" w:color="auto" w:fill="D2DDE1" w:themeFill="background2"/>
          </w:tcPr>
          <w:p w14:paraId="650915EB" w14:textId="483E8726" w:rsidR="0041106E" w:rsidRPr="00B275E2" w:rsidRDefault="0041106E" w:rsidP="00DD3B8D">
            <w:pPr>
              <w:pStyle w:val="TableText"/>
              <w:spacing w:before="20" w:after="20" w:line="220" w:lineRule="atLeast"/>
              <w:jc w:val="right"/>
              <w:cnfStyle w:val="000000100000" w:firstRow="0" w:lastRow="0" w:firstColumn="0" w:lastColumn="0" w:oddVBand="0" w:evenVBand="0" w:oddHBand="1" w:evenHBand="0" w:firstRowFirstColumn="0" w:firstRowLastColumn="0" w:lastRowFirstColumn="0" w:lastRowLastColumn="0"/>
            </w:pPr>
            <w:r w:rsidRPr="00B275E2">
              <w:t>70.6</w:t>
            </w:r>
          </w:p>
        </w:tc>
        <w:tc>
          <w:tcPr>
            <w:tcW w:w="1021" w:type="dxa"/>
          </w:tcPr>
          <w:p w14:paraId="650915EC" w14:textId="21D3A422" w:rsidR="0041106E" w:rsidRPr="00B275E2" w:rsidRDefault="0041106E" w:rsidP="00DD3B8D">
            <w:pPr>
              <w:pStyle w:val="TableText"/>
              <w:spacing w:before="20" w:after="20" w:line="220" w:lineRule="atLeast"/>
              <w:jc w:val="right"/>
              <w:cnfStyle w:val="000000100000" w:firstRow="0" w:lastRow="0" w:firstColumn="0" w:lastColumn="0" w:oddVBand="0" w:evenVBand="0" w:oddHBand="1" w:evenHBand="0" w:firstRowFirstColumn="0" w:firstRowLastColumn="0" w:lastRowFirstColumn="0" w:lastRowLastColumn="0"/>
            </w:pPr>
            <w:r w:rsidRPr="00B275E2">
              <w:t>68.2</w:t>
            </w:r>
          </w:p>
        </w:tc>
        <w:tc>
          <w:tcPr>
            <w:tcW w:w="1021" w:type="dxa"/>
          </w:tcPr>
          <w:p w14:paraId="650915ED" w14:textId="4F4C7255" w:rsidR="0041106E" w:rsidRPr="00B275E2" w:rsidRDefault="0041106E" w:rsidP="00DD3B8D">
            <w:pPr>
              <w:pStyle w:val="TableText"/>
              <w:spacing w:before="20" w:after="20" w:line="220" w:lineRule="atLeast"/>
              <w:jc w:val="right"/>
              <w:cnfStyle w:val="000000100000" w:firstRow="0" w:lastRow="0" w:firstColumn="0" w:lastColumn="0" w:oddVBand="0" w:evenVBand="0" w:oddHBand="1" w:evenHBand="0" w:firstRowFirstColumn="0" w:firstRowLastColumn="0" w:lastRowFirstColumn="0" w:lastRowLastColumn="0"/>
            </w:pPr>
            <w:r w:rsidRPr="00B275E2">
              <w:t>0.480</w:t>
            </w:r>
          </w:p>
        </w:tc>
        <w:tc>
          <w:tcPr>
            <w:tcW w:w="1021" w:type="dxa"/>
          </w:tcPr>
          <w:p w14:paraId="650915EE" w14:textId="42CB19BE" w:rsidR="0041106E" w:rsidRPr="00B275E2" w:rsidRDefault="0041106E" w:rsidP="00DD3B8D">
            <w:pPr>
              <w:pStyle w:val="TableText"/>
              <w:spacing w:before="20" w:after="20" w:line="220" w:lineRule="atLeast"/>
              <w:jc w:val="right"/>
              <w:cnfStyle w:val="000000100000" w:firstRow="0" w:lastRow="0" w:firstColumn="0" w:lastColumn="0" w:oddVBand="0" w:evenVBand="0" w:oddHBand="1" w:evenHBand="0" w:firstRowFirstColumn="0" w:firstRowLastColumn="0" w:lastRowFirstColumn="0" w:lastRowLastColumn="0"/>
            </w:pPr>
            <w:r w:rsidRPr="00B275E2">
              <w:t>1.90</w:t>
            </w:r>
          </w:p>
        </w:tc>
        <w:tc>
          <w:tcPr>
            <w:tcW w:w="1134" w:type="dxa"/>
            <w:tcBorders>
              <w:right w:val="single" w:sz="4" w:space="0" w:color="FFFFFF" w:themeColor="background1"/>
            </w:tcBorders>
          </w:tcPr>
          <w:p w14:paraId="650915EF" w14:textId="77777777" w:rsidR="0041106E" w:rsidRPr="00B275E2" w:rsidRDefault="0041106E" w:rsidP="00DD3B8D">
            <w:pPr>
              <w:pStyle w:val="TableText"/>
              <w:spacing w:before="20" w:after="20" w:line="220" w:lineRule="atLeast"/>
              <w:jc w:val="right"/>
              <w:cnfStyle w:val="000000100000" w:firstRow="0" w:lastRow="0" w:firstColumn="0" w:lastColumn="0" w:oddVBand="0" w:evenVBand="0" w:oddHBand="1" w:evenHBand="0" w:firstRowFirstColumn="0" w:firstRowLastColumn="0" w:lastRowFirstColumn="0" w:lastRowLastColumn="0"/>
            </w:pPr>
            <w:r w:rsidRPr="00B275E2">
              <w:rPr>
                <w:rFonts w:eastAsia="Times New Roman"/>
                <w:color w:val="000000"/>
              </w:rPr>
              <w:t>0.1%</w:t>
            </w:r>
          </w:p>
        </w:tc>
      </w:tr>
      <w:tr w:rsidR="00E0760E" w:rsidRPr="00B275E2" w14:paraId="650915F8" w14:textId="77777777" w:rsidTr="28059CFA">
        <w:tc>
          <w:tcPr>
            <w:cnfStyle w:val="001000000000" w:firstRow="0" w:lastRow="0" w:firstColumn="1" w:lastColumn="0" w:oddVBand="0" w:evenVBand="0" w:oddHBand="0" w:evenHBand="0" w:firstRowFirstColumn="0" w:firstRowLastColumn="0" w:lastRowFirstColumn="0" w:lastRowLastColumn="0"/>
            <w:tcW w:w="2098" w:type="dxa"/>
            <w:vMerge/>
          </w:tcPr>
          <w:p w14:paraId="650915F1" w14:textId="77777777" w:rsidR="0041106E" w:rsidRPr="00B275E2" w:rsidRDefault="0041106E" w:rsidP="00DD3B8D">
            <w:pPr>
              <w:pStyle w:val="TableText"/>
              <w:spacing w:before="20" w:after="20" w:line="220" w:lineRule="atLeast"/>
              <w:rPr>
                <w:b w:val="0"/>
              </w:rPr>
            </w:pPr>
          </w:p>
        </w:tc>
        <w:tc>
          <w:tcPr>
            <w:tcW w:w="567" w:type="dxa"/>
          </w:tcPr>
          <w:p w14:paraId="650915F2" w14:textId="77777777" w:rsidR="0041106E" w:rsidRPr="00B275E2" w:rsidRDefault="0041106E" w:rsidP="00DD3B8D">
            <w:pPr>
              <w:pStyle w:val="TableText"/>
              <w:spacing w:before="20" w:after="20" w:line="220" w:lineRule="atLeast"/>
              <w:cnfStyle w:val="000000000000" w:firstRow="0" w:lastRow="0" w:firstColumn="0" w:lastColumn="0" w:oddVBand="0" w:evenVBand="0" w:oddHBand="0" w:evenHBand="0" w:firstRowFirstColumn="0" w:firstRowLastColumn="0" w:lastRowFirstColumn="0" w:lastRowLastColumn="0"/>
            </w:pPr>
            <w:r w:rsidRPr="00B275E2">
              <w:rPr>
                <w:rFonts w:eastAsia="Times New Roman"/>
                <w:color w:val="000000"/>
              </w:rPr>
              <w:t>litre</w:t>
            </w:r>
          </w:p>
        </w:tc>
        <w:tc>
          <w:tcPr>
            <w:tcW w:w="1134" w:type="dxa"/>
            <w:shd w:val="clear" w:color="auto" w:fill="D2DDE1" w:themeFill="background2"/>
          </w:tcPr>
          <w:p w14:paraId="650915F3" w14:textId="32EAB7EE" w:rsidR="0041106E" w:rsidRPr="00B275E2" w:rsidRDefault="00E813F5" w:rsidP="00DD3B8D">
            <w:pPr>
              <w:pStyle w:val="TableText"/>
              <w:spacing w:before="20" w:after="20" w:line="220" w:lineRule="atLeast"/>
              <w:jc w:val="right"/>
              <w:cnfStyle w:val="000000000000" w:firstRow="0" w:lastRow="0" w:firstColumn="0" w:lastColumn="0" w:oddVBand="0" w:evenVBand="0" w:oddHBand="0" w:evenHBand="0" w:firstRowFirstColumn="0" w:firstRowLastColumn="0" w:lastRowFirstColumn="0" w:lastRowLastColumn="0"/>
            </w:pPr>
            <w:r w:rsidRPr="00B275E2">
              <w:t>2.63</w:t>
            </w:r>
          </w:p>
        </w:tc>
        <w:tc>
          <w:tcPr>
            <w:tcW w:w="1021" w:type="dxa"/>
          </w:tcPr>
          <w:p w14:paraId="650915F4" w14:textId="719EFA47" w:rsidR="0041106E" w:rsidRPr="00B275E2" w:rsidRDefault="00E813F5" w:rsidP="00DD3B8D">
            <w:pPr>
              <w:pStyle w:val="TableText"/>
              <w:spacing w:before="20" w:after="20" w:line="220" w:lineRule="atLeast"/>
              <w:jc w:val="right"/>
              <w:cnfStyle w:val="000000000000" w:firstRow="0" w:lastRow="0" w:firstColumn="0" w:lastColumn="0" w:oddVBand="0" w:evenVBand="0" w:oddHBand="0" w:evenHBand="0" w:firstRowFirstColumn="0" w:firstRowLastColumn="0" w:lastRowFirstColumn="0" w:lastRowLastColumn="0"/>
            </w:pPr>
            <w:r w:rsidRPr="00B275E2">
              <w:t>2.54</w:t>
            </w:r>
          </w:p>
        </w:tc>
        <w:tc>
          <w:tcPr>
            <w:tcW w:w="1021" w:type="dxa"/>
          </w:tcPr>
          <w:p w14:paraId="650915F5" w14:textId="7AF4674E" w:rsidR="0041106E" w:rsidRPr="00B275E2" w:rsidRDefault="00E813F5" w:rsidP="00DD3B8D">
            <w:pPr>
              <w:pStyle w:val="TableText"/>
              <w:spacing w:before="20" w:after="20" w:line="220" w:lineRule="atLeast"/>
              <w:jc w:val="right"/>
              <w:cnfStyle w:val="000000000000" w:firstRow="0" w:lastRow="0" w:firstColumn="0" w:lastColumn="0" w:oddVBand="0" w:evenVBand="0" w:oddHBand="0" w:evenHBand="0" w:firstRowFirstColumn="0" w:firstRowLastColumn="0" w:lastRowFirstColumn="0" w:lastRowLastColumn="0"/>
            </w:pPr>
            <w:r w:rsidRPr="00B275E2">
              <w:t>0.0179</w:t>
            </w:r>
          </w:p>
        </w:tc>
        <w:tc>
          <w:tcPr>
            <w:tcW w:w="1021" w:type="dxa"/>
          </w:tcPr>
          <w:p w14:paraId="650915F6" w14:textId="0D2C22BC" w:rsidR="0041106E" w:rsidRPr="00B275E2" w:rsidRDefault="00E813F5" w:rsidP="00DD3B8D">
            <w:pPr>
              <w:pStyle w:val="TableText"/>
              <w:tabs>
                <w:tab w:val="center" w:pos="459"/>
                <w:tab w:val="right" w:pos="918"/>
              </w:tabs>
              <w:spacing w:before="20" w:after="20" w:line="220" w:lineRule="atLeast"/>
              <w:jc w:val="right"/>
              <w:cnfStyle w:val="000000000000" w:firstRow="0" w:lastRow="0" w:firstColumn="0" w:lastColumn="0" w:oddVBand="0" w:evenVBand="0" w:oddHBand="0" w:evenHBand="0" w:firstRowFirstColumn="0" w:firstRowLastColumn="0" w:lastRowFirstColumn="0" w:lastRowLastColumn="0"/>
            </w:pPr>
            <w:r w:rsidRPr="00B275E2">
              <w:tab/>
              <w:t>0.0707</w:t>
            </w:r>
          </w:p>
        </w:tc>
        <w:tc>
          <w:tcPr>
            <w:tcW w:w="1134" w:type="dxa"/>
            <w:tcBorders>
              <w:right w:val="single" w:sz="4" w:space="0" w:color="FFFFFF" w:themeColor="background1"/>
            </w:tcBorders>
          </w:tcPr>
          <w:p w14:paraId="650915F7" w14:textId="77777777" w:rsidR="0041106E" w:rsidRPr="00B275E2" w:rsidRDefault="0041106E" w:rsidP="00DD3B8D">
            <w:pPr>
              <w:pStyle w:val="TableText"/>
              <w:spacing w:before="20" w:after="20" w:line="220" w:lineRule="atLeast"/>
              <w:jc w:val="right"/>
              <w:cnfStyle w:val="000000000000" w:firstRow="0" w:lastRow="0" w:firstColumn="0" w:lastColumn="0" w:oddVBand="0" w:evenVBand="0" w:oddHBand="0" w:evenHBand="0" w:firstRowFirstColumn="0" w:firstRowLastColumn="0" w:lastRowFirstColumn="0" w:lastRowLastColumn="0"/>
            </w:pPr>
            <w:r w:rsidRPr="00B275E2">
              <w:rPr>
                <w:rFonts w:eastAsia="Times New Roman"/>
                <w:color w:val="000000"/>
              </w:rPr>
              <w:t>0.1%</w:t>
            </w:r>
          </w:p>
        </w:tc>
      </w:tr>
      <w:tr w:rsidR="00E0760E" w:rsidRPr="00B275E2" w14:paraId="65091600" w14:textId="77777777" w:rsidTr="28059C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8" w:type="dxa"/>
            <w:vMerge w:val="restart"/>
            <w:tcBorders>
              <w:left w:val="single" w:sz="4" w:space="0" w:color="FFFFFF" w:themeColor="background1"/>
            </w:tcBorders>
          </w:tcPr>
          <w:p w14:paraId="650915F9" w14:textId="4FD19668" w:rsidR="0041106E" w:rsidRPr="00B275E2" w:rsidRDefault="0041106E" w:rsidP="00DD3B8D">
            <w:pPr>
              <w:pStyle w:val="TableText"/>
              <w:spacing w:before="20" w:after="20" w:line="220" w:lineRule="atLeast"/>
              <w:rPr>
                <w:b w:val="0"/>
              </w:rPr>
            </w:pPr>
            <w:r w:rsidRPr="00B275E2">
              <w:rPr>
                <w:rFonts w:eastAsia="Times New Roman"/>
                <w:b w:val="0"/>
                <w:color w:val="000000"/>
              </w:rPr>
              <w:t>Aviation gas</w:t>
            </w:r>
            <w:r w:rsidR="00BE7D2E" w:rsidRPr="00B275E2">
              <w:rPr>
                <w:rFonts w:eastAsia="Times New Roman"/>
                <w:b w:val="0"/>
                <w:color w:val="000000"/>
              </w:rPr>
              <w:t>oline</w:t>
            </w:r>
          </w:p>
        </w:tc>
        <w:tc>
          <w:tcPr>
            <w:tcW w:w="567" w:type="dxa"/>
          </w:tcPr>
          <w:p w14:paraId="650915FA" w14:textId="77777777" w:rsidR="0041106E" w:rsidRPr="00B275E2" w:rsidRDefault="0041106E" w:rsidP="00DD3B8D">
            <w:pPr>
              <w:pStyle w:val="TableText"/>
              <w:spacing w:before="20" w:after="20" w:line="220" w:lineRule="atLeast"/>
              <w:cnfStyle w:val="000000100000" w:firstRow="0" w:lastRow="0" w:firstColumn="0" w:lastColumn="0" w:oddVBand="0" w:evenVBand="0" w:oddHBand="1" w:evenHBand="0" w:firstRowFirstColumn="0" w:firstRowLastColumn="0" w:lastRowFirstColumn="0" w:lastRowLastColumn="0"/>
            </w:pPr>
            <w:r w:rsidRPr="00B275E2">
              <w:rPr>
                <w:rFonts w:eastAsia="Times New Roman"/>
                <w:color w:val="000000"/>
              </w:rPr>
              <w:t>GJ</w:t>
            </w:r>
          </w:p>
        </w:tc>
        <w:tc>
          <w:tcPr>
            <w:tcW w:w="1134" w:type="dxa"/>
            <w:shd w:val="clear" w:color="auto" w:fill="D2DDE1" w:themeFill="background2"/>
          </w:tcPr>
          <w:p w14:paraId="650915FB" w14:textId="724E0A19" w:rsidR="0041106E" w:rsidRPr="00B275E2" w:rsidRDefault="0041106E" w:rsidP="00DD3B8D">
            <w:pPr>
              <w:pStyle w:val="TableText"/>
              <w:spacing w:before="20" w:after="20" w:line="220" w:lineRule="atLeast"/>
              <w:jc w:val="right"/>
              <w:cnfStyle w:val="000000100000" w:firstRow="0" w:lastRow="0" w:firstColumn="0" w:lastColumn="0" w:oddVBand="0" w:evenVBand="0" w:oddHBand="1" w:evenHBand="0" w:firstRowFirstColumn="0" w:firstRowLastColumn="0" w:lastRowFirstColumn="0" w:lastRowLastColumn="0"/>
            </w:pPr>
            <w:r w:rsidRPr="00B275E2">
              <w:t>68.3</w:t>
            </w:r>
          </w:p>
        </w:tc>
        <w:tc>
          <w:tcPr>
            <w:tcW w:w="1021" w:type="dxa"/>
          </w:tcPr>
          <w:p w14:paraId="650915FC" w14:textId="36E64DCE" w:rsidR="0041106E" w:rsidRPr="00B275E2" w:rsidRDefault="0041106E" w:rsidP="00DD3B8D">
            <w:pPr>
              <w:pStyle w:val="TableText"/>
              <w:spacing w:before="20" w:after="20" w:line="220" w:lineRule="atLeast"/>
              <w:jc w:val="right"/>
              <w:cnfStyle w:val="000000100000" w:firstRow="0" w:lastRow="0" w:firstColumn="0" w:lastColumn="0" w:oddVBand="0" w:evenVBand="0" w:oddHBand="1" w:evenHBand="0" w:firstRowFirstColumn="0" w:firstRowLastColumn="0" w:lastRowFirstColumn="0" w:lastRowLastColumn="0"/>
            </w:pPr>
            <w:r w:rsidRPr="00B275E2">
              <w:t>65.9</w:t>
            </w:r>
          </w:p>
        </w:tc>
        <w:tc>
          <w:tcPr>
            <w:tcW w:w="1021" w:type="dxa"/>
          </w:tcPr>
          <w:p w14:paraId="650915FD" w14:textId="3C43A0E4" w:rsidR="0041106E" w:rsidRPr="00B275E2" w:rsidRDefault="0041106E" w:rsidP="00DD3B8D">
            <w:pPr>
              <w:pStyle w:val="TableText"/>
              <w:spacing w:before="20" w:after="20" w:line="220" w:lineRule="atLeast"/>
              <w:jc w:val="right"/>
              <w:cnfStyle w:val="000000100000" w:firstRow="0" w:lastRow="0" w:firstColumn="0" w:lastColumn="0" w:oddVBand="0" w:evenVBand="0" w:oddHBand="1" w:evenHBand="0" w:firstRowFirstColumn="0" w:firstRowLastColumn="0" w:lastRowFirstColumn="0" w:lastRowLastColumn="0"/>
            </w:pPr>
            <w:r w:rsidRPr="00B275E2">
              <w:t>0.480</w:t>
            </w:r>
          </w:p>
        </w:tc>
        <w:tc>
          <w:tcPr>
            <w:tcW w:w="1021" w:type="dxa"/>
          </w:tcPr>
          <w:p w14:paraId="650915FE" w14:textId="0980287E" w:rsidR="0041106E" w:rsidRPr="00B275E2" w:rsidRDefault="0041106E" w:rsidP="00DD3B8D">
            <w:pPr>
              <w:pStyle w:val="TableText"/>
              <w:spacing w:before="20" w:after="20" w:line="220" w:lineRule="atLeast"/>
              <w:jc w:val="right"/>
              <w:cnfStyle w:val="000000100000" w:firstRow="0" w:lastRow="0" w:firstColumn="0" w:lastColumn="0" w:oddVBand="0" w:evenVBand="0" w:oddHBand="1" w:evenHBand="0" w:firstRowFirstColumn="0" w:firstRowLastColumn="0" w:lastRowFirstColumn="0" w:lastRowLastColumn="0"/>
            </w:pPr>
            <w:r w:rsidRPr="00B275E2">
              <w:t>1.90</w:t>
            </w:r>
          </w:p>
        </w:tc>
        <w:tc>
          <w:tcPr>
            <w:tcW w:w="1134" w:type="dxa"/>
            <w:tcBorders>
              <w:right w:val="single" w:sz="4" w:space="0" w:color="FFFFFF" w:themeColor="background1"/>
            </w:tcBorders>
          </w:tcPr>
          <w:p w14:paraId="650915FF" w14:textId="77777777" w:rsidR="0041106E" w:rsidRPr="00B275E2" w:rsidRDefault="0041106E" w:rsidP="00DD3B8D">
            <w:pPr>
              <w:pStyle w:val="TableText"/>
              <w:spacing w:before="20" w:after="20" w:line="220" w:lineRule="atLeast"/>
              <w:jc w:val="right"/>
              <w:cnfStyle w:val="000000100000" w:firstRow="0" w:lastRow="0" w:firstColumn="0" w:lastColumn="0" w:oddVBand="0" w:evenVBand="0" w:oddHBand="1" w:evenHBand="0" w:firstRowFirstColumn="0" w:firstRowLastColumn="0" w:lastRowFirstColumn="0" w:lastRowLastColumn="0"/>
            </w:pPr>
            <w:r w:rsidRPr="00B275E2">
              <w:rPr>
                <w:rFonts w:eastAsia="Times New Roman"/>
                <w:color w:val="000000"/>
              </w:rPr>
              <w:t>0.1%</w:t>
            </w:r>
          </w:p>
        </w:tc>
      </w:tr>
      <w:tr w:rsidR="00E0760E" w:rsidRPr="00B275E2" w14:paraId="65091608" w14:textId="77777777" w:rsidTr="28059CFA">
        <w:tc>
          <w:tcPr>
            <w:cnfStyle w:val="001000000000" w:firstRow="0" w:lastRow="0" w:firstColumn="1" w:lastColumn="0" w:oddVBand="0" w:evenVBand="0" w:oddHBand="0" w:evenHBand="0" w:firstRowFirstColumn="0" w:firstRowLastColumn="0" w:lastRowFirstColumn="0" w:lastRowLastColumn="0"/>
            <w:tcW w:w="2098" w:type="dxa"/>
            <w:vMerge/>
          </w:tcPr>
          <w:p w14:paraId="65091601" w14:textId="77777777" w:rsidR="0041106E" w:rsidRPr="00B275E2" w:rsidRDefault="0041106E" w:rsidP="00DD3B8D">
            <w:pPr>
              <w:pStyle w:val="TableText"/>
              <w:spacing w:before="20" w:after="20" w:line="220" w:lineRule="atLeast"/>
            </w:pPr>
          </w:p>
        </w:tc>
        <w:tc>
          <w:tcPr>
            <w:tcW w:w="567" w:type="dxa"/>
          </w:tcPr>
          <w:p w14:paraId="65091602" w14:textId="77777777" w:rsidR="0041106E" w:rsidRPr="00B275E2" w:rsidRDefault="0041106E" w:rsidP="00DD3B8D">
            <w:pPr>
              <w:pStyle w:val="TableText"/>
              <w:spacing w:before="20" w:after="20" w:line="220" w:lineRule="atLeast"/>
              <w:cnfStyle w:val="000000000000" w:firstRow="0" w:lastRow="0" w:firstColumn="0" w:lastColumn="0" w:oddVBand="0" w:evenVBand="0" w:oddHBand="0" w:evenHBand="0" w:firstRowFirstColumn="0" w:firstRowLastColumn="0" w:lastRowFirstColumn="0" w:lastRowLastColumn="0"/>
            </w:pPr>
            <w:r w:rsidRPr="00B275E2">
              <w:rPr>
                <w:rFonts w:eastAsia="Times New Roman"/>
                <w:color w:val="000000"/>
              </w:rPr>
              <w:t>litre</w:t>
            </w:r>
          </w:p>
        </w:tc>
        <w:tc>
          <w:tcPr>
            <w:tcW w:w="1134" w:type="dxa"/>
            <w:shd w:val="clear" w:color="auto" w:fill="D2DDE1" w:themeFill="background2"/>
          </w:tcPr>
          <w:p w14:paraId="65091603" w14:textId="713D4276" w:rsidR="0041106E" w:rsidRPr="00B275E2" w:rsidRDefault="00E813F5" w:rsidP="00DD3B8D">
            <w:pPr>
              <w:pStyle w:val="TableText"/>
              <w:spacing w:before="20" w:after="20" w:line="220" w:lineRule="atLeast"/>
              <w:jc w:val="right"/>
              <w:cnfStyle w:val="000000000000" w:firstRow="0" w:lastRow="0" w:firstColumn="0" w:lastColumn="0" w:oddVBand="0" w:evenVBand="0" w:oddHBand="0" w:evenHBand="0" w:firstRowFirstColumn="0" w:firstRowLastColumn="0" w:lastRowFirstColumn="0" w:lastRowLastColumn="0"/>
            </w:pPr>
            <w:r w:rsidRPr="00B275E2">
              <w:t>2.31</w:t>
            </w:r>
          </w:p>
        </w:tc>
        <w:tc>
          <w:tcPr>
            <w:tcW w:w="1021" w:type="dxa"/>
          </w:tcPr>
          <w:p w14:paraId="65091604" w14:textId="562BA399" w:rsidR="0041106E" w:rsidRPr="00B275E2" w:rsidRDefault="00E813F5" w:rsidP="00DD3B8D">
            <w:pPr>
              <w:pStyle w:val="TableText"/>
              <w:spacing w:before="20" w:after="20" w:line="220" w:lineRule="atLeast"/>
              <w:jc w:val="right"/>
              <w:cnfStyle w:val="000000000000" w:firstRow="0" w:lastRow="0" w:firstColumn="0" w:lastColumn="0" w:oddVBand="0" w:evenVBand="0" w:oddHBand="0" w:evenHBand="0" w:firstRowFirstColumn="0" w:firstRowLastColumn="0" w:lastRowFirstColumn="0" w:lastRowLastColumn="0"/>
            </w:pPr>
            <w:r w:rsidRPr="00B275E2">
              <w:t>2.23</w:t>
            </w:r>
          </w:p>
        </w:tc>
        <w:tc>
          <w:tcPr>
            <w:tcW w:w="1021" w:type="dxa"/>
          </w:tcPr>
          <w:p w14:paraId="65091605" w14:textId="633012CD" w:rsidR="0041106E" w:rsidRPr="00B275E2" w:rsidRDefault="00E813F5" w:rsidP="00DD3B8D">
            <w:pPr>
              <w:pStyle w:val="TableText"/>
              <w:spacing w:before="20" w:after="20" w:line="220" w:lineRule="atLeast"/>
              <w:jc w:val="right"/>
              <w:cnfStyle w:val="000000000000" w:firstRow="0" w:lastRow="0" w:firstColumn="0" w:lastColumn="0" w:oddVBand="0" w:evenVBand="0" w:oddHBand="0" w:evenHBand="0" w:firstRowFirstColumn="0" w:firstRowLastColumn="0" w:lastRowFirstColumn="0" w:lastRowLastColumn="0"/>
            </w:pPr>
            <w:r w:rsidRPr="00B275E2">
              <w:t>0.0163</w:t>
            </w:r>
          </w:p>
        </w:tc>
        <w:tc>
          <w:tcPr>
            <w:tcW w:w="1021" w:type="dxa"/>
          </w:tcPr>
          <w:p w14:paraId="65091606" w14:textId="464E23BB" w:rsidR="0041106E" w:rsidRPr="00B275E2" w:rsidRDefault="00E813F5" w:rsidP="00DD3B8D">
            <w:pPr>
              <w:pStyle w:val="TableText"/>
              <w:spacing w:before="20" w:after="20" w:line="220" w:lineRule="atLeast"/>
              <w:jc w:val="right"/>
              <w:cnfStyle w:val="000000000000" w:firstRow="0" w:lastRow="0" w:firstColumn="0" w:lastColumn="0" w:oddVBand="0" w:evenVBand="0" w:oddHBand="0" w:evenHBand="0" w:firstRowFirstColumn="0" w:firstRowLastColumn="0" w:lastRowFirstColumn="0" w:lastRowLastColumn="0"/>
            </w:pPr>
            <w:r w:rsidRPr="00B275E2">
              <w:t>0.0643</w:t>
            </w:r>
          </w:p>
        </w:tc>
        <w:tc>
          <w:tcPr>
            <w:tcW w:w="1134" w:type="dxa"/>
            <w:tcBorders>
              <w:right w:val="single" w:sz="4" w:space="0" w:color="FFFFFF" w:themeColor="background1"/>
            </w:tcBorders>
          </w:tcPr>
          <w:p w14:paraId="65091607" w14:textId="77777777" w:rsidR="0041106E" w:rsidRPr="00B275E2" w:rsidRDefault="0041106E" w:rsidP="00DD3B8D">
            <w:pPr>
              <w:pStyle w:val="TableText"/>
              <w:spacing w:before="20" w:after="20" w:line="220" w:lineRule="atLeast"/>
              <w:jc w:val="right"/>
              <w:cnfStyle w:val="000000000000" w:firstRow="0" w:lastRow="0" w:firstColumn="0" w:lastColumn="0" w:oddVBand="0" w:evenVBand="0" w:oddHBand="0" w:evenHBand="0" w:firstRowFirstColumn="0" w:firstRowLastColumn="0" w:lastRowFirstColumn="0" w:lastRowLastColumn="0"/>
            </w:pPr>
            <w:r w:rsidRPr="00B275E2">
              <w:rPr>
                <w:rFonts w:eastAsia="Times New Roman"/>
                <w:color w:val="000000"/>
              </w:rPr>
              <w:t>0.1%</w:t>
            </w:r>
          </w:p>
        </w:tc>
      </w:tr>
    </w:tbl>
    <w:p w14:paraId="1DA6C859" w14:textId="77777777" w:rsidR="00CA7D14" w:rsidRPr="00B275E2" w:rsidRDefault="0022416C" w:rsidP="00DD3B8D">
      <w:pPr>
        <w:pStyle w:val="Note"/>
        <w:spacing w:after="60" w:line="220" w:lineRule="atLeast"/>
      </w:pPr>
      <w:r w:rsidRPr="00B275E2">
        <w:t>Note</w:t>
      </w:r>
      <w:r w:rsidR="001C2C5A" w:rsidRPr="00B275E2">
        <w:t>s</w:t>
      </w:r>
      <w:r w:rsidR="00CB487A" w:rsidRPr="00B275E2">
        <w:t>:</w:t>
      </w:r>
      <w:r w:rsidR="00917653" w:rsidRPr="00B275E2">
        <w:t xml:space="preserve"> </w:t>
      </w:r>
    </w:p>
    <w:p w14:paraId="66D520CA" w14:textId="188E1420" w:rsidR="00336247" w:rsidRPr="00B275E2" w:rsidRDefault="00CB487A" w:rsidP="00C24B73">
      <w:pPr>
        <w:pStyle w:val="Note"/>
        <w:numPr>
          <w:ilvl w:val="0"/>
          <w:numId w:val="36"/>
        </w:numPr>
        <w:spacing w:before="0" w:after="60" w:line="220" w:lineRule="atLeast"/>
        <w:ind w:left="397" w:hanging="397"/>
      </w:pPr>
      <w:r w:rsidRPr="00B275E2">
        <w:t xml:space="preserve">These </w:t>
      </w:r>
      <w:r w:rsidR="0022416C" w:rsidRPr="00B275E2">
        <w:t>numbers are rounded to three significant figures.</w:t>
      </w:r>
      <w:bookmarkStart w:id="152" w:name="_Hlk532755132"/>
      <w:r w:rsidR="0022416C" w:rsidRPr="00B275E2">
        <w:t xml:space="preserve"> </w:t>
      </w:r>
    </w:p>
    <w:p w14:paraId="2E2026BC" w14:textId="7C6C6E6C" w:rsidR="001C2C5A" w:rsidRPr="00B275E2" w:rsidRDefault="5552D81E" w:rsidP="00C24B73">
      <w:pPr>
        <w:pStyle w:val="Note"/>
        <w:numPr>
          <w:ilvl w:val="0"/>
          <w:numId w:val="36"/>
        </w:numPr>
        <w:spacing w:before="0" w:after="60" w:line="220" w:lineRule="atLeast"/>
        <w:ind w:left="397" w:hanging="397"/>
      </w:pPr>
      <w:r>
        <w:t>No estimates are available for marine diesel as the refinery has stopped making the marine diesel blend. If an organisation was using marine diesel, it is now likely to be using light fuel oil; so the corresponding emission factor for light fuel oil should be used instead.</w:t>
      </w:r>
    </w:p>
    <w:p w14:paraId="1F4E85C2" w14:textId="7D26FADA" w:rsidR="009918B3" w:rsidRPr="00B275E2" w:rsidRDefault="009918B3" w:rsidP="00DD3B8D">
      <w:pPr>
        <w:spacing w:line="220" w:lineRule="atLeast"/>
        <w:rPr>
          <w:rFonts w:eastAsiaTheme="minorEastAsia" w:cstheme="minorBidi"/>
          <w:sz w:val="18"/>
          <w:szCs w:val="18"/>
          <w:lang w:val="en-NZ" w:eastAsia="en-NZ"/>
        </w:rPr>
      </w:pPr>
      <w:r w:rsidRPr="00B275E2">
        <w:rPr>
          <w:rFonts w:eastAsiaTheme="minorEastAsia" w:cstheme="minorBidi"/>
          <w:sz w:val="18"/>
          <w:szCs w:val="22"/>
          <w:lang w:val="en-NZ" w:eastAsia="en-NZ"/>
        </w:rPr>
        <w:t xml:space="preserve">These petrol emission factors are higher than the ones in ETS regulations so could be updated in future when the ETS </w:t>
      </w:r>
      <w:r w:rsidRPr="00B275E2">
        <w:rPr>
          <w:rFonts w:eastAsiaTheme="minorEastAsia" w:cstheme="minorBidi"/>
          <w:sz w:val="18"/>
          <w:szCs w:val="18"/>
          <w:lang w:val="en-NZ" w:eastAsia="en-NZ"/>
        </w:rPr>
        <w:t>emission factors are updated. The refinery closure will also affect them.</w:t>
      </w:r>
      <w:r w:rsidRPr="00B275E2">
        <w:rPr>
          <w:rStyle w:val="FootnoteReference"/>
          <w:rFonts w:eastAsiaTheme="minorEastAsia" w:cstheme="minorBidi"/>
          <w:sz w:val="18"/>
          <w:szCs w:val="18"/>
          <w:lang w:val="en-NZ" w:eastAsia="en-NZ"/>
        </w:rPr>
        <w:footnoteReference w:id="23"/>
      </w:r>
    </w:p>
    <w:p w14:paraId="09B2C6EF" w14:textId="5B60C790" w:rsidR="0041106E" w:rsidRPr="00B275E2" w:rsidRDefault="00301928" w:rsidP="006B7605">
      <w:pPr>
        <w:pStyle w:val="Heading3"/>
      </w:pPr>
      <w:bookmarkStart w:id="153" w:name="_Toc532904860"/>
      <w:bookmarkEnd w:id="152"/>
      <w:r w:rsidRPr="00B275E2">
        <w:lastRenderedPageBreak/>
        <w:t xml:space="preserve">GHG </w:t>
      </w:r>
      <w:r w:rsidR="0041106E" w:rsidRPr="00B275E2">
        <w:t>inventory development</w:t>
      </w:r>
      <w:bookmarkEnd w:id="153"/>
    </w:p>
    <w:p w14:paraId="2A8670CE" w14:textId="0204767F" w:rsidR="0041106E" w:rsidRPr="00B275E2" w:rsidRDefault="0041106E" w:rsidP="00DD3B8D">
      <w:pPr>
        <w:pStyle w:val="BodyText"/>
      </w:pPr>
      <w:r w:rsidRPr="00B275E2">
        <w:t xml:space="preserve">To calculate transport fuel emissions, collect data on the quantity of fuel used in the unit expressed. </w:t>
      </w:r>
      <w:r w:rsidR="00EA3E4C" w:rsidRPr="00B275E2">
        <w:t xml:space="preserve">Applying the equation </w:t>
      </w:r>
      <w:r w:rsidR="00A71EB9" w:rsidRPr="00B275E2">
        <w:t>E= Q x F</w:t>
      </w:r>
      <w:r w:rsidR="00EA3E4C" w:rsidRPr="00B275E2">
        <w:t xml:space="preserve"> </w:t>
      </w:r>
      <w:r w:rsidR="00A71EB9" w:rsidRPr="00B275E2">
        <w:t>(</w:t>
      </w:r>
      <w:hyperlink w:anchor="_How_to_calculate" w:history="1">
        <w:r w:rsidR="00CB487A" w:rsidRPr="00B275E2">
          <w:rPr>
            <w:rStyle w:val="Hyperlink"/>
          </w:rPr>
          <w:t>s</w:t>
        </w:r>
        <w:r w:rsidR="006D445E" w:rsidRPr="00B275E2">
          <w:rPr>
            <w:rStyle w:val="Hyperlink"/>
          </w:rPr>
          <w:t>ection</w:t>
        </w:r>
        <w:r w:rsidR="006D445E" w:rsidRPr="00B275E2">
          <w:rPr>
            <w:rStyle w:val="Hyperlink"/>
            <w:color w:val="auto"/>
          </w:rPr>
          <w:t xml:space="preserve"> </w:t>
        </w:r>
        <w:r w:rsidR="006D445E" w:rsidRPr="00B275E2">
          <w:rPr>
            <w:rStyle w:val="Hyperlink"/>
          </w:rPr>
          <w:t>2</w:t>
        </w:r>
      </w:hyperlink>
      <w:r w:rsidR="00A71EB9" w:rsidRPr="00B275E2">
        <w:rPr>
          <w:rStyle w:val="Hyperlink"/>
        </w:rPr>
        <w:t>)</w:t>
      </w:r>
      <w:r w:rsidR="00EA3E4C" w:rsidRPr="00B275E2">
        <w:t>, this means:</w:t>
      </w:r>
    </w:p>
    <w:p w14:paraId="0503C539" w14:textId="2B37F73C" w:rsidR="00A71EB9" w:rsidRPr="00B275E2" w:rsidRDefault="00A71EB9" w:rsidP="00DD3B8D">
      <w:pPr>
        <w:pStyle w:val="BodyText"/>
        <w:tabs>
          <w:tab w:val="left" w:pos="680"/>
          <w:tab w:val="left" w:pos="1134"/>
        </w:tabs>
        <w:contextualSpacing/>
      </w:pPr>
      <w:r w:rsidRPr="00B275E2">
        <w:t>E</w:t>
      </w:r>
      <w:r w:rsidRPr="00B275E2">
        <w:tab/>
        <w:t>=</w:t>
      </w:r>
      <w:r w:rsidRPr="00B275E2">
        <w:tab/>
        <w:t>emissions from the emissions source in kg CO</w:t>
      </w:r>
      <w:r w:rsidRPr="00B275E2">
        <w:rPr>
          <w:vertAlign w:val="subscript"/>
        </w:rPr>
        <w:t>2</w:t>
      </w:r>
      <w:r w:rsidRPr="00B275E2">
        <w:t>-e per year</w:t>
      </w:r>
    </w:p>
    <w:p w14:paraId="02A2483C" w14:textId="0B4E465F" w:rsidR="0041106E" w:rsidRPr="00B275E2" w:rsidRDefault="00ED6FAB" w:rsidP="00DD3B8D">
      <w:pPr>
        <w:pStyle w:val="BodyText"/>
        <w:tabs>
          <w:tab w:val="left" w:pos="680"/>
          <w:tab w:val="left" w:pos="1134"/>
        </w:tabs>
        <w:contextualSpacing/>
      </w:pPr>
      <w:r w:rsidRPr="00B275E2">
        <w:t>Q</w:t>
      </w:r>
      <w:r w:rsidRPr="00B275E2">
        <w:tab/>
      </w:r>
      <w:r w:rsidR="0041106E" w:rsidRPr="00B275E2">
        <w:t>=</w:t>
      </w:r>
      <w:r w:rsidRPr="00B275E2">
        <w:tab/>
      </w:r>
      <w:r w:rsidR="0041106E" w:rsidRPr="00B275E2">
        <w:t>quantity of fuel used (unit)</w:t>
      </w:r>
    </w:p>
    <w:p w14:paraId="26B9DE85" w14:textId="2292AB01" w:rsidR="0041106E" w:rsidRPr="00B275E2" w:rsidRDefault="00ED6FAB" w:rsidP="00DD3B8D">
      <w:pPr>
        <w:pStyle w:val="BodyText"/>
        <w:tabs>
          <w:tab w:val="left" w:pos="680"/>
          <w:tab w:val="left" w:pos="1134"/>
        </w:tabs>
        <w:contextualSpacing/>
      </w:pPr>
      <w:r w:rsidRPr="00B275E2">
        <w:t>F</w:t>
      </w:r>
      <w:r w:rsidRPr="00B275E2">
        <w:tab/>
        <w:t>=</w:t>
      </w:r>
      <w:r w:rsidRPr="00B275E2">
        <w:tab/>
      </w:r>
      <w:r w:rsidR="0041106E" w:rsidRPr="00B275E2">
        <w:t xml:space="preserve">appropriate emission factors from </w:t>
      </w:r>
      <w:r w:rsidR="00E424AB" w:rsidRPr="00B275E2">
        <w:rPr>
          <w:rStyle w:val="Hyperlink"/>
        </w:rPr>
        <w:t>table 4</w:t>
      </w:r>
    </w:p>
    <w:p w14:paraId="439A5B0D" w14:textId="0F94D851" w:rsidR="0041106E" w:rsidRPr="00B275E2" w:rsidRDefault="0041106E" w:rsidP="007F0B1E">
      <w:pPr>
        <w:pStyle w:val="BodyText"/>
        <w:spacing w:after="240"/>
      </w:pPr>
      <w:r w:rsidRPr="00B275E2">
        <w:t>All organisations across sectors typically report emissions using data on the amount of fuel used during the reporting period. Quantified units of fuel weight or volume (commonly in litres) are preferable. If this information is unavailable see section</w:t>
      </w:r>
      <w:r w:rsidR="00DE4319" w:rsidRPr="00B275E2">
        <w:t xml:space="preserve"> </w:t>
      </w:r>
      <w:r w:rsidR="00215A70" w:rsidRPr="00B275E2">
        <w:t>3.3.2: When no fuel data are</w:t>
      </w:r>
      <w:r w:rsidR="00DD3B8D" w:rsidRPr="00B275E2">
        <w:t> </w:t>
      </w:r>
      <w:r w:rsidR="00215A70" w:rsidRPr="00B275E2">
        <w:t>available</w:t>
      </w:r>
      <w:r w:rsidRPr="00B275E2">
        <w:t>.</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0"/>
      </w:tblGrid>
      <w:tr w:rsidR="00564258" w:rsidRPr="00B275E2" w:rsidDel="00D5390D" w14:paraId="255CA5D8" w14:textId="77777777" w:rsidTr="00E0423B">
        <w:tc>
          <w:tcPr>
            <w:tcW w:w="8500" w:type="dxa"/>
            <w:tcBorders>
              <w:top w:val="single" w:sz="4" w:space="0" w:color="0F7B7D"/>
              <w:left w:val="single" w:sz="4" w:space="0" w:color="0F7B7D"/>
              <w:bottom w:val="nil"/>
              <w:right w:val="single" w:sz="4" w:space="0" w:color="0F7B7D"/>
            </w:tcBorders>
            <w:shd w:val="clear" w:color="auto" w:fill="0F7B7D"/>
            <w:vAlign w:val="center"/>
          </w:tcPr>
          <w:p w14:paraId="5074A14B" w14:textId="1E9A1A10" w:rsidR="00564258" w:rsidRPr="00B275E2" w:rsidDel="00D5390D" w:rsidRDefault="00CF34FF" w:rsidP="00564258">
            <w:pPr>
              <w:pStyle w:val="Casestudyheading"/>
            </w:pPr>
            <w:bookmarkStart w:id="154" w:name="_Hlk532556882"/>
            <w:r w:rsidRPr="00B275E2">
              <w:t xml:space="preserve">transport fuel: </w:t>
            </w:r>
            <w:r w:rsidR="00564258" w:rsidRPr="00B275E2">
              <w:t>Example Calculation</w:t>
            </w:r>
          </w:p>
        </w:tc>
      </w:tr>
      <w:tr w:rsidR="00564258" w:rsidRPr="00B275E2" w14:paraId="17FFE2BA" w14:textId="77777777" w:rsidTr="00E0423B">
        <w:tc>
          <w:tcPr>
            <w:tcW w:w="8500" w:type="dxa"/>
            <w:tcBorders>
              <w:top w:val="nil"/>
              <w:left w:val="single" w:sz="4" w:space="0" w:color="D5EBE8" w:themeColor="accent3"/>
              <w:bottom w:val="single" w:sz="4" w:space="0" w:color="D5EBE8" w:themeColor="accent3"/>
              <w:right w:val="single" w:sz="4" w:space="0" w:color="D5EBE8" w:themeColor="accent3"/>
            </w:tcBorders>
            <w:shd w:val="clear" w:color="auto" w:fill="D5EBE8" w:themeFill="accent3"/>
          </w:tcPr>
          <w:p w14:paraId="6E532303" w14:textId="53365A97" w:rsidR="00564258" w:rsidRPr="00B275E2" w:rsidRDefault="00564258" w:rsidP="00E0423B">
            <w:pPr>
              <w:pStyle w:val="Boxtext"/>
              <w:spacing w:after="80"/>
            </w:pPr>
            <w:r w:rsidRPr="00B275E2">
              <w:t xml:space="preserve">An organisation has 15 petrol vehicles. They use a total of 40,000 litres of regular petrol in the reporting year. </w:t>
            </w:r>
          </w:p>
          <w:p w14:paraId="0673183D" w14:textId="488F4597" w:rsidR="00564258" w:rsidRPr="00B275E2" w:rsidRDefault="00564258" w:rsidP="00E0423B">
            <w:pPr>
              <w:pStyle w:val="Boxtext"/>
              <w:tabs>
                <w:tab w:val="left" w:pos="2934"/>
                <w:tab w:val="left" w:pos="4809"/>
              </w:tabs>
              <w:spacing w:before="20" w:after="20"/>
              <w:ind w:left="850"/>
            </w:pPr>
            <w:r w:rsidRPr="00B275E2">
              <w:t>CO</w:t>
            </w:r>
            <w:r w:rsidRPr="00B275E2">
              <w:rPr>
                <w:vertAlign w:val="subscript"/>
              </w:rPr>
              <w:t>2</w:t>
            </w:r>
            <w:r w:rsidRPr="00B275E2">
              <w:t xml:space="preserve"> emissions</w:t>
            </w:r>
            <w:r w:rsidRPr="00B275E2">
              <w:tab/>
              <w:t xml:space="preserve">= 40,000 </w:t>
            </w:r>
            <w:r w:rsidRPr="00B275E2">
              <w:rPr>
                <w:rFonts w:cs="Calibri"/>
              </w:rPr>
              <w:t>×</w:t>
            </w:r>
            <w:r w:rsidRPr="00B275E2">
              <w:t xml:space="preserve"> 2.35</w:t>
            </w:r>
            <w:r w:rsidRPr="00B275E2">
              <w:tab/>
            </w:r>
            <w:r w:rsidR="00033CC3" w:rsidRPr="00B275E2">
              <w:t xml:space="preserve"> </w:t>
            </w:r>
            <w:r w:rsidRPr="00B275E2">
              <w:t xml:space="preserve">= </w:t>
            </w:r>
            <w:r w:rsidR="00AE52EB" w:rsidRPr="00B275E2">
              <w:t>94,000</w:t>
            </w:r>
            <w:r w:rsidRPr="00B275E2">
              <w:t xml:space="preserve"> kg CO</w:t>
            </w:r>
            <w:r w:rsidRPr="00B275E2">
              <w:rPr>
                <w:vertAlign w:val="subscript"/>
              </w:rPr>
              <w:t>2</w:t>
            </w:r>
            <w:r w:rsidRPr="00B275E2">
              <w:t xml:space="preserve"> </w:t>
            </w:r>
          </w:p>
          <w:p w14:paraId="0875903D" w14:textId="5FA039C1" w:rsidR="00564258" w:rsidRPr="00B275E2" w:rsidRDefault="00564258" w:rsidP="00E0423B">
            <w:pPr>
              <w:pStyle w:val="Boxtext"/>
              <w:tabs>
                <w:tab w:val="left" w:pos="2934"/>
                <w:tab w:val="left" w:pos="4809"/>
              </w:tabs>
              <w:spacing w:before="20" w:after="20"/>
              <w:ind w:left="850"/>
            </w:pPr>
            <w:r w:rsidRPr="00B275E2">
              <w:t>CH</w:t>
            </w:r>
            <w:r w:rsidRPr="00B275E2">
              <w:rPr>
                <w:vertAlign w:val="subscript"/>
              </w:rPr>
              <w:t>4</w:t>
            </w:r>
            <w:r w:rsidRPr="00B275E2">
              <w:t xml:space="preserve"> emissions</w:t>
            </w:r>
            <w:r w:rsidRPr="00B275E2">
              <w:tab/>
              <w:t xml:space="preserve">= 40,000 </w:t>
            </w:r>
            <w:r w:rsidRPr="00B275E2">
              <w:rPr>
                <w:rFonts w:cs="Calibri"/>
              </w:rPr>
              <w:t>×</w:t>
            </w:r>
            <w:r w:rsidRPr="00B275E2">
              <w:t xml:space="preserve"> 0.0276</w:t>
            </w:r>
            <w:r w:rsidRPr="00B275E2">
              <w:tab/>
            </w:r>
            <w:r w:rsidR="00033CC3" w:rsidRPr="00B275E2">
              <w:t xml:space="preserve"> </w:t>
            </w:r>
            <w:r w:rsidRPr="00B275E2">
              <w:t>= 1,103 kg CO</w:t>
            </w:r>
            <w:r w:rsidRPr="00B275E2">
              <w:rPr>
                <w:vertAlign w:val="subscript"/>
              </w:rPr>
              <w:t>2</w:t>
            </w:r>
            <w:r w:rsidRPr="00B275E2">
              <w:t xml:space="preserve">-e </w:t>
            </w:r>
          </w:p>
          <w:p w14:paraId="212B30DB" w14:textId="47CE95A6" w:rsidR="00564258" w:rsidRPr="00B275E2" w:rsidRDefault="00564258" w:rsidP="00E0423B">
            <w:pPr>
              <w:pStyle w:val="Boxtext"/>
              <w:tabs>
                <w:tab w:val="left" w:pos="2934"/>
                <w:tab w:val="left" w:pos="4809"/>
              </w:tabs>
              <w:spacing w:before="20" w:after="20"/>
              <w:ind w:left="850"/>
            </w:pPr>
            <w:r w:rsidRPr="00B275E2">
              <w:t>N</w:t>
            </w:r>
            <w:r w:rsidRPr="00B275E2">
              <w:rPr>
                <w:vertAlign w:val="subscript"/>
              </w:rPr>
              <w:t>2</w:t>
            </w:r>
            <w:r w:rsidRPr="00B275E2">
              <w:t>O emissions</w:t>
            </w:r>
            <w:r w:rsidRPr="00B275E2">
              <w:tab/>
              <w:t xml:space="preserve">= 40,000 </w:t>
            </w:r>
            <w:r w:rsidRPr="00B275E2">
              <w:rPr>
                <w:rFonts w:cs="Calibri"/>
              </w:rPr>
              <w:t>×</w:t>
            </w:r>
            <w:r w:rsidRPr="00B275E2">
              <w:t xml:space="preserve"> 0.0797</w:t>
            </w:r>
            <w:r w:rsidRPr="00B275E2">
              <w:tab/>
            </w:r>
            <w:r w:rsidR="00033CC3" w:rsidRPr="00B275E2">
              <w:t xml:space="preserve"> </w:t>
            </w:r>
            <w:r w:rsidRPr="00B275E2">
              <w:t>= 3,186 kg CO</w:t>
            </w:r>
            <w:r w:rsidRPr="00B275E2">
              <w:rPr>
                <w:vertAlign w:val="subscript"/>
              </w:rPr>
              <w:t>2</w:t>
            </w:r>
            <w:r w:rsidRPr="00B275E2">
              <w:t xml:space="preserve">-e </w:t>
            </w:r>
          </w:p>
          <w:p w14:paraId="10FDF9FC" w14:textId="149C7787" w:rsidR="00564258" w:rsidRPr="00B275E2" w:rsidRDefault="00564258" w:rsidP="00E0423B">
            <w:pPr>
              <w:pStyle w:val="Boxtext"/>
              <w:tabs>
                <w:tab w:val="left" w:pos="2934"/>
                <w:tab w:val="left" w:pos="4809"/>
              </w:tabs>
              <w:spacing w:before="20" w:after="20"/>
              <w:ind w:left="850"/>
            </w:pPr>
            <w:r w:rsidRPr="00B275E2">
              <w:t>Total CO</w:t>
            </w:r>
            <w:r w:rsidRPr="00B275E2">
              <w:rPr>
                <w:vertAlign w:val="subscript"/>
              </w:rPr>
              <w:t>2</w:t>
            </w:r>
            <w:r w:rsidRPr="00B275E2">
              <w:t>-e emissions</w:t>
            </w:r>
            <w:r w:rsidRPr="00B275E2">
              <w:tab/>
              <w:t xml:space="preserve">= 40,000 </w:t>
            </w:r>
            <w:r w:rsidRPr="00B275E2">
              <w:rPr>
                <w:rFonts w:cs="Calibri"/>
              </w:rPr>
              <w:t>×</w:t>
            </w:r>
            <w:r w:rsidRPr="00B275E2">
              <w:t xml:space="preserve"> 2.4</w:t>
            </w:r>
            <w:r w:rsidR="00AC0C52" w:rsidRPr="00B275E2">
              <w:t>6</w:t>
            </w:r>
            <w:r w:rsidRPr="00B275E2">
              <w:tab/>
              <w:t>= 98,</w:t>
            </w:r>
            <w:r w:rsidR="00AC0C52" w:rsidRPr="00B275E2">
              <w:t>4</w:t>
            </w:r>
            <w:r w:rsidR="00AE52EB" w:rsidRPr="00B275E2">
              <w:t>0</w:t>
            </w:r>
            <w:r w:rsidRPr="00B275E2">
              <w:t>0 kg CO</w:t>
            </w:r>
            <w:r w:rsidRPr="00B275E2">
              <w:rPr>
                <w:vertAlign w:val="subscript"/>
              </w:rPr>
              <w:t>2</w:t>
            </w:r>
            <w:r w:rsidRPr="00B275E2">
              <w:t xml:space="preserve">-e </w:t>
            </w:r>
          </w:p>
          <w:p w14:paraId="7A6BE367" w14:textId="2E32F5C8" w:rsidR="00564258" w:rsidRPr="00B275E2" w:rsidRDefault="00741514" w:rsidP="00E0423B">
            <w:pPr>
              <w:pStyle w:val="Boxtext"/>
              <w:spacing w:after="180"/>
            </w:pPr>
            <w:r w:rsidRPr="00B275E2">
              <w:rPr>
                <w:sz w:val="18"/>
              </w:rPr>
              <w:t>N</w:t>
            </w:r>
            <w:r w:rsidR="00564258" w:rsidRPr="00B275E2">
              <w:rPr>
                <w:sz w:val="18"/>
              </w:rPr>
              <w:t>ote</w:t>
            </w:r>
            <w:r w:rsidR="00CA1B76" w:rsidRPr="00B275E2">
              <w:rPr>
                <w:sz w:val="18"/>
              </w:rPr>
              <w:t>:</w:t>
            </w:r>
            <w:r w:rsidR="00564258" w:rsidRPr="00B275E2">
              <w:rPr>
                <w:sz w:val="18"/>
              </w:rPr>
              <w:t xml:space="preserve"> </w:t>
            </w:r>
            <w:r w:rsidR="00CA1B76" w:rsidRPr="00B275E2">
              <w:rPr>
                <w:sz w:val="18"/>
              </w:rPr>
              <w:t>N</w:t>
            </w:r>
            <w:r w:rsidR="00564258" w:rsidRPr="00B275E2">
              <w:rPr>
                <w:sz w:val="18"/>
              </w:rPr>
              <w:t>umbers may not add due to rounding</w:t>
            </w:r>
            <w:r w:rsidR="00415675" w:rsidRPr="00B275E2">
              <w:rPr>
                <w:sz w:val="18"/>
              </w:rPr>
              <w:t>.</w:t>
            </w:r>
          </w:p>
        </w:tc>
      </w:tr>
    </w:tbl>
    <w:p w14:paraId="13A3DE30" w14:textId="59140FAC" w:rsidR="0041106E" w:rsidRPr="00B275E2" w:rsidRDefault="0041106E" w:rsidP="006B7605">
      <w:pPr>
        <w:pStyle w:val="Heading3"/>
      </w:pPr>
      <w:bookmarkStart w:id="155" w:name="_Toc532904861"/>
      <w:bookmarkStart w:id="156" w:name="_Ref532905802"/>
      <w:bookmarkStart w:id="157" w:name="_Ref607253"/>
      <w:bookmarkEnd w:id="154"/>
      <w:r w:rsidRPr="00B275E2">
        <w:t>Whe</w:t>
      </w:r>
      <w:r w:rsidR="0069175A" w:rsidRPr="00B275E2">
        <w:t>n</w:t>
      </w:r>
      <w:r w:rsidRPr="00B275E2">
        <w:t xml:space="preserve"> no fuel data </w:t>
      </w:r>
      <w:r w:rsidR="00A863CE" w:rsidRPr="00B275E2">
        <w:t xml:space="preserve">are </w:t>
      </w:r>
      <w:r w:rsidRPr="00B275E2">
        <w:t>available</w:t>
      </w:r>
      <w:bookmarkEnd w:id="155"/>
      <w:bookmarkEnd w:id="156"/>
      <w:bookmarkEnd w:id="157"/>
    </w:p>
    <w:p w14:paraId="108F9076" w14:textId="64365373" w:rsidR="0041106E" w:rsidRPr="00B275E2" w:rsidRDefault="0041106E" w:rsidP="00E0423B">
      <w:pPr>
        <w:pStyle w:val="BodyText"/>
      </w:pPr>
      <w:bookmarkStart w:id="158" w:name="_Hlk532891162"/>
      <w:r w:rsidRPr="00B275E2">
        <w:t>If your records only provide information on kilometres</w:t>
      </w:r>
      <w:r w:rsidR="00564258" w:rsidRPr="00B275E2">
        <w:t xml:space="preserve"> (km)</w:t>
      </w:r>
      <w:r w:rsidRPr="00B275E2">
        <w:t xml:space="preserve"> travelled, and you do not have information on fuel</w:t>
      </w:r>
      <w:r w:rsidR="0069175A" w:rsidRPr="00B275E2">
        <w:t xml:space="preserve"> </w:t>
      </w:r>
      <w:r w:rsidRPr="00B275E2">
        <w:t xml:space="preserve">use, see </w:t>
      </w:r>
      <w:hyperlink w:anchor="_Indirect_business_related_1" w:history="1">
        <w:r w:rsidR="00564258" w:rsidRPr="00B275E2">
          <w:rPr>
            <w:rStyle w:val="Hyperlink"/>
          </w:rPr>
          <w:t>section</w:t>
        </w:r>
        <w:r w:rsidR="005E05E7" w:rsidRPr="00B275E2">
          <w:rPr>
            <w:rStyle w:val="Hyperlink"/>
          </w:rPr>
          <w:t xml:space="preserve"> </w:t>
        </w:r>
        <w:r w:rsidR="005C1A6C" w:rsidRPr="00B275E2">
          <w:rPr>
            <w:rStyle w:val="Hyperlink"/>
          </w:rPr>
          <w:t>7</w:t>
        </w:r>
      </w:hyperlink>
      <w:r w:rsidR="008C6952" w:rsidRPr="00B275E2">
        <w:rPr>
          <w:color w:val="32809C" w:themeColor="accent2"/>
        </w:rPr>
        <w:fldChar w:fldCharType="begin"/>
      </w:r>
      <w:r w:rsidR="008C6952" w:rsidRPr="00B275E2">
        <w:rPr>
          <w:color w:val="32809C" w:themeColor="accent2"/>
        </w:rPr>
        <w:instrText xml:space="preserve"> REF _Ref54862802 \h </w:instrText>
      </w:r>
      <w:r w:rsidR="001C296C" w:rsidRPr="00B275E2">
        <w:rPr>
          <w:color w:val="32809C" w:themeColor="accent2"/>
        </w:rPr>
        <w:instrText xml:space="preserve"> \* MERGEFORMAT </w:instrText>
      </w:r>
      <w:r w:rsidR="008C6952" w:rsidRPr="00B275E2">
        <w:rPr>
          <w:color w:val="32809C" w:themeColor="accent2"/>
        </w:rPr>
      </w:r>
      <w:r w:rsidR="008C6952" w:rsidRPr="00B275E2">
        <w:rPr>
          <w:color w:val="32809C" w:themeColor="accent2"/>
        </w:rPr>
        <w:fldChar w:fldCharType="separate"/>
      </w:r>
      <w:r w:rsidR="003E141C" w:rsidRPr="00B275E2">
        <w:t>Travel emission factors</w:t>
      </w:r>
      <w:r w:rsidR="008C6952" w:rsidRPr="00B275E2">
        <w:rPr>
          <w:color w:val="32809C" w:themeColor="accent2"/>
        </w:rPr>
        <w:fldChar w:fldCharType="end"/>
      </w:r>
      <w:r w:rsidR="0037144A" w:rsidRPr="00B275E2">
        <w:t>.</w:t>
      </w:r>
      <w:r w:rsidRPr="00B275E2">
        <w:t xml:space="preserve"> Factors such as individual vehicle fuel efficiency and driving efficiency mean that kilometre-based estimates of </w:t>
      </w:r>
      <w:r w:rsidR="00C2252B" w:rsidRPr="00B275E2">
        <w:t>carbon dioxide equivalent</w:t>
      </w:r>
      <w:r w:rsidRPr="00B275E2">
        <w:t xml:space="preserve"> emissions are less accurate than calculating emissions based on fuel-use data. The</w:t>
      </w:r>
      <w:r w:rsidR="0022416C" w:rsidRPr="00B275E2">
        <w:t>refore, only use the</w:t>
      </w:r>
      <w:r w:rsidRPr="00B275E2">
        <w:t xml:space="preserve"> emission factors based on distance travelled if information on fuel use is</w:t>
      </w:r>
      <w:r w:rsidR="00C66C43" w:rsidRPr="00B275E2">
        <w:t> </w:t>
      </w:r>
      <w:r w:rsidRPr="00B275E2">
        <w:t>not available.</w:t>
      </w:r>
    </w:p>
    <w:p w14:paraId="6EA5BB1B" w14:textId="56D0A270" w:rsidR="0041106E" w:rsidRPr="00B275E2" w:rsidRDefault="0041106E" w:rsidP="007F0B1E">
      <w:pPr>
        <w:pStyle w:val="BodyText"/>
      </w:pPr>
      <w:r w:rsidRPr="00B275E2">
        <w:t xml:space="preserve">Calculating transport fuel based on dollars spent is less accurate and </w:t>
      </w:r>
      <w:r w:rsidR="007A23A6" w:rsidRPr="00B275E2">
        <w:t xml:space="preserve">should </w:t>
      </w:r>
      <w:r w:rsidRPr="00B275E2">
        <w:t>only be applied to taxis</w:t>
      </w:r>
      <w:r w:rsidR="0069175A" w:rsidRPr="00B275E2">
        <w:t>. S</w:t>
      </w:r>
      <w:r w:rsidRPr="00B275E2">
        <w:t>ee</w:t>
      </w:r>
      <w:hyperlink w:anchor="_Passenger_vehicles" w:history="1">
        <w:r w:rsidR="006A762F" w:rsidRPr="00B275E2">
          <w:rPr>
            <w:rStyle w:val="Hyperlink"/>
          </w:rPr>
          <w:t xml:space="preserve"> section </w:t>
        </w:r>
      </w:hyperlink>
      <w:r w:rsidR="006A762F" w:rsidRPr="00B275E2">
        <w:rPr>
          <w:color w:val="32809C" w:themeColor="accent2"/>
        </w:rPr>
        <w:fldChar w:fldCharType="begin"/>
      </w:r>
      <w:r w:rsidR="006A762F" w:rsidRPr="00B275E2">
        <w:rPr>
          <w:color w:val="32809C" w:themeColor="accent2"/>
        </w:rPr>
        <w:instrText xml:space="preserve"> REF _Ref532891261 \r \h </w:instrText>
      </w:r>
      <w:r w:rsidR="00AE533D" w:rsidRPr="00B275E2">
        <w:rPr>
          <w:color w:val="32809C" w:themeColor="accent2"/>
        </w:rPr>
        <w:instrText xml:space="preserve"> \* MERGEFORMAT </w:instrText>
      </w:r>
      <w:r w:rsidR="006A762F" w:rsidRPr="00B275E2">
        <w:rPr>
          <w:color w:val="32809C" w:themeColor="accent2"/>
        </w:rPr>
      </w:r>
      <w:r w:rsidR="006A762F" w:rsidRPr="00B275E2">
        <w:rPr>
          <w:color w:val="32809C" w:themeColor="accent2"/>
        </w:rPr>
        <w:fldChar w:fldCharType="separate"/>
      </w:r>
      <w:r w:rsidR="003E141C" w:rsidRPr="00B275E2">
        <w:rPr>
          <w:color w:val="32809C" w:themeColor="accent2"/>
        </w:rPr>
        <w:t>7.2</w:t>
      </w:r>
      <w:r w:rsidR="006A762F" w:rsidRPr="00B275E2">
        <w:rPr>
          <w:color w:val="32809C" w:themeColor="accent2"/>
        </w:rPr>
        <w:fldChar w:fldCharType="end"/>
      </w:r>
      <w:r w:rsidRPr="00B275E2">
        <w:t>.</w:t>
      </w:r>
    </w:p>
    <w:p w14:paraId="18DBF445" w14:textId="070F5682" w:rsidR="0041106E" w:rsidRPr="00B275E2" w:rsidRDefault="0041106E" w:rsidP="006B7605">
      <w:pPr>
        <w:pStyle w:val="Heading3"/>
      </w:pPr>
      <w:bookmarkStart w:id="159" w:name="_Toc532904862"/>
      <w:bookmarkEnd w:id="158"/>
      <w:r w:rsidRPr="00B275E2">
        <w:t>Emission factor derivation methodology</w:t>
      </w:r>
      <w:bookmarkEnd w:id="159"/>
    </w:p>
    <w:p w14:paraId="4936CA31" w14:textId="47119EB9" w:rsidR="0041106E" w:rsidRPr="00B275E2" w:rsidRDefault="0022416C" w:rsidP="007F0B1E">
      <w:pPr>
        <w:pStyle w:val="BodyText"/>
      </w:pPr>
      <w:r w:rsidRPr="00B275E2">
        <w:t>We applied t</w:t>
      </w:r>
      <w:r w:rsidR="0041106E" w:rsidRPr="00B275E2">
        <w:t xml:space="preserve">he same methodology </w:t>
      </w:r>
      <w:r w:rsidRPr="00B275E2">
        <w:t xml:space="preserve">to the transport fuels that we </w:t>
      </w:r>
      <w:r w:rsidR="0041106E" w:rsidRPr="00B275E2">
        <w:t>used to calculate the stationary combustion fuels</w:t>
      </w:r>
      <w:r w:rsidRPr="00B275E2">
        <w:t>,</w:t>
      </w:r>
      <w:r w:rsidR="0041106E" w:rsidRPr="00B275E2">
        <w:t xml:space="preserve"> using the raw data in</w:t>
      </w:r>
      <w:r w:rsidR="00544E46" w:rsidRPr="00B275E2">
        <w:t xml:space="preserve"> </w:t>
      </w:r>
      <w:hyperlink w:anchor="table4" w:history="1">
        <w:r w:rsidR="004A3D94" w:rsidRPr="00B275E2">
          <w:rPr>
            <w:rStyle w:val="Hyperlink"/>
          </w:rPr>
          <w:t>table 4</w:t>
        </w:r>
      </w:hyperlink>
      <w:r w:rsidR="0041106E" w:rsidRPr="00B275E2">
        <w:t>.</w:t>
      </w:r>
    </w:p>
    <w:p w14:paraId="55F78C72" w14:textId="7735AB2E" w:rsidR="0041106E" w:rsidRPr="00B275E2" w:rsidRDefault="48317B27" w:rsidP="006B7605">
      <w:pPr>
        <w:pStyle w:val="Heading3"/>
      </w:pPr>
      <w:bookmarkStart w:id="160" w:name="_Toc532904863"/>
      <w:r>
        <w:t>Assumptions, limitations and uncertainties</w:t>
      </w:r>
      <w:bookmarkEnd w:id="160"/>
    </w:p>
    <w:p w14:paraId="14D3D8AB" w14:textId="2BACC751" w:rsidR="0041106E" w:rsidRPr="00B275E2" w:rsidRDefault="0022416C" w:rsidP="007F0B1E">
      <w:pPr>
        <w:pStyle w:val="BodyText"/>
      </w:pPr>
      <w:r w:rsidRPr="00B275E2">
        <w:t>MBIE derived t</w:t>
      </w:r>
      <w:r w:rsidR="0041106E" w:rsidRPr="00B275E2">
        <w:t>he kg CO</w:t>
      </w:r>
      <w:r w:rsidR="0041106E" w:rsidRPr="00B275E2">
        <w:rPr>
          <w:vertAlign w:val="subscript"/>
        </w:rPr>
        <w:t>2</w:t>
      </w:r>
      <w:r w:rsidR="0041106E" w:rsidRPr="00B275E2">
        <w:t xml:space="preserve">-e per activity unit emission factors in </w:t>
      </w:r>
      <w:hyperlink w:anchor="table3" w:history="1">
        <w:r w:rsidR="004A3D94" w:rsidRPr="00B275E2">
          <w:rPr>
            <w:rStyle w:val="Hyperlink"/>
          </w:rPr>
          <w:t>table 3</w:t>
        </w:r>
      </w:hyperlink>
      <w:r w:rsidR="0041106E" w:rsidRPr="00B275E2">
        <w:rPr>
          <w:color w:val="32809C" w:themeColor="accent2"/>
        </w:rPr>
        <w:t xml:space="preserve"> </w:t>
      </w:r>
      <w:r w:rsidR="0041106E" w:rsidRPr="00B275E2">
        <w:t xml:space="preserve">using calorific values. All emission factors incorporate relevant oxidation </w:t>
      </w:r>
      <w:r w:rsidR="00B67D7F" w:rsidRPr="00B275E2">
        <w:t>factors</w:t>
      </w:r>
      <w:r w:rsidR="0041106E" w:rsidRPr="00B275E2">
        <w:t xml:space="preserve"> sourced from</w:t>
      </w:r>
      <w:r w:rsidR="008F5103" w:rsidRPr="00B275E2">
        <w:t xml:space="preserve"> the</w:t>
      </w:r>
      <w:r w:rsidR="0041106E" w:rsidRPr="00B275E2">
        <w:t xml:space="preserve"> </w:t>
      </w:r>
      <w:r w:rsidR="008F5103" w:rsidRPr="00B275E2">
        <w:rPr>
          <w:i/>
        </w:rPr>
        <w:t>2006 I</w:t>
      </w:r>
      <w:r w:rsidR="0041106E" w:rsidRPr="00B275E2">
        <w:rPr>
          <w:i/>
        </w:rPr>
        <w:t>PCC Guidelines for National Greenhouse Gas Inventories</w:t>
      </w:r>
      <w:r w:rsidR="0041106E" w:rsidRPr="00B275E2">
        <w:t>.</w:t>
      </w:r>
    </w:p>
    <w:p w14:paraId="1E2BD723" w14:textId="126F4B38" w:rsidR="0041106E" w:rsidRPr="00B275E2" w:rsidRDefault="0041106E" w:rsidP="007F0B1E">
      <w:pPr>
        <w:pStyle w:val="BodyText"/>
      </w:pPr>
      <w:r w:rsidRPr="00B275E2">
        <w:t xml:space="preserve">The default petrol factor </w:t>
      </w:r>
      <w:r w:rsidR="003F195D" w:rsidRPr="00B275E2">
        <w:t>has not been updated since the last emissions factor publication and</w:t>
      </w:r>
      <w:r w:rsidRPr="00B275E2">
        <w:t xml:space="preserve"> is a weighted average of regular and premium petrol based on 20</w:t>
      </w:r>
      <w:r w:rsidR="00B67D7F" w:rsidRPr="00B275E2">
        <w:t>21</w:t>
      </w:r>
      <w:r w:rsidRPr="00B275E2">
        <w:t xml:space="preserve"> sales volume data from </w:t>
      </w:r>
      <w:hyperlink r:id="rId65" w:history="1">
        <w:r w:rsidRPr="00B275E2">
          <w:rPr>
            <w:rStyle w:val="Hyperlink"/>
            <w:i/>
          </w:rPr>
          <w:t>Energy in New Zealand 20</w:t>
        </w:r>
        <w:r w:rsidR="00AC0C52" w:rsidRPr="00B275E2">
          <w:rPr>
            <w:rStyle w:val="Hyperlink"/>
            <w:i/>
          </w:rPr>
          <w:t>21</w:t>
        </w:r>
      </w:hyperlink>
      <w:r w:rsidRPr="00B275E2">
        <w:t xml:space="preserve"> (MBIE, 20</w:t>
      </w:r>
      <w:r w:rsidR="00AC0C52" w:rsidRPr="00B275E2">
        <w:t>21</w:t>
      </w:r>
      <w:r w:rsidRPr="00B275E2">
        <w:t xml:space="preserve">). </w:t>
      </w:r>
      <w:r w:rsidR="0022416C" w:rsidRPr="00B275E2">
        <w:t xml:space="preserve">Use this default factor </w:t>
      </w:r>
      <w:r w:rsidRPr="00B275E2">
        <w:t>when petrol</w:t>
      </w:r>
      <w:r w:rsidR="0069175A" w:rsidRPr="00B275E2">
        <w:t>-</w:t>
      </w:r>
      <w:r w:rsidRPr="00B275E2">
        <w:t>use data do not distinguish between regular and premium petrol.</w:t>
      </w:r>
    </w:p>
    <w:p w14:paraId="6509161B" w14:textId="1AC19C14" w:rsidR="00DA5493" w:rsidRPr="00B275E2" w:rsidRDefault="0041106E" w:rsidP="007F0B1E">
      <w:pPr>
        <w:pStyle w:val="BodyText"/>
      </w:pPr>
      <w:r w:rsidRPr="00B275E2">
        <w:lastRenderedPageBreak/>
        <w:t>As with the fuels for stationary combustion</w:t>
      </w:r>
      <w:r w:rsidR="0022416C" w:rsidRPr="00B275E2">
        <w:t>,</w:t>
      </w:r>
      <w:r w:rsidRPr="00B275E2">
        <w:t xml:space="preserve"> these emission factors are not full fuel</w:t>
      </w:r>
      <w:r w:rsidR="00415675" w:rsidRPr="00B275E2">
        <w:t>-</w:t>
      </w:r>
      <w:r w:rsidRPr="00B275E2">
        <w:t>cycle emission factors and do not incorporate the indirect (Scope 3) emissions associated with the extraction, production and transport of the fuel.</w:t>
      </w:r>
    </w:p>
    <w:p w14:paraId="72E09F6B" w14:textId="0BBF5FFB" w:rsidR="0041106E" w:rsidRPr="00B275E2" w:rsidRDefault="0041106E" w:rsidP="00C24B73">
      <w:pPr>
        <w:pStyle w:val="Heading2"/>
        <w:numPr>
          <w:ilvl w:val="0"/>
          <w:numId w:val="20"/>
        </w:numPr>
      </w:pPr>
      <w:bookmarkStart w:id="161" w:name="_Toc529960690"/>
      <w:bookmarkStart w:id="162" w:name="_Toc532904864"/>
      <w:bookmarkStart w:id="163" w:name="_Toc600570"/>
      <w:bookmarkStart w:id="164" w:name="_Hlk532201047"/>
      <w:bookmarkStart w:id="165" w:name="_Hlk529439678"/>
      <w:bookmarkStart w:id="166" w:name="_Toc111536776"/>
      <w:r w:rsidRPr="00B275E2">
        <w:t>Biofuels</w:t>
      </w:r>
      <w:bookmarkEnd w:id="161"/>
      <w:r w:rsidRPr="00B275E2">
        <w:t xml:space="preserve"> </w:t>
      </w:r>
      <w:r w:rsidR="00564258" w:rsidRPr="00B275E2">
        <w:t>and biomass</w:t>
      </w:r>
      <w:bookmarkEnd w:id="166"/>
      <w:r w:rsidR="00717FDD" w:rsidRPr="00B275E2">
        <w:t xml:space="preserve"> </w:t>
      </w:r>
      <w:bookmarkEnd w:id="162"/>
      <w:bookmarkEnd w:id="163"/>
    </w:p>
    <w:p w14:paraId="2E50C5B5" w14:textId="76071698" w:rsidR="0041106E" w:rsidRPr="00B275E2" w:rsidRDefault="00D86685" w:rsidP="007F0B1E">
      <w:pPr>
        <w:pStyle w:val="BodyText"/>
      </w:pPr>
      <w:bookmarkStart w:id="167" w:name="_Hlk532891374"/>
      <w:r w:rsidRPr="00B275E2">
        <w:t xml:space="preserve">This section </w:t>
      </w:r>
      <w:r w:rsidR="0022416C" w:rsidRPr="00B275E2">
        <w:t>provides e</w:t>
      </w:r>
      <w:r w:rsidR="0041106E" w:rsidRPr="00B275E2">
        <w:t>mission factors for bioethanol and biodiesel and wood emission sources</w:t>
      </w:r>
      <w:r w:rsidR="00F62BEF" w:rsidRPr="00B275E2">
        <w:t>.</w:t>
      </w:r>
      <w:bookmarkEnd w:id="167"/>
    </w:p>
    <w:p w14:paraId="55C01392" w14:textId="29DD9C07" w:rsidR="005536B0" w:rsidRPr="00B275E2" w:rsidRDefault="0041106E" w:rsidP="007F0B1E">
      <w:pPr>
        <w:pStyle w:val="BodyText"/>
      </w:pPr>
      <w:r w:rsidRPr="00B275E2">
        <w:t xml:space="preserve">The </w:t>
      </w:r>
      <w:r w:rsidR="008D6410" w:rsidRPr="00B275E2">
        <w:t>carbon dioxide</w:t>
      </w:r>
      <w:r w:rsidRPr="00B275E2">
        <w:t xml:space="preserve"> emitted from the combustion of biofuels and biomass (including wood) is biogenic, meaning it equates to the </w:t>
      </w:r>
      <w:r w:rsidR="008D6410" w:rsidRPr="00B275E2">
        <w:t>carbon dioxide</w:t>
      </w:r>
      <w:r w:rsidRPr="00B275E2">
        <w:t xml:space="preserve"> absorbed by the feedstock during its lifespan. This means</w:t>
      </w:r>
      <w:r w:rsidR="0022416C" w:rsidRPr="00B275E2">
        <w:t xml:space="preserve"> we treat</w:t>
      </w:r>
      <w:r w:rsidRPr="00B275E2">
        <w:t xml:space="preserve"> the </w:t>
      </w:r>
      <w:r w:rsidR="008D6410" w:rsidRPr="00B275E2">
        <w:t>carbon dioxide</w:t>
      </w:r>
      <w:r w:rsidRPr="00B275E2">
        <w:t xml:space="preserve"> portion of the combustion emissions of biofuels as carbon neutral. </w:t>
      </w:r>
      <w:r w:rsidR="005536B0" w:rsidRPr="00B275E2">
        <w:t>However, these CO</w:t>
      </w:r>
      <w:r w:rsidR="005536B0" w:rsidRPr="00B275E2">
        <w:rPr>
          <w:vertAlign w:val="subscript"/>
        </w:rPr>
        <w:t>2</w:t>
      </w:r>
      <w:r w:rsidR="005536B0" w:rsidRPr="00B275E2">
        <w:t xml:space="preserve"> emissions still need to be reported separately in the inventory, under biogenic emissions. This is why the kg CO</w:t>
      </w:r>
      <w:r w:rsidR="005536B0" w:rsidRPr="00B275E2">
        <w:rPr>
          <w:vertAlign w:val="subscript"/>
        </w:rPr>
        <w:t>2</w:t>
      </w:r>
      <w:r w:rsidR="005536B0" w:rsidRPr="00B275E2">
        <w:t xml:space="preserve">-e/unit figures in </w:t>
      </w:r>
      <w:r w:rsidR="0091737C" w:rsidRPr="00B275E2">
        <w:t>t</w:t>
      </w:r>
      <w:r w:rsidR="005536B0" w:rsidRPr="00B275E2">
        <w:t>able 5 are the sum of the CH</w:t>
      </w:r>
      <w:r w:rsidR="005536B0" w:rsidRPr="00B275E2">
        <w:rPr>
          <w:vertAlign w:val="subscript"/>
        </w:rPr>
        <w:t>4</w:t>
      </w:r>
      <w:r w:rsidR="005536B0" w:rsidRPr="00B275E2">
        <w:t xml:space="preserve"> and N</w:t>
      </w:r>
      <w:r w:rsidR="005536B0" w:rsidRPr="00B275E2">
        <w:rPr>
          <w:vertAlign w:val="subscript"/>
        </w:rPr>
        <w:t>2</w:t>
      </w:r>
      <w:r w:rsidR="005536B0" w:rsidRPr="00B275E2">
        <w:t>O.</w:t>
      </w:r>
    </w:p>
    <w:p w14:paraId="6BBD71B7" w14:textId="14D69EC8" w:rsidR="0041106E" w:rsidRPr="00B275E2" w:rsidRDefault="005536B0" w:rsidP="007F0B1E">
      <w:pPr>
        <w:pStyle w:val="BodyText"/>
      </w:pPr>
      <w:r w:rsidRPr="00B275E2">
        <w:t>T</w:t>
      </w:r>
      <w:r w:rsidR="0041106E" w:rsidRPr="00B275E2">
        <w:t xml:space="preserve">he combustion of biofuels generates anthropogenic </w:t>
      </w:r>
      <w:r w:rsidR="008D6410" w:rsidRPr="00B275E2">
        <w:t>methane</w:t>
      </w:r>
      <w:r w:rsidR="0041106E" w:rsidRPr="00B275E2">
        <w:t xml:space="preserve"> and </w:t>
      </w:r>
      <w:r w:rsidR="008D6410" w:rsidRPr="00B275E2">
        <w:t>nitrous oxide</w:t>
      </w:r>
      <w:r w:rsidR="0022416C" w:rsidRPr="00B275E2">
        <w:t>.</w:t>
      </w:r>
      <w:r w:rsidR="0041106E" w:rsidRPr="00B275E2">
        <w:t xml:space="preserve"> </w:t>
      </w:r>
      <w:r w:rsidR="0022416C" w:rsidRPr="00B275E2">
        <w:t>Organisations should calculate and report</w:t>
      </w:r>
      <w:r w:rsidR="0041106E" w:rsidRPr="00B275E2">
        <w:t xml:space="preserve"> these gases</w:t>
      </w:r>
      <w:r w:rsidR="0022416C" w:rsidRPr="00B275E2">
        <w:t xml:space="preserve">, as </w:t>
      </w:r>
      <w:r w:rsidR="00840159" w:rsidRPr="00B275E2">
        <w:t>is done at the national level according to</w:t>
      </w:r>
      <w:r w:rsidR="0041106E" w:rsidRPr="00B275E2">
        <w:t xml:space="preserve"> </w:t>
      </w:r>
      <w:r w:rsidR="0022416C" w:rsidRPr="00B275E2">
        <w:t>t</w:t>
      </w:r>
      <w:r w:rsidR="0041106E" w:rsidRPr="00B275E2">
        <w:t xml:space="preserve">he </w:t>
      </w:r>
      <w:r w:rsidR="0041106E" w:rsidRPr="00B275E2">
        <w:rPr>
          <w:i/>
        </w:rPr>
        <w:t>2006</w:t>
      </w:r>
      <w:r w:rsidR="0041106E" w:rsidRPr="00B275E2">
        <w:t xml:space="preserve"> </w:t>
      </w:r>
      <w:r w:rsidR="0041106E" w:rsidRPr="00B275E2">
        <w:rPr>
          <w:i/>
        </w:rPr>
        <w:t>IPCC Guidelines for National Greenhouse Gas Inventories</w:t>
      </w:r>
      <w:r w:rsidR="00415675" w:rsidRPr="00B275E2">
        <w:rPr>
          <w:i/>
        </w:rPr>
        <w:t>.</w:t>
      </w:r>
      <w:r w:rsidR="0041106E" w:rsidRPr="00B275E2">
        <w:rPr>
          <w:rStyle w:val="FootnoteReference"/>
          <w:color w:val="auto"/>
        </w:rPr>
        <w:footnoteReference w:id="24"/>
      </w:r>
    </w:p>
    <w:p w14:paraId="5DC065D3" w14:textId="46590CE7" w:rsidR="0041106E" w:rsidRPr="00B275E2" w:rsidRDefault="0041106E" w:rsidP="007F0B1E">
      <w:pPr>
        <w:pStyle w:val="BodyText"/>
        <w:rPr>
          <w:spacing w:val="2"/>
        </w:rPr>
      </w:pPr>
      <w:r w:rsidRPr="00B275E2">
        <w:rPr>
          <w:color w:val="32809C" w:themeColor="accent2"/>
          <w:spacing w:val="2"/>
        </w:rPr>
        <w:fldChar w:fldCharType="begin"/>
      </w:r>
      <w:r w:rsidRPr="00B275E2">
        <w:rPr>
          <w:color w:val="32809C" w:themeColor="accent2"/>
          <w:spacing w:val="2"/>
        </w:rPr>
        <w:instrText xml:space="preserve"> REF _Ref529535174 \h  \* MERGEFORMAT </w:instrText>
      </w:r>
      <w:r w:rsidRPr="00B275E2">
        <w:rPr>
          <w:color w:val="32809C" w:themeColor="accent2"/>
          <w:spacing w:val="2"/>
        </w:rPr>
      </w:r>
      <w:r w:rsidRPr="00B275E2">
        <w:rPr>
          <w:color w:val="32809C" w:themeColor="accent2"/>
          <w:spacing w:val="2"/>
        </w:rPr>
        <w:fldChar w:fldCharType="separate"/>
      </w:r>
      <w:r w:rsidR="003E141C" w:rsidRPr="00B275E2">
        <w:t>Table 5</w:t>
      </w:r>
      <w:r w:rsidRPr="00B275E2">
        <w:rPr>
          <w:color w:val="32809C" w:themeColor="accent2"/>
          <w:spacing w:val="2"/>
        </w:rPr>
        <w:fldChar w:fldCharType="end"/>
      </w:r>
      <w:r w:rsidR="00C66C43" w:rsidRPr="00B275E2">
        <w:rPr>
          <w:spacing w:val="2"/>
        </w:rPr>
        <w:t xml:space="preserve"> </w:t>
      </w:r>
      <w:r w:rsidRPr="00B275E2">
        <w:rPr>
          <w:spacing w:val="2"/>
        </w:rPr>
        <w:t>details the emission conversion factors for the GHG emissions from the combustion of</w:t>
      </w:r>
      <w:r w:rsidR="00C66C43" w:rsidRPr="00B275E2">
        <w:rPr>
          <w:spacing w:val="2"/>
        </w:rPr>
        <w:t> </w:t>
      </w:r>
      <w:r w:rsidRPr="00B275E2">
        <w:rPr>
          <w:spacing w:val="2"/>
        </w:rPr>
        <w:t>biofuels.</w:t>
      </w:r>
    </w:p>
    <w:p w14:paraId="390F42AB" w14:textId="1E1E7B6A" w:rsidR="0041106E" w:rsidRPr="00B275E2" w:rsidRDefault="0041106E" w:rsidP="00C12878">
      <w:pPr>
        <w:pStyle w:val="Tableheading"/>
      </w:pPr>
      <w:bookmarkStart w:id="168" w:name="_Ref529535174"/>
      <w:bookmarkStart w:id="169" w:name="Table5"/>
      <w:bookmarkStart w:id="170" w:name="_Toc111536610"/>
      <w:r w:rsidRPr="00B275E2">
        <w:t xml:space="preserve">Table </w:t>
      </w:r>
      <w:r w:rsidRPr="00B275E2">
        <w:fldChar w:fldCharType="begin"/>
      </w:r>
      <w:r w:rsidRPr="00B275E2">
        <w:instrText>SEQ Table \* ARABIC</w:instrText>
      </w:r>
      <w:r w:rsidRPr="00B275E2">
        <w:fldChar w:fldCharType="separate"/>
      </w:r>
      <w:r w:rsidR="003E141C" w:rsidRPr="00B275E2">
        <w:t>5</w:t>
      </w:r>
      <w:r w:rsidRPr="00B275E2">
        <w:fldChar w:fldCharType="end"/>
      </w:r>
      <w:bookmarkEnd w:id="168"/>
      <w:bookmarkEnd w:id="169"/>
      <w:r w:rsidRPr="00B275E2">
        <w:t>:</w:t>
      </w:r>
      <w:r w:rsidRPr="00B275E2">
        <w:tab/>
        <w:t>Biofuel</w:t>
      </w:r>
      <w:r w:rsidR="00BA1DBF" w:rsidRPr="00B275E2">
        <w:t>s</w:t>
      </w:r>
      <w:r w:rsidRPr="00B275E2">
        <w:t xml:space="preserve"> and biomass emission factors</w:t>
      </w:r>
      <w:bookmarkEnd w:id="170"/>
    </w:p>
    <w:tbl>
      <w:tblPr>
        <w:tblStyle w:val="LightList-Accent11"/>
        <w:tblW w:w="8505" w:type="dxa"/>
        <w:tblInd w:w="20" w:type="dxa"/>
        <w:tblBorders>
          <w:top w:val="single" w:sz="4" w:space="0" w:color="1B556B"/>
          <w:bottom w:val="single" w:sz="4" w:space="0" w:color="1B556B"/>
          <w:insideH w:val="single" w:sz="4" w:space="0" w:color="1B556B"/>
          <w:insideV w:val="single" w:sz="4" w:space="0" w:color="1B556B"/>
        </w:tblBorders>
        <w:tblLook w:val="04A0" w:firstRow="1" w:lastRow="0" w:firstColumn="1" w:lastColumn="0" w:noHBand="0" w:noVBand="1"/>
      </w:tblPr>
      <w:tblGrid>
        <w:gridCol w:w="1644"/>
        <w:gridCol w:w="569"/>
        <w:gridCol w:w="1247"/>
        <w:gridCol w:w="1247"/>
        <w:gridCol w:w="1247"/>
        <w:gridCol w:w="1247"/>
        <w:gridCol w:w="1304"/>
      </w:tblGrid>
      <w:tr w:rsidR="00C64EB2" w:rsidRPr="00B275E2" w14:paraId="4451C8BD" w14:textId="77777777" w:rsidTr="00CE11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shd w:val="clear" w:color="auto" w:fill="1B556B" w:themeFill="text2"/>
            <w:noWrap/>
            <w:vAlign w:val="bottom"/>
            <w:hideMark/>
          </w:tcPr>
          <w:p w14:paraId="197D6CFF" w14:textId="77777777" w:rsidR="0041106E" w:rsidRPr="00B275E2" w:rsidRDefault="0041106E" w:rsidP="0041106E">
            <w:pPr>
              <w:pStyle w:val="TableText"/>
              <w:rPr>
                <w:rFonts w:eastAsia="Times New Roman"/>
              </w:rPr>
            </w:pPr>
            <w:r w:rsidRPr="00B275E2">
              <w:rPr>
                <w:rFonts w:eastAsia="Times New Roman"/>
              </w:rPr>
              <w:t>Biofuel type</w:t>
            </w:r>
          </w:p>
        </w:tc>
        <w:tc>
          <w:tcPr>
            <w:tcW w:w="0" w:type="auto"/>
            <w:shd w:val="clear" w:color="auto" w:fill="1B556B" w:themeFill="text2"/>
            <w:noWrap/>
            <w:vAlign w:val="bottom"/>
            <w:hideMark/>
          </w:tcPr>
          <w:p w14:paraId="7BCB2210" w14:textId="77777777" w:rsidR="0041106E" w:rsidRPr="00B275E2" w:rsidRDefault="0041106E" w:rsidP="0041106E">
            <w:pPr>
              <w:pStyle w:val="TableText"/>
              <w:cnfStyle w:val="100000000000" w:firstRow="1" w:lastRow="0" w:firstColumn="0" w:lastColumn="0" w:oddVBand="0" w:evenVBand="0" w:oddHBand="0" w:evenHBand="0" w:firstRowFirstColumn="0" w:firstRowLastColumn="0" w:lastRowFirstColumn="0" w:lastRowLastColumn="0"/>
              <w:rPr>
                <w:rFonts w:eastAsia="Times New Roman"/>
              </w:rPr>
            </w:pPr>
            <w:r w:rsidRPr="00B275E2">
              <w:rPr>
                <w:rFonts w:eastAsia="Times New Roman"/>
              </w:rPr>
              <w:t>Unit</w:t>
            </w:r>
          </w:p>
        </w:tc>
        <w:tc>
          <w:tcPr>
            <w:tcW w:w="1247" w:type="dxa"/>
            <w:shd w:val="clear" w:color="auto" w:fill="D2DDE1" w:themeFill="background2"/>
            <w:noWrap/>
            <w:vAlign w:val="bottom"/>
            <w:hideMark/>
          </w:tcPr>
          <w:p w14:paraId="3AE6BF31" w14:textId="77777777" w:rsidR="0041106E" w:rsidRPr="00B275E2" w:rsidRDefault="0041106E" w:rsidP="0041106E">
            <w:pPr>
              <w:pStyle w:val="TableText"/>
              <w:cnfStyle w:val="100000000000" w:firstRow="1" w:lastRow="0" w:firstColumn="0" w:lastColumn="0" w:oddVBand="0" w:evenVBand="0" w:oddHBand="0" w:evenHBand="0" w:firstRowFirstColumn="0" w:firstRowLastColumn="0" w:lastRowFirstColumn="0" w:lastRowLastColumn="0"/>
              <w:rPr>
                <w:rFonts w:eastAsia="Times New Roman"/>
                <w:color w:val="auto"/>
              </w:rPr>
            </w:pPr>
            <w:r w:rsidRPr="00B275E2">
              <w:rPr>
                <w:rFonts w:eastAsia="Times New Roman"/>
                <w:color w:val="auto"/>
              </w:rPr>
              <w:t>kg</w:t>
            </w:r>
            <w:r w:rsidRPr="00B275E2">
              <w:rPr>
                <w:color w:val="auto"/>
              </w:rPr>
              <w:t xml:space="preserve"> CO</w:t>
            </w:r>
            <w:r w:rsidRPr="00B275E2">
              <w:rPr>
                <w:color w:val="auto"/>
                <w:vertAlign w:val="subscript"/>
              </w:rPr>
              <w:t>2</w:t>
            </w:r>
            <w:r w:rsidRPr="00B275E2">
              <w:rPr>
                <w:color w:val="auto"/>
              </w:rPr>
              <w:t>-e/unit</w:t>
            </w:r>
          </w:p>
        </w:tc>
        <w:tc>
          <w:tcPr>
            <w:tcW w:w="1247" w:type="dxa"/>
            <w:shd w:val="clear" w:color="auto" w:fill="1B556B" w:themeFill="text2"/>
            <w:noWrap/>
            <w:vAlign w:val="bottom"/>
            <w:hideMark/>
          </w:tcPr>
          <w:p w14:paraId="41418C8C" w14:textId="77777777" w:rsidR="0041106E" w:rsidRPr="00B275E2" w:rsidRDefault="0041106E" w:rsidP="004037D4">
            <w:pPr>
              <w:pStyle w:val="TableText"/>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B275E2">
              <w:rPr>
                <w:rFonts w:eastAsia="Times New Roman"/>
              </w:rPr>
              <w:t>kg CO</w:t>
            </w:r>
            <w:r w:rsidRPr="00B275E2">
              <w:rPr>
                <w:rFonts w:eastAsia="Times New Roman"/>
                <w:vertAlign w:val="subscript"/>
              </w:rPr>
              <w:t>2</w:t>
            </w:r>
            <w:r w:rsidRPr="00B275E2">
              <w:rPr>
                <w:rFonts w:eastAsia="Times New Roman"/>
              </w:rPr>
              <w:t>/unit</w:t>
            </w:r>
          </w:p>
        </w:tc>
        <w:tc>
          <w:tcPr>
            <w:tcW w:w="1247" w:type="dxa"/>
            <w:shd w:val="clear" w:color="auto" w:fill="1B556B" w:themeFill="text2"/>
            <w:noWrap/>
            <w:vAlign w:val="bottom"/>
            <w:hideMark/>
          </w:tcPr>
          <w:p w14:paraId="0AB9B739" w14:textId="7F9C2692" w:rsidR="0041106E" w:rsidRPr="00B275E2" w:rsidRDefault="00EA5CF2" w:rsidP="004037D4">
            <w:pPr>
              <w:pStyle w:val="TableText"/>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B275E2">
              <w:t>kg CH</w:t>
            </w:r>
            <w:r w:rsidRPr="00B275E2">
              <w:rPr>
                <w:vertAlign w:val="subscript"/>
              </w:rPr>
              <w:t>4</w:t>
            </w:r>
            <w:r w:rsidRPr="00B275E2">
              <w:t>/unit (kg CO</w:t>
            </w:r>
            <w:r w:rsidRPr="00B275E2">
              <w:rPr>
                <w:vertAlign w:val="subscript"/>
              </w:rPr>
              <w:t>2</w:t>
            </w:r>
            <w:r w:rsidRPr="00B275E2">
              <w:t>-e)</w:t>
            </w:r>
          </w:p>
        </w:tc>
        <w:tc>
          <w:tcPr>
            <w:tcW w:w="1247" w:type="dxa"/>
            <w:shd w:val="clear" w:color="auto" w:fill="1B556B" w:themeFill="text2"/>
            <w:noWrap/>
            <w:vAlign w:val="bottom"/>
            <w:hideMark/>
          </w:tcPr>
          <w:p w14:paraId="11B6A973" w14:textId="54E0AF08" w:rsidR="0041106E" w:rsidRPr="00B275E2" w:rsidRDefault="00EA5CF2" w:rsidP="004037D4">
            <w:pPr>
              <w:pStyle w:val="TableText"/>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B275E2">
              <w:t>kg N</w:t>
            </w:r>
            <w:r w:rsidRPr="00B275E2">
              <w:rPr>
                <w:vertAlign w:val="subscript"/>
              </w:rPr>
              <w:t>2</w:t>
            </w:r>
            <w:r w:rsidRPr="00B275E2">
              <w:t>O/unit (kg CO</w:t>
            </w:r>
            <w:r w:rsidRPr="00B275E2">
              <w:rPr>
                <w:vertAlign w:val="subscript"/>
              </w:rPr>
              <w:t>2</w:t>
            </w:r>
            <w:r w:rsidRPr="00B275E2">
              <w:t>-e)</w:t>
            </w:r>
          </w:p>
        </w:tc>
        <w:tc>
          <w:tcPr>
            <w:tcW w:w="1304" w:type="dxa"/>
            <w:shd w:val="clear" w:color="auto" w:fill="1B556B" w:themeFill="text2"/>
            <w:noWrap/>
            <w:vAlign w:val="bottom"/>
            <w:hideMark/>
          </w:tcPr>
          <w:p w14:paraId="278F6CE8" w14:textId="77777777" w:rsidR="0041106E" w:rsidRPr="00B275E2" w:rsidRDefault="0041106E" w:rsidP="004037D4">
            <w:pPr>
              <w:pStyle w:val="TableText"/>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B275E2">
              <w:rPr>
                <w:rFonts w:eastAsia="Times New Roman"/>
              </w:rPr>
              <w:t xml:space="preserve">Uncertainties kg </w:t>
            </w:r>
            <w:r w:rsidRPr="00B275E2">
              <w:t>CO</w:t>
            </w:r>
            <w:r w:rsidRPr="00B275E2">
              <w:rPr>
                <w:vertAlign w:val="subscript"/>
              </w:rPr>
              <w:t>2</w:t>
            </w:r>
            <w:r w:rsidRPr="00B275E2">
              <w:t>-e/unit</w:t>
            </w:r>
          </w:p>
        </w:tc>
      </w:tr>
      <w:tr w:rsidR="00C64EB2" w:rsidRPr="00B275E2" w14:paraId="7725D8D2" w14:textId="77777777" w:rsidTr="00E064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vMerge w:val="restart"/>
            <w:tcBorders>
              <w:left w:val="single" w:sz="4" w:space="0" w:color="FFFFFF" w:themeColor="background1"/>
            </w:tcBorders>
            <w:noWrap/>
            <w:hideMark/>
          </w:tcPr>
          <w:p w14:paraId="108EC6F1" w14:textId="77777777" w:rsidR="00543DC9" w:rsidRPr="00B275E2" w:rsidRDefault="00543DC9" w:rsidP="00543DC9">
            <w:pPr>
              <w:pStyle w:val="TableText"/>
              <w:rPr>
                <w:rFonts w:eastAsia="Times New Roman"/>
                <w:b w:val="0"/>
                <w:color w:val="000000"/>
                <w:szCs w:val="18"/>
              </w:rPr>
            </w:pPr>
            <w:r w:rsidRPr="00B275E2">
              <w:rPr>
                <w:rFonts w:eastAsia="Times New Roman"/>
                <w:b w:val="0"/>
                <w:color w:val="000000"/>
                <w:szCs w:val="18"/>
              </w:rPr>
              <w:t>Bioethanol</w:t>
            </w:r>
          </w:p>
        </w:tc>
        <w:tc>
          <w:tcPr>
            <w:tcW w:w="0" w:type="auto"/>
            <w:noWrap/>
            <w:hideMark/>
          </w:tcPr>
          <w:p w14:paraId="5072BB94" w14:textId="77777777" w:rsidR="00543DC9" w:rsidRPr="00B275E2" w:rsidRDefault="00543DC9" w:rsidP="00543DC9">
            <w:pPr>
              <w:pStyle w:val="TableText"/>
              <w:cnfStyle w:val="000000100000" w:firstRow="0" w:lastRow="0" w:firstColumn="0" w:lastColumn="0" w:oddVBand="0" w:evenVBand="0" w:oddHBand="1" w:evenHBand="0" w:firstRowFirstColumn="0" w:firstRowLastColumn="0" w:lastRowFirstColumn="0" w:lastRowLastColumn="0"/>
              <w:rPr>
                <w:rFonts w:eastAsia="Times New Roman"/>
                <w:color w:val="000000"/>
                <w:szCs w:val="18"/>
              </w:rPr>
            </w:pPr>
            <w:r w:rsidRPr="00B275E2">
              <w:rPr>
                <w:rFonts w:eastAsia="Times New Roman"/>
                <w:color w:val="000000"/>
                <w:szCs w:val="18"/>
              </w:rPr>
              <w:t>GJ</w:t>
            </w:r>
          </w:p>
        </w:tc>
        <w:tc>
          <w:tcPr>
            <w:tcW w:w="1247" w:type="dxa"/>
            <w:shd w:val="clear" w:color="auto" w:fill="D2DDE1" w:themeFill="background2"/>
            <w:noWrap/>
            <w:hideMark/>
          </w:tcPr>
          <w:p w14:paraId="5C93072A" w14:textId="1B88056F" w:rsidR="00543DC9" w:rsidRPr="00B275E2" w:rsidRDefault="00543DC9" w:rsidP="00543DC9">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18"/>
              </w:rPr>
            </w:pPr>
            <w:r w:rsidRPr="00B275E2">
              <w:rPr>
                <w:rFonts w:cs="Calibri"/>
                <w:color w:val="000000"/>
                <w:szCs w:val="18"/>
              </w:rPr>
              <w:t>3.42</w:t>
            </w:r>
          </w:p>
        </w:tc>
        <w:tc>
          <w:tcPr>
            <w:tcW w:w="1247" w:type="dxa"/>
            <w:shd w:val="clear" w:color="auto" w:fill="auto"/>
            <w:noWrap/>
            <w:hideMark/>
          </w:tcPr>
          <w:p w14:paraId="0F86AD67" w14:textId="77777777" w:rsidR="00543DC9" w:rsidRPr="00B275E2" w:rsidRDefault="00543DC9" w:rsidP="00543DC9">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18"/>
              </w:rPr>
            </w:pPr>
            <w:r w:rsidRPr="00B275E2">
              <w:rPr>
                <w:rFonts w:cs="Calibri"/>
                <w:color w:val="000000"/>
                <w:szCs w:val="18"/>
              </w:rPr>
              <w:t>64.2</w:t>
            </w:r>
          </w:p>
        </w:tc>
        <w:tc>
          <w:tcPr>
            <w:tcW w:w="1247" w:type="dxa"/>
            <w:shd w:val="clear" w:color="auto" w:fill="auto"/>
            <w:noWrap/>
            <w:hideMark/>
          </w:tcPr>
          <w:p w14:paraId="3CB70569" w14:textId="77777777" w:rsidR="00543DC9" w:rsidRPr="00B275E2" w:rsidRDefault="00543DC9" w:rsidP="00543DC9">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18"/>
              </w:rPr>
            </w:pPr>
            <w:r w:rsidRPr="00B275E2">
              <w:rPr>
                <w:rFonts w:cs="Calibri"/>
                <w:color w:val="000000"/>
                <w:szCs w:val="18"/>
              </w:rPr>
              <w:t>2.85</w:t>
            </w:r>
          </w:p>
        </w:tc>
        <w:tc>
          <w:tcPr>
            <w:tcW w:w="1247" w:type="dxa"/>
            <w:shd w:val="clear" w:color="auto" w:fill="auto"/>
            <w:noWrap/>
            <w:hideMark/>
          </w:tcPr>
          <w:p w14:paraId="54576170" w14:textId="77777777" w:rsidR="00543DC9" w:rsidRPr="00B275E2" w:rsidRDefault="00543DC9" w:rsidP="00543DC9">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18"/>
              </w:rPr>
            </w:pPr>
            <w:r w:rsidRPr="00B275E2">
              <w:rPr>
                <w:rFonts w:cs="Calibri"/>
                <w:color w:val="000000"/>
                <w:szCs w:val="18"/>
              </w:rPr>
              <w:t>0.570</w:t>
            </w:r>
          </w:p>
        </w:tc>
        <w:tc>
          <w:tcPr>
            <w:tcW w:w="1304" w:type="dxa"/>
            <w:tcBorders>
              <w:right w:val="single" w:sz="4" w:space="0" w:color="FFFFFF" w:themeColor="background1"/>
            </w:tcBorders>
            <w:noWrap/>
            <w:hideMark/>
          </w:tcPr>
          <w:p w14:paraId="3741ECCA" w14:textId="77777777" w:rsidR="00543DC9" w:rsidRPr="00B275E2" w:rsidRDefault="00543DC9" w:rsidP="00543DC9">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18"/>
              </w:rPr>
            </w:pPr>
            <w:r w:rsidRPr="00B275E2">
              <w:rPr>
                <w:rFonts w:eastAsia="Times New Roman"/>
                <w:color w:val="000000"/>
                <w:szCs w:val="18"/>
              </w:rPr>
              <w:t>0.1%</w:t>
            </w:r>
          </w:p>
        </w:tc>
      </w:tr>
      <w:tr w:rsidR="00C64EB2" w:rsidRPr="00B275E2" w14:paraId="49178813" w14:textId="77777777" w:rsidTr="00E064CA">
        <w:tc>
          <w:tcPr>
            <w:cnfStyle w:val="001000000000" w:firstRow="0" w:lastRow="0" w:firstColumn="1" w:lastColumn="0" w:oddVBand="0" w:evenVBand="0" w:oddHBand="0" w:evenHBand="0" w:firstRowFirstColumn="0" w:firstRowLastColumn="0" w:lastRowFirstColumn="0" w:lastRowLastColumn="0"/>
            <w:tcW w:w="1644" w:type="dxa"/>
            <w:vMerge/>
            <w:tcBorders>
              <w:left w:val="single" w:sz="4" w:space="0" w:color="FFFFFF" w:themeColor="background1"/>
            </w:tcBorders>
            <w:hideMark/>
          </w:tcPr>
          <w:p w14:paraId="01FBEF85" w14:textId="77777777" w:rsidR="00543DC9" w:rsidRPr="00B275E2" w:rsidRDefault="00543DC9" w:rsidP="00543DC9">
            <w:pPr>
              <w:pStyle w:val="TableText"/>
              <w:rPr>
                <w:rFonts w:eastAsia="Times New Roman"/>
                <w:b w:val="0"/>
                <w:color w:val="000000"/>
                <w:szCs w:val="18"/>
              </w:rPr>
            </w:pPr>
          </w:p>
        </w:tc>
        <w:tc>
          <w:tcPr>
            <w:tcW w:w="0" w:type="auto"/>
            <w:noWrap/>
            <w:hideMark/>
          </w:tcPr>
          <w:p w14:paraId="39208547" w14:textId="77777777" w:rsidR="00543DC9" w:rsidRPr="00B275E2" w:rsidRDefault="00543DC9" w:rsidP="00543DC9">
            <w:pPr>
              <w:pStyle w:val="TableText"/>
              <w:cnfStyle w:val="000000000000" w:firstRow="0" w:lastRow="0" w:firstColumn="0" w:lastColumn="0" w:oddVBand="0" w:evenVBand="0" w:oddHBand="0" w:evenHBand="0" w:firstRowFirstColumn="0" w:firstRowLastColumn="0" w:lastRowFirstColumn="0" w:lastRowLastColumn="0"/>
              <w:rPr>
                <w:rFonts w:eastAsia="Times New Roman"/>
                <w:color w:val="000000"/>
                <w:szCs w:val="18"/>
              </w:rPr>
            </w:pPr>
            <w:r w:rsidRPr="00B275E2">
              <w:rPr>
                <w:rFonts w:eastAsia="Times New Roman"/>
                <w:color w:val="000000"/>
                <w:szCs w:val="18"/>
              </w:rPr>
              <w:t>litre</w:t>
            </w:r>
          </w:p>
        </w:tc>
        <w:tc>
          <w:tcPr>
            <w:tcW w:w="1247" w:type="dxa"/>
            <w:shd w:val="clear" w:color="auto" w:fill="D2DDE1" w:themeFill="background2"/>
            <w:noWrap/>
            <w:hideMark/>
          </w:tcPr>
          <w:p w14:paraId="2FA5C4F8" w14:textId="4C4523E1" w:rsidR="00543DC9" w:rsidRPr="00B275E2" w:rsidRDefault="00543DC9" w:rsidP="00543DC9">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18"/>
              </w:rPr>
            </w:pPr>
            <w:r w:rsidRPr="00B275E2">
              <w:rPr>
                <w:rFonts w:cs="Calibri"/>
                <w:color w:val="000000"/>
                <w:szCs w:val="18"/>
              </w:rPr>
              <w:t>0.0000807</w:t>
            </w:r>
          </w:p>
        </w:tc>
        <w:tc>
          <w:tcPr>
            <w:tcW w:w="1247" w:type="dxa"/>
            <w:shd w:val="clear" w:color="auto" w:fill="auto"/>
            <w:noWrap/>
            <w:hideMark/>
          </w:tcPr>
          <w:p w14:paraId="05823637" w14:textId="77777777" w:rsidR="00543DC9" w:rsidRPr="00B275E2" w:rsidRDefault="00543DC9" w:rsidP="00543DC9">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18"/>
              </w:rPr>
            </w:pPr>
            <w:r w:rsidRPr="00B275E2">
              <w:rPr>
                <w:rFonts w:cs="Calibri"/>
                <w:color w:val="000000"/>
                <w:szCs w:val="18"/>
              </w:rPr>
              <w:t>1.52</w:t>
            </w:r>
          </w:p>
        </w:tc>
        <w:tc>
          <w:tcPr>
            <w:tcW w:w="1247" w:type="dxa"/>
            <w:shd w:val="clear" w:color="auto" w:fill="auto"/>
            <w:noWrap/>
            <w:hideMark/>
          </w:tcPr>
          <w:p w14:paraId="6F668078" w14:textId="77777777" w:rsidR="00543DC9" w:rsidRPr="00B275E2" w:rsidRDefault="00543DC9" w:rsidP="00543DC9">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18"/>
              </w:rPr>
            </w:pPr>
            <w:r w:rsidRPr="00B275E2">
              <w:rPr>
                <w:rFonts w:cs="Calibri"/>
                <w:color w:val="000000"/>
                <w:szCs w:val="18"/>
              </w:rPr>
              <w:t>0.0000673</w:t>
            </w:r>
          </w:p>
        </w:tc>
        <w:tc>
          <w:tcPr>
            <w:tcW w:w="1247" w:type="dxa"/>
            <w:shd w:val="clear" w:color="auto" w:fill="auto"/>
            <w:noWrap/>
            <w:hideMark/>
          </w:tcPr>
          <w:p w14:paraId="4A5B670A" w14:textId="77777777" w:rsidR="00543DC9" w:rsidRPr="00B275E2" w:rsidRDefault="00543DC9" w:rsidP="00543DC9">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18"/>
              </w:rPr>
            </w:pPr>
            <w:r w:rsidRPr="00B275E2">
              <w:rPr>
                <w:rFonts w:cs="Calibri"/>
                <w:color w:val="000000"/>
                <w:szCs w:val="18"/>
              </w:rPr>
              <w:t>0.0000135</w:t>
            </w:r>
          </w:p>
        </w:tc>
        <w:tc>
          <w:tcPr>
            <w:tcW w:w="1304" w:type="dxa"/>
            <w:tcBorders>
              <w:right w:val="single" w:sz="4" w:space="0" w:color="FFFFFF" w:themeColor="background1"/>
            </w:tcBorders>
            <w:noWrap/>
            <w:hideMark/>
          </w:tcPr>
          <w:p w14:paraId="2F8CD6C1" w14:textId="77777777" w:rsidR="00543DC9" w:rsidRPr="00B275E2" w:rsidRDefault="00543DC9" w:rsidP="00543DC9">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18"/>
              </w:rPr>
            </w:pPr>
            <w:r w:rsidRPr="00B275E2">
              <w:rPr>
                <w:rFonts w:eastAsia="Times New Roman"/>
                <w:color w:val="000000"/>
                <w:szCs w:val="18"/>
              </w:rPr>
              <w:t>0.1%</w:t>
            </w:r>
          </w:p>
        </w:tc>
      </w:tr>
      <w:tr w:rsidR="00C64EB2" w:rsidRPr="00B275E2" w14:paraId="6B97B6FF" w14:textId="77777777" w:rsidTr="00E064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vMerge w:val="restart"/>
            <w:tcBorders>
              <w:left w:val="single" w:sz="4" w:space="0" w:color="FFFFFF" w:themeColor="background1"/>
            </w:tcBorders>
            <w:noWrap/>
            <w:hideMark/>
          </w:tcPr>
          <w:p w14:paraId="26CC1234" w14:textId="52888E70" w:rsidR="00543DC9" w:rsidRPr="00B275E2" w:rsidRDefault="001E55C3" w:rsidP="00543DC9">
            <w:pPr>
              <w:pStyle w:val="TableText"/>
              <w:rPr>
                <w:rFonts w:eastAsia="Times New Roman"/>
                <w:b w:val="0"/>
                <w:color w:val="000000"/>
                <w:szCs w:val="18"/>
              </w:rPr>
            </w:pPr>
            <w:r w:rsidRPr="00B275E2">
              <w:rPr>
                <w:rFonts w:eastAsia="Times New Roman"/>
                <w:b w:val="0"/>
                <w:color w:val="000000"/>
                <w:szCs w:val="18"/>
              </w:rPr>
              <w:t>Biodiesel</w:t>
            </w:r>
            <w:r w:rsidR="006777B9" w:rsidRPr="00B275E2">
              <w:rPr>
                <w:rFonts w:eastAsia="Times New Roman"/>
                <w:b w:val="0"/>
                <w:color w:val="000000"/>
                <w:szCs w:val="18"/>
              </w:rPr>
              <w:t xml:space="preserve"> (100%)</w:t>
            </w:r>
          </w:p>
        </w:tc>
        <w:tc>
          <w:tcPr>
            <w:tcW w:w="0" w:type="auto"/>
            <w:noWrap/>
            <w:hideMark/>
          </w:tcPr>
          <w:p w14:paraId="7DE30B6F" w14:textId="77777777" w:rsidR="00543DC9" w:rsidRPr="00B275E2" w:rsidRDefault="00543DC9" w:rsidP="00543DC9">
            <w:pPr>
              <w:pStyle w:val="TableText"/>
              <w:cnfStyle w:val="000000100000" w:firstRow="0" w:lastRow="0" w:firstColumn="0" w:lastColumn="0" w:oddVBand="0" w:evenVBand="0" w:oddHBand="1" w:evenHBand="0" w:firstRowFirstColumn="0" w:firstRowLastColumn="0" w:lastRowFirstColumn="0" w:lastRowLastColumn="0"/>
              <w:rPr>
                <w:rFonts w:eastAsia="Times New Roman"/>
                <w:color w:val="000000"/>
                <w:szCs w:val="18"/>
              </w:rPr>
            </w:pPr>
            <w:r w:rsidRPr="00B275E2">
              <w:rPr>
                <w:rFonts w:eastAsia="Times New Roman"/>
                <w:color w:val="000000"/>
                <w:szCs w:val="18"/>
              </w:rPr>
              <w:t>GJ</w:t>
            </w:r>
          </w:p>
        </w:tc>
        <w:tc>
          <w:tcPr>
            <w:tcW w:w="1247" w:type="dxa"/>
            <w:shd w:val="clear" w:color="auto" w:fill="D2DDE1" w:themeFill="background2"/>
            <w:noWrap/>
            <w:hideMark/>
          </w:tcPr>
          <w:p w14:paraId="0A3AAA86" w14:textId="137E3D31" w:rsidR="00543DC9" w:rsidRPr="00B275E2" w:rsidRDefault="00543DC9" w:rsidP="00543DC9">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18"/>
              </w:rPr>
            </w:pPr>
            <w:r w:rsidRPr="00B275E2">
              <w:rPr>
                <w:rFonts w:cs="Calibri"/>
                <w:color w:val="000000"/>
                <w:szCs w:val="18"/>
              </w:rPr>
              <w:t>3.42</w:t>
            </w:r>
          </w:p>
        </w:tc>
        <w:tc>
          <w:tcPr>
            <w:tcW w:w="1247" w:type="dxa"/>
            <w:shd w:val="clear" w:color="auto" w:fill="auto"/>
            <w:noWrap/>
            <w:hideMark/>
          </w:tcPr>
          <w:p w14:paraId="07AC7A46" w14:textId="77777777" w:rsidR="00543DC9" w:rsidRPr="00B275E2" w:rsidRDefault="00543DC9" w:rsidP="00543DC9">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18"/>
              </w:rPr>
            </w:pPr>
            <w:r w:rsidRPr="00B275E2">
              <w:rPr>
                <w:rFonts w:cs="Calibri"/>
                <w:color w:val="000000"/>
                <w:szCs w:val="18"/>
              </w:rPr>
              <w:t>67.3</w:t>
            </w:r>
          </w:p>
        </w:tc>
        <w:tc>
          <w:tcPr>
            <w:tcW w:w="1247" w:type="dxa"/>
            <w:shd w:val="clear" w:color="auto" w:fill="auto"/>
            <w:noWrap/>
            <w:hideMark/>
          </w:tcPr>
          <w:p w14:paraId="7EDB8D9E" w14:textId="77777777" w:rsidR="00543DC9" w:rsidRPr="00B275E2" w:rsidRDefault="00543DC9" w:rsidP="00543DC9">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18"/>
              </w:rPr>
            </w:pPr>
            <w:r w:rsidRPr="00B275E2">
              <w:rPr>
                <w:rFonts w:cs="Calibri"/>
                <w:color w:val="000000"/>
                <w:szCs w:val="18"/>
              </w:rPr>
              <w:t>2.85</w:t>
            </w:r>
          </w:p>
        </w:tc>
        <w:tc>
          <w:tcPr>
            <w:tcW w:w="1247" w:type="dxa"/>
            <w:shd w:val="clear" w:color="auto" w:fill="auto"/>
            <w:noWrap/>
            <w:hideMark/>
          </w:tcPr>
          <w:p w14:paraId="47D4DD76" w14:textId="77777777" w:rsidR="00543DC9" w:rsidRPr="00B275E2" w:rsidRDefault="00543DC9" w:rsidP="00543DC9">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18"/>
              </w:rPr>
            </w:pPr>
            <w:r w:rsidRPr="00B275E2">
              <w:rPr>
                <w:rFonts w:cs="Calibri"/>
                <w:color w:val="000000"/>
                <w:szCs w:val="18"/>
              </w:rPr>
              <w:t>0.570</w:t>
            </w:r>
          </w:p>
        </w:tc>
        <w:tc>
          <w:tcPr>
            <w:tcW w:w="1304" w:type="dxa"/>
            <w:tcBorders>
              <w:right w:val="single" w:sz="4" w:space="0" w:color="FFFFFF" w:themeColor="background1"/>
            </w:tcBorders>
            <w:noWrap/>
            <w:hideMark/>
          </w:tcPr>
          <w:p w14:paraId="4C40C378" w14:textId="77777777" w:rsidR="00543DC9" w:rsidRPr="00B275E2" w:rsidRDefault="00543DC9" w:rsidP="00543DC9">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18"/>
              </w:rPr>
            </w:pPr>
            <w:r w:rsidRPr="00B275E2">
              <w:rPr>
                <w:rFonts w:eastAsia="Times New Roman"/>
                <w:color w:val="000000"/>
                <w:szCs w:val="18"/>
              </w:rPr>
              <w:t>0.1%</w:t>
            </w:r>
          </w:p>
        </w:tc>
      </w:tr>
      <w:tr w:rsidR="00C64EB2" w:rsidRPr="00B275E2" w14:paraId="5BC22FE1" w14:textId="77777777" w:rsidTr="00E064CA">
        <w:tc>
          <w:tcPr>
            <w:cnfStyle w:val="001000000000" w:firstRow="0" w:lastRow="0" w:firstColumn="1" w:lastColumn="0" w:oddVBand="0" w:evenVBand="0" w:oddHBand="0" w:evenHBand="0" w:firstRowFirstColumn="0" w:firstRowLastColumn="0" w:lastRowFirstColumn="0" w:lastRowLastColumn="0"/>
            <w:tcW w:w="1644" w:type="dxa"/>
            <w:vMerge/>
            <w:tcBorders>
              <w:left w:val="single" w:sz="4" w:space="0" w:color="FFFFFF" w:themeColor="background1"/>
            </w:tcBorders>
            <w:hideMark/>
          </w:tcPr>
          <w:p w14:paraId="36543DC3" w14:textId="77777777" w:rsidR="00543DC9" w:rsidRPr="00B275E2" w:rsidRDefault="00543DC9" w:rsidP="00543DC9">
            <w:pPr>
              <w:pStyle w:val="TableText"/>
              <w:rPr>
                <w:rFonts w:eastAsia="Times New Roman"/>
                <w:b w:val="0"/>
                <w:color w:val="000000"/>
                <w:szCs w:val="18"/>
              </w:rPr>
            </w:pPr>
          </w:p>
        </w:tc>
        <w:tc>
          <w:tcPr>
            <w:tcW w:w="0" w:type="auto"/>
            <w:noWrap/>
            <w:hideMark/>
          </w:tcPr>
          <w:p w14:paraId="58D235AF" w14:textId="77777777" w:rsidR="00543DC9" w:rsidRPr="00B275E2" w:rsidRDefault="00543DC9" w:rsidP="00543DC9">
            <w:pPr>
              <w:pStyle w:val="TableText"/>
              <w:cnfStyle w:val="000000000000" w:firstRow="0" w:lastRow="0" w:firstColumn="0" w:lastColumn="0" w:oddVBand="0" w:evenVBand="0" w:oddHBand="0" w:evenHBand="0" w:firstRowFirstColumn="0" w:firstRowLastColumn="0" w:lastRowFirstColumn="0" w:lastRowLastColumn="0"/>
              <w:rPr>
                <w:rFonts w:eastAsia="Times New Roman"/>
                <w:color w:val="000000"/>
                <w:szCs w:val="18"/>
              </w:rPr>
            </w:pPr>
            <w:r w:rsidRPr="00B275E2">
              <w:rPr>
                <w:rFonts w:eastAsia="Times New Roman"/>
                <w:color w:val="000000"/>
                <w:szCs w:val="18"/>
              </w:rPr>
              <w:t>litre</w:t>
            </w:r>
          </w:p>
        </w:tc>
        <w:tc>
          <w:tcPr>
            <w:tcW w:w="1247" w:type="dxa"/>
            <w:shd w:val="clear" w:color="auto" w:fill="D2DDE1" w:themeFill="background2"/>
            <w:noWrap/>
            <w:hideMark/>
          </w:tcPr>
          <w:p w14:paraId="13625E3B" w14:textId="6CFE3B18" w:rsidR="00543DC9" w:rsidRPr="00B275E2" w:rsidRDefault="00543DC9" w:rsidP="00543DC9">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18"/>
              </w:rPr>
            </w:pPr>
            <w:r w:rsidRPr="00B275E2">
              <w:rPr>
                <w:rFonts w:cs="Calibri"/>
                <w:color w:val="000000"/>
                <w:szCs w:val="18"/>
              </w:rPr>
              <w:t>0.000125</w:t>
            </w:r>
          </w:p>
        </w:tc>
        <w:tc>
          <w:tcPr>
            <w:tcW w:w="1247" w:type="dxa"/>
            <w:shd w:val="clear" w:color="auto" w:fill="auto"/>
            <w:noWrap/>
            <w:hideMark/>
          </w:tcPr>
          <w:p w14:paraId="3FC5C73D" w14:textId="77777777" w:rsidR="00543DC9" w:rsidRPr="00B275E2" w:rsidRDefault="00543DC9" w:rsidP="00543DC9">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18"/>
              </w:rPr>
            </w:pPr>
            <w:r w:rsidRPr="00B275E2">
              <w:rPr>
                <w:rFonts w:cs="Calibri"/>
                <w:color w:val="000000"/>
                <w:szCs w:val="18"/>
              </w:rPr>
              <w:t>2.45</w:t>
            </w:r>
          </w:p>
        </w:tc>
        <w:tc>
          <w:tcPr>
            <w:tcW w:w="1247" w:type="dxa"/>
            <w:shd w:val="clear" w:color="auto" w:fill="auto"/>
            <w:noWrap/>
            <w:hideMark/>
          </w:tcPr>
          <w:p w14:paraId="217945C8" w14:textId="77777777" w:rsidR="00543DC9" w:rsidRPr="00B275E2" w:rsidRDefault="00543DC9" w:rsidP="00543DC9">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18"/>
              </w:rPr>
            </w:pPr>
            <w:r w:rsidRPr="00B275E2">
              <w:rPr>
                <w:rFonts w:cs="Calibri"/>
                <w:color w:val="000000"/>
                <w:szCs w:val="18"/>
              </w:rPr>
              <w:t>0.000104</w:t>
            </w:r>
          </w:p>
        </w:tc>
        <w:tc>
          <w:tcPr>
            <w:tcW w:w="1247" w:type="dxa"/>
            <w:shd w:val="clear" w:color="auto" w:fill="auto"/>
            <w:noWrap/>
            <w:hideMark/>
          </w:tcPr>
          <w:p w14:paraId="4476BC3C" w14:textId="77777777" w:rsidR="00543DC9" w:rsidRPr="00B275E2" w:rsidRDefault="00543DC9" w:rsidP="00543DC9">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18"/>
              </w:rPr>
            </w:pPr>
            <w:r w:rsidRPr="00B275E2">
              <w:rPr>
                <w:rFonts w:cs="Calibri"/>
                <w:color w:val="000000"/>
                <w:szCs w:val="18"/>
              </w:rPr>
              <w:t>0.0000208</w:t>
            </w:r>
          </w:p>
        </w:tc>
        <w:tc>
          <w:tcPr>
            <w:tcW w:w="1304" w:type="dxa"/>
            <w:tcBorders>
              <w:right w:val="single" w:sz="4" w:space="0" w:color="FFFFFF" w:themeColor="background1"/>
            </w:tcBorders>
            <w:noWrap/>
            <w:hideMark/>
          </w:tcPr>
          <w:p w14:paraId="1A201494" w14:textId="77777777" w:rsidR="00543DC9" w:rsidRPr="00B275E2" w:rsidRDefault="00543DC9" w:rsidP="00543DC9">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18"/>
              </w:rPr>
            </w:pPr>
            <w:r w:rsidRPr="00B275E2">
              <w:rPr>
                <w:rFonts w:eastAsia="Times New Roman"/>
                <w:color w:val="000000"/>
                <w:szCs w:val="18"/>
              </w:rPr>
              <w:t>0.1%</w:t>
            </w:r>
          </w:p>
        </w:tc>
      </w:tr>
      <w:tr w:rsidR="008F39BF" w:rsidRPr="00B275E2" w14:paraId="6AA5F7B5" w14:textId="77777777" w:rsidTr="00E064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Borders>
              <w:left w:val="single" w:sz="4" w:space="0" w:color="FFFFFF" w:themeColor="background1"/>
            </w:tcBorders>
          </w:tcPr>
          <w:p w14:paraId="43B3BAD5" w14:textId="01B26379" w:rsidR="008F39BF" w:rsidRPr="00B275E2" w:rsidRDefault="008F39BF" w:rsidP="008F39BF">
            <w:pPr>
              <w:pStyle w:val="TableText"/>
              <w:rPr>
                <w:rFonts w:eastAsia="Times New Roman"/>
                <w:b w:val="0"/>
                <w:color w:val="000000"/>
                <w:szCs w:val="18"/>
              </w:rPr>
            </w:pPr>
            <w:r w:rsidRPr="00B275E2">
              <w:rPr>
                <w:b w:val="0"/>
                <w:szCs w:val="18"/>
              </w:rPr>
              <w:t>Wood – residential</w:t>
            </w:r>
          </w:p>
        </w:tc>
        <w:tc>
          <w:tcPr>
            <w:tcW w:w="0" w:type="auto"/>
            <w:noWrap/>
          </w:tcPr>
          <w:p w14:paraId="61134D07" w14:textId="4512EBE1" w:rsidR="008F39BF" w:rsidRPr="00B275E2" w:rsidRDefault="008F39BF" w:rsidP="008F39BF">
            <w:pPr>
              <w:pStyle w:val="TableText"/>
              <w:cnfStyle w:val="000000100000" w:firstRow="0" w:lastRow="0" w:firstColumn="0" w:lastColumn="0" w:oddVBand="0" w:evenVBand="0" w:oddHBand="1" w:evenHBand="0" w:firstRowFirstColumn="0" w:firstRowLastColumn="0" w:lastRowFirstColumn="0" w:lastRowLastColumn="0"/>
              <w:rPr>
                <w:rFonts w:eastAsia="Times New Roman"/>
                <w:color w:val="000000"/>
                <w:szCs w:val="18"/>
              </w:rPr>
            </w:pPr>
            <w:r w:rsidRPr="00B275E2">
              <w:rPr>
                <w:szCs w:val="18"/>
              </w:rPr>
              <w:t>kg</w:t>
            </w:r>
          </w:p>
        </w:tc>
        <w:tc>
          <w:tcPr>
            <w:tcW w:w="1247" w:type="dxa"/>
            <w:shd w:val="clear" w:color="auto" w:fill="D2DDE1" w:themeFill="background2"/>
            <w:noWrap/>
          </w:tcPr>
          <w:p w14:paraId="3C7EE29B" w14:textId="15D29CA3" w:rsidR="008F39BF" w:rsidRPr="00B275E2" w:rsidRDefault="00961B4E" w:rsidP="008F39BF">
            <w:pPr>
              <w:pStyle w:val="TableText"/>
              <w:jc w:val="right"/>
              <w:cnfStyle w:val="000000100000" w:firstRow="0" w:lastRow="0" w:firstColumn="0" w:lastColumn="0" w:oddVBand="0" w:evenVBand="0" w:oddHBand="1" w:evenHBand="0" w:firstRowFirstColumn="0" w:firstRowLastColumn="0" w:lastRowFirstColumn="0" w:lastRowLastColumn="0"/>
              <w:rPr>
                <w:color w:val="000000"/>
                <w:szCs w:val="18"/>
              </w:rPr>
            </w:pPr>
            <w:r w:rsidRPr="00300D9D">
              <w:t>0.06696</w:t>
            </w:r>
          </w:p>
        </w:tc>
        <w:tc>
          <w:tcPr>
            <w:tcW w:w="1247" w:type="dxa"/>
            <w:shd w:val="clear" w:color="auto" w:fill="auto"/>
            <w:noWrap/>
          </w:tcPr>
          <w:p w14:paraId="6AC81EB6" w14:textId="01BC390E" w:rsidR="008F39BF" w:rsidRPr="00B275E2" w:rsidRDefault="008F39BF" w:rsidP="008F39BF">
            <w:pPr>
              <w:pStyle w:val="TableText"/>
              <w:jc w:val="right"/>
              <w:cnfStyle w:val="000000100000" w:firstRow="0" w:lastRow="0" w:firstColumn="0" w:lastColumn="0" w:oddVBand="0" w:evenVBand="0" w:oddHBand="1" w:evenHBand="0" w:firstRowFirstColumn="0" w:firstRowLastColumn="0" w:lastRowFirstColumn="0" w:lastRowLastColumn="0"/>
              <w:rPr>
                <w:color w:val="000000"/>
                <w:szCs w:val="18"/>
              </w:rPr>
            </w:pPr>
            <w:r w:rsidRPr="00300D9D">
              <w:t>0.862</w:t>
            </w:r>
          </w:p>
        </w:tc>
        <w:tc>
          <w:tcPr>
            <w:tcW w:w="1247" w:type="dxa"/>
            <w:shd w:val="clear" w:color="auto" w:fill="auto"/>
            <w:noWrap/>
          </w:tcPr>
          <w:p w14:paraId="1A4F141F" w14:textId="12675EE5" w:rsidR="008F39BF" w:rsidRPr="00B275E2" w:rsidRDefault="008F39BF" w:rsidP="008F39BF">
            <w:pPr>
              <w:pStyle w:val="TableText"/>
              <w:jc w:val="right"/>
              <w:cnfStyle w:val="000000100000" w:firstRow="0" w:lastRow="0" w:firstColumn="0" w:lastColumn="0" w:oddVBand="0" w:evenVBand="0" w:oddHBand="1" w:evenHBand="0" w:firstRowFirstColumn="0" w:firstRowLastColumn="0" w:lastRowFirstColumn="0" w:lastRowLastColumn="0"/>
              <w:rPr>
                <w:color w:val="000000"/>
                <w:szCs w:val="18"/>
              </w:rPr>
            </w:pPr>
            <w:r w:rsidRPr="00300D9D">
              <w:t>0.00578</w:t>
            </w:r>
          </w:p>
        </w:tc>
        <w:tc>
          <w:tcPr>
            <w:tcW w:w="1247" w:type="dxa"/>
            <w:shd w:val="clear" w:color="auto" w:fill="auto"/>
            <w:noWrap/>
          </w:tcPr>
          <w:p w14:paraId="66C3A13B" w14:textId="3310248C" w:rsidR="008F39BF" w:rsidRPr="00B275E2" w:rsidRDefault="008F39BF" w:rsidP="008F39BF">
            <w:pPr>
              <w:pStyle w:val="TableText"/>
              <w:jc w:val="right"/>
              <w:cnfStyle w:val="000000100000" w:firstRow="0" w:lastRow="0" w:firstColumn="0" w:lastColumn="0" w:oddVBand="0" w:evenVBand="0" w:oddHBand="1" w:evenHBand="0" w:firstRowFirstColumn="0" w:firstRowLastColumn="0" w:lastRowFirstColumn="0" w:lastRowLastColumn="0"/>
              <w:rPr>
                <w:color w:val="000000"/>
                <w:szCs w:val="18"/>
              </w:rPr>
            </w:pPr>
            <w:r w:rsidRPr="00300D9D">
              <w:t>0.00918</w:t>
            </w:r>
          </w:p>
        </w:tc>
        <w:tc>
          <w:tcPr>
            <w:tcW w:w="1304" w:type="dxa"/>
            <w:tcBorders>
              <w:right w:val="single" w:sz="4" w:space="0" w:color="FFFFFF" w:themeColor="background1"/>
            </w:tcBorders>
            <w:noWrap/>
          </w:tcPr>
          <w:p w14:paraId="7A0D4892" w14:textId="77777777" w:rsidR="008F39BF" w:rsidRPr="00B275E2" w:rsidRDefault="008F39BF" w:rsidP="008F39BF">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18"/>
              </w:rPr>
            </w:pPr>
            <w:r w:rsidRPr="00B275E2">
              <w:rPr>
                <w:szCs w:val="18"/>
              </w:rPr>
              <w:t>36.3%</w:t>
            </w:r>
          </w:p>
        </w:tc>
      </w:tr>
      <w:tr w:rsidR="008F39BF" w:rsidRPr="00B275E2" w14:paraId="5D975C04" w14:textId="77777777" w:rsidTr="00E064CA">
        <w:tc>
          <w:tcPr>
            <w:cnfStyle w:val="001000000000" w:firstRow="0" w:lastRow="0" w:firstColumn="1" w:lastColumn="0" w:oddVBand="0" w:evenVBand="0" w:oddHBand="0" w:evenHBand="0" w:firstRowFirstColumn="0" w:firstRowLastColumn="0" w:lastRowFirstColumn="0" w:lastRowLastColumn="0"/>
            <w:tcW w:w="1644" w:type="dxa"/>
            <w:tcBorders>
              <w:left w:val="single" w:sz="4" w:space="0" w:color="FFFFFF" w:themeColor="background1"/>
            </w:tcBorders>
          </w:tcPr>
          <w:p w14:paraId="7C1CBF87" w14:textId="44F48E42" w:rsidR="008F39BF" w:rsidRPr="00B275E2" w:rsidRDefault="008F39BF" w:rsidP="008F39BF">
            <w:pPr>
              <w:pStyle w:val="TableText"/>
              <w:rPr>
                <w:rFonts w:eastAsia="Times New Roman"/>
                <w:b w:val="0"/>
                <w:color w:val="000000"/>
                <w:szCs w:val="18"/>
              </w:rPr>
            </w:pPr>
            <w:r w:rsidRPr="00B275E2">
              <w:rPr>
                <w:b w:val="0"/>
                <w:szCs w:val="18"/>
              </w:rPr>
              <w:t>Wood – industrial</w:t>
            </w:r>
          </w:p>
        </w:tc>
        <w:tc>
          <w:tcPr>
            <w:tcW w:w="0" w:type="auto"/>
            <w:noWrap/>
          </w:tcPr>
          <w:p w14:paraId="75ECAA02" w14:textId="6C54D64A" w:rsidR="008F39BF" w:rsidRPr="00B275E2" w:rsidRDefault="008F39BF" w:rsidP="008F39BF">
            <w:pPr>
              <w:pStyle w:val="TableText"/>
              <w:cnfStyle w:val="000000000000" w:firstRow="0" w:lastRow="0" w:firstColumn="0" w:lastColumn="0" w:oddVBand="0" w:evenVBand="0" w:oddHBand="0" w:evenHBand="0" w:firstRowFirstColumn="0" w:firstRowLastColumn="0" w:lastRowFirstColumn="0" w:lastRowLastColumn="0"/>
              <w:rPr>
                <w:rFonts w:eastAsia="Times New Roman"/>
                <w:color w:val="000000"/>
                <w:szCs w:val="18"/>
              </w:rPr>
            </w:pPr>
            <w:r w:rsidRPr="00B275E2">
              <w:rPr>
                <w:szCs w:val="18"/>
              </w:rPr>
              <w:t>kg</w:t>
            </w:r>
          </w:p>
        </w:tc>
        <w:tc>
          <w:tcPr>
            <w:tcW w:w="1247" w:type="dxa"/>
            <w:shd w:val="clear" w:color="auto" w:fill="D2DDE1" w:themeFill="background2"/>
            <w:noWrap/>
          </w:tcPr>
          <w:p w14:paraId="1342F442" w14:textId="485C0855" w:rsidR="008F39BF" w:rsidRPr="00B275E2" w:rsidRDefault="00961B4E" w:rsidP="008F39BF">
            <w:pPr>
              <w:pStyle w:val="TableText"/>
              <w:jc w:val="right"/>
              <w:cnfStyle w:val="000000000000" w:firstRow="0" w:lastRow="0" w:firstColumn="0" w:lastColumn="0" w:oddVBand="0" w:evenVBand="0" w:oddHBand="0" w:evenHBand="0" w:firstRowFirstColumn="0" w:firstRowLastColumn="0" w:lastRowFirstColumn="0" w:lastRowLastColumn="0"/>
              <w:rPr>
                <w:color w:val="000000"/>
                <w:szCs w:val="18"/>
              </w:rPr>
            </w:pPr>
            <w:r w:rsidRPr="00300D9D">
              <w:t>0.01496</w:t>
            </w:r>
          </w:p>
        </w:tc>
        <w:tc>
          <w:tcPr>
            <w:tcW w:w="1247" w:type="dxa"/>
            <w:shd w:val="clear" w:color="auto" w:fill="auto"/>
            <w:noWrap/>
          </w:tcPr>
          <w:p w14:paraId="0AA14040" w14:textId="405BD8C8" w:rsidR="008F39BF" w:rsidRPr="00B275E2" w:rsidRDefault="008F39BF" w:rsidP="008F39BF">
            <w:pPr>
              <w:pStyle w:val="TableText"/>
              <w:jc w:val="right"/>
              <w:cnfStyle w:val="000000000000" w:firstRow="0" w:lastRow="0" w:firstColumn="0" w:lastColumn="0" w:oddVBand="0" w:evenVBand="0" w:oddHBand="0" w:evenHBand="0" w:firstRowFirstColumn="0" w:firstRowLastColumn="0" w:lastRowFirstColumn="0" w:lastRowLastColumn="0"/>
              <w:rPr>
                <w:color w:val="000000"/>
                <w:szCs w:val="18"/>
              </w:rPr>
            </w:pPr>
            <w:r w:rsidRPr="00300D9D">
              <w:t>0.862</w:t>
            </w:r>
          </w:p>
        </w:tc>
        <w:tc>
          <w:tcPr>
            <w:tcW w:w="1247" w:type="dxa"/>
            <w:shd w:val="clear" w:color="auto" w:fill="auto"/>
            <w:noWrap/>
          </w:tcPr>
          <w:p w14:paraId="672A9A89" w14:textId="78A5F563" w:rsidR="008F39BF" w:rsidRPr="00B275E2" w:rsidRDefault="008F39BF" w:rsidP="008F39BF">
            <w:pPr>
              <w:pStyle w:val="TableText"/>
              <w:jc w:val="right"/>
              <w:cnfStyle w:val="000000000000" w:firstRow="0" w:lastRow="0" w:firstColumn="0" w:lastColumn="0" w:oddVBand="0" w:evenVBand="0" w:oddHBand="0" w:evenHBand="0" w:firstRowFirstColumn="0" w:firstRowLastColumn="0" w:lastRowFirstColumn="0" w:lastRowLastColumn="0"/>
              <w:rPr>
                <w:color w:val="000000"/>
                <w:szCs w:val="18"/>
              </w:rPr>
            </w:pPr>
            <w:r w:rsidRPr="00300D9D">
              <w:t>0.05778</w:t>
            </w:r>
          </w:p>
        </w:tc>
        <w:tc>
          <w:tcPr>
            <w:tcW w:w="1247" w:type="dxa"/>
            <w:shd w:val="clear" w:color="auto" w:fill="auto"/>
            <w:noWrap/>
          </w:tcPr>
          <w:p w14:paraId="687757F4" w14:textId="7621F4F2" w:rsidR="008F39BF" w:rsidRPr="00B275E2" w:rsidRDefault="008F39BF" w:rsidP="008F39BF">
            <w:pPr>
              <w:pStyle w:val="TableText"/>
              <w:jc w:val="right"/>
              <w:cnfStyle w:val="000000000000" w:firstRow="0" w:lastRow="0" w:firstColumn="0" w:lastColumn="0" w:oddVBand="0" w:evenVBand="0" w:oddHBand="0" w:evenHBand="0" w:firstRowFirstColumn="0" w:firstRowLastColumn="0" w:lastRowFirstColumn="0" w:lastRowLastColumn="0"/>
              <w:rPr>
                <w:color w:val="000000"/>
                <w:szCs w:val="18"/>
              </w:rPr>
            </w:pPr>
            <w:r w:rsidRPr="00300D9D">
              <w:t>0.00918</w:t>
            </w:r>
          </w:p>
        </w:tc>
        <w:tc>
          <w:tcPr>
            <w:tcW w:w="1304" w:type="dxa"/>
            <w:tcBorders>
              <w:right w:val="single" w:sz="4" w:space="0" w:color="FFFFFF" w:themeColor="background1"/>
            </w:tcBorders>
            <w:noWrap/>
          </w:tcPr>
          <w:p w14:paraId="457611D8" w14:textId="77777777" w:rsidR="008F39BF" w:rsidRPr="00B275E2" w:rsidRDefault="008F39BF" w:rsidP="008F39BF">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18"/>
              </w:rPr>
            </w:pPr>
            <w:r w:rsidRPr="00B275E2">
              <w:rPr>
                <w:szCs w:val="18"/>
              </w:rPr>
              <w:t>43.7%</w:t>
            </w:r>
          </w:p>
        </w:tc>
      </w:tr>
    </w:tbl>
    <w:p w14:paraId="368973FE" w14:textId="77777777" w:rsidR="00564258" w:rsidRPr="00B275E2" w:rsidRDefault="0041106E" w:rsidP="007F0B1E">
      <w:pPr>
        <w:pStyle w:val="Note"/>
        <w:keepNext/>
        <w:spacing w:after="60"/>
      </w:pPr>
      <w:r w:rsidRPr="00B275E2">
        <w:t>Note</w:t>
      </w:r>
      <w:r w:rsidR="00564258" w:rsidRPr="00B275E2">
        <w:t>s</w:t>
      </w:r>
    </w:p>
    <w:p w14:paraId="78AB5465" w14:textId="2EAA0DD6" w:rsidR="0022416C" w:rsidRPr="00B275E2" w:rsidRDefault="0022416C" w:rsidP="00C24B73">
      <w:pPr>
        <w:pStyle w:val="BodyText"/>
        <w:keepNext/>
        <w:numPr>
          <w:ilvl w:val="0"/>
          <w:numId w:val="47"/>
        </w:numPr>
        <w:spacing w:before="0" w:after="60" w:line="240" w:lineRule="atLeast"/>
        <w:ind w:left="397" w:hanging="397"/>
        <w:rPr>
          <w:sz w:val="18"/>
        </w:rPr>
      </w:pPr>
      <w:r w:rsidRPr="00B275E2">
        <w:rPr>
          <w:sz w:val="18"/>
        </w:rPr>
        <w:t>These numbers are rounded to three significant figures.</w:t>
      </w:r>
    </w:p>
    <w:p w14:paraId="1294AA95" w14:textId="5C9BD99A" w:rsidR="00543DC9" w:rsidRPr="00B275E2" w:rsidRDefault="0022416C" w:rsidP="00C24B73">
      <w:pPr>
        <w:pStyle w:val="BodyText"/>
        <w:numPr>
          <w:ilvl w:val="0"/>
          <w:numId w:val="47"/>
        </w:numPr>
        <w:spacing w:before="0" w:after="60" w:line="240" w:lineRule="atLeast"/>
        <w:ind w:left="397" w:hanging="397"/>
        <w:rPr>
          <w:sz w:val="18"/>
        </w:rPr>
      </w:pPr>
      <w:r w:rsidRPr="00B275E2">
        <w:rPr>
          <w:sz w:val="18"/>
        </w:rPr>
        <w:t>The guide does</w:t>
      </w:r>
      <w:r w:rsidR="00543DC9" w:rsidRPr="00B275E2">
        <w:rPr>
          <w:sz w:val="18"/>
        </w:rPr>
        <w:t xml:space="preserve"> not expect many commercial or industrial users will burn wood in </w:t>
      </w:r>
      <w:r w:rsidR="00C1583F" w:rsidRPr="00B275E2">
        <w:rPr>
          <w:sz w:val="18"/>
        </w:rPr>
        <w:t>fireplaces,</w:t>
      </w:r>
      <w:r w:rsidR="00543DC9" w:rsidRPr="00B275E2">
        <w:rPr>
          <w:sz w:val="18"/>
        </w:rPr>
        <w:t xml:space="preserve"> but this emission factor has been provided for completeness. It is the default residential emission factor.</w:t>
      </w:r>
    </w:p>
    <w:p w14:paraId="63A380E5" w14:textId="1E2D7684" w:rsidR="00543DC9" w:rsidRPr="00B275E2" w:rsidRDefault="00543DC9" w:rsidP="00C24B73">
      <w:pPr>
        <w:pStyle w:val="BodyText"/>
        <w:numPr>
          <w:ilvl w:val="0"/>
          <w:numId w:val="47"/>
        </w:numPr>
        <w:spacing w:before="0" w:line="240" w:lineRule="atLeast"/>
        <w:ind w:left="397" w:hanging="397"/>
        <w:rPr>
          <w:sz w:val="18"/>
        </w:rPr>
      </w:pPr>
      <w:r w:rsidRPr="00B275E2">
        <w:rPr>
          <w:sz w:val="18"/>
        </w:rPr>
        <w:t>The total CO</w:t>
      </w:r>
      <w:r w:rsidRPr="00B275E2">
        <w:rPr>
          <w:sz w:val="18"/>
          <w:vertAlign w:val="subscript"/>
        </w:rPr>
        <w:t>2</w:t>
      </w:r>
      <w:r w:rsidRPr="00B275E2">
        <w:rPr>
          <w:sz w:val="18"/>
        </w:rPr>
        <w:t xml:space="preserve">-e emission factor for biofuels and biomass only includes </w:t>
      </w:r>
      <w:r w:rsidR="002D0F9F" w:rsidRPr="00B275E2">
        <w:rPr>
          <w:sz w:val="18"/>
        </w:rPr>
        <w:t>methane and nitrous oxide</w:t>
      </w:r>
      <w:r w:rsidRPr="00B275E2">
        <w:rPr>
          <w:sz w:val="18"/>
        </w:rPr>
        <w:t xml:space="preserve"> emissions. This is based on </w:t>
      </w:r>
      <w:r w:rsidRPr="00B275E2">
        <w:rPr>
          <w:rStyle w:val="Hyperlink"/>
          <w:sz w:val="19"/>
        </w:rPr>
        <w:t>ISO 14064-1</w:t>
      </w:r>
      <w:r w:rsidR="00A8360E" w:rsidRPr="00B275E2">
        <w:rPr>
          <w:rStyle w:val="Hyperlink"/>
          <w:sz w:val="19"/>
        </w:rPr>
        <w:t>:2018</w:t>
      </w:r>
      <w:r w:rsidRPr="00B275E2">
        <w:rPr>
          <w:sz w:val="18"/>
        </w:rPr>
        <w:t xml:space="preserve"> and the </w:t>
      </w:r>
      <w:r w:rsidRPr="00B275E2">
        <w:rPr>
          <w:rStyle w:val="Hyperlink"/>
          <w:sz w:val="19"/>
        </w:rPr>
        <w:t>GHG Protocol</w:t>
      </w:r>
      <w:r w:rsidRPr="00B275E2">
        <w:rPr>
          <w:sz w:val="18"/>
        </w:rPr>
        <w:t xml:space="preserve"> reporting requirements for combustion of biomass as direct (Scope 1) emissions. </w:t>
      </w:r>
      <w:r w:rsidR="002D0F9F" w:rsidRPr="00B275E2">
        <w:rPr>
          <w:sz w:val="18"/>
        </w:rPr>
        <w:t>Carbon dioxide</w:t>
      </w:r>
      <w:r w:rsidRPr="00B275E2">
        <w:rPr>
          <w:sz w:val="18"/>
        </w:rPr>
        <w:t xml:space="preserve"> emissions from the combustion of biologically sequestered carbon are reported separately.</w:t>
      </w:r>
    </w:p>
    <w:p w14:paraId="4E542075" w14:textId="3EF96DCE" w:rsidR="0041106E" w:rsidRPr="0068533B" w:rsidRDefault="00301928" w:rsidP="0068533B">
      <w:pPr>
        <w:pStyle w:val="Heading3"/>
      </w:pPr>
      <w:bookmarkStart w:id="171" w:name="_Toc532904865"/>
      <w:r w:rsidRPr="0068533B">
        <w:lastRenderedPageBreak/>
        <w:t xml:space="preserve">GHG </w:t>
      </w:r>
      <w:r w:rsidR="0041106E" w:rsidRPr="0068533B">
        <w:t>inventory development</w:t>
      </w:r>
      <w:bookmarkEnd w:id="171"/>
    </w:p>
    <w:tbl>
      <w:tblPr>
        <w:tblStyle w:val="mfebox"/>
        <w:tblW w:w="0" w:type="auto"/>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1" w:themeFill="background2"/>
        <w:tblLook w:val="04A0" w:firstRow="1" w:lastRow="0" w:firstColumn="1" w:lastColumn="0" w:noHBand="0" w:noVBand="1"/>
      </w:tblPr>
      <w:tblGrid>
        <w:gridCol w:w="8495"/>
      </w:tblGrid>
      <w:tr w:rsidR="00C64EB2" w:rsidRPr="00B275E2" w14:paraId="513ABA12" w14:textId="77777777" w:rsidTr="00E739F2">
        <w:tc>
          <w:tcPr>
            <w:tcW w:w="8720" w:type="dxa"/>
            <w:shd w:val="clear" w:color="auto" w:fill="D2DDE1" w:themeFill="background2"/>
          </w:tcPr>
          <w:p w14:paraId="1CAF4B1A" w14:textId="021DC2DA" w:rsidR="00F96A27" w:rsidRPr="00B275E2" w:rsidRDefault="00C64EB2" w:rsidP="00E739F2">
            <w:pPr>
              <w:pStyle w:val="Boxtext"/>
              <w:spacing w:before="240" w:after="80"/>
            </w:pPr>
            <w:r w:rsidRPr="00B275E2">
              <w:t xml:space="preserve">Note that although the direct (Scope 1) </w:t>
            </w:r>
            <w:r w:rsidR="008D6410" w:rsidRPr="00B275E2">
              <w:t>carbon dioxide</w:t>
            </w:r>
            <w:r w:rsidRPr="00B275E2">
              <w:t xml:space="preserve"> emissions </w:t>
            </w:r>
            <w:r w:rsidR="00010738" w:rsidRPr="00B275E2">
              <w:t xml:space="preserve">of </w:t>
            </w:r>
            <w:r w:rsidR="003C2B98" w:rsidRPr="00B275E2">
              <w:t xml:space="preserve">biomass </w:t>
            </w:r>
            <w:r w:rsidR="00CB6B05" w:rsidRPr="00B275E2">
              <w:t xml:space="preserve">combustion </w:t>
            </w:r>
            <w:r w:rsidRPr="00B275E2">
              <w:t xml:space="preserve">are </w:t>
            </w:r>
            <w:r w:rsidR="00CB6B05" w:rsidRPr="00B275E2">
              <w:t xml:space="preserve">considered </w:t>
            </w:r>
            <w:r w:rsidRPr="00B275E2">
              <w:t>carbon neutral</w:t>
            </w:r>
            <w:r w:rsidR="00FE1E0B" w:rsidRPr="00B275E2">
              <w:t xml:space="preserve"> over the </w:t>
            </w:r>
            <w:r w:rsidR="004E76C1" w:rsidRPr="00B275E2">
              <w:t>short-term</w:t>
            </w:r>
            <w:r w:rsidR="00FE1E0B" w:rsidRPr="00B275E2">
              <w:t xml:space="preserve"> carbon cycle</w:t>
            </w:r>
            <w:r w:rsidRPr="00B275E2">
              <w:t xml:space="preserve">, organisations should </w:t>
            </w:r>
            <w:r w:rsidR="00944746" w:rsidRPr="00B275E2">
              <w:t xml:space="preserve">still </w:t>
            </w:r>
            <w:r w:rsidRPr="00B275E2">
              <w:t xml:space="preserve">report the </w:t>
            </w:r>
            <w:r w:rsidR="008D6410" w:rsidRPr="00B275E2">
              <w:t>carbon dioxide</w:t>
            </w:r>
            <w:r w:rsidRPr="00B275E2">
              <w:t xml:space="preserve"> released through </w:t>
            </w:r>
            <w:r w:rsidR="00944746" w:rsidRPr="00B275E2">
              <w:t>biofuel</w:t>
            </w:r>
            <w:r w:rsidRPr="00B275E2">
              <w:t xml:space="preserve"> and biomass</w:t>
            </w:r>
            <w:r w:rsidR="00944746" w:rsidRPr="00B275E2">
              <w:t xml:space="preserve"> combustion</w:t>
            </w:r>
            <w:r w:rsidR="00E739F2" w:rsidRPr="00B275E2">
              <w:t>.</w:t>
            </w:r>
            <w:r w:rsidR="00806A62" w:rsidRPr="00B275E2">
              <w:rPr>
                <w:rStyle w:val="FootnoteReference"/>
                <w:rFonts w:eastAsia="Times New Roman" w:cs="Arial"/>
                <w:color w:val="1C556C"/>
                <w:sz w:val="20"/>
                <w:szCs w:val="20"/>
              </w:rPr>
              <w:footnoteReference w:id="25"/>
            </w:r>
          </w:p>
          <w:p w14:paraId="318EE02C" w14:textId="7DDE8645" w:rsidR="00C64EB2" w:rsidRPr="00B275E2" w:rsidRDefault="00944746" w:rsidP="00E739F2">
            <w:pPr>
              <w:pStyle w:val="Boxtext"/>
              <w:spacing w:after="240"/>
            </w:pPr>
            <w:r w:rsidRPr="00B275E2">
              <w:t xml:space="preserve">Calculate </w:t>
            </w:r>
            <w:r w:rsidR="00020870" w:rsidRPr="00B275E2">
              <w:t xml:space="preserve">the </w:t>
            </w:r>
            <w:r w:rsidR="00DC15CC" w:rsidRPr="00B275E2">
              <w:t>carbon dioxide</w:t>
            </w:r>
            <w:r w:rsidR="00C64EB2" w:rsidRPr="00B275E2">
              <w:t xml:space="preserve"> emissions in the same way as the direct emissions</w:t>
            </w:r>
            <w:r w:rsidRPr="00B275E2">
              <w:t>. Then, instead of including them</w:t>
            </w:r>
            <w:r w:rsidR="00C64EB2" w:rsidRPr="00B275E2">
              <w:t xml:space="preserve"> within the emissions total</w:t>
            </w:r>
            <w:r w:rsidR="00DC15CC" w:rsidRPr="00B275E2">
              <w:t xml:space="preserve"> (</w:t>
            </w:r>
            <w:r w:rsidR="0079752E" w:rsidRPr="00B275E2">
              <w:t>where</w:t>
            </w:r>
            <w:r w:rsidR="00DC15CC" w:rsidRPr="00B275E2">
              <w:t xml:space="preserve"> CH</w:t>
            </w:r>
            <w:r w:rsidR="00DC15CC" w:rsidRPr="00B275E2">
              <w:rPr>
                <w:vertAlign w:val="subscript"/>
              </w:rPr>
              <w:t>4</w:t>
            </w:r>
            <w:r w:rsidR="00DC15CC" w:rsidRPr="00B275E2">
              <w:t xml:space="preserve"> and NO</w:t>
            </w:r>
            <w:r w:rsidR="00DC15CC" w:rsidRPr="00B275E2">
              <w:rPr>
                <w:vertAlign w:val="subscript"/>
              </w:rPr>
              <w:t>2</w:t>
            </w:r>
            <w:r w:rsidR="0079752E" w:rsidRPr="00B275E2">
              <w:t xml:space="preserve"> gases are reported</w:t>
            </w:r>
            <w:r w:rsidR="00DC15CC" w:rsidRPr="00B275E2">
              <w:t>)</w:t>
            </w:r>
            <w:r w:rsidRPr="00B275E2">
              <w:t xml:space="preserve">, </w:t>
            </w:r>
            <w:r w:rsidR="0069175A" w:rsidRPr="00B275E2">
              <w:t xml:space="preserve">list </w:t>
            </w:r>
            <w:r w:rsidRPr="00B275E2">
              <w:t>the</w:t>
            </w:r>
            <w:r w:rsidR="00E00E11" w:rsidRPr="00B275E2">
              <w:t>m</w:t>
            </w:r>
            <w:r w:rsidR="00E739F2" w:rsidRPr="00B275E2">
              <w:t> </w:t>
            </w:r>
            <w:r w:rsidR="00C64EB2" w:rsidRPr="00B275E2">
              <w:t>a</w:t>
            </w:r>
            <w:r w:rsidR="0069175A" w:rsidRPr="00B275E2">
              <w:t>s a</w:t>
            </w:r>
            <w:r w:rsidR="00C64EB2" w:rsidRPr="00B275E2">
              <w:t xml:space="preserve"> separate line item called ‘</w:t>
            </w:r>
            <w:r w:rsidR="00FE1E0B" w:rsidRPr="00B275E2">
              <w:t xml:space="preserve">biogenic </w:t>
            </w:r>
            <w:r w:rsidR="00FE1E0B" w:rsidRPr="00B275E2">
              <w:rPr>
                <w:szCs w:val="20"/>
              </w:rPr>
              <w:t>emissions</w:t>
            </w:r>
            <w:r w:rsidR="00C64EB2" w:rsidRPr="00B275E2">
              <w:rPr>
                <w:szCs w:val="20"/>
              </w:rPr>
              <w:t>’</w:t>
            </w:r>
            <w:r w:rsidR="00E739F2" w:rsidRPr="00B275E2">
              <w:rPr>
                <w:szCs w:val="20"/>
              </w:rPr>
              <w:t>.</w:t>
            </w:r>
            <w:r w:rsidR="00C64EB2" w:rsidRPr="00B275E2">
              <w:rPr>
                <w:rStyle w:val="FootnoteReference"/>
                <w:rFonts w:eastAsia="Times New Roman" w:cs="Arial"/>
                <w:color w:val="1C556C"/>
                <w:sz w:val="20"/>
                <w:szCs w:val="20"/>
              </w:rPr>
              <w:footnoteReference w:id="26"/>
            </w:r>
            <w:r w:rsidR="00632614" w:rsidRPr="00B275E2">
              <w:rPr>
                <w:szCs w:val="20"/>
              </w:rPr>
              <w:t xml:space="preserve"> </w:t>
            </w:r>
            <w:r w:rsidR="00C64EB2" w:rsidRPr="00B275E2">
              <w:rPr>
                <w:szCs w:val="20"/>
              </w:rPr>
              <w:t>This</w:t>
            </w:r>
            <w:r w:rsidR="00C64EB2" w:rsidRPr="00B275E2">
              <w:t xml:space="preserve"> ensures the organisation is transparent regarding all potential sources of </w:t>
            </w:r>
            <w:r w:rsidR="008D6410" w:rsidRPr="00B275E2">
              <w:t>carbon dioxide</w:t>
            </w:r>
            <w:r w:rsidR="00C64EB2" w:rsidRPr="00B275E2">
              <w:t xml:space="preserve"> from its activities.</w:t>
            </w:r>
          </w:p>
        </w:tc>
      </w:tr>
    </w:tbl>
    <w:p w14:paraId="76287B6F" w14:textId="0D69143D" w:rsidR="0041106E" w:rsidRPr="00B275E2" w:rsidRDefault="00710A25" w:rsidP="007F0B1E">
      <w:pPr>
        <w:pStyle w:val="BodyText"/>
        <w:spacing w:before="240"/>
      </w:pPr>
      <w:r w:rsidRPr="00B275E2">
        <w:t xml:space="preserve">To calculate biofuel and biomass emissions, collect data on the quantity of fuel used in the unit expressed. </w:t>
      </w:r>
      <w:r w:rsidR="0022416C" w:rsidRPr="00B275E2">
        <w:t xml:space="preserve">Applying the equation </w:t>
      </w:r>
      <w:r w:rsidR="00A71EB9" w:rsidRPr="00B275E2">
        <w:t>E=Q x F (</w:t>
      </w:r>
      <w:hyperlink w:anchor="_How_to_quantify" w:history="1">
        <w:r w:rsidR="00AD3E41" w:rsidRPr="00B275E2">
          <w:rPr>
            <w:rStyle w:val="Hyperlink"/>
          </w:rPr>
          <w:t>section 2</w:t>
        </w:r>
      </w:hyperlink>
      <w:r w:rsidR="00283DFF" w:rsidRPr="00B275E2">
        <w:rPr>
          <w:rStyle w:val="Hyperlink"/>
          <w:color w:val="auto"/>
        </w:rPr>
        <w:t>)</w:t>
      </w:r>
      <w:r w:rsidR="0022416C" w:rsidRPr="00B275E2">
        <w:t>, this means</w:t>
      </w:r>
      <w:r w:rsidR="0041106E" w:rsidRPr="00B275E2">
        <w:t>:</w:t>
      </w:r>
    </w:p>
    <w:p w14:paraId="7555C5A5" w14:textId="72C0BCA5" w:rsidR="00A71EB9" w:rsidRPr="00B275E2" w:rsidRDefault="00A71EB9" w:rsidP="00E739F2">
      <w:pPr>
        <w:pStyle w:val="BodyText"/>
        <w:tabs>
          <w:tab w:val="left" w:pos="680"/>
          <w:tab w:val="left" w:pos="1134"/>
        </w:tabs>
        <w:contextualSpacing/>
      </w:pPr>
      <w:r w:rsidRPr="00B275E2">
        <w:t>E</w:t>
      </w:r>
      <w:r w:rsidRPr="00B275E2">
        <w:tab/>
        <w:t>=</w:t>
      </w:r>
      <w:r w:rsidRPr="00B275E2">
        <w:tab/>
        <w:t>emissions from the emissions source in kg CO</w:t>
      </w:r>
      <w:r w:rsidRPr="00B275E2">
        <w:rPr>
          <w:vertAlign w:val="subscript"/>
        </w:rPr>
        <w:t>2</w:t>
      </w:r>
      <w:r w:rsidRPr="00B275E2">
        <w:t>-e per year</w:t>
      </w:r>
    </w:p>
    <w:p w14:paraId="0A145ABF" w14:textId="5E22BC63" w:rsidR="0041106E" w:rsidRPr="00B275E2" w:rsidRDefault="00E57DD8" w:rsidP="00E739F2">
      <w:pPr>
        <w:pStyle w:val="BodyText"/>
        <w:tabs>
          <w:tab w:val="left" w:pos="680"/>
          <w:tab w:val="left" w:pos="1134"/>
        </w:tabs>
        <w:contextualSpacing/>
      </w:pPr>
      <w:r w:rsidRPr="00B275E2">
        <w:t>Q</w:t>
      </w:r>
      <w:r w:rsidRPr="00B275E2">
        <w:tab/>
      </w:r>
      <w:r w:rsidR="0041106E" w:rsidRPr="00B275E2">
        <w:t>=</w:t>
      </w:r>
      <w:r w:rsidRPr="00B275E2">
        <w:tab/>
      </w:r>
      <w:r w:rsidR="0041106E" w:rsidRPr="00B275E2">
        <w:t>quantity of fuel used (unit)</w:t>
      </w:r>
    </w:p>
    <w:p w14:paraId="49EA09F5" w14:textId="5BF56BAE" w:rsidR="0041106E" w:rsidRPr="00B275E2" w:rsidRDefault="00E57DD8" w:rsidP="00E739F2">
      <w:pPr>
        <w:pStyle w:val="BodyText"/>
        <w:tabs>
          <w:tab w:val="left" w:pos="680"/>
          <w:tab w:val="left" w:pos="1134"/>
        </w:tabs>
        <w:contextualSpacing/>
      </w:pPr>
      <w:r w:rsidRPr="00B275E2">
        <w:t>F</w:t>
      </w:r>
      <w:r w:rsidRPr="00B275E2">
        <w:tab/>
        <w:t>=</w:t>
      </w:r>
      <w:r w:rsidRPr="00B275E2">
        <w:tab/>
      </w:r>
      <w:r w:rsidR="0041106E" w:rsidRPr="00B275E2">
        <w:t xml:space="preserve">appropriate emission factors from </w:t>
      </w:r>
      <w:hyperlink w:anchor="Table5" w:history="1">
        <w:r w:rsidR="00F635CD" w:rsidRPr="00B275E2">
          <w:rPr>
            <w:rStyle w:val="Hyperlink"/>
          </w:rPr>
          <w:t>table 5</w:t>
        </w:r>
      </w:hyperlink>
    </w:p>
    <w:p w14:paraId="40419690" w14:textId="77777777" w:rsidR="00710A25" w:rsidRPr="00B275E2" w:rsidRDefault="00C64EB2" w:rsidP="00E81B34">
      <w:pPr>
        <w:pStyle w:val="BodyText"/>
        <w:spacing w:after="0"/>
        <w:rPr>
          <w:rFonts w:eastAsia="Times New Roman" w:cs="Arial"/>
          <w:spacing w:val="-2"/>
        </w:rPr>
      </w:pPr>
      <w:r w:rsidRPr="00B275E2">
        <w:rPr>
          <w:rFonts w:eastAsia="Times New Roman" w:cs="Arial"/>
          <w:spacing w:val="-2"/>
        </w:rPr>
        <w:t>O</w:t>
      </w:r>
      <w:r w:rsidR="00B320FF" w:rsidRPr="00B275E2">
        <w:rPr>
          <w:rFonts w:eastAsia="Times New Roman" w:cs="Arial"/>
          <w:spacing w:val="-2"/>
        </w:rPr>
        <w:t xml:space="preserve">rganisations </w:t>
      </w:r>
      <w:r w:rsidRPr="00B275E2">
        <w:rPr>
          <w:rFonts w:eastAsia="Times New Roman" w:cs="Arial"/>
          <w:spacing w:val="-2"/>
        </w:rPr>
        <w:t>can</w:t>
      </w:r>
      <w:r w:rsidR="00B320FF" w:rsidRPr="00B275E2">
        <w:rPr>
          <w:rFonts w:eastAsia="Times New Roman" w:cs="Arial"/>
          <w:spacing w:val="-2"/>
        </w:rPr>
        <w:t xml:space="preserve"> calculate emissions from biofuel blends if the specific </w:t>
      </w:r>
      <w:r w:rsidRPr="00B275E2">
        <w:rPr>
          <w:rFonts w:eastAsia="Times New Roman" w:cs="Arial"/>
          <w:spacing w:val="-2"/>
        </w:rPr>
        <w:t>per cent</w:t>
      </w:r>
      <w:r w:rsidR="00B320FF" w:rsidRPr="00B275E2">
        <w:rPr>
          <w:rFonts w:eastAsia="Times New Roman" w:cs="Arial"/>
          <w:spacing w:val="-2"/>
        </w:rPr>
        <w:t xml:space="preserve"> blend is known. </w:t>
      </w:r>
    </w:p>
    <w:p w14:paraId="335E0B73" w14:textId="3E9ECFDC" w:rsidR="00C64EB2" w:rsidRPr="00B275E2" w:rsidRDefault="00C64EB2" w:rsidP="007F0B1E">
      <w:pPr>
        <w:pStyle w:val="BodyText"/>
        <w:rPr>
          <w:rFonts w:eastAsia="Times New Roman" w:cs="Arial"/>
        </w:rPr>
      </w:pPr>
      <w:r w:rsidRPr="00B275E2">
        <w:rPr>
          <w:rFonts w:eastAsia="Times New Roman" w:cs="Arial"/>
        </w:rPr>
        <w:t>The equation used is:</w:t>
      </w:r>
    </w:p>
    <w:tbl>
      <w:tblPr>
        <w:tblStyle w:val="mfebox"/>
        <w:tblW w:w="0" w:type="auto"/>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1" w:themeFill="background2"/>
        <w:tblLook w:val="04A0" w:firstRow="1" w:lastRow="0" w:firstColumn="1" w:lastColumn="0" w:noHBand="0" w:noVBand="1"/>
      </w:tblPr>
      <w:tblGrid>
        <w:gridCol w:w="8495"/>
      </w:tblGrid>
      <w:tr w:rsidR="00184CE6" w:rsidRPr="00B275E2" w14:paraId="7A0F64CD" w14:textId="77777777" w:rsidTr="00B30401">
        <w:tc>
          <w:tcPr>
            <w:tcW w:w="8720" w:type="dxa"/>
            <w:shd w:val="clear" w:color="auto" w:fill="D2DDE1" w:themeFill="background2"/>
          </w:tcPr>
          <w:p w14:paraId="05ADDD4C" w14:textId="7B5594F3" w:rsidR="00184CE6" w:rsidRPr="00B275E2" w:rsidRDefault="008E1E71" w:rsidP="00D129B5">
            <w:pPr>
              <w:pStyle w:val="Box"/>
              <w:spacing w:before="0" w:after="0"/>
              <w:ind w:left="794"/>
            </w:pPr>
            <m:oMath>
              <m:r>
                <w:rPr>
                  <w:rFonts w:ascii="Cambria Math" w:hAnsi="Cambria Math"/>
                </w:rPr>
                <m:t>X</m:t>
              </m:r>
              <m:r>
                <m:rPr>
                  <m:sty m:val="p"/>
                </m:rPr>
                <w:rPr>
                  <w:rFonts w:ascii="Cambria Math" w:hAnsi="Cambria Math"/>
                </w:rPr>
                <m:t xml:space="preserve">% </m:t>
              </m:r>
              <m:r>
                <w:rPr>
                  <w:rFonts w:ascii="Cambria Math" w:hAnsi="Cambria Math"/>
                </w:rPr>
                <m:t>biofuel</m:t>
              </m:r>
              <m:r>
                <m:rPr>
                  <m:sty m:val="p"/>
                </m:rPr>
                <w:rPr>
                  <w:rFonts w:ascii="Cambria Math" w:hAnsi="Cambria Math"/>
                </w:rPr>
                <m:t xml:space="preserve"> </m:t>
              </m:r>
              <m:r>
                <w:rPr>
                  <w:rFonts w:ascii="Cambria Math" w:hAnsi="Cambria Math"/>
                </w:rPr>
                <m:t>blend</m:t>
              </m:r>
              <m:r>
                <m:rPr>
                  <m:sty m:val="p"/>
                </m:rPr>
                <w:rPr>
                  <w:rFonts w:ascii="Cambria Math" w:hAnsi="Cambria Math"/>
                </w:rPr>
                <m:t xml:space="preserve"> </m:t>
              </m:r>
              <m:r>
                <w:rPr>
                  <w:rFonts w:ascii="Cambria Math" w:hAnsi="Cambria Math"/>
                </w:rPr>
                <m:t>emission</m:t>
              </m:r>
              <m:r>
                <m:rPr>
                  <m:sty m:val="p"/>
                </m:rPr>
                <w:rPr>
                  <w:rFonts w:ascii="Cambria Math" w:hAnsi="Cambria Math"/>
                </w:rPr>
                <m:t xml:space="preserve"> </m:t>
              </m:r>
              <m:r>
                <w:rPr>
                  <w:rFonts w:ascii="Cambria Math" w:hAnsi="Cambria Math"/>
                </w:rPr>
                <m:t>factor</m:t>
              </m:r>
              <m:r>
                <m:rPr>
                  <m:sty m:val="p"/>
                </m:rPr>
                <w:rPr>
                  <w:rFonts w:ascii="Cambria Math" w:hAnsi="Cambria Math"/>
                </w:rPr>
                <m:t xml:space="preserve"> =</m:t>
              </m:r>
            </m:oMath>
            <w:r w:rsidR="00133DBC" w:rsidRPr="00B275E2">
              <w:rPr>
                <w:rFonts w:eastAsia="Times New Roman" w:cs="Arial"/>
              </w:rPr>
              <w:t xml:space="preserve"> </w:t>
            </w:r>
            <m:oMath>
              <m:r>
                <m:rPr>
                  <m:sty m:val="p"/>
                </m:rPr>
                <w:rPr>
                  <w:rFonts w:ascii="Cambria Math" w:hAnsi="Cambria Math"/>
                </w:rPr>
                <w:br/>
                <m:t>(</m:t>
              </m:r>
              <m:r>
                <w:rPr>
                  <w:rFonts w:ascii="Cambria Math" w:hAnsi="Cambria Math"/>
                </w:rPr>
                <m:t>X</m:t>
              </m:r>
              <m:r>
                <m:rPr>
                  <m:sty m:val="p"/>
                </m:rPr>
                <w:rPr>
                  <w:rFonts w:ascii="Cambria Math" w:hAnsi="Cambria Math"/>
                </w:rPr>
                <m:t xml:space="preserve">% ×pure </m:t>
              </m:r>
              <m:r>
                <w:rPr>
                  <w:rFonts w:ascii="Cambria Math" w:hAnsi="Cambria Math"/>
                </w:rPr>
                <m:t>biofuel</m:t>
              </m:r>
              <m:r>
                <m:rPr>
                  <m:sty m:val="p"/>
                </m:rPr>
                <w:rPr>
                  <w:rFonts w:ascii="Cambria Math" w:hAnsi="Cambria Math"/>
                </w:rPr>
                <m:t xml:space="preserve"> </m:t>
              </m:r>
              <m:r>
                <w:rPr>
                  <w:rFonts w:ascii="Cambria Math" w:hAnsi="Cambria Math"/>
                </w:rPr>
                <m:t>emission</m:t>
              </m:r>
              <m:r>
                <m:rPr>
                  <m:sty m:val="p"/>
                </m:rPr>
                <w:rPr>
                  <w:rFonts w:ascii="Cambria Math" w:hAnsi="Cambria Math"/>
                </w:rPr>
                <m:t xml:space="preserve"> </m:t>
              </m:r>
              <m:r>
                <w:rPr>
                  <w:rFonts w:ascii="Cambria Math" w:hAnsi="Cambria Math"/>
                </w:rPr>
                <m:t>factor</m:t>
              </m:r>
              <m:r>
                <m:rPr>
                  <m:sty m:val="p"/>
                </m:rPr>
                <w:rPr>
                  <w:rFonts w:ascii="Cambria Math" w:hAnsi="Cambria Math"/>
                </w:rPr>
                <m:t>)+[(1-</m:t>
              </m:r>
              <m:r>
                <w:rPr>
                  <w:rFonts w:ascii="Cambria Math" w:hAnsi="Cambria Math"/>
                </w:rPr>
                <m:t>X</m:t>
              </m:r>
              <m:r>
                <m:rPr>
                  <m:sty m:val="p"/>
                </m:rPr>
                <w:rPr>
                  <w:rFonts w:ascii="Cambria Math" w:hAnsi="Cambria Math"/>
                </w:rPr>
                <m:t>%)×</m:t>
              </m:r>
              <m:r>
                <w:rPr>
                  <w:rFonts w:ascii="Cambria Math" w:hAnsi="Cambria Math"/>
                </w:rPr>
                <m:t>fossil</m:t>
              </m:r>
              <m:r>
                <m:rPr>
                  <m:sty m:val="p"/>
                </m:rPr>
                <w:rPr>
                  <w:rFonts w:ascii="Cambria Math" w:hAnsi="Cambria Math"/>
                </w:rPr>
                <m:t xml:space="preserve"> </m:t>
              </m:r>
              <m:r>
                <w:rPr>
                  <w:rFonts w:ascii="Cambria Math" w:hAnsi="Cambria Math"/>
                </w:rPr>
                <m:t>fuel</m:t>
              </m:r>
              <m:r>
                <m:rPr>
                  <m:sty m:val="p"/>
                </m:rPr>
                <w:rPr>
                  <w:rFonts w:ascii="Cambria Math" w:hAnsi="Cambria Math"/>
                </w:rPr>
                <m:t xml:space="preserve"> </m:t>
              </m:r>
              <m:r>
                <w:rPr>
                  <w:rFonts w:ascii="Cambria Math" w:hAnsi="Cambria Math"/>
                </w:rPr>
                <m:t>emission</m:t>
              </m:r>
              <m:r>
                <m:rPr>
                  <m:sty m:val="p"/>
                </m:rPr>
                <w:rPr>
                  <w:rFonts w:ascii="Cambria Math" w:hAnsi="Cambria Math"/>
                </w:rPr>
                <m:t xml:space="preserve"> </m:t>
              </m:r>
              <m:r>
                <w:rPr>
                  <w:rFonts w:ascii="Cambria Math" w:hAnsi="Cambria Math"/>
                </w:rPr>
                <m:t>factor</m:t>
              </m:r>
              <m:r>
                <m:rPr>
                  <m:sty m:val="p"/>
                </m:rPr>
                <w:rPr>
                  <w:rFonts w:ascii="Cambria Math" w:hAnsi="Cambria Math"/>
                </w:rPr>
                <m:t>]</m:t>
              </m:r>
            </m:oMath>
            <w:r w:rsidR="00184CE6" w:rsidRPr="00B275E2">
              <w:t xml:space="preserve"> </w:t>
            </w:r>
          </w:p>
        </w:tc>
      </w:tr>
    </w:tbl>
    <w:tbl>
      <w:tblPr>
        <w:tblpPr w:leftFromText="180" w:rightFromText="180" w:vertAnchor="text" w:horzAnchor="margin" w:tblpY="518"/>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647"/>
      </w:tblGrid>
      <w:tr w:rsidR="0068533B" w:rsidRPr="00B275E2" w14:paraId="583E915C" w14:textId="77777777" w:rsidTr="0068533B">
        <w:trPr>
          <w:tblHeader/>
        </w:trPr>
        <w:tc>
          <w:tcPr>
            <w:tcW w:w="8647" w:type="dxa"/>
            <w:tcBorders>
              <w:top w:val="single" w:sz="4" w:space="0" w:color="0F7B7D"/>
              <w:left w:val="single" w:sz="4" w:space="0" w:color="0F7B7D"/>
              <w:bottom w:val="nil"/>
              <w:right w:val="single" w:sz="4" w:space="0" w:color="0F7B7D"/>
            </w:tcBorders>
            <w:shd w:val="clear" w:color="auto" w:fill="0F7B7D"/>
            <w:vAlign w:val="center"/>
          </w:tcPr>
          <w:p w14:paraId="5007D9E2" w14:textId="77777777" w:rsidR="0068533B" w:rsidRPr="00B275E2" w:rsidDel="00D5390D" w:rsidRDefault="0068533B" w:rsidP="0068533B">
            <w:pPr>
              <w:pStyle w:val="Casestudyheading"/>
            </w:pPr>
            <w:bookmarkStart w:id="172" w:name="_Hlk532558866"/>
            <w:r w:rsidRPr="00B275E2">
              <w:t>BIOFUELs and biomass: Example Calculation</w:t>
            </w:r>
          </w:p>
        </w:tc>
      </w:tr>
      <w:tr w:rsidR="0068533B" w:rsidRPr="00B275E2" w14:paraId="5739E626" w14:textId="77777777" w:rsidTr="0068533B">
        <w:tc>
          <w:tcPr>
            <w:tcW w:w="8647" w:type="dxa"/>
            <w:tcBorders>
              <w:top w:val="nil"/>
              <w:left w:val="single" w:sz="4" w:space="0" w:color="D5EBE8"/>
              <w:bottom w:val="single" w:sz="4" w:space="0" w:color="D5EBE8"/>
              <w:right w:val="single" w:sz="4" w:space="0" w:color="D5EBE8"/>
            </w:tcBorders>
            <w:shd w:val="clear" w:color="auto" w:fill="D5EBE8" w:themeFill="accent3"/>
          </w:tcPr>
          <w:p w14:paraId="735B6397" w14:textId="77777777" w:rsidR="0068533B" w:rsidRPr="00B275E2" w:rsidRDefault="0068533B" w:rsidP="0068533B">
            <w:pPr>
              <w:pStyle w:val="Boxtext"/>
              <w:spacing w:after="80"/>
            </w:pPr>
            <w:r w:rsidRPr="00B275E2">
              <w:t xml:space="preserve">An organisation uses 100 per cent biofuel in five vehicles. They use 7,000 litres of biodiesel in the reporting year. </w:t>
            </w:r>
          </w:p>
          <w:p w14:paraId="14088AA6" w14:textId="77777777" w:rsidR="0068533B" w:rsidRPr="00B275E2" w:rsidRDefault="0068533B" w:rsidP="0068533B">
            <w:pPr>
              <w:pStyle w:val="Boxtext"/>
              <w:tabs>
                <w:tab w:val="left" w:pos="2585"/>
                <w:tab w:val="left" w:pos="4483"/>
              </w:tabs>
              <w:spacing w:before="20" w:after="20"/>
              <w:ind w:left="567"/>
            </w:pPr>
            <w:r w:rsidRPr="00B275E2">
              <w:t>CO</w:t>
            </w:r>
            <w:r w:rsidRPr="00B275E2">
              <w:rPr>
                <w:vertAlign w:val="subscript"/>
              </w:rPr>
              <w:t>2</w:t>
            </w:r>
            <w:r w:rsidRPr="00B275E2">
              <w:t xml:space="preserve"> emissions</w:t>
            </w:r>
            <w:r w:rsidRPr="00B275E2">
              <w:tab/>
              <w:t xml:space="preserve">= 7,000 </w:t>
            </w:r>
            <w:r w:rsidRPr="00B275E2">
              <w:rPr>
                <w:rFonts w:cs="Calibri"/>
              </w:rPr>
              <w:t>× 2.45</w:t>
            </w:r>
            <w:r w:rsidRPr="00B275E2">
              <w:tab/>
            </w:r>
            <w:r w:rsidRPr="00B275E2">
              <w:rPr>
                <w:rFonts w:cs="Calibri"/>
              </w:rPr>
              <w:t xml:space="preserve">= 17,150 </w:t>
            </w:r>
            <w:r w:rsidRPr="00B275E2">
              <w:t>kg CO</w:t>
            </w:r>
            <w:r w:rsidRPr="00B275E2">
              <w:rPr>
                <w:vertAlign w:val="subscript"/>
              </w:rPr>
              <w:t xml:space="preserve">2 </w:t>
            </w:r>
            <w:r w:rsidRPr="00B275E2">
              <w:t>(reported separately)</w:t>
            </w:r>
          </w:p>
          <w:p w14:paraId="26BBC046" w14:textId="77777777" w:rsidR="0068533B" w:rsidRPr="00B275E2" w:rsidRDefault="0068533B" w:rsidP="0068533B">
            <w:pPr>
              <w:pStyle w:val="Boxtext"/>
              <w:tabs>
                <w:tab w:val="left" w:pos="2585"/>
                <w:tab w:val="left" w:pos="4483"/>
              </w:tabs>
              <w:spacing w:before="20" w:after="20"/>
              <w:ind w:left="567"/>
            </w:pPr>
            <w:r w:rsidRPr="00B275E2">
              <w:t>CH</w:t>
            </w:r>
            <w:r w:rsidRPr="00B275E2">
              <w:rPr>
                <w:vertAlign w:val="subscript"/>
              </w:rPr>
              <w:t>4</w:t>
            </w:r>
            <w:r w:rsidRPr="00B275E2">
              <w:t xml:space="preserve"> emissions</w:t>
            </w:r>
            <w:r w:rsidRPr="00B275E2">
              <w:tab/>
              <w:t xml:space="preserve">= 7,000 </w:t>
            </w:r>
            <w:r w:rsidRPr="00B275E2">
              <w:rPr>
                <w:rFonts w:cs="Calibri"/>
              </w:rPr>
              <w:t>×</w:t>
            </w:r>
            <w:r w:rsidRPr="00B275E2">
              <w:t xml:space="preserve"> 0.000104</w:t>
            </w:r>
            <w:r w:rsidRPr="00B275E2">
              <w:tab/>
              <w:t>= 0.728 kg CO</w:t>
            </w:r>
            <w:r w:rsidRPr="00B275E2">
              <w:rPr>
                <w:vertAlign w:val="subscript"/>
              </w:rPr>
              <w:t>2</w:t>
            </w:r>
            <w:r w:rsidRPr="00B275E2">
              <w:t>-e</w:t>
            </w:r>
          </w:p>
          <w:p w14:paraId="0BCBF93A" w14:textId="77777777" w:rsidR="0068533B" w:rsidRPr="00B275E2" w:rsidRDefault="0068533B" w:rsidP="0068533B">
            <w:pPr>
              <w:pStyle w:val="Boxtext"/>
              <w:tabs>
                <w:tab w:val="left" w:pos="2585"/>
                <w:tab w:val="left" w:pos="4483"/>
              </w:tabs>
              <w:spacing w:before="20" w:after="20"/>
              <w:ind w:left="567"/>
            </w:pPr>
            <w:r w:rsidRPr="00B275E2">
              <w:t>N</w:t>
            </w:r>
            <w:r w:rsidRPr="00B275E2">
              <w:rPr>
                <w:vertAlign w:val="subscript"/>
              </w:rPr>
              <w:t>2</w:t>
            </w:r>
            <w:r w:rsidRPr="00B275E2">
              <w:t>O emissions</w:t>
            </w:r>
            <w:r w:rsidRPr="00B275E2">
              <w:tab/>
              <w:t xml:space="preserve">= 7,000 </w:t>
            </w:r>
            <w:r w:rsidRPr="00B275E2">
              <w:rPr>
                <w:rFonts w:cs="Calibri"/>
              </w:rPr>
              <w:t>×</w:t>
            </w:r>
            <w:r w:rsidRPr="00B275E2">
              <w:t xml:space="preserve"> 0.0000208</w:t>
            </w:r>
            <w:r w:rsidRPr="00B275E2">
              <w:tab/>
              <w:t>= 0.146 kg CO</w:t>
            </w:r>
            <w:r w:rsidRPr="00B275E2">
              <w:rPr>
                <w:vertAlign w:val="subscript"/>
              </w:rPr>
              <w:t>2</w:t>
            </w:r>
            <w:r w:rsidRPr="00B275E2">
              <w:t xml:space="preserve">-e </w:t>
            </w:r>
          </w:p>
          <w:p w14:paraId="2B24D799" w14:textId="77777777" w:rsidR="0068533B" w:rsidRPr="00B275E2" w:rsidRDefault="0068533B" w:rsidP="0068533B">
            <w:pPr>
              <w:pStyle w:val="Boxtext"/>
              <w:tabs>
                <w:tab w:val="left" w:pos="2585"/>
                <w:tab w:val="left" w:pos="4483"/>
              </w:tabs>
              <w:spacing w:before="20" w:after="20"/>
              <w:ind w:left="4569" w:hanging="4002"/>
            </w:pPr>
            <w:r w:rsidRPr="00B275E2">
              <w:t>Total CO</w:t>
            </w:r>
            <w:r w:rsidRPr="00B275E2">
              <w:rPr>
                <w:vertAlign w:val="subscript"/>
              </w:rPr>
              <w:t>2</w:t>
            </w:r>
            <w:r w:rsidRPr="00B275E2">
              <w:t>-e emissions</w:t>
            </w:r>
            <w:r w:rsidRPr="00B275E2">
              <w:tab/>
              <w:t xml:space="preserve">= 7,000 </w:t>
            </w:r>
            <w:r w:rsidRPr="00B275E2">
              <w:rPr>
                <w:rFonts w:cs="Calibri"/>
              </w:rPr>
              <w:t>×</w:t>
            </w:r>
            <w:r w:rsidRPr="00B275E2">
              <w:t xml:space="preserve"> 0.000125</w:t>
            </w:r>
            <w:r w:rsidRPr="00B275E2">
              <w:tab/>
              <w:t>= 0.875 kg CO</w:t>
            </w:r>
            <w:r w:rsidRPr="00B275E2">
              <w:rPr>
                <w:vertAlign w:val="subscript"/>
              </w:rPr>
              <w:t>2</w:t>
            </w:r>
            <w:r w:rsidRPr="00B275E2">
              <w:t>-e (reported as Scope/Category 1)</w:t>
            </w:r>
          </w:p>
          <w:p w14:paraId="3F6FE4E5" w14:textId="77777777" w:rsidR="0068533B" w:rsidRPr="00B275E2" w:rsidRDefault="0068533B" w:rsidP="0068533B">
            <w:pPr>
              <w:pStyle w:val="Boxtext"/>
              <w:spacing w:before="80" w:after="80"/>
            </w:pPr>
            <w:r w:rsidRPr="00B275E2">
              <w:t>An organisation wants to report on its Scope 1 fuel emissions (in kg CO</w:t>
            </w:r>
            <w:r w:rsidRPr="00B275E2">
              <w:rPr>
                <w:vertAlign w:val="subscript"/>
              </w:rPr>
              <w:t>2</w:t>
            </w:r>
            <w:r w:rsidRPr="00B275E2">
              <w:t>-e/litre) from a specific biodiesel blend of 10 per cent. It is known that:</w:t>
            </w:r>
          </w:p>
          <w:p w14:paraId="42ACF6A3" w14:textId="77777777" w:rsidR="0068533B" w:rsidRPr="00B275E2" w:rsidRDefault="0068533B" w:rsidP="0068533B">
            <w:pPr>
              <w:pStyle w:val="Boxtext"/>
              <w:spacing w:before="20" w:after="20"/>
              <w:ind w:left="567"/>
            </w:pPr>
            <w:r w:rsidRPr="00B275E2">
              <w:t>mineral diesel emission factor</w:t>
            </w:r>
            <w:r w:rsidRPr="00B275E2">
              <w:tab/>
              <w:t>= 2.69 kg CO</w:t>
            </w:r>
            <w:r w:rsidRPr="00B275E2">
              <w:rPr>
                <w:vertAlign w:val="subscript"/>
              </w:rPr>
              <w:t>2</w:t>
            </w:r>
            <w:r w:rsidRPr="00B275E2">
              <w:t>-e/litre</w:t>
            </w:r>
          </w:p>
          <w:p w14:paraId="007EB611" w14:textId="77777777" w:rsidR="0068533B" w:rsidRPr="00B275E2" w:rsidRDefault="0068533B" w:rsidP="0068533B">
            <w:pPr>
              <w:pStyle w:val="Boxtext"/>
              <w:spacing w:before="20" w:after="20"/>
              <w:ind w:left="567"/>
            </w:pPr>
            <w:r w:rsidRPr="00B275E2">
              <w:t>biodiesel emission factor</w:t>
            </w:r>
            <w:r w:rsidRPr="00B275E2">
              <w:tab/>
              <w:t>= 0.000125 kg CO</w:t>
            </w:r>
            <w:r w:rsidRPr="00B275E2">
              <w:rPr>
                <w:vertAlign w:val="subscript"/>
              </w:rPr>
              <w:t>2</w:t>
            </w:r>
            <w:r w:rsidRPr="00B275E2">
              <w:t>-e/litre</w:t>
            </w:r>
          </w:p>
          <w:p w14:paraId="181B5E67" w14:textId="77777777" w:rsidR="0068533B" w:rsidRPr="00B275E2" w:rsidRDefault="0068533B" w:rsidP="0068533B">
            <w:pPr>
              <w:pStyle w:val="Boxtext"/>
              <w:spacing w:after="80"/>
            </w:pPr>
            <w:r w:rsidRPr="00B275E2">
              <w:t xml:space="preserve">Therefore, 10 per cent biodiesel blend emission factor = </w:t>
            </w:r>
          </w:p>
          <w:p w14:paraId="6D01600C" w14:textId="77777777" w:rsidR="0068533B" w:rsidRPr="00B275E2" w:rsidRDefault="0068533B" w:rsidP="0068533B">
            <w:pPr>
              <w:pStyle w:val="Boxtext"/>
              <w:spacing w:before="20" w:after="20"/>
              <w:ind w:left="567"/>
            </w:pPr>
            <w:r w:rsidRPr="00B275E2">
              <w:t xml:space="preserve">(10% </w:t>
            </w:r>
            <w:r w:rsidRPr="00B275E2">
              <w:rPr>
                <w:rFonts w:cs="Calibri"/>
              </w:rPr>
              <w:t>×</w:t>
            </w:r>
            <w:r w:rsidRPr="00B275E2">
              <w:t xml:space="preserve"> 0.000125) + [(1-10%) </w:t>
            </w:r>
            <w:r w:rsidRPr="00B275E2">
              <w:rPr>
                <w:rFonts w:cs="Calibri"/>
              </w:rPr>
              <w:t>×</w:t>
            </w:r>
            <w:r w:rsidRPr="00B275E2">
              <w:t xml:space="preserve"> 2.69] </w:t>
            </w:r>
            <w:r w:rsidRPr="00B275E2">
              <w:tab/>
              <w:t>= 2.42 kg CO</w:t>
            </w:r>
            <w:r w:rsidRPr="00B275E2">
              <w:rPr>
                <w:vertAlign w:val="subscript"/>
              </w:rPr>
              <w:t>2</w:t>
            </w:r>
            <w:r w:rsidRPr="00B275E2">
              <w:t>-e/litre biofuel blend</w:t>
            </w:r>
          </w:p>
          <w:p w14:paraId="68CE8E67" w14:textId="77777777" w:rsidR="0068533B" w:rsidRPr="00B275E2" w:rsidRDefault="0068533B" w:rsidP="0068533B">
            <w:pPr>
              <w:pStyle w:val="Boxtext"/>
              <w:spacing w:before="80"/>
            </w:pPr>
            <w:r w:rsidRPr="00B275E2">
              <w:rPr>
                <w:sz w:val="18"/>
              </w:rPr>
              <w:t>Note: Numbers may not add due to rounding.</w:t>
            </w:r>
          </w:p>
        </w:tc>
      </w:tr>
    </w:tbl>
    <w:p w14:paraId="289D3091" w14:textId="69316D56" w:rsidR="0041106E" w:rsidRPr="00B275E2" w:rsidRDefault="0041106E" w:rsidP="0068533B">
      <w:pPr>
        <w:pStyle w:val="Heading3"/>
        <w:ind w:left="0" w:firstLine="0"/>
      </w:pPr>
      <w:bookmarkStart w:id="173" w:name="_Toc532904866"/>
      <w:bookmarkEnd w:id="172"/>
      <w:r w:rsidRPr="00B275E2">
        <w:lastRenderedPageBreak/>
        <w:t>Emission factor derivation methodology</w:t>
      </w:r>
      <w:bookmarkEnd w:id="173"/>
    </w:p>
    <w:p w14:paraId="315D056A" w14:textId="6A459A70" w:rsidR="0041106E" w:rsidRPr="00B275E2" w:rsidRDefault="00754921" w:rsidP="00E81B34">
      <w:pPr>
        <w:pStyle w:val="BodyText"/>
      </w:pPr>
      <w:r w:rsidRPr="00B275E2">
        <w:t>We applied t</w:t>
      </w:r>
      <w:r w:rsidR="0041106E" w:rsidRPr="00B275E2">
        <w:t xml:space="preserve">he same methodology used to calculate the stationary combustion fuels to the </w:t>
      </w:r>
      <w:r w:rsidR="00717FDD" w:rsidRPr="00B275E2">
        <w:t>bio</w:t>
      </w:r>
      <w:r w:rsidR="0041106E" w:rsidRPr="00B275E2">
        <w:t>fuels</w:t>
      </w:r>
      <w:r w:rsidRPr="00B275E2">
        <w:t>,</w:t>
      </w:r>
      <w:r w:rsidR="0041106E" w:rsidRPr="00B275E2">
        <w:t xml:space="preserve"> using the raw data in </w:t>
      </w:r>
      <w:hyperlink w:anchor="_Appendix_A:_Derivation" w:history="1">
        <w:r w:rsidR="004A3D94" w:rsidRPr="00B275E2">
          <w:rPr>
            <w:rStyle w:val="Hyperlink"/>
          </w:rPr>
          <w:t>Appendix A: Derivation of fuel emission factors</w:t>
        </w:r>
      </w:hyperlink>
      <w:r w:rsidR="00C1583F" w:rsidRPr="00B275E2">
        <w:rPr>
          <w:color w:val="32809C" w:themeColor="accent2"/>
        </w:rPr>
        <w:t>.</w:t>
      </w:r>
    </w:p>
    <w:p w14:paraId="58A58C12" w14:textId="266A6C21" w:rsidR="0041106E" w:rsidRPr="00B275E2" w:rsidRDefault="48317B27" w:rsidP="006B7605">
      <w:pPr>
        <w:pStyle w:val="Heading3"/>
      </w:pPr>
      <w:bookmarkStart w:id="174" w:name="_Toc532904867"/>
      <w:r>
        <w:t>Assumptions, limitations and uncertainties</w:t>
      </w:r>
      <w:bookmarkEnd w:id="174"/>
    </w:p>
    <w:p w14:paraId="189383ED" w14:textId="63A449B2" w:rsidR="004C3FF4" w:rsidRPr="00B275E2" w:rsidRDefault="0041106E" w:rsidP="00E81B34">
      <w:pPr>
        <w:pStyle w:val="BodyText"/>
      </w:pPr>
      <w:r w:rsidRPr="00B275E2">
        <w:t>The same assumption</w:t>
      </w:r>
      <w:r w:rsidR="00754921" w:rsidRPr="00B275E2">
        <w:t>s</w:t>
      </w:r>
      <w:r w:rsidRPr="00B275E2">
        <w:t xml:space="preserve">, limitations and uncertainties associated with transport and stationary combustion </w:t>
      </w:r>
      <w:r w:rsidR="00754921" w:rsidRPr="00B275E2">
        <w:t>apply</w:t>
      </w:r>
      <w:r w:rsidRPr="00B275E2">
        <w:t xml:space="preserve"> to biofuels. There is no difference between transport or stationary combustion of biofuels.</w:t>
      </w:r>
      <w:bookmarkEnd w:id="164"/>
    </w:p>
    <w:p w14:paraId="5DC94EF9" w14:textId="6A7A60FC" w:rsidR="005C0D7A" w:rsidRPr="00B275E2" w:rsidRDefault="005C0D7A" w:rsidP="00C24B73">
      <w:pPr>
        <w:pStyle w:val="Heading2"/>
        <w:numPr>
          <w:ilvl w:val="0"/>
          <w:numId w:val="20"/>
        </w:numPr>
      </w:pPr>
      <w:bookmarkStart w:id="175" w:name="_Toc529960692"/>
      <w:bookmarkStart w:id="176" w:name="_Toc532904868"/>
      <w:bookmarkStart w:id="177" w:name="_Toc600571"/>
      <w:bookmarkStart w:id="178" w:name="_Toc111536777"/>
      <w:r w:rsidRPr="00B275E2">
        <w:t>Transmission and distribution losses for</w:t>
      </w:r>
      <w:r w:rsidR="00E81B34" w:rsidRPr="00B275E2">
        <w:t> </w:t>
      </w:r>
      <w:r w:rsidRPr="00B275E2">
        <w:t>reticulated</w:t>
      </w:r>
      <w:bookmarkEnd w:id="175"/>
      <w:r w:rsidR="00611BAE" w:rsidRPr="00B275E2">
        <w:t> gases</w:t>
      </w:r>
      <w:bookmarkEnd w:id="178"/>
      <w:r w:rsidRPr="00B275E2">
        <w:t xml:space="preserve"> </w:t>
      </w:r>
      <w:bookmarkEnd w:id="176"/>
      <w:bookmarkEnd w:id="177"/>
    </w:p>
    <w:p w14:paraId="0EE79EA5" w14:textId="67958820" w:rsidR="005C0D7A" w:rsidRPr="00B275E2" w:rsidRDefault="005C0D7A" w:rsidP="007F0B1E">
      <w:pPr>
        <w:pStyle w:val="BodyText"/>
      </w:pPr>
      <w:bookmarkStart w:id="179" w:name="_Hlk532891765"/>
      <w:r w:rsidRPr="00B275E2">
        <w:t xml:space="preserve">Reticulated gases are delivered via a piped gas system. </w:t>
      </w:r>
      <w:bookmarkEnd w:id="179"/>
      <w:r w:rsidRPr="00B275E2">
        <w:t xml:space="preserve">Users should be aware what type of reticulated gas they are receiving: natural gas or liquefied petroleum gas (LPG). </w:t>
      </w:r>
    </w:p>
    <w:p w14:paraId="07E137B6" w14:textId="28265033" w:rsidR="00705AC2" w:rsidRPr="00B275E2" w:rsidRDefault="00705AC2" w:rsidP="007F0B1E">
      <w:pPr>
        <w:pStyle w:val="BodyText"/>
      </w:pPr>
      <w:r w:rsidRPr="00B275E2">
        <w:t xml:space="preserve">Fugitive emissions from reticulated natural gas </w:t>
      </w:r>
      <w:r w:rsidR="00A412B4">
        <w:t>t</w:t>
      </w:r>
      <w:r w:rsidR="005F3010" w:rsidRPr="00B275E2">
        <w:t xml:space="preserve">ransmission and </w:t>
      </w:r>
      <w:r w:rsidR="00A412B4">
        <w:t>d</w:t>
      </w:r>
      <w:r w:rsidR="005F3010" w:rsidRPr="00B275E2">
        <w:t>istribution losses</w:t>
      </w:r>
      <w:r w:rsidRPr="00B275E2">
        <w:t xml:space="preserve"> only fall under Scope 1 for specific sectors </w:t>
      </w:r>
      <w:r w:rsidR="00F46B64">
        <w:t>(</w:t>
      </w:r>
      <w:r w:rsidR="00F56975" w:rsidRPr="00B275E2">
        <w:t>eg</w:t>
      </w:r>
      <w:r w:rsidR="00E9175E" w:rsidRPr="00B275E2">
        <w:t>,</w:t>
      </w:r>
      <w:r w:rsidRPr="00B275E2">
        <w:t xml:space="preserve"> gas distribution businesses</w:t>
      </w:r>
      <w:r w:rsidR="00F46B64">
        <w:t>)</w:t>
      </w:r>
      <w:r w:rsidRPr="00B275E2">
        <w:t xml:space="preserve">. </w:t>
      </w:r>
    </w:p>
    <w:p w14:paraId="67DF4AED" w14:textId="7B59FE56" w:rsidR="00705AC2" w:rsidRPr="00B275E2" w:rsidRDefault="00705AC2" w:rsidP="007F0B1E">
      <w:pPr>
        <w:pStyle w:val="BodyText"/>
      </w:pPr>
      <w:r w:rsidRPr="00B275E2">
        <w:t xml:space="preserve">If an organisation consumes reticulated gas </w:t>
      </w:r>
      <w:r w:rsidR="00F56975" w:rsidRPr="00B275E2">
        <w:t>eg</w:t>
      </w:r>
      <w:r w:rsidR="00E9175E" w:rsidRPr="00B275E2">
        <w:t>,</w:t>
      </w:r>
      <w:r w:rsidRPr="00B275E2">
        <w:t xml:space="preserve"> for cooking (as shown in the example </w:t>
      </w:r>
      <w:r w:rsidR="00E9175E" w:rsidRPr="00B275E2">
        <w:t xml:space="preserve">calculation </w:t>
      </w:r>
      <w:r w:rsidRPr="00B275E2">
        <w:t xml:space="preserve">under 3.5.1) related natural gas </w:t>
      </w:r>
      <w:r w:rsidR="00806324">
        <w:t>t</w:t>
      </w:r>
      <w:r w:rsidR="005F3010" w:rsidRPr="00B275E2">
        <w:t xml:space="preserve">ransmission and </w:t>
      </w:r>
      <w:r w:rsidR="00806324">
        <w:t>d</w:t>
      </w:r>
      <w:r w:rsidR="005F3010" w:rsidRPr="00B275E2">
        <w:t>istribution losses</w:t>
      </w:r>
      <w:r w:rsidRPr="00B275E2">
        <w:t xml:space="preserve"> emissions would fall under Scope 3</w:t>
      </w:r>
      <w:r w:rsidR="00E9175E" w:rsidRPr="00B275E2">
        <w:t xml:space="preserve"> /</w:t>
      </w:r>
      <w:r w:rsidRPr="00B275E2">
        <w:t xml:space="preserve"> Category</w:t>
      </w:r>
      <w:r w:rsidR="00E9175E" w:rsidRPr="00B275E2">
        <w:t xml:space="preserve"> </w:t>
      </w:r>
      <w:r w:rsidRPr="00B275E2">
        <w:t>3. See p</w:t>
      </w:r>
      <w:r w:rsidR="00F84829" w:rsidRPr="00B275E2">
        <w:t xml:space="preserve">age </w:t>
      </w:r>
      <w:r w:rsidRPr="00B275E2">
        <w:t xml:space="preserve">41 the GHG Protocol </w:t>
      </w:r>
      <w:hyperlink r:id="rId66" w:history="1">
        <w:r w:rsidRPr="00B275E2">
          <w:rPr>
            <w:rStyle w:val="Hyperlink"/>
            <w:i/>
            <w:iCs/>
          </w:rPr>
          <w:t>Corporate Value Chain (Scope 3) Accounting and Reporting Standard</w:t>
        </w:r>
      </w:hyperlink>
      <w:r w:rsidRPr="00B275E2">
        <w:t>.</w:t>
      </w:r>
    </w:p>
    <w:p w14:paraId="66BDE0E7" w14:textId="5BCD89CF" w:rsidR="005C0D7A" w:rsidRPr="00B275E2" w:rsidRDefault="005C0D7A" w:rsidP="007F0B1E">
      <w:pPr>
        <w:pStyle w:val="BodyText"/>
        <w:rPr>
          <w:spacing w:val="-2"/>
        </w:rPr>
      </w:pPr>
      <w:r w:rsidRPr="00B275E2">
        <w:rPr>
          <w:spacing w:val="-2"/>
        </w:rPr>
        <w:t xml:space="preserve">Reticulated LPG is supplied in </w:t>
      </w:r>
      <w:r w:rsidR="007F4E21" w:rsidRPr="00B275E2">
        <w:rPr>
          <w:spacing w:val="-2"/>
        </w:rPr>
        <w:t xml:space="preserve">parts of </w:t>
      </w:r>
      <w:r w:rsidRPr="00B275E2">
        <w:rPr>
          <w:spacing w:val="-2"/>
        </w:rPr>
        <w:t>Canterbury</w:t>
      </w:r>
      <w:r w:rsidR="00AF4757" w:rsidRPr="00B275E2">
        <w:rPr>
          <w:spacing w:val="-2"/>
        </w:rPr>
        <w:t xml:space="preserve"> </w:t>
      </w:r>
      <w:r w:rsidR="00AA7B14" w:rsidRPr="00B275E2">
        <w:rPr>
          <w:spacing w:val="-2"/>
        </w:rPr>
        <w:t xml:space="preserve">and Otago </w:t>
      </w:r>
      <w:r w:rsidR="00AF4757" w:rsidRPr="00B275E2">
        <w:rPr>
          <w:spacing w:val="-2"/>
        </w:rPr>
        <w:t>only</w:t>
      </w:r>
      <w:r w:rsidR="001527E2" w:rsidRPr="00B275E2">
        <w:rPr>
          <w:spacing w:val="-2"/>
        </w:rPr>
        <w:t xml:space="preserve"> (natural gas is not available in the South Island)</w:t>
      </w:r>
      <w:r w:rsidRPr="00B275E2">
        <w:rPr>
          <w:spacing w:val="-2"/>
        </w:rPr>
        <w:t xml:space="preserve">. </w:t>
      </w:r>
      <w:r w:rsidR="00754921" w:rsidRPr="00B275E2">
        <w:rPr>
          <w:spacing w:val="-2"/>
        </w:rPr>
        <w:t>The guide</w:t>
      </w:r>
      <w:r w:rsidRPr="00B275E2">
        <w:rPr>
          <w:spacing w:val="-2"/>
        </w:rPr>
        <w:t xml:space="preserve"> assume</w:t>
      </w:r>
      <w:r w:rsidR="00754921" w:rsidRPr="00B275E2">
        <w:rPr>
          <w:spacing w:val="-2"/>
        </w:rPr>
        <w:t>s</w:t>
      </w:r>
      <w:r w:rsidRPr="00B275E2">
        <w:rPr>
          <w:spacing w:val="-2"/>
        </w:rPr>
        <w:t xml:space="preserve"> there are no transmission and distribution losses from reticulated LPG due to the chemical composition of the gas</w:t>
      </w:r>
      <w:r w:rsidR="00E00E11" w:rsidRPr="00B275E2">
        <w:rPr>
          <w:spacing w:val="-2"/>
        </w:rPr>
        <w:t>. A</w:t>
      </w:r>
      <w:r w:rsidR="007F4E21" w:rsidRPr="00B275E2">
        <w:rPr>
          <w:spacing w:val="-2"/>
        </w:rPr>
        <w:t>s a mixture of propane and butane,</w:t>
      </w:r>
      <w:r w:rsidR="00C1583F" w:rsidRPr="00B275E2">
        <w:rPr>
          <w:spacing w:val="-2"/>
        </w:rPr>
        <w:t xml:space="preserve"> </w:t>
      </w:r>
      <w:r w:rsidRPr="00B275E2">
        <w:rPr>
          <w:spacing w:val="-2"/>
        </w:rPr>
        <w:t xml:space="preserve">it does not emit fugitive </w:t>
      </w:r>
      <w:r w:rsidR="00303AA0" w:rsidRPr="00B275E2">
        <w:rPr>
          <w:spacing w:val="-2"/>
        </w:rPr>
        <w:t>methane</w:t>
      </w:r>
      <w:r w:rsidRPr="00B275E2">
        <w:rPr>
          <w:spacing w:val="-2"/>
        </w:rPr>
        <w:t xml:space="preserve"> or </w:t>
      </w:r>
      <w:r w:rsidR="00303AA0" w:rsidRPr="00B275E2">
        <w:rPr>
          <w:spacing w:val="-2"/>
        </w:rPr>
        <w:t>nitrous oxide</w:t>
      </w:r>
      <w:r w:rsidR="00E00E11" w:rsidRPr="00B275E2">
        <w:rPr>
          <w:spacing w:val="-2"/>
        </w:rPr>
        <w:t>.</w:t>
      </w:r>
    </w:p>
    <w:p w14:paraId="1D69EA44" w14:textId="7F667438" w:rsidR="005C0D7A" w:rsidRPr="00B275E2" w:rsidRDefault="005C0D7A" w:rsidP="007F0B1E">
      <w:pPr>
        <w:pStyle w:val="BodyText"/>
      </w:pPr>
      <w:r w:rsidRPr="00B275E2">
        <w:t>The emission factor for reticulated natural gas transmission and distribution losses accounts for fugitive emissions from the transmission and distribution system</w:t>
      </w:r>
      <w:r w:rsidR="00AF4757" w:rsidRPr="00B275E2">
        <w:t xml:space="preserve"> for natural gas</w:t>
      </w:r>
      <w:r w:rsidRPr="00B275E2">
        <w:t>. These emissions occur during the delivery of the gas to the end user.</w:t>
      </w:r>
    </w:p>
    <w:p w14:paraId="034CFF35" w14:textId="1568721E" w:rsidR="005C0D7A" w:rsidRPr="00B275E2" w:rsidRDefault="00A111FA" w:rsidP="007F0B1E">
      <w:pPr>
        <w:pStyle w:val="BodyText"/>
      </w:pPr>
      <w:r w:rsidRPr="00B275E2">
        <w:t>Table 6</w:t>
      </w:r>
      <w:r w:rsidR="00155373" w:rsidRPr="00B275E2">
        <w:t xml:space="preserve"> </w:t>
      </w:r>
      <w:r w:rsidR="005C0D7A" w:rsidRPr="00B275E2">
        <w:t xml:space="preserve">details the emission factors for the transmission and distribution losses for reticulated natural gas. These represent an estimate of the average amount of </w:t>
      </w:r>
      <w:r w:rsidR="004A1AA3" w:rsidRPr="00B275E2">
        <w:t>carbon dioxide equivalents</w:t>
      </w:r>
      <w:r w:rsidR="005C0D7A" w:rsidRPr="00B275E2">
        <w:t xml:space="preserve"> emitted from losses associated with the delivery (transmission and distribution) of each unit of</w:t>
      </w:r>
      <w:r w:rsidR="00E81B34" w:rsidRPr="00B275E2">
        <w:t> </w:t>
      </w:r>
      <w:r w:rsidR="005C0D7A" w:rsidRPr="00B275E2">
        <w:t>gas consumed through local distribution networks in 201</w:t>
      </w:r>
      <w:r w:rsidR="00CA36E7" w:rsidRPr="00B275E2">
        <w:t>8</w:t>
      </w:r>
      <w:r w:rsidR="005C0D7A" w:rsidRPr="00B275E2">
        <w:t>. They are average figures and therefore make no allowance for distance from off-take point, or other factors that may vary between individual consumers.</w:t>
      </w:r>
    </w:p>
    <w:p w14:paraId="3BE75930" w14:textId="7C531564" w:rsidR="005C0D7A" w:rsidRPr="00B275E2" w:rsidRDefault="005C0D7A" w:rsidP="00E81B34">
      <w:pPr>
        <w:pStyle w:val="Tableheading"/>
      </w:pPr>
      <w:bookmarkStart w:id="180" w:name="_Ref532381820"/>
      <w:bookmarkStart w:id="181" w:name="table6"/>
      <w:bookmarkStart w:id="182" w:name="_Toc111536611"/>
      <w:r w:rsidRPr="00B275E2">
        <w:t xml:space="preserve">Table </w:t>
      </w:r>
      <w:r w:rsidRPr="00B275E2">
        <w:fldChar w:fldCharType="begin"/>
      </w:r>
      <w:r w:rsidRPr="00B275E2">
        <w:instrText>SEQ Table \* ARABIC</w:instrText>
      </w:r>
      <w:r w:rsidRPr="00B275E2">
        <w:fldChar w:fldCharType="separate"/>
      </w:r>
      <w:r w:rsidR="003E141C" w:rsidRPr="00B275E2">
        <w:t>6</w:t>
      </w:r>
      <w:r w:rsidRPr="00B275E2">
        <w:fldChar w:fldCharType="end"/>
      </w:r>
      <w:bookmarkEnd w:id="180"/>
      <w:bookmarkEnd w:id="181"/>
      <w:r w:rsidRPr="00B275E2">
        <w:t>:</w:t>
      </w:r>
      <w:r w:rsidRPr="00B275E2">
        <w:tab/>
        <w:t>Transmission and distribution loss emission factors for natural gas</w:t>
      </w:r>
      <w:bookmarkEnd w:id="182"/>
    </w:p>
    <w:tbl>
      <w:tblPr>
        <w:tblStyle w:val="LightList-Accent2"/>
        <w:tblW w:w="8512" w:type="dxa"/>
        <w:tblInd w:w="20"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3462"/>
        <w:gridCol w:w="553"/>
        <w:gridCol w:w="1230"/>
        <w:gridCol w:w="1084"/>
        <w:gridCol w:w="1076"/>
        <w:gridCol w:w="1107"/>
      </w:tblGrid>
      <w:tr w:rsidR="00A86603" w:rsidRPr="00B275E2" w14:paraId="1772641C" w14:textId="77777777" w:rsidTr="00E81B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1B556B" w:themeFill="text2"/>
            <w:noWrap/>
            <w:vAlign w:val="bottom"/>
            <w:hideMark/>
          </w:tcPr>
          <w:p w14:paraId="3555647A" w14:textId="77777777" w:rsidR="005C0D7A" w:rsidRPr="00B275E2" w:rsidRDefault="005C0D7A" w:rsidP="009A70B2">
            <w:pPr>
              <w:pStyle w:val="TableText"/>
              <w:keepNext/>
              <w:rPr>
                <w:rFonts w:eastAsia="Times New Roman"/>
              </w:rPr>
            </w:pPr>
            <w:r w:rsidRPr="00B275E2">
              <w:rPr>
                <w:rFonts w:eastAsia="Times New Roman"/>
              </w:rPr>
              <w:t>Transmission and distribution losses source</w:t>
            </w:r>
          </w:p>
        </w:tc>
        <w:tc>
          <w:tcPr>
            <w:tcW w:w="0" w:type="auto"/>
            <w:shd w:val="clear" w:color="auto" w:fill="1B556B" w:themeFill="text2"/>
            <w:noWrap/>
            <w:vAlign w:val="bottom"/>
            <w:hideMark/>
          </w:tcPr>
          <w:p w14:paraId="27FC653A" w14:textId="77777777" w:rsidR="005C0D7A" w:rsidRPr="00B275E2" w:rsidRDefault="005C0D7A" w:rsidP="009A70B2">
            <w:pPr>
              <w:pStyle w:val="TableText"/>
              <w:keepNext/>
              <w:cnfStyle w:val="100000000000" w:firstRow="1" w:lastRow="0" w:firstColumn="0" w:lastColumn="0" w:oddVBand="0" w:evenVBand="0" w:oddHBand="0" w:evenHBand="0" w:firstRowFirstColumn="0" w:firstRowLastColumn="0" w:lastRowFirstColumn="0" w:lastRowLastColumn="0"/>
              <w:rPr>
                <w:rFonts w:eastAsia="Times New Roman"/>
              </w:rPr>
            </w:pPr>
            <w:r w:rsidRPr="00B275E2">
              <w:rPr>
                <w:rFonts w:eastAsia="Times New Roman"/>
              </w:rPr>
              <w:t>Unit</w:t>
            </w:r>
          </w:p>
        </w:tc>
        <w:tc>
          <w:tcPr>
            <w:tcW w:w="0" w:type="auto"/>
            <w:shd w:val="clear" w:color="auto" w:fill="D2DDE1" w:themeFill="background2"/>
            <w:noWrap/>
            <w:vAlign w:val="bottom"/>
            <w:hideMark/>
          </w:tcPr>
          <w:p w14:paraId="18C431CC" w14:textId="14E84661" w:rsidR="005C0D7A" w:rsidRPr="00B275E2" w:rsidRDefault="005C0D7A" w:rsidP="009A70B2">
            <w:pPr>
              <w:pStyle w:val="TableText"/>
              <w:keepNext/>
              <w:cnfStyle w:val="100000000000" w:firstRow="1" w:lastRow="0" w:firstColumn="0" w:lastColumn="0" w:oddVBand="0" w:evenVBand="0" w:oddHBand="0" w:evenHBand="0" w:firstRowFirstColumn="0" w:firstRowLastColumn="0" w:lastRowFirstColumn="0" w:lastRowLastColumn="0"/>
              <w:rPr>
                <w:rFonts w:eastAsia="Times New Roman"/>
                <w:color w:val="auto"/>
              </w:rPr>
            </w:pPr>
            <w:r w:rsidRPr="00B275E2">
              <w:rPr>
                <w:rFonts w:eastAsia="Times New Roman"/>
                <w:color w:val="auto"/>
              </w:rPr>
              <w:t>kg</w:t>
            </w:r>
            <w:r w:rsidRPr="00B275E2">
              <w:rPr>
                <w:color w:val="auto"/>
              </w:rPr>
              <w:t xml:space="preserve"> CO</w:t>
            </w:r>
            <w:r w:rsidRPr="00B275E2">
              <w:rPr>
                <w:color w:val="auto"/>
                <w:vertAlign w:val="subscript"/>
              </w:rPr>
              <w:t>2</w:t>
            </w:r>
            <w:r w:rsidRPr="00B275E2">
              <w:rPr>
                <w:color w:val="auto"/>
              </w:rPr>
              <w:t>-e</w:t>
            </w:r>
            <w:r w:rsidR="00836D5A" w:rsidRPr="00B275E2">
              <w:rPr>
                <w:color w:val="auto"/>
              </w:rPr>
              <w:t>/unit</w:t>
            </w:r>
          </w:p>
        </w:tc>
        <w:tc>
          <w:tcPr>
            <w:tcW w:w="0" w:type="auto"/>
            <w:shd w:val="clear" w:color="auto" w:fill="1B556B" w:themeFill="text2"/>
            <w:noWrap/>
            <w:vAlign w:val="bottom"/>
            <w:hideMark/>
          </w:tcPr>
          <w:p w14:paraId="39B71CC7" w14:textId="2DE0AA1E" w:rsidR="005C0D7A" w:rsidRPr="00B275E2" w:rsidRDefault="005C0D7A" w:rsidP="009A70B2">
            <w:pPr>
              <w:pStyle w:val="TableText"/>
              <w:keepNext/>
              <w:cnfStyle w:val="100000000000" w:firstRow="1" w:lastRow="0" w:firstColumn="0" w:lastColumn="0" w:oddVBand="0" w:evenVBand="0" w:oddHBand="0" w:evenHBand="0" w:firstRowFirstColumn="0" w:firstRowLastColumn="0" w:lastRowFirstColumn="0" w:lastRowLastColumn="0"/>
              <w:rPr>
                <w:rFonts w:eastAsia="Times New Roman"/>
              </w:rPr>
            </w:pPr>
            <w:r w:rsidRPr="00B275E2">
              <w:rPr>
                <w:rFonts w:eastAsia="Times New Roman"/>
              </w:rPr>
              <w:t>kg CO</w:t>
            </w:r>
            <w:r w:rsidRPr="00B275E2">
              <w:rPr>
                <w:rFonts w:eastAsia="Times New Roman"/>
                <w:vertAlign w:val="subscript"/>
              </w:rPr>
              <w:t>2</w:t>
            </w:r>
            <w:r w:rsidR="00836D5A" w:rsidRPr="00B275E2">
              <w:t>/unit</w:t>
            </w:r>
          </w:p>
        </w:tc>
        <w:tc>
          <w:tcPr>
            <w:tcW w:w="0" w:type="auto"/>
            <w:shd w:val="clear" w:color="auto" w:fill="1B556B" w:themeFill="text2"/>
            <w:noWrap/>
            <w:vAlign w:val="bottom"/>
            <w:hideMark/>
          </w:tcPr>
          <w:p w14:paraId="40D7C493" w14:textId="22772E66" w:rsidR="005C0D7A" w:rsidRPr="00B275E2" w:rsidRDefault="00A86603" w:rsidP="009A70B2">
            <w:pPr>
              <w:pStyle w:val="TableText"/>
              <w:keepNext/>
              <w:cnfStyle w:val="100000000000" w:firstRow="1" w:lastRow="0" w:firstColumn="0" w:lastColumn="0" w:oddVBand="0" w:evenVBand="0" w:oddHBand="0" w:evenHBand="0" w:firstRowFirstColumn="0" w:firstRowLastColumn="0" w:lastRowFirstColumn="0" w:lastRowLastColumn="0"/>
              <w:rPr>
                <w:rFonts w:eastAsia="Times New Roman"/>
              </w:rPr>
            </w:pPr>
            <w:r w:rsidRPr="00B275E2">
              <w:t>kg CH</w:t>
            </w:r>
            <w:r w:rsidRPr="00B275E2">
              <w:rPr>
                <w:vertAlign w:val="subscript"/>
              </w:rPr>
              <w:t>4</w:t>
            </w:r>
            <w:r w:rsidRPr="00B275E2">
              <w:t xml:space="preserve">/unit </w:t>
            </w:r>
            <w:r w:rsidRPr="00B275E2">
              <w:br/>
              <w:t>(kg CO</w:t>
            </w:r>
            <w:r w:rsidRPr="00B275E2">
              <w:rPr>
                <w:vertAlign w:val="subscript"/>
              </w:rPr>
              <w:t>2</w:t>
            </w:r>
            <w:r w:rsidRPr="00B275E2">
              <w:t>-e)</w:t>
            </w:r>
          </w:p>
        </w:tc>
        <w:tc>
          <w:tcPr>
            <w:tcW w:w="0" w:type="auto"/>
            <w:shd w:val="clear" w:color="auto" w:fill="1B556B" w:themeFill="text2"/>
            <w:noWrap/>
            <w:vAlign w:val="bottom"/>
            <w:hideMark/>
          </w:tcPr>
          <w:p w14:paraId="309D23C7" w14:textId="71EB7349" w:rsidR="005C0D7A" w:rsidRPr="00B275E2" w:rsidRDefault="00A86603" w:rsidP="009A70B2">
            <w:pPr>
              <w:pStyle w:val="TableText"/>
              <w:keepNext/>
              <w:cnfStyle w:val="100000000000" w:firstRow="1" w:lastRow="0" w:firstColumn="0" w:lastColumn="0" w:oddVBand="0" w:evenVBand="0" w:oddHBand="0" w:evenHBand="0" w:firstRowFirstColumn="0" w:firstRowLastColumn="0" w:lastRowFirstColumn="0" w:lastRowLastColumn="0"/>
              <w:rPr>
                <w:rFonts w:eastAsia="Times New Roman"/>
              </w:rPr>
            </w:pPr>
            <w:r w:rsidRPr="00B275E2">
              <w:t>kg N</w:t>
            </w:r>
            <w:r w:rsidRPr="00B275E2">
              <w:rPr>
                <w:vertAlign w:val="subscript"/>
              </w:rPr>
              <w:t>2</w:t>
            </w:r>
            <w:r w:rsidRPr="00B275E2">
              <w:t xml:space="preserve">O/unit </w:t>
            </w:r>
            <w:r w:rsidRPr="00B275E2">
              <w:br/>
              <w:t>(kg CO</w:t>
            </w:r>
            <w:r w:rsidRPr="00B275E2">
              <w:rPr>
                <w:vertAlign w:val="subscript"/>
              </w:rPr>
              <w:t>2</w:t>
            </w:r>
            <w:r w:rsidRPr="00B275E2">
              <w:t>-e)</w:t>
            </w:r>
          </w:p>
        </w:tc>
      </w:tr>
      <w:tr w:rsidR="00DF53AA" w:rsidRPr="00B275E2" w14:paraId="6901E565" w14:textId="77777777" w:rsidTr="00035E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single" w:sz="4" w:space="0" w:color="FFFFFF" w:themeColor="background1"/>
            </w:tcBorders>
            <w:hideMark/>
          </w:tcPr>
          <w:p w14:paraId="1A773F58" w14:textId="77777777" w:rsidR="005C0D7A" w:rsidRPr="00B275E2" w:rsidRDefault="005C0D7A" w:rsidP="00155373">
            <w:pPr>
              <w:pStyle w:val="TableText"/>
              <w:keepNext/>
              <w:rPr>
                <w:rFonts w:eastAsia="Times New Roman"/>
                <w:b w:val="0"/>
                <w:color w:val="000000"/>
              </w:rPr>
            </w:pPr>
            <w:r w:rsidRPr="00B275E2">
              <w:rPr>
                <w:rFonts w:eastAsia="Times New Roman"/>
                <w:b w:val="0"/>
                <w:color w:val="000000"/>
              </w:rPr>
              <w:t>Natural gas used</w:t>
            </w:r>
          </w:p>
        </w:tc>
        <w:tc>
          <w:tcPr>
            <w:tcW w:w="0" w:type="auto"/>
            <w:noWrap/>
            <w:hideMark/>
          </w:tcPr>
          <w:p w14:paraId="6BC5DD25" w14:textId="77777777" w:rsidR="005C0D7A" w:rsidRPr="00B275E2" w:rsidRDefault="005C0D7A" w:rsidP="00155373">
            <w:pPr>
              <w:pStyle w:val="TableText"/>
              <w:keepNex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B275E2">
              <w:rPr>
                <w:rFonts w:eastAsia="Times New Roman"/>
                <w:color w:val="000000"/>
              </w:rPr>
              <w:t>kWh</w:t>
            </w:r>
          </w:p>
        </w:tc>
        <w:tc>
          <w:tcPr>
            <w:tcW w:w="0" w:type="auto"/>
            <w:shd w:val="clear" w:color="auto" w:fill="D2DDE1" w:themeFill="background2"/>
            <w:noWrap/>
            <w:hideMark/>
          </w:tcPr>
          <w:p w14:paraId="20C1CDE7" w14:textId="4ED8E2CB" w:rsidR="005C0D7A" w:rsidRPr="00B275E2" w:rsidRDefault="00090A85" w:rsidP="00155373">
            <w:pPr>
              <w:pStyle w:val="TableText"/>
              <w:keepNext/>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B275E2">
              <w:rPr>
                <w:rFonts w:eastAsia="Times New Roman"/>
              </w:rPr>
              <w:t>0.012</w:t>
            </w:r>
          </w:p>
        </w:tc>
        <w:tc>
          <w:tcPr>
            <w:tcW w:w="0" w:type="auto"/>
            <w:noWrap/>
            <w:hideMark/>
          </w:tcPr>
          <w:p w14:paraId="4604DB54" w14:textId="1DA84A3A" w:rsidR="005C0D7A" w:rsidRPr="00B275E2" w:rsidRDefault="00E65ADF" w:rsidP="00155373">
            <w:pPr>
              <w:pStyle w:val="TableText"/>
              <w:keepNext/>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B275E2">
              <w:rPr>
                <w:rFonts w:eastAsia="Times New Roman"/>
              </w:rPr>
              <w:t>n/a</w:t>
            </w:r>
          </w:p>
        </w:tc>
        <w:tc>
          <w:tcPr>
            <w:tcW w:w="0" w:type="auto"/>
            <w:noWrap/>
            <w:hideMark/>
          </w:tcPr>
          <w:p w14:paraId="435EF923" w14:textId="5EEBCA27" w:rsidR="005C0D7A" w:rsidRPr="00B275E2" w:rsidRDefault="0066169B" w:rsidP="00155373">
            <w:pPr>
              <w:pStyle w:val="TableText"/>
              <w:keepNext/>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B275E2">
              <w:rPr>
                <w:rFonts w:eastAsia="Times New Roman"/>
              </w:rPr>
              <w:t>0.012</w:t>
            </w:r>
          </w:p>
        </w:tc>
        <w:tc>
          <w:tcPr>
            <w:tcW w:w="0" w:type="auto"/>
            <w:tcBorders>
              <w:right w:val="single" w:sz="4" w:space="0" w:color="FFFFFF" w:themeColor="background1"/>
            </w:tcBorders>
            <w:noWrap/>
            <w:hideMark/>
          </w:tcPr>
          <w:p w14:paraId="2D888277" w14:textId="5C3458E7" w:rsidR="005C0D7A" w:rsidRPr="00B275E2" w:rsidRDefault="00E65ADF" w:rsidP="00155373">
            <w:pPr>
              <w:pStyle w:val="TableText"/>
              <w:keepNext/>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B275E2">
              <w:rPr>
                <w:rFonts w:eastAsia="Times New Roman"/>
              </w:rPr>
              <w:t>n/a</w:t>
            </w:r>
          </w:p>
        </w:tc>
      </w:tr>
      <w:tr w:rsidR="00DF53AA" w:rsidRPr="00B275E2" w14:paraId="1B04C0A7" w14:textId="77777777" w:rsidTr="00035E0F">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FFFFFF" w:themeColor="background1"/>
            </w:tcBorders>
            <w:hideMark/>
          </w:tcPr>
          <w:p w14:paraId="08CA4F8D" w14:textId="77777777" w:rsidR="005C0D7A" w:rsidRPr="00B275E2" w:rsidRDefault="005C0D7A" w:rsidP="005C0D7A">
            <w:pPr>
              <w:pStyle w:val="TableText"/>
              <w:rPr>
                <w:rFonts w:eastAsia="Times New Roman"/>
                <w:color w:val="000000"/>
              </w:rPr>
            </w:pPr>
          </w:p>
        </w:tc>
        <w:tc>
          <w:tcPr>
            <w:tcW w:w="0" w:type="auto"/>
            <w:noWrap/>
            <w:hideMark/>
          </w:tcPr>
          <w:p w14:paraId="545A915D" w14:textId="77777777" w:rsidR="005C0D7A" w:rsidRPr="00B275E2" w:rsidRDefault="005C0D7A" w:rsidP="005C0D7A">
            <w:pPr>
              <w:pStyle w:val="TableTex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B275E2">
              <w:rPr>
                <w:rFonts w:eastAsia="Times New Roman"/>
                <w:color w:val="000000"/>
              </w:rPr>
              <w:t>GJ</w:t>
            </w:r>
          </w:p>
        </w:tc>
        <w:tc>
          <w:tcPr>
            <w:tcW w:w="0" w:type="auto"/>
            <w:shd w:val="clear" w:color="auto" w:fill="D2DDE1" w:themeFill="background2"/>
            <w:noWrap/>
            <w:hideMark/>
          </w:tcPr>
          <w:p w14:paraId="31877F04" w14:textId="69754D1C" w:rsidR="005C0D7A" w:rsidRPr="00B275E2" w:rsidRDefault="0066169B" w:rsidP="0066169B">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B275E2">
              <w:rPr>
                <w:rFonts w:eastAsia="Times New Roman"/>
              </w:rPr>
              <w:t>3.212</w:t>
            </w:r>
          </w:p>
        </w:tc>
        <w:tc>
          <w:tcPr>
            <w:tcW w:w="0" w:type="auto"/>
            <w:noWrap/>
            <w:hideMark/>
          </w:tcPr>
          <w:p w14:paraId="36209B50" w14:textId="5F437AD8" w:rsidR="005C0D7A" w:rsidRPr="00B275E2" w:rsidRDefault="00E65ADF" w:rsidP="005C0D7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B275E2">
              <w:rPr>
                <w:rFonts w:eastAsia="Times New Roman"/>
              </w:rPr>
              <w:t>n/a</w:t>
            </w:r>
          </w:p>
        </w:tc>
        <w:tc>
          <w:tcPr>
            <w:tcW w:w="0" w:type="auto"/>
            <w:noWrap/>
            <w:hideMark/>
          </w:tcPr>
          <w:p w14:paraId="1BF32441" w14:textId="10296DF9" w:rsidR="005C0D7A" w:rsidRPr="00B275E2" w:rsidRDefault="0066169B" w:rsidP="005C0D7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B275E2">
              <w:rPr>
                <w:rFonts w:eastAsia="Times New Roman"/>
              </w:rPr>
              <w:t>3.212</w:t>
            </w:r>
          </w:p>
        </w:tc>
        <w:tc>
          <w:tcPr>
            <w:tcW w:w="0" w:type="auto"/>
            <w:tcBorders>
              <w:right w:val="single" w:sz="4" w:space="0" w:color="FFFFFF" w:themeColor="background1"/>
            </w:tcBorders>
            <w:noWrap/>
            <w:hideMark/>
          </w:tcPr>
          <w:p w14:paraId="59C2A36F" w14:textId="3ACCA402" w:rsidR="005C0D7A" w:rsidRPr="00B275E2" w:rsidRDefault="00E65ADF" w:rsidP="005C0D7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B275E2">
              <w:rPr>
                <w:rFonts w:eastAsia="Times New Roman"/>
              </w:rPr>
              <w:t>n/a</w:t>
            </w:r>
          </w:p>
        </w:tc>
      </w:tr>
    </w:tbl>
    <w:p w14:paraId="6A06A322" w14:textId="7FDF7F4B" w:rsidR="00754921" w:rsidRPr="00B275E2" w:rsidRDefault="00754921" w:rsidP="007F0B1E">
      <w:pPr>
        <w:pStyle w:val="Note"/>
      </w:pPr>
      <w:r w:rsidRPr="00B275E2">
        <w:t>Note</w:t>
      </w:r>
      <w:r w:rsidR="00932F29" w:rsidRPr="00B275E2">
        <w:t>: T</w:t>
      </w:r>
      <w:r w:rsidRPr="00B275E2">
        <w:t xml:space="preserve">hese numbers are rounded to three significant figures. </w:t>
      </w:r>
    </w:p>
    <w:p w14:paraId="0CA3AF2C" w14:textId="39B9FAE2" w:rsidR="005C0D7A" w:rsidRPr="00B275E2" w:rsidRDefault="00301928" w:rsidP="006B7605">
      <w:pPr>
        <w:pStyle w:val="Heading3"/>
      </w:pPr>
      <w:bookmarkStart w:id="183" w:name="_Toc532904869"/>
      <w:r w:rsidRPr="00B275E2">
        <w:lastRenderedPageBreak/>
        <w:t xml:space="preserve">GHG </w:t>
      </w:r>
      <w:r w:rsidR="005C0D7A" w:rsidRPr="00B275E2">
        <w:t>inventory development</w:t>
      </w:r>
      <w:bookmarkEnd w:id="183"/>
    </w:p>
    <w:p w14:paraId="03244757" w14:textId="4D679407" w:rsidR="00754921" w:rsidRPr="00B275E2" w:rsidRDefault="005C0D7A" w:rsidP="007F0B1E">
      <w:pPr>
        <w:pStyle w:val="BodyText"/>
      </w:pPr>
      <w:r w:rsidRPr="00B275E2">
        <w:t>To calculate the emissions from transmission and distribution losses, organisations should collect data on the quantity of natural gas used in the unit expressed and multiply this by the emission factors for each gas.</w:t>
      </w:r>
      <w:r w:rsidR="00754921" w:rsidRPr="00B275E2">
        <w:t xml:space="preserve"> Applying the equation </w:t>
      </w:r>
      <w:r w:rsidR="00A71EB9" w:rsidRPr="00B275E2">
        <w:t>E= Q x F (</w:t>
      </w:r>
      <w:hyperlink w:anchor="_How_to_quantify" w:history="1">
        <w:r w:rsidR="00B81B8F" w:rsidRPr="00B275E2">
          <w:rPr>
            <w:rStyle w:val="Hyperlink"/>
          </w:rPr>
          <w:t>section 2</w:t>
        </w:r>
      </w:hyperlink>
      <w:r w:rsidR="00A71EB9" w:rsidRPr="00B275E2">
        <w:rPr>
          <w:rStyle w:val="Hyperlink"/>
          <w:color w:val="auto"/>
        </w:rPr>
        <w:t>)</w:t>
      </w:r>
      <w:r w:rsidR="00754921" w:rsidRPr="00B275E2">
        <w:rPr>
          <w:i/>
        </w:rPr>
        <w:t>,</w:t>
      </w:r>
      <w:r w:rsidR="00754921" w:rsidRPr="00B275E2">
        <w:t xml:space="preserve"> this means:</w:t>
      </w:r>
    </w:p>
    <w:p w14:paraId="5D8CE094" w14:textId="355F1FB8" w:rsidR="00A71EB9" w:rsidRPr="00B275E2" w:rsidRDefault="00A71EB9" w:rsidP="00E81B34">
      <w:pPr>
        <w:pStyle w:val="BodyText"/>
        <w:tabs>
          <w:tab w:val="left" w:pos="680"/>
          <w:tab w:val="left" w:pos="1134"/>
        </w:tabs>
        <w:contextualSpacing/>
      </w:pPr>
      <w:r w:rsidRPr="00B275E2">
        <w:t>E</w:t>
      </w:r>
      <w:r w:rsidRPr="00B275E2">
        <w:tab/>
        <w:t>=</w:t>
      </w:r>
      <w:r w:rsidRPr="00B275E2">
        <w:tab/>
        <w:t>emissions from the emissions source in kg CO</w:t>
      </w:r>
      <w:r w:rsidRPr="00B275E2">
        <w:rPr>
          <w:vertAlign w:val="subscript"/>
        </w:rPr>
        <w:t>2</w:t>
      </w:r>
      <w:r w:rsidRPr="00B275E2">
        <w:t>-e per year</w:t>
      </w:r>
    </w:p>
    <w:p w14:paraId="21D17534" w14:textId="0F016DB7" w:rsidR="00754921" w:rsidRPr="00B275E2" w:rsidRDefault="00E57DD8" w:rsidP="00E81B34">
      <w:pPr>
        <w:pStyle w:val="BodyText"/>
        <w:tabs>
          <w:tab w:val="left" w:pos="680"/>
          <w:tab w:val="left" w:pos="1134"/>
        </w:tabs>
        <w:contextualSpacing/>
      </w:pPr>
      <w:r w:rsidRPr="00B275E2">
        <w:t>Q</w:t>
      </w:r>
      <w:r w:rsidRPr="00B275E2">
        <w:tab/>
      </w:r>
      <w:r w:rsidR="00754921" w:rsidRPr="00B275E2">
        <w:t>=</w:t>
      </w:r>
      <w:r w:rsidRPr="00B275E2">
        <w:tab/>
      </w:r>
      <w:r w:rsidR="00754921" w:rsidRPr="00B275E2">
        <w:t>quantity of fuel used (unit)</w:t>
      </w:r>
    </w:p>
    <w:p w14:paraId="7E83EFEA" w14:textId="4EE7A78F" w:rsidR="005C0D7A" w:rsidRPr="00B275E2" w:rsidRDefault="00E57DD8" w:rsidP="00E81B34">
      <w:pPr>
        <w:pStyle w:val="BodyText"/>
        <w:tabs>
          <w:tab w:val="left" w:pos="680"/>
          <w:tab w:val="left" w:pos="1134"/>
        </w:tabs>
        <w:spacing w:after="240"/>
        <w:contextualSpacing/>
      </w:pPr>
      <w:r w:rsidRPr="00B275E2">
        <w:t>F</w:t>
      </w:r>
      <w:r w:rsidRPr="00B275E2">
        <w:tab/>
        <w:t>=</w:t>
      </w:r>
      <w:r w:rsidRPr="00B275E2">
        <w:tab/>
      </w:r>
      <w:r w:rsidR="00754921" w:rsidRPr="00B275E2">
        <w:t xml:space="preserve">appropriate emission factors from </w:t>
      </w:r>
      <w:r w:rsidR="00155373" w:rsidRPr="00B275E2">
        <w:t>table 6</w:t>
      </w:r>
    </w:p>
    <w:tbl>
      <w:tblPr>
        <w:tblW w:w="8500"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0"/>
      </w:tblGrid>
      <w:tr w:rsidR="00C1583F" w:rsidRPr="00B275E2" w14:paraId="65FCAE45" w14:textId="77777777" w:rsidTr="00E81B34">
        <w:tc>
          <w:tcPr>
            <w:tcW w:w="8500" w:type="dxa"/>
            <w:tcBorders>
              <w:top w:val="single" w:sz="4" w:space="0" w:color="0F7B7D"/>
              <w:left w:val="single" w:sz="4" w:space="0" w:color="0F7B7D"/>
              <w:bottom w:val="nil"/>
              <w:right w:val="single" w:sz="4" w:space="0" w:color="0F7B7D"/>
            </w:tcBorders>
            <w:shd w:val="clear" w:color="auto" w:fill="0F7B7D"/>
            <w:vAlign w:val="center"/>
          </w:tcPr>
          <w:p w14:paraId="55A64046" w14:textId="77E3F4C4" w:rsidR="00C1583F" w:rsidRPr="00B275E2" w:rsidDel="00D5390D" w:rsidRDefault="00DD32A4" w:rsidP="009A11D6">
            <w:pPr>
              <w:pStyle w:val="Casestudyheading"/>
              <w:rPr>
                <w:highlight w:val="yellow"/>
              </w:rPr>
            </w:pPr>
            <w:bookmarkStart w:id="184" w:name="_Hlk532637377"/>
            <w:r w:rsidRPr="00B275E2">
              <w:t xml:space="preserve">transmission and distribution losses: </w:t>
            </w:r>
            <w:r w:rsidR="00C1583F" w:rsidRPr="00B275E2">
              <w:t>Example Calculation</w:t>
            </w:r>
          </w:p>
        </w:tc>
      </w:tr>
      <w:tr w:rsidR="00C1583F" w:rsidRPr="00B275E2" w14:paraId="5DA62067" w14:textId="77777777" w:rsidTr="00E81B34">
        <w:trPr>
          <w:trHeight w:val="2033"/>
        </w:trPr>
        <w:tc>
          <w:tcPr>
            <w:tcW w:w="8500" w:type="dxa"/>
            <w:tcBorders>
              <w:top w:val="nil"/>
              <w:left w:val="single" w:sz="4" w:space="0" w:color="D5EBE8"/>
              <w:bottom w:val="single" w:sz="4" w:space="0" w:color="D5EBE8"/>
              <w:right w:val="single" w:sz="4" w:space="0" w:color="D5EBE8"/>
            </w:tcBorders>
            <w:shd w:val="clear" w:color="auto" w:fill="D5EBE8" w:themeFill="accent3"/>
          </w:tcPr>
          <w:p w14:paraId="29B67C09" w14:textId="77777777" w:rsidR="00C1583F" w:rsidRPr="00B275E2" w:rsidRDefault="00C1583F" w:rsidP="00E81B34">
            <w:pPr>
              <w:pStyle w:val="Boxtext"/>
              <w:spacing w:after="80"/>
            </w:pPr>
            <w:r w:rsidRPr="00B275E2">
              <w:t xml:space="preserve">An organisation uses 800 gigajoules of distributed natural gas in the reporting period. </w:t>
            </w:r>
          </w:p>
          <w:p w14:paraId="58C13F7B" w14:textId="3F9C35D3" w:rsidR="00C1583F" w:rsidRPr="00B275E2" w:rsidRDefault="00C1583F" w:rsidP="00E81B34">
            <w:pPr>
              <w:pStyle w:val="Boxtext"/>
              <w:tabs>
                <w:tab w:val="left" w:pos="2983"/>
                <w:tab w:val="left" w:pos="4684"/>
              </w:tabs>
              <w:spacing w:before="20" w:after="20"/>
              <w:ind w:left="850"/>
            </w:pPr>
            <w:r w:rsidRPr="00B275E2">
              <w:t>CO</w:t>
            </w:r>
            <w:r w:rsidRPr="00B275E2">
              <w:rPr>
                <w:vertAlign w:val="subscript"/>
              </w:rPr>
              <w:t>2</w:t>
            </w:r>
            <w:r w:rsidRPr="00B275E2">
              <w:t xml:space="preserve"> emissions </w:t>
            </w:r>
            <w:r w:rsidRPr="00B275E2">
              <w:tab/>
              <w:t xml:space="preserve">= 800 </w:t>
            </w:r>
            <w:r w:rsidR="00F86E56" w:rsidRPr="00B275E2">
              <w:t>×</w:t>
            </w:r>
            <w:r w:rsidRPr="00B275E2">
              <w:t xml:space="preserve"> 0.00</w:t>
            </w:r>
            <w:r w:rsidRPr="00B275E2">
              <w:tab/>
              <w:t>= 0 kg CO</w:t>
            </w:r>
            <w:r w:rsidRPr="00B275E2">
              <w:rPr>
                <w:vertAlign w:val="subscript"/>
              </w:rPr>
              <w:t>2</w:t>
            </w:r>
          </w:p>
          <w:p w14:paraId="08AD4633" w14:textId="6DFA4D84" w:rsidR="00C1583F" w:rsidRPr="00B275E2" w:rsidRDefault="00C1583F" w:rsidP="00E81B34">
            <w:pPr>
              <w:pStyle w:val="Boxtext"/>
              <w:tabs>
                <w:tab w:val="left" w:pos="2983"/>
                <w:tab w:val="left" w:pos="4684"/>
              </w:tabs>
              <w:spacing w:before="20" w:after="20"/>
              <w:ind w:left="850"/>
            </w:pPr>
            <w:r w:rsidRPr="00B275E2">
              <w:t>CH</w:t>
            </w:r>
            <w:r w:rsidRPr="00B275E2">
              <w:rPr>
                <w:vertAlign w:val="subscript"/>
              </w:rPr>
              <w:t>4</w:t>
            </w:r>
            <w:r w:rsidRPr="00B275E2">
              <w:t xml:space="preserve"> emissions</w:t>
            </w:r>
            <w:r w:rsidRPr="00B275E2">
              <w:tab/>
              <w:t xml:space="preserve">= 800 </w:t>
            </w:r>
            <w:r w:rsidR="00F86E56" w:rsidRPr="00B275E2">
              <w:t>×</w:t>
            </w:r>
            <w:r w:rsidRPr="00B275E2">
              <w:t xml:space="preserve"> </w:t>
            </w:r>
            <w:r w:rsidR="00A901D6" w:rsidRPr="00B275E2">
              <w:t>3.21</w:t>
            </w:r>
            <w:r w:rsidR="00AD2172" w:rsidRPr="00B275E2">
              <w:t>2</w:t>
            </w:r>
            <w:r w:rsidR="00E81B34" w:rsidRPr="00B275E2">
              <w:tab/>
            </w:r>
            <w:r w:rsidRPr="00B275E2">
              <w:t xml:space="preserve">= </w:t>
            </w:r>
            <w:r w:rsidR="0001591A" w:rsidRPr="00B275E2">
              <w:t>2569</w:t>
            </w:r>
            <w:r w:rsidR="00A3758A" w:rsidRPr="00B275E2">
              <w:t>.6</w:t>
            </w:r>
            <w:r w:rsidR="008F581D" w:rsidRPr="00B275E2">
              <w:t xml:space="preserve"> </w:t>
            </w:r>
            <w:r w:rsidRPr="00B275E2">
              <w:t>kg CO</w:t>
            </w:r>
            <w:r w:rsidRPr="00B275E2">
              <w:rPr>
                <w:vertAlign w:val="subscript"/>
              </w:rPr>
              <w:t>2</w:t>
            </w:r>
            <w:r w:rsidRPr="00B275E2">
              <w:t xml:space="preserve">-e </w:t>
            </w:r>
          </w:p>
          <w:p w14:paraId="7A6AD74F" w14:textId="39CEE23C" w:rsidR="00C1583F" w:rsidRPr="00B275E2" w:rsidRDefault="00C1583F" w:rsidP="00E81B34">
            <w:pPr>
              <w:pStyle w:val="Boxtext"/>
              <w:tabs>
                <w:tab w:val="left" w:pos="2983"/>
                <w:tab w:val="left" w:pos="4684"/>
              </w:tabs>
              <w:spacing w:before="20" w:after="20"/>
              <w:ind w:left="850"/>
            </w:pPr>
            <w:r w:rsidRPr="00B275E2">
              <w:t>N</w:t>
            </w:r>
            <w:r w:rsidRPr="00B275E2">
              <w:rPr>
                <w:vertAlign w:val="subscript"/>
              </w:rPr>
              <w:t>2</w:t>
            </w:r>
            <w:r w:rsidRPr="00B275E2">
              <w:t>O emissions</w:t>
            </w:r>
            <w:r w:rsidRPr="00B275E2">
              <w:tab/>
              <w:t xml:space="preserve">= 800 </w:t>
            </w:r>
            <w:r w:rsidR="00F86E56" w:rsidRPr="00B275E2">
              <w:t>×</w:t>
            </w:r>
            <w:r w:rsidRPr="00B275E2">
              <w:t xml:space="preserve"> 0.00</w:t>
            </w:r>
            <w:r w:rsidRPr="00B275E2">
              <w:tab/>
              <w:t>= 0 kg CO</w:t>
            </w:r>
            <w:r w:rsidRPr="00B275E2">
              <w:rPr>
                <w:vertAlign w:val="subscript"/>
              </w:rPr>
              <w:t>2</w:t>
            </w:r>
            <w:r w:rsidRPr="00B275E2">
              <w:t xml:space="preserve">-e </w:t>
            </w:r>
          </w:p>
          <w:p w14:paraId="6FD2E829" w14:textId="5F11E2F7" w:rsidR="00C1583F" w:rsidRPr="00B275E2" w:rsidRDefault="00C1583F" w:rsidP="00E81B34">
            <w:pPr>
              <w:pStyle w:val="Boxtext"/>
              <w:tabs>
                <w:tab w:val="left" w:pos="2983"/>
                <w:tab w:val="left" w:pos="4684"/>
              </w:tabs>
              <w:spacing w:before="20" w:after="20"/>
              <w:ind w:left="850"/>
            </w:pPr>
            <w:r w:rsidRPr="00B275E2">
              <w:t>Total CO</w:t>
            </w:r>
            <w:r w:rsidRPr="00B275E2">
              <w:rPr>
                <w:vertAlign w:val="subscript"/>
              </w:rPr>
              <w:t>2</w:t>
            </w:r>
            <w:r w:rsidRPr="00B275E2">
              <w:t>-e emissions</w:t>
            </w:r>
            <w:r w:rsidRPr="00B275E2">
              <w:tab/>
              <w:t xml:space="preserve">= 800 </w:t>
            </w:r>
            <w:r w:rsidR="00F86E56" w:rsidRPr="00B275E2">
              <w:t>×</w:t>
            </w:r>
            <w:r w:rsidRPr="00B275E2">
              <w:t xml:space="preserve"> </w:t>
            </w:r>
            <w:r w:rsidR="00A901D6" w:rsidRPr="00B275E2">
              <w:t>3.21</w:t>
            </w:r>
            <w:r w:rsidR="00AD2172" w:rsidRPr="00B275E2">
              <w:t>2</w:t>
            </w:r>
            <w:r w:rsidRPr="00B275E2">
              <w:tab/>
              <w:t xml:space="preserve">= </w:t>
            </w:r>
            <w:r w:rsidR="008F581D" w:rsidRPr="00B275E2">
              <w:t>2569.</w:t>
            </w:r>
            <w:r w:rsidR="00A3758A" w:rsidRPr="00B275E2">
              <w:t>6</w:t>
            </w:r>
            <w:r w:rsidR="008F581D" w:rsidRPr="00B275E2">
              <w:t xml:space="preserve"> kg CO</w:t>
            </w:r>
            <w:r w:rsidR="008F581D" w:rsidRPr="00B275E2">
              <w:rPr>
                <w:vertAlign w:val="subscript"/>
              </w:rPr>
              <w:t>2</w:t>
            </w:r>
            <w:r w:rsidR="008F581D" w:rsidRPr="00B275E2">
              <w:t>-e</w:t>
            </w:r>
          </w:p>
          <w:p w14:paraId="09214D7B" w14:textId="2B8E3D0C" w:rsidR="00C1583F" w:rsidRPr="00B275E2" w:rsidRDefault="00944746" w:rsidP="00E81B34">
            <w:pPr>
              <w:pStyle w:val="Boxtext"/>
              <w:spacing w:after="180"/>
              <w:rPr>
                <w:sz w:val="18"/>
                <w:highlight w:val="yellow"/>
              </w:rPr>
            </w:pPr>
            <w:r w:rsidRPr="00B275E2">
              <w:rPr>
                <w:sz w:val="18"/>
              </w:rPr>
              <w:t>N</w:t>
            </w:r>
            <w:r w:rsidR="00C1583F" w:rsidRPr="00B275E2">
              <w:rPr>
                <w:sz w:val="18"/>
              </w:rPr>
              <w:t>ote</w:t>
            </w:r>
            <w:r w:rsidR="00236DFE" w:rsidRPr="00B275E2">
              <w:rPr>
                <w:sz w:val="18"/>
              </w:rPr>
              <w:t>: N</w:t>
            </w:r>
            <w:r w:rsidR="00C1583F" w:rsidRPr="00B275E2">
              <w:rPr>
                <w:sz w:val="18"/>
              </w:rPr>
              <w:t>umbers may not add due to rounding</w:t>
            </w:r>
            <w:r w:rsidR="00BB436A" w:rsidRPr="00B275E2">
              <w:rPr>
                <w:sz w:val="18"/>
              </w:rPr>
              <w:t>.</w:t>
            </w:r>
          </w:p>
        </w:tc>
      </w:tr>
    </w:tbl>
    <w:p w14:paraId="5C46CBFC" w14:textId="36726573" w:rsidR="005C0D7A" w:rsidRPr="00B275E2" w:rsidRDefault="005C0D7A" w:rsidP="006B7605">
      <w:pPr>
        <w:pStyle w:val="Heading3"/>
      </w:pPr>
      <w:bookmarkStart w:id="185" w:name="_Toc532904870"/>
      <w:bookmarkEnd w:id="184"/>
      <w:r w:rsidRPr="00B275E2">
        <w:t>Emission factor derivation methodology</w:t>
      </w:r>
      <w:bookmarkEnd w:id="185"/>
    </w:p>
    <w:p w14:paraId="230C7377" w14:textId="2F0A2A07" w:rsidR="005C0D7A" w:rsidRPr="00B275E2" w:rsidRDefault="00754921" w:rsidP="00E81B34">
      <w:pPr>
        <w:pStyle w:val="BodyText"/>
      </w:pPr>
      <w:r w:rsidRPr="00B275E2">
        <w:t>MBIE provided t</w:t>
      </w:r>
      <w:r w:rsidR="005C0D7A" w:rsidRPr="00B275E2">
        <w:t>he transmission and distribution losses emission factor in kg</w:t>
      </w:r>
      <w:r w:rsidR="007F4E21" w:rsidRPr="00B275E2">
        <w:t xml:space="preserve"> </w:t>
      </w:r>
      <w:r w:rsidR="005C0D7A" w:rsidRPr="00B275E2">
        <w:t>CO</w:t>
      </w:r>
      <w:r w:rsidR="005C0D7A" w:rsidRPr="00B275E2">
        <w:rPr>
          <w:vertAlign w:val="subscript"/>
        </w:rPr>
        <w:t>2</w:t>
      </w:r>
      <w:r w:rsidR="005C0D7A" w:rsidRPr="00B275E2">
        <w:t xml:space="preserve">-e. </w:t>
      </w:r>
      <w:r w:rsidRPr="00B275E2">
        <w:t>We</w:t>
      </w:r>
      <w:r w:rsidR="005C0D7A" w:rsidRPr="00B275E2">
        <w:t xml:space="preserve"> assume that natural gas is predominantly methane, so all leakage is </w:t>
      </w:r>
      <w:r w:rsidR="00303AA0" w:rsidRPr="00B275E2">
        <w:t>methane</w:t>
      </w:r>
      <w:r w:rsidR="005C0D7A" w:rsidRPr="00B275E2">
        <w:t xml:space="preserve">. </w:t>
      </w:r>
    </w:p>
    <w:p w14:paraId="2FB66BCE" w14:textId="735393C0" w:rsidR="005C0D7A" w:rsidRPr="00B275E2" w:rsidRDefault="0664092F" w:rsidP="006B7605">
      <w:pPr>
        <w:pStyle w:val="Heading3"/>
      </w:pPr>
      <w:bookmarkStart w:id="186" w:name="_Toc532904871"/>
      <w:r>
        <w:t>Assumptions, limitations and uncertainties</w:t>
      </w:r>
      <w:bookmarkEnd w:id="186"/>
    </w:p>
    <w:p w14:paraId="2F70DD9D" w14:textId="62B56A67" w:rsidR="00290F36" w:rsidRPr="00B275E2" w:rsidRDefault="00290F36" w:rsidP="007F0B1E">
      <w:pPr>
        <w:pStyle w:val="BodyText"/>
      </w:pPr>
      <w:r w:rsidRPr="00B275E2">
        <w:rPr>
          <w:spacing w:val="-2"/>
        </w:rPr>
        <w:t>The guide assumes there are no transmission and distribution losses from reticulated LPG.</w:t>
      </w:r>
    </w:p>
    <w:p w14:paraId="045293EF" w14:textId="47AC1365" w:rsidR="005C0D7A" w:rsidRPr="00B275E2" w:rsidRDefault="00754921" w:rsidP="007F0B1E">
      <w:pPr>
        <w:pStyle w:val="BodyText"/>
      </w:pPr>
      <w:r w:rsidRPr="00B275E2">
        <w:t>We</w:t>
      </w:r>
      <w:r w:rsidR="005C0D7A" w:rsidRPr="00B275E2">
        <w:t xml:space="preserve"> assume that all emissions from transmission and distribution of natural gas are due to methane leakage.</w:t>
      </w:r>
    </w:p>
    <w:p w14:paraId="35D76F02" w14:textId="24C1885F" w:rsidR="00514D8B" w:rsidRPr="00B275E2" w:rsidRDefault="005C0D7A" w:rsidP="007F0B1E">
      <w:pPr>
        <w:pStyle w:val="BodyText"/>
      </w:pPr>
      <w:r w:rsidRPr="00B275E2">
        <w:t>The figures assume that all losses are attributable to gas consumed via local distribution networks. A small amount (</w:t>
      </w:r>
      <w:r w:rsidR="009076C9" w:rsidRPr="00B275E2">
        <w:t xml:space="preserve">less than </w:t>
      </w:r>
      <w:r w:rsidR="00236DFE" w:rsidRPr="00B275E2">
        <w:t xml:space="preserve">1 </w:t>
      </w:r>
      <w:r w:rsidRPr="00B275E2">
        <w:t>per cent) of emissions is attributable to losses occurring</w:t>
      </w:r>
      <w:r w:rsidR="00155373" w:rsidRPr="00B275E2">
        <w:t> </w:t>
      </w:r>
      <w:r w:rsidRPr="00B275E2">
        <w:t xml:space="preserve">from delivery of gas to consumers who are directly connected to a high-pressure transmission pipeline. </w:t>
      </w:r>
    </w:p>
    <w:p w14:paraId="39642FAF" w14:textId="77777777" w:rsidR="00155373" w:rsidRPr="00B275E2" w:rsidRDefault="00155373" w:rsidP="007F0B1E">
      <w:pPr>
        <w:pStyle w:val="BodyText"/>
      </w:pPr>
      <w:bookmarkStart w:id="187" w:name="_Toc532904872"/>
      <w:bookmarkStart w:id="188" w:name="_Toc600572"/>
      <w:bookmarkEnd w:id="165"/>
      <w:r w:rsidRPr="00B275E2">
        <w:br w:type="page"/>
      </w:r>
    </w:p>
    <w:p w14:paraId="6509168F" w14:textId="014AADC7" w:rsidR="00321918" w:rsidRPr="00B275E2" w:rsidRDefault="00321918" w:rsidP="00C24B73">
      <w:pPr>
        <w:pStyle w:val="Heading1"/>
        <w:numPr>
          <w:ilvl w:val="0"/>
          <w:numId w:val="15"/>
        </w:numPr>
      </w:pPr>
      <w:bookmarkStart w:id="189" w:name="_Toc111536778"/>
      <w:r w:rsidRPr="00B275E2">
        <w:lastRenderedPageBreak/>
        <w:t xml:space="preserve">Refrigerant </w:t>
      </w:r>
      <w:r w:rsidR="00683D2E" w:rsidRPr="00B275E2">
        <w:t xml:space="preserve">and other </w:t>
      </w:r>
      <w:r w:rsidR="004F7530" w:rsidRPr="00B275E2">
        <w:t xml:space="preserve">gases </w:t>
      </w:r>
      <w:r w:rsidRPr="00B275E2">
        <w:t>use emission factors</w:t>
      </w:r>
      <w:bookmarkEnd w:id="187"/>
      <w:bookmarkEnd w:id="188"/>
      <w:bookmarkEnd w:id="189"/>
    </w:p>
    <w:p w14:paraId="60178909" w14:textId="4DBE501C" w:rsidR="005C0D7A" w:rsidRPr="00B275E2" w:rsidRDefault="005C0D7A" w:rsidP="00C24B73">
      <w:pPr>
        <w:pStyle w:val="Heading2"/>
        <w:numPr>
          <w:ilvl w:val="0"/>
          <w:numId w:val="21"/>
        </w:numPr>
        <w:spacing w:before="240"/>
      </w:pPr>
      <w:bookmarkStart w:id="190" w:name="_Toc529960695"/>
      <w:bookmarkStart w:id="191" w:name="_Toc532904873"/>
      <w:bookmarkStart w:id="192" w:name="_Toc600573"/>
      <w:bookmarkStart w:id="193" w:name="_Hlk52976832"/>
      <w:bookmarkStart w:id="194" w:name="_Toc111536779"/>
      <w:r w:rsidRPr="00B275E2">
        <w:t>Overview of changes since previous update</w:t>
      </w:r>
      <w:bookmarkEnd w:id="190"/>
      <w:bookmarkEnd w:id="191"/>
      <w:bookmarkEnd w:id="192"/>
      <w:bookmarkEnd w:id="194"/>
      <w:r w:rsidRPr="00B275E2">
        <w:t xml:space="preserve"> </w:t>
      </w:r>
    </w:p>
    <w:bookmarkEnd w:id="193"/>
    <w:p w14:paraId="13ADAE4F" w14:textId="6947A1A8" w:rsidR="00FB5FC4" w:rsidRPr="00B275E2" w:rsidRDefault="006A16CB" w:rsidP="00E81B34">
      <w:pPr>
        <w:pStyle w:val="BodyText"/>
      </w:pPr>
      <w:r w:rsidRPr="00B275E2">
        <w:t>This</w:t>
      </w:r>
      <w:r w:rsidR="005F412E" w:rsidRPr="00B275E2">
        <w:t xml:space="preserve"> </w:t>
      </w:r>
      <w:r w:rsidR="00C26059" w:rsidRPr="00B275E2">
        <w:t>guide</w:t>
      </w:r>
      <w:r w:rsidR="005F412E" w:rsidRPr="00B275E2">
        <w:t xml:space="preserve"> includes the 100-</w:t>
      </w:r>
      <w:r w:rsidR="00F64130" w:rsidRPr="00B275E2">
        <w:t xml:space="preserve">year </w:t>
      </w:r>
      <w:r w:rsidR="00DF0E1B" w:rsidRPr="00B275E2">
        <w:t>global warming potential</w:t>
      </w:r>
      <w:r w:rsidR="00F64130" w:rsidRPr="00B275E2">
        <w:t>s</w:t>
      </w:r>
      <w:r w:rsidR="00DF0E1B" w:rsidRPr="00B275E2">
        <w:t xml:space="preserve"> (GWPs)</w:t>
      </w:r>
      <w:r w:rsidR="005F412E" w:rsidRPr="00B275E2">
        <w:t xml:space="preserve"> of </w:t>
      </w:r>
      <w:r w:rsidR="00F6354E" w:rsidRPr="00B275E2">
        <w:t xml:space="preserve">gases reported under </w:t>
      </w:r>
      <w:r w:rsidR="005F412E" w:rsidRPr="00B275E2">
        <w:t xml:space="preserve">the Kyoto </w:t>
      </w:r>
      <w:r w:rsidR="00BB436A" w:rsidRPr="00B275E2">
        <w:t>P</w:t>
      </w:r>
      <w:r w:rsidR="005F412E" w:rsidRPr="00B275E2">
        <w:t xml:space="preserve">rotocol and </w:t>
      </w:r>
      <w:r w:rsidR="008E70BE" w:rsidRPr="00B275E2">
        <w:t>Paris Agreement</w:t>
      </w:r>
      <w:r w:rsidR="009D134C" w:rsidRPr="00B275E2">
        <w:t xml:space="preserve"> and those </w:t>
      </w:r>
      <w:r w:rsidR="001C1E89" w:rsidRPr="00B275E2">
        <w:t xml:space="preserve">gases reported under the </w:t>
      </w:r>
      <w:r w:rsidR="005F412E" w:rsidRPr="00B275E2">
        <w:t xml:space="preserve">Montreal </w:t>
      </w:r>
      <w:r w:rsidR="00BB436A" w:rsidRPr="00B275E2">
        <w:t>P</w:t>
      </w:r>
      <w:r w:rsidR="005F412E" w:rsidRPr="00B275E2">
        <w:t>rotocol</w:t>
      </w:r>
      <w:r w:rsidR="00236DFE" w:rsidRPr="00B275E2">
        <w:t>. T</w:t>
      </w:r>
      <w:r w:rsidR="00DF38A2" w:rsidRPr="00B275E2">
        <w:t>his is consistent with</w:t>
      </w:r>
      <w:r w:rsidR="00B750BE" w:rsidRPr="00B275E2">
        <w:t xml:space="preserve"> </w:t>
      </w:r>
      <w:r w:rsidR="00B750BE" w:rsidRPr="00B275E2">
        <w:rPr>
          <w:rFonts w:eastAsia="Times New Roman" w:cs="Times New Roman"/>
          <w:i/>
        </w:rPr>
        <w:t>New Zealand’s Greenhouse Gas Inventory 1990-2020</w:t>
      </w:r>
      <w:r w:rsidR="005F412E" w:rsidRPr="00B275E2">
        <w:t xml:space="preserve">. </w:t>
      </w:r>
      <w:r w:rsidR="00754921" w:rsidRPr="00B275E2">
        <w:t>We use</w:t>
      </w:r>
      <w:r w:rsidR="00E81B34" w:rsidRPr="00B275E2">
        <w:t> </w:t>
      </w:r>
      <w:r w:rsidR="00754921" w:rsidRPr="00B275E2">
        <w:t>t</w:t>
      </w:r>
      <w:r w:rsidR="005F412E" w:rsidRPr="00B275E2">
        <w:t xml:space="preserve">he GWPs published in the </w:t>
      </w:r>
      <w:hyperlink r:id="rId67" w:history="1">
        <w:r w:rsidR="005F412E" w:rsidRPr="00B275E2">
          <w:rPr>
            <w:rStyle w:val="Hyperlink"/>
          </w:rPr>
          <w:t>IPCC</w:t>
        </w:r>
        <w:r w:rsidR="00970F56" w:rsidRPr="00B275E2">
          <w:rPr>
            <w:rStyle w:val="Hyperlink"/>
          </w:rPr>
          <w:t xml:space="preserve"> Fourth Assessment Report</w:t>
        </w:r>
        <w:r w:rsidR="005F412E" w:rsidRPr="00B275E2">
          <w:rPr>
            <w:rStyle w:val="Hyperlink"/>
          </w:rPr>
          <w:t xml:space="preserve"> </w:t>
        </w:r>
        <w:r w:rsidR="00970F56" w:rsidRPr="00B275E2">
          <w:rPr>
            <w:rStyle w:val="Hyperlink"/>
            <w:color w:val="auto"/>
          </w:rPr>
          <w:t>(</w:t>
        </w:r>
        <w:bookmarkStart w:id="195" w:name="_Hlk52449366"/>
        <w:r w:rsidR="00970F56" w:rsidRPr="00B275E2">
          <w:rPr>
            <w:rStyle w:val="Hyperlink"/>
            <w:color w:val="auto"/>
          </w:rPr>
          <w:t xml:space="preserve">IPCC </w:t>
        </w:r>
        <w:r w:rsidR="005F412E" w:rsidRPr="00B275E2">
          <w:rPr>
            <w:rStyle w:val="Hyperlink"/>
            <w:color w:val="auto"/>
          </w:rPr>
          <w:t>AR</w:t>
        </w:r>
        <w:bookmarkEnd w:id="195"/>
      </w:hyperlink>
      <w:r w:rsidR="00EF23E8" w:rsidRPr="00B275E2">
        <w:rPr>
          <w:rStyle w:val="Hyperlink"/>
          <w:color w:val="auto"/>
        </w:rPr>
        <w:t>4</w:t>
      </w:r>
      <w:r w:rsidR="00970F56" w:rsidRPr="00B275E2">
        <w:rPr>
          <w:iCs/>
        </w:rPr>
        <w:t>)</w:t>
      </w:r>
      <w:r w:rsidR="002437C6" w:rsidRPr="00B275E2">
        <w:rPr>
          <w:i/>
        </w:rPr>
        <w:t xml:space="preserve"> </w:t>
      </w:r>
      <w:r w:rsidR="002437C6" w:rsidRPr="00B275E2">
        <w:rPr>
          <w:iCs/>
        </w:rPr>
        <w:t xml:space="preserve">and the </w:t>
      </w:r>
      <w:hyperlink r:id="rId68" w:history="1">
        <w:r w:rsidR="002437C6" w:rsidRPr="00B275E2">
          <w:rPr>
            <w:rStyle w:val="Hyperlink"/>
            <w:iCs/>
          </w:rPr>
          <w:t xml:space="preserve">IPCC Fifth Assessment Report </w:t>
        </w:r>
        <w:r w:rsidR="002437C6" w:rsidRPr="00B275E2">
          <w:rPr>
            <w:rStyle w:val="Hyperlink"/>
            <w:iCs/>
            <w:color w:val="auto"/>
          </w:rPr>
          <w:t>(IPCC AR5)</w:t>
        </w:r>
      </w:hyperlink>
      <w:r w:rsidR="00236DFE" w:rsidRPr="00B275E2">
        <w:t>,</w:t>
      </w:r>
      <w:r w:rsidR="00A64DB0" w:rsidRPr="00B275E2">
        <w:t xml:space="preserve"> in </w:t>
      </w:r>
      <w:r w:rsidR="005F412E" w:rsidRPr="00B275E2">
        <w:t xml:space="preserve">line with the UNFCCC, to which </w:t>
      </w:r>
      <w:r w:rsidR="004A1AA3" w:rsidRPr="00B275E2">
        <w:t xml:space="preserve">we submit </w:t>
      </w:r>
      <w:r w:rsidR="00F542B2" w:rsidRPr="00B275E2">
        <w:rPr>
          <w:rFonts w:eastAsia="Times New Roman" w:cs="Times New Roman"/>
          <w:i/>
        </w:rPr>
        <w:t>New Zealand’s Greenhouse Gas Inventory</w:t>
      </w:r>
      <w:r w:rsidR="005F412E" w:rsidRPr="00B275E2">
        <w:t xml:space="preserve">. </w:t>
      </w:r>
    </w:p>
    <w:p w14:paraId="5F08E352" w14:textId="483BE554" w:rsidR="00FB5FC4" w:rsidRPr="00B275E2" w:rsidRDefault="001E5DE0" w:rsidP="007F0B1E">
      <w:pPr>
        <w:pStyle w:val="BodyText"/>
      </w:pPr>
      <w:r w:rsidRPr="00B275E2">
        <w:t>W</w:t>
      </w:r>
      <w:r w:rsidR="00E64203" w:rsidRPr="00B275E2">
        <w:t xml:space="preserve">here </w:t>
      </w:r>
      <w:r w:rsidR="008C6FCD" w:rsidRPr="00B275E2">
        <w:t>IPCC</w:t>
      </w:r>
      <w:r w:rsidR="00D21330" w:rsidRPr="00B275E2">
        <w:t> </w:t>
      </w:r>
      <w:r w:rsidR="00AA0EDE" w:rsidRPr="00B275E2">
        <w:t xml:space="preserve">AR4 </w:t>
      </w:r>
      <w:r w:rsidR="008037F3" w:rsidRPr="00B275E2">
        <w:t>GWPs are available thes</w:t>
      </w:r>
      <w:r w:rsidR="00BA413D" w:rsidRPr="00B275E2">
        <w:t>e are</w:t>
      </w:r>
      <w:r w:rsidR="008037F3" w:rsidRPr="00B275E2">
        <w:t xml:space="preserve"> </w:t>
      </w:r>
      <w:r w:rsidR="000C3D13" w:rsidRPr="00B275E2">
        <w:t>used</w:t>
      </w:r>
      <w:r w:rsidR="00A96BD6" w:rsidRPr="00B275E2">
        <w:t>;</w:t>
      </w:r>
      <w:r w:rsidR="000C3D13" w:rsidRPr="00B275E2">
        <w:t xml:space="preserve"> where they are not available </w:t>
      </w:r>
      <w:r w:rsidR="0035544D" w:rsidRPr="00B275E2">
        <w:t>IPCC AR</w:t>
      </w:r>
      <w:r w:rsidR="00BF27EB" w:rsidRPr="00B275E2">
        <w:t>5</w:t>
      </w:r>
      <w:r w:rsidR="0035544D" w:rsidRPr="00B275E2">
        <w:t xml:space="preserve"> GWPs are</w:t>
      </w:r>
      <w:r w:rsidR="00D21330" w:rsidRPr="00B275E2">
        <w:t> </w:t>
      </w:r>
      <w:r w:rsidR="0035544D" w:rsidRPr="00B275E2">
        <w:t>used instead.</w:t>
      </w:r>
      <w:r w:rsidR="007954CE" w:rsidRPr="00B275E2">
        <w:t xml:space="preserve"> In the next version of this guidance, </w:t>
      </w:r>
      <w:r w:rsidR="0023181A" w:rsidRPr="00B275E2">
        <w:t xml:space="preserve">GWP values </w:t>
      </w:r>
      <w:r w:rsidR="00DE5C88" w:rsidRPr="00B275E2">
        <w:t xml:space="preserve">from </w:t>
      </w:r>
      <w:r w:rsidR="0023181A" w:rsidRPr="00B275E2">
        <w:t>only IPCC AR5</w:t>
      </w:r>
      <w:r w:rsidR="00E81B34" w:rsidRPr="00B275E2">
        <w:t> </w:t>
      </w:r>
      <w:r w:rsidR="00DE5C88" w:rsidRPr="00B275E2">
        <w:t xml:space="preserve">will be included. This is to reflect the transition from the </w:t>
      </w:r>
      <w:r w:rsidRPr="00B275E2">
        <w:t xml:space="preserve">Kyoto Protocol to the </w:t>
      </w:r>
      <w:r w:rsidR="00DE5C88" w:rsidRPr="00B275E2">
        <w:t>Paris Agreement reporting period</w:t>
      </w:r>
      <w:r w:rsidRPr="00B275E2">
        <w:t>s.</w:t>
      </w:r>
    </w:p>
    <w:p w14:paraId="1473BB75" w14:textId="70A23949" w:rsidR="005C0D7A" w:rsidRPr="00B275E2" w:rsidRDefault="005C0D7A" w:rsidP="00C24B73">
      <w:pPr>
        <w:pStyle w:val="Heading2"/>
        <w:numPr>
          <w:ilvl w:val="0"/>
          <w:numId w:val="21"/>
        </w:numPr>
      </w:pPr>
      <w:bookmarkStart w:id="196" w:name="_Refrigerant_use"/>
      <w:bookmarkStart w:id="197" w:name="_Toc529960696"/>
      <w:bookmarkStart w:id="198" w:name="_Toc532904874"/>
      <w:bookmarkStart w:id="199" w:name="_Toc600574"/>
      <w:bookmarkStart w:id="200" w:name="_Hlk532202197"/>
      <w:bookmarkStart w:id="201" w:name="_Toc111536780"/>
      <w:bookmarkEnd w:id="196"/>
      <w:r w:rsidRPr="00B275E2">
        <w:t>Refrigerant</w:t>
      </w:r>
      <w:r w:rsidR="00717FDD" w:rsidRPr="00B275E2">
        <w:t xml:space="preserve"> </w:t>
      </w:r>
      <w:bookmarkEnd w:id="197"/>
      <w:r w:rsidR="00717FDD" w:rsidRPr="00B275E2">
        <w:t>use</w:t>
      </w:r>
      <w:bookmarkEnd w:id="198"/>
      <w:bookmarkEnd w:id="199"/>
      <w:bookmarkEnd w:id="201"/>
    </w:p>
    <w:p w14:paraId="3F9B2970" w14:textId="16946835" w:rsidR="00124714" w:rsidRPr="00B275E2" w:rsidRDefault="005F412E" w:rsidP="007F0B1E">
      <w:pPr>
        <w:pStyle w:val="BodyText"/>
      </w:pPr>
      <w:bookmarkStart w:id="202" w:name="_Hlk532891937"/>
      <w:bookmarkStart w:id="203" w:name="_Hlk532201857"/>
      <w:bookmarkEnd w:id="200"/>
      <w:r w:rsidRPr="00B275E2">
        <w:t>GHG emi</w:t>
      </w:r>
      <w:r w:rsidR="00695576" w:rsidRPr="00B275E2">
        <w:t>ssions from HFCs</w:t>
      </w:r>
      <w:r w:rsidRPr="00B275E2">
        <w:t xml:space="preserve"> are associated with unintentional leaks and spills from refrigeration units, air conditioners and heat pumps. </w:t>
      </w:r>
      <w:r w:rsidR="00124714" w:rsidRPr="00B275E2">
        <w:t>Q</w:t>
      </w:r>
      <w:r w:rsidRPr="00B275E2">
        <w:t>uantities of HFCs in a</w:t>
      </w:r>
      <w:r w:rsidR="00301928" w:rsidRPr="00B275E2">
        <w:t xml:space="preserve"> GHG</w:t>
      </w:r>
      <w:r w:rsidRPr="00B275E2">
        <w:t xml:space="preserve"> inventory may be small, </w:t>
      </w:r>
      <w:r w:rsidR="00124714" w:rsidRPr="00B275E2">
        <w:t xml:space="preserve">but </w:t>
      </w:r>
      <w:r w:rsidRPr="00B275E2">
        <w:t xml:space="preserve">HFCs have very high </w:t>
      </w:r>
      <w:r w:rsidR="00124714" w:rsidRPr="00B275E2">
        <w:t>GWPs</w:t>
      </w:r>
      <w:r w:rsidR="0097078D" w:rsidRPr="00B275E2">
        <w:t xml:space="preserve"> </w:t>
      </w:r>
      <w:r w:rsidR="00376F35" w:rsidRPr="00B275E2">
        <w:t>s</w:t>
      </w:r>
      <w:r w:rsidR="00124714" w:rsidRPr="00B275E2">
        <w:t>o</w:t>
      </w:r>
      <w:r w:rsidRPr="00B275E2">
        <w:t xml:space="preserve"> emissions from this source may be material. </w:t>
      </w:r>
      <w:bookmarkEnd w:id="202"/>
      <w:r w:rsidR="00236DFE" w:rsidRPr="00B275E2">
        <w:t>Also</w:t>
      </w:r>
      <w:r w:rsidR="00124714" w:rsidRPr="00B275E2">
        <w:t>, e</w:t>
      </w:r>
      <w:r w:rsidRPr="00B275E2">
        <w:t xml:space="preserve">missions associated with this sector have grown significantly as they replace </w:t>
      </w:r>
      <w:r w:rsidR="006E16F4" w:rsidRPr="00B275E2">
        <w:t xml:space="preserve">ozone depleting chemical such as </w:t>
      </w:r>
      <w:r w:rsidR="00695576" w:rsidRPr="00B275E2">
        <w:t>CFCs</w:t>
      </w:r>
      <w:r w:rsidRPr="00B275E2">
        <w:t xml:space="preserve"> and </w:t>
      </w:r>
      <w:r w:rsidR="00695576" w:rsidRPr="00B275E2">
        <w:t>HCFCs</w:t>
      </w:r>
      <w:r w:rsidRPr="00B275E2">
        <w:t xml:space="preserve">. </w:t>
      </w:r>
    </w:p>
    <w:p w14:paraId="4E4C8D46" w14:textId="1CADEA83" w:rsidR="005F412E" w:rsidRPr="00B275E2" w:rsidRDefault="005F412E" w:rsidP="007F0B1E">
      <w:pPr>
        <w:pStyle w:val="BodyText"/>
        <w:rPr>
          <w:spacing w:val="-2"/>
        </w:rPr>
      </w:pPr>
      <w:r w:rsidRPr="00B275E2">
        <w:rPr>
          <w:spacing w:val="-2"/>
        </w:rPr>
        <w:t>The list of refrigerant gases is continuously evolving with technology and scientific knowledge</w:t>
      </w:r>
      <w:r w:rsidR="00124714" w:rsidRPr="00B275E2">
        <w:rPr>
          <w:spacing w:val="-2"/>
        </w:rPr>
        <w:t>.</w:t>
      </w:r>
      <w:r w:rsidRPr="00B275E2">
        <w:rPr>
          <w:spacing w:val="-2"/>
        </w:rPr>
        <w:t xml:space="preserve"> </w:t>
      </w:r>
      <w:r w:rsidR="00754921" w:rsidRPr="00B275E2">
        <w:rPr>
          <w:spacing w:val="-2"/>
        </w:rPr>
        <w:t>Be</w:t>
      </w:r>
      <w:r w:rsidR="00D21330" w:rsidRPr="00B275E2">
        <w:rPr>
          <w:spacing w:val="-2"/>
        </w:rPr>
        <w:t> </w:t>
      </w:r>
      <w:r w:rsidR="00754921" w:rsidRPr="00B275E2">
        <w:rPr>
          <w:spacing w:val="-2"/>
        </w:rPr>
        <w:t>aware that i</w:t>
      </w:r>
      <w:r w:rsidRPr="00B275E2">
        <w:rPr>
          <w:spacing w:val="-2"/>
        </w:rPr>
        <w:t>f a known gas is not listed in this guide</w:t>
      </w:r>
      <w:r w:rsidR="00754921" w:rsidRPr="00B275E2">
        <w:rPr>
          <w:spacing w:val="-2"/>
        </w:rPr>
        <w:t>,</w:t>
      </w:r>
      <w:r w:rsidRPr="00B275E2">
        <w:rPr>
          <w:spacing w:val="-2"/>
        </w:rPr>
        <w:t xml:space="preserve"> </w:t>
      </w:r>
      <w:r w:rsidR="00754921" w:rsidRPr="00B275E2">
        <w:rPr>
          <w:spacing w:val="-2"/>
        </w:rPr>
        <w:t>it</w:t>
      </w:r>
      <w:r w:rsidRPr="00B275E2">
        <w:rPr>
          <w:spacing w:val="-2"/>
        </w:rPr>
        <w:t xml:space="preserve"> does not imply there is no impact.</w:t>
      </w:r>
    </w:p>
    <w:p w14:paraId="77470B0F" w14:textId="1B349985" w:rsidR="00DF72C7" w:rsidRPr="00B275E2" w:rsidRDefault="005F412E" w:rsidP="007F0B1E">
      <w:pPr>
        <w:pStyle w:val="BodyText"/>
      </w:pPr>
      <w:r w:rsidRPr="00B275E2">
        <w:t xml:space="preserve">Emissions </w:t>
      </w:r>
      <w:r w:rsidR="00124714" w:rsidRPr="00B275E2">
        <w:t>from</w:t>
      </w:r>
      <w:r w:rsidRPr="00B275E2">
        <w:t xml:space="preserve"> HFCs are determined by estimating refrigerant equipment </w:t>
      </w:r>
      <w:r w:rsidR="00124714" w:rsidRPr="00B275E2">
        <w:t xml:space="preserve">leakage </w:t>
      </w:r>
      <w:r w:rsidRPr="00B275E2">
        <w:t xml:space="preserve">and multiplying the </w:t>
      </w:r>
      <w:r w:rsidR="00124714" w:rsidRPr="00B275E2">
        <w:t xml:space="preserve">leaked </w:t>
      </w:r>
      <w:r w:rsidRPr="00B275E2">
        <w:t xml:space="preserve">amount by the </w:t>
      </w:r>
      <w:r w:rsidR="00124714" w:rsidRPr="00B275E2">
        <w:t>GWP</w:t>
      </w:r>
      <w:r w:rsidRPr="00B275E2">
        <w:t xml:space="preserve"> of th</w:t>
      </w:r>
      <w:r w:rsidR="00005441" w:rsidRPr="00B275E2">
        <w:t>at</w:t>
      </w:r>
      <w:r w:rsidRPr="00B275E2">
        <w:t xml:space="preserve"> refrigerant. </w:t>
      </w:r>
      <w:r w:rsidR="00005441" w:rsidRPr="00B275E2">
        <w:t>There are three methods depending on the data available</w:t>
      </w:r>
      <w:r w:rsidR="00236DFE" w:rsidRPr="00B275E2">
        <w:t xml:space="preserve"> – see </w:t>
      </w:r>
      <w:hyperlink w:anchor="_Refrigerant_use" w:history="1">
        <w:r w:rsidR="00236DFE" w:rsidRPr="00B275E2">
          <w:rPr>
            <w:rStyle w:val="Hyperlink"/>
          </w:rPr>
          <w:t>s</w:t>
        </w:r>
        <w:r w:rsidR="00B90DBD" w:rsidRPr="00B275E2">
          <w:rPr>
            <w:rStyle w:val="Hyperlink"/>
          </w:rPr>
          <w:t>ection</w:t>
        </w:r>
        <w:r w:rsidR="008C5B2D" w:rsidRPr="00B275E2">
          <w:rPr>
            <w:rStyle w:val="Hyperlink"/>
          </w:rPr>
          <w:t xml:space="preserve"> 4.2.2</w:t>
        </w:r>
      </w:hyperlink>
      <w:r w:rsidR="00B90DBD" w:rsidRPr="00B275E2">
        <w:t>.</w:t>
      </w:r>
    </w:p>
    <w:p w14:paraId="2A060BAF" w14:textId="7261A024" w:rsidR="00B90DBD" w:rsidRPr="00B275E2" w:rsidRDefault="00B90DBD" w:rsidP="007F0B1E">
      <w:pPr>
        <w:pStyle w:val="BodyText"/>
      </w:pPr>
      <w:bookmarkStart w:id="204" w:name="_Hlk532892118"/>
      <w:bookmarkEnd w:id="203"/>
      <w:r w:rsidRPr="00B275E2">
        <w:t xml:space="preserve">If you consider it likely that emissions from refrigerant equipment and leakage </w:t>
      </w:r>
      <w:r w:rsidR="00BB436A" w:rsidRPr="00B275E2">
        <w:t xml:space="preserve">are </w:t>
      </w:r>
      <w:r w:rsidRPr="00B275E2">
        <w:t xml:space="preserve">a significant proportion of your total emissions (ie, greater than </w:t>
      </w:r>
      <w:r w:rsidR="00DA46BB" w:rsidRPr="00B275E2">
        <w:t xml:space="preserve">5 </w:t>
      </w:r>
      <w:r w:rsidRPr="00B275E2">
        <w:t xml:space="preserve">per cent), include them in your </w:t>
      </w:r>
      <w:r w:rsidR="00301928" w:rsidRPr="00B275E2">
        <w:t>GHG</w:t>
      </w:r>
      <w:r w:rsidR="00BA1DBF" w:rsidRPr="00B275E2">
        <w:t xml:space="preserve"> </w:t>
      </w:r>
      <w:r w:rsidRPr="00B275E2">
        <w:t xml:space="preserve">inventory. You may need to carry out a preliminary screening test to determine if this is a material source. </w:t>
      </w:r>
    </w:p>
    <w:p w14:paraId="580FFA62" w14:textId="43EA3B34" w:rsidR="00B90DBD" w:rsidRPr="00B275E2" w:rsidRDefault="00754921" w:rsidP="007F0B1E">
      <w:pPr>
        <w:pStyle w:val="BodyText"/>
      </w:pPr>
      <w:r w:rsidRPr="00B275E2">
        <w:t xml:space="preserve">If the reporting organisation owns or controls the refrigeration units, emissions from refrigeration are </w:t>
      </w:r>
      <w:r w:rsidR="004A1AA3" w:rsidRPr="00B275E2">
        <w:t>d</w:t>
      </w:r>
      <w:r w:rsidR="00B90DBD" w:rsidRPr="00B275E2">
        <w:t>irect (Scope 1). If the</w:t>
      </w:r>
      <w:r w:rsidR="004A1AA3" w:rsidRPr="00B275E2">
        <w:t xml:space="preserve"> organisation leases the</w:t>
      </w:r>
      <w:r w:rsidR="00B90DBD" w:rsidRPr="00B275E2">
        <w:t xml:space="preserve"> unit, associated emissions should</w:t>
      </w:r>
      <w:r w:rsidR="00D21330" w:rsidRPr="00B275E2">
        <w:t> </w:t>
      </w:r>
      <w:r w:rsidR="00B90DBD" w:rsidRPr="00B275E2">
        <w:t>be reported under indirect (Scope 3) emissions.</w:t>
      </w:r>
    </w:p>
    <w:p w14:paraId="5572A1D0" w14:textId="77268642" w:rsidR="005C0D7A" w:rsidRPr="00B275E2" w:rsidRDefault="005C0D7A" w:rsidP="006B7605">
      <w:pPr>
        <w:pStyle w:val="Heading3"/>
      </w:pPr>
      <w:bookmarkStart w:id="205" w:name="_Toc532904875"/>
      <w:bookmarkEnd w:id="204"/>
      <w:r w:rsidRPr="00B275E2">
        <w:lastRenderedPageBreak/>
        <w:t xml:space="preserve">Global </w:t>
      </w:r>
      <w:r w:rsidR="001A3AD9" w:rsidRPr="00B275E2">
        <w:t>w</w:t>
      </w:r>
      <w:r w:rsidRPr="00B275E2">
        <w:t xml:space="preserve">arming </w:t>
      </w:r>
      <w:r w:rsidR="001A3AD9" w:rsidRPr="00B275E2">
        <w:t>p</w:t>
      </w:r>
      <w:r w:rsidRPr="00B275E2">
        <w:t xml:space="preserve">otentials (GWPs) of </w:t>
      </w:r>
      <w:r w:rsidR="00E11C2C" w:rsidRPr="00B275E2">
        <w:t>refrigerants</w:t>
      </w:r>
      <w:bookmarkEnd w:id="205"/>
      <w:r w:rsidRPr="00B275E2">
        <w:t xml:space="preserve"> </w:t>
      </w:r>
    </w:p>
    <w:p w14:paraId="0B7EB50A" w14:textId="2A1362D0" w:rsidR="00E11C2C" w:rsidRPr="00B275E2" w:rsidRDefault="00954B9C" w:rsidP="00385F4E">
      <w:pPr>
        <w:pStyle w:val="BodyText"/>
        <w:keepLines/>
      </w:pPr>
      <w:hyperlink w:anchor="table7" w:history="1">
        <w:r w:rsidR="009F7BE6" w:rsidRPr="00B275E2">
          <w:rPr>
            <w:rStyle w:val="Hyperlink"/>
          </w:rPr>
          <w:t>Table 7</w:t>
        </w:r>
      </w:hyperlink>
      <w:r w:rsidR="009F7BE6" w:rsidRPr="00B275E2">
        <w:t xml:space="preserve"> d</w:t>
      </w:r>
      <w:r w:rsidR="005C0D7A" w:rsidRPr="00B275E2">
        <w:t xml:space="preserve">etails the </w:t>
      </w:r>
      <w:r w:rsidR="00E11C2C" w:rsidRPr="00B275E2">
        <w:t>GWPs</w:t>
      </w:r>
      <w:r w:rsidR="005C0D7A" w:rsidRPr="00B275E2">
        <w:t xml:space="preserve"> of the </w:t>
      </w:r>
      <w:r w:rsidR="00E11C2C" w:rsidRPr="00B275E2">
        <w:t xml:space="preserve">refrigerants </w:t>
      </w:r>
      <w:r w:rsidR="005C0D7A" w:rsidRPr="00B275E2">
        <w:t xml:space="preserve">included in this chapter. The </w:t>
      </w:r>
      <w:r w:rsidR="00E11C2C" w:rsidRPr="00B275E2">
        <w:t>GWP</w:t>
      </w:r>
      <w:r w:rsidR="005C0D7A" w:rsidRPr="00B275E2">
        <w:t xml:space="preserve"> is </w:t>
      </w:r>
      <w:r w:rsidR="00540BD6" w:rsidRPr="00B275E2">
        <w:t xml:space="preserve">effectively </w:t>
      </w:r>
      <w:r w:rsidR="005C0D7A" w:rsidRPr="00B275E2">
        <w:t>the</w:t>
      </w:r>
      <w:r w:rsidR="00A111FA" w:rsidRPr="00B275E2">
        <w:t> </w:t>
      </w:r>
      <w:r w:rsidR="005C0D7A" w:rsidRPr="00B275E2">
        <w:t xml:space="preserve">emission factor for </w:t>
      </w:r>
      <w:r w:rsidR="00540BD6" w:rsidRPr="00B275E2">
        <w:t xml:space="preserve">each unit of </w:t>
      </w:r>
      <w:r w:rsidR="005C0D7A" w:rsidRPr="00B275E2">
        <w:t>refrigerant gas</w:t>
      </w:r>
      <w:r w:rsidR="00540BD6" w:rsidRPr="00B275E2">
        <w:t xml:space="preserve"> lost to the atmosphere</w:t>
      </w:r>
      <w:r w:rsidR="005C0D7A" w:rsidRPr="00B275E2">
        <w:t>.</w:t>
      </w:r>
      <w:r w:rsidR="00717FDD" w:rsidRPr="00B275E2">
        <w:t xml:space="preserve"> </w:t>
      </w:r>
      <w:r w:rsidR="00E11C2C" w:rsidRPr="00B275E2">
        <w:t>The guide uses the</w:t>
      </w:r>
      <w:r w:rsidR="00A111FA" w:rsidRPr="00B275E2">
        <w:t> </w:t>
      </w:r>
      <w:r w:rsidR="007D2D95" w:rsidRPr="00B275E2">
        <w:t>100</w:t>
      </w:r>
      <w:r w:rsidR="00D672DE" w:rsidRPr="00B275E2">
        <w:noBreakHyphen/>
        <w:t xml:space="preserve">year </w:t>
      </w:r>
      <w:r w:rsidR="003B0498" w:rsidRPr="00B275E2">
        <w:t>GWPs from the IPCC’s Fourth Assessment Report</w:t>
      </w:r>
      <w:r w:rsidR="00E11C2C" w:rsidRPr="00B275E2">
        <w:rPr>
          <w:rStyle w:val="FootnoteReference"/>
          <w:rFonts w:asciiTheme="minorHAnsi" w:hAnsiTheme="minorHAnsi"/>
        </w:rPr>
        <w:footnoteReference w:id="27"/>
      </w:r>
      <w:r w:rsidR="00E11C2C" w:rsidRPr="00B275E2">
        <w:t xml:space="preserve"> to ensure consistency with the </w:t>
      </w:r>
      <w:r w:rsidR="002579BC" w:rsidRPr="00B275E2">
        <w:rPr>
          <w:rFonts w:eastAsia="Times New Roman"/>
          <w:i/>
          <w:iCs/>
        </w:rPr>
        <w:t>New Zealand Greenhouse Gas Inventory 1990</w:t>
      </w:r>
      <w:r w:rsidR="001847AE" w:rsidRPr="00B275E2">
        <w:rPr>
          <w:rFonts w:eastAsia="Times New Roman"/>
          <w:i/>
          <w:iCs/>
        </w:rPr>
        <w:t>–</w:t>
      </w:r>
      <w:r w:rsidR="002579BC" w:rsidRPr="00B275E2">
        <w:rPr>
          <w:rFonts w:eastAsia="Times New Roman"/>
          <w:i/>
          <w:iCs/>
        </w:rPr>
        <w:t>2020</w:t>
      </w:r>
      <w:r w:rsidR="00E11C2C" w:rsidRPr="00B275E2">
        <w:t xml:space="preserve">. </w:t>
      </w:r>
    </w:p>
    <w:p w14:paraId="29B69B94" w14:textId="4CC5A2AC" w:rsidR="005C0D7A" w:rsidRPr="00B275E2" w:rsidRDefault="00E11C2C" w:rsidP="007F0B1E">
      <w:pPr>
        <w:pStyle w:val="BodyText"/>
        <w:keepLines/>
      </w:pPr>
      <w:r w:rsidRPr="00B275E2">
        <w:t>S</w:t>
      </w:r>
      <w:r w:rsidR="00540BD6" w:rsidRPr="00B275E2">
        <w:t xml:space="preserve">ome refrigerants </w:t>
      </w:r>
      <w:r w:rsidR="00566FB0" w:rsidRPr="00B275E2">
        <w:t>are</w:t>
      </w:r>
      <w:r w:rsidR="00540BD6" w:rsidRPr="00B275E2">
        <w:t xml:space="preserve"> </w:t>
      </w:r>
      <w:r w:rsidRPr="00B275E2">
        <w:t xml:space="preserve">a </w:t>
      </w:r>
      <w:r w:rsidR="00540BD6" w:rsidRPr="00B275E2">
        <w:t>mixture (or blend) of gases. If</w:t>
      </w:r>
      <w:r w:rsidR="00754921" w:rsidRPr="00B275E2">
        <w:t xml:space="preserve"> </w:t>
      </w:r>
      <w:r w:rsidR="001A3AD9" w:rsidRPr="00B275E2">
        <w:t xml:space="preserve">you </w:t>
      </w:r>
      <w:r w:rsidR="00754921" w:rsidRPr="00B275E2">
        <w:t>know</w:t>
      </w:r>
      <w:r w:rsidR="00540BD6" w:rsidRPr="00B275E2">
        <w:t xml:space="preserve"> the blend </w:t>
      </w:r>
      <w:r w:rsidR="00754921" w:rsidRPr="00B275E2">
        <w:t>composition,</w:t>
      </w:r>
      <w:r w:rsidR="00540BD6" w:rsidRPr="00B275E2">
        <w:t xml:space="preserve"> </w:t>
      </w:r>
      <w:r w:rsidR="001A3AD9" w:rsidRPr="00B275E2">
        <w:t>you</w:t>
      </w:r>
      <w:r w:rsidR="004A1AA3" w:rsidRPr="00B275E2">
        <w:t xml:space="preserve"> can calculate the</w:t>
      </w:r>
      <w:r w:rsidR="00540BD6" w:rsidRPr="00B275E2">
        <w:t xml:space="preserve"> GWP based on the percentage of each gas</w:t>
      </w:r>
      <w:r w:rsidR="009076C9" w:rsidRPr="00B275E2">
        <w:t xml:space="preserve">. </w:t>
      </w:r>
      <w:r w:rsidR="005B1AFB" w:rsidRPr="00B275E2">
        <w:t>Alternatively,</w:t>
      </w:r>
      <w:r w:rsidR="00540BD6" w:rsidRPr="00B275E2">
        <w:t xml:space="preserve"> f</w:t>
      </w:r>
      <w:r w:rsidR="00DC011F" w:rsidRPr="00B275E2">
        <w:t xml:space="preserve">or the </w:t>
      </w:r>
      <w:r w:rsidR="00D079A9" w:rsidRPr="00B275E2">
        <w:t xml:space="preserve">AR4 </w:t>
      </w:r>
      <w:r w:rsidR="00DC011F" w:rsidRPr="00B275E2">
        <w:t>GWP of var</w:t>
      </w:r>
      <w:r w:rsidR="008A1A01" w:rsidRPr="00B275E2">
        <w:t>ious refrigerant mixtures</w:t>
      </w:r>
      <w:r w:rsidR="001A3AD9" w:rsidRPr="00B275E2">
        <w:t>,</w:t>
      </w:r>
      <w:r w:rsidR="008A1A01" w:rsidRPr="00B275E2">
        <w:t xml:space="preserve">  see </w:t>
      </w:r>
      <w:hyperlink w:anchor="tableb2" w:history="1">
        <w:r w:rsidR="00D92FFC" w:rsidRPr="00B275E2">
          <w:rPr>
            <w:rStyle w:val="Hyperlink"/>
          </w:rPr>
          <w:t>table B2</w:t>
        </w:r>
      </w:hyperlink>
      <w:r w:rsidR="00070A60" w:rsidRPr="00B275E2">
        <w:t xml:space="preserve"> </w:t>
      </w:r>
      <w:r w:rsidR="008A1A01" w:rsidRPr="00B275E2">
        <w:t xml:space="preserve">in </w:t>
      </w:r>
      <w:hyperlink w:anchor="_Appendix_B:_Alternative" w:history="1">
        <w:r w:rsidR="00D213DC" w:rsidRPr="00B275E2">
          <w:rPr>
            <w:rStyle w:val="Hyperlink"/>
          </w:rPr>
          <w:t>Appendix B: Alternative methods of calculating emissions from refrigerants</w:t>
        </w:r>
      </w:hyperlink>
      <w:r w:rsidR="008A1A01" w:rsidRPr="00B275E2">
        <w:t>.</w:t>
      </w:r>
      <w:r w:rsidR="00D079A9" w:rsidRPr="00B275E2">
        <w:t xml:space="preserve"> For the AR5 GWP values, refer to </w:t>
      </w:r>
      <w:hyperlink r:id="rId69" w:history="1">
        <w:r w:rsidR="000B447B" w:rsidRPr="00B275E2">
          <w:rPr>
            <w:rStyle w:val="Hyperlink"/>
          </w:rPr>
          <w:t>Appendix 8.A in</w:t>
        </w:r>
        <w:r w:rsidR="0054210E" w:rsidRPr="00B275E2">
          <w:rPr>
            <w:rStyle w:val="Hyperlink"/>
          </w:rPr>
          <w:t xml:space="preserve"> Chapter 8: Anthropogenic and Natural Radiative Forcing</w:t>
        </w:r>
      </w:hyperlink>
      <w:r w:rsidR="0054210E" w:rsidRPr="00B275E2">
        <w:t xml:space="preserve"> of the Fifth IPCC Assessment Report.</w:t>
      </w:r>
    </w:p>
    <w:p w14:paraId="5D7B4FA3" w14:textId="405FE687" w:rsidR="005C0D7A" w:rsidRPr="00B275E2" w:rsidRDefault="005C0D7A" w:rsidP="00385F4E">
      <w:pPr>
        <w:pStyle w:val="Tableheading"/>
      </w:pPr>
      <w:bookmarkStart w:id="206" w:name="_Ref532369489"/>
      <w:bookmarkStart w:id="207" w:name="table7"/>
      <w:bookmarkStart w:id="208" w:name="_Ref532369341"/>
      <w:bookmarkStart w:id="209" w:name="_Toc111536612"/>
      <w:r w:rsidRPr="00B275E2">
        <w:t xml:space="preserve">Table </w:t>
      </w:r>
      <w:r w:rsidRPr="00B275E2">
        <w:fldChar w:fldCharType="begin"/>
      </w:r>
      <w:r w:rsidRPr="00B275E2">
        <w:instrText>SEQ Table \* ARABIC</w:instrText>
      </w:r>
      <w:r w:rsidRPr="00B275E2">
        <w:fldChar w:fldCharType="separate"/>
      </w:r>
      <w:r w:rsidR="003E141C" w:rsidRPr="00B275E2">
        <w:t>7</w:t>
      </w:r>
      <w:r w:rsidRPr="00B275E2">
        <w:fldChar w:fldCharType="end"/>
      </w:r>
      <w:bookmarkEnd w:id="206"/>
      <w:bookmarkEnd w:id="207"/>
      <w:r w:rsidRPr="00B275E2">
        <w:t>:</w:t>
      </w:r>
      <w:r w:rsidRPr="00B275E2">
        <w:tab/>
      </w:r>
      <w:r w:rsidR="00F64130" w:rsidRPr="00B275E2">
        <w:t>GWPs</w:t>
      </w:r>
      <w:r w:rsidR="005F412E" w:rsidRPr="00B275E2">
        <w:t xml:space="preserve"> of refrigerants</w:t>
      </w:r>
      <w:bookmarkEnd w:id="208"/>
      <w:bookmarkEnd w:id="209"/>
    </w:p>
    <w:tbl>
      <w:tblPr>
        <w:tblW w:w="8505" w:type="dxa"/>
        <w:tblBorders>
          <w:top w:val="single" w:sz="6" w:space="0" w:color="1B556B"/>
          <w:bottom w:val="single" w:sz="6" w:space="0" w:color="1B556B"/>
          <w:insideH w:val="single" w:sz="6" w:space="0" w:color="1B556B"/>
          <w:insideV w:val="single" w:sz="6" w:space="0" w:color="1B556B"/>
        </w:tblBorders>
        <w:tblCellMar>
          <w:left w:w="85" w:type="dxa"/>
          <w:right w:w="85" w:type="dxa"/>
        </w:tblCellMar>
        <w:tblLook w:val="04A0" w:firstRow="1" w:lastRow="0" w:firstColumn="1" w:lastColumn="0" w:noHBand="0" w:noVBand="1"/>
      </w:tblPr>
      <w:tblGrid>
        <w:gridCol w:w="3308"/>
        <w:gridCol w:w="2013"/>
        <w:gridCol w:w="696"/>
        <w:gridCol w:w="1247"/>
        <w:gridCol w:w="1241"/>
      </w:tblGrid>
      <w:tr w:rsidR="00FD06E4" w:rsidRPr="00B275E2" w14:paraId="71E1E1E1" w14:textId="77777777" w:rsidTr="00253FA5">
        <w:trPr>
          <w:tblHeader/>
        </w:trPr>
        <w:tc>
          <w:tcPr>
            <w:tcW w:w="3402" w:type="dxa"/>
            <w:shd w:val="clear" w:color="auto" w:fill="1B556B"/>
            <w:tcMar>
              <w:left w:w="85" w:type="dxa"/>
              <w:right w:w="85" w:type="dxa"/>
            </w:tcMar>
            <w:vAlign w:val="bottom"/>
            <w:hideMark/>
          </w:tcPr>
          <w:p w14:paraId="43ECA810" w14:textId="32A18034" w:rsidR="005E2556" w:rsidRPr="00B275E2" w:rsidRDefault="005E2556" w:rsidP="000E1F19">
            <w:pPr>
              <w:pStyle w:val="TableTextbold"/>
              <w:spacing w:before="40" w:after="40"/>
              <w:rPr>
                <w:rFonts w:cs="Calibri"/>
                <w:szCs w:val="18"/>
              </w:rPr>
            </w:pPr>
            <w:r w:rsidRPr="00B275E2">
              <w:rPr>
                <w:rFonts w:cs="Calibri"/>
                <w:szCs w:val="18"/>
              </w:rPr>
              <w:t>Industrial designation/</w:t>
            </w:r>
            <w:r w:rsidR="000E1F19" w:rsidRPr="00B275E2">
              <w:rPr>
                <w:rFonts w:cs="Calibri"/>
                <w:szCs w:val="18"/>
              </w:rPr>
              <w:t xml:space="preserve"> </w:t>
            </w:r>
            <w:r w:rsidRPr="00B275E2">
              <w:rPr>
                <w:rFonts w:cs="Calibri"/>
                <w:szCs w:val="18"/>
              </w:rPr>
              <w:t>common name </w:t>
            </w:r>
          </w:p>
        </w:tc>
        <w:tc>
          <w:tcPr>
            <w:tcW w:w="1843" w:type="dxa"/>
            <w:shd w:val="clear" w:color="auto" w:fill="1B556B"/>
            <w:tcMar>
              <w:left w:w="85" w:type="dxa"/>
              <w:right w:w="85" w:type="dxa"/>
            </w:tcMar>
            <w:vAlign w:val="bottom"/>
            <w:hideMark/>
          </w:tcPr>
          <w:p w14:paraId="68F83A03" w14:textId="32BE90D5" w:rsidR="005E2556" w:rsidRPr="00B275E2" w:rsidRDefault="005E2556" w:rsidP="00FD06E4">
            <w:pPr>
              <w:pStyle w:val="TableTextbold"/>
              <w:spacing w:before="40" w:after="40"/>
              <w:rPr>
                <w:rFonts w:cs="Calibri"/>
                <w:szCs w:val="18"/>
              </w:rPr>
            </w:pPr>
            <w:r w:rsidRPr="00B275E2">
              <w:rPr>
                <w:rFonts w:cs="Calibri"/>
                <w:szCs w:val="18"/>
              </w:rPr>
              <w:t>Chemical formula</w:t>
            </w:r>
          </w:p>
        </w:tc>
        <w:tc>
          <w:tcPr>
            <w:tcW w:w="709" w:type="dxa"/>
            <w:shd w:val="clear" w:color="auto" w:fill="1B556B"/>
            <w:tcMar>
              <w:left w:w="85" w:type="dxa"/>
              <w:right w:w="85" w:type="dxa"/>
            </w:tcMar>
            <w:vAlign w:val="bottom"/>
            <w:hideMark/>
          </w:tcPr>
          <w:p w14:paraId="15D67AE1" w14:textId="53C71D16" w:rsidR="005E2556" w:rsidRPr="00B275E2" w:rsidRDefault="005E2556" w:rsidP="00E627FC">
            <w:pPr>
              <w:pStyle w:val="TableTextbold"/>
              <w:spacing w:before="40" w:after="40"/>
              <w:jc w:val="center"/>
              <w:rPr>
                <w:rFonts w:cs="Calibri"/>
                <w:szCs w:val="18"/>
              </w:rPr>
            </w:pPr>
            <w:r w:rsidRPr="00B275E2">
              <w:rPr>
                <w:rFonts w:cs="Calibri"/>
                <w:szCs w:val="18"/>
              </w:rPr>
              <w:t>Unit</w:t>
            </w:r>
          </w:p>
        </w:tc>
        <w:tc>
          <w:tcPr>
            <w:tcW w:w="1276" w:type="dxa"/>
            <w:shd w:val="clear" w:color="auto" w:fill="1B556B"/>
            <w:tcMar>
              <w:left w:w="85" w:type="dxa"/>
              <w:right w:w="85" w:type="dxa"/>
            </w:tcMar>
            <w:vAlign w:val="bottom"/>
            <w:hideMark/>
          </w:tcPr>
          <w:p w14:paraId="6034D1E5" w14:textId="1681294D" w:rsidR="005E2556" w:rsidRPr="00B275E2" w:rsidRDefault="005E2556" w:rsidP="00E627FC">
            <w:pPr>
              <w:pStyle w:val="TableTextbold"/>
              <w:spacing w:before="40" w:after="40"/>
              <w:jc w:val="center"/>
              <w:rPr>
                <w:rFonts w:cs="Calibri"/>
                <w:szCs w:val="18"/>
              </w:rPr>
            </w:pPr>
            <w:r w:rsidRPr="00B275E2">
              <w:rPr>
                <w:rFonts w:cs="Calibri"/>
                <w:szCs w:val="18"/>
              </w:rPr>
              <w:t>AR4 GWP</w:t>
            </w:r>
            <w:r w:rsidRPr="00B275E2">
              <w:rPr>
                <w:rFonts w:cs="Calibri"/>
                <w:szCs w:val="18"/>
                <w:vertAlign w:val="subscript"/>
              </w:rPr>
              <w:t>100</w:t>
            </w:r>
          </w:p>
        </w:tc>
        <w:tc>
          <w:tcPr>
            <w:tcW w:w="1275" w:type="dxa"/>
            <w:shd w:val="clear" w:color="auto" w:fill="1B556B"/>
            <w:tcMar>
              <w:left w:w="85" w:type="dxa"/>
              <w:right w:w="85" w:type="dxa"/>
            </w:tcMar>
            <w:vAlign w:val="bottom"/>
            <w:hideMark/>
          </w:tcPr>
          <w:p w14:paraId="656514F5" w14:textId="741A255E" w:rsidR="005E2556" w:rsidRPr="00B275E2" w:rsidRDefault="005E2556" w:rsidP="00E627FC">
            <w:pPr>
              <w:pStyle w:val="TableTextbold"/>
              <w:spacing w:before="40" w:after="40"/>
              <w:jc w:val="center"/>
              <w:rPr>
                <w:rFonts w:cs="Calibri"/>
                <w:szCs w:val="18"/>
              </w:rPr>
            </w:pPr>
            <w:r w:rsidRPr="00B275E2">
              <w:rPr>
                <w:rFonts w:cs="Calibri"/>
                <w:szCs w:val="18"/>
              </w:rPr>
              <w:t>AR5 GWP</w:t>
            </w:r>
            <w:r w:rsidRPr="00B275E2">
              <w:rPr>
                <w:rFonts w:cs="Calibri"/>
                <w:szCs w:val="18"/>
                <w:vertAlign w:val="subscript"/>
              </w:rPr>
              <w:t>100</w:t>
            </w:r>
          </w:p>
        </w:tc>
      </w:tr>
      <w:tr w:rsidR="005E2556" w:rsidRPr="00B275E2" w14:paraId="49C5A71A" w14:textId="77777777" w:rsidTr="00253FA5">
        <w:tc>
          <w:tcPr>
            <w:tcW w:w="7230" w:type="dxa"/>
            <w:gridSpan w:val="4"/>
            <w:shd w:val="clear" w:color="auto" w:fill="D2DDE2"/>
            <w:tcMar>
              <w:left w:w="85" w:type="dxa"/>
              <w:right w:w="85" w:type="dxa"/>
            </w:tcMar>
            <w:hideMark/>
          </w:tcPr>
          <w:p w14:paraId="01A35DA4" w14:textId="2A188268" w:rsidR="005E2556" w:rsidRPr="00B275E2" w:rsidRDefault="005E2556" w:rsidP="00FD06E4">
            <w:pPr>
              <w:pStyle w:val="TableText"/>
              <w:spacing w:before="40" w:after="40"/>
              <w:rPr>
                <w:rFonts w:cs="Calibri"/>
                <w:b/>
                <w:bCs/>
                <w:szCs w:val="18"/>
              </w:rPr>
            </w:pPr>
            <w:r w:rsidRPr="00B275E2">
              <w:rPr>
                <w:rFonts w:cs="Calibri"/>
                <w:b/>
                <w:bCs/>
                <w:szCs w:val="18"/>
              </w:rPr>
              <w:t>Substances controlled by the Montreal Protocol</w:t>
            </w:r>
          </w:p>
        </w:tc>
        <w:tc>
          <w:tcPr>
            <w:tcW w:w="1275" w:type="dxa"/>
            <w:shd w:val="clear" w:color="auto" w:fill="D2DDE2"/>
            <w:tcMar>
              <w:left w:w="85" w:type="dxa"/>
              <w:right w:w="85" w:type="dxa"/>
            </w:tcMar>
            <w:hideMark/>
          </w:tcPr>
          <w:p w14:paraId="734C1B71" w14:textId="094FA1FB" w:rsidR="005E2556" w:rsidRPr="00B275E2" w:rsidRDefault="005E2556" w:rsidP="00E627FC">
            <w:pPr>
              <w:pStyle w:val="TableText"/>
              <w:spacing w:before="40" w:after="40"/>
              <w:jc w:val="center"/>
              <w:rPr>
                <w:rFonts w:cs="Calibri"/>
                <w:b/>
                <w:bCs/>
                <w:szCs w:val="18"/>
              </w:rPr>
            </w:pPr>
          </w:p>
        </w:tc>
      </w:tr>
      <w:tr w:rsidR="005E2556" w:rsidRPr="00B275E2" w14:paraId="2BF4BC76" w14:textId="77777777" w:rsidTr="00253FA5">
        <w:tc>
          <w:tcPr>
            <w:tcW w:w="3402" w:type="dxa"/>
            <w:shd w:val="clear" w:color="auto" w:fill="auto"/>
            <w:tcMar>
              <w:left w:w="85" w:type="dxa"/>
              <w:right w:w="85" w:type="dxa"/>
            </w:tcMar>
            <w:hideMark/>
          </w:tcPr>
          <w:p w14:paraId="3EA868C9" w14:textId="2A9158C9" w:rsidR="005E2556" w:rsidRPr="00B275E2" w:rsidRDefault="005E2556" w:rsidP="000E1F19">
            <w:pPr>
              <w:pStyle w:val="TableText"/>
              <w:spacing w:before="40" w:after="40"/>
              <w:rPr>
                <w:rFonts w:cs="Calibri"/>
                <w:szCs w:val="18"/>
              </w:rPr>
            </w:pPr>
            <w:r w:rsidRPr="00B275E2">
              <w:rPr>
                <w:rFonts w:cs="Calibri"/>
                <w:szCs w:val="18"/>
              </w:rPr>
              <w:t>CFC-11</w:t>
            </w:r>
            <w:r w:rsidR="00A42624" w:rsidRPr="00B275E2">
              <w:rPr>
                <w:rFonts w:cs="Calibri"/>
                <w:szCs w:val="18"/>
              </w:rPr>
              <w:t xml:space="preserve"> </w:t>
            </w:r>
          </w:p>
        </w:tc>
        <w:tc>
          <w:tcPr>
            <w:tcW w:w="1843" w:type="dxa"/>
            <w:shd w:val="clear" w:color="auto" w:fill="auto"/>
            <w:tcMar>
              <w:left w:w="85" w:type="dxa"/>
              <w:right w:w="85" w:type="dxa"/>
            </w:tcMar>
            <w:hideMark/>
          </w:tcPr>
          <w:p w14:paraId="5DC8C6C7" w14:textId="18B3A970" w:rsidR="005E2556" w:rsidRPr="00B275E2" w:rsidRDefault="005E2556" w:rsidP="00FD06E4">
            <w:pPr>
              <w:pStyle w:val="TableText"/>
              <w:spacing w:before="40" w:after="40"/>
              <w:rPr>
                <w:rFonts w:cs="Calibri"/>
                <w:szCs w:val="18"/>
              </w:rPr>
            </w:pPr>
            <w:r w:rsidRPr="00B275E2">
              <w:rPr>
                <w:rFonts w:cs="Calibri"/>
                <w:szCs w:val="18"/>
              </w:rPr>
              <w:t>CCl</w:t>
            </w:r>
            <w:r w:rsidRPr="00B275E2">
              <w:rPr>
                <w:rFonts w:cs="Calibri"/>
                <w:szCs w:val="18"/>
                <w:vertAlign w:val="subscript"/>
              </w:rPr>
              <w:t>3</w:t>
            </w:r>
            <w:r w:rsidRPr="00B275E2">
              <w:rPr>
                <w:rFonts w:cs="Calibri"/>
                <w:szCs w:val="18"/>
              </w:rPr>
              <w:t>F</w:t>
            </w:r>
          </w:p>
        </w:tc>
        <w:tc>
          <w:tcPr>
            <w:tcW w:w="709" w:type="dxa"/>
            <w:shd w:val="clear" w:color="auto" w:fill="auto"/>
            <w:tcMar>
              <w:left w:w="85" w:type="dxa"/>
              <w:right w:w="85" w:type="dxa"/>
            </w:tcMar>
            <w:hideMark/>
          </w:tcPr>
          <w:p w14:paraId="7A7E9F60" w14:textId="3F77FC5D"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66B512F8" w14:textId="4F05D7A0" w:rsidR="005E2556" w:rsidRPr="00B275E2" w:rsidRDefault="005E2556" w:rsidP="00E627FC">
            <w:pPr>
              <w:pStyle w:val="TableText"/>
              <w:spacing w:before="40" w:after="40"/>
              <w:jc w:val="center"/>
              <w:rPr>
                <w:rFonts w:cs="Calibri"/>
                <w:szCs w:val="18"/>
              </w:rPr>
            </w:pPr>
            <w:r w:rsidRPr="00B275E2">
              <w:rPr>
                <w:rFonts w:cs="Calibri"/>
                <w:szCs w:val="18"/>
              </w:rPr>
              <w:t>4750</w:t>
            </w:r>
          </w:p>
        </w:tc>
        <w:tc>
          <w:tcPr>
            <w:tcW w:w="1275" w:type="dxa"/>
            <w:shd w:val="clear" w:color="auto" w:fill="auto"/>
            <w:tcMar>
              <w:left w:w="85" w:type="dxa"/>
              <w:right w:w="85" w:type="dxa"/>
            </w:tcMar>
            <w:hideMark/>
          </w:tcPr>
          <w:p w14:paraId="4BA59FEA" w14:textId="2E2DECDE" w:rsidR="005E2556" w:rsidRPr="00B275E2" w:rsidRDefault="005E2556" w:rsidP="00E627FC">
            <w:pPr>
              <w:pStyle w:val="TableText"/>
              <w:spacing w:before="40" w:after="40"/>
              <w:jc w:val="center"/>
              <w:rPr>
                <w:rFonts w:cs="Calibri"/>
                <w:szCs w:val="18"/>
              </w:rPr>
            </w:pPr>
            <w:r w:rsidRPr="00B275E2">
              <w:rPr>
                <w:rFonts w:cs="Calibri"/>
                <w:szCs w:val="18"/>
              </w:rPr>
              <w:t>4,660</w:t>
            </w:r>
          </w:p>
        </w:tc>
      </w:tr>
      <w:tr w:rsidR="005E2556" w:rsidRPr="00B275E2" w14:paraId="30CA1A73" w14:textId="77777777" w:rsidTr="00253FA5">
        <w:tc>
          <w:tcPr>
            <w:tcW w:w="3402" w:type="dxa"/>
            <w:shd w:val="clear" w:color="auto" w:fill="auto"/>
            <w:tcMar>
              <w:left w:w="85" w:type="dxa"/>
              <w:right w:w="85" w:type="dxa"/>
            </w:tcMar>
            <w:hideMark/>
          </w:tcPr>
          <w:p w14:paraId="66EEB649" w14:textId="3D20148D" w:rsidR="005E2556" w:rsidRPr="00B275E2" w:rsidRDefault="005E2556" w:rsidP="000E1F19">
            <w:pPr>
              <w:pStyle w:val="TableText"/>
              <w:spacing w:before="40" w:after="40"/>
              <w:rPr>
                <w:rFonts w:cs="Calibri"/>
                <w:szCs w:val="18"/>
              </w:rPr>
            </w:pPr>
            <w:r w:rsidRPr="00B275E2">
              <w:rPr>
                <w:rFonts w:cs="Calibri"/>
                <w:szCs w:val="18"/>
              </w:rPr>
              <w:t>CFC-12</w:t>
            </w:r>
            <w:r w:rsidR="00A42624" w:rsidRPr="00B275E2">
              <w:rPr>
                <w:rFonts w:cs="Calibri"/>
                <w:szCs w:val="18"/>
              </w:rPr>
              <w:t xml:space="preserve"> </w:t>
            </w:r>
          </w:p>
        </w:tc>
        <w:tc>
          <w:tcPr>
            <w:tcW w:w="1843" w:type="dxa"/>
            <w:shd w:val="clear" w:color="auto" w:fill="auto"/>
            <w:tcMar>
              <w:left w:w="85" w:type="dxa"/>
              <w:right w:w="85" w:type="dxa"/>
            </w:tcMar>
            <w:hideMark/>
          </w:tcPr>
          <w:p w14:paraId="6ED3E9EE" w14:textId="79194AFB" w:rsidR="005E2556" w:rsidRPr="00B275E2" w:rsidRDefault="005E2556" w:rsidP="00FD06E4">
            <w:pPr>
              <w:pStyle w:val="TableText"/>
              <w:spacing w:before="40" w:after="40"/>
              <w:rPr>
                <w:rFonts w:cs="Calibri"/>
                <w:szCs w:val="18"/>
              </w:rPr>
            </w:pPr>
            <w:r w:rsidRPr="00B275E2">
              <w:rPr>
                <w:rFonts w:cs="Calibri"/>
                <w:szCs w:val="18"/>
              </w:rPr>
              <w:t>CCl</w:t>
            </w:r>
            <w:r w:rsidRPr="00B275E2">
              <w:rPr>
                <w:rFonts w:cs="Calibri"/>
                <w:szCs w:val="18"/>
                <w:vertAlign w:val="subscript"/>
              </w:rPr>
              <w:t>2</w:t>
            </w:r>
            <w:r w:rsidRPr="00B275E2">
              <w:rPr>
                <w:rFonts w:cs="Calibri"/>
                <w:szCs w:val="18"/>
              </w:rPr>
              <w:t>F</w:t>
            </w:r>
            <w:r w:rsidRPr="00B275E2">
              <w:rPr>
                <w:rFonts w:cs="Calibri"/>
                <w:szCs w:val="18"/>
                <w:vertAlign w:val="subscript"/>
              </w:rPr>
              <w:t>2</w:t>
            </w:r>
          </w:p>
        </w:tc>
        <w:tc>
          <w:tcPr>
            <w:tcW w:w="709" w:type="dxa"/>
            <w:shd w:val="clear" w:color="auto" w:fill="auto"/>
            <w:tcMar>
              <w:left w:w="85" w:type="dxa"/>
              <w:right w:w="85" w:type="dxa"/>
            </w:tcMar>
            <w:hideMark/>
          </w:tcPr>
          <w:p w14:paraId="52C24061" w14:textId="5A5E7F29"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012C98E4" w14:textId="32E4CF06" w:rsidR="005E2556" w:rsidRPr="00B275E2" w:rsidRDefault="005E2556" w:rsidP="00E627FC">
            <w:pPr>
              <w:pStyle w:val="TableText"/>
              <w:spacing w:before="40" w:after="40"/>
              <w:jc w:val="center"/>
              <w:rPr>
                <w:rFonts w:cs="Calibri"/>
                <w:szCs w:val="18"/>
              </w:rPr>
            </w:pPr>
            <w:r w:rsidRPr="00B275E2">
              <w:rPr>
                <w:rFonts w:cs="Calibri"/>
                <w:szCs w:val="18"/>
              </w:rPr>
              <w:t>10,900</w:t>
            </w:r>
          </w:p>
        </w:tc>
        <w:tc>
          <w:tcPr>
            <w:tcW w:w="1275" w:type="dxa"/>
            <w:shd w:val="clear" w:color="auto" w:fill="auto"/>
            <w:tcMar>
              <w:left w:w="85" w:type="dxa"/>
              <w:right w:w="85" w:type="dxa"/>
            </w:tcMar>
            <w:hideMark/>
          </w:tcPr>
          <w:p w14:paraId="26F21987" w14:textId="0EE6F2DF" w:rsidR="005E2556" w:rsidRPr="00B275E2" w:rsidRDefault="005E2556" w:rsidP="00E627FC">
            <w:pPr>
              <w:pStyle w:val="TableText"/>
              <w:spacing w:before="40" w:after="40"/>
              <w:jc w:val="center"/>
              <w:rPr>
                <w:rFonts w:cs="Calibri"/>
                <w:szCs w:val="18"/>
              </w:rPr>
            </w:pPr>
            <w:r w:rsidRPr="00B275E2">
              <w:rPr>
                <w:rFonts w:cs="Calibri"/>
                <w:szCs w:val="18"/>
              </w:rPr>
              <w:t>10,200</w:t>
            </w:r>
          </w:p>
        </w:tc>
      </w:tr>
      <w:tr w:rsidR="005E2556" w:rsidRPr="00B275E2" w14:paraId="2C4765BD" w14:textId="77777777" w:rsidTr="00253FA5">
        <w:tc>
          <w:tcPr>
            <w:tcW w:w="3402" w:type="dxa"/>
            <w:shd w:val="clear" w:color="auto" w:fill="auto"/>
            <w:tcMar>
              <w:left w:w="85" w:type="dxa"/>
              <w:right w:w="85" w:type="dxa"/>
            </w:tcMar>
            <w:hideMark/>
          </w:tcPr>
          <w:p w14:paraId="54657AEA" w14:textId="197507CF" w:rsidR="005E2556" w:rsidRPr="00B275E2" w:rsidRDefault="005E2556" w:rsidP="000E1F19">
            <w:pPr>
              <w:pStyle w:val="TableText"/>
              <w:spacing w:before="40" w:after="40"/>
              <w:rPr>
                <w:rFonts w:cs="Calibri"/>
                <w:szCs w:val="18"/>
              </w:rPr>
            </w:pPr>
            <w:r w:rsidRPr="00B275E2">
              <w:rPr>
                <w:rFonts w:cs="Calibri"/>
                <w:szCs w:val="18"/>
              </w:rPr>
              <w:t>CFC-13</w:t>
            </w:r>
            <w:r w:rsidR="00A42624" w:rsidRPr="00B275E2">
              <w:rPr>
                <w:rFonts w:cs="Calibri"/>
                <w:szCs w:val="18"/>
              </w:rPr>
              <w:t xml:space="preserve"> </w:t>
            </w:r>
          </w:p>
        </w:tc>
        <w:tc>
          <w:tcPr>
            <w:tcW w:w="1843" w:type="dxa"/>
            <w:shd w:val="clear" w:color="auto" w:fill="auto"/>
            <w:tcMar>
              <w:left w:w="85" w:type="dxa"/>
              <w:right w:w="85" w:type="dxa"/>
            </w:tcMar>
            <w:hideMark/>
          </w:tcPr>
          <w:p w14:paraId="54294FFD" w14:textId="76412B06" w:rsidR="005E2556" w:rsidRPr="00B275E2" w:rsidRDefault="005E2556" w:rsidP="00FD06E4">
            <w:pPr>
              <w:pStyle w:val="TableText"/>
              <w:spacing w:before="40" w:after="40"/>
              <w:rPr>
                <w:rFonts w:cs="Calibri"/>
                <w:szCs w:val="18"/>
              </w:rPr>
            </w:pPr>
            <w:r w:rsidRPr="00B275E2">
              <w:rPr>
                <w:rFonts w:cs="Calibri"/>
                <w:szCs w:val="18"/>
              </w:rPr>
              <w:t>CClF</w:t>
            </w:r>
            <w:r w:rsidRPr="00B275E2">
              <w:rPr>
                <w:rFonts w:cs="Calibri"/>
                <w:szCs w:val="18"/>
                <w:vertAlign w:val="subscript"/>
              </w:rPr>
              <w:t>3</w:t>
            </w:r>
          </w:p>
        </w:tc>
        <w:tc>
          <w:tcPr>
            <w:tcW w:w="709" w:type="dxa"/>
            <w:shd w:val="clear" w:color="auto" w:fill="auto"/>
            <w:tcMar>
              <w:left w:w="85" w:type="dxa"/>
              <w:right w:w="85" w:type="dxa"/>
            </w:tcMar>
            <w:hideMark/>
          </w:tcPr>
          <w:p w14:paraId="4FEE917F" w14:textId="3D1C6AEF"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0E50A742" w14:textId="4D0018BF" w:rsidR="005E2556" w:rsidRPr="00B275E2" w:rsidRDefault="005E2556" w:rsidP="00E627FC">
            <w:pPr>
              <w:pStyle w:val="TableText"/>
              <w:spacing w:before="40" w:after="40"/>
              <w:jc w:val="center"/>
              <w:rPr>
                <w:rFonts w:cs="Calibri"/>
                <w:szCs w:val="18"/>
              </w:rPr>
            </w:pPr>
            <w:r w:rsidRPr="00B275E2">
              <w:rPr>
                <w:rFonts w:cs="Calibri"/>
                <w:szCs w:val="18"/>
              </w:rPr>
              <w:t>14,400</w:t>
            </w:r>
          </w:p>
        </w:tc>
        <w:tc>
          <w:tcPr>
            <w:tcW w:w="1275" w:type="dxa"/>
            <w:shd w:val="clear" w:color="auto" w:fill="auto"/>
            <w:tcMar>
              <w:left w:w="85" w:type="dxa"/>
              <w:right w:w="85" w:type="dxa"/>
            </w:tcMar>
            <w:hideMark/>
          </w:tcPr>
          <w:p w14:paraId="472D3497" w14:textId="17C23905" w:rsidR="005E2556" w:rsidRPr="00B275E2" w:rsidRDefault="005E2556" w:rsidP="00E627FC">
            <w:pPr>
              <w:pStyle w:val="TableText"/>
              <w:spacing w:before="40" w:after="40"/>
              <w:jc w:val="center"/>
              <w:rPr>
                <w:rFonts w:cs="Calibri"/>
                <w:szCs w:val="18"/>
              </w:rPr>
            </w:pPr>
            <w:r w:rsidRPr="00B275E2">
              <w:rPr>
                <w:rFonts w:cs="Calibri"/>
                <w:szCs w:val="18"/>
              </w:rPr>
              <w:t>13,900</w:t>
            </w:r>
          </w:p>
        </w:tc>
      </w:tr>
      <w:tr w:rsidR="005E2556" w:rsidRPr="00B275E2" w14:paraId="37D47626" w14:textId="77777777" w:rsidTr="00253FA5">
        <w:tc>
          <w:tcPr>
            <w:tcW w:w="3402" w:type="dxa"/>
            <w:shd w:val="clear" w:color="auto" w:fill="auto"/>
            <w:tcMar>
              <w:left w:w="85" w:type="dxa"/>
              <w:right w:w="85" w:type="dxa"/>
            </w:tcMar>
            <w:hideMark/>
          </w:tcPr>
          <w:p w14:paraId="4A16D82E" w14:textId="13B3B208" w:rsidR="005E2556" w:rsidRPr="00B275E2" w:rsidRDefault="005E2556" w:rsidP="000E1F19">
            <w:pPr>
              <w:pStyle w:val="TableText"/>
              <w:spacing w:before="40" w:after="40"/>
              <w:rPr>
                <w:rFonts w:cs="Calibri"/>
                <w:szCs w:val="18"/>
              </w:rPr>
            </w:pPr>
            <w:r w:rsidRPr="00B275E2">
              <w:rPr>
                <w:rFonts w:cs="Calibri"/>
                <w:szCs w:val="18"/>
              </w:rPr>
              <w:t>CFC-113</w:t>
            </w:r>
            <w:r w:rsidR="00A42624" w:rsidRPr="00B275E2">
              <w:rPr>
                <w:rFonts w:cs="Calibri"/>
                <w:szCs w:val="18"/>
              </w:rPr>
              <w:t xml:space="preserve"> </w:t>
            </w:r>
          </w:p>
        </w:tc>
        <w:tc>
          <w:tcPr>
            <w:tcW w:w="1843" w:type="dxa"/>
            <w:shd w:val="clear" w:color="auto" w:fill="auto"/>
            <w:tcMar>
              <w:left w:w="85" w:type="dxa"/>
              <w:right w:w="85" w:type="dxa"/>
            </w:tcMar>
            <w:hideMark/>
          </w:tcPr>
          <w:p w14:paraId="6970325A" w14:textId="063F2014" w:rsidR="005E2556" w:rsidRPr="00B275E2" w:rsidRDefault="005E2556" w:rsidP="00FD06E4">
            <w:pPr>
              <w:pStyle w:val="TableText"/>
              <w:spacing w:before="40" w:after="40"/>
              <w:rPr>
                <w:rFonts w:cs="Calibri"/>
                <w:szCs w:val="18"/>
              </w:rPr>
            </w:pPr>
            <w:r w:rsidRPr="00B275E2">
              <w:rPr>
                <w:rFonts w:cs="Calibri"/>
                <w:szCs w:val="18"/>
              </w:rPr>
              <w:t>CCl</w:t>
            </w:r>
            <w:r w:rsidRPr="00B275E2">
              <w:rPr>
                <w:rFonts w:cs="Calibri"/>
                <w:szCs w:val="18"/>
                <w:vertAlign w:val="subscript"/>
              </w:rPr>
              <w:t>2</w:t>
            </w:r>
            <w:r w:rsidRPr="00B275E2">
              <w:rPr>
                <w:rFonts w:cs="Calibri"/>
                <w:szCs w:val="18"/>
              </w:rPr>
              <w:t>FCClF</w:t>
            </w:r>
            <w:r w:rsidRPr="00B275E2">
              <w:rPr>
                <w:rFonts w:cs="Calibri"/>
                <w:szCs w:val="18"/>
                <w:vertAlign w:val="subscript"/>
              </w:rPr>
              <w:t>2</w:t>
            </w:r>
          </w:p>
        </w:tc>
        <w:tc>
          <w:tcPr>
            <w:tcW w:w="709" w:type="dxa"/>
            <w:shd w:val="clear" w:color="auto" w:fill="auto"/>
            <w:tcMar>
              <w:left w:w="85" w:type="dxa"/>
              <w:right w:w="85" w:type="dxa"/>
            </w:tcMar>
            <w:hideMark/>
          </w:tcPr>
          <w:p w14:paraId="10489824" w14:textId="3EBE5D28"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4C0150B4" w14:textId="1112424C" w:rsidR="005E2556" w:rsidRPr="00B275E2" w:rsidRDefault="005E2556" w:rsidP="00E627FC">
            <w:pPr>
              <w:pStyle w:val="TableText"/>
              <w:spacing w:before="40" w:after="40"/>
              <w:jc w:val="center"/>
              <w:rPr>
                <w:rFonts w:cs="Calibri"/>
                <w:szCs w:val="18"/>
              </w:rPr>
            </w:pPr>
            <w:r w:rsidRPr="00B275E2">
              <w:rPr>
                <w:rFonts w:cs="Calibri"/>
                <w:szCs w:val="18"/>
              </w:rPr>
              <w:t>6,130</w:t>
            </w:r>
          </w:p>
        </w:tc>
        <w:tc>
          <w:tcPr>
            <w:tcW w:w="1275" w:type="dxa"/>
            <w:shd w:val="clear" w:color="auto" w:fill="auto"/>
            <w:tcMar>
              <w:left w:w="85" w:type="dxa"/>
              <w:right w:w="85" w:type="dxa"/>
            </w:tcMar>
            <w:hideMark/>
          </w:tcPr>
          <w:p w14:paraId="6981E8FF" w14:textId="04860A0C" w:rsidR="005E2556" w:rsidRPr="00B275E2" w:rsidRDefault="005E2556" w:rsidP="00E627FC">
            <w:pPr>
              <w:pStyle w:val="TableText"/>
              <w:spacing w:before="40" w:after="40"/>
              <w:jc w:val="center"/>
              <w:rPr>
                <w:rFonts w:cs="Calibri"/>
                <w:szCs w:val="18"/>
              </w:rPr>
            </w:pPr>
            <w:r w:rsidRPr="00B275E2">
              <w:rPr>
                <w:rFonts w:cs="Calibri"/>
                <w:szCs w:val="18"/>
              </w:rPr>
              <w:t>5,820</w:t>
            </w:r>
          </w:p>
        </w:tc>
      </w:tr>
      <w:tr w:rsidR="005E2556" w:rsidRPr="00B275E2" w14:paraId="2C80C36B" w14:textId="77777777" w:rsidTr="00253FA5">
        <w:tc>
          <w:tcPr>
            <w:tcW w:w="3402" w:type="dxa"/>
            <w:shd w:val="clear" w:color="auto" w:fill="auto"/>
            <w:tcMar>
              <w:left w:w="85" w:type="dxa"/>
              <w:right w:w="85" w:type="dxa"/>
            </w:tcMar>
            <w:hideMark/>
          </w:tcPr>
          <w:p w14:paraId="6CC55EC7" w14:textId="704E2B73" w:rsidR="005E2556" w:rsidRPr="00B275E2" w:rsidRDefault="005E2556" w:rsidP="000E1F19">
            <w:pPr>
              <w:pStyle w:val="TableText"/>
              <w:spacing w:before="40" w:after="40"/>
              <w:rPr>
                <w:rFonts w:cs="Calibri"/>
                <w:szCs w:val="18"/>
              </w:rPr>
            </w:pPr>
            <w:r w:rsidRPr="00B275E2">
              <w:rPr>
                <w:rFonts w:cs="Calibri"/>
                <w:szCs w:val="18"/>
              </w:rPr>
              <w:t>CFC-114</w:t>
            </w:r>
            <w:r w:rsidR="00A42624" w:rsidRPr="00B275E2">
              <w:rPr>
                <w:rFonts w:cs="Calibri"/>
                <w:szCs w:val="18"/>
              </w:rPr>
              <w:t xml:space="preserve"> </w:t>
            </w:r>
          </w:p>
        </w:tc>
        <w:tc>
          <w:tcPr>
            <w:tcW w:w="1843" w:type="dxa"/>
            <w:shd w:val="clear" w:color="auto" w:fill="auto"/>
            <w:tcMar>
              <w:left w:w="85" w:type="dxa"/>
              <w:right w:w="85" w:type="dxa"/>
            </w:tcMar>
            <w:hideMark/>
          </w:tcPr>
          <w:p w14:paraId="6AD1E35D" w14:textId="2808A2B9" w:rsidR="005E2556" w:rsidRPr="00B275E2" w:rsidRDefault="005E2556" w:rsidP="00FD06E4">
            <w:pPr>
              <w:pStyle w:val="TableText"/>
              <w:spacing w:before="40" w:after="40"/>
              <w:rPr>
                <w:rFonts w:cs="Calibri"/>
                <w:szCs w:val="18"/>
              </w:rPr>
            </w:pPr>
            <w:r w:rsidRPr="00B275E2">
              <w:rPr>
                <w:rFonts w:cs="Calibri"/>
                <w:szCs w:val="18"/>
              </w:rPr>
              <w:t>CClF</w:t>
            </w:r>
            <w:r w:rsidRPr="00B275E2">
              <w:rPr>
                <w:rFonts w:cs="Calibri"/>
                <w:szCs w:val="18"/>
                <w:vertAlign w:val="subscript"/>
              </w:rPr>
              <w:t>2</w:t>
            </w:r>
            <w:r w:rsidRPr="00B275E2">
              <w:rPr>
                <w:rFonts w:cs="Calibri"/>
                <w:szCs w:val="18"/>
              </w:rPr>
              <w:t>CClF</w:t>
            </w:r>
            <w:r w:rsidRPr="00B275E2">
              <w:rPr>
                <w:rFonts w:cs="Calibri"/>
                <w:szCs w:val="18"/>
                <w:vertAlign w:val="subscript"/>
              </w:rPr>
              <w:t>2</w:t>
            </w:r>
          </w:p>
        </w:tc>
        <w:tc>
          <w:tcPr>
            <w:tcW w:w="709" w:type="dxa"/>
            <w:shd w:val="clear" w:color="auto" w:fill="auto"/>
            <w:tcMar>
              <w:left w:w="85" w:type="dxa"/>
              <w:right w:w="85" w:type="dxa"/>
            </w:tcMar>
            <w:hideMark/>
          </w:tcPr>
          <w:p w14:paraId="110C565B" w14:textId="6E5748DA"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2159A65F" w14:textId="253C16D3" w:rsidR="005E2556" w:rsidRPr="00B275E2" w:rsidRDefault="005E2556" w:rsidP="00E627FC">
            <w:pPr>
              <w:pStyle w:val="TableText"/>
              <w:spacing w:before="40" w:after="40"/>
              <w:jc w:val="center"/>
              <w:rPr>
                <w:rFonts w:cs="Calibri"/>
                <w:szCs w:val="18"/>
              </w:rPr>
            </w:pPr>
            <w:r w:rsidRPr="00B275E2">
              <w:rPr>
                <w:rFonts w:cs="Calibri"/>
                <w:szCs w:val="18"/>
              </w:rPr>
              <w:t>10,000</w:t>
            </w:r>
          </w:p>
        </w:tc>
        <w:tc>
          <w:tcPr>
            <w:tcW w:w="1275" w:type="dxa"/>
            <w:shd w:val="clear" w:color="auto" w:fill="auto"/>
            <w:tcMar>
              <w:left w:w="85" w:type="dxa"/>
              <w:right w:w="85" w:type="dxa"/>
            </w:tcMar>
            <w:hideMark/>
          </w:tcPr>
          <w:p w14:paraId="07503EAA" w14:textId="0D44536E" w:rsidR="005E2556" w:rsidRPr="00B275E2" w:rsidRDefault="005E2556" w:rsidP="00E627FC">
            <w:pPr>
              <w:pStyle w:val="TableText"/>
              <w:spacing w:before="40" w:after="40"/>
              <w:jc w:val="center"/>
              <w:rPr>
                <w:rFonts w:cs="Calibri"/>
                <w:szCs w:val="18"/>
              </w:rPr>
            </w:pPr>
            <w:r w:rsidRPr="00B275E2">
              <w:rPr>
                <w:rFonts w:cs="Calibri"/>
                <w:szCs w:val="18"/>
              </w:rPr>
              <w:t>8,590</w:t>
            </w:r>
          </w:p>
        </w:tc>
      </w:tr>
      <w:tr w:rsidR="005E2556" w:rsidRPr="00B275E2" w14:paraId="5DB36A9E" w14:textId="77777777" w:rsidTr="00253FA5">
        <w:tc>
          <w:tcPr>
            <w:tcW w:w="3402" w:type="dxa"/>
            <w:shd w:val="clear" w:color="auto" w:fill="auto"/>
            <w:tcMar>
              <w:left w:w="85" w:type="dxa"/>
              <w:right w:w="85" w:type="dxa"/>
            </w:tcMar>
            <w:hideMark/>
          </w:tcPr>
          <w:p w14:paraId="62D5BA88" w14:textId="6AF49695" w:rsidR="005E2556" w:rsidRPr="00B275E2" w:rsidRDefault="005E2556" w:rsidP="000E1F19">
            <w:pPr>
              <w:pStyle w:val="TableText"/>
              <w:spacing w:before="40" w:after="40"/>
              <w:rPr>
                <w:rFonts w:cs="Calibri"/>
                <w:szCs w:val="18"/>
              </w:rPr>
            </w:pPr>
            <w:r w:rsidRPr="00B275E2">
              <w:rPr>
                <w:rFonts w:cs="Calibri"/>
                <w:szCs w:val="18"/>
              </w:rPr>
              <w:t>CFC-115</w:t>
            </w:r>
            <w:r w:rsidR="00A42624" w:rsidRPr="00B275E2">
              <w:rPr>
                <w:rFonts w:cs="Calibri"/>
                <w:szCs w:val="18"/>
              </w:rPr>
              <w:t xml:space="preserve"> </w:t>
            </w:r>
          </w:p>
        </w:tc>
        <w:tc>
          <w:tcPr>
            <w:tcW w:w="1843" w:type="dxa"/>
            <w:shd w:val="clear" w:color="auto" w:fill="auto"/>
            <w:tcMar>
              <w:left w:w="85" w:type="dxa"/>
              <w:right w:w="85" w:type="dxa"/>
            </w:tcMar>
            <w:hideMark/>
          </w:tcPr>
          <w:p w14:paraId="3C61EB5E" w14:textId="2592D57F" w:rsidR="005E2556" w:rsidRPr="00B275E2" w:rsidRDefault="005E2556" w:rsidP="00FD06E4">
            <w:pPr>
              <w:pStyle w:val="TableText"/>
              <w:spacing w:before="40" w:after="40"/>
              <w:rPr>
                <w:rFonts w:cs="Calibri"/>
                <w:szCs w:val="18"/>
              </w:rPr>
            </w:pPr>
            <w:r w:rsidRPr="00B275E2">
              <w:rPr>
                <w:rFonts w:cs="Calibri"/>
                <w:szCs w:val="18"/>
              </w:rPr>
              <w:t>CClF</w:t>
            </w:r>
            <w:r w:rsidRPr="00B275E2">
              <w:rPr>
                <w:rFonts w:cs="Calibri"/>
                <w:szCs w:val="18"/>
                <w:vertAlign w:val="subscript"/>
              </w:rPr>
              <w:t>2</w:t>
            </w:r>
            <w:r w:rsidRPr="00B275E2">
              <w:rPr>
                <w:rFonts w:cs="Calibri"/>
                <w:szCs w:val="18"/>
              </w:rPr>
              <w:t>CF</w:t>
            </w:r>
            <w:r w:rsidRPr="00B275E2">
              <w:rPr>
                <w:rFonts w:cs="Calibri"/>
                <w:szCs w:val="18"/>
                <w:vertAlign w:val="subscript"/>
              </w:rPr>
              <w:t>3</w:t>
            </w:r>
          </w:p>
        </w:tc>
        <w:tc>
          <w:tcPr>
            <w:tcW w:w="709" w:type="dxa"/>
            <w:shd w:val="clear" w:color="auto" w:fill="auto"/>
            <w:tcMar>
              <w:left w:w="85" w:type="dxa"/>
              <w:right w:w="85" w:type="dxa"/>
            </w:tcMar>
            <w:hideMark/>
          </w:tcPr>
          <w:p w14:paraId="138F4793" w14:textId="0D153E2F"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7AB97E62" w14:textId="11414DF9" w:rsidR="005E2556" w:rsidRPr="00B275E2" w:rsidRDefault="005E2556" w:rsidP="00E627FC">
            <w:pPr>
              <w:pStyle w:val="TableText"/>
              <w:spacing w:before="40" w:after="40"/>
              <w:jc w:val="center"/>
              <w:rPr>
                <w:rFonts w:cs="Calibri"/>
                <w:szCs w:val="18"/>
              </w:rPr>
            </w:pPr>
            <w:r w:rsidRPr="00B275E2">
              <w:rPr>
                <w:rFonts w:cs="Calibri"/>
                <w:szCs w:val="18"/>
              </w:rPr>
              <w:t>7,370</w:t>
            </w:r>
          </w:p>
        </w:tc>
        <w:tc>
          <w:tcPr>
            <w:tcW w:w="1275" w:type="dxa"/>
            <w:shd w:val="clear" w:color="auto" w:fill="auto"/>
            <w:tcMar>
              <w:left w:w="85" w:type="dxa"/>
              <w:right w:w="85" w:type="dxa"/>
            </w:tcMar>
            <w:hideMark/>
          </w:tcPr>
          <w:p w14:paraId="39326758" w14:textId="115906FA" w:rsidR="005E2556" w:rsidRPr="00B275E2" w:rsidRDefault="005E2556" w:rsidP="00E627FC">
            <w:pPr>
              <w:pStyle w:val="TableText"/>
              <w:spacing w:before="40" w:after="40"/>
              <w:jc w:val="center"/>
              <w:rPr>
                <w:rFonts w:cs="Calibri"/>
                <w:szCs w:val="18"/>
              </w:rPr>
            </w:pPr>
            <w:r w:rsidRPr="00B275E2">
              <w:rPr>
                <w:rFonts w:cs="Calibri"/>
                <w:szCs w:val="18"/>
              </w:rPr>
              <w:t>7,670</w:t>
            </w:r>
          </w:p>
        </w:tc>
      </w:tr>
      <w:tr w:rsidR="005E2556" w:rsidRPr="00B275E2" w14:paraId="637FC790" w14:textId="77777777" w:rsidTr="00253FA5">
        <w:tc>
          <w:tcPr>
            <w:tcW w:w="3402" w:type="dxa"/>
            <w:shd w:val="clear" w:color="auto" w:fill="auto"/>
            <w:tcMar>
              <w:left w:w="85" w:type="dxa"/>
              <w:right w:w="85" w:type="dxa"/>
            </w:tcMar>
            <w:hideMark/>
          </w:tcPr>
          <w:p w14:paraId="470E0C76" w14:textId="29BF2BB2" w:rsidR="005E2556" w:rsidRPr="00B275E2" w:rsidRDefault="005E2556" w:rsidP="000E1F19">
            <w:pPr>
              <w:pStyle w:val="TableText"/>
              <w:spacing w:before="40" w:after="40"/>
              <w:rPr>
                <w:rFonts w:cs="Calibri"/>
                <w:szCs w:val="18"/>
              </w:rPr>
            </w:pPr>
            <w:r w:rsidRPr="00B275E2">
              <w:rPr>
                <w:rFonts w:cs="Calibri"/>
                <w:szCs w:val="18"/>
              </w:rPr>
              <w:t>Halon-1301</w:t>
            </w:r>
            <w:r w:rsidR="00A42624" w:rsidRPr="00B275E2">
              <w:rPr>
                <w:rFonts w:cs="Calibri"/>
                <w:szCs w:val="18"/>
              </w:rPr>
              <w:t xml:space="preserve"> </w:t>
            </w:r>
          </w:p>
        </w:tc>
        <w:tc>
          <w:tcPr>
            <w:tcW w:w="1843" w:type="dxa"/>
            <w:shd w:val="clear" w:color="auto" w:fill="auto"/>
            <w:tcMar>
              <w:left w:w="85" w:type="dxa"/>
              <w:right w:w="85" w:type="dxa"/>
            </w:tcMar>
            <w:hideMark/>
          </w:tcPr>
          <w:p w14:paraId="0100D546" w14:textId="02FF4AC6" w:rsidR="005E2556" w:rsidRPr="00B275E2" w:rsidRDefault="005E2556" w:rsidP="00FD06E4">
            <w:pPr>
              <w:pStyle w:val="TableText"/>
              <w:spacing w:before="40" w:after="40"/>
              <w:rPr>
                <w:rFonts w:cs="Calibri"/>
                <w:szCs w:val="18"/>
              </w:rPr>
            </w:pPr>
            <w:r w:rsidRPr="00B275E2">
              <w:rPr>
                <w:rFonts w:cs="Calibri"/>
                <w:szCs w:val="18"/>
              </w:rPr>
              <w:t>CBrF</w:t>
            </w:r>
            <w:r w:rsidRPr="00B275E2">
              <w:rPr>
                <w:rFonts w:cs="Calibri"/>
                <w:szCs w:val="18"/>
                <w:vertAlign w:val="subscript"/>
              </w:rPr>
              <w:t>3</w:t>
            </w:r>
          </w:p>
        </w:tc>
        <w:tc>
          <w:tcPr>
            <w:tcW w:w="709" w:type="dxa"/>
            <w:shd w:val="clear" w:color="auto" w:fill="auto"/>
            <w:tcMar>
              <w:left w:w="85" w:type="dxa"/>
              <w:right w:w="85" w:type="dxa"/>
            </w:tcMar>
            <w:hideMark/>
          </w:tcPr>
          <w:p w14:paraId="1802A012" w14:textId="16E43C2A"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37C38A83" w14:textId="1F6D5D2B" w:rsidR="005E2556" w:rsidRPr="00B275E2" w:rsidRDefault="005E2556" w:rsidP="00E627FC">
            <w:pPr>
              <w:pStyle w:val="TableText"/>
              <w:spacing w:before="40" w:after="40"/>
              <w:jc w:val="center"/>
              <w:rPr>
                <w:rFonts w:cs="Calibri"/>
                <w:szCs w:val="18"/>
              </w:rPr>
            </w:pPr>
            <w:r w:rsidRPr="00B275E2">
              <w:rPr>
                <w:rFonts w:cs="Calibri"/>
                <w:szCs w:val="18"/>
              </w:rPr>
              <w:t>7,140</w:t>
            </w:r>
          </w:p>
        </w:tc>
        <w:tc>
          <w:tcPr>
            <w:tcW w:w="1275" w:type="dxa"/>
            <w:shd w:val="clear" w:color="auto" w:fill="auto"/>
            <w:tcMar>
              <w:left w:w="85" w:type="dxa"/>
              <w:right w:w="85" w:type="dxa"/>
            </w:tcMar>
            <w:hideMark/>
          </w:tcPr>
          <w:p w14:paraId="63A59CDD" w14:textId="419C04E0" w:rsidR="005E2556" w:rsidRPr="00B275E2" w:rsidRDefault="005E2556" w:rsidP="00E627FC">
            <w:pPr>
              <w:pStyle w:val="TableText"/>
              <w:spacing w:before="40" w:after="40"/>
              <w:jc w:val="center"/>
              <w:rPr>
                <w:rFonts w:cs="Calibri"/>
                <w:szCs w:val="18"/>
              </w:rPr>
            </w:pPr>
            <w:r w:rsidRPr="00B275E2">
              <w:rPr>
                <w:rFonts w:cs="Calibri"/>
                <w:szCs w:val="18"/>
              </w:rPr>
              <w:t>6,290</w:t>
            </w:r>
          </w:p>
        </w:tc>
      </w:tr>
      <w:tr w:rsidR="005E2556" w:rsidRPr="00B275E2" w14:paraId="469B186E" w14:textId="77777777" w:rsidTr="00253FA5">
        <w:tc>
          <w:tcPr>
            <w:tcW w:w="3402" w:type="dxa"/>
            <w:shd w:val="clear" w:color="auto" w:fill="auto"/>
            <w:tcMar>
              <w:left w:w="85" w:type="dxa"/>
              <w:right w:w="85" w:type="dxa"/>
            </w:tcMar>
            <w:hideMark/>
          </w:tcPr>
          <w:p w14:paraId="3817D420" w14:textId="50DF2995" w:rsidR="005E2556" w:rsidRPr="00B275E2" w:rsidRDefault="005E2556" w:rsidP="000E1F19">
            <w:pPr>
              <w:pStyle w:val="TableText"/>
              <w:spacing w:before="40" w:after="40"/>
              <w:rPr>
                <w:rFonts w:cs="Calibri"/>
                <w:szCs w:val="18"/>
              </w:rPr>
            </w:pPr>
            <w:r w:rsidRPr="00B275E2">
              <w:rPr>
                <w:rFonts w:cs="Calibri"/>
                <w:szCs w:val="18"/>
              </w:rPr>
              <w:t>Halon-1211</w:t>
            </w:r>
            <w:r w:rsidR="00A42624" w:rsidRPr="00B275E2">
              <w:rPr>
                <w:rFonts w:cs="Calibri"/>
                <w:szCs w:val="18"/>
              </w:rPr>
              <w:t xml:space="preserve"> </w:t>
            </w:r>
          </w:p>
        </w:tc>
        <w:tc>
          <w:tcPr>
            <w:tcW w:w="1843" w:type="dxa"/>
            <w:shd w:val="clear" w:color="auto" w:fill="auto"/>
            <w:tcMar>
              <w:left w:w="85" w:type="dxa"/>
              <w:right w:w="85" w:type="dxa"/>
            </w:tcMar>
            <w:hideMark/>
          </w:tcPr>
          <w:p w14:paraId="0531B049" w14:textId="4CE4CD82" w:rsidR="005E2556" w:rsidRPr="00B275E2" w:rsidRDefault="005E2556" w:rsidP="00FD06E4">
            <w:pPr>
              <w:pStyle w:val="TableText"/>
              <w:spacing w:before="40" w:after="40"/>
              <w:rPr>
                <w:rFonts w:cs="Calibri"/>
                <w:szCs w:val="18"/>
              </w:rPr>
            </w:pPr>
            <w:r w:rsidRPr="00B275E2">
              <w:rPr>
                <w:rFonts w:cs="Calibri"/>
                <w:szCs w:val="18"/>
              </w:rPr>
              <w:t>CBrClF</w:t>
            </w:r>
            <w:r w:rsidRPr="00B275E2">
              <w:rPr>
                <w:rFonts w:cs="Calibri"/>
                <w:szCs w:val="18"/>
                <w:vertAlign w:val="subscript"/>
              </w:rPr>
              <w:t>2</w:t>
            </w:r>
          </w:p>
        </w:tc>
        <w:tc>
          <w:tcPr>
            <w:tcW w:w="709" w:type="dxa"/>
            <w:shd w:val="clear" w:color="auto" w:fill="auto"/>
            <w:tcMar>
              <w:left w:w="85" w:type="dxa"/>
              <w:right w:w="85" w:type="dxa"/>
            </w:tcMar>
            <w:hideMark/>
          </w:tcPr>
          <w:p w14:paraId="5E44A022" w14:textId="00ACD231"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09C01A5D" w14:textId="1973DF71" w:rsidR="005E2556" w:rsidRPr="00B275E2" w:rsidRDefault="005E2556" w:rsidP="00E627FC">
            <w:pPr>
              <w:pStyle w:val="TableText"/>
              <w:spacing w:before="40" w:after="40"/>
              <w:jc w:val="center"/>
              <w:rPr>
                <w:rFonts w:cs="Calibri"/>
                <w:szCs w:val="18"/>
              </w:rPr>
            </w:pPr>
            <w:r w:rsidRPr="00B275E2">
              <w:rPr>
                <w:rFonts w:cs="Calibri"/>
                <w:szCs w:val="18"/>
              </w:rPr>
              <w:t>1,890</w:t>
            </w:r>
          </w:p>
        </w:tc>
        <w:tc>
          <w:tcPr>
            <w:tcW w:w="1275" w:type="dxa"/>
            <w:shd w:val="clear" w:color="auto" w:fill="auto"/>
            <w:tcMar>
              <w:left w:w="85" w:type="dxa"/>
              <w:right w:w="85" w:type="dxa"/>
            </w:tcMar>
            <w:hideMark/>
          </w:tcPr>
          <w:p w14:paraId="29C00561" w14:textId="0D4FB245" w:rsidR="005E2556" w:rsidRPr="00B275E2" w:rsidRDefault="005E2556" w:rsidP="00E627FC">
            <w:pPr>
              <w:pStyle w:val="TableText"/>
              <w:spacing w:before="40" w:after="40"/>
              <w:jc w:val="center"/>
              <w:rPr>
                <w:rFonts w:cs="Calibri"/>
                <w:szCs w:val="18"/>
              </w:rPr>
            </w:pPr>
            <w:r w:rsidRPr="00B275E2">
              <w:rPr>
                <w:rFonts w:cs="Calibri"/>
                <w:szCs w:val="18"/>
              </w:rPr>
              <w:t>1,750</w:t>
            </w:r>
          </w:p>
        </w:tc>
      </w:tr>
      <w:tr w:rsidR="005E2556" w:rsidRPr="00B275E2" w14:paraId="40C66534" w14:textId="77777777" w:rsidTr="00253FA5">
        <w:tc>
          <w:tcPr>
            <w:tcW w:w="3402" w:type="dxa"/>
            <w:shd w:val="clear" w:color="auto" w:fill="auto"/>
            <w:tcMar>
              <w:left w:w="85" w:type="dxa"/>
              <w:right w:w="85" w:type="dxa"/>
            </w:tcMar>
            <w:hideMark/>
          </w:tcPr>
          <w:p w14:paraId="470504A9" w14:textId="0A5C80A7" w:rsidR="005E2556" w:rsidRPr="00B275E2" w:rsidRDefault="005E2556" w:rsidP="000E1F19">
            <w:pPr>
              <w:pStyle w:val="TableText"/>
              <w:spacing w:before="40" w:after="40"/>
              <w:rPr>
                <w:rFonts w:cs="Calibri"/>
                <w:szCs w:val="18"/>
              </w:rPr>
            </w:pPr>
            <w:r w:rsidRPr="00B275E2">
              <w:rPr>
                <w:rFonts w:cs="Calibri"/>
                <w:szCs w:val="18"/>
              </w:rPr>
              <w:t>Halon-2402</w:t>
            </w:r>
            <w:r w:rsidR="00A42624" w:rsidRPr="00B275E2">
              <w:rPr>
                <w:rFonts w:cs="Calibri"/>
                <w:szCs w:val="18"/>
              </w:rPr>
              <w:t xml:space="preserve"> </w:t>
            </w:r>
          </w:p>
        </w:tc>
        <w:tc>
          <w:tcPr>
            <w:tcW w:w="1843" w:type="dxa"/>
            <w:shd w:val="clear" w:color="auto" w:fill="auto"/>
            <w:tcMar>
              <w:left w:w="85" w:type="dxa"/>
              <w:right w:w="85" w:type="dxa"/>
            </w:tcMar>
            <w:hideMark/>
          </w:tcPr>
          <w:p w14:paraId="269092ED" w14:textId="01084CBD" w:rsidR="005E2556" w:rsidRPr="00B275E2" w:rsidRDefault="005E2556" w:rsidP="00FD06E4">
            <w:pPr>
              <w:pStyle w:val="TableText"/>
              <w:spacing w:before="40" w:after="40"/>
              <w:rPr>
                <w:rFonts w:cs="Calibri"/>
                <w:szCs w:val="18"/>
              </w:rPr>
            </w:pPr>
            <w:r w:rsidRPr="00B275E2">
              <w:rPr>
                <w:rFonts w:cs="Calibri"/>
                <w:szCs w:val="18"/>
              </w:rPr>
              <w:t>CBrF</w:t>
            </w:r>
            <w:r w:rsidRPr="00B275E2">
              <w:rPr>
                <w:rFonts w:cs="Calibri"/>
                <w:szCs w:val="18"/>
                <w:vertAlign w:val="subscript"/>
              </w:rPr>
              <w:t>2</w:t>
            </w:r>
            <w:r w:rsidRPr="00B275E2">
              <w:rPr>
                <w:rFonts w:cs="Calibri"/>
                <w:szCs w:val="18"/>
              </w:rPr>
              <w:t>CBrF</w:t>
            </w:r>
            <w:r w:rsidRPr="00B275E2">
              <w:rPr>
                <w:rFonts w:cs="Calibri"/>
                <w:szCs w:val="18"/>
                <w:vertAlign w:val="subscript"/>
              </w:rPr>
              <w:t>2</w:t>
            </w:r>
          </w:p>
        </w:tc>
        <w:tc>
          <w:tcPr>
            <w:tcW w:w="709" w:type="dxa"/>
            <w:shd w:val="clear" w:color="auto" w:fill="auto"/>
            <w:tcMar>
              <w:left w:w="85" w:type="dxa"/>
              <w:right w:w="85" w:type="dxa"/>
            </w:tcMar>
            <w:hideMark/>
          </w:tcPr>
          <w:p w14:paraId="1361452C" w14:textId="3674A536"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15A76FDF" w14:textId="4576A7BB" w:rsidR="005E2556" w:rsidRPr="00B275E2" w:rsidRDefault="005E2556" w:rsidP="00E627FC">
            <w:pPr>
              <w:pStyle w:val="TableText"/>
              <w:spacing w:before="40" w:after="40"/>
              <w:jc w:val="center"/>
              <w:rPr>
                <w:rFonts w:cs="Calibri"/>
                <w:szCs w:val="18"/>
              </w:rPr>
            </w:pPr>
            <w:r w:rsidRPr="00B275E2">
              <w:rPr>
                <w:rFonts w:cs="Calibri"/>
                <w:szCs w:val="18"/>
              </w:rPr>
              <w:t>1,640</w:t>
            </w:r>
          </w:p>
        </w:tc>
        <w:tc>
          <w:tcPr>
            <w:tcW w:w="1275" w:type="dxa"/>
            <w:shd w:val="clear" w:color="auto" w:fill="auto"/>
            <w:tcMar>
              <w:left w:w="85" w:type="dxa"/>
              <w:right w:w="85" w:type="dxa"/>
            </w:tcMar>
            <w:hideMark/>
          </w:tcPr>
          <w:p w14:paraId="537B6B0B" w14:textId="740D8048" w:rsidR="005E2556" w:rsidRPr="00B275E2" w:rsidRDefault="005E2556" w:rsidP="00E627FC">
            <w:pPr>
              <w:pStyle w:val="TableText"/>
              <w:spacing w:before="40" w:after="40"/>
              <w:jc w:val="center"/>
              <w:rPr>
                <w:rFonts w:cs="Calibri"/>
                <w:szCs w:val="18"/>
              </w:rPr>
            </w:pPr>
            <w:r w:rsidRPr="00B275E2">
              <w:rPr>
                <w:rFonts w:cs="Calibri"/>
                <w:szCs w:val="18"/>
              </w:rPr>
              <w:t>1,470</w:t>
            </w:r>
          </w:p>
        </w:tc>
      </w:tr>
      <w:tr w:rsidR="005E2556" w:rsidRPr="00B275E2" w14:paraId="5751F846" w14:textId="77777777" w:rsidTr="00253FA5">
        <w:tc>
          <w:tcPr>
            <w:tcW w:w="3402" w:type="dxa"/>
            <w:shd w:val="clear" w:color="auto" w:fill="auto"/>
            <w:tcMar>
              <w:left w:w="85" w:type="dxa"/>
              <w:right w:w="85" w:type="dxa"/>
            </w:tcMar>
            <w:hideMark/>
          </w:tcPr>
          <w:p w14:paraId="16255E6D" w14:textId="7F6C44A2" w:rsidR="005E2556" w:rsidRPr="00B275E2" w:rsidRDefault="005E2556" w:rsidP="000E1F19">
            <w:pPr>
              <w:pStyle w:val="TableText"/>
              <w:spacing w:before="40" w:after="40"/>
              <w:rPr>
                <w:rFonts w:cs="Calibri"/>
                <w:szCs w:val="18"/>
              </w:rPr>
            </w:pPr>
            <w:r w:rsidRPr="00B275E2">
              <w:rPr>
                <w:rFonts w:cs="Calibri"/>
                <w:szCs w:val="18"/>
              </w:rPr>
              <w:t>Carbon tetrachloride</w:t>
            </w:r>
            <w:r w:rsidR="00A42624" w:rsidRPr="00B275E2">
              <w:rPr>
                <w:rFonts w:cs="Calibri"/>
                <w:szCs w:val="18"/>
              </w:rPr>
              <w:t xml:space="preserve"> </w:t>
            </w:r>
          </w:p>
        </w:tc>
        <w:tc>
          <w:tcPr>
            <w:tcW w:w="1843" w:type="dxa"/>
            <w:shd w:val="clear" w:color="auto" w:fill="auto"/>
            <w:tcMar>
              <w:left w:w="85" w:type="dxa"/>
              <w:right w:w="85" w:type="dxa"/>
            </w:tcMar>
            <w:hideMark/>
          </w:tcPr>
          <w:p w14:paraId="32A4299B" w14:textId="33F2D096" w:rsidR="005E2556" w:rsidRPr="00B275E2" w:rsidRDefault="005E2556" w:rsidP="00FD06E4">
            <w:pPr>
              <w:pStyle w:val="TableText"/>
              <w:spacing w:before="40" w:after="40"/>
              <w:rPr>
                <w:rFonts w:cs="Calibri"/>
                <w:szCs w:val="18"/>
              </w:rPr>
            </w:pPr>
            <w:r w:rsidRPr="00B275E2">
              <w:rPr>
                <w:rFonts w:cs="Calibri"/>
                <w:szCs w:val="18"/>
              </w:rPr>
              <w:t>CCl</w:t>
            </w:r>
            <w:r w:rsidRPr="00B275E2">
              <w:rPr>
                <w:rFonts w:cs="Calibri"/>
                <w:szCs w:val="18"/>
                <w:vertAlign w:val="subscript"/>
              </w:rPr>
              <w:t>4</w:t>
            </w:r>
          </w:p>
        </w:tc>
        <w:tc>
          <w:tcPr>
            <w:tcW w:w="709" w:type="dxa"/>
            <w:shd w:val="clear" w:color="auto" w:fill="auto"/>
            <w:tcMar>
              <w:left w:w="85" w:type="dxa"/>
              <w:right w:w="85" w:type="dxa"/>
            </w:tcMar>
            <w:hideMark/>
          </w:tcPr>
          <w:p w14:paraId="5EDCE703" w14:textId="0538CC0F"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5B9757C6" w14:textId="44FF31B5" w:rsidR="005E2556" w:rsidRPr="00B275E2" w:rsidRDefault="005E2556" w:rsidP="00E627FC">
            <w:pPr>
              <w:pStyle w:val="TableText"/>
              <w:spacing w:before="40" w:after="40"/>
              <w:jc w:val="center"/>
              <w:rPr>
                <w:rFonts w:cs="Calibri"/>
                <w:szCs w:val="18"/>
              </w:rPr>
            </w:pPr>
            <w:r w:rsidRPr="00B275E2">
              <w:rPr>
                <w:rFonts w:cs="Calibri"/>
                <w:szCs w:val="18"/>
              </w:rPr>
              <w:t>1,400</w:t>
            </w:r>
          </w:p>
        </w:tc>
        <w:tc>
          <w:tcPr>
            <w:tcW w:w="1275" w:type="dxa"/>
            <w:shd w:val="clear" w:color="auto" w:fill="auto"/>
            <w:tcMar>
              <w:left w:w="85" w:type="dxa"/>
              <w:right w:w="85" w:type="dxa"/>
            </w:tcMar>
            <w:hideMark/>
          </w:tcPr>
          <w:p w14:paraId="580F202B" w14:textId="0D22C7CC" w:rsidR="005E2556" w:rsidRPr="00B275E2" w:rsidRDefault="005E2556" w:rsidP="00E627FC">
            <w:pPr>
              <w:pStyle w:val="TableText"/>
              <w:spacing w:before="40" w:after="40"/>
              <w:jc w:val="center"/>
              <w:rPr>
                <w:rFonts w:cs="Calibri"/>
                <w:szCs w:val="18"/>
              </w:rPr>
            </w:pPr>
            <w:r w:rsidRPr="00B275E2">
              <w:rPr>
                <w:rFonts w:cs="Calibri"/>
                <w:szCs w:val="18"/>
              </w:rPr>
              <w:t>1,750</w:t>
            </w:r>
          </w:p>
        </w:tc>
      </w:tr>
      <w:tr w:rsidR="005E2556" w:rsidRPr="00B275E2" w14:paraId="554D412E" w14:textId="77777777" w:rsidTr="00253FA5">
        <w:tc>
          <w:tcPr>
            <w:tcW w:w="3402" w:type="dxa"/>
            <w:shd w:val="clear" w:color="auto" w:fill="auto"/>
            <w:tcMar>
              <w:left w:w="85" w:type="dxa"/>
              <w:right w:w="85" w:type="dxa"/>
            </w:tcMar>
            <w:hideMark/>
          </w:tcPr>
          <w:p w14:paraId="7EAE696C" w14:textId="37FFA6E6" w:rsidR="005E2556" w:rsidRPr="00B275E2" w:rsidRDefault="005E2556" w:rsidP="000E1F19">
            <w:pPr>
              <w:pStyle w:val="TableText"/>
              <w:spacing w:before="40" w:after="40"/>
              <w:rPr>
                <w:rFonts w:cs="Calibri"/>
                <w:szCs w:val="18"/>
              </w:rPr>
            </w:pPr>
            <w:r w:rsidRPr="00B275E2">
              <w:rPr>
                <w:rFonts w:cs="Calibri"/>
                <w:szCs w:val="18"/>
              </w:rPr>
              <w:t>Methyl bromide</w:t>
            </w:r>
            <w:r w:rsidR="00A42624" w:rsidRPr="00B275E2">
              <w:rPr>
                <w:rFonts w:cs="Calibri"/>
                <w:szCs w:val="18"/>
              </w:rPr>
              <w:t xml:space="preserve"> </w:t>
            </w:r>
          </w:p>
        </w:tc>
        <w:tc>
          <w:tcPr>
            <w:tcW w:w="1843" w:type="dxa"/>
            <w:shd w:val="clear" w:color="auto" w:fill="auto"/>
            <w:tcMar>
              <w:left w:w="85" w:type="dxa"/>
              <w:right w:w="85" w:type="dxa"/>
            </w:tcMar>
            <w:hideMark/>
          </w:tcPr>
          <w:p w14:paraId="040F45D4" w14:textId="6EF90C73" w:rsidR="005E2556" w:rsidRPr="00B275E2" w:rsidRDefault="005E2556" w:rsidP="00FD06E4">
            <w:pPr>
              <w:pStyle w:val="TableText"/>
              <w:spacing w:before="40" w:after="40"/>
              <w:rPr>
                <w:rFonts w:cs="Calibri"/>
                <w:szCs w:val="18"/>
              </w:rPr>
            </w:pPr>
            <w:r w:rsidRPr="00B275E2">
              <w:rPr>
                <w:rFonts w:cs="Calibri"/>
                <w:szCs w:val="18"/>
              </w:rPr>
              <w:t>CH</w:t>
            </w:r>
            <w:r w:rsidRPr="00B275E2">
              <w:rPr>
                <w:rFonts w:cs="Calibri"/>
                <w:szCs w:val="18"/>
                <w:vertAlign w:val="subscript"/>
              </w:rPr>
              <w:t>3</w:t>
            </w:r>
            <w:r w:rsidRPr="00B275E2">
              <w:rPr>
                <w:rFonts w:cs="Calibri"/>
                <w:szCs w:val="18"/>
              </w:rPr>
              <w:t>Br</w:t>
            </w:r>
          </w:p>
        </w:tc>
        <w:tc>
          <w:tcPr>
            <w:tcW w:w="709" w:type="dxa"/>
            <w:shd w:val="clear" w:color="auto" w:fill="auto"/>
            <w:tcMar>
              <w:left w:w="85" w:type="dxa"/>
              <w:right w:w="85" w:type="dxa"/>
            </w:tcMar>
            <w:hideMark/>
          </w:tcPr>
          <w:p w14:paraId="58F69794" w14:textId="635F9009"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0721E023" w14:textId="0A5784D3" w:rsidR="005E2556" w:rsidRPr="00B275E2" w:rsidRDefault="005E2556" w:rsidP="00E627FC">
            <w:pPr>
              <w:pStyle w:val="TableText"/>
              <w:spacing w:before="40" w:after="40"/>
              <w:jc w:val="center"/>
              <w:rPr>
                <w:rFonts w:cs="Calibri"/>
                <w:szCs w:val="18"/>
              </w:rPr>
            </w:pPr>
            <w:r w:rsidRPr="00B275E2">
              <w:rPr>
                <w:rFonts w:cs="Calibri"/>
                <w:szCs w:val="18"/>
              </w:rPr>
              <w:t>5</w:t>
            </w:r>
          </w:p>
        </w:tc>
        <w:tc>
          <w:tcPr>
            <w:tcW w:w="1275" w:type="dxa"/>
            <w:shd w:val="clear" w:color="auto" w:fill="auto"/>
            <w:tcMar>
              <w:left w:w="85" w:type="dxa"/>
              <w:right w:w="85" w:type="dxa"/>
            </w:tcMar>
            <w:hideMark/>
          </w:tcPr>
          <w:p w14:paraId="39A04A40" w14:textId="5A8F5078" w:rsidR="005E2556" w:rsidRPr="00B275E2" w:rsidRDefault="005E2556" w:rsidP="00E627FC">
            <w:pPr>
              <w:pStyle w:val="TableText"/>
              <w:spacing w:before="40" w:after="40"/>
              <w:jc w:val="center"/>
              <w:rPr>
                <w:rFonts w:cs="Calibri"/>
                <w:szCs w:val="18"/>
              </w:rPr>
            </w:pPr>
            <w:r w:rsidRPr="00B275E2">
              <w:rPr>
                <w:rFonts w:cs="Calibri"/>
                <w:szCs w:val="18"/>
              </w:rPr>
              <w:t>2</w:t>
            </w:r>
          </w:p>
        </w:tc>
      </w:tr>
      <w:tr w:rsidR="005E2556" w:rsidRPr="00B275E2" w14:paraId="6A767093" w14:textId="77777777" w:rsidTr="00253FA5">
        <w:tc>
          <w:tcPr>
            <w:tcW w:w="3402" w:type="dxa"/>
            <w:shd w:val="clear" w:color="auto" w:fill="auto"/>
            <w:tcMar>
              <w:left w:w="85" w:type="dxa"/>
              <w:right w:w="85" w:type="dxa"/>
            </w:tcMar>
            <w:hideMark/>
          </w:tcPr>
          <w:p w14:paraId="0FCA69F1" w14:textId="0E15D456" w:rsidR="005E2556" w:rsidRPr="00B275E2" w:rsidRDefault="005E2556" w:rsidP="000E1F19">
            <w:pPr>
              <w:pStyle w:val="TableText"/>
              <w:spacing w:before="40" w:after="40"/>
              <w:rPr>
                <w:rFonts w:cs="Calibri"/>
                <w:szCs w:val="18"/>
              </w:rPr>
            </w:pPr>
            <w:r w:rsidRPr="00B275E2">
              <w:rPr>
                <w:rFonts w:cs="Calibri"/>
                <w:szCs w:val="18"/>
              </w:rPr>
              <w:t>Methyl chloroform</w:t>
            </w:r>
            <w:r w:rsidR="00A42624" w:rsidRPr="00B275E2">
              <w:rPr>
                <w:rFonts w:cs="Calibri"/>
                <w:szCs w:val="18"/>
              </w:rPr>
              <w:t xml:space="preserve"> </w:t>
            </w:r>
          </w:p>
        </w:tc>
        <w:tc>
          <w:tcPr>
            <w:tcW w:w="1843" w:type="dxa"/>
            <w:shd w:val="clear" w:color="auto" w:fill="auto"/>
            <w:tcMar>
              <w:left w:w="85" w:type="dxa"/>
              <w:right w:w="85" w:type="dxa"/>
            </w:tcMar>
            <w:hideMark/>
          </w:tcPr>
          <w:p w14:paraId="634EE910" w14:textId="642597A3" w:rsidR="005E2556" w:rsidRPr="00B275E2" w:rsidRDefault="005E2556" w:rsidP="00FD06E4">
            <w:pPr>
              <w:pStyle w:val="TableText"/>
              <w:spacing w:before="40" w:after="40"/>
              <w:rPr>
                <w:rFonts w:cs="Calibri"/>
                <w:szCs w:val="18"/>
              </w:rPr>
            </w:pPr>
            <w:r w:rsidRPr="00B275E2">
              <w:rPr>
                <w:rFonts w:cs="Calibri"/>
                <w:szCs w:val="18"/>
              </w:rPr>
              <w:t>CH</w:t>
            </w:r>
            <w:r w:rsidRPr="00B275E2">
              <w:rPr>
                <w:rFonts w:cs="Calibri"/>
                <w:szCs w:val="18"/>
                <w:vertAlign w:val="subscript"/>
              </w:rPr>
              <w:t>3</w:t>
            </w:r>
            <w:r w:rsidRPr="00B275E2">
              <w:rPr>
                <w:rFonts w:cs="Calibri"/>
                <w:szCs w:val="18"/>
              </w:rPr>
              <w:t>CCl</w:t>
            </w:r>
            <w:r w:rsidRPr="00B275E2">
              <w:rPr>
                <w:rFonts w:cs="Calibri"/>
                <w:szCs w:val="18"/>
                <w:vertAlign w:val="subscript"/>
              </w:rPr>
              <w:t>3</w:t>
            </w:r>
          </w:p>
        </w:tc>
        <w:tc>
          <w:tcPr>
            <w:tcW w:w="709" w:type="dxa"/>
            <w:shd w:val="clear" w:color="auto" w:fill="auto"/>
            <w:tcMar>
              <w:left w:w="85" w:type="dxa"/>
              <w:right w:w="85" w:type="dxa"/>
            </w:tcMar>
            <w:hideMark/>
          </w:tcPr>
          <w:p w14:paraId="654FF296" w14:textId="11373769"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471A5449" w14:textId="470EDFD0" w:rsidR="005E2556" w:rsidRPr="00B275E2" w:rsidRDefault="005E2556" w:rsidP="00E627FC">
            <w:pPr>
              <w:pStyle w:val="TableText"/>
              <w:spacing w:before="40" w:after="40"/>
              <w:jc w:val="center"/>
              <w:rPr>
                <w:rFonts w:cs="Calibri"/>
                <w:szCs w:val="18"/>
              </w:rPr>
            </w:pPr>
            <w:r w:rsidRPr="00B275E2">
              <w:rPr>
                <w:rFonts w:cs="Calibri"/>
                <w:szCs w:val="18"/>
              </w:rPr>
              <w:t>146</w:t>
            </w:r>
          </w:p>
        </w:tc>
        <w:tc>
          <w:tcPr>
            <w:tcW w:w="1275" w:type="dxa"/>
            <w:shd w:val="clear" w:color="auto" w:fill="auto"/>
            <w:tcMar>
              <w:left w:w="85" w:type="dxa"/>
              <w:right w:w="85" w:type="dxa"/>
            </w:tcMar>
            <w:hideMark/>
          </w:tcPr>
          <w:p w14:paraId="58204EA8" w14:textId="20AD0EB3" w:rsidR="005E2556" w:rsidRPr="00B275E2" w:rsidRDefault="005E2556" w:rsidP="00E627FC">
            <w:pPr>
              <w:pStyle w:val="TableText"/>
              <w:spacing w:before="40" w:after="40"/>
              <w:jc w:val="center"/>
              <w:rPr>
                <w:rFonts w:cs="Calibri"/>
                <w:szCs w:val="18"/>
              </w:rPr>
            </w:pPr>
            <w:r w:rsidRPr="00B275E2">
              <w:rPr>
                <w:rFonts w:cs="Calibri"/>
                <w:szCs w:val="18"/>
              </w:rPr>
              <w:t>160</w:t>
            </w:r>
          </w:p>
        </w:tc>
      </w:tr>
      <w:tr w:rsidR="005E2556" w:rsidRPr="00B275E2" w14:paraId="2303B2B9" w14:textId="77777777" w:rsidTr="00253FA5">
        <w:tc>
          <w:tcPr>
            <w:tcW w:w="3402" w:type="dxa"/>
            <w:shd w:val="clear" w:color="auto" w:fill="auto"/>
            <w:tcMar>
              <w:left w:w="85" w:type="dxa"/>
              <w:right w:w="85" w:type="dxa"/>
            </w:tcMar>
            <w:hideMark/>
          </w:tcPr>
          <w:p w14:paraId="5CC9A6AB" w14:textId="77777777" w:rsidR="005E2556" w:rsidRPr="00B275E2" w:rsidRDefault="005E2556" w:rsidP="000E1F19">
            <w:pPr>
              <w:pStyle w:val="TableText"/>
              <w:spacing w:before="40" w:after="40"/>
              <w:rPr>
                <w:rFonts w:cs="Calibri"/>
                <w:szCs w:val="18"/>
              </w:rPr>
            </w:pPr>
            <w:r w:rsidRPr="00B275E2">
              <w:rPr>
                <w:rFonts w:cs="Calibri"/>
                <w:szCs w:val="18"/>
              </w:rPr>
              <w:t>HCFC-21 </w:t>
            </w:r>
          </w:p>
        </w:tc>
        <w:tc>
          <w:tcPr>
            <w:tcW w:w="1843" w:type="dxa"/>
            <w:shd w:val="clear" w:color="auto" w:fill="auto"/>
            <w:tcMar>
              <w:left w:w="85" w:type="dxa"/>
              <w:right w:w="85" w:type="dxa"/>
            </w:tcMar>
            <w:hideMark/>
          </w:tcPr>
          <w:p w14:paraId="3F0BE435" w14:textId="0E557FE7" w:rsidR="005E2556" w:rsidRPr="00B275E2" w:rsidRDefault="005E2556" w:rsidP="00FD06E4">
            <w:pPr>
              <w:pStyle w:val="TableText"/>
              <w:spacing w:before="40" w:after="40"/>
              <w:rPr>
                <w:rFonts w:cs="Calibri"/>
                <w:szCs w:val="18"/>
              </w:rPr>
            </w:pPr>
            <w:r w:rsidRPr="00B275E2">
              <w:rPr>
                <w:rFonts w:cs="Calibri"/>
                <w:szCs w:val="18"/>
              </w:rPr>
              <w:t>CHCl</w:t>
            </w:r>
            <w:r w:rsidRPr="00B275E2">
              <w:rPr>
                <w:rFonts w:cs="Calibri"/>
                <w:szCs w:val="18"/>
                <w:vertAlign w:val="subscript"/>
              </w:rPr>
              <w:t>2</w:t>
            </w:r>
            <w:r w:rsidRPr="00B275E2">
              <w:rPr>
                <w:rFonts w:cs="Calibri"/>
                <w:szCs w:val="18"/>
              </w:rPr>
              <w:t>F</w:t>
            </w:r>
          </w:p>
        </w:tc>
        <w:tc>
          <w:tcPr>
            <w:tcW w:w="709" w:type="dxa"/>
            <w:shd w:val="clear" w:color="auto" w:fill="auto"/>
            <w:tcMar>
              <w:left w:w="85" w:type="dxa"/>
              <w:right w:w="85" w:type="dxa"/>
            </w:tcMar>
            <w:hideMark/>
          </w:tcPr>
          <w:p w14:paraId="463EA948" w14:textId="011882B6"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6CF11BCD" w14:textId="2A199E3A" w:rsidR="005E2556" w:rsidRPr="00B275E2" w:rsidRDefault="003D1A58" w:rsidP="00E627FC">
            <w:pPr>
              <w:pStyle w:val="TableText"/>
              <w:spacing w:before="40" w:after="40"/>
              <w:jc w:val="center"/>
              <w:rPr>
                <w:rFonts w:cs="Calibri"/>
                <w:szCs w:val="18"/>
              </w:rPr>
            </w:pPr>
            <w:r w:rsidRPr="00B275E2">
              <w:rPr>
                <w:rFonts w:cs="Calibri"/>
                <w:szCs w:val="18"/>
              </w:rPr>
              <w:t>n/a</w:t>
            </w:r>
          </w:p>
        </w:tc>
        <w:tc>
          <w:tcPr>
            <w:tcW w:w="1275" w:type="dxa"/>
            <w:shd w:val="clear" w:color="auto" w:fill="auto"/>
            <w:tcMar>
              <w:left w:w="85" w:type="dxa"/>
              <w:right w:w="85" w:type="dxa"/>
            </w:tcMar>
            <w:hideMark/>
          </w:tcPr>
          <w:p w14:paraId="78C46FD8" w14:textId="33D7EF90" w:rsidR="005E2556" w:rsidRPr="00B275E2" w:rsidRDefault="005E2556" w:rsidP="00E627FC">
            <w:pPr>
              <w:pStyle w:val="TableText"/>
              <w:spacing w:before="40" w:after="40"/>
              <w:jc w:val="center"/>
              <w:rPr>
                <w:rFonts w:cs="Calibri"/>
                <w:szCs w:val="18"/>
              </w:rPr>
            </w:pPr>
            <w:r w:rsidRPr="00B275E2">
              <w:rPr>
                <w:rFonts w:cs="Calibri"/>
                <w:szCs w:val="18"/>
              </w:rPr>
              <w:t>148</w:t>
            </w:r>
          </w:p>
        </w:tc>
      </w:tr>
      <w:tr w:rsidR="005E2556" w:rsidRPr="00B275E2" w14:paraId="7B28F54A" w14:textId="77777777" w:rsidTr="00253FA5">
        <w:tc>
          <w:tcPr>
            <w:tcW w:w="3402" w:type="dxa"/>
            <w:shd w:val="clear" w:color="auto" w:fill="auto"/>
            <w:tcMar>
              <w:left w:w="85" w:type="dxa"/>
              <w:right w:w="85" w:type="dxa"/>
            </w:tcMar>
            <w:hideMark/>
          </w:tcPr>
          <w:p w14:paraId="5FEC236B" w14:textId="18AA1328" w:rsidR="005E2556" w:rsidRPr="00B275E2" w:rsidRDefault="005E2556" w:rsidP="000E1F19">
            <w:pPr>
              <w:pStyle w:val="TableText"/>
              <w:spacing w:before="40" w:after="40"/>
              <w:rPr>
                <w:rFonts w:cs="Calibri"/>
                <w:szCs w:val="18"/>
              </w:rPr>
            </w:pPr>
            <w:r w:rsidRPr="00B275E2">
              <w:rPr>
                <w:rFonts w:cs="Calibri"/>
                <w:szCs w:val="18"/>
              </w:rPr>
              <w:t>HCFC-22</w:t>
            </w:r>
            <w:r w:rsidR="00A42624" w:rsidRPr="00B275E2">
              <w:rPr>
                <w:rFonts w:cs="Calibri"/>
                <w:szCs w:val="18"/>
              </w:rPr>
              <w:t xml:space="preserve"> </w:t>
            </w:r>
          </w:p>
        </w:tc>
        <w:tc>
          <w:tcPr>
            <w:tcW w:w="1843" w:type="dxa"/>
            <w:shd w:val="clear" w:color="auto" w:fill="auto"/>
            <w:tcMar>
              <w:left w:w="85" w:type="dxa"/>
              <w:right w:w="85" w:type="dxa"/>
            </w:tcMar>
            <w:hideMark/>
          </w:tcPr>
          <w:p w14:paraId="0117B344" w14:textId="245B1FAA" w:rsidR="005E2556" w:rsidRPr="00B275E2" w:rsidRDefault="005E2556" w:rsidP="00FD06E4">
            <w:pPr>
              <w:pStyle w:val="TableText"/>
              <w:spacing w:before="40" w:after="40"/>
              <w:rPr>
                <w:rFonts w:cs="Calibri"/>
                <w:szCs w:val="18"/>
              </w:rPr>
            </w:pPr>
            <w:r w:rsidRPr="00B275E2">
              <w:rPr>
                <w:rFonts w:cs="Calibri"/>
                <w:szCs w:val="18"/>
              </w:rPr>
              <w:t>CHClF</w:t>
            </w:r>
            <w:r w:rsidRPr="00B275E2">
              <w:rPr>
                <w:rFonts w:cs="Calibri"/>
                <w:szCs w:val="18"/>
                <w:vertAlign w:val="subscript"/>
              </w:rPr>
              <w:t>2</w:t>
            </w:r>
          </w:p>
        </w:tc>
        <w:tc>
          <w:tcPr>
            <w:tcW w:w="709" w:type="dxa"/>
            <w:shd w:val="clear" w:color="auto" w:fill="auto"/>
            <w:tcMar>
              <w:left w:w="85" w:type="dxa"/>
              <w:right w:w="85" w:type="dxa"/>
            </w:tcMar>
            <w:hideMark/>
          </w:tcPr>
          <w:p w14:paraId="0544E0B1" w14:textId="56DA824B"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3E6CA77D" w14:textId="7E0E2EA4" w:rsidR="005E2556" w:rsidRPr="00B275E2" w:rsidRDefault="005E2556" w:rsidP="00E627FC">
            <w:pPr>
              <w:pStyle w:val="TableText"/>
              <w:spacing w:before="40" w:after="40"/>
              <w:jc w:val="center"/>
              <w:rPr>
                <w:rFonts w:cs="Calibri"/>
                <w:szCs w:val="18"/>
              </w:rPr>
            </w:pPr>
            <w:r w:rsidRPr="00B275E2">
              <w:rPr>
                <w:rFonts w:cs="Calibri"/>
                <w:szCs w:val="18"/>
              </w:rPr>
              <w:t>1,810</w:t>
            </w:r>
          </w:p>
        </w:tc>
        <w:tc>
          <w:tcPr>
            <w:tcW w:w="1275" w:type="dxa"/>
            <w:shd w:val="clear" w:color="auto" w:fill="auto"/>
            <w:tcMar>
              <w:left w:w="85" w:type="dxa"/>
              <w:right w:w="85" w:type="dxa"/>
            </w:tcMar>
            <w:hideMark/>
          </w:tcPr>
          <w:p w14:paraId="69624CCB" w14:textId="012046CA" w:rsidR="005E2556" w:rsidRPr="00B275E2" w:rsidRDefault="005E2556" w:rsidP="00E627FC">
            <w:pPr>
              <w:pStyle w:val="TableText"/>
              <w:spacing w:before="40" w:after="40"/>
              <w:jc w:val="center"/>
              <w:rPr>
                <w:rFonts w:cs="Calibri"/>
                <w:szCs w:val="18"/>
              </w:rPr>
            </w:pPr>
            <w:r w:rsidRPr="00B275E2">
              <w:rPr>
                <w:rFonts w:cs="Calibri"/>
                <w:szCs w:val="18"/>
              </w:rPr>
              <w:t>1,760</w:t>
            </w:r>
          </w:p>
        </w:tc>
      </w:tr>
      <w:tr w:rsidR="005E2556" w:rsidRPr="00B275E2" w14:paraId="21478017" w14:textId="77777777" w:rsidTr="00253FA5">
        <w:tc>
          <w:tcPr>
            <w:tcW w:w="3402" w:type="dxa"/>
            <w:shd w:val="clear" w:color="auto" w:fill="auto"/>
            <w:tcMar>
              <w:left w:w="85" w:type="dxa"/>
              <w:right w:w="85" w:type="dxa"/>
            </w:tcMar>
            <w:hideMark/>
          </w:tcPr>
          <w:p w14:paraId="6D570726" w14:textId="52F32677" w:rsidR="005E2556" w:rsidRPr="00B275E2" w:rsidRDefault="005E2556" w:rsidP="000E1F19">
            <w:pPr>
              <w:pStyle w:val="TableText"/>
              <w:spacing w:before="40" w:after="40"/>
              <w:rPr>
                <w:rFonts w:cs="Calibri"/>
                <w:szCs w:val="18"/>
              </w:rPr>
            </w:pPr>
            <w:r w:rsidRPr="00B275E2">
              <w:rPr>
                <w:rFonts w:cs="Calibri"/>
                <w:szCs w:val="18"/>
              </w:rPr>
              <w:t>HCFC-123</w:t>
            </w:r>
            <w:r w:rsidR="00A42624" w:rsidRPr="00B275E2">
              <w:rPr>
                <w:rFonts w:cs="Calibri"/>
                <w:szCs w:val="18"/>
              </w:rPr>
              <w:t xml:space="preserve"> </w:t>
            </w:r>
          </w:p>
        </w:tc>
        <w:tc>
          <w:tcPr>
            <w:tcW w:w="1843" w:type="dxa"/>
            <w:shd w:val="clear" w:color="auto" w:fill="auto"/>
            <w:tcMar>
              <w:left w:w="85" w:type="dxa"/>
              <w:right w:w="85" w:type="dxa"/>
            </w:tcMar>
            <w:hideMark/>
          </w:tcPr>
          <w:p w14:paraId="3EBA32F8" w14:textId="17C54BCE" w:rsidR="005E2556" w:rsidRPr="00B275E2" w:rsidRDefault="005E2556" w:rsidP="00FD06E4">
            <w:pPr>
              <w:pStyle w:val="TableText"/>
              <w:spacing w:before="40" w:after="40"/>
              <w:rPr>
                <w:rFonts w:cs="Calibri"/>
                <w:szCs w:val="18"/>
              </w:rPr>
            </w:pPr>
            <w:r w:rsidRPr="00B275E2">
              <w:rPr>
                <w:rFonts w:cs="Calibri"/>
                <w:szCs w:val="18"/>
              </w:rPr>
              <w:t>CHCl</w:t>
            </w:r>
            <w:r w:rsidRPr="00B275E2">
              <w:rPr>
                <w:rFonts w:cs="Calibri"/>
                <w:szCs w:val="18"/>
                <w:vertAlign w:val="subscript"/>
              </w:rPr>
              <w:t>2</w:t>
            </w:r>
            <w:r w:rsidRPr="00B275E2">
              <w:rPr>
                <w:rFonts w:cs="Calibri"/>
                <w:szCs w:val="18"/>
              </w:rPr>
              <w:t>CF</w:t>
            </w:r>
            <w:r w:rsidRPr="00B275E2">
              <w:rPr>
                <w:rFonts w:cs="Calibri"/>
                <w:szCs w:val="18"/>
                <w:vertAlign w:val="subscript"/>
              </w:rPr>
              <w:t>3</w:t>
            </w:r>
          </w:p>
        </w:tc>
        <w:tc>
          <w:tcPr>
            <w:tcW w:w="709" w:type="dxa"/>
            <w:shd w:val="clear" w:color="auto" w:fill="auto"/>
            <w:tcMar>
              <w:left w:w="85" w:type="dxa"/>
              <w:right w:w="85" w:type="dxa"/>
            </w:tcMar>
            <w:hideMark/>
          </w:tcPr>
          <w:p w14:paraId="084218CF" w14:textId="06F9E3D3"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6ABE5FF7" w14:textId="4E485493" w:rsidR="005E2556" w:rsidRPr="00B275E2" w:rsidRDefault="005E2556" w:rsidP="00E627FC">
            <w:pPr>
              <w:pStyle w:val="TableText"/>
              <w:spacing w:before="40" w:after="40"/>
              <w:jc w:val="center"/>
              <w:rPr>
                <w:rFonts w:cs="Calibri"/>
                <w:szCs w:val="18"/>
              </w:rPr>
            </w:pPr>
            <w:r w:rsidRPr="00B275E2">
              <w:rPr>
                <w:rFonts w:cs="Calibri"/>
                <w:szCs w:val="18"/>
              </w:rPr>
              <w:t>77</w:t>
            </w:r>
          </w:p>
        </w:tc>
        <w:tc>
          <w:tcPr>
            <w:tcW w:w="1275" w:type="dxa"/>
            <w:shd w:val="clear" w:color="auto" w:fill="auto"/>
            <w:tcMar>
              <w:left w:w="85" w:type="dxa"/>
              <w:right w:w="85" w:type="dxa"/>
            </w:tcMar>
            <w:hideMark/>
          </w:tcPr>
          <w:p w14:paraId="24746B5C" w14:textId="47E17726" w:rsidR="005E2556" w:rsidRPr="00B275E2" w:rsidRDefault="005E2556" w:rsidP="00E627FC">
            <w:pPr>
              <w:pStyle w:val="TableText"/>
              <w:spacing w:before="40" w:after="40"/>
              <w:jc w:val="center"/>
              <w:rPr>
                <w:rFonts w:cs="Calibri"/>
                <w:szCs w:val="18"/>
              </w:rPr>
            </w:pPr>
            <w:r w:rsidRPr="00B275E2">
              <w:rPr>
                <w:rFonts w:cs="Calibri"/>
                <w:szCs w:val="18"/>
              </w:rPr>
              <w:t>79</w:t>
            </w:r>
          </w:p>
        </w:tc>
      </w:tr>
      <w:tr w:rsidR="005E2556" w:rsidRPr="00B275E2" w14:paraId="25202C0E" w14:textId="77777777" w:rsidTr="00253FA5">
        <w:tc>
          <w:tcPr>
            <w:tcW w:w="3402" w:type="dxa"/>
            <w:shd w:val="clear" w:color="auto" w:fill="auto"/>
            <w:tcMar>
              <w:left w:w="85" w:type="dxa"/>
              <w:right w:w="85" w:type="dxa"/>
            </w:tcMar>
            <w:hideMark/>
          </w:tcPr>
          <w:p w14:paraId="4F09B9C3" w14:textId="02901CEB" w:rsidR="005E2556" w:rsidRPr="00B275E2" w:rsidRDefault="005E2556" w:rsidP="000E1F19">
            <w:pPr>
              <w:pStyle w:val="TableText"/>
              <w:spacing w:before="40" w:after="40"/>
              <w:rPr>
                <w:rFonts w:cs="Calibri"/>
                <w:szCs w:val="18"/>
              </w:rPr>
            </w:pPr>
            <w:r w:rsidRPr="00B275E2">
              <w:rPr>
                <w:rFonts w:cs="Calibri"/>
                <w:szCs w:val="18"/>
              </w:rPr>
              <w:t>HCFC-124</w:t>
            </w:r>
            <w:r w:rsidR="00A42624" w:rsidRPr="00B275E2">
              <w:rPr>
                <w:rFonts w:cs="Calibri"/>
                <w:szCs w:val="18"/>
              </w:rPr>
              <w:t xml:space="preserve"> </w:t>
            </w:r>
          </w:p>
        </w:tc>
        <w:tc>
          <w:tcPr>
            <w:tcW w:w="1843" w:type="dxa"/>
            <w:shd w:val="clear" w:color="auto" w:fill="auto"/>
            <w:tcMar>
              <w:left w:w="85" w:type="dxa"/>
              <w:right w:w="85" w:type="dxa"/>
            </w:tcMar>
            <w:hideMark/>
          </w:tcPr>
          <w:p w14:paraId="43284BA6" w14:textId="3BA5BBCB" w:rsidR="005E2556" w:rsidRPr="00B275E2" w:rsidRDefault="005E2556" w:rsidP="00FD06E4">
            <w:pPr>
              <w:pStyle w:val="TableText"/>
              <w:spacing w:before="40" w:after="40"/>
              <w:rPr>
                <w:rFonts w:cs="Calibri"/>
                <w:szCs w:val="18"/>
              </w:rPr>
            </w:pPr>
            <w:r w:rsidRPr="00B275E2">
              <w:rPr>
                <w:rFonts w:cs="Calibri"/>
                <w:szCs w:val="18"/>
              </w:rPr>
              <w:t>CHClFCF</w:t>
            </w:r>
            <w:r w:rsidRPr="00B275E2">
              <w:rPr>
                <w:rFonts w:cs="Calibri"/>
                <w:szCs w:val="18"/>
                <w:vertAlign w:val="subscript"/>
              </w:rPr>
              <w:t>3</w:t>
            </w:r>
          </w:p>
        </w:tc>
        <w:tc>
          <w:tcPr>
            <w:tcW w:w="709" w:type="dxa"/>
            <w:shd w:val="clear" w:color="auto" w:fill="auto"/>
            <w:tcMar>
              <w:left w:w="85" w:type="dxa"/>
              <w:right w:w="85" w:type="dxa"/>
            </w:tcMar>
            <w:hideMark/>
          </w:tcPr>
          <w:p w14:paraId="7BEB0906" w14:textId="60221FAE"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02C636B3" w14:textId="2FA4D9C0" w:rsidR="005E2556" w:rsidRPr="00B275E2" w:rsidRDefault="005E2556" w:rsidP="00E627FC">
            <w:pPr>
              <w:pStyle w:val="TableText"/>
              <w:spacing w:before="40" w:after="40"/>
              <w:jc w:val="center"/>
              <w:rPr>
                <w:rFonts w:cs="Calibri"/>
                <w:szCs w:val="18"/>
              </w:rPr>
            </w:pPr>
            <w:r w:rsidRPr="00B275E2">
              <w:rPr>
                <w:rFonts w:cs="Calibri"/>
                <w:szCs w:val="18"/>
              </w:rPr>
              <w:t>609</w:t>
            </w:r>
          </w:p>
        </w:tc>
        <w:tc>
          <w:tcPr>
            <w:tcW w:w="1275" w:type="dxa"/>
            <w:shd w:val="clear" w:color="auto" w:fill="auto"/>
            <w:tcMar>
              <w:left w:w="85" w:type="dxa"/>
              <w:right w:w="85" w:type="dxa"/>
            </w:tcMar>
            <w:hideMark/>
          </w:tcPr>
          <w:p w14:paraId="092D2CE6" w14:textId="624278A2" w:rsidR="005E2556" w:rsidRPr="00B275E2" w:rsidRDefault="005E2556" w:rsidP="00E627FC">
            <w:pPr>
              <w:pStyle w:val="TableText"/>
              <w:spacing w:before="40" w:after="40"/>
              <w:jc w:val="center"/>
              <w:rPr>
                <w:rFonts w:cs="Calibri"/>
                <w:szCs w:val="18"/>
              </w:rPr>
            </w:pPr>
            <w:r w:rsidRPr="00B275E2">
              <w:rPr>
                <w:rFonts w:cs="Calibri"/>
                <w:szCs w:val="18"/>
              </w:rPr>
              <w:t>527</w:t>
            </w:r>
          </w:p>
        </w:tc>
      </w:tr>
      <w:tr w:rsidR="005E2556" w:rsidRPr="00B275E2" w14:paraId="12070943" w14:textId="77777777" w:rsidTr="00253FA5">
        <w:tc>
          <w:tcPr>
            <w:tcW w:w="3402" w:type="dxa"/>
            <w:shd w:val="clear" w:color="auto" w:fill="auto"/>
            <w:tcMar>
              <w:left w:w="85" w:type="dxa"/>
              <w:right w:w="85" w:type="dxa"/>
            </w:tcMar>
            <w:hideMark/>
          </w:tcPr>
          <w:p w14:paraId="5E46DDE8" w14:textId="66BE3680" w:rsidR="005E2556" w:rsidRPr="00B275E2" w:rsidRDefault="005E2556" w:rsidP="000E1F19">
            <w:pPr>
              <w:pStyle w:val="TableText"/>
              <w:spacing w:before="40" w:after="40"/>
              <w:rPr>
                <w:rFonts w:cs="Calibri"/>
                <w:szCs w:val="18"/>
              </w:rPr>
            </w:pPr>
            <w:r w:rsidRPr="00B275E2">
              <w:rPr>
                <w:rFonts w:cs="Calibri"/>
                <w:szCs w:val="18"/>
              </w:rPr>
              <w:t>HCFC-141b</w:t>
            </w:r>
            <w:r w:rsidR="00A42624" w:rsidRPr="00B275E2">
              <w:rPr>
                <w:rFonts w:cs="Calibri"/>
                <w:szCs w:val="18"/>
              </w:rPr>
              <w:t xml:space="preserve"> </w:t>
            </w:r>
          </w:p>
        </w:tc>
        <w:tc>
          <w:tcPr>
            <w:tcW w:w="1843" w:type="dxa"/>
            <w:shd w:val="clear" w:color="auto" w:fill="auto"/>
            <w:tcMar>
              <w:left w:w="85" w:type="dxa"/>
              <w:right w:w="85" w:type="dxa"/>
            </w:tcMar>
            <w:hideMark/>
          </w:tcPr>
          <w:p w14:paraId="5FBBED26" w14:textId="18263440" w:rsidR="005E2556" w:rsidRPr="00B275E2" w:rsidRDefault="005E2556" w:rsidP="00FD06E4">
            <w:pPr>
              <w:pStyle w:val="TableText"/>
              <w:spacing w:before="40" w:after="40"/>
              <w:rPr>
                <w:rFonts w:cs="Calibri"/>
                <w:szCs w:val="18"/>
              </w:rPr>
            </w:pPr>
            <w:r w:rsidRPr="00B275E2">
              <w:rPr>
                <w:rFonts w:cs="Calibri"/>
                <w:szCs w:val="18"/>
              </w:rPr>
              <w:t>CH</w:t>
            </w:r>
            <w:r w:rsidRPr="00B275E2">
              <w:rPr>
                <w:rFonts w:cs="Calibri"/>
                <w:szCs w:val="18"/>
                <w:vertAlign w:val="subscript"/>
              </w:rPr>
              <w:t>3</w:t>
            </w:r>
            <w:r w:rsidRPr="00B275E2">
              <w:rPr>
                <w:rFonts w:cs="Calibri"/>
                <w:szCs w:val="18"/>
              </w:rPr>
              <w:t>CCl</w:t>
            </w:r>
            <w:r w:rsidRPr="00B275E2">
              <w:rPr>
                <w:rFonts w:cs="Calibri"/>
                <w:szCs w:val="18"/>
                <w:vertAlign w:val="subscript"/>
              </w:rPr>
              <w:t>2</w:t>
            </w:r>
            <w:r w:rsidRPr="00B275E2">
              <w:rPr>
                <w:rFonts w:cs="Calibri"/>
                <w:szCs w:val="18"/>
              </w:rPr>
              <w:t>F</w:t>
            </w:r>
          </w:p>
        </w:tc>
        <w:tc>
          <w:tcPr>
            <w:tcW w:w="709" w:type="dxa"/>
            <w:shd w:val="clear" w:color="auto" w:fill="auto"/>
            <w:tcMar>
              <w:left w:w="85" w:type="dxa"/>
              <w:right w:w="85" w:type="dxa"/>
            </w:tcMar>
            <w:hideMark/>
          </w:tcPr>
          <w:p w14:paraId="4785C77C" w14:textId="0CAF2D28"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7242C379" w14:textId="2B1ACF8C" w:rsidR="005E2556" w:rsidRPr="00B275E2" w:rsidRDefault="005E2556" w:rsidP="00E627FC">
            <w:pPr>
              <w:pStyle w:val="TableText"/>
              <w:spacing w:before="40" w:after="40"/>
              <w:jc w:val="center"/>
              <w:rPr>
                <w:rFonts w:cs="Calibri"/>
                <w:szCs w:val="18"/>
              </w:rPr>
            </w:pPr>
            <w:r w:rsidRPr="00B275E2">
              <w:rPr>
                <w:rFonts w:cs="Calibri"/>
                <w:szCs w:val="18"/>
              </w:rPr>
              <w:t>725</w:t>
            </w:r>
          </w:p>
        </w:tc>
        <w:tc>
          <w:tcPr>
            <w:tcW w:w="1275" w:type="dxa"/>
            <w:shd w:val="clear" w:color="auto" w:fill="auto"/>
            <w:tcMar>
              <w:left w:w="85" w:type="dxa"/>
              <w:right w:w="85" w:type="dxa"/>
            </w:tcMar>
            <w:hideMark/>
          </w:tcPr>
          <w:p w14:paraId="0651FA96" w14:textId="3E98E887" w:rsidR="005E2556" w:rsidRPr="00B275E2" w:rsidRDefault="005E2556" w:rsidP="00E627FC">
            <w:pPr>
              <w:pStyle w:val="TableText"/>
              <w:spacing w:before="40" w:after="40"/>
              <w:jc w:val="center"/>
              <w:rPr>
                <w:rFonts w:cs="Calibri"/>
                <w:szCs w:val="18"/>
              </w:rPr>
            </w:pPr>
            <w:r w:rsidRPr="00B275E2">
              <w:rPr>
                <w:rFonts w:cs="Calibri"/>
                <w:szCs w:val="18"/>
              </w:rPr>
              <w:t>782</w:t>
            </w:r>
          </w:p>
        </w:tc>
      </w:tr>
      <w:tr w:rsidR="005E2556" w:rsidRPr="00B275E2" w14:paraId="58609A9E" w14:textId="77777777" w:rsidTr="00253FA5">
        <w:tc>
          <w:tcPr>
            <w:tcW w:w="3402" w:type="dxa"/>
            <w:shd w:val="clear" w:color="auto" w:fill="auto"/>
            <w:tcMar>
              <w:left w:w="85" w:type="dxa"/>
              <w:right w:w="85" w:type="dxa"/>
            </w:tcMar>
            <w:hideMark/>
          </w:tcPr>
          <w:p w14:paraId="32FB0EBB" w14:textId="1DFA3D0D" w:rsidR="005E2556" w:rsidRPr="00B275E2" w:rsidRDefault="005E2556" w:rsidP="000E1F19">
            <w:pPr>
              <w:pStyle w:val="TableText"/>
              <w:spacing w:before="40" w:after="40"/>
              <w:rPr>
                <w:rFonts w:cs="Calibri"/>
                <w:szCs w:val="18"/>
              </w:rPr>
            </w:pPr>
            <w:r w:rsidRPr="00B275E2">
              <w:rPr>
                <w:rFonts w:cs="Calibri"/>
                <w:szCs w:val="18"/>
              </w:rPr>
              <w:t>HCFC-142b</w:t>
            </w:r>
            <w:r w:rsidR="00A42624" w:rsidRPr="00B275E2">
              <w:rPr>
                <w:rFonts w:cs="Calibri"/>
                <w:szCs w:val="18"/>
              </w:rPr>
              <w:t xml:space="preserve"> </w:t>
            </w:r>
          </w:p>
        </w:tc>
        <w:tc>
          <w:tcPr>
            <w:tcW w:w="1843" w:type="dxa"/>
            <w:shd w:val="clear" w:color="auto" w:fill="auto"/>
            <w:tcMar>
              <w:left w:w="85" w:type="dxa"/>
              <w:right w:w="85" w:type="dxa"/>
            </w:tcMar>
            <w:hideMark/>
          </w:tcPr>
          <w:p w14:paraId="6470E908" w14:textId="376409F5" w:rsidR="005E2556" w:rsidRPr="00B275E2" w:rsidRDefault="005E2556" w:rsidP="00FD06E4">
            <w:pPr>
              <w:pStyle w:val="TableText"/>
              <w:spacing w:before="40" w:after="40"/>
              <w:rPr>
                <w:rFonts w:cs="Calibri"/>
                <w:szCs w:val="18"/>
              </w:rPr>
            </w:pPr>
            <w:r w:rsidRPr="00B275E2">
              <w:rPr>
                <w:rFonts w:cs="Calibri"/>
                <w:szCs w:val="18"/>
              </w:rPr>
              <w:t>CH</w:t>
            </w:r>
            <w:r w:rsidRPr="00B275E2">
              <w:rPr>
                <w:rFonts w:cs="Calibri"/>
                <w:szCs w:val="18"/>
                <w:vertAlign w:val="subscript"/>
              </w:rPr>
              <w:t>3</w:t>
            </w:r>
            <w:r w:rsidRPr="00B275E2">
              <w:rPr>
                <w:rFonts w:cs="Calibri"/>
                <w:szCs w:val="18"/>
              </w:rPr>
              <w:t>CClF</w:t>
            </w:r>
            <w:r w:rsidRPr="00B275E2">
              <w:rPr>
                <w:rFonts w:cs="Calibri"/>
                <w:szCs w:val="18"/>
                <w:vertAlign w:val="subscript"/>
              </w:rPr>
              <w:t>2</w:t>
            </w:r>
          </w:p>
        </w:tc>
        <w:tc>
          <w:tcPr>
            <w:tcW w:w="709" w:type="dxa"/>
            <w:shd w:val="clear" w:color="auto" w:fill="auto"/>
            <w:tcMar>
              <w:left w:w="85" w:type="dxa"/>
              <w:right w:w="85" w:type="dxa"/>
            </w:tcMar>
            <w:hideMark/>
          </w:tcPr>
          <w:p w14:paraId="5AA8D496" w14:textId="13DEDF36"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19F061ED" w14:textId="0B1D6581" w:rsidR="005E2556" w:rsidRPr="00B275E2" w:rsidRDefault="005E2556" w:rsidP="00E627FC">
            <w:pPr>
              <w:pStyle w:val="TableText"/>
              <w:spacing w:before="40" w:after="40"/>
              <w:jc w:val="center"/>
              <w:rPr>
                <w:rFonts w:cs="Calibri"/>
                <w:szCs w:val="18"/>
              </w:rPr>
            </w:pPr>
            <w:r w:rsidRPr="00B275E2">
              <w:rPr>
                <w:rFonts w:cs="Calibri"/>
                <w:szCs w:val="18"/>
              </w:rPr>
              <w:t>2,310</w:t>
            </w:r>
          </w:p>
        </w:tc>
        <w:tc>
          <w:tcPr>
            <w:tcW w:w="1275" w:type="dxa"/>
            <w:shd w:val="clear" w:color="auto" w:fill="auto"/>
            <w:tcMar>
              <w:left w:w="85" w:type="dxa"/>
              <w:right w:w="85" w:type="dxa"/>
            </w:tcMar>
            <w:hideMark/>
          </w:tcPr>
          <w:p w14:paraId="35E975FF" w14:textId="01CBACE8" w:rsidR="005E2556" w:rsidRPr="00B275E2" w:rsidRDefault="005E2556" w:rsidP="00E627FC">
            <w:pPr>
              <w:pStyle w:val="TableText"/>
              <w:spacing w:before="40" w:after="40"/>
              <w:jc w:val="center"/>
              <w:rPr>
                <w:rFonts w:cs="Calibri"/>
                <w:szCs w:val="18"/>
              </w:rPr>
            </w:pPr>
            <w:r w:rsidRPr="00B275E2">
              <w:rPr>
                <w:rFonts w:cs="Calibri"/>
                <w:szCs w:val="18"/>
              </w:rPr>
              <w:t>1,980</w:t>
            </w:r>
          </w:p>
        </w:tc>
      </w:tr>
      <w:tr w:rsidR="005E2556" w:rsidRPr="00B275E2" w14:paraId="1446C3CA" w14:textId="77777777" w:rsidTr="00253FA5">
        <w:tc>
          <w:tcPr>
            <w:tcW w:w="3402" w:type="dxa"/>
            <w:shd w:val="clear" w:color="auto" w:fill="auto"/>
            <w:tcMar>
              <w:left w:w="85" w:type="dxa"/>
              <w:right w:w="85" w:type="dxa"/>
            </w:tcMar>
            <w:hideMark/>
          </w:tcPr>
          <w:p w14:paraId="0D187738" w14:textId="68FD98A5" w:rsidR="005E2556" w:rsidRPr="00B275E2" w:rsidRDefault="005E2556" w:rsidP="000E1F19">
            <w:pPr>
              <w:pStyle w:val="TableText"/>
              <w:spacing w:before="40" w:after="40"/>
              <w:rPr>
                <w:rFonts w:cs="Calibri"/>
                <w:szCs w:val="18"/>
              </w:rPr>
            </w:pPr>
            <w:r w:rsidRPr="00B275E2">
              <w:rPr>
                <w:rFonts w:cs="Calibri"/>
                <w:szCs w:val="18"/>
              </w:rPr>
              <w:t>HCFC-225ca</w:t>
            </w:r>
            <w:r w:rsidR="00A42624" w:rsidRPr="00B275E2">
              <w:rPr>
                <w:rFonts w:cs="Calibri"/>
                <w:szCs w:val="18"/>
              </w:rPr>
              <w:t xml:space="preserve"> </w:t>
            </w:r>
          </w:p>
        </w:tc>
        <w:tc>
          <w:tcPr>
            <w:tcW w:w="1843" w:type="dxa"/>
            <w:shd w:val="clear" w:color="auto" w:fill="auto"/>
            <w:tcMar>
              <w:left w:w="85" w:type="dxa"/>
              <w:right w:w="85" w:type="dxa"/>
            </w:tcMar>
            <w:hideMark/>
          </w:tcPr>
          <w:p w14:paraId="7EA24E52" w14:textId="6825E0F9" w:rsidR="005E2556" w:rsidRPr="00B275E2" w:rsidRDefault="005E2556" w:rsidP="00FD06E4">
            <w:pPr>
              <w:pStyle w:val="TableText"/>
              <w:spacing w:before="40" w:after="40"/>
              <w:rPr>
                <w:rFonts w:cs="Calibri"/>
                <w:szCs w:val="18"/>
              </w:rPr>
            </w:pPr>
            <w:r w:rsidRPr="00B275E2">
              <w:rPr>
                <w:rFonts w:cs="Calibri"/>
                <w:szCs w:val="18"/>
              </w:rPr>
              <w:t>CHCl</w:t>
            </w:r>
            <w:r w:rsidRPr="00B275E2">
              <w:rPr>
                <w:rFonts w:cs="Calibri"/>
                <w:szCs w:val="18"/>
                <w:vertAlign w:val="subscript"/>
              </w:rPr>
              <w:t>2</w:t>
            </w:r>
            <w:r w:rsidRPr="00B275E2">
              <w:rPr>
                <w:rFonts w:cs="Calibri"/>
                <w:szCs w:val="18"/>
              </w:rPr>
              <w:t>CF</w:t>
            </w:r>
            <w:r w:rsidRPr="00B275E2">
              <w:rPr>
                <w:rFonts w:cs="Calibri"/>
                <w:szCs w:val="18"/>
                <w:vertAlign w:val="subscript"/>
              </w:rPr>
              <w:t>2</w:t>
            </w:r>
            <w:r w:rsidRPr="00B275E2">
              <w:rPr>
                <w:rFonts w:cs="Calibri"/>
                <w:szCs w:val="18"/>
              </w:rPr>
              <w:t>CF</w:t>
            </w:r>
            <w:r w:rsidRPr="00B275E2">
              <w:rPr>
                <w:rFonts w:cs="Calibri"/>
                <w:szCs w:val="18"/>
                <w:vertAlign w:val="subscript"/>
              </w:rPr>
              <w:t>3</w:t>
            </w:r>
          </w:p>
        </w:tc>
        <w:tc>
          <w:tcPr>
            <w:tcW w:w="709" w:type="dxa"/>
            <w:shd w:val="clear" w:color="auto" w:fill="auto"/>
            <w:tcMar>
              <w:left w:w="85" w:type="dxa"/>
              <w:right w:w="85" w:type="dxa"/>
            </w:tcMar>
            <w:hideMark/>
          </w:tcPr>
          <w:p w14:paraId="33A39BB9" w14:textId="10349FCE"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2699CC78" w14:textId="7DB4E5BE" w:rsidR="005E2556" w:rsidRPr="00B275E2" w:rsidRDefault="005E2556" w:rsidP="00E627FC">
            <w:pPr>
              <w:pStyle w:val="TableText"/>
              <w:spacing w:before="40" w:after="40"/>
              <w:jc w:val="center"/>
              <w:rPr>
                <w:rFonts w:cs="Calibri"/>
                <w:szCs w:val="18"/>
              </w:rPr>
            </w:pPr>
            <w:r w:rsidRPr="00B275E2">
              <w:rPr>
                <w:rFonts w:cs="Calibri"/>
                <w:szCs w:val="18"/>
              </w:rPr>
              <w:t>122</w:t>
            </w:r>
          </w:p>
        </w:tc>
        <w:tc>
          <w:tcPr>
            <w:tcW w:w="1275" w:type="dxa"/>
            <w:shd w:val="clear" w:color="auto" w:fill="auto"/>
            <w:tcMar>
              <w:left w:w="85" w:type="dxa"/>
              <w:right w:w="85" w:type="dxa"/>
            </w:tcMar>
            <w:hideMark/>
          </w:tcPr>
          <w:p w14:paraId="7545DD46" w14:textId="1FDEA356" w:rsidR="005E2556" w:rsidRPr="00B275E2" w:rsidRDefault="005E2556" w:rsidP="00E627FC">
            <w:pPr>
              <w:pStyle w:val="TableText"/>
              <w:spacing w:before="40" w:after="40"/>
              <w:jc w:val="center"/>
              <w:rPr>
                <w:rFonts w:cs="Calibri"/>
                <w:szCs w:val="18"/>
              </w:rPr>
            </w:pPr>
            <w:r w:rsidRPr="00B275E2">
              <w:rPr>
                <w:rFonts w:cs="Calibri"/>
                <w:szCs w:val="18"/>
              </w:rPr>
              <w:t>127</w:t>
            </w:r>
          </w:p>
        </w:tc>
      </w:tr>
      <w:tr w:rsidR="005E2556" w:rsidRPr="00B275E2" w14:paraId="77539750" w14:textId="77777777" w:rsidTr="00253FA5">
        <w:tc>
          <w:tcPr>
            <w:tcW w:w="3402" w:type="dxa"/>
            <w:shd w:val="clear" w:color="auto" w:fill="auto"/>
            <w:tcMar>
              <w:left w:w="85" w:type="dxa"/>
              <w:right w:w="85" w:type="dxa"/>
            </w:tcMar>
            <w:hideMark/>
          </w:tcPr>
          <w:p w14:paraId="79D1CB82" w14:textId="1D56398E" w:rsidR="005E2556" w:rsidRPr="00B275E2" w:rsidRDefault="005E2556" w:rsidP="000E1F19">
            <w:pPr>
              <w:pStyle w:val="TableText"/>
              <w:spacing w:before="40" w:after="40"/>
              <w:rPr>
                <w:rFonts w:cs="Calibri"/>
                <w:szCs w:val="18"/>
              </w:rPr>
            </w:pPr>
            <w:r w:rsidRPr="00B275E2">
              <w:rPr>
                <w:rFonts w:cs="Calibri"/>
                <w:szCs w:val="18"/>
              </w:rPr>
              <w:t>HCFC-225cb</w:t>
            </w:r>
            <w:r w:rsidR="00A42624" w:rsidRPr="00B275E2">
              <w:rPr>
                <w:rFonts w:cs="Calibri"/>
                <w:szCs w:val="18"/>
              </w:rPr>
              <w:t xml:space="preserve"> </w:t>
            </w:r>
          </w:p>
        </w:tc>
        <w:tc>
          <w:tcPr>
            <w:tcW w:w="1843" w:type="dxa"/>
            <w:shd w:val="clear" w:color="auto" w:fill="auto"/>
            <w:tcMar>
              <w:left w:w="85" w:type="dxa"/>
              <w:right w:w="85" w:type="dxa"/>
            </w:tcMar>
            <w:hideMark/>
          </w:tcPr>
          <w:p w14:paraId="00794419" w14:textId="4DE3522A" w:rsidR="005E2556" w:rsidRPr="00B275E2" w:rsidRDefault="005E2556" w:rsidP="00FD06E4">
            <w:pPr>
              <w:pStyle w:val="TableText"/>
              <w:spacing w:before="40" w:after="40"/>
              <w:rPr>
                <w:rFonts w:cs="Calibri"/>
                <w:szCs w:val="18"/>
              </w:rPr>
            </w:pPr>
            <w:r w:rsidRPr="00B275E2">
              <w:rPr>
                <w:rFonts w:cs="Calibri"/>
                <w:szCs w:val="18"/>
              </w:rPr>
              <w:t>CHClFCF</w:t>
            </w:r>
            <w:r w:rsidRPr="00B275E2">
              <w:rPr>
                <w:rFonts w:cs="Calibri"/>
                <w:szCs w:val="18"/>
                <w:vertAlign w:val="subscript"/>
              </w:rPr>
              <w:t>2</w:t>
            </w:r>
            <w:r w:rsidRPr="00B275E2">
              <w:rPr>
                <w:rFonts w:cs="Calibri"/>
                <w:szCs w:val="18"/>
              </w:rPr>
              <w:t>CClF</w:t>
            </w:r>
            <w:r w:rsidRPr="00B275E2">
              <w:rPr>
                <w:rFonts w:cs="Calibri"/>
                <w:szCs w:val="18"/>
                <w:vertAlign w:val="subscript"/>
              </w:rPr>
              <w:t>2</w:t>
            </w:r>
          </w:p>
        </w:tc>
        <w:tc>
          <w:tcPr>
            <w:tcW w:w="709" w:type="dxa"/>
            <w:shd w:val="clear" w:color="auto" w:fill="auto"/>
            <w:tcMar>
              <w:left w:w="85" w:type="dxa"/>
              <w:right w:w="85" w:type="dxa"/>
            </w:tcMar>
            <w:hideMark/>
          </w:tcPr>
          <w:p w14:paraId="47362EF3" w14:textId="24D3F52B"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04B3FF24" w14:textId="3B2CE7A5" w:rsidR="005E2556" w:rsidRPr="00B275E2" w:rsidRDefault="005E2556" w:rsidP="00E627FC">
            <w:pPr>
              <w:pStyle w:val="TableText"/>
              <w:spacing w:before="40" w:after="40"/>
              <w:jc w:val="center"/>
              <w:rPr>
                <w:rFonts w:cs="Calibri"/>
                <w:szCs w:val="18"/>
              </w:rPr>
            </w:pPr>
            <w:r w:rsidRPr="00B275E2">
              <w:rPr>
                <w:rFonts w:cs="Calibri"/>
                <w:szCs w:val="18"/>
              </w:rPr>
              <w:t>595</w:t>
            </w:r>
          </w:p>
        </w:tc>
        <w:tc>
          <w:tcPr>
            <w:tcW w:w="1275" w:type="dxa"/>
            <w:shd w:val="clear" w:color="auto" w:fill="auto"/>
            <w:tcMar>
              <w:left w:w="85" w:type="dxa"/>
              <w:right w:w="85" w:type="dxa"/>
            </w:tcMar>
            <w:hideMark/>
          </w:tcPr>
          <w:p w14:paraId="084FC560" w14:textId="44BF70C5" w:rsidR="005E2556" w:rsidRPr="00B275E2" w:rsidRDefault="005E2556" w:rsidP="00E627FC">
            <w:pPr>
              <w:pStyle w:val="TableText"/>
              <w:spacing w:before="40" w:after="40"/>
              <w:jc w:val="center"/>
              <w:rPr>
                <w:rFonts w:cs="Calibri"/>
                <w:szCs w:val="18"/>
              </w:rPr>
            </w:pPr>
            <w:r w:rsidRPr="00B275E2">
              <w:rPr>
                <w:rFonts w:cs="Calibri"/>
                <w:szCs w:val="18"/>
              </w:rPr>
              <w:t>525</w:t>
            </w:r>
          </w:p>
        </w:tc>
      </w:tr>
      <w:tr w:rsidR="005E2556" w:rsidRPr="00B275E2" w14:paraId="6AF0C4F7" w14:textId="77777777" w:rsidTr="00253FA5">
        <w:tc>
          <w:tcPr>
            <w:tcW w:w="7230" w:type="dxa"/>
            <w:gridSpan w:val="4"/>
            <w:shd w:val="clear" w:color="auto" w:fill="D2DDE2"/>
            <w:tcMar>
              <w:left w:w="85" w:type="dxa"/>
              <w:right w:w="85" w:type="dxa"/>
            </w:tcMar>
            <w:hideMark/>
          </w:tcPr>
          <w:p w14:paraId="5CE0D50B" w14:textId="7F560882" w:rsidR="005E2556" w:rsidRPr="00B275E2" w:rsidRDefault="005E2556" w:rsidP="00FD06E4">
            <w:pPr>
              <w:pStyle w:val="TableText"/>
              <w:spacing w:before="40" w:after="40"/>
              <w:rPr>
                <w:rFonts w:cs="Calibri"/>
                <w:b/>
                <w:bCs/>
                <w:szCs w:val="18"/>
              </w:rPr>
            </w:pPr>
            <w:r w:rsidRPr="00B275E2">
              <w:rPr>
                <w:rFonts w:cs="Calibri"/>
                <w:b/>
                <w:bCs/>
                <w:szCs w:val="18"/>
              </w:rPr>
              <w:t>Hydrofluorocarbons </w:t>
            </w:r>
          </w:p>
        </w:tc>
        <w:tc>
          <w:tcPr>
            <w:tcW w:w="1275" w:type="dxa"/>
            <w:shd w:val="clear" w:color="auto" w:fill="D2DDE2"/>
            <w:tcMar>
              <w:left w:w="85" w:type="dxa"/>
              <w:right w:w="85" w:type="dxa"/>
            </w:tcMar>
            <w:hideMark/>
          </w:tcPr>
          <w:p w14:paraId="3859DFF0" w14:textId="2291665A" w:rsidR="005E2556" w:rsidRPr="00B275E2" w:rsidRDefault="005E2556" w:rsidP="00E627FC">
            <w:pPr>
              <w:pStyle w:val="TableText"/>
              <w:spacing w:before="40" w:after="40"/>
              <w:jc w:val="center"/>
              <w:rPr>
                <w:rFonts w:cs="Calibri"/>
                <w:b/>
                <w:bCs/>
                <w:szCs w:val="18"/>
              </w:rPr>
            </w:pPr>
          </w:p>
        </w:tc>
      </w:tr>
      <w:tr w:rsidR="005E2556" w:rsidRPr="00B275E2" w14:paraId="68966540" w14:textId="77777777" w:rsidTr="00253FA5">
        <w:tc>
          <w:tcPr>
            <w:tcW w:w="3402" w:type="dxa"/>
            <w:shd w:val="clear" w:color="auto" w:fill="auto"/>
            <w:tcMar>
              <w:left w:w="85" w:type="dxa"/>
              <w:right w:w="85" w:type="dxa"/>
            </w:tcMar>
            <w:hideMark/>
          </w:tcPr>
          <w:p w14:paraId="31C11C36" w14:textId="38C4AF3F" w:rsidR="005E2556" w:rsidRPr="00B275E2" w:rsidRDefault="005E2556" w:rsidP="000E1F19">
            <w:pPr>
              <w:pStyle w:val="TableText"/>
              <w:spacing w:before="40" w:after="40"/>
              <w:rPr>
                <w:rFonts w:cs="Calibri"/>
                <w:szCs w:val="18"/>
              </w:rPr>
            </w:pPr>
            <w:r w:rsidRPr="00B275E2">
              <w:rPr>
                <w:rFonts w:cs="Calibri"/>
                <w:szCs w:val="18"/>
              </w:rPr>
              <w:t>HFC-23</w:t>
            </w:r>
            <w:r w:rsidR="00A42624" w:rsidRPr="00B275E2">
              <w:rPr>
                <w:rFonts w:cs="Calibri"/>
                <w:szCs w:val="18"/>
              </w:rPr>
              <w:t xml:space="preserve"> </w:t>
            </w:r>
          </w:p>
        </w:tc>
        <w:tc>
          <w:tcPr>
            <w:tcW w:w="1843" w:type="dxa"/>
            <w:shd w:val="clear" w:color="auto" w:fill="auto"/>
            <w:tcMar>
              <w:left w:w="85" w:type="dxa"/>
              <w:right w:w="85" w:type="dxa"/>
            </w:tcMar>
            <w:hideMark/>
          </w:tcPr>
          <w:p w14:paraId="58640D6C" w14:textId="72713947" w:rsidR="005E2556" w:rsidRPr="00B275E2" w:rsidRDefault="005E2556" w:rsidP="00FD06E4">
            <w:pPr>
              <w:pStyle w:val="TableText"/>
              <w:spacing w:before="40" w:after="40"/>
              <w:rPr>
                <w:rFonts w:cs="Calibri"/>
                <w:szCs w:val="18"/>
              </w:rPr>
            </w:pPr>
            <w:r w:rsidRPr="00B275E2">
              <w:rPr>
                <w:rFonts w:cs="Calibri"/>
                <w:szCs w:val="18"/>
              </w:rPr>
              <w:t>CHF</w:t>
            </w:r>
            <w:r w:rsidRPr="00B275E2">
              <w:rPr>
                <w:rFonts w:cs="Calibri"/>
                <w:szCs w:val="18"/>
                <w:vertAlign w:val="subscript"/>
              </w:rPr>
              <w:t>3</w:t>
            </w:r>
          </w:p>
        </w:tc>
        <w:tc>
          <w:tcPr>
            <w:tcW w:w="709" w:type="dxa"/>
            <w:shd w:val="clear" w:color="auto" w:fill="auto"/>
            <w:tcMar>
              <w:left w:w="85" w:type="dxa"/>
              <w:right w:w="85" w:type="dxa"/>
            </w:tcMar>
            <w:hideMark/>
          </w:tcPr>
          <w:p w14:paraId="1163BEDB" w14:textId="7CAF3DA5"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3A9D8A23" w14:textId="3F105FBD" w:rsidR="005E2556" w:rsidRPr="00B275E2" w:rsidRDefault="005E2556" w:rsidP="00E627FC">
            <w:pPr>
              <w:pStyle w:val="TableText"/>
              <w:spacing w:before="40" w:after="40"/>
              <w:jc w:val="center"/>
              <w:rPr>
                <w:rFonts w:cs="Calibri"/>
                <w:szCs w:val="18"/>
              </w:rPr>
            </w:pPr>
            <w:r w:rsidRPr="00B275E2">
              <w:rPr>
                <w:rFonts w:cs="Calibri"/>
                <w:szCs w:val="18"/>
              </w:rPr>
              <w:t>14,800</w:t>
            </w:r>
          </w:p>
        </w:tc>
        <w:tc>
          <w:tcPr>
            <w:tcW w:w="1275" w:type="dxa"/>
            <w:shd w:val="clear" w:color="auto" w:fill="auto"/>
            <w:tcMar>
              <w:left w:w="85" w:type="dxa"/>
              <w:right w:w="85" w:type="dxa"/>
            </w:tcMar>
            <w:hideMark/>
          </w:tcPr>
          <w:p w14:paraId="48C92B7E" w14:textId="7235B5B7" w:rsidR="005E2556" w:rsidRPr="00B275E2" w:rsidRDefault="005E2556" w:rsidP="00E627FC">
            <w:pPr>
              <w:pStyle w:val="TableText"/>
              <w:spacing w:before="40" w:after="40"/>
              <w:jc w:val="center"/>
              <w:rPr>
                <w:rFonts w:cs="Calibri"/>
                <w:szCs w:val="18"/>
              </w:rPr>
            </w:pPr>
            <w:r w:rsidRPr="00B275E2">
              <w:rPr>
                <w:rFonts w:cs="Calibri"/>
                <w:szCs w:val="18"/>
              </w:rPr>
              <w:t>12,400</w:t>
            </w:r>
          </w:p>
        </w:tc>
      </w:tr>
      <w:tr w:rsidR="005E2556" w:rsidRPr="00B275E2" w14:paraId="048157B8" w14:textId="77777777" w:rsidTr="00253FA5">
        <w:tc>
          <w:tcPr>
            <w:tcW w:w="3402" w:type="dxa"/>
            <w:shd w:val="clear" w:color="auto" w:fill="auto"/>
            <w:tcMar>
              <w:left w:w="85" w:type="dxa"/>
              <w:right w:w="85" w:type="dxa"/>
            </w:tcMar>
            <w:hideMark/>
          </w:tcPr>
          <w:p w14:paraId="6CB73857" w14:textId="169C5FC0" w:rsidR="005E2556" w:rsidRPr="00B275E2" w:rsidRDefault="005E2556" w:rsidP="000E1F19">
            <w:pPr>
              <w:pStyle w:val="TableText"/>
              <w:spacing w:before="40" w:after="40"/>
              <w:rPr>
                <w:rFonts w:cs="Calibri"/>
                <w:szCs w:val="18"/>
              </w:rPr>
            </w:pPr>
            <w:r w:rsidRPr="00B275E2">
              <w:rPr>
                <w:rFonts w:cs="Calibri"/>
                <w:szCs w:val="18"/>
              </w:rPr>
              <w:t>HFC-32</w:t>
            </w:r>
            <w:r w:rsidR="00A42624" w:rsidRPr="00B275E2">
              <w:rPr>
                <w:rFonts w:cs="Calibri"/>
                <w:szCs w:val="18"/>
              </w:rPr>
              <w:t xml:space="preserve"> </w:t>
            </w:r>
          </w:p>
        </w:tc>
        <w:tc>
          <w:tcPr>
            <w:tcW w:w="1843" w:type="dxa"/>
            <w:shd w:val="clear" w:color="auto" w:fill="auto"/>
            <w:tcMar>
              <w:left w:w="85" w:type="dxa"/>
              <w:right w:w="85" w:type="dxa"/>
            </w:tcMar>
            <w:hideMark/>
          </w:tcPr>
          <w:p w14:paraId="4BF9579E" w14:textId="69DCCFA9" w:rsidR="005E2556" w:rsidRPr="00B275E2" w:rsidRDefault="005E2556" w:rsidP="00FD06E4">
            <w:pPr>
              <w:pStyle w:val="TableText"/>
              <w:spacing w:before="40" w:after="40"/>
              <w:rPr>
                <w:rFonts w:cs="Calibri"/>
                <w:szCs w:val="18"/>
              </w:rPr>
            </w:pPr>
            <w:r w:rsidRPr="00B275E2">
              <w:rPr>
                <w:rFonts w:cs="Calibri"/>
                <w:szCs w:val="18"/>
              </w:rPr>
              <w:t>CH</w:t>
            </w:r>
            <w:r w:rsidRPr="00B275E2">
              <w:rPr>
                <w:rFonts w:cs="Calibri"/>
                <w:szCs w:val="18"/>
                <w:vertAlign w:val="subscript"/>
              </w:rPr>
              <w:t>2</w:t>
            </w:r>
            <w:r w:rsidRPr="00B275E2">
              <w:rPr>
                <w:rFonts w:cs="Calibri"/>
                <w:szCs w:val="18"/>
              </w:rPr>
              <w:t>F</w:t>
            </w:r>
            <w:r w:rsidRPr="00B275E2">
              <w:rPr>
                <w:rFonts w:cs="Calibri"/>
                <w:szCs w:val="18"/>
                <w:vertAlign w:val="subscript"/>
              </w:rPr>
              <w:t>2</w:t>
            </w:r>
          </w:p>
        </w:tc>
        <w:tc>
          <w:tcPr>
            <w:tcW w:w="709" w:type="dxa"/>
            <w:shd w:val="clear" w:color="auto" w:fill="auto"/>
            <w:tcMar>
              <w:left w:w="85" w:type="dxa"/>
              <w:right w:w="85" w:type="dxa"/>
            </w:tcMar>
            <w:hideMark/>
          </w:tcPr>
          <w:p w14:paraId="37A32589" w14:textId="571775D0"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08E3CA25" w14:textId="11892871" w:rsidR="005E2556" w:rsidRPr="00B275E2" w:rsidRDefault="005E2556" w:rsidP="00E627FC">
            <w:pPr>
              <w:pStyle w:val="TableText"/>
              <w:spacing w:before="40" w:after="40"/>
              <w:jc w:val="center"/>
              <w:rPr>
                <w:rFonts w:cs="Calibri"/>
                <w:szCs w:val="18"/>
              </w:rPr>
            </w:pPr>
            <w:r w:rsidRPr="00B275E2">
              <w:rPr>
                <w:rFonts w:cs="Calibri"/>
                <w:szCs w:val="18"/>
              </w:rPr>
              <w:t>675</w:t>
            </w:r>
          </w:p>
        </w:tc>
        <w:tc>
          <w:tcPr>
            <w:tcW w:w="1275" w:type="dxa"/>
            <w:shd w:val="clear" w:color="auto" w:fill="auto"/>
            <w:tcMar>
              <w:left w:w="85" w:type="dxa"/>
              <w:right w:w="85" w:type="dxa"/>
            </w:tcMar>
            <w:hideMark/>
          </w:tcPr>
          <w:p w14:paraId="25CEAAF6" w14:textId="55E12D5F" w:rsidR="005E2556" w:rsidRPr="00B275E2" w:rsidRDefault="005E2556" w:rsidP="00E627FC">
            <w:pPr>
              <w:pStyle w:val="TableText"/>
              <w:spacing w:before="40" w:after="40"/>
              <w:jc w:val="center"/>
              <w:rPr>
                <w:rFonts w:cs="Calibri"/>
                <w:szCs w:val="18"/>
              </w:rPr>
            </w:pPr>
            <w:r w:rsidRPr="00B275E2">
              <w:rPr>
                <w:rFonts w:cs="Calibri"/>
                <w:szCs w:val="18"/>
              </w:rPr>
              <w:t>677</w:t>
            </w:r>
          </w:p>
        </w:tc>
      </w:tr>
      <w:tr w:rsidR="005E2556" w:rsidRPr="00B275E2" w14:paraId="20D909C9" w14:textId="77777777" w:rsidTr="00253FA5">
        <w:tc>
          <w:tcPr>
            <w:tcW w:w="3402" w:type="dxa"/>
            <w:shd w:val="clear" w:color="auto" w:fill="auto"/>
            <w:tcMar>
              <w:left w:w="85" w:type="dxa"/>
              <w:right w:w="85" w:type="dxa"/>
            </w:tcMar>
            <w:hideMark/>
          </w:tcPr>
          <w:p w14:paraId="710ED1BB" w14:textId="77777777" w:rsidR="005E2556" w:rsidRPr="00B275E2" w:rsidRDefault="005E2556" w:rsidP="000E1F19">
            <w:pPr>
              <w:pStyle w:val="TableText"/>
              <w:spacing w:before="40" w:after="40"/>
              <w:rPr>
                <w:rFonts w:cs="Calibri"/>
                <w:szCs w:val="18"/>
              </w:rPr>
            </w:pPr>
            <w:r w:rsidRPr="00B275E2">
              <w:rPr>
                <w:rFonts w:cs="Calibri"/>
                <w:szCs w:val="18"/>
              </w:rPr>
              <w:t>HFC-41 </w:t>
            </w:r>
          </w:p>
        </w:tc>
        <w:tc>
          <w:tcPr>
            <w:tcW w:w="1843" w:type="dxa"/>
            <w:shd w:val="clear" w:color="auto" w:fill="auto"/>
            <w:tcMar>
              <w:left w:w="85" w:type="dxa"/>
              <w:right w:w="85" w:type="dxa"/>
            </w:tcMar>
            <w:hideMark/>
          </w:tcPr>
          <w:p w14:paraId="6090F35C" w14:textId="3A0F8A39" w:rsidR="005E2556" w:rsidRPr="00B275E2" w:rsidRDefault="005E2556" w:rsidP="00FD06E4">
            <w:pPr>
              <w:pStyle w:val="TableText"/>
              <w:spacing w:before="40" w:after="40"/>
              <w:rPr>
                <w:rFonts w:cs="Calibri"/>
                <w:szCs w:val="18"/>
              </w:rPr>
            </w:pPr>
            <w:r w:rsidRPr="00B275E2">
              <w:rPr>
                <w:rFonts w:cs="Calibri"/>
                <w:szCs w:val="18"/>
              </w:rPr>
              <w:t>CH</w:t>
            </w:r>
            <w:r w:rsidRPr="00B275E2">
              <w:rPr>
                <w:rFonts w:cs="Calibri"/>
                <w:szCs w:val="18"/>
                <w:vertAlign w:val="subscript"/>
              </w:rPr>
              <w:t>3</w:t>
            </w:r>
            <w:r w:rsidRPr="00B275E2">
              <w:rPr>
                <w:rFonts w:cs="Calibri"/>
                <w:szCs w:val="18"/>
              </w:rPr>
              <w:t>F</w:t>
            </w:r>
            <w:r w:rsidRPr="00B275E2">
              <w:rPr>
                <w:rFonts w:cs="Calibri"/>
                <w:szCs w:val="18"/>
                <w:vertAlign w:val="subscript"/>
              </w:rPr>
              <w:t>2</w:t>
            </w:r>
          </w:p>
        </w:tc>
        <w:tc>
          <w:tcPr>
            <w:tcW w:w="709" w:type="dxa"/>
            <w:shd w:val="clear" w:color="auto" w:fill="auto"/>
            <w:tcMar>
              <w:left w:w="85" w:type="dxa"/>
              <w:right w:w="85" w:type="dxa"/>
            </w:tcMar>
            <w:hideMark/>
          </w:tcPr>
          <w:p w14:paraId="33D4F726" w14:textId="01368880"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0C1A47C5" w14:textId="3A9689CD" w:rsidR="005E2556" w:rsidRPr="00B275E2" w:rsidRDefault="003D1A58" w:rsidP="00E627FC">
            <w:pPr>
              <w:pStyle w:val="TableText"/>
              <w:spacing w:before="40" w:after="40"/>
              <w:jc w:val="center"/>
              <w:rPr>
                <w:rFonts w:cs="Calibri"/>
                <w:szCs w:val="18"/>
              </w:rPr>
            </w:pPr>
            <w:r w:rsidRPr="00B275E2">
              <w:rPr>
                <w:rFonts w:cs="Calibri"/>
                <w:szCs w:val="18"/>
              </w:rPr>
              <w:t>n/a</w:t>
            </w:r>
          </w:p>
        </w:tc>
        <w:tc>
          <w:tcPr>
            <w:tcW w:w="1275" w:type="dxa"/>
            <w:shd w:val="clear" w:color="auto" w:fill="auto"/>
            <w:tcMar>
              <w:left w:w="85" w:type="dxa"/>
              <w:right w:w="85" w:type="dxa"/>
            </w:tcMar>
            <w:hideMark/>
          </w:tcPr>
          <w:p w14:paraId="674017AC" w14:textId="3C3153B7" w:rsidR="005E2556" w:rsidRPr="00B275E2" w:rsidRDefault="005E2556" w:rsidP="00E627FC">
            <w:pPr>
              <w:pStyle w:val="TableText"/>
              <w:spacing w:before="40" w:after="40"/>
              <w:jc w:val="center"/>
              <w:rPr>
                <w:rFonts w:cs="Calibri"/>
                <w:szCs w:val="18"/>
              </w:rPr>
            </w:pPr>
            <w:r w:rsidRPr="00B275E2">
              <w:rPr>
                <w:rFonts w:cs="Calibri"/>
                <w:szCs w:val="18"/>
              </w:rPr>
              <w:t>116</w:t>
            </w:r>
          </w:p>
        </w:tc>
      </w:tr>
      <w:tr w:rsidR="005E2556" w:rsidRPr="00B275E2" w14:paraId="2DFAE12A" w14:textId="77777777" w:rsidTr="00253FA5">
        <w:tc>
          <w:tcPr>
            <w:tcW w:w="3402" w:type="dxa"/>
            <w:shd w:val="clear" w:color="auto" w:fill="auto"/>
            <w:tcMar>
              <w:left w:w="85" w:type="dxa"/>
              <w:right w:w="85" w:type="dxa"/>
            </w:tcMar>
            <w:hideMark/>
          </w:tcPr>
          <w:p w14:paraId="415937DD" w14:textId="35D5056E" w:rsidR="005E2556" w:rsidRPr="00B275E2" w:rsidRDefault="005E2556" w:rsidP="000E1F19">
            <w:pPr>
              <w:pStyle w:val="TableText"/>
              <w:spacing w:before="40" w:after="40"/>
              <w:rPr>
                <w:rFonts w:cs="Calibri"/>
                <w:szCs w:val="18"/>
              </w:rPr>
            </w:pPr>
            <w:r w:rsidRPr="00B275E2">
              <w:rPr>
                <w:rFonts w:cs="Calibri"/>
                <w:szCs w:val="18"/>
              </w:rPr>
              <w:t>HFC-125</w:t>
            </w:r>
            <w:r w:rsidR="00A42624" w:rsidRPr="00B275E2">
              <w:rPr>
                <w:rFonts w:cs="Calibri"/>
                <w:szCs w:val="18"/>
              </w:rPr>
              <w:t xml:space="preserve"> </w:t>
            </w:r>
          </w:p>
        </w:tc>
        <w:tc>
          <w:tcPr>
            <w:tcW w:w="1843" w:type="dxa"/>
            <w:shd w:val="clear" w:color="auto" w:fill="auto"/>
            <w:tcMar>
              <w:left w:w="85" w:type="dxa"/>
              <w:right w:w="85" w:type="dxa"/>
            </w:tcMar>
            <w:hideMark/>
          </w:tcPr>
          <w:p w14:paraId="16C0FCF1" w14:textId="241F372C" w:rsidR="005E2556" w:rsidRPr="00B275E2" w:rsidRDefault="005E2556" w:rsidP="00FD06E4">
            <w:pPr>
              <w:pStyle w:val="TableText"/>
              <w:spacing w:before="40" w:after="40"/>
              <w:rPr>
                <w:rFonts w:cs="Calibri"/>
                <w:szCs w:val="18"/>
              </w:rPr>
            </w:pPr>
            <w:r w:rsidRPr="00B275E2">
              <w:rPr>
                <w:rFonts w:cs="Calibri"/>
                <w:szCs w:val="18"/>
              </w:rPr>
              <w:t>CHF</w:t>
            </w:r>
            <w:r w:rsidRPr="00B275E2">
              <w:rPr>
                <w:rFonts w:cs="Calibri"/>
                <w:szCs w:val="18"/>
                <w:vertAlign w:val="subscript"/>
              </w:rPr>
              <w:t>2</w:t>
            </w:r>
            <w:r w:rsidRPr="00B275E2">
              <w:rPr>
                <w:rFonts w:cs="Calibri"/>
                <w:szCs w:val="18"/>
              </w:rPr>
              <w:t>CF</w:t>
            </w:r>
            <w:r w:rsidRPr="00B275E2">
              <w:rPr>
                <w:rFonts w:cs="Calibri"/>
                <w:szCs w:val="18"/>
                <w:vertAlign w:val="subscript"/>
              </w:rPr>
              <w:t>3</w:t>
            </w:r>
          </w:p>
        </w:tc>
        <w:tc>
          <w:tcPr>
            <w:tcW w:w="709" w:type="dxa"/>
            <w:shd w:val="clear" w:color="auto" w:fill="auto"/>
            <w:tcMar>
              <w:left w:w="85" w:type="dxa"/>
              <w:right w:w="85" w:type="dxa"/>
            </w:tcMar>
            <w:hideMark/>
          </w:tcPr>
          <w:p w14:paraId="04B4735C" w14:textId="5C944DF4"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19BA40AE" w14:textId="4B656FF1" w:rsidR="005E2556" w:rsidRPr="00B275E2" w:rsidRDefault="005E2556" w:rsidP="00E627FC">
            <w:pPr>
              <w:pStyle w:val="TableText"/>
              <w:spacing w:before="40" w:after="40"/>
              <w:jc w:val="center"/>
              <w:rPr>
                <w:rFonts w:cs="Calibri"/>
                <w:szCs w:val="18"/>
              </w:rPr>
            </w:pPr>
            <w:r w:rsidRPr="00B275E2">
              <w:rPr>
                <w:rFonts w:cs="Calibri"/>
                <w:szCs w:val="18"/>
              </w:rPr>
              <w:t>3,500</w:t>
            </w:r>
          </w:p>
        </w:tc>
        <w:tc>
          <w:tcPr>
            <w:tcW w:w="1275" w:type="dxa"/>
            <w:shd w:val="clear" w:color="auto" w:fill="auto"/>
            <w:tcMar>
              <w:left w:w="85" w:type="dxa"/>
              <w:right w:w="85" w:type="dxa"/>
            </w:tcMar>
            <w:hideMark/>
          </w:tcPr>
          <w:p w14:paraId="195005CA" w14:textId="0D844FF0" w:rsidR="005E2556" w:rsidRPr="00B275E2" w:rsidRDefault="005E2556" w:rsidP="00E627FC">
            <w:pPr>
              <w:pStyle w:val="TableText"/>
              <w:spacing w:before="40" w:after="40"/>
              <w:jc w:val="center"/>
              <w:rPr>
                <w:rFonts w:cs="Calibri"/>
                <w:szCs w:val="18"/>
              </w:rPr>
            </w:pPr>
            <w:r w:rsidRPr="00B275E2">
              <w:rPr>
                <w:rFonts w:cs="Calibri"/>
                <w:szCs w:val="18"/>
              </w:rPr>
              <w:t>3,170</w:t>
            </w:r>
          </w:p>
        </w:tc>
      </w:tr>
      <w:tr w:rsidR="005E2556" w:rsidRPr="00B275E2" w14:paraId="111B58A9" w14:textId="77777777" w:rsidTr="00253FA5">
        <w:tc>
          <w:tcPr>
            <w:tcW w:w="3402" w:type="dxa"/>
            <w:shd w:val="clear" w:color="auto" w:fill="auto"/>
            <w:tcMar>
              <w:left w:w="85" w:type="dxa"/>
              <w:right w:w="85" w:type="dxa"/>
            </w:tcMar>
            <w:hideMark/>
          </w:tcPr>
          <w:p w14:paraId="0C9CC660" w14:textId="77777777" w:rsidR="005E2556" w:rsidRPr="00B275E2" w:rsidRDefault="005E2556" w:rsidP="000E1F19">
            <w:pPr>
              <w:pStyle w:val="TableText"/>
              <w:spacing w:before="40" w:after="40"/>
              <w:rPr>
                <w:rFonts w:cs="Calibri"/>
                <w:szCs w:val="18"/>
              </w:rPr>
            </w:pPr>
            <w:r w:rsidRPr="00B275E2">
              <w:rPr>
                <w:rFonts w:cs="Calibri"/>
                <w:szCs w:val="18"/>
              </w:rPr>
              <w:t>HFC-134 </w:t>
            </w:r>
          </w:p>
        </w:tc>
        <w:tc>
          <w:tcPr>
            <w:tcW w:w="1843" w:type="dxa"/>
            <w:shd w:val="clear" w:color="auto" w:fill="auto"/>
            <w:tcMar>
              <w:left w:w="85" w:type="dxa"/>
              <w:right w:w="85" w:type="dxa"/>
            </w:tcMar>
            <w:hideMark/>
          </w:tcPr>
          <w:p w14:paraId="75731A9A" w14:textId="407F6D1C" w:rsidR="005E2556" w:rsidRPr="00B275E2" w:rsidRDefault="005E2556" w:rsidP="00FD06E4">
            <w:pPr>
              <w:pStyle w:val="TableText"/>
              <w:spacing w:before="40" w:after="40"/>
              <w:rPr>
                <w:rFonts w:cs="Calibri"/>
                <w:szCs w:val="18"/>
              </w:rPr>
            </w:pPr>
            <w:r w:rsidRPr="00B275E2">
              <w:rPr>
                <w:rFonts w:cs="Calibri"/>
                <w:szCs w:val="18"/>
              </w:rPr>
              <w:t>CHF</w:t>
            </w:r>
            <w:r w:rsidRPr="00B275E2">
              <w:rPr>
                <w:rFonts w:cs="Calibri"/>
                <w:szCs w:val="18"/>
                <w:vertAlign w:val="subscript"/>
              </w:rPr>
              <w:t>2</w:t>
            </w:r>
            <w:r w:rsidRPr="00B275E2">
              <w:rPr>
                <w:rFonts w:cs="Calibri"/>
                <w:szCs w:val="18"/>
              </w:rPr>
              <w:t>CHF</w:t>
            </w:r>
            <w:r w:rsidRPr="00B275E2">
              <w:rPr>
                <w:rFonts w:cs="Calibri"/>
                <w:szCs w:val="18"/>
                <w:vertAlign w:val="subscript"/>
              </w:rPr>
              <w:t>2</w:t>
            </w:r>
          </w:p>
        </w:tc>
        <w:tc>
          <w:tcPr>
            <w:tcW w:w="709" w:type="dxa"/>
            <w:shd w:val="clear" w:color="auto" w:fill="auto"/>
            <w:tcMar>
              <w:left w:w="85" w:type="dxa"/>
              <w:right w:w="85" w:type="dxa"/>
            </w:tcMar>
            <w:hideMark/>
          </w:tcPr>
          <w:p w14:paraId="5BD07BF5" w14:textId="738996B2"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68304323" w14:textId="27FB666F" w:rsidR="005E2556" w:rsidRPr="00B275E2" w:rsidRDefault="003D1A58" w:rsidP="00E627FC">
            <w:pPr>
              <w:pStyle w:val="TableText"/>
              <w:spacing w:before="40" w:after="40"/>
              <w:jc w:val="center"/>
              <w:rPr>
                <w:rFonts w:cs="Calibri"/>
                <w:szCs w:val="18"/>
              </w:rPr>
            </w:pPr>
            <w:r w:rsidRPr="00B275E2">
              <w:rPr>
                <w:rFonts w:cs="Calibri"/>
                <w:szCs w:val="18"/>
              </w:rPr>
              <w:t>n/a</w:t>
            </w:r>
          </w:p>
        </w:tc>
        <w:tc>
          <w:tcPr>
            <w:tcW w:w="1275" w:type="dxa"/>
            <w:shd w:val="clear" w:color="auto" w:fill="auto"/>
            <w:tcMar>
              <w:left w:w="85" w:type="dxa"/>
              <w:right w:w="85" w:type="dxa"/>
            </w:tcMar>
            <w:hideMark/>
          </w:tcPr>
          <w:p w14:paraId="1E8C8D74" w14:textId="7295654C" w:rsidR="005E2556" w:rsidRPr="00B275E2" w:rsidRDefault="005E2556" w:rsidP="00E627FC">
            <w:pPr>
              <w:pStyle w:val="TableText"/>
              <w:spacing w:before="40" w:after="40"/>
              <w:jc w:val="center"/>
              <w:rPr>
                <w:rFonts w:cs="Calibri"/>
                <w:szCs w:val="18"/>
              </w:rPr>
            </w:pPr>
            <w:r w:rsidRPr="00B275E2">
              <w:rPr>
                <w:rFonts w:cs="Calibri"/>
                <w:szCs w:val="18"/>
              </w:rPr>
              <w:t>1,120</w:t>
            </w:r>
          </w:p>
        </w:tc>
      </w:tr>
      <w:tr w:rsidR="005E2556" w:rsidRPr="00B275E2" w14:paraId="34538A52" w14:textId="77777777" w:rsidTr="00253FA5">
        <w:tc>
          <w:tcPr>
            <w:tcW w:w="3402" w:type="dxa"/>
            <w:shd w:val="clear" w:color="auto" w:fill="auto"/>
            <w:tcMar>
              <w:left w:w="85" w:type="dxa"/>
              <w:right w:w="85" w:type="dxa"/>
            </w:tcMar>
            <w:hideMark/>
          </w:tcPr>
          <w:p w14:paraId="612503BD" w14:textId="14D90756" w:rsidR="005E2556" w:rsidRPr="00B275E2" w:rsidRDefault="005E2556" w:rsidP="000E1F19">
            <w:pPr>
              <w:pStyle w:val="TableText"/>
              <w:spacing w:before="40" w:after="40"/>
              <w:rPr>
                <w:rFonts w:cs="Calibri"/>
                <w:szCs w:val="18"/>
              </w:rPr>
            </w:pPr>
            <w:r w:rsidRPr="00B275E2">
              <w:rPr>
                <w:rFonts w:cs="Calibri"/>
                <w:szCs w:val="18"/>
              </w:rPr>
              <w:lastRenderedPageBreak/>
              <w:t>HFC-134a</w:t>
            </w:r>
            <w:r w:rsidR="00A42624" w:rsidRPr="00B275E2">
              <w:rPr>
                <w:rFonts w:cs="Calibri"/>
                <w:szCs w:val="18"/>
              </w:rPr>
              <w:t xml:space="preserve"> </w:t>
            </w:r>
          </w:p>
        </w:tc>
        <w:tc>
          <w:tcPr>
            <w:tcW w:w="1843" w:type="dxa"/>
            <w:shd w:val="clear" w:color="auto" w:fill="auto"/>
            <w:tcMar>
              <w:left w:w="85" w:type="dxa"/>
              <w:right w:w="85" w:type="dxa"/>
            </w:tcMar>
            <w:hideMark/>
          </w:tcPr>
          <w:p w14:paraId="640D5A47" w14:textId="00672E78" w:rsidR="005E2556" w:rsidRPr="00B275E2" w:rsidRDefault="005E2556" w:rsidP="00FD06E4">
            <w:pPr>
              <w:pStyle w:val="TableText"/>
              <w:spacing w:before="40" w:after="40"/>
              <w:rPr>
                <w:rFonts w:cs="Calibri"/>
                <w:szCs w:val="18"/>
              </w:rPr>
            </w:pPr>
            <w:r w:rsidRPr="00B275E2">
              <w:rPr>
                <w:rFonts w:cs="Calibri"/>
                <w:szCs w:val="18"/>
              </w:rPr>
              <w:t>CH</w:t>
            </w:r>
            <w:r w:rsidRPr="00B275E2">
              <w:rPr>
                <w:rFonts w:cs="Calibri"/>
                <w:szCs w:val="18"/>
                <w:vertAlign w:val="subscript"/>
              </w:rPr>
              <w:t>2</w:t>
            </w:r>
            <w:r w:rsidRPr="00B275E2">
              <w:rPr>
                <w:rFonts w:cs="Calibri"/>
                <w:szCs w:val="18"/>
              </w:rPr>
              <w:t>FCF</w:t>
            </w:r>
            <w:r w:rsidRPr="00B275E2">
              <w:rPr>
                <w:rFonts w:cs="Calibri"/>
                <w:szCs w:val="18"/>
                <w:vertAlign w:val="subscript"/>
              </w:rPr>
              <w:t>3</w:t>
            </w:r>
          </w:p>
        </w:tc>
        <w:tc>
          <w:tcPr>
            <w:tcW w:w="709" w:type="dxa"/>
            <w:shd w:val="clear" w:color="auto" w:fill="auto"/>
            <w:tcMar>
              <w:left w:w="85" w:type="dxa"/>
              <w:right w:w="85" w:type="dxa"/>
            </w:tcMar>
            <w:hideMark/>
          </w:tcPr>
          <w:p w14:paraId="6F4D2FDB" w14:textId="116E5231"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7F31CB22" w14:textId="685BFE8E" w:rsidR="005E2556" w:rsidRPr="00B275E2" w:rsidRDefault="005E2556" w:rsidP="00E627FC">
            <w:pPr>
              <w:pStyle w:val="TableText"/>
              <w:spacing w:before="40" w:after="40"/>
              <w:jc w:val="center"/>
              <w:rPr>
                <w:rFonts w:cs="Calibri"/>
                <w:szCs w:val="18"/>
              </w:rPr>
            </w:pPr>
            <w:r w:rsidRPr="00B275E2">
              <w:rPr>
                <w:rFonts w:cs="Calibri"/>
                <w:szCs w:val="18"/>
              </w:rPr>
              <w:t>1,430</w:t>
            </w:r>
          </w:p>
        </w:tc>
        <w:tc>
          <w:tcPr>
            <w:tcW w:w="1275" w:type="dxa"/>
            <w:shd w:val="clear" w:color="auto" w:fill="auto"/>
            <w:tcMar>
              <w:left w:w="85" w:type="dxa"/>
              <w:right w:w="85" w:type="dxa"/>
            </w:tcMar>
            <w:hideMark/>
          </w:tcPr>
          <w:p w14:paraId="344ACAD1" w14:textId="2C4187CC" w:rsidR="005E2556" w:rsidRPr="00B275E2" w:rsidRDefault="005E2556" w:rsidP="00E627FC">
            <w:pPr>
              <w:pStyle w:val="TableText"/>
              <w:spacing w:before="40" w:after="40"/>
              <w:jc w:val="center"/>
              <w:rPr>
                <w:rFonts w:cs="Calibri"/>
                <w:szCs w:val="18"/>
              </w:rPr>
            </w:pPr>
            <w:r w:rsidRPr="00B275E2">
              <w:rPr>
                <w:rFonts w:cs="Calibri"/>
                <w:szCs w:val="18"/>
              </w:rPr>
              <w:t>1,300</w:t>
            </w:r>
          </w:p>
        </w:tc>
      </w:tr>
      <w:tr w:rsidR="005E2556" w:rsidRPr="00B275E2" w14:paraId="64449947" w14:textId="77777777" w:rsidTr="00253FA5">
        <w:tc>
          <w:tcPr>
            <w:tcW w:w="3402" w:type="dxa"/>
            <w:shd w:val="clear" w:color="auto" w:fill="auto"/>
            <w:tcMar>
              <w:left w:w="85" w:type="dxa"/>
              <w:right w:w="85" w:type="dxa"/>
            </w:tcMar>
            <w:hideMark/>
          </w:tcPr>
          <w:p w14:paraId="03EE2FD4" w14:textId="77777777" w:rsidR="005E2556" w:rsidRPr="00B275E2" w:rsidRDefault="005E2556" w:rsidP="000E1F19">
            <w:pPr>
              <w:pStyle w:val="TableText"/>
              <w:spacing w:before="40" w:after="40"/>
              <w:rPr>
                <w:rFonts w:cs="Calibri"/>
                <w:szCs w:val="18"/>
              </w:rPr>
            </w:pPr>
            <w:r w:rsidRPr="00B275E2">
              <w:rPr>
                <w:rFonts w:cs="Calibri"/>
                <w:szCs w:val="18"/>
              </w:rPr>
              <w:t>HFC-143 </w:t>
            </w:r>
          </w:p>
        </w:tc>
        <w:tc>
          <w:tcPr>
            <w:tcW w:w="1843" w:type="dxa"/>
            <w:shd w:val="clear" w:color="auto" w:fill="auto"/>
            <w:tcMar>
              <w:left w:w="85" w:type="dxa"/>
              <w:right w:w="85" w:type="dxa"/>
            </w:tcMar>
            <w:hideMark/>
          </w:tcPr>
          <w:p w14:paraId="63AD88CB" w14:textId="5053D5CD" w:rsidR="005E2556" w:rsidRPr="00B275E2" w:rsidRDefault="005E2556" w:rsidP="00FD06E4">
            <w:pPr>
              <w:pStyle w:val="TableText"/>
              <w:spacing w:before="40" w:after="40"/>
              <w:rPr>
                <w:rFonts w:cs="Calibri"/>
                <w:szCs w:val="18"/>
              </w:rPr>
            </w:pPr>
            <w:r w:rsidRPr="00B275E2">
              <w:rPr>
                <w:rFonts w:cs="Calibri"/>
                <w:szCs w:val="18"/>
              </w:rPr>
              <w:t>CH</w:t>
            </w:r>
            <w:r w:rsidRPr="00B275E2">
              <w:rPr>
                <w:rFonts w:cs="Calibri"/>
                <w:szCs w:val="18"/>
                <w:vertAlign w:val="subscript"/>
              </w:rPr>
              <w:t>2</w:t>
            </w:r>
            <w:r w:rsidRPr="00B275E2">
              <w:rPr>
                <w:rFonts w:cs="Calibri"/>
                <w:szCs w:val="18"/>
              </w:rPr>
              <w:t>FCHF</w:t>
            </w:r>
            <w:r w:rsidRPr="00B275E2">
              <w:rPr>
                <w:rFonts w:cs="Calibri"/>
                <w:szCs w:val="18"/>
                <w:vertAlign w:val="subscript"/>
              </w:rPr>
              <w:t>2</w:t>
            </w:r>
          </w:p>
        </w:tc>
        <w:tc>
          <w:tcPr>
            <w:tcW w:w="709" w:type="dxa"/>
            <w:shd w:val="clear" w:color="auto" w:fill="auto"/>
            <w:tcMar>
              <w:left w:w="85" w:type="dxa"/>
              <w:right w:w="85" w:type="dxa"/>
            </w:tcMar>
            <w:hideMark/>
          </w:tcPr>
          <w:p w14:paraId="1365B71B" w14:textId="3B3E03ED"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402E34BD" w14:textId="69035A66" w:rsidR="005E2556" w:rsidRPr="00B275E2" w:rsidRDefault="003D1A58" w:rsidP="00E627FC">
            <w:pPr>
              <w:pStyle w:val="TableText"/>
              <w:spacing w:before="40" w:after="40"/>
              <w:jc w:val="center"/>
              <w:rPr>
                <w:rFonts w:cs="Calibri"/>
                <w:szCs w:val="18"/>
              </w:rPr>
            </w:pPr>
            <w:r w:rsidRPr="00B275E2">
              <w:rPr>
                <w:rFonts w:cs="Calibri"/>
                <w:szCs w:val="18"/>
              </w:rPr>
              <w:t>n/a</w:t>
            </w:r>
          </w:p>
        </w:tc>
        <w:tc>
          <w:tcPr>
            <w:tcW w:w="1275" w:type="dxa"/>
            <w:shd w:val="clear" w:color="auto" w:fill="auto"/>
            <w:tcMar>
              <w:left w:w="85" w:type="dxa"/>
              <w:right w:w="85" w:type="dxa"/>
            </w:tcMar>
            <w:hideMark/>
          </w:tcPr>
          <w:p w14:paraId="47AA1DC3" w14:textId="40AFEB39" w:rsidR="005E2556" w:rsidRPr="00B275E2" w:rsidRDefault="005E2556" w:rsidP="00E627FC">
            <w:pPr>
              <w:pStyle w:val="TableText"/>
              <w:spacing w:before="40" w:after="40"/>
              <w:jc w:val="center"/>
              <w:rPr>
                <w:rFonts w:cs="Calibri"/>
                <w:szCs w:val="18"/>
              </w:rPr>
            </w:pPr>
            <w:r w:rsidRPr="00B275E2">
              <w:rPr>
                <w:rFonts w:cs="Calibri"/>
                <w:szCs w:val="18"/>
              </w:rPr>
              <w:t>328</w:t>
            </w:r>
          </w:p>
        </w:tc>
      </w:tr>
      <w:tr w:rsidR="005E2556" w:rsidRPr="00B275E2" w14:paraId="5BD4772A" w14:textId="77777777" w:rsidTr="00253FA5">
        <w:tc>
          <w:tcPr>
            <w:tcW w:w="3402" w:type="dxa"/>
            <w:shd w:val="clear" w:color="auto" w:fill="auto"/>
            <w:tcMar>
              <w:left w:w="85" w:type="dxa"/>
              <w:right w:w="85" w:type="dxa"/>
            </w:tcMar>
            <w:hideMark/>
          </w:tcPr>
          <w:p w14:paraId="36B93806" w14:textId="116BDFF8" w:rsidR="005E2556" w:rsidRPr="00B275E2" w:rsidRDefault="005E2556" w:rsidP="000E1F19">
            <w:pPr>
              <w:pStyle w:val="TableText"/>
              <w:spacing w:before="40" w:after="40"/>
              <w:rPr>
                <w:rFonts w:cs="Calibri"/>
                <w:szCs w:val="18"/>
              </w:rPr>
            </w:pPr>
            <w:r w:rsidRPr="00B275E2">
              <w:rPr>
                <w:rFonts w:cs="Calibri"/>
                <w:szCs w:val="18"/>
              </w:rPr>
              <w:t>HFC-143a</w:t>
            </w:r>
            <w:r w:rsidR="00A42624" w:rsidRPr="00B275E2">
              <w:rPr>
                <w:rFonts w:cs="Calibri"/>
                <w:szCs w:val="18"/>
              </w:rPr>
              <w:t xml:space="preserve"> </w:t>
            </w:r>
          </w:p>
        </w:tc>
        <w:tc>
          <w:tcPr>
            <w:tcW w:w="1843" w:type="dxa"/>
            <w:shd w:val="clear" w:color="auto" w:fill="auto"/>
            <w:tcMar>
              <w:left w:w="85" w:type="dxa"/>
              <w:right w:w="85" w:type="dxa"/>
            </w:tcMar>
            <w:hideMark/>
          </w:tcPr>
          <w:p w14:paraId="7AA701FD" w14:textId="55298113" w:rsidR="005E2556" w:rsidRPr="00B275E2" w:rsidRDefault="005E2556" w:rsidP="00FD06E4">
            <w:pPr>
              <w:pStyle w:val="TableText"/>
              <w:spacing w:before="40" w:after="40"/>
              <w:rPr>
                <w:rFonts w:cs="Calibri"/>
                <w:szCs w:val="18"/>
              </w:rPr>
            </w:pPr>
            <w:r w:rsidRPr="00B275E2">
              <w:rPr>
                <w:rFonts w:cs="Calibri"/>
                <w:szCs w:val="18"/>
              </w:rPr>
              <w:t>CH</w:t>
            </w:r>
            <w:r w:rsidRPr="00B275E2">
              <w:rPr>
                <w:rFonts w:cs="Calibri"/>
                <w:szCs w:val="18"/>
                <w:vertAlign w:val="subscript"/>
              </w:rPr>
              <w:t>3</w:t>
            </w:r>
            <w:r w:rsidRPr="00B275E2">
              <w:rPr>
                <w:rFonts w:cs="Calibri"/>
                <w:szCs w:val="18"/>
              </w:rPr>
              <w:t>CF</w:t>
            </w:r>
            <w:r w:rsidRPr="00B275E2">
              <w:rPr>
                <w:rFonts w:cs="Calibri"/>
                <w:szCs w:val="18"/>
                <w:vertAlign w:val="subscript"/>
              </w:rPr>
              <w:t>3</w:t>
            </w:r>
          </w:p>
        </w:tc>
        <w:tc>
          <w:tcPr>
            <w:tcW w:w="709" w:type="dxa"/>
            <w:shd w:val="clear" w:color="auto" w:fill="auto"/>
            <w:tcMar>
              <w:left w:w="85" w:type="dxa"/>
              <w:right w:w="85" w:type="dxa"/>
            </w:tcMar>
            <w:hideMark/>
          </w:tcPr>
          <w:p w14:paraId="74042F82" w14:textId="344997E9"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5F9F7DF1" w14:textId="37DFC053" w:rsidR="005E2556" w:rsidRPr="00B275E2" w:rsidRDefault="005E2556" w:rsidP="00E627FC">
            <w:pPr>
              <w:pStyle w:val="TableText"/>
              <w:spacing w:before="40" w:after="40"/>
              <w:jc w:val="center"/>
              <w:rPr>
                <w:rFonts w:cs="Calibri"/>
                <w:szCs w:val="18"/>
              </w:rPr>
            </w:pPr>
            <w:r w:rsidRPr="00B275E2">
              <w:rPr>
                <w:rFonts w:cs="Calibri"/>
                <w:szCs w:val="18"/>
              </w:rPr>
              <w:t>4,470</w:t>
            </w:r>
          </w:p>
        </w:tc>
        <w:tc>
          <w:tcPr>
            <w:tcW w:w="1275" w:type="dxa"/>
            <w:shd w:val="clear" w:color="auto" w:fill="auto"/>
            <w:tcMar>
              <w:left w:w="85" w:type="dxa"/>
              <w:right w:w="85" w:type="dxa"/>
            </w:tcMar>
            <w:hideMark/>
          </w:tcPr>
          <w:p w14:paraId="04AF802A" w14:textId="1DE20918" w:rsidR="005E2556" w:rsidRPr="00B275E2" w:rsidRDefault="005E2556" w:rsidP="00E627FC">
            <w:pPr>
              <w:pStyle w:val="TableText"/>
              <w:spacing w:before="40" w:after="40"/>
              <w:jc w:val="center"/>
              <w:rPr>
                <w:rFonts w:cs="Calibri"/>
                <w:szCs w:val="18"/>
              </w:rPr>
            </w:pPr>
            <w:r w:rsidRPr="00B275E2">
              <w:rPr>
                <w:rFonts w:cs="Calibri"/>
                <w:szCs w:val="18"/>
              </w:rPr>
              <w:t>4,800</w:t>
            </w:r>
          </w:p>
        </w:tc>
      </w:tr>
      <w:tr w:rsidR="005E2556" w:rsidRPr="00B275E2" w14:paraId="0240D743" w14:textId="77777777" w:rsidTr="00253FA5">
        <w:tc>
          <w:tcPr>
            <w:tcW w:w="3402" w:type="dxa"/>
            <w:shd w:val="clear" w:color="auto" w:fill="auto"/>
            <w:tcMar>
              <w:left w:w="85" w:type="dxa"/>
              <w:right w:w="85" w:type="dxa"/>
            </w:tcMar>
            <w:hideMark/>
          </w:tcPr>
          <w:p w14:paraId="00EC7109" w14:textId="77777777" w:rsidR="005E2556" w:rsidRPr="00B275E2" w:rsidRDefault="005E2556" w:rsidP="000E1F19">
            <w:pPr>
              <w:pStyle w:val="TableText"/>
              <w:spacing w:before="40" w:after="40"/>
              <w:rPr>
                <w:rFonts w:cs="Calibri"/>
                <w:szCs w:val="18"/>
              </w:rPr>
            </w:pPr>
            <w:r w:rsidRPr="00B275E2">
              <w:rPr>
                <w:rFonts w:cs="Calibri"/>
                <w:szCs w:val="18"/>
              </w:rPr>
              <w:t>HFC-152 </w:t>
            </w:r>
          </w:p>
        </w:tc>
        <w:tc>
          <w:tcPr>
            <w:tcW w:w="1843" w:type="dxa"/>
            <w:shd w:val="clear" w:color="auto" w:fill="auto"/>
            <w:tcMar>
              <w:left w:w="85" w:type="dxa"/>
              <w:right w:w="85" w:type="dxa"/>
            </w:tcMar>
            <w:hideMark/>
          </w:tcPr>
          <w:p w14:paraId="09B91388" w14:textId="06558F9A" w:rsidR="005E2556" w:rsidRPr="00B275E2" w:rsidRDefault="005E2556" w:rsidP="00FD06E4">
            <w:pPr>
              <w:pStyle w:val="TableText"/>
              <w:spacing w:before="40" w:after="40"/>
              <w:rPr>
                <w:rFonts w:cs="Calibri"/>
                <w:szCs w:val="18"/>
              </w:rPr>
            </w:pPr>
            <w:r w:rsidRPr="00B275E2">
              <w:rPr>
                <w:rFonts w:cs="Calibri"/>
                <w:szCs w:val="18"/>
              </w:rPr>
              <w:t>CH</w:t>
            </w:r>
            <w:r w:rsidRPr="00B275E2">
              <w:rPr>
                <w:rFonts w:cs="Calibri"/>
                <w:szCs w:val="18"/>
                <w:vertAlign w:val="subscript"/>
              </w:rPr>
              <w:t>2</w:t>
            </w:r>
            <w:r w:rsidRPr="00B275E2">
              <w:rPr>
                <w:rFonts w:cs="Calibri"/>
                <w:szCs w:val="18"/>
              </w:rPr>
              <w:t>FCH</w:t>
            </w:r>
            <w:r w:rsidRPr="00B275E2">
              <w:rPr>
                <w:rFonts w:cs="Calibri"/>
                <w:szCs w:val="18"/>
                <w:vertAlign w:val="subscript"/>
              </w:rPr>
              <w:t>2</w:t>
            </w:r>
            <w:r w:rsidRPr="00B275E2">
              <w:rPr>
                <w:rFonts w:cs="Calibri"/>
                <w:szCs w:val="18"/>
              </w:rPr>
              <w:t>F</w:t>
            </w:r>
          </w:p>
        </w:tc>
        <w:tc>
          <w:tcPr>
            <w:tcW w:w="709" w:type="dxa"/>
            <w:shd w:val="clear" w:color="auto" w:fill="auto"/>
            <w:tcMar>
              <w:left w:w="85" w:type="dxa"/>
              <w:right w:w="85" w:type="dxa"/>
            </w:tcMar>
            <w:hideMark/>
          </w:tcPr>
          <w:p w14:paraId="1C2EF0CC" w14:textId="1B72C523"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4FD87D6A" w14:textId="0383A880" w:rsidR="005E2556" w:rsidRPr="00B275E2" w:rsidRDefault="003D1A58" w:rsidP="00E627FC">
            <w:pPr>
              <w:pStyle w:val="TableText"/>
              <w:spacing w:before="40" w:after="40"/>
              <w:jc w:val="center"/>
              <w:rPr>
                <w:rFonts w:cs="Calibri"/>
                <w:szCs w:val="18"/>
              </w:rPr>
            </w:pPr>
            <w:r w:rsidRPr="00B275E2">
              <w:rPr>
                <w:rFonts w:cs="Calibri"/>
                <w:szCs w:val="18"/>
              </w:rPr>
              <w:t>n/a</w:t>
            </w:r>
          </w:p>
        </w:tc>
        <w:tc>
          <w:tcPr>
            <w:tcW w:w="1275" w:type="dxa"/>
            <w:shd w:val="clear" w:color="auto" w:fill="auto"/>
            <w:tcMar>
              <w:left w:w="85" w:type="dxa"/>
              <w:right w:w="85" w:type="dxa"/>
            </w:tcMar>
            <w:hideMark/>
          </w:tcPr>
          <w:p w14:paraId="3F502FA6" w14:textId="6CE3F49D" w:rsidR="005E2556" w:rsidRPr="00B275E2" w:rsidRDefault="005E2556" w:rsidP="00E627FC">
            <w:pPr>
              <w:pStyle w:val="TableText"/>
              <w:spacing w:before="40" w:after="40"/>
              <w:jc w:val="center"/>
              <w:rPr>
                <w:rFonts w:cs="Calibri"/>
                <w:szCs w:val="18"/>
              </w:rPr>
            </w:pPr>
            <w:r w:rsidRPr="00B275E2">
              <w:rPr>
                <w:rFonts w:cs="Calibri"/>
                <w:szCs w:val="18"/>
              </w:rPr>
              <w:t>16</w:t>
            </w:r>
          </w:p>
        </w:tc>
      </w:tr>
      <w:tr w:rsidR="005E2556" w:rsidRPr="00B275E2" w14:paraId="7DBFB239" w14:textId="77777777" w:rsidTr="00253FA5">
        <w:tc>
          <w:tcPr>
            <w:tcW w:w="3402" w:type="dxa"/>
            <w:shd w:val="clear" w:color="auto" w:fill="auto"/>
            <w:tcMar>
              <w:left w:w="85" w:type="dxa"/>
              <w:right w:w="85" w:type="dxa"/>
            </w:tcMar>
            <w:hideMark/>
          </w:tcPr>
          <w:p w14:paraId="0C8EE4A8" w14:textId="13A866A1" w:rsidR="005E2556" w:rsidRPr="00B275E2" w:rsidRDefault="005E2556" w:rsidP="000E1F19">
            <w:pPr>
              <w:pStyle w:val="TableText"/>
              <w:spacing w:before="40" w:after="40"/>
              <w:rPr>
                <w:rFonts w:cs="Calibri"/>
                <w:szCs w:val="18"/>
              </w:rPr>
            </w:pPr>
            <w:r w:rsidRPr="00B275E2">
              <w:rPr>
                <w:rFonts w:cs="Calibri"/>
                <w:szCs w:val="18"/>
              </w:rPr>
              <w:t>HFC-152a</w:t>
            </w:r>
            <w:r w:rsidR="00A42624" w:rsidRPr="00B275E2">
              <w:rPr>
                <w:rFonts w:cs="Calibri"/>
                <w:szCs w:val="18"/>
              </w:rPr>
              <w:t xml:space="preserve"> </w:t>
            </w:r>
          </w:p>
        </w:tc>
        <w:tc>
          <w:tcPr>
            <w:tcW w:w="1843" w:type="dxa"/>
            <w:shd w:val="clear" w:color="auto" w:fill="auto"/>
            <w:tcMar>
              <w:left w:w="85" w:type="dxa"/>
              <w:right w:w="85" w:type="dxa"/>
            </w:tcMar>
            <w:hideMark/>
          </w:tcPr>
          <w:p w14:paraId="60E6C72A" w14:textId="1D01A06A" w:rsidR="005E2556" w:rsidRPr="00B275E2" w:rsidRDefault="005E2556" w:rsidP="00FD06E4">
            <w:pPr>
              <w:pStyle w:val="TableText"/>
              <w:spacing w:before="40" w:after="40"/>
              <w:rPr>
                <w:rFonts w:cs="Calibri"/>
                <w:szCs w:val="18"/>
              </w:rPr>
            </w:pPr>
            <w:r w:rsidRPr="00B275E2">
              <w:rPr>
                <w:rFonts w:cs="Calibri"/>
                <w:szCs w:val="18"/>
              </w:rPr>
              <w:t>CH</w:t>
            </w:r>
            <w:r w:rsidRPr="00B275E2">
              <w:rPr>
                <w:rFonts w:cs="Calibri"/>
                <w:szCs w:val="18"/>
                <w:vertAlign w:val="subscript"/>
              </w:rPr>
              <w:t>3</w:t>
            </w:r>
            <w:r w:rsidRPr="00B275E2">
              <w:rPr>
                <w:rFonts w:cs="Calibri"/>
                <w:szCs w:val="18"/>
              </w:rPr>
              <w:t>CHF</w:t>
            </w:r>
            <w:r w:rsidRPr="00B275E2">
              <w:rPr>
                <w:rFonts w:cs="Calibri"/>
                <w:szCs w:val="18"/>
                <w:vertAlign w:val="subscript"/>
              </w:rPr>
              <w:t>2</w:t>
            </w:r>
          </w:p>
        </w:tc>
        <w:tc>
          <w:tcPr>
            <w:tcW w:w="709" w:type="dxa"/>
            <w:shd w:val="clear" w:color="auto" w:fill="auto"/>
            <w:tcMar>
              <w:left w:w="85" w:type="dxa"/>
              <w:right w:w="85" w:type="dxa"/>
            </w:tcMar>
            <w:hideMark/>
          </w:tcPr>
          <w:p w14:paraId="107387B1" w14:textId="6273CE09"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3B295C01" w14:textId="002C1B22" w:rsidR="005E2556" w:rsidRPr="00B275E2" w:rsidRDefault="005E2556" w:rsidP="00E627FC">
            <w:pPr>
              <w:pStyle w:val="TableText"/>
              <w:spacing w:before="40" w:after="40"/>
              <w:jc w:val="center"/>
              <w:rPr>
                <w:rFonts w:cs="Calibri"/>
                <w:szCs w:val="18"/>
              </w:rPr>
            </w:pPr>
            <w:r w:rsidRPr="00B275E2">
              <w:rPr>
                <w:rFonts w:cs="Calibri"/>
                <w:szCs w:val="18"/>
              </w:rPr>
              <w:t>124</w:t>
            </w:r>
          </w:p>
        </w:tc>
        <w:tc>
          <w:tcPr>
            <w:tcW w:w="1275" w:type="dxa"/>
            <w:shd w:val="clear" w:color="auto" w:fill="auto"/>
            <w:tcMar>
              <w:left w:w="85" w:type="dxa"/>
              <w:right w:w="85" w:type="dxa"/>
            </w:tcMar>
            <w:hideMark/>
          </w:tcPr>
          <w:p w14:paraId="3CBB6FE0" w14:textId="371990A3" w:rsidR="005E2556" w:rsidRPr="00B275E2" w:rsidRDefault="005E2556" w:rsidP="00E627FC">
            <w:pPr>
              <w:pStyle w:val="TableText"/>
              <w:spacing w:before="40" w:after="40"/>
              <w:jc w:val="center"/>
              <w:rPr>
                <w:rFonts w:cs="Calibri"/>
                <w:szCs w:val="18"/>
              </w:rPr>
            </w:pPr>
            <w:r w:rsidRPr="00B275E2">
              <w:rPr>
                <w:rFonts w:cs="Calibri"/>
                <w:szCs w:val="18"/>
              </w:rPr>
              <w:t>138</w:t>
            </w:r>
          </w:p>
        </w:tc>
      </w:tr>
      <w:tr w:rsidR="005E2556" w:rsidRPr="00B275E2" w14:paraId="04F5E1A5" w14:textId="77777777" w:rsidTr="00253FA5">
        <w:tc>
          <w:tcPr>
            <w:tcW w:w="3402" w:type="dxa"/>
            <w:shd w:val="clear" w:color="auto" w:fill="auto"/>
            <w:tcMar>
              <w:left w:w="85" w:type="dxa"/>
              <w:right w:w="85" w:type="dxa"/>
            </w:tcMar>
            <w:hideMark/>
          </w:tcPr>
          <w:p w14:paraId="3E252A58" w14:textId="77777777" w:rsidR="005E2556" w:rsidRPr="00B275E2" w:rsidRDefault="005E2556" w:rsidP="000E1F19">
            <w:pPr>
              <w:pStyle w:val="TableText"/>
              <w:spacing w:before="40" w:after="40"/>
              <w:rPr>
                <w:rFonts w:cs="Calibri"/>
                <w:szCs w:val="18"/>
              </w:rPr>
            </w:pPr>
            <w:r w:rsidRPr="00B275E2">
              <w:rPr>
                <w:rFonts w:cs="Calibri"/>
                <w:szCs w:val="18"/>
              </w:rPr>
              <w:t>HFC-161 </w:t>
            </w:r>
          </w:p>
        </w:tc>
        <w:tc>
          <w:tcPr>
            <w:tcW w:w="1843" w:type="dxa"/>
            <w:shd w:val="clear" w:color="auto" w:fill="auto"/>
            <w:tcMar>
              <w:left w:w="85" w:type="dxa"/>
              <w:right w:w="85" w:type="dxa"/>
            </w:tcMar>
            <w:hideMark/>
          </w:tcPr>
          <w:p w14:paraId="32D652B4" w14:textId="0FB40CB5" w:rsidR="005E2556" w:rsidRPr="00B275E2" w:rsidRDefault="005E2556" w:rsidP="00FD06E4">
            <w:pPr>
              <w:pStyle w:val="TableText"/>
              <w:spacing w:before="40" w:after="40"/>
              <w:rPr>
                <w:rFonts w:cs="Calibri"/>
                <w:szCs w:val="18"/>
              </w:rPr>
            </w:pPr>
            <w:r w:rsidRPr="00B275E2">
              <w:rPr>
                <w:rFonts w:cs="Calibri"/>
                <w:szCs w:val="18"/>
              </w:rPr>
              <w:t>CH</w:t>
            </w:r>
            <w:r w:rsidRPr="00B275E2">
              <w:rPr>
                <w:rFonts w:cs="Calibri"/>
                <w:szCs w:val="18"/>
                <w:vertAlign w:val="subscript"/>
              </w:rPr>
              <w:t>3</w:t>
            </w:r>
            <w:r w:rsidRPr="00B275E2">
              <w:rPr>
                <w:rFonts w:cs="Calibri"/>
                <w:szCs w:val="18"/>
              </w:rPr>
              <w:t>CH</w:t>
            </w:r>
            <w:r w:rsidRPr="00B275E2">
              <w:rPr>
                <w:rFonts w:cs="Calibri"/>
                <w:szCs w:val="18"/>
                <w:vertAlign w:val="subscript"/>
              </w:rPr>
              <w:t>2</w:t>
            </w:r>
            <w:r w:rsidRPr="00B275E2">
              <w:rPr>
                <w:rFonts w:cs="Calibri"/>
                <w:szCs w:val="18"/>
              </w:rPr>
              <w:t>F</w:t>
            </w:r>
          </w:p>
        </w:tc>
        <w:tc>
          <w:tcPr>
            <w:tcW w:w="709" w:type="dxa"/>
            <w:shd w:val="clear" w:color="auto" w:fill="auto"/>
            <w:tcMar>
              <w:left w:w="85" w:type="dxa"/>
              <w:right w:w="85" w:type="dxa"/>
            </w:tcMar>
            <w:hideMark/>
          </w:tcPr>
          <w:p w14:paraId="632F89F9" w14:textId="095842A4"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31CCF358" w14:textId="6ACE9A46" w:rsidR="005E2556" w:rsidRPr="00B275E2" w:rsidRDefault="003D1A58" w:rsidP="00E627FC">
            <w:pPr>
              <w:pStyle w:val="TableText"/>
              <w:spacing w:before="40" w:after="40"/>
              <w:jc w:val="center"/>
              <w:rPr>
                <w:rFonts w:cs="Calibri"/>
                <w:szCs w:val="18"/>
              </w:rPr>
            </w:pPr>
            <w:r w:rsidRPr="00B275E2">
              <w:rPr>
                <w:rFonts w:cs="Calibri"/>
                <w:szCs w:val="18"/>
              </w:rPr>
              <w:t>n/a</w:t>
            </w:r>
          </w:p>
        </w:tc>
        <w:tc>
          <w:tcPr>
            <w:tcW w:w="1275" w:type="dxa"/>
            <w:shd w:val="clear" w:color="auto" w:fill="auto"/>
            <w:tcMar>
              <w:left w:w="85" w:type="dxa"/>
              <w:right w:w="85" w:type="dxa"/>
            </w:tcMar>
            <w:hideMark/>
          </w:tcPr>
          <w:p w14:paraId="1EA0414D" w14:textId="13016E96" w:rsidR="005E2556" w:rsidRPr="00B275E2" w:rsidRDefault="005E2556" w:rsidP="00E627FC">
            <w:pPr>
              <w:pStyle w:val="TableText"/>
              <w:spacing w:before="40" w:after="40"/>
              <w:jc w:val="center"/>
              <w:rPr>
                <w:rFonts w:cs="Calibri"/>
                <w:szCs w:val="18"/>
              </w:rPr>
            </w:pPr>
            <w:r w:rsidRPr="00B275E2">
              <w:rPr>
                <w:rFonts w:cs="Calibri"/>
                <w:szCs w:val="18"/>
              </w:rPr>
              <w:t>4</w:t>
            </w:r>
          </w:p>
        </w:tc>
      </w:tr>
      <w:tr w:rsidR="005E2556" w:rsidRPr="00B275E2" w14:paraId="32D9DC4E" w14:textId="77777777" w:rsidTr="00253FA5">
        <w:tc>
          <w:tcPr>
            <w:tcW w:w="3402" w:type="dxa"/>
            <w:shd w:val="clear" w:color="auto" w:fill="auto"/>
            <w:tcMar>
              <w:left w:w="85" w:type="dxa"/>
              <w:right w:w="85" w:type="dxa"/>
            </w:tcMar>
            <w:hideMark/>
          </w:tcPr>
          <w:p w14:paraId="67DE3308" w14:textId="4E786F3A" w:rsidR="005E2556" w:rsidRPr="00B275E2" w:rsidRDefault="005E2556" w:rsidP="000E1F19">
            <w:pPr>
              <w:pStyle w:val="TableText"/>
              <w:spacing w:before="40" w:after="40"/>
              <w:rPr>
                <w:rFonts w:cs="Calibri"/>
                <w:szCs w:val="18"/>
              </w:rPr>
            </w:pPr>
            <w:r w:rsidRPr="00B275E2">
              <w:rPr>
                <w:rFonts w:cs="Calibri"/>
                <w:szCs w:val="18"/>
              </w:rPr>
              <w:t>HFC-227ea</w:t>
            </w:r>
            <w:r w:rsidR="00A42624" w:rsidRPr="00B275E2">
              <w:rPr>
                <w:rFonts w:cs="Calibri"/>
                <w:szCs w:val="18"/>
              </w:rPr>
              <w:t xml:space="preserve"> </w:t>
            </w:r>
          </w:p>
        </w:tc>
        <w:tc>
          <w:tcPr>
            <w:tcW w:w="1843" w:type="dxa"/>
            <w:shd w:val="clear" w:color="auto" w:fill="auto"/>
            <w:tcMar>
              <w:left w:w="85" w:type="dxa"/>
              <w:right w:w="85" w:type="dxa"/>
            </w:tcMar>
            <w:hideMark/>
          </w:tcPr>
          <w:p w14:paraId="5258ADAB" w14:textId="1A013A9D" w:rsidR="005E2556" w:rsidRPr="00B275E2" w:rsidRDefault="005E2556" w:rsidP="00FD06E4">
            <w:pPr>
              <w:pStyle w:val="TableText"/>
              <w:spacing w:before="40" w:after="40"/>
              <w:rPr>
                <w:rFonts w:cs="Calibri"/>
                <w:szCs w:val="18"/>
              </w:rPr>
            </w:pPr>
            <w:r w:rsidRPr="00B275E2">
              <w:rPr>
                <w:rFonts w:cs="Calibri"/>
                <w:szCs w:val="18"/>
              </w:rPr>
              <w:t>CF</w:t>
            </w:r>
            <w:r w:rsidRPr="00B275E2">
              <w:rPr>
                <w:rFonts w:cs="Calibri"/>
                <w:szCs w:val="18"/>
                <w:vertAlign w:val="subscript"/>
              </w:rPr>
              <w:t>3</w:t>
            </w:r>
            <w:r w:rsidRPr="00B275E2">
              <w:rPr>
                <w:rFonts w:cs="Calibri"/>
                <w:szCs w:val="18"/>
              </w:rPr>
              <w:t>CHFCF</w:t>
            </w:r>
            <w:r w:rsidRPr="00B275E2">
              <w:rPr>
                <w:rFonts w:cs="Calibri"/>
                <w:szCs w:val="18"/>
                <w:vertAlign w:val="subscript"/>
              </w:rPr>
              <w:t>3</w:t>
            </w:r>
          </w:p>
        </w:tc>
        <w:tc>
          <w:tcPr>
            <w:tcW w:w="709" w:type="dxa"/>
            <w:shd w:val="clear" w:color="auto" w:fill="auto"/>
            <w:tcMar>
              <w:left w:w="85" w:type="dxa"/>
              <w:right w:w="85" w:type="dxa"/>
            </w:tcMar>
            <w:hideMark/>
          </w:tcPr>
          <w:p w14:paraId="2F0B6B50" w14:textId="3C3252E1"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6420AF02" w14:textId="38FC2D69" w:rsidR="005E2556" w:rsidRPr="00B275E2" w:rsidRDefault="005E2556" w:rsidP="00E627FC">
            <w:pPr>
              <w:pStyle w:val="TableText"/>
              <w:spacing w:before="40" w:after="40"/>
              <w:jc w:val="center"/>
              <w:rPr>
                <w:rFonts w:cs="Calibri"/>
                <w:szCs w:val="18"/>
              </w:rPr>
            </w:pPr>
            <w:r w:rsidRPr="00B275E2">
              <w:rPr>
                <w:rFonts w:cs="Calibri"/>
                <w:szCs w:val="18"/>
              </w:rPr>
              <w:t>3,220</w:t>
            </w:r>
          </w:p>
        </w:tc>
        <w:tc>
          <w:tcPr>
            <w:tcW w:w="1275" w:type="dxa"/>
            <w:shd w:val="clear" w:color="auto" w:fill="auto"/>
            <w:tcMar>
              <w:left w:w="85" w:type="dxa"/>
              <w:right w:w="85" w:type="dxa"/>
            </w:tcMar>
            <w:hideMark/>
          </w:tcPr>
          <w:p w14:paraId="54E6BC7D" w14:textId="3D66E279" w:rsidR="005E2556" w:rsidRPr="00B275E2" w:rsidRDefault="005E2556" w:rsidP="00E627FC">
            <w:pPr>
              <w:pStyle w:val="TableText"/>
              <w:spacing w:before="40" w:after="40"/>
              <w:jc w:val="center"/>
              <w:rPr>
                <w:rFonts w:cs="Calibri"/>
                <w:szCs w:val="18"/>
              </w:rPr>
            </w:pPr>
            <w:r w:rsidRPr="00B275E2">
              <w:rPr>
                <w:rFonts w:cs="Calibri"/>
                <w:szCs w:val="18"/>
              </w:rPr>
              <w:t>3,350</w:t>
            </w:r>
          </w:p>
        </w:tc>
      </w:tr>
      <w:tr w:rsidR="005E2556" w:rsidRPr="00B275E2" w14:paraId="66973765" w14:textId="77777777" w:rsidTr="00253FA5">
        <w:tc>
          <w:tcPr>
            <w:tcW w:w="3402" w:type="dxa"/>
            <w:shd w:val="clear" w:color="auto" w:fill="auto"/>
            <w:tcMar>
              <w:left w:w="85" w:type="dxa"/>
              <w:right w:w="85" w:type="dxa"/>
            </w:tcMar>
            <w:hideMark/>
          </w:tcPr>
          <w:p w14:paraId="6AE56E74" w14:textId="77777777" w:rsidR="005E2556" w:rsidRPr="00B275E2" w:rsidRDefault="005E2556" w:rsidP="000E1F19">
            <w:pPr>
              <w:pStyle w:val="TableText"/>
              <w:spacing w:before="40" w:after="40"/>
              <w:rPr>
                <w:rFonts w:cs="Calibri"/>
                <w:szCs w:val="18"/>
              </w:rPr>
            </w:pPr>
            <w:r w:rsidRPr="00B275E2">
              <w:rPr>
                <w:rFonts w:cs="Calibri"/>
                <w:szCs w:val="18"/>
              </w:rPr>
              <w:t>HFC-236cb </w:t>
            </w:r>
          </w:p>
        </w:tc>
        <w:tc>
          <w:tcPr>
            <w:tcW w:w="1843" w:type="dxa"/>
            <w:shd w:val="clear" w:color="auto" w:fill="auto"/>
            <w:tcMar>
              <w:left w:w="85" w:type="dxa"/>
              <w:right w:w="85" w:type="dxa"/>
            </w:tcMar>
            <w:hideMark/>
          </w:tcPr>
          <w:p w14:paraId="7ECB5B56" w14:textId="71A26444" w:rsidR="005E2556" w:rsidRPr="00B275E2" w:rsidRDefault="005E2556" w:rsidP="00FD06E4">
            <w:pPr>
              <w:pStyle w:val="TableText"/>
              <w:spacing w:before="40" w:after="40"/>
              <w:rPr>
                <w:rFonts w:cs="Calibri"/>
                <w:szCs w:val="18"/>
              </w:rPr>
            </w:pPr>
            <w:r w:rsidRPr="00B275E2">
              <w:rPr>
                <w:rFonts w:cs="Calibri"/>
                <w:szCs w:val="18"/>
              </w:rPr>
              <w:t>CH</w:t>
            </w:r>
            <w:r w:rsidRPr="00B275E2">
              <w:rPr>
                <w:rFonts w:cs="Calibri"/>
                <w:szCs w:val="18"/>
                <w:vertAlign w:val="subscript"/>
              </w:rPr>
              <w:t>2</w:t>
            </w:r>
            <w:r w:rsidRPr="00B275E2">
              <w:rPr>
                <w:rFonts w:cs="Calibri"/>
                <w:szCs w:val="18"/>
              </w:rPr>
              <w:t>FCF</w:t>
            </w:r>
            <w:r w:rsidRPr="00B275E2">
              <w:rPr>
                <w:rFonts w:cs="Calibri"/>
                <w:szCs w:val="18"/>
                <w:vertAlign w:val="subscript"/>
              </w:rPr>
              <w:t>2</w:t>
            </w:r>
            <w:r w:rsidRPr="00B275E2">
              <w:rPr>
                <w:rFonts w:cs="Calibri"/>
                <w:szCs w:val="18"/>
              </w:rPr>
              <w:t>CF</w:t>
            </w:r>
            <w:r w:rsidRPr="00B275E2">
              <w:rPr>
                <w:rFonts w:cs="Calibri"/>
                <w:szCs w:val="18"/>
                <w:vertAlign w:val="subscript"/>
              </w:rPr>
              <w:t>3</w:t>
            </w:r>
          </w:p>
        </w:tc>
        <w:tc>
          <w:tcPr>
            <w:tcW w:w="709" w:type="dxa"/>
            <w:shd w:val="clear" w:color="auto" w:fill="auto"/>
            <w:tcMar>
              <w:left w:w="85" w:type="dxa"/>
              <w:right w:w="85" w:type="dxa"/>
            </w:tcMar>
            <w:hideMark/>
          </w:tcPr>
          <w:p w14:paraId="5A7BF48B" w14:textId="7DED7F6F"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60614D8A" w14:textId="2F0B00D1" w:rsidR="005E2556" w:rsidRPr="00B275E2" w:rsidRDefault="003D1A58" w:rsidP="00E627FC">
            <w:pPr>
              <w:pStyle w:val="TableText"/>
              <w:spacing w:before="40" w:after="40"/>
              <w:jc w:val="center"/>
              <w:rPr>
                <w:rFonts w:cs="Calibri"/>
                <w:szCs w:val="18"/>
              </w:rPr>
            </w:pPr>
            <w:r w:rsidRPr="00B275E2">
              <w:rPr>
                <w:rFonts w:cs="Calibri"/>
                <w:szCs w:val="18"/>
              </w:rPr>
              <w:t>n/a</w:t>
            </w:r>
          </w:p>
        </w:tc>
        <w:tc>
          <w:tcPr>
            <w:tcW w:w="1275" w:type="dxa"/>
            <w:shd w:val="clear" w:color="auto" w:fill="auto"/>
            <w:tcMar>
              <w:left w:w="85" w:type="dxa"/>
              <w:right w:w="85" w:type="dxa"/>
            </w:tcMar>
            <w:hideMark/>
          </w:tcPr>
          <w:p w14:paraId="0FE88732" w14:textId="542B28FE" w:rsidR="005E2556" w:rsidRPr="00B275E2" w:rsidRDefault="005E2556" w:rsidP="00E627FC">
            <w:pPr>
              <w:pStyle w:val="TableText"/>
              <w:spacing w:before="40" w:after="40"/>
              <w:jc w:val="center"/>
              <w:rPr>
                <w:rFonts w:cs="Calibri"/>
                <w:szCs w:val="18"/>
              </w:rPr>
            </w:pPr>
            <w:r w:rsidRPr="00B275E2">
              <w:rPr>
                <w:rFonts w:cs="Calibri"/>
                <w:szCs w:val="18"/>
              </w:rPr>
              <w:t>1,210</w:t>
            </w:r>
          </w:p>
        </w:tc>
      </w:tr>
      <w:tr w:rsidR="005E2556" w:rsidRPr="00B275E2" w14:paraId="1B64A974" w14:textId="77777777" w:rsidTr="00253FA5">
        <w:tc>
          <w:tcPr>
            <w:tcW w:w="3402" w:type="dxa"/>
            <w:shd w:val="clear" w:color="auto" w:fill="auto"/>
            <w:tcMar>
              <w:left w:w="85" w:type="dxa"/>
              <w:right w:w="85" w:type="dxa"/>
            </w:tcMar>
            <w:hideMark/>
          </w:tcPr>
          <w:p w14:paraId="5234FA4D" w14:textId="77777777" w:rsidR="005E2556" w:rsidRPr="00B275E2" w:rsidRDefault="005E2556" w:rsidP="000E1F19">
            <w:pPr>
              <w:pStyle w:val="TableText"/>
              <w:spacing w:before="40" w:after="40"/>
              <w:rPr>
                <w:rFonts w:cs="Calibri"/>
                <w:szCs w:val="18"/>
              </w:rPr>
            </w:pPr>
            <w:r w:rsidRPr="00B275E2">
              <w:rPr>
                <w:rFonts w:cs="Calibri"/>
                <w:szCs w:val="18"/>
              </w:rPr>
              <w:t>HFC-236ea </w:t>
            </w:r>
          </w:p>
        </w:tc>
        <w:tc>
          <w:tcPr>
            <w:tcW w:w="1843" w:type="dxa"/>
            <w:shd w:val="clear" w:color="auto" w:fill="auto"/>
            <w:tcMar>
              <w:left w:w="85" w:type="dxa"/>
              <w:right w:w="85" w:type="dxa"/>
            </w:tcMar>
            <w:hideMark/>
          </w:tcPr>
          <w:p w14:paraId="5573494B" w14:textId="1B3EB38C" w:rsidR="005E2556" w:rsidRPr="00B275E2" w:rsidRDefault="005E2556" w:rsidP="00FD06E4">
            <w:pPr>
              <w:pStyle w:val="TableText"/>
              <w:spacing w:before="40" w:after="40"/>
              <w:rPr>
                <w:rFonts w:cs="Calibri"/>
                <w:szCs w:val="18"/>
              </w:rPr>
            </w:pPr>
            <w:r w:rsidRPr="00B275E2">
              <w:rPr>
                <w:rFonts w:cs="Calibri"/>
                <w:szCs w:val="18"/>
              </w:rPr>
              <w:t>CHF</w:t>
            </w:r>
            <w:r w:rsidRPr="00B275E2">
              <w:rPr>
                <w:rFonts w:cs="Calibri"/>
                <w:szCs w:val="18"/>
                <w:vertAlign w:val="subscript"/>
              </w:rPr>
              <w:t>2</w:t>
            </w:r>
            <w:r w:rsidRPr="00B275E2">
              <w:rPr>
                <w:rFonts w:cs="Calibri"/>
                <w:szCs w:val="18"/>
              </w:rPr>
              <w:t>CHFCF</w:t>
            </w:r>
            <w:r w:rsidRPr="00B275E2">
              <w:rPr>
                <w:rFonts w:cs="Calibri"/>
                <w:szCs w:val="18"/>
                <w:vertAlign w:val="subscript"/>
              </w:rPr>
              <w:t>3</w:t>
            </w:r>
          </w:p>
        </w:tc>
        <w:tc>
          <w:tcPr>
            <w:tcW w:w="709" w:type="dxa"/>
            <w:shd w:val="clear" w:color="auto" w:fill="auto"/>
            <w:tcMar>
              <w:left w:w="85" w:type="dxa"/>
              <w:right w:w="85" w:type="dxa"/>
            </w:tcMar>
            <w:hideMark/>
          </w:tcPr>
          <w:p w14:paraId="42CF9C9C" w14:textId="4F7ABCD4"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31B7E8C3" w14:textId="16D074AA" w:rsidR="005E2556" w:rsidRPr="00B275E2" w:rsidRDefault="003D1A58" w:rsidP="00E627FC">
            <w:pPr>
              <w:pStyle w:val="TableText"/>
              <w:spacing w:before="40" w:after="40"/>
              <w:jc w:val="center"/>
              <w:rPr>
                <w:rFonts w:cs="Calibri"/>
                <w:szCs w:val="18"/>
              </w:rPr>
            </w:pPr>
            <w:r w:rsidRPr="00B275E2">
              <w:rPr>
                <w:rFonts w:cs="Calibri"/>
                <w:szCs w:val="18"/>
              </w:rPr>
              <w:t>n/a</w:t>
            </w:r>
          </w:p>
        </w:tc>
        <w:tc>
          <w:tcPr>
            <w:tcW w:w="1275" w:type="dxa"/>
            <w:shd w:val="clear" w:color="auto" w:fill="auto"/>
            <w:tcMar>
              <w:left w:w="85" w:type="dxa"/>
              <w:right w:w="85" w:type="dxa"/>
            </w:tcMar>
            <w:hideMark/>
          </w:tcPr>
          <w:p w14:paraId="77693D61" w14:textId="56184FCF" w:rsidR="005E2556" w:rsidRPr="00B275E2" w:rsidRDefault="005E2556" w:rsidP="00E627FC">
            <w:pPr>
              <w:pStyle w:val="TableText"/>
              <w:spacing w:before="40" w:after="40"/>
              <w:jc w:val="center"/>
              <w:rPr>
                <w:rFonts w:cs="Calibri"/>
                <w:szCs w:val="18"/>
              </w:rPr>
            </w:pPr>
            <w:r w:rsidRPr="00B275E2">
              <w:rPr>
                <w:rFonts w:cs="Calibri"/>
                <w:szCs w:val="18"/>
              </w:rPr>
              <w:t>1,330</w:t>
            </w:r>
          </w:p>
        </w:tc>
      </w:tr>
      <w:tr w:rsidR="005E2556" w:rsidRPr="00B275E2" w14:paraId="079E1610" w14:textId="77777777" w:rsidTr="00253FA5">
        <w:tc>
          <w:tcPr>
            <w:tcW w:w="3402" w:type="dxa"/>
            <w:shd w:val="clear" w:color="auto" w:fill="auto"/>
            <w:tcMar>
              <w:left w:w="85" w:type="dxa"/>
              <w:right w:w="85" w:type="dxa"/>
            </w:tcMar>
            <w:hideMark/>
          </w:tcPr>
          <w:p w14:paraId="7FC57A50" w14:textId="7AADD493" w:rsidR="005E2556" w:rsidRPr="00B275E2" w:rsidRDefault="005E2556" w:rsidP="000E1F19">
            <w:pPr>
              <w:pStyle w:val="TableText"/>
              <w:spacing w:before="40" w:after="40"/>
              <w:rPr>
                <w:rFonts w:cs="Calibri"/>
                <w:szCs w:val="18"/>
              </w:rPr>
            </w:pPr>
            <w:r w:rsidRPr="00B275E2">
              <w:rPr>
                <w:rFonts w:cs="Calibri"/>
                <w:szCs w:val="18"/>
              </w:rPr>
              <w:t>HFC-236fa</w:t>
            </w:r>
            <w:r w:rsidR="00A42624" w:rsidRPr="00B275E2">
              <w:rPr>
                <w:rFonts w:cs="Calibri"/>
                <w:szCs w:val="18"/>
              </w:rPr>
              <w:t xml:space="preserve"> </w:t>
            </w:r>
          </w:p>
        </w:tc>
        <w:tc>
          <w:tcPr>
            <w:tcW w:w="1843" w:type="dxa"/>
            <w:shd w:val="clear" w:color="auto" w:fill="auto"/>
            <w:tcMar>
              <w:left w:w="85" w:type="dxa"/>
              <w:right w:w="85" w:type="dxa"/>
            </w:tcMar>
            <w:hideMark/>
          </w:tcPr>
          <w:p w14:paraId="55F25196" w14:textId="32AAE8FC" w:rsidR="005E2556" w:rsidRPr="00B275E2" w:rsidRDefault="005E2556" w:rsidP="00FD06E4">
            <w:pPr>
              <w:pStyle w:val="TableText"/>
              <w:spacing w:before="40" w:after="40"/>
              <w:rPr>
                <w:rFonts w:cs="Calibri"/>
                <w:szCs w:val="18"/>
              </w:rPr>
            </w:pPr>
            <w:r w:rsidRPr="00B275E2">
              <w:rPr>
                <w:rFonts w:cs="Calibri"/>
                <w:szCs w:val="18"/>
              </w:rPr>
              <w:t>CF</w:t>
            </w:r>
            <w:r w:rsidRPr="00B275E2">
              <w:rPr>
                <w:rFonts w:cs="Calibri"/>
                <w:szCs w:val="18"/>
                <w:vertAlign w:val="subscript"/>
              </w:rPr>
              <w:t>3</w:t>
            </w:r>
            <w:r w:rsidRPr="00B275E2">
              <w:rPr>
                <w:rFonts w:cs="Calibri"/>
                <w:szCs w:val="18"/>
              </w:rPr>
              <w:t>CH</w:t>
            </w:r>
            <w:r w:rsidRPr="00B275E2">
              <w:rPr>
                <w:rFonts w:cs="Calibri"/>
                <w:szCs w:val="18"/>
                <w:vertAlign w:val="subscript"/>
              </w:rPr>
              <w:t>2</w:t>
            </w:r>
            <w:r w:rsidRPr="00B275E2">
              <w:rPr>
                <w:rFonts w:cs="Calibri"/>
                <w:szCs w:val="18"/>
              </w:rPr>
              <w:t>CF</w:t>
            </w:r>
            <w:r w:rsidRPr="00B275E2">
              <w:rPr>
                <w:rFonts w:cs="Calibri"/>
                <w:szCs w:val="18"/>
                <w:vertAlign w:val="subscript"/>
              </w:rPr>
              <w:t>3</w:t>
            </w:r>
          </w:p>
        </w:tc>
        <w:tc>
          <w:tcPr>
            <w:tcW w:w="709" w:type="dxa"/>
            <w:shd w:val="clear" w:color="auto" w:fill="auto"/>
            <w:tcMar>
              <w:left w:w="85" w:type="dxa"/>
              <w:right w:w="85" w:type="dxa"/>
            </w:tcMar>
            <w:hideMark/>
          </w:tcPr>
          <w:p w14:paraId="4C30D184" w14:textId="61B8C876"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07E28F9F" w14:textId="7DBA9EEC" w:rsidR="005E2556" w:rsidRPr="00B275E2" w:rsidRDefault="005E2556" w:rsidP="00E627FC">
            <w:pPr>
              <w:pStyle w:val="TableText"/>
              <w:spacing w:before="40" w:after="40"/>
              <w:jc w:val="center"/>
              <w:rPr>
                <w:rFonts w:cs="Calibri"/>
                <w:szCs w:val="18"/>
              </w:rPr>
            </w:pPr>
            <w:r w:rsidRPr="00B275E2">
              <w:rPr>
                <w:rFonts w:cs="Calibri"/>
                <w:szCs w:val="18"/>
              </w:rPr>
              <w:t>9,810</w:t>
            </w:r>
          </w:p>
        </w:tc>
        <w:tc>
          <w:tcPr>
            <w:tcW w:w="1275" w:type="dxa"/>
            <w:shd w:val="clear" w:color="auto" w:fill="auto"/>
            <w:tcMar>
              <w:left w:w="85" w:type="dxa"/>
              <w:right w:w="85" w:type="dxa"/>
            </w:tcMar>
            <w:hideMark/>
          </w:tcPr>
          <w:p w14:paraId="19AC71FF" w14:textId="7B6FC50F" w:rsidR="005E2556" w:rsidRPr="00B275E2" w:rsidRDefault="005E2556" w:rsidP="00E627FC">
            <w:pPr>
              <w:pStyle w:val="TableText"/>
              <w:spacing w:before="40" w:after="40"/>
              <w:jc w:val="center"/>
              <w:rPr>
                <w:rFonts w:cs="Calibri"/>
                <w:szCs w:val="18"/>
              </w:rPr>
            </w:pPr>
            <w:r w:rsidRPr="00B275E2">
              <w:rPr>
                <w:rFonts w:cs="Calibri"/>
                <w:szCs w:val="18"/>
              </w:rPr>
              <w:t>8,060</w:t>
            </w:r>
          </w:p>
        </w:tc>
      </w:tr>
      <w:tr w:rsidR="005E2556" w:rsidRPr="00B275E2" w14:paraId="5192B9DE" w14:textId="77777777" w:rsidTr="00253FA5">
        <w:tc>
          <w:tcPr>
            <w:tcW w:w="3402" w:type="dxa"/>
            <w:shd w:val="clear" w:color="auto" w:fill="auto"/>
            <w:tcMar>
              <w:left w:w="85" w:type="dxa"/>
              <w:right w:w="85" w:type="dxa"/>
            </w:tcMar>
            <w:hideMark/>
          </w:tcPr>
          <w:p w14:paraId="56C10FCB" w14:textId="77777777" w:rsidR="005E2556" w:rsidRPr="00B275E2" w:rsidRDefault="005E2556" w:rsidP="000E1F19">
            <w:pPr>
              <w:pStyle w:val="TableText"/>
              <w:spacing w:before="40" w:after="40"/>
              <w:rPr>
                <w:rFonts w:cs="Calibri"/>
                <w:szCs w:val="18"/>
              </w:rPr>
            </w:pPr>
            <w:r w:rsidRPr="00B275E2">
              <w:rPr>
                <w:rFonts w:cs="Calibri"/>
                <w:szCs w:val="18"/>
              </w:rPr>
              <w:t>HFC-245ca </w:t>
            </w:r>
          </w:p>
        </w:tc>
        <w:tc>
          <w:tcPr>
            <w:tcW w:w="1843" w:type="dxa"/>
            <w:shd w:val="clear" w:color="auto" w:fill="auto"/>
            <w:tcMar>
              <w:left w:w="85" w:type="dxa"/>
              <w:right w:w="85" w:type="dxa"/>
            </w:tcMar>
            <w:hideMark/>
          </w:tcPr>
          <w:p w14:paraId="4787D07D" w14:textId="08EF4A8F" w:rsidR="005E2556" w:rsidRPr="00B275E2" w:rsidRDefault="005E2556" w:rsidP="00FD06E4">
            <w:pPr>
              <w:pStyle w:val="TableText"/>
              <w:spacing w:before="40" w:after="40"/>
              <w:rPr>
                <w:rFonts w:cs="Calibri"/>
                <w:szCs w:val="18"/>
              </w:rPr>
            </w:pPr>
            <w:r w:rsidRPr="00B275E2">
              <w:rPr>
                <w:rFonts w:cs="Calibri"/>
                <w:szCs w:val="18"/>
              </w:rPr>
              <w:t>CH</w:t>
            </w:r>
            <w:r w:rsidRPr="00B275E2">
              <w:rPr>
                <w:rFonts w:cs="Calibri"/>
                <w:szCs w:val="18"/>
                <w:vertAlign w:val="subscript"/>
              </w:rPr>
              <w:t>2</w:t>
            </w:r>
            <w:r w:rsidRPr="00B275E2">
              <w:rPr>
                <w:rFonts w:cs="Calibri"/>
                <w:szCs w:val="18"/>
              </w:rPr>
              <w:t>FCF</w:t>
            </w:r>
            <w:r w:rsidRPr="00B275E2">
              <w:rPr>
                <w:rFonts w:cs="Calibri"/>
                <w:szCs w:val="18"/>
                <w:vertAlign w:val="subscript"/>
              </w:rPr>
              <w:t>2</w:t>
            </w:r>
            <w:r w:rsidRPr="00B275E2">
              <w:rPr>
                <w:rFonts w:cs="Calibri"/>
                <w:szCs w:val="18"/>
              </w:rPr>
              <w:t>CHF</w:t>
            </w:r>
            <w:r w:rsidRPr="00B275E2">
              <w:rPr>
                <w:rFonts w:cs="Calibri"/>
                <w:szCs w:val="18"/>
                <w:vertAlign w:val="subscript"/>
              </w:rPr>
              <w:t>2</w:t>
            </w:r>
          </w:p>
        </w:tc>
        <w:tc>
          <w:tcPr>
            <w:tcW w:w="709" w:type="dxa"/>
            <w:shd w:val="clear" w:color="auto" w:fill="auto"/>
            <w:tcMar>
              <w:left w:w="85" w:type="dxa"/>
              <w:right w:w="85" w:type="dxa"/>
            </w:tcMar>
            <w:hideMark/>
          </w:tcPr>
          <w:p w14:paraId="40561AE9" w14:textId="5F0C14CF"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42532BC5" w14:textId="09E7BE13" w:rsidR="005E2556" w:rsidRPr="00B275E2" w:rsidRDefault="003D1A58" w:rsidP="00E627FC">
            <w:pPr>
              <w:pStyle w:val="TableText"/>
              <w:spacing w:before="40" w:after="40"/>
              <w:jc w:val="center"/>
              <w:rPr>
                <w:rFonts w:cs="Calibri"/>
                <w:szCs w:val="18"/>
              </w:rPr>
            </w:pPr>
            <w:r w:rsidRPr="00B275E2">
              <w:rPr>
                <w:rFonts w:cs="Calibri"/>
                <w:szCs w:val="18"/>
              </w:rPr>
              <w:t>n/a</w:t>
            </w:r>
          </w:p>
        </w:tc>
        <w:tc>
          <w:tcPr>
            <w:tcW w:w="1275" w:type="dxa"/>
            <w:shd w:val="clear" w:color="auto" w:fill="auto"/>
            <w:tcMar>
              <w:left w:w="85" w:type="dxa"/>
              <w:right w:w="85" w:type="dxa"/>
            </w:tcMar>
            <w:hideMark/>
          </w:tcPr>
          <w:p w14:paraId="0BC2F737" w14:textId="1A73887D" w:rsidR="005E2556" w:rsidRPr="00B275E2" w:rsidRDefault="005E2556" w:rsidP="00E627FC">
            <w:pPr>
              <w:pStyle w:val="TableText"/>
              <w:spacing w:before="40" w:after="40"/>
              <w:jc w:val="center"/>
              <w:rPr>
                <w:rFonts w:cs="Calibri"/>
                <w:szCs w:val="18"/>
              </w:rPr>
            </w:pPr>
            <w:r w:rsidRPr="00B275E2">
              <w:rPr>
                <w:rFonts w:cs="Calibri"/>
                <w:szCs w:val="18"/>
              </w:rPr>
              <w:t>716</w:t>
            </w:r>
          </w:p>
        </w:tc>
      </w:tr>
      <w:tr w:rsidR="005E2556" w:rsidRPr="00B275E2" w14:paraId="33960B10" w14:textId="77777777" w:rsidTr="00253FA5">
        <w:tc>
          <w:tcPr>
            <w:tcW w:w="3402" w:type="dxa"/>
            <w:shd w:val="clear" w:color="auto" w:fill="auto"/>
            <w:tcMar>
              <w:left w:w="85" w:type="dxa"/>
              <w:right w:w="85" w:type="dxa"/>
            </w:tcMar>
            <w:hideMark/>
          </w:tcPr>
          <w:p w14:paraId="04F15F08" w14:textId="7BF8A14C" w:rsidR="005E2556" w:rsidRPr="00B275E2" w:rsidRDefault="005E2556" w:rsidP="000E1F19">
            <w:pPr>
              <w:pStyle w:val="TableText"/>
              <w:spacing w:before="40" w:after="40"/>
              <w:rPr>
                <w:rFonts w:cs="Calibri"/>
                <w:szCs w:val="18"/>
              </w:rPr>
            </w:pPr>
            <w:r w:rsidRPr="00B275E2">
              <w:rPr>
                <w:rFonts w:cs="Calibri"/>
                <w:szCs w:val="18"/>
              </w:rPr>
              <w:t>HFC-245fa</w:t>
            </w:r>
            <w:r w:rsidR="00A42624" w:rsidRPr="00B275E2">
              <w:rPr>
                <w:rFonts w:cs="Calibri"/>
                <w:szCs w:val="18"/>
              </w:rPr>
              <w:t xml:space="preserve"> </w:t>
            </w:r>
          </w:p>
        </w:tc>
        <w:tc>
          <w:tcPr>
            <w:tcW w:w="1843" w:type="dxa"/>
            <w:shd w:val="clear" w:color="auto" w:fill="auto"/>
            <w:tcMar>
              <w:left w:w="85" w:type="dxa"/>
              <w:right w:w="85" w:type="dxa"/>
            </w:tcMar>
            <w:hideMark/>
          </w:tcPr>
          <w:p w14:paraId="3AD7602B" w14:textId="6D872043" w:rsidR="005E2556" w:rsidRPr="00B275E2" w:rsidRDefault="005E2556" w:rsidP="00FD06E4">
            <w:pPr>
              <w:pStyle w:val="TableText"/>
              <w:spacing w:before="40" w:after="40"/>
              <w:rPr>
                <w:rFonts w:cs="Calibri"/>
                <w:szCs w:val="18"/>
              </w:rPr>
            </w:pPr>
            <w:r w:rsidRPr="00B275E2">
              <w:rPr>
                <w:rFonts w:cs="Calibri"/>
                <w:szCs w:val="18"/>
              </w:rPr>
              <w:t>CHF</w:t>
            </w:r>
            <w:r w:rsidRPr="00B275E2">
              <w:rPr>
                <w:rFonts w:cs="Calibri"/>
                <w:szCs w:val="18"/>
                <w:vertAlign w:val="subscript"/>
              </w:rPr>
              <w:t>2</w:t>
            </w:r>
            <w:r w:rsidRPr="00B275E2">
              <w:rPr>
                <w:rFonts w:cs="Calibri"/>
                <w:szCs w:val="18"/>
              </w:rPr>
              <w:t>CH</w:t>
            </w:r>
            <w:r w:rsidRPr="00B275E2">
              <w:rPr>
                <w:rFonts w:cs="Calibri"/>
                <w:szCs w:val="18"/>
                <w:vertAlign w:val="subscript"/>
              </w:rPr>
              <w:t>2</w:t>
            </w:r>
            <w:r w:rsidRPr="00B275E2">
              <w:rPr>
                <w:rFonts w:cs="Calibri"/>
                <w:szCs w:val="18"/>
              </w:rPr>
              <w:t>CF</w:t>
            </w:r>
            <w:r w:rsidRPr="00B275E2">
              <w:rPr>
                <w:rFonts w:cs="Calibri"/>
                <w:szCs w:val="18"/>
                <w:vertAlign w:val="subscript"/>
              </w:rPr>
              <w:t>3</w:t>
            </w:r>
          </w:p>
        </w:tc>
        <w:tc>
          <w:tcPr>
            <w:tcW w:w="709" w:type="dxa"/>
            <w:shd w:val="clear" w:color="auto" w:fill="auto"/>
            <w:tcMar>
              <w:left w:w="85" w:type="dxa"/>
              <w:right w:w="85" w:type="dxa"/>
            </w:tcMar>
            <w:hideMark/>
          </w:tcPr>
          <w:p w14:paraId="7391162D" w14:textId="73EDAD16"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200CC445" w14:textId="5D47F5FB" w:rsidR="005E2556" w:rsidRPr="00B275E2" w:rsidRDefault="005E2556" w:rsidP="00E627FC">
            <w:pPr>
              <w:pStyle w:val="TableText"/>
              <w:spacing w:before="40" w:after="40"/>
              <w:jc w:val="center"/>
              <w:rPr>
                <w:rFonts w:cs="Calibri"/>
                <w:szCs w:val="18"/>
              </w:rPr>
            </w:pPr>
            <w:r w:rsidRPr="00B275E2">
              <w:rPr>
                <w:rFonts w:cs="Calibri"/>
                <w:szCs w:val="18"/>
              </w:rPr>
              <w:t>1030</w:t>
            </w:r>
          </w:p>
        </w:tc>
        <w:tc>
          <w:tcPr>
            <w:tcW w:w="1275" w:type="dxa"/>
            <w:shd w:val="clear" w:color="auto" w:fill="auto"/>
            <w:tcMar>
              <w:left w:w="85" w:type="dxa"/>
              <w:right w:w="85" w:type="dxa"/>
            </w:tcMar>
            <w:hideMark/>
          </w:tcPr>
          <w:p w14:paraId="24D251BA" w14:textId="2CB47E78" w:rsidR="005E2556" w:rsidRPr="00B275E2" w:rsidRDefault="005E2556" w:rsidP="00E627FC">
            <w:pPr>
              <w:pStyle w:val="TableText"/>
              <w:spacing w:before="40" w:after="40"/>
              <w:jc w:val="center"/>
              <w:rPr>
                <w:rFonts w:cs="Calibri"/>
                <w:szCs w:val="18"/>
              </w:rPr>
            </w:pPr>
            <w:r w:rsidRPr="00B275E2">
              <w:rPr>
                <w:rFonts w:cs="Calibri"/>
                <w:szCs w:val="18"/>
              </w:rPr>
              <w:t>858</w:t>
            </w:r>
          </w:p>
        </w:tc>
      </w:tr>
      <w:tr w:rsidR="005E2556" w:rsidRPr="00B275E2" w14:paraId="58A9201F" w14:textId="77777777" w:rsidTr="00253FA5">
        <w:tc>
          <w:tcPr>
            <w:tcW w:w="3402" w:type="dxa"/>
            <w:shd w:val="clear" w:color="auto" w:fill="auto"/>
            <w:tcMar>
              <w:left w:w="85" w:type="dxa"/>
              <w:right w:w="85" w:type="dxa"/>
            </w:tcMar>
            <w:hideMark/>
          </w:tcPr>
          <w:p w14:paraId="1E332B06" w14:textId="13C7F497" w:rsidR="005E2556" w:rsidRPr="00B275E2" w:rsidRDefault="005E2556" w:rsidP="000E1F19">
            <w:pPr>
              <w:pStyle w:val="TableText"/>
              <w:spacing w:before="40" w:after="40"/>
              <w:rPr>
                <w:rFonts w:cs="Calibri"/>
                <w:szCs w:val="18"/>
              </w:rPr>
            </w:pPr>
            <w:r w:rsidRPr="00B275E2">
              <w:rPr>
                <w:rFonts w:cs="Calibri"/>
                <w:szCs w:val="18"/>
              </w:rPr>
              <w:t>HFC-365mfc</w:t>
            </w:r>
            <w:r w:rsidR="00A42624" w:rsidRPr="00B275E2">
              <w:rPr>
                <w:rFonts w:cs="Calibri"/>
                <w:szCs w:val="18"/>
              </w:rPr>
              <w:t xml:space="preserve"> </w:t>
            </w:r>
          </w:p>
        </w:tc>
        <w:tc>
          <w:tcPr>
            <w:tcW w:w="1843" w:type="dxa"/>
            <w:shd w:val="clear" w:color="auto" w:fill="auto"/>
            <w:tcMar>
              <w:left w:w="85" w:type="dxa"/>
              <w:right w:w="85" w:type="dxa"/>
            </w:tcMar>
            <w:hideMark/>
          </w:tcPr>
          <w:p w14:paraId="2C06403A" w14:textId="001623DA" w:rsidR="005E2556" w:rsidRPr="00B275E2" w:rsidRDefault="005E2556" w:rsidP="00FD06E4">
            <w:pPr>
              <w:pStyle w:val="TableText"/>
              <w:spacing w:before="40" w:after="40"/>
              <w:rPr>
                <w:rFonts w:cs="Calibri"/>
                <w:szCs w:val="18"/>
              </w:rPr>
            </w:pPr>
            <w:r w:rsidRPr="00B275E2">
              <w:rPr>
                <w:rFonts w:cs="Calibri"/>
                <w:szCs w:val="18"/>
              </w:rPr>
              <w:t>CH</w:t>
            </w:r>
            <w:r w:rsidRPr="00B275E2">
              <w:rPr>
                <w:rFonts w:cs="Calibri"/>
                <w:szCs w:val="18"/>
                <w:vertAlign w:val="subscript"/>
              </w:rPr>
              <w:t>3</w:t>
            </w:r>
            <w:r w:rsidRPr="00B275E2">
              <w:rPr>
                <w:rFonts w:cs="Calibri"/>
                <w:szCs w:val="18"/>
              </w:rPr>
              <w:t>CF</w:t>
            </w:r>
            <w:r w:rsidRPr="00B275E2">
              <w:rPr>
                <w:rFonts w:cs="Calibri"/>
                <w:szCs w:val="18"/>
                <w:vertAlign w:val="subscript"/>
              </w:rPr>
              <w:t>2</w:t>
            </w:r>
            <w:r w:rsidRPr="00B275E2">
              <w:rPr>
                <w:rFonts w:cs="Calibri"/>
                <w:szCs w:val="18"/>
              </w:rPr>
              <w:t>CH</w:t>
            </w:r>
            <w:r w:rsidRPr="00B275E2">
              <w:rPr>
                <w:rFonts w:cs="Calibri"/>
                <w:szCs w:val="18"/>
                <w:vertAlign w:val="subscript"/>
              </w:rPr>
              <w:t>2</w:t>
            </w:r>
            <w:r w:rsidRPr="00B275E2">
              <w:rPr>
                <w:rFonts w:cs="Calibri"/>
                <w:szCs w:val="18"/>
              </w:rPr>
              <w:t>CF</w:t>
            </w:r>
            <w:r w:rsidRPr="00B275E2">
              <w:rPr>
                <w:rFonts w:cs="Calibri"/>
                <w:szCs w:val="18"/>
                <w:vertAlign w:val="subscript"/>
              </w:rPr>
              <w:t>3</w:t>
            </w:r>
          </w:p>
        </w:tc>
        <w:tc>
          <w:tcPr>
            <w:tcW w:w="709" w:type="dxa"/>
            <w:shd w:val="clear" w:color="auto" w:fill="auto"/>
            <w:tcMar>
              <w:left w:w="85" w:type="dxa"/>
              <w:right w:w="85" w:type="dxa"/>
            </w:tcMar>
            <w:hideMark/>
          </w:tcPr>
          <w:p w14:paraId="06DAA9A5" w14:textId="6C6A033C"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0DAAD7BE" w14:textId="236484BB" w:rsidR="005E2556" w:rsidRPr="00B275E2" w:rsidRDefault="005E2556" w:rsidP="00E627FC">
            <w:pPr>
              <w:pStyle w:val="TableText"/>
              <w:spacing w:before="40" w:after="40"/>
              <w:jc w:val="center"/>
              <w:rPr>
                <w:rFonts w:cs="Calibri"/>
                <w:szCs w:val="18"/>
              </w:rPr>
            </w:pPr>
            <w:r w:rsidRPr="00B275E2">
              <w:rPr>
                <w:rFonts w:cs="Calibri"/>
                <w:szCs w:val="18"/>
              </w:rPr>
              <w:t>794</w:t>
            </w:r>
          </w:p>
        </w:tc>
        <w:tc>
          <w:tcPr>
            <w:tcW w:w="1275" w:type="dxa"/>
            <w:shd w:val="clear" w:color="auto" w:fill="auto"/>
            <w:tcMar>
              <w:left w:w="85" w:type="dxa"/>
              <w:right w:w="85" w:type="dxa"/>
            </w:tcMar>
            <w:hideMark/>
          </w:tcPr>
          <w:p w14:paraId="6E233B5C" w14:textId="6244CA2E" w:rsidR="005E2556" w:rsidRPr="00B275E2" w:rsidRDefault="005E2556" w:rsidP="00E627FC">
            <w:pPr>
              <w:pStyle w:val="TableText"/>
              <w:spacing w:before="40" w:after="40"/>
              <w:jc w:val="center"/>
              <w:rPr>
                <w:rFonts w:cs="Calibri"/>
                <w:szCs w:val="18"/>
              </w:rPr>
            </w:pPr>
            <w:r w:rsidRPr="00B275E2">
              <w:rPr>
                <w:rFonts w:cs="Calibri"/>
                <w:szCs w:val="18"/>
              </w:rPr>
              <w:t>804</w:t>
            </w:r>
          </w:p>
        </w:tc>
      </w:tr>
      <w:tr w:rsidR="005E2556" w:rsidRPr="00B275E2" w14:paraId="0C92BDC6" w14:textId="77777777" w:rsidTr="00253FA5">
        <w:tc>
          <w:tcPr>
            <w:tcW w:w="3402" w:type="dxa"/>
            <w:shd w:val="clear" w:color="auto" w:fill="auto"/>
            <w:tcMar>
              <w:left w:w="85" w:type="dxa"/>
              <w:right w:w="85" w:type="dxa"/>
            </w:tcMar>
            <w:hideMark/>
          </w:tcPr>
          <w:p w14:paraId="6B422E16" w14:textId="6B72250E" w:rsidR="005E2556" w:rsidRPr="00B275E2" w:rsidRDefault="005E2556" w:rsidP="000E1F19">
            <w:pPr>
              <w:pStyle w:val="TableText"/>
              <w:spacing w:before="40" w:after="40"/>
              <w:rPr>
                <w:rFonts w:cs="Calibri"/>
                <w:szCs w:val="18"/>
              </w:rPr>
            </w:pPr>
            <w:r w:rsidRPr="00B275E2">
              <w:rPr>
                <w:rFonts w:cs="Calibri"/>
                <w:szCs w:val="18"/>
              </w:rPr>
              <w:t>HFC-43-10mee</w:t>
            </w:r>
            <w:r w:rsidR="00A42624" w:rsidRPr="00B275E2">
              <w:rPr>
                <w:rFonts w:cs="Calibri"/>
                <w:szCs w:val="18"/>
              </w:rPr>
              <w:t xml:space="preserve"> </w:t>
            </w:r>
          </w:p>
        </w:tc>
        <w:tc>
          <w:tcPr>
            <w:tcW w:w="1843" w:type="dxa"/>
            <w:shd w:val="clear" w:color="auto" w:fill="auto"/>
            <w:tcMar>
              <w:left w:w="85" w:type="dxa"/>
              <w:right w:w="85" w:type="dxa"/>
            </w:tcMar>
            <w:hideMark/>
          </w:tcPr>
          <w:p w14:paraId="64EEE040" w14:textId="3A0B18F9" w:rsidR="005E2556" w:rsidRPr="00B275E2" w:rsidRDefault="005E2556" w:rsidP="00FD06E4">
            <w:pPr>
              <w:pStyle w:val="TableText"/>
              <w:spacing w:before="40" w:after="40"/>
              <w:rPr>
                <w:rFonts w:cs="Calibri"/>
                <w:szCs w:val="18"/>
              </w:rPr>
            </w:pPr>
            <w:r w:rsidRPr="00B275E2">
              <w:rPr>
                <w:rFonts w:cs="Calibri"/>
                <w:szCs w:val="18"/>
              </w:rPr>
              <w:t>CF</w:t>
            </w:r>
            <w:r w:rsidRPr="00B275E2">
              <w:rPr>
                <w:rFonts w:cs="Calibri"/>
                <w:szCs w:val="18"/>
                <w:vertAlign w:val="subscript"/>
              </w:rPr>
              <w:t>3</w:t>
            </w:r>
            <w:r w:rsidRPr="00B275E2">
              <w:rPr>
                <w:rFonts w:cs="Calibri"/>
                <w:szCs w:val="18"/>
              </w:rPr>
              <w:t>CHFCHFCF</w:t>
            </w:r>
            <w:r w:rsidRPr="00B275E2">
              <w:rPr>
                <w:rFonts w:cs="Calibri"/>
                <w:szCs w:val="18"/>
                <w:vertAlign w:val="subscript"/>
              </w:rPr>
              <w:t>2</w:t>
            </w:r>
            <w:r w:rsidRPr="00B275E2">
              <w:rPr>
                <w:rFonts w:cs="Calibri"/>
                <w:szCs w:val="18"/>
              </w:rPr>
              <w:t>CF</w:t>
            </w:r>
            <w:r w:rsidRPr="00B275E2">
              <w:rPr>
                <w:rFonts w:cs="Calibri"/>
                <w:szCs w:val="18"/>
                <w:vertAlign w:val="subscript"/>
              </w:rPr>
              <w:t>3</w:t>
            </w:r>
            <w:r w:rsidRPr="00B275E2">
              <w:rPr>
                <w:rFonts w:cs="Calibri"/>
                <w:szCs w:val="18"/>
              </w:rPr>
              <w:t> </w:t>
            </w:r>
          </w:p>
        </w:tc>
        <w:tc>
          <w:tcPr>
            <w:tcW w:w="709" w:type="dxa"/>
            <w:shd w:val="clear" w:color="auto" w:fill="auto"/>
            <w:tcMar>
              <w:left w:w="85" w:type="dxa"/>
              <w:right w:w="85" w:type="dxa"/>
            </w:tcMar>
            <w:hideMark/>
          </w:tcPr>
          <w:p w14:paraId="3B1DE492" w14:textId="56C9D99A"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04D68F68" w14:textId="040D3529" w:rsidR="005E2556" w:rsidRPr="00B275E2" w:rsidRDefault="005E2556" w:rsidP="00E627FC">
            <w:pPr>
              <w:pStyle w:val="TableText"/>
              <w:spacing w:before="40" w:after="40"/>
              <w:jc w:val="center"/>
              <w:rPr>
                <w:rFonts w:cs="Calibri"/>
                <w:szCs w:val="18"/>
              </w:rPr>
            </w:pPr>
            <w:r w:rsidRPr="00B275E2">
              <w:rPr>
                <w:rFonts w:cs="Calibri"/>
                <w:szCs w:val="18"/>
              </w:rPr>
              <w:t>1,640</w:t>
            </w:r>
          </w:p>
        </w:tc>
        <w:tc>
          <w:tcPr>
            <w:tcW w:w="1275" w:type="dxa"/>
            <w:shd w:val="clear" w:color="auto" w:fill="auto"/>
            <w:tcMar>
              <w:left w:w="85" w:type="dxa"/>
              <w:right w:w="85" w:type="dxa"/>
            </w:tcMar>
            <w:hideMark/>
          </w:tcPr>
          <w:p w14:paraId="36483E81" w14:textId="09BD0F55" w:rsidR="005E2556" w:rsidRPr="00B275E2" w:rsidRDefault="005E2556" w:rsidP="00E627FC">
            <w:pPr>
              <w:pStyle w:val="TableText"/>
              <w:spacing w:before="40" w:after="40"/>
              <w:jc w:val="center"/>
              <w:rPr>
                <w:rFonts w:cs="Calibri"/>
                <w:szCs w:val="18"/>
              </w:rPr>
            </w:pPr>
            <w:r w:rsidRPr="00B275E2">
              <w:rPr>
                <w:rFonts w:cs="Calibri"/>
                <w:szCs w:val="18"/>
              </w:rPr>
              <w:t>1,650</w:t>
            </w:r>
          </w:p>
        </w:tc>
      </w:tr>
      <w:tr w:rsidR="005E2556" w:rsidRPr="00B275E2" w14:paraId="21A54BCD" w14:textId="77777777" w:rsidTr="00253FA5">
        <w:tc>
          <w:tcPr>
            <w:tcW w:w="7230" w:type="dxa"/>
            <w:gridSpan w:val="4"/>
            <w:shd w:val="clear" w:color="auto" w:fill="D2DDE2"/>
            <w:tcMar>
              <w:left w:w="85" w:type="dxa"/>
              <w:right w:w="85" w:type="dxa"/>
            </w:tcMar>
            <w:hideMark/>
          </w:tcPr>
          <w:p w14:paraId="7486FF69" w14:textId="74513135" w:rsidR="005E2556" w:rsidRPr="00B275E2" w:rsidRDefault="005E2556" w:rsidP="00FD06E4">
            <w:pPr>
              <w:pStyle w:val="TableText"/>
              <w:spacing w:before="40" w:after="40"/>
              <w:rPr>
                <w:rFonts w:cs="Calibri"/>
                <w:b/>
                <w:bCs/>
                <w:szCs w:val="18"/>
              </w:rPr>
            </w:pPr>
            <w:r w:rsidRPr="00B275E2">
              <w:rPr>
                <w:rFonts w:cs="Calibri"/>
                <w:b/>
                <w:bCs/>
                <w:szCs w:val="18"/>
              </w:rPr>
              <w:t>Perfluorinated compounds</w:t>
            </w:r>
          </w:p>
        </w:tc>
        <w:tc>
          <w:tcPr>
            <w:tcW w:w="1275" w:type="dxa"/>
            <w:shd w:val="clear" w:color="auto" w:fill="D2DDE2"/>
            <w:tcMar>
              <w:left w:w="85" w:type="dxa"/>
              <w:right w:w="85" w:type="dxa"/>
            </w:tcMar>
            <w:hideMark/>
          </w:tcPr>
          <w:p w14:paraId="7A015EF8" w14:textId="3501F484" w:rsidR="005E2556" w:rsidRPr="00B275E2" w:rsidRDefault="005E2556" w:rsidP="00E627FC">
            <w:pPr>
              <w:pStyle w:val="TableText"/>
              <w:spacing w:before="40" w:after="40"/>
              <w:jc w:val="center"/>
              <w:rPr>
                <w:rFonts w:cs="Calibri"/>
                <w:b/>
                <w:bCs/>
                <w:szCs w:val="18"/>
              </w:rPr>
            </w:pPr>
          </w:p>
        </w:tc>
      </w:tr>
      <w:tr w:rsidR="005E2556" w:rsidRPr="00B275E2" w14:paraId="7D3AD94E" w14:textId="77777777" w:rsidTr="00253FA5">
        <w:tc>
          <w:tcPr>
            <w:tcW w:w="3402" w:type="dxa"/>
            <w:shd w:val="clear" w:color="auto" w:fill="auto"/>
            <w:tcMar>
              <w:left w:w="85" w:type="dxa"/>
              <w:right w:w="85" w:type="dxa"/>
            </w:tcMar>
            <w:hideMark/>
          </w:tcPr>
          <w:p w14:paraId="5D59CD1D" w14:textId="657181B8" w:rsidR="005E2556" w:rsidRPr="00B275E2" w:rsidRDefault="005E2556" w:rsidP="000E1F19">
            <w:pPr>
              <w:pStyle w:val="TableText"/>
              <w:spacing w:before="40" w:after="40"/>
              <w:rPr>
                <w:rFonts w:cs="Calibri"/>
                <w:szCs w:val="18"/>
              </w:rPr>
            </w:pPr>
            <w:r w:rsidRPr="00B275E2">
              <w:rPr>
                <w:rFonts w:cs="Calibri"/>
                <w:szCs w:val="18"/>
              </w:rPr>
              <w:t>Sulphur hexafluoride</w:t>
            </w:r>
            <w:r w:rsidR="00A42624" w:rsidRPr="00B275E2">
              <w:rPr>
                <w:rFonts w:cs="Calibri"/>
                <w:szCs w:val="18"/>
              </w:rPr>
              <w:t xml:space="preserve"> </w:t>
            </w:r>
          </w:p>
        </w:tc>
        <w:tc>
          <w:tcPr>
            <w:tcW w:w="1843" w:type="dxa"/>
            <w:shd w:val="clear" w:color="auto" w:fill="auto"/>
            <w:tcMar>
              <w:left w:w="85" w:type="dxa"/>
              <w:right w:w="85" w:type="dxa"/>
            </w:tcMar>
            <w:hideMark/>
          </w:tcPr>
          <w:p w14:paraId="591EC2FA" w14:textId="18ADDE49" w:rsidR="005E2556" w:rsidRPr="00B275E2" w:rsidRDefault="005E2556" w:rsidP="00FD06E4">
            <w:pPr>
              <w:pStyle w:val="TableText"/>
              <w:spacing w:before="40" w:after="40"/>
              <w:rPr>
                <w:rFonts w:cs="Calibri"/>
                <w:szCs w:val="18"/>
              </w:rPr>
            </w:pPr>
            <w:r w:rsidRPr="00B275E2">
              <w:rPr>
                <w:rFonts w:cs="Calibri"/>
                <w:szCs w:val="18"/>
              </w:rPr>
              <w:t>SF</w:t>
            </w:r>
            <w:r w:rsidRPr="00B275E2">
              <w:rPr>
                <w:rFonts w:cs="Calibri"/>
                <w:szCs w:val="18"/>
                <w:vertAlign w:val="subscript"/>
              </w:rPr>
              <w:t>6</w:t>
            </w:r>
          </w:p>
        </w:tc>
        <w:tc>
          <w:tcPr>
            <w:tcW w:w="709" w:type="dxa"/>
            <w:shd w:val="clear" w:color="auto" w:fill="auto"/>
            <w:tcMar>
              <w:left w:w="85" w:type="dxa"/>
              <w:right w:w="85" w:type="dxa"/>
            </w:tcMar>
            <w:hideMark/>
          </w:tcPr>
          <w:p w14:paraId="0C2ACAD0" w14:textId="61355B3A"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60B346CE" w14:textId="270E2E1E" w:rsidR="005E2556" w:rsidRPr="00B275E2" w:rsidRDefault="005E2556" w:rsidP="00E627FC">
            <w:pPr>
              <w:pStyle w:val="TableText"/>
              <w:spacing w:before="40" w:after="40"/>
              <w:jc w:val="center"/>
              <w:rPr>
                <w:rFonts w:cs="Calibri"/>
                <w:szCs w:val="18"/>
              </w:rPr>
            </w:pPr>
            <w:r w:rsidRPr="00B275E2">
              <w:rPr>
                <w:rFonts w:cs="Calibri"/>
                <w:szCs w:val="18"/>
              </w:rPr>
              <w:t>22,800</w:t>
            </w:r>
          </w:p>
        </w:tc>
        <w:tc>
          <w:tcPr>
            <w:tcW w:w="1275" w:type="dxa"/>
            <w:shd w:val="clear" w:color="auto" w:fill="auto"/>
            <w:tcMar>
              <w:left w:w="85" w:type="dxa"/>
              <w:right w:w="85" w:type="dxa"/>
            </w:tcMar>
            <w:hideMark/>
          </w:tcPr>
          <w:p w14:paraId="58B04458" w14:textId="660BF748" w:rsidR="005E2556" w:rsidRPr="00B275E2" w:rsidRDefault="005E2556" w:rsidP="00E627FC">
            <w:pPr>
              <w:pStyle w:val="TableText"/>
              <w:spacing w:before="40" w:after="40"/>
              <w:jc w:val="center"/>
              <w:rPr>
                <w:rFonts w:cs="Calibri"/>
                <w:szCs w:val="18"/>
              </w:rPr>
            </w:pPr>
            <w:r w:rsidRPr="00B275E2">
              <w:rPr>
                <w:rFonts w:cs="Calibri"/>
                <w:szCs w:val="18"/>
              </w:rPr>
              <w:t>23,500</w:t>
            </w:r>
          </w:p>
        </w:tc>
      </w:tr>
      <w:tr w:rsidR="005E2556" w:rsidRPr="00B275E2" w14:paraId="2AB311AB" w14:textId="77777777" w:rsidTr="00253FA5">
        <w:tc>
          <w:tcPr>
            <w:tcW w:w="3402" w:type="dxa"/>
            <w:shd w:val="clear" w:color="auto" w:fill="auto"/>
            <w:tcMar>
              <w:left w:w="85" w:type="dxa"/>
              <w:right w:w="85" w:type="dxa"/>
            </w:tcMar>
            <w:hideMark/>
          </w:tcPr>
          <w:p w14:paraId="55AF7068" w14:textId="2F94B28F" w:rsidR="005E2556" w:rsidRPr="00B275E2" w:rsidRDefault="005E2556" w:rsidP="000E1F19">
            <w:pPr>
              <w:pStyle w:val="TableText"/>
              <w:spacing w:before="40" w:after="40"/>
              <w:rPr>
                <w:rFonts w:cs="Calibri"/>
                <w:szCs w:val="18"/>
              </w:rPr>
            </w:pPr>
            <w:r w:rsidRPr="00B275E2">
              <w:rPr>
                <w:rFonts w:cs="Calibri"/>
                <w:szCs w:val="18"/>
              </w:rPr>
              <w:t>Nitrogen trifluoride</w:t>
            </w:r>
            <w:r w:rsidR="00A42624" w:rsidRPr="00B275E2">
              <w:rPr>
                <w:rFonts w:cs="Calibri"/>
                <w:szCs w:val="18"/>
              </w:rPr>
              <w:t xml:space="preserve"> </w:t>
            </w:r>
          </w:p>
        </w:tc>
        <w:tc>
          <w:tcPr>
            <w:tcW w:w="1843" w:type="dxa"/>
            <w:shd w:val="clear" w:color="auto" w:fill="auto"/>
            <w:tcMar>
              <w:left w:w="85" w:type="dxa"/>
              <w:right w:w="85" w:type="dxa"/>
            </w:tcMar>
            <w:hideMark/>
          </w:tcPr>
          <w:p w14:paraId="46783559" w14:textId="56F9AF90" w:rsidR="005E2556" w:rsidRPr="00B275E2" w:rsidRDefault="005E2556" w:rsidP="00FD06E4">
            <w:pPr>
              <w:pStyle w:val="TableText"/>
              <w:spacing w:before="40" w:after="40"/>
              <w:rPr>
                <w:rFonts w:cs="Calibri"/>
                <w:szCs w:val="18"/>
              </w:rPr>
            </w:pPr>
            <w:r w:rsidRPr="00B275E2">
              <w:rPr>
                <w:rFonts w:cs="Calibri"/>
                <w:szCs w:val="18"/>
              </w:rPr>
              <w:t>NF</w:t>
            </w:r>
            <w:r w:rsidRPr="00B275E2">
              <w:rPr>
                <w:rFonts w:cs="Calibri"/>
                <w:szCs w:val="18"/>
                <w:vertAlign w:val="subscript"/>
              </w:rPr>
              <w:t>3</w:t>
            </w:r>
          </w:p>
        </w:tc>
        <w:tc>
          <w:tcPr>
            <w:tcW w:w="709" w:type="dxa"/>
            <w:shd w:val="clear" w:color="auto" w:fill="auto"/>
            <w:tcMar>
              <w:left w:w="85" w:type="dxa"/>
              <w:right w:w="85" w:type="dxa"/>
            </w:tcMar>
            <w:hideMark/>
          </w:tcPr>
          <w:p w14:paraId="0CA382EF" w14:textId="43D10BF1"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77E2B801" w14:textId="741A82CF" w:rsidR="005E2556" w:rsidRPr="00B275E2" w:rsidRDefault="005E2556" w:rsidP="00E627FC">
            <w:pPr>
              <w:pStyle w:val="TableText"/>
              <w:spacing w:before="40" w:after="40"/>
              <w:jc w:val="center"/>
              <w:rPr>
                <w:rFonts w:cs="Calibri"/>
                <w:szCs w:val="18"/>
              </w:rPr>
            </w:pPr>
            <w:r w:rsidRPr="00B275E2">
              <w:rPr>
                <w:rFonts w:cs="Calibri"/>
                <w:szCs w:val="18"/>
              </w:rPr>
              <w:t>17,200</w:t>
            </w:r>
          </w:p>
        </w:tc>
        <w:tc>
          <w:tcPr>
            <w:tcW w:w="1275" w:type="dxa"/>
            <w:shd w:val="clear" w:color="auto" w:fill="auto"/>
            <w:tcMar>
              <w:left w:w="85" w:type="dxa"/>
              <w:right w:w="85" w:type="dxa"/>
            </w:tcMar>
            <w:hideMark/>
          </w:tcPr>
          <w:p w14:paraId="4FB9EC82" w14:textId="3819307E" w:rsidR="005E2556" w:rsidRPr="00B275E2" w:rsidRDefault="005E2556" w:rsidP="00E627FC">
            <w:pPr>
              <w:pStyle w:val="TableText"/>
              <w:spacing w:before="40" w:after="40"/>
              <w:jc w:val="center"/>
              <w:rPr>
                <w:rFonts w:cs="Calibri"/>
                <w:szCs w:val="18"/>
              </w:rPr>
            </w:pPr>
            <w:r w:rsidRPr="00B275E2">
              <w:rPr>
                <w:rFonts w:cs="Calibri"/>
                <w:szCs w:val="18"/>
              </w:rPr>
              <w:t>16,100</w:t>
            </w:r>
          </w:p>
        </w:tc>
      </w:tr>
      <w:tr w:rsidR="005E2556" w:rsidRPr="00B275E2" w14:paraId="17A88425" w14:textId="77777777" w:rsidTr="00253FA5">
        <w:tc>
          <w:tcPr>
            <w:tcW w:w="3402" w:type="dxa"/>
            <w:shd w:val="clear" w:color="auto" w:fill="auto"/>
            <w:tcMar>
              <w:left w:w="85" w:type="dxa"/>
              <w:right w:w="85" w:type="dxa"/>
            </w:tcMar>
            <w:hideMark/>
          </w:tcPr>
          <w:p w14:paraId="32B989D0" w14:textId="7CDFD4BC" w:rsidR="005E2556" w:rsidRPr="00B275E2" w:rsidRDefault="005E2556" w:rsidP="000E1F19">
            <w:pPr>
              <w:pStyle w:val="TableText"/>
              <w:spacing w:before="40" w:after="40"/>
              <w:rPr>
                <w:rFonts w:cs="Calibri"/>
                <w:szCs w:val="18"/>
              </w:rPr>
            </w:pPr>
            <w:r w:rsidRPr="00B275E2">
              <w:rPr>
                <w:rFonts w:cs="Calibri"/>
                <w:szCs w:val="18"/>
              </w:rPr>
              <w:t>PFC-14</w:t>
            </w:r>
            <w:r w:rsidR="00A42624" w:rsidRPr="00B275E2">
              <w:rPr>
                <w:rFonts w:cs="Calibri"/>
                <w:szCs w:val="18"/>
              </w:rPr>
              <w:t xml:space="preserve"> </w:t>
            </w:r>
          </w:p>
        </w:tc>
        <w:tc>
          <w:tcPr>
            <w:tcW w:w="1843" w:type="dxa"/>
            <w:shd w:val="clear" w:color="auto" w:fill="auto"/>
            <w:tcMar>
              <w:left w:w="85" w:type="dxa"/>
              <w:right w:w="85" w:type="dxa"/>
            </w:tcMar>
            <w:hideMark/>
          </w:tcPr>
          <w:p w14:paraId="12E8CF5A" w14:textId="45C3F438" w:rsidR="005E2556" w:rsidRPr="00B275E2" w:rsidRDefault="005E2556" w:rsidP="00FD06E4">
            <w:pPr>
              <w:pStyle w:val="TableText"/>
              <w:spacing w:before="40" w:after="40"/>
              <w:rPr>
                <w:rFonts w:cs="Calibri"/>
                <w:szCs w:val="18"/>
              </w:rPr>
            </w:pPr>
            <w:r w:rsidRPr="00B275E2">
              <w:rPr>
                <w:rFonts w:cs="Calibri"/>
                <w:szCs w:val="18"/>
              </w:rPr>
              <w:t>CF</w:t>
            </w:r>
            <w:r w:rsidRPr="00B275E2">
              <w:rPr>
                <w:rFonts w:cs="Calibri"/>
                <w:szCs w:val="18"/>
                <w:vertAlign w:val="subscript"/>
              </w:rPr>
              <w:t>4</w:t>
            </w:r>
          </w:p>
        </w:tc>
        <w:tc>
          <w:tcPr>
            <w:tcW w:w="709" w:type="dxa"/>
            <w:shd w:val="clear" w:color="auto" w:fill="auto"/>
            <w:tcMar>
              <w:left w:w="85" w:type="dxa"/>
              <w:right w:w="85" w:type="dxa"/>
            </w:tcMar>
            <w:hideMark/>
          </w:tcPr>
          <w:p w14:paraId="08675A8F" w14:textId="097CCFC1"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0009CF88" w14:textId="39661DD4" w:rsidR="005E2556" w:rsidRPr="00B275E2" w:rsidRDefault="005E2556" w:rsidP="00E627FC">
            <w:pPr>
              <w:pStyle w:val="TableText"/>
              <w:spacing w:before="40" w:after="40"/>
              <w:jc w:val="center"/>
              <w:rPr>
                <w:rFonts w:cs="Calibri"/>
                <w:szCs w:val="18"/>
              </w:rPr>
            </w:pPr>
            <w:r w:rsidRPr="00B275E2">
              <w:rPr>
                <w:rFonts w:cs="Calibri"/>
                <w:szCs w:val="18"/>
              </w:rPr>
              <w:t>7,390</w:t>
            </w:r>
          </w:p>
        </w:tc>
        <w:tc>
          <w:tcPr>
            <w:tcW w:w="1275" w:type="dxa"/>
            <w:shd w:val="clear" w:color="auto" w:fill="auto"/>
            <w:tcMar>
              <w:left w:w="85" w:type="dxa"/>
              <w:right w:w="85" w:type="dxa"/>
            </w:tcMar>
            <w:hideMark/>
          </w:tcPr>
          <w:p w14:paraId="136B54FF" w14:textId="1D930F81" w:rsidR="005E2556" w:rsidRPr="00B275E2" w:rsidRDefault="005E2556" w:rsidP="00E627FC">
            <w:pPr>
              <w:pStyle w:val="TableText"/>
              <w:spacing w:before="40" w:after="40"/>
              <w:jc w:val="center"/>
              <w:rPr>
                <w:rFonts w:cs="Calibri"/>
                <w:szCs w:val="18"/>
              </w:rPr>
            </w:pPr>
            <w:r w:rsidRPr="00B275E2">
              <w:rPr>
                <w:rFonts w:cs="Calibri"/>
                <w:szCs w:val="18"/>
              </w:rPr>
              <w:t>6,630</w:t>
            </w:r>
          </w:p>
        </w:tc>
      </w:tr>
      <w:tr w:rsidR="005E2556" w:rsidRPr="00B275E2" w14:paraId="299D1423" w14:textId="77777777" w:rsidTr="00253FA5">
        <w:tc>
          <w:tcPr>
            <w:tcW w:w="3402" w:type="dxa"/>
            <w:shd w:val="clear" w:color="auto" w:fill="auto"/>
            <w:tcMar>
              <w:left w:w="85" w:type="dxa"/>
              <w:right w:w="85" w:type="dxa"/>
            </w:tcMar>
            <w:hideMark/>
          </w:tcPr>
          <w:p w14:paraId="36E247D7" w14:textId="0BFE3A56" w:rsidR="005E2556" w:rsidRPr="00B275E2" w:rsidRDefault="005E2556" w:rsidP="000E1F19">
            <w:pPr>
              <w:pStyle w:val="TableText"/>
              <w:spacing w:before="40" w:after="40"/>
              <w:rPr>
                <w:rFonts w:cs="Calibri"/>
                <w:szCs w:val="18"/>
              </w:rPr>
            </w:pPr>
            <w:r w:rsidRPr="00B275E2">
              <w:rPr>
                <w:rFonts w:cs="Calibri"/>
                <w:szCs w:val="18"/>
              </w:rPr>
              <w:t>PFC-116</w:t>
            </w:r>
            <w:r w:rsidR="00A42624" w:rsidRPr="00B275E2">
              <w:rPr>
                <w:rFonts w:cs="Calibri"/>
                <w:szCs w:val="18"/>
              </w:rPr>
              <w:t xml:space="preserve"> </w:t>
            </w:r>
          </w:p>
        </w:tc>
        <w:tc>
          <w:tcPr>
            <w:tcW w:w="1843" w:type="dxa"/>
            <w:shd w:val="clear" w:color="auto" w:fill="auto"/>
            <w:tcMar>
              <w:left w:w="85" w:type="dxa"/>
              <w:right w:w="85" w:type="dxa"/>
            </w:tcMar>
            <w:hideMark/>
          </w:tcPr>
          <w:p w14:paraId="21EAE6EE" w14:textId="143AD690" w:rsidR="005E2556" w:rsidRPr="00B275E2" w:rsidRDefault="005E2556" w:rsidP="00FD06E4">
            <w:pPr>
              <w:pStyle w:val="TableText"/>
              <w:spacing w:before="40" w:after="40"/>
              <w:rPr>
                <w:rFonts w:cs="Calibri"/>
                <w:szCs w:val="18"/>
              </w:rPr>
            </w:pPr>
            <w:r w:rsidRPr="00B275E2">
              <w:rPr>
                <w:rFonts w:cs="Calibri"/>
                <w:szCs w:val="18"/>
              </w:rPr>
              <w:t>C</w:t>
            </w:r>
            <w:r w:rsidRPr="00B275E2">
              <w:rPr>
                <w:rFonts w:cs="Calibri"/>
                <w:szCs w:val="18"/>
                <w:vertAlign w:val="subscript"/>
              </w:rPr>
              <w:t>2</w:t>
            </w:r>
            <w:r w:rsidRPr="00B275E2">
              <w:rPr>
                <w:rFonts w:cs="Calibri"/>
                <w:szCs w:val="18"/>
              </w:rPr>
              <w:t>F</w:t>
            </w:r>
            <w:r w:rsidRPr="00B275E2">
              <w:rPr>
                <w:rFonts w:cs="Calibri"/>
                <w:szCs w:val="18"/>
                <w:vertAlign w:val="subscript"/>
              </w:rPr>
              <w:t>6</w:t>
            </w:r>
          </w:p>
        </w:tc>
        <w:tc>
          <w:tcPr>
            <w:tcW w:w="709" w:type="dxa"/>
            <w:shd w:val="clear" w:color="auto" w:fill="auto"/>
            <w:tcMar>
              <w:left w:w="85" w:type="dxa"/>
              <w:right w:w="85" w:type="dxa"/>
            </w:tcMar>
            <w:hideMark/>
          </w:tcPr>
          <w:p w14:paraId="4BAA0856" w14:textId="304615AD"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550E96D8" w14:textId="2DC69843" w:rsidR="005E2556" w:rsidRPr="00B275E2" w:rsidRDefault="005E2556" w:rsidP="00E627FC">
            <w:pPr>
              <w:pStyle w:val="TableText"/>
              <w:spacing w:before="40" w:after="40"/>
              <w:jc w:val="center"/>
              <w:rPr>
                <w:rFonts w:cs="Calibri"/>
                <w:szCs w:val="18"/>
              </w:rPr>
            </w:pPr>
            <w:r w:rsidRPr="00B275E2">
              <w:rPr>
                <w:rFonts w:cs="Calibri"/>
                <w:szCs w:val="18"/>
              </w:rPr>
              <w:t>12,200</w:t>
            </w:r>
          </w:p>
        </w:tc>
        <w:tc>
          <w:tcPr>
            <w:tcW w:w="1275" w:type="dxa"/>
            <w:shd w:val="clear" w:color="auto" w:fill="auto"/>
            <w:tcMar>
              <w:left w:w="85" w:type="dxa"/>
              <w:right w:w="85" w:type="dxa"/>
            </w:tcMar>
            <w:hideMark/>
          </w:tcPr>
          <w:p w14:paraId="2BBDC0E0" w14:textId="36CC185C" w:rsidR="005E2556" w:rsidRPr="00B275E2" w:rsidRDefault="005E2556" w:rsidP="00E627FC">
            <w:pPr>
              <w:pStyle w:val="TableText"/>
              <w:spacing w:before="40" w:after="40"/>
              <w:jc w:val="center"/>
              <w:rPr>
                <w:rFonts w:cs="Calibri"/>
                <w:szCs w:val="18"/>
              </w:rPr>
            </w:pPr>
            <w:r w:rsidRPr="00B275E2">
              <w:rPr>
                <w:rFonts w:cs="Calibri"/>
                <w:szCs w:val="18"/>
              </w:rPr>
              <w:t>11,100</w:t>
            </w:r>
          </w:p>
        </w:tc>
      </w:tr>
      <w:tr w:rsidR="005E2556" w:rsidRPr="00B275E2" w14:paraId="21E4C10C" w14:textId="77777777" w:rsidTr="00253FA5">
        <w:tc>
          <w:tcPr>
            <w:tcW w:w="3402" w:type="dxa"/>
            <w:shd w:val="clear" w:color="auto" w:fill="auto"/>
            <w:tcMar>
              <w:left w:w="85" w:type="dxa"/>
              <w:right w:w="85" w:type="dxa"/>
            </w:tcMar>
            <w:hideMark/>
          </w:tcPr>
          <w:p w14:paraId="0A1A567D" w14:textId="244D282D" w:rsidR="005E2556" w:rsidRPr="00B275E2" w:rsidRDefault="005E2556" w:rsidP="000E1F19">
            <w:pPr>
              <w:pStyle w:val="TableText"/>
              <w:spacing w:before="40" w:after="40"/>
              <w:rPr>
                <w:rFonts w:cs="Calibri"/>
                <w:szCs w:val="18"/>
              </w:rPr>
            </w:pPr>
            <w:r w:rsidRPr="00B275E2">
              <w:rPr>
                <w:rFonts w:cs="Calibri"/>
                <w:szCs w:val="18"/>
              </w:rPr>
              <w:t>PFC-218</w:t>
            </w:r>
            <w:r w:rsidR="00A42624" w:rsidRPr="00B275E2">
              <w:rPr>
                <w:rFonts w:cs="Calibri"/>
                <w:szCs w:val="18"/>
              </w:rPr>
              <w:t xml:space="preserve"> </w:t>
            </w:r>
          </w:p>
        </w:tc>
        <w:tc>
          <w:tcPr>
            <w:tcW w:w="1843" w:type="dxa"/>
            <w:shd w:val="clear" w:color="auto" w:fill="auto"/>
            <w:tcMar>
              <w:left w:w="85" w:type="dxa"/>
              <w:right w:w="85" w:type="dxa"/>
            </w:tcMar>
            <w:hideMark/>
          </w:tcPr>
          <w:p w14:paraId="2F74AFBC" w14:textId="0BBA4CA4" w:rsidR="005E2556" w:rsidRPr="00B275E2" w:rsidRDefault="005E2556" w:rsidP="00FD06E4">
            <w:pPr>
              <w:pStyle w:val="TableText"/>
              <w:spacing w:before="40" w:after="40"/>
              <w:rPr>
                <w:rFonts w:cs="Calibri"/>
                <w:szCs w:val="18"/>
              </w:rPr>
            </w:pPr>
            <w:r w:rsidRPr="00B275E2">
              <w:rPr>
                <w:rFonts w:cs="Calibri"/>
                <w:szCs w:val="18"/>
              </w:rPr>
              <w:t>C</w:t>
            </w:r>
            <w:r w:rsidRPr="00B275E2">
              <w:rPr>
                <w:rFonts w:cs="Calibri"/>
                <w:szCs w:val="18"/>
                <w:vertAlign w:val="subscript"/>
              </w:rPr>
              <w:t>3</w:t>
            </w:r>
            <w:r w:rsidRPr="00B275E2">
              <w:rPr>
                <w:rFonts w:cs="Calibri"/>
                <w:szCs w:val="18"/>
              </w:rPr>
              <w:t>F</w:t>
            </w:r>
            <w:r w:rsidRPr="00B275E2">
              <w:rPr>
                <w:rFonts w:cs="Calibri"/>
                <w:szCs w:val="18"/>
                <w:vertAlign w:val="subscript"/>
              </w:rPr>
              <w:t>8</w:t>
            </w:r>
          </w:p>
        </w:tc>
        <w:tc>
          <w:tcPr>
            <w:tcW w:w="709" w:type="dxa"/>
            <w:shd w:val="clear" w:color="auto" w:fill="auto"/>
            <w:tcMar>
              <w:left w:w="85" w:type="dxa"/>
              <w:right w:w="85" w:type="dxa"/>
            </w:tcMar>
            <w:hideMark/>
          </w:tcPr>
          <w:p w14:paraId="2A868D39" w14:textId="051AEB4D"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06E499F4" w14:textId="4ECF48FA" w:rsidR="005E2556" w:rsidRPr="00B275E2" w:rsidRDefault="005E2556" w:rsidP="00E627FC">
            <w:pPr>
              <w:pStyle w:val="TableText"/>
              <w:spacing w:before="40" w:after="40"/>
              <w:jc w:val="center"/>
              <w:rPr>
                <w:rFonts w:cs="Calibri"/>
                <w:szCs w:val="18"/>
              </w:rPr>
            </w:pPr>
            <w:r w:rsidRPr="00B275E2">
              <w:rPr>
                <w:rFonts w:cs="Calibri"/>
                <w:szCs w:val="18"/>
              </w:rPr>
              <w:t>8,830</w:t>
            </w:r>
          </w:p>
        </w:tc>
        <w:tc>
          <w:tcPr>
            <w:tcW w:w="1275" w:type="dxa"/>
            <w:shd w:val="clear" w:color="auto" w:fill="auto"/>
            <w:tcMar>
              <w:left w:w="85" w:type="dxa"/>
              <w:right w:w="85" w:type="dxa"/>
            </w:tcMar>
            <w:hideMark/>
          </w:tcPr>
          <w:p w14:paraId="0AF2DBBE" w14:textId="012F8A92" w:rsidR="005E2556" w:rsidRPr="00B275E2" w:rsidRDefault="005E2556" w:rsidP="00E627FC">
            <w:pPr>
              <w:pStyle w:val="TableText"/>
              <w:spacing w:before="40" w:after="40"/>
              <w:jc w:val="center"/>
              <w:rPr>
                <w:rFonts w:cs="Calibri"/>
                <w:szCs w:val="18"/>
              </w:rPr>
            </w:pPr>
            <w:r w:rsidRPr="00B275E2">
              <w:rPr>
                <w:rFonts w:cs="Calibri"/>
                <w:szCs w:val="18"/>
              </w:rPr>
              <w:t>8,900</w:t>
            </w:r>
          </w:p>
        </w:tc>
      </w:tr>
      <w:tr w:rsidR="005E2556" w:rsidRPr="00B275E2" w14:paraId="5100E32D" w14:textId="77777777" w:rsidTr="00253FA5">
        <w:tc>
          <w:tcPr>
            <w:tcW w:w="3402" w:type="dxa"/>
            <w:shd w:val="clear" w:color="auto" w:fill="auto"/>
            <w:tcMar>
              <w:left w:w="85" w:type="dxa"/>
              <w:right w:w="85" w:type="dxa"/>
            </w:tcMar>
            <w:hideMark/>
          </w:tcPr>
          <w:p w14:paraId="5FCEA59A" w14:textId="27BC502C" w:rsidR="005E2556" w:rsidRPr="00B275E2" w:rsidRDefault="005E2556" w:rsidP="000E1F19">
            <w:pPr>
              <w:pStyle w:val="TableText"/>
              <w:spacing w:before="40" w:after="40"/>
              <w:rPr>
                <w:rFonts w:cs="Calibri"/>
                <w:szCs w:val="18"/>
              </w:rPr>
            </w:pPr>
            <w:r w:rsidRPr="00B275E2">
              <w:rPr>
                <w:rFonts w:cs="Calibri"/>
                <w:szCs w:val="18"/>
              </w:rPr>
              <w:t>PFC-318</w:t>
            </w:r>
            <w:r w:rsidR="00A42624" w:rsidRPr="00B275E2">
              <w:rPr>
                <w:rFonts w:cs="Calibri"/>
                <w:szCs w:val="18"/>
              </w:rPr>
              <w:t xml:space="preserve"> </w:t>
            </w:r>
          </w:p>
        </w:tc>
        <w:tc>
          <w:tcPr>
            <w:tcW w:w="1843" w:type="dxa"/>
            <w:shd w:val="clear" w:color="auto" w:fill="auto"/>
            <w:tcMar>
              <w:left w:w="85" w:type="dxa"/>
              <w:right w:w="85" w:type="dxa"/>
            </w:tcMar>
            <w:hideMark/>
          </w:tcPr>
          <w:p w14:paraId="15B3E049" w14:textId="74C19387" w:rsidR="005E2556" w:rsidRPr="00B275E2" w:rsidRDefault="005E2556" w:rsidP="00FD06E4">
            <w:pPr>
              <w:pStyle w:val="TableText"/>
              <w:spacing w:before="40" w:after="40"/>
              <w:rPr>
                <w:rFonts w:cs="Calibri"/>
                <w:szCs w:val="18"/>
              </w:rPr>
            </w:pPr>
            <w:r w:rsidRPr="00B275E2">
              <w:rPr>
                <w:rFonts w:cs="Calibri"/>
                <w:szCs w:val="18"/>
              </w:rPr>
              <w:t>c-C</w:t>
            </w:r>
            <w:r w:rsidRPr="00B275E2">
              <w:rPr>
                <w:rFonts w:cs="Calibri"/>
                <w:szCs w:val="18"/>
                <w:vertAlign w:val="subscript"/>
              </w:rPr>
              <w:t>4</w:t>
            </w:r>
            <w:r w:rsidRPr="00B275E2">
              <w:rPr>
                <w:rFonts w:cs="Calibri"/>
                <w:szCs w:val="18"/>
              </w:rPr>
              <w:t>F</w:t>
            </w:r>
            <w:r w:rsidRPr="00B275E2">
              <w:rPr>
                <w:rFonts w:cs="Calibri"/>
                <w:szCs w:val="18"/>
                <w:vertAlign w:val="subscript"/>
              </w:rPr>
              <w:t>8</w:t>
            </w:r>
          </w:p>
        </w:tc>
        <w:tc>
          <w:tcPr>
            <w:tcW w:w="709" w:type="dxa"/>
            <w:shd w:val="clear" w:color="auto" w:fill="auto"/>
            <w:tcMar>
              <w:left w:w="85" w:type="dxa"/>
              <w:right w:w="85" w:type="dxa"/>
            </w:tcMar>
            <w:hideMark/>
          </w:tcPr>
          <w:p w14:paraId="30B0141B" w14:textId="4145A8D7"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6E002380" w14:textId="17E3BE29" w:rsidR="005E2556" w:rsidRPr="00B275E2" w:rsidRDefault="005E2556" w:rsidP="00E627FC">
            <w:pPr>
              <w:pStyle w:val="TableText"/>
              <w:spacing w:before="40" w:after="40"/>
              <w:jc w:val="center"/>
              <w:rPr>
                <w:rFonts w:cs="Calibri"/>
                <w:szCs w:val="18"/>
              </w:rPr>
            </w:pPr>
            <w:r w:rsidRPr="00B275E2">
              <w:rPr>
                <w:rFonts w:cs="Calibri"/>
                <w:szCs w:val="18"/>
              </w:rPr>
              <w:t>10,300</w:t>
            </w:r>
          </w:p>
        </w:tc>
        <w:tc>
          <w:tcPr>
            <w:tcW w:w="1275" w:type="dxa"/>
            <w:shd w:val="clear" w:color="auto" w:fill="auto"/>
            <w:tcMar>
              <w:left w:w="85" w:type="dxa"/>
              <w:right w:w="85" w:type="dxa"/>
            </w:tcMar>
            <w:hideMark/>
          </w:tcPr>
          <w:p w14:paraId="165EE196" w14:textId="1702EA70" w:rsidR="005E2556" w:rsidRPr="00B275E2" w:rsidRDefault="005E2556" w:rsidP="00E627FC">
            <w:pPr>
              <w:pStyle w:val="TableText"/>
              <w:spacing w:before="40" w:after="40"/>
              <w:jc w:val="center"/>
              <w:rPr>
                <w:rFonts w:cs="Calibri"/>
                <w:szCs w:val="18"/>
              </w:rPr>
            </w:pPr>
            <w:r w:rsidRPr="00B275E2">
              <w:rPr>
                <w:rFonts w:cs="Calibri"/>
                <w:szCs w:val="18"/>
              </w:rPr>
              <w:t>9,540</w:t>
            </w:r>
          </w:p>
        </w:tc>
      </w:tr>
      <w:tr w:rsidR="005E2556" w:rsidRPr="00B275E2" w14:paraId="063D6A68" w14:textId="77777777" w:rsidTr="00253FA5">
        <w:tc>
          <w:tcPr>
            <w:tcW w:w="3402" w:type="dxa"/>
            <w:shd w:val="clear" w:color="auto" w:fill="auto"/>
            <w:tcMar>
              <w:left w:w="85" w:type="dxa"/>
              <w:right w:w="85" w:type="dxa"/>
            </w:tcMar>
            <w:hideMark/>
          </w:tcPr>
          <w:p w14:paraId="2A180B38" w14:textId="3CFEB80F" w:rsidR="005E2556" w:rsidRPr="00B275E2" w:rsidRDefault="005E2556" w:rsidP="000E1F19">
            <w:pPr>
              <w:pStyle w:val="TableText"/>
              <w:spacing w:before="40" w:after="40"/>
              <w:rPr>
                <w:rFonts w:cs="Calibri"/>
                <w:szCs w:val="18"/>
              </w:rPr>
            </w:pPr>
            <w:r w:rsidRPr="00B275E2">
              <w:rPr>
                <w:rFonts w:cs="Calibri"/>
                <w:szCs w:val="18"/>
              </w:rPr>
              <w:t>PFC-3-1-10</w:t>
            </w:r>
            <w:r w:rsidR="00A42624" w:rsidRPr="00B275E2">
              <w:rPr>
                <w:rFonts w:cs="Calibri"/>
                <w:szCs w:val="18"/>
              </w:rPr>
              <w:t xml:space="preserve"> </w:t>
            </w:r>
          </w:p>
        </w:tc>
        <w:tc>
          <w:tcPr>
            <w:tcW w:w="1843" w:type="dxa"/>
            <w:shd w:val="clear" w:color="auto" w:fill="auto"/>
            <w:tcMar>
              <w:left w:w="85" w:type="dxa"/>
              <w:right w:w="85" w:type="dxa"/>
            </w:tcMar>
            <w:hideMark/>
          </w:tcPr>
          <w:p w14:paraId="77731CF6" w14:textId="286B1141" w:rsidR="005E2556" w:rsidRPr="00B275E2" w:rsidRDefault="005E2556" w:rsidP="00FD06E4">
            <w:pPr>
              <w:pStyle w:val="TableText"/>
              <w:spacing w:before="40" w:after="40"/>
              <w:rPr>
                <w:rFonts w:cs="Calibri"/>
                <w:szCs w:val="18"/>
              </w:rPr>
            </w:pPr>
            <w:r w:rsidRPr="00B275E2">
              <w:rPr>
                <w:rFonts w:cs="Calibri"/>
                <w:szCs w:val="18"/>
              </w:rPr>
              <w:t>C</w:t>
            </w:r>
            <w:r w:rsidRPr="00B275E2">
              <w:rPr>
                <w:rFonts w:cs="Calibri"/>
                <w:szCs w:val="18"/>
                <w:vertAlign w:val="subscript"/>
              </w:rPr>
              <w:t>4</w:t>
            </w:r>
            <w:r w:rsidRPr="00B275E2">
              <w:rPr>
                <w:rFonts w:cs="Calibri"/>
                <w:szCs w:val="18"/>
              </w:rPr>
              <w:t>F</w:t>
            </w:r>
            <w:r w:rsidRPr="00B275E2">
              <w:rPr>
                <w:rFonts w:cs="Calibri"/>
                <w:szCs w:val="18"/>
                <w:vertAlign w:val="subscript"/>
              </w:rPr>
              <w:t>10</w:t>
            </w:r>
          </w:p>
        </w:tc>
        <w:tc>
          <w:tcPr>
            <w:tcW w:w="709" w:type="dxa"/>
            <w:shd w:val="clear" w:color="auto" w:fill="auto"/>
            <w:tcMar>
              <w:left w:w="85" w:type="dxa"/>
              <w:right w:w="85" w:type="dxa"/>
            </w:tcMar>
            <w:hideMark/>
          </w:tcPr>
          <w:p w14:paraId="162AFD5C" w14:textId="2E81B997"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0A466CCB" w14:textId="65E88ADD" w:rsidR="005E2556" w:rsidRPr="00B275E2" w:rsidRDefault="005E2556" w:rsidP="00E627FC">
            <w:pPr>
              <w:pStyle w:val="TableText"/>
              <w:spacing w:before="40" w:after="40"/>
              <w:jc w:val="center"/>
              <w:rPr>
                <w:rFonts w:cs="Calibri"/>
                <w:szCs w:val="18"/>
              </w:rPr>
            </w:pPr>
            <w:r w:rsidRPr="00B275E2">
              <w:rPr>
                <w:rFonts w:cs="Calibri"/>
                <w:szCs w:val="18"/>
              </w:rPr>
              <w:t>8,860</w:t>
            </w:r>
          </w:p>
        </w:tc>
        <w:tc>
          <w:tcPr>
            <w:tcW w:w="1275" w:type="dxa"/>
            <w:shd w:val="clear" w:color="auto" w:fill="auto"/>
            <w:tcMar>
              <w:left w:w="85" w:type="dxa"/>
              <w:right w:w="85" w:type="dxa"/>
            </w:tcMar>
            <w:hideMark/>
          </w:tcPr>
          <w:p w14:paraId="4AC86E54" w14:textId="25241D03" w:rsidR="005E2556" w:rsidRPr="00B275E2" w:rsidRDefault="005E2556" w:rsidP="00E627FC">
            <w:pPr>
              <w:pStyle w:val="TableText"/>
              <w:spacing w:before="40" w:after="40"/>
              <w:jc w:val="center"/>
              <w:rPr>
                <w:rFonts w:cs="Calibri"/>
                <w:szCs w:val="18"/>
              </w:rPr>
            </w:pPr>
            <w:r w:rsidRPr="00B275E2">
              <w:rPr>
                <w:rFonts w:cs="Calibri"/>
                <w:szCs w:val="18"/>
              </w:rPr>
              <w:t>9,200</w:t>
            </w:r>
          </w:p>
        </w:tc>
      </w:tr>
      <w:tr w:rsidR="005E2556" w:rsidRPr="00B275E2" w14:paraId="44363991" w14:textId="77777777" w:rsidTr="00253FA5">
        <w:tc>
          <w:tcPr>
            <w:tcW w:w="3402" w:type="dxa"/>
            <w:shd w:val="clear" w:color="auto" w:fill="auto"/>
            <w:tcMar>
              <w:left w:w="85" w:type="dxa"/>
              <w:right w:w="85" w:type="dxa"/>
            </w:tcMar>
            <w:hideMark/>
          </w:tcPr>
          <w:p w14:paraId="7D27BBBE" w14:textId="66967BC3" w:rsidR="005E2556" w:rsidRPr="00B275E2" w:rsidRDefault="005E2556" w:rsidP="000E1F19">
            <w:pPr>
              <w:pStyle w:val="TableText"/>
              <w:spacing w:before="40" w:after="40"/>
              <w:rPr>
                <w:rFonts w:cs="Calibri"/>
                <w:szCs w:val="18"/>
              </w:rPr>
            </w:pPr>
            <w:r w:rsidRPr="00B275E2">
              <w:rPr>
                <w:rFonts w:cs="Calibri"/>
                <w:szCs w:val="18"/>
              </w:rPr>
              <w:t>PFC-4-1-12</w:t>
            </w:r>
            <w:r w:rsidR="00A42624" w:rsidRPr="00B275E2">
              <w:rPr>
                <w:rFonts w:cs="Calibri"/>
                <w:szCs w:val="18"/>
              </w:rPr>
              <w:t xml:space="preserve"> </w:t>
            </w:r>
          </w:p>
        </w:tc>
        <w:tc>
          <w:tcPr>
            <w:tcW w:w="1843" w:type="dxa"/>
            <w:shd w:val="clear" w:color="auto" w:fill="auto"/>
            <w:tcMar>
              <w:left w:w="85" w:type="dxa"/>
              <w:right w:w="85" w:type="dxa"/>
            </w:tcMar>
            <w:hideMark/>
          </w:tcPr>
          <w:p w14:paraId="785A6F6A" w14:textId="41B99A91" w:rsidR="005E2556" w:rsidRPr="00B275E2" w:rsidRDefault="005E2556" w:rsidP="00FD06E4">
            <w:pPr>
              <w:pStyle w:val="TableText"/>
              <w:spacing w:before="40" w:after="40"/>
              <w:rPr>
                <w:rFonts w:cs="Calibri"/>
                <w:szCs w:val="18"/>
              </w:rPr>
            </w:pPr>
            <w:r w:rsidRPr="00B275E2">
              <w:rPr>
                <w:rFonts w:cs="Calibri"/>
                <w:szCs w:val="18"/>
              </w:rPr>
              <w:t>C</w:t>
            </w:r>
            <w:r w:rsidRPr="00B275E2">
              <w:rPr>
                <w:rFonts w:cs="Calibri"/>
                <w:szCs w:val="18"/>
                <w:vertAlign w:val="subscript"/>
              </w:rPr>
              <w:t>5</w:t>
            </w:r>
            <w:r w:rsidRPr="00B275E2">
              <w:rPr>
                <w:rFonts w:cs="Calibri"/>
                <w:szCs w:val="18"/>
              </w:rPr>
              <w:t>F</w:t>
            </w:r>
            <w:r w:rsidRPr="00B275E2">
              <w:rPr>
                <w:rFonts w:cs="Calibri"/>
                <w:szCs w:val="18"/>
                <w:vertAlign w:val="subscript"/>
              </w:rPr>
              <w:t>12</w:t>
            </w:r>
          </w:p>
        </w:tc>
        <w:tc>
          <w:tcPr>
            <w:tcW w:w="709" w:type="dxa"/>
            <w:shd w:val="clear" w:color="auto" w:fill="auto"/>
            <w:tcMar>
              <w:left w:w="85" w:type="dxa"/>
              <w:right w:w="85" w:type="dxa"/>
            </w:tcMar>
            <w:hideMark/>
          </w:tcPr>
          <w:p w14:paraId="40713E67" w14:textId="086B75CF"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5373C9DC" w14:textId="7579BA47" w:rsidR="005E2556" w:rsidRPr="00B275E2" w:rsidRDefault="005E2556" w:rsidP="00E627FC">
            <w:pPr>
              <w:pStyle w:val="TableText"/>
              <w:spacing w:before="40" w:after="40"/>
              <w:jc w:val="center"/>
              <w:rPr>
                <w:rFonts w:cs="Calibri"/>
                <w:szCs w:val="18"/>
              </w:rPr>
            </w:pPr>
            <w:r w:rsidRPr="00B275E2">
              <w:rPr>
                <w:rFonts w:cs="Calibri"/>
                <w:szCs w:val="18"/>
              </w:rPr>
              <w:t>9,160</w:t>
            </w:r>
          </w:p>
        </w:tc>
        <w:tc>
          <w:tcPr>
            <w:tcW w:w="1275" w:type="dxa"/>
            <w:shd w:val="clear" w:color="auto" w:fill="auto"/>
            <w:tcMar>
              <w:left w:w="85" w:type="dxa"/>
              <w:right w:w="85" w:type="dxa"/>
            </w:tcMar>
            <w:hideMark/>
          </w:tcPr>
          <w:p w14:paraId="1C13F1F6" w14:textId="59EC2CDA" w:rsidR="005E2556" w:rsidRPr="00B275E2" w:rsidRDefault="005E2556" w:rsidP="00E627FC">
            <w:pPr>
              <w:pStyle w:val="TableText"/>
              <w:spacing w:before="40" w:after="40"/>
              <w:jc w:val="center"/>
              <w:rPr>
                <w:rFonts w:cs="Calibri"/>
                <w:szCs w:val="18"/>
              </w:rPr>
            </w:pPr>
            <w:r w:rsidRPr="00B275E2">
              <w:rPr>
                <w:rFonts w:cs="Calibri"/>
                <w:szCs w:val="18"/>
              </w:rPr>
              <w:t>8,550</w:t>
            </w:r>
          </w:p>
        </w:tc>
      </w:tr>
      <w:tr w:rsidR="005E2556" w:rsidRPr="00B275E2" w14:paraId="55E33B6E" w14:textId="77777777" w:rsidTr="00253FA5">
        <w:tc>
          <w:tcPr>
            <w:tcW w:w="3402" w:type="dxa"/>
            <w:shd w:val="clear" w:color="auto" w:fill="auto"/>
            <w:tcMar>
              <w:left w:w="85" w:type="dxa"/>
              <w:right w:w="85" w:type="dxa"/>
            </w:tcMar>
            <w:hideMark/>
          </w:tcPr>
          <w:p w14:paraId="6F4B494A" w14:textId="22E5B851" w:rsidR="005E2556" w:rsidRPr="00B275E2" w:rsidRDefault="005E2556" w:rsidP="000E1F19">
            <w:pPr>
              <w:pStyle w:val="TableText"/>
              <w:spacing w:before="40" w:after="40"/>
              <w:rPr>
                <w:rFonts w:cs="Calibri"/>
                <w:szCs w:val="18"/>
              </w:rPr>
            </w:pPr>
            <w:r w:rsidRPr="00B275E2">
              <w:rPr>
                <w:rFonts w:cs="Calibri"/>
                <w:szCs w:val="18"/>
              </w:rPr>
              <w:t>PFC-5-1-14</w:t>
            </w:r>
            <w:r w:rsidR="00A42624" w:rsidRPr="00B275E2">
              <w:rPr>
                <w:rFonts w:cs="Calibri"/>
                <w:szCs w:val="18"/>
              </w:rPr>
              <w:t xml:space="preserve"> </w:t>
            </w:r>
          </w:p>
        </w:tc>
        <w:tc>
          <w:tcPr>
            <w:tcW w:w="1843" w:type="dxa"/>
            <w:shd w:val="clear" w:color="auto" w:fill="auto"/>
            <w:tcMar>
              <w:left w:w="85" w:type="dxa"/>
              <w:right w:w="85" w:type="dxa"/>
            </w:tcMar>
            <w:hideMark/>
          </w:tcPr>
          <w:p w14:paraId="36477F04" w14:textId="1D934478" w:rsidR="005E2556" w:rsidRPr="00B275E2" w:rsidRDefault="005E2556" w:rsidP="00FD06E4">
            <w:pPr>
              <w:pStyle w:val="TableText"/>
              <w:spacing w:before="40" w:after="40"/>
              <w:rPr>
                <w:rFonts w:cs="Calibri"/>
                <w:szCs w:val="18"/>
              </w:rPr>
            </w:pPr>
            <w:r w:rsidRPr="00B275E2">
              <w:rPr>
                <w:rFonts w:cs="Calibri"/>
                <w:szCs w:val="18"/>
              </w:rPr>
              <w:t>C</w:t>
            </w:r>
            <w:r w:rsidRPr="00B275E2">
              <w:rPr>
                <w:rFonts w:cs="Calibri"/>
                <w:szCs w:val="18"/>
                <w:vertAlign w:val="subscript"/>
              </w:rPr>
              <w:t>6</w:t>
            </w:r>
            <w:r w:rsidRPr="00B275E2">
              <w:rPr>
                <w:rFonts w:cs="Calibri"/>
                <w:szCs w:val="18"/>
              </w:rPr>
              <w:t>F</w:t>
            </w:r>
            <w:r w:rsidRPr="00B275E2">
              <w:rPr>
                <w:rFonts w:cs="Calibri"/>
                <w:szCs w:val="18"/>
                <w:vertAlign w:val="subscript"/>
              </w:rPr>
              <w:t>14</w:t>
            </w:r>
          </w:p>
        </w:tc>
        <w:tc>
          <w:tcPr>
            <w:tcW w:w="709" w:type="dxa"/>
            <w:shd w:val="clear" w:color="auto" w:fill="auto"/>
            <w:tcMar>
              <w:left w:w="85" w:type="dxa"/>
              <w:right w:w="85" w:type="dxa"/>
            </w:tcMar>
            <w:hideMark/>
          </w:tcPr>
          <w:p w14:paraId="6FE07BEA" w14:textId="35B660E6"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11FEBA72" w14:textId="54819929" w:rsidR="005E2556" w:rsidRPr="00B275E2" w:rsidRDefault="005E2556" w:rsidP="00E627FC">
            <w:pPr>
              <w:pStyle w:val="TableText"/>
              <w:spacing w:before="40" w:after="40"/>
              <w:jc w:val="center"/>
              <w:rPr>
                <w:rFonts w:cs="Calibri"/>
                <w:szCs w:val="18"/>
              </w:rPr>
            </w:pPr>
            <w:r w:rsidRPr="00B275E2">
              <w:rPr>
                <w:rFonts w:cs="Calibri"/>
                <w:szCs w:val="18"/>
              </w:rPr>
              <w:t>9,300</w:t>
            </w:r>
          </w:p>
        </w:tc>
        <w:tc>
          <w:tcPr>
            <w:tcW w:w="1275" w:type="dxa"/>
            <w:shd w:val="clear" w:color="auto" w:fill="auto"/>
            <w:tcMar>
              <w:left w:w="85" w:type="dxa"/>
              <w:right w:w="85" w:type="dxa"/>
            </w:tcMar>
            <w:hideMark/>
          </w:tcPr>
          <w:p w14:paraId="74435365" w14:textId="0ADD9E4D" w:rsidR="005E2556" w:rsidRPr="00B275E2" w:rsidRDefault="005E2556" w:rsidP="00E627FC">
            <w:pPr>
              <w:pStyle w:val="TableText"/>
              <w:spacing w:before="40" w:after="40"/>
              <w:jc w:val="center"/>
              <w:rPr>
                <w:rFonts w:cs="Calibri"/>
                <w:szCs w:val="18"/>
              </w:rPr>
            </w:pPr>
            <w:r w:rsidRPr="00B275E2">
              <w:rPr>
                <w:rFonts w:cs="Calibri"/>
                <w:szCs w:val="18"/>
              </w:rPr>
              <w:t>7,910</w:t>
            </w:r>
          </w:p>
        </w:tc>
      </w:tr>
      <w:tr w:rsidR="005E2556" w:rsidRPr="00B275E2" w14:paraId="612FF79C" w14:textId="77777777" w:rsidTr="00253FA5">
        <w:tc>
          <w:tcPr>
            <w:tcW w:w="3402" w:type="dxa"/>
            <w:shd w:val="clear" w:color="auto" w:fill="auto"/>
            <w:tcMar>
              <w:left w:w="85" w:type="dxa"/>
              <w:right w:w="85" w:type="dxa"/>
            </w:tcMar>
            <w:hideMark/>
          </w:tcPr>
          <w:p w14:paraId="096BE0FA" w14:textId="6A682300" w:rsidR="005E2556" w:rsidRPr="00B275E2" w:rsidRDefault="005E2556" w:rsidP="000E1F19">
            <w:pPr>
              <w:pStyle w:val="TableText"/>
              <w:spacing w:before="40" w:after="40"/>
              <w:rPr>
                <w:rFonts w:cs="Calibri"/>
                <w:szCs w:val="18"/>
              </w:rPr>
            </w:pPr>
            <w:r w:rsidRPr="00B275E2">
              <w:rPr>
                <w:rFonts w:cs="Calibri"/>
                <w:szCs w:val="18"/>
              </w:rPr>
              <w:t>PFC-9-1-18</w:t>
            </w:r>
            <w:r w:rsidR="00A42624" w:rsidRPr="00B275E2">
              <w:rPr>
                <w:rFonts w:cs="Calibri"/>
                <w:szCs w:val="18"/>
              </w:rPr>
              <w:t xml:space="preserve"> </w:t>
            </w:r>
          </w:p>
        </w:tc>
        <w:tc>
          <w:tcPr>
            <w:tcW w:w="1843" w:type="dxa"/>
            <w:shd w:val="clear" w:color="auto" w:fill="auto"/>
            <w:tcMar>
              <w:left w:w="85" w:type="dxa"/>
              <w:right w:w="85" w:type="dxa"/>
            </w:tcMar>
            <w:hideMark/>
          </w:tcPr>
          <w:p w14:paraId="0AA28D86" w14:textId="30B01EF6" w:rsidR="005E2556" w:rsidRPr="00B275E2" w:rsidRDefault="005E2556" w:rsidP="00FD06E4">
            <w:pPr>
              <w:pStyle w:val="TableText"/>
              <w:spacing w:before="40" w:after="40"/>
              <w:rPr>
                <w:rFonts w:cs="Calibri"/>
                <w:szCs w:val="18"/>
              </w:rPr>
            </w:pPr>
            <w:r w:rsidRPr="00B275E2">
              <w:rPr>
                <w:rFonts w:cs="Calibri"/>
                <w:szCs w:val="18"/>
              </w:rPr>
              <w:t>C</w:t>
            </w:r>
            <w:r w:rsidRPr="00B275E2">
              <w:rPr>
                <w:rFonts w:cs="Calibri"/>
                <w:szCs w:val="18"/>
                <w:vertAlign w:val="subscript"/>
              </w:rPr>
              <w:t>10</w:t>
            </w:r>
            <w:r w:rsidRPr="00B275E2">
              <w:rPr>
                <w:rFonts w:cs="Calibri"/>
                <w:szCs w:val="18"/>
              </w:rPr>
              <w:t>F</w:t>
            </w:r>
            <w:r w:rsidRPr="00B275E2">
              <w:rPr>
                <w:rFonts w:cs="Calibri"/>
                <w:szCs w:val="18"/>
                <w:vertAlign w:val="subscript"/>
              </w:rPr>
              <w:t>18</w:t>
            </w:r>
          </w:p>
        </w:tc>
        <w:tc>
          <w:tcPr>
            <w:tcW w:w="709" w:type="dxa"/>
            <w:shd w:val="clear" w:color="auto" w:fill="auto"/>
            <w:tcMar>
              <w:left w:w="85" w:type="dxa"/>
              <w:right w:w="85" w:type="dxa"/>
            </w:tcMar>
            <w:hideMark/>
          </w:tcPr>
          <w:p w14:paraId="191BF1B9" w14:textId="6FA0A12D"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601507D8" w14:textId="730EB2BB" w:rsidR="005E2556" w:rsidRPr="00B275E2" w:rsidRDefault="005E2556" w:rsidP="00E627FC">
            <w:pPr>
              <w:pStyle w:val="TableText"/>
              <w:spacing w:before="40" w:after="40"/>
              <w:jc w:val="center"/>
              <w:rPr>
                <w:rFonts w:cs="Calibri"/>
                <w:szCs w:val="18"/>
              </w:rPr>
            </w:pPr>
            <w:r w:rsidRPr="00B275E2">
              <w:rPr>
                <w:rFonts w:cs="Calibri"/>
                <w:szCs w:val="18"/>
              </w:rPr>
              <w:t>7,500</w:t>
            </w:r>
          </w:p>
        </w:tc>
        <w:tc>
          <w:tcPr>
            <w:tcW w:w="1275" w:type="dxa"/>
            <w:shd w:val="clear" w:color="auto" w:fill="auto"/>
            <w:tcMar>
              <w:left w:w="85" w:type="dxa"/>
              <w:right w:w="85" w:type="dxa"/>
            </w:tcMar>
            <w:hideMark/>
          </w:tcPr>
          <w:p w14:paraId="21DAC7CE" w14:textId="15EBAA12" w:rsidR="005E2556" w:rsidRPr="00B275E2" w:rsidRDefault="005E2556" w:rsidP="00E627FC">
            <w:pPr>
              <w:pStyle w:val="TableText"/>
              <w:spacing w:before="40" w:after="40"/>
              <w:jc w:val="center"/>
              <w:rPr>
                <w:rFonts w:cs="Calibri"/>
                <w:szCs w:val="18"/>
              </w:rPr>
            </w:pPr>
            <w:r w:rsidRPr="00B275E2">
              <w:rPr>
                <w:rFonts w:cs="Calibri"/>
                <w:szCs w:val="18"/>
              </w:rPr>
              <w:t>7,190</w:t>
            </w:r>
          </w:p>
        </w:tc>
      </w:tr>
      <w:tr w:rsidR="005E2556" w:rsidRPr="00B275E2" w14:paraId="09541B47" w14:textId="77777777" w:rsidTr="00253FA5">
        <w:tc>
          <w:tcPr>
            <w:tcW w:w="3402" w:type="dxa"/>
            <w:shd w:val="clear" w:color="auto" w:fill="auto"/>
            <w:tcMar>
              <w:left w:w="85" w:type="dxa"/>
              <w:right w:w="85" w:type="dxa"/>
            </w:tcMar>
            <w:hideMark/>
          </w:tcPr>
          <w:p w14:paraId="083B0A58" w14:textId="77777777" w:rsidR="005E2556" w:rsidRPr="00B275E2" w:rsidRDefault="005E2556" w:rsidP="000E1F19">
            <w:pPr>
              <w:pStyle w:val="TableText"/>
              <w:spacing w:before="40" w:after="40"/>
              <w:rPr>
                <w:rFonts w:cs="Calibri"/>
                <w:szCs w:val="18"/>
              </w:rPr>
            </w:pPr>
            <w:r w:rsidRPr="00B275E2">
              <w:rPr>
                <w:rFonts w:cs="Calibri"/>
                <w:szCs w:val="18"/>
              </w:rPr>
              <w:t>Trifluoromethyl sulphur pentafluoride  </w:t>
            </w:r>
          </w:p>
        </w:tc>
        <w:tc>
          <w:tcPr>
            <w:tcW w:w="1843" w:type="dxa"/>
            <w:shd w:val="clear" w:color="auto" w:fill="auto"/>
            <w:tcMar>
              <w:left w:w="85" w:type="dxa"/>
              <w:right w:w="85" w:type="dxa"/>
            </w:tcMar>
            <w:hideMark/>
          </w:tcPr>
          <w:p w14:paraId="5C08904F" w14:textId="00542513" w:rsidR="005E2556" w:rsidRPr="00B275E2" w:rsidRDefault="005E2556" w:rsidP="00FD06E4">
            <w:pPr>
              <w:pStyle w:val="TableText"/>
              <w:spacing w:before="40" w:after="40"/>
              <w:rPr>
                <w:rFonts w:cs="Calibri"/>
                <w:szCs w:val="18"/>
              </w:rPr>
            </w:pPr>
            <w:r w:rsidRPr="00B275E2">
              <w:rPr>
                <w:rFonts w:cs="Calibri"/>
                <w:szCs w:val="18"/>
              </w:rPr>
              <w:t>SF</w:t>
            </w:r>
            <w:r w:rsidRPr="00B275E2">
              <w:rPr>
                <w:rFonts w:cs="Calibri"/>
                <w:szCs w:val="18"/>
                <w:vertAlign w:val="subscript"/>
              </w:rPr>
              <w:t>5</w:t>
            </w:r>
            <w:r w:rsidRPr="00B275E2">
              <w:rPr>
                <w:rFonts w:cs="Calibri"/>
                <w:szCs w:val="18"/>
              </w:rPr>
              <w:t>CF</w:t>
            </w:r>
            <w:r w:rsidRPr="00B275E2">
              <w:rPr>
                <w:rFonts w:cs="Calibri"/>
                <w:szCs w:val="18"/>
                <w:vertAlign w:val="subscript"/>
              </w:rPr>
              <w:t>3</w:t>
            </w:r>
          </w:p>
        </w:tc>
        <w:tc>
          <w:tcPr>
            <w:tcW w:w="709" w:type="dxa"/>
            <w:shd w:val="clear" w:color="auto" w:fill="auto"/>
            <w:tcMar>
              <w:left w:w="85" w:type="dxa"/>
              <w:right w:w="85" w:type="dxa"/>
            </w:tcMar>
            <w:hideMark/>
          </w:tcPr>
          <w:p w14:paraId="4F950555" w14:textId="371F08C5"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22FA7788" w14:textId="0CE82B04" w:rsidR="005E2556" w:rsidRPr="00B275E2" w:rsidRDefault="005E2556" w:rsidP="00E627FC">
            <w:pPr>
              <w:pStyle w:val="TableText"/>
              <w:spacing w:before="40" w:after="40"/>
              <w:jc w:val="center"/>
              <w:rPr>
                <w:rFonts w:cs="Calibri"/>
                <w:szCs w:val="18"/>
              </w:rPr>
            </w:pPr>
            <w:r w:rsidRPr="00B275E2">
              <w:rPr>
                <w:rFonts w:cs="Calibri"/>
                <w:szCs w:val="18"/>
              </w:rPr>
              <w:t>17,700</w:t>
            </w:r>
          </w:p>
        </w:tc>
        <w:tc>
          <w:tcPr>
            <w:tcW w:w="1275" w:type="dxa"/>
            <w:shd w:val="clear" w:color="auto" w:fill="auto"/>
            <w:tcMar>
              <w:left w:w="85" w:type="dxa"/>
              <w:right w:w="85" w:type="dxa"/>
            </w:tcMar>
            <w:hideMark/>
          </w:tcPr>
          <w:p w14:paraId="7DC85439" w14:textId="41C6EDF4" w:rsidR="005E2556" w:rsidRPr="00B275E2" w:rsidRDefault="005E2556" w:rsidP="00E627FC">
            <w:pPr>
              <w:pStyle w:val="TableText"/>
              <w:spacing w:before="40" w:after="40"/>
              <w:jc w:val="center"/>
              <w:rPr>
                <w:rFonts w:cs="Calibri"/>
                <w:szCs w:val="18"/>
              </w:rPr>
            </w:pPr>
            <w:r w:rsidRPr="00B275E2">
              <w:rPr>
                <w:rFonts w:cs="Calibri"/>
                <w:szCs w:val="18"/>
              </w:rPr>
              <w:t>17,400</w:t>
            </w:r>
          </w:p>
        </w:tc>
      </w:tr>
      <w:tr w:rsidR="005E2556" w:rsidRPr="00B275E2" w14:paraId="1571B0EF" w14:textId="77777777" w:rsidTr="00253FA5">
        <w:tc>
          <w:tcPr>
            <w:tcW w:w="3402" w:type="dxa"/>
            <w:shd w:val="clear" w:color="auto" w:fill="auto"/>
            <w:tcMar>
              <w:left w:w="85" w:type="dxa"/>
              <w:right w:w="85" w:type="dxa"/>
            </w:tcMar>
            <w:hideMark/>
          </w:tcPr>
          <w:p w14:paraId="7AA71CF9" w14:textId="77777777" w:rsidR="005E2556" w:rsidRPr="00B275E2" w:rsidRDefault="005E2556" w:rsidP="000E1F19">
            <w:pPr>
              <w:pStyle w:val="TableText"/>
              <w:spacing w:before="40" w:after="40"/>
              <w:rPr>
                <w:rFonts w:cs="Calibri"/>
                <w:szCs w:val="18"/>
              </w:rPr>
            </w:pPr>
            <w:r w:rsidRPr="00B275E2">
              <w:rPr>
                <w:rFonts w:cs="Calibri"/>
                <w:szCs w:val="18"/>
              </w:rPr>
              <w:t>Perfluorocyclopropane </w:t>
            </w:r>
          </w:p>
        </w:tc>
        <w:tc>
          <w:tcPr>
            <w:tcW w:w="1843" w:type="dxa"/>
            <w:shd w:val="clear" w:color="auto" w:fill="auto"/>
            <w:tcMar>
              <w:left w:w="85" w:type="dxa"/>
              <w:right w:w="85" w:type="dxa"/>
            </w:tcMar>
            <w:hideMark/>
          </w:tcPr>
          <w:p w14:paraId="780F86C6" w14:textId="3CA03041" w:rsidR="005E2556" w:rsidRPr="00B275E2" w:rsidRDefault="005E2556" w:rsidP="00FD06E4">
            <w:pPr>
              <w:pStyle w:val="TableText"/>
              <w:spacing w:before="40" w:after="40"/>
              <w:rPr>
                <w:rFonts w:cs="Calibri"/>
                <w:szCs w:val="18"/>
              </w:rPr>
            </w:pPr>
            <w:r w:rsidRPr="00B275E2">
              <w:rPr>
                <w:rFonts w:cs="Calibri"/>
                <w:szCs w:val="18"/>
              </w:rPr>
              <w:t>c-C</w:t>
            </w:r>
            <w:r w:rsidRPr="00B275E2">
              <w:rPr>
                <w:rFonts w:cs="Calibri"/>
                <w:szCs w:val="18"/>
                <w:vertAlign w:val="subscript"/>
              </w:rPr>
              <w:t>3</w:t>
            </w:r>
            <w:r w:rsidRPr="00B275E2">
              <w:rPr>
                <w:rFonts w:cs="Calibri"/>
                <w:szCs w:val="18"/>
              </w:rPr>
              <w:t>F</w:t>
            </w:r>
            <w:r w:rsidRPr="00B275E2">
              <w:rPr>
                <w:rFonts w:cs="Calibri"/>
                <w:szCs w:val="18"/>
                <w:vertAlign w:val="subscript"/>
              </w:rPr>
              <w:t>6</w:t>
            </w:r>
          </w:p>
        </w:tc>
        <w:tc>
          <w:tcPr>
            <w:tcW w:w="709" w:type="dxa"/>
            <w:shd w:val="clear" w:color="auto" w:fill="auto"/>
            <w:tcMar>
              <w:left w:w="85" w:type="dxa"/>
              <w:right w:w="85" w:type="dxa"/>
            </w:tcMar>
            <w:hideMark/>
          </w:tcPr>
          <w:p w14:paraId="06B23FC3" w14:textId="686808CD"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7F44C99E" w14:textId="07A377A5" w:rsidR="005E2556" w:rsidRPr="00B275E2" w:rsidRDefault="003D1A58" w:rsidP="00E627FC">
            <w:pPr>
              <w:pStyle w:val="TableText"/>
              <w:spacing w:before="40" w:after="40"/>
              <w:jc w:val="center"/>
              <w:rPr>
                <w:rFonts w:cs="Calibri"/>
                <w:szCs w:val="18"/>
              </w:rPr>
            </w:pPr>
            <w:r w:rsidRPr="00B275E2">
              <w:rPr>
                <w:rFonts w:cs="Calibri"/>
                <w:szCs w:val="18"/>
              </w:rPr>
              <w:t>n/a</w:t>
            </w:r>
          </w:p>
        </w:tc>
        <w:tc>
          <w:tcPr>
            <w:tcW w:w="1275" w:type="dxa"/>
            <w:shd w:val="clear" w:color="auto" w:fill="auto"/>
            <w:tcMar>
              <w:left w:w="85" w:type="dxa"/>
              <w:right w:w="85" w:type="dxa"/>
            </w:tcMar>
            <w:hideMark/>
          </w:tcPr>
          <w:p w14:paraId="0CF7B1EE" w14:textId="2531ABCA" w:rsidR="005E2556" w:rsidRPr="00B275E2" w:rsidRDefault="005E2556" w:rsidP="00E627FC">
            <w:pPr>
              <w:pStyle w:val="TableText"/>
              <w:spacing w:before="40" w:after="40"/>
              <w:jc w:val="center"/>
              <w:rPr>
                <w:rFonts w:cs="Calibri"/>
                <w:szCs w:val="18"/>
              </w:rPr>
            </w:pPr>
            <w:r w:rsidRPr="00B275E2">
              <w:rPr>
                <w:rFonts w:cs="Calibri"/>
                <w:szCs w:val="18"/>
              </w:rPr>
              <w:t>9,200</w:t>
            </w:r>
          </w:p>
        </w:tc>
      </w:tr>
      <w:tr w:rsidR="005E2556" w:rsidRPr="00B275E2" w14:paraId="3A9A2282" w14:textId="77777777" w:rsidTr="00253FA5">
        <w:tc>
          <w:tcPr>
            <w:tcW w:w="7230" w:type="dxa"/>
            <w:gridSpan w:val="4"/>
            <w:shd w:val="clear" w:color="auto" w:fill="D2DDE2"/>
            <w:tcMar>
              <w:left w:w="85" w:type="dxa"/>
              <w:right w:w="85" w:type="dxa"/>
            </w:tcMar>
            <w:hideMark/>
          </w:tcPr>
          <w:p w14:paraId="459D8083" w14:textId="4F087B44" w:rsidR="005E2556" w:rsidRPr="00B275E2" w:rsidRDefault="005E2556" w:rsidP="00FD06E4">
            <w:pPr>
              <w:pStyle w:val="TableText"/>
              <w:spacing w:before="40" w:after="40"/>
              <w:rPr>
                <w:rFonts w:cs="Calibri"/>
                <w:szCs w:val="18"/>
              </w:rPr>
            </w:pPr>
            <w:r w:rsidRPr="00B275E2">
              <w:rPr>
                <w:rFonts w:cs="Calibri"/>
                <w:b/>
                <w:bCs/>
                <w:szCs w:val="18"/>
              </w:rPr>
              <w:t>Fluorinated ethers</w:t>
            </w:r>
          </w:p>
        </w:tc>
        <w:tc>
          <w:tcPr>
            <w:tcW w:w="1275" w:type="dxa"/>
            <w:shd w:val="clear" w:color="auto" w:fill="D2DDE2"/>
            <w:tcMar>
              <w:left w:w="85" w:type="dxa"/>
              <w:right w:w="85" w:type="dxa"/>
            </w:tcMar>
            <w:hideMark/>
          </w:tcPr>
          <w:p w14:paraId="46580A90" w14:textId="7D983CB8" w:rsidR="005E2556" w:rsidRPr="00B275E2" w:rsidRDefault="005E2556" w:rsidP="00E627FC">
            <w:pPr>
              <w:pStyle w:val="TableText"/>
              <w:spacing w:before="40" w:after="40"/>
              <w:jc w:val="center"/>
              <w:rPr>
                <w:rFonts w:cs="Calibri"/>
                <w:szCs w:val="18"/>
              </w:rPr>
            </w:pPr>
          </w:p>
        </w:tc>
      </w:tr>
      <w:tr w:rsidR="005E2556" w:rsidRPr="00B275E2" w14:paraId="43639BC9" w14:textId="77777777" w:rsidTr="00253FA5">
        <w:tc>
          <w:tcPr>
            <w:tcW w:w="3402" w:type="dxa"/>
            <w:shd w:val="clear" w:color="auto" w:fill="auto"/>
            <w:tcMar>
              <w:left w:w="85" w:type="dxa"/>
              <w:right w:w="85" w:type="dxa"/>
            </w:tcMar>
            <w:hideMark/>
          </w:tcPr>
          <w:p w14:paraId="462ABA28" w14:textId="667C622A" w:rsidR="005E2556" w:rsidRPr="00B275E2" w:rsidRDefault="005E2556" w:rsidP="000E1F19">
            <w:pPr>
              <w:pStyle w:val="TableText"/>
              <w:spacing w:before="40" w:after="40"/>
              <w:rPr>
                <w:rFonts w:cs="Calibri"/>
                <w:szCs w:val="18"/>
              </w:rPr>
            </w:pPr>
            <w:r w:rsidRPr="00B275E2">
              <w:rPr>
                <w:rFonts w:cs="Calibri"/>
                <w:szCs w:val="18"/>
              </w:rPr>
              <w:t>HFE-125</w:t>
            </w:r>
            <w:r w:rsidR="00A42624" w:rsidRPr="00B275E2">
              <w:rPr>
                <w:rFonts w:cs="Calibri"/>
                <w:szCs w:val="18"/>
              </w:rPr>
              <w:t xml:space="preserve"> </w:t>
            </w:r>
          </w:p>
        </w:tc>
        <w:tc>
          <w:tcPr>
            <w:tcW w:w="1843" w:type="dxa"/>
            <w:shd w:val="clear" w:color="auto" w:fill="auto"/>
            <w:tcMar>
              <w:left w:w="85" w:type="dxa"/>
              <w:right w:w="85" w:type="dxa"/>
            </w:tcMar>
            <w:hideMark/>
          </w:tcPr>
          <w:p w14:paraId="70345DB4" w14:textId="7A267C7B" w:rsidR="005E2556" w:rsidRPr="00B275E2" w:rsidRDefault="005E2556" w:rsidP="00FD06E4">
            <w:pPr>
              <w:pStyle w:val="TableText"/>
              <w:spacing w:before="40" w:after="40"/>
              <w:rPr>
                <w:rFonts w:cs="Calibri"/>
                <w:szCs w:val="18"/>
              </w:rPr>
            </w:pPr>
            <w:r w:rsidRPr="00B275E2">
              <w:rPr>
                <w:rFonts w:cs="Calibri"/>
                <w:szCs w:val="18"/>
              </w:rPr>
              <w:t>CHF</w:t>
            </w:r>
            <w:r w:rsidRPr="00B275E2">
              <w:rPr>
                <w:rFonts w:cs="Calibri"/>
                <w:szCs w:val="18"/>
                <w:vertAlign w:val="subscript"/>
              </w:rPr>
              <w:t>2</w:t>
            </w:r>
            <w:r w:rsidRPr="00B275E2">
              <w:rPr>
                <w:rFonts w:cs="Calibri"/>
                <w:szCs w:val="18"/>
              </w:rPr>
              <w:t>OCF</w:t>
            </w:r>
            <w:r w:rsidRPr="00B275E2">
              <w:rPr>
                <w:rFonts w:cs="Calibri"/>
                <w:szCs w:val="18"/>
                <w:vertAlign w:val="subscript"/>
              </w:rPr>
              <w:t>3</w:t>
            </w:r>
          </w:p>
        </w:tc>
        <w:tc>
          <w:tcPr>
            <w:tcW w:w="709" w:type="dxa"/>
            <w:shd w:val="clear" w:color="auto" w:fill="auto"/>
            <w:tcMar>
              <w:left w:w="85" w:type="dxa"/>
              <w:right w:w="85" w:type="dxa"/>
            </w:tcMar>
            <w:hideMark/>
          </w:tcPr>
          <w:p w14:paraId="23FBC60B" w14:textId="31827CFC"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0CE94D05" w14:textId="545E64F7" w:rsidR="005E2556" w:rsidRPr="00B275E2" w:rsidRDefault="005E2556" w:rsidP="00E627FC">
            <w:pPr>
              <w:pStyle w:val="TableText"/>
              <w:spacing w:before="40" w:after="40"/>
              <w:jc w:val="center"/>
              <w:rPr>
                <w:rFonts w:cs="Calibri"/>
                <w:szCs w:val="18"/>
              </w:rPr>
            </w:pPr>
            <w:r w:rsidRPr="00B275E2">
              <w:rPr>
                <w:rFonts w:cs="Calibri"/>
                <w:szCs w:val="18"/>
              </w:rPr>
              <w:t>14,900</w:t>
            </w:r>
          </w:p>
        </w:tc>
        <w:tc>
          <w:tcPr>
            <w:tcW w:w="1275" w:type="dxa"/>
            <w:shd w:val="clear" w:color="auto" w:fill="auto"/>
            <w:tcMar>
              <w:left w:w="85" w:type="dxa"/>
              <w:right w:w="85" w:type="dxa"/>
            </w:tcMar>
            <w:hideMark/>
          </w:tcPr>
          <w:p w14:paraId="6D3C750E" w14:textId="445436F7" w:rsidR="005E2556" w:rsidRPr="00B275E2" w:rsidRDefault="005E2556" w:rsidP="00E627FC">
            <w:pPr>
              <w:pStyle w:val="TableText"/>
              <w:spacing w:before="40" w:after="40"/>
              <w:jc w:val="center"/>
              <w:rPr>
                <w:rFonts w:cs="Calibri"/>
                <w:szCs w:val="18"/>
              </w:rPr>
            </w:pPr>
            <w:r w:rsidRPr="00B275E2">
              <w:rPr>
                <w:rFonts w:cs="Calibri"/>
                <w:szCs w:val="18"/>
              </w:rPr>
              <w:t>12,400</w:t>
            </w:r>
          </w:p>
        </w:tc>
      </w:tr>
      <w:tr w:rsidR="005E2556" w:rsidRPr="00B275E2" w14:paraId="22A6E95C" w14:textId="77777777" w:rsidTr="00253FA5">
        <w:tc>
          <w:tcPr>
            <w:tcW w:w="3402" w:type="dxa"/>
            <w:shd w:val="clear" w:color="auto" w:fill="auto"/>
            <w:tcMar>
              <w:left w:w="85" w:type="dxa"/>
              <w:right w:w="85" w:type="dxa"/>
            </w:tcMar>
            <w:hideMark/>
          </w:tcPr>
          <w:p w14:paraId="5F5C580B" w14:textId="371ABEFD" w:rsidR="005E2556" w:rsidRPr="00B275E2" w:rsidRDefault="005E2556" w:rsidP="000E1F19">
            <w:pPr>
              <w:pStyle w:val="TableText"/>
              <w:spacing w:before="40" w:after="40"/>
              <w:rPr>
                <w:rFonts w:cs="Calibri"/>
                <w:szCs w:val="18"/>
              </w:rPr>
            </w:pPr>
            <w:r w:rsidRPr="00B275E2">
              <w:rPr>
                <w:rFonts w:cs="Calibri"/>
                <w:szCs w:val="18"/>
              </w:rPr>
              <w:t>HFE-134</w:t>
            </w:r>
            <w:r w:rsidR="00A42624" w:rsidRPr="00B275E2">
              <w:rPr>
                <w:rFonts w:cs="Calibri"/>
                <w:szCs w:val="18"/>
              </w:rPr>
              <w:t xml:space="preserve"> </w:t>
            </w:r>
          </w:p>
        </w:tc>
        <w:tc>
          <w:tcPr>
            <w:tcW w:w="1843" w:type="dxa"/>
            <w:shd w:val="clear" w:color="auto" w:fill="auto"/>
            <w:tcMar>
              <w:left w:w="85" w:type="dxa"/>
              <w:right w:w="85" w:type="dxa"/>
            </w:tcMar>
            <w:hideMark/>
          </w:tcPr>
          <w:p w14:paraId="74AA78A8" w14:textId="7601A496" w:rsidR="005E2556" w:rsidRPr="00B275E2" w:rsidRDefault="005E2556" w:rsidP="00FD06E4">
            <w:pPr>
              <w:pStyle w:val="TableText"/>
              <w:spacing w:before="40" w:after="40"/>
              <w:rPr>
                <w:rFonts w:cs="Calibri"/>
                <w:szCs w:val="18"/>
              </w:rPr>
            </w:pPr>
            <w:r w:rsidRPr="00B275E2">
              <w:rPr>
                <w:rFonts w:cs="Calibri"/>
                <w:szCs w:val="18"/>
              </w:rPr>
              <w:t>CHF</w:t>
            </w:r>
            <w:r w:rsidRPr="00B275E2">
              <w:rPr>
                <w:rFonts w:cs="Calibri"/>
                <w:szCs w:val="18"/>
                <w:vertAlign w:val="subscript"/>
              </w:rPr>
              <w:t>2</w:t>
            </w:r>
            <w:r w:rsidRPr="00B275E2">
              <w:rPr>
                <w:rFonts w:cs="Calibri"/>
                <w:szCs w:val="18"/>
              </w:rPr>
              <w:t>OCHF</w:t>
            </w:r>
            <w:r w:rsidRPr="00B275E2">
              <w:rPr>
                <w:rFonts w:cs="Calibri"/>
                <w:szCs w:val="18"/>
                <w:vertAlign w:val="subscript"/>
              </w:rPr>
              <w:t>2</w:t>
            </w:r>
          </w:p>
        </w:tc>
        <w:tc>
          <w:tcPr>
            <w:tcW w:w="709" w:type="dxa"/>
            <w:shd w:val="clear" w:color="auto" w:fill="auto"/>
            <w:tcMar>
              <w:left w:w="85" w:type="dxa"/>
              <w:right w:w="85" w:type="dxa"/>
            </w:tcMar>
            <w:hideMark/>
          </w:tcPr>
          <w:p w14:paraId="4AE3BCFE" w14:textId="381414EA"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1DD62EC6" w14:textId="6DCD7666" w:rsidR="005E2556" w:rsidRPr="00B275E2" w:rsidRDefault="005E2556" w:rsidP="00E627FC">
            <w:pPr>
              <w:pStyle w:val="TableText"/>
              <w:spacing w:before="40" w:after="40"/>
              <w:jc w:val="center"/>
              <w:rPr>
                <w:rFonts w:cs="Calibri"/>
                <w:szCs w:val="18"/>
              </w:rPr>
            </w:pPr>
            <w:r w:rsidRPr="00B275E2">
              <w:rPr>
                <w:rFonts w:cs="Calibri"/>
                <w:szCs w:val="18"/>
              </w:rPr>
              <w:t>6,320</w:t>
            </w:r>
          </w:p>
        </w:tc>
        <w:tc>
          <w:tcPr>
            <w:tcW w:w="1275" w:type="dxa"/>
            <w:shd w:val="clear" w:color="auto" w:fill="auto"/>
            <w:tcMar>
              <w:left w:w="85" w:type="dxa"/>
              <w:right w:w="85" w:type="dxa"/>
            </w:tcMar>
            <w:hideMark/>
          </w:tcPr>
          <w:p w14:paraId="3CCD14E2" w14:textId="7E440AA2" w:rsidR="005E2556" w:rsidRPr="00B275E2" w:rsidRDefault="005E2556" w:rsidP="00E627FC">
            <w:pPr>
              <w:pStyle w:val="TableText"/>
              <w:spacing w:before="40" w:after="40"/>
              <w:jc w:val="center"/>
              <w:rPr>
                <w:rFonts w:cs="Calibri"/>
                <w:szCs w:val="18"/>
              </w:rPr>
            </w:pPr>
            <w:r w:rsidRPr="00B275E2">
              <w:rPr>
                <w:rFonts w:cs="Calibri"/>
                <w:szCs w:val="18"/>
              </w:rPr>
              <w:t>5,560</w:t>
            </w:r>
          </w:p>
        </w:tc>
      </w:tr>
      <w:tr w:rsidR="005E2556" w:rsidRPr="00B275E2" w14:paraId="723C9CAD" w14:textId="77777777" w:rsidTr="00253FA5">
        <w:tc>
          <w:tcPr>
            <w:tcW w:w="3402" w:type="dxa"/>
            <w:shd w:val="clear" w:color="auto" w:fill="auto"/>
            <w:tcMar>
              <w:left w:w="85" w:type="dxa"/>
              <w:right w:w="85" w:type="dxa"/>
            </w:tcMar>
            <w:hideMark/>
          </w:tcPr>
          <w:p w14:paraId="78533E4B" w14:textId="4ABD51D1" w:rsidR="005E2556" w:rsidRPr="00B275E2" w:rsidRDefault="005E2556" w:rsidP="000E1F19">
            <w:pPr>
              <w:pStyle w:val="TableText"/>
              <w:spacing w:before="40" w:after="40"/>
              <w:rPr>
                <w:rFonts w:cs="Calibri"/>
                <w:szCs w:val="18"/>
              </w:rPr>
            </w:pPr>
            <w:r w:rsidRPr="00B275E2">
              <w:rPr>
                <w:rFonts w:cs="Calibri"/>
                <w:szCs w:val="18"/>
              </w:rPr>
              <w:t>HFE-143a</w:t>
            </w:r>
            <w:r w:rsidR="00A42624" w:rsidRPr="00B275E2">
              <w:rPr>
                <w:rFonts w:cs="Calibri"/>
                <w:szCs w:val="18"/>
              </w:rPr>
              <w:t xml:space="preserve"> </w:t>
            </w:r>
          </w:p>
        </w:tc>
        <w:tc>
          <w:tcPr>
            <w:tcW w:w="1843" w:type="dxa"/>
            <w:shd w:val="clear" w:color="auto" w:fill="auto"/>
            <w:tcMar>
              <w:left w:w="85" w:type="dxa"/>
              <w:right w:w="85" w:type="dxa"/>
            </w:tcMar>
            <w:hideMark/>
          </w:tcPr>
          <w:p w14:paraId="2C89B537" w14:textId="757329C0" w:rsidR="005E2556" w:rsidRPr="00B275E2" w:rsidRDefault="005E2556" w:rsidP="00FD06E4">
            <w:pPr>
              <w:pStyle w:val="TableText"/>
              <w:spacing w:before="40" w:after="40"/>
              <w:rPr>
                <w:rFonts w:cs="Calibri"/>
                <w:szCs w:val="18"/>
              </w:rPr>
            </w:pPr>
            <w:r w:rsidRPr="00B275E2">
              <w:rPr>
                <w:rFonts w:cs="Calibri"/>
                <w:szCs w:val="18"/>
              </w:rPr>
              <w:t>CH</w:t>
            </w:r>
            <w:r w:rsidRPr="00B275E2">
              <w:rPr>
                <w:rFonts w:cs="Calibri"/>
                <w:szCs w:val="18"/>
                <w:vertAlign w:val="subscript"/>
              </w:rPr>
              <w:t>3</w:t>
            </w:r>
            <w:r w:rsidRPr="00B275E2">
              <w:rPr>
                <w:rFonts w:cs="Calibri"/>
                <w:szCs w:val="18"/>
              </w:rPr>
              <w:t>OCF</w:t>
            </w:r>
            <w:r w:rsidRPr="00B275E2">
              <w:rPr>
                <w:rFonts w:cs="Calibri"/>
                <w:szCs w:val="18"/>
                <w:vertAlign w:val="subscript"/>
              </w:rPr>
              <w:t>3</w:t>
            </w:r>
          </w:p>
        </w:tc>
        <w:tc>
          <w:tcPr>
            <w:tcW w:w="709" w:type="dxa"/>
            <w:shd w:val="clear" w:color="auto" w:fill="auto"/>
            <w:tcMar>
              <w:left w:w="85" w:type="dxa"/>
              <w:right w:w="85" w:type="dxa"/>
            </w:tcMar>
            <w:hideMark/>
          </w:tcPr>
          <w:p w14:paraId="39F9BD19" w14:textId="5E15954C"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3CD831D0" w14:textId="1358D221" w:rsidR="005E2556" w:rsidRPr="00B275E2" w:rsidRDefault="005E2556" w:rsidP="00E627FC">
            <w:pPr>
              <w:pStyle w:val="TableText"/>
              <w:spacing w:before="40" w:after="40"/>
              <w:jc w:val="center"/>
              <w:rPr>
                <w:rFonts w:cs="Calibri"/>
                <w:szCs w:val="18"/>
              </w:rPr>
            </w:pPr>
            <w:r w:rsidRPr="00B275E2">
              <w:rPr>
                <w:rFonts w:cs="Calibri"/>
                <w:szCs w:val="18"/>
              </w:rPr>
              <w:t>756</w:t>
            </w:r>
          </w:p>
        </w:tc>
        <w:tc>
          <w:tcPr>
            <w:tcW w:w="1275" w:type="dxa"/>
            <w:shd w:val="clear" w:color="auto" w:fill="auto"/>
            <w:tcMar>
              <w:left w:w="85" w:type="dxa"/>
              <w:right w:w="85" w:type="dxa"/>
            </w:tcMar>
            <w:hideMark/>
          </w:tcPr>
          <w:p w14:paraId="4CFBC836" w14:textId="5181F768" w:rsidR="005E2556" w:rsidRPr="00B275E2" w:rsidRDefault="005E2556" w:rsidP="00E627FC">
            <w:pPr>
              <w:pStyle w:val="TableText"/>
              <w:spacing w:before="40" w:after="40"/>
              <w:jc w:val="center"/>
              <w:rPr>
                <w:rFonts w:cs="Calibri"/>
                <w:szCs w:val="18"/>
              </w:rPr>
            </w:pPr>
            <w:r w:rsidRPr="00B275E2">
              <w:rPr>
                <w:rFonts w:cs="Calibri"/>
                <w:szCs w:val="18"/>
              </w:rPr>
              <w:t>523</w:t>
            </w:r>
          </w:p>
        </w:tc>
      </w:tr>
      <w:tr w:rsidR="005E2556" w:rsidRPr="00B275E2" w14:paraId="3956128E" w14:textId="77777777" w:rsidTr="00253FA5">
        <w:tc>
          <w:tcPr>
            <w:tcW w:w="3402" w:type="dxa"/>
            <w:shd w:val="clear" w:color="auto" w:fill="auto"/>
            <w:tcMar>
              <w:left w:w="85" w:type="dxa"/>
              <w:right w:w="85" w:type="dxa"/>
            </w:tcMar>
            <w:hideMark/>
          </w:tcPr>
          <w:p w14:paraId="1A53899E" w14:textId="77777777" w:rsidR="005E2556" w:rsidRPr="00B275E2" w:rsidRDefault="005E2556" w:rsidP="000E1F19">
            <w:pPr>
              <w:pStyle w:val="TableText"/>
              <w:spacing w:before="40" w:after="40"/>
              <w:rPr>
                <w:rFonts w:cs="Calibri"/>
                <w:szCs w:val="18"/>
              </w:rPr>
            </w:pPr>
            <w:r w:rsidRPr="00B275E2">
              <w:rPr>
                <w:rFonts w:cs="Calibri"/>
                <w:szCs w:val="18"/>
              </w:rPr>
              <w:t>HFE-227ea </w:t>
            </w:r>
          </w:p>
        </w:tc>
        <w:tc>
          <w:tcPr>
            <w:tcW w:w="1843" w:type="dxa"/>
            <w:shd w:val="clear" w:color="auto" w:fill="auto"/>
            <w:tcMar>
              <w:left w:w="85" w:type="dxa"/>
              <w:right w:w="85" w:type="dxa"/>
            </w:tcMar>
            <w:hideMark/>
          </w:tcPr>
          <w:p w14:paraId="11D3341D" w14:textId="7D0D69D6" w:rsidR="005E2556" w:rsidRPr="00B275E2" w:rsidRDefault="005E2556" w:rsidP="00FD06E4">
            <w:pPr>
              <w:pStyle w:val="TableText"/>
              <w:spacing w:before="40" w:after="40"/>
              <w:rPr>
                <w:rFonts w:cs="Calibri"/>
                <w:szCs w:val="18"/>
              </w:rPr>
            </w:pPr>
            <w:r w:rsidRPr="00B275E2">
              <w:rPr>
                <w:rFonts w:cs="Calibri"/>
                <w:szCs w:val="18"/>
              </w:rPr>
              <w:t>CF</w:t>
            </w:r>
            <w:r w:rsidRPr="00B275E2">
              <w:rPr>
                <w:rFonts w:cs="Calibri"/>
                <w:szCs w:val="18"/>
                <w:vertAlign w:val="subscript"/>
              </w:rPr>
              <w:t>3</w:t>
            </w:r>
            <w:r w:rsidRPr="00B275E2">
              <w:rPr>
                <w:rFonts w:cs="Calibri"/>
                <w:szCs w:val="18"/>
              </w:rPr>
              <w:t>CHFOCF</w:t>
            </w:r>
            <w:r w:rsidRPr="00B275E2">
              <w:rPr>
                <w:rFonts w:cs="Calibri"/>
                <w:szCs w:val="18"/>
                <w:vertAlign w:val="subscript"/>
              </w:rPr>
              <w:t>3</w:t>
            </w:r>
          </w:p>
        </w:tc>
        <w:tc>
          <w:tcPr>
            <w:tcW w:w="709" w:type="dxa"/>
            <w:shd w:val="clear" w:color="auto" w:fill="auto"/>
            <w:tcMar>
              <w:left w:w="85" w:type="dxa"/>
              <w:right w:w="85" w:type="dxa"/>
            </w:tcMar>
            <w:hideMark/>
          </w:tcPr>
          <w:p w14:paraId="6E82FB79" w14:textId="06A21FCC"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31F640FA" w14:textId="01FD2C33" w:rsidR="005E2556" w:rsidRPr="00B275E2" w:rsidRDefault="005E2556" w:rsidP="00E627FC">
            <w:pPr>
              <w:pStyle w:val="TableText"/>
              <w:spacing w:before="40" w:after="40"/>
              <w:jc w:val="center"/>
              <w:rPr>
                <w:rFonts w:cs="Calibri"/>
                <w:szCs w:val="18"/>
              </w:rPr>
            </w:pPr>
            <w:r w:rsidRPr="00B275E2">
              <w:rPr>
                <w:rFonts w:cs="Calibri"/>
                <w:szCs w:val="18"/>
              </w:rPr>
              <w:t>n/a</w:t>
            </w:r>
          </w:p>
        </w:tc>
        <w:tc>
          <w:tcPr>
            <w:tcW w:w="1275" w:type="dxa"/>
            <w:shd w:val="clear" w:color="auto" w:fill="auto"/>
            <w:tcMar>
              <w:left w:w="85" w:type="dxa"/>
              <w:right w:w="85" w:type="dxa"/>
            </w:tcMar>
            <w:hideMark/>
          </w:tcPr>
          <w:p w14:paraId="4F277F93" w14:textId="689544B7" w:rsidR="005E2556" w:rsidRPr="00B275E2" w:rsidRDefault="005E2556" w:rsidP="00E627FC">
            <w:pPr>
              <w:pStyle w:val="TableText"/>
              <w:spacing w:before="40" w:after="40"/>
              <w:jc w:val="center"/>
              <w:rPr>
                <w:rFonts w:cs="Calibri"/>
                <w:szCs w:val="18"/>
              </w:rPr>
            </w:pPr>
            <w:r w:rsidRPr="00B275E2">
              <w:rPr>
                <w:rFonts w:cs="Calibri"/>
                <w:szCs w:val="18"/>
              </w:rPr>
              <w:t>6,450</w:t>
            </w:r>
          </w:p>
        </w:tc>
      </w:tr>
      <w:tr w:rsidR="005E2556" w:rsidRPr="00B275E2" w14:paraId="1CCF4C3D" w14:textId="77777777" w:rsidTr="00253FA5">
        <w:tc>
          <w:tcPr>
            <w:tcW w:w="3402" w:type="dxa"/>
            <w:shd w:val="clear" w:color="auto" w:fill="auto"/>
            <w:tcMar>
              <w:left w:w="85" w:type="dxa"/>
              <w:right w:w="85" w:type="dxa"/>
            </w:tcMar>
            <w:hideMark/>
          </w:tcPr>
          <w:p w14:paraId="3612977F" w14:textId="6C11DCFA" w:rsidR="005E2556" w:rsidRPr="00B275E2" w:rsidRDefault="005E2556" w:rsidP="000E1F19">
            <w:pPr>
              <w:pStyle w:val="TableText"/>
              <w:spacing w:before="40" w:after="40"/>
              <w:rPr>
                <w:rFonts w:cs="Calibri"/>
                <w:szCs w:val="18"/>
              </w:rPr>
            </w:pPr>
            <w:r w:rsidRPr="00B275E2">
              <w:rPr>
                <w:rFonts w:cs="Calibri"/>
                <w:szCs w:val="18"/>
              </w:rPr>
              <w:t>HCFE-235da2</w:t>
            </w:r>
            <w:r w:rsidR="00A42624" w:rsidRPr="00B275E2">
              <w:rPr>
                <w:rFonts w:cs="Calibri"/>
                <w:szCs w:val="18"/>
              </w:rPr>
              <w:t xml:space="preserve"> </w:t>
            </w:r>
          </w:p>
        </w:tc>
        <w:tc>
          <w:tcPr>
            <w:tcW w:w="1843" w:type="dxa"/>
            <w:shd w:val="clear" w:color="auto" w:fill="auto"/>
            <w:tcMar>
              <w:left w:w="85" w:type="dxa"/>
              <w:right w:w="85" w:type="dxa"/>
            </w:tcMar>
            <w:hideMark/>
          </w:tcPr>
          <w:p w14:paraId="024AA8AD" w14:textId="14AA7BB3" w:rsidR="005E2556" w:rsidRPr="00B275E2" w:rsidRDefault="005E2556" w:rsidP="00FD06E4">
            <w:pPr>
              <w:pStyle w:val="TableText"/>
              <w:spacing w:before="40" w:after="40"/>
              <w:rPr>
                <w:rFonts w:cs="Calibri"/>
                <w:szCs w:val="18"/>
              </w:rPr>
            </w:pPr>
            <w:r w:rsidRPr="00B275E2">
              <w:rPr>
                <w:rFonts w:cs="Calibri"/>
                <w:szCs w:val="18"/>
              </w:rPr>
              <w:t>CHF</w:t>
            </w:r>
            <w:r w:rsidRPr="00B275E2">
              <w:rPr>
                <w:rFonts w:cs="Calibri"/>
                <w:szCs w:val="18"/>
                <w:vertAlign w:val="subscript"/>
              </w:rPr>
              <w:t>2</w:t>
            </w:r>
            <w:r w:rsidRPr="00B275E2">
              <w:rPr>
                <w:rFonts w:cs="Calibri"/>
                <w:szCs w:val="18"/>
              </w:rPr>
              <w:t>OCHClCF</w:t>
            </w:r>
            <w:r w:rsidRPr="00B275E2">
              <w:rPr>
                <w:rFonts w:cs="Calibri"/>
                <w:szCs w:val="18"/>
                <w:vertAlign w:val="subscript"/>
              </w:rPr>
              <w:t>3</w:t>
            </w:r>
          </w:p>
        </w:tc>
        <w:tc>
          <w:tcPr>
            <w:tcW w:w="709" w:type="dxa"/>
            <w:shd w:val="clear" w:color="auto" w:fill="auto"/>
            <w:tcMar>
              <w:left w:w="85" w:type="dxa"/>
              <w:right w:w="85" w:type="dxa"/>
            </w:tcMar>
            <w:hideMark/>
          </w:tcPr>
          <w:p w14:paraId="0535978B" w14:textId="6B584A68"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740366CB" w14:textId="417A166C" w:rsidR="005E2556" w:rsidRPr="00B275E2" w:rsidRDefault="005E2556" w:rsidP="00E627FC">
            <w:pPr>
              <w:pStyle w:val="TableText"/>
              <w:spacing w:before="40" w:after="40"/>
              <w:jc w:val="center"/>
              <w:rPr>
                <w:rFonts w:cs="Calibri"/>
                <w:szCs w:val="18"/>
              </w:rPr>
            </w:pPr>
            <w:r w:rsidRPr="00B275E2">
              <w:rPr>
                <w:rFonts w:cs="Calibri"/>
                <w:szCs w:val="18"/>
              </w:rPr>
              <w:t>350</w:t>
            </w:r>
          </w:p>
        </w:tc>
        <w:tc>
          <w:tcPr>
            <w:tcW w:w="1275" w:type="dxa"/>
            <w:shd w:val="clear" w:color="auto" w:fill="auto"/>
            <w:tcMar>
              <w:left w:w="85" w:type="dxa"/>
              <w:right w:w="85" w:type="dxa"/>
            </w:tcMar>
            <w:hideMark/>
          </w:tcPr>
          <w:p w14:paraId="418B6C87" w14:textId="03BAF3F8" w:rsidR="005E2556" w:rsidRPr="00B275E2" w:rsidRDefault="005E2556" w:rsidP="00E627FC">
            <w:pPr>
              <w:pStyle w:val="TableText"/>
              <w:spacing w:before="40" w:after="40"/>
              <w:jc w:val="center"/>
              <w:rPr>
                <w:rFonts w:cs="Calibri"/>
                <w:szCs w:val="18"/>
              </w:rPr>
            </w:pPr>
            <w:r w:rsidRPr="00B275E2">
              <w:rPr>
                <w:rFonts w:cs="Calibri"/>
                <w:szCs w:val="18"/>
              </w:rPr>
              <w:t>491</w:t>
            </w:r>
          </w:p>
        </w:tc>
      </w:tr>
      <w:tr w:rsidR="005E2556" w:rsidRPr="00B275E2" w14:paraId="3C2D04BD" w14:textId="77777777" w:rsidTr="00253FA5">
        <w:tc>
          <w:tcPr>
            <w:tcW w:w="3402" w:type="dxa"/>
            <w:shd w:val="clear" w:color="auto" w:fill="auto"/>
            <w:tcMar>
              <w:left w:w="85" w:type="dxa"/>
              <w:right w:w="85" w:type="dxa"/>
            </w:tcMar>
            <w:hideMark/>
          </w:tcPr>
          <w:p w14:paraId="57AC87CA" w14:textId="77777777" w:rsidR="005E2556" w:rsidRPr="00B275E2" w:rsidRDefault="005E2556" w:rsidP="000E1F19">
            <w:pPr>
              <w:pStyle w:val="TableText"/>
              <w:spacing w:before="40" w:after="40"/>
              <w:rPr>
                <w:rFonts w:cs="Calibri"/>
                <w:szCs w:val="18"/>
              </w:rPr>
            </w:pPr>
            <w:r w:rsidRPr="00B275E2">
              <w:rPr>
                <w:rFonts w:cs="Calibri"/>
                <w:szCs w:val="18"/>
              </w:rPr>
              <w:t>HFE-236ea2 </w:t>
            </w:r>
          </w:p>
        </w:tc>
        <w:tc>
          <w:tcPr>
            <w:tcW w:w="1843" w:type="dxa"/>
            <w:shd w:val="clear" w:color="auto" w:fill="auto"/>
            <w:tcMar>
              <w:left w:w="85" w:type="dxa"/>
              <w:right w:w="85" w:type="dxa"/>
            </w:tcMar>
            <w:hideMark/>
          </w:tcPr>
          <w:p w14:paraId="10E2431A" w14:textId="352B6374" w:rsidR="005E2556" w:rsidRPr="00B275E2" w:rsidRDefault="005E2556" w:rsidP="00FD06E4">
            <w:pPr>
              <w:pStyle w:val="TableText"/>
              <w:spacing w:before="40" w:after="40"/>
              <w:rPr>
                <w:rFonts w:cs="Calibri"/>
                <w:szCs w:val="18"/>
              </w:rPr>
            </w:pPr>
            <w:r w:rsidRPr="00B275E2">
              <w:rPr>
                <w:rFonts w:cs="Calibri"/>
                <w:szCs w:val="18"/>
              </w:rPr>
              <w:t>CHF</w:t>
            </w:r>
            <w:r w:rsidRPr="00B275E2">
              <w:rPr>
                <w:rFonts w:cs="Calibri"/>
                <w:szCs w:val="18"/>
                <w:vertAlign w:val="subscript"/>
              </w:rPr>
              <w:t>2</w:t>
            </w:r>
            <w:r w:rsidRPr="00B275E2">
              <w:rPr>
                <w:rFonts w:cs="Calibri"/>
                <w:szCs w:val="18"/>
              </w:rPr>
              <w:t>OCHFCF</w:t>
            </w:r>
            <w:r w:rsidRPr="00B275E2">
              <w:rPr>
                <w:rFonts w:cs="Calibri"/>
                <w:szCs w:val="18"/>
                <w:vertAlign w:val="subscript"/>
              </w:rPr>
              <w:t>3</w:t>
            </w:r>
          </w:p>
        </w:tc>
        <w:tc>
          <w:tcPr>
            <w:tcW w:w="709" w:type="dxa"/>
            <w:shd w:val="clear" w:color="auto" w:fill="auto"/>
            <w:tcMar>
              <w:left w:w="85" w:type="dxa"/>
              <w:right w:w="85" w:type="dxa"/>
            </w:tcMar>
            <w:hideMark/>
          </w:tcPr>
          <w:p w14:paraId="5334F371" w14:textId="5C9333BA"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316C1C54" w14:textId="362E368E" w:rsidR="005E2556" w:rsidRPr="00B275E2" w:rsidRDefault="005E2556" w:rsidP="00E627FC">
            <w:pPr>
              <w:pStyle w:val="TableText"/>
              <w:spacing w:before="40" w:after="40"/>
              <w:jc w:val="center"/>
              <w:rPr>
                <w:rFonts w:cs="Calibri"/>
                <w:szCs w:val="18"/>
              </w:rPr>
            </w:pPr>
            <w:r w:rsidRPr="00B275E2">
              <w:rPr>
                <w:rFonts w:cs="Calibri"/>
                <w:szCs w:val="18"/>
              </w:rPr>
              <w:t>n/a</w:t>
            </w:r>
          </w:p>
        </w:tc>
        <w:tc>
          <w:tcPr>
            <w:tcW w:w="1275" w:type="dxa"/>
            <w:shd w:val="clear" w:color="auto" w:fill="auto"/>
            <w:tcMar>
              <w:left w:w="85" w:type="dxa"/>
              <w:right w:w="85" w:type="dxa"/>
            </w:tcMar>
            <w:hideMark/>
          </w:tcPr>
          <w:p w14:paraId="1B879A09" w14:textId="25EFA7AD" w:rsidR="005E2556" w:rsidRPr="00B275E2" w:rsidRDefault="005E2556" w:rsidP="00E627FC">
            <w:pPr>
              <w:pStyle w:val="TableText"/>
              <w:spacing w:before="40" w:after="40"/>
              <w:jc w:val="center"/>
              <w:rPr>
                <w:rFonts w:cs="Calibri"/>
                <w:szCs w:val="18"/>
              </w:rPr>
            </w:pPr>
            <w:r w:rsidRPr="00B275E2">
              <w:rPr>
                <w:rFonts w:cs="Calibri"/>
                <w:szCs w:val="18"/>
              </w:rPr>
              <w:t>1,790</w:t>
            </w:r>
          </w:p>
        </w:tc>
      </w:tr>
      <w:tr w:rsidR="005E2556" w:rsidRPr="00B275E2" w14:paraId="1EEA2542" w14:textId="77777777" w:rsidTr="00253FA5">
        <w:tc>
          <w:tcPr>
            <w:tcW w:w="3402" w:type="dxa"/>
            <w:shd w:val="clear" w:color="auto" w:fill="auto"/>
            <w:tcMar>
              <w:left w:w="85" w:type="dxa"/>
              <w:right w:w="85" w:type="dxa"/>
            </w:tcMar>
            <w:hideMark/>
          </w:tcPr>
          <w:p w14:paraId="261BACB7" w14:textId="77777777" w:rsidR="005E2556" w:rsidRPr="00B275E2" w:rsidRDefault="005E2556" w:rsidP="000E1F19">
            <w:pPr>
              <w:pStyle w:val="TableText"/>
              <w:spacing w:before="40" w:after="40"/>
              <w:rPr>
                <w:rFonts w:cs="Calibri"/>
                <w:szCs w:val="18"/>
              </w:rPr>
            </w:pPr>
            <w:r w:rsidRPr="00B275E2">
              <w:rPr>
                <w:rFonts w:cs="Calibri"/>
                <w:szCs w:val="18"/>
              </w:rPr>
              <w:t>HFE-236fa </w:t>
            </w:r>
          </w:p>
        </w:tc>
        <w:tc>
          <w:tcPr>
            <w:tcW w:w="1843" w:type="dxa"/>
            <w:shd w:val="clear" w:color="auto" w:fill="auto"/>
            <w:tcMar>
              <w:left w:w="85" w:type="dxa"/>
              <w:right w:w="85" w:type="dxa"/>
            </w:tcMar>
            <w:hideMark/>
          </w:tcPr>
          <w:p w14:paraId="0EBDAB18" w14:textId="16345791" w:rsidR="005E2556" w:rsidRPr="00B275E2" w:rsidRDefault="005E2556" w:rsidP="00FD06E4">
            <w:pPr>
              <w:pStyle w:val="TableText"/>
              <w:spacing w:before="40" w:after="40"/>
              <w:rPr>
                <w:rFonts w:cs="Calibri"/>
                <w:szCs w:val="18"/>
              </w:rPr>
            </w:pPr>
            <w:r w:rsidRPr="00B275E2">
              <w:rPr>
                <w:rFonts w:cs="Calibri"/>
                <w:szCs w:val="18"/>
              </w:rPr>
              <w:t>CF</w:t>
            </w:r>
            <w:r w:rsidRPr="00B275E2">
              <w:rPr>
                <w:rFonts w:cs="Calibri"/>
                <w:szCs w:val="18"/>
                <w:vertAlign w:val="subscript"/>
              </w:rPr>
              <w:t>3</w:t>
            </w:r>
            <w:r w:rsidRPr="00B275E2">
              <w:rPr>
                <w:rFonts w:cs="Calibri"/>
                <w:szCs w:val="18"/>
              </w:rPr>
              <w:t>CH</w:t>
            </w:r>
            <w:r w:rsidRPr="00B275E2">
              <w:rPr>
                <w:rFonts w:cs="Calibri"/>
                <w:szCs w:val="18"/>
                <w:vertAlign w:val="subscript"/>
              </w:rPr>
              <w:t>2</w:t>
            </w:r>
            <w:r w:rsidRPr="00B275E2">
              <w:rPr>
                <w:rFonts w:cs="Calibri"/>
                <w:szCs w:val="18"/>
              </w:rPr>
              <w:t>OCF</w:t>
            </w:r>
            <w:r w:rsidRPr="00B275E2">
              <w:rPr>
                <w:rFonts w:cs="Calibri"/>
                <w:szCs w:val="18"/>
                <w:vertAlign w:val="subscript"/>
              </w:rPr>
              <w:t>3</w:t>
            </w:r>
          </w:p>
        </w:tc>
        <w:tc>
          <w:tcPr>
            <w:tcW w:w="709" w:type="dxa"/>
            <w:shd w:val="clear" w:color="auto" w:fill="auto"/>
            <w:tcMar>
              <w:left w:w="85" w:type="dxa"/>
              <w:right w:w="85" w:type="dxa"/>
            </w:tcMar>
            <w:hideMark/>
          </w:tcPr>
          <w:p w14:paraId="1D597D8E" w14:textId="711005DA"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0D326F28" w14:textId="76005343" w:rsidR="005E2556" w:rsidRPr="00B275E2" w:rsidRDefault="005E2556" w:rsidP="00E627FC">
            <w:pPr>
              <w:pStyle w:val="TableText"/>
              <w:spacing w:before="40" w:after="40"/>
              <w:jc w:val="center"/>
              <w:rPr>
                <w:rFonts w:cs="Calibri"/>
                <w:szCs w:val="18"/>
              </w:rPr>
            </w:pPr>
            <w:r w:rsidRPr="00B275E2">
              <w:rPr>
                <w:rFonts w:cs="Calibri"/>
                <w:szCs w:val="18"/>
              </w:rPr>
              <w:t>n/a</w:t>
            </w:r>
          </w:p>
        </w:tc>
        <w:tc>
          <w:tcPr>
            <w:tcW w:w="1275" w:type="dxa"/>
            <w:shd w:val="clear" w:color="auto" w:fill="auto"/>
            <w:tcMar>
              <w:left w:w="85" w:type="dxa"/>
              <w:right w:w="85" w:type="dxa"/>
            </w:tcMar>
            <w:hideMark/>
          </w:tcPr>
          <w:p w14:paraId="62DEF858" w14:textId="0587331F" w:rsidR="005E2556" w:rsidRPr="00B275E2" w:rsidRDefault="005E2556" w:rsidP="00E627FC">
            <w:pPr>
              <w:pStyle w:val="TableText"/>
              <w:spacing w:before="40" w:after="40"/>
              <w:jc w:val="center"/>
              <w:rPr>
                <w:rFonts w:cs="Calibri"/>
                <w:szCs w:val="18"/>
              </w:rPr>
            </w:pPr>
            <w:r w:rsidRPr="00B275E2">
              <w:rPr>
                <w:rFonts w:cs="Calibri"/>
                <w:szCs w:val="18"/>
              </w:rPr>
              <w:t>979</w:t>
            </w:r>
          </w:p>
        </w:tc>
      </w:tr>
      <w:tr w:rsidR="005E2556" w:rsidRPr="00B275E2" w14:paraId="0E6E0C92" w14:textId="77777777" w:rsidTr="00253FA5">
        <w:tc>
          <w:tcPr>
            <w:tcW w:w="3402" w:type="dxa"/>
            <w:shd w:val="clear" w:color="auto" w:fill="auto"/>
            <w:tcMar>
              <w:left w:w="85" w:type="dxa"/>
              <w:right w:w="85" w:type="dxa"/>
            </w:tcMar>
            <w:hideMark/>
          </w:tcPr>
          <w:p w14:paraId="17A40DED" w14:textId="225A2A29" w:rsidR="005E2556" w:rsidRPr="00B275E2" w:rsidRDefault="005E2556" w:rsidP="000E1F19">
            <w:pPr>
              <w:pStyle w:val="TableText"/>
              <w:spacing w:before="40" w:after="40"/>
              <w:rPr>
                <w:rFonts w:cs="Calibri"/>
                <w:szCs w:val="18"/>
              </w:rPr>
            </w:pPr>
            <w:r w:rsidRPr="00B275E2">
              <w:rPr>
                <w:rFonts w:cs="Calibri"/>
                <w:szCs w:val="18"/>
              </w:rPr>
              <w:t>HFE-245cb2</w:t>
            </w:r>
            <w:r w:rsidR="00A42624" w:rsidRPr="00B275E2">
              <w:rPr>
                <w:rFonts w:cs="Calibri"/>
                <w:szCs w:val="18"/>
              </w:rPr>
              <w:t xml:space="preserve"> </w:t>
            </w:r>
          </w:p>
        </w:tc>
        <w:tc>
          <w:tcPr>
            <w:tcW w:w="1843" w:type="dxa"/>
            <w:shd w:val="clear" w:color="auto" w:fill="auto"/>
            <w:tcMar>
              <w:left w:w="85" w:type="dxa"/>
              <w:right w:w="85" w:type="dxa"/>
            </w:tcMar>
            <w:hideMark/>
          </w:tcPr>
          <w:p w14:paraId="0BB6F260" w14:textId="0EBD7489" w:rsidR="005E2556" w:rsidRPr="00B275E2" w:rsidRDefault="005E2556" w:rsidP="00FD06E4">
            <w:pPr>
              <w:pStyle w:val="TableText"/>
              <w:spacing w:before="40" w:after="40"/>
              <w:rPr>
                <w:rFonts w:cs="Calibri"/>
                <w:szCs w:val="18"/>
              </w:rPr>
            </w:pPr>
            <w:r w:rsidRPr="00B275E2">
              <w:rPr>
                <w:rFonts w:cs="Calibri"/>
                <w:szCs w:val="18"/>
              </w:rPr>
              <w:t>CH</w:t>
            </w:r>
            <w:r w:rsidRPr="00B275E2">
              <w:rPr>
                <w:rFonts w:cs="Calibri"/>
                <w:szCs w:val="18"/>
                <w:vertAlign w:val="subscript"/>
              </w:rPr>
              <w:t>3</w:t>
            </w:r>
            <w:r w:rsidRPr="00B275E2">
              <w:rPr>
                <w:rFonts w:cs="Calibri"/>
                <w:szCs w:val="18"/>
              </w:rPr>
              <w:t>OCF</w:t>
            </w:r>
            <w:r w:rsidRPr="00B275E2">
              <w:rPr>
                <w:rFonts w:cs="Calibri"/>
                <w:szCs w:val="18"/>
                <w:vertAlign w:val="subscript"/>
              </w:rPr>
              <w:t>2</w:t>
            </w:r>
            <w:r w:rsidRPr="00B275E2">
              <w:rPr>
                <w:rFonts w:cs="Calibri"/>
                <w:szCs w:val="18"/>
              </w:rPr>
              <w:t>CF</w:t>
            </w:r>
            <w:r w:rsidRPr="00B275E2">
              <w:rPr>
                <w:rFonts w:cs="Calibri"/>
                <w:szCs w:val="18"/>
                <w:vertAlign w:val="subscript"/>
              </w:rPr>
              <w:t>3</w:t>
            </w:r>
          </w:p>
        </w:tc>
        <w:tc>
          <w:tcPr>
            <w:tcW w:w="709" w:type="dxa"/>
            <w:shd w:val="clear" w:color="auto" w:fill="auto"/>
            <w:tcMar>
              <w:left w:w="85" w:type="dxa"/>
              <w:right w:w="85" w:type="dxa"/>
            </w:tcMar>
            <w:hideMark/>
          </w:tcPr>
          <w:p w14:paraId="047D05F9" w14:textId="152C5475"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4B5AE4AB" w14:textId="2EC0D074" w:rsidR="005E2556" w:rsidRPr="00B275E2" w:rsidRDefault="005E2556" w:rsidP="00E627FC">
            <w:pPr>
              <w:pStyle w:val="TableText"/>
              <w:spacing w:before="40" w:after="40"/>
              <w:jc w:val="center"/>
              <w:rPr>
                <w:rFonts w:cs="Calibri"/>
                <w:szCs w:val="18"/>
              </w:rPr>
            </w:pPr>
            <w:r w:rsidRPr="00B275E2">
              <w:rPr>
                <w:rFonts w:cs="Calibri"/>
                <w:szCs w:val="18"/>
              </w:rPr>
              <w:t>708</w:t>
            </w:r>
          </w:p>
        </w:tc>
        <w:tc>
          <w:tcPr>
            <w:tcW w:w="1275" w:type="dxa"/>
            <w:shd w:val="clear" w:color="auto" w:fill="auto"/>
            <w:tcMar>
              <w:left w:w="85" w:type="dxa"/>
              <w:right w:w="85" w:type="dxa"/>
            </w:tcMar>
            <w:hideMark/>
          </w:tcPr>
          <w:p w14:paraId="79034B56" w14:textId="3609C1B7" w:rsidR="005E2556" w:rsidRPr="00B275E2" w:rsidRDefault="005E2556" w:rsidP="00E627FC">
            <w:pPr>
              <w:pStyle w:val="TableText"/>
              <w:spacing w:before="40" w:after="40"/>
              <w:jc w:val="center"/>
              <w:rPr>
                <w:rFonts w:cs="Calibri"/>
                <w:szCs w:val="18"/>
              </w:rPr>
            </w:pPr>
            <w:r w:rsidRPr="00B275E2">
              <w:rPr>
                <w:rFonts w:cs="Calibri"/>
                <w:szCs w:val="18"/>
              </w:rPr>
              <w:t>654</w:t>
            </w:r>
          </w:p>
        </w:tc>
      </w:tr>
      <w:tr w:rsidR="005E2556" w:rsidRPr="00B275E2" w14:paraId="32861B2F" w14:textId="77777777" w:rsidTr="00253FA5">
        <w:tc>
          <w:tcPr>
            <w:tcW w:w="3402" w:type="dxa"/>
            <w:shd w:val="clear" w:color="auto" w:fill="auto"/>
            <w:tcMar>
              <w:left w:w="85" w:type="dxa"/>
              <w:right w:w="85" w:type="dxa"/>
            </w:tcMar>
            <w:hideMark/>
          </w:tcPr>
          <w:p w14:paraId="2EE4E6ED" w14:textId="77777777" w:rsidR="005E2556" w:rsidRPr="00B275E2" w:rsidRDefault="005E2556" w:rsidP="000E1F19">
            <w:pPr>
              <w:pStyle w:val="TableText"/>
              <w:spacing w:before="40" w:after="40"/>
              <w:rPr>
                <w:rFonts w:cs="Calibri"/>
                <w:szCs w:val="18"/>
              </w:rPr>
            </w:pPr>
            <w:r w:rsidRPr="00B275E2">
              <w:rPr>
                <w:rFonts w:cs="Calibri"/>
                <w:szCs w:val="18"/>
              </w:rPr>
              <w:t>HFE-245fa1 </w:t>
            </w:r>
          </w:p>
        </w:tc>
        <w:tc>
          <w:tcPr>
            <w:tcW w:w="1843" w:type="dxa"/>
            <w:shd w:val="clear" w:color="auto" w:fill="auto"/>
            <w:tcMar>
              <w:left w:w="85" w:type="dxa"/>
              <w:right w:w="85" w:type="dxa"/>
            </w:tcMar>
            <w:hideMark/>
          </w:tcPr>
          <w:p w14:paraId="1E7BDA2E" w14:textId="60B0D82E" w:rsidR="005E2556" w:rsidRPr="00B275E2" w:rsidRDefault="005E2556" w:rsidP="00FD06E4">
            <w:pPr>
              <w:pStyle w:val="TableText"/>
              <w:spacing w:before="40" w:after="40"/>
              <w:rPr>
                <w:rFonts w:cs="Calibri"/>
                <w:szCs w:val="18"/>
              </w:rPr>
            </w:pPr>
            <w:r w:rsidRPr="00B275E2">
              <w:rPr>
                <w:rFonts w:cs="Calibri"/>
                <w:szCs w:val="18"/>
              </w:rPr>
              <w:t>CHF</w:t>
            </w:r>
            <w:r w:rsidRPr="00B275E2">
              <w:rPr>
                <w:rFonts w:cs="Calibri"/>
                <w:szCs w:val="18"/>
                <w:vertAlign w:val="subscript"/>
              </w:rPr>
              <w:t>2</w:t>
            </w:r>
            <w:r w:rsidRPr="00B275E2">
              <w:rPr>
                <w:rFonts w:cs="Calibri"/>
                <w:szCs w:val="18"/>
              </w:rPr>
              <w:t>CH</w:t>
            </w:r>
            <w:r w:rsidRPr="00B275E2">
              <w:rPr>
                <w:rFonts w:cs="Calibri"/>
                <w:szCs w:val="18"/>
                <w:vertAlign w:val="subscript"/>
              </w:rPr>
              <w:t>2</w:t>
            </w:r>
            <w:r w:rsidRPr="00B275E2">
              <w:rPr>
                <w:rFonts w:cs="Calibri"/>
                <w:szCs w:val="18"/>
              </w:rPr>
              <w:t>OCF</w:t>
            </w:r>
            <w:r w:rsidRPr="00B275E2">
              <w:rPr>
                <w:rFonts w:cs="Calibri"/>
                <w:szCs w:val="18"/>
                <w:vertAlign w:val="subscript"/>
              </w:rPr>
              <w:t>3</w:t>
            </w:r>
          </w:p>
        </w:tc>
        <w:tc>
          <w:tcPr>
            <w:tcW w:w="709" w:type="dxa"/>
            <w:shd w:val="clear" w:color="auto" w:fill="auto"/>
            <w:tcMar>
              <w:left w:w="85" w:type="dxa"/>
              <w:right w:w="85" w:type="dxa"/>
            </w:tcMar>
            <w:hideMark/>
          </w:tcPr>
          <w:p w14:paraId="106DE683" w14:textId="7B624814"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6330F439" w14:textId="2F595F93" w:rsidR="005E2556" w:rsidRPr="00B275E2" w:rsidRDefault="005E2556" w:rsidP="00E627FC">
            <w:pPr>
              <w:pStyle w:val="TableText"/>
              <w:spacing w:before="40" w:after="40"/>
              <w:jc w:val="center"/>
              <w:rPr>
                <w:rFonts w:cs="Calibri"/>
                <w:szCs w:val="18"/>
              </w:rPr>
            </w:pPr>
            <w:r w:rsidRPr="00B275E2">
              <w:rPr>
                <w:rFonts w:cs="Calibri"/>
                <w:szCs w:val="18"/>
              </w:rPr>
              <w:t>n/a</w:t>
            </w:r>
          </w:p>
        </w:tc>
        <w:tc>
          <w:tcPr>
            <w:tcW w:w="1275" w:type="dxa"/>
            <w:shd w:val="clear" w:color="auto" w:fill="auto"/>
            <w:tcMar>
              <w:left w:w="85" w:type="dxa"/>
              <w:right w:w="85" w:type="dxa"/>
            </w:tcMar>
            <w:hideMark/>
          </w:tcPr>
          <w:p w14:paraId="6816173B" w14:textId="12B458EE" w:rsidR="005E2556" w:rsidRPr="00B275E2" w:rsidRDefault="005E2556" w:rsidP="00E627FC">
            <w:pPr>
              <w:pStyle w:val="TableText"/>
              <w:spacing w:before="40" w:after="40"/>
              <w:jc w:val="center"/>
              <w:rPr>
                <w:rFonts w:cs="Calibri"/>
                <w:szCs w:val="18"/>
              </w:rPr>
            </w:pPr>
            <w:r w:rsidRPr="00B275E2">
              <w:rPr>
                <w:rFonts w:cs="Calibri"/>
                <w:szCs w:val="18"/>
              </w:rPr>
              <w:t>828</w:t>
            </w:r>
          </w:p>
        </w:tc>
      </w:tr>
      <w:tr w:rsidR="005E2556" w:rsidRPr="00B275E2" w14:paraId="5A6290D2" w14:textId="77777777" w:rsidTr="00253FA5">
        <w:tc>
          <w:tcPr>
            <w:tcW w:w="3402" w:type="dxa"/>
            <w:shd w:val="clear" w:color="auto" w:fill="auto"/>
            <w:tcMar>
              <w:left w:w="85" w:type="dxa"/>
              <w:right w:w="85" w:type="dxa"/>
            </w:tcMar>
            <w:hideMark/>
          </w:tcPr>
          <w:p w14:paraId="5DCDB15D" w14:textId="1EEFC7BE" w:rsidR="005E2556" w:rsidRPr="00B275E2" w:rsidRDefault="005E2556" w:rsidP="000E1F19">
            <w:pPr>
              <w:pStyle w:val="TableText"/>
              <w:spacing w:before="40" w:after="40"/>
              <w:rPr>
                <w:rFonts w:cs="Calibri"/>
                <w:szCs w:val="18"/>
              </w:rPr>
            </w:pPr>
            <w:r w:rsidRPr="00B275E2">
              <w:rPr>
                <w:rFonts w:cs="Calibri"/>
                <w:szCs w:val="18"/>
              </w:rPr>
              <w:t>HFE-245fa2</w:t>
            </w:r>
            <w:r w:rsidR="00A42624" w:rsidRPr="00B275E2">
              <w:rPr>
                <w:rFonts w:cs="Calibri"/>
                <w:szCs w:val="18"/>
              </w:rPr>
              <w:t xml:space="preserve"> </w:t>
            </w:r>
          </w:p>
        </w:tc>
        <w:tc>
          <w:tcPr>
            <w:tcW w:w="1843" w:type="dxa"/>
            <w:shd w:val="clear" w:color="auto" w:fill="auto"/>
            <w:tcMar>
              <w:left w:w="85" w:type="dxa"/>
              <w:right w:w="85" w:type="dxa"/>
            </w:tcMar>
            <w:hideMark/>
          </w:tcPr>
          <w:p w14:paraId="371A2E14" w14:textId="047432A3" w:rsidR="005E2556" w:rsidRPr="00B275E2" w:rsidRDefault="005E2556" w:rsidP="00FD06E4">
            <w:pPr>
              <w:pStyle w:val="TableText"/>
              <w:spacing w:before="40" w:after="40"/>
              <w:rPr>
                <w:rFonts w:cs="Calibri"/>
                <w:szCs w:val="18"/>
              </w:rPr>
            </w:pPr>
            <w:r w:rsidRPr="00B275E2">
              <w:rPr>
                <w:rFonts w:cs="Calibri"/>
                <w:szCs w:val="18"/>
              </w:rPr>
              <w:t>CHF</w:t>
            </w:r>
            <w:r w:rsidRPr="00B275E2">
              <w:rPr>
                <w:rFonts w:cs="Calibri"/>
                <w:szCs w:val="18"/>
                <w:vertAlign w:val="subscript"/>
              </w:rPr>
              <w:t>2</w:t>
            </w:r>
            <w:r w:rsidRPr="00B275E2">
              <w:rPr>
                <w:rFonts w:cs="Calibri"/>
                <w:szCs w:val="18"/>
              </w:rPr>
              <w:t>OCH</w:t>
            </w:r>
            <w:r w:rsidRPr="00B275E2">
              <w:rPr>
                <w:rFonts w:cs="Calibri"/>
                <w:szCs w:val="18"/>
                <w:vertAlign w:val="subscript"/>
              </w:rPr>
              <w:t>2</w:t>
            </w:r>
            <w:r w:rsidRPr="00B275E2">
              <w:rPr>
                <w:rFonts w:cs="Calibri"/>
                <w:szCs w:val="18"/>
              </w:rPr>
              <w:t>CF</w:t>
            </w:r>
            <w:r w:rsidRPr="00B275E2">
              <w:rPr>
                <w:rFonts w:cs="Calibri"/>
                <w:szCs w:val="18"/>
                <w:vertAlign w:val="subscript"/>
              </w:rPr>
              <w:t>3</w:t>
            </w:r>
          </w:p>
        </w:tc>
        <w:tc>
          <w:tcPr>
            <w:tcW w:w="709" w:type="dxa"/>
            <w:shd w:val="clear" w:color="auto" w:fill="auto"/>
            <w:tcMar>
              <w:left w:w="85" w:type="dxa"/>
              <w:right w:w="85" w:type="dxa"/>
            </w:tcMar>
            <w:hideMark/>
          </w:tcPr>
          <w:p w14:paraId="02668152" w14:textId="78C744FE"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317BE847" w14:textId="2BC463BA" w:rsidR="005E2556" w:rsidRPr="00B275E2" w:rsidRDefault="005E2556" w:rsidP="00E627FC">
            <w:pPr>
              <w:pStyle w:val="TableText"/>
              <w:spacing w:before="40" w:after="40"/>
              <w:jc w:val="center"/>
              <w:rPr>
                <w:rFonts w:cs="Calibri"/>
                <w:szCs w:val="18"/>
              </w:rPr>
            </w:pPr>
            <w:r w:rsidRPr="00B275E2">
              <w:rPr>
                <w:rFonts w:cs="Calibri"/>
                <w:szCs w:val="18"/>
              </w:rPr>
              <w:t>659</w:t>
            </w:r>
          </w:p>
        </w:tc>
        <w:tc>
          <w:tcPr>
            <w:tcW w:w="1275" w:type="dxa"/>
            <w:shd w:val="clear" w:color="auto" w:fill="auto"/>
            <w:tcMar>
              <w:left w:w="85" w:type="dxa"/>
              <w:right w:w="85" w:type="dxa"/>
            </w:tcMar>
            <w:hideMark/>
          </w:tcPr>
          <w:p w14:paraId="798ABC31" w14:textId="28329211" w:rsidR="005E2556" w:rsidRPr="00B275E2" w:rsidRDefault="005E2556" w:rsidP="00E627FC">
            <w:pPr>
              <w:pStyle w:val="TableText"/>
              <w:spacing w:before="40" w:after="40"/>
              <w:jc w:val="center"/>
              <w:rPr>
                <w:rFonts w:cs="Calibri"/>
                <w:szCs w:val="18"/>
              </w:rPr>
            </w:pPr>
            <w:r w:rsidRPr="00B275E2">
              <w:rPr>
                <w:rFonts w:cs="Calibri"/>
                <w:szCs w:val="18"/>
              </w:rPr>
              <w:t>812</w:t>
            </w:r>
          </w:p>
        </w:tc>
      </w:tr>
      <w:tr w:rsidR="005E2556" w:rsidRPr="00B275E2" w14:paraId="58E0F7B5" w14:textId="77777777" w:rsidTr="00253FA5">
        <w:tc>
          <w:tcPr>
            <w:tcW w:w="3402" w:type="dxa"/>
            <w:shd w:val="clear" w:color="auto" w:fill="auto"/>
            <w:tcMar>
              <w:left w:w="85" w:type="dxa"/>
              <w:right w:w="85" w:type="dxa"/>
            </w:tcMar>
            <w:hideMark/>
          </w:tcPr>
          <w:p w14:paraId="125AAD38" w14:textId="77777777" w:rsidR="005E2556" w:rsidRPr="00B275E2" w:rsidRDefault="005E2556" w:rsidP="000E1F19">
            <w:pPr>
              <w:pStyle w:val="TableText"/>
              <w:spacing w:before="40" w:after="40"/>
              <w:rPr>
                <w:rFonts w:cs="Calibri"/>
                <w:szCs w:val="18"/>
              </w:rPr>
            </w:pPr>
            <w:r w:rsidRPr="00B275E2">
              <w:rPr>
                <w:rFonts w:cs="Calibri"/>
                <w:szCs w:val="18"/>
              </w:rPr>
              <w:t>HFE-245fb2 </w:t>
            </w:r>
          </w:p>
        </w:tc>
        <w:tc>
          <w:tcPr>
            <w:tcW w:w="1843" w:type="dxa"/>
            <w:shd w:val="clear" w:color="auto" w:fill="auto"/>
            <w:tcMar>
              <w:left w:w="85" w:type="dxa"/>
              <w:right w:w="85" w:type="dxa"/>
            </w:tcMar>
            <w:hideMark/>
          </w:tcPr>
          <w:p w14:paraId="3BB40A85" w14:textId="0FAEC3CE" w:rsidR="005E2556" w:rsidRPr="00B275E2" w:rsidRDefault="005E2556" w:rsidP="00FD06E4">
            <w:pPr>
              <w:pStyle w:val="TableText"/>
              <w:spacing w:before="40" w:after="40"/>
              <w:rPr>
                <w:rFonts w:cs="Calibri"/>
                <w:szCs w:val="18"/>
              </w:rPr>
            </w:pPr>
            <w:r w:rsidRPr="00B275E2">
              <w:rPr>
                <w:rFonts w:cs="Calibri"/>
                <w:szCs w:val="18"/>
              </w:rPr>
              <w:t>CF</w:t>
            </w:r>
            <w:r w:rsidRPr="00B275E2">
              <w:rPr>
                <w:rFonts w:cs="Calibri"/>
                <w:szCs w:val="18"/>
                <w:vertAlign w:val="subscript"/>
              </w:rPr>
              <w:t>3</w:t>
            </w:r>
            <w:r w:rsidRPr="00B275E2">
              <w:rPr>
                <w:rFonts w:cs="Calibri"/>
                <w:szCs w:val="18"/>
              </w:rPr>
              <w:t>CH</w:t>
            </w:r>
            <w:r w:rsidRPr="00B275E2">
              <w:rPr>
                <w:rFonts w:cs="Calibri"/>
                <w:szCs w:val="18"/>
                <w:vertAlign w:val="subscript"/>
              </w:rPr>
              <w:t>2</w:t>
            </w:r>
            <w:r w:rsidRPr="00B275E2">
              <w:rPr>
                <w:rFonts w:cs="Calibri"/>
                <w:szCs w:val="18"/>
              </w:rPr>
              <w:t>OCH</w:t>
            </w:r>
            <w:r w:rsidRPr="00B275E2">
              <w:rPr>
                <w:rFonts w:cs="Calibri"/>
                <w:szCs w:val="18"/>
                <w:vertAlign w:val="subscript"/>
              </w:rPr>
              <w:t>3</w:t>
            </w:r>
          </w:p>
        </w:tc>
        <w:tc>
          <w:tcPr>
            <w:tcW w:w="709" w:type="dxa"/>
            <w:shd w:val="clear" w:color="auto" w:fill="auto"/>
            <w:tcMar>
              <w:left w:w="85" w:type="dxa"/>
              <w:right w:w="85" w:type="dxa"/>
            </w:tcMar>
            <w:hideMark/>
          </w:tcPr>
          <w:p w14:paraId="05046D9B" w14:textId="3E9A6F4E"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15ED8C42" w14:textId="371A5232" w:rsidR="005E2556" w:rsidRPr="00B275E2" w:rsidRDefault="005E2556" w:rsidP="00E627FC">
            <w:pPr>
              <w:pStyle w:val="TableText"/>
              <w:spacing w:before="40" w:after="40"/>
              <w:jc w:val="center"/>
              <w:rPr>
                <w:rFonts w:cs="Calibri"/>
                <w:szCs w:val="18"/>
              </w:rPr>
            </w:pPr>
            <w:r w:rsidRPr="00B275E2">
              <w:rPr>
                <w:rFonts w:cs="Calibri"/>
                <w:szCs w:val="18"/>
              </w:rPr>
              <w:t>n/a</w:t>
            </w:r>
          </w:p>
        </w:tc>
        <w:tc>
          <w:tcPr>
            <w:tcW w:w="1275" w:type="dxa"/>
            <w:shd w:val="clear" w:color="auto" w:fill="auto"/>
            <w:tcMar>
              <w:left w:w="85" w:type="dxa"/>
              <w:right w:w="85" w:type="dxa"/>
            </w:tcMar>
            <w:hideMark/>
          </w:tcPr>
          <w:p w14:paraId="552A7540" w14:textId="07D00E9A" w:rsidR="005E2556" w:rsidRPr="00B275E2" w:rsidRDefault="005E2556" w:rsidP="00E627FC">
            <w:pPr>
              <w:pStyle w:val="TableText"/>
              <w:spacing w:before="40" w:after="40"/>
              <w:jc w:val="center"/>
              <w:rPr>
                <w:rFonts w:cs="Calibri"/>
                <w:szCs w:val="18"/>
              </w:rPr>
            </w:pPr>
            <w:r w:rsidRPr="00B275E2">
              <w:rPr>
                <w:rFonts w:cs="Calibri"/>
                <w:szCs w:val="18"/>
              </w:rPr>
              <w:t>1</w:t>
            </w:r>
          </w:p>
        </w:tc>
      </w:tr>
      <w:tr w:rsidR="005E2556" w:rsidRPr="00B275E2" w14:paraId="4784A813" w14:textId="77777777" w:rsidTr="00253FA5">
        <w:tc>
          <w:tcPr>
            <w:tcW w:w="3402" w:type="dxa"/>
            <w:shd w:val="clear" w:color="auto" w:fill="auto"/>
            <w:tcMar>
              <w:left w:w="85" w:type="dxa"/>
              <w:right w:w="85" w:type="dxa"/>
            </w:tcMar>
            <w:hideMark/>
          </w:tcPr>
          <w:p w14:paraId="498BC454" w14:textId="62BF0DA6" w:rsidR="005E2556" w:rsidRPr="00B275E2" w:rsidRDefault="005E2556" w:rsidP="000E1F19">
            <w:pPr>
              <w:pStyle w:val="TableText"/>
              <w:spacing w:before="40" w:after="40"/>
              <w:rPr>
                <w:rFonts w:cs="Calibri"/>
                <w:szCs w:val="18"/>
              </w:rPr>
            </w:pPr>
            <w:r w:rsidRPr="00B275E2">
              <w:rPr>
                <w:rFonts w:cs="Calibri"/>
                <w:szCs w:val="18"/>
              </w:rPr>
              <w:t>HFE-254cb2</w:t>
            </w:r>
            <w:r w:rsidR="00A42624" w:rsidRPr="00B275E2">
              <w:rPr>
                <w:rFonts w:cs="Calibri"/>
                <w:szCs w:val="18"/>
              </w:rPr>
              <w:t xml:space="preserve"> </w:t>
            </w:r>
          </w:p>
        </w:tc>
        <w:tc>
          <w:tcPr>
            <w:tcW w:w="1843" w:type="dxa"/>
            <w:shd w:val="clear" w:color="auto" w:fill="auto"/>
            <w:tcMar>
              <w:left w:w="85" w:type="dxa"/>
              <w:right w:w="85" w:type="dxa"/>
            </w:tcMar>
            <w:hideMark/>
          </w:tcPr>
          <w:p w14:paraId="11F7A1BC" w14:textId="45ACE963" w:rsidR="005E2556" w:rsidRPr="00B275E2" w:rsidRDefault="005E2556" w:rsidP="00FD06E4">
            <w:pPr>
              <w:pStyle w:val="TableText"/>
              <w:spacing w:before="40" w:after="40"/>
              <w:rPr>
                <w:rFonts w:cs="Calibri"/>
                <w:szCs w:val="18"/>
              </w:rPr>
            </w:pPr>
            <w:r w:rsidRPr="00B275E2">
              <w:rPr>
                <w:rFonts w:cs="Calibri"/>
                <w:szCs w:val="18"/>
              </w:rPr>
              <w:t>CH</w:t>
            </w:r>
            <w:r w:rsidRPr="00B275E2">
              <w:rPr>
                <w:rFonts w:cs="Calibri"/>
                <w:szCs w:val="18"/>
                <w:vertAlign w:val="subscript"/>
              </w:rPr>
              <w:t>3</w:t>
            </w:r>
            <w:r w:rsidRPr="00B275E2">
              <w:rPr>
                <w:rFonts w:cs="Calibri"/>
                <w:szCs w:val="18"/>
              </w:rPr>
              <w:t>OCF</w:t>
            </w:r>
            <w:r w:rsidRPr="00B275E2">
              <w:rPr>
                <w:rFonts w:cs="Calibri"/>
                <w:szCs w:val="18"/>
                <w:vertAlign w:val="subscript"/>
              </w:rPr>
              <w:t>2</w:t>
            </w:r>
            <w:r w:rsidRPr="00B275E2">
              <w:rPr>
                <w:rFonts w:cs="Calibri"/>
                <w:szCs w:val="18"/>
              </w:rPr>
              <w:t>CHF</w:t>
            </w:r>
            <w:r w:rsidRPr="00B275E2">
              <w:rPr>
                <w:rFonts w:cs="Calibri"/>
                <w:szCs w:val="18"/>
                <w:vertAlign w:val="subscript"/>
              </w:rPr>
              <w:t>2</w:t>
            </w:r>
          </w:p>
        </w:tc>
        <w:tc>
          <w:tcPr>
            <w:tcW w:w="709" w:type="dxa"/>
            <w:shd w:val="clear" w:color="auto" w:fill="auto"/>
            <w:tcMar>
              <w:left w:w="85" w:type="dxa"/>
              <w:right w:w="85" w:type="dxa"/>
            </w:tcMar>
            <w:hideMark/>
          </w:tcPr>
          <w:p w14:paraId="64046D41" w14:textId="158263F1"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18E04D27" w14:textId="53CCD388" w:rsidR="005E2556" w:rsidRPr="00B275E2" w:rsidRDefault="005E2556" w:rsidP="00E627FC">
            <w:pPr>
              <w:pStyle w:val="TableText"/>
              <w:spacing w:before="40" w:after="40"/>
              <w:jc w:val="center"/>
              <w:rPr>
                <w:rFonts w:cs="Calibri"/>
                <w:szCs w:val="18"/>
              </w:rPr>
            </w:pPr>
            <w:r w:rsidRPr="00B275E2">
              <w:rPr>
                <w:rFonts w:cs="Calibri"/>
                <w:szCs w:val="18"/>
              </w:rPr>
              <w:t>359</w:t>
            </w:r>
          </w:p>
        </w:tc>
        <w:tc>
          <w:tcPr>
            <w:tcW w:w="1275" w:type="dxa"/>
            <w:shd w:val="clear" w:color="auto" w:fill="auto"/>
            <w:tcMar>
              <w:left w:w="85" w:type="dxa"/>
              <w:right w:w="85" w:type="dxa"/>
            </w:tcMar>
            <w:hideMark/>
          </w:tcPr>
          <w:p w14:paraId="6FFC9247" w14:textId="73DBDAF9" w:rsidR="005E2556" w:rsidRPr="00B275E2" w:rsidRDefault="005E2556" w:rsidP="00E627FC">
            <w:pPr>
              <w:pStyle w:val="TableText"/>
              <w:spacing w:before="40" w:after="40"/>
              <w:jc w:val="center"/>
              <w:rPr>
                <w:rFonts w:cs="Calibri"/>
                <w:szCs w:val="18"/>
              </w:rPr>
            </w:pPr>
            <w:r w:rsidRPr="00B275E2">
              <w:rPr>
                <w:rFonts w:cs="Calibri"/>
                <w:szCs w:val="18"/>
              </w:rPr>
              <w:t>359</w:t>
            </w:r>
          </w:p>
        </w:tc>
      </w:tr>
      <w:tr w:rsidR="005E2556" w:rsidRPr="00B275E2" w14:paraId="133AE9F3" w14:textId="77777777" w:rsidTr="00253FA5">
        <w:tc>
          <w:tcPr>
            <w:tcW w:w="3402" w:type="dxa"/>
            <w:shd w:val="clear" w:color="auto" w:fill="auto"/>
            <w:tcMar>
              <w:left w:w="85" w:type="dxa"/>
              <w:right w:w="85" w:type="dxa"/>
            </w:tcMar>
            <w:hideMark/>
          </w:tcPr>
          <w:p w14:paraId="4730CB86" w14:textId="77777777" w:rsidR="005E2556" w:rsidRPr="00B275E2" w:rsidRDefault="005E2556" w:rsidP="000E1F19">
            <w:pPr>
              <w:pStyle w:val="TableText"/>
              <w:spacing w:before="40" w:after="40"/>
              <w:rPr>
                <w:rFonts w:cs="Calibri"/>
                <w:szCs w:val="18"/>
              </w:rPr>
            </w:pPr>
            <w:r w:rsidRPr="00B275E2">
              <w:rPr>
                <w:rFonts w:cs="Calibri"/>
                <w:szCs w:val="18"/>
              </w:rPr>
              <w:t>HFE-329mcc2 </w:t>
            </w:r>
          </w:p>
        </w:tc>
        <w:tc>
          <w:tcPr>
            <w:tcW w:w="1843" w:type="dxa"/>
            <w:shd w:val="clear" w:color="auto" w:fill="auto"/>
            <w:tcMar>
              <w:left w:w="85" w:type="dxa"/>
              <w:right w:w="85" w:type="dxa"/>
            </w:tcMar>
            <w:hideMark/>
          </w:tcPr>
          <w:p w14:paraId="35FCBFBA" w14:textId="4640DA62" w:rsidR="005E2556" w:rsidRPr="00B275E2" w:rsidRDefault="005E2556" w:rsidP="00FD06E4">
            <w:pPr>
              <w:pStyle w:val="TableText"/>
              <w:spacing w:before="40" w:after="40"/>
              <w:rPr>
                <w:rFonts w:cs="Calibri"/>
                <w:szCs w:val="18"/>
              </w:rPr>
            </w:pPr>
            <w:r w:rsidRPr="00B275E2">
              <w:rPr>
                <w:rFonts w:cs="Calibri"/>
                <w:szCs w:val="18"/>
              </w:rPr>
              <w:t>CHF</w:t>
            </w:r>
            <w:r w:rsidRPr="00B275E2">
              <w:rPr>
                <w:rFonts w:cs="Calibri"/>
                <w:szCs w:val="18"/>
                <w:vertAlign w:val="subscript"/>
              </w:rPr>
              <w:t>2</w:t>
            </w:r>
            <w:r w:rsidRPr="00B275E2">
              <w:rPr>
                <w:rFonts w:cs="Calibri"/>
                <w:szCs w:val="18"/>
              </w:rPr>
              <w:t>CF</w:t>
            </w:r>
            <w:r w:rsidRPr="00B275E2">
              <w:rPr>
                <w:rFonts w:cs="Calibri"/>
                <w:szCs w:val="18"/>
                <w:vertAlign w:val="subscript"/>
              </w:rPr>
              <w:t>2</w:t>
            </w:r>
            <w:r w:rsidRPr="00B275E2">
              <w:rPr>
                <w:rFonts w:cs="Calibri"/>
                <w:szCs w:val="18"/>
              </w:rPr>
              <w:t>OCF</w:t>
            </w:r>
            <w:r w:rsidRPr="00B275E2">
              <w:rPr>
                <w:rFonts w:cs="Calibri"/>
                <w:szCs w:val="18"/>
                <w:vertAlign w:val="subscript"/>
              </w:rPr>
              <w:t>2</w:t>
            </w:r>
            <w:r w:rsidRPr="00B275E2">
              <w:rPr>
                <w:rFonts w:cs="Calibri"/>
                <w:szCs w:val="18"/>
              </w:rPr>
              <w:t>CF</w:t>
            </w:r>
            <w:r w:rsidRPr="00B275E2">
              <w:rPr>
                <w:rFonts w:cs="Calibri"/>
                <w:szCs w:val="18"/>
                <w:vertAlign w:val="subscript"/>
              </w:rPr>
              <w:t>3</w:t>
            </w:r>
          </w:p>
        </w:tc>
        <w:tc>
          <w:tcPr>
            <w:tcW w:w="709" w:type="dxa"/>
            <w:shd w:val="clear" w:color="auto" w:fill="auto"/>
            <w:tcMar>
              <w:left w:w="85" w:type="dxa"/>
              <w:right w:w="85" w:type="dxa"/>
            </w:tcMar>
            <w:hideMark/>
          </w:tcPr>
          <w:p w14:paraId="3C541990" w14:textId="4106C688"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01657EBC" w14:textId="546C891A" w:rsidR="005E2556" w:rsidRPr="00B275E2" w:rsidRDefault="005E2556" w:rsidP="00E627FC">
            <w:pPr>
              <w:pStyle w:val="TableText"/>
              <w:spacing w:before="40" w:after="40"/>
              <w:jc w:val="center"/>
              <w:rPr>
                <w:rFonts w:cs="Calibri"/>
                <w:szCs w:val="18"/>
              </w:rPr>
            </w:pPr>
            <w:r w:rsidRPr="00B275E2">
              <w:rPr>
                <w:rFonts w:cs="Calibri"/>
                <w:szCs w:val="18"/>
              </w:rPr>
              <w:t>n/a</w:t>
            </w:r>
          </w:p>
        </w:tc>
        <w:tc>
          <w:tcPr>
            <w:tcW w:w="1275" w:type="dxa"/>
            <w:shd w:val="clear" w:color="auto" w:fill="auto"/>
            <w:tcMar>
              <w:left w:w="85" w:type="dxa"/>
              <w:right w:w="85" w:type="dxa"/>
            </w:tcMar>
            <w:hideMark/>
          </w:tcPr>
          <w:p w14:paraId="2DBBA879" w14:textId="62D49404" w:rsidR="005E2556" w:rsidRPr="00B275E2" w:rsidRDefault="005E2556" w:rsidP="00E627FC">
            <w:pPr>
              <w:pStyle w:val="TableText"/>
              <w:spacing w:before="40" w:after="40"/>
              <w:jc w:val="center"/>
              <w:rPr>
                <w:rFonts w:cs="Calibri"/>
                <w:szCs w:val="18"/>
              </w:rPr>
            </w:pPr>
            <w:r w:rsidRPr="00B275E2">
              <w:rPr>
                <w:rFonts w:cs="Calibri"/>
                <w:szCs w:val="18"/>
              </w:rPr>
              <w:t>3,070</w:t>
            </w:r>
          </w:p>
        </w:tc>
      </w:tr>
      <w:tr w:rsidR="005E2556" w:rsidRPr="00B275E2" w14:paraId="515C27EB" w14:textId="77777777" w:rsidTr="00253FA5">
        <w:tc>
          <w:tcPr>
            <w:tcW w:w="3402" w:type="dxa"/>
            <w:shd w:val="clear" w:color="auto" w:fill="auto"/>
            <w:tcMar>
              <w:left w:w="85" w:type="dxa"/>
              <w:right w:w="85" w:type="dxa"/>
            </w:tcMar>
            <w:hideMark/>
          </w:tcPr>
          <w:p w14:paraId="562DD2E6" w14:textId="77777777" w:rsidR="005E2556" w:rsidRPr="00B275E2" w:rsidRDefault="005E2556" w:rsidP="000E1F19">
            <w:pPr>
              <w:pStyle w:val="TableText"/>
              <w:spacing w:before="40" w:after="40"/>
              <w:rPr>
                <w:rFonts w:cs="Calibri"/>
                <w:szCs w:val="18"/>
              </w:rPr>
            </w:pPr>
            <w:r w:rsidRPr="00B275E2">
              <w:rPr>
                <w:rFonts w:cs="Calibri"/>
                <w:szCs w:val="18"/>
              </w:rPr>
              <w:t>HFE-338mcf2 </w:t>
            </w:r>
          </w:p>
        </w:tc>
        <w:tc>
          <w:tcPr>
            <w:tcW w:w="1843" w:type="dxa"/>
            <w:shd w:val="clear" w:color="auto" w:fill="auto"/>
            <w:tcMar>
              <w:left w:w="85" w:type="dxa"/>
              <w:right w:w="85" w:type="dxa"/>
            </w:tcMar>
            <w:hideMark/>
          </w:tcPr>
          <w:p w14:paraId="3700ABEB" w14:textId="3BFB1C95" w:rsidR="005E2556" w:rsidRPr="00B275E2" w:rsidRDefault="005E2556" w:rsidP="00FD06E4">
            <w:pPr>
              <w:pStyle w:val="TableText"/>
              <w:spacing w:before="40" w:after="40"/>
              <w:rPr>
                <w:rFonts w:cs="Calibri"/>
                <w:szCs w:val="18"/>
              </w:rPr>
            </w:pPr>
            <w:r w:rsidRPr="00B275E2">
              <w:rPr>
                <w:rFonts w:cs="Calibri"/>
                <w:szCs w:val="18"/>
              </w:rPr>
              <w:t>CF</w:t>
            </w:r>
            <w:r w:rsidRPr="00B275E2">
              <w:rPr>
                <w:rFonts w:cs="Calibri"/>
                <w:szCs w:val="18"/>
                <w:vertAlign w:val="subscript"/>
              </w:rPr>
              <w:t>3</w:t>
            </w:r>
            <w:r w:rsidRPr="00B275E2">
              <w:rPr>
                <w:rFonts w:cs="Calibri"/>
                <w:szCs w:val="18"/>
              </w:rPr>
              <w:t>CH</w:t>
            </w:r>
            <w:r w:rsidRPr="00B275E2">
              <w:rPr>
                <w:rFonts w:cs="Calibri"/>
                <w:szCs w:val="18"/>
                <w:vertAlign w:val="subscript"/>
              </w:rPr>
              <w:t>2</w:t>
            </w:r>
            <w:r w:rsidRPr="00B275E2">
              <w:rPr>
                <w:rFonts w:cs="Calibri"/>
                <w:szCs w:val="18"/>
              </w:rPr>
              <w:t>OCF</w:t>
            </w:r>
            <w:r w:rsidRPr="00B275E2">
              <w:rPr>
                <w:rFonts w:cs="Calibri"/>
                <w:szCs w:val="18"/>
                <w:vertAlign w:val="subscript"/>
              </w:rPr>
              <w:t>2</w:t>
            </w:r>
            <w:r w:rsidRPr="00B275E2">
              <w:rPr>
                <w:rFonts w:cs="Calibri"/>
                <w:szCs w:val="18"/>
              </w:rPr>
              <w:t>CF</w:t>
            </w:r>
            <w:r w:rsidRPr="00B275E2">
              <w:rPr>
                <w:rFonts w:cs="Calibri"/>
                <w:szCs w:val="18"/>
                <w:vertAlign w:val="subscript"/>
              </w:rPr>
              <w:t>3</w:t>
            </w:r>
          </w:p>
        </w:tc>
        <w:tc>
          <w:tcPr>
            <w:tcW w:w="709" w:type="dxa"/>
            <w:shd w:val="clear" w:color="auto" w:fill="auto"/>
            <w:tcMar>
              <w:left w:w="85" w:type="dxa"/>
              <w:right w:w="85" w:type="dxa"/>
            </w:tcMar>
            <w:hideMark/>
          </w:tcPr>
          <w:p w14:paraId="2FD016D0" w14:textId="2B845D6B"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5D07E521" w14:textId="103F5B09" w:rsidR="005E2556" w:rsidRPr="00B275E2" w:rsidRDefault="005E2556" w:rsidP="00E627FC">
            <w:pPr>
              <w:pStyle w:val="TableText"/>
              <w:spacing w:before="40" w:after="40"/>
              <w:jc w:val="center"/>
              <w:rPr>
                <w:rFonts w:cs="Calibri"/>
                <w:szCs w:val="18"/>
              </w:rPr>
            </w:pPr>
            <w:r w:rsidRPr="00B275E2">
              <w:rPr>
                <w:rFonts w:cs="Calibri"/>
                <w:szCs w:val="18"/>
              </w:rPr>
              <w:t>n/a</w:t>
            </w:r>
          </w:p>
        </w:tc>
        <w:tc>
          <w:tcPr>
            <w:tcW w:w="1275" w:type="dxa"/>
            <w:shd w:val="clear" w:color="auto" w:fill="auto"/>
            <w:tcMar>
              <w:left w:w="85" w:type="dxa"/>
              <w:right w:w="85" w:type="dxa"/>
            </w:tcMar>
            <w:hideMark/>
          </w:tcPr>
          <w:p w14:paraId="12EE0C57" w14:textId="69942C3A" w:rsidR="005E2556" w:rsidRPr="00B275E2" w:rsidRDefault="005E2556" w:rsidP="00E627FC">
            <w:pPr>
              <w:pStyle w:val="TableText"/>
              <w:spacing w:before="40" w:after="40"/>
              <w:jc w:val="center"/>
              <w:rPr>
                <w:rFonts w:cs="Calibri"/>
                <w:szCs w:val="18"/>
              </w:rPr>
            </w:pPr>
            <w:r w:rsidRPr="00B275E2">
              <w:rPr>
                <w:rFonts w:cs="Calibri"/>
                <w:szCs w:val="18"/>
              </w:rPr>
              <w:t>929</w:t>
            </w:r>
          </w:p>
        </w:tc>
      </w:tr>
      <w:tr w:rsidR="005E2556" w:rsidRPr="00B275E2" w14:paraId="682829E0" w14:textId="77777777" w:rsidTr="00253FA5">
        <w:tc>
          <w:tcPr>
            <w:tcW w:w="3402" w:type="dxa"/>
            <w:shd w:val="clear" w:color="auto" w:fill="auto"/>
            <w:tcMar>
              <w:left w:w="85" w:type="dxa"/>
              <w:right w:w="85" w:type="dxa"/>
            </w:tcMar>
            <w:hideMark/>
          </w:tcPr>
          <w:p w14:paraId="577432B1" w14:textId="5A059837" w:rsidR="005E2556" w:rsidRPr="00B275E2" w:rsidRDefault="005E2556" w:rsidP="000E1F19">
            <w:pPr>
              <w:pStyle w:val="TableText"/>
              <w:spacing w:before="40" w:after="40"/>
              <w:rPr>
                <w:rFonts w:cs="Calibri"/>
                <w:szCs w:val="18"/>
              </w:rPr>
            </w:pPr>
            <w:r w:rsidRPr="00B275E2">
              <w:rPr>
                <w:rFonts w:cs="Calibri"/>
                <w:szCs w:val="18"/>
              </w:rPr>
              <w:lastRenderedPageBreak/>
              <w:t>HFE-347mcc3</w:t>
            </w:r>
            <w:r w:rsidR="00A42624" w:rsidRPr="00B275E2">
              <w:rPr>
                <w:rFonts w:cs="Calibri"/>
                <w:szCs w:val="18"/>
              </w:rPr>
              <w:t xml:space="preserve"> </w:t>
            </w:r>
          </w:p>
        </w:tc>
        <w:tc>
          <w:tcPr>
            <w:tcW w:w="1843" w:type="dxa"/>
            <w:shd w:val="clear" w:color="auto" w:fill="auto"/>
            <w:tcMar>
              <w:left w:w="85" w:type="dxa"/>
              <w:right w:w="85" w:type="dxa"/>
            </w:tcMar>
            <w:hideMark/>
          </w:tcPr>
          <w:p w14:paraId="1FC9A5B7" w14:textId="10008AD2" w:rsidR="005E2556" w:rsidRPr="00B275E2" w:rsidRDefault="005E2556" w:rsidP="00FD06E4">
            <w:pPr>
              <w:pStyle w:val="TableText"/>
              <w:spacing w:before="40" w:after="40"/>
              <w:rPr>
                <w:rFonts w:cs="Calibri"/>
                <w:szCs w:val="18"/>
              </w:rPr>
            </w:pPr>
            <w:r w:rsidRPr="00B275E2">
              <w:rPr>
                <w:rFonts w:cs="Calibri"/>
                <w:szCs w:val="18"/>
              </w:rPr>
              <w:t>CH</w:t>
            </w:r>
            <w:r w:rsidRPr="00B275E2">
              <w:rPr>
                <w:rFonts w:cs="Calibri"/>
                <w:szCs w:val="18"/>
                <w:vertAlign w:val="subscript"/>
              </w:rPr>
              <w:t>3</w:t>
            </w:r>
            <w:r w:rsidRPr="00B275E2">
              <w:rPr>
                <w:rFonts w:cs="Calibri"/>
                <w:szCs w:val="18"/>
              </w:rPr>
              <w:t>OCF</w:t>
            </w:r>
            <w:r w:rsidRPr="00B275E2">
              <w:rPr>
                <w:rFonts w:cs="Calibri"/>
                <w:szCs w:val="18"/>
                <w:vertAlign w:val="subscript"/>
              </w:rPr>
              <w:t>2</w:t>
            </w:r>
            <w:r w:rsidRPr="00B275E2">
              <w:rPr>
                <w:rFonts w:cs="Calibri"/>
                <w:szCs w:val="18"/>
              </w:rPr>
              <w:t>CF</w:t>
            </w:r>
            <w:r w:rsidRPr="00B275E2">
              <w:rPr>
                <w:rFonts w:cs="Calibri"/>
                <w:szCs w:val="18"/>
                <w:vertAlign w:val="subscript"/>
              </w:rPr>
              <w:t>2</w:t>
            </w:r>
            <w:r w:rsidRPr="00B275E2">
              <w:rPr>
                <w:rFonts w:cs="Calibri"/>
                <w:szCs w:val="18"/>
              </w:rPr>
              <w:t>CF</w:t>
            </w:r>
            <w:r w:rsidRPr="00B275E2">
              <w:rPr>
                <w:rFonts w:cs="Calibri"/>
                <w:szCs w:val="18"/>
                <w:vertAlign w:val="subscript"/>
              </w:rPr>
              <w:t>3</w:t>
            </w:r>
          </w:p>
        </w:tc>
        <w:tc>
          <w:tcPr>
            <w:tcW w:w="709" w:type="dxa"/>
            <w:shd w:val="clear" w:color="auto" w:fill="auto"/>
            <w:tcMar>
              <w:left w:w="85" w:type="dxa"/>
              <w:right w:w="85" w:type="dxa"/>
            </w:tcMar>
            <w:hideMark/>
          </w:tcPr>
          <w:p w14:paraId="15E72929" w14:textId="7FDA4F8F"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6022CEE7" w14:textId="7471A39B" w:rsidR="005E2556" w:rsidRPr="00B275E2" w:rsidRDefault="005E2556" w:rsidP="00E627FC">
            <w:pPr>
              <w:pStyle w:val="TableText"/>
              <w:spacing w:before="40" w:after="40"/>
              <w:jc w:val="center"/>
              <w:rPr>
                <w:rFonts w:cs="Calibri"/>
                <w:szCs w:val="18"/>
              </w:rPr>
            </w:pPr>
            <w:r w:rsidRPr="00B275E2">
              <w:rPr>
                <w:rFonts w:cs="Calibri"/>
                <w:szCs w:val="18"/>
              </w:rPr>
              <w:t>575</w:t>
            </w:r>
          </w:p>
        </w:tc>
        <w:tc>
          <w:tcPr>
            <w:tcW w:w="1275" w:type="dxa"/>
            <w:shd w:val="clear" w:color="auto" w:fill="auto"/>
            <w:tcMar>
              <w:left w:w="85" w:type="dxa"/>
              <w:right w:w="85" w:type="dxa"/>
            </w:tcMar>
            <w:hideMark/>
          </w:tcPr>
          <w:p w14:paraId="326858EC" w14:textId="469E58C9" w:rsidR="005E2556" w:rsidRPr="00B275E2" w:rsidRDefault="005E2556" w:rsidP="00E627FC">
            <w:pPr>
              <w:pStyle w:val="TableText"/>
              <w:spacing w:before="40" w:after="40"/>
              <w:jc w:val="center"/>
              <w:rPr>
                <w:rFonts w:cs="Calibri"/>
                <w:szCs w:val="18"/>
              </w:rPr>
            </w:pPr>
            <w:r w:rsidRPr="00B275E2">
              <w:rPr>
                <w:rFonts w:cs="Calibri"/>
                <w:szCs w:val="18"/>
              </w:rPr>
              <w:t>530</w:t>
            </w:r>
          </w:p>
        </w:tc>
      </w:tr>
      <w:tr w:rsidR="005E2556" w:rsidRPr="00B275E2" w14:paraId="4F9D11DD" w14:textId="77777777" w:rsidTr="00253FA5">
        <w:tc>
          <w:tcPr>
            <w:tcW w:w="3402" w:type="dxa"/>
            <w:shd w:val="clear" w:color="auto" w:fill="auto"/>
            <w:tcMar>
              <w:left w:w="85" w:type="dxa"/>
              <w:right w:w="85" w:type="dxa"/>
            </w:tcMar>
            <w:hideMark/>
          </w:tcPr>
          <w:p w14:paraId="67DB75E7" w14:textId="77777777" w:rsidR="005E2556" w:rsidRPr="00B275E2" w:rsidRDefault="005E2556" w:rsidP="000E1F19">
            <w:pPr>
              <w:pStyle w:val="TableText"/>
              <w:spacing w:before="40" w:after="40"/>
              <w:rPr>
                <w:rFonts w:cs="Calibri"/>
                <w:szCs w:val="18"/>
              </w:rPr>
            </w:pPr>
            <w:r w:rsidRPr="00B275E2">
              <w:rPr>
                <w:rFonts w:cs="Calibri"/>
                <w:szCs w:val="18"/>
              </w:rPr>
              <w:t>HFE-347mcf2 </w:t>
            </w:r>
          </w:p>
        </w:tc>
        <w:tc>
          <w:tcPr>
            <w:tcW w:w="1843" w:type="dxa"/>
            <w:shd w:val="clear" w:color="auto" w:fill="auto"/>
            <w:tcMar>
              <w:left w:w="85" w:type="dxa"/>
              <w:right w:w="85" w:type="dxa"/>
            </w:tcMar>
            <w:hideMark/>
          </w:tcPr>
          <w:p w14:paraId="6946FE99" w14:textId="752B26C5" w:rsidR="005E2556" w:rsidRPr="00B275E2" w:rsidRDefault="005E2556" w:rsidP="00FD06E4">
            <w:pPr>
              <w:pStyle w:val="TableText"/>
              <w:spacing w:before="40" w:after="40"/>
              <w:rPr>
                <w:rFonts w:cs="Calibri"/>
                <w:szCs w:val="18"/>
              </w:rPr>
            </w:pPr>
            <w:r w:rsidRPr="00B275E2">
              <w:rPr>
                <w:rFonts w:cs="Calibri"/>
                <w:szCs w:val="18"/>
              </w:rPr>
              <w:t>CHF</w:t>
            </w:r>
            <w:r w:rsidRPr="00B275E2">
              <w:rPr>
                <w:rFonts w:cs="Calibri"/>
                <w:szCs w:val="18"/>
                <w:vertAlign w:val="subscript"/>
              </w:rPr>
              <w:t>2</w:t>
            </w:r>
            <w:r w:rsidRPr="00B275E2">
              <w:rPr>
                <w:rFonts w:cs="Calibri"/>
                <w:szCs w:val="18"/>
              </w:rPr>
              <w:t>CH</w:t>
            </w:r>
            <w:r w:rsidRPr="00B275E2">
              <w:rPr>
                <w:rFonts w:cs="Calibri"/>
                <w:szCs w:val="18"/>
                <w:vertAlign w:val="subscript"/>
              </w:rPr>
              <w:t>2</w:t>
            </w:r>
            <w:r w:rsidRPr="00B275E2">
              <w:rPr>
                <w:rFonts w:cs="Calibri"/>
                <w:szCs w:val="18"/>
              </w:rPr>
              <w:t>OCF</w:t>
            </w:r>
            <w:r w:rsidRPr="00B275E2">
              <w:rPr>
                <w:rFonts w:cs="Calibri"/>
                <w:szCs w:val="18"/>
                <w:vertAlign w:val="subscript"/>
              </w:rPr>
              <w:t>2</w:t>
            </w:r>
            <w:r w:rsidRPr="00B275E2">
              <w:rPr>
                <w:rFonts w:cs="Calibri"/>
                <w:szCs w:val="18"/>
              </w:rPr>
              <w:t>CF</w:t>
            </w:r>
            <w:r w:rsidRPr="00B275E2">
              <w:rPr>
                <w:rFonts w:cs="Calibri"/>
                <w:szCs w:val="18"/>
                <w:vertAlign w:val="subscript"/>
              </w:rPr>
              <w:t>3</w:t>
            </w:r>
          </w:p>
        </w:tc>
        <w:tc>
          <w:tcPr>
            <w:tcW w:w="709" w:type="dxa"/>
            <w:shd w:val="clear" w:color="auto" w:fill="auto"/>
            <w:tcMar>
              <w:left w:w="85" w:type="dxa"/>
              <w:right w:w="85" w:type="dxa"/>
            </w:tcMar>
            <w:hideMark/>
          </w:tcPr>
          <w:p w14:paraId="63A2320F" w14:textId="137B3D4B"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60675AAA" w14:textId="43C0EB04" w:rsidR="005E2556" w:rsidRPr="00B275E2" w:rsidRDefault="005E2556" w:rsidP="00E627FC">
            <w:pPr>
              <w:pStyle w:val="TableText"/>
              <w:spacing w:before="40" w:after="40"/>
              <w:jc w:val="center"/>
              <w:rPr>
                <w:rFonts w:cs="Calibri"/>
                <w:szCs w:val="18"/>
              </w:rPr>
            </w:pPr>
            <w:r w:rsidRPr="00B275E2">
              <w:rPr>
                <w:rFonts w:cs="Calibri"/>
                <w:szCs w:val="18"/>
              </w:rPr>
              <w:t>n/a</w:t>
            </w:r>
          </w:p>
        </w:tc>
        <w:tc>
          <w:tcPr>
            <w:tcW w:w="1275" w:type="dxa"/>
            <w:shd w:val="clear" w:color="auto" w:fill="auto"/>
            <w:tcMar>
              <w:left w:w="85" w:type="dxa"/>
              <w:right w:w="85" w:type="dxa"/>
            </w:tcMar>
            <w:hideMark/>
          </w:tcPr>
          <w:p w14:paraId="780E1734" w14:textId="5B04C3AE" w:rsidR="005E2556" w:rsidRPr="00B275E2" w:rsidRDefault="005E2556" w:rsidP="00E627FC">
            <w:pPr>
              <w:pStyle w:val="TableText"/>
              <w:spacing w:before="40" w:after="40"/>
              <w:jc w:val="center"/>
              <w:rPr>
                <w:rFonts w:cs="Calibri"/>
                <w:szCs w:val="18"/>
              </w:rPr>
            </w:pPr>
            <w:r w:rsidRPr="00B275E2">
              <w:rPr>
                <w:rFonts w:cs="Calibri"/>
                <w:szCs w:val="18"/>
              </w:rPr>
              <w:t>854</w:t>
            </w:r>
          </w:p>
        </w:tc>
      </w:tr>
      <w:tr w:rsidR="005E2556" w:rsidRPr="00B275E2" w14:paraId="726143D5" w14:textId="77777777" w:rsidTr="00253FA5">
        <w:tc>
          <w:tcPr>
            <w:tcW w:w="3402" w:type="dxa"/>
            <w:shd w:val="clear" w:color="auto" w:fill="auto"/>
            <w:tcMar>
              <w:left w:w="85" w:type="dxa"/>
              <w:right w:w="85" w:type="dxa"/>
            </w:tcMar>
            <w:hideMark/>
          </w:tcPr>
          <w:p w14:paraId="57C31B62" w14:textId="4B7735FA" w:rsidR="005E2556" w:rsidRPr="00B275E2" w:rsidRDefault="005E2556" w:rsidP="000E1F19">
            <w:pPr>
              <w:pStyle w:val="TableText"/>
              <w:spacing w:before="40" w:after="40"/>
              <w:rPr>
                <w:rFonts w:cs="Calibri"/>
                <w:szCs w:val="18"/>
              </w:rPr>
            </w:pPr>
            <w:r w:rsidRPr="00B275E2">
              <w:rPr>
                <w:rFonts w:cs="Calibri"/>
                <w:szCs w:val="18"/>
              </w:rPr>
              <w:t>HFE-347pcf2</w:t>
            </w:r>
            <w:r w:rsidR="00A42624" w:rsidRPr="00B275E2">
              <w:rPr>
                <w:rFonts w:cs="Calibri"/>
                <w:szCs w:val="18"/>
              </w:rPr>
              <w:t xml:space="preserve"> </w:t>
            </w:r>
          </w:p>
        </w:tc>
        <w:tc>
          <w:tcPr>
            <w:tcW w:w="1843" w:type="dxa"/>
            <w:shd w:val="clear" w:color="auto" w:fill="auto"/>
            <w:tcMar>
              <w:left w:w="85" w:type="dxa"/>
              <w:right w:w="85" w:type="dxa"/>
            </w:tcMar>
            <w:hideMark/>
          </w:tcPr>
          <w:p w14:paraId="72FE5F1B" w14:textId="79EB251C" w:rsidR="005E2556" w:rsidRPr="00B275E2" w:rsidRDefault="005E2556" w:rsidP="00FD06E4">
            <w:pPr>
              <w:pStyle w:val="TableText"/>
              <w:spacing w:before="40" w:after="40"/>
              <w:rPr>
                <w:rFonts w:cs="Calibri"/>
                <w:szCs w:val="18"/>
              </w:rPr>
            </w:pPr>
            <w:r w:rsidRPr="00B275E2">
              <w:rPr>
                <w:rFonts w:cs="Calibri"/>
                <w:szCs w:val="18"/>
              </w:rPr>
              <w:t>CHF</w:t>
            </w:r>
            <w:r w:rsidRPr="00B275E2">
              <w:rPr>
                <w:rFonts w:cs="Calibri"/>
                <w:szCs w:val="18"/>
                <w:vertAlign w:val="subscript"/>
              </w:rPr>
              <w:t>2</w:t>
            </w:r>
            <w:r w:rsidRPr="00B275E2">
              <w:rPr>
                <w:rFonts w:cs="Calibri"/>
                <w:szCs w:val="18"/>
              </w:rPr>
              <w:t>CF</w:t>
            </w:r>
            <w:r w:rsidRPr="00B275E2">
              <w:rPr>
                <w:rFonts w:cs="Calibri"/>
                <w:szCs w:val="18"/>
                <w:vertAlign w:val="subscript"/>
              </w:rPr>
              <w:t>2</w:t>
            </w:r>
            <w:r w:rsidRPr="00B275E2">
              <w:rPr>
                <w:rFonts w:cs="Calibri"/>
                <w:szCs w:val="18"/>
              </w:rPr>
              <w:t>OCH</w:t>
            </w:r>
            <w:r w:rsidRPr="00B275E2">
              <w:rPr>
                <w:rFonts w:cs="Calibri"/>
                <w:szCs w:val="18"/>
                <w:vertAlign w:val="subscript"/>
              </w:rPr>
              <w:t>2</w:t>
            </w:r>
            <w:r w:rsidRPr="00B275E2">
              <w:rPr>
                <w:rFonts w:cs="Calibri"/>
                <w:szCs w:val="18"/>
              </w:rPr>
              <w:t>CF</w:t>
            </w:r>
            <w:r w:rsidRPr="00B275E2">
              <w:rPr>
                <w:rFonts w:cs="Calibri"/>
                <w:szCs w:val="18"/>
                <w:vertAlign w:val="subscript"/>
              </w:rPr>
              <w:t>3</w:t>
            </w:r>
          </w:p>
        </w:tc>
        <w:tc>
          <w:tcPr>
            <w:tcW w:w="709" w:type="dxa"/>
            <w:shd w:val="clear" w:color="auto" w:fill="auto"/>
            <w:tcMar>
              <w:left w:w="85" w:type="dxa"/>
              <w:right w:w="85" w:type="dxa"/>
            </w:tcMar>
            <w:hideMark/>
          </w:tcPr>
          <w:p w14:paraId="23938D37" w14:textId="4CFB8C39"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6E9D3AF0" w14:textId="60D3D223" w:rsidR="005E2556" w:rsidRPr="00B275E2" w:rsidRDefault="005E2556" w:rsidP="00E627FC">
            <w:pPr>
              <w:pStyle w:val="TableText"/>
              <w:spacing w:before="40" w:after="40"/>
              <w:jc w:val="center"/>
              <w:rPr>
                <w:rFonts w:cs="Calibri"/>
                <w:szCs w:val="18"/>
              </w:rPr>
            </w:pPr>
            <w:r w:rsidRPr="00B275E2">
              <w:rPr>
                <w:rFonts w:cs="Calibri"/>
                <w:szCs w:val="18"/>
              </w:rPr>
              <w:t>580</w:t>
            </w:r>
          </w:p>
        </w:tc>
        <w:tc>
          <w:tcPr>
            <w:tcW w:w="1275" w:type="dxa"/>
            <w:shd w:val="clear" w:color="auto" w:fill="auto"/>
            <w:tcMar>
              <w:left w:w="85" w:type="dxa"/>
              <w:right w:w="85" w:type="dxa"/>
            </w:tcMar>
            <w:hideMark/>
          </w:tcPr>
          <w:p w14:paraId="20EAFFBA" w14:textId="39316015" w:rsidR="005E2556" w:rsidRPr="00B275E2" w:rsidRDefault="005E2556" w:rsidP="00E627FC">
            <w:pPr>
              <w:pStyle w:val="TableText"/>
              <w:spacing w:before="40" w:after="40"/>
              <w:jc w:val="center"/>
              <w:rPr>
                <w:rFonts w:cs="Calibri"/>
                <w:szCs w:val="18"/>
              </w:rPr>
            </w:pPr>
            <w:r w:rsidRPr="00B275E2">
              <w:rPr>
                <w:rFonts w:cs="Calibri"/>
                <w:szCs w:val="18"/>
              </w:rPr>
              <w:t>889</w:t>
            </w:r>
          </w:p>
        </w:tc>
      </w:tr>
      <w:tr w:rsidR="005E2556" w:rsidRPr="00B275E2" w14:paraId="7BA5BA71" w14:textId="77777777" w:rsidTr="00253FA5">
        <w:tc>
          <w:tcPr>
            <w:tcW w:w="3402" w:type="dxa"/>
            <w:shd w:val="clear" w:color="auto" w:fill="auto"/>
            <w:tcMar>
              <w:left w:w="85" w:type="dxa"/>
              <w:right w:w="85" w:type="dxa"/>
            </w:tcMar>
            <w:hideMark/>
          </w:tcPr>
          <w:p w14:paraId="1874243D" w14:textId="77777777" w:rsidR="005E2556" w:rsidRPr="00B275E2" w:rsidRDefault="005E2556" w:rsidP="000E1F19">
            <w:pPr>
              <w:pStyle w:val="TableText"/>
              <w:spacing w:before="40" w:after="40"/>
              <w:rPr>
                <w:rFonts w:cs="Calibri"/>
                <w:szCs w:val="18"/>
              </w:rPr>
            </w:pPr>
            <w:r w:rsidRPr="00B275E2">
              <w:rPr>
                <w:rFonts w:cs="Calibri"/>
                <w:szCs w:val="18"/>
              </w:rPr>
              <w:t>HFE-356mec3 </w:t>
            </w:r>
          </w:p>
        </w:tc>
        <w:tc>
          <w:tcPr>
            <w:tcW w:w="1843" w:type="dxa"/>
            <w:shd w:val="clear" w:color="auto" w:fill="auto"/>
            <w:tcMar>
              <w:left w:w="85" w:type="dxa"/>
              <w:right w:w="85" w:type="dxa"/>
            </w:tcMar>
            <w:hideMark/>
          </w:tcPr>
          <w:p w14:paraId="3A9EF454" w14:textId="693F33A8" w:rsidR="005E2556" w:rsidRPr="00B275E2" w:rsidRDefault="005E2556" w:rsidP="00FD06E4">
            <w:pPr>
              <w:pStyle w:val="TableText"/>
              <w:spacing w:before="40" w:after="40"/>
              <w:rPr>
                <w:rFonts w:cs="Calibri"/>
                <w:szCs w:val="18"/>
              </w:rPr>
            </w:pPr>
            <w:r w:rsidRPr="00B275E2">
              <w:rPr>
                <w:rFonts w:cs="Calibri"/>
                <w:szCs w:val="18"/>
              </w:rPr>
              <w:t>CH</w:t>
            </w:r>
            <w:r w:rsidRPr="00B275E2">
              <w:rPr>
                <w:rFonts w:cs="Calibri"/>
                <w:szCs w:val="18"/>
                <w:vertAlign w:val="subscript"/>
              </w:rPr>
              <w:t>3</w:t>
            </w:r>
            <w:r w:rsidRPr="00B275E2">
              <w:rPr>
                <w:rFonts w:cs="Calibri"/>
                <w:szCs w:val="18"/>
              </w:rPr>
              <w:t>OCF</w:t>
            </w:r>
            <w:r w:rsidRPr="00B275E2">
              <w:rPr>
                <w:rFonts w:cs="Calibri"/>
                <w:szCs w:val="18"/>
                <w:vertAlign w:val="subscript"/>
              </w:rPr>
              <w:t>2</w:t>
            </w:r>
            <w:r w:rsidRPr="00B275E2">
              <w:rPr>
                <w:rFonts w:cs="Calibri"/>
                <w:szCs w:val="18"/>
              </w:rPr>
              <w:t>CHFCF</w:t>
            </w:r>
            <w:r w:rsidRPr="00B275E2">
              <w:rPr>
                <w:rFonts w:cs="Calibri"/>
                <w:szCs w:val="18"/>
                <w:vertAlign w:val="subscript"/>
              </w:rPr>
              <w:t>3</w:t>
            </w:r>
          </w:p>
        </w:tc>
        <w:tc>
          <w:tcPr>
            <w:tcW w:w="709" w:type="dxa"/>
            <w:shd w:val="clear" w:color="auto" w:fill="auto"/>
            <w:tcMar>
              <w:left w:w="85" w:type="dxa"/>
              <w:right w:w="85" w:type="dxa"/>
            </w:tcMar>
            <w:hideMark/>
          </w:tcPr>
          <w:p w14:paraId="7F100EE2" w14:textId="38ADA2C7"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2617E22C" w14:textId="363FD787" w:rsidR="005E2556" w:rsidRPr="00B275E2" w:rsidRDefault="005E2556" w:rsidP="00E627FC">
            <w:pPr>
              <w:pStyle w:val="TableText"/>
              <w:spacing w:before="40" w:after="40"/>
              <w:jc w:val="center"/>
              <w:rPr>
                <w:rFonts w:cs="Calibri"/>
                <w:szCs w:val="18"/>
              </w:rPr>
            </w:pPr>
            <w:r w:rsidRPr="00B275E2">
              <w:rPr>
                <w:rFonts w:cs="Calibri"/>
                <w:szCs w:val="18"/>
              </w:rPr>
              <w:t>n/a</w:t>
            </w:r>
          </w:p>
        </w:tc>
        <w:tc>
          <w:tcPr>
            <w:tcW w:w="1275" w:type="dxa"/>
            <w:shd w:val="clear" w:color="auto" w:fill="auto"/>
            <w:tcMar>
              <w:left w:w="85" w:type="dxa"/>
              <w:right w:w="85" w:type="dxa"/>
            </w:tcMar>
            <w:hideMark/>
          </w:tcPr>
          <w:p w14:paraId="7D4C8560" w14:textId="4A3C1DF9" w:rsidR="005E2556" w:rsidRPr="00B275E2" w:rsidRDefault="005E2556" w:rsidP="00E627FC">
            <w:pPr>
              <w:pStyle w:val="TableText"/>
              <w:spacing w:before="40" w:after="40"/>
              <w:jc w:val="center"/>
              <w:rPr>
                <w:rFonts w:cs="Calibri"/>
                <w:szCs w:val="18"/>
              </w:rPr>
            </w:pPr>
            <w:r w:rsidRPr="00B275E2">
              <w:rPr>
                <w:rFonts w:cs="Calibri"/>
                <w:szCs w:val="18"/>
              </w:rPr>
              <w:t>387</w:t>
            </w:r>
          </w:p>
        </w:tc>
      </w:tr>
      <w:tr w:rsidR="005E2556" w:rsidRPr="00B275E2" w14:paraId="443A82B2" w14:textId="77777777" w:rsidTr="00253FA5">
        <w:tc>
          <w:tcPr>
            <w:tcW w:w="3402" w:type="dxa"/>
            <w:shd w:val="clear" w:color="auto" w:fill="auto"/>
            <w:tcMar>
              <w:left w:w="85" w:type="dxa"/>
              <w:right w:w="85" w:type="dxa"/>
            </w:tcMar>
            <w:hideMark/>
          </w:tcPr>
          <w:p w14:paraId="1FEE89F2" w14:textId="431AC5A7" w:rsidR="005E2556" w:rsidRPr="00B275E2" w:rsidRDefault="00CE23FD" w:rsidP="000E1F19">
            <w:pPr>
              <w:pStyle w:val="TableText"/>
              <w:spacing w:before="40" w:after="40"/>
              <w:rPr>
                <w:rFonts w:cs="Calibri"/>
                <w:szCs w:val="18"/>
              </w:rPr>
            </w:pPr>
            <w:r w:rsidRPr="00B275E2">
              <w:rPr>
                <w:rFonts w:cs="Calibri"/>
                <w:szCs w:val="18"/>
              </w:rPr>
              <w:t>HFE-356pcc3</w:t>
            </w:r>
            <w:r w:rsidR="005E2556" w:rsidRPr="00B275E2">
              <w:rPr>
                <w:rFonts w:cs="Calibri"/>
                <w:szCs w:val="18"/>
              </w:rPr>
              <w:t>HFE-356pcc3</w:t>
            </w:r>
            <w:r w:rsidR="00A42624" w:rsidRPr="00B275E2">
              <w:rPr>
                <w:rFonts w:cs="Calibri"/>
                <w:szCs w:val="18"/>
              </w:rPr>
              <w:t xml:space="preserve"> </w:t>
            </w:r>
          </w:p>
        </w:tc>
        <w:tc>
          <w:tcPr>
            <w:tcW w:w="1843" w:type="dxa"/>
            <w:shd w:val="clear" w:color="auto" w:fill="auto"/>
            <w:tcMar>
              <w:left w:w="85" w:type="dxa"/>
              <w:right w:w="85" w:type="dxa"/>
            </w:tcMar>
            <w:hideMark/>
          </w:tcPr>
          <w:p w14:paraId="1D2EDD5C" w14:textId="57310260" w:rsidR="005E2556" w:rsidRPr="00B275E2" w:rsidRDefault="00DB4555" w:rsidP="00FD06E4">
            <w:pPr>
              <w:pStyle w:val="TableText"/>
              <w:spacing w:before="40" w:after="40"/>
              <w:rPr>
                <w:rFonts w:cs="Calibri"/>
                <w:szCs w:val="18"/>
              </w:rPr>
            </w:pPr>
            <w:r w:rsidRPr="00B275E2">
              <w:rPr>
                <w:rFonts w:cs="Calibri"/>
                <w:szCs w:val="18"/>
              </w:rPr>
              <w:t>CHF</w:t>
            </w:r>
            <w:r w:rsidRPr="00B275E2">
              <w:rPr>
                <w:rFonts w:cs="Calibri"/>
                <w:szCs w:val="18"/>
                <w:vertAlign w:val="subscript"/>
              </w:rPr>
              <w:t>2</w:t>
            </w:r>
            <w:r w:rsidRPr="00B275E2">
              <w:rPr>
                <w:rFonts w:cs="Calibri"/>
                <w:szCs w:val="18"/>
              </w:rPr>
              <w:t>OCF</w:t>
            </w:r>
            <w:r w:rsidRPr="00B275E2">
              <w:rPr>
                <w:rFonts w:cs="Calibri"/>
                <w:szCs w:val="18"/>
                <w:vertAlign w:val="subscript"/>
              </w:rPr>
              <w:t>2</w:t>
            </w:r>
            <w:r w:rsidRPr="00B275E2">
              <w:rPr>
                <w:rFonts w:cs="Calibri"/>
                <w:szCs w:val="18"/>
              </w:rPr>
              <w:t>CF</w:t>
            </w:r>
            <w:r w:rsidRPr="00B275E2">
              <w:rPr>
                <w:rFonts w:cs="Calibri"/>
                <w:szCs w:val="18"/>
                <w:vertAlign w:val="subscript"/>
              </w:rPr>
              <w:t>2</w:t>
            </w:r>
            <w:r w:rsidRPr="00B275E2">
              <w:rPr>
                <w:rFonts w:cs="Calibri"/>
                <w:szCs w:val="18"/>
              </w:rPr>
              <w:t>OCHF</w:t>
            </w:r>
            <w:r w:rsidRPr="00B275E2">
              <w:rPr>
                <w:rFonts w:cs="Calibri"/>
                <w:szCs w:val="18"/>
                <w:vertAlign w:val="subscript"/>
              </w:rPr>
              <w:t>2</w:t>
            </w:r>
            <w:r w:rsidR="00463345" w:rsidRPr="00B275E2">
              <w:rPr>
                <w:rFonts w:cs="Calibri"/>
                <w:szCs w:val="18"/>
                <w:vertAlign w:val="subscript"/>
              </w:rPr>
              <w:br/>
            </w:r>
            <w:r w:rsidRPr="00B275E2">
              <w:rPr>
                <w:rFonts w:cs="Calibri"/>
                <w:szCs w:val="18"/>
              </w:rPr>
              <w:t>CH</w:t>
            </w:r>
            <w:r w:rsidRPr="00B275E2">
              <w:rPr>
                <w:rFonts w:cs="Calibri"/>
                <w:szCs w:val="18"/>
                <w:vertAlign w:val="subscript"/>
              </w:rPr>
              <w:t>3</w:t>
            </w:r>
            <w:r w:rsidRPr="00B275E2">
              <w:rPr>
                <w:rFonts w:cs="Calibri"/>
                <w:szCs w:val="18"/>
              </w:rPr>
              <w:t>OCF</w:t>
            </w:r>
            <w:r w:rsidRPr="00B275E2">
              <w:rPr>
                <w:rFonts w:cs="Calibri"/>
                <w:szCs w:val="18"/>
                <w:vertAlign w:val="subscript"/>
              </w:rPr>
              <w:t>2</w:t>
            </w:r>
            <w:r w:rsidRPr="00B275E2">
              <w:rPr>
                <w:rFonts w:cs="Calibri"/>
                <w:szCs w:val="18"/>
              </w:rPr>
              <w:t>CF</w:t>
            </w:r>
            <w:r w:rsidRPr="00B275E2">
              <w:rPr>
                <w:rFonts w:cs="Calibri"/>
                <w:szCs w:val="18"/>
                <w:vertAlign w:val="subscript"/>
              </w:rPr>
              <w:t>2</w:t>
            </w:r>
            <w:r w:rsidRPr="00B275E2">
              <w:rPr>
                <w:rFonts w:cs="Calibri"/>
                <w:szCs w:val="18"/>
              </w:rPr>
              <w:t>CHF</w:t>
            </w:r>
            <w:r w:rsidRPr="00B275E2">
              <w:rPr>
                <w:rFonts w:cs="Calibri"/>
                <w:szCs w:val="18"/>
                <w:vertAlign w:val="subscript"/>
              </w:rPr>
              <w:t>2</w:t>
            </w:r>
          </w:p>
        </w:tc>
        <w:tc>
          <w:tcPr>
            <w:tcW w:w="709" w:type="dxa"/>
            <w:shd w:val="clear" w:color="auto" w:fill="auto"/>
            <w:tcMar>
              <w:left w:w="85" w:type="dxa"/>
              <w:right w:w="85" w:type="dxa"/>
            </w:tcMar>
            <w:hideMark/>
          </w:tcPr>
          <w:p w14:paraId="29EEE119" w14:textId="784A7199" w:rsidR="005E2556" w:rsidRPr="00B275E2" w:rsidRDefault="00DB4555"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4C3E4B48" w14:textId="7F56C1AE" w:rsidR="005E2556" w:rsidRPr="00B275E2" w:rsidRDefault="005E2556" w:rsidP="00E627FC">
            <w:pPr>
              <w:pStyle w:val="TableText"/>
              <w:spacing w:before="40" w:after="40"/>
              <w:jc w:val="center"/>
              <w:rPr>
                <w:rFonts w:cs="Calibri"/>
                <w:szCs w:val="18"/>
              </w:rPr>
            </w:pPr>
            <w:r w:rsidRPr="00B275E2">
              <w:rPr>
                <w:rFonts w:cs="Calibri"/>
                <w:szCs w:val="18"/>
              </w:rPr>
              <w:t>110</w:t>
            </w:r>
          </w:p>
        </w:tc>
        <w:tc>
          <w:tcPr>
            <w:tcW w:w="1275" w:type="dxa"/>
            <w:shd w:val="clear" w:color="auto" w:fill="auto"/>
            <w:tcMar>
              <w:left w:w="85" w:type="dxa"/>
              <w:right w:w="85" w:type="dxa"/>
            </w:tcMar>
            <w:hideMark/>
          </w:tcPr>
          <w:p w14:paraId="0CDAE2C6" w14:textId="3E512373" w:rsidR="005E2556" w:rsidRPr="00B275E2" w:rsidRDefault="005E2556" w:rsidP="00E627FC">
            <w:pPr>
              <w:pStyle w:val="TableText"/>
              <w:spacing w:before="40" w:after="40"/>
              <w:jc w:val="center"/>
              <w:rPr>
                <w:rFonts w:cs="Calibri"/>
                <w:szCs w:val="18"/>
              </w:rPr>
            </w:pPr>
            <w:r w:rsidRPr="00B275E2">
              <w:rPr>
                <w:rFonts w:cs="Calibri"/>
                <w:szCs w:val="18"/>
              </w:rPr>
              <w:t>413</w:t>
            </w:r>
          </w:p>
        </w:tc>
      </w:tr>
      <w:tr w:rsidR="005E2556" w:rsidRPr="00B275E2" w14:paraId="6942768D" w14:textId="77777777" w:rsidTr="00253FA5">
        <w:tc>
          <w:tcPr>
            <w:tcW w:w="3402" w:type="dxa"/>
            <w:shd w:val="clear" w:color="auto" w:fill="auto"/>
            <w:tcMar>
              <w:left w:w="85" w:type="dxa"/>
              <w:right w:w="85" w:type="dxa"/>
            </w:tcMar>
            <w:hideMark/>
          </w:tcPr>
          <w:p w14:paraId="13B4CC6B" w14:textId="77777777" w:rsidR="005E2556" w:rsidRPr="00B275E2" w:rsidRDefault="005E2556" w:rsidP="000E1F19">
            <w:pPr>
              <w:pStyle w:val="TableText"/>
              <w:spacing w:before="40" w:after="40"/>
              <w:rPr>
                <w:rFonts w:cs="Calibri"/>
                <w:szCs w:val="18"/>
              </w:rPr>
            </w:pPr>
            <w:r w:rsidRPr="00B275E2">
              <w:rPr>
                <w:rFonts w:cs="Calibri"/>
                <w:szCs w:val="18"/>
              </w:rPr>
              <w:t>HFE-356pcf2 </w:t>
            </w:r>
          </w:p>
        </w:tc>
        <w:tc>
          <w:tcPr>
            <w:tcW w:w="1843" w:type="dxa"/>
            <w:shd w:val="clear" w:color="auto" w:fill="auto"/>
            <w:tcMar>
              <w:left w:w="85" w:type="dxa"/>
              <w:right w:w="85" w:type="dxa"/>
            </w:tcMar>
            <w:hideMark/>
          </w:tcPr>
          <w:p w14:paraId="1A12F1FA" w14:textId="5AF4FB75" w:rsidR="005E2556" w:rsidRPr="00B275E2" w:rsidRDefault="005E2556" w:rsidP="00FD06E4">
            <w:pPr>
              <w:pStyle w:val="TableText"/>
              <w:spacing w:before="40" w:after="40"/>
              <w:rPr>
                <w:rFonts w:cs="Calibri"/>
                <w:szCs w:val="18"/>
              </w:rPr>
            </w:pPr>
            <w:r w:rsidRPr="00B275E2">
              <w:rPr>
                <w:rFonts w:cs="Calibri"/>
                <w:szCs w:val="18"/>
              </w:rPr>
              <w:t>CHF</w:t>
            </w:r>
            <w:r w:rsidRPr="00B275E2">
              <w:rPr>
                <w:rFonts w:cs="Calibri"/>
                <w:szCs w:val="18"/>
                <w:vertAlign w:val="subscript"/>
              </w:rPr>
              <w:t>2</w:t>
            </w:r>
            <w:r w:rsidRPr="00B275E2">
              <w:rPr>
                <w:rFonts w:cs="Calibri"/>
                <w:szCs w:val="18"/>
              </w:rPr>
              <w:t>CH</w:t>
            </w:r>
            <w:r w:rsidRPr="00B275E2">
              <w:rPr>
                <w:rFonts w:cs="Calibri"/>
                <w:szCs w:val="18"/>
                <w:vertAlign w:val="subscript"/>
              </w:rPr>
              <w:t>2</w:t>
            </w:r>
            <w:r w:rsidRPr="00B275E2">
              <w:rPr>
                <w:rFonts w:cs="Calibri"/>
                <w:szCs w:val="18"/>
              </w:rPr>
              <w:t>OCF</w:t>
            </w:r>
            <w:r w:rsidRPr="00B275E2">
              <w:rPr>
                <w:rFonts w:cs="Calibri"/>
                <w:szCs w:val="18"/>
                <w:vertAlign w:val="subscript"/>
              </w:rPr>
              <w:t>2</w:t>
            </w:r>
            <w:r w:rsidRPr="00B275E2">
              <w:rPr>
                <w:rFonts w:cs="Calibri"/>
                <w:szCs w:val="18"/>
              </w:rPr>
              <w:t>CHF</w:t>
            </w:r>
            <w:r w:rsidRPr="00B275E2">
              <w:rPr>
                <w:rFonts w:cs="Calibri"/>
                <w:szCs w:val="18"/>
                <w:vertAlign w:val="subscript"/>
              </w:rPr>
              <w:t>2</w:t>
            </w:r>
          </w:p>
        </w:tc>
        <w:tc>
          <w:tcPr>
            <w:tcW w:w="709" w:type="dxa"/>
            <w:shd w:val="clear" w:color="auto" w:fill="auto"/>
            <w:tcMar>
              <w:left w:w="85" w:type="dxa"/>
              <w:right w:w="85" w:type="dxa"/>
            </w:tcMar>
            <w:hideMark/>
          </w:tcPr>
          <w:p w14:paraId="63D9B3C6" w14:textId="035FA188"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31D2965C" w14:textId="49C9DAB4" w:rsidR="005E2556" w:rsidRPr="00B275E2" w:rsidRDefault="005E2556" w:rsidP="00E627FC">
            <w:pPr>
              <w:pStyle w:val="TableText"/>
              <w:spacing w:before="40" w:after="40"/>
              <w:jc w:val="center"/>
              <w:rPr>
                <w:rFonts w:cs="Calibri"/>
                <w:szCs w:val="18"/>
              </w:rPr>
            </w:pPr>
            <w:r w:rsidRPr="00B275E2">
              <w:rPr>
                <w:rFonts w:cs="Calibri"/>
                <w:szCs w:val="18"/>
              </w:rPr>
              <w:t>n/a</w:t>
            </w:r>
          </w:p>
        </w:tc>
        <w:tc>
          <w:tcPr>
            <w:tcW w:w="1275" w:type="dxa"/>
            <w:shd w:val="clear" w:color="auto" w:fill="auto"/>
            <w:tcMar>
              <w:left w:w="85" w:type="dxa"/>
              <w:right w:w="85" w:type="dxa"/>
            </w:tcMar>
            <w:hideMark/>
          </w:tcPr>
          <w:p w14:paraId="76DF22AE" w14:textId="5FD802C1" w:rsidR="005E2556" w:rsidRPr="00B275E2" w:rsidRDefault="005E2556" w:rsidP="00E627FC">
            <w:pPr>
              <w:pStyle w:val="TableText"/>
              <w:spacing w:before="40" w:after="40"/>
              <w:jc w:val="center"/>
              <w:rPr>
                <w:rFonts w:cs="Calibri"/>
                <w:szCs w:val="18"/>
              </w:rPr>
            </w:pPr>
            <w:r w:rsidRPr="00B275E2">
              <w:rPr>
                <w:rFonts w:cs="Calibri"/>
                <w:szCs w:val="18"/>
              </w:rPr>
              <w:t>719</w:t>
            </w:r>
          </w:p>
        </w:tc>
      </w:tr>
      <w:tr w:rsidR="005E2556" w:rsidRPr="00B275E2" w14:paraId="2C976D17" w14:textId="77777777" w:rsidTr="00253FA5">
        <w:tc>
          <w:tcPr>
            <w:tcW w:w="3402" w:type="dxa"/>
            <w:shd w:val="clear" w:color="auto" w:fill="auto"/>
            <w:tcMar>
              <w:left w:w="85" w:type="dxa"/>
              <w:right w:w="85" w:type="dxa"/>
            </w:tcMar>
            <w:hideMark/>
          </w:tcPr>
          <w:p w14:paraId="35CAFD7A" w14:textId="77777777" w:rsidR="005E2556" w:rsidRPr="00B275E2" w:rsidRDefault="005E2556" w:rsidP="000E1F19">
            <w:pPr>
              <w:pStyle w:val="TableText"/>
              <w:spacing w:before="40" w:after="40"/>
              <w:rPr>
                <w:rFonts w:cs="Calibri"/>
                <w:szCs w:val="18"/>
              </w:rPr>
            </w:pPr>
            <w:r w:rsidRPr="00B275E2">
              <w:rPr>
                <w:rFonts w:cs="Calibri"/>
                <w:szCs w:val="18"/>
              </w:rPr>
              <w:t>HFE-356pcf3 </w:t>
            </w:r>
          </w:p>
        </w:tc>
        <w:tc>
          <w:tcPr>
            <w:tcW w:w="1843" w:type="dxa"/>
            <w:shd w:val="clear" w:color="auto" w:fill="auto"/>
            <w:tcMar>
              <w:left w:w="85" w:type="dxa"/>
              <w:right w:w="85" w:type="dxa"/>
            </w:tcMar>
            <w:hideMark/>
          </w:tcPr>
          <w:p w14:paraId="476B0DA2" w14:textId="06C492B6" w:rsidR="005E2556" w:rsidRPr="00B275E2" w:rsidRDefault="005E2556" w:rsidP="00FD06E4">
            <w:pPr>
              <w:pStyle w:val="TableText"/>
              <w:spacing w:before="40" w:after="40"/>
              <w:rPr>
                <w:rFonts w:cs="Calibri"/>
                <w:szCs w:val="18"/>
              </w:rPr>
            </w:pPr>
            <w:r w:rsidRPr="00B275E2">
              <w:rPr>
                <w:rFonts w:cs="Calibri"/>
                <w:szCs w:val="18"/>
              </w:rPr>
              <w:t>CHF</w:t>
            </w:r>
            <w:r w:rsidRPr="00B275E2">
              <w:rPr>
                <w:rFonts w:cs="Calibri"/>
                <w:szCs w:val="18"/>
                <w:vertAlign w:val="subscript"/>
              </w:rPr>
              <w:t>2</w:t>
            </w:r>
            <w:r w:rsidRPr="00B275E2">
              <w:rPr>
                <w:rFonts w:cs="Calibri"/>
                <w:szCs w:val="18"/>
              </w:rPr>
              <w:t>OCH</w:t>
            </w:r>
            <w:r w:rsidRPr="00B275E2">
              <w:rPr>
                <w:rFonts w:cs="Calibri"/>
                <w:szCs w:val="18"/>
                <w:vertAlign w:val="subscript"/>
              </w:rPr>
              <w:t>2</w:t>
            </w:r>
            <w:r w:rsidRPr="00B275E2">
              <w:rPr>
                <w:rFonts w:cs="Calibri"/>
                <w:szCs w:val="18"/>
              </w:rPr>
              <w:t>CF</w:t>
            </w:r>
            <w:r w:rsidRPr="00B275E2">
              <w:rPr>
                <w:rFonts w:cs="Calibri"/>
                <w:szCs w:val="18"/>
                <w:vertAlign w:val="subscript"/>
              </w:rPr>
              <w:t>2</w:t>
            </w:r>
            <w:r w:rsidRPr="00B275E2">
              <w:rPr>
                <w:rFonts w:cs="Calibri"/>
                <w:szCs w:val="18"/>
              </w:rPr>
              <w:t>CHF</w:t>
            </w:r>
            <w:r w:rsidRPr="00B275E2">
              <w:rPr>
                <w:rFonts w:cs="Calibri"/>
                <w:szCs w:val="18"/>
                <w:vertAlign w:val="subscript"/>
              </w:rPr>
              <w:t>2</w:t>
            </w:r>
          </w:p>
        </w:tc>
        <w:tc>
          <w:tcPr>
            <w:tcW w:w="709" w:type="dxa"/>
            <w:shd w:val="clear" w:color="auto" w:fill="auto"/>
            <w:tcMar>
              <w:left w:w="85" w:type="dxa"/>
              <w:right w:w="85" w:type="dxa"/>
            </w:tcMar>
            <w:hideMark/>
          </w:tcPr>
          <w:p w14:paraId="70F6D14C" w14:textId="3E3CFB5A"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47C83B75" w14:textId="7CEE9E5F" w:rsidR="005E2556" w:rsidRPr="00B275E2" w:rsidRDefault="005E2556" w:rsidP="00E627FC">
            <w:pPr>
              <w:pStyle w:val="TableText"/>
              <w:spacing w:before="40" w:after="40"/>
              <w:jc w:val="center"/>
              <w:rPr>
                <w:rFonts w:cs="Calibri"/>
                <w:szCs w:val="18"/>
              </w:rPr>
            </w:pPr>
            <w:r w:rsidRPr="00B275E2">
              <w:rPr>
                <w:rFonts w:cs="Calibri"/>
                <w:szCs w:val="18"/>
              </w:rPr>
              <w:t>n/a</w:t>
            </w:r>
          </w:p>
        </w:tc>
        <w:tc>
          <w:tcPr>
            <w:tcW w:w="1275" w:type="dxa"/>
            <w:shd w:val="clear" w:color="auto" w:fill="auto"/>
            <w:tcMar>
              <w:left w:w="85" w:type="dxa"/>
              <w:right w:w="85" w:type="dxa"/>
            </w:tcMar>
            <w:hideMark/>
          </w:tcPr>
          <w:p w14:paraId="679DD23D" w14:textId="693E90CE" w:rsidR="005E2556" w:rsidRPr="00B275E2" w:rsidRDefault="005E2556" w:rsidP="00E627FC">
            <w:pPr>
              <w:pStyle w:val="TableText"/>
              <w:spacing w:before="40" w:after="40"/>
              <w:jc w:val="center"/>
              <w:rPr>
                <w:rFonts w:cs="Calibri"/>
                <w:szCs w:val="18"/>
              </w:rPr>
            </w:pPr>
            <w:r w:rsidRPr="00B275E2">
              <w:rPr>
                <w:rFonts w:cs="Calibri"/>
                <w:szCs w:val="18"/>
              </w:rPr>
              <w:t>446</w:t>
            </w:r>
          </w:p>
        </w:tc>
      </w:tr>
      <w:tr w:rsidR="005E2556" w:rsidRPr="00B275E2" w14:paraId="447F0698" w14:textId="77777777" w:rsidTr="00253FA5">
        <w:tc>
          <w:tcPr>
            <w:tcW w:w="3402" w:type="dxa"/>
            <w:shd w:val="clear" w:color="auto" w:fill="auto"/>
            <w:tcMar>
              <w:left w:w="85" w:type="dxa"/>
              <w:right w:w="85" w:type="dxa"/>
            </w:tcMar>
            <w:hideMark/>
          </w:tcPr>
          <w:p w14:paraId="4840D9A8" w14:textId="77777777" w:rsidR="005E2556" w:rsidRPr="00B275E2" w:rsidRDefault="005E2556" w:rsidP="000E1F19">
            <w:pPr>
              <w:pStyle w:val="TableText"/>
              <w:spacing w:before="40" w:after="40"/>
              <w:rPr>
                <w:rFonts w:cs="Calibri"/>
                <w:szCs w:val="18"/>
              </w:rPr>
            </w:pPr>
            <w:r w:rsidRPr="00B275E2">
              <w:rPr>
                <w:rFonts w:cs="Calibri"/>
                <w:szCs w:val="18"/>
              </w:rPr>
              <w:t>HFE-365mcf3 </w:t>
            </w:r>
          </w:p>
        </w:tc>
        <w:tc>
          <w:tcPr>
            <w:tcW w:w="1843" w:type="dxa"/>
            <w:shd w:val="clear" w:color="auto" w:fill="auto"/>
            <w:tcMar>
              <w:left w:w="85" w:type="dxa"/>
              <w:right w:w="85" w:type="dxa"/>
            </w:tcMar>
            <w:hideMark/>
          </w:tcPr>
          <w:p w14:paraId="7AEAD4C0" w14:textId="44837E1E" w:rsidR="005E2556" w:rsidRPr="00B275E2" w:rsidRDefault="005E2556" w:rsidP="00FD06E4">
            <w:pPr>
              <w:pStyle w:val="TableText"/>
              <w:spacing w:before="40" w:after="40"/>
              <w:rPr>
                <w:rFonts w:cs="Calibri"/>
                <w:szCs w:val="18"/>
              </w:rPr>
            </w:pPr>
            <w:r w:rsidRPr="00B275E2">
              <w:rPr>
                <w:rFonts w:cs="Calibri"/>
                <w:szCs w:val="18"/>
              </w:rPr>
              <w:t>CF</w:t>
            </w:r>
            <w:r w:rsidRPr="00B275E2">
              <w:rPr>
                <w:rFonts w:cs="Calibri"/>
                <w:szCs w:val="18"/>
                <w:vertAlign w:val="subscript"/>
              </w:rPr>
              <w:t>3</w:t>
            </w:r>
            <w:r w:rsidRPr="00B275E2">
              <w:rPr>
                <w:rFonts w:cs="Calibri"/>
                <w:szCs w:val="18"/>
              </w:rPr>
              <w:t>CF</w:t>
            </w:r>
            <w:r w:rsidRPr="00B275E2">
              <w:rPr>
                <w:rFonts w:cs="Calibri"/>
                <w:szCs w:val="18"/>
                <w:vertAlign w:val="subscript"/>
              </w:rPr>
              <w:t>2</w:t>
            </w:r>
            <w:r w:rsidRPr="00B275E2">
              <w:rPr>
                <w:rFonts w:cs="Calibri"/>
                <w:szCs w:val="18"/>
              </w:rPr>
              <w:t>CH</w:t>
            </w:r>
            <w:r w:rsidRPr="00B275E2">
              <w:rPr>
                <w:rFonts w:cs="Calibri"/>
                <w:szCs w:val="18"/>
                <w:vertAlign w:val="subscript"/>
              </w:rPr>
              <w:t>2</w:t>
            </w:r>
            <w:r w:rsidRPr="00B275E2">
              <w:rPr>
                <w:rFonts w:cs="Calibri"/>
                <w:szCs w:val="18"/>
              </w:rPr>
              <w:t>OCH</w:t>
            </w:r>
            <w:r w:rsidRPr="00B275E2">
              <w:rPr>
                <w:rFonts w:cs="Calibri"/>
                <w:szCs w:val="18"/>
                <w:vertAlign w:val="subscript"/>
              </w:rPr>
              <w:t>3</w:t>
            </w:r>
          </w:p>
        </w:tc>
        <w:tc>
          <w:tcPr>
            <w:tcW w:w="709" w:type="dxa"/>
            <w:shd w:val="clear" w:color="auto" w:fill="auto"/>
            <w:tcMar>
              <w:left w:w="85" w:type="dxa"/>
              <w:right w:w="85" w:type="dxa"/>
            </w:tcMar>
            <w:hideMark/>
          </w:tcPr>
          <w:p w14:paraId="1DF0B7F9" w14:textId="038A1740"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36CE866D" w14:textId="20461710" w:rsidR="005E2556" w:rsidRPr="00B275E2" w:rsidRDefault="005E2556" w:rsidP="00E627FC">
            <w:pPr>
              <w:pStyle w:val="TableText"/>
              <w:spacing w:before="40" w:after="40"/>
              <w:jc w:val="center"/>
              <w:rPr>
                <w:rFonts w:cs="Calibri"/>
                <w:szCs w:val="18"/>
              </w:rPr>
            </w:pPr>
            <w:r w:rsidRPr="00B275E2">
              <w:rPr>
                <w:rFonts w:cs="Calibri"/>
                <w:szCs w:val="18"/>
              </w:rPr>
              <w:t>n/a</w:t>
            </w:r>
          </w:p>
        </w:tc>
        <w:tc>
          <w:tcPr>
            <w:tcW w:w="1275" w:type="dxa"/>
            <w:shd w:val="clear" w:color="auto" w:fill="auto"/>
            <w:tcMar>
              <w:left w:w="85" w:type="dxa"/>
              <w:right w:w="85" w:type="dxa"/>
            </w:tcMar>
            <w:hideMark/>
          </w:tcPr>
          <w:p w14:paraId="2C07DB91" w14:textId="3BEF8DB1" w:rsidR="005E2556" w:rsidRPr="00B275E2" w:rsidRDefault="005E2556" w:rsidP="00E627FC">
            <w:pPr>
              <w:pStyle w:val="TableText"/>
              <w:spacing w:before="40" w:after="40"/>
              <w:jc w:val="center"/>
              <w:rPr>
                <w:rFonts w:cs="Calibri"/>
                <w:szCs w:val="18"/>
              </w:rPr>
            </w:pPr>
            <w:r w:rsidRPr="00B275E2">
              <w:rPr>
                <w:rFonts w:cs="Calibri"/>
                <w:szCs w:val="18"/>
              </w:rPr>
              <w:t>&lt;1</w:t>
            </w:r>
          </w:p>
        </w:tc>
      </w:tr>
      <w:tr w:rsidR="005E2556" w:rsidRPr="00B275E2" w14:paraId="3765E463" w14:textId="77777777" w:rsidTr="00253FA5">
        <w:tc>
          <w:tcPr>
            <w:tcW w:w="3402" w:type="dxa"/>
            <w:shd w:val="clear" w:color="auto" w:fill="auto"/>
            <w:tcMar>
              <w:left w:w="85" w:type="dxa"/>
              <w:right w:w="85" w:type="dxa"/>
            </w:tcMar>
            <w:hideMark/>
          </w:tcPr>
          <w:p w14:paraId="582CC28B" w14:textId="77777777" w:rsidR="005E2556" w:rsidRPr="00B275E2" w:rsidRDefault="005E2556" w:rsidP="000E1F19">
            <w:pPr>
              <w:pStyle w:val="TableText"/>
              <w:spacing w:before="40" w:after="40"/>
              <w:rPr>
                <w:rFonts w:cs="Calibri"/>
                <w:szCs w:val="18"/>
              </w:rPr>
            </w:pPr>
            <w:r w:rsidRPr="00B275E2">
              <w:rPr>
                <w:rFonts w:cs="Calibri"/>
                <w:szCs w:val="18"/>
              </w:rPr>
              <w:t>HFE-374pc2 </w:t>
            </w:r>
          </w:p>
        </w:tc>
        <w:tc>
          <w:tcPr>
            <w:tcW w:w="1843" w:type="dxa"/>
            <w:shd w:val="clear" w:color="auto" w:fill="auto"/>
            <w:tcMar>
              <w:left w:w="85" w:type="dxa"/>
              <w:right w:w="85" w:type="dxa"/>
            </w:tcMar>
            <w:hideMark/>
          </w:tcPr>
          <w:p w14:paraId="483039B8" w14:textId="63AA9743" w:rsidR="005E2556" w:rsidRPr="00B275E2" w:rsidRDefault="005E2556" w:rsidP="00FD06E4">
            <w:pPr>
              <w:pStyle w:val="TableText"/>
              <w:spacing w:before="40" w:after="40"/>
              <w:rPr>
                <w:rFonts w:cs="Calibri"/>
                <w:szCs w:val="18"/>
              </w:rPr>
            </w:pPr>
            <w:r w:rsidRPr="00B275E2">
              <w:rPr>
                <w:rFonts w:cs="Calibri"/>
                <w:szCs w:val="18"/>
              </w:rPr>
              <w:t>CHF</w:t>
            </w:r>
            <w:r w:rsidRPr="00B275E2">
              <w:rPr>
                <w:rFonts w:cs="Calibri"/>
                <w:szCs w:val="18"/>
                <w:vertAlign w:val="subscript"/>
              </w:rPr>
              <w:t>2</w:t>
            </w:r>
            <w:r w:rsidRPr="00B275E2">
              <w:rPr>
                <w:rFonts w:cs="Calibri"/>
                <w:szCs w:val="18"/>
              </w:rPr>
              <w:t>CF</w:t>
            </w:r>
            <w:r w:rsidRPr="00B275E2">
              <w:rPr>
                <w:rFonts w:cs="Calibri"/>
                <w:szCs w:val="18"/>
                <w:vertAlign w:val="subscript"/>
              </w:rPr>
              <w:t>2</w:t>
            </w:r>
            <w:r w:rsidRPr="00B275E2">
              <w:rPr>
                <w:rFonts w:cs="Calibri"/>
                <w:szCs w:val="18"/>
              </w:rPr>
              <w:t>OCH</w:t>
            </w:r>
            <w:r w:rsidRPr="00B275E2">
              <w:rPr>
                <w:rFonts w:cs="Calibri"/>
                <w:szCs w:val="18"/>
                <w:vertAlign w:val="subscript"/>
              </w:rPr>
              <w:t>2</w:t>
            </w:r>
            <w:r w:rsidRPr="00B275E2">
              <w:rPr>
                <w:rFonts w:cs="Calibri"/>
                <w:szCs w:val="18"/>
              </w:rPr>
              <w:t>CH</w:t>
            </w:r>
            <w:r w:rsidRPr="00B275E2">
              <w:rPr>
                <w:rFonts w:cs="Calibri"/>
                <w:szCs w:val="18"/>
                <w:vertAlign w:val="subscript"/>
              </w:rPr>
              <w:t>3</w:t>
            </w:r>
          </w:p>
        </w:tc>
        <w:tc>
          <w:tcPr>
            <w:tcW w:w="709" w:type="dxa"/>
            <w:shd w:val="clear" w:color="auto" w:fill="auto"/>
            <w:tcMar>
              <w:left w:w="85" w:type="dxa"/>
              <w:right w:w="85" w:type="dxa"/>
            </w:tcMar>
            <w:hideMark/>
          </w:tcPr>
          <w:p w14:paraId="7D231EE8" w14:textId="2279DB34"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4765AD08" w14:textId="701B80B6" w:rsidR="005E2556" w:rsidRPr="00B275E2" w:rsidRDefault="005E2556" w:rsidP="00E627FC">
            <w:pPr>
              <w:pStyle w:val="TableText"/>
              <w:spacing w:before="40" w:after="40"/>
              <w:jc w:val="center"/>
              <w:rPr>
                <w:rFonts w:cs="Calibri"/>
                <w:szCs w:val="18"/>
              </w:rPr>
            </w:pPr>
            <w:r w:rsidRPr="00B275E2">
              <w:rPr>
                <w:rFonts w:cs="Calibri"/>
                <w:szCs w:val="18"/>
              </w:rPr>
              <w:t>n/a</w:t>
            </w:r>
          </w:p>
        </w:tc>
        <w:tc>
          <w:tcPr>
            <w:tcW w:w="1275" w:type="dxa"/>
            <w:shd w:val="clear" w:color="auto" w:fill="auto"/>
            <w:tcMar>
              <w:left w:w="85" w:type="dxa"/>
              <w:right w:w="85" w:type="dxa"/>
            </w:tcMar>
            <w:hideMark/>
          </w:tcPr>
          <w:p w14:paraId="22ABE466" w14:textId="6A25B5E8" w:rsidR="005E2556" w:rsidRPr="00B275E2" w:rsidRDefault="005E2556" w:rsidP="00E627FC">
            <w:pPr>
              <w:pStyle w:val="TableText"/>
              <w:spacing w:before="40" w:after="40"/>
              <w:jc w:val="center"/>
              <w:rPr>
                <w:rFonts w:cs="Calibri"/>
                <w:szCs w:val="18"/>
              </w:rPr>
            </w:pPr>
            <w:r w:rsidRPr="00B275E2">
              <w:rPr>
                <w:rFonts w:cs="Calibri"/>
                <w:szCs w:val="18"/>
              </w:rPr>
              <w:t>627</w:t>
            </w:r>
          </w:p>
        </w:tc>
      </w:tr>
      <w:tr w:rsidR="005E2556" w:rsidRPr="00B275E2" w14:paraId="6D55CE75" w14:textId="77777777" w:rsidTr="00253FA5">
        <w:tc>
          <w:tcPr>
            <w:tcW w:w="3402" w:type="dxa"/>
            <w:shd w:val="clear" w:color="auto" w:fill="auto"/>
            <w:tcMar>
              <w:left w:w="85" w:type="dxa"/>
              <w:right w:w="85" w:type="dxa"/>
            </w:tcMar>
            <w:hideMark/>
          </w:tcPr>
          <w:p w14:paraId="5AF780CE" w14:textId="03BB2F5F" w:rsidR="005E2556" w:rsidRPr="00B275E2" w:rsidRDefault="005E2556" w:rsidP="000E1F19">
            <w:pPr>
              <w:pStyle w:val="TableText"/>
              <w:spacing w:before="40" w:after="40"/>
              <w:rPr>
                <w:rFonts w:cs="Calibri"/>
                <w:szCs w:val="18"/>
              </w:rPr>
            </w:pPr>
            <w:r w:rsidRPr="00B275E2">
              <w:rPr>
                <w:rFonts w:cs="Calibri"/>
                <w:szCs w:val="18"/>
              </w:rPr>
              <w:t>HFE-449sl (HFE-7100)</w:t>
            </w:r>
            <w:r w:rsidR="00A42624" w:rsidRPr="00B275E2">
              <w:rPr>
                <w:rFonts w:cs="Calibri"/>
                <w:szCs w:val="18"/>
              </w:rPr>
              <w:t xml:space="preserve"> </w:t>
            </w:r>
          </w:p>
        </w:tc>
        <w:tc>
          <w:tcPr>
            <w:tcW w:w="1843" w:type="dxa"/>
            <w:shd w:val="clear" w:color="auto" w:fill="auto"/>
            <w:tcMar>
              <w:left w:w="85" w:type="dxa"/>
              <w:right w:w="85" w:type="dxa"/>
            </w:tcMar>
            <w:hideMark/>
          </w:tcPr>
          <w:p w14:paraId="64154CAE" w14:textId="37DB2904" w:rsidR="005E2556" w:rsidRPr="00B275E2" w:rsidRDefault="005E2556" w:rsidP="00FD06E4">
            <w:pPr>
              <w:pStyle w:val="TableText"/>
              <w:spacing w:before="40" w:after="40"/>
              <w:rPr>
                <w:rFonts w:cs="Calibri"/>
                <w:szCs w:val="18"/>
              </w:rPr>
            </w:pPr>
            <w:r w:rsidRPr="00B275E2">
              <w:rPr>
                <w:rFonts w:cs="Calibri"/>
                <w:szCs w:val="18"/>
              </w:rPr>
              <w:t>C4F</w:t>
            </w:r>
            <w:r w:rsidRPr="00B275E2">
              <w:rPr>
                <w:rFonts w:cs="Calibri"/>
                <w:szCs w:val="18"/>
                <w:vertAlign w:val="subscript"/>
              </w:rPr>
              <w:t>9</w:t>
            </w:r>
            <w:r w:rsidRPr="00B275E2">
              <w:rPr>
                <w:rFonts w:cs="Calibri"/>
                <w:szCs w:val="18"/>
              </w:rPr>
              <w:t>OCH</w:t>
            </w:r>
            <w:r w:rsidRPr="00B275E2">
              <w:rPr>
                <w:rFonts w:cs="Calibri"/>
                <w:szCs w:val="18"/>
                <w:vertAlign w:val="subscript"/>
              </w:rPr>
              <w:t>3</w:t>
            </w:r>
          </w:p>
        </w:tc>
        <w:tc>
          <w:tcPr>
            <w:tcW w:w="709" w:type="dxa"/>
            <w:shd w:val="clear" w:color="auto" w:fill="auto"/>
            <w:tcMar>
              <w:left w:w="85" w:type="dxa"/>
              <w:right w:w="85" w:type="dxa"/>
            </w:tcMar>
            <w:hideMark/>
          </w:tcPr>
          <w:p w14:paraId="202B93FE" w14:textId="6DC15119"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42D93683" w14:textId="43C085C9" w:rsidR="005E2556" w:rsidRPr="00B275E2" w:rsidRDefault="005E2556" w:rsidP="00E627FC">
            <w:pPr>
              <w:pStyle w:val="TableText"/>
              <w:spacing w:before="40" w:after="40"/>
              <w:jc w:val="center"/>
              <w:rPr>
                <w:rFonts w:cs="Calibri"/>
                <w:szCs w:val="18"/>
              </w:rPr>
            </w:pPr>
            <w:r w:rsidRPr="00B275E2">
              <w:rPr>
                <w:rFonts w:cs="Calibri"/>
                <w:szCs w:val="18"/>
              </w:rPr>
              <w:t>297</w:t>
            </w:r>
          </w:p>
        </w:tc>
        <w:tc>
          <w:tcPr>
            <w:tcW w:w="1275" w:type="dxa"/>
            <w:shd w:val="clear" w:color="auto" w:fill="auto"/>
            <w:tcMar>
              <w:left w:w="85" w:type="dxa"/>
              <w:right w:w="85" w:type="dxa"/>
            </w:tcMar>
            <w:hideMark/>
          </w:tcPr>
          <w:p w14:paraId="220D251F" w14:textId="4BD93733" w:rsidR="005E2556" w:rsidRPr="00B275E2" w:rsidRDefault="005E2556" w:rsidP="00E627FC">
            <w:pPr>
              <w:pStyle w:val="TableText"/>
              <w:spacing w:before="40" w:after="40"/>
              <w:jc w:val="center"/>
              <w:rPr>
                <w:rFonts w:cs="Calibri"/>
                <w:szCs w:val="18"/>
              </w:rPr>
            </w:pPr>
            <w:r w:rsidRPr="00B275E2">
              <w:rPr>
                <w:rFonts w:cs="Calibri"/>
                <w:szCs w:val="18"/>
              </w:rPr>
              <w:t>421</w:t>
            </w:r>
          </w:p>
        </w:tc>
      </w:tr>
      <w:tr w:rsidR="005E2556" w:rsidRPr="00B275E2" w14:paraId="490D4CAC" w14:textId="77777777" w:rsidTr="00253FA5">
        <w:tc>
          <w:tcPr>
            <w:tcW w:w="3402" w:type="dxa"/>
            <w:shd w:val="clear" w:color="auto" w:fill="auto"/>
            <w:tcMar>
              <w:left w:w="85" w:type="dxa"/>
              <w:right w:w="85" w:type="dxa"/>
            </w:tcMar>
            <w:hideMark/>
          </w:tcPr>
          <w:p w14:paraId="0FDE4130" w14:textId="2318017B" w:rsidR="005E2556" w:rsidRPr="00B275E2" w:rsidRDefault="005E2556" w:rsidP="000E1F19">
            <w:pPr>
              <w:pStyle w:val="TableText"/>
              <w:spacing w:before="40" w:after="40"/>
              <w:rPr>
                <w:rFonts w:cs="Calibri"/>
                <w:szCs w:val="18"/>
              </w:rPr>
            </w:pPr>
            <w:r w:rsidRPr="00B275E2">
              <w:rPr>
                <w:rFonts w:cs="Calibri"/>
                <w:szCs w:val="18"/>
              </w:rPr>
              <w:t>HFE-569sf2 (HFE-7200)</w:t>
            </w:r>
            <w:r w:rsidR="00A42624" w:rsidRPr="00B275E2">
              <w:rPr>
                <w:rFonts w:cs="Calibri"/>
                <w:szCs w:val="18"/>
              </w:rPr>
              <w:t xml:space="preserve"> </w:t>
            </w:r>
          </w:p>
        </w:tc>
        <w:tc>
          <w:tcPr>
            <w:tcW w:w="1843" w:type="dxa"/>
            <w:shd w:val="clear" w:color="auto" w:fill="auto"/>
            <w:tcMar>
              <w:left w:w="85" w:type="dxa"/>
              <w:right w:w="85" w:type="dxa"/>
            </w:tcMar>
            <w:hideMark/>
          </w:tcPr>
          <w:p w14:paraId="5C778A74" w14:textId="2C511356" w:rsidR="005E2556" w:rsidRPr="00B275E2" w:rsidRDefault="005E2556" w:rsidP="00FD06E4">
            <w:pPr>
              <w:pStyle w:val="TableText"/>
              <w:spacing w:before="40" w:after="40"/>
              <w:rPr>
                <w:rFonts w:cs="Calibri"/>
                <w:szCs w:val="18"/>
              </w:rPr>
            </w:pPr>
            <w:r w:rsidRPr="00B275E2">
              <w:rPr>
                <w:rFonts w:cs="Calibri"/>
                <w:szCs w:val="18"/>
              </w:rPr>
              <w:t>C</w:t>
            </w:r>
            <w:r w:rsidRPr="00B275E2">
              <w:rPr>
                <w:rFonts w:cs="Calibri"/>
                <w:szCs w:val="18"/>
                <w:vertAlign w:val="subscript"/>
              </w:rPr>
              <w:t>4</w:t>
            </w:r>
            <w:r w:rsidRPr="00B275E2">
              <w:rPr>
                <w:rFonts w:cs="Calibri"/>
                <w:szCs w:val="18"/>
              </w:rPr>
              <w:t>F</w:t>
            </w:r>
            <w:r w:rsidRPr="00B275E2">
              <w:rPr>
                <w:rFonts w:cs="Calibri"/>
                <w:szCs w:val="18"/>
                <w:vertAlign w:val="subscript"/>
              </w:rPr>
              <w:t>9</w:t>
            </w:r>
            <w:r w:rsidRPr="00B275E2">
              <w:rPr>
                <w:rFonts w:cs="Calibri"/>
                <w:szCs w:val="18"/>
              </w:rPr>
              <w:t>OC</w:t>
            </w:r>
            <w:r w:rsidRPr="00B275E2">
              <w:rPr>
                <w:rFonts w:cs="Calibri"/>
                <w:szCs w:val="18"/>
                <w:vertAlign w:val="subscript"/>
              </w:rPr>
              <w:t>2</w:t>
            </w:r>
            <w:r w:rsidRPr="00B275E2">
              <w:rPr>
                <w:rFonts w:cs="Calibri"/>
                <w:szCs w:val="18"/>
              </w:rPr>
              <w:t>H</w:t>
            </w:r>
            <w:r w:rsidRPr="00B275E2">
              <w:rPr>
                <w:rFonts w:cs="Calibri"/>
                <w:szCs w:val="18"/>
                <w:vertAlign w:val="subscript"/>
              </w:rPr>
              <w:t>5</w:t>
            </w:r>
          </w:p>
        </w:tc>
        <w:tc>
          <w:tcPr>
            <w:tcW w:w="709" w:type="dxa"/>
            <w:shd w:val="clear" w:color="auto" w:fill="auto"/>
            <w:tcMar>
              <w:left w:w="85" w:type="dxa"/>
              <w:right w:w="85" w:type="dxa"/>
            </w:tcMar>
            <w:hideMark/>
          </w:tcPr>
          <w:p w14:paraId="710770EF" w14:textId="3D5F8968"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45847723" w14:textId="67278ECB" w:rsidR="005E2556" w:rsidRPr="00B275E2" w:rsidRDefault="005E2556" w:rsidP="00E627FC">
            <w:pPr>
              <w:pStyle w:val="TableText"/>
              <w:spacing w:before="40" w:after="40"/>
              <w:jc w:val="center"/>
              <w:rPr>
                <w:rFonts w:cs="Calibri"/>
                <w:szCs w:val="18"/>
              </w:rPr>
            </w:pPr>
            <w:r w:rsidRPr="00B275E2">
              <w:rPr>
                <w:rFonts w:cs="Calibri"/>
                <w:szCs w:val="18"/>
              </w:rPr>
              <w:t>59</w:t>
            </w:r>
          </w:p>
        </w:tc>
        <w:tc>
          <w:tcPr>
            <w:tcW w:w="1275" w:type="dxa"/>
            <w:shd w:val="clear" w:color="auto" w:fill="auto"/>
            <w:tcMar>
              <w:left w:w="85" w:type="dxa"/>
              <w:right w:w="85" w:type="dxa"/>
            </w:tcMar>
            <w:hideMark/>
          </w:tcPr>
          <w:p w14:paraId="05DB4C5D" w14:textId="739DF7D5" w:rsidR="005E2556" w:rsidRPr="00B275E2" w:rsidRDefault="005E2556" w:rsidP="00E627FC">
            <w:pPr>
              <w:pStyle w:val="TableText"/>
              <w:spacing w:before="40" w:after="40"/>
              <w:jc w:val="center"/>
              <w:rPr>
                <w:rFonts w:cs="Calibri"/>
                <w:szCs w:val="18"/>
              </w:rPr>
            </w:pPr>
            <w:r w:rsidRPr="00B275E2">
              <w:rPr>
                <w:rFonts w:cs="Calibri"/>
                <w:szCs w:val="18"/>
              </w:rPr>
              <w:t>57</w:t>
            </w:r>
          </w:p>
        </w:tc>
      </w:tr>
      <w:tr w:rsidR="005E2556" w:rsidRPr="00B275E2" w14:paraId="62D6016F" w14:textId="77777777" w:rsidTr="00253FA5">
        <w:tc>
          <w:tcPr>
            <w:tcW w:w="3402" w:type="dxa"/>
            <w:shd w:val="clear" w:color="auto" w:fill="auto"/>
            <w:tcMar>
              <w:left w:w="85" w:type="dxa"/>
              <w:right w:w="85" w:type="dxa"/>
            </w:tcMar>
            <w:hideMark/>
          </w:tcPr>
          <w:p w14:paraId="1E4347DD" w14:textId="1F061FE4" w:rsidR="005E2556" w:rsidRPr="00B275E2" w:rsidRDefault="005E2556" w:rsidP="000E1F19">
            <w:pPr>
              <w:pStyle w:val="TableText"/>
              <w:spacing w:before="40" w:after="40"/>
              <w:rPr>
                <w:rFonts w:cs="Calibri"/>
                <w:szCs w:val="18"/>
              </w:rPr>
            </w:pPr>
            <w:r w:rsidRPr="00B275E2">
              <w:rPr>
                <w:rFonts w:cs="Calibri"/>
                <w:szCs w:val="18"/>
              </w:rPr>
              <w:t>HFE-43-10pccc124 (H-Galden 1040x)</w:t>
            </w:r>
            <w:r w:rsidR="00A42624" w:rsidRPr="00B275E2">
              <w:rPr>
                <w:rFonts w:cs="Calibri"/>
                <w:szCs w:val="18"/>
              </w:rPr>
              <w:t xml:space="preserve"> </w:t>
            </w:r>
          </w:p>
        </w:tc>
        <w:tc>
          <w:tcPr>
            <w:tcW w:w="1843" w:type="dxa"/>
            <w:shd w:val="clear" w:color="auto" w:fill="auto"/>
            <w:tcMar>
              <w:left w:w="85" w:type="dxa"/>
              <w:right w:w="85" w:type="dxa"/>
            </w:tcMar>
            <w:hideMark/>
          </w:tcPr>
          <w:p w14:paraId="1628B9E9" w14:textId="15273958" w:rsidR="005E2556" w:rsidRPr="00B275E2" w:rsidRDefault="005E2556" w:rsidP="00FD06E4">
            <w:pPr>
              <w:pStyle w:val="TableText"/>
              <w:spacing w:before="40" w:after="40"/>
              <w:rPr>
                <w:rFonts w:cs="Calibri"/>
                <w:szCs w:val="18"/>
              </w:rPr>
            </w:pPr>
            <w:r w:rsidRPr="00B275E2">
              <w:rPr>
                <w:rFonts w:cs="Calibri"/>
                <w:szCs w:val="18"/>
              </w:rPr>
              <w:t>CHF</w:t>
            </w:r>
            <w:r w:rsidRPr="00B275E2">
              <w:rPr>
                <w:rFonts w:cs="Calibri"/>
                <w:szCs w:val="18"/>
                <w:vertAlign w:val="subscript"/>
              </w:rPr>
              <w:t>2</w:t>
            </w:r>
            <w:r w:rsidRPr="00B275E2">
              <w:rPr>
                <w:rFonts w:cs="Calibri"/>
                <w:szCs w:val="18"/>
              </w:rPr>
              <w:t>OCF</w:t>
            </w:r>
            <w:r w:rsidRPr="00B275E2">
              <w:rPr>
                <w:rFonts w:cs="Calibri"/>
                <w:szCs w:val="18"/>
                <w:vertAlign w:val="subscript"/>
              </w:rPr>
              <w:t>2</w:t>
            </w:r>
            <w:r w:rsidRPr="00B275E2">
              <w:rPr>
                <w:rFonts w:cs="Calibri"/>
                <w:szCs w:val="18"/>
              </w:rPr>
              <w:t>OC</w:t>
            </w:r>
            <w:r w:rsidRPr="00B275E2">
              <w:rPr>
                <w:rFonts w:cs="Calibri"/>
                <w:szCs w:val="18"/>
                <w:vertAlign w:val="subscript"/>
              </w:rPr>
              <w:t>2</w:t>
            </w:r>
            <w:r w:rsidRPr="00B275E2">
              <w:rPr>
                <w:rFonts w:cs="Calibri"/>
                <w:szCs w:val="18"/>
              </w:rPr>
              <w:t>F</w:t>
            </w:r>
            <w:r w:rsidRPr="00B275E2">
              <w:rPr>
                <w:rFonts w:cs="Calibri"/>
                <w:szCs w:val="18"/>
                <w:vertAlign w:val="subscript"/>
              </w:rPr>
              <w:t>4</w:t>
            </w:r>
            <w:r w:rsidRPr="00B275E2">
              <w:rPr>
                <w:rFonts w:cs="Calibri"/>
                <w:szCs w:val="18"/>
              </w:rPr>
              <w:t>OCHF</w:t>
            </w:r>
            <w:r w:rsidRPr="00B275E2">
              <w:rPr>
                <w:rFonts w:cs="Calibri"/>
                <w:szCs w:val="18"/>
                <w:vertAlign w:val="subscript"/>
              </w:rPr>
              <w:t>2</w:t>
            </w:r>
          </w:p>
        </w:tc>
        <w:tc>
          <w:tcPr>
            <w:tcW w:w="709" w:type="dxa"/>
            <w:shd w:val="clear" w:color="auto" w:fill="auto"/>
            <w:tcMar>
              <w:left w:w="85" w:type="dxa"/>
              <w:right w:w="85" w:type="dxa"/>
            </w:tcMar>
            <w:hideMark/>
          </w:tcPr>
          <w:p w14:paraId="3370E434" w14:textId="1CCFA14A"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0CEF8073" w14:textId="0E398A69" w:rsidR="005E2556" w:rsidRPr="00B275E2" w:rsidRDefault="005E2556" w:rsidP="00E627FC">
            <w:pPr>
              <w:pStyle w:val="TableText"/>
              <w:spacing w:before="40" w:after="40"/>
              <w:jc w:val="center"/>
              <w:rPr>
                <w:rFonts w:cs="Calibri"/>
                <w:szCs w:val="18"/>
              </w:rPr>
            </w:pPr>
            <w:r w:rsidRPr="00B275E2">
              <w:rPr>
                <w:rFonts w:cs="Calibri"/>
                <w:szCs w:val="18"/>
              </w:rPr>
              <w:t>1,870</w:t>
            </w:r>
          </w:p>
        </w:tc>
        <w:tc>
          <w:tcPr>
            <w:tcW w:w="1275" w:type="dxa"/>
            <w:shd w:val="clear" w:color="auto" w:fill="auto"/>
            <w:tcMar>
              <w:left w:w="85" w:type="dxa"/>
              <w:right w:w="85" w:type="dxa"/>
            </w:tcMar>
            <w:hideMark/>
          </w:tcPr>
          <w:p w14:paraId="5B1F8249" w14:textId="507FA480" w:rsidR="005E2556" w:rsidRPr="00B275E2" w:rsidRDefault="005E2556" w:rsidP="00E627FC">
            <w:pPr>
              <w:pStyle w:val="TableText"/>
              <w:spacing w:before="40" w:after="40"/>
              <w:jc w:val="center"/>
              <w:rPr>
                <w:rFonts w:cs="Calibri"/>
                <w:szCs w:val="18"/>
              </w:rPr>
            </w:pPr>
            <w:r w:rsidRPr="00B275E2">
              <w:rPr>
                <w:rFonts w:cs="Calibri"/>
                <w:szCs w:val="18"/>
              </w:rPr>
              <w:t>2,820</w:t>
            </w:r>
          </w:p>
        </w:tc>
      </w:tr>
      <w:tr w:rsidR="005E2556" w:rsidRPr="00B275E2" w14:paraId="09E6EF36" w14:textId="77777777" w:rsidTr="00253FA5">
        <w:tc>
          <w:tcPr>
            <w:tcW w:w="3402" w:type="dxa"/>
            <w:shd w:val="clear" w:color="auto" w:fill="auto"/>
            <w:tcMar>
              <w:left w:w="85" w:type="dxa"/>
              <w:right w:w="85" w:type="dxa"/>
            </w:tcMar>
            <w:hideMark/>
          </w:tcPr>
          <w:p w14:paraId="4701F423" w14:textId="723779D5" w:rsidR="005E2556" w:rsidRPr="00B275E2" w:rsidRDefault="005E2556" w:rsidP="000E1F19">
            <w:pPr>
              <w:pStyle w:val="TableText"/>
              <w:spacing w:before="40" w:after="40"/>
              <w:rPr>
                <w:rFonts w:cs="Calibri"/>
                <w:szCs w:val="18"/>
              </w:rPr>
            </w:pPr>
            <w:r w:rsidRPr="00B275E2">
              <w:rPr>
                <w:rFonts w:cs="Calibri"/>
                <w:szCs w:val="18"/>
              </w:rPr>
              <w:t>HFE-236ca12 (HG-10)</w:t>
            </w:r>
            <w:r w:rsidR="00A42624" w:rsidRPr="00B275E2">
              <w:rPr>
                <w:rFonts w:cs="Calibri"/>
                <w:szCs w:val="18"/>
              </w:rPr>
              <w:t xml:space="preserve"> </w:t>
            </w:r>
          </w:p>
        </w:tc>
        <w:tc>
          <w:tcPr>
            <w:tcW w:w="1843" w:type="dxa"/>
            <w:shd w:val="clear" w:color="auto" w:fill="auto"/>
            <w:tcMar>
              <w:left w:w="85" w:type="dxa"/>
              <w:right w:w="85" w:type="dxa"/>
            </w:tcMar>
            <w:hideMark/>
          </w:tcPr>
          <w:p w14:paraId="30FFC360" w14:textId="646B4FD3" w:rsidR="005E2556" w:rsidRPr="00B275E2" w:rsidRDefault="005E2556" w:rsidP="00FD06E4">
            <w:pPr>
              <w:pStyle w:val="TableText"/>
              <w:spacing w:before="40" w:after="40"/>
              <w:rPr>
                <w:rFonts w:cs="Calibri"/>
                <w:szCs w:val="18"/>
              </w:rPr>
            </w:pPr>
            <w:r w:rsidRPr="00B275E2">
              <w:rPr>
                <w:rFonts w:cs="Calibri"/>
                <w:szCs w:val="18"/>
              </w:rPr>
              <w:t>CHF</w:t>
            </w:r>
            <w:r w:rsidRPr="00B275E2">
              <w:rPr>
                <w:rFonts w:cs="Calibri"/>
                <w:szCs w:val="18"/>
                <w:vertAlign w:val="subscript"/>
              </w:rPr>
              <w:t>2</w:t>
            </w:r>
            <w:r w:rsidRPr="00B275E2">
              <w:rPr>
                <w:rFonts w:cs="Calibri"/>
                <w:szCs w:val="18"/>
              </w:rPr>
              <w:t>OCF</w:t>
            </w:r>
            <w:r w:rsidRPr="00B275E2">
              <w:rPr>
                <w:rFonts w:cs="Calibri"/>
                <w:szCs w:val="18"/>
                <w:vertAlign w:val="subscript"/>
              </w:rPr>
              <w:t>2</w:t>
            </w:r>
            <w:r w:rsidRPr="00B275E2">
              <w:rPr>
                <w:rFonts w:cs="Calibri"/>
                <w:szCs w:val="18"/>
              </w:rPr>
              <w:t>OCHF</w:t>
            </w:r>
            <w:r w:rsidRPr="00B275E2">
              <w:rPr>
                <w:rFonts w:cs="Calibri"/>
                <w:szCs w:val="18"/>
                <w:vertAlign w:val="subscript"/>
              </w:rPr>
              <w:t>2</w:t>
            </w:r>
          </w:p>
        </w:tc>
        <w:tc>
          <w:tcPr>
            <w:tcW w:w="709" w:type="dxa"/>
            <w:shd w:val="clear" w:color="auto" w:fill="auto"/>
            <w:tcMar>
              <w:left w:w="85" w:type="dxa"/>
              <w:right w:w="85" w:type="dxa"/>
            </w:tcMar>
            <w:hideMark/>
          </w:tcPr>
          <w:p w14:paraId="5EF6F97D" w14:textId="03E2377C"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43CE126B" w14:textId="4BD6B1D8" w:rsidR="005E2556" w:rsidRPr="00B275E2" w:rsidRDefault="005E2556" w:rsidP="00E627FC">
            <w:pPr>
              <w:pStyle w:val="TableText"/>
              <w:spacing w:before="40" w:after="40"/>
              <w:jc w:val="center"/>
              <w:rPr>
                <w:rFonts w:cs="Calibri"/>
                <w:szCs w:val="18"/>
              </w:rPr>
            </w:pPr>
            <w:r w:rsidRPr="00B275E2">
              <w:rPr>
                <w:rFonts w:cs="Calibri"/>
                <w:szCs w:val="18"/>
              </w:rPr>
              <w:t>2,800</w:t>
            </w:r>
          </w:p>
        </w:tc>
        <w:tc>
          <w:tcPr>
            <w:tcW w:w="1275" w:type="dxa"/>
            <w:shd w:val="clear" w:color="auto" w:fill="auto"/>
            <w:tcMar>
              <w:left w:w="85" w:type="dxa"/>
              <w:right w:w="85" w:type="dxa"/>
            </w:tcMar>
            <w:hideMark/>
          </w:tcPr>
          <w:p w14:paraId="53A55CD3" w14:textId="0671822A" w:rsidR="005E2556" w:rsidRPr="00B275E2" w:rsidRDefault="005E2556" w:rsidP="00E627FC">
            <w:pPr>
              <w:pStyle w:val="TableText"/>
              <w:spacing w:before="40" w:after="40"/>
              <w:jc w:val="center"/>
              <w:rPr>
                <w:rFonts w:cs="Calibri"/>
                <w:szCs w:val="18"/>
              </w:rPr>
            </w:pPr>
            <w:r w:rsidRPr="00B275E2">
              <w:rPr>
                <w:rFonts w:cs="Calibri"/>
                <w:szCs w:val="18"/>
              </w:rPr>
              <w:t>5,350</w:t>
            </w:r>
          </w:p>
        </w:tc>
      </w:tr>
      <w:tr w:rsidR="005E2556" w:rsidRPr="00B275E2" w14:paraId="1B18CE75" w14:textId="77777777" w:rsidTr="00253FA5">
        <w:tc>
          <w:tcPr>
            <w:tcW w:w="3402" w:type="dxa"/>
            <w:shd w:val="clear" w:color="auto" w:fill="auto"/>
            <w:tcMar>
              <w:left w:w="85" w:type="dxa"/>
              <w:right w:w="85" w:type="dxa"/>
            </w:tcMar>
            <w:hideMark/>
          </w:tcPr>
          <w:p w14:paraId="7B7394F3" w14:textId="0C735A50" w:rsidR="005E2556" w:rsidRPr="00B275E2" w:rsidRDefault="005E2556" w:rsidP="000E1F19">
            <w:pPr>
              <w:pStyle w:val="TableText"/>
              <w:spacing w:before="40" w:after="40"/>
              <w:rPr>
                <w:rFonts w:cs="Calibri"/>
                <w:szCs w:val="18"/>
              </w:rPr>
            </w:pPr>
            <w:r w:rsidRPr="00B275E2">
              <w:rPr>
                <w:rFonts w:cs="Calibri"/>
                <w:szCs w:val="18"/>
              </w:rPr>
              <w:t>HFE-338pcc13 (HG-01)</w:t>
            </w:r>
            <w:r w:rsidR="00A42624" w:rsidRPr="00B275E2">
              <w:rPr>
                <w:rFonts w:cs="Calibri"/>
                <w:szCs w:val="18"/>
              </w:rPr>
              <w:t xml:space="preserve"> </w:t>
            </w:r>
          </w:p>
        </w:tc>
        <w:tc>
          <w:tcPr>
            <w:tcW w:w="1843" w:type="dxa"/>
            <w:shd w:val="clear" w:color="auto" w:fill="auto"/>
            <w:tcMar>
              <w:left w:w="85" w:type="dxa"/>
              <w:right w:w="85" w:type="dxa"/>
            </w:tcMar>
            <w:hideMark/>
          </w:tcPr>
          <w:p w14:paraId="1C26202C" w14:textId="18773DC2" w:rsidR="005E2556" w:rsidRPr="00B275E2" w:rsidRDefault="005E2556" w:rsidP="00FD06E4">
            <w:pPr>
              <w:pStyle w:val="TableText"/>
              <w:spacing w:before="40" w:after="40"/>
              <w:rPr>
                <w:rFonts w:cs="Calibri"/>
                <w:szCs w:val="18"/>
              </w:rPr>
            </w:pPr>
            <w:r w:rsidRPr="00B275E2">
              <w:rPr>
                <w:rFonts w:cs="Calibri"/>
                <w:szCs w:val="18"/>
              </w:rPr>
              <w:t>CHF</w:t>
            </w:r>
            <w:r w:rsidRPr="00B275E2">
              <w:rPr>
                <w:rFonts w:cs="Calibri"/>
                <w:szCs w:val="18"/>
                <w:vertAlign w:val="subscript"/>
              </w:rPr>
              <w:t>2</w:t>
            </w:r>
            <w:r w:rsidRPr="00B275E2">
              <w:rPr>
                <w:rFonts w:cs="Calibri"/>
                <w:szCs w:val="18"/>
              </w:rPr>
              <w:t>OCF</w:t>
            </w:r>
            <w:r w:rsidRPr="00B275E2">
              <w:rPr>
                <w:rFonts w:cs="Calibri"/>
                <w:szCs w:val="18"/>
                <w:vertAlign w:val="subscript"/>
              </w:rPr>
              <w:t>2</w:t>
            </w:r>
            <w:r w:rsidRPr="00B275E2">
              <w:rPr>
                <w:rFonts w:cs="Calibri"/>
                <w:szCs w:val="18"/>
              </w:rPr>
              <w:t>CF</w:t>
            </w:r>
            <w:r w:rsidRPr="00B275E2">
              <w:rPr>
                <w:rFonts w:cs="Calibri"/>
                <w:szCs w:val="18"/>
                <w:vertAlign w:val="subscript"/>
              </w:rPr>
              <w:t>2</w:t>
            </w:r>
            <w:r w:rsidRPr="00B275E2">
              <w:rPr>
                <w:rFonts w:cs="Calibri"/>
                <w:szCs w:val="18"/>
              </w:rPr>
              <w:t>OCHF</w:t>
            </w:r>
            <w:r w:rsidRPr="00B275E2">
              <w:rPr>
                <w:rFonts w:cs="Calibri"/>
                <w:szCs w:val="18"/>
                <w:vertAlign w:val="subscript"/>
              </w:rPr>
              <w:t>2</w:t>
            </w:r>
          </w:p>
        </w:tc>
        <w:tc>
          <w:tcPr>
            <w:tcW w:w="709" w:type="dxa"/>
            <w:shd w:val="clear" w:color="auto" w:fill="auto"/>
            <w:tcMar>
              <w:left w:w="85" w:type="dxa"/>
              <w:right w:w="85" w:type="dxa"/>
            </w:tcMar>
            <w:hideMark/>
          </w:tcPr>
          <w:p w14:paraId="7DACEF0E" w14:textId="3188E750"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6E5BD954" w14:textId="4B9B3ECD" w:rsidR="005E2556" w:rsidRPr="00B275E2" w:rsidRDefault="005E2556" w:rsidP="00E627FC">
            <w:pPr>
              <w:pStyle w:val="TableText"/>
              <w:spacing w:before="40" w:after="40"/>
              <w:jc w:val="center"/>
              <w:rPr>
                <w:rFonts w:cs="Calibri"/>
                <w:szCs w:val="18"/>
              </w:rPr>
            </w:pPr>
            <w:r w:rsidRPr="00B275E2">
              <w:rPr>
                <w:rFonts w:cs="Calibri"/>
                <w:szCs w:val="18"/>
              </w:rPr>
              <w:t>1,500</w:t>
            </w:r>
          </w:p>
        </w:tc>
        <w:tc>
          <w:tcPr>
            <w:tcW w:w="1275" w:type="dxa"/>
            <w:shd w:val="clear" w:color="auto" w:fill="auto"/>
            <w:tcMar>
              <w:left w:w="85" w:type="dxa"/>
              <w:right w:w="85" w:type="dxa"/>
            </w:tcMar>
            <w:hideMark/>
          </w:tcPr>
          <w:p w14:paraId="54AD656C" w14:textId="1DC52B7F" w:rsidR="005E2556" w:rsidRPr="00B275E2" w:rsidRDefault="005E2556" w:rsidP="00E627FC">
            <w:pPr>
              <w:pStyle w:val="TableText"/>
              <w:spacing w:before="40" w:after="40"/>
              <w:jc w:val="center"/>
              <w:rPr>
                <w:rFonts w:cs="Calibri"/>
                <w:szCs w:val="18"/>
              </w:rPr>
            </w:pPr>
            <w:r w:rsidRPr="00B275E2">
              <w:rPr>
                <w:rFonts w:cs="Calibri"/>
                <w:szCs w:val="18"/>
              </w:rPr>
              <w:t>2,910</w:t>
            </w:r>
          </w:p>
        </w:tc>
      </w:tr>
      <w:tr w:rsidR="005E2556" w:rsidRPr="00B275E2" w14:paraId="71C5ED1F" w14:textId="77777777" w:rsidTr="00253FA5">
        <w:tc>
          <w:tcPr>
            <w:tcW w:w="7230" w:type="dxa"/>
            <w:gridSpan w:val="4"/>
            <w:shd w:val="clear" w:color="auto" w:fill="D2DDE2"/>
            <w:tcMar>
              <w:left w:w="85" w:type="dxa"/>
              <w:right w:w="85" w:type="dxa"/>
            </w:tcMar>
            <w:hideMark/>
          </w:tcPr>
          <w:p w14:paraId="21B51966" w14:textId="78FBC243" w:rsidR="005E2556" w:rsidRPr="00B275E2" w:rsidRDefault="005E2556" w:rsidP="00FD06E4">
            <w:pPr>
              <w:pStyle w:val="TableText"/>
              <w:spacing w:before="40" w:after="40"/>
              <w:rPr>
                <w:rFonts w:cs="Calibri"/>
                <w:szCs w:val="18"/>
              </w:rPr>
            </w:pPr>
            <w:r w:rsidRPr="00B275E2">
              <w:rPr>
                <w:rFonts w:cs="Calibri"/>
                <w:b/>
                <w:bCs/>
                <w:szCs w:val="18"/>
              </w:rPr>
              <w:t>Perfluoropolyethers</w:t>
            </w:r>
          </w:p>
        </w:tc>
        <w:tc>
          <w:tcPr>
            <w:tcW w:w="1275" w:type="dxa"/>
            <w:shd w:val="clear" w:color="auto" w:fill="D2DDE2"/>
            <w:tcMar>
              <w:left w:w="85" w:type="dxa"/>
              <w:right w:w="85" w:type="dxa"/>
            </w:tcMar>
            <w:hideMark/>
          </w:tcPr>
          <w:p w14:paraId="3B9C2F0E" w14:textId="302265A1" w:rsidR="005E2556" w:rsidRPr="00B275E2" w:rsidRDefault="005E2556" w:rsidP="00E627FC">
            <w:pPr>
              <w:pStyle w:val="TableText"/>
              <w:spacing w:before="40" w:after="40"/>
              <w:jc w:val="center"/>
              <w:rPr>
                <w:rFonts w:cs="Calibri"/>
                <w:szCs w:val="18"/>
              </w:rPr>
            </w:pPr>
          </w:p>
        </w:tc>
      </w:tr>
      <w:tr w:rsidR="005E2556" w:rsidRPr="00B275E2" w14:paraId="7FEA7093" w14:textId="77777777" w:rsidTr="00253FA5">
        <w:tc>
          <w:tcPr>
            <w:tcW w:w="3402" w:type="dxa"/>
            <w:shd w:val="clear" w:color="auto" w:fill="auto"/>
            <w:tcMar>
              <w:left w:w="85" w:type="dxa"/>
              <w:right w:w="85" w:type="dxa"/>
            </w:tcMar>
            <w:hideMark/>
          </w:tcPr>
          <w:p w14:paraId="5126B193" w14:textId="340EF05D" w:rsidR="005E2556" w:rsidRPr="00B275E2" w:rsidRDefault="005E2556" w:rsidP="000E1F19">
            <w:pPr>
              <w:pStyle w:val="TableText"/>
              <w:spacing w:before="40" w:after="40"/>
              <w:rPr>
                <w:rFonts w:cs="Calibri"/>
                <w:szCs w:val="18"/>
              </w:rPr>
            </w:pPr>
            <w:r w:rsidRPr="00B275E2">
              <w:rPr>
                <w:rFonts w:cs="Calibri"/>
                <w:szCs w:val="18"/>
              </w:rPr>
              <w:t>PFPMIE</w:t>
            </w:r>
            <w:r w:rsidR="00A42624" w:rsidRPr="00B275E2">
              <w:rPr>
                <w:rFonts w:cs="Calibri"/>
                <w:szCs w:val="18"/>
              </w:rPr>
              <w:t xml:space="preserve"> </w:t>
            </w:r>
          </w:p>
        </w:tc>
        <w:tc>
          <w:tcPr>
            <w:tcW w:w="1843" w:type="dxa"/>
            <w:shd w:val="clear" w:color="auto" w:fill="auto"/>
            <w:tcMar>
              <w:left w:w="85" w:type="dxa"/>
              <w:right w:w="85" w:type="dxa"/>
            </w:tcMar>
            <w:hideMark/>
          </w:tcPr>
          <w:p w14:paraId="54774338" w14:textId="6C1EA580" w:rsidR="005E2556" w:rsidRPr="00B275E2" w:rsidRDefault="005E2556" w:rsidP="00FD06E4">
            <w:pPr>
              <w:pStyle w:val="TableText"/>
              <w:spacing w:before="40" w:after="40"/>
              <w:rPr>
                <w:rFonts w:cs="Calibri"/>
                <w:szCs w:val="18"/>
              </w:rPr>
            </w:pPr>
            <w:r w:rsidRPr="00B275E2">
              <w:rPr>
                <w:rFonts w:cs="Calibri"/>
                <w:szCs w:val="18"/>
              </w:rPr>
              <w:t>CF</w:t>
            </w:r>
            <w:r w:rsidRPr="00B275E2">
              <w:rPr>
                <w:rFonts w:cs="Calibri"/>
                <w:szCs w:val="18"/>
                <w:vertAlign w:val="subscript"/>
              </w:rPr>
              <w:t>3</w:t>
            </w:r>
            <w:r w:rsidRPr="00B275E2">
              <w:rPr>
                <w:rFonts w:cs="Calibri"/>
                <w:szCs w:val="18"/>
              </w:rPr>
              <w:t>OCF(CF</w:t>
            </w:r>
            <w:r w:rsidRPr="00B275E2">
              <w:rPr>
                <w:rFonts w:cs="Calibri"/>
                <w:szCs w:val="18"/>
                <w:vertAlign w:val="subscript"/>
              </w:rPr>
              <w:t>3</w:t>
            </w:r>
            <w:r w:rsidRPr="00B275E2">
              <w:rPr>
                <w:rFonts w:cs="Calibri"/>
                <w:szCs w:val="18"/>
              </w:rPr>
              <w:t>)CF</w:t>
            </w:r>
            <w:r w:rsidRPr="00B275E2">
              <w:rPr>
                <w:rFonts w:cs="Calibri"/>
                <w:szCs w:val="18"/>
                <w:vertAlign w:val="subscript"/>
              </w:rPr>
              <w:t>2</w:t>
            </w:r>
            <w:r w:rsidRPr="00B275E2">
              <w:rPr>
                <w:rFonts w:cs="Calibri"/>
                <w:szCs w:val="18"/>
              </w:rPr>
              <w:t>OCF</w:t>
            </w:r>
            <w:r w:rsidRPr="00B275E2">
              <w:rPr>
                <w:rFonts w:cs="Calibri"/>
                <w:szCs w:val="18"/>
                <w:vertAlign w:val="subscript"/>
              </w:rPr>
              <w:t>2</w:t>
            </w:r>
            <w:r w:rsidRPr="00B275E2">
              <w:rPr>
                <w:rFonts w:cs="Calibri"/>
                <w:szCs w:val="18"/>
              </w:rPr>
              <w:t>OCF</w:t>
            </w:r>
            <w:r w:rsidRPr="00B275E2">
              <w:rPr>
                <w:rFonts w:cs="Calibri"/>
                <w:szCs w:val="18"/>
                <w:vertAlign w:val="subscript"/>
              </w:rPr>
              <w:t>3</w:t>
            </w:r>
          </w:p>
        </w:tc>
        <w:tc>
          <w:tcPr>
            <w:tcW w:w="709" w:type="dxa"/>
            <w:shd w:val="clear" w:color="auto" w:fill="auto"/>
            <w:tcMar>
              <w:left w:w="85" w:type="dxa"/>
              <w:right w:w="85" w:type="dxa"/>
            </w:tcMar>
            <w:hideMark/>
          </w:tcPr>
          <w:p w14:paraId="7E5AADFB" w14:textId="6EC01D9A"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77D172F0" w14:textId="32A197B2" w:rsidR="005E2556" w:rsidRPr="00B275E2" w:rsidRDefault="005E2556" w:rsidP="00E627FC">
            <w:pPr>
              <w:pStyle w:val="TableText"/>
              <w:spacing w:before="40" w:after="40"/>
              <w:jc w:val="center"/>
              <w:rPr>
                <w:rFonts w:cs="Calibri"/>
                <w:szCs w:val="18"/>
              </w:rPr>
            </w:pPr>
            <w:r w:rsidRPr="00B275E2">
              <w:rPr>
                <w:rFonts w:cs="Calibri"/>
                <w:szCs w:val="18"/>
              </w:rPr>
              <w:t>10,300</w:t>
            </w:r>
          </w:p>
        </w:tc>
        <w:tc>
          <w:tcPr>
            <w:tcW w:w="1275" w:type="dxa"/>
            <w:shd w:val="clear" w:color="auto" w:fill="auto"/>
            <w:tcMar>
              <w:left w:w="85" w:type="dxa"/>
              <w:right w:w="85" w:type="dxa"/>
            </w:tcMar>
            <w:hideMark/>
          </w:tcPr>
          <w:p w14:paraId="39334BA9" w14:textId="7C456911" w:rsidR="005E2556" w:rsidRPr="00B275E2" w:rsidRDefault="005E2556" w:rsidP="00E627FC">
            <w:pPr>
              <w:pStyle w:val="TableText"/>
              <w:spacing w:before="40" w:after="40"/>
              <w:jc w:val="center"/>
              <w:rPr>
                <w:rFonts w:cs="Calibri"/>
                <w:szCs w:val="18"/>
              </w:rPr>
            </w:pPr>
            <w:r w:rsidRPr="00B275E2">
              <w:rPr>
                <w:rFonts w:cs="Calibri"/>
                <w:szCs w:val="18"/>
              </w:rPr>
              <w:t>9,710</w:t>
            </w:r>
          </w:p>
        </w:tc>
      </w:tr>
      <w:tr w:rsidR="005E2556" w:rsidRPr="00B275E2" w14:paraId="3F0E6488" w14:textId="77777777" w:rsidTr="00253FA5">
        <w:tc>
          <w:tcPr>
            <w:tcW w:w="7230" w:type="dxa"/>
            <w:gridSpan w:val="4"/>
            <w:shd w:val="clear" w:color="auto" w:fill="D2DDE2"/>
            <w:tcMar>
              <w:left w:w="85" w:type="dxa"/>
              <w:right w:w="85" w:type="dxa"/>
            </w:tcMar>
            <w:hideMark/>
          </w:tcPr>
          <w:p w14:paraId="5FEDC3F7" w14:textId="0DDCB67A" w:rsidR="005E2556" w:rsidRPr="00B275E2" w:rsidRDefault="005E2556" w:rsidP="00FD06E4">
            <w:pPr>
              <w:pStyle w:val="TableText"/>
              <w:spacing w:before="40" w:after="40"/>
              <w:rPr>
                <w:rFonts w:cs="Calibri"/>
                <w:szCs w:val="18"/>
              </w:rPr>
            </w:pPr>
            <w:r w:rsidRPr="00B275E2">
              <w:rPr>
                <w:rFonts w:cs="Calibri"/>
                <w:b/>
                <w:bCs/>
                <w:szCs w:val="18"/>
              </w:rPr>
              <w:t>Hydrocarbons and other compounds – direct effects</w:t>
            </w:r>
          </w:p>
        </w:tc>
        <w:tc>
          <w:tcPr>
            <w:tcW w:w="1275" w:type="dxa"/>
            <w:shd w:val="clear" w:color="auto" w:fill="D2DDE2"/>
            <w:tcMar>
              <w:left w:w="85" w:type="dxa"/>
              <w:right w:w="85" w:type="dxa"/>
            </w:tcMar>
            <w:hideMark/>
          </w:tcPr>
          <w:p w14:paraId="3F83D1A4" w14:textId="67511F30" w:rsidR="005E2556" w:rsidRPr="00B275E2" w:rsidRDefault="005E2556" w:rsidP="00E627FC">
            <w:pPr>
              <w:pStyle w:val="TableText"/>
              <w:spacing w:before="40" w:after="40"/>
              <w:jc w:val="center"/>
              <w:rPr>
                <w:rFonts w:cs="Calibri"/>
                <w:szCs w:val="18"/>
              </w:rPr>
            </w:pPr>
          </w:p>
        </w:tc>
      </w:tr>
      <w:tr w:rsidR="005E2556" w:rsidRPr="00B275E2" w14:paraId="233921A0" w14:textId="77777777" w:rsidTr="00253FA5">
        <w:tc>
          <w:tcPr>
            <w:tcW w:w="3402" w:type="dxa"/>
            <w:shd w:val="clear" w:color="auto" w:fill="auto"/>
            <w:tcMar>
              <w:left w:w="85" w:type="dxa"/>
              <w:right w:w="85" w:type="dxa"/>
            </w:tcMar>
            <w:hideMark/>
          </w:tcPr>
          <w:p w14:paraId="26339B16" w14:textId="77777777" w:rsidR="005E2556" w:rsidRPr="00B275E2" w:rsidRDefault="005E2556" w:rsidP="000E1F19">
            <w:pPr>
              <w:pStyle w:val="TableText"/>
              <w:spacing w:before="40" w:after="40"/>
              <w:rPr>
                <w:rFonts w:cs="Calibri"/>
                <w:szCs w:val="18"/>
              </w:rPr>
            </w:pPr>
            <w:r w:rsidRPr="00B275E2">
              <w:rPr>
                <w:rFonts w:cs="Calibri"/>
                <w:szCs w:val="18"/>
              </w:rPr>
              <w:t>Chloroform </w:t>
            </w:r>
          </w:p>
        </w:tc>
        <w:tc>
          <w:tcPr>
            <w:tcW w:w="1843" w:type="dxa"/>
            <w:shd w:val="clear" w:color="auto" w:fill="auto"/>
            <w:tcMar>
              <w:left w:w="85" w:type="dxa"/>
              <w:right w:w="85" w:type="dxa"/>
            </w:tcMar>
            <w:hideMark/>
          </w:tcPr>
          <w:p w14:paraId="24D16121" w14:textId="5B3C91C2" w:rsidR="005E2556" w:rsidRPr="00B275E2" w:rsidRDefault="005E2556" w:rsidP="00FD06E4">
            <w:pPr>
              <w:pStyle w:val="TableText"/>
              <w:spacing w:before="40" w:after="40"/>
              <w:rPr>
                <w:rFonts w:cs="Calibri"/>
                <w:szCs w:val="18"/>
              </w:rPr>
            </w:pPr>
            <w:r w:rsidRPr="00B275E2">
              <w:rPr>
                <w:rFonts w:cs="Calibri"/>
                <w:szCs w:val="18"/>
              </w:rPr>
              <w:t>CHCl</w:t>
            </w:r>
            <w:r w:rsidRPr="00B275E2">
              <w:rPr>
                <w:rFonts w:cs="Calibri"/>
                <w:szCs w:val="18"/>
                <w:vertAlign w:val="subscript"/>
              </w:rPr>
              <w:t>3</w:t>
            </w:r>
          </w:p>
        </w:tc>
        <w:tc>
          <w:tcPr>
            <w:tcW w:w="709" w:type="dxa"/>
            <w:shd w:val="clear" w:color="auto" w:fill="auto"/>
            <w:tcMar>
              <w:left w:w="85" w:type="dxa"/>
              <w:right w:w="85" w:type="dxa"/>
            </w:tcMar>
            <w:hideMark/>
          </w:tcPr>
          <w:p w14:paraId="0F87E311" w14:textId="3DB0A036"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6B1EBFDE" w14:textId="2E266F79" w:rsidR="005E2556" w:rsidRPr="00B275E2" w:rsidRDefault="005E2556" w:rsidP="00E627FC">
            <w:pPr>
              <w:pStyle w:val="TableText"/>
              <w:spacing w:before="40" w:after="40"/>
              <w:jc w:val="center"/>
              <w:rPr>
                <w:rFonts w:cs="Calibri"/>
                <w:szCs w:val="18"/>
              </w:rPr>
            </w:pPr>
            <w:r w:rsidRPr="00B275E2">
              <w:rPr>
                <w:rFonts w:cs="Calibri"/>
                <w:szCs w:val="18"/>
              </w:rPr>
              <w:t>n/a</w:t>
            </w:r>
          </w:p>
        </w:tc>
        <w:tc>
          <w:tcPr>
            <w:tcW w:w="1275" w:type="dxa"/>
            <w:shd w:val="clear" w:color="auto" w:fill="auto"/>
            <w:tcMar>
              <w:left w:w="85" w:type="dxa"/>
              <w:right w:w="85" w:type="dxa"/>
            </w:tcMar>
            <w:hideMark/>
          </w:tcPr>
          <w:p w14:paraId="15B38670" w14:textId="138F322D" w:rsidR="005E2556" w:rsidRPr="00B275E2" w:rsidRDefault="005E2556" w:rsidP="00E627FC">
            <w:pPr>
              <w:pStyle w:val="TableText"/>
              <w:spacing w:before="40" w:after="40"/>
              <w:jc w:val="center"/>
              <w:rPr>
                <w:rFonts w:cs="Calibri"/>
                <w:szCs w:val="18"/>
              </w:rPr>
            </w:pPr>
            <w:r w:rsidRPr="00B275E2">
              <w:rPr>
                <w:rFonts w:cs="Calibri"/>
                <w:szCs w:val="18"/>
              </w:rPr>
              <w:t>16</w:t>
            </w:r>
          </w:p>
        </w:tc>
      </w:tr>
      <w:tr w:rsidR="005E2556" w:rsidRPr="00B275E2" w14:paraId="1F41949D" w14:textId="77777777" w:rsidTr="00253FA5">
        <w:tc>
          <w:tcPr>
            <w:tcW w:w="3402" w:type="dxa"/>
            <w:shd w:val="clear" w:color="auto" w:fill="auto"/>
            <w:tcMar>
              <w:left w:w="85" w:type="dxa"/>
              <w:right w:w="85" w:type="dxa"/>
            </w:tcMar>
            <w:hideMark/>
          </w:tcPr>
          <w:p w14:paraId="61CBADAC" w14:textId="6577D718" w:rsidR="005E2556" w:rsidRPr="00B275E2" w:rsidRDefault="005E2556" w:rsidP="000E1F19">
            <w:pPr>
              <w:pStyle w:val="TableText"/>
              <w:spacing w:before="40" w:after="40"/>
              <w:rPr>
                <w:rFonts w:cs="Calibri"/>
                <w:szCs w:val="18"/>
              </w:rPr>
            </w:pPr>
            <w:r w:rsidRPr="00B275E2">
              <w:rPr>
                <w:rFonts w:cs="Calibri"/>
                <w:szCs w:val="18"/>
              </w:rPr>
              <w:t>Dimethylether</w:t>
            </w:r>
            <w:r w:rsidR="00A42624" w:rsidRPr="00B275E2">
              <w:rPr>
                <w:rFonts w:cs="Calibri"/>
                <w:szCs w:val="18"/>
              </w:rPr>
              <w:t xml:space="preserve"> </w:t>
            </w:r>
          </w:p>
        </w:tc>
        <w:tc>
          <w:tcPr>
            <w:tcW w:w="1843" w:type="dxa"/>
            <w:shd w:val="clear" w:color="auto" w:fill="auto"/>
            <w:tcMar>
              <w:left w:w="85" w:type="dxa"/>
              <w:right w:w="85" w:type="dxa"/>
            </w:tcMar>
            <w:hideMark/>
          </w:tcPr>
          <w:p w14:paraId="5DD28250" w14:textId="3BFEFE33" w:rsidR="005E2556" w:rsidRPr="00B275E2" w:rsidRDefault="005E2556" w:rsidP="00FD06E4">
            <w:pPr>
              <w:pStyle w:val="TableText"/>
              <w:spacing w:before="40" w:after="40"/>
              <w:rPr>
                <w:rFonts w:cs="Calibri"/>
                <w:szCs w:val="18"/>
              </w:rPr>
            </w:pPr>
            <w:r w:rsidRPr="00B275E2">
              <w:rPr>
                <w:rFonts w:cs="Calibri"/>
                <w:szCs w:val="18"/>
              </w:rPr>
              <w:t>CH</w:t>
            </w:r>
            <w:r w:rsidRPr="00B275E2">
              <w:rPr>
                <w:rFonts w:cs="Calibri"/>
                <w:szCs w:val="18"/>
                <w:vertAlign w:val="subscript"/>
              </w:rPr>
              <w:t>3</w:t>
            </w:r>
            <w:r w:rsidRPr="00B275E2">
              <w:rPr>
                <w:rFonts w:cs="Calibri"/>
                <w:szCs w:val="18"/>
              </w:rPr>
              <w:t>OCH</w:t>
            </w:r>
            <w:r w:rsidRPr="00B275E2">
              <w:rPr>
                <w:rFonts w:cs="Calibri"/>
                <w:szCs w:val="18"/>
                <w:vertAlign w:val="subscript"/>
              </w:rPr>
              <w:t>3</w:t>
            </w:r>
          </w:p>
        </w:tc>
        <w:tc>
          <w:tcPr>
            <w:tcW w:w="709" w:type="dxa"/>
            <w:shd w:val="clear" w:color="auto" w:fill="auto"/>
            <w:tcMar>
              <w:left w:w="85" w:type="dxa"/>
              <w:right w:w="85" w:type="dxa"/>
            </w:tcMar>
            <w:hideMark/>
          </w:tcPr>
          <w:p w14:paraId="6FDE274D" w14:textId="406AC86A"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3896B8EC" w14:textId="7784AB2E" w:rsidR="005E2556" w:rsidRPr="00B275E2" w:rsidRDefault="005E2556" w:rsidP="00E627FC">
            <w:pPr>
              <w:pStyle w:val="TableText"/>
              <w:spacing w:before="40" w:after="40"/>
              <w:jc w:val="center"/>
              <w:rPr>
                <w:rFonts w:cs="Calibri"/>
                <w:szCs w:val="18"/>
              </w:rPr>
            </w:pPr>
            <w:r w:rsidRPr="00B275E2">
              <w:rPr>
                <w:rFonts w:cs="Calibri"/>
                <w:szCs w:val="18"/>
              </w:rPr>
              <w:t>1</w:t>
            </w:r>
          </w:p>
        </w:tc>
        <w:tc>
          <w:tcPr>
            <w:tcW w:w="1275" w:type="dxa"/>
            <w:shd w:val="clear" w:color="auto" w:fill="auto"/>
            <w:tcMar>
              <w:left w:w="85" w:type="dxa"/>
              <w:right w:w="85" w:type="dxa"/>
            </w:tcMar>
            <w:hideMark/>
          </w:tcPr>
          <w:p w14:paraId="09410AA2" w14:textId="37A804D0" w:rsidR="005E2556" w:rsidRPr="00B275E2" w:rsidRDefault="005E2556" w:rsidP="00E627FC">
            <w:pPr>
              <w:pStyle w:val="TableText"/>
              <w:spacing w:before="40" w:after="40"/>
              <w:jc w:val="center"/>
              <w:rPr>
                <w:rFonts w:cs="Calibri"/>
                <w:szCs w:val="18"/>
              </w:rPr>
            </w:pPr>
            <w:r w:rsidRPr="00B275E2">
              <w:rPr>
                <w:rFonts w:cs="Calibri"/>
                <w:szCs w:val="18"/>
              </w:rPr>
              <w:t>1</w:t>
            </w:r>
          </w:p>
        </w:tc>
      </w:tr>
      <w:tr w:rsidR="005E2556" w:rsidRPr="00B275E2" w14:paraId="2A8A3C9E" w14:textId="77777777" w:rsidTr="00253FA5">
        <w:tc>
          <w:tcPr>
            <w:tcW w:w="3402" w:type="dxa"/>
            <w:shd w:val="clear" w:color="auto" w:fill="auto"/>
            <w:tcMar>
              <w:left w:w="85" w:type="dxa"/>
              <w:right w:w="85" w:type="dxa"/>
            </w:tcMar>
            <w:hideMark/>
          </w:tcPr>
          <w:p w14:paraId="31EF0182" w14:textId="77777777" w:rsidR="005E2556" w:rsidRPr="00B275E2" w:rsidRDefault="005E2556" w:rsidP="000E1F19">
            <w:pPr>
              <w:pStyle w:val="TableText"/>
              <w:spacing w:before="40" w:after="40"/>
              <w:rPr>
                <w:rFonts w:cs="Calibri"/>
                <w:szCs w:val="18"/>
              </w:rPr>
            </w:pPr>
            <w:r w:rsidRPr="00B275E2">
              <w:rPr>
                <w:rFonts w:cs="Calibri"/>
                <w:szCs w:val="18"/>
              </w:rPr>
              <w:t>Halon-1201 </w:t>
            </w:r>
          </w:p>
        </w:tc>
        <w:tc>
          <w:tcPr>
            <w:tcW w:w="1843" w:type="dxa"/>
            <w:shd w:val="clear" w:color="auto" w:fill="auto"/>
            <w:tcMar>
              <w:left w:w="85" w:type="dxa"/>
              <w:right w:w="85" w:type="dxa"/>
            </w:tcMar>
            <w:hideMark/>
          </w:tcPr>
          <w:p w14:paraId="3919B417" w14:textId="5B9754D6" w:rsidR="005E2556" w:rsidRPr="00B275E2" w:rsidRDefault="005E2556" w:rsidP="00FD06E4">
            <w:pPr>
              <w:pStyle w:val="TableText"/>
              <w:spacing w:before="40" w:after="40"/>
              <w:rPr>
                <w:rFonts w:cs="Calibri"/>
                <w:szCs w:val="18"/>
              </w:rPr>
            </w:pPr>
            <w:r w:rsidRPr="00B275E2">
              <w:rPr>
                <w:rFonts w:cs="Calibri"/>
                <w:szCs w:val="18"/>
              </w:rPr>
              <w:t>CHBrF</w:t>
            </w:r>
            <w:r w:rsidRPr="00B275E2">
              <w:rPr>
                <w:rFonts w:cs="Calibri"/>
                <w:szCs w:val="18"/>
                <w:vertAlign w:val="subscript"/>
              </w:rPr>
              <w:t>2</w:t>
            </w:r>
          </w:p>
        </w:tc>
        <w:tc>
          <w:tcPr>
            <w:tcW w:w="709" w:type="dxa"/>
            <w:shd w:val="clear" w:color="auto" w:fill="auto"/>
            <w:tcMar>
              <w:left w:w="85" w:type="dxa"/>
              <w:right w:w="85" w:type="dxa"/>
            </w:tcMar>
            <w:hideMark/>
          </w:tcPr>
          <w:p w14:paraId="2A1EA45C" w14:textId="579E76C6"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74941444" w14:textId="43CD7834" w:rsidR="005E2556" w:rsidRPr="00B275E2" w:rsidRDefault="005E2556" w:rsidP="00E627FC">
            <w:pPr>
              <w:pStyle w:val="TableText"/>
              <w:spacing w:before="40" w:after="40"/>
              <w:jc w:val="center"/>
              <w:rPr>
                <w:rFonts w:cs="Calibri"/>
                <w:szCs w:val="18"/>
              </w:rPr>
            </w:pPr>
            <w:r w:rsidRPr="00B275E2">
              <w:rPr>
                <w:rFonts w:cs="Calibri"/>
                <w:szCs w:val="18"/>
              </w:rPr>
              <w:t>n/a</w:t>
            </w:r>
          </w:p>
        </w:tc>
        <w:tc>
          <w:tcPr>
            <w:tcW w:w="1275" w:type="dxa"/>
            <w:shd w:val="clear" w:color="auto" w:fill="auto"/>
            <w:tcMar>
              <w:left w:w="85" w:type="dxa"/>
              <w:right w:w="85" w:type="dxa"/>
            </w:tcMar>
            <w:hideMark/>
          </w:tcPr>
          <w:p w14:paraId="6FDA7367" w14:textId="3C893829" w:rsidR="005E2556" w:rsidRPr="00B275E2" w:rsidRDefault="005E2556" w:rsidP="00E627FC">
            <w:pPr>
              <w:pStyle w:val="TableText"/>
              <w:spacing w:before="40" w:after="40"/>
              <w:jc w:val="center"/>
              <w:rPr>
                <w:rFonts w:cs="Calibri"/>
                <w:szCs w:val="18"/>
              </w:rPr>
            </w:pPr>
            <w:r w:rsidRPr="00B275E2">
              <w:rPr>
                <w:rFonts w:cs="Calibri"/>
                <w:szCs w:val="18"/>
              </w:rPr>
              <w:t>376</w:t>
            </w:r>
          </w:p>
        </w:tc>
      </w:tr>
      <w:tr w:rsidR="005E2556" w:rsidRPr="00B275E2" w14:paraId="7330DD08" w14:textId="77777777" w:rsidTr="00253FA5">
        <w:tc>
          <w:tcPr>
            <w:tcW w:w="3402" w:type="dxa"/>
            <w:shd w:val="clear" w:color="auto" w:fill="auto"/>
            <w:tcMar>
              <w:left w:w="85" w:type="dxa"/>
              <w:right w:w="85" w:type="dxa"/>
            </w:tcMar>
            <w:hideMark/>
          </w:tcPr>
          <w:p w14:paraId="1444392A" w14:textId="35465260" w:rsidR="005E2556" w:rsidRPr="00B275E2" w:rsidRDefault="005E2556" w:rsidP="000E1F19">
            <w:pPr>
              <w:pStyle w:val="TableText"/>
              <w:spacing w:before="40" w:after="40"/>
              <w:rPr>
                <w:rFonts w:cs="Calibri"/>
                <w:szCs w:val="18"/>
              </w:rPr>
            </w:pPr>
            <w:r w:rsidRPr="00B275E2">
              <w:rPr>
                <w:rFonts w:cs="Calibri"/>
                <w:szCs w:val="18"/>
              </w:rPr>
              <w:t>Methylene chloride</w:t>
            </w:r>
          </w:p>
        </w:tc>
        <w:tc>
          <w:tcPr>
            <w:tcW w:w="1843" w:type="dxa"/>
            <w:shd w:val="clear" w:color="auto" w:fill="auto"/>
            <w:tcMar>
              <w:left w:w="85" w:type="dxa"/>
              <w:right w:w="85" w:type="dxa"/>
            </w:tcMar>
            <w:hideMark/>
          </w:tcPr>
          <w:p w14:paraId="1851C9D7" w14:textId="753F6C62" w:rsidR="005E2556" w:rsidRPr="00B275E2" w:rsidRDefault="005E2556" w:rsidP="00FD06E4">
            <w:pPr>
              <w:pStyle w:val="TableText"/>
              <w:spacing w:before="40" w:after="40"/>
              <w:rPr>
                <w:rFonts w:cs="Calibri"/>
                <w:szCs w:val="18"/>
              </w:rPr>
            </w:pPr>
            <w:r w:rsidRPr="00B275E2">
              <w:rPr>
                <w:rFonts w:cs="Calibri"/>
                <w:szCs w:val="18"/>
              </w:rPr>
              <w:t>CH</w:t>
            </w:r>
            <w:r w:rsidRPr="00B275E2">
              <w:rPr>
                <w:rFonts w:cs="Calibri"/>
                <w:szCs w:val="18"/>
                <w:vertAlign w:val="subscript"/>
              </w:rPr>
              <w:t>2</w:t>
            </w:r>
            <w:r w:rsidRPr="00B275E2">
              <w:rPr>
                <w:rFonts w:cs="Calibri"/>
                <w:szCs w:val="18"/>
              </w:rPr>
              <w:t>Cl</w:t>
            </w:r>
            <w:r w:rsidRPr="00B275E2">
              <w:rPr>
                <w:rFonts w:cs="Calibri"/>
                <w:szCs w:val="18"/>
                <w:vertAlign w:val="subscript"/>
              </w:rPr>
              <w:t>2</w:t>
            </w:r>
          </w:p>
        </w:tc>
        <w:tc>
          <w:tcPr>
            <w:tcW w:w="709" w:type="dxa"/>
            <w:shd w:val="clear" w:color="auto" w:fill="auto"/>
            <w:tcMar>
              <w:left w:w="85" w:type="dxa"/>
              <w:right w:w="85" w:type="dxa"/>
            </w:tcMar>
            <w:hideMark/>
          </w:tcPr>
          <w:p w14:paraId="14B8FED2" w14:textId="1D2DDF5E"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hideMark/>
          </w:tcPr>
          <w:p w14:paraId="18147D3B" w14:textId="773C4B7E" w:rsidR="005E2556" w:rsidRPr="00B275E2" w:rsidRDefault="005E2556" w:rsidP="00E627FC">
            <w:pPr>
              <w:pStyle w:val="TableText"/>
              <w:spacing w:before="40" w:after="40"/>
              <w:jc w:val="center"/>
              <w:rPr>
                <w:rFonts w:cs="Calibri"/>
                <w:szCs w:val="18"/>
              </w:rPr>
            </w:pPr>
            <w:r w:rsidRPr="00B275E2">
              <w:rPr>
                <w:rFonts w:cs="Calibri"/>
                <w:szCs w:val="18"/>
              </w:rPr>
              <w:t>8.7</w:t>
            </w:r>
          </w:p>
        </w:tc>
        <w:tc>
          <w:tcPr>
            <w:tcW w:w="1275" w:type="dxa"/>
            <w:shd w:val="clear" w:color="auto" w:fill="auto"/>
            <w:tcMar>
              <w:left w:w="85" w:type="dxa"/>
              <w:right w:w="85" w:type="dxa"/>
            </w:tcMar>
            <w:hideMark/>
          </w:tcPr>
          <w:p w14:paraId="65150A16" w14:textId="5F290F5E" w:rsidR="005E2556" w:rsidRPr="00B275E2" w:rsidRDefault="005E2556" w:rsidP="00E627FC">
            <w:pPr>
              <w:pStyle w:val="TableText"/>
              <w:spacing w:before="40" w:after="40"/>
              <w:jc w:val="center"/>
              <w:rPr>
                <w:rFonts w:cs="Calibri"/>
                <w:szCs w:val="18"/>
              </w:rPr>
            </w:pPr>
            <w:r w:rsidRPr="00B275E2">
              <w:rPr>
                <w:rFonts w:cs="Calibri"/>
                <w:szCs w:val="18"/>
              </w:rPr>
              <w:t>9</w:t>
            </w:r>
          </w:p>
        </w:tc>
      </w:tr>
      <w:tr w:rsidR="005E2556" w:rsidRPr="00B275E2" w14:paraId="322DDF21" w14:textId="77777777" w:rsidTr="00253FA5">
        <w:tc>
          <w:tcPr>
            <w:tcW w:w="3402" w:type="dxa"/>
            <w:tcBorders>
              <w:bottom w:val="single" w:sz="6" w:space="0" w:color="1B556B"/>
            </w:tcBorders>
            <w:shd w:val="clear" w:color="auto" w:fill="auto"/>
            <w:tcMar>
              <w:left w:w="85" w:type="dxa"/>
              <w:right w:w="85" w:type="dxa"/>
            </w:tcMar>
            <w:hideMark/>
          </w:tcPr>
          <w:p w14:paraId="349C8374" w14:textId="6549565A" w:rsidR="005E2556" w:rsidRPr="00B275E2" w:rsidRDefault="005E2556" w:rsidP="000E1F19">
            <w:pPr>
              <w:pStyle w:val="TableText"/>
              <w:spacing w:before="40" w:after="40"/>
              <w:rPr>
                <w:rFonts w:cs="Calibri"/>
                <w:szCs w:val="18"/>
              </w:rPr>
            </w:pPr>
            <w:r w:rsidRPr="00B275E2">
              <w:rPr>
                <w:rFonts w:cs="Calibri"/>
                <w:szCs w:val="18"/>
              </w:rPr>
              <w:t>Methyl chloride</w:t>
            </w:r>
          </w:p>
        </w:tc>
        <w:tc>
          <w:tcPr>
            <w:tcW w:w="1843" w:type="dxa"/>
            <w:tcBorders>
              <w:bottom w:val="single" w:sz="6" w:space="0" w:color="1B556B"/>
            </w:tcBorders>
            <w:shd w:val="clear" w:color="auto" w:fill="auto"/>
            <w:tcMar>
              <w:left w:w="85" w:type="dxa"/>
              <w:right w:w="85" w:type="dxa"/>
            </w:tcMar>
            <w:hideMark/>
          </w:tcPr>
          <w:p w14:paraId="736BC33E" w14:textId="03DEE50E" w:rsidR="005E2556" w:rsidRPr="00B275E2" w:rsidRDefault="005E2556" w:rsidP="00FD06E4">
            <w:pPr>
              <w:pStyle w:val="TableText"/>
              <w:spacing w:before="40" w:after="40"/>
              <w:rPr>
                <w:rFonts w:cs="Calibri"/>
                <w:szCs w:val="18"/>
              </w:rPr>
            </w:pPr>
            <w:r w:rsidRPr="00B275E2">
              <w:rPr>
                <w:rFonts w:cs="Calibri"/>
                <w:szCs w:val="18"/>
              </w:rPr>
              <w:t>CH</w:t>
            </w:r>
            <w:r w:rsidRPr="00B275E2">
              <w:rPr>
                <w:rFonts w:cs="Calibri"/>
                <w:szCs w:val="18"/>
                <w:vertAlign w:val="subscript"/>
              </w:rPr>
              <w:t>3</w:t>
            </w:r>
            <w:r w:rsidRPr="00B275E2">
              <w:rPr>
                <w:rFonts w:cs="Calibri"/>
                <w:szCs w:val="18"/>
              </w:rPr>
              <w:t>Cl</w:t>
            </w:r>
          </w:p>
        </w:tc>
        <w:tc>
          <w:tcPr>
            <w:tcW w:w="709" w:type="dxa"/>
            <w:tcBorders>
              <w:bottom w:val="single" w:sz="6" w:space="0" w:color="1B556B"/>
            </w:tcBorders>
            <w:shd w:val="clear" w:color="auto" w:fill="auto"/>
            <w:tcMar>
              <w:left w:w="85" w:type="dxa"/>
              <w:right w:w="85" w:type="dxa"/>
            </w:tcMar>
            <w:hideMark/>
          </w:tcPr>
          <w:p w14:paraId="082E1405" w14:textId="1905FDA4" w:rsidR="005E2556" w:rsidRPr="00B275E2" w:rsidRDefault="005E2556" w:rsidP="00E627FC">
            <w:pPr>
              <w:pStyle w:val="TableText"/>
              <w:spacing w:before="40" w:after="40"/>
              <w:jc w:val="center"/>
              <w:rPr>
                <w:rFonts w:cs="Calibri"/>
                <w:szCs w:val="18"/>
              </w:rPr>
            </w:pPr>
            <w:r w:rsidRPr="00B275E2">
              <w:rPr>
                <w:rFonts w:cs="Calibri"/>
                <w:szCs w:val="18"/>
              </w:rPr>
              <w:t>kg</w:t>
            </w:r>
          </w:p>
        </w:tc>
        <w:tc>
          <w:tcPr>
            <w:tcW w:w="1276" w:type="dxa"/>
            <w:tcBorders>
              <w:bottom w:val="single" w:sz="6" w:space="0" w:color="1B556B"/>
            </w:tcBorders>
            <w:shd w:val="clear" w:color="auto" w:fill="auto"/>
            <w:tcMar>
              <w:left w:w="85" w:type="dxa"/>
              <w:right w:w="85" w:type="dxa"/>
            </w:tcMar>
            <w:hideMark/>
          </w:tcPr>
          <w:p w14:paraId="6AC2A5E8" w14:textId="453F66E2" w:rsidR="005E2556" w:rsidRPr="00B275E2" w:rsidRDefault="005E2556" w:rsidP="00E627FC">
            <w:pPr>
              <w:pStyle w:val="TableText"/>
              <w:spacing w:before="40" w:after="40"/>
              <w:jc w:val="center"/>
              <w:rPr>
                <w:rFonts w:cs="Calibri"/>
                <w:szCs w:val="18"/>
              </w:rPr>
            </w:pPr>
            <w:r w:rsidRPr="00B275E2">
              <w:rPr>
                <w:rFonts w:cs="Calibri"/>
                <w:szCs w:val="18"/>
              </w:rPr>
              <w:t>13</w:t>
            </w:r>
          </w:p>
        </w:tc>
        <w:tc>
          <w:tcPr>
            <w:tcW w:w="1275" w:type="dxa"/>
            <w:tcBorders>
              <w:bottom w:val="single" w:sz="6" w:space="0" w:color="1B556B"/>
            </w:tcBorders>
            <w:shd w:val="clear" w:color="auto" w:fill="auto"/>
            <w:tcMar>
              <w:left w:w="85" w:type="dxa"/>
              <w:right w:w="85" w:type="dxa"/>
            </w:tcMar>
            <w:hideMark/>
          </w:tcPr>
          <w:p w14:paraId="4863A7EC" w14:textId="2C5ACEDC" w:rsidR="005E2556" w:rsidRPr="00B275E2" w:rsidRDefault="005E2556" w:rsidP="00E627FC">
            <w:pPr>
              <w:pStyle w:val="TableText"/>
              <w:spacing w:before="40" w:after="40"/>
              <w:jc w:val="center"/>
              <w:rPr>
                <w:rFonts w:cs="Calibri"/>
                <w:szCs w:val="18"/>
              </w:rPr>
            </w:pPr>
            <w:r w:rsidRPr="00B275E2">
              <w:rPr>
                <w:rFonts w:cs="Calibri"/>
                <w:szCs w:val="18"/>
              </w:rPr>
              <w:t>12</w:t>
            </w:r>
          </w:p>
        </w:tc>
      </w:tr>
      <w:tr w:rsidR="004D6042" w:rsidRPr="00B275E2" w14:paraId="4F8D373B" w14:textId="77777777" w:rsidTr="00253FA5">
        <w:tc>
          <w:tcPr>
            <w:tcW w:w="8505" w:type="dxa"/>
            <w:gridSpan w:val="5"/>
            <w:shd w:val="clear" w:color="auto" w:fill="D2DDE1" w:themeFill="background2"/>
            <w:tcMar>
              <w:left w:w="85" w:type="dxa"/>
              <w:right w:w="85" w:type="dxa"/>
            </w:tcMar>
          </w:tcPr>
          <w:p w14:paraId="26C786DB" w14:textId="5FCB9314" w:rsidR="004D6042" w:rsidRPr="00B275E2" w:rsidRDefault="004D6042" w:rsidP="00FD06E4">
            <w:pPr>
              <w:pStyle w:val="TableText"/>
              <w:spacing w:before="40" w:after="40"/>
              <w:rPr>
                <w:rFonts w:cs="Calibri"/>
                <w:b/>
                <w:bCs/>
                <w:szCs w:val="18"/>
              </w:rPr>
            </w:pPr>
            <w:r w:rsidRPr="00B275E2">
              <w:rPr>
                <w:rFonts w:cs="Calibri"/>
                <w:b/>
                <w:bCs/>
                <w:szCs w:val="18"/>
              </w:rPr>
              <w:t xml:space="preserve">Refrigerant blends </w:t>
            </w:r>
            <w:r w:rsidR="00E835AF" w:rsidRPr="00B275E2">
              <w:rPr>
                <w:rFonts w:cs="Calibri"/>
                <w:b/>
                <w:bCs/>
                <w:szCs w:val="18"/>
              </w:rPr>
              <w:t>–</w:t>
            </w:r>
            <w:r w:rsidRPr="00B275E2">
              <w:rPr>
                <w:rFonts w:cs="Calibri"/>
                <w:b/>
                <w:bCs/>
                <w:szCs w:val="18"/>
              </w:rPr>
              <w:t xml:space="preserve"> Zeotropes</w:t>
            </w:r>
          </w:p>
        </w:tc>
      </w:tr>
      <w:tr w:rsidR="004D6042" w:rsidRPr="00B275E2" w14:paraId="2111B95F" w14:textId="77777777" w:rsidTr="00253FA5">
        <w:tc>
          <w:tcPr>
            <w:tcW w:w="3402" w:type="dxa"/>
            <w:shd w:val="clear" w:color="auto" w:fill="auto"/>
            <w:tcMar>
              <w:left w:w="85" w:type="dxa"/>
              <w:right w:w="85" w:type="dxa"/>
            </w:tcMar>
          </w:tcPr>
          <w:p w14:paraId="2AC7156C" w14:textId="520E0247" w:rsidR="004D6042" w:rsidRPr="00B275E2" w:rsidRDefault="00CA05BB" w:rsidP="000E1F19">
            <w:pPr>
              <w:pStyle w:val="TableText"/>
              <w:spacing w:before="40" w:after="40"/>
              <w:rPr>
                <w:rFonts w:cs="Calibri"/>
                <w:szCs w:val="18"/>
              </w:rPr>
            </w:pPr>
            <w:r w:rsidRPr="00B275E2">
              <w:rPr>
                <w:rFonts w:cs="Calibri"/>
                <w:szCs w:val="18"/>
              </w:rPr>
              <w:t>404A</w:t>
            </w:r>
          </w:p>
        </w:tc>
        <w:tc>
          <w:tcPr>
            <w:tcW w:w="1843" w:type="dxa"/>
            <w:shd w:val="clear" w:color="auto" w:fill="auto"/>
            <w:tcMar>
              <w:left w:w="85" w:type="dxa"/>
              <w:right w:w="85" w:type="dxa"/>
            </w:tcMar>
          </w:tcPr>
          <w:p w14:paraId="328DAA86" w14:textId="02225D42" w:rsidR="004D6042" w:rsidRPr="00B275E2" w:rsidRDefault="002E153D" w:rsidP="00FD06E4">
            <w:pPr>
              <w:pStyle w:val="TableText"/>
              <w:spacing w:before="40" w:after="40"/>
              <w:rPr>
                <w:rFonts w:cs="Calibri"/>
                <w:szCs w:val="18"/>
              </w:rPr>
            </w:pPr>
            <w:r w:rsidRPr="00B275E2">
              <w:rPr>
                <w:rFonts w:cs="Calibri"/>
                <w:szCs w:val="18"/>
              </w:rPr>
              <w:t>R-125/143a/134a (44.0/52.0/4.0)</w:t>
            </w:r>
          </w:p>
        </w:tc>
        <w:tc>
          <w:tcPr>
            <w:tcW w:w="709" w:type="dxa"/>
            <w:shd w:val="clear" w:color="auto" w:fill="auto"/>
            <w:tcMar>
              <w:left w:w="85" w:type="dxa"/>
              <w:right w:w="85" w:type="dxa"/>
            </w:tcMar>
          </w:tcPr>
          <w:p w14:paraId="7FD3ABCB" w14:textId="5BF77315" w:rsidR="004D6042" w:rsidRPr="00B275E2" w:rsidRDefault="00CA2EE9"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tcPr>
          <w:p w14:paraId="76729822" w14:textId="42994322" w:rsidR="004D6042" w:rsidRPr="00B275E2" w:rsidRDefault="00915132" w:rsidP="00E627FC">
            <w:pPr>
              <w:pStyle w:val="TableText"/>
              <w:spacing w:before="40" w:after="40"/>
              <w:jc w:val="center"/>
              <w:rPr>
                <w:rFonts w:cs="Calibri"/>
                <w:szCs w:val="18"/>
              </w:rPr>
            </w:pPr>
            <w:r w:rsidRPr="00B275E2">
              <w:rPr>
                <w:rFonts w:cs="Calibri"/>
                <w:szCs w:val="18"/>
              </w:rPr>
              <w:t>3,921.6</w:t>
            </w:r>
          </w:p>
        </w:tc>
        <w:tc>
          <w:tcPr>
            <w:tcW w:w="1275" w:type="dxa"/>
            <w:shd w:val="clear" w:color="auto" w:fill="auto"/>
            <w:tcMar>
              <w:left w:w="85" w:type="dxa"/>
              <w:right w:w="85" w:type="dxa"/>
            </w:tcMar>
          </w:tcPr>
          <w:p w14:paraId="25434744" w14:textId="3233A7EA" w:rsidR="004D6042" w:rsidRPr="00B275E2" w:rsidRDefault="00915132" w:rsidP="00E627FC">
            <w:pPr>
              <w:pStyle w:val="TableText"/>
              <w:spacing w:before="40" w:after="40"/>
              <w:jc w:val="center"/>
              <w:rPr>
                <w:rFonts w:cs="Calibri"/>
                <w:szCs w:val="18"/>
              </w:rPr>
            </w:pPr>
            <w:r w:rsidRPr="00B275E2">
              <w:rPr>
                <w:rFonts w:cs="Calibri"/>
                <w:szCs w:val="18"/>
              </w:rPr>
              <w:t>3,922</w:t>
            </w:r>
          </w:p>
        </w:tc>
      </w:tr>
      <w:tr w:rsidR="004D6042" w:rsidRPr="00B275E2" w14:paraId="73C7E225" w14:textId="77777777" w:rsidTr="00253FA5">
        <w:tc>
          <w:tcPr>
            <w:tcW w:w="3402" w:type="dxa"/>
            <w:shd w:val="clear" w:color="auto" w:fill="auto"/>
            <w:tcMar>
              <w:left w:w="85" w:type="dxa"/>
              <w:right w:w="85" w:type="dxa"/>
            </w:tcMar>
          </w:tcPr>
          <w:p w14:paraId="52CE98BE" w14:textId="05E0C560" w:rsidR="004D6042" w:rsidRPr="00B275E2" w:rsidRDefault="00CA05BB" w:rsidP="000E1F19">
            <w:pPr>
              <w:pStyle w:val="TableText"/>
              <w:spacing w:before="40" w:after="40"/>
              <w:rPr>
                <w:rFonts w:cs="Calibri"/>
                <w:szCs w:val="18"/>
              </w:rPr>
            </w:pPr>
            <w:r w:rsidRPr="00B275E2">
              <w:rPr>
                <w:rFonts w:cs="Calibri"/>
                <w:szCs w:val="18"/>
              </w:rPr>
              <w:t>406A</w:t>
            </w:r>
          </w:p>
        </w:tc>
        <w:tc>
          <w:tcPr>
            <w:tcW w:w="1843" w:type="dxa"/>
            <w:shd w:val="clear" w:color="auto" w:fill="auto"/>
            <w:tcMar>
              <w:left w:w="85" w:type="dxa"/>
              <w:right w:w="85" w:type="dxa"/>
            </w:tcMar>
          </w:tcPr>
          <w:p w14:paraId="5AC69BB8" w14:textId="7CCFEE85" w:rsidR="004D6042" w:rsidRPr="00B275E2" w:rsidRDefault="002E153D" w:rsidP="00FD06E4">
            <w:pPr>
              <w:pStyle w:val="TableText"/>
              <w:spacing w:before="40" w:after="40"/>
              <w:rPr>
                <w:rFonts w:cs="Calibri"/>
                <w:szCs w:val="18"/>
              </w:rPr>
            </w:pPr>
            <w:r w:rsidRPr="00B275E2">
              <w:rPr>
                <w:rFonts w:cs="Calibri"/>
                <w:szCs w:val="18"/>
              </w:rPr>
              <w:t>R-22/600a/142b (55.0/4.0/41.0)</w:t>
            </w:r>
          </w:p>
        </w:tc>
        <w:tc>
          <w:tcPr>
            <w:tcW w:w="709" w:type="dxa"/>
            <w:shd w:val="clear" w:color="auto" w:fill="auto"/>
            <w:tcMar>
              <w:left w:w="85" w:type="dxa"/>
              <w:right w:w="85" w:type="dxa"/>
            </w:tcMar>
          </w:tcPr>
          <w:p w14:paraId="1050D4DD" w14:textId="525026DD" w:rsidR="004D6042" w:rsidRPr="00B275E2" w:rsidRDefault="00CA2EE9"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tcPr>
          <w:p w14:paraId="0802CECC" w14:textId="2DB89D67" w:rsidR="004D6042" w:rsidRPr="00B275E2" w:rsidRDefault="00915132" w:rsidP="00E627FC">
            <w:pPr>
              <w:pStyle w:val="TableText"/>
              <w:spacing w:before="40" w:after="40"/>
              <w:jc w:val="center"/>
              <w:rPr>
                <w:rFonts w:cs="Calibri"/>
                <w:szCs w:val="18"/>
              </w:rPr>
            </w:pPr>
            <w:r w:rsidRPr="00B275E2">
              <w:rPr>
                <w:rFonts w:cs="Calibri"/>
                <w:szCs w:val="18"/>
              </w:rPr>
              <w:t>1,942.72</w:t>
            </w:r>
          </w:p>
        </w:tc>
        <w:tc>
          <w:tcPr>
            <w:tcW w:w="1275" w:type="dxa"/>
            <w:shd w:val="clear" w:color="auto" w:fill="auto"/>
            <w:tcMar>
              <w:left w:w="85" w:type="dxa"/>
              <w:right w:w="85" w:type="dxa"/>
            </w:tcMar>
          </w:tcPr>
          <w:p w14:paraId="6EC41789" w14:textId="5C5EE937" w:rsidR="004D6042" w:rsidRPr="00B275E2" w:rsidRDefault="00FA79FF" w:rsidP="00E627FC">
            <w:pPr>
              <w:pStyle w:val="TableText"/>
              <w:spacing w:before="40" w:after="40"/>
              <w:jc w:val="center"/>
              <w:rPr>
                <w:rFonts w:cs="Calibri"/>
                <w:szCs w:val="18"/>
              </w:rPr>
            </w:pPr>
            <w:r w:rsidRPr="00B275E2">
              <w:rPr>
                <w:rFonts w:cs="Calibri"/>
                <w:szCs w:val="18"/>
              </w:rPr>
              <w:t>1,943</w:t>
            </w:r>
          </w:p>
        </w:tc>
      </w:tr>
      <w:tr w:rsidR="00CA05BB" w:rsidRPr="00B275E2" w14:paraId="7423AB30" w14:textId="77777777" w:rsidTr="00253FA5">
        <w:tc>
          <w:tcPr>
            <w:tcW w:w="3402" w:type="dxa"/>
            <w:shd w:val="clear" w:color="auto" w:fill="auto"/>
            <w:tcMar>
              <w:left w:w="85" w:type="dxa"/>
              <w:right w:w="85" w:type="dxa"/>
            </w:tcMar>
          </w:tcPr>
          <w:p w14:paraId="687A4423" w14:textId="2DBC365A" w:rsidR="00CA05BB" w:rsidRPr="00B275E2" w:rsidRDefault="002D7D5D" w:rsidP="000E1F19">
            <w:pPr>
              <w:pStyle w:val="TableText"/>
              <w:spacing w:before="40" w:after="40"/>
              <w:rPr>
                <w:rFonts w:cs="Calibri"/>
                <w:szCs w:val="18"/>
              </w:rPr>
            </w:pPr>
            <w:r w:rsidRPr="00B275E2">
              <w:rPr>
                <w:rFonts w:cs="Calibri"/>
                <w:szCs w:val="18"/>
              </w:rPr>
              <w:t>,</w:t>
            </w:r>
            <w:r w:rsidR="00CA05BB" w:rsidRPr="00B275E2">
              <w:rPr>
                <w:rFonts w:cs="Calibri"/>
                <w:szCs w:val="18"/>
              </w:rPr>
              <w:t>407C</w:t>
            </w:r>
          </w:p>
        </w:tc>
        <w:tc>
          <w:tcPr>
            <w:tcW w:w="1843" w:type="dxa"/>
            <w:shd w:val="clear" w:color="auto" w:fill="auto"/>
            <w:tcMar>
              <w:left w:w="85" w:type="dxa"/>
              <w:right w:w="85" w:type="dxa"/>
            </w:tcMar>
          </w:tcPr>
          <w:p w14:paraId="3594EC8D" w14:textId="7C126837" w:rsidR="00CA05BB" w:rsidRPr="00B275E2" w:rsidRDefault="002E153D" w:rsidP="00FD06E4">
            <w:pPr>
              <w:pStyle w:val="TableText"/>
              <w:spacing w:before="40" w:after="40"/>
              <w:rPr>
                <w:rFonts w:cs="Calibri"/>
                <w:szCs w:val="18"/>
              </w:rPr>
            </w:pPr>
            <w:r w:rsidRPr="00B275E2">
              <w:rPr>
                <w:rFonts w:cs="Calibri"/>
                <w:szCs w:val="18"/>
              </w:rPr>
              <w:t>R-32/125/134a (23.0/25.0/52.0)</w:t>
            </w:r>
          </w:p>
        </w:tc>
        <w:tc>
          <w:tcPr>
            <w:tcW w:w="709" w:type="dxa"/>
            <w:shd w:val="clear" w:color="auto" w:fill="auto"/>
            <w:tcMar>
              <w:left w:w="85" w:type="dxa"/>
              <w:right w:w="85" w:type="dxa"/>
            </w:tcMar>
          </w:tcPr>
          <w:p w14:paraId="2D439E09" w14:textId="48C8B617" w:rsidR="00CA05BB" w:rsidRPr="00B275E2" w:rsidRDefault="00CA2EE9"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tcPr>
          <w:p w14:paraId="16129DAF" w14:textId="6861AC21" w:rsidR="00CA05BB" w:rsidRPr="00B275E2" w:rsidRDefault="00FA79FF" w:rsidP="00E627FC">
            <w:pPr>
              <w:pStyle w:val="TableText"/>
              <w:spacing w:before="40" w:after="40"/>
              <w:jc w:val="center"/>
              <w:rPr>
                <w:rFonts w:cs="Calibri"/>
                <w:szCs w:val="18"/>
              </w:rPr>
            </w:pPr>
            <w:r w:rsidRPr="00B275E2">
              <w:rPr>
                <w:rFonts w:cs="Calibri"/>
                <w:szCs w:val="18"/>
              </w:rPr>
              <w:t>1,773.85</w:t>
            </w:r>
          </w:p>
        </w:tc>
        <w:tc>
          <w:tcPr>
            <w:tcW w:w="1275" w:type="dxa"/>
            <w:shd w:val="clear" w:color="auto" w:fill="auto"/>
            <w:tcMar>
              <w:left w:w="85" w:type="dxa"/>
              <w:right w:w="85" w:type="dxa"/>
            </w:tcMar>
          </w:tcPr>
          <w:p w14:paraId="6337F0F4" w14:textId="4025D88B" w:rsidR="00CA05BB" w:rsidRPr="00B275E2" w:rsidRDefault="00FA79FF" w:rsidP="00E627FC">
            <w:pPr>
              <w:pStyle w:val="TableText"/>
              <w:spacing w:before="40" w:after="40"/>
              <w:jc w:val="center"/>
              <w:rPr>
                <w:rFonts w:cs="Calibri"/>
                <w:szCs w:val="18"/>
              </w:rPr>
            </w:pPr>
            <w:r w:rsidRPr="00B275E2">
              <w:rPr>
                <w:rFonts w:cs="Calibri"/>
                <w:szCs w:val="18"/>
              </w:rPr>
              <w:t>1,774</w:t>
            </w:r>
          </w:p>
        </w:tc>
      </w:tr>
      <w:tr w:rsidR="00CA05BB" w:rsidRPr="00B275E2" w14:paraId="16196466" w14:textId="77777777" w:rsidTr="00253FA5">
        <w:tc>
          <w:tcPr>
            <w:tcW w:w="3402" w:type="dxa"/>
            <w:shd w:val="clear" w:color="auto" w:fill="auto"/>
            <w:tcMar>
              <w:left w:w="85" w:type="dxa"/>
              <w:right w:w="85" w:type="dxa"/>
            </w:tcMar>
          </w:tcPr>
          <w:p w14:paraId="746C4811" w14:textId="627D6A5C" w:rsidR="00CA05BB" w:rsidRPr="00B275E2" w:rsidRDefault="00CA05BB" w:rsidP="000E1F19">
            <w:pPr>
              <w:pStyle w:val="TableText"/>
              <w:spacing w:before="40" w:after="40"/>
              <w:rPr>
                <w:rFonts w:cs="Calibri"/>
                <w:szCs w:val="18"/>
              </w:rPr>
            </w:pPr>
            <w:r w:rsidRPr="00B275E2">
              <w:rPr>
                <w:rFonts w:cs="Calibri"/>
                <w:szCs w:val="18"/>
              </w:rPr>
              <w:t>407F</w:t>
            </w:r>
          </w:p>
        </w:tc>
        <w:tc>
          <w:tcPr>
            <w:tcW w:w="1843" w:type="dxa"/>
            <w:shd w:val="clear" w:color="auto" w:fill="auto"/>
            <w:tcMar>
              <w:left w:w="85" w:type="dxa"/>
              <w:right w:w="85" w:type="dxa"/>
            </w:tcMar>
          </w:tcPr>
          <w:p w14:paraId="7915B340" w14:textId="1487C78C" w:rsidR="00CA05BB" w:rsidRPr="00B275E2" w:rsidRDefault="002E153D" w:rsidP="00FD06E4">
            <w:pPr>
              <w:pStyle w:val="TableText"/>
              <w:spacing w:before="40" w:after="40"/>
              <w:rPr>
                <w:rFonts w:cs="Calibri"/>
                <w:szCs w:val="18"/>
              </w:rPr>
            </w:pPr>
            <w:r w:rsidRPr="00B275E2">
              <w:rPr>
                <w:rFonts w:cs="Calibri"/>
                <w:szCs w:val="18"/>
              </w:rPr>
              <w:t>R-32/125/134a (30.0/30.0/40.0)</w:t>
            </w:r>
          </w:p>
        </w:tc>
        <w:tc>
          <w:tcPr>
            <w:tcW w:w="709" w:type="dxa"/>
            <w:shd w:val="clear" w:color="auto" w:fill="auto"/>
            <w:tcMar>
              <w:left w:w="85" w:type="dxa"/>
              <w:right w:w="85" w:type="dxa"/>
            </w:tcMar>
          </w:tcPr>
          <w:p w14:paraId="508AA0D9" w14:textId="59784D7B" w:rsidR="00CA05BB" w:rsidRPr="00B275E2" w:rsidRDefault="00CA2EE9"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tcPr>
          <w:p w14:paraId="714995BF" w14:textId="2AF209D9" w:rsidR="00CA05BB" w:rsidRPr="00B275E2" w:rsidRDefault="00FA79FF" w:rsidP="00E627FC">
            <w:pPr>
              <w:pStyle w:val="TableText"/>
              <w:spacing w:before="40" w:after="40"/>
              <w:jc w:val="center"/>
              <w:rPr>
                <w:rFonts w:cs="Calibri"/>
                <w:szCs w:val="18"/>
              </w:rPr>
            </w:pPr>
            <w:r w:rsidRPr="00B275E2">
              <w:rPr>
                <w:rFonts w:cs="Calibri"/>
                <w:szCs w:val="18"/>
              </w:rPr>
              <w:t>1,825.50</w:t>
            </w:r>
          </w:p>
        </w:tc>
        <w:tc>
          <w:tcPr>
            <w:tcW w:w="1275" w:type="dxa"/>
            <w:shd w:val="clear" w:color="auto" w:fill="auto"/>
            <w:tcMar>
              <w:left w:w="85" w:type="dxa"/>
              <w:right w:w="85" w:type="dxa"/>
            </w:tcMar>
          </w:tcPr>
          <w:p w14:paraId="2F02B653" w14:textId="06F1261D" w:rsidR="00CA05BB" w:rsidRPr="00B275E2" w:rsidRDefault="00FA79FF" w:rsidP="00E627FC">
            <w:pPr>
              <w:pStyle w:val="TableText"/>
              <w:spacing w:before="40" w:after="40"/>
              <w:jc w:val="center"/>
              <w:rPr>
                <w:rFonts w:cs="Calibri"/>
                <w:szCs w:val="18"/>
              </w:rPr>
            </w:pPr>
            <w:r w:rsidRPr="00B275E2">
              <w:rPr>
                <w:rFonts w:cs="Calibri"/>
                <w:szCs w:val="18"/>
              </w:rPr>
              <w:t>1,825</w:t>
            </w:r>
          </w:p>
        </w:tc>
      </w:tr>
      <w:tr w:rsidR="00CA05BB" w:rsidRPr="00B275E2" w14:paraId="273C1BA6" w14:textId="77777777" w:rsidTr="00253FA5">
        <w:tc>
          <w:tcPr>
            <w:tcW w:w="3402" w:type="dxa"/>
            <w:shd w:val="clear" w:color="auto" w:fill="auto"/>
            <w:tcMar>
              <w:left w:w="85" w:type="dxa"/>
              <w:right w:w="85" w:type="dxa"/>
            </w:tcMar>
          </w:tcPr>
          <w:p w14:paraId="53DE88C9" w14:textId="3996245C" w:rsidR="00CA05BB" w:rsidRPr="00B275E2" w:rsidRDefault="00CA05BB" w:rsidP="000E1F19">
            <w:pPr>
              <w:pStyle w:val="TableText"/>
              <w:spacing w:before="40" w:after="40"/>
              <w:rPr>
                <w:rFonts w:cs="Calibri"/>
                <w:szCs w:val="18"/>
              </w:rPr>
            </w:pPr>
            <w:r w:rsidRPr="00B275E2">
              <w:rPr>
                <w:rFonts w:cs="Calibri"/>
                <w:szCs w:val="18"/>
              </w:rPr>
              <w:t>408A</w:t>
            </w:r>
          </w:p>
        </w:tc>
        <w:tc>
          <w:tcPr>
            <w:tcW w:w="1843" w:type="dxa"/>
            <w:shd w:val="clear" w:color="auto" w:fill="auto"/>
            <w:tcMar>
              <w:left w:w="85" w:type="dxa"/>
              <w:right w:w="85" w:type="dxa"/>
            </w:tcMar>
          </w:tcPr>
          <w:p w14:paraId="1B326AAD" w14:textId="48D3D321" w:rsidR="00CA05BB" w:rsidRPr="00B275E2" w:rsidRDefault="002E153D" w:rsidP="00FD06E4">
            <w:pPr>
              <w:pStyle w:val="TableText"/>
              <w:spacing w:before="40" w:after="40"/>
              <w:rPr>
                <w:rFonts w:cs="Calibri"/>
                <w:szCs w:val="18"/>
              </w:rPr>
            </w:pPr>
            <w:r w:rsidRPr="00B275E2">
              <w:rPr>
                <w:rFonts w:cs="Calibri"/>
                <w:szCs w:val="18"/>
              </w:rPr>
              <w:t>R-125/143a/22 (7.0/46.0/47.0)</w:t>
            </w:r>
          </w:p>
        </w:tc>
        <w:tc>
          <w:tcPr>
            <w:tcW w:w="709" w:type="dxa"/>
            <w:shd w:val="clear" w:color="auto" w:fill="auto"/>
            <w:tcMar>
              <w:left w:w="85" w:type="dxa"/>
              <w:right w:w="85" w:type="dxa"/>
            </w:tcMar>
          </w:tcPr>
          <w:p w14:paraId="783338A6" w14:textId="322672D7" w:rsidR="00CA05BB" w:rsidRPr="00B275E2" w:rsidRDefault="00CA2EE9"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tcPr>
          <w:p w14:paraId="60113549" w14:textId="6C6200C7" w:rsidR="00CA05BB" w:rsidRPr="00B275E2" w:rsidRDefault="00FA79FF" w:rsidP="00E627FC">
            <w:pPr>
              <w:pStyle w:val="TableText"/>
              <w:spacing w:before="40" w:after="40"/>
              <w:jc w:val="center"/>
              <w:rPr>
                <w:rFonts w:cs="Calibri"/>
                <w:szCs w:val="18"/>
              </w:rPr>
            </w:pPr>
            <w:r w:rsidRPr="00B275E2">
              <w:rPr>
                <w:rFonts w:cs="Calibri"/>
                <w:szCs w:val="18"/>
              </w:rPr>
              <w:t>1,375.84</w:t>
            </w:r>
          </w:p>
        </w:tc>
        <w:tc>
          <w:tcPr>
            <w:tcW w:w="1275" w:type="dxa"/>
            <w:shd w:val="clear" w:color="auto" w:fill="auto"/>
            <w:tcMar>
              <w:left w:w="85" w:type="dxa"/>
              <w:right w:w="85" w:type="dxa"/>
            </w:tcMar>
          </w:tcPr>
          <w:p w14:paraId="0F360A76" w14:textId="6C4FE34D" w:rsidR="00CA05BB" w:rsidRPr="00B275E2" w:rsidRDefault="00FA79FF" w:rsidP="00E627FC">
            <w:pPr>
              <w:pStyle w:val="TableText"/>
              <w:spacing w:before="40" w:after="40"/>
              <w:jc w:val="center"/>
              <w:rPr>
                <w:rFonts w:cs="Calibri"/>
                <w:szCs w:val="18"/>
              </w:rPr>
            </w:pPr>
            <w:r w:rsidRPr="00B275E2">
              <w:rPr>
                <w:rFonts w:cs="Calibri"/>
                <w:szCs w:val="18"/>
              </w:rPr>
              <w:t>3,152</w:t>
            </w:r>
          </w:p>
        </w:tc>
      </w:tr>
      <w:tr w:rsidR="00CA05BB" w:rsidRPr="00B275E2" w14:paraId="3A144AFE" w14:textId="77777777" w:rsidTr="00253FA5">
        <w:tc>
          <w:tcPr>
            <w:tcW w:w="3402" w:type="dxa"/>
            <w:shd w:val="clear" w:color="auto" w:fill="auto"/>
            <w:tcMar>
              <w:left w:w="85" w:type="dxa"/>
              <w:right w:w="85" w:type="dxa"/>
            </w:tcMar>
          </w:tcPr>
          <w:p w14:paraId="2C2464E1" w14:textId="4987F29A" w:rsidR="00CA05BB" w:rsidRPr="00B275E2" w:rsidRDefault="00CA05BB" w:rsidP="000E1F19">
            <w:pPr>
              <w:pStyle w:val="TableText"/>
              <w:spacing w:before="40" w:after="40"/>
              <w:rPr>
                <w:rFonts w:cs="Calibri"/>
                <w:szCs w:val="18"/>
              </w:rPr>
            </w:pPr>
            <w:r w:rsidRPr="00B275E2">
              <w:rPr>
                <w:rFonts w:cs="Calibri"/>
                <w:szCs w:val="18"/>
              </w:rPr>
              <w:t>409A</w:t>
            </w:r>
          </w:p>
        </w:tc>
        <w:tc>
          <w:tcPr>
            <w:tcW w:w="1843" w:type="dxa"/>
            <w:shd w:val="clear" w:color="auto" w:fill="auto"/>
            <w:tcMar>
              <w:left w:w="85" w:type="dxa"/>
              <w:right w:w="85" w:type="dxa"/>
            </w:tcMar>
          </w:tcPr>
          <w:p w14:paraId="0B3EC3B7" w14:textId="7970961A" w:rsidR="00CA05BB" w:rsidRPr="00B275E2" w:rsidRDefault="00CA2EE9" w:rsidP="00FD06E4">
            <w:pPr>
              <w:pStyle w:val="TableText"/>
              <w:spacing w:before="40" w:after="40"/>
              <w:rPr>
                <w:rFonts w:cs="Calibri"/>
                <w:szCs w:val="18"/>
              </w:rPr>
            </w:pPr>
            <w:r w:rsidRPr="00B275E2">
              <w:rPr>
                <w:rFonts w:cs="Calibri"/>
                <w:szCs w:val="18"/>
              </w:rPr>
              <w:t>R-22/124/142b (60.0/25.0/15.0)</w:t>
            </w:r>
          </w:p>
        </w:tc>
        <w:tc>
          <w:tcPr>
            <w:tcW w:w="709" w:type="dxa"/>
            <w:shd w:val="clear" w:color="auto" w:fill="auto"/>
            <w:tcMar>
              <w:left w:w="85" w:type="dxa"/>
              <w:right w:w="85" w:type="dxa"/>
            </w:tcMar>
          </w:tcPr>
          <w:p w14:paraId="01E701E6" w14:textId="6107D956" w:rsidR="00CA05BB" w:rsidRPr="00B275E2" w:rsidRDefault="00CA2EE9"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tcPr>
          <w:p w14:paraId="164093CC" w14:textId="2C4F199F" w:rsidR="00CA05BB" w:rsidRPr="00B275E2" w:rsidRDefault="00FA79FF" w:rsidP="00E627FC">
            <w:pPr>
              <w:pStyle w:val="TableText"/>
              <w:spacing w:before="40" w:after="40"/>
              <w:jc w:val="center"/>
              <w:rPr>
                <w:rFonts w:cs="Calibri"/>
                <w:szCs w:val="18"/>
              </w:rPr>
            </w:pPr>
            <w:r w:rsidRPr="00B275E2">
              <w:rPr>
                <w:rFonts w:cs="Calibri"/>
                <w:szCs w:val="18"/>
              </w:rPr>
              <w:t>1,584.75</w:t>
            </w:r>
          </w:p>
        </w:tc>
        <w:tc>
          <w:tcPr>
            <w:tcW w:w="1275" w:type="dxa"/>
            <w:shd w:val="clear" w:color="auto" w:fill="auto"/>
            <w:tcMar>
              <w:left w:w="85" w:type="dxa"/>
              <w:right w:w="85" w:type="dxa"/>
            </w:tcMar>
          </w:tcPr>
          <w:p w14:paraId="4672B847" w14:textId="4FCFE6BA" w:rsidR="00CA05BB" w:rsidRPr="00B275E2" w:rsidRDefault="00FA79FF" w:rsidP="00E627FC">
            <w:pPr>
              <w:pStyle w:val="TableText"/>
              <w:spacing w:before="40" w:after="40"/>
              <w:jc w:val="center"/>
              <w:rPr>
                <w:rFonts w:cs="Calibri"/>
                <w:szCs w:val="18"/>
              </w:rPr>
            </w:pPr>
            <w:r w:rsidRPr="00B275E2">
              <w:rPr>
                <w:rFonts w:cs="Calibri"/>
                <w:szCs w:val="18"/>
              </w:rPr>
              <w:t>1,585</w:t>
            </w:r>
          </w:p>
        </w:tc>
      </w:tr>
      <w:tr w:rsidR="00CA05BB" w:rsidRPr="00B275E2" w14:paraId="35297EB7" w14:textId="77777777" w:rsidTr="00253FA5">
        <w:tc>
          <w:tcPr>
            <w:tcW w:w="3402" w:type="dxa"/>
            <w:shd w:val="clear" w:color="auto" w:fill="auto"/>
            <w:tcMar>
              <w:left w:w="85" w:type="dxa"/>
              <w:right w:w="85" w:type="dxa"/>
            </w:tcMar>
          </w:tcPr>
          <w:p w14:paraId="2D0A6F22" w14:textId="4A53F477" w:rsidR="00CA05BB" w:rsidRPr="00B275E2" w:rsidRDefault="00CA05BB" w:rsidP="000E1F19">
            <w:pPr>
              <w:pStyle w:val="TableText"/>
              <w:spacing w:before="40" w:after="40"/>
              <w:rPr>
                <w:rFonts w:cs="Calibri"/>
                <w:szCs w:val="18"/>
              </w:rPr>
            </w:pPr>
            <w:r w:rsidRPr="00B275E2">
              <w:rPr>
                <w:rFonts w:cs="Calibri"/>
                <w:szCs w:val="18"/>
              </w:rPr>
              <w:t>409B</w:t>
            </w:r>
          </w:p>
        </w:tc>
        <w:tc>
          <w:tcPr>
            <w:tcW w:w="1843" w:type="dxa"/>
            <w:shd w:val="clear" w:color="auto" w:fill="auto"/>
            <w:tcMar>
              <w:left w:w="85" w:type="dxa"/>
              <w:right w:w="85" w:type="dxa"/>
            </w:tcMar>
          </w:tcPr>
          <w:p w14:paraId="0456469E" w14:textId="2B8847DA" w:rsidR="00CA05BB" w:rsidRPr="00B275E2" w:rsidRDefault="00CA2EE9" w:rsidP="00FD06E4">
            <w:pPr>
              <w:pStyle w:val="TableText"/>
              <w:spacing w:before="40" w:after="40"/>
              <w:rPr>
                <w:rFonts w:cs="Calibri"/>
                <w:szCs w:val="18"/>
              </w:rPr>
            </w:pPr>
            <w:r w:rsidRPr="00B275E2">
              <w:rPr>
                <w:rFonts w:cs="Calibri"/>
                <w:szCs w:val="18"/>
              </w:rPr>
              <w:t>R-22/124/142b (65.0/25.0/10.0)</w:t>
            </w:r>
          </w:p>
        </w:tc>
        <w:tc>
          <w:tcPr>
            <w:tcW w:w="709" w:type="dxa"/>
            <w:shd w:val="clear" w:color="auto" w:fill="auto"/>
            <w:tcMar>
              <w:left w:w="85" w:type="dxa"/>
              <w:right w:w="85" w:type="dxa"/>
            </w:tcMar>
          </w:tcPr>
          <w:p w14:paraId="7CDFD803" w14:textId="2B930ABA" w:rsidR="00CA05BB" w:rsidRPr="00B275E2" w:rsidRDefault="00CA2EE9"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tcPr>
          <w:p w14:paraId="326EE945" w14:textId="012C380B" w:rsidR="00CA05BB" w:rsidRPr="00B275E2" w:rsidRDefault="00FA79FF" w:rsidP="00E627FC">
            <w:pPr>
              <w:pStyle w:val="TableText"/>
              <w:spacing w:before="40" w:after="40"/>
              <w:jc w:val="center"/>
              <w:rPr>
                <w:rFonts w:cs="Calibri"/>
                <w:szCs w:val="18"/>
              </w:rPr>
            </w:pPr>
            <w:r w:rsidRPr="00B275E2">
              <w:rPr>
                <w:rFonts w:cs="Calibri"/>
                <w:szCs w:val="18"/>
              </w:rPr>
              <w:t>1,559.75</w:t>
            </w:r>
          </w:p>
        </w:tc>
        <w:tc>
          <w:tcPr>
            <w:tcW w:w="1275" w:type="dxa"/>
            <w:shd w:val="clear" w:color="auto" w:fill="auto"/>
            <w:tcMar>
              <w:left w:w="85" w:type="dxa"/>
              <w:right w:w="85" w:type="dxa"/>
            </w:tcMar>
          </w:tcPr>
          <w:p w14:paraId="63F7D168" w14:textId="75D33AD2" w:rsidR="00CA05BB" w:rsidRPr="00B275E2" w:rsidRDefault="00FA79FF" w:rsidP="00E627FC">
            <w:pPr>
              <w:pStyle w:val="TableText"/>
              <w:spacing w:before="40" w:after="40"/>
              <w:jc w:val="center"/>
              <w:rPr>
                <w:rFonts w:cs="Calibri"/>
                <w:szCs w:val="18"/>
              </w:rPr>
            </w:pPr>
            <w:r w:rsidRPr="00B275E2">
              <w:rPr>
                <w:rFonts w:cs="Calibri"/>
                <w:szCs w:val="18"/>
              </w:rPr>
              <w:t>n/a</w:t>
            </w:r>
          </w:p>
        </w:tc>
      </w:tr>
      <w:tr w:rsidR="00CA05BB" w:rsidRPr="00B275E2" w14:paraId="78E65AAF" w14:textId="77777777" w:rsidTr="00253FA5">
        <w:tc>
          <w:tcPr>
            <w:tcW w:w="3402" w:type="dxa"/>
            <w:shd w:val="clear" w:color="auto" w:fill="auto"/>
            <w:tcMar>
              <w:left w:w="85" w:type="dxa"/>
              <w:right w:w="85" w:type="dxa"/>
            </w:tcMar>
          </w:tcPr>
          <w:p w14:paraId="0C9ACA0E" w14:textId="14B700D6" w:rsidR="00CA05BB" w:rsidRPr="00B275E2" w:rsidRDefault="00CA05BB" w:rsidP="000E1F19">
            <w:pPr>
              <w:pStyle w:val="TableText"/>
              <w:spacing w:before="40" w:after="40"/>
              <w:rPr>
                <w:rFonts w:cs="Calibri"/>
                <w:szCs w:val="18"/>
              </w:rPr>
            </w:pPr>
            <w:r w:rsidRPr="00B275E2">
              <w:rPr>
                <w:rFonts w:cs="Calibri"/>
                <w:szCs w:val="18"/>
              </w:rPr>
              <w:t>410A</w:t>
            </w:r>
          </w:p>
        </w:tc>
        <w:tc>
          <w:tcPr>
            <w:tcW w:w="1843" w:type="dxa"/>
            <w:shd w:val="clear" w:color="auto" w:fill="auto"/>
            <w:tcMar>
              <w:left w:w="85" w:type="dxa"/>
              <w:right w:w="85" w:type="dxa"/>
            </w:tcMar>
          </w:tcPr>
          <w:p w14:paraId="29462F76" w14:textId="15235675" w:rsidR="00CA05BB" w:rsidRPr="00B275E2" w:rsidRDefault="00CA2EE9" w:rsidP="00FD06E4">
            <w:pPr>
              <w:pStyle w:val="TableText"/>
              <w:spacing w:before="40" w:after="40"/>
              <w:rPr>
                <w:rFonts w:cs="Calibri"/>
                <w:szCs w:val="18"/>
              </w:rPr>
            </w:pPr>
            <w:r w:rsidRPr="00B275E2">
              <w:rPr>
                <w:rFonts w:cs="Calibri"/>
                <w:szCs w:val="18"/>
              </w:rPr>
              <w:t>R-32/125 (50.0/50.0)</w:t>
            </w:r>
          </w:p>
        </w:tc>
        <w:tc>
          <w:tcPr>
            <w:tcW w:w="709" w:type="dxa"/>
            <w:shd w:val="clear" w:color="auto" w:fill="auto"/>
            <w:tcMar>
              <w:left w:w="85" w:type="dxa"/>
              <w:right w:w="85" w:type="dxa"/>
            </w:tcMar>
          </w:tcPr>
          <w:p w14:paraId="04979A70" w14:textId="3D38B394" w:rsidR="00CA05BB" w:rsidRPr="00B275E2" w:rsidRDefault="00CA2EE9"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tcPr>
          <w:p w14:paraId="470C62A0" w14:textId="5A5ECD98" w:rsidR="00CA05BB" w:rsidRPr="00B275E2" w:rsidRDefault="00FA79FF" w:rsidP="00E627FC">
            <w:pPr>
              <w:pStyle w:val="TableText"/>
              <w:spacing w:before="40" w:after="40"/>
              <w:jc w:val="center"/>
              <w:rPr>
                <w:rFonts w:cs="Calibri"/>
                <w:szCs w:val="18"/>
              </w:rPr>
            </w:pPr>
            <w:r w:rsidRPr="00B275E2">
              <w:rPr>
                <w:rFonts w:cs="Calibri"/>
                <w:szCs w:val="18"/>
              </w:rPr>
              <w:t>2,087.50</w:t>
            </w:r>
          </w:p>
        </w:tc>
        <w:tc>
          <w:tcPr>
            <w:tcW w:w="1275" w:type="dxa"/>
            <w:shd w:val="clear" w:color="auto" w:fill="auto"/>
            <w:tcMar>
              <w:left w:w="85" w:type="dxa"/>
              <w:right w:w="85" w:type="dxa"/>
            </w:tcMar>
          </w:tcPr>
          <w:p w14:paraId="413066D9" w14:textId="43846E8B" w:rsidR="00CA05BB" w:rsidRPr="00B275E2" w:rsidRDefault="00FA79FF" w:rsidP="00E627FC">
            <w:pPr>
              <w:pStyle w:val="TableText"/>
              <w:spacing w:before="40" w:after="40"/>
              <w:jc w:val="center"/>
              <w:rPr>
                <w:rFonts w:cs="Calibri"/>
                <w:szCs w:val="18"/>
              </w:rPr>
            </w:pPr>
            <w:r w:rsidRPr="00B275E2">
              <w:rPr>
                <w:rFonts w:cs="Calibri"/>
                <w:szCs w:val="18"/>
              </w:rPr>
              <w:t>2,088</w:t>
            </w:r>
          </w:p>
        </w:tc>
      </w:tr>
      <w:tr w:rsidR="00CA05BB" w:rsidRPr="00B275E2" w14:paraId="000BACC2" w14:textId="77777777" w:rsidTr="00253FA5">
        <w:tc>
          <w:tcPr>
            <w:tcW w:w="3402" w:type="dxa"/>
            <w:shd w:val="clear" w:color="auto" w:fill="auto"/>
            <w:tcMar>
              <w:left w:w="85" w:type="dxa"/>
              <w:right w:w="85" w:type="dxa"/>
            </w:tcMar>
          </w:tcPr>
          <w:p w14:paraId="3E55C27E" w14:textId="788CB806" w:rsidR="00CA05BB" w:rsidRPr="00B275E2" w:rsidRDefault="00CA05BB" w:rsidP="000E1F19">
            <w:pPr>
              <w:pStyle w:val="TableText"/>
              <w:spacing w:before="40" w:after="40"/>
              <w:rPr>
                <w:rFonts w:cs="Calibri"/>
                <w:szCs w:val="18"/>
              </w:rPr>
            </w:pPr>
            <w:r w:rsidRPr="00B275E2">
              <w:rPr>
                <w:rFonts w:cs="Calibri"/>
                <w:szCs w:val="18"/>
              </w:rPr>
              <w:t>436A</w:t>
            </w:r>
          </w:p>
        </w:tc>
        <w:tc>
          <w:tcPr>
            <w:tcW w:w="1843" w:type="dxa"/>
            <w:shd w:val="clear" w:color="auto" w:fill="auto"/>
            <w:tcMar>
              <w:left w:w="85" w:type="dxa"/>
              <w:right w:w="85" w:type="dxa"/>
            </w:tcMar>
          </w:tcPr>
          <w:p w14:paraId="7B13342F" w14:textId="14FB98FE" w:rsidR="00CA05BB" w:rsidRPr="00B275E2" w:rsidRDefault="00CA2EE9" w:rsidP="00FD06E4">
            <w:pPr>
              <w:pStyle w:val="TableText"/>
              <w:spacing w:before="40" w:after="40"/>
              <w:rPr>
                <w:rFonts w:cs="Calibri"/>
                <w:szCs w:val="18"/>
              </w:rPr>
            </w:pPr>
            <w:r w:rsidRPr="00B275E2">
              <w:rPr>
                <w:rFonts w:cs="Calibri"/>
                <w:szCs w:val="18"/>
              </w:rPr>
              <w:t>R-290/600a (56.0/44.0)</w:t>
            </w:r>
          </w:p>
        </w:tc>
        <w:tc>
          <w:tcPr>
            <w:tcW w:w="709" w:type="dxa"/>
            <w:shd w:val="clear" w:color="auto" w:fill="auto"/>
            <w:tcMar>
              <w:left w:w="85" w:type="dxa"/>
              <w:right w:w="85" w:type="dxa"/>
            </w:tcMar>
          </w:tcPr>
          <w:p w14:paraId="2AC5FC2A" w14:textId="2B03B0D3" w:rsidR="00CA05BB" w:rsidRPr="00B275E2" w:rsidRDefault="00CA2EE9"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tcPr>
          <w:p w14:paraId="0867B24D" w14:textId="38EAB523" w:rsidR="00CA05BB" w:rsidRPr="00B275E2" w:rsidRDefault="00FA79FF" w:rsidP="00E627FC">
            <w:pPr>
              <w:pStyle w:val="TableText"/>
              <w:spacing w:before="40" w:after="40"/>
              <w:jc w:val="center"/>
              <w:rPr>
                <w:rFonts w:cs="Calibri"/>
                <w:szCs w:val="18"/>
              </w:rPr>
            </w:pPr>
            <w:r w:rsidRPr="00B275E2">
              <w:rPr>
                <w:rFonts w:cs="Calibri"/>
                <w:szCs w:val="18"/>
              </w:rPr>
              <w:t>3.15</w:t>
            </w:r>
          </w:p>
        </w:tc>
        <w:tc>
          <w:tcPr>
            <w:tcW w:w="1275" w:type="dxa"/>
            <w:shd w:val="clear" w:color="auto" w:fill="auto"/>
            <w:tcMar>
              <w:left w:w="85" w:type="dxa"/>
              <w:right w:w="85" w:type="dxa"/>
            </w:tcMar>
          </w:tcPr>
          <w:p w14:paraId="0D2FDBB0" w14:textId="4A91A5D5" w:rsidR="00CA05BB" w:rsidRPr="00B275E2" w:rsidRDefault="00FA79FF" w:rsidP="00E627FC">
            <w:pPr>
              <w:pStyle w:val="TableText"/>
              <w:spacing w:before="40" w:after="40"/>
              <w:jc w:val="center"/>
              <w:rPr>
                <w:rFonts w:cs="Calibri"/>
                <w:szCs w:val="18"/>
              </w:rPr>
            </w:pPr>
            <w:r w:rsidRPr="00B275E2">
              <w:rPr>
                <w:rFonts w:cs="Calibri"/>
                <w:szCs w:val="18"/>
              </w:rPr>
              <w:t>n/a</w:t>
            </w:r>
          </w:p>
        </w:tc>
      </w:tr>
      <w:tr w:rsidR="00CA05BB" w:rsidRPr="00B275E2" w14:paraId="2F403FA9" w14:textId="77777777" w:rsidTr="00253FA5">
        <w:tc>
          <w:tcPr>
            <w:tcW w:w="3402" w:type="dxa"/>
            <w:tcBorders>
              <w:bottom w:val="single" w:sz="6" w:space="0" w:color="1B556B"/>
            </w:tcBorders>
            <w:shd w:val="clear" w:color="auto" w:fill="auto"/>
            <w:tcMar>
              <w:left w:w="85" w:type="dxa"/>
              <w:right w:w="85" w:type="dxa"/>
            </w:tcMar>
          </w:tcPr>
          <w:p w14:paraId="2B6E9ED1" w14:textId="38142F0E" w:rsidR="00CA05BB" w:rsidRPr="00B275E2" w:rsidRDefault="00CA05BB" w:rsidP="000E1F19">
            <w:pPr>
              <w:pStyle w:val="TableText"/>
              <w:spacing w:before="40" w:after="40"/>
              <w:rPr>
                <w:rFonts w:cs="Calibri"/>
                <w:szCs w:val="18"/>
              </w:rPr>
            </w:pPr>
            <w:r w:rsidRPr="00B275E2">
              <w:rPr>
                <w:rFonts w:cs="Calibri"/>
                <w:szCs w:val="18"/>
              </w:rPr>
              <w:t>436B</w:t>
            </w:r>
          </w:p>
        </w:tc>
        <w:tc>
          <w:tcPr>
            <w:tcW w:w="1843" w:type="dxa"/>
            <w:tcBorders>
              <w:bottom w:val="single" w:sz="6" w:space="0" w:color="1B556B"/>
            </w:tcBorders>
            <w:shd w:val="clear" w:color="auto" w:fill="auto"/>
            <w:tcMar>
              <w:left w:w="85" w:type="dxa"/>
              <w:right w:w="85" w:type="dxa"/>
            </w:tcMar>
          </w:tcPr>
          <w:p w14:paraId="4DCF8AA5" w14:textId="251E7756" w:rsidR="00CA05BB" w:rsidRPr="00B275E2" w:rsidRDefault="00CA2EE9" w:rsidP="00FD06E4">
            <w:pPr>
              <w:pStyle w:val="TableText"/>
              <w:spacing w:before="40" w:after="40"/>
              <w:rPr>
                <w:rFonts w:cs="Calibri"/>
                <w:szCs w:val="18"/>
              </w:rPr>
            </w:pPr>
            <w:r w:rsidRPr="00B275E2">
              <w:rPr>
                <w:rFonts w:cs="Calibri"/>
                <w:szCs w:val="18"/>
              </w:rPr>
              <w:t>R-290/600a (52.0/48.0)</w:t>
            </w:r>
          </w:p>
        </w:tc>
        <w:tc>
          <w:tcPr>
            <w:tcW w:w="709" w:type="dxa"/>
            <w:tcBorders>
              <w:bottom w:val="single" w:sz="6" w:space="0" w:color="1B556B"/>
            </w:tcBorders>
            <w:shd w:val="clear" w:color="auto" w:fill="auto"/>
            <w:tcMar>
              <w:left w:w="85" w:type="dxa"/>
              <w:right w:w="85" w:type="dxa"/>
            </w:tcMar>
          </w:tcPr>
          <w:p w14:paraId="2E06CA2A" w14:textId="4A97CF02" w:rsidR="00CA05BB" w:rsidRPr="00B275E2" w:rsidRDefault="00CA2EE9" w:rsidP="00E627FC">
            <w:pPr>
              <w:pStyle w:val="TableText"/>
              <w:spacing w:before="40" w:after="40"/>
              <w:jc w:val="center"/>
              <w:rPr>
                <w:rFonts w:cs="Calibri"/>
                <w:szCs w:val="18"/>
              </w:rPr>
            </w:pPr>
            <w:r w:rsidRPr="00B275E2">
              <w:rPr>
                <w:rFonts w:cs="Calibri"/>
                <w:szCs w:val="18"/>
              </w:rPr>
              <w:t>kg</w:t>
            </w:r>
          </w:p>
        </w:tc>
        <w:tc>
          <w:tcPr>
            <w:tcW w:w="1276" w:type="dxa"/>
            <w:tcBorders>
              <w:bottom w:val="single" w:sz="6" w:space="0" w:color="1B556B"/>
            </w:tcBorders>
            <w:shd w:val="clear" w:color="auto" w:fill="auto"/>
            <w:tcMar>
              <w:left w:w="85" w:type="dxa"/>
              <w:right w:w="85" w:type="dxa"/>
            </w:tcMar>
          </w:tcPr>
          <w:p w14:paraId="55866827" w14:textId="7C37D888" w:rsidR="00CA05BB" w:rsidRPr="00B275E2" w:rsidRDefault="00FA79FF" w:rsidP="00E627FC">
            <w:pPr>
              <w:pStyle w:val="TableText"/>
              <w:spacing w:before="40" w:after="40"/>
              <w:jc w:val="center"/>
              <w:rPr>
                <w:rFonts w:cs="Calibri"/>
                <w:szCs w:val="18"/>
              </w:rPr>
            </w:pPr>
            <w:r w:rsidRPr="00B275E2">
              <w:rPr>
                <w:rFonts w:cs="Calibri"/>
                <w:szCs w:val="18"/>
              </w:rPr>
              <w:t>3.156</w:t>
            </w:r>
          </w:p>
        </w:tc>
        <w:tc>
          <w:tcPr>
            <w:tcW w:w="1275" w:type="dxa"/>
            <w:tcBorders>
              <w:bottom w:val="single" w:sz="6" w:space="0" w:color="1B556B"/>
            </w:tcBorders>
            <w:shd w:val="clear" w:color="auto" w:fill="auto"/>
            <w:tcMar>
              <w:left w:w="85" w:type="dxa"/>
              <w:right w:w="85" w:type="dxa"/>
            </w:tcMar>
          </w:tcPr>
          <w:p w14:paraId="2056712B" w14:textId="5093C654" w:rsidR="00CA05BB" w:rsidRPr="00B275E2" w:rsidRDefault="00FA79FF" w:rsidP="00E627FC">
            <w:pPr>
              <w:pStyle w:val="TableText"/>
              <w:spacing w:before="40" w:after="40"/>
              <w:jc w:val="center"/>
              <w:rPr>
                <w:rFonts w:cs="Calibri"/>
                <w:szCs w:val="18"/>
              </w:rPr>
            </w:pPr>
            <w:r w:rsidRPr="00B275E2">
              <w:rPr>
                <w:rFonts w:cs="Calibri"/>
                <w:szCs w:val="18"/>
              </w:rPr>
              <w:t>n/a</w:t>
            </w:r>
          </w:p>
        </w:tc>
      </w:tr>
      <w:tr w:rsidR="00CA05BB" w:rsidRPr="00B275E2" w14:paraId="0864FA44" w14:textId="77777777" w:rsidTr="00253FA5">
        <w:tc>
          <w:tcPr>
            <w:tcW w:w="8505" w:type="dxa"/>
            <w:gridSpan w:val="5"/>
            <w:shd w:val="clear" w:color="auto" w:fill="D2DDE1" w:themeFill="background2"/>
            <w:tcMar>
              <w:left w:w="85" w:type="dxa"/>
              <w:right w:w="85" w:type="dxa"/>
            </w:tcMar>
          </w:tcPr>
          <w:p w14:paraId="02AB8048" w14:textId="41A566D1" w:rsidR="00CA05BB" w:rsidRPr="00B275E2" w:rsidRDefault="002E153D" w:rsidP="00FD06E4">
            <w:pPr>
              <w:pStyle w:val="TableText"/>
              <w:spacing w:before="40" w:after="40"/>
              <w:rPr>
                <w:rFonts w:cs="Calibri"/>
                <w:b/>
                <w:bCs/>
                <w:szCs w:val="18"/>
              </w:rPr>
            </w:pPr>
            <w:r w:rsidRPr="00B275E2">
              <w:rPr>
                <w:rFonts w:cs="Calibri"/>
                <w:b/>
                <w:bCs/>
                <w:szCs w:val="18"/>
              </w:rPr>
              <w:t>Refrigerant blends - Zeotropes</w:t>
            </w:r>
          </w:p>
        </w:tc>
      </w:tr>
      <w:tr w:rsidR="00CA05BB" w:rsidRPr="00B275E2" w14:paraId="53935316" w14:textId="77777777" w:rsidTr="00253FA5">
        <w:tc>
          <w:tcPr>
            <w:tcW w:w="3402" w:type="dxa"/>
            <w:tcBorders>
              <w:bottom w:val="single" w:sz="6" w:space="0" w:color="1B556B"/>
            </w:tcBorders>
            <w:shd w:val="clear" w:color="auto" w:fill="auto"/>
            <w:tcMar>
              <w:left w:w="85" w:type="dxa"/>
              <w:right w:w="85" w:type="dxa"/>
            </w:tcMar>
          </w:tcPr>
          <w:p w14:paraId="4E2BDA35" w14:textId="39A4BEBF" w:rsidR="00CA05BB" w:rsidRPr="00B275E2" w:rsidRDefault="00CA05BB" w:rsidP="000E1F19">
            <w:pPr>
              <w:pStyle w:val="TableText"/>
              <w:spacing w:before="40" w:after="40"/>
              <w:rPr>
                <w:rFonts w:cs="Calibri"/>
                <w:szCs w:val="18"/>
              </w:rPr>
            </w:pPr>
            <w:r w:rsidRPr="00B275E2">
              <w:rPr>
                <w:rFonts w:cs="Calibri"/>
                <w:szCs w:val="18"/>
              </w:rPr>
              <w:t>507A</w:t>
            </w:r>
          </w:p>
        </w:tc>
        <w:tc>
          <w:tcPr>
            <w:tcW w:w="1843" w:type="dxa"/>
            <w:tcBorders>
              <w:bottom w:val="single" w:sz="6" w:space="0" w:color="1B556B"/>
            </w:tcBorders>
            <w:shd w:val="clear" w:color="auto" w:fill="auto"/>
            <w:tcMar>
              <w:left w:w="85" w:type="dxa"/>
              <w:right w:w="85" w:type="dxa"/>
            </w:tcMar>
          </w:tcPr>
          <w:p w14:paraId="035F0530" w14:textId="0F0E5C36" w:rsidR="00CA05BB" w:rsidRPr="00B275E2" w:rsidRDefault="00CA2EE9" w:rsidP="00FD06E4">
            <w:pPr>
              <w:pStyle w:val="TableText"/>
              <w:spacing w:before="40" w:after="40"/>
              <w:rPr>
                <w:rFonts w:cs="Calibri"/>
                <w:szCs w:val="18"/>
              </w:rPr>
            </w:pPr>
            <w:r w:rsidRPr="00B275E2">
              <w:rPr>
                <w:rFonts w:cs="Calibri"/>
                <w:szCs w:val="18"/>
              </w:rPr>
              <w:t>R-125/143a (50.0/50.0)</w:t>
            </w:r>
          </w:p>
        </w:tc>
        <w:tc>
          <w:tcPr>
            <w:tcW w:w="709" w:type="dxa"/>
            <w:tcBorders>
              <w:bottom w:val="single" w:sz="6" w:space="0" w:color="1B556B"/>
            </w:tcBorders>
            <w:shd w:val="clear" w:color="auto" w:fill="auto"/>
            <w:tcMar>
              <w:left w:w="85" w:type="dxa"/>
              <w:right w:w="85" w:type="dxa"/>
            </w:tcMar>
          </w:tcPr>
          <w:p w14:paraId="6F56C56C" w14:textId="16C3268E" w:rsidR="00CA05BB" w:rsidRPr="00B275E2" w:rsidRDefault="00CA2EE9" w:rsidP="00E627FC">
            <w:pPr>
              <w:pStyle w:val="TableText"/>
              <w:spacing w:before="40" w:after="40"/>
              <w:jc w:val="center"/>
              <w:rPr>
                <w:rFonts w:cs="Calibri"/>
                <w:szCs w:val="18"/>
              </w:rPr>
            </w:pPr>
            <w:r w:rsidRPr="00B275E2">
              <w:rPr>
                <w:rFonts w:cs="Calibri"/>
                <w:szCs w:val="18"/>
              </w:rPr>
              <w:t>kg</w:t>
            </w:r>
          </w:p>
        </w:tc>
        <w:tc>
          <w:tcPr>
            <w:tcW w:w="1276" w:type="dxa"/>
            <w:tcBorders>
              <w:bottom w:val="single" w:sz="6" w:space="0" w:color="1B556B"/>
            </w:tcBorders>
            <w:shd w:val="clear" w:color="auto" w:fill="auto"/>
            <w:tcMar>
              <w:left w:w="85" w:type="dxa"/>
              <w:right w:w="85" w:type="dxa"/>
            </w:tcMar>
          </w:tcPr>
          <w:p w14:paraId="6EE0A8E8" w14:textId="458D1D45" w:rsidR="00CA05BB" w:rsidRPr="00B275E2" w:rsidRDefault="00FA79FF" w:rsidP="00E627FC">
            <w:pPr>
              <w:pStyle w:val="TableText"/>
              <w:spacing w:before="40" w:after="40"/>
              <w:jc w:val="center"/>
              <w:rPr>
                <w:rFonts w:cs="Calibri"/>
                <w:szCs w:val="18"/>
              </w:rPr>
            </w:pPr>
            <w:r w:rsidRPr="00B275E2">
              <w:rPr>
                <w:rFonts w:cs="Calibri"/>
                <w:szCs w:val="18"/>
              </w:rPr>
              <w:t>3,985.0</w:t>
            </w:r>
          </w:p>
        </w:tc>
        <w:tc>
          <w:tcPr>
            <w:tcW w:w="1275" w:type="dxa"/>
            <w:tcBorders>
              <w:bottom w:val="single" w:sz="6" w:space="0" w:color="1B556B"/>
            </w:tcBorders>
            <w:shd w:val="clear" w:color="auto" w:fill="auto"/>
            <w:tcMar>
              <w:left w:w="85" w:type="dxa"/>
              <w:right w:w="85" w:type="dxa"/>
            </w:tcMar>
          </w:tcPr>
          <w:p w14:paraId="3BBCC30B" w14:textId="4DB2E403" w:rsidR="00CA05BB" w:rsidRPr="00B275E2" w:rsidRDefault="00FA79FF" w:rsidP="00E627FC">
            <w:pPr>
              <w:pStyle w:val="TableText"/>
              <w:spacing w:before="40" w:after="40"/>
              <w:jc w:val="center"/>
              <w:rPr>
                <w:rFonts w:cs="Calibri"/>
                <w:color w:val="D13438"/>
                <w:szCs w:val="18"/>
              </w:rPr>
            </w:pPr>
            <w:r w:rsidRPr="00B275E2">
              <w:rPr>
                <w:rFonts w:cs="Calibri"/>
                <w:szCs w:val="18"/>
              </w:rPr>
              <w:t>3,985</w:t>
            </w:r>
          </w:p>
        </w:tc>
      </w:tr>
      <w:tr w:rsidR="00CA05BB" w:rsidRPr="00B275E2" w14:paraId="4F50807E" w14:textId="77777777" w:rsidTr="002E68E4">
        <w:tc>
          <w:tcPr>
            <w:tcW w:w="8505" w:type="dxa"/>
            <w:gridSpan w:val="5"/>
            <w:tcBorders>
              <w:bottom w:val="single" w:sz="6" w:space="0" w:color="1B556B"/>
            </w:tcBorders>
            <w:shd w:val="clear" w:color="auto" w:fill="D2DDE1" w:themeFill="background2"/>
            <w:tcMar>
              <w:left w:w="85" w:type="dxa"/>
              <w:right w:w="85" w:type="dxa"/>
            </w:tcMar>
          </w:tcPr>
          <w:p w14:paraId="6087A84D" w14:textId="434E8822" w:rsidR="00CA05BB" w:rsidRPr="00B275E2" w:rsidRDefault="002E153D" w:rsidP="00480A68">
            <w:pPr>
              <w:pStyle w:val="TableText"/>
              <w:keepNext/>
              <w:spacing w:before="40" w:after="40"/>
              <w:rPr>
                <w:rFonts w:cs="Calibri"/>
                <w:b/>
                <w:szCs w:val="18"/>
                <w:u w:val="single"/>
              </w:rPr>
            </w:pPr>
            <w:r w:rsidRPr="00B275E2">
              <w:rPr>
                <w:rFonts w:cs="Calibri"/>
                <w:b/>
                <w:bCs/>
                <w:szCs w:val="18"/>
              </w:rPr>
              <w:lastRenderedPageBreak/>
              <w:t>Medical gases</w:t>
            </w:r>
          </w:p>
        </w:tc>
      </w:tr>
      <w:tr w:rsidR="00FD06E4" w:rsidRPr="00B275E2" w14:paraId="637F5B59" w14:textId="77777777" w:rsidTr="00942910">
        <w:tc>
          <w:tcPr>
            <w:tcW w:w="3402" w:type="dxa"/>
            <w:tcBorders>
              <w:left w:val="single" w:sz="4" w:space="0" w:color="FFFFFF" w:themeColor="background1"/>
              <w:right w:val="single" w:sz="6" w:space="0" w:color="1B556B"/>
            </w:tcBorders>
            <w:shd w:val="clear" w:color="auto" w:fill="FFFFFF" w:themeFill="background1"/>
            <w:tcMar>
              <w:left w:w="85" w:type="dxa"/>
              <w:right w:w="85" w:type="dxa"/>
            </w:tcMar>
          </w:tcPr>
          <w:p w14:paraId="37B5BA30" w14:textId="31902312" w:rsidR="00CA05BB" w:rsidRPr="00B275E2" w:rsidRDefault="00165667" w:rsidP="000E1F19">
            <w:pPr>
              <w:pStyle w:val="TableText"/>
              <w:spacing w:before="40" w:after="40"/>
              <w:rPr>
                <w:rFonts w:cs="Calibri"/>
                <w:szCs w:val="18"/>
              </w:rPr>
            </w:pPr>
            <w:r w:rsidRPr="00B275E2">
              <w:rPr>
                <w:rFonts w:cs="Calibri"/>
                <w:szCs w:val="18"/>
              </w:rPr>
              <w:t>HFE-347mmz1 (Sevoflurane)*</w:t>
            </w:r>
          </w:p>
        </w:tc>
        <w:tc>
          <w:tcPr>
            <w:tcW w:w="1843" w:type="dxa"/>
            <w:tcBorders>
              <w:left w:val="single" w:sz="6" w:space="0" w:color="1B556B"/>
              <w:right w:val="single" w:sz="6" w:space="0" w:color="1B556B"/>
            </w:tcBorders>
            <w:shd w:val="clear" w:color="auto" w:fill="FFFFFF" w:themeFill="background1"/>
            <w:tcMar>
              <w:left w:w="85" w:type="dxa"/>
              <w:right w:w="85" w:type="dxa"/>
            </w:tcMar>
          </w:tcPr>
          <w:p w14:paraId="51B4A452" w14:textId="2D03EB48" w:rsidR="00CA05BB" w:rsidRPr="00B275E2" w:rsidRDefault="00CA2EE9" w:rsidP="00FD06E4">
            <w:pPr>
              <w:pStyle w:val="TableText"/>
              <w:spacing w:before="40" w:after="40"/>
              <w:rPr>
                <w:rFonts w:cs="Calibri"/>
                <w:szCs w:val="18"/>
              </w:rPr>
            </w:pPr>
            <w:r w:rsidRPr="00B275E2">
              <w:rPr>
                <w:rFonts w:cs="Calibri"/>
                <w:szCs w:val="18"/>
              </w:rPr>
              <w:t>(CF</w:t>
            </w:r>
            <w:r w:rsidRPr="00B275E2">
              <w:rPr>
                <w:rFonts w:cs="Calibri"/>
                <w:szCs w:val="18"/>
                <w:vertAlign w:val="subscript"/>
              </w:rPr>
              <w:t>3</w:t>
            </w:r>
            <w:r w:rsidRPr="00B275E2">
              <w:rPr>
                <w:rFonts w:cs="Calibri"/>
                <w:szCs w:val="18"/>
              </w:rPr>
              <w:t>)</w:t>
            </w:r>
            <w:r w:rsidRPr="00B275E2">
              <w:rPr>
                <w:rFonts w:cs="Calibri"/>
                <w:szCs w:val="18"/>
                <w:vertAlign w:val="subscript"/>
              </w:rPr>
              <w:t>2</w:t>
            </w:r>
            <w:r w:rsidRPr="00B275E2">
              <w:rPr>
                <w:rFonts w:cs="Calibri"/>
                <w:szCs w:val="18"/>
              </w:rPr>
              <w:t>CHOCH</w:t>
            </w:r>
            <w:r w:rsidRPr="00B275E2">
              <w:rPr>
                <w:rFonts w:cs="Calibri"/>
                <w:szCs w:val="18"/>
                <w:vertAlign w:val="subscript"/>
              </w:rPr>
              <w:t>2</w:t>
            </w:r>
            <w:r w:rsidRPr="00B275E2">
              <w:rPr>
                <w:rFonts w:cs="Calibri"/>
                <w:szCs w:val="18"/>
              </w:rPr>
              <w:t>F</w:t>
            </w:r>
          </w:p>
        </w:tc>
        <w:tc>
          <w:tcPr>
            <w:tcW w:w="709" w:type="dxa"/>
            <w:tcBorders>
              <w:left w:val="single" w:sz="6" w:space="0" w:color="1B556B"/>
              <w:right w:val="single" w:sz="6" w:space="0" w:color="1B556B"/>
            </w:tcBorders>
            <w:shd w:val="clear" w:color="auto" w:fill="FFFFFF" w:themeFill="background1"/>
            <w:tcMar>
              <w:left w:w="85" w:type="dxa"/>
              <w:right w:w="85" w:type="dxa"/>
            </w:tcMar>
          </w:tcPr>
          <w:p w14:paraId="1A10B250" w14:textId="1A1BBF46" w:rsidR="00CA05BB" w:rsidRPr="00B275E2" w:rsidRDefault="00CA2EE9" w:rsidP="00E627FC">
            <w:pPr>
              <w:pStyle w:val="TableText"/>
              <w:spacing w:before="40" w:after="40"/>
              <w:jc w:val="center"/>
              <w:rPr>
                <w:rFonts w:cs="Calibri"/>
                <w:szCs w:val="18"/>
              </w:rPr>
            </w:pPr>
            <w:r w:rsidRPr="00B275E2">
              <w:rPr>
                <w:rFonts w:cs="Calibri"/>
                <w:szCs w:val="18"/>
              </w:rPr>
              <w:t>kg</w:t>
            </w:r>
          </w:p>
        </w:tc>
        <w:tc>
          <w:tcPr>
            <w:tcW w:w="1276" w:type="dxa"/>
            <w:tcBorders>
              <w:left w:val="single" w:sz="6" w:space="0" w:color="1B556B"/>
              <w:right w:val="single" w:sz="6" w:space="0" w:color="1B556B"/>
            </w:tcBorders>
            <w:shd w:val="clear" w:color="auto" w:fill="FFFFFF" w:themeFill="background1"/>
            <w:tcMar>
              <w:left w:w="85" w:type="dxa"/>
              <w:right w:w="85" w:type="dxa"/>
            </w:tcMar>
          </w:tcPr>
          <w:p w14:paraId="0D955658" w14:textId="71A4E23A" w:rsidR="00CA05BB" w:rsidRPr="00B275E2" w:rsidRDefault="00FA79FF" w:rsidP="00E627FC">
            <w:pPr>
              <w:pStyle w:val="TableText"/>
              <w:spacing w:before="40" w:after="40"/>
              <w:jc w:val="center"/>
              <w:rPr>
                <w:rFonts w:cs="Calibri"/>
                <w:szCs w:val="18"/>
              </w:rPr>
            </w:pPr>
            <w:r w:rsidRPr="00B275E2">
              <w:rPr>
                <w:rFonts w:cs="Calibri"/>
                <w:szCs w:val="18"/>
              </w:rPr>
              <w:t>216</w:t>
            </w:r>
          </w:p>
        </w:tc>
        <w:tc>
          <w:tcPr>
            <w:tcW w:w="1275" w:type="dxa"/>
            <w:tcBorders>
              <w:left w:val="single" w:sz="6" w:space="0" w:color="1B556B"/>
              <w:right w:val="single" w:sz="4" w:space="0" w:color="FFFFFF" w:themeColor="background1"/>
            </w:tcBorders>
            <w:shd w:val="clear" w:color="auto" w:fill="FFFFFF" w:themeFill="background1"/>
            <w:tcMar>
              <w:left w:w="85" w:type="dxa"/>
              <w:right w:w="85" w:type="dxa"/>
            </w:tcMar>
          </w:tcPr>
          <w:p w14:paraId="351E390C" w14:textId="10D6ADF2" w:rsidR="00CA05BB" w:rsidRPr="00B275E2" w:rsidRDefault="00FA79FF" w:rsidP="00E627FC">
            <w:pPr>
              <w:pStyle w:val="TableText"/>
              <w:spacing w:before="40" w:after="40"/>
              <w:jc w:val="center"/>
              <w:rPr>
                <w:rFonts w:cs="Calibri"/>
                <w:szCs w:val="18"/>
              </w:rPr>
            </w:pPr>
            <w:r w:rsidRPr="00B275E2">
              <w:rPr>
                <w:rFonts w:cs="Calibri"/>
                <w:szCs w:val="18"/>
              </w:rPr>
              <w:t>216</w:t>
            </w:r>
          </w:p>
        </w:tc>
      </w:tr>
      <w:tr w:rsidR="00CA05BB" w:rsidRPr="00B275E2" w14:paraId="4109C328" w14:textId="77777777" w:rsidTr="00942910">
        <w:tc>
          <w:tcPr>
            <w:tcW w:w="3402" w:type="dxa"/>
            <w:tcBorders>
              <w:left w:val="single" w:sz="4" w:space="0" w:color="FFFFFF" w:themeColor="background1"/>
            </w:tcBorders>
            <w:shd w:val="clear" w:color="auto" w:fill="auto"/>
            <w:tcMar>
              <w:left w:w="85" w:type="dxa"/>
              <w:right w:w="85" w:type="dxa"/>
            </w:tcMar>
          </w:tcPr>
          <w:p w14:paraId="68E067F1" w14:textId="4F9E709B" w:rsidR="00CA05BB" w:rsidRPr="00B275E2" w:rsidRDefault="002E153D" w:rsidP="000E1F19">
            <w:pPr>
              <w:pStyle w:val="TableText"/>
              <w:spacing w:before="40" w:after="40"/>
              <w:rPr>
                <w:rFonts w:cs="Calibri"/>
                <w:szCs w:val="18"/>
              </w:rPr>
            </w:pPr>
            <w:r w:rsidRPr="00B275E2">
              <w:rPr>
                <w:rFonts w:cs="Calibri"/>
                <w:szCs w:val="18"/>
              </w:rPr>
              <w:t>HCFE-235da2 (Isoflurane)</w:t>
            </w:r>
          </w:p>
        </w:tc>
        <w:tc>
          <w:tcPr>
            <w:tcW w:w="1843" w:type="dxa"/>
            <w:shd w:val="clear" w:color="auto" w:fill="auto"/>
            <w:tcMar>
              <w:left w:w="85" w:type="dxa"/>
              <w:right w:w="85" w:type="dxa"/>
            </w:tcMar>
          </w:tcPr>
          <w:p w14:paraId="04007A85" w14:textId="49C175B7" w:rsidR="00CA05BB" w:rsidRPr="00B275E2" w:rsidRDefault="00CA2EE9" w:rsidP="00FD06E4">
            <w:pPr>
              <w:pStyle w:val="TableText"/>
              <w:spacing w:before="40" w:after="40"/>
              <w:rPr>
                <w:rFonts w:cs="Calibri"/>
                <w:szCs w:val="18"/>
              </w:rPr>
            </w:pPr>
            <w:r w:rsidRPr="00B275E2">
              <w:rPr>
                <w:rFonts w:cs="Calibri"/>
                <w:szCs w:val="18"/>
              </w:rPr>
              <w:t>CHF</w:t>
            </w:r>
            <w:r w:rsidRPr="00B275E2">
              <w:rPr>
                <w:rFonts w:cs="Calibri"/>
                <w:szCs w:val="18"/>
                <w:vertAlign w:val="subscript"/>
              </w:rPr>
              <w:t>2</w:t>
            </w:r>
            <w:r w:rsidRPr="00B275E2">
              <w:rPr>
                <w:rFonts w:cs="Calibri"/>
                <w:szCs w:val="18"/>
              </w:rPr>
              <w:t>OCHClCF</w:t>
            </w:r>
            <w:r w:rsidRPr="00B275E2">
              <w:rPr>
                <w:rFonts w:cs="Calibri"/>
                <w:szCs w:val="18"/>
                <w:vertAlign w:val="subscript"/>
              </w:rPr>
              <w:t>3</w:t>
            </w:r>
          </w:p>
        </w:tc>
        <w:tc>
          <w:tcPr>
            <w:tcW w:w="709" w:type="dxa"/>
            <w:shd w:val="clear" w:color="auto" w:fill="auto"/>
            <w:tcMar>
              <w:left w:w="85" w:type="dxa"/>
              <w:right w:w="85" w:type="dxa"/>
            </w:tcMar>
          </w:tcPr>
          <w:p w14:paraId="2168FE5C" w14:textId="393436B2" w:rsidR="00CA05BB" w:rsidRPr="00B275E2" w:rsidRDefault="00CA2EE9"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tcPr>
          <w:p w14:paraId="53F2D22F" w14:textId="78C1CECF" w:rsidR="00CA05BB" w:rsidRPr="00B275E2" w:rsidRDefault="00FA79FF" w:rsidP="00E627FC">
            <w:pPr>
              <w:pStyle w:val="TableText"/>
              <w:spacing w:before="40" w:after="40"/>
              <w:jc w:val="center"/>
              <w:rPr>
                <w:rFonts w:cs="Calibri"/>
                <w:szCs w:val="18"/>
              </w:rPr>
            </w:pPr>
            <w:r w:rsidRPr="00B275E2">
              <w:rPr>
                <w:rFonts w:cs="Calibri"/>
                <w:szCs w:val="18"/>
              </w:rPr>
              <w:t>350</w:t>
            </w:r>
          </w:p>
        </w:tc>
        <w:tc>
          <w:tcPr>
            <w:tcW w:w="1275" w:type="dxa"/>
            <w:tcBorders>
              <w:right w:val="single" w:sz="4" w:space="0" w:color="FFFFFF" w:themeColor="background1"/>
            </w:tcBorders>
            <w:shd w:val="clear" w:color="auto" w:fill="auto"/>
            <w:tcMar>
              <w:left w:w="85" w:type="dxa"/>
              <w:right w:w="85" w:type="dxa"/>
            </w:tcMar>
          </w:tcPr>
          <w:p w14:paraId="257628D9" w14:textId="16DBCAD9" w:rsidR="00CA05BB" w:rsidRPr="00B275E2" w:rsidRDefault="00FA79FF" w:rsidP="00E627FC">
            <w:pPr>
              <w:pStyle w:val="TableText"/>
              <w:spacing w:before="40" w:after="40"/>
              <w:jc w:val="center"/>
              <w:rPr>
                <w:rFonts w:cs="Calibri"/>
                <w:szCs w:val="18"/>
              </w:rPr>
            </w:pPr>
            <w:r w:rsidRPr="00B275E2">
              <w:rPr>
                <w:rFonts w:cs="Calibri"/>
                <w:szCs w:val="18"/>
              </w:rPr>
              <w:t>491</w:t>
            </w:r>
          </w:p>
        </w:tc>
      </w:tr>
      <w:tr w:rsidR="00CA05BB" w:rsidRPr="00B275E2" w14:paraId="11768808" w14:textId="77777777" w:rsidTr="00942910">
        <w:tc>
          <w:tcPr>
            <w:tcW w:w="3402" w:type="dxa"/>
            <w:tcBorders>
              <w:left w:val="single" w:sz="4" w:space="0" w:color="FFFFFF" w:themeColor="background1"/>
              <w:bottom w:val="single" w:sz="6" w:space="0" w:color="1B556B"/>
            </w:tcBorders>
            <w:shd w:val="clear" w:color="auto" w:fill="auto"/>
            <w:tcMar>
              <w:left w:w="85" w:type="dxa"/>
              <w:right w:w="85" w:type="dxa"/>
            </w:tcMar>
          </w:tcPr>
          <w:p w14:paraId="70B6397B" w14:textId="3F8836EA" w:rsidR="00CA05BB" w:rsidRPr="00B275E2" w:rsidRDefault="002E153D" w:rsidP="000E1F19">
            <w:pPr>
              <w:pStyle w:val="TableText"/>
              <w:spacing w:before="40" w:after="40"/>
              <w:rPr>
                <w:rFonts w:cs="Calibri"/>
                <w:szCs w:val="18"/>
              </w:rPr>
            </w:pPr>
            <w:r w:rsidRPr="00B275E2">
              <w:rPr>
                <w:rFonts w:cs="Calibri"/>
                <w:szCs w:val="18"/>
              </w:rPr>
              <w:t>HFE-236ea2 (Desflurane)*</w:t>
            </w:r>
          </w:p>
        </w:tc>
        <w:tc>
          <w:tcPr>
            <w:tcW w:w="1843" w:type="dxa"/>
            <w:tcBorders>
              <w:bottom w:val="single" w:sz="6" w:space="0" w:color="1B556B"/>
            </w:tcBorders>
            <w:shd w:val="clear" w:color="auto" w:fill="auto"/>
            <w:tcMar>
              <w:left w:w="85" w:type="dxa"/>
              <w:right w:w="85" w:type="dxa"/>
            </w:tcMar>
          </w:tcPr>
          <w:p w14:paraId="19C80A43" w14:textId="2A18CA05" w:rsidR="00CA05BB" w:rsidRPr="00B275E2" w:rsidRDefault="00CA2EE9" w:rsidP="00FD06E4">
            <w:pPr>
              <w:pStyle w:val="TableText"/>
              <w:spacing w:before="40" w:after="40"/>
              <w:rPr>
                <w:rFonts w:cs="Calibri"/>
                <w:szCs w:val="18"/>
              </w:rPr>
            </w:pPr>
            <w:r w:rsidRPr="00B275E2">
              <w:rPr>
                <w:rFonts w:cs="Calibri"/>
                <w:szCs w:val="18"/>
              </w:rPr>
              <w:t>CHF</w:t>
            </w:r>
            <w:r w:rsidRPr="00B275E2">
              <w:rPr>
                <w:rFonts w:cs="Calibri"/>
                <w:szCs w:val="18"/>
                <w:vertAlign w:val="subscript"/>
              </w:rPr>
              <w:t>2</w:t>
            </w:r>
            <w:r w:rsidRPr="00B275E2">
              <w:rPr>
                <w:rFonts w:cs="Calibri"/>
                <w:szCs w:val="18"/>
              </w:rPr>
              <w:t>OCHFCF</w:t>
            </w:r>
            <w:r w:rsidRPr="00B275E2">
              <w:rPr>
                <w:rFonts w:cs="Calibri"/>
                <w:szCs w:val="18"/>
                <w:vertAlign w:val="subscript"/>
              </w:rPr>
              <w:t>3</w:t>
            </w:r>
          </w:p>
        </w:tc>
        <w:tc>
          <w:tcPr>
            <w:tcW w:w="709" w:type="dxa"/>
            <w:tcBorders>
              <w:bottom w:val="single" w:sz="6" w:space="0" w:color="1B556B"/>
            </w:tcBorders>
            <w:shd w:val="clear" w:color="auto" w:fill="auto"/>
            <w:tcMar>
              <w:left w:w="85" w:type="dxa"/>
              <w:right w:w="85" w:type="dxa"/>
            </w:tcMar>
          </w:tcPr>
          <w:p w14:paraId="2A3E7971" w14:textId="587900FF" w:rsidR="00CA05BB" w:rsidRPr="00B275E2" w:rsidRDefault="00CA2EE9" w:rsidP="00E627FC">
            <w:pPr>
              <w:pStyle w:val="TableText"/>
              <w:spacing w:before="40" w:after="40"/>
              <w:jc w:val="center"/>
              <w:rPr>
                <w:rFonts w:cs="Calibri"/>
                <w:szCs w:val="18"/>
              </w:rPr>
            </w:pPr>
            <w:r w:rsidRPr="00B275E2">
              <w:rPr>
                <w:rFonts w:cs="Calibri"/>
                <w:szCs w:val="18"/>
              </w:rPr>
              <w:t>kg</w:t>
            </w:r>
          </w:p>
        </w:tc>
        <w:tc>
          <w:tcPr>
            <w:tcW w:w="1276" w:type="dxa"/>
            <w:tcBorders>
              <w:bottom w:val="single" w:sz="6" w:space="0" w:color="1B556B"/>
            </w:tcBorders>
            <w:shd w:val="clear" w:color="auto" w:fill="auto"/>
            <w:tcMar>
              <w:left w:w="85" w:type="dxa"/>
              <w:right w:w="85" w:type="dxa"/>
            </w:tcMar>
          </w:tcPr>
          <w:p w14:paraId="39C5BA5E" w14:textId="4642A4F9" w:rsidR="00CA05BB" w:rsidRPr="00B275E2" w:rsidRDefault="00FA79FF" w:rsidP="00E627FC">
            <w:pPr>
              <w:pStyle w:val="TableText"/>
              <w:spacing w:before="40" w:after="40"/>
              <w:jc w:val="center"/>
              <w:rPr>
                <w:rFonts w:cs="Calibri"/>
                <w:szCs w:val="18"/>
              </w:rPr>
            </w:pPr>
            <w:r w:rsidRPr="00B275E2">
              <w:rPr>
                <w:rFonts w:cs="Calibri"/>
                <w:szCs w:val="18"/>
              </w:rPr>
              <w:t>1,790</w:t>
            </w:r>
          </w:p>
        </w:tc>
        <w:tc>
          <w:tcPr>
            <w:tcW w:w="1275" w:type="dxa"/>
            <w:tcBorders>
              <w:bottom w:val="single" w:sz="6" w:space="0" w:color="1B556B"/>
              <w:right w:val="single" w:sz="4" w:space="0" w:color="FFFFFF" w:themeColor="background1"/>
            </w:tcBorders>
            <w:shd w:val="clear" w:color="auto" w:fill="auto"/>
            <w:tcMar>
              <w:left w:w="85" w:type="dxa"/>
              <w:right w:w="85" w:type="dxa"/>
            </w:tcMar>
          </w:tcPr>
          <w:p w14:paraId="718B8B93" w14:textId="0901A793" w:rsidR="00CA05BB" w:rsidRPr="00B275E2" w:rsidRDefault="00FA79FF" w:rsidP="00E627FC">
            <w:pPr>
              <w:pStyle w:val="TableText"/>
              <w:spacing w:before="40" w:after="40"/>
              <w:jc w:val="center"/>
              <w:rPr>
                <w:rFonts w:cs="Calibri"/>
                <w:szCs w:val="18"/>
              </w:rPr>
            </w:pPr>
            <w:r w:rsidRPr="00B275E2">
              <w:rPr>
                <w:rFonts w:cs="Calibri"/>
                <w:szCs w:val="18"/>
              </w:rPr>
              <w:t>1,790</w:t>
            </w:r>
          </w:p>
        </w:tc>
      </w:tr>
      <w:tr w:rsidR="00CA2EE9" w:rsidRPr="00B275E2" w14:paraId="69E41AEA" w14:textId="77777777" w:rsidTr="00942910">
        <w:tc>
          <w:tcPr>
            <w:tcW w:w="8505" w:type="dxa"/>
            <w:gridSpan w:val="5"/>
            <w:tcBorders>
              <w:left w:val="single" w:sz="4" w:space="0" w:color="FFFFFF" w:themeColor="background1"/>
              <w:right w:val="single" w:sz="4" w:space="0" w:color="FFFFFF" w:themeColor="background1"/>
            </w:tcBorders>
            <w:shd w:val="clear" w:color="auto" w:fill="D2DDE1" w:themeFill="background2"/>
            <w:tcMar>
              <w:left w:w="85" w:type="dxa"/>
              <w:right w:w="85" w:type="dxa"/>
            </w:tcMar>
          </w:tcPr>
          <w:p w14:paraId="0EFBB890" w14:textId="5978243F" w:rsidR="00CA2EE9" w:rsidRPr="00B275E2" w:rsidRDefault="00316503" w:rsidP="00FD06E4">
            <w:pPr>
              <w:pStyle w:val="TableText"/>
              <w:spacing w:before="40" w:after="40"/>
              <w:rPr>
                <w:rFonts w:cs="Calibri"/>
                <w:b/>
                <w:szCs w:val="18"/>
                <w:u w:val="single"/>
              </w:rPr>
            </w:pPr>
            <w:r w:rsidRPr="00B275E2">
              <w:rPr>
                <w:rFonts w:cs="Calibri"/>
                <w:b/>
                <w:bCs/>
                <w:szCs w:val="18"/>
              </w:rPr>
              <w:t>Medical gas blends</w:t>
            </w:r>
          </w:p>
        </w:tc>
      </w:tr>
      <w:tr w:rsidR="00CA05BB" w:rsidRPr="00B275E2" w14:paraId="75CE93CA" w14:textId="77777777" w:rsidTr="00942910">
        <w:tc>
          <w:tcPr>
            <w:tcW w:w="3402" w:type="dxa"/>
            <w:tcBorders>
              <w:left w:val="single" w:sz="4" w:space="0" w:color="FFFFFF" w:themeColor="background1"/>
            </w:tcBorders>
            <w:shd w:val="clear" w:color="auto" w:fill="auto"/>
            <w:tcMar>
              <w:left w:w="85" w:type="dxa"/>
              <w:right w:w="85" w:type="dxa"/>
            </w:tcMar>
          </w:tcPr>
          <w:p w14:paraId="53A1E621" w14:textId="34E3E712" w:rsidR="00CA05BB" w:rsidRPr="00B275E2" w:rsidRDefault="002E153D" w:rsidP="000E1F19">
            <w:pPr>
              <w:pStyle w:val="TableText"/>
              <w:spacing w:before="40" w:after="40"/>
              <w:rPr>
                <w:rFonts w:cs="Calibri"/>
                <w:szCs w:val="18"/>
              </w:rPr>
            </w:pPr>
            <w:r w:rsidRPr="00B275E2">
              <w:rPr>
                <w:rFonts w:cs="Calibri"/>
                <w:szCs w:val="18"/>
              </w:rPr>
              <w:t>Entonox</w:t>
            </w:r>
          </w:p>
        </w:tc>
        <w:tc>
          <w:tcPr>
            <w:tcW w:w="1843" w:type="dxa"/>
            <w:shd w:val="clear" w:color="auto" w:fill="auto"/>
            <w:tcMar>
              <w:left w:w="85" w:type="dxa"/>
              <w:right w:w="85" w:type="dxa"/>
            </w:tcMar>
          </w:tcPr>
          <w:p w14:paraId="050662F9" w14:textId="0367D22E" w:rsidR="00CA05BB" w:rsidRPr="00B275E2" w:rsidRDefault="00316503" w:rsidP="00FD06E4">
            <w:pPr>
              <w:pStyle w:val="TableText"/>
              <w:spacing w:before="40" w:after="40"/>
              <w:rPr>
                <w:rFonts w:cs="Calibri"/>
                <w:szCs w:val="18"/>
              </w:rPr>
            </w:pPr>
            <w:r w:rsidRPr="00B275E2">
              <w:rPr>
                <w:rFonts w:cs="Calibri"/>
                <w:szCs w:val="18"/>
              </w:rPr>
              <w:t>N</w:t>
            </w:r>
            <w:r w:rsidRPr="00B275E2">
              <w:rPr>
                <w:rFonts w:cs="Calibri"/>
                <w:szCs w:val="18"/>
                <w:vertAlign w:val="subscript"/>
              </w:rPr>
              <w:t>2</w:t>
            </w:r>
            <w:r w:rsidRPr="00B275E2">
              <w:rPr>
                <w:rFonts w:cs="Calibri"/>
                <w:szCs w:val="18"/>
              </w:rPr>
              <w:t>O/O</w:t>
            </w:r>
            <w:r w:rsidRPr="00B275E2">
              <w:rPr>
                <w:rFonts w:cs="Calibri"/>
                <w:szCs w:val="18"/>
                <w:vertAlign w:val="subscript"/>
              </w:rPr>
              <w:t>2</w:t>
            </w:r>
            <w:r w:rsidRPr="00B275E2">
              <w:rPr>
                <w:rFonts w:cs="Calibri"/>
                <w:szCs w:val="18"/>
              </w:rPr>
              <w:t xml:space="preserve"> (50.0/50.0)</w:t>
            </w:r>
          </w:p>
        </w:tc>
        <w:tc>
          <w:tcPr>
            <w:tcW w:w="709" w:type="dxa"/>
            <w:shd w:val="clear" w:color="auto" w:fill="auto"/>
            <w:tcMar>
              <w:left w:w="85" w:type="dxa"/>
              <w:right w:w="85" w:type="dxa"/>
            </w:tcMar>
          </w:tcPr>
          <w:p w14:paraId="610F9BE8" w14:textId="00FFADDC" w:rsidR="00CA05BB" w:rsidRPr="00B275E2" w:rsidRDefault="00CA2EE9" w:rsidP="00E627FC">
            <w:pPr>
              <w:pStyle w:val="TableText"/>
              <w:spacing w:before="40" w:after="40"/>
              <w:jc w:val="center"/>
              <w:rPr>
                <w:rFonts w:cs="Calibri"/>
                <w:szCs w:val="18"/>
              </w:rPr>
            </w:pPr>
            <w:r w:rsidRPr="00B275E2">
              <w:rPr>
                <w:rFonts w:cs="Calibri"/>
                <w:szCs w:val="18"/>
              </w:rPr>
              <w:t>kg</w:t>
            </w:r>
          </w:p>
        </w:tc>
        <w:tc>
          <w:tcPr>
            <w:tcW w:w="1276" w:type="dxa"/>
            <w:shd w:val="clear" w:color="auto" w:fill="auto"/>
            <w:tcMar>
              <w:left w:w="85" w:type="dxa"/>
              <w:right w:w="85" w:type="dxa"/>
            </w:tcMar>
          </w:tcPr>
          <w:p w14:paraId="2EDD0EFD" w14:textId="7E1B8C7D" w:rsidR="00CA05BB" w:rsidRPr="00B275E2" w:rsidRDefault="00FA79FF" w:rsidP="00E627FC">
            <w:pPr>
              <w:pStyle w:val="TableText"/>
              <w:spacing w:before="40" w:after="40"/>
              <w:jc w:val="center"/>
              <w:rPr>
                <w:rFonts w:cs="Calibri"/>
                <w:szCs w:val="18"/>
              </w:rPr>
            </w:pPr>
            <w:r w:rsidRPr="00B275E2">
              <w:rPr>
                <w:rFonts w:cs="Calibri"/>
                <w:szCs w:val="18"/>
              </w:rPr>
              <w:t>173</w:t>
            </w:r>
          </w:p>
        </w:tc>
        <w:tc>
          <w:tcPr>
            <w:tcW w:w="1275" w:type="dxa"/>
            <w:tcBorders>
              <w:right w:val="single" w:sz="4" w:space="0" w:color="FFFFFF" w:themeColor="background1"/>
            </w:tcBorders>
            <w:shd w:val="clear" w:color="auto" w:fill="auto"/>
            <w:tcMar>
              <w:left w:w="85" w:type="dxa"/>
              <w:right w:w="85" w:type="dxa"/>
            </w:tcMar>
          </w:tcPr>
          <w:p w14:paraId="7194D57A" w14:textId="0E4DFA83" w:rsidR="00CA05BB" w:rsidRPr="00B275E2" w:rsidRDefault="00FA79FF" w:rsidP="00E627FC">
            <w:pPr>
              <w:pStyle w:val="TableText"/>
              <w:spacing w:before="40" w:after="40"/>
              <w:jc w:val="center"/>
              <w:rPr>
                <w:rFonts w:cs="Calibri"/>
                <w:color w:val="D13438"/>
                <w:szCs w:val="18"/>
              </w:rPr>
            </w:pPr>
            <w:r w:rsidRPr="00B275E2">
              <w:rPr>
                <w:rFonts w:cs="Calibri"/>
                <w:szCs w:val="18"/>
              </w:rPr>
              <w:t>173</w:t>
            </w:r>
          </w:p>
        </w:tc>
      </w:tr>
    </w:tbl>
    <w:p w14:paraId="1C4959BD" w14:textId="5A81D005" w:rsidR="005C0D7A" w:rsidRPr="00B275E2" w:rsidRDefault="00946935" w:rsidP="006B7605">
      <w:pPr>
        <w:pStyle w:val="Heading3"/>
      </w:pPr>
      <w:r w:rsidRPr="00B275E2">
        <w:rPr>
          <w:rFonts w:eastAsia="Times New Roman" w:cs="Calibri"/>
          <w:color w:val="FFFFFF"/>
          <w:szCs w:val="28"/>
        </w:rPr>
        <w:t xml:space="preserve"> </w:t>
      </w:r>
      <w:bookmarkStart w:id="210" w:name="_Ref532564418"/>
      <w:bookmarkStart w:id="211" w:name="_Toc532904876"/>
      <w:bookmarkStart w:id="212" w:name="_Hlk532202503"/>
      <w:r w:rsidR="00301928" w:rsidRPr="00B275E2">
        <w:t xml:space="preserve">GHG </w:t>
      </w:r>
      <w:r w:rsidR="00741514" w:rsidRPr="00B275E2">
        <w:t>i</w:t>
      </w:r>
      <w:r w:rsidR="005C0D7A" w:rsidRPr="00B275E2">
        <w:t xml:space="preserve">nventory </w:t>
      </w:r>
      <w:r w:rsidR="00741514" w:rsidRPr="00B275E2">
        <w:t>d</w:t>
      </w:r>
      <w:r w:rsidR="005C0D7A" w:rsidRPr="00B275E2">
        <w:t>evelopment</w:t>
      </w:r>
      <w:bookmarkEnd w:id="210"/>
      <w:bookmarkEnd w:id="211"/>
    </w:p>
    <w:p w14:paraId="1A11AB67" w14:textId="71C478A2" w:rsidR="008C0B87" w:rsidRPr="00B275E2" w:rsidRDefault="00B90DBD" w:rsidP="00480A68">
      <w:pPr>
        <w:pStyle w:val="BodyText"/>
      </w:pPr>
      <w:bookmarkStart w:id="213" w:name="_Hlk532892069"/>
      <w:bookmarkStart w:id="214" w:name="_Hlk52530708"/>
      <w:r w:rsidRPr="00B275E2">
        <w:t>There are t</w:t>
      </w:r>
      <w:r w:rsidR="00540BD6" w:rsidRPr="00B275E2">
        <w:t>hree approaches to estimate HFC leakage from refrigeration equipment</w:t>
      </w:r>
      <w:r w:rsidR="001A3AD9" w:rsidRPr="00B275E2">
        <w:t>,</w:t>
      </w:r>
      <w:r w:rsidR="001D4363" w:rsidRPr="00B275E2">
        <w:t xml:space="preserve"> depending on </w:t>
      </w:r>
      <w:r w:rsidR="00566FB0" w:rsidRPr="00B275E2">
        <w:t xml:space="preserve">the </w:t>
      </w:r>
      <w:r w:rsidR="001D4363" w:rsidRPr="00B275E2">
        <w:t>data available</w:t>
      </w:r>
      <w:r w:rsidR="00540BD6" w:rsidRPr="00B275E2">
        <w:t xml:space="preserve">. </w:t>
      </w:r>
      <w:bookmarkEnd w:id="213"/>
      <w:r w:rsidR="008C0B87" w:rsidRPr="00B275E2">
        <w:t>The ideal method is the top</w:t>
      </w:r>
      <w:r w:rsidR="0088228F" w:rsidRPr="00B275E2">
        <w:t>-</w:t>
      </w:r>
      <w:r w:rsidR="008C0B87" w:rsidRPr="00B275E2">
        <w:t xml:space="preserve">up method, Method A. Method B is the next best option. Method C is the least preferred because it has the most assumptions. </w:t>
      </w:r>
    </w:p>
    <w:p w14:paraId="7B58E0F1" w14:textId="38AFF0F9" w:rsidR="001D4363" w:rsidRPr="00B275E2" w:rsidRDefault="001D4363" w:rsidP="00480A68">
      <w:pPr>
        <w:pStyle w:val="BodyText"/>
      </w:pPr>
      <w:r w:rsidRPr="00B275E2">
        <w:t xml:space="preserve">It is stressed that for all methods, </w:t>
      </w:r>
      <w:r w:rsidR="00645DAB" w:rsidRPr="00B275E2">
        <w:t xml:space="preserve">users must individually identify </w:t>
      </w:r>
      <w:r w:rsidRPr="00B275E2">
        <w:t xml:space="preserve">the type of refrigerant because the GWPs </w:t>
      </w:r>
      <w:r w:rsidR="00645DAB" w:rsidRPr="00B275E2">
        <w:t>vary</w:t>
      </w:r>
      <w:r w:rsidRPr="00B275E2">
        <w:t xml:space="preserve"> widely. </w:t>
      </w:r>
    </w:p>
    <w:p w14:paraId="1BBA7597" w14:textId="21E8AB4A" w:rsidR="001D4363" w:rsidRPr="00B275E2" w:rsidRDefault="001D4363" w:rsidP="00480A68">
      <w:pPr>
        <w:pStyle w:val="BodyText"/>
        <w:rPr>
          <w:lang w:eastAsia="en-US"/>
        </w:rPr>
      </w:pPr>
      <w:r w:rsidRPr="00B275E2">
        <w:t>Organisations should indicate the method(s) used in their inventories to reflect the levels of accuracy and uncertainty.</w:t>
      </w:r>
    </w:p>
    <w:p w14:paraId="57CE0489" w14:textId="6B48C8B7" w:rsidR="001D4363" w:rsidRPr="00B275E2" w:rsidRDefault="001D4363" w:rsidP="006B7605">
      <w:pPr>
        <w:pStyle w:val="Heading3"/>
      </w:pPr>
      <w:bookmarkStart w:id="215" w:name="_Toc532904877"/>
      <w:bookmarkEnd w:id="214"/>
      <w:r w:rsidRPr="00B275E2">
        <w:t xml:space="preserve">Method A: Top-up </w:t>
      </w:r>
      <w:bookmarkEnd w:id="215"/>
    </w:p>
    <w:p w14:paraId="08A554F8" w14:textId="0E5E7030" w:rsidR="00B90DBD" w:rsidRPr="00B275E2" w:rsidRDefault="00D1128D" w:rsidP="007F0B1E">
      <w:pPr>
        <w:pStyle w:val="BodyText"/>
        <w:spacing w:after="240"/>
      </w:pPr>
      <w:r w:rsidRPr="00B275E2">
        <w:t xml:space="preserve">The best method to </w:t>
      </w:r>
      <w:r w:rsidR="00BA447E" w:rsidRPr="00B275E2">
        <w:t>determine</w:t>
      </w:r>
      <w:r w:rsidRPr="00B275E2">
        <w:t xml:space="preserve"> </w:t>
      </w:r>
      <w:r w:rsidR="005D190A" w:rsidRPr="00B275E2">
        <w:t xml:space="preserve">if </w:t>
      </w:r>
      <w:r w:rsidRPr="00B275E2">
        <w:t>e</w:t>
      </w:r>
      <w:r w:rsidR="00B90DBD" w:rsidRPr="00B275E2">
        <w:t xml:space="preserve">missions </w:t>
      </w:r>
      <w:r w:rsidR="005D190A" w:rsidRPr="00B275E2">
        <w:t xml:space="preserve">have occurred is through </w:t>
      </w:r>
      <w:r w:rsidR="00B90DBD" w:rsidRPr="00B275E2">
        <w:t>confirm</w:t>
      </w:r>
      <w:r w:rsidR="005D190A" w:rsidRPr="00B275E2">
        <w:t>ing</w:t>
      </w:r>
      <w:r w:rsidR="00B90DBD" w:rsidRPr="00B275E2">
        <w:t xml:space="preserve"> if any top-ups </w:t>
      </w:r>
      <w:r w:rsidR="005D190A" w:rsidRPr="00B275E2">
        <w:t xml:space="preserve">were necessary </w:t>
      </w:r>
      <w:r w:rsidR="00B90DBD" w:rsidRPr="00B275E2">
        <w:t xml:space="preserve">during the measurement period. </w:t>
      </w:r>
      <w:r w:rsidR="001D4363" w:rsidRPr="00B275E2">
        <w:t xml:space="preserve">A piece of equipment is ‘charged’ with refrigerant gas, and any leaked gas must be replaced. </w:t>
      </w:r>
      <w:r w:rsidR="00B90DBD" w:rsidRPr="00B275E2">
        <w:t xml:space="preserve">Assuming that the system </w:t>
      </w:r>
      <w:r w:rsidR="00702B31" w:rsidRPr="00B275E2">
        <w:t>was</w:t>
      </w:r>
      <w:r w:rsidR="00B90DBD" w:rsidRPr="00B275E2">
        <w:t xml:space="preserve"> full </w:t>
      </w:r>
      <w:r w:rsidR="00702B31" w:rsidRPr="00B275E2">
        <w:t>to</w:t>
      </w:r>
      <w:r w:rsidR="00B90DBD" w:rsidRPr="00B275E2">
        <w:t xml:space="preserve"> capacity</w:t>
      </w:r>
      <w:r w:rsidR="00702B31" w:rsidRPr="00B275E2">
        <w:t xml:space="preserve"> before the leakage occurred and is full again after a top-up</w:t>
      </w:r>
      <w:r w:rsidR="00B90DBD" w:rsidRPr="00B275E2">
        <w:t xml:space="preserve">, the amount of </w:t>
      </w:r>
      <w:r w:rsidR="0088228F" w:rsidRPr="00B275E2">
        <w:t xml:space="preserve">top-up </w:t>
      </w:r>
      <w:r w:rsidR="00B90DBD" w:rsidRPr="00B275E2">
        <w:t>gas</w:t>
      </w:r>
      <w:r w:rsidR="004A3D94" w:rsidRPr="00B275E2">
        <w:t> </w:t>
      </w:r>
      <w:r w:rsidR="008C0B87" w:rsidRPr="00B275E2">
        <w:t>is</w:t>
      </w:r>
      <w:r w:rsidR="004A3D94" w:rsidRPr="00B275E2">
        <w:t> </w:t>
      </w:r>
      <w:r w:rsidR="00702B31" w:rsidRPr="00B275E2">
        <w:t xml:space="preserve">equal </w:t>
      </w:r>
      <w:r w:rsidR="008C0B87" w:rsidRPr="00B275E2">
        <w:t>to the gas leaked or</w:t>
      </w:r>
      <w:r w:rsidR="00B90DBD" w:rsidRPr="00B275E2">
        <w:t xml:space="preserve"> lost to the atmosphere.</w:t>
      </w:r>
      <w:r w:rsidR="0099658B" w:rsidRPr="00B275E2">
        <w:t xml:space="preserve"> </w:t>
      </w:r>
      <w:bookmarkStart w:id="216" w:name="_Hlk532892011"/>
      <w:r w:rsidRPr="00B275E2">
        <w:t>T</w:t>
      </w:r>
      <w:r w:rsidR="00B90DBD" w:rsidRPr="00B275E2">
        <w:t>he equipment maintenance service provider</w:t>
      </w:r>
      <w:r w:rsidRPr="00B275E2">
        <w:t xml:space="preserve"> can typically provide information</w:t>
      </w:r>
      <w:r w:rsidR="00702B31" w:rsidRPr="00B275E2">
        <w:t xml:space="preserve"> about the actual amount of refrigerant used to replace what has leaked</w:t>
      </w:r>
      <w:bookmarkEnd w:id="216"/>
      <w:r w:rsidR="001D2121" w:rsidRPr="00B275E2">
        <w:t>.</w:t>
      </w:r>
    </w:p>
    <w:tbl>
      <w:tblPr>
        <w:tblStyle w:val="TableGrid"/>
        <w:tblW w:w="8505" w:type="dxa"/>
        <w:tblInd w:w="26"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864EAC" w:rsidRPr="00B275E2" w14:paraId="6FB142FD" w14:textId="77777777" w:rsidTr="007F0B1E">
        <w:tc>
          <w:tcPr>
            <w:tcW w:w="0" w:type="auto"/>
            <w:shd w:val="clear" w:color="auto" w:fill="D2DDE2"/>
          </w:tcPr>
          <w:p w14:paraId="6DF51EF3" w14:textId="41B34D2B" w:rsidR="00864EAC" w:rsidRPr="00B275E2" w:rsidRDefault="00CD1FA6" w:rsidP="0029010C">
            <w:pPr>
              <w:pStyle w:val="CommentText"/>
              <w:ind w:left="290"/>
              <w:jc w:val="center"/>
              <w:rPr>
                <w:color w:val="1C556C"/>
                <w:szCs w:val="22"/>
              </w:rPr>
            </w:pPr>
            <w:r w:rsidRPr="00B275E2">
              <w:rPr>
                <w:color w:val="1C556C"/>
                <w:szCs w:val="22"/>
              </w:rPr>
              <w:t>Gas used (kg) × GWP = Emissions (kg CO</w:t>
            </w:r>
            <w:r w:rsidRPr="00B275E2">
              <w:rPr>
                <w:color w:val="1C556C"/>
                <w:szCs w:val="22"/>
                <w:vertAlign w:val="subscript"/>
              </w:rPr>
              <w:t>2</w:t>
            </w:r>
            <w:r w:rsidR="00512F10" w:rsidRPr="00B275E2">
              <w:rPr>
                <w:color w:val="1C556C"/>
                <w:szCs w:val="22"/>
              </w:rPr>
              <w:t>-</w:t>
            </w:r>
            <w:r w:rsidRPr="00B275E2">
              <w:rPr>
                <w:color w:val="1C556C"/>
                <w:szCs w:val="22"/>
              </w:rPr>
              <w:t>e)</w:t>
            </w:r>
          </w:p>
        </w:tc>
      </w:tr>
    </w:tbl>
    <w:p w14:paraId="439D69B7" w14:textId="77777777" w:rsidR="001D4363" w:rsidRPr="00B275E2" w:rsidRDefault="001D4363" w:rsidP="007F0B1E">
      <w:pPr>
        <w:pStyle w:val="BodyText"/>
        <w:spacing w:before="240"/>
      </w:pPr>
      <w:r w:rsidRPr="00B275E2">
        <w:t>Where:</w:t>
      </w:r>
    </w:p>
    <w:p w14:paraId="08ED6268" w14:textId="3ECA51FE" w:rsidR="001D4363" w:rsidRPr="00B275E2" w:rsidRDefault="001D4363" w:rsidP="00B31758">
      <w:pPr>
        <w:pStyle w:val="Bullet"/>
      </w:pPr>
      <w:r w:rsidRPr="00B275E2">
        <w:t>E</w:t>
      </w:r>
      <w:r w:rsidR="002A3753" w:rsidRPr="00B275E2">
        <w:t xml:space="preserve"> </w:t>
      </w:r>
      <w:r w:rsidRPr="00B275E2">
        <w:t>=</w:t>
      </w:r>
      <w:r w:rsidR="002A3753" w:rsidRPr="00B275E2">
        <w:t xml:space="preserve"> </w:t>
      </w:r>
      <w:r w:rsidRPr="00B275E2">
        <w:t>emissions from equipment in kg CO</w:t>
      </w:r>
      <w:r w:rsidRPr="00B275E2">
        <w:rPr>
          <w:vertAlign w:val="subscript"/>
        </w:rPr>
        <w:t>2</w:t>
      </w:r>
      <w:r w:rsidRPr="00B275E2">
        <w:t>-e</w:t>
      </w:r>
    </w:p>
    <w:p w14:paraId="09EC2145" w14:textId="26718D8F" w:rsidR="001D4363" w:rsidRPr="00B275E2" w:rsidRDefault="001D4363" w:rsidP="00B31758">
      <w:pPr>
        <w:pStyle w:val="Bullet"/>
      </w:pPr>
      <w:r w:rsidRPr="00B275E2">
        <w:t>GWP</w:t>
      </w:r>
      <w:r w:rsidR="002A3753" w:rsidRPr="00B275E2">
        <w:t xml:space="preserve"> </w:t>
      </w:r>
      <w:r w:rsidRPr="00B275E2">
        <w:t>=</w:t>
      </w:r>
      <w:r w:rsidR="002A3753" w:rsidRPr="00B275E2">
        <w:t xml:space="preserve"> </w:t>
      </w:r>
      <w:r w:rsidRPr="00B275E2">
        <w:t>the 100-year global warming potential of the refrigerant used in equipment (</w:t>
      </w:r>
      <w:hyperlink w:anchor="table7" w:history="1">
        <w:r w:rsidR="004A3D94" w:rsidRPr="00B275E2">
          <w:rPr>
            <w:rStyle w:val="Hyperlink"/>
            <w:spacing w:val="-4"/>
          </w:rPr>
          <w:t>table</w:t>
        </w:r>
        <w:r w:rsidR="000174BD" w:rsidRPr="00B275E2">
          <w:rPr>
            <w:rStyle w:val="Hyperlink"/>
            <w:spacing w:val="-4"/>
          </w:rPr>
          <w:t> </w:t>
        </w:r>
        <w:r w:rsidR="004A3D94" w:rsidRPr="00B275E2">
          <w:rPr>
            <w:rStyle w:val="Hyperlink"/>
            <w:spacing w:val="-4"/>
          </w:rPr>
          <w:t>7</w:t>
        </w:r>
      </w:hyperlink>
      <w:r w:rsidR="00A12687" w:rsidRPr="00B275E2">
        <w:t>)</w:t>
      </w:r>
      <w:r w:rsidR="00B75682" w:rsidRPr="00B275E2">
        <w:t>.</w:t>
      </w:r>
    </w:p>
    <w:p w14:paraId="6FE3F8E7" w14:textId="50762AEE" w:rsidR="001D4363" w:rsidRPr="00B275E2" w:rsidRDefault="001D4363" w:rsidP="006B7605">
      <w:pPr>
        <w:pStyle w:val="Heading3"/>
      </w:pPr>
      <w:bookmarkStart w:id="217" w:name="_Toc532904878"/>
      <w:r w:rsidRPr="00B275E2">
        <w:t>Method</w:t>
      </w:r>
      <w:r w:rsidR="00D0338F" w:rsidRPr="00B275E2">
        <w:t>s</w:t>
      </w:r>
      <w:r w:rsidRPr="00B275E2">
        <w:t xml:space="preserve"> B and C: Screening </w:t>
      </w:r>
      <w:bookmarkEnd w:id="217"/>
    </w:p>
    <w:p w14:paraId="5C161BE2" w14:textId="2DA929F3" w:rsidR="00D0338F" w:rsidRPr="00B275E2" w:rsidRDefault="0088228F" w:rsidP="007F0B1E">
      <w:pPr>
        <w:pStyle w:val="BodyText"/>
      </w:pPr>
      <w:r w:rsidRPr="00B275E2">
        <w:t xml:space="preserve">If </w:t>
      </w:r>
      <w:r w:rsidR="008C0B87" w:rsidRPr="00B275E2">
        <w:t>top</w:t>
      </w:r>
      <w:r w:rsidRPr="00B275E2">
        <w:t>-</w:t>
      </w:r>
      <w:r w:rsidR="008C0B87" w:rsidRPr="00B275E2">
        <w:t xml:space="preserve">up amounts are not available, </w:t>
      </w:r>
      <w:r w:rsidR="00D0338F" w:rsidRPr="00B275E2">
        <w:t>we</w:t>
      </w:r>
      <w:r w:rsidR="008C0B87" w:rsidRPr="00B275E2">
        <w:t xml:space="preserve"> recommend </w:t>
      </w:r>
      <w:r w:rsidR="00154A47" w:rsidRPr="00B275E2">
        <w:t xml:space="preserve">using one of the following </w:t>
      </w:r>
      <w:r w:rsidR="008C0B87" w:rsidRPr="00B275E2">
        <w:t>two methods for</w:t>
      </w:r>
      <w:r w:rsidR="00501400" w:rsidRPr="00B275E2">
        <w:t> </w:t>
      </w:r>
      <w:r w:rsidR="008C0B87" w:rsidRPr="00B275E2">
        <w:t>estimating leakage, depending on the equipment and available information.</w:t>
      </w:r>
      <w:r w:rsidR="00971EDB" w:rsidRPr="00B275E2">
        <w:rPr>
          <w:color w:val="32809C" w:themeColor="accent2"/>
        </w:rPr>
        <w:t xml:space="preserve"> </w:t>
      </w:r>
      <w:hyperlink w:anchor="_Appendix_B:_Alternative" w:history="1">
        <w:r w:rsidR="004A3D94" w:rsidRPr="00B275E2">
          <w:rPr>
            <w:rStyle w:val="Hyperlink"/>
          </w:rPr>
          <w:t>Appendix B: Alternative methods of calculating emissions from refrigerants</w:t>
        </w:r>
      </w:hyperlink>
      <w:r w:rsidR="00971EDB" w:rsidRPr="00B275E2">
        <w:t xml:space="preserve"> details both methods.</w:t>
      </w:r>
    </w:p>
    <w:p w14:paraId="31CB18A0" w14:textId="3B6AD620" w:rsidR="00D0338F" w:rsidRPr="00B275E2" w:rsidRDefault="00B407A5" w:rsidP="007F0B1E">
      <w:pPr>
        <w:pStyle w:val="BodyText"/>
        <w:rPr>
          <w:spacing w:val="-2"/>
        </w:rPr>
      </w:pPr>
      <w:r w:rsidRPr="00B275E2">
        <w:rPr>
          <w:spacing w:val="-2"/>
        </w:rPr>
        <w:t xml:space="preserve">Method B </w:t>
      </w:r>
      <w:r w:rsidR="00AB5B08" w:rsidRPr="00B275E2">
        <w:rPr>
          <w:spacing w:val="-2"/>
        </w:rPr>
        <w:t>is based on default leakage rates</w:t>
      </w:r>
      <w:r w:rsidR="00135F9A" w:rsidRPr="00B275E2">
        <w:rPr>
          <w:spacing w:val="-2"/>
        </w:rPr>
        <w:t xml:space="preserve"> and known </w:t>
      </w:r>
      <w:r w:rsidR="006711A9" w:rsidRPr="00B275E2">
        <w:rPr>
          <w:spacing w:val="-2"/>
        </w:rPr>
        <w:t xml:space="preserve">refrigerant type and volume. </w:t>
      </w:r>
      <w:r w:rsidR="00D1128D" w:rsidRPr="00B275E2">
        <w:rPr>
          <w:spacing w:val="-2"/>
        </w:rPr>
        <w:t xml:space="preserve">Use </w:t>
      </w:r>
      <w:r w:rsidR="008C0B87" w:rsidRPr="00B275E2">
        <w:rPr>
          <w:spacing w:val="-2"/>
        </w:rPr>
        <w:t xml:space="preserve">Method B when the type and amount of refrigerant held in a piece of equipment are known. </w:t>
      </w:r>
    </w:p>
    <w:p w14:paraId="5C995212" w14:textId="694EB4AA" w:rsidR="008C0B87" w:rsidRPr="00B275E2" w:rsidRDefault="006711A9" w:rsidP="007F0B1E">
      <w:pPr>
        <w:pStyle w:val="BodyText"/>
      </w:pPr>
      <w:r w:rsidRPr="00B275E2">
        <w:t>Method C</w:t>
      </w:r>
      <w:r w:rsidR="001B6EA2" w:rsidRPr="00B275E2">
        <w:t xml:space="preserve"> </w:t>
      </w:r>
      <w:r w:rsidR="001B6EA2" w:rsidRPr="00B275E2">
        <w:rPr>
          <w:spacing w:val="-2"/>
        </w:rPr>
        <w:t>is the same as Method B except that it allows default refrigerant quantities to be used as well as default leakage rates.</w:t>
      </w:r>
      <w:r w:rsidR="00724C42" w:rsidRPr="00B275E2">
        <w:rPr>
          <w:rFonts w:ascii="Helvetica" w:hAnsi="Helvetica"/>
          <w:shd w:val="clear" w:color="auto" w:fill="FFFFFF"/>
        </w:rPr>
        <w:t xml:space="preserve"> </w:t>
      </w:r>
      <w:r w:rsidR="00D1128D" w:rsidRPr="00B275E2">
        <w:t xml:space="preserve">Use </w:t>
      </w:r>
      <w:r w:rsidR="008C0B87" w:rsidRPr="00B275E2">
        <w:t xml:space="preserve">Method C </w:t>
      </w:r>
      <w:r w:rsidR="00D1128D" w:rsidRPr="00B275E2">
        <w:t xml:space="preserve">to </w:t>
      </w:r>
      <w:r w:rsidR="008C0B87" w:rsidRPr="00B275E2">
        <w:t>estimate both volume of refrigerant and leakage rate</w:t>
      </w:r>
      <w:r w:rsidR="007252C8" w:rsidRPr="00B275E2">
        <w:rPr>
          <w:spacing w:val="-2"/>
        </w:rPr>
        <w:t xml:space="preserve"> </w:t>
      </w:r>
      <w:r w:rsidR="00B3693C" w:rsidRPr="00B275E2">
        <w:rPr>
          <w:spacing w:val="-2"/>
        </w:rPr>
        <w:t xml:space="preserve">when </w:t>
      </w:r>
      <w:r w:rsidR="0015149B" w:rsidRPr="00B275E2">
        <w:rPr>
          <w:spacing w:val="-2"/>
        </w:rPr>
        <w:t>the</w:t>
      </w:r>
      <w:r w:rsidR="00B3693C" w:rsidRPr="00B275E2">
        <w:rPr>
          <w:spacing w:val="-2"/>
        </w:rPr>
        <w:t xml:space="preserve"> amount of refrigerant held in a piece of equipment </w:t>
      </w:r>
      <w:r w:rsidR="0015149B" w:rsidRPr="00B275E2">
        <w:rPr>
          <w:spacing w:val="-2"/>
        </w:rPr>
        <w:t>is not</w:t>
      </w:r>
      <w:r w:rsidR="00B3693C" w:rsidRPr="00B275E2">
        <w:rPr>
          <w:spacing w:val="-2"/>
        </w:rPr>
        <w:t xml:space="preserve"> known</w:t>
      </w:r>
      <w:r w:rsidR="008C0B87" w:rsidRPr="00B275E2">
        <w:t xml:space="preserve">. </w:t>
      </w:r>
    </w:p>
    <w:p w14:paraId="57BAEC93" w14:textId="094A124F" w:rsidR="00B66D53" w:rsidRPr="00B275E2" w:rsidRDefault="00B66D53" w:rsidP="007F0B1E">
      <w:pPr>
        <w:pStyle w:val="BodyText"/>
      </w:pPr>
      <w:r w:rsidRPr="00B275E2">
        <w:lastRenderedPageBreak/>
        <w:t>Method</w:t>
      </w:r>
      <w:r w:rsidR="00D0338F" w:rsidRPr="00B275E2">
        <w:t>s</w:t>
      </w:r>
      <w:r w:rsidRPr="00B275E2">
        <w:t xml:space="preserve"> </w:t>
      </w:r>
      <w:r w:rsidR="00952102" w:rsidRPr="00B275E2">
        <w:t>B</w:t>
      </w:r>
      <w:r w:rsidRPr="00B275E2">
        <w:t xml:space="preserve"> and </w:t>
      </w:r>
      <w:r w:rsidR="00952102" w:rsidRPr="00B275E2">
        <w:t>C</w:t>
      </w:r>
      <w:r w:rsidRPr="00B275E2">
        <w:t xml:space="preserve"> are based on the screening</w:t>
      </w:r>
      <w:r w:rsidR="00D0338F" w:rsidRPr="00B275E2">
        <w:t xml:space="preserve"> </w:t>
      </w:r>
      <w:r w:rsidRPr="00B275E2">
        <w:t xml:space="preserve">approach </w:t>
      </w:r>
      <w:r w:rsidR="00D0338F" w:rsidRPr="00B275E2">
        <w:t xml:space="preserve">outlined </w:t>
      </w:r>
      <w:r w:rsidRPr="00B275E2">
        <w:t xml:space="preserve">in </w:t>
      </w:r>
      <w:r w:rsidR="008C0B87" w:rsidRPr="00B275E2">
        <w:t>t</w:t>
      </w:r>
      <w:r w:rsidRPr="00B275E2">
        <w:t>he</w:t>
      </w:r>
      <w:r w:rsidRPr="00B275E2">
        <w:rPr>
          <w:i/>
        </w:rPr>
        <w:t xml:space="preserve"> </w:t>
      </w:r>
      <w:hyperlink r:id="rId70" w:history="1">
        <w:r w:rsidRPr="00B275E2">
          <w:rPr>
            <w:rStyle w:val="Hyperlink"/>
          </w:rPr>
          <w:t>GHG Protocol HFC tool</w:t>
        </w:r>
      </w:hyperlink>
      <w:r w:rsidRPr="00B275E2">
        <w:t xml:space="preserve"> (WRI/WBCSD, 2005).</w:t>
      </w:r>
    </w:p>
    <w:p w14:paraId="45A77F87" w14:textId="5CF3E7AC" w:rsidR="00B90DBD" w:rsidRPr="00B275E2" w:rsidRDefault="00B90DBD" w:rsidP="007F0B1E">
      <w:pPr>
        <w:pStyle w:val="BodyText"/>
      </w:pPr>
      <w:bookmarkStart w:id="218" w:name="_Ref532562815"/>
      <w:bookmarkEnd w:id="212"/>
      <w:r w:rsidRPr="00B275E2">
        <w:t xml:space="preserve">For most equipment, Method B </w:t>
      </w:r>
      <w:r w:rsidR="00C51473" w:rsidRPr="00B275E2">
        <w:t>is</w:t>
      </w:r>
      <w:r w:rsidRPr="00B275E2">
        <w:t xml:space="preserve"> acceptable, especially for factory and office situations where</w:t>
      </w:r>
      <w:r w:rsidR="00B06872" w:rsidRPr="00B275E2">
        <w:t> </w:t>
      </w:r>
      <w:r w:rsidRPr="00B275E2">
        <w:t>refrigeration and air-conditioning equipment is incidental rather than central to operations. In</w:t>
      </w:r>
      <w:r w:rsidR="00501400" w:rsidRPr="00B275E2">
        <w:t> </w:t>
      </w:r>
      <w:r w:rsidRPr="00B275E2">
        <w:t xml:space="preserve">some cases, Method C is only suitable for a screening estimate. Screening </w:t>
      </w:r>
      <w:r w:rsidR="00D0338F" w:rsidRPr="00B275E2">
        <w:t xml:space="preserve">is </w:t>
      </w:r>
      <w:r w:rsidRPr="00B275E2">
        <w:t>a way of determining if the equipment should</w:t>
      </w:r>
      <w:r w:rsidR="00D1128D" w:rsidRPr="00B275E2">
        <w:t xml:space="preserve"> </w:t>
      </w:r>
      <w:r w:rsidRPr="00B275E2">
        <w:t xml:space="preserve">be </w:t>
      </w:r>
      <w:r w:rsidR="00C278FE" w:rsidRPr="00B275E2">
        <w:t xml:space="preserve">included or </w:t>
      </w:r>
      <w:r w:rsidRPr="00B275E2">
        <w:t xml:space="preserve">excluded based on </w:t>
      </w:r>
      <w:r w:rsidR="00155554" w:rsidRPr="00B275E2">
        <w:t>materiality</w:t>
      </w:r>
      <w:r w:rsidRPr="00B275E2">
        <w:t xml:space="preserve"> of</w:t>
      </w:r>
      <w:r w:rsidR="00B06872" w:rsidRPr="00B275E2">
        <w:t> </w:t>
      </w:r>
      <w:r w:rsidRPr="00B275E2">
        <w:t xml:space="preserve">emissions from refrigerants. </w:t>
      </w:r>
      <w:r w:rsidR="00D1128D" w:rsidRPr="00B275E2">
        <w:t>Organisations should then try to</w:t>
      </w:r>
      <w:r w:rsidRPr="00B275E2">
        <w:t xml:space="preserve"> source data based on the top</w:t>
      </w:r>
      <w:r w:rsidR="00B06872" w:rsidRPr="00B275E2">
        <w:noBreakHyphen/>
      </w:r>
      <w:r w:rsidRPr="00B275E2">
        <w:t>up method.</w:t>
      </w:r>
    </w:p>
    <w:p w14:paraId="2D0DB18E" w14:textId="32C2AA74" w:rsidR="005C0D7A" w:rsidRPr="00B275E2" w:rsidRDefault="005C0D7A" w:rsidP="006B7605">
      <w:pPr>
        <w:pStyle w:val="Heading3"/>
      </w:pPr>
      <w:bookmarkStart w:id="219" w:name="_Toc532904880"/>
      <w:bookmarkEnd w:id="218"/>
      <w:r w:rsidRPr="00B275E2">
        <w:t>Example calculations</w:t>
      </w:r>
      <w:bookmarkEnd w:id="219"/>
      <w:r w:rsidRPr="00B275E2">
        <w:t xml:space="preserve"> </w:t>
      </w:r>
    </w:p>
    <w:p w14:paraId="1F1C2C3B" w14:textId="2DEA41DC" w:rsidR="009D4B8E" w:rsidRPr="00B275E2" w:rsidRDefault="00D1128D" w:rsidP="00B06872">
      <w:pPr>
        <w:pStyle w:val="BodyText"/>
      </w:pPr>
      <w:r w:rsidRPr="00B275E2">
        <w:t xml:space="preserve">We provide </w:t>
      </w:r>
      <w:r w:rsidR="009D4B8E" w:rsidRPr="00B275E2">
        <w:t>refrigerant emissions calculation example</w:t>
      </w:r>
      <w:r w:rsidRPr="00B275E2">
        <w:t>s</w:t>
      </w:r>
      <w:r w:rsidR="009D4B8E" w:rsidRPr="00B275E2">
        <w:t xml:space="preserve"> below.</w:t>
      </w:r>
    </w:p>
    <w:p w14:paraId="16D988A3" w14:textId="5BB70C84" w:rsidR="009D4B8E" w:rsidRPr="00B275E2" w:rsidRDefault="009D4B8E" w:rsidP="007F0B1E">
      <w:pPr>
        <w:pStyle w:val="BodyText"/>
      </w:pPr>
      <w:bookmarkStart w:id="220" w:name="_Hlk532637425"/>
      <w:r w:rsidRPr="00B275E2">
        <w:t>Company A performs a stocktake of refrigeration-related equipment and identifies the following</w:t>
      </w:r>
      <w:r w:rsidR="00936698" w:rsidRPr="00B275E2">
        <w:t> </w:t>
      </w:r>
      <w:r w:rsidRPr="00B275E2">
        <w:t>units:</w:t>
      </w:r>
    </w:p>
    <w:p w14:paraId="325B8758" w14:textId="77777777" w:rsidR="009D4B8E" w:rsidRPr="00B275E2" w:rsidRDefault="009D4B8E" w:rsidP="00B06872">
      <w:pPr>
        <w:pStyle w:val="Bullet"/>
      </w:pPr>
      <w:r w:rsidRPr="00B275E2">
        <w:t>one large commercial-sized chiller unit</w:t>
      </w:r>
    </w:p>
    <w:p w14:paraId="2C5C3356" w14:textId="68CDAFCA" w:rsidR="00C758E9" w:rsidRPr="00B275E2" w:rsidRDefault="009D4B8E" w:rsidP="00B06872">
      <w:pPr>
        <w:pStyle w:val="Bullet"/>
      </w:pPr>
      <w:r w:rsidRPr="00B275E2">
        <w:t>one commercial-sized office air conditioning unit</w:t>
      </w:r>
      <w:r w:rsidR="00367434" w:rsidRPr="00B275E2">
        <w:t>.</w:t>
      </w:r>
    </w:p>
    <w:p w14:paraId="7515E776" w14:textId="19CAD631" w:rsidR="005B1AFB" w:rsidRPr="00B275E2" w:rsidRDefault="00367434" w:rsidP="007F0B1E">
      <w:pPr>
        <w:pStyle w:val="BodyText"/>
        <w:spacing w:after="240"/>
      </w:pPr>
      <w:r w:rsidRPr="00B275E2">
        <w:t>U</w:t>
      </w:r>
      <w:r w:rsidR="00C758E9" w:rsidRPr="00B275E2">
        <w:t>sing the top-up approach, the calculation is as follows</w:t>
      </w:r>
      <w:r w:rsidR="00740DE7" w:rsidRPr="00B275E2">
        <w:t>:</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0"/>
      </w:tblGrid>
      <w:tr w:rsidR="009D4B8E" w:rsidRPr="00B275E2" w14:paraId="4E951529" w14:textId="77777777" w:rsidTr="00F95AEB">
        <w:tc>
          <w:tcPr>
            <w:tcW w:w="8500" w:type="dxa"/>
            <w:tcBorders>
              <w:top w:val="single" w:sz="4" w:space="0" w:color="0F7B7D"/>
              <w:left w:val="single" w:sz="4" w:space="0" w:color="0F7B7D"/>
              <w:bottom w:val="nil"/>
              <w:right w:val="single" w:sz="4" w:space="0" w:color="0F7B7D"/>
            </w:tcBorders>
            <w:shd w:val="clear" w:color="auto" w:fill="0F7B7D"/>
            <w:vAlign w:val="center"/>
          </w:tcPr>
          <w:p w14:paraId="098BADBE" w14:textId="56F9C3C0" w:rsidR="009D4B8E" w:rsidRPr="00B275E2" w:rsidDel="00D5390D" w:rsidRDefault="00911FA3" w:rsidP="007F0B1E">
            <w:pPr>
              <w:pStyle w:val="Casestudyheading"/>
              <w:ind w:left="0"/>
            </w:pPr>
            <w:bookmarkStart w:id="221" w:name="_Hlk532637398"/>
            <w:r w:rsidRPr="00B275E2">
              <w:t>Refrigerant use</w:t>
            </w:r>
            <w:r w:rsidR="00740DE7" w:rsidRPr="00B275E2">
              <w:t xml:space="preserve"> METHOD A</w:t>
            </w:r>
            <w:r w:rsidR="00367434" w:rsidRPr="00B275E2">
              <w:t xml:space="preserve">: </w:t>
            </w:r>
            <w:r w:rsidR="009D4B8E" w:rsidRPr="00B275E2">
              <w:t>Example Calculations</w:t>
            </w:r>
          </w:p>
        </w:tc>
      </w:tr>
      <w:tr w:rsidR="009D4B8E" w:rsidRPr="00B275E2" w14:paraId="052FD17B" w14:textId="77777777" w:rsidTr="00F95AEB">
        <w:trPr>
          <w:trHeight w:val="567"/>
        </w:trPr>
        <w:tc>
          <w:tcPr>
            <w:tcW w:w="8500" w:type="dxa"/>
            <w:tcBorders>
              <w:top w:val="nil"/>
              <w:left w:val="single" w:sz="4" w:space="0" w:color="D5EBE8" w:themeColor="accent3"/>
              <w:bottom w:val="single" w:sz="4" w:space="0" w:color="D5EBE8" w:themeColor="accent3"/>
              <w:right w:val="single" w:sz="4" w:space="0" w:color="D5EBE8" w:themeColor="accent3"/>
            </w:tcBorders>
            <w:shd w:val="clear" w:color="auto" w:fill="CFE5E5"/>
          </w:tcPr>
          <w:p w14:paraId="48599624" w14:textId="75A7A7B5" w:rsidR="009D4B8E" w:rsidRPr="00B275E2" w:rsidRDefault="009D4B8E" w:rsidP="00F95AEB">
            <w:pPr>
              <w:pStyle w:val="Boxtext"/>
              <w:spacing w:after="0"/>
              <w:rPr>
                <w:b/>
                <w:bCs/>
              </w:rPr>
            </w:pPr>
            <w:r w:rsidRPr="00B275E2">
              <w:rPr>
                <w:b/>
                <w:bCs/>
              </w:rPr>
              <w:t xml:space="preserve">Method A: Top-up </w:t>
            </w:r>
          </w:p>
          <w:p w14:paraId="673A43C4" w14:textId="39DBA195" w:rsidR="009D4B8E" w:rsidRPr="00B275E2" w:rsidRDefault="009D4B8E" w:rsidP="00F95AEB">
            <w:pPr>
              <w:pStyle w:val="Boxtext"/>
              <w:spacing w:before="80" w:after="80"/>
            </w:pPr>
            <w:r w:rsidRPr="00B275E2">
              <w:t>Chiller unit: During the 20</w:t>
            </w:r>
            <w:r w:rsidR="00255089" w:rsidRPr="00B275E2">
              <w:t>20</w:t>
            </w:r>
            <w:r w:rsidRPr="00B275E2">
              <w:t xml:space="preserve"> calendar year, a service technician confirmed a top-up of 6 kg of HFC-134a </w:t>
            </w:r>
            <w:r w:rsidR="00B03956" w:rsidRPr="00B275E2">
              <w:t>(</w:t>
            </w:r>
            <w:r w:rsidR="00686F2A" w:rsidRPr="00B275E2">
              <w:t xml:space="preserve">AR4 </w:t>
            </w:r>
            <w:r w:rsidR="00B03956" w:rsidRPr="00B275E2">
              <w:t>GWP = 1430)</w:t>
            </w:r>
            <w:r w:rsidRPr="00B275E2">
              <w:t xml:space="preserve"> in December 20</w:t>
            </w:r>
            <w:r w:rsidR="00920C22" w:rsidRPr="00B275E2">
              <w:t>20</w:t>
            </w:r>
            <w:r w:rsidRPr="00B275E2">
              <w:t>. The technician also confirmed that when last serviced at the end of December 20</w:t>
            </w:r>
            <w:r w:rsidR="00920C22" w:rsidRPr="00B275E2">
              <w:t>19</w:t>
            </w:r>
            <w:r w:rsidRPr="00B275E2">
              <w:t>, no top-ups</w:t>
            </w:r>
            <w:r w:rsidR="00371F16" w:rsidRPr="00B275E2">
              <w:t xml:space="preserve"> were needed</w:t>
            </w:r>
            <w:r w:rsidRPr="00B275E2">
              <w:t>. So</w:t>
            </w:r>
            <w:r w:rsidR="00920C22" w:rsidRPr="00B275E2">
              <w:t>,</w:t>
            </w:r>
            <w:r w:rsidRPr="00B275E2">
              <w:t xml:space="preserve"> </w:t>
            </w:r>
            <w:r w:rsidR="00D1128D" w:rsidRPr="00B275E2">
              <w:t xml:space="preserve">we assume </w:t>
            </w:r>
            <w:r w:rsidR="00367434" w:rsidRPr="00B275E2">
              <w:t xml:space="preserve">all </w:t>
            </w:r>
            <w:r w:rsidRPr="00B275E2">
              <w:t xml:space="preserve">the </w:t>
            </w:r>
            <w:r w:rsidR="005125F9" w:rsidRPr="00B275E2">
              <w:t xml:space="preserve">6 kg of </w:t>
            </w:r>
            <w:r w:rsidRPr="00B275E2">
              <w:t xml:space="preserve">gas </w:t>
            </w:r>
            <w:r w:rsidR="00367434" w:rsidRPr="00B275E2">
              <w:t>was</w:t>
            </w:r>
            <w:r w:rsidRPr="00B275E2">
              <w:t xml:space="preserve"> lost during calendar year 20</w:t>
            </w:r>
            <w:r w:rsidR="004F6EE9" w:rsidRPr="00B275E2">
              <w:t>20</w:t>
            </w:r>
            <w:r w:rsidRPr="00B275E2">
              <w:t>.</w:t>
            </w:r>
          </w:p>
          <w:p w14:paraId="6F834B7B" w14:textId="39D29577" w:rsidR="009D4B8E" w:rsidRPr="00B275E2" w:rsidRDefault="009D4B8E" w:rsidP="00F95AEB">
            <w:pPr>
              <w:pStyle w:val="Boxtext"/>
              <w:spacing w:after="80"/>
            </w:pPr>
            <w:r w:rsidRPr="00B275E2">
              <w:t>So, for the 20</w:t>
            </w:r>
            <w:r w:rsidR="004F6EE9" w:rsidRPr="00B275E2">
              <w:t>20</w:t>
            </w:r>
            <w:r w:rsidRPr="00B275E2">
              <w:t xml:space="preserve"> inventory:</w:t>
            </w:r>
          </w:p>
          <w:p w14:paraId="41469AAF" w14:textId="29FC804A" w:rsidR="009D4B8E" w:rsidRPr="00B275E2" w:rsidRDefault="009D4B8E" w:rsidP="00867A6C">
            <w:pPr>
              <w:pStyle w:val="Boxtext"/>
              <w:spacing w:before="20" w:after="20"/>
              <w:ind w:left="850"/>
            </w:pPr>
            <w:r w:rsidRPr="00B275E2">
              <w:t>6 kg HFC-134a</w:t>
            </w:r>
            <w:r w:rsidR="00724C42" w:rsidRPr="00B275E2">
              <w:t xml:space="preserve"> </w:t>
            </w:r>
            <w:r w:rsidRPr="00B275E2">
              <w:t>×</w:t>
            </w:r>
            <w:r w:rsidR="00724C42" w:rsidRPr="00B275E2">
              <w:t xml:space="preserve"> </w:t>
            </w:r>
            <w:r w:rsidRPr="00B275E2">
              <w:t xml:space="preserve">1,430 </w:t>
            </w:r>
            <w:r w:rsidR="001F7DBB" w:rsidRPr="00B275E2">
              <w:t xml:space="preserve"> </w:t>
            </w:r>
            <w:r w:rsidR="001F7DBB" w:rsidRPr="00B275E2">
              <w:tab/>
            </w:r>
            <w:r w:rsidR="001F7DBB" w:rsidRPr="00B275E2">
              <w:tab/>
            </w:r>
            <w:r w:rsidRPr="00B275E2">
              <w:t>= 8,580 kg CO</w:t>
            </w:r>
            <w:r w:rsidRPr="00B275E2">
              <w:rPr>
                <w:vertAlign w:val="subscript"/>
              </w:rPr>
              <w:t>2</w:t>
            </w:r>
            <w:r w:rsidR="00512F10" w:rsidRPr="00B275E2">
              <w:t>-</w:t>
            </w:r>
            <w:r w:rsidRPr="00B275E2">
              <w:t xml:space="preserve">e </w:t>
            </w:r>
          </w:p>
          <w:p w14:paraId="7D98ACF2" w14:textId="44CA3844" w:rsidR="009D4B8E" w:rsidRPr="00B275E2" w:rsidRDefault="009D4B8E" w:rsidP="00F95AEB">
            <w:pPr>
              <w:pStyle w:val="Boxtext"/>
            </w:pPr>
            <w:r w:rsidRPr="00B275E2">
              <w:t>Air conditioning unit: During the 20</w:t>
            </w:r>
            <w:r w:rsidR="00920C22" w:rsidRPr="00B275E2">
              <w:t>20</w:t>
            </w:r>
            <w:r w:rsidRPr="00B275E2">
              <w:t xml:space="preserve"> calendar year, a service technician confirmed a top-up of 6 kg of HFC-143a</w:t>
            </w:r>
            <w:r w:rsidR="00512F10" w:rsidRPr="00B275E2">
              <w:t xml:space="preserve"> (</w:t>
            </w:r>
            <w:r w:rsidR="00920C22" w:rsidRPr="00B275E2">
              <w:t xml:space="preserve">AR4 </w:t>
            </w:r>
            <w:r w:rsidR="00512F10" w:rsidRPr="00B275E2">
              <w:t>GWP = 4,470)</w:t>
            </w:r>
            <w:r w:rsidRPr="00B275E2">
              <w:t xml:space="preserve"> in July 20</w:t>
            </w:r>
            <w:r w:rsidR="00425A7E" w:rsidRPr="00B275E2">
              <w:t>20</w:t>
            </w:r>
            <w:r w:rsidRPr="00B275E2">
              <w:t>. The technician also confirmed that when last serviced at the end of July 20</w:t>
            </w:r>
            <w:r w:rsidR="00920C22" w:rsidRPr="00B275E2">
              <w:t>19</w:t>
            </w:r>
            <w:r w:rsidRPr="00B275E2">
              <w:t>, no top-ups</w:t>
            </w:r>
            <w:r w:rsidR="00371F16" w:rsidRPr="00B275E2">
              <w:t xml:space="preserve"> were needed</w:t>
            </w:r>
            <w:r w:rsidRPr="00B275E2">
              <w:t xml:space="preserve">. </w:t>
            </w:r>
            <w:r w:rsidR="00367434" w:rsidRPr="00B275E2">
              <w:t>So</w:t>
            </w:r>
            <w:r w:rsidR="00920C22" w:rsidRPr="00B275E2">
              <w:t>,</w:t>
            </w:r>
            <w:r w:rsidRPr="00B275E2">
              <w:t xml:space="preserve"> </w:t>
            </w:r>
            <w:r w:rsidR="00D1128D" w:rsidRPr="00B275E2">
              <w:t xml:space="preserve">we assume </w:t>
            </w:r>
            <w:r w:rsidR="00367434" w:rsidRPr="00B275E2">
              <w:t xml:space="preserve">all </w:t>
            </w:r>
            <w:r w:rsidRPr="00B275E2">
              <w:t xml:space="preserve">the gas </w:t>
            </w:r>
            <w:r w:rsidR="00367434" w:rsidRPr="00B275E2">
              <w:t>was</w:t>
            </w:r>
            <w:r w:rsidRPr="00B275E2">
              <w:t xml:space="preserve"> lost at an even rate during the 12 months between service visits, and </w:t>
            </w:r>
            <w:r w:rsidR="00367434" w:rsidRPr="00B275E2">
              <w:t>six</w:t>
            </w:r>
            <w:r w:rsidRPr="00B275E2">
              <w:t xml:space="preserve"> of those months </w:t>
            </w:r>
            <w:r w:rsidR="00371F16" w:rsidRPr="00B275E2">
              <w:t xml:space="preserve">sit </w:t>
            </w:r>
            <w:r w:rsidRPr="00B275E2">
              <w:t>in the 20</w:t>
            </w:r>
            <w:r w:rsidR="004F6EE9" w:rsidRPr="00B275E2">
              <w:t>20</w:t>
            </w:r>
            <w:r w:rsidRPr="00B275E2">
              <w:t xml:space="preserve"> measurement period. </w:t>
            </w:r>
          </w:p>
          <w:p w14:paraId="4CA8F54E" w14:textId="47684BF8" w:rsidR="009D4B8E" w:rsidRPr="00B275E2" w:rsidRDefault="009D4B8E" w:rsidP="002E5A21">
            <w:pPr>
              <w:pStyle w:val="Boxtext"/>
              <w:spacing w:before="20" w:after="20"/>
              <w:ind w:left="850"/>
            </w:pPr>
            <w:r w:rsidRPr="00B275E2">
              <w:t xml:space="preserve">6 kg /12 months </w:t>
            </w:r>
            <w:r w:rsidR="001F7DBB" w:rsidRPr="00B275E2">
              <w:t xml:space="preserve"> </w:t>
            </w:r>
            <w:r w:rsidR="001F7DBB" w:rsidRPr="00B275E2">
              <w:tab/>
            </w:r>
            <w:r w:rsidR="001F7DBB" w:rsidRPr="00B275E2">
              <w:tab/>
            </w:r>
            <w:r w:rsidR="001F7DBB" w:rsidRPr="00B275E2">
              <w:tab/>
            </w:r>
            <w:r w:rsidRPr="00B275E2">
              <w:t>= 0.5 kg per month</w:t>
            </w:r>
          </w:p>
          <w:p w14:paraId="41572643" w14:textId="1CDD5A74" w:rsidR="009D4B8E" w:rsidRPr="00B275E2" w:rsidRDefault="009D4B8E" w:rsidP="00AF1F85">
            <w:pPr>
              <w:pStyle w:val="Boxtext"/>
              <w:spacing w:after="80"/>
            </w:pPr>
            <w:r w:rsidRPr="00B275E2">
              <w:t>So, for the 20</w:t>
            </w:r>
            <w:r w:rsidR="004F6EE9" w:rsidRPr="00B275E2">
              <w:t>20</w:t>
            </w:r>
            <w:r w:rsidRPr="00B275E2">
              <w:t xml:space="preserve"> calendar year inventory, 0.5 </w:t>
            </w:r>
            <w:r w:rsidR="00C758E9" w:rsidRPr="00B275E2">
              <w:t>×</w:t>
            </w:r>
            <w:r w:rsidRPr="00B275E2">
              <w:t xml:space="preserve"> 6 months = 3 kg</w:t>
            </w:r>
            <w:r w:rsidR="00367434" w:rsidRPr="00B275E2">
              <w:t>.</w:t>
            </w:r>
            <w:r w:rsidR="00BD685C" w:rsidRPr="00B275E2">
              <w:t xml:space="preserve"> </w:t>
            </w:r>
            <w:r w:rsidR="00367434" w:rsidRPr="00B275E2">
              <w:t>E</w:t>
            </w:r>
            <w:r w:rsidRPr="00B275E2">
              <w:t xml:space="preserve">missions calculate as: </w:t>
            </w:r>
          </w:p>
          <w:p w14:paraId="2FE1D186" w14:textId="6B2A960E" w:rsidR="00D9313E" w:rsidRPr="00B275E2" w:rsidRDefault="009D4B8E" w:rsidP="00AF1F85">
            <w:pPr>
              <w:pStyle w:val="Boxtext"/>
              <w:spacing w:before="20" w:after="240"/>
              <w:ind w:left="850"/>
              <w:rPr>
                <w:sz w:val="18"/>
              </w:rPr>
            </w:pPr>
            <w:r w:rsidRPr="00B275E2">
              <w:t xml:space="preserve">3 kg HFC-143a </w:t>
            </w:r>
            <w:r w:rsidR="00C758E9" w:rsidRPr="00B275E2">
              <w:t>×</w:t>
            </w:r>
            <w:r w:rsidRPr="00B275E2">
              <w:t xml:space="preserve"> 4,470 </w:t>
            </w:r>
            <w:r w:rsidR="001F7DBB" w:rsidRPr="00B275E2">
              <w:t xml:space="preserve"> </w:t>
            </w:r>
            <w:r w:rsidR="001F7DBB" w:rsidRPr="00B275E2">
              <w:tab/>
            </w:r>
            <w:r w:rsidR="001F7DBB" w:rsidRPr="00B275E2">
              <w:tab/>
            </w:r>
            <w:r w:rsidRPr="00B275E2">
              <w:t>= 13,410 kg CO</w:t>
            </w:r>
            <w:r w:rsidRPr="00B275E2">
              <w:rPr>
                <w:vertAlign w:val="subscript"/>
              </w:rPr>
              <w:t>2</w:t>
            </w:r>
            <w:r w:rsidR="00512F10" w:rsidRPr="00B275E2">
              <w:t>-</w:t>
            </w:r>
            <w:r w:rsidRPr="00B275E2">
              <w:t>e</w:t>
            </w:r>
          </w:p>
        </w:tc>
      </w:tr>
    </w:tbl>
    <w:bookmarkEnd w:id="221"/>
    <w:p w14:paraId="233D8692" w14:textId="6961216E" w:rsidR="00C2219E" w:rsidRPr="00B275E2" w:rsidRDefault="00740DE7" w:rsidP="002E5A21">
      <w:pPr>
        <w:pStyle w:val="BodyText"/>
        <w:keepNext/>
        <w:spacing w:before="360"/>
      </w:pPr>
      <w:r w:rsidRPr="00B275E2">
        <w:t>If information was not</w:t>
      </w:r>
      <w:r w:rsidR="00C2219E" w:rsidRPr="00B275E2">
        <w:t xml:space="preserve"> available from the technician, </w:t>
      </w:r>
      <w:r w:rsidR="00D1128D" w:rsidRPr="00B275E2">
        <w:t xml:space="preserve">Company A could use </w:t>
      </w:r>
      <w:r w:rsidR="00C2219E" w:rsidRPr="00B275E2">
        <w:t>the following approach:</w:t>
      </w:r>
      <w:r w:rsidRPr="00B275E2">
        <w:t xml:space="preserve"> </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0"/>
      </w:tblGrid>
      <w:tr w:rsidR="00C758E9" w:rsidRPr="00B275E2" w14:paraId="46EDB545" w14:textId="77777777" w:rsidTr="00533043">
        <w:tc>
          <w:tcPr>
            <w:tcW w:w="8500" w:type="dxa"/>
            <w:tcBorders>
              <w:top w:val="single" w:sz="4" w:space="0" w:color="0F7B7D"/>
              <w:left w:val="single" w:sz="4" w:space="0" w:color="0F7B7D"/>
              <w:bottom w:val="single" w:sz="4" w:space="0" w:color="D5EBE8"/>
              <w:right w:val="single" w:sz="4" w:space="0" w:color="0F7B7D"/>
            </w:tcBorders>
            <w:shd w:val="clear" w:color="auto" w:fill="0F7B7D"/>
            <w:vAlign w:val="center"/>
          </w:tcPr>
          <w:p w14:paraId="3A8622B1" w14:textId="20739952" w:rsidR="00C758E9" w:rsidRPr="00B275E2" w:rsidDel="00D5390D" w:rsidRDefault="00740DE7" w:rsidP="007F0B1E">
            <w:pPr>
              <w:pStyle w:val="Casestudyheading"/>
              <w:ind w:left="0"/>
            </w:pPr>
            <w:r w:rsidRPr="00B275E2">
              <w:t xml:space="preserve">REFRIGERANT </w:t>
            </w:r>
            <w:r w:rsidR="00911FA3" w:rsidRPr="00B275E2">
              <w:t>use</w:t>
            </w:r>
            <w:r w:rsidRPr="00B275E2">
              <w:t xml:space="preserve"> METHOD B: </w:t>
            </w:r>
            <w:r w:rsidR="00C758E9" w:rsidRPr="00B275E2">
              <w:t>Example Calculations</w:t>
            </w:r>
          </w:p>
        </w:tc>
      </w:tr>
      <w:tr w:rsidR="00C758E9" w:rsidRPr="00B275E2" w14:paraId="7A74AD59" w14:textId="77777777" w:rsidTr="00533043">
        <w:tc>
          <w:tcPr>
            <w:tcW w:w="8500" w:type="dxa"/>
            <w:tcBorders>
              <w:top w:val="single" w:sz="4" w:space="0" w:color="D5EBE8"/>
              <w:left w:val="single" w:sz="4" w:space="0" w:color="D5EBE8"/>
              <w:bottom w:val="single" w:sz="4" w:space="0" w:color="D5EBE8"/>
              <w:right w:val="single" w:sz="4" w:space="0" w:color="D5EBE8"/>
            </w:tcBorders>
            <w:shd w:val="clear" w:color="auto" w:fill="D5EBE8" w:themeFill="accent3"/>
          </w:tcPr>
          <w:p w14:paraId="284FF128" w14:textId="262B8522" w:rsidR="00C758E9" w:rsidRPr="00B275E2" w:rsidRDefault="00C758E9" w:rsidP="00533043">
            <w:pPr>
              <w:pStyle w:val="Boxtext"/>
              <w:spacing w:after="0"/>
              <w:rPr>
                <w:b/>
                <w:bCs/>
              </w:rPr>
            </w:pPr>
            <w:r w:rsidRPr="00B275E2">
              <w:rPr>
                <w:b/>
                <w:bCs/>
              </w:rPr>
              <w:t>Method B: Screening method with default annual leakage rate</w:t>
            </w:r>
          </w:p>
          <w:p w14:paraId="4D314E02" w14:textId="2637A626" w:rsidR="00C758E9" w:rsidRPr="00B275E2" w:rsidRDefault="00C758E9" w:rsidP="00C249CB">
            <w:pPr>
              <w:pStyle w:val="Boxtext"/>
              <w:spacing w:after="0"/>
            </w:pPr>
            <w:r w:rsidRPr="00B275E2">
              <w:t>Chiller unit: Compliance plates on the equipment confirm the refrigerant is HFC-134a</w:t>
            </w:r>
            <w:r w:rsidR="00512F10" w:rsidRPr="00B275E2">
              <w:t xml:space="preserve"> (</w:t>
            </w:r>
            <w:r w:rsidR="00920C22" w:rsidRPr="00B275E2">
              <w:t xml:space="preserve">AR4 </w:t>
            </w:r>
            <w:r w:rsidR="00512F10" w:rsidRPr="00B275E2">
              <w:t>GWP = 1,430)</w:t>
            </w:r>
            <w:r w:rsidRPr="00B275E2">
              <w:t xml:space="preserve"> and the volume held is 12 kg. For the chiller unit size, the default leakage rate is</w:t>
            </w:r>
            <w:r w:rsidR="005109EB" w:rsidRPr="00B275E2">
              <w:t> </w:t>
            </w:r>
            <w:r w:rsidRPr="00B275E2">
              <w:t xml:space="preserve">8%. </w:t>
            </w:r>
          </w:p>
          <w:p w14:paraId="5F45F29B" w14:textId="788D4D3E" w:rsidR="00C758E9" w:rsidRPr="00B275E2" w:rsidRDefault="00C758E9" w:rsidP="005109EB">
            <w:pPr>
              <w:pStyle w:val="Boxtext"/>
              <w:spacing w:after="80"/>
            </w:pPr>
            <w:r w:rsidRPr="00B275E2">
              <w:lastRenderedPageBreak/>
              <w:t>So, for the 20</w:t>
            </w:r>
            <w:r w:rsidR="00920C22" w:rsidRPr="00B275E2">
              <w:t>20</w:t>
            </w:r>
            <w:r w:rsidRPr="00B275E2">
              <w:t xml:space="preserve"> calendar year, </w:t>
            </w:r>
          </w:p>
          <w:p w14:paraId="778A73DF" w14:textId="073748EE" w:rsidR="00C758E9" w:rsidRPr="00B275E2" w:rsidRDefault="00C758E9" w:rsidP="005109EB">
            <w:pPr>
              <w:pStyle w:val="Boxtext"/>
              <w:spacing w:before="20" w:after="20"/>
              <w:ind w:left="850"/>
            </w:pPr>
            <w:r w:rsidRPr="00B275E2">
              <w:t xml:space="preserve">12 kg HFC-134a × 8% × 1,430 </w:t>
            </w:r>
            <w:r w:rsidR="001F7DBB" w:rsidRPr="00B275E2">
              <w:t xml:space="preserve"> </w:t>
            </w:r>
            <w:r w:rsidR="001F7DBB" w:rsidRPr="00B275E2">
              <w:tab/>
            </w:r>
            <w:r w:rsidRPr="00B275E2">
              <w:t>= 1,372.8 kg CO</w:t>
            </w:r>
            <w:r w:rsidRPr="00B275E2">
              <w:rPr>
                <w:vertAlign w:val="subscript"/>
              </w:rPr>
              <w:t>2</w:t>
            </w:r>
            <w:r w:rsidR="00512F10" w:rsidRPr="00B275E2">
              <w:t>-</w:t>
            </w:r>
            <w:r w:rsidRPr="00B275E2">
              <w:t xml:space="preserve">e </w:t>
            </w:r>
          </w:p>
          <w:p w14:paraId="7B6E8509" w14:textId="5F0E72E9" w:rsidR="00C758E9" w:rsidRPr="00B275E2" w:rsidRDefault="00C758E9" w:rsidP="005109EB">
            <w:pPr>
              <w:pStyle w:val="Boxtext"/>
              <w:spacing w:after="80"/>
            </w:pPr>
            <w:r w:rsidRPr="00B275E2">
              <w:t>Air conditioning unit: A service technician confirms the refrigerant is HFC-143a</w:t>
            </w:r>
            <w:r w:rsidR="00512F10" w:rsidRPr="00B275E2">
              <w:t xml:space="preserve"> (</w:t>
            </w:r>
            <w:r w:rsidR="00920C22" w:rsidRPr="00B275E2">
              <w:t xml:space="preserve">AR4 </w:t>
            </w:r>
            <w:r w:rsidR="00512F10" w:rsidRPr="00B275E2">
              <w:t>GWP = 4,470)</w:t>
            </w:r>
            <w:r w:rsidRPr="00B275E2">
              <w:t xml:space="preserve"> and the volume held is 1</w:t>
            </w:r>
            <w:r w:rsidR="00192445" w:rsidRPr="00B275E2">
              <w:t>2</w:t>
            </w:r>
            <w:r w:rsidRPr="00B275E2">
              <w:t xml:space="preserve"> kg. For the size of the unit, the default leakage rate is 3%.</w:t>
            </w:r>
          </w:p>
          <w:p w14:paraId="207F37D5" w14:textId="5FD93A8C" w:rsidR="00C758E9" w:rsidRPr="00B275E2" w:rsidRDefault="00C758E9" w:rsidP="005109EB">
            <w:pPr>
              <w:pStyle w:val="Boxtext"/>
              <w:spacing w:after="80"/>
            </w:pPr>
            <w:r w:rsidRPr="00B275E2">
              <w:t>So, for the 20</w:t>
            </w:r>
            <w:r w:rsidR="00920C22" w:rsidRPr="00B275E2">
              <w:t>20</w:t>
            </w:r>
            <w:r w:rsidRPr="00B275E2">
              <w:t xml:space="preserve"> calendar year, </w:t>
            </w:r>
          </w:p>
          <w:p w14:paraId="6FDA981C" w14:textId="6EF59226" w:rsidR="00C758E9" w:rsidRPr="00B275E2" w:rsidRDefault="00C758E9" w:rsidP="00C249CB">
            <w:pPr>
              <w:pStyle w:val="Boxtext"/>
              <w:spacing w:before="20" w:after="20"/>
              <w:ind w:left="850"/>
            </w:pPr>
            <w:r w:rsidRPr="00B275E2">
              <w:t>1</w:t>
            </w:r>
            <w:r w:rsidR="00192445" w:rsidRPr="00B275E2">
              <w:t>2</w:t>
            </w:r>
            <w:r w:rsidRPr="00B275E2">
              <w:t xml:space="preserve"> kg HFC-143a × 3% × 4,470 </w:t>
            </w:r>
            <w:r w:rsidR="001F7DBB" w:rsidRPr="00B275E2">
              <w:t xml:space="preserve"> </w:t>
            </w:r>
            <w:r w:rsidR="001F7DBB" w:rsidRPr="00B275E2">
              <w:tab/>
            </w:r>
            <w:r w:rsidRPr="00B275E2">
              <w:t>= 1,609.2 kg C</w:t>
            </w:r>
            <w:r w:rsidR="0086459A">
              <w:t>O</w:t>
            </w:r>
            <w:r w:rsidRPr="00B275E2">
              <w:rPr>
                <w:vertAlign w:val="subscript"/>
              </w:rPr>
              <w:t>2</w:t>
            </w:r>
            <w:r w:rsidR="00512F10" w:rsidRPr="00B275E2">
              <w:t>-</w:t>
            </w:r>
            <w:r w:rsidRPr="00B275E2">
              <w:t>e</w:t>
            </w:r>
          </w:p>
          <w:p w14:paraId="0188DC36" w14:textId="26EB875D" w:rsidR="00D9313E" w:rsidRPr="00B275E2" w:rsidRDefault="00D9313E" w:rsidP="005109EB">
            <w:pPr>
              <w:pStyle w:val="Boxtext"/>
              <w:spacing w:after="180"/>
              <w:rPr>
                <w:sz w:val="18"/>
              </w:rPr>
            </w:pPr>
            <w:r w:rsidRPr="00B275E2">
              <w:rPr>
                <w:sz w:val="18"/>
              </w:rPr>
              <w:t>Note</w:t>
            </w:r>
            <w:r w:rsidR="008C1FC8" w:rsidRPr="00B275E2">
              <w:rPr>
                <w:sz w:val="18"/>
              </w:rPr>
              <w:t>: N</w:t>
            </w:r>
            <w:r w:rsidRPr="00B275E2">
              <w:rPr>
                <w:sz w:val="18"/>
              </w:rPr>
              <w:t>umbers may not add due to rounding</w:t>
            </w:r>
            <w:r w:rsidR="00BB436A" w:rsidRPr="00B275E2">
              <w:rPr>
                <w:sz w:val="18"/>
              </w:rPr>
              <w:t>.</w:t>
            </w:r>
          </w:p>
        </w:tc>
      </w:tr>
    </w:tbl>
    <w:p w14:paraId="650919F6" w14:textId="263239D5" w:rsidR="00284265" w:rsidRPr="00B275E2" w:rsidRDefault="00C2219E" w:rsidP="005109EB">
      <w:pPr>
        <w:pStyle w:val="BodyText"/>
        <w:spacing w:before="240"/>
      </w:pPr>
      <w:r w:rsidRPr="00B275E2">
        <w:lastRenderedPageBreak/>
        <w:t xml:space="preserve">The </w:t>
      </w:r>
      <w:bookmarkEnd w:id="220"/>
      <w:r w:rsidRPr="00B275E2">
        <w:t xml:space="preserve">difference between </w:t>
      </w:r>
      <w:r w:rsidR="00C758E9" w:rsidRPr="00B275E2">
        <w:t xml:space="preserve">Method A </w:t>
      </w:r>
      <w:r w:rsidRPr="00B275E2">
        <w:t xml:space="preserve">and Method </w:t>
      </w:r>
      <w:r w:rsidR="00C758E9" w:rsidRPr="00B275E2">
        <w:t>B</w:t>
      </w:r>
      <w:r w:rsidRPr="00B275E2">
        <w:t xml:space="preserve"> suggests that </w:t>
      </w:r>
      <w:r w:rsidR="00642C33" w:rsidRPr="00B275E2">
        <w:t xml:space="preserve">the leakage of refrigerant exceeds the default leakage rate, so </w:t>
      </w:r>
      <w:r w:rsidRPr="00B275E2">
        <w:t>improved maintenance of the refrigeration systems could</w:t>
      </w:r>
      <w:r w:rsidR="005928A9" w:rsidRPr="00B275E2">
        <w:t> </w:t>
      </w:r>
      <w:r w:rsidR="00BB436A" w:rsidRPr="00B275E2">
        <w:t>help reduce</w:t>
      </w:r>
      <w:r w:rsidRPr="00B275E2">
        <w:t xml:space="preserve"> leakage.</w:t>
      </w:r>
      <w:bookmarkStart w:id="222" w:name="_Hlk529439899"/>
    </w:p>
    <w:p w14:paraId="637BA2CA" w14:textId="72278C60" w:rsidR="00502067" w:rsidRPr="00B275E2" w:rsidRDefault="00502067" w:rsidP="00C24B73">
      <w:pPr>
        <w:pStyle w:val="Heading2"/>
        <w:numPr>
          <w:ilvl w:val="0"/>
          <w:numId w:val="21"/>
        </w:numPr>
      </w:pPr>
      <w:bookmarkStart w:id="223" w:name="_Toc111536781"/>
      <w:r w:rsidRPr="00B275E2">
        <w:t xml:space="preserve">Medical </w:t>
      </w:r>
      <w:r w:rsidR="00211E01" w:rsidRPr="00B275E2">
        <w:t>g</w:t>
      </w:r>
      <w:r w:rsidRPr="00B275E2">
        <w:t>ases</w:t>
      </w:r>
      <w:r w:rsidR="007C13EC" w:rsidRPr="00B275E2">
        <w:t xml:space="preserve"> </w:t>
      </w:r>
      <w:r w:rsidR="00211E01" w:rsidRPr="00B275E2">
        <w:t>u</w:t>
      </w:r>
      <w:r w:rsidR="007C13EC" w:rsidRPr="00B275E2">
        <w:t>se</w:t>
      </w:r>
      <w:bookmarkEnd w:id="223"/>
    </w:p>
    <w:p w14:paraId="266085C1" w14:textId="402B1654" w:rsidR="00456B91" w:rsidRPr="00B275E2" w:rsidRDefault="007455DC" w:rsidP="007F0B1E">
      <w:pPr>
        <w:pStyle w:val="BodyText"/>
      </w:pPr>
      <w:r w:rsidRPr="00B275E2">
        <w:t xml:space="preserve">This section covers </w:t>
      </w:r>
      <w:r w:rsidR="00C055B9" w:rsidRPr="00B275E2">
        <w:t>emissions from medical gases</w:t>
      </w:r>
      <w:r w:rsidR="00456B91" w:rsidRPr="00B275E2">
        <w:t>.</w:t>
      </w:r>
      <w:r w:rsidR="00F2373A" w:rsidRPr="00B275E2">
        <w:t xml:space="preserve"> </w:t>
      </w:r>
      <w:r w:rsidR="00EF489C" w:rsidRPr="00B275E2">
        <w:t>A</w:t>
      </w:r>
      <w:r w:rsidR="00592633" w:rsidRPr="00B275E2">
        <w:t>naesthetic medical gases</w:t>
      </w:r>
      <w:r w:rsidR="00E3370F" w:rsidRPr="00B275E2">
        <w:t xml:space="preserve"> can be</w:t>
      </w:r>
      <w:r w:rsidR="00592633" w:rsidRPr="00B275E2">
        <w:t xml:space="preserve"> a </w:t>
      </w:r>
      <w:r w:rsidR="00B974FF" w:rsidRPr="00B275E2">
        <w:t>significant</w:t>
      </w:r>
      <w:r w:rsidR="00592633" w:rsidRPr="00B275E2">
        <w:t xml:space="preserve"> source of direct (</w:t>
      </w:r>
      <w:r w:rsidR="001E15DC" w:rsidRPr="00B275E2">
        <w:t>S</w:t>
      </w:r>
      <w:r w:rsidR="00592633" w:rsidRPr="00B275E2">
        <w:t>cope 1) emissions in hospitals</w:t>
      </w:r>
      <w:r w:rsidR="000025D9" w:rsidRPr="00B275E2">
        <w:t>. The most accurate way to calculate</w:t>
      </w:r>
      <w:r w:rsidR="000174BD" w:rsidRPr="00B275E2">
        <w:t> </w:t>
      </w:r>
      <w:r w:rsidR="000025D9" w:rsidRPr="00B275E2">
        <w:t xml:space="preserve">emissions from medical gases </w:t>
      </w:r>
      <w:r w:rsidR="00B14608" w:rsidRPr="00B275E2">
        <w:t>is based on consumption data</w:t>
      </w:r>
      <w:r w:rsidR="00206922" w:rsidRPr="00B275E2">
        <w:t>.</w:t>
      </w:r>
      <w:r w:rsidR="0060751C" w:rsidRPr="00B275E2">
        <w:t xml:space="preserve"> </w:t>
      </w:r>
    </w:p>
    <w:p w14:paraId="1AAF9D7D" w14:textId="2B6CF99C" w:rsidR="00AB5669" w:rsidRPr="00B275E2" w:rsidRDefault="007C13EC" w:rsidP="006B7605">
      <w:pPr>
        <w:pStyle w:val="Heading3"/>
      </w:pPr>
      <w:r w:rsidRPr="00B275E2">
        <w:t>Global warming potentials of medical gases</w:t>
      </w:r>
    </w:p>
    <w:p w14:paraId="44FE5868" w14:textId="28FAB69A" w:rsidR="00263A4E" w:rsidRPr="00B275E2" w:rsidRDefault="00263A4E" w:rsidP="007F0B1E">
      <w:pPr>
        <w:pStyle w:val="BodyText"/>
      </w:pPr>
      <w:r w:rsidRPr="00B275E2">
        <w:t xml:space="preserve">Table </w:t>
      </w:r>
      <w:r w:rsidR="00C94701">
        <w:t>8</w:t>
      </w:r>
      <w:r w:rsidR="00D62D2E" w:rsidRPr="00B275E2">
        <w:t xml:space="preserve"> details the GWPs of the medical gases </w:t>
      </w:r>
      <w:r w:rsidR="006F3016" w:rsidRPr="00B275E2">
        <w:t>included in this chapter. The GWP is effectively the emission factor for each unit o</w:t>
      </w:r>
      <w:r w:rsidR="007D453D" w:rsidRPr="00B275E2">
        <w:t xml:space="preserve">f medical gas lost to the atmosphere. </w:t>
      </w:r>
      <w:r w:rsidR="00C179B6" w:rsidRPr="00B275E2">
        <w:t xml:space="preserve">The guide uses </w:t>
      </w:r>
      <w:r w:rsidR="0012772A" w:rsidRPr="00B275E2">
        <w:t xml:space="preserve">IPCC </w:t>
      </w:r>
      <w:r w:rsidR="004611A1" w:rsidRPr="00B275E2">
        <w:t xml:space="preserve">AR4 </w:t>
      </w:r>
      <w:r w:rsidR="0012772A" w:rsidRPr="00B275E2">
        <w:t xml:space="preserve">GWPs </w:t>
      </w:r>
      <w:r w:rsidR="00E257AB" w:rsidRPr="00B275E2">
        <w:t>where</w:t>
      </w:r>
      <w:r w:rsidR="0012772A" w:rsidRPr="00B275E2">
        <w:t xml:space="preserve"> available </w:t>
      </w:r>
      <w:r w:rsidR="00E257AB" w:rsidRPr="00B275E2">
        <w:t xml:space="preserve">for consistency with the </w:t>
      </w:r>
      <w:hyperlink r:id="rId71" w:history="1">
        <w:r w:rsidR="00FA5382" w:rsidRPr="00B275E2">
          <w:rPr>
            <w:rStyle w:val="Hyperlink"/>
            <w:i/>
            <w:iCs/>
          </w:rPr>
          <w:t>New Zealand Greenhouse Gas Inventory 1990</w:t>
        </w:r>
        <w:r w:rsidR="00DD0BFF" w:rsidRPr="00B275E2">
          <w:rPr>
            <w:rStyle w:val="Hyperlink"/>
            <w:i/>
            <w:iCs/>
          </w:rPr>
          <w:t>–</w:t>
        </w:r>
        <w:r w:rsidR="00FA5382" w:rsidRPr="00B275E2">
          <w:rPr>
            <w:rStyle w:val="Hyperlink"/>
            <w:i/>
            <w:iCs/>
          </w:rPr>
          <w:t>2020</w:t>
        </w:r>
      </w:hyperlink>
      <w:r w:rsidR="004611A1" w:rsidRPr="00B275E2">
        <w:t xml:space="preserve">. For gases not reported in AR4, </w:t>
      </w:r>
      <w:r w:rsidR="0012772A" w:rsidRPr="00B275E2">
        <w:t>IPCC AR</w:t>
      </w:r>
      <w:r w:rsidR="004611A1" w:rsidRPr="00B275E2">
        <w:t>5</w:t>
      </w:r>
      <w:r w:rsidR="0012772A" w:rsidRPr="00B275E2">
        <w:t xml:space="preserve"> GWPs are used.</w:t>
      </w:r>
      <w:r w:rsidR="008E1781" w:rsidRPr="00B275E2">
        <w:t xml:space="preserve"> It may be preferable for </w:t>
      </w:r>
      <w:r w:rsidR="00BB5C93" w:rsidRPr="00B275E2">
        <w:t xml:space="preserve">organisations wanting to compare potency of these gases to </w:t>
      </w:r>
      <w:r w:rsidR="00E24520" w:rsidRPr="00B275E2">
        <w:t>use only IPCC AR</w:t>
      </w:r>
      <w:r w:rsidR="004611A1" w:rsidRPr="00B275E2">
        <w:t>5</w:t>
      </w:r>
      <w:r w:rsidR="00957649" w:rsidRPr="00B275E2">
        <w:t>.</w:t>
      </w:r>
    </w:p>
    <w:p w14:paraId="35614044" w14:textId="53068C45" w:rsidR="00D867E0" w:rsidRPr="00B275E2" w:rsidRDefault="00D867E0" w:rsidP="007F0B1E">
      <w:pPr>
        <w:pStyle w:val="BodyText"/>
      </w:pPr>
      <w:r w:rsidRPr="00B275E2">
        <w:t>Some medical gases consist of a mixture (or blend) of gases. If you know the blend composition, you can calculate the GWP based on the percentage of each gas. Alternatively, for</w:t>
      </w:r>
      <w:r w:rsidR="000174BD" w:rsidRPr="00B275E2">
        <w:t> </w:t>
      </w:r>
      <w:r w:rsidRPr="00B275E2">
        <w:t xml:space="preserve">the GWP of </w:t>
      </w:r>
      <w:r w:rsidR="004611A1" w:rsidRPr="00B275E2">
        <w:t xml:space="preserve">some commonly used </w:t>
      </w:r>
      <w:r w:rsidR="0010046C" w:rsidRPr="00B275E2">
        <w:t>medical blends</w:t>
      </w:r>
      <w:r w:rsidR="00C173E1" w:rsidRPr="00B275E2">
        <w:t xml:space="preserve"> refer to </w:t>
      </w:r>
      <w:hyperlink w:anchor="TableB3" w:history="1">
        <w:r w:rsidR="003D33C3" w:rsidRPr="00B275E2">
          <w:rPr>
            <w:rStyle w:val="Hyperlink"/>
          </w:rPr>
          <w:t>table B3</w:t>
        </w:r>
      </w:hyperlink>
      <w:r w:rsidR="00D41CF8" w:rsidRPr="00B275E2">
        <w:t>.</w:t>
      </w:r>
    </w:p>
    <w:p w14:paraId="6C4E88B2" w14:textId="112CD8A7" w:rsidR="001A392D" w:rsidRPr="00B275E2" w:rsidRDefault="00691555" w:rsidP="00A50A30">
      <w:pPr>
        <w:pStyle w:val="Tableheading"/>
      </w:pPr>
      <w:bookmarkStart w:id="224" w:name="_Toc111536613"/>
      <w:r w:rsidRPr="00B275E2">
        <w:lastRenderedPageBreak/>
        <w:t xml:space="preserve">Table </w:t>
      </w:r>
      <w:r w:rsidRPr="00B275E2">
        <w:fldChar w:fldCharType="begin"/>
      </w:r>
      <w:r w:rsidRPr="00B275E2">
        <w:instrText>SEQ Table \* ARABIC</w:instrText>
      </w:r>
      <w:r w:rsidRPr="00B275E2">
        <w:fldChar w:fldCharType="separate"/>
      </w:r>
      <w:r w:rsidR="003E141C" w:rsidRPr="00B275E2">
        <w:t>8</w:t>
      </w:r>
      <w:r w:rsidRPr="00B275E2">
        <w:fldChar w:fldCharType="end"/>
      </w:r>
      <w:r w:rsidR="00D26629" w:rsidRPr="00B275E2">
        <w:t>:</w:t>
      </w:r>
      <w:r w:rsidR="001A392D" w:rsidRPr="00B275E2">
        <w:tab/>
      </w:r>
      <w:r w:rsidR="00F64130" w:rsidRPr="00B275E2">
        <w:t>GWPs</w:t>
      </w:r>
      <w:r w:rsidR="001A392D" w:rsidRPr="00B275E2">
        <w:t xml:space="preserve"> of </w:t>
      </w:r>
      <w:r w:rsidR="00C9286F" w:rsidRPr="00B275E2">
        <w:t>medical gases</w:t>
      </w:r>
      <w:bookmarkEnd w:id="224"/>
    </w:p>
    <w:tbl>
      <w:tblPr>
        <w:tblStyle w:val="LightList-Accent11"/>
        <w:tblW w:w="8646" w:type="dxa"/>
        <w:tblBorders>
          <w:top w:val="single" w:sz="4" w:space="0" w:color="1B556B"/>
          <w:bottom w:val="single" w:sz="4" w:space="0" w:color="1B556B"/>
          <w:insideH w:val="single" w:sz="4" w:space="0" w:color="1B556B"/>
          <w:insideV w:val="single" w:sz="4" w:space="0" w:color="1B556B"/>
        </w:tblBorders>
        <w:tblLook w:val="04A0" w:firstRow="1" w:lastRow="0" w:firstColumn="1" w:lastColumn="0" w:noHBand="0" w:noVBand="1"/>
      </w:tblPr>
      <w:tblGrid>
        <w:gridCol w:w="1951"/>
        <w:gridCol w:w="1396"/>
        <w:gridCol w:w="537"/>
        <w:gridCol w:w="2381"/>
        <w:gridCol w:w="2381"/>
      </w:tblGrid>
      <w:tr w:rsidR="007A7497" w:rsidRPr="00B275E2" w14:paraId="1B49AF02" w14:textId="11BDBFAC" w:rsidTr="00062F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1B556B" w:themeFill="text2"/>
            <w:vAlign w:val="bottom"/>
          </w:tcPr>
          <w:p w14:paraId="54DB1124" w14:textId="60DCDF10" w:rsidR="007A7497" w:rsidRPr="00B275E2" w:rsidRDefault="007A7497" w:rsidP="00062FB9">
            <w:pPr>
              <w:pStyle w:val="TableText"/>
              <w:keepNext/>
              <w:rPr>
                <w:szCs w:val="18"/>
              </w:rPr>
            </w:pPr>
            <w:r w:rsidRPr="00B275E2">
              <w:rPr>
                <w:szCs w:val="18"/>
              </w:rPr>
              <w:t>Industrial designation/</w:t>
            </w:r>
            <w:r w:rsidR="000174BD" w:rsidRPr="00B275E2">
              <w:rPr>
                <w:szCs w:val="18"/>
              </w:rPr>
              <w:t xml:space="preserve"> </w:t>
            </w:r>
            <w:r w:rsidRPr="00B275E2">
              <w:rPr>
                <w:szCs w:val="18"/>
              </w:rPr>
              <w:t>common name</w:t>
            </w:r>
          </w:p>
        </w:tc>
        <w:tc>
          <w:tcPr>
            <w:tcW w:w="0" w:type="auto"/>
            <w:shd w:val="clear" w:color="auto" w:fill="1B556B" w:themeFill="text2"/>
            <w:vAlign w:val="bottom"/>
          </w:tcPr>
          <w:p w14:paraId="732D8397" w14:textId="77777777" w:rsidR="007A7497" w:rsidRPr="00B275E2" w:rsidRDefault="007A7497" w:rsidP="00062FB9">
            <w:pPr>
              <w:pStyle w:val="TableText"/>
              <w:keepNext/>
              <w:cnfStyle w:val="100000000000" w:firstRow="1" w:lastRow="0" w:firstColumn="0" w:lastColumn="0" w:oddVBand="0" w:evenVBand="0" w:oddHBand="0" w:evenHBand="0" w:firstRowFirstColumn="0" w:firstRowLastColumn="0" w:lastRowFirstColumn="0" w:lastRowLastColumn="0"/>
              <w:rPr>
                <w:rFonts w:asciiTheme="minorHAnsi" w:hAnsiTheme="minorHAnsi"/>
                <w:szCs w:val="18"/>
              </w:rPr>
            </w:pPr>
            <w:r w:rsidRPr="00B275E2">
              <w:rPr>
                <w:szCs w:val="18"/>
              </w:rPr>
              <w:t>Chemical formula</w:t>
            </w:r>
          </w:p>
        </w:tc>
        <w:tc>
          <w:tcPr>
            <w:tcW w:w="0" w:type="auto"/>
            <w:shd w:val="clear" w:color="auto" w:fill="1B556B" w:themeFill="text2"/>
            <w:vAlign w:val="bottom"/>
          </w:tcPr>
          <w:p w14:paraId="341E3F2D" w14:textId="77777777" w:rsidR="007A7497" w:rsidRPr="00B275E2" w:rsidRDefault="007A7497" w:rsidP="00062FB9">
            <w:pPr>
              <w:pStyle w:val="TableText"/>
              <w:keepNext/>
              <w:cnfStyle w:val="100000000000" w:firstRow="1" w:lastRow="0" w:firstColumn="0" w:lastColumn="0" w:oddVBand="0" w:evenVBand="0" w:oddHBand="0" w:evenHBand="0" w:firstRowFirstColumn="0" w:firstRowLastColumn="0" w:lastRowFirstColumn="0" w:lastRowLastColumn="0"/>
              <w:rPr>
                <w:rFonts w:asciiTheme="minorHAnsi" w:hAnsiTheme="minorHAnsi"/>
                <w:szCs w:val="18"/>
              </w:rPr>
            </w:pPr>
            <w:r w:rsidRPr="00B275E2">
              <w:rPr>
                <w:szCs w:val="18"/>
              </w:rPr>
              <w:t>Unit</w:t>
            </w:r>
          </w:p>
        </w:tc>
        <w:tc>
          <w:tcPr>
            <w:tcW w:w="2381" w:type="dxa"/>
            <w:tcBorders>
              <w:bottom w:val="single" w:sz="4" w:space="0" w:color="1B556B"/>
            </w:tcBorders>
            <w:shd w:val="clear" w:color="auto" w:fill="1B556B" w:themeFill="text2"/>
            <w:vAlign w:val="bottom"/>
          </w:tcPr>
          <w:p w14:paraId="076A7CFD" w14:textId="615743E3" w:rsidR="007A7497" w:rsidRPr="00B275E2" w:rsidRDefault="007B1B81" w:rsidP="00D92CEE">
            <w:pPr>
              <w:pStyle w:val="TableText"/>
              <w:keepNext/>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18"/>
              </w:rPr>
            </w:pPr>
            <w:r w:rsidRPr="00B275E2">
              <w:rPr>
                <w:szCs w:val="18"/>
              </w:rPr>
              <w:t xml:space="preserve">AR4 </w:t>
            </w:r>
            <w:r w:rsidR="007A7497" w:rsidRPr="00B275E2">
              <w:rPr>
                <w:szCs w:val="18"/>
              </w:rPr>
              <w:t>GWPs in a 100-year period (kg CO</w:t>
            </w:r>
            <w:r w:rsidR="007A7497" w:rsidRPr="00B275E2">
              <w:rPr>
                <w:szCs w:val="18"/>
                <w:vertAlign w:val="subscript"/>
              </w:rPr>
              <w:t>2</w:t>
            </w:r>
            <w:r w:rsidR="007A7497" w:rsidRPr="00B275E2">
              <w:rPr>
                <w:szCs w:val="18"/>
              </w:rPr>
              <w:t>-e)</w:t>
            </w:r>
            <w:r w:rsidRPr="00B275E2">
              <w:rPr>
                <w:szCs w:val="18"/>
              </w:rPr>
              <w:t xml:space="preserve"> </w:t>
            </w:r>
            <w:r w:rsidR="008366F3" w:rsidRPr="00B275E2">
              <w:rPr>
                <w:szCs w:val="18"/>
              </w:rPr>
              <w:t>without climate change feedbacks</w:t>
            </w:r>
            <w:r w:rsidR="00123F8E" w:rsidRPr="00B275E2">
              <w:rPr>
                <w:rStyle w:val="FootnoteReference"/>
                <w:color w:val="FFFFFF" w:themeColor="background1"/>
                <w:sz w:val="18"/>
                <w:szCs w:val="18"/>
              </w:rPr>
              <w:footnoteReference w:id="28"/>
            </w:r>
          </w:p>
        </w:tc>
        <w:tc>
          <w:tcPr>
            <w:tcW w:w="2381" w:type="dxa"/>
            <w:tcBorders>
              <w:bottom w:val="single" w:sz="4" w:space="0" w:color="1B556B"/>
            </w:tcBorders>
            <w:shd w:val="clear" w:color="auto" w:fill="1B556B" w:themeFill="text2"/>
            <w:vAlign w:val="bottom"/>
          </w:tcPr>
          <w:p w14:paraId="58BB295F" w14:textId="3A1C28C6" w:rsidR="00CC1DED" w:rsidRPr="00B275E2" w:rsidRDefault="007B1B81" w:rsidP="00D92CEE">
            <w:pPr>
              <w:pStyle w:val="TableText"/>
              <w:keepNext/>
              <w:jc w:val="right"/>
              <w:cnfStyle w:val="100000000000" w:firstRow="1" w:lastRow="0" w:firstColumn="0" w:lastColumn="0" w:oddVBand="0" w:evenVBand="0" w:oddHBand="0" w:evenHBand="0" w:firstRowFirstColumn="0" w:firstRowLastColumn="0" w:lastRowFirstColumn="0" w:lastRowLastColumn="0"/>
              <w:rPr>
                <w:szCs w:val="18"/>
              </w:rPr>
            </w:pPr>
            <w:r w:rsidRPr="00B275E2">
              <w:rPr>
                <w:szCs w:val="18"/>
              </w:rPr>
              <w:t>AR5 GWPs in a 100-year period (kg CO</w:t>
            </w:r>
            <w:r w:rsidRPr="00B275E2">
              <w:rPr>
                <w:szCs w:val="18"/>
                <w:vertAlign w:val="subscript"/>
              </w:rPr>
              <w:t>2</w:t>
            </w:r>
            <w:r w:rsidRPr="00B275E2">
              <w:rPr>
                <w:szCs w:val="18"/>
              </w:rPr>
              <w:t xml:space="preserve">-e) </w:t>
            </w:r>
            <w:r w:rsidR="00822377" w:rsidRPr="00B275E2">
              <w:rPr>
                <w:szCs w:val="18"/>
              </w:rPr>
              <w:t>without climate change feedbacks</w:t>
            </w:r>
            <w:r w:rsidR="008F716B" w:rsidRPr="00B275E2">
              <w:rPr>
                <w:rStyle w:val="FootnoteReference"/>
                <w:color w:val="FFFFFF" w:themeColor="background1"/>
                <w:sz w:val="18"/>
                <w:szCs w:val="18"/>
              </w:rPr>
              <w:footnoteReference w:id="29"/>
            </w:r>
          </w:p>
        </w:tc>
      </w:tr>
      <w:tr w:rsidR="002B4EA1" w:rsidRPr="00B275E2" w14:paraId="5C5848C2" w14:textId="272A72C4" w:rsidTr="009429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FFFFFF" w:themeColor="background1"/>
            </w:tcBorders>
          </w:tcPr>
          <w:p w14:paraId="22E761BE" w14:textId="3183724D" w:rsidR="002B4EA1" w:rsidRPr="000C1D2D" w:rsidRDefault="002B4EA1" w:rsidP="002E5A21">
            <w:pPr>
              <w:pStyle w:val="TableText"/>
              <w:rPr>
                <w:b w:val="0"/>
                <w:bCs w:val="0"/>
              </w:rPr>
            </w:pPr>
            <w:r w:rsidRPr="000C1D2D">
              <w:rPr>
                <w:b w:val="0"/>
                <w:bCs w:val="0"/>
              </w:rPr>
              <w:t>HFE-347mmz1 (Sevoflurane)</w:t>
            </w:r>
          </w:p>
        </w:tc>
        <w:tc>
          <w:tcPr>
            <w:tcW w:w="0" w:type="auto"/>
          </w:tcPr>
          <w:p w14:paraId="219D8633" w14:textId="09C1B67D" w:rsidR="002B4EA1" w:rsidRPr="00B275E2" w:rsidRDefault="002B4EA1" w:rsidP="00062FB9">
            <w:pPr>
              <w:pStyle w:val="TableText"/>
              <w:keepNex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(CF</w:t>
            </w:r>
            <w:r w:rsidRPr="00B275E2">
              <w:rPr>
                <w:rFonts w:cs="Calibri"/>
                <w:szCs w:val="18"/>
                <w:vertAlign w:val="subscript"/>
              </w:rPr>
              <w:t>3</w:t>
            </w:r>
            <w:r w:rsidRPr="00B275E2">
              <w:rPr>
                <w:rFonts w:cs="Calibri"/>
                <w:szCs w:val="18"/>
              </w:rPr>
              <w:t>)</w:t>
            </w:r>
            <w:r w:rsidRPr="00B275E2">
              <w:rPr>
                <w:rFonts w:cs="Calibri"/>
                <w:szCs w:val="18"/>
                <w:vertAlign w:val="subscript"/>
              </w:rPr>
              <w:t>2</w:t>
            </w:r>
            <w:r w:rsidRPr="00B275E2">
              <w:rPr>
                <w:rFonts w:cs="Calibri"/>
                <w:szCs w:val="18"/>
              </w:rPr>
              <w:t>CHOCH</w:t>
            </w:r>
            <w:r w:rsidRPr="00B275E2">
              <w:rPr>
                <w:rFonts w:cs="Calibri"/>
                <w:szCs w:val="18"/>
                <w:vertAlign w:val="subscript"/>
              </w:rPr>
              <w:t>2</w:t>
            </w:r>
            <w:r w:rsidRPr="00B275E2">
              <w:rPr>
                <w:rFonts w:cs="Calibri"/>
                <w:szCs w:val="18"/>
              </w:rPr>
              <w:t>F</w:t>
            </w:r>
          </w:p>
        </w:tc>
        <w:tc>
          <w:tcPr>
            <w:tcW w:w="0" w:type="auto"/>
            <w:hideMark/>
          </w:tcPr>
          <w:p w14:paraId="333213A4" w14:textId="77777777" w:rsidR="002B4EA1" w:rsidRPr="00B275E2" w:rsidRDefault="002B4EA1" w:rsidP="00062FB9">
            <w:pPr>
              <w:pStyle w:val="TableText"/>
              <w:keepNext/>
              <w:cnfStyle w:val="000000100000" w:firstRow="0" w:lastRow="0" w:firstColumn="0" w:lastColumn="0" w:oddVBand="0" w:evenVBand="0" w:oddHBand="1" w:evenHBand="0" w:firstRowFirstColumn="0" w:firstRowLastColumn="0" w:lastRowFirstColumn="0" w:lastRowLastColumn="0"/>
              <w:rPr>
                <w:szCs w:val="18"/>
              </w:rPr>
            </w:pPr>
            <w:r w:rsidRPr="00B275E2">
              <w:rPr>
                <w:szCs w:val="18"/>
              </w:rPr>
              <w:t>kg</w:t>
            </w:r>
          </w:p>
        </w:tc>
        <w:tc>
          <w:tcPr>
            <w:tcW w:w="2381" w:type="dxa"/>
            <w:shd w:val="clear" w:color="auto" w:fill="D2DDE1" w:themeFill="background2"/>
          </w:tcPr>
          <w:p w14:paraId="23284E80" w14:textId="01EA4C19" w:rsidR="002B4EA1" w:rsidRPr="00B275E2" w:rsidRDefault="00655E9F" w:rsidP="00062FB9">
            <w:pPr>
              <w:pStyle w:val="TableText"/>
              <w:keepNext/>
              <w:jc w:val="right"/>
              <w:cnfStyle w:val="000000100000" w:firstRow="0" w:lastRow="0" w:firstColumn="0" w:lastColumn="0" w:oddVBand="0" w:evenVBand="0" w:oddHBand="1" w:evenHBand="0" w:firstRowFirstColumn="0" w:firstRowLastColumn="0" w:lastRowFirstColumn="0" w:lastRowLastColumn="0"/>
              <w:rPr>
                <w:szCs w:val="18"/>
              </w:rPr>
            </w:pPr>
            <w:r w:rsidRPr="00B275E2">
              <w:rPr>
                <w:szCs w:val="18"/>
              </w:rPr>
              <w:t>Not available</w:t>
            </w:r>
          </w:p>
        </w:tc>
        <w:tc>
          <w:tcPr>
            <w:tcW w:w="2381" w:type="dxa"/>
            <w:tcBorders>
              <w:right w:val="single" w:sz="4" w:space="0" w:color="FFFFFF" w:themeColor="background1"/>
            </w:tcBorders>
            <w:shd w:val="clear" w:color="auto" w:fill="D2DDE1" w:themeFill="background2"/>
          </w:tcPr>
          <w:p w14:paraId="0CC58BE7" w14:textId="5CEF003B" w:rsidR="002B4EA1" w:rsidRPr="00B275E2" w:rsidRDefault="002B4EA1" w:rsidP="00062FB9">
            <w:pPr>
              <w:pStyle w:val="TableText"/>
              <w:keepN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216</w:t>
            </w:r>
          </w:p>
        </w:tc>
      </w:tr>
      <w:tr w:rsidR="002B4EA1" w:rsidRPr="00B275E2" w14:paraId="0389EA7F" w14:textId="3B779BE7" w:rsidTr="00942910">
        <w:trPr>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FFFFFF" w:themeColor="background1"/>
            </w:tcBorders>
          </w:tcPr>
          <w:p w14:paraId="41EC2686" w14:textId="34042D36" w:rsidR="002B4EA1" w:rsidRPr="00B275E2" w:rsidRDefault="002B4EA1" w:rsidP="007F0B1E">
            <w:pPr>
              <w:pStyle w:val="TableText"/>
              <w:rPr>
                <w:b w:val="0"/>
                <w:szCs w:val="18"/>
              </w:rPr>
            </w:pPr>
            <w:r w:rsidRPr="00B275E2">
              <w:rPr>
                <w:rFonts w:cs="Calibri"/>
                <w:b w:val="0"/>
                <w:szCs w:val="18"/>
              </w:rPr>
              <w:t>HCFE-235da2 (Isoflurane)</w:t>
            </w:r>
          </w:p>
        </w:tc>
        <w:tc>
          <w:tcPr>
            <w:tcW w:w="0" w:type="auto"/>
          </w:tcPr>
          <w:p w14:paraId="1B8EB9AD" w14:textId="67828EFB" w:rsidR="002B4EA1" w:rsidRPr="00B275E2" w:rsidRDefault="002B4EA1" w:rsidP="007F0B1E">
            <w:pPr>
              <w:pStyle w:val="TableTex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CHF</w:t>
            </w:r>
            <w:r w:rsidRPr="00B275E2">
              <w:rPr>
                <w:rFonts w:cs="Calibri"/>
                <w:szCs w:val="18"/>
                <w:vertAlign w:val="subscript"/>
              </w:rPr>
              <w:t>2</w:t>
            </w:r>
            <w:r w:rsidRPr="00B275E2">
              <w:rPr>
                <w:rFonts w:cs="Calibri"/>
                <w:szCs w:val="18"/>
              </w:rPr>
              <w:t>OCHClCF</w:t>
            </w:r>
            <w:r w:rsidRPr="00B275E2">
              <w:rPr>
                <w:rFonts w:cs="Calibri"/>
                <w:szCs w:val="18"/>
                <w:vertAlign w:val="subscript"/>
              </w:rPr>
              <w:t>3</w:t>
            </w:r>
          </w:p>
        </w:tc>
        <w:tc>
          <w:tcPr>
            <w:tcW w:w="0" w:type="auto"/>
            <w:hideMark/>
          </w:tcPr>
          <w:p w14:paraId="4D75D0E7" w14:textId="77777777" w:rsidR="002B4EA1" w:rsidRPr="00B275E2" w:rsidRDefault="002B4EA1" w:rsidP="007F0B1E">
            <w:pPr>
              <w:pStyle w:val="TableText"/>
              <w:cnfStyle w:val="000000000000" w:firstRow="0" w:lastRow="0" w:firstColumn="0" w:lastColumn="0" w:oddVBand="0" w:evenVBand="0" w:oddHBand="0" w:evenHBand="0" w:firstRowFirstColumn="0" w:firstRowLastColumn="0" w:lastRowFirstColumn="0" w:lastRowLastColumn="0"/>
              <w:rPr>
                <w:szCs w:val="18"/>
              </w:rPr>
            </w:pPr>
            <w:r w:rsidRPr="00B275E2">
              <w:rPr>
                <w:szCs w:val="18"/>
              </w:rPr>
              <w:t>kg</w:t>
            </w:r>
          </w:p>
        </w:tc>
        <w:tc>
          <w:tcPr>
            <w:tcW w:w="2381" w:type="dxa"/>
            <w:shd w:val="clear" w:color="auto" w:fill="D2DDE1" w:themeFill="background2"/>
          </w:tcPr>
          <w:p w14:paraId="3BDC0A74" w14:textId="44847D39" w:rsidR="002B4EA1" w:rsidRPr="00B275E2" w:rsidRDefault="002B4EA1" w:rsidP="007F0B1E">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350</w:t>
            </w:r>
          </w:p>
        </w:tc>
        <w:tc>
          <w:tcPr>
            <w:tcW w:w="2381" w:type="dxa"/>
            <w:tcBorders>
              <w:right w:val="single" w:sz="4" w:space="0" w:color="FFFFFF" w:themeColor="background1"/>
            </w:tcBorders>
            <w:shd w:val="clear" w:color="auto" w:fill="D2DDE1" w:themeFill="background2"/>
          </w:tcPr>
          <w:p w14:paraId="2C4C49CC" w14:textId="57E8C773" w:rsidR="002B4EA1" w:rsidRPr="00B275E2" w:rsidRDefault="002B4EA1" w:rsidP="007F0B1E">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szCs w:val="18"/>
              </w:rPr>
              <w:t>491</w:t>
            </w:r>
          </w:p>
        </w:tc>
      </w:tr>
      <w:tr w:rsidR="002B4EA1" w:rsidRPr="00B275E2" w14:paraId="39526FE7" w14:textId="567A7DDE" w:rsidTr="009429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FFFFFF" w:themeColor="background1"/>
            </w:tcBorders>
          </w:tcPr>
          <w:p w14:paraId="5CF5C242" w14:textId="1AC4C6C5" w:rsidR="002B4EA1" w:rsidRPr="00B275E2" w:rsidRDefault="002B4EA1" w:rsidP="007F0B1E">
            <w:pPr>
              <w:pStyle w:val="TableText"/>
              <w:rPr>
                <w:b w:val="0"/>
                <w:szCs w:val="18"/>
              </w:rPr>
            </w:pPr>
            <w:r w:rsidRPr="00B275E2">
              <w:rPr>
                <w:rFonts w:cs="Calibri"/>
                <w:b w:val="0"/>
                <w:szCs w:val="18"/>
              </w:rPr>
              <w:t>HFE-236ea2 (Desflurane)</w:t>
            </w:r>
          </w:p>
        </w:tc>
        <w:tc>
          <w:tcPr>
            <w:tcW w:w="0" w:type="auto"/>
          </w:tcPr>
          <w:p w14:paraId="5B2A39B0" w14:textId="16B42E85" w:rsidR="002B4EA1" w:rsidRPr="00B275E2" w:rsidRDefault="002B4EA1" w:rsidP="007F0B1E">
            <w:pPr>
              <w:pStyle w:val="TableTex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CHF</w:t>
            </w:r>
            <w:r w:rsidRPr="00B275E2">
              <w:rPr>
                <w:rFonts w:cs="Calibri"/>
                <w:szCs w:val="18"/>
                <w:vertAlign w:val="subscript"/>
              </w:rPr>
              <w:t>2</w:t>
            </w:r>
            <w:r w:rsidRPr="00B275E2">
              <w:rPr>
                <w:rFonts w:cs="Calibri"/>
                <w:szCs w:val="18"/>
              </w:rPr>
              <w:t>OCHFCF</w:t>
            </w:r>
            <w:r w:rsidRPr="00B275E2">
              <w:rPr>
                <w:rFonts w:cs="Calibri"/>
                <w:szCs w:val="18"/>
                <w:vertAlign w:val="subscript"/>
              </w:rPr>
              <w:t>3</w:t>
            </w:r>
          </w:p>
        </w:tc>
        <w:tc>
          <w:tcPr>
            <w:tcW w:w="0" w:type="auto"/>
            <w:hideMark/>
          </w:tcPr>
          <w:p w14:paraId="7DF3FB5C" w14:textId="77777777" w:rsidR="002B4EA1" w:rsidRPr="00B275E2" w:rsidRDefault="002B4EA1" w:rsidP="007F0B1E">
            <w:pPr>
              <w:pStyle w:val="TableText"/>
              <w:cnfStyle w:val="000000100000" w:firstRow="0" w:lastRow="0" w:firstColumn="0" w:lastColumn="0" w:oddVBand="0" w:evenVBand="0" w:oddHBand="1" w:evenHBand="0" w:firstRowFirstColumn="0" w:firstRowLastColumn="0" w:lastRowFirstColumn="0" w:lastRowLastColumn="0"/>
              <w:rPr>
                <w:szCs w:val="18"/>
              </w:rPr>
            </w:pPr>
            <w:r w:rsidRPr="00B275E2">
              <w:rPr>
                <w:szCs w:val="18"/>
              </w:rPr>
              <w:t>kg</w:t>
            </w:r>
          </w:p>
        </w:tc>
        <w:tc>
          <w:tcPr>
            <w:tcW w:w="2381" w:type="dxa"/>
            <w:shd w:val="clear" w:color="auto" w:fill="D2DDE1" w:themeFill="background2"/>
          </w:tcPr>
          <w:p w14:paraId="13FF043E" w14:textId="11A8E3A6" w:rsidR="002B4EA1" w:rsidRPr="00B275E2" w:rsidRDefault="00655E9F" w:rsidP="007F0B1E">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275E2">
              <w:rPr>
                <w:szCs w:val="18"/>
              </w:rPr>
              <w:t>Not available</w:t>
            </w:r>
          </w:p>
        </w:tc>
        <w:tc>
          <w:tcPr>
            <w:tcW w:w="2381" w:type="dxa"/>
            <w:tcBorders>
              <w:right w:val="single" w:sz="4" w:space="0" w:color="FFFFFF" w:themeColor="background1"/>
            </w:tcBorders>
            <w:shd w:val="clear" w:color="auto" w:fill="D2DDE1" w:themeFill="background2"/>
          </w:tcPr>
          <w:p w14:paraId="6EDD3680" w14:textId="183875D3" w:rsidR="002B4EA1" w:rsidRPr="00B275E2" w:rsidRDefault="002B4EA1" w:rsidP="007F0B1E">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1790</w:t>
            </w:r>
          </w:p>
        </w:tc>
      </w:tr>
    </w:tbl>
    <w:p w14:paraId="6C0214C6" w14:textId="52E3C4CA" w:rsidR="009929DF" w:rsidRPr="00B275E2" w:rsidRDefault="009929DF" w:rsidP="006B7605">
      <w:pPr>
        <w:pStyle w:val="Heading3"/>
      </w:pPr>
      <w:r w:rsidRPr="00B275E2">
        <w:t>GHG inventory development</w:t>
      </w:r>
    </w:p>
    <w:p w14:paraId="4092290C" w14:textId="7789FFD3" w:rsidR="00DE1F61" w:rsidRPr="00B275E2" w:rsidRDefault="00FD0FEF" w:rsidP="007F0B1E">
      <w:pPr>
        <w:pStyle w:val="BodyText"/>
        <w:spacing w:after="240"/>
      </w:pPr>
      <w:r w:rsidRPr="00B275E2">
        <w:t xml:space="preserve">To calculate </w:t>
      </w:r>
      <w:r w:rsidR="00235DDE" w:rsidRPr="00B275E2">
        <w:t xml:space="preserve">medical gas emissions, collect </w:t>
      </w:r>
      <w:r w:rsidR="004B7CB7" w:rsidRPr="00B275E2">
        <w:t>consumption data</w:t>
      </w:r>
      <w:r w:rsidR="009E1DCF" w:rsidRPr="00B275E2">
        <w:t xml:space="preserve"> for each medical gas used</w:t>
      </w:r>
      <w:r w:rsidR="00400683" w:rsidRPr="00B275E2">
        <w:t xml:space="preserve"> by the organisation</w:t>
      </w:r>
      <w:r w:rsidR="009E1DCF" w:rsidRPr="00B275E2">
        <w:t xml:space="preserve">, and multiply </w:t>
      </w:r>
      <w:r w:rsidR="00691231" w:rsidRPr="00B275E2">
        <w:t xml:space="preserve">this by the </w:t>
      </w:r>
      <w:r w:rsidR="003134AE" w:rsidRPr="00B275E2">
        <w:t>GWP</w:t>
      </w:r>
      <w:r w:rsidR="00691231" w:rsidRPr="00B275E2">
        <w:t xml:space="preserve"> for each gas. </w:t>
      </w:r>
    </w:p>
    <w:tbl>
      <w:tblPr>
        <w:tblStyle w:val="TableGrid"/>
        <w:tblW w:w="0" w:type="auto"/>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2DDE1" w:themeFill="background2"/>
        <w:tblLook w:val="04A0" w:firstRow="1" w:lastRow="0" w:firstColumn="1" w:lastColumn="0" w:noHBand="0" w:noVBand="1"/>
      </w:tblPr>
      <w:tblGrid>
        <w:gridCol w:w="8495"/>
      </w:tblGrid>
      <w:tr w:rsidR="00695576" w:rsidRPr="00B275E2" w14:paraId="616510F2" w14:textId="77777777" w:rsidTr="00BF6817">
        <w:tc>
          <w:tcPr>
            <w:tcW w:w="8636" w:type="dxa"/>
            <w:shd w:val="clear" w:color="auto" w:fill="D2DDE1" w:themeFill="background2"/>
          </w:tcPr>
          <w:p w14:paraId="7C86FB56" w14:textId="2CECEA41" w:rsidR="00695576" w:rsidRPr="00B275E2" w:rsidRDefault="00695576" w:rsidP="00A53B4A">
            <w:pPr>
              <w:pStyle w:val="Boxtext"/>
              <w:spacing w:before="240" w:after="240"/>
            </w:pPr>
            <w:r w:rsidRPr="00B275E2">
              <w:t>Gas used (kg) × GWP = Emissions (kg CO</w:t>
            </w:r>
            <w:r w:rsidRPr="00B275E2">
              <w:rPr>
                <w:vertAlign w:val="subscript"/>
              </w:rPr>
              <w:t>2</w:t>
            </w:r>
            <w:r w:rsidRPr="00B275E2">
              <w:t>-e)</w:t>
            </w:r>
          </w:p>
        </w:tc>
      </w:tr>
    </w:tbl>
    <w:p w14:paraId="070160CA" w14:textId="16495ABE" w:rsidR="002D2AD0" w:rsidRPr="00B275E2" w:rsidRDefault="00F24D14" w:rsidP="00A53B4A">
      <w:pPr>
        <w:pStyle w:val="BodyText"/>
        <w:spacing w:before="240" w:after="240"/>
      </w:pPr>
      <w:r w:rsidRPr="00B275E2">
        <w:t>Medical gases are supplied in</w:t>
      </w:r>
      <w:r w:rsidR="00F41DE1" w:rsidRPr="00B275E2">
        <w:t xml:space="preserve"> bottles or</w:t>
      </w:r>
      <w:r w:rsidRPr="00B275E2">
        <w:t xml:space="preserve"> </w:t>
      </w:r>
      <w:r w:rsidR="00C4425A" w:rsidRPr="00B275E2">
        <w:t>cylinders</w:t>
      </w:r>
      <w:r w:rsidR="00D41CF8" w:rsidRPr="00B275E2">
        <w:t>.</w:t>
      </w:r>
      <w:r w:rsidR="001A4F8B" w:rsidRPr="00B275E2">
        <w:t xml:space="preserve"> </w:t>
      </w:r>
      <w:r w:rsidR="00D41CF8" w:rsidRPr="00B275E2">
        <w:t xml:space="preserve">If </w:t>
      </w:r>
      <w:r w:rsidR="001A4F8B" w:rsidRPr="00B275E2">
        <w:t xml:space="preserve">only </w:t>
      </w:r>
      <w:r w:rsidR="00D41CF8" w:rsidRPr="00B275E2">
        <w:t>the volume of the gas is known,</w:t>
      </w:r>
      <w:r w:rsidR="00C267C4" w:rsidRPr="00B275E2">
        <w:t xml:space="preserve"> an additional calculation to c</w:t>
      </w:r>
      <w:r w:rsidR="00D41CF8" w:rsidRPr="00B275E2">
        <w:t>alculate the mass of the gas</w:t>
      </w:r>
      <w:r w:rsidR="00C267C4" w:rsidRPr="00B275E2">
        <w:t xml:space="preserve"> is required </w:t>
      </w:r>
      <w:r w:rsidR="00D41CF8" w:rsidRPr="00B275E2">
        <w:t>to estimate emissions. This should be done</w:t>
      </w:r>
      <w:r w:rsidR="00C267C4" w:rsidRPr="00B275E2">
        <w:t xml:space="preserve"> </w:t>
      </w:r>
      <w:r w:rsidR="00D41CF8" w:rsidRPr="00B275E2">
        <w:t>by multiplying the volume (L) of gas by its density</w:t>
      </w:r>
      <w:r w:rsidR="00724C42" w:rsidRPr="00B275E2">
        <w:t xml:space="preserve"> </w:t>
      </w:r>
      <w:r w:rsidR="00C40267" w:rsidRPr="00B275E2">
        <w:t>(g/mL</w:t>
      </w:r>
      <w:r w:rsidR="00DA3862" w:rsidRPr="00B275E2">
        <w:t xml:space="preserve"> or kg/L</w:t>
      </w:r>
      <w:r w:rsidR="00C40267" w:rsidRPr="00B275E2">
        <w:t>)</w:t>
      </w:r>
      <w:r w:rsidR="00982FF5" w:rsidRPr="00B275E2">
        <w:t>.</w:t>
      </w:r>
    </w:p>
    <w:tbl>
      <w:tblPr>
        <w:tblW w:w="8500"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0"/>
      </w:tblGrid>
      <w:tr w:rsidR="001A1BB1" w:rsidRPr="00B275E2" w:rsidDel="00D5390D" w14:paraId="1D969A94" w14:textId="77777777" w:rsidTr="00127C72">
        <w:tc>
          <w:tcPr>
            <w:tcW w:w="8500" w:type="dxa"/>
            <w:tcBorders>
              <w:top w:val="single" w:sz="4" w:space="0" w:color="0F7B7D"/>
              <w:left w:val="single" w:sz="4" w:space="0" w:color="0F7B7D"/>
              <w:bottom w:val="nil"/>
              <w:right w:val="single" w:sz="4" w:space="0" w:color="0F7B7D"/>
            </w:tcBorders>
            <w:shd w:val="clear" w:color="auto" w:fill="0F7B7D"/>
            <w:vAlign w:val="center"/>
          </w:tcPr>
          <w:p w14:paraId="461137CD" w14:textId="776684B7" w:rsidR="001A1BB1" w:rsidRPr="00B275E2" w:rsidDel="00D5390D" w:rsidRDefault="001A1BB1" w:rsidP="007F0B1E">
            <w:pPr>
              <w:pStyle w:val="Casestudyheading"/>
              <w:ind w:left="0"/>
            </w:pPr>
            <w:r w:rsidRPr="00B275E2">
              <w:t>Medical gas use: Example Calculation</w:t>
            </w:r>
          </w:p>
        </w:tc>
      </w:tr>
      <w:tr w:rsidR="001A1BB1" w:rsidRPr="00B275E2" w14:paraId="424DC566" w14:textId="77777777" w:rsidTr="00A53B4A">
        <w:tc>
          <w:tcPr>
            <w:tcW w:w="8500" w:type="dxa"/>
            <w:tcBorders>
              <w:top w:val="nil"/>
              <w:left w:val="single" w:sz="4" w:space="0" w:color="D5EBE8"/>
              <w:bottom w:val="single" w:sz="4" w:space="0" w:color="D5EBE8"/>
              <w:right w:val="single" w:sz="4" w:space="0" w:color="D5EBE8"/>
            </w:tcBorders>
            <w:shd w:val="clear" w:color="auto" w:fill="D5EBE8" w:themeFill="accent3"/>
          </w:tcPr>
          <w:p w14:paraId="35B4D0D8" w14:textId="56D322DC" w:rsidR="001A1BB1" w:rsidRPr="00B275E2" w:rsidRDefault="001A1BB1" w:rsidP="00A53B4A">
            <w:pPr>
              <w:pStyle w:val="Boxtext"/>
              <w:spacing w:after="80"/>
            </w:pPr>
            <w:r w:rsidRPr="00B275E2">
              <w:t>An organisation uses</w:t>
            </w:r>
            <w:r w:rsidR="00982FF5" w:rsidRPr="00B275E2">
              <w:t xml:space="preserve"> 5 </w:t>
            </w:r>
            <w:r w:rsidR="00F41DE1" w:rsidRPr="00B275E2">
              <w:t>bottles</w:t>
            </w:r>
            <w:r w:rsidR="00C4425A" w:rsidRPr="00B275E2">
              <w:t xml:space="preserve"> </w:t>
            </w:r>
            <w:r w:rsidRPr="00B275E2">
              <w:t xml:space="preserve">of Isoflurane </w:t>
            </w:r>
            <w:r w:rsidR="00D41CF8" w:rsidRPr="00B275E2">
              <w:t>(HCFE-235da2</w:t>
            </w:r>
            <w:r w:rsidR="00F14753" w:rsidRPr="00B275E2">
              <w:t xml:space="preserve">, </w:t>
            </w:r>
            <w:r w:rsidR="009C5B7E" w:rsidRPr="00B275E2">
              <w:t xml:space="preserve">AR4 </w:t>
            </w:r>
            <w:r w:rsidR="00F14753" w:rsidRPr="00B275E2">
              <w:t>GWP = 350</w:t>
            </w:r>
            <w:r w:rsidR="00D41CF8" w:rsidRPr="00B275E2">
              <w:t xml:space="preserve">) </w:t>
            </w:r>
            <w:r w:rsidRPr="00B275E2">
              <w:t xml:space="preserve">in the reporting period. </w:t>
            </w:r>
            <w:r w:rsidR="00200DCC" w:rsidRPr="00B275E2">
              <w:t xml:space="preserve">Each </w:t>
            </w:r>
            <w:r w:rsidR="0038414E" w:rsidRPr="00B275E2">
              <w:t>bottle</w:t>
            </w:r>
            <w:r w:rsidR="00200DCC" w:rsidRPr="00B275E2">
              <w:t xml:space="preserve"> holds </w:t>
            </w:r>
            <w:r w:rsidR="00346854" w:rsidRPr="00B275E2">
              <w:t xml:space="preserve">0.3 </w:t>
            </w:r>
            <w:r w:rsidR="008568E0" w:rsidRPr="00B275E2">
              <w:t xml:space="preserve">kg </w:t>
            </w:r>
            <w:r w:rsidR="00200DCC" w:rsidRPr="00B275E2">
              <w:t xml:space="preserve">of </w:t>
            </w:r>
            <w:r w:rsidR="00C40267" w:rsidRPr="00B275E2">
              <w:t xml:space="preserve">Isoflurane. </w:t>
            </w:r>
            <w:r w:rsidRPr="00B275E2">
              <w:t xml:space="preserve">Its direct (Scope 1) emissions are: </w:t>
            </w:r>
          </w:p>
          <w:p w14:paraId="10B51845" w14:textId="7AB7C889" w:rsidR="00273FD7" w:rsidRPr="00B275E2" w:rsidRDefault="008154FB" w:rsidP="00A53B4A">
            <w:pPr>
              <w:pStyle w:val="Boxtext"/>
              <w:tabs>
                <w:tab w:val="left" w:pos="2839"/>
                <w:tab w:val="left" w:pos="3973"/>
              </w:tabs>
              <w:spacing w:before="20" w:after="20"/>
              <w:ind w:left="850"/>
            </w:pPr>
            <w:r w:rsidRPr="00B275E2">
              <w:t>5</w:t>
            </w:r>
            <w:r w:rsidR="00874C5F" w:rsidRPr="00B275E2">
              <w:t xml:space="preserve"> bottles x 0.3</w:t>
            </w:r>
            <w:r w:rsidR="00512F10" w:rsidRPr="00B275E2">
              <w:t xml:space="preserve"> </w:t>
            </w:r>
            <w:r w:rsidR="00874C5F" w:rsidRPr="00B275E2">
              <w:t>kg</w:t>
            </w:r>
            <w:r w:rsidR="00977C3F" w:rsidRPr="00B275E2">
              <w:t xml:space="preserve"> </w:t>
            </w:r>
            <w:r w:rsidR="00E965C2" w:rsidRPr="00B275E2">
              <w:tab/>
            </w:r>
            <w:r w:rsidR="00977C3F" w:rsidRPr="00B275E2">
              <w:t>= 1.5 kg</w:t>
            </w:r>
          </w:p>
          <w:p w14:paraId="74BCC755" w14:textId="67DCB6E3" w:rsidR="001A1BB1" w:rsidRPr="00B275E2" w:rsidRDefault="001A1BB1" w:rsidP="00A53B4A">
            <w:pPr>
              <w:pStyle w:val="Boxtext"/>
              <w:tabs>
                <w:tab w:val="left" w:pos="2839"/>
                <w:tab w:val="left" w:pos="3973"/>
              </w:tabs>
              <w:spacing w:before="20" w:after="20"/>
              <w:ind w:left="850"/>
            </w:pPr>
            <w:r w:rsidRPr="00B275E2">
              <w:t>Total CO</w:t>
            </w:r>
            <w:r w:rsidRPr="00B275E2">
              <w:rPr>
                <w:vertAlign w:val="subscript"/>
              </w:rPr>
              <w:t>2</w:t>
            </w:r>
            <w:r w:rsidRPr="00B275E2">
              <w:t>-e emissions</w:t>
            </w:r>
            <w:r w:rsidRPr="00B275E2">
              <w:tab/>
              <w:t xml:space="preserve">= </w:t>
            </w:r>
            <w:r w:rsidR="0080123F" w:rsidRPr="00B275E2">
              <w:t>1.5</w:t>
            </w:r>
            <w:r w:rsidRPr="00B275E2">
              <w:t xml:space="preserve"> × 350 </w:t>
            </w:r>
            <w:r w:rsidRPr="00B275E2">
              <w:tab/>
            </w:r>
            <w:r w:rsidR="001F7DBB" w:rsidRPr="00B275E2">
              <w:tab/>
            </w:r>
            <w:r w:rsidRPr="00B275E2">
              <w:t xml:space="preserve">= </w:t>
            </w:r>
            <w:r w:rsidR="0080123F" w:rsidRPr="00B275E2">
              <w:t>525</w:t>
            </w:r>
            <w:r w:rsidRPr="00B275E2">
              <w:t xml:space="preserve"> kg CO</w:t>
            </w:r>
            <w:r w:rsidRPr="00B275E2">
              <w:rPr>
                <w:vertAlign w:val="subscript"/>
              </w:rPr>
              <w:t>2</w:t>
            </w:r>
            <w:r w:rsidRPr="00B275E2">
              <w:t xml:space="preserve">-e </w:t>
            </w:r>
          </w:p>
          <w:p w14:paraId="2BE36D6E" w14:textId="18E0B3DE" w:rsidR="00AB1CF9" w:rsidRPr="00B275E2" w:rsidRDefault="00AB1CF9" w:rsidP="00A53B4A">
            <w:pPr>
              <w:pStyle w:val="Boxtext"/>
              <w:spacing w:after="80"/>
            </w:pPr>
            <w:r w:rsidRPr="00B275E2">
              <w:t xml:space="preserve">An organisation uses 5 bottles </w:t>
            </w:r>
            <w:r w:rsidR="00DE2AAC" w:rsidRPr="00B275E2">
              <w:t>250mL</w:t>
            </w:r>
            <w:r w:rsidR="00892CA9" w:rsidRPr="00B275E2">
              <w:t xml:space="preserve"> bottles </w:t>
            </w:r>
            <w:r w:rsidRPr="00B275E2">
              <w:t xml:space="preserve">of </w:t>
            </w:r>
            <w:r w:rsidR="00892CA9" w:rsidRPr="00B275E2">
              <w:t xml:space="preserve">Isoflurane </w:t>
            </w:r>
            <w:r w:rsidR="000102D5" w:rsidRPr="00B275E2">
              <w:t>(HCFE-235da2</w:t>
            </w:r>
            <w:r w:rsidR="00F14753" w:rsidRPr="00B275E2">
              <w:t xml:space="preserve">, </w:t>
            </w:r>
            <w:r w:rsidR="009C5B7E" w:rsidRPr="00B275E2">
              <w:t xml:space="preserve">AR4 </w:t>
            </w:r>
            <w:r w:rsidR="00F14753" w:rsidRPr="00B275E2">
              <w:t>GWP = 350</w:t>
            </w:r>
            <w:r w:rsidR="000102D5" w:rsidRPr="00B275E2">
              <w:t>)</w:t>
            </w:r>
            <w:r w:rsidR="00892CA9" w:rsidRPr="00B275E2">
              <w:t xml:space="preserve"> in the reporting period. </w:t>
            </w:r>
            <w:r w:rsidR="000453EC" w:rsidRPr="00B275E2">
              <w:t>The density of Isoflurane is 1.4</w:t>
            </w:r>
            <w:r w:rsidR="005B3201" w:rsidRPr="00B275E2">
              <w:t>9</w:t>
            </w:r>
            <w:r w:rsidR="000453EC" w:rsidRPr="00B275E2">
              <w:t xml:space="preserve"> g/</w:t>
            </w:r>
            <w:r w:rsidR="00DE2AAC" w:rsidRPr="00B275E2">
              <w:t>mL</w:t>
            </w:r>
            <w:r w:rsidR="000453EC" w:rsidRPr="00B275E2">
              <w:t xml:space="preserve">. </w:t>
            </w:r>
            <w:r w:rsidR="00892CA9" w:rsidRPr="00B275E2">
              <w:t>Its direct (Scope 1) emissions are:</w:t>
            </w:r>
          </w:p>
          <w:p w14:paraId="24119F51" w14:textId="01D55B6C" w:rsidR="00CC60C0" w:rsidRPr="00B275E2" w:rsidRDefault="00CC60C0" w:rsidP="005D3A83">
            <w:pPr>
              <w:pStyle w:val="Boxtext"/>
              <w:tabs>
                <w:tab w:val="left" w:pos="2867"/>
                <w:tab w:val="left" w:pos="3973"/>
              </w:tabs>
              <w:spacing w:before="20" w:after="20"/>
              <w:ind w:left="850"/>
            </w:pPr>
            <w:r w:rsidRPr="00B275E2">
              <w:t>5</w:t>
            </w:r>
            <w:r w:rsidR="00281A69" w:rsidRPr="00B275E2">
              <w:t xml:space="preserve"> </w:t>
            </w:r>
            <w:r w:rsidRPr="00B275E2">
              <w:t xml:space="preserve">bottles x </w:t>
            </w:r>
            <w:r w:rsidR="00281A69" w:rsidRPr="00B275E2">
              <w:t>250</w:t>
            </w:r>
            <w:r w:rsidR="00F14753" w:rsidRPr="00B275E2">
              <w:t xml:space="preserve"> mL</w:t>
            </w:r>
            <w:r w:rsidR="00281A69" w:rsidRPr="00B275E2">
              <w:t xml:space="preserve"> x </w:t>
            </w:r>
            <w:r w:rsidR="00291B75" w:rsidRPr="00B275E2">
              <w:t>1.</w:t>
            </w:r>
            <w:r w:rsidR="005A311D" w:rsidRPr="00B275E2">
              <w:t>49</w:t>
            </w:r>
            <w:r w:rsidR="00291B75" w:rsidRPr="00B275E2">
              <w:t>/ 1000</w:t>
            </w:r>
            <w:r w:rsidR="00724C42" w:rsidRPr="00B275E2">
              <w:t xml:space="preserve"> </w:t>
            </w:r>
            <w:r w:rsidR="00DC5E3B" w:rsidRPr="00B275E2">
              <w:t xml:space="preserve">= </w:t>
            </w:r>
            <w:r w:rsidR="00884F52" w:rsidRPr="00B275E2">
              <w:t>1.8</w:t>
            </w:r>
            <w:r w:rsidR="00AD0B6E" w:rsidRPr="00B275E2">
              <w:t>6</w:t>
            </w:r>
            <w:r w:rsidR="00DB6F63" w:rsidRPr="00B275E2">
              <w:t xml:space="preserve"> kg</w:t>
            </w:r>
          </w:p>
          <w:p w14:paraId="0937F20E" w14:textId="19610140" w:rsidR="001A1BB1" w:rsidRPr="00B275E2" w:rsidRDefault="00EC3609" w:rsidP="005D3A83">
            <w:pPr>
              <w:pStyle w:val="Boxtext"/>
              <w:tabs>
                <w:tab w:val="left" w:pos="2867"/>
                <w:tab w:val="left" w:pos="3973"/>
              </w:tabs>
              <w:spacing w:before="20" w:after="180"/>
              <w:ind w:left="850"/>
            </w:pPr>
            <w:r w:rsidRPr="00B275E2">
              <w:t>Total CO</w:t>
            </w:r>
            <w:r w:rsidRPr="00B275E2">
              <w:rPr>
                <w:vertAlign w:val="subscript"/>
              </w:rPr>
              <w:t>2</w:t>
            </w:r>
            <w:r w:rsidR="00AD7559" w:rsidRPr="00B275E2">
              <w:t>-e emissions</w:t>
            </w:r>
            <w:r w:rsidR="00AD7559" w:rsidRPr="00B275E2">
              <w:tab/>
            </w:r>
            <w:r w:rsidRPr="00B275E2">
              <w:t xml:space="preserve">= 1.86 × 350 </w:t>
            </w:r>
            <w:r w:rsidRPr="00B275E2">
              <w:tab/>
            </w:r>
            <w:r w:rsidR="001F7DBB" w:rsidRPr="00B275E2">
              <w:tab/>
            </w:r>
            <w:r w:rsidRPr="00B275E2">
              <w:t xml:space="preserve">= </w:t>
            </w:r>
            <w:r w:rsidR="00BB21D1" w:rsidRPr="00B275E2">
              <w:t>651</w:t>
            </w:r>
            <w:r w:rsidRPr="00B275E2">
              <w:t xml:space="preserve"> kg CO</w:t>
            </w:r>
            <w:r w:rsidRPr="00B275E2">
              <w:rPr>
                <w:vertAlign w:val="subscript"/>
              </w:rPr>
              <w:t>2</w:t>
            </w:r>
            <w:r w:rsidRPr="00B275E2">
              <w:t xml:space="preserve">-e </w:t>
            </w:r>
          </w:p>
        </w:tc>
      </w:tr>
    </w:tbl>
    <w:p w14:paraId="2BD6514F" w14:textId="69B64613" w:rsidR="00E62931" w:rsidRPr="00B275E2" w:rsidRDefault="00E62931" w:rsidP="006B7605">
      <w:pPr>
        <w:pStyle w:val="Heading3"/>
      </w:pPr>
      <w:r w:rsidRPr="00B275E2">
        <w:t>Assumptions</w:t>
      </w:r>
    </w:p>
    <w:p w14:paraId="10AB417D" w14:textId="295CA367" w:rsidR="00D01EC4" w:rsidRPr="00B275E2" w:rsidRDefault="00FE37DB" w:rsidP="007F0B1E">
      <w:pPr>
        <w:pStyle w:val="BodyText"/>
      </w:pPr>
      <w:r w:rsidRPr="00B275E2">
        <w:t>This approach assumes that all anaesthetic gases used are eventually emitted, including the gases inhaled by patients.</w:t>
      </w:r>
      <w:r w:rsidR="00724C42" w:rsidRPr="00B275E2">
        <w:t xml:space="preserve"> </w:t>
      </w:r>
    </w:p>
    <w:p w14:paraId="314B0AD5" w14:textId="77777777" w:rsidR="007770E6" w:rsidRPr="00B275E2" w:rsidRDefault="007770E6" w:rsidP="005D3A83">
      <w:pPr>
        <w:pStyle w:val="BodyText"/>
      </w:pPr>
      <w:bookmarkStart w:id="225" w:name="_Toc529960697"/>
      <w:bookmarkStart w:id="226" w:name="_Toc532904881"/>
      <w:bookmarkStart w:id="227" w:name="_Toc600575"/>
      <w:bookmarkStart w:id="228" w:name="_Ref55220087"/>
      <w:bookmarkEnd w:id="222"/>
      <w:r w:rsidRPr="00B275E2">
        <w:br w:type="page"/>
      </w:r>
    </w:p>
    <w:p w14:paraId="688F2AF8" w14:textId="347FB7E1" w:rsidR="00B276B8" w:rsidRPr="00B275E2" w:rsidRDefault="00B276B8" w:rsidP="00C24B73">
      <w:pPr>
        <w:pStyle w:val="Heading1"/>
        <w:numPr>
          <w:ilvl w:val="0"/>
          <w:numId w:val="15"/>
        </w:numPr>
      </w:pPr>
      <w:bookmarkStart w:id="229" w:name="_Purchased_electricity,_heat"/>
      <w:bookmarkStart w:id="230" w:name="_Toc111536782"/>
      <w:bookmarkEnd w:id="229"/>
      <w:r>
        <w:lastRenderedPageBreak/>
        <w:t>Purchased electricity, heat and</w:t>
      </w:r>
      <w:r w:rsidR="005D3A83">
        <w:t> </w:t>
      </w:r>
      <w:r>
        <w:t>steam</w:t>
      </w:r>
      <w:r w:rsidR="006C0531">
        <w:t> </w:t>
      </w:r>
      <w:r>
        <w:t>emission factors</w:t>
      </w:r>
      <w:bookmarkEnd w:id="225"/>
      <w:bookmarkEnd w:id="226"/>
      <w:bookmarkEnd w:id="227"/>
      <w:bookmarkEnd w:id="228"/>
      <w:bookmarkEnd w:id="230"/>
      <w:r>
        <w:t xml:space="preserve"> </w:t>
      </w:r>
    </w:p>
    <w:p w14:paraId="194072E8" w14:textId="60A345F1" w:rsidR="00AE0B53" w:rsidRPr="00B275E2" w:rsidRDefault="00434028" w:rsidP="007F0B1E">
      <w:pPr>
        <w:pStyle w:val="BodyText"/>
      </w:pPr>
      <w:r w:rsidRPr="00B275E2">
        <w:t xml:space="preserve">Purchased energy, in the form of electricity, heat or steam, is an indirect (Scope 2) emission. </w:t>
      </w:r>
      <w:bookmarkStart w:id="231" w:name="_Hlk532892367"/>
      <w:r w:rsidR="00D1128D" w:rsidRPr="00B275E2">
        <w:t>This section also includes t</w:t>
      </w:r>
      <w:r w:rsidRPr="00B275E2">
        <w:t xml:space="preserve">ransmission and distribution losses for purchased electricity, which </w:t>
      </w:r>
      <w:r w:rsidR="00BE5901" w:rsidRPr="00B275E2">
        <w:t xml:space="preserve">is </w:t>
      </w:r>
      <w:r w:rsidRPr="00B275E2">
        <w:t>an indirect (</w:t>
      </w:r>
      <w:r w:rsidR="00642C33" w:rsidRPr="00B275E2">
        <w:t>S</w:t>
      </w:r>
      <w:r w:rsidRPr="00B275E2">
        <w:t>cope 3) emissions source.</w:t>
      </w:r>
      <w:r w:rsidR="00AE0B53" w:rsidRPr="00B275E2">
        <w:t xml:space="preserve"> </w:t>
      </w:r>
      <w:bookmarkEnd w:id="231"/>
    </w:p>
    <w:p w14:paraId="42335C59" w14:textId="77A6A9EE" w:rsidR="00434028" w:rsidRPr="00B275E2" w:rsidRDefault="00AE0B53" w:rsidP="007F0B1E">
      <w:pPr>
        <w:pStyle w:val="BodyText"/>
      </w:pPr>
      <w:r w:rsidRPr="00B275E2">
        <w:t xml:space="preserve">Note that both the </w:t>
      </w:r>
      <w:r w:rsidR="006A6E2B" w:rsidRPr="00B275E2">
        <w:t xml:space="preserve">emission </w:t>
      </w:r>
      <w:r w:rsidRPr="00B275E2">
        <w:t xml:space="preserve">factor for purchased electricity and the emission factor for transmission and distribution line losses align with the definitions in </w:t>
      </w:r>
      <w:r w:rsidRPr="00B275E2">
        <w:rPr>
          <w:iCs/>
        </w:rPr>
        <w:t>the</w:t>
      </w:r>
      <w:r w:rsidRPr="00B275E2">
        <w:rPr>
          <w:i/>
          <w:iCs/>
        </w:rPr>
        <w:t xml:space="preserve"> </w:t>
      </w:r>
      <w:hyperlink r:id="rId72" w:history="1">
        <w:r w:rsidRPr="00B275E2">
          <w:rPr>
            <w:rStyle w:val="Hyperlink"/>
            <w:iCs/>
          </w:rPr>
          <w:t>GHG Protocol</w:t>
        </w:r>
      </w:hyperlink>
      <w:r w:rsidRPr="00B275E2">
        <w:t>.</w:t>
      </w:r>
    </w:p>
    <w:p w14:paraId="57705CA3" w14:textId="648E9308" w:rsidR="00B276B8" w:rsidRPr="00B275E2" w:rsidRDefault="00F86E56" w:rsidP="00A54327">
      <w:pPr>
        <w:pStyle w:val="BodyText"/>
      </w:pPr>
      <w:r w:rsidRPr="00B275E2">
        <w:t>The guide provides information on reporting imported heat and steam and geothermal energy</w:t>
      </w:r>
      <w:r w:rsidR="008C1FC8" w:rsidRPr="00B275E2">
        <w:t>.</w:t>
      </w:r>
      <w:r w:rsidR="00A54327" w:rsidRPr="00B275E2">
        <w:t> </w:t>
      </w:r>
      <w:r w:rsidR="008C1FC8" w:rsidRPr="00B275E2">
        <w:t>It</w:t>
      </w:r>
      <w:r w:rsidRPr="00B275E2">
        <w:t xml:space="preserve"> does not provide emission factors for these categories as they are unique to </w:t>
      </w:r>
      <w:r w:rsidR="00642C33" w:rsidRPr="00B275E2">
        <w:t>a specific site</w:t>
      </w:r>
      <w:r w:rsidRPr="00B275E2">
        <w:t>.</w:t>
      </w:r>
      <w:r w:rsidR="00B96332" w:rsidRPr="00B275E2">
        <w:t xml:space="preserve"> Hence users could liaise directly with their supplier of the importing heat, steam, or geothermal energy, for supplier specific emissions intensities suitable for calculating in the organisation inventory.</w:t>
      </w:r>
    </w:p>
    <w:p w14:paraId="0C9EAC50" w14:textId="3F1FAD15" w:rsidR="00B276B8" w:rsidRPr="00B275E2" w:rsidRDefault="00B276B8" w:rsidP="00C24B73">
      <w:pPr>
        <w:pStyle w:val="Heading2"/>
        <w:numPr>
          <w:ilvl w:val="0"/>
          <w:numId w:val="22"/>
        </w:numPr>
      </w:pPr>
      <w:bookmarkStart w:id="232" w:name="_Toc529960698"/>
      <w:bookmarkStart w:id="233" w:name="_Toc532904882"/>
      <w:bookmarkStart w:id="234" w:name="_Toc600576"/>
      <w:bookmarkStart w:id="235" w:name="_Toc111536783"/>
      <w:r w:rsidRPr="00B275E2">
        <w:t>Overview of changes since previous update</w:t>
      </w:r>
      <w:bookmarkEnd w:id="232"/>
      <w:bookmarkEnd w:id="233"/>
      <w:bookmarkEnd w:id="234"/>
      <w:bookmarkEnd w:id="235"/>
      <w:r w:rsidRPr="00B275E2">
        <w:t xml:space="preserve"> </w:t>
      </w:r>
    </w:p>
    <w:p w14:paraId="26141050" w14:textId="574BCEEC" w:rsidR="003F68A2" w:rsidRPr="00B275E2" w:rsidDel="007053E4" w:rsidRDefault="00B97D32" w:rsidP="00A54327">
      <w:pPr>
        <w:pStyle w:val="BodyText"/>
      </w:pPr>
      <w:r w:rsidRPr="00B275E2">
        <w:t xml:space="preserve">In </w:t>
      </w:r>
      <w:r w:rsidR="007539E1">
        <w:t>this</w:t>
      </w:r>
      <w:r w:rsidRPr="00B275E2">
        <w:t xml:space="preserve"> guide, we have included a time series of historic electricity emission factors</w:t>
      </w:r>
      <w:r w:rsidR="00091B70">
        <w:t xml:space="preserve"> based on annual and quarterly periods</w:t>
      </w:r>
      <w:r w:rsidRPr="00B275E2">
        <w:t>. Th</w:t>
      </w:r>
      <w:r w:rsidR="00091B70">
        <w:t>e</w:t>
      </w:r>
      <w:r w:rsidRPr="00B275E2">
        <w:t xml:space="preserve"> </w:t>
      </w:r>
      <w:r w:rsidR="00091B70">
        <w:t xml:space="preserve">quarterly </w:t>
      </w:r>
      <w:r w:rsidRPr="00B275E2">
        <w:t xml:space="preserve">time series extends </w:t>
      </w:r>
      <w:r w:rsidR="00B82BA6" w:rsidRPr="00B275E2">
        <w:t>back to 201</w:t>
      </w:r>
      <w:r w:rsidR="00091B70">
        <w:t xml:space="preserve">9, and the annual </w:t>
      </w:r>
      <w:r w:rsidR="00287884">
        <w:t>time series extends back to 2010.</w:t>
      </w:r>
      <w:r w:rsidR="006C636E" w:rsidRPr="00B275E2">
        <w:t xml:space="preserve"> </w:t>
      </w:r>
      <w:r w:rsidR="00287884">
        <w:t>T</w:t>
      </w:r>
      <w:r w:rsidR="006C636E" w:rsidRPr="00B275E2">
        <w:t xml:space="preserve">here is also an equivalent time series for </w:t>
      </w:r>
      <w:r w:rsidR="00D339A5" w:rsidRPr="00B275E2">
        <w:t>transmission and distribution losses.</w:t>
      </w:r>
      <w:r w:rsidR="007053E4">
        <w:t xml:space="preserve"> </w:t>
      </w:r>
    </w:p>
    <w:p w14:paraId="6B0E7786" w14:textId="0758BACD" w:rsidR="00F9436E" w:rsidRDefault="0005251A" w:rsidP="007F0B1E">
      <w:pPr>
        <w:pStyle w:val="BodyText"/>
      </w:pPr>
      <w:r w:rsidRPr="00B275E2">
        <w:t xml:space="preserve">There </w:t>
      </w:r>
      <w:r w:rsidR="000E4CE0" w:rsidRPr="00B275E2">
        <w:t>has</w:t>
      </w:r>
      <w:r w:rsidRPr="00B275E2">
        <w:t xml:space="preserve"> be</w:t>
      </w:r>
      <w:r w:rsidR="000A122E" w:rsidRPr="00B275E2">
        <w:t>en</w:t>
      </w:r>
      <w:r w:rsidRPr="00B275E2">
        <w:t xml:space="preserve"> an update to the previous electricity emission factor as the data in the source table has </w:t>
      </w:r>
      <w:r w:rsidR="003770EB" w:rsidRPr="00B275E2">
        <w:t>changed.</w:t>
      </w:r>
    </w:p>
    <w:tbl>
      <w:tblPr>
        <w:tblW w:w="8500"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0"/>
      </w:tblGrid>
      <w:tr w:rsidR="007053E4" w:rsidRPr="00B275E2" w:rsidDel="00D5390D" w14:paraId="432735C5" w14:textId="77777777">
        <w:tc>
          <w:tcPr>
            <w:tcW w:w="8500" w:type="dxa"/>
            <w:tcBorders>
              <w:top w:val="single" w:sz="4" w:space="0" w:color="0F7B7D"/>
              <w:left w:val="single" w:sz="4" w:space="0" w:color="0F7B7D"/>
              <w:bottom w:val="nil"/>
              <w:right w:val="single" w:sz="4" w:space="0" w:color="0F7B7D"/>
            </w:tcBorders>
            <w:shd w:val="clear" w:color="auto" w:fill="0F7B7D"/>
            <w:vAlign w:val="center"/>
          </w:tcPr>
          <w:p w14:paraId="5D8E9CEE" w14:textId="375DF614" w:rsidR="007053E4" w:rsidRPr="00B275E2" w:rsidDel="00D5390D" w:rsidRDefault="007053E4">
            <w:pPr>
              <w:pStyle w:val="Casestudyheading"/>
              <w:ind w:left="0"/>
            </w:pPr>
            <w:r w:rsidRPr="007053E4">
              <w:t>CHANGE IN METHODOLOGY</w:t>
            </w:r>
            <w:r>
              <w:t xml:space="preserve"> BETWEEN 2020 AND 2022 GUIDANCE</w:t>
            </w:r>
          </w:p>
        </w:tc>
      </w:tr>
      <w:tr w:rsidR="007053E4" w:rsidRPr="00B275E2" w14:paraId="5A53864F" w14:textId="77777777">
        <w:trPr>
          <w:trHeight w:val="1146"/>
        </w:trPr>
        <w:tc>
          <w:tcPr>
            <w:tcW w:w="8500" w:type="dxa"/>
            <w:tcBorders>
              <w:top w:val="nil"/>
              <w:left w:val="single" w:sz="4" w:space="0" w:color="D5EBE8" w:themeColor="accent3"/>
              <w:bottom w:val="single" w:sz="4" w:space="0" w:color="D5EBE8" w:themeColor="accent3"/>
              <w:right w:val="single" w:sz="4" w:space="0" w:color="D5EBE8" w:themeColor="accent3"/>
            </w:tcBorders>
            <w:shd w:val="clear" w:color="auto" w:fill="D5EBE8" w:themeFill="accent3"/>
          </w:tcPr>
          <w:p w14:paraId="3C9D5F48" w14:textId="3BFB7008" w:rsidR="00162E88" w:rsidRDefault="00162E88" w:rsidP="007053E4">
            <w:pPr>
              <w:pStyle w:val="Boxtext"/>
              <w:spacing w:after="80"/>
            </w:pPr>
            <w:r w:rsidRPr="00162E88">
              <w:t>The methodology for calculating the indirect (scope 2) emission factors for purchased electricity has changed between the guidance that was published in 2020 and this current guidance published in 2022. This improvement has been made to align with international best</w:t>
            </w:r>
            <w:r w:rsidR="00F64A44">
              <w:t xml:space="preserve"> </w:t>
            </w:r>
            <w:r w:rsidRPr="00162E88">
              <w:t>practice</w:t>
            </w:r>
            <w:r w:rsidR="00FD3355">
              <w:t xml:space="preserve"> more cl</w:t>
            </w:r>
            <w:r w:rsidR="00F64A44">
              <w:t>osely</w:t>
            </w:r>
            <w:r w:rsidRPr="00162E88">
              <w:t xml:space="preserve">, such as the guidance provided in the GHG Protocol. </w:t>
            </w:r>
          </w:p>
          <w:p w14:paraId="299F63D2" w14:textId="54C718AA" w:rsidR="00CB11FC" w:rsidRDefault="00CB11FC" w:rsidP="007053E4">
            <w:pPr>
              <w:pStyle w:val="Boxtext"/>
              <w:spacing w:after="80"/>
            </w:pPr>
            <w:r w:rsidRPr="00CB11FC">
              <w:t xml:space="preserve">The previous methodology was based on electricity consumption data rather than electricity generation data. This resulted in a slight overlap between the scope 2 method and the </w:t>
            </w:r>
            <w:r w:rsidR="00F64A44">
              <w:t>s</w:t>
            </w:r>
            <w:r w:rsidRPr="00CB11FC">
              <w:t xml:space="preserve">cope 3 method which accounts for indirect emissions due to transmission and distribution losses. By changing the methodology to use generation data, users can measure their transmission and distribution loss emissions separately if required, as described in section </w:t>
            </w:r>
            <w:hyperlink w:anchor="_Transmission_and_distribution" w:history="1">
              <w:r w:rsidRPr="00E42DF8">
                <w:rPr>
                  <w:rStyle w:val="Hyperlink"/>
                </w:rPr>
                <w:t>5.3</w:t>
              </w:r>
            </w:hyperlink>
            <w:r>
              <w:t>.</w:t>
            </w:r>
            <w:r w:rsidRPr="00CB11FC">
              <w:t xml:space="preserve"> </w:t>
            </w:r>
          </w:p>
          <w:p w14:paraId="19EDC5DB" w14:textId="281A0A23" w:rsidR="00C850D5" w:rsidRDefault="00C850D5" w:rsidP="007053E4">
            <w:pPr>
              <w:pStyle w:val="Boxtext"/>
              <w:spacing w:after="80"/>
            </w:pPr>
            <w:r>
              <w:t xml:space="preserve">The magnitude of change between the 2020 guidance and 2022 guidance emission factors for purchased electricity is </w:t>
            </w:r>
            <w:r w:rsidR="00E42DF8">
              <w:t xml:space="preserve">around </w:t>
            </w:r>
            <w:r w:rsidR="00CE126F">
              <w:t>-8 per cent</w:t>
            </w:r>
            <w:r>
              <w:t xml:space="preserve">. </w:t>
            </w:r>
          </w:p>
          <w:p w14:paraId="0D1784EF" w14:textId="46028B31" w:rsidR="00C850D5" w:rsidRPr="00B275E2" w:rsidRDefault="006647B9" w:rsidP="007053E4">
            <w:pPr>
              <w:pStyle w:val="Boxtext"/>
              <w:spacing w:after="80"/>
            </w:pPr>
            <w:r>
              <w:t>Organisation</w:t>
            </w:r>
            <w:r w:rsidR="00EF2453">
              <w:t>s</w:t>
            </w:r>
            <w:r>
              <w:t xml:space="preserve"> will need to recalculate their purchased electricity emissions using the current emission factors</w:t>
            </w:r>
            <w:r w:rsidR="00CE126F">
              <w:t xml:space="preserve"> if the impact of this change is material to their inventory</w:t>
            </w:r>
            <w:r w:rsidR="007E3A12">
              <w:t>.</w:t>
            </w:r>
          </w:p>
        </w:tc>
      </w:tr>
    </w:tbl>
    <w:p w14:paraId="4A70C674" w14:textId="77777777" w:rsidR="007053E4" w:rsidRPr="00B275E2" w:rsidRDefault="007053E4" w:rsidP="007F0B1E">
      <w:pPr>
        <w:pStyle w:val="BodyText"/>
      </w:pPr>
    </w:p>
    <w:p w14:paraId="24DF78A0" w14:textId="1A05FC32" w:rsidR="00B276B8" w:rsidRPr="00B275E2" w:rsidRDefault="0083137D" w:rsidP="00C24B73">
      <w:pPr>
        <w:pStyle w:val="Heading2"/>
        <w:numPr>
          <w:ilvl w:val="0"/>
          <w:numId w:val="22"/>
        </w:numPr>
      </w:pPr>
      <w:bookmarkStart w:id="236" w:name="_Indirect_Scope_2"/>
      <w:bookmarkStart w:id="237" w:name="_Toc529960699"/>
      <w:bookmarkStart w:id="238" w:name="_Toc532904883"/>
      <w:bookmarkStart w:id="239" w:name="_Toc600577"/>
      <w:bookmarkStart w:id="240" w:name="_Toc111536784"/>
      <w:bookmarkEnd w:id="236"/>
      <w:r w:rsidRPr="00B275E2">
        <w:lastRenderedPageBreak/>
        <w:t>Indirect</w:t>
      </w:r>
      <w:r w:rsidR="00B276B8" w:rsidRPr="00B275E2">
        <w:t xml:space="preserve"> </w:t>
      </w:r>
      <w:r w:rsidR="005437A4" w:rsidRPr="00B275E2">
        <w:t xml:space="preserve">Scope 2 </w:t>
      </w:r>
      <w:r w:rsidR="00B276B8" w:rsidRPr="00B275E2">
        <w:t>emissions from purchased electricity</w:t>
      </w:r>
      <w:bookmarkEnd w:id="237"/>
      <w:r w:rsidR="00B276B8" w:rsidRPr="00B275E2">
        <w:t xml:space="preserve"> from</w:t>
      </w:r>
      <w:r w:rsidR="00A54327" w:rsidRPr="00B275E2">
        <w:t xml:space="preserve"> </w:t>
      </w:r>
      <w:r w:rsidRPr="00B275E2">
        <w:t xml:space="preserve">the </w:t>
      </w:r>
      <w:r w:rsidR="00B276B8" w:rsidRPr="00B275E2">
        <w:t>N</w:t>
      </w:r>
      <w:r w:rsidR="003950D8" w:rsidRPr="00B275E2">
        <w:t>ew</w:t>
      </w:r>
      <w:r w:rsidR="00A54327" w:rsidRPr="00B275E2">
        <w:t> </w:t>
      </w:r>
      <w:r w:rsidR="00B276B8" w:rsidRPr="00B275E2">
        <w:t>Z</w:t>
      </w:r>
      <w:r w:rsidR="003950D8" w:rsidRPr="00B275E2">
        <w:t>ealand</w:t>
      </w:r>
      <w:r w:rsidR="00B276B8" w:rsidRPr="00B275E2">
        <w:t xml:space="preserve"> grid</w:t>
      </w:r>
      <w:bookmarkEnd w:id="238"/>
      <w:bookmarkEnd w:id="239"/>
      <w:bookmarkEnd w:id="240"/>
      <w:r w:rsidR="00B276B8" w:rsidRPr="00B275E2">
        <w:t xml:space="preserve"> </w:t>
      </w:r>
    </w:p>
    <w:p w14:paraId="56197CA8" w14:textId="3805B64D" w:rsidR="00893C39" w:rsidRPr="00B275E2" w:rsidRDefault="00AE0B53" w:rsidP="007F0B1E">
      <w:pPr>
        <w:pStyle w:val="BodyText"/>
      </w:pPr>
      <w:bookmarkStart w:id="241" w:name="_Hlk532892691"/>
      <w:r w:rsidRPr="00B275E2">
        <w:rPr>
          <w:spacing w:val="-2"/>
        </w:rPr>
        <w:t>This guide applies to electricity purchased from a supplier that sources electricity from the national</w:t>
      </w:r>
      <w:r w:rsidR="00A54327" w:rsidRPr="00B275E2">
        <w:rPr>
          <w:spacing w:val="-2"/>
        </w:rPr>
        <w:t xml:space="preserve"> </w:t>
      </w:r>
      <w:r w:rsidRPr="00B275E2">
        <w:rPr>
          <w:spacing w:val="-2"/>
        </w:rPr>
        <w:t xml:space="preserve">grid (ie, purchased electricity consumed by end users). It does not cover on-site, </w:t>
      </w:r>
      <w:r w:rsidR="005F332D" w:rsidRPr="00B275E2">
        <w:rPr>
          <w:spacing w:val="-2"/>
        </w:rPr>
        <w:t>self</w:t>
      </w:r>
      <w:r w:rsidR="00A54327" w:rsidRPr="00B275E2">
        <w:rPr>
          <w:spacing w:val="-2"/>
        </w:rPr>
        <w:noBreakHyphen/>
      </w:r>
      <w:r w:rsidR="005F332D" w:rsidRPr="00B275E2">
        <w:rPr>
          <w:spacing w:val="-2"/>
        </w:rPr>
        <w:t>generated</w:t>
      </w:r>
      <w:r w:rsidRPr="00B275E2">
        <w:rPr>
          <w:spacing w:val="-2"/>
        </w:rPr>
        <w:t xml:space="preserve"> electricity.</w:t>
      </w:r>
      <w:r w:rsidR="005C1CC8" w:rsidRPr="00B275E2">
        <w:rPr>
          <w:spacing w:val="-2"/>
        </w:rPr>
        <w:t xml:space="preserve"> </w:t>
      </w:r>
      <w:bookmarkEnd w:id="241"/>
    </w:p>
    <w:p w14:paraId="53D80BB8" w14:textId="79C1595D" w:rsidR="0087554C" w:rsidRPr="00B275E2" w:rsidRDefault="00893C39" w:rsidP="007F0B1E">
      <w:pPr>
        <w:pStyle w:val="BodyText"/>
        <w:rPr>
          <w:spacing w:val="-2"/>
        </w:rPr>
      </w:pPr>
      <w:r w:rsidRPr="00B275E2">
        <w:t>The grid-average emission factor best reflects the carbon dioxide equivalent emissions associated with the generation of a unit of electricity purchased from the national grid in New</w:t>
      </w:r>
      <w:r w:rsidR="00FA3431" w:rsidRPr="00B275E2">
        <w:t> </w:t>
      </w:r>
      <w:r w:rsidRPr="00B275E2">
        <w:t xml:space="preserve">Zealand in 2020. </w:t>
      </w:r>
      <w:r w:rsidR="00C627DB" w:rsidRPr="00B275E2">
        <w:rPr>
          <w:spacing w:val="-2"/>
        </w:rPr>
        <w:t xml:space="preserve">We recommend </w:t>
      </w:r>
      <w:r w:rsidR="0048440F" w:rsidRPr="00B275E2">
        <w:rPr>
          <w:spacing w:val="-2"/>
        </w:rPr>
        <w:t xml:space="preserve">the use of the emissions factors in </w:t>
      </w:r>
      <w:hyperlink w:anchor="table9" w:history="1">
        <w:r w:rsidR="00FA3431" w:rsidRPr="00B275E2">
          <w:rPr>
            <w:rStyle w:val="Hyperlink"/>
            <w:spacing w:val="-2"/>
          </w:rPr>
          <w:t>table 9</w:t>
        </w:r>
      </w:hyperlink>
      <w:r w:rsidR="0048440F" w:rsidRPr="00B275E2">
        <w:rPr>
          <w:spacing w:val="-2"/>
        </w:rPr>
        <w:t xml:space="preserve"> for all electricity</w:t>
      </w:r>
      <w:r w:rsidR="00B91E00" w:rsidRPr="00B275E2">
        <w:rPr>
          <w:spacing w:val="-2"/>
        </w:rPr>
        <w:t xml:space="preserve"> </w:t>
      </w:r>
      <w:r w:rsidR="0048440F" w:rsidRPr="00B275E2">
        <w:rPr>
          <w:spacing w:val="-2"/>
        </w:rPr>
        <w:t>purchased from the national grid</w:t>
      </w:r>
      <w:r w:rsidR="00BF0E4D" w:rsidRPr="00B275E2">
        <w:rPr>
          <w:spacing w:val="-2"/>
        </w:rPr>
        <w:t>,</w:t>
      </w:r>
      <w:r w:rsidR="0092655F" w:rsidRPr="00B275E2">
        <w:rPr>
          <w:spacing w:val="-2"/>
        </w:rPr>
        <w:t xml:space="preserve"> </w:t>
      </w:r>
      <w:r w:rsidR="0087554C" w:rsidRPr="00B275E2">
        <w:rPr>
          <w:spacing w:val="-2"/>
        </w:rPr>
        <w:t xml:space="preserve">apart from when </w:t>
      </w:r>
      <w:r w:rsidR="003B4ADF">
        <w:rPr>
          <w:spacing w:val="-2"/>
        </w:rPr>
        <w:t>a</w:t>
      </w:r>
      <w:r w:rsidR="0087554C" w:rsidRPr="00B275E2">
        <w:rPr>
          <w:spacing w:val="-2"/>
        </w:rPr>
        <w:t xml:space="preserve"> market-based method is being</w:t>
      </w:r>
      <w:r w:rsidR="00A54327" w:rsidRPr="00B275E2">
        <w:rPr>
          <w:spacing w:val="-2"/>
        </w:rPr>
        <w:t> </w:t>
      </w:r>
      <w:r w:rsidR="0087554C" w:rsidRPr="00B275E2">
        <w:rPr>
          <w:spacing w:val="-2"/>
        </w:rPr>
        <w:t>used.</w:t>
      </w:r>
    </w:p>
    <w:p w14:paraId="0F16C48C" w14:textId="687B2169" w:rsidR="00434028" w:rsidRPr="00B275E2" w:rsidRDefault="00D1128D" w:rsidP="007F0B1E">
      <w:pPr>
        <w:pStyle w:val="BodyText"/>
      </w:pPr>
      <w:bookmarkStart w:id="242" w:name="_Hlk532892858"/>
      <w:r w:rsidRPr="00B275E2">
        <w:t>We calculate p</w:t>
      </w:r>
      <w:r w:rsidR="00B276B8" w:rsidRPr="00B275E2">
        <w:t>urchased electricity</w:t>
      </w:r>
      <w:r w:rsidR="00AE0B53" w:rsidRPr="00B275E2">
        <w:t xml:space="preserve"> emission factors</w:t>
      </w:r>
      <w:r w:rsidR="00B276B8" w:rsidRPr="00B275E2">
        <w:t xml:space="preserve"> on a calendar-year basis</w:t>
      </w:r>
      <w:r w:rsidR="00AE0B53" w:rsidRPr="00B275E2">
        <w:t xml:space="preserve"> and based on the average grid mix of generation types</w:t>
      </w:r>
      <w:r w:rsidR="00BC6DDF" w:rsidRPr="00B275E2">
        <w:t xml:space="preserve"> for </w:t>
      </w:r>
      <w:r w:rsidR="002A4224" w:rsidRPr="00B275E2">
        <w:t>calendar</w:t>
      </w:r>
      <w:r w:rsidR="00D73247" w:rsidRPr="00B275E2">
        <w:t xml:space="preserve"> </w:t>
      </w:r>
      <w:r w:rsidR="00BC6DDF" w:rsidRPr="00B275E2">
        <w:t>year</w:t>
      </w:r>
      <w:r w:rsidR="002A4224" w:rsidRPr="00B275E2">
        <w:t>s</w:t>
      </w:r>
      <w:r w:rsidR="00AE0B53" w:rsidRPr="00B275E2">
        <w:t>. The emission factor</w:t>
      </w:r>
      <w:r w:rsidR="00B276B8" w:rsidRPr="00B275E2">
        <w:t xml:space="preserve"> account</w:t>
      </w:r>
      <w:r w:rsidR="00AE0B53" w:rsidRPr="00B275E2">
        <w:t>s</w:t>
      </w:r>
      <w:r w:rsidR="00B276B8" w:rsidRPr="00B275E2">
        <w:t xml:space="preserve"> for the emissions from fuel combustion at thermal power stations</w:t>
      </w:r>
      <w:r w:rsidR="00A959E4" w:rsidRPr="00B275E2">
        <w:t xml:space="preserve"> and fugitive </w:t>
      </w:r>
      <w:r w:rsidR="00893C39" w:rsidRPr="00B275E2">
        <w:t xml:space="preserve">emissions from the generation of </w:t>
      </w:r>
      <w:r w:rsidR="00A959E4" w:rsidRPr="00B275E2">
        <w:t xml:space="preserve">geothermal </w:t>
      </w:r>
      <w:r w:rsidR="00893C39" w:rsidRPr="00B275E2">
        <w:t>electricity</w:t>
      </w:r>
      <w:r w:rsidR="00434028" w:rsidRPr="00B275E2">
        <w:t>.</w:t>
      </w:r>
      <w:r w:rsidR="00C2219E" w:rsidRPr="00B275E2">
        <w:t xml:space="preserve"> </w:t>
      </w:r>
      <w:r w:rsidR="00A959E4" w:rsidRPr="00B275E2">
        <w:t xml:space="preserve">Thermal electricity is </w:t>
      </w:r>
      <w:r w:rsidR="002753B5" w:rsidRPr="00B275E2">
        <w:t xml:space="preserve">generated </w:t>
      </w:r>
      <w:r w:rsidR="006A6E2B" w:rsidRPr="00B275E2">
        <w:t xml:space="preserve">by </w:t>
      </w:r>
      <w:r w:rsidR="00A959E4" w:rsidRPr="00B275E2">
        <w:t>burning fossil fuels.</w:t>
      </w:r>
      <w:r w:rsidR="00434028" w:rsidRPr="00B275E2">
        <w:t xml:space="preserve"> </w:t>
      </w:r>
    </w:p>
    <w:bookmarkEnd w:id="242"/>
    <w:p w14:paraId="05A575D1" w14:textId="3A1FD8C2" w:rsidR="00AE0B53" w:rsidRPr="00B275E2" w:rsidRDefault="0048440F" w:rsidP="007F0B1E">
      <w:pPr>
        <w:pStyle w:val="BodyText"/>
      </w:pPr>
      <w:r w:rsidRPr="00B275E2">
        <w:t>T</w:t>
      </w:r>
      <w:r w:rsidR="00AE0B53" w:rsidRPr="00B275E2">
        <w:t xml:space="preserve">he emission factor for </w:t>
      </w:r>
      <w:r w:rsidR="005C1CC8" w:rsidRPr="00B275E2">
        <w:t xml:space="preserve">purchased </w:t>
      </w:r>
      <w:r w:rsidR="00AE0B53" w:rsidRPr="00B275E2">
        <w:t>grid</w:t>
      </w:r>
      <w:r w:rsidR="005C1CC8" w:rsidRPr="00B275E2">
        <w:t>-</w:t>
      </w:r>
      <w:r w:rsidR="00AE0B53" w:rsidRPr="00B275E2">
        <w:t>average electricity does not include transmission and</w:t>
      </w:r>
      <w:r w:rsidR="00A54327" w:rsidRPr="00B275E2">
        <w:t> </w:t>
      </w:r>
      <w:r w:rsidR="00AE0B53" w:rsidRPr="00B275E2">
        <w:t xml:space="preserve">distribution losses. </w:t>
      </w:r>
      <w:r w:rsidR="00D1128D" w:rsidRPr="00B275E2">
        <w:t>We provide a</w:t>
      </w:r>
      <w:r w:rsidR="00AE0B53" w:rsidRPr="00B275E2">
        <w:t xml:space="preserve"> separate average emission factor for this as an indirect (Scope</w:t>
      </w:r>
      <w:r w:rsidR="00FA3431" w:rsidRPr="00B275E2">
        <w:t> </w:t>
      </w:r>
      <w:r w:rsidR="00AE0B53" w:rsidRPr="00B275E2">
        <w:t xml:space="preserve">3) emission source in </w:t>
      </w:r>
      <w:hyperlink w:anchor="_Transmission_and_distribution" w:history="1">
        <w:r w:rsidR="00AE0B53" w:rsidRPr="00B275E2">
          <w:rPr>
            <w:rStyle w:val="Hyperlink"/>
          </w:rPr>
          <w:t>section</w:t>
        </w:r>
        <w:r w:rsidR="00CB3567" w:rsidRPr="00B275E2">
          <w:rPr>
            <w:rStyle w:val="Hyperlink"/>
          </w:rPr>
          <w:t xml:space="preserve"> 5.3</w:t>
        </w:r>
      </w:hyperlink>
      <w:r w:rsidR="00AE0B53" w:rsidRPr="00B275E2">
        <w:t xml:space="preserve">. </w:t>
      </w:r>
    </w:p>
    <w:p w14:paraId="42722256" w14:textId="397B1ED2" w:rsidR="00AE0B53" w:rsidRPr="00B275E2" w:rsidRDefault="00AE0B53" w:rsidP="007F0B1E">
      <w:pPr>
        <w:pStyle w:val="BodyText"/>
      </w:pPr>
      <w:r w:rsidRPr="00B275E2">
        <w:t xml:space="preserve">This emission factor also </w:t>
      </w:r>
      <w:bookmarkStart w:id="243" w:name="_Hlk532892712"/>
      <w:r w:rsidRPr="00B275E2">
        <w:t xml:space="preserve">doesn’t reflect the real-world factors that influence the carbon intensity of the grid such as time of year, time of day and geographical area. Therefore, a grid </w:t>
      </w:r>
      <w:r w:rsidR="006C0531" w:rsidRPr="00B275E2">
        <w:noBreakHyphen/>
      </w:r>
      <w:r w:rsidRPr="00B275E2">
        <w:t xml:space="preserve">average emission factor may over or underestimate </w:t>
      </w:r>
      <w:r w:rsidR="00DA4EBA" w:rsidRPr="00B275E2">
        <w:t xml:space="preserve">your </w:t>
      </w:r>
      <w:r w:rsidR="00911FA3" w:rsidRPr="00B275E2">
        <w:t xml:space="preserve">organisation’s </w:t>
      </w:r>
      <w:r w:rsidRPr="00B275E2">
        <w:t>GHG emissions.</w:t>
      </w:r>
    </w:p>
    <w:p w14:paraId="64E68514" w14:textId="7D76C465" w:rsidR="00C3141A" w:rsidRPr="00B275E2" w:rsidRDefault="00C3141A" w:rsidP="007F0B1E">
      <w:pPr>
        <w:pStyle w:val="BodyText"/>
      </w:pPr>
      <w:r w:rsidRPr="00B275E2">
        <w:t xml:space="preserve">Detailed additional guidance on reporting electricity emissions is available in the </w:t>
      </w:r>
      <w:hyperlink r:id="rId73" w:history="1">
        <w:r w:rsidRPr="00B275E2">
          <w:rPr>
            <w:rStyle w:val="Hyperlink"/>
          </w:rPr>
          <w:t>GHG Protocol Scope 2 Guidance</w:t>
        </w:r>
      </w:hyperlink>
      <w:r w:rsidRPr="00B275E2">
        <w:t xml:space="preserve">. </w:t>
      </w:r>
    </w:p>
    <w:bookmarkEnd w:id="243"/>
    <w:p w14:paraId="3CF1C732" w14:textId="6F210B09" w:rsidR="000750A5" w:rsidRPr="00B275E2" w:rsidRDefault="00434028" w:rsidP="007F0B1E">
      <w:pPr>
        <w:pStyle w:val="BodyText"/>
      </w:pPr>
      <w:r w:rsidRPr="00B275E2">
        <w:t>The emission factor</w:t>
      </w:r>
      <w:r w:rsidR="006C5C98" w:rsidRPr="00B275E2">
        <w:t>s</w:t>
      </w:r>
      <w:r w:rsidRPr="00B275E2">
        <w:t xml:space="preserve"> for </w:t>
      </w:r>
      <w:r w:rsidR="006C5C98" w:rsidRPr="00B275E2">
        <w:t xml:space="preserve">the annual average </w:t>
      </w:r>
      <w:r w:rsidRPr="00B275E2">
        <w:t xml:space="preserve">purchased electricity </w:t>
      </w:r>
      <w:r w:rsidR="003B4ADF">
        <w:t xml:space="preserve">based on annual generation </w:t>
      </w:r>
      <w:r w:rsidRPr="00B275E2">
        <w:t xml:space="preserve">from the New Zealand grid </w:t>
      </w:r>
      <w:r w:rsidR="005C1CC8" w:rsidRPr="00B275E2">
        <w:t>is</w:t>
      </w:r>
      <w:r w:rsidRPr="00B275E2">
        <w:t xml:space="preserve"> in</w:t>
      </w:r>
      <w:r w:rsidR="00FA3431" w:rsidRPr="00B275E2">
        <w:t xml:space="preserve"> table 9</w:t>
      </w:r>
      <w:bookmarkStart w:id="244" w:name="_Ref532305181"/>
      <w:r w:rsidR="00EC3BDF" w:rsidRPr="00B275E2">
        <w:t>.</w:t>
      </w:r>
    </w:p>
    <w:p w14:paraId="5CEBE2BA" w14:textId="2869D3E5" w:rsidR="00B276B8" w:rsidRPr="00B275E2" w:rsidRDefault="00834880" w:rsidP="00A54327">
      <w:pPr>
        <w:pStyle w:val="Tableheading"/>
      </w:pPr>
      <w:bookmarkStart w:id="245" w:name="_Ref54950246"/>
      <w:bookmarkStart w:id="246" w:name="table9"/>
      <w:bookmarkStart w:id="247" w:name="_Toc111536614"/>
      <w:r w:rsidRPr="00B275E2">
        <w:t xml:space="preserve">Table </w:t>
      </w:r>
      <w:r w:rsidRPr="00B275E2">
        <w:fldChar w:fldCharType="begin"/>
      </w:r>
      <w:r w:rsidRPr="00B275E2">
        <w:instrText>SEQ Table \* ARABIC</w:instrText>
      </w:r>
      <w:r w:rsidRPr="00B275E2">
        <w:fldChar w:fldCharType="separate"/>
      </w:r>
      <w:r w:rsidR="003E141C" w:rsidRPr="00B275E2">
        <w:t>9</w:t>
      </w:r>
      <w:r w:rsidRPr="00B275E2">
        <w:fldChar w:fldCharType="end"/>
      </w:r>
      <w:bookmarkEnd w:id="244"/>
      <w:bookmarkEnd w:id="245"/>
      <w:bookmarkEnd w:id="246"/>
      <w:r w:rsidR="00B276B8" w:rsidRPr="00B275E2">
        <w:t>:</w:t>
      </w:r>
      <w:r w:rsidR="0011046F" w:rsidRPr="00B275E2">
        <w:tab/>
      </w:r>
      <w:r w:rsidR="00B276B8" w:rsidRPr="00B275E2">
        <w:t xml:space="preserve">Emission factor for purchased </w:t>
      </w:r>
      <w:r w:rsidR="005C1CC8" w:rsidRPr="00B275E2">
        <w:t xml:space="preserve">grid-average </w:t>
      </w:r>
      <w:r w:rsidR="00B276B8" w:rsidRPr="00B275E2">
        <w:t>electricity</w:t>
      </w:r>
      <w:r w:rsidR="00F114FB" w:rsidRPr="00B275E2">
        <w:t xml:space="preserve"> – annual average</w:t>
      </w:r>
      <w:bookmarkEnd w:id="247"/>
    </w:p>
    <w:tbl>
      <w:tblPr>
        <w:tblStyle w:val="LightList-Accent11"/>
        <w:tblW w:w="8505" w:type="dxa"/>
        <w:tblInd w:w="20"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Look w:val="04A0" w:firstRow="1" w:lastRow="0" w:firstColumn="1" w:lastColumn="0" w:noHBand="0" w:noVBand="1"/>
      </w:tblPr>
      <w:tblGrid>
        <w:gridCol w:w="1925"/>
        <w:gridCol w:w="963"/>
        <w:gridCol w:w="1404"/>
        <w:gridCol w:w="1404"/>
        <w:gridCol w:w="1404"/>
        <w:gridCol w:w="1405"/>
      </w:tblGrid>
      <w:tr w:rsidR="00B276B8" w:rsidRPr="00B275E2" w14:paraId="234F1320" w14:textId="77777777" w:rsidTr="00D22B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shd w:val="clear" w:color="auto" w:fill="1B556B" w:themeFill="text2"/>
            <w:noWrap/>
            <w:vAlign w:val="bottom"/>
            <w:hideMark/>
          </w:tcPr>
          <w:p w14:paraId="6065ED7C" w14:textId="77777777" w:rsidR="00B276B8" w:rsidRPr="00B275E2" w:rsidRDefault="00B276B8" w:rsidP="007F0B1E">
            <w:pPr>
              <w:pStyle w:val="TableText"/>
            </w:pPr>
            <w:r w:rsidRPr="00B275E2">
              <w:t>Emission source</w:t>
            </w:r>
          </w:p>
        </w:tc>
        <w:tc>
          <w:tcPr>
            <w:tcW w:w="963" w:type="dxa"/>
            <w:shd w:val="clear" w:color="auto" w:fill="1B556B" w:themeFill="text2"/>
            <w:noWrap/>
            <w:vAlign w:val="bottom"/>
            <w:hideMark/>
          </w:tcPr>
          <w:p w14:paraId="415487D0" w14:textId="77777777" w:rsidR="00B276B8" w:rsidRPr="00B275E2" w:rsidRDefault="00B276B8" w:rsidP="007F0B1E">
            <w:pPr>
              <w:pStyle w:val="TableText"/>
              <w:cnfStyle w:val="100000000000" w:firstRow="1" w:lastRow="0" w:firstColumn="0" w:lastColumn="0" w:oddVBand="0" w:evenVBand="0" w:oddHBand="0" w:evenHBand="0" w:firstRowFirstColumn="0" w:firstRowLastColumn="0" w:lastRowFirstColumn="0" w:lastRowLastColumn="0"/>
            </w:pPr>
            <w:r w:rsidRPr="00B275E2">
              <w:t>Unit</w:t>
            </w:r>
          </w:p>
        </w:tc>
        <w:tc>
          <w:tcPr>
            <w:tcW w:w="1404" w:type="dxa"/>
            <w:shd w:val="clear" w:color="auto" w:fill="D2DDE1" w:themeFill="background2"/>
            <w:noWrap/>
            <w:vAlign w:val="bottom"/>
            <w:hideMark/>
          </w:tcPr>
          <w:p w14:paraId="62EB0144" w14:textId="5CDCF5EB" w:rsidR="00B276B8" w:rsidRPr="00B275E2" w:rsidRDefault="00B276B8" w:rsidP="008D1E23">
            <w:pPr>
              <w:pStyle w:val="TableText"/>
              <w:jc w:val="right"/>
              <w:cnfStyle w:val="100000000000" w:firstRow="1" w:lastRow="0" w:firstColumn="0" w:lastColumn="0" w:oddVBand="0" w:evenVBand="0" w:oddHBand="0" w:evenHBand="0" w:firstRowFirstColumn="0" w:firstRowLastColumn="0" w:lastRowFirstColumn="0" w:lastRowLastColumn="0"/>
              <w:rPr>
                <w:color w:val="auto"/>
              </w:rPr>
            </w:pPr>
            <w:r w:rsidRPr="00B275E2">
              <w:rPr>
                <w:color w:val="auto"/>
              </w:rPr>
              <w:t>kg CO</w:t>
            </w:r>
            <w:r w:rsidRPr="00B275E2">
              <w:rPr>
                <w:color w:val="auto"/>
                <w:vertAlign w:val="subscript"/>
              </w:rPr>
              <w:t>2</w:t>
            </w:r>
            <w:r w:rsidRPr="00B275E2">
              <w:rPr>
                <w:color w:val="auto"/>
              </w:rPr>
              <w:t>-e/unit</w:t>
            </w:r>
          </w:p>
        </w:tc>
        <w:tc>
          <w:tcPr>
            <w:tcW w:w="1404" w:type="dxa"/>
            <w:shd w:val="clear" w:color="auto" w:fill="1B556B" w:themeFill="text2"/>
            <w:noWrap/>
            <w:vAlign w:val="bottom"/>
            <w:hideMark/>
          </w:tcPr>
          <w:p w14:paraId="6C9C6B36" w14:textId="77777777" w:rsidR="00B276B8" w:rsidRPr="00B275E2" w:rsidRDefault="00B276B8" w:rsidP="00D22BB7">
            <w:pPr>
              <w:pStyle w:val="TableText"/>
              <w:jc w:val="right"/>
              <w:cnfStyle w:val="100000000000" w:firstRow="1" w:lastRow="0" w:firstColumn="0" w:lastColumn="0" w:oddVBand="0" w:evenVBand="0" w:oddHBand="0" w:evenHBand="0" w:firstRowFirstColumn="0" w:firstRowLastColumn="0" w:lastRowFirstColumn="0" w:lastRowLastColumn="0"/>
            </w:pPr>
            <w:r w:rsidRPr="00B275E2">
              <w:t>kg CO</w:t>
            </w:r>
            <w:r w:rsidRPr="00B275E2">
              <w:rPr>
                <w:vertAlign w:val="subscript"/>
              </w:rPr>
              <w:t>2</w:t>
            </w:r>
            <w:r w:rsidRPr="00B275E2">
              <w:t>/unit</w:t>
            </w:r>
          </w:p>
        </w:tc>
        <w:tc>
          <w:tcPr>
            <w:tcW w:w="1404" w:type="dxa"/>
            <w:shd w:val="clear" w:color="auto" w:fill="1B556B" w:themeFill="text2"/>
            <w:noWrap/>
            <w:vAlign w:val="bottom"/>
            <w:hideMark/>
          </w:tcPr>
          <w:p w14:paraId="47C9EAD5" w14:textId="35F82D46" w:rsidR="00B276B8" w:rsidRPr="00B275E2" w:rsidRDefault="00622E8B" w:rsidP="00D22BB7">
            <w:pPr>
              <w:pStyle w:val="TableText"/>
              <w:jc w:val="right"/>
              <w:cnfStyle w:val="100000000000" w:firstRow="1" w:lastRow="0" w:firstColumn="0" w:lastColumn="0" w:oddVBand="0" w:evenVBand="0" w:oddHBand="0" w:evenHBand="0" w:firstRowFirstColumn="0" w:firstRowLastColumn="0" w:lastRowFirstColumn="0" w:lastRowLastColumn="0"/>
            </w:pPr>
            <w:r w:rsidRPr="00B275E2">
              <w:t>kg CH</w:t>
            </w:r>
            <w:r w:rsidRPr="00B275E2">
              <w:rPr>
                <w:vertAlign w:val="subscript"/>
              </w:rPr>
              <w:t>4</w:t>
            </w:r>
            <w:r w:rsidRPr="00B275E2">
              <w:t xml:space="preserve">/unit </w:t>
            </w:r>
            <w:r w:rsidRPr="00B275E2">
              <w:br/>
              <w:t>(kg CO</w:t>
            </w:r>
            <w:r w:rsidRPr="00B275E2">
              <w:rPr>
                <w:vertAlign w:val="subscript"/>
              </w:rPr>
              <w:t>2</w:t>
            </w:r>
            <w:r w:rsidRPr="00B275E2">
              <w:t>-e)</w:t>
            </w:r>
          </w:p>
        </w:tc>
        <w:tc>
          <w:tcPr>
            <w:tcW w:w="1405" w:type="dxa"/>
            <w:shd w:val="clear" w:color="auto" w:fill="1B556B" w:themeFill="text2"/>
            <w:noWrap/>
            <w:vAlign w:val="bottom"/>
            <w:hideMark/>
          </w:tcPr>
          <w:p w14:paraId="2842BCBB" w14:textId="5EE786D5" w:rsidR="00B276B8" w:rsidRPr="00B275E2" w:rsidRDefault="00622E8B" w:rsidP="00D22BB7">
            <w:pPr>
              <w:pStyle w:val="TableText"/>
              <w:jc w:val="right"/>
              <w:cnfStyle w:val="100000000000" w:firstRow="1" w:lastRow="0" w:firstColumn="0" w:lastColumn="0" w:oddVBand="0" w:evenVBand="0" w:oddHBand="0" w:evenHBand="0" w:firstRowFirstColumn="0" w:firstRowLastColumn="0" w:lastRowFirstColumn="0" w:lastRowLastColumn="0"/>
            </w:pPr>
            <w:r w:rsidRPr="00B275E2">
              <w:t>kg N</w:t>
            </w:r>
            <w:r w:rsidRPr="00B275E2">
              <w:rPr>
                <w:vertAlign w:val="subscript"/>
              </w:rPr>
              <w:t>2</w:t>
            </w:r>
            <w:r w:rsidRPr="00B275E2">
              <w:t xml:space="preserve">O/unit </w:t>
            </w:r>
            <w:r w:rsidRPr="00B275E2">
              <w:br/>
              <w:t>(kg CO</w:t>
            </w:r>
            <w:r w:rsidRPr="00B275E2">
              <w:rPr>
                <w:vertAlign w:val="subscript"/>
              </w:rPr>
              <w:t>2</w:t>
            </w:r>
            <w:r w:rsidRPr="00B275E2">
              <w:t>-e)</w:t>
            </w:r>
          </w:p>
        </w:tc>
      </w:tr>
      <w:tr w:rsidR="00BC7DA0" w:rsidRPr="00B275E2" w14:paraId="7371A65B" w14:textId="77777777" w:rsidTr="00BA1D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Borders>
              <w:left w:val="single" w:sz="4" w:space="0" w:color="FFFFFF" w:themeColor="background1"/>
            </w:tcBorders>
            <w:noWrap/>
            <w:vAlign w:val="bottom"/>
          </w:tcPr>
          <w:p w14:paraId="01E44D51" w14:textId="79655C09" w:rsidR="00F1401F" w:rsidRPr="00A963F0" w:rsidRDefault="00F1401F" w:rsidP="007F0B1E">
            <w:pPr>
              <w:pStyle w:val="TableText"/>
              <w:rPr>
                <w:b w:val="0"/>
                <w:bCs w:val="0"/>
                <w:szCs w:val="18"/>
              </w:rPr>
            </w:pPr>
            <w:r w:rsidRPr="00A963F0">
              <w:rPr>
                <w:b w:val="0"/>
                <w:bCs w:val="0"/>
                <w:szCs w:val="18"/>
              </w:rPr>
              <w:t>2020</w:t>
            </w:r>
          </w:p>
        </w:tc>
        <w:tc>
          <w:tcPr>
            <w:tcW w:w="963" w:type="dxa"/>
            <w:noWrap/>
            <w:vAlign w:val="bottom"/>
          </w:tcPr>
          <w:p w14:paraId="2E76C3B1" w14:textId="4FCCD8FC" w:rsidR="00F1401F" w:rsidRPr="00B275E2" w:rsidRDefault="00F1401F" w:rsidP="007F0B1E">
            <w:pPr>
              <w:pStyle w:val="TableText"/>
              <w:cnfStyle w:val="000000100000" w:firstRow="0" w:lastRow="0" w:firstColumn="0" w:lastColumn="0" w:oddVBand="0" w:evenVBand="0" w:oddHBand="1" w:evenHBand="0" w:firstRowFirstColumn="0" w:firstRowLastColumn="0" w:lastRowFirstColumn="0" w:lastRowLastColumn="0"/>
              <w:rPr>
                <w:szCs w:val="18"/>
              </w:rPr>
            </w:pPr>
            <w:r w:rsidRPr="00B275E2">
              <w:rPr>
                <w:szCs w:val="18"/>
              </w:rPr>
              <w:t>kWh</w:t>
            </w:r>
          </w:p>
        </w:tc>
        <w:tc>
          <w:tcPr>
            <w:tcW w:w="1404" w:type="dxa"/>
            <w:shd w:val="clear" w:color="auto" w:fill="D2DDE1" w:themeFill="background2"/>
            <w:noWrap/>
            <w:vAlign w:val="bottom"/>
          </w:tcPr>
          <w:p w14:paraId="1D3E17AD" w14:textId="539A54CB" w:rsidR="00F1401F" w:rsidRPr="00B275E2" w:rsidRDefault="005266BB" w:rsidP="007F0B1E">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Pr>
                <w:rFonts w:cs="Calibri"/>
                <w:szCs w:val="18"/>
              </w:rPr>
              <w:t>0.120</w:t>
            </w:r>
          </w:p>
        </w:tc>
        <w:tc>
          <w:tcPr>
            <w:tcW w:w="1404" w:type="dxa"/>
            <w:shd w:val="clear" w:color="auto" w:fill="auto"/>
            <w:noWrap/>
            <w:vAlign w:val="bottom"/>
          </w:tcPr>
          <w:p w14:paraId="721EFF11" w14:textId="666BC192" w:rsidR="00F1401F" w:rsidRPr="00B275E2" w:rsidRDefault="00A55D1B" w:rsidP="007F0B1E">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Pr>
                <w:rFonts w:cs="Calibri"/>
                <w:szCs w:val="18"/>
              </w:rPr>
              <w:t>0.117</w:t>
            </w:r>
          </w:p>
        </w:tc>
        <w:tc>
          <w:tcPr>
            <w:tcW w:w="1404" w:type="dxa"/>
            <w:shd w:val="clear" w:color="auto" w:fill="auto"/>
            <w:noWrap/>
            <w:vAlign w:val="bottom"/>
          </w:tcPr>
          <w:p w14:paraId="2A2C2A5C" w14:textId="5E3FBF99" w:rsidR="00F1401F" w:rsidRPr="00B275E2" w:rsidRDefault="002569DB" w:rsidP="007F0B1E">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Pr>
                <w:rFonts w:cs="Calibri"/>
                <w:szCs w:val="18"/>
              </w:rPr>
              <w:t>0.00</w:t>
            </w:r>
            <w:r w:rsidR="00920759">
              <w:rPr>
                <w:rFonts w:cs="Calibri"/>
                <w:szCs w:val="18"/>
              </w:rPr>
              <w:t>28</w:t>
            </w:r>
          </w:p>
        </w:tc>
        <w:tc>
          <w:tcPr>
            <w:tcW w:w="1405" w:type="dxa"/>
            <w:tcBorders>
              <w:right w:val="single" w:sz="4" w:space="0" w:color="FFFFFF" w:themeColor="background1"/>
            </w:tcBorders>
            <w:shd w:val="clear" w:color="auto" w:fill="auto"/>
            <w:noWrap/>
            <w:vAlign w:val="bottom"/>
          </w:tcPr>
          <w:p w14:paraId="7B61D692" w14:textId="3DD3F0C8" w:rsidR="00F1401F" w:rsidRPr="00B275E2" w:rsidRDefault="002569DB" w:rsidP="007F0B1E">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Pr>
                <w:rFonts w:cs="Calibri"/>
                <w:szCs w:val="18"/>
              </w:rPr>
              <w:t>0.000</w:t>
            </w:r>
            <w:r w:rsidR="009D361F">
              <w:rPr>
                <w:rFonts w:cs="Calibri"/>
                <w:szCs w:val="18"/>
              </w:rPr>
              <w:t>2</w:t>
            </w:r>
          </w:p>
        </w:tc>
      </w:tr>
      <w:tr w:rsidR="00BC7DA0" w:rsidRPr="00B275E2" w14:paraId="006DCD1B" w14:textId="77777777" w:rsidTr="00BA1D42">
        <w:tc>
          <w:tcPr>
            <w:cnfStyle w:val="001000000000" w:firstRow="0" w:lastRow="0" w:firstColumn="1" w:lastColumn="0" w:oddVBand="0" w:evenVBand="0" w:oddHBand="0" w:evenHBand="0" w:firstRowFirstColumn="0" w:firstRowLastColumn="0" w:lastRowFirstColumn="0" w:lastRowLastColumn="0"/>
            <w:tcW w:w="1925" w:type="dxa"/>
            <w:tcBorders>
              <w:left w:val="single" w:sz="4" w:space="0" w:color="FFFFFF" w:themeColor="background1"/>
            </w:tcBorders>
            <w:noWrap/>
            <w:vAlign w:val="bottom"/>
          </w:tcPr>
          <w:p w14:paraId="630FE853" w14:textId="205694E6" w:rsidR="00F1401F" w:rsidRPr="00A963F0" w:rsidRDefault="00F1401F" w:rsidP="007F0B1E">
            <w:pPr>
              <w:pStyle w:val="TableText"/>
              <w:rPr>
                <w:b w:val="0"/>
                <w:bCs w:val="0"/>
                <w:szCs w:val="18"/>
              </w:rPr>
            </w:pPr>
            <w:r w:rsidRPr="00A963F0">
              <w:rPr>
                <w:b w:val="0"/>
                <w:bCs w:val="0"/>
                <w:szCs w:val="18"/>
              </w:rPr>
              <w:t>2019</w:t>
            </w:r>
          </w:p>
        </w:tc>
        <w:tc>
          <w:tcPr>
            <w:tcW w:w="963" w:type="dxa"/>
            <w:noWrap/>
            <w:vAlign w:val="bottom"/>
          </w:tcPr>
          <w:p w14:paraId="7450AA1E" w14:textId="618370AC" w:rsidR="00F1401F" w:rsidRPr="00B275E2" w:rsidRDefault="00F1401F" w:rsidP="007F0B1E">
            <w:pPr>
              <w:pStyle w:val="TableText"/>
              <w:cnfStyle w:val="000000000000" w:firstRow="0" w:lastRow="0" w:firstColumn="0" w:lastColumn="0" w:oddVBand="0" w:evenVBand="0" w:oddHBand="0" w:evenHBand="0" w:firstRowFirstColumn="0" w:firstRowLastColumn="0" w:lastRowFirstColumn="0" w:lastRowLastColumn="0"/>
              <w:rPr>
                <w:szCs w:val="18"/>
              </w:rPr>
            </w:pPr>
            <w:r w:rsidRPr="00B275E2">
              <w:rPr>
                <w:szCs w:val="18"/>
              </w:rPr>
              <w:t>kWh</w:t>
            </w:r>
          </w:p>
        </w:tc>
        <w:tc>
          <w:tcPr>
            <w:tcW w:w="1404" w:type="dxa"/>
            <w:shd w:val="clear" w:color="auto" w:fill="D2DDE1" w:themeFill="background2"/>
            <w:noWrap/>
            <w:vAlign w:val="bottom"/>
          </w:tcPr>
          <w:p w14:paraId="559B254D" w14:textId="3297E2B7" w:rsidR="00F1401F" w:rsidRPr="00B275E2" w:rsidRDefault="005266BB" w:rsidP="007F0B1E">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Pr>
                <w:rFonts w:cs="Calibri"/>
                <w:szCs w:val="18"/>
              </w:rPr>
              <w:t>0.110</w:t>
            </w:r>
          </w:p>
        </w:tc>
        <w:tc>
          <w:tcPr>
            <w:tcW w:w="1404" w:type="dxa"/>
            <w:shd w:val="clear" w:color="auto" w:fill="auto"/>
            <w:noWrap/>
            <w:vAlign w:val="bottom"/>
          </w:tcPr>
          <w:p w14:paraId="3BF2E419" w14:textId="1C7AF0E7" w:rsidR="00F1401F" w:rsidRPr="00B275E2" w:rsidRDefault="00A55D1B" w:rsidP="007F0B1E">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Pr>
                <w:rFonts w:cs="Calibri"/>
                <w:szCs w:val="18"/>
              </w:rPr>
              <w:t>0.107</w:t>
            </w:r>
          </w:p>
        </w:tc>
        <w:tc>
          <w:tcPr>
            <w:tcW w:w="1404" w:type="dxa"/>
            <w:shd w:val="clear" w:color="auto" w:fill="auto"/>
            <w:noWrap/>
            <w:vAlign w:val="bottom"/>
          </w:tcPr>
          <w:p w14:paraId="702566D9" w14:textId="69B6CCAC" w:rsidR="00F1401F" w:rsidRPr="00B275E2" w:rsidRDefault="002569DB" w:rsidP="007F0B1E">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Pr>
                <w:rFonts w:cs="Calibri"/>
                <w:szCs w:val="18"/>
              </w:rPr>
              <w:t>0.00</w:t>
            </w:r>
            <w:r w:rsidR="00920759">
              <w:rPr>
                <w:rFonts w:cs="Calibri"/>
                <w:szCs w:val="18"/>
              </w:rPr>
              <w:t>29</w:t>
            </w:r>
          </w:p>
        </w:tc>
        <w:tc>
          <w:tcPr>
            <w:tcW w:w="1405" w:type="dxa"/>
            <w:tcBorders>
              <w:right w:val="single" w:sz="4" w:space="0" w:color="FFFFFF" w:themeColor="background1"/>
            </w:tcBorders>
            <w:shd w:val="clear" w:color="auto" w:fill="auto"/>
            <w:noWrap/>
            <w:vAlign w:val="bottom"/>
          </w:tcPr>
          <w:p w14:paraId="65E795E1" w14:textId="347C4D9B" w:rsidR="00F1401F" w:rsidRPr="00B275E2" w:rsidRDefault="002569DB" w:rsidP="007F0B1E">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Pr>
                <w:rFonts w:cs="Calibri"/>
                <w:szCs w:val="18"/>
              </w:rPr>
              <w:t>0.000</w:t>
            </w:r>
            <w:r w:rsidR="009D361F">
              <w:rPr>
                <w:rFonts w:cs="Calibri"/>
                <w:szCs w:val="18"/>
              </w:rPr>
              <w:t>2</w:t>
            </w:r>
          </w:p>
        </w:tc>
      </w:tr>
      <w:tr w:rsidR="00A37FF9" w:rsidRPr="00B275E2" w14:paraId="51D6CB69" w14:textId="77777777" w:rsidTr="00BA1D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Borders>
              <w:left w:val="single" w:sz="4" w:space="0" w:color="FFFFFF" w:themeColor="background1"/>
            </w:tcBorders>
            <w:noWrap/>
            <w:vAlign w:val="bottom"/>
            <w:hideMark/>
          </w:tcPr>
          <w:p w14:paraId="2B9D6727" w14:textId="592CBC1A" w:rsidR="00A37FF9" w:rsidRPr="00A963F0" w:rsidRDefault="00A37FF9" w:rsidP="007F0B1E">
            <w:pPr>
              <w:pStyle w:val="TableText"/>
              <w:rPr>
                <w:b w:val="0"/>
                <w:bCs w:val="0"/>
                <w:szCs w:val="18"/>
              </w:rPr>
            </w:pPr>
            <w:r w:rsidRPr="00A963F0">
              <w:rPr>
                <w:b w:val="0"/>
                <w:bCs w:val="0"/>
                <w:szCs w:val="18"/>
              </w:rPr>
              <w:t>2018</w:t>
            </w:r>
          </w:p>
        </w:tc>
        <w:tc>
          <w:tcPr>
            <w:tcW w:w="963" w:type="dxa"/>
            <w:noWrap/>
            <w:vAlign w:val="bottom"/>
            <w:hideMark/>
          </w:tcPr>
          <w:p w14:paraId="508B034E" w14:textId="77777777" w:rsidR="00A37FF9" w:rsidRPr="00B275E2" w:rsidRDefault="00A37FF9" w:rsidP="007F0B1E">
            <w:pPr>
              <w:pStyle w:val="TableText"/>
              <w:cnfStyle w:val="000000100000" w:firstRow="0" w:lastRow="0" w:firstColumn="0" w:lastColumn="0" w:oddVBand="0" w:evenVBand="0" w:oddHBand="1" w:evenHBand="0" w:firstRowFirstColumn="0" w:firstRowLastColumn="0" w:lastRowFirstColumn="0" w:lastRowLastColumn="0"/>
              <w:rPr>
                <w:szCs w:val="18"/>
              </w:rPr>
            </w:pPr>
            <w:r w:rsidRPr="00B275E2">
              <w:rPr>
                <w:szCs w:val="18"/>
              </w:rPr>
              <w:t>kWh</w:t>
            </w:r>
          </w:p>
        </w:tc>
        <w:tc>
          <w:tcPr>
            <w:tcW w:w="1404" w:type="dxa"/>
            <w:shd w:val="clear" w:color="auto" w:fill="D2DDE1" w:themeFill="background2"/>
            <w:noWrap/>
            <w:vAlign w:val="bottom"/>
          </w:tcPr>
          <w:p w14:paraId="000AB3C3" w14:textId="433064CD" w:rsidR="00A37FF9" w:rsidRPr="00B275E2" w:rsidRDefault="005266BB" w:rsidP="007F0B1E">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Pr>
                <w:rFonts w:cs="Calibri"/>
                <w:szCs w:val="18"/>
              </w:rPr>
              <w:t>0.094</w:t>
            </w:r>
          </w:p>
        </w:tc>
        <w:tc>
          <w:tcPr>
            <w:tcW w:w="1404" w:type="dxa"/>
            <w:shd w:val="clear" w:color="auto" w:fill="auto"/>
            <w:noWrap/>
            <w:vAlign w:val="bottom"/>
          </w:tcPr>
          <w:p w14:paraId="359EECF3" w14:textId="78A9A073" w:rsidR="00A37FF9" w:rsidRPr="00B275E2" w:rsidRDefault="00A55D1B" w:rsidP="007F0B1E">
            <w:pPr>
              <w:pStyle w:val="TableText"/>
              <w:jc w:val="right"/>
              <w:cnfStyle w:val="000000100000" w:firstRow="0" w:lastRow="0" w:firstColumn="0" w:lastColumn="0" w:oddVBand="0" w:evenVBand="0" w:oddHBand="1" w:evenHBand="0" w:firstRowFirstColumn="0" w:firstRowLastColumn="0" w:lastRowFirstColumn="0" w:lastRowLastColumn="0"/>
              <w:rPr>
                <w:szCs w:val="18"/>
              </w:rPr>
            </w:pPr>
            <w:bookmarkStart w:id="248" w:name="RANGE!E10"/>
            <w:r>
              <w:rPr>
                <w:rFonts w:cs="Calibri"/>
                <w:szCs w:val="18"/>
              </w:rPr>
              <w:t>0.091</w:t>
            </w:r>
            <w:bookmarkEnd w:id="248"/>
          </w:p>
        </w:tc>
        <w:tc>
          <w:tcPr>
            <w:tcW w:w="1404" w:type="dxa"/>
            <w:shd w:val="clear" w:color="auto" w:fill="auto"/>
            <w:noWrap/>
            <w:vAlign w:val="bottom"/>
          </w:tcPr>
          <w:p w14:paraId="2CF4E718" w14:textId="54F31D01" w:rsidR="00A37FF9" w:rsidRPr="00B275E2" w:rsidRDefault="002569DB" w:rsidP="007F0B1E">
            <w:pPr>
              <w:pStyle w:val="TableText"/>
              <w:jc w:val="right"/>
              <w:cnfStyle w:val="000000100000" w:firstRow="0" w:lastRow="0" w:firstColumn="0" w:lastColumn="0" w:oddVBand="0" w:evenVBand="0" w:oddHBand="1" w:evenHBand="0" w:firstRowFirstColumn="0" w:firstRowLastColumn="0" w:lastRowFirstColumn="0" w:lastRowLastColumn="0"/>
              <w:rPr>
                <w:szCs w:val="18"/>
              </w:rPr>
            </w:pPr>
            <w:bookmarkStart w:id="249" w:name="RANGE!F10"/>
            <w:r>
              <w:rPr>
                <w:rFonts w:cs="Calibri"/>
                <w:szCs w:val="18"/>
              </w:rPr>
              <w:t>0.00</w:t>
            </w:r>
            <w:r w:rsidR="00920759">
              <w:rPr>
                <w:rFonts w:cs="Calibri"/>
                <w:szCs w:val="18"/>
              </w:rPr>
              <w:t>29</w:t>
            </w:r>
            <w:bookmarkEnd w:id="249"/>
          </w:p>
        </w:tc>
        <w:tc>
          <w:tcPr>
            <w:tcW w:w="1405" w:type="dxa"/>
            <w:tcBorders>
              <w:right w:val="single" w:sz="4" w:space="0" w:color="FFFFFF" w:themeColor="background1"/>
            </w:tcBorders>
            <w:shd w:val="clear" w:color="auto" w:fill="auto"/>
            <w:noWrap/>
            <w:vAlign w:val="bottom"/>
          </w:tcPr>
          <w:p w14:paraId="4A524967" w14:textId="11EA5DB1" w:rsidR="00A37FF9" w:rsidRPr="00B275E2" w:rsidRDefault="002569DB" w:rsidP="007F0B1E">
            <w:pPr>
              <w:pStyle w:val="TableText"/>
              <w:jc w:val="right"/>
              <w:cnfStyle w:val="000000100000" w:firstRow="0" w:lastRow="0" w:firstColumn="0" w:lastColumn="0" w:oddVBand="0" w:evenVBand="0" w:oddHBand="1" w:evenHBand="0" w:firstRowFirstColumn="0" w:firstRowLastColumn="0" w:lastRowFirstColumn="0" w:lastRowLastColumn="0"/>
            </w:pPr>
            <w:bookmarkStart w:id="250" w:name="RANGE!G10"/>
            <w:r w:rsidRPr="00DCE289">
              <w:rPr>
                <w:rFonts w:cs="Calibri"/>
              </w:rPr>
              <w:t>0.000</w:t>
            </w:r>
            <w:r w:rsidR="009D361F" w:rsidRPr="00DCE289">
              <w:rPr>
                <w:rFonts w:cs="Calibri"/>
              </w:rPr>
              <w:t>1</w:t>
            </w:r>
            <w:bookmarkEnd w:id="250"/>
          </w:p>
        </w:tc>
      </w:tr>
      <w:tr w:rsidR="00A37FF9" w:rsidRPr="00B275E2" w14:paraId="586F602F" w14:textId="77777777" w:rsidTr="00BA1D42">
        <w:tc>
          <w:tcPr>
            <w:cnfStyle w:val="001000000000" w:firstRow="0" w:lastRow="0" w:firstColumn="1" w:lastColumn="0" w:oddVBand="0" w:evenVBand="0" w:oddHBand="0" w:evenHBand="0" w:firstRowFirstColumn="0" w:firstRowLastColumn="0" w:lastRowFirstColumn="0" w:lastRowLastColumn="0"/>
            <w:tcW w:w="1925" w:type="dxa"/>
            <w:tcBorders>
              <w:left w:val="single" w:sz="4" w:space="0" w:color="FFFFFF" w:themeColor="background1"/>
            </w:tcBorders>
            <w:noWrap/>
            <w:vAlign w:val="bottom"/>
          </w:tcPr>
          <w:p w14:paraId="73030B68" w14:textId="6C69CC5B" w:rsidR="00A37FF9" w:rsidRPr="00A963F0" w:rsidRDefault="00A37FF9" w:rsidP="007F0B1E">
            <w:pPr>
              <w:pStyle w:val="TableText"/>
              <w:rPr>
                <w:b w:val="0"/>
                <w:bCs w:val="0"/>
                <w:szCs w:val="18"/>
              </w:rPr>
            </w:pPr>
            <w:r w:rsidRPr="00A963F0">
              <w:rPr>
                <w:b w:val="0"/>
                <w:bCs w:val="0"/>
                <w:szCs w:val="18"/>
              </w:rPr>
              <w:t>2017</w:t>
            </w:r>
          </w:p>
        </w:tc>
        <w:tc>
          <w:tcPr>
            <w:tcW w:w="963" w:type="dxa"/>
            <w:noWrap/>
            <w:vAlign w:val="bottom"/>
          </w:tcPr>
          <w:p w14:paraId="56D99CB3" w14:textId="73DCE7DC" w:rsidR="00A37FF9" w:rsidRPr="00B275E2" w:rsidRDefault="00A37FF9" w:rsidP="007F0B1E">
            <w:pPr>
              <w:pStyle w:val="TableText"/>
              <w:cnfStyle w:val="000000000000" w:firstRow="0" w:lastRow="0" w:firstColumn="0" w:lastColumn="0" w:oddVBand="0" w:evenVBand="0" w:oddHBand="0" w:evenHBand="0" w:firstRowFirstColumn="0" w:firstRowLastColumn="0" w:lastRowFirstColumn="0" w:lastRowLastColumn="0"/>
              <w:rPr>
                <w:szCs w:val="18"/>
              </w:rPr>
            </w:pPr>
            <w:r w:rsidRPr="00B275E2">
              <w:rPr>
                <w:szCs w:val="18"/>
              </w:rPr>
              <w:t>kWh</w:t>
            </w:r>
          </w:p>
        </w:tc>
        <w:tc>
          <w:tcPr>
            <w:tcW w:w="1404" w:type="dxa"/>
            <w:shd w:val="clear" w:color="auto" w:fill="D2DDE1" w:themeFill="background2"/>
            <w:noWrap/>
            <w:vAlign w:val="bottom"/>
          </w:tcPr>
          <w:p w14:paraId="755D6C0C" w14:textId="3625AB70" w:rsidR="00A37FF9" w:rsidRPr="00B275E2" w:rsidRDefault="005266BB" w:rsidP="007F0B1E">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Pr>
                <w:rFonts w:cs="Calibri"/>
                <w:szCs w:val="18"/>
              </w:rPr>
              <w:t>0.099</w:t>
            </w:r>
          </w:p>
        </w:tc>
        <w:tc>
          <w:tcPr>
            <w:tcW w:w="1404" w:type="dxa"/>
            <w:shd w:val="clear" w:color="auto" w:fill="auto"/>
            <w:noWrap/>
            <w:vAlign w:val="bottom"/>
          </w:tcPr>
          <w:p w14:paraId="1C06ED37" w14:textId="1A6EE0AE" w:rsidR="00A37FF9" w:rsidRPr="00B275E2" w:rsidRDefault="00A55D1B" w:rsidP="007F0B1E">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Pr>
                <w:rFonts w:cs="Calibri"/>
                <w:szCs w:val="18"/>
              </w:rPr>
              <w:t>0.096</w:t>
            </w:r>
          </w:p>
        </w:tc>
        <w:tc>
          <w:tcPr>
            <w:tcW w:w="1404" w:type="dxa"/>
            <w:shd w:val="clear" w:color="auto" w:fill="auto"/>
            <w:noWrap/>
            <w:vAlign w:val="bottom"/>
          </w:tcPr>
          <w:p w14:paraId="50C71D56" w14:textId="71D81028" w:rsidR="00A37FF9" w:rsidRPr="00B275E2" w:rsidRDefault="002569DB" w:rsidP="007F0B1E">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Pr>
                <w:rFonts w:cs="Calibri"/>
                <w:szCs w:val="18"/>
              </w:rPr>
              <w:t>0.00</w:t>
            </w:r>
            <w:r w:rsidR="00920759">
              <w:rPr>
                <w:rFonts w:cs="Calibri"/>
                <w:szCs w:val="18"/>
              </w:rPr>
              <w:t>33</w:t>
            </w:r>
          </w:p>
        </w:tc>
        <w:tc>
          <w:tcPr>
            <w:tcW w:w="1405" w:type="dxa"/>
            <w:tcBorders>
              <w:right w:val="single" w:sz="4" w:space="0" w:color="FFFFFF" w:themeColor="background1"/>
            </w:tcBorders>
            <w:shd w:val="clear" w:color="auto" w:fill="auto"/>
            <w:noWrap/>
            <w:vAlign w:val="bottom"/>
          </w:tcPr>
          <w:p w14:paraId="01BD5B97" w14:textId="145EC9C6" w:rsidR="00A37FF9" w:rsidRPr="00B275E2" w:rsidRDefault="00651B19" w:rsidP="007F0B1E">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rFonts w:cs="Calibri"/>
                <w:szCs w:val="18"/>
              </w:rPr>
              <w:t>0.000</w:t>
            </w:r>
            <w:r w:rsidR="00FD0858">
              <w:rPr>
                <w:rFonts w:cs="Calibri"/>
                <w:szCs w:val="18"/>
              </w:rPr>
              <w:t>1</w:t>
            </w:r>
          </w:p>
        </w:tc>
      </w:tr>
      <w:tr w:rsidR="00A37FF9" w:rsidRPr="00B275E2" w14:paraId="5BD0290B" w14:textId="77777777" w:rsidTr="00BA1D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Borders>
              <w:left w:val="single" w:sz="4" w:space="0" w:color="FFFFFF" w:themeColor="background1"/>
            </w:tcBorders>
            <w:noWrap/>
            <w:vAlign w:val="bottom"/>
          </w:tcPr>
          <w:p w14:paraId="444A6BE3" w14:textId="3D34D882" w:rsidR="00A37FF9" w:rsidRPr="00A963F0" w:rsidRDefault="00A37FF9" w:rsidP="007F0B1E">
            <w:pPr>
              <w:pStyle w:val="TableText"/>
              <w:rPr>
                <w:b w:val="0"/>
                <w:bCs w:val="0"/>
                <w:szCs w:val="18"/>
              </w:rPr>
            </w:pPr>
            <w:r w:rsidRPr="00A963F0">
              <w:rPr>
                <w:b w:val="0"/>
                <w:bCs w:val="0"/>
                <w:szCs w:val="18"/>
              </w:rPr>
              <w:t>2016</w:t>
            </w:r>
          </w:p>
        </w:tc>
        <w:tc>
          <w:tcPr>
            <w:tcW w:w="963" w:type="dxa"/>
            <w:noWrap/>
            <w:vAlign w:val="bottom"/>
          </w:tcPr>
          <w:p w14:paraId="7619B0CA" w14:textId="26665EB5" w:rsidR="00A37FF9" w:rsidRPr="00B275E2" w:rsidRDefault="00A37FF9" w:rsidP="007F0B1E">
            <w:pPr>
              <w:pStyle w:val="TableText"/>
              <w:cnfStyle w:val="000000100000" w:firstRow="0" w:lastRow="0" w:firstColumn="0" w:lastColumn="0" w:oddVBand="0" w:evenVBand="0" w:oddHBand="1" w:evenHBand="0" w:firstRowFirstColumn="0" w:firstRowLastColumn="0" w:lastRowFirstColumn="0" w:lastRowLastColumn="0"/>
              <w:rPr>
                <w:szCs w:val="18"/>
              </w:rPr>
            </w:pPr>
            <w:r w:rsidRPr="00B275E2">
              <w:rPr>
                <w:szCs w:val="18"/>
              </w:rPr>
              <w:t>kWh</w:t>
            </w:r>
          </w:p>
        </w:tc>
        <w:tc>
          <w:tcPr>
            <w:tcW w:w="1404" w:type="dxa"/>
            <w:shd w:val="clear" w:color="auto" w:fill="D2DDE1" w:themeFill="background2"/>
            <w:noWrap/>
            <w:vAlign w:val="bottom"/>
          </w:tcPr>
          <w:p w14:paraId="52A0209B" w14:textId="58D5942C" w:rsidR="00A37FF9" w:rsidRPr="00B275E2" w:rsidRDefault="005266BB" w:rsidP="007F0B1E">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Pr>
                <w:rFonts w:cs="Calibri"/>
                <w:szCs w:val="18"/>
              </w:rPr>
              <w:t>0.088</w:t>
            </w:r>
          </w:p>
        </w:tc>
        <w:tc>
          <w:tcPr>
            <w:tcW w:w="1404" w:type="dxa"/>
            <w:shd w:val="clear" w:color="auto" w:fill="auto"/>
            <w:noWrap/>
            <w:vAlign w:val="bottom"/>
          </w:tcPr>
          <w:p w14:paraId="640FB173" w14:textId="572B4B4D" w:rsidR="00A37FF9" w:rsidRPr="00B275E2" w:rsidRDefault="00A55D1B" w:rsidP="007F0B1E">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Pr>
                <w:rFonts w:cs="Calibri"/>
                <w:szCs w:val="18"/>
              </w:rPr>
              <w:t>0.084</w:t>
            </w:r>
          </w:p>
        </w:tc>
        <w:tc>
          <w:tcPr>
            <w:tcW w:w="1404" w:type="dxa"/>
            <w:shd w:val="clear" w:color="auto" w:fill="auto"/>
            <w:noWrap/>
            <w:vAlign w:val="bottom"/>
          </w:tcPr>
          <w:p w14:paraId="49176C22" w14:textId="5F13A244" w:rsidR="00A37FF9" w:rsidRPr="00B275E2" w:rsidRDefault="002569DB" w:rsidP="007F0B1E">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Pr>
                <w:rFonts w:cs="Calibri"/>
                <w:szCs w:val="18"/>
              </w:rPr>
              <w:t>0.00</w:t>
            </w:r>
            <w:r w:rsidR="00920759">
              <w:rPr>
                <w:rFonts w:cs="Calibri"/>
                <w:szCs w:val="18"/>
              </w:rPr>
              <w:t>36</w:t>
            </w:r>
          </w:p>
        </w:tc>
        <w:tc>
          <w:tcPr>
            <w:tcW w:w="1405" w:type="dxa"/>
            <w:tcBorders>
              <w:right w:val="single" w:sz="4" w:space="0" w:color="FFFFFF" w:themeColor="background1"/>
            </w:tcBorders>
            <w:shd w:val="clear" w:color="auto" w:fill="auto"/>
            <w:noWrap/>
            <w:vAlign w:val="bottom"/>
          </w:tcPr>
          <w:p w14:paraId="229C28A6" w14:textId="74546977" w:rsidR="00A37FF9" w:rsidRPr="00B275E2" w:rsidRDefault="00651B19" w:rsidP="007F0B1E">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Pr>
                <w:rFonts w:cs="Calibri"/>
                <w:szCs w:val="18"/>
              </w:rPr>
              <w:t>0.000</w:t>
            </w:r>
            <w:r w:rsidR="00FD0858">
              <w:rPr>
                <w:rFonts w:cs="Calibri"/>
                <w:szCs w:val="18"/>
              </w:rPr>
              <w:t>1</w:t>
            </w:r>
          </w:p>
        </w:tc>
      </w:tr>
      <w:tr w:rsidR="00A37FF9" w:rsidRPr="00B275E2" w14:paraId="1BD5D66A" w14:textId="77777777" w:rsidTr="00BA1D42">
        <w:tc>
          <w:tcPr>
            <w:cnfStyle w:val="001000000000" w:firstRow="0" w:lastRow="0" w:firstColumn="1" w:lastColumn="0" w:oddVBand="0" w:evenVBand="0" w:oddHBand="0" w:evenHBand="0" w:firstRowFirstColumn="0" w:firstRowLastColumn="0" w:lastRowFirstColumn="0" w:lastRowLastColumn="0"/>
            <w:tcW w:w="1925" w:type="dxa"/>
            <w:tcBorders>
              <w:left w:val="single" w:sz="4" w:space="0" w:color="FFFFFF" w:themeColor="background1"/>
            </w:tcBorders>
            <w:noWrap/>
            <w:vAlign w:val="bottom"/>
          </w:tcPr>
          <w:p w14:paraId="6FB82368" w14:textId="1807C9D2" w:rsidR="00A37FF9" w:rsidRPr="00A963F0" w:rsidRDefault="00A37FF9" w:rsidP="007F0B1E">
            <w:pPr>
              <w:pStyle w:val="TableText"/>
              <w:rPr>
                <w:b w:val="0"/>
                <w:bCs w:val="0"/>
                <w:szCs w:val="18"/>
              </w:rPr>
            </w:pPr>
            <w:r w:rsidRPr="00A963F0">
              <w:rPr>
                <w:b w:val="0"/>
                <w:bCs w:val="0"/>
                <w:szCs w:val="18"/>
              </w:rPr>
              <w:t>2015</w:t>
            </w:r>
          </w:p>
        </w:tc>
        <w:tc>
          <w:tcPr>
            <w:tcW w:w="963" w:type="dxa"/>
            <w:noWrap/>
            <w:vAlign w:val="bottom"/>
          </w:tcPr>
          <w:p w14:paraId="06332F17" w14:textId="19345EDC" w:rsidR="00A37FF9" w:rsidRPr="00B275E2" w:rsidRDefault="00A37FF9" w:rsidP="007F0B1E">
            <w:pPr>
              <w:pStyle w:val="TableText"/>
              <w:cnfStyle w:val="000000000000" w:firstRow="0" w:lastRow="0" w:firstColumn="0" w:lastColumn="0" w:oddVBand="0" w:evenVBand="0" w:oddHBand="0" w:evenHBand="0" w:firstRowFirstColumn="0" w:firstRowLastColumn="0" w:lastRowFirstColumn="0" w:lastRowLastColumn="0"/>
              <w:rPr>
                <w:szCs w:val="18"/>
              </w:rPr>
            </w:pPr>
            <w:r w:rsidRPr="00B275E2">
              <w:rPr>
                <w:szCs w:val="18"/>
              </w:rPr>
              <w:t>kWh</w:t>
            </w:r>
          </w:p>
        </w:tc>
        <w:tc>
          <w:tcPr>
            <w:tcW w:w="1404" w:type="dxa"/>
            <w:shd w:val="clear" w:color="auto" w:fill="D2DDE1" w:themeFill="background2"/>
            <w:noWrap/>
            <w:vAlign w:val="bottom"/>
          </w:tcPr>
          <w:p w14:paraId="74A244D1" w14:textId="00FC0DB1" w:rsidR="00A37FF9" w:rsidRPr="00B275E2" w:rsidRDefault="005266BB" w:rsidP="007F0B1E">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Pr>
                <w:rFonts w:cs="Calibri"/>
                <w:szCs w:val="18"/>
              </w:rPr>
              <w:t>0.112</w:t>
            </w:r>
          </w:p>
        </w:tc>
        <w:tc>
          <w:tcPr>
            <w:tcW w:w="1404" w:type="dxa"/>
            <w:shd w:val="clear" w:color="auto" w:fill="auto"/>
            <w:noWrap/>
            <w:vAlign w:val="bottom"/>
          </w:tcPr>
          <w:p w14:paraId="1037005D" w14:textId="6B80F268" w:rsidR="00A37FF9" w:rsidRPr="00B275E2" w:rsidRDefault="00A55D1B" w:rsidP="007F0B1E">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Pr>
                <w:rFonts w:cs="Calibri"/>
                <w:szCs w:val="18"/>
              </w:rPr>
              <w:t>0.108</w:t>
            </w:r>
          </w:p>
        </w:tc>
        <w:tc>
          <w:tcPr>
            <w:tcW w:w="1404" w:type="dxa"/>
            <w:shd w:val="clear" w:color="auto" w:fill="auto"/>
            <w:noWrap/>
            <w:vAlign w:val="bottom"/>
          </w:tcPr>
          <w:p w14:paraId="29159BC5" w14:textId="79147F72" w:rsidR="00A37FF9" w:rsidRPr="00B275E2" w:rsidRDefault="002569DB" w:rsidP="007F0B1E">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Pr>
                <w:rFonts w:cs="Calibri"/>
                <w:szCs w:val="18"/>
              </w:rPr>
              <w:t>0.00</w:t>
            </w:r>
            <w:r w:rsidR="00920759">
              <w:rPr>
                <w:rFonts w:cs="Calibri"/>
                <w:szCs w:val="18"/>
              </w:rPr>
              <w:t>39</w:t>
            </w:r>
          </w:p>
        </w:tc>
        <w:tc>
          <w:tcPr>
            <w:tcW w:w="1405" w:type="dxa"/>
            <w:tcBorders>
              <w:right w:val="single" w:sz="4" w:space="0" w:color="FFFFFF" w:themeColor="background1"/>
            </w:tcBorders>
            <w:shd w:val="clear" w:color="auto" w:fill="auto"/>
            <w:noWrap/>
            <w:vAlign w:val="bottom"/>
          </w:tcPr>
          <w:p w14:paraId="3D059FF2" w14:textId="54AC9771" w:rsidR="00A37FF9" w:rsidRPr="00B275E2" w:rsidRDefault="00651B19" w:rsidP="007F0B1E">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rFonts w:cs="Calibri"/>
                <w:szCs w:val="18"/>
              </w:rPr>
              <w:t>0.000</w:t>
            </w:r>
            <w:r w:rsidR="009D361F">
              <w:rPr>
                <w:rFonts w:cs="Calibri"/>
                <w:szCs w:val="18"/>
              </w:rPr>
              <w:t>2</w:t>
            </w:r>
          </w:p>
        </w:tc>
      </w:tr>
      <w:tr w:rsidR="00A37FF9" w:rsidRPr="00B275E2" w14:paraId="07B424F4" w14:textId="77777777" w:rsidTr="00BA1D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Borders>
              <w:left w:val="single" w:sz="4" w:space="0" w:color="FFFFFF" w:themeColor="background1"/>
            </w:tcBorders>
            <w:noWrap/>
            <w:vAlign w:val="bottom"/>
          </w:tcPr>
          <w:p w14:paraId="5911A000" w14:textId="2F24B1C1" w:rsidR="00A37FF9" w:rsidRPr="00A963F0" w:rsidRDefault="00A37FF9" w:rsidP="007F0B1E">
            <w:pPr>
              <w:pStyle w:val="TableText"/>
              <w:rPr>
                <w:b w:val="0"/>
                <w:bCs w:val="0"/>
                <w:szCs w:val="18"/>
              </w:rPr>
            </w:pPr>
            <w:r w:rsidRPr="00A963F0">
              <w:rPr>
                <w:b w:val="0"/>
                <w:bCs w:val="0"/>
                <w:szCs w:val="18"/>
              </w:rPr>
              <w:t>2014</w:t>
            </w:r>
          </w:p>
        </w:tc>
        <w:tc>
          <w:tcPr>
            <w:tcW w:w="963" w:type="dxa"/>
            <w:noWrap/>
            <w:vAlign w:val="bottom"/>
          </w:tcPr>
          <w:p w14:paraId="1433F905" w14:textId="4FB137AB" w:rsidR="00A37FF9" w:rsidRPr="00B275E2" w:rsidRDefault="00A37FF9" w:rsidP="007F0B1E">
            <w:pPr>
              <w:pStyle w:val="TableText"/>
              <w:cnfStyle w:val="000000100000" w:firstRow="0" w:lastRow="0" w:firstColumn="0" w:lastColumn="0" w:oddVBand="0" w:evenVBand="0" w:oddHBand="1" w:evenHBand="0" w:firstRowFirstColumn="0" w:firstRowLastColumn="0" w:lastRowFirstColumn="0" w:lastRowLastColumn="0"/>
              <w:rPr>
                <w:szCs w:val="18"/>
              </w:rPr>
            </w:pPr>
            <w:r w:rsidRPr="00B275E2">
              <w:rPr>
                <w:szCs w:val="18"/>
              </w:rPr>
              <w:t>kWh</w:t>
            </w:r>
          </w:p>
        </w:tc>
        <w:tc>
          <w:tcPr>
            <w:tcW w:w="1404" w:type="dxa"/>
            <w:shd w:val="clear" w:color="auto" w:fill="D2DDE1" w:themeFill="background2"/>
            <w:noWrap/>
            <w:vAlign w:val="bottom"/>
          </w:tcPr>
          <w:p w14:paraId="28E4E034" w14:textId="4727C2BB" w:rsidR="00A37FF9" w:rsidRPr="00B275E2" w:rsidRDefault="005266BB" w:rsidP="007F0B1E">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Pr>
                <w:rFonts w:cs="Calibri"/>
                <w:szCs w:val="18"/>
              </w:rPr>
              <w:t>0.118</w:t>
            </w:r>
          </w:p>
        </w:tc>
        <w:tc>
          <w:tcPr>
            <w:tcW w:w="1404" w:type="dxa"/>
            <w:shd w:val="clear" w:color="auto" w:fill="auto"/>
            <w:noWrap/>
            <w:vAlign w:val="bottom"/>
          </w:tcPr>
          <w:p w14:paraId="6F79E4E2" w14:textId="1DABAAE9" w:rsidR="00A37FF9" w:rsidRPr="00B275E2" w:rsidRDefault="00A55D1B" w:rsidP="007F0B1E">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Pr>
                <w:rFonts w:cs="Calibri"/>
                <w:szCs w:val="18"/>
              </w:rPr>
              <w:t>0.114</w:t>
            </w:r>
          </w:p>
        </w:tc>
        <w:tc>
          <w:tcPr>
            <w:tcW w:w="1404" w:type="dxa"/>
            <w:shd w:val="clear" w:color="auto" w:fill="auto"/>
            <w:noWrap/>
            <w:vAlign w:val="bottom"/>
          </w:tcPr>
          <w:p w14:paraId="324EA292" w14:textId="5EECB8B2" w:rsidR="00A37FF9" w:rsidRPr="00B275E2" w:rsidRDefault="002569DB" w:rsidP="007F0B1E">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Pr>
                <w:rFonts w:cs="Calibri"/>
                <w:szCs w:val="18"/>
              </w:rPr>
              <w:t>0.00</w:t>
            </w:r>
            <w:r w:rsidR="00920759">
              <w:rPr>
                <w:rFonts w:cs="Calibri"/>
                <w:szCs w:val="18"/>
              </w:rPr>
              <w:t>37</w:t>
            </w:r>
          </w:p>
        </w:tc>
        <w:tc>
          <w:tcPr>
            <w:tcW w:w="1405" w:type="dxa"/>
            <w:tcBorders>
              <w:right w:val="single" w:sz="4" w:space="0" w:color="FFFFFF" w:themeColor="background1"/>
            </w:tcBorders>
            <w:shd w:val="clear" w:color="auto" w:fill="auto"/>
            <w:noWrap/>
            <w:vAlign w:val="bottom"/>
          </w:tcPr>
          <w:p w14:paraId="0DBF873F" w14:textId="7F13F74A" w:rsidR="00A37FF9" w:rsidRPr="00B275E2" w:rsidRDefault="00651B19" w:rsidP="007F0B1E">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Pr>
                <w:rFonts w:cs="Calibri"/>
                <w:szCs w:val="18"/>
              </w:rPr>
              <w:t>0.000</w:t>
            </w:r>
            <w:r w:rsidR="00A43484">
              <w:rPr>
                <w:rFonts w:cs="Calibri"/>
                <w:szCs w:val="18"/>
              </w:rPr>
              <w:t>2</w:t>
            </w:r>
          </w:p>
        </w:tc>
      </w:tr>
      <w:tr w:rsidR="00A37FF9" w:rsidRPr="00B275E2" w14:paraId="73AEE369" w14:textId="77777777" w:rsidTr="00BA1D42">
        <w:tc>
          <w:tcPr>
            <w:cnfStyle w:val="001000000000" w:firstRow="0" w:lastRow="0" w:firstColumn="1" w:lastColumn="0" w:oddVBand="0" w:evenVBand="0" w:oddHBand="0" w:evenHBand="0" w:firstRowFirstColumn="0" w:firstRowLastColumn="0" w:lastRowFirstColumn="0" w:lastRowLastColumn="0"/>
            <w:tcW w:w="1925" w:type="dxa"/>
            <w:tcBorders>
              <w:left w:val="single" w:sz="4" w:space="0" w:color="FFFFFF" w:themeColor="background1"/>
            </w:tcBorders>
            <w:noWrap/>
            <w:vAlign w:val="bottom"/>
          </w:tcPr>
          <w:p w14:paraId="6852DEB9" w14:textId="02876466" w:rsidR="00A37FF9" w:rsidRPr="00A963F0" w:rsidRDefault="00A37FF9" w:rsidP="007F0B1E">
            <w:pPr>
              <w:pStyle w:val="TableText"/>
              <w:rPr>
                <w:b w:val="0"/>
                <w:bCs w:val="0"/>
                <w:szCs w:val="18"/>
              </w:rPr>
            </w:pPr>
            <w:r w:rsidRPr="00A963F0">
              <w:rPr>
                <w:b w:val="0"/>
                <w:bCs w:val="0"/>
                <w:szCs w:val="18"/>
              </w:rPr>
              <w:t>2013</w:t>
            </w:r>
          </w:p>
        </w:tc>
        <w:tc>
          <w:tcPr>
            <w:tcW w:w="963" w:type="dxa"/>
            <w:noWrap/>
            <w:vAlign w:val="bottom"/>
          </w:tcPr>
          <w:p w14:paraId="4E374004" w14:textId="0C74B588" w:rsidR="00A37FF9" w:rsidRPr="00B275E2" w:rsidRDefault="00A37FF9" w:rsidP="007F0B1E">
            <w:pPr>
              <w:pStyle w:val="TableText"/>
              <w:cnfStyle w:val="000000000000" w:firstRow="0" w:lastRow="0" w:firstColumn="0" w:lastColumn="0" w:oddVBand="0" w:evenVBand="0" w:oddHBand="0" w:evenHBand="0" w:firstRowFirstColumn="0" w:firstRowLastColumn="0" w:lastRowFirstColumn="0" w:lastRowLastColumn="0"/>
              <w:rPr>
                <w:szCs w:val="18"/>
              </w:rPr>
            </w:pPr>
            <w:r w:rsidRPr="00B275E2">
              <w:rPr>
                <w:szCs w:val="18"/>
              </w:rPr>
              <w:t>kWh</w:t>
            </w:r>
          </w:p>
        </w:tc>
        <w:tc>
          <w:tcPr>
            <w:tcW w:w="1404" w:type="dxa"/>
            <w:shd w:val="clear" w:color="auto" w:fill="D2DDE1" w:themeFill="background2"/>
            <w:noWrap/>
            <w:vAlign w:val="bottom"/>
          </w:tcPr>
          <w:p w14:paraId="389FA701" w14:textId="5E45FEA6" w:rsidR="00A37FF9" w:rsidRPr="00B275E2" w:rsidRDefault="005266BB" w:rsidP="007F0B1E">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Pr>
                <w:rFonts w:cs="Calibri"/>
                <w:szCs w:val="18"/>
              </w:rPr>
              <w:t>0.141</w:t>
            </w:r>
          </w:p>
        </w:tc>
        <w:tc>
          <w:tcPr>
            <w:tcW w:w="1404" w:type="dxa"/>
            <w:shd w:val="clear" w:color="auto" w:fill="auto"/>
            <w:noWrap/>
            <w:vAlign w:val="bottom"/>
          </w:tcPr>
          <w:p w14:paraId="5FD6AB20" w14:textId="7FE59E99" w:rsidR="00A37FF9" w:rsidRPr="00B275E2" w:rsidRDefault="002569DB" w:rsidP="007F0B1E">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Pr>
                <w:rFonts w:cs="Calibri"/>
                <w:szCs w:val="18"/>
              </w:rPr>
              <w:t>0.137</w:t>
            </w:r>
          </w:p>
        </w:tc>
        <w:tc>
          <w:tcPr>
            <w:tcW w:w="1404" w:type="dxa"/>
            <w:shd w:val="clear" w:color="auto" w:fill="auto"/>
            <w:noWrap/>
            <w:vAlign w:val="bottom"/>
          </w:tcPr>
          <w:p w14:paraId="496FDBB1" w14:textId="00A8AD4A" w:rsidR="00A37FF9" w:rsidRPr="00B275E2" w:rsidRDefault="002569DB" w:rsidP="007F0B1E">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Pr>
                <w:rFonts w:cs="Calibri"/>
                <w:szCs w:val="18"/>
              </w:rPr>
              <w:t>0.00</w:t>
            </w:r>
            <w:r w:rsidR="002E5EC5">
              <w:rPr>
                <w:rFonts w:cs="Calibri"/>
                <w:szCs w:val="18"/>
              </w:rPr>
              <w:t>37</w:t>
            </w:r>
          </w:p>
        </w:tc>
        <w:tc>
          <w:tcPr>
            <w:tcW w:w="1405" w:type="dxa"/>
            <w:tcBorders>
              <w:right w:val="single" w:sz="4" w:space="0" w:color="FFFFFF" w:themeColor="background1"/>
            </w:tcBorders>
            <w:shd w:val="clear" w:color="auto" w:fill="auto"/>
            <w:noWrap/>
            <w:vAlign w:val="bottom"/>
          </w:tcPr>
          <w:p w14:paraId="634BF2CF" w14:textId="3638375B" w:rsidR="00A37FF9" w:rsidRPr="00B275E2" w:rsidRDefault="00651B19" w:rsidP="007F0B1E">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rFonts w:cs="Calibri"/>
                <w:szCs w:val="18"/>
              </w:rPr>
              <w:t>0.000</w:t>
            </w:r>
            <w:r w:rsidR="00A43484">
              <w:rPr>
                <w:rFonts w:cs="Calibri"/>
                <w:szCs w:val="18"/>
              </w:rPr>
              <w:t>2</w:t>
            </w:r>
          </w:p>
        </w:tc>
      </w:tr>
      <w:tr w:rsidR="00A37FF9" w:rsidRPr="00B275E2" w14:paraId="762007C9" w14:textId="77777777" w:rsidTr="00BA1D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Borders>
              <w:left w:val="single" w:sz="4" w:space="0" w:color="FFFFFF" w:themeColor="background1"/>
            </w:tcBorders>
            <w:noWrap/>
            <w:vAlign w:val="bottom"/>
          </w:tcPr>
          <w:p w14:paraId="2CAB0BF9" w14:textId="5C5B1852" w:rsidR="00A37FF9" w:rsidRPr="00A963F0" w:rsidRDefault="00A37FF9" w:rsidP="007F0B1E">
            <w:pPr>
              <w:pStyle w:val="TableText"/>
              <w:rPr>
                <w:b w:val="0"/>
                <w:bCs w:val="0"/>
                <w:szCs w:val="18"/>
              </w:rPr>
            </w:pPr>
            <w:r w:rsidRPr="00A963F0">
              <w:rPr>
                <w:b w:val="0"/>
                <w:bCs w:val="0"/>
                <w:szCs w:val="18"/>
              </w:rPr>
              <w:t>2012</w:t>
            </w:r>
          </w:p>
        </w:tc>
        <w:tc>
          <w:tcPr>
            <w:tcW w:w="963" w:type="dxa"/>
            <w:noWrap/>
            <w:vAlign w:val="bottom"/>
          </w:tcPr>
          <w:p w14:paraId="38F71CDC" w14:textId="1B16FBD8" w:rsidR="00A37FF9" w:rsidRPr="00B275E2" w:rsidRDefault="00A37FF9" w:rsidP="007F0B1E">
            <w:pPr>
              <w:pStyle w:val="TableText"/>
              <w:cnfStyle w:val="000000100000" w:firstRow="0" w:lastRow="0" w:firstColumn="0" w:lastColumn="0" w:oddVBand="0" w:evenVBand="0" w:oddHBand="1" w:evenHBand="0" w:firstRowFirstColumn="0" w:firstRowLastColumn="0" w:lastRowFirstColumn="0" w:lastRowLastColumn="0"/>
              <w:rPr>
                <w:szCs w:val="18"/>
              </w:rPr>
            </w:pPr>
            <w:r w:rsidRPr="00B275E2">
              <w:rPr>
                <w:szCs w:val="18"/>
              </w:rPr>
              <w:t>kWh</w:t>
            </w:r>
          </w:p>
        </w:tc>
        <w:tc>
          <w:tcPr>
            <w:tcW w:w="1404" w:type="dxa"/>
            <w:shd w:val="clear" w:color="auto" w:fill="D2DDE1" w:themeFill="background2"/>
            <w:noWrap/>
            <w:vAlign w:val="bottom"/>
          </w:tcPr>
          <w:p w14:paraId="7B1AEFBF" w14:textId="3E38AF65" w:rsidR="00A37FF9" w:rsidRPr="00B275E2" w:rsidRDefault="005266BB" w:rsidP="007F0B1E">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Pr>
                <w:rFonts w:cs="Calibri"/>
                <w:szCs w:val="18"/>
              </w:rPr>
              <w:t>0.167</w:t>
            </w:r>
          </w:p>
        </w:tc>
        <w:tc>
          <w:tcPr>
            <w:tcW w:w="1404" w:type="dxa"/>
            <w:shd w:val="clear" w:color="auto" w:fill="auto"/>
            <w:noWrap/>
            <w:vAlign w:val="bottom"/>
          </w:tcPr>
          <w:p w14:paraId="536C6BB2" w14:textId="2C05B726" w:rsidR="00A37FF9" w:rsidRPr="00B275E2" w:rsidRDefault="005475C8" w:rsidP="007F0B1E">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Pr>
                <w:rFonts w:cs="Calibri"/>
                <w:szCs w:val="18"/>
              </w:rPr>
              <w:t>0</w:t>
            </w:r>
            <w:r w:rsidR="002569DB">
              <w:rPr>
                <w:rFonts w:cs="Calibri"/>
                <w:szCs w:val="18"/>
              </w:rPr>
              <w:t>.163</w:t>
            </w:r>
          </w:p>
        </w:tc>
        <w:tc>
          <w:tcPr>
            <w:tcW w:w="1404" w:type="dxa"/>
            <w:shd w:val="clear" w:color="auto" w:fill="auto"/>
            <w:noWrap/>
            <w:vAlign w:val="bottom"/>
          </w:tcPr>
          <w:p w14:paraId="016C6881" w14:textId="23239776" w:rsidR="00A37FF9" w:rsidRPr="00B275E2" w:rsidRDefault="002569DB" w:rsidP="007F0B1E">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Pr>
                <w:rFonts w:cs="Calibri"/>
                <w:szCs w:val="18"/>
              </w:rPr>
              <w:t>0.00</w:t>
            </w:r>
            <w:r w:rsidR="002E5EC5">
              <w:rPr>
                <w:rFonts w:cs="Calibri"/>
                <w:szCs w:val="18"/>
              </w:rPr>
              <w:t>34</w:t>
            </w:r>
          </w:p>
        </w:tc>
        <w:tc>
          <w:tcPr>
            <w:tcW w:w="1405" w:type="dxa"/>
            <w:tcBorders>
              <w:right w:val="single" w:sz="4" w:space="0" w:color="FFFFFF" w:themeColor="background1"/>
            </w:tcBorders>
            <w:shd w:val="clear" w:color="auto" w:fill="auto"/>
            <w:noWrap/>
            <w:vAlign w:val="bottom"/>
          </w:tcPr>
          <w:p w14:paraId="36F1D25D" w14:textId="10895374" w:rsidR="00A37FF9" w:rsidRPr="00B275E2" w:rsidRDefault="00651B19" w:rsidP="007F0B1E">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Pr>
                <w:rFonts w:cs="Calibri"/>
                <w:szCs w:val="18"/>
              </w:rPr>
              <w:t>0.000</w:t>
            </w:r>
            <w:r w:rsidR="00A43484">
              <w:rPr>
                <w:rFonts w:cs="Calibri"/>
                <w:szCs w:val="18"/>
              </w:rPr>
              <w:t>3</w:t>
            </w:r>
          </w:p>
        </w:tc>
      </w:tr>
      <w:tr w:rsidR="00A37FF9" w:rsidRPr="00B275E2" w14:paraId="3BF4B305" w14:textId="77777777" w:rsidTr="00BA1D42">
        <w:tc>
          <w:tcPr>
            <w:cnfStyle w:val="001000000000" w:firstRow="0" w:lastRow="0" w:firstColumn="1" w:lastColumn="0" w:oddVBand="0" w:evenVBand="0" w:oddHBand="0" w:evenHBand="0" w:firstRowFirstColumn="0" w:firstRowLastColumn="0" w:lastRowFirstColumn="0" w:lastRowLastColumn="0"/>
            <w:tcW w:w="1925" w:type="dxa"/>
            <w:tcBorders>
              <w:left w:val="single" w:sz="4" w:space="0" w:color="FFFFFF" w:themeColor="background1"/>
            </w:tcBorders>
            <w:noWrap/>
            <w:vAlign w:val="bottom"/>
          </w:tcPr>
          <w:p w14:paraId="64C08A38" w14:textId="525BFA5F" w:rsidR="00A37FF9" w:rsidRPr="00A963F0" w:rsidRDefault="00A37FF9" w:rsidP="007F0B1E">
            <w:pPr>
              <w:pStyle w:val="TableText"/>
              <w:rPr>
                <w:b w:val="0"/>
                <w:bCs w:val="0"/>
                <w:szCs w:val="18"/>
              </w:rPr>
            </w:pPr>
            <w:r w:rsidRPr="00A963F0">
              <w:rPr>
                <w:b w:val="0"/>
                <w:bCs w:val="0"/>
                <w:szCs w:val="18"/>
              </w:rPr>
              <w:t>2011</w:t>
            </w:r>
          </w:p>
        </w:tc>
        <w:tc>
          <w:tcPr>
            <w:tcW w:w="963" w:type="dxa"/>
            <w:noWrap/>
            <w:vAlign w:val="bottom"/>
          </w:tcPr>
          <w:p w14:paraId="49836162" w14:textId="1B29693C" w:rsidR="00A37FF9" w:rsidRPr="00B275E2" w:rsidRDefault="00A37FF9" w:rsidP="007F0B1E">
            <w:pPr>
              <w:pStyle w:val="TableText"/>
              <w:cnfStyle w:val="000000000000" w:firstRow="0" w:lastRow="0" w:firstColumn="0" w:lastColumn="0" w:oddVBand="0" w:evenVBand="0" w:oddHBand="0" w:evenHBand="0" w:firstRowFirstColumn="0" w:firstRowLastColumn="0" w:lastRowFirstColumn="0" w:lastRowLastColumn="0"/>
              <w:rPr>
                <w:szCs w:val="18"/>
              </w:rPr>
            </w:pPr>
            <w:r w:rsidRPr="00B275E2">
              <w:rPr>
                <w:szCs w:val="18"/>
              </w:rPr>
              <w:t>kWh</w:t>
            </w:r>
          </w:p>
        </w:tc>
        <w:tc>
          <w:tcPr>
            <w:tcW w:w="1404" w:type="dxa"/>
            <w:shd w:val="clear" w:color="auto" w:fill="D2DDE1" w:themeFill="background2"/>
            <w:noWrap/>
            <w:vAlign w:val="bottom"/>
          </w:tcPr>
          <w:p w14:paraId="503BBAAD" w14:textId="7A7F174C" w:rsidR="00A37FF9" w:rsidRPr="00B275E2" w:rsidRDefault="005266BB" w:rsidP="007F0B1E">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Pr>
                <w:rFonts w:cs="Calibri"/>
                <w:szCs w:val="18"/>
              </w:rPr>
              <w:t>0.134</w:t>
            </w:r>
          </w:p>
        </w:tc>
        <w:tc>
          <w:tcPr>
            <w:tcW w:w="1404" w:type="dxa"/>
            <w:shd w:val="clear" w:color="auto" w:fill="auto"/>
            <w:noWrap/>
            <w:vAlign w:val="bottom"/>
          </w:tcPr>
          <w:p w14:paraId="1E756307" w14:textId="4B0C946F" w:rsidR="00A37FF9" w:rsidRPr="00B275E2" w:rsidRDefault="002569DB" w:rsidP="007F0B1E">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Pr>
                <w:rFonts w:cs="Calibri"/>
                <w:szCs w:val="18"/>
              </w:rPr>
              <w:t>0.131</w:t>
            </w:r>
          </w:p>
        </w:tc>
        <w:tc>
          <w:tcPr>
            <w:tcW w:w="1404" w:type="dxa"/>
            <w:shd w:val="clear" w:color="auto" w:fill="auto"/>
            <w:noWrap/>
            <w:vAlign w:val="bottom"/>
          </w:tcPr>
          <w:p w14:paraId="1864D7C4" w14:textId="6C7890FC" w:rsidR="00A37FF9" w:rsidRPr="00B275E2" w:rsidRDefault="002569DB" w:rsidP="007F0B1E">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Pr>
                <w:rFonts w:cs="Calibri"/>
                <w:szCs w:val="18"/>
              </w:rPr>
              <w:t>0.00</w:t>
            </w:r>
            <w:r w:rsidR="002E5EC5">
              <w:rPr>
                <w:rFonts w:cs="Calibri"/>
                <w:szCs w:val="18"/>
              </w:rPr>
              <w:t>33</w:t>
            </w:r>
          </w:p>
        </w:tc>
        <w:tc>
          <w:tcPr>
            <w:tcW w:w="1405" w:type="dxa"/>
            <w:tcBorders>
              <w:right w:val="single" w:sz="4" w:space="0" w:color="FFFFFF" w:themeColor="background1"/>
            </w:tcBorders>
            <w:shd w:val="clear" w:color="auto" w:fill="auto"/>
            <w:noWrap/>
            <w:vAlign w:val="bottom"/>
          </w:tcPr>
          <w:p w14:paraId="6FB633F8" w14:textId="0DC48732" w:rsidR="00A37FF9" w:rsidRPr="00B275E2" w:rsidRDefault="00651B19" w:rsidP="007F0B1E">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rFonts w:cs="Calibri"/>
                <w:szCs w:val="18"/>
              </w:rPr>
              <w:t>0.000</w:t>
            </w:r>
            <w:r w:rsidR="00A43484">
              <w:rPr>
                <w:rFonts w:cs="Calibri"/>
                <w:szCs w:val="18"/>
              </w:rPr>
              <w:t>2</w:t>
            </w:r>
          </w:p>
        </w:tc>
      </w:tr>
      <w:tr w:rsidR="00A37FF9" w:rsidRPr="00B275E2" w14:paraId="36BC2107" w14:textId="77777777" w:rsidTr="00BA1D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Borders>
              <w:left w:val="single" w:sz="4" w:space="0" w:color="FFFFFF" w:themeColor="background1"/>
            </w:tcBorders>
            <w:noWrap/>
            <w:vAlign w:val="bottom"/>
          </w:tcPr>
          <w:p w14:paraId="4E4B3654" w14:textId="66A428D2" w:rsidR="00A37FF9" w:rsidRPr="00A963F0" w:rsidRDefault="00A37FF9" w:rsidP="007F0B1E">
            <w:pPr>
              <w:pStyle w:val="TableText"/>
              <w:rPr>
                <w:b w:val="0"/>
                <w:bCs w:val="0"/>
                <w:szCs w:val="18"/>
              </w:rPr>
            </w:pPr>
            <w:r w:rsidRPr="00A963F0">
              <w:rPr>
                <w:b w:val="0"/>
                <w:bCs w:val="0"/>
                <w:szCs w:val="18"/>
              </w:rPr>
              <w:t>2010</w:t>
            </w:r>
          </w:p>
        </w:tc>
        <w:tc>
          <w:tcPr>
            <w:tcW w:w="963" w:type="dxa"/>
            <w:noWrap/>
            <w:vAlign w:val="bottom"/>
          </w:tcPr>
          <w:p w14:paraId="36702429" w14:textId="530F6C2E" w:rsidR="00A37FF9" w:rsidRPr="00B275E2" w:rsidRDefault="00A37FF9" w:rsidP="007F0B1E">
            <w:pPr>
              <w:pStyle w:val="TableText"/>
              <w:cnfStyle w:val="000000100000" w:firstRow="0" w:lastRow="0" w:firstColumn="0" w:lastColumn="0" w:oddVBand="0" w:evenVBand="0" w:oddHBand="1" w:evenHBand="0" w:firstRowFirstColumn="0" w:firstRowLastColumn="0" w:lastRowFirstColumn="0" w:lastRowLastColumn="0"/>
              <w:rPr>
                <w:szCs w:val="18"/>
              </w:rPr>
            </w:pPr>
            <w:r w:rsidRPr="00B275E2">
              <w:rPr>
                <w:szCs w:val="18"/>
              </w:rPr>
              <w:t>kWh</w:t>
            </w:r>
          </w:p>
        </w:tc>
        <w:tc>
          <w:tcPr>
            <w:tcW w:w="1404" w:type="dxa"/>
            <w:shd w:val="clear" w:color="auto" w:fill="D2DDE1" w:themeFill="background2"/>
            <w:noWrap/>
            <w:vAlign w:val="bottom"/>
          </w:tcPr>
          <w:p w14:paraId="0728051A" w14:textId="4673A93C" w:rsidR="00A37FF9" w:rsidRPr="00B275E2" w:rsidRDefault="005266BB" w:rsidP="007F0B1E">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Pr>
                <w:rFonts w:cs="Calibri"/>
                <w:szCs w:val="18"/>
              </w:rPr>
              <w:t>0.145</w:t>
            </w:r>
          </w:p>
        </w:tc>
        <w:tc>
          <w:tcPr>
            <w:tcW w:w="1404" w:type="dxa"/>
            <w:shd w:val="clear" w:color="auto" w:fill="auto"/>
            <w:noWrap/>
            <w:vAlign w:val="bottom"/>
          </w:tcPr>
          <w:p w14:paraId="25585F82" w14:textId="76558870" w:rsidR="00A37FF9" w:rsidRPr="00B275E2" w:rsidRDefault="002569DB" w:rsidP="007F0B1E">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Pr>
                <w:rFonts w:cs="Calibri"/>
                <w:szCs w:val="18"/>
              </w:rPr>
              <w:t>0.142</w:t>
            </w:r>
          </w:p>
        </w:tc>
        <w:tc>
          <w:tcPr>
            <w:tcW w:w="1404" w:type="dxa"/>
            <w:shd w:val="clear" w:color="auto" w:fill="auto"/>
            <w:noWrap/>
            <w:vAlign w:val="bottom"/>
          </w:tcPr>
          <w:p w14:paraId="4A54C662" w14:textId="179C4C5A" w:rsidR="00A37FF9" w:rsidRPr="00B275E2" w:rsidRDefault="002569DB" w:rsidP="007F0B1E">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Pr>
                <w:rFonts w:cs="Calibri"/>
                <w:szCs w:val="18"/>
              </w:rPr>
              <w:t>0.00</w:t>
            </w:r>
            <w:r w:rsidR="002E5EC5">
              <w:rPr>
                <w:rFonts w:cs="Calibri"/>
                <w:szCs w:val="18"/>
              </w:rPr>
              <w:t>32</w:t>
            </w:r>
          </w:p>
        </w:tc>
        <w:tc>
          <w:tcPr>
            <w:tcW w:w="1405" w:type="dxa"/>
            <w:tcBorders>
              <w:right w:val="single" w:sz="4" w:space="0" w:color="FFFFFF" w:themeColor="background1"/>
            </w:tcBorders>
            <w:shd w:val="clear" w:color="auto" w:fill="auto"/>
            <w:noWrap/>
            <w:vAlign w:val="bottom"/>
          </w:tcPr>
          <w:p w14:paraId="314B745F" w14:textId="6DC05C27" w:rsidR="00A37FF9" w:rsidRPr="00B275E2" w:rsidRDefault="00651B19" w:rsidP="007F0B1E">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Pr>
                <w:rFonts w:cs="Calibri"/>
                <w:szCs w:val="18"/>
              </w:rPr>
              <w:t>0.000</w:t>
            </w:r>
            <w:r w:rsidR="00A43484">
              <w:rPr>
                <w:rFonts w:cs="Calibri"/>
                <w:szCs w:val="18"/>
              </w:rPr>
              <w:t>2</w:t>
            </w:r>
          </w:p>
        </w:tc>
      </w:tr>
    </w:tbl>
    <w:p w14:paraId="27A0709E" w14:textId="197B3519" w:rsidR="00D1128D" w:rsidRPr="00B275E2" w:rsidRDefault="00D1128D" w:rsidP="007F0B1E">
      <w:pPr>
        <w:pStyle w:val="Note"/>
      </w:pPr>
      <w:r w:rsidRPr="00B275E2">
        <w:t>Note</w:t>
      </w:r>
      <w:r w:rsidR="00CD2B39" w:rsidRPr="00B275E2">
        <w:t>: T</w:t>
      </w:r>
      <w:r w:rsidRPr="00B275E2">
        <w:t xml:space="preserve">hese numbers are rounded to </w:t>
      </w:r>
      <w:r w:rsidR="00140D4C">
        <w:t>one or more</w:t>
      </w:r>
      <w:r w:rsidR="00140D4C" w:rsidRPr="00B275E2">
        <w:t xml:space="preserve"> </w:t>
      </w:r>
      <w:r w:rsidRPr="00B275E2">
        <w:t xml:space="preserve">significant figures. </w:t>
      </w:r>
    </w:p>
    <w:p w14:paraId="453D8145" w14:textId="1F70956F" w:rsidR="006C5C98" w:rsidRPr="00B275E2" w:rsidRDefault="006C5C98" w:rsidP="007F0B1E">
      <w:pPr>
        <w:pStyle w:val="BodyText"/>
      </w:pPr>
      <w:r w:rsidRPr="00B275E2">
        <w:lastRenderedPageBreak/>
        <w:t xml:space="preserve">The emission factors for the calendar quarters for 2019 and 2020 purchased electricity from the New Zealand grid </w:t>
      </w:r>
      <w:r w:rsidR="00317EF1" w:rsidRPr="00B275E2">
        <w:t>are</w:t>
      </w:r>
      <w:r w:rsidRPr="00B275E2">
        <w:t xml:space="preserve"> in table </w:t>
      </w:r>
      <w:r w:rsidR="00317EF1" w:rsidRPr="00B275E2">
        <w:t>10</w:t>
      </w:r>
      <w:r w:rsidRPr="00B275E2">
        <w:t>.</w:t>
      </w:r>
    </w:p>
    <w:p w14:paraId="55A06E24" w14:textId="7154FA5A" w:rsidR="00CC464E" w:rsidRPr="00B275E2" w:rsidRDefault="00CC464E" w:rsidP="00D22BB7">
      <w:pPr>
        <w:pStyle w:val="Tableheading"/>
      </w:pPr>
      <w:bookmarkStart w:id="251" w:name="_Toc111536615"/>
      <w:r w:rsidRPr="00B275E2">
        <w:t xml:space="preserve">Table </w:t>
      </w:r>
      <w:r w:rsidRPr="00B275E2">
        <w:fldChar w:fldCharType="begin"/>
      </w:r>
      <w:r w:rsidRPr="00B275E2">
        <w:instrText>SEQ Table \* ARABIC</w:instrText>
      </w:r>
      <w:r w:rsidRPr="00B275E2">
        <w:fldChar w:fldCharType="separate"/>
      </w:r>
      <w:r w:rsidR="003E141C" w:rsidRPr="00B275E2">
        <w:t>10</w:t>
      </w:r>
      <w:r w:rsidRPr="00B275E2">
        <w:fldChar w:fldCharType="end"/>
      </w:r>
      <w:r w:rsidRPr="00B275E2">
        <w:t>:</w:t>
      </w:r>
      <w:r w:rsidRPr="00B275E2">
        <w:tab/>
        <w:t xml:space="preserve">Emission factor for purchased grid-average electricity </w:t>
      </w:r>
      <w:r w:rsidR="00F114FB" w:rsidRPr="00B275E2">
        <w:t>–</w:t>
      </w:r>
      <w:r w:rsidRPr="00B275E2">
        <w:t xml:space="preserve"> </w:t>
      </w:r>
      <w:r w:rsidR="00F114FB" w:rsidRPr="00B275E2">
        <w:t>calendar quarters</w:t>
      </w:r>
      <w:bookmarkEnd w:id="251"/>
    </w:p>
    <w:tbl>
      <w:tblPr>
        <w:tblStyle w:val="LightList-Accent11"/>
        <w:tblW w:w="8505" w:type="dxa"/>
        <w:tblInd w:w="20" w:type="dxa"/>
        <w:tblBorders>
          <w:top w:val="single" w:sz="4" w:space="0" w:color="1B556B"/>
          <w:bottom w:val="single" w:sz="4" w:space="0" w:color="1B556B"/>
          <w:insideH w:val="single" w:sz="4" w:space="0" w:color="1B556B"/>
          <w:insideV w:val="single" w:sz="4" w:space="0" w:color="1B556B"/>
        </w:tblBorders>
        <w:tblLayout w:type="fixed"/>
        <w:tblLook w:val="04A0" w:firstRow="1" w:lastRow="0" w:firstColumn="1" w:lastColumn="0" w:noHBand="0" w:noVBand="1"/>
      </w:tblPr>
      <w:tblGrid>
        <w:gridCol w:w="1925"/>
        <w:gridCol w:w="963"/>
        <w:gridCol w:w="1404"/>
        <w:gridCol w:w="1404"/>
        <w:gridCol w:w="1404"/>
        <w:gridCol w:w="1405"/>
      </w:tblGrid>
      <w:tr w:rsidR="006C5C98" w:rsidRPr="00B275E2" w14:paraId="671107EE" w14:textId="77777777" w:rsidTr="6D0D34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shd w:val="clear" w:color="auto" w:fill="1B556B" w:themeFill="text2"/>
            <w:noWrap/>
            <w:vAlign w:val="bottom"/>
            <w:hideMark/>
          </w:tcPr>
          <w:p w14:paraId="1CB4E4D3" w14:textId="77777777" w:rsidR="006C5C98" w:rsidRPr="00B275E2" w:rsidRDefault="006C5C98" w:rsidP="007F0B1E">
            <w:pPr>
              <w:pStyle w:val="TableText"/>
            </w:pPr>
            <w:r w:rsidRPr="00B275E2">
              <w:t>Emission source</w:t>
            </w:r>
          </w:p>
        </w:tc>
        <w:tc>
          <w:tcPr>
            <w:tcW w:w="963" w:type="dxa"/>
            <w:shd w:val="clear" w:color="auto" w:fill="1B556B" w:themeFill="text2"/>
            <w:noWrap/>
            <w:vAlign w:val="bottom"/>
            <w:hideMark/>
          </w:tcPr>
          <w:p w14:paraId="62BB4273" w14:textId="77777777" w:rsidR="006C5C98" w:rsidRPr="00B275E2" w:rsidRDefault="006C5C98" w:rsidP="007F0B1E">
            <w:pPr>
              <w:pStyle w:val="TableText"/>
              <w:cnfStyle w:val="100000000000" w:firstRow="1" w:lastRow="0" w:firstColumn="0" w:lastColumn="0" w:oddVBand="0" w:evenVBand="0" w:oddHBand="0" w:evenHBand="0" w:firstRowFirstColumn="0" w:firstRowLastColumn="0" w:lastRowFirstColumn="0" w:lastRowLastColumn="0"/>
            </w:pPr>
            <w:r w:rsidRPr="00B275E2">
              <w:t>Unit</w:t>
            </w:r>
          </w:p>
        </w:tc>
        <w:tc>
          <w:tcPr>
            <w:tcW w:w="1404" w:type="dxa"/>
            <w:shd w:val="clear" w:color="auto" w:fill="D2DDE1" w:themeFill="background2"/>
            <w:noWrap/>
            <w:vAlign w:val="bottom"/>
            <w:hideMark/>
          </w:tcPr>
          <w:p w14:paraId="44F120C6" w14:textId="77777777" w:rsidR="006C5C98" w:rsidRPr="00B275E2" w:rsidRDefault="006C5C98" w:rsidP="008D1E23">
            <w:pPr>
              <w:pStyle w:val="TableText"/>
              <w:jc w:val="right"/>
              <w:cnfStyle w:val="100000000000" w:firstRow="1" w:lastRow="0" w:firstColumn="0" w:lastColumn="0" w:oddVBand="0" w:evenVBand="0" w:oddHBand="0" w:evenHBand="0" w:firstRowFirstColumn="0" w:firstRowLastColumn="0" w:lastRowFirstColumn="0" w:lastRowLastColumn="0"/>
              <w:rPr>
                <w:color w:val="auto"/>
              </w:rPr>
            </w:pPr>
            <w:r w:rsidRPr="00B275E2">
              <w:rPr>
                <w:color w:val="auto"/>
              </w:rPr>
              <w:t>kg CO</w:t>
            </w:r>
            <w:r w:rsidRPr="00B275E2">
              <w:rPr>
                <w:color w:val="auto"/>
                <w:vertAlign w:val="subscript"/>
              </w:rPr>
              <w:t>2</w:t>
            </w:r>
            <w:r w:rsidRPr="00B275E2">
              <w:rPr>
                <w:color w:val="auto"/>
              </w:rPr>
              <w:t>-e/unit</w:t>
            </w:r>
          </w:p>
        </w:tc>
        <w:tc>
          <w:tcPr>
            <w:tcW w:w="1404" w:type="dxa"/>
            <w:shd w:val="clear" w:color="auto" w:fill="1B556B" w:themeFill="text2"/>
            <w:noWrap/>
            <w:vAlign w:val="bottom"/>
            <w:hideMark/>
          </w:tcPr>
          <w:p w14:paraId="71833474" w14:textId="77777777" w:rsidR="006C5C98" w:rsidRPr="00B275E2" w:rsidRDefault="006C5C98" w:rsidP="00D22BB7">
            <w:pPr>
              <w:pStyle w:val="TableText"/>
              <w:jc w:val="right"/>
              <w:cnfStyle w:val="100000000000" w:firstRow="1" w:lastRow="0" w:firstColumn="0" w:lastColumn="0" w:oddVBand="0" w:evenVBand="0" w:oddHBand="0" w:evenHBand="0" w:firstRowFirstColumn="0" w:firstRowLastColumn="0" w:lastRowFirstColumn="0" w:lastRowLastColumn="0"/>
            </w:pPr>
            <w:r w:rsidRPr="00B275E2">
              <w:t>kg CO</w:t>
            </w:r>
            <w:r w:rsidRPr="00B275E2">
              <w:rPr>
                <w:vertAlign w:val="subscript"/>
              </w:rPr>
              <w:t>2</w:t>
            </w:r>
            <w:r w:rsidRPr="00B275E2">
              <w:t>/unit</w:t>
            </w:r>
          </w:p>
        </w:tc>
        <w:tc>
          <w:tcPr>
            <w:tcW w:w="1404" w:type="dxa"/>
            <w:shd w:val="clear" w:color="auto" w:fill="1B556B" w:themeFill="text2"/>
            <w:noWrap/>
            <w:vAlign w:val="bottom"/>
            <w:hideMark/>
          </w:tcPr>
          <w:p w14:paraId="51802EE4" w14:textId="77777777" w:rsidR="006C5C98" w:rsidRPr="00B275E2" w:rsidRDefault="006C5C98" w:rsidP="00D22BB7">
            <w:pPr>
              <w:pStyle w:val="TableText"/>
              <w:jc w:val="right"/>
              <w:cnfStyle w:val="100000000000" w:firstRow="1" w:lastRow="0" w:firstColumn="0" w:lastColumn="0" w:oddVBand="0" w:evenVBand="0" w:oddHBand="0" w:evenHBand="0" w:firstRowFirstColumn="0" w:firstRowLastColumn="0" w:lastRowFirstColumn="0" w:lastRowLastColumn="0"/>
            </w:pPr>
            <w:r w:rsidRPr="00B275E2">
              <w:t>kg CH</w:t>
            </w:r>
            <w:r w:rsidRPr="00B275E2">
              <w:rPr>
                <w:vertAlign w:val="subscript"/>
              </w:rPr>
              <w:t>4</w:t>
            </w:r>
            <w:r w:rsidRPr="00B275E2">
              <w:t xml:space="preserve">/unit </w:t>
            </w:r>
            <w:r w:rsidRPr="00B275E2">
              <w:br/>
              <w:t>(kg CO</w:t>
            </w:r>
            <w:r w:rsidRPr="00B275E2">
              <w:rPr>
                <w:vertAlign w:val="subscript"/>
              </w:rPr>
              <w:t>2</w:t>
            </w:r>
            <w:r w:rsidRPr="00B275E2">
              <w:t>-e)</w:t>
            </w:r>
          </w:p>
        </w:tc>
        <w:tc>
          <w:tcPr>
            <w:tcW w:w="1405" w:type="dxa"/>
            <w:shd w:val="clear" w:color="auto" w:fill="1B556B" w:themeFill="text2"/>
            <w:noWrap/>
            <w:vAlign w:val="bottom"/>
            <w:hideMark/>
          </w:tcPr>
          <w:p w14:paraId="3D93B845" w14:textId="77777777" w:rsidR="006C5C98" w:rsidRPr="00B275E2" w:rsidRDefault="006C5C98" w:rsidP="00D22BB7">
            <w:pPr>
              <w:pStyle w:val="TableText"/>
              <w:jc w:val="right"/>
              <w:cnfStyle w:val="100000000000" w:firstRow="1" w:lastRow="0" w:firstColumn="0" w:lastColumn="0" w:oddVBand="0" w:evenVBand="0" w:oddHBand="0" w:evenHBand="0" w:firstRowFirstColumn="0" w:firstRowLastColumn="0" w:lastRowFirstColumn="0" w:lastRowLastColumn="0"/>
            </w:pPr>
            <w:r w:rsidRPr="00B275E2">
              <w:t>kg N</w:t>
            </w:r>
            <w:r w:rsidRPr="00B275E2">
              <w:rPr>
                <w:vertAlign w:val="subscript"/>
              </w:rPr>
              <w:t>2</w:t>
            </w:r>
            <w:r w:rsidRPr="00B275E2">
              <w:t xml:space="preserve">O/unit </w:t>
            </w:r>
            <w:r w:rsidRPr="00B275E2">
              <w:br/>
              <w:t>(kg CO</w:t>
            </w:r>
            <w:r w:rsidRPr="00B275E2">
              <w:rPr>
                <w:vertAlign w:val="subscript"/>
              </w:rPr>
              <w:t>2</w:t>
            </w:r>
            <w:r w:rsidRPr="00B275E2">
              <w:t>-e)</w:t>
            </w:r>
          </w:p>
        </w:tc>
      </w:tr>
      <w:tr w:rsidR="006C5C98" w:rsidRPr="00B275E2" w14:paraId="5C49B86F" w14:textId="77777777" w:rsidTr="00BA1D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Borders>
              <w:left w:val="single" w:sz="4" w:space="0" w:color="FFFFFF" w:themeColor="background1"/>
            </w:tcBorders>
            <w:noWrap/>
            <w:vAlign w:val="bottom"/>
          </w:tcPr>
          <w:p w14:paraId="136A1FA3" w14:textId="6FD9ACAA" w:rsidR="006C5C98" w:rsidRPr="00A963F0" w:rsidRDefault="006C5C98" w:rsidP="007F0B1E">
            <w:pPr>
              <w:pStyle w:val="TableText"/>
              <w:rPr>
                <w:b w:val="0"/>
                <w:bCs w:val="0"/>
              </w:rPr>
            </w:pPr>
            <w:r w:rsidRPr="00A963F0">
              <w:rPr>
                <w:b w:val="0"/>
                <w:bCs w:val="0"/>
              </w:rPr>
              <w:t>Dec</w:t>
            </w:r>
            <w:r w:rsidR="00BA1D42" w:rsidRPr="00A963F0">
              <w:rPr>
                <w:b w:val="0"/>
                <w:bCs w:val="0"/>
              </w:rPr>
              <w:t>ember</w:t>
            </w:r>
            <w:r w:rsidRPr="00A963F0">
              <w:rPr>
                <w:b w:val="0"/>
                <w:bCs w:val="0"/>
              </w:rPr>
              <w:t xml:space="preserve"> 2020</w:t>
            </w:r>
          </w:p>
        </w:tc>
        <w:tc>
          <w:tcPr>
            <w:tcW w:w="963" w:type="dxa"/>
            <w:noWrap/>
            <w:vAlign w:val="bottom"/>
          </w:tcPr>
          <w:p w14:paraId="694C7273" w14:textId="77777777" w:rsidR="006C5C98" w:rsidRPr="00B275E2" w:rsidRDefault="006C5C98" w:rsidP="007F0B1E">
            <w:pPr>
              <w:pStyle w:val="TableText"/>
              <w:cnfStyle w:val="000000100000" w:firstRow="0" w:lastRow="0" w:firstColumn="0" w:lastColumn="0" w:oddVBand="0" w:evenVBand="0" w:oddHBand="1" w:evenHBand="0" w:firstRowFirstColumn="0" w:firstRowLastColumn="0" w:lastRowFirstColumn="0" w:lastRowLastColumn="0"/>
              <w:rPr>
                <w:szCs w:val="18"/>
              </w:rPr>
            </w:pPr>
            <w:r w:rsidRPr="00B275E2">
              <w:rPr>
                <w:szCs w:val="18"/>
              </w:rPr>
              <w:t>kWh</w:t>
            </w:r>
          </w:p>
        </w:tc>
        <w:tc>
          <w:tcPr>
            <w:tcW w:w="1404" w:type="dxa"/>
            <w:shd w:val="clear" w:color="auto" w:fill="D2DDE1" w:themeFill="background2"/>
            <w:noWrap/>
            <w:vAlign w:val="bottom"/>
          </w:tcPr>
          <w:p w14:paraId="34CF957F" w14:textId="72CC34A8" w:rsidR="006C5C98" w:rsidRPr="00B275E2" w:rsidRDefault="00140D4C" w:rsidP="007F0B1E">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Pr>
                <w:rFonts w:cs="Calibri"/>
                <w:szCs w:val="18"/>
              </w:rPr>
              <w:t>0.103</w:t>
            </w:r>
          </w:p>
        </w:tc>
        <w:tc>
          <w:tcPr>
            <w:tcW w:w="1404" w:type="dxa"/>
            <w:shd w:val="clear" w:color="auto" w:fill="auto"/>
            <w:noWrap/>
            <w:vAlign w:val="bottom"/>
          </w:tcPr>
          <w:p w14:paraId="1AA6FC4F" w14:textId="485EC4E2" w:rsidR="006C5C98" w:rsidRPr="00B275E2" w:rsidRDefault="003452F0" w:rsidP="007F0B1E">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Pr>
                <w:rFonts w:cs="Calibri"/>
                <w:szCs w:val="18"/>
              </w:rPr>
              <w:t>0.100</w:t>
            </w:r>
          </w:p>
        </w:tc>
        <w:tc>
          <w:tcPr>
            <w:tcW w:w="1404" w:type="dxa"/>
            <w:shd w:val="clear" w:color="auto" w:fill="auto"/>
            <w:noWrap/>
            <w:vAlign w:val="bottom"/>
          </w:tcPr>
          <w:p w14:paraId="132A2E01" w14:textId="7E156E52" w:rsidR="006C5C98" w:rsidRPr="00B275E2" w:rsidRDefault="00E261E0" w:rsidP="007F0B1E">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Pr>
                <w:rFonts w:cs="Calibri"/>
                <w:szCs w:val="18"/>
              </w:rPr>
              <w:t>0.00</w:t>
            </w:r>
            <w:r w:rsidR="00A43484">
              <w:rPr>
                <w:rFonts w:cs="Calibri"/>
                <w:szCs w:val="18"/>
              </w:rPr>
              <w:t>29</w:t>
            </w:r>
          </w:p>
        </w:tc>
        <w:tc>
          <w:tcPr>
            <w:tcW w:w="1405" w:type="dxa"/>
            <w:tcBorders>
              <w:right w:val="single" w:sz="4" w:space="0" w:color="FFFFFF" w:themeColor="background1"/>
            </w:tcBorders>
            <w:shd w:val="clear" w:color="auto" w:fill="auto"/>
            <w:noWrap/>
            <w:vAlign w:val="bottom"/>
          </w:tcPr>
          <w:p w14:paraId="5433A4E5" w14:textId="36B32066" w:rsidR="006C5C98" w:rsidRPr="00B275E2" w:rsidRDefault="00E261E0" w:rsidP="007F0B1E">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Pr>
                <w:rFonts w:cs="Calibri"/>
                <w:szCs w:val="18"/>
              </w:rPr>
              <w:t>0.</w:t>
            </w:r>
            <w:r w:rsidR="00A76ECA">
              <w:rPr>
                <w:rFonts w:cs="Calibri"/>
                <w:szCs w:val="18"/>
              </w:rPr>
              <w:t>000</w:t>
            </w:r>
            <w:r w:rsidR="00784A6E">
              <w:rPr>
                <w:rFonts w:cs="Calibri"/>
                <w:szCs w:val="18"/>
              </w:rPr>
              <w:t>2</w:t>
            </w:r>
          </w:p>
        </w:tc>
      </w:tr>
      <w:tr w:rsidR="006C5C98" w:rsidRPr="00B275E2" w14:paraId="1AD360CD" w14:textId="77777777" w:rsidTr="00BA1D42">
        <w:tc>
          <w:tcPr>
            <w:cnfStyle w:val="001000000000" w:firstRow="0" w:lastRow="0" w:firstColumn="1" w:lastColumn="0" w:oddVBand="0" w:evenVBand="0" w:oddHBand="0" w:evenHBand="0" w:firstRowFirstColumn="0" w:firstRowLastColumn="0" w:lastRowFirstColumn="0" w:lastRowLastColumn="0"/>
            <w:tcW w:w="1925" w:type="dxa"/>
            <w:tcBorders>
              <w:left w:val="single" w:sz="4" w:space="0" w:color="FFFFFF" w:themeColor="background1"/>
            </w:tcBorders>
            <w:noWrap/>
            <w:vAlign w:val="bottom"/>
          </w:tcPr>
          <w:p w14:paraId="133572F6" w14:textId="11E0AF66" w:rsidR="006C5C98" w:rsidRPr="00A963F0" w:rsidRDefault="006C5C98" w:rsidP="007F0B1E">
            <w:pPr>
              <w:pStyle w:val="TableText"/>
              <w:rPr>
                <w:b w:val="0"/>
                <w:bCs w:val="0"/>
              </w:rPr>
            </w:pPr>
            <w:r w:rsidRPr="00A963F0">
              <w:rPr>
                <w:b w:val="0"/>
                <w:bCs w:val="0"/>
              </w:rPr>
              <w:t>Sep</w:t>
            </w:r>
            <w:r w:rsidR="00BA1D42" w:rsidRPr="00A963F0">
              <w:rPr>
                <w:b w:val="0"/>
                <w:bCs w:val="0"/>
              </w:rPr>
              <w:t>tember</w:t>
            </w:r>
            <w:r w:rsidRPr="00A963F0">
              <w:rPr>
                <w:b w:val="0"/>
                <w:bCs w:val="0"/>
              </w:rPr>
              <w:t xml:space="preserve"> 2020</w:t>
            </w:r>
          </w:p>
        </w:tc>
        <w:tc>
          <w:tcPr>
            <w:tcW w:w="963" w:type="dxa"/>
            <w:noWrap/>
            <w:vAlign w:val="bottom"/>
          </w:tcPr>
          <w:p w14:paraId="04880BC8" w14:textId="77777777" w:rsidR="006C5C98" w:rsidRPr="00B275E2" w:rsidRDefault="006C5C98" w:rsidP="007F0B1E">
            <w:pPr>
              <w:pStyle w:val="TableText"/>
              <w:cnfStyle w:val="000000000000" w:firstRow="0" w:lastRow="0" w:firstColumn="0" w:lastColumn="0" w:oddVBand="0" w:evenVBand="0" w:oddHBand="0" w:evenHBand="0" w:firstRowFirstColumn="0" w:firstRowLastColumn="0" w:lastRowFirstColumn="0" w:lastRowLastColumn="0"/>
              <w:rPr>
                <w:szCs w:val="18"/>
              </w:rPr>
            </w:pPr>
            <w:r w:rsidRPr="00B275E2">
              <w:rPr>
                <w:szCs w:val="18"/>
              </w:rPr>
              <w:t>kWh</w:t>
            </w:r>
          </w:p>
        </w:tc>
        <w:tc>
          <w:tcPr>
            <w:tcW w:w="1404" w:type="dxa"/>
            <w:shd w:val="clear" w:color="auto" w:fill="D2DDE1" w:themeFill="background2"/>
            <w:noWrap/>
            <w:vAlign w:val="bottom"/>
          </w:tcPr>
          <w:p w14:paraId="7238A4E9" w14:textId="045F2352" w:rsidR="006C5C98" w:rsidRPr="00B275E2" w:rsidRDefault="00140D4C" w:rsidP="007F0B1E">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Pr>
                <w:rFonts w:cs="Calibri"/>
                <w:szCs w:val="18"/>
              </w:rPr>
              <w:t>0.147</w:t>
            </w:r>
          </w:p>
        </w:tc>
        <w:tc>
          <w:tcPr>
            <w:tcW w:w="1404" w:type="dxa"/>
            <w:shd w:val="clear" w:color="auto" w:fill="auto"/>
            <w:noWrap/>
            <w:vAlign w:val="bottom"/>
          </w:tcPr>
          <w:p w14:paraId="021B73C3" w14:textId="30E261E2" w:rsidR="006C5C98" w:rsidRPr="00B275E2" w:rsidRDefault="003452F0" w:rsidP="007F0B1E">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Pr>
                <w:rFonts w:cs="Calibri"/>
                <w:szCs w:val="18"/>
              </w:rPr>
              <w:t>0.144</w:t>
            </w:r>
          </w:p>
        </w:tc>
        <w:tc>
          <w:tcPr>
            <w:tcW w:w="1404" w:type="dxa"/>
            <w:shd w:val="clear" w:color="auto" w:fill="auto"/>
            <w:noWrap/>
            <w:vAlign w:val="bottom"/>
          </w:tcPr>
          <w:p w14:paraId="7234AFB7" w14:textId="3B3C2BCF" w:rsidR="006C5C98" w:rsidRPr="00B275E2" w:rsidRDefault="00E261E0" w:rsidP="007F0B1E">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Pr>
                <w:rFonts w:cs="Calibri"/>
                <w:szCs w:val="18"/>
              </w:rPr>
              <w:t>0.00</w:t>
            </w:r>
            <w:r w:rsidR="00784A6E">
              <w:rPr>
                <w:rFonts w:cs="Calibri"/>
                <w:szCs w:val="18"/>
              </w:rPr>
              <w:t>23</w:t>
            </w:r>
          </w:p>
        </w:tc>
        <w:tc>
          <w:tcPr>
            <w:tcW w:w="1405" w:type="dxa"/>
            <w:tcBorders>
              <w:right w:val="single" w:sz="4" w:space="0" w:color="FFFFFF" w:themeColor="background1"/>
            </w:tcBorders>
            <w:shd w:val="clear" w:color="auto" w:fill="auto"/>
            <w:noWrap/>
            <w:vAlign w:val="bottom"/>
          </w:tcPr>
          <w:p w14:paraId="6A46024E" w14:textId="44244EAC" w:rsidR="006C5C98" w:rsidRPr="00B275E2" w:rsidRDefault="00A76ECA" w:rsidP="007F0B1E">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Pr>
                <w:rFonts w:cs="Calibri"/>
                <w:szCs w:val="18"/>
              </w:rPr>
              <w:t>0.000</w:t>
            </w:r>
            <w:r w:rsidR="009E76A6">
              <w:rPr>
                <w:rFonts w:cs="Calibri"/>
                <w:szCs w:val="18"/>
              </w:rPr>
              <w:t>3</w:t>
            </w:r>
          </w:p>
        </w:tc>
      </w:tr>
      <w:tr w:rsidR="006C5C98" w:rsidRPr="00B275E2" w14:paraId="0C32B0BA" w14:textId="77777777" w:rsidTr="00BA1D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Borders>
              <w:left w:val="single" w:sz="4" w:space="0" w:color="FFFFFF" w:themeColor="background1"/>
            </w:tcBorders>
            <w:noWrap/>
            <w:vAlign w:val="bottom"/>
            <w:hideMark/>
          </w:tcPr>
          <w:p w14:paraId="3A35529E" w14:textId="73B5954C" w:rsidR="006C5C98" w:rsidRPr="00A963F0" w:rsidRDefault="006C5C98" w:rsidP="007F0B1E">
            <w:pPr>
              <w:pStyle w:val="TableText"/>
              <w:rPr>
                <w:b w:val="0"/>
                <w:bCs w:val="0"/>
              </w:rPr>
            </w:pPr>
            <w:r w:rsidRPr="00A963F0">
              <w:rPr>
                <w:b w:val="0"/>
                <w:bCs w:val="0"/>
              </w:rPr>
              <w:t>Jun</w:t>
            </w:r>
            <w:r w:rsidR="00BA1D42" w:rsidRPr="00A963F0">
              <w:rPr>
                <w:b w:val="0"/>
                <w:bCs w:val="0"/>
              </w:rPr>
              <w:t>e</w:t>
            </w:r>
            <w:r w:rsidRPr="00A963F0">
              <w:rPr>
                <w:b w:val="0"/>
                <w:bCs w:val="0"/>
              </w:rPr>
              <w:t xml:space="preserve"> 2020</w:t>
            </w:r>
          </w:p>
        </w:tc>
        <w:tc>
          <w:tcPr>
            <w:tcW w:w="963" w:type="dxa"/>
            <w:noWrap/>
            <w:vAlign w:val="bottom"/>
            <w:hideMark/>
          </w:tcPr>
          <w:p w14:paraId="2AAF4F71" w14:textId="77777777" w:rsidR="006C5C98" w:rsidRPr="00B275E2" w:rsidRDefault="006C5C98" w:rsidP="007F0B1E">
            <w:pPr>
              <w:pStyle w:val="TableText"/>
              <w:cnfStyle w:val="000000100000" w:firstRow="0" w:lastRow="0" w:firstColumn="0" w:lastColumn="0" w:oddVBand="0" w:evenVBand="0" w:oddHBand="1" w:evenHBand="0" w:firstRowFirstColumn="0" w:firstRowLastColumn="0" w:lastRowFirstColumn="0" w:lastRowLastColumn="0"/>
              <w:rPr>
                <w:szCs w:val="18"/>
              </w:rPr>
            </w:pPr>
            <w:r w:rsidRPr="00B275E2">
              <w:rPr>
                <w:szCs w:val="18"/>
              </w:rPr>
              <w:t>kWh</w:t>
            </w:r>
          </w:p>
        </w:tc>
        <w:tc>
          <w:tcPr>
            <w:tcW w:w="1404" w:type="dxa"/>
            <w:shd w:val="clear" w:color="auto" w:fill="D2DDE1" w:themeFill="background2"/>
            <w:noWrap/>
            <w:vAlign w:val="bottom"/>
          </w:tcPr>
          <w:p w14:paraId="228765F0" w14:textId="3238A246" w:rsidR="006C5C98" w:rsidRPr="00B275E2" w:rsidRDefault="00140D4C" w:rsidP="007F0B1E">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Pr>
                <w:szCs w:val="18"/>
              </w:rPr>
              <w:t>0.111</w:t>
            </w:r>
          </w:p>
        </w:tc>
        <w:tc>
          <w:tcPr>
            <w:tcW w:w="1404" w:type="dxa"/>
            <w:shd w:val="clear" w:color="auto" w:fill="auto"/>
            <w:noWrap/>
            <w:vAlign w:val="bottom"/>
          </w:tcPr>
          <w:p w14:paraId="3F5E7165" w14:textId="6D807CC8" w:rsidR="006C5C98" w:rsidRPr="00B275E2" w:rsidRDefault="003452F0" w:rsidP="007F0B1E">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Pr>
                <w:szCs w:val="18"/>
              </w:rPr>
              <w:t>0.108</w:t>
            </w:r>
          </w:p>
        </w:tc>
        <w:tc>
          <w:tcPr>
            <w:tcW w:w="1404" w:type="dxa"/>
            <w:shd w:val="clear" w:color="auto" w:fill="auto"/>
            <w:noWrap/>
            <w:vAlign w:val="bottom"/>
          </w:tcPr>
          <w:p w14:paraId="2530F4ED" w14:textId="186F2FE2" w:rsidR="006C5C98" w:rsidRPr="00B275E2" w:rsidRDefault="00E261E0" w:rsidP="007F0B1E">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Pr>
                <w:rFonts w:cs="Calibri"/>
                <w:szCs w:val="18"/>
              </w:rPr>
              <w:t>0.00</w:t>
            </w:r>
            <w:r w:rsidR="00784A6E">
              <w:rPr>
                <w:rFonts w:cs="Calibri"/>
                <w:szCs w:val="18"/>
              </w:rPr>
              <w:t>30</w:t>
            </w:r>
          </w:p>
        </w:tc>
        <w:tc>
          <w:tcPr>
            <w:tcW w:w="1405" w:type="dxa"/>
            <w:tcBorders>
              <w:right w:val="single" w:sz="4" w:space="0" w:color="FFFFFF" w:themeColor="background1"/>
            </w:tcBorders>
            <w:shd w:val="clear" w:color="auto" w:fill="auto"/>
            <w:noWrap/>
            <w:vAlign w:val="bottom"/>
          </w:tcPr>
          <w:p w14:paraId="6230FBA4" w14:textId="57D8973E" w:rsidR="006C5C98" w:rsidRPr="00B275E2" w:rsidRDefault="00A76ECA" w:rsidP="007F0B1E">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Pr>
                <w:rFonts w:cs="Calibri"/>
                <w:szCs w:val="18"/>
              </w:rPr>
              <w:t>0.000</w:t>
            </w:r>
            <w:r w:rsidR="009A3796">
              <w:rPr>
                <w:rFonts w:cs="Calibri"/>
                <w:szCs w:val="18"/>
              </w:rPr>
              <w:t>2</w:t>
            </w:r>
          </w:p>
        </w:tc>
      </w:tr>
      <w:tr w:rsidR="006C5C98" w:rsidRPr="00B275E2" w14:paraId="46741558" w14:textId="77777777" w:rsidTr="00BA1D42">
        <w:tc>
          <w:tcPr>
            <w:cnfStyle w:val="001000000000" w:firstRow="0" w:lastRow="0" w:firstColumn="1" w:lastColumn="0" w:oddVBand="0" w:evenVBand="0" w:oddHBand="0" w:evenHBand="0" w:firstRowFirstColumn="0" w:firstRowLastColumn="0" w:lastRowFirstColumn="0" w:lastRowLastColumn="0"/>
            <w:tcW w:w="1925" w:type="dxa"/>
            <w:tcBorders>
              <w:left w:val="single" w:sz="4" w:space="0" w:color="FFFFFF" w:themeColor="background1"/>
            </w:tcBorders>
            <w:noWrap/>
            <w:vAlign w:val="bottom"/>
          </w:tcPr>
          <w:p w14:paraId="0FB28380" w14:textId="23FF8050" w:rsidR="006C5C98" w:rsidRPr="00A963F0" w:rsidRDefault="006C5C98" w:rsidP="301514BB">
            <w:pPr>
              <w:pStyle w:val="TableText"/>
              <w:rPr>
                <w:b w:val="0"/>
                <w:bCs w:val="0"/>
              </w:rPr>
            </w:pPr>
            <w:r w:rsidRPr="00A963F0">
              <w:rPr>
                <w:b w:val="0"/>
                <w:bCs w:val="0"/>
              </w:rPr>
              <w:t>Mar</w:t>
            </w:r>
            <w:r w:rsidR="00BA1D42" w:rsidRPr="00A963F0">
              <w:rPr>
                <w:b w:val="0"/>
                <w:bCs w:val="0"/>
              </w:rPr>
              <w:t>ch</w:t>
            </w:r>
            <w:r w:rsidRPr="00A963F0">
              <w:rPr>
                <w:b w:val="0"/>
                <w:bCs w:val="0"/>
              </w:rPr>
              <w:t xml:space="preserve"> 2020</w:t>
            </w:r>
          </w:p>
        </w:tc>
        <w:tc>
          <w:tcPr>
            <w:tcW w:w="963" w:type="dxa"/>
            <w:noWrap/>
            <w:vAlign w:val="bottom"/>
          </w:tcPr>
          <w:p w14:paraId="4E6B7441" w14:textId="77777777" w:rsidR="006C5C98" w:rsidRPr="00B275E2" w:rsidRDefault="006C5C98" w:rsidP="007F0B1E">
            <w:pPr>
              <w:pStyle w:val="TableText"/>
              <w:cnfStyle w:val="000000000000" w:firstRow="0" w:lastRow="0" w:firstColumn="0" w:lastColumn="0" w:oddVBand="0" w:evenVBand="0" w:oddHBand="0" w:evenHBand="0" w:firstRowFirstColumn="0" w:firstRowLastColumn="0" w:lastRowFirstColumn="0" w:lastRowLastColumn="0"/>
              <w:rPr>
                <w:szCs w:val="18"/>
              </w:rPr>
            </w:pPr>
            <w:r w:rsidRPr="00B275E2">
              <w:rPr>
                <w:szCs w:val="18"/>
              </w:rPr>
              <w:t>kWh</w:t>
            </w:r>
          </w:p>
        </w:tc>
        <w:tc>
          <w:tcPr>
            <w:tcW w:w="1404" w:type="dxa"/>
            <w:shd w:val="clear" w:color="auto" w:fill="D2DDE1" w:themeFill="background2"/>
            <w:noWrap/>
            <w:vAlign w:val="bottom"/>
          </w:tcPr>
          <w:p w14:paraId="0B57C8A5" w14:textId="28D5C64E" w:rsidR="006C5C98" w:rsidRPr="00B275E2" w:rsidRDefault="00140D4C" w:rsidP="007F0B1E">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Pr>
                <w:rFonts w:cs="Calibri"/>
                <w:szCs w:val="18"/>
              </w:rPr>
              <w:t>0.117</w:t>
            </w:r>
          </w:p>
        </w:tc>
        <w:tc>
          <w:tcPr>
            <w:tcW w:w="1404" w:type="dxa"/>
            <w:shd w:val="clear" w:color="auto" w:fill="auto"/>
            <w:noWrap/>
            <w:vAlign w:val="bottom"/>
          </w:tcPr>
          <w:p w14:paraId="41B90C0D" w14:textId="457D1E65" w:rsidR="006C5C98" w:rsidRPr="00B275E2" w:rsidRDefault="003452F0" w:rsidP="007F0B1E">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Pr>
                <w:rFonts w:cs="Calibri"/>
                <w:szCs w:val="18"/>
              </w:rPr>
              <w:t>0.114</w:t>
            </w:r>
          </w:p>
        </w:tc>
        <w:tc>
          <w:tcPr>
            <w:tcW w:w="1404" w:type="dxa"/>
            <w:shd w:val="clear" w:color="auto" w:fill="auto"/>
            <w:noWrap/>
            <w:vAlign w:val="bottom"/>
          </w:tcPr>
          <w:p w14:paraId="73102BB5" w14:textId="7B5A5671" w:rsidR="006C5C98" w:rsidRPr="00B275E2" w:rsidRDefault="00E261E0" w:rsidP="007F0B1E">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Pr>
                <w:rFonts w:cs="Calibri"/>
                <w:szCs w:val="18"/>
              </w:rPr>
              <w:t>0.00</w:t>
            </w:r>
            <w:r w:rsidR="00784A6E">
              <w:rPr>
                <w:rFonts w:cs="Calibri"/>
                <w:szCs w:val="18"/>
              </w:rPr>
              <w:t>29</w:t>
            </w:r>
          </w:p>
        </w:tc>
        <w:tc>
          <w:tcPr>
            <w:tcW w:w="1405" w:type="dxa"/>
            <w:tcBorders>
              <w:right w:val="single" w:sz="4" w:space="0" w:color="FFFFFF" w:themeColor="background1"/>
            </w:tcBorders>
            <w:shd w:val="clear" w:color="auto" w:fill="auto"/>
            <w:noWrap/>
            <w:vAlign w:val="bottom"/>
          </w:tcPr>
          <w:p w14:paraId="4E69A88D" w14:textId="0A918D89" w:rsidR="006C5C98" w:rsidRPr="00B275E2" w:rsidRDefault="00A76ECA" w:rsidP="007F0B1E">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rFonts w:cs="Calibri"/>
                <w:szCs w:val="18"/>
              </w:rPr>
              <w:t>0.000</w:t>
            </w:r>
            <w:r w:rsidR="009A3796">
              <w:rPr>
                <w:rFonts w:cs="Calibri"/>
                <w:szCs w:val="18"/>
              </w:rPr>
              <w:t>2</w:t>
            </w:r>
          </w:p>
        </w:tc>
      </w:tr>
      <w:tr w:rsidR="006C5C98" w:rsidRPr="00B275E2" w14:paraId="000D4F9A" w14:textId="77777777" w:rsidTr="00BA1D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Borders>
              <w:left w:val="single" w:sz="4" w:space="0" w:color="FFFFFF" w:themeColor="background1"/>
            </w:tcBorders>
            <w:noWrap/>
            <w:vAlign w:val="bottom"/>
          </w:tcPr>
          <w:p w14:paraId="6E63AEED" w14:textId="473D318C" w:rsidR="006C5C98" w:rsidRPr="00A963F0" w:rsidRDefault="006C5C98" w:rsidP="301514BB">
            <w:pPr>
              <w:pStyle w:val="TableText"/>
              <w:rPr>
                <w:b w:val="0"/>
                <w:bCs w:val="0"/>
              </w:rPr>
            </w:pPr>
            <w:r w:rsidRPr="00A963F0">
              <w:rPr>
                <w:b w:val="0"/>
                <w:bCs w:val="0"/>
              </w:rPr>
              <w:t>Dec</w:t>
            </w:r>
            <w:r w:rsidR="00BA1D42" w:rsidRPr="00A963F0">
              <w:rPr>
                <w:b w:val="0"/>
                <w:bCs w:val="0"/>
              </w:rPr>
              <w:t>ember</w:t>
            </w:r>
            <w:r w:rsidRPr="00A963F0">
              <w:rPr>
                <w:b w:val="0"/>
                <w:bCs w:val="0"/>
              </w:rPr>
              <w:t xml:space="preserve"> 2019</w:t>
            </w:r>
          </w:p>
        </w:tc>
        <w:tc>
          <w:tcPr>
            <w:tcW w:w="963" w:type="dxa"/>
            <w:noWrap/>
            <w:vAlign w:val="bottom"/>
          </w:tcPr>
          <w:p w14:paraId="013AB1C3" w14:textId="77777777" w:rsidR="006C5C98" w:rsidRPr="00B275E2" w:rsidRDefault="006C5C98" w:rsidP="007F0B1E">
            <w:pPr>
              <w:pStyle w:val="TableText"/>
              <w:cnfStyle w:val="000000100000" w:firstRow="0" w:lastRow="0" w:firstColumn="0" w:lastColumn="0" w:oddVBand="0" w:evenVBand="0" w:oddHBand="1" w:evenHBand="0" w:firstRowFirstColumn="0" w:firstRowLastColumn="0" w:lastRowFirstColumn="0" w:lastRowLastColumn="0"/>
              <w:rPr>
                <w:szCs w:val="18"/>
              </w:rPr>
            </w:pPr>
            <w:r w:rsidRPr="00B275E2">
              <w:rPr>
                <w:szCs w:val="18"/>
              </w:rPr>
              <w:t>kWh</w:t>
            </w:r>
          </w:p>
        </w:tc>
        <w:tc>
          <w:tcPr>
            <w:tcW w:w="1404" w:type="dxa"/>
            <w:shd w:val="clear" w:color="auto" w:fill="D2DDE1" w:themeFill="background2"/>
            <w:noWrap/>
            <w:vAlign w:val="bottom"/>
          </w:tcPr>
          <w:p w14:paraId="43C23C76" w14:textId="210706D3" w:rsidR="006C5C98" w:rsidRPr="00B275E2" w:rsidRDefault="00140D4C" w:rsidP="007F0B1E">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Pr>
                <w:rFonts w:cs="Calibri"/>
                <w:szCs w:val="18"/>
              </w:rPr>
              <w:t>0.</w:t>
            </w:r>
            <w:r w:rsidR="003452F0">
              <w:rPr>
                <w:rFonts w:cs="Calibri"/>
                <w:szCs w:val="18"/>
              </w:rPr>
              <w:t>095</w:t>
            </w:r>
          </w:p>
        </w:tc>
        <w:tc>
          <w:tcPr>
            <w:tcW w:w="1404" w:type="dxa"/>
            <w:shd w:val="clear" w:color="auto" w:fill="auto"/>
            <w:noWrap/>
            <w:vAlign w:val="bottom"/>
          </w:tcPr>
          <w:p w14:paraId="0D9664AC" w14:textId="04381D30" w:rsidR="006C5C98" w:rsidRPr="00B275E2" w:rsidRDefault="00E261E0" w:rsidP="007F0B1E">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Pr>
                <w:rFonts w:cs="Calibri"/>
                <w:szCs w:val="18"/>
              </w:rPr>
              <w:t>0.092</w:t>
            </w:r>
          </w:p>
        </w:tc>
        <w:tc>
          <w:tcPr>
            <w:tcW w:w="1404" w:type="dxa"/>
            <w:shd w:val="clear" w:color="auto" w:fill="auto"/>
            <w:noWrap/>
            <w:vAlign w:val="bottom"/>
          </w:tcPr>
          <w:p w14:paraId="5DA0C558" w14:textId="3E8DFABA" w:rsidR="006C5C98" w:rsidRPr="00B275E2" w:rsidRDefault="00E261E0" w:rsidP="007F0B1E">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Pr>
                <w:rFonts w:cs="Calibri"/>
                <w:szCs w:val="18"/>
              </w:rPr>
              <w:t>0.00</w:t>
            </w:r>
            <w:r w:rsidR="00784A6E">
              <w:rPr>
                <w:rFonts w:cs="Calibri"/>
                <w:szCs w:val="18"/>
              </w:rPr>
              <w:t>29</w:t>
            </w:r>
          </w:p>
        </w:tc>
        <w:tc>
          <w:tcPr>
            <w:tcW w:w="1405" w:type="dxa"/>
            <w:tcBorders>
              <w:right w:val="single" w:sz="4" w:space="0" w:color="FFFFFF" w:themeColor="background1"/>
            </w:tcBorders>
            <w:shd w:val="clear" w:color="auto" w:fill="auto"/>
            <w:noWrap/>
            <w:vAlign w:val="bottom"/>
          </w:tcPr>
          <w:p w14:paraId="7BBF96E8" w14:textId="4D1C8D6A" w:rsidR="006C5C98" w:rsidRPr="00B275E2" w:rsidRDefault="00A76ECA" w:rsidP="007F0B1E">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Pr>
                <w:rFonts w:cs="Calibri"/>
                <w:szCs w:val="18"/>
              </w:rPr>
              <w:t>0.000</w:t>
            </w:r>
            <w:r w:rsidR="009A3796">
              <w:rPr>
                <w:rFonts w:cs="Calibri"/>
                <w:szCs w:val="18"/>
              </w:rPr>
              <w:t>2</w:t>
            </w:r>
          </w:p>
        </w:tc>
      </w:tr>
      <w:tr w:rsidR="006C5C98" w:rsidRPr="00B275E2" w14:paraId="0B6827BE" w14:textId="77777777" w:rsidTr="00BA1D42">
        <w:tc>
          <w:tcPr>
            <w:cnfStyle w:val="001000000000" w:firstRow="0" w:lastRow="0" w:firstColumn="1" w:lastColumn="0" w:oddVBand="0" w:evenVBand="0" w:oddHBand="0" w:evenHBand="0" w:firstRowFirstColumn="0" w:firstRowLastColumn="0" w:lastRowFirstColumn="0" w:lastRowLastColumn="0"/>
            <w:tcW w:w="1925" w:type="dxa"/>
            <w:tcBorders>
              <w:left w:val="single" w:sz="4" w:space="0" w:color="FFFFFF" w:themeColor="background1"/>
            </w:tcBorders>
            <w:noWrap/>
            <w:vAlign w:val="bottom"/>
          </w:tcPr>
          <w:p w14:paraId="19B36A3D" w14:textId="1A4A0450" w:rsidR="006C5C98" w:rsidRPr="00A963F0" w:rsidRDefault="006C5C98" w:rsidP="6D0D347F">
            <w:pPr>
              <w:pStyle w:val="TableText"/>
              <w:rPr>
                <w:b w:val="0"/>
                <w:bCs w:val="0"/>
              </w:rPr>
            </w:pPr>
            <w:r w:rsidRPr="00A963F0">
              <w:rPr>
                <w:b w:val="0"/>
                <w:bCs w:val="0"/>
              </w:rPr>
              <w:t>Sep</w:t>
            </w:r>
            <w:r w:rsidR="00BA1D42" w:rsidRPr="00A963F0">
              <w:rPr>
                <w:b w:val="0"/>
                <w:bCs w:val="0"/>
              </w:rPr>
              <w:t>tember</w:t>
            </w:r>
            <w:r w:rsidRPr="00A963F0">
              <w:rPr>
                <w:b w:val="0"/>
                <w:bCs w:val="0"/>
              </w:rPr>
              <w:t xml:space="preserve"> 2019</w:t>
            </w:r>
          </w:p>
        </w:tc>
        <w:tc>
          <w:tcPr>
            <w:tcW w:w="963" w:type="dxa"/>
            <w:noWrap/>
            <w:vAlign w:val="bottom"/>
          </w:tcPr>
          <w:p w14:paraId="12FF6ED8" w14:textId="77777777" w:rsidR="006C5C98" w:rsidRPr="00B275E2" w:rsidRDefault="006C5C98" w:rsidP="007F0B1E">
            <w:pPr>
              <w:pStyle w:val="TableText"/>
              <w:cnfStyle w:val="000000000000" w:firstRow="0" w:lastRow="0" w:firstColumn="0" w:lastColumn="0" w:oddVBand="0" w:evenVBand="0" w:oddHBand="0" w:evenHBand="0" w:firstRowFirstColumn="0" w:firstRowLastColumn="0" w:lastRowFirstColumn="0" w:lastRowLastColumn="0"/>
              <w:rPr>
                <w:szCs w:val="18"/>
              </w:rPr>
            </w:pPr>
            <w:r w:rsidRPr="00B275E2">
              <w:rPr>
                <w:szCs w:val="18"/>
              </w:rPr>
              <w:t>kWh</w:t>
            </w:r>
          </w:p>
        </w:tc>
        <w:tc>
          <w:tcPr>
            <w:tcW w:w="1404" w:type="dxa"/>
            <w:shd w:val="clear" w:color="auto" w:fill="D2DDE1" w:themeFill="background2"/>
            <w:noWrap/>
            <w:vAlign w:val="bottom"/>
          </w:tcPr>
          <w:p w14:paraId="6C4C1CF1" w14:textId="7867D1CF" w:rsidR="006C5C98" w:rsidRPr="00B275E2" w:rsidRDefault="003452F0" w:rsidP="007F0B1E">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Pr>
                <w:rFonts w:cs="Calibri"/>
                <w:szCs w:val="18"/>
              </w:rPr>
              <w:t>0.113</w:t>
            </w:r>
          </w:p>
        </w:tc>
        <w:tc>
          <w:tcPr>
            <w:tcW w:w="1404" w:type="dxa"/>
            <w:shd w:val="clear" w:color="auto" w:fill="auto"/>
            <w:noWrap/>
            <w:vAlign w:val="bottom"/>
          </w:tcPr>
          <w:p w14:paraId="3EFF3458" w14:textId="0B3A153B" w:rsidR="006C5C98" w:rsidRPr="00B275E2" w:rsidRDefault="00E261E0" w:rsidP="007F0B1E">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Pr>
                <w:rFonts w:cs="Calibri"/>
                <w:szCs w:val="18"/>
              </w:rPr>
              <w:t>0.110</w:t>
            </w:r>
          </w:p>
        </w:tc>
        <w:tc>
          <w:tcPr>
            <w:tcW w:w="1404" w:type="dxa"/>
            <w:shd w:val="clear" w:color="auto" w:fill="auto"/>
            <w:noWrap/>
            <w:vAlign w:val="bottom"/>
          </w:tcPr>
          <w:p w14:paraId="5F87DFDF" w14:textId="4E9B2387" w:rsidR="006C5C98" w:rsidRPr="00B275E2" w:rsidRDefault="00E261E0" w:rsidP="007F0B1E">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Pr>
                <w:rFonts w:cs="Calibri"/>
                <w:szCs w:val="18"/>
              </w:rPr>
              <w:t>0.00</w:t>
            </w:r>
            <w:r w:rsidR="00784A6E">
              <w:rPr>
                <w:rFonts w:cs="Calibri"/>
                <w:szCs w:val="18"/>
              </w:rPr>
              <w:t>28</w:t>
            </w:r>
          </w:p>
        </w:tc>
        <w:tc>
          <w:tcPr>
            <w:tcW w:w="1405" w:type="dxa"/>
            <w:tcBorders>
              <w:right w:val="single" w:sz="4" w:space="0" w:color="FFFFFF" w:themeColor="background1"/>
            </w:tcBorders>
            <w:shd w:val="clear" w:color="auto" w:fill="auto"/>
            <w:noWrap/>
            <w:vAlign w:val="bottom"/>
          </w:tcPr>
          <w:p w14:paraId="7AA447EC" w14:textId="0435C8A7" w:rsidR="006C5C98" w:rsidRPr="00B275E2" w:rsidRDefault="00A76ECA" w:rsidP="007F0B1E">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rFonts w:cs="Calibri"/>
                <w:szCs w:val="18"/>
              </w:rPr>
              <w:t>0.000</w:t>
            </w:r>
            <w:r w:rsidR="00BD7B3A">
              <w:rPr>
                <w:rFonts w:cs="Calibri"/>
                <w:szCs w:val="18"/>
              </w:rPr>
              <w:t>2</w:t>
            </w:r>
          </w:p>
        </w:tc>
      </w:tr>
      <w:tr w:rsidR="006C5C98" w:rsidRPr="00B275E2" w14:paraId="20378A7B" w14:textId="77777777" w:rsidTr="00BA1D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Borders>
              <w:left w:val="single" w:sz="4" w:space="0" w:color="FFFFFF" w:themeColor="background1"/>
            </w:tcBorders>
            <w:noWrap/>
            <w:vAlign w:val="bottom"/>
          </w:tcPr>
          <w:p w14:paraId="35C95301" w14:textId="24942EF5" w:rsidR="006C5C98" w:rsidRPr="00A963F0" w:rsidRDefault="006C5C98" w:rsidP="6D0D347F">
            <w:pPr>
              <w:pStyle w:val="TableText"/>
              <w:rPr>
                <w:b w:val="0"/>
                <w:bCs w:val="0"/>
              </w:rPr>
            </w:pPr>
            <w:r w:rsidRPr="00A963F0">
              <w:rPr>
                <w:b w:val="0"/>
                <w:bCs w:val="0"/>
              </w:rPr>
              <w:t>Jun</w:t>
            </w:r>
            <w:r w:rsidR="00BA1D42" w:rsidRPr="00A963F0">
              <w:rPr>
                <w:b w:val="0"/>
                <w:bCs w:val="0"/>
              </w:rPr>
              <w:t>e</w:t>
            </w:r>
            <w:r w:rsidRPr="00A963F0">
              <w:rPr>
                <w:b w:val="0"/>
                <w:bCs w:val="0"/>
              </w:rPr>
              <w:t xml:space="preserve"> 2019</w:t>
            </w:r>
          </w:p>
        </w:tc>
        <w:tc>
          <w:tcPr>
            <w:tcW w:w="963" w:type="dxa"/>
            <w:noWrap/>
            <w:vAlign w:val="bottom"/>
          </w:tcPr>
          <w:p w14:paraId="078222EF" w14:textId="77777777" w:rsidR="006C5C98" w:rsidRPr="00B275E2" w:rsidRDefault="006C5C98" w:rsidP="007F0B1E">
            <w:pPr>
              <w:pStyle w:val="TableText"/>
              <w:cnfStyle w:val="000000100000" w:firstRow="0" w:lastRow="0" w:firstColumn="0" w:lastColumn="0" w:oddVBand="0" w:evenVBand="0" w:oddHBand="1" w:evenHBand="0" w:firstRowFirstColumn="0" w:firstRowLastColumn="0" w:lastRowFirstColumn="0" w:lastRowLastColumn="0"/>
              <w:rPr>
                <w:szCs w:val="18"/>
              </w:rPr>
            </w:pPr>
            <w:r w:rsidRPr="00B275E2">
              <w:rPr>
                <w:szCs w:val="18"/>
              </w:rPr>
              <w:t>kWh</w:t>
            </w:r>
          </w:p>
        </w:tc>
        <w:tc>
          <w:tcPr>
            <w:tcW w:w="1404" w:type="dxa"/>
            <w:shd w:val="clear" w:color="auto" w:fill="D2DDE1" w:themeFill="background2"/>
            <w:noWrap/>
            <w:vAlign w:val="bottom"/>
          </w:tcPr>
          <w:p w14:paraId="2682EEF0" w14:textId="14A4B845" w:rsidR="006C5C98" w:rsidRPr="00B275E2" w:rsidRDefault="003452F0" w:rsidP="007F0B1E">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Pr>
                <w:rFonts w:cs="Calibri"/>
                <w:szCs w:val="18"/>
              </w:rPr>
              <w:t>0.101</w:t>
            </w:r>
          </w:p>
        </w:tc>
        <w:tc>
          <w:tcPr>
            <w:tcW w:w="1404" w:type="dxa"/>
            <w:shd w:val="clear" w:color="auto" w:fill="auto"/>
            <w:noWrap/>
            <w:vAlign w:val="bottom"/>
          </w:tcPr>
          <w:p w14:paraId="081524F0" w14:textId="798CE0CE" w:rsidR="006C5C98" w:rsidRPr="00B275E2" w:rsidRDefault="00E261E0" w:rsidP="007F0B1E">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Pr>
                <w:rFonts w:cs="Calibri"/>
                <w:szCs w:val="18"/>
              </w:rPr>
              <w:t>0.098</w:t>
            </w:r>
          </w:p>
        </w:tc>
        <w:tc>
          <w:tcPr>
            <w:tcW w:w="1404" w:type="dxa"/>
            <w:shd w:val="clear" w:color="auto" w:fill="auto"/>
            <w:noWrap/>
            <w:vAlign w:val="bottom"/>
          </w:tcPr>
          <w:p w14:paraId="2E36C40F" w14:textId="4F42761C" w:rsidR="006C5C98" w:rsidRPr="00B275E2" w:rsidRDefault="00E261E0" w:rsidP="007F0B1E">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Pr>
                <w:rFonts w:cs="Calibri"/>
                <w:szCs w:val="18"/>
              </w:rPr>
              <w:t>0.00</w:t>
            </w:r>
            <w:r w:rsidR="00784A6E">
              <w:rPr>
                <w:rFonts w:cs="Calibri"/>
                <w:szCs w:val="18"/>
              </w:rPr>
              <w:t>30</w:t>
            </w:r>
          </w:p>
        </w:tc>
        <w:tc>
          <w:tcPr>
            <w:tcW w:w="1405" w:type="dxa"/>
            <w:tcBorders>
              <w:right w:val="single" w:sz="4" w:space="0" w:color="FFFFFF" w:themeColor="background1"/>
            </w:tcBorders>
            <w:shd w:val="clear" w:color="auto" w:fill="auto"/>
            <w:noWrap/>
            <w:vAlign w:val="bottom"/>
          </w:tcPr>
          <w:p w14:paraId="060C481F" w14:textId="749CE0CF" w:rsidR="006C5C98" w:rsidRPr="00B275E2" w:rsidRDefault="00A76ECA" w:rsidP="007F0B1E">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Pr>
                <w:rFonts w:cs="Calibri"/>
                <w:szCs w:val="18"/>
              </w:rPr>
              <w:t>0.000</w:t>
            </w:r>
            <w:r w:rsidR="00BD7B3A">
              <w:rPr>
                <w:rFonts w:cs="Calibri"/>
                <w:szCs w:val="18"/>
              </w:rPr>
              <w:t>2</w:t>
            </w:r>
          </w:p>
        </w:tc>
      </w:tr>
      <w:tr w:rsidR="006C5C98" w:rsidRPr="00B275E2" w14:paraId="4EF449CE" w14:textId="77777777" w:rsidTr="00BA1D42">
        <w:tc>
          <w:tcPr>
            <w:cnfStyle w:val="001000000000" w:firstRow="0" w:lastRow="0" w:firstColumn="1" w:lastColumn="0" w:oddVBand="0" w:evenVBand="0" w:oddHBand="0" w:evenHBand="0" w:firstRowFirstColumn="0" w:firstRowLastColumn="0" w:lastRowFirstColumn="0" w:lastRowLastColumn="0"/>
            <w:tcW w:w="1925" w:type="dxa"/>
            <w:tcBorders>
              <w:left w:val="single" w:sz="4" w:space="0" w:color="FFFFFF" w:themeColor="background1"/>
            </w:tcBorders>
            <w:noWrap/>
            <w:vAlign w:val="bottom"/>
          </w:tcPr>
          <w:p w14:paraId="0DC85386" w14:textId="42509E07" w:rsidR="006C5C98" w:rsidRPr="00A963F0" w:rsidRDefault="006C5C98" w:rsidP="6D0D347F">
            <w:pPr>
              <w:pStyle w:val="TableText"/>
              <w:rPr>
                <w:b w:val="0"/>
                <w:bCs w:val="0"/>
              </w:rPr>
            </w:pPr>
            <w:r w:rsidRPr="00A963F0">
              <w:rPr>
                <w:b w:val="0"/>
                <w:bCs w:val="0"/>
              </w:rPr>
              <w:t>Mar</w:t>
            </w:r>
            <w:r w:rsidR="00BA1D42" w:rsidRPr="00A963F0">
              <w:rPr>
                <w:b w:val="0"/>
                <w:bCs w:val="0"/>
              </w:rPr>
              <w:t>ch</w:t>
            </w:r>
            <w:r w:rsidRPr="00A963F0">
              <w:rPr>
                <w:b w:val="0"/>
                <w:bCs w:val="0"/>
              </w:rPr>
              <w:t xml:space="preserve"> 2019</w:t>
            </w:r>
          </w:p>
        </w:tc>
        <w:tc>
          <w:tcPr>
            <w:tcW w:w="963" w:type="dxa"/>
            <w:noWrap/>
            <w:vAlign w:val="bottom"/>
          </w:tcPr>
          <w:p w14:paraId="5938F00E" w14:textId="77777777" w:rsidR="006C5C98" w:rsidRPr="00B275E2" w:rsidRDefault="006C5C98" w:rsidP="007F0B1E">
            <w:pPr>
              <w:pStyle w:val="TableText"/>
              <w:cnfStyle w:val="000000000000" w:firstRow="0" w:lastRow="0" w:firstColumn="0" w:lastColumn="0" w:oddVBand="0" w:evenVBand="0" w:oddHBand="0" w:evenHBand="0" w:firstRowFirstColumn="0" w:firstRowLastColumn="0" w:lastRowFirstColumn="0" w:lastRowLastColumn="0"/>
              <w:rPr>
                <w:szCs w:val="18"/>
              </w:rPr>
            </w:pPr>
            <w:r w:rsidRPr="00B275E2">
              <w:rPr>
                <w:szCs w:val="18"/>
              </w:rPr>
              <w:t>kWh</w:t>
            </w:r>
          </w:p>
        </w:tc>
        <w:tc>
          <w:tcPr>
            <w:tcW w:w="1404" w:type="dxa"/>
            <w:shd w:val="clear" w:color="auto" w:fill="D2DDE1" w:themeFill="background2"/>
            <w:noWrap/>
            <w:vAlign w:val="bottom"/>
          </w:tcPr>
          <w:p w14:paraId="785E21A6" w14:textId="70D3BE2F" w:rsidR="006C5C98" w:rsidRPr="00B275E2" w:rsidRDefault="003452F0" w:rsidP="007F0B1E">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Pr>
                <w:rFonts w:cs="Calibri"/>
                <w:szCs w:val="18"/>
              </w:rPr>
              <w:t>0.131</w:t>
            </w:r>
          </w:p>
        </w:tc>
        <w:tc>
          <w:tcPr>
            <w:tcW w:w="1404" w:type="dxa"/>
            <w:shd w:val="clear" w:color="auto" w:fill="auto"/>
            <w:noWrap/>
            <w:vAlign w:val="bottom"/>
          </w:tcPr>
          <w:p w14:paraId="4E3DD1F8" w14:textId="17E2BDC8" w:rsidR="006C5C98" w:rsidRPr="00B275E2" w:rsidRDefault="00E261E0" w:rsidP="007F0B1E">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Pr>
                <w:rFonts w:cs="Calibri"/>
                <w:szCs w:val="18"/>
              </w:rPr>
              <w:t>0.128</w:t>
            </w:r>
          </w:p>
        </w:tc>
        <w:tc>
          <w:tcPr>
            <w:tcW w:w="1404" w:type="dxa"/>
            <w:shd w:val="clear" w:color="auto" w:fill="auto"/>
            <w:noWrap/>
            <w:vAlign w:val="bottom"/>
          </w:tcPr>
          <w:p w14:paraId="34ACE9E4" w14:textId="320E047F" w:rsidR="006C5C98" w:rsidRPr="00B275E2" w:rsidRDefault="00E261E0" w:rsidP="007F0B1E">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Pr>
                <w:rFonts w:cs="Calibri"/>
                <w:szCs w:val="18"/>
              </w:rPr>
              <w:t>0.00</w:t>
            </w:r>
            <w:r w:rsidR="00784A6E">
              <w:rPr>
                <w:rFonts w:cs="Calibri"/>
                <w:szCs w:val="18"/>
              </w:rPr>
              <w:t>30</w:t>
            </w:r>
          </w:p>
        </w:tc>
        <w:tc>
          <w:tcPr>
            <w:tcW w:w="1405" w:type="dxa"/>
            <w:tcBorders>
              <w:right w:val="single" w:sz="4" w:space="0" w:color="FFFFFF" w:themeColor="background1"/>
            </w:tcBorders>
            <w:shd w:val="clear" w:color="auto" w:fill="auto"/>
            <w:noWrap/>
            <w:vAlign w:val="bottom"/>
          </w:tcPr>
          <w:p w14:paraId="68959EA7" w14:textId="091AE9BF" w:rsidR="006C5C98" w:rsidRPr="00B275E2" w:rsidRDefault="00A76ECA" w:rsidP="007F0B1E">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rFonts w:cs="Calibri"/>
                <w:szCs w:val="18"/>
              </w:rPr>
              <w:t>0.000</w:t>
            </w:r>
            <w:r w:rsidR="0073069C">
              <w:rPr>
                <w:rFonts w:cs="Calibri"/>
                <w:szCs w:val="18"/>
              </w:rPr>
              <w:t>3</w:t>
            </w:r>
          </w:p>
        </w:tc>
      </w:tr>
    </w:tbl>
    <w:p w14:paraId="5EE6EF19" w14:textId="275C753B" w:rsidR="00B276B8" w:rsidRPr="00B275E2" w:rsidRDefault="00301928" w:rsidP="00C24B73">
      <w:pPr>
        <w:pStyle w:val="Heading3"/>
        <w:numPr>
          <w:ilvl w:val="0"/>
          <w:numId w:val="23"/>
        </w:numPr>
      </w:pPr>
      <w:bookmarkStart w:id="252" w:name="_Toc532904884"/>
      <w:r w:rsidRPr="00B275E2">
        <w:t xml:space="preserve">GHG </w:t>
      </w:r>
      <w:r w:rsidR="00B276B8" w:rsidRPr="00B275E2">
        <w:t>inventory development</w:t>
      </w:r>
      <w:bookmarkEnd w:id="252"/>
      <w:r w:rsidR="00B276B8" w:rsidRPr="00B275E2">
        <w:t xml:space="preserve"> </w:t>
      </w:r>
    </w:p>
    <w:p w14:paraId="43B831D2" w14:textId="79D3FBD7" w:rsidR="00B276B8" w:rsidRPr="00B275E2" w:rsidRDefault="005C1CC8" w:rsidP="0087252B">
      <w:pPr>
        <w:pStyle w:val="BodyText"/>
      </w:pPr>
      <w:r w:rsidRPr="00B275E2">
        <w:t xml:space="preserve">To calculate the emissions from purchased electricity, collect data on the quantity of electricity used during the period in kilowatt hours (kWh) and multiply this by the emission factor. </w:t>
      </w:r>
      <w:r w:rsidR="00D1128D" w:rsidRPr="00B275E2">
        <w:t xml:space="preserve">Applying the equation </w:t>
      </w:r>
      <w:r w:rsidR="00A71EB9" w:rsidRPr="00B275E2">
        <w:t>E = Q x F</w:t>
      </w:r>
      <w:r w:rsidR="00D1128D" w:rsidRPr="00B275E2">
        <w:t xml:space="preserve"> </w:t>
      </w:r>
      <w:r w:rsidR="00A71EB9" w:rsidRPr="00B275E2">
        <w:t>(</w:t>
      </w:r>
      <w:hyperlink w:anchor="_How_to_calculate" w:history="1">
        <w:r w:rsidR="00CD2B39" w:rsidRPr="00B275E2">
          <w:rPr>
            <w:rStyle w:val="Hyperlink"/>
          </w:rPr>
          <w:t>s</w:t>
        </w:r>
        <w:r w:rsidR="006D445E" w:rsidRPr="00B275E2">
          <w:rPr>
            <w:rStyle w:val="Hyperlink"/>
          </w:rPr>
          <w:t>ection 2</w:t>
        </w:r>
      </w:hyperlink>
      <w:r w:rsidR="00A71EB9" w:rsidRPr="00B275E2">
        <w:rPr>
          <w:rStyle w:val="Hyperlink"/>
          <w:color w:val="auto"/>
        </w:rPr>
        <w:t>)</w:t>
      </w:r>
      <w:r w:rsidR="00D1128D" w:rsidRPr="00B275E2">
        <w:rPr>
          <w:i/>
        </w:rPr>
        <w:t>,</w:t>
      </w:r>
      <w:r w:rsidR="00D1128D" w:rsidRPr="00B275E2">
        <w:t xml:space="preserve"> this means</w:t>
      </w:r>
      <w:r w:rsidRPr="00B275E2">
        <w:t>:</w:t>
      </w:r>
    </w:p>
    <w:p w14:paraId="254EB2AD" w14:textId="46EAEB8E" w:rsidR="00A71EB9" w:rsidRPr="00B275E2" w:rsidRDefault="00A71EB9" w:rsidP="0087252B">
      <w:pPr>
        <w:pStyle w:val="BodyText"/>
        <w:tabs>
          <w:tab w:val="left" w:pos="680"/>
        </w:tabs>
        <w:contextualSpacing/>
      </w:pPr>
      <w:r w:rsidRPr="00B275E2">
        <w:t>E</w:t>
      </w:r>
      <w:r w:rsidRPr="00B275E2">
        <w:tab/>
        <w:t>=</w:t>
      </w:r>
      <w:r w:rsidRPr="00B275E2">
        <w:tab/>
      </w:r>
      <w:r w:rsidR="0087252B" w:rsidRPr="00B275E2">
        <w:t xml:space="preserve"> </w:t>
      </w:r>
      <w:r w:rsidRPr="00B275E2">
        <w:t>emissions from the emissions source in kg CO</w:t>
      </w:r>
      <w:r w:rsidRPr="00B275E2">
        <w:rPr>
          <w:vertAlign w:val="subscript"/>
        </w:rPr>
        <w:t>2</w:t>
      </w:r>
      <w:r w:rsidRPr="00B275E2">
        <w:t>-e per year</w:t>
      </w:r>
    </w:p>
    <w:p w14:paraId="10F8FCD7" w14:textId="28BE8C78" w:rsidR="002C3304" w:rsidRPr="00B275E2" w:rsidRDefault="00B276B8" w:rsidP="0087252B">
      <w:pPr>
        <w:pStyle w:val="BodyText"/>
        <w:tabs>
          <w:tab w:val="left" w:pos="680"/>
        </w:tabs>
        <w:contextualSpacing/>
      </w:pPr>
      <w:r w:rsidRPr="00B275E2">
        <w:t>Q</w:t>
      </w:r>
      <w:r w:rsidR="00E57DD8" w:rsidRPr="00B275E2">
        <w:tab/>
      </w:r>
      <w:r w:rsidRPr="00B275E2">
        <w:t>=</w:t>
      </w:r>
      <w:r w:rsidR="008E1E71" w:rsidRPr="00B275E2">
        <w:t xml:space="preserve"> </w:t>
      </w:r>
      <w:r w:rsidR="00060B14" w:rsidRPr="00B275E2">
        <w:t>quantity</w:t>
      </w:r>
      <w:r w:rsidRPr="00B275E2">
        <w:t xml:space="preserve"> of electricity</w:t>
      </w:r>
      <w:r w:rsidR="00060B14" w:rsidRPr="00B275E2">
        <w:t xml:space="preserve"> used</w:t>
      </w:r>
      <w:r w:rsidRPr="00B275E2">
        <w:t xml:space="preserve"> (</w:t>
      </w:r>
      <w:r w:rsidR="00060B14" w:rsidRPr="00B275E2">
        <w:t>kWh</w:t>
      </w:r>
      <w:r w:rsidRPr="00B275E2">
        <w:t>)</w:t>
      </w:r>
      <w:r w:rsidR="00A71EB9" w:rsidRPr="00B275E2">
        <w:br/>
      </w:r>
      <w:r w:rsidR="00E57DD8" w:rsidRPr="00B275E2">
        <w:t>F</w:t>
      </w:r>
      <w:r w:rsidR="00E57DD8" w:rsidRPr="00B275E2">
        <w:tab/>
        <w:t>=</w:t>
      </w:r>
      <w:r w:rsidR="008E1E71" w:rsidRPr="00B275E2">
        <w:t xml:space="preserve"> </w:t>
      </w:r>
      <w:r w:rsidRPr="00B275E2">
        <w:t xml:space="preserve">emission factors from </w:t>
      </w:r>
      <w:r w:rsidR="002C3304" w:rsidRPr="00B275E2">
        <w:t>table 9</w:t>
      </w:r>
      <w:r w:rsidR="00756D5B">
        <w:t xml:space="preserve"> or table 10</w:t>
      </w:r>
    </w:p>
    <w:p w14:paraId="3977EF50" w14:textId="2FE9CCE0" w:rsidR="00B276B8" w:rsidRPr="00B275E2" w:rsidRDefault="00B276B8" w:rsidP="0087252B">
      <w:pPr>
        <w:pStyle w:val="BodyText"/>
        <w:spacing w:after="240"/>
      </w:pPr>
      <w:r w:rsidRPr="00B275E2">
        <w:t>All organisations across sectors typically report emissions using data on the amount of electricity used during the reporting period. Quantified units of electricity consumed are</w:t>
      </w:r>
      <w:r w:rsidR="006C0531" w:rsidRPr="00B275E2">
        <w:t> </w:t>
      </w:r>
      <w:r w:rsidRPr="00B275E2">
        <w:t>preferable.</w:t>
      </w:r>
    </w:p>
    <w:tbl>
      <w:tblPr>
        <w:tblW w:w="8500"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0"/>
      </w:tblGrid>
      <w:tr w:rsidR="005C1CC8" w:rsidRPr="00B275E2" w:rsidDel="00D5390D" w14:paraId="7C22C4FF" w14:textId="77777777" w:rsidTr="0087252B">
        <w:tc>
          <w:tcPr>
            <w:tcW w:w="8500" w:type="dxa"/>
            <w:tcBorders>
              <w:top w:val="single" w:sz="4" w:space="0" w:color="0F7B7D"/>
              <w:left w:val="single" w:sz="4" w:space="0" w:color="0F7B7D"/>
              <w:bottom w:val="nil"/>
              <w:right w:val="single" w:sz="4" w:space="0" w:color="0F7B7D"/>
            </w:tcBorders>
            <w:shd w:val="clear" w:color="auto" w:fill="0F7B7D"/>
            <w:vAlign w:val="center"/>
          </w:tcPr>
          <w:p w14:paraId="701BF8C0" w14:textId="612BA440" w:rsidR="005C1CC8" w:rsidRPr="00B275E2" w:rsidDel="00D5390D" w:rsidRDefault="00DA4EBA" w:rsidP="007F0B1E">
            <w:pPr>
              <w:pStyle w:val="Casestudyheading"/>
              <w:ind w:left="0"/>
              <w:rPr>
                <w:highlight w:val="yellow"/>
              </w:rPr>
            </w:pPr>
            <w:bookmarkStart w:id="253" w:name="_Hlk532637293"/>
            <w:r w:rsidRPr="00B275E2">
              <w:t xml:space="preserve">PURCHASED ELECTRICITY: </w:t>
            </w:r>
            <w:r w:rsidR="005C1CC8" w:rsidRPr="00B275E2">
              <w:t>Example Calculation</w:t>
            </w:r>
          </w:p>
        </w:tc>
      </w:tr>
      <w:tr w:rsidR="005C1CC8" w:rsidRPr="00B275E2" w14:paraId="72A9917E" w14:textId="77777777" w:rsidTr="0087252B">
        <w:trPr>
          <w:trHeight w:val="1146"/>
        </w:trPr>
        <w:tc>
          <w:tcPr>
            <w:tcW w:w="8500" w:type="dxa"/>
            <w:tcBorders>
              <w:top w:val="nil"/>
              <w:left w:val="single" w:sz="4" w:space="0" w:color="D5EBE8" w:themeColor="accent3"/>
              <w:bottom w:val="single" w:sz="4" w:space="0" w:color="D5EBE8" w:themeColor="accent3"/>
              <w:right w:val="single" w:sz="4" w:space="0" w:color="D5EBE8" w:themeColor="accent3"/>
            </w:tcBorders>
            <w:shd w:val="clear" w:color="auto" w:fill="D5EBE8" w:themeFill="accent3"/>
          </w:tcPr>
          <w:p w14:paraId="5CEC7687" w14:textId="4B609754" w:rsidR="005C1CC8" w:rsidRPr="00B275E2" w:rsidRDefault="00013B45" w:rsidP="000879A6">
            <w:pPr>
              <w:pStyle w:val="Boxtext"/>
              <w:spacing w:after="80"/>
            </w:pPr>
            <w:r w:rsidRPr="00B275E2">
              <w:t>A</w:t>
            </w:r>
            <w:r w:rsidR="005C1CC8" w:rsidRPr="00B275E2">
              <w:t xml:space="preserve">n organisation uses 800,000 kWh of electricity in the </w:t>
            </w:r>
            <w:r w:rsidRPr="00B275E2">
              <w:t>20</w:t>
            </w:r>
            <w:r w:rsidR="008B1ACB">
              <w:t>20</w:t>
            </w:r>
            <w:r w:rsidRPr="00B275E2">
              <w:t xml:space="preserve"> </w:t>
            </w:r>
            <w:r w:rsidR="005C1CC8" w:rsidRPr="00B275E2">
              <w:t xml:space="preserve">reporting period. Its indirect (Scope 2) emissions from electricity are: </w:t>
            </w:r>
          </w:p>
          <w:p w14:paraId="2F6E2F6E" w14:textId="2E89F93A" w:rsidR="005C1CC8" w:rsidRPr="00B275E2" w:rsidRDefault="005C1CC8" w:rsidP="000879A6">
            <w:pPr>
              <w:pStyle w:val="Boxtext"/>
              <w:spacing w:before="20" w:after="20"/>
            </w:pPr>
            <w:r w:rsidRPr="00B275E2">
              <w:t>CO</w:t>
            </w:r>
            <w:r w:rsidRPr="00B275E2">
              <w:rPr>
                <w:vertAlign w:val="subscript"/>
              </w:rPr>
              <w:t>2</w:t>
            </w:r>
            <w:r w:rsidRPr="00B275E2">
              <w:t xml:space="preserve"> emissions </w:t>
            </w:r>
            <w:r w:rsidRPr="00B275E2">
              <w:tab/>
            </w:r>
            <w:r w:rsidR="00017D9F" w:rsidRPr="00B275E2">
              <w:tab/>
            </w:r>
            <w:r w:rsidR="00017D9F" w:rsidRPr="00B275E2">
              <w:tab/>
            </w:r>
            <w:r w:rsidRPr="00B275E2">
              <w:t>= 800,000 × 0.</w:t>
            </w:r>
            <w:r w:rsidR="00162E52">
              <w:t>1</w:t>
            </w:r>
            <w:r w:rsidR="00400BCB">
              <w:t>1</w:t>
            </w:r>
            <w:r w:rsidR="00950436">
              <w:t>7</w:t>
            </w:r>
            <w:r w:rsidR="00017D9F" w:rsidRPr="00B275E2">
              <w:tab/>
            </w:r>
            <w:r w:rsidR="00017D9F" w:rsidRPr="00B275E2">
              <w:tab/>
            </w:r>
            <w:r w:rsidR="00017D9F" w:rsidRPr="00B275E2">
              <w:tab/>
            </w:r>
            <w:r w:rsidRPr="00B275E2">
              <w:t xml:space="preserve">= </w:t>
            </w:r>
            <w:r w:rsidR="00200214">
              <w:t>93,600</w:t>
            </w:r>
            <w:r w:rsidR="003A4162" w:rsidRPr="00B275E2">
              <w:t xml:space="preserve"> </w:t>
            </w:r>
            <w:r w:rsidR="00DF1938" w:rsidRPr="00B275E2">
              <w:t xml:space="preserve">kg </w:t>
            </w:r>
            <w:r w:rsidRPr="00B275E2">
              <w:t>CO</w:t>
            </w:r>
            <w:r w:rsidRPr="00B275E2">
              <w:rPr>
                <w:vertAlign w:val="subscript"/>
              </w:rPr>
              <w:t>2</w:t>
            </w:r>
          </w:p>
          <w:p w14:paraId="311E4DD4" w14:textId="582BD4EC" w:rsidR="005C1CC8" w:rsidRPr="00B275E2" w:rsidRDefault="005C1CC8" w:rsidP="000879A6">
            <w:pPr>
              <w:pStyle w:val="Boxtext"/>
              <w:spacing w:before="20" w:after="20"/>
            </w:pPr>
            <w:r w:rsidRPr="00B275E2">
              <w:t>CH</w:t>
            </w:r>
            <w:r w:rsidRPr="00B275E2">
              <w:rPr>
                <w:vertAlign w:val="subscript"/>
              </w:rPr>
              <w:t>4</w:t>
            </w:r>
            <w:r w:rsidRPr="00B275E2">
              <w:t xml:space="preserve"> emissions </w:t>
            </w:r>
            <w:r w:rsidRPr="00B275E2">
              <w:tab/>
            </w:r>
            <w:r w:rsidR="00017D9F" w:rsidRPr="00B275E2">
              <w:tab/>
            </w:r>
            <w:r w:rsidR="00017D9F" w:rsidRPr="00B275E2">
              <w:tab/>
            </w:r>
            <w:r w:rsidRPr="00B275E2">
              <w:t>= 800,000 × 0.00</w:t>
            </w:r>
            <w:r w:rsidR="0088560D">
              <w:t>28</w:t>
            </w:r>
            <w:r w:rsidR="00017D9F" w:rsidRPr="00B275E2">
              <w:tab/>
            </w:r>
            <w:r w:rsidR="00017D9F" w:rsidRPr="00B275E2">
              <w:tab/>
            </w:r>
            <w:r w:rsidR="00017D9F" w:rsidRPr="00B275E2">
              <w:tab/>
            </w:r>
            <w:r w:rsidRPr="00B275E2">
              <w:t xml:space="preserve">= </w:t>
            </w:r>
            <w:r w:rsidR="006A30E3">
              <w:t>2,240</w:t>
            </w:r>
            <w:r w:rsidR="001D2629" w:rsidRPr="00B275E2">
              <w:t xml:space="preserve"> </w:t>
            </w:r>
            <w:r w:rsidRPr="00B275E2">
              <w:t>kg CO</w:t>
            </w:r>
            <w:r w:rsidRPr="00B275E2">
              <w:rPr>
                <w:vertAlign w:val="subscript"/>
              </w:rPr>
              <w:t>2</w:t>
            </w:r>
            <w:r w:rsidRPr="00B275E2">
              <w:t xml:space="preserve">-e </w:t>
            </w:r>
          </w:p>
          <w:p w14:paraId="729C80B3" w14:textId="68000E14" w:rsidR="005C1CC8" w:rsidRPr="00B275E2" w:rsidRDefault="005C1CC8" w:rsidP="000879A6">
            <w:pPr>
              <w:pStyle w:val="Boxtext"/>
              <w:spacing w:before="20" w:after="20"/>
            </w:pPr>
            <w:r w:rsidRPr="00B275E2">
              <w:t>N</w:t>
            </w:r>
            <w:r w:rsidRPr="00B275E2">
              <w:rPr>
                <w:vertAlign w:val="subscript"/>
              </w:rPr>
              <w:t>2</w:t>
            </w:r>
            <w:r w:rsidRPr="00B275E2">
              <w:t>O emissions</w:t>
            </w:r>
            <w:r w:rsidRPr="00B275E2">
              <w:tab/>
            </w:r>
            <w:r w:rsidR="00017D9F" w:rsidRPr="00B275E2">
              <w:tab/>
            </w:r>
            <w:r w:rsidR="00017D9F" w:rsidRPr="00B275E2">
              <w:tab/>
            </w:r>
            <w:r w:rsidRPr="00B275E2">
              <w:t>= 800,000 × 0.</w:t>
            </w:r>
            <w:r w:rsidR="009E021E" w:rsidRPr="00B275E2">
              <w:t>000</w:t>
            </w:r>
            <w:r w:rsidR="00C0754E">
              <w:t>2</w:t>
            </w:r>
            <w:r w:rsidR="00017D9F" w:rsidRPr="00B275E2">
              <w:tab/>
            </w:r>
            <w:r w:rsidR="00017D9F" w:rsidRPr="00B275E2">
              <w:tab/>
            </w:r>
            <w:r w:rsidR="00190E66" w:rsidRPr="00B275E2">
              <w:tab/>
            </w:r>
            <w:r w:rsidRPr="00B275E2">
              <w:t xml:space="preserve">= </w:t>
            </w:r>
            <w:r w:rsidR="00190E66">
              <w:t>160</w:t>
            </w:r>
            <w:r w:rsidR="001D2629" w:rsidRPr="00B275E2">
              <w:t xml:space="preserve"> </w:t>
            </w:r>
            <w:r w:rsidRPr="00B275E2">
              <w:t>kg CO</w:t>
            </w:r>
            <w:r w:rsidRPr="00B275E2">
              <w:rPr>
                <w:vertAlign w:val="subscript"/>
              </w:rPr>
              <w:t>2</w:t>
            </w:r>
            <w:r w:rsidRPr="00B275E2">
              <w:t xml:space="preserve">-e </w:t>
            </w:r>
          </w:p>
          <w:p w14:paraId="79024630" w14:textId="64166D00" w:rsidR="005C1CC8" w:rsidRPr="00B275E2" w:rsidRDefault="005C1CC8" w:rsidP="000879A6">
            <w:pPr>
              <w:pStyle w:val="Boxtext"/>
              <w:spacing w:before="20" w:after="20"/>
            </w:pPr>
            <w:r w:rsidRPr="00B275E2">
              <w:t>Total CO</w:t>
            </w:r>
            <w:r w:rsidRPr="00B275E2">
              <w:rPr>
                <w:vertAlign w:val="subscript"/>
              </w:rPr>
              <w:t>2</w:t>
            </w:r>
            <w:r w:rsidRPr="00B275E2">
              <w:t>-e emissions</w:t>
            </w:r>
            <w:r w:rsidRPr="00B275E2">
              <w:tab/>
              <w:t xml:space="preserve">= </w:t>
            </w:r>
            <w:r w:rsidR="006E47B2">
              <w:t>93,600 +</w:t>
            </w:r>
            <w:r w:rsidR="00325392">
              <w:t xml:space="preserve"> </w:t>
            </w:r>
            <w:r w:rsidR="00F80DBB">
              <w:t>2,240</w:t>
            </w:r>
            <w:r w:rsidR="00325392">
              <w:t xml:space="preserve"> + </w:t>
            </w:r>
            <w:r w:rsidR="00B66084">
              <w:t>160</w:t>
            </w:r>
            <w:r w:rsidR="00017D9F" w:rsidRPr="00B275E2">
              <w:tab/>
            </w:r>
            <w:r w:rsidR="00017D9F" w:rsidRPr="00B275E2">
              <w:tab/>
            </w:r>
            <w:r w:rsidRPr="00B275E2">
              <w:t xml:space="preserve">= </w:t>
            </w:r>
            <w:r w:rsidR="00B66084">
              <w:t>9</w:t>
            </w:r>
            <w:r w:rsidR="00B6194A">
              <w:t>6</w:t>
            </w:r>
            <w:r w:rsidR="00B66084">
              <w:t>,</w:t>
            </w:r>
            <w:r w:rsidR="00B6194A">
              <w:t>00</w:t>
            </w:r>
            <w:r w:rsidR="00B66084">
              <w:t>0</w:t>
            </w:r>
            <w:r w:rsidR="00D6131C" w:rsidRPr="00B275E2">
              <w:t xml:space="preserve"> </w:t>
            </w:r>
            <w:r w:rsidRPr="00B275E2">
              <w:t>kg CO</w:t>
            </w:r>
            <w:r w:rsidRPr="00B275E2">
              <w:rPr>
                <w:vertAlign w:val="subscript"/>
              </w:rPr>
              <w:t>2</w:t>
            </w:r>
            <w:r w:rsidRPr="00B275E2">
              <w:t xml:space="preserve">-e </w:t>
            </w:r>
          </w:p>
          <w:p w14:paraId="768BF7AD" w14:textId="63A6C159" w:rsidR="005C1CC8" w:rsidRPr="00B275E2" w:rsidRDefault="00741514" w:rsidP="000879A6">
            <w:pPr>
              <w:pStyle w:val="Boxtext"/>
              <w:spacing w:after="180"/>
            </w:pPr>
            <w:r w:rsidRPr="00B275E2">
              <w:rPr>
                <w:sz w:val="18"/>
              </w:rPr>
              <w:t>N</w:t>
            </w:r>
            <w:r w:rsidR="005C1CC8" w:rsidRPr="00B275E2">
              <w:rPr>
                <w:sz w:val="18"/>
              </w:rPr>
              <w:t>ote</w:t>
            </w:r>
            <w:r w:rsidR="00DA4EBA" w:rsidRPr="00B275E2">
              <w:rPr>
                <w:sz w:val="18"/>
              </w:rPr>
              <w:t>:</w:t>
            </w:r>
            <w:r w:rsidR="005C1CC8" w:rsidRPr="00B275E2">
              <w:rPr>
                <w:sz w:val="18"/>
              </w:rPr>
              <w:t xml:space="preserve"> </w:t>
            </w:r>
            <w:r w:rsidR="00DA4EBA" w:rsidRPr="00B275E2">
              <w:rPr>
                <w:sz w:val="18"/>
              </w:rPr>
              <w:t>N</w:t>
            </w:r>
            <w:r w:rsidR="005C1CC8" w:rsidRPr="00B275E2">
              <w:rPr>
                <w:sz w:val="18"/>
              </w:rPr>
              <w:t>umbers may not add due to rounding</w:t>
            </w:r>
            <w:r w:rsidR="00C450B5" w:rsidRPr="00B275E2">
              <w:rPr>
                <w:sz w:val="18"/>
              </w:rPr>
              <w:t>.</w:t>
            </w:r>
          </w:p>
        </w:tc>
      </w:tr>
    </w:tbl>
    <w:p w14:paraId="14653168" w14:textId="3D0E6287" w:rsidR="00B276B8" w:rsidRPr="00B275E2" w:rsidRDefault="00B276B8" w:rsidP="00C24B73">
      <w:pPr>
        <w:pStyle w:val="Heading3"/>
        <w:numPr>
          <w:ilvl w:val="0"/>
          <w:numId w:val="23"/>
        </w:numPr>
      </w:pPr>
      <w:bookmarkStart w:id="254" w:name="_Toc532904885"/>
      <w:bookmarkEnd w:id="253"/>
      <w:r w:rsidRPr="00B275E2">
        <w:t>Emission factor derivation methodology</w:t>
      </w:r>
      <w:bookmarkEnd w:id="254"/>
    </w:p>
    <w:p w14:paraId="2C6FAC4E" w14:textId="1E2BE87E" w:rsidR="008966C6" w:rsidRPr="00B275E2" w:rsidRDefault="00DE07E5" w:rsidP="00E97E0D">
      <w:pPr>
        <w:pStyle w:val="BodyText"/>
      </w:pPr>
      <w:r w:rsidRPr="00B275E2">
        <w:rPr>
          <w:color w:val="32809C" w:themeColor="accent2"/>
        </w:rPr>
        <w:fldChar w:fldCharType="begin"/>
      </w:r>
      <w:r w:rsidRPr="00B275E2">
        <w:rPr>
          <w:color w:val="32809C" w:themeColor="accent2"/>
        </w:rPr>
        <w:instrText xml:space="preserve"> REF _Ref54700044 \h </w:instrText>
      </w:r>
      <w:r w:rsidR="000620F0" w:rsidRPr="00B275E2">
        <w:rPr>
          <w:color w:val="32809C" w:themeColor="accent2"/>
        </w:rPr>
        <w:instrText xml:space="preserve"> \* MERGEFORMAT </w:instrText>
      </w:r>
      <w:r w:rsidRPr="00B275E2">
        <w:rPr>
          <w:color w:val="32809C" w:themeColor="accent2"/>
        </w:rPr>
      </w:r>
      <w:r w:rsidRPr="00B275E2">
        <w:rPr>
          <w:color w:val="32809C" w:themeColor="accent2"/>
        </w:rPr>
        <w:fldChar w:fldCharType="separate"/>
      </w:r>
      <w:r w:rsidR="003E141C" w:rsidRPr="00B275E2">
        <w:t>Table</w:t>
      </w:r>
      <w:r w:rsidR="003E141C" w:rsidRPr="00B275E2" w:rsidDel="00A329BF">
        <w:t xml:space="preserve"> </w:t>
      </w:r>
      <w:r w:rsidR="003E141C" w:rsidRPr="00B275E2">
        <w:t>11</w:t>
      </w:r>
      <w:r w:rsidRPr="00B275E2">
        <w:rPr>
          <w:color w:val="32809C" w:themeColor="accent2"/>
        </w:rPr>
        <w:fldChar w:fldCharType="end"/>
      </w:r>
      <w:r w:rsidR="00C32255" w:rsidRPr="00B275E2">
        <w:rPr>
          <w:color w:val="32809C" w:themeColor="accent2"/>
        </w:rPr>
        <w:t xml:space="preserve"> </w:t>
      </w:r>
      <w:r w:rsidR="00A959E4" w:rsidRPr="00B275E2">
        <w:t>detail</w:t>
      </w:r>
      <w:r w:rsidRPr="00B275E2">
        <w:t>s</w:t>
      </w:r>
      <w:r w:rsidR="00A959E4" w:rsidRPr="00B275E2">
        <w:t xml:space="preserve"> the d</w:t>
      </w:r>
      <w:r w:rsidR="00B276B8" w:rsidRPr="00B275E2">
        <w:t xml:space="preserve">ata </w:t>
      </w:r>
      <w:r w:rsidR="00A959E4" w:rsidRPr="00B275E2">
        <w:t>provided</w:t>
      </w:r>
      <w:r w:rsidR="00B276B8" w:rsidRPr="00B275E2">
        <w:t xml:space="preserve"> by MBIE</w:t>
      </w:r>
      <w:r w:rsidR="00A959E4" w:rsidRPr="00B275E2">
        <w:t xml:space="preserve"> to calculate the emission factors. </w:t>
      </w:r>
      <w:r w:rsidR="002D2AD5" w:rsidRPr="00B275E2">
        <w:rPr>
          <w:rFonts w:eastAsia="Times New Roman" w:cs="Times New Roman"/>
        </w:rPr>
        <w:t>New Zealand</w:t>
      </w:r>
      <w:r w:rsidR="00922798" w:rsidRPr="00B275E2">
        <w:rPr>
          <w:rFonts w:eastAsia="Times New Roman" w:cs="Times New Roman"/>
        </w:rPr>
        <w:t>’s</w:t>
      </w:r>
      <w:r w:rsidR="002D2AD5" w:rsidRPr="00B275E2">
        <w:rPr>
          <w:rFonts w:eastAsia="Times New Roman" w:cs="Times New Roman"/>
        </w:rPr>
        <w:t xml:space="preserve"> </w:t>
      </w:r>
      <w:r w:rsidR="005B5472" w:rsidRPr="00B275E2">
        <w:rPr>
          <w:rFonts w:eastAsia="Times New Roman" w:cs="Times New Roman"/>
        </w:rPr>
        <w:t xml:space="preserve">Greenhouse Gas </w:t>
      </w:r>
      <w:r w:rsidR="002D2AD5" w:rsidRPr="00B275E2">
        <w:t>Inventory</w:t>
      </w:r>
      <w:r w:rsidR="002A5092" w:rsidRPr="00B275E2">
        <w:rPr>
          <w:rFonts w:eastAsia="Times New Roman" w:cs="Times New Roman"/>
        </w:rPr>
        <w:t xml:space="preserve"> </w:t>
      </w:r>
      <w:r w:rsidR="00D1128D" w:rsidRPr="00B275E2">
        <w:t xml:space="preserve">also </w:t>
      </w:r>
      <w:r w:rsidR="001F2B66" w:rsidRPr="00B275E2">
        <w:t xml:space="preserve">contains </w:t>
      </w:r>
      <w:r w:rsidR="00D1128D" w:rsidRPr="00B275E2">
        <w:t>th</w:t>
      </w:r>
      <w:r w:rsidR="00A959E4" w:rsidRPr="00B275E2">
        <w:t>is information</w:t>
      </w:r>
      <w:r w:rsidR="00B276B8" w:rsidRPr="00B275E2">
        <w:t>.</w:t>
      </w:r>
    </w:p>
    <w:p w14:paraId="0BB1C613" w14:textId="077DF96B" w:rsidR="00873CCE" w:rsidRPr="00B275E2" w:rsidRDefault="00873CCE" w:rsidP="003C5EDC">
      <w:pPr>
        <w:pStyle w:val="Tableheading"/>
      </w:pPr>
      <w:bookmarkStart w:id="255" w:name="_Ref54700044"/>
      <w:bookmarkStart w:id="256" w:name="_Toc111536616"/>
      <w:r w:rsidRPr="00B275E2">
        <w:lastRenderedPageBreak/>
        <w:t>Table</w:t>
      </w:r>
      <w:r w:rsidRPr="00B275E2" w:rsidDel="00A329BF">
        <w:t xml:space="preserve"> </w:t>
      </w:r>
      <w:r w:rsidRPr="00B275E2">
        <w:fldChar w:fldCharType="begin"/>
      </w:r>
      <w:r w:rsidRPr="00B275E2">
        <w:instrText>SEQ Table \* ARABIC</w:instrText>
      </w:r>
      <w:r w:rsidRPr="00B275E2">
        <w:fldChar w:fldCharType="separate"/>
      </w:r>
      <w:r w:rsidR="003E141C" w:rsidRPr="00B275E2">
        <w:t>11</w:t>
      </w:r>
      <w:r w:rsidRPr="00B275E2">
        <w:fldChar w:fldCharType="end"/>
      </w:r>
      <w:bookmarkEnd w:id="255"/>
      <w:r w:rsidR="00D61811" w:rsidRPr="00B275E2">
        <w:t>:</w:t>
      </w:r>
      <w:r w:rsidR="00A329BF" w:rsidRPr="00B275E2">
        <w:t xml:space="preserve"> </w:t>
      </w:r>
      <w:r w:rsidR="00D61811" w:rsidRPr="00B275E2">
        <w:tab/>
      </w:r>
      <w:r w:rsidR="00A329BF" w:rsidRPr="00B275E2">
        <w:t xml:space="preserve">Information used to calculate the purchased electricity emission factor for </w:t>
      </w:r>
      <w:r w:rsidR="00DE07E5" w:rsidRPr="00B275E2">
        <w:t>2010</w:t>
      </w:r>
      <w:r w:rsidR="008F4DA3" w:rsidRPr="00B275E2">
        <w:t>–</w:t>
      </w:r>
      <w:r w:rsidR="00A329BF" w:rsidRPr="00B275E2">
        <w:t>20</w:t>
      </w:r>
      <w:r w:rsidR="00096450" w:rsidRPr="00B275E2">
        <w:t>20</w:t>
      </w:r>
      <w:bookmarkEnd w:id="256"/>
    </w:p>
    <w:tbl>
      <w:tblPr>
        <w:tblStyle w:val="LightList-Accent11"/>
        <w:tblW w:w="8505" w:type="dxa"/>
        <w:tblBorders>
          <w:top w:val="single" w:sz="4" w:space="0" w:color="1B556B"/>
          <w:bottom w:val="single" w:sz="4" w:space="0" w:color="1B556B"/>
          <w:insideH w:val="single" w:sz="4" w:space="0" w:color="1B556B"/>
          <w:insideV w:val="single" w:sz="4" w:space="0" w:color="1B556B"/>
        </w:tblBorders>
        <w:tblCellMar>
          <w:left w:w="57" w:type="dxa"/>
          <w:right w:w="57" w:type="dxa"/>
        </w:tblCellMar>
        <w:tblLook w:val="04A0" w:firstRow="1" w:lastRow="0" w:firstColumn="1" w:lastColumn="0" w:noHBand="0" w:noVBand="1"/>
      </w:tblPr>
      <w:tblGrid>
        <w:gridCol w:w="1033"/>
        <w:gridCol w:w="73"/>
        <w:gridCol w:w="650"/>
        <w:gridCol w:w="67"/>
        <w:gridCol w:w="655"/>
        <w:gridCol w:w="62"/>
        <w:gridCol w:w="717"/>
        <w:gridCol w:w="674"/>
        <w:gridCol w:w="588"/>
        <w:gridCol w:w="674"/>
        <w:gridCol w:w="616"/>
        <w:gridCol w:w="674"/>
        <w:gridCol w:w="674"/>
        <w:gridCol w:w="674"/>
        <w:gridCol w:w="674"/>
      </w:tblGrid>
      <w:tr w:rsidR="00792A9C" w:rsidRPr="00B275E2" w14:paraId="7F3DF79F" w14:textId="77777777" w:rsidTr="002554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33" w:type="dxa"/>
            <w:shd w:val="clear" w:color="auto" w:fill="1B556B"/>
            <w:vAlign w:val="bottom"/>
          </w:tcPr>
          <w:p w14:paraId="650388D4" w14:textId="571CA280" w:rsidR="004D090A" w:rsidRPr="00B275E2" w:rsidRDefault="004D090A" w:rsidP="00621691">
            <w:pPr>
              <w:pStyle w:val="TableTextbold"/>
              <w:spacing w:after="0" w:line="230" w:lineRule="atLeast"/>
              <w:rPr>
                <w:rFonts w:cs="Calibri"/>
                <w:b/>
                <w:bCs w:val="0"/>
                <w:sz w:val="17"/>
                <w:szCs w:val="17"/>
              </w:rPr>
            </w:pPr>
          </w:p>
        </w:tc>
        <w:tc>
          <w:tcPr>
            <w:tcW w:w="723" w:type="dxa"/>
            <w:gridSpan w:val="2"/>
            <w:shd w:val="clear" w:color="auto" w:fill="1B556B"/>
            <w:vAlign w:val="bottom"/>
          </w:tcPr>
          <w:p w14:paraId="212FB1A3" w14:textId="77777777" w:rsidR="004D090A" w:rsidRPr="00B275E2" w:rsidRDefault="004D090A" w:rsidP="00621691">
            <w:pPr>
              <w:pStyle w:val="TableTextbold"/>
              <w:spacing w:after="0" w:line="230" w:lineRule="atLeast"/>
              <w:cnfStyle w:val="100000000000" w:firstRow="1" w:lastRow="0" w:firstColumn="0" w:lastColumn="0" w:oddVBand="0" w:evenVBand="0" w:oddHBand="0" w:evenHBand="0" w:firstRowFirstColumn="0" w:firstRowLastColumn="0" w:lastRowFirstColumn="0" w:lastRowLastColumn="0"/>
              <w:rPr>
                <w:rFonts w:cs="Calibri"/>
                <w:b/>
                <w:bCs w:val="0"/>
                <w:sz w:val="17"/>
                <w:szCs w:val="17"/>
              </w:rPr>
            </w:pPr>
          </w:p>
        </w:tc>
        <w:tc>
          <w:tcPr>
            <w:tcW w:w="722" w:type="dxa"/>
            <w:gridSpan w:val="2"/>
            <w:shd w:val="clear" w:color="auto" w:fill="1B556B"/>
            <w:vAlign w:val="bottom"/>
          </w:tcPr>
          <w:p w14:paraId="1D9513B9" w14:textId="3B28A431" w:rsidR="004D090A" w:rsidRPr="00B275E2" w:rsidRDefault="004D090A" w:rsidP="00621691">
            <w:pPr>
              <w:pStyle w:val="TableTextbold"/>
              <w:spacing w:after="0" w:line="230" w:lineRule="atLeast"/>
              <w:cnfStyle w:val="100000000000" w:firstRow="1" w:lastRow="0" w:firstColumn="0" w:lastColumn="0" w:oddVBand="0" w:evenVBand="0" w:oddHBand="0" w:evenHBand="0" w:firstRowFirstColumn="0" w:firstRowLastColumn="0" w:lastRowFirstColumn="0" w:lastRowLastColumn="0"/>
              <w:rPr>
                <w:rFonts w:cs="Calibri"/>
                <w:b/>
                <w:bCs w:val="0"/>
                <w:sz w:val="17"/>
                <w:szCs w:val="17"/>
              </w:rPr>
            </w:pPr>
          </w:p>
        </w:tc>
        <w:tc>
          <w:tcPr>
            <w:tcW w:w="6027" w:type="dxa"/>
            <w:gridSpan w:val="10"/>
            <w:shd w:val="clear" w:color="auto" w:fill="1B556B"/>
            <w:vAlign w:val="bottom"/>
          </w:tcPr>
          <w:p w14:paraId="22B7A763" w14:textId="4718CD9E" w:rsidR="004D090A" w:rsidRPr="00B275E2" w:rsidDel="00E62FEB" w:rsidRDefault="004D090A" w:rsidP="00621691">
            <w:pPr>
              <w:pStyle w:val="TableTextbold"/>
              <w:spacing w:after="0" w:line="230" w:lineRule="atLeast"/>
              <w:jc w:val="center"/>
              <w:cnfStyle w:val="100000000000" w:firstRow="1" w:lastRow="0" w:firstColumn="0" w:lastColumn="0" w:oddVBand="0" w:evenVBand="0" w:oddHBand="0" w:evenHBand="0" w:firstRowFirstColumn="0" w:firstRowLastColumn="0" w:lastRowFirstColumn="0" w:lastRowLastColumn="0"/>
              <w:rPr>
                <w:rFonts w:cs="Calibri"/>
                <w:b/>
                <w:bCs w:val="0"/>
                <w:sz w:val="17"/>
                <w:szCs w:val="17"/>
              </w:rPr>
            </w:pPr>
            <w:r w:rsidRPr="00B275E2">
              <w:rPr>
                <w:rFonts w:cs="Calibri"/>
                <w:b/>
                <w:bCs w:val="0"/>
                <w:sz w:val="17"/>
                <w:szCs w:val="17"/>
              </w:rPr>
              <w:t>Public electricity consumed and emissions by gas and source</w:t>
            </w:r>
          </w:p>
        </w:tc>
      </w:tr>
      <w:tr w:rsidR="00792A9C" w:rsidRPr="00B275E2" w14:paraId="3980C43B" w14:textId="2B961D70" w:rsidTr="002554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06" w:type="dxa"/>
            <w:gridSpan w:val="2"/>
            <w:shd w:val="clear" w:color="auto" w:fill="1B556B"/>
            <w:vAlign w:val="bottom"/>
          </w:tcPr>
          <w:p w14:paraId="690C94E7" w14:textId="0092FA18" w:rsidR="004D090A" w:rsidRPr="00B275E2" w:rsidRDefault="00792A9C" w:rsidP="00621691">
            <w:pPr>
              <w:pStyle w:val="TableTextbold"/>
              <w:spacing w:before="0" w:line="230" w:lineRule="atLeast"/>
              <w:rPr>
                <w:rFonts w:cs="Calibri"/>
                <w:b/>
                <w:bCs w:val="0"/>
                <w:sz w:val="17"/>
                <w:szCs w:val="17"/>
              </w:rPr>
            </w:pPr>
            <w:r w:rsidRPr="00B275E2">
              <w:rPr>
                <w:rFonts w:cs="Calibri"/>
                <w:b/>
                <w:bCs w:val="0"/>
                <w:sz w:val="17"/>
                <w:szCs w:val="17"/>
              </w:rPr>
              <w:t>Calculation component</w:t>
            </w:r>
          </w:p>
        </w:tc>
        <w:tc>
          <w:tcPr>
            <w:tcW w:w="717" w:type="dxa"/>
            <w:gridSpan w:val="2"/>
            <w:shd w:val="clear" w:color="auto" w:fill="1B556B"/>
            <w:vAlign w:val="bottom"/>
          </w:tcPr>
          <w:p w14:paraId="6D990610" w14:textId="5793A4C4" w:rsidR="004D090A" w:rsidRPr="00B275E2" w:rsidRDefault="004D090A" w:rsidP="00621691">
            <w:pPr>
              <w:pStyle w:val="TableTextbold"/>
              <w:spacing w:line="230" w:lineRule="atLeast"/>
              <w:jc w:val="right"/>
              <w:cnfStyle w:val="100000000000" w:firstRow="1" w:lastRow="0" w:firstColumn="0" w:lastColumn="0" w:oddVBand="0" w:evenVBand="0" w:oddHBand="0" w:evenHBand="0" w:firstRowFirstColumn="0" w:firstRowLastColumn="0" w:lastRowFirstColumn="0" w:lastRowLastColumn="0"/>
              <w:rPr>
                <w:rFonts w:cs="Calibri"/>
                <w:b/>
                <w:bCs w:val="0"/>
                <w:sz w:val="17"/>
                <w:szCs w:val="17"/>
              </w:rPr>
            </w:pPr>
            <w:r w:rsidRPr="00B275E2">
              <w:rPr>
                <w:rFonts w:cs="Calibri"/>
                <w:b/>
                <w:bCs w:val="0"/>
                <w:sz w:val="17"/>
                <w:szCs w:val="17"/>
              </w:rPr>
              <w:t>2020</w:t>
            </w:r>
          </w:p>
        </w:tc>
        <w:tc>
          <w:tcPr>
            <w:tcW w:w="717" w:type="dxa"/>
            <w:gridSpan w:val="2"/>
            <w:shd w:val="clear" w:color="auto" w:fill="1B556B"/>
            <w:vAlign w:val="bottom"/>
          </w:tcPr>
          <w:p w14:paraId="538FA762" w14:textId="1E2C4720" w:rsidR="004D090A" w:rsidRPr="00B275E2" w:rsidRDefault="004D090A" w:rsidP="00621691">
            <w:pPr>
              <w:pStyle w:val="TableTextbold"/>
              <w:spacing w:line="230" w:lineRule="atLeast"/>
              <w:jc w:val="right"/>
              <w:cnfStyle w:val="100000000000" w:firstRow="1" w:lastRow="0" w:firstColumn="0" w:lastColumn="0" w:oddVBand="0" w:evenVBand="0" w:oddHBand="0" w:evenHBand="0" w:firstRowFirstColumn="0" w:firstRowLastColumn="0" w:lastRowFirstColumn="0" w:lastRowLastColumn="0"/>
              <w:rPr>
                <w:rFonts w:cs="Calibri"/>
                <w:b/>
                <w:bCs w:val="0"/>
                <w:sz w:val="17"/>
                <w:szCs w:val="17"/>
              </w:rPr>
            </w:pPr>
            <w:r w:rsidRPr="00B275E2">
              <w:rPr>
                <w:rFonts w:cs="Calibri"/>
                <w:b/>
                <w:bCs w:val="0"/>
                <w:sz w:val="17"/>
                <w:szCs w:val="17"/>
              </w:rPr>
              <w:t>2019</w:t>
            </w:r>
          </w:p>
        </w:tc>
        <w:tc>
          <w:tcPr>
            <w:tcW w:w="717" w:type="dxa"/>
            <w:shd w:val="clear" w:color="auto" w:fill="1B556B"/>
            <w:vAlign w:val="bottom"/>
          </w:tcPr>
          <w:p w14:paraId="22B94B0C" w14:textId="3A0E5996" w:rsidR="004D090A" w:rsidRPr="00B275E2" w:rsidDel="00E62FEB" w:rsidRDefault="004D090A" w:rsidP="00621691">
            <w:pPr>
              <w:pStyle w:val="TableTextbold"/>
              <w:spacing w:line="230" w:lineRule="atLeast"/>
              <w:jc w:val="right"/>
              <w:cnfStyle w:val="100000000000" w:firstRow="1" w:lastRow="0" w:firstColumn="0" w:lastColumn="0" w:oddVBand="0" w:evenVBand="0" w:oddHBand="0" w:evenHBand="0" w:firstRowFirstColumn="0" w:firstRowLastColumn="0" w:lastRowFirstColumn="0" w:lastRowLastColumn="0"/>
              <w:rPr>
                <w:rFonts w:cs="Calibri"/>
                <w:b/>
                <w:bCs w:val="0"/>
                <w:sz w:val="17"/>
                <w:szCs w:val="17"/>
              </w:rPr>
            </w:pPr>
            <w:r w:rsidRPr="00B275E2">
              <w:rPr>
                <w:rFonts w:cs="Calibri"/>
                <w:b/>
                <w:bCs w:val="0"/>
                <w:sz w:val="17"/>
                <w:szCs w:val="17"/>
              </w:rPr>
              <w:t>2018</w:t>
            </w:r>
          </w:p>
        </w:tc>
        <w:tc>
          <w:tcPr>
            <w:tcW w:w="674" w:type="dxa"/>
            <w:shd w:val="clear" w:color="auto" w:fill="1B556B"/>
            <w:vAlign w:val="bottom"/>
          </w:tcPr>
          <w:p w14:paraId="288B7E81" w14:textId="7E002004" w:rsidR="004D090A" w:rsidRPr="00B275E2" w:rsidDel="00E62FEB" w:rsidRDefault="004D090A" w:rsidP="00621691">
            <w:pPr>
              <w:pStyle w:val="TableTextbold"/>
              <w:spacing w:line="230" w:lineRule="atLeast"/>
              <w:jc w:val="right"/>
              <w:cnfStyle w:val="100000000000" w:firstRow="1" w:lastRow="0" w:firstColumn="0" w:lastColumn="0" w:oddVBand="0" w:evenVBand="0" w:oddHBand="0" w:evenHBand="0" w:firstRowFirstColumn="0" w:firstRowLastColumn="0" w:lastRowFirstColumn="0" w:lastRowLastColumn="0"/>
              <w:rPr>
                <w:rFonts w:cs="Calibri"/>
                <w:b/>
                <w:bCs w:val="0"/>
                <w:sz w:val="17"/>
                <w:szCs w:val="17"/>
              </w:rPr>
            </w:pPr>
            <w:r w:rsidRPr="00B275E2">
              <w:rPr>
                <w:rFonts w:cs="Calibri"/>
                <w:b/>
                <w:bCs w:val="0"/>
                <w:sz w:val="17"/>
                <w:szCs w:val="17"/>
              </w:rPr>
              <w:t>2017</w:t>
            </w:r>
          </w:p>
        </w:tc>
        <w:tc>
          <w:tcPr>
            <w:tcW w:w="588" w:type="dxa"/>
            <w:shd w:val="clear" w:color="auto" w:fill="1B556B"/>
            <w:vAlign w:val="bottom"/>
          </w:tcPr>
          <w:p w14:paraId="4E6D92BE" w14:textId="5073D829" w:rsidR="004D090A" w:rsidRPr="00B275E2" w:rsidDel="00E62FEB" w:rsidRDefault="004D090A" w:rsidP="00621691">
            <w:pPr>
              <w:pStyle w:val="TableTextbold"/>
              <w:spacing w:line="230" w:lineRule="atLeast"/>
              <w:jc w:val="right"/>
              <w:cnfStyle w:val="100000000000" w:firstRow="1" w:lastRow="0" w:firstColumn="0" w:lastColumn="0" w:oddVBand="0" w:evenVBand="0" w:oddHBand="0" w:evenHBand="0" w:firstRowFirstColumn="0" w:firstRowLastColumn="0" w:lastRowFirstColumn="0" w:lastRowLastColumn="0"/>
              <w:rPr>
                <w:rFonts w:cs="Calibri"/>
                <w:b/>
                <w:bCs w:val="0"/>
                <w:sz w:val="17"/>
                <w:szCs w:val="17"/>
              </w:rPr>
            </w:pPr>
            <w:r w:rsidRPr="00B275E2">
              <w:rPr>
                <w:rFonts w:cs="Calibri"/>
                <w:b/>
                <w:bCs w:val="0"/>
                <w:sz w:val="17"/>
                <w:szCs w:val="17"/>
              </w:rPr>
              <w:t>2016</w:t>
            </w:r>
          </w:p>
        </w:tc>
        <w:tc>
          <w:tcPr>
            <w:tcW w:w="674" w:type="dxa"/>
            <w:shd w:val="clear" w:color="auto" w:fill="1B556B"/>
            <w:vAlign w:val="bottom"/>
          </w:tcPr>
          <w:p w14:paraId="6FD14A68" w14:textId="16724258" w:rsidR="004D090A" w:rsidRPr="00B275E2" w:rsidDel="00E62FEB" w:rsidRDefault="004D090A" w:rsidP="00621691">
            <w:pPr>
              <w:pStyle w:val="TableTextbold"/>
              <w:spacing w:line="230" w:lineRule="atLeast"/>
              <w:jc w:val="right"/>
              <w:cnfStyle w:val="100000000000" w:firstRow="1" w:lastRow="0" w:firstColumn="0" w:lastColumn="0" w:oddVBand="0" w:evenVBand="0" w:oddHBand="0" w:evenHBand="0" w:firstRowFirstColumn="0" w:firstRowLastColumn="0" w:lastRowFirstColumn="0" w:lastRowLastColumn="0"/>
              <w:rPr>
                <w:rFonts w:cs="Calibri"/>
                <w:b/>
                <w:bCs w:val="0"/>
                <w:sz w:val="17"/>
                <w:szCs w:val="17"/>
              </w:rPr>
            </w:pPr>
            <w:r w:rsidRPr="00B275E2">
              <w:rPr>
                <w:rFonts w:cs="Calibri"/>
                <w:b/>
                <w:bCs w:val="0"/>
                <w:sz w:val="17"/>
                <w:szCs w:val="17"/>
              </w:rPr>
              <w:t>2015</w:t>
            </w:r>
          </w:p>
        </w:tc>
        <w:tc>
          <w:tcPr>
            <w:tcW w:w="616" w:type="dxa"/>
            <w:shd w:val="clear" w:color="auto" w:fill="1B556B"/>
            <w:vAlign w:val="bottom"/>
          </w:tcPr>
          <w:p w14:paraId="73C3C398" w14:textId="2CBDD1E8" w:rsidR="004D090A" w:rsidRPr="00B275E2" w:rsidDel="00E62FEB" w:rsidRDefault="004D090A" w:rsidP="00621691">
            <w:pPr>
              <w:pStyle w:val="TableTextbold"/>
              <w:spacing w:line="230" w:lineRule="atLeast"/>
              <w:jc w:val="right"/>
              <w:cnfStyle w:val="100000000000" w:firstRow="1" w:lastRow="0" w:firstColumn="0" w:lastColumn="0" w:oddVBand="0" w:evenVBand="0" w:oddHBand="0" w:evenHBand="0" w:firstRowFirstColumn="0" w:firstRowLastColumn="0" w:lastRowFirstColumn="0" w:lastRowLastColumn="0"/>
              <w:rPr>
                <w:rFonts w:cs="Calibri"/>
                <w:b/>
                <w:bCs w:val="0"/>
                <w:sz w:val="17"/>
                <w:szCs w:val="17"/>
              </w:rPr>
            </w:pPr>
            <w:r w:rsidRPr="00B275E2">
              <w:rPr>
                <w:rFonts w:cs="Calibri"/>
                <w:b/>
                <w:bCs w:val="0"/>
                <w:sz w:val="17"/>
                <w:szCs w:val="17"/>
              </w:rPr>
              <w:t>2014</w:t>
            </w:r>
          </w:p>
        </w:tc>
        <w:tc>
          <w:tcPr>
            <w:tcW w:w="674" w:type="dxa"/>
            <w:shd w:val="clear" w:color="auto" w:fill="1B556B"/>
            <w:vAlign w:val="bottom"/>
          </w:tcPr>
          <w:p w14:paraId="79E85E96" w14:textId="3C636174" w:rsidR="004D090A" w:rsidRPr="00B275E2" w:rsidDel="00E62FEB" w:rsidRDefault="004D090A" w:rsidP="00621691">
            <w:pPr>
              <w:pStyle w:val="TableTextbold"/>
              <w:spacing w:line="230" w:lineRule="atLeast"/>
              <w:jc w:val="right"/>
              <w:cnfStyle w:val="100000000000" w:firstRow="1" w:lastRow="0" w:firstColumn="0" w:lastColumn="0" w:oddVBand="0" w:evenVBand="0" w:oddHBand="0" w:evenHBand="0" w:firstRowFirstColumn="0" w:firstRowLastColumn="0" w:lastRowFirstColumn="0" w:lastRowLastColumn="0"/>
              <w:rPr>
                <w:rFonts w:cs="Calibri"/>
                <w:b/>
                <w:bCs w:val="0"/>
                <w:sz w:val="17"/>
                <w:szCs w:val="17"/>
              </w:rPr>
            </w:pPr>
            <w:r w:rsidRPr="00B275E2">
              <w:rPr>
                <w:rFonts w:cs="Calibri"/>
                <w:b/>
                <w:bCs w:val="0"/>
                <w:sz w:val="17"/>
                <w:szCs w:val="17"/>
              </w:rPr>
              <w:t>2013</w:t>
            </w:r>
          </w:p>
        </w:tc>
        <w:tc>
          <w:tcPr>
            <w:tcW w:w="674" w:type="dxa"/>
            <w:shd w:val="clear" w:color="auto" w:fill="1B556B"/>
            <w:vAlign w:val="bottom"/>
          </w:tcPr>
          <w:p w14:paraId="174E1108" w14:textId="05155EB8" w:rsidR="004D090A" w:rsidRPr="00B275E2" w:rsidDel="00E62FEB" w:rsidRDefault="004D090A" w:rsidP="00621691">
            <w:pPr>
              <w:pStyle w:val="TableTextbold"/>
              <w:spacing w:line="230" w:lineRule="atLeast"/>
              <w:jc w:val="right"/>
              <w:cnfStyle w:val="100000000000" w:firstRow="1" w:lastRow="0" w:firstColumn="0" w:lastColumn="0" w:oddVBand="0" w:evenVBand="0" w:oddHBand="0" w:evenHBand="0" w:firstRowFirstColumn="0" w:firstRowLastColumn="0" w:lastRowFirstColumn="0" w:lastRowLastColumn="0"/>
              <w:rPr>
                <w:rFonts w:cs="Calibri"/>
                <w:b/>
                <w:bCs w:val="0"/>
                <w:sz w:val="17"/>
                <w:szCs w:val="17"/>
              </w:rPr>
            </w:pPr>
            <w:r w:rsidRPr="00B275E2">
              <w:rPr>
                <w:rFonts w:cs="Calibri"/>
                <w:b/>
                <w:bCs w:val="0"/>
                <w:sz w:val="17"/>
                <w:szCs w:val="17"/>
              </w:rPr>
              <w:t>2012</w:t>
            </w:r>
          </w:p>
        </w:tc>
        <w:tc>
          <w:tcPr>
            <w:tcW w:w="674" w:type="dxa"/>
            <w:shd w:val="clear" w:color="auto" w:fill="1B556B"/>
            <w:vAlign w:val="bottom"/>
          </w:tcPr>
          <w:p w14:paraId="4E664F09" w14:textId="55E53489" w:rsidR="004D090A" w:rsidRPr="00B275E2" w:rsidDel="00E62FEB" w:rsidRDefault="004D090A" w:rsidP="00621691">
            <w:pPr>
              <w:pStyle w:val="TableTextbold"/>
              <w:spacing w:line="230" w:lineRule="atLeast"/>
              <w:jc w:val="right"/>
              <w:cnfStyle w:val="100000000000" w:firstRow="1" w:lastRow="0" w:firstColumn="0" w:lastColumn="0" w:oddVBand="0" w:evenVBand="0" w:oddHBand="0" w:evenHBand="0" w:firstRowFirstColumn="0" w:firstRowLastColumn="0" w:lastRowFirstColumn="0" w:lastRowLastColumn="0"/>
              <w:rPr>
                <w:rFonts w:cs="Calibri"/>
                <w:b/>
                <w:bCs w:val="0"/>
                <w:sz w:val="17"/>
                <w:szCs w:val="17"/>
              </w:rPr>
            </w:pPr>
            <w:r w:rsidRPr="00B275E2">
              <w:rPr>
                <w:rFonts w:cs="Calibri"/>
                <w:b/>
                <w:bCs w:val="0"/>
                <w:sz w:val="17"/>
                <w:szCs w:val="17"/>
              </w:rPr>
              <w:t>2011</w:t>
            </w:r>
          </w:p>
        </w:tc>
        <w:tc>
          <w:tcPr>
            <w:tcW w:w="674" w:type="dxa"/>
            <w:shd w:val="clear" w:color="auto" w:fill="1B556B"/>
            <w:vAlign w:val="bottom"/>
          </w:tcPr>
          <w:p w14:paraId="38F40C0F" w14:textId="7648D4E6" w:rsidR="004D090A" w:rsidRPr="00B275E2" w:rsidDel="00E62FEB" w:rsidRDefault="004D090A" w:rsidP="00621691">
            <w:pPr>
              <w:pStyle w:val="TableTextbold"/>
              <w:spacing w:line="230" w:lineRule="atLeast"/>
              <w:jc w:val="right"/>
              <w:cnfStyle w:val="100000000000" w:firstRow="1" w:lastRow="0" w:firstColumn="0" w:lastColumn="0" w:oddVBand="0" w:evenVBand="0" w:oddHBand="0" w:evenHBand="0" w:firstRowFirstColumn="0" w:firstRowLastColumn="0" w:lastRowFirstColumn="0" w:lastRowLastColumn="0"/>
              <w:rPr>
                <w:rFonts w:cs="Calibri"/>
                <w:b/>
                <w:bCs w:val="0"/>
                <w:sz w:val="17"/>
                <w:szCs w:val="17"/>
              </w:rPr>
            </w:pPr>
            <w:r w:rsidRPr="00B275E2">
              <w:rPr>
                <w:rFonts w:cs="Calibri"/>
                <w:b/>
                <w:bCs w:val="0"/>
                <w:sz w:val="17"/>
                <w:szCs w:val="17"/>
              </w:rPr>
              <w:t>2010</w:t>
            </w:r>
          </w:p>
        </w:tc>
      </w:tr>
      <w:tr w:rsidR="00DF3091" w:rsidRPr="00B275E2" w14:paraId="411A776C" w14:textId="6374FFE2" w:rsidTr="0038238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106" w:type="dxa"/>
            <w:gridSpan w:val="2"/>
            <w:tcBorders>
              <w:left w:val="single" w:sz="4" w:space="0" w:color="FFFFFF" w:themeColor="background1"/>
            </w:tcBorders>
          </w:tcPr>
          <w:p w14:paraId="0751842E" w14:textId="13083585" w:rsidR="00DF3091" w:rsidRPr="00B275E2" w:rsidRDefault="00DF3091" w:rsidP="00DF3091">
            <w:pPr>
              <w:pStyle w:val="TableText"/>
              <w:spacing w:before="40" w:after="40" w:line="230" w:lineRule="atLeast"/>
              <w:rPr>
                <w:rFonts w:cs="Calibri"/>
                <w:b w:val="0"/>
                <w:sz w:val="17"/>
                <w:szCs w:val="17"/>
              </w:rPr>
            </w:pPr>
            <w:r w:rsidRPr="00B275E2">
              <w:rPr>
                <w:rFonts w:cs="Calibri"/>
                <w:b w:val="0"/>
                <w:sz w:val="17"/>
                <w:szCs w:val="17"/>
              </w:rPr>
              <w:t xml:space="preserve">Public electricity </w:t>
            </w:r>
            <w:r>
              <w:rPr>
                <w:rFonts w:cs="Calibri"/>
                <w:b w:val="0"/>
                <w:sz w:val="17"/>
                <w:szCs w:val="17"/>
              </w:rPr>
              <w:t>generation</w:t>
            </w:r>
            <w:r w:rsidRPr="00B275E2">
              <w:rPr>
                <w:rFonts w:cs="Calibri"/>
                <w:b w:val="0"/>
                <w:sz w:val="17"/>
                <w:szCs w:val="17"/>
              </w:rPr>
              <w:t xml:space="preserve"> (GWh)</w:t>
            </w:r>
          </w:p>
        </w:tc>
        <w:tc>
          <w:tcPr>
            <w:tcW w:w="717" w:type="dxa"/>
            <w:gridSpan w:val="2"/>
          </w:tcPr>
          <w:p w14:paraId="333F2E70" w14:textId="210C0391" w:rsidR="00DF3091" w:rsidRPr="00B275E2" w:rsidRDefault="00DF3091" w:rsidP="00DF3091">
            <w:pPr>
              <w:pStyle w:val="TableText"/>
              <w:spacing w:before="40" w:after="40" w:line="230" w:lineRule="atLeast"/>
              <w:jc w:val="right"/>
              <w:cnfStyle w:val="000000100000" w:firstRow="0" w:lastRow="0" w:firstColumn="0" w:lastColumn="0" w:oddVBand="0" w:evenVBand="0" w:oddHBand="1" w:evenHBand="0" w:firstRowFirstColumn="0" w:firstRowLastColumn="0" w:lastRowFirstColumn="0" w:lastRowLastColumn="0"/>
              <w:rPr>
                <w:rFonts w:cs="Calibri"/>
                <w:sz w:val="17"/>
                <w:szCs w:val="17"/>
              </w:rPr>
            </w:pPr>
            <w:r>
              <w:rPr>
                <w:rFonts w:cs="Calibri"/>
                <w:sz w:val="17"/>
                <w:szCs w:val="17"/>
              </w:rPr>
              <w:t>43,182</w:t>
            </w:r>
          </w:p>
        </w:tc>
        <w:tc>
          <w:tcPr>
            <w:tcW w:w="717" w:type="dxa"/>
            <w:gridSpan w:val="2"/>
          </w:tcPr>
          <w:p w14:paraId="4688E080" w14:textId="5F2E6C93" w:rsidR="00DF3091" w:rsidRPr="00B275E2" w:rsidRDefault="00DF3091" w:rsidP="00DF3091">
            <w:pPr>
              <w:pStyle w:val="TableText"/>
              <w:spacing w:before="40" w:after="40" w:line="230" w:lineRule="atLeast"/>
              <w:jc w:val="right"/>
              <w:cnfStyle w:val="000000100000" w:firstRow="0" w:lastRow="0" w:firstColumn="0" w:lastColumn="0" w:oddVBand="0" w:evenVBand="0" w:oddHBand="1" w:evenHBand="0" w:firstRowFirstColumn="0" w:firstRowLastColumn="0" w:lastRowFirstColumn="0" w:lastRowLastColumn="0"/>
              <w:rPr>
                <w:rFonts w:cs="Calibri"/>
                <w:sz w:val="17"/>
                <w:szCs w:val="17"/>
              </w:rPr>
            </w:pPr>
            <w:r>
              <w:rPr>
                <w:rFonts w:cs="Calibri"/>
                <w:sz w:val="17"/>
                <w:szCs w:val="17"/>
              </w:rPr>
              <w:t>4</w:t>
            </w:r>
            <w:r w:rsidRPr="00AE555B">
              <w:rPr>
                <w:rFonts w:cs="Calibri"/>
                <w:sz w:val="17"/>
                <w:szCs w:val="17"/>
              </w:rPr>
              <w:t>3,</w:t>
            </w:r>
            <w:r w:rsidR="00BA2E4A">
              <w:rPr>
                <w:rFonts w:cs="Calibri"/>
                <w:sz w:val="17"/>
                <w:szCs w:val="17"/>
              </w:rPr>
              <w:t>820</w:t>
            </w:r>
            <w:r w:rsidRPr="00AE555B">
              <w:rPr>
                <w:rFonts w:cs="Calibri"/>
                <w:sz w:val="17"/>
                <w:szCs w:val="17"/>
              </w:rPr>
              <w:t xml:space="preserve"> </w:t>
            </w:r>
          </w:p>
        </w:tc>
        <w:tc>
          <w:tcPr>
            <w:tcW w:w="717" w:type="dxa"/>
          </w:tcPr>
          <w:p w14:paraId="5D487E19" w14:textId="65CBC1D5" w:rsidR="00DF3091" w:rsidRPr="00B275E2" w:rsidRDefault="00DF3091" w:rsidP="00DF3091">
            <w:pPr>
              <w:pStyle w:val="TableText"/>
              <w:spacing w:before="40" w:after="40" w:line="230" w:lineRule="atLeast"/>
              <w:jc w:val="right"/>
              <w:cnfStyle w:val="000000100000" w:firstRow="0" w:lastRow="0" w:firstColumn="0" w:lastColumn="0" w:oddVBand="0" w:evenVBand="0" w:oddHBand="1" w:evenHBand="0" w:firstRowFirstColumn="0" w:firstRowLastColumn="0" w:lastRowFirstColumn="0" w:lastRowLastColumn="0"/>
              <w:rPr>
                <w:rFonts w:cs="Calibri"/>
                <w:sz w:val="17"/>
                <w:szCs w:val="17"/>
              </w:rPr>
            </w:pPr>
            <w:r w:rsidRPr="00AE555B">
              <w:rPr>
                <w:rFonts w:cs="Calibri"/>
                <w:sz w:val="17"/>
                <w:szCs w:val="17"/>
              </w:rPr>
              <w:t xml:space="preserve">43,421 </w:t>
            </w:r>
          </w:p>
        </w:tc>
        <w:tc>
          <w:tcPr>
            <w:tcW w:w="674" w:type="dxa"/>
          </w:tcPr>
          <w:p w14:paraId="6D3D2CBC" w14:textId="54D80150" w:rsidR="00DF3091" w:rsidRPr="00B275E2" w:rsidRDefault="00DF3091" w:rsidP="00DF3091">
            <w:pPr>
              <w:pStyle w:val="TableText"/>
              <w:spacing w:before="40" w:after="40" w:line="230" w:lineRule="atLeast"/>
              <w:jc w:val="right"/>
              <w:cnfStyle w:val="000000100000" w:firstRow="0" w:lastRow="0" w:firstColumn="0" w:lastColumn="0" w:oddVBand="0" w:evenVBand="0" w:oddHBand="1" w:evenHBand="0" w:firstRowFirstColumn="0" w:firstRowLastColumn="0" w:lastRowFirstColumn="0" w:lastRowLastColumn="0"/>
              <w:rPr>
                <w:rFonts w:cs="Calibri"/>
                <w:sz w:val="17"/>
                <w:szCs w:val="17"/>
              </w:rPr>
            </w:pPr>
            <w:r w:rsidRPr="00AE555B">
              <w:rPr>
                <w:rFonts w:cs="Calibri"/>
                <w:sz w:val="17"/>
                <w:szCs w:val="17"/>
              </w:rPr>
              <w:t xml:space="preserve">43,311 </w:t>
            </w:r>
          </w:p>
        </w:tc>
        <w:tc>
          <w:tcPr>
            <w:tcW w:w="588" w:type="dxa"/>
          </w:tcPr>
          <w:p w14:paraId="3F3B5D3A" w14:textId="7DB73A58" w:rsidR="00DF3091" w:rsidRPr="00B275E2" w:rsidRDefault="00DF3091" w:rsidP="00DF3091">
            <w:pPr>
              <w:pStyle w:val="TableText"/>
              <w:spacing w:before="40" w:after="40" w:line="230" w:lineRule="atLeast"/>
              <w:jc w:val="right"/>
              <w:cnfStyle w:val="000000100000" w:firstRow="0" w:lastRow="0" w:firstColumn="0" w:lastColumn="0" w:oddVBand="0" w:evenVBand="0" w:oddHBand="1" w:evenHBand="0" w:firstRowFirstColumn="0" w:firstRowLastColumn="0" w:lastRowFirstColumn="0" w:lastRowLastColumn="0"/>
              <w:rPr>
                <w:rFonts w:cs="Calibri"/>
                <w:sz w:val="17"/>
                <w:szCs w:val="17"/>
              </w:rPr>
            </w:pPr>
            <w:r w:rsidRPr="00AE555B">
              <w:rPr>
                <w:rFonts w:cs="Calibri"/>
                <w:sz w:val="17"/>
                <w:szCs w:val="17"/>
              </w:rPr>
              <w:t xml:space="preserve">42,919 </w:t>
            </w:r>
          </w:p>
        </w:tc>
        <w:tc>
          <w:tcPr>
            <w:tcW w:w="674" w:type="dxa"/>
          </w:tcPr>
          <w:p w14:paraId="5C12FA45" w14:textId="79462B77" w:rsidR="00DF3091" w:rsidRPr="00B275E2" w:rsidRDefault="00DF3091" w:rsidP="00DF3091">
            <w:pPr>
              <w:pStyle w:val="TableText"/>
              <w:spacing w:before="40" w:after="40" w:line="230" w:lineRule="atLeast"/>
              <w:jc w:val="right"/>
              <w:cnfStyle w:val="000000100000" w:firstRow="0" w:lastRow="0" w:firstColumn="0" w:lastColumn="0" w:oddVBand="0" w:evenVBand="0" w:oddHBand="1" w:evenHBand="0" w:firstRowFirstColumn="0" w:firstRowLastColumn="0" w:lastRowFirstColumn="0" w:lastRowLastColumn="0"/>
              <w:rPr>
                <w:rFonts w:cs="Calibri"/>
                <w:sz w:val="17"/>
                <w:szCs w:val="17"/>
              </w:rPr>
            </w:pPr>
            <w:r w:rsidRPr="00AE555B">
              <w:rPr>
                <w:rFonts w:cs="Calibri"/>
                <w:sz w:val="17"/>
                <w:szCs w:val="17"/>
              </w:rPr>
              <w:t xml:space="preserve">43,333 </w:t>
            </w:r>
          </w:p>
        </w:tc>
        <w:tc>
          <w:tcPr>
            <w:tcW w:w="616" w:type="dxa"/>
          </w:tcPr>
          <w:p w14:paraId="532D512B" w14:textId="13FE6AD8" w:rsidR="00DF3091" w:rsidRPr="00B275E2" w:rsidRDefault="00DF3091" w:rsidP="00DF3091">
            <w:pPr>
              <w:pStyle w:val="TableText"/>
              <w:spacing w:before="40" w:after="40" w:line="230" w:lineRule="atLeast"/>
              <w:jc w:val="right"/>
              <w:cnfStyle w:val="000000100000" w:firstRow="0" w:lastRow="0" w:firstColumn="0" w:lastColumn="0" w:oddVBand="0" w:evenVBand="0" w:oddHBand="1" w:evenHBand="0" w:firstRowFirstColumn="0" w:firstRowLastColumn="0" w:lastRowFirstColumn="0" w:lastRowLastColumn="0"/>
              <w:rPr>
                <w:rFonts w:cs="Calibri"/>
                <w:sz w:val="17"/>
                <w:szCs w:val="17"/>
              </w:rPr>
            </w:pPr>
            <w:r w:rsidRPr="00AE555B">
              <w:rPr>
                <w:rFonts w:cs="Calibri"/>
                <w:sz w:val="17"/>
                <w:szCs w:val="17"/>
              </w:rPr>
              <w:t xml:space="preserve">42,652 </w:t>
            </w:r>
          </w:p>
        </w:tc>
        <w:tc>
          <w:tcPr>
            <w:tcW w:w="674" w:type="dxa"/>
          </w:tcPr>
          <w:p w14:paraId="494121DA" w14:textId="2255A8A0" w:rsidR="00DF3091" w:rsidRPr="00B275E2" w:rsidRDefault="00DF3091" w:rsidP="00DF3091">
            <w:pPr>
              <w:pStyle w:val="TableText"/>
              <w:spacing w:before="40" w:after="40" w:line="230" w:lineRule="atLeast"/>
              <w:jc w:val="right"/>
              <w:cnfStyle w:val="000000100000" w:firstRow="0" w:lastRow="0" w:firstColumn="0" w:lastColumn="0" w:oddVBand="0" w:evenVBand="0" w:oddHBand="1" w:evenHBand="0" w:firstRowFirstColumn="0" w:firstRowLastColumn="0" w:lastRowFirstColumn="0" w:lastRowLastColumn="0"/>
              <w:rPr>
                <w:rFonts w:cs="Calibri"/>
                <w:sz w:val="17"/>
                <w:szCs w:val="17"/>
              </w:rPr>
            </w:pPr>
            <w:r w:rsidRPr="00AE555B">
              <w:rPr>
                <w:rFonts w:cs="Calibri"/>
                <w:sz w:val="17"/>
                <w:szCs w:val="17"/>
              </w:rPr>
              <w:t xml:space="preserve">42,359 </w:t>
            </w:r>
          </w:p>
        </w:tc>
        <w:tc>
          <w:tcPr>
            <w:tcW w:w="674" w:type="dxa"/>
          </w:tcPr>
          <w:p w14:paraId="62B76E27" w14:textId="4B32D8E4" w:rsidR="00DF3091" w:rsidRPr="00B275E2" w:rsidRDefault="00DF3091" w:rsidP="00DF3091">
            <w:pPr>
              <w:pStyle w:val="TableText"/>
              <w:spacing w:before="40" w:after="40" w:line="230" w:lineRule="atLeast"/>
              <w:jc w:val="right"/>
              <w:cnfStyle w:val="000000100000" w:firstRow="0" w:lastRow="0" w:firstColumn="0" w:lastColumn="0" w:oddVBand="0" w:evenVBand="0" w:oddHBand="1" w:evenHBand="0" w:firstRowFirstColumn="0" w:firstRowLastColumn="0" w:lastRowFirstColumn="0" w:lastRowLastColumn="0"/>
              <w:rPr>
                <w:rFonts w:cs="Calibri"/>
                <w:sz w:val="17"/>
                <w:szCs w:val="17"/>
              </w:rPr>
            </w:pPr>
            <w:r w:rsidRPr="00AE555B">
              <w:rPr>
                <w:rFonts w:cs="Calibri"/>
                <w:sz w:val="17"/>
                <w:szCs w:val="17"/>
              </w:rPr>
              <w:t xml:space="preserve">43,150 </w:t>
            </w:r>
          </w:p>
        </w:tc>
        <w:tc>
          <w:tcPr>
            <w:tcW w:w="674" w:type="dxa"/>
          </w:tcPr>
          <w:p w14:paraId="05A4B285" w14:textId="78B789B4" w:rsidR="00DF3091" w:rsidRPr="00B275E2" w:rsidRDefault="00DF3091" w:rsidP="00DF3091">
            <w:pPr>
              <w:pStyle w:val="TableText"/>
              <w:spacing w:before="40" w:after="40" w:line="230" w:lineRule="atLeast"/>
              <w:jc w:val="right"/>
              <w:cnfStyle w:val="000000100000" w:firstRow="0" w:lastRow="0" w:firstColumn="0" w:lastColumn="0" w:oddVBand="0" w:evenVBand="0" w:oddHBand="1" w:evenHBand="0" w:firstRowFirstColumn="0" w:firstRowLastColumn="0" w:lastRowFirstColumn="0" w:lastRowLastColumn="0"/>
              <w:rPr>
                <w:rFonts w:cs="Calibri"/>
                <w:sz w:val="17"/>
                <w:szCs w:val="17"/>
              </w:rPr>
            </w:pPr>
            <w:r w:rsidRPr="00AE555B">
              <w:rPr>
                <w:rFonts w:cs="Calibri"/>
                <w:sz w:val="17"/>
                <w:szCs w:val="17"/>
              </w:rPr>
              <w:t xml:space="preserve">43,269 </w:t>
            </w:r>
          </w:p>
        </w:tc>
        <w:tc>
          <w:tcPr>
            <w:tcW w:w="674" w:type="dxa"/>
            <w:tcBorders>
              <w:right w:val="single" w:sz="4" w:space="0" w:color="FFFFFF" w:themeColor="background1"/>
            </w:tcBorders>
          </w:tcPr>
          <w:p w14:paraId="59ADD1F0" w14:textId="342AA74B" w:rsidR="00DF3091" w:rsidRPr="00B275E2" w:rsidRDefault="00DF3091" w:rsidP="00DF3091">
            <w:pPr>
              <w:pStyle w:val="TableText"/>
              <w:spacing w:before="40" w:after="40" w:line="230" w:lineRule="atLeast"/>
              <w:jc w:val="right"/>
              <w:cnfStyle w:val="000000100000" w:firstRow="0" w:lastRow="0" w:firstColumn="0" w:lastColumn="0" w:oddVBand="0" w:evenVBand="0" w:oddHBand="1" w:evenHBand="0" w:firstRowFirstColumn="0" w:firstRowLastColumn="0" w:lastRowFirstColumn="0" w:lastRowLastColumn="0"/>
              <w:rPr>
                <w:rFonts w:cs="Calibri"/>
                <w:sz w:val="17"/>
                <w:szCs w:val="17"/>
              </w:rPr>
            </w:pPr>
            <w:r w:rsidRPr="00AE555B">
              <w:rPr>
                <w:rFonts w:cs="Calibri"/>
                <w:sz w:val="17"/>
                <w:szCs w:val="17"/>
              </w:rPr>
              <w:t>43,570</w:t>
            </w:r>
          </w:p>
        </w:tc>
      </w:tr>
      <w:tr w:rsidR="00DF3091" w:rsidRPr="00B275E2" w14:paraId="38D7E884" w14:textId="0C8D9334" w:rsidTr="00382387">
        <w:trPr>
          <w:trHeight w:val="265"/>
        </w:trPr>
        <w:tc>
          <w:tcPr>
            <w:cnfStyle w:val="001000000000" w:firstRow="0" w:lastRow="0" w:firstColumn="1" w:lastColumn="0" w:oddVBand="0" w:evenVBand="0" w:oddHBand="0" w:evenHBand="0" w:firstRowFirstColumn="0" w:firstRowLastColumn="0" w:lastRowFirstColumn="0" w:lastRowLastColumn="0"/>
            <w:tcW w:w="1106" w:type="dxa"/>
            <w:gridSpan w:val="2"/>
            <w:tcBorders>
              <w:left w:val="single" w:sz="4" w:space="0" w:color="FFFFFF" w:themeColor="background1"/>
            </w:tcBorders>
          </w:tcPr>
          <w:p w14:paraId="2F644B1E" w14:textId="77777777" w:rsidR="00DF3091" w:rsidRPr="00B275E2" w:rsidRDefault="00DF3091" w:rsidP="00DF3091">
            <w:pPr>
              <w:pStyle w:val="TableText"/>
              <w:spacing w:before="40" w:after="40" w:line="230" w:lineRule="atLeast"/>
              <w:rPr>
                <w:rFonts w:cs="Calibri"/>
                <w:b w:val="0"/>
                <w:sz w:val="17"/>
                <w:szCs w:val="17"/>
              </w:rPr>
            </w:pPr>
            <w:r w:rsidRPr="00B275E2">
              <w:rPr>
                <w:rFonts w:cs="Calibri"/>
                <w:b w:val="0"/>
                <w:sz w:val="17"/>
                <w:szCs w:val="17"/>
              </w:rPr>
              <w:t>Emissions of CO</w:t>
            </w:r>
            <w:r w:rsidRPr="00B275E2">
              <w:rPr>
                <w:rFonts w:cs="Calibri"/>
                <w:b w:val="0"/>
                <w:sz w:val="17"/>
                <w:szCs w:val="17"/>
                <w:vertAlign w:val="subscript"/>
              </w:rPr>
              <w:t>2</w:t>
            </w:r>
            <w:r w:rsidRPr="00B275E2">
              <w:rPr>
                <w:rFonts w:cs="Calibri"/>
                <w:b w:val="0"/>
                <w:sz w:val="17"/>
                <w:szCs w:val="17"/>
              </w:rPr>
              <w:t xml:space="preserve"> from public electricity generation (kt)</w:t>
            </w:r>
          </w:p>
        </w:tc>
        <w:tc>
          <w:tcPr>
            <w:tcW w:w="717" w:type="dxa"/>
            <w:gridSpan w:val="2"/>
          </w:tcPr>
          <w:p w14:paraId="1D88840C" w14:textId="68835E3A" w:rsidR="00DF3091" w:rsidRPr="00B275E2" w:rsidRDefault="00DF3091" w:rsidP="00DF3091">
            <w:pPr>
              <w:pStyle w:val="TableText"/>
              <w:spacing w:before="40" w:after="40" w:line="230" w:lineRule="atLeast"/>
              <w:jc w:val="right"/>
              <w:cnfStyle w:val="000000000000" w:firstRow="0" w:lastRow="0" w:firstColumn="0" w:lastColumn="0" w:oddVBand="0" w:evenVBand="0" w:oddHBand="0" w:evenHBand="0" w:firstRowFirstColumn="0" w:firstRowLastColumn="0" w:lastRowFirstColumn="0" w:lastRowLastColumn="0"/>
              <w:rPr>
                <w:rFonts w:cs="Calibri"/>
                <w:sz w:val="17"/>
                <w:szCs w:val="17"/>
              </w:rPr>
            </w:pPr>
            <w:r w:rsidRPr="00B275E2">
              <w:rPr>
                <w:rFonts w:cs="Calibri"/>
                <w:sz w:val="17"/>
                <w:szCs w:val="17"/>
              </w:rPr>
              <w:t>4,174.16</w:t>
            </w:r>
          </w:p>
        </w:tc>
        <w:tc>
          <w:tcPr>
            <w:tcW w:w="717" w:type="dxa"/>
            <w:gridSpan w:val="2"/>
          </w:tcPr>
          <w:p w14:paraId="65ADF457" w14:textId="791BB191" w:rsidR="00DF3091" w:rsidRPr="00B275E2" w:rsidRDefault="00DF3091" w:rsidP="00DF3091">
            <w:pPr>
              <w:pStyle w:val="TableText"/>
              <w:spacing w:before="40" w:after="40" w:line="230" w:lineRule="atLeast"/>
              <w:jc w:val="right"/>
              <w:cnfStyle w:val="000000000000" w:firstRow="0" w:lastRow="0" w:firstColumn="0" w:lastColumn="0" w:oddVBand="0" w:evenVBand="0" w:oddHBand="0" w:evenHBand="0" w:firstRowFirstColumn="0" w:firstRowLastColumn="0" w:lastRowFirstColumn="0" w:lastRowLastColumn="0"/>
              <w:rPr>
                <w:rFonts w:cs="Calibri"/>
                <w:sz w:val="17"/>
                <w:szCs w:val="17"/>
              </w:rPr>
            </w:pPr>
            <w:r w:rsidRPr="00B275E2">
              <w:rPr>
                <w:rFonts w:cs="Calibri"/>
                <w:sz w:val="17"/>
                <w:szCs w:val="17"/>
              </w:rPr>
              <w:t>3,756.46</w:t>
            </w:r>
          </w:p>
        </w:tc>
        <w:tc>
          <w:tcPr>
            <w:tcW w:w="717" w:type="dxa"/>
          </w:tcPr>
          <w:p w14:paraId="35A2926B" w14:textId="20292645" w:rsidR="00DF3091" w:rsidRPr="00B275E2" w:rsidRDefault="00DF3091" w:rsidP="00DF3091">
            <w:pPr>
              <w:pStyle w:val="TableText"/>
              <w:spacing w:before="40" w:after="40" w:line="230" w:lineRule="atLeast"/>
              <w:jc w:val="right"/>
              <w:cnfStyle w:val="000000000000" w:firstRow="0" w:lastRow="0" w:firstColumn="0" w:lastColumn="0" w:oddVBand="0" w:evenVBand="0" w:oddHBand="0" w:evenHBand="0" w:firstRowFirstColumn="0" w:firstRowLastColumn="0" w:lastRowFirstColumn="0" w:lastRowLastColumn="0"/>
              <w:rPr>
                <w:rFonts w:cs="Calibri"/>
                <w:sz w:val="17"/>
                <w:szCs w:val="17"/>
              </w:rPr>
            </w:pPr>
            <w:r w:rsidRPr="00B275E2">
              <w:rPr>
                <w:rFonts w:cs="Calibri"/>
                <w:sz w:val="17"/>
                <w:szCs w:val="17"/>
              </w:rPr>
              <w:t>3,303.98</w:t>
            </w:r>
          </w:p>
        </w:tc>
        <w:tc>
          <w:tcPr>
            <w:tcW w:w="674" w:type="dxa"/>
          </w:tcPr>
          <w:p w14:paraId="363874D2" w14:textId="01250315" w:rsidR="00DF3091" w:rsidRPr="00B275E2" w:rsidRDefault="00DF3091" w:rsidP="00DF3091">
            <w:pPr>
              <w:pStyle w:val="TableText"/>
              <w:spacing w:before="40" w:after="40" w:line="230" w:lineRule="atLeast"/>
              <w:jc w:val="right"/>
              <w:cnfStyle w:val="000000000000" w:firstRow="0" w:lastRow="0" w:firstColumn="0" w:lastColumn="0" w:oddVBand="0" w:evenVBand="0" w:oddHBand="0" w:evenHBand="0" w:firstRowFirstColumn="0" w:firstRowLastColumn="0" w:lastRowFirstColumn="0" w:lastRowLastColumn="0"/>
              <w:rPr>
                <w:rFonts w:cs="Calibri"/>
                <w:sz w:val="17"/>
                <w:szCs w:val="17"/>
              </w:rPr>
            </w:pPr>
            <w:r w:rsidRPr="00B275E2">
              <w:rPr>
                <w:rFonts w:cs="Calibri"/>
                <w:sz w:val="17"/>
                <w:szCs w:val="17"/>
              </w:rPr>
              <w:t>3610.68</w:t>
            </w:r>
          </w:p>
        </w:tc>
        <w:tc>
          <w:tcPr>
            <w:tcW w:w="588" w:type="dxa"/>
          </w:tcPr>
          <w:p w14:paraId="77FDE252" w14:textId="35EC2B08" w:rsidR="00DF3091" w:rsidRPr="00B275E2" w:rsidRDefault="00DF3091" w:rsidP="00DF3091">
            <w:pPr>
              <w:pStyle w:val="TableText"/>
              <w:spacing w:before="40" w:after="40" w:line="230" w:lineRule="atLeast"/>
              <w:jc w:val="right"/>
              <w:cnfStyle w:val="000000000000" w:firstRow="0" w:lastRow="0" w:firstColumn="0" w:lastColumn="0" w:oddVBand="0" w:evenVBand="0" w:oddHBand="0" w:evenHBand="0" w:firstRowFirstColumn="0" w:firstRowLastColumn="0" w:lastRowFirstColumn="0" w:lastRowLastColumn="0"/>
              <w:rPr>
                <w:rFonts w:cs="Calibri"/>
                <w:sz w:val="17"/>
                <w:szCs w:val="17"/>
              </w:rPr>
            </w:pPr>
            <w:r w:rsidRPr="00B275E2">
              <w:rPr>
                <w:rFonts w:cs="Calibri"/>
                <w:sz w:val="17"/>
                <w:szCs w:val="17"/>
              </w:rPr>
              <w:t>3057.9</w:t>
            </w:r>
          </w:p>
        </w:tc>
        <w:tc>
          <w:tcPr>
            <w:tcW w:w="674" w:type="dxa"/>
          </w:tcPr>
          <w:p w14:paraId="175BF789" w14:textId="22A2D78E" w:rsidR="00DF3091" w:rsidRPr="00B275E2" w:rsidRDefault="00DF3091" w:rsidP="00DF3091">
            <w:pPr>
              <w:pStyle w:val="TableText"/>
              <w:spacing w:before="40" w:after="40" w:line="230" w:lineRule="atLeast"/>
              <w:jc w:val="right"/>
              <w:cnfStyle w:val="000000000000" w:firstRow="0" w:lastRow="0" w:firstColumn="0" w:lastColumn="0" w:oddVBand="0" w:evenVBand="0" w:oddHBand="0" w:evenHBand="0" w:firstRowFirstColumn="0" w:firstRowLastColumn="0" w:lastRowFirstColumn="0" w:lastRowLastColumn="0"/>
              <w:rPr>
                <w:rFonts w:cs="Calibri"/>
                <w:sz w:val="17"/>
                <w:szCs w:val="17"/>
              </w:rPr>
            </w:pPr>
            <w:r w:rsidRPr="00B275E2">
              <w:rPr>
                <w:rFonts w:cs="Calibri"/>
                <w:sz w:val="17"/>
                <w:szCs w:val="17"/>
              </w:rPr>
              <w:t>4038.57</w:t>
            </w:r>
          </w:p>
        </w:tc>
        <w:tc>
          <w:tcPr>
            <w:tcW w:w="616" w:type="dxa"/>
          </w:tcPr>
          <w:p w14:paraId="74F2A64F" w14:textId="3F0EFF10" w:rsidR="00DF3091" w:rsidRPr="00B275E2" w:rsidRDefault="00DF3091" w:rsidP="00DF3091">
            <w:pPr>
              <w:pStyle w:val="TableText"/>
              <w:spacing w:before="40" w:after="40" w:line="230" w:lineRule="atLeast"/>
              <w:jc w:val="right"/>
              <w:cnfStyle w:val="000000000000" w:firstRow="0" w:lastRow="0" w:firstColumn="0" w:lastColumn="0" w:oddVBand="0" w:evenVBand="0" w:oddHBand="0" w:evenHBand="0" w:firstRowFirstColumn="0" w:firstRowLastColumn="0" w:lastRowFirstColumn="0" w:lastRowLastColumn="0"/>
              <w:rPr>
                <w:rFonts w:cs="Calibri"/>
                <w:sz w:val="17"/>
                <w:szCs w:val="17"/>
              </w:rPr>
            </w:pPr>
            <w:r w:rsidRPr="00B275E2">
              <w:rPr>
                <w:rFonts w:cs="Calibri"/>
                <w:sz w:val="17"/>
                <w:szCs w:val="17"/>
              </w:rPr>
              <w:t>4240.2</w:t>
            </w:r>
          </w:p>
        </w:tc>
        <w:tc>
          <w:tcPr>
            <w:tcW w:w="674" w:type="dxa"/>
          </w:tcPr>
          <w:p w14:paraId="584308ED" w14:textId="7D27FC94" w:rsidR="00DF3091" w:rsidRPr="00B275E2" w:rsidRDefault="00DF3091" w:rsidP="00DF3091">
            <w:pPr>
              <w:pStyle w:val="TableText"/>
              <w:spacing w:before="40" w:after="40" w:line="230" w:lineRule="atLeast"/>
              <w:jc w:val="right"/>
              <w:cnfStyle w:val="000000000000" w:firstRow="0" w:lastRow="0" w:firstColumn="0" w:lastColumn="0" w:oddVBand="0" w:evenVBand="0" w:oddHBand="0" w:evenHBand="0" w:firstRowFirstColumn="0" w:firstRowLastColumn="0" w:lastRowFirstColumn="0" w:lastRowLastColumn="0"/>
              <w:rPr>
                <w:rFonts w:cs="Calibri"/>
                <w:sz w:val="17"/>
                <w:szCs w:val="17"/>
              </w:rPr>
            </w:pPr>
            <w:r w:rsidRPr="00B275E2">
              <w:rPr>
                <w:rFonts w:cs="Calibri"/>
                <w:sz w:val="17"/>
                <w:szCs w:val="17"/>
              </w:rPr>
              <w:t>5195.85</w:t>
            </w:r>
          </w:p>
        </w:tc>
        <w:tc>
          <w:tcPr>
            <w:tcW w:w="674" w:type="dxa"/>
          </w:tcPr>
          <w:p w14:paraId="30F0C6C2" w14:textId="1B0E8E72" w:rsidR="00DF3091" w:rsidRPr="00B275E2" w:rsidRDefault="00DF3091" w:rsidP="00DF3091">
            <w:pPr>
              <w:pStyle w:val="TableText"/>
              <w:spacing w:before="40" w:after="40" w:line="230" w:lineRule="atLeast"/>
              <w:jc w:val="right"/>
              <w:cnfStyle w:val="000000000000" w:firstRow="0" w:lastRow="0" w:firstColumn="0" w:lastColumn="0" w:oddVBand="0" w:evenVBand="0" w:oddHBand="0" w:evenHBand="0" w:firstRowFirstColumn="0" w:firstRowLastColumn="0" w:lastRowFirstColumn="0" w:lastRowLastColumn="0"/>
              <w:rPr>
                <w:rFonts w:cs="Calibri"/>
                <w:sz w:val="17"/>
                <w:szCs w:val="17"/>
              </w:rPr>
            </w:pPr>
            <w:r w:rsidRPr="00B275E2">
              <w:rPr>
                <w:rFonts w:cs="Calibri"/>
                <w:sz w:val="17"/>
                <w:szCs w:val="17"/>
              </w:rPr>
              <w:t>6417.74</w:t>
            </w:r>
          </w:p>
        </w:tc>
        <w:tc>
          <w:tcPr>
            <w:tcW w:w="674" w:type="dxa"/>
          </w:tcPr>
          <w:p w14:paraId="592848D2" w14:textId="56C12ABB" w:rsidR="00DF3091" w:rsidRPr="00B275E2" w:rsidRDefault="00DF3091" w:rsidP="00DF3091">
            <w:pPr>
              <w:pStyle w:val="TableText"/>
              <w:spacing w:before="40" w:after="40" w:line="230" w:lineRule="atLeast"/>
              <w:jc w:val="right"/>
              <w:cnfStyle w:val="000000000000" w:firstRow="0" w:lastRow="0" w:firstColumn="0" w:lastColumn="0" w:oddVBand="0" w:evenVBand="0" w:oddHBand="0" w:evenHBand="0" w:firstRowFirstColumn="0" w:firstRowLastColumn="0" w:lastRowFirstColumn="0" w:lastRowLastColumn="0"/>
              <w:rPr>
                <w:rFonts w:cs="Calibri"/>
                <w:sz w:val="17"/>
                <w:szCs w:val="17"/>
              </w:rPr>
            </w:pPr>
            <w:r w:rsidRPr="00B275E2">
              <w:rPr>
                <w:rFonts w:cs="Calibri"/>
                <w:sz w:val="17"/>
                <w:szCs w:val="17"/>
              </w:rPr>
              <w:t>5014.71</w:t>
            </w:r>
          </w:p>
        </w:tc>
        <w:tc>
          <w:tcPr>
            <w:tcW w:w="674" w:type="dxa"/>
            <w:tcBorders>
              <w:right w:val="single" w:sz="4" w:space="0" w:color="FFFFFF" w:themeColor="background1"/>
            </w:tcBorders>
          </w:tcPr>
          <w:p w14:paraId="30EDC7F6" w14:textId="70E53542" w:rsidR="00DF3091" w:rsidRPr="00B275E2" w:rsidRDefault="00DF3091" w:rsidP="00DF3091">
            <w:pPr>
              <w:pStyle w:val="TableText"/>
              <w:spacing w:before="40" w:after="40" w:line="230" w:lineRule="atLeast"/>
              <w:jc w:val="right"/>
              <w:cnfStyle w:val="000000000000" w:firstRow="0" w:lastRow="0" w:firstColumn="0" w:lastColumn="0" w:oddVBand="0" w:evenVBand="0" w:oddHBand="0" w:evenHBand="0" w:firstRowFirstColumn="0" w:firstRowLastColumn="0" w:lastRowFirstColumn="0" w:lastRowLastColumn="0"/>
              <w:rPr>
                <w:rFonts w:cs="Calibri"/>
                <w:sz w:val="17"/>
                <w:szCs w:val="17"/>
              </w:rPr>
            </w:pPr>
            <w:r w:rsidRPr="00B275E2">
              <w:rPr>
                <w:rFonts w:cs="Calibri"/>
                <w:sz w:val="17"/>
                <w:szCs w:val="17"/>
              </w:rPr>
              <w:t>5518.35</w:t>
            </w:r>
          </w:p>
        </w:tc>
      </w:tr>
      <w:tr w:rsidR="00DF3091" w:rsidRPr="00B275E2" w14:paraId="0CA37FCE" w14:textId="66192EAC" w:rsidTr="00382387">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1106" w:type="dxa"/>
            <w:gridSpan w:val="2"/>
            <w:tcBorders>
              <w:left w:val="single" w:sz="4" w:space="0" w:color="FFFFFF" w:themeColor="background1"/>
            </w:tcBorders>
          </w:tcPr>
          <w:p w14:paraId="4DFFDB08" w14:textId="77777777" w:rsidR="00DF3091" w:rsidRPr="00B275E2" w:rsidRDefault="00DF3091" w:rsidP="00DF3091">
            <w:pPr>
              <w:pStyle w:val="TableText"/>
              <w:spacing w:before="40" w:after="40" w:line="230" w:lineRule="atLeast"/>
              <w:rPr>
                <w:rFonts w:cs="Calibri"/>
                <w:b w:val="0"/>
                <w:sz w:val="17"/>
                <w:szCs w:val="17"/>
              </w:rPr>
            </w:pPr>
            <w:r w:rsidRPr="00B275E2">
              <w:rPr>
                <w:rFonts w:cs="Calibri"/>
                <w:b w:val="0"/>
                <w:sz w:val="17"/>
                <w:szCs w:val="17"/>
              </w:rPr>
              <w:t>Geothermal fugitive emissions of CO</w:t>
            </w:r>
            <w:r w:rsidRPr="00B275E2">
              <w:rPr>
                <w:rFonts w:cs="Calibri"/>
                <w:b w:val="0"/>
                <w:sz w:val="17"/>
                <w:szCs w:val="17"/>
                <w:vertAlign w:val="subscript"/>
              </w:rPr>
              <w:t>2</w:t>
            </w:r>
            <w:r w:rsidRPr="00B275E2">
              <w:rPr>
                <w:rFonts w:cs="Calibri"/>
                <w:b w:val="0"/>
                <w:sz w:val="17"/>
                <w:szCs w:val="17"/>
              </w:rPr>
              <w:t xml:space="preserve"> (kt)</w:t>
            </w:r>
          </w:p>
        </w:tc>
        <w:tc>
          <w:tcPr>
            <w:tcW w:w="717" w:type="dxa"/>
            <w:gridSpan w:val="2"/>
          </w:tcPr>
          <w:p w14:paraId="7BFF3C8C" w14:textId="03139252" w:rsidR="00DF3091" w:rsidRPr="00B275E2" w:rsidRDefault="00DF3091" w:rsidP="00DF3091">
            <w:pPr>
              <w:pStyle w:val="TableText"/>
              <w:spacing w:before="40" w:after="40" w:line="230" w:lineRule="atLeast"/>
              <w:jc w:val="right"/>
              <w:cnfStyle w:val="000000100000" w:firstRow="0" w:lastRow="0" w:firstColumn="0" w:lastColumn="0" w:oddVBand="0" w:evenVBand="0" w:oddHBand="1" w:evenHBand="0" w:firstRowFirstColumn="0" w:firstRowLastColumn="0" w:lastRowFirstColumn="0" w:lastRowLastColumn="0"/>
              <w:rPr>
                <w:rFonts w:cs="Calibri"/>
                <w:sz w:val="17"/>
                <w:szCs w:val="17"/>
              </w:rPr>
            </w:pPr>
            <w:r w:rsidRPr="00B275E2">
              <w:rPr>
                <w:rFonts w:cs="Calibri"/>
                <w:sz w:val="17"/>
                <w:szCs w:val="17"/>
              </w:rPr>
              <w:t>449.69</w:t>
            </w:r>
          </w:p>
        </w:tc>
        <w:tc>
          <w:tcPr>
            <w:tcW w:w="717" w:type="dxa"/>
            <w:gridSpan w:val="2"/>
          </w:tcPr>
          <w:p w14:paraId="0F5A2314" w14:textId="71E55E36" w:rsidR="00DF3091" w:rsidRPr="00B275E2" w:rsidRDefault="00DF3091" w:rsidP="00DF3091">
            <w:pPr>
              <w:pStyle w:val="TableText"/>
              <w:spacing w:before="40" w:after="40" w:line="230" w:lineRule="atLeast"/>
              <w:jc w:val="right"/>
              <w:cnfStyle w:val="000000100000" w:firstRow="0" w:lastRow="0" w:firstColumn="0" w:lastColumn="0" w:oddVBand="0" w:evenVBand="0" w:oddHBand="1" w:evenHBand="0" w:firstRowFirstColumn="0" w:firstRowLastColumn="0" w:lastRowFirstColumn="0" w:lastRowLastColumn="0"/>
              <w:rPr>
                <w:rFonts w:cs="Calibri"/>
                <w:sz w:val="17"/>
                <w:szCs w:val="17"/>
              </w:rPr>
            </w:pPr>
            <w:r w:rsidRPr="00B275E2">
              <w:rPr>
                <w:rFonts w:cs="Calibri"/>
                <w:sz w:val="17"/>
                <w:szCs w:val="17"/>
              </w:rPr>
              <w:t>477.11</w:t>
            </w:r>
          </w:p>
        </w:tc>
        <w:tc>
          <w:tcPr>
            <w:tcW w:w="717" w:type="dxa"/>
          </w:tcPr>
          <w:p w14:paraId="6B829BE5" w14:textId="69E8498A" w:rsidR="00DF3091" w:rsidRPr="00B275E2" w:rsidRDefault="00DF3091" w:rsidP="00DF3091">
            <w:pPr>
              <w:pStyle w:val="TableText"/>
              <w:spacing w:before="40" w:after="40" w:line="230" w:lineRule="atLeast"/>
              <w:jc w:val="right"/>
              <w:cnfStyle w:val="000000100000" w:firstRow="0" w:lastRow="0" w:firstColumn="0" w:lastColumn="0" w:oddVBand="0" w:evenVBand="0" w:oddHBand="1" w:evenHBand="0" w:firstRowFirstColumn="0" w:firstRowLastColumn="0" w:lastRowFirstColumn="0" w:lastRowLastColumn="0"/>
              <w:rPr>
                <w:rFonts w:cs="Calibri"/>
                <w:sz w:val="17"/>
                <w:szCs w:val="17"/>
              </w:rPr>
            </w:pPr>
            <w:r w:rsidRPr="00B275E2">
              <w:rPr>
                <w:rFonts w:cs="Calibri"/>
                <w:sz w:val="17"/>
                <w:szCs w:val="17"/>
              </w:rPr>
              <w:t>583.44</w:t>
            </w:r>
          </w:p>
        </w:tc>
        <w:tc>
          <w:tcPr>
            <w:tcW w:w="674" w:type="dxa"/>
          </w:tcPr>
          <w:p w14:paraId="56853C5D" w14:textId="03F3E28C" w:rsidR="00DF3091" w:rsidRPr="00B275E2" w:rsidRDefault="00DF3091" w:rsidP="00DF3091">
            <w:pPr>
              <w:pStyle w:val="TableText"/>
              <w:spacing w:before="40" w:after="40" w:line="230" w:lineRule="atLeast"/>
              <w:jc w:val="right"/>
              <w:cnfStyle w:val="000000100000" w:firstRow="0" w:lastRow="0" w:firstColumn="0" w:lastColumn="0" w:oddVBand="0" w:evenVBand="0" w:oddHBand="1" w:evenHBand="0" w:firstRowFirstColumn="0" w:firstRowLastColumn="0" w:lastRowFirstColumn="0" w:lastRowLastColumn="0"/>
              <w:rPr>
                <w:rFonts w:cs="Calibri"/>
                <w:sz w:val="17"/>
                <w:szCs w:val="17"/>
              </w:rPr>
            </w:pPr>
            <w:r w:rsidRPr="00B275E2">
              <w:rPr>
                <w:rFonts w:cs="Calibri"/>
                <w:sz w:val="17"/>
                <w:szCs w:val="17"/>
              </w:rPr>
              <w:t>643.26</w:t>
            </w:r>
          </w:p>
        </w:tc>
        <w:tc>
          <w:tcPr>
            <w:tcW w:w="588" w:type="dxa"/>
          </w:tcPr>
          <w:p w14:paraId="6C98A89D" w14:textId="403BB350" w:rsidR="00DF3091" w:rsidRPr="00B275E2" w:rsidRDefault="00DF3091" w:rsidP="00DF3091">
            <w:pPr>
              <w:pStyle w:val="TableText"/>
              <w:spacing w:before="40" w:after="40" w:line="230" w:lineRule="atLeast"/>
              <w:jc w:val="right"/>
              <w:cnfStyle w:val="000000100000" w:firstRow="0" w:lastRow="0" w:firstColumn="0" w:lastColumn="0" w:oddVBand="0" w:evenVBand="0" w:oddHBand="1" w:evenHBand="0" w:firstRowFirstColumn="0" w:firstRowLastColumn="0" w:lastRowFirstColumn="0" w:lastRowLastColumn="0"/>
              <w:rPr>
                <w:rFonts w:cs="Calibri"/>
                <w:sz w:val="17"/>
                <w:szCs w:val="17"/>
              </w:rPr>
            </w:pPr>
            <w:r w:rsidRPr="00B275E2">
              <w:rPr>
                <w:rFonts w:cs="Calibri"/>
                <w:sz w:val="17"/>
                <w:szCs w:val="17"/>
              </w:rPr>
              <w:t>659.15</w:t>
            </w:r>
          </w:p>
        </w:tc>
        <w:tc>
          <w:tcPr>
            <w:tcW w:w="674" w:type="dxa"/>
          </w:tcPr>
          <w:p w14:paraId="2FAEF470" w14:textId="5C34348E" w:rsidR="00DF3091" w:rsidRPr="00B275E2" w:rsidRDefault="00DF3091" w:rsidP="00DF3091">
            <w:pPr>
              <w:pStyle w:val="TableText"/>
              <w:spacing w:before="40" w:after="40" w:line="230" w:lineRule="atLeast"/>
              <w:jc w:val="right"/>
              <w:cnfStyle w:val="000000100000" w:firstRow="0" w:lastRow="0" w:firstColumn="0" w:lastColumn="0" w:oddVBand="0" w:evenVBand="0" w:oddHBand="1" w:evenHBand="0" w:firstRowFirstColumn="0" w:firstRowLastColumn="0" w:lastRowFirstColumn="0" w:lastRowLastColumn="0"/>
              <w:rPr>
                <w:rFonts w:cs="Calibri"/>
                <w:sz w:val="17"/>
                <w:szCs w:val="17"/>
              </w:rPr>
            </w:pPr>
            <w:r w:rsidRPr="00B275E2">
              <w:rPr>
                <w:rFonts w:cs="Calibri"/>
                <w:sz w:val="17"/>
                <w:szCs w:val="17"/>
              </w:rPr>
              <w:t>675.69</w:t>
            </w:r>
          </w:p>
        </w:tc>
        <w:tc>
          <w:tcPr>
            <w:tcW w:w="616" w:type="dxa"/>
          </w:tcPr>
          <w:p w14:paraId="5271C8E4" w14:textId="3D5BF0E3" w:rsidR="00DF3091" w:rsidRPr="00B275E2" w:rsidRDefault="00DF3091" w:rsidP="00DF3091">
            <w:pPr>
              <w:pStyle w:val="TableText"/>
              <w:spacing w:before="40" w:after="40" w:line="230" w:lineRule="atLeast"/>
              <w:jc w:val="right"/>
              <w:cnfStyle w:val="000000100000" w:firstRow="0" w:lastRow="0" w:firstColumn="0" w:lastColumn="0" w:oddVBand="0" w:evenVBand="0" w:oddHBand="1" w:evenHBand="0" w:firstRowFirstColumn="0" w:firstRowLastColumn="0" w:lastRowFirstColumn="0" w:lastRowLastColumn="0"/>
              <w:rPr>
                <w:rFonts w:cs="Calibri"/>
                <w:sz w:val="17"/>
                <w:szCs w:val="17"/>
              </w:rPr>
            </w:pPr>
            <w:r w:rsidRPr="00B275E2">
              <w:rPr>
                <w:rFonts w:cs="Calibri"/>
                <w:sz w:val="17"/>
                <w:szCs w:val="17"/>
              </w:rPr>
              <w:t>645.51</w:t>
            </w:r>
          </w:p>
        </w:tc>
        <w:tc>
          <w:tcPr>
            <w:tcW w:w="674" w:type="dxa"/>
          </w:tcPr>
          <w:p w14:paraId="3565C5EA" w14:textId="0211B121" w:rsidR="00DF3091" w:rsidRPr="00B275E2" w:rsidRDefault="00DF3091" w:rsidP="00DF3091">
            <w:pPr>
              <w:pStyle w:val="TableText"/>
              <w:spacing w:before="40" w:after="40" w:line="230" w:lineRule="atLeast"/>
              <w:jc w:val="right"/>
              <w:cnfStyle w:val="000000100000" w:firstRow="0" w:lastRow="0" w:firstColumn="0" w:lastColumn="0" w:oddVBand="0" w:evenVBand="0" w:oddHBand="1" w:evenHBand="0" w:firstRowFirstColumn="0" w:firstRowLastColumn="0" w:lastRowFirstColumn="0" w:lastRowLastColumn="0"/>
              <w:rPr>
                <w:rFonts w:cs="Calibri"/>
                <w:sz w:val="17"/>
                <w:szCs w:val="17"/>
              </w:rPr>
            </w:pPr>
            <w:r w:rsidRPr="00B275E2">
              <w:rPr>
                <w:rFonts w:cs="Calibri"/>
                <w:sz w:val="17"/>
                <w:szCs w:val="17"/>
              </w:rPr>
              <w:t>596.68</w:t>
            </w:r>
          </w:p>
        </w:tc>
        <w:tc>
          <w:tcPr>
            <w:tcW w:w="674" w:type="dxa"/>
          </w:tcPr>
          <w:p w14:paraId="4FD8291E" w14:textId="187B7992" w:rsidR="00DF3091" w:rsidRPr="00B275E2" w:rsidRDefault="00DF3091" w:rsidP="00DF3091">
            <w:pPr>
              <w:pStyle w:val="TableText"/>
              <w:spacing w:before="40" w:after="40" w:line="230" w:lineRule="atLeast"/>
              <w:jc w:val="right"/>
              <w:cnfStyle w:val="000000100000" w:firstRow="0" w:lastRow="0" w:firstColumn="0" w:lastColumn="0" w:oddVBand="0" w:evenVBand="0" w:oddHBand="1" w:evenHBand="0" w:firstRowFirstColumn="0" w:firstRowLastColumn="0" w:lastRowFirstColumn="0" w:lastRowLastColumn="0"/>
              <w:rPr>
                <w:rFonts w:cs="Calibri"/>
                <w:sz w:val="17"/>
                <w:szCs w:val="17"/>
              </w:rPr>
            </w:pPr>
            <w:r w:rsidRPr="00B275E2">
              <w:rPr>
                <w:rFonts w:cs="Calibri"/>
                <w:sz w:val="17"/>
                <w:szCs w:val="17"/>
              </w:rPr>
              <w:t>604.77</w:t>
            </w:r>
          </w:p>
        </w:tc>
        <w:tc>
          <w:tcPr>
            <w:tcW w:w="674" w:type="dxa"/>
          </w:tcPr>
          <w:p w14:paraId="5C83B7D4" w14:textId="4B912FEF" w:rsidR="00DF3091" w:rsidRPr="00B275E2" w:rsidRDefault="00DF3091" w:rsidP="00DF3091">
            <w:pPr>
              <w:pStyle w:val="TableText"/>
              <w:spacing w:before="40" w:after="40" w:line="230" w:lineRule="atLeast"/>
              <w:jc w:val="right"/>
              <w:cnfStyle w:val="000000100000" w:firstRow="0" w:lastRow="0" w:firstColumn="0" w:lastColumn="0" w:oddVBand="0" w:evenVBand="0" w:oddHBand="1" w:evenHBand="0" w:firstRowFirstColumn="0" w:firstRowLastColumn="0" w:lastRowFirstColumn="0" w:lastRowLastColumn="0"/>
              <w:rPr>
                <w:rFonts w:cs="Calibri"/>
                <w:sz w:val="17"/>
                <w:szCs w:val="17"/>
              </w:rPr>
            </w:pPr>
            <w:r w:rsidRPr="00B275E2">
              <w:rPr>
                <w:rFonts w:cs="Calibri"/>
                <w:sz w:val="17"/>
                <w:szCs w:val="17"/>
              </w:rPr>
              <w:t>617.85</w:t>
            </w:r>
          </w:p>
        </w:tc>
        <w:tc>
          <w:tcPr>
            <w:tcW w:w="674" w:type="dxa"/>
            <w:tcBorders>
              <w:right w:val="single" w:sz="4" w:space="0" w:color="FFFFFF" w:themeColor="background1"/>
            </w:tcBorders>
          </w:tcPr>
          <w:p w14:paraId="406FB038" w14:textId="2439118D" w:rsidR="00DF3091" w:rsidRPr="00B275E2" w:rsidRDefault="00DF3091" w:rsidP="00DF3091">
            <w:pPr>
              <w:pStyle w:val="TableText"/>
              <w:spacing w:before="40" w:after="40" w:line="230" w:lineRule="atLeast"/>
              <w:jc w:val="right"/>
              <w:cnfStyle w:val="000000100000" w:firstRow="0" w:lastRow="0" w:firstColumn="0" w:lastColumn="0" w:oddVBand="0" w:evenVBand="0" w:oddHBand="1" w:evenHBand="0" w:firstRowFirstColumn="0" w:firstRowLastColumn="0" w:lastRowFirstColumn="0" w:lastRowLastColumn="0"/>
              <w:rPr>
                <w:rFonts w:cs="Calibri"/>
                <w:sz w:val="17"/>
                <w:szCs w:val="17"/>
              </w:rPr>
            </w:pPr>
            <w:r w:rsidRPr="00B275E2">
              <w:rPr>
                <w:rFonts w:cs="Calibri"/>
                <w:sz w:val="17"/>
                <w:szCs w:val="17"/>
              </w:rPr>
              <w:t>630.79</w:t>
            </w:r>
          </w:p>
        </w:tc>
      </w:tr>
      <w:tr w:rsidR="00DF3091" w:rsidRPr="00B275E2" w14:paraId="3F40FD85" w14:textId="59F8D4C6" w:rsidTr="00382387">
        <w:trPr>
          <w:trHeight w:val="157"/>
        </w:trPr>
        <w:tc>
          <w:tcPr>
            <w:cnfStyle w:val="001000000000" w:firstRow="0" w:lastRow="0" w:firstColumn="1" w:lastColumn="0" w:oddVBand="0" w:evenVBand="0" w:oddHBand="0" w:evenHBand="0" w:firstRowFirstColumn="0" w:firstRowLastColumn="0" w:lastRowFirstColumn="0" w:lastRowLastColumn="0"/>
            <w:tcW w:w="1106" w:type="dxa"/>
            <w:gridSpan w:val="2"/>
            <w:tcBorders>
              <w:left w:val="single" w:sz="4" w:space="0" w:color="FFFFFF" w:themeColor="background1"/>
            </w:tcBorders>
          </w:tcPr>
          <w:p w14:paraId="776AAC9E" w14:textId="77777777" w:rsidR="00DF3091" w:rsidRPr="00B275E2" w:rsidRDefault="00DF3091" w:rsidP="00DF3091">
            <w:pPr>
              <w:pStyle w:val="TableText"/>
              <w:spacing w:before="40" w:after="40" w:line="230" w:lineRule="atLeast"/>
              <w:rPr>
                <w:rFonts w:cs="Calibri"/>
                <w:b w:val="0"/>
                <w:sz w:val="17"/>
                <w:szCs w:val="17"/>
              </w:rPr>
            </w:pPr>
            <w:r w:rsidRPr="00B275E2">
              <w:rPr>
                <w:rFonts w:cs="Calibri"/>
                <w:b w:val="0"/>
                <w:sz w:val="17"/>
                <w:szCs w:val="17"/>
              </w:rPr>
              <w:t>Emissions of CH</w:t>
            </w:r>
            <w:r w:rsidRPr="00B275E2">
              <w:rPr>
                <w:rFonts w:cs="Calibri"/>
                <w:b w:val="0"/>
                <w:sz w:val="17"/>
                <w:szCs w:val="17"/>
                <w:vertAlign w:val="subscript"/>
              </w:rPr>
              <w:t>4</w:t>
            </w:r>
            <w:r w:rsidRPr="00B275E2">
              <w:rPr>
                <w:rFonts w:cs="Calibri"/>
                <w:b w:val="0"/>
                <w:sz w:val="17"/>
                <w:szCs w:val="17"/>
              </w:rPr>
              <w:t xml:space="preserve"> from public electricity generation (kt)</w:t>
            </w:r>
          </w:p>
        </w:tc>
        <w:tc>
          <w:tcPr>
            <w:tcW w:w="717" w:type="dxa"/>
            <w:gridSpan w:val="2"/>
          </w:tcPr>
          <w:p w14:paraId="292249CF" w14:textId="2061EFC6" w:rsidR="00DF3091" w:rsidRPr="00B275E2" w:rsidRDefault="00DF3091" w:rsidP="00DF3091">
            <w:pPr>
              <w:pStyle w:val="TableText"/>
              <w:spacing w:before="40" w:after="40" w:line="230" w:lineRule="atLeast"/>
              <w:jc w:val="right"/>
              <w:cnfStyle w:val="000000000000" w:firstRow="0" w:lastRow="0" w:firstColumn="0" w:lastColumn="0" w:oddVBand="0" w:evenVBand="0" w:oddHBand="0" w:evenHBand="0" w:firstRowFirstColumn="0" w:firstRowLastColumn="0" w:lastRowFirstColumn="0" w:lastRowLastColumn="0"/>
              <w:rPr>
                <w:rFonts w:cs="Calibri"/>
                <w:sz w:val="17"/>
                <w:szCs w:val="17"/>
              </w:rPr>
            </w:pPr>
            <w:r w:rsidRPr="00B275E2">
              <w:rPr>
                <w:rFonts w:cs="Calibri"/>
                <w:sz w:val="17"/>
                <w:szCs w:val="17"/>
              </w:rPr>
              <w:t>0.06</w:t>
            </w:r>
          </w:p>
        </w:tc>
        <w:tc>
          <w:tcPr>
            <w:tcW w:w="717" w:type="dxa"/>
            <w:gridSpan w:val="2"/>
          </w:tcPr>
          <w:p w14:paraId="7B0942E9" w14:textId="5BEF852B" w:rsidR="00DF3091" w:rsidRPr="00B275E2" w:rsidRDefault="00DF3091" w:rsidP="00DF3091">
            <w:pPr>
              <w:pStyle w:val="TableText"/>
              <w:spacing w:before="40" w:after="40" w:line="230" w:lineRule="atLeast"/>
              <w:jc w:val="right"/>
              <w:cnfStyle w:val="000000000000" w:firstRow="0" w:lastRow="0" w:firstColumn="0" w:lastColumn="0" w:oddVBand="0" w:evenVBand="0" w:oddHBand="0" w:evenHBand="0" w:firstRowFirstColumn="0" w:firstRowLastColumn="0" w:lastRowFirstColumn="0" w:lastRowLastColumn="0"/>
              <w:rPr>
                <w:rFonts w:cs="Calibri"/>
                <w:sz w:val="17"/>
                <w:szCs w:val="17"/>
              </w:rPr>
            </w:pPr>
            <w:r w:rsidRPr="00B275E2">
              <w:rPr>
                <w:rFonts w:cs="Calibri"/>
                <w:sz w:val="17"/>
                <w:szCs w:val="17"/>
              </w:rPr>
              <w:t>0.05</w:t>
            </w:r>
          </w:p>
        </w:tc>
        <w:tc>
          <w:tcPr>
            <w:tcW w:w="717" w:type="dxa"/>
          </w:tcPr>
          <w:p w14:paraId="526D1EBC" w14:textId="273D7048" w:rsidR="00DF3091" w:rsidRPr="00B275E2" w:rsidRDefault="00DF3091" w:rsidP="00DF3091">
            <w:pPr>
              <w:pStyle w:val="TableText"/>
              <w:spacing w:before="40" w:after="40" w:line="230" w:lineRule="atLeast"/>
              <w:jc w:val="right"/>
              <w:cnfStyle w:val="000000000000" w:firstRow="0" w:lastRow="0" w:firstColumn="0" w:lastColumn="0" w:oddVBand="0" w:evenVBand="0" w:oddHBand="0" w:evenHBand="0" w:firstRowFirstColumn="0" w:firstRowLastColumn="0" w:lastRowFirstColumn="0" w:lastRowLastColumn="0"/>
              <w:rPr>
                <w:rFonts w:cs="Calibri"/>
                <w:sz w:val="17"/>
                <w:szCs w:val="17"/>
              </w:rPr>
            </w:pPr>
            <w:r w:rsidRPr="00B275E2">
              <w:rPr>
                <w:rFonts w:cs="Calibri"/>
                <w:sz w:val="17"/>
                <w:szCs w:val="17"/>
              </w:rPr>
              <w:t>0.05</w:t>
            </w:r>
          </w:p>
        </w:tc>
        <w:tc>
          <w:tcPr>
            <w:tcW w:w="674" w:type="dxa"/>
          </w:tcPr>
          <w:p w14:paraId="2A057658" w14:textId="3E46C4E4" w:rsidR="00DF3091" w:rsidRPr="00B275E2" w:rsidRDefault="00DF3091" w:rsidP="00DF3091">
            <w:pPr>
              <w:pStyle w:val="TableText"/>
              <w:spacing w:before="40" w:after="40" w:line="230" w:lineRule="atLeast"/>
              <w:jc w:val="right"/>
              <w:cnfStyle w:val="000000000000" w:firstRow="0" w:lastRow="0" w:firstColumn="0" w:lastColumn="0" w:oddVBand="0" w:evenVBand="0" w:oddHBand="0" w:evenHBand="0" w:firstRowFirstColumn="0" w:firstRowLastColumn="0" w:lastRowFirstColumn="0" w:lastRowLastColumn="0"/>
              <w:rPr>
                <w:rFonts w:cs="Calibri"/>
                <w:sz w:val="17"/>
                <w:szCs w:val="17"/>
              </w:rPr>
            </w:pPr>
            <w:r w:rsidRPr="00B275E2">
              <w:rPr>
                <w:rFonts w:cs="Calibri"/>
                <w:sz w:val="17"/>
                <w:szCs w:val="17"/>
              </w:rPr>
              <w:t>0.06</w:t>
            </w:r>
          </w:p>
        </w:tc>
        <w:tc>
          <w:tcPr>
            <w:tcW w:w="588" w:type="dxa"/>
          </w:tcPr>
          <w:p w14:paraId="73DDA173" w14:textId="4D5AE2FF" w:rsidR="00DF3091" w:rsidRPr="00B275E2" w:rsidRDefault="00DF3091" w:rsidP="00DF3091">
            <w:pPr>
              <w:pStyle w:val="TableText"/>
              <w:spacing w:before="40" w:after="40" w:line="230" w:lineRule="atLeast"/>
              <w:jc w:val="right"/>
              <w:cnfStyle w:val="000000000000" w:firstRow="0" w:lastRow="0" w:firstColumn="0" w:lastColumn="0" w:oddVBand="0" w:evenVBand="0" w:oddHBand="0" w:evenHBand="0" w:firstRowFirstColumn="0" w:firstRowLastColumn="0" w:lastRowFirstColumn="0" w:lastRowLastColumn="0"/>
              <w:rPr>
                <w:rFonts w:cs="Calibri"/>
                <w:sz w:val="17"/>
                <w:szCs w:val="17"/>
              </w:rPr>
            </w:pPr>
            <w:r w:rsidRPr="00B275E2">
              <w:rPr>
                <w:rFonts w:cs="Calibri"/>
                <w:sz w:val="17"/>
                <w:szCs w:val="17"/>
              </w:rPr>
              <w:t>0.05</w:t>
            </w:r>
          </w:p>
        </w:tc>
        <w:tc>
          <w:tcPr>
            <w:tcW w:w="674" w:type="dxa"/>
          </w:tcPr>
          <w:p w14:paraId="220CF4A1" w14:textId="59D120D9" w:rsidR="00DF3091" w:rsidRPr="00B275E2" w:rsidRDefault="00DF3091" w:rsidP="00DF3091">
            <w:pPr>
              <w:pStyle w:val="TableText"/>
              <w:spacing w:before="40" w:after="40" w:line="230" w:lineRule="atLeast"/>
              <w:jc w:val="right"/>
              <w:cnfStyle w:val="000000000000" w:firstRow="0" w:lastRow="0" w:firstColumn="0" w:lastColumn="0" w:oddVBand="0" w:evenVBand="0" w:oddHBand="0" w:evenHBand="0" w:firstRowFirstColumn="0" w:firstRowLastColumn="0" w:lastRowFirstColumn="0" w:lastRowLastColumn="0"/>
              <w:rPr>
                <w:rFonts w:cs="Calibri"/>
                <w:sz w:val="17"/>
                <w:szCs w:val="17"/>
              </w:rPr>
            </w:pPr>
            <w:r w:rsidRPr="00B275E2">
              <w:rPr>
                <w:rFonts w:cs="Calibri"/>
                <w:sz w:val="17"/>
                <w:szCs w:val="17"/>
              </w:rPr>
              <w:t>0.06</w:t>
            </w:r>
          </w:p>
        </w:tc>
        <w:tc>
          <w:tcPr>
            <w:tcW w:w="616" w:type="dxa"/>
          </w:tcPr>
          <w:p w14:paraId="79B930E9" w14:textId="0B3519C5" w:rsidR="00DF3091" w:rsidRPr="00B275E2" w:rsidRDefault="00DF3091" w:rsidP="00DF3091">
            <w:pPr>
              <w:pStyle w:val="TableText"/>
              <w:spacing w:before="40" w:after="40" w:line="230" w:lineRule="atLeast"/>
              <w:jc w:val="right"/>
              <w:cnfStyle w:val="000000000000" w:firstRow="0" w:lastRow="0" w:firstColumn="0" w:lastColumn="0" w:oddVBand="0" w:evenVBand="0" w:oddHBand="0" w:evenHBand="0" w:firstRowFirstColumn="0" w:firstRowLastColumn="0" w:lastRowFirstColumn="0" w:lastRowLastColumn="0"/>
              <w:rPr>
                <w:rFonts w:cs="Calibri"/>
                <w:sz w:val="17"/>
                <w:szCs w:val="17"/>
              </w:rPr>
            </w:pPr>
            <w:r w:rsidRPr="00B275E2">
              <w:rPr>
                <w:rFonts w:cs="Calibri"/>
                <w:sz w:val="17"/>
                <w:szCs w:val="17"/>
              </w:rPr>
              <w:t>0.07</w:t>
            </w:r>
          </w:p>
        </w:tc>
        <w:tc>
          <w:tcPr>
            <w:tcW w:w="674" w:type="dxa"/>
          </w:tcPr>
          <w:p w14:paraId="6E1BF219" w14:textId="7BC50019" w:rsidR="00DF3091" w:rsidRPr="00B275E2" w:rsidRDefault="00DF3091" w:rsidP="00DF3091">
            <w:pPr>
              <w:pStyle w:val="TableText"/>
              <w:spacing w:before="40" w:after="40" w:line="230" w:lineRule="atLeast"/>
              <w:jc w:val="right"/>
              <w:cnfStyle w:val="000000000000" w:firstRow="0" w:lastRow="0" w:firstColumn="0" w:lastColumn="0" w:oddVBand="0" w:evenVBand="0" w:oddHBand="0" w:evenHBand="0" w:firstRowFirstColumn="0" w:firstRowLastColumn="0" w:lastRowFirstColumn="0" w:lastRowLastColumn="0"/>
              <w:rPr>
                <w:rFonts w:cs="Calibri"/>
                <w:sz w:val="17"/>
                <w:szCs w:val="17"/>
              </w:rPr>
            </w:pPr>
            <w:r w:rsidRPr="00B275E2">
              <w:rPr>
                <w:rFonts w:cs="Calibri"/>
                <w:sz w:val="17"/>
                <w:szCs w:val="17"/>
              </w:rPr>
              <w:t>0.08</w:t>
            </w:r>
          </w:p>
        </w:tc>
        <w:tc>
          <w:tcPr>
            <w:tcW w:w="674" w:type="dxa"/>
          </w:tcPr>
          <w:p w14:paraId="0B0355DD" w14:textId="53F38B76" w:rsidR="00DF3091" w:rsidRPr="00B275E2" w:rsidRDefault="00DF3091" w:rsidP="00DF3091">
            <w:pPr>
              <w:pStyle w:val="TableText"/>
              <w:spacing w:before="40" w:after="40" w:line="230" w:lineRule="atLeast"/>
              <w:jc w:val="right"/>
              <w:cnfStyle w:val="000000000000" w:firstRow="0" w:lastRow="0" w:firstColumn="0" w:lastColumn="0" w:oddVBand="0" w:evenVBand="0" w:oddHBand="0" w:evenHBand="0" w:firstRowFirstColumn="0" w:firstRowLastColumn="0" w:lastRowFirstColumn="0" w:lastRowLastColumn="0"/>
              <w:rPr>
                <w:rFonts w:cs="Calibri"/>
                <w:sz w:val="17"/>
                <w:szCs w:val="17"/>
              </w:rPr>
            </w:pPr>
            <w:r w:rsidRPr="00B275E2">
              <w:rPr>
                <w:rFonts w:cs="Calibri"/>
                <w:sz w:val="17"/>
                <w:szCs w:val="17"/>
              </w:rPr>
              <w:t>0.09</w:t>
            </w:r>
          </w:p>
        </w:tc>
        <w:tc>
          <w:tcPr>
            <w:tcW w:w="674" w:type="dxa"/>
          </w:tcPr>
          <w:p w14:paraId="10B05829" w14:textId="1BE8C229" w:rsidR="00DF3091" w:rsidRPr="00B275E2" w:rsidRDefault="00DF3091" w:rsidP="00DF3091">
            <w:pPr>
              <w:pStyle w:val="TableText"/>
              <w:spacing w:before="40" w:after="40" w:line="230" w:lineRule="atLeast"/>
              <w:jc w:val="right"/>
              <w:cnfStyle w:val="000000000000" w:firstRow="0" w:lastRow="0" w:firstColumn="0" w:lastColumn="0" w:oddVBand="0" w:evenVBand="0" w:oddHBand="0" w:evenHBand="0" w:firstRowFirstColumn="0" w:firstRowLastColumn="0" w:lastRowFirstColumn="0" w:lastRowLastColumn="0"/>
              <w:rPr>
                <w:rFonts w:cs="Calibri"/>
                <w:sz w:val="17"/>
                <w:szCs w:val="17"/>
              </w:rPr>
            </w:pPr>
            <w:r w:rsidRPr="00B275E2">
              <w:rPr>
                <w:rFonts w:cs="Calibri"/>
                <w:sz w:val="17"/>
                <w:szCs w:val="17"/>
              </w:rPr>
              <w:t>0.08</w:t>
            </w:r>
          </w:p>
        </w:tc>
        <w:tc>
          <w:tcPr>
            <w:tcW w:w="674" w:type="dxa"/>
            <w:tcBorders>
              <w:right w:val="single" w:sz="4" w:space="0" w:color="FFFFFF" w:themeColor="background1"/>
            </w:tcBorders>
          </w:tcPr>
          <w:p w14:paraId="1D50645E" w14:textId="3C630957" w:rsidR="00DF3091" w:rsidRPr="00B275E2" w:rsidRDefault="00DF3091" w:rsidP="00DF3091">
            <w:pPr>
              <w:pStyle w:val="TableText"/>
              <w:spacing w:before="40" w:after="40" w:line="230" w:lineRule="atLeast"/>
              <w:jc w:val="right"/>
              <w:cnfStyle w:val="000000000000" w:firstRow="0" w:lastRow="0" w:firstColumn="0" w:lastColumn="0" w:oddVBand="0" w:evenVBand="0" w:oddHBand="0" w:evenHBand="0" w:firstRowFirstColumn="0" w:firstRowLastColumn="0" w:lastRowFirstColumn="0" w:lastRowLastColumn="0"/>
              <w:rPr>
                <w:rFonts w:cs="Calibri"/>
                <w:sz w:val="17"/>
                <w:szCs w:val="17"/>
              </w:rPr>
            </w:pPr>
            <w:r w:rsidRPr="00B275E2">
              <w:rPr>
                <w:rFonts w:cs="Calibri"/>
                <w:sz w:val="17"/>
                <w:szCs w:val="17"/>
              </w:rPr>
              <w:t>0.09</w:t>
            </w:r>
          </w:p>
        </w:tc>
      </w:tr>
      <w:tr w:rsidR="00DF3091" w:rsidRPr="00B275E2" w14:paraId="0CEEDF54" w14:textId="32E5435F" w:rsidTr="00382387">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1106" w:type="dxa"/>
            <w:gridSpan w:val="2"/>
            <w:tcBorders>
              <w:left w:val="single" w:sz="4" w:space="0" w:color="FFFFFF" w:themeColor="background1"/>
            </w:tcBorders>
          </w:tcPr>
          <w:p w14:paraId="3B4AAE62" w14:textId="51B6A225" w:rsidR="00DF3091" w:rsidRPr="00B275E2" w:rsidRDefault="00DF3091" w:rsidP="00DF3091">
            <w:pPr>
              <w:pStyle w:val="TableText"/>
              <w:spacing w:before="40" w:after="40" w:line="230" w:lineRule="atLeast"/>
              <w:rPr>
                <w:rFonts w:cs="Calibri"/>
                <w:b w:val="0"/>
                <w:sz w:val="17"/>
                <w:szCs w:val="17"/>
              </w:rPr>
            </w:pPr>
            <w:r w:rsidRPr="00B275E2">
              <w:rPr>
                <w:rFonts w:cs="Calibri"/>
                <w:b w:val="0"/>
                <w:sz w:val="17"/>
                <w:szCs w:val="17"/>
              </w:rPr>
              <w:t>Geothermal fugitive emissions of CH</w:t>
            </w:r>
            <w:r w:rsidRPr="00B275E2">
              <w:rPr>
                <w:rFonts w:cs="Calibri"/>
                <w:b w:val="0"/>
                <w:sz w:val="17"/>
                <w:szCs w:val="17"/>
                <w:vertAlign w:val="subscript"/>
              </w:rPr>
              <w:t>4</w:t>
            </w:r>
            <w:r w:rsidRPr="00B275E2">
              <w:rPr>
                <w:rFonts w:cs="Calibri"/>
                <w:b w:val="0"/>
                <w:sz w:val="17"/>
                <w:szCs w:val="17"/>
              </w:rPr>
              <w:t> (kt)</w:t>
            </w:r>
          </w:p>
        </w:tc>
        <w:tc>
          <w:tcPr>
            <w:tcW w:w="717" w:type="dxa"/>
            <w:gridSpan w:val="2"/>
          </w:tcPr>
          <w:p w14:paraId="3223D4CB" w14:textId="24603A67" w:rsidR="00DF3091" w:rsidRPr="00B275E2" w:rsidRDefault="00DF3091" w:rsidP="00DF3091">
            <w:pPr>
              <w:pStyle w:val="TableText"/>
              <w:spacing w:before="40" w:after="40" w:line="230" w:lineRule="atLeast"/>
              <w:jc w:val="right"/>
              <w:cnfStyle w:val="000000100000" w:firstRow="0" w:lastRow="0" w:firstColumn="0" w:lastColumn="0" w:oddVBand="0" w:evenVBand="0" w:oddHBand="1" w:evenHBand="0" w:firstRowFirstColumn="0" w:firstRowLastColumn="0" w:lastRowFirstColumn="0" w:lastRowLastColumn="0"/>
              <w:rPr>
                <w:rFonts w:cs="Calibri"/>
                <w:sz w:val="17"/>
                <w:szCs w:val="17"/>
              </w:rPr>
            </w:pPr>
            <w:r w:rsidRPr="00B275E2">
              <w:rPr>
                <w:rFonts w:cs="Calibri"/>
                <w:sz w:val="17"/>
                <w:szCs w:val="17"/>
              </w:rPr>
              <w:t>4.73</w:t>
            </w:r>
          </w:p>
        </w:tc>
        <w:tc>
          <w:tcPr>
            <w:tcW w:w="717" w:type="dxa"/>
            <w:gridSpan w:val="2"/>
          </w:tcPr>
          <w:p w14:paraId="306A7E88" w14:textId="4B319507" w:rsidR="00DF3091" w:rsidRPr="00B275E2" w:rsidRDefault="00DF3091" w:rsidP="00DF3091">
            <w:pPr>
              <w:pStyle w:val="TableText"/>
              <w:spacing w:before="40" w:after="40" w:line="230" w:lineRule="atLeast"/>
              <w:jc w:val="right"/>
              <w:cnfStyle w:val="000000100000" w:firstRow="0" w:lastRow="0" w:firstColumn="0" w:lastColumn="0" w:oddVBand="0" w:evenVBand="0" w:oddHBand="1" w:evenHBand="0" w:firstRowFirstColumn="0" w:firstRowLastColumn="0" w:lastRowFirstColumn="0" w:lastRowLastColumn="0"/>
              <w:rPr>
                <w:rFonts w:cs="Calibri"/>
                <w:sz w:val="17"/>
                <w:szCs w:val="17"/>
              </w:rPr>
            </w:pPr>
            <w:r w:rsidRPr="00B275E2">
              <w:rPr>
                <w:rFonts w:cs="Calibri"/>
                <w:sz w:val="17"/>
                <w:szCs w:val="17"/>
              </w:rPr>
              <w:t>5.01</w:t>
            </w:r>
          </w:p>
        </w:tc>
        <w:tc>
          <w:tcPr>
            <w:tcW w:w="717" w:type="dxa"/>
          </w:tcPr>
          <w:p w14:paraId="3B10C1FD" w14:textId="46366917" w:rsidR="00DF3091" w:rsidRPr="00B275E2" w:rsidRDefault="00DF3091" w:rsidP="00DF3091">
            <w:pPr>
              <w:pStyle w:val="TableText"/>
              <w:spacing w:before="40" w:after="40" w:line="230" w:lineRule="atLeast"/>
              <w:jc w:val="right"/>
              <w:cnfStyle w:val="000000100000" w:firstRow="0" w:lastRow="0" w:firstColumn="0" w:lastColumn="0" w:oddVBand="0" w:evenVBand="0" w:oddHBand="1" w:evenHBand="0" w:firstRowFirstColumn="0" w:firstRowLastColumn="0" w:lastRowFirstColumn="0" w:lastRowLastColumn="0"/>
              <w:rPr>
                <w:rFonts w:cs="Calibri"/>
                <w:sz w:val="17"/>
                <w:szCs w:val="17"/>
              </w:rPr>
            </w:pPr>
            <w:r w:rsidRPr="00B275E2">
              <w:rPr>
                <w:rFonts w:cs="Calibri"/>
                <w:sz w:val="17"/>
                <w:szCs w:val="17"/>
              </w:rPr>
              <w:t>6.14</w:t>
            </w:r>
          </w:p>
        </w:tc>
        <w:tc>
          <w:tcPr>
            <w:tcW w:w="674" w:type="dxa"/>
          </w:tcPr>
          <w:p w14:paraId="3E04D2EB" w14:textId="3BFC2E5C" w:rsidR="00DF3091" w:rsidRPr="00B275E2" w:rsidRDefault="00DF3091" w:rsidP="00DF3091">
            <w:pPr>
              <w:pStyle w:val="TableText"/>
              <w:spacing w:before="40" w:after="40" w:line="230" w:lineRule="atLeast"/>
              <w:jc w:val="right"/>
              <w:cnfStyle w:val="000000100000" w:firstRow="0" w:lastRow="0" w:firstColumn="0" w:lastColumn="0" w:oddVBand="0" w:evenVBand="0" w:oddHBand="1" w:evenHBand="0" w:firstRowFirstColumn="0" w:firstRowLastColumn="0" w:lastRowFirstColumn="0" w:lastRowLastColumn="0"/>
              <w:rPr>
                <w:rFonts w:cs="Calibri"/>
                <w:sz w:val="17"/>
                <w:szCs w:val="17"/>
              </w:rPr>
            </w:pPr>
            <w:r w:rsidRPr="00B275E2">
              <w:rPr>
                <w:rFonts w:cs="Calibri"/>
                <w:sz w:val="17"/>
                <w:szCs w:val="17"/>
              </w:rPr>
              <w:t>6.86</w:t>
            </w:r>
          </w:p>
        </w:tc>
        <w:tc>
          <w:tcPr>
            <w:tcW w:w="588" w:type="dxa"/>
          </w:tcPr>
          <w:p w14:paraId="7549AEDC" w14:textId="32C32FCC" w:rsidR="00DF3091" w:rsidRPr="00B275E2" w:rsidRDefault="00DF3091" w:rsidP="00DF3091">
            <w:pPr>
              <w:pStyle w:val="TableText"/>
              <w:spacing w:before="40" w:after="40" w:line="230" w:lineRule="atLeast"/>
              <w:jc w:val="right"/>
              <w:cnfStyle w:val="000000100000" w:firstRow="0" w:lastRow="0" w:firstColumn="0" w:lastColumn="0" w:oddVBand="0" w:evenVBand="0" w:oddHBand="1" w:evenHBand="0" w:firstRowFirstColumn="0" w:firstRowLastColumn="0" w:lastRowFirstColumn="0" w:lastRowLastColumn="0"/>
              <w:rPr>
                <w:rFonts w:cs="Calibri"/>
                <w:sz w:val="17"/>
                <w:szCs w:val="17"/>
              </w:rPr>
            </w:pPr>
            <w:r w:rsidRPr="00B275E2">
              <w:rPr>
                <w:rFonts w:cs="Calibri"/>
                <w:sz w:val="17"/>
                <w:szCs w:val="17"/>
              </w:rPr>
              <w:t>6.91</w:t>
            </w:r>
          </w:p>
        </w:tc>
        <w:tc>
          <w:tcPr>
            <w:tcW w:w="674" w:type="dxa"/>
          </w:tcPr>
          <w:p w14:paraId="756B2BD4" w14:textId="46E608F0" w:rsidR="00DF3091" w:rsidRPr="00B275E2" w:rsidRDefault="00DF3091" w:rsidP="00DF3091">
            <w:pPr>
              <w:pStyle w:val="TableText"/>
              <w:spacing w:before="40" w:after="40" w:line="230" w:lineRule="atLeast"/>
              <w:jc w:val="right"/>
              <w:cnfStyle w:val="000000100000" w:firstRow="0" w:lastRow="0" w:firstColumn="0" w:lastColumn="0" w:oddVBand="0" w:evenVBand="0" w:oddHBand="1" w:evenHBand="0" w:firstRowFirstColumn="0" w:firstRowLastColumn="0" w:lastRowFirstColumn="0" w:lastRowLastColumn="0"/>
              <w:rPr>
                <w:rFonts w:cs="Calibri"/>
                <w:sz w:val="17"/>
                <w:szCs w:val="17"/>
              </w:rPr>
            </w:pPr>
            <w:r w:rsidRPr="00B275E2">
              <w:rPr>
                <w:rFonts w:cs="Calibri"/>
                <w:sz w:val="17"/>
                <w:szCs w:val="17"/>
              </w:rPr>
              <w:t>7.05</w:t>
            </w:r>
          </w:p>
        </w:tc>
        <w:tc>
          <w:tcPr>
            <w:tcW w:w="616" w:type="dxa"/>
          </w:tcPr>
          <w:p w14:paraId="0FF88C42" w14:textId="0F2A6439" w:rsidR="00DF3091" w:rsidRPr="00B275E2" w:rsidRDefault="00DF3091" w:rsidP="00DF3091">
            <w:pPr>
              <w:pStyle w:val="TableText"/>
              <w:spacing w:before="40" w:after="40" w:line="230" w:lineRule="atLeast"/>
              <w:jc w:val="right"/>
              <w:cnfStyle w:val="000000100000" w:firstRow="0" w:lastRow="0" w:firstColumn="0" w:lastColumn="0" w:oddVBand="0" w:evenVBand="0" w:oddHBand="1" w:evenHBand="0" w:firstRowFirstColumn="0" w:firstRowLastColumn="0" w:lastRowFirstColumn="0" w:lastRowLastColumn="0"/>
              <w:rPr>
                <w:rFonts w:cs="Calibri"/>
                <w:sz w:val="17"/>
                <w:szCs w:val="17"/>
              </w:rPr>
            </w:pPr>
            <w:r w:rsidRPr="00B275E2">
              <w:rPr>
                <w:rFonts w:cs="Calibri"/>
                <w:sz w:val="17"/>
                <w:szCs w:val="17"/>
              </w:rPr>
              <w:t>6.64</w:t>
            </w:r>
          </w:p>
        </w:tc>
        <w:tc>
          <w:tcPr>
            <w:tcW w:w="674" w:type="dxa"/>
          </w:tcPr>
          <w:p w14:paraId="336E4CAF" w14:textId="4FA1B95E" w:rsidR="00DF3091" w:rsidRPr="00B275E2" w:rsidRDefault="00DF3091" w:rsidP="00DF3091">
            <w:pPr>
              <w:pStyle w:val="TableText"/>
              <w:spacing w:before="40" w:after="40" w:line="230" w:lineRule="atLeast"/>
              <w:jc w:val="right"/>
              <w:cnfStyle w:val="000000100000" w:firstRow="0" w:lastRow="0" w:firstColumn="0" w:lastColumn="0" w:oddVBand="0" w:evenVBand="0" w:oddHBand="1" w:evenHBand="0" w:firstRowFirstColumn="0" w:firstRowLastColumn="0" w:lastRowFirstColumn="0" w:lastRowLastColumn="0"/>
              <w:rPr>
                <w:rFonts w:cs="Calibri"/>
                <w:sz w:val="17"/>
                <w:szCs w:val="17"/>
              </w:rPr>
            </w:pPr>
            <w:r w:rsidRPr="00B275E2">
              <w:rPr>
                <w:rFonts w:cs="Calibri"/>
                <w:sz w:val="17"/>
                <w:szCs w:val="17"/>
              </w:rPr>
              <w:t>6.06</w:t>
            </w:r>
          </w:p>
        </w:tc>
        <w:tc>
          <w:tcPr>
            <w:tcW w:w="674" w:type="dxa"/>
          </w:tcPr>
          <w:p w14:paraId="660C75D5" w14:textId="413A1B43" w:rsidR="00DF3091" w:rsidRPr="00B275E2" w:rsidRDefault="00DF3091" w:rsidP="00DF3091">
            <w:pPr>
              <w:pStyle w:val="TableText"/>
              <w:spacing w:before="40" w:after="40" w:line="230" w:lineRule="atLeast"/>
              <w:jc w:val="right"/>
              <w:cnfStyle w:val="000000100000" w:firstRow="0" w:lastRow="0" w:firstColumn="0" w:lastColumn="0" w:oddVBand="0" w:evenVBand="0" w:oddHBand="1" w:evenHBand="0" w:firstRowFirstColumn="0" w:firstRowLastColumn="0" w:lastRowFirstColumn="0" w:lastRowLastColumn="0"/>
              <w:rPr>
                <w:rFonts w:cs="Calibri"/>
                <w:sz w:val="17"/>
                <w:szCs w:val="17"/>
              </w:rPr>
            </w:pPr>
            <w:r w:rsidRPr="00B275E2">
              <w:rPr>
                <w:rFonts w:cs="Calibri"/>
                <w:sz w:val="17"/>
                <w:szCs w:val="17"/>
              </w:rPr>
              <w:t>5.83</w:t>
            </w:r>
          </w:p>
        </w:tc>
        <w:tc>
          <w:tcPr>
            <w:tcW w:w="674" w:type="dxa"/>
          </w:tcPr>
          <w:p w14:paraId="4F0469FD" w14:textId="4B6D6CAB" w:rsidR="00DF3091" w:rsidRPr="00B275E2" w:rsidRDefault="00DF3091" w:rsidP="00DF3091">
            <w:pPr>
              <w:pStyle w:val="TableText"/>
              <w:spacing w:before="40" w:after="40" w:line="230" w:lineRule="atLeast"/>
              <w:jc w:val="right"/>
              <w:cnfStyle w:val="000000100000" w:firstRow="0" w:lastRow="0" w:firstColumn="0" w:lastColumn="0" w:oddVBand="0" w:evenVBand="0" w:oddHBand="1" w:evenHBand="0" w:firstRowFirstColumn="0" w:firstRowLastColumn="0" w:lastRowFirstColumn="0" w:lastRowLastColumn="0"/>
              <w:rPr>
                <w:rFonts w:cs="Calibri"/>
                <w:sz w:val="17"/>
                <w:szCs w:val="17"/>
              </w:rPr>
            </w:pPr>
            <w:r w:rsidRPr="00B275E2">
              <w:rPr>
                <w:rFonts w:cs="Calibri"/>
                <w:sz w:val="17"/>
                <w:szCs w:val="17"/>
              </w:rPr>
              <w:t>5.57</w:t>
            </w:r>
          </w:p>
        </w:tc>
        <w:tc>
          <w:tcPr>
            <w:tcW w:w="674" w:type="dxa"/>
            <w:tcBorders>
              <w:right w:val="single" w:sz="4" w:space="0" w:color="FFFFFF" w:themeColor="background1"/>
            </w:tcBorders>
          </w:tcPr>
          <w:p w14:paraId="1F5A75CB" w14:textId="3E6A3482" w:rsidR="00DF3091" w:rsidRPr="00B275E2" w:rsidRDefault="00DF3091" w:rsidP="00DF3091">
            <w:pPr>
              <w:pStyle w:val="TableText"/>
              <w:spacing w:before="40" w:after="40" w:line="230" w:lineRule="atLeast"/>
              <w:jc w:val="right"/>
              <w:cnfStyle w:val="000000100000" w:firstRow="0" w:lastRow="0" w:firstColumn="0" w:lastColumn="0" w:oddVBand="0" w:evenVBand="0" w:oddHBand="1" w:evenHBand="0" w:firstRowFirstColumn="0" w:firstRowLastColumn="0" w:lastRowFirstColumn="0" w:lastRowLastColumn="0"/>
              <w:rPr>
                <w:rFonts w:cs="Calibri"/>
                <w:sz w:val="17"/>
                <w:szCs w:val="17"/>
              </w:rPr>
            </w:pPr>
            <w:r w:rsidRPr="00B275E2">
              <w:rPr>
                <w:rFonts w:cs="Calibri"/>
                <w:sz w:val="17"/>
                <w:szCs w:val="17"/>
              </w:rPr>
              <w:t>5.44</w:t>
            </w:r>
          </w:p>
        </w:tc>
      </w:tr>
      <w:tr w:rsidR="00DF3091" w:rsidRPr="00B275E2" w14:paraId="3603AB80" w14:textId="4D45CAE7" w:rsidTr="00382387">
        <w:trPr>
          <w:trHeight w:val="208"/>
        </w:trPr>
        <w:tc>
          <w:tcPr>
            <w:cnfStyle w:val="001000000000" w:firstRow="0" w:lastRow="0" w:firstColumn="1" w:lastColumn="0" w:oddVBand="0" w:evenVBand="0" w:oddHBand="0" w:evenHBand="0" w:firstRowFirstColumn="0" w:firstRowLastColumn="0" w:lastRowFirstColumn="0" w:lastRowLastColumn="0"/>
            <w:tcW w:w="1106" w:type="dxa"/>
            <w:gridSpan w:val="2"/>
            <w:tcBorders>
              <w:left w:val="single" w:sz="4" w:space="0" w:color="FFFFFF" w:themeColor="background1"/>
            </w:tcBorders>
          </w:tcPr>
          <w:p w14:paraId="42FA59E1" w14:textId="77777777" w:rsidR="00DF3091" w:rsidRPr="00B275E2" w:rsidRDefault="00DF3091" w:rsidP="00DF3091">
            <w:pPr>
              <w:pStyle w:val="TableText"/>
              <w:spacing w:before="40" w:after="40" w:line="230" w:lineRule="atLeast"/>
              <w:rPr>
                <w:rFonts w:cs="Calibri"/>
                <w:b w:val="0"/>
                <w:sz w:val="17"/>
                <w:szCs w:val="17"/>
              </w:rPr>
            </w:pPr>
            <w:r w:rsidRPr="00B275E2">
              <w:rPr>
                <w:rFonts w:cs="Calibri"/>
                <w:b w:val="0"/>
                <w:sz w:val="17"/>
                <w:szCs w:val="17"/>
              </w:rPr>
              <w:t>Emissions of N</w:t>
            </w:r>
            <w:r w:rsidRPr="00B275E2">
              <w:rPr>
                <w:rFonts w:cs="Calibri"/>
                <w:b w:val="0"/>
                <w:sz w:val="17"/>
                <w:szCs w:val="17"/>
                <w:vertAlign w:val="subscript"/>
              </w:rPr>
              <w:t>2</w:t>
            </w:r>
            <w:r w:rsidRPr="00B275E2">
              <w:rPr>
                <w:rFonts w:cs="Calibri"/>
                <w:b w:val="0"/>
                <w:sz w:val="17"/>
                <w:szCs w:val="17"/>
              </w:rPr>
              <w:t>O from public electricity generation (kt)</w:t>
            </w:r>
          </w:p>
        </w:tc>
        <w:tc>
          <w:tcPr>
            <w:tcW w:w="717" w:type="dxa"/>
            <w:gridSpan w:val="2"/>
          </w:tcPr>
          <w:p w14:paraId="17B3E79B" w14:textId="2EBBBBE7" w:rsidR="00DF3091" w:rsidRPr="00B275E2" w:rsidRDefault="00DF3091" w:rsidP="00DF3091">
            <w:pPr>
              <w:pStyle w:val="TableText"/>
              <w:spacing w:before="40" w:after="40" w:line="230" w:lineRule="atLeast"/>
              <w:jc w:val="right"/>
              <w:cnfStyle w:val="000000000000" w:firstRow="0" w:lastRow="0" w:firstColumn="0" w:lastColumn="0" w:oddVBand="0" w:evenVBand="0" w:oddHBand="0" w:evenHBand="0" w:firstRowFirstColumn="0" w:firstRowLastColumn="0" w:lastRowFirstColumn="0" w:lastRowLastColumn="0"/>
              <w:rPr>
                <w:rFonts w:cs="Calibri"/>
                <w:sz w:val="17"/>
                <w:szCs w:val="17"/>
              </w:rPr>
            </w:pPr>
            <w:r w:rsidRPr="00B275E2">
              <w:rPr>
                <w:rFonts w:cs="Calibri"/>
                <w:sz w:val="17"/>
                <w:szCs w:val="17"/>
              </w:rPr>
              <w:t>0.03</w:t>
            </w:r>
          </w:p>
        </w:tc>
        <w:tc>
          <w:tcPr>
            <w:tcW w:w="717" w:type="dxa"/>
            <w:gridSpan w:val="2"/>
          </w:tcPr>
          <w:p w14:paraId="05DBA1B4" w14:textId="59819901" w:rsidR="00DF3091" w:rsidRPr="00B275E2" w:rsidRDefault="00DF3091" w:rsidP="00DF3091">
            <w:pPr>
              <w:pStyle w:val="TableText"/>
              <w:spacing w:before="40" w:after="40" w:line="230" w:lineRule="atLeast"/>
              <w:jc w:val="right"/>
              <w:cnfStyle w:val="000000000000" w:firstRow="0" w:lastRow="0" w:firstColumn="0" w:lastColumn="0" w:oddVBand="0" w:evenVBand="0" w:oddHBand="0" w:evenHBand="0" w:firstRowFirstColumn="0" w:firstRowLastColumn="0" w:lastRowFirstColumn="0" w:lastRowLastColumn="0"/>
              <w:rPr>
                <w:rFonts w:cs="Calibri"/>
                <w:sz w:val="17"/>
                <w:szCs w:val="17"/>
              </w:rPr>
            </w:pPr>
            <w:r w:rsidRPr="00B275E2">
              <w:rPr>
                <w:rFonts w:cs="Calibri"/>
                <w:sz w:val="17"/>
                <w:szCs w:val="17"/>
              </w:rPr>
              <w:t>0.03</w:t>
            </w:r>
          </w:p>
        </w:tc>
        <w:tc>
          <w:tcPr>
            <w:tcW w:w="717" w:type="dxa"/>
          </w:tcPr>
          <w:p w14:paraId="1956E7B4" w14:textId="5FF645AB" w:rsidR="00DF3091" w:rsidRPr="00B275E2" w:rsidRDefault="00DF3091" w:rsidP="00DF3091">
            <w:pPr>
              <w:pStyle w:val="TableText"/>
              <w:spacing w:before="40" w:after="40" w:line="230" w:lineRule="atLeast"/>
              <w:jc w:val="right"/>
              <w:cnfStyle w:val="000000000000" w:firstRow="0" w:lastRow="0" w:firstColumn="0" w:lastColumn="0" w:oddVBand="0" w:evenVBand="0" w:oddHBand="0" w:evenHBand="0" w:firstRowFirstColumn="0" w:firstRowLastColumn="0" w:lastRowFirstColumn="0" w:lastRowLastColumn="0"/>
              <w:rPr>
                <w:rFonts w:cs="Calibri"/>
                <w:sz w:val="17"/>
                <w:szCs w:val="17"/>
              </w:rPr>
            </w:pPr>
            <w:r w:rsidRPr="00B275E2">
              <w:rPr>
                <w:rFonts w:cs="Calibri"/>
                <w:sz w:val="17"/>
                <w:szCs w:val="17"/>
              </w:rPr>
              <w:t>0.02</w:t>
            </w:r>
          </w:p>
        </w:tc>
        <w:tc>
          <w:tcPr>
            <w:tcW w:w="674" w:type="dxa"/>
          </w:tcPr>
          <w:p w14:paraId="6B6F0A62" w14:textId="548B5D9B" w:rsidR="00DF3091" w:rsidRPr="00B275E2" w:rsidRDefault="00DF3091" w:rsidP="00DF3091">
            <w:pPr>
              <w:pStyle w:val="TableText"/>
              <w:spacing w:before="40" w:after="40" w:line="230" w:lineRule="atLeast"/>
              <w:jc w:val="right"/>
              <w:cnfStyle w:val="000000000000" w:firstRow="0" w:lastRow="0" w:firstColumn="0" w:lastColumn="0" w:oddVBand="0" w:evenVBand="0" w:oddHBand="0" w:evenHBand="0" w:firstRowFirstColumn="0" w:firstRowLastColumn="0" w:lastRowFirstColumn="0" w:lastRowLastColumn="0"/>
              <w:rPr>
                <w:rFonts w:cs="Calibri"/>
                <w:sz w:val="17"/>
                <w:szCs w:val="17"/>
              </w:rPr>
            </w:pPr>
            <w:r w:rsidRPr="00B275E2">
              <w:rPr>
                <w:rFonts w:cs="Calibri"/>
                <w:sz w:val="17"/>
                <w:szCs w:val="17"/>
              </w:rPr>
              <w:t>0.01</w:t>
            </w:r>
          </w:p>
        </w:tc>
        <w:tc>
          <w:tcPr>
            <w:tcW w:w="588" w:type="dxa"/>
          </w:tcPr>
          <w:p w14:paraId="6D540AAF" w14:textId="050D72D0" w:rsidR="00DF3091" w:rsidRPr="00B275E2" w:rsidRDefault="00DF3091" w:rsidP="00DF3091">
            <w:pPr>
              <w:pStyle w:val="TableText"/>
              <w:spacing w:before="40" w:after="40" w:line="230" w:lineRule="atLeast"/>
              <w:jc w:val="right"/>
              <w:cnfStyle w:val="000000000000" w:firstRow="0" w:lastRow="0" w:firstColumn="0" w:lastColumn="0" w:oddVBand="0" w:evenVBand="0" w:oddHBand="0" w:evenHBand="0" w:firstRowFirstColumn="0" w:firstRowLastColumn="0" w:lastRowFirstColumn="0" w:lastRowLastColumn="0"/>
              <w:rPr>
                <w:rFonts w:cs="Calibri"/>
                <w:sz w:val="17"/>
                <w:szCs w:val="17"/>
              </w:rPr>
            </w:pPr>
            <w:r w:rsidRPr="00B275E2">
              <w:rPr>
                <w:rFonts w:cs="Calibri"/>
                <w:sz w:val="17"/>
                <w:szCs w:val="17"/>
              </w:rPr>
              <w:t>0.01</w:t>
            </w:r>
          </w:p>
        </w:tc>
        <w:tc>
          <w:tcPr>
            <w:tcW w:w="674" w:type="dxa"/>
          </w:tcPr>
          <w:p w14:paraId="2C4A0168" w14:textId="01F1AC71" w:rsidR="00DF3091" w:rsidRPr="00B275E2" w:rsidRDefault="00DF3091" w:rsidP="00DF3091">
            <w:pPr>
              <w:pStyle w:val="TableText"/>
              <w:spacing w:before="40" w:after="40" w:line="230" w:lineRule="atLeast"/>
              <w:jc w:val="right"/>
              <w:cnfStyle w:val="000000000000" w:firstRow="0" w:lastRow="0" w:firstColumn="0" w:lastColumn="0" w:oddVBand="0" w:evenVBand="0" w:oddHBand="0" w:evenHBand="0" w:firstRowFirstColumn="0" w:firstRowLastColumn="0" w:lastRowFirstColumn="0" w:lastRowLastColumn="0"/>
              <w:rPr>
                <w:rFonts w:cs="Calibri"/>
                <w:sz w:val="17"/>
                <w:szCs w:val="17"/>
              </w:rPr>
            </w:pPr>
            <w:r w:rsidRPr="00B275E2">
              <w:rPr>
                <w:rFonts w:cs="Calibri"/>
                <w:sz w:val="17"/>
                <w:szCs w:val="17"/>
              </w:rPr>
              <w:t>0.02</w:t>
            </w:r>
          </w:p>
        </w:tc>
        <w:tc>
          <w:tcPr>
            <w:tcW w:w="616" w:type="dxa"/>
          </w:tcPr>
          <w:p w14:paraId="64B4565B" w14:textId="6853A763" w:rsidR="00DF3091" w:rsidRPr="00B275E2" w:rsidRDefault="00DF3091" w:rsidP="00DF3091">
            <w:pPr>
              <w:pStyle w:val="TableText"/>
              <w:spacing w:before="40" w:after="40" w:line="230" w:lineRule="atLeast"/>
              <w:jc w:val="right"/>
              <w:cnfStyle w:val="000000000000" w:firstRow="0" w:lastRow="0" w:firstColumn="0" w:lastColumn="0" w:oddVBand="0" w:evenVBand="0" w:oddHBand="0" w:evenHBand="0" w:firstRowFirstColumn="0" w:firstRowLastColumn="0" w:lastRowFirstColumn="0" w:lastRowLastColumn="0"/>
              <w:rPr>
                <w:rFonts w:cs="Calibri"/>
                <w:sz w:val="17"/>
                <w:szCs w:val="17"/>
              </w:rPr>
            </w:pPr>
            <w:r w:rsidRPr="00B275E2">
              <w:rPr>
                <w:rFonts w:cs="Calibri"/>
                <w:sz w:val="17"/>
                <w:szCs w:val="17"/>
              </w:rPr>
              <w:t>0.02</w:t>
            </w:r>
          </w:p>
        </w:tc>
        <w:tc>
          <w:tcPr>
            <w:tcW w:w="674" w:type="dxa"/>
          </w:tcPr>
          <w:p w14:paraId="4D02B22A" w14:textId="0A51267D" w:rsidR="00DF3091" w:rsidRPr="00B275E2" w:rsidRDefault="00DF3091" w:rsidP="00DF3091">
            <w:pPr>
              <w:pStyle w:val="TableText"/>
              <w:spacing w:before="40" w:after="40" w:line="230" w:lineRule="atLeast"/>
              <w:jc w:val="right"/>
              <w:cnfStyle w:val="000000000000" w:firstRow="0" w:lastRow="0" w:firstColumn="0" w:lastColumn="0" w:oddVBand="0" w:evenVBand="0" w:oddHBand="0" w:evenHBand="0" w:firstRowFirstColumn="0" w:firstRowLastColumn="0" w:lastRowFirstColumn="0" w:lastRowLastColumn="0"/>
              <w:rPr>
                <w:rFonts w:cs="Calibri"/>
                <w:sz w:val="17"/>
                <w:szCs w:val="17"/>
              </w:rPr>
            </w:pPr>
            <w:r w:rsidRPr="00B275E2">
              <w:rPr>
                <w:rFonts w:cs="Calibri"/>
                <w:sz w:val="17"/>
                <w:szCs w:val="17"/>
              </w:rPr>
              <w:t>0.03</w:t>
            </w:r>
          </w:p>
        </w:tc>
        <w:tc>
          <w:tcPr>
            <w:tcW w:w="674" w:type="dxa"/>
          </w:tcPr>
          <w:p w14:paraId="3E6A26DC" w14:textId="6D34BAAB" w:rsidR="00DF3091" w:rsidRPr="00B275E2" w:rsidRDefault="00DF3091" w:rsidP="00DF3091">
            <w:pPr>
              <w:pStyle w:val="TableText"/>
              <w:spacing w:before="40" w:after="40" w:line="230" w:lineRule="atLeast"/>
              <w:jc w:val="right"/>
              <w:cnfStyle w:val="000000000000" w:firstRow="0" w:lastRow="0" w:firstColumn="0" w:lastColumn="0" w:oddVBand="0" w:evenVBand="0" w:oddHBand="0" w:evenHBand="0" w:firstRowFirstColumn="0" w:firstRowLastColumn="0" w:lastRowFirstColumn="0" w:lastRowLastColumn="0"/>
              <w:rPr>
                <w:rFonts w:cs="Calibri"/>
                <w:sz w:val="17"/>
                <w:szCs w:val="17"/>
              </w:rPr>
            </w:pPr>
            <w:r w:rsidRPr="00B275E2">
              <w:rPr>
                <w:rFonts w:cs="Calibri"/>
                <w:sz w:val="17"/>
                <w:szCs w:val="17"/>
              </w:rPr>
              <w:t>0.05</w:t>
            </w:r>
          </w:p>
        </w:tc>
        <w:tc>
          <w:tcPr>
            <w:tcW w:w="674" w:type="dxa"/>
          </w:tcPr>
          <w:p w14:paraId="459AE635" w14:textId="3FEECACA" w:rsidR="00DF3091" w:rsidRPr="00B275E2" w:rsidRDefault="00DF3091" w:rsidP="00DF3091">
            <w:pPr>
              <w:pStyle w:val="TableText"/>
              <w:spacing w:before="40" w:after="40" w:line="230" w:lineRule="atLeast"/>
              <w:jc w:val="right"/>
              <w:cnfStyle w:val="000000000000" w:firstRow="0" w:lastRow="0" w:firstColumn="0" w:lastColumn="0" w:oddVBand="0" w:evenVBand="0" w:oddHBand="0" w:evenHBand="0" w:firstRowFirstColumn="0" w:firstRowLastColumn="0" w:lastRowFirstColumn="0" w:lastRowLastColumn="0"/>
              <w:rPr>
                <w:rFonts w:cs="Calibri"/>
                <w:sz w:val="17"/>
                <w:szCs w:val="17"/>
              </w:rPr>
            </w:pPr>
            <w:r w:rsidRPr="00B275E2">
              <w:rPr>
                <w:rFonts w:cs="Calibri"/>
                <w:sz w:val="17"/>
                <w:szCs w:val="17"/>
              </w:rPr>
              <w:t>0.03</w:t>
            </w:r>
          </w:p>
        </w:tc>
        <w:tc>
          <w:tcPr>
            <w:tcW w:w="674" w:type="dxa"/>
            <w:tcBorders>
              <w:right w:val="single" w:sz="4" w:space="0" w:color="FFFFFF" w:themeColor="background1"/>
            </w:tcBorders>
          </w:tcPr>
          <w:p w14:paraId="714CC22B" w14:textId="0B6D3A45" w:rsidR="00DF3091" w:rsidRPr="00B275E2" w:rsidRDefault="00DF3091" w:rsidP="00DF3091">
            <w:pPr>
              <w:pStyle w:val="TableText"/>
              <w:spacing w:before="40" w:after="40" w:line="230" w:lineRule="atLeast"/>
              <w:jc w:val="right"/>
              <w:cnfStyle w:val="000000000000" w:firstRow="0" w:lastRow="0" w:firstColumn="0" w:lastColumn="0" w:oddVBand="0" w:evenVBand="0" w:oddHBand="0" w:evenHBand="0" w:firstRowFirstColumn="0" w:firstRowLastColumn="0" w:lastRowFirstColumn="0" w:lastRowLastColumn="0"/>
              <w:rPr>
                <w:rFonts w:cs="Calibri"/>
                <w:sz w:val="17"/>
                <w:szCs w:val="17"/>
              </w:rPr>
            </w:pPr>
            <w:r w:rsidRPr="00B275E2">
              <w:rPr>
                <w:rFonts w:cs="Calibri"/>
                <w:sz w:val="17"/>
                <w:szCs w:val="17"/>
              </w:rPr>
              <w:t>0.03</w:t>
            </w:r>
          </w:p>
        </w:tc>
      </w:tr>
      <w:tr w:rsidR="00DF3091" w:rsidRPr="00B275E2" w14:paraId="26F8B810" w14:textId="4DA72E6E" w:rsidTr="00382387">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1106" w:type="dxa"/>
            <w:gridSpan w:val="2"/>
            <w:tcBorders>
              <w:left w:val="single" w:sz="4" w:space="0" w:color="FFFFFF" w:themeColor="background1"/>
            </w:tcBorders>
          </w:tcPr>
          <w:p w14:paraId="45D70F70" w14:textId="09924A03" w:rsidR="00DF3091" w:rsidRPr="00B275E2" w:rsidRDefault="00DF3091" w:rsidP="00DF3091">
            <w:pPr>
              <w:pStyle w:val="TableText"/>
              <w:spacing w:before="40" w:after="40" w:line="230" w:lineRule="atLeast"/>
              <w:rPr>
                <w:rFonts w:cs="Calibri"/>
                <w:b w:val="0"/>
                <w:sz w:val="17"/>
                <w:szCs w:val="17"/>
              </w:rPr>
            </w:pPr>
            <w:r w:rsidRPr="00B275E2">
              <w:rPr>
                <w:rFonts w:cs="Calibri"/>
                <w:b w:val="0"/>
                <w:sz w:val="17"/>
                <w:szCs w:val="17"/>
              </w:rPr>
              <w:t>Geothermal fugitive emissions of N</w:t>
            </w:r>
            <w:r w:rsidRPr="00B275E2">
              <w:rPr>
                <w:rFonts w:cs="Calibri"/>
                <w:b w:val="0"/>
                <w:sz w:val="17"/>
                <w:szCs w:val="17"/>
                <w:vertAlign w:val="subscript"/>
              </w:rPr>
              <w:t>2</w:t>
            </w:r>
            <w:r w:rsidRPr="00B275E2">
              <w:rPr>
                <w:rFonts w:cs="Calibri"/>
                <w:b w:val="0"/>
                <w:sz w:val="17"/>
                <w:szCs w:val="17"/>
              </w:rPr>
              <w:t>O (kt)</w:t>
            </w:r>
          </w:p>
        </w:tc>
        <w:tc>
          <w:tcPr>
            <w:tcW w:w="717" w:type="dxa"/>
            <w:gridSpan w:val="2"/>
          </w:tcPr>
          <w:p w14:paraId="7DDE1757" w14:textId="5FE77E86" w:rsidR="00DF3091" w:rsidRPr="00B275E2" w:rsidRDefault="00DF3091" w:rsidP="00DF3091">
            <w:pPr>
              <w:pStyle w:val="TableText"/>
              <w:spacing w:before="40" w:after="40" w:line="230" w:lineRule="atLeast"/>
              <w:jc w:val="right"/>
              <w:cnfStyle w:val="000000100000" w:firstRow="0" w:lastRow="0" w:firstColumn="0" w:lastColumn="0" w:oddVBand="0" w:evenVBand="0" w:oddHBand="1" w:evenHBand="0" w:firstRowFirstColumn="0" w:firstRowLastColumn="0" w:lastRowFirstColumn="0" w:lastRowLastColumn="0"/>
              <w:rPr>
                <w:rFonts w:cs="Calibri"/>
                <w:sz w:val="17"/>
                <w:szCs w:val="17"/>
              </w:rPr>
            </w:pPr>
            <w:r w:rsidRPr="00B275E2">
              <w:rPr>
                <w:rFonts w:cs="Calibri"/>
                <w:sz w:val="17"/>
                <w:szCs w:val="17"/>
              </w:rPr>
              <w:t>n/a</w:t>
            </w:r>
          </w:p>
        </w:tc>
        <w:tc>
          <w:tcPr>
            <w:tcW w:w="717" w:type="dxa"/>
            <w:gridSpan w:val="2"/>
          </w:tcPr>
          <w:p w14:paraId="448F3820" w14:textId="03E7B6DE" w:rsidR="00DF3091" w:rsidRPr="00B275E2" w:rsidRDefault="00DF3091" w:rsidP="00DF3091">
            <w:pPr>
              <w:pStyle w:val="TableText"/>
              <w:spacing w:before="40" w:after="40" w:line="230" w:lineRule="atLeast"/>
              <w:jc w:val="right"/>
              <w:cnfStyle w:val="000000100000" w:firstRow="0" w:lastRow="0" w:firstColumn="0" w:lastColumn="0" w:oddVBand="0" w:evenVBand="0" w:oddHBand="1" w:evenHBand="0" w:firstRowFirstColumn="0" w:firstRowLastColumn="0" w:lastRowFirstColumn="0" w:lastRowLastColumn="0"/>
              <w:rPr>
                <w:rFonts w:cs="Calibri"/>
                <w:sz w:val="17"/>
                <w:szCs w:val="17"/>
              </w:rPr>
            </w:pPr>
            <w:r w:rsidRPr="00B275E2">
              <w:rPr>
                <w:rFonts w:cs="Calibri"/>
                <w:sz w:val="17"/>
                <w:szCs w:val="17"/>
              </w:rPr>
              <w:t>n/a</w:t>
            </w:r>
          </w:p>
        </w:tc>
        <w:tc>
          <w:tcPr>
            <w:tcW w:w="717" w:type="dxa"/>
          </w:tcPr>
          <w:p w14:paraId="66780F88" w14:textId="68E56CE3" w:rsidR="00DF3091" w:rsidRPr="00B275E2" w:rsidRDefault="00DF3091" w:rsidP="00DF3091">
            <w:pPr>
              <w:pStyle w:val="TableText"/>
              <w:spacing w:before="40" w:after="40" w:line="230" w:lineRule="atLeast"/>
              <w:jc w:val="right"/>
              <w:cnfStyle w:val="000000100000" w:firstRow="0" w:lastRow="0" w:firstColumn="0" w:lastColumn="0" w:oddVBand="0" w:evenVBand="0" w:oddHBand="1" w:evenHBand="0" w:firstRowFirstColumn="0" w:firstRowLastColumn="0" w:lastRowFirstColumn="0" w:lastRowLastColumn="0"/>
              <w:rPr>
                <w:rFonts w:cs="Calibri"/>
                <w:sz w:val="17"/>
                <w:szCs w:val="17"/>
              </w:rPr>
            </w:pPr>
            <w:r w:rsidRPr="00B275E2">
              <w:rPr>
                <w:rFonts w:cs="Calibri"/>
                <w:sz w:val="17"/>
                <w:szCs w:val="17"/>
              </w:rPr>
              <w:t>n/a</w:t>
            </w:r>
          </w:p>
        </w:tc>
        <w:tc>
          <w:tcPr>
            <w:tcW w:w="674" w:type="dxa"/>
          </w:tcPr>
          <w:p w14:paraId="1CA82AEF" w14:textId="0192E984" w:rsidR="00DF3091" w:rsidRPr="00B275E2" w:rsidRDefault="00DF3091" w:rsidP="00DF3091">
            <w:pPr>
              <w:pStyle w:val="TableText"/>
              <w:spacing w:before="40" w:after="40" w:line="230" w:lineRule="atLeast"/>
              <w:jc w:val="right"/>
              <w:cnfStyle w:val="000000100000" w:firstRow="0" w:lastRow="0" w:firstColumn="0" w:lastColumn="0" w:oddVBand="0" w:evenVBand="0" w:oddHBand="1" w:evenHBand="0" w:firstRowFirstColumn="0" w:firstRowLastColumn="0" w:lastRowFirstColumn="0" w:lastRowLastColumn="0"/>
              <w:rPr>
                <w:rFonts w:cs="Calibri"/>
                <w:sz w:val="17"/>
                <w:szCs w:val="17"/>
              </w:rPr>
            </w:pPr>
            <w:r w:rsidRPr="00B275E2">
              <w:rPr>
                <w:rFonts w:cs="Calibri"/>
                <w:sz w:val="17"/>
                <w:szCs w:val="17"/>
              </w:rPr>
              <w:t>n/a</w:t>
            </w:r>
          </w:p>
        </w:tc>
        <w:tc>
          <w:tcPr>
            <w:tcW w:w="588" w:type="dxa"/>
          </w:tcPr>
          <w:p w14:paraId="337D1E07" w14:textId="71E49E60" w:rsidR="00DF3091" w:rsidRPr="00B275E2" w:rsidRDefault="00DF3091" w:rsidP="00DF3091">
            <w:pPr>
              <w:pStyle w:val="TableText"/>
              <w:spacing w:before="40" w:after="40" w:line="230" w:lineRule="atLeast"/>
              <w:jc w:val="right"/>
              <w:cnfStyle w:val="000000100000" w:firstRow="0" w:lastRow="0" w:firstColumn="0" w:lastColumn="0" w:oddVBand="0" w:evenVBand="0" w:oddHBand="1" w:evenHBand="0" w:firstRowFirstColumn="0" w:firstRowLastColumn="0" w:lastRowFirstColumn="0" w:lastRowLastColumn="0"/>
              <w:rPr>
                <w:rFonts w:cs="Calibri"/>
                <w:sz w:val="17"/>
                <w:szCs w:val="17"/>
              </w:rPr>
            </w:pPr>
            <w:r w:rsidRPr="00B275E2">
              <w:rPr>
                <w:rFonts w:cs="Calibri"/>
                <w:sz w:val="17"/>
                <w:szCs w:val="17"/>
              </w:rPr>
              <w:t>n/a</w:t>
            </w:r>
          </w:p>
        </w:tc>
        <w:tc>
          <w:tcPr>
            <w:tcW w:w="674" w:type="dxa"/>
          </w:tcPr>
          <w:p w14:paraId="7C2B8144" w14:textId="2F7128F1" w:rsidR="00DF3091" w:rsidRPr="00B275E2" w:rsidRDefault="00DF3091" w:rsidP="00DF3091">
            <w:pPr>
              <w:pStyle w:val="TableText"/>
              <w:spacing w:before="40" w:after="40" w:line="230" w:lineRule="atLeast"/>
              <w:jc w:val="right"/>
              <w:cnfStyle w:val="000000100000" w:firstRow="0" w:lastRow="0" w:firstColumn="0" w:lastColumn="0" w:oddVBand="0" w:evenVBand="0" w:oddHBand="1" w:evenHBand="0" w:firstRowFirstColumn="0" w:firstRowLastColumn="0" w:lastRowFirstColumn="0" w:lastRowLastColumn="0"/>
              <w:rPr>
                <w:rFonts w:cs="Calibri"/>
                <w:sz w:val="17"/>
                <w:szCs w:val="17"/>
              </w:rPr>
            </w:pPr>
            <w:r w:rsidRPr="00B275E2">
              <w:rPr>
                <w:rFonts w:cs="Calibri"/>
                <w:sz w:val="17"/>
                <w:szCs w:val="17"/>
              </w:rPr>
              <w:t>n/a</w:t>
            </w:r>
          </w:p>
        </w:tc>
        <w:tc>
          <w:tcPr>
            <w:tcW w:w="616" w:type="dxa"/>
          </w:tcPr>
          <w:p w14:paraId="3B2E5754" w14:textId="6C496225" w:rsidR="00DF3091" w:rsidRPr="00B275E2" w:rsidRDefault="00DF3091" w:rsidP="00DF3091">
            <w:pPr>
              <w:pStyle w:val="TableText"/>
              <w:spacing w:before="40" w:after="40" w:line="230" w:lineRule="atLeast"/>
              <w:jc w:val="right"/>
              <w:cnfStyle w:val="000000100000" w:firstRow="0" w:lastRow="0" w:firstColumn="0" w:lastColumn="0" w:oddVBand="0" w:evenVBand="0" w:oddHBand="1" w:evenHBand="0" w:firstRowFirstColumn="0" w:firstRowLastColumn="0" w:lastRowFirstColumn="0" w:lastRowLastColumn="0"/>
              <w:rPr>
                <w:rFonts w:cs="Calibri"/>
                <w:sz w:val="17"/>
                <w:szCs w:val="17"/>
              </w:rPr>
            </w:pPr>
            <w:r w:rsidRPr="00B275E2">
              <w:rPr>
                <w:rFonts w:cs="Calibri"/>
                <w:sz w:val="17"/>
                <w:szCs w:val="17"/>
              </w:rPr>
              <w:t>n/a</w:t>
            </w:r>
          </w:p>
        </w:tc>
        <w:tc>
          <w:tcPr>
            <w:tcW w:w="674" w:type="dxa"/>
          </w:tcPr>
          <w:p w14:paraId="1AD72C83" w14:textId="663E4CFE" w:rsidR="00DF3091" w:rsidRPr="00B275E2" w:rsidRDefault="00DF3091" w:rsidP="00DF3091">
            <w:pPr>
              <w:pStyle w:val="TableText"/>
              <w:spacing w:before="40" w:after="40" w:line="230" w:lineRule="atLeast"/>
              <w:jc w:val="right"/>
              <w:cnfStyle w:val="000000100000" w:firstRow="0" w:lastRow="0" w:firstColumn="0" w:lastColumn="0" w:oddVBand="0" w:evenVBand="0" w:oddHBand="1" w:evenHBand="0" w:firstRowFirstColumn="0" w:firstRowLastColumn="0" w:lastRowFirstColumn="0" w:lastRowLastColumn="0"/>
              <w:rPr>
                <w:rFonts w:cs="Calibri"/>
                <w:sz w:val="17"/>
                <w:szCs w:val="17"/>
              </w:rPr>
            </w:pPr>
            <w:r w:rsidRPr="00B275E2">
              <w:rPr>
                <w:rFonts w:cs="Calibri"/>
                <w:sz w:val="17"/>
                <w:szCs w:val="17"/>
              </w:rPr>
              <w:t>n/a</w:t>
            </w:r>
          </w:p>
        </w:tc>
        <w:tc>
          <w:tcPr>
            <w:tcW w:w="674" w:type="dxa"/>
          </w:tcPr>
          <w:p w14:paraId="6EB2BF63" w14:textId="1AEA3074" w:rsidR="00DF3091" w:rsidRPr="00B275E2" w:rsidRDefault="00DF3091" w:rsidP="00DF3091">
            <w:pPr>
              <w:pStyle w:val="TableText"/>
              <w:spacing w:before="40" w:after="40" w:line="230" w:lineRule="atLeast"/>
              <w:jc w:val="right"/>
              <w:cnfStyle w:val="000000100000" w:firstRow="0" w:lastRow="0" w:firstColumn="0" w:lastColumn="0" w:oddVBand="0" w:evenVBand="0" w:oddHBand="1" w:evenHBand="0" w:firstRowFirstColumn="0" w:firstRowLastColumn="0" w:lastRowFirstColumn="0" w:lastRowLastColumn="0"/>
              <w:rPr>
                <w:rFonts w:cs="Calibri"/>
                <w:sz w:val="17"/>
                <w:szCs w:val="17"/>
              </w:rPr>
            </w:pPr>
            <w:r w:rsidRPr="00B275E2">
              <w:rPr>
                <w:rFonts w:cs="Calibri"/>
                <w:sz w:val="17"/>
                <w:szCs w:val="17"/>
              </w:rPr>
              <w:t>n/a</w:t>
            </w:r>
          </w:p>
        </w:tc>
        <w:tc>
          <w:tcPr>
            <w:tcW w:w="674" w:type="dxa"/>
          </w:tcPr>
          <w:p w14:paraId="2FDBEB52" w14:textId="46E68C16" w:rsidR="00DF3091" w:rsidRPr="00B275E2" w:rsidRDefault="00DF3091" w:rsidP="00DF3091">
            <w:pPr>
              <w:pStyle w:val="TableText"/>
              <w:spacing w:before="40" w:after="40" w:line="230" w:lineRule="atLeast"/>
              <w:jc w:val="right"/>
              <w:cnfStyle w:val="000000100000" w:firstRow="0" w:lastRow="0" w:firstColumn="0" w:lastColumn="0" w:oddVBand="0" w:evenVBand="0" w:oddHBand="1" w:evenHBand="0" w:firstRowFirstColumn="0" w:firstRowLastColumn="0" w:lastRowFirstColumn="0" w:lastRowLastColumn="0"/>
              <w:rPr>
                <w:rFonts w:cs="Calibri"/>
                <w:sz w:val="17"/>
                <w:szCs w:val="17"/>
              </w:rPr>
            </w:pPr>
            <w:r w:rsidRPr="00B275E2">
              <w:rPr>
                <w:rFonts w:cs="Calibri"/>
                <w:sz w:val="17"/>
                <w:szCs w:val="17"/>
              </w:rPr>
              <w:t>n/a</w:t>
            </w:r>
          </w:p>
        </w:tc>
        <w:tc>
          <w:tcPr>
            <w:tcW w:w="674" w:type="dxa"/>
            <w:tcBorders>
              <w:right w:val="single" w:sz="4" w:space="0" w:color="FFFFFF" w:themeColor="background1"/>
            </w:tcBorders>
          </w:tcPr>
          <w:p w14:paraId="33FED7BA" w14:textId="786110C6" w:rsidR="00DF3091" w:rsidRPr="00B275E2" w:rsidRDefault="00DF3091" w:rsidP="00DF3091">
            <w:pPr>
              <w:pStyle w:val="TableText"/>
              <w:spacing w:before="40" w:after="40" w:line="230" w:lineRule="atLeast"/>
              <w:jc w:val="right"/>
              <w:cnfStyle w:val="000000100000" w:firstRow="0" w:lastRow="0" w:firstColumn="0" w:lastColumn="0" w:oddVBand="0" w:evenVBand="0" w:oddHBand="1" w:evenHBand="0" w:firstRowFirstColumn="0" w:firstRowLastColumn="0" w:lastRowFirstColumn="0" w:lastRowLastColumn="0"/>
              <w:rPr>
                <w:rFonts w:cs="Calibri"/>
                <w:sz w:val="17"/>
                <w:szCs w:val="17"/>
              </w:rPr>
            </w:pPr>
            <w:r w:rsidRPr="00B275E2">
              <w:rPr>
                <w:rFonts w:cs="Calibri"/>
                <w:sz w:val="17"/>
                <w:szCs w:val="17"/>
              </w:rPr>
              <w:t>n/a</w:t>
            </w:r>
          </w:p>
        </w:tc>
      </w:tr>
    </w:tbl>
    <w:p w14:paraId="05F8EC11" w14:textId="0A6966D8" w:rsidR="00B276B8" w:rsidRPr="00B275E2" w:rsidRDefault="6DE581C3" w:rsidP="00C24B73">
      <w:pPr>
        <w:pStyle w:val="Heading3"/>
        <w:numPr>
          <w:ilvl w:val="0"/>
          <w:numId w:val="23"/>
        </w:numPr>
      </w:pPr>
      <w:bookmarkStart w:id="257" w:name="_Toc532904886"/>
      <w:r>
        <w:t>Assumptions, limitations and uncertainties</w:t>
      </w:r>
      <w:bookmarkEnd w:id="257"/>
    </w:p>
    <w:p w14:paraId="3984F043" w14:textId="5E0A4086" w:rsidR="00B276B8" w:rsidRPr="00B275E2" w:rsidRDefault="00B276B8" w:rsidP="00621691">
      <w:pPr>
        <w:pStyle w:val="BodyText"/>
      </w:pPr>
      <w:r w:rsidRPr="00B275E2">
        <w:t>The emission factor for electricity is inherently uncertain as the energy mix varies depending on your geograph</w:t>
      </w:r>
      <w:r w:rsidR="00892FAD" w:rsidRPr="00B275E2">
        <w:t>ical location</w:t>
      </w:r>
      <w:r w:rsidRPr="00B275E2">
        <w:t>, time of day</w:t>
      </w:r>
      <w:r w:rsidR="00C450B5" w:rsidRPr="00B275E2">
        <w:t xml:space="preserve"> and </w:t>
      </w:r>
      <w:r w:rsidRPr="00B275E2">
        <w:t>time of year</w:t>
      </w:r>
      <w:r w:rsidR="0049234A" w:rsidRPr="00B275E2">
        <w:t xml:space="preserve">. </w:t>
      </w:r>
    </w:p>
    <w:p w14:paraId="3C021AFF" w14:textId="77777777" w:rsidR="00B276B8" w:rsidRPr="00B275E2" w:rsidRDefault="00B276B8" w:rsidP="00621691">
      <w:pPr>
        <w:pStyle w:val="BodyText"/>
      </w:pPr>
      <w:r w:rsidRPr="00B275E2">
        <w:t>As with the fuels for stationary combustion emission factors, this emission factor does not incorporate emissions associated with the extraction, production and transport of the fuels burnt to produce electricity.</w:t>
      </w:r>
    </w:p>
    <w:p w14:paraId="37D28E9D" w14:textId="79B92911" w:rsidR="00B276B8" w:rsidRPr="00B275E2" w:rsidRDefault="00D1128D" w:rsidP="00621691">
      <w:pPr>
        <w:pStyle w:val="BodyText"/>
      </w:pPr>
      <w:r w:rsidRPr="00B275E2">
        <w:t>We derived t</w:t>
      </w:r>
      <w:r w:rsidR="008B4037" w:rsidRPr="00B275E2">
        <w:t>he emission factor</w:t>
      </w:r>
      <w:r w:rsidR="00261BB2">
        <w:t>s</w:t>
      </w:r>
      <w:r w:rsidR="008B4037" w:rsidRPr="00B275E2">
        <w:t xml:space="preserve"> in </w:t>
      </w:r>
      <w:hyperlink w:anchor="table9" w:history="1">
        <w:r w:rsidR="008F4DA3" w:rsidRPr="00B275E2">
          <w:rPr>
            <w:rStyle w:val="Hyperlink"/>
            <w:spacing w:val="-2"/>
          </w:rPr>
          <w:t>table 9</w:t>
        </w:r>
      </w:hyperlink>
      <w:r w:rsidR="008B4037" w:rsidRPr="00B275E2">
        <w:t xml:space="preserve"> </w:t>
      </w:r>
      <w:r w:rsidR="00261BB2">
        <w:t xml:space="preserve">and </w:t>
      </w:r>
      <w:hyperlink w:anchor="_Indirect_Scope_2" w:history="1">
        <w:r w:rsidR="00261BB2" w:rsidRPr="00E125A7">
          <w:rPr>
            <w:rStyle w:val="Hyperlink"/>
          </w:rPr>
          <w:t>table 10</w:t>
        </w:r>
      </w:hyperlink>
      <w:r w:rsidR="00261BB2">
        <w:t xml:space="preserve"> </w:t>
      </w:r>
      <w:r w:rsidR="008B4037" w:rsidRPr="00B275E2">
        <w:t xml:space="preserve">for purchased electricity from </w:t>
      </w:r>
      <w:r w:rsidR="00C10B50">
        <w:t xml:space="preserve">generation </w:t>
      </w:r>
      <w:r w:rsidR="008B4037" w:rsidRPr="00B275E2">
        <w:t xml:space="preserve">data rather than </w:t>
      </w:r>
      <w:r w:rsidR="00C10B50">
        <w:t>consumption</w:t>
      </w:r>
      <w:r w:rsidR="00C10B50" w:rsidRPr="00B275E2">
        <w:t xml:space="preserve"> </w:t>
      </w:r>
      <w:r w:rsidR="008B4037" w:rsidRPr="00B275E2">
        <w:t>data</w:t>
      </w:r>
      <w:r w:rsidR="008B4037" w:rsidRPr="00B275E2">
        <w:rPr>
          <w:i/>
        </w:rPr>
        <w:t>.</w:t>
      </w:r>
      <w:r w:rsidR="008B4037" w:rsidRPr="00B275E2">
        <w:t xml:space="preserve"> </w:t>
      </w:r>
      <w:r w:rsidR="00B276B8" w:rsidRPr="00B275E2">
        <w:t>This emission factor does not account for the emissions associated with the electricity lost in transmission and distribution on the way to the end user</w:t>
      </w:r>
      <w:r w:rsidR="0049234A" w:rsidRPr="00B275E2">
        <w:t>.</w:t>
      </w:r>
      <w:r w:rsidR="00621691" w:rsidRPr="00B275E2">
        <w:t> </w:t>
      </w:r>
      <w:hyperlink w:anchor="Table12" w:history="1">
        <w:r w:rsidR="0035451A" w:rsidRPr="0035451A">
          <w:rPr>
            <w:rStyle w:val="Hyperlink"/>
          </w:rPr>
          <w:t>Table 12</w:t>
        </w:r>
      </w:hyperlink>
      <w:r w:rsidR="00B276B8" w:rsidRPr="00B275E2">
        <w:t xml:space="preserve"> contains an emission factor for transmission and distribution line losses.</w:t>
      </w:r>
    </w:p>
    <w:p w14:paraId="34B92E66" w14:textId="3173D041" w:rsidR="00B276B8" w:rsidRPr="00B275E2" w:rsidRDefault="00B276B8" w:rsidP="00C24B73">
      <w:pPr>
        <w:pStyle w:val="Heading2"/>
        <w:numPr>
          <w:ilvl w:val="0"/>
          <w:numId w:val="22"/>
        </w:numPr>
      </w:pPr>
      <w:bookmarkStart w:id="258" w:name="_Transmission_and_distribution"/>
      <w:bookmarkStart w:id="259" w:name="_Toc529960700"/>
      <w:bookmarkStart w:id="260" w:name="_Ref532636705"/>
      <w:bookmarkStart w:id="261" w:name="_Ref532638084"/>
      <w:bookmarkStart w:id="262" w:name="_Toc532904887"/>
      <w:bookmarkStart w:id="263" w:name="_Toc600578"/>
      <w:bookmarkStart w:id="264" w:name="_Ref609833"/>
      <w:bookmarkStart w:id="265" w:name="_Toc111536785"/>
      <w:bookmarkEnd w:id="258"/>
      <w:r w:rsidRPr="00B275E2">
        <w:rPr>
          <w:rStyle w:val="Heading2Char"/>
          <w:b/>
        </w:rPr>
        <w:lastRenderedPageBreak/>
        <w:t>Transmission and distribution losses for</w:t>
      </w:r>
      <w:r w:rsidR="00621691" w:rsidRPr="00B275E2">
        <w:t> </w:t>
      </w:r>
      <w:r w:rsidRPr="00B275E2">
        <w:rPr>
          <w:rStyle w:val="Heading2Char"/>
          <w:b/>
        </w:rPr>
        <w:t>electricity</w:t>
      </w:r>
      <w:bookmarkEnd w:id="259"/>
      <w:bookmarkEnd w:id="260"/>
      <w:bookmarkEnd w:id="261"/>
      <w:bookmarkEnd w:id="262"/>
      <w:bookmarkEnd w:id="263"/>
      <w:bookmarkEnd w:id="264"/>
      <w:bookmarkEnd w:id="265"/>
      <w:r w:rsidRPr="00B275E2">
        <w:t xml:space="preserve"> </w:t>
      </w:r>
    </w:p>
    <w:p w14:paraId="3F35DF43" w14:textId="115CCE37" w:rsidR="00B276B8" w:rsidRPr="00B275E2" w:rsidRDefault="00693F20" w:rsidP="007F0B1E">
      <w:pPr>
        <w:pStyle w:val="BodyText"/>
      </w:pPr>
      <w:r w:rsidRPr="00B275E2">
        <w:t>The emission factor for transmission and distribution line losses</w:t>
      </w:r>
      <w:r w:rsidR="001C532F" w:rsidRPr="00B275E2">
        <w:t xml:space="preserve"> </w:t>
      </w:r>
      <w:r w:rsidR="0049234A" w:rsidRPr="00B275E2">
        <w:t>accounts for the a</w:t>
      </w:r>
      <w:r w:rsidR="00460235" w:rsidRPr="00B275E2">
        <w:t xml:space="preserve">dditional electricity generated to make up for electricity lost in the transmission and distribution network. </w:t>
      </w:r>
      <w:bookmarkStart w:id="266" w:name="_Hlk532892767"/>
      <w:r w:rsidR="00B276B8" w:rsidRPr="00B275E2">
        <w:t>Under the</w:t>
      </w:r>
      <w:r w:rsidR="00B276B8" w:rsidRPr="00B275E2">
        <w:rPr>
          <w:i/>
          <w:iCs/>
        </w:rPr>
        <w:t xml:space="preserve"> </w:t>
      </w:r>
      <w:hyperlink r:id="rId74" w:history="1">
        <w:r w:rsidR="00B276B8" w:rsidRPr="00B275E2">
          <w:rPr>
            <w:rStyle w:val="Hyperlink"/>
          </w:rPr>
          <w:t>GHG Protocol</w:t>
        </w:r>
      </w:hyperlink>
      <w:r w:rsidR="00B276B8" w:rsidRPr="00B275E2">
        <w:t xml:space="preserve">, </w:t>
      </w:r>
      <w:r w:rsidR="00080C18" w:rsidRPr="00B275E2">
        <w:t xml:space="preserve">end users should report </w:t>
      </w:r>
      <w:r w:rsidR="00B276B8" w:rsidRPr="00B275E2">
        <w:t>emissions from electricity</w:t>
      </w:r>
      <w:r w:rsidR="00B276B8" w:rsidRPr="00B275E2" w:rsidDel="00460235">
        <w:t xml:space="preserve"> </w:t>
      </w:r>
      <w:r w:rsidR="00B276B8" w:rsidRPr="00B275E2">
        <w:t xml:space="preserve">consumed </w:t>
      </w:r>
      <w:r w:rsidR="00460235" w:rsidRPr="00B275E2">
        <w:t xml:space="preserve">from </w:t>
      </w:r>
      <w:r w:rsidR="00B276B8" w:rsidRPr="00B275E2">
        <w:t>a transmission and distribution system as an indirect (Scope 3) emission</w:t>
      </w:r>
      <w:r w:rsidR="00080C18" w:rsidRPr="00B275E2">
        <w:t xml:space="preserve"> source</w:t>
      </w:r>
      <w:r w:rsidR="00B276B8" w:rsidRPr="00B275E2">
        <w:t>.</w:t>
      </w:r>
      <w:bookmarkEnd w:id="266"/>
      <w:r w:rsidR="00F31667" w:rsidRPr="00B275E2">
        <w:t xml:space="preserve"> </w:t>
      </w:r>
      <w:r w:rsidR="0035399C" w:rsidRPr="00B275E2">
        <w:t>Electricity</w:t>
      </w:r>
      <w:r w:rsidR="007A5755" w:rsidRPr="00B275E2">
        <w:t xml:space="preserve"> distribution</w:t>
      </w:r>
      <w:r w:rsidR="00F31667" w:rsidRPr="00B275E2">
        <w:t xml:space="preserve"> companies</w:t>
      </w:r>
      <w:r w:rsidR="00720EDE" w:rsidRPr="00B275E2">
        <w:t xml:space="preserve"> should </w:t>
      </w:r>
      <w:r w:rsidR="00A30128" w:rsidRPr="00B275E2">
        <w:t xml:space="preserve">however </w:t>
      </w:r>
      <w:r w:rsidR="00720EDE" w:rsidRPr="00B275E2">
        <w:t xml:space="preserve">report </w:t>
      </w:r>
      <w:r w:rsidR="007A5755" w:rsidRPr="00B275E2">
        <w:t>these</w:t>
      </w:r>
      <w:r w:rsidR="00720EDE" w:rsidRPr="00B275E2">
        <w:t xml:space="preserve"> </w:t>
      </w:r>
      <w:r w:rsidR="004D042D" w:rsidRPr="00B275E2">
        <w:t xml:space="preserve">losses </w:t>
      </w:r>
      <w:r w:rsidR="00720EDE" w:rsidRPr="00B275E2">
        <w:t>as indirect (</w:t>
      </w:r>
      <w:r w:rsidR="001E15DC" w:rsidRPr="00B275E2">
        <w:t>S</w:t>
      </w:r>
      <w:r w:rsidR="00720EDE" w:rsidRPr="00B275E2">
        <w:t>cope</w:t>
      </w:r>
      <w:r w:rsidR="00661B20" w:rsidRPr="00B275E2">
        <w:t> </w:t>
      </w:r>
      <w:r w:rsidR="00720EDE" w:rsidRPr="00B275E2">
        <w:t>2) emissions</w:t>
      </w:r>
      <w:r w:rsidR="00621691" w:rsidRPr="00B275E2">
        <w:t>.</w:t>
      </w:r>
      <w:r w:rsidR="004D042D" w:rsidRPr="00B275E2">
        <w:rPr>
          <w:rStyle w:val="FootnoteReference"/>
          <w:color w:val="auto"/>
        </w:rPr>
        <w:footnoteReference w:id="30"/>
      </w:r>
    </w:p>
    <w:p w14:paraId="10C2EFE0" w14:textId="480ACED1" w:rsidR="00B276B8" w:rsidRPr="00B275E2" w:rsidRDefault="00B276B8" w:rsidP="007F0B1E">
      <w:pPr>
        <w:pStyle w:val="BodyText"/>
      </w:pPr>
      <w:r w:rsidRPr="00B275E2">
        <w:t xml:space="preserve">The emission factor for transmission and distribution line losses is the difference between the generation and consumption emission factors. </w:t>
      </w:r>
      <w:r w:rsidR="00A53165" w:rsidRPr="00B275E2">
        <w:t>Table 1</w:t>
      </w:r>
      <w:r w:rsidR="002348F6" w:rsidRPr="00B275E2">
        <w:t>2</w:t>
      </w:r>
      <w:r w:rsidR="00080C18" w:rsidRPr="00B275E2">
        <w:t xml:space="preserve"> shows t</w:t>
      </w:r>
      <w:r w:rsidRPr="00B275E2">
        <w:t>he emission factor</w:t>
      </w:r>
      <w:r w:rsidR="003C3A14" w:rsidRPr="00B275E2">
        <w:t>s</w:t>
      </w:r>
      <w:r w:rsidRPr="00B275E2">
        <w:t xml:space="preserve"> for </w:t>
      </w:r>
      <w:r w:rsidR="003C3A14" w:rsidRPr="00B275E2">
        <w:t>transmission and distribution losses from the national grid.</w:t>
      </w:r>
      <w:r w:rsidRPr="00B275E2">
        <w:t xml:space="preserve"> </w:t>
      </w:r>
    </w:p>
    <w:p w14:paraId="21791262" w14:textId="206FB86D" w:rsidR="00B276B8" w:rsidRPr="00B275E2" w:rsidRDefault="00834880" w:rsidP="00AB431F">
      <w:pPr>
        <w:pStyle w:val="Tableheading"/>
      </w:pPr>
      <w:bookmarkStart w:id="267" w:name="_Ref532305434"/>
      <w:bookmarkStart w:id="268" w:name="table11"/>
      <w:bookmarkStart w:id="269" w:name="_Toc111536617"/>
      <w:r w:rsidRPr="00B275E2">
        <w:t xml:space="preserve">Table </w:t>
      </w:r>
      <w:r w:rsidRPr="00B275E2">
        <w:fldChar w:fldCharType="begin"/>
      </w:r>
      <w:r w:rsidRPr="00B275E2">
        <w:instrText>SEQ Table \* ARABIC</w:instrText>
      </w:r>
      <w:r w:rsidRPr="00B275E2">
        <w:fldChar w:fldCharType="separate"/>
      </w:r>
      <w:r w:rsidR="003E141C" w:rsidRPr="00B275E2">
        <w:t>12</w:t>
      </w:r>
      <w:r w:rsidRPr="00B275E2">
        <w:fldChar w:fldCharType="end"/>
      </w:r>
      <w:bookmarkEnd w:id="267"/>
      <w:bookmarkEnd w:id="268"/>
      <w:r w:rsidR="00B276B8" w:rsidRPr="00B275E2">
        <w:t>:</w:t>
      </w:r>
      <w:r w:rsidR="00B276B8" w:rsidRPr="00B275E2">
        <w:tab/>
        <w:t>Transmission and distribution losses for electricity consumption</w:t>
      </w:r>
      <w:bookmarkEnd w:id="269"/>
    </w:p>
    <w:tbl>
      <w:tblPr>
        <w:tblW w:w="8505" w:type="dxa"/>
        <w:tblBorders>
          <w:top w:val="single" w:sz="4" w:space="0" w:color="1B556B"/>
          <w:bottom w:val="single" w:sz="4" w:space="0" w:color="1B556B"/>
          <w:insideH w:val="single" w:sz="4" w:space="0" w:color="1B556B"/>
          <w:insideV w:val="single" w:sz="4" w:space="0" w:color="1B556B"/>
        </w:tblBorders>
        <w:tblLayout w:type="fixed"/>
        <w:tblLook w:val="04A0" w:firstRow="1" w:lastRow="0" w:firstColumn="1" w:lastColumn="0" w:noHBand="0" w:noVBand="1"/>
      </w:tblPr>
      <w:tblGrid>
        <w:gridCol w:w="1535"/>
        <w:gridCol w:w="606"/>
        <w:gridCol w:w="1271"/>
        <w:gridCol w:w="1272"/>
        <w:gridCol w:w="1895"/>
        <w:gridCol w:w="1926"/>
      </w:tblGrid>
      <w:tr w:rsidR="00B276B8" w:rsidRPr="00B275E2" w14:paraId="66C318E6" w14:textId="77777777" w:rsidTr="00AB431F">
        <w:trPr>
          <w:trHeight w:val="360"/>
        </w:trPr>
        <w:tc>
          <w:tcPr>
            <w:tcW w:w="902" w:type="pct"/>
            <w:shd w:val="clear" w:color="auto" w:fill="1B556B"/>
            <w:noWrap/>
            <w:vAlign w:val="center"/>
            <w:hideMark/>
          </w:tcPr>
          <w:p w14:paraId="3CC3014F" w14:textId="2D9F9A87" w:rsidR="00B276B8" w:rsidRPr="00B275E2" w:rsidRDefault="00B276B8" w:rsidP="007F0B1E">
            <w:pPr>
              <w:pStyle w:val="TableText"/>
              <w:spacing w:before="50" w:after="50"/>
              <w:rPr>
                <w:rFonts w:eastAsia="Times New Roman" w:cs="Calibri"/>
                <w:b/>
                <w:color w:val="FFFFFF" w:themeColor="background1"/>
                <w:szCs w:val="18"/>
              </w:rPr>
            </w:pPr>
            <w:r w:rsidRPr="00B275E2">
              <w:rPr>
                <w:rFonts w:eastAsia="Times New Roman" w:cs="Calibri"/>
                <w:b/>
                <w:color w:val="FFFFFF" w:themeColor="background1"/>
                <w:szCs w:val="18"/>
              </w:rPr>
              <w:t xml:space="preserve">Emission </w:t>
            </w:r>
            <w:r w:rsidR="0049234A" w:rsidRPr="00B275E2">
              <w:rPr>
                <w:rFonts w:eastAsia="Times New Roman" w:cs="Calibri"/>
                <w:b/>
                <w:color w:val="FFFFFF" w:themeColor="background1"/>
                <w:szCs w:val="18"/>
              </w:rPr>
              <w:t>s</w:t>
            </w:r>
            <w:r w:rsidRPr="00B275E2">
              <w:rPr>
                <w:rFonts w:eastAsia="Times New Roman" w:cs="Calibri"/>
                <w:b/>
                <w:color w:val="FFFFFF" w:themeColor="background1"/>
                <w:szCs w:val="18"/>
              </w:rPr>
              <w:t>ource</w:t>
            </w:r>
          </w:p>
        </w:tc>
        <w:tc>
          <w:tcPr>
            <w:tcW w:w="356" w:type="pct"/>
            <w:shd w:val="clear" w:color="auto" w:fill="1B556B"/>
            <w:noWrap/>
            <w:vAlign w:val="bottom"/>
            <w:hideMark/>
          </w:tcPr>
          <w:p w14:paraId="20160706" w14:textId="77777777" w:rsidR="00B276B8" w:rsidRPr="00B275E2" w:rsidRDefault="00B276B8" w:rsidP="007F0B1E">
            <w:pPr>
              <w:pStyle w:val="TableText"/>
              <w:spacing w:before="50" w:after="50"/>
              <w:rPr>
                <w:rFonts w:eastAsia="Times New Roman" w:cs="Calibri"/>
                <w:b/>
                <w:color w:val="FFFFFF" w:themeColor="background1"/>
                <w:szCs w:val="18"/>
              </w:rPr>
            </w:pPr>
            <w:r w:rsidRPr="00B275E2">
              <w:rPr>
                <w:rFonts w:eastAsia="Times New Roman" w:cs="Calibri"/>
                <w:b/>
                <w:color w:val="FFFFFF" w:themeColor="background1"/>
                <w:szCs w:val="18"/>
              </w:rPr>
              <w:t>Unit</w:t>
            </w:r>
          </w:p>
        </w:tc>
        <w:tc>
          <w:tcPr>
            <w:tcW w:w="747" w:type="pct"/>
            <w:shd w:val="clear" w:color="auto" w:fill="D2DDE1" w:themeFill="background2"/>
            <w:noWrap/>
            <w:vAlign w:val="bottom"/>
            <w:hideMark/>
          </w:tcPr>
          <w:p w14:paraId="0818240F" w14:textId="77777777" w:rsidR="00B276B8" w:rsidRPr="00B275E2" w:rsidRDefault="00B276B8" w:rsidP="0091185E">
            <w:pPr>
              <w:pStyle w:val="TableText"/>
              <w:spacing w:before="50" w:after="50"/>
              <w:jc w:val="right"/>
              <w:rPr>
                <w:rFonts w:eastAsia="Times New Roman" w:cs="Calibri"/>
                <w:b/>
                <w:szCs w:val="18"/>
              </w:rPr>
            </w:pPr>
            <w:r w:rsidRPr="00B275E2">
              <w:rPr>
                <w:rFonts w:eastAsia="Times New Roman" w:cs="Calibri"/>
                <w:b/>
                <w:szCs w:val="18"/>
              </w:rPr>
              <w:t>kg CO</w:t>
            </w:r>
            <w:r w:rsidRPr="00B275E2">
              <w:rPr>
                <w:rFonts w:eastAsia="Times New Roman" w:cs="Calibri"/>
                <w:b/>
                <w:szCs w:val="18"/>
                <w:vertAlign w:val="subscript"/>
              </w:rPr>
              <w:t>2</w:t>
            </w:r>
            <w:r w:rsidRPr="00B275E2">
              <w:rPr>
                <w:rFonts w:eastAsia="Times New Roman" w:cs="Calibri"/>
                <w:b/>
                <w:szCs w:val="18"/>
              </w:rPr>
              <w:t>-e/unit</w:t>
            </w:r>
          </w:p>
        </w:tc>
        <w:tc>
          <w:tcPr>
            <w:tcW w:w="748" w:type="pct"/>
            <w:shd w:val="clear" w:color="auto" w:fill="1B556B"/>
            <w:noWrap/>
            <w:vAlign w:val="bottom"/>
            <w:hideMark/>
          </w:tcPr>
          <w:p w14:paraId="212C13BD" w14:textId="77777777" w:rsidR="00B276B8" w:rsidRPr="00B275E2" w:rsidRDefault="00B276B8" w:rsidP="0091185E">
            <w:pPr>
              <w:pStyle w:val="TableText"/>
              <w:spacing w:before="50" w:after="50"/>
              <w:jc w:val="right"/>
              <w:rPr>
                <w:rFonts w:eastAsia="Times New Roman" w:cs="Calibri"/>
                <w:b/>
                <w:color w:val="FFFFFF" w:themeColor="background1"/>
                <w:szCs w:val="18"/>
              </w:rPr>
            </w:pPr>
            <w:r w:rsidRPr="00B275E2">
              <w:rPr>
                <w:rFonts w:eastAsia="Times New Roman" w:cs="Calibri"/>
                <w:b/>
                <w:color w:val="FFFFFF" w:themeColor="background1"/>
                <w:szCs w:val="18"/>
              </w:rPr>
              <w:t>kg CO</w:t>
            </w:r>
            <w:r w:rsidRPr="00B275E2">
              <w:rPr>
                <w:rFonts w:eastAsia="Times New Roman" w:cs="Calibri"/>
                <w:b/>
                <w:color w:val="FFFFFF" w:themeColor="background1"/>
                <w:szCs w:val="18"/>
                <w:vertAlign w:val="subscript"/>
              </w:rPr>
              <w:t>2</w:t>
            </w:r>
            <w:r w:rsidRPr="00B275E2">
              <w:rPr>
                <w:rFonts w:eastAsia="Times New Roman" w:cs="Calibri"/>
                <w:b/>
                <w:color w:val="FFFFFF" w:themeColor="background1"/>
                <w:szCs w:val="18"/>
              </w:rPr>
              <w:t>/unit</w:t>
            </w:r>
          </w:p>
        </w:tc>
        <w:tc>
          <w:tcPr>
            <w:tcW w:w="1114" w:type="pct"/>
            <w:shd w:val="clear" w:color="auto" w:fill="1B556B"/>
            <w:noWrap/>
            <w:vAlign w:val="bottom"/>
            <w:hideMark/>
          </w:tcPr>
          <w:p w14:paraId="32FE0DA8" w14:textId="54B781DB" w:rsidR="00B276B8" w:rsidRPr="00B275E2" w:rsidRDefault="0078070A" w:rsidP="0091185E">
            <w:pPr>
              <w:pStyle w:val="TableText"/>
              <w:spacing w:before="50" w:after="50"/>
              <w:jc w:val="right"/>
              <w:rPr>
                <w:rFonts w:eastAsia="Times New Roman" w:cs="Calibri"/>
                <w:b/>
                <w:color w:val="FFFFFF" w:themeColor="background1"/>
                <w:szCs w:val="18"/>
              </w:rPr>
            </w:pPr>
            <w:r w:rsidRPr="00B275E2">
              <w:rPr>
                <w:rFonts w:eastAsia="Times New Roman" w:cs="Calibri"/>
                <w:b/>
                <w:color w:val="FFFFFF" w:themeColor="background1"/>
                <w:szCs w:val="18"/>
              </w:rPr>
              <w:t>kg CH</w:t>
            </w:r>
            <w:r w:rsidRPr="00B275E2">
              <w:rPr>
                <w:rFonts w:eastAsia="Times New Roman" w:cs="Calibri"/>
                <w:b/>
                <w:color w:val="FFFFFF" w:themeColor="background1"/>
                <w:szCs w:val="18"/>
                <w:vertAlign w:val="subscript"/>
              </w:rPr>
              <w:t>4</w:t>
            </w:r>
            <w:r w:rsidRPr="00B275E2">
              <w:rPr>
                <w:rFonts w:eastAsia="Times New Roman" w:cs="Calibri"/>
                <w:b/>
                <w:color w:val="FFFFFF" w:themeColor="background1"/>
                <w:szCs w:val="18"/>
              </w:rPr>
              <w:t>/unit (kg CO</w:t>
            </w:r>
            <w:r w:rsidRPr="00B275E2">
              <w:rPr>
                <w:rFonts w:eastAsia="Times New Roman" w:cs="Calibri"/>
                <w:b/>
                <w:color w:val="FFFFFF" w:themeColor="background1"/>
                <w:szCs w:val="18"/>
                <w:vertAlign w:val="subscript"/>
              </w:rPr>
              <w:t>2</w:t>
            </w:r>
            <w:r w:rsidRPr="00B275E2">
              <w:rPr>
                <w:rFonts w:eastAsia="Times New Roman" w:cs="Calibri"/>
                <w:b/>
                <w:color w:val="FFFFFF" w:themeColor="background1"/>
                <w:szCs w:val="18"/>
              </w:rPr>
              <w:t>-e)</w:t>
            </w:r>
          </w:p>
        </w:tc>
        <w:tc>
          <w:tcPr>
            <w:tcW w:w="1132" w:type="pct"/>
            <w:shd w:val="clear" w:color="auto" w:fill="1B556B"/>
            <w:noWrap/>
            <w:vAlign w:val="bottom"/>
            <w:hideMark/>
          </w:tcPr>
          <w:p w14:paraId="575EB142" w14:textId="77B6C0D4" w:rsidR="00B276B8" w:rsidRPr="00B275E2" w:rsidRDefault="0078070A" w:rsidP="0091185E">
            <w:pPr>
              <w:pStyle w:val="TableText"/>
              <w:spacing w:before="50" w:after="50"/>
              <w:jc w:val="right"/>
              <w:rPr>
                <w:rFonts w:eastAsia="Times New Roman" w:cs="Calibri"/>
                <w:b/>
                <w:color w:val="FFFFFF" w:themeColor="background1"/>
                <w:szCs w:val="18"/>
              </w:rPr>
            </w:pPr>
            <w:r w:rsidRPr="00B275E2">
              <w:rPr>
                <w:rFonts w:eastAsia="Times New Roman" w:cs="Calibri"/>
                <w:b/>
                <w:color w:val="FFFFFF" w:themeColor="background1"/>
                <w:szCs w:val="18"/>
              </w:rPr>
              <w:t>kg N</w:t>
            </w:r>
            <w:r w:rsidRPr="00B275E2">
              <w:rPr>
                <w:rFonts w:eastAsia="Times New Roman" w:cs="Calibri"/>
                <w:b/>
                <w:color w:val="FFFFFF" w:themeColor="background1"/>
                <w:szCs w:val="18"/>
                <w:vertAlign w:val="subscript"/>
              </w:rPr>
              <w:t>2</w:t>
            </w:r>
            <w:r w:rsidRPr="00B275E2">
              <w:rPr>
                <w:rFonts w:eastAsia="Times New Roman" w:cs="Calibri"/>
                <w:b/>
                <w:color w:val="FFFFFF" w:themeColor="background1"/>
                <w:szCs w:val="18"/>
              </w:rPr>
              <w:t>O/unit (kg CO</w:t>
            </w:r>
            <w:r w:rsidRPr="00B275E2">
              <w:rPr>
                <w:rFonts w:eastAsia="Times New Roman" w:cs="Calibri"/>
                <w:b/>
                <w:color w:val="FFFFFF" w:themeColor="background1"/>
                <w:szCs w:val="18"/>
                <w:vertAlign w:val="subscript"/>
              </w:rPr>
              <w:t>2</w:t>
            </w:r>
            <w:r w:rsidRPr="00B275E2">
              <w:rPr>
                <w:rFonts w:eastAsia="Times New Roman" w:cs="Calibri"/>
                <w:b/>
                <w:color w:val="FFFFFF" w:themeColor="background1"/>
                <w:szCs w:val="18"/>
              </w:rPr>
              <w:t>-e)</w:t>
            </w:r>
          </w:p>
        </w:tc>
      </w:tr>
      <w:tr w:rsidR="00B01CEB" w:rsidRPr="00B275E2" w14:paraId="07379597" w14:textId="77777777" w:rsidTr="00AB431F">
        <w:trPr>
          <w:trHeight w:val="300"/>
        </w:trPr>
        <w:tc>
          <w:tcPr>
            <w:tcW w:w="902" w:type="pct"/>
            <w:vAlign w:val="center"/>
          </w:tcPr>
          <w:p w14:paraId="68C2A367" w14:textId="4F6E0F63" w:rsidR="00B01CEB" w:rsidRPr="00B275E2" w:rsidRDefault="00B01CEB" w:rsidP="502AF1AC">
            <w:pPr>
              <w:pStyle w:val="TableText"/>
              <w:spacing w:before="50" w:after="50"/>
              <w:rPr>
                <w:rFonts w:eastAsia="Times New Roman" w:cs="Calibri"/>
                <w:szCs w:val="18"/>
              </w:rPr>
            </w:pPr>
            <w:r w:rsidRPr="00B275E2">
              <w:rPr>
                <w:rFonts w:eastAsia="Times New Roman" w:cs="Calibri"/>
                <w:szCs w:val="18"/>
              </w:rPr>
              <w:t>2020</w:t>
            </w:r>
          </w:p>
        </w:tc>
        <w:tc>
          <w:tcPr>
            <w:tcW w:w="356" w:type="pct"/>
            <w:shd w:val="clear" w:color="auto" w:fill="auto"/>
            <w:noWrap/>
            <w:vAlign w:val="bottom"/>
          </w:tcPr>
          <w:p w14:paraId="0E0384AE" w14:textId="64AFFBC0" w:rsidR="00B01CEB" w:rsidRPr="00B275E2" w:rsidRDefault="00B01CEB" w:rsidP="502AF1AC">
            <w:pPr>
              <w:pStyle w:val="TableText"/>
              <w:spacing w:before="50" w:after="50"/>
              <w:rPr>
                <w:rFonts w:eastAsia="Times New Roman" w:cs="Calibri"/>
                <w:szCs w:val="18"/>
              </w:rPr>
            </w:pPr>
            <w:r w:rsidRPr="00B275E2">
              <w:rPr>
                <w:rFonts w:eastAsia="Times New Roman" w:cs="Calibri"/>
                <w:szCs w:val="18"/>
              </w:rPr>
              <w:t>kWh</w:t>
            </w:r>
          </w:p>
        </w:tc>
        <w:tc>
          <w:tcPr>
            <w:tcW w:w="747" w:type="pct"/>
            <w:shd w:val="clear" w:color="auto" w:fill="D2DDE1" w:themeFill="background2"/>
            <w:noWrap/>
          </w:tcPr>
          <w:p w14:paraId="3805CE05" w14:textId="3F1C13F0" w:rsidR="00B01CEB" w:rsidRPr="00B275E2" w:rsidRDefault="005C67F8" w:rsidP="502AF1AC">
            <w:pPr>
              <w:pStyle w:val="TableText"/>
              <w:spacing w:before="50" w:after="50"/>
              <w:jc w:val="right"/>
              <w:rPr>
                <w:rFonts w:cs="Calibri"/>
                <w:szCs w:val="18"/>
              </w:rPr>
            </w:pPr>
            <w:r>
              <w:rPr>
                <w:rFonts w:cs="Calibri"/>
                <w:szCs w:val="18"/>
              </w:rPr>
              <w:t>0.011</w:t>
            </w:r>
            <w:r w:rsidR="00406004">
              <w:rPr>
                <w:rFonts w:cs="Calibri"/>
                <w:szCs w:val="18"/>
              </w:rPr>
              <w:t>0</w:t>
            </w:r>
          </w:p>
        </w:tc>
        <w:tc>
          <w:tcPr>
            <w:tcW w:w="748" w:type="pct"/>
            <w:shd w:val="clear" w:color="auto" w:fill="FFFFFF" w:themeFill="background1"/>
            <w:noWrap/>
          </w:tcPr>
          <w:p w14:paraId="51BD623E" w14:textId="4BC483A2" w:rsidR="00B01CEB" w:rsidRPr="00B275E2" w:rsidRDefault="00E36854" w:rsidP="502AF1AC">
            <w:pPr>
              <w:pStyle w:val="TableText"/>
              <w:spacing w:before="50" w:after="50"/>
              <w:jc w:val="right"/>
              <w:rPr>
                <w:rFonts w:cs="Calibri"/>
                <w:szCs w:val="18"/>
              </w:rPr>
            </w:pPr>
            <w:r>
              <w:rPr>
                <w:rFonts w:cs="Calibri"/>
                <w:szCs w:val="18"/>
              </w:rPr>
              <w:t>0.0107</w:t>
            </w:r>
          </w:p>
        </w:tc>
        <w:tc>
          <w:tcPr>
            <w:tcW w:w="1114" w:type="pct"/>
            <w:shd w:val="clear" w:color="auto" w:fill="FFFFFF" w:themeFill="background1"/>
            <w:noWrap/>
          </w:tcPr>
          <w:p w14:paraId="696EC8DA" w14:textId="08541154" w:rsidR="00B01CEB" w:rsidRPr="00B275E2" w:rsidRDefault="502AF1AC" w:rsidP="502AF1AC">
            <w:pPr>
              <w:pStyle w:val="TableText"/>
              <w:spacing w:before="50" w:after="50"/>
              <w:jc w:val="right"/>
              <w:rPr>
                <w:rFonts w:cs="Calibri"/>
                <w:szCs w:val="18"/>
              </w:rPr>
            </w:pPr>
            <w:r w:rsidRPr="00B275E2">
              <w:rPr>
                <w:rFonts w:cs="Calibri"/>
                <w:szCs w:val="18"/>
              </w:rPr>
              <w:t>0.000</w:t>
            </w:r>
            <w:r w:rsidR="00142F64">
              <w:rPr>
                <w:rFonts w:cs="Calibri"/>
                <w:szCs w:val="18"/>
              </w:rPr>
              <w:t>3</w:t>
            </w:r>
          </w:p>
        </w:tc>
        <w:tc>
          <w:tcPr>
            <w:tcW w:w="1132" w:type="pct"/>
            <w:shd w:val="clear" w:color="auto" w:fill="FFFFFF" w:themeFill="background1"/>
            <w:noWrap/>
          </w:tcPr>
          <w:p w14:paraId="5A1C355A" w14:textId="127C5801" w:rsidR="00B01CEB" w:rsidRPr="00B275E2" w:rsidRDefault="502AF1AC" w:rsidP="502AF1AC">
            <w:pPr>
              <w:pStyle w:val="TableText"/>
              <w:spacing w:before="50" w:after="50"/>
              <w:jc w:val="right"/>
              <w:rPr>
                <w:rFonts w:cs="Calibri"/>
                <w:szCs w:val="18"/>
              </w:rPr>
            </w:pPr>
            <w:r w:rsidRPr="00B275E2">
              <w:rPr>
                <w:rFonts w:cs="Calibri"/>
                <w:szCs w:val="18"/>
              </w:rPr>
              <w:t>0.0000</w:t>
            </w:r>
            <w:r w:rsidR="00C64334">
              <w:rPr>
                <w:rFonts w:cs="Calibri"/>
                <w:szCs w:val="18"/>
              </w:rPr>
              <w:t>2</w:t>
            </w:r>
            <w:r w:rsidR="000166E1">
              <w:rPr>
                <w:rFonts w:cs="Calibri"/>
                <w:szCs w:val="18"/>
              </w:rPr>
              <w:t>1</w:t>
            </w:r>
          </w:p>
        </w:tc>
      </w:tr>
      <w:tr w:rsidR="00B01CEB" w:rsidRPr="00B275E2" w14:paraId="62B1C1B9" w14:textId="77777777" w:rsidTr="00AB431F">
        <w:trPr>
          <w:trHeight w:val="300"/>
        </w:trPr>
        <w:tc>
          <w:tcPr>
            <w:tcW w:w="902" w:type="pct"/>
            <w:vAlign w:val="center"/>
          </w:tcPr>
          <w:p w14:paraId="1FE9F338" w14:textId="7D3BC214" w:rsidR="00B01CEB" w:rsidRPr="00B275E2" w:rsidRDefault="00B01CEB" w:rsidP="502AF1AC">
            <w:pPr>
              <w:pStyle w:val="TableText"/>
              <w:spacing w:before="50" w:after="50"/>
              <w:rPr>
                <w:rFonts w:eastAsia="Times New Roman" w:cs="Calibri"/>
                <w:szCs w:val="18"/>
              </w:rPr>
            </w:pPr>
            <w:r w:rsidRPr="00B275E2">
              <w:rPr>
                <w:rFonts w:eastAsia="Times New Roman" w:cs="Calibri"/>
                <w:szCs w:val="18"/>
              </w:rPr>
              <w:t>2019</w:t>
            </w:r>
          </w:p>
        </w:tc>
        <w:tc>
          <w:tcPr>
            <w:tcW w:w="356" w:type="pct"/>
            <w:shd w:val="clear" w:color="auto" w:fill="auto"/>
            <w:noWrap/>
            <w:vAlign w:val="bottom"/>
          </w:tcPr>
          <w:p w14:paraId="6D247AC4" w14:textId="32B7B64C" w:rsidR="00B01CEB" w:rsidRPr="00B275E2" w:rsidRDefault="00B01CEB" w:rsidP="502AF1AC">
            <w:pPr>
              <w:pStyle w:val="TableText"/>
              <w:spacing w:before="50" w:after="50"/>
              <w:rPr>
                <w:rFonts w:eastAsia="Times New Roman" w:cs="Calibri"/>
                <w:szCs w:val="18"/>
              </w:rPr>
            </w:pPr>
            <w:r w:rsidRPr="00B275E2">
              <w:rPr>
                <w:rFonts w:eastAsia="Times New Roman" w:cs="Calibri"/>
                <w:szCs w:val="18"/>
              </w:rPr>
              <w:t>kWh</w:t>
            </w:r>
          </w:p>
        </w:tc>
        <w:tc>
          <w:tcPr>
            <w:tcW w:w="747" w:type="pct"/>
            <w:shd w:val="clear" w:color="auto" w:fill="D2DDE1" w:themeFill="background2"/>
            <w:noWrap/>
          </w:tcPr>
          <w:p w14:paraId="2B869FB9" w14:textId="5E174E1A" w:rsidR="00B01CEB" w:rsidRPr="00B275E2" w:rsidRDefault="00406004" w:rsidP="502AF1AC">
            <w:pPr>
              <w:pStyle w:val="TableText"/>
              <w:spacing w:before="50" w:after="50"/>
              <w:jc w:val="right"/>
              <w:rPr>
                <w:rFonts w:cs="Calibri"/>
                <w:szCs w:val="18"/>
              </w:rPr>
            </w:pPr>
            <w:r>
              <w:rPr>
                <w:rFonts w:cs="Calibri"/>
                <w:szCs w:val="18"/>
              </w:rPr>
              <w:t>0.0119</w:t>
            </w:r>
          </w:p>
        </w:tc>
        <w:tc>
          <w:tcPr>
            <w:tcW w:w="748" w:type="pct"/>
            <w:shd w:val="clear" w:color="auto" w:fill="FFFFFF" w:themeFill="background1"/>
            <w:noWrap/>
          </w:tcPr>
          <w:p w14:paraId="66AA530C" w14:textId="28B700C4" w:rsidR="00B01CEB" w:rsidRPr="00B275E2" w:rsidRDefault="00E36854" w:rsidP="502AF1AC">
            <w:pPr>
              <w:pStyle w:val="TableText"/>
              <w:spacing w:before="50" w:after="50"/>
              <w:jc w:val="right"/>
              <w:rPr>
                <w:rFonts w:cs="Calibri"/>
                <w:szCs w:val="18"/>
              </w:rPr>
            </w:pPr>
            <w:r>
              <w:rPr>
                <w:rFonts w:cs="Calibri"/>
                <w:szCs w:val="18"/>
              </w:rPr>
              <w:t>0.0115</w:t>
            </w:r>
          </w:p>
        </w:tc>
        <w:tc>
          <w:tcPr>
            <w:tcW w:w="1114" w:type="pct"/>
            <w:shd w:val="clear" w:color="auto" w:fill="FFFFFF" w:themeFill="background1"/>
            <w:noWrap/>
          </w:tcPr>
          <w:p w14:paraId="2F40E135" w14:textId="41FA3778" w:rsidR="00B01CEB" w:rsidRPr="00B275E2" w:rsidRDefault="502AF1AC" w:rsidP="502AF1AC">
            <w:pPr>
              <w:pStyle w:val="TableText"/>
              <w:spacing w:before="50" w:after="50"/>
              <w:jc w:val="right"/>
              <w:rPr>
                <w:rFonts w:cs="Calibri"/>
                <w:szCs w:val="18"/>
              </w:rPr>
            </w:pPr>
            <w:r w:rsidRPr="00B275E2">
              <w:rPr>
                <w:rFonts w:cs="Calibri"/>
                <w:szCs w:val="18"/>
              </w:rPr>
              <w:t>0.000</w:t>
            </w:r>
            <w:r w:rsidR="00C64334">
              <w:rPr>
                <w:rFonts w:cs="Calibri"/>
                <w:szCs w:val="18"/>
              </w:rPr>
              <w:t>3</w:t>
            </w:r>
          </w:p>
        </w:tc>
        <w:tc>
          <w:tcPr>
            <w:tcW w:w="1132" w:type="pct"/>
            <w:shd w:val="clear" w:color="auto" w:fill="FFFFFF" w:themeFill="background1"/>
            <w:noWrap/>
          </w:tcPr>
          <w:p w14:paraId="670C6CAB" w14:textId="64AE6C44" w:rsidR="00B01CEB" w:rsidRPr="00B275E2" w:rsidRDefault="502AF1AC" w:rsidP="502AF1AC">
            <w:pPr>
              <w:pStyle w:val="TableText"/>
              <w:spacing w:before="50" w:after="50"/>
              <w:jc w:val="right"/>
              <w:rPr>
                <w:rFonts w:cs="Calibri"/>
                <w:szCs w:val="18"/>
              </w:rPr>
            </w:pPr>
            <w:r w:rsidRPr="00B275E2">
              <w:rPr>
                <w:rFonts w:cs="Calibri"/>
                <w:szCs w:val="18"/>
              </w:rPr>
              <w:t>0.0000</w:t>
            </w:r>
            <w:r w:rsidR="00F86935">
              <w:rPr>
                <w:rFonts w:cs="Calibri"/>
                <w:szCs w:val="18"/>
              </w:rPr>
              <w:t>22</w:t>
            </w:r>
          </w:p>
        </w:tc>
      </w:tr>
      <w:tr w:rsidR="00895ED2" w:rsidRPr="00B275E2" w14:paraId="79498D17" w14:textId="77777777" w:rsidTr="00AB431F">
        <w:trPr>
          <w:trHeight w:val="300"/>
        </w:trPr>
        <w:tc>
          <w:tcPr>
            <w:tcW w:w="902" w:type="pct"/>
            <w:vAlign w:val="center"/>
            <w:hideMark/>
          </w:tcPr>
          <w:p w14:paraId="659F2D48" w14:textId="36A5E9E6" w:rsidR="00895ED2" w:rsidRPr="00B275E2" w:rsidRDefault="00895ED2" w:rsidP="007F0B1E">
            <w:pPr>
              <w:pStyle w:val="TableText"/>
              <w:spacing w:before="50" w:after="50"/>
              <w:rPr>
                <w:rFonts w:eastAsia="Times New Roman" w:cs="Calibri"/>
                <w:szCs w:val="18"/>
              </w:rPr>
            </w:pPr>
            <w:r w:rsidRPr="00B275E2">
              <w:rPr>
                <w:rFonts w:eastAsia="Times New Roman" w:cs="Calibri"/>
                <w:szCs w:val="18"/>
              </w:rPr>
              <w:t>2018</w:t>
            </w:r>
          </w:p>
        </w:tc>
        <w:tc>
          <w:tcPr>
            <w:tcW w:w="356" w:type="pct"/>
            <w:shd w:val="clear" w:color="auto" w:fill="auto"/>
            <w:noWrap/>
            <w:vAlign w:val="bottom"/>
            <w:hideMark/>
          </w:tcPr>
          <w:p w14:paraId="26991B6B" w14:textId="77777777" w:rsidR="00895ED2" w:rsidRPr="00B275E2" w:rsidRDefault="00895ED2" w:rsidP="007F0B1E">
            <w:pPr>
              <w:pStyle w:val="TableText"/>
              <w:spacing w:before="50" w:after="50"/>
              <w:rPr>
                <w:rFonts w:eastAsia="Times New Roman" w:cs="Calibri"/>
                <w:szCs w:val="18"/>
              </w:rPr>
            </w:pPr>
            <w:r w:rsidRPr="00B275E2">
              <w:rPr>
                <w:rFonts w:eastAsia="Times New Roman" w:cs="Calibri"/>
                <w:szCs w:val="18"/>
              </w:rPr>
              <w:t>kWh</w:t>
            </w:r>
          </w:p>
        </w:tc>
        <w:tc>
          <w:tcPr>
            <w:tcW w:w="747" w:type="pct"/>
            <w:shd w:val="clear" w:color="auto" w:fill="D2DDE1" w:themeFill="background2"/>
            <w:noWrap/>
            <w:hideMark/>
          </w:tcPr>
          <w:p w14:paraId="5ABD9FCD" w14:textId="7400CF22" w:rsidR="00895ED2" w:rsidRPr="00B275E2" w:rsidRDefault="00406004" w:rsidP="007F0B1E">
            <w:pPr>
              <w:pStyle w:val="TableText"/>
              <w:spacing w:before="50" w:after="50"/>
              <w:jc w:val="right"/>
              <w:rPr>
                <w:rFonts w:eastAsia="Times New Roman" w:cs="Calibri"/>
                <w:szCs w:val="18"/>
                <w:highlight w:val="yellow"/>
              </w:rPr>
            </w:pPr>
            <w:r>
              <w:rPr>
                <w:rFonts w:cs="Calibri"/>
                <w:szCs w:val="18"/>
              </w:rPr>
              <w:t>0.</w:t>
            </w:r>
            <w:r w:rsidR="00C5288C">
              <w:rPr>
                <w:rFonts w:cs="Calibri"/>
                <w:szCs w:val="18"/>
              </w:rPr>
              <w:t>0092</w:t>
            </w:r>
          </w:p>
        </w:tc>
        <w:tc>
          <w:tcPr>
            <w:tcW w:w="748" w:type="pct"/>
            <w:shd w:val="clear" w:color="auto" w:fill="FFFFFF" w:themeFill="background1"/>
            <w:noWrap/>
            <w:hideMark/>
          </w:tcPr>
          <w:p w14:paraId="37A863B3" w14:textId="3807C410" w:rsidR="00895ED2" w:rsidRPr="00B275E2" w:rsidRDefault="00E36854" w:rsidP="007F0B1E">
            <w:pPr>
              <w:pStyle w:val="TableText"/>
              <w:spacing w:before="50" w:after="50"/>
              <w:jc w:val="right"/>
              <w:rPr>
                <w:rFonts w:eastAsia="Times New Roman" w:cs="Calibri"/>
                <w:szCs w:val="18"/>
                <w:highlight w:val="yellow"/>
              </w:rPr>
            </w:pPr>
            <w:r>
              <w:rPr>
                <w:rFonts w:cs="Calibri"/>
                <w:szCs w:val="18"/>
              </w:rPr>
              <w:t>0.0089</w:t>
            </w:r>
          </w:p>
        </w:tc>
        <w:tc>
          <w:tcPr>
            <w:tcW w:w="1114" w:type="pct"/>
            <w:shd w:val="clear" w:color="auto" w:fill="FFFFFF" w:themeFill="background1"/>
            <w:noWrap/>
            <w:hideMark/>
          </w:tcPr>
          <w:p w14:paraId="520596E7" w14:textId="2418ECDD" w:rsidR="00895ED2" w:rsidRPr="00B275E2" w:rsidRDefault="00895ED2" w:rsidP="007F0B1E">
            <w:pPr>
              <w:pStyle w:val="TableText"/>
              <w:spacing w:before="50" w:after="50"/>
              <w:jc w:val="right"/>
              <w:rPr>
                <w:rFonts w:eastAsia="Times New Roman" w:cs="Calibri"/>
                <w:szCs w:val="18"/>
                <w:highlight w:val="yellow"/>
              </w:rPr>
            </w:pPr>
            <w:r w:rsidRPr="00B275E2">
              <w:rPr>
                <w:rFonts w:cs="Calibri"/>
                <w:szCs w:val="18"/>
              </w:rPr>
              <w:t>0.0003</w:t>
            </w:r>
          </w:p>
        </w:tc>
        <w:tc>
          <w:tcPr>
            <w:tcW w:w="1132" w:type="pct"/>
            <w:shd w:val="clear" w:color="auto" w:fill="FFFFFF" w:themeFill="background1"/>
            <w:noWrap/>
            <w:hideMark/>
          </w:tcPr>
          <w:p w14:paraId="3B7B03B2" w14:textId="4A922BFD" w:rsidR="00895ED2" w:rsidRPr="00B275E2" w:rsidRDefault="00895ED2" w:rsidP="007F0B1E">
            <w:pPr>
              <w:pStyle w:val="TableText"/>
              <w:spacing w:before="50" w:after="50"/>
              <w:jc w:val="right"/>
              <w:rPr>
                <w:rFonts w:eastAsia="Times New Roman" w:cs="Calibri"/>
                <w:szCs w:val="18"/>
                <w:highlight w:val="yellow"/>
              </w:rPr>
            </w:pPr>
            <w:r w:rsidRPr="00B275E2">
              <w:rPr>
                <w:rFonts w:cs="Calibri"/>
                <w:szCs w:val="18"/>
              </w:rPr>
              <w:t>0.00001</w:t>
            </w:r>
            <w:r w:rsidR="00041122">
              <w:rPr>
                <w:rFonts w:cs="Calibri"/>
                <w:szCs w:val="18"/>
              </w:rPr>
              <w:t>3</w:t>
            </w:r>
          </w:p>
        </w:tc>
      </w:tr>
      <w:tr w:rsidR="00895ED2" w:rsidRPr="00B275E2" w14:paraId="5909E169" w14:textId="77777777" w:rsidTr="00AB431F">
        <w:trPr>
          <w:trHeight w:val="300"/>
        </w:trPr>
        <w:tc>
          <w:tcPr>
            <w:tcW w:w="902" w:type="pct"/>
            <w:vAlign w:val="center"/>
          </w:tcPr>
          <w:p w14:paraId="4FB76471" w14:textId="412B205F" w:rsidR="00895ED2" w:rsidRPr="00B275E2" w:rsidRDefault="00895ED2" w:rsidP="007F0B1E">
            <w:pPr>
              <w:pStyle w:val="TableText"/>
              <w:spacing w:before="50" w:after="50"/>
              <w:rPr>
                <w:rFonts w:eastAsia="Times New Roman" w:cs="Calibri"/>
                <w:szCs w:val="18"/>
              </w:rPr>
            </w:pPr>
            <w:r w:rsidRPr="00B275E2">
              <w:rPr>
                <w:rFonts w:eastAsia="Times New Roman" w:cs="Calibri"/>
                <w:szCs w:val="18"/>
              </w:rPr>
              <w:t>2017</w:t>
            </w:r>
          </w:p>
        </w:tc>
        <w:tc>
          <w:tcPr>
            <w:tcW w:w="356" w:type="pct"/>
            <w:shd w:val="clear" w:color="auto" w:fill="auto"/>
            <w:noWrap/>
            <w:vAlign w:val="bottom"/>
          </w:tcPr>
          <w:p w14:paraId="49951639" w14:textId="03342D4C" w:rsidR="00895ED2" w:rsidRPr="00B275E2" w:rsidRDefault="00895ED2" w:rsidP="007F0B1E">
            <w:pPr>
              <w:pStyle w:val="TableText"/>
              <w:spacing w:before="50" w:after="50"/>
              <w:rPr>
                <w:rFonts w:eastAsia="Times New Roman" w:cs="Calibri"/>
                <w:szCs w:val="18"/>
              </w:rPr>
            </w:pPr>
            <w:r w:rsidRPr="00B275E2">
              <w:rPr>
                <w:rFonts w:eastAsia="Times New Roman" w:cs="Calibri"/>
                <w:szCs w:val="18"/>
              </w:rPr>
              <w:t>kWh</w:t>
            </w:r>
          </w:p>
        </w:tc>
        <w:tc>
          <w:tcPr>
            <w:tcW w:w="747" w:type="pct"/>
            <w:shd w:val="clear" w:color="auto" w:fill="D2DDE1" w:themeFill="background2"/>
            <w:noWrap/>
          </w:tcPr>
          <w:p w14:paraId="77825402" w14:textId="1C75F33B" w:rsidR="00895ED2" w:rsidRPr="00B275E2" w:rsidRDefault="00A82095" w:rsidP="007F0B1E">
            <w:pPr>
              <w:pStyle w:val="TableText"/>
              <w:spacing w:before="50" w:after="50"/>
              <w:jc w:val="right"/>
              <w:rPr>
                <w:rFonts w:cs="Calibri"/>
                <w:szCs w:val="18"/>
                <w:highlight w:val="yellow"/>
              </w:rPr>
            </w:pPr>
            <w:r>
              <w:rPr>
                <w:rFonts w:cs="Calibri"/>
                <w:szCs w:val="18"/>
              </w:rPr>
              <w:t>0.0094</w:t>
            </w:r>
          </w:p>
        </w:tc>
        <w:tc>
          <w:tcPr>
            <w:tcW w:w="748" w:type="pct"/>
            <w:shd w:val="clear" w:color="auto" w:fill="FFFFFF" w:themeFill="background1"/>
            <w:noWrap/>
          </w:tcPr>
          <w:p w14:paraId="5DDDBF9E" w14:textId="2680D8BE" w:rsidR="00895ED2" w:rsidRPr="00B275E2" w:rsidRDefault="00E36854" w:rsidP="007F0B1E">
            <w:pPr>
              <w:pStyle w:val="TableText"/>
              <w:spacing w:before="50" w:after="50"/>
              <w:jc w:val="right"/>
              <w:rPr>
                <w:rFonts w:cs="Calibri"/>
                <w:szCs w:val="18"/>
                <w:highlight w:val="yellow"/>
              </w:rPr>
            </w:pPr>
            <w:r>
              <w:rPr>
                <w:rFonts w:cs="Calibri"/>
                <w:szCs w:val="18"/>
              </w:rPr>
              <w:t>0.0091</w:t>
            </w:r>
          </w:p>
        </w:tc>
        <w:tc>
          <w:tcPr>
            <w:tcW w:w="1114" w:type="pct"/>
            <w:shd w:val="clear" w:color="auto" w:fill="FFFFFF" w:themeFill="background1"/>
            <w:noWrap/>
          </w:tcPr>
          <w:p w14:paraId="1F0D0A02" w14:textId="1D28DAE8" w:rsidR="00895ED2" w:rsidRPr="00B275E2" w:rsidRDefault="00895ED2" w:rsidP="007F0B1E">
            <w:pPr>
              <w:pStyle w:val="TableText"/>
              <w:spacing w:before="50" w:after="50"/>
              <w:jc w:val="right"/>
              <w:rPr>
                <w:rFonts w:cs="Calibri"/>
                <w:szCs w:val="18"/>
                <w:highlight w:val="yellow"/>
              </w:rPr>
            </w:pPr>
            <w:r w:rsidRPr="00B275E2">
              <w:rPr>
                <w:rFonts w:cs="Calibri"/>
                <w:szCs w:val="18"/>
              </w:rPr>
              <w:t>0.0003</w:t>
            </w:r>
          </w:p>
        </w:tc>
        <w:tc>
          <w:tcPr>
            <w:tcW w:w="1132" w:type="pct"/>
            <w:shd w:val="clear" w:color="auto" w:fill="FFFFFF" w:themeFill="background1"/>
            <w:noWrap/>
          </w:tcPr>
          <w:p w14:paraId="5245C0FF" w14:textId="029288AE" w:rsidR="00895ED2" w:rsidRPr="00B275E2" w:rsidRDefault="00895ED2" w:rsidP="007F0B1E">
            <w:pPr>
              <w:pStyle w:val="TableText"/>
              <w:spacing w:before="50" w:after="50"/>
              <w:jc w:val="right"/>
              <w:rPr>
                <w:rFonts w:cs="Calibri"/>
                <w:szCs w:val="18"/>
                <w:highlight w:val="yellow"/>
              </w:rPr>
            </w:pPr>
            <w:r w:rsidRPr="00B275E2">
              <w:rPr>
                <w:rFonts w:cs="Calibri"/>
                <w:szCs w:val="18"/>
              </w:rPr>
              <w:t>0.0000</w:t>
            </w:r>
            <w:r w:rsidR="002D3908">
              <w:rPr>
                <w:rFonts w:cs="Calibri"/>
                <w:szCs w:val="18"/>
              </w:rPr>
              <w:t>09</w:t>
            </w:r>
          </w:p>
        </w:tc>
      </w:tr>
      <w:tr w:rsidR="00895ED2" w:rsidRPr="00B275E2" w14:paraId="4E4414FE" w14:textId="77777777" w:rsidTr="00AB431F">
        <w:trPr>
          <w:trHeight w:val="300"/>
        </w:trPr>
        <w:tc>
          <w:tcPr>
            <w:tcW w:w="902" w:type="pct"/>
            <w:vAlign w:val="center"/>
          </w:tcPr>
          <w:p w14:paraId="408B6D67" w14:textId="43530BF7" w:rsidR="00895ED2" w:rsidRPr="00B275E2" w:rsidRDefault="00895ED2" w:rsidP="007F0B1E">
            <w:pPr>
              <w:pStyle w:val="TableText"/>
              <w:spacing w:before="50" w:after="50"/>
              <w:rPr>
                <w:rFonts w:eastAsia="Times New Roman" w:cs="Calibri"/>
                <w:szCs w:val="18"/>
              </w:rPr>
            </w:pPr>
            <w:r w:rsidRPr="00B275E2">
              <w:rPr>
                <w:rFonts w:eastAsia="Times New Roman" w:cs="Calibri"/>
                <w:szCs w:val="18"/>
              </w:rPr>
              <w:t>2016</w:t>
            </w:r>
          </w:p>
        </w:tc>
        <w:tc>
          <w:tcPr>
            <w:tcW w:w="356" w:type="pct"/>
            <w:shd w:val="clear" w:color="auto" w:fill="auto"/>
            <w:noWrap/>
            <w:vAlign w:val="bottom"/>
          </w:tcPr>
          <w:p w14:paraId="3FF0F25E" w14:textId="720E7AF4" w:rsidR="00895ED2" w:rsidRPr="00B275E2" w:rsidRDefault="00895ED2" w:rsidP="007F0B1E">
            <w:pPr>
              <w:pStyle w:val="TableText"/>
              <w:spacing w:before="50" w:after="50"/>
              <w:rPr>
                <w:rFonts w:eastAsia="Times New Roman" w:cs="Calibri"/>
                <w:szCs w:val="18"/>
              </w:rPr>
            </w:pPr>
            <w:r w:rsidRPr="00B275E2">
              <w:rPr>
                <w:rFonts w:eastAsia="Times New Roman" w:cs="Calibri"/>
                <w:szCs w:val="18"/>
              </w:rPr>
              <w:t>kWh</w:t>
            </w:r>
          </w:p>
        </w:tc>
        <w:tc>
          <w:tcPr>
            <w:tcW w:w="747" w:type="pct"/>
            <w:shd w:val="clear" w:color="auto" w:fill="D2DDE1" w:themeFill="background2"/>
            <w:noWrap/>
          </w:tcPr>
          <w:p w14:paraId="198ED3D9" w14:textId="614E85F5" w:rsidR="00895ED2" w:rsidRPr="00B275E2" w:rsidRDefault="004F75EA" w:rsidP="007F0B1E">
            <w:pPr>
              <w:pStyle w:val="TableText"/>
              <w:spacing w:before="50" w:after="50"/>
              <w:jc w:val="right"/>
              <w:rPr>
                <w:rFonts w:cs="Calibri"/>
                <w:szCs w:val="18"/>
                <w:highlight w:val="yellow"/>
              </w:rPr>
            </w:pPr>
            <w:r>
              <w:rPr>
                <w:rFonts w:cs="Calibri"/>
                <w:szCs w:val="18"/>
              </w:rPr>
              <w:t>0.0075</w:t>
            </w:r>
          </w:p>
        </w:tc>
        <w:tc>
          <w:tcPr>
            <w:tcW w:w="748" w:type="pct"/>
            <w:shd w:val="clear" w:color="auto" w:fill="FFFFFF" w:themeFill="background1"/>
            <w:noWrap/>
          </w:tcPr>
          <w:p w14:paraId="1761DB31" w14:textId="003904FC" w:rsidR="00895ED2" w:rsidRPr="00B275E2" w:rsidRDefault="00E36854" w:rsidP="007F0B1E">
            <w:pPr>
              <w:pStyle w:val="TableText"/>
              <w:spacing w:before="50" w:after="50"/>
              <w:jc w:val="right"/>
              <w:rPr>
                <w:rFonts w:cs="Calibri"/>
                <w:szCs w:val="18"/>
                <w:highlight w:val="yellow"/>
              </w:rPr>
            </w:pPr>
            <w:r>
              <w:rPr>
                <w:rFonts w:cs="Calibri"/>
                <w:szCs w:val="18"/>
              </w:rPr>
              <w:t>0.0072</w:t>
            </w:r>
          </w:p>
        </w:tc>
        <w:tc>
          <w:tcPr>
            <w:tcW w:w="1114" w:type="pct"/>
            <w:shd w:val="clear" w:color="auto" w:fill="FFFFFF" w:themeFill="background1"/>
            <w:noWrap/>
          </w:tcPr>
          <w:p w14:paraId="2022927C" w14:textId="72BD338F" w:rsidR="00895ED2" w:rsidRPr="00B275E2" w:rsidRDefault="00895ED2" w:rsidP="007F0B1E">
            <w:pPr>
              <w:pStyle w:val="TableText"/>
              <w:spacing w:before="50" w:after="50"/>
              <w:jc w:val="right"/>
              <w:rPr>
                <w:rFonts w:cs="Calibri"/>
                <w:szCs w:val="18"/>
                <w:highlight w:val="yellow"/>
              </w:rPr>
            </w:pPr>
            <w:r w:rsidRPr="00B275E2">
              <w:rPr>
                <w:rFonts w:cs="Calibri"/>
                <w:szCs w:val="18"/>
              </w:rPr>
              <w:t>0.000</w:t>
            </w:r>
            <w:r w:rsidR="00286134">
              <w:rPr>
                <w:rFonts w:cs="Calibri"/>
                <w:szCs w:val="18"/>
              </w:rPr>
              <w:t>3</w:t>
            </w:r>
          </w:p>
        </w:tc>
        <w:tc>
          <w:tcPr>
            <w:tcW w:w="1132" w:type="pct"/>
            <w:shd w:val="clear" w:color="auto" w:fill="FFFFFF" w:themeFill="background1"/>
            <w:noWrap/>
          </w:tcPr>
          <w:p w14:paraId="695A74EA" w14:textId="0E05C1DC" w:rsidR="00895ED2" w:rsidRPr="00B275E2" w:rsidRDefault="00895ED2" w:rsidP="007F0B1E">
            <w:pPr>
              <w:pStyle w:val="TableText"/>
              <w:spacing w:before="50" w:after="50"/>
              <w:jc w:val="right"/>
              <w:rPr>
                <w:rFonts w:cs="Calibri"/>
                <w:szCs w:val="18"/>
                <w:highlight w:val="yellow"/>
              </w:rPr>
            </w:pPr>
            <w:r w:rsidRPr="00B275E2">
              <w:rPr>
                <w:rFonts w:cs="Calibri"/>
                <w:szCs w:val="18"/>
              </w:rPr>
              <w:t>0.00000</w:t>
            </w:r>
            <w:r w:rsidR="002D3908">
              <w:rPr>
                <w:rFonts w:cs="Calibri"/>
                <w:szCs w:val="18"/>
              </w:rPr>
              <w:t>7</w:t>
            </w:r>
          </w:p>
        </w:tc>
      </w:tr>
      <w:tr w:rsidR="00895ED2" w:rsidRPr="00B275E2" w14:paraId="2E3E7E63" w14:textId="77777777" w:rsidTr="00AB431F">
        <w:trPr>
          <w:trHeight w:val="300"/>
        </w:trPr>
        <w:tc>
          <w:tcPr>
            <w:tcW w:w="902" w:type="pct"/>
            <w:vAlign w:val="center"/>
          </w:tcPr>
          <w:p w14:paraId="5AE1128C" w14:textId="665CEF8E" w:rsidR="00895ED2" w:rsidRPr="00B275E2" w:rsidRDefault="00895ED2" w:rsidP="007F0B1E">
            <w:pPr>
              <w:pStyle w:val="TableText"/>
              <w:spacing w:before="50" w:after="50"/>
              <w:rPr>
                <w:rFonts w:eastAsia="Times New Roman" w:cs="Calibri"/>
                <w:szCs w:val="18"/>
              </w:rPr>
            </w:pPr>
            <w:r w:rsidRPr="00B275E2">
              <w:rPr>
                <w:rFonts w:eastAsia="Times New Roman" w:cs="Calibri"/>
                <w:szCs w:val="18"/>
              </w:rPr>
              <w:t>2015</w:t>
            </w:r>
          </w:p>
        </w:tc>
        <w:tc>
          <w:tcPr>
            <w:tcW w:w="356" w:type="pct"/>
            <w:shd w:val="clear" w:color="auto" w:fill="auto"/>
            <w:noWrap/>
            <w:vAlign w:val="bottom"/>
          </w:tcPr>
          <w:p w14:paraId="079171B1" w14:textId="4162491E" w:rsidR="00895ED2" w:rsidRPr="00B275E2" w:rsidRDefault="00895ED2" w:rsidP="007F0B1E">
            <w:pPr>
              <w:pStyle w:val="TableText"/>
              <w:spacing w:before="50" w:after="50"/>
              <w:rPr>
                <w:rFonts w:eastAsia="Times New Roman" w:cs="Calibri"/>
                <w:szCs w:val="18"/>
              </w:rPr>
            </w:pPr>
            <w:r w:rsidRPr="00B275E2">
              <w:rPr>
                <w:rFonts w:eastAsia="Times New Roman" w:cs="Calibri"/>
                <w:szCs w:val="18"/>
              </w:rPr>
              <w:t>kWh</w:t>
            </w:r>
          </w:p>
        </w:tc>
        <w:tc>
          <w:tcPr>
            <w:tcW w:w="747" w:type="pct"/>
            <w:shd w:val="clear" w:color="auto" w:fill="D2DDE1" w:themeFill="background2"/>
            <w:noWrap/>
          </w:tcPr>
          <w:p w14:paraId="71C34BF2" w14:textId="7F57AB2B" w:rsidR="00895ED2" w:rsidRPr="00B275E2" w:rsidRDefault="00A926FD" w:rsidP="007F0B1E">
            <w:pPr>
              <w:pStyle w:val="TableText"/>
              <w:spacing w:before="50" w:after="50"/>
              <w:jc w:val="right"/>
              <w:rPr>
                <w:rFonts w:cs="Calibri"/>
                <w:szCs w:val="18"/>
                <w:highlight w:val="yellow"/>
              </w:rPr>
            </w:pPr>
            <w:r>
              <w:rPr>
                <w:rFonts w:cs="Calibri"/>
                <w:szCs w:val="18"/>
              </w:rPr>
              <w:t>0.01</w:t>
            </w:r>
            <w:r w:rsidR="00934A8B">
              <w:rPr>
                <w:rFonts w:cs="Calibri"/>
                <w:szCs w:val="18"/>
              </w:rPr>
              <w:t>07</w:t>
            </w:r>
          </w:p>
        </w:tc>
        <w:tc>
          <w:tcPr>
            <w:tcW w:w="748" w:type="pct"/>
            <w:shd w:val="clear" w:color="auto" w:fill="FFFFFF" w:themeFill="background1"/>
            <w:noWrap/>
          </w:tcPr>
          <w:p w14:paraId="6C45690A" w14:textId="00094F6F" w:rsidR="00895ED2" w:rsidRPr="00B275E2" w:rsidRDefault="00E36854" w:rsidP="007F0B1E">
            <w:pPr>
              <w:pStyle w:val="TableText"/>
              <w:spacing w:before="50" w:after="50"/>
              <w:jc w:val="right"/>
              <w:rPr>
                <w:rFonts w:cs="Calibri"/>
                <w:szCs w:val="18"/>
                <w:highlight w:val="yellow"/>
              </w:rPr>
            </w:pPr>
            <w:r>
              <w:rPr>
                <w:rFonts w:cs="Calibri"/>
                <w:szCs w:val="18"/>
              </w:rPr>
              <w:t>0</w:t>
            </w:r>
            <w:r w:rsidR="00165592">
              <w:rPr>
                <w:rFonts w:cs="Calibri"/>
                <w:szCs w:val="18"/>
              </w:rPr>
              <w:t>.0103</w:t>
            </w:r>
          </w:p>
        </w:tc>
        <w:tc>
          <w:tcPr>
            <w:tcW w:w="1114" w:type="pct"/>
            <w:shd w:val="clear" w:color="auto" w:fill="FFFFFF" w:themeFill="background1"/>
            <w:noWrap/>
          </w:tcPr>
          <w:p w14:paraId="3DDB94A7" w14:textId="4CFAA9FA" w:rsidR="00895ED2" w:rsidRPr="00B275E2" w:rsidRDefault="00895ED2" w:rsidP="007F0B1E">
            <w:pPr>
              <w:pStyle w:val="TableText"/>
              <w:spacing w:before="50" w:after="50"/>
              <w:jc w:val="right"/>
              <w:rPr>
                <w:rFonts w:cs="Calibri"/>
                <w:szCs w:val="18"/>
                <w:highlight w:val="yellow"/>
              </w:rPr>
            </w:pPr>
            <w:r w:rsidRPr="00B275E2">
              <w:rPr>
                <w:rFonts w:cs="Calibri"/>
                <w:szCs w:val="18"/>
              </w:rPr>
              <w:t>0.000</w:t>
            </w:r>
            <w:r w:rsidR="000166E1">
              <w:rPr>
                <w:rFonts w:cs="Calibri"/>
                <w:szCs w:val="18"/>
              </w:rPr>
              <w:t>4</w:t>
            </w:r>
          </w:p>
        </w:tc>
        <w:tc>
          <w:tcPr>
            <w:tcW w:w="1132" w:type="pct"/>
            <w:shd w:val="clear" w:color="auto" w:fill="FFFFFF" w:themeFill="background1"/>
            <w:noWrap/>
          </w:tcPr>
          <w:p w14:paraId="2BE2936D" w14:textId="37B81815" w:rsidR="00895ED2" w:rsidRPr="00B275E2" w:rsidRDefault="00895ED2" w:rsidP="007F0B1E">
            <w:pPr>
              <w:pStyle w:val="TableText"/>
              <w:spacing w:before="50" w:after="50"/>
              <w:jc w:val="right"/>
              <w:rPr>
                <w:rFonts w:cs="Calibri"/>
                <w:szCs w:val="18"/>
                <w:highlight w:val="yellow"/>
              </w:rPr>
            </w:pPr>
            <w:r w:rsidRPr="00B275E2">
              <w:rPr>
                <w:rFonts w:cs="Calibri"/>
                <w:szCs w:val="18"/>
              </w:rPr>
              <w:t>0.00001</w:t>
            </w:r>
            <w:r w:rsidR="006D5673">
              <w:rPr>
                <w:rFonts w:cs="Calibri"/>
                <w:szCs w:val="18"/>
              </w:rPr>
              <w:t>5</w:t>
            </w:r>
          </w:p>
        </w:tc>
      </w:tr>
      <w:tr w:rsidR="00895ED2" w:rsidRPr="00B275E2" w14:paraId="3D084A63" w14:textId="77777777" w:rsidTr="00AB431F">
        <w:trPr>
          <w:trHeight w:val="300"/>
        </w:trPr>
        <w:tc>
          <w:tcPr>
            <w:tcW w:w="902" w:type="pct"/>
            <w:vAlign w:val="center"/>
          </w:tcPr>
          <w:p w14:paraId="66EC898C" w14:textId="606EC2D6" w:rsidR="00895ED2" w:rsidRPr="00B275E2" w:rsidRDefault="00895ED2" w:rsidP="007F0B1E">
            <w:pPr>
              <w:pStyle w:val="TableText"/>
              <w:spacing w:before="50" w:after="50"/>
              <w:rPr>
                <w:rFonts w:eastAsia="Times New Roman" w:cs="Calibri"/>
                <w:szCs w:val="18"/>
              </w:rPr>
            </w:pPr>
            <w:r w:rsidRPr="00B275E2">
              <w:rPr>
                <w:rFonts w:eastAsia="Times New Roman" w:cs="Calibri"/>
                <w:szCs w:val="18"/>
              </w:rPr>
              <w:t>2014</w:t>
            </w:r>
          </w:p>
        </w:tc>
        <w:tc>
          <w:tcPr>
            <w:tcW w:w="356" w:type="pct"/>
            <w:shd w:val="clear" w:color="auto" w:fill="auto"/>
            <w:noWrap/>
            <w:vAlign w:val="bottom"/>
          </w:tcPr>
          <w:p w14:paraId="1B65AAC9" w14:textId="2801E8CA" w:rsidR="00895ED2" w:rsidRPr="00B275E2" w:rsidRDefault="00895ED2" w:rsidP="007F0B1E">
            <w:pPr>
              <w:pStyle w:val="TableText"/>
              <w:spacing w:before="50" w:after="50"/>
              <w:rPr>
                <w:rFonts w:eastAsia="Times New Roman" w:cs="Calibri"/>
                <w:szCs w:val="18"/>
              </w:rPr>
            </w:pPr>
            <w:r w:rsidRPr="00B275E2">
              <w:rPr>
                <w:rFonts w:eastAsia="Times New Roman" w:cs="Calibri"/>
                <w:szCs w:val="18"/>
              </w:rPr>
              <w:t>kWh</w:t>
            </w:r>
          </w:p>
        </w:tc>
        <w:tc>
          <w:tcPr>
            <w:tcW w:w="747" w:type="pct"/>
            <w:shd w:val="clear" w:color="auto" w:fill="D2DDE1" w:themeFill="background2"/>
            <w:noWrap/>
          </w:tcPr>
          <w:p w14:paraId="26559C37" w14:textId="5573468C" w:rsidR="00895ED2" w:rsidRPr="00B275E2" w:rsidRDefault="00934A8B" w:rsidP="007F0B1E">
            <w:pPr>
              <w:pStyle w:val="TableText"/>
              <w:spacing w:before="50" w:after="50"/>
              <w:jc w:val="right"/>
              <w:rPr>
                <w:rFonts w:cs="Calibri"/>
                <w:szCs w:val="18"/>
                <w:highlight w:val="yellow"/>
              </w:rPr>
            </w:pPr>
            <w:r>
              <w:rPr>
                <w:rFonts w:cs="Calibri"/>
                <w:szCs w:val="18"/>
              </w:rPr>
              <w:t>0.</w:t>
            </w:r>
            <w:r w:rsidR="004633A4">
              <w:rPr>
                <w:rFonts w:cs="Calibri"/>
                <w:szCs w:val="18"/>
              </w:rPr>
              <w:t>0092</w:t>
            </w:r>
          </w:p>
        </w:tc>
        <w:tc>
          <w:tcPr>
            <w:tcW w:w="748" w:type="pct"/>
            <w:shd w:val="clear" w:color="auto" w:fill="FFFFFF" w:themeFill="background1"/>
            <w:noWrap/>
          </w:tcPr>
          <w:p w14:paraId="3D56B07D" w14:textId="5D577AA7" w:rsidR="00895ED2" w:rsidRPr="00B275E2" w:rsidRDefault="00165592" w:rsidP="007F0B1E">
            <w:pPr>
              <w:pStyle w:val="TableText"/>
              <w:spacing w:before="50" w:after="50"/>
              <w:jc w:val="right"/>
              <w:rPr>
                <w:rFonts w:cs="Calibri"/>
                <w:szCs w:val="18"/>
                <w:highlight w:val="yellow"/>
              </w:rPr>
            </w:pPr>
            <w:r>
              <w:rPr>
                <w:rFonts w:cs="Calibri"/>
                <w:szCs w:val="18"/>
              </w:rPr>
              <w:t>0.0</w:t>
            </w:r>
            <w:r w:rsidR="00107B05">
              <w:rPr>
                <w:rFonts w:cs="Calibri"/>
                <w:szCs w:val="18"/>
              </w:rPr>
              <w:t>089</w:t>
            </w:r>
          </w:p>
        </w:tc>
        <w:tc>
          <w:tcPr>
            <w:tcW w:w="1114" w:type="pct"/>
            <w:shd w:val="clear" w:color="auto" w:fill="auto"/>
            <w:noWrap/>
          </w:tcPr>
          <w:p w14:paraId="41BD8254" w14:textId="1DE50A09" w:rsidR="00895ED2" w:rsidRPr="00B275E2" w:rsidRDefault="00895ED2" w:rsidP="007F0B1E">
            <w:pPr>
              <w:pStyle w:val="TableText"/>
              <w:spacing w:before="50" w:after="50"/>
              <w:jc w:val="right"/>
              <w:rPr>
                <w:rFonts w:cs="Calibri"/>
                <w:szCs w:val="18"/>
                <w:highlight w:val="yellow"/>
              </w:rPr>
            </w:pPr>
            <w:r w:rsidRPr="00B275E2">
              <w:rPr>
                <w:rFonts w:cs="Calibri"/>
                <w:szCs w:val="18"/>
              </w:rPr>
              <w:t>0.0003</w:t>
            </w:r>
          </w:p>
        </w:tc>
        <w:tc>
          <w:tcPr>
            <w:tcW w:w="1132" w:type="pct"/>
            <w:shd w:val="clear" w:color="auto" w:fill="auto"/>
            <w:noWrap/>
          </w:tcPr>
          <w:p w14:paraId="1E3D9EF8" w14:textId="4BC7BBD3" w:rsidR="00895ED2" w:rsidRPr="00B275E2" w:rsidRDefault="00895ED2" w:rsidP="007F0B1E">
            <w:pPr>
              <w:pStyle w:val="TableText"/>
              <w:spacing w:before="50" w:after="50"/>
              <w:jc w:val="right"/>
              <w:rPr>
                <w:rFonts w:cs="Calibri"/>
                <w:szCs w:val="18"/>
                <w:highlight w:val="yellow"/>
              </w:rPr>
            </w:pPr>
            <w:r w:rsidRPr="00B275E2">
              <w:rPr>
                <w:rFonts w:cs="Calibri"/>
                <w:szCs w:val="18"/>
              </w:rPr>
              <w:t>0.00001</w:t>
            </w:r>
            <w:r w:rsidR="00035828">
              <w:rPr>
                <w:rFonts w:cs="Calibri"/>
                <w:szCs w:val="18"/>
              </w:rPr>
              <w:t>3</w:t>
            </w:r>
          </w:p>
        </w:tc>
      </w:tr>
      <w:tr w:rsidR="00895ED2" w:rsidRPr="00B275E2" w14:paraId="06032357" w14:textId="77777777" w:rsidTr="00AB431F">
        <w:trPr>
          <w:trHeight w:val="300"/>
        </w:trPr>
        <w:tc>
          <w:tcPr>
            <w:tcW w:w="902" w:type="pct"/>
            <w:vAlign w:val="center"/>
          </w:tcPr>
          <w:p w14:paraId="368E6CA3" w14:textId="2B0FB7CF" w:rsidR="00895ED2" w:rsidRPr="00B275E2" w:rsidRDefault="00895ED2" w:rsidP="007F0B1E">
            <w:pPr>
              <w:pStyle w:val="TableText"/>
              <w:spacing w:before="50" w:after="50"/>
              <w:rPr>
                <w:rFonts w:eastAsia="Times New Roman" w:cs="Calibri"/>
                <w:szCs w:val="18"/>
              </w:rPr>
            </w:pPr>
            <w:r w:rsidRPr="00B275E2">
              <w:rPr>
                <w:rFonts w:eastAsia="Times New Roman" w:cs="Calibri"/>
                <w:szCs w:val="18"/>
              </w:rPr>
              <w:t>2013</w:t>
            </w:r>
          </w:p>
        </w:tc>
        <w:tc>
          <w:tcPr>
            <w:tcW w:w="356" w:type="pct"/>
            <w:shd w:val="clear" w:color="auto" w:fill="auto"/>
            <w:noWrap/>
            <w:vAlign w:val="bottom"/>
          </w:tcPr>
          <w:p w14:paraId="10EA6922" w14:textId="5DDCF9A7" w:rsidR="00895ED2" w:rsidRPr="00B275E2" w:rsidRDefault="00895ED2" w:rsidP="007F0B1E">
            <w:pPr>
              <w:pStyle w:val="TableText"/>
              <w:spacing w:before="50" w:after="50"/>
              <w:rPr>
                <w:rFonts w:eastAsia="Times New Roman" w:cs="Calibri"/>
                <w:szCs w:val="18"/>
              </w:rPr>
            </w:pPr>
            <w:r w:rsidRPr="00B275E2">
              <w:rPr>
                <w:rFonts w:eastAsia="Times New Roman" w:cs="Calibri"/>
                <w:szCs w:val="18"/>
              </w:rPr>
              <w:t>kWh</w:t>
            </w:r>
          </w:p>
        </w:tc>
        <w:tc>
          <w:tcPr>
            <w:tcW w:w="747" w:type="pct"/>
            <w:shd w:val="clear" w:color="auto" w:fill="D2DDE1" w:themeFill="background2"/>
            <w:noWrap/>
          </w:tcPr>
          <w:p w14:paraId="0BCFEE82" w14:textId="1A82E88B" w:rsidR="00895ED2" w:rsidRPr="00B275E2" w:rsidRDefault="002E0018" w:rsidP="007F0B1E">
            <w:pPr>
              <w:pStyle w:val="TableText"/>
              <w:spacing w:before="50" w:after="50"/>
              <w:jc w:val="right"/>
              <w:rPr>
                <w:rFonts w:cs="Calibri"/>
                <w:szCs w:val="18"/>
                <w:highlight w:val="yellow"/>
              </w:rPr>
            </w:pPr>
            <w:r>
              <w:rPr>
                <w:rFonts w:cs="Calibri"/>
                <w:szCs w:val="18"/>
              </w:rPr>
              <w:t>0.0100</w:t>
            </w:r>
          </w:p>
        </w:tc>
        <w:tc>
          <w:tcPr>
            <w:tcW w:w="748" w:type="pct"/>
            <w:shd w:val="clear" w:color="auto" w:fill="FFFFFF" w:themeFill="background1"/>
            <w:noWrap/>
          </w:tcPr>
          <w:p w14:paraId="42FDAAB2" w14:textId="23285527" w:rsidR="00895ED2" w:rsidRPr="00B275E2" w:rsidRDefault="00107B05" w:rsidP="007F0B1E">
            <w:pPr>
              <w:pStyle w:val="TableText"/>
              <w:spacing w:before="50" w:after="50"/>
              <w:jc w:val="right"/>
              <w:rPr>
                <w:rFonts w:cs="Calibri"/>
                <w:szCs w:val="18"/>
                <w:highlight w:val="yellow"/>
              </w:rPr>
            </w:pPr>
            <w:r>
              <w:rPr>
                <w:rFonts w:cs="Calibri"/>
                <w:szCs w:val="18"/>
              </w:rPr>
              <w:t>0.0097</w:t>
            </w:r>
          </w:p>
        </w:tc>
        <w:tc>
          <w:tcPr>
            <w:tcW w:w="1114" w:type="pct"/>
            <w:shd w:val="clear" w:color="auto" w:fill="FFFFFF" w:themeFill="background1"/>
            <w:noWrap/>
          </w:tcPr>
          <w:p w14:paraId="188A54B8" w14:textId="57B89062" w:rsidR="00895ED2" w:rsidRPr="00B275E2" w:rsidRDefault="00895ED2" w:rsidP="007F0B1E">
            <w:pPr>
              <w:pStyle w:val="TableText"/>
              <w:spacing w:before="50" w:after="50"/>
              <w:jc w:val="right"/>
              <w:rPr>
                <w:rFonts w:cs="Calibri"/>
                <w:szCs w:val="18"/>
                <w:highlight w:val="yellow"/>
              </w:rPr>
            </w:pPr>
            <w:r w:rsidRPr="00B275E2">
              <w:rPr>
                <w:rFonts w:cs="Calibri"/>
                <w:szCs w:val="18"/>
              </w:rPr>
              <w:t>0.0003</w:t>
            </w:r>
          </w:p>
        </w:tc>
        <w:tc>
          <w:tcPr>
            <w:tcW w:w="1132" w:type="pct"/>
            <w:shd w:val="clear" w:color="auto" w:fill="FFFFFF" w:themeFill="background1"/>
            <w:noWrap/>
          </w:tcPr>
          <w:p w14:paraId="0DE0D975" w14:textId="1B5EE574" w:rsidR="00895ED2" w:rsidRPr="00B275E2" w:rsidRDefault="00895ED2" w:rsidP="007F0B1E">
            <w:pPr>
              <w:pStyle w:val="TableText"/>
              <w:spacing w:before="50" w:after="50"/>
              <w:jc w:val="right"/>
              <w:rPr>
                <w:rFonts w:cs="Calibri"/>
                <w:szCs w:val="18"/>
                <w:highlight w:val="yellow"/>
              </w:rPr>
            </w:pPr>
            <w:r w:rsidRPr="00B275E2">
              <w:rPr>
                <w:rFonts w:cs="Calibri"/>
                <w:szCs w:val="18"/>
              </w:rPr>
              <w:t>0.00001</w:t>
            </w:r>
            <w:r w:rsidR="00035828">
              <w:rPr>
                <w:rFonts w:cs="Calibri"/>
                <w:szCs w:val="18"/>
              </w:rPr>
              <w:t>6</w:t>
            </w:r>
          </w:p>
        </w:tc>
      </w:tr>
      <w:tr w:rsidR="00895ED2" w:rsidRPr="00B275E2" w14:paraId="7E81ACB3" w14:textId="77777777" w:rsidTr="00AB431F">
        <w:trPr>
          <w:trHeight w:val="300"/>
        </w:trPr>
        <w:tc>
          <w:tcPr>
            <w:tcW w:w="902" w:type="pct"/>
            <w:vAlign w:val="center"/>
          </w:tcPr>
          <w:p w14:paraId="543AD55C" w14:textId="38D4922E" w:rsidR="00895ED2" w:rsidRPr="00B275E2" w:rsidRDefault="00895ED2" w:rsidP="007F0B1E">
            <w:pPr>
              <w:pStyle w:val="TableText"/>
              <w:spacing w:before="50" w:after="50"/>
              <w:rPr>
                <w:rFonts w:eastAsia="Times New Roman" w:cs="Calibri"/>
                <w:szCs w:val="18"/>
              </w:rPr>
            </w:pPr>
            <w:r w:rsidRPr="00B275E2">
              <w:rPr>
                <w:rFonts w:eastAsia="Times New Roman" w:cs="Calibri"/>
                <w:szCs w:val="18"/>
              </w:rPr>
              <w:t>2012</w:t>
            </w:r>
          </w:p>
        </w:tc>
        <w:tc>
          <w:tcPr>
            <w:tcW w:w="356" w:type="pct"/>
            <w:shd w:val="clear" w:color="auto" w:fill="auto"/>
            <w:noWrap/>
            <w:vAlign w:val="bottom"/>
          </w:tcPr>
          <w:p w14:paraId="7017FE1D" w14:textId="533AF3AD" w:rsidR="00895ED2" w:rsidRPr="00B275E2" w:rsidRDefault="00895ED2" w:rsidP="007F0B1E">
            <w:pPr>
              <w:pStyle w:val="TableText"/>
              <w:spacing w:before="50" w:after="50"/>
              <w:rPr>
                <w:rFonts w:eastAsia="Times New Roman" w:cs="Calibri"/>
                <w:szCs w:val="18"/>
              </w:rPr>
            </w:pPr>
            <w:r w:rsidRPr="00B275E2">
              <w:rPr>
                <w:rFonts w:eastAsia="Times New Roman" w:cs="Calibri"/>
                <w:szCs w:val="18"/>
              </w:rPr>
              <w:t>kWh</w:t>
            </w:r>
          </w:p>
        </w:tc>
        <w:tc>
          <w:tcPr>
            <w:tcW w:w="747" w:type="pct"/>
            <w:shd w:val="clear" w:color="auto" w:fill="D2DDE1" w:themeFill="background2"/>
            <w:noWrap/>
          </w:tcPr>
          <w:p w14:paraId="637C9A9D" w14:textId="6778A5F0" w:rsidR="00895ED2" w:rsidRPr="00B275E2" w:rsidRDefault="00E36854" w:rsidP="007F0B1E">
            <w:pPr>
              <w:pStyle w:val="TableText"/>
              <w:spacing w:before="50" w:after="50"/>
              <w:jc w:val="right"/>
              <w:rPr>
                <w:rFonts w:cs="Calibri"/>
                <w:szCs w:val="18"/>
                <w:highlight w:val="yellow"/>
              </w:rPr>
            </w:pPr>
            <w:r>
              <w:rPr>
                <w:rFonts w:cs="Calibri"/>
                <w:szCs w:val="18"/>
              </w:rPr>
              <w:t>0.0152</w:t>
            </w:r>
          </w:p>
        </w:tc>
        <w:tc>
          <w:tcPr>
            <w:tcW w:w="748" w:type="pct"/>
            <w:shd w:val="clear" w:color="auto" w:fill="FFFFFF" w:themeFill="background1"/>
            <w:noWrap/>
          </w:tcPr>
          <w:p w14:paraId="3E447172" w14:textId="21ADC9ED" w:rsidR="00895ED2" w:rsidRPr="00B275E2" w:rsidRDefault="00107B05" w:rsidP="007F0B1E">
            <w:pPr>
              <w:pStyle w:val="TableText"/>
              <w:spacing w:before="50" w:after="50"/>
              <w:jc w:val="right"/>
              <w:rPr>
                <w:rFonts w:cs="Calibri"/>
                <w:szCs w:val="18"/>
                <w:highlight w:val="yellow"/>
              </w:rPr>
            </w:pPr>
            <w:r>
              <w:rPr>
                <w:rFonts w:cs="Calibri"/>
                <w:szCs w:val="18"/>
              </w:rPr>
              <w:t>0.0149</w:t>
            </w:r>
          </w:p>
        </w:tc>
        <w:tc>
          <w:tcPr>
            <w:tcW w:w="1114" w:type="pct"/>
            <w:shd w:val="clear" w:color="auto" w:fill="FFFFFF" w:themeFill="background1"/>
            <w:noWrap/>
          </w:tcPr>
          <w:p w14:paraId="62C0F848" w14:textId="5047EF89" w:rsidR="00895ED2" w:rsidRPr="00B275E2" w:rsidRDefault="00895ED2" w:rsidP="007F0B1E">
            <w:pPr>
              <w:pStyle w:val="TableText"/>
              <w:spacing w:before="50" w:after="50"/>
              <w:jc w:val="right"/>
              <w:rPr>
                <w:rFonts w:cs="Calibri"/>
                <w:szCs w:val="18"/>
                <w:highlight w:val="yellow"/>
              </w:rPr>
            </w:pPr>
            <w:r w:rsidRPr="00B275E2">
              <w:rPr>
                <w:rFonts w:cs="Calibri"/>
                <w:szCs w:val="18"/>
              </w:rPr>
              <w:t>0.000</w:t>
            </w:r>
            <w:r w:rsidR="000166E1">
              <w:rPr>
                <w:rFonts w:cs="Calibri"/>
                <w:szCs w:val="18"/>
              </w:rPr>
              <w:t>3</w:t>
            </w:r>
          </w:p>
        </w:tc>
        <w:tc>
          <w:tcPr>
            <w:tcW w:w="1132" w:type="pct"/>
            <w:shd w:val="clear" w:color="auto" w:fill="FFFFFF" w:themeFill="background1"/>
            <w:noWrap/>
          </w:tcPr>
          <w:p w14:paraId="2001C224" w14:textId="4757CAA4" w:rsidR="00895ED2" w:rsidRPr="00B275E2" w:rsidRDefault="00895ED2" w:rsidP="007F0B1E">
            <w:pPr>
              <w:pStyle w:val="TableText"/>
              <w:spacing w:before="50" w:after="50"/>
              <w:jc w:val="right"/>
              <w:rPr>
                <w:rFonts w:cs="Calibri"/>
                <w:szCs w:val="18"/>
                <w:highlight w:val="yellow"/>
              </w:rPr>
            </w:pPr>
            <w:r w:rsidRPr="00B275E2">
              <w:rPr>
                <w:rFonts w:cs="Calibri"/>
                <w:szCs w:val="18"/>
              </w:rPr>
              <w:t>0.0000</w:t>
            </w:r>
            <w:r w:rsidR="00035828">
              <w:rPr>
                <w:rFonts w:cs="Calibri"/>
                <w:szCs w:val="18"/>
              </w:rPr>
              <w:t>30</w:t>
            </w:r>
          </w:p>
        </w:tc>
      </w:tr>
      <w:tr w:rsidR="00895ED2" w:rsidRPr="00B275E2" w14:paraId="575B59EC" w14:textId="77777777" w:rsidTr="00AB431F">
        <w:trPr>
          <w:trHeight w:val="300"/>
        </w:trPr>
        <w:tc>
          <w:tcPr>
            <w:tcW w:w="902" w:type="pct"/>
            <w:vAlign w:val="center"/>
          </w:tcPr>
          <w:p w14:paraId="46D67004" w14:textId="2B2E5F0B" w:rsidR="00895ED2" w:rsidRPr="00B275E2" w:rsidRDefault="00895ED2" w:rsidP="007F0B1E">
            <w:pPr>
              <w:pStyle w:val="TableText"/>
              <w:spacing w:before="50" w:after="50"/>
              <w:rPr>
                <w:rFonts w:eastAsia="Times New Roman" w:cs="Calibri"/>
                <w:szCs w:val="18"/>
              </w:rPr>
            </w:pPr>
            <w:r w:rsidRPr="00B275E2">
              <w:rPr>
                <w:rFonts w:eastAsia="Times New Roman" w:cs="Calibri"/>
                <w:szCs w:val="18"/>
              </w:rPr>
              <w:t>2011</w:t>
            </w:r>
          </w:p>
        </w:tc>
        <w:tc>
          <w:tcPr>
            <w:tcW w:w="356" w:type="pct"/>
            <w:shd w:val="clear" w:color="auto" w:fill="auto"/>
            <w:noWrap/>
            <w:vAlign w:val="bottom"/>
          </w:tcPr>
          <w:p w14:paraId="2B94179B" w14:textId="03D67C08" w:rsidR="00895ED2" w:rsidRPr="00B275E2" w:rsidRDefault="00895ED2" w:rsidP="007F0B1E">
            <w:pPr>
              <w:pStyle w:val="TableText"/>
              <w:spacing w:before="50" w:after="50"/>
              <w:rPr>
                <w:rFonts w:eastAsia="Times New Roman" w:cs="Calibri"/>
                <w:szCs w:val="18"/>
              </w:rPr>
            </w:pPr>
            <w:r w:rsidRPr="00B275E2">
              <w:rPr>
                <w:rFonts w:eastAsia="Times New Roman" w:cs="Calibri"/>
                <w:szCs w:val="18"/>
              </w:rPr>
              <w:t>kWh</w:t>
            </w:r>
          </w:p>
        </w:tc>
        <w:tc>
          <w:tcPr>
            <w:tcW w:w="747" w:type="pct"/>
            <w:shd w:val="clear" w:color="auto" w:fill="D2DDE1" w:themeFill="background2"/>
            <w:noWrap/>
          </w:tcPr>
          <w:p w14:paraId="6B5A5A17" w14:textId="42663E81" w:rsidR="00895ED2" w:rsidRPr="00B275E2" w:rsidRDefault="00E36854" w:rsidP="007F0B1E">
            <w:pPr>
              <w:pStyle w:val="TableText"/>
              <w:spacing w:before="50" w:after="50"/>
              <w:jc w:val="right"/>
              <w:rPr>
                <w:rFonts w:cs="Calibri"/>
                <w:szCs w:val="18"/>
                <w:highlight w:val="yellow"/>
              </w:rPr>
            </w:pPr>
            <w:r>
              <w:rPr>
                <w:rFonts w:cs="Calibri"/>
                <w:szCs w:val="18"/>
              </w:rPr>
              <w:t>0.0126</w:t>
            </w:r>
          </w:p>
        </w:tc>
        <w:tc>
          <w:tcPr>
            <w:tcW w:w="748" w:type="pct"/>
            <w:shd w:val="clear" w:color="auto" w:fill="FFFFFF" w:themeFill="background1"/>
            <w:noWrap/>
          </w:tcPr>
          <w:p w14:paraId="043F1AD2" w14:textId="7C2B3C1B" w:rsidR="00895ED2" w:rsidRPr="00B275E2" w:rsidRDefault="00107B05" w:rsidP="007F0B1E">
            <w:pPr>
              <w:pStyle w:val="TableText"/>
              <w:spacing w:before="50" w:after="50"/>
              <w:jc w:val="right"/>
              <w:rPr>
                <w:rFonts w:cs="Calibri"/>
                <w:szCs w:val="18"/>
                <w:highlight w:val="yellow"/>
              </w:rPr>
            </w:pPr>
            <w:r>
              <w:rPr>
                <w:rFonts w:cs="Calibri"/>
                <w:szCs w:val="18"/>
              </w:rPr>
              <w:t>0.</w:t>
            </w:r>
            <w:r w:rsidR="009B421B">
              <w:rPr>
                <w:rFonts w:cs="Calibri"/>
                <w:szCs w:val="18"/>
              </w:rPr>
              <w:t>0123</w:t>
            </w:r>
          </w:p>
        </w:tc>
        <w:tc>
          <w:tcPr>
            <w:tcW w:w="1114" w:type="pct"/>
            <w:shd w:val="clear" w:color="auto" w:fill="FFFFFF" w:themeFill="background1"/>
            <w:noWrap/>
          </w:tcPr>
          <w:p w14:paraId="03F4A483" w14:textId="3EC06179" w:rsidR="00895ED2" w:rsidRPr="00B275E2" w:rsidRDefault="00895ED2" w:rsidP="007F0B1E">
            <w:pPr>
              <w:pStyle w:val="TableText"/>
              <w:spacing w:before="50" w:after="50"/>
              <w:jc w:val="right"/>
              <w:rPr>
                <w:rFonts w:cs="Calibri"/>
                <w:szCs w:val="18"/>
                <w:highlight w:val="yellow"/>
              </w:rPr>
            </w:pPr>
            <w:r w:rsidRPr="00B275E2">
              <w:rPr>
                <w:rFonts w:cs="Calibri"/>
                <w:szCs w:val="18"/>
              </w:rPr>
              <w:t>0.0003</w:t>
            </w:r>
          </w:p>
        </w:tc>
        <w:tc>
          <w:tcPr>
            <w:tcW w:w="1132" w:type="pct"/>
            <w:shd w:val="clear" w:color="auto" w:fill="FFFFFF" w:themeFill="background1"/>
            <w:noWrap/>
          </w:tcPr>
          <w:p w14:paraId="5B57EE3C" w14:textId="2C308CCE" w:rsidR="00895ED2" w:rsidRPr="00B275E2" w:rsidRDefault="00895ED2" w:rsidP="007F0B1E">
            <w:pPr>
              <w:pStyle w:val="TableText"/>
              <w:spacing w:before="50" w:after="50"/>
              <w:jc w:val="right"/>
              <w:rPr>
                <w:rFonts w:cs="Calibri"/>
                <w:szCs w:val="18"/>
                <w:highlight w:val="yellow"/>
              </w:rPr>
            </w:pPr>
            <w:r w:rsidRPr="00B275E2">
              <w:rPr>
                <w:rFonts w:cs="Calibri"/>
                <w:szCs w:val="18"/>
              </w:rPr>
              <w:t>0.00001</w:t>
            </w:r>
            <w:r w:rsidR="00035828">
              <w:rPr>
                <w:rFonts w:cs="Calibri"/>
                <w:szCs w:val="18"/>
              </w:rPr>
              <w:t>9</w:t>
            </w:r>
          </w:p>
        </w:tc>
      </w:tr>
      <w:tr w:rsidR="00895ED2" w:rsidRPr="00B275E2" w14:paraId="43BF50E8" w14:textId="77777777" w:rsidTr="00AB431F">
        <w:trPr>
          <w:trHeight w:val="300"/>
        </w:trPr>
        <w:tc>
          <w:tcPr>
            <w:tcW w:w="902" w:type="pct"/>
            <w:vAlign w:val="center"/>
          </w:tcPr>
          <w:p w14:paraId="3B55F020" w14:textId="66A835CC" w:rsidR="00895ED2" w:rsidRPr="00B275E2" w:rsidRDefault="00895ED2" w:rsidP="007F0B1E">
            <w:pPr>
              <w:pStyle w:val="TableText"/>
              <w:spacing w:before="50" w:after="50"/>
              <w:rPr>
                <w:rFonts w:eastAsia="Times New Roman" w:cs="Calibri"/>
                <w:szCs w:val="18"/>
              </w:rPr>
            </w:pPr>
            <w:r w:rsidRPr="00B275E2">
              <w:rPr>
                <w:rFonts w:eastAsia="Times New Roman" w:cs="Calibri"/>
                <w:szCs w:val="18"/>
              </w:rPr>
              <w:t>2010</w:t>
            </w:r>
          </w:p>
        </w:tc>
        <w:tc>
          <w:tcPr>
            <w:tcW w:w="356" w:type="pct"/>
            <w:shd w:val="clear" w:color="auto" w:fill="auto"/>
            <w:noWrap/>
            <w:vAlign w:val="bottom"/>
          </w:tcPr>
          <w:p w14:paraId="6AE9DA55" w14:textId="54DC9A7B" w:rsidR="00895ED2" w:rsidRPr="00B275E2" w:rsidRDefault="00895ED2" w:rsidP="007F0B1E">
            <w:pPr>
              <w:pStyle w:val="TableText"/>
              <w:spacing w:before="50" w:after="50"/>
              <w:rPr>
                <w:rFonts w:eastAsia="Times New Roman" w:cs="Calibri"/>
                <w:szCs w:val="18"/>
              </w:rPr>
            </w:pPr>
            <w:r w:rsidRPr="00B275E2">
              <w:rPr>
                <w:rFonts w:eastAsia="Times New Roman" w:cs="Calibri"/>
                <w:szCs w:val="18"/>
              </w:rPr>
              <w:t>kWh</w:t>
            </w:r>
          </w:p>
        </w:tc>
        <w:tc>
          <w:tcPr>
            <w:tcW w:w="747" w:type="pct"/>
            <w:shd w:val="clear" w:color="auto" w:fill="D2DDE1" w:themeFill="background2"/>
            <w:noWrap/>
          </w:tcPr>
          <w:p w14:paraId="2869DF7F" w14:textId="2B1FD5BE" w:rsidR="00895ED2" w:rsidRPr="00B275E2" w:rsidRDefault="00E36854" w:rsidP="007F0B1E">
            <w:pPr>
              <w:pStyle w:val="TableText"/>
              <w:spacing w:before="50" w:after="50"/>
              <w:jc w:val="right"/>
              <w:rPr>
                <w:rFonts w:cs="Calibri"/>
                <w:szCs w:val="18"/>
                <w:highlight w:val="yellow"/>
              </w:rPr>
            </w:pPr>
            <w:r>
              <w:rPr>
                <w:rFonts w:cs="Calibri"/>
                <w:szCs w:val="18"/>
              </w:rPr>
              <w:t>0.0148</w:t>
            </w:r>
          </w:p>
        </w:tc>
        <w:tc>
          <w:tcPr>
            <w:tcW w:w="748" w:type="pct"/>
            <w:shd w:val="clear" w:color="auto" w:fill="FFFFFF" w:themeFill="background1"/>
            <w:noWrap/>
          </w:tcPr>
          <w:p w14:paraId="00AFE548" w14:textId="6D73525A" w:rsidR="00895ED2" w:rsidRPr="00B275E2" w:rsidRDefault="009B421B" w:rsidP="007F0B1E">
            <w:pPr>
              <w:pStyle w:val="TableText"/>
              <w:spacing w:before="50" w:after="50"/>
              <w:jc w:val="right"/>
              <w:rPr>
                <w:rFonts w:cs="Calibri"/>
                <w:szCs w:val="18"/>
                <w:highlight w:val="yellow"/>
              </w:rPr>
            </w:pPr>
            <w:r>
              <w:rPr>
                <w:rFonts w:cs="Calibri"/>
                <w:szCs w:val="18"/>
              </w:rPr>
              <w:t>0.0144</w:t>
            </w:r>
          </w:p>
        </w:tc>
        <w:tc>
          <w:tcPr>
            <w:tcW w:w="1114" w:type="pct"/>
            <w:shd w:val="clear" w:color="auto" w:fill="FFFFFF" w:themeFill="background1"/>
            <w:noWrap/>
          </w:tcPr>
          <w:p w14:paraId="76FB9BF9" w14:textId="4748D609" w:rsidR="00895ED2" w:rsidRPr="00B275E2" w:rsidRDefault="00895ED2" w:rsidP="007F0B1E">
            <w:pPr>
              <w:pStyle w:val="TableText"/>
              <w:spacing w:before="50" w:after="50"/>
              <w:jc w:val="right"/>
              <w:rPr>
                <w:rFonts w:cs="Calibri"/>
                <w:szCs w:val="18"/>
                <w:highlight w:val="yellow"/>
              </w:rPr>
            </w:pPr>
            <w:r w:rsidRPr="00B275E2">
              <w:rPr>
                <w:rFonts w:cs="Calibri"/>
                <w:szCs w:val="18"/>
              </w:rPr>
              <w:t>0.000</w:t>
            </w:r>
            <w:r w:rsidR="000166E1">
              <w:rPr>
                <w:rFonts w:cs="Calibri"/>
                <w:szCs w:val="18"/>
              </w:rPr>
              <w:t>3</w:t>
            </w:r>
          </w:p>
        </w:tc>
        <w:tc>
          <w:tcPr>
            <w:tcW w:w="1132" w:type="pct"/>
            <w:shd w:val="clear" w:color="auto" w:fill="FFFFFF" w:themeFill="background1"/>
            <w:noWrap/>
          </w:tcPr>
          <w:p w14:paraId="2D9B8EBA" w14:textId="0A5EEB2F" w:rsidR="00895ED2" w:rsidRPr="00B275E2" w:rsidRDefault="00895ED2" w:rsidP="007F0B1E">
            <w:pPr>
              <w:pStyle w:val="TableText"/>
              <w:spacing w:before="50" w:after="50"/>
              <w:jc w:val="right"/>
              <w:rPr>
                <w:rFonts w:cs="Calibri"/>
                <w:szCs w:val="18"/>
                <w:highlight w:val="yellow"/>
              </w:rPr>
            </w:pPr>
            <w:r w:rsidRPr="00B275E2">
              <w:rPr>
                <w:rFonts w:cs="Calibri"/>
                <w:szCs w:val="18"/>
              </w:rPr>
              <w:t>0.00001</w:t>
            </w:r>
            <w:r w:rsidR="00035828">
              <w:rPr>
                <w:rFonts w:cs="Calibri"/>
                <w:szCs w:val="18"/>
              </w:rPr>
              <w:t>9</w:t>
            </w:r>
          </w:p>
        </w:tc>
      </w:tr>
    </w:tbl>
    <w:p w14:paraId="13100A76" w14:textId="16DE3B2D" w:rsidR="00080C18" w:rsidRPr="00B275E2" w:rsidRDefault="00080C18" w:rsidP="007F0B1E">
      <w:pPr>
        <w:pStyle w:val="Note"/>
        <w:spacing w:after="0"/>
      </w:pPr>
      <w:r w:rsidRPr="00B275E2">
        <w:t>Note</w:t>
      </w:r>
      <w:r w:rsidR="003438E6" w:rsidRPr="00B275E2">
        <w:t>:</w:t>
      </w:r>
      <w:r w:rsidRPr="00B275E2">
        <w:t xml:space="preserve"> </w:t>
      </w:r>
      <w:r w:rsidR="003438E6" w:rsidRPr="00B275E2">
        <w:t>T</w:t>
      </w:r>
      <w:r w:rsidRPr="00B275E2">
        <w:t xml:space="preserve">hese numbers are rounded to </w:t>
      </w:r>
      <w:r w:rsidR="00571113">
        <w:t>one or more</w:t>
      </w:r>
      <w:r w:rsidR="00571113" w:rsidRPr="00B275E2">
        <w:t xml:space="preserve"> </w:t>
      </w:r>
      <w:r w:rsidRPr="00B275E2">
        <w:t xml:space="preserve">significant figures. </w:t>
      </w:r>
    </w:p>
    <w:p w14:paraId="0A6D8992" w14:textId="44C109E7" w:rsidR="00B276B8" w:rsidRPr="00B275E2" w:rsidRDefault="00301928" w:rsidP="002234D0">
      <w:pPr>
        <w:pStyle w:val="Heading3"/>
      </w:pPr>
      <w:bookmarkStart w:id="270" w:name="_Toc532904888"/>
      <w:r w:rsidRPr="00B275E2">
        <w:t xml:space="preserve">GHG </w:t>
      </w:r>
      <w:r w:rsidR="00B276B8" w:rsidRPr="00B275E2">
        <w:t>inventory development</w:t>
      </w:r>
      <w:bookmarkEnd w:id="270"/>
    </w:p>
    <w:p w14:paraId="71C9809A" w14:textId="153DA5C9" w:rsidR="00460235" w:rsidRPr="00B275E2" w:rsidRDefault="00460235" w:rsidP="007F0B1E">
      <w:pPr>
        <w:pStyle w:val="BodyText"/>
      </w:pPr>
      <w:r w:rsidRPr="00B275E2">
        <w:t xml:space="preserve">To calculate the emissions from transmission and distribution losses for purchased electricity, collect data on the kWh of electricity used in </w:t>
      </w:r>
      <w:r w:rsidR="0049234A" w:rsidRPr="00B275E2">
        <w:t xml:space="preserve">the </w:t>
      </w:r>
      <w:r w:rsidRPr="00B275E2">
        <w:t>reporting period and multiply this by the emission factor</w:t>
      </w:r>
      <w:r w:rsidR="00B276B8" w:rsidRPr="00B275E2">
        <w:t xml:space="preserve">. </w:t>
      </w:r>
      <w:r w:rsidR="00080C18" w:rsidRPr="00B275E2">
        <w:t xml:space="preserve">Applying the equation </w:t>
      </w:r>
      <w:r w:rsidR="00A71EB9" w:rsidRPr="00B275E2">
        <w:t>E= Q x F (</w:t>
      </w:r>
      <w:hyperlink w:anchor="_How_to_quantify" w:history="1">
        <w:r w:rsidR="00661B20" w:rsidRPr="00B275E2">
          <w:rPr>
            <w:rStyle w:val="Hyperlink"/>
          </w:rPr>
          <w:t>section 2</w:t>
        </w:r>
      </w:hyperlink>
      <w:r w:rsidR="00A71EB9" w:rsidRPr="00B275E2">
        <w:rPr>
          <w:rStyle w:val="Hyperlink"/>
          <w:color w:val="auto"/>
        </w:rPr>
        <w:t>)</w:t>
      </w:r>
      <w:r w:rsidR="00080C18" w:rsidRPr="00B275E2">
        <w:t>, this means</w:t>
      </w:r>
      <w:r w:rsidRPr="00B275E2">
        <w:t>:</w:t>
      </w:r>
    </w:p>
    <w:p w14:paraId="3CE2FF67" w14:textId="64D78024" w:rsidR="00A71EB9" w:rsidRPr="00B275E2" w:rsidRDefault="00A71EB9" w:rsidP="0091185E">
      <w:pPr>
        <w:pStyle w:val="BodyText"/>
        <w:tabs>
          <w:tab w:val="left" w:pos="680"/>
          <w:tab w:val="left" w:pos="1134"/>
        </w:tabs>
        <w:contextualSpacing/>
      </w:pPr>
      <w:r w:rsidRPr="00B275E2">
        <w:t>E</w:t>
      </w:r>
      <w:r w:rsidRPr="00B275E2">
        <w:tab/>
        <w:t>=</w:t>
      </w:r>
      <w:r w:rsidRPr="00B275E2">
        <w:tab/>
        <w:t>emissions from the emissions source in kg CO</w:t>
      </w:r>
      <w:r w:rsidRPr="00B275E2">
        <w:rPr>
          <w:vertAlign w:val="subscript"/>
        </w:rPr>
        <w:t>2</w:t>
      </w:r>
      <w:r w:rsidRPr="00B275E2">
        <w:t>-e per year</w:t>
      </w:r>
    </w:p>
    <w:p w14:paraId="5CE029DA" w14:textId="2BEC6EF9" w:rsidR="00060B14" w:rsidRPr="00B275E2" w:rsidRDefault="00EB24EB" w:rsidP="0091185E">
      <w:pPr>
        <w:pStyle w:val="BodyText"/>
        <w:tabs>
          <w:tab w:val="left" w:pos="680"/>
          <w:tab w:val="left" w:pos="1134"/>
        </w:tabs>
        <w:contextualSpacing/>
      </w:pPr>
      <w:r w:rsidRPr="00B275E2">
        <w:t>Q</w:t>
      </w:r>
      <w:r w:rsidRPr="00B275E2">
        <w:tab/>
        <w:t>=</w:t>
      </w:r>
      <w:r w:rsidRPr="00B275E2">
        <w:tab/>
      </w:r>
      <w:r w:rsidR="00060B14" w:rsidRPr="00B275E2">
        <w:t>quantity of electricity used (kWh)</w:t>
      </w:r>
    </w:p>
    <w:p w14:paraId="27435625" w14:textId="2B94B4E3" w:rsidR="00B276B8" w:rsidRPr="00B275E2" w:rsidRDefault="00EB24EB" w:rsidP="0091185E">
      <w:pPr>
        <w:pStyle w:val="BodyText"/>
        <w:tabs>
          <w:tab w:val="left" w:pos="680"/>
          <w:tab w:val="left" w:pos="1134"/>
        </w:tabs>
        <w:spacing w:after="240"/>
        <w:contextualSpacing/>
      </w:pPr>
      <w:r w:rsidRPr="00B275E2">
        <w:t>F</w:t>
      </w:r>
      <w:r w:rsidRPr="00B275E2">
        <w:tab/>
        <w:t>=</w:t>
      </w:r>
      <w:r w:rsidRPr="00B275E2">
        <w:tab/>
      </w:r>
      <w:r w:rsidR="00060B14" w:rsidRPr="00B275E2">
        <w:t xml:space="preserve">emission factors from </w:t>
      </w:r>
      <w:hyperlink w:anchor="Table12" w:history="1">
        <w:r w:rsidR="00E70C77" w:rsidRPr="00B275E2">
          <w:rPr>
            <w:rStyle w:val="Hyperlink"/>
          </w:rPr>
          <w:t>table 1</w:t>
        </w:r>
        <w:r w:rsidR="002348F6" w:rsidRPr="00B275E2">
          <w:rPr>
            <w:rStyle w:val="Hyperlink"/>
          </w:rPr>
          <w:t>2</w:t>
        </w:r>
      </w:hyperlink>
    </w:p>
    <w:tbl>
      <w:tblPr>
        <w:tblW w:w="8500"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0"/>
      </w:tblGrid>
      <w:tr w:rsidR="00460235" w:rsidRPr="00B275E2" w14:paraId="73ACAF1A" w14:textId="77777777" w:rsidTr="0091185E">
        <w:tc>
          <w:tcPr>
            <w:tcW w:w="8500" w:type="dxa"/>
            <w:tcBorders>
              <w:top w:val="single" w:sz="4" w:space="0" w:color="32809C" w:themeColor="accent2"/>
              <w:left w:val="single" w:sz="4" w:space="0" w:color="32809C" w:themeColor="accent2"/>
              <w:bottom w:val="nil"/>
              <w:right w:val="single" w:sz="4" w:space="0" w:color="32809C" w:themeColor="accent2"/>
            </w:tcBorders>
            <w:shd w:val="clear" w:color="auto" w:fill="0F7B7D"/>
            <w:vAlign w:val="center"/>
          </w:tcPr>
          <w:p w14:paraId="0423FCFA" w14:textId="534ECE84" w:rsidR="00460235" w:rsidRPr="00B275E2" w:rsidDel="00D5390D" w:rsidRDefault="0049234A" w:rsidP="007F0B1E">
            <w:pPr>
              <w:pStyle w:val="Casestudyheading"/>
              <w:ind w:left="0"/>
            </w:pPr>
            <w:bookmarkStart w:id="271" w:name="_Hlk532638543"/>
            <w:r w:rsidRPr="00B275E2">
              <w:t xml:space="preserve">TRAnsmission and distribution losses: </w:t>
            </w:r>
            <w:r w:rsidR="00460235" w:rsidRPr="00B275E2">
              <w:t>Example Calculation</w:t>
            </w:r>
          </w:p>
        </w:tc>
      </w:tr>
      <w:tr w:rsidR="00460235" w:rsidRPr="00B275E2" w14:paraId="1B03D75D" w14:textId="77777777" w:rsidTr="0091185E">
        <w:trPr>
          <w:trHeight w:val="566"/>
        </w:trPr>
        <w:tc>
          <w:tcPr>
            <w:tcW w:w="8500" w:type="dxa"/>
            <w:tcBorders>
              <w:top w:val="nil"/>
              <w:left w:val="single" w:sz="4" w:space="0" w:color="D5EBE8" w:themeColor="accent3"/>
              <w:bottom w:val="single" w:sz="4" w:space="0" w:color="D5EBE8" w:themeColor="accent3"/>
              <w:right w:val="single" w:sz="4" w:space="0" w:color="D5EBE8" w:themeColor="accent3"/>
            </w:tcBorders>
            <w:shd w:val="clear" w:color="auto" w:fill="D5EBE8" w:themeFill="accent3"/>
          </w:tcPr>
          <w:p w14:paraId="42C65FB2" w14:textId="2DA49554" w:rsidR="00460235" w:rsidRPr="00B275E2" w:rsidRDefault="00460235" w:rsidP="0091185E">
            <w:pPr>
              <w:pStyle w:val="Boxtext"/>
              <w:spacing w:after="80"/>
            </w:pPr>
            <w:r w:rsidRPr="00B275E2">
              <w:t xml:space="preserve">An organisation uses 800,000 kWh of electricity in the </w:t>
            </w:r>
            <w:r w:rsidR="267488AE" w:rsidRPr="00B275E2">
              <w:t xml:space="preserve">2020 </w:t>
            </w:r>
            <w:r w:rsidRPr="00B275E2">
              <w:t xml:space="preserve">reporting period. Its indirect (Scope 3) emissions from transmission and distribution losses for purchased electricity are: </w:t>
            </w:r>
          </w:p>
          <w:p w14:paraId="0B56FCA1" w14:textId="3B686626" w:rsidR="00460235" w:rsidRPr="00B275E2" w:rsidRDefault="00460235" w:rsidP="0091185E">
            <w:pPr>
              <w:pStyle w:val="Boxtext"/>
              <w:tabs>
                <w:tab w:val="left" w:pos="2847"/>
                <w:tab w:val="left" w:pos="4973"/>
              </w:tabs>
              <w:spacing w:before="20" w:after="20"/>
              <w:ind w:left="850"/>
            </w:pPr>
            <w:r w:rsidRPr="00B275E2">
              <w:t>CO</w:t>
            </w:r>
            <w:r w:rsidRPr="00B275E2">
              <w:rPr>
                <w:vertAlign w:val="subscript"/>
              </w:rPr>
              <w:t>2</w:t>
            </w:r>
            <w:r w:rsidRPr="00B275E2">
              <w:t xml:space="preserve"> emissions </w:t>
            </w:r>
            <w:r w:rsidRPr="00B275E2">
              <w:tab/>
              <w:t>= 800,000 × 0.0</w:t>
            </w:r>
            <w:r w:rsidR="000F290A">
              <w:t>1</w:t>
            </w:r>
            <w:r w:rsidR="00F442EB">
              <w:t>07</w:t>
            </w:r>
            <w:r w:rsidRPr="00B275E2">
              <w:t xml:space="preserve"> </w:t>
            </w:r>
            <w:r w:rsidRPr="00B275E2">
              <w:tab/>
              <w:t>=</w:t>
            </w:r>
            <w:r w:rsidR="00724C42" w:rsidRPr="00B275E2">
              <w:t xml:space="preserve"> </w:t>
            </w:r>
            <w:r w:rsidR="0091562C">
              <w:t>8,</w:t>
            </w:r>
            <w:r w:rsidR="0024012B">
              <w:t>560</w:t>
            </w:r>
            <w:r w:rsidR="48692D62" w:rsidRPr="00B275E2">
              <w:t xml:space="preserve"> </w:t>
            </w:r>
            <w:r w:rsidRPr="00B275E2">
              <w:t>kg CO</w:t>
            </w:r>
            <w:r w:rsidRPr="00B275E2">
              <w:rPr>
                <w:vertAlign w:val="subscript"/>
              </w:rPr>
              <w:t>2</w:t>
            </w:r>
          </w:p>
          <w:p w14:paraId="23266C41" w14:textId="023A9298" w:rsidR="00460235" w:rsidRPr="00B275E2" w:rsidRDefault="00460235" w:rsidP="0091185E">
            <w:pPr>
              <w:pStyle w:val="Boxtext"/>
              <w:tabs>
                <w:tab w:val="left" w:pos="2847"/>
                <w:tab w:val="left" w:pos="4973"/>
              </w:tabs>
              <w:spacing w:before="20" w:after="20"/>
              <w:ind w:left="850"/>
            </w:pPr>
            <w:r w:rsidRPr="00B275E2">
              <w:t>CH</w:t>
            </w:r>
            <w:r w:rsidRPr="00B275E2">
              <w:rPr>
                <w:vertAlign w:val="subscript"/>
              </w:rPr>
              <w:t>4</w:t>
            </w:r>
            <w:r w:rsidRPr="00B275E2">
              <w:t xml:space="preserve"> emissions </w:t>
            </w:r>
            <w:r w:rsidRPr="00B275E2">
              <w:tab/>
              <w:t>= 800,000 × 0.000</w:t>
            </w:r>
            <w:r w:rsidR="0024012B">
              <w:t>3</w:t>
            </w:r>
            <w:r w:rsidRPr="00B275E2">
              <w:tab/>
              <w:t>=</w:t>
            </w:r>
            <w:r w:rsidR="00724C42" w:rsidRPr="00B275E2">
              <w:t xml:space="preserve"> </w:t>
            </w:r>
            <w:r w:rsidR="00130980">
              <w:t>240</w:t>
            </w:r>
            <w:r w:rsidR="08553624" w:rsidRPr="00B275E2">
              <w:t xml:space="preserve"> </w:t>
            </w:r>
            <w:r w:rsidRPr="00B275E2">
              <w:t>kg CO</w:t>
            </w:r>
            <w:r w:rsidRPr="00B275E2">
              <w:rPr>
                <w:vertAlign w:val="subscript"/>
              </w:rPr>
              <w:t>2</w:t>
            </w:r>
            <w:r w:rsidRPr="00B275E2">
              <w:t xml:space="preserve">-e </w:t>
            </w:r>
          </w:p>
          <w:p w14:paraId="1413C332" w14:textId="40A98731" w:rsidR="00460235" w:rsidRPr="00B275E2" w:rsidRDefault="00460235" w:rsidP="0091185E">
            <w:pPr>
              <w:pStyle w:val="Boxtext"/>
              <w:tabs>
                <w:tab w:val="left" w:pos="2847"/>
                <w:tab w:val="left" w:pos="4973"/>
              </w:tabs>
              <w:spacing w:before="20" w:after="20"/>
              <w:ind w:left="850"/>
            </w:pPr>
            <w:r w:rsidRPr="00B275E2">
              <w:lastRenderedPageBreak/>
              <w:t>N</w:t>
            </w:r>
            <w:r w:rsidRPr="00B275E2">
              <w:rPr>
                <w:vertAlign w:val="subscript"/>
              </w:rPr>
              <w:t>2</w:t>
            </w:r>
            <w:r w:rsidRPr="00B275E2">
              <w:t>O emissions</w:t>
            </w:r>
            <w:r w:rsidRPr="00B275E2">
              <w:tab/>
              <w:t>= 800,000 × 0.0000</w:t>
            </w:r>
            <w:r w:rsidR="00130980">
              <w:t>21</w:t>
            </w:r>
            <w:r w:rsidRPr="00B275E2">
              <w:tab/>
              <w:t>=</w:t>
            </w:r>
            <w:r w:rsidR="00724C42" w:rsidRPr="00B275E2">
              <w:t xml:space="preserve"> </w:t>
            </w:r>
            <w:r w:rsidR="00C32BD9">
              <w:t>16</w:t>
            </w:r>
            <w:r w:rsidR="00724C42" w:rsidRPr="00B275E2">
              <w:t>.8</w:t>
            </w:r>
            <w:r w:rsidR="4163BB63" w:rsidRPr="00B275E2">
              <w:t xml:space="preserve"> </w:t>
            </w:r>
            <w:r w:rsidR="58EF20F8" w:rsidRPr="00B275E2">
              <w:t>kg</w:t>
            </w:r>
            <w:r w:rsidRPr="00B275E2">
              <w:t xml:space="preserve"> CO</w:t>
            </w:r>
            <w:r w:rsidRPr="00B275E2">
              <w:rPr>
                <w:vertAlign w:val="subscript"/>
              </w:rPr>
              <w:t>2</w:t>
            </w:r>
            <w:r w:rsidRPr="00B275E2">
              <w:t xml:space="preserve">-e </w:t>
            </w:r>
          </w:p>
          <w:p w14:paraId="5D052127" w14:textId="15148D72" w:rsidR="00460235" w:rsidRPr="00B275E2" w:rsidRDefault="00460235" w:rsidP="0091185E">
            <w:pPr>
              <w:pStyle w:val="Boxtext"/>
              <w:tabs>
                <w:tab w:val="left" w:pos="2847"/>
                <w:tab w:val="left" w:pos="4973"/>
              </w:tabs>
              <w:spacing w:before="20" w:after="20"/>
              <w:ind w:left="850"/>
            </w:pPr>
            <w:r w:rsidRPr="00B275E2">
              <w:t>Total CO</w:t>
            </w:r>
            <w:r w:rsidRPr="00B275E2">
              <w:rPr>
                <w:vertAlign w:val="subscript"/>
              </w:rPr>
              <w:t>2</w:t>
            </w:r>
            <w:r w:rsidRPr="00B275E2">
              <w:t>-e emissions</w:t>
            </w:r>
            <w:r w:rsidRPr="00B275E2">
              <w:tab/>
              <w:t xml:space="preserve">= </w:t>
            </w:r>
            <w:r w:rsidR="007C3D15">
              <w:t xml:space="preserve">8,560 + 240 + </w:t>
            </w:r>
            <w:r w:rsidR="00070B15">
              <w:t>16.8</w:t>
            </w:r>
            <w:r w:rsidRPr="00B275E2">
              <w:t xml:space="preserve"> </w:t>
            </w:r>
            <w:r w:rsidRPr="00B275E2">
              <w:tab/>
              <w:t>=</w:t>
            </w:r>
            <w:r w:rsidR="00724C42" w:rsidRPr="00B275E2">
              <w:t xml:space="preserve"> </w:t>
            </w:r>
            <w:r w:rsidR="00647D15">
              <w:t>8,816.8</w:t>
            </w:r>
            <w:r w:rsidR="769979FA" w:rsidRPr="00B275E2">
              <w:t xml:space="preserve"> </w:t>
            </w:r>
            <w:r w:rsidRPr="00B275E2">
              <w:t>kg CO</w:t>
            </w:r>
            <w:r w:rsidRPr="00B275E2">
              <w:rPr>
                <w:vertAlign w:val="subscript"/>
              </w:rPr>
              <w:t>2</w:t>
            </w:r>
            <w:r w:rsidRPr="00B275E2">
              <w:t xml:space="preserve">-e </w:t>
            </w:r>
          </w:p>
          <w:p w14:paraId="4F521531" w14:textId="1B188C12" w:rsidR="00460235" w:rsidRPr="00B275E2" w:rsidRDefault="00741514" w:rsidP="0091185E">
            <w:pPr>
              <w:pStyle w:val="Boxtext"/>
              <w:spacing w:after="180"/>
            </w:pPr>
            <w:r w:rsidRPr="00B275E2">
              <w:rPr>
                <w:sz w:val="18"/>
              </w:rPr>
              <w:t>N</w:t>
            </w:r>
            <w:r w:rsidR="00460235" w:rsidRPr="00B275E2">
              <w:rPr>
                <w:sz w:val="18"/>
              </w:rPr>
              <w:t>ote</w:t>
            </w:r>
            <w:r w:rsidR="0049234A" w:rsidRPr="00B275E2">
              <w:rPr>
                <w:sz w:val="18"/>
              </w:rPr>
              <w:t>:</w:t>
            </w:r>
            <w:r w:rsidR="00460235" w:rsidRPr="00B275E2">
              <w:rPr>
                <w:sz w:val="18"/>
              </w:rPr>
              <w:t xml:space="preserve"> </w:t>
            </w:r>
            <w:r w:rsidR="0049234A" w:rsidRPr="00B275E2">
              <w:rPr>
                <w:sz w:val="18"/>
              </w:rPr>
              <w:t>N</w:t>
            </w:r>
            <w:r w:rsidR="00460235" w:rsidRPr="00B275E2">
              <w:rPr>
                <w:sz w:val="18"/>
              </w:rPr>
              <w:t>umbers may not add due to rounding</w:t>
            </w:r>
            <w:r w:rsidR="00C450B5" w:rsidRPr="00B275E2">
              <w:rPr>
                <w:sz w:val="18"/>
              </w:rPr>
              <w:t>.</w:t>
            </w:r>
          </w:p>
        </w:tc>
      </w:tr>
    </w:tbl>
    <w:p w14:paraId="1A36D051" w14:textId="05FCE329" w:rsidR="00B13C65" w:rsidRPr="00B275E2" w:rsidRDefault="00B13C65" w:rsidP="00CD5654">
      <w:pPr>
        <w:pStyle w:val="BodyText"/>
        <w:spacing w:after="0"/>
      </w:pPr>
      <w:bookmarkStart w:id="272" w:name="_Toc532904889"/>
      <w:bookmarkEnd w:id="271"/>
      <w:r w:rsidRPr="00B275E2">
        <w:lastRenderedPageBreak/>
        <w:t xml:space="preserve">Alternatively, if your </w:t>
      </w:r>
      <w:r w:rsidR="00B03E7E" w:rsidRPr="00B275E2">
        <w:t xml:space="preserve">electricity provider </w:t>
      </w:r>
      <w:r w:rsidR="00096953" w:rsidRPr="00B275E2">
        <w:t>gives a breakdown of the transmission and distribution losses</w:t>
      </w:r>
      <w:r w:rsidR="002D60D0" w:rsidRPr="00B275E2">
        <w:t xml:space="preserve"> this consumption data can be </w:t>
      </w:r>
      <w:r w:rsidR="00D94621" w:rsidRPr="00B275E2">
        <w:t xml:space="preserve">multiplied </w:t>
      </w:r>
      <w:r w:rsidR="00196755" w:rsidRPr="00B275E2">
        <w:t>by a</w:t>
      </w:r>
      <w:r w:rsidR="00E631BB" w:rsidRPr="00B275E2">
        <w:t xml:space="preserve"> grid-average </w:t>
      </w:r>
      <w:r w:rsidR="00196755" w:rsidRPr="00B275E2">
        <w:t>electricity emission factor from</w:t>
      </w:r>
      <w:r w:rsidR="0029097F" w:rsidRPr="00B275E2">
        <w:t> </w:t>
      </w:r>
      <w:hyperlink w:anchor="table9" w:history="1">
        <w:r w:rsidR="0029097F" w:rsidRPr="00B275E2">
          <w:rPr>
            <w:rStyle w:val="Hyperlink"/>
          </w:rPr>
          <w:t>table 9</w:t>
        </w:r>
      </w:hyperlink>
      <w:r w:rsidR="00196755" w:rsidRPr="00B275E2">
        <w:t>.</w:t>
      </w:r>
    </w:p>
    <w:p w14:paraId="1BEBDE2E" w14:textId="1869BFF0" w:rsidR="00B276B8" w:rsidRPr="00B275E2" w:rsidRDefault="00B276B8" w:rsidP="002234D0">
      <w:pPr>
        <w:pStyle w:val="Heading3"/>
      </w:pPr>
      <w:r w:rsidRPr="00B275E2">
        <w:t>Emission factor derivation methodology</w:t>
      </w:r>
      <w:bookmarkEnd w:id="272"/>
    </w:p>
    <w:p w14:paraId="42B75A96" w14:textId="123C4B03" w:rsidR="00B276B8" w:rsidRPr="00B275E2" w:rsidRDefault="00B276B8" w:rsidP="007F0B1E">
      <w:pPr>
        <w:pStyle w:val="BodyText"/>
      </w:pPr>
      <w:r w:rsidRPr="00B275E2">
        <w:t xml:space="preserve">MBIE provided an emission factor based on </w:t>
      </w:r>
      <w:r w:rsidR="008D6410" w:rsidRPr="00B275E2">
        <w:t xml:space="preserve">carbon dioxide </w:t>
      </w:r>
      <w:r w:rsidRPr="00B275E2">
        <w:t>e</w:t>
      </w:r>
      <w:r w:rsidR="008D6410" w:rsidRPr="00B275E2">
        <w:t>quivalents</w:t>
      </w:r>
      <w:r w:rsidRPr="00B275E2">
        <w:t xml:space="preserve">. </w:t>
      </w:r>
      <w:r w:rsidR="00DC4F06" w:rsidRPr="00B275E2">
        <w:t>We derived t</w:t>
      </w:r>
      <w:r w:rsidRPr="00B275E2">
        <w:t>he breakdown by GHG based on the split between gases for electricity generation</w:t>
      </w:r>
      <w:r w:rsidR="0049234A" w:rsidRPr="00B275E2">
        <w:t xml:space="preserve">. </w:t>
      </w:r>
    </w:p>
    <w:p w14:paraId="0F1AF819" w14:textId="7CE293E2" w:rsidR="00B276B8" w:rsidRPr="00B275E2" w:rsidRDefault="00B276B8" w:rsidP="00E9473B">
      <w:pPr>
        <w:pStyle w:val="Tableheading"/>
      </w:pPr>
      <w:bookmarkStart w:id="273" w:name="_Ref532481140"/>
      <w:bookmarkStart w:id="274" w:name="Table12"/>
      <w:bookmarkStart w:id="275" w:name="_Toc111536618"/>
      <w:r w:rsidRPr="00B275E2">
        <w:t xml:space="preserve">Table </w:t>
      </w:r>
      <w:r w:rsidRPr="00B275E2">
        <w:fldChar w:fldCharType="begin"/>
      </w:r>
      <w:r w:rsidRPr="00B275E2">
        <w:instrText>SEQ Table \* ARABIC</w:instrText>
      </w:r>
      <w:r w:rsidRPr="00B275E2">
        <w:fldChar w:fldCharType="separate"/>
      </w:r>
      <w:r w:rsidR="003E141C" w:rsidRPr="00B275E2">
        <w:t>13</w:t>
      </w:r>
      <w:r w:rsidRPr="00B275E2">
        <w:fldChar w:fldCharType="end"/>
      </w:r>
      <w:bookmarkEnd w:id="273"/>
      <w:bookmarkEnd w:id="274"/>
      <w:r w:rsidRPr="00B275E2">
        <w:t>:</w:t>
      </w:r>
      <w:r w:rsidRPr="00B275E2">
        <w:tab/>
        <w:t>Calculating the ratio of each gas from electricity emissions</w:t>
      </w:r>
      <w:bookmarkEnd w:id="275"/>
    </w:p>
    <w:tbl>
      <w:tblPr>
        <w:tblStyle w:val="TableGrid"/>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ayout w:type="fixed"/>
        <w:tblCellMar>
          <w:left w:w="85" w:type="dxa"/>
          <w:right w:w="85" w:type="dxa"/>
        </w:tblCellMar>
        <w:tblLook w:val="04A0" w:firstRow="1" w:lastRow="0" w:firstColumn="1" w:lastColumn="0" w:noHBand="0" w:noVBand="1"/>
      </w:tblPr>
      <w:tblGrid>
        <w:gridCol w:w="2835"/>
        <w:gridCol w:w="851"/>
        <w:gridCol w:w="1559"/>
        <w:gridCol w:w="1559"/>
        <w:gridCol w:w="1701"/>
      </w:tblGrid>
      <w:tr w:rsidR="00B276B8" w:rsidRPr="00B275E2" w14:paraId="475E26D6" w14:textId="77777777" w:rsidTr="008710C5">
        <w:tc>
          <w:tcPr>
            <w:tcW w:w="2835" w:type="dxa"/>
            <w:shd w:val="clear" w:color="auto" w:fill="1B556B" w:themeFill="text2"/>
          </w:tcPr>
          <w:p w14:paraId="18AC9520" w14:textId="77777777" w:rsidR="00B276B8" w:rsidRPr="00B275E2" w:rsidRDefault="00B276B8" w:rsidP="007F0B1E">
            <w:pPr>
              <w:pStyle w:val="TableText"/>
              <w:rPr>
                <w:b/>
                <w:color w:val="FFFFFF" w:themeColor="background1"/>
                <w:szCs w:val="18"/>
              </w:rPr>
            </w:pPr>
          </w:p>
        </w:tc>
        <w:tc>
          <w:tcPr>
            <w:tcW w:w="851" w:type="dxa"/>
            <w:shd w:val="clear" w:color="auto" w:fill="1B556B" w:themeFill="text2"/>
            <w:vAlign w:val="bottom"/>
          </w:tcPr>
          <w:p w14:paraId="2FE1AF63" w14:textId="77777777" w:rsidR="00B276B8" w:rsidRPr="00B275E2" w:rsidRDefault="00B276B8" w:rsidP="007F0B1E">
            <w:pPr>
              <w:pStyle w:val="TableText"/>
              <w:jc w:val="right"/>
              <w:rPr>
                <w:b/>
                <w:color w:val="FFFFFF" w:themeColor="background1"/>
                <w:szCs w:val="18"/>
              </w:rPr>
            </w:pPr>
            <w:r w:rsidRPr="00B275E2">
              <w:rPr>
                <w:b/>
                <w:color w:val="FFFFFF" w:themeColor="background1"/>
                <w:szCs w:val="18"/>
              </w:rPr>
              <w:t>kg CO</w:t>
            </w:r>
            <w:r w:rsidRPr="00B275E2">
              <w:rPr>
                <w:b/>
                <w:color w:val="FFFFFF" w:themeColor="background1"/>
                <w:szCs w:val="18"/>
                <w:vertAlign w:val="subscript"/>
              </w:rPr>
              <w:t>2</w:t>
            </w:r>
            <w:r w:rsidRPr="00B275E2">
              <w:rPr>
                <w:b/>
                <w:color w:val="FFFFFF" w:themeColor="background1"/>
                <w:szCs w:val="18"/>
              </w:rPr>
              <w:t>-e</w:t>
            </w:r>
          </w:p>
        </w:tc>
        <w:tc>
          <w:tcPr>
            <w:tcW w:w="1559" w:type="dxa"/>
            <w:shd w:val="clear" w:color="auto" w:fill="1B556B" w:themeFill="text2"/>
            <w:vAlign w:val="bottom"/>
          </w:tcPr>
          <w:p w14:paraId="00123CBD" w14:textId="77777777" w:rsidR="00B276B8" w:rsidRPr="00B275E2" w:rsidRDefault="00B276B8" w:rsidP="007F0B1E">
            <w:pPr>
              <w:pStyle w:val="TableText"/>
              <w:jc w:val="right"/>
              <w:rPr>
                <w:b/>
                <w:color w:val="FFFFFF" w:themeColor="background1"/>
                <w:szCs w:val="18"/>
              </w:rPr>
            </w:pPr>
            <w:r w:rsidRPr="00B275E2">
              <w:rPr>
                <w:b/>
                <w:color w:val="FFFFFF" w:themeColor="background1"/>
                <w:szCs w:val="18"/>
              </w:rPr>
              <w:t>kg CO</w:t>
            </w:r>
            <w:r w:rsidRPr="00B275E2">
              <w:rPr>
                <w:b/>
                <w:color w:val="FFFFFF" w:themeColor="background1"/>
                <w:szCs w:val="18"/>
                <w:vertAlign w:val="subscript"/>
              </w:rPr>
              <w:t>2</w:t>
            </w:r>
          </w:p>
        </w:tc>
        <w:tc>
          <w:tcPr>
            <w:tcW w:w="1559" w:type="dxa"/>
            <w:shd w:val="clear" w:color="auto" w:fill="1B556B" w:themeFill="text2"/>
            <w:vAlign w:val="bottom"/>
          </w:tcPr>
          <w:p w14:paraId="56B0D4FB" w14:textId="48878D2B" w:rsidR="00B276B8" w:rsidRPr="00B275E2" w:rsidRDefault="00706332" w:rsidP="007F0B1E">
            <w:pPr>
              <w:pStyle w:val="TableText"/>
              <w:jc w:val="right"/>
              <w:rPr>
                <w:b/>
                <w:color w:val="FFFFFF" w:themeColor="background1"/>
                <w:szCs w:val="18"/>
              </w:rPr>
            </w:pPr>
            <w:r w:rsidRPr="00B275E2">
              <w:rPr>
                <w:b/>
                <w:bCs/>
                <w:color w:val="FFFFFF" w:themeColor="background1"/>
                <w:szCs w:val="18"/>
              </w:rPr>
              <w:t>CH</w:t>
            </w:r>
            <w:r w:rsidRPr="00B275E2">
              <w:rPr>
                <w:b/>
                <w:bCs/>
                <w:color w:val="FFFFFF" w:themeColor="background1"/>
                <w:szCs w:val="18"/>
                <w:vertAlign w:val="subscript"/>
              </w:rPr>
              <w:t>4</w:t>
            </w:r>
            <w:r w:rsidRPr="00B275E2">
              <w:rPr>
                <w:b/>
                <w:bCs/>
                <w:color w:val="FFFFFF" w:themeColor="background1"/>
                <w:szCs w:val="18"/>
              </w:rPr>
              <w:t xml:space="preserve"> (kg CO</w:t>
            </w:r>
            <w:r w:rsidRPr="00B275E2">
              <w:rPr>
                <w:b/>
                <w:bCs/>
                <w:color w:val="FFFFFF" w:themeColor="background1"/>
                <w:szCs w:val="18"/>
                <w:vertAlign w:val="subscript"/>
              </w:rPr>
              <w:t>2</w:t>
            </w:r>
            <w:r w:rsidRPr="00B275E2">
              <w:rPr>
                <w:b/>
                <w:bCs/>
                <w:color w:val="FFFFFF" w:themeColor="background1"/>
                <w:szCs w:val="18"/>
              </w:rPr>
              <w:t>-e)</w:t>
            </w:r>
          </w:p>
        </w:tc>
        <w:tc>
          <w:tcPr>
            <w:tcW w:w="1701" w:type="dxa"/>
            <w:shd w:val="clear" w:color="auto" w:fill="1B556B" w:themeFill="text2"/>
            <w:vAlign w:val="bottom"/>
          </w:tcPr>
          <w:p w14:paraId="58E79579" w14:textId="1717026E" w:rsidR="00B276B8" w:rsidRPr="00B275E2" w:rsidRDefault="00706332" w:rsidP="007F0B1E">
            <w:pPr>
              <w:pStyle w:val="TableText"/>
              <w:jc w:val="right"/>
              <w:rPr>
                <w:b/>
                <w:color w:val="FFFFFF" w:themeColor="background1"/>
                <w:szCs w:val="18"/>
              </w:rPr>
            </w:pPr>
            <w:r w:rsidRPr="00B275E2">
              <w:rPr>
                <w:b/>
                <w:bCs/>
                <w:color w:val="FFFFFF" w:themeColor="background1"/>
                <w:szCs w:val="18"/>
              </w:rPr>
              <w:t>N</w:t>
            </w:r>
            <w:r w:rsidRPr="00B275E2">
              <w:rPr>
                <w:b/>
                <w:bCs/>
                <w:color w:val="FFFFFF" w:themeColor="background1"/>
                <w:szCs w:val="18"/>
                <w:vertAlign w:val="subscript"/>
              </w:rPr>
              <w:t>2</w:t>
            </w:r>
            <w:r w:rsidRPr="00B275E2">
              <w:rPr>
                <w:b/>
                <w:bCs/>
                <w:color w:val="FFFFFF" w:themeColor="background1"/>
                <w:szCs w:val="18"/>
              </w:rPr>
              <w:t>O (kg CO</w:t>
            </w:r>
            <w:r w:rsidRPr="00B275E2">
              <w:rPr>
                <w:b/>
                <w:bCs/>
                <w:color w:val="FFFFFF" w:themeColor="background1"/>
                <w:szCs w:val="18"/>
                <w:vertAlign w:val="subscript"/>
              </w:rPr>
              <w:t>2</w:t>
            </w:r>
            <w:r w:rsidRPr="00B275E2">
              <w:rPr>
                <w:b/>
                <w:bCs/>
                <w:color w:val="FFFFFF" w:themeColor="background1"/>
                <w:szCs w:val="18"/>
              </w:rPr>
              <w:t>-e)</w:t>
            </w:r>
          </w:p>
        </w:tc>
      </w:tr>
      <w:tr w:rsidR="00B276B8" w:rsidRPr="00B275E2" w14:paraId="3EE9481C" w14:textId="77777777" w:rsidTr="008710C5">
        <w:tc>
          <w:tcPr>
            <w:tcW w:w="2835" w:type="dxa"/>
          </w:tcPr>
          <w:p w14:paraId="0204BE75" w14:textId="5822514B" w:rsidR="00B276B8" w:rsidRPr="00B275E2" w:rsidRDefault="00324BA6" w:rsidP="007F0B1E">
            <w:pPr>
              <w:pStyle w:val="TableText"/>
              <w:rPr>
                <w:szCs w:val="18"/>
              </w:rPr>
            </w:pPr>
            <w:r>
              <w:rPr>
                <w:szCs w:val="18"/>
              </w:rPr>
              <w:t>Transmission &amp; Distribution</w:t>
            </w:r>
            <w:r w:rsidRPr="00B275E2">
              <w:rPr>
                <w:szCs w:val="18"/>
              </w:rPr>
              <w:t xml:space="preserve"> </w:t>
            </w:r>
            <w:r w:rsidR="00B276B8" w:rsidRPr="00B275E2">
              <w:rPr>
                <w:szCs w:val="18"/>
              </w:rPr>
              <w:t>emission factor</w:t>
            </w:r>
            <w:r w:rsidR="00913A1C">
              <w:rPr>
                <w:szCs w:val="18"/>
              </w:rPr>
              <w:t xml:space="preserve"> for</w:t>
            </w:r>
            <w:r w:rsidR="00D70375">
              <w:rPr>
                <w:szCs w:val="18"/>
              </w:rPr>
              <w:t xml:space="preserve"> 2020</w:t>
            </w:r>
            <w:r w:rsidR="00B276B8" w:rsidRPr="00B275E2">
              <w:rPr>
                <w:szCs w:val="18"/>
              </w:rPr>
              <w:t xml:space="preserve"> (per</w:t>
            </w:r>
            <w:r w:rsidR="0DBA98A2" w:rsidRPr="00B275E2">
              <w:rPr>
                <w:szCs w:val="18"/>
              </w:rPr>
              <w:t> </w:t>
            </w:r>
            <w:r w:rsidR="00B276B8" w:rsidRPr="00B275E2">
              <w:rPr>
                <w:szCs w:val="18"/>
              </w:rPr>
              <w:t>kWh)</w:t>
            </w:r>
            <w:r>
              <w:rPr>
                <w:szCs w:val="18"/>
              </w:rPr>
              <w:t xml:space="preserve"> (electricity</w:t>
            </w:r>
            <w:r w:rsidR="009729E4">
              <w:rPr>
                <w:szCs w:val="18"/>
              </w:rPr>
              <w:t xml:space="preserve"> consumption – electricity generation)</w:t>
            </w:r>
          </w:p>
        </w:tc>
        <w:tc>
          <w:tcPr>
            <w:tcW w:w="851" w:type="dxa"/>
            <w:shd w:val="clear" w:color="auto" w:fill="auto"/>
            <w:vAlign w:val="bottom"/>
          </w:tcPr>
          <w:p w14:paraId="0B0B3266" w14:textId="5F6FD827" w:rsidR="00B276B8" w:rsidRPr="00B275E2" w:rsidRDefault="00B276B8" w:rsidP="007F0B1E">
            <w:pPr>
              <w:pStyle w:val="TableText"/>
              <w:jc w:val="right"/>
              <w:rPr>
                <w:szCs w:val="18"/>
              </w:rPr>
            </w:pPr>
            <w:r w:rsidRPr="00B275E2">
              <w:rPr>
                <w:szCs w:val="18"/>
              </w:rPr>
              <w:t>0.0</w:t>
            </w:r>
            <w:r w:rsidR="00066D08">
              <w:rPr>
                <w:szCs w:val="18"/>
              </w:rPr>
              <w:t>110</w:t>
            </w:r>
          </w:p>
        </w:tc>
        <w:tc>
          <w:tcPr>
            <w:tcW w:w="1559" w:type="dxa"/>
            <w:shd w:val="clear" w:color="auto" w:fill="auto"/>
            <w:vAlign w:val="bottom"/>
          </w:tcPr>
          <w:p w14:paraId="479926C2" w14:textId="77777777" w:rsidR="00B276B8" w:rsidRPr="00B275E2" w:rsidRDefault="00B276B8" w:rsidP="007F0B1E">
            <w:pPr>
              <w:pStyle w:val="TableText"/>
              <w:jc w:val="right"/>
              <w:rPr>
                <w:szCs w:val="18"/>
              </w:rPr>
            </w:pPr>
          </w:p>
        </w:tc>
        <w:tc>
          <w:tcPr>
            <w:tcW w:w="1559" w:type="dxa"/>
            <w:shd w:val="clear" w:color="auto" w:fill="auto"/>
            <w:vAlign w:val="bottom"/>
          </w:tcPr>
          <w:p w14:paraId="5970B7AF" w14:textId="77777777" w:rsidR="00B276B8" w:rsidRPr="00B275E2" w:rsidRDefault="00B276B8" w:rsidP="007F0B1E">
            <w:pPr>
              <w:pStyle w:val="TableText"/>
              <w:jc w:val="right"/>
              <w:rPr>
                <w:szCs w:val="18"/>
              </w:rPr>
            </w:pPr>
          </w:p>
        </w:tc>
        <w:tc>
          <w:tcPr>
            <w:tcW w:w="1701" w:type="dxa"/>
            <w:shd w:val="clear" w:color="auto" w:fill="auto"/>
            <w:vAlign w:val="bottom"/>
          </w:tcPr>
          <w:p w14:paraId="54438F9C" w14:textId="77777777" w:rsidR="00B276B8" w:rsidRPr="00B275E2" w:rsidRDefault="00B276B8" w:rsidP="007F0B1E">
            <w:pPr>
              <w:pStyle w:val="TableText"/>
              <w:jc w:val="right"/>
              <w:rPr>
                <w:szCs w:val="18"/>
              </w:rPr>
            </w:pPr>
          </w:p>
        </w:tc>
      </w:tr>
      <w:tr w:rsidR="00B276B8" w:rsidRPr="00B275E2" w14:paraId="7C6E209C" w14:textId="77777777" w:rsidTr="008710C5">
        <w:tc>
          <w:tcPr>
            <w:tcW w:w="2835" w:type="dxa"/>
          </w:tcPr>
          <w:p w14:paraId="16803E5B" w14:textId="1B855553" w:rsidR="00B276B8" w:rsidRPr="00B275E2" w:rsidRDefault="00460235" w:rsidP="007F0B1E">
            <w:pPr>
              <w:pStyle w:val="TableText"/>
              <w:rPr>
                <w:szCs w:val="18"/>
              </w:rPr>
            </w:pPr>
            <w:r w:rsidRPr="00B275E2">
              <w:rPr>
                <w:szCs w:val="18"/>
              </w:rPr>
              <w:t>Per cent</w:t>
            </w:r>
            <w:r w:rsidR="00B276B8" w:rsidRPr="00B275E2">
              <w:rPr>
                <w:szCs w:val="18"/>
              </w:rPr>
              <w:t xml:space="preserve"> breakdown by gas</w:t>
            </w:r>
          </w:p>
        </w:tc>
        <w:tc>
          <w:tcPr>
            <w:tcW w:w="851" w:type="dxa"/>
          </w:tcPr>
          <w:p w14:paraId="50E4D6EA" w14:textId="77777777" w:rsidR="00B276B8" w:rsidRPr="00B275E2" w:rsidRDefault="00B276B8" w:rsidP="007F0B1E">
            <w:pPr>
              <w:pStyle w:val="TableText"/>
              <w:jc w:val="right"/>
              <w:rPr>
                <w:szCs w:val="18"/>
              </w:rPr>
            </w:pPr>
          </w:p>
        </w:tc>
        <w:tc>
          <w:tcPr>
            <w:tcW w:w="1559" w:type="dxa"/>
          </w:tcPr>
          <w:p w14:paraId="7615AF23" w14:textId="239DAAD3" w:rsidR="00B276B8" w:rsidRPr="00B275E2" w:rsidRDefault="4F15B370" w:rsidP="007F0B1E">
            <w:pPr>
              <w:pStyle w:val="TableText"/>
              <w:jc w:val="right"/>
              <w:rPr>
                <w:szCs w:val="18"/>
              </w:rPr>
            </w:pPr>
            <w:r w:rsidRPr="00B275E2">
              <w:rPr>
                <w:szCs w:val="18"/>
              </w:rPr>
              <w:t>9</w:t>
            </w:r>
            <w:r w:rsidR="00D276AF">
              <w:rPr>
                <w:szCs w:val="18"/>
              </w:rPr>
              <w:t>7.2</w:t>
            </w:r>
            <w:r w:rsidR="00B276B8" w:rsidRPr="00B275E2">
              <w:rPr>
                <w:szCs w:val="18"/>
              </w:rPr>
              <w:t>%</w:t>
            </w:r>
          </w:p>
        </w:tc>
        <w:tc>
          <w:tcPr>
            <w:tcW w:w="1559" w:type="dxa"/>
          </w:tcPr>
          <w:p w14:paraId="38ECD3A4" w14:textId="0B94F3E0" w:rsidR="00B276B8" w:rsidRPr="00B275E2" w:rsidRDefault="00D276AF" w:rsidP="007F0B1E">
            <w:pPr>
              <w:pStyle w:val="TableText"/>
              <w:jc w:val="right"/>
              <w:rPr>
                <w:szCs w:val="18"/>
              </w:rPr>
            </w:pPr>
            <w:r>
              <w:rPr>
                <w:szCs w:val="18"/>
              </w:rPr>
              <w:t>2.59</w:t>
            </w:r>
            <w:r w:rsidR="00B276B8" w:rsidRPr="00B275E2">
              <w:rPr>
                <w:szCs w:val="18"/>
              </w:rPr>
              <w:t>%</w:t>
            </w:r>
          </w:p>
        </w:tc>
        <w:tc>
          <w:tcPr>
            <w:tcW w:w="1701" w:type="dxa"/>
          </w:tcPr>
          <w:p w14:paraId="70801337" w14:textId="73FC57FE" w:rsidR="00B276B8" w:rsidRPr="00B275E2" w:rsidRDefault="00B276B8" w:rsidP="007F0B1E">
            <w:pPr>
              <w:pStyle w:val="TableText"/>
              <w:jc w:val="right"/>
              <w:rPr>
                <w:szCs w:val="18"/>
              </w:rPr>
            </w:pPr>
            <w:r w:rsidRPr="00B275E2">
              <w:rPr>
                <w:szCs w:val="18"/>
              </w:rPr>
              <w:t>0.</w:t>
            </w:r>
            <w:r w:rsidR="00034E71">
              <w:rPr>
                <w:szCs w:val="18"/>
              </w:rPr>
              <w:t>2</w:t>
            </w:r>
            <w:r w:rsidR="00516A2A">
              <w:rPr>
                <w:szCs w:val="18"/>
              </w:rPr>
              <w:t>10</w:t>
            </w:r>
            <w:r w:rsidRPr="00B275E2">
              <w:rPr>
                <w:szCs w:val="18"/>
              </w:rPr>
              <w:t>%</w:t>
            </w:r>
          </w:p>
        </w:tc>
      </w:tr>
      <w:tr w:rsidR="00B276B8" w:rsidRPr="00B275E2" w14:paraId="59B16D98" w14:textId="77777777" w:rsidTr="008710C5">
        <w:tc>
          <w:tcPr>
            <w:tcW w:w="2835" w:type="dxa"/>
          </w:tcPr>
          <w:p w14:paraId="27E5F5C9" w14:textId="1A3DCFFA" w:rsidR="00B276B8" w:rsidRPr="00B275E2" w:rsidRDefault="00460235" w:rsidP="007F0B1E">
            <w:pPr>
              <w:pStyle w:val="TableText"/>
              <w:rPr>
                <w:szCs w:val="18"/>
              </w:rPr>
            </w:pPr>
            <w:r w:rsidRPr="00B275E2">
              <w:rPr>
                <w:szCs w:val="18"/>
              </w:rPr>
              <w:t>C</w:t>
            </w:r>
            <w:r w:rsidR="00B276B8" w:rsidRPr="00B275E2">
              <w:rPr>
                <w:szCs w:val="18"/>
              </w:rPr>
              <w:t>alculation of component EF</w:t>
            </w:r>
          </w:p>
        </w:tc>
        <w:tc>
          <w:tcPr>
            <w:tcW w:w="851" w:type="dxa"/>
          </w:tcPr>
          <w:p w14:paraId="3C12F643" w14:textId="77777777" w:rsidR="00B276B8" w:rsidRPr="00B275E2" w:rsidRDefault="00B276B8" w:rsidP="007F0B1E">
            <w:pPr>
              <w:pStyle w:val="TableText"/>
              <w:jc w:val="right"/>
              <w:rPr>
                <w:szCs w:val="18"/>
              </w:rPr>
            </w:pPr>
          </w:p>
        </w:tc>
        <w:tc>
          <w:tcPr>
            <w:tcW w:w="1559" w:type="dxa"/>
          </w:tcPr>
          <w:p w14:paraId="3E7E44CD" w14:textId="60C43CE3" w:rsidR="00B276B8" w:rsidRPr="00B275E2" w:rsidRDefault="00B276B8" w:rsidP="007F0B1E">
            <w:pPr>
              <w:pStyle w:val="TableText"/>
              <w:jc w:val="right"/>
              <w:rPr>
                <w:szCs w:val="18"/>
              </w:rPr>
            </w:pPr>
            <w:r w:rsidRPr="00B275E2">
              <w:rPr>
                <w:szCs w:val="18"/>
              </w:rPr>
              <w:t>=</w:t>
            </w:r>
            <w:r w:rsidR="003438E6" w:rsidRPr="00B275E2">
              <w:rPr>
                <w:szCs w:val="18"/>
              </w:rPr>
              <w:t xml:space="preserve"> </w:t>
            </w:r>
            <w:r w:rsidRPr="00B275E2">
              <w:rPr>
                <w:szCs w:val="18"/>
              </w:rPr>
              <w:t>0.9</w:t>
            </w:r>
            <w:r w:rsidR="00D70375">
              <w:rPr>
                <w:szCs w:val="18"/>
              </w:rPr>
              <w:t>72</w:t>
            </w:r>
            <w:r w:rsidR="00050C31" w:rsidRPr="00B275E2">
              <w:rPr>
                <w:szCs w:val="18"/>
              </w:rPr>
              <w:t xml:space="preserve"> </w:t>
            </w:r>
            <w:r w:rsidRPr="00B275E2">
              <w:rPr>
                <w:szCs w:val="18"/>
              </w:rPr>
              <w:t>x 0.0</w:t>
            </w:r>
            <w:r w:rsidR="00EC5A82">
              <w:rPr>
                <w:szCs w:val="18"/>
              </w:rPr>
              <w:t>110</w:t>
            </w:r>
          </w:p>
        </w:tc>
        <w:tc>
          <w:tcPr>
            <w:tcW w:w="1559" w:type="dxa"/>
          </w:tcPr>
          <w:p w14:paraId="0D224BDC" w14:textId="04F56952" w:rsidR="00B276B8" w:rsidRPr="00B275E2" w:rsidRDefault="00B276B8" w:rsidP="007F0B1E">
            <w:pPr>
              <w:pStyle w:val="TableText"/>
              <w:jc w:val="right"/>
              <w:rPr>
                <w:szCs w:val="18"/>
              </w:rPr>
            </w:pPr>
            <w:r w:rsidRPr="00B275E2">
              <w:rPr>
                <w:szCs w:val="18"/>
              </w:rPr>
              <w:t>=</w:t>
            </w:r>
            <w:r w:rsidR="00913A1C">
              <w:rPr>
                <w:szCs w:val="18"/>
              </w:rPr>
              <w:t xml:space="preserve"> </w:t>
            </w:r>
            <w:r w:rsidR="00BE7CF1">
              <w:rPr>
                <w:szCs w:val="18"/>
              </w:rPr>
              <w:t>0.</w:t>
            </w:r>
            <w:r w:rsidR="006160B7">
              <w:rPr>
                <w:szCs w:val="18"/>
              </w:rPr>
              <w:t>0</w:t>
            </w:r>
            <w:r w:rsidR="00913A1C">
              <w:rPr>
                <w:szCs w:val="18"/>
              </w:rPr>
              <w:t>259</w:t>
            </w:r>
            <w:r w:rsidRPr="00B275E2">
              <w:rPr>
                <w:szCs w:val="18"/>
              </w:rPr>
              <w:t xml:space="preserve"> x 0.0</w:t>
            </w:r>
            <w:r w:rsidR="00EC5A82">
              <w:rPr>
                <w:szCs w:val="18"/>
              </w:rPr>
              <w:t>110</w:t>
            </w:r>
          </w:p>
        </w:tc>
        <w:tc>
          <w:tcPr>
            <w:tcW w:w="1701" w:type="dxa"/>
          </w:tcPr>
          <w:p w14:paraId="77C4F329" w14:textId="1496C93D" w:rsidR="00B276B8" w:rsidRPr="00B275E2" w:rsidRDefault="00B276B8" w:rsidP="007F0B1E">
            <w:pPr>
              <w:pStyle w:val="TableText"/>
              <w:jc w:val="right"/>
              <w:rPr>
                <w:szCs w:val="18"/>
              </w:rPr>
            </w:pPr>
            <w:r w:rsidRPr="00B275E2">
              <w:rPr>
                <w:szCs w:val="18"/>
              </w:rPr>
              <w:t>=</w:t>
            </w:r>
            <w:r w:rsidR="003438E6" w:rsidRPr="00B275E2">
              <w:rPr>
                <w:szCs w:val="18"/>
              </w:rPr>
              <w:t xml:space="preserve"> </w:t>
            </w:r>
            <w:r w:rsidRPr="00B275E2">
              <w:rPr>
                <w:szCs w:val="18"/>
              </w:rPr>
              <w:t>0.</w:t>
            </w:r>
            <w:r w:rsidR="00CF035E">
              <w:rPr>
                <w:szCs w:val="18"/>
              </w:rPr>
              <w:t>0</w:t>
            </w:r>
            <w:r w:rsidRPr="00B275E2">
              <w:rPr>
                <w:szCs w:val="18"/>
              </w:rPr>
              <w:t>0</w:t>
            </w:r>
            <w:r w:rsidR="00913A1C">
              <w:rPr>
                <w:szCs w:val="18"/>
              </w:rPr>
              <w:t>2</w:t>
            </w:r>
            <w:r w:rsidR="00516A2A">
              <w:rPr>
                <w:szCs w:val="18"/>
              </w:rPr>
              <w:t>10</w:t>
            </w:r>
            <w:r w:rsidRPr="00B275E2">
              <w:rPr>
                <w:szCs w:val="18"/>
              </w:rPr>
              <w:t xml:space="preserve"> x 0.0</w:t>
            </w:r>
            <w:r w:rsidR="00EC5A82">
              <w:rPr>
                <w:szCs w:val="18"/>
              </w:rPr>
              <w:t>110</w:t>
            </w:r>
          </w:p>
        </w:tc>
      </w:tr>
      <w:tr w:rsidR="00B276B8" w:rsidRPr="00B275E2" w14:paraId="132513DB" w14:textId="77777777" w:rsidTr="008710C5">
        <w:tc>
          <w:tcPr>
            <w:tcW w:w="2835" w:type="dxa"/>
          </w:tcPr>
          <w:p w14:paraId="06C64A3F" w14:textId="77777777" w:rsidR="00B276B8" w:rsidRPr="00B275E2" w:rsidRDefault="00B276B8" w:rsidP="007F0B1E">
            <w:pPr>
              <w:pStyle w:val="TableText"/>
              <w:rPr>
                <w:szCs w:val="18"/>
              </w:rPr>
            </w:pPr>
            <w:r w:rsidRPr="00B275E2">
              <w:rPr>
                <w:szCs w:val="18"/>
              </w:rPr>
              <w:t>Breakdown by GHG</w:t>
            </w:r>
          </w:p>
        </w:tc>
        <w:tc>
          <w:tcPr>
            <w:tcW w:w="851" w:type="dxa"/>
          </w:tcPr>
          <w:p w14:paraId="001B0731" w14:textId="77777777" w:rsidR="00B276B8" w:rsidRPr="00B275E2" w:rsidRDefault="00B276B8" w:rsidP="007F0B1E">
            <w:pPr>
              <w:pStyle w:val="TableText"/>
              <w:jc w:val="right"/>
              <w:rPr>
                <w:szCs w:val="18"/>
              </w:rPr>
            </w:pPr>
          </w:p>
        </w:tc>
        <w:tc>
          <w:tcPr>
            <w:tcW w:w="1559" w:type="dxa"/>
            <w:vAlign w:val="bottom"/>
          </w:tcPr>
          <w:p w14:paraId="27EF8E09" w14:textId="11AB3EE5" w:rsidR="00B276B8" w:rsidRPr="00B275E2" w:rsidRDefault="00B276B8" w:rsidP="007F0B1E">
            <w:pPr>
              <w:pStyle w:val="TableText"/>
              <w:jc w:val="right"/>
              <w:rPr>
                <w:szCs w:val="18"/>
              </w:rPr>
            </w:pPr>
            <w:r w:rsidRPr="00B275E2">
              <w:rPr>
                <w:szCs w:val="18"/>
              </w:rPr>
              <w:t>0.</w:t>
            </w:r>
            <w:r w:rsidR="74A5E2BF" w:rsidRPr="00B275E2">
              <w:rPr>
                <w:szCs w:val="18"/>
              </w:rPr>
              <w:t>0</w:t>
            </w:r>
            <w:r w:rsidR="00F8791D">
              <w:rPr>
                <w:szCs w:val="18"/>
              </w:rPr>
              <w:t>107</w:t>
            </w:r>
          </w:p>
        </w:tc>
        <w:tc>
          <w:tcPr>
            <w:tcW w:w="1559" w:type="dxa"/>
            <w:vAlign w:val="bottom"/>
          </w:tcPr>
          <w:p w14:paraId="2C28C1B2" w14:textId="020EE483" w:rsidR="00B276B8" w:rsidRPr="00B275E2" w:rsidRDefault="00B276B8" w:rsidP="007F0B1E">
            <w:pPr>
              <w:pStyle w:val="TableText"/>
              <w:jc w:val="right"/>
              <w:rPr>
                <w:szCs w:val="18"/>
              </w:rPr>
            </w:pPr>
            <w:r w:rsidRPr="00B275E2">
              <w:rPr>
                <w:szCs w:val="18"/>
              </w:rPr>
              <w:t>0.</w:t>
            </w:r>
            <w:r w:rsidR="74A5E2BF" w:rsidRPr="00B275E2">
              <w:rPr>
                <w:szCs w:val="18"/>
              </w:rPr>
              <w:t>000</w:t>
            </w:r>
            <w:r w:rsidR="002C2D2A">
              <w:rPr>
                <w:szCs w:val="18"/>
              </w:rPr>
              <w:t>3</w:t>
            </w:r>
          </w:p>
        </w:tc>
        <w:tc>
          <w:tcPr>
            <w:tcW w:w="1701" w:type="dxa"/>
            <w:vAlign w:val="bottom"/>
          </w:tcPr>
          <w:p w14:paraId="329B8409" w14:textId="1C7D91D2" w:rsidR="00B276B8" w:rsidRPr="00B275E2" w:rsidRDefault="00B276B8" w:rsidP="502AF1AC">
            <w:pPr>
              <w:pStyle w:val="TableText"/>
              <w:jc w:val="right"/>
              <w:rPr>
                <w:szCs w:val="18"/>
              </w:rPr>
            </w:pPr>
            <w:r w:rsidRPr="00B275E2">
              <w:rPr>
                <w:szCs w:val="18"/>
              </w:rPr>
              <w:t>0.0000</w:t>
            </w:r>
            <w:r w:rsidR="009016CB">
              <w:rPr>
                <w:szCs w:val="18"/>
              </w:rPr>
              <w:t>2</w:t>
            </w:r>
          </w:p>
        </w:tc>
      </w:tr>
    </w:tbl>
    <w:p w14:paraId="7A5FCA91" w14:textId="7E0CE23B" w:rsidR="00DC4F06" w:rsidRPr="00B275E2" w:rsidRDefault="00DC4F06" w:rsidP="007F0B1E">
      <w:pPr>
        <w:pStyle w:val="Note"/>
      </w:pPr>
      <w:r w:rsidRPr="00B275E2">
        <w:t>Note</w:t>
      </w:r>
      <w:r w:rsidR="00B75682" w:rsidRPr="00B275E2">
        <w:t>: T</w:t>
      </w:r>
      <w:r w:rsidRPr="00B275E2">
        <w:t xml:space="preserve">hese numbers are rounded to </w:t>
      </w:r>
      <w:r w:rsidR="00DE67EE">
        <w:t>one</w:t>
      </w:r>
      <w:r w:rsidRPr="00B275E2">
        <w:t xml:space="preserve"> </w:t>
      </w:r>
      <w:r w:rsidR="00571113">
        <w:t xml:space="preserve">or more </w:t>
      </w:r>
      <w:r w:rsidRPr="00B275E2">
        <w:t xml:space="preserve">significant figures. </w:t>
      </w:r>
    </w:p>
    <w:p w14:paraId="51139FF5" w14:textId="200DB7B3" w:rsidR="00B276B8" w:rsidRPr="00B275E2" w:rsidRDefault="00DC4F06" w:rsidP="00CD5654">
      <w:pPr>
        <w:pStyle w:val="BodyText"/>
        <w:spacing w:after="0"/>
      </w:pPr>
      <w:r w:rsidRPr="00B275E2">
        <w:t>We then multiplied t</w:t>
      </w:r>
      <w:r w:rsidR="00B276B8" w:rsidRPr="00B275E2">
        <w:t>he transmission and distribution losses in kg CO</w:t>
      </w:r>
      <w:r w:rsidR="00B276B8" w:rsidRPr="00B275E2">
        <w:rPr>
          <w:vertAlign w:val="subscript"/>
        </w:rPr>
        <w:t>2</w:t>
      </w:r>
      <w:r w:rsidR="00B276B8" w:rsidRPr="00B275E2">
        <w:t>-e by these factors to give the breakdown by gas type.</w:t>
      </w:r>
    </w:p>
    <w:p w14:paraId="78EC5B08" w14:textId="5D5246B9" w:rsidR="00B276B8" w:rsidRPr="00B275E2" w:rsidRDefault="6DE581C3" w:rsidP="002234D0">
      <w:pPr>
        <w:pStyle w:val="Heading3"/>
      </w:pPr>
      <w:bookmarkStart w:id="276" w:name="_Toc532904890"/>
      <w:r>
        <w:t>Assumptions, limitations and uncertainties</w:t>
      </w:r>
      <w:bookmarkEnd w:id="276"/>
    </w:p>
    <w:p w14:paraId="1E6D4ABA" w14:textId="2B44E046" w:rsidR="00B276B8" w:rsidRPr="00B275E2" w:rsidRDefault="00B276B8" w:rsidP="007F0B1E">
      <w:pPr>
        <w:pStyle w:val="BodyText"/>
      </w:pPr>
      <w:r w:rsidRPr="00B275E2">
        <w:t>This emission factor covers grid-</w:t>
      </w:r>
      <w:r w:rsidR="00407985" w:rsidRPr="00B275E2">
        <w:t>average</w:t>
      </w:r>
      <w:r w:rsidRPr="00B275E2">
        <w:t xml:space="preserve"> electricity </w:t>
      </w:r>
      <w:r w:rsidR="00407985" w:rsidRPr="00B275E2">
        <w:t>purchased</w:t>
      </w:r>
      <w:r w:rsidRPr="00B275E2">
        <w:t xml:space="preserve"> by an end user. As with all emission factors for purchased electricity</w:t>
      </w:r>
      <w:r w:rsidR="00407985" w:rsidRPr="00B275E2">
        <w:t>,</w:t>
      </w:r>
      <w:r w:rsidRPr="00B275E2">
        <w:t xml:space="preserve"> </w:t>
      </w:r>
      <w:r w:rsidR="00DC4F06" w:rsidRPr="00B275E2">
        <w:t xml:space="preserve">we calculated </w:t>
      </w:r>
      <w:r w:rsidR="0049234A" w:rsidRPr="00B275E2">
        <w:t>those</w:t>
      </w:r>
      <w:r w:rsidRPr="00B275E2">
        <w:t xml:space="preserve"> for transmission and distribution line losses as a national average.</w:t>
      </w:r>
    </w:p>
    <w:p w14:paraId="4BF77207" w14:textId="6DD7F424" w:rsidR="00B276B8" w:rsidRPr="00B275E2" w:rsidRDefault="00B276B8" w:rsidP="007F0B1E">
      <w:pPr>
        <w:pStyle w:val="BodyText"/>
      </w:pPr>
      <w:r w:rsidRPr="00B275E2">
        <w:t>As it is an average figure, the emission factor makes no allowance for distance from off-take point, or other factors that may vary between individual consumers.</w:t>
      </w:r>
      <w:r w:rsidR="002234D0">
        <w:t xml:space="preserve"> </w:t>
      </w:r>
      <w:r w:rsidRPr="00B275E2">
        <w:t>This emission factor does not incorporate the emissions associated with the extraction, production and transport of the fuels burnt to produce the electricity.</w:t>
      </w:r>
    </w:p>
    <w:p w14:paraId="281F8CB5" w14:textId="387003BF" w:rsidR="00B276B8" w:rsidRPr="00B275E2" w:rsidRDefault="00B276B8" w:rsidP="00C24B73">
      <w:pPr>
        <w:pStyle w:val="Heading2"/>
        <w:numPr>
          <w:ilvl w:val="0"/>
          <w:numId w:val="22"/>
        </w:numPr>
        <w:spacing w:before="240"/>
      </w:pPr>
      <w:bookmarkStart w:id="277" w:name="_Toc529960701"/>
      <w:bookmarkStart w:id="278" w:name="_Toc532904891"/>
      <w:bookmarkStart w:id="279" w:name="_Toc600579"/>
      <w:bookmarkStart w:id="280" w:name="_Toc111536786"/>
      <w:r w:rsidRPr="00B275E2">
        <w:t>Imported heat and steam</w:t>
      </w:r>
      <w:bookmarkEnd w:id="277"/>
      <w:bookmarkEnd w:id="278"/>
      <w:bookmarkEnd w:id="279"/>
      <w:bookmarkEnd w:id="280"/>
      <w:r w:rsidRPr="00B275E2">
        <w:t xml:space="preserve"> </w:t>
      </w:r>
    </w:p>
    <w:p w14:paraId="23E2FADF" w14:textId="7A787FE2" w:rsidR="00B276B8" w:rsidRPr="00B275E2" w:rsidRDefault="00DC4F06" w:rsidP="007F0B1E">
      <w:pPr>
        <w:pStyle w:val="BodyText"/>
      </w:pPr>
      <w:r w:rsidRPr="00B275E2">
        <w:t>O</w:t>
      </w:r>
      <w:r w:rsidR="00B276B8" w:rsidRPr="00B275E2">
        <w:t xml:space="preserve">rganisations </w:t>
      </w:r>
      <w:r w:rsidRPr="00B275E2">
        <w:t xml:space="preserve">that </w:t>
      </w:r>
      <w:r w:rsidR="00B276B8" w:rsidRPr="00B275E2">
        <w:t>have a specific heat or steam external energy source</w:t>
      </w:r>
      <w:r w:rsidRPr="00B275E2">
        <w:t xml:space="preserve"> </w:t>
      </w:r>
      <w:r w:rsidR="00BC6DDF" w:rsidRPr="00B275E2">
        <w:t>(such as a district heating scheme</w:t>
      </w:r>
      <w:r w:rsidR="004F4E23" w:rsidRPr="00B275E2">
        <w:t>)</w:t>
      </w:r>
      <w:r w:rsidR="00BC6DDF" w:rsidRPr="00B275E2">
        <w:t xml:space="preserve"> </w:t>
      </w:r>
      <w:r w:rsidRPr="00B275E2">
        <w:t>can calculate emissions using</w:t>
      </w:r>
      <w:r w:rsidR="00B276B8" w:rsidRPr="00B275E2">
        <w:t xml:space="preserve"> </w:t>
      </w:r>
      <w:r w:rsidRPr="00B275E2">
        <w:t>a</w:t>
      </w:r>
      <w:r w:rsidR="00BC6DDF" w:rsidRPr="00B275E2">
        <w:t>n</w:t>
      </w:r>
      <w:r w:rsidRPr="00B275E2">
        <w:t xml:space="preserve"> emission factor</w:t>
      </w:r>
      <w:r w:rsidR="00BC6DDF" w:rsidRPr="00B275E2">
        <w:t xml:space="preserve"> specific to that scheme. This</w:t>
      </w:r>
      <w:r w:rsidR="00856DC3" w:rsidRPr="00B275E2">
        <w:t> </w:t>
      </w:r>
      <w:r w:rsidR="00BC6DDF" w:rsidRPr="00B275E2">
        <w:t>should be available from the owner of the external energy source</w:t>
      </w:r>
      <w:r w:rsidR="00B276B8" w:rsidRPr="00B275E2">
        <w:t xml:space="preserve">. </w:t>
      </w:r>
    </w:p>
    <w:p w14:paraId="55BEFF19" w14:textId="3C4C7660" w:rsidR="00B276B8" w:rsidRPr="00B275E2" w:rsidRDefault="00B276B8" w:rsidP="00C24B73">
      <w:pPr>
        <w:pStyle w:val="Heading2"/>
        <w:numPr>
          <w:ilvl w:val="0"/>
          <w:numId w:val="22"/>
        </w:numPr>
        <w:spacing w:before="240"/>
      </w:pPr>
      <w:bookmarkStart w:id="281" w:name="_Toc529960703"/>
      <w:bookmarkStart w:id="282" w:name="_Toc532904892"/>
      <w:bookmarkStart w:id="283" w:name="_Toc600580"/>
      <w:bookmarkStart w:id="284" w:name="_Toc111536787"/>
      <w:r w:rsidRPr="00B275E2" w:rsidDel="00AB199A">
        <w:t>Geothermal energy</w:t>
      </w:r>
      <w:bookmarkEnd w:id="281"/>
      <w:bookmarkEnd w:id="282"/>
      <w:bookmarkEnd w:id="283"/>
      <w:bookmarkEnd w:id="284"/>
    </w:p>
    <w:p w14:paraId="298F5891" w14:textId="573FA38F" w:rsidR="007F069E" w:rsidRDefault="00DC4F06" w:rsidP="00CD5654">
      <w:pPr>
        <w:pStyle w:val="BodyText"/>
        <w:rPr>
          <w:rFonts w:ascii="Georgia" w:eastAsiaTheme="majorEastAsia" w:hAnsi="Georgia" w:cstheme="majorBidi"/>
          <w:b/>
          <w:bCs/>
          <w:color w:val="1B556B"/>
          <w:sz w:val="48"/>
          <w:szCs w:val="28"/>
        </w:rPr>
      </w:pPr>
      <w:r w:rsidRPr="00B275E2">
        <w:rPr>
          <w:spacing w:val="-2"/>
        </w:rPr>
        <w:t>O</w:t>
      </w:r>
      <w:r w:rsidR="00B276B8" w:rsidRPr="00B275E2">
        <w:rPr>
          <w:spacing w:val="-2"/>
        </w:rPr>
        <w:t xml:space="preserve">rganisations </w:t>
      </w:r>
      <w:r w:rsidRPr="00B275E2">
        <w:rPr>
          <w:spacing w:val="-2"/>
        </w:rPr>
        <w:t xml:space="preserve">that </w:t>
      </w:r>
      <w:r w:rsidR="00B276B8" w:rsidRPr="00B275E2">
        <w:rPr>
          <w:spacing w:val="-2"/>
        </w:rPr>
        <w:t>have their own geothermal energy source</w:t>
      </w:r>
      <w:r w:rsidRPr="00B275E2">
        <w:rPr>
          <w:spacing w:val="-2"/>
        </w:rPr>
        <w:t xml:space="preserve"> can</w:t>
      </w:r>
      <w:r w:rsidR="00B276B8" w:rsidRPr="00B275E2">
        <w:rPr>
          <w:spacing w:val="-2"/>
        </w:rPr>
        <w:t xml:space="preserve"> calculate</w:t>
      </w:r>
      <w:r w:rsidRPr="00B275E2">
        <w:rPr>
          <w:spacing w:val="-2"/>
        </w:rPr>
        <w:t xml:space="preserve"> emissions</w:t>
      </w:r>
      <w:r w:rsidR="00B276B8" w:rsidRPr="00B275E2">
        <w:rPr>
          <w:spacing w:val="-2"/>
        </w:rPr>
        <w:t xml:space="preserve"> separately</w:t>
      </w:r>
      <w:r w:rsidR="00B276B8" w:rsidRPr="00B275E2">
        <w:t xml:space="preserve"> </w:t>
      </w:r>
      <w:r w:rsidRPr="00B275E2">
        <w:t>using a</w:t>
      </w:r>
      <w:r w:rsidR="00B276B8" w:rsidRPr="00B275E2">
        <w:t xml:space="preserve"> unique emission factor. Depending on the steam coming from the borehole</w:t>
      </w:r>
      <w:r w:rsidRPr="00B275E2">
        <w:t>,</w:t>
      </w:r>
      <w:r w:rsidR="00B276B8" w:rsidRPr="00B275E2">
        <w:t xml:space="preserve"> there may or may not be emissions associated with this energy type.</w:t>
      </w:r>
      <w:bookmarkStart w:id="285" w:name="_Indirect_business_related"/>
      <w:bookmarkStart w:id="286" w:name="_Ref532556999"/>
      <w:bookmarkStart w:id="287" w:name="_Toc529960704"/>
      <w:bookmarkStart w:id="288" w:name="_Toc532904893"/>
      <w:bookmarkStart w:id="289" w:name="_Toc600581"/>
      <w:bookmarkStart w:id="290" w:name="_Ref529536179"/>
      <w:bookmarkEnd w:id="285"/>
      <w:r w:rsidR="007F069E">
        <w:br w:type="page"/>
      </w:r>
    </w:p>
    <w:p w14:paraId="406D0244" w14:textId="0A20DB72" w:rsidR="00075073" w:rsidRPr="00B275E2" w:rsidRDefault="1CB70A98" w:rsidP="00C24B73">
      <w:pPr>
        <w:pStyle w:val="Heading1"/>
        <w:numPr>
          <w:ilvl w:val="0"/>
          <w:numId w:val="15"/>
        </w:numPr>
      </w:pPr>
      <w:bookmarkStart w:id="291" w:name="_Toc111536788"/>
      <w:r>
        <w:lastRenderedPageBreak/>
        <w:t xml:space="preserve">Indirect </w:t>
      </w:r>
      <w:r w:rsidR="4B74DD67">
        <w:t>b</w:t>
      </w:r>
      <w:r w:rsidR="2BFDABF5">
        <w:t>usiness</w:t>
      </w:r>
      <w:r w:rsidR="4DFB0735">
        <w:t>-</w:t>
      </w:r>
      <w:r w:rsidR="2BFDABF5">
        <w:t xml:space="preserve">related </w:t>
      </w:r>
      <w:r w:rsidR="7557CFF4">
        <w:t>emission</w:t>
      </w:r>
      <w:r w:rsidR="517D13DC">
        <w:t> </w:t>
      </w:r>
      <w:r w:rsidR="7557CFF4">
        <w:t>factors</w:t>
      </w:r>
      <w:bookmarkEnd w:id="291"/>
    </w:p>
    <w:p w14:paraId="30FCD2B4" w14:textId="542C48BE" w:rsidR="00075073" w:rsidRPr="00B275E2" w:rsidRDefault="00075073" w:rsidP="007F0B1E">
      <w:pPr>
        <w:pStyle w:val="BodyText"/>
      </w:pPr>
      <w:r w:rsidRPr="00B275E2">
        <w:t xml:space="preserve">This chapter includes guidance and emissions factors relating to indirect (Scope 3) emissions from business activities not covered in other chapters. </w:t>
      </w:r>
    </w:p>
    <w:p w14:paraId="015EF490" w14:textId="77777777" w:rsidR="00E2459B" w:rsidRPr="00B275E2" w:rsidRDefault="00E2459B" w:rsidP="00C24B73">
      <w:pPr>
        <w:pStyle w:val="Heading2"/>
        <w:numPr>
          <w:ilvl w:val="0"/>
          <w:numId w:val="25"/>
        </w:numPr>
      </w:pPr>
      <w:bookmarkStart w:id="292" w:name="_Toc111536789"/>
      <w:r w:rsidRPr="00B275E2">
        <w:t>Overview of changes since previous update</w:t>
      </w:r>
      <w:bookmarkEnd w:id="292"/>
    </w:p>
    <w:p w14:paraId="32D8EEB6" w14:textId="3B20CF96" w:rsidR="00E2459B" w:rsidRPr="00B275E2" w:rsidRDefault="00E2459B" w:rsidP="00385983">
      <w:pPr>
        <w:pStyle w:val="BodyText"/>
      </w:pPr>
      <w:r w:rsidRPr="00B275E2">
        <w:t xml:space="preserve">The methodology for calculation of working from home emissions have been updated since the previous guidance. This is to align with international </w:t>
      </w:r>
      <w:r w:rsidR="174CB619" w:rsidRPr="00B275E2">
        <w:t xml:space="preserve">practice. </w:t>
      </w:r>
    </w:p>
    <w:p w14:paraId="6E2C21B9" w14:textId="7C432F00" w:rsidR="00075073" w:rsidRPr="00B275E2" w:rsidRDefault="00075073" w:rsidP="00C24B73">
      <w:pPr>
        <w:pStyle w:val="Heading2"/>
        <w:numPr>
          <w:ilvl w:val="0"/>
          <w:numId w:val="25"/>
        </w:numPr>
      </w:pPr>
      <w:bookmarkStart w:id="293" w:name="_Toc111536790"/>
      <w:r w:rsidRPr="00B275E2">
        <w:t>Emissions associated with employees working from home</w:t>
      </w:r>
      <w:bookmarkEnd w:id="293"/>
    </w:p>
    <w:p w14:paraId="2E16AA59" w14:textId="638B003E" w:rsidR="00075073" w:rsidRPr="00B275E2" w:rsidRDefault="00075073" w:rsidP="007F0B1E">
      <w:pPr>
        <w:pStyle w:val="BodyText"/>
      </w:pPr>
      <w:r w:rsidRPr="00B275E2">
        <w:t>This section</w:t>
      </w:r>
      <w:r w:rsidRPr="00B275E2" w:rsidDel="00CF03A8">
        <w:t xml:space="preserve"> </w:t>
      </w:r>
      <w:r w:rsidRPr="00B275E2">
        <w:t xml:space="preserve">provides </w:t>
      </w:r>
      <w:r w:rsidR="00E2459B" w:rsidRPr="00B275E2">
        <w:t>three</w:t>
      </w:r>
      <w:r w:rsidRPr="00B275E2">
        <w:t xml:space="preserve"> emission factors, which incorporate typical emission sources associated with the activities of employees working from home. These emission factors can be used by employers to estimate the indirect (Scope 3) emissions associated with staff working from home. The</w:t>
      </w:r>
      <w:r w:rsidR="003330E4" w:rsidRPr="00B275E2">
        <w:t xml:space="preserve"> three</w:t>
      </w:r>
      <w:r w:rsidRPr="00B275E2">
        <w:t xml:space="preserve"> emission factors for working from home are:</w:t>
      </w:r>
    </w:p>
    <w:p w14:paraId="367DA135" w14:textId="1F814D98" w:rsidR="003330E4" w:rsidRPr="00B275E2" w:rsidRDefault="003330E4" w:rsidP="00385983">
      <w:pPr>
        <w:pStyle w:val="Bullet"/>
      </w:pPr>
      <w:r w:rsidRPr="00B275E2">
        <w:t xml:space="preserve">Working from home – Default </w:t>
      </w:r>
    </w:p>
    <w:p w14:paraId="3691E0CA" w14:textId="02634C95" w:rsidR="00075073" w:rsidRPr="00B275E2" w:rsidRDefault="00075073" w:rsidP="00385983">
      <w:pPr>
        <w:pStyle w:val="Bullet"/>
      </w:pPr>
      <w:r w:rsidRPr="00B275E2">
        <w:t>Working from home – Without heating</w:t>
      </w:r>
    </w:p>
    <w:p w14:paraId="156971AA" w14:textId="39DDE376" w:rsidR="00075073" w:rsidRPr="00B275E2" w:rsidRDefault="00075073" w:rsidP="00385983">
      <w:pPr>
        <w:pStyle w:val="Bullet"/>
      </w:pPr>
      <w:r w:rsidRPr="00B275E2">
        <w:t>Working from home – With heating</w:t>
      </w:r>
      <w:r w:rsidR="00F13FE7" w:rsidRPr="00B275E2">
        <w:t>.</w:t>
      </w:r>
    </w:p>
    <w:p w14:paraId="093A36CA" w14:textId="133D1642" w:rsidR="00075073" w:rsidRPr="00B275E2" w:rsidRDefault="003330E4" w:rsidP="00385983">
      <w:pPr>
        <w:pStyle w:val="BodyText"/>
      </w:pPr>
      <w:r w:rsidRPr="00B275E2">
        <w:t>All three</w:t>
      </w:r>
      <w:r w:rsidR="00075073" w:rsidRPr="00B275E2">
        <w:t xml:space="preserve"> emission factors have been developed based on typical uses of the following emissions sources by staff members working from home; a laptop plus monitor, lighting and optionally heating.</w:t>
      </w:r>
      <w:r w:rsidR="00C0176B" w:rsidRPr="00B275E2">
        <w:t xml:space="preserve"> </w:t>
      </w:r>
      <w:r w:rsidR="00C0176B" w:rsidRPr="00B275E2">
        <w:rPr>
          <w:rFonts w:eastAsia="Times New Roman" w:cs="Calibri"/>
        </w:rPr>
        <w:t xml:space="preserve">The default factor assumes heating is run for five months of the year and </w:t>
      </w:r>
      <w:r w:rsidR="00B5555E" w:rsidRPr="00B275E2">
        <w:rPr>
          <w:rFonts w:eastAsia="Times New Roman" w:cs="Calibri"/>
        </w:rPr>
        <w:t>could</w:t>
      </w:r>
      <w:r w:rsidR="00C0176B" w:rsidRPr="00B275E2">
        <w:rPr>
          <w:rFonts w:eastAsia="Times New Roman" w:cs="Calibri"/>
        </w:rPr>
        <w:t xml:space="preserve"> be used where more granular data on the actual use of home heating is </w:t>
      </w:r>
      <w:r w:rsidR="001A69D1">
        <w:rPr>
          <w:rFonts w:eastAsia="Times New Roman" w:cs="Calibri"/>
        </w:rPr>
        <w:t xml:space="preserve">not </w:t>
      </w:r>
      <w:r w:rsidR="00C0176B" w:rsidRPr="00B275E2">
        <w:rPr>
          <w:rFonts w:eastAsia="Times New Roman" w:cs="Calibri"/>
        </w:rPr>
        <w:t>available.</w:t>
      </w:r>
    </w:p>
    <w:p w14:paraId="1954A76C" w14:textId="77777777" w:rsidR="00075073" w:rsidRPr="00B275E2" w:rsidRDefault="00075073" w:rsidP="007F0B1E">
      <w:pPr>
        <w:pStyle w:val="BodyText"/>
      </w:pPr>
      <w:r w:rsidRPr="00B275E2">
        <w:t xml:space="preserve">Should an organisation wish to quantify their employees working from home emissions in more detail they can survey staff and use the data provided in </w:t>
      </w:r>
      <w:hyperlink w:anchor="table14">
        <w:r w:rsidRPr="00B275E2">
          <w:rPr>
            <w:rStyle w:val="Hyperlink"/>
          </w:rPr>
          <w:t>table 14</w:t>
        </w:r>
      </w:hyperlink>
      <w:r w:rsidRPr="00B275E2">
        <w:t>, or various emissions factors from other chapters in this guide.</w:t>
      </w:r>
    </w:p>
    <w:p w14:paraId="5FA78B03" w14:textId="1F27C8BC" w:rsidR="00075073" w:rsidRPr="00B275E2" w:rsidRDefault="00075073" w:rsidP="007F0B1E">
      <w:pPr>
        <w:pStyle w:val="BodyText"/>
      </w:pPr>
      <w:r w:rsidRPr="00B275E2">
        <w:t>Another change made this year was to remove the use of kettles, waste</w:t>
      </w:r>
      <w:r w:rsidR="00BB5096" w:rsidRPr="00B275E2">
        <w:t>,</w:t>
      </w:r>
      <w:r w:rsidRPr="00B275E2">
        <w:t xml:space="preserve"> and wastewater, and to assume only laptops are used (previously it was split between desktop and laptop). This change was made to more closely align with subsequently developed </w:t>
      </w:r>
      <w:r w:rsidR="00013968" w:rsidRPr="00B275E2">
        <w:t>w</w:t>
      </w:r>
      <w:r w:rsidRPr="00B275E2">
        <w:t xml:space="preserve">orking from </w:t>
      </w:r>
      <w:r w:rsidR="00013968" w:rsidRPr="00B275E2">
        <w:t>h</w:t>
      </w:r>
      <w:r w:rsidRPr="00B275E2">
        <w:t>ome method</w:t>
      </w:r>
      <w:r w:rsidR="0059284D" w:rsidRPr="00B275E2">
        <w:t>ologies from</w:t>
      </w:r>
      <w:r w:rsidRPr="00B275E2">
        <w:t xml:space="preserve"> the </w:t>
      </w:r>
      <w:r w:rsidR="0059284D" w:rsidRPr="00B275E2">
        <w:t xml:space="preserve">United Kingdom and </w:t>
      </w:r>
      <w:r w:rsidR="001A69D1">
        <w:t>t</w:t>
      </w:r>
      <w:r w:rsidR="0059284D" w:rsidRPr="00B275E2">
        <w:t>he United States of America</w:t>
      </w:r>
      <w:r w:rsidRPr="00B275E2">
        <w:t>.</w:t>
      </w:r>
    </w:p>
    <w:p w14:paraId="25EE176C" w14:textId="3B6FF2D2" w:rsidR="00BB471F" w:rsidRPr="00B275E2" w:rsidRDefault="00075073" w:rsidP="007F0B1E">
      <w:pPr>
        <w:pStyle w:val="BodyText"/>
      </w:pPr>
      <w:r w:rsidRPr="00B275E2">
        <w:t xml:space="preserve">Note the </w:t>
      </w:r>
      <w:r w:rsidRPr="00B275E2">
        <w:rPr>
          <w:iCs/>
        </w:rPr>
        <w:t xml:space="preserve">Working from home – With heating </w:t>
      </w:r>
      <w:r w:rsidRPr="00B275E2">
        <w:t>factor should only be used when heating is additional to what would normally be used. In other words, when the heater is being used over</w:t>
      </w:r>
      <w:r w:rsidR="00385983" w:rsidRPr="00B275E2">
        <w:t> </w:t>
      </w:r>
      <w:r w:rsidRPr="00B275E2">
        <w:t>and above the normal home heating use.</w:t>
      </w:r>
      <w:r w:rsidR="00E864A1" w:rsidRPr="00B275E2">
        <w:t xml:space="preserve"> </w:t>
      </w:r>
      <w:r w:rsidR="009674A9" w:rsidRPr="00B275E2">
        <w:t>Noting this factor assumes six hours of heating</w:t>
      </w:r>
      <w:r w:rsidR="008710C5" w:rsidRPr="00B275E2">
        <w:t> </w:t>
      </w:r>
      <w:r w:rsidR="009674A9" w:rsidRPr="00B275E2">
        <w:t>per day.</w:t>
      </w:r>
    </w:p>
    <w:p w14:paraId="50DE65F0" w14:textId="004896E9" w:rsidR="00075073" w:rsidRPr="00B275E2" w:rsidRDefault="00075073" w:rsidP="00385983">
      <w:pPr>
        <w:pStyle w:val="Tableheading"/>
      </w:pPr>
      <w:bookmarkStart w:id="294" w:name="_Toc111536619"/>
      <w:r w:rsidRPr="00B275E2">
        <w:t xml:space="preserve">Table </w:t>
      </w:r>
      <w:r>
        <w:fldChar w:fldCharType="begin"/>
      </w:r>
      <w:r>
        <w:instrText>SEQ Table \* ARABIC</w:instrText>
      </w:r>
      <w:r>
        <w:fldChar w:fldCharType="separate"/>
      </w:r>
      <w:r w:rsidR="003E141C" w:rsidRPr="00B275E2">
        <w:t>14</w:t>
      </w:r>
      <w:r>
        <w:fldChar w:fldCharType="end"/>
      </w:r>
      <w:r w:rsidRPr="00B275E2">
        <w:t>:</w:t>
      </w:r>
      <w:r w:rsidRPr="00B275E2">
        <w:tab/>
        <w:t>Working from home emission factors</w:t>
      </w:r>
      <w:bookmarkEnd w:id="294"/>
    </w:p>
    <w:tbl>
      <w:tblPr>
        <w:tblW w:w="8493" w:type="dxa"/>
        <w:tblBorders>
          <w:top w:val="single" w:sz="4" w:space="0" w:color="1B556B"/>
          <w:bottom w:val="single" w:sz="4" w:space="0" w:color="1B556B"/>
          <w:insideH w:val="single" w:sz="4" w:space="0" w:color="1B556B"/>
          <w:insideV w:val="single" w:sz="4" w:space="0" w:color="1B556B"/>
        </w:tblBorders>
        <w:tblLayout w:type="fixed"/>
        <w:tblCellMar>
          <w:left w:w="85" w:type="dxa"/>
          <w:right w:w="85" w:type="dxa"/>
        </w:tblCellMar>
        <w:tblLook w:val="04A0" w:firstRow="1" w:lastRow="0" w:firstColumn="1" w:lastColumn="0" w:noHBand="0" w:noVBand="1"/>
      </w:tblPr>
      <w:tblGrid>
        <w:gridCol w:w="2199"/>
        <w:gridCol w:w="1504"/>
        <w:gridCol w:w="1215"/>
        <w:gridCol w:w="1330"/>
        <w:gridCol w:w="1099"/>
        <w:gridCol w:w="1146"/>
      </w:tblGrid>
      <w:tr w:rsidR="00F85C43" w:rsidRPr="00B275E2" w14:paraId="7A4FB255" w14:textId="77777777" w:rsidTr="00F85C43">
        <w:tc>
          <w:tcPr>
            <w:tcW w:w="2155" w:type="dxa"/>
            <w:shd w:val="clear" w:color="auto" w:fill="1C556C" w:themeFill="accent1"/>
            <w:noWrap/>
            <w:vAlign w:val="bottom"/>
            <w:hideMark/>
          </w:tcPr>
          <w:p w14:paraId="7EF99953" w14:textId="77777777" w:rsidR="00075073" w:rsidRPr="00B275E2" w:rsidRDefault="00075073" w:rsidP="00EA7EF4">
            <w:pPr>
              <w:pStyle w:val="TableText"/>
              <w:keepNext/>
              <w:rPr>
                <w:rFonts w:eastAsia="Times New Roman"/>
                <w:b/>
                <w:color w:val="FFFFFF" w:themeColor="background1"/>
                <w:szCs w:val="18"/>
              </w:rPr>
            </w:pPr>
            <w:r w:rsidRPr="00B275E2">
              <w:rPr>
                <w:rFonts w:eastAsia="Times New Roman"/>
                <w:b/>
                <w:color w:val="FFFFFF" w:themeColor="background1"/>
                <w:szCs w:val="18"/>
              </w:rPr>
              <w:t>Emission source</w:t>
            </w:r>
          </w:p>
        </w:tc>
        <w:tc>
          <w:tcPr>
            <w:tcW w:w="1474" w:type="dxa"/>
            <w:shd w:val="clear" w:color="auto" w:fill="1C556C" w:themeFill="accent1"/>
            <w:noWrap/>
            <w:vAlign w:val="bottom"/>
            <w:hideMark/>
          </w:tcPr>
          <w:p w14:paraId="487C0FFF" w14:textId="77777777" w:rsidR="00075073" w:rsidRPr="00B275E2" w:rsidRDefault="00075073" w:rsidP="00EA7EF4">
            <w:pPr>
              <w:pStyle w:val="TableText"/>
              <w:keepNext/>
              <w:rPr>
                <w:rFonts w:eastAsia="Times New Roman"/>
                <w:b/>
                <w:color w:val="FFFFFF" w:themeColor="background1"/>
                <w:szCs w:val="18"/>
              </w:rPr>
            </w:pPr>
            <w:r w:rsidRPr="00B275E2">
              <w:rPr>
                <w:rFonts w:eastAsia="Times New Roman"/>
                <w:b/>
                <w:color w:val="FFFFFF" w:themeColor="background1"/>
                <w:szCs w:val="18"/>
              </w:rPr>
              <w:t>Unit</w:t>
            </w:r>
          </w:p>
        </w:tc>
        <w:tc>
          <w:tcPr>
            <w:tcW w:w="1191" w:type="dxa"/>
            <w:tcBorders>
              <w:bottom w:val="single" w:sz="4" w:space="0" w:color="1B556B"/>
            </w:tcBorders>
            <w:shd w:val="clear" w:color="auto" w:fill="D2DDE1" w:themeFill="background2"/>
            <w:noWrap/>
            <w:vAlign w:val="bottom"/>
            <w:hideMark/>
          </w:tcPr>
          <w:p w14:paraId="5A7E7371" w14:textId="77777777" w:rsidR="00075073" w:rsidRPr="00B275E2" w:rsidRDefault="00075073" w:rsidP="00EA7EF4">
            <w:pPr>
              <w:pStyle w:val="TableText"/>
              <w:keepNext/>
              <w:jc w:val="right"/>
              <w:rPr>
                <w:rFonts w:eastAsia="Times New Roman"/>
                <w:b/>
                <w:szCs w:val="18"/>
              </w:rPr>
            </w:pPr>
            <w:r w:rsidRPr="00B275E2">
              <w:rPr>
                <w:rFonts w:eastAsia="Times New Roman"/>
                <w:b/>
                <w:szCs w:val="18"/>
              </w:rPr>
              <w:t>kg CO</w:t>
            </w:r>
            <w:r w:rsidRPr="00B275E2">
              <w:rPr>
                <w:rFonts w:eastAsia="Times New Roman"/>
                <w:b/>
                <w:szCs w:val="18"/>
                <w:vertAlign w:val="subscript"/>
              </w:rPr>
              <w:t>2</w:t>
            </w:r>
            <w:r w:rsidRPr="00B275E2">
              <w:rPr>
                <w:rFonts w:eastAsia="Times New Roman"/>
                <w:b/>
                <w:szCs w:val="18"/>
              </w:rPr>
              <w:t>-e/unit</w:t>
            </w:r>
          </w:p>
        </w:tc>
        <w:tc>
          <w:tcPr>
            <w:tcW w:w="1304" w:type="dxa"/>
            <w:shd w:val="clear" w:color="auto" w:fill="1C556C" w:themeFill="accent1"/>
            <w:noWrap/>
            <w:vAlign w:val="bottom"/>
            <w:hideMark/>
          </w:tcPr>
          <w:p w14:paraId="401F8CAB" w14:textId="77777777" w:rsidR="00075073" w:rsidRPr="00B275E2" w:rsidRDefault="00075073" w:rsidP="00EA7EF4">
            <w:pPr>
              <w:pStyle w:val="TableText"/>
              <w:keepNext/>
              <w:jc w:val="right"/>
              <w:rPr>
                <w:rFonts w:eastAsia="Times New Roman"/>
                <w:b/>
                <w:color w:val="FFFFFF" w:themeColor="background1"/>
                <w:szCs w:val="18"/>
              </w:rPr>
            </w:pPr>
            <w:r w:rsidRPr="00B275E2">
              <w:rPr>
                <w:rFonts w:eastAsia="Times New Roman"/>
                <w:b/>
                <w:color w:val="FFFFFF" w:themeColor="background1"/>
                <w:szCs w:val="18"/>
              </w:rPr>
              <w:t>kg CO</w:t>
            </w:r>
            <w:r w:rsidRPr="00B275E2">
              <w:rPr>
                <w:b/>
                <w:color w:val="FFFFFF" w:themeColor="background1"/>
                <w:vertAlign w:val="subscript"/>
              </w:rPr>
              <w:t>2</w:t>
            </w:r>
            <w:r w:rsidRPr="00B275E2">
              <w:rPr>
                <w:b/>
                <w:color w:val="FFFFFF" w:themeColor="background1"/>
              </w:rPr>
              <w:t>/unit</w:t>
            </w:r>
            <w:r w:rsidRPr="00B275E2">
              <w:rPr>
                <w:rFonts w:eastAsia="Times New Roman"/>
                <w:b/>
                <w:color w:val="FFFFFF" w:themeColor="background1"/>
                <w:szCs w:val="18"/>
              </w:rPr>
              <w:t xml:space="preserve"> (kg CO</w:t>
            </w:r>
            <w:r w:rsidRPr="00B275E2">
              <w:rPr>
                <w:b/>
                <w:color w:val="FFFFFF" w:themeColor="background1"/>
                <w:vertAlign w:val="subscript"/>
              </w:rPr>
              <w:t>2</w:t>
            </w:r>
            <w:r w:rsidRPr="00B275E2">
              <w:rPr>
                <w:rFonts w:eastAsia="Times New Roman"/>
                <w:b/>
                <w:color w:val="FFFFFF" w:themeColor="background1"/>
                <w:szCs w:val="18"/>
              </w:rPr>
              <w:noBreakHyphen/>
              <w:t>e)</w:t>
            </w:r>
          </w:p>
        </w:tc>
        <w:tc>
          <w:tcPr>
            <w:tcW w:w="1077" w:type="dxa"/>
            <w:shd w:val="clear" w:color="auto" w:fill="1C556C" w:themeFill="accent1"/>
            <w:noWrap/>
            <w:vAlign w:val="bottom"/>
            <w:hideMark/>
          </w:tcPr>
          <w:p w14:paraId="15645510" w14:textId="77777777" w:rsidR="00075073" w:rsidRPr="00B275E2" w:rsidRDefault="00075073" w:rsidP="00EA7EF4">
            <w:pPr>
              <w:pStyle w:val="TableText"/>
              <w:keepNext/>
              <w:jc w:val="right"/>
              <w:rPr>
                <w:rFonts w:eastAsia="Times New Roman"/>
                <w:b/>
                <w:color w:val="FFFFFF" w:themeColor="background1"/>
                <w:szCs w:val="18"/>
              </w:rPr>
            </w:pPr>
            <w:r w:rsidRPr="00B275E2">
              <w:rPr>
                <w:rFonts w:eastAsia="Times New Roman"/>
                <w:b/>
                <w:color w:val="FFFFFF" w:themeColor="background1"/>
                <w:szCs w:val="18"/>
              </w:rPr>
              <w:t>kg CH</w:t>
            </w:r>
            <w:r w:rsidRPr="00B275E2">
              <w:rPr>
                <w:b/>
                <w:color w:val="FFFFFF" w:themeColor="background1"/>
                <w:vertAlign w:val="subscript"/>
              </w:rPr>
              <w:t>4</w:t>
            </w:r>
            <w:r w:rsidRPr="00B275E2">
              <w:rPr>
                <w:rFonts w:eastAsia="Times New Roman"/>
                <w:b/>
                <w:color w:val="FFFFFF" w:themeColor="background1"/>
                <w:szCs w:val="18"/>
              </w:rPr>
              <w:t xml:space="preserve">/unit </w:t>
            </w:r>
            <w:r w:rsidRPr="00B275E2">
              <w:rPr>
                <w:rFonts w:eastAsia="Times New Roman"/>
                <w:b/>
                <w:color w:val="FFFFFF" w:themeColor="background1"/>
                <w:szCs w:val="18"/>
              </w:rPr>
              <w:br/>
              <w:t>(kg CO</w:t>
            </w:r>
            <w:r w:rsidRPr="00B275E2">
              <w:rPr>
                <w:b/>
                <w:color w:val="FFFFFF" w:themeColor="background1"/>
                <w:vertAlign w:val="subscript"/>
              </w:rPr>
              <w:t>2</w:t>
            </w:r>
            <w:r w:rsidRPr="00B275E2">
              <w:rPr>
                <w:rFonts w:eastAsia="Times New Roman"/>
                <w:b/>
                <w:color w:val="FFFFFF" w:themeColor="background1"/>
                <w:szCs w:val="18"/>
              </w:rPr>
              <w:noBreakHyphen/>
              <w:t>e)</w:t>
            </w:r>
          </w:p>
        </w:tc>
        <w:tc>
          <w:tcPr>
            <w:tcW w:w="1123" w:type="dxa"/>
            <w:shd w:val="clear" w:color="auto" w:fill="1C556C" w:themeFill="accent1"/>
            <w:noWrap/>
            <w:vAlign w:val="bottom"/>
            <w:hideMark/>
          </w:tcPr>
          <w:p w14:paraId="45201197" w14:textId="77777777" w:rsidR="00075073" w:rsidRPr="00B275E2" w:rsidRDefault="00075073" w:rsidP="00EA7EF4">
            <w:pPr>
              <w:pStyle w:val="TableText"/>
              <w:keepNext/>
              <w:jc w:val="right"/>
              <w:rPr>
                <w:rFonts w:eastAsia="Times New Roman"/>
                <w:b/>
                <w:color w:val="FFFFFF" w:themeColor="background1"/>
                <w:szCs w:val="18"/>
              </w:rPr>
            </w:pPr>
            <w:r w:rsidRPr="00B275E2">
              <w:rPr>
                <w:rFonts w:eastAsia="Times New Roman"/>
                <w:b/>
                <w:color w:val="FFFFFF" w:themeColor="background1"/>
                <w:szCs w:val="18"/>
              </w:rPr>
              <w:t>kg N</w:t>
            </w:r>
            <w:r w:rsidRPr="00B275E2">
              <w:rPr>
                <w:b/>
                <w:color w:val="FFFFFF" w:themeColor="background1"/>
                <w:vertAlign w:val="subscript"/>
              </w:rPr>
              <w:t>2</w:t>
            </w:r>
            <w:r w:rsidRPr="00B275E2">
              <w:rPr>
                <w:rFonts w:eastAsia="Times New Roman"/>
                <w:b/>
                <w:color w:val="FFFFFF" w:themeColor="background1"/>
                <w:szCs w:val="18"/>
              </w:rPr>
              <w:t xml:space="preserve">O/unit </w:t>
            </w:r>
            <w:r w:rsidRPr="00B275E2">
              <w:rPr>
                <w:rFonts w:eastAsia="Times New Roman"/>
                <w:b/>
                <w:color w:val="FFFFFF" w:themeColor="background1"/>
                <w:szCs w:val="18"/>
              </w:rPr>
              <w:br/>
              <w:t>(kg CO</w:t>
            </w:r>
            <w:r w:rsidRPr="00B275E2">
              <w:rPr>
                <w:b/>
                <w:color w:val="FFFFFF" w:themeColor="background1"/>
                <w:vertAlign w:val="subscript"/>
              </w:rPr>
              <w:t>2</w:t>
            </w:r>
            <w:r w:rsidRPr="00B275E2">
              <w:rPr>
                <w:rFonts w:eastAsia="Times New Roman"/>
                <w:b/>
                <w:color w:val="FFFFFF" w:themeColor="background1"/>
                <w:szCs w:val="18"/>
              </w:rPr>
              <w:noBreakHyphen/>
              <w:t>e)</w:t>
            </w:r>
          </w:p>
        </w:tc>
      </w:tr>
      <w:tr w:rsidR="00F85C43" w:rsidRPr="00B275E2" w14:paraId="6A009997" w14:textId="77777777" w:rsidTr="00F85C43">
        <w:tc>
          <w:tcPr>
            <w:tcW w:w="2155" w:type="dxa"/>
            <w:shd w:val="clear" w:color="auto" w:fill="auto"/>
          </w:tcPr>
          <w:p w14:paraId="55AF4992" w14:textId="62208E29" w:rsidR="009674A9" w:rsidRPr="00B275E2" w:rsidRDefault="009674A9" w:rsidP="007F0B1E">
            <w:pPr>
              <w:pStyle w:val="TableText"/>
              <w:rPr>
                <w:rFonts w:cs="Calibri"/>
                <w:szCs w:val="18"/>
              </w:rPr>
            </w:pPr>
            <w:r w:rsidRPr="00B275E2">
              <w:rPr>
                <w:rFonts w:cs="Calibri"/>
                <w:szCs w:val="18"/>
              </w:rPr>
              <w:t xml:space="preserve">Working from home – Default </w:t>
            </w:r>
          </w:p>
        </w:tc>
        <w:tc>
          <w:tcPr>
            <w:tcW w:w="1474" w:type="dxa"/>
            <w:shd w:val="clear" w:color="auto" w:fill="auto"/>
            <w:noWrap/>
          </w:tcPr>
          <w:p w14:paraId="40A64EDD" w14:textId="1F24F7C8" w:rsidR="009674A9" w:rsidRPr="00B275E2" w:rsidRDefault="009674A9" w:rsidP="007F0B1E">
            <w:pPr>
              <w:pStyle w:val="TableText"/>
              <w:rPr>
                <w:rFonts w:cs="Calibri"/>
                <w:szCs w:val="18"/>
              </w:rPr>
            </w:pPr>
            <w:r w:rsidRPr="00B275E2">
              <w:rPr>
                <w:rFonts w:cs="Calibri"/>
                <w:szCs w:val="18"/>
              </w:rPr>
              <w:t>employee per day</w:t>
            </w:r>
          </w:p>
        </w:tc>
        <w:tc>
          <w:tcPr>
            <w:tcW w:w="1191" w:type="dxa"/>
            <w:shd w:val="clear" w:color="auto" w:fill="D2DDE1" w:themeFill="background2"/>
            <w:noWrap/>
          </w:tcPr>
          <w:p w14:paraId="472C528B" w14:textId="2845522C" w:rsidR="009674A9" w:rsidRPr="00B275E2" w:rsidRDefault="009674A9" w:rsidP="007F0B1E">
            <w:pPr>
              <w:pStyle w:val="TableText"/>
              <w:jc w:val="right"/>
              <w:rPr>
                <w:rFonts w:eastAsia="Times New Roman"/>
                <w:szCs w:val="18"/>
              </w:rPr>
            </w:pPr>
            <w:r w:rsidRPr="00B275E2">
              <w:rPr>
                <w:rFonts w:eastAsia="Times New Roman"/>
                <w:szCs w:val="18"/>
              </w:rPr>
              <w:t>0.446</w:t>
            </w:r>
          </w:p>
        </w:tc>
        <w:tc>
          <w:tcPr>
            <w:tcW w:w="1304" w:type="dxa"/>
            <w:shd w:val="clear" w:color="auto" w:fill="auto"/>
            <w:noWrap/>
          </w:tcPr>
          <w:p w14:paraId="0A678BAC" w14:textId="6230F31C" w:rsidR="009674A9" w:rsidRPr="00B275E2" w:rsidRDefault="009674A9" w:rsidP="007F0B1E">
            <w:pPr>
              <w:pStyle w:val="TableText"/>
              <w:jc w:val="right"/>
              <w:rPr>
                <w:rFonts w:eastAsia="Times New Roman"/>
                <w:szCs w:val="18"/>
              </w:rPr>
            </w:pPr>
            <w:r w:rsidRPr="00B275E2">
              <w:rPr>
                <w:rFonts w:eastAsia="Times New Roman"/>
                <w:szCs w:val="18"/>
              </w:rPr>
              <w:t>0.429</w:t>
            </w:r>
          </w:p>
        </w:tc>
        <w:tc>
          <w:tcPr>
            <w:tcW w:w="1077" w:type="dxa"/>
            <w:shd w:val="clear" w:color="auto" w:fill="auto"/>
            <w:noWrap/>
          </w:tcPr>
          <w:p w14:paraId="4165EB8C" w14:textId="5F10C263" w:rsidR="009674A9" w:rsidRPr="00B275E2" w:rsidRDefault="009674A9" w:rsidP="007F0B1E">
            <w:pPr>
              <w:pStyle w:val="TableText"/>
              <w:jc w:val="right"/>
              <w:rPr>
                <w:rFonts w:eastAsia="Times New Roman"/>
                <w:szCs w:val="18"/>
              </w:rPr>
            </w:pPr>
            <w:r w:rsidRPr="00B275E2">
              <w:rPr>
                <w:rFonts w:eastAsia="Times New Roman"/>
                <w:szCs w:val="18"/>
              </w:rPr>
              <w:t>0.0170</w:t>
            </w:r>
          </w:p>
        </w:tc>
        <w:tc>
          <w:tcPr>
            <w:tcW w:w="1123" w:type="dxa"/>
            <w:shd w:val="clear" w:color="auto" w:fill="auto"/>
            <w:noWrap/>
          </w:tcPr>
          <w:p w14:paraId="7E0A3E2F" w14:textId="02091450" w:rsidR="009674A9" w:rsidRPr="00B275E2" w:rsidRDefault="009674A9" w:rsidP="007F0B1E">
            <w:pPr>
              <w:pStyle w:val="TableText"/>
              <w:jc w:val="right"/>
              <w:rPr>
                <w:rFonts w:eastAsia="Times New Roman"/>
                <w:szCs w:val="18"/>
              </w:rPr>
            </w:pPr>
            <w:r w:rsidRPr="00B275E2">
              <w:rPr>
                <w:rFonts w:eastAsia="Times New Roman"/>
                <w:szCs w:val="18"/>
              </w:rPr>
              <w:t>0.00061</w:t>
            </w:r>
          </w:p>
        </w:tc>
      </w:tr>
      <w:tr w:rsidR="00F85C43" w:rsidRPr="00B275E2" w14:paraId="7B836891" w14:textId="77777777" w:rsidTr="00F85C43">
        <w:tc>
          <w:tcPr>
            <w:tcW w:w="2155" w:type="dxa"/>
            <w:shd w:val="clear" w:color="auto" w:fill="auto"/>
            <w:hideMark/>
          </w:tcPr>
          <w:p w14:paraId="5E7956F8" w14:textId="4A70C630" w:rsidR="00075073" w:rsidRPr="00B275E2" w:rsidRDefault="00075073" w:rsidP="007F0B1E">
            <w:pPr>
              <w:pStyle w:val="TableText"/>
              <w:rPr>
                <w:rFonts w:eastAsia="Times New Roman"/>
                <w:szCs w:val="18"/>
              </w:rPr>
            </w:pPr>
            <w:r w:rsidRPr="00B275E2">
              <w:rPr>
                <w:rFonts w:cs="Calibri"/>
                <w:szCs w:val="18"/>
              </w:rPr>
              <w:lastRenderedPageBreak/>
              <w:t xml:space="preserve">Working from home </w:t>
            </w:r>
            <w:r w:rsidR="00EA7EF4" w:rsidRPr="00B275E2">
              <w:rPr>
                <w:rFonts w:cs="Calibri"/>
                <w:szCs w:val="18"/>
              </w:rPr>
              <w:t>–</w:t>
            </w:r>
            <w:r w:rsidRPr="00B275E2">
              <w:rPr>
                <w:rFonts w:cs="Calibri"/>
                <w:szCs w:val="18"/>
              </w:rPr>
              <w:t xml:space="preserve"> Without heating</w:t>
            </w:r>
          </w:p>
        </w:tc>
        <w:tc>
          <w:tcPr>
            <w:tcW w:w="1474" w:type="dxa"/>
            <w:shd w:val="clear" w:color="auto" w:fill="auto"/>
            <w:noWrap/>
            <w:hideMark/>
          </w:tcPr>
          <w:p w14:paraId="700A5E1A" w14:textId="77777777" w:rsidR="00075073" w:rsidRPr="00B275E2" w:rsidRDefault="00075073" w:rsidP="007F0B1E">
            <w:pPr>
              <w:pStyle w:val="TableText"/>
              <w:rPr>
                <w:rFonts w:eastAsia="Times New Roman"/>
                <w:szCs w:val="18"/>
              </w:rPr>
            </w:pPr>
            <w:r w:rsidRPr="00B275E2">
              <w:rPr>
                <w:rFonts w:cs="Calibri"/>
                <w:szCs w:val="18"/>
              </w:rPr>
              <w:t>employee per day</w:t>
            </w:r>
          </w:p>
        </w:tc>
        <w:tc>
          <w:tcPr>
            <w:tcW w:w="1191" w:type="dxa"/>
            <w:shd w:val="clear" w:color="auto" w:fill="D2DDE1" w:themeFill="background2"/>
            <w:noWrap/>
            <w:hideMark/>
          </w:tcPr>
          <w:p w14:paraId="58C90EDE" w14:textId="77777777" w:rsidR="00075073" w:rsidRPr="00B275E2" w:rsidRDefault="00075073" w:rsidP="007F0B1E">
            <w:pPr>
              <w:pStyle w:val="TableText"/>
              <w:jc w:val="right"/>
              <w:rPr>
                <w:rFonts w:eastAsia="Times New Roman"/>
                <w:szCs w:val="18"/>
              </w:rPr>
            </w:pPr>
            <w:r w:rsidRPr="00B275E2">
              <w:rPr>
                <w:rFonts w:eastAsia="Times New Roman"/>
                <w:szCs w:val="18"/>
              </w:rPr>
              <w:t>0.0665</w:t>
            </w:r>
          </w:p>
        </w:tc>
        <w:tc>
          <w:tcPr>
            <w:tcW w:w="1304" w:type="dxa"/>
            <w:shd w:val="clear" w:color="auto" w:fill="auto"/>
            <w:noWrap/>
            <w:hideMark/>
          </w:tcPr>
          <w:p w14:paraId="344C4B91" w14:textId="77777777" w:rsidR="00075073" w:rsidRPr="00B275E2" w:rsidRDefault="00075073" w:rsidP="007F0B1E">
            <w:pPr>
              <w:pStyle w:val="TableText"/>
              <w:jc w:val="right"/>
              <w:rPr>
                <w:rFonts w:eastAsia="Times New Roman"/>
                <w:szCs w:val="18"/>
              </w:rPr>
            </w:pPr>
            <w:r w:rsidRPr="00B275E2">
              <w:rPr>
                <w:rFonts w:eastAsia="Times New Roman"/>
                <w:szCs w:val="18"/>
              </w:rPr>
              <w:t>0.0638</w:t>
            </w:r>
          </w:p>
        </w:tc>
        <w:tc>
          <w:tcPr>
            <w:tcW w:w="1077" w:type="dxa"/>
            <w:shd w:val="clear" w:color="auto" w:fill="auto"/>
            <w:noWrap/>
            <w:hideMark/>
          </w:tcPr>
          <w:p w14:paraId="6DFBC93F" w14:textId="77777777" w:rsidR="00075073" w:rsidRPr="00B275E2" w:rsidRDefault="00075073" w:rsidP="007F0B1E">
            <w:pPr>
              <w:pStyle w:val="TableText"/>
              <w:jc w:val="right"/>
              <w:rPr>
                <w:rFonts w:eastAsia="Times New Roman"/>
                <w:szCs w:val="18"/>
              </w:rPr>
            </w:pPr>
            <w:r w:rsidRPr="00B275E2">
              <w:rPr>
                <w:rFonts w:eastAsia="Times New Roman"/>
                <w:szCs w:val="18"/>
              </w:rPr>
              <w:t>0.0025</w:t>
            </w:r>
          </w:p>
        </w:tc>
        <w:tc>
          <w:tcPr>
            <w:tcW w:w="1123" w:type="dxa"/>
            <w:shd w:val="clear" w:color="auto" w:fill="auto"/>
            <w:noWrap/>
            <w:hideMark/>
          </w:tcPr>
          <w:p w14:paraId="6F647257" w14:textId="77777777" w:rsidR="00075073" w:rsidRPr="00B275E2" w:rsidRDefault="00075073" w:rsidP="007F0B1E">
            <w:pPr>
              <w:pStyle w:val="TableText"/>
              <w:jc w:val="right"/>
              <w:rPr>
                <w:rFonts w:eastAsia="Times New Roman"/>
                <w:szCs w:val="18"/>
              </w:rPr>
            </w:pPr>
            <w:r w:rsidRPr="00B275E2">
              <w:rPr>
                <w:rFonts w:eastAsia="Times New Roman"/>
                <w:szCs w:val="18"/>
              </w:rPr>
              <w:t>0.00009</w:t>
            </w:r>
          </w:p>
        </w:tc>
      </w:tr>
      <w:tr w:rsidR="00F85C43" w:rsidRPr="00B275E2" w14:paraId="69E21659" w14:textId="77777777" w:rsidTr="00F85C43">
        <w:tc>
          <w:tcPr>
            <w:tcW w:w="2155" w:type="dxa"/>
            <w:shd w:val="clear" w:color="auto" w:fill="auto"/>
          </w:tcPr>
          <w:p w14:paraId="7B4F7157" w14:textId="59C949D1" w:rsidR="00075073" w:rsidRPr="00B275E2" w:rsidRDefault="00075073" w:rsidP="007F0B1E">
            <w:pPr>
              <w:pStyle w:val="TableText"/>
              <w:rPr>
                <w:rFonts w:cs="Calibri"/>
                <w:szCs w:val="18"/>
              </w:rPr>
            </w:pPr>
            <w:r w:rsidRPr="00B275E2">
              <w:rPr>
                <w:rFonts w:cs="Calibri"/>
                <w:szCs w:val="18"/>
              </w:rPr>
              <w:t xml:space="preserve">Working from home </w:t>
            </w:r>
            <w:r w:rsidR="00EA7EF4" w:rsidRPr="00B275E2">
              <w:rPr>
                <w:rFonts w:cs="Calibri"/>
                <w:szCs w:val="18"/>
              </w:rPr>
              <w:t>–</w:t>
            </w:r>
            <w:r w:rsidRPr="00B275E2">
              <w:rPr>
                <w:rFonts w:cs="Calibri"/>
                <w:szCs w:val="18"/>
              </w:rPr>
              <w:t xml:space="preserve"> With heating</w:t>
            </w:r>
          </w:p>
        </w:tc>
        <w:tc>
          <w:tcPr>
            <w:tcW w:w="1474" w:type="dxa"/>
            <w:shd w:val="clear" w:color="auto" w:fill="auto"/>
            <w:noWrap/>
          </w:tcPr>
          <w:p w14:paraId="31BC21C0" w14:textId="77777777" w:rsidR="00075073" w:rsidRPr="00B275E2" w:rsidRDefault="00075073" w:rsidP="007F0B1E">
            <w:pPr>
              <w:pStyle w:val="TableText"/>
              <w:rPr>
                <w:rFonts w:cs="Calibri"/>
                <w:szCs w:val="18"/>
              </w:rPr>
            </w:pPr>
            <w:r w:rsidRPr="00B275E2">
              <w:rPr>
                <w:rFonts w:cs="Calibri"/>
                <w:szCs w:val="18"/>
              </w:rPr>
              <w:t>employee per day</w:t>
            </w:r>
          </w:p>
        </w:tc>
        <w:tc>
          <w:tcPr>
            <w:tcW w:w="1191" w:type="dxa"/>
            <w:shd w:val="clear" w:color="auto" w:fill="D2DDE1" w:themeFill="background2"/>
            <w:noWrap/>
          </w:tcPr>
          <w:p w14:paraId="19678211" w14:textId="77777777" w:rsidR="00075073" w:rsidRPr="00B275E2" w:rsidRDefault="00075073" w:rsidP="007F0B1E">
            <w:pPr>
              <w:pStyle w:val="TableText"/>
              <w:jc w:val="right"/>
              <w:rPr>
                <w:rFonts w:cs="Calibri"/>
                <w:szCs w:val="18"/>
              </w:rPr>
            </w:pPr>
            <w:r w:rsidRPr="00B275E2">
              <w:rPr>
                <w:rFonts w:cs="Calibri"/>
                <w:szCs w:val="18"/>
              </w:rPr>
              <w:t>0.9791</w:t>
            </w:r>
          </w:p>
        </w:tc>
        <w:tc>
          <w:tcPr>
            <w:tcW w:w="1304" w:type="dxa"/>
            <w:shd w:val="clear" w:color="auto" w:fill="auto"/>
            <w:noWrap/>
          </w:tcPr>
          <w:p w14:paraId="32F58C4F" w14:textId="77777777" w:rsidR="00075073" w:rsidRPr="00B275E2" w:rsidRDefault="00075073" w:rsidP="007F0B1E">
            <w:pPr>
              <w:pStyle w:val="TableText"/>
              <w:jc w:val="right"/>
              <w:rPr>
                <w:rFonts w:cs="Calibri"/>
                <w:szCs w:val="18"/>
              </w:rPr>
            </w:pPr>
            <w:r w:rsidRPr="00B275E2">
              <w:rPr>
                <w:rFonts w:cs="Calibri"/>
                <w:szCs w:val="18"/>
              </w:rPr>
              <w:t>0.9403</w:t>
            </w:r>
          </w:p>
        </w:tc>
        <w:tc>
          <w:tcPr>
            <w:tcW w:w="1077" w:type="dxa"/>
            <w:shd w:val="clear" w:color="auto" w:fill="auto"/>
            <w:noWrap/>
          </w:tcPr>
          <w:p w14:paraId="11148D24" w14:textId="77777777" w:rsidR="00075073" w:rsidRPr="00B275E2" w:rsidRDefault="00075073" w:rsidP="007F0B1E">
            <w:pPr>
              <w:pStyle w:val="TableText"/>
              <w:jc w:val="right"/>
              <w:rPr>
                <w:rFonts w:cs="Calibri"/>
                <w:szCs w:val="18"/>
              </w:rPr>
            </w:pPr>
            <w:r w:rsidRPr="00B275E2">
              <w:rPr>
                <w:rFonts w:cs="Calibri"/>
                <w:szCs w:val="18"/>
              </w:rPr>
              <w:t>0.0374</w:t>
            </w:r>
          </w:p>
        </w:tc>
        <w:tc>
          <w:tcPr>
            <w:tcW w:w="1123" w:type="dxa"/>
            <w:shd w:val="clear" w:color="auto" w:fill="auto"/>
            <w:noWrap/>
          </w:tcPr>
          <w:p w14:paraId="5C775AC5" w14:textId="77777777" w:rsidR="00075073" w:rsidRPr="00B275E2" w:rsidRDefault="00075073" w:rsidP="007F0B1E">
            <w:pPr>
              <w:pStyle w:val="TableText"/>
              <w:jc w:val="right"/>
              <w:rPr>
                <w:rFonts w:cs="Calibri"/>
                <w:szCs w:val="18"/>
              </w:rPr>
            </w:pPr>
            <w:r w:rsidRPr="00B275E2">
              <w:rPr>
                <w:rFonts w:cs="Calibri"/>
                <w:szCs w:val="18"/>
              </w:rPr>
              <w:t>0.0013</w:t>
            </w:r>
          </w:p>
        </w:tc>
      </w:tr>
    </w:tbl>
    <w:p w14:paraId="78DC754F" w14:textId="5349F0F8" w:rsidR="00593870" w:rsidRPr="00B275E2" w:rsidRDefault="00075073" w:rsidP="00C24B73">
      <w:pPr>
        <w:pStyle w:val="Heading3"/>
        <w:numPr>
          <w:ilvl w:val="0"/>
          <w:numId w:val="26"/>
        </w:numPr>
      </w:pPr>
      <w:r w:rsidRPr="00B275E2">
        <w:t xml:space="preserve">GHG inventory development </w:t>
      </w:r>
    </w:p>
    <w:p w14:paraId="51ED4C50" w14:textId="288D726F" w:rsidR="00075073" w:rsidRPr="00B275E2" w:rsidRDefault="00075073" w:rsidP="007F0B1E">
      <w:pPr>
        <w:pStyle w:val="BodyText"/>
      </w:pPr>
      <w:r w:rsidRPr="00B275E2">
        <w:t xml:space="preserve">To calculate the emissions for an employee working from home collect information on the number of days staff have worked from home during the reporting period. You will need to record which of these days heating was used and which it wasn’t. </w:t>
      </w:r>
      <w:r w:rsidR="009674A9" w:rsidRPr="00B275E2">
        <w:t xml:space="preserve">If you do not have this data, use the default factor. </w:t>
      </w:r>
      <w:r w:rsidRPr="00B275E2">
        <w:t xml:space="preserve">Applying the </w:t>
      </w:r>
      <w:r w:rsidR="007D5F49" w:rsidRPr="00B275E2">
        <w:t>equation E= Q x F (</w:t>
      </w:r>
      <w:hyperlink w:anchor="_How_to_quantify" w:history="1">
        <w:r w:rsidR="007D5F49" w:rsidRPr="00B275E2">
          <w:rPr>
            <w:rStyle w:val="Hyperlink"/>
          </w:rPr>
          <w:t>section 2</w:t>
        </w:r>
      </w:hyperlink>
      <w:r w:rsidR="007D5F49" w:rsidRPr="00B275E2">
        <w:t>)</w:t>
      </w:r>
      <w:r w:rsidRPr="00B275E2">
        <w:t>, this means:</w:t>
      </w:r>
    </w:p>
    <w:p w14:paraId="1DB760A6" w14:textId="1E6BE465" w:rsidR="007D5F49" w:rsidRPr="00B275E2" w:rsidRDefault="007D5F49" w:rsidP="00D92CEE">
      <w:pPr>
        <w:pStyle w:val="BodyText"/>
        <w:tabs>
          <w:tab w:val="left" w:pos="567"/>
          <w:tab w:val="left" w:pos="993"/>
        </w:tabs>
        <w:spacing w:after="0"/>
      </w:pPr>
      <w:r w:rsidRPr="00B275E2">
        <w:t>E</w:t>
      </w:r>
      <w:r w:rsidRPr="00B275E2">
        <w:tab/>
        <w:t>=</w:t>
      </w:r>
      <w:r w:rsidRPr="00B275E2">
        <w:tab/>
        <w:t>emissions from the emissions source in kg CO</w:t>
      </w:r>
      <w:r w:rsidRPr="00B275E2">
        <w:rPr>
          <w:vertAlign w:val="subscript"/>
        </w:rPr>
        <w:t>2</w:t>
      </w:r>
      <w:r w:rsidRPr="00B275E2">
        <w:t>-e per year</w:t>
      </w:r>
    </w:p>
    <w:p w14:paraId="17958004" w14:textId="77777777" w:rsidR="00075073" w:rsidRPr="00B275E2" w:rsidRDefault="00075073" w:rsidP="00D92CEE">
      <w:pPr>
        <w:pStyle w:val="BodyText"/>
        <w:tabs>
          <w:tab w:val="left" w:pos="567"/>
          <w:tab w:val="left" w:pos="993"/>
        </w:tabs>
        <w:spacing w:before="0" w:after="0"/>
        <w:contextualSpacing/>
      </w:pPr>
      <w:r w:rsidRPr="00B275E2">
        <w:t>Q</w:t>
      </w:r>
      <w:r w:rsidRPr="00B275E2">
        <w:tab/>
        <w:t>=</w:t>
      </w:r>
      <w:r w:rsidRPr="00B275E2">
        <w:tab/>
        <w:t>number of employees working from home without heating (days)</w:t>
      </w:r>
    </w:p>
    <w:p w14:paraId="5D5CE2F5" w14:textId="77777777" w:rsidR="00075073" w:rsidRPr="00B275E2" w:rsidRDefault="00075073" w:rsidP="00D92CEE">
      <w:pPr>
        <w:pStyle w:val="BodyText"/>
        <w:tabs>
          <w:tab w:val="left" w:pos="567"/>
          <w:tab w:val="left" w:pos="993"/>
        </w:tabs>
        <w:spacing w:before="0" w:after="0"/>
      </w:pPr>
      <w:r w:rsidRPr="00B275E2">
        <w:t>Qh</w:t>
      </w:r>
      <w:r w:rsidRPr="00B275E2">
        <w:tab/>
        <w:t>=</w:t>
      </w:r>
      <w:r w:rsidRPr="00B275E2">
        <w:tab/>
        <w:t>number of employees working from home with heating (days)</w:t>
      </w:r>
    </w:p>
    <w:p w14:paraId="576CC598" w14:textId="544C982E" w:rsidR="00075073" w:rsidRPr="00B275E2" w:rsidRDefault="00075073" w:rsidP="00D92CEE">
      <w:pPr>
        <w:pStyle w:val="BodyText"/>
        <w:tabs>
          <w:tab w:val="left" w:pos="567"/>
          <w:tab w:val="left" w:pos="993"/>
        </w:tabs>
        <w:spacing w:after="0"/>
        <w:contextualSpacing/>
      </w:pPr>
      <w:r w:rsidRPr="00B275E2">
        <w:t>F</w:t>
      </w:r>
      <w:r w:rsidRPr="00B275E2">
        <w:tab/>
        <w:t>=</w:t>
      </w:r>
      <w:r w:rsidRPr="00B275E2">
        <w:tab/>
        <w:t xml:space="preserve">emission factor from the </w:t>
      </w:r>
      <w:r w:rsidR="009674A9" w:rsidRPr="00B275E2">
        <w:t>second</w:t>
      </w:r>
      <w:r w:rsidRPr="00B275E2">
        <w:t xml:space="preserve"> row of </w:t>
      </w:r>
      <w:r w:rsidR="005C2615" w:rsidRPr="00B275E2">
        <w:t>t</w:t>
      </w:r>
      <w:r w:rsidRPr="00B275E2">
        <w:t xml:space="preserve">able </w:t>
      </w:r>
      <w:r w:rsidR="00F27274">
        <w:t>14</w:t>
      </w:r>
      <w:r w:rsidRPr="00B275E2">
        <w:t xml:space="preserve"> </w:t>
      </w:r>
    </w:p>
    <w:p w14:paraId="02E547DE" w14:textId="19770C48" w:rsidR="00075073" w:rsidRPr="00B275E2" w:rsidRDefault="00075073" w:rsidP="00EA7EF4">
      <w:pPr>
        <w:pStyle w:val="BodyText"/>
        <w:tabs>
          <w:tab w:val="left" w:pos="567"/>
          <w:tab w:val="left" w:pos="993"/>
        </w:tabs>
        <w:spacing w:after="240"/>
        <w:contextualSpacing/>
        <w:rPr>
          <w:color w:val="000000" w:themeColor="text1"/>
        </w:rPr>
      </w:pPr>
      <w:r w:rsidRPr="00B275E2">
        <w:t>Fh</w:t>
      </w:r>
      <w:r w:rsidRPr="00B275E2">
        <w:tab/>
        <w:t>=</w:t>
      </w:r>
      <w:r w:rsidRPr="00B275E2">
        <w:tab/>
        <w:t xml:space="preserve">emission factor from the bottom row of </w:t>
      </w:r>
      <w:r w:rsidR="005C2615" w:rsidRPr="00B275E2">
        <w:t>t</w:t>
      </w:r>
      <w:r w:rsidRPr="00B275E2">
        <w:t xml:space="preserve">able </w:t>
      </w:r>
      <w:r w:rsidR="00F27274">
        <w:t>14</w:t>
      </w:r>
      <w:r w:rsidRPr="00B275E2">
        <w:t xml:space="preserve"> </w:t>
      </w:r>
    </w:p>
    <w:tbl>
      <w:tblPr>
        <w:tblW w:w="8500"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0"/>
      </w:tblGrid>
      <w:tr w:rsidR="00075073" w:rsidRPr="00B275E2" w:rsidDel="00D5390D" w14:paraId="29DF2FE7" w14:textId="77777777" w:rsidTr="007E25D4">
        <w:tc>
          <w:tcPr>
            <w:tcW w:w="8500" w:type="dxa"/>
            <w:tcBorders>
              <w:top w:val="single" w:sz="4" w:space="0" w:color="32809C" w:themeColor="accent2"/>
              <w:left w:val="single" w:sz="4" w:space="0" w:color="32809C" w:themeColor="accent2"/>
              <w:bottom w:val="nil"/>
              <w:right w:val="single" w:sz="4" w:space="0" w:color="32809C" w:themeColor="accent2"/>
            </w:tcBorders>
            <w:shd w:val="clear" w:color="auto" w:fill="0F7B7D"/>
            <w:vAlign w:val="center"/>
          </w:tcPr>
          <w:p w14:paraId="4FF94BD6" w14:textId="7DE93948" w:rsidR="00075073" w:rsidRPr="00B275E2" w:rsidDel="00D5390D" w:rsidRDefault="00075073" w:rsidP="00F85C43">
            <w:pPr>
              <w:pStyle w:val="Casestudyheading"/>
            </w:pPr>
            <w:r w:rsidRPr="00B275E2">
              <w:t>Working from home example Calculation</w:t>
            </w:r>
          </w:p>
        </w:tc>
      </w:tr>
      <w:tr w:rsidR="00075073" w:rsidRPr="00B275E2" w14:paraId="4F1E9090" w14:textId="77777777" w:rsidTr="00EA7EF4">
        <w:trPr>
          <w:trHeight w:val="567"/>
        </w:trPr>
        <w:tc>
          <w:tcPr>
            <w:tcW w:w="8500" w:type="dxa"/>
            <w:tcBorders>
              <w:top w:val="nil"/>
              <w:left w:val="single" w:sz="4" w:space="0" w:color="CFE5E5"/>
              <w:bottom w:val="single" w:sz="4" w:space="0" w:color="CFE5E5"/>
              <w:right w:val="single" w:sz="4" w:space="0" w:color="CFE5E5"/>
            </w:tcBorders>
            <w:shd w:val="clear" w:color="auto" w:fill="D5EBE8" w:themeFill="accent3"/>
          </w:tcPr>
          <w:p w14:paraId="723D7E9E" w14:textId="412EB753" w:rsidR="00075073" w:rsidRPr="00B275E2" w:rsidRDefault="00075073" w:rsidP="007E25D4">
            <w:pPr>
              <w:pStyle w:val="Boxtext"/>
              <w:spacing w:after="80"/>
            </w:pPr>
            <w:r w:rsidRPr="00B275E2">
              <w:t xml:space="preserve">An organisation has 20 employees and knows through an employee survey or some other means, that on a given day 12 employees were working from home. Of these, </w:t>
            </w:r>
            <w:r w:rsidR="00E84EC4" w:rsidRPr="00B275E2">
              <w:t xml:space="preserve">eight </w:t>
            </w:r>
            <w:r w:rsidRPr="00B275E2">
              <w:t xml:space="preserve">used heating each day and </w:t>
            </w:r>
            <w:r w:rsidR="00E84EC4" w:rsidRPr="00B275E2">
              <w:t xml:space="preserve">four </w:t>
            </w:r>
            <w:r w:rsidRPr="00B275E2">
              <w:t>did not use heating. This same daily data was collected over a month and summed as either with or without heating.</w:t>
            </w:r>
          </w:p>
          <w:p w14:paraId="3C2F5B1A" w14:textId="77777777" w:rsidR="00075073" w:rsidRPr="00B275E2" w:rsidRDefault="00075073" w:rsidP="007E25D4">
            <w:pPr>
              <w:pStyle w:val="Boxtext"/>
              <w:spacing w:after="80"/>
            </w:pPr>
            <w:r w:rsidRPr="00B275E2">
              <w:t xml:space="preserve">Its indirect (Scope 3) emissions from working at home for a given month are: </w:t>
            </w:r>
          </w:p>
          <w:p w14:paraId="7FC6B6E7" w14:textId="77777777" w:rsidR="00075073" w:rsidRPr="00B275E2" w:rsidRDefault="00075073" w:rsidP="007E25D4">
            <w:pPr>
              <w:pStyle w:val="Boxtext"/>
              <w:spacing w:after="80"/>
              <w:rPr>
                <w:b/>
                <w:bCs/>
              </w:rPr>
            </w:pPr>
            <w:r w:rsidRPr="00B275E2">
              <w:rPr>
                <w:b/>
                <w:bCs/>
              </w:rPr>
              <w:t>With heating = 168 employee days</w:t>
            </w:r>
          </w:p>
          <w:p w14:paraId="0563C08C" w14:textId="77777777" w:rsidR="00075073" w:rsidRPr="00B275E2" w:rsidRDefault="00075073" w:rsidP="007E25D4">
            <w:pPr>
              <w:pStyle w:val="Boxtext"/>
              <w:tabs>
                <w:tab w:val="left" w:pos="2848"/>
                <w:tab w:val="left" w:pos="4407"/>
              </w:tabs>
              <w:spacing w:before="20" w:after="20"/>
              <w:ind w:left="850"/>
            </w:pPr>
            <w:r w:rsidRPr="00B275E2">
              <w:t>CO</w:t>
            </w:r>
            <w:r w:rsidRPr="00B275E2">
              <w:rPr>
                <w:vertAlign w:val="subscript"/>
              </w:rPr>
              <w:t>2</w:t>
            </w:r>
            <w:r w:rsidRPr="00B275E2">
              <w:t xml:space="preserve"> emissions </w:t>
            </w:r>
            <w:r w:rsidRPr="00B275E2">
              <w:tab/>
              <w:t>= 168 × 0.94</w:t>
            </w:r>
            <w:r w:rsidRPr="00B275E2">
              <w:tab/>
              <w:t>= 157.9 kg CO</w:t>
            </w:r>
            <w:r w:rsidRPr="00B275E2">
              <w:rPr>
                <w:vertAlign w:val="subscript"/>
              </w:rPr>
              <w:t>2</w:t>
            </w:r>
          </w:p>
          <w:p w14:paraId="5EDE5B74" w14:textId="77777777" w:rsidR="00075073" w:rsidRPr="00B275E2" w:rsidRDefault="00075073" w:rsidP="007E25D4">
            <w:pPr>
              <w:pStyle w:val="Boxtext"/>
              <w:tabs>
                <w:tab w:val="left" w:pos="2848"/>
                <w:tab w:val="left" w:pos="4407"/>
              </w:tabs>
              <w:spacing w:before="20" w:after="20"/>
              <w:ind w:left="850"/>
            </w:pPr>
            <w:r w:rsidRPr="00B275E2">
              <w:t>CH</w:t>
            </w:r>
            <w:r w:rsidRPr="00B275E2">
              <w:rPr>
                <w:vertAlign w:val="subscript"/>
              </w:rPr>
              <w:t>4</w:t>
            </w:r>
            <w:r w:rsidRPr="00B275E2">
              <w:t xml:space="preserve"> emissions </w:t>
            </w:r>
            <w:r w:rsidRPr="00B275E2">
              <w:tab/>
              <w:t>= 168 × 0.037</w:t>
            </w:r>
            <w:r w:rsidRPr="00B275E2">
              <w:tab/>
              <w:t>= 6.29 kg CO</w:t>
            </w:r>
            <w:r w:rsidRPr="00B275E2">
              <w:rPr>
                <w:vertAlign w:val="subscript"/>
              </w:rPr>
              <w:t>2</w:t>
            </w:r>
            <w:r w:rsidRPr="00B275E2">
              <w:t xml:space="preserve">-e </w:t>
            </w:r>
          </w:p>
          <w:p w14:paraId="13674B82" w14:textId="77777777" w:rsidR="00075073" w:rsidRPr="00B275E2" w:rsidRDefault="00075073" w:rsidP="007E25D4">
            <w:pPr>
              <w:pStyle w:val="Boxtext"/>
              <w:tabs>
                <w:tab w:val="left" w:pos="2848"/>
                <w:tab w:val="left" w:pos="4407"/>
              </w:tabs>
              <w:spacing w:before="20" w:after="20"/>
              <w:ind w:left="850"/>
            </w:pPr>
            <w:r w:rsidRPr="00B275E2">
              <w:t>N</w:t>
            </w:r>
            <w:r w:rsidRPr="00B275E2">
              <w:rPr>
                <w:vertAlign w:val="subscript"/>
              </w:rPr>
              <w:t>2</w:t>
            </w:r>
            <w:r w:rsidRPr="00B275E2">
              <w:t>O emissions</w:t>
            </w:r>
            <w:r w:rsidRPr="00B275E2">
              <w:tab/>
              <w:t xml:space="preserve">= 168 </w:t>
            </w:r>
            <w:r w:rsidRPr="00B275E2">
              <w:rPr>
                <w:rFonts w:cs="Calibri"/>
              </w:rPr>
              <w:t>× 0.0013</w:t>
            </w:r>
            <w:r w:rsidRPr="00B275E2">
              <w:tab/>
              <w:t>= 0.23 kg CO</w:t>
            </w:r>
            <w:r w:rsidRPr="00B275E2">
              <w:rPr>
                <w:vertAlign w:val="subscript"/>
              </w:rPr>
              <w:t>2</w:t>
            </w:r>
            <w:r w:rsidRPr="00B275E2">
              <w:t xml:space="preserve">-e </w:t>
            </w:r>
          </w:p>
          <w:p w14:paraId="7CC86FF2" w14:textId="77777777" w:rsidR="00075073" w:rsidRPr="00B275E2" w:rsidRDefault="00075073" w:rsidP="007E25D4">
            <w:pPr>
              <w:pStyle w:val="Boxtext"/>
              <w:tabs>
                <w:tab w:val="left" w:pos="2848"/>
                <w:tab w:val="left" w:pos="4407"/>
              </w:tabs>
              <w:spacing w:before="20" w:after="20"/>
              <w:ind w:left="850"/>
            </w:pPr>
            <w:r w:rsidRPr="00B275E2">
              <w:t>Total CO</w:t>
            </w:r>
            <w:r w:rsidRPr="00B275E2">
              <w:rPr>
                <w:vertAlign w:val="subscript"/>
              </w:rPr>
              <w:t>2</w:t>
            </w:r>
            <w:r w:rsidRPr="00B275E2">
              <w:t>-e emissions</w:t>
            </w:r>
            <w:r w:rsidRPr="00B275E2">
              <w:tab/>
              <w:t xml:space="preserve">= 1,380 </w:t>
            </w:r>
            <w:r w:rsidRPr="00B275E2">
              <w:rPr>
                <w:rFonts w:cs="Calibri"/>
              </w:rPr>
              <w:t>×</w:t>
            </w:r>
            <w:r w:rsidRPr="00B275E2">
              <w:t xml:space="preserve"> 0.979</w:t>
            </w:r>
            <w:r w:rsidRPr="00B275E2">
              <w:tab/>
              <w:t>= 164.50 kg CO</w:t>
            </w:r>
            <w:r w:rsidRPr="00B275E2">
              <w:rPr>
                <w:vertAlign w:val="subscript"/>
              </w:rPr>
              <w:t>2</w:t>
            </w:r>
            <w:r w:rsidRPr="00B275E2">
              <w:t xml:space="preserve">-e </w:t>
            </w:r>
          </w:p>
          <w:p w14:paraId="11BCFBED" w14:textId="77777777" w:rsidR="00075073" w:rsidRPr="00B275E2" w:rsidRDefault="00075073" w:rsidP="007E25D4">
            <w:pPr>
              <w:pStyle w:val="Boxtext"/>
              <w:spacing w:after="80"/>
              <w:rPr>
                <w:b/>
                <w:bCs/>
              </w:rPr>
            </w:pPr>
            <w:r w:rsidRPr="00B275E2">
              <w:rPr>
                <w:b/>
                <w:bCs/>
              </w:rPr>
              <w:t>Without heating = 84 employee days</w:t>
            </w:r>
          </w:p>
          <w:p w14:paraId="1A196634" w14:textId="77777777" w:rsidR="00075073" w:rsidRPr="00B275E2" w:rsidRDefault="00075073" w:rsidP="007E25D4">
            <w:pPr>
              <w:pStyle w:val="Boxtext"/>
              <w:tabs>
                <w:tab w:val="left" w:pos="2848"/>
                <w:tab w:val="left" w:pos="4407"/>
              </w:tabs>
              <w:spacing w:before="20" w:after="20"/>
              <w:ind w:left="850"/>
            </w:pPr>
            <w:r w:rsidRPr="00B275E2">
              <w:t>CO</w:t>
            </w:r>
            <w:r w:rsidRPr="00B275E2">
              <w:rPr>
                <w:vertAlign w:val="subscript"/>
              </w:rPr>
              <w:t>2</w:t>
            </w:r>
            <w:r w:rsidRPr="00B275E2">
              <w:t xml:space="preserve"> emissions </w:t>
            </w:r>
            <w:r w:rsidRPr="00B275E2">
              <w:tab/>
              <w:t>= 84 × 0.064</w:t>
            </w:r>
            <w:r w:rsidRPr="00B275E2">
              <w:tab/>
              <w:t>= 5.37 kg CO</w:t>
            </w:r>
            <w:r w:rsidRPr="00B275E2">
              <w:rPr>
                <w:vertAlign w:val="subscript"/>
              </w:rPr>
              <w:t>2</w:t>
            </w:r>
          </w:p>
          <w:p w14:paraId="5B7287B8" w14:textId="77777777" w:rsidR="00075073" w:rsidRPr="00B275E2" w:rsidRDefault="00075073" w:rsidP="007E25D4">
            <w:pPr>
              <w:pStyle w:val="Boxtext"/>
              <w:tabs>
                <w:tab w:val="left" w:pos="2848"/>
                <w:tab w:val="left" w:pos="4407"/>
              </w:tabs>
              <w:spacing w:before="20" w:after="20"/>
              <w:ind w:left="850"/>
            </w:pPr>
            <w:r w:rsidRPr="00B275E2">
              <w:t>CH</w:t>
            </w:r>
            <w:r w:rsidRPr="00B275E2">
              <w:rPr>
                <w:vertAlign w:val="subscript"/>
              </w:rPr>
              <w:t>4</w:t>
            </w:r>
            <w:r w:rsidRPr="00B275E2">
              <w:t xml:space="preserve"> emissions </w:t>
            </w:r>
            <w:r w:rsidRPr="00B275E2">
              <w:tab/>
              <w:t>= 84 × 0.0025</w:t>
            </w:r>
            <w:r w:rsidRPr="00B275E2">
              <w:tab/>
              <w:t>= 0.21 kg CO</w:t>
            </w:r>
            <w:r w:rsidRPr="00B275E2">
              <w:rPr>
                <w:vertAlign w:val="subscript"/>
              </w:rPr>
              <w:t>2</w:t>
            </w:r>
            <w:r w:rsidRPr="00B275E2">
              <w:t xml:space="preserve">-e </w:t>
            </w:r>
          </w:p>
          <w:p w14:paraId="53CD8BD6" w14:textId="77777777" w:rsidR="00075073" w:rsidRPr="00B275E2" w:rsidRDefault="00075073" w:rsidP="007E25D4">
            <w:pPr>
              <w:pStyle w:val="Boxtext"/>
              <w:tabs>
                <w:tab w:val="left" w:pos="2848"/>
                <w:tab w:val="left" w:pos="4407"/>
              </w:tabs>
              <w:spacing w:before="20" w:after="20"/>
              <w:ind w:left="850"/>
            </w:pPr>
            <w:r w:rsidRPr="00B275E2">
              <w:t>N</w:t>
            </w:r>
            <w:r w:rsidRPr="00B275E2">
              <w:rPr>
                <w:vertAlign w:val="subscript"/>
              </w:rPr>
              <w:t>2</w:t>
            </w:r>
            <w:r w:rsidRPr="00B275E2">
              <w:t>O emissions</w:t>
            </w:r>
            <w:r w:rsidRPr="00B275E2">
              <w:tab/>
              <w:t>= 184 × 0.00009</w:t>
            </w:r>
            <w:r w:rsidRPr="00B275E2">
              <w:tab/>
              <w:t>= 0.008 kg CO</w:t>
            </w:r>
            <w:r w:rsidRPr="00B275E2">
              <w:rPr>
                <w:vertAlign w:val="subscript"/>
              </w:rPr>
              <w:t>2</w:t>
            </w:r>
            <w:r w:rsidRPr="00B275E2">
              <w:t xml:space="preserve">-e </w:t>
            </w:r>
          </w:p>
          <w:p w14:paraId="0F7A8376" w14:textId="77777777" w:rsidR="00075073" w:rsidRPr="00B275E2" w:rsidRDefault="00075073" w:rsidP="007E25D4">
            <w:pPr>
              <w:pStyle w:val="Boxtext"/>
              <w:tabs>
                <w:tab w:val="left" w:pos="2848"/>
                <w:tab w:val="left" w:pos="4407"/>
              </w:tabs>
              <w:spacing w:before="20" w:after="20"/>
              <w:ind w:left="850"/>
            </w:pPr>
            <w:r w:rsidRPr="00B275E2">
              <w:t>Total CO</w:t>
            </w:r>
            <w:r w:rsidRPr="00B275E2">
              <w:rPr>
                <w:vertAlign w:val="subscript"/>
              </w:rPr>
              <w:t>2</w:t>
            </w:r>
            <w:r w:rsidRPr="00B275E2">
              <w:t>-e emissions</w:t>
            </w:r>
            <w:r w:rsidRPr="00B275E2">
              <w:tab/>
              <w:t>= 1,380 × 0.067</w:t>
            </w:r>
            <w:r w:rsidRPr="00B275E2">
              <w:tab/>
              <w:t>= 5.59 kg CO</w:t>
            </w:r>
            <w:r w:rsidRPr="00B275E2">
              <w:rPr>
                <w:vertAlign w:val="subscript"/>
              </w:rPr>
              <w:t>2</w:t>
            </w:r>
            <w:r w:rsidRPr="00B275E2">
              <w:t xml:space="preserve">-e </w:t>
            </w:r>
          </w:p>
          <w:p w14:paraId="6A11FCDD" w14:textId="77777777" w:rsidR="00075073" w:rsidRPr="00B275E2" w:rsidRDefault="00075073" w:rsidP="007E25D4">
            <w:pPr>
              <w:pStyle w:val="Boxtext"/>
              <w:spacing w:after="180"/>
            </w:pPr>
            <w:r w:rsidRPr="00B275E2">
              <w:rPr>
                <w:sz w:val="18"/>
              </w:rPr>
              <w:t>Note: Numbers may not add due to rounding.</w:t>
            </w:r>
          </w:p>
        </w:tc>
      </w:tr>
    </w:tbl>
    <w:p w14:paraId="629CBBD4" w14:textId="77777777" w:rsidR="00075073" w:rsidRPr="00B275E2" w:rsidRDefault="00075073" w:rsidP="00C24B73">
      <w:pPr>
        <w:pStyle w:val="Heading3"/>
        <w:numPr>
          <w:ilvl w:val="0"/>
          <w:numId w:val="26"/>
        </w:numPr>
      </w:pPr>
      <w:r w:rsidRPr="00B275E2">
        <w:t>Emission factor derivation methodology</w:t>
      </w:r>
    </w:p>
    <w:p w14:paraId="31DE93DA" w14:textId="77777777" w:rsidR="00075073" w:rsidRPr="00B275E2" w:rsidRDefault="00075073" w:rsidP="007F0B1E">
      <w:pPr>
        <w:pStyle w:val="BodyText"/>
        <w:rPr>
          <w:rFonts w:eastAsia="Times New Roman" w:cs="Calibri"/>
        </w:rPr>
      </w:pPr>
      <w:r w:rsidRPr="00B275E2">
        <w:t xml:space="preserve">To calculate the working from home </w:t>
      </w:r>
      <w:r w:rsidRPr="00B275E2">
        <w:rPr>
          <w:rFonts w:eastAsia="Times New Roman" w:cs="Calibri"/>
        </w:rPr>
        <w:t>emission factor, we decided that the most appropriate unit would be emissions per employee per day. Therefore, we would need to calculate how much electricity an employee typically used per day.</w:t>
      </w:r>
    </w:p>
    <w:p w14:paraId="42DAD1E2" w14:textId="5012BB99" w:rsidR="00075073" w:rsidRPr="00B275E2" w:rsidRDefault="00075073" w:rsidP="007E25D4">
      <w:pPr>
        <w:pStyle w:val="BodyText"/>
      </w:pPr>
      <w:r w:rsidRPr="00B275E2">
        <w:t>It is assumed for both the with and without heating emission factors, that a working day is 8</w:t>
      </w:r>
      <w:r w:rsidR="007E25D4" w:rsidRPr="00B275E2">
        <w:t> </w:t>
      </w:r>
      <w:r w:rsidRPr="00B275E2">
        <w:t xml:space="preserve">hours and that all staff use a laptop, monitor and a 12W LED light. </w:t>
      </w:r>
    </w:p>
    <w:p w14:paraId="65B32919" w14:textId="3FA94753" w:rsidR="00075073" w:rsidRPr="00B275E2" w:rsidRDefault="00075073" w:rsidP="007F0B1E">
      <w:pPr>
        <w:pStyle w:val="BodyText"/>
      </w:pPr>
      <w:r w:rsidRPr="00B275E2">
        <w:lastRenderedPageBreak/>
        <w:t xml:space="preserve">The with heating factor assumes </w:t>
      </w:r>
      <w:r w:rsidR="00456186" w:rsidRPr="00B275E2">
        <w:t xml:space="preserve">50 </w:t>
      </w:r>
      <w:r w:rsidRPr="00B275E2">
        <w:t>per</w:t>
      </w:r>
      <w:r w:rsidR="00456186" w:rsidRPr="00B275E2">
        <w:t xml:space="preserve"> </w:t>
      </w:r>
      <w:r w:rsidRPr="00B275E2">
        <w:t xml:space="preserve">cent of staff use electric portable heaters while </w:t>
      </w:r>
      <w:r w:rsidR="00C30F8B" w:rsidRPr="00B275E2">
        <w:t>50</w:t>
      </w:r>
      <w:r w:rsidR="007E25D4" w:rsidRPr="00B275E2">
        <w:t> </w:t>
      </w:r>
      <w:r w:rsidRPr="00B275E2">
        <w:t>per</w:t>
      </w:r>
      <w:r w:rsidR="007E25D4" w:rsidRPr="00B275E2">
        <w:t> </w:t>
      </w:r>
      <w:r w:rsidRPr="00B275E2">
        <w:t xml:space="preserve">cent use heat pumps. </w:t>
      </w:r>
      <w:r w:rsidR="009674A9" w:rsidRPr="00B275E2">
        <w:t>It is assumed that heating was used an average of 6 hours per working day.</w:t>
      </w:r>
    </w:p>
    <w:p w14:paraId="253C8903" w14:textId="6A9CDD20" w:rsidR="00075073" w:rsidRPr="00B275E2" w:rsidRDefault="00075073" w:rsidP="007E25D4">
      <w:pPr>
        <w:pStyle w:val="Tableheading"/>
      </w:pPr>
      <w:bookmarkStart w:id="295" w:name="_Toc111536620"/>
      <w:r w:rsidRPr="00B275E2">
        <w:t xml:space="preserve">Table </w:t>
      </w:r>
      <w:r w:rsidRPr="00B275E2">
        <w:fldChar w:fldCharType="begin"/>
      </w:r>
      <w:r w:rsidRPr="00B275E2">
        <w:instrText>SEQ Table \* ARABIC</w:instrText>
      </w:r>
      <w:r w:rsidRPr="00B275E2">
        <w:fldChar w:fldCharType="separate"/>
      </w:r>
      <w:r w:rsidR="003E141C" w:rsidRPr="00B275E2">
        <w:t>15</w:t>
      </w:r>
      <w:r w:rsidRPr="00B275E2">
        <w:fldChar w:fldCharType="end"/>
      </w:r>
      <w:r w:rsidRPr="00B275E2">
        <w:t>:</w:t>
      </w:r>
      <w:r w:rsidRPr="00B275E2">
        <w:tab/>
        <w:t>Data used to calculate the emission factor</w:t>
      </w:r>
      <w:r w:rsidR="009674A9" w:rsidRPr="00B275E2">
        <w:t>s</w:t>
      </w:r>
      <w:bookmarkEnd w:id="295"/>
    </w:p>
    <w:tbl>
      <w:tblPr>
        <w:tblStyle w:val="LightList-Accent11"/>
        <w:tblW w:w="8505" w:type="dxa"/>
        <w:tblBorders>
          <w:top w:val="single" w:sz="4" w:space="0" w:color="1B556B"/>
          <w:bottom w:val="single" w:sz="4" w:space="0" w:color="1B556B"/>
          <w:insideH w:val="single" w:sz="4" w:space="0" w:color="1B556B"/>
          <w:insideV w:val="single" w:sz="4" w:space="0" w:color="1B556B"/>
        </w:tblBorders>
        <w:tblLayout w:type="fixed"/>
        <w:tblCellMar>
          <w:left w:w="85" w:type="dxa"/>
          <w:right w:w="57" w:type="dxa"/>
        </w:tblCellMar>
        <w:tblLook w:val="04A0" w:firstRow="1" w:lastRow="0" w:firstColumn="1" w:lastColumn="0" w:noHBand="0" w:noVBand="1"/>
      </w:tblPr>
      <w:tblGrid>
        <w:gridCol w:w="1266"/>
        <w:gridCol w:w="1545"/>
        <w:gridCol w:w="1182"/>
        <w:gridCol w:w="1069"/>
        <w:gridCol w:w="1124"/>
        <w:gridCol w:w="1069"/>
        <w:gridCol w:w="1250"/>
      </w:tblGrid>
      <w:tr w:rsidR="00E75004" w:rsidRPr="00B275E2" w14:paraId="5415EFED" w14:textId="77777777" w:rsidTr="00E33633">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76" w:type="dxa"/>
            <w:shd w:val="clear" w:color="auto" w:fill="1B556B"/>
            <w:noWrap/>
            <w:vAlign w:val="bottom"/>
            <w:hideMark/>
          </w:tcPr>
          <w:p w14:paraId="1E610545" w14:textId="77777777" w:rsidR="00075073" w:rsidRPr="00B275E2" w:rsidRDefault="00075073" w:rsidP="007F0B1E">
            <w:pPr>
              <w:pStyle w:val="TableText"/>
              <w:rPr>
                <w:rFonts w:eastAsia="Times New Roman"/>
                <w:szCs w:val="18"/>
              </w:rPr>
            </w:pPr>
            <w:r w:rsidRPr="00B275E2">
              <w:rPr>
                <w:rFonts w:eastAsia="Times New Roman"/>
                <w:szCs w:val="18"/>
              </w:rPr>
              <w:t>Emission source</w:t>
            </w:r>
          </w:p>
        </w:tc>
        <w:tc>
          <w:tcPr>
            <w:tcW w:w="1558" w:type="dxa"/>
            <w:shd w:val="clear" w:color="auto" w:fill="1B556B"/>
            <w:vAlign w:val="bottom"/>
          </w:tcPr>
          <w:p w14:paraId="0B13DEFE" w14:textId="77777777" w:rsidR="00075073" w:rsidRPr="00B275E2" w:rsidRDefault="00075073" w:rsidP="007F0B1E">
            <w:pPr>
              <w:pStyle w:val="TableText"/>
              <w:cnfStyle w:val="100000000000" w:firstRow="1" w:lastRow="0" w:firstColumn="0" w:lastColumn="0" w:oddVBand="0" w:evenVBand="0" w:oddHBand="0" w:evenHBand="0" w:firstRowFirstColumn="0" w:firstRowLastColumn="0" w:lastRowFirstColumn="0" w:lastRowLastColumn="0"/>
              <w:rPr>
                <w:rFonts w:eastAsia="Times New Roman"/>
                <w:szCs w:val="18"/>
              </w:rPr>
            </w:pPr>
            <w:r w:rsidRPr="00B275E2">
              <w:rPr>
                <w:rFonts w:eastAsia="Times New Roman"/>
                <w:szCs w:val="18"/>
              </w:rPr>
              <w:t>Unit</w:t>
            </w:r>
          </w:p>
        </w:tc>
        <w:tc>
          <w:tcPr>
            <w:tcW w:w="1191" w:type="dxa"/>
            <w:shd w:val="clear" w:color="auto" w:fill="D2DDE1" w:themeFill="background2"/>
            <w:noWrap/>
            <w:vAlign w:val="bottom"/>
            <w:hideMark/>
          </w:tcPr>
          <w:p w14:paraId="145E6F39" w14:textId="77777777" w:rsidR="00075073" w:rsidRPr="00B275E2" w:rsidRDefault="00075073" w:rsidP="00DD494A">
            <w:pPr>
              <w:pStyle w:val="TableText"/>
              <w:jc w:val="right"/>
              <w:cnfStyle w:val="100000000000" w:firstRow="1" w:lastRow="0" w:firstColumn="0" w:lastColumn="0" w:oddVBand="0" w:evenVBand="0" w:oddHBand="0" w:evenHBand="0" w:firstRowFirstColumn="0" w:firstRowLastColumn="0" w:lastRowFirstColumn="0" w:lastRowLastColumn="0"/>
              <w:rPr>
                <w:rFonts w:eastAsia="Times New Roman"/>
                <w:color w:val="auto"/>
                <w:szCs w:val="18"/>
              </w:rPr>
            </w:pPr>
            <w:r w:rsidRPr="00B275E2">
              <w:rPr>
                <w:rFonts w:eastAsia="Times New Roman"/>
                <w:color w:val="auto"/>
                <w:szCs w:val="18"/>
              </w:rPr>
              <w:t>kg CO</w:t>
            </w:r>
            <w:r w:rsidRPr="00B275E2">
              <w:rPr>
                <w:rFonts w:eastAsia="Times New Roman"/>
                <w:color w:val="auto"/>
                <w:szCs w:val="18"/>
                <w:vertAlign w:val="subscript"/>
              </w:rPr>
              <w:t>2</w:t>
            </w:r>
            <w:r w:rsidRPr="00B275E2">
              <w:rPr>
                <w:rFonts w:eastAsia="Times New Roman"/>
                <w:color w:val="auto"/>
                <w:szCs w:val="18"/>
              </w:rPr>
              <w:noBreakHyphen/>
              <w:t>e/unit</w:t>
            </w:r>
          </w:p>
        </w:tc>
        <w:tc>
          <w:tcPr>
            <w:tcW w:w="1077" w:type="dxa"/>
            <w:shd w:val="clear" w:color="auto" w:fill="1B556B"/>
            <w:noWrap/>
            <w:vAlign w:val="bottom"/>
            <w:hideMark/>
          </w:tcPr>
          <w:p w14:paraId="05DD92FC" w14:textId="77777777" w:rsidR="00075073" w:rsidRPr="00B275E2" w:rsidRDefault="00075073" w:rsidP="00DD494A">
            <w:pPr>
              <w:pStyle w:val="TableText"/>
              <w:jc w:val="right"/>
              <w:cnfStyle w:val="100000000000" w:firstRow="1" w:lastRow="0" w:firstColumn="0" w:lastColumn="0" w:oddVBand="0" w:evenVBand="0" w:oddHBand="0" w:evenHBand="0" w:firstRowFirstColumn="0" w:firstRowLastColumn="0" w:lastRowFirstColumn="0" w:lastRowLastColumn="0"/>
              <w:rPr>
                <w:rFonts w:eastAsia="Times New Roman"/>
                <w:szCs w:val="18"/>
              </w:rPr>
            </w:pPr>
            <w:r w:rsidRPr="00B275E2">
              <w:rPr>
                <w:rFonts w:eastAsia="Times New Roman"/>
                <w:szCs w:val="18"/>
              </w:rPr>
              <w:t>kg CO</w:t>
            </w:r>
            <w:r w:rsidRPr="00B275E2">
              <w:rPr>
                <w:rFonts w:eastAsia="Times New Roman"/>
                <w:szCs w:val="18"/>
                <w:vertAlign w:val="subscript"/>
              </w:rPr>
              <w:t>2</w:t>
            </w:r>
            <w:r w:rsidRPr="00B275E2">
              <w:rPr>
                <w:rFonts w:eastAsia="Times New Roman"/>
                <w:szCs w:val="18"/>
              </w:rPr>
              <w:t xml:space="preserve">/unit </w:t>
            </w:r>
            <w:r w:rsidRPr="00B275E2">
              <w:rPr>
                <w:rFonts w:eastAsia="Times New Roman"/>
                <w:szCs w:val="18"/>
              </w:rPr>
              <w:br/>
              <w:t>(kg CO</w:t>
            </w:r>
            <w:r w:rsidRPr="00B275E2">
              <w:rPr>
                <w:rFonts w:eastAsia="Times New Roman"/>
                <w:szCs w:val="18"/>
                <w:vertAlign w:val="subscript"/>
              </w:rPr>
              <w:t>2</w:t>
            </w:r>
            <w:r w:rsidRPr="00B275E2">
              <w:rPr>
                <w:rFonts w:eastAsia="Times New Roman"/>
                <w:szCs w:val="18"/>
              </w:rPr>
              <w:t>-e)</w:t>
            </w:r>
          </w:p>
        </w:tc>
        <w:tc>
          <w:tcPr>
            <w:tcW w:w="1133" w:type="dxa"/>
            <w:shd w:val="clear" w:color="auto" w:fill="1B556B"/>
            <w:noWrap/>
            <w:vAlign w:val="bottom"/>
            <w:hideMark/>
          </w:tcPr>
          <w:p w14:paraId="205C86A5" w14:textId="77777777" w:rsidR="00075073" w:rsidRPr="00B275E2" w:rsidRDefault="00075073" w:rsidP="00DD494A">
            <w:pPr>
              <w:pStyle w:val="TableText"/>
              <w:jc w:val="right"/>
              <w:cnfStyle w:val="100000000000" w:firstRow="1" w:lastRow="0" w:firstColumn="0" w:lastColumn="0" w:oddVBand="0" w:evenVBand="0" w:oddHBand="0" w:evenHBand="0" w:firstRowFirstColumn="0" w:firstRowLastColumn="0" w:lastRowFirstColumn="0" w:lastRowLastColumn="0"/>
              <w:rPr>
                <w:rFonts w:eastAsia="Times New Roman"/>
                <w:szCs w:val="18"/>
              </w:rPr>
            </w:pPr>
            <w:r w:rsidRPr="00B275E2">
              <w:rPr>
                <w:rFonts w:eastAsia="Times New Roman"/>
                <w:szCs w:val="18"/>
              </w:rPr>
              <w:t>kg CH</w:t>
            </w:r>
            <w:r w:rsidRPr="00B275E2">
              <w:rPr>
                <w:rFonts w:eastAsia="Times New Roman"/>
                <w:szCs w:val="18"/>
                <w:vertAlign w:val="subscript"/>
              </w:rPr>
              <w:t>4</w:t>
            </w:r>
            <w:r w:rsidRPr="00B275E2">
              <w:rPr>
                <w:rFonts w:eastAsia="Times New Roman"/>
                <w:szCs w:val="18"/>
              </w:rPr>
              <w:t xml:space="preserve">/unit </w:t>
            </w:r>
            <w:r w:rsidRPr="00B275E2">
              <w:rPr>
                <w:rFonts w:eastAsia="Times New Roman"/>
                <w:szCs w:val="18"/>
              </w:rPr>
              <w:br/>
              <w:t>(kg CO</w:t>
            </w:r>
            <w:r w:rsidRPr="00B275E2">
              <w:rPr>
                <w:rFonts w:eastAsia="Times New Roman"/>
                <w:szCs w:val="18"/>
                <w:vertAlign w:val="subscript"/>
              </w:rPr>
              <w:t>2</w:t>
            </w:r>
            <w:r w:rsidRPr="00B275E2">
              <w:rPr>
                <w:rFonts w:eastAsia="Times New Roman"/>
                <w:szCs w:val="18"/>
              </w:rPr>
              <w:noBreakHyphen/>
              <w:t>e)</w:t>
            </w:r>
          </w:p>
        </w:tc>
        <w:tc>
          <w:tcPr>
            <w:tcW w:w="1077" w:type="dxa"/>
            <w:shd w:val="clear" w:color="auto" w:fill="1B556B"/>
            <w:noWrap/>
            <w:vAlign w:val="bottom"/>
            <w:hideMark/>
          </w:tcPr>
          <w:p w14:paraId="18A62B28" w14:textId="77777777" w:rsidR="00075073" w:rsidRPr="00B275E2" w:rsidRDefault="00075073" w:rsidP="00DD494A">
            <w:pPr>
              <w:pStyle w:val="TableText"/>
              <w:jc w:val="right"/>
              <w:cnfStyle w:val="100000000000" w:firstRow="1" w:lastRow="0" w:firstColumn="0" w:lastColumn="0" w:oddVBand="0" w:evenVBand="0" w:oddHBand="0" w:evenHBand="0" w:firstRowFirstColumn="0" w:firstRowLastColumn="0" w:lastRowFirstColumn="0" w:lastRowLastColumn="0"/>
              <w:rPr>
                <w:rFonts w:eastAsia="Times New Roman"/>
                <w:szCs w:val="18"/>
              </w:rPr>
            </w:pPr>
            <w:r w:rsidRPr="00B275E2">
              <w:rPr>
                <w:rFonts w:eastAsia="Times New Roman"/>
                <w:szCs w:val="18"/>
              </w:rPr>
              <w:t>kg N</w:t>
            </w:r>
            <w:r w:rsidRPr="00B275E2">
              <w:rPr>
                <w:rFonts w:eastAsia="Times New Roman"/>
                <w:szCs w:val="18"/>
                <w:vertAlign w:val="subscript"/>
              </w:rPr>
              <w:t>2</w:t>
            </w:r>
            <w:r w:rsidRPr="00B275E2">
              <w:rPr>
                <w:rFonts w:eastAsia="Times New Roman"/>
                <w:szCs w:val="18"/>
              </w:rPr>
              <w:t>O/unit (kg CO</w:t>
            </w:r>
            <w:r w:rsidRPr="00B275E2">
              <w:rPr>
                <w:rFonts w:eastAsia="Times New Roman"/>
                <w:szCs w:val="18"/>
                <w:vertAlign w:val="subscript"/>
              </w:rPr>
              <w:t>2</w:t>
            </w:r>
            <w:r w:rsidRPr="00B275E2">
              <w:rPr>
                <w:rFonts w:eastAsia="Times New Roman"/>
                <w:szCs w:val="18"/>
              </w:rPr>
              <w:noBreakHyphen/>
              <w:t>e)</w:t>
            </w:r>
          </w:p>
        </w:tc>
        <w:tc>
          <w:tcPr>
            <w:tcW w:w="1260" w:type="dxa"/>
            <w:shd w:val="clear" w:color="auto" w:fill="1B556B"/>
            <w:vAlign w:val="bottom"/>
          </w:tcPr>
          <w:p w14:paraId="39D24E63" w14:textId="77777777" w:rsidR="00075073" w:rsidRPr="00B275E2" w:rsidRDefault="00075073" w:rsidP="007F0B1E">
            <w:pPr>
              <w:pStyle w:val="TableText"/>
              <w:cnfStyle w:val="100000000000" w:firstRow="1" w:lastRow="0" w:firstColumn="0" w:lastColumn="0" w:oddVBand="0" w:evenVBand="0" w:oddHBand="0" w:evenHBand="0" w:firstRowFirstColumn="0" w:firstRowLastColumn="0" w:lastRowFirstColumn="0" w:lastRowLastColumn="0"/>
              <w:rPr>
                <w:rFonts w:eastAsia="Times New Roman"/>
                <w:szCs w:val="18"/>
              </w:rPr>
            </w:pPr>
            <w:r w:rsidRPr="00B275E2">
              <w:rPr>
                <w:rFonts w:eastAsia="Times New Roman"/>
                <w:szCs w:val="18"/>
              </w:rPr>
              <w:t>Assumptions</w:t>
            </w:r>
          </w:p>
        </w:tc>
      </w:tr>
      <w:tr w:rsidR="00075073" w:rsidRPr="00B275E2" w14:paraId="11721E04" w14:textId="77777777" w:rsidTr="009C0E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tcBorders>
              <w:left w:val="single" w:sz="4" w:space="0" w:color="FFFFFF" w:themeColor="background1"/>
            </w:tcBorders>
          </w:tcPr>
          <w:p w14:paraId="68A22745" w14:textId="77777777" w:rsidR="00075073" w:rsidRPr="00B275E2" w:rsidRDefault="00075073" w:rsidP="007F0B1E">
            <w:pPr>
              <w:pStyle w:val="TableText"/>
              <w:rPr>
                <w:b w:val="0"/>
                <w:szCs w:val="18"/>
              </w:rPr>
            </w:pPr>
            <w:r w:rsidRPr="00B275E2">
              <w:rPr>
                <w:b w:val="0"/>
                <w:szCs w:val="18"/>
              </w:rPr>
              <w:t>Monitor</w:t>
            </w:r>
          </w:p>
        </w:tc>
        <w:tc>
          <w:tcPr>
            <w:tcW w:w="1558" w:type="dxa"/>
          </w:tcPr>
          <w:p w14:paraId="2FC9698B" w14:textId="77777777" w:rsidR="00075073" w:rsidRPr="00B275E2" w:rsidRDefault="00075073" w:rsidP="007F0B1E">
            <w:pPr>
              <w:pStyle w:val="TableTex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Employee per day</w:t>
            </w:r>
          </w:p>
        </w:tc>
        <w:tc>
          <w:tcPr>
            <w:tcW w:w="1191" w:type="dxa"/>
            <w:shd w:val="clear" w:color="auto" w:fill="D2DDE1" w:themeFill="background2"/>
            <w:noWrap/>
          </w:tcPr>
          <w:p w14:paraId="5CE2CD6A" w14:textId="77777777" w:rsidR="00075073" w:rsidRPr="00B275E2" w:rsidRDefault="00075073" w:rsidP="00DD494A">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szCs w:val="18"/>
              </w:rPr>
              <w:t xml:space="preserve"> 0.020 </w:t>
            </w:r>
          </w:p>
        </w:tc>
        <w:tc>
          <w:tcPr>
            <w:tcW w:w="1077" w:type="dxa"/>
            <w:noWrap/>
          </w:tcPr>
          <w:p w14:paraId="03EF4622" w14:textId="77777777" w:rsidR="00075073" w:rsidRPr="00B275E2" w:rsidRDefault="00075073" w:rsidP="00DD494A">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szCs w:val="18"/>
              </w:rPr>
              <w:t xml:space="preserve">0.019 </w:t>
            </w:r>
          </w:p>
        </w:tc>
        <w:tc>
          <w:tcPr>
            <w:tcW w:w="1133" w:type="dxa"/>
            <w:noWrap/>
          </w:tcPr>
          <w:p w14:paraId="0D624C0A" w14:textId="77777777" w:rsidR="00075073" w:rsidRPr="00B275E2" w:rsidRDefault="00075073" w:rsidP="00DD494A">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szCs w:val="18"/>
              </w:rPr>
              <w:t xml:space="preserve">0.001 </w:t>
            </w:r>
          </w:p>
        </w:tc>
        <w:tc>
          <w:tcPr>
            <w:tcW w:w="1077" w:type="dxa"/>
            <w:noWrap/>
          </w:tcPr>
          <w:p w14:paraId="0F0BCC44" w14:textId="77777777" w:rsidR="00075073" w:rsidRPr="00B275E2" w:rsidRDefault="00075073" w:rsidP="00DD494A">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szCs w:val="18"/>
              </w:rPr>
              <w:t xml:space="preserve">0.000 </w:t>
            </w:r>
          </w:p>
        </w:tc>
        <w:tc>
          <w:tcPr>
            <w:tcW w:w="1260" w:type="dxa"/>
            <w:tcBorders>
              <w:right w:val="single" w:sz="4" w:space="0" w:color="FFFFFF" w:themeColor="background1"/>
            </w:tcBorders>
          </w:tcPr>
          <w:p w14:paraId="52A7FBC2" w14:textId="77777777" w:rsidR="00075073" w:rsidRPr="00B275E2" w:rsidRDefault="00075073" w:rsidP="007F0B1E">
            <w:pPr>
              <w:pStyle w:val="TableTex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8 hrs per day</w:t>
            </w:r>
          </w:p>
        </w:tc>
      </w:tr>
      <w:tr w:rsidR="00075073" w:rsidRPr="00B275E2" w14:paraId="69139B16" w14:textId="77777777" w:rsidTr="009C0EC0">
        <w:trPr>
          <w:trHeight w:val="300"/>
        </w:trPr>
        <w:tc>
          <w:tcPr>
            <w:cnfStyle w:val="001000000000" w:firstRow="0" w:lastRow="0" w:firstColumn="1" w:lastColumn="0" w:oddVBand="0" w:evenVBand="0" w:oddHBand="0" w:evenHBand="0" w:firstRowFirstColumn="0" w:firstRowLastColumn="0" w:lastRowFirstColumn="0" w:lastRowLastColumn="0"/>
            <w:tcW w:w="1276" w:type="dxa"/>
            <w:tcBorders>
              <w:left w:val="single" w:sz="4" w:space="0" w:color="FFFFFF" w:themeColor="background1"/>
            </w:tcBorders>
          </w:tcPr>
          <w:p w14:paraId="61F63F71" w14:textId="77777777" w:rsidR="00075073" w:rsidRPr="00B275E2" w:rsidRDefault="00075073" w:rsidP="007F0B1E">
            <w:pPr>
              <w:pStyle w:val="TableText"/>
              <w:rPr>
                <w:rFonts w:cs="Calibri"/>
                <w:b w:val="0"/>
                <w:szCs w:val="18"/>
              </w:rPr>
            </w:pPr>
            <w:r w:rsidRPr="00B275E2">
              <w:rPr>
                <w:b w:val="0"/>
                <w:szCs w:val="18"/>
              </w:rPr>
              <w:t xml:space="preserve">Laptop </w:t>
            </w:r>
          </w:p>
        </w:tc>
        <w:tc>
          <w:tcPr>
            <w:tcW w:w="1558" w:type="dxa"/>
          </w:tcPr>
          <w:p w14:paraId="3EECB089" w14:textId="77777777" w:rsidR="00075073" w:rsidRPr="00B275E2" w:rsidRDefault="00075073" w:rsidP="007F0B1E">
            <w:pPr>
              <w:pStyle w:val="TableText"/>
              <w:cnfStyle w:val="000000000000" w:firstRow="0" w:lastRow="0" w:firstColumn="0" w:lastColumn="0" w:oddVBand="0" w:evenVBand="0" w:oddHBand="0" w:evenHBand="0" w:firstRowFirstColumn="0" w:firstRowLastColumn="0" w:lastRowFirstColumn="0" w:lastRowLastColumn="0"/>
              <w:rPr>
                <w:rFonts w:cs="Calibri"/>
                <w:szCs w:val="18"/>
                <w:highlight w:val="yellow"/>
              </w:rPr>
            </w:pPr>
            <w:r w:rsidRPr="00B275E2">
              <w:rPr>
                <w:rFonts w:cs="Calibri"/>
                <w:szCs w:val="18"/>
              </w:rPr>
              <w:t xml:space="preserve">employee per day </w:t>
            </w:r>
          </w:p>
        </w:tc>
        <w:tc>
          <w:tcPr>
            <w:tcW w:w="1191" w:type="dxa"/>
            <w:shd w:val="clear" w:color="auto" w:fill="D2DDE1" w:themeFill="background2"/>
            <w:noWrap/>
          </w:tcPr>
          <w:p w14:paraId="193D537C" w14:textId="77777777" w:rsidR="00075073" w:rsidRPr="00B275E2" w:rsidRDefault="00075073" w:rsidP="00DD494A">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highlight w:val="yellow"/>
              </w:rPr>
            </w:pPr>
            <w:r w:rsidRPr="00B275E2">
              <w:rPr>
                <w:szCs w:val="18"/>
              </w:rPr>
              <w:t xml:space="preserve"> 0.010 </w:t>
            </w:r>
          </w:p>
        </w:tc>
        <w:tc>
          <w:tcPr>
            <w:tcW w:w="1077" w:type="dxa"/>
            <w:noWrap/>
          </w:tcPr>
          <w:p w14:paraId="60B87C1C" w14:textId="77777777" w:rsidR="00075073" w:rsidRPr="00B275E2" w:rsidRDefault="00075073" w:rsidP="00DD494A">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highlight w:val="yellow"/>
              </w:rPr>
            </w:pPr>
            <w:r w:rsidRPr="00B275E2">
              <w:rPr>
                <w:szCs w:val="18"/>
              </w:rPr>
              <w:t xml:space="preserve">0.009 </w:t>
            </w:r>
          </w:p>
        </w:tc>
        <w:tc>
          <w:tcPr>
            <w:tcW w:w="1133" w:type="dxa"/>
            <w:noWrap/>
          </w:tcPr>
          <w:p w14:paraId="207E23A1" w14:textId="77777777" w:rsidR="00075073" w:rsidRPr="00B275E2" w:rsidRDefault="00075073" w:rsidP="00DD494A">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highlight w:val="yellow"/>
              </w:rPr>
            </w:pPr>
            <w:r w:rsidRPr="00B275E2">
              <w:rPr>
                <w:szCs w:val="18"/>
              </w:rPr>
              <w:t xml:space="preserve">0.000 </w:t>
            </w:r>
          </w:p>
        </w:tc>
        <w:tc>
          <w:tcPr>
            <w:tcW w:w="1077" w:type="dxa"/>
            <w:noWrap/>
          </w:tcPr>
          <w:p w14:paraId="222988B8" w14:textId="77777777" w:rsidR="00075073" w:rsidRPr="00B275E2" w:rsidRDefault="00075073" w:rsidP="00DD494A">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highlight w:val="yellow"/>
              </w:rPr>
            </w:pPr>
            <w:r w:rsidRPr="00B275E2">
              <w:rPr>
                <w:szCs w:val="18"/>
              </w:rPr>
              <w:t xml:space="preserve">0.000 </w:t>
            </w:r>
          </w:p>
        </w:tc>
        <w:tc>
          <w:tcPr>
            <w:tcW w:w="1260" w:type="dxa"/>
            <w:tcBorders>
              <w:right w:val="single" w:sz="4" w:space="0" w:color="FFFFFF" w:themeColor="background1"/>
            </w:tcBorders>
          </w:tcPr>
          <w:p w14:paraId="2E6EBB49" w14:textId="77777777" w:rsidR="00075073" w:rsidRPr="00B275E2" w:rsidRDefault="00075073" w:rsidP="007F0B1E">
            <w:pPr>
              <w:pStyle w:val="TableText"/>
              <w:cnfStyle w:val="000000000000" w:firstRow="0" w:lastRow="0" w:firstColumn="0" w:lastColumn="0" w:oddVBand="0" w:evenVBand="0" w:oddHBand="0" w:evenHBand="0" w:firstRowFirstColumn="0" w:firstRowLastColumn="0" w:lastRowFirstColumn="0" w:lastRowLastColumn="0"/>
              <w:rPr>
                <w:rFonts w:cs="Calibri"/>
                <w:szCs w:val="18"/>
                <w:highlight w:val="yellow"/>
              </w:rPr>
            </w:pPr>
            <w:r w:rsidRPr="00B275E2">
              <w:rPr>
                <w:rFonts w:cs="Calibri"/>
                <w:szCs w:val="18"/>
              </w:rPr>
              <w:t>8 hrs per day</w:t>
            </w:r>
          </w:p>
        </w:tc>
      </w:tr>
      <w:tr w:rsidR="00075073" w:rsidRPr="00B275E2" w14:paraId="4A3950F6" w14:textId="77777777" w:rsidTr="009C0E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tcBorders>
              <w:left w:val="single" w:sz="4" w:space="0" w:color="FFFFFF" w:themeColor="background1"/>
            </w:tcBorders>
          </w:tcPr>
          <w:p w14:paraId="30318458" w14:textId="77777777" w:rsidR="00075073" w:rsidRPr="00B275E2" w:rsidRDefault="00075073" w:rsidP="007F0B1E">
            <w:pPr>
              <w:pStyle w:val="TableText"/>
              <w:rPr>
                <w:rFonts w:cs="Calibri"/>
                <w:b w:val="0"/>
                <w:szCs w:val="18"/>
                <w:highlight w:val="yellow"/>
              </w:rPr>
            </w:pPr>
            <w:r w:rsidRPr="00B275E2">
              <w:rPr>
                <w:b w:val="0"/>
                <w:szCs w:val="18"/>
              </w:rPr>
              <w:t>Light Use</w:t>
            </w:r>
          </w:p>
        </w:tc>
        <w:tc>
          <w:tcPr>
            <w:tcW w:w="1558" w:type="dxa"/>
          </w:tcPr>
          <w:p w14:paraId="76AEE647" w14:textId="77777777" w:rsidR="00075073" w:rsidRPr="00B275E2" w:rsidRDefault="00075073" w:rsidP="007F0B1E">
            <w:pPr>
              <w:pStyle w:val="TableText"/>
              <w:cnfStyle w:val="000000100000" w:firstRow="0" w:lastRow="0" w:firstColumn="0" w:lastColumn="0" w:oddVBand="0" w:evenVBand="0" w:oddHBand="1" w:evenHBand="0" w:firstRowFirstColumn="0" w:firstRowLastColumn="0" w:lastRowFirstColumn="0" w:lastRowLastColumn="0"/>
              <w:rPr>
                <w:rFonts w:cs="Calibri"/>
                <w:szCs w:val="18"/>
                <w:highlight w:val="yellow"/>
              </w:rPr>
            </w:pPr>
            <w:r w:rsidRPr="00B275E2">
              <w:rPr>
                <w:rFonts w:cs="Calibri"/>
                <w:szCs w:val="18"/>
              </w:rPr>
              <w:t xml:space="preserve">employee per day </w:t>
            </w:r>
          </w:p>
        </w:tc>
        <w:tc>
          <w:tcPr>
            <w:tcW w:w="1191" w:type="dxa"/>
            <w:shd w:val="clear" w:color="auto" w:fill="D2DDE1" w:themeFill="background2"/>
            <w:noWrap/>
          </w:tcPr>
          <w:p w14:paraId="2EC5287B" w14:textId="77777777" w:rsidR="00075073" w:rsidRPr="00B275E2" w:rsidRDefault="00075073" w:rsidP="00DD494A">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highlight w:val="yellow"/>
              </w:rPr>
            </w:pPr>
            <w:r w:rsidRPr="00B275E2">
              <w:rPr>
                <w:rFonts w:cs="Calibri"/>
                <w:szCs w:val="18"/>
              </w:rPr>
              <w:t xml:space="preserve">0.010 </w:t>
            </w:r>
          </w:p>
        </w:tc>
        <w:tc>
          <w:tcPr>
            <w:tcW w:w="1077" w:type="dxa"/>
            <w:noWrap/>
          </w:tcPr>
          <w:p w14:paraId="5CAEC5BB" w14:textId="77777777" w:rsidR="00075073" w:rsidRPr="00B275E2" w:rsidRDefault="00075073" w:rsidP="00DD494A">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highlight w:val="yellow"/>
              </w:rPr>
            </w:pPr>
            <w:r w:rsidRPr="00B275E2">
              <w:rPr>
                <w:rFonts w:cs="Calibri"/>
                <w:szCs w:val="18"/>
              </w:rPr>
              <w:t xml:space="preserve">0.009 </w:t>
            </w:r>
          </w:p>
        </w:tc>
        <w:tc>
          <w:tcPr>
            <w:tcW w:w="1133" w:type="dxa"/>
            <w:noWrap/>
          </w:tcPr>
          <w:p w14:paraId="37E488FA" w14:textId="77777777" w:rsidR="00075073" w:rsidRPr="00B275E2" w:rsidRDefault="00075073" w:rsidP="00DD494A">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highlight w:val="yellow"/>
              </w:rPr>
            </w:pPr>
            <w:r w:rsidRPr="00B275E2">
              <w:rPr>
                <w:rFonts w:cs="Calibri"/>
                <w:szCs w:val="18"/>
              </w:rPr>
              <w:t xml:space="preserve">0.00037 </w:t>
            </w:r>
          </w:p>
        </w:tc>
        <w:tc>
          <w:tcPr>
            <w:tcW w:w="1077" w:type="dxa"/>
            <w:noWrap/>
          </w:tcPr>
          <w:p w14:paraId="5567A3D4" w14:textId="77777777" w:rsidR="00075073" w:rsidRPr="00B275E2" w:rsidRDefault="00075073" w:rsidP="00DD494A">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highlight w:val="yellow"/>
              </w:rPr>
            </w:pPr>
            <w:r w:rsidRPr="00B275E2">
              <w:rPr>
                <w:rFonts w:cs="Calibri"/>
                <w:szCs w:val="18"/>
              </w:rPr>
              <w:t xml:space="preserve">0.00001 </w:t>
            </w:r>
          </w:p>
        </w:tc>
        <w:tc>
          <w:tcPr>
            <w:tcW w:w="1260" w:type="dxa"/>
            <w:tcBorders>
              <w:right w:val="single" w:sz="4" w:space="0" w:color="FFFFFF" w:themeColor="background1"/>
            </w:tcBorders>
          </w:tcPr>
          <w:p w14:paraId="0404E106" w14:textId="77777777" w:rsidR="00075073" w:rsidRPr="00B275E2" w:rsidRDefault="00075073" w:rsidP="007F0B1E">
            <w:pPr>
              <w:pStyle w:val="TableText"/>
              <w:cnfStyle w:val="000000100000" w:firstRow="0" w:lastRow="0" w:firstColumn="0" w:lastColumn="0" w:oddVBand="0" w:evenVBand="0" w:oddHBand="1" w:evenHBand="0" w:firstRowFirstColumn="0" w:firstRowLastColumn="0" w:lastRowFirstColumn="0" w:lastRowLastColumn="0"/>
              <w:rPr>
                <w:rFonts w:cs="Calibri"/>
                <w:szCs w:val="18"/>
                <w:highlight w:val="yellow"/>
              </w:rPr>
            </w:pPr>
            <w:r w:rsidRPr="00B275E2">
              <w:rPr>
                <w:szCs w:val="18"/>
              </w:rPr>
              <w:t>12 W 8 hrs per day</w:t>
            </w:r>
          </w:p>
        </w:tc>
      </w:tr>
      <w:tr w:rsidR="00075073" w:rsidRPr="00B275E2" w14:paraId="7188B093" w14:textId="77777777" w:rsidTr="009C0EC0">
        <w:trPr>
          <w:trHeight w:val="300"/>
        </w:trPr>
        <w:tc>
          <w:tcPr>
            <w:cnfStyle w:val="001000000000" w:firstRow="0" w:lastRow="0" w:firstColumn="1" w:lastColumn="0" w:oddVBand="0" w:evenVBand="0" w:oddHBand="0" w:evenHBand="0" w:firstRowFirstColumn="0" w:firstRowLastColumn="0" w:lastRowFirstColumn="0" w:lastRowLastColumn="0"/>
            <w:tcW w:w="1276" w:type="dxa"/>
            <w:tcBorders>
              <w:left w:val="single" w:sz="4" w:space="0" w:color="FFFFFF" w:themeColor="background1"/>
            </w:tcBorders>
          </w:tcPr>
          <w:p w14:paraId="13E3C689" w14:textId="77777777" w:rsidR="00075073" w:rsidRPr="00B275E2" w:rsidRDefault="00075073" w:rsidP="007F0B1E">
            <w:pPr>
              <w:pStyle w:val="TableText"/>
              <w:rPr>
                <w:rFonts w:cs="Calibri"/>
                <w:b w:val="0"/>
                <w:szCs w:val="18"/>
                <w:highlight w:val="yellow"/>
              </w:rPr>
            </w:pPr>
            <w:r w:rsidRPr="00B275E2">
              <w:rPr>
                <w:b w:val="0"/>
                <w:szCs w:val="18"/>
              </w:rPr>
              <w:t xml:space="preserve">Heat pump use </w:t>
            </w:r>
          </w:p>
        </w:tc>
        <w:tc>
          <w:tcPr>
            <w:tcW w:w="1558" w:type="dxa"/>
          </w:tcPr>
          <w:p w14:paraId="24442F17" w14:textId="77777777" w:rsidR="00075073" w:rsidRPr="00B275E2" w:rsidRDefault="00075073" w:rsidP="007F0B1E">
            <w:pPr>
              <w:pStyle w:val="TableText"/>
              <w:cnfStyle w:val="000000000000" w:firstRow="0" w:lastRow="0" w:firstColumn="0" w:lastColumn="0" w:oddVBand="0" w:evenVBand="0" w:oddHBand="0" w:evenHBand="0" w:firstRowFirstColumn="0" w:firstRowLastColumn="0" w:lastRowFirstColumn="0" w:lastRowLastColumn="0"/>
              <w:rPr>
                <w:rFonts w:cs="Calibri"/>
                <w:szCs w:val="18"/>
                <w:highlight w:val="yellow"/>
              </w:rPr>
            </w:pPr>
            <w:r w:rsidRPr="00B275E2">
              <w:rPr>
                <w:rFonts w:cs="Calibri"/>
                <w:szCs w:val="18"/>
              </w:rPr>
              <w:t>employee per day</w:t>
            </w:r>
          </w:p>
        </w:tc>
        <w:tc>
          <w:tcPr>
            <w:tcW w:w="1191" w:type="dxa"/>
            <w:shd w:val="clear" w:color="auto" w:fill="D2DDE1" w:themeFill="background2"/>
            <w:noWrap/>
          </w:tcPr>
          <w:p w14:paraId="66CF5D78" w14:textId="77777777" w:rsidR="00075073" w:rsidRPr="00B275E2" w:rsidRDefault="00075073" w:rsidP="00DD494A">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highlight w:val="yellow"/>
              </w:rPr>
            </w:pPr>
            <w:r w:rsidRPr="00B275E2">
              <w:rPr>
                <w:rFonts w:cs="Calibri"/>
                <w:szCs w:val="18"/>
              </w:rPr>
              <w:t xml:space="preserve">0.408 </w:t>
            </w:r>
          </w:p>
        </w:tc>
        <w:tc>
          <w:tcPr>
            <w:tcW w:w="1077" w:type="dxa"/>
            <w:noWrap/>
          </w:tcPr>
          <w:p w14:paraId="3C41B5D0" w14:textId="77777777" w:rsidR="00075073" w:rsidRPr="00B275E2" w:rsidRDefault="00075073" w:rsidP="00DD494A">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highlight w:val="yellow"/>
              </w:rPr>
            </w:pPr>
            <w:r w:rsidRPr="00B275E2">
              <w:rPr>
                <w:rFonts w:cs="Calibri"/>
                <w:szCs w:val="18"/>
              </w:rPr>
              <w:t xml:space="preserve">0.390 </w:t>
            </w:r>
          </w:p>
        </w:tc>
        <w:tc>
          <w:tcPr>
            <w:tcW w:w="1133" w:type="dxa"/>
            <w:noWrap/>
          </w:tcPr>
          <w:p w14:paraId="3FE8B1A6" w14:textId="77777777" w:rsidR="00075073" w:rsidRPr="00B275E2" w:rsidRDefault="00075073" w:rsidP="00DD494A">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highlight w:val="yellow"/>
              </w:rPr>
            </w:pPr>
            <w:r w:rsidRPr="00B275E2">
              <w:rPr>
                <w:rFonts w:cs="Calibri"/>
                <w:szCs w:val="18"/>
              </w:rPr>
              <w:t xml:space="preserve">0.018 </w:t>
            </w:r>
          </w:p>
        </w:tc>
        <w:tc>
          <w:tcPr>
            <w:tcW w:w="1077" w:type="dxa"/>
            <w:noWrap/>
          </w:tcPr>
          <w:p w14:paraId="5CF3F2E9" w14:textId="77777777" w:rsidR="00075073" w:rsidRPr="00B275E2" w:rsidRDefault="00075073" w:rsidP="00DD494A">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highlight w:val="yellow"/>
              </w:rPr>
            </w:pPr>
            <w:r w:rsidRPr="00B275E2">
              <w:rPr>
                <w:rFonts w:cs="Calibri"/>
                <w:szCs w:val="18"/>
              </w:rPr>
              <w:t xml:space="preserve">0.0004 </w:t>
            </w:r>
          </w:p>
        </w:tc>
        <w:tc>
          <w:tcPr>
            <w:tcW w:w="1260" w:type="dxa"/>
            <w:tcBorders>
              <w:right w:val="single" w:sz="4" w:space="0" w:color="FFFFFF" w:themeColor="background1"/>
            </w:tcBorders>
          </w:tcPr>
          <w:p w14:paraId="15BACB09" w14:textId="5AA46F65" w:rsidR="00075073" w:rsidRPr="00B275E2" w:rsidRDefault="009674A9" w:rsidP="007F0B1E">
            <w:pPr>
              <w:pStyle w:val="TableText"/>
              <w:spacing w:after="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4</w:t>
            </w:r>
            <w:r w:rsidR="00075073" w:rsidRPr="00B275E2">
              <w:rPr>
                <w:szCs w:val="18"/>
              </w:rPr>
              <w:t xml:space="preserve"> kW </w:t>
            </w:r>
          </w:p>
          <w:p w14:paraId="3A0BCB72" w14:textId="7DFE435C" w:rsidR="00075073" w:rsidRPr="00B275E2" w:rsidRDefault="009674A9" w:rsidP="007F0B1E">
            <w:pPr>
              <w:pStyle w:val="TableText"/>
              <w:cnfStyle w:val="000000000000" w:firstRow="0" w:lastRow="0" w:firstColumn="0" w:lastColumn="0" w:oddVBand="0" w:evenVBand="0" w:oddHBand="0" w:evenHBand="0" w:firstRowFirstColumn="0" w:firstRowLastColumn="0" w:lastRowFirstColumn="0" w:lastRowLastColumn="0"/>
              <w:rPr>
                <w:rFonts w:cs="Calibri"/>
                <w:szCs w:val="18"/>
                <w:highlight w:val="yellow"/>
              </w:rPr>
            </w:pPr>
            <w:r w:rsidRPr="00B275E2">
              <w:rPr>
                <w:szCs w:val="18"/>
              </w:rPr>
              <w:t>6</w:t>
            </w:r>
            <w:r w:rsidR="00075073" w:rsidRPr="00B275E2">
              <w:rPr>
                <w:szCs w:val="18"/>
              </w:rPr>
              <w:t xml:space="preserve">hrs per day </w:t>
            </w:r>
            <w:r w:rsidR="00335852" w:rsidRPr="00B275E2">
              <w:rPr>
                <w:szCs w:val="18"/>
              </w:rPr>
              <w:t>50% of households</w:t>
            </w:r>
          </w:p>
        </w:tc>
      </w:tr>
      <w:tr w:rsidR="00075073" w:rsidRPr="00B275E2" w14:paraId="0E8A7214" w14:textId="77777777" w:rsidTr="009C0E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tcBorders>
              <w:left w:val="single" w:sz="4" w:space="0" w:color="FFFFFF" w:themeColor="background1"/>
            </w:tcBorders>
          </w:tcPr>
          <w:p w14:paraId="23EAE147" w14:textId="77777777" w:rsidR="00075073" w:rsidRPr="00B275E2" w:rsidRDefault="00075073" w:rsidP="007F0B1E">
            <w:pPr>
              <w:pStyle w:val="TableText"/>
              <w:rPr>
                <w:rFonts w:cs="Calibri"/>
                <w:b w:val="0"/>
                <w:szCs w:val="18"/>
                <w:highlight w:val="yellow"/>
              </w:rPr>
            </w:pPr>
            <w:r w:rsidRPr="00B275E2">
              <w:rPr>
                <w:b w:val="0"/>
                <w:szCs w:val="18"/>
              </w:rPr>
              <w:t xml:space="preserve">Electric Heater </w:t>
            </w:r>
          </w:p>
        </w:tc>
        <w:tc>
          <w:tcPr>
            <w:tcW w:w="1558" w:type="dxa"/>
          </w:tcPr>
          <w:p w14:paraId="04D12D99" w14:textId="77777777" w:rsidR="00075073" w:rsidRPr="00B275E2" w:rsidRDefault="00075073" w:rsidP="007F0B1E">
            <w:pPr>
              <w:pStyle w:val="TableText"/>
              <w:cnfStyle w:val="000000100000" w:firstRow="0" w:lastRow="0" w:firstColumn="0" w:lastColumn="0" w:oddVBand="0" w:evenVBand="0" w:oddHBand="1" w:evenHBand="0" w:firstRowFirstColumn="0" w:firstRowLastColumn="0" w:lastRowFirstColumn="0" w:lastRowLastColumn="0"/>
              <w:rPr>
                <w:rFonts w:cs="Calibri"/>
                <w:szCs w:val="18"/>
                <w:highlight w:val="yellow"/>
              </w:rPr>
            </w:pPr>
            <w:r w:rsidRPr="00B275E2">
              <w:rPr>
                <w:rFonts w:cs="Calibri"/>
                <w:szCs w:val="18"/>
              </w:rPr>
              <w:t xml:space="preserve">employee per day </w:t>
            </w:r>
          </w:p>
        </w:tc>
        <w:tc>
          <w:tcPr>
            <w:tcW w:w="1191" w:type="dxa"/>
            <w:shd w:val="clear" w:color="auto" w:fill="D2DDE1" w:themeFill="background2"/>
            <w:noWrap/>
          </w:tcPr>
          <w:p w14:paraId="67CF0106" w14:textId="77777777" w:rsidR="00075073" w:rsidRPr="00B275E2" w:rsidRDefault="00075073" w:rsidP="00DD494A">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highlight w:val="yellow"/>
              </w:rPr>
            </w:pPr>
            <w:r w:rsidRPr="00B275E2">
              <w:rPr>
                <w:rFonts w:cs="Calibri"/>
                <w:szCs w:val="18"/>
              </w:rPr>
              <w:t xml:space="preserve">0.815 </w:t>
            </w:r>
          </w:p>
        </w:tc>
        <w:tc>
          <w:tcPr>
            <w:tcW w:w="1077" w:type="dxa"/>
            <w:noWrap/>
          </w:tcPr>
          <w:p w14:paraId="0B673719" w14:textId="77777777" w:rsidR="00075073" w:rsidRPr="00B275E2" w:rsidRDefault="00075073" w:rsidP="00DD494A">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highlight w:val="yellow"/>
              </w:rPr>
            </w:pPr>
            <w:r w:rsidRPr="00B275E2">
              <w:rPr>
                <w:rFonts w:cs="Calibri"/>
                <w:szCs w:val="18"/>
              </w:rPr>
              <w:t xml:space="preserve">0.779 </w:t>
            </w:r>
          </w:p>
        </w:tc>
        <w:tc>
          <w:tcPr>
            <w:tcW w:w="1133" w:type="dxa"/>
            <w:noWrap/>
          </w:tcPr>
          <w:p w14:paraId="11B96D7C" w14:textId="77777777" w:rsidR="00075073" w:rsidRPr="00B275E2" w:rsidRDefault="00075073" w:rsidP="00DD494A">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highlight w:val="yellow"/>
              </w:rPr>
            </w:pPr>
            <w:r w:rsidRPr="00B275E2">
              <w:rPr>
                <w:rFonts w:cs="Calibri"/>
                <w:szCs w:val="18"/>
              </w:rPr>
              <w:t xml:space="preserve">0.035 </w:t>
            </w:r>
          </w:p>
        </w:tc>
        <w:tc>
          <w:tcPr>
            <w:tcW w:w="1077" w:type="dxa"/>
            <w:noWrap/>
          </w:tcPr>
          <w:p w14:paraId="11A9F8C1" w14:textId="77777777" w:rsidR="00075073" w:rsidRPr="00B275E2" w:rsidRDefault="00075073" w:rsidP="00DD494A">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highlight w:val="yellow"/>
              </w:rPr>
            </w:pPr>
            <w:r w:rsidRPr="00B275E2">
              <w:rPr>
                <w:rFonts w:cs="Calibri"/>
                <w:szCs w:val="18"/>
              </w:rPr>
              <w:t xml:space="preserve">0.001 </w:t>
            </w:r>
          </w:p>
        </w:tc>
        <w:tc>
          <w:tcPr>
            <w:tcW w:w="1260" w:type="dxa"/>
            <w:tcBorders>
              <w:right w:val="single" w:sz="4" w:space="0" w:color="FFFFFF" w:themeColor="background1"/>
            </w:tcBorders>
          </w:tcPr>
          <w:p w14:paraId="40B8BB43" w14:textId="77777777" w:rsidR="00075073" w:rsidRPr="00B275E2" w:rsidRDefault="00075073" w:rsidP="007F0B1E">
            <w:pPr>
              <w:pStyle w:val="TableText"/>
              <w:spacing w:after="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 xml:space="preserve">2 kW </w:t>
            </w:r>
          </w:p>
          <w:p w14:paraId="09F4C732" w14:textId="0D487D77" w:rsidR="00075073" w:rsidRPr="00B275E2" w:rsidRDefault="00335852" w:rsidP="007F0B1E">
            <w:pPr>
              <w:pStyle w:val="TableText"/>
              <w:cnfStyle w:val="000000100000" w:firstRow="0" w:lastRow="0" w:firstColumn="0" w:lastColumn="0" w:oddVBand="0" w:evenVBand="0" w:oddHBand="1" w:evenHBand="0" w:firstRowFirstColumn="0" w:firstRowLastColumn="0" w:lastRowFirstColumn="0" w:lastRowLastColumn="0"/>
              <w:rPr>
                <w:rFonts w:cs="Calibri"/>
                <w:szCs w:val="18"/>
                <w:highlight w:val="yellow"/>
              </w:rPr>
            </w:pPr>
            <w:r w:rsidRPr="00B275E2">
              <w:rPr>
                <w:szCs w:val="18"/>
              </w:rPr>
              <w:t>6</w:t>
            </w:r>
            <w:r w:rsidR="00075073" w:rsidRPr="00B275E2">
              <w:rPr>
                <w:szCs w:val="18"/>
              </w:rPr>
              <w:t xml:space="preserve">hrs per day </w:t>
            </w:r>
            <w:r w:rsidRPr="00B275E2">
              <w:rPr>
                <w:szCs w:val="18"/>
              </w:rPr>
              <w:t>50% of households</w:t>
            </w:r>
          </w:p>
        </w:tc>
      </w:tr>
    </w:tbl>
    <w:p w14:paraId="2305E900" w14:textId="77777777" w:rsidR="003D3259" w:rsidRPr="00B275E2" w:rsidRDefault="003D3259" w:rsidP="00C24B73">
      <w:pPr>
        <w:pStyle w:val="Heading3"/>
        <w:numPr>
          <w:ilvl w:val="0"/>
          <w:numId w:val="26"/>
        </w:numPr>
      </w:pPr>
      <w:r w:rsidRPr="00B275E2">
        <w:t>Employee commuting</w:t>
      </w:r>
    </w:p>
    <w:p w14:paraId="34C865BD" w14:textId="23E41F85" w:rsidR="003D3259" w:rsidRPr="00B275E2" w:rsidRDefault="003D3259" w:rsidP="007D475E">
      <w:pPr>
        <w:pStyle w:val="BodyText"/>
      </w:pPr>
      <w:r w:rsidRPr="00B275E2">
        <w:t xml:space="preserve">To account for the emissions produced by employees commuting between their homes and their worksites, refer to </w:t>
      </w:r>
      <w:r w:rsidR="00FE624E" w:rsidRPr="00B275E2">
        <w:t>t</w:t>
      </w:r>
      <w:r w:rsidRPr="00B275E2">
        <w:t xml:space="preserve">ravel </w:t>
      </w:r>
      <w:r w:rsidR="00FE624E" w:rsidRPr="00B275E2">
        <w:t>e</w:t>
      </w:r>
      <w:r w:rsidRPr="00B275E2">
        <w:t xml:space="preserve">missions in </w:t>
      </w:r>
      <w:hyperlink w:anchor="_Travel_emission_factors" w:history="1">
        <w:r w:rsidRPr="00B275E2">
          <w:rPr>
            <w:rStyle w:val="Hyperlink"/>
          </w:rPr>
          <w:t>section 7.</w:t>
        </w:r>
      </w:hyperlink>
      <w:r w:rsidRPr="00B275E2">
        <w:t xml:space="preserve"> </w:t>
      </w:r>
    </w:p>
    <w:p w14:paraId="06F3DB1B" w14:textId="77777777" w:rsidR="003D3259" w:rsidRPr="00B275E2" w:rsidRDefault="003D3259" w:rsidP="00C24B73">
      <w:pPr>
        <w:pStyle w:val="Heading3"/>
        <w:numPr>
          <w:ilvl w:val="0"/>
          <w:numId w:val="26"/>
        </w:numPr>
      </w:pPr>
      <w:r w:rsidRPr="00B275E2">
        <w:t xml:space="preserve">The carbon benefits of working from home </w:t>
      </w:r>
    </w:p>
    <w:p w14:paraId="54294D4F" w14:textId="77777777" w:rsidR="003D3259" w:rsidRPr="00B275E2" w:rsidRDefault="003D3259" w:rsidP="007F0B1E">
      <w:pPr>
        <w:pStyle w:val="BodyText"/>
      </w:pPr>
      <w:r w:rsidRPr="00B275E2">
        <w:t xml:space="preserve">There is ongoing discussion and research on whether working from home reduces an employee’s carbon footprint. </w:t>
      </w:r>
    </w:p>
    <w:p w14:paraId="4F87B9DF" w14:textId="77777777" w:rsidR="003D3259" w:rsidRPr="00B275E2" w:rsidRDefault="003D3259" w:rsidP="007F0B1E">
      <w:pPr>
        <w:pStyle w:val="BodyText"/>
      </w:pPr>
      <w:r w:rsidRPr="00B275E2">
        <w:t>The carbon benefits of working from home will depend on, among other things, whether avoided emissions are seen from employee commuting. For example, an employee who normally commutes by car for a return trip of 40km will see a decrease in overall emissions from working at home, whereas someone who normally takes the train or drives an EV may see an increase in their overall emissions (the sum of that employee’s emissions from working at home and commuting).</w:t>
      </w:r>
    </w:p>
    <w:p w14:paraId="24F2889D" w14:textId="77777777" w:rsidR="003D3259" w:rsidRPr="00B275E2" w:rsidRDefault="003D3259" w:rsidP="007F0B1E">
      <w:pPr>
        <w:pStyle w:val="BodyText"/>
      </w:pPr>
      <w:r w:rsidRPr="00B275E2">
        <w:t>Similarly, through the increased use of collaborative technologies such as videoconferencing and screen-sharing, there may be less need for certain workers to use company vehicles to visit and meet people in person. This will reduce the organisation’s vehicle fleet emissions and working from home would reduce this employee’s carbon footprint.</w:t>
      </w:r>
    </w:p>
    <w:p w14:paraId="7047237B" w14:textId="77777777" w:rsidR="00075073" w:rsidRPr="00B275E2" w:rsidRDefault="71ACB789" w:rsidP="00C24B73">
      <w:pPr>
        <w:pStyle w:val="Heading3"/>
        <w:numPr>
          <w:ilvl w:val="0"/>
          <w:numId w:val="26"/>
        </w:numPr>
      </w:pPr>
      <w:r>
        <w:t>Assumptions, limitations and uncertainties</w:t>
      </w:r>
    </w:p>
    <w:p w14:paraId="74292B0E" w14:textId="5057E8A9" w:rsidR="00075073" w:rsidRPr="00B275E2" w:rsidRDefault="00075073" w:rsidP="007F0B1E">
      <w:pPr>
        <w:pStyle w:val="BodyText"/>
      </w:pPr>
      <w:r w:rsidRPr="00B275E2">
        <w:t>In the absence of accurate data for New Zealand a number of assumptions have been made to</w:t>
      </w:r>
      <w:r w:rsidR="007D475E" w:rsidRPr="00B275E2">
        <w:t> </w:t>
      </w:r>
      <w:r w:rsidRPr="00B275E2">
        <w:t>establish one default working from home emission factor. It is assumed that all staff use a laptop and one monitor, while in some cases desktops or multiple monitors may be used. There will also be variation in the wattage of the laptops being used, due to factors such as size</w:t>
      </w:r>
      <w:r w:rsidR="007D475E" w:rsidRPr="00B275E2">
        <w:t> </w:t>
      </w:r>
      <w:r w:rsidRPr="00B275E2">
        <w:t xml:space="preserve">and the way it is being used. </w:t>
      </w:r>
    </w:p>
    <w:p w14:paraId="6A659E36" w14:textId="38AEDD25" w:rsidR="00075073" w:rsidRPr="00B275E2" w:rsidRDefault="00075073" w:rsidP="007F0B1E">
      <w:pPr>
        <w:pStyle w:val="BodyText"/>
      </w:pPr>
      <w:r w:rsidRPr="00B275E2">
        <w:lastRenderedPageBreak/>
        <w:t xml:space="preserve">Acknowledging the likely high variation in the way New Zealand employees heat their office space, there </w:t>
      </w:r>
      <w:r w:rsidR="00335852" w:rsidRPr="00B275E2">
        <w:t>is high uncertainty in</w:t>
      </w:r>
      <w:r w:rsidRPr="00B275E2">
        <w:t xml:space="preserve"> this factor. It does not account for situations where unzoned central heating is used to heat the office space, for different heater sizes</w:t>
      </w:r>
      <w:r w:rsidR="008A5BB8" w:rsidRPr="00B275E2">
        <w:t xml:space="preserve"> or</w:t>
      </w:r>
      <w:r w:rsidRPr="00B275E2">
        <w:t xml:space="preserve"> for different heating fuels (</w:t>
      </w:r>
      <w:r w:rsidR="008A5BB8" w:rsidRPr="00B275E2">
        <w:t>e</w:t>
      </w:r>
      <w:r w:rsidR="00103E6D" w:rsidRPr="00B275E2">
        <w:t>g</w:t>
      </w:r>
      <w:r w:rsidR="008A5BB8" w:rsidRPr="00B275E2">
        <w:t xml:space="preserve">, </w:t>
      </w:r>
      <w:r w:rsidRPr="00B275E2">
        <w:t>gas</w:t>
      </w:r>
      <w:r w:rsidR="008A5BB8" w:rsidRPr="00B275E2">
        <w:t>, solid fuels</w:t>
      </w:r>
      <w:r w:rsidRPr="00B275E2">
        <w:t>). Further, the assumed six hour running time may not apply in all cases, with some workspaces being better insulated than others.</w:t>
      </w:r>
      <w:r w:rsidR="00331E21">
        <w:t xml:space="preserve"> Future updates to the guidance will explore regional averages for heating type and duration.</w:t>
      </w:r>
    </w:p>
    <w:p w14:paraId="7E90921C" w14:textId="22D3BD95" w:rsidR="00C057AA" w:rsidRPr="00B275E2" w:rsidRDefault="00C057AA" w:rsidP="007F0B1E">
      <w:pPr>
        <w:pStyle w:val="BodyText"/>
      </w:pPr>
      <w:r w:rsidRPr="00B275E2">
        <w:t>The default factor assumes heating is used for five months of the year, which again is not likely to reflect all situations.</w:t>
      </w:r>
    </w:p>
    <w:p w14:paraId="57736DA2" w14:textId="376BE75C" w:rsidR="00075073" w:rsidRPr="00B275E2" w:rsidRDefault="00075073" w:rsidP="007F0B1E">
      <w:pPr>
        <w:pStyle w:val="BodyText"/>
      </w:pPr>
      <w:r w:rsidRPr="00B275E2">
        <w:t xml:space="preserve">In light of the above limitations, there is opportunity to improve your quality of data behind your inventory through having good data collection, such as the staff survey suggested above. Given working from home is </w:t>
      </w:r>
      <w:r w:rsidR="00022590">
        <w:t>now</w:t>
      </w:r>
      <w:r w:rsidRPr="00B275E2">
        <w:t xml:space="preserve"> </w:t>
      </w:r>
      <w:r w:rsidR="00DB20EB" w:rsidRPr="00B275E2">
        <w:t>i</w:t>
      </w:r>
      <w:r w:rsidRPr="00B275E2">
        <w:t>ngrained in many New Zealand workplaces, routines have likely developed where many employees are consistently working from home on the same day(s) of the working week. In such cases, it may be relatively easy to ask employees to record which days they work from home, and which of these heating was used. Building on this with good GHG data on employee commuting</w:t>
      </w:r>
      <w:r w:rsidR="00D95185" w:rsidRPr="00B275E2">
        <w:t xml:space="preserve"> (which can be included in </w:t>
      </w:r>
      <w:r w:rsidR="00022590">
        <w:t>t</w:t>
      </w:r>
      <w:r w:rsidR="00D95185" w:rsidRPr="00B275E2">
        <w:t xml:space="preserve">ravel </w:t>
      </w:r>
      <w:r w:rsidR="000821F1" w:rsidRPr="00B275E2">
        <w:t>e</w:t>
      </w:r>
      <w:r w:rsidR="00D95185" w:rsidRPr="00B275E2">
        <w:t>missions</w:t>
      </w:r>
      <w:r w:rsidR="002B0427" w:rsidRPr="00B275E2">
        <w:t xml:space="preserve"> </w:t>
      </w:r>
      <w:r w:rsidR="000821F1" w:rsidRPr="00B275E2">
        <w:t>f</w:t>
      </w:r>
      <w:r w:rsidR="002B0427" w:rsidRPr="00B275E2">
        <w:t>actors</w:t>
      </w:r>
      <w:r w:rsidR="00D95185" w:rsidRPr="00B275E2">
        <w:t xml:space="preserve">, </w:t>
      </w:r>
      <w:hyperlink w:anchor="_Travel_emission_factors" w:history="1">
        <w:r w:rsidR="00D95185" w:rsidRPr="00B275E2">
          <w:rPr>
            <w:rStyle w:val="Hyperlink"/>
          </w:rPr>
          <w:t>section 7</w:t>
        </w:r>
      </w:hyperlink>
      <w:r w:rsidR="00D95185" w:rsidRPr="00B275E2">
        <w:t>)</w:t>
      </w:r>
      <w:r w:rsidRPr="00B275E2">
        <w:t xml:space="preserve">, will </w:t>
      </w:r>
      <w:r w:rsidR="00A52478">
        <w:t>help you understand</w:t>
      </w:r>
      <w:r w:rsidRPr="00B275E2">
        <w:t xml:space="preserve"> whether working from </w:t>
      </w:r>
      <w:r w:rsidR="00F72451">
        <w:t xml:space="preserve">home </w:t>
      </w:r>
      <w:r w:rsidRPr="00B275E2">
        <w:t>is positively or negatively impacting your carbon footprint.</w:t>
      </w:r>
    </w:p>
    <w:p w14:paraId="38C7E472" w14:textId="348520C4" w:rsidR="00075073" w:rsidRPr="00B275E2" w:rsidRDefault="00075073" w:rsidP="00C24B73">
      <w:pPr>
        <w:pStyle w:val="Heading2"/>
        <w:numPr>
          <w:ilvl w:val="0"/>
          <w:numId w:val="25"/>
        </w:numPr>
      </w:pPr>
      <w:bookmarkStart w:id="296" w:name="_Toc111536791"/>
      <w:r w:rsidRPr="00B275E2">
        <w:t>Guidance on the use of cloud-based data</w:t>
      </w:r>
      <w:r w:rsidR="007D475E" w:rsidRPr="00B275E2">
        <w:t> </w:t>
      </w:r>
      <w:r w:rsidRPr="00B275E2">
        <w:t>centres</w:t>
      </w:r>
      <w:bookmarkEnd w:id="296"/>
    </w:p>
    <w:p w14:paraId="6793ACEC" w14:textId="5B683048" w:rsidR="00075073" w:rsidRPr="00B275E2" w:rsidRDefault="00075073" w:rsidP="007F0B1E">
      <w:pPr>
        <w:pStyle w:val="BodyText"/>
      </w:pPr>
      <w:r w:rsidRPr="00B275E2">
        <w:t>Emissions from data centres come under indirect (Scope 3) emissions. These emissions may be</w:t>
      </w:r>
      <w:r w:rsidR="000821F1" w:rsidRPr="00B275E2">
        <w:t xml:space="preserve"> </w:t>
      </w:r>
      <w:r w:rsidRPr="00B275E2">
        <w:t>significant for any organi</w:t>
      </w:r>
      <w:r w:rsidR="000821F1" w:rsidRPr="00B275E2">
        <w:t>s</w:t>
      </w:r>
      <w:r w:rsidRPr="00B275E2">
        <w:t>ation that operates with large third</w:t>
      </w:r>
      <w:r w:rsidR="00106952" w:rsidRPr="00B275E2">
        <w:t>-</w:t>
      </w:r>
      <w:r w:rsidRPr="00B275E2">
        <w:t xml:space="preserve">party IT infrastructure. </w:t>
      </w:r>
    </w:p>
    <w:p w14:paraId="275DCCD3" w14:textId="741B663C" w:rsidR="00075073" w:rsidRPr="00B275E2" w:rsidRDefault="00075073" w:rsidP="007F0B1E">
      <w:pPr>
        <w:pStyle w:val="BodyText"/>
      </w:pPr>
      <w:r w:rsidRPr="00B275E2">
        <w:t xml:space="preserve">Due to the diversity and country location of data centres </w:t>
      </w:r>
      <w:r w:rsidR="00A52478">
        <w:t>used</w:t>
      </w:r>
      <w:r w:rsidRPr="00B275E2">
        <w:t xml:space="preserve"> by organisations in New Zealand it is not possible to produce a single emission factor that would inform users of</w:t>
      </w:r>
      <w:r w:rsidR="00106952" w:rsidRPr="00B275E2">
        <w:t xml:space="preserve"> </w:t>
      </w:r>
      <w:r w:rsidRPr="00B275E2">
        <w:t>the</w:t>
      </w:r>
      <w:r w:rsidR="00106952" w:rsidRPr="00B275E2">
        <w:t xml:space="preserve"> </w:t>
      </w:r>
      <w:r w:rsidRPr="00B275E2">
        <w:t>kg</w:t>
      </w:r>
      <w:r w:rsidR="00106952" w:rsidRPr="00B275E2">
        <w:t xml:space="preserve"> </w:t>
      </w:r>
      <w:r w:rsidRPr="00B275E2">
        <w:t>CO</w:t>
      </w:r>
      <w:r w:rsidRPr="00B275E2">
        <w:rPr>
          <w:vertAlign w:val="subscript"/>
        </w:rPr>
        <w:t>2</w:t>
      </w:r>
      <w:r w:rsidRPr="00B275E2">
        <w:noBreakHyphen/>
        <w:t xml:space="preserve">e each gigabyte of data produces. </w:t>
      </w:r>
    </w:p>
    <w:p w14:paraId="5487947E" w14:textId="6A6A0E1C" w:rsidR="00075073" w:rsidRPr="00B275E2" w:rsidRDefault="00075073" w:rsidP="007F0B1E">
      <w:pPr>
        <w:pStyle w:val="BodyText"/>
      </w:pPr>
      <w:r w:rsidRPr="00B275E2">
        <w:t>Therefore, organisations seeking to find out what the footprint is of the data centres where their</w:t>
      </w:r>
      <w:r w:rsidR="00106952" w:rsidRPr="00B275E2">
        <w:t xml:space="preserve"> ‘</w:t>
      </w:r>
      <w:r w:rsidRPr="00B275E2">
        <w:t>cloud</w:t>
      </w:r>
      <w:r w:rsidR="00106952" w:rsidRPr="00B275E2">
        <w:t>’</w:t>
      </w:r>
      <w:r w:rsidRPr="00B275E2">
        <w:t xml:space="preserve"> is stored should contact the providers of their data centre to request this information. Data centre providers such as Google, Microsoft and Amazon may be calculating the total emissions from their data centres and therefore be able to inform users of the carbon footprint of their usage. </w:t>
      </w:r>
    </w:p>
    <w:p w14:paraId="70587771" w14:textId="77777777" w:rsidR="00075073" w:rsidRPr="00B275E2" w:rsidRDefault="00075073" w:rsidP="007D475E">
      <w:pPr>
        <w:pStyle w:val="BodyText"/>
      </w:pPr>
    </w:p>
    <w:p w14:paraId="0CEB29CF" w14:textId="77777777" w:rsidR="00075073" w:rsidRPr="00B275E2" w:rsidRDefault="00075073" w:rsidP="007F0B1E">
      <w:pPr>
        <w:pStyle w:val="BodyText"/>
      </w:pPr>
      <w:r w:rsidRPr="00B275E2">
        <w:br w:type="page"/>
      </w:r>
    </w:p>
    <w:p w14:paraId="5B6A4637" w14:textId="5A8290D6" w:rsidR="00307779" w:rsidRPr="00B275E2" w:rsidRDefault="00897CE8" w:rsidP="00C24B73">
      <w:pPr>
        <w:pStyle w:val="Heading1"/>
        <w:numPr>
          <w:ilvl w:val="0"/>
          <w:numId w:val="15"/>
        </w:numPr>
      </w:pPr>
      <w:bookmarkStart w:id="297" w:name="_Indirect_business_related_1"/>
      <w:bookmarkStart w:id="298" w:name="_Travel_emission_factors"/>
      <w:bookmarkStart w:id="299" w:name="_Ref54862802"/>
      <w:bookmarkStart w:id="300" w:name="_Toc111536792"/>
      <w:bookmarkEnd w:id="297"/>
      <w:bookmarkEnd w:id="298"/>
      <w:r w:rsidRPr="00B275E2">
        <w:lastRenderedPageBreak/>
        <w:t xml:space="preserve">Travel </w:t>
      </w:r>
      <w:r w:rsidR="00307779" w:rsidRPr="00B275E2">
        <w:t>emission factors</w:t>
      </w:r>
      <w:bookmarkEnd w:id="286"/>
      <w:bookmarkEnd w:id="287"/>
      <w:bookmarkEnd w:id="288"/>
      <w:bookmarkEnd w:id="289"/>
      <w:bookmarkEnd w:id="299"/>
      <w:bookmarkEnd w:id="300"/>
    </w:p>
    <w:p w14:paraId="5E6BF3E3" w14:textId="1CCD0213" w:rsidR="00B15D77" w:rsidRPr="00B275E2" w:rsidRDefault="00A91716" w:rsidP="007F0B1E">
      <w:pPr>
        <w:pStyle w:val="BodyText"/>
        <w:rPr>
          <w:spacing w:val="2"/>
        </w:rPr>
      </w:pPr>
      <w:r w:rsidRPr="00B275E2">
        <w:rPr>
          <w:spacing w:val="2"/>
        </w:rPr>
        <w:t>This t</w:t>
      </w:r>
      <w:r w:rsidR="00897CE8" w:rsidRPr="00B275E2">
        <w:rPr>
          <w:spacing w:val="2"/>
        </w:rPr>
        <w:t>ravel emissions</w:t>
      </w:r>
      <w:r w:rsidRPr="00B275E2">
        <w:rPr>
          <w:spacing w:val="2"/>
        </w:rPr>
        <w:t xml:space="preserve"> section provides detail on how to </w:t>
      </w:r>
      <w:r w:rsidR="005E37F0" w:rsidRPr="00B275E2">
        <w:rPr>
          <w:spacing w:val="2"/>
        </w:rPr>
        <w:t>calculate</w:t>
      </w:r>
      <w:r w:rsidRPr="00B275E2">
        <w:rPr>
          <w:spacing w:val="2"/>
        </w:rPr>
        <w:t xml:space="preserve"> emissions associated with both </w:t>
      </w:r>
      <w:r w:rsidR="005E37F0" w:rsidRPr="00B275E2">
        <w:rPr>
          <w:spacing w:val="2"/>
        </w:rPr>
        <w:t xml:space="preserve">business </w:t>
      </w:r>
      <w:r w:rsidRPr="00B275E2">
        <w:rPr>
          <w:spacing w:val="2"/>
        </w:rPr>
        <w:t>travel and staff commuting.</w:t>
      </w:r>
      <w:r w:rsidR="00B15D77" w:rsidRPr="00B275E2">
        <w:rPr>
          <w:spacing w:val="2"/>
        </w:rPr>
        <w:t xml:space="preserve"> </w:t>
      </w:r>
    </w:p>
    <w:p w14:paraId="748E5B6F" w14:textId="6153C89F" w:rsidR="00897CE8" w:rsidRPr="00B275E2" w:rsidRDefault="006120B4" w:rsidP="007F0B1E">
      <w:pPr>
        <w:pStyle w:val="BodyText"/>
      </w:pPr>
      <w:r w:rsidRPr="00B275E2">
        <w:rPr>
          <w:spacing w:val="2"/>
        </w:rPr>
        <w:t>Business t</w:t>
      </w:r>
      <w:r w:rsidR="00A91716" w:rsidRPr="00B275E2">
        <w:rPr>
          <w:spacing w:val="2"/>
        </w:rPr>
        <w:t xml:space="preserve">ravel emissions </w:t>
      </w:r>
      <w:r w:rsidR="00897CE8" w:rsidRPr="00B275E2">
        <w:rPr>
          <w:spacing w:val="2"/>
        </w:rPr>
        <w:t>result from travel associated with (and generally paid for by) the organisation.</w:t>
      </w:r>
      <w:r w:rsidR="0035527A" w:rsidRPr="00B275E2">
        <w:rPr>
          <w:spacing w:val="2"/>
        </w:rPr>
        <w:t xml:space="preserve"> </w:t>
      </w:r>
      <w:r w:rsidR="00DC4F06" w:rsidRPr="00B275E2">
        <w:rPr>
          <w:spacing w:val="2"/>
        </w:rPr>
        <w:t>We provide f</w:t>
      </w:r>
      <w:r w:rsidR="0035527A" w:rsidRPr="00B275E2">
        <w:rPr>
          <w:spacing w:val="2"/>
        </w:rPr>
        <w:t>actors for private and rental vehicles, taxis, public transport, air</w:t>
      </w:r>
      <w:r w:rsidR="009C3E28">
        <w:rPr>
          <w:spacing w:val="2"/>
        </w:rPr>
        <w:t xml:space="preserve"> </w:t>
      </w:r>
      <w:r w:rsidR="0035527A" w:rsidRPr="00B275E2">
        <w:rPr>
          <w:spacing w:val="2"/>
        </w:rPr>
        <w:t>travel</w:t>
      </w:r>
      <w:r w:rsidR="001C20FD" w:rsidRPr="00B275E2">
        <w:rPr>
          <w:spacing w:val="2"/>
        </w:rPr>
        <w:t xml:space="preserve">, helicopters </w:t>
      </w:r>
      <w:r w:rsidR="0035527A" w:rsidRPr="00B275E2">
        <w:rPr>
          <w:spacing w:val="2"/>
        </w:rPr>
        <w:t xml:space="preserve">and </w:t>
      </w:r>
      <w:r w:rsidR="00D20543" w:rsidRPr="00B275E2">
        <w:rPr>
          <w:spacing w:val="2"/>
        </w:rPr>
        <w:t>accommodation.</w:t>
      </w:r>
      <w:bookmarkStart w:id="301" w:name="_Hlk532892960"/>
      <w:r w:rsidR="00106952" w:rsidRPr="00B275E2">
        <w:rPr>
          <w:spacing w:val="2"/>
        </w:rPr>
        <w:t xml:space="preserve"> </w:t>
      </w:r>
      <w:r w:rsidR="000C4161" w:rsidRPr="00B275E2">
        <w:t>Business t</w:t>
      </w:r>
      <w:r w:rsidR="00897CE8" w:rsidRPr="00B275E2">
        <w:t>ravel emissions are indirect (</w:t>
      </w:r>
      <w:r w:rsidR="00BC6DDF" w:rsidRPr="00B275E2">
        <w:t>S</w:t>
      </w:r>
      <w:r w:rsidR="00897CE8" w:rsidRPr="00B275E2">
        <w:t>cope 3</w:t>
      </w:r>
      <w:r w:rsidR="001C20FD" w:rsidRPr="00B275E2">
        <w:t>/ Category 6 GHG Protocol</w:t>
      </w:r>
      <w:r w:rsidR="00897CE8" w:rsidRPr="00B275E2">
        <w:t>) if the organisation does not directly own or control the</w:t>
      </w:r>
      <w:r w:rsidR="00106952" w:rsidRPr="00B275E2">
        <w:t xml:space="preserve"> </w:t>
      </w:r>
      <w:r w:rsidR="00897CE8" w:rsidRPr="00B275E2">
        <w:t xml:space="preserve">vehicles used for travel. If </w:t>
      </w:r>
      <w:r w:rsidR="00FF7CEB" w:rsidRPr="00B275E2">
        <w:t>the</w:t>
      </w:r>
      <w:r w:rsidR="00897CE8" w:rsidRPr="00B275E2">
        <w:t xml:space="preserve"> organisation own</w:t>
      </w:r>
      <w:r w:rsidR="0035527A" w:rsidRPr="00B275E2">
        <w:t>s</w:t>
      </w:r>
      <w:r w:rsidR="00897CE8" w:rsidRPr="00B275E2">
        <w:t xml:space="preserve"> </w:t>
      </w:r>
      <w:r w:rsidR="000864C5" w:rsidRPr="00B275E2">
        <w:t xml:space="preserve">or has an operating lease for </w:t>
      </w:r>
      <w:r w:rsidR="00897CE8" w:rsidRPr="00B275E2">
        <w:t>the vehicle</w:t>
      </w:r>
      <w:r w:rsidR="00FF7CEB" w:rsidRPr="00B275E2">
        <w:t>(</w:t>
      </w:r>
      <w:r w:rsidR="0049234A" w:rsidRPr="00B275E2">
        <w:t>s</w:t>
      </w:r>
      <w:r w:rsidR="00FF7CEB" w:rsidRPr="00B275E2">
        <w:t>)</w:t>
      </w:r>
      <w:r w:rsidR="00106952" w:rsidRPr="00B275E2">
        <w:t xml:space="preserve"> </w:t>
      </w:r>
      <w:r w:rsidR="00897CE8" w:rsidRPr="00B275E2">
        <w:t xml:space="preserve">these emissions </w:t>
      </w:r>
      <w:r w:rsidR="00DC4F06" w:rsidRPr="00B275E2">
        <w:t>are</w:t>
      </w:r>
      <w:r w:rsidR="0035527A" w:rsidRPr="00B275E2">
        <w:t xml:space="preserve"> </w:t>
      </w:r>
      <w:r w:rsidR="00897CE8" w:rsidRPr="00B275E2">
        <w:t>direct (Scope 1</w:t>
      </w:r>
      <w:r w:rsidR="00A81162" w:rsidRPr="00B275E2">
        <w:t>/Category 1 GHG Protocol</w:t>
      </w:r>
      <w:r w:rsidR="00897CE8" w:rsidRPr="00B275E2">
        <w:t>)</w:t>
      </w:r>
      <w:r w:rsidR="00E50651" w:rsidRPr="00B275E2">
        <w:t xml:space="preserve"> and should be accounted for in</w:t>
      </w:r>
      <w:r w:rsidR="00897CE8" w:rsidRPr="00B275E2">
        <w:t xml:space="preserve"> transport fuels</w:t>
      </w:r>
      <w:r w:rsidR="00106952" w:rsidRPr="00B275E2">
        <w:t xml:space="preserve"> </w:t>
      </w:r>
      <w:r w:rsidR="00E50651" w:rsidRPr="00B275E2">
        <w:t xml:space="preserve">(see </w:t>
      </w:r>
      <w:hyperlink w:anchor="_Transport_fuel" w:history="1">
        <w:r w:rsidR="00E50651" w:rsidRPr="00B275E2">
          <w:rPr>
            <w:rStyle w:val="Hyperlink"/>
          </w:rPr>
          <w:t>section</w:t>
        </w:r>
        <w:r w:rsidR="00CC5E73" w:rsidRPr="00B275E2">
          <w:rPr>
            <w:rStyle w:val="Hyperlink"/>
          </w:rPr>
          <w:t> </w:t>
        </w:r>
        <w:r w:rsidR="00FF7CEB" w:rsidRPr="00B275E2">
          <w:rPr>
            <w:rStyle w:val="Hyperlink"/>
          </w:rPr>
          <w:t>3.3</w:t>
        </w:r>
      </w:hyperlink>
      <w:r w:rsidR="00E50651" w:rsidRPr="00B275E2">
        <w:t>)</w:t>
      </w:r>
      <w:r w:rsidR="00897CE8" w:rsidRPr="00B275E2">
        <w:t>.</w:t>
      </w:r>
      <w:r w:rsidR="00490091" w:rsidRPr="00B275E2">
        <w:t xml:space="preserve"> </w:t>
      </w:r>
    </w:p>
    <w:bookmarkEnd w:id="301"/>
    <w:p w14:paraId="010904D8" w14:textId="5A2E02B5" w:rsidR="00F01548" w:rsidRPr="00B275E2" w:rsidRDefault="00F01548" w:rsidP="007F0B1E">
      <w:pPr>
        <w:pStyle w:val="BodyText"/>
        <w:rPr>
          <w:spacing w:val="2"/>
        </w:rPr>
      </w:pPr>
      <w:r w:rsidRPr="00B275E2">
        <w:rPr>
          <w:spacing w:val="2"/>
        </w:rPr>
        <w:t xml:space="preserve">Staff commuting emissions result from employees travelling </w:t>
      </w:r>
      <w:r w:rsidRPr="00B275E2">
        <w:t xml:space="preserve">between their homes and their worksites. Emissions from staff commuting may arise from the use of </w:t>
      </w:r>
      <w:r w:rsidRPr="00B275E2">
        <w:rPr>
          <w:spacing w:val="2"/>
        </w:rPr>
        <w:t>private and rental vehicles, taxis, public transport, and air</w:t>
      </w:r>
      <w:r w:rsidR="00106952" w:rsidRPr="00B275E2">
        <w:rPr>
          <w:spacing w:val="2"/>
        </w:rPr>
        <w:t xml:space="preserve"> </w:t>
      </w:r>
      <w:r w:rsidRPr="00B275E2">
        <w:rPr>
          <w:spacing w:val="2"/>
        </w:rPr>
        <w:t xml:space="preserve">travel. Other emissions associated with working from home can be accounted for in </w:t>
      </w:r>
      <w:hyperlink w:anchor="_Indirect_business_related_1" w:history="1">
        <w:r w:rsidRPr="00B275E2">
          <w:rPr>
            <w:rStyle w:val="Hyperlink"/>
            <w:spacing w:val="2"/>
          </w:rPr>
          <w:t>section 6</w:t>
        </w:r>
      </w:hyperlink>
      <w:r w:rsidRPr="00B275E2">
        <w:rPr>
          <w:spacing w:val="2"/>
        </w:rPr>
        <w:t xml:space="preserve">, ‘indirect </w:t>
      </w:r>
      <w:r w:rsidR="000C4161" w:rsidRPr="00B275E2">
        <w:rPr>
          <w:spacing w:val="2"/>
        </w:rPr>
        <w:t>business-related</w:t>
      </w:r>
      <w:r w:rsidRPr="00B275E2">
        <w:rPr>
          <w:spacing w:val="2"/>
        </w:rPr>
        <w:t xml:space="preserve"> emission factors’.</w:t>
      </w:r>
    </w:p>
    <w:p w14:paraId="180BA05E" w14:textId="6EA0DA5E" w:rsidR="00FE77BE" w:rsidRPr="00B275E2" w:rsidRDefault="00FE77BE" w:rsidP="007F0B1E">
      <w:pPr>
        <w:pStyle w:val="BodyText"/>
      </w:pPr>
      <w:r w:rsidRPr="00B275E2">
        <w:rPr>
          <w:spacing w:val="2"/>
        </w:rPr>
        <w:t>Staff commuting emissions are indirect (Scope 3/Category 7</w:t>
      </w:r>
      <w:r w:rsidR="00AE40B9" w:rsidRPr="00B275E2">
        <w:rPr>
          <w:spacing w:val="2"/>
        </w:rPr>
        <w:t xml:space="preserve"> GHG Protocol)</w:t>
      </w:r>
      <w:r w:rsidR="005E37F0" w:rsidRPr="00B275E2">
        <w:rPr>
          <w:spacing w:val="2"/>
        </w:rPr>
        <w:t>.</w:t>
      </w:r>
    </w:p>
    <w:p w14:paraId="17148C1E" w14:textId="0DEE8D64" w:rsidR="00307779" w:rsidRPr="00B275E2" w:rsidRDefault="00897CE8" w:rsidP="007F0B1E">
      <w:pPr>
        <w:pStyle w:val="BodyText"/>
      </w:pPr>
      <w:r w:rsidRPr="00B275E2">
        <w:t xml:space="preserve">Travel </w:t>
      </w:r>
      <w:r w:rsidR="00307779" w:rsidRPr="00B275E2">
        <w:t xml:space="preserve">emission factors are in line with </w:t>
      </w:r>
      <w:hyperlink r:id="rId75" w:history="1">
        <w:r w:rsidR="00307779" w:rsidRPr="00B275E2">
          <w:rPr>
            <w:rStyle w:val="Hyperlink"/>
          </w:rPr>
          <w:t>ISO 14064-1</w:t>
        </w:r>
        <w:r w:rsidR="00A8360E" w:rsidRPr="00B275E2">
          <w:rPr>
            <w:rStyle w:val="Hyperlink"/>
          </w:rPr>
          <w:t>:2018</w:t>
        </w:r>
      </w:hyperlink>
      <w:r w:rsidR="00226D3F" w:rsidRPr="00B275E2">
        <w:rPr>
          <w:rStyle w:val="Hyperlink"/>
        </w:rPr>
        <w:t xml:space="preserve"> </w:t>
      </w:r>
      <w:r w:rsidR="00307779" w:rsidRPr="00B275E2">
        <w:t>and the</w:t>
      </w:r>
      <w:r w:rsidR="00307779" w:rsidRPr="00B275E2">
        <w:rPr>
          <w:i/>
        </w:rPr>
        <w:t xml:space="preserve"> </w:t>
      </w:r>
      <w:hyperlink r:id="rId76" w:history="1">
        <w:r w:rsidR="00307779" w:rsidRPr="00B275E2">
          <w:rPr>
            <w:rStyle w:val="Hyperlink"/>
          </w:rPr>
          <w:t>GHG Protocol</w:t>
        </w:r>
      </w:hyperlink>
      <w:r w:rsidR="00307779" w:rsidRPr="00B275E2">
        <w:t xml:space="preserve">. </w:t>
      </w:r>
      <w:r w:rsidR="00DC4F06" w:rsidRPr="00B275E2">
        <w:t>We also include</w:t>
      </w:r>
      <w:r w:rsidR="00CC5E73" w:rsidRPr="00B275E2">
        <w:t> </w:t>
      </w:r>
      <w:r w:rsidR="00DC4F06" w:rsidRPr="00B275E2">
        <w:t>the m</w:t>
      </w:r>
      <w:r w:rsidR="00307779" w:rsidRPr="00B275E2">
        <w:t>ethodology of the corresponding emission factors.</w:t>
      </w:r>
    </w:p>
    <w:p w14:paraId="0A50101A" w14:textId="367DF8FC" w:rsidR="00307779" w:rsidRPr="00B275E2" w:rsidRDefault="00307779" w:rsidP="00C24B73">
      <w:pPr>
        <w:pStyle w:val="Heading2"/>
        <w:numPr>
          <w:ilvl w:val="0"/>
          <w:numId w:val="27"/>
        </w:numPr>
      </w:pPr>
      <w:bookmarkStart w:id="302" w:name="_Toc529960705"/>
      <w:bookmarkStart w:id="303" w:name="_Toc532904894"/>
      <w:bookmarkStart w:id="304" w:name="_Toc600582"/>
      <w:bookmarkStart w:id="305" w:name="_Toc111536793"/>
      <w:r w:rsidRPr="00B275E2">
        <w:t>Overview of changes since</w:t>
      </w:r>
      <w:r w:rsidR="00844F4F" w:rsidRPr="00B275E2">
        <w:t xml:space="preserve"> </w:t>
      </w:r>
      <w:r w:rsidRPr="00B275E2">
        <w:t>previous</w:t>
      </w:r>
      <w:r w:rsidR="00844F4F" w:rsidRPr="00B275E2">
        <w:t xml:space="preserve"> </w:t>
      </w:r>
      <w:r w:rsidRPr="00B275E2">
        <w:t>update</w:t>
      </w:r>
      <w:bookmarkEnd w:id="302"/>
      <w:bookmarkEnd w:id="303"/>
      <w:bookmarkEnd w:id="304"/>
      <w:bookmarkEnd w:id="305"/>
    </w:p>
    <w:p w14:paraId="400FB32C" w14:textId="3D1AB59A" w:rsidR="00307779" w:rsidRPr="00B275E2" w:rsidRDefault="00253A6E" w:rsidP="007F0B1E">
      <w:pPr>
        <w:pStyle w:val="BodyText"/>
      </w:pPr>
      <w:r w:rsidRPr="00B275E2">
        <w:t>The travel chapter now includes updated emission factors for domestic air travel based on 2019 and 2020 data. Public transport emission factors for buses and rail services have also been updated. International air trave</w:t>
      </w:r>
      <w:r w:rsidR="00200203" w:rsidRPr="00B275E2">
        <w:t>l</w:t>
      </w:r>
      <w:r w:rsidRPr="00B275E2">
        <w:t xml:space="preserve"> emission factors have been updated to align with the 2021 conversion factors from the UK BEIS. </w:t>
      </w:r>
      <w:r w:rsidR="0089274B" w:rsidRPr="00B275E2">
        <w:t>No data is currently available for ferr</w:t>
      </w:r>
      <w:r w:rsidR="00FF420A" w:rsidRPr="00B275E2">
        <w:t>ie</w:t>
      </w:r>
      <w:r w:rsidR="0089274B" w:rsidRPr="00B275E2">
        <w:t>s.</w:t>
      </w:r>
    </w:p>
    <w:p w14:paraId="65091A93" w14:textId="39AB2429" w:rsidR="00FA56CD" w:rsidRPr="00B275E2" w:rsidRDefault="00FA56CD" w:rsidP="00C24B73">
      <w:pPr>
        <w:pStyle w:val="Heading2"/>
        <w:numPr>
          <w:ilvl w:val="0"/>
          <w:numId w:val="27"/>
        </w:numPr>
      </w:pPr>
      <w:bookmarkStart w:id="306" w:name="_Passenger_vehicles"/>
      <w:bookmarkStart w:id="307" w:name="_Ref532891261"/>
      <w:bookmarkStart w:id="308" w:name="_Toc532904895"/>
      <w:bookmarkStart w:id="309" w:name="_Toc600583"/>
      <w:bookmarkStart w:id="310" w:name="_Toc111536794"/>
      <w:bookmarkEnd w:id="306"/>
      <w:r w:rsidRPr="00B275E2">
        <w:t>Passenger vehicle</w:t>
      </w:r>
      <w:r w:rsidR="00662070" w:rsidRPr="00B275E2">
        <w:t>s</w:t>
      </w:r>
      <w:bookmarkEnd w:id="307"/>
      <w:bookmarkEnd w:id="308"/>
      <w:bookmarkEnd w:id="309"/>
      <w:bookmarkEnd w:id="310"/>
    </w:p>
    <w:p w14:paraId="65091A94" w14:textId="4EDF058F" w:rsidR="00321918" w:rsidRPr="00B275E2" w:rsidRDefault="00FA56CD" w:rsidP="007F0B1E">
      <w:pPr>
        <w:pStyle w:val="BodyText"/>
        <w:rPr>
          <w:spacing w:val="-2"/>
        </w:rPr>
      </w:pPr>
      <w:r w:rsidRPr="00B275E2">
        <w:rPr>
          <w:spacing w:val="-2"/>
        </w:rPr>
        <w:t xml:space="preserve">This section covers emissions </w:t>
      </w:r>
      <w:r w:rsidR="00CB5E01" w:rsidRPr="00B275E2">
        <w:rPr>
          <w:spacing w:val="-2"/>
        </w:rPr>
        <w:t>from p</w:t>
      </w:r>
      <w:r w:rsidR="00321918" w:rsidRPr="00B275E2">
        <w:rPr>
          <w:spacing w:val="-2"/>
        </w:rPr>
        <w:t>rivate</w:t>
      </w:r>
      <w:r w:rsidR="003B2B9A" w:rsidRPr="00B275E2">
        <w:rPr>
          <w:spacing w:val="-2"/>
        </w:rPr>
        <w:t xml:space="preserve"> vehicle</w:t>
      </w:r>
      <w:r w:rsidR="00FF7CEB" w:rsidRPr="00B275E2">
        <w:rPr>
          <w:spacing w:val="-2"/>
        </w:rPr>
        <w:t>s for which</w:t>
      </w:r>
      <w:r w:rsidR="003B2B9A" w:rsidRPr="00B275E2">
        <w:rPr>
          <w:spacing w:val="-2"/>
        </w:rPr>
        <w:t xml:space="preserve"> mileage </w:t>
      </w:r>
      <w:r w:rsidR="00FF7CEB" w:rsidRPr="00B275E2">
        <w:rPr>
          <w:spacing w:val="-2"/>
        </w:rPr>
        <w:t xml:space="preserve">is </w:t>
      </w:r>
      <w:r w:rsidR="003B2B9A" w:rsidRPr="00B275E2">
        <w:rPr>
          <w:spacing w:val="-2"/>
        </w:rPr>
        <w:t>claim</w:t>
      </w:r>
      <w:r w:rsidR="00FF7CEB" w:rsidRPr="00B275E2">
        <w:rPr>
          <w:spacing w:val="-2"/>
        </w:rPr>
        <w:t>ed</w:t>
      </w:r>
      <w:r w:rsidR="00321918" w:rsidRPr="00B275E2">
        <w:rPr>
          <w:spacing w:val="-2"/>
        </w:rPr>
        <w:t>,</w:t>
      </w:r>
      <w:r w:rsidR="00321918" w:rsidRPr="00B275E2">
        <w:rPr>
          <w:b/>
          <w:spacing w:val="-2"/>
        </w:rPr>
        <w:t xml:space="preserve"> </w:t>
      </w:r>
      <w:r w:rsidR="009974E9" w:rsidRPr="00B275E2">
        <w:rPr>
          <w:spacing w:val="-2"/>
        </w:rPr>
        <w:t>rental vehicle</w:t>
      </w:r>
      <w:r w:rsidR="008A0F73" w:rsidRPr="00B275E2">
        <w:rPr>
          <w:spacing w:val="-2"/>
        </w:rPr>
        <w:t>s</w:t>
      </w:r>
      <w:r w:rsidR="00321918" w:rsidRPr="00B275E2">
        <w:rPr>
          <w:spacing w:val="-2"/>
        </w:rPr>
        <w:t xml:space="preserve"> and taxi</w:t>
      </w:r>
      <w:r w:rsidR="003B2B9A" w:rsidRPr="00B275E2">
        <w:rPr>
          <w:spacing w:val="-2"/>
        </w:rPr>
        <w:t xml:space="preserve"> travel</w:t>
      </w:r>
      <w:bookmarkEnd w:id="290"/>
      <w:r w:rsidRPr="00B275E2">
        <w:rPr>
          <w:spacing w:val="-2"/>
        </w:rPr>
        <w:t>.</w:t>
      </w:r>
    </w:p>
    <w:p w14:paraId="1FC3BDE8" w14:textId="6E029247" w:rsidR="00707B18" w:rsidRPr="00B275E2" w:rsidRDefault="00C315CE" w:rsidP="007F0B1E">
      <w:pPr>
        <w:pStyle w:val="BodyText"/>
      </w:pPr>
      <w:r w:rsidRPr="00B275E2">
        <w:t>T</w:t>
      </w:r>
      <w:r w:rsidR="00707B18" w:rsidRPr="00B275E2">
        <w:t xml:space="preserve">ravel in rental </w:t>
      </w:r>
      <w:r w:rsidR="005D5D91" w:rsidRPr="00B275E2">
        <w:t xml:space="preserve">vehicles </w:t>
      </w:r>
      <w:r w:rsidR="00E81A16" w:rsidRPr="00B275E2">
        <w:t xml:space="preserve">is </w:t>
      </w:r>
      <w:r w:rsidR="00707B18" w:rsidRPr="00B275E2">
        <w:t>a common source of</w:t>
      </w:r>
      <w:r w:rsidR="004F4E23" w:rsidRPr="00B275E2">
        <w:t xml:space="preserve"> </w:t>
      </w:r>
      <w:r w:rsidR="00707B18" w:rsidRPr="00B275E2">
        <w:t xml:space="preserve">direct (Scope </w:t>
      </w:r>
      <w:r w:rsidR="00351750" w:rsidRPr="00B275E2">
        <w:t>1</w:t>
      </w:r>
      <w:r w:rsidR="00707B18" w:rsidRPr="00B275E2">
        <w:t>) emissions for many</w:t>
      </w:r>
      <w:r w:rsidR="000620F0" w:rsidRPr="00B275E2">
        <w:t xml:space="preserve"> </w:t>
      </w:r>
      <w:r w:rsidR="00707B18" w:rsidRPr="00B275E2">
        <w:t>organisations</w:t>
      </w:r>
      <w:r w:rsidR="005D5D91" w:rsidRPr="00B275E2">
        <w:t>,</w:t>
      </w:r>
      <w:r w:rsidR="00D06686" w:rsidRPr="00B275E2">
        <w:t xml:space="preserve"> while staff mil</w:t>
      </w:r>
      <w:r w:rsidR="00A3582B" w:rsidRPr="00B275E2">
        <w:t>e</w:t>
      </w:r>
      <w:r w:rsidR="00D06686" w:rsidRPr="00B275E2">
        <w:t>age and taxi travel are indirect (</w:t>
      </w:r>
      <w:r w:rsidR="005D5D91" w:rsidRPr="00B275E2">
        <w:t>S</w:t>
      </w:r>
      <w:r w:rsidR="00D06686" w:rsidRPr="00B275E2">
        <w:t>cope 3</w:t>
      </w:r>
      <w:r w:rsidR="00141ADF" w:rsidRPr="00B275E2">
        <w:t>)</w:t>
      </w:r>
      <w:r w:rsidR="00D06686" w:rsidRPr="00B275E2">
        <w:t xml:space="preserve"> emissions</w:t>
      </w:r>
      <w:r w:rsidR="00707B18" w:rsidRPr="00B275E2">
        <w:t>. As with direct</w:t>
      </w:r>
      <w:r w:rsidR="00CC5E73" w:rsidRPr="00B275E2">
        <w:t> </w:t>
      </w:r>
      <w:r w:rsidR="00707B18" w:rsidRPr="00B275E2">
        <w:t>(Scope 1) emissions from transport fuels, the most accurate way to calculate emissions is</w:t>
      </w:r>
      <w:r w:rsidR="00CC5E73" w:rsidRPr="00B275E2">
        <w:t> </w:t>
      </w:r>
      <w:r w:rsidR="00707B18" w:rsidRPr="00B275E2">
        <w:t xml:space="preserve">based on fuel consumption data. Fuel-use data </w:t>
      </w:r>
      <w:r w:rsidR="0003097B" w:rsidRPr="00B275E2">
        <w:t xml:space="preserve">are </w:t>
      </w:r>
      <w:r w:rsidR="00707B18" w:rsidRPr="00B275E2">
        <w:t>preferable because factors such as individual vehicle fuel efficiency and driving efficiency mean that kilometre-based estimates of</w:t>
      </w:r>
      <w:r w:rsidR="00CC5E73" w:rsidRPr="00B275E2">
        <w:t> </w:t>
      </w:r>
      <w:r w:rsidR="00707B18" w:rsidRPr="00B275E2">
        <w:t>emissions are less accurate. However, this information may not be easily available</w:t>
      </w:r>
      <w:r w:rsidR="00204334" w:rsidRPr="00B275E2">
        <w:t>.</w:t>
      </w:r>
      <w:r w:rsidR="00707B18" w:rsidRPr="00B275E2">
        <w:t xml:space="preserve"> </w:t>
      </w:r>
    </w:p>
    <w:p w14:paraId="0DE21B10" w14:textId="3379FEBF" w:rsidR="00FB3A5F" w:rsidRPr="00B275E2" w:rsidRDefault="00707B18" w:rsidP="007F0B1E">
      <w:pPr>
        <w:pStyle w:val="BodyText"/>
      </w:pPr>
      <w:r w:rsidRPr="00B275E2">
        <w:t xml:space="preserve">Fuel-use based emission factors </w:t>
      </w:r>
      <w:r w:rsidR="008B3986" w:rsidRPr="00B275E2">
        <w:t>are</w:t>
      </w:r>
      <w:r w:rsidR="00630E75" w:rsidRPr="00B275E2">
        <w:t xml:space="preserve"> above</w:t>
      </w:r>
      <w:r w:rsidRPr="00B275E2">
        <w:t xml:space="preserve"> in</w:t>
      </w:r>
      <w:r w:rsidR="00BA79D8" w:rsidRPr="00B275E2">
        <w:t xml:space="preserve"> </w:t>
      </w:r>
      <w:hyperlink w:anchor="_Fuel_emission_factors" w:history="1">
        <w:r w:rsidR="00BA79D8" w:rsidRPr="00B275E2">
          <w:rPr>
            <w:rStyle w:val="Hyperlink"/>
          </w:rPr>
          <w:t xml:space="preserve">section </w:t>
        </w:r>
        <w:r w:rsidR="00301C5B" w:rsidRPr="00B275E2">
          <w:rPr>
            <w:rStyle w:val="Hyperlink"/>
          </w:rPr>
          <w:t>3</w:t>
        </w:r>
      </w:hyperlink>
      <w:r w:rsidRPr="00B275E2">
        <w:t xml:space="preserve">. </w:t>
      </w:r>
    </w:p>
    <w:p w14:paraId="2BB7042F" w14:textId="48B4A648" w:rsidR="00FB3A5F" w:rsidRPr="00B275E2" w:rsidRDefault="00307779" w:rsidP="007F0B1E">
      <w:pPr>
        <w:pStyle w:val="BodyText"/>
      </w:pPr>
      <w:r w:rsidRPr="00B275E2">
        <w:t>If you only have information on kilometres</w:t>
      </w:r>
      <w:r w:rsidR="0014474E" w:rsidRPr="00B275E2">
        <w:t xml:space="preserve"> </w:t>
      </w:r>
      <w:r w:rsidRPr="00B275E2">
        <w:t xml:space="preserve">travelled, </w:t>
      </w:r>
      <w:r w:rsidRPr="00B275E2" w:rsidDel="00707B18">
        <w:t>use</w:t>
      </w:r>
      <w:r w:rsidR="00707B18" w:rsidRPr="00B275E2">
        <w:t xml:space="preserve"> the</w:t>
      </w:r>
      <w:r w:rsidR="00630E75" w:rsidRPr="00B275E2">
        <w:t xml:space="preserve"> </w:t>
      </w:r>
      <w:r w:rsidRPr="00B275E2">
        <w:t xml:space="preserve">emission factors </w:t>
      </w:r>
      <w:r w:rsidR="00630E75" w:rsidRPr="00B275E2">
        <w:t>in this section.</w:t>
      </w:r>
      <w:r w:rsidRPr="00B275E2">
        <w:t xml:space="preserve"> </w:t>
      </w:r>
      <w:r w:rsidR="00FB3A5F" w:rsidRPr="00B275E2">
        <w:t>F</w:t>
      </w:r>
      <w:r w:rsidR="00FB3A5F" w:rsidRPr="00B275E2" w:rsidDel="00707B18">
        <w:t xml:space="preserve">actors such as individual vehicle fuel efficiency and driving efficiency mean that kilometre-based estimates of </w:t>
      </w:r>
      <w:r w:rsidR="00FB3A5F" w:rsidRPr="00B275E2">
        <w:t>carbon dioxide</w:t>
      </w:r>
      <w:r w:rsidR="00A93014" w:rsidRPr="00B275E2">
        <w:t xml:space="preserve"> </w:t>
      </w:r>
      <w:r w:rsidR="00FB3A5F" w:rsidRPr="00B275E2" w:rsidDel="00707B18">
        <w:t>e</w:t>
      </w:r>
      <w:r w:rsidR="00FB3A5F" w:rsidRPr="00B275E2">
        <w:t>quivalent</w:t>
      </w:r>
      <w:r w:rsidR="00FB3A5F" w:rsidRPr="00B275E2" w:rsidDel="00707B18">
        <w:t xml:space="preserve"> emissions are less accurate than calculating emissions based on fuel-use data. </w:t>
      </w:r>
    </w:p>
    <w:p w14:paraId="5930D4CB" w14:textId="492FE2F9" w:rsidR="00C0066A" w:rsidRPr="00B275E2" w:rsidRDefault="00630E75" w:rsidP="007F0B1E">
      <w:pPr>
        <w:pStyle w:val="BodyText"/>
      </w:pPr>
      <w:r w:rsidRPr="00B275E2">
        <w:lastRenderedPageBreak/>
        <w:t xml:space="preserve">If the vehicle size and engine type </w:t>
      </w:r>
      <w:r w:rsidR="008A0F73" w:rsidRPr="00B275E2">
        <w:t xml:space="preserve">are </w:t>
      </w:r>
      <w:r w:rsidRPr="00B275E2">
        <w:t>known</w:t>
      </w:r>
      <w:r w:rsidR="00FB6265" w:rsidRPr="00B275E2">
        <w:t>,</w:t>
      </w:r>
      <w:r w:rsidRPr="00B275E2">
        <w:t xml:space="preserve"> use the factors in</w:t>
      </w:r>
      <w:r w:rsidR="005C0CAC" w:rsidRPr="00B275E2">
        <w:t xml:space="preserve"> </w:t>
      </w:r>
      <w:hyperlink w:anchor="table16" w:history="1">
        <w:r w:rsidR="00CC5E73" w:rsidRPr="00B275E2">
          <w:rPr>
            <w:rStyle w:val="Hyperlink"/>
          </w:rPr>
          <w:t>table 16</w:t>
        </w:r>
      </w:hyperlink>
      <w:r w:rsidR="005C0CAC" w:rsidRPr="00B275E2">
        <w:t xml:space="preserve"> to </w:t>
      </w:r>
      <w:hyperlink w:anchor="table19" w:history="1">
        <w:r w:rsidR="00CC5E73" w:rsidRPr="00B275E2">
          <w:rPr>
            <w:rStyle w:val="Hyperlink"/>
          </w:rPr>
          <w:t>table 1</w:t>
        </w:r>
        <w:r w:rsidR="00147741" w:rsidRPr="00B275E2">
          <w:rPr>
            <w:rStyle w:val="Hyperlink"/>
          </w:rPr>
          <w:t>9</w:t>
        </w:r>
      </w:hyperlink>
      <w:r w:rsidR="00307779" w:rsidRPr="00B275E2" w:rsidDel="00707B18">
        <w:fldChar w:fldCharType="begin"/>
      </w:r>
      <w:r w:rsidR="00307779" w:rsidRPr="00B275E2" w:rsidDel="00707B18">
        <w:fldChar w:fldCharType="separate"/>
      </w:r>
      <w:r w:rsidR="00341A8C" w:rsidRPr="00B275E2">
        <w:rPr>
          <w:b/>
        </w:rPr>
        <w:t>Error! No bookmark name given.</w:t>
      </w:r>
      <w:r w:rsidR="00307779" w:rsidRPr="00B275E2" w:rsidDel="00707B18">
        <w:fldChar w:fldCharType="end"/>
      </w:r>
      <w:r w:rsidR="00307779" w:rsidRPr="00B275E2" w:rsidDel="00707B18">
        <w:fldChar w:fldCharType="begin"/>
      </w:r>
      <w:r w:rsidR="00307779" w:rsidRPr="00B275E2" w:rsidDel="00707B18">
        <w:fldChar w:fldCharType="separate"/>
      </w:r>
      <w:r w:rsidR="00341A8C" w:rsidRPr="00B275E2">
        <w:rPr>
          <w:b/>
        </w:rPr>
        <w:t>Error! No bookmark name given.</w:t>
      </w:r>
      <w:r w:rsidR="00307779" w:rsidRPr="00B275E2" w:rsidDel="00707B18">
        <w:fldChar w:fldCharType="end"/>
      </w:r>
      <w:r w:rsidR="00707B18" w:rsidRPr="00B275E2">
        <w:t xml:space="preserve">. </w:t>
      </w:r>
      <w:hyperlink w:anchor="table20" w:history="1">
        <w:r w:rsidR="00CC5E73" w:rsidRPr="00B275E2">
          <w:rPr>
            <w:rStyle w:val="Hyperlink"/>
          </w:rPr>
          <w:t xml:space="preserve">Table </w:t>
        </w:r>
        <w:r w:rsidR="00147741" w:rsidRPr="00B275E2">
          <w:rPr>
            <w:rStyle w:val="Hyperlink"/>
          </w:rPr>
          <w:t>20</w:t>
        </w:r>
      </w:hyperlink>
      <w:r w:rsidR="005C0CAC" w:rsidRPr="00B275E2">
        <w:rPr>
          <w:color w:val="32809C" w:themeColor="accent2"/>
        </w:rPr>
        <w:t xml:space="preserve"> </w:t>
      </w:r>
      <w:r w:rsidR="00C45F6F" w:rsidRPr="00B275E2">
        <w:t xml:space="preserve">lists </w:t>
      </w:r>
      <w:r w:rsidR="004F4E23" w:rsidRPr="00B275E2">
        <w:t>d</w:t>
      </w:r>
      <w:r w:rsidR="0025686B" w:rsidRPr="00B275E2">
        <w:t>efault pri</w:t>
      </w:r>
      <w:r w:rsidR="009752BE" w:rsidRPr="00B275E2">
        <w:t xml:space="preserve">vate car </w:t>
      </w:r>
      <w:r w:rsidR="0025686B" w:rsidRPr="00B275E2">
        <w:t>emission factors</w:t>
      </w:r>
      <w:r w:rsidR="008A0F73" w:rsidRPr="00B275E2">
        <w:t>,</w:t>
      </w:r>
      <w:r w:rsidR="0025686B" w:rsidRPr="00B275E2">
        <w:t xml:space="preserve"> and</w:t>
      </w:r>
      <w:r w:rsidR="009752BE" w:rsidRPr="00B275E2">
        <w:t xml:space="preserve"> </w:t>
      </w:r>
      <w:hyperlink w:anchor="table21" w:history="1">
        <w:r w:rsidR="00CC5E73" w:rsidRPr="00B275E2">
          <w:rPr>
            <w:rStyle w:val="Hyperlink"/>
          </w:rPr>
          <w:t>table 2</w:t>
        </w:r>
        <w:r w:rsidR="00147741" w:rsidRPr="00B275E2">
          <w:rPr>
            <w:rStyle w:val="Hyperlink"/>
          </w:rPr>
          <w:t>1</w:t>
        </w:r>
      </w:hyperlink>
      <w:r w:rsidR="004F4E23" w:rsidRPr="00B275E2">
        <w:t xml:space="preserve"> lists </w:t>
      </w:r>
      <w:r w:rsidR="009752BE" w:rsidRPr="00B275E2">
        <w:t>t</w:t>
      </w:r>
      <w:r w:rsidRPr="00B275E2">
        <w:t>he rental car emission factors based on distance travelled</w:t>
      </w:r>
      <w:r w:rsidR="00BF3923" w:rsidRPr="00B275E2">
        <w:t xml:space="preserve">. </w:t>
      </w:r>
      <w:hyperlink w:anchor="table22" w:history="1">
        <w:r w:rsidR="00CC5E73" w:rsidRPr="00B275E2">
          <w:rPr>
            <w:rStyle w:val="Hyperlink"/>
          </w:rPr>
          <w:t>Table 2</w:t>
        </w:r>
      </w:hyperlink>
      <w:r w:rsidR="00147741" w:rsidRPr="00B275E2">
        <w:rPr>
          <w:rStyle w:val="Hyperlink"/>
        </w:rPr>
        <w:t>2</w:t>
      </w:r>
      <w:r w:rsidR="00BA79D8" w:rsidRPr="00B275E2">
        <w:t xml:space="preserve"> </w:t>
      </w:r>
      <w:r w:rsidR="008A0F73" w:rsidRPr="00B275E2">
        <w:t xml:space="preserve">lists </w:t>
      </w:r>
      <w:r w:rsidR="00BF3923" w:rsidRPr="00B275E2">
        <w:t>emission factors for taxi travel based on dollars spent and k</w:t>
      </w:r>
      <w:r w:rsidR="008A0F73" w:rsidRPr="00B275E2">
        <w:t>ilo</w:t>
      </w:r>
      <w:r w:rsidR="00BF3923" w:rsidRPr="00B275E2">
        <w:t>m</w:t>
      </w:r>
      <w:r w:rsidR="008A0F73" w:rsidRPr="00B275E2">
        <w:t>etres</w:t>
      </w:r>
      <w:r w:rsidR="00BF3923" w:rsidRPr="00B275E2">
        <w:t xml:space="preserve"> travelled. </w:t>
      </w:r>
    </w:p>
    <w:p w14:paraId="65091A97" w14:textId="31B06C38" w:rsidR="00A13318" w:rsidRPr="00B275E2" w:rsidRDefault="00753056" w:rsidP="007F0B1E">
      <w:pPr>
        <w:pStyle w:val="BodyText"/>
      </w:pPr>
      <w:r w:rsidRPr="00B275E2">
        <w:t xml:space="preserve">The data used </w:t>
      </w:r>
      <w:r w:rsidR="00254B21" w:rsidRPr="00B275E2">
        <w:t xml:space="preserve">to prepare these factors </w:t>
      </w:r>
      <w:r w:rsidRPr="00B275E2">
        <w:t>come from</w:t>
      </w:r>
      <w:r w:rsidR="00ED6691" w:rsidRPr="00B275E2">
        <w:t xml:space="preserve"> a report by Emission Impossible (EI) Ltd</w:t>
      </w:r>
      <w:r w:rsidR="00C450B5" w:rsidRPr="00B275E2">
        <w:t>.</w:t>
      </w:r>
      <w:bookmarkStart w:id="311" w:name="_Ref532210436"/>
      <w:r w:rsidR="00254B21" w:rsidRPr="00B275E2">
        <w:rPr>
          <w:rStyle w:val="FootnoteReference"/>
        </w:rPr>
        <w:footnoteReference w:id="31"/>
      </w:r>
      <w:bookmarkEnd w:id="311"/>
      <w:r w:rsidR="00A93014" w:rsidRPr="00B275E2">
        <w:t xml:space="preserve"> </w:t>
      </w:r>
      <w:r w:rsidR="005645AF" w:rsidRPr="00B275E2">
        <w:t>Th</w:t>
      </w:r>
      <w:r w:rsidR="00294FE7" w:rsidRPr="00B275E2">
        <w:t>e</w:t>
      </w:r>
      <w:r w:rsidR="00CC5E73" w:rsidRPr="00B275E2">
        <w:t> </w:t>
      </w:r>
      <w:r w:rsidR="005645AF" w:rsidRPr="00B275E2">
        <w:t>report</w:t>
      </w:r>
      <w:r w:rsidR="00294FE7" w:rsidRPr="00B275E2">
        <w:t xml:space="preserve"> </w:t>
      </w:r>
      <w:r w:rsidR="004849B4" w:rsidRPr="00B275E2">
        <w:t xml:space="preserve">includes </w:t>
      </w:r>
      <w:r w:rsidR="00A13318" w:rsidRPr="00B275E2">
        <w:t>a dataset of projected rea</w:t>
      </w:r>
      <w:r w:rsidR="005645AF" w:rsidRPr="00B275E2">
        <w:t>l</w:t>
      </w:r>
      <w:r w:rsidR="00BE0BD4" w:rsidRPr="00B275E2">
        <w:t>-</w:t>
      </w:r>
      <w:r w:rsidR="005645AF" w:rsidRPr="00B275E2">
        <w:t>world fuel consumption rates from 1970</w:t>
      </w:r>
      <w:r w:rsidR="00B12C1F" w:rsidRPr="00B275E2">
        <w:t xml:space="preserve"> to </w:t>
      </w:r>
      <w:r w:rsidR="005645AF" w:rsidRPr="00B275E2">
        <w:t>201</w:t>
      </w:r>
      <w:r w:rsidR="00F62AC3" w:rsidRPr="00B275E2">
        <w:t>9</w:t>
      </w:r>
      <w:r w:rsidR="005645AF" w:rsidRPr="00B275E2">
        <w:t>.</w:t>
      </w:r>
      <w:r w:rsidRPr="00B275E2">
        <w:t xml:space="preserve"> For simplicity </w:t>
      </w:r>
      <w:r w:rsidR="008B3986" w:rsidRPr="00B275E2">
        <w:t xml:space="preserve">we divided </w:t>
      </w:r>
      <w:r w:rsidRPr="00B275E2">
        <w:t xml:space="preserve">the fleet into </w:t>
      </w:r>
      <w:r w:rsidR="00DC14CA" w:rsidRPr="00B275E2">
        <w:t xml:space="preserve">three </w:t>
      </w:r>
      <w:r w:rsidRPr="00B275E2">
        <w:t xml:space="preserve">categories depending on age: </w:t>
      </w:r>
      <w:r w:rsidR="00884BF8" w:rsidRPr="00B275E2">
        <w:t>pre-2010</w:t>
      </w:r>
      <w:r w:rsidRPr="00B275E2">
        <w:t xml:space="preserve">, </w:t>
      </w:r>
      <w:r w:rsidR="00A519D9" w:rsidRPr="00B275E2">
        <w:t>2010</w:t>
      </w:r>
      <w:r w:rsidR="00BE0BD4" w:rsidRPr="00B275E2">
        <w:t>–</w:t>
      </w:r>
      <w:r w:rsidRPr="00B275E2">
        <w:t>2015 and post</w:t>
      </w:r>
      <w:r w:rsidR="00BE0BD4" w:rsidRPr="00B275E2">
        <w:t>-</w:t>
      </w:r>
      <w:r w:rsidRPr="00B275E2">
        <w:t>2015.</w:t>
      </w:r>
    </w:p>
    <w:p w14:paraId="65091A98" w14:textId="322ABDC9" w:rsidR="007E6B46" w:rsidRPr="00B275E2" w:rsidRDefault="00954B9C" w:rsidP="007F0B1E">
      <w:pPr>
        <w:pStyle w:val="BodyText"/>
      </w:pPr>
      <w:hyperlink w:anchor="table16" w:history="1">
        <w:r w:rsidR="00CC5E73" w:rsidRPr="00382D3F">
          <w:rPr>
            <w:rStyle w:val="Hyperlink"/>
          </w:rPr>
          <w:t>Table 1</w:t>
        </w:r>
        <w:r w:rsidR="00382D3F" w:rsidRPr="00382D3F">
          <w:rPr>
            <w:rStyle w:val="Hyperlink"/>
          </w:rPr>
          <w:t>6</w:t>
        </w:r>
      </w:hyperlink>
      <w:r w:rsidR="00CC5E73" w:rsidRPr="00B275E2">
        <w:t xml:space="preserve"> </w:t>
      </w:r>
      <w:r w:rsidR="007E6B46" w:rsidRPr="00B275E2">
        <w:t xml:space="preserve">details engine sizes and typical </w:t>
      </w:r>
      <w:r w:rsidR="00FB6265" w:rsidRPr="00B275E2">
        <w:t xml:space="preserve">corresponding </w:t>
      </w:r>
      <w:r w:rsidR="007E6B46" w:rsidRPr="00B275E2">
        <w:t>vehicles</w:t>
      </w:r>
      <w:r w:rsidR="00FB6265" w:rsidRPr="00B275E2">
        <w:t>.</w:t>
      </w:r>
    </w:p>
    <w:p w14:paraId="65091A99" w14:textId="2C3FF31C" w:rsidR="00957AEA" w:rsidRPr="00B275E2" w:rsidRDefault="00957AEA" w:rsidP="00441C14">
      <w:pPr>
        <w:pStyle w:val="Tableheading"/>
      </w:pPr>
      <w:bookmarkStart w:id="312" w:name="_Ref532640357"/>
      <w:bookmarkStart w:id="313" w:name="_Toc111536621"/>
      <w:r w:rsidRPr="00B275E2">
        <w:t xml:space="preserve">Table </w:t>
      </w:r>
      <w:r w:rsidRPr="00B275E2">
        <w:fldChar w:fldCharType="begin"/>
      </w:r>
      <w:r w:rsidRPr="00B275E2">
        <w:instrText>SEQ Table \* ARABIC</w:instrText>
      </w:r>
      <w:r w:rsidRPr="00B275E2">
        <w:fldChar w:fldCharType="separate"/>
      </w:r>
      <w:r w:rsidR="003E141C" w:rsidRPr="00B275E2">
        <w:t>16</w:t>
      </w:r>
      <w:r w:rsidRPr="00B275E2">
        <w:fldChar w:fldCharType="end"/>
      </w:r>
      <w:bookmarkEnd w:id="312"/>
      <w:r w:rsidR="00BE0BD4" w:rsidRPr="00B275E2">
        <w:t>:</w:t>
      </w:r>
      <w:r w:rsidR="00BE0BD4" w:rsidRPr="00B275E2">
        <w:tab/>
      </w:r>
      <w:r w:rsidRPr="00B275E2">
        <w:t>Vehicle engine sizes and common car types</w:t>
      </w:r>
      <w:bookmarkEnd w:id="313"/>
    </w:p>
    <w:tbl>
      <w:tblPr>
        <w:tblStyle w:val="TableGrid"/>
        <w:tblW w:w="8503"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ayout w:type="fixed"/>
        <w:tblLook w:val="04A0" w:firstRow="1" w:lastRow="0" w:firstColumn="1" w:lastColumn="0" w:noHBand="0" w:noVBand="1"/>
      </w:tblPr>
      <w:tblGrid>
        <w:gridCol w:w="1531"/>
        <w:gridCol w:w="2013"/>
        <w:gridCol w:w="2410"/>
        <w:gridCol w:w="2549"/>
      </w:tblGrid>
      <w:tr w:rsidR="00485797" w:rsidRPr="00B275E2" w14:paraId="65091A9D" w14:textId="007CE79E" w:rsidTr="00441C14">
        <w:tc>
          <w:tcPr>
            <w:tcW w:w="1531" w:type="dxa"/>
            <w:shd w:val="clear" w:color="auto" w:fill="1B556B"/>
            <w:vAlign w:val="bottom"/>
          </w:tcPr>
          <w:p w14:paraId="65091A9A" w14:textId="1720CCC8" w:rsidR="00485797" w:rsidRPr="00B275E2" w:rsidRDefault="00485797" w:rsidP="007901E7">
            <w:pPr>
              <w:pStyle w:val="TableText"/>
              <w:spacing w:before="20" w:after="20"/>
              <w:rPr>
                <w:b/>
                <w:color w:val="FFFFFF" w:themeColor="background1"/>
                <w:szCs w:val="18"/>
              </w:rPr>
            </w:pPr>
            <w:r w:rsidRPr="00B275E2">
              <w:rPr>
                <w:b/>
                <w:color w:val="FFFFFF" w:themeColor="background1"/>
                <w:szCs w:val="18"/>
              </w:rPr>
              <w:t xml:space="preserve">Engine </w:t>
            </w:r>
            <w:r w:rsidR="00B12C1F" w:rsidRPr="00B275E2">
              <w:rPr>
                <w:b/>
                <w:color w:val="FFFFFF" w:themeColor="background1"/>
                <w:szCs w:val="18"/>
              </w:rPr>
              <w:t>s</w:t>
            </w:r>
            <w:r w:rsidRPr="00B275E2">
              <w:rPr>
                <w:b/>
                <w:color w:val="FFFFFF" w:themeColor="background1"/>
                <w:szCs w:val="18"/>
              </w:rPr>
              <w:t>ize</w:t>
            </w:r>
          </w:p>
        </w:tc>
        <w:tc>
          <w:tcPr>
            <w:tcW w:w="2013" w:type="dxa"/>
            <w:shd w:val="clear" w:color="auto" w:fill="1B556B"/>
            <w:vAlign w:val="bottom"/>
          </w:tcPr>
          <w:p w14:paraId="65091A9B" w14:textId="68674D74" w:rsidR="00485797" w:rsidRPr="00B275E2" w:rsidRDefault="00485797" w:rsidP="007901E7">
            <w:pPr>
              <w:pStyle w:val="TableText"/>
              <w:spacing w:before="20" w:after="20"/>
              <w:rPr>
                <w:b/>
                <w:color w:val="FFFFFF" w:themeColor="background1"/>
                <w:szCs w:val="18"/>
              </w:rPr>
            </w:pPr>
            <w:r w:rsidRPr="00B275E2">
              <w:rPr>
                <w:b/>
                <w:color w:val="FFFFFF" w:themeColor="background1"/>
                <w:szCs w:val="18"/>
              </w:rPr>
              <w:t xml:space="preserve">Vehicle </w:t>
            </w:r>
            <w:r w:rsidR="00B12C1F" w:rsidRPr="00B275E2">
              <w:rPr>
                <w:b/>
                <w:color w:val="FFFFFF" w:themeColor="background1"/>
                <w:szCs w:val="18"/>
              </w:rPr>
              <w:t>s</w:t>
            </w:r>
            <w:r w:rsidRPr="00B275E2">
              <w:rPr>
                <w:b/>
                <w:color w:val="FFFFFF" w:themeColor="background1"/>
                <w:szCs w:val="18"/>
              </w:rPr>
              <w:t>ize</w:t>
            </w:r>
          </w:p>
        </w:tc>
        <w:tc>
          <w:tcPr>
            <w:tcW w:w="2410" w:type="dxa"/>
            <w:shd w:val="clear" w:color="auto" w:fill="1B556B"/>
            <w:vAlign w:val="bottom"/>
          </w:tcPr>
          <w:p w14:paraId="65091A9C" w14:textId="77777777" w:rsidR="00485797" w:rsidRPr="00B275E2" w:rsidRDefault="00485797" w:rsidP="007901E7">
            <w:pPr>
              <w:pStyle w:val="TableText"/>
              <w:spacing w:before="20" w:after="20"/>
              <w:rPr>
                <w:b/>
                <w:color w:val="FFFFFF" w:themeColor="background1"/>
                <w:szCs w:val="18"/>
              </w:rPr>
            </w:pPr>
            <w:r w:rsidRPr="00B275E2">
              <w:rPr>
                <w:b/>
                <w:color w:val="FFFFFF" w:themeColor="background1"/>
                <w:szCs w:val="18"/>
              </w:rPr>
              <w:t>Example vehicles</w:t>
            </w:r>
          </w:p>
        </w:tc>
        <w:tc>
          <w:tcPr>
            <w:tcW w:w="2549" w:type="dxa"/>
            <w:shd w:val="clear" w:color="auto" w:fill="1B556B"/>
            <w:vAlign w:val="bottom"/>
          </w:tcPr>
          <w:p w14:paraId="52CE4594" w14:textId="299F496D" w:rsidR="00485797" w:rsidRPr="00B275E2" w:rsidRDefault="00485797" w:rsidP="007901E7">
            <w:pPr>
              <w:pStyle w:val="TableText"/>
              <w:spacing w:before="20" w:after="20"/>
              <w:rPr>
                <w:b/>
                <w:color w:val="FFFFFF" w:themeColor="background1"/>
                <w:szCs w:val="18"/>
              </w:rPr>
            </w:pPr>
            <w:r w:rsidRPr="00B275E2">
              <w:rPr>
                <w:b/>
                <w:color w:val="FFFFFF" w:themeColor="background1"/>
                <w:szCs w:val="18"/>
              </w:rPr>
              <w:t>Comparative electric vehicles</w:t>
            </w:r>
          </w:p>
        </w:tc>
      </w:tr>
      <w:tr w:rsidR="00485797" w:rsidRPr="00B275E2" w14:paraId="65091AA1" w14:textId="4E502CE9" w:rsidTr="007F0B1E">
        <w:tc>
          <w:tcPr>
            <w:tcW w:w="1531" w:type="dxa"/>
          </w:tcPr>
          <w:p w14:paraId="65091A9E" w14:textId="77777777" w:rsidR="00485797" w:rsidRPr="00B275E2" w:rsidRDefault="00485797" w:rsidP="007901E7">
            <w:pPr>
              <w:pStyle w:val="TableText"/>
              <w:spacing w:before="20" w:after="20"/>
              <w:rPr>
                <w:szCs w:val="18"/>
              </w:rPr>
            </w:pPr>
            <w:r w:rsidRPr="00B275E2">
              <w:rPr>
                <w:szCs w:val="18"/>
              </w:rPr>
              <w:t>&lt;1350 cc</w:t>
            </w:r>
          </w:p>
        </w:tc>
        <w:tc>
          <w:tcPr>
            <w:tcW w:w="2013" w:type="dxa"/>
          </w:tcPr>
          <w:p w14:paraId="65091A9F" w14:textId="77777777" w:rsidR="00485797" w:rsidRPr="00B275E2" w:rsidRDefault="00485797" w:rsidP="007901E7">
            <w:pPr>
              <w:pStyle w:val="TableText"/>
              <w:spacing w:before="20" w:after="20"/>
              <w:rPr>
                <w:szCs w:val="18"/>
              </w:rPr>
            </w:pPr>
            <w:r w:rsidRPr="00B275E2">
              <w:rPr>
                <w:szCs w:val="18"/>
              </w:rPr>
              <w:t>Very small</w:t>
            </w:r>
          </w:p>
        </w:tc>
        <w:tc>
          <w:tcPr>
            <w:tcW w:w="2410" w:type="dxa"/>
          </w:tcPr>
          <w:p w14:paraId="65091AA0" w14:textId="11441C10" w:rsidR="00485797" w:rsidRPr="00B275E2" w:rsidRDefault="00485797" w:rsidP="007901E7">
            <w:pPr>
              <w:pStyle w:val="TableText"/>
              <w:spacing w:before="20" w:after="20"/>
              <w:rPr>
                <w:szCs w:val="18"/>
              </w:rPr>
            </w:pPr>
            <w:r w:rsidRPr="00B275E2">
              <w:rPr>
                <w:szCs w:val="18"/>
              </w:rPr>
              <w:t>Fiat 500</w:t>
            </w:r>
          </w:p>
        </w:tc>
        <w:tc>
          <w:tcPr>
            <w:tcW w:w="2549" w:type="dxa"/>
          </w:tcPr>
          <w:p w14:paraId="74D7CC65" w14:textId="21902A34" w:rsidR="00485797" w:rsidRPr="00B275E2" w:rsidRDefault="003D63F1" w:rsidP="007901E7">
            <w:pPr>
              <w:pStyle w:val="TableText"/>
              <w:spacing w:before="20" w:after="20"/>
              <w:rPr>
                <w:szCs w:val="18"/>
              </w:rPr>
            </w:pPr>
            <w:r w:rsidRPr="00B275E2">
              <w:rPr>
                <w:szCs w:val="18"/>
              </w:rPr>
              <w:t>Peugeot iOn</w:t>
            </w:r>
          </w:p>
        </w:tc>
      </w:tr>
      <w:tr w:rsidR="00485797" w:rsidRPr="00B275E2" w14:paraId="65091AA5" w14:textId="15C93229" w:rsidTr="007F0B1E">
        <w:tc>
          <w:tcPr>
            <w:tcW w:w="1531" w:type="dxa"/>
          </w:tcPr>
          <w:p w14:paraId="65091AA2" w14:textId="5F054BDA" w:rsidR="00485797" w:rsidRPr="00B275E2" w:rsidRDefault="00485797" w:rsidP="007901E7">
            <w:pPr>
              <w:pStyle w:val="TableText"/>
              <w:spacing w:before="20" w:after="20"/>
              <w:rPr>
                <w:szCs w:val="18"/>
              </w:rPr>
            </w:pPr>
            <w:r w:rsidRPr="00B275E2">
              <w:rPr>
                <w:szCs w:val="18"/>
              </w:rPr>
              <w:t>1350</w:t>
            </w:r>
            <w:r w:rsidR="00281556" w:rsidRPr="00B275E2">
              <w:rPr>
                <w:szCs w:val="18"/>
              </w:rPr>
              <w:t xml:space="preserve"> </w:t>
            </w:r>
            <w:r w:rsidR="00281556" w:rsidRPr="00B275E2">
              <w:rPr>
                <w:rFonts w:cs="Calibri"/>
                <w:color w:val="000000"/>
                <w:szCs w:val="18"/>
              </w:rPr>
              <w:t xml:space="preserve">- </w:t>
            </w:r>
            <w:r w:rsidR="00281556" w:rsidRPr="00B275E2">
              <w:rPr>
                <w:szCs w:val="18"/>
              </w:rPr>
              <w:t>&lt;</w:t>
            </w:r>
            <w:r w:rsidRPr="00B275E2">
              <w:rPr>
                <w:szCs w:val="18"/>
              </w:rPr>
              <w:t>1600 cc</w:t>
            </w:r>
          </w:p>
        </w:tc>
        <w:tc>
          <w:tcPr>
            <w:tcW w:w="2013" w:type="dxa"/>
          </w:tcPr>
          <w:p w14:paraId="65091AA3" w14:textId="77777777" w:rsidR="00485797" w:rsidRPr="00B275E2" w:rsidRDefault="00485797" w:rsidP="007901E7">
            <w:pPr>
              <w:pStyle w:val="TableText"/>
              <w:spacing w:before="20" w:after="20"/>
              <w:rPr>
                <w:szCs w:val="18"/>
              </w:rPr>
            </w:pPr>
            <w:r w:rsidRPr="00B275E2">
              <w:rPr>
                <w:szCs w:val="18"/>
              </w:rPr>
              <w:t>Small</w:t>
            </w:r>
          </w:p>
        </w:tc>
        <w:tc>
          <w:tcPr>
            <w:tcW w:w="2410" w:type="dxa"/>
          </w:tcPr>
          <w:p w14:paraId="65091AA4" w14:textId="304DB0F4" w:rsidR="00485797" w:rsidRPr="00B275E2" w:rsidRDefault="00485797" w:rsidP="007901E7">
            <w:pPr>
              <w:pStyle w:val="TableText"/>
              <w:spacing w:before="20" w:after="20"/>
              <w:rPr>
                <w:szCs w:val="18"/>
              </w:rPr>
            </w:pPr>
            <w:r w:rsidRPr="00B275E2">
              <w:rPr>
                <w:szCs w:val="18"/>
              </w:rPr>
              <w:t>Suzuki Swift</w:t>
            </w:r>
          </w:p>
        </w:tc>
        <w:tc>
          <w:tcPr>
            <w:tcW w:w="2549" w:type="dxa"/>
          </w:tcPr>
          <w:p w14:paraId="6295FEEC" w14:textId="16BF5BF6" w:rsidR="00485797" w:rsidRPr="00B275E2" w:rsidRDefault="003D63F1" w:rsidP="007901E7">
            <w:pPr>
              <w:pStyle w:val="TableText"/>
              <w:spacing w:before="20" w:after="20"/>
              <w:rPr>
                <w:szCs w:val="18"/>
              </w:rPr>
            </w:pPr>
            <w:r w:rsidRPr="00B275E2">
              <w:rPr>
                <w:szCs w:val="18"/>
              </w:rPr>
              <w:t>Renault Zoe</w:t>
            </w:r>
          </w:p>
        </w:tc>
      </w:tr>
      <w:tr w:rsidR="00485797" w:rsidRPr="00B275E2" w14:paraId="65091AA9" w14:textId="2F618E22" w:rsidTr="007F0B1E">
        <w:tc>
          <w:tcPr>
            <w:tcW w:w="1531" w:type="dxa"/>
          </w:tcPr>
          <w:p w14:paraId="65091AA6" w14:textId="0AE1812E" w:rsidR="00485797" w:rsidRPr="00B275E2" w:rsidRDefault="00485797" w:rsidP="007901E7">
            <w:pPr>
              <w:pStyle w:val="TableText"/>
              <w:spacing w:before="20" w:after="20"/>
              <w:rPr>
                <w:szCs w:val="18"/>
              </w:rPr>
            </w:pPr>
            <w:r w:rsidRPr="00B275E2">
              <w:rPr>
                <w:szCs w:val="18"/>
              </w:rPr>
              <w:t>1600</w:t>
            </w:r>
            <w:r w:rsidR="00281556" w:rsidRPr="00B275E2">
              <w:rPr>
                <w:szCs w:val="18"/>
              </w:rPr>
              <w:t xml:space="preserve"> </w:t>
            </w:r>
            <w:r w:rsidR="00281556" w:rsidRPr="00B275E2">
              <w:rPr>
                <w:rFonts w:cs="Calibri"/>
                <w:color w:val="000000"/>
                <w:szCs w:val="18"/>
              </w:rPr>
              <w:t xml:space="preserve">- </w:t>
            </w:r>
            <w:r w:rsidR="00281556" w:rsidRPr="00B275E2">
              <w:rPr>
                <w:szCs w:val="18"/>
              </w:rPr>
              <w:t>&lt;</w:t>
            </w:r>
            <w:r w:rsidRPr="00B275E2">
              <w:rPr>
                <w:szCs w:val="18"/>
              </w:rPr>
              <w:t>2000 cc</w:t>
            </w:r>
          </w:p>
        </w:tc>
        <w:tc>
          <w:tcPr>
            <w:tcW w:w="2013" w:type="dxa"/>
          </w:tcPr>
          <w:p w14:paraId="65091AA7" w14:textId="77777777" w:rsidR="00485797" w:rsidRPr="00B275E2" w:rsidRDefault="00485797" w:rsidP="007901E7">
            <w:pPr>
              <w:pStyle w:val="TableText"/>
              <w:spacing w:before="20" w:after="20"/>
              <w:rPr>
                <w:szCs w:val="18"/>
              </w:rPr>
            </w:pPr>
            <w:r w:rsidRPr="00B275E2">
              <w:rPr>
                <w:szCs w:val="18"/>
              </w:rPr>
              <w:t>Medium</w:t>
            </w:r>
          </w:p>
        </w:tc>
        <w:tc>
          <w:tcPr>
            <w:tcW w:w="2410" w:type="dxa"/>
          </w:tcPr>
          <w:p w14:paraId="65091AA8" w14:textId="77777777" w:rsidR="00485797" w:rsidRPr="00B275E2" w:rsidRDefault="00485797" w:rsidP="007901E7">
            <w:pPr>
              <w:pStyle w:val="TableText"/>
              <w:spacing w:before="20" w:after="20"/>
              <w:rPr>
                <w:szCs w:val="18"/>
              </w:rPr>
            </w:pPr>
            <w:r w:rsidRPr="00B275E2">
              <w:rPr>
                <w:szCs w:val="18"/>
              </w:rPr>
              <w:t>Toyota Corolla</w:t>
            </w:r>
          </w:p>
        </w:tc>
        <w:tc>
          <w:tcPr>
            <w:tcW w:w="2549" w:type="dxa"/>
          </w:tcPr>
          <w:p w14:paraId="4C96857E" w14:textId="6F8055D8" w:rsidR="00485797" w:rsidRPr="00B275E2" w:rsidRDefault="003D63F1" w:rsidP="007901E7">
            <w:pPr>
              <w:pStyle w:val="TableText"/>
              <w:spacing w:before="20" w:after="20"/>
              <w:rPr>
                <w:szCs w:val="18"/>
              </w:rPr>
            </w:pPr>
            <w:r w:rsidRPr="00B275E2">
              <w:rPr>
                <w:szCs w:val="18"/>
              </w:rPr>
              <w:t>Nissan Leaf</w:t>
            </w:r>
          </w:p>
        </w:tc>
      </w:tr>
      <w:tr w:rsidR="00485797" w:rsidRPr="00B275E2" w14:paraId="65091AAD" w14:textId="458C1621" w:rsidTr="007F0B1E">
        <w:tc>
          <w:tcPr>
            <w:tcW w:w="1531" w:type="dxa"/>
          </w:tcPr>
          <w:p w14:paraId="65091AAA" w14:textId="5D63BB45" w:rsidR="00485797" w:rsidRPr="00B275E2" w:rsidRDefault="00485797" w:rsidP="007901E7">
            <w:pPr>
              <w:pStyle w:val="TableText"/>
              <w:spacing w:before="20" w:after="20"/>
              <w:rPr>
                <w:szCs w:val="18"/>
              </w:rPr>
            </w:pPr>
            <w:r w:rsidRPr="00B275E2">
              <w:rPr>
                <w:szCs w:val="18"/>
              </w:rPr>
              <w:t>2000</w:t>
            </w:r>
            <w:r w:rsidR="00281556" w:rsidRPr="00B275E2">
              <w:rPr>
                <w:rFonts w:cs="Calibri"/>
                <w:color w:val="000000"/>
                <w:szCs w:val="18"/>
              </w:rPr>
              <w:t xml:space="preserve"> - </w:t>
            </w:r>
            <w:r w:rsidR="00281556" w:rsidRPr="00B275E2">
              <w:rPr>
                <w:szCs w:val="18"/>
              </w:rPr>
              <w:t>&lt;</w:t>
            </w:r>
            <w:r w:rsidRPr="00B275E2">
              <w:rPr>
                <w:szCs w:val="18"/>
              </w:rPr>
              <w:t>3000 cc</w:t>
            </w:r>
          </w:p>
        </w:tc>
        <w:tc>
          <w:tcPr>
            <w:tcW w:w="2013" w:type="dxa"/>
          </w:tcPr>
          <w:p w14:paraId="65091AAB" w14:textId="77777777" w:rsidR="00485797" w:rsidRPr="00B275E2" w:rsidRDefault="00485797" w:rsidP="007901E7">
            <w:pPr>
              <w:pStyle w:val="TableText"/>
              <w:spacing w:before="20" w:after="20"/>
              <w:rPr>
                <w:szCs w:val="18"/>
              </w:rPr>
            </w:pPr>
            <w:r w:rsidRPr="00B275E2">
              <w:rPr>
                <w:szCs w:val="18"/>
              </w:rPr>
              <w:t>Large</w:t>
            </w:r>
          </w:p>
        </w:tc>
        <w:tc>
          <w:tcPr>
            <w:tcW w:w="2410" w:type="dxa"/>
          </w:tcPr>
          <w:p w14:paraId="65091AAC" w14:textId="77777777" w:rsidR="00485797" w:rsidRPr="00B275E2" w:rsidRDefault="00485797" w:rsidP="007901E7">
            <w:pPr>
              <w:pStyle w:val="TableText"/>
              <w:spacing w:before="20" w:after="20"/>
              <w:rPr>
                <w:szCs w:val="18"/>
              </w:rPr>
            </w:pPr>
            <w:r w:rsidRPr="00B275E2">
              <w:rPr>
                <w:szCs w:val="18"/>
              </w:rPr>
              <w:t>Toyota RAV4</w:t>
            </w:r>
          </w:p>
        </w:tc>
        <w:tc>
          <w:tcPr>
            <w:tcW w:w="2549" w:type="dxa"/>
          </w:tcPr>
          <w:p w14:paraId="2A39C449" w14:textId="3B789346" w:rsidR="00485797" w:rsidRPr="00B275E2" w:rsidRDefault="003D63F1" w:rsidP="007901E7">
            <w:pPr>
              <w:pStyle w:val="TableText"/>
              <w:spacing w:before="20" w:after="20"/>
              <w:rPr>
                <w:szCs w:val="18"/>
              </w:rPr>
            </w:pPr>
            <w:r w:rsidRPr="00B275E2">
              <w:rPr>
                <w:szCs w:val="18"/>
              </w:rPr>
              <w:t>Hyundai Ioniq</w:t>
            </w:r>
          </w:p>
        </w:tc>
      </w:tr>
      <w:tr w:rsidR="00485797" w:rsidRPr="00B275E2" w14:paraId="65091AB1" w14:textId="052BE543" w:rsidTr="007F0B1E">
        <w:tc>
          <w:tcPr>
            <w:tcW w:w="1531" w:type="dxa"/>
          </w:tcPr>
          <w:p w14:paraId="65091AAE" w14:textId="77777777" w:rsidR="00485797" w:rsidRPr="00B275E2" w:rsidRDefault="00485797" w:rsidP="007901E7">
            <w:pPr>
              <w:pStyle w:val="TableText"/>
              <w:spacing w:before="20" w:after="20"/>
              <w:rPr>
                <w:szCs w:val="18"/>
              </w:rPr>
            </w:pPr>
            <w:r w:rsidRPr="00B275E2">
              <w:rPr>
                <w:szCs w:val="18"/>
              </w:rPr>
              <w:t>&gt;3000</w:t>
            </w:r>
          </w:p>
        </w:tc>
        <w:tc>
          <w:tcPr>
            <w:tcW w:w="2013" w:type="dxa"/>
          </w:tcPr>
          <w:p w14:paraId="65091AAF" w14:textId="77777777" w:rsidR="00485797" w:rsidRPr="00B275E2" w:rsidRDefault="00485797" w:rsidP="007901E7">
            <w:pPr>
              <w:pStyle w:val="TableText"/>
              <w:spacing w:before="20" w:after="20"/>
              <w:rPr>
                <w:szCs w:val="18"/>
              </w:rPr>
            </w:pPr>
            <w:r w:rsidRPr="00B275E2">
              <w:rPr>
                <w:szCs w:val="18"/>
              </w:rPr>
              <w:t>Very large</w:t>
            </w:r>
          </w:p>
        </w:tc>
        <w:tc>
          <w:tcPr>
            <w:tcW w:w="2410" w:type="dxa"/>
          </w:tcPr>
          <w:p w14:paraId="65091AB0" w14:textId="77777777" w:rsidR="00485797" w:rsidRPr="00B275E2" w:rsidRDefault="00485797" w:rsidP="007901E7">
            <w:pPr>
              <w:pStyle w:val="TableText"/>
              <w:spacing w:before="20" w:after="20"/>
              <w:rPr>
                <w:szCs w:val="18"/>
              </w:rPr>
            </w:pPr>
            <w:r w:rsidRPr="00B275E2">
              <w:rPr>
                <w:szCs w:val="18"/>
              </w:rPr>
              <w:t>Ford Ranger</w:t>
            </w:r>
          </w:p>
        </w:tc>
        <w:tc>
          <w:tcPr>
            <w:tcW w:w="2549" w:type="dxa"/>
          </w:tcPr>
          <w:p w14:paraId="0006EC6C" w14:textId="0BB9BEA7" w:rsidR="00485797" w:rsidRPr="00B275E2" w:rsidRDefault="003D63F1" w:rsidP="007901E7">
            <w:pPr>
              <w:pStyle w:val="TableText"/>
              <w:spacing w:before="20" w:after="20"/>
              <w:rPr>
                <w:szCs w:val="18"/>
              </w:rPr>
            </w:pPr>
            <w:r w:rsidRPr="00B275E2">
              <w:rPr>
                <w:szCs w:val="18"/>
              </w:rPr>
              <w:t>Nissan Env200</w:t>
            </w:r>
          </w:p>
        </w:tc>
      </w:tr>
    </w:tbl>
    <w:p w14:paraId="65091AB3" w14:textId="3089E46E" w:rsidR="00957AEA" w:rsidRPr="00B275E2" w:rsidRDefault="004837A7" w:rsidP="007901E7">
      <w:pPr>
        <w:pStyle w:val="Tableheading"/>
        <w:spacing w:before="280"/>
      </w:pPr>
      <w:bookmarkStart w:id="314" w:name="_Ref55220322"/>
      <w:bookmarkStart w:id="315" w:name="table16"/>
      <w:bookmarkStart w:id="316" w:name="_Ref529968837"/>
      <w:bookmarkStart w:id="317" w:name="_Ref532643231"/>
      <w:bookmarkStart w:id="318" w:name="_Ref611469"/>
      <w:bookmarkStart w:id="319" w:name="_Toc111536622"/>
      <w:r w:rsidRPr="00B275E2">
        <w:t xml:space="preserve">Table </w:t>
      </w:r>
      <w:r w:rsidRPr="00B275E2">
        <w:fldChar w:fldCharType="begin"/>
      </w:r>
      <w:r w:rsidRPr="00B275E2">
        <w:instrText>SEQ Table \* ARABIC</w:instrText>
      </w:r>
      <w:r w:rsidRPr="00B275E2">
        <w:fldChar w:fldCharType="separate"/>
      </w:r>
      <w:r w:rsidR="003E141C" w:rsidRPr="00B275E2">
        <w:t>17</w:t>
      </w:r>
      <w:r w:rsidRPr="00B275E2">
        <w:fldChar w:fldCharType="end"/>
      </w:r>
      <w:bookmarkEnd w:id="314"/>
      <w:bookmarkEnd w:id="315"/>
      <w:r w:rsidRPr="00B275E2">
        <w:t>:</w:t>
      </w:r>
      <w:r w:rsidR="00D61811" w:rsidRPr="00B275E2">
        <w:tab/>
      </w:r>
      <w:r w:rsidRPr="00B275E2">
        <w:t>Pre-2010 vehicle fleet emission factors per km travelled</w:t>
      </w:r>
      <w:bookmarkEnd w:id="316"/>
      <w:bookmarkEnd w:id="317"/>
      <w:bookmarkEnd w:id="318"/>
      <w:bookmarkEnd w:id="319"/>
    </w:p>
    <w:tbl>
      <w:tblPr>
        <w:tblStyle w:val="TableGrid"/>
        <w:tblW w:w="8505" w:type="dxa"/>
        <w:tblInd w:w="20"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1899"/>
        <w:gridCol w:w="1390"/>
        <w:gridCol w:w="567"/>
        <w:gridCol w:w="1247"/>
        <w:gridCol w:w="1134"/>
        <w:gridCol w:w="1134"/>
        <w:gridCol w:w="1134"/>
      </w:tblGrid>
      <w:tr w:rsidR="009D1997" w:rsidRPr="00B275E2" w14:paraId="65091ABA" w14:textId="77777777" w:rsidTr="009D1997">
        <w:trPr>
          <w:tblHeader/>
        </w:trPr>
        <w:tc>
          <w:tcPr>
            <w:tcW w:w="2665" w:type="dxa"/>
            <w:gridSpan w:val="2"/>
            <w:shd w:val="clear" w:color="auto" w:fill="1B556B" w:themeFill="text2"/>
            <w:noWrap/>
            <w:vAlign w:val="bottom"/>
            <w:hideMark/>
          </w:tcPr>
          <w:p w14:paraId="65091AB4" w14:textId="754B40D4" w:rsidR="004642B4" w:rsidRPr="00B275E2" w:rsidRDefault="004642B4" w:rsidP="007901E7">
            <w:pPr>
              <w:pStyle w:val="TableText"/>
              <w:spacing w:before="20" w:after="20"/>
              <w:rPr>
                <w:rFonts w:cs="Calibri"/>
                <w:b/>
                <w:color w:val="FFFFFF" w:themeColor="background1"/>
                <w:szCs w:val="18"/>
              </w:rPr>
            </w:pPr>
            <w:r w:rsidRPr="00B275E2">
              <w:rPr>
                <w:rFonts w:cs="Calibri"/>
                <w:b/>
                <w:color w:val="FFFFFF" w:themeColor="background1"/>
                <w:szCs w:val="18"/>
              </w:rPr>
              <w:t>Emission source category</w:t>
            </w:r>
          </w:p>
        </w:tc>
        <w:tc>
          <w:tcPr>
            <w:tcW w:w="567" w:type="dxa"/>
            <w:shd w:val="clear" w:color="auto" w:fill="1B556B" w:themeFill="text2"/>
            <w:noWrap/>
            <w:vAlign w:val="bottom"/>
            <w:hideMark/>
          </w:tcPr>
          <w:p w14:paraId="65091AB5" w14:textId="77777777" w:rsidR="004642B4" w:rsidRPr="00B275E2" w:rsidRDefault="004642B4" w:rsidP="007901E7">
            <w:pPr>
              <w:pStyle w:val="TableText"/>
              <w:spacing w:before="20" w:after="20"/>
              <w:rPr>
                <w:rFonts w:cs="Calibri"/>
                <w:b/>
                <w:color w:val="FFFFFF" w:themeColor="background1"/>
                <w:szCs w:val="18"/>
              </w:rPr>
            </w:pPr>
            <w:r w:rsidRPr="00B275E2">
              <w:rPr>
                <w:rFonts w:cs="Calibri"/>
                <w:b/>
                <w:color w:val="FFFFFF" w:themeColor="background1"/>
                <w:szCs w:val="18"/>
              </w:rPr>
              <w:t>Unit</w:t>
            </w:r>
          </w:p>
        </w:tc>
        <w:tc>
          <w:tcPr>
            <w:tcW w:w="1247" w:type="dxa"/>
            <w:shd w:val="clear" w:color="auto" w:fill="D2DDE1" w:themeFill="background2"/>
            <w:noWrap/>
            <w:vAlign w:val="bottom"/>
            <w:hideMark/>
          </w:tcPr>
          <w:p w14:paraId="65091AB6" w14:textId="5F89ACD3" w:rsidR="004642B4" w:rsidRPr="00B275E2" w:rsidRDefault="004642B4" w:rsidP="007901E7">
            <w:pPr>
              <w:pStyle w:val="TableText"/>
              <w:spacing w:before="20" w:after="20"/>
              <w:jc w:val="right"/>
              <w:rPr>
                <w:rFonts w:cs="Calibri"/>
                <w:b/>
                <w:szCs w:val="18"/>
              </w:rPr>
            </w:pPr>
            <w:r w:rsidRPr="00B275E2">
              <w:rPr>
                <w:rFonts w:cs="Calibri"/>
                <w:b/>
                <w:szCs w:val="18"/>
              </w:rPr>
              <w:t>kg CO</w:t>
            </w:r>
            <w:r w:rsidRPr="00B275E2">
              <w:rPr>
                <w:rFonts w:cs="Calibri"/>
                <w:b/>
                <w:szCs w:val="18"/>
                <w:vertAlign w:val="subscript"/>
              </w:rPr>
              <w:t>2</w:t>
            </w:r>
            <w:r w:rsidRPr="00B275E2">
              <w:rPr>
                <w:rFonts w:cs="Calibri"/>
                <w:b/>
                <w:szCs w:val="18"/>
              </w:rPr>
              <w:t>-e/unit</w:t>
            </w:r>
          </w:p>
        </w:tc>
        <w:tc>
          <w:tcPr>
            <w:tcW w:w="1134" w:type="dxa"/>
            <w:shd w:val="clear" w:color="auto" w:fill="1B556B" w:themeFill="text2"/>
            <w:noWrap/>
            <w:vAlign w:val="bottom"/>
            <w:hideMark/>
          </w:tcPr>
          <w:p w14:paraId="65091AB7" w14:textId="7A6ACEA4" w:rsidR="004642B4" w:rsidRPr="00B275E2" w:rsidRDefault="004642B4" w:rsidP="007901E7">
            <w:pPr>
              <w:pStyle w:val="TableText"/>
              <w:spacing w:before="20" w:after="20"/>
              <w:jc w:val="right"/>
              <w:rPr>
                <w:rFonts w:cs="Calibri"/>
                <w:b/>
                <w:color w:val="FFFFFF" w:themeColor="background1"/>
                <w:szCs w:val="18"/>
              </w:rPr>
            </w:pPr>
            <w:r w:rsidRPr="00B275E2">
              <w:rPr>
                <w:rFonts w:cs="Calibri"/>
                <w:b/>
                <w:color w:val="FFFFFF" w:themeColor="background1"/>
                <w:szCs w:val="18"/>
              </w:rPr>
              <w:t>kg CO</w:t>
            </w:r>
            <w:r w:rsidRPr="00B275E2">
              <w:rPr>
                <w:rFonts w:cs="Calibri"/>
                <w:b/>
                <w:color w:val="FFFFFF" w:themeColor="background1"/>
                <w:szCs w:val="18"/>
                <w:vertAlign w:val="subscript"/>
              </w:rPr>
              <w:t>2</w:t>
            </w:r>
            <w:r w:rsidR="000E3193" w:rsidRPr="00B275E2">
              <w:rPr>
                <w:rFonts w:cs="Calibri"/>
                <w:b/>
                <w:color w:val="FFFFFF" w:themeColor="background1"/>
                <w:szCs w:val="18"/>
              </w:rPr>
              <w:t>/unit</w:t>
            </w:r>
            <w:r w:rsidR="00141B6F" w:rsidRPr="00B275E2">
              <w:rPr>
                <w:rFonts w:cs="Calibri"/>
                <w:b/>
                <w:color w:val="FFFFFF" w:themeColor="background1"/>
                <w:szCs w:val="18"/>
              </w:rPr>
              <w:t xml:space="preserve"> </w:t>
            </w:r>
            <w:r w:rsidR="00141B6F" w:rsidRPr="00B275E2">
              <w:rPr>
                <w:rFonts w:cs="Calibri"/>
                <w:b/>
                <w:bCs/>
                <w:color w:val="FFFFFF" w:themeColor="background1"/>
                <w:szCs w:val="18"/>
              </w:rPr>
              <w:t>(kg CO</w:t>
            </w:r>
            <w:r w:rsidR="00141B6F" w:rsidRPr="00B275E2">
              <w:rPr>
                <w:rFonts w:cs="Calibri"/>
                <w:b/>
                <w:bCs/>
                <w:color w:val="FFFFFF" w:themeColor="background1"/>
                <w:szCs w:val="18"/>
                <w:vertAlign w:val="subscript"/>
              </w:rPr>
              <w:t>2</w:t>
            </w:r>
            <w:r w:rsidR="00141B6F" w:rsidRPr="00B275E2">
              <w:rPr>
                <w:rFonts w:cs="Calibri"/>
                <w:b/>
                <w:bCs/>
                <w:color w:val="FFFFFF" w:themeColor="background1"/>
                <w:szCs w:val="18"/>
              </w:rPr>
              <w:noBreakHyphen/>
              <w:t>e)</w:t>
            </w:r>
          </w:p>
        </w:tc>
        <w:tc>
          <w:tcPr>
            <w:tcW w:w="1134" w:type="dxa"/>
            <w:shd w:val="clear" w:color="auto" w:fill="1B556B" w:themeFill="text2"/>
            <w:noWrap/>
            <w:vAlign w:val="bottom"/>
            <w:hideMark/>
          </w:tcPr>
          <w:p w14:paraId="65091AB8" w14:textId="1FB212F3" w:rsidR="004642B4" w:rsidRPr="00B275E2" w:rsidRDefault="0078070A" w:rsidP="007901E7">
            <w:pPr>
              <w:pStyle w:val="TableText"/>
              <w:spacing w:before="20" w:after="20"/>
              <w:jc w:val="right"/>
              <w:rPr>
                <w:rFonts w:cs="Calibri"/>
                <w:b/>
                <w:bCs/>
                <w:color w:val="FFFFFF" w:themeColor="background1"/>
                <w:szCs w:val="18"/>
              </w:rPr>
            </w:pPr>
            <w:r w:rsidRPr="00B275E2">
              <w:rPr>
                <w:rFonts w:cs="Calibri"/>
                <w:b/>
                <w:bCs/>
                <w:color w:val="FFFFFF" w:themeColor="background1"/>
                <w:szCs w:val="18"/>
              </w:rPr>
              <w:t xml:space="preserve">kg </w:t>
            </w:r>
            <w:r w:rsidR="004642B4" w:rsidRPr="00B275E2">
              <w:rPr>
                <w:rFonts w:cs="Calibri"/>
                <w:b/>
                <w:bCs/>
                <w:color w:val="FFFFFF" w:themeColor="background1"/>
                <w:szCs w:val="18"/>
              </w:rPr>
              <w:t>CH</w:t>
            </w:r>
            <w:r w:rsidR="004642B4" w:rsidRPr="00B275E2">
              <w:rPr>
                <w:rFonts w:cs="Calibri"/>
                <w:b/>
                <w:bCs/>
                <w:color w:val="FFFFFF" w:themeColor="background1"/>
                <w:szCs w:val="18"/>
                <w:vertAlign w:val="subscript"/>
              </w:rPr>
              <w:t>4</w:t>
            </w:r>
            <w:r w:rsidR="00141B6F" w:rsidRPr="00B275E2">
              <w:rPr>
                <w:rFonts w:eastAsia="Times New Roman" w:cs="Calibri"/>
                <w:b/>
                <w:color w:val="FFFFFF" w:themeColor="background1"/>
                <w:szCs w:val="18"/>
              </w:rPr>
              <w:t>/unit</w:t>
            </w:r>
            <w:r w:rsidR="00CC5E73" w:rsidRPr="00B275E2">
              <w:rPr>
                <w:rFonts w:eastAsia="Times New Roman" w:cs="Calibri"/>
                <w:b/>
                <w:color w:val="FFFFFF" w:themeColor="background1"/>
                <w:szCs w:val="18"/>
              </w:rPr>
              <w:t xml:space="preserve"> </w:t>
            </w:r>
            <w:r w:rsidRPr="00B275E2">
              <w:rPr>
                <w:rFonts w:cs="Calibri"/>
                <w:b/>
                <w:bCs/>
                <w:color w:val="FFFFFF" w:themeColor="background1"/>
                <w:szCs w:val="18"/>
              </w:rPr>
              <w:t>(</w:t>
            </w:r>
            <w:r w:rsidR="00141B6F" w:rsidRPr="00B275E2">
              <w:rPr>
                <w:rFonts w:cs="Calibri"/>
                <w:b/>
                <w:bCs/>
                <w:color w:val="FFFFFF" w:themeColor="background1"/>
                <w:szCs w:val="18"/>
              </w:rPr>
              <w:t>kg</w:t>
            </w:r>
            <w:r w:rsidR="00CC5E73" w:rsidRPr="00B275E2">
              <w:rPr>
                <w:rFonts w:cs="Calibri"/>
                <w:b/>
                <w:bCs/>
                <w:color w:val="FFFFFF" w:themeColor="background1"/>
                <w:szCs w:val="18"/>
              </w:rPr>
              <w:t> </w:t>
            </w:r>
            <w:r w:rsidR="004642B4" w:rsidRPr="00B275E2">
              <w:rPr>
                <w:rFonts w:cs="Calibri"/>
                <w:b/>
                <w:bCs/>
                <w:color w:val="FFFFFF" w:themeColor="background1"/>
                <w:szCs w:val="18"/>
              </w:rPr>
              <w:t>CO</w:t>
            </w:r>
            <w:r w:rsidR="004642B4" w:rsidRPr="00B275E2">
              <w:rPr>
                <w:rFonts w:cs="Calibri"/>
                <w:b/>
                <w:bCs/>
                <w:color w:val="FFFFFF" w:themeColor="background1"/>
                <w:szCs w:val="18"/>
                <w:vertAlign w:val="subscript"/>
              </w:rPr>
              <w:t>2</w:t>
            </w:r>
            <w:r w:rsidR="009E7C7A" w:rsidRPr="00B275E2">
              <w:rPr>
                <w:rFonts w:cs="Calibri"/>
                <w:b/>
                <w:bCs/>
                <w:color w:val="FFFFFF" w:themeColor="background1"/>
                <w:szCs w:val="18"/>
              </w:rPr>
              <w:noBreakHyphen/>
            </w:r>
            <w:r w:rsidR="004642B4" w:rsidRPr="00B275E2">
              <w:rPr>
                <w:rFonts w:cs="Calibri"/>
                <w:b/>
                <w:bCs/>
                <w:color w:val="FFFFFF" w:themeColor="background1"/>
                <w:szCs w:val="18"/>
              </w:rPr>
              <w:t>e</w:t>
            </w:r>
            <w:r w:rsidR="00886F6C" w:rsidRPr="00B275E2">
              <w:rPr>
                <w:rFonts w:cs="Calibri"/>
                <w:b/>
                <w:bCs/>
                <w:color w:val="FFFFFF" w:themeColor="background1"/>
                <w:szCs w:val="18"/>
              </w:rPr>
              <w:t>)</w:t>
            </w:r>
          </w:p>
        </w:tc>
        <w:tc>
          <w:tcPr>
            <w:tcW w:w="1134" w:type="dxa"/>
            <w:shd w:val="clear" w:color="auto" w:fill="1B556B" w:themeFill="text2"/>
            <w:noWrap/>
            <w:vAlign w:val="bottom"/>
            <w:hideMark/>
          </w:tcPr>
          <w:p w14:paraId="65091AB9" w14:textId="2283126F" w:rsidR="004642B4" w:rsidRPr="00B275E2" w:rsidRDefault="0078070A" w:rsidP="007901E7">
            <w:pPr>
              <w:pStyle w:val="TableText"/>
              <w:spacing w:before="20" w:after="20"/>
              <w:jc w:val="right"/>
              <w:rPr>
                <w:rFonts w:cs="Calibri"/>
                <w:b/>
                <w:bCs/>
                <w:color w:val="FFFFFF" w:themeColor="background1"/>
                <w:szCs w:val="18"/>
              </w:rPr>
            </w:pPr>
            <w:r w:rsidRPr="00B275E2">
              <w:rPr>
                <w:rFonts w:cs="Calibri"/>
                <w:b/>
                <w:bCs/>
                <w:color w:val="FFFFFF" w:themeColor="background1"/>
                <w:szCs w:val="18"/>
              </w:rPr>
              <w:t xml:space="preserve">kg </w:t>
            </w:r>
            <w:r w:rsidR="004642B4" w:rsidRPr="00B275E2">
              <w:rPr>
                <w:rFonts w:cs="Calibri"/>
                <w:b/>
                <w:bCs/>
                <w:color w:val="FFFFFF" w:themeColor="background1"/>
                <w:szCs w:val="18"/>
              </w:rPr>
              <w:t>N</w:t>
            </w:r>
            <w:r w:rsidR="004642B4" w:rsidRPr="00B275E2">
              <w:rPr>
                <w:rFonts w:cs="Calibri"/>
                <w:b/>
                <w:bCs/>
                <w:color w:val="FFFFFF" w:themeColor="background1"/>
                <w:szCs w:val="18"/>
                <w:vertAlign w:val="subscript"/>
              </w:rPr>
              <w:t>2</w:t>
            </w:r>
            <w:r w:rsidR="004642B4" w:rsidRPr="00B275E2">
              <w:rPr>
                <w:rFonts w:cs="Calibri"/>
                <w:b/>
                <w:bCs/>
                <w:color w:val="FFFFFF" w:themeColor="background1"/>
                <w:szCs w:val="18"/>
              </w:rPr>
              <w:t>O</w:t>
            </w:r>
            <w:r w:rsidR="00141B6F" w:rsidRPr="00B275E2">
              <w:rPr>
                <w:rFonts w:eastAsia="Times New Roman" w:cs="Calibri"/>
                <w:b/>
                <w:color w:val="FFFFFF" w:themeColor="background1"/>
                <w:szCs w:val="18"/>
              </w:rPr>
              <w:t>/unit</w:t>
            </w:r>
            <w:r w:rsidR="004642B4" w:rsidRPr="00B275E2">
              <w:rPr>
                <w:rFonts w:cs="Calibri"/>
                <w:b/>
                <w:bCs/>
                <w:color w:val="FFFFFF" w:themeColor="background1"/>
                <w:szCs w:val="18"/>
              </w:rPr>
              <w:t xml:space="preserve"> </w:t>
            </w:r>
            <w:r w:rsidRPr="00B275E2">
              <w:rPr>
                <w:rFonts w:cs="Calibri"/>
                <w:b/>
                <w:bCs/>
                <w:color w:val="FFFFFF" w:themeColor="background1"/>
                <w:szCs w:val="18"/>
              </w:rPr>
              <w:t>(</w:t>
            </w:r>
            <w:r w:rsidR="00141B6F" w:rsidRPr="00B275E2">
              <w:rPr>
                <w:rFonts w:cs="Calibri"/>
                <w:b/>
                <w:bCs/>
                <w:color w:val="FFFFFF" w:themeColor="background1"/>
                <w:szCs w:val="18"/>
              </w:rPr>
              <w:t>kg</w:t>
            </w:r>
            <w:r w:rsidR="00CC5E73" w:rsidRPr="00B275E2">
              <w:rPr>
                <w:rFonts w:cs="Calibri"/>
                <w:b/>
                <w:bCs/>
                <w:color w:val="FFFFFF" w:themeColor="background1"/>
                <w:szCs w:val="18"/>
              </w:rPr>
              <w:t> </w:t>
            </w:r>
            <w:r w:rsidR="004642B4" w:rsidRPr="00B275E2">
              <w:rPr>
                <w:rFonts w:cs="Calibri"/>
                <w:b/>
                <w:bCs/>
                <w:color w:val="FFFFFF" w:themeColor="background1"/>
                <w:szCs w:val="18"/>
              </w:rPr>
              <w:t>CO</w:t>
            </w:r>
            <w:r w:rsidR="004642B4" w:rsidRPr="00B275E2">
              <w:rPr>
                <w:rFonts w:cs="Calibri"/>
                <w:b/>
                <w:bCs/>
                <w:color w:val="FFFFFF" w:themeColor="background1"/>
                <w:szCs w:val="18"/>
                <w:vertAlign w:val="subscript"/>
              </w:rPr>
              <w:t>2</w:t>
            </w:r>
            <w:r w:rsidR="009E7C7A" w:rsidRPr="00B275E2">
              <w:rPr>
                <w:rFonts w:cs="Calibri"/>
                <w:b/>
                <w:bCs/>
                <w:color w:val="FFFFFF" w:themeColor="background1"/>
                <w:szCs w:val="18"/>
              </w:rPr>
              <w:noBreakHyphen/>
            </w:r>
            <w:r w:rsidR="004642B4" w:rsidRPr="00B275E2">
              <w:rPr>
                <w:rFonts w:cs="Calibri"/>
                <w:b/>
                <w:bCs/>
                <w:color w:val="FFFFFF" w:themeColor="background1"/>
                <w:szCs w:val="18"/>
              </w:rPr>
              <w:t>e)</w:t>
            </w:r>
          </w:p>
        </w:tc>
      </w:tr>
      <w:tr w:rsidR="00A327C6" w:rsidRPr="00B275E2" w14:paraId="65091AC2" w14:textId="77777777" w:rsidTr="009D1997">
        <w:tc>
          <w:tcPr>
            <w:tcW w:w="2665" w:type="dxa"/>
            <w:vMerge w:val="restart"/>
            <w:hideMark/>
          </w:tcPr>
          <w:p w14:paraId="65091ABB" w14:textId="77777777" w:rsidR="00A327C6" w:rsidRPr="00B275E2" w:rsidRDefault="00A327C6" w:rsidP="007901E7">
            <w:pPr>
              <w:pStyle w:val="TableText"/>
              <w:spacing w:before="20" w:after="20"/>
              <w:rPr>
                <w:rFonts w:cs="Calibri"/>
                <w:szCs w:val="18"/>
              </w:rPr>
            </w:pPr>
            <w:r w:rsidRPr="00B275E2">
              <w:rPr>
                <w:rFonts w:cs="Calibri"/>
                <w:szCs w:val="18"/>
              </w:rPr>
              <w:t xml:space="preserve">Petrol vehicle </w:t>
            </w:r>
          </w:p>
        </w:tc>
        <w:tc>
          <w:tcPr>
            <w:tcW w:w="1390" w:type="dxa"/>
            <w:noWrap/>
            <w:hideMark/>
          </w:tcPr>
          <w:p w14:paraId="65091ABC" w14:textId="77777777" w:rsidR="00A327C6" w:rsidRPr="00B275E2" w:rsidRDefault="00A327C6" w:rsidP="007901E7">
            <w:pPr>
              <w:pStyle w:val="TableText"/>
              <w:spacing w:before="20" w:after="20"/>
              <w:rPr>
                <w:rFonts w:cs="Calibri"/>
                <w:szCs w:val="18"/>
              </w:rPr>
            </w:pPr>
            <w:r w:rsidRPr="00B275E2">
              <w:rPr>
                <w:rFonts w:cs="Calibri"/>
                <w:szCs w:val="18"/>
              </w:rPr>
              <w:t>&lt;1350 cc</w:t>
            </w:r>
          </w:p>
        </w:tc>
        <w:tc>
          <w:tcPr>
            <w:tcW w:w="567" w:type="dxa"/>
            <w:noWrap/>
            <w:hideMark/>
          </w:tcPr>
          <w:p w14:paraId="65091ABD" w14:textId="77777777" w:rsidR="00A327C6" w:rsidRPr="00B275E2" w:rsidRDefault="00A327C6" w:rsidP="007901E7">
            <w:pPr>
              <w:pStyle w:val="TableText"/>
              <w:spacing w:before="20" w:after="20"/>
              <w:rPr>
                <w:rFonts w:cs="Calibri"/>
                <w:szCs w:val="18"/>
              </w:rPr>
            </w:pPr>
            <w:r w:rsidRPr="00B275E2">
              <w:rPr>
                <w:rFonts w:cs="Calibri"/>
                <w:szCs w:val="18"/>
              </w:rPr>
              <w:t>km</w:t>
            </w:r>
          </w:p>
        </w:tc>
        <w:tc>
          <w:tcPr>
            <w:tcW w:w="1247" w:type="dxa"/>
            <w:shd w:val="clear" w:color="auto" w:fill="D2DDE1" w:themeFill="background2"/>
            <w:noWrap/>
            <w:hideMark/>
          </w:tcPr>
          <w:p w14:paraId="65091ABE" w14:textId="5090AADA" w:rsidR="00A327C6" w:rsidRPr="00B275E2" w:rsidRDefault="00A327C6" w:rsidP="007901E7">
            <w:pPr>
              <w:pStyle w:val="TableText"/>
              <w:spacing w:before="20" w:after="20"/>
              <w:jc w:val="right"/>
              <w:rPr>
                <w:rFonts w:cs="Calibri"/>
                <w:szCs w:val="18"/>
              </w:rPr>
            </w:pPr>
            <w:r w:rsidRPr="00B275E2">
              <w:rPr>
                <w:rFonts w:cs="Calibri"/>
                <w:szCs w:val="18"/>
              </w:rPr>
              <w:t>0.204</w:t>
            </w:r>
          </w:p>
        </w:tc>
        <w:tc>
          <w:tcPr>
            <w:tcW w:w="1134" w:type="dxa"/>
            <w:shd w:val="clear" w:color="auto" w:fill="auto"/>
            <w:noWrap/>
            <w:hideMark/>
          </w:tcPr>
          <w:p w14:paraId="65091ABF" w14:textId="21057A99" w:rsidR="00A327C6" w:rsidRPr="00B275E2" w:rsidRDefault="00A327C6" w:rsidP="007901E7">
            <w:pPr>
              <w:pStyle w:val="TableText"/>
              <w:spacing w:before="20" w:after="20"/>
              <w:jc w:val="right"/>
              <w:rPr>
                <w:rFonts w:cs="Calibri"/>
                <w:szCs w:val="18"/>
              </w:rPr>
            </w:pPr>
            <w:r w:rsidRPr="00B275E2">
              <w:rPr>
                <w:rFonts w:cs="Calibri"/>
                <w:szCs w:val="18"/>
              </w:rPr>
              <w:t>0.196</w:t>
            </w:r>
          </w:p>
        </w:tc>
        <w:tc>
          <w:tcPr>
            <w:tcW w:w="1134" w:type="dxa"/>
            <w:shd w:val="clear" w:color="auto" w:fill="auto"/>
            <w:noWrap/>
            <w:hideMark/>
          </w:tcPr>
          <w:p w14:paraId="65091AC0" w14:textId="44305F7A" w:rsidR="00A327C6" w:rsidRPr="00B275E2" w:rsidRDefault="00A327C6" w:rsidP="007901E7">
            <w:pPr>
              <w:pStyle w:val="TableText"/>
              <w:spacing w:before="20" w:after="20"/>
              <w:jc w:val="right"/>
              <w:rPr>
                <w:rFonts w:cs="Calibri"/>
                <w:szCs w:val="18"/>
              </w:rPr>
            </w:pPr>
            <w:r w:rsidRPr="00B275E2">
              <w:rPr>
                <w:rFonts w:cs="Calibri"/>
                <w:szCs w:val="18"/>
              </w:rPr>
              <w:t>0.002</w:t>
            </w:r>
          </w:p>
        </w:tc>
        <w:tc>
          <w:tcPr>
            <w:tcW w:w="1134" w:type="dxa"/>
            <w:shd w:val="clear" w:color="auto" w:fill="auto"/>
            <w:noWrap/>
            <w:hideMark/>
          </w:tcPr>
          <w:p w14:paraId="65091AC1" w14:textId="352FEBB5" w:rsidR="00A327C6" w:rsidRPr="00B275E2" w:rsidRDefault="00A327C6" w:rsidP="007901E7">
            <w:pPr>
              <w:pStyle w:val="TableText"/>
              <w:spacing w:before="20" w:after="20"/>
              <w:jc w:val="right"/>
              <w:rPr>
                <w:rFonts w:cs="Calibri"/>
                <w:szCs w:val="18"/>
              </w:rPr>
            </w:pPr>
            <w:r w:rsidRPr="00B275E2">
              <w:rPr>
                <w:rFonts w:cs="Calibri"/>
                <w:szCs w:val="18"/>
              </w:rPr>
              <w:t>0.007</w:t>
            </w:r>
          </w:p>
        </w:tc>
      </w:tr>
      <w:tr w:rsidR="00A327C6" w:rsidRPr="00B275E2" w14:paraId="65091ACA" w14:textId="77777777" w:rsidTr="009D1997">
        <w:tc>
          <w:tcPr>
            <w:tcW w:w="2665" w:type="dxa"/>
            <w:vMerge/>
            <w:hideMark/>
          </w:tcPr>
          <w:p w14:paraId="65091AC3" w14:textId="77777777" w:rsidR="00A327C6" w:rsidRPr="00B275E2" w:rsidRDefault="00A327C6" w:rsidP="007901E7">
            <w:pPr>
              <w:pStyle w:val="TableText"/>
              <w:spacing w:before="20" w:after="20"/>
              <w:rPr>
                <w:rFonts w:cs="Calibri"/>
                <w:szCs w:val="18"/>
              </w:rPr>
            </w:pPr>
          </w:p>
        </w:tc>
        <w:tc>
          <w:tcPr>
            <w:tcW w:w="1390" w:type="dxa"/>
            <w:noWrap/>
            <w:hideMark/>
          </w:tcPr>
          <w:p w14:paraId="65091AC4" w14:textId="3B0F8243" w:rsidR="00A327C6" w:rsidRPr="00B275E2" w:rsidRDefault="00A327C6" w:rsidP="007901E7">
            <w:pPr>
              <w:pStyle w:val="TableText"/>
              <w:spacing w:before="20" w:after="20"/>
              <w:rPr>
                <w:rFonts w:cs="Calibri"/>
                <w:szCs w:val="18"/>
              </w:rPr>
            </w:pPr>
            <w:r w:rsidRPr="00B275E2">
              <w:rPr>
                <w:rFonts w:cs="Calibri"/>
                <w:szCs w:val="18"/>
              </w:rPr>
              <w:t>1350</w:t>
            </w:r>
            <w:r w:rsidRPr="00B275E2">
              <w:rPr>
                <w:rFonts w:cs="Calibri"/>
                <w:color w:val="000000"/>
                <w:szCs w:val="18"/>
              </w:rPr>
              <w:t xml:space="preserve"> -</w:t>
            </w:r>
            <w:r w:rsidRPr="00B275E2">
              <w:rPr>
                <w:rFonts w:cs="Calibri"/>
                <w:szCs w:val="18"/>
              </w:rPr>
              <w:t xml:space="preserve"> &lt;1600 cc</w:t>
            </w:r>
          </w:p>
        </w:tc>
        <w:tc>
          <w:tcPr>
            <w:tcW w:w="567" w:type="dxa"/>
            <w:noWrap/>
            <w:hideMark/>
          </w:tcPr>
          <w:p w14:paraId="65091AC5" w14:textId="77777777" w:rsidR="00A327C6" w:rsidRPr="00B275E2" w:rsidRDefault="00A327C6" w:rsidP="007901E7">
            <w:pPr>
              <w:pStyle w:val="TableText"/>
              <w:spacing w:before="20" w:after="20"/>
              <w:rPr>
                <w:rFonts w:cs="Calibri"/>
                <w:szCs w:val="18"/>
              </w:rPr>
            </w:pPr>
            <w:r w:rsidRPr="00B275E2">
              <w:rPr>
                <w:rFonts w:cs="Calibri"/>
                <w:szCs w:val="18"/>
              </w:rPr>
              <w:t>km</w:t>
            </w:r>
          </w:p>
        </w:tc>
        <w:tc>
          <w:tcPr>
            <w:tcW w:w="1247" w:type="dxa"/>
            <w:shd w:val="clear" w:color="auto" w:fill="D2DDE1" w:themeFill="background2"/>
            <w:noWrap/>
            <w:hideMark/>
          </w:tcPr>
          <w:p w14:paraId="65091AC6" w14:textId="5C7076E9" w:rsidR="00A327C6" w:rsidRPr="00B275E2" w:rsidRDefault="00A327C6" w:rsidP="007901E7">
            <w:pPr>
              <w:pStyle w:val="TableText"/>
              <w:spacing w:before="20" w:after="20"/>
              <w:jc w:val="right"/>
              <w:rPr>
                <w:rFonts w:cs="Calibri"/>
                <w:szCs w:val="18"/>
              </w:rPr>
            </w:pPr>
            <w:r w:rsidRPr="00B275E2">
              <w:rPr>
                <w:rFonts w:cs="Calibri"/>
                <w:szCs w:val="18"/>
              </w:rPr>
              <w:t>0.212</w:t>
            </w:r>
          </w:p>
        </w:tc>
        <w:tc>
          <w:tcPr>
            <w:tcW w:w="1134" w:type="dxa"/>
            <w:shd w:val="clear" w:color="auto" w:fill="auto"/>
            <w:noWrap/>
            <w:hideMark/>
          </w:tcPr>
          <w:p w14:paraId="65091AC7" w14:textId="3B439AF5" w:rsidR="00A327C6" w:rsidRPr="00B275E2" w:rsidRDefault="00A327C6" w:rsidP="007901E7">
            <w:pPr>
              <w:pStyle w:val="TableText"/>
              <w:spacing w:before="20" w:after="20"/>
              <w:jc w:val="right"/>
              <w:rPr>
                <w:rFonts w:cs="Calibri"/>
                <w:szCs w:val="18"/>
              </w:rPr>
            </w:pPr>
            <w:r w:rsidRPr="00B275E2">
              <w:rPr>
                <w:rFonts w:cs="Calibri"/>
                <w:szCs w:val="18"/>
              </w:rPr>
              <w:t>0.202</w:t>
            </w:r>
          </w:p>
        </w:tc>
        <w:tc>
          <w:tcPr>
            <w:tcW w:w="1134" w:type="dxa"/>
            <w:shd w:val="clear" w:color="auto" w:fill="auto"/>
            <w:noWrap/>
            <w:hideMark/>
          </w:tcPr>
          <w:p w14:paraId="65091AC8" w14:textId="2C26C33B" w:rsidR="00A327C6" w:rsidRPr="00B275E2" w:rsidRDefault="00A327C6" w:rsidP="007901E7">
            <w:pPr>
              <w:pStyle w:val="TableText"/>
              <w:spacing w:before="20" w:after="20"/>
              <w:jc w:val="right"/>
              <w:rPr>
                <w:rFonts w:cs="Calibri"/>
                <w:szCs w:val="18"/>
              </w:rPr>
            </w:pPr>
            <w:r w:rsidRPr="00B275E2">
              <w:rPr>
                <w:rFonts w:cs="Calibri"/>
                <w:szCs w:val="18"/>
              </w:rPr>
              <w:t>0.002</w:t>
            </w:r>
          </w:p>
        </w:tc>
        <w:tc>
          <w:tcPr>
            <w:tcW w:w="1134" w:type="dxa"/>
            <w:shd w:val="clear" w:color="auto" w:fill="auto"/>
            <w:noWrap/>
            <w:hideMark/>
          </w:tcPr>
          <w:p w14:paraId="65091AC9" w14:textId="6EA7C27B" w:rsidR="00A327C6" w:rsidRPr="00B275E2" w:rsidRDefault="00A327C6" w:rsidP="007901E7">
            <w:pPr>
              <w:pStyle w:val="TableText"/>
              <w:spacing w:before="20" w:after="20"/>
              <w:jc w:val="right"/>
              <w:rPr>
                <w:rFonts w:cs="Calibri"/>
                <w:szCs w:val="18"/>
              </w:rPr>
            </w:pPr>
            <w:r w:rsidRPr="00B275E2">
              <w:rPr>
                <w:rFonts w:cs="Calibri"/>
                <w:szCs w:val="18"/>
              </w:rPr>
              <w:t>0.007</w:t>
            </w:r>
          </w:p>
        </w:tc>
      </w:tr>
      <w:tr w:rsidR="00A327C6" w:rsidRPr="00B275E2" w14:paraId="65091AD2" w14:textId="77777777" w:rsidTr="009D1997">
        <w:tc>
          <w:tcPr>
            <w:tcW w:w="2665" w:type="dxa"/>
            <w:vMerge/>
            <w:hideMark/>
          </w:tcPr>
          <w:p w14:paraId="65091ACB" w14:textId="77777777" w:rsidR="00A327C6" w:rsidRPr="00B275E2" w:rsidRDefault="00A327C6" w:rsidP="007901E7">
            <w:pPr>
              <w:pStyle w:val="TableText"/>
              <w:spacing w:before="20" w:after="20"/>
              <w:rPr>
                <w:rFonts w:cs="Calibri"/>
                <w:szCs w:val="18"/>
              </w:rPr>
            </w:pPr>
          </w:p>
        </w:tc>
        <w:tc>
          <w:tcPr>
            <w:tcW w:w="1390" w:type="dxa"/>
            <w:noWrap/>
            <w:hideMark/>
          </w:tcPr>
          <w:p w14:paraId="65091ACC" w14:textId="04428674" w:rsidR="00A327C6" w:rsidRPr="00B275E2" w:rsidRDefault="00A327C6" w:rsidP="007901E7">
            <w:pPr>
              <w:pStyle w:val="TableText"/>
              <w:spacing w:before="20" w:after="20"/>
              <w:rPr>
                <w:rFonts w:cs="Calibri"/>
                <w:szCs w:val="18"/>
              </w:rPr>
            </w:pPr>
            <w:r w:rsidRPr="00B275E2">
              <w:rPr>
                <w:rFonts w:cs="Calibri"/>
                <w:szCs w:val="18"/>
              </w:rPr>
              <w:t>1600</w:t>
            </w:r>
            <w:r w:rsidRPr="00B275E2">
              <w:rPr>
                <w:rFonts w:cs="Calibri"/>
                <w:color w:val="000000"/>
                <w:szCs w:val="18"/>
              </w:rPr>
              <w:t xml:space="preserve"> -</w:t>
            </w:r>
            <w:r w:rsidRPr="00B275E2">
              <w:rPr>
                <w:rFonts w:cs="Calibri"/>
                <w:szCs w:val="18"/>
              </w:rPr>
              <w:t xml:space="preserve"> &lt;2000 cc</w:t>
            </w:r>
          </w:p>
        </w:tc>
        <w:tc>
          <w:tcPr>
            <w:tcW w:w="567" w:type="dxa"/>
            <w:noWrap/>
            <w:hideMark/>
          </w:tcPr>
          <w:p w14:paraId="65091ACD" w14:textId="77777777" w:rsidR="00A327C6" w:rsidRPr="00B275E2" w:rsidRDefault="00A327C6" w:rsidP="007901E7">
            <w:pPr>
              <w:pStyle w:val="TableText"/>
              <w:spacing w:before="20" w:after="20"/>
              <w:rPr>
                <w:rFonts w:cs="Calibri"/>
                <w:szCs w:val="18"/>
              </w:rPr>
            </w:pPr>
            <w:r w:rsidRPr="00B275E2">
              <w:rPr>
                <w:rFonts w:cs="Calibri"/>
                <w:szCs w:val="18"/>
              </w:rPr>
              <w:t>km</w:t>
            </w:r>
          </w:p>
        </w:tc>
        <w:tc>
          <w:tcPr>
            <w:tcW w:w="1247" w:type="dxa"/>
            <w:shd w:val="clear" w:color="auto" w:fill="D2DDE1" w:themeFill="background2"/>
            <w:noWrap/>
            <w:hideMark/>
          </w:tcPr>
          <w:p w14:paraId="65091ACE" w14:textId="16A90334" w:rsidR="00A327C6" w:rsidRPr="00B275E2" w:rsidRDefault="00A327C6" w:rsidP="007901E7">
            <w:pPr>
              <w:pStyle w:val="TableText"/>
              <w:spacing w:before="20" w:after="20"/>
              <w:jc w:val="right"/>
              <w:rPr>
                <w:rFonts w:cs="Calibri"/>
                <w:szCs w:val="18"/>
              </w:rPr>
            </w:pPr>
            <w:r w:rsidRPr="00B275E2">
              <w:rPr>
                <w:rFonts w:cs="Calibri"/>
                <w:szCs w:val="18"/>
              </w:rPr>
              <w:t>0.238</w:t>
            </w:r>
          </w:p>
        </w:tc>
        <w:tc>
          <w:tcPr>
            <w:tcW w:w="1134" w:type="dxa"/>
            <w:shd w:val="clear" w:color="auto" w:fill="auto"/>
            <w:noWrap/>
            <w:hideMark/>
          </w:tcPr>
          <w:p w14:paraId="65091ACF" w14:textId="4A8CEFEF" w:rsidR="00A327C6" w:rsidRPr="00B275E2" w:rsidRDefault="00A327C6" w:rsidP="007901E7">
            <w:pPr>
              <w:pStyle w:val="TableText"/>
              <w:spacing w:before="20" w:after="20"/>
              <w:jc w:val="right"/>
              <w:rPr>
                <w:rFonts w:cs="Calibri"/>
                <w:szCs w:val="18"/>
              </w:rPr>
            </w:pPr>
            <w:r w:rsidRPr="00B275E2">
              <w:rPr>
                <w:rFonts w:cs="Calibri"/>
                <w:szCs w:val="18"/>
              </w:rPr>
              <w:t>0.228</w:t>
            </w:r>
          </w:p>
        </w:tc>
        <w:tc>
          <w:tcPr>
            <w:tcW w:w="1134" w:type="dxa"/>
            <w:shd w:val="clear" w:color="auto" w:fill="auto"/>
            <w:noWrap/>
            <w:hideMark/>
          </w:tcPr>
          <w:p w14:paraId="65091AD0" w14:textId="1A953B28" w:rsidR="00A327C6" w:rsidRPr="00B275E2" w:rsidRDefault="00A327C6" w:rsidP="007901E7">
            <w:pPr>
              <w:pStyle w:val="TableText"/>
              <w:spacing w:before="20" w:after="20"/>
              <w:jc w:val="right"/>
              <w:rPr>
                <w:rFonts w:cs="Calibri"/>
                <w:szCs w:val="18"/>
              </w:rPr>
            </w:pPr>
            <w:r w:rsidRPr="00B275E2">
              <w:rPr>
                <w:rFonts w:cs="Calibri"/>
                <w:szCs w:val="18"/>
              </w:rPr>
              <w:t>0.003</w:t>
            </w:r>
          </w:p>
        </w:tc>
        <w:tc>
          <w:tcPr>
            <w:tcW w:w="1134" w:type="dxa"/>
            <w:shd w:val="clear" w:color="auto" w:fill="auto"/>
            <w:noWrap/>
            <w:hideMark/>
          </w:tcPr>
          <w:p w14:paraId="65091AD1" w14:textId="4B4B3560" w:rsidR="00A327C6" w:rsidRPr="00B275E2" w:rsidRDefault="00A327C6" w:rsidP="007901E7">
            <w:pPr>
              <w:pStyle w:val="TableText"/>
              <w:spacing w:before="20" w:after="20"/>
              <w:jc w:val="right"/>
              <w:rPr>
                <w:rFonts w:cs="Calibri"/>
                <w:szCs w:val="18"/>
              </w:rPr>
            </w:pPr>
            <w:r w:rsidRPr="00B275E2">
              <w:rPr>
                <w:rFonts w:cs="Calibri"/>
                <w:szCs w:val="18"/>
              </w:rPr>
              <w:t>0.008</w:t>
            </w:r>
          </w:p>
        </w:tc>
      </w:tr>
      <w:tr w:rsidR="00A327C6" w:rsidRPr="00B275E2" w14:paraId="65091ADA" w14:textId="77777777" w:rsidTr="009D1997">
        <w:tc>
          <w:tcPr>
            <w:tcW w:w="2665" w:type="dxa"/>
            <w:vMerge/>
            <w:hideMark/>
          </w:tcPr>
          <w:p w14:paraId="65091AD3" w14:textId="77777777" w:rsidR="00A327C6" w:rsidRPr="00B275E2" w:rsidRDefault="00A327C6" w:rsidP="007901E7">
            <w:pPr>
              <w:pStyle w:val="TableText"/>
              <w:spacing w:before="20" w:after="20"/>
              <w:rPr>
                <w:rFonts w:cs="Calibri"/>
                <w:szCs w:val="18"/>
              </w:rPr>
            </w:pPr>
          </w:p>
        </w:tc>
        <w:tc>
          <w:tcPr>
            <w:tcW w:w="1390" w:type="dxa"/>
            <w:noWrap/>
            <w:hideMark/>
          </w:tcPr>
          <w:p w14:paraId="65091AD4" w14:textId="7C37555E" w:rsidR="00A327C6" w:rsidRPr="00B275E2" w:rsidRDefault="00A327C6" w:rsidP="007901E7">
            <w:pPr>
              <w:pStyle w:val="TableText"/>
              <w:spacing w:before="20" w:after="20"/>
              <w:rPr>
                <w:rFonts w:cs="Calibri"/>
                <w:szCs w:val="18"/>
              </w:rPr>
            </w:pPr>
            <w:r w:rsidRPr="00B275E2">
              <w:rPr>
                <w:rFonts w:cs="Calibri"/>
                <w:szCs w:val="18"/>
              </w:rPr>
              <w:t>2000</w:t>
            </w:r>
            <w:r w:rsidRPr="00B275E2">
              <w:rPr>
                <w:rFonts w:cs="Calibri"/>
                <w:color w:val="000000"/>
                <w:szCs w:val="18"/>
              </w:rPr>
              <w:t xml:space="preserve"> -</w:t>
            </w:r>
            <w:r w:rsidRPr="00B275E2">
              <w:rPr>
                <w:rFonts w:cs="Calibri"/>
                <w:szCs w:val="18"/>
              </w:rPr>
              <w:t xml:space="preserve"> &lt;3000 cc</w:t>
            </w:r>
          </w:p>
        </w:tc>
        <w:tc>
          <w:tcPr>
            <w:tcW w:w="567" w:type="dxa"/>
            <w:noWrap/>
            <w:hideMark/>
          </w:tcPr>
          <w:p w14:paraId="65091AD5" w14:textId="77777777" w:rsidR="00A327C6" w:rsidRPr="00B275E2" w:rsidRDefault="00A327C6" w:rsidP="007901E7">
            <w:pPr>
              <w:pStyle w:val="TableText"/>
              <w:spacing w:before="20" w:after="20"/>
              <w:rPr>
                <w:rFonts w:cs="Calibri"/>
                <w:szCs w:val="18"/>
              </w:rPr>
            </w:pPr>
            <w:r w:rsidRPr="00B275E2">
              <w:rPr>
                <w:rFonts w:cs="Calibri"/>
                <w:szCs w:val="18"/>
              </w:rPr>
              <w:t>km</w:t>
            </w:r>
          </w:p>
        </w:tc>
        <w:tc>
          <w:tcPr>
            <w:tcW w:w="1247" w:type="dxa"/>
            <w:shd w:val="clear" w:color="auto" w:fill="D2DDE1" w:themeFill="background2"/>
            <w:noWrap/>
            <w:hideMark/>
          </w:tcPr>
          <w:p w14:paraId="65091AD6" w14:textId="30788C41" w:rsidR="00A327C6" w:rsidRPr="00B275E2" w:rsidRDefault="00A327C6" w:rsidP="007901E7">
            <w:pPr>
              <w:pStyle w:val="TableText"/>
              <w:spacing w:before="20" w:after="20"/>
              <w:jc w:val="right"/>
              <w:rPr>
                <w:rFonts w:cs="Calibri"/>
                <w:szCs w:val="18"/>
              </w:rPr>
            </w:pPr>
            <w:r w:rsidRPr="00B275E2">
              <w:rPr>
                <w:rFonts w:cs="Calibri"/>
                <w:szCs w:val="18"/>
              </w:rPr>
              <w:t>0.265</w:t>
            </w:r>
          </w:p>
        </w:tc>
        <w:tc>
          <w:tcPr>
            <w:tcW w:w="1134" w:type="dxa"/>
            <w:shd w:val="clear" w:color="auto" w:fill="auto"/>
            <w:noWrap/>
            <w:hideMark/>
          </w:tcPr>
          <w:p w14:paraId="65091AD7" w14:textId="4CB3D259" w:rsidR="00A327C6" w:rsidRPr="00B275E2" w:rsidRDefault="00A327C6" w:rsidP="007901E7">
            <w:pPr>
              <w:pStyle w:val="TableText"/>
              <w:spacing w:before="20" w:after="20"/>
              <w:jc w:val="right"/>
              <w:rPr>
                <w:rFonts w:cs="Calibri"/>
                <w:szCs w:val="18"/>
              </w:rPr>
            </w:pPr>
            <w:r w:rsidRPr="00B275E2">
              <w:rPr>
                <w:rFonts w:cs="Calibri"/>
                <w:szCs w:val="18"/>
              </w:rPr>
              <w:t>0.253</w:t>
            </w:r>
          </w:p>
        </w:tc>
        <w:tc>
          <w:tcPr>
            <w:tcW w:w="1134" w:type="dxa"/>
            <w:shd w:val="clear" w:color="auto" w:fill="auto"/>
            <w:noWrap/>
            <w:hideMark/>
          </w:tcPr>
          <w:p w14:paraId="65091AD8" w14:textId="030A17F7" w:rsidR="00A327C6" w:rsidRPr="00B275E2" w:rsidRDefault="00A327C6" w:rsidP="007901E7">
            <w:pPr>
              <w:pStyle w:val="TableText"/>
              <w:spacing w:before="20" w:after="20"/>
              <w:jc w:val="right"/>
              <w:rPr>
                <w:rFonts w:cs="Calibri"/>
                <w:szCs w:val="18"/>
              </w:rPr>
            </w:pPr>
            <w:r w:rsidRPr="00B275E2">
              <w:rPr>
                <w:rFonts w:cs="Calibri"/>
                <w:szCs w:val="18"/>
              </w:rPr>
              <w:t>0.003</w:t>
            </w:r>
          </w:p>
        </w:tc>
        <w:tc>
          <w:tcPr>
            <w:tcW w:w="1134" w:type="dxa"/>
            <w:shd w:val="clear" w:color="auto" w:fill="auto"/>
            <w:noWrap/>
            <w:hideMark/>
          </w:tcPr>
          <w:p w14:paraId="65091AD9" w14:textId="5E29766D" w:rsidR="00A327C6" w:rsidRPr="00B275E2" w:rsidRDefault="00A327C6" w:rsidP="007901E7">
            <w:pPr>
              <w:pStyle w:val="TableText"/>
              <w:spacing w:before="20" w:after="20"/>
              <w:jc w:val="right"/>
              <w:rPr>
                <w:rFonts w:cs="Calibri"/>
                <w:szCs w:val="18"/>
              </w:rPr>
            </w:pPr>
            <w:r w:rsidRPr="00B275E2">
              <w:rPr>
                <w:rFonts w:cs="Calibri"/>
                <w:szCs w:val="18"/>
              </w:rPr>
              <w:t>0.009</w:t>
            </w:r>
          </w:p>
        </w:tc>
      </w:tr>
      <w:tr w:rsidR="00A327C6" w:rsidRPr="00B275E2" w14:paraId="65091AE2" w14:textId="77777777" w:rsidTr="009D1997">
        <w:tc>
          <w:tcPr>
            <w:tcW w:w="2665" w:type="dxa"/>
            <w:vMerge/>
            <w:hideMark/>
          </w:tcPr>
          <w:p w14:paraId="65091ADB" w14:textId="77777777" w:rsidR="00A327C6" w:rsidRPr="00B275E2" w:rsidRDefault="00A327C6" w:rsidP="007901E7">
            <w:pPr>
              <w:pStyle w:val="TableText"/>
              <w:spacing w:before="20" w:after="20"/>
              <w:rPr>
                <w:rFonts w:cs="Calibri"/>
                <w:szCs w:val="18"/>
              </w:rPr>
            </w:pPr>
          </w:p>
        </w:tc>
        <w:tc>
          <w:tcPr>
            <w:tcW w:w="1390" w:type="dxa"/>
            <w:noWrap/>
            <w:hideMark/>
          </w:tcPr>
          <w:p w14:paraId="65091ADC" w14:textId="77777777" w:rsidR="00A327C6" w:rsidRPr="00B275E2" w:rsidRDefault="00A327C6" w:rsidP="007901E7">
            <w:pPr>
              <w:pStyle w:val="TableText"/>
              <w:spacing w:before="20" w:after="20"/>
              <w:rPr>
                <w:rFonts w:cs="Calibri"/>
                <w:szCs w:val="18"/>
              </w:rPr>
            </w:pPr>
            <w:r w:rsidRPr="00B275E2">
              <w:rPr>
                <w:rFonts w:cs="Calibri"/>
                <w:szCs w:val="18"/>
              </w:rPr>
              <w:t>≥3000 cc</w:t>
            </w:r>
          </w:p>
        </w:tc>
        <w:tc>
          <w:tcPr>
            <w:tcW w:w="567" w:type="dxa"/>
            <w:noWrap/>
            <w:hideMark/>
          </w:tcPr>
          <w:p w14:paraId="65091ADD" w14:textId="77777777" w:rsidR="00A327C6" w:rsidRPr="00B275E2" w:rsidRDefault="00A327C6" w:rsidP="007901E7">
            <w:pPr>
              <w:pStyle w:val="TableText"/>
              <w:spacing w:before="20" w:after="20"/>
              <w:rPr>
                <w:rFonts w:cs="Calibri"/>
                <w:szCs w:val="18"/>
              </w:rPr>
            </w:pPr>
            <w:r w:rsidRPr="00B275E2">
              <w:rPr>
                <w:rFonts w:cs="Calibri"/>
                <w:szCs w:val="18"/>
              </w:rPr>
              <w:t>km</w:t>
            </w:r>
          </w:p>
        </w:tc>
        <w:tc>
          <w:tcPr>
            <w:tcW w:w="1247" w:type="dxa"/>
            <w:shd w:val="clear" w:color="auto" w:fill="D2DDE1" w:themeFill="background2"/>
            <w:noWrap/>
            <w:hideMark/>
          </w:tcPr>
          <w:p w14:paraId="65091ADE" w14:textId="5DC4FA36" w:rsidR="00A327C6" w:rsidRPr="00B275E2" w:rsidRDefault="00A327C6" w:rsidP="007901E7">
            <w:pPr>
              <w:pStyle w:val="TableText"/>
              <w:spacing w:before="20" w:after="20"/>
              <w:jc w:val="right"/>
              <w:rPr>
                <w:rFonts w:cs="Calibri"/>
                <w:szCs w:val="18"/>
              </w:rPr>
            </w:pPr>
            <w:r w:rsidRPr="00B275E2">
              <w:rPr>
                <w:rFonts w:cs="Calibri"/>
                <w:szCs w:val="18"/>
              </w:rPr>
              <w:t>0.317</w:t>
            </w:r>
          </w:p>
        </w:tc>
        <w:tc>
          <w:tcPr>
            <w:tcW w:w="1134" w:type="dxa"/>
            <w:shd w:val="clear" w:color="auto" w:fill="auto"/>
            <w:noWrap/>
            <w:hideMark/>
          </w:tcPr>
          <w:p w14:paraId="65091ADF" w14:textId="23A843EA" w:rsidR="00A327C6" w:rsidRPr="00B275E2" w:rsidRDefault="00A327C6" w:rsidP="007901E7">
            <w:pPr>
              <w:pStyle w:val="TableText"/>
              <w:spacing w:before="20" w:after="20"/>
              <w:jc w:val="right"/>
              <w:rPr>
                <w:rFonts w:cs="Calibri"/>
                <w:szCs w:val="18"/>
              </w:rPr>
            </w:pPr>
            <w:r w:rsidRPr="00B275E2">
              <w:rPr>
                <w:rFonts w:cs="Calibri"/>
                <w:szCs w:val="18"/>
              </w:rPr>
              <w:t>0.303</w:t>
            </w:r>
          </w:p>
        </w:tc>
        <w:tc>
          <w:tcPr>
            <w:tcW w:w="1134" w:type="dxa"/>
            <w:shd w:val="clear" w:color="auto" w:fill="auto"/>
            <w:noWrap/>
            <w:hideMark/>
          </w:tcPr>
          <w:p w14:paraId="65091AE0" w14:textId="4A641BDA" w:rsidR="00A327C6" w:rsidRPr="00B275E2" w:rsidRDefault="00A327C6" w:rsidP="007901E7">
            <w:pPr>
              <w:pStyle w:val="TableText"/>
              <w:spacing w:before="20" w:after="20"/>
              <w:jc w:val="right"/>
              <w:rPr>
                <w:rFonts w:cs="Calibri"/>
                <w:szCs w:val="18"/>
              </w:rPr>
            </w:pPr>
            <w:r w:rsidRPr="00B275E2">
              <w:rPr>
                <w:rFonts w:cs="Calibri"/>
                <w:szCs w:val="18"/>
              </w:rPr>
              <w:t>0.004</w:t>
            </w:r>
          </w:p>
        </w:tc>
        <w:tc>
          <w:tcPr>
            <w:tcW w:w="1134" w:type="dxa"/>
            <w:shd w:val="clear" w:color="auto" w:fill="auto"/>
            <w:noWrap/>
            <w:hideMark/>
          </w:tcPr>
          <w:p w14:paraId="65091AE1" w14:textId="34C34D94" w:rsidR="00A327C6" w:rsidRPr="00B275E2" w:rsidRDefault="00A327C6" w:rsidP="007901E7">
            <w:pPr>
              <w:pStyle w:val="TableText"/>
              <w:spacing w:before="20" w:after="20"/>
              <w:jc w:val="right"/>
              <w:rPr>
                <w:rFonts w:cs="Calibri"/>
                <w:szCs w:val="18"/>
              </w:rPr>
            </w:pPr>
            <w:r w:rsidRPr="00B275E2">
              <w:rPr>
                <w:rFonts w:cs="Calibri"/>
                <w:szCs w:val="18"/>
              </w:rPr>
              <w:t>0.010</w:t>
            </w:r>
          </w:p>
        </w:tc>
      </w:tr>
      <w:tr w:rsidR="00A327C6" w:rsidRPr="00B275E2" w14:paraId="65091AEA" w14:textId="77777777" w:rsidTr="009D1997">
        <w:tc>
          <w:tcPr>
            <w:tcW w:w="2665" w:type="dxa"/>
            <w:vMerge w:val="restart"/>
            <w:hideMark/>
          </w:tcPr>
          <w:p w14:paraId="65091AE3" w14:textId="77777777" w:rsidR="00A327C6" w:rsidRPr="00B275E2" w:rsidRDefault="00A327C6" w:rsidP="007901E7">
            <w:pPr>
              <w:pStyle w:val="TableText"/>
              <w:spacing w:before="20" w:after="20"/>
              <w:rPr>
                <w:rFonts w:cs="Calibri"/>
                <w:szCs w:val="18"/>
              </w:rPr>
            </w:pPr>
            <w:r w:rsidRPr="00B275E2">
              <w:rPr>
                <w:rFonts w:cs="Calibri"/>
                <w:szCs w:val="18"/>
              </w:rPr>
              <w:t>Diesel vehicle</w:t>
            </w:r>
          </w:p>
        </w:tc>
        <w:tc>
          <w:tcPr>
            <w:tcW w:w="1390" w:type="dxa"/>
            <w:noWrap/>
            <w:hideMark/>
          </w:tcPr>
          <w:p w14:paraId="65091AE4" w14:textId="77777777" w:rsidR="00A327C6" w:rsidRPr="00B275E2" w:rsidRDefault="00A327C6" w:rsidP="007901E7">
            <w:pPr>
              <w:pStyle w:val="TableText"/>
              <w:spacing w:before="20" w:after="20"/>
              <w:rPr>
                <w:rFonts w:cs="Calibri"/>
                <w:szCs w:val="18"/>
              </w:rPr>
            </w:pPr>
            <w:r w:rsidRPr="00B275E2">
              <w:rPr>
                <w:rFonts w:cs="Calibri"/>
                <w:szCs w:val="18"/>
              </w:rPr>
              <w:t>&lt;1350 cc</w:t>
            </w:r>
          </w:p>
        </w:tc>
        <w:tc>
          <w:tcPr>
            <w:tcW w:w="567" w:type="dxa"/>
            <w:noWrap/>
            <w:hideMark/>
          </w:tcPr>
          <w:p w14:paraId="65091AE5" w14:textId="77777777" w:rsidR="00A327C6" w:rsidRPr="00B275E2" w:rsidRDefault="00A327C6" w:rsidP="007901E7">
            <w:pPr>
              <w:pStyle w:val="TableText"/>
              <w:spacing w:before="20" w:after="20"/>
              <w:rPr>
                <w:rFonts w:cs="Calibri"/>
                <w:szCs w:val="18"/>
              </w:rPr>
            </w:pPr>
            <w:r w:rsidRPr="00B275E2">
              <w:rPr>
                <w:rFonts w:cs="Calibri"/>
                <w:szCs w:val="18"/>
              </w:rPr>
              <w:t>km</w:t>
            </w:r>
          </w:p>
        </w:tc>
        <w:tc>
          <w:tcPr>
            <w:tcW w:w="1247" w:type="dxa"/>
            <w:shd w:val="clear" w:color="auto" w:fill="D2DDE1" w:themeFill="background2"/>
            <w:noWrap/>
            <w:hideMark/>
          </w:tcPr>
          <w:p w14:paraId="65091AE6" w14:textId="35EABC17" w:rsidR="00A327C6" w:rsidRPr="00B275E2" w:rsidRDefault="00A327C6" w:rsidP="007901E7">
            <w:pPr>
              <w:pStyle w:val="TableText"/>
              <w:spacing w:before="20" w:after="20"/>
              <w:jc w:val="right"/>
              <w:rPr>
                <w:rFonts w:cs="Calibri"/>
                <w:szCs w:val="18"/>
              </w:rPr>
            </w:pPr>
            <w:r w:rsidRPr="00B275E2">
              <w:rPr>
                <w:rFonts w:cs="Calibri"/>
                <w:szCs w:val="18"/>
              </w:rPr>
              <w:t>0.215</w:t>
            </w:r>
          </w:p>
        </w:tc>
        <w:tc>
          <w:tcPr>
            <w:tcW w:w="1134" w:type="dxa"/>
            <w:shd w:val="clear" w:color="auto" w:fill="auto"/>
            <w:noWrap/>
            <w:hideMark/>
          </w:tcPr>
          <w:p w14:paraId="65091AE7" w14:textId="4116CB33" w:rsidR="00A327C6" w:rsidRPr="00B275E2" w:rsidRDefault="00A327C6" w:rsidP="007901E7">
            <w:pPr>
              <w:pStyle w:val="TableText"/>
              <w:spacing w:before="20" w:after="20"/>
              <w:jc w:val="right"/>
              <w:rPr>
                <w:rFonts w:cs="Calibri"/>
                <w:szCs w:val="18"/>
              </w:rPr>
            </w:pPr>
            <w:r w:rsidRPr="00B275E2">
              <w:rPr>
                <w:rFonts w:cs="Calibri"/>
                <w:szCs w:val="18"/>
              </w:rPr>
              <w:t>0.212</w:t>
            </w:r>
          </w:p>
        </w:tc>
        <w:tc>
          <w:tcPr>
            <w:tcW w:w="1134" w:type="dxa"/>
            <w:shd w:val="clear" w:color="auto" w:fill="auto"/>
            <w:noWrap/>
            <w:hideMark/>
          </w:tcPr>
          <w:p w14:paraId="65091AE8" w14:textId="5EC31F4E" w:rsidR="00A327C6" w:rsidRPr="00B275E2" w:rsidRDefault="00A327C6" w:rsidP="007901E7">
            <w:pPr>
              <w:pStyle w:val="TableText"/>
              <w:spacing w:before="20" w:after="20"/>
              <w:jc w:val="right"/>
              <w:rPr>
                <w:rFonts w:cs="Calibri"/>
                <w:szCs w:val="18"/>
              </w:rPr>
            </w:pPr>
            <w:r w:rsidRPr="00B275E2">
              <w:rPr>
                <w:rFonts w:cs="Calibri"/>
                <w:szCs w:val="18"/>
              </w:rPr>
              <w:t>0.0003</w:t>
            </w:r>
          </w:p>
        </w:tc>
        <w:tc>
          <w:tcPr>
            <w:tcW w:w="1134" w:type="dxa"/>
            <w:shd w:val="clear" w:color="auto" w:fill="auto"/>
            <w:noWrap/>
            <w:hideMark/>
          </w:tcPr>
          <w:p w14:paraId="65091AE9" w14:textId="2DACC7BA" w:rsidR="00A327C6" w:rsidRPr="00B275E2" w:rsidRDefault="00A327C6" w:rsidP="007901E7">
            <w:pPr>
              <w:pStyle w:val="TableText"/>
              <w:spacing w:before="20" w:after="20"/>
              <w:jc w:val="right"/>
              <w:rPr>
                <w:rFonts w:cs="Calibri"/>
                <w:szCs w:val="18"/>
              </w:rPr>
            </w:pPr>
            <w:r w:rsidRPr="00B275E2">
              <w:rPr>
                <w:rFonts w:cs="Calibri"/>
                <w:szCs w:val="18"/>
              </w:rPr>
              <w:t>0.003</w:t>
            </w:r>
          </w:p>
        </w:tc>
      </w:tr>
      <w:tr w:rsidR="00A327C6" w:rsidRPr="00B275E2" w14:paraId="65091AF2" w14:textId="77777777" w:rsidTr="009D1997">
        <w:tc>
          <w:tcPr>
            <w:tcW w:w="2665" w:type="dxa"/>
            <w:vMerge/>
            <w:hideMark/>
          </w:tcPr>
          <w:p w14:paraId="65091AEB" w14:textId="77777777" w:rsidR="00A327C6" w:rsidRPr="00B275E2" w:rsidRDefault="00A327C6" w:rsidP="007901E7">
            <w:pPr>
              <w:pStyle w:val="TableText"/>
              <w:spacing w:before="20" w:after="20"/>
              <w:rPr>
                <w:rFonts w:cs="Calibri"/>
                <w:szCs w:val="18"/>
              </w:rPr>
            </w:pPr>
          </w:p>
        </w:tc>
        <w:tc>
          <w:tcPr>
            <w:tcW w:w="1390" w:type="dxa"/>
            <w:noWrap/>
            <w:hideMark/>
          </w:tcPr>
          <w:p w14:paraId="65091AEC" w14:textId="3D7BA5E9" w:rsidR="00A327C6" w:rsidRPr="00B275E2" w:rsidRDefault="00A327C6" w:rsidP="007901E7">
            <w:pPr>
              <w:pStyle w:val="TableText"/>
              <w:spacing w:before="20" w:after="20"/>
              <w:rPr>
                <w:rFonts w:cs="Calibri"/>
                <w:szCs w:val="18"/>
              </w:rPr>
            </w:pPr>
            <w:r w:rsidRPr="00B275E2">
              <w:rPr>
                <w:rFonts w:cs="Calibri"/>
                <w:szCs w:val="18"/>
              </w:rPr>
              <w:t>1350</w:t>
            </w:r>
            <w:r w:rsidRPr="00B275E2">
              <w:rPr>
                <w:rFonts w:cs="Calibri"/>
                <w:color w:val="000000"/>
                <w:szCs w:val="18"/>
              </w:rPr>
              <w:t xml:space="preserve"> -</w:t>
            </w:r>
            <w:r w:rsidRPr="00B275E2">
              <w:rPr>
                <w:rFonts w:cs="Calibri"/>
                <w:szCs w:val="18"/>
              </w:rPr>
              <w:t xml:space="preserve"> &lt;1600 cc</w:t>
            </w:r>
          </w:p>
        </w:tc>
        <w:tc>
          <w:tcPr>
            <w:tcW w:w="567" w:type="dxa"/>
            <w:noWrap/>
            <w:hideMark/>
          </w:tcPr>
          <w:p w14:paraId="65091AED" w14:textId="77777777" w:rsidR="00A327C6" w:rsidRPr="00B275E2" w:rsidRDefault="00A327C6" w:rsidP="007901E7">
            <w:pPr>
              <w:pStyle w:val="TableText"/>
              <w:spacing w:before="20" w:after="20"/>
              <w:rPr>
                <w:rFonts w:cs="Calibri"/>
                <w:szCs w:val="18"/>
              </w:rPr>
            </w:pPr>
            <w:r w:rsidRPr="00B275E2">
              <w:rPr>
                <w:rFonts w:cs="Calibri"/>
                <w:szCs w:val="18"/>
              </w:rPr>
              <w:t>km</w:t>
            </w:r>
          </w:p>
        </w:tc>
        <w:tc>
          <w:tcPr>
            <w:tcW w:w="1247" w:type="dxa"/>
            <w:shd w:val="clear" w:color="auto" w:fill="D2DDE1" w:themeFill="background2"/>
            <w:noWrap/>
            <w:hideMark/>
          </w:tcPr>
          <w:p w14:paraId="65091AEE" w14:textId="68728781" w:rsidR="00A327C6" w:rsidRPr="00B275E2" w:rsidRDefault="00A327C6" w:rsidP="007901E7">
            <w:pPr>
              <w:pStyle w:val="TableText"/>
              <w:spacing w:before="20" w:after="20"/>
              <w:jc w:val="right"/>
              <w:rPr>
                <w:rFonts w:cs="Calibri"/>
                <w:szCs w:val="18"/>
              </w:rPr>
            </w:pPr>
            <w:r w:rsidRPr="00B275E2">
              <w:rPr>
                <w:rFonts w:cs="Calibri"/>
                <w:szCs w:val="18"/>
              </w:rPr>
              <w:t>0.207</w:t>
            </w:r>
          </w:p>
        </w:tc>
        <w:tc>
          <w:tcPr>
            <w:tcW w:w="1134" w:type="dxa"/>
            <w:shd w:val="clear" w:color="auto" w:fill="auto"/>
            <w:noWrap/>
            <w:hideMark/>
          </w:tcPr>
          <w:p w14:paraId="65091AEF" w14:textId="095F90BC" w:rsidR="00A327C6" w:rsidRPr="00B275E2" w:rsidRDefault="00A327C6" w:rsidP="007901E7">
            <w:pPr>
              <w:pStyle w:val="TableText"/>
              <w:spacing w:before="20" w:after="20"/>
              <w:jc w:val="right"/>
              <w:rPr>
                <w:rFonts w:cs="Calibri"/>
                <w:szCs w:val="18"/>
              </w:rPr>
            </w:pPr>
            <w:r w:rsidRPr="00B275E2">
              <w:rPr>
                <w:rFonts w:cs="Calibri"/>
                <w:szCs w:val="18"/>
              </w:rPr>
              <w:t>0.204</w:t>
            </w:r>
          </w:p>
        </w:tc>
        <w:tc>
          <w:tcPr>
            <w:tcW w:w="1134" w:type="dxa"/>
            <w:shd w:val="clear" w:color="auto" w:fill="auto"/>
            <w:noWrap/>
            <w:hideMark/>
          </w:tcPr>
          <w:p w14:paraId="65091AF0" w14:textId="6192A654" w:rsidR="00A327C6" w:rsidRPr="00B275E2" w:rsidRDefault="00A327C6" w:rsidP="007901E7">
            <w:pPr>
              <w:pStyle w:val="TableText"/>
              <w:spacing w:before="20" w:after="20"/>
              <w:jc w:val="right"/>
              <w:rPr>
                <w:rFonts w:cs="Calibri"/>
                <w:szCs w:val="18"/>
              </w:rPr>
            </w:pPr>
            <w:r w:rsidRPr="00B275E2">
              <w:rPr>
                <w:rFonts w:cs="Calibri"/>
                <w:szCs w:val="18"/>
              </w:rPr>
              <w:t>0.0003</w:t>
            </w:r>
          </w:p>
        </w:tc>
        <w:tc>
          <w:tcPr>
            <w:tcW w:w="1134" w:type="dxa"/>
            <w:shd w:val="clear" w:color="auto" w:fill="auto"/>
            <w:noWrap/>
            <w:hideMark/>
          </w:tcPr>
          <w:p w14:paraId="65091AF1" w14:textId="74DE3866" w:rsidR="00A327C6" w:rsidRPr="00B275E2" w:rsidRDefault="00A327C6" w:rsidP="007901E7">
            <w:pPr>
              <w:pStyle w:val="TableText"/>
              <w:spacing w:before="20" w:after="20"/>
              <w:jc w:val="right"/>
              <w:rPr>
                <w:rFonts w:cs="Calibri"/>
                <w:szCs w:val="18"/>
              </w:rPr>
            </w:pPr>
            <w:r w:rsidRPr="00B275E2">
              <w:rPr>
                <w:rFonts w:cs="Calibri"/>
                <w:szCs w:val="18"/>
              </w:rPr>
              <w:t>0.003</w:t>
            </w:r>
          </w:p>
        </w:tc>
      </w:tr>
      <w:tr w:rsidR="00A327C6" w:rsidRPr="00B275E2" w14:paraId="65091AFA" w14:textId="77777777" w:rsidTr="009D1997">
        <w:tc>
          <w:tcPr>
            <w:tcW w:w="2665" w:type="dxa"/>
            <w:vMerge/>
            <w:hideMark/>
          </w:tcPr>
          <w:p w14:paraId="65091AF3" w14:textId="77777777" w:rsidR="00A327C6" w:rsidRPr="00B275E2" w:rsidRDefault="00A327C6" w:rsidP="007901E7">
            <w:pPr>
              <w:pStyle w:val="TableText"/>
              <w:spacing w:before="20" w:after="20"/>
              <w:rPr>
                <w:rFonts w:cs="Calibri"/>
                <w:szCs w:val="18"/>
              </w:rPr>
            </w:pPr>
          </w:p>
        </w:tc>
        <w:tc>
          <w:tcPr>
            <w:tcW w:w="1390" w:type="dxa"/>
            <w:noWrap/>
            <w:hideMark/>
          </w:tcPr>
          <w:p w14:paraId="65091AF4" w14:textId="02DE9C1A" w:rsidR="00A327C6" w:rsidRPr="00B275E2" w:rsidRDefault="00A327C6" w:rsidP="007901E7">
            <w:pPr>
              <w:pStyle w:val="TableText"/>
              <w:spacing w:before="20" w:after="20"/>
              <w:rPr>
                <w:rFonts w:cs="Calibri"/>
                <w:szCs w:val="18"/>
              </w:rPr>
            </w:pPr>
            <w:r w:rsidRPr="00B275E2">
              <w:rPr>
                <w:rFonts w:cs="Calibri"/>
                <w:szCs w:val="18"/>
              </w:rPr>
              <w:t>1600</w:t>
            </w:r>
            <w:r w:rsidRPr="00B275E2">
              <w:rPr>
                <w:rFonts w:cs="Calibri"/>
                <w:color w:val="000000"/>
                <w:szCs w:val="18"/>
              </w:rPr>
              <w:t xml:space="preserve"> -</w:t>
            </w:r>
            <w:r w:rsidRPr="00B275E2">
              <w:rPr>
                <w:rFonts w:cs="Calibri"/>
                <w:szCs w:val="18"/>
              </w:rPr>
              <w:t xml:space="preserve"> &lt;2000 cc</w:t>
            </w:r>
          </w:p>
        </w:tc>
        <w:tc>
          <w:tcPr>
            <w:tcW w:w="567" w:type="dxa"/>
            <w:noWrap/>
            <w:hideMark/>
          </w:tcPr>
          <w:p w14:paraId="65091AF5" w14:textId="77777777" w:rsidR="00A327C6" w:rsidRPr="00B275E2" w:rsidRDefault="00A327C6" w:rsidP="007901E7">
            <w:pPr>
              <w:pStyle w:val="TableText"/>
              <w:spacing w:before="20" w:after="20"/>
              <w:rPr>
                <w:rFonts w:cs="Calibri"/>
                <w:szCs w:val="18"/>
              </w:rPr>
            </w:pPr>
            <w:r w:rsidRPr="00B275E2">
              <w:rPr>
                <w:rFonts w:cs="Calibri"/>
                <w:szCs w:val="18"/>
              </w:rPr>
              <w:t>km</w:t>
            </w:r>
          </w:p>
        </w:tc>
        <w:tc>
          <w:tcPr>
            <w:tcW w:w="1247" w:type="dxa"/>
            <w:shd w:val="clear" w:color="auto" w:fill="D2DDE1" w:themeFill="background2"/>
            <w:noWrap/>
            <w:hideMark/>
          </w:tcPr>
          <w:p w14:paraId="65091AF6" w14:textId="4155AF1A" w:rsidR="00A327C6" w:rsidRPr="00B275E2" w:rsidRDefault="00A327C6" w:rsidP="007901E7">
            <w:pPr>
              <w:pStyle w:val="TableText"/>
              <w:spacing w:before="20" w:after="20"/>
              <w:jc w:val="right"/>
              <w:rPr>
                <w:rFonts w:cs="Calibri"/>
                <w:szCs w:val="18"/>
              </w:rPr>
            </w:pPr>
            <w:r w:rsidRPr="00B275E2">
              <w:rPr>
                <w:rFonts w:cs="Calibri"/>
                <w:szCs w:val="18"/>
              </w:rPr>
              <w:t>0.220</w:t>
            </w:r>
          </w:p>
        </w:tc>
        <w:tc>
          <w:tcPr>
            <w:tcW w:w="1134" w:type="dxa"/>
            <w:shd w:val="clear" w:color="auto" w:fill="auto"/>
            <w:noWrap/>
            <w:hideMark/>
          </w:tcPr>
          <w:p w14:paraId="65091AF7" w14:textId="0CEF2176" w:rsidR="00A327C6" w:rsidRPr="00B275E2" w:rsidRDefault="00A327C6" w:rsidP="007901E7">
            <w:pPr>
              <w:pStyle w:val="TableText"/>
              <w:spacing w:before="20" w:after="20"/>
              <w:jc w:val="right"/>
              <w:rPr>
                <w:rFonts w:cs="Calibri"/>
                <w:szCs w:val="18"/>
              </w:rPr>
            </w:pPr>
            <w:r w:rsidRPr="00B275E2">
              <w:rPr>
                <w:rFonts w:cs="Calibri"/>
                <w:szCs w:val="18"/>
              </w:rPr>
              <w:t>0.216</w:t>
            </w:r>
          </w:p>
        </w:tc>
        <w:tc>
          <w:tcPr>
            <w:tcW w:w="1134" w:type="dxa"/>
            <w:shd w:val="clear" w:color="auto" w:fill="auto"/>
            <w:noWrap/>
            <w:hideMark/>
          </w:tcPr>
          <w:p w14:paraId="65091AF8" w14:textId="4A37DFDB" w:rsidR="00A327C6" w:rsidRPr="00B275E2" w:rsidRDefault="00A327C6" w:rsidP="007901E7">
            <w:pPr>
              <w:pStyle w:val="TableText"/>
              <w:spacing w:before="20" w:after="20"/>
              <w:jc w:val="right"/>
              <w:rPr>
                <w:rFonts w:cs="Calibri"/>
                <w:szCs w:val="18"/>
              </w:rPr>
            </w:pPr>
            <w:r w:rsidRPr="00B275E2">
              <w:rPr>
                <w:rFonts w:cs="Calibri"/>
                <w:szCs w:val="18"/>
              </w:rPr>
              <w:t>0.0003</w:t>
            </w:r>
          </w:p>
        </w:tc>
        <w:tc>
          <w:tcPr>
            <w:tcW w:w="1134" w:type="dxa"/>
            <w:shd w:val="clear" w:color="auto" w:fill="auto"/>
            <w:noWrap/>
            <w:hideMark/>
          </w:tcPr>
          <w:p w14:paraId="65091AF9" w14:textId="28AA6FD3" w:rsidR="00A327C6" w:rsidRPr="00B275E2" w:rsidRDefault="00A327C6" w:rsidP="007901E7">
            <w:pPr>
              <w:pStyle w:val="TableText"/>
              <w:spacing w:before="20" w:after="20"/>
              <w:jc w:val="right"/>
              <w:rPr>
                <w:rFonts w:cs="Calibri"/>
                <w:szCs w:val="18"/>
              </w:rPr>
            </w:pPr>
            <w:r w:rsidRPr="00B275E2">
              <w:rPr>
                <w:rFonts w:cs="Calibri"/>
                <w:szCs w:val="18"/>
              </w:rPr>
              <w:t>0.003</w:t>
            </w:r>
          </w:p>
        </w:tc>
      </w:tr>
      <w:tr w:rsidR="00A327C6" w:rsidRPr="00B275E2" w14:paraId="65091B02" w14:textId="77777777" w:rsidTr="009D1997">
        <w:tc>
          <w:tcPr>
            <w:tcW w:w="2665" w:type="dxa"/>
            <w:vMerge/>
            <w:hideMark/>
          </w:tcPr>
          <w:p w14:paraId="65091AFB" w14:textId="77777777" w:rsidR="00A327C6" w:rsidRPr="00B275E2" w:rsidRDefault="00A327C6" w:rsidP="007901E7">
            <w:pPr>
              <w:pStyle w:val="TableText"/>
              <w:spacing w:before="20" w:after="20"/>
              <w:rPr>
                <w:rFonts w:cs="Calibri"/>
                <w:szCs w:val="18"/>
              </w:rPr>
            </w:pPr>
          </w:p>
        </w:tc>
        <w:tc>
          <w:tcPr>
            <w:tcW w:w="1390" w:type="dxa"/>
            <w:noWrap/>
            <w:hideMark/>
          </w:tcPr>
          <w:p w14:paraId="65091AFC" w14:textId="28B86C09" w:rsidR="00A327C6" w:rsidRPr="00B275E2" w:rsidRDefault="00A327C6" w:rsidP="007901E7">
            <w:pPr>
              <w:pStyle w:val="TableText"/>
              <w:spacing w:before="20" w:after="20"/>
              <w:rPr>
                <w:rFonts w:cs="Calibri"/>
                <w:szCs w:val="18"/>
              </w:rPr>
            </w:pPr>
            <w:r w:rsidRPr="00B275E2">
              <w:rPr>
                <w:rFonts w:cs="Calibri"/>
                <w:szCs w:val="18"/>
              </w:rPr>
              <w:t>2000</w:t>
            </w:r>
            <w:r w:rsidRPr="00B275E2">
              <w:rPr>
                <w:rFonts w:cs="Calibri"/>
                <w:color w:val="000000"/>
                <w:szCs w:val="18"/>
              </w:rPr>
              <w:t xml:space="preserve"> -</w:t>
            </w:r>
            <w:r w:rsidRPr="00B275E2">
              <w:rPr>
                <w:rFonts w:cs="Calibri"/>
                <w:szCs w:val="18"/>
              </w:rPr>
              <w:t xml:space="preserve"> &lt;3000 cc</w:t>
            </w:r>
          </w:p>
        </w:tc>
        <w:tc>
          <w:tcPr>
            <w:tcW w:w="567" w:type="dxa"/>
            <w:noWrap/>
            <w:hideMark/>
          </w:tcPr>
          <w:p w14:paraId="65091AFD" w14:textId="77777777" w:rsidR="00A327C6" w:rsidRPr="00B275E2" w:rsidRDefault="00A327C6" w:rsidP="007901E7">
            <w:pPr>
              <w:pStyle w:val="TableText"/>
              <w:spacing w:before="20" w:after="20"/>
              <w:rPr>
                <w:rFonts w:cs="Calibri"/>
                <w:szCs w:val="18"/>
              </w:rPr>
            </w:pPr>
            <w:r w:rsidRPr="00B275E2">
              <w:rPr>
                <w:rFonts w:cs="Calibri"/>
                <w:szCs w:val="18"/>
              </w:rPr>
              <w:t>km</w:t>
            </w:r>
          </w:p>
        </w:tc>
        <w:tc>
          <w:tcPr>
            <w:tcW w:w="1247" w:type="dxa"/>
            <w:shd w:val="clear" w:color="auto" w:fill="D2DDE1" w:themeFill="background2"/>
            <w:noWrap/>
            <w:hideMark/>
          </w:tcPr>
          <w:p w14:paraId="65091AFE" w14:textId="22778504" w:rsidR="00A327C6" w:rsidRPr="00B275E2" w:rsidRDefault="00A327C6" w:rsidP="007901E7">
            <w:pPr>
              <w:pStyle w:val="TableText"/>
              <w:spacing w:before="20" w:after="20"/>
              <w:jc w:val="right"/>
              <w:rPr>
                <w:rFonts w:cs="Calibri"/>
                <w:szCs w:val="18"/>
              </w:rPr>
            </w:pPr>
            <w:r w:rsidRPr="00B275E2">
              <w:rPr>
                <w:rFonts w:cs="Calibri"/>
                <w:szCs w:val="18"/>
              </w:rPr>
              <w:t>0.270</w:t>
            </w:r>
          </w:p>
        </w:tc>
        <w:tc>
          <w:tcPr>
            <w:tcW w:w="1134" w:type="dxa"/>
            <w:shd w:val="clear" w:color="auto" w:fill="auto"/>
            <w:noWrap/>
            <w:hideMark/>
          </w:tcPr>
          <w:p w14:paraId="65091AFF" w14:textId="704725C7" w:rsidR="00A327C6" w:rsidRPr="00B275E2" w:rsidRDefault="00A327C6" w:rsidP="007901E7">
            <w:pPr>
              <w:pStyle w:val="TableText"/>
              <w:spacing w:before="20" w:after="20"/>
              <w:jc w:val="right"/>
              <w:rPr>
                <w:rFonts w:cs="Calibri"/>
                <w:szCs w:val="18"/>
              </w:rPr>
            </w:pPr>
            <w:r w:rsidRPr="00B275E2">
              <w:rPr>
                <w:rFonts w:cs="Calibri"/>
                <w:szCs w:val="18"/>
              </w:rPr>
              <w:t>0.266</w:t>
            </w:r>
          </w:p>
        </w:tc>
        <w:tc>
          <w:tcPr>
            <w:tcW w:w="1134" w:type="dxa"/>
            <w:shd w:val="clear" w:color="auto" w:fill="auto"/>
            <w:noWrap/>
            <w:hideMark/>
          </w:tcPr>
          <w:p w14:paraId="65091B00" w14:textId="1B4CB03D" w:rsidR="00A327C6" w:rsidRPr="00B275E2" w:rsidRDefault="00A327C6" w:rsidP="007901E7">
            <w:pPr>
              <w:pStyle w:val="TableText"/>
              <w:spacing w:before="20" w:after="20"/>
              <w:jc w:val="right"/>
              <w:rPr>
                <w:rFonts w:cs="Calibri"/>
                <w:szCs w:val="18"/>
              </w:rPr>
            </w:pPr>
            <w:r w:rsidRPr="00B275E2">
              <w:rPr>
                <w:rFonts w:cs="Calibri"/>
                <w:szCs w:val="18"/>
              </w:rPr>
              <w:t>0.0004</w:t>
            </w:r>
          </w:p>
        </w:tc>
        <w:tc>
          <w:tcPr>
            <w:tcW w:w="1134" w:type="dxa"/>
            <w:shd w:val="clear" w:color="auto" w:fill="auto"/>
            <w:noWrap/>
            <w:hideMark/>
          </w:tcPr>
          <w:p w14:paraId="65091B01" w14:textId="0DAE83AF" w:rsidR="00A327C6" w:rsidRPr="00B275E2" w:rsidRDefault="00A327C6" w:rsidP="007901E7">
            <w:pPr>
              <w:pStyle w:val="TableText"/>
              <w:spacing w:before="20" w:after="20"/>
              <w:jc w:val="right"/>
              <w:rPr>
                <w:rFonts w:cs="Calibri"/>
                <w:szCs w:val="18"/>
              </w:rPr>
            </w:pPr>
            <w:r w:rsidRPr="00B275E2">
              <w:rPr>
                <w:rFonts w:cs="Calibri"/>
                <w:szCs w:val="18"/>
              </w:rPr>
              <w:t>0.004</w:t>
            </w:r>
          </w:p>
        </w:tc>
      </w:tr>
      <w:tr w:rsidR="00A327C6" w:rsidRPr="00B275E2" w14:paraId="65091B0A" w14:textId="77777777" w:rsidTr="009D1997">
        <w:tc>
          <w:tcPr>
            <w:tcW w:w="2665" w:type="dxa"/>
            <w:vMerge/>
            <w:hideMark/>
          </w:tcPr>
          <w:p w14:paraId="65091B03" w14:textId="77777777" w:rsidR="00A327C6" w:rsidRPr="00B275E2" w:rsidRDefault="00A327C6" w:rsidP="007901E7">
            <w:pPr>
              <w:pStyle w:val="TableText"/>
              <w:spacing w:before="20" w:after="20"/>
              <w:rPr>
                <w:rFonts w:cs="Calibri"/>
                <w:szCs w:val="18"/>
              </w:rPr>
            </w:pPr>
          </w:p>
        </w:tc>
        <w:tc>
          <w:tcPr>
            <w:tcW w:w="1390" w:type="dxa"/>
            <w:noWrap/>
            <w:hideMark/>
          </w:tcPr>
          <w:p w14:paraId="65091B04" w14:textId="77777777" w:rsidR="00A327C6" w:rsidRPr="00B275E2" w:rsidRDefault="00A327C6" w:rsidP="007901E7">
            <w:pPr>
              <w:pStyle w:val="TableText"/>
              <w:spacing w:before="20" w:after="20"/>
              <w:rPr>
                <w:rFonts w:cs="Calibri"/>
                <w:szCs w:val="18"/>
              </w:rPr>
            </w:pPr>
            <w:r w:rsidRPr="00B275E2">
              <w:rPr>
                <w:rFonts w:cs="Calibri"/>
                <w:szCs w:val="18"/>
              </w:rPr>
              <w:t>≥3000 cc</w:t>
            </w:r>
          </w:p>
        </w:tc>
        <w:tc>
          <w:tcPr>
            <w:tcW w:w="567" w:type="dxa"/>
            <w:noWrap/>
            <w:hideMark/>
          </w:tcPr>
          <w:p w14:paraId="65091B05" w14:textId="77777777" w:rsidR="00A327C6" w:rsidRPr="00B275E2" w:rsidRDefault="00A327C6" w:rsidP="007901E7">
            <w:pPr>
              <w:pStyle w:val="TableText"/>
              <w:spacing w:before="20" w:after="20"/>
              <w:rPr>
                <w:rFonts w:cs="Calibri"/>
                <w:szCs w:val="18"/>
              </w:rPr>
            </w:pPr>
            <w:r w:rsidRPr="00B275E2">
              <w:rPr>
                <w:rFonts w:cs="Calibri"/>
                <w:szCs w:val="18"/>
              </w:rPr>
              <w:t>km</w:t>
            </w:r>
          </w:p>
        </w:tc>
        <w:tc>
          <w:tcPr>
            <w:tcW w:w="1247" w:type="dxa"/>
            <w:shd w:val="clear" w:color="auto" w:fill="D2DDE1" w:themeFill="background2"/>
            <w:noWrap/>
            <w:hideMark/>
          </w:tcPr>
          <w:p w14:paraId="65091B06" w14:textId="10258385" w:rsidR="00A327C6" w:rsidRPr="00B275E2" w:rsidRDefault="00A327C6" w:rsidP="007901E7">
            <w:pPr>
              <w:pStyle w:val="TableText"/>
              <w:spacing w:before="20" w:after="20"/>
              <w:jc w:val="right"/>
              <w:rPr>
                <w:rFonts w:cs="Calibri"/>
                <w:szCs w:val="18"/>
              </w:rPr>
            </w:pPr>
            <w:r w:rsidRPr="00B275E2">
              <w:rPr>
                <w:rFonts w:cs="Calibri"/>
                <w:szCs w:val="18"/>
              </w:rPr>
              <w:t>0.300</w:t>
            </w:r>
          </w:p>
        </w:tc>
        <w:tc>
          <w:tcPr>
            <w:tcW w:w="1134" w:type="dxa"/>
            <w:shd w:val="clear" w:color="auto" w:fill="auto"/>
            <w:noWrap/>
            <w:hideMark/>
          </w:tcPr>
          <w:p w14:paraId="65091B07" w14:textId="6B64066A" w:rsidR="00A327C6" w:rsidRPr="00B275E2" w:rsidRDefault="00A327C6" w:rsidP="007901E7">
            <w:pPr>
              <w:pStyle w:val="TableText"/>
              <w:spacing w:before="20" w:after="20"/>
              <w:jc w:val="right"/>
              <w:rPr>
                <w:rFonts w:cs="Calibri"/>
                <w:szCs w:val="18"/>
              </w:rPr>
            </w:pPr>
            <w:r w:rsidRPr="00B275E2">
              <w:rPr>
                <w:rFonts w:cs="Calibri"/>
                <w:szCs w:val="18"/>
              </w:rPr>
              <w:t>0.295</w:t>
            </w:r>
          </w:p>
        </w:tc>
        <w:tc>
          <w:tcPr>
            <w:tcW w:w="1134" w:type="dxa"/>
            <w:shd w:val="clear" w:color="auto" w:fill="auto"/>
            <w:noWrap/>
            <w:hideMark/>
          </w:tcPr>
          <w:p w14:paraId="65091B08" w14:textId="5F714729" w:rsidR="00A327C6" w:rsidRPr="00B275E2" w:rsidRDefault="00A327C6" w:rsidP="007901E7">
            <w:pPr>
              <w:pStyle w:val="TableText"/>
              <w:spacing w:before="20" w:after="20"/>
              <w:jc w:val="right"/>
              <w:rPr>
                <w:rFonts w:cs="Calibri"/>
                <w:szCs w:val="18"/>
              </w:rPr>
            </w:pPr>
            <w:r w:rsidRPr="00B275E2">
              <w:rPr>
                <w:rFonts w:cs="Calibri"/>
                <w:szCs w:val="18"/>
              </w:rPr>
              <w:t>0.0004</w:t>
            </w:r>
          </w:p>
        </w:tc>
        <w:tc>
          <w:tcPr>
            <w:tcW w:w="1134" w:type="dxa"/>
            <w:shd w:val="clear" w:color="auto" w:fill="auto"/>
            <w:noWrap/>
            <w:hideMark/>
          </w:tcPr>
          <w:p w14:paraId="65091B09" w14:textId="4E1637D9" w:rsidR="00A327C6" w:rsidRPr="00B275E2" w:rsidRDefault="00A327C6" w:rsidP="007901E7">
            <w:pPr>
              <w:pStyle w:val="TableText"/>
              <w:spacing w:before="20" w:after="20"/>
              <w:jc w:val="right"/>
              <w:rPr>
                <w:rFonts w:cs="Calibri"/>
                <w:szCs w:val="18"/>
              </w:rPr>
            </w:pPr>
            <w:r w:rsidRPr="00B275E2">
              <w:rPr>
                <w:rFonts w:cs="Calibri"/>
                <w:szCs w:val="18"/>
              </w:rPr>
              <w:t>0.005</w:t>
            </w:r>
          </w:p>
        </w:tc>
      </w:tr>
      <w:tr w:rsidR="00A327C6" w:rsidRPr="00B275E2" w14:paraId="65091B12" w14:textId="77777777" w:rsidTr="009D1997">
        <w:tc>
          <w:tcPr>
            <w:tcW w:w="2665" w:type="dxa"/>
            <w:vMerge w:val="restart"/>
            <w:hideMark/>
          </w:tcPr>
          <w:p w14:paraId="65091B0B" w14:textId="77777777" w:rsidR="00A327C6" w:rsidRPr="00B275E2" w:rsidRDefault="00A327C6" w:rsidP="007901E7">
            <w:pPr>
              <w:pStyle w:val="TableText"/>
              <w:spacing w:before="20" w:after="20"/>
              <w:rPr>
                <w:rFonts w:cs="Calibri"/>
                <w:szCs w:val="18"/>
              </w:rPr>
            </w:pPr>
            <w:r w:rsidRPr="00B275E2">
              <w:rPr>
                <w:rFonts w:cs="Calibri"/>
                <w:szCs w:val="18"/>
              </w:rPr>
              <w:t>Petrol hybrid vehicle</w:t>
            </w:r>
          </w:p>
        </w:tc>
        <w:tc>
          <w:tcPr>
            <w:tcW w:w="1390" w:type="dxa"/>
            <w:noWrap/>
            <w:hideMark/>
          </w:tcPr>
          <w:p w14:paraId="65091B0C" w14:textId="77777777" w:rsidR="00A327C6" w:rsidRPr="00B275E2" w:rsidRDefault="00A327C6" w:rsidP="007901E7">
            <w:pPr>
              <w:pStyle w:val="TableText"/>
              <w:spacing w:before="20" w:after="20"/>
              <w:rPr>
                <w:rFonts w:cs="Calibri"/>
                <w:szCs w:val="18"/>
              </w:rPr>
            </w:pPr>
            <w:r w:rsidRPr="00B275E2">
              <w:rPr>
                <w:rFonts w:cs="Calibri"/>
                <w:szCs w:val="18"/>
              </w:rPr>
              <w:t>&lt;1350 cc</w:t>
            </w:r>
          </w:p>
        </w:tc>
        <w:tc>
          <w:tcPr>
            <w:tcW w:w="567" w:type="dxa"/>
            <w:noWrap/>
            <w:hideMark/>
          </w:tcPr>
          <w:p w14:paraId="65091B0D" w14:textId="77777777" w:rsidR="00A327C6" w:rsidRPr="00B275E2" w:rsidRDefault="00A327C6" w:rsidP="007901E7">
            <w:pPr>
              <w:pStyle w:val="TableText"/>
              <w:spacing w:before="20" w:after="20"/>
              <w:rPr>
                <w:rFonts w:cs="Calibri"/>
                <w:szCs w:val="18"/>
              </w:rPr>
            </w:pPr>
            <w:r w:rsidRPr="00B275E2">
              <w:rPr>
                <w:rFonts w:cs="Calibri"/>
                <w:szCs w:val="18"/>
              </w:rPr>
              <w:t>km</w:t>
            </w:r>
          </w:p>
        </w:tc>
        <w:tc>
          <w:tcPr>
            <w:tcW w:w="1247" w:type="dxa"/>
            <w:shd w:val="clear" w:color="auto" w:fill="D2DDE1" w:themeFill="background2"/>
            <w:noWrap/>
            <w:hideMark/>
          </w:tcPr>
          <w:p w14:paraId="65091B0E" w14:textId="7431FDB5" w:rsidR="00A327C6" w:rsidRPr="00B275E2" w:rsidRDefault="00A327C6" w:rsidP="007901E7">
            <w:pPr>
              <w:pStyle w:val="TableText"/>
              <w:spacing w:before="20" w:after="20"/>
              <w:jc w:val="right"/>
              <w:rPr>
                <w:rFonts w:cs="Calibri"/>
                <w:szCs w:val="18"/>
              </w:rPr>
            </w:pPr>
            <w:r w:rsidRPr="00B275E2">
              <w:rPr>
                <w:rFonts w:cs="Calibri"/>
                <w:szCs w:val="18"/>
              </w:rPr>
              <w:t>0.156</w:t>
            </w:r>
          </w:p>
        </w:tc>
        <w:tc>
          <w:tcPr>
            <w:tcW w:w="1134" w:type="dxa"/>
            <w:shd w:val="clear" w:color="auto" w:fill="auto"/>
            <w:noWrap/>
            <w:hideMark/>
          </w:tcPr>
          <w:p w14:paraId="65091B0F" w14:textId="51E64214" w:rsidR="00A327C6" w:rsidRPr="00B275E2" w:rsidRDefault="00A327C6" w:rsidP="007901E7">
            <w:pPr>
              <w:pStyle w:val="TableText"/>
              <w:spacing w:before="20" w:after="20"/>
              <w:jc w:val="right"/>
              <w:rPr>
                <w:rFonts w:cs="Calibri"/>
                <w:szCs w:val="18"/>
              </w:rPr>
            </w:pPr>
            <w:r w:rsidRPr="00B275E2">
              <w:rPr>
                <w:rFonts w:cs="Calibri"/>
                <w:szCs w:val="18"/>
              </w:rPr>
              <w:t>0.149</w:t>
            </w:r>
          </w:p>
        </w:tc>
        <w:tc>
          <w:tcPr>
            <w:tcW w:w="1134" w:type="dxa"/>
            <w:shd w:val="clear" w:color="auto" w:fill="auto"/>
            <w:noWrap/>
            <w:hideMark/>
          </w:tcPr>
          <w:p w14:paraId="65091B10" w14:textId="57CB3F1B" w:rsidR="00A327C6" w:rsidRPr="00B275E2" w:rsidRDefault="00A327C6" w:rsidP="007901E7">
            <w:pPr>
              <w:pStyle w:val="TableText"/>
              <w:spacing w:before="20" w:after="20"/>
              <w:jc w:val="right"/>
              <w:rPr>
                <w:rFonts w:cs="Calibri"/>
                <w:szCs w:val="18"/>
              </w:rPr>
            </w:pPr>
            <w:r w:rsidRPr="00B275E2">
              <w:rPr>
                <w:rFonts w:cs="Calibri"/>
                <w:szCs w:val="18"/>
              </w:rPr>
              <w:t>0.002</w:t>
            </w:r>
          </w:p>
        </w:tc>
        <w:tc>
          <w:tcPr>
            <w:tcW w:w="1134" w:type="dxa"/>
            <w:shd w:val="clear" w:color="auto" w:fill="auto"/>
            <w:noWrap/>
            <w:hideMark/>
          </w:tcPr>
          <w:p w14:paraId="65091B11" w14:textId="6F0AFDB9" w:rsidR="00A327C6" w:rsidRPr="00B275E2" w:rsidRDefault="00A327C6" w:rsidP="007901E7">
            <w:pPr>
              <w:pStyle w:val="TableText"/>
              <w:spacing w:before="20" w:after="20"/>
              <w:jc w:val="right"/>
              <w:rPr>
                <w:rFonts w:cs="Calibri"/>
                <w:szCs w:val="18"/>
              </w:rPr>
            </w:pPr>
            <w:r w:rsidRPr="00B275E2">
              <w:rPr>
                <w:rFonts w:cs="Calibri"/>
                <w:szCs w:val="18"/>
              </w:rPr>
              <w:t>0.005</w:t>
            </w:r>
          </w:p>
        </w:tc>
      </w:tr>
      <w:tr w:rsidR="00A327C6" w:rsidRPr="00B275E2" w14:paraId="65091B1A" w14:textId="77777777" w:rsidTr="009D1997">
        <w:tc>
          <w:tcPr>
            <w:tcW w:w="2665" w:type="dxa"/>
            <w:vMerge/>
            <w:hideMark/>
          </w:tcPr>
          <w:p w14:paraId="65091B13" w14:textId="77777777" w:rsidR="00A327C6" w:rsidRPr="00B275E2" w:rsidRDefault="00A327C6" w:rsidP="007901E7">
            <w:pPr>
              <w:pStyle w:val="TableText"/>
              <w:spacing w:before="20" w:after="20"/>
              <w:rPr>
                <w:rFonts w:cs="Calibri"/>
                <w:szCs w:val="18"/>
              </w:rPr>
            </w:pPr>
          </w:p>
        </w:tc>
        <w:tc>
          <w:tcPr>
            <w:tcW w:w="1390" w:type="dxa"/>
            <w:noWrap/>
            <w:hideMark/>
          </w:tcPr>
          <w:p w14:paraId="65091B14" w14:textId="3B562B16" w:rsidR="00A327C6" w:rsidRPr="00B275E2" w:rsidRDefault="00A327C6" w:rsidP="007901E7">
            <w:pPr>
              <w:pStyle w:val="TableText"/>
              <w:spacing w:before="20" w:after="20"/>
              <w:rPr>
                <w:rFonts w:cs="Calibri"/>
                <w:szCs w:val="18"/>
              </w:rPr>
            </w:pPr>
            <w:r w:rsidRPr="00B275E2">
              <w:rPr>
                <w:rFonts w:cs="Calibri"/>
                <w:szCs w:val="18"/>
              </w:rPr>
              <w:t>1350</w:t>
            </w:r>
            <w:r w:rsidRPr="00B275E2">
              <w:rPr>
                <w:rFonts w:cs="Calibri"/>
                <w:color w:val="000000"/>
                <w:szCs w:val="18"/>
              </w:rPr>
              <w:t xml:space="preserve"> -</w:t>
            </w:r>
            <w:r w:rsidRPr="00B275E2">
              <w:rPr>
                <w:rFonts w:cs="Calibri"/>
                <w:szCs w:val="18"/>
              </w:rPr>
              <w:t xml:space="preserve"> &lt;1600 cc</w:t>
            </w:r>
          </w:p>
        </w:tc>
        <w:tc>
          <w:tcPr>
            <w:tcW w:w="567" w:type="dxa"/>
            <w:noWrap/>
            <w:hideMark/>
          </w:tcPr>
          <w:p w14:paraId="65091B15" w14:textId="77777777" w:rsidR="00A327C6" w:rsidRPr="00B275E2" w:rsidRDefault="00A327C6" w:rsidP="007901E7">
            <w:pPr>
              <w:pStyle w:val="TableText"/>
              <w:spacing w:before="20" w:after="20"/>
              <w:rPr>
                <w:rFonts w:cs="Calibri"/>
                <w:szCs w:val="18"/>
              </w:rPr>
            </w:pPr>
            <w:r w:rsidRPr="00B275E2">
              <w:rPr>
                <w:rFonts w:cs="Calibri"/>
                <w:szCs w:val="18"/>
              </w:rPr>
              <w:t>km</w:t>
            </w:r>
          </w:p>
        </w:tc>
        <w:tc>
          <w:tcPr>
            <w:tcW w:w="1247" w:type="dxa"/>
            <w:shd w:val="clear" w:color="auto" w:fill="D2DDE1" w:themeFill="background2"/>
            <w:noWrap/>
            <w:hideMark/>
          </w:tcPr>
          <w:p w14:paraId="65091B16" w14:textId="145FC0F7" w:rsidR="00A327C6" w:rsidRPr="00B275E2" w:rsidRDefault="00A327C6" w:rsidP="007901E7">
            <w:pPr>
              <w:pStyle w:val="TableText"/>
              <w:spacing w:before="20" w:after="20"/>
              <w:jc w:val="right"/>
              <w:rPr>
                <w:rFonts w:cs="Calibri"/>
                <w:szCs w:val="18"/>
              </w:rPr>
            </w:pPr>
            <w:r w:rsidRPr="00B275E2">
              <w:rPr>
                <w:rFonts w:cs="Calibri"/>
                <w:szCs w:val="18"/>
              </w:rPr>
              <w:t>0.161</w:t>
            </w:r>
          </w:p>
        </w:tc>
        <w:tc>
          <w:tcPr>
            <w:tcW w:w="1134" w:type="dxa"/>
            <w:shd w:val="clear" w:color="auto" w:fill="auto"/>
            <w:noWrap/>
            <w:hideMark/>
          </w:tcPr>
          <w:p w14:paraId="65091B17" w14:textId="4EEE0A66" w:rsidR="00A327C6" w:rsidRPr="00B275E2" w:rsidRDefault="00A327C6" w:rsidP="007901E7">
            <w:pPr>
              <w:pStyle w:val="TableText"/>
              <w:spacing w:before="20" w:after="20"/>
              <w:jc w:val="right"/>
              <w:rPr>
                <w:rFonts w:cs="Calibri"/>
                <w:szCs w:val="18"/>
              </w:rPr>
            </w:pPr>
            <w:r w:rsidRPr="00B275E2">
              <w:rPr>
                <w:rFonts w:cs="Calibri"/>
                <w:szCs w:val="18"/>
              </w:rPr>
              <w:t>0.154</w:t>
            </w:r>
          </w:p>
        </w:tc>
        <w:tc>
          <w:tcPr>
            <w:tcW w:w="1134" w:type="dxa"/>
            <w:shd w:val="clear" w:color="auto" w:fill="auto"/>
            <w:noWrap/>
            <w:hideMark/>
          </w:tcPr>
          <w:p w14:paraId="65091B18" w14:textId="4C654641" w:rsidR="00A327C6" w:rsidRPr="00B275E2" w:rsidRDefault="00A327C6" w:rsidP="007901E7">
            <w:pPr>
              <w:pStyle w:val="TableText"/>
              <w:spacing w:before="20" w:after="20"/>
              <w:jc w:val="right"/>
              <w:rPr>
                <w:rFonts w:cs="Calibri"/>
                <w:szCs w:val="18"/>
              </w:rPr>
            </w:pPr>
            <w:r w:rsidRPr="00B275E2">
              <w:rPr>
                <w:rFonts w:cs="Calibri"/>
                <w:szCs w:val="18"/>
              </w:rPr>
              <w:t>0.002</w:t>
            </w:r>
          </w:p>
        </w:tc>
        <w:tc>
          <w:tcPr>
            <w:tcW w:w="1134" w:type="dxa"/>
            <w:shd w:val="clear" w:color="auto" w:fill="auto"/>
            <w:noWrap/>
            <w:hideMark/>
          </w:tcPr>
          <w:p w14:paraId="65091B19" w14:textId="459EB3F2" w:rsidR="00A327C6" w:rsidRPr="00B275E2" w:rsidRDefault="00A327C6" w:rsidP="007901E7">
            <w:pPr>
              <w:pStyle w:val="TableText"/>
              <w:spacing w:before="20" w:after="20"/>
              <w:jc w:val="right"/>
              <w:rPr>
                <w:rFonts w:cs="Calibri"/>
                <w:szCs w:val="18"/>
              </w:rPr>
            </w:pPr>
            <w:r w:rsidRPr="00B275E2">
              <w:rPr>
                <w:rFonts w:cs="Calibri"/>
                <w:szCs w:val="18"/>
              </w:rPr>
              <w:t>0.005</w:t>
            </w:r>
          </w:p>
        </w:tc>
      </w:tr>
      <w:tr w:rsidR="00A327C6" w:rsidRPr="00B275E2" w14:paraId="65091B22" w14:textId="77777777" w:rsidTr="009D1997">
        <w:tc>
          <w:tcPr>
            <w:tcW w:w="2665" w:type="dxa"/>
            <w:vMerge/>
            <w:hideMark/>
          </w:tcPr>
          <w:p w14:paraId="65091B1B" w14:textId="77777777" w:rsidR="00A327C6" w:rsidRPr="00B275E2" w:rsidRDefault="00A327C6" w:rsidP="007901E7">
            <w:pPr>
              <w:pStyle w:val="TableText"/>
              <w:spacing w:before="20" w:after="20"/>
              <w:rPr>
                <w:rFonts w:cs="Calibri"/>
                <w:szCs w:val="18"/>
              </w:rPr>
            </w:pPr>
          </w:p>
        </w:tc>
        <w:tc>
          <w:tcPr>
            <w:tcW w:w="1390" w:type="dxa"/>
            <w:noWrap/>
            <w:hideMark/>
          </w:tcPr>
          <w:p w14:paraId="65091B1C" w14:textId="2C52CAA9" w:rsidR="00A327C6" w:rsidRPr="00B275E2" w:rsidRDefault="00A327C6" w:rsidP="007901E7">
            <w:pPr>
              <w:pStyle w:val="TableText"/>
              <w:spacing w:before="20" w:after="20"/>
              <w:rPr>
                <w:rFonts w:cs="Calibri"/>
                <w:szCs w:val="18"/>
              </w:rPr>
            </w:pPr>
            <w:r w:rsidRPr="00B275E2">
              <w:rPr>
                <w:rFonts w:cs="Calibri"/>
                <w:szCs w:val="18"/>
              </w:rPr>
              <w:t>1600</w:t>
            </w:r>
            <w:r w:rsidRPr="00B275E2">
              <w:rPr>
                <w:rFonts w:cs="Calibri"/>
                <w:color w:val="000000"/>
                <w:szCs w:val="18"/>
              </w:rPr>
              <w:t xml:space="preserve"> -</w:t>
            </w:r>
            <w:r w:rsidRPr="00B275E2">
              <w:rPr>
                <w:rFonts w:cs="Calibri"/>
                <w:szCs w:val="18"/>
              </w:rPr>
              <w:t xml:space="preserve"> &lt;2000 cc</w:t>
            </w:r>
          </w:p>
        </w:tc>
        <w:tc>
          <w:tcPr>
            <w:tcW w:w="567" w:type="dxa"/>
            <w:noWrap/>
            <w:hideMark/>
          </w:tcPr>
          <w:p w14:paraId="65091B1D" w14:textId="77777777" w:rsidR="00A327C6" w:rsidRPr="00B275E2" w:rsidRDefault="00A327C6" w:rsidP="007901E7">
            <w:pPr>
              <w:pStyle w:val="TableText"/>
              <w:spacing w:before="20" w:after="20"/>
              <w:rPr>
                <w:rFonts w:cs="Calibri"/>
                <w:szCs w:val="18"/>
              </w:rPr>
            </w:pPr>
            <w:r w:rsidRPr="00B275E2">
              <w:rPr>
                <w:rFonts w:cs="Calibri"/>
                <w:szCs w:val="18"/>
              </w:rPr>
              <w:t>km</w:t>
            </w:r>
          </w:p>
        </w:tc>
        <w:tc>
          <w:tcPr>
            <w:tcW w:w="1247" w:type="dxa"/>
            <w:shd w:val="clear" w:color="auto" w:fill="D2DDE1" w:themeFill="background2"/>
            <w:noWrap/>
            <w:hideMark/>
          </w:tcPr>
          <w:p w14:paraId="65091B1E" w14:textId="24844F25" w:rsidR="00A327C6" w:rsidRPr="00B275E2" w:rsidRDefault="00A327C6" w:rsidP="007901E7">
            <w:pPr>
              <w:pStyle w:val="TableText"/>
              <w:spacing w:before="20" w:after="20"/>
              <w:jc w:val="right"/>
              <w:rPr>
                <w:rFonts w:cs="Calibri"/>
                <w:szCs w:val="18"/>
              </w:rPr>
            </w:pPr>
            <w:r w:rsidRPr="00B275E2">
              <w:rPr>
                <w:rFonts w:cs="Calibri"/>
                <w:szCs w:val="18"/>
              </w:rPr>
              <w:t>0.181</w:t>
            </w:r>
          </w:p>
        </w:tc>
        <w:tc>
          <w:tcPr>
            <w:tcW w:w="1134" w:type="dxa"/>
            <w:shd w:val="clear" w:color="auto" w:fill="auto"/>
            <w:noWrap/>
            <w:hideMark/>
          </w:tcPr>
          <w:p w14:paraId="65091B1F" w14:textId="73617D36" w:rsidR="00A327C6" w:rsidRPr="00B275E2" w:rsidRDefault="00A327C6" w:rsidP="007901E7">
            <w:pPr>
              <w:pStyle w:val="TableText"/>
              <w:spacing w:before="20" w:after="20"/>
              <w:jc w:val="right"/>
              <w:rPr>
                <w:rFonts w:cs="Calibri"/>
                <w:szCs w:val="18"/>
              </w:rPr>
            </w:pPr>
            <w:r w:rsidRPr="00B275E2">
              <w:rPr>
                <w:rFonts w:cs="Calibri"/>
                <w:szCs w:val="18"/>
              </w:rPr>
              <w:t>0.173</w:t>
            </w:r>
          </w:p>
        </w:tc>
        <w:tc>
          <w:tcPr>
            <w:tcW w:w="1134" w:type="dxa"/>
            <w:shd w:val="clear" w:color="auto" w:fill="auto"/>
            <w:noWrap/>
            <w:hideMark/>
          </w:tcPr>
          <w:p w14:paraId="65091B20" w14:textId="636ACB1F" w:rsidR="00A327C6" w:rsidRPr="00B275E2" w:rsidRDefault="00A327C6" w:rsidP="007901E7">
            <w:pPr>
              <w:pStyle w:val="TableText"/>
              <w:spacing w:before="20" w:after="20"/>
              <w:jc w:val="right"/>
              <w:rPr>
                <w:rFonts w:cs="Calibri"/>
                <w:szCs w:val="18"/>
              </w:rPr>
            </w:pPr>
            <w:r w:rsidRPr="00B275E2">
              <w:rPr>
                <w:rFonts w:cs="Calibri"/>
                <w:szCs w:val="18"/>
              </w:rPr>
              <w:t>0.002</w:t>
            </w:r>
          </w:p>
        </w:tc>
        <w:tc>
          <w:tcPr>
            <w:tcW w:w="1134" w:type="dxa"/>
            <w:shd w:val="clear" w:color="auto" w:fill="auto"/>
            <w:noWrap/>
            <w:hideMark/>
          </w:tcPr>
          <w:p w14:paraId="65091B21" w14:textId="697089E7" w:rsidR="00A327C6" w:rsidRPr="00B275E2" w:rsidRDefault="00A327C6" w:rsidP="007901E7">
            <w:pPr>
              <w:pStyle w:val="TableText"/>
              <w:spacing w:before="20" w:after="20"/>
              <w:jc w:val="right"/>
              <w:rPr>
                <w:rFonts w:cs="Calibri"/>
                <w:szCs w:val="18"/>
              </w:rPr>
            </w:pPr>
            <w:r w:rsidRPr="00B275E2">
              <w:rPr>
                <w:rFonts w:cs="Calibri"/>
                <w:szCs w:val="18"/>
              </w:rPr>
              <w:t>0.006</w:t>
            </w:r>
          </w:p>
        </w:tc>
      </w:tr>
      <w:tr w:rsidR="00A327C6" w:rsidRPr="00B275E2" w14:paraId="65091B2A" w14:textId="77777777" w:rsidTr="009D1997">
        <w:tc>
          <w:tcPr>
            <w:tcW w:w="2665" w:type="dxa"/>
            <w:vMerge/>
            <w:hideMark/>
          </w:tcPr>
          <w:p w14:paraId="65091B23" w14:textId="77777777" w:rsidR="00A327C6" w:rsidRPr="00B275E2" w:rsidRDefault="00A327C6" w:rsidP="007901E7">
            <w:pPr>
              <w:pStyle w:val="TableText"/>
              <w:spacing w:before="20" w:after="20"/>
              <w:rPr>
                <w:rFonts w:cs="Calibri"/>
                <w:szCs w:val="18"/>
              </w:rPr>
            </w:pPr>
          </w:p>
        </w:tc>
        <w:tc>
          <w:tcPr>
            <w:tcW w:w="1390" w:type="dxa"/>
            <w:noWrap/>
            <w:hideMark/>
          </w:tcPr>
          <w:p w14:paraId="65091B24" w14:textId="14F2F21A" w:rsidR="00A327C6" w:rsidRPr="00B275E2" w:rsidRDefault="00A327C6" w:rsidP="007901E7">
            <w:pPr>
              <w:pStyle w:val="TableText"/>
              <w:spacing w:before="20" w:after="20"/>
              <w:rPr>
                <w:rFonts w:cs="Calibri"/>
                <w:szCs w:val="18"/>
              </w:rPr>
            </w:pPr>
            <w:r w:rsidRPr="00B275E2">
              <w:rPr>
                <w:rFonts w:cs="Calibri"/>
                <w:szCs w:val="18"/>
              </w:rPr>
              <w:t>2000</w:t>
            </w:r>
            <w:r w:rsidRPr="00B275E2">
              <w:rPr>
                <w:rFonts w:cs="Calibri"/>
                <w:color w:val="000000"/>
                <w:szCs w:val="18"/>
              </w:rPr>
              <w:t xml:space="preserve"> -</w:t>
            </w:r>
            <w:r w:rsidRPr="00B275E2">
              <w:rPr>
                <w:rFonts w:cs="Calibri"/>
                <w:szCs w:val="18"/>
              </w:rPr>
              <w:t xml:space="preserve"> &lt;3000 cc</w:t>
            </w:r>
          </w:p>
        </w:tc>
        <w:tc>
          <w:tcPr>
            <w:tcW w:w="567" w:type="dxa"/>
            <w:noWrap/>
            <w:hideMark/>
          </w:tcPr>
          <w:p w14:paraId="65091B25" w14:textId="77777777" w:rsidR="00A327C6" w:rsidRPr="00B275E2" w:rsidRDefault="00A327C6" w:rsidP="007901E7">
            <w:pPr>
              <w:pStyle w:val="TableText"/>
              <w:spacing w:before="20" w:after="20"/>
              <w:rPr>
                <w:rFonts w:cs="Calibri"/>
                <w:szCs w:val="18"/>
              </w:rPr>
            </w:pPr>
            <w:r w:rsidRPr="00B275E2">
              <w:rPr>
                <w:rFonts w:cs="Calibri"/>
                <w:szCs w:val="18"/>
              </w:rPr>
              <w:t>km</w:t>
            </w:r>
          </w:p>
        </w:tc>
        <w:tc>
          <w:tcPr>
            <w:tcW w:w="1247" w:type="dxa"/>
            <w:shd w:val="clear" w:color="auto" w:fill="D2DDE1" w:themeFill="background2"/>
            <w:noWrap/>
            <w:hideMark/>
          </w:tcPr>
          <w:p w14:paraId="65091B26" w14:textId="1F27D268" w:rsidR="00A327C6" w:rsidRPr="00B275E2" w:rsidRDefault="00A327C6" w:rsidP="007901E7">
            <w:pPr>
              <w:pStyle w:val="TableText"/>
              <w:spacing w:before="20" w:after="20"/>
              <w:jc w:val="right"/>
              <w:rPr>
                <w:rFonts w:cs="Calibri"/>
                <w:szCs w:val="18"/>
              </w:rPr>
            </w:pPr>
            <w:r w:rsidRPr="00B275E2">
              <w:rPr>
                <w:rFonts w:cs="Calibri"/>
                <w:szCs w:val="18"/>
              </w:rPr>
              <w:t>0.201</w:t>
            </w:r>
          </w:p>
        </w:tc>
        <w:tc>
          <w:tcPr>
            <w:tcW w:w="1134" w:type="dxa"/>
            <w:shd w:val="clear" w:color="auto" w:fill="auto"/>
            <w:noWrap/>
            <w:hideMark/>
          </w:tcPr>
          <w:p w14:paraId="65091B27" w14:textId="331F0A07" w:rsidR="00A327C6" w:rsidRPr="00B275E2" w:rsidRDefault="00A327C6" w:rsidP="007901E7">
            <w:pPr>
              <w:pStyle w:val="TableText"/>
              <w:spacing w:before="20" w:after="20"/>
              <w:jc w:val="right"/>
              <w:rPr>
                <w:rFonts w:cs="Calibri"/>
                <w:szCs w:val="18"/>
              </w:rPr>
            </w:pPr>
            <w:r w:rsidRPr="00B275E2">
              <w:rPr>
                <w:rFonts w:cs="Calibri"/>
                <w:szCs w:val="18"/>
              </w:rPr>
              <w:t>0.193</w:t>
            </w:r>
          </w:p>
        </w:tc>
        <w:tc>
          <w:tcPr>
            <w:tcW w:w="1134" w:type="dxa"/>
            <w:shd w:val="clear" w:color="auto" w:fill="auto"/>
            <w:noWrap/>
            <w:hideMark/>
          </w:tcPr>
          <w:p w14:paraId="65091B28" w14:textId="0049C917" w:rsidR="00A327C6" w:rsidRPr="00B275E2" w:rsidRDefault="00A327C6" w:rsidP="007901E7">
            <w:pPr>
              <w:pStyle w:val="TableText"/>
              <w:spacing w:before="20" w:after="20"/>
              <w:jc w:val="right"/>
              <w:rPr>
                <w:rFonts w:cs="Calibri"/>
                <w:szCs w:val="18"/>
              </w:rPr>
            </w:pPr>
            <w:r w:rsidRPr="00B275E2">
              <w:rPr>
                <w:rFonts w:cs="Calibri"/>
                <w:szCs w:val="18"/>
              </w:rPr>
              <w:t>0.002</w:t>
            </w:r>
          </w:p>
        </w:tc>
        <w:tc>
          <w:tcPr>
            <w:tcW w:w="1134" w:type="dxa"/>
            <w:shd w:val="clear" w:color="auto" w:fill="auto"/>
            <w:noWrap/>
            <w:hideMark/>
          </w:tcPr>
          <w:p w14:paraId="65091B29" w14:textId="023D63A4" w:rsidR="00A327C6" w:rsidRPr="00B275E2" w:rsidRDefault="00A327C6" w:rsidP="007901E7">
            <w:pPr>
              <w:pStyle w:val="TableText"/>
              <w:spacing w:before="20" w:after="20"/>
              <w:jc w:val="right"/>
              <w:rPr>
                <w:rFonts w:cs="Calibri"/>
                <w:szCs w:val="18"/>
              </w:rPr>
            </w:pPr>
            <w:r w:rsidRPr="00B275E2">
              <w:rPr>
                <w:rFonts w:cs="Calibri"/>
                <w:szCs w:val="18"/>
              </w:rPr>
              <w:t>0.007</w:t>
            </w:r>
          </w:p>
        </w:tc>
      </w:tr>
      <w:tr w:rsidR="00A327C6" w:rsidRPr="00B275E2" w14:paraId="65091B32" w14:textId="77777777" w:rsidTr="009D1997">
        <w:tc>
          <w:tcPr>
            <w:tcW w:w="2665" w:type="dxa"/>
            <w:vMerge/>
            <w:hideMark/>
          </w:tcPr>
          <w:p w14:paraId="65091B2B" w14:textId="77777777" w:rsidR="00A327C6" w:rsidRPr="00B275E2" w:rsidRDefault="00A327C6" w:rsidP="007901E7">
            <w:pPr>
              <w:pStyle w:val="TableText"/>
              <w:spacing w:before="20" w:after="20"/>
              <w:rPr>
                <w:rFonts w:cs="Calibri"/>
                <w:szCs w:val="18"/>
              </w:rPr>
            </w:pPr>
          </w:p>
        </w:tc>
        <w:tc>
          <w:tcPr>
            <w:tcW w:w="1390" w:type="dxa"/>
            <w:noWrap/>
            <w:hideMark/>
          </w:tcPr>
          <w:p w14:paraId="65091B2C" w14:textId="77777777" w:rsidR="00A327C6" w:rsidRPr="00B275E2" w:rsidRDefault="00A327C6" w:rsidP="007901E7">
            <w:pPr>
              <w:pStyle w:val="TableText"/>
              <w:spacing w:before="20" w:after="20"/>
              <w:rPr>
                <w:rFonts w:cs="Calibri"/>
                <w:szCs w:val="18"/>
              </w:rPr>
            </w:pPr>
            <w:r w:rsidRPr="00B275E2">
              <w:rPr>
                <w:rFonts w:cs="Calibri"/>
                <w:szCs w:val="18"/>
              </w:rPr>
              <w:t>≥3000 cc</w:t>
            </w:r>
          </w:p>
        </w:tc>
        <w:tc>
          <w:tcPr>
            <w:tcW w:w="567" w:type="dxa"/>
            <w:noWrap/>
            <w:hideMark/>
          </w:tcPr>
          <w:p w14:paraId="65091B2D" w14:textId="77777777" w:rsidR="00A327C6" w:rsidRPr="00B275E2" w:rsidRDefault="00A327C6" w:rsidP="007901E7">
            <w:pPr>
              <w:pStyle w:val="TableText"/>
              <w:spacing w:before="20" w:after="20"/>
              <w:rPr>
                <w:rFonts w:cs="Calibri"/>
                <w:szCs w:val="18"/>
              </w:rPr>
            </w:pPr>
            <w:r w:rsidRPr="00B275E2">
              <w:rPr>
                <w:rFonts w:cs="Calibri"/>
                <w:szCs w:val="18"/>
              </w:rPr>
              <w:t>km</w:t>
            </w:r>
          </w:p>
        </w:tc>
        <w:tc>
          <w:tcPr>
            <w:tcW w:w="1247" w:type="dxa"/>
            <w:shd w:val="clear" w:color="auto" w:fill="D2DDE1" w:themeFill="background2"/>
            <w:noWrap/>
            <w:hideMark/>
          </w:tcPr>
          <w:p w14:paraId="65091B2E" w14:textId="6F11CBEA" w:rsidR="00A327C6" w:rsidRPr="00B275E2" w:rsidRDefault="00A327C6" w:rsidP="007901E7">
            <w:pPr>
              <w:pStyle w:val="TableText"/>
              <w:spacing w:before="20" w:after="20"/>
              <w:jc w:val="right"/>
              <w:rPr>
                <w:rFonts w:cs="Calibri"/>
                <w:szCs w:val="18"/>
              </w:rPr>
            </w:pPr>
            <w:r w:rsidRPr="00B275E2">
              <w:rPr>
                <w:rFonts w:cs="Calibri"/>
                <w:szCs w:val="18"/>
              </w:rPr>
              <w:t>0.241</w:t>
            </w:r>
          </w:p>
        </w:tc>
        <w:tc>
          <w:tcPr>
            <w:tcW w:w="1134" w:type="dxa"/>
            <w:shd w:val="clear" w:color="auto" w:fill="auto"/>
            <w:noWrap/>
            <w:hideMark/>
          </w:tcPr>
          <w:p w14:paraId="65091B2F" w14:textId="6BBFB3BA" w:rsidR="00A327C6" w:rsidRPr="00B275E2" w:rsidRDefault="00A327C6" w:rsidP="007901E7">
            <w:pPr>
              <w:pStyle w:val="TableText"/>
              <w:spacing w:before="20" w:after="20"/>
              <w:jc w:val="right"/>
              <w:rPr>
                <w:rFonts w:cs="Calibri"/>
                <w:szCs w:val="18"/>
              </w:rPr>
            </w:pPr>
            <w:r w:rsidRPr="00B275E2">
              <w:rPr>
                <w:rFonts w:cs="Calibri"/>
                <w:szCs w:val="18"/>
              </w:rPr>
              <w:t>0.230</w:t>
            </w:r>
          </w:p>
        </w:tc>
        <w:tc>
          <w:tcPr>
            <w:tcW w:w="1134" w:type="dxa"/>
            <w:shd w:val="clear" w:color="auto" w:fill="auto"/>
            <w:noWrap/>
            <w:hideMark/>
          </w:tcPr>
          <w:p w14:paraId="65091B30" w14:textId="3369DE0F" w:rsidR="00A327C6" w:rsidRPr="00B275E2" w:rsidRDefault="00A327C6" w:rsidP="007901E7">
            <w:pPr>
              <w:pStyle w:val="TableText"/>
              <w:spacing w:before="20" w:after="20"/>
              <w:jc w:val="right"/>
              <w:rPr>
                <w:rFonts w:cs="Calibri"/>
                <w:szCs w:val="18"/>
              </w:rPr>
            </w:pPr>
            <w:r w:rsidRPr="00B275E2">
              <w:rPr>
                <w:rFonts w:cs="Calibri"/>
                <w:szCs w:val="18"/>
              </w:rPr>
              <w:t>0.003</w:t>
            </w:r>
          </w:p>
        </w:tc>
        <w:tc>
          <w:tcPr>
            <w:tcW w:w="1134" w:type="dxa"/>
            <w:shd w:val="clear" w:color="auto" w:fill="auto"/>
            <w:noWrap/>
            <w:hideMark/>
          </w:tcPr>
          <w:p w14:paraId="65091B31" w14:textId="571B625F" w:rsidR="00A327C6" w:rsidRPr="00B275E2" w:rsidRDefault="00A327C6" w:rsidP="007901E7">
            <w:pPr>
              <w:pStyle w:val="TableText"/>
              <w:spacing w:before="20" w:after="20"/>
              <w:jc w:val="right"/>
              <w:rPr>
                <w:rFonts w:cs="Calibri"/>
                <w:szCs w:val="18"/>
              </w:rPr>
            </w:pPr>
            <w:r w:rsidRPr="00B275E2">
              <w:rPr>
                <w:rFonts w:cs="Calibri"/>
                <w:szCs w:val="18"/>
              </w:rPr>
              <w:t>0.008</w:t>
            </w:r>
          </w:p>
        </w:tc>
      </w:tr>
      <w:tr w:rsidR="00A327C6" w:rsidRPr="00B275E2" w14:paraId="37E909F4" w14:textId="77777777" w:rsidTr="009D1997">
        <w:tc>
          <w:tcPr>
            <w:tcW w:w="2665" w:type="dxa"/>
            <w:vMerge w:val="restart"/>
          </w:tcPr>
          <w:p w14:paraId="56351449" w14:textId="6DB908D0" w:rsidR="00A327C6" w:rsidRPr="00B275E2" w:rsidRDefault="00A327C6" w:rsidP="007901E7">
            <w:pPr>
              <w:pStyle w:val="TableText"/>
              <w:spacing w:before="20" w:after="20"/>
              <w:rPr>
                <w:rFonts w:cs="Calibri"/>
                <w:szCs w:val="18"/>
              </w:rPr>
            </w:pPr>
            <w:r w:rsidRPr="00B275E2">
              <w:rPr>
                <w:rFonts w:cs="Calibri"/>
                <w:szCs w:val="18"/>
              </w:rPr>
              <w:t>Diesel hybrid vehicle</w:t>
            </w:r>
          </w:p>
        </w:tc>
        <w:tc>
          <w:tcPr>
            <w:tcW w:w="1390" w:type="dxa"/>
            <w:noWrap/>
          </w:tcPr>
          <w:p w14:paraId="4D581B52" w14:textId="2DF74859" w:rsidR="00A327C6" w:rsidRPr="00B275E2" w:rsidRDefault="00A327C6" w:rsidP="007901E7">
            <w:pPr>
              <w:pStyle w:val="TableText"/>
              <w:spacing w:before="20" w:after="20"/>
              <w:rPr>
                <w:rFonts w:cs="Calibri"/>
                <w:szCs w:val="18"/>
              </w:rPr>
            </w:pPr>
            <w:r w:rsidRPr="00B275E2">
              <w:rPr>
                <w:rFonts w:cs="Calibri"/>
                <w:szCs w:val="18"/>
              </w:rPr>
              <w:t>&lt;1350 cc</w:t>
            </w:r>
          </w:p>
        </w:tc>
        <w:tc>
          <w:tcPr>
            <w:tcW w:w="567" w:type="dxa"/>
            <w:noWrap/>
          </w:tcPr>
          <w:p w14:paraId="481CFAB8" w14:textId="1B0D0CEF" w:rsidR="00A327C6" w:rsidRPr="00B275E2" w:rsidRDefault="00A327C6" w:rsidP="007901E7">
            <w:pPr>
              <w:pStyle w:val="TableText"/>
              <w:spacing w:before="20" w:after="20"/>
              <w:rPr>
                <w:rFonts w:cs="Calibri"/>
                <w:szCs w:val="18"/>
              </w:rPr>
            </w:pPr>
            <w:r w:rsidRPr="00B275E2">
              <w:rPr>
                <w:rFonts w:cs="Calibri"/>
                <w:szCs w:val="18"/>
              </w:rPr>
              <w:t>km</w:t>
            </w:r>
          </w:p>
        </w:tc>
        <w:tc>
          <w:tcPr>
            <w:tcW w:w="1247" w:type="dxa"/>
            <w:shd w:val="clear" w:color="auto" w:fill="D2DDE1" w:themeFill="background2"/>
            <w:noWrap/>
          </w:tcPr>
          <w:p w14:paraId="1ACB4E32" w14:textId="3525E650" w:rsidR="00A327C6" w:rsidRPr="00B275E2" w:rsidRDefault="00A327C6" w:rsidP="007901E7">
            <w:pPr>
              <w:pStyle w:val="TableText"/>
              <w:spacing w:before="20" w:after="20"/>
              <w:jc w:val="right"/>
              <w:rPr>
                <w:rFonts w:cs="Calibri"/>
                <w:szCs w:val="18"/>
              </w:rPr>
            </w:pPr>
            <w:r w:rsidRPr="00B275E2">
              <w:rPr>
                <w:rFonts w:cs="Calibri"/>
                <w:szCs w:val="18"/>
              </w:rPr>
              <w:t>0.193</w:t>
            </w:r>
          </w:p>
        </w:tc>
        <w:tc>
          <w:tcPr>
            <w:tcW w:w="1134" w:type="dxa"/>
            <w:shd w:val="clear" w:color="auto" w:fill="auto"/>
            <w:noWrap/>
          </w:tcPr>
          <w:p w14:paraId="0483967B" w14:textId="72944312" w:rsidR="00A327C6" w:rsidRPr="00B275E2" w:rsidRDefault="00A327C6" w:rsidP="007901E7">
            <w:pPr>
              <w:pStyle w:val="TableText"/>
              <w:spacing w:before="20" w:after="20"/>
              <w:jc w:val="right"/>
              <w:rPr>
                <w:rFonts w:cs="Calibri"/>
                <w:szCs w:val="18"/>
              </w:rPr>
            </w:pPr>
            <w:r w:rsidRPr="00B275E2">
              <w:rPr>
                <w:rFonts w:cs="Calibri"/>
                <w:szCs w:val="18"/>
              </w:rPr>
              <w:t>0.190</w:t>
            </w:r>
          </w:p>
        </w:tc>
        <w:tc>
          <w:tcPr>
            <w:tcW w:w="1134" w:type="dxa"/>
            <w:shd w:val="clear" w:color="auto" w:fill="auto"/>
            <w:noWrap/>
          </w:tcPr>
          <w:p w14:paraId="473096A5" w14:textId="2A9EED00" w:rsidR="00A327C6" w:rsidRPr="00B275E2" w:rsidRDefault="00A327C6" w:rsidP="007901E7">
            <w:pPr>
              <w:pStyle w:val="TableText"/>
              <w:spacing w:before="20" w:after="20"/>
              <w:jc w:val="right"/>
              <w:rPr>
                <w:rFonts w:cs="Calibri"/>
                <w:szCs w:val="18"/>
              </w:rPr>
            </w:pPr>
            <w:r w:rsidRPr="00B275E2">
              <w:rPr>
                <w:rFonts w:cs="Calibri"/>
                <w:szCs w:val="18"/>
              </w:rPr>
              <w:t>0.0003</w:t>
            </w:r>
          </w:p>
        </w:tc>
        <w:tc>
          <w:tcPr>
            <w:tcW w:w="1134" w:type="dxa"/>
            <w:shd w:val="clear" w:color="auto" w:fill="auto"/>
            <w:noWrap/>
          </w:tcPr>
          <w:p w14:paraId="2E1006FE" w14:textId="72A17860" w:rsidR="00A327C6" w:rsidRPr="00B275E2" w:rsidRDefault="00A327C6" w:rsidP="007901E7">
            <w:pPr>
              <w:pStyle w:val="TableText"/>
              <w:spacing w:before="20" w:after="20"/>
              <w:jc w:val="right"/>
              <w:rPr>
                <w:rFonts w:cs="Calibri"/>
                <w:szCs w:val="18"/>
              </w:rPr>
            </w:pPr>
            <w:r w:rsidRPr="00B275E2">
              <w:rPr>
                <w:rFonts w:cs="Calibri"/>
                <w:szCs w:val="18"/>
              </w:rPr>
              <w:t>0.003</w:t>
            </w:r>
          </w:p>
        </w:tc>
      </w:tr>
      <w:tr w:rsidR="00A327C6" w:rsidRPr="00B275E2" w14:paraId="79EC15FF" w14:textId="77777777" w:rsidTr="009D1997">
        <w:tc>
          <w:tcPr>
            <w:tcW w:w="2665" w:type="dxa"/>
            <w:vMerge/>
          </w:tcPr>
          <w:p w14:paraId="6E9BF584" w14:textId="77777777" w:rsidR="00A327C6" w:rsidRPr="00B275E2" w:rsidRDefault="00A327C6" w:rsidP="007901E7">
            <w:pPr>
              <w:pStyle w:val="TableText"/>
              <w:spacing w:before="20" w:after="20"/>
              <w:rPr>
                <w:rFonts w:cs="Calibri"/>
                <w:szCs w:val="18"/>
              </w:rPr>
            </w:pPr>
          </w:p>
        </w:tc>
        <w:tc>
          <w:tcPr>
            <w:tcW w:w="1390" w:type="dxa"/>
            <w:noWrap/>
          </w:tcPr>
          <w:p w14:paraId="7026B12D" w14:textId="75034E3D" w:rsidR="00A327C6" w:rsidRPr="00B275E2" w:rsidRDefault="00A327C6" w:rsidP="007901E7">
            <w:pPr>
              <w:pStyle w:val="TableText"/>
              <w:spacing w:before="20" w:after="20"/>
              <w:rPr>
                <w:rFonts w:cs="Calibri"/>
                <w:szCs w:val="18"/>
              </w:rPr>
            </w:pPr>
            <w:r w:rsidRPr="00B275E2">
              <w:rPr>
                <w:rFonts w:cs="Calibri"/>
                <w:szCs w:val="18"/>
              </w:rPr>
              <w:t>1350</w:t>
            </w:r>
            <w:r w:rsidRPr="00B275E2">
              <w:rPr>
                <w:rFonts w:cs="Calibri"/>
                <w:color w:val="000000"/>
                <w:szCs w:val="18"/>
              </w:rPr>
              <w:t xml:space="preserve"> -</w:t>
            </w:r>
            <w:r w:rsidRPr="00B275E2">
              <w:rPr>
                <w:rFonts w:cs="Calibri"/>
                <w:szCs w:val="18"/>
              </w:rPr>
              <w:t xml:space="preserve"> &lt;1600 cc</w:t>
            </w:r>
          </w:p>
        </w:tc>
        <w:tc>
          <w:tcPr>
            <w:tcW w:w="567" w:type="dxa"/>
            <w:noWrap/>
          </w:tcPr>
          <w:p w14:paraId="1767FEAA" w14:textId="275F1A5C" w:rsidR="00A327C6" w:rsidRPr="00B275E2" w:rsidRDefault="00A327C6" w:rsidP="007901E7">
            <w:pPr>
              <w:pStyle w:val="TableText"/>
              <w:spacing w:before="20" w:after="20"/>
              <w:rPr>
                <w:rFonts w:cs="Calibri"/>
                <w:szCs w:val="18"/>
              </w:rPr>
            </w:pPr>
            <w:r w:rsidRPr="00B275E2">
              <w:rPr>
                <w:rFonts w:cs="Calibri"/>
                <w:szCs w:val="18"/>
              </w:rPr>
              <w:t>km</w:t>
            </w:r>
          </w:p>
        </w:tc>
        <w:tc>
          <w:tcPr>
            <w:tcW w:w="1247" w:type="dxa"/>
            <w:shd w:val="clear" w:color="auto" w:fill="D2DDE1" w:themeFill="background2"/>
            <w:noWrap/>
          </w:tcPr>
          <w:p w14:paraId="0BA18838" w14:textId="3F904891" w:rsidR="00A327C6" w:rsidRPr="00B275E2" w:rsidRDefault="00A327C6" w:rsidP="007901E7">
            <w:pPr>
              <w:pStyle w:val="TableText"/>
              <w:spacing w:before="20" w:after="20"/>
              <w:jc w:val="right"/>
              <w:rPr>
                <w:rFonts w:cs="Calibri"/>
                <w:szCs w:val="18"/>
              </w:rPr>
            </w:pPr>
            <w:r w:rsidRPr="00B275E2">
              <w:rPr>
                <w:rFonts w:cs="Calibri"/>
                <w:szCs w:val="18"/>
              </w:rPr>
              <w:t>0.186</w:t>
            </w:r>
          </w:p>
        </w:tc>
        <w:tc>
          <w:tcPr>
            <w:tcW w:w="1134" w:type="dxa"/>
            <w:shd w:val="clear" w:color="auto" w:fill="auto"/>
            <w:noWrap/>
          </w:tcPr>
          <w:p w14:paraId="4EF37242" w14:textId="3DF3874F" w:rsidR="00A327C6" w:rsidRPr="00B275E2" w:rsidRDefault="00A327C6" w:rsidP="007901E7">
            <w:pPr>
              <w:pStyle w:val="TableText"/>
              <w:spacing w:before="20" w:after="20"/>
              <w:jc w:val="right"/>
              <w:rPr>
                <w:rFonts w:cs="Calibri"/>
                <w:szCs w:val="18"/>
              </w:rPr>
            </w:pPr>
            <w:r w:rsidRPr="00B275E2">
              <w:rPr>
                <w:rFonts w:cs="Calibri"/>
                <w:szCs w:val="18"/>
              </w:rPr>
              <w:t>0.183</w:t>
            </w:r>
          </w:p>
        </w:tc>
        <w:tc>
          <w:tcPr>
            <w:tcW w:w="1134" w:type="dxa"/>
            <w:shd w:val="clear" w:color="auto" w:fill="auto"/>
            <w:noWrap/>
          </w:tcPr>
          <w:p w14:paraId="6C73245E" w14:textId="418FF78B" w:rsidR="00A327C6" w:rsidRPr="00B275E2" w:rsidRDefault="00A327C6" w:rsidP="007901E7">
            <w:pPr>
              <w:pStyle w:val="TableText"/>
              <w:spacing w:before="20" w:after="20"/>
              <w:jc w:val="right"/>
              <w:rPr>
                <w:rFonts w:cs="Calibri"/>
                <w:szCs w:val="18"/>
              </w:rPr>
            </w:pPr>
            <w:r w:rsidRPr="00B275E2">
              <w:rPr>
                <w:rFonts w:cs="Calibri"/>
                <w:szCs w:val="18"/>
              </w:rPr>
              <w:t>0.0002</w:t>
            </w:r>
          </w:p>
        </w:tc>
        <w:tc>
          <w:tcPr>
            <w:tcW w:w="1134" w:type="dxa"/>
            <w:shd w:val="clear" w:color="auto" w:fill="auto"/>
            <w:noWrap/>
          </w:tcPr>
          <w:p w14:paraId="1847148D" w14:textId="018E056E" w:rsidR="00A327C6" w:rsidRPr="00B275E2" w:rsidRDefault="00A327C6" w:rsidP="007901E7">
            <w:pPr>
              <w:pStyle w:val="TableText"/>
              <w:spacing w:before="20" w:after="20"/>
              <w:jc w:val="right"/>
              <w:rPr>
                <w:rFonts w:cs="Calibri"/>
                <w:szCs w:val="18"/>
              </w:rPr>
            </w:pPr>
            <w:r w:rsidRPr="00B275E2">
              <w:rPr>
                <w:rFonts w:cs="Calibri"/>
                <w:szCs w:val="18"/>
              </w:rPr>
              <w:t>0.003</w:t>
            </w:r>
          </w:p>
        </w:tc>
      </w:tr>
      <w:tr w:rsidR="00A327C6" w:rsidRPr="00B275E2" w14:paraId="67C8C584" w14:textId="77777777" w:rsidTr="009D1997">
        <w:tc>
          <w:tcPr>
            <w:tcW w:w="2665" w:type="dxa"/>
            <w:vMerge/>
          </w:tcPr>
          <w:p w14:paraId="663AFB01" w14:textId="77777777" w:rsidR="00A327C6" w:rsidRPr="00B275E2" w:rsidRDefault="00A327C6" w:rsidP="007901E7">
            <w:pPr>
              <w:pStyle w:val="TableText"/>
              <w:spacing w:before="20" w:after="20"/>
              <w:rPr>
                <w:rFonts w:cs="Calibri"/>
                <w:szCs w:val="18"/>
              </w:rPr>
            </w:pPr>
          </w:p>
        </w:tc>
        <w:tc>
          <w:tcPr>
            <w:tcW w:w="1390" w:type="dxa"/>
            <w:noWrap/>
          </w:tcPr>
          <w:p w14:paraId="7FBC3771" w14:textId="7564179C" w:rsidR="00A327C6" w:rsidRPr="00B275E2" w:rsidRDefault="00A327C6" w:rsidP="007901E7">
            <w:pPr>
              <w:pStyle w:val="TableText"/>
              <w:spacing w:before="20" w:after="20"/>
              <w:rPr>
                <w:rFonts w:cs="Calibri"/>
                <w:szCs w:val="18"/>
              </w:rPr>
            </w:pPr>
            <w:r w:rsidRPr="00B275E2">
              <w:rPr>
                <w:rFonts w:cs="Calibri"/>
                <w:szCs w:val="18"/>
              </w:rPr>
              <w:t>1600</w:t>
            </w:r>
            <w:r w:rsidRPr="00B275E2">
              <w:rPr>
                <w:rFonts w:cs="Calibri"/>
                <w:color w:val="000000"/>
                <w:szCs w:val="18"/>
              </w:rPr>
              <w:t xml:space="preserve"> -</w:t>
            </w:r>
            <w:r w:rsidRPr="00B275E2">
              <w:rPr>
                <w:rFonts w:cs="Calibri"/>
                <w:szCs w:val="18"/>
              </w:rPr>
              <w:t xml:space="preserve"> &lt;2000 cc</w:t>
            </w:r>
          </w:p>
        </w:tc>
        <w:tc>
          <w:tcPr>
            <w:tcW w:w="567" w:type="dxa"/>
            <w:noWrap/>
          </w:tcPr>
          <w:p w14:paraId="72A7E155" w14:textId="139AE83E" w:rsidR="00A327C6" w:rsidRPr="00B275E2" w:rsidRDefault="00A327C6" w:rsidP="007901E7">
            <w:pPr>
              <w:pStyle w:val="TableText"/>
              <w:spacing w:before="20" w:after="20"/>
              <w:rPr>
                <w:rFonts w:cs="Calibri"/>
                <w:szCs w:val="18"/>
              </w:rPr>
            </w:pPr>
            <w:r w:rsidRPr="00B275E2">
              <w:rPr>
                <w:rFonts w:cs="Calibri"/>
                <w:szCs w:val="18"/>
              </w:rPr>
              <w:t>km</w:t>
            </w:r>
          </w:p>
        </w:tc>
        <w:tc>
          <w:tcPr>
            <w:tcW w:w="1247" w:type="dxa"/>
            <w:shd w:val="clear" w:color="auto" w:fill="D2DDE1" w:themeFill="background2"/>
            <w:noWrap/>
          </w:tcPr>
          <w:p w14:paraId="2D7C80AD" w14:textId="144C983D" w:rsidR="00A327C6" w:rsidRPr="00B275E2" w:rsidRDefault="00A327C6" w:rsidP="007901E7">
            <w:pPr>
              <w:pStyle w:val="TableText"/>
              <w:spacing w:before="20" w:after="20"/>
              <w:jc w:val="right"/>
              <w:rPr>
                <w:rFonts w:cs="Calibri"/>
                <w:szCs w:val="18"/>
              </w:rPr>
            </w:pPr>
            <w:r w:rsidRPr="00B275E2">
              <w:rPr>
                <w:rFonts w:cs="Calibri"/>
                <w:szCs w:val="18"/>
              </w:rPr>
              <w:t>0.197</w:t>
            </w:r>
          </w:p>
        </w:tc>
        <w:tc>
          <w:tcPr>
            <w:tcW w:w="1134" w:type="dxa"/>
            <w:shd w:val="clear" w:color="auto" w:fill="auto"/>
            <w:noWrap/>
          </w:tcPr>
          <w:p w14:paraId="1C613DFF" w14:textId="14EF2B2A" w:rsidR="00A327C6" w:rsidRPr="00B275E2" w:rsidRDefault="00A327C6" w:rsidP="007901E7">
            <w:pPr>
              <w:pStyle w:val="TableText"/>
              <w:spacing w:before="20" w:after="20"/>
              <w:jc w:val="right"/>
              <w:rPr>
                <w:rFonts w:cs="Calibri"/>
                <w:szCs w:val="18"/>
              </w:rPr>
            </w:pPr>
            <w:r w:rsidRPr="00B275E2">
              <w:rPr>
                <w:rFonts w:cs="Calibri"/>
                <w:szCs w:val="18"/>
              </w:rPr>
              <w:t>0.194</w:t>
            </w:r>
          </w:p>
        </w:tc>
        <w:tc>
          <w:tcPr>
            <w:tcW w:w="1134" w:type="dxa"/>
            <w:shd w:val="clear" w:color="auto" w:fill="auto"/>
            <w:noWrap/>
          </w:tcPr>
          <w:p w14:paraId="59942E9C" w14:textId="5C9B2C53" w:rsidR="00A327C6" w:rsidRPr="00B275E2" w:rsidRDefault="00A327C6" w:rsidP="007901E7">
            <w:pPr>
              <w:pStyle w:val="TableText"/>
              <w:spacing w:before="20" w:after="20"/>
              <w:jc w:val="right"/>
              <w:rPr>
                <w:rFonts w:cs="Calibri"/>
                <w:szCs w:val="18"/>
              </w:rPr>
            </w:pPr>
            <w:r w:rsidRPr="00B275E2">
              <w:rPr>
                <w:rFonts w:cs="Calibri"/>
                <w:szCs w:val="18"/>
              </w:rPr>
              <w:t>0.0003</w:t>
            </w:r>
          </w:p>
        </w:tc>
        <w:tc>
          <w:tcPr>
            <w:tcW w:w="1134" w:type="dxa"/>
            <w:shd w:val="clear" w:color="auto" w:fill="auto"/>
            <w:noWrap/>
          </w:tcPr>
          <w:p w14:paraId="24CD01BF" w14:textId="527ABA0B" w:rsidR="00A327C6" w:rsidRPr="00B275E2" w:rsidRDefault="00A327C6" w:rsidP="007901E7">
            <w:pPr>
              <w:pStyle w:val="TableText"/>
              <w:spacing w:before="20" w:after="20"/>
              <w:jc w:val="right"/>
              <w:rPr>
                <w:rFonts w:cs="Calibri"/>
                <w:szCs w:val="18"/>
              </w:rPr>
            </w:pPr>
            <w:r w:rsidRPr="00B275E2">
              <w:rPr>
                <w:rFonts w:cs="Calibri"/>
                <w:szCs w:val="18"/>
              </w:rPr>
              <w:t>0.003</w:t>
            </w:r>
          </w:p>
        </w:tc>
      </w:tr>
      <w:tr w:rsidR="00A327C6" w:rsidRPr="00B275E2" w14:paraId="5209EBE9" w14:textId="77777777" w:rsidTr="009D1997">
        <w:tc>
          <w:tcPr>
            <w:tcW w:w="2665" w:type="dxa"/>
            <w:vMerge/>
          </w:tcPr>
          <w:p w14:paraId="4519B521" w14:textId="77777777" w:rsidR="00A327C6" w:rsidRPr="00B275E2" w:rsidRDefault="00A327C6" w:rsidP="007901E7">
            <w:pPr>
              <w:pStyle w:val="TableText"/>
              <w:spacing w:before="20" w:after="20"/>
              <w:rPr>
                <w:rFonts w:cs="Calibri"/>
                <w:szCs w:val="18"/>
              </w:rPr>
            </w:pPr>
          </w:p>
        </w:tc>
        <w:tc>
          <w:tcPr>
            <w:tcW w:w="1390" w:type="dxa"/>
            <w:noWrap/>
          </w:tcPr>
          <w:p w14:paraId="06467EBF" w14:textId="4E23D6F9" w:rsidR="00A327C6" w:rsidRPr="00B275E2" w:rsidRDefault="00A327C6" w:rsidP="007901E7">
            <w:pPr>
              <w:pStyle w:val="TableText"/>
              <w:spacing w:before="20" w:after="20"/>
              <w:rPr>
                <w:rFonts w:cs="Calibri"/>
                <w:szCs w:val="18"/>
              </w:rPr>
            </w:pPr>
            <w:r w:rsidRPr="00B275E2">
              <w:rPr>
                <w:rFonts w:cs="Calibri"/>
                <w:szCs w:val="18"/>
              </w:rPr>
              <w:t>2000</w:t>
            </w:r>
            <w:r w:rsidRPr="00B275E2">
              <w:rPr>
                <w:rFonts w:cs="Calibri"/>
                <w:color w:val="000000"/>
                <w:szCs w:val="18"/>
              </w:rPr>
              <w:t xml:space="preserve"> -</w:t>
            </w:r>
            <w:r w:rsidRPr="00B275E2">
              <w:rPr>
                <w:rFonts w:cs="Calibri"/>
                <w:szCs w:val="18"/>
              </w:rPr>
              <w:t xml:space="preserve"> &lt;3000 cc</w:t>
            </w:r>
          </w:p>
        </w:tc>
        <w:tc>
          <w:tcPr>
            <w:tcW w:w="567" w:type="dxa"/>
            <w:noWrap/>
          </w:tcPr>
          <w:p w14:paraId="59790B00" w14:textId="610C72B9" w:rsidR="00A327C6" w:rsidRPr="00B275E2" w:rsidRDefault="00A327C6" w:rsidP="007901E7">
            <w:pPr>
              <w:pStyle w:val="TableText"/>
              <w:spacing w:before="20" w:after="20"/>
              <w:rPr>
                <w:rFonts w:cs="Calibri"/>
                <w:szCs w:val="18"/>
              </w:rPr>
            </w:pPr>
            <w:r w:rsidRPr="00B275E2">
              <w:rPr>
                <w:rFonts w:cs="Calibri"/>
                <w:szCs w:val="18"/>
              </w:rPr>
              <w:t>km</w:t>
            </w:r>
          </w:p>
        </w:tc>
        <w:tc>
          <w:tcPr>
            <w:tcW w:w="1247" w:type="dxa"/>
            <w:shd w:val="clear" w:color="auto" w:fill="D2DDE1" w:themeFill="background2"/>
            <w:noWrap/>
          </w:tcPr>
          <w:p w14:paraId="13A7DFE3" w14:textId="3860E2C7" w:rsidR="00A327C6" w:rsidRPr="00B275E2" w:rsidRDefault="00A327C6" w:rsidP="007901E7">
            <w:pPr>
              <w:pStyle w:val="TableText"/>
              <w:spacing w:before="20" w:after="20"/>
              <w:jc w:val="right"/>
              <w:rPr>
                <w:rFonts w:cs="Calibri"/>
                <w:szCs w:val="18"/>
              </w:rPr>
            </w:pPr>
            <w:r w:rsidRPr="00B275E2">
              <w:rPr>
                <w:rFonts w:cs="Calibri"/>
                <w:szCs w:val="18"/>
              </w:rPr>
              <w:t>0.242</w:t>
            </w:r>
          </w:p>
        </w:tc>
        <w:tc>
          <w:tcPr>
            <w:tcW w:w="1134" w:type="dxa"/>
            <w:shd w:val="clear" w:color="auto" w:fill="auto"/>
            <w:noWrap/>
          </w:tcPr>
          <w:p w14:paraId="2A44B59F" w14:textId="396A47FD" w:rsidR="00A327C6" w:rsidRPr="00B275E2" w:rsidRDefault="00A327C6" w:rsidP="007901E7">
            <w:pPr>
              <w:pStyle w:val="TableText"/>
              <w:spacing w:before="20" w:after="20"/>
              <w:jc w:val="right"/>
              <w:rPr>
                <w:rFonts w:cs="Calibri"/>
                <w:szCs w:val="18"/>
              </w:rPr>
            </w:pPr>
            <w:r w:rsidRPr="00B275E2">
              <w:rPr>
                <w:rFonts w:cs="Calibri"/>
                <w:szCs w:val="18"/>
              </w:rPr>
              <w:t>0.238</w:t>
            </w:r>
          </w:p>
        </w:tc>
        <w:tc>
          <w:tcPr>
            <w:tcW w:w="1134" w:type="dxa"/>
            <w:shd w:val="clear" w:color="auto" w:fill="auto"/>
            <w:noWrap/>
          </w:tcPr>
          <w:p w14:paraId="28F86A68" w14:textId="07864327" w:rsidR="00A327C6" w:rsidRPr="00B275E2" w:rsidRDefault="00A327C6" w:rsidP="007901E7">
            <w:pPr>
              <w:pStyle w:val="TableText"/>
              <w:spacing w:before="20" w:after="20"/>
              <w:jc w:val="right"/>
              <w:rPr>
                <w:rFonts w:cs="Calibri"/>
                <w:szCs w:val="18"/>
              </w:rPr>
            </w:pPr>
            <w:r w:rsidRPr="00B275E2">
              <w:rPr>
                <w:rFonts w:cs="Calibri"/>
                <w:szCs w:val="18"/>
              </w:rPr>
              <w:t>0.0003</w:t>
            </w:r>
          </w:p>
        </w:tc>
        <w:tc>
          <w:tcPr>
            <w:tcW w:w="1134" w:type="dxa"/>
            <w:shd w:val="clear" w:color="auto" w:fill="auto"/>
            <w:noWrap/>
          </w:tcPr>
          <w:p w14:paraId="5D16E2DC" w14:textId="36996349" w:rsidR="00A327C6" w:rsidRPr="00B275E2" w:rsidRDefault="00A327C6" w:rsidP="007901E7">
            <w:pPr>
              <w:pStyle w:val="TableText"/>
              <w:spacing w:before="20" w:after="20"/>
              <w:jc w:val="right"/>
              <w:rPr>
                <w:rFonts w:cs="Calibri"/>
                <w:szCs w:val="18"/>
              </w:rPr>
            </w:pPr>
            <w:r w:rsidRPr="00B275E2">
              <w:rPr>
                <w:rFonts w:cs="Calibri"/>
                <w:szCs w:val="18"/>
              </w:rPr>
              <w:t>0.004</w:t>
            </w:r>
          </w:p>
        </w:tc>
      </w:tr>
      <w:tr w:rsidR="00A327C6" w:rsidRPr="00B275E2" w14:paraId="390106E0" w14:textId="77777777" w:rsidTr="009D1997">
        <w:tc>
          <w:tcPr>
            <w:tcW w:w="2665" w:type="dxa"/>
            <w:vMerge/>
          </w:tcPr>
          <w:p w14:paraId="72A4249A" w14:textId="77777777" w:rsidR="00A327C6" w:rsidRPr="00B275E2" w:rsidRDefault="00A327C6" w:rsidP="007901E7">
            <w:pPr>
              <w:pStyle w:val="TableText"/>
              <w:spacing w:before="20" w:after="20"/>
              <w:rPr>
                <w:rFonts w:cs="Calibri"/>
                <w:szCs w:val="18"/>
              </w:rPr>
            </w:pPr>
          </w:p>
        </w:tc>
        <w:tc>
          <w:tcPr>
            <w:tcW w:w="1390" w:type="dxa"/>
            <w:noWrap/>
          </w:tcPr>
          <w:p w14:paraId="1E1D205C" w14:textId="613E0079" w:rsidR="00A327C6" w:rsidRPr="00B275E2" w:rsidRDefault="00A327C6" w:rsidP="007901E7">
            <w:pPr>
              <w:pStyle w:val="TableText"/>
              <w:spacing w:before="20" w:after="20"/>
              <w:rPr>
                <w:rFonts w:cs="Calibri"/>
                <w:szCs w:val="18"/>
              </w:rPr>
            </w:pPr>
            <w:r w:rsidRPr="00B275E2">
              <w:rPr>
                <w:rFonts w:cs="Calibri"/>
                <w:szCs w:val="18"/>
              </w:rPr>
              <w:t>≥3000 cc</w:t>
            </w:r>
          </w:p>
        </w:tc>
        <w:tc>
          <w:tcPr>
            <w:tcW w:w="567" w:type="dxa"/>
            <w:noWrap/>
          </w:tcPr>
          <w:p w14:paraId="5E6F1900" w14:textId="4264E0E4" w:rsidR="00A327C6" w:rsidRPr="00B275E2" w:rsidRDefault="00A327C6" w:rsidP="007901E7">
            <w:pPr>
              <w:pStyle w:val="TableText"/>
              <w:spacing w:before="20" w:after="20"/>
              <w:rPr>
                <w:rFonts w:cs="Calibri"/>
                <w:szCs w:val="18"/>
              </w:rPr>
            </w:pPr>
            <w:r w:rsidRPr="00B275E2">
              <w:rPr>
                <w:rFonts w:cs="Calibri"/>
                <w:szCs w:val="18"/>
              </w:rPr>
              <w:t>km</w:t>
            </w:r>
          </w:p>
        </w:tc>
        <w:tc>
          <w:tcPr>
            <w:tcW w:w="1247" w:type="dxa"/>
            <w:shd w:val="clear" w:color="auto" w:fill="D2DDE1" w:themeFill="background2"/>
            <w:noWrap/>
          </w:tcPr>
          <w:p w14:paraId="671EFBF3" w14:textId="74913478" w:rsidR="00A327C6" w:rsidRPr="00B275E2" w:rsidRDefault="00A327C6" w:rsidP="007901E7">
            <w:pPr>
              <w:pStyle w:val="TableText"/>
              <w:spacing w:before="20" w:after="20"/>
              <w:jc w:val="right"/>
              <w:rPr>
                <w:rFonts w:cs="Calibri"/>
                <w:szCs w:val="18"/>
              </w:rPr>
            </w:pPr>
            <w:r w:rsidRPr="00B275E2">
              <w:rPr>
                <w:rFonts w:cs="Calibri"/>
                <w:szCs w:val="18"/>
              </w:rPr>
              <w:t>0.269</w:t>
            </w:r>
          </w:p>
        </w:tc>
        <w:tc>
          <w:tcPr>
            <w:tcW w:w="1134" w:type="dxa"/>
            <w:shd w:val="clear" w:color="auto" w:fill="auto"/>
            <w:noWrap/>
          </w:tcPr>
          <w:p w14:paraId="2AB48926" w14:textId="13F7A827" w:rsidR="00A327C6" w:rsidRPr="00B275E2" w:rsidRDefault="00A327C6" w:rsidP="007901E7">
            <w:pPr>
              <w:pStyle w:val="TableText"/>
              <w:spacing w:before="20" w:after="20"/>
              <w:jc w:val="right"/>
              <w:rPr>
                <w:rFonts w:cs="Calibri"/>
                <w:szCs w:val="18"/>
              </w:rPr>
            </w:pPr>
            <w:r w:rsidRPr="00B275E2">
              <w:rPr>
                <w:rFonts w:cs="Calibri"/>
                <w:szCs w:val="18"/>
              </w:rPr>
              <w:t>0.264</w:t>
            </w:r>
          </w:p>
        </w:tc>
        <w:tc>
          <w:tcPr>
            <w:tcW w:w="1134" w:type="dxa"/>
            <w:shd w:val="clear" w:color="auto" w:fill="auto"/>
            <w:noWrap/>
          </w:tcPr>
          <w:p w14:paraId="6AFE318C" w14:textId="0F664DF4" w:rsidR="00A327C6" w:rsidRPr="00B275E2" w:rsidRDefault="00A327C6" w:rsidP="007901E7">
            <w:pPr>
              <w:pStyle w:val="TableText"/>
              <w:spacing w:before="20" w:after="20"/>
              <w:jc w:val="right"/>
              <w:rPr>
                <w:rFonts w:cs="Calibri"/>
                <w:szCs w:val="18"/>
              </w:rPr>
            </w:pPr>
            <w:r w:rsidRPr="00B275E2">
              <w:rPr>
                <w:rFonts w:cs="Calibri"/>
                <w:szCs w:val="18"/>
              </w:rPr>
              <w:t>0.0004</w:t>
            </w:r>
          </w:p>
        </w:tc>
        <w:tc>
          <w:tcPr>
            <w:tcW w:w="1134" w:type="dxa"/>
            <w:shd w:val="clear" w:color="auto" w:fill="auto"/>
            <w:noWrap/>
          </w:tcPr>
          <w:p w14:paraId="34BFB149" w14:textId="5CE5AD62" w:rsidR="00A327C6" w:rsidRPr="00B275E2" w:rsidRDefault="00A327C6" w:rsidP="007901E7">
            <w:pPr>
              <w:pStyle w:val="TableText"/>
              <w:spacing w:before="20" w:after="20"/>
              <w:jc w:val="right"/>
              <w:rPr>
                <w:rFonts w:cs="Calibri"/>
                <w:szCs w:val="18"/>
              </w:rPr>
            </w:pPr>
            <w:r w:rsidRPr="00B275E2">
              <w:rPr>
                <w:rFonts w:cs="Calibri"/>
                <w:szCs w:val="18"/>
              </w:rPr>
              <w:t>0.004</w:t>
            </w:r>
          </w:p>
        </w:tc>
      </w:tr>
      <w:tr w:rsidR="00553333" w:rsidRPr="00B275E2" w14:paraId="65091B3A" w14:textId="77777777" w:rsidTr="009D1997">
        <w:tc>
          <w:tcPr>
            <w:tcW w:w="2665" w:type="dxa"/>
            <w:vMerge w:val="restart"/>
          </w:tcPr>
          <w:p w14:paraId="65091B33" w14:textId="77777777" w:rsidR="00553333" w:rsidRPr="00B275E2" w:rsidRDefault="00553333" w:rsidP="007901E7">
            <w:pPr>
              <w:pStyle w:val="TableText"/>
              <w:spacing w:before="20" w:after="20"/>
              <w:rPr>
                <w:rFonts w:cs="Calibri"/>
                <w:szCs w:val="18"/>
              </w:rPr>
            </w:pPr>
            <w:r w:rsidRPr="00B275E2">
              <w:rPr>
                <w:rFonts w:cs="Calibri"/>
                <w:szCs w:val="18"/>
              </w:rPr>
              <w:t>Motorcycle</w:t>
            </w:r>
          </w:p>
        </w:tc>
        <w:tc>
          <w:tcPr>
            <w:tcW w:w="1390" w:type="dxa"/>
            <w:noWrap/>
          </w:tcPr>
          <w:p w14:paraId="65091B34" w14:textId="77777777" w:rsidR="00553333" w:rsidRPr="00B275E2" w:rsidRDefault="00553333" w:rsidP="007901E7">
            <w:pPr>
              <w:pStyle w:val="TableText"/>
              <w:spacing w:before="20" w:after="20"/>
              <w:rPr>
                <w:rFonts w:cs="Calibri"/>
                <w:szCs w:val="18"/>
              </w:rPr>
            </w:pPr>
            <w:r w:rsidRPr="00B275E2">
              <w:rPr>
                <w:rFonts w:cs="Calibri"/>
                <w:szCs w:val="18"/>
              </w:rPr>
              <w:t>&lt;60cc, petrol</w:t>
            </w:r>
          </w:p>
        </w:tc>
        <w:tc>
          <w:tcPr>
            <w:tcW w:w="567" w:type="dxa"/>
            <w:noWrap/>
          </w:tcPr>
          <w:p w14:paraId="65091B35" w14:textId="77777777" w:rsidR="00553333" w:rsidRPr="00B275E2" w:rsidRDefault="00553333" w:rsidP="007901E7">
            <w:pPr>
              <w:pStyle w:val="TableText"/>
              <w:spacing w:before="20" w:after="20"/>
              <w:rPr>
                <w:rFonts w:cs="Calibri"/>
                <w:szCs w:val="18"/>
              </w:rPr>
            </w:pPr>
            <w:r w:rsidRPr="00B275E2">
              <w:rPr>
                <w:rFonts w:cs="Calibri"/>
                <w:szCs w:val="18"/>
              </w:rPr>
              <w:t>km</w:t>
            </w:r>
          </w:p>
        </w:tc>
        <w:tc>
          <w:tcPr>
            <w:tcW w:w="1247" w:type="dxa"/>
            <w:shd w:val="clear" w:color="auto" w:fill="D2DDE1" w:themeFill="background2"/>
            <w:noWrap/>
          </w:tcPr>
          <w:p w14:paraId="65091B36" w14:textId="3C89DE15" w:rsidR="00553333" w:rsidRPr="00B275E2" w:rsidRDefault="00553333" w:rsidP="007901E7">
            <w:pPr>
              <w:pStyle w:val="TableText"/>
              <w:spacing w:before="20" w:after="20"/>
              <w:jc w:val="right"/>
              <w:rPr>
                <w:rFonts w:cs="Calibri"/>
                <w:szCs w:val="18"/>
              </w:rPr>
            </w:pPr>
            <w:r w:rsidRPr="00B275E2">
              <w:rPr>
                <w:rFonts w:cs="Calibri"/>
                <w:szCs w:val="18"/>
              </w:rPr>
              <w:t>0.066</w:t>
            </w:r>
          </w:p>
        </w:tc>
        <w:tc>
          <w:tcPr>
            <w:tcW w:w="1134" w:type="dxa"/>
            <w:shd w:val="clear" w:color="auto" w:fill="auto"/>
            <w:noWrap/>
          </w:tcPr>
          <w:p w14:paraId="65091B37" w14:textId="4315FC75" w:rsidR="00553333" w:rsidRPr="00B275E2" w:rsidRDefault="00553333" w:rsidP="007901E7">
            <w:pPr>
              <w:pStyle w:val="TableText"/>
              <w:spacing w:before="20" w:after="20"/>
              <w:jc w:val="right"/>
              <w:rPr>
                <w:rFonts w:cs="Calibri"/>
                <w:szCs w:val="18"/>
              </w:rPr>
            </w:pPr>
            <w:r w:rsidRPr="00B275E2">
              <w:rPr>
                <w:rFonts w:cs="Calibri"/>
                <w:szCs w:val="18"/>
              </w:rPr>
              <w:t>0.063</w:t>
            </w:r>
          </w:p>
        </w:tc>
        <w:tc>
          <w:tcPr>
            <w:tcW w:w="1134" w:type="dxa"/>
            <w:shd w:val="clear" w:color="auto" w:fill="auto"/>
            <w:noWrap/>
          </w:tcPr>
          <w:p w14:paraId="65091B38" w14:textId="600799C8" w:rsidR="00553333" w:rsidRPr="00B275E2" w:rsidRDefault="00553333" w:rsidP="007901E7">
            <w:pPr>
              <w:pStyle w:val="TableText"/>
              <w:spacing w:before="20" w:after="20"/>
              <w:jc w:val="right"/>
              <w:rPr>
                <w:rFonts w:cs="Calibri"/>
                <w:szCs w:val="18"/>
              </w:rPr>
            </w:pPr>
            <w:r w:rsidRPr="00B275E2">
              <w:rPr>
                <w:rFonts w:cs="Calibri"/>
                <w:szCs w:val="18"/>
              </w:rPr>
              <w:t>0.001</w:t>
            </w:r>
          </w:p>
        </w:tc>
        <w:tc>
          <w:tcPr>
            <w:tcW w:w="1134" w:type="dxa"/>
            <w:shd w:val="clear" w:color="auto" w:fill="auto"/>
            <w:noWrap/>
          </w:tcPr>
          <w:p w14:paraId="65091B39" w14:textId="7FC5EDC9" w:rsidR="00553333" w:rsidRPr="00B275E2" w:rsidRDefault="00553333" w:rsidP="007901E7">
            <w:pPr>
              <w:pStyle w:val="TableText"/>
              <w:spacing w:before="20" w:after="20"/>
              <w:jc w:val="right"/>
              <w:rPr>
                <w:rFonts w:cs="Calibri"/>
                <w:szCs w:val="18"/>
              </w:rPr>
            </w:pPr>
            <w:r w:rsidRPr="00B275E2">
              <w:rPr>
                <w:rFonts w:cs="Calibri"/>
                <w:szCs w:val="18"/>
              </w:rPr>
              <w:t>0.002</w:t>
            </w:r>
          </w:p>
        </w:tc>
      </w:tr>
      <w:tr w:rsidR="00553333" w:rsidRPr="00B275E2" w14:paraId="65091B42" w14:textId="77777777" w:rsidTr="009D1997">
        <w:tc>
          <w:tcPr>
            <w:tcW w:w="2665" w:type="dxa"/>
            <w:vMerge/>
          </w:tcPr>
          <w:p w14:paraId="65091B3B" w14:textId="77777777" w:rsidR="00553333" w:rsidRPr="00B275E2" w:rsidRDefault="00553333" w:rsidP="007901E7">
            <w:pPr>
              <w:pStyle w:val="TableText"/>
              <w:spacing w:before="20" w:after="20"/>
              <w:rPr>
                <w:rFonts w:cs="Calibri"/>
                <w:szCs w:val="18"/>
              </w:rPr>
            </w:pPr>
          </w:p>
        </w:tc>
        <w:tc>
          <w:tcPr>
            <w:tcW w:w="1390" w:type="dxa"/>
            <w:noWrap/>
          </w:tcPr>
          <w:p w14:paraId="65091B3C" w14:textId="77777777" w:rsidR="00553333" w:rsidRPr="00B275E2" w:rsidRDefault="00553333" w:rsidP="007901E7">
            <w:pPr>
              <w:pStyle w:val="TableText"/>
              <w:spacing w:before="20" w:after="20"/>
              <w:rPr>
                <w:rFonts w:cs="Calibri"/>
                <w:szCs w:val="18"/>
              </w:rPr>
            </w:pPr>
            <w:r w:rsidRPr="00B275E2">
              <w:rPr>
                <w:rFonts w:cs="Calibri"/>
                <w:szCs w:val="18"/>
              </w:rPr>
              <w:t>≥60 cc, petrol</w:t>
            </w:r>
          </w:p>
        </w:tc>
        <w:tc>
          <w:tcPr>
            <w:tcW w:w="567" w:type="dxa"/>
            <w:noWrap/>
          </w:tcPr>
          <w:p w14:paraId="65091B3D" w14:textId="77777777" w:rsidR="00553333" w:rsidRPr="00B275E2" w:rsidRDefault="00553333" w:rsidP="007901E7">
            <w:pPr>
              <w:pStyle w:val="TableText"/>
              <w:spacing w:before="20" w:after="20"/>
              <w:rPr>
                <w:rFonts w:cs="Calibri"/>
                <w:szCs w:val="18"/>
              </w:rPr>
            </w:pPr>
            <w:r w:rsidRPr="00B275E2">
              <w:rPr>
                <w:rFonts w:cs="Calibri"/>
                <w:szCs w:val="18"/>
              </w:rPr>
              <w:t>km</w:t>
            </w:r>
          </w:p>
        </w:tc>
        <w:tc>
          <w:tcPr>
            <w:tcW w:w="1247" w:type="dxa"/>
            <w:shd w:val="clear" w:color="auto" w:fill="D2DDE1" w:themeFill="background2"/>
            <w:noWrap/>
          </w:tcPr>
          <w:p w14:paraId="65091B3E" w14:textId="24F63D40" w:rsidR="00553333" w:rsidRPr="00B275E2" w:rsidRDefault="00553333" w:rsidP="007901E7">
            <w:pPr>
              <w:pStyle w:val="TableText"/>
              <w:spacing w:before="20" w:after="20"/>
              <w:jc w:val="right"/>
              <w:rPr>
                <w:rFonts w:cs="Calibri"/>
                <w:szCs w:val="18"/>
              </w:rPr>
            </w:pPr>
            <w:r w:rsidRPr="00B275E2">
              <w:rPr>
                <w:rFonts w:cs="Calibri"/>
                <w:szCs w:val="18"/>
              </w:rPr>
              <w:t>0.131</w:t>
            </w:r>
          </w:p>
        </w:tc>
        <w:tc>
          <w:tcPr>
            <w:tcW w:w="1134" w:type="dxa"/>
            <w:shd w:val="clear" w:color="auto" w:fill="auto"/>
            <w:noWrap/>
          </w:tcPr>
          <w:p w14:paraId="65091B3F" w14:textId="1756F8D2" w:rsidR="00553333" w:rsidRPr="00B275E2" w:rsidRDefault="00553333" w:rsidP="007901E7">
            <w:pPr>
              <w:pStyle w:val="TableText"/>
              <w:spacing w:before="20" w:after="20"/>
              <w:jc w:val="right"/>
              <w:rPr>
                <w:rFonts w:cs="Calibri"/>
                <w:szCs w:val="18"/>
              </w:rPr>
            </w:pPr>
            <w:r w:rsidRPr="00B275E2">
              <w:rPr>
                <w:rFonts w:cs="Calibri"/>
                <w:szCs w:val="18"/>
              </w:rPr>
              <w:t>0.126</w:t>
            </w:r>
          </w:p>
        </w:tc>
        <w:tc>
          <w:tcPr>
            <w:tcW w:w="1134" w:type="dxa"/>
            <w:shd w:val="clear" w:color="auto" w:fill="auto"/>
            <w:noWrap/>
          </w:tcPr>
          <w:p w14:paraId="65091B40" w14:textId="184EEF82" w:rsidR="00553333" w:rsidRPr="00B275E2" w:rsidRDefault="00553333" w:rsidP="007901E7">
            <w:pPr>
              <w:pStyle w:val="TableText"/>
              <w:spacing w:before="20" w:after="20"/>
              <w:jc w:val="right"/>
              <w:rPr>
                <w:rFonts w:cs="Calibri"/>
                <w:szCs w:val="18"/>
              </w:rPr>
            </w:pPr>
            <w:r w:rsidRPr="00B275E2">
              <w:rPr>
                <w:rFonts w:cs="Calibri"/>
                <w:szCs w:val="18"/>
              </w:rPr>
              <w:t>0.001</w:t>
            </w:r>
          </w:p>
        </w:tc>
        <w:tc>
          <w:tcPr>
            <w:tcW w:w="1134" w:type="dxa"/>
            <w:shd w:val="clear" w:color="auto" w:fill="auto"/>
            <w:noWrap/>
          </w:tcPr>
          <w:p w14:paraId="65091B41" w14:textId="6BFC1255" w:rsidR="00553333" w:rsidRPr="00B275E2" w:rsidRDefault="00553333" w:rsidP="007901E7">
            <w:pPr>
              <w:pStyle w:val="TableText"/>
              <w:spacing w:before="20" w:after="20"/>
              <w:jc w:val="right"/>
              <w:rPr>
                <w:rFonts w:cs="Calibri"/>
                <w:szCs w:val="18"/>
              </w:rPr>
            </w:pPr>
            <w:r w:rsidRPr="00B275E2">
              <w:rPr>
                <w:rFonts w:cs="Calibri"/>
                <w:szCs w:val="18"/>
              </w:rPr>
              <w:t>0.004</w:t>
            </w:r>
          </w:p>
        </w:tc>
      </w:tr>
    </w:tbl>
    <w:p w14:paraId="66DDD900" w14:textId="62B2A764" w:rsidR="00797519" w:rsidRPr="00B275E2" w:rsidRDefault="007C42DD" w:rsidP="007901E7">
      <w:pPr>
        <w:pStyle w:val="Note"/>
        <w:spacing w:before="80"/>
      </w:pPr>
      <w:bookmarkStart w:id="320" w:name="_Hlk532813947"/>
      <w:bookmarkStart w:id="321" w:name="_Ref529837366"/>
      <w:r w:rsidRPr="00B275E2">
        <w:t>Note</w:t>
      </w:r>
      <w:r w:rsidR="003438E6" w:rsidRPr="00B275E2">
        <w:t>:</w:t>
      </w:r>
      <w:r w:rsidRPr="00B275E2">
        <w:t xml:space="preserve"> </w:t>
      </w:r>
      <w:r w:rsidR="003438E6" w:rsidRPr="00B275E2">
        <w:t xml:space="preserve">These </w:t>
      </w:r>
      <w:r w:rsidRPr="00B275E2">
        <w:t xml:space="preserve">numbers are rounded to three decimal places unless the number </w:t>
      </w:r>
      <w:r w:rsidR="00BA31FD" w:rsidRPr="00B275E2">
        <w:t>is significantly small</w:t>
      </w:r>
      <w:r w:rsidRPr="00B275E2">
        <w:t>.</w:t>
      </w:r>
      <w:r w:rsidR="008B3986" w:rsidRPr="00B275E2">
        <w:t xml:space="preserve"> </w:t>
      </w:r>
      <w:bookmarkEnd w:id="320"/>
    </w:p>
    <w:p w14:paraId="65091B44" w14:textId="20D12008" w:rsidR="00046AC8" w:rsidRPr="00B275E2" w:rsidRDefault="004837A7" w:rsidP="00757391">
      <w:pPr>
        <w:pStyle w:val="Tableheading"/>
      </w:pPr>
      <w:bookmarkStart w:id="322" w:name="_Ref55221082"/>
      <w:bookmarkStart w:id="323" w:name="table17"/>
      <w:bookmarkStart w:id="324" w:name="_Ref612393"/>
      <w:bookmarkStart w:id="325" w:name="_Toc111536623"/>
      <w:r w:rsidRPr="00B275E2">
        <w:lastRenderedPageBreak/>
        <w:t xml:space="preserve">Table </w:t>
      </w:r>
      <w:r w:rsidRPr="00B275E2">
        <w:fldChar w:fldCharType="begin"/>
      </w:r>
      <w:r w:rsidRPr="00B275E2">
        <w:instrText>SEQ Table \* ARABIC</w:instrText>
      </w:r>
      <w:r w:rsidRPr="00B275E2">
        <w:fldChar w:fldCharType="separate"/>
      </w:r>
      <w:r w:rsidR="003E141C" w:rsidRPr="00B275E2">
        <w:t>18</w:t>
      </w:r>
      <w:r w:rsidRPr="00B275E2">
        <w:fldChar w:fldCharType="end"/>
      </w:r>
      <w:bookmarkEnd w:id="322"/>
      <w:bookmarkEnd w:id="323"/>
      <w:r w:rsidRPr="00B275E2">
        <w:t>:</w:t>
      </w:r>
      <w:r w:rsidR="00D61811" w:rsidRPr="00B275E2">
        <w:tab/>
      </w:r>
      <w:r w:rsidRPr="00B275E2">
        <w:t>2010–2015 vehicle fleet emission factors per km travelled</w:t>
      </w:r>
      <w:bookmarkEnd w:id="321"/>
      <w:bookmarkEnd w:id="324"/>
      <w:bookmarkEnd w:id="325"/>
    </w:p>
    <w:tbl>
      <w:tblPr>
        <w:tblStyle w:val="TableGrid"/>
        <w:tblW w:w="8505" w:type="dxa"/>
        <w:tblInd w:w="20"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ayout w:type="fixed"/>
        <w:tblLook w:val="04A0" w:firstRow="1" w:lastRow="0" w:firstColumn="1" w:lastColumn="0" w:noHBand="0" w:noVBand="1"/>
      </w:tblPr>
      <w:tblGrid>
        <w:gridCol w:w="1657"/>
        <w:gridCol w:w="1543"/>
        <w:gridCol w:w="610"/>
        <w:gridCol w:w="1281"/>
        <w:gridCol w:w="1158"/>
        <w:gridCol w:w="1098"/>
        <w:gridCol w:w="1158"/>
      </w:tblGrid>
      <w:tr w:rsidR="007901E7" w:rsidRPr="00B275E2" w14:paraId="65091B4B" w14:textId="77777777" w:rsidTr="007901E7">
        <w:trPr>
          <w:trHeight w:val="360"/>
          <w:tblHeader/>
        </w:trPr>
        <w:tc>
          <w:tcPr>
            <w:tcW w:w="2974" w:type="dxa"/>
            <w:gridSpan w:val="2"/>
            <w:shd w:val="clear" w:color="auto" w:fill="1B556B"/>
            <w:noWrap/>
            <w:vAlign w:val="bottom"/>
            <w:hideMark/>
          </w:tcPr>
          <w:p w14:paraId="65091B45" w14:textId="77777777" w:rsidR="00C75A3C" w:rsidRPr="00B275E2" w:rsidRDefault="00C75A3C" w:rsidP="007901E7">
            <w:pPr>
              <w:pStyle w:val="TableText"/>
              <w:spacing w:before="30" w:after="30"/>
              <w:rPr>
                <w:b/>
                <w:color w:val="FFFFFF" w:themeColor="background1"/>
                <w:szCs w:val="18"/>
              </w:rPr>
            </w:pPr>
            <w:r w:rsidRPr="00B275E2">
              <w:rPr>
                <w:b/>
                <w:color w:val="FFFFFF" w:themeColor="background1"/>
                <w:szCs w:val="18"/>
              </w:rPr>
              <w:t>Emission source</w:t>
            </w:r>
          </w:p>
        </w:tc>
        <w:tc>
          <w:tcPr>
            <w:tcW w:w="567" w:type="dxa"/>
            <w:shd w:val="clear" w:color="auto" w:fill="1B556B"/>
            <w:noWrap/>
            <w:vAlign w:val="bottom"/>
            <w:hideMark/>
          </w:tcPr>
          <w:p w14:paraId="65091B46" w14:textId="77777777" w:rsidR="00C75A3C" w:rsidRPr="00B275E2" w:rsidRDefault="00C75A3C" w:rsidP="007901E7">
            <w:pPr>
              <w:pStyle w:val="TableText"/>
              <w:spacing w:before="30" w:after="30"/>
              <w:rPr>
                <w:b/>
                <w:color w:val="FFFFFF" w:themeColor="background1"/>
                <w:szCs w:val="18"/>
              </w:rPr>
            </w:pPr>
            <w:r w:rsidRPr="00B275E2">
              <w:rPr>
                <w:b/>
                <w:color w:val="FFFFFF" w:themeColor="background1"/>
                <w:szCs w:val="18"/>
              </w:rPr>
              <w:t>Unit</w:t>
            </w:r>
          </w:p>
        </w:tc>
        <w:tc>
          <w:tcPr>
            <w:tcW w:w="1191" w:type="dxa"/>
            <w:shd w:val="clear" w:color="auto" w:fill="D2DDE1" w:themeFill="background2"/>
            <w:noWrap/>
            <w:vAlign w:val="bottom"/>
            <w:hideMark/>
          </w:tcPr>
          <w:p w14:paraId="65091B47" w14:textId="49FE695D" w:rsidR="00C75A3C" w:rsidRPr="00B275E2" w:rsidRDefault="00C75A3C" w:rsidP="007901E7">
            <w:pPr>
              <w:pStyle w:val="TableText"/>
              <w:spacing w:before="30" w:after="30"/>
              <w:jc w:val="right"/>
              <w:rPr>
                <w:b/>
                <w:szCs w:val="18"/>
              </w:rPr>
            </w:pPr>
            <w:r w:rsidRPr="00B275E2">
              <w:rPr>
                <w:b/>
                <w:szCs w:val="18"/>
              </w:rPr>
              <w:t>kg CO</w:t>
            </w:r>
            <w:r w:rsidRPr="00B275E2">
              <w:rPr>
                <w:b/>
                <w:szCs w:val="18"/>
                <w:vertAlign w:val="subscript"/>
              </w:rPr>
              <w:t>2</w:t>
            </w:r>
            <w:r w:rsidR="001D6D8E" w:rsidRPr="00B275E2">
              <w:rPr>
                <w:b/>
                <w:szCs w:val="18"/>
              </w:rPr>
              <w:noBreakHyphen/>
            </w:r>
            <w:r w:rsidRPr="00B275E2">
              <w:rPr>
                <w:b/>
                <w:szCs w:val="18"/>
              </w:rPr>
              <w:t>e/unit</w:t>
            </w:r>
          </w:p>
        </w:tc>
        <w:tc>
          <w:tcPr>
            <w:tcW w:w="1077" w:type="dxa"/>
            <w:shd w:val="clear" w:color="auto" w:fill="1B556B"/>
            <w:noWrap/>
            <w:vAlign w:val="bottom"/>
            <w:hideMark/>
          </w:tcPr>
          <w:p w14:paraId="65091B48" w14:textId="4D97E225" w:rsidR="001D6D8E" w:rsidRPr="00B275E2" w:rsidRDefault="00C75A3C" w:rsidP="007901E7">
            <w:pPr>
              <w:pStyle w:val="TableText"/>
              <w:spacing w:before="30" w:after="30"/>
              <w:jc w:val="right"/>
              <w:rPr>
                <w:b/>
                <w:color w:val="FFFFFF" w:themeColor="background1"/>
                <w:szCs w:val="18"/>
              </w:rPr>
            </w:pPr>
            <w:r w:rsidRPr="00B275E2">
              <w:rPr>
                <w:b/>
                <w:color w:val="FFFFFF" w:themeColor="background1"/>
                <w:szCs w:val="18"/>
              </w:rPr>
              <w:t>kg CO</w:t>
            </w:r>
            <w:r w:rsidRPr="00B275E2">
              <w:rPr>
                <w:b/>
                <w:color w:val="FFFFFF" w:themeColor="background1"/>
                <w:szCs w:val="18"/>
                <w:vertAlign w:val="subscript"/>
              </w:rPr>
              <w:t>2</w:t>
            </w:r>
            <w:r w:rsidR="00AC7B27" w:rsidRPr="00B275E2">
              <w:rPr>
                <w:b/>
                <w:color w:val="FFFFFF" w:themeColor="background1"/>
                <w:szCs w:val="18"/>
              </w:rPr>
              <w:t>/unit</w:t>
            </w:r>
            <w:r w:rsidR="00CC5E73" w:rsidRPr="00B275E2">
              <w:rPr>
                <w:b/>
                <w:color w:val="FFFFFF" w:themeColor="background1"/>
                <w:szCs w:val="18"/>
              </w:rPr>
              <w:t xml:space="preserve"> </w:t>
            </w:r>
            <w:r w:rsidR="00141B6F" w:rsidRPr="00B275E2">
              <w:rPr>
                <w:b/>
                <w:bCs/>
                <w:color w:val="FFFFFF" w:themeColor="background1"/>
                <w:szCs w:val="18"/>
              </w:rPr>
              <w:t>(kg</w:t>
            </w:r>
            <w:r w:rsidR="00CC5E73" w:rsidRPr="00B275E2">
              <w:rPr>
                <w:b/>
                <w:bCs/>
                <w:color w:val="FFFFFF" w:themeColor="background1"/>
                <w:szCs w:val="18"/>
              </w:rPr>
              <w:t> </w:t>
            </w:r>
            <w:r w:rsidR="00141B6F" w:rsidRPr="00B275E2">
              <w:rPr>
                <w:b/>
                <w:bCs/>
                <w:color w:val="FFFFFF" w:themeColor="background1"/>
                <w:szCs w:val="18"/>
              </w:rPr>
              <w:t>CO</w:t>
            </w:r>
            <w:r w:rsidR="00141B6F" w:rsidRPr="00B275E2">
              <w:rPr>
                <w:b/>
                <w:bCs/>
                <w:color w:val="FFFFFF" w:themeColor="background1"/>
                <w:szCs w:val="18"/>
                <w:vertAlign w:val="subscript"/>
              </w:rPr>
              <w:t>2</w:t>
            </w:r>
            <w:r w:rsidR="00141B6F" w:rsidRPr="00B275E2">
              <w:rPr>
                <w:b/>
                <w:bCs/>
                <w:color w:val="FFFFFF" w:themeColor="background1"/>
                <w:szCs w:val="18"/>
              </w:rPr>
              <w:noBreakHyphen/>
              <w:t>e)</w:t>
            </w:r>
          </w:p>
        </w:tc>
        <w:tc>
          <w:tcPr>
            <w:tcW w:w="1021" w:type="dxa"/>
            <w:shd w:val="clear" w:color="auto" w:fill="1B556B"/>
            <w:noWrap/>
            <w:vAlign w:val="bottom"/>
            <w:hideMark/>
          </w:tcPr>
          <w:p w14:paraId="65091B49" w14:textId="6B37F862" w:rsidR="00C75A3C" w:rsidRPr="00B275E2" w:rsidRDefault="0078070A" w:rsidP="007901E7">
            <w:pPr>
              <w:pStyle w:val="TableText"/>
              <w:spacing w:before="30" w:after="30"/>
              <w:jc w:val="right"/>
              <w:rPr>
                <w:b/>
                <w:color w:val="FFFFFF" w:themeColor="background1"/>
                <w:szCs w:val="18"/>
              </w:rPr>
            </w:pPr>
            <w:r w:rsidRPr="00B275E2">
              <w:rPr>
                <w:b/>
                <w:bCs/>
                <w:color w:val="FFFFFF" w:themeColor="background1"/>
                <w:szCs w:val="18"/>
              </w:rPr>
              <w:t xml:space="preserve">kg </w:t>
            </w:r>
            <w:r w:rsidR="00C75A3C" w:rsidRPr="00B275E2">
              <w:rPr>
                <w:b/>
                <w:bCs/>
                <w:color w:val="FFFFFF" w:themeColor="background1"/>
                <w:szCs w:val="18"/>
              </w:rPr>
              <w:t>CH</w:t>
            </w:r>
            <w:r w:rsidR="00C75A3C" w:rsidRPr="00B275E2">
              <w:rPr>
                <w:b/>
                <w:bCs/>
                <w:color w:val="FFFFFF" w:themeColor="background1"/>
                <w:szCs w:val="18"/>
                <w:vertAlign w:val="subscript"/>
              </w:rPr>
              <w:t>4</w:t>
            </w:r>
            <w:r w:rsidR="00141B6F" w:rsidRPr="00B275E2">
              <w:rPr>
                <w:rFonts w:eastAsia="Times New Roman"/>
                <w:b/>
                <w:color w:val="FFFFFF" w:themeColor="background1"/>
                <w:szCs w:val="18"/>
              </w:rPr>
              <w:t>/unit</w:t>
            </w:r>
            <w:r w:rsidR="00C75A3C" w:rsidRPr="00B275E2">
              <w:rPr>
                <w:b/>
                <w:bCs/>
                <w:color w:val="FFFFFF" w:themeColor="background1"/>
                <w:szCs w:val="18"/>
              </w:rPr>
              <w:t xml:space="preserve"> </w:t>
            </w:r>
            <w:r w:rsidRPr="00B275E2">
              <w:rPr>
                <w:b/>
                <w:bCs/>
                <w:color w:val="FFFFFF" w:themeColor="background1"/>
                <w:szCs w:val="18"/>
              </w:rPr>
              <w:t>(</w:t>
            </w:r>
            <w:r w:rsidR="00141B6F" w:rsidRPr="00B275E2">
              <w:rPr>
                <w:b/>
                <w:bCs/>
                <w:color w:val="FFFFFF" w:themeColor="background1"/>
                <w:szCs w:val="18"/>
              </w:rPr>
              <w:t>kg</w:t>
            </w:r>
            <w:r w:rsidR="00CC5E73" w:rsidRPr="00B275E2">
              <w:rPr>
                <w:b/>
                <w:bCs/>
                <w:color w:val="FFFFFF" w:themeColor="background1"/>
                <w:szCs w:val="18"/>
              </w:rPr>
              <w:t> </w:t>
            </w:r>
            <w:r w:rsidR="00C75A3C" w:rsidRPr="00B275E2">
              <w:rPr>
                <w:b/>
                <w:bCs/>
                <w:color w:val="FFFFFF" w:themeColor="background1"/>
                <w:szCs w:val="18"/>
              </w:rPr>
              <w:t>CO</w:t>
            </w:r>
            <w:r w:rsidR="00C75A3C" w:rsidRPr="00B275E2">
              <w:rPr>
                <w:b/>
                <w:bCs/>
                <w:color w:val="FFFFFF" w:themeColor="background1"/>
                <w:szCs w:val="18"/>
                <w:vertAlign w:val="subscript"/>
              </w:rPr>
              <w:t>2</w:t>
            </w:r>
            <w:r w:rsidR="001D6D8E" w:rsidRPr="00B275E2">
              <w:rPr>
                <w:b/>
                <w:bCs/>
                <w:color w:val="FFFFFF" w:themeColor="background1"/>
                <w:szCs w:val="18"/>
              </w:rPr>
              <w:noBreakHyphen/>
            </w:r>
            <w:r w:rsidR="00C75A3C" w:rsidRPr="00B275E2">
              <w:rPr>
                <w:b/>
                <w:bCs/>
                <w:color w:val="FFFFFF" w:themeColor="background1"/>
                <w:szCs w:val="18"/>
              </w:rPr>
              <w:t>e)</w:t>
            </w:r>
          </w:p>
        </w:tc>
        <w:tc>
          <w:tcPr>
            <w:tcW w:w="1077" w:type="dxa"/>
            <w:shd w:val="clear" w:color="auto" w:fill="1B556B"/>
            <w:noWrap/>
            <w:vAlign w:val="bottom"/>
            <w:hideMark/>
          </w:tcPr>
          <w:p w14:paraId="65091B4A" w14:textId="4BBDAF9E" w:rsidR="00C75A3C" w:rsidRPr="00B275E2" w:rsidRDefault="0078070A" w:rsidP="007901E7">
            <w:pPr>
              <w:pStyle w:val="TableText"/>
              <w:spacing w:before="30" w:after="30"/>
              <w:jc w:val="right"/>
              <w:rPr>
                <w:b/>
                <w:bCs/>
                <w:color w:val="FFFFFF" w:themeColor="background1"/>
                <w:szCs w:val="18"/>
              </w:rPr>
            </w:pPr>
            <w:r w:rsidRPr="00B275E2">
              <w:rPr>
                <w:b/>
                <w:bCs/>
                <w:color w:val="FFFFFF" w:themeColor="background1"/>
                <w:szCs w:val="18"/>
              </w:rPr>
              <w:t xml:space="preserve">kg </w:t>
            </w:r>
            <w:r w:rsidR="00C75A3C" w:rsidRPr="00B275E2">
              <w:rPr>
                <w:b/>
                <w:bCs/>
                <w:color w:val="FFFFFF" w:themeColor="background1"/>
                <w:szCs w:val="18"/>
              </w:rPr>
              <w:t>N</w:t>
            </w:r>
            <w:r w:rsidR="00C75A3C" w:rsidRPr="00B275E2">
              <w:rPr>
                <w:b/>
                <w:bCs/>
                <w:color w:val="FFFFFF" w:themeColor="background1"/>
                <w:szCs w:val="18"/>
                <w:vertAlign w:val="subscript"/>
              </w:rPr>
              <w:t>2</w:t>
            </w:r>
            <w:r w:rsidR="00C75A3C" w:rsidRPr="00B275E2">
              <w:rPr>
                <w:b/>
                <w:bCs/>
                <w:color w:val="FFFFFF" w:themeColor="background1"/>
                <w:szCs w:val="18"/>
              </w:rPr>
              <w:t>O</w:t>
            </w:r>
            <w:r w:rsidR="00141B6F" w:rsidRPr="00B275E2">
              <w:rPr>
                <w:rFonts w:eastAsia="Times New Roman"/>
                <w:b/>
                <w:color w:val="FFFFFF" w:themeColor="background1"/>
                <w:szCs w:val="18"/>
              </w:rPr>
              <w:t>/unit</w:t>
            </w:r>
            <w:r w:rsidR="00C75A3C" w:rsidRPr="00B275E2">
              <w:rPr>
                <w:b/>
                <w:bCs/>
                <w:color w:val="FFFFFF" w:themeColor="background1"/>
                <w:szCs w:val="18"/>
              </w:rPr>
              <w:t xml:space="preserve"> </w:t>
            </w:r>
            <w:r w:rsidRPr="00B275E2">
              <w:rPr>
                <w:b/>
                <w:bCs/>
                <w:color w:val="FFFFFF" w:themeColor="background1"/>
                <w:szCs w:val="18"/>
              </w:rPr>
              <w:t>(</w:t>
            </w:r>
            <w:r w:rsidR="00141B6F" w:rsidRPr="00B275E2">
              <w:rPr>
                <w:b/>
                <w:bCs/>
                <w:color w:val="FFFFFF" w:themeColor="background1"/>
                <w:szCs w:val="18"/>
              </w:rPr>
              <w:t>kg</w:t>
            </w:r>
            <w:r w:rsidR="00CC5E73" w:rsidRPr="00B275E2">
              <w:rPr>
                <w:b/>
                <w:bCs/>
                <w:color w:val="FFFFFF" w:themeColor="background1"/>
                <w:szCs w:val="18"/>
              </w:rPr>
              <w:t> </w:t>
            </w:r>
            <w:r w:rsidR="00C75A3C" w:rsidRPr="00B275E2">
              <w:rPr>
                <w:b/>
                <w:bCs/>
                <w:color w:val="FFFFFF" w:themeColor="background1"/>
                <w:szCs w:val="18"/>
              </w:rPr>
              <w:t>CO</w:t>
            </w:r>
            <w:r w:rsidR="00C75A3C" w:rsidRPr="00B275E2">
              <w:rPr>
                <w:b/>
                <w:bCs/>
                <w:color w:val="FFFFFF" w:themeColor="background1"/>
                <w:szCs w:val="18"/>
                <w:vertAlign w:val="subscript"/>
              </w:rPr>
              <w:t>2</w:t>
            </w:r>
            <w:r w:rsidR="001D6D8E" w:rsidRPr="00B275E2">
              <w:rPr>
                <w:b/>
                <w:bCs/>
                <w:color w:val="FFFFFF" w:themeColor="background1"/>
                <w:szCs w:val="18"/>
              </w:rPr>
              <w:noBreakHyphen/>
            </w:r>
            <w:r w:rsidR="00C75A3C" w:rsidRPr="00B275E2">
              <w:rPr>
                <w:b/>
                <w:bCs/>
                <w:color w:val="FFFFFF" w:themeColor="background1"/>
                <w:szCs w:val="18"/>
              </w:rPr>
              <w:t>e)</w:t>
            </w:r>
          </w:p>
        </w:tc>
      </w:tr>
      <w:tr w:rsidR="007901E7" w:rsidRPr="00B275E2" w14:paraId="65091B53" w14:textId="77777777" w:rsidTr="007901E7">
        <w:trPr>
          <w:trHeight w:val="300"/>
        </w:trPr>
        <w:tc>
          <w:tcPr>
            <w:tcW w:w="1540" w:type="dxa"/>
            <w:vMerge w:val="restart"/>
            <w:hideMark/>
          </w:tcPr>
          <w:p w14:paraId="65091B4C" w14:textId="77777777" w:rsidR="00CC6684" w:rsidRPr="00B275E2" w:rsidRDefault="00CC6684" w:rsidP="007901E7">
            <w:pPr>
              <w:pStyle w:val="TableText"/>
              <w:spacing w:before="30" w:after="30"/>
              <w:rPr>
                <w:szCs w:val="18"/>
              </w:rPr>
            </w:pPr>
            <w:r w:rsidRPr="00B275E2">
              <w:rPr>
                <w:szCs w:val="18"/>
              </w:rPr>
              <w:t xml:space="preserve">Petrol vehicle </w:t>
            </w:r>
          </w:p>
        </w:tc>
        <w:tc>
          <w:tcPr>
            <w:tcW w:w="1434" w:type="dxa"/>
            <w:noWrap/>
            <w:hideMark/>
          </w:tcPr>
          <w:p w14:paraId="65091B4D" w14:textId="77777777" w:rsidR="00CC6684" w:rsidRPr="00B275E2" w:rsidRDefault="00CC6684" w:rsidP="007901E7">
            <w:pPr>
              <w:pStyle w:val="TableText"/>
              <w:spacing w:before="30" w:after="30"/>
              <w:rPr>
                <w:szCs w:val="18"/>
              </w:rPr>
            </w:pPr>
            <w:r w:rsidRPr="00B275E2">
              <w:rPr>
                <w:szCs w:val="18"/>
              </w:rPr>
              <w:t>&lt;1350 cc</w:t>
            </w:r>
          </w:p>
        </w:tc>
        <w:tc>
          <w:tcPr>
            <w:tcW w:w="567" w:type="dxa"/>
            <w:noWrap/>
            <w:hideMark/>
          </w:tcPr>
          <w:p w14:paraId="65091B4E" w14:textId="77777777" w:rsidR="00CC6684" w:rsidRPr="00B275E2" w:rsidRDefault="00CC6684" w:rsidP="007901E7">
            <w:pPr>
              <w:pStyle w:val="TableText"/>
              <w:spacing w:before="30" w:after="30"/>
              <w:rPr>
                <w:szCs w:val="18"/>
              </w:rPr>
            </w:pPr>
            <w:r w:rsidRPr="00B275E2">
              <w:rPr>
                <w:szCs w:val="18"/>
              </w:rPr>
              <w:t>km</w:t>
            </w:r>
          </w:p>
        </w:tc>
        <w:tc>
          <w:tcPr>
            <w:tcW w:w="1191" w:type="dxa"/>
            <w:shd w:val="clear" w:color="auto" w:fill="D2DDE1" w:themeFill="background2"/>
            <w:noWrap/>
          </w:tcPr>
          <w:p w14:paraId="65091B4F" w14:textId="6BAF0710" w:rsidR="00CC6684" w:rsidRPr="00B275E2" w:rsidRDefault="00CC6684" w:rsidP="007901E7">
            <w:pPr>
              <w:pStyle w:val="TableText"/>
              <w:spacing w:before="30" w:after="30"/>
              <w:jc w:val="right"/>
              <w:rPr>
                <w:szCs w:val="18"/>
              </w:rPr>
            </w:pPr>
            <w:r w:rsidRPr="00B275E2">
              <w:rPr>
                <w:rFonts w:cs="Calibri"/>
                <w:szCs w:val="18"/>
              </w:rPr>
              <w:t>0.181</w:t>
            </w:r>
          </w:p>
        </w:tc>
        <w:tc>
          <w:tcPr>
            <w:tcW w:w="1077" w:type="dxa"/>
            <w:shd w:val="clear" w:color="auto" w:fill="auto"/>
            <w:noWrap/>
          </w:tcPr>
          <w:p w14:paraId="65091B50" w14:textId="333C1C6A" w:rsidR="00CC6684" w:rsidRPr="00B275E2" w:rsidRDefault="00CC6684" w:rsidP="007901E7">
            <w:pPr>
              <w:pStyle w:val="TableText"/>
              <w:spacing w:before="30" w:after="30"/>
              <w:jc w:val="right"/>
              <w:rPr>
                <w:szCs w:val="18"/>
              </w:rPr>
            </w:pPr>
            <w:r w:rsidRPr="00B275E2">
              <w:rPr>
                <w:rFonts w:cs="Calibri"/>
                <w:szCs w:val="18"/>
              </w:rPr>
              <w:t>0.173</w:t>
            </w:r>
          </w:p>
        </w:tc>
        <w:tc>
          <w:tcPr>
            <w:tcW w:w="1021" w:type="dxa"/>
            <w:shd w:val="clear" w:color="auto" w:fill="auto"/>
            <w:noWrap/>
          </w:tcPr>
          <w:p w14:paraId="65091B51" w14:textId="32FDC1CC" w:rsidR="00CC6684" w:rsidRPr="00B275E2" w:rsidRDefault="00CC6684" w:rsidP="007901E7">
            <w:pPr>
              <w:pStyle w:val="TableText"/>
              <w:spacing w:before="30" w:after="30"/>
              <w:jc w:val="right"/>
              <w:rPr>
                <w:szCs w:val="18"/>
              </w:rPr>
            </w:pPr>
            <w:r w:rsidRPr="00B275E2">
              <w:rPr>
                <w:rFonts w:cs="Calibri"/>
                <w:szCs w:val="18"/>
              </w:rPr>
              <w:t>0.002</w:t>
            </w:r>
          </w:p>
        </w:tc>
        <w:tc>
          <w:tcPr>
            <w:tcW w:w="1077" w:type="dxa"/>
            <w:shd w:val="clear" w:color="auto" w:fill="auto"/>
            <w:noWrap/>
          </w:tcPr>
          <w:p w14:paraId="65091B52" w14:textId="47CFAF46" w:rsidR="00CC6684" w:rsidRPr="00B275E2" w:rsidRDefault="00CC6684" w:rsidP="007901E7">
            <w:pPr>
              <w:pStyle w:val="TableText"/>
              <w:spacing w:before="30" w:after="30"/>
              <w:jc w:val="right"/>
              <w:rPr>
                <w:szCs w:val="18"/>
              </w:rPr>
            </w:pPr>
            <w:r w:rsidRPr="00B275E2">
              <w:rPr>
                <w:rFonts w:cs="Calibri"/>
                <w:szCs w:val="18"/>
              </w:rPr>
              <w:t>0.006</w:t>
            </w:r>
          </w:p>
        </w:tc>
      </w:tr>
      <w:tr w:rsidR="007901E7" w:rsidRPr="00B275E2" w14:paraId="65091B5B" w14:textId="77777777" w:rsidTr="007901E7">
        <w:trPr>
          <w:trHeight w:val="300"/>
        </w:trPr>
        <w:tc>
          <w:tcPr>
            <w:tcW w:w="1540" w:type="dxa"/>
            <w:vMerge/>
            <w:hideMark/>
          </w:tcPr>
          <w:p w14:paraId="65091B54" w14:textId="77777777" w:rsidR="00CC6684" w:rsidRPr="00B275E2" w:rsidRDefault="00CC6684" w:rsidP="007901E7">
            <w:pPr>
              <w:pStyle w:val="TableText"/>
              <w:spacing w:before="30" w:after="30"/>
              <w:rPr>
                <w:szCs w:val="18"/>
              </w:rPr>
            </w:pPr>
          </w:p>
        </w:tc>
        <w:tc>
          <w:tcPr>
            <w:tcW w:w="1434" w:type="dxa"/>
            <w:noWrap/>
            <w:hideMark/>
          </w:tcPr>
          <w:p w14:paraId="65091B55" w14:textId="366B0E80" w:rsidR="00CC6684" w:rsidRPr="00B275E2" w:rsidRDefault="00CC6684" w:rsidP="007901E7">
            <w:pPr>
              <w:pStyle w:val="TableText"/>
              <w:spacing w:before="30" w:after="30"/>
              <w:rPr>
                <w:szCs w:val="18"/>
              </w:rPr>
            </w:pPr>
            <w:r w:rsidRPr="00B275E2">
              <w:rPr>
                <w:szCs w:val="18"/>
              </w:rPr>
              <w:t>1350</w:t>
            </w:r>
            <w:r w:rsidRPr="00B275E2">
              <w:rPr>
                <w:rFonts w:cs="Calibri"/>
                <w:color w:val="000000"/>
                <w:szCs w:val="18"/>
              </w:rPr>
              <w:t xml:space="preserve"> -</w:t>
            </w:r>
            <w:r w:rsidRPr="00B275E2">
              <w:rPr>
                <w:szCs w:val="18"/>
              </w:rPr>
              <w:t xml:space="preserve"> &lt;1600 cc</w:t>
            </w:r>
          </w:p>
        </w:tc>
        <w:tc>
          <w:tcPr>
            <w:tcW w:w="567" w:type="dxa"/>
            <w:noWrap/>
            <w:hideMark/>
          </w:tcPr>
          <w:p w14:paraId="65091B56" w14:textId="77777777" w:rsidR="00CC6684" w:rsidRPr="00B275E2" w:rsidRDefault="00CC6684" w:rsidP="007901E7">
            <w:pPr>
              <w:pStyle w:val="TableText"/>
              <w:spacing w:before="30" w:after="30"/>
              <w:rPr>
                <w:szCs w:val="18"/>
              </w:rPr>
            </w:pPr>
            <w:r w:rsidRPr="00B275E2">
              <w:rPr>
                <w:szCs w:val="18"/>
              </w:rPr>
              <w:t>km</w:t>
            </w:r>
          </w:p>
        </w:tc>
        <w:tc>
          <w:tcPr>
            <w:tcW w:w="1191" w:type="dxa"/>
            <w:shd w:val="clear" w:color="auto" w:fill="D2DDE1" w:themeFill="background2"/>
            <w:noWrap/>
          </w:tcPr>
          <w:p w14:paraId="65091B57" w14:textId="3099CC6C" w:rsidR="00CC6684" w:rsidRPr="00B275E2" w:rsidRDefault="00CC6684" w:rsidP="007901E7">
            <w:pPr>
              <w:pStyle w:val="TableText"/>
              <w:spacing w:before="30" w:after="30"/>
              <w:jc w:val="right"/>
              <w:rPr>
                <w:szCs w:val="18"/>
              </w:rPr>
            </w:pPr>
            <w:r w:rsidRPr="00B275E2">
              <w:rPr>
                <w:rFonts w:cs="Calibri"/>
                <w:szCs w:val="18"/>
              </w:rPr>
              <w:t>0.187</w:t>
            </w:r>
          </w:p>
        </w:tc>
        <w:tc>
          <w:tcPr>
            <w:tcW w:w="1077" w:type="dxa"/>
            <w:shd w:val="clear" w:color="auto" w:fill="auto"/>
            <w:noWrap/>
          </w:tcPr>
          <w:p w14:paraId="65091B58" w14:textId="28C5A450" w:rsidR="00CC6684" w:rsidRPr="00B275E2" w:rsidRDefault="00CC6684" w:rsidP="007901E7">
            <w:pPr>
              <w:pStyle w:val="TableText"/>
              <w:spacing w:before="30" w:after="30"/>
              <w:jc w:val="right"/>
              <w:rPr>
                <w:szCs w:val="18"/>
              </w:rPr>
            </w:pPr>
            <w:r w:rsidRPr="00B275E2">
              <w:rPr>
                <w:rFonts w:cs="Calibri"/>
                <w:szCs w:val="18"/>
              </w:rPr>
              <w:t>0.179</w:t>
            </w:r>
          </w:p>
        </w:tc>
        <w:tc>
          <w:tcPr>
            <w:tcW w:w="1021" w:type="dxa"/>
            <w:shd w:val="clear" w:color="auto" w:fill="auto"/>
            <w:noWrap/>
          </w:tcPr>
          <w:p w14:paraId="65091B59" w14:textId="6B3B1D19" w:rsidR="00CC6684" w:rsidRPr="00B275E2" w:rsidRDefault="00CC6684" w:rsidP="007901E7">
            <w:pPr>
              <w:pStyle w:val="TableText"/>
              <w:spacing w:before="30" w:after="30"/>
              <w:jc w:val="right"/>
              <w:rPr>
                <w:szCs w:val="18"/>
              </w:rPr>
            </w:pPr>
            <w:r w:rsidRPr="00B275E2">
              <w:rPr>
                <w:rFonts w:cs="Calibri"/>
                <w:szCs w:val="18"/>
              </w:rPr>
              <w:t>0.002</w:t>
            </w:r>
          </w:p>
        </w:tc>
        <w:tc>
          <w:tcPr>
            <w:tcW w:w="1077" w:type="dxa"/>
            <w:shd w:val="clear" w:color="auto" w:fill="auto"/>
            <w:noWrap/>
          </w:tcPr>
          <w:p w14:paraId="65091B5A" w14:textId="62C1E810" w:rsidR="00CC6684" w:rsidRPr="00B275E2" w:rsidRDefault="00CC6684" w:rsidP="007901E7">
            <w:pPr>
              <w:pStyle w:val="TableText"/>
              <w:spacing w:before="30" w:after="30"/>
              <w:jc w:val="right"/>
              <w:rPr>
                <w:szCs w:val="18"/>
              </w:rPr>
            </w:pPr>
            <w:r w:rsidRPr="00B275E2">
              <w:rPr>
                <w:rFonts w:cs="Calibri"/>
                <w:szCs w:val="18"/>
              </w:rPr>
              <w:t>0.006</w:t>
            </w:r>
          </w:p>
        </w:tc>
      </w:tr>
      <w:tr w:rsidR="007901E7" w:rsidRPr="00B275E2" w14:paraId="65091B63" w14:textId="77777777" w:rsidTr="007901E7">
        <w:trPr>
          <w:trHeight w:val="300"/>
        </w:trPr>
        <w:tc>
          <w:tcPr>
            <w:tcW w:w="1540" w:type="dxa"/>
            <w:vMerge/>
            <w:hideMark/>
          </w:tcPr>
          <w:p w14:paraId="65091B5C" w14:textId="77777777" w:rsidR="00CC6684" w:rsidRPr="00B275E2" w:rsidRDefault="00CC6684" w:rsidP="007901E7">
            <w:pPr>
              <w:pStyle w:val="TableText"/>
              <w:spacing w:before="30" w:after="30"/>
              <w:rPr>
                <w:szCs w:val="18"/>
              </w:rPr>
            </w:pPr>
          </w:p>
        </w:tc>
        <w:tc>
          <w:tcPr>
            <w:tcW w:w="1434" w:type="dxa"/>
            <w:noWrap/>
            <w:hideMark/>
          </w:tcPr>
          <w:p w14:paraId="65091B5D" w14:textId="06BA8700" w:rsidR="00CC6684" w:rsidRPr="00B275E2" w:rsidRDefault="00CC6684" w:rsidP="007901E7">
            <w:pPr>
              <w:pStyle w:val="TableText"/>
              <w:spacing w:before="30" w:after="30"/>
              <w:rPr>
                <w:szCs w:val="18"/>
              </w:rPr>
            </w:pPr>
            <w:r w:rsidRPr="00B275E2">
              <w:rPr>
                <w:szCs w:val="18"/>
              </w:rPr>
              <w:t>1600</w:t>
            </w:r>
            <w:r w:rsidRPr="00B275E2">
              <w:rPr>
                <w:rFonts w:cs="Calibri"/>
                <w:color w:val="000000"/>
                <w:szCs w:val="18"/>
              </w:rPr>
              <w:t xml:space="preserve"> -</w:t>
            </w:r>
            <w:r w:rsidRPr="00B275E2">
              <w:rPr>
                <w:szCs w:val="18"/>
              </w:rPr>
              <w:t xml:space="preserve"> &lt;2000 cc</w:t>
            </w:r>
          </w:p>
        </w:tc>
        <w:tc>
          <w:tcPr>
            <w:tcW w:w="567" w:type="dxa"/>
            <w:noWrap/>
            <w:hideMark/>
          </w:tcPr>
          <w:p w14:paraId="65091B5E" w14:textId="77777777" w:rsidR="00CC6684" w:rsidRPr="00B275E2" w:rsidRDefault="00CC6684" w:rsidP="007901E7">
            <w:pPr>
              <w:pStyle w:val="TableText"/>
              <w:spacing w:before="30" w:after="30"/>
              <w:rPr>
                <w:szCs w:val="18"/>
              </w:rPr>
            </w:pPr>
            <w:r w:rsidRPr="00B275E2">
              <w:rPr>
                <w:szCs w:val="18"/>
              </w:rPr>
              <w:t>km</w:t>
            </w:r>
          </w:p>
        </w:tc>
        <w:tc>
          <w:tcPr>
            <w:tcW w:w="1191" w:type="dxa"/>
            <w:shd w:val="clear" w:color="auto" w:fill="D2DDE1" w:themeFill="background2"/>
            <w:noWrap/>
          </w:tcPr>
          <w:p w14:paraId="65091B5F" w14:textId="022E4E31" w:rsidR="00CC6684" w:rsidRPr="00B275E2" w:rsidRDefault="00CC6684" w:rsidP="007901E7">
            <w:pPr>
              <w:pStyle w:val="TableText"/>
              <w:spacing w:before="30" w:after="30"/>
              <w:jc w:val="right"/>
              <w:rPr>
                <w:szCs w:val="18"/>
              </w:rPr>
            </w:pPr>
            <w:r w:rsidRPr="00B275E2">
              <w:rPr>
                <w:rFonts w:cs="Calibri"/>
                <w:szCs w:val="18"/>
              </w:rPr>
              <w:t>0.211</w:t>
            </w:r>
          </w:p>
        </w:tc>
        <w:tc>
          <w:tcPr>
            <w:tcW w:w="1077" w:type="dxa"/>
            <w:shd w:val="clear" w:color="auto" w:fill="auto"/>
            <w:noWrap/>
          </w:tcPr>
          <w:p w14:paraId="65091B60" w14:textId="02041D35" w:rsidR="00CC6684" w:rsidRPr="00B275E2" w:rsidRDefault="00CC6684" w:rsidP="007901E7">
            <w:pPr>
              <w:pStyle w:val="TableText"/>
              <w:spacing w:before="30" w:after="30"/>
              <w:jc w:val="right"/>
              <w:rPr>
                <w:szCs w:val="18"/>
              </w:rPr>
            </w:pPr>
            <w:r w:rsidRPr="00B275E2">
              <w:rPr>
                <w:rFonts w:cs="Calibri"/>
                <w:szCs w:val="18"/>
              </w:rPr>
              <w:t>0.201</w:t>
            </w:r>
          </w:p>
        </w:tc>
        <w:tc>
          <w:tcPr>
            <w:tcW w:w="1021" w:type="dxa"/>
            <w:shd w:val="clear" w:color="auto" w:fill="auto"/>
            <w:noWrap/>
          </w:tcPr>
          <w:p w14:paraId="65091B61" w14:textId="40CA1175" w:rsidR="00CC6684" w:rsidRPr="00B275E2" w:rsidRDefault="00CC6684" w:rsidP="007901E7">
            <w:pPr>
              <w:pStyle w:val="TableText"/>
              <w:spacing w:before="30" w:after="30"/>
              <w:jc w:val="right"/>
              <w:rPr>
                <w:szCs w:val="18"/>
              </w:rPr>
            </w:pPr>
            <w:r w:rsidRPr="00B275E2">
              <w:rPr>
                <w:rFonts w:cs="Calibri"/>
                <w:szCs w:val="18"/>
              </w:rPr>
              <w:t>0.002</w:t>
            </w:r>
          </w:p>
        </w:tc>
        <w:tc>
          <w:tcPr>
            <w:tcW w:w="1077" w:type="dxa"/>
            <w:shd w:val="clear" w:color="auto" w:fill="auto"/>
            <w:noWrap/>
          </w:tcPr>
          <w:p w14:paraId="65091B62" w14:textId="332BFCEB" w:rsidR="00CC6684" w:rsidRPr="00B275E2" w:rsidRDefault="00CC6684" w:rsidP="007901E7">
            <w:pPr>
              <w:pStyle w:val="TableText"/>
              <w:spacing w:before="30" w:after="30"/>
              <w:jc w:val="right"/>
              <w:rPr>
                <w:szCs w:val="18"/>
              </w:rPr>
            </w:pPr>
            <w:r w:rsidRPr="00B275E2">
              <w:rPr>
                <w:rFonts w:cs="Calibri"/>
                <w:szCs w:val="18"/>
              </w:rPr>
              <w:t>0.007</w:t>
            </w:r>
          </w:p>
        </w:tc>
      </w:tr>
      <w:tr w:rsidR="007901E7" w:rsidRPr="00B275E2" w14:paraId="65091B6B" w14:textId="77777777" w:rsidTr="007901E7">
        <w:trPr>
          <w:trHeight w:val="300"/>
        </w:trPr>
        <w:tc>
          <w:tcPr>
            <w:tcW w:w="1540" w:type="dxa"/>
            <w:vMerge/>
            <w:hideMark/>
          </w:tcPr>
          <w:p w14:paraId="65091B64" w14:textId="77777777" w:rsidR="00CC6684" w:rsidRPr="00B275E2" w:rsidRDefault="00CC6684" w:rsidP="007901E7">
            <w:pPr>
              <w:pStyle w:val="TableText"/>
              <w:spacing w:before="30" w:after="30"/>
              <w:rPr>
                <w:szCs w:val="18"/>
              </w:rPr>
            </w:pPr>
          </w:p>
        </w:tc>
        <w:tc>
          <w:tcPr>
            <w:tcW w:w="1434" w:type="dxa"/>
            <w:noWrap/>
            <w:hideMark/>
          </w:tcPr>
          <w:p w14:paraId="65091B65" w14:textId="5B567B33" w:rsidR="00CC6684" w:rsidRPr="00B275E2" w:rsidRDefault="00CC6684" w:rsidP="007901E7">
            <w:pPr>
              <w:pStyle w:val="TableText"/>
              <w:spacing w:before="30" w:after="30"/>
              <w:rPr>
                <w:szCs w:val="18"/>
              </w:rPr>
            </w:pPr>
            <w:r w:rsidRPr="00B275E2">
              <w:rPr>
                <w:szCs w:val="18"/>
              </w:rPr>
              <w:t>2000</w:t>
            </w:r>
            <w:r w:rsidRPr="00B275E2">
              <w:rPr>
                <w:rFonts w:cs="Calibri"/>
                <w:color w:val="000000"/>
                <w:szCs w:val="18"/>
              </w:rPr>
              <w:t xml:space="preserve"> -</w:t>
            </w:r>
            <w:r w:rsidRPr="00B275E2">
              <w:rPr>
                <w:szCs w:val="18"/>
              </w:rPr>
              <w:t xml:space="preserve"> &lt;3000 cc</w:t>
            </w:r>
          </w:p>
        </w:tc>
        <w:tc>
          <w:tcPr>
            <w:tcW w:w="567" w:type="dxa"/>
            <w:noWrap/>
            <w:hideMark/>
          </w:tcPr>
          <w:p w14:paraId="65091B66" w14:textId="77777777" w:rsidR="00CC6684" w:rsidRPr="00B275E2" w:rsidRDefault="00CC6684" w:rsidP="007901E7">
            <w:pPr>
              <w:pStyle w:val="TableText"/>
              <w:spacing w:before="30" w:after="30"/>
              <w:rPr>
                <w:szCs w:val="18"/>
              </w:rPr>
            </w:pPr>
            <w:r w:rsidRPr="00B275E2">
              <w:rPr>
                <w:szCs w:val="18"/>
              </w:rPr>
              <w:t>km</w:t>
            </w:r>
          </w:p>
        </w:tc>
        <w:tc>
          <w:tcPr>
            <w:tcW w:w="1191" w:type="dxa"/>
            <w:shd w:val="clear" w:color="auto" w:fill="D2DDE1" w:themeFill="background2"/>
            <w:noWrap/>
          </w:tcPr>
          <w:p w14:paraId="65091B67" w14:textId="47DCBB57" w:rsidR="00CC6684" w:rsidRPr="00B275E2" w:rsidRDefault="00CC6684" w:rsidP="007901E7">
            <w:pPr>
              <w:pStyle w:val="TableText"/>
              <w:spacing w:before="30" w:after="30"/>
              <w:jc w:val="right"/>
              <w:rPr>
                <w:szCs w:val="18"/>
              </w:rPr>
            </w:pPr>
            <w:r w:rsidRPr="00B275E2">
              <w:rPr>
                <w:rFonts w:cs="Calibri"/>
                <w:szCs w:val="18"/>
              </w:rPr>
              <w:t>0.234</w:t>
            </w:r>
          </w:p>
        </w:tc>
        <w:tc>
          <w:tcPr>
            <w:tcW w:w="1077" w:type="dxa"/>
            <w:shd w:val="clear" w:color="auto" w:fill="auto"/>
            <w:noWrap/>
          </w:tcPr>
          <w:p w14:paraId="65091B68" w14:textId="35808F76" w:rsidR="00CC6684" w:rsidRPr="00B275E2" w:rsidRDefault="00CC6684" w:rsidP="007901E7">
            <w:pPr>
              <w:pStyle w:val="TableText"/>
              <w:spacing w:before="30" w:after="30"/>
              <w:jc w:val="right"/>
              <w:rPr>
                <w:szCs w:val="18"/>
              </w:rPr>
            </w:pPr>
            <w:r w:rsidRPr="00B275E2">
              <w:rPr>
                <w:rFonts w:cs="Calibri"/>
                <w:szCs w:val="18"/>
              </w:rPr>
              <w:t>0.224</w:t>
            </w:r>
          </w:p>
        </w:tc>
        <w:tc>
          <w:tcPr>
            <w:tcW w:w="1021" w:type="dxa"/>
            <w:shd w:val="clear" w:color="auto" w:fill="auto"/>
            <w:noWrap/>
          </w:tcPr>
          <w:p w14:paraId="65091B69" w14:textId="1A4E9C4A" w:rsidR="00CC6684" w:rsidRPr="00B275E2" w:rsidRDefault="00CC6684" w:rsidP="007901E7">
            <w:pPr>
              <w:pStyle w:val="TableText"/>
              <w:spacing w:before="30" w:after="30"/>
              <w:jc w:val="right"/>
              <w:rPr>
                <w:szCs w:val="18"/>
              </w:rPr>
            </w:pPr>
            <w:r w:rsidRPr="00B275E2">
              <w:rPr>
                <w:rFonts w:cs="Calibri"/>
                <w:szCs w:val="18"/>
              </w:rPr>
              <w:t>0.003</w:t>
            </w:r>
          </w:p>
        </w:tc>
        <w:tc>
          <w:tcPr>
            <w:tcW w:w="1077" w:type="dxa"/>
            <w:shd w:val="clear" w:color="auto" w:fill="auto"/>
            <w:noWrap/>
          </w:tcPr>
          <w:p w14:paraId="65091B6A" w14:textId="12CA14A0" w:rsidR="00CC6684" w:rsidRPr="00B275E2" w:rsidRDefault="00CC6684" w:rsidP="007901E7">
            <w:pPr>
              <w:pStyle w:val="TableText"/>
              <w:spacing w:before="30" w:after="30"/>
              <w:jc w:val="right"/>
              <w:rPr>
                <w:szCs w:val="18"/>
              </w:rPr>
            </w:pPr>
            <w:r w:rsidRPr="00B275E2">
              <w:rPr>
                <w:rFonts w:cs="Calibri"/>
                <w:szCs w:val="18"/>
              </w:rPr>
              <w:t>0.008</w:t>
            </w:r>
          </w:p>
        </w:tc>
      </w:tr>
      <w:tr w:rsidR="007901E7" w:rsidRPr="00B275E2" w14:paraId="65091B73" w14:textId="77777777" w:rsidTr="007901E7">
        <w:trPr>
          <w:trHeight w:val="300"/>
        </w:trPr>
        <w:tc>
          <w:tcPr>
            <w:tcW w:w="1540" w:type="dxa"/>
            <w:vMerge/>
            <w:hideMark/>
          </w:tcPr>
          <w:p w14:paraId="65091B6C" w14:textId="77777777" w:rsidR="00CC6684" w:rsidRPr="00B275E2" w:rsidRDefault="00CC6684" w:rsidP="007901E7">
            <w:pPr>
              <w:pStyle w:val="TableText"/>
              <w:spacing w:before="30" w:after="30"/>
              <w:rPr>
                <w:szCs w:val="18"/>
              </w:rPr>
            </w:pPr>
          </w:p>
        </w:tc>
        <w:tc>
          <w:tcPr>
            <w:tcW w:w="1434" w:type="dxa"/>
            <w:noWrap/>
            <w:hideMark/>
          </w:tcPr>
          <w:p w14:paraId="65091B6D" w14:textId="77777777" w:rsidR="00CC6684" w:rsidRPr="00B275E2" w:rsidRDefault="00CC6684" w:rsidP="007901E7">
            <w:pPr>
              <w:pStyle w:val="TableText"/>
              <w:spacing w:before="30" w:after="30"/>
              <w:rPr>
                <w:szCs w:val="18"/>
              </w:rPr>
            </w:pPr>
            <w:r w:rsidRPr="00B275E2">
              <w:rPr>
                <w:szCs w:val="18"/>
              </w:rPr>
              <w:t>≥3000 cc</w:t>
            </w:r>
          </w:p>
        </w:tc>
        <w:tc>
          <w:tcPr>
            <w:tcW w:w="567" w:type="dxa"/>
            <w:noWrap/>
            <w:hideMark/>
          </w:tcPr>
          <w:p w14:paraId="65091B6E" w14:textId="77777777" w:rsidR="00CC6684" w:rsidRPr="00B275E2" w:rsidRDefault="00CC6684" w:rsidP="007901E7">
            <w:pPr>
              <w:pStyle w:val="TableText"/>
              <w:spacing w:before="30" w:after="30"/>
              <w:rPr>
                <w:szCs w:val="18"/>
              </w:rPr>
            </w:pPr>
            <w:r w:rsidRPr="00B275E2">
              <w:rPr>
                <w:szCs w:val="18"/>
              </w:rPr>
              <w:t>km</w:t>
            </w:r>
          </w:p>
        </w:tc>
        <w:tc>
          <w:tcPr>
            <w:tcW w:w="1191" w:type="dxa"/>
            <w:shd w:val="clear" w:color="auto" w:fill="D2DDE1" w:themeFill="background2"/>
            <w:noWrap/>
          </w:tcPr>
          <w:p w14:paraId="65091B6F" w14:textId="4A91C494" w:rsidR="00CC6684" w:rsidRPr="00B275E2" w:rsidRDefault="00CC6684" w:rsidP="007901E7">
            <w:pPr>
              <w:pStyle w:val="TableText"/>
              <w:spacing w:before="30" w:after="30"/>
              <w:jc w:val="right"/>
              <w:rPr>
                <w:szCs w:val="18"/>
              </w:rPr>
            </w:pPr>
            <w:r w:rsidRPr="00B275E2">
              <w:rPr>
                <w:rFonts w:cs="Calibri"/>
                <w:szCs w:val="18"/>
              </w:rPr>
              <w:t>0.280</w:t>
            </w:r>
          </w:p>
        </w:tc>
        <w:tc>
          <w:tcPr>
            <w:tcW w:w="1077" w:type="dxa"/>
            <w:shd w:val="clear" w:color="auto" w:fill="auto"/>
            <w:noWrap/>
          </w:tcPr>
          <w:p w14:paraId="65091B70" w14:textId="0E9E8B8A" w:rsidR="00CC6684" w:rsidRPr="00B275E2" w:rsidRDefault="00CC6684" w:rsidP="007901E7">
            <w:pPr>
              <w:pStyle w:val="TableText"/>
              <w:spacing w:before="30" w:after="30"/>
              <w:jc w:val="right"/>
              <w:rPr>
                <w:szCs w:val="18"/>
              </w:rPr>
            </w:pPr>
            <w:r w:rsidRPr="00B275E2">
              <w:rPr>
                <w:rFonts w:cs="Calibri"/>
                <w:szCs w:val="18"/>
              </w:rPr>
              <w:t>0.268</w:t>
            </w:r>
          </w:p>
        </w:tc>
        <w:tc>
          <w:tcPr>
            <w:tcW w:w="1021" w:type="dxa"/>
            <w:shd w:val="clear" w:color="auto" w:fill="auto"/>
            <w:noWrap/>
          </w:tcPr>
          <w:p w14:paraId="65091B71" w14:textId="254363AD" w:rsidR="00CC6684" w:rsidRPr="00B275E2" w:rsidRDefault="00CC6684" w:rsidP="007901E7">
            <w:pPr>
              <w:pStyle w:val="TableText"/>
              <w:spacing w:before="30" w:after="30"/>
              <w:jc w:val="right"/>
              <w:rPr>
                <w:szCs w:val="18"/>
              </w:rPr>
            </w:pPr>
            <w:r w:rsidRPr="00B275E2">
              <w:rPr>
                <w:rFonts w:cs="Calibri"/>
                <w:szCs w:val="18"/>
              </w:rPr>
              <w:t>0.003</w:t>
            </w:r>
          </w:p>
        </w:tc>
        <w:tc>
          <w:tcPr>
            <w:tcW w:w="1077" w:type="dxa"/>
            <w:shd w:val="clear" w:color="auto" w:fill="auto"/>
            <w:noWrap/>
          </w:tcPr>
          <w:p w14:paraId="65091B72" w14:textId="1514837B" w:rsidR="00CC6684" w:rsidRPr="00B275E2" w:rsidRDefault="00CC6684" w:rsidP="007901E7">
            <w:pPr>
              <w:pStyle w:val="TableText"/>
              <w:spacing w:before="30" w:after="30"/>
              <w:jc w:val="right"/>
              <w:rPr>
                <w:szCs w:val="18"/>
              </w:rPr>
            </w:pPr>
            <w:r w:rsidRPr="00B275E2">
              <w:rPr>
                <w:rFonts w:cs="Calibri"/>
                <w:szCs w:val="18"/>
              </w:rPr>
              <w:t>0.009</w:t>
            </w:r>
          </w:p>
        </w:tc>
      </w:tr>
      <w:tr w:rsidR="007901E7" w:rsidRPr="00B275E2" w14:paraId="65091B7B" w14:textId="77777777" w:rsidTr="007901E7">
        <w:trPr>
          <w:trHeight w:val="300"/>
        </w:trPr>
        <w:tc>
          <w:tcPr>
            <w:tcW w:w="1540" w:type="dxa"/>
            <w:vMerge w:val="restart"/>
            <w:hideMark/>
          </w:tcPr>
          <w:p w14:paraId="65091B74" w14:textId="77777777" w:rsidR="00CC6684" w:rsidRPr="00B275E2" w:rsidRDefault="00CC6684" w:rsidP="007901E7">
            <w:pPr>
              <w:pStyle w:val="TableText"/>
              <w:spacing w:before="30" w:after="30"/>
              <w:rPr>
                <w:szCs w:val="18"/>
              </w:rPr>
            </w:pPr>
            <w:r w:rsidRPr="00B275E2">
              <w:rPr>
                <w:szCs w:val="18"/>
              </w:rPr>
              <w:t>Diesel vehicle</w:t>
            </w:r>
          </w:p>
        </w:tc>
        <w:tc>
          <w:tcPr>
            <w:tcW w:w="1434" w:type="dxa"/>
            <w:noWrap/>
            <w:hideMark/>
          </w:tcPr>
          <w:p w14:paraId="65091B75" w14:textId="77777777" w:rsidR="00CC6684" w:rsidRPr="00B275E2" w:rsidRDefault="00CC6684" w:rsidP="007901E7">
            <w:pPr>
              <w:pStyle w:val="TableText"/>
              <w:spacing w:before="30" w:after="30"/>
              <w:rPr>
                <w:szCs w:val="18"/>
              </w:rPr>
            </w:pPr>
            <w:r w:rsidRPr="00B275E2">
              <w:rPr>
                <w:szCs w:val="18"/>
              </w:rPr>
              <w:t>&lt;1350 cc</w:t>
            </w:r>
          </w:p>
        </w:tc>
        <w:tc>
          <w:tcPr>
            <w:tcW w:w="567" w:type="dxa"/>
            <w:noWrap/>
            <w:hideMark/>
          </w:tcPr>
          <w:p w14:paraId="65091B76" w14:textId="77777777" w:rsidR="00CC6684" w:rsidRPr="00B275E2" w:rsidRDefault="00CC6684" w:rsidP="007901E7">
            <w:pPr>
              <w:pStyle w:val="TableText"/>
              <w:spacing w:before="30" w:after="30"/>
              <w:rPr>
                <w:szCs w:val="18"/>
              </w:rPr>
            </w:pPr>
            <w:r w:rsidRPr="00B275E2">
              <w:rPr>
                <w:szCs w:val="18"/>
              </w:rPr>
              <w:t>km</w:t>
            </w:r>
          </w:p>
        </w:tc>
        <w:tc>
          <w:tcPr>
            <w:tcW w:w="1191" w:type="dxa"/>
            <w:shd w:val="clear" w:color="auto" w:fill="D2DDE1" w:themeFill="background2"/>
            <w:noWrap/>
          </w:tcPr>
          <w:p w14:paraId="65091B77" w14:textId="02DE6FF8" w:rsidR="00CC6684" w:rsidRPr="00B275E2" w:rsidRDefault="00CC6684" w:rsidP="007901E7">
            <w:pPr>
              <w:pStyle w:val="TableText"/>
              <w:spacing w:before="30" w:after="30"/>
              <w:jc w:val="right"/>
              <w:rPr>
                <w:szCs w:val="18"/>
              </w:rPr>
            </w:pPr>
            <w:r w:rsidRPr="00B275E2">
              <w:rPr>
                <w:rFonts w:cs="Calibri"/>
                <w:szCs w:val="18"/>
              </w:rPr>
              <w:t>0.198</w:t>
            </w:r>
          </w:p>
        </w:tc>
        <w:tc>
          <w:tcPr>
            <w:tcW w:w="1077" w:type="dxa"/>
            <w:shd w:val="clear" w:color="auto" w:fill="auto"/>
            <w:noWrap/>
          </w:tcPr>
          <w:p w14:paraId="65091B78" w14:textId="2A953A83" w:rsidR="00CC6684" w:rsidRPr="00B275E2" w:rsidRDefault="00CC6684" w:rsidP="007901E7">
            <w:pPr>
              <w:pStyle w:val="TableText"/>
              <w:spacing w:before="30" w:after="30"/>
              <w:jc w:val="right"/>
              <w:rPr>
                <w:szCs w:val="18"/>
              </w:rPr>
            </w:pPr>
            <w:r w:rsidRPr="00B275E2">
              <w:rPr>
                <w:rFonts w:cs="Calibri"/>
                <w:szCs w:val="18"/>
              </w:rPr>
              <w:t>0.194</w:t>
            </w:r>
          </w:p>
        </w:tc>
        <w:tc>
          <w:tcPr>
            <w:tcW w:w="1021" w:type="dxa"/>
            <w:shd w:val="clear" w:color="auto" w:fill="auto"/>
            <w:noWrap/>
          </w:tcPr>
          <w:p w14:paraId="65091B79" w14:textId="25711171" w:rsidR="00CC6684" w:rsidRPr="00B275E2" w:rsidRDefault="00CC6684" w:rsidP="007901E7">
            <w:pPr>
              <w:pStyle w:val="TableText"/>
              <w:spacing w:before="30" w:after="30"/>
              <w:jc w:val="right"/>
              <w:rPr>
                <w:szCs w:val="18"/>
              </w:rPr>
            </w:pPr>
            <w:r w:rsidRPr="00B275E2">
              <w:rPr>
                <w:rFonts w:cs="Calibri"/>
                <w:szCs w:val="18"/>
              </w:rPr>
              <w:t>0.0003</w:t>
            </w:r>
          </w:p>
        </w:tc>
        <w:tc>
          <w:tcPr>
            <w:tcW w:w="1077" w:type="dxa"/>
            <w:shd w:val="clear" w:color="auto" w:fill="auto"/>
            <w:noWrap/>
          </w:tcPr>
          <w:p w14:paraId="65091B7A" w14:textId="6C663BA1" w:rsidR="00CC6684" w:rsidRPr="00B275E2" w:rsidRDefault="00CC6684" w:rsidP="007901E7">
            <w:pPr>
              <w:pStyle w:val="TableText"/>
              <w:spacing w:before="30" w:after="30"/>
              <w:jc w:val="right"/>
              <w:rPr>
                <w:szCs w:val="18"/>
              </w:rPr>
            </w:pPr>
            <w:r w:rsidRPr="00B275E2">
              <w:rPr>
                <w:rFonts w:cs="Calibri"/>
                <w:szCs w:val="18"/>
              </w:rPr>
              <w:t>0.003</w:t>
            </w:r>
          </w:p>
        </w:tc>
      </w:tr>
      <w:tr w:rsidR="007901E7" w:rsidRPr="00B275E2" w14:paraId="65091B83" w14:textId="77777777" w:rsidTr="007901E7">
        <w:trPr>
          <w:trHeight w:val="300"/>
        </w:trPr>
        <w:tc>
          <w:tcPr>
            <w:tcW w:w="1540" w:type="dxa"/>
            <w:vMerge/>
            <w:hideMark/>
          </w:tcPr>
          <w:p w14:paraId="65091B7C" w14:textId="77777777" w:rsidR="00CC6684" w:rsidRPr="00B275E2" w:rsidRDefault="00CC6684" w:rsidP="007901E7">
            <w:pPr>
              <w:pStyle w:val="TableText"/>
              <w:spacing w:before="30" w:after="30"/>
              <w:rPr>
                <w:szCs w:val="18"/>
              </w:rPr>
            </w:pPr>
          </w:p>
        </w:tc>
        <w:tc>
          <w:tcPr>
            <w:tcW w:w="1434" w:type="dxa"/>
            <w:noWrap/>
            <w:hideMark/>
          </w:tcPr>
          <w:p w14:paraId="65091B7D" w14:textId="3D77E3AB" w:rsidR="00CC6684" w:rsidRPr="00B275E2" w:rsidRDefault="00CC6684" w:rsidP="007901E7">
            <w:pPr>
              <w:pStyle w:val="TableText"/>
              <w:spacing w:before="30" w:after="30"/>
              <w:rPr>
                <w:szCs w:val="18"/>
              </w:rPr>
            </w:pPr>
            <w:r w:rsidRPr="00B275E2">
              <w:rPr>
                <w:szCs w:val="18"/>
              </w:rPr>
              <w:t>1350</w:t>
            </w:r>
            <w:r w:rsidRPr="00B275E2">
              <w:rPr>
                <w:rFonts w:cs="Calibri"/>
                <w:color w:val="000000"/>
                <w:szCs w:val="18"/>
              </w:rPr>
              <w:t xml:space="preserve"> -</w:t>
            </w:r>
            <w:r w:rsidRPr="00B275E2">
              <w:rPr>
                <w:szCs w:val="18"/>
              </w:rPr>
              <w:t xml:space="preserve"> &lt;1600 cc</w:t>
            </w:r>
          </w:p>
        </w:tc>
        <w:tc>
          <w:tcPr>
            <w:tcW w:w="567" w:type="dxa"/>
            <w:noWrap/>
            <w:hideMark/>
          </w:tcPr>
          <w:p w14:paraId="65091B7E" w14:textId="77777777" w:rsidR="00CC6684" w:rsidRPr="00B275E2" w:rsidRDefault="00CC6684" w:rsidP="007901E7">
            <w:pPr>
              <w:pStyle w:val="TableText"/>
              <w:spacing w:before="30" w:after="30"/>
              <w:rPr>
                <w:szCs w:val="18"/>
              </w:rPr>
            </w:pPr>
            <w:r w:rsidRPr="00B275E2">
              <w:rPr>
                <w:szCs w:val="18"/>
              </w:rPr>
              <w:t>km</w:t>
            </w:r>
          </w:p>
        </w:tc>
        <w:tc>
          <w:tcPr>
            <w:tcW w:w="1191" w:type="dxa"/>
            <w:shd w:val="clear" w:color="auto" w:fill="D2DDE1" w:themeFill="background2"/>
            <w:noWrap/>
          </w:tcPr>
          <w:p w14:paraId="65091B7F" w14:textId="155409C2" w:rsidR="00CC6684" w:rsidRPr="00B275E2" w:rsidRDefault="00CC6684" w:rsidP="007901E7">
            <w:pPr>
              <w:pStyle w:val="TableText"/>
              <w:spacing w:before="30" w:after="30"/>
              <w:jc w:val="right"/>
              <w:rPr>
                <w:szCs w:val="18"/>
              </w:rPr>
            </w:pPr>
            <w:r w:rsidRPr="00B275E2">
              <w:rPr>
                <w:rFonts w:cs="Calibri"/>
                <w:szCs w:val="18"/>
              </w:rPr>
              <w:t>0.190</w:t>
            </w:r>
          </w:p>
        </w:tc>
        <w:tc>
          <w:tcPr>
            <w:tcW w:w="1077" w:type="dxa"/>
            <w:shd w:val="clear" w:color="auto" w:fill="auto"/>
            <w:noWrap/>
          </w:tcPr>
          <w:p w14:paraId="65091B80" w14:textId="2DC8DDFA" w:rsidR="00CC6684" w:rsidRPr="00B275E2" w:rsidRDefault="00CC6684" w:rsidP="007901E7">
            <w:pPr>
              <w:pStyle w:val="TableText"/>
              <w:spacing w:before="30" w:after="30"/>
              <w:jc w:val="right"/>
              <w:rPr>
                <w:szCs w:val="18"/>
              </w:rPr>
            </w:pPr>
            <w:r w:rsidRPr="00B275E2">
              <w:rPr>
                <w:rFonts w:cs="Calibri"/>
                <w:szCs w:val="18"/>
              </w:rPr>
              <w:t>0.187</w:t>
            </w:r>
          </w:p>
        </w:tc>
        <w:tc>
          <w:tcPr>
            <w:tcW w:w="1021" w:type="dxa"/>
            <w:shd w:val="clear" w:color="auto" w:fill="auto"/>
            <w:noWrap/>
          </w:tcPr>
          <w:p w14:paraId="65091B81" w14:textId="13966C4E" w:rsidR="00CC6684" w:rsidRPr="00B275E2" w:rsidRDefault="00CC6684" w:rsidP="007901E7">
            <w:pPr>
              <w:pStyle w:val="TableText"/>
              <w:spacing w:before="30" w:after="30"/>
              <w:jc w:val="right"/>
              <w:rPr>
                <w:szCs w:val="18"/>
              </w:rPr>
            </w:pPr>
            <w:r w:rsidRPr="00B275E2">
              <w:rPr>
                <w:rFonts w:cs="Calibri"/>
                <w:szCs w:val="18"/>
              </w:rPr>
              <w:t>0.0002</w:t>
            </w:r>
          </w:p>
        </w:tc>
        <w:tc>
          <w:tcPr>
            <w:tcW w:w="1077" w:type="dxa"/>
            <w:shd w:val="clear" w:color="auto" w:fill="auto"/>
            <w:noWrap/>
          </w:tcPr>
          <w:p w14:paraId="65091B82" w14:textId="15571750" w:rsidR="00CC6684" w:rsidRPr="00B275E2" w:rsidRDefault="00CC6684" w:rsidP="007901E7">
            <w:pPr>
              <w:pStyle w:val="TableText"/>
              <w:spacing w:before="30" w:after="30"/>
              <w:jc w:val="right"/>
              <w:rPr>
                <w:szCs w:val="18"/>
              </w:rPr>
            </w:pPr>
            <w:r w:rsidRPr="00B275E2">
              <w:rPr>
                <w:rFonts w:cs="Calibri"/>
                <w:szCs w:val="18"/>
              </w:rPr>
              <w:t>0.003</w:t>
            </w:r>
          </w:p>
        </w:tc>
      </w:tr>
      <w:tr w:rsidR="007901E7" w:rsidRPr="00B275E2" w14:paraId="65091B8B" w14:textId="77777777" w:rsidTr="007901E7">
        <w:trPr>
          <w:trHeight w:val="300"/>
        </w:trPr>
        <w:tc>
          <w:tcPr>
            <w:tcW w:w="1540" w:type="dxa"/>
            <w:vMerge/>
            <w:hideMark/>
          </w:tcPr>
          <w:p w14:paraId="65091B84" w14:textId="77777777" w:rsidR="00CC6684" w:rsidRPr="00B275E2" w:rsidRDefault="00CC6684" w:rsidP="007901E7">
            <w:pPr>
              <w:pStyle w:val="TableText"/>
              <w:spacing w:before="30" w:after="30"/>
              <w:rPr>
                <w:szCs w:val="18"/>
              </w:rPr>
            </w:pPr>
          </w:p>
        </w:tc>
        <w:tc>
          <w:tcPr>
            <w:tcW w:w="1434" w:type="dxa"/>
            <w:noWrap/>
            <w:hideMark/>
          </w:tcPr>
          <w:p w14:paraId="65091B85" w14:textId="37FC33D3" w:rsidR="00CC6684" w:rsidRPr="00B275E2" w:rsidRDefault="00CC6684" w:rsidP="007901E7">
            <w:pPr>
              <w:pStyle w:val="TableText"/>
              <w:spacing w:before="30" w:after="30"/>
              <w:rPr>
                <w:szCs w:val="18"/>
              </w:rPr>
            </w:pPr>
            <w:r w:rsidRPr="00B275E2">
              <w:rPr>
                <w:szCs w:val="18"/>
              </w:rPr>
              <w:t>1600</w:t>
            </w:r>
            <w:r w:rsidRPr="00B275E2">
              <w:rPr>
                <w:rFonts w:cs="Calibri"/>
                <w:color w:val="000000"/>
                <w:szCs w:val="18"/>
              </w:rPr>
              <w:t xml:space="preserve"> -</w:t>
            </w:r>
            <w:r w:rsidRPr="00B275E2">
              <w:rPr>
                <w:szCs w:val="18"/>
              </w:rPr>
              <w:t xml:space="preserve"> &lt;2000 cc</w:t>
            </w:r>
          </w:p>
        </w:tc>
        <w:tc>
          <w:tcPr>
            <w:tcW w:w="567" w:type="dxa"/>
            <w:noWrap/>
            <w:hideMark/>
          </w:tcPr>
          <w:p w14:paraId="65091B86" w14:textId="77777777" w:rsidR="00CC6684" w:rsidRPr="00B275E2" w:rsidRDefault="00CC6684" w:rsidP="007901E7">
            <w:pPr>
              <w:pStyle w:val="TableText"/>
              <w:spacing w:before="30" w:after="30"/>
              <w:rPr>
                <w:szCs w:val="18"/>
              </w:rPr>
            </w:pPr>
            <w:r w:rsidRPr="00B275E2">
              <w:rPr>
                <w:szCs w:val="18"/>
              </w:rPr>
              <w:t>km</w:t>
            </w:r>
          </w:p>
        </w:tc>
        <w:tc>
          <w:tcPr>
            <w:tcW w:w="1191" w:type="dxa"/>
            <w:shd w:val="clear" w:color="auto" w:fill="D2DDE1" w:themeFill="background2"/>
            <w:noWrap/>
          </w:tcPr>
          <w:p w14:paraId="65091B87" w14:textId="56E578A7" w:rsidR="00CC6684" w:rsidRPr="00B275E2" w:rsidRDefault="00CC6684" w:rsidP="007901E7">
            <w:pPr>
              <w:pStyle w:val="TableText"/>
              <w:spacing w:before="30" w:after="30"/>
              <w:jc w:val="right"/>
              <w:rPr>
                <w:szCs w:val="18"/>
              </w:rPr>
            </w:pPr>
            <w:r w:rsidRPr="00B275E2">
              <w:rPr>
                <w:rFonts w:cs="Calibri"/>
                <w:szCs w:val="18"/>
              </w:rPr>
              <w:t>0.202</w:t>
            </w:r>
          </w:p>
        </w:tc>
        <w:tc>
          <w:tcPr>
            <w:tcW w:w="1077" w:type="dxa"/>
            <w:shd w:val="clear" w:color="auto" w:fill="auto"/>
            <w:noWrap/>
          </w:tcPr>
          <w:p w14:paraId="65091B88" w14:textId="449DB11D" w:rsidR="00CC6684" w:rsidRPr="00B275E2" w:rsidRDefault="00CC6684" w:rsidP="007901E7">
            <w:pPr>
              <w:pStyle w:val="TableText"/>
              <w:spacing w:before="30" w:after="30"/>
              <w:jc w:val="right"/>
              <w:rPr>
                <w:szCs w:val="18"/>
              </w:rPr>
            </w:pPr>
            <w:r w:rsidRPr="00B275E2">
              <w:rPr>
                <w:rFonts w:cs="Calibri"/>
                <w:szCs w:val="18"/>
              </w:rPr>
              <w:t>0.198</w:t>
            </w:r>
          </w:p>
        </w:tc>
        <w:tc>
          <w:tcPr>
            <w:tcW w:w="1021" w:type="dxa"/>
            <w:shd w:val="clear" w:color="auto" w:fill="auto"/>
            <w:noWrap/>
          </w:tcPr>
          <w:p w14:paraId="65091B89" w14:textId="55B11529" w:rsidR="00CC6684" w:rsidRPr="00B275E2" w:rsidRDefault="00CC6684" w:rsidP="007901E7">
            <w:pPr>
              <w:pStyle w:val="TableText"/>
              <w:spacing w:before="30" w:after="30"/>
              <w:jc w:val="right"/>
              <w:rPr>
                <w:szCs w:val="18"/>
              </w:rPr>
            </w:pPr>
            <w:r w:rsidRPr="00B275E2">
              <w:rPr>
                <w:rFonts w:cs="Calibri"/>
                <w:szCs w:val="18"/>
              </w:rPr>
              <w:t>0.0003</w:t>
            </w:r>
          </w:p>
        </w:tc>
        <w:tc>
          <w:tcPr>
            <w:tcW w:w="1077" w:type="dxa"/>
            <w:shd w:val="clear" w:color="auto" w:fill="auto"/>
            <w:noWrap/>
          </w:tcPr>
          <w:p w14:paraId="65091B8A" w14:textId="75B1D9E9" w:rsidR="00CC6684" w:rsidRPr="00B275E2" w:rsidRDefault="00CC6684" w:rsidP="007901E7">
            <w:pPr>
              <w:pStyle w:val="TableText"/>
              <w:spacing w:before="30" w:after="30"/>
              <w:jc w:val="right"/>
              <w:rPr>
                <w:szCs w:val="18"/>
              </w:rPr>
            </w:pPr>
            <w:r w:rsidRPr="00B275E2">
              <w:rPr>
                <w:rFonts w:cs="Calibri"/>
                <w:szCs w:val="18"/>
              </w:rPr>
              <w:t>0.003</w:t>
            </w:r>
          </w:p>
        </w:tc>
      </w:tr>
      <w:tr w:rsidR="007901E7" w:rsidRPr="00B275E2" w14:paraId="65091B93" w14:textId="77777777" w:rsidTr="007901E7">
        <w:trPr>
          <w:trHeight w:val="300"/>
        </w:trPr>
        <w:tc>
          <w:tcPr>
            <w:tcW w:w="1540" w:type="dxa"/>
            <w:vMerge/>
            <w:hideMark/>
          </w:tcPr>
          <w:p w14:paraId="65091B8C" w14:textId="77777777" w:rsidR="00CC6684" w:rsidRPr="00B275E2" w:rsidRDefault="00CC6684" w:rsidP="007901E7">
            <w:pPr>
              <w:pStyle w:val="TableText"/>
              <w:spacing w:before="30" w:after="30"/>
              <w:rPr>
                <w:szCs w:val="18"/>
              </w:rPr>
            </w:pPr>
          </w:p>
        </w:tc>
        <w:tc>
          <w:tcPr>
            <w:tcW w:w="1434" w:type="dxa"/>
            <w:noWrap/>
            <w:hideMark/>
          </w:tcPr>
          <w:p w14:paraId="65091B8D" w14:textId="29DF1CAB" w:rsidR="00CC6684" w:rsidRPr="00B275E2" w:rsidRDefault="00CC6684" w:rsidP="007901E7">
            <w:pPr>
              <w:pStyle w:val="TableText"/>
              <w:spacing w:before="30" w:after="30"/>
              <w:rPr>
                <w:szCs w:val="18"/>
              </w:rPr>
            </w:pPr>
            <w:r w:rsidRPr="00B275E2">
              <w:rPr>
                <w:szCs w:val="18"/>
              </w:rPr>
              <w:t>2000</w:t>
            </w:r>
            <w:r w:rsidRPr="00B275E2">
              <w:rPr>
                <w:rFonts w:cs="Calibri"/>
                <w:color w:val="000000"/>
                <w:szCs w:val="18"/>
              </w:rPr>
              <w:t xml:space="preserve"> -</w:t>
            </w:r>
            <w:r w:rsidRPr="00B275E2">
              <w:rPr>
                <w:szCs w:val="18"/>
              </w:rPr>
              <w:t xml:space="preserve"> &lt;3000 cc</w:t>
            </w:r>
          </w:p>
        </w:tc>
        <w:tc>
          <w:tcPr>
            <w:tcW w:w="567" w:type="dxa"/>
            <w:noWrap/>
            <w:hideMark/>
          </w:tcPr>
          <w:p w14:paraId="65091B8E" w14:textId="77777777" w:rsidR="00CC6684" w:rsidRPr="00B275E2" w:rsidRDefault="00CC6684" w:rsidP="007901E7">
            <w:pPr>
              <w:pStyle w:val="TableText"/>
              <w:spacing w:before="30" w:after="30"/>
              <w:rPr>
                <w:szCs w:val="18"/>
              </w:rPr>
            </w:pPr>
            <w:r w:rsidRPr="00B275E2">
              <w:rPr>
                <w:szCs w:val="18"/>
              </w:rPr>
              <w:t>km</w:t>
            </w:r>
          </w:p>
        </w:tc>
        <w:tc>
          <w:tcPr>
            <w:tcW w:w="1191" w:type="dxa"/>
            <w:shd w:val="clear" w:color="auto" w:fill="D2DDE1" w:themeFill="background2"/>
            <w:noWrap/>
          </w:tcPr>
          <w:p w14:paraId="65091B8F" w14:textId="328ED795" w:rsidR="00CC6684" w:rsidRPr="00B275E2" w:rsidRDefault="00CC6684" w:rsidP="007901E7">
            <w:pPr>
              <w:pStyle w:val="TableText"/>
              <w:spacing w:before="30" w:after="30"/>
              <w:jc w:val="right"/>
              <w:rPr>
                <w:szCs w:val="18"/>
              </w:rPr>
            </w:pPr>
            <w:r w:rsidRPr="00B275E2">
              <w:rPr>
                <w:rFonts w:cs="Calibri"/>
                <w:szCs w:val="18"/>
              </w:rPr>
              <w:t>0.248</w:t>
            </w:r>
          </w:p>
        </w:tc>
        <w:tc>
          <w:tcPr>
            <w:tcW w:w="1077" w:type="dxa"/>
            <w:shd w:val="clear" w:color="auto" w:fill="auto"/>
            <w:noWrap/>
          </w:tcPr>
          <w:p w14:paraId="65091B90" w14:textId="40103DB0" w:rsidR="00CC6684" w:rsidRPr="00B275E2" w:rsidRDefault="00CC6684" w:rsidP="007901E7">
            <w:pPr>
              <w:pStyle w:val="TableText"/>
              <w:spacing w:before="30" w:after="30"/>
              <w:jc w:val="right"/>
              <w:rPr>
                <w:szCs w:val="18"/>
              </w:rPr>
            </w:pPr>
            <w:r w:rsidRPr="00B275E2">
              <w:rPr>
                <w:rFonts w:cs="Calibri"/>
                <w:szCs w:val="18"/>
              </w:rPr>
              <w:t>0.244</w:t>
            </w:r>
          </w:p>
        </w:tc>
        <w:tc>
          <w:tcPr>
            <w:tcW w:w="1021" w:type="dxa"/>
            <w:shd w:val="clear" w:color="auto" w:fill="auto"/>
            <w:noWrap/>
          </w:tcPr>
          <w:p w14:paraId="65091B91" w14:textId="175021FA" w:rsidR="00CC6684" w:rsidRPr="00B275E2" w:rsidRDefault="00CC6684" w:rsidP="007901E7">
            <w:pPr>
              <w:pStyle w:val="TableText"/>
              <w:spacing w:before="30" w:after="30"/>
              <w:jc w:val="right"/>
              <w:rPr>
                <w:szCs w:val="18"/>
              </w:rPr>
            </w:pPr>
            <w:r w:rsidRPr="00B275E2">
              <w:rPr>
                <w:rFonts w:cs="Calibri"/>
                <w:szCs w:val="18"/>
              </w:rPr>
              <w:t>0.0003</w:t>
            </w:r>
          </w:p>
        </w:tc>
        <w:tc>
          <w:tcPr>
            <w:tcW w:w="1077" w:type="dxa"/>
            <w:shd w:val="clear" w:color="auto" w:fill="auto"/>
            <w:noWrap/>
          </w:tcPr>
          <w:p w14:paraId="65091B92" w14:textId="05A8EB34" w:rsidR="00CC6684" w:rsidRPr="00B275E2" w:rsidRDefault="00CC6684" w:rsidP="007901E7">
            <w:pPr>
              <w:pStyle w:val="TableText"/>
              <w:spacing w:before="30" w:after="30"/>
              <w:jc w:val="right"/>
              <w:rPr>
                <w:szCs w:val="18"/>
              </w:rPr>
            </w:pPr>
            <w:r w:rsidRPr="00B275E2">
              <w:rPr>
                <w:rFonts w:cs="Calibri"/>
                <w:szCs w:val="18"/>
              </w:rPr>
              <w:t>0.004</w:t>
            </w:r>
          </w:p>
        </w:tc>
      </w:tr>
      <w:tr w:rsidR="007901E7" w:rsidRPr="00B275E2" w14:paraId="65091B9B" w14:textId="77777777" w:rsidTr="007901E7">
        <w:trPr>
          <w:trHeight w:val="300"/>
        </w:trPr>
        <w:tc>
          <w:tcPr>
            <w:tcW w:w="1540" w:type="dxa"/>
            <w:vMerge/>
            <w:hideMark/>
          </w:tcPr>
          <w:p w14:paraId="65091B94" w14:textId="77777777" w:rsidR="00CC6684" w:rsidRPr="00B275E2" w:rsidRDefault="00CC6684" w:rsidP="007901E7">
            <w:pPr>
              <w:pStyle w:val="TableText"/>
              <w:spacing w:before="30" w:after="30"/>
              <w:rPr>
                <w:szCs w:val="18"/>
              </w:rPr>
            </w:pPr>
          </w:p>
        </w:tc>
        <w:tc>
          <w:tcPr>
            <w:tcW w:w="1434" w:type="dxa"/>
            <w:noWrap/>
            <w:hideMark/>
          </w:tcPr>
          <w:p w14:paraId="65091B95" w14:textId="77777777" w:rsidR="00CC6684" w:rsidRPr="00B275E2" w:rsidRDefault="00CC6684" w:rsidP="007901E7">
            <w:pPr>
              <w:pStyle w:val="TableText"/>
              <w:spacing w:before="30" w:after="30"/>
              <w:rPr>
                <w:szCs w:val="18"/>
              </w:rPr>
            </w:pPr>
            <w:r w:rsidRPr="00B275E2">
              <w:rPr>
                <w:szCs w:val="18"/>
              </w:rPr>
              <w:t>≥3000 cc</w:t>
            </w:r>
          </w:p>
        </w:tc>
        <w:tc>
          <w:tcPr>
            <w:tcW w:w="567" w:type="dxa"/>
            <w:noWrap/>
            <w:hideMark/>
          </w:tcPr>
          <w:p w14:paraId="65091B96" w14:textId="77777777" w:rsidR="00CC6684" w:rsidRPr="00B275E2" w:rsidRDefault="00CC6684" w:rsidP="007901E7">
            <w:pPr>
              <w:pStyle w:val="TableText"/>
              <w:spacing w:before="30" w:after="30"/>
              <w:rPr>
                <w:szCs w:val="18"/>
              </w:rPr>
            </w:pPr>
            <w:r w:rsidRPr="00B275E2">
              <w:rPr>
                <w:szCs w:val="18"/>
              </w:rPr>
              <w:t>km</w:t>
            </w:r>
          </w:p>
        </w:tc>
        <w:tc>
          <w:tcPr>
            <w:tcW w:w="1191" w:type="dxa"/>
            <w:shd w:val="clear" w:color="auto" w:fill="D2DDE1" w:themeFill="background2"/>
            <w:noWrap/>
          </w:tcPr>
          <w:p w14:paraId="65091B97" w14:textId="7B235101" w:rsidR="00CC6684" w:rsidRPr="00B275E2" w:rsidRDefault="00CC6684" w:rsidP="007901E7">
            <w:pPr>
              <w:pStyle w:val="TableText"/>
              <w:spacing w:before="30" w:after="30"/>
              <w:jc w:val="right"/>
              <w:rPr>
                <w:szCs w:val="18"/>
              </w:rPr>
            </w:pPr>
            <w:r w:rsidRPr="00B275E2">
              <w:rPr>
                <w:rFonts w:cs="Calibri"/>
                <w:szCs w:val="18"/>
              </w:rPr>
              <w:t>0.275</w:t>
            </w:r>
          </w:p>
        </w:tc>
        <w:tc>
          <w:tcPr>
            <w:tcW w:w="1077" w:type="dxa"/>
            <w:shd w:val="clear" w:color="auto" w:fill="auto"/>
            <w:noWrap/>
          </w:tcPr>
          <w:p w14:paraId="65091B98" w14:textId="10911065" w:rsidR="00CC6684" w:rsidRPr="00B275E2" w:rsidRDefault="00CC6684" w:rsidP="007901E7">
            <w:pPr>
              <w:pStyle w:val="TableText"/>
              <w:spacing w:before="30" w:after="30"/>
              <w:jc w:val="right"/>
              <w:rPr>
                <w:szCs w:val="18"/>
              </w:rPr>
            </w:pPr>
            <w:r w:rsidRPr="00B275E2">
              <w:rPr>
                <w:rFonts w:cs="Calibri"/>
                <w:szCs w:val="18"/>
              </w:rPr>
              <w:t>0.270</w:t>
            </w:r>
          </w:p>
        </w:tc>
        <w:tc>
          <w:tcPr>
            <w:tcW w:w="1021" w:type="dxa"/>
            <w:shd w:val="clear" w:color="auto" w:fill="auto"/>
            <w:noWrap/>
          </w:tcPr>
          <w:p w14:paraId="65091B99" w14:textId="21FFA1E8" w:rsidR="00CC6684" w:rsidRPr="00B275E2" w:rsidRDefault="00CC6684" w:rsidP="007901E7">
            <w:pPr>
              <w:pStyle w:val="TableText"/>
              <w:spacing w:before="30" w:after="30"/>
              <w:jc w:val="right"/>
              <w:rPr>
                <w:szCs w:val="18"/>
              </w:rPr>
            </w:pPr>
            <w:r w:rsidRPr="00B275E2">
              <w:rPr>
                <w:rFonts w:cs="Calibri"/>
                <w:szCs w:val="18"/>
              </w:rPr>
              <w:t>0.0004</w:t>
            </w:r>
          </w:p>
        </w:tc>
        <w:tc>
          <w:tcPr>
            <w:tcW w:w="1077" w:type="dxa"/>
            <w:shd w:val="clear" w:color="auto" w:fill="auto"/>
            <w:noWrap/>
          </w:tcPr>
          <w:p w14:paraId="65091B9A" w14:textId="12D25A93" w:rsidR="00CC6684" w:rsidRPr="00B275E2" w:rsidRDefault="00CC6684" w:rsidP="007901E7">
            <w:pPr>
              <w:pStyle w:val="TableText"/>
              <w:spacing w:before="30" w:after="30"/>
              <w:jc w:val="right"/>
              <w:rPr>
                <w:szCs w:val="18"/>
              </w:rPr>
            </w:pPr>
            <w:r w:rsidRPr="00B275E2">
              <w:rPr>
                <w:rFonts w:cs="Calibri"/>
                <w:szCs w:val="18"/>
              </w:rPr>
              <w:t>0.004</w:t>
            </w:r>
          </w:p>
        </w:tc>
      </w:tr>
      <w:tr w:rsidR="007901E7" w:rsidRPr="00B275E2" w14:paraId="65091BA3" w14:textId="77777777" w:rsidTr="007901E7">
        <w:trPr>
          <w:trHeight w:val="345"/>
        </w:trPr>
        <w:tc>
          <w:tcPr>
            <w:tcW w:w="1540" w:type="dxa"/>
            <w:vMerge w:val="restart"/>
            <w:hideMark/>
          </w:tcPr>
          <w:p w14:paraId="65091B9C" w14:textId="77777777" w:rsidR="00CC6684" w:rsidRPr="00B275E2" w:rsidRDefault="00CC6684" w:rsidP="007901E7">
            <w:pPr>
              <w:pStyle w:val="TableText"/>
              <w:spacing w:before="30" w:after="30"/>
              <w:rPr>
                <w:szCs w:val="18"/>
              </w:rPr>
            </w:pPr>
            <w:r w:rsidRPr="00B275E2">
              <w:rPr>
                <w:szCs w:val="18"/>
              </w:rPr>
              <w:t xml:space="preserve">Petrol hybrid vehicle </w:t>
            </w:r>
          </w:p>
        </w:tc>
        <w:tc>
          <w:tcPr>
            <w:tcW w:w="1434" w:type="dxa"/>
            <w:noWrap/>
            <w:hideMark/>
          </w:tcPr>
          <w:p w14:paraId="65091B9D" w14:textId="77777777" w:rsidR="00CC6684" w:rsidRPr="00B275E2" w:rsidRDefault="00CC6684" w:rsidP="007901E7">
            <w:pPr>
              <w:pStyle w:val="TableText"/>
              <w:spacing w:before="30" w:after="30"/>
              <w:rPr>
                <w:szCs w:val="18"/>
              </w:rPr>
            </w:pPr>
            <w:r w:rsidRPr="00B275E2">
              <w:rPr>
                <w:szCs w:val="18"/>
              </w:rPr>
              <w:t>&lt;1350 cc</w:t>
            </w:r>
          </w:p>
        </w:tc>
        <w:tc>
          <w:tcPr>
            <w:tcW w:w="567" w:type="dxa"/>
            <w:noWrap/>
            <w:hideMark/>
          </w:tcPr>
          <w:p w14:paraId="65091B9E" w14:textId="77777777" w:rsidR="00CC6684" w:rsidRPr="00B275E2" w:rsidRDefault="00CC6684" w:rsidP="007901E7">
            <w:pPr>
              <w:pStyle w:val="TableText"/>
              <w:spacing w:before="30" w:after="30"/>
              <w:rPr>
                <w:szCs w:val="18"/>
              </w:rPr>
            </w:pPr>
            <w:r w:rsidRPr="00B275E2">
              <w:rPr>
                <w:szCs w:val="18"/>
              </w:rPr>
              <w:t>km</w:t>
            </w:r>
          </w:p>
        </w:tc>
        <w:tc>
          <w:tcPr>
            <w:tcW w:w="1191" w:type="dxa"/>
            <w:shd w:val="clear" w:color="auto" w:fill="D2DDE1" w:themeFill="background2"/>
            <w:noWrap/>
          </w:tcPr>
          <w:p w14:paraId="65091B9F" w14:textId="565678AE" w:rsidR="00CC6684" w:rsidRPr="00B275E2" w:rsidRDefault="00CC6684" w:rsidP="007901E7">
            <w:pPr>
              <w:pStyle w:val="TableText"/>
              <w:spacing w:before="30" w:after="30"/>
              <w:jc w:val="right"/>
              <w:rPr>
                <w:szCs w:val="18"/>
              </w:rPr>
            </w:pPr>
            <w:r w:rsidRPr="00B275E2">
              <w:rPr>
                <w:rFonts w:cs="Calibri"/>
                <w:szCs w:val="18"/>
              </w:rPr>
              <w:t>0.141</w:t>
            </w:r>
          </w:p>
        </w:tc>
        <w:tc>
          <w:tcPr>
            <w:tcW w:w="1077" w:type="dxa"/>
            <w:shd w:val="clear" w:color="auto" w:fill="auto"/>
            <w:noWrap/>
          </w:tcPr>
          <w:p w14:paraId="65091BA0" w14:textId="67D475C8" w:rsidR="00CC6684" w:rsidRPr="00B275E2" w:rsidRDefault="00CC6684" w:rsidP="007901E7">
            <w:pPr>
              <w:pStyle w:val="TableText"/>
              <w:spacing w:before="30" w:after="30"/>
              <w:jc w:val="right"/>
              <w:rPr>
                <w:szCs w:val="18"/>
              </w:rPr>
            </w:pPr>
            <w:r w:rsidRPr="00B275E2">
              <w:rPr>
                <w:rFonts w:cs="Calibri"/>
                <w:szCs w:val="18"/>
              </w:rPr>
              <w:t>0.135</w:t>
            </w:r>
          </w:p>
        </w:tc>
        <w:tc>
          <w:tcPr>
            <w:tcW w:w="1021" w:type="dxa"/>
            <w:shd w:val="clear" w:color="auto" w:fill="auto"/>
            <w:noWrap/>
          </w:tcPr>
          <w:p w14:paraId="65091BA1" w14:textId="01D40C40" w:rsidR="00CC6684" w:rsidRPr="00B275E2" w:rsidRDefault="00CC6684" w:rsidP="007901E7">
            <w:pPr>
              <w:pStyle w:val="TableText"/>
              <w:spacing w:before="30" w:after="30"/>
              <w:jc w:val="right"/>
              <w:rPr>
                <w:szCs w:val="18"/>
              </w:rPr>
            </w:pPr>
            <w:r w:rsidRPr="00B275E2">
              <w:rPr>
                <w:rFonts w:cs="Calibri"/>
                <w:szCs w:val="18"/>
              </w:rPr>
              <w:t>0.002</w:t>
            </w:r>
          </w:p>
        </w:tc>
        <w:tc>
          <w:tcPr>
            <w:tcW w:w="1077" w:type="dxa"/>
            <w:shd w:val="clear" w:color="auto" w:fill="auto"/>
            <w:noWrap/>
          </w:tcPr>
          <w:p w14:paraId="65091BA2" w14:textId="310FE553" w:rsidR="00CC6684" w:rsidRPr="00B275E2" w:rsidRDefault="00CC6684" w:rsidP="007901E7">
            <w:pPr>
              <w:pStyle w:val="TableText"/>
              <w:spacing w:before="30" w:after="30"/>
              <w:jc w:val="right"/>
              <w:rPr>
                <w:szCs w:val="18"/>
              </w:rPr>
            </w:pPr>
            <w:r w:rsidRPr="00B275E2">
              <w:rPr>
                <w:rFonts w:cs="Calibri"/>
                <w:szCs w:val="18"/>
              </w:rPr>
              <w:t>0.005</w:t>
            </w:r>
          </w:p>
        </w:tc>
      </w:tr>
      <w:tr w:rsidR="007901E7" w:rsidRPr="00B275E2" w14:paraId="65091BAB" w14:textId="77777777" w:rsidTr="007901E7">
        <w:trPr>
          <w:trHeight w:val="300"/>
        </w:trPr>
        <w:tc>
          <w:tcPr>
            <w:tcW w:w="1540" w:type="dxa"/>
            <w:vMerge/>
            <w:hideMark/>
          </w:tcPr>
          <w:p w14:paraId="65091BA4" w14:textId="77777777" w:rsidR="00CC6684" w:rsidRPr="00B275E2" w:rsidRDefault="00CC6684" w:rsidP="007901E7">
            <w:pPr>
              <w:pStyle w:val="TableText"/>
              <w:spacing w:before="30" w:after="30"/>
              <w:rPr>
                <w:szCs w:val="18"/>
              </w:rPr>
            </w:pPr>
          </w:p>
        </w:tc>
        <w:tc>
          <w:tcPr>
            <w:tcW w:w="1434" w:type="dxa"/>
            <w:noWrap/>
            <w:hideMark/>
          </w:tcPr>
          <w:p w14:paraId="65091BA5" w14:textId="320C61A2" w:rsidR="00CC6684" w:rsidRPr="00B275E2" w:rsidRDefault="00CC6684" w:rsidP="007901E7">
            <w:pPr>
              <w:pStyle w:val="TableText"/>
              <w:spacing w:before="30" w:after="30"/>
              <w:rPr>
                <w:szCs w:val="18"/>
              </w:rPr>
            </w:pPr>
            <w:r w:rsidRPr="00B275E2">
              <w:rPr>
                <w:szCs w:val="18"/>
              </w:rPr>
              <w:t>1350</w:t>
            </w:r>
            <w:r w:rsidRPr="00B275E2">
              <w:rPr>
                <w:rFonts w:cs="Calibri"/>
                <w:color w:val="000000"/>
                <w:szCs w:val="18"/>
              </w:rPr>
              <w:t xml:space="preserve"> -</w:t>
            </w:r>
            <w:r w:rsidRPr="00B275E2">
              <w:rPr>
                <w:szCs w:val="18"/>
              </w:rPr>
              <w:t xml:space="preserve"> &lt;1600 cc</w:t>
            </w:r>
          </w:p>
        </w:tc>
        <w:tc>
          <w:tcPr>
            <w:tcW w:w="567" w:type="dxa"/>
            <w:noWrap/>
            <w:hideMark/>
          </w:tcPr>
          <w:p w14:paraId="65091BA6" w14:textId="77777777" w:rsidR="00CC6684" w:rsidRPr="00B275E2" w:rsidRDefault="00CC6684" w:rsidP="007901E7">
            <w:pPr>
              <w:pStyle w:val="TableText"/>
              <w:spacing w:before="30" w:after="30"/>
              <w:rPr>
                <w:szCs w:val="18"/>
              </w:rPr>
            </w:pPr>
            <w:r w:rsidRPr="00B275E2">
              <w:rPr>
                <w:szCs w:val="18"/>
              </w:rPr>
              <w:t>km</w:t>
            </w:r>
          </w:p>
        </w:tc>
        <w:tc>
          <w:tcPr>
            <w:tcW w:w="1191" w:type="dxa"/>
            <w:shd w:val="clear" w:color="auto" w:fill="D2DDE1" w:themeFill="background2"/>
            <w:noWrap/>
          </w:tcPr>
          <w:p w14:paraId="65091BA7" w14:textId="4EAD8C00" w:rsidR="00CC6684" w:rsidRPr="00B275E2" w:rsidRDefault="00CC6684" w:rsidP="007901E7">
            <w:pPr>
              <w:pStyle w:val="TableText"/>
              <w:spacing w:before="30" w:after="30"/>
              <w:jc w:val="right"/>
              <w:rPr>
                <w:szCs w:val="18"/>
              </w:rPr>
            </w:pPr>
            <w:r w:rsidRPr="00B275E2">
              <w:rPr>
                <w:rFonts w:cs="Calibri"/>
                <w:szCs w:val="18"/>
              </w:rPr>
              <w:t>0.146</w:t>
            </w:r>
          </w:p>
        </w:tc>
        <w:tc>
          <w:tcPr>
            <w:tcW w:w="1077" w:type="dxa"/>
            <w:shd w:val="clear" w:color="auto" w:fill="auto"/>
            <w:noWrap/>
          </w:tcPr>
          <w:p w14:paraId="65091BA8" w14:textId="317ECCD9" w:rsidR="00CC6684" w:rsidRPr="00B275E2" w:rsidRDefault="00CC6684" w:rsidP="007901E7">
            <w:pPr>
              <w:pStyle w:val="TableText"/>
              <w:spacing w:before="30" w:after="30"/>
              <w:jc w:val="right"/>
              <w:rPr>
                <w:szCs w:val="18"/>
              </w:rPr>
            </w:pPr>
            <w:r w:rsidRPr="00B275E2">
              <w:rPr>
                <w:rFonts w:cs="Calibri"/>
                <w:szCs w:val="18"/>
              </w:rPr>
              <w:t>0.140</w:t>
            </w:r>
          </w:p>
        </w:tc>
        <w:tc>
          <w:tcPr>
            <w:tcW w:w="1021" w:type="dxa"/>
            <w:shd w:val="clear" w:color="auto" w:fill="auto"/>
            <w:noWrap/>
          </w:tcPr>
          <w:p w14:paraId="65091BA9" w14:textId="62167D4B" w:rsidR="00CC6684" w:rsidRPr="00B275E2" w:rsidRDefault="00CC6684" w:rsidP="007901E7">
            <w:pPr>
              <w:pStyle w:val="TableText"/>
              <w:spacing w:before="30" w:after="30"/>
              <w:jc w:val="right"/>
              <w:rPr>
                <w:szCs w:val="18"/>
              </w:rPr>
            </w:pPr>
            <w:r w:rsidRPr="00B275E2">
              <w:rPr>
                <w:rFonts w:cs="Calibri"/>
                <w:szCs w:val="18"/>
              </w:rPr>
              <w:t>0.002</w:t>
            </w:r>
          </w:p>
        </w:tc>
        <w:tc>
          <w:tcPr>
            <w:tcW w:w="1077" w:type="dxa"/>
            <w:shd w:val="clear" w:color="auto" w:fill="auto"/>
            <w:noWrap/>
          </w:tcPr>
          <w:p w14:paraId="65091BAA" w14:textId="6C44A2F3" w:rsidR="00CC6684" w:rsidRPr="00B275E2" w:rsidRDefault="00CC6684" w:rsidP="007901E7">
            <w:pPr>
              <w:pStyle w:val="TableText"/>
              <w:spacing w:before="30" w:after="30"/>
              <w:jc w:val="right"/>
              <w:rPr>
                <w:szCs w:val="18"/>
              </w:rPr>
            </w:pPr>
            <w:r w:rsidRPr="00B275E2">
              <w:rPr>
                <w:rFonts w:cs="Calibri"/>
                <w:szCs w:val="18"/>
              </w:rPr>
              <w:t>0.005</w:t>
            </w:r>
          </w:p>
        </w:tc>
      </w:tr>
      <w:tr w:rsidR="007901E7" w:rsidRPr="00B275E2" w14:paraId="65091BB3" w14:textId="77777777" w:rsidTr="007901E7">
        <w:trPr>
          <w:trHeight w:val="300"/>
        </w:trPr>
        <w:tc>
          <w:tcPr>
            <w:tcW w:w="1540" w:type="dxa"/>
            <w:vMerge/>
            <w:hideMark/>
          </w:tcPr>
          <w:p w14:paraId="65091BAC" w14:textId="77777777" w:rsidR="00CC6684" w:rsidRPr="00B275E2" w:rsidRDefault="00CC6684" w:rsidP="007901E7">
            <w:pPr>
              <w:pStyle w:val="TableText"/>
              <w:spacing w:before="30" w:after="30"/>
              <w:rPr>
                <w:szCs w:val="18"/>
              </w:rPr>
            </w:pPr>
          </w:p>
        </w:tc>
        <w:tc>
          <w:tcPr>
            <w:tcW w:w="1434" w:type="dxa"/>
            <w:noWrap/>
            <w:hideMark/>
          </w:tcPr>
          <w:p w14:paraId="65091BAD" w14:textId="16DB90ED" w:rsidR="00CC6684" w:rsidRPr="00B275E2" w:rsidRDefault="00CC6684" w:rsidP="007901E7">
            <w:pPr>
              <w:pStyle w:val="TableText"/>
              <w:spacing w:before="30" w:after="30"/>
              <w:rPr>
                <w:szCs w:val="18"/>
              </w:rPr>
            </w:pPr>
            <w:r w:rsidRPr="00B275E2">
              <w:rPr>
                <w:szCs w:val="18"/>
              </w:rPr>
              <w:t>1600</w:t>
            </w:r>
            <w:r w:rsidRPr="00B275E2">
              <w:rPr>
                <w:rFonts w:cs="Calibri"/>
                <w:color w:val="000000"/>
                <w:szCs w:val="18"/>
              </w:rPr>
              <w:t xml:space="preserve"> -</w:t>
            </w:r>
            <w:r w:rsidRPr="00B275E2">
              <w:rPr>
                <w:szCs w:val="18"/>
              </w:rPr>
              <w:t xml:space="preserve"> &lt;2000 cc</w:t>
            </w:r>
          </w:p>
        </w:tc>
        <w:tc>
          <w:tcPr>
            <w:tcW w:w="567" w:type="dxa"/>
            <w:noWrap/>
            <w:hideMark/>
          </w:tcPr>
          <w:p w14:paraId="65091BAE" w14:textId="77777777" w:rsidR="00CC6684" w:rsidRPr="00B275E2" w:rsidRDefault="00CC6684" w:rsidP="007901E7">
            <w:pPr>
              <w:pStyle w:val="TableText"/>
              <w:spacing w:before="30" w:after="30"/>
              <w:rPr>
                <w:szCs w:val="18"/>
              </w:rPr>
            </w:pPr>
            <w:r w:rsidRPr="00B275E2">
              <w:rPr>
                <w:szCs w:val="18"/>
              </w:rPr>
              <w:t>km</w:t>
            </w:r>
          </w:p>
        </w:tc>
        <w:tc>
          <w:tcPr>
            <w:tcW w:w="1191" w:type="dxa"/>
            <w:shd w:val="clear" w:color="auto" w:fill="D2DDE1" w:themeFill="background2"/>
            <w:noWrap/>
          </w:tcPr>
          <w:p w14:paraId="65091BAF" w14:textId="58CE2829" w:rsidR="00CC6684" w:rsidRPr="00B275E2" w:rsidRDefault="00CC6684" w:rsidP="007901E7">
            <w:pPr>
              <w:pStyle w:val="TableText"/>
              <w:spacing w:before="30" w:after="30"/>
              <w:jc w:val="right"/>
              <w:rPr>
                <w:szCs w:val="18"/>
              </w:rPr>
            </w:pPr>
            <w:r w:rsidRPr="00B275E2">
              <w:rPr>
                <w:rFonts w:cs="Calibri"/>
                <w:szCs w:val="18"/>
              </w:rPr>
              <w:t>0.165</w:t>
            </w:r>
          </w:p>
        </w:tc>
        <w:tc>
          <w:tcPr>
            <w:tcW w:w="1077" w:type="dxa"/>
            <w:shd w:val="clear" w:color="auto" w:fill="auto"/>
            <w:noWrap/>
          </w:tcPr>
          <w:p w14:paraId="65091BB0" w14:textId="08F4C2CA" w:rsidR="00CC6684" w:rsidRPr="00B275E2" w:rsidRDefault="00CC6684" w:rsidP="007901E7">
            <w:pPr>
              <w:pStyle w:val="TableText"/>
              <w:spacing w:before="30" w:after="30"/>
              <w:jc w:val="right"/>
              <w:rPr>
                <w:szCs w:val="18"/>
              </w:rPr>
            </w:pPr>
            <w:r w:rsidRPr="00B275E2">
              <w:rPr>
                <w:rFonts w:cs="Calibri"/>
                <w:szCs w:val="18"/>
              </w:rPr>
              <w:t>0.157</w:t>
            </w:r>
          </w:p>
        </w:tc>
        <w:tc>
          <w:tcPr>
            <w:tcW w:w="1021" w:type="dxa"/>
            <w:shd w:val="clear" w:color="auto" w:fill="auto"/>
            <w:noWrap/>
          </w:tcPr>
          <w:p w14:paraId="65091BB1" w14:textId="5616DB8A" w:rsidR="00CC6684" w:rsidRPr="00B275E2" w:rsidRDefault="00CC6684" w:rsidP="007901E7">
            <w:pPr>
              <w:pStyle w:val="TableText"/>
              <w:spacing w:before="30" w:after="30"/>
              <w:jc w:val="right"/>
              <w:rPr>
                <w:szCs w:val="18"/>
              </w:rPr>
            </w:pPr>
            <w:r w:rsidRPr="00B275E2">
              <w:rPr>
                <w:rFonts w:cs="Calibri"/>
                <w:szCs w:val="18"/>
              </w:rPr>
              <w:t>0.002</w:t>
            </w:r>
          </w:p>
        </w:tc>
        <w:tc>
          <w:tcPr>
            <w:tcW w:w="1077" w:type="dxa"/>
            <w:shd w:val="clear" w:color="auto" w:fill="auto"/>
            <w:noWrap/>
          </w:tcPr>
          <w:p w14:paraId="65091BB2" w14:textId="4D169F9C" w:rsidR="00CC6684" w:rsidRPr="00B275E2" w:rsidRDefault="00CC6684" w:rsidP="007901E7">
            <w:pPr>
              <w:pStyle w:val="TableText"/>
              <w:spacing w:before="30" w:after="30"/>
              <w:jc w:val="right"/>
              <w:rPr>
                <w:szCs w:val="18"/>
              </w:rPr>
            </w:pPr>
            <w:r w:rsidRPr="00B275E2">
              <w:rPr>
                <w:rFonts w:cs="Calibri"/>
                <w:szCs w:val="18"/>
              </w:rPr>
              <w:t>0.005</w:t>
            </w:r>
          </w:p>
        </w:tc>
      </w:tr>
      <w:tr w:rsidR="007901E7" w:rsidRPr="00B275E2" w14:paraId="65091BBB" w14:textId="77777777" w:rsidTr="007901E7">
        <w:trPr>
          <w:trHeight w:val="300"/>
        </w:trPr>
        <w:tc>
          <w:tcPr>
            <w:tcW w:w="1540" w:type="dxa"/>
            <w:vMerge/>
            <w:hideMark/>
          </w:tcPr>
          <w:p w14:paraId="65091BB4" w14:textId="77777777" w:rsidR="00CC6684" w:rsidRPr="00B275E2" w:rsidRDefault="00CC6684" w:rsidP="007901E7">
            <w:pPr>
              <w:pStyle w:val="TableText"/>
              <w:spacing w:before="30" w:after="30"/>
              <w:rPr>
                <w:szCs w:val="18"/>
              </w:rPr>
            </w:pPr>
          </w:p>
        </w:tc>
        <w:tc>
          <w:tcPr>
            <w:tcW w:w="1434" w:type="dxa"/>
            <w:noWrap/>
            <w:hideMark/>
          </w:tcPr>
          <w:p w14:paraId="65091BB5" w14:textId="27C9DEFB" w:rsidR="00CC6684" w:rsidRPr="00B275E2" w:rsidRDefault="00CC6684" w:rsidP="007901E7">
            <w:pPr>
              <w:pStyle w:val="TableText"/>
              <w:spacing w:before="30" w:after="30"/>
              <w:rPr>
                <w:szCs w:val="18"/>
              </w:rPr>
            </w:pPr>
            <w:r w:rsidRPr="00B275E2">
              <w:rPr>
                <w:szCs w:val="18"/>
              </w:rPr>
              <w:t>2000</w:t>
            </w:r>
            <w:r w:rsidRPr="00B275E2">
              <w:rPr>
                <w:rFonts w:cs="Calibri"/>
                <w:color w:val="000000"/>
                <w:szCs w:val="18"/>
              </w:rPr>
              <w:t xml:space="preserve"> -</w:t>
            </w:r>
            <w:r w:rsidRPr="00B275E2">
              <w:rPr>
                <w:szCs w:val="18"/>
              </w:rPr>
              <w:t xml:space="preserve"> &lt;3000 cc</w:t>
            </w:r>
          </w:p>
        </w:tc>
        <w:tc>
          <w:tcPr>
            <w:tcW w:w="567" w:type="dxa"/>
            <w:noWrap/>
            <w:hideMark/>
          </w:tcPr>
          <w:p w14:paraId="65091BB6" w14:textId="77777777" w:rsidR="00CC6684" w:rsidRPr="00B275E2" w:rsidRDefault="00CC6684" w:rsidP="007901E7">
            <w:pPr>
              <w:pStyle w:val="TableText"/>
              <w:spacing w:before="30" w:after="30"/>
              <w:rPr>
                <w:szCs w:val="18"/>
              </w:rPr>
            </w:pPr>
            <w:r w:rsidRPr="00B275E2">
              <w:rPr>
                <w:szCs w:val="18"/>
              </w:rPr>
              <w:t>km</w:t>
            </w:r>
          </w:p>
        </w:tc>
        <w:tc>
          <w:tcPr>
            <w:tcW w:w="1191" w:type="dxa"/>
            <w:shd w:val="clear" w:color="auto" w:fill="D2DDE1" w:themeFill="background2"/>
            <w:noWrap/>
          </w:tcPr>
          <w:p w14:paraId="65091BB7" w14:textId="36417747" w:rsidR="00CC6684" w:rsidRPr="00B275E2" w:rsidRDefault="00CC6684" w:rsidP="007901E7">
            <w:pPr>
              <w:pStyle w:val="TableText"/>
              <w:spacing w:before="30" w:after="30"/>
              <w:jc w:val="right"/>
              <w:rPr>
                <w:szCs w:val="18"/>
              </w:rPr>
            </w:pPr>
            <w:r w:rsidRPr="00B275E2">
              <w:rPr>
                <w:rFonts w:cs="Calibri"/>
                <w:szCs w:val="18"/>
              </w:rPr>
              <w:t>0.183</w:t>
            </w:r>
          </w:p>
        </w:tc>
        <w:tc>
          <w:tcPr>
            <w:tcW w:w="1077" w:type="dxa"/>
            <w:shd w:val="clear" w:color="auto" w:fill="auto"/>
            <w:noWrap/>
          </w:tcPr>
          <w:p w14:paraId="65091BB8" w14:textId="22442127" w:rsidR="00CC6684" w:rsidRPr="00B275E2" w:rsidRDefault="00CC6684" w:rsidP="007901E7">
            <w:pPr>
              <w:pStyle w:val="TableText"/>
              <w:spacing w:before="30" w:after="30"/>
              <w:jc w:val="right"/>
              <w:rPr>
                <w:szCs w:val="18"/>
              </w:rPr>
            </w:pPr>
            <w:r w:rsidRPr="00B275E2">
              <w:rPr>
                <w:rFonts w:cs="Calibri"/>
                <w:szCs w:val="18"/>
              </w:rPr>
              <w:t>0.175</w:t>
            </w:r>
          </w:p>
        </w:tc>
        <w:tc>
          <w:tcPr>
            <w:tcW w:w="1021" w:type="dxa"/>
            <w:shd w:val="clear" w:color="auto" w:fill="auto"/>
            <w:noWrap/>
          </w:tcPr>
          <w:p w14:paraId="65091BB9" w14:textId="068C9A87" w:rsidR="00CC6684" w:rsidRPr="00B275E2" w:rsidRDefault="00CC6684" w:rsidP="007901E7">
            <w:pPr>
              <w:pStyle w:val="TableText"/>
              <w:spacing w:before="30" w:after="30"/>
              <w:jc w:val="right"/>
              <w:rPr>
                <w:szCs w:val="18"/>
              </w:rPr>
            </w:pPr>
            <w:r w:rsidRPr="00B275E2">
              <w:rPr>
                <w:rFonts w:cs="Calibri"/>
                <w:szCs w:val="18"/>
              </w:rPr>
              <w:t>0.002</w:t>
            </w:r>
          </w:p>
        </w:tc>
        <w:tc>
          <w:tcPr>
            <w:tcW w:w="1077" w:type="dxa"/>
            <w:shd w:val="clear" w:color="auto" w:fill="auto"/>
            <w:noWrap/>
          </w:tcPr>
          <w:p w14:paraId="65091BBA" w14:textId="325C9629" w:rsidR="00CC6684" w:rsidRPr="00B275E2" w:rsidRDefault="00CC6684" w:rsidP="007901E7">
            <w:pPr>
              <w:pStyle w:val="TableText"/>
              <w:spacing w:before="30" w:after="30"/>
              <w:jc w:val="right"/>
              <w:rPr>
                <w:szCs w:val="18"/>
              </w:rPr>
            </w:pPr>
            <w:r w:rsidRPr="00B275E2">
              <w:rPr>
                <w:rFonts w:cs="Calibri"/>
                <w:szCs w:val="18"/>
              </w:rPr>
              <w:t>0.006</w:t>
            </w:r>
          </w:p>
        </w:tc>
      </w:tr>
      <w:tr w:rsidR="007901E7" w:rsidRPr="00B275E2" w14:paraId="65091BC3" w14:textId="77777777" w:rsidTr="007901E7">
        <w:trPr>
          <w:trHeight w:val="300"/>
        </w:trPr>
        <w:tc>
          <w:tcPr>
            <w:tcW w:w="1540" w:type="dxa"/>
            <w:vMerge/>
            <w:hideMark/>
          </w:tcPr>
          <w:p w14:paraId="65091BBC" w14:textId="77777777" w:rsidR="00CC6684" w:rsidRPr="00B275E2" w:rsidRDefault="00CC6684" w:rsidP="007901E7">
            <w:pPr>
              <w:pStyle w:val="TableText"/>
              <w:spacing w:before="30" w:after="30"/>
              <w:rPr>
                <w:szCs w:val="18"/>
              </w:rPr>
            </w:pPr>
          </w:p>
        </w:tc>
        <w:tc>
          <w:tcPr>
            <w:tcW w:w="1434" w:type="dxa"/>
            <w:noWrap/>
            <w:hideMark/>
          </w:tcPr>
          <w:p w14:paraId="65091BBD" w14:textId="77777777" w:rsidR="00CC6684" w:rsidRPr="00B275E2" w:rsidRDefault="00CC6684" w:rsidP="007901E7">
            <w:pPr>
              <w:pStyle w:val="TableText"/>
              <w:spacing w:before="30" w:after="30"/>
              <w:rPr>
                <w:szCs w:val="18"/>
              </w:rPr>
            </w:pPr>
            <w:r w:rsidRPr="00B275E2">
              <w:rPr>
                <w:szCs w:val="18"/>
              </w:rPr>
              <w:t>≥3000 cc</w:t>
            </w:r>
          </w:p>
        </w:tc>
        <w:tc>
          <w:tcPr>
            <w:tcW w:w="567" w:type="dxa"/>
            <w:noWrap/>
            <w:hideMark/>
          </w:tcPr>
          <w:p w14:paraId="65091BBE" w14:textId="77777777" w:rsidR="00CC6684" w:rsidRPr="00B275E2" w:rsidRDefault="00CC6684" w:rsidP="007901E7">
            <w:pPr>
              <w:pStyle w:val="TableText"/>
              <w:spacing w:before="30" w:after="30"/>
              <w:rPr>
                <w:szCs w:val="18"/>
              </w:rPr>
            </w:pPr>
            <w:r w:rsidRPr="00B275E2">
              <w:rPr>
                <w:szCs w:val="18"/>
              </w:rPr>
              <w:t>km</w:t>
            </w:r>
          </w:p>
        </w:tc>
        <w:tc>
          <w:tcPr>
            <w:tcW w:w="1191" w:type="dxa"/>
            <w:shd w:val="clear" w:color="auto" w:fill="D2DDE1" w:themeFill="background2"/>
            <w:noWrap/>
          </w:tcPr>
          <w:p w14:paraId="65091BBF" w14:textId="1130559C" w:rsidR="00CC6684" w:rsidRPr="00B275E2" w:rsidRDefault="00CC6684" w:rsidP="007901E7">
            <w:pPr>
              <w:pStyle w:val="TableText"/>
              <w:spacing w:before="30" w:after="30"/>
              <w:jc w:val="right"/>
              <w:rPr>
                <w:szCs w:val="18"/>
              </w:rPr>
            </w:pPr>
            <w:r w:rsidRPr="00B275E2">
              <w:rPr>
                <w:rFonts w:cs="Calibri"/>
                <w:szCs w:val="18"/>
              </w:rPr>
              <w:t>0.219</w:t>
            </w:r>
          </w:p>
        </w:tc>
        <w:tc>
          <w:tcPr>
            <w:tcW w:w="1077" w:type="dxa"/>
            <w:shd w:val="clear" w:color="auto" w:fill="auto"/>
            <w:noWrap/>
          </w:tcPr>
          <w:p w14:paraId="65091BC0" w14:textId="6E9F5905" w:rsidR="00CC6684" w:rsidRPr="00B275E2" w:rsidRDefault="00CC6684" w:rsidP="007901E7">
            <w:pPr>
              <w:pStyle w:val="TableText"/>
              <w:spacing w:before="30" w:after="30"/>
              <w:jc w:val="right"/>
              <w:rPr>
                <w:szCs w:val="18"/>
              </w:rPr>
            </w:pPr>
            <w:r w:rsidRPr="00B275E2">
              <w:rPr>
                <w:rFonts w:cs="Calibri"/>
                <w:szCs w:val="18"/>
              </w:rPr>
              <w:t>0.209</w:t>
            </w:r>
          </w:p>
        </w:tc>
        <w:tc>
          <w:tcPr>
            <w:tcW w:w="1021" w:type="dxa"/>
            <w:shd w:val="clear" w:color="auto" w:fill="auto"/>
            <w:noWrap/>
          </w:tcPr>
          <w:p w14:paraId="65091BC1" w14:textId="5FC2F98C" w:rsidR="00CC6684" w:rsidRPr="00B275E2" w:rsidRDefault="00CC6684" w:rsidP="007901E7">
            <w:pPr>
              <w:pStyle w:val="TableText"/>
              <w:spacing w:before="30" w:after="30"/>
              <w:jc w:val="right"/>
              <w:rPr>
                <w:szCs w:val="18"/>
              </w:rPr>
            </w:pPr>
            <w:r w:rsidRPr="00B275E2">
              <w:rPr>
                <w:rFonts w:cs="Calibri"/>
                <w:szCs w:val="18"/>
              </w:rPr>
              <w:t>0.002</w:t>
            </w:r>
          </w:p>
        </w:tc>
        <w:tc>
          <w:tcPr>
            <w:tcW w:w="1077" w:type="dxa"/>
            <w:shd w:val="clear" w:color="auto" w:fill="auto"/>
            <w:noWrap/>
          </w:tcPr>
          <w:p w14:paraId="65091BC2" w14:textId="64ABEB82" w:rsidR="00CC6684" w:rsidRPr="00B275E2" w:rsidRDefault="00CC6684" w:rsidP="007901E7">
            <w:pPr>
              <w:pStyle w:val="TableText"/>
              <w:spacing w:before="30" w:after="30"/>
              <w:jc w:val="right"/>
              <w:rPr>
                <w:szCs w:val="18"/>
              </w:rPr>
            </w:pPr>
            <w:r w:rsidRPr="00B275E2">
              <w:rPr>
                <w:rFonts w:cs="Calibri"/>
                <w:szCs w:val="18"/>
              </w:rPr>
              <w:t>0.007</w:t>
            </w:r>
          </w:p>
        </w:tc>
      </w:tr>
      <w:tr w:rsidR="007901E7" w:rsidRPr="00B275E2" w14:paraId="65091BCB" w14:textId="77777777" w:rsidTr="007901E7">
        <w:trPr>
          <w:trHeight w:val="300"/>
        </w:trPr>
        <w:tc>
          <w:tcPr>
            <w:tcW w:w="1540" w:type="dxa"/>
            <w:vMerge w:val="restart"/>
          </w:tcPr>
          <w:p w14:paraId="65091BC4" w14:textId="77777777" w:rsidR="00CC6684" w:rsidRPr="00B275E2" w:rsidRDefault="00CC6684" w:rsidP="007901E7">
            <w:pPr>
              <w:pStyle w:val="TableText"/>
              <w:spacing w:before="30" w:after="30"/>
              <w:rPr>
                <w:szCs w:val="18"/>
              </w:rPr>
            </w:pPr>
            <w:r w:rsidRPr="00B275E2">
              <w:rPr>
                <w:szCs w:val="18"/>
              </w:rPr>
              <w:t>Diesel hybrid vehicle</w:t>
            </w:r>
          </w:p>
        </w:tc>
        <w:tc>
          <w:tcPr>
            <w:tcW w:w="1434" w:type="dxa"/>
            <w:noWrap/>
          </w:tcPr>
          <w:p w14:paraId="65091BC5" w14:textId="77777777" w:rsidR="00CC6684" w:rsidRPr="00B275E2" w:rsidRDefault="00CC6684" w:rsidP="007901E7">
            <w:pPr>
              <w:pStyle w:val="TableText"/>
              <w:spacing w:before="30" w:after="30"/>
              <w:rPr>
                <w:szCs w:val="18"/>
              </w:rPr>
            </w:pPr>
            <w:r w:rsidRPr="00B275E2">
              <w:rPr>
                <w:szCs w:val="18"/>
              </w:rPr>
              <w:t>&lt;1350 cc</w:t>
            </w:r>
          </w:p>
        </w:tc>
        <w:tc>
          <w:tcPr>
            <w:tcW w:w="567" w:type="dxa"/>
            <w:noWrap/>
          </w:tcPr>
          <w:p w14:paraId="65091BC6" w14:textId="77777777" w:rsidR="00CC6684" w:rsidRPr="00B275E2" w:rsidRDefault="00CC6684" w:rsidP="007901E7">
            <w:pPr>
              <w:pStyle w:val="TableText"/>
              <w:spacing w:before="30" w:after="30"/>
              <w:rPr>
                <w:szCs w:val="18"/>
              </w:rPr>
            </w:pPr>
            <w:r w:rsidRPr="00B275E2">
              <w:rPr>
                <w:szCs w:val="18"/>
              </w:rPr>
              <w:t>km</w:t>
            </w:r>
          </w:p>
        </w:tc>
        <w:tc>
          <w:tcPr>
            <w:tcW w:w="1191" w:type="dxa"/>
            <w:shd w:val="clear" w:color="auto" w:fill="D2DDE1" w:themeFill="background2"/>
            <w:noWrap/>
          </w:tcPr>
          <w:p w14:paraId="65091BC7" w14:textId="11BB2143" w:rsidR="00CC6684" w:rsidRPr="00B275E2" w:rsidRDefault="00CC6684" w:rsidP="007901E7">
            <w:pPr>
              <w:pStyle w:val="TableText"/>
              <w:spacing w:before="30" w:after="30"/>
              <w:jc w:val="right"/>
              <w:rPr>
                <w:szCs w:val="18"/>
              </w:rPr>
            </w:pPr>
            <w:r w:rsidRPr="00B275E2">
              <w:rPr>
                <w:rFonts w:cs="Calibri"/>
                <w:szCs w:val="18"/>
              </w:rPr>
              <w:t>0.176</w:t>
            </w:r>
          </w:p>
        </w:tc>
        <w:tc>
          <w:tcPr>
            <w:tcW w:w="1077" w:type="dxa"/>
            <w:shd w:val="clear" w:color="auto" w:fill="auto"/>
            <w:noWrap/>
          </w:tcPr>
          <w:p w14:paraId="65091BC8" w14:textId="044DFB09" w:rsidR="00CC6684" w:rsidRPr="00B275E2" w:rsidRDefault="00CC6684" w:rsidP="007901E7">
            <w:pPr>
              <w:pStyle w:val="TableText"/>
              <w:spacing w:before="30" w:after="30"/>
              <w:jc w:val="right"/>
              <w:rPr>
                <w:szCs w:val="18"/>
              </w:rPr>
            </w:pPr>
            <w:r w:rsidRPr="00B275E2">
              <w:rPr>
                <w:rFonts w:cs="Calibri"/>
                <w:szCs w:val="18"/>
              </w:rPr>
              <w:t>0.173</w:t>
            </w:r>
          </w:p>
        </w:tc>
        <w:tc>
          <w:tcPr>
            <w:tcW w:w="1021" w:type="dxa"/>
            <w:shd w:val="clear" w:color="auto" w:fill="auto"/>
            <w:noWrap/>
          </w:tcPr>
          <w:p w14:paraId="65091BC9" w14:textId="3AB5012B" w:rsidR="00CC6684" w:rsidRPr="00B275E2" w:rsidRDefault="00CC6684" w:rsidP="007901E7">
            <w:pPr>
              <w:pStyle w:val="TableText"/>
              <w:spacing w:before="30" w:after="30"/>
              <w:jc w:val="right"/>
              <w:rPr>
                <w:szCs w:val="18"/>
              </w:rPr>
            </w:pPr>
            <w:r w:rsidRPr="00B275E2">
              <w:rPr>
                <w:rFonts w:cs="Calibri"/>
                <w:szCs w:val="18"/>
              </w:rPr>
              <w:t>0.0002</w:t>
            </w:r>
          </w:p>
        </w:tc>
        <w:tc>
          <w:tcPr>
            <w:tcW w:w="1077" w:type="dxa"/>
            <w:shd w:val="clear" w:color="auto" w:fill="auto"/>
            <w:noWrap/>
          </w:tcPr>
          <w:p w14:paraId="65091BCA" w14:textId="442C6A6C" w:rsidR="00CC6684" w:rsidRPr="00B275E2" w:rsidRDefault="00CC6684" w:rsidP="007901E7">
            <w:pPr>
              <w:pStyle w:val="TableText"/>
              <w:spacing w:before="30" w:after="30"/>
              <w:jc w:val="right"/>
              <w:rPr>
                <w:szCs w:val="18"/>
              </w:rPr>
            </w:pPr>
            <w:r w:rsidRPr="00B275E2">
              <w:rPr>
                <w:rFonts w:cs="Calibri"/>
                <w:szCs w:val="18"/>
              </w:rPr>
              <w:t>0.003</w:t>
            </w:r>
          </w:p>
        </w:tc>
      </w:tr>
      <w:tr w:rsidR="007901E7" w:rsidRPr="00B275E2" w14:paraId="65091BD3" w14:textId="77777777" w:rsidTr="007901E7">
        <w:trPr>
          <w:trHeight w:val="300"/>
        </w:trPr>
        <w:tc>
          <w:tcPr>
            <w:tcW w:w="1540" w:type="dxa"/>
            <w:vMerge/>
          </w:tcPr>
          <w:p w14:paraId="65091BCC" w14:textId="77777777" w:rsidR="00CC6684" w:rsidRPr="00B275E2" w:rsidRDefault="00CC6684" w:rsidP="007901E7">
            <w:pPr>
              <w:pStyle w:val="TableText"/>
              <w:spacing w:before="30" w:after="30"/>
              <w:rPr>
                <w:szCs w:val="18"/>
              </w:rPr>
            </w:pPr>
          </w:p>
        </w:tc>
        <w:tc>
          <w:tcPr>
            <w:tcW w:w="1434" w:type="dxa"/>
            <w:noWrap/>
          </w:tcPr>
          <w:p w14:paraId="65091BCD" w14:textId="128F911C" w:rsidR="00CC6684" w:rsidRPr="00B275E2" w:rsidRDefault="00CC6684" w:rsidP="007901E7">
            <w:pPr>
              <w:pStyle w:val="TableText"/>
              <w:spacing w:before="30" w:after="30"/>
              <w:rPr>
                <w:szCs w:val="18"/>
              </w:rPr>
            </w:pPr>
            <w:r w:rsidRPr="00B275E2">
              <w:rPr>
                <w:szCs w:val="18"/>
              </w:rPr>
              <w:t>1350</w:t>
            </w:r>
            <w:r w:rsidRPr="00B275E2">
              <w:rPr>
                <w:rFonts w:cs="Calibri"/>
                <w:color w:val="000000"/>
                <w:szCs w:val="18"/>
              </w:rPr>
              <w:t xml:space="preserve"> -</w:t>
            </w:r>
            <w:r w:rsidRPr="00B275E2">
              <w:rPr>
                <w:szCs w:val="18"/>
              </w:rPr>
              <w:t xml:space="preserve"> &lt;1600 cc</w:t>
            </w:r>
          </w:p>
        </w:tc>
        <w:tc>
          <w:tcPr>
            <w:tcW w:w="567" w:type="dxa"/>
            <w:noWrap/>
          </w:tcPr>
          <w:p w14:paraId="65091BCE" w14:textId="77777777" w:rsidR="00CC6684" w:rsidRPr="00B275E2" w:rsidRDefault="00CC6684" w:rsidP="007901E7">
            <w:pPr>
              <w:pStyle w:val="TableText"/>
              <w:spacing w:before="30" w:after="30"/>
              <w:rPr>
                <w:szCs w:val="18"/>
              </w:rPr>
            </w:pPr>
            <w:r w:rsidRPr="00B275E2">
              <w:rPr>
                <w:szCs w:val="18"/>
              </w:rPr>
              <w:t>km</w:t>
            </w:r>
          </w:p>
        </w:tc>
        <w:tc>
          <w:tcPr>
            <w:tcW w:w="1191" w:type="dxa"/>
            <w:shd w:val="clear" w:color="auto" w:fill="D2DDE1" w:themeFill="background2"/>
            <w:noWrap/>
          </w:tcPr>
          <w:p w14:paraId="65091BCF" w14:textId="2BD6A0C8" w:rsidR="00CC6684" w:rsidRPr="00B275E2" w:rsidRDefault="00CC6684" w:rsidP="007901E7">
            <w:pPr>
              <w:pStyle w:val="TableText"/>
              <w:spacing w:before="30" w:after="30"/>
              <w:jc w:val="right"/>
              <w:rPr>
                <w:szCs w:val="18"/>
              </w:rPr>
            </w:pPr>
            <w:r w:rsidRPr="00B275E2">
              <w:rPr>
                <w:rFonts w:cs="Calibri"/>
                <w:szCs w:val="18"/>
              </w:rPr>
              <w:t>0.170</w:t>
            </w:r>
          </w:p>
        </w:tc>
        <w:tc>
          <w:tcPr>
            <w:tcW w:w="1077" w:type="dxa"/>
            <w:shd w:val="clear" w:color="auto" w:fill="auto"/>
            <w:noWrap/>
          </w:tcPr>
          <w:p w14:paraId="65091BD0" w14:textId="12B1D881" w:rsidR="00CC6684" w:rsidRPr="00B275E2" w:rsidRDefault="00CC6684" w:rsidP="007901E7">
            <w:pPr>
              <w:pStyle w:val="TableText"/>
              <w:spacing w:before="30" w:after="30"/>
              <w:jc w:val="right"/>
              <w:rPr>
                <w:szCs w:val="18"/>
              </w:rPr>
            </w:pPr>
            <w:r w:rsidRPr="00B275E2">
              <w:rPr>
                <w:rFonts w:cs="Calibri"/>
                <w:szCs w:val="18"/>
              </w:rPr>
              <w:t>0.167</w:t>
            </w:r>
          </w:p>
        </w:tc>
        <w:tc>
          <w:tcPr>
            <w:tcW w:w="1021" w:type="dxa"/>
            <w:shd w:val="clear" w:color="auto" w:fill="auto"/>
            <w:noWrap/>
          </w:tcPr>
          <w:p w14:paraId="65091BD1" w14:textId="5A0A0FA3" w:rsidR="00CC6684" w:rsidRPr="00B275E2" w:rsidRDefault="00CC6684" w:rsidP="007901E7">
            <w:pPr>
              <w:pStyle w:val="TableText"/>
              <w:spacing w:before="30" w:after="30"/>
              <w:jc w:val="right"/>
              <w:rPr>
                <w:szCs w:val="18"/>
              </w:rPr>
            </w:pPr>
            <w:r w:rsidRPr="00B275E2">
              <w:rPr>
                <w:rFonts w:cs="Calibri"/>
                <w:szCs w:val="18"/>
              </w:rPr>
              <w:t>0.0002</w:t>
            </w:r>
          </w:p>
        </w:tc>
        <w:tc>
          <w:tcPr>
            <w:tcW w:w="1077" w:type="dxa"/>
            <w:shd w:val="clear" w:color="auto" w:fill="auto"/>
            <w:noWrap/>
          </w:tcPr>
          <w:p w14:paraId="65091BD2" w14:textId="51F3E78C" w:rsidR="00CC6684" w:rsidRPr="00B275E2" w:rsidRDefault="00CC6684" w:rsidP="007901E7">
            <w:pPr>
              <w:pStyle w:val="TableText"/>
              <w:spacing w:before="30" w:after="30"/>
              <w:jc w:val="right"/>
              <w:rPr>
                <w:szCs w:val="18"/>
              </w:rPr>
            </w:pPr>
            <w:r w:rsidRPr="00B275E2">
              <w:rPr>
                <w:rFonts w:cs="Calibri"/>
                <w:szCs w:val="18"/>
              </w:rPr>
              <w:t>0.003</w:t>
            </w:r>
          </w:p>
        </w:tc>
      </w:tr>
      <w:tr w:rsidR="007901E7" w:rsidRPr="00B275E2" w14:paraId="65091BDB" w14:textId="77777777" w:rsidTr="007901E7">
        <w:trPr>
          <w:trHeight w:val="300"/>
        </w:trPr>
        <w:tc>
          <w:tcPr>
            <w:tcW w:w="1540" w:type="dxa"/>
            <w:vMerge/>
          </w:tcPr>
          <w:p w14:paraId="65091BD4" w14:textId="77777777" w:rsidR="00CC6684" w:rsidRPr="00B275E2" w:rsidRDefault="00CC6684" w:rsidP="007901E7">
            <w:pPr>
              <w:pStyle w:val="TableText"/>
              <w:spacing w:before="30" w:after="30"/>
              <w:rPr>
                <w:szCs w:val="18"/>
              </w:rPr>
            </w:pPr>
          </w:p>
        </w:tc>
        <w:tc>
          <w:tcPr>
            <w:tcW w:w="1434" w:type="dxa"/>
            <w:noWrap/>
          </w:tcPr>
          <w:p w14:paraId="65091BD5" w14:textId="32A24C93" w:rsidR="00CC6684" w:rsidRPr="00B275E2" w:rsidRDefault="00CC6684" w:rsidP="007901E7">
            <w:pPr>
              <w:pStyle w:val="TableText"/>
              <w:spacing w:before="30" w:after="30"/>
              <w:rPr>
                <w:szCs w:val="18"/>
              </w:rPr>
            </w:pPr>
            <w:r w:rsidRPr="00B275E2">
              <w:rPr>
                <w:szCs w:val="18"/>
              </w:rPr>
              <w:t>1600</w:t>
            </w:r>
            <w:r w:rsidRPr="00B275E2">
              <w:rPr>
                <w:rFonts w:cs="Calibri"/>
                <w:color w:val="000000"/>
                <w:szCs w:val="18"/>
              </w:rPr>
              <w:t xml:space="preserve"> -</w:t>
            </w:r>
            <w:r w:rsidRPr="00B275E2">
              <w:rPr>
                <w:szCs w:val="18"/>
              </w:rPr>
              <w:t xml:space="preserve"> &lt;2000 cc</w:t>
            </w:r>
          </w:p>
        </w:tc>
        <w:tc>
          <w:tcPr>
            <w:tcW w:w="567" w:type="dxa"/>
            <w:noWrap/>
          </w:tcPr>
          <w:p w14:paraId="65091BD6" w14:textId="77777777" w:rsidR="00CC6684" w:rsidRPr="00B275E2" w:rsidRDefault="00CC6684" w:rsidP="007901E7">
            <w:pPr>
              <w:pStyle w:val="TableText"/>
              <w:spacing w:before="30" w:after="30"/>
              <w:rPr>
                <w:szCs w:val="18"/>
              </w:rPr>
            </w:pPr>
            <w:r w:rsidRPr="00B275E2">
              <w:rPr>
                <w:szCs w:val="18"/>
              </w:rPr>
              <w:t>km</w:t>
            </w:r>
          </w:p>
        </w:tc>
        <w:tc>
          <w:tcPr>
            <w:tcW w:w="1191" w:type="dxa"/>
            <w:shd w:val="clear" w:color="auto" w:fill="D2DDE1" w:themeFill="background2"/>
            <w:noWrap/>
          </w:tcPr>
          <w:p w14:paraId="65091BD7" w14:textId="41172F21" w:rsidR="00CC6684" w:rsidRPr="00B275E2" w:rsidRDefault="00CC6684" w:rsidP="007901E7">
            <w:pPr>
              <w:pStyle w:val="TableText"/>
              <w:spacing w:before="30" w:after="30"/>
              <w:jc w:val="right"/>
              <w:rPr>
                <w:szCs w:val="18"/>
              </w:rPr>
            </w:pPr>
            <w:r w:rsidRPr="00B275E2">
              <w:rPr>
                <w:rFonts w:cs="Calibri"/>
                <w:szCs w:val="18"/>
              </w:rPr>
              <w:t>0.180</w:t>
            </w:r>
          </w:p>
        </w:tc>
        <w:tc>
          <w:tcPr>
            <w:tcW w:w="1077" w:type="dxa"/>
            <w:shd w:val="clear" w:color="auto" w:fill="auto"/>
            <w:noWrap/>
          </w:tcPr>
          <w:p w14:paraId="65091BD8" w14:textId="5C3F589F" w:rsidR="00CC6684" w:rsidRPr="00B275E2" w:rsidRDefault="00CC6684" w:rsidP="007901E7">
            <w:pPr>
              <w:pStyle w:val="TableText"/>
              <w:spacing w:before="30" w:after="30"/>
              <w:jc w:val="right"/>
              <w:rPr>
                <w:szCs w:val="18"/>
              </w:rPr>
            </w:pPr>
            <w:r w:rsidRPr="00B275E2">
              <w:rPr>
                <w:rFonts w:cs="Calibri"/>
                <w:szCs w:val="18"/>
              </w:rPr>
              <w:t>0.177</w:t>
            </w:r>
          </w:p>
        </w:tc>
        <w:tc>
          <w:tcPr>
            <w:tcW w:w="1021" w:type="dxa"/>
            <w:shd w:val="clear" w:color="auto" w:fill="auto"/>
            <w:noWrap/>
          </w:tcPr>
          <w:p w14:paraId="65091BD9" w14:textId="43F289F1" w:rsidR="00CC6684" w:rsidRPr="00B275E2" w:rsidRDefault="00CC6684" w:rsidP="007901E7">
            <w:pPr>
              <w:pStyle w:val="TableText"/>
              <w:spacing w:before="30" w:after="30"/>
              <w:jc w:val="right"/>
              <w:rPr>
                <w:szCs w:val="18"/>
              </w:rPr>
            </w:pPr>
            <w:r w:rsidRPr="00B275E2">
              <w:rPr>
                <w:rFonts w:cs="Calibri"/>
                <w:szCs w:val="18"/>
              </w:rPr>
              <w:t>0.0002</w:t>
            </w:r>
          </w:p>
        </w:tc>
        <w:tc>
          <w:tcPr>
            <w:tcW w:w="1077" w:type="dxa"/>
            <w:shd w:val="clear" w:color="auto" w:fill="auto"/>
            <w:noWrap/>
          </w:tcPr>
          <w:p w14:paraId="65091BDA" w14:textId="62C87B7A" w:rsidR="00CC6684" w:rsidRPr="00B275E2" w:rsidRDefault="00CC6684" w:rsidP="007901E7">
            <w:pPr>
              <w:pStyle w:val="TableText"/>
              <w:spacing w:before="30" w:after="30"/>
              <w:jc w:val="right"/>
              <w:rPr>
                <w:szCs w:val="18"/>
              </w:rPr>
            </w:pPr>
            <w:r w:rsidRPr="00B275E2">
              <w:rPr>
                <w:rFonts w:cs="Calibri"/>
                <w:szCs w:val="18"/>
              </w:rPr>
              <w:t>0.003</w:t>
            </w:r>
          </w:p>
        </w:tc>
      </w:tr>
      <w:tr w:rsidR="007901E7" w:rsidRPr="00B275E2" w14:paraId="65091BE3" w14:textId="77777777" w:rsidTr="007901E7">
        <w:trPr>
          <w:trHeight w:val="300"/>
        </w:trPr>
        <w:tc>
          <w:tcPr>
            <w:tcW w:w="1540" w:type="dxa"/>
            <w:vMerge/>
          </w:tcPr>
          <w:p w14:paraId="65091BDC" w14:textId="77777777" w:rsidR="00CC6684" w:rsidRPr="00B275E2" w:rsidRDefault="00CC6684" w:rsidP="007901E7">
            <w:pPr>
              <w:pStyle w:val="TableText"/>
              <w:spacing w:before="30" w:after="30"/>
              <w:rPr>
                <w:szCs w:val="18"/>
              </w:rPr>
            </w:pPr>
          </w:p>
        </w:tc>
        <w:tc>
          <w:tcPr>
            <w:tcW w:w="1434" w:type="dxa"/>
            <w:noWrap/>
          </w:tcPr>
          <w:p w14:paraId="65091BDD" w14:textId="42828670" w:rsidR="00CC6684" w:rsidRPr="00B275E2" w:rsidRDefault="00CC6684" w:rsidP="007901E7">
            <w:pPr>
              <w:pStyle w:val="TableText"/>
              <w:spacing w:before="30" w:after="30"/>
              <w:rPr>
                <w:szCs w:val="18"/>
              </w:rPr>
            </w:pPr>
            <w:r w:rsidRPr="00B275E2">
              <w:rPr>
                <w:szCs w:val="18"/>
              </w:rPr>
              <w:t>2000</w:t>
            </w:r>
            <w:r w:rsidRPr="00B275E2">
              <w:rPr>
                <w:rFonts w:cs="Calibri"/>
                <w:color w:val="000000"/>
                <w:szCs w:val="18"/>
              </w:rPr>
              <w:t xml:space="preserve"> -</w:t>
            </w:r>
            <w:r w:rsidRPr="00B275E2">
              <w:rPr>
                <w:szCs w:val="18"/>
              </w:rPr>
              <w:t xml:space="preserve"> &lt;3000 cc</w:t>
            </w:r>
          </w:p>
        </w:tc>
        <w:tc>
          <w:tcPr>
            <w:tcW w:w="567" w:type="dxa"/>
            <w:noWrap/>
          </w:tcPr>
          <w:p w14:paraId="65091BDE" w14:textId="77777777" w:rsidR="00CC6684" w:rsidRPr="00B275E2" w:rsidRDefault="00CC6684" w:rsidP="007901E7">
            <w:pPr>
              <w:pStyle w:val="TableText"/>
              <w:spacing w:before="30" w:after="30"/>
              <w:rPr>
                <w:szCs w:val="18"/>
              </w:rPr>
            </w:pPr>
            <w:r w:rsidRPr="00B275E2">
              <w:rPr>
                <w:szCs w:val="18"/>
              </w:rPr>
              <w:t>km</w:t>
            </w:r>
          </w:p>
        </w:tc>
        <w:tc>
          <w:tcPr>
            <w:tcW w:w="1191" w:type="dxa"/>
            <w:shd w:val="clear" w:color="auto" w:fill="D2DDE1" w:themeFill="background2"/>
            <w:noWrap/>
          </w:tcPr>
          <w:p w14:paraId="65091BDF" w14:textId="6F4EF967" w:rsidR="00CC6684" w:rsidRPr="00B275E2" w:rsidRDefault="00CC6684" w:rsidP="007901E7">
            <w:pPr>
              <w:pStyle w:val="TableText"/>
              <w:spacing w:before="30" w:after="30"/>
              <w:jc w:val="right"/>
              <w:rPr>
                <w:szCs w:val="18"/>
              </w:rPr>
            </w:pPr>
            <w:r w:rsidRPr="00B275E2">
              <w:rPr>
                <w:rFonts w:cs="Calibri"/>
                <w:szCs w:val="18"/>
              </w:rPr>
              <w:t>0.221</w:t>
            </w:r>
          </w:p>
        </w:tc>
        <w:tc>
          <w:tcPr>
            <w:tcW w:w="1077" w:type="dxa"/>
            <w:shd w:val="clear" w:color="auto" w:fill="auto"/>
            <w:noWrap/>
          </w:tcPr>
          <w:p w14:paraId="65091BE0" w14:textId="269B7B94" w:rsidR="00CC6684" w:rsidRPr="00B275E2" w:rsidRDefault="00CC6684" w:rsidP="007901E7">
            <w:pPr>
              <w:pStyle w:val="TableText"/>
              <w:spacing w:before="30" w:after="30"/>
              <w:jc w:val="right"/>
              <w:rPr>
                <w:szCs w:val="18"/>
              </w:rPr>
            </w:pPr>
            <w:r w:rsidRPr="00B275E2">
              <w:rPr>
                <w:rFonts w:cs="Calibri"/>
                <w:szCs w:val="18"/>
              </w:rPr>
              <w:t>0.217</w:t>
            </w:r>
          </w:p>
        </w:tc>
        <w:tc>
          <w:tcPr>
            <w:tcW w:w="1021" w:type="dxa"/>
            <w:shd w:val="clear" w:color="auto" w:fill="auto"/>
            <w:noWrap/>
          </w:tcPr>
          <w:p w14:paraId="65091BE1" w14:textId="0826515B" w:rsidR="00CC6684" w:rsidRPr="00B275E2" w:rsidRDefault="00CC6684" w:rsidP="007901E7">
            <w:pPr>
              <w:pStyle w:val="TableText"/>
              <w:spacing w:before="30" w:after="30"/>
              <w:jc w:val="right"/>
              <w:rPr>
                <w:szCs w:val="18"/>
              </w:rPr>
            </w:pPr>
            <w:r w:rsidRPr="00B275E2">
              <w:rPr>
                <w:rFonts w:cs="Calibri"/>
                <w:szCs w:val="18"/>
              </w:rPr>
              <w:t>0.0003</w:t>
            </w:r>
          </w:p>
        </w:tc>
        <w:tc>
          <w:tcPr>
            <w:tcW w:w="1077" w:type="dxa"/>
            <w:shd w:val="clear" w:color="auto" w:fill="auto"/>
            <w:noWrap/>
          </w:tcPr>
          <w:p w14:paraId="65091BE2" w14:textId="7BFD0911" w:rsidR="00CC6684" w:rsidRPr="00B275E2" w:rsidRDefault="00CC6684" w:rsidP="007901E7">
            <w:pPr>
              <w:pStyle w:val="TableText"/>
              <w:spacing w:before="30" w:after="30"/>
              <w:jc w:val="right"/>
              <w:rPr>
                <w:szCs w:val="18"/>
              </w:rPr>
            </w:pPr>
            <w:r w:rsidRPr="00B275E2">
              <w:rPr>
                <w:rFonts w:cs="Calibri"/>
                <w:szCs w:val="18"/>
              </w:rPr>
              <w:t>0.003</w:t>
            </w:r>
          </w:p>
        </w:tc>
      </w:tr>
      <w:tr w:rsidR="007901E7" w:rsidRPr="00B275E2" w14:paraId="65091BEB" w14:textId="77777777" w:rsidTr="007901E7">
        <w:trPr>
          <w:trHeight w:val="300"/>
        </w:trPr>
        <w:tc>
          <w:tcPr>
            <w:tcW w:w="1540" w:type="dxa"/>
            <w:vMerge/>
          </w:tcPr>
          <w:p w14:paraId="65091BE4" w14:textId="77777777" w:rsidR="00CC6684" w:rsidRPr="00B275E2" w:rsidRDefault="00CC6684" w:rsidP="007901E7">
            <w:pPr>
              <w:pStyle w:val="TableText"/>
              <w:spacing w:before="30" w:after="30"/>
              <w:rPr>
                <w:szCs w:val="18"/>
              </w:rPr>
            </w:pPr>
          </w:p>
        </w:tc>
        <w:tc>
          <w:tcPr>
            <w:tcW w:w="1434" w:type="dxa"/>
            <w:noWrap/>
          </w:tcPr>
          <w:p w14:paraId="65091BE5" w14:textId="77777777" w:rsidR="00CC6684" w:rsidRPr="00B275E2" w:rsidRDefault="00CC6684" w:rsidP="007901E7">
            <w:pPr>
              <w:pStyle w:val="TableText"/>
              <w:spacing w:before="30" w:after="30"/>
              <w:rPr>
                <w:szCs w:val="18"/>
              </w:rPr>
            </w:pPr>
            <w:r w:rsidRPr="00B275E2">
              <w:rPr>
                <w:szCs w:val="18"/>
              </w:rPr>
              <w:t>≥3000 cc</w:t>
            </w:r>
          </w:p>
        </w:tc>
        <w:tc>
          <w:tcPr>
            <w:tcW w:w="567" w:type="dxa"/>
            <w:noWrap/>
          </w:tcPr>
          <w:p w14:paraId="65091BE6" w14:textId="77777777" w:rsidR="00CC6684" w:rsidRPr="00B275E2" w:rsidRDefault="00CC6684" w:rsidP="007901E7">
            <w:pPr>
              <w:pStyle w:val="TableText"/>
              <w:spacing w:before="30" w:after="30"/>
              <w:rPr>
                <w:szCs w:val="18"/>
              </w:rPr>
            </w:pPr>
            <w:r w:rsidRPr="00B275E2">
              <w:rPr>
                <w:szCs w:val="18"/>
              </w:rPr>
              <w:t>km</w:t>
            </w:r>
          </w:p>
        </w:tc>
        <w:tc>
          <w:tcPr>
            <w:tcW w:w="1191" w:type="dxa"/>
            <w:shd w:val="clear" w:color="auto" w:fill="D2DDE1" w:themeFill="background2"/>
            <w:noWrap/>
          </w:tcPr>
          <w:p w14:paraId="65091BE7" w14:textId="1E13F0FC" w:rsidR="00CC6684" w:rsidRPr="00B275E2" w:rsidRDefault="00CC6684" w:rsidP="007901E7">
            <w:pPr>
              <w:pStyle w:val="TableText"/>
              <w:spacing w:before="30" w:after="30"/>
              <w:jc w:val="right"/>
              <w:rPr>
                <w:szCs w:val="18"/>
              </w:rPr>
            </w:pPr>
            <w:r w:rsidRPr="00B275E2">
              <w:rPr>
                <w:rFonts w:cs="Calibri"/>
                <w:szCs w:val="18"/>
              </w:rPr>
              <w:t>0.245</w:t>
            </w:r>
          </w:p>
        </w:tc>
        <w:tc>
          <w:tcPr>
            <w:tcW w:w="1077" w:type="dxa"/>
            <w:shd w:val="clear" w:color="auto" w:fill="auto"/>
            <w:noWrap/>
          </w:tcPr>
          <w:p w14:paraId="65091BE8" w14:textId="64485049" w:rsidR="00CC6684" w:rsidRPr="00B275E2" w:rsidRDefault="00CC6684" w:rsidP="007901E7">
            <w:pPr>
              <w:pStyle w:val="TableText"/>
              <w:spacing w:before="30" w:after="30"/>
              <w:jc w:val="right"/>
              <w:rPr>
                <w:szCs w:val="18"/>
              </w:rPr>
            </w:pPr>
            <w:r w:rsidRPr="00B275E2">
              <w:rPr>
                <w:rFonts w:cs="Calibri"/>
                <w:szCs w:val="18"/>
              </w:rPr>
              <w:t>0.241</w:t>
            </w:r>
          </w:p>
        </w:tc>
        <w:tc>
          <w:tcPr>
            <w:tcW w:w="1021" w:type="dxa"/>
            <w:shd w:val="clear" w:color="auto" w:fill="auto"/>
            <w:noWrap/>
          </w:tcPr>
          <w:p w14:paraId="65091BE9" w14:textId="4A808DDF" w:rsidR="00CC6684" w:rsidRPr="00B275E2" w:rsidRDefault="00CC6684" w:rsidP="007901E7">
            <w:pPr>
              <w:pStyle w:val="TableText"/>
              <w:spacing w:before="30" w:after="30"/>
              <w:jc w:val="right"/>
              <w:rPr>
                <w:szCs w:val="18"/>
              </w:rPr>
            </w:pPr>
            <w:r w:rsidRPr="00B275E2">
              <w:rPr>
                <w:rFonts w:cs="Calibri"/>
                <w:szCs w:val="18"/>
              </w:rPr>
              <w:t>0.0003</w:t>
            </w:r>
          </w:p>
        </w:tc>
        <w:tc>
          <w:tcPr>
            <w:tcW w:w="1077" w:type="dxa"/>
            <w:shd w:val="clear" w:color="auto" w:fill="auto"/>
            <w:noWrap/>
          </w:tcPr>
          <w:p w14:paraId="65091BEA" w14:textId="70FF7E2E" w:rsidR="00CC6684" w:rsidRPr="00B275E2" w:rsidRDefault="00CC6684" w:rsidP="007901E7">
            <w:pPr>
              <w:pStyle w:val="TableText"/>
              <w:spacing w:before="30" w:after="30"/>
              <w:jc w:val="right"/>
              <w:rPr>
                <w:szCs w:val="18"/>
              </w:rPr>
            </w:pPr>
            <w:r w:rsidRPr="00B275E2">
              <w:rPr>
                <w:rFonts w:cs="Calibri"/>
                <w:szCs w:val="18"/>
              </w:rPr>
              <w:t>0.004</w:t>
            </w:r>
          </w:p>
        </w:tc>
      </w:tr>
      <w:tr w:rsidR="007901E7" w:rsidRPr="00B275E2" w14:paraId="65091BF3" w14:textId="77777777" w:rsidTr="007901E7">
        <w:trPr>
          <w:trHeight w:val="345"/>
        </w:trPr>
        <w:tc>
          <w:tcPr>
            <w:tcW w:w="1540" w:type="dxa"/>
            <w:vMerge w:val="restart"/>
          </w:tcPr>
          <w:p w14:paraId="65091BEC" w14:textId="255AB2F6" w:rsidR="00CC6684" w:rsidRPr="00B275E2" w:rsidRDefault="00CC6684" w:rsidP="007901E7">
            <w:pPr>
              <w:pStyle w:val="TableText"/>
              <w:spacing w:before="30" w:after="30"/>
              <w:rPr>
                <w:szCs w:val="18"/>
              </w:rPr>
            </w:pPr>
            <w:r w:rsidRPr="00B275E2">
              <w:rPr>
                <w:szCs w:val="18"/>
              </w:rPr>
              <w:t>Petrol plug-in hybrid electric vehicle (PHEV) – petrol consumption</w:t>
            </w:r>
          </w:p>
        </w:tc>
        <w:tc>
          <w:tcPr>
            <w:tcW w:w="1434" w:type="dxa"/>
            <w:noWrap/>
          </w:tcPr>
          <w:p w14:paraId="65091BED" w14:textId="7A27062C" w:rsidR="00CC6684" w:rsidRPr="00B275E2" w:rsidRDefault="00CC6684" w:rsidP="007901E7">
            <w:pPr>
              <w:pStyle w:val="TableText"/>
              <w:spacing w:before="30" w:after="30"/>
              <w:rPr>
                <w:szCs w:val="18"/>
              </w:rPr>
            </w:pPr>
            <w:r w:rsidRPr="00B275E2">
              <w:rPr>
                <w:szCs w:val="18"/>
              </w:rPr>
              <w:t>&lt;1350 cc</w:t>
            </w:r>
          </w:p>
        </w:tc>
        <w:tc>
          <w:tcPr>
            <w:tcW w:w="567" w:type="dxa"/>
            <w:noWrap/>
          </w:tcPr>
          <w:p w14:paraId="65091BEE" w14:textId="77777777" w:rsidR="00CC6684" w:rsidRPr="00B275E2" w:rsidRDefault="00CC6684" w:rsidP="007901E7">
            <w:pPr>
              <w:pStyle w:val="TableText"/>
              <w:spacing w:before="30" w:after="30"/>
              <w:rPr>
                <w:szCs w:val="18"/>
              </w:rPr>
            </w:pPr>
            <w:r w:rsidRPr="00B275E2">
              <w:rPr>
                <w:szCs w:val="18"/>
              </w:rPr>
              <w:t>km</w:t>
            </w:r>
          </w:p>
        </w:tc>
        <w:tc>
          <w:tcPr>
            <w:tcW w:w="1191" w:type="dxa"/>
            <w:shd w:val="clear" w:color="auto" w:fill="D2DDE1" w:themeFill="background2"/>
            <w:noWrap/>
          </w:tcPr>
          <w:p w14:paraId="65091BEF" w14:textId="3B301AD0" w:rsidR="00CC6684" w:rsidRPr="00B275E2" w:rsidRDefault="00CC6684" w:rsidP="007901E7">
            <w:pPr>
              <w:pStyle w:val="TableText"/>
              <w:spacing w:before="30" w:after="30"/>
              <w:jc w:val="right"/>
              <w:rPr>
                <w:szCs w:val="18"/>
              </w:rPr>
            </w:pPr>
            <w:r w:rsidRPr="00B275E2">
              <w:rPr>
                <w:rFonts w:cs="Calibri"/>
                <w:szCs w:val="18"/>
              </w:rPr>
              <w:t>0.074</w:t>
            </w:r>
          </w:p>
        </w:tc>
        <w:tc>
          <w:tcPr>
            <w:tcW w:w="1077" w:type="dxa"/>
            <w:shd w:val="clear" w:color="auto" w:fill="auto"/>
            <w:noWrap/>
          </w:tcPr>
          <w:p w14:paraId="65091BF0" w14:textId="6538D74E" w:rsidR="00CC6684" w:rsidRPr="00B275E2" w:rsidRDefault="00CC6684" w:rsidP="007901E7">
            <w:pPr>
              <w:pStyle w:val="TableText"/>
              <w:spacing w:before="30" w:after="30"/>
              <w:jc w:val="right"/>
              <w:rPr>
                <w:szCs w:val="18"/>
              </w:rPr>
            </w:pPr>
            <w:r w:rsidRPr="00B275E2">
              <w:rPr>
                <w:rFonts w:cs="Calibri"/>
                <w:szCs w:val="18"/>
              </w:rPr>
              <w:t>0.071</w:t>
            </w:r>
          </w:p>
        </w:tc>
        <w:tc>
          <w:tcPr>
            <w:tcW w:w="1021" w:type="dxa"/>
            <w:shd w:val="clear" w:color="auto" w:fill="auto"/>
            <w:noWrap/>
          </w:tcPr>
          <w:p w14:paraId="65091BF1" w14:textId="70E9A01D" w:rsidR="00CC6684" w:rsidRPr="00B275E2" w:rsidRDefault="00CC6684" w:rsidP="007901E7">
            <w:pPr>
              <w:pStyle w:val="TableText"/>
              <w:spacing w:before="30" w:after="30"/>
              <w:jc w:val="right"/>
              <w:rPr>
                <w:szCs w:val="18"/>
              </w:rPr>
            </w:pPr>
            <w:r w:rsidRPr="00B275E2">
              <w:rPr>
                <w:rFonts w:cs="Calibri"/>
                <w:szCs w:val="18"/>
              </w:rPr>
              <w:t>0.001</w:t>
            </w:r>
          </w:p>
        </w:tc>
        <w:tc>
          <w:tcPr>
            <w:tcW w:w="1077" w:type="dxa"/>
            <w:shd w:val="clear" w:color="auto" w:fill="auto"/>
            <w:noWrap/>
          </w:tcPr>
          <w:p w14:paraId="65091BF2" w14:textId="01B0CEE7" w:rsidR="00CC6684" w:rsidRPr="00B275E2" w:rsidRDefault="00CC6684" w:rsidP="007901E7">
            <w:pPr>
              <w:pStyle w:val="TableText"/>
              <w:spacing w:before="30" w:after="30"/>
              <w:jc w:val="right"/>
              <w:rPr>
                <w:szCs w:val="18"/>
              </w:rPr>
            </w:pPr>
            <w:r w:rsidRPr="00B275E2">
              <w:rPr>
                <w:rFonts w:cs="Calibri"/>
                <w:szCs w:val="18"/>
              </w:rPr>
              <w:t>0.002</w:t>
            </w:r>
          </w:p>
        </w:tc>
      </w:tr>
      <w:tr w:rsidR="007901E7" w:rsidRPr="00B275E2" w14:paraId="65091BFB" w14:textId="77777777" w:rsidTr="007901E7">
        <w:trPr>
          <w:trHeight w:val="300"/>
        </w:trPr>
        <w:tc>
          <w:tcPr>
            <w:tcW w:w="1540" w:type="dxa"/>
            <w:vMerge/>
          </w:tcPr>
          <w:p w14:paraId="65091BF4" w14:textId="77777777" w:rsidR="00CC6684" w:rsidRPr="00B275E2" w:rsidRDefault="00CC6684" w:rsidP="007901E7">
            <w:pPr>
              <w:pStyle w:val="TableText"/>
              <w:spacing w:before="30" w:after="30"/>
              <w:rPr>
                <w:szCs w:val="18"/>
              </w:rPr>
            </w:pPr>
          </w:p>
        </w:tc>
        <w:tc>
          <w:tcPr>
            <w:tcW w:w="1434" w:type="dxa"/>
            <w:noWrap/>
          </w:tcPr>
          <w:p w14:paraId="65091BF5" w14:textId="735CDC9B" w:rsidR="00CC6684" w:rsidRPr="00B275E2" w:rsidRDefault="00CC6684" w:rsidP="007901E7">
            <w:pPr>
              <w:pStyle w:val="TableText"/>
              <w:spacing w:before="30" w:after="30"/>
              <w:rPr>
                <w:szCs w:val="18"/>
              </w:rPr>
            </w:pPr>
            <w:r w:rsidRPr="00B275E2">
              <w:rPr>
                <w:szCs w:val="18"/>
              </w:rPr>
              <w:t>1350</w:t>
            </w:r>
            <w:r w:rsidRPr="00B275E2">
              <w:rPr>
                <w:rFonts w:cs="Calibri"/>
                <w:color w:val="000000"/>
                <w:szCs w:val="18"/>
              </w:rPr>
              <w:t xml:space="preserve"> -</w:t>
            </w:r>
            <w:r w:rsidRPr="00B275E2">
              <w:rPr>
                <w:szCs w:val="18"/>
              </w:rPr>
              <w:t xml:space="preserve"> &lt;1600 cc</w:t>
            </w:r>
          </w:p>
        </w:tc>
        <w:tc>
          <w:tcPr>
            <w:tcW w:w="567" w:type="dxa"/>
            <w:noWrap/>
          </w:tcPr>
          <w:p w14:paraId="65091BF6" w14:textId="77777777" w:rsidR="00CC6684" w:rsidRPr="00B275E2" w:rsidRDefault="00CC6684" w:rsidP="007901E7">
            <w:pPr>
              <w:pStyle w:val="TableText"/>
              <w:spacing w:before="30" w:after="30"/>
              <w:rPr>
                <w:szCs w:val="18"/>
              </w:rPr>
            </w:pPr>
            <w:r w:rsidRPr="00B275E2">
              <w:rPr>
                <w:szCs w:val="18"/>
              </w:rPr>
              <w:t>km</w:t>
            </w:r>
          </w:p>
        </w:tc>
        <w:tc>
          <w:tcPr>
            <w:tcW w:w="1191" w:type="dxa"/>
            <w:shd w:val="clear" w:color="auto" w:fill="D2DDE1" w:themeFill="background2"/>
            <w:noWrap/>
          </w:tcPr>
          <w:p w14:paraId="65091BF7" w14:textId="0F2BC004" w:rsidR="00CC6684" w:rsidRPr="00B275E2" w:rsidRDefault="00CC6684" w:rsidP="007901E7">
            <w:pPr>
              <w:pStyle w:val="TableText"/>
              <w:spacing w:before="30" w:after="30"/>
              <w:jc w:val="right"/>
              <w:rPr>
                <w:szCs w:val="18"/>
              </w:rPr>
            </w:pPr>
            <w:r w:rsidRPr="00B275E2">
              <w:rPr>
                <w:rFonts w:cs="Calibri"/>
                <w:szCs w:val="18"/>
              </w:rPr>
              <w:t>0.077</w:t>
            </w:r>
          </w:p>
        </w:tc>
        <w:tc>
          <w:tcPr>
            <w:tcW w:w="1077" w:type="dxa"/>
            <w:shd w:val="clear" w:color="auto" w:fill="auto"/>
            <w:noWrap/>
          </w:tcPr>
          <w:p w14:paraId="65091BF8" w14:textId="5F1ECFDB" w:rsidR="00CC6684" w:rsidRPr="00B275E2" w:rsidRDefault="00CC6684" w:rsidP="007901E7">
            <w:pPr>
              <w:pStyle w:val="TableText"/>
              <w:spacing w:before="30" w:after="30"/>
              <w:jc w:val="right"/>
              <w:rPr>
                <w:szCs w:val="18"/>
              </w:rPr>
            </w:pPr>
            <w:r w:rsidRPr="00B275E2">
              <w:rPr>
                <w:rFonts w:cs="Calibri"/>
                <w:szCs w:val="18"/>
              </w:rPr>
              <w:t>0.073</w:t>
            </w:r>
          </w:p>
        </w:tc>
        <w:tc>
          <w:tcPr>
            <w:tcW w:w="1021" w:type="dxa"/>
            <w:shd w:val="clear" w:color="auto" w:fill="auto"/>
            <w:noWrap/>
          </w:tcPr>
          <w:p w14:paraId="65091BF9" w14:textId="21BF793A" w:rsidR="00CC6684" w:rsidRPr="00B275E2" w:rsidRDefault="00CC6684" w:rsidP="007901E7">
            <w:pPr>
              <w:pStyle w:val="TableText"/>
              <w:spacing w:before="30" w:after="30"/>
              <w:jc w:val="right"/>
              <w:rPr>
                <w:szCs w:val="18"/>
              </w:rPr>
            </w:pPr>
            <w:r w:rsidRPr="00B275E2">
              <w:rPr>
                <w:rFonts w:cs="Calibri"/>
                <w:szCs w:val="18"/>
              </w:rPr>
              <w:t>0.001</w:t>
            </w:r>
          </w:p>
        </w:tc>
        <w:tc>
          <w:tcPr>
            <w:tcW w:w="1077" w:type="dxa"/>
            <w:shd w:val="clear" w:color="auto" w:fill="auto"/>
            <w:noWrap/>
          </w:tcPr>
          <w:p w14:paraId="65091BFA" w14:textId="45C56F5A" w:rsidR="00CC6684" w:rsidRPr="00B275E2" w:rsidRDefault="00CC6684" w:rsidP="007901E7">
            <w:pPr>
              <w:pStyle w:val="TableText"/>
              <w:spacing w:before="30" w:after="30"/>
              <w:jc w:val="right"/>
              <w:rPr>
                <w:szCs w:val="18"/>
              </w:rPr>
            </w:pPr>
            <w:r w:rsidRPr="00B275E2">
              <w:rPr>
                <w:rFonts w:cs="Calibri"/>
                <w:szCs w:val="18"/>
              </w:rPr>
              <w:t>0.002</w:t>
            </w:r>
          </w:p>
        </w:tc>
      </w:tr>
      <w:tr w:rsidR="007901E7" w:rsidRPr="00B275E2" w14:paraId="65091C03" w14:textId="77777777" w:rsidTr="007901E7">
        <w:trPr>
          <w:trHeight w:val="300"/>
        </w:trPr>
        <w:tc>
          <w:tcPr>
            <w:tcW w:w="1540" w:type="dxa"/>
            <w:vMerge/>
          </w:tcPr>
          <w:p w14:paraId="65091BFC" w14:textId="77777777" w:rsidR="00CC6684" w:rsidRPr="00B275E2" w:rsidRDefault="00CC6684" w:rsidP="007901E7">
            <w:pPr>
              <w:pStyle w:val="TableText"/>
              <w:spacing w:before="30" w:after="30"/>
              <w:rPr>
                <w:szCs w:val="18"/>
              </w:rPr>
            </w:pPr>
          </w:p>
        </w:tc>
        <w:tc>
          <w:tcPr>
            <w:tcW w:w="1434" w:type="dxa"/>
            <w:noWrap/>
          </w:tcPr>
          <w:p w14:paraId="65091BFD" w14:textId="7E24CE4B" w:rsidR="00CC6684" w:rsidRPr="00B275E2" w:rsidRDefault="00CC6684" w:rsidP="007901E7">
            <w:pPr>
              <w:pStyle w:val="TableText"/>
              <w:spacing w:before="30" w:after="30"/>
              <w:rPr>
                <w:szCs w:val="18"/>
              </w:rPr>
            </w:pPr>
            <w:r w:rsidRPr="00B275E2">
              <w:rPr>
                <w:szCs w:val="18"/>
              </w:rPr>
              <w:t>1600</w:t>
            </w:r>
            <w:r w:rsidRPr="00B275E2">
              <w:rPr>
                <w:rFonts w:cs="Calibri"/>
                <w:color w:val="000000"/>
                <w:szCs w:val="18"/>
              </w:rPr>
              <w:t xml:space="preserve"> -</w:t>
            </w:r>
            <w:r w:rsidRPr="00B275E2">
              <w:rPr>
                <w:szCs w:val="18"/>
              </w:rPr>
              <w:t xml:space="preserve"> &lt;2000 cc</w:t>
            </w:r>
          </w:p>
        </w:tc>
        <w:tc>
          <w:tcPr>
            <w:tcW w:w="567" w:type="dxa"/>
            <w:noWrap/>
          </w:tcPr>
          <w:p w14:paraId="65091BFE" w14:textId="77777777" w:rsidR="00CC6684" w:rsidRPr="00B275E2" w:rsidRDefault="00CC6684" w:rsidP="007901E7">
            <w:pPr>
              <w:pStyle w:val="TableText"/>
              <w:spacing w:before="30" w:after="30"/>
              <w:rPr>
                <w:szCs w:val="18"/>
              </w:rPr>
            </w:pPr>
            <w:r w:rsidRPr="00B275E2">
              <w:rPr>
                <w:szCs w:val="18"/>
              </w:rPr>
              <w:t>km</w:t>
            </w:r>
          </w:p>
        </w:tc>
        <w:tc>
          <w:tcPr>
            <w:tcW w:w="1191" w:type="dxa"/>
            <w:shd w:val="clear" w:color="auto" w:fill="D2DDE1" w:themeFill="background2"/>
            <w:noWrap/>
          </w:tcPr>
          <w:p w14:paraId="65091BFF" w14:textId="3A33EA02" w:rsidR="00CC6684" w:rsidRPr="00B275E2" w:rsidRDefault="00CC6684" w:rsidP="007901E7">
            <w:pPr>
              <w:pStyle w:val="TableText"/>
              <w:spacing w:before="30" w:after="30"/>
              <w:jc w:val="right"/>
              <w:rPr>
                <w:szCs w:val="18"/>
              </w:rPr>
            </w:pPr>
            <w:r w:rsidRPr="00B275E2">
              <w:rPr>
                <w:rFonts w:cs="Calibri"/>
                <w:szCs w:val="18"/>
              </w:rPr>
              <w:t>0.086</w:t>
            </w:r>
          </w:p>
        </w:tc>
        <w:tc>
          <w:tcPr>
            <w:tcW w:w="1077" w:type="dxa"/>
            <w:shd w:val="clear" w:color="auto" w:fill="auto"/>
            <w:noWrap/>
          </w:tcPr>
          <w:p w14:paraId="65091C00" w14:textId="7F29134F" w:rsidR="00CC6684" w:rsidRPr="00B275E2" w:rsidRDefault="00CC6684" w:rsidP="007901E7">
            <w:pPr>
              <w:pStyle w:val="TableText"/>
              <w:spacing w:before="30" w:after="30"/>
              <w:jc w:val="right"/>
              <w:rPr>
                <w:szCs w:val="18"/>
              </w:rPr>
            </w:pPr>
            <w:r w:rsidRPr="00B275E2">
              <w:rPr>
                <w:rFonts w:cs="Calibri"/>
                <w:szCs w:val="18"/>
              </w:rPr>
              <w:t>0.082</w:t>
            </w:r>
          </w:p>
        </w:tc>
        <w:tc>
          <w:tcPr>
            <w:tcW w:w="1021" w:type="dxa"/>
            <w:shd w:val="clear" w:color="auto" w:fill="auto"/>
            <w:noWrap/>
          </w:tcPr>
          <w:p w14:paraId="65091C01" w14:textId="7B038FDE" w:rsidR="00CC6684" w:rsidRPr="00B275E2" w:rsidRDefault="00CC6684" w:rsidP="007901E7">
            <w:pPr>
              <w:pStyle w:val="TableText"/>
              <w:spacing w:before="30" w:after="30"/>
              <w:jc w:val="right"/>
              <w:rPr>
                <w:szCs w:val="18"/>
              </w:rPr>
            </w:pPr>
            <w:r w:rsidRPr="00B275E2">
              <w:rPr>
                <w:rFonts w:cs="Calibri"/>
                <w:szCs w:val="18"/>
              </w:rPr>
              <w:t>0.001</w:t>
            </w:r>
          </w:p>
        </w:tc>
        <w:tc>
          <w:tcPr>
            <w:tcW w:w="1077" w:type="dxa"/>
            <w:shd w:val="clear" w:color="auto" w:fill="auto"/>
            <w:noWrap/>
          </w:tcPr>
          <w:p w14:paraId="65091C02" w14:textId="3FAC20F1" w:rsidR="00CC6684" w:rsidRPr="00B275E2" w:rsidRDefault="00CC6684" w:rsidP="007901E7">
            <w:pPr>
              <w:pStyle w:val="TableText"/>
              <w:spacing w:before="30" w:after="30"/>
              <w:jc w:val="right"/>
              <w:rPr>
                <w:szCs w:val="18"/>
              </w:rPr>
            </w:pPr>
            <w:r w:rsidRPr="00B275E2">
              <w:rPr>
                <w:rFonts w:cs="Calibri"/>
                <w:szCs w:val="18"/>
              </w:rPr>
              <w:t>0.003</w:t>
            </w:r>
          </w:p>
        </w:tc>
      </w:tr>
      <w:tr w:rsidR="007901E7" w:rsidRPr="00B275E2" w14:paraId="65091C0B" w14:textId="77777777" w:rsidTr="007901E7">
        <w:trPr>
          <w:trHeight w:val="300"/>
        </w:trPr>
        <w:tc>
          <w:tcPr>
            <w:tcW w:w="1540" w:type="dxa"/>
            <w:vMerge/>
          </w:tcPr>
          <w:p w14:paraId="65091C04" w14:textId="77777777" w:rsidR="00CC6684" w:rsidRPr="00B275E2" w:rsidRDefault="00CC6684" w:rsidP="007901E7">
            <w:pPr>
              <w:pStyle w:val="TableText"/>
              <w:spacing w:before="30" w:after="30"/>
              <w:rPr>
                <w:szCs w:val="18"/>
              </w:rPr>
            </w:pPr>
          </w:p>
        </w:tc>
        <w:tc>
          <w:tcPr>
            <w:tcW w:w="1434" w:type="dxa"/>
            <w:noWrap/>
          </w:tcPr>
          <w:p w14:paraId="65091C05" w14:textId="39CD1DA2" w:rsidR="00CC6684" w:rsidRPr="00B275E2" w:rsidRDefault="00CC6684" w:rsidP="007901E7">
            <w:pPr>
              <w:pStyle w:val="TableText"/>
              <w:spacing w:before="30" w:after="30"/>
              <w:rPr>
                <w:szCs w:val="18"/>
              </w:rPr>
            </w:pPr>
            <w:r w:rsidRPr="00B275E2">
              <w:rPr>
                <w:szCs w:val="18"/>
              </w:rPr>
              <w:t>2000</w:t>
            </w:r>
            <w:r w:rsidRPr="00B275E2">
              <w:rPr>
                <w:rFonts w:cs="Calibri"/>
                <w:color w:val="000000"/>
                <w:szCs w:val="18"/>
              </w:rPr>
              <w:t xml:space="preserve"> -</w:t>
            </w:r>
            <w:r w:rsidRPr="00B275E2">
              <w:rPr>
                <w:szCs w:val="18"/>
              </w:rPr>
              <w:t xml:space="preserve"> &lt;3000 cc</w:t>
            </w:r>
          </w:p>
        </w:tc>
        <w:tc>
          <w:tcPr>
            <w:tcW w:w="567" w:type="dxa"/>
            <w:noWrap/>
          </w:tcPr>
          <w:p w14:paraId="65091C06" w14:textId="77777777" w:rsidR="00CC6684" w:rsidRPr="00B275E2" w:rsidRDefault="00CC6684" w:rsidP="007901E7">
            <w:pPr>
              <w:pStyle w:val="TableText"/>
              <w:spacing w:before="30" w:after="30"/>
              <w:rPr>
                <w:szCs w:val="18"/>
              </w:rPr>
            </w:pPr>
            <w:r w:rsidRPr="00B275E2">
              <w:rPr>
                <w:szCs w:val="18"/>
              </w:rPr>
              <w:t>km</w:t>
            </w:r>
          </w:p>
        </w:tc>
        <w:tc>
          <w:tcPr>
            <w:tcW w:w="1191" w:type="dxa"/>
            <w:shd w:val="clear" w:color="auto" w:fill="D2DDE1" w:themeFill="background2"/>
            <w:noWrap/>
          </w:tcPr>
          <w:p w14:paraId="65091C07" w14:textId="30F8D8A6" w:rsidR="00CC6684" w:rsidRPr="00B275E2" w:rsidRDefault="00CC6684" w:rsidP="007901E7">
            <w:pPr>
              <w:pStyle w:val="TableText"/>
              <w:spacing w:before="30" w:after="30"/>
              <w:jc w:val="right"/>
              <w:rPr>
                <w:szCs w:val="18"/>
              </w:rPr>
            </w:pPr>
            <w:r w:rsidRPr="00B275E2">
              <w:rPr>
                <w:rFonts w:cs="Calibri"/>
                <w:szCs w:val="18"/>
              </w:rPr>
              <w:t>0.096</w:t>
            </w:r>
          </w:p>
        </w:tc>
        <w:tc>
          <w:tcPr>
            <w:tcW w:w="1077" w:type="dxa"/>
            <w:shd w:val="clear" w:color="auto" w:fill="auto"/>
            <w:noWrap/>
          </w:tcPr>
          <w:p w14:paraId="65091C08" w14:textId="64286804" w:rsidR="00CC6684" w:rsidRPr="00B275E2" w:rsidRDefault="00CC6684" w:rsidP="007901E7">
            <w:pPr>
              <w:pStyle w:val="TableText"/>
              <w:spacing w:before="30" w:after="30"/>
              <w:jc w:val="right"/>
              <w:rPr>
                <w:szCs w:val="18"/>
              </w:rPr>
            </w:pPr>
            <w:r w:rsidRPr="00B275E2">
              <w:rPr>
                <w:rFonts w:cs="Calibri"/>
                <w:szCs w:val="18"/>
              </w:rPr>
              <w:t>0.092</w:t>
            </w:r>
          </w:p>
        </w:tc>
        <w:tc>
          <w:tcPr>
            <w:tcW w:w="1021" w:type="dxa"/>
            <w:shd w:val="clear" w:color="auto" w:fill="auto"/>
            <w:noWrap/>
          </w:tcPr>
          <w:p w14:paraId="65091C09" w14:textId="02CFECE8" w:rsidR="00CC6684" w:rsidRPr="00B275E2" w:rsidRDefault="00CC6684" w:rsidP="007901E7">
            <w:pPr>
              <w:pStyle w:val="TableText"/>
              <w:spacing w:before="30" w:after="30"/>
              <w:jc w:val="right"/>
              <w:rPr>
                <w:szCs w:val="18"/>
              </w:rPr>
            </w:pPr>
            <w:r w:rsidRPr="00B275E2">
              <w:rPr>
                <w:rFonts w:cs="Calibri"/>
                <w:szCs w:val="18"/>
              </w:rPr>
              <w:t>0.001</w:t>
            </w:r>
          </w:p>
        </w:tc>
        <w:tc>
          <w:tcPr>
            <w:tcW w:w="1077" w:type="dxa"/>
            <w:shd w:val="clear" w:color="auto" w:fill="auto"/>
            <w:noWrap/>
          </w:tcPr>
          <w:p w14:paraId="65091C0A" w14:textId="532698C9" w:rsidR="00CC6684" w:rsidRPr="00B275E2" w:rsidRDefault="00CC6684" w:rsidP="007901E7">
            <w:pPr>
              <w:pStyle w:val="TableText"/>
              <w:spacing w:before="30" w:after="30"/>
              <w:jc w:val="right"/>
              <w:rPr>
                <w:szCs w:val="18"/>
              </w:rPr>
            </w:pPr>
            <w:r w:rsidRPr="00B275E2">
              <w:rPr>
                <w:rFonts w:cs="Calibri"/>
                <w:szCs w:val="18"/>
              </w:rPr>
              <w:t>0.003</w:t>
            </w:r>
          </w:p>
        </w:tc>
      </w:tr>
      <w:tr w:rsidR="007901E7" w:rsidRPr="00B275E2" w14:paraId="65091C13" w14:textId="77777777" w:rsidTr="007901E7">
        <w:trPr>
          <w:trHeight w:val="300"/>
        </w:trPr>
        <w:tc>
          <w:tcPr>
            <w:tcW w:w="1540" w:type="dxa"/>
            <w:vMerge/>
          </w:tcPr>
          <w:p w14:paraId="65091C0C" w14:textId="77777777" w:rsidR="00CC6684" w:rsidRPr="00B275E2" w:rsidRDefault="00CC6684" w:rsidP="007901E7">
            <w:pPr>
              <w:pStyle w:val="TableText"/>
              <w:spacing w:before="30" w:after="30"/>
              <w:rPr>
                <w:szCs w:val="18"/>
              </w:rPr>
            </w:pPr>
          </w:p>
        </w:tc>
        <w:tc>
          <w:tcPr>
            <w:tcW w:w="1434" w:type="dxa"/>
            <w:noWrap/>
          </w:tcPr>
          <w:p w14:paraId="65091C0D" w14:textId="35B9646B" w:rsidR="00CC6684" w:rsidRPr="00B275E2" w:rsidRDefault="00CC6684" w:rsidP="007901E7">
            <w:pPr>
              <w:pStyle w:val="TableText"/>
              <w:spacing w:before="30" w:after="30"/>
              <w:rPr>
                <w:szCs w:val="18"/>
              </w:rPr>
            </w:pPr>
            <w:r w:rsidRPr="00B275E2">
              <w:rPr>
                <w:szCs w:val="18"/>
              </w:rPr>
              <w:t>≥3000 cc</w:t>
            </w:r>
          </w:p>
        </w:tc>
        <w:tc>
          <w:tcPr>
            <w:tcW w:w="567" w:type="dxa"/>
            <w:noWrap/>
          </w:tcPr>
          <w:p w14:paraId="65091C0E" w14:textId="77777777" w:rsidR="00CC6684" w:rsidRPr="00B275E2" w:rsidRDefault="00CC6684" w:rsidP="007901E7">
            <w:pPr>
              <w:pStyle w:val="TableText"/>
              <w:spacing w:before="30" w:after="30"/>
              <w:rPr>
                <w:szCs w:val="18"/>
              </w:rPr>
            </w:pPr>
            <w:r w:rsidRPr="00B275E2">
              <w:rPr>
                <w:szCs w:val="18"/>
              </w:rPr>
              <w:t>km</w:t>
            </w:r>
          </w:p>
        </w:tc>
        <w:tc>
          <w:tcPr>
            <w:tcW w:w="1191" w:type="dxa"/>
            <w:shd w:val="clear" w:color="auto" w:fill="D2DDE1" w:themeFill="background2"/>
            <w:noWrap/>
          </w:tcPr>
          <w:p w14:paraId="65091C0F" w14:textId="0C0DA35A" w:rsidR="00CC6684" w:rsidRPr="00B275E2" w:rsidRDefault="00CC6684" w:rsidP="007901E7">
            <w:pPr>
              <w:pStyle w:val="TableText"/>
              <w:spacing w:before="30" w:after="30"/>
              <w:jc w:val="right"/>
              <w:rPr>
                <w:szCs w:val="18"/>
              </w:rPr>
            </w:pPr>
            <w:r w:rsidRPr="00B275E2">
              <w:rPr>
                <w:rFonts w:cs="Calibri"/>
                <w:szCs w:val="18"/>
              </w:rPr>
              <w:t>0.114</w:t>
            </w:r>
          </w:p>
        </w:tc>
        <w:tc>
          <w:tcPr>
            <w:tcW w:w="1077" w:type="dxa"/>
            <w:shd w:val="clear" w:color="auto" w:fill="auto"/>
            <w:noWrap/>
          </w:tcPr>
          <w:p w14:paraId="65091C10" w14:textId="7EB3F2C5" w:rsidR="00CC6684" w:rsidRPr="00B275E2" w:rsidRDefault="00CC6684" w:rsidP="007901E7">
            <w:pPr>
              <w:pStyle w:val="TableText"/>
              <w:spacing w:before="30" w:after="30"/>
              <w:jc w:val="right"/>
              <w:rPr>
                <w:szCs w:val="18"/>
              </w:rPr>
            </w:pPr>
            <w:r w:rsidRPr="00B275E2">
              <w:rPr>
                <w:rFonts w:cs="Calibri"/>
                <w:szCs w:val="18"/>
              </w:rPr>
              <w:t>0.109</w:t>
            </w:r>
          </w:p>
        </w:tc>
        <w:tc>
          <w:tcPr>
            <w:tcW w:w="1021" w:type="dxa"/>
            <w:shd w:val="clear" w:color="auto" w:fill="auto"/>
            <w:noWrap/>
          </w:tcPr>
          <w:p w14:paraId="65091C11" w14:textId="2B67CB97" w:rsidR="00CC6684" w:rsidRPr="00B275E2" w:rsidRDefault="00CC6684" w:rsidP="007901E7">
            <w:pPr>
              <w:pStyle w:val="TableText"/>
              <w:spacing w:before="30" w:after="30"/>
              <w:jc w:val="right"/>
              <w:rPr>
                <w:szCs w:val="18"/>
              </w:rPr>
            </w:pPr>
            <w:r w:rsidRPr="00B275E2">
              <w:rPr>
                <w:rFonts w:cs="Calibri"/>
                <w:szCs w:val="18"/>
              </w:rPr>
              <w:t>0.001</w:t>
            </w:r>
          </w:p>
        </w:tc>
        <w:tc>
          <w:tcPr>
            <w:tcW w:w="1077" w:type="dxa"/>
            <w:shd w:val="clear" w:color="auto" w:fill="auto"/>
            <w:noWrap/>
          </w:tcPr>
          <w:p w14:paraId="65091C12" w14:textId="61C13EA9" w:rsidR="00CC6684" w:rsidRPr="00B275E2" w:rsidRDefault="00CC6684" w:rsidP="007901E7">
            <w:pPr>
              <w:pStyle w:val="TableText"/>
              <w:spacing w:before="30" w:after="30"/>
              <w:jc w:val="right"/>
              <w:rPr>
                <w:szCs w:val="18"/>
              </w:rPr>
            </w:pPr>
            <w:r w:rsidRPr="00B275E2">
              <w:rPr>
                <w:rFonts w:cs="Calibri"/>
                <w:szCs w:val="18"/>
              </w:rPr>
              <w:t>0.004</w:t>
            </w:r>
          </w:p>
        </w:tc>
      </w:tr>
      <w:tr w:rsidR="007901E7" w:rsidRPr="00B275E2" w14:paraId="65091C1B" w14:textId="77777777" w:rsidTr="007901E7">
        <w:trPr>
          <w:trHeight w:val="300"/>
        </w:trPr>
        <w:tc>
          <w:tcPr>
            <w:tcW w:w="1540" w:type="dxa"/>
            <w:vMerge w:val="restart"/>
          </w:tcPr>
          <w:p w14:paraId="65091C14" w14:textId="1504A8BE" w:rsidR="00CC6684" w:rsidRPr="00B275E2" w:rsidRDefault="00CC6684" w:rsidP="007901E7">
            <w:pPr>
              <w:pStyle w:val="TableText"/>
              <w:spacing w:before="30" w:after="30"/>
              <w:rPr>
                <w:szCs w:val="18"/>
              </w:rPr>
            </w:pPr>
            <w:r w:rsidRPr="00B275E2">
              <w:rPr>
                <w:szCs w:val="18"/>
              </w:rPr>
              <w:t>Petrol plug-in hybrid electric vehicle (PHEV) – electricity consumption</w:t>
            </w:r>
          </w:p>
        </w:tc>
        <w:tc>
          <w:tcPr>
            <w:tcW w:w="1434" w:type="dxa"/>
            <w:noWrap/>
          </w:tcPr>
          <w:p w14:paraId="65091C15" w14:textId="57AF6C52" w:rsidR="00CC6684" w:rsidRPr="00B275E2" w:rsidRDefault="00CC6684" w:rsidP="007901E7">
            <w:pPr>
              <w:pStyle w:val="TableText"/>
              <w:spacing w:before="30" w:after="30"/>
              <w:rPr>
                <w:szCs w:val="18"/>
              </w:rPr>
            </w:pPr>
            <w:r w:rsidRPr="00B275E2">
              <w:rPr>
                <w:szCs w:val="18"/>
              </w:rPr>
              <w:t>&lt;1350 cc</w:t>
            </w:r>
          </w:p>
        </w:tc>
        <w:tc>
          <w:tcPr>
            <w:tcW w:w="567" w:type="dxa"/>
            <w:noWrap/>
          </w:tcPr>
          <w:p w14:paraId="65091C16" w14:textId="77777777" w:rsidR="00CC6684" w:rsidRPr="00B275E2" w:rsidRDefault="00CC6684" w:rsidP="007901E7">
            <w:pPr>
              <w:pStyle w:val="TableText"/>
              <w:spacing w:before="30" w:after="30"/>
              <w:rPr>
                <w:szCs w:val="18"/>
              </w:rPr>
            </w:pPr>
            <w:r w:rsidRPr="00B275E2">
              <w:rPr>
                <w:szCs w:val="18"/>
              </w:rPr>
              <w:t>km</w:t>
            </w:r>
          </w:p>
        </w:tc>
        <w:tc>
          <w:tcPr>
            <w:tcW w:w="1191" w:type="dxa"/>
            <w:shd w:val="clear" w:color="auto" w:fill="D2DDE1" w:themeFill="background2"/>
            <w:noWrap/>
          </w:tcPr>
          <w:p w14:paraId="65091C17" w14:textId="2C39785D" w:rsidR="00CC6684" w:rsidRPr="00B275E2" w:rsidRDefault="00CC6684" w:rsidP="007901E7">
            <w:pPr>
              <w:pStyle w:val="TableText"/>
              <w:spacing w:before="30" w:after="30"/>
              <w:jc w:val="right"/>
              <w:rPr>
                <w:szCs w:val="18"/>
              </w:rPr>
            </w:pPr>
            <w:r w:rsidRPr="00B275E2">
              <w:rPr>
                <w:rFonts w:cs="Calibri"/>
                <w:szCs w:val="18"/>
              </w:rPr>
              <w:t>0.0</w:t>
            </w:r>
            <w:r w:rsidR="00870D91">
              <w:rPr>
                <w:rFonts w:cs="Calibri"/>
                <w:szCs w:val="18"/>
              </w:rPr>
              <w:t>10</w:t>
            </w:r>
          </w:p>
        </w:tc>
        <w:tc>
          <w:tcPr>
            <w:tcW w:w="1077" w:type="dxa"/>
            <w:shd w:val="clear" w:color="auto" w:fill="auto"/>
            <w:noWrap/>
          </w:tcPr>
          <w:p w14:paraId="65091C18" w14:textId="0C682F62" w:rsidR="00CC6684" w:rsidRPr="00B275E2" w:rsidRDefault="00CC6684" w:rsidP="007901E7">
            <w:pPr>
              <w:pStyle w:val="TableText"/>
              <w:spacing w:before="30" w:after="30"/>
              <w:jc w:val="right"/>
              <w:rPr>
                <w:szCs w:val="18"/>
              </w:rPr>
            </w:pPr>
            <w:r w:rsidRPr="00B275E2">
              <w:rPr>
                <w:rFonts w:cs="Calibri"/>
                <w:szCs w:val="18"/>
              </w:rPr>
              <w:t>0.0</w:t>
            </w:r>
            <w:r w:rsidR="00982D1C">
              <w:rPr>
                <w:rFonts w:cs="Calibri"/>
                <w:szCs w:val="18"/>
              </w:rPr>
              <w:t>10</w:t>
            </w:r>
          </w:p>
        </w:tc>
        <w:tc>
          <w:tcPr>
            <w:tcW w:w="1021" w:type="dxa"/>
            <w:shd w:val="clear" w:color="auto" w:fill="auto"/>
            <w:noWrap/>
          </w:tcPr>
          <w:p w14:paraId="65091C19" w14:textId="4A20AC64" w:rsidR="00CC6684" w:rsidRPr="00B275E2" w:rsidRDefault="00CC6684" w:rsidP="007901E7">
            <w:pPr>
              <w:pStyle w:val="TableText"/>
              <w:spacing w:before="30" w:after="30"/>
              <w:jc w:val="right"/>
              <w:rPr>
                <w:szCs w:val="18"/>
              </w:rPr>
            </w:pPr>
            <w:r w:rsidRPr="00B275E2">
              <w:rPr>
                <w:rFonts w:cs="Calibri"/>
                <w:szCs w:val="18"/>
              </w:rPr>
              <w:t>0.000</w:t>
            </w:r>
            <w:r w:rsidR="00E316B4">
              <w:rPr>
                <w:rFonts w:cs="Calibri"/>
                <w:szCs w:val="18"/>
              </w:rPr>
              <w:t>3</w:t>
            </w:r>
          </w:p>
        </w:tc>
        <w:tc>
          <w:tcPr>
            <w:tcW w:w="1077" w:type="dxa"/>
            <w:shd w:val="clear" w:color="auto" w:fill="auto"/>
            <w:noWrap/>
          </w:tcPr>
          <w:p w14:paraId="65091C1A" w14:textId="7100BDDD" w:rsidR="00CC6684" w:rsidRPr="00B275E2" w:rsidRDefault="00CC6684" w:rsidP="007901E7">
            <w:pPr>
              <w:pStyle w:val="TableText"/>
              <w:spacing w:before="30" w:after="30"/>
              <w:jc w:val="right"/>
              <w:rPr>
                <w:szCs w:val="18"/>
              </w:rPr>
            </w:pPr>
            <w:r w:rsidRPr="00B275E2">
              <w:rPr>
                <w:rFonts w:cs="Calibri"/>
                <w:szCs w:val="18"/>
              </w:rPr>
              <w:t>0.0000</w:t>
            </w:r>
            <w:r w:rsidR="00E316B4">
              <w:rPr>
                <w:rFonts w:cs="Calibri"/>
                <w:szCs w:val="18"/>
              </w:rPr>
              <w:t>2</w:t>
            </w:r>
          </w:p>
        </w:tc>
      </w:tr>
      <w:tr w:rsidR="007901E7" w:rsidRPr="00B275E2" w14:paraId="65091C23" w14:textId="77777777" w:rsidTr="007901E7">
        <w:trPr>
          <w:trHeight w:val="300"/>
        </w:trPr>
        <w:tc>
          <w:tcPr>
            <w:tcW w:w="1540" w:type="dxa"/>
            <w:vMerge/>
          </w:tcPr>
          <w:p w14:paraId="65091C1C" w14:textId="77777777" w:rsidR="00CC6684" w:rsidRPr="00B275E2" w:rsidRDefault="00CC6684" w:rsidP="007901E7">
            <w:pPr>
              <w:pStyle w:val="TableText"/>
              <w:spacing w:before="30" w:after="30"/>
              <w:rPr>
                <w:szCs w:val="18"/>
              </w:rPr>
            </w:pPr>
          </w:p>
        </w:tc>
        <w:tc>
          <w:tcPr>
            <w:tcW w:w="1434" w:type="dxa"/>
            <w:noWrap/>
          </w:tcPr>
          <w:p w14:paraId="65091C1D" w14:textId="665056CD" w:rsidR="00CC6684" w:rsidRPr="00B275E2" w:rsidRDefault="00CC6684" w:rsidP="007901E7">
            <w:pPr>
              <w:pStyle w:val="TableText"/>
              <w:spacing w:before="30" w:after="30"/>
              <w:rPr>
                <w:szCs w:val="18"/>
              </w:rPr>
            </w:pPr>
            <w:r w:rsidRPr="00B275E2">
              <w:rPr>
                <w:szCs w:val="18"/>
              </w:rPr>
              <w:t>1350</w:t>
            </w:r>
            <w:r w:rsidRPr="00B275E2">
              <w:rPr>
                <w:rFonts w:cs="Calibri"/>
                <w:color w:val="000000"/>
                <w:szCs w:val="18"/>
              </w:rPr>
              <w:t xml:space="preserve"> -</w:t>
            </w:r>
            <w:r w:rsidRPr="00B275E2">
              <w:rPr>
                <w:szCs w:val="18"/>
              </w:rPr>
              <w:t xml:space="preserve"> &lt;1600 cc</w:t>
            </w:r>
          </w:p>
        </w:tc>
        <w:tc>
          <w:tcPr>
            <w:tcW w:w="567" w:type="dxa"/>
            <w:noWrap/>
          </w:tcPr>
          <w:p w14:paraId="65091C1E" w14:textId="77777777" w:rsidR="00CC6684" w:rsidRPr="00B275E2" w:rsidRDefault="00CC6684" w:rsidP="007901E7">
            <w:pPr>
              <w:pStyle w:val="TableText"/>
              <w:spacing w:before="30" w:after="30"/>
              <w:rPr>
                <w:szCs w:val="18"/>
              </w:rPr>
            </w:pPr>
            <w:r w:rsidRPr="00B275E2">
              <w:rPr>
                <w:szCs w:val="18"/>
              </w:rPr>
              <w:t>km</w:t>
            </w:r>
          </w:p>
        </w:tc>
        <w:tc>
          <w:tcPr>
            <w:tcW w:w="1191" w:type="dxa"/>
            <w:shd w:val="clear" w:color="auto" w:fill="D2DDE1" w:themeFill="background2"/>
            <w:noWrap/>
          </w:tcPr>
          <w:p w14:paraId="65091C1F" w14:textId="6666C587" w:rsidR="00CC6684" w:rsidRPr="00B275E2" w:rsidRDefault="00CC6684" w:rsidP="007901E7">
            <w:pPr>
              <w:pStyle w:val="TableText"/>
              <w:spacing w:before="30" w:after="30"/>
              <w:jc w:val="right"/>
              <w:rPr>
                <w:szCs w:val="18"/>
              </w:rPr>
            </w:pPr>
            <w:r w:rsidRPr="00B275E2">
              <w:rPr>
                <w:rFonts w:cs="Calibri"/>
                <w:szCs w:val="18"/>
              </w:rPr>
              <w:t>0.010</w:t>
            </w:r>
          </w:p>
        </w:tc>
        <w:tc>
          <w:tcPr>
            <w:tcW w:w="1077" w:type="dxa"/>
            <w:shd w:val="clear" w:color="auto" w:fill="auto"/>
            <w:noWrap/>
          </w:tcPr>
          <w:p w14:paraId="65091C20" w14:textId="0A9C10CC" w:rsidR="00CC6684" w:rsidRPr="00B275E2" w:rsidRDefault="00CC6684" w:rsidP="007901E7">
            <w:pPr>
              <w:pStyle w:val="TableText"/>
              <w:spacing w:before="30" w:after="30"/>
              <w:jc w:val="right"/>
              <w:rPr>
                <w:szCs w:val="18"/>
              </w:rPr>
            </w:pPr>
            <w:r w:rsidRPr="00B275E2">
              <w:rPr>
                <w:rFonts w:cs="Calibri"/>
                <w:szCs w:val="18"/>
              </w:rPr>
              <w:t>0.0</w:t>
            </w:r>
            <w:r w:rsidR="00982D1C">
              <w:rPr>
                <w:rFonts w:cs="Calibri"/>
                <w:szCs w:val="18"/>
              </w:rPr>
              <w:t>10</w:t>
            </w:r>
          </w:p>
        </w:tc>
        <w:tc>
          <w:tcPr>
            <w:tcW w:w="1021" w:type="dxa"/>
            <w:shd w:val="clear" w:color="auto" w:fill="auto"/>
            <w:noWrap/>
          </w:tcPr>
          <w:p w14:paraId="65091C21" w14:textId="07CB95D4" w:rsidR="00CC6684" w:rsidRPr="00B275E2" w:rsidRDefault="00CC6684" w:rsidP="007901E7">
            <w:pPr>
              <w:pStyle w:val="TableText"/>
              <w:spacing w:before="30" w:after="30"/>
              <w:jc w:val="right"/>
              <w:rPr>
                <w:szCs w:val="18"/>
              </w:rPr>
            </w:pPr>
            <w:r w:rsidRPr="00B275E2">
              <w:rPr>
                <w:rFonts w:cs="Calibri"/>
                <w:szCs w:val="18"/>
              </w:rPr>
              <w:t>0.000</w:t>
            </w:r>
            <w:r w:rsidR="00E316B4">
              <w:rPr>
                <w:rFonts w:cs="Calibri"/>
                <w:szCs w:val="18"/>
              </w:rPr>
              <w:t>3</w:t>
            </w:r>
          </w:p>
        </w:tc>
        <w:tc>
          <w:tcPr>
            <w:tcW w:w="1077" w:type="dxa"/>
            <w:shd w:val="clear" w:color="auto" w:fill="auto"/>
            <w:noWrap/>
          </w:tcPr>
          <w:p w14:paraId="65091C22" w14:textId="7F95293C" w:rsidR="00CC6684" w:rsidRPr="00B275E2" w:rsidRDefault="00CC6684" w:rsidP="007901E7">
            <w:pPr>
              <w:pStyle w:val="TableText"/>
              <w:spacing w:before="30" w:after="30"/>
              <w:jc w:val="right"/>
              <w:rPr>
                <w:szCs w:val="18"/>
              </w:rPr>
            </w:pPr>
            <w:r w:rsidRPr="00B275E2">
              <w:rPr>
                <w:rFonts w:cs="Calibri"/>
                <w:szCs w:val="18"/>
              </w:rPr>
              <w:t>0.0000</w:t>
            </w:r>
            <w:r w:rsidR="00E316B4">
              <w:rPr>
                <w:rFonts w:cs="Calibri"/>
                <w:szCs w:val="18"/>
              </w:rPr>
              <w:t>2</w:t>
            </w:r>
          </w:p>
        </w:tc>
      </w:tr>
      <w:tr w:rsidR="007901E7" w:rsidRPr="00B275E2" w14:paraId="65091C2B" w14:textId="77777777" w:rsidTr="007901E7">
        <w:trPr>
          <w:trHeight w:val="300"/>
        </w:trPr>
        <w:tc>
          <w:tcPr>
            <w:tcW w:w="1540" w:type="dxa"/>
            <w:vMerge/>
          </w:tcPr>
          <w:p w14:paraId="65091C24" w14:textId="77777777" w:rsidR="00CC6684" w:rsidRPr="00B275E2" w:rsidRDefault="00CC6684" w:rsidP="007901E7">
            <w:pPr>
              <w:pStyle w:val="TableText"/>
              <w:spacing w:before="30" w:after="30"/>
              <w:rPr>
                <w:szCs w:val="18"/>
              </w:rPr>
            </w:pPr>
          </w:p>
        </w:tc>
        <w:tc>
          <w:tcPr>
            <w:tcW w:w="1434" w:type="dxa"/>
            <w:noWrap/>
          </w:tcPr>
          <w:p w14:paraId="65091C25" w14:textId="4A4D0412" w:rsidR="00CC6684" w:rsidRPr="00B275E2" w:rsidRDefault="00CC6684" w:rsidP="007901E7">
            <w:pPr>
              <w:pStyle w:val="TableText"/>
              <w:spacing w:before="30" w:after="30"/>
              <w:rPr>
                <w:szCs w:val="18"/>
              </w:rPr>
            </w:pPr>
            <w:r w:rsidRPr="00B275E2">
              <w:rPr>
                <w:szCs w:val="18"/>
              </w:rPr>
              <w:t>1600</w:t>
            </w:r>
            <w:r w:rsidRPr="00B275E2">
              <w:rPr>
                <w:rFonts w:cs="Calibri"/>
                <w:color w:val="000000"/>
                <w:szCs w:val="18"/>
              </w:rPr>
              <w:t xml:space="preserve"> -</w:t>
            </w:r>
            <w:r w:rsidRPr="00B275E2">
              <w:rPr>
                <w:szCs w:val="18"/>
              </w:rPr>
              <w:t xml:space="preserve"> &lt;2000 cc</w:t>
            </w:r>
          </w:p>
        </w:tc>
        <w:tc>
          <w:tcPr>
            <w:tcW w:w="567" w:type="dxa"/>
            <w:noWrap/>
          </w:tcPr>
          <w:p w14:paraId="65091C26" w14:textId="77777777" w:rsidR="00CC6684" w:rsidRPr="00B275E2" w:rsidRDefault="00CC6684" w:rsidP="007901E7">
            <w:pPr>
              <w:pStyle w:val="TableText"/>
              <w:spacing w:before="30" w:after="30"/>
              <w:rPr>
                <w:szCs w:val="18"/>
              </w:rPr>
            </w:pPr>
            <w:r w:rsidRPr="00B275E2">
              <w:rPr>
                <w:szCs w:val="18"/>
              </w:rPr>
              <w:t>km</w:t>
            </w:r>
          </w:p>
        </w:tc>
        <w:tc>
          <w:tcPr>
            <w:tcW w:w="1191" w:type="dxa"/>
            <w:shd w:val="clear" w:color="auto" w:fill="D2DDE1" w:themeFill="background2"/>
            <w:noWrap/>
          </w:tcPr>
          <w:p w14:paraId="65091C27" w14:textId="49804CAD" w:rsidR="00CC6684" w:rsidRPr="00B275E2" w:rsidRDefault="00CC6684" w:rsidP="007901E7">
            <w:pPr>
              <w:pStyle w:val="TableText"/>
              <w:spacing w:before="30" w:after="30"/>
              <w:jc w:val="right"/>
              <w:rPr>
                <w:szCs w:val="18"/>
              </w:rPr>
            </w:pPr>
            <w:r w:rsidRPr="00B275E2">
              <w:rPr>
                <w:rFonts w:cs="Calibri"/>
                <w:szCs w:val="18"/>
              </w:rPr>
              <w:t>0.01</w:t>
            </w:r>
            <w:r w:rsidR="00982D1C">
              <w:rPr>
                <w:rFonts w:cs="Calibri"/>
                <w:szCs w:val="18"/>
              </w:rPr>
              <w:t>2</w:t>
            </w:r>
          </w:p>
        </w:tc>
        <w:tc>
          <w:tcPr>
            <w:tcW w:w="1077" w:type="dxa"/>
            <w:shd w:val="clear" w:color="auto" w:fill="auto"/>
            <w:noWrap/>
          </w:tcPr>
          <w:p w14:paraId="65091C28" w14:textId="3CBCD1EA" w:rsidR="00CC6684" w:rsidRPr="00B275E2" w:rsidRDefault="00CC6684" w:rsidP="007901E7">
            <w:pPr>
              <w:pStyle w:val="TableText"/>
              <w:spacing w:before="30" w:after="30"/>
              <w:jc w:val="right"/>
              <w:rPr>
                <w:szCs w:val="18"/>
              </w:rPr>
            </w:pPr>
            <w:r w:rsidRPr="00B275E2">
              <w:rPr>
                <w:rFonts w:cs="Calibri"/>
                <w:szCs w:val="18"/>
              </w:rPr>
              <w:t>0.011</w:t>
            </w:r>
          </w:p>
        </w:tc>
        <w:tc>
          <w:tcPr>
            <w:tcW w:w="1021" w:type="dxa"/>
            <w:shd w:val="clear" w:color="auto" w:fill="auto"/>
            <w:noWrap/>
          </w:tcPr>
          <w:p w14:paraId="65091C29" w14:textId="5BE9156A" w:rsidR="00CC6684" w:rsidRPr="00B275E2" w:rsidRDefault="00CC6684" w:rsidP="007901E7">
            <w:pPr>
              <w:pStyle w:val="TableText"/>
              <w:spacing w:before="30" w:after="30"/>
              <w:jc w:val="right"/>
              <w:rPr>
                <w:szCs w:val="18"/>
              </w:rPr>
            </w:pPr>
            <w:r w:rsidRPr="00B275E2">
              <w:rPr>
                <w:rFonts w:cs="Calibri"/>
                <w:szCs w:val="18"/>
              </w:rPr>
              <w:t>0.000</w:t>
            </w:r>
            <w:r w:rsidR="00E316B4">
              <w:rPr>
                <w:rFonts w:cs="Calibri"/>
                <w:szCs w:val="18"/>
              </w:rPr>
              <w:t>3</w:t>
            </w:r>
          </w:p>
        </w:tc>
        <w:tc>
          <w:tcPr>
            <w:tcW w:w="1077" w:type="dxa"/>
            <w:shd w:val="clear" w:color="auto" w:fill="auto"/>
            <w:noWrap/>
          </w:tcPr>
          <w:p w14:paraId="65091C2A" w14:textId="1E9D16C8" w:rsidR="00CC6684" w:rsidRPr="00B275E2" w:rsidRDefault="00CC6684" w:rsidP="007901E7">
            <w:pPr>
              <w:pStyle w:val="TableText"/>
              <w:spacing w:before="30" w:after="30"/>
              <w:jc w:val="right"/>
              <w:rPr>
                <w:szCs w:val="18"/>
              </w:rPr>
            </w:pPr>
            <w:r w:rsidRPr="00B275E2">
              <w:rPr>
                <w:rFonts w:cs="Calibri"/>
                <w:szCs w:val="18"/>
              </w:rPr>
              <w:t>0.0000</w:t>
            </w:r>
            <w:r w:rsidR="00E316B4">
              <w:rPr>
                <w:rFonts w:cs="Calibri"/>
                <w:szCs w:val="18"/>
              </w:rPr>
              <w:t>2</w:t>
            </w:r>
          </w:p>
        </w:tc>
      </w:tr>
      <w:tr w:rsidR="007901E7" w:rsidRPr="00B275E2" w14:paraId="65091C33" w14:textId="77777777" w:rsidTr="007901E7">
        <w:trPr>
          <w:trHeight w:val="300"/>
        </w:trPr>
        <w:tc>
          <w:tcPr>
            <w:tcW w:w="1540" w:type="dxa"/>
            <w:vMerge/>
          </w:tcPr>
          <w:p w14:paraId="65091C2C" w14:textId="77777777" w:rsidR="00CC6684" w:rsidRPr="00B275E2" w:rsidRDefault="00CC6684" w:rsidP="007901E7">
            <w:pPr>
              <w:pStyle w:val="TableText"/>
              <w:spacing w:before="30" w:after="30"/>
              <w:rPr>
                <w:szCs w:val="18"/>
              </w:rPr>
            </w:pPr>
          </w:p>
        </w:tc>
        <w:tc>
          <w:tcPr>
            <w:tcW w:w="1434" w:type="dxa"/>
            <w:noWrap/>
          </w:tcPr>
          <w:p w14:paraId="65091C2D" w14:textId="1E0AF59D" w:rsidR="00CC6684" w:rsidRPr="00B275E2" w:rsidRDefault="00CC6684" w:rsidP="007901E7">
            <w:pPr>
              <w:pStyle w:val="TableText"/>
              <w:spacing w:before="30" w:after="30"/>
              <w:rPr>
                <w:szCs w:val="18"/>
              </w:rPr>
            </w:pPr>
            <w:r w:rsidRPr="00B275E2">
              <w:rPr>
                <w:szCs w:val="18"/>
              </w:rPr>
              <w:t>2000</w:t>
            </w:r>
            <w:r w:rsidRPr="00B275E2">
              <w:rPr>
                <w:rFonts w:cs="Calibri"/>
                <w:color w:val="000000"/>
                <w:szCs w:val="18"/>
              </w:rPr>
              <w:t xml:space="preserve"> -</w:t>
            </w:r>
            <w:r w:rsidRPr="00B275E2">
              <w:rPr>
                <w:szCs w:val="18"/>
              </w:rPr>
              <w:t xml:space="preserve"> &lt;3000 cc</w:t>
            </w:r>
          </w:p>
        </w:tc>
        <w:tc>
          <w:tcPr>
            <w:tcW w:w="567" w:type="dxa"/>
            <w:noWrap/>
          </w:tcPr>
          <w:p w14:paraId="65091C2E" w14:textId="77777777" w:rsidR="00CC6684" w:rsidRPr="00B275E2" w:rsidRDefault="00CC6684" w:rsidP="007901E7">
            <w:pPr>
              <w:pStyle w:val="TableText"/>
              <w:spacing w:before="30" w:after="30"/>
              <w:rPr>
                <w:szCs w:val="18"/>
              </w:rPr>
            </w:pPr>
            <w:r w:rsidRPr="00B275E2">
              <w:rPr>
                <w:szCs w:val="18"/>
              </w:rPr>
              <w:t>km</w:t>
            </w:r>
          </w:p>
        </w:tc>
        <w:tc>
          <w:tcPr>
            <w:tcW w:w="1191" w:type="dxa"/>
            <w:shd w:val="clear" w:color="auto" w:fill="D2DDE1" w:themeFill="background2"/>
            <w:noWrap/>
          </w:tcPr>
          <w:p w14:paraId="65091C2F" w14:textId="3994D7DA" w:rsidR="00CC6684" w:rsidRPr="00B275E2" w:rsidRDefault="00CC6684" w:rsidP="007901E7">
            <w:pPr>
              <w:pStyle w:val="TableText"/>
              <w:spacing w:before="30" w:after="30"/>
              <w:jc w:val="right"/>
              <w:rPr>
                <w:szCs w:val="18"/>
              </w:rPr>
            </w:pPr>
            <w:r w:rsidRPr="00B275E2">
              <w:rPr>
                <w:rFonts w:cs="Calibri"/>
                <w:szCs w:val="18"/>
              </w:rPr>
              <w:t>0.01</w:t>
            </w:r>
            <w:r w:rsidR="00982D1C">
              <w:rPr>
                <w:rFonts w:cs="Calibri"/>
                <w:szCs w:val="18"/>
              </w:rPr>
              <w:t>3</w:t>
            </w:r>
          </w:p>
        </w:tc>
        <w:tc>
          <w:tcPr>
            <w:tcW w:w="1077" w:type="dxa"/>
            <w:shd w:val="clear" w:color="auto" w:fill="auto"/>
            <w:noWrap/>
          </w:tcPr>
          <w:p w14:paraId="65091C30" w14:textId="798E908A" w:rsidR="00CC6684" w:rsidRPr="00B275E2" w:rsidRDefault="00CC6684" w:rsidP="007901E7">
            <w:pPr>
              <w:pStyle w:val="TableText"/>
              <w:spacing w:before="30" w:after="30"/>
              <w:jc w:val="right"/>
              <w:rPr>
                <w:szCs w:val="18"/>
              </w:rPr>
            </w:pPr>
            <w:r w:rsidRPr="00B275E2">
              <w:rPr>
                <w:rFonts w:cs="Calibri"/>
                <w:szCs w:val="18"/>
              </w:rPr>
              <w:t>0.01</w:t>
            </w:r>
            <w:r w:rsidR="00982D1C">
              <w:rPr>
                <w:rFonts w:cs="Calibri"/>
                <w:szCs w:val="18"/>
              </w:rPr>
              <w:t>3</w:t>
            </w:r>
          </w:p>
        </w:tc>
        <w:tc>
          <w:tcPr>
            <w:tcW w:w="1021" w:type="dxa"/>
            <w:shd w:val="clear" w:color="auto" w:fill="auto"/>
            <w:noWrap/>
          </w:tcPr>
          <w:p w14:paraId="65091C31" w14:textId="1C85E482" w:rsidR="00CC6684" w:rsidRPr="00B275E2" w:rsidRDefault="00CC6684" w:rsidP="007901E7">
            <w:pPr>
              <w:pStyle w:val="TableText"/>
              <w:spacing w:before="30" w:after="30"/>
              <w:jc w:val="right"/>
              <w:rPr>
                <w:szCs w:val="18"/>
              </w:rPr>
            </w:pPr>
            <w:r w:rsidRPr="00B275E2">
              <w:rPr>
                <w:rFonts w:cs="Calibri"/>
                <w:szCs w:val="18"/>
              </w:rPr>
              <w:t>0.000</w:t>
            </w:r>
            <w:r w:rsidR="00E316B4">
              <w:rPr>
                <w:rFonts w:cs="Calibri"/>
                <w:szCs w:val="18"/>
              </w:rPr>
              <w:t>3</w:t>
            </w:r>
          </w:p>
        </w:tc>
        <w:tc>
          <w:tcPr>
            <w:tcW w:w="1077" w:type="dxa"/>
            <w:shd w:val="clear" w:color="auto" w:fill="auto"/>
            <w:noWrap/>
          </w:tcPr>
          <w:p w14:paraId="65091C32" w14:textId="504DAD6B" w:rsidR="00CC6684" w:rsidRPr="00B275E2" w:rsidRDefault="00CC6684" w:rsidP="007901E7">
            <w:pPr>
              <w:pStyle w:val="TableText"/>
              <w:spacing w:before="30" w:after="30"/>
              <w:jc w:val="right"/>
              <w:rPr>
                <w:szCs w:val="18"/>
              </w:rPr>
            </w:pPr>
            <w:r w:rsidRPr="00B275E2">
              <w:rPr>
                <w:rFonts w:cs="Calibri"/>
                <w:szCs w:val="18"/>
              </w:rPr>
              <w:t>0.0000</w:t>
            </w:r>
            <w:r w:rsidR="00E316B4">
              <w:rPr>
                <w:rFonts w:cs="Calibri"/>
                <w:szCs w:val="18"/>
              </w:rPr>
              <w:t>3</w:t>
            </w:r>
          </w:p>
        </w:tc>
      </w:tr>
      <w:tr w:rsidR="007901E7" w:rsidRPr="00B275E2" w14:paraId="65091C3B" w14:textId="77777777" w:rsidTr="007901E7">
        <w:trPr>
          <w:trHeight w:val="300"/>
        </w:trPr>
        <w:tc>
          <w:tcPr>
            <w:tcW w:w="1540" w:type="dxa"/>
            <w:vMerge/>
          </w:tcPr>
          <w:p w14:paraId="65091C34" w14:textId="77777777" w:rsidR="00CC6684" w:rsidRPr="00B275E2" w:rsidRDefault="00CC6684" w:rsidP="007901E7">
            <w:pPr>
              <w:pStyle w:val="TableText"/>
              <w:spacing w:before="30" w:after="30"/>
              <w:rPr>
                <w:szCs w:val="18"/>
              </w:rPr>
            </w:pPr>
          </w:p>
        </w:tc>
        <w:tc>
          <w:tcPr>
            <w:tcW w:w="1434" w:type="dxa"/>
            <w:noWrap/>
          </w:tcPr>
          <w:p w14:paraId="65091C35" w14:textId="49AA02DC" w:rsidR="00CC6684" w:rsidRPr="00B275E2" w:rsidRDefault="00CC6684" w:rsidP="007901E7">
            <w:pPr>
              <w:pStyle w:val="TableText"/>
              <w:spacing w:before="30" w:after="30"/>
              <w:rPr>
                <w:szCs w:val="18"/>
              </w:rPr>
            </w:pPr>
            <w:r w:rsidRPr="00B275E2">
              <w:rPr>
                <w:szCs w:val="18"/>
              </w:rPr>
              <w:t>≥3000 cc</w:t>
            </w:r>
          </w:p>
        </w:tc>
        <w:tc>
          <w:tcPr>
            <w:tcW w:w="567" w:type="dxa"/>
            <w:noWrap/>
          </w:tcPr>
          <w:p w14:paraId="65091C36" w14:textId="77777777" w:rsidR="00CC6684" w:rsidRPr="00B275E2" w:rsidRDefault="00CC6684" w:rsidP="007901E7">
            <w:pPr>
              <w:pStyle w:val="TableText"/>
              <w:spacing w:before="30" w:after="30"/>
              <w:rPr>
                <w:szCs w:val="18"/>
              </w:rPr>
            </w:pPr>
            <w:r w:rsidRPr="00B275E2">
              <w:rPr>
                <w:szCs w:val="18"/>
              </w:rPr>
              <w:t>km</w:t>
            </w:r>
          </w:p>
        </w:tc>
        <w:tc>
          <w:tcPr>
            <w:tcW w:w="1191" w:type="dxa"/>
            <w:shd w:val="clear" w:color="auto" w:fill="D2DDE1" w:themeFill="background2"/>
            <w:noWrap/>
          </w:tcPr>
          <w:p w14:paraId="65091C37" w14:textId="5CB7BED4" w:rsidR="00CC6684" w:rsidRPr="00B275E2" w:rsidRDefault="00CC6684" w:rsidP="007901E7">
            <w:pPr>
              <w:pStyle w:val="TableText"/>
              <w:spacing w:before="30" w:after="30"/>
              <w:jc w:val="right"/>
              <w:rPr>
                <w:szCs w:val="18"/>
              </w:rPr>
            </w:pPr>
            <w:r w:rsidRPr="00B275E2">
              <w:rPr>
                <w:rFonts w:cs="Calibri"/>
                <w:szCs w:val="18"/>
              </w:rPr>
              <w:t>0.015</w:t>
            </w:r>
          </w:p>
        </w:tc>
        <w:tc>
          <w:tcPr>
            <w:tcW w:w="1077" w:type="dxa"/>
            <w:shd w:val="clear" w:color="auto" w:fill="auto"/>
            <w:noWrap/>
          </w:tcPr>
          <w:p w14:paraId="65091C38" w14:textId="07DA97E3" w:rsidR="00CC6684" w:rsidRPr="00B275E2" w:rsidRDefault="00CC6684" w:rsidP="007901E7">
            <w:pPr>
              <w:pStyle w:val="TableText"/>
              <w:spacing w:before="30" w:after="30"/>
              <w:jc w:val="right"/>
              <w:rPr>
                <w:szCs w:val="18"/>
              </w:rPr>
            </w:pPr>
            <w:r w:rsidRPr="00B275E2">
              <w:rPr>
                <w:rFonts w:cs="Calibri"/>
                <w:szCs w:val="18"/>
              </w:rPr>
              <w:t>0.01</w:t>
            </w:r>
            <w:r w:rsidR="00982D1C">
              <w:rPr>
                <w:rFonts w:cs="Calibri"/>
                <w:szCs w:val="18"/>
              </w:rPr>
              <w:t>5</w:t>
            </w:r>
          </w:p>
        </w:tc>
        <w:tc>
          <w:tcPr>
            <w:tcW w:w="1021" w:type="dxa"/>
            <w:shd w:val="clear" w:color="auto" w:fill="auto"/>
            <w:noWrap/>
          </w:tcPr>
          <w:p w14:paraId="65091C39" w14:textId="072B95BF" w:rsidR="00CC6684" w:rsidRPr="00B275E2" w:rsidRDefault="00CC6684" w:rsidP="007901E7">
            <w:pPr>
              <w:pStyle w:val="TableText"/>
              <w:spacing w:before="30" w:after="30"/>
              <w:jc w:val="right"/>
              <w:rPr>
                <w:szCs w:val="18"/>
              </w:rPr>
            </w:pPr>
            <w:r w:rsidRPr="00B275E2">
              <w:rPr>
                <w:rFonts w:cs="Calibri"/>
                <w:szCs w:val="18"/>
              </w:rPr>
              <w:t>0.000</w:t>
            </w:r>
            <w:r w:rsidR="00E316B4">
              <w:rPr>
                <w:rFonts w:cs="Calibri"/>
                <w:szCs w:val="18"/>
              </w:rPr>
              <w:t>4</w:t>
            </w:r>
          </w:p>
        </w:tc>
        <w:tc>
          <w:tcPr>
            <w:tcW w:w="1077" w:type="dxa"/>
            <w:shd w:val="clear" w:color="auto" w:fill="auto"/>
            <w:noWrap/>
          </w:tcPr>
          <w:p w14:paraId="65091C3A" w14:textId="7A9EF099" w:rsidR="00CC6684" w:rsidRPr="00B275E2" w:rsidRDefault="00CC6684" w:rsidP="007901E7">
            <w:pPr>
              <w:pStyle w:val="TableText"/>
              <w:spacing w:before="30" w:after="30"/>
              <w:jc w:val="right"/>
              <w:rPr>
                <w:szCs w:val="18"/>
              </w:rPr>
            </w:pPr>
            <w:r w:rsidRPr="00B275E2">
              <w:rPr>
                <w:rFonts w:cs="Calibri"/>
                <w:szCs w:val="18"/>
              </w:rPr>
              <w:t>0.0000</w:t>
            </w:r>
            <w:r w:rsidR="00E316B4">
              <w:rPr>
                <w:rFonts w:cs="Calibri"/>
                <w:szCs w:val="18"/>
              </w:rPr>
              <w:t>3</w:t>
            </w:r>
          </w:p>
        </w:tc>
      </w:tr>
      <w:tr w:rsidR="007901E7" w:rsidRPr="00B275E2" w14:paraId="65091C43" w14:textId="77777777" w:rsidTr="007901E7">
        <w:trPr>
          <w:trHeight w:val="300"/>
        </w:trPr>
        <w:tc>
          <w:tcPr>
            <w:tcW w:w="1540" w:type="dxa"/>
            <w:vMerge w:val="restart"/>
          </w:tcPr>
          <w:p w14:paraId="65091C3C" w14:textId="08B58B5C" w:rsidR="00CC6684" w:rsidRPr="00B275E2" w:rsidRDefault="00CC6684" w:rsidP="007901E7">
            <w:pPr>
              <w:pStyle w:val="TableText"/>
              <w:spacing w:before="30" w:after="30"/>
              <w:rPr>
                <w:szCs w:val="18"/>
              </w:rPr>
            </w:pPr>
            <w:r w:rsidRPr="00B275E2">
              <w:rPr>
                <w:szCs w:val="18"/>
              </w:rPr>
              <w:t>Diesel plug-in hybrid electric vehicle (PHEV) – diesel consumption</w:t>
            </w:r>
          </w:p>
        </w:tc>
        <w:tc>
          <w:tcPr>
            <w:tcW w:w="1434" w:type="dxa"/>
            <w:noWrap/>
          </w:tcPr>
          <w:p w14:paraId="65091C3D" w14:textId="26EA0108" w:rsidR="00CC6684" w:rsidRPr="00B275E2" w:rsidRDefault="00CC6684" w:rsidP="007901E7">
            <w:pPr>
              <w:pStyle w:val="TableText"/>
              <w:spacing w:before="30" w:after="30"/>
              <w:rPr>
                <w:szCs w:val="18"/>
              </w:rPr>
            </w:pPr>
            <w:r w:rsidRPr="00B275E2">
              <w:rPr>
                <w:szCs w:val="18"/>
              </w:rPr>
              <w:t>&lt;1350 cc</w:t>
            </w:r>
          </w:p>
        </w:tc>
        <w:tc>
          <w:tcPr>
            <w:tcW w:w="567" w:type="dxa"/>
            <w:noWrap/>
          </w:tcPr>
          <w:p w14:paraId="65091C3E" w14:textId="77777777" w:rsidR="00CC6684" w:rsidRPr="00B275E2" w:rsidRDefault="00CC6684" w:rsidP="007901E7">
            <w:pPr>
              <w:pStyle w:val="TableText"/>
              <w:spacing w:before="30" w:after="30"/>
              <w:rPr>
                <w:szCs w:val="18"/>
              </w:rPr>
            </w:pPr>
            <w:r w:rsidRPr="00B275E2">
              <w:rPr>
                <w:szCs w:val="18"/>
              </w:rPr>
              <w:t>km</w:t>
            </w:r>
          </w:p>
        </w:tc>
        <w:tc>
          <w:tcPr>
            <w:tcW w:w="1191" w:type="dxa"/>
            <w:shd w:val="clear" w:color="auto" w:fill="D2DDE1" w:themeFill="background2"/>
            <w:noWrap/>
          </w:tcPr>
          <w:p w14:paraId="65091C3F" w14:textId="694A4E81" w:rsidR="00CC6684" w:rsidRPr="00B275E2" w:rsidRDefault="00CC6684" w:rsidP="007901E7">
            <w:pPr>
              <w:pStyle w:val="TableText"/>
              <w:spacing w:before="30" w:after="30"/>
              <w:jc w:val="right"/>
              <w:rPr>
                <w:szCs w:val="18"/>
              </w:rPr>
            </w:pPr>
            <w:r w:rsidRPr="00B275E2">
              <w:rPr>
                <w:rFonts w:cs="Calibri"/>
                <w:szCs w:val="18"/>
              </w:rPr>
              <w:t>0.092</w:t>
            </w:r>
          </w:p>
        </w:tc>
        <w:tc>
          <w:tcPr>
            <w:tcW w:w="1077" w:type="dxa"/>
            <w:shd w:val="clear" w:color="auto" w:fill="auto"/>
            <w:noWrap/>
          </w:tcPr>
          <w:p w14:paraId="65091C40" w14:textId="6056B3C4" w:rsidR="00CC6684" w:rsidRPr="00B275E2" w:rsidRDefault="00CC6684" w:rsidP="007901E7">
            <w:pPr>
              <w:pStyle w:val="TableText"/>
              <w:spacing w:before="30" w:after="30"/>
              <w:jc w:val="right"/>
              <w:rPr>
                <w:szCs w:val="18"/>
              </w:rPr>
            </w:pPr>
            <w:r w:rsidRPr="00B275E2">
              <w:rPr>
                <w:rFonts w:cs="Calibri"/>
                <w:szCs w:val="18"/>
              </w:rPr>
              <w:t>0.091</w:t>
            </w:r>
          </w:p>
        </w:tc>
        <w:tc>
          <w:tcPr>
            <w:tcW w:w="1021" w:type="dxa"/>
            <w:shd w:val="clear" w:color="auto" w:fill="auto"/>
            <w:noWrap/>
          </w:tcPr>
          <w:p w14:paraId="65091C41" w14:textId="74D4CC78" w:rsidR="00CC6684" w:rsidRPr="00B275E2" w:rsidRDefault="00CC6684" w:rsidP="007901E7">
            <w:pPr>
              <w:pStyle w:val="TableText"/>
              <w:spacing w:before="30" w:after="30"/>
              <w:jc w:val="right"/>
              <w:rPr>
                <w:szCs w:val="18"/>
              </w:rPr>
            </w:pPr>
            <w:r w:rsidRPr="00B275E2">
              <w:rPr>
                <w:rFonts w:cs="Calibri"/>
                <w:szCs w:val="18"/>
              </w:rPr>
              <w:t>0.0001</w:t>
            </w:r>
          </w:p>
        </w:tc>
        <w:tc>
          <w:tcPr>
            <w:tcW w:w="1077" w:type="dxa"/>
            <w:shd w:val="clear" w:color="auto" w:fill="auto"/>
            <w:noWrap/>
          </w:tcPr>
          <w:p w14:paraId="65091C42" w14:textId="18FFB79E" w:rsidR="00CC6684" w:rsidRPr="00B275E2" w:rsidRDefault="00CC6684" w:rsidP="007901E7">
            <w:pPr>
              <w:pStyle w:val="TableText"/>
              <w:spacing w:before="30" w:after="30"/>
              <w:jc w:val="right"/>
              <w:rPr>
                <w:szCs w:val="18"/>
              </w:rPr>
            </w:pPr>
            <w:r w:rsidRPr="00B275E2">
              <w:rPr>
                <w:rFonts w:cs="Calibri"/>
                <w:szCs w:val="18"/>
              </w:rPr>
              <w:t>0.001</w:t>
            </w:r>
          </w:p>
        </w:tc>
      </w:tr>
      <w:tr w:rsidR="007901E7" w:rsidRPr="00B275E2" w14:paraId="65091C4B" w14:textId="77777777" w:rsidTr="007901E7">
        <w:trPr>
          <w:trHeight w:val="300"/>
        </w:trPr>
        <w:tc>
          <w:tcPr>
            <w:tcW w:w="1540" w:type="dxa"/>
            <w:vMerge/>
          </w:tcPr>
          <w:p w14:paraId="65091C44" w14:textId="77777777" w:rsidR="00CC6684" w:rsidRPr="00B275E2" w:rsidRDefault="00CC6684" w:rsidP="007901E7">
            <w:pPr>
              <w:pStyle w:val="TableText"/>
              <w:spacing w:before="30" w:after="30"/>
              <w:rPr>
                <w:b/>
                <w:szCs w:val="18"/>
              </w:rPr>
            </w:pPr>
          </w:p>
        </w:tc>
        <w:tc>
          <w:tcPr>
            <w:tcW w:w="1434" w:type="dxa"/>
            <w:noWrap/>
          </w:tcPr>
          <w:p w14:paraId="65091C45" w14:textId="4B1D4922" w:rsidR="00CC6684" w:rsidRPr="00B275E2" w:rsidRDefault="00CC6684" w:rsidP="007901E7">
            <w:pPr>
              <w:pStyle w:val="TableText"/>
              <w:spacing w:before="30" w:after="30"/>
              <w:rPr>
                <w:szCs w:val="18"/>
              </w:rPr>
            </w:pPr>
            <w:r w:rsidRPr="00B275E2">
              <w:rPr>
                <w:szCs w:val="18"/>
              </w:rPr>
              <w:t>1350</w:t>
            </w:r>
            <w:r w:rsidRPr="00B275E2">
              <w:rPr>
                <w:rFonts w:cs="Calibri"/>
                <w:color w:val="000000"/>
                <w:szCs w:val="18"/>
              </w:rPr>
              <w:t xml:space="preserve"> -</w:t>
            </w:r>
            <w:r w:rsidRPr="00B275E2">
              <w:rPr>
                <w:szCs w:val="18"/>
              </w:rPr>
              <w:t xml:space="preserve"> &lt;1600 cc</w:t>
            </w:r>
          </w:p>
        </w:tc>
        <w:tc>
          <w:tcPr>
            <w:tcW w:w="567" w:type="dxa"/>
            <w:noWrap/>
          </w:tcPr>
          <w:p w14:paraId="65091C46" w14:textId="77777777" w:rsidR="00CC6684" w:rsidRPr="00B275E2" w:rsidRDefault="00CC6684" w:rsidP="007901E7">
            <w:pPr>
              <w:pStyle w:val="TableText"/>
              <w:spacing w:before="30" w:after="30"/>
              <w:rPr>
                <w:szCs w:val="18"/>
              </w:rPr>
            </w:pPr>
            <w:r w:rsidRPr="00B275E2">
              <w:rPr>
                <w:szCs w:val="18"/>
              </w:rPr>
              <w:t>km</w:t>
            </w:r>
          </w:p>
        </w:tc>
        <w:tc>
          <w:tcPr>
            <w:tcW w:w="1191" w:type="dxa"/>
            <w:shd w:val="clear" w:color="auto" w:fill="D2DDE1" w:themeFill="background2"/>
            <w:noWrap/>
          </w:tcPr>
          <w:p w14:paraId="65091C47" w14:textId="526A07D4" w:rsidR="00CC6684" w:rsidRPr="00B275E2" w:rsidRDefault="00CC6684" w:rsidP="007901E7">
            <w:pPr>
              <w:pStyle w:val="TableText"/>
              <w:spacing w:before="30" w:after="30"/>
              <w:jc w:val="right"/>
              <w:rPr>
                <w:szCs w:val="18"/>
              </w:rPr>
            </w:pPr>
            <w:r w:rsidRPr="00B275E2">
              <w:rPr>
                <w:rFonts w:cs="Calibri"/>
                <w:szCs w:val="18"/>
              </w:rPr>
              <w:t>0.089</w:t>
            </w:r>
          </w:p>
        </w:tc>
        <w:tc>
          <w:tcPr>
            <w:tcW w:w="1077" w:type="dxa"/>
            <w:shd w:val="clear" w:color="auto" w:fill="auto"/>
            <w:noWrap/>
          </w:tcPr>
          <w:p w14:paraId="65091C48" w14:textId="522446FE" w:rsidR="00CC6684" w:rsidRPr="00B275E2" w:rsidRDefault="00CC6684" w:rsidP="007901E7">
            <w:pPr>
              <w:pStyle w:val="TableText"/>
              <w:spacing w:before="30" w:after="30"/>
              <w:jc w:val="right"/>
              <w:rPr>
                <w:szCs w:val="18"/>
              </w:rPr>
            </w:pPr>
            <w:r w:rsidRPr="00B275E2">
              <w:rPr>
                <w:rFonts w:cs="Calibri"/>
                <w:szCs w:val="18"/>
              </w:rPr>
              <w:t>0.087</w:t>
            </w:r>
          </w:p>
        </w:tc>
        <w:tc>
          <w:tcPr>
            <w:tcW w:w="1021" w:type="dxa"/>
            <w:shd w:val="clear" w:color="auto" w:fill="auto"/>
            <w:noWrap/>
          </w:tcPr>
          <w:p w14:paraId="65091C49" w14:textId="0DA5A8FE" w:rsidR="00CC6684" w:rsidRPr="00B275E2" w:rsidRDefault="00CC6684" w:rsidP="007901E7">
            <w:pPr>
              <w:pStyle w:val="TableText"/>
              <w:spacing w:before="30" w:after="30"/>
              <w:jc w:val="right"/>
              <w:rPr>
                <w:szCs w:val="18"/>
              </w:rPr>
            </w:pPr>
            <w:r w:rsidRPr="00B275E2">
              <w:rPr>
                <w:rFonts w:cs="Calibri"/>
                <w:szCs w:val="18"/>
              </w:rPr>
              <w:t>0.0001</w:t>
            </w:r>
          </w:p>
        </w:tc>
        <w:tc>
          <w:tcPr>
            <w:tcW w:w="1077" w:type="dxa"/>
            <w:shd w:val="clear" w:color="auto" w:fill="auto"/>
            <w:noWrap/>
          </w:tcPr>
          <w:p w14:paraId="65091C4A" w14:textId="61E1B3B4" w:rsidR="00CC6684" w:rsidRPr="00B275E2" w:rsidRDefault="00CC6684" w:rsidP="007901E7">
            <w:pPr>
              <w:pStyle w:val="TableText"/>
              <w:spacing w:before="30" w:after="30"/>
              <w:jc w:val="right"/>
              <w:rPr>
                <w:szCs w:val="18"/>
              </w:rPr>
            </w:pPr>
            <w:r w:rsidRPr="00B275E2">
              <w:rPr>
                <w:rFonts w:cs="Calibri"/>
                <w:szCs w:val="18"/>
              </w:rPr>
              <w:t>0.001</w:t>
            </w:r>
          </w:p>
        </w:tc>
      </w:tr>
      <w:tr w:rsidR="007901E7" w:rsidRPr="00B275E2" w14:paraId="65091C53" w14:textId="77777777" w:rsidTr="007901E7">
        <w:trPr>
          <w:trHeight w:val="300"/>
        </w:trPr>
        <w:tc>
          <w:tcPr>
            <w:tcW w:w="1540" w:type="dxa"/>
            <w:vMerge/>
          </w:tcPr>
          <w:p w14:paraId="65091C4C" w14:textId="77777777" w:rsidR="00CC6684" w:rsidRPr="00B275E2" w:rsidRDefault="00CC6684" w:rsidP="007901E7">
            <w:pPr>
              <w:pStyle w:val="TableText"/>
              <w:spacing w:before="30" w:after="30"/>
              <w:rPr>
                <w:b/>
                <w:szCs w:val="18"/>
              </w:rPr>
            </w:pPr>
          </w:p>
        </w:tc>
        <w:tc>
          <w:tcPr>
            <w:tcW w:w="1434" w:type="dxa"/>
            <w:noWrap/>
          </w:tcPr>
          <w:p w14:paraId="65091C4D" w14:textId="25C8A218" w:rsidR="00CC6684" w:rsidRPr="00B275E2" w:rsidRDefault="00CC6684" w:rsidP="007901E7">
            <w:pPr>
              <w:pStyle w:val="TableText"/>
              <w:spacing w:before="30" w:after="30"/>
              <w:rPr>
                <w:szCs w:val="18"/>
              </w:rPr>
            </w:pPr>
            <w:r w:rsidRPr="00B275E2">
              <w:rPr>
                <w:szCs w:val="18"/>
              </w:rPr>
              <w:t>1600</w:t>
            </w:r>
            <w:r w:rsidRPr="00B275E2">
              <w:rPr>
                <w:rFonts w:cs="Calibri"/>
                <w:color w:val="000000"/>
                <w:szCs w:val="18"/>
              </w:rPr>
              <w:t xml:space="preserve"> -</w:t>
            </w:r>
            <w:r w:rsidRPr="00B275E2">
              <w:rPr>
                <w:szCs w:val="18"/>
              </w:rPr>
              <w:t xml:space="preserve"> &lt;2000 cc</w:t>
            </w:r>
          </w:p>
        </w:tc>
        <w:tc>
          <w:tcPr>
            <w:tcW w:w="567" w:type="dxa"/>
            <w:noWrap/>
          </w:tcPr>
          <w:p w14:paraId="65091C4E" w14:textId="77777777" w:rsidR="00CC6684" w:rsidRPr="00B275E2" w:rsidRDefault="00CC6684" w:rsidP="007901E7">
            <w:pPr>
              <w:pStyle w:val="TableText"/>
              <w:spacing w:before="30" w:after="30"/>
              <w:rPr>
                <w:szCs w:val="18"/>
              </w:rPr>
            </w:pPr>
            <w:r w:rsidRPr="00B275E2">
              <w:rPr>
                <w:szCs w:val="18"/>
              </w:rPr>
              <w:t>km</w:t>
            </w:r>
          </w:p>
        </w:tc>
        <w:tc>
          <w:tcPr>
            <w:tcW w:w="1191" w:type="dxa"/>
            <w:shd w:val="clear" w:color="auto" w:fill="D2DDE1" w:themeFill="background2"/>
            <w:noWrap/>
          </w:tcPr>
          <w:p w14:paraId="65091C4F" w14:textId="6E71CA9B" w:rsidR="00CC6684" w:rsidRPr="00B275E2" w:rsidRDefault="00CC6684" w:rsidP="007901E7">
            <w:pPr>
              <w:pStyle w:val="TableText"/>
              <w:spacing w:before="30" w:after="30"/>
              <w:jc w:val="right"/>
              <w:rPr>
                <w:szCs w:val="18"/>
              </w:rPr>
            </w:pPr>
            <w:r w:rsidRPr="00B275E2">
              <w:rPr>
                <w:rFonts w:cs="Calibri"/>
                <w:szCs w:val="18"/>
              </w:rPr>
              <w:t>0.094</w:t>
            </w:r>
          </w:p>
        </w:tc>
        <w:tc>
          <w:tcPr>
            <w:tcW w:w="1077" w:type="dxa"/>
            <w:shd w:val="clear" w:color="auto" w:fill="auto"/>
            <w:noWrap/>
          </w:tcPr>
          <w:p w14:paraId="65091C50" w14:textId="45AD12CA" w:rsidR="00CC6684" w:rsidRPr="00B275E2" w:rsidRDefault="00CC6684" w:rsidP="007901E7">
            <w:pPr>
              <w:pStyle w:val="TableText"/>
              <w:spacing w:before="30" w:after="30"/>
              <w:jc w:val="right"/>
              <w:rPr>
                <w:szCs w:val="18"/>
              </w:rPr>
            </w:pPr>
            <w:r w:rsidRPr="00B275E2">
              <w:rPr>
                <w:rFonts w:cs="Calibri"/>
                <w:szCs w:val="18"/>
              </w:rPr>
              <w:t>0.093</w:t>
            </w:r>
          </w:p>
        </w:tc>
        <w:tc>
          <w:tcPr>
            <w:tcW w:w="1021" w:type="dxa"/>
            <w:shd w:val="clear" w:color="auto" w:fill="auto"/>
            <w:noWrap/>
          </w:tcPr>
          <w:p w14:paraId="65091C51" w14:textId="4ABA538A" w:rsidR="00CC6684" w:rsidRPr="00B275E2" w:rsidRDefault="00CC6684" w:rsidP="007901E7">
            <w:pPr>
              <w:pStyle w:val="TableText"/>
              <w:spacing w:before="30" w:after="30"/>
              <w:jc w:val="right"/>
              <w:rPr>
                <w:szCs w:val="18"/>
              </w:rPr>
            </w:pPr>
            <w:r w:rsidRPr="00B275E2">
              <w:rPr>
                <w:rFonts w:cs="Calibri"/>
                <w:szCs w:val="18"/>
              </w:rPr>
              <w:t>0.0001</w:t>
            </w:r>
          </w:p>
        </w:tc>
        <w:tc>
          <w:tcPr>
            <w:tcW w:w="1077" w:type="dxa"/>
            <w:shd w:val="clear" w:color="auto" w:fill="auto"/>
            <w:noWrap/>
          </w:tcPr>
          <w:p w14:paraId="65091C52" w14:textId="1BD39769" w:rsidR="00CC6684" w:rsidRPr="00B275E2" w:rsidRDefault="00CC6684" w:rsidP="007901E7">
            <w:pPr>
              <w:pStyle w:val="TableText"/>
              <w:spacing w:before="30" w:after="30"/>
              <w:jc w:val="right"/>
              <w:rPr>
                <w:szCs w:val="18"/>
              </w:rPr>
            </w:pPr>
            <w:r w:rsidRPr="00B275E2">
              <w:rPr>
                <w:rFonts w:cs="Calibri"/>
                <w:szCs w:val="18"/>
              </w:rPr>
              <w:t>0.001</w:t>
            </w:r>
          </w:p>
        </w:tc>
      </w:tr>
      <w:tr w:rsidR="007901E7" w:rsidRPr="00B275E2" w14:paraId="65091C5B" w14:textId="77777777" w:rsidTr="007901E7">
        <w:trPr>
          <w:trHeight w:val="300"/>
        </w:trPr>
        <w:tc>
          <w:tcPr>
            <w:tcW w:w="1540" w:type="dxa"/>
            <w:vMerge/>
          </w:tcPr>
          <w:p w14:paraId="65091C54" w14:textId="77777777" w:rsidR="00CC6684" w:rsidRPr="00B275E2" w:rsidRDefault="00CC6684" w:rsidP="007901E7">
            <w:pPr>
              <w:pStyle w:val="TableText"/>
              <w:spacing w:before="30" w:after="30"/>
              <w:rPr>
                <w:b/>
                <w:szCs w:val="18"/>
              </w:rPr>
            </w:pPr>
          </w:p>
        </w:tc>
        <w:tc>
          <w:tcPr>
            <w:tcW w:w="1434" w:type="dxa"/>
            <w:noWrap/>
          </w:tcPr>
          <w:p w14:paraId="65091C55" w14:textId="659E645F" w:rsidR="00CC6684" w:rsidRPr="00B275E2" w:rsidRDefault="00CC6684" w:rsidP="007901E7">
            <w:pPr>
              <w:pStyle w:val="TableText"/>
              <w:spacing w:before="30" w:after="30"/>
              <w:rPr>
                <w:szCs w:val="18"/>
              </w:rPr>
            </w:pPr>
            <w:r w:rsidRPr="00B275E2">
              <w:rPr>
                <w:szCs w:val="18"/>
              </w:rPr>
              <w:t>2000</w:t>
            </w:r>
            <w:r w:rsidRPr="00B275E2">
              <w:rPr>
                <w:rFonts w:cs="Calibri"/>
                <w:color w:val="000000"/>
                <w:szCs w:val="18"/>
              </w:rPr>
              <w:t xml:space="preserve"> -</w:t>
            </w:r>
            <w:r w:rsidRPr="00B275E2">
              <w:rPr>
                <w:szCs w:val="18"/>
              </w:rPr>
              <w:t xml:space="preserve"> &lt;3000 cc</w:t>
            </w:r>
          </w:p>
        </w:tc>
        <w:tc>
          <w:tcPr>
            <w:tcW w:w="567" w:type="dxa"/>
            <w:noWrap/>
          </w:tcPr>
          <w:p w14:paraId="65091C56" w14:textId="77777777" w:rsidR="00CC6684" w:rsidRPr="00B275E2" w:rsidRDefault="00CC6684" w:rsidP="007901E7">
            <w:pPr>
              <w:pStyle w:val="TableText"/>
              <w:spacing w:before="30" w:after="30"/>
              <w:rPr>
                <w:szCs w:val="18"/>
              </w:rPr>
            </w:pPr>
            <w:r w:rsidRPr="00B275E2">
              <w:rPr>
                <w:szCs w:val="18"/>
              </w:rPr>
              <w:t>km</w:t>
            </w:r>
          </w:p>
        </w:tc>
        <w:tc>
          <w:tcPr>
            <w:tcW w:w="1191" w:type="dxa"/>
            <w:shd w:val="clear" w:color="auto" w:fill="D2DDE1" w:themeFill="background2"/>
            <w:noWrap/>
          </w:tcPr>
          <w:p w14:paraId="65091C57" w14:textId="6A3871C3" w:rsidR="00CC6684" w:rsidRPr="00B275E2" w:rsidRDefault="00CC6684" w:rsidP="007901E7">
            <w:pPr>
              <w:pStyle w:val="TableText"/>
              <w:spacing w:before="30" w:after="30"/>
              <w:jc w:val="right"/>
              <w:rPr>
                <w:szCs w:val="18"/>
              </w:rPr>
            </w:pPr>
            <w:r w:rsidRPr="00B275E2">
              <w:rPr>
                <w:rFonts w:cs="Calibri"/>
                <w:szCs w:val="18"/>
              </w:rPr>
              <w:t>0.116</w:t>
            </w:r>
          </w:p>
        </w:tc>
        <w:tc>
          <w:tcPr>
            <w:tcW w:w="1077" w:type="dxa"/>
            <w:shd w:val="clear" w:color="auto" w:fill="auto"/>
            <w:noWrap/>
          </w:tcPr>
          <w:p w14:paraId="65091C58" w14:textId="1B31ECDB" w:rsidR="00CC6684" w:rsidRPr="00B275E2" w:rsidRDefault="00CC6684" w:rsidP="007901E7">
            <w:pPr>
              <w:pStyle w:val="TableText"/>
              <w:spacing w:before="30" w:after="30"/>
              <w:jc w:val="right"/>
              <w:rPr>
                <w:szCs w:val="18"/>
              </w:rPr>
            </w:pPr>
            <w:r w:rsidRPr="00B275E2">
              <w:rPr>
                <w:rFonts w:cs="Calibri"/>
                <w:szCs w:val="18"/>
              </w:rPr>
              <w:t>0.114</w:t>
            </w:r>
          </w:p>
        </w:tc>
        <w:tc>
          <w:tcPr>
            <w:tcW w:w="1021" w:type="dxa"/>
            <w:shd w:val="clear" w:color="auto" w:fill="auto"/>
            <w:noWrap/>
          </w:tcPr>
          <w:p w14:paraId="65091C59" w14:textId="08DA4461" w:rsidR="00CC6684" w:rsidRPr="00B275E2" w:rsidRDefault="00CC6684" w:rsidP="007901E7">
            <w:pPr>
              <w:pStyle w:val="TableText"/>
              <w:spacing w:before="30" w:after="30"/>
              <w:jc w:val="right"/>
              <w:rPr>
                <w:szCs w:val="18"/>
              </w:rPr>
            </w:pPr>
            <w:r w:rsidRPr="00B275E2">
              <w:rPr>
                <w:rFonts w:cs="Calibri"/>
                <w:szCs w:val="18"/>
              </w:rPr>
              <w:t>0.0002</w:t>
            </w:r>
          </w:p>
        </w:tc>
        <w:tc>
          <w:tcPr>
            <w:tcW w:w="1077" w:type="dxa"/>
            <w:shd w:val="clear" w:color="auto" w:fill="auto"/>
            <w:noWrap/>
          </w:tcPr>
          <w:p w14:paraId="65091C5A" w14:textId="551AB089" w:rsidR="00CC6684" w:rsidRPr="00B275E2" w:rsidRDefault="00CC6684" w:rsidP="007901E7">
            <w:pPr>
              <w:pStyle w:val="TableText"/>
              <w:spacing w:before="30" w:after="30"/>
              <w:jc w:val="right"/>
              <w:rPr>
                <w:szCs w:val="18"/>
              </w:rPr>
            </w:pPr>
            <w:r w:rsidRPr="00B275E2">
              <w:rPr>
                <w:rFonts w:cs="Calibri"/>
                <w:szCs w:val="18"/>
              </w:rPr>
              <w:t>0.002</w:t>
            </w:r>
          </w:p>
        </w:tc>
      </w:tr>
      <w:tr w:rsidR="007901E7" w:rsidRPr="00B275E2" w14:paraId="65091C63" w14:textId="77777777" w:rsidTr="007901E7">
        <w:trPr>
          <w:trHeight w:val="300"/>
        </w:trPr>
        <w:tc>
          <w:tcPr>
            <w:tcW w:w="1540" w:type="dxa"/>
            <w:vMerge/>
          </w:tcPr>
          <w:p w14:paraId="65091C5C" w14:textId="77777777" w:rsidR="00CC6684" w:rsidRPr="00B275E2" w:rsidRDefault="00CC6684" w:rsidP="007901E7">
            <w:pPr>
              <w:pStyle w:val="TableText"/>
              <w:spacing w:before="30" w:after="30"/>
              <w:rPr>
                <w:b/>
                <w:szCs w:val="18"/>
              </w:rPr>
            </w:pPr>
          </w:p>
        </w:tc>
        <w:tc>
          <w:tcPr>
            <w:tcW w:w="1434" w:type="dxa"/>
            <w:noWrap/>
          </w:tcPr>
          <w:p w14:paraId="65091C5D" w14:textId="63545CA7" w:rsidR="00CC6684" w:rsidRPr="00B275E2" w:rsidRDefault="00CC6684" w:rsidP="007901E7">
            <w:pPr>
              <w:pStyle w:val="TableText"/>
              <w:spacing w:before="30" w:after="30"/>
              <w:rPr>
                <w:szCs w:val="18"/>
              </w:rPr>
            </w:pPr>
            <w:r w:rsidRPr="00B275E2">
              <w:rPr>
                <w:szCs w:val="18"/>
              </w:rPr>
              <w:t>≥3000 cc</w:t>
            </w:r>
          </w:p>
        </w:tc>
        <w:tc>
          <w:tcPr>
            <w:tcW w:w="567" w:type="dxa"/>
            <w:noWrap/>
          </w:tcPr>
          <w:p w14:paraId="65091C5E" w14:textId="77777777" w:rsidR="00CC6684" w:rsidRPr="00B275E2" w:rsidRDefault="00CC6684" w:rsidP="007901E7">
            <w:pPr>
              <w:pStyle w:val="TableText"/>
              <w:spacing w:before="30" w:after="30"/>
              <w:rPr>
                <w:szCs w:val="18"/>
              </w:rPr>
            </w:pPr>
            <w:r w:rsidRPr="00B275E2">
              <w:rPr>
                <w:szCs w:val="18"/>
              </w:rPr>
              <w:t>km</w:t>
            </w:r>
          </w:p>
        </w:tc>
        <w:tc>
          <w:tcPr>
            <w:tcW w:w="1191" w:type="dxa"/>
            <w:shd w:val="clear" w:color="auto" w:fill="D2DDE1" w:themeFill="background2"/>
            <w:noWrap/>
          </w:tcPr>
          <w:p w14:paraId="65091C5F" w14:textId="42CAA59C" w:rsidR="00CC6684" w:rsidRPr="00B275E2" w:rsidRDefault="00CC6684" w:rsidP="007901E7">
            <w:pPr>
              <w:pStyle w:val="TableText"/>
              <w:spacing w:before="30" w:after="30"/>
              <w:jc w:val="right"/>
              <w:rPr>
                <w:szCs w:val="18"/>
              </w:rPr>
            </w:pPr>
            <w:r w:rsidRPr="00B275E2">
              <w:rPr>
                <w:rFonts w:cs="Calibri"/>
                <w:szCs w:val="18"/>
              </w:rPr>
              <w:t>0.128</w:t>
            </w:r>
          </w:p>
        </w:tc>
        <w:tc>
          <w:tcPr>
            <w:tcW w:w="1077" w:type="dxa"/>
            <w:shd w:val="clear" w:color="auto" w:fill="auto"/>
            <w:noWrap/>
          </w:tcPr>
          <w:p w14:paraId="65091C60" w14:textId="7D98EBDD" w:rsidR="00CC6684" w:rsidRPr="00B275E2" w:rsidRDefault="00CC6684" w:rsidP="007901E7">
            <w:pPr>
              <w:pStyle w:val="TableText"/>
              <w:spacing w:before="30" w:after="30"/>
              <w:jc w:val="right"/>
              <w:rPr>
                <w:szCs w:val="18"/>
              </w:rPr>
            </w:pPr>
            <w:r w:rsidRPr="00B275E2">
              <w:rPr>
                <w:rFonts w:cs="Calibri"/>
                <w:szCs w:val="18"/>
              </w:rPr>
              <w:t>0.126</w:t>
            </w:r>
          </w:p>
        </w:tc>
        <w:tc>
          <w:tcPr>
            <w:tcW w:w="1021" w:type="dxa"/>
            <w:shd w:val="clear" w:color="auto" w:fill="auto"/>
            <w:noWrap/>
          </w:tcPr>
          <w:p w14:paraId="65091C61" w14:textId="2C5F6516" w:rsidR="00CC6684" w:rsidRPr="00B275E2" w:rsidRDefault="00CC6684" w:rsidP="007901E7">
            <w:pPr>
              <w:pStyle w:val="TableText"/>
              <w:spacing w:before="30" w:after="30"/>
              <w:jc w:val="right"/>
              <w:rPr>
                <w:szCs w:val="18"/>
              </w:rPr>
            </w:pPr>
            <w:r w:rsidRPr="00B275E2">
              <w:rPr>
                <w:rFonts w:cs="Calibri"/>
                <w:szCs w:val="18"/>
              </w:rPr>
              <w:t>0.0002</w:t>
            </w:r>
          </w:p>
        </w:tc>
        <w:tc>
          <w:tcPr>
            <w:tcW w:w="1077" w:type="dxa"/>
            <w:shd w:val="clear" w:color="auto" w:fill="auto"/>
            <w:noWrap/>
          </w:tcPr>
          <w:p w14:paraId="65091C62" w14:textId="74F3FB91" w:rsidR="00CC6684" w:rsidRPr="00B275E2" w:rsidRDefault="00CC6684" w:rsidP="007901E7">
            <w:pPr>
              <w:pStyle w:val="TableText"/>
              <w:spacing w:before="30" w:after="30"/>
              <w:jc w:val="right"/>
              <w:rPr>
                <w:szCs w:val="18"/>
              </w:rPr>
            </w:pPr>
            <w:r w:rsidRPr="00B275E2">
              <w:rPr>
                <w:rFonts w:cs="Calibri"/>
                <w:szCs w:val="18"/>
              </w:rPr>
              <w:t>0.002</w:t>
            </w:r>
          </w:p>
        </w:tc>
      </w:tr>
      <w:tr w:rsidR="007901E7" w:rsidRPr="00B275E2" w14:paraId="65091C6B" w14:textId="77777777" w:rsidTr="007901E7">
        <w:trPr>
          <w:trHeight w:val="345"/>
        </w:trPr>
        <w:tc>
          <w:tcPr>
            <w:tcW w:w="1540" w:type="dxa"/>
            <w:vMerge w:val="restart"/>
          </w:tcPr>
          <w:p w14:paraId="65091C64" w14:textId="7E8BADA3" w:rsidR="00CC6684" w:rsidRPr="00B275E2" w:rsidRDefault="00CC6684" w:rsidP="007901E7">
            <w:pPr>
              <w:pStyle w:val="TableText"/>
              <w:spacing w:before="30" w:after="30"/>
              <w:rPr>
                <w:szCs w:val="18"/>
              </w:rPr>
            </w:pPr>
            <w:r w:rsidRPr="00B275E2">
              <w:rPr>
                <w:szCs w:val="18"/>
              </w:rPr>
              <w:t>Diesel plug-in hybrid electric vehicle (PHEV) – electricity consumption</w:t>
            </w:r>
          </w:p>
        </w:tc>
        <w:tc>
          <w:tcPr>
            <w:tcW w:w="1434" w:type="dxa"/>
            <w:noWrap/>
          </w:tcPr>
          <w:p w14:paraId="65091C65" w14:textId="00DB9C04" w:rsidR="00CC6684" w:rsidRPr="00B275E2" w:rsidRDefault="00CC6684" w:rsidP="007901E7">
            <w:pPr>
              <w:pStyle w:val="TableText"/>
              <w:spacing w:before="30" w:after="30"/>
              <w:rPr>
                <w:szCs w:val="18"/>
              </w:rPr>
            </w:pPr>
            <w:r w:rsidRPr="00B275E2">
              <w:rPr>
                <w:szCs w:val="18"/>
              </w:rPr>
              <w:t>&lt;1350 cc</w:t>
            </w:r>
          </w:p>
        </w:tc>
        <w:tc>
          <w:tcPr>
            <w:tcW w:w="567" w:type="dxa"/>
            <w:noWrap/>
          </w:tcPr>
          <w:p w14:paraId="65091C66" w14:textId="77777777" w:rsidR="00CC6684" w:rsidRPr="00B275E2" w:rsidRDefault="00CC6684" w:rsidP="007901E7">
            <w:pPr>
              <w:pStyle w:val="TableText"/>
              <w:spacing w:before="30" w:after="30"/>
              <w:rPr>
                <w:szCs w:val="18"/>
              </w:rPr>
            </w:pPr>
            <w:r w:rsidRPr="00B275E2">
              <w:rPr>
                <w:szCs w:val="18"/>
              </w:rPr>
              <w:t>km</w:t>
            </w:r>
          </w:p>
        </w:tc>
        <w:tc>
          <w:tcPr>
            <w:tcW w:w="1191" w:type="dxa"/>
            <w:shd w:val="clear" w:color="auto" w:fill="D2DDE1" w:themeFill="background2"/>
            <w:noWrap/>
          </w:tcPr>
          <w:p w14:paraId="65091C67" w14:textId="7E15E494" w:rsidR="00CC6684" w:rsidRPr="00B275E2" w:rsidRDefault="00CC6684" w:rsidP="007901E7">
            <w:pPr>
              <w:pStyle w:val="TableText"/>
              <w:spacing w:before="30" w:after="30"/>
              <w:jc w:val="right"/>
              <w:rPr>
                <w:szCs w:val="18"/>
              </w:rPr>
            </w:pPr>
            <w:r w:rsidRPr="00B275E2">
              <w:rPr>
                <w:rFonts w:cs="Calibri"/>
                <w:szCs w:val="18"/>
              </w:rPr>
              <w:t>0.01</w:t>
            </w:r>
            <w:r w:rsidR="002B3D06">
              <w:rPr>
                <w:rFonts w:cs="Calibri"/>
                <w:szCs w:val="18"/>
              </w:rPr>
              <w:t>1</w:t>
            </w:r>
          </w:p>
        </w:tc>
        <w:tc>
          <w:tcPr>
            <w:tcW w:w="1077" w:type="dxa"/>
            <w:shd w:val="clear" w:color="auto" w:fill="auto"/>
            <w:noWrap/>
          </w:tcPr>
          <w:p w14:paraId="65091C68" w14:textId="28EEF395" w:rsidR="00CC6684" w:rsidRPr="00B275E2" w:rsidRDefault="00CC6684" w:rsidP="007901E7">
            <w:pPr>
              <w:pStyle w:val="TableText"/>
              <w:spacing w:before="30" w:after="30"/>
              <w:jc w:val="right"/>
              <w:rPr>
                <w:szCs w:val="18"/>
              </w:rPr>
            </w:pPr>
            <w:r w:rsidRPr="00B275E2">
              <w:rPr>
                <w:rFonts w:cs="Calibri"/>
                <w:szCs w:val="18"/>
              </w:rPr>
              <w:t>0.01</w:t>
            </w:r>
            <w:r w:rsidR="002B3D06">
              <w:rPr>
                <w:rFonts w:cs="Calibri"/>
                <w:szCs w:val="18"/>
              </w:rPr>
              <w:t>1</w:t>
            </w:r>
          </w:p>
        </w:tc>
        <w:tc>
          <w:tcPr>
            <w:tcW w:w="1021" w:type="dxa"/>
            <w:shd w:val="clear" w:color="auto" w:fill="auto"/>
            <w:noWrap/>
          </w:tcPr>
          <w:p w14:paraId="65091C69" w14:textId="720371AB" w:rsidR="00CC6684" w:rsidRPr="00B275E2" w:rsidRDefault="00CC6684" w:rsidP="007901E7">
            <w:pPr>
              <w:pStyle w:val="TableText"/>
              <w:spacing w:before="30" w:after="30"/>
              <w:jc w:val="right"/>
              <w:rPr>
                <w:szCs w:val="18"/>
              </w:rPr>
            </w:pPr>
            <w:r w:rsidRPr="00B275E2">
              <w:rPr>
                <w:rFonts w:cs="Calibri"/>
                <w:szCs w:val="18"/>
              </w:rPr>
              <w:t>0.000</w:t>
            </w:r>
            <w:r w:rsidR="002B3D06">
              <w:rPr>
                <w:rFonts w:cs="Calibri"/>
                <w:szCs w:val="18"/>
              </w:rPr>
              <w:t>3</w:t>
            </w:r>
          </w:p>
        </w:tc>
        <w:tc>
          <w:tcPr>
            <w:tcW w:w="1077" w:type="dxa"/>
            <w:shd w:val="clear" w:color="auto" w:fill="auto"/>
            <w:noWrap/>
          </w:tcPr>
          <w:p w14:paraId="65091C6A" w14:textId="092CA576" w:rsidR="00CC6684" w:rsidRPr="00B275E2" w:rsidRDefault="00CC6684" w:rsidP="007901E7">
            <w:pPr>
              <w:pStyle w:val="TableText"/>
              <w:spacing w:before="30" w:after="30"/>
              <w:jc w:val="right"/>
              <w:rPr>
                <w:szCs w:val="18"/>
              </w:rPr>
            </w:pPr>
            <w:r w:rsidRPr="00B275E2">
              <w:rPr>
                <w:rFonts w:cs="Calibri"/>
                <w:szCs w:val="18"/>
              </w:rPr>
              <w:t>0.0000</w:t>
            </w:r>
            <w:r w:rsidR="002B3D06">
              <w:rPr>
                <w:rFonts w:cs="Calibri"/>
                <w:szCs w:val="18"/>
              </w:rPr>
              <w:t>2</w:t>
            </w:r>
          </w:p>
        </w:tc>
      </w:tr>
      <w:tr w:rsidR="007901E7" w:rsidRPr="00B275E2" w14:paraId="65091C73" w14:textId="77777777" w:rsidTr="007901E7">
        <w:trPr>
          <w:trHeight w:val="300"/>
        </w:trPr>
        <w:tc>
          <w:tcPr>
            <w:tcW w:w="1540" w:type="dxa"/>
            <w:vMerge/>
          </w:tcPr>
          <w:p w14:paraId="65091C6C" w14:textId="77777777" w:rsidR="00CC6684" w:rsidRPr="00B275E2" w:rsidRDefault="00CC6684" w:rsidP="007901E7">
            <w:pPr>
              <w:pStyle w:val="TableText"/>
              <w:spacing w:before="30" w:after="30"/>
              <w:rPr>
                <w:szCs w:val="18"/>
              </w:rPr>
            </w:pPr>
          </w:p>
        </w:tc>
        <w:tc>
          <w:tcPr>
            <w:tcW w:w="1434" w:type="dxa"/>
            <w:noWrap/>
          </w:tcPr>
          <w:p w14:paraId="65091C6D" w14:textId="051B931E" w:rsidR="00CC6684" w:rsidRPr="00B275E2" w:rsidRDefault="00CC6684" w:rsidP="007901E7">
            <w:pPr>
              <w:pStyle w:val="TableText"/>
              <w:spacing w:before="30" w:after="30"/>
              <w:rPr>
                <w:szCs w:val="18"/>
              </w:rPr>
            </w:pPr>
            <w:r w:rsidRPr="00B275E2">
              <w:rPr>
                <w:szCs w:val="18"/>
              </w:rPr>
              <w:t>1350</w:t>
            </w:r>
            <w:r w:rsidRPr="00B275E2">
              <w:rPr>
                <w:rFonts w:cs="Calibri"/>
                <w:color w:val="000000"/>
                <w:szCs w:val="18"/>
              </w:rPr>
              <w:t xml:space="preserve"> -</w:t>
            </w:r>
            <w:r w:rsidRPr="00B275E2">
              <w:rPr>
                <w:szCs w:val="18"/>
              </w:rPr>
              <w:t xml:space="preserve"> &lt;1600 cc</w:t>
            </w:r>
          </w:p>
        </w:tc>
        <w:tc>
          <w:tcPr>
            <w:tcW w:w="567" w:type="dxa"/>
            <w:noWrap/>
          </w:tcPr>
          <w:p w14:paraId="65091C6E" w14:textId="77777777" w:rsidR="00CC6684" w:rsidRPr="00B275E2" w:rsidRDefault="00CC6684" w:rsidP="007901E7">
            <w:pPr>
              <w:pStyle w:val="TableText"/>
              <w:spacing w:before="30" w:after="30"/>
              <w:rPr>
                <w:szCs w:val="18"/>
              </w:rPr>
            </w:pPr>
            <w:r w:rsidRPr="00B275E2">
              <w:rPr>
                <w:szCs w:val="18"/>
              </w:rPr>
              <w:t>km</w:t>
            </w:r>
          </w:p>
        </w:tc>
        <w:tc>
          <w:tcPr>
            <w:tcW w:w="1191" w:type="dxa"/>
            <w:shd w:val="clear" w:color="auto" w:fill="D2DDE1" w:themeFill="background2"/>
            <w:noWrap/>
          </w:tcPr>
          <w:p w14:paraId="65091C6F" w14:textId="2970AFD7" w:rsidR="00CC6684" w:rsidRPr="00B275E2" w:rsidRDefault="00CC6684" w:rsidP="007901E7">
            <w:pPr>
              <w:pStyle w:val="TableText"/>
              <w:spacing w:before="30" w:after="30"/>
              <w:jc w:val="right"/>
              <w:rPr>
                <w:szCs w:val="18"/>
              </w:rPr>
            </w:pPr>
            <w:r w:rsidRPr="00B275E2">
              <w:rPr>
                <w:rFonts w:cs="Calibri"/>
                <w:szCs w:val="18"/>
              </w:rPr>
              <w:t>0.010</w:t>
            </w:r>
          </w:p>
        </w:tc>
        <w:tc>
          <w:tcPr>
            <w:tcW w:w="1077" w:type="dxa"/>
            <w:shd w:val="clear" w:color="auto" w:fill="auto"/>
            <w:noWrap/>
          </w:tcPr>
          <w:p w14:paraId="65091C70" w14:textId="7275BB1D" w:rsidR="00CC6684" w:rsidRPr="00B275E2" w:rsidRDefault="00CC6684" w:rsidP="007901E7">
            <w:pPr>
              <w:pStyle w:val="TableText"/>
              <w:spacing w:before="30" w:after="30"/>
              <w:jc w:val="right"/>
              <w:rPr>
                <w:szCs w:val="18"/>
              </w:rPr>
            </w:pPr>
            <w:r w:rsidRPr="00B275E2">
              <w:rPr>
                <w:rFonts w:cs="Calibri"/>
                <w:szCs w:val="18"/>
              </w:rPr>
              <w:t>0.010</w:t>
            </w:r>
          </w:p>
        </w:tc>
        <w:tc>
          <w:tcPr>
            <w:tcW w:w="1021" w:type="dxa"/>
            <w:shd w:val="clear" w:color="auto" w:fill="auto"/>
            <w:noWrap/>
          </w:tcPr>
          <w:p w14:paraId="65091C71" w14:textId="10D4488E" w:rsidR="00CC6684" w:rsidRPr="00B275E2" w:rsidRDefault="00CC6684" w:rsidP="007901E7">
            <w:pPr>
              <w:pStyle w:val="TableText"/>
              <w:spacing w:before="30" w:after="30"/>
              <w:jc w:val="right"/>
              <w:rPr>
                <w:szCs w:val="18"/>
              </w:rPr>
            </w:pPr>
            <w:r w:rsidRPr="00B275E2">
              <w:rPr>
                <w:rFonts w:cs="Calibri"/>
                <w:szCs w:val="18"/>
              </w:rPr>
              <w:t>0.000</w:t>
            </w:r>
            <w:r w:rsidR="002B3D06">
              <w:rPr>
                <w:rFonts w:cs="Calibri"/>
                <w:szCs w:val="18"/>
              </w:rPr>
              <w:t>3</w:t>
            </w:r>
          </w:p>
        </w:tc>
        <w:tc>
          <w:tcPr>
            <w:tcW w:w="1077" w:type="dxa"/>
            <w:shd w:val="clear" w:color="auto" w:fill="auto"/>
            <w:noWrap/>
          </w:tcPr>
          <w:p w14:paraId="65091C72" w14:textId="3AF03B44" w:rsidR="00CC6684" w:rsidRPr="00B275E2" w:rsidRDefault="00CC6684" w:rsidP="007901E7">
            <w:pPr>
              <w:pStyle w:val="TableText"/>
              <w:spacing w:before="30" w:after="30"/>
              <w:jc w:val="right"/>
              <w:rPr>
                <w:szCs w:val="18"/>
              </w:rPr>
            </w:pPr>
            <w:r w:rsidRPr="00B275E2">
              <w:rPr>
                <w:rFonts w:cs="Calibri"/>
                <w:szCs w:val="18"/>
              </w:rPr>
              <w:t>0.0000</w:t>
            </w:r>
            <w:r w:rsidR="002B3D06">
              <w:rPr>
                <w:rFonts w:cs="Calibri"/>
                <w:szCs w:val="18"/>
              </w:rPr>
              <w:t>2</w:t>
            </w:r>
          </w:p>
        </w:tc>
      </w:tr>
      <w:tr w:rsidR="007901E7" w:rsidRPr="00B275E2" w14:paraId="65091C7B" w14:textId="77777777" w:rsidTr="007901E7">
        <w:trPr>
          <w:trHeight w:val="300"/>
        </w:trPr>
        <w:tc>
          <w:tcPr>
            <w:tcW w:w="1540" w:type="dxa"/>
            <w:vMerge/>
          </w:tcPr>
          <w:p w14:paraId="65091C74" w14:textId="77777777" w:rsidR="00CC6684" w:rsidRPr="00B275E2" w:rsidRDefault="00CC6684" w:rsidP="007901E7">
            <w:pPr>
              <w:pStyle w:val="TableText"/>
              <w:spacing w:before="30" w:after="30"/>
              <w:rPr>
                <w:szCs w:val="18"/>
              </w:rPr>
            </w:pPr>
          </w:p>
        </w:tc>
        <w:tc>
          <w:tcPr>
            <w:tcW w:w="1434" w:type="dxa"/>
            <w:noWrap/>
          </w:tcPr>
          <w:p w14:paraId="65091C75" w14:textId="6E449221" w:rsidR="00CC6684" w:rsidRPr="00B275E2" w:rsidRDefault="00CC6684" w:rsidP="007901E7">
            <w:pPr>
              <w:pStyle w:val="TableText"/>
              <w:spacing w:before="30" w:after="30"/>
              <w:rPr>
                <w:szCs w:val="18"/>
              </w:rPr>
            </w:pPr>
            <w:r w:rsidRPr="00B275E2">
              <w:rPr>
                <w:szCs w:val="18"/>
              </w:rPr>
              <w:t>1600</w:t>
            </w:r>
            <w:r w:rsidRPr="00B275E2">
              <w:rPr>
                <w:rFonts w:cs="Calibri"/>
                <w:color w:val="000000"/>
                <w:szCs w:val="18"/>
              </w:rPr>
              <w:t xml:space="preserve"> -</w:t>
            </w:r>
            <w:r w:rsidRPr="00B275E2">
              <w:rPr>
                <w:szCs w:val="18"/>
              </w:rPr>
              <w:t xml:space="preserve"> &lt;2000 cc</w:t>
            </w:r>
          </w:p>
        </w:tc>
        <w:tc>
          <w:tcPr>
            <w:tcW w:w="567" w:type="dxa"/>
            <w:noWrap/>
          </w:tcPr>
          <w:p w14:paraId="65091C76" w14:textId="77777777" w:rsidR="00CC6684" w:rsidRPr="00B275E2" w:rsidRDefault="00CC6684" w:rsidP="007901E7">
            <w:pPr>
              <w:pStyle w:val="TableText"/>
              <w:spacing w:before="30" w:after="30"/>
              <w:rPr>
                <w:szCs w:val="18"/>
              </w:rPr>
            </w:pPr>
            <w:r w:rsidRPr="00B275E2">
              <w:rPr>
                <w:szCs w:val="18"/>
              </w:rPr>
              <w:t>km</w:t>
            </w:r>
          </w:p>
        </w:tc>
        <w:tc>
          <w:tcPr>
            <w:tcW w:w="1191" w:type="dxa"/>
            <w:shd w:val="clear" w:color="auto" w:fill="D2DDE1" w:themeFill="background2"/>
            <w:noWrap/>
          </w:tcPr>
          <w:p w14:paraId="65091C77" w14:textId="73833C51" w:rsidR="00CC6684" w:rsidRPr="00B275E2" w:rsidRDefault="00CC6684" w:rsidP="007901E7">
            <w:pPr>
              <w:pStyle w:val="TableText"/>
              <w:spacing w:before="30" w:after="30"/>
              <w:jc w:val="right"/>
              <w:rPr>
                <w:szCs w:val="18"/>
              </w:rPr>
            </w:pPr>
            <w:r w:rsidRPr="00B275E2">
              <w:rPr>
                <w:rFonts w:cs="Calibri"/>
                <w:szCs w:val="18"/>
              </w:rPr>
              <w:t>0.011</w:t>
            </w:r>
          </w:p>
        </w:tc>
        <w:tc>
          <w:tcPr>
            <w:tcW w:w="1077" w:type="dxa"/>
            <w:shd w:val="clear" w:color="auto" w:fill="auto"/>
            <w:noWrap/>
          </w:tcPr>
          <w:p w14:paraId="65091C78" w14:textId="2D1E64B7" w:rsidR="00CC6684" w:rsidRPr="00B275E2" w:rsidRDefault="00CC6684" w:rsidP="007901E7">
            <w:pPr>
              <w:pStyle w:val="TableText"/>
              <w:spacing w:before="30" w:after="30"/>
              <w:jc w:val="right"/>
              <w:rPr>
                <w:szCs w:val="18"/>
              </w:rPr>
            </w:pPr>
            <w:r w:rsidRPr="00B275E2">
              <w:rPr>
                <w:rFonts w:cs="Calibri"/>
                <w:szCs w:val="18"/>
              </w:rPr>
              <w:t>0.01</w:t>
            </w:r>
            <w:r w:rsidR="002B3D06">
              <w:rPr>
                <w:rFonts w:cs="Calibri"/>
                <w:szCs w:val="18"/>
              </w:rPr>
              <w:t>1</w:t>
            </w:r>
          </w:p>
        </w:tc>
        <w:tc>
          <w:tcPr>
            <w:tcW w:w="1021" w:type="dxa"/>
            <w:shd w:val="clear" w:color="auto" w:fill="auto"/>
            <w:noWrap/>
          </w:tcPr>
          <w:p w14:paraId="65091C79" w14:textId="020A7F20" w:rsidR="00CC6684" w:rsidRPr="00B275E2" w:rsidRDefault="00CC6684" w:rsidP="007901E7">
            <w:pPr>
              <w:pStyle w:val="TableText"/>
              <w:spacing w:before="30" w:after="30"/>
              <w:jc w:val="right"/>
              <w:rPr>
                <w:szCs w:val="18"/>
              </w:rPr>
            </w:pPr>
            <w:r w:rsidRPr="00B275E2">
              <w:rPr>
                <w:rFonts w:cs="Calibri"/>
                <w:szCs w:val="18"/>
              </w:rPr>
              <w:t>0.000</w:t>
            </w:r>
            <w:r w:rsidR="002B3D06">
              <w:rPr>
                <w:rFonts w:cs="Calibri"/>
                <w:szCs w:val="18"/>
              </w:rPr>
              <w:t>3</w:t>
            </w:r>
          </w:p>
        </w:tc>
        <w:tc>
          <w:tcPr>
            <w:tcW w:w="1077" w:type="dxa"/>
            <w:shd w:val="clear" w:color="auto" w:fill="auto"/>
            <w:noWrap/>
          </w:tcPr>
          <w:p w14:paraId="65091C7A" w14:textId="67BB9C67" w:rsidR="00CC6684" w:rsidRPr="00B275E2" w:rsidRDefault="00CC6684" w:rsidP="007901E7">
            <w:pPr>
              <w:pStyle w:val="TableText"/>
              <w:spacing w:before="30" w:after="30"/>
              <w:jc w:val="right"/>
              <w:rPr>
                <w:szCs w:val="18"/>
              </w:rPr>
            </w:pPr>
            <w:r w:rsidRPr="00B275E2">
              <w:rPr>
                <w:rFonts w:cs="Calibri"/>
                <w:szCs w:val="18"/>
              </w:rPr>
              <w:t>0.0000</w:t>
            </w:r>
            <w:r w:rsidR="002B3D06">
              <w:rPr>
                <w:rFonts w:cs="Calibri"/>
                <w:szCs w:val="18"/>
              </w:rPr>
              <w:t>2</w:t>
            </w:r>
          </w:p>
        </w:tc>
      </w:tr>
      <w:tr w:rsidR="007901E7" w:rsidRPr="00B275E2" w14:paraId="65091C83" w14:textId="77777777" w:rsidTr="007901E7">
        <w:trPr>
          <w:trHeight w:val="300"/>
        </w:trPr>
        <w:tc>
          <w:tcPr>
            <w:tcW w:w="1540" w:type="dxa"/>
            <w:vMerge/>
          </w:tcPr>
          <w:p w14:paraId="65091C7C" w14:textId="77777777" w:rsidR="00CC6684" w:rsidRPr="00B275E2" w:rsidRDefault="00CC6684" w:rsidP="007901E7">
            <w:pPr>
              <w:pStyle w:val="TableText"/>
              <w:spacing w:before="30" w:after="30"/>
              <w:rPr>
                <w:szCs w:val="18"/>
              </w:rPr>
            </w:pPr>
          </w:p>
        </w:tc>
        <w:tc>
          <w:tcPr>
            <w:tcW w:w="1434" w:type="dxa"/>
            <w:noWrap/>
          </w:tcPr>
          <w:p w14:paraId="65091C7D" w14:textId="11632AEB" w:rsidR="00CC6684" w:rsidRPr="00B275E2" w:rsidRDefault="00CC6684" w:rsidP="007901E7">
            <w:pPr>
              <w:pStyle w:val="TableText"/>
              <w:spacing w:before="30" w:after="30"/>
              <w:rPr>
                <w:szCs w:val="18"/>
              </w:rPr>
            </w:pPr>
            <w:r w:rsidRPr="00B275E2">
              <w:rPr>
                <w:szCs w:val="18"/>
              </w:rPr>
              <w:t>2000</w:t>
            </w:r>
            <w:r w:rsidRPr="00B275E2">
              <w:rPr>
                <w:rFonts w:cs="Calibri"/>
                <w:color w:val="000000"/>
                <w:szCs w:val="18"/>
              </w:rPr>
              <w:t xml:space="preserve"> -</w:t>
            </w:r>
            <w:r w:rsidRPr="00B275E2">
              <w:rPr>
                <w:szCs w:val="18"/>
              </w:rPr>
              <w:t xml:space="preserve"> &lt;3000 cc</w:t>
            </w:r>
          </w:p>
        </w:tc>
        <w:tc>
          <w:tcPr>
            <w:tcW w:w="567" w:type="dxa"/>
            <w:noWrap/>
          </w:tcPr>
          <w:p w14:paraId="65091C7E" w14:textId="77777777" w:rsidR="00CC6684" w:rsidRPr="00B275E2" w:rsidRDefault="00CC6684" w:rsidP="007901E7">
            <w:pPr>
              <w:pStyle w:val="TableText"/>
              <w:spacing w:before="30" w:after="30"/>
              <w:rPr>
                <w:szCs w:val="18"/>
              </w:rPr>
            </w:pPr>
            <w:r w:rsidRPr="00B275E2">
              <w:rPr>
                <w:szCs w:val="18"/>
              </w:rPr>
              <w:t>km</w:t>
            </w:r>
          </w:p>
        </w:tc>
        <w:tc>
          <w:tcPr>
            <w:tcW w:w="1191" w:type="dxa"/>
            <w:shd w:val="clear" w:color="auto" w:fill="D2DDE1" w:themeFill="background2"/>
            <w:noWrap/>
          </w:tcPr>
          <w:p w14:paraId="65091C7F" w14:textId="236C1AF3" w:rsidR="00CC6684" w:rsidRPr="00B275E2" w:rsidRDefault="00CC6684" w:rsidP="007901E7">
            <w:pPr>
              <w:pStyle w:val="TableText"/>
              <w:spacing w:before="30" w:after="30"/>
              <w:jc w:val="right"/>
              <w:rPr>
                <w:szCs w:val="18"/>
              </w:rPr>
            </w:pPr>
            <w:r w:rsidRPr="00B275E2">
              <w:rPr>
                <w:rFonts w:cs="Calibri"/>
                <w:szCs w:val="18"/>
              </w:rPr>
              <w:t>0.01</w:t>
            </w:r>
            <w:r w:rsidR="002B3D06">
              <w:rPr>
                <w:rFonts w:cs="Calibri"/>
                <w:szCs w:val="18"/>
              </w:rPr>
              <w:t>3</w:t>
            </w:r>
          </w:p>
        </w:tc>
        <w:tc>
          <w:tcPr>
            <w:tcW w:w="1077" w:type="dxa"/>
            <w:shd w:val="clear" w:color="auto" w:fill="auto"/>
            <w:noWrap/>
          </w:tcPr>
          <w:p w14:paraId="65091C80" w14:textId="0552AC9B" w:rsidR="00CC6684" w:rsidRPr="00B275E2" w:rsidRDefault="00CC6684" w:rsidP="007901E7">
            <w:pPr>
              <w:pStyle w:val="TableText"/>
              <w:spacing w:before="30" w:after="30"/>
              <w:jc w:val="right"/>
              <w:rPr>
                <w:szCs w:val="18"/>
              </w:rPr>
            </w:pPr>
            <w:r w:rsidRPr="00B275E2">
              <w:rPr>
                <w:rFonts w:cs="Calibri"/>
                <w:szCs w:val="18"/>
              </w:rPr>
              <w:t>0.01</w:t>
            </w:r>
            <w:r w:rsidR="002B3D06">
              <w:rPr>
                <w:rFonts w:cs="Calibri"/>
                <w:szCs w:val="18"/>
              </w:rPr>
              <w:t>3</w:t>
            </w:r>
          </w:p>
        </w:tc>
        <w:tc>
          <w:tcPr>
            <w:tcW w:w="1021" w:type="dxa"/>
            <w:shd w:val="clear" w:color="auto" w:fill="auto"/>
            <w:noWrap/>
          </w:tcPr>
          <w:p w14:paraId="65091C81" w14:textId="4FB45EFE" w:rsidR="00CC6684" w:rsidRPr="00B275E2" w:rsidRDefault="00CC6684" w:rsidP="007901E7">
            <w:pPr>
              <w:pStyle w:val="TableText"/>
              <w:spacing w:before="30" w:after="30"/>
              <w:jc w:val="right"/>
              <w:rPr>
                <w:szCs w:val="18"/>
              </w:rPr>
            </w:pPr>
            <w:r w:rsidRPr="00B275E2">
              <w:rPr>
                <w:rFonts w:cs="Calibri"/>
                <w:szCs w:val="18"/>
              </w:rPr>
              <w:t>0.000</w:t>
            </w:r>
            <w:r w:rsidR="002B3D06">
              <w:rPr>
                <w:rFonts w:cs="Calibri"/>
                <w:szCs w:val="18"/>
              </w:rPr>
              <w:t>3</w:t>
            </w:r>
          </w:p>
        </w:tc>
        <w:tc>
          <w:tcPr>
            <w:tcW w:w="1077" w:type="dxa"/>
            <w:shd w:val="clear" w:color="auto" w:fill="auto"/>
            <w:noWrap/>
          </w:tcPr>
          <w:p w14:paraId="65091C82" w14:textId="55AD2850" w:rsidR="00CC6684" w:rsidRPr="00B275E2" w:rsidRDefault="00CC6684" w:rsidP="007901E7">
            <w:pPr>
              <w:pStyle w:val="TableText"/>
              <w:spacing w:before="30" w:after="30"/>
              <w:jc w:val="right"/>
              <w:rPr>
                <w:szCs w:val="18"/>
              </w:rPr>
            </w:pPr>
            <w:r w:rsidRPr="00B275E2">
              <w:rPr>
                <w:rFonts w:cs="Calibri"/>
                <w:szCs w:val="18"/>
              </w:rPr>
              <w:t>0.0000</w:t>
            </w:r>
            <w:r w:rsidR="00D13BAC">
              <w:rPr>
                <w:rFonts w:cs="Calibri"/>
                <w:szCs w:val="18"/>
              </w:rPr>
              <w:t>3</w:t>
            </w:r>
          </w:p>
        </w:tc>
      </w:tr>
      <w:tr w:rsidR="007901E7" w:rsidRPr="00B275E2" w14:paraId="65091C8B" w14:textId="77777777" w:rsidTr="007901E7">
        <w:trPr>
          <w:trHeight w:val="300"/>
        </w:trPr>
        <w:tc>
          <w:tcPr>
            <w:tcW w:w="1540" w:type="dxa"/>
            <w:vMerge/>
          </w:tcPr>
          <w:p w14:paraId="65091C84" w14:textId="77777777" w:rsidR="00CC6684" w:rsidRPr="00B275E2" w:rsidRDefault="00CC6684" w:rsidP="007901E7">
            <w:pPr>
              <w:pStyle w:val="TableText"/>
              <w:spacing w:before="30" w:after="30"/>
              <w:rPr>
                <w:szCs w:val="18"/>
              </w:rPr>
            </w:pPr>
          </w:p>
        </w:tc>
        <w:tc>
          <w:tcPr>
            <w:tcW w:w="1434" w:type="dxa"/>
            <w:noWrap/>
          </w:tcPr>
          <w:p w14:paraId="65091C85" w14:textId="4F04173C" w:rsidR="00CC6684" w:rsidRPr="00B275E2" w:rsidRDefault="00CC6684" w:rsidP="007901E7">
            <w:pPr>
              <w:pStyle w:val="TableText"/>
              <w:spacing w:before="30" w:after="30"/>
              <w:rPr>
                <w:szCs w:val="18"/>
              </w:rPr>
            </w:pPr>
            <w:r w:rsidRPr="00B275E2">
              <w:rPr>
                <w:szCs w:val="18"/>
              </w:rPr>
              <w:t>≥3000 cc</w:t>
            </w:r>
          </w:p>
        </w:tc>
        <w:tc>
          <w:tcPr>
            <w:tcW w:w="567" w:type="dxa"/>
            <w:noWrap/>
          </w:tcPr>
          <w:p w14:paraId="65091C86" w14:textId="77777777" w:rsidR="00CC6684" w:rsidRPr="00B275E2" w:rsidRDefault="00CC6684" w:rsidP="007901E7">
            <w:pPr>
              <w:pStyle w:val="TableText"/>
              <w:spacing w:before="30" w:after="30"/>
              <w:rPr>
                <w:szCs w:val="18"/>
              </w:rPr>
            </w:pPr>
            <w:r w:rsidRPr="00B275E2">
              <w:rPr>
                <w:szCs w:val="18"/>
              </w:rPr>
              <w:t>km</w:t>
            </w:r>
          </w:p>
        </w:tc>
        <w:tc>
          <w:tcPr>
            <w:tcW w:w="1191" w:type="dxa"/>
            <w:shd w:val="clear" w:color="auto" w:fill="D2DDE1" w:themeFill="background2"/>
            <w:noWrap/>
          </w:tcPr>
          <w:p w14:paraId="65091C87" w14:textId="3F8ECD2A" w:rsidR="00CC6684" w:rsidRPr="00B275E2" w:rsidRDefault="00CC6684" w:rsidP="007901E7">
            <w:pPr>
              <w:pStyle w:val="TableText"/>
              <w:spacing w:before="30" w:after="30"/>
              <w:jc w:val="right"/>
              <w:rPr>
                <w:szCs w:val="18"/>
              </w:rPr>
            </w:pPr>
            <w:r w:rsidRPr="00B275E2">
              <w:rPr>
                <w:rFonts w:cs="Calibri"/>
                <w:szCs w:val="18"/>
              </w:rPr>
              <w:t>0.015</w:t>
            </w:r>
          </w:p>
        </w:tc>
        <w:tc>
          <w:tcPr>
            <w:tcW w:w="1077" w:type="dxa"/>
            <w:shd w:val="clear" w:color="auto" w:fill="auto"/>
            <w:noWrap/>
          </w:tcPr>
          <w:p w14:paraId="65091C88" w14:textId="6EF0706F" w:rsidR="00CC6684" w:rsidRPr="00B275E2" w:rsidRDefault="00CC6684" w:rsidP="007901E7">
            <w:pPr>
              <w:pStyle w:val="TableText"/>
              <w:spacing w:before="30" w:after="30"/>
              <w:jc w:val="right"/>
              <w:rPr>
                <w:szCs w:val="18"/>
              </w:rPr>
            </w:pPr>
            <w:r w:rsidRPr="00B275E2">
              <w:rPr>
                <w:rFonts w:cs="Calibri"/>
                <w:szCs w:val="18"/>
              </w:rPr>
              <w:t>0.01</w:t>
            </w:r>
            <w:r w:rsidR="002B3D06">
              <w:rPr>
                <w:rFonts w:cs="Calibri"/>
                <w:szCs w:val="18"/>
              </w:rPr>
              <w:t>5</w:t>
            </w:r>
          </w:p>
        </w:tc>
        <w:tc>
          <w:tcPr>
            <w:tcW w:w="1021" w:type="dxa"/>
            <w:shd w:val="clear" w:color="auto" w:fill="auto"/>
            <w:noWrap/>
          </w:tcPr>
          <w:p w14:paraId="65091C89" w14:textId="19163755" w:rsidR="00CC6684" w:rsidRPr="00B275E2" w:rsidRDefault="00CC6684" w:rsidP="007901E7">
            <w:pPr>
              <w:pStyle w:val="TableText"/>
              <w:spacing w:before="30" w:after="30"/>
              <w:jc w:val="right"/>
              <w:rPr>
                <w:szCs w:val="18"/>
              </w:rPr>
            </w:pPr>
            <w:r w:rsidRPr="00B275E2">
              <w:rPr>
                <w:rFonts w:cs="Calibri"/>
                <w:szCs w:val="18"/>
              </w:rPr>
              <w:t>0.000</w:t>
            </w:r>
            <w:r w:rsidR="002B3D06">
              <w:rPr>
                <w:rFonts w:cs="Calibri"/>
                <w:szCs w:val="18"/>
              </w:rPr>
              <w:t>4</w:t>
            </w:r>
          </w:p>
        </w:tc>
        <w:tc>
          <w:tcPr>
            <w:tcW w:w="1077" w:type="dxa"/>
            <w:shd w:val="clear" w:color="auto" w:fill="auto"/>
            <w:noWrap/>
          </w:tcPr>
          <w:p w14:paraId="65091C8A" w14:textId="045565AA" w:rsidR="00CC6684" w:rsidRPr="00B275E2" w:rsidRDefault="00CC6684" w:rsidP="007901E7">
            <w:pPr>
              <w:pStyle w:val="TableText"/>
              <w:spacing w:before="30" w:after="30"/>
              <w:jc w:val="right"/>
              <w:rPr>
                <w:szCs w:val="18"/>
              </w:rPr>
            </w:pPr>
            <w:r w:rsidRPr="00B275E2">
              <w:rPr>
                <w:rFonts w:cs="Calibri"/>
                <w:szCs w:val="18"/>
              </w:rPr>
              <w:t>0.0000</w:t>
            </w:r>
            <w:r w:rsidR="00D13BAC">
              <w:rPr>
                <w:rFonts w:cs="Calibri"/>
                <w:szCs w:val="18"/>
              </w:rPr>
              <w:t>3</w:t>
            </w:r>
          </w:p>
        </w:tc>
      </w:tr>
      <w:tr w:rsidR="007901E7" w:rsidRPr="00B275E2" w14:paraId="65091C93" w14:textId="77777777" w:rsidTr="007901E7">
        <w:trPr>
          <w:trHeight w:val="300"/>
        </w:trPr>
        <w:tc>
          <w:tcPr>
            <w:tcW w:w="1540" w:type="dxa"/>
            <w:vMerge w:val="restart"/>
          </w:tcPr>
          <w:p w14:paraId="65091C8C" w14:textId="6A15CF48" w:rsidR="00CC6684" w:rsidRPr="00B275E2" w:rsidRDefault="00CC6684" w:rsidP="007901E7">
            <w:pPr>
              <w:pStyle w:val="TableText"/>
              <w:spacing w:before="30" w:after="30"/>
              <w:rPr>
                <w:szCs w:val="18"/>
              </w:rPr>
            </w:pPr>
            <w:r w:rsidRPr="00B275E2">
              <w:rPr>
                <w:szCs w:val="18"/>
              </w:rPr>
              <w:t>Electric vehicle</w:t>
            </w:r>
          </w:p>
        </w:tc>
        <w:tc>
          <w:tcPr>
            <w:tcW w:w="1434" w:type="dxa"/>
            <w:noWrap/>
          </w:tcPr>
          <w:p w14:paraId="65091C8D" w14:textId="60A9A2F4" w:rsidR="00CC6684" w:rsidRPr="00B275E2" w:rsidRDefault="00CC6684" w:rsidP="007901E7">
            <w:pPr>
              <w:pStyle w:val="TableText"/>
              <w:spacing w:before="30" w:after="30"/>
              <w:rPr>
                <w:szCs w:val="18"/>
              </w:rPr>
            </w:pPr>
            <w:r w:rsidRPr="00B275E2">
              <w:rPr>
                <w:szCs w:val="18"/>
              </w:rPr>
              <w:t>Very small</w:t>
            </w:r>
          </w:p>
        </w:tc>
        <w:tc>
          <w:tcPr>
            <w:tcW w:w="567" w:type="dxa"/>
            <w:noWrap/>
          </w:tcPr>
          <w:p w14:paraId="65091C8E" w14:textId="77777777" w:rsidR="00CC6684" w:rsidRPr="00B275E2" w:rsidRDefault="00CC6684" w:rsidP="007901E7">
            <w:pPr>
              <w:pStyle w:val="TableText"/>
              <w:spacing w:before="30" w:after="30"/>
              <w:rPr>
                <w:szCs w:val="18"/>
              </w:rPr>
            </w:pPr>
            <w:r w:rsidRPr="00B275E2">
              <w:rPr>
                <w:szCs w:val="18"/>
              </w:rPr>
              <w:t>km</w:t>
            </w:r>
          </w:p>
        </w:tc>
        <w:tc>
          <w:tcPr>
            <w:tcW w:w="1191" w:type="dxa"/>
            <w:shd w:val="clear" w:color="auto" w:fill="D2DDE1" w:themeFill="background2"/>
            <w:noWrap/>
          </w:tcPr>
          <w:p w14:paraId="65091C8F" w14:textId="5B29DD8F" w:rsidR="00CC6684" w:rsidRPr="00B275E2" w:rsidRDefault="00CC6684" w:rsidP="007901E7">
            <w:pPr>
              <w:pStyle w:val="TableText"/>
              <w:spacing w:before="30" w:after="30"/>
              <w:jc w:val="right"/>
              <w:rPr>
                <w:szCs w:val="18"/>
              </w:rPr>
            </w:pPr>
            <w:r w:rsidRPr="00B275E2">
              <w:rPr>
                <w:rFonts w:cs="Calibri"/>
                <w:szCs w:val="18"/>
              </w:rPr>
              <w:t>0.02</w:t>
            </w:r>
            <w:r w:rsidR="00D13BAC">
              <w:rPr>
                <w:rFonts w:cs="Calibri"/>
                <w:szCs w:val="18"/>
              </w:rPr>
              <w:t>1</w:t>
            </w:r>
          </w:p>
        </w:tc>
        <w:tc>
          <w:tcPr>
            <w:tcW w:w="1077" w:type="dxa"/>
            <w:shd w:val="clear" w:color="auto" w:fill="auto"/>
            <w:noWrap/>
          </w:tcPr>
          <w:p w14:paraId="65091C90" w14:textId="702596A1" w:rsidR="00CC6684" w:rsidRPr="00B275E2" w:rsidRDefault="00CC6684" w:rsidP="007901E7">
            <w:pPr>
              <w:pStyle w:val="TableText"/>
              <w:spacing w:before="30" w:after="30"/>
              <w:jc w:val="right"/>
              <w:rPr>
                <w:szCs w:val="18"/>
              </w:rPr>
            </w:pPr>
            <w:r w:rsidRPr="00B275E2">
              <w:rPr>
                <w:rFonts w:cs="Calibri"/>
                <w:szCs w:val="18"/>
              </w:rPr>
              <w:t>0.0</w:t>
            </w:r>
            <w:r w:rsidR="002A3E78">
              <w:rPr>
                <w:rFonts w:cs="Calibri"/>
                <w:szCs w:val="18"/>
              </w:rPr>
              <w:t>20</w:t>
            </w:r>
          </w:p>
        </w:tc>
        <w:tc>
          <w:tcPr>
            <w:tcW w:w="1021" w:type="dxa"/>
            <w:shd w:val="clear" w:color="auto" w:fill="auto"/>
            <w:noWrap/>
          </w:tcPr>
          <w:p w14:paraId="65091C91" w14:textId="6D109CF7" w:rsidR="00CC6684" w:rsidRPr="00B275E2" w:rsidRDefault="00CC6684" w:rsidP="007901E7">
            <w:pPr>
              <w:pStyle w:val="TableText"/>
              <w:spacing w:before="30" w:after="30"/>
              <w:jc w:val="right"/>
              <w:rPr>
                <w:szCs w:val="18"/>
              </w:rPr>
            </w:pPr>
            <w:r w:rsidRPr="00B275E2">
              <w:rPr>
                <w:rFonts w:cs="Calibri"/>
                <w:szCs w:val="18"/>
              </w:rPr>
              <w:t>0.000</w:t>
            </w:r>
            <w:r w:rsidR="002A3E78">
              <w:rPr>
                <w:rFonts w:cs="Calibri"/>
                <w:szCs w:val="18"/>
              </w:rPr>
              <w:t>5</w:t>
            </w:r>
          </w:p>
        </w:tc>
        <w:tc>
          <w:tcPr>
            <w:tcW w:w="1077" w:type="dxa"/>
            <w:shd w:val="clear" w:color="auto" w:fill="auto"/>
            <w:noWrap/>
          </w:tcPr>
          <w:p w14:paraId="65091C92" w14:textId="3162A0F3" w:rsidR="00CC6684" w:rsidRPr="00B275E2" w:rsidRDefault="00CC6684" w:rsidP="007901E7">
            <w:pPr>
              <w:pStyle w:val="TableText"/>
              <w:spacing w:before="30" w:after="30"/>
              <w:jc w:val="right"/>
              <w:rPr>
                <w:szCs w:val="18"/>
              </w:rPr>
            </w:pPr>
            <w:r w:rsidRPr="00B275E2">
              <w:rPr>
                <w:rFonts w:cs="Calibri"/>
                <w:szCs w:val="18"/>
              </w:rPr>
              <w:t>0.0000</w:t>
            </w:r>
            <w:r w:rsidR="00FA0BAB">
              <w:rPr>
                <w:rFonts w:cs="Calibri"/>
                <w:szCs w:val="18"/>
              </w:rPr>
              <w:t>4</w:t>
            </w:r>
          </w:p>
        </w:tc>
      </w:tr>
      <w:tr w:rsidR="007901E7" w:rsidRPr="00B275E2" w14:paraId="65091C9B" w14:textId="77777777" w:rsidTr="007901E7">
        <w:trPr>
          <w:trHeight w:val="300"/>
        </w:trPr>
        <w:tc>
          <w:tcPr>
            <w:tcW w:w="1540" w:type="dxa"/>
            <w:vMerge/>
          </w:tcPr>
          <w:p w14:paraId="65091C94" w14:textId="77777777" w:rsidR="00CC6684" w:rsidRPr="00B275E2" w:rsidRDefault="00CC6684" w:rsidP="007901E7">
            <w:pPr>
              <w:pStyle w:val="TableText"/>
              <w:spacing w:before="30" w:after="30"/>
              <w:rPr>
                <w:szCs w:val="18"/>
              </w:rPr>
            </w:pPr>
          </w:p>
        </w:tc>
        <w:tc>
          <w:tcPr>
            <w:tcW w:w="1434" w:type="dxa"/>
            <w:noWrap/>
          </w:tcPr>
          <w:p w14:paraId="65091C95" w14:textId="13ACF2F1" w:rsidR="00CC6684" w:rsidRPr="00B275E2" w:rsidRDefault="00CC6684" w:rsidP="007901E7">
            <w:pPr>
              <w:pStyle w:val="TableText"/>
              <w:spacing w:before="30" w:after="30"/>
              <w:rPr>
                <w:szCs w:val="18"/>
              </w:rPr>
            </w:pPr>
            <w:r w:rsidRPr="00B275E2">
              <w:rPr>
                <w:szCs w:val="18"/>
              </w:rPr>
              <w:t>Small</w:t>
            </w:r>
          </w:p>
        </w:tc>
        <w:tc>
          <w:tcPr>
            <w:tcW w:w="567" w:type="dxa"/>
            <w:noWrap/>
          </w:tcPr>
          <w:p w14:paraId="65091C96" w14:textId="77777777" w:rsidR="00CC6684" w:rsidRPr="00B275E2" w:rsidRDefault="00CC6684" w:rsidP="007901E7">
            <w:pPr>
              <w:pStyle w:val="TableText"/>
              <w:spacing w:before="30" w:after="30"/>
              <w:rPr>
                <w:szCs w:val="18"/>
              </w:rPr>
            </w:pPr>
            <w:r w:rsidRPr="00B275E2">
              <w:rPr>
                <w:szCs w:val="18"/>
              </w:rPr>
              <w:t>km</w:t>
            </w:r>
          </w:p>
        </w:tc>
        <w:tc>
          <w:tcPr>
            <w:tcW w:w="1191" w:type="dxa"/>
            <w:shd w:val="clear" w:color="auto" w:fill="D2DDE1" w:themeFill="background2"/>
            <w:noWrap/>
          </w:tcPr>
          <w:p w14:paraId="65091C97" w14:textId="2FC54F70" w:rsidR="00CC6684" w:rsidRPr="00B275E2" w:rsidRDefault="00CC6684" w:rsidP="007901E7">
            <w:pPr>
              <w:pStyle w:val="TableText"/>
              <w:spacing w:before="30" w:after="30"/>
              <w:jc w:val="right"/>
              <w:rPr>
                <w:szCs w:val="18"/>
              </w:rPr>
            </w:pPr>
            <w:r w:rsidRPr="00B275E2">
              <w:rPr>
                <w:rFonts w:cs="Calibri"/>
                <w:szCs w:val="18"/>
              </w:rPr>
              <w:t>0.02</w:t>
            </w:r>
            <w:r w:rsidR="00D13BAC">
              <w:rPr>
                <w:rFonts w:cs="Calibri"/>
                <w:szCs w:val="18"/>
              </w:rPr>
              <w:t>2</w:t>
            </w:r>
          </w:p>
        </w:tc>
        <w:tc>
          <w:tcPr>
            <w:tcW w:w="1077" w:type="dxa"/>
            <w:shd w:val="clear" w:color="auto" w:fill="auto"/>
            <w:noWrap/>
          </w:tcPr>
          <w:p w14:paraId="65091C98" w14:textId="3F854844" w:rsidR="00CC6684" w:rsidRPr="00B275E2" w:rsidRDefault="00CC6684" w:rsidP="007901E7">
            <w:pPr>
              <w:pStyle w:val="TableText"/>
              <w:spacing w:before="30" w:after="30"/>
              <w:jc w:val="right"/>
              <w:rPr>
                <w:szCs w:val="18"/>
              </w:rPr>
            </w:pPr>
            <w:r w:rsidRPr="00B275E2">
              <w:rPr>
                <w:rFonts w:cs="Calibri"/>
                <w:szCs w:val="18"/>
              </w:rPr>
              <w:t>0.02</w:t>
            </w:r>
            <w:r w:rsidR="002A3E78">
              <w:rPr>
                <w:rFonts w:cs="Calibri"/>
                <w:szCs w:val="18"/>
              </w:rPr>
              <w:t>1</w:t>
            </w:r>
          </w:p>
        </w:tc>
        <w:tc>
          <w:tcPr>
            <w:tcW w:w="1021" w:type="dxa"/>
            <w:shd w:val="clear" w:color="auto" w:fill="auto"/>
            <w:noWrap/>
          </w:tcPr>
          <w:p w14:paraId="65091C99" w14:textId="7732249A" w:rsidR="00CC6684" w:rsidRPr="00B275E2" w:rsidRDefault="00CC6684" w:rsidP="007901E7">
            <w:pPr>
              <w:pStyle w:val="TableText"/>
              <w:spacing w:before="30" w:after="30"/>
              <w:jc w:val="right"/>
              <w:rPr>
                <w:szCs w:val="18"/>
              </w:rPr>
            </w:pPr>
            <w:r w:rsidRPr="00B275E2">
              <w:rPr>
                <w:rFonts w:cs="Calibri"/>
                <w:szCs w:val="18"/>
              </w:rPr>
              <w:t>0.000</w:t>
            </w:r>
            <w:r w:rsidR="002A3E78">
              <w:rPr>
                <w:rFonts w:cs="Calibri"/>
                <w:szCs w:val="18"/>
              </w:rPr>
              <w:t>6</w:t>
            </w:r>
          </w:p>
        </w:tc>
        <w:tc>
          <w:tcPr>
            <w:tcW w:w="1077" w:type="dxa"/>
            <w:shd w:val="clear" w:color="auto" w:fill="auto"/>
            <w:noWrap/>
          </w:tcPr>
          <w:p w14:paraId="65091C9A" w14:textId="59B32839" w:rsidR="00CC6684" w:rsidRPr="00B275E2" w:rsidRDefault="00CC6684" w:rsidP="007901E7">
            <w:pPr>
              <w:pStyle w:val="TableText"/>
              <w:spacing w:before="30" w:after="30"/>
              <w:jc w:val="right"/>
              <w:rPr>
                <w:szCs w:val="18"/>
              </w:rPr>
            </w:pPr>
            <w:r w:rsidRPr="00B275E2">
              <w:rPr>
                <w:rFonts w:cs="Calibri"/>
                <w:szCs w:val="18"/>
              </w:rPr>
              <w:t>0.0000</w:t>
            </w:r>
            <w:r w:rsidR="00FA0BAB">
              <w:rPr>
                <w:rFonts w:cs="Calibri"/>
                <w:szCs w:val="18"/>
              </w:rPr>
              <w:t>5</w:t>
            </w:r>
          </w:p>
        </w:tc>
      </w:tr>
      <w:tr w:rsidR="007901E7" w:rsidRPr="00B275E2" w14:paraId="65091CA3" w14:textId="77777777" w:rsidTr="007901E7">
        <w:trPr>
          <w:trHeight w:val="300"/>
        </w:trPr>
        <w:tc>
          <w:tcPr>
            <w:tcW w:w="1540" w:type="dxa"/>
            <w:vMerge/>
          </w:tcPr>
          <w:p w14:paraId="65091C9C" w14:textId="77777777" w:rsidR="00CC6684" w:rsidRPr="00B275E2" w:rsidRDefault="00CC6684" w:rsidP="007901E7">
            <w:pPr>
              <w:pStyle w:val="TableText"/>
              <w:spacing w:before="30" w:after="30"/>
              <w:rPr>
                <w:szCs w:val="18"/>
              </w:rPr>
            </w:pPr>
          </w:p>
        </w:tc>
        <w:tc>
          <w:tcPr>
            <w:tcW w:w="1434" w:type="dxa"/>
            <w:noWrap/>
          </w:tcPr>
          <w:p w14:paraId="65091C9D" w14:textId="450CCCC3" w:rsidR="00CC6684" w:rsidRPr="00B275E2" w:rsidRDefault="00CC6684" w:rsidP="007901E7">
            <w:pPr>
              <w:pStyle w:val="TableText"/>
              <w:spacing w:before="30" w:after="30"/>
              <w:rPr>
                <w:szCs w:val="18"/>
              </w:rPr>
            </w:pPr>
            <w:r w:rsidRPr="00B275E2">
              <w:rPr>
                <w:szCs w:val="18"/>
              </w:rPr>
              <w:t>Medium</w:t>
            </w:r>
          </w:p>
        </w:tc>
        <w:tc>
          <w:tcPr>
            <w:tcW w:w="567" w:type="dxa"/>
            <w:noWrap/>
          </w:tcPr>
          <w:p w14:paraId="65091C9E" w14:textId="77777777" w:rsidR="00CC6684" w:rsidRPr="00B275E2" w:rsidRDefault="00CC6684" w:rsidP="007901E7">
            <w:pPr>
              <w:pStyle w:val="TableText"/>
              <w:spacing w:before="30" w:after="30"/>
              <w:rPr>
                <w:szCs w:val="18"/>
              </w:rPr>
            </w:pPr>
            <w:r w:rsidRPr="00B275E2">
              <w:rPr>
                <w:szCs w:val="18"/>
              </w:rPr>
              <w:t>km</w:t>
            </w:r>
          </w:p>
        </w:tc>
        <w:tc>
          <w:tcPr>
            <w:tcW w:w="1191" w:type="dxa"/>
            <w:shd w:val="clear" w:color="auto" w:fill="D2DDE1" w:themeFill="background2"/>
            <w:noWrap/>
          </w:tcPr>
          <w:p w14:paraId="65091C9F" w14:textId="491AEB59" w:rsidR="00CC6684" w:rsidRPr="00B275E2" w:rsidRDefault="00CC6684" w:rsidP="007901E7">
            <w:pPr>
              <w:pStyle w:val="TableText"/>
              <w:spacing w:before="30" w:after="30"/>
              <w:jc w:val="right"/>
              <w:rPr>
                <w:szCs w:val="18"/>
              </w:rPr>
            </w:pPr>
            <w:r w:rsidRPr="00B275E2">
              <w:rPr>
                <w:rFonts w:cs="Calibri"/>
                <w:szCs w:val="18"/>
              </w:rPr>
              <w:t>0.02</w:t>
            </w:r>
            <w:r w:rsidR="00D13BAC">
              <w:rPr>
                <w:rFonts w:cs="Calibri"/>
                <w:szCs w:val="18"/>
              </w:rPr>
              <w:t>4</w:t>
            </w:r>
          </w:p>
        </w:tc>
        <w:tc>
          <w:tcPr>
            <w:tcW w:w="1077" w:type="dxa"/>
            <w:shd w:val="clear" w:color="auto" w:fill="auto"/>
            <w:noWrap/>
          </w:tcPr>
          <w:p w14:paraId="65091CA0" w14:textId="28C38A9A" w:rsidR="00CC6684" w:rsidRPr="00B275E2" w:rsidRDefault="00CC6684" w:rsidP="007901E7">
            <w:pPr>
              <w:pStyle w:val="TableText"/>
              <w:spacing w:before="30" w:after="30"/>
              <w:jc w:val="right"/>
              <w:rPr>
                <w:szCs w:val="18"/>
              </w:rPr>
            </w:pPr>
            <w:r w:rsidRPr="00B275E2">
              <w:rPr>
                <w:rFonts w:cs="Calibri"/>
                <w:szCs w:val="18"/>
              </w:rPr>
              <w:t>0.02</w:t>
            </w:r>
            <w:r w:rsidR="002A3E78">
              <w:rPr>
                <w:rFonts w:cs="Calibri"/>
                <w:szCs w:val="18"/>
              </w:rPr>
              <w:t>4</w:t>
            </w:r>
          </w:p>
        </w:tc>
        <w:tc>
          <w:tcPr>
            <w:tcW w:w="1021" w:type="dxa"/>
            <w:shd w:val="clear" w:color="auto" w:fill="auto"/>
            <w:noWrap/>
          </w:tcPr>
          <w:p w14:paraId="65091CA1" w14:textId="70A9048B" w:rsidR="00CC6684" w:rsidRPr="00B275E2" w:rsidRDefault="00CC6684" w:rsidP="007901E7">
            <w:pPr>
              <w:pStyle w:val="TableText"/>
              <w:spacing w:before="30" w:after="30"/>
              <w:jc w:val="right"/>
              <w:rPr>
                <w:szCs w:val="18"/>
              </w:rPr>
            </w:pPr>
            <w:r w:rsidRPr="00B275E2">
              <w:rPr>
                <w:rFonts w:cs="Calibri"/>
                <w:szCs w:val="18"/>
              </w:rPr>
              <w:t>0.000</w:t>
            </w:r>
            <w:r w:rsidR="002A3E78">
              <w:rPr>
                <w:rFonts w:cs="Calibri"/>
                <w:szCs w:val="18"/>
              </w:rPr>
              <w:t>6</w:t>
            </w:r>
          </w:p>
        </w:tc>
        <w:tc>
          <w:tcPr>
            <w:tcW w:w="1077" w:type="dxa"/>
            <w:shd w:val="clear" w:color="auto" w:fill="auto"/>
            <w:noWrap/>
          </w:tcPr>
          <w:p w14:paraId="65091CA2" w14:textId="1F203718" w:rsidR="00CC6684" w:rsidRPr="00B275E2" w:rsidRDefault="00CC6684" w:rsidP="007901E7">
            <w:pPr>
              <w:pStyle w:val="TableText"/>
              <w:spacing w:before="30" w:after="30"/>
              <w:jc w:val="right"/>
              <w:rPr>
                <w:szCs w:val="18"/>
              </w:rPr>
            </w:pPr>
            <w:r w:rsidRPr="00B275E2">
              <w:rPr>
                <w:rFonts w:cs="Calibri"/>
                <w:szCs w:val="18"/>
              </w:rPr>
              <w:t>0.0000</w:t>
            </w:r>
            <w:r w:rsidR="00FA0BAB">
              <w:rPr>
                <w:rFonts w:cs="Calibri"/>
                <w:szCs w:val="18"/>
              </w:rPr>
              <w:t>5</w:t>
            </w:r>
          </w:p>
        </w:tc>
      </w:tr>
      <w:tr w:rsidR="007901E7" w:rsidRPr="00B275E2" w14:paraId="65091CAB" w14:textId="77777777" w:rsidTr="007901E7">
        <w:trPr>
          <w:trHeight w:val="300"/>
        </w:trPr>
        <w:tc>
          <w:tcPr>
            <w:tcW w:w="1540" w:type="dxa"/>
            <w:vMerge/>
          </w:tcPr>
          <w:p w14:paraId="65091CA4" w14:textId="77777777" w:rsidR="00CC6684" w:rsidRPr="00B275E2" w:rsidRDefault="00CC6684" w:rsidP="007901E7">
            <w:pPr>
              <w:pStyle w:val="TableText"/>
              <w:spacing w:before="30" w:after="30"/>
              <w:rPr>
                <w:szCs w:val="18"/>
              </w:rPr>
            </w:pPr>
          </w:p>
        </w:tc>
        <w:tc>
          <w:tcPr>
            <w:tcW w:w="1434" w:type="dxa"/>
            <w:noWrap/>
          </w:tcPr>
          <w:p w14:paraId="65091CA5" w14:textId="5217C783" w:rsidR="00CC6684" w:rsidRPr="00B275E2" w:rsidRDefault="00CC6684" w:rsidP="007901E7">
            <w:pPr>
              <w:pStyle w:val="TableText"/>
              <w:spacing w:before="30" w:after="30"/>
              <w:rPr>
                <w:szCs w:val="18"/>
              </w:rPr>
            </w:pPr>
            <w:r w:rsidRPr="00B275E2">
              <w:rPr>
                <w:szCs w:val="18"/>
              </w:rPr>
              <w:t>Large</w:t>
            </w:r>
          </w:p>
        </w:tc>
        <w:tc>
          <w:tcPr>
            <w:tcW w:w="567" w:type="dxa"/>
            <w:noWrap/>
          </w:tcPr>
          <w:p w14:paraId="65091CA6" w14:textId="77777777" w:rsidR="00CC6684" w:rsidRPr="00B275E2" w:rsidRDefault="00CC6684" w:rsidP="007901E7">
            <w:pPr>
              <w:pStyle w:val="TableText"/>
              <w:spacing w:before="30" w:after="30"/>
              <w:rPr>
                <w:szCs w:val="18"/>
              </w:rPr>
            </w:pPr>
            <w:r w:rsidRPr="00B275E2">
              <w:rPr>
                <w:szCs w:val="18"/>
              </w:rPr>
              <w:t>km</w:t>
            </w:r>
          </w:p>
        </w:tc>
        <w:tc>
          <w:tcPr>
            <w:tcW w:w="1191" w:type="dxa"/>
            <w:shd w:val="clear" w:color="auto" w:fill="D2DDE1" w:themeFill="background2"/>
            <w:noWrap/>
          </w:tcPr>
          <w:p w14:paraId="65091CA7" w14:textId="31EE4B18" w:rsidR="00CC6684" w:rsidRPr="00B275E2" w:rsidRDefault="00CC6684" w:rsidP="007901E7">
            <w:pPr>
              <w:pStyle w:val="TableText"/>
              <w:spacing w:before="30" w:after="30"/>
              <w:jc w:val="right"/>
              <w:rPr>
                <w:szCs w:val="18"/>
              </w:rPr>
            </w:pPr>
            <w:r w:rsidRPr="00B275E2">
              <w:rPr>
                <w:rFonts w:cs="Calibri"/>
                <w:szCs w:val="18"/>
              </w:rPr>
              <w:t>0.02</w:t>
            </w:r>
            <w:r w:rsidR="00FE672A">
              <w:rPr>
                <w:rFonts w:cs="Calibri"/>
                <w:szCs w:val="18"/>
              </w:rPr>
              <w:t>7</w:t>
            </w:r>
          </w:p>
        </w:tc>
        <w:tc>
          <w:tcPr>
            <w:tcW w:w="1077" w:type="dxa"/>
            <w:shd w:val="clear" w:color="auto" w:fill="auto"/>
            <w:noWrap/>
          </w:tcPr>
          <w:p w14:paraId="65091CA8" w14:textId="1DC3941D" w:rsidR="00CC6684" w:rsidRPr="00B275E2" w:rsidRDefault="00CC6684" w:rsidP="007901E7">
            <w:pPr>
              <w:pStyle w:val="TableText"/>
              <w:spacing w:before="30" w:after="30"/>
              <w:jc w:val="right"/>
              <w:rPr>
                <w:szCs w:val="18"/>
              </w:rPr>
            </w:pPr>
            <w:r w:rsidRPr="00B275E2">
              <w:rPr>
                <w:rFonts w:cs="Calibri"/>
                <w:szCs w:val="18"/>
              </w:rPr>
              <w:t>0.02</w:t>
            </w:r>
            <w:r w:rsidR="002A3E78">
              <w:rPr>
                <w:rFonts w:cs="Calibri"/>
                <w:szCs w:val="18"/>
              </w:rPr>
              <w:t>6</w:t>
            </w:r>
          </w:p>
        </w:tc>
        <w:tc>
          <w:tcPr>
            <w:tcW w:w="1021" w:type="dxa"/>
            <w:shd w:val="clear" w:color="auto" w:fill="auto"/>
            <w:noWrap/>
          </w:tcPr>
          <w:p w14:paraId="65091CA9" w14:textId="7315DF71" w:rsidR="00CC6684" w:rsidRPr="00B275E2" w:rsidRDefault="00CC6684" w:rsidP="007901E7">
            <w:pPr>
              <w:pStyle w:val="TableText"/>
              <w:spacing w:before="30" w:after="30"/>
              <w:jc w:val="right"/>
              <w:rPr>
                <w:szCs w:val="18"/>
              </w:rPr>
            </w:pPr>
            <w:r w:rsidRPr="00B275E2">
              <w:rPr>
                <w:rFonts w:cs="Calibri"/>
                <w:szCs w:val="18"/>
              </w:rPr>
              <w:t>0.00</w:t>
            </w:r>
            <w:r w:rsidR="00FA0BAB">
              <w:rPr>
                <w:rFonts w:cs="Calibri"/>
                <w:szCs w:val="18"/>
              </w:rPr>
              <w:t>07</w:t>
            </w:r>
          </w:p>
        </w:tc>
        <w:tc>
          <w:tcPr>
            <w:tcW w:w="1077" w:type="dxa"/>
            <w:shd w:val="clear" w:color="auto" w:fill="auto"/>
            <w:noWrap/>
          </w:tcPr>
          <w:p w14:paraId="65091CAA" w14:textId="2929FA1F" w:rsidR="00CC6684" w:rsidRPr="00B275E2" w:rsidRDefault="00CC6684" w:rsidP="007901E7">
            <w:pPr>
              <w:pStyle w:val="TableText"/>
              <w:spacing w:before="30" w:after="30"/>
              <w:jc w:val="right"/>
              <w:rPr>
                <w:szCs w:val="18"/>
              </w:rPr>
            </w:pPr>
            <w:r w:rsidRPr="00B275E2">
              <w:rPr>
                <w:rFonts w:cs="Calibri"/>
                <w:szCs w:val="18"/>
              </w:rPr>
              <w:t>0.0000</w:t>
            </w:r>
            <w:r w:rsidR="00FA0BAB">
              <w:rPr>
                <w:rFonts w:cs="Calibri"/>
                <w:szCs w:val="18"/>
              </w:rPr>
              <w:t>6</w:t>
            </w:r>
          </w:p>
        </w:tc>
      </w:tr>
      <w:tr w:rsidR="007901E7" w:rsidRPr="00B275E2" w14:paraId="65091CB3" w14:textId="77777777" w:rsidTr="007901E7">
        <w:trPr>
          <w:trHeight w:val="300"/>
        </w:trPr>
        <w:tc>
          <w:tcPr>
            <w:tcW w:w="1540" w:type="dxa"/>
            <w:vMerge/>
          </w:tcPr>
          <w:p w14:paraId="65091CAC" w14:textId="77777777" w:rsidR="00CC6684" w:rsidRPr="00B275E2" w:rsidRDefault="00CC6684" w:rsidP="007901E7">
            <w:pPr>
              <w:pStyle w:val="TableText"/>
              <w:spacing w:before="30" w:after="30"/>
              <w:rPr>
                <w:szCs w:val="18"/>
              </w:rPr>
            </w:pPr>
          </w:p>
        </w:tc>
        <w:tc>
          <w:tcPr>
            <w:tcW w:w="1434" w:type="dxa"/>
            <w:noWrap/>
          </w:tcPr>
          <w:p w14:paraId="65091CAD" w14:textId="706CD270" w:rsidR="00CC6684" w:rsidRPr="00B275E2" w:rsidRDefault="00CC6684" w:rsidP="007901E7">
            <w:pPr>
              <w:pStyle w:val="TableText"/>
              <w:spacing w:before="30" w:after="30"/>
              <w:rPr>
                <w:szCs w:val="18"/>
              </w:rPr>
            </w:pPr>
            <w:r w:rsidRPr="00B275E2">
              <w:rPr>
                <w:szCs w:val="18"/>
              </w:rPr>
              <w:t>Very large</w:t>
            </w:r>
          </w:p>
        </w:tc>
        <w:tc>
          <w:tcPr>
            <w:tcW w:w="567" w:type="dxa"/>
            <w:noWrap/>
          </w:tcPr>
          <w:p w14:paraId="65091CAE" w14:textId="77777777" w:rsidR="00CC6684" w:rsidRPr="00B275E2" w:rsidRDefault="00CC6684" w:rsidP="007901E7">
            <w:pPr>
              <w:pStyle w:val="TableText"/>
              <w:spacing w:before="30" w:after="30"/>
              <w:rPr>
                <w:szCs w:val="18"/>
              </w:rPr>
            </w:pPr>
            <w:r w:rsidRPr="00B275E2">
              <w:rPr>
                <w:szCs w:val="18"/>
              </w:rPr>
              <w:t>km</w:t>
            </w:r>
          </w:p>
        </w:tc>
        <w:tc>
          <w:tcPr>
            <w:tcW w:w="1191" w:type="dxa"/>
            <w:shd w:val="clear" w:color="auto" w:fill="D2DDE1" w:themeFill="background2"/>
            <w:noWrap/>
          </w:tcPr>
          <w:p w14:paraId="65091CAF" w14:textId="4A6D4BB5" w:rsidR="00CC6684" w:rsidRPr="00B275E2" w:rsidRDefault="00CC6684" w:rsidP="007901E7">
            <w:pPr>
              <w:pStyle w:val="TableText"/>
              <w:spacing w:before="30" w:after="30"/>
              <w:jc w:val="right"/>
              <w:rPr>
                <w:szCs w:val="18"/>
              </w:rPr>
            </w:pPr>
            <w:r w:rsidRPr="00B275E2">
              <w:rPr>
                <w:rFonts w:cs="Calibri"/>
                <w:szCs w:val="18"/>
              </w:rPr>
              <w:t>0.03</w:t>
            </w:r>
            <w:r w:rsidR="00D13BAC">
              <w:rPr>
                <w:rFonts w:cs="Calibri"/>
                <w:szCs w:val="18"/>
              </w:rPr>
              <w:t>2</w:t>
            </w:r>
          </w:p>
        </w:tc>
        <w:tc>
          <w:tcPr>
            <w:tcW w:w="1077" w:type="dxa"/>
            <w:shd w:val="clear" w:color="auto" w:fill="auto"/>
            <w:noWrap/>
          </w:tcPr>
          <w:p w14:paraId="65091CB0" w14:textId="5DFE2D6D" w:rsidR="00CC6684" w:rsidRPr="00B275E2" w:rsidRDefault="00CC6684" w:rsidP="007901E7">
            <w:pPr>
              <w:pStyle w:val="TableText"/>
              <w:spacing w:before="30" w:after="30"/>
              <w:jc w:val="right"/>
              <w:rPr>
                <w:szCs w:val="18"/>
              </w:rPr>
            </w:pPr>
            <w:r w:rsidRPr="00B275E2">
              <w:rPr>
                <w:rFonts w:cs="Calibri"/>
                <w:szCs w:val="18"/>
              </w:rPr>
              <w:t>0.03</w:t>
            </w:r>
            <w:r w:rsidR="002A3E78">
              <w:rPr>
                <w:rFonts w:cs="Calibri"/>
                <w:szCs w:val="18"/>
              </w:rPr>
              <w:t>2</w:t>
            </w:r>
          </w:p>
        </w:tc>
        <w:tc>
          <w:tcPr>
            <w:tcW w:w="1021" w:type="dxa"/>
            <w:shd w:val="clear" w:color="auto" w:fill="auto"/>
            <w:noWrap/>
          </w:tcPr>
          <w:p w14:paraId="65091CB1" w14:textId="7B21A428" w:rsidR="00CC6684" w:rsidRPr="00B275E2" w:rsidRDefault="00CC6684" w:rsidP="007901E7">
            <w:pPr>
              <w:pStyle w:val="TableText"/>
              <w:spacing w:before="30" w:after="30"/>
              <w:jc w:val="right"/>
              <w:rPr>
                <w:szCs w:val="18"/>
              </w:rPr>
            </w:pPr>
            <w:r w:rsidRPr="00B275E2">
              <w:rPr>
                <w:rFonts w:cs="Calibri"/>
                <w:szCs w:val="18"/>
              </w:rPr>
              <w:t>0.00</w:t>
            </w:r>
            <w:r w:rsidR="00FA0BAB">
              <w:rPr>
                <w:rFonts w:cs="Calibri"/>
                <w:szCs w:val="18"/>
              </w:rPr>
              <w:t>08</w:t>
            </w:r>
          </w:p>
        </w:tc>
        <w:tc>
          <w:tcPr>
            <w:tcW w:w="1077" w:type="dxa"/>
            <w:shd w:val="clear" w:color="auto" w:fill="auto"/>
            <w:noWrap/>
          </w:tcPr>
          <w:p w14:paraId="65091CB2" w14:textId="54A39282" w:rsidR="00CC6684" w:rsidRPr="00B275E2" w:rsidRDefault="00CC6684" w:rsidP="007901E7">
            <w:pPr>
              <w:pStyle w:val="TableText"/>
              <w:spacing w:before="30" w:after="30"/>
              <w:jc w:val="right"/>
              <w:rPr>
                <w:szCs w:val="18"/>
              </w:rPr>
            </w:pPr>
            <w:r w:rsidRPr="00B275E2">
              <w:rPr>
                <w:rFonts w:cs="Calibri"/>
                <w:szCs w:val="18"/>
              </w:rPr>
              <w:t>0.0000</w:t>
            </w:r>
            <w:r w:rsidR="00FA0BAB">
              <w:rPr>
                <w:rFonts w:cs="Calibri"/>
                <w:szCs w:val="18"/>
              </w:rPr>
              <w:t>7</w:t>
            </w:r>
          </w:p>
        </w:tc>
      </w:tr>
      <w:tr w:rsidR="007901E7" w:rsidRPr="00B275E2" w14:paraId="65091CBB" w14:textId="77777777" w:rsidTr="007901E7">
        <w:trPr>
          <w:trHeight w:val="300"/>
        </w:trPr>
        <w:tc>
          <w:tcPr>
            <w:tcW w:w="1540" w:type="dxa"/>
            <w:vMerge w:val="restart"/>
          </w:tcPr>
          <w:p w14:paraId="65091CB4" w14:textId="42BDC080" w:rsidR="00CC6684" w:rsidRPr="00B275E2" w:rsidRDefault="00CC6684" w:rsidP="007901E7">
            <w:pPr>
              <w:pStyle w:val="TableText"/>
              <w:spacing w:before="30" w:after="30"/>
              <w:rPr>
                <w:szCs w:val="18"/>
              </w:rPr>
            </w:pPr>
            <w:r w:rsidRPr="00B275E2">
              <w:rPr>
                <w:szCs w:val="18"/>
              </w:rPr>
              <w:t>Motorcycle</w:t>
            </w:r>
          </w:p>
        </w:tc>
        <w:tc>
          <w:tcPr>
            <w:tcW w:w="1434" w:type="dxa"/>
            <w:noWrap/>
          </w:tcPr>
          <w:p w14:paraId="65091CB5" w14:textId="77777777" w:rsidR="00CC6684" w:rsidRPr="00B275E2" w:rsidRDefault="00CC6684" w:rsidP="007901E7">
            <w:pPr>
              <w:pStyle w:val="TableText"/>
              <w:spacing w:before="30" w:after="30"/>
              <w:rPr>
                <w:szCs w:val="18"/>
              </w:rPr>
            </w:pPr>
            <w:r w:rsidRPr="00B275E2">
              <w:rPr>
                <w:szCs w:val="18"/>
              </w:rPr>
              <w:t>&lt;60 cc, petrol</w:t>
            </w:r>
          </w:p>
        </w:tc>
        <w:tc>
          <w:tcPr>
            <w:tcW w:w="567" w:type="dxa"/>
            <w:noWrap/>
          </w:tcPr>
          <w:p w14:paraId="65091CB6" w14:textId="77777777" w:rsidR="00CC6684" w:rsidRPr="00B275E2" w:rsidRDefault="00CC6684" w:rsidP="007901E7">
            <w:pPr>
              <w:pStyle w:val="TableText"/>
              <w:spacing w:before="30" w:after="30"/>
              <w:rPr>
                <w:szCs w:val="18"/>
              </w:rPr>
            </w:pPr>
            <w:r w:rsidRPr="00B275E2">
              <w:rPr>
                <w:szCs w:val="18"/>
              </w:rPr>
              <w:t>km</w:t>
            </w:r>
          </w:p>
        </w:tc>
        <w:tc>
          <w:tcPr>
            <w:tcW w:w="1191" w:type="dxa"/>
            <w:shd w:val="clear" w:color="auto" w:fill="D2DDE1" w:themeFill="background2"/>
            <w:noWrap/>
          </w:tcPr>
          <w:p w14:paraId="65091CB7" w14:textId="5175140B" w:rsidR="00CC6684" w:rsidRPr="00B275E2" w:rsidRDefault="00CC6684" w:rsidP="007901E7">
            <w:pPr>
              <w:pStyle w:val="TableText"/>
              <w:spacing w:before="30" w:after="30"/>
              <w:jc w:val="right"/>
              <w:rPr>
                <w:szCs w:val="18"/>
              </w:rPr>
            </w:pPr>
            <w:r w:rsidRPr="00B275E2">
              <w:rPr>
                <w:rFonts w:cs="Calibri"/>
                <w:szCs w:val="18"/>
              </w:rPr>
              <w:t>0.060</w:t>
            </w:r>
          </w:p>
        </w:tc>
        <w:tc>
          <w:tcPr>
            <w:tcW w:w="1077" w:type="dxa"/>
            <w:shd w:val="clear" w:color="auto" w:fill="auto"/>
            <w:noWrap/>
          </w:tcPr>
          <w:p w14:paraId="65091CB8" w14:textId="66EA7B30" w:rsidR="00CC6684" w:rsidRPr="00B275E2" w:rsidRDefault="00CC6684" w:rsidP="007901E7">
            <w:pPr>
              <w:pStyle w:val="TableText"/>
              <w:spacing w:before="30" w:after="30"/>
              <w:jc w:val="right"/>
              <w:rPr>
                <w:szCs w:val="18"/>
              </w:rPr>
            </w:pPr>
            <w:r w:rsidRPr="00B275E2">
              <w:rPr>
                <w:rFonts w:cs="Calibri"/>
                <w:szCs w:val="18"/>
              </w:rPr>
              <w:t>0.058</w:t>
            </w:r>
          </w:p>
        </w:tc>
        <w:tc>
          <w:tcPr>
            <w:tcW w:w="1021" w:type="dxa"/>
            <w:shd w:val="clear" w:color="auto" w:fill="auto"/>
            <w:noWrap/>
          </w:tcPr>
          <w:p w14:paraId="65091CB9" w14:textId="1E8E5D91" w:rsidR="00CC6684" w:rsidRPr="00B275E2" w:rsidRDefault="00CC6684" w:rsidP="007901E7">
            <w:pPr>
              <w:pStyle w:val="TableText"/>
              <w:spacing w:before="30" w:after="30"/>
              <w:jc w:val="right"/>
              <w:rPr>
                <w:szCs w:val="18"/>
              </w:rPr>
            </w:pPr>
            <w:r w:rsidRPr="00B275E2">
              <w:rPr>
                <w:rFonts w:cs="Calibri"/>
                <w:szCs w:val="18"/>
              </w:rPr>
              <w:t>0.001</w:t>
            </w:r>
          </w:p>
        </w:tc>
        <w:tc>
          <w:tcPr>
            <w:tcW w:w="1077" w:type="dxa"/>
            <w:shd w:val="clear" w:color="auto" w:fill="auto"/>
            <w:noWrap/>
          </w:tcPr>
          <w:p w14:paraId="65091CBA" w14:textId="0F66D8B0" w:rsidR="00CC6684" w:rsidRPr="00B275E2" w:rsidRDefault="00CC6684" w:rsidP="007901E7">
            <w:pPr>
              <w:pStyle w:val="TableText"/>
              <w:spacing w:before="30" w:after="30"/>
              <w:jc w:val="right"/>
              <w:rPr>
                <w:szCs w:val="18"/>
              </w:rPr>
            </w:pPr>
            <w:r w:rsidRPr="00B275E2">
              <w:rPr>
                <w:rFonts w:cs="Calibri"/>
                <w:szCs w:val="18"/>
              </w:rPr>
              <w:t>0.002</w:t>
            </w:r>
          </w:p>
        </w:tc>
      </w:tr>
      <w:tr w:rsidR="007901E7" w:rsidRPr="00B275E2" w14:paraId="65091CC3" w14:textId="77777777" w:rsidTr="007901E7">
        <w:trPr>
          <w:trHeight w:val="300"/>
        </w:trPr>
        <w:tc>
          <w:tcPr>
            <w:tcW w:w="1540" w:type="dxa"/>
            <w:vMerge/>
          </w:tcPr>
          <w:p w14:paraId="65091CBC" w14:textId="77777777" w:rsidR="00CC6684" w:rsidRPr="00B275E2" w:rsidRDefault="00CC6684" w:rsidP="007901E7">
            <w:pPr>
              <w:pStyle w:val="TableText"/>
              <w:spacing w:before="30" w:after="30"/>
              <w:rPr>
                <w:szCs w:val="18"/>
              </w:rPr>
            </w:pPr>
          </w:p>
        </w:tc>
        <w:tc>
          <w:tcPr>
            <w:tcW w:w="1434" w:type="dxa"/>
            <w:noWrap/>
          </w:tcPr>
          <w:p w14:paraId="65091CBD" w14:textId="0365A0D9" w:rsidR="00CC6684" w:rsidRPr="00B275E2" w:rsidRDefault="00CC6684" w:rsidP="007901E7">
            <w:pPr>
              <w:pStyle w:val="TableText"/>
              <w:spacing w:before="30" w:after="30"/>
              <w:rPr>
                <w:szCs w:val="18"/>
              </w:rPr>
            </w:pPr>
            <w:r w:rsidRPr="00B275E2">
              <w:rPr>
                <w:szCs w:val="18"/>
              </w:rPr>
              <w:t>≥60 cc, petrol</w:t>
            </w:r>
          </w:p>
        </w:tc>
        <w:tc>
          <w:tcPr>
            <w:tcW w:w="567" w:type="dxa"/>
            <w:noWrap/>
          </w:tcPr>
          <w:p w14:paraId="65091CBE" w14:textId="77777777" w:rsidR="00CC6684" w:rsidRPr="00B275E2" w:rsidRDefault="00CC6684" w:rsidP="007901E7">
            <w:pPr>
              <w:pStyle w:val="TableText"/>
              <w:spacing w:before="30" w:after="30"/>
              <w:rPr>
                <w:szCs w:val="18"/>
              </w:rPr>
            </w:pPr>
            <w:r w:rsidRPr="00B275E2">
              <w:rPr>
                <w:szCs w:val="18"/>
              </w:rPr>
              <w:t>km</w:t>
            </w:r>
          </w:p>
        </w:tc>
        <w:tc>
          <w:tcPr>
            <w:tcW w:w="1191" w:type="dxa"/>
            <w:shd w:val="clear" w:color="auto" w:fill="D2DDE1" w:themeFill="background2"/>
            <w:noWrap/>
          </w:tcPr>
          <w:p w14:paraId="65091CBF" w14:textId="71B73A6B" w:rsidR="00CC6684" w:rsidRPr="00B275E2" w:rsidRDefault="00CC6684" w:rsidP="007901E7">
            <w:pPr>
              <w:pStyle w:val="TableText"/>
              <w:spacing w:before="30" w:after="30"/>
              <w:jc w:val="right"/>
              <w:rPr>
                <w:szCs w:val="18"/>
              </w:rPr>
            </w:pPr>
            <w:r w:rsidRPr="00B275E2">
              <w:rPr>
                <w:rFonts w:cs="Calibri"/>
                <w:szCs w:val="18"/>
              </w:rPr>
              <w:t>0.121</w:t>
            </w:r>
          </w:p>
        </w:tc>
        <w:tc>
          <w:tcPr>
            <w:tcW w:w="1077" w:type="dxa"/>
            <w:shd w:val="clear" w:color="auto" w:fill="auto"/>
            <w:noWrap/>
          </w:tcPr>
          <w:p w14:paraId="65091CC0" w14:textId="18ABF922" w:rsidR="00CC6684" w:rsidRPr="00B275E2" w:rsidRDefault="00CC6684" w:rsidP="007901E7">
            <w:pPr>
              <w:pStyle w:val="TableText"/>
              <w:spacing w:before="30" w:after="30"/>
              <w:jc w:val="right"/>
              <w:rPr>
                <w:szCs w:val="18"/>
              </w:rPr>
            </w:pPr>
            <w:r w:rsidRPr="00B275E2">
              <w:rPr>
                <w:rFonts w:cs="Calibri"/>
                <w:szCs w:val="18"/>
              </w:rPr>
              <w:t>0.115</w:t>
            </w:r>
          </w:p>
        </w:tc>
        <w:tc>
          <w:tcPr>
            <w:tcW w:w="1021" w:type="dxa"/>
            <w:shd w:val="clear" w:color="auto" w:fill="auto"/>
            <w:noWrap/>
          </w:tcPr>
          <w:p w14:paraId="65091CC1" w14:textId="35E245AD" w:rsidR="00CC6684" w:rsidRPr="00B275E2" w:rsidRDefault="00CC6684" w:rsidP="007901E7">
            <w:pPr>
              <w:pStyle w:val="TableText"/>
              <w:spacing w:before="30" w:after="30"/>
              <w:jc w:val="right"/>
              <w:rPr>
                <w:szCs w:val="18"/>
              </w:rPr>
            </w:pPr>
            <w:r w:rsidRPr="00B275E2">
              <w:rPr>
                <w:rFonts w:cs="Calibri"/>
                <w:szCs w:val="18"/>
              </w:rPr>
              <w:t>0.001</w:t>
            </w:r>
          </w:p>
        </w:tc>
        <w:tc>
          <w:tcPr>
            <w:tcW w:w="1077" w:type="dxa"/>
            <w:shd w:val="clear" w:color="auto" w:fill="auto"/>
            <w:noWrap/>
          </w:tcPr>
          <w:p w14:paraId="65091CC2" w14:textId="0C0FDC98" w:rsidR="00CC6684" w:rsidRPr="00B275E2" w:rsidRDefault="00CC6684" w:rsidP="007901E7">
            <w:pPr>
              <w:pStyle w:val="TableText"/>
              <w:spacing w:before="30" w:after="30"/>
              <w:jc w:val="right"/>
              <w:rPr>
                <w:szCs w:val="18"/>
              </w:rPr>
            </w:pPr>
            <w:r w:rsidRPr="00B275E2">
              <w:rPr>
                <w:rFonts w:cs="Calibri"/>
                <w:szCs w:val="18"/>
              </w:rPr>
              <w:t>0.004</w:t>
            </w:r>
          </w:p>
        </w:tc>
      </w:tr>
      <w:tr w:rsidR="007901E7" w:rsidRPr="00B275E2" w14:paraId="65091CCB" w14:textId="77777777" w:rsidTr="007901E7">
        <w:trPr>
          <w:trHeight w:val="300"/>
        </w:trPr>
        <w:tc>
          <w:tcPr>
            <w:tcW w:w="1540" w:type="dxa"/>
            <w:vMerge/>
          </w:tcPr>
          <w:p w14:paraId="65091CC4" w14:textId="77777777" w:rsidR="00CC6684" w:rsidRPr="00B275E2" w:rsidRDefault="00CC6684" w:rsidP="007901E7">
            <w:pPr>
              <w:pStyle w:val="TableText"/>
              <w:spacing w:before="30" w:after="30"/>
              <w:rPr>
                <w:szCs w:val="18"/>
              </w:rPr>
            </w:pPr>
          </w:p>
        </w:tc>
        <w:tc>
          <w:tcPr>
            <w:tcW w:w="1434" w:type="dxa"/>
            <w:noWrap/>
          </w:tcPr>
          <w:p w14:paraId="65091CC5" w14:textId="430E2958" w:rsidR="00CC6684" w:rsidRPr="00B275E2" w:rsidRDefault="00CC6684" w:rsidP="007901E7">
            <w:pPr>
              <w:pStyle w:val="TableText"/>
              <w:spacing w:before="30" w:after="30"/>
              <w:rPr>
                <w:szCs w:val="18"/>
              </w:rPr>
            </w:pPr>
            <w:r w:rsidRPr="00B275E2">
              <w:rPr>
                <w:szCs w:val="18"/>
              </w:rPr>
              <w:t>&lt;60 cc, electricity</w:t>
            </w:r>
          </w:p>
        </w:tc>
        <w:tc>
          <w:tcPr>
            <w:tcW w:w="567" w:type="dxa"/>
            <w:noWrap/>
          </w:tcPr>
          <w:p w14:paraId="65091CC6" w14:textId="77777777" w:rsidR="00CC6684" w:rsidRPr="00B275E2" w:rsidRDefault="00CC6684" w:rsidP="007901E7">
            <w:pPr>
              <w:pStyle w:val="TableText"/>
              <w:spacing w:before="30" w:after="30"/>
              <w:rPr>
                <w:szCs w:val="18"/>
              </w:rPr>
            </w:pPr>
            <w:r w:rsidRPr="00B275E2">
              <w:rPr>
                <w:szCs w:val="18"/>
              </w:rPr>
              <w:t>km</w:t>
            </w:r>
          </w:p>
        </w:tc>
        <w:tc>
          <w:tcPr>
            <w:tcW w:w="1191" w:type="dxa"/>
            <w:shd w:val="clear" w:color="auto" w:fill="D2DDE1" w:themeFill="background2"/>
            <w:noWrap/>
          </w:tcPr>
          <w:p w14:paraId="65091CC7" w14:textId="0C1DB6D1" w:rsidR="00CC6684" w:rsidRPr="00B275E2" w:rsidRDefault="00CC6684" w:rsidP="007901E7">
            <w:pPr>
              <w:pStyle w:val="TableText"/>
              <w:spacing w:before="30" w:after="30"/>
              <w:jc w:val="right"/>
              <w:rPr>
                <w:szCs w:val="18"/>
              </w:rPr>
            </w:pPr>
            <w:r w:rsidRPr="00B275E2">
              <w:rPr>
                <w:rFonts w:cs="Calibri"/>
                <w:szCs w:val="18"/>
              </w:rPr>
              <w:t>0.005</w:t>
            </w:r>
          </w:p>
        </w:tc>
        <w:tc>
          <w:tcPr>
            <w:tcW w:w="1077" w:type="dxa"/>
            <w:shd w:val="clear" w:color="auto" w:fill="auto"/>
            <w:noWrap/>
          </w:tcPr>
          <w:p w14:paraId="65091CC8" w14:textId="3DC0ECA7" w:rsidR="00CC6684" w:rsidRPr="00B275E2" w:rsidRDefault="00CC6684" w:rsidP="007901E7">
            <w:pPr>
              <w:pStyle w:val="TableText"/>
              <w:spacing w:before="30" w:after="30"/>
              <w:jc w:val="right"/>
              <w:rPr>
                <w:szCs w:val="18"/>
              </w:rPr>
            </w:pPr>
            <w:r w:rsidRPr="00B275E2">
              <w:rPr>
                <w:rFonts w:cs="Calibri"/>
                <w:szCs w:val="18"/>
              </w:rPr>
              <w:t>0.004</w:t>
            </w:r>
          </w:p>
        </w:tc>
        <w:tc>
          <w:tcPr>
            <w:tcW w:w="1021" w:type="dxa"/>
            <w:shd w:val="clear" w:color="auto" w:fill="auto"/>
            <w:noWrap/>
          </w:tcPr>
          <w:p w14:paraId="65091CC9" w14:textId="163F743F" w:rsidR="00CC6684" w:rsidRPr="00B275E2" w:rsidRDefault="00CC6684" w:rsidP="007901E7">
            <w:pPr>
              <w:pStyle w:val="TableText"/>
              <w:spacing w:before="30" w:after="30"/>
              <w:jc w:val="right"/>
              <w:rPr>
                <w:szCs w:val="18"/>
              </w:rPr>
            </w:pPr>
            <w:r w:rsidRPr="00B275E2">
              <w:rPr>
                <w:rFonts w:cs="Calibri"/>
                <w:szCs w:val="18"/>
              </w:rPr>
              <w:t>0.0002</w:t>
            </w:r>
          </w:p>
        </w:tc>
        <w:tc>
          <w:tcPr>
            <w:tcW w:w="1077" w:type="dxa"/>
            <w:shd w:val="clear" w:color="auto" w:fill="auto"/>
            <w:noWrap/>
          </w:tcPr>
          <w:p w14:paraId="65091CCA" w14:textId="18A62171" w:rsidR="00CC6684" w:rsidRPr="00B275E2" w:rsidRDefault="00CC6684" w:rsidP="007901E7">
            <w:pPr>
              <w:pStyle w:val="TableText"/>
              <w:spacing w:before="30" w:after="30"/>
              <w:jc w:val="right"/>
              <w:rPr>
                <w:szCs w:val="18"/>
              </w:rPr>
            </w:pPr>
            <w:r w:rsidRPr="00B275E2">
              <w:rPr>
                <w:rFonts w:cs="Calibri"/>
                <w:szCs w:val="18"/>
              </w:rPr>
              <w:t>0.00001</w:t>
            </w:r>
          </w:p>
        </w:tc>
      </w:tr>
      <w:tr w:rsidR="007901E7" w:rsidRPr="00B275E2" w14:paraId="65091CD3" w14:textId="77777777" w:rsidTr="007901E7">
        <w:trPr>
          <w:trHeight w:val="300"/>
        </w:trPr>
        <w:tc>
          <w:tcPr>
            <w:tcW w:w="1540" w:type="dxa"/>
            <w:vMerge/>
          </w:tcPr>
          <w:p w14:paraId="65091CCC" w14:textId="77777777" w:rsidR="00CC6684" w:rsidRPr="00B275E2" w:rsidRDefault="00CC6684" w:rsidP="007901E7">
            <w:pPr>
              <w:pStyle w:val="TableText"/>
              <w:spacing w:before="30" w:after="30"/>
              <w:rPr>
                <w:szCs w:val="18"/>
              </w:rPr>
            </w:pPr>
          </w:p>
        </w:tc>
        <w:tc>
          <w:tcPr>
            <w:tcW w:w="1434" w:type="dxa"/>
            <w:noWrap/>
          </w:tcPr>
          <w:p w14:paraId="65091CCD" w14:textId="091A9F43" w:rsidR="00CC6684" w:rsidRPr="00B275E2" w:rsidRDefault="00CC6684" w:rsidP="007901E7">
            <w:pPr>
              <w:pStyle w:val="TableText"/>
              <w:spacing w:before="30" w:after="30"/>
              <w:rPr>
                <w:szCs w:val="18"/>
              </w:rPr>
            </w:pPr>
            <w:r w:rsidRPr="00B275E2">
              <w:rPr>
                <w:szCs w:val="18"/>
              </w:rPr>
              <w:t>≥60 cc, electricity</w:t>
            </w:r>
          </w:p>
        </w:tc>
        <w:tc>
          <w:tcPr>
            <w:tcW w:w="567" w:type="dxa"/>
            <w:noWrap/>
          </w:tcPr>
          <w:p w14:paraId="65091CCE" w14:textId="77777777" w:rsidR="00CC6684" w:rsidRPr="00B275E2" w:rsidRDefault="00CC6684" w:rsidP="007901E7">
            <w:pPr>
              <w:pStyle w:val="TableText"/>
              <w:spacing w:before="30" w:after="30"/>
              <w:rPr>
                <w:szCs w:val="18"/>
              </w:rPr>
            </w:pPr>
            <w:r w:rsidRPr="00B275E2">
              <w:rPr>
                <w:szCs w:val="18"/>
              </w:rPr>
              <w:t>km</w:t>
            </w:r>
          </w:p>
        </w:tc>
        <w:tc>
          <w:tcPr>
            <w:tcW w:w="1191" w:type="dxa"/>
            <w:shd w:val="clear" w:color="auto" w:fill="D2DDE1" w:themeFill="background2"/>
            <w:noWrap/>
          </w:tcPr>
          <w:p w14:paraId="65091CCF" w14:textId="7CA0B9FC" w:rsidR="00CC6684" w:rsidRPr="00B275E2" w:rsidRDefault="00CC6684" w:rsidP="007901E7">
            <w:pPr>
              <w:pStyle w:val="TableText"/>
              <w:spacing w:before="30" w:after="30"/>
              <w:jc w:val="right"/>
              <w:rPr>
                <w:szCs w:val="18"/>
              </w:rPr>
            </w:pPr>
            <w:r w:rsidRPr="00B275E2">
              <w:rPr>
                <w:rFonts w:cs="Calibri"/>
                <w:szCs w:val="18"/>
              </w:rPr>
              <w:t>0.009</w:t>
            </w:r>
          </w:p>
        </w:tc>
        <w:tc>
          <w:tcPr>
            <w:tcW w:w="1077" w:type="dxa"/>
            <w:shd w:val="clear" w:color="auto" w:fill="auto"/>
            <w:noWrap/>
          </w:tcPr>
          <w:p w14:paraId="65091CD0" w14:textId="0EFC7361" w:rsidR="00CC6684" w:rsidRPr="00B275E2" w:rsidRDefault="00CC6684" w:rsidP="007901E7">
            <w:pPr>
              <w:pStyle w:val="TableText"/>
              <w:spacing w:before="30" w:after="30"/>
              <w:jc w:val="right"/>
              <w:rPr>
                <w:szCs w:val="18"/>
              </w:rPr>
            </w:pPr>
            <w:r w:rsidRPr="00B275E2">
              <w:rPr>
                <w:rFonts w:cs="Calibri"/>
                <w:szCs w:val="18"/>
              </w:rPr>
              <w:t>0.009</w:t>
            </w:r>
          </w:p>
        </w:tc>
        <w:tc>
          <w:tcPr>
            <w:tcW w:w="1021" w:type="dxa"/>
            <w:shd w:val="clear" w:color="auto" w:fill="auto"/>
            <w:noWrap/>
          </w:tcPr>
          <w:p w14:paraId="65091CD1" w14:textId="73541B28" w:rsidR="00CC6684" w:rsidRPr="00B275E2" w:rsidRDefault="00CC6684" w:rsidP="007901E7">
            <w:pPr>
              <w:pStyle w:val="TableText"/>
              <w:spacing w:before="30" w:after="30"/>
              <w:jc w:val="right"/>
              <w:rPr>
                <w:szCs w:val="18"/>
              </w:rPr>
            </w:pPr>
            <w:r w:rsidRPr="00B275E2">
              <w:rPr>
                <w:rFonts w:cs="Calibri"/>
                <w:szCs w:val="18"/>
              </w:rPr>
              <w:t>0.0004</w:t>
            </w:r>
          </w:p>
        </w:tc>
        <w:tc>
          <w:tcPr>
            <w:tcW w:w="1077" w:type="dxa"/>
            <w:shd w:val="clear" w:color="auto" w:fill="auto"/>
            <w:noWrap/>
          </w:tcPr>
          <w:p w14:paraId="65091CD2" w14:textId="09433F15" w:rsidR="00CC6684" w:rsidRPr="00B275E2" w:rsidRDefault="00CC6684" w:rsidP="007901E7">
            <w:pPr>
              <w:pStyle w:val="TableText"/>
              <w:spacing w:before="30" w:after="30"/>
              <w:jc w:val="right"/>
              <w:rPr>
                <w:szCs w:val="18"/>
              </w:rPr>
            </w:pPr>
            <w:r w:rsidRPr="00B275E2">
              <w:rPr>
                <w:rFonts w:cs="Calibri"/>
                <w:szCs w:val="18"/>
              </w:rPr>
              <w:t>0.00001</w:t>
            </w:r>
          </w:p>
        </w:tc>
      </w:tr>
    </w:tbl>
    <w:p w14:paraId="573B0C50" w14:textId="03165AEA" w:rsidR="008B3986" w:rsidRPr="00B275E2" w:rsidRDefault="007C42DD" w:rsidP="007F0B1E">
      <w:pPr>
        <w:pStyle w:val="Note"/>
      </w:pPr>
      <w:bookmarkStart w:id="326" w:name="_Ref529968848"/>
      <w:r w:rsidRPr="00B275E2">
        <w:t>Note</w:t>
      </w:r>
      <w:r w:rsidR="003438E6" w:rsidRPr="00B275E2">
        <w:t>: T</w:t>
      </w:r>
      <w:r w:rsidRPr="00B275E2">
        <w:t xml:space="preserve">hese numbers are rounded to three decimal places unless the number </w:t>
      </w:r>
      <w:r w:rsidR="00BA31FD" w:rsidRPr="00B275E2">
        <w:t>is significantly small</w:t>
      </w:r>
      <w:r w:rsidRPr="00B275E2">
        <w:t>.</w:t>
      </w:r>
      <w:r w:rsidR="008B3986" w:rsidRPr="00B275E2">
        <w:t xml:space="preserve"> </w:t>
      </w:r>
    </w:p>
    <w:p w14:paraId="65091CD5" w14:textId="1EABD696" w:rsidR="001D1CD6" w:rsidRPr="00B275E2" w:rsidRDefault="004837A7" w:rsidP="007901E7">
      <w:pPr>
        <w:pStyle w:val="Tableheading"/>
      </w:pPr>
      <w:bookmarkStart w:id="327" w:name="_Ref55220332"/>
      <w:bookmarkStart w:id="328" w:name="table18"/>
      <w:bookmarkStart w:id="329" w:name="_Ref532803223"/>
      <w:bookmarkStart w:id="330" w:name="_Toc111536624"/>
      <w:r w:rsidRPr="00B275E2">
        <w:t xml:space="preserve">Table </w:t>
      </w:r>
      <w:r w:rsidRPr="00B275E2">
        <w:fldChar w:fldCharType="begin"/>
      </w:r>
      <w:r w:rsidRPr="00B275E2">
        <w:instrText>SEQ Table \* ARABIC</w:instrText>
      </w:r>
      <w:r w:rsidRPr="00B275E2">
        <w:fldChar w:fldCharType="separate"/>
      </w:r>
      <w:r w:rsidR="003E141C" w:rsidRPr="00B275E2">
        <w:t>19</w:t>
      </w:r>
      <w:r w:rsidRPr="00B275E2">
        <w:fldChar w:fldCharType="end"/>
      </w:r>
      <w:bookmarkEnd w:id="327"/>
      <w:bookmarkEnd w:id="328"/>
      <w:r w:rsidRPr="00B275E2">
        <w:t>:</w:t>
      </w:r>
      <w:r w:rsidR="00D61811" w:rsidRPr="00B275E2">
        <w:tab/>
      </w:r>
      <w:r w:rsidRPr="00B275E2">
        <w:t>Post-2015 vehicle fleet emissions per km travelled</w:t>
      </w:r>
      <w:bookmarkEnd w:id="326"/>
      <w:bookmarkEnd w:id="329"/>
      <w:bookmarkEnd w:id="330"/>
    </w:p>
    <w:tbl>
      <w:tblPr>
        <w:tblStyle w:val="TableGrid"/>
        <w:tblW w:w="8504"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ayout w:type="fixed"/>
        <w:tblLook w:val="04A0" w:firstRow="1" w:lastRow="0" w:firstColumn="1" w:lastColumn="0" w:noHBand="0" w:noVBand="1"/>
      </w:tblPr>
      <w:tblGrid>
        <w:gridCol w:w="1725"/>
        <w:gridCol w:w="1523"/>
        <w:gridCol w:w="635"/>
        <w:gridCol w:w="1265"/>
        <w:gridCol w:w="1103"/>
        <w:gridCol w:w="1102"/>
        <w:gridCol w:w="1151"/>
      </w:tblGrid>
      <w:tr w:rsidR="00F85347" w:rsidRPr="00B275E2" w14:paraId="65091CDC" w14:textId="77777777" w:rsidTr="00BC4F8C">
        <w:trPr>
          <w:tblHeader/>
        </w:trPr>
        <w:tc>
          <w:tcPr>
            <w:tcW w:w="3202" w:type="dxa"/>
            <w:gridSpan w:val="2"/>
            <w:shd w:val="clear" w:color="auto" w:fill="1B556B"/>
            <w:noWrap/>
            <w:vAlign w:val="bottom"/>
            <w:hideMark/>
          </w:tcPr>
          <w:p w14:paraId="65091CD6" w14:textId="77777777" w:rsidR="00B405B1" w:rsidRPr="00B275E2" w:rsidRDefault="00B405B1" w:rsidP="007F0B1E">
            <w:pPr>
              <w:pStyle w:val="TableText"/>
              <w:spacing w:before="40" w:after="40"/>
              <w:rPr>
                <w:b/>
                <w:color w:val="FFFFFF" w:themeColor="background1"/>
                <w:szCs w:val="18"/>
              </w:rPr>
            </w:pPr>
            <w:r w:rsidRPr="00B275E2">
              <w:rPr>
                <w:b/>
                <w:color w:val="FFFFFF" w:themeColor="background1"/>
                <w:szCs w:val="18"/>
              </w:rPr>
              <w:t>Emission source</w:t>
            </w:r>
          </w:p>
        </w:tc>
        <w:tc>
          <w:tcPr>
            <w:tcW w:w="626" w:type="dxa"/>
            <w:shd w:val="clear" w:color="auto" w:fill="1B556B"/>
            <w:noWrap/>
            <w:vAlign w:val="bottom"/>
            <w:hideMark/>
          </w:tcPr>
          <w:p w14:paraId="65091CD7" w14:textId="77777777" w:rsidR="00B405B1" w:rsidRPr="00B275E2" w:rsidRDefault="00B405B1" w:rsidP="007F0B1E">
            <w:pPr>
              <w:pStyle w:val="TableText"/>
              <w:spacing w:before="40" w:after="40"/>
              <w:rPr>
                <w:b/>
                <w:color w:val="FFFFFF" w:themeColor="background1"/>
                <w:szCs w:val="18"/>
              </w:rPr>
            </w:pPr>
            <w:r w:rsidRPr="00B275E2">
              <w:rPr>
                <w:b/>
                <w:color w:val="FFFFFF" w:themeColor="background1"/>
                <w:szCs w:val="18"/>
              </w:rPr>
              <w:t>Unit</w:t>
            </w:r>
          </w:p>
        </w:tc>
        <w:tc>
          <w:tcPr>
            <w:tcW w:w="1247" w:type="dxa"/>
            <w:shd w:val="clear" w:color="auto" w:fill="D2DDE1" w:themeFill="background2"/>
            <w:noWrap/>
            <w:vAlign w:val="bottom"/>
            <w:hideMark/>
          </w:tcPr>
          <w:p w14:paraId="65091CD8" w14:textId="66727559" w:rsidR="00B405B1" w:rsidRPr="00B275E2" w:rsidRDefault="00B405B1" w:rsidP="003C7831">
            <w:pPr>
              <w:pStyle w:val="TableText"/>
              <w:spacing w:before="40" w:after="40"/>
              <w:jc w:val="right"/>
              <w:rPr>
                <w:b/>
                <w:szCs w:val="18"/>
              </w:rPr>
            </w:pPr>
            <w:r w:rsidRPr="00B275E2">
              <w:rPr>
                <w:b/>
                <w:szCs w:val="18"/>
              </w:rPr>
              <w:t>kg CO</w:t>
            </w:r>
            <w:r w:rsidRPr="00B275E2">
              <w:rPr>
                <w:b/>
                <w:szCs w:val="18"/>
                <w:vertAlign w:val="subscript"/>
              </w:rPr>
              <w:t>2</w:t>
            </w:r>
            <w:r w:rsidRPr="00B275E2">
              <w:rPr>
                <w:b/>
                <w:szCs w:val="18"/>
              </w:rPr>
              <w:t>-e/unit</w:t>
            </w:r>
          </w:p>
        </w:tc>
        <w:tc>
          <w:tcPr>
            <w:tcW w:w="1087" w:type="dxa"/>
            <w:shd w:val="clear" w:color="auto" w:fill="1B556B"/>
            <w:noWrap/>
            <w:vAlign w:val="bottom"/>
            <w:hideMark/>
          </w:tcPr>
          <w:p w14:paraId="65091CD9" w14:textId="4BD959DC" w:rsidR="00503C5C" w:rsidRPr="00B275E2" w:rsidRDefault="00B405B1" w:rsidP="003C7831">
            <w:pPr>
              <w:pStyle w:val="TableText"/>
              <w:spacing w:before="40" w:after="40"/>
              <w:jc w:val="right"/>
              <w:rPr>
                <w:b/>
                <w:color w:val="FFFFFF" w:themeColor="background1"/>
                <w:szCs w:val="18"/>
              </w:rPr>
            </w:pPr>
            <w:r w:rsidRPr="00B275E2">
              <w:rPr>
                <w:b/>
                <w:color w:val="FFFFFF" w:themeColor="background1"/>
                <w:szCs w:val="18"/>
              </w:rPr>
              <w:t>kg CO</w:t>
            </w:r>
            <w:r w:rsidRPr="00B275E2">
              <w:rPr>
                <w:b/>
                <w:color w:val="FFFFFF" w:themeColor="background1"/>
                <w:szCs w:val="18"/>
                <w:vertAlign w:val="subscript"/>
              </w:rPr>
              <w:t>2</w:t>
            </w:r>
            <w:r w:rsidR="00AC7B27" w:rsidRPr="00B275E2">
              <w:rPr>
                <w:b/>
                <w:color w:val="FFFFFF" w:themeColor="background1"/>
                <w:szCs w:val="18"/>
              </w:rPr>
              <w:t>/unit</w:t>
            </w:r>
            <w:r w:rsidR="003240AB" w:rsidRPr="00B275E2">
              <w:rPr>
                <w:b/>
                <w:color w:val="FFFFFF" w:themeColor="background1"/>
                <w:szCs w:val="18"/>
              </w:rPr>
              <w:t xml:space="preserve"> </w:t>
            </w:r>
            <w:r w:rsidR="00141B6F" w:rsidRPr="00B275E2">
              <w:rPr>
                <w:b/>
                <w:bCs/>
                <w:color w:val="FFFFFF" w:themeColor="background1"/>
                <w:szCs w:val="18"/>
              </w:rPr>
              <w:t>(kg CO</w:t>
            </w:r>
            <w:r w:rsidR="00141B6F" w:rsidRPr="00B275E2">
              <w:rPr>
                <w:b/>
                <w:bCs/>
                <w:color w:val="FFFFFF" w:themeColor="background1"/>
                <w:szCs w:val="18"/>
                <w:vertAlign w:val="subscript"/>
              </w:rPr>
              <w:t>2</w:t>
            </w:r>
            <w:r w:rsidR="00141B6F" w:rsidRPr="00B275E2">
              <w:rPr>
                <w:b/>
                <w:bCs/>
                <w:color w:val="FFFFFF" w:themeColor="background1"/>
                <w:szCs w:val="18"/>
              </w:rPr>
              <w:noBreakHyphen/>
              <w:t>e)</w:t>
            </w:r>
          </w:p>
        </w:tc>
        <w:tc>
          <w:tcPr>
            <w:tcW w:w="1086" w:type="dxa"/>
            <w:shd w:val="clear" w:color="auto" w:fill="1B556B"/>
            <w:noWrap/>
            <w:vAlign w:val="bottom"/>
            <w:hideMark/>
          </w:tcPr>
          <w:p w14:paraId="65091CDA" w14:textId="59607BC4" w:rsidR="00B405B1" w:rsidRPr="00B275E2" w:rsidRDefault="0078070A" w:rsidP="003C7831">
            <w:pPr>
              <w:pStyle w:val="TableText"/>
              <w:spacing w:before="40" w:after="40"/>
              <w:jc w:val="right"/>
              <w:rPr>
                <w:b/>
                <w:color w:val="FFFFFF" w:themeColor="background1"/>
                <w:szCs w:val="18"/>
              </w:rPr>
            </w:pPr>
            <w:r w:rsidRPr="00B275E2">
              <w:rPr>
                <w:b/>
                <w:bCs/>
                <w:color w:val="FFFFFF" w:themeColor="background1"/>
                <w:szCs w:val="18"/>
              </w:rPr>
              <w:t xml:space="preserve">kg </w:t>
            </w:r>
            <w:r w:rsidR="00B405B1" w:rsidRPr="00B275E2">
              <w:rPr>
                <w:b/>
                <w:bCs/>
                <w:color w:val="FFFFFF" w:themeColor="background1"/>
                <w:szCs w:val="18"/>
              </w:rPr>
              <w:t>CH</w:t>
            </w:r>
            <w:r w:rsidR="00B405B1" w:rsidRPr="00B275E2">
              <w:rPr>
                <w:b/>
                <w:bCs/>
                <w:color w:val="FFFFFF" w:themeColor="background1"/>
                <w:szCs w:val="18"/>
                <w:vertAlign w:val="subscript"/>
              </w:rPr>
              <w:t>4</w:t>
            </w:r>
            <w:r w:rsidR="00141B6F" w:rsidRPr="00B275E2">
              <w:rPr>
                <w:rFonts w:eastAsia="Times New Roman"/>
                <w:b/>
                <w:color w:val="FFFFFF" w:themeColor="background1"/>
                <w:szCs w:val="18"/>
              </w:rPr>
              <w:t>/unit</w:t>
            </w:r>
            <w:r w:rsidR="00B405B1" w:rsidRPr="00B275E2">
              <w:rPr>
                <w:b/>
                <w:bCs/>
                <w:color w:val="FFFFFF" w:themeColor="background1"/>
                <w:szCs w:val="18"/>
              </w:rPr>
              <w:t xml:space="preserve"> </w:t>
            </w:r>
            <w:r w:rsidRPr="00B275E2">
              <w:rPr>
                <w:b/>
                <w:bCs/>
                <w:color w:val="FFFFFF" w:themeColor="background1"/>
                <w:szCs w:val="18"/>
              </w:rPr>
              <w:t>(</w:t>
            </w:r>
            <w:r w:rsidR="00141B6F" w:rsidRPr="00B275E2">
              <w:rPr>
                <w:b/>
                <w:bCs/>
                <w:color w:val="FFFFFF" w:themeColor="background1"/>
                <w:szCs w:val="18"/>
              </w:rPr>
              <w:t xml:space="preserve">kg </w:t>
            </w:r>
            <w:r w:rsidR="00B405B1" w:rsidRPr="00B275E2">
              <w:rPr>
                <w:b/>
                <w:bCs/>
                <w:color w:val="FFFFFF" w:themeColor="background1"/>
                <w:szCs w:val="18"/>
              </w:rPr>
              <w:t>CO</w:t>
            </w:r>
            <w:r w:rsidR="00B405B1" w:rsidRPr="00B275E2">
              <w:rPr>
                <w:b/>
                <w:bCs/>
                <w:color w:val="FFFFFF" w:themeColor="background1"/>
                <w:szCs w:val="18"/>
                <w:vertAlign w:val="subscript"/>
              </w:rPr>
              <w:t>2</w:t>
            </w:r>
            <w:r w:rsidR="00503C5C" w:rsidRPr="00B275E2">
              <w:rPr>
                <w:b/>
                <w:bCs/>
                <w:color w:val="FFFFFF" w:themeColor="background1"/>
                <w:szCs w:val="18"/>
              </w:rPr>
              <w:noBreakHyphen/>
            </w:r>
            <w:r w:rsidR="00B405B1" w:rsidRPr="00B275E2">
              <w:rPr>
                <w:b/>
                <w:bCs/>
                <w:color w:val="FFFFFF" w:themeColor="background1"/>
                <w:szCs w:val="18"/>
              </w:rPr>
              <w:t>e)</w:t>
            </w:r>
          </w:p>
        </w:tc>
        <w:tc>
          <w:tcPr>
            <w:tcW w:w="1134" w:type="dxa"/>
            <w:shd w:val="clear" w:color="auto" w:fill="1B556B"/>
            <w:noWrap/>
            <w:vAlign w:val="bottom"/>
            <w:hideMark/>
          </w:tcPr>
          <w:p w14:paraId="65091CDB" w14:textId="7EC796B2" w:rsidR="00B405B1" w:rsidRPr="00B275E2" w:rsidRDefault="0078070A" w:rsidP="003C7831">
            <w:pPr>
              <w:pStyle w:val="TableText"/>
              <w:spacing w:before="40" w:after="40"/>
              <w:jc w:val="right"/>
              <w:rPr>
                <w:b/>
                <w:color w:val="FFFFFF" w:themeColor="background1"/>
                <w:szCs w:val="18"/>
              </w:rPr>
            </w:pPr>
            <w:r w:rsidRPr="00B275E2">
              <w:rPr>
                <w:b/>
                <w:bCs/>
                <w:color w:val="FFFFFF" w:themeColor="background1"/>
                <w:szCs w:val="18"/>
              </w:rPr>
              <w:t xml:space="preserve">kg </w:t>
            </w:r>
            <w:r w:rsidR="00B405B1" w:rsidRPr="00B275E2">
              <w:rPr>
                <w:b/>
                <w:bCs/>
                <w:color w:val="FFFFFF" w:themeColor="background1"/>
                <w:szCs w:val="18"/>
              </w:rPr>
              <w:t>N</w:t>
            </w:r>
            <w:r w:rsidR="00B405B1" w:rsidRPr="00B275E2">
              <w:rPr>
                <w:b/>
                <w:bCs/>
                <w:color w:val="FFFFFF" w:themeColor="background1"/>
                <w:szCs w:val="18"/>
                <w:vertAlign w:val="subscript"/>
              </w:rPr>
              <w:t>2</w:t>
            </w:r>
            <w:r w:rsidR="00B405B1" w:rsidRPr="00B275E2">
              <w:rPr>
                <w:b/>
                <w:bCs/>
                <w:color w:val="FFFFFF" w:themeColor="background1"/>
                <w:szCs w:val="18"/>
              </w:rPr>
              <w:t>O</w:t>
            </w:r>
            <w:r w:rsidR="00141B6F" w:rsidRPr="00B275E2">
              <w:rPr>
                <w:rFonts w:eastAsia="Times New Roman"/>
                <w:b/>
                <w:color w:val="FFFFFF" w:themeColor="background1"/>
                <w:szCs w:val="18"/>
              </w:rPr>
              <w:t>/unit</w:t>
            </w:r>
            <w:r w:rsidR="00B405B1" w:rsidRPr="00B275E2">
              <w:rPr>
                <w:b/>
                <w:bCs/>
                <w:color w:val="FFFFFF" w:themeColor="background1"/>
                <w:szCs w:val="18"/>
              </w:rPr>
              <w:t xml:space="preserve"> </w:t>
            </w:r>
            <w:r w:rsidRPr="00B275E2">
              <w:rPr>
                <w:b/>
                <w:bCs/>
                <w:color w:val="FFFFFF" w:themeColor="background1"/>
                <w:szCs w:val="18"/>
              </w:rPr>
              <w:t>(</w:t>
            </w:r>
            <w:r w:rsidR="00141B6F" w:rsidRPr="00B275E2">
              <w:rPr>
                <w:b/>
                <w:bCs/>
                <w:color w:val="FFFFFF" w:themeColor="background1"/>
                <w:szCs w:val="18"/>
              </w:rPr>
              <w:t xml:space="preserve">kg </w:t>
            </w:r>
            <w:r w:rsidR="00B405B1" w:rsidRPr="00B275E2">
              <w:rPr>
                <w:b/>
                <w:bCs/>
                <w:color w:val="FFFFFF" w:themeColor="background1"/>
                <w:szCs w:val="18"/>
              </w:rPr>
              <w:t>CO</w:t>
            </w:r>
            <w:r w:rsidR="00B405B1" w:rsidRPr="00B275E2">
              <w:rPr>
                <w:b/>
                <w:bCs/>
                <w:color w:val="FFFFFF" w:themeColor="background1"/>
                <w:szCs w:val="18"/>
                <w:vertAlign w:val="subscript"/>
              </w:rPr>
              <w:t>2</w:t>
            </w:r>
            <w:r w:rsidR="00B405B1" w:rsidRPr="00B275E2">
              <w:rPr>
                <w:b/>
                <w:bCs/>
                <w:color w:val="FFFFFF" w:themeColor="background1"/>
                <w:szCs w:val="18"/>
              </w:rPr>
              <w:t>-</w:t>
            </w:r>
            <w:r w:rsidR="00141B6F" w:rsidRPr="00B275E2">
              <w:rPr>
                <w:b/>
                <w:bCs/>
                <w:color w:val="FFFFFF" w:themeColor="background1"/>
                <w:szCs w:val="18"/>
              </w:rPr>
              <w:t>e</w:t>
            </w:r>
            <w:r w:rsidR="00B405B1" w:rsidRPr="00B275E2">
              <w:rPr>
                <w:b/>
                <w:bCs/>
                <w:color w:val="FFFFFF" w:themeColor="background1"/>
                <w:szCs w:val="18"/>
              </w:rPr>
              <w:t>)</w:t>
            </w:r>
          </w:p>
        </w:tc>
      </w:tr>
      <w:tr w:rsidR="009312EC" w:rsidRPr="00B275E2" w14:paraId="65091CE4" w14:textId="77777777" w:rsidTr="00BC4F8C">
        <w:tc>
          <w:tcPr>
            <w:tcW w:w="1701" w:type="dxa"/>
            <w:vMerge w:val="restart"/>
            <w:hideMark/>
          </w:tcPr>
          <w:p w14:paraId="65091CDD" w14:textId="77777777" w:rsidR="009312EC" w:rsidRPr="00B275E2" w:rsidRDefault="009312EC" w:rsidP="007F0B1E">
            <w:pPr>
              <w:pStyle w:val="TableText"/>
              <w:spacing w:before="40" w:after="40"/>
              <w:rPr>
                <w:szCs w:val="18"/>
              </w:rPr>
            </w:pPr>
            <w:r w:rsidRPr="00B275E2">
              <w:rPr>
                <w:szCs w:val="18"/>
              </w:rPr>
              <w:t xml:space="preserve">Petrol vehicle </w:t>
            </w:r>
          </w:p>
        </w:tc>
        <w:tc>
          <w:tcPr>
            <w:tcW w:w="1501" w:type="dxa"/>
            <w:noWrap/>
            <w:hideMark/>
          </w:tcPr>
          <w:p w14:paraId="65091CDE" w14:textId="77777777" w:rsidR="009312EC" w:rsidRPr="00B275E2" w:rsidRDefault="009312EC" w:rsidP="007F0B1E">
            <w:pPr>
              <w:pStyle w:val="TableText"/>
              <w:spacing w:before="40" w:after="40"/>
              <w:rPr>
                <w:szCs w:val="18"/>
              </w:rPr>
            </w:pPr>
            <w:r w:rsidRPr="00B275E2">
              <w:rPr>
                <w:szCs w:val="18"/>
              </w:rPr>
              <w:t>&lt;1350 cc</w:t>
            </w:r>
          </w:p>
        </w:tc>
        <w:tc>
          <w:tcPr>
            <w:tcW w:w="626" w:type="dxa"/>
            <w:noWrap/>
            <w:hideMark/>
          </w:tcPr>
          <w:p w14:paraId="65091CDF" w14:textId="77777777" w:rsidR="009312EC" w:rsidRPr="00B275E2" w:rsidRDefault="009312EC" w:rsidP="007F0B1E">
            <w:pPr>
              <w:pStyle w:val="TableText"/>
              <w:spacing w:before="40" w:after="40"/>
              <w:rPr>
                <w:szCs w:val="18"/>
              </w:rPr>
            </w:pPr>
            <w:r w:rsidRPr="00B275E2">
              <w:rPr>
                <w:szCs w:val="18"/>
              </w:rPr>
              <w:t>km</w:t>
            </w:r>
          </w:p>
        </w:tc>
        <w:tc>
          <w:tcPr>
            <w:tcW w:w="1247" w:type="dxa"/>
            <w:shd w:val="clear" w:color="auto" w:fill="D2DDE1" w:themeFill="background2"/>
            <w:noWrap/>
          </w:tcPr>
          <w:p w14:paraId="65091CE0" w14:textId="344E2EAD" w:rsidR="009312EC" w:rsidRPr="00B275E2" w:rsidRDefault="009312EC" w:rsidP="007F0B1E">
            <w:pPr>
              <w:pStyle w:val="TableText"/>
              <w:spacing w:before="40" w:after="40"/>
              <w:jc w:val="right"/>
              <w:rPr>
                <w:szCs w:val="18"/>
              </w:rPr>
            </w:pPr>
            <w:r w:rsidRPr="00B275E2">
              <w:rPr>
                <w:rFonts w:cs="Calibri"/>
                <w:szCs w:val="18"/>
              </w:rPr>
              <w:t>0.170</w:t>
            </w:r>
          </w:p>
        </w:tc>
        <w:tc>
          <w:tcPr>
            <w:tcW w:w="1087" w:type="dxa"/>
            <w:shd w:val="clear" w:color="auto" w:fill="auto"/>
            <w:noWrap/>
          </w:tcPr>
          <w:p w14:paraId="65091CE1" w14:textId="555AF936" w:rsidR="009312EC" w:rsidRPr="00B275E2" w:rsidRDefault="009312EC" w:rsidP="007F0B1E">
            <w:pPr>
              <w:pStyle w:val="TableText"/>
              <w:spacing w:before="40" w:after="40"/>
              <w:jc w:val="right"/>
              <w:rPr>
                <w:szCs w:val="18"/>
              </w:rPr>
            </w:pPr>
            <w:r w:rsidRPr="00B275E2">
              <w:rPr>
                <w:rFonts w:cs="Calibri"/>
                <w:szCs w:val="18"/>
              </w:rPr>
              <w:t>0.162</w:t>
            </w:r>
          </w:p>
        </w:tc>
        <w:tc>
          <w:tcPr>
            <w:tcW w:w="1086" w:type="dxa"/>
            <w:shd w:val="clear" w:color="auto" w:fill="auto"/>
            <w:noWrap/>
          </w:tcPr>
          <w:p w14:paraId="65091CE2" w14:textId="04B0D1F0" w:rsidR="009312EC" w:rsidRPr="00B275E2" w:rsidRDefault="009312EC" w:rsidP="007F0B1E">
            <w:pPr>
              <w:pStyle w:val="TableText"/>
              <w:spacing w:before="40" w:after="40"/>
              <w:jc w:val="right"/>
              <w:rPr>
                <w:szCs w:val="18"/>
              </w:rPr>
            </w:pPr>
            <w:r w:rsidRPr="00B275E2">
              <w:rPr>
                <w:rFonts w:cs="Calibri"/>
                <w:szCs w:val="18"/>
              </w:rPr>
              <w:t>0.002</w:t>
            </w:r>
          </w:p>
        </w:tc>
        <w:tc>
          <w:tcPr>
            <w:tcW w:w="1134" w:type="dxa"/>
            <w:shd w:val="clear" w:color="auto" w:fill="auto"/>
            <w:noWrap/>
          </w:tcPr>
          <w:p w14:paraId="65091CE3" w14:textId="5A6286C3" w:rsidR="009312EC" w:rsidRPr="00B275E2" w:rsidRDefault="009312EC" w:rsidP="007F0B1E">
            <w:pPr>
              <w:pStyle w:val="TableText"/>
              <w:spacing w:before="40" w:after="40"/>
              <w:jc w:val="right"/>
              <w:rPr>
                <w:szCs w:val="18"/>
              </w:rPr>
            </w:pPr>
            <w:r w:rsidRPr="00B275E2">
              <w:rPr>
                <w:rFonts w:cs="Calibri"/>
                <w:szCs w:val="18"/>
              </w:rPr>
              <w:t>0.006</w:t>
            </w:r>
          </w:p>
        </w:tc>
      </w:tr>
      <w:tr w:rsidR="009312EC" w:rsidRPr="00B275E2" w14:paraId="65091CEC" w14:textId="77777777" w:rsidTr="00BC4F8C">
        <w:tc>
          <w:tcPr>
            <w:tcW w:w="1701" w:type="dxa"/>
            <w:vMerge/>
            <w:hideMark/>
          </w:tcPr>
          <w:p w14:paraId="65091CE5" w14:textId="77777777" w:rsidR="009312EC" w:rsidRPr="00B275E2" w:rsidRDefault="009312EC" w:rsidP="007F0B1E">
            <w:pPr>
              <w:pStyle w:val="TableText"/>
              <w:spacing w:before="40" w:after="40"/>
              <w:rPr>
                <w:szCs w:val="18"/>
              </w:rPr>
            </w:pPr>
          </w:p>
        </w:tc>
        <w:tc>
          <w:tcPr>
            <w:tcW w:w="1501" w:type="dxa"/>
            <w:noWrap/>
            <w:hideMark/>
          </w:tcPr>
          <w:p w14:paraId="65091CE6" w14:textId="31033A5F" w:rsidR="009312EC" w:rsidRPr="00B275E2" w:rsidRDefault="009312EC" w:rsidP="007F0B1E">
            <w:pPr>
              <w:pStyle w:val="TableText"/>
              <w:spacing w:before="40" w:after="40"/>
              <w:rPr>
                <w:szCs w:val="18"/>
              </w:rPr>
            </w:pPr>
            <w:r w:rsidRPr="00B275E2">
              <w:rPr>
                <w:szCs w:val="18"/>
              </w:rPr>
              <w:t>1350</w:t>
            </w:r>
            <w:r w:rsidRPr="00B275E2">
              <w:rPr>
                <w:rFonts w:cs="Calibri"/>
                <w:color w:val="000000"/>
                <w:szCs w:val="18"/>
              </w:rPr>
              <w:t xml:space="preserve"> -</w:t>
            </w:r>
            <w:r w:rsidRPr="00B275E2">
              <w:rPr>
                <w:szCs w:val="18"/>
              </w:rPr>
              <w:t xml:space="preserve"> &lt;1600 cc</w:t>
            </w:r>
          </w:p>
        </w:tc>
        <w:tc>
          <w:tcPr>
            <w:tcW w:w="626" w:type="dxa"/>
            <w:noWrap/>
            <w:hideMark/>
          </w:tcPr>
          <w:p w14:paraId="65091CE7" w14:textId="77777777" w:rsidR="009312EC" w:rsidRPr="00B275E2" w:rsidRDefault="009312EC" w:rsidP="007F0B1E">
            <w:pPr>
              <w:pStyle w:val="TableText"/>
              <w:spacing w:before="40" w:after="40"/>
              <w:rPr>
                <w:szCs w:val="18"/>
              </w:rPr>
            </w:pPr>
            <w:r w:rsidRPr="00B275E2">
              <w:rPr>
                <w:szCs w:val="18"/>
              </w:rPr>
              <w:t>km</w:t>
            </w:r>
          </w:p>
        </w:tc>
        <w:tc>
          <w:tcPr>
            <w:tcW w:w="1247" w:type="dxa"/>
            <w:shd w:val="clear" w:color="auto" w:fill="D2DDE1" w:themeFill="background2"/>
            <w:noWrap/>
          </w:tcPr>
          <w:p w14:paraId="65091CE8" w14:textId="657EAF3A" w:rsidR="009312EC" w:rsidRPr="00B275E2" w:rsidRDefault="009312EC" w:rsidP="007F0B1E">
            <w:pPr>
              <w:pStyle w:val="TableText"/>
              <w:spacing w:before="40" w:after="40"/>
              <w:jc w:val="right"/>
              <w:rPr>
                <w:szCs w:val="18"/>
              </w:rPr>
            </w:pPr>
            <w:r w:rsidRPr="00B275E2">
              <w:rPr>
                <w:rFonts w:cs="Calibri"/>
                <w:szCs w:val="18"/>
              </w:rPr>
              <w:t>0.176</w:t>
            </w:r>
          </w:p>
        </w:tc>
        <w:tc>
          <w:tcPr>
            <w:tcW w:w="1087" w:type="dxa"/>
            <w:shd w:val="clear" w:color="auto" w:fill="auto"/>
            <w:noWrap/>
          </w:tcPr>
          <w:p w14:paraId="65091CE9" w14:textId="7081DEC6" w:rsidR="009312EC" w:rsidRPr="00B275E2" w:rsidRDefault="009312EC" w:rsidP="007F0B1E">
            <w:pPr>
              <w:pStyle w:val="TableText"/>
              <w:spacing w:before="40" w:after="40"/>
              <w:jc w:val="right"/>
              <w:rPr>
                <w:szCs w:val="18"/>
              </w:rPr>
            </w:pPr>
            <w:r w:rsidRPr="00B275E2">
              <w:rPr>
                <w:rFonts w:cs="Calibri"/>
                <w:szCs w:val="18"/>
              </w:rPr>
              <w:t>0.168</w:t>
            </w:r>
          </w:p>
        </w:tc>
        <w:tc>
          <w:tcPr>
            <w:tcW w:w="1086" w:type="dxa"/>
            <w:shd w:val="clear" w:color="auto" w:fill="auto"/>
            <w:noWrap/>
          </w:tcPr>
          <w:p w14:paraId="65091CEA" w14:textId="27D535A7" w:rsidR="009312EC" w:rsidRPr="00B275E2" w:rsidRDefault="009312EC" w:rsidP="007F0B1E">
            <w:pPr>
              <w:pStyle w:val="TableText"/>
              <w:spacing w:before="40" w:after="40"/>
              <w:jc w:val="right"/>
              <w:rPr>
                <w:szCs w:val="18"/>
              </w:rPr>
            </w:pPr>
            <w:r w:rsidRPr="00B275E2">
              <w:rPr>
                <w:rFonts w:cs="Calibri"/>
                <w:szCs w:val="18"/>
              </w:rPr>
              <w:t>0.002</w:t>
            </w:r>
          </w:p>
        </w:tc>
        <w:tc>
          <w:tcPr>
            <w:tcW w:w="1134" w:type="dxa"/>
            <w:shd w:val="clear" w:color="auto" w:fill="auto"/>
            <w:noWrap/>
          </w:tcPr>
          <w:p w14:paraId="65091CEB" w14:textId="4D8E0DB9" w:rsidR="009312EC" w:rsidRPr="00B275E2" w:rsidRDefault="009312EC" w:rsidP="007F0B1E">
            <w:pPr>
              <w:pStyle w:val="TableText"/>
              <w:spacing w:before="40" w:after="40"/>
              <w:jc w:val="right"/>
              <w:rPr>
                <w:szCs w:val="18"/>
              </w:rPr>
            </w:pPr>
            <w:r w:rsidRPr="00B275E2">
              <w:rPr>
                <w:rFonts w:cs="Calibri"/>
                <w:szCs w:val="18"/>
              </w:rPr>
              <w:t>0.006</w:t>
            </w:r>
          </w:p>
        </w:tc>
      </w:tr>
      <w:tr w:rsidR="009312EC" w:rsidRPr="00B275E2" w14:paraId="65091CF4" w14:textId="77777777" w:rsidTr="00BC4F8C">
        <w:tc>
          <w:tcPr>
            <w:tcW w:w="1701" w:type="dxa"/>
            <w:vMerge/>
            <w:hideMark/>
          </w:tcPr>
          <w:p w14:paraId="65091CED" w14:textId="77777777" w:rsidR="009312EC" w:rsidRPr="00B275E2" w:rsidRDefault="009312EC" w:rsidP="007F0B1E">
            <w:pPr>
              <w:pStyle w:val="TableText"/>
              <w:spacing w:before="40" w:after="40"/>
              <w:rPr>
                <w:szCs w:val="18"/>
              </w:rPr>
            </w:pPr>
          </w:p>
        </w:tc>
        <w:tc>
          <w:tcPr>
            <w:tcW w:w="1501" w:type="dxa"/>
            <w:noWrap/>
            <w:hideMark/>
          </w:tcPr>
          <w:p w14:paraId="65091CEE" w14:textId="35045F8C" w:rsidR="009312EC" w:rsidRPr="00B275E2" w:rsidRDefault="009312EC" w:rsidP="007F0B1E">
            <w:pPr>
              <w:pStyle w:val="TableText"/>
              <w:spacing w:before="40" w:after="40"/>
              <w:rPr>
                <w:szCs w:val="18"/>
              </w:rPr>
            </w:pPr>
            <w:r w:rsidRPr="00B275E2">
              <w:rPr>
                <w:szCs w:val="18"/>
              </w:rPr>
              <w:t>1600</w:t>
            </w:r>
            <w:r w:rsidRPr="00B275E2">
              <w:rPr>
                <w:rFonts w:cs="Calibri"/>
                <w:color w:val="000000"/>
                <w:szCs w:val="18"/>
              </w:rPr>
              <w:t xml:space="preserve"> -</w:t>
            </w:r>
            <w:r w:rsidRPr="00B275E2">
              <w:rPr>
                <w:szCs w:val="18"/>
              </w:rPr>
              <w:t xml:space="preserve"> &lt;2000 cc</w:t>
            </w:r>
          </w:p>
        </w:tc>
        <w:tc>
          <w:tcPr>
            <w:tcW w:w="626" w:type="dxa"/>
            <w:noWrap/>
            <w:hideMark/>
          </w:tcPr>
          <w:p w14:paraId="65091CEF" w14:textId="77777777" w:rsidR="009312EC" w:rsidRPr="00B275E2" w:rsidRDefault="009312EC" w:rsidP="007F0B1E">
            <w:pPr>
              <w:pStyle w:val="TableText"/>
              <w:spacing w:before="40" w:after="40"/>
              <w:rPr>
                <w:szCs w:val="18"/>
              </w:rPr>
            </w:pPr>
            <w:r w:rsidRPr="00B275E2">
              <w:rPr>
                <w:szCs w:val="18"/>
              </w:rPr>
              <w:t>km</w:t>
            </w:r>
          </w:p>
        </w:tc>
        <w:tc>
          <w:tcPr>
            <w:tcW w:w="1247" w:type="dxa"/>
            <w:shd w:val="clear" w:color="auto" w:fill="D2DDE1" w:themeFill="background2"/>
            <w:noWrap/>
          </w:tcPr>
          <w:p w14:paraId="65091CF0" w14:textId="7446AAF8" w:rsidR="009312EC" w:rsidRPr="00B275E2" w:rsidRDefault="009312EC" w:rsidP="007F0B1E">
            <w:pPr>
              <w:pStyle w:val="TableText"/>
              <w:spacing w:before="40" w:after="40"/>
              <w:jc w:val="right"/>
              <w:rPr>
                <w:szCs w:val="18"/>
              </w:rPr>
            </w:pPr>
            <w:r w:rsidRPr="00B275E2">
              <w:rPr>
                <w:rFonts w:cs="Calibri"/>
                <w:szCs w:val="18"/>
              </w:rPr>
              <w:t>0.198</w:t>
            </w:r>
          </w:p>
        </w:tc>
        <w:tc>
          <w:tcPr>
            <w:tcW w:w="1087" w:type="dxa"/>
            <w:shd w:val="clear" w:color="auto" w:fill="auto"/>
            <w:noWrap/>
          </w:tcPr>
          <w:p w14:paraId="65091CF1" w14:textId="3BE40D6C" w:rsidR="009312EC" w:rsidRPr="00B275E2" w:rsidRDefault="009312EC" w:rsidP="007F0B1E">
            <w:pPr>
              <w:pStyle w:val="TableText"/>
              <w:spacing w:before="40" w:after="40"/>
              <w:jc w:val="right"/>
              <w:rPr>
                <w:szCs w:val="18"/>
              </w:rPr>
            </w:pPr>
            <w:r w:rsidRPr="00B275E2">
              <w:rPr>
                <w:rFonts w:cs="Calibri"/>
                <w:szCs w:val="18"/>
              </w:rPr>
              <w:t>0.189</w:t>
            </w:r>
          </w:p>
        </w:tc>
        <w:tc>
          <w:tcPr>
            <w:tcW w:w="1086" w:type="dxa"/>
            <w:shd w:val="clear" w:color="auto" w:fill="auto"/>
            <w:noWrap/>
          </w:tcPr>
          <w:p w14:paraId="65091CF2" w14:textId="5AB8C326" w:rsidR="009312EC" w:rsidRPr="00B275E2" w:rsidRDefault="009312EC" w:rsidP="007F0B1E">
            <w:pPr>
              <w:pStyle w:val="TableText"/>
              <w:spacing w:before="40" w:after="40"/>
              <w:jc w:val="right"/>
              <w:rPr>
                <w:szCs w:val="18"/>
              </w:rPr>
            </w:pPr>
            <w:r w:rsidRPr="00B275E2">
              <w:rPr>
                <w:rFonts w:cs="Calibri"/>
                <w:szCs w:val="18"/>
              </w:rPr>
              <w:t>0.002</w:t>
            </w:r>
          </w:p>
        </w:tc>
        <w:tc>
          <w:tcPr>
            <w:tcW w:w="1134" w:type="dxa"/>
            <w:shd w:val="clear" w:color="auto" w:fill="auto"/>
            <w:noWrap/>
          </w:tcPr>
          <w:p w14:paraId="65091CF3" w14:textId="562F5033" w:rsidR="009312EC" w:rsidRPr="00B275E2" w:rsidRDefault="009312EC" w:rsidP="007F0B1E">
            <w:pPr>
              <w:pStyle w:val="TableText"/>
              <w:spacing w:before="40" w:after="40"/>
              <w:jc w:val="right"/>
              <w:rPr>
                <w:szCs w:val="18"/>
              </w:rPr>
            </w:pPr>
            <w:r w:rsidRPr="00B275E2">
              <w:rPr>
                <w:rFonts w:cs="Calibri"/>
                <w:szCs w:val="18"/>
              </w:rPr>
              <w:t>0.006</w:t>
            </w:r>
          </w:p>
        </w:tc>
      </w:tr>
      <w:tr w:rsidR="009312EC" w:rsidRPr="00B275E2" w14:paraId="65091CFC" w14:textId="77777777" w:rsidTr="00BC4F8C">
        <w:tc>
          <w:tcPr>
            <w:tcW w:w="1701" w:type="dxa"/>
            <w:vMerge/>
            <w:hideMark/>
          </w:tcPr>
          <w:p w14:paraId="65091CF5" w14:textId="77777777" w:rsidR="009312EC" w:rsidRPr="00B275E2" w:rsidRDefault="009312EC" w:rsidP="007F0B1E">
            <w:pPr>
              <w:pStyle w:val="TableText"/>
              <w:spacing w:before="40" w:after="40"/>
              <w:rPr>
                <w:szCs w:val="18"/>
              </w:rPr>
            </w:pPr>
          </w:p>
        </w:tc>
        <w:tc>
          <w:tcPr>
            <w:tcW w:w="1501" w:type="dxa"/>
            <w:noWrap/>
            <w:hideMark/>
          </w:tcPr>
          <w:p w14:paraId="65091CF6" w14:textId="13E8155F" w:rsidR="009312EC" w:rsidRPr="00B275E2" w:rsidRDefault="009312EC" w:rsidP="007F0B1E">
            <w:pPr>
              <w:pStyle w:val="TableText"/>
              <w:spacing w:before="40" w:after="40"/>
              <w:rPr>
                <w:szCs w:val="18"/>
              </w:rPr>
            </w:pPr>
            <w:r w:rsidRPr="00B275E2">
              <w:rPr>
                <w:szCs w:val="18"/>
              </w:rPr>
              <w:t>2000</w:t>
            </w:r>
            <w:r w:rsidRPr="00B275E2">
              <w:rPr>
                <w:rFonts w:cs="Calibri"/>
                <w:color w:val="000000"/>
                <w:szCs w:val="18"/>
              </w:rPr>
              <w:t xml:space="preserve"> -</w:t>
            </w:r>
            <w:r w:rsidRPr="00B275E2">
              <w:rPr>
                <w:szCs w:val="18"/>
              </w:rPr>
              <w:t xml:space="preserve"> &lt;3000 cc</w:t>
            </w:r>
          </w:p>
        </w:tc>
        <w:tc>
          <w:tcPr>
            <w:tcW w:w="626" w:type="dxa"/>
            <w:noWrap/>
            <w:hideMark/>
          </w:tcPr>
          <w:p w14:paraId="65091CF7" w14:textId="77777777" w:rsidR="009312EC" w:rsidRPr="00B275E2" w:rsidRDefault="009312EC" w:rsidP="007F0B1E">
            <w:pPr>
              <w:pStyle w:val="TableText"/>
              <w:spacing w:before="40" w:after="40"/>
              <w:rPr>
                <w:szCs w:val="18"/>
              </w:rPr>
            </w:pPr>
            <w:r w:rsidRPr="00B275E2">
              <w:rPr>
                <w:szCs w:val="18"/>
              </w:rPr>
              <w:t>km</w:t>
            </w:r>
          </w:p>
        </w:tc>
        <w:tc>
          <w:tcPr>
            <w:tcW w:w="1247" w:type="dxa"/>
            <w:shd w:val="clear" w:color="auto" w:fill="D2DDE1" w:themeFill="background2"/>
            <w:noWrap/>
          </w:tcPr>
          <w:p w14:paraId="65091CF8" w14:textId="490E5470" w:rsidR="009312EC" w:rsidRPr="00B275E2" w:rsidRDefault="009312EC" w:rsidP="007F0B1E">
            <w:pPr>
              <w:pStyle w:val="TableText"/>
              <w:spacing w:before="40" w:after="40"/>
              <w:jc w:val="right"/>
              <w:rPr>
                <w:szCs w:val="18"/>
              </w:rPr>
            </w:pPr>
            <w:r w:rsidRPr="00B275E2">
              <w:rPr>
                <w:rFonts w:cs="Calibri"/>
                <w:szCs w:val="18"/>
              </w:rPr>
              <w:t>0.220</w:t>
            </w:r>
          </w:p>
        </w:tc>
        <w:tc>
          <w:tcPr>
            <w:tcW w:w="1087" w:type="dxa"/>
            <w:shd w:val="clear" w:color="auto" w:fill="auto"/>
            <w:noWrap/>
          </w:tcPr>
          <w:p w14:paraId="65091CF9" w14:textId="7501740F" w:rsidR="009312EC" w:rsidRPr="00B275E2" w:rsidRDefault="009312EC" w:rsidP="007F0B1E">
            <w:pPr>
              <w:pStyle w:val="TableText"/>
              <w:spacing w:before="40" w:after="40"/>
              <w:jc w:val="right"/>
              <w:rPr>
                <w:szCs w:val="18"/>
              </w:rPr>
            </w:pPr>
            <w:r w:rsidRPr="00B275E2">
              <w:rPr>
                <w:rFonts w:cs="Calibri"/>
                <w:szCs w:val="18"/>
              </w:rPr>
              <w:t>0.210</w:t>
            </w:r>
          </w:p>
        </w:tc>
        <w:tc>
          <w:tcPr>
            <w:tcW w:w="1086" w:type="dxa"/>
            <w:shd w:val="clear" w:color="auto" w:fill="auto"/>
            <w:noWrap/>
          </w:tcPr>
          <w:p w14:paraId="65091CFA" w14:textId="30110C92" w:rsidR="009312EC" w:rsidRPr="00B275E2" w:rsidRDefault="009312EC" w:rsidP="007F0B1E">
            <w:pPr>
              <w:pStyle w:val="TableText"/>
              <w:spacing w:before="40" w:after="40"/>
              <w:jc w:val="right"/>
              <w:rPr>
                <w:szCs w:val="18"/>
              </w:rPr>
            </w:pPr>
            <w:r w:rsidRPr="00B275E2">
              <w:rPr>
                <w:rFonts w:cs="Calibri"/>
                <w:szCs w:val="18"/>
              </w:rPr>
              <w:t>0.002</w:t>
            </w:r>
          </w:p>
        </w:tc>
        <w:tc>
          <w:tcPr>
            <w:tcW w:w="1134" w:type="dxa"/>
            <w:shd w:val="clear" w:color="auto" w:fill="auto"/>
            <w:noWrap/>
          </w:tcPr>
          <w:p w14:paraId="65091CFB" w14:textId="6489F436" w:rsidR="009312EC" w:rsidRPr="00B275E2" w:rsidRDefault="009312EC" w:rsidP="007F0B1E">
            <w:pPr>
              <w:pStyle w:val="TableText"/>
              <w:spacing w:before="40" w:after="40"/>
              <w:jc w:val="right"/>
              <w:rPr>
                <w:szCs w:val="18"/>
              </w:rPr>
            </w:pPr>
            <w:r w:rsidRPr="00B275E2">
              <w:rPr>
                <w:rFonts w:cs="Calibri"/>
                <w:szCs w:val="18"/>
              </w:rPr>
              <w:t>0.007</w:t>
            </w:r>
          </w:p>
        </w:tc>
      </w:tr>
      <w:tr w:rsidR="009312EC" w:rsidRPr="00B275E2" w14:paraId="65091D04" w14:textId="77777777" w:rsidTr="00BC4F8C">
        <w:tc>
          <w:tcPr>
            <w:tcW w:w="1701" w:type="dxa"/>
            <w:vMerge/>
            <w:hideMark/>
          </w:tcPr>
          <w:p w14:paraId="65091CFD" w14:textId="77777777" w:rsidR="009312EC" w:rsidRPr="00B275E2" w:rsidRDefault="009312EC" w:rsidP="007F0B1E">
            <w:pPr>
              <w:pStyle w:val="TableText"/>
              <w:spacing w:before="40" w:after="40"/>
              <w:rPr>
                <w:szCs w:val="18"/>
              </w:rPr>
            </w:pPr>
          </w:p>
        </w:tc>
        <w:tc>
          <w:tcPr>
            <w:tcW w:w="1501" w:type="dxa"/>
            <w:noWrap/>
            <w:hideMark/>
          </w:tcPr>
          <w:p w14:paraId="65091CFE" w14:textId="77777777" w:rsidR="009312EC" w:rsidRPr="00B275E2" w:rsidRDefault="009312EC" w:rsidP="007F0B1E">
            <w:pPr>
              <w:pStyle w:val="TableText"/>
              <w:spacing w:before="40" w:after="40"/>
              <w:rPr>
                <w:szCs w:val="18"/>
              </w:rPr>
            </w:pPr>
            <w:r w:rsidRPr="00B275E2">
              <w:rPr>
                <w:szCs w:val="18"/>
              </w:rPr>
              <w:t>≥3000 cc</w:t>
            </w:r>
          </w:p>
        </w:tc>
        <w:tc>
          <w:tcPr>
            <w:tcW w:w="626" w:type="dxa"/>
            <w:noWrap/>
            <w:hideMark/>
          </w:tcPr>
          <w:p w14:paraId="65091CFF" w14:textId="77777777" w:rsidR="009312EC" w:rsidRPr="00B275E2" w:rsidRDefault="009312EC" w:rsidP="007F0B1E">
            <w:pPr>
              <w:pStyle w:val="TableText"/>
              <w:spacing w:before="40" w:after="40"/>
              <w:rPr>
                <w:szCs w:val="18"/>
              </w:rPr>
            </w:pPr>
            <w:r w:rsidRPr="00B275E2">
              <w:rPr>
                <w:szCs w:val="18"/>
              </w:rPr>
              <w:t>km</w:t>
            </w:r>
          </w:p>
        </w:tc>
        <w:tc>
          <w:tcPr>
            <w:tcW w:w="1247" w:type="dxa"/>
            <w:shd w:val="clear" w:color="auto" w:fill="D2DDE1" w:themeFill="background2"/>
            <w:noWrap/>
          </w:tcPr>
          <w:p w14:paraId="65091D00" w14:textId="668971EB" w:rsidR="009312EC" w:rsidRPr="00B275E2" w:rsidRDefault="009312EC" w:rsidP="007F0B1E">
            <w:pPr>
              <w:pStyle w:val="TableText"/>
              <w:spacing w:before="40" w:after="40"/>
              <w:jc w:val="right"/>
              <w:rPr>
                <w:szCs w:val="18"/>
              </w:rPr>
            </w:pPr>
            <w:r w:rsidRPr="00B275E2">
              <w:rPr>
                <w:rFonts w:cs="Calibri"/>
                <w:szCs w:val="18"/>
              </w:rPr>
              <w:t>0.263</w:t>
            </w:r>
          </w:p>
        </w:tc>
        <w:tc>
          <w:tcPr>
            <w:tcW w:w="1087" w:type="dxa"/>
            <w:shd w:val="clear" w:color="auto" w:fill="auto"/>
            <w:noWrap/>
          </w:tcPr>
          <w:p w14:paraId="65091D01" w14:textId="6B8C7F91" w:rsidR="009312EC" w:rsidRPr="00B275E2" w:rsidRDefault="009312EC" w:rsidP="007F0B1E">
            <w:pPr>
              <w:pStyle w:val="TableText"/>
              <w:spacing w:before="40" w:after="40"/>
              <w:jc w:val="right"/>
              <w:rPr>
                <w:szCs w:val="18"/>
              </w:rPr>
            </w:pPr>
            <w:r w:rsidRPr="00B275E2">
              <w:rPr>
                <w:rFonts w:cs="Calibri"/>
                <w:szCs w:val="18"/>
              </w:rPr>
              <w:t>0.251</w:t>
            </w:r>
          </w:p>
        </w:tc>
        <w:tc>
          <w:tcPr>
            <w:tcW w:w="1086" w:type="dxa"/>
            <w:shd w:val="clear" w:color="auto" w:fill="auto"/>
            <w:noWrap/>
          </w:tcPr>
          <w:p w14:paraId="65091D02" w14:textId="06BD9DA1" w:rsidR="009312EC" w:rsidRPr="00B275E2" w:rsidRDefault="009312EC" w:rsidP="007F0B1E">
            <w:pPr>
              <w:pStyle w:val="TableText"/>
              <w:spacing w:before="40" w:after="40"/>
              <w:jc w:val="right"/>
              <w:rPr>
                <w:szCs w:val="18"/>
              </w:rPr>
            </w:pPr>
            <w:r w:rsidRPr="00B275E2">
              <w:rPr>
                <w:rFonts w:cs="Calibri"/>
                <w:szCs w:val="18"/>
              </w:rPr>
              <w:t>0.003</w:t>
            </w:r>
          </w:p>
        </w:tc>
        <w:tc>
          <w:tcPr>
            <w:tcW w:w="1134" w:type="dxa"/>
            <w:shd w:val="clear" w:color="auto" w:fill="auto"/>
            <w:noWrap/>
          </w:tcPr>
          <w:p w14:paraId="65091D03" w14:textId="5A62D941" w:rsidR="009312EC" w:rsidRPr="00B275E2" w:rsidRDefault="009312EC" w:rsidP="007F0B1E">
            <w:pPr>
              <w:pStyle w:val="TableText"/>
              <w:spacing w:before="40" w:after="40"/>
              <w:jc w:val="right"/>
              <w:rPr>
                <w:szCs w:val="18"/>
              </w:rPr>
            </w:pPr>
            <w:r w:rsidRPr="00B275E2">
              <w:rPr>
                <w:rFonts w:cs="Calibri"/>
                <w:szCs w:val="18"/>
              </w:rPr>
              <w:t>0.009</w:t>
            </w:r>
          </w:p>
        </w:tc>
      </w:tr>
      <w:tr w:rsidR="009312EC" w:rsidRPr="00B275E2" w14:paraId="65091D0C" w14:textId="77777777" w:rsidTr="00BC4F8C">
        <w:tc>
          <w:tcPr>
            <w:tcW w:w="1701" w:type="dxa"/>
            <w:vMerge w:val="restart"/>
            <w:hideMark/>
          </w:tcPr>
          <w:p w14:paraId="65091D05" w14:textId="77777777" w:rsidR="009312EC" w:rsidRPr="00B275E2" w:rsidRDefault="009312EC" w:rsidP="007F0B1E">
            <w:pPr>
              <w:pStyle w:val="TableText"/>
              <w:spacing w:before="40" w:after="40"/>
              <w:rPr>
                <w:szCs w:val="18"/>
              </w:rPr>
            </w:pPr>
            <w:r w:rsidRPr="00B275E2">
              <w:rPr>
                <w:szCs w:val="18"/>
              </w:rPr>
              <w:t>Diesel vehicle</w:t>
            </w:r>
          </w:p>
        </w:tc>
        <w:tc>
          <w:tcPr>
            <w:tcW w:w="1501" w:type="dxa"/>
            <w:noWrap/>
            <w:hideMark/>
          </w:tcPr>
          <w:p w14:paraId="65091D06" w14:textId="77777777" w:rsidR="009312EC" w:rsidRPr="00B275E2" w:rsidRDefault="009312EC" w:rsidP="007F0B1E">
            <w:pPr>
              <w:pStyle w:val="TableText"/>
              <w:spacing w:before="40" w:after="40"/>
              <w:rPr>
                <w:szCs w:val="18"/>
              </w:rPr>
            </w:pPr>
            <w:r w:rsidRPr="00B275E2">
              <w:rPr>
                <w:szCs w:val="18"/>
              </w:rPr>
              <w:t>&lt;1350 cc</w:t>
            </w:r>
          </w:p>
        </w:tc>
        <w:tc>
          <w:tcPr>
            <w:tcW w:w="626" w:type="dxa"/>
            <w:noWrap/>
            <w:hideMark/>
          </w:tcPr>
          <w:p w14:paraId="65091D07" w14:textId="77777777" w:rsidR="009312EC" w:rsidRPr="00B275E2" w:rsidRDefault="009312EC" w:rsidP="007F0B1E">
            <w:pPr>
              <w:pStyle w:val="TableText"/>
              <w:spacing w:before="40" w:after="40"/>
              <w:rPr>
                <w:szCs w:val="18"/>
              </w:rPr>
            </w:pPr>
            <w:r w:rsidRPr="00B275E2">
              <w:rPr>
                <w:szCs w:val="18"/>
              </w:rPr>
              <w:t>km</w:t>
            </w:r>
          </w:p>
        </w:tc>
        <w:tc>
          <w:tcPr>
            <w:tcW w:w="1247" w:type="dxa"/>
            <w:shd w:val="clear" w:color="auto" w:fill="D2DDE1" w:themeFill="background2"/>
            <w:noWrap/>
          </w:tcPr>
          <w:p w14:paraId="65091D08" w14:textId="26D34133" w:rsidR="009312EC" w:rsidRPr="00B275E2" w:rsidRDefault="009312EC" w:rsidP="007F0B1E">
            <w:pPr>
              <w:pStyle w:val="TableText"/>
              <w:spacing w:before="40" w:after="40"/>
              <w:jc w:val="right"/>
              <w:rPr>
                <w:szCs w:val="18"/>
              </w:rPr>
            </w:pPr>
            <w:r w:rsidRPr="00B275E2">
              <w:rPr>
                <w:rFonts w:cs="Calibri"/>
                <w:szCs w:val="18"/>
              </w:rPr>
              <w:t>0.188</w:t>
            </w:r>
          </w:p>
        </w:tc>
        <w:tc>
          <w:tcPr>
            <w:tcW w:w="1087" w:type="dxa"/>
            <w:shd w:val="clear" w:color="auto" w:fill="auto"/>
            <w:noWrap/>
          </w:tcPr>
          <w:p w14:paraId="65091D09" w14:textId="6D3E60C7" w:rsidR="009312EC" w:rsidRPr="00B275E2" w:rsidRDefault="009312EC" w:rsidP="007F0B1E">
            <w:pPr>
              <w:pStyle w:val="TableText"/>
              <w:spacing w:before="40" w:after="40"/>
              <w:jc w:val="right"/>
              <w:rPr>
                <w:szCs w:val="18"/>
              </w:rPr>
            </w:pPr>
            <w:r w:rsidRPr="00B275E2">
              <w:rPr>
                <w:rFonts w:cs="Calibri"/>
                <w:szCs w:val="18"/>
              </w:rPr>
              <w:t>0.185</w:t>
            </w:r>
          </w:p>
        </w:tc>
        <w:tc>
          <w:tcPr>
            <w:tcW w:w="1086" w:type="dxa"/>
            <w:shd w:val="clear" w:color="auto" w:fill="auto"/>
            <w:noWrap/>
          </w:tcPr>
          <w:p w14:paraId="65091D0A" w14:textId="437214D3" w:rsidR="009312EC" w:rsidRPr="00B275E2" w:rsidRDefault="009312EC" w:rsidP="007F0B1E">
            <w:pPr>
              <w:pStyle w:val="TableText"/>
              <w:spacing w:before="40" w:after="40"/>
              <w:jc w:val="right"/>
              <w:rPr>
                <w:szCs w:val="18"/>
              </w:rPr>
            </w:pPr>
            <w:r w:rsidRPr="00B275E2">
              <w:rPr>
                <w:rFonts w:cs="Calibri"/>
                <w:szCs w:val="18"/>
              </w:rPr>
              <w:t>0.0002</w:t>
            </w:r>
          </w:p>
        </w:tc>
        <w:tc>
          <w:tcPr>
            <w:tcW w:w="1134" w:type="dxa"/>
            <w:shd w:val="clear" w:color="auto" w:fill="auto"/>
            <w:noWrap/>
          </w:tcPr>
          <w:p w14:paraId="65091D0B" w14:textId="2BB5333C" w:rsidR="009312EC" w:rsidRPr="00B275E2" w:rsidRDefault="009312EC" w:rsidP="007F0B1E">
            <w:pPr>
              <w:pStyle w:val="TableText"/>
              <w:spacing w:before="40" w:after="40"/>
              <w:jc w:val="right"/>
              <w:rPr>
                <w:szCs w:val="18"/>
              </w:rPr>
            </w:pPr>
            <w:r w:rsidRPr="00B275E2">
              <w:rPr>
                <w:rFonts w:cs="Calibri"/>
                <w:szCs w:val="18"/>
              </w:rPr>
              <w:t>0.003</w:t>
            </w:r>
          </w:p>
        </w:tc>
      </w:tr>
      <w:tr w:rsidR="009312EC" w:rsidRPr="00B275E2" w14:paraId="65091D14" w14:textId="77777777" w:rsidTr="00BC4F8C">
        <w:tc>
          <w:tcPr>
            <w:tcW w:w="1701" w:type="dxa"/>
            <w:vMerge/>
            <w:hideMark/>
          </w:tcPr>
          <w:p w14:paraId="65091D0D" w14:textId="77777777" w:rsidR="009312EC" w:rsidRPr="00B275E2" w:rsidRDefault="009312EC" w:rsidP="007F0B1E">
            <w:pPr>
              <w:pStyle w:val="TableText"/>
              <w:spacing w:before="40" w:after="40"/>
              <w:rPr>
                <w:szCs w:val="18"/>
              </w:rPr>
            </w:pPr>
          </w:p>
        </w:tc>
        <w:tc>
          <w:tcPr>
            <w:tcW w:w="1501" w:type="dxa"/>
            <w:noWrap/>
            <w:hideMark/>
          </w:tcPr>
          <w:p w14:paraId="65091D0E" w14:textId="41FD2490" w:rsidR="009312EC" w:rsidRPr="00B275E2" w:rsidRDefault="009312EC" w:rsidP="007F0B1E">
            <w:pPr>
              <w:pStyle w:val="TableText"/>
              <w:spacing w:before="40" w:after="40"/>
              <w:rPr>
                <w:szCs w:val="18"/>
              </w:rPr>
            </w:pPr>
            <w:r w:rsidRPr="00B275E2">
              <w:rPr>
                <w:szCs w:val="18"/>
              </w:rPr>
              <w:t>1350</w:t>
            </w:r>
            <w:r w:rsidRPr="00B275E2">
              <w:rPr>
                <w:rFonts w:cs="Calibri"/>
                <w:color w:val="000000"/>
                <w:szCs w:val="18"/>
              </w:rPr>
              <w:t xml:space="preserve"> -</w:t>
            </w:r>
            <w:r w:rsidRPr="00B275E2">
              <w:rPr>
                <w:szCs w:val="18"/>
              </w:rPr>
              <w:t xml:space="preserve"> &lt;1600 cc</w:t>
            </w:r>
          </w:p>
        </w:tc>
        <w:tc>
          <w:tcPr>
            <w:tcW w:w="626" w:type="dxa"/>
            <w:noWrap/>
            <w:hideMark/>
          </w:tcPr>
          <w:p w14:paraId="65091D0F" w14:textId="77777777" w:rsidR="009312EC" w:rsidRPr="00B275E2" w:rsidRDefault="009312EC" w:rsidP="007F0B1E">
            <w:pPr>
              <w:pStyle w:val="TableText"/>
              <w:spacing w:before="40" w:after="40"/>
              <w:rPr>
                <w:szCs w:val="18"/>
              </w:rPr>
            </w:pPr>
            <w:r w:rsidRPr="00B275E2">
              <w:rPr>
                <w:szCs w:val="18"/>
              </w:rPr>
              <w:t>km</w:t>
            </w:r>
          </w:p>
        </w:tc>
        <w:tc>
          <w:tcPr>
            <w:tcW w:w="1247" w:type="dxa"/>
            <w:shd w:val="clear" w:color="auto" w:fill="D2DDE1" w:themeFill="background2"/>
            <w:noWrap/>
          </w:tcPr>
          <w:p w14:paraId="65091D10" w14:textId="519A6B09" w:rsidR="009312EC" w:rsidRPr="00B275E2" w:rsidRDefault="009312EC" w:rsidP="007F0B1E">
            <w:pPr>
              <w:pStyle w:val="TableText"/>
              <w:spacing w:before="40" w:after="40"/>
              <w:jc w:val="right"/>
              <w:rPr>
                <w:szCs w:val="18"/>
              </w:rPr>
            </w:pPr>
            <w:r w:rsidRPr="00B275E2">
              <w:rPr>
                <w:rFonts w:cs="Calibri"/>
                <w:szCs w:val="18"/>
              </w:rPr>
              <w:t>0.181</w:t>
            </w:r>
          </w:p>
        </w:tc>
        <w:tc>
          <w:tcPr>
            <w:tcW w:w="1087" w:type="dxa"/>
            <w:shd w:val="clear" w:color="auto" w:fill="auto"/>
            <w:noWrap/>
          </w:tcPr>
          <w:p w14:paraId="65091D11" w14:textId="76EE00F7" w:rsidR="009312EC" w:rsidRPr="00B275E2" w:rsidRDefault="009312EC" w:rsidP="007F0B1E">
            <w:pPr>
              <w:pStyle w:val="TableText"/>
              <w:spacing w:before="40" w:after="40"/>
              <w:jc w:val="right"/>
              <w:rPr>
                <w:szCs w:val="18"/>
              </w:rPr>
            </w:pPr>
            <w:r w:rsidRPr="00B275E2">
              <w:rPr>
                <w:rFonts w:cs="Calibri"/>
                <w:szCs w:val="18"/>
              </w:rPr>
              <w:t>0.178</w:t>
            </w:r>
          </w:p>
        </w:tc>
        <w:tc>
          <w:tcPr>
            <w:tcW w:w="1086" w:type="dxa"/>
            <w:shd w:val="clear" w:color="auto" w:fill="auto"/>
            <w:noWrap/>
          </w:tcPr>
          <w:p w14:paraId="65091D12" w14:textId="7E052C81" w:rsidR="009312EC" w:rsidRPr="00B275E2" w:rsidRDefault="009312EC" w:rsidP="007F0B1E">
            <w:pPr>
              <w:pStyle w:val="TableText"/>
              <w:spacing w:before="40" w:after="40"/>
              <w:jc w:val="right"/>
              <w:rPr>
                <w:szCs w:val="18"/>
              </w:rPr>
            </w:pPr>
            <w:r w:rsidRPr="00B275E2">
              <w:rPr>
                <w:rFonts w:cs="Calibri"/>
                <w:szCs w:val="18"/>
              </w:rPr>
              <w:t>0.0002</w:t>
            </w:r>
          </w:p>
        </w:tc>
        <w:tc>
          <w:tcPr>
            <w:tcW w:w="1134" w:type="dxa"/>
            <w:shd w:val="clear" w:color="auto" w:fill="auto"/>
            <w:noWrap/>
          </w:tcPr>
          <w:p w14:paraId="65091D13" w14:textId="58B2F99C" w:rsidR="009312EC" w:rsidRPr="00B275E2" w:rsidRDefault="009312EC" w:rsidP="007F0B1E">
            <w:pPr>
              <w:pStyle w:val="TableText"/>
              <w:spacing w:before="40" w:after="40"/>
              <w:jc w:val="right"/>
              <w:rPr>
                <w:szCs w:val="18"/>
              </w:rPr>
            </w:pPr>
            <w:r w:rsidRPr="00B275E2">
              <w:rPr>
                <w:rFonts w:cs="Calibri"/>
                <w:szCs w:val="18"/>
              </w:rPr>
              <w:t>0.003</w:t>
            </w:r>
          </w:p>
        </w:tc>
      </w:tr>
      <w:tr w:rsidR="009312EC" w:rsidRPr="00B275E2" w14:paraId="65091D1C" w14:textId="77777777" w:rsidTr="00BC4F8C">
        <w:tc>
          <w:tcPr>
            <w:tcW w:w="1701" w:type="dxa"/>
            <w:vMerge/>
            <w:hideMark/>
          </w:tcPr>
          <w:p w14:paraId="65091D15" w14:textId="77777777" w:rsidR="009312EC" w:rsidRPr="00B275E2" w:rsidRDefault="009312EC" w:rsidP="007F0B1E">
            <w:pPr>
              <w:pStyle w:val="TableText"/>
              <w:spacing w:before="40" w:after="40"/>
              <w:rPr>
                <w:szCs w:val="18"/>
              </w:rPr>
            </w:pPr>
          </w:p>
        </w:tc>
        <w:tc>
          <w:tcPr>
            <w:tcW w:w="1501" w:type="dxa"/>
            <w:noWrap/>
            <w:hideMark/>
          </w:tcPr>
          <w:p w14:paraId="65091D16" w14:textId="5AF73BBF" w:rsidR="009312EC" w:rsidRPr="00B275E2" w:rsidRDefault="009312EC" w:rsidP="007F0B1E">
            <w:pPr>
              <w:pStyle w:val="TableText"/>
              <w:spacing w:before="40" w:after="40"/>
              <w:rPr>
                <w:szCs w:val="18"/>
              </w:rPr>
            </w:pPr>
            <w:r w:rsidRPr="00B275E2">
              <w:rPr>
                <w:szCs w:val="18"/>
              </w:rPr>
              <w:t>1600</w:t>
            </w:r>
            <w:r w:rsidRPr="00B275E2">
              <w:rPr>
                <w:rFonts w:cs="Calibri"/>
                <w:color w:val="000000"/>
                <w:szCs w:val="18"/>
              </w:rPr>
              <w:t xml:space="preserve"> -</w:t>
            </w:r>
            <w:r w:rsidRPr="00B275E2">
              <w:rPr>
                <w:szCs w:val="18"/>
              </w:rPr>
              <w:t xml:space="preserve"> &lt;2000 cc</w:t>
            </w:r>
          </w:p>
        </w:tc>
        <w:tc>
          <w:tcPr>
            <w:tcW w:w="626" w:type="dxa"/>
            <w:noWrap/>
            <w:hideMark/>
          </w:tcPr>
          <w:p w14:paraId="65091D17" w14:textId="77777777" w:rsidR="009312EC" w:rsidRPr="00B275E2" w:rsidRDefault="009312EC" w:rsidP="007F0B1E">
            <w:pPr>
              <w:pStyle w:val="TableText"/>
              <w:spacing w:before="40" w:after="40"/>
              <w:rPr>
                <w:szCs w:val="18"/>
              </w:rPr>
            </w:pPr>
            <w:r w:rsidRPr="00B275E2">
              <w:rPr>
                <w:szCs w:val="18"/>
              </w:rPr>
              <w:t>km</w:t>
            </w:r>
          </w:p>
        </w:tc>
        <w:tc>
          <w:tcPr>
            <w:tcW w:w="1247" w:type="dxa"/>
            <w:shd w:val="clear" w:color="auto" w:fill="D2DDE1" w:themeFill="background2"/>
            <w:noWrap/>
          </w:tcPr>
          <w:p w14:paraId="65091D18" w14:textId="681185CC" w:rsidR="009312EC" w:rsidRPr="00B275E2" w:rsidRDefault="009312EC" w:rsidP="007F0B1E">
            <w:pPr>
              <w:pStyle w:val="TableText"/>
              <w:spacing w:before="40" w:after="40"/>
              <w:jc w:val="right"/>
              <w:rPr>
                <w:szCs w:val="18"/>
              </w:rPr>
            </w:pPr>
            <w:r w:rsidRPr="00B275E2">
              <w:rPr>
                <w:rFonts w:cs="Calibri"/>
                <w:szCs w:val="18"/>
              </w:rPr>
              <w:t>0.191</w:t>
            </w:r>
          </w:p>
        </w:tc>
        <w:tc>
          <w:tcPr>
            <w:tcW w:w="1087" w:type="dxa"/>
            <w:shd w:val="clear" w:color="auto" w:fill="auto"/>
            <w:noWrap/>
          </w:tcPr>
          <w:p w14:paraId="65091D19" w14:textId="51B0A40D" w:rsidR="009312EC" w:rsidRPr="00B275E2" w:rsidRDefault="009312EC" w:rsidP="007F0B1E">
            <w:pPr>
              <w:pStyle w:val="TableText"/>
              <w:spacing w:before="40" w:after="40"/>
              <w:jc w:val="right"/>
              <w:rPr>
                <w:szCs w:val="18"/>
              </w:rPr>
            </w:pPr>
            <w:r w:rsidRPr="00B275E2">
              <w:rPr>
                <w:rFonts w:cs="Calibri"/>
                <w:szCs w:val="18"/>
              </w:rPr>
              <w:t>0.188</w:t>
            </w:r>
          </w:p>
        </w:tc>
        <w:tc>
          <w:tcPr>
            <w:tcW w:w="1086" w:type="dxa"/>
            <w:shd w:val="clear" w:color="auto" w:fill="auto"/>
            <w:noWrap/>
          </w:tcPr>
          <w:p w14:paraId="65091D1A" w14:textId="0DF655CE" w:rsidR="009312EC" w:rsidRPr="00B275E2" w:rsidRDefault="009312EC" w:rsidP="007F0B1E">
            <w:pPr>
              <w:pStyle w:val="TableText"/>
              <w:spacing w:before="40" w:after="40"/>
              <w:jc w:val="right"/>
              <w:rPr>
                <w:szCs w:val="18"/>
              </w:rPr>
            </w:pPr>
            <w:r w:rsidRPr="00B275E2">
              <w:rPr>
                <w:rFonts w:cs="Calibri"/>
                <w:szCs w:val="18"/>
              </w:rPr>
              <w:t>0.0003</w:t>
            </w:r>
          </w:p>
        </w:tc>
        <w:tc>
          <w:tcPr>
            <w:tcW w:w="1134" w:type="dxa"/>
            <w:shd w:val="clear" w:color="auto" w:fill="auto"/>
            <w:noWrap/>
          </w:tcPr>
          <w:p w14:paraId="65091D1B" w14:textId="30ED93CA" w:rsidR="009312EC" w:rsidRPr="00B275E2" w:rsidRDefault="009312EC" w:rsidP="007F0B1E">
            <w:pPr>
              <w:pStyle w:val="TableText"/>
              <w:spacing w:before="40" w:after="40"/>
              <w:jc w:val="right"/>
              <w:rPr>
                <w:szCs w:val="18"/>
              </w:rPr>
            </w:pPr>
            <w:r w:rsidRPr="00B275E2">
              <w:rPr>
                <w:rFonts w:cs="Calibri"/>
                <w:szCs w:val="18"/>
              </w:rPr>
              <w:t>0.003</w:t>
            </w:r>
          </w:p>
        </w:tc>
      </w:tr>
      <w:tr w:rsidR="009312EC" w:rsidRPr="00B275E2" w14:paraId="65091D24" w14:textId="77777777" w:rsidTr="00BC4F8C">
        <w:tc>
          <w:tcPr>
            <w:tcW w:w="1701" w:type="dxa"/>
            <w:vMerge/>
            <w:hideMark/>
          </w:tcPr>
          <w:p w14:paraId="65091D1D" w14:textId="77777777" w:rsidR="009312EC" w:rsidRPr="00B275E2" w:rsidRDefault="009312EC" w:rsidP="007F0B1E">
            <w:pPr>
              <w:pStyle w:val="TableText"/>
              <w:spacing w:before="40" w:after="40"/>
              <w:rPr>
                <w:szCs w:val="18"/>
              </w:rPr>
            </w:pPr>
          </w:p>
        </w:tc>
        <w:tc>
          <w:tcPr>
            <w:tcW w:w="1501" w:type="dxa"/>
            <w:noWrap/>
            <w:hideMark/>
          </w:tcPr>
          <w:p w14:paraId="65091D1E" w14:textId="56482D01" w:rsidR="009312EC" w:rsidRPr="00B275E2" w:rsidRDefault="009312EC" w:rsidP="007F0B1E">
            <w:pPr>
              <w:pStyle w:val="TableText"/>
              <w:spacing w:before="40" w:after="40"/>
              <w:rPr>
                <w:szCs w:val="18"/>
              </w:rPr>
            </w:pPr>
            <w:r w:rsidRPr="00B275E2">
              <w:rPr>
                <w:szCs w:val="18"/>
              </w:rPr>
              <w:t>2000</w:t>
            </w:r>
            <w:r w:rsidRPr="00B275E2">
              <w:rPr>
                <w:rFonts w:cs="Calibri"/>
                <w:color w:val="000000"/>
                <w:szCs w:val="18"/>
              </w:rPr>
              <w:t xml:space="preserve"> -</w:t>
            </w:r>
            <w:r w:rsidRPr="00B275E2">
              <w:rPr>
                <w:szCs w:val="18"/>
              </w:rPr>
              <w:t xml:space="preserve"> &lt;3000 cc</w:t>
            </w:r>
          </w:p>
        </w:tc>
        <w:tc>
          <w:tcPr>
            <w:tcW w:w="626" w:type="dxa"/>
            <w:noWrap/>
            <w:hideMark/>
          </w:tcPr>
          <w:p w14:paraId="65091D1F" w14:textId="77777777" w:rsidR="009312EC" w:rsidRPr="00B275E2" w:rsidRDefault="009312EC" w:rsidP="007F0B1E">
            <w:pPr>
              <w:pStyle w:val="TableText"/>
              <w:spacing w:before="40" w:after="40"/>
              <w:rPr>
                <w:szCs w:val="18"/>
              </w:rPr>
            </w:pPr>
            <w:r w:rsidRPr="00B275E2">
              <w:rPr>
                <w:szCs w:val="18"/>
              </w:rPr>
              <w:t>km</w:t>
            </w:r>
          </w:p>
        </w:tc>
        <w:tc>
          <w:tcPr>
            <w:tcW w:w="1247" w:type="dxa"/>
            <w:shd w:val="clear" w:color="auto" w:fill="D2DDE1" w:themeFill="background2"/>
            <w:noWrap/>
          </w:tcPr>
          <w:p w14:paraId="65091D20" w14:textId="58CB9F88" w:rsidR="009312EC" w:rsidRPr="00B275E2" w:rsidRDefault="009312EC" w:rsidP="007F0B1E">
            <w:pPr>
              <w:pStyle w:val="TableText"/>
              <w:spacing w:before="40" w:after="40"/>
              <w:jc w:val="right"/>
              <w:rPr>
                <w:szCs w:val="18"/>
              </w:rPr>
            </w:pPr>
            <w:r w:rsidRPr="00B275E2">
              <w:rPr>
                <w:rFonts w:cs="Calibri"/>
                <w:szCs w:val="18"/>
              </w:rPr>
              <w:t>0.235</w:t>
            </w:r>
          </w:p>
        </w:tc>
        <w:tc>
          <w:tcPr>
            <w:tcW w:w="1087" w:type="dxa"/>
            <w:shd w:val="clear" w:color="auto" w:fill="auto"/>
            <w:noWrap/>
          </w:tcPr>
          <w:p w14:paraId="65091D21" w14:textId="12F99F61" w:rsidR="009312EC" w:rsidRPr="00B275E2" w:rsidRDefault="009312EC" w:rsidP="007F0B1E">
            <w:pPr>
              <w:pStyle w:val="TableText"/>
              <w:spacing w:before="40" w:after="40"/>
              <w:jc w:val="right"/>
              <w:rPr>
                <w:szCs w:val="18"/>
              </w:rPr>
            </w:pPr>
            <w:r w:rsidRPr="00B275E2">
              <w:rPr>
                <w:rFonts w:cs="Calibri"/>
                <w:szCs w:val="18"/>
              </w:rPr>
              <w:t>0.231</w:t>
            </w:r>
          </w:p>
        </w:tc>
        <w:tc>
          <w:tcPr>
            <w:tcW w:w="1086" w:type="dxa"/>
            <w:shd w:val="clear" w:color="auto" w:fill="auto"/>
            <w:noWrap/>
          </w:tcPr>
          <w:p w14:paraId="65091D22" w14:textId="5269A93A" w:rsidR="009312EC" w:rsidRPr="00B275E2" w:rsidRDefault="009312EC" w:rsidP="007F0B1E">
            <w:pPr>
              <w:pStyle w:val="TableText"/>
              <w:spacing w:before="40" w:after="40"/>
              <w:jc w:val="right"/>
              <w:rPr>
                <w:szCs w:val="18"/>
              </w:rPr>
            </w:pPr>
            <w:r w:rsidRPr="00B275E2">
              <w:rPr>
                <w:rFonts w:cs="Calibri"/>
                <w:szCs w:val="18"/>
              </w:rPr>
              <w:t>0.0003</w:t>
            </w:r>
          </w:p>
        </w:tc>
        <w:tc>
          <w:tcPr>
            <w:tcW w:w="1134" w:type="dxa"/>
            <w:shd w:val="clear" w:color="auto" w:fill="auto"/>
            <w:noWrap/>
          </w:tcPr>
          <w:p w14:paraId="65091D23" w14:textId="72E327AF" w:rsidR="009312EC" w:rsidRPr="00B275E2" w:rsidRDefault="009312EC" w:rsidP="007F0B1E">
            <w:pPr>
              <w:pStyle w:val="TableText"/>
              <w:spacing w:before="40" w:after="40"/>
              <w:jc w:val="right"/>
              <w:rPr>
                <w:szCs w:val="18"/>
              </w:rPr>
            </w:pPr>
            <w:r w:rsidRPr="00B275E2">
              <w:rPr>
                <w:rFonts w:cs="Calibri"/>
                <w:szCs w:val="18"/>
              </w:rPr>
              <w:t>0.004</w:t>
            </w:r>
          </w:p>
        </w:tc>
      </w:tr>
      <w:tr w:rsidR="009312EC" w:rsidRPr="00B275E2" w14:paraId="65091D2C" w14:textId="77777777" w:rsidTr="00BC4F8C">
        <w:tc>
          <w:tcPr>
            <w:tcW w:w="1701" w:type="dxa"/>
            <w:vMerge/>
            <w:hideMark/>
          </w:tcPr>
          <w:p w14:paraId="65091D25" w14:textId="77777777" w:rsidR="009312EC" w:rsidRPr="00B275E2" w:rsidRDefault="009312EC" w:rsidP="007F0B1E">
            <w:pPr>
              <w:pStyle w:val="TableText"/>
              <w:spacing w:before="40" w:after="40"/>
              <w:rPr>
                <w:szCs w:val="18"/>
              </w:rPr>
            </w:pPr>
          </w:p>
        </w:tc>
        <w:tc>
          <w:tcPr>
            <w:tcW w:w="1501" w:type="dxa"/>
            <w:noWrap/>
            <w:hideMark/>
          </w:tcPr>
          <w:p w14:paraId="65091D26" w14:textId="77777777" w:rsidR="009312EC" w:rsidRPr="00B275E2" w:rsidRDefault="009312EC" w:rsidP="007F0B1E">
            <w:pPr>
              <w:pStyle w:val="TableText"/>
              <w:spacing w:before="40" w:after="40"/>
              <w:rPr>
                <w:szCs w:val="18"/>
              </w:rPr>
            </w:pPr>
            <w:r w:rsidRPr="00B275E2">
              <w:rPr>
                <w:szCs w:val="18"/>
              </w:rPr>
              <w:t>≥3000 cc</w:t>
            </w:r>
          </w:p>
        </w:tc>
        <w:tc>
          <w:tcPr>
            <w:tcW w:w="626" w:type="dxa"/>
            <w:noWrap/>
            <w:hideMark/>
          </w:tcPr>
          <w:p w14:paraId="65091D27" w14:textId="77777777" w:rsidR="009312EC" w:rsidRPr="00B275E2" w:rsidRDefault="009312EC" w:rsidP="007F0B1E">
            <w:pPr>
              <w:pStyle w:val="TableText"/>
              <w:spacing w:before="40" w:after="40"/>
              <w:rPr>
                <w:szCs w:val="18"/>
              </w:rPr>
            </w:pPr>
            <w:r w:rsidRPr="00B275E2">
              <w:rPr>
                <w:szCs w:val="18"/>
              </w:rPr>
              <w:t>km</w:t>
            </w:r>
          </w:p>
        </w:tc>
        <w:tc>
          <w:tcPr>
            <w:tcW w:w="1247" w:type="dxa"/>
            <w:shd w:val="clear" w:color="auto" w:fill="D2DDE1" w:themeFill="background2"/>
            <w:noWrap/>
          </w:tcPr>
          <w:p w14:paraId="65091D28" w14:textId="4A026F1D" w:rsidR="009312EC" w:rsidRPr="00B275E2" w:rsidRDefault="009312EC" w:rsidP="007F0B1E">
            <w:pPr>
              <w:pStyle w:val="TableText"/>
              <w:spacing w:before="40" w:after="40"/>
              <w:jc w:val="right"/>
              <w:rPr>
                <w:szCs w:val="18"/>
              </w:rPr>
            </w:pPr>
            <w:r w:rsidRPr="00B275E2">
              <w:rPr>
                <w:rFonts w:cs="Calibri"/>
                <w:szCs w:val="18"/>
              </w:rPr>
              <w:t>0.261</w:t>
            </w:r>
          </w:p>
        </w:tc>
        <w:tc>
          <w:tcPr>
            <w:tcW w:w="1087" w:type="dxa"/>
            <w:shd w:val="clear" w:color="auto" w:fill="auto"/>
            <w:noWrap/>
          </w:tcPr>
          <w:p w14:paraId="65091D29" w14:textId="37E19731" w:rsidR="009312EC" w:rsidRPr="00B275E2" w:rsidRDefault="009312EC" w:rsidP="007F0B1E">
            <w:pPr>
              <w:pStyle w:val="TableText"/>
              <w:spacing w:before="40" w:after="40"/>
              <w:jc w:val="right"/>
              <w:rPr>
                <w:szCs w:val="18"/>
              </w:rPr>
            </w:pPr>
            <w:r w:rsidRPr="00B275E2">
              <w:rPr>
                <w:rFonts w:cs="Calibri"/>
                <w:szCs w:val="18"/>
              </w:rPr>
              <w:t>0.257</w:t>
            </w:r>
          </w:p>
        </w:tc>
        <w:tc>
          <w:tcPr>
            <w:tcW w:w="1086" w:type="dxa"/>
            <w:shd w:val="clear" w:color="auto" w:fill="auto"/>
            <w:noWrap/>
          </w:tcPr>
          <w:p w14:paraId="65091D2A" w14:textId="06BA9CFC" w:rsidR="009312EC" w:rsidRPr="00B275E2" w:rsidRDefault="009312EC" w:rsidP="007F0B1E">
            <w:pPr>
              <w:pStyle w:val="TableText"/>
              <w:spacing w:before="40" w:after="40"/>
              <w:jc w:val="right"/>
              <w:rPr>
                <w:szCs w:val="18"/>
              </w:rPr>
            </w:pPr>
            <w:r w:rsidRPr="00B275E2">
              <w:rPr>
                <w:rFonts w:cs="Calibri"/>
                <w:szCs w:val="18"/>
              </w:rPr>
              <w:t>0.0003</w:t>
            </w:r>
          </w:p>
        </w:tc>
        <w:tc>
          <w:tcPr>
            <w:tcW w:w="1134" w:type="dxa"/>
            <w:shd w:val="clear" w:color="auto" w:fill="auto"/>
            <w:noWrap/>
          </w:tcPr>
          <w:p w14:paraId="65091D2B" w14:textId="6E49F17E" w:rsidR="009312EC" w:rsidRPr="00B275E2" w:rsidRDefault="009312EC" w:rsidP="007F0B1E">
            <w:pPr>
              <w:pStyle w:val="TableText"/>
              <w:spacing w:before="40" w:after="40"/>
              <w:jc w:val="right"/>
              <w:rPr>
                <w:szCs w:val="18"/>
              </w:rPr>
            </w:pPr>
            <w:r w:rsidRPr="00B275E2">
              <w:rPr>
                <w:rFonts w:cs="Calibri"/>
                <w:szCs w:val="18"/>
              </w:rPr>
              <w:t>0.004</w:t>
            </w:r>
          </w:p>
        </w:tc>
      </w:tr>
      <w:tr w:rsidR="009312EC" w:rsidRPr="00B275E2" w14:paraId="65091D34" w14:textId="77777777" w:rsidTr="00BC4F8C">
        <w:tc>
          <w:tcPr>
            <w:tcW w:w="1701" w:type="dxa"/>
            <w:vMerge w:val="restart"/>
            <w:hideMark/>
          </w:tcPr>
          <w:p w14:paraId="65091D2D" w14:textId="77777777" w:rsidR="009312EC" w:rsidRPr="00B275E2" w:rsidRDefault="009312EC" w:rsidP="007F0B1E">
            <w:pPr>
              <w:pStyle w:val="TableText"/>
              <w:spacing w:before="40" w:after="40"/>
              <w:rPr>
                <w:szCs w:val="18"/>
              </w:rPr>
            </w:pPr>
            <w:r w:rsidRPr="00B275E2">
              <w:rPr>
                <w:szCs w:val="18"/>
              </w:rPr>
              <w:t xml:space="preserve">Petrol hybrid vehicle </w:t>
            </w:r>
          </w:p>
        </w:tc>
        <w:tc>
          <w:tcPr>
            <w:tcW w:w="1501" w:type="dxa"/>
            <w:noWrap/>
            <w:hideMark/>
          </w:tcPr>
          <w:p w14:paraId="65091D2E" w14:textId="3F842748" w:rsidR="009312EC" w:rsidRPr="00B275E2" w:rsidRDefault="009312EC" w:rsidP="007F0B1E">
            <w:pPr>
              <w:pStyle w:val="TableText"/>
              <w:spacing w:before="40" w:after="40"/>
              <w:rPr>
                <w:szCs w:val="18"/>
              </w:rPr>
            </w:pPr>
            <w:r w:rsidRPr="00B275E2">
              <w:rPr>
                <w:szCs w:val="18"/>
              </w:rPr>
              <w:t>&lt;1350 cc</w:t>
            </w:r>
          </w:p>
        </w:tc>
        <w:tc>
          <w:tcPr>
            <w:tcW w:w="626" w:type="dxa"/>
            <w:noWrap/>
            <w:hideMark/>
          </w:tcPr>
          <w:p w14:paraId="65091D2F" w14:textId="77777777" w:rsidR="009312EC" w:rsidRPr="00B275E2" w:rsidRDefault="009312EC" w:rsidP="007F0B1E">
            <w:pPr>
              <w:pStyle w:val="TableText"/>
              <w:spacing w:before="40" w:after="40"/>
              <w:rPr>
                <w:szCs w:val="18"/>
              </w:rPr>
            </w:pPr>
            <w:r w:rsidRPr="00B275E2">
              <w:rPr>
                <w:szCs w:val="18"/>
              </w:rPr>
              <w:t>km</w:t>
            </w:r>
          </w:p>
        </w:tc>
        <w:tc>
          <w:tcPr>
            <w:tcW w:w="1247" w:type="dxa"/>
            <w:shd w:val="clear" w:color="auto" w:fill="D2DDE1" w:themeFill="background2"/>
            <w:noWrap/>
          </w:tcPr>
          <w:p w14:paraId="65091D30" w14:textId="2CE0B8BF" w:rsidR="009312EC" w:rsidRPr="00B275E2" w:rsidRDefault="009312EC" w:rsidP="007F0B1E">
            <w:pPr>
              <w:pStyle w:val="TableText"/>
              <w:spacing w:before="40" w:after="40"/>
              <w:jc w:val="right"/>
              <w:rPr>
                <w:szCs w:val="18"/>
              </w:rPr>
            </w:pPr>
            <w:r w:rsidRPr="00B275E2">
              <w:rPr>
                <w:rFonts w:cs="Calibri"/>
                <w:szCs w:val="18"/>
              </w:rPr>
              <w:t>0.128</w:t>
            </w:r>
          </w:p>
        </w:tc>
        <w:tc>
          <w:tcPr>
            <w:tcW w:w="1087" w:type="dxa"/>
            <w:shd w:val="clear" w:color="auto" w:fill="auto"/>
            <w:noWrap/>
          </w:tcPr>
          <w:p w14:paraId="65091D31" w14:textId="0C371D53" w:rsidR="009312EC" w:rsidRPr="00B275E2" w:rsidRDefault="009312EC" w:rsidP="007F0B1E">
            <w:pPr>
              <w:pStyle w:val="TableText"/>
              <w:spacing w:before="40" w:after="40"/>
              <w:jc w:val="right"/>
              <w:rPr>
                <w:szCs w:val="18"/>
              </w:rPr>
            </w:pPr>
            <w:r w:rsidRPr="00B275E2">
              <w:rPr>
                <w:rFonts w:cs="Calibri"/>
                <w:szCs w:val="18"/>
              </w:rPr>
              <w:t>0.123</w:t>
            </w:r>
          </w:p>
        </w:tc>
        <w:tc>
          <w:tcPr>
            <w:tcW w:w="1086" w:type="dxa"/>
            <w:shd w:val="clear" w:color="auto" w:fill="auto"/>
            <w:noWrap/>
          </w:tcPr>
          <w:p w14:paraId="65091D32" w14:textId="1AB13C72" w:rsidR="009312EC" w:rsidRPr="00B275E2" w:rsidRDefault="009312EC" w:rsidP="007F0B1E">
            <w:pPr>
              <w:pStyle w:val="TableText"/>
              <w:spacing w:before="40" w:after="40"/>
              <w:jc w:val="right"/>
              <w:rPr>
                <w:szCs w:val="18"/>
              </w:rPr>
            </w:pPr>
            <w:r w:rsidRPr="00B275E2">
              <w:rPr>
                <w:rFonts w:cs="Calibri"/>
                <w:szCs w:val="18"/>
              </w:rPr>
              <w:t>0.001</w:t>
            </w:r>
          </w:p>
        </w:tc>
        <w:tc>
          <w:tcPr>
            <w:tcW w:w="1134" w:type="dxa"/>
            <w:shd w:val="clear" w:color="auto" w:fill="auto"/>
            <w:noWrap/>
          </w:tcPr>
          <w:p w14:paraId="65091D33" w14:textId="74B44E85" w:rsidR="009312EC" w:rsidRPr="00B275E2" w:rsidRDefault="009312EC" w:rsidP="007F0B1E">
            <w:pPr>
              <w:pStyle w:val="TableText"/>
              <w:spacing w:before="40" w:after="40"/>
              <w:jc w:val="right"/>
              <w:rPr>
                <w:szCs w:val="18"/>
              </w:rPr>
            </w:pPr>
            <w:r w:rsidRPr="00B275E2">
              <w:rPr>
                <w:rFonts w:cs="Calibri"/>
                <w:szCs w:val="18"/>
              </w:rPr>
              <w:t>0.004</w:t>
            </w:r>
          </w:p>
        </w:tc>
      </w:tr>
      <w:tr w:rsidR="009312EC" w:rsidRPr="00B275E2" w14:paraId="65091D3C" w14:textId="77777777" w:rsidTr="00BC4F8C">
        <w:tc>
          <w:tcPr>
            <w:tcW w:w="1701" w:type="dxa"/>
            <w:vMerge/>
            <w:hideMark/>
          </w:tcPr>
          <w:p w14:paraId="65091D35" w14:textId="77777777" w:rsidR="009312EC" w:rsidRPr="00B275E2" w:rsidRDefault="009312EC" w:rsidP="007F0B1E">
            <w:pPr>
              <w:pStyle w:val="TableText"/>
              <w:spacing w:before="40" w:after="40"/>
              <w:rPr>
                <w:szCs w:val="18"/>
              </w:rPr>
            </w:pPr>
          </w:p>
        </w:tc>
        <w:tc>
          <w:tcPr>
            <w:tcW w:w="1501" w:type="dxa"/>
            <w:noWrap/>
            <w:hideMark/>
          </w:tcPr>
          <w:p w14:paraId="65091D36" w14:textId="0A5F77A6" w:rsidR="009312EC" w:rsidRPr="00B275E2" w:rsidRDefault="009312EC" w:rsidP="007F0B1E">
            <w:pPr>
              <w:pStyle w:val="TableText"/>
              <w:spacing w:before="40" w:after="40"/>
              <w:rPr>
                <w:szCs w:val="18"/>
              </w:rPr>
            </w:pPr>
            <w:r w:rsidRPr="00B275E2">
              <w:rPr>
                <w:szCs w:val="18"/>
              </w:rPr>
              <w:t>1350</w:t>
            </w:r>
            <w:r w:rsidRPr="00B275E2">
              <w:rPr>
                <w:rFonts w:cs="Calibri"/>
                <w:color w:val="000000"/>
                <w:szCs w:val="18"/>
              </w:rPr>
              <w:t xml:space="preserve"> -</w:t>
            </w:r>
            <w:r w:rsidRPr="00B275E2">
              <w:rPr>
                <w:szCs w:val="18"/>
              </w:rPr>
              <w:t xml:space="preserve"> &lt;1600 cc</w:t>
            </w:r>
          </w:p>
        </w:tc>
        <w:tc>
          <w:tcPr>
            <w:tcW w:w="626" w:type="dxa"/>
            <w:noWrap/>
            <w:hideMark/>
          </w:tcPr>
          <w:p w14:paraId="65091D37" w14:textId="77777777" w:rsidR="009312EC" w:rsidRPr="00B275E2" w:rsidRDefault="009312EC" w:rsidP="007F0B1E">
            <w:pPr>
              <w:pStyle w:val="TableText"/>
              <w:spacing w:before="40" w:after="40"/>
              <w:rPr>
                <w:szCs w:val="18"/>
              </w:rPr>
            </w:pPr>
            <w:r w:rsidRPr="00B275E2">
              <w:rPr>
                <w:szCs w:val="18"/>
              </w:rPr>
              <w:t>km</w:t>
            </w:r>
          </w:p>
        </w:tc>
        <w:tc>
          <w:tcPr>
            <w:tcW w:w="1247" w:type="dxa"/>
            <w:shd w:val="clear" w:color="auto" w:fill="D2DDE1" w:themeFill="background2"/>
            <w:noWrap/>
          </w:tcPr>
          <w:p w14:paraId="65091D38" w14:textId="4AE5D03D" w:rsidR="009312EC" w:rsidRPr="00B275E2" w:rsidRDefault="009312EC" w:rsidP="007F0B1E">
            <w:pPr>
              <w:pStyle w:val="TableText"/>
              <w:spacing w:before="40" w:after="40"/>
              <w:jc w:val="right"/>
              <w:rPr>
                <w:szCs w:val="18"/>
              </w:rPr>
            </w:pPr>
            <w:r w:rsidRPr="00B275E2">
              <w:rPr>
                <w:rFonts w:cs="Calibri"/>
                <w:szCs w:val="18"/>
              </w:rPr>
              <w:t>0.133</w:t>
            </w:r>
          </w:p>
        </w:tc>
        <w:tc>
          <w:tcPr>
            <w:tcW w:w="1087" w:type="dxa"/>
            <w:shd w:val="clear" w:color="auto" w:fill="auto"/>
            <w:noWrap/>
          </w:tcPr>
          <w:p w14:paraId="65091D39" w14:textId="5E039014" w:rsidR="009312EC" w:rsidRPr="00B275E2" w:rsidRDefault="009312EC" w:rsidP="007F0B1E">
            <w:pPr>
              <w:pStyle w:val="TableText"/>
              <w:spacing w:before="40" w:after="40"/>
              <w:jc w:val="right"/>
              <w:rPr>
                <w:szCs w:val="18"/>
              </w:rPr>
            </w:pPr>
            <w:r w:rsidRPr="00B275E2">
              <w:rPr>
                <w:rFonts w:cs="Calibri"/>
                <w:szCs w:val="18"/>
              </w:rPr>
              <w:t>0.127</w:t>
            </w:r>
          </w:p>
        </w:tc>
        <w:tc>
          <w:tcPr>
            <w:tcW w:w="1086" w:type="dxa"/>
            <w:shd w:val="clear" w:color="auto" w:fill="auto"/>
            <w:noWrap/>
          </w:tcPr>
          <w:p w14:paraId="65091D3A" w14:textId="2BFC844B" w:rsidR="009312EC" w:rsidRPr="00B275E2" w:rsidRDefault="009312EC" w:rsidP="007F0B1E">
            <w:pPr>
              <w:pStyle w:val="TableText"/>
              <w:spacing w:before="40" w:after="40"/>
              <w:jc w:val="right"/>
              <w:rPr>
                <w:szCs w:val="18"/>
              </w:rPr>
            </w:pPr>
            <w:r w:rsidRPr="00B275E2">
              <w:rPr>
                <w:rFonts w:cs="Calibri"/>
                <w:szCs w:val="18"/>
              </w:rPr>
              <w:t>0.001</w:t>
            </w:r>
          </w:p>
        </w:tc>
        <w:tc>
          <w:tcPr>
            <w:tcW w:w="1134" w:type="dxa"/>
            <w:shd w:val="clear" w:color="auto" w:fill="auto"/>
            <w:noWrap/>
          </w:tcPr>
          <w:p w14:paraId="65091D3B" w14:textId="7606BE49" w:rsidR="009312EC" w:rsidRPr="00B275E2" w:rsidRDefault="009312EC" w:rsidP="007F0B1E">
            <w:pPr>
              <w:pStyle w:val="TableText"/>
              <w:spacing w:before="40" w:after="40"/>
              <w:jc w:val="right"/>
              <w:rPr>
                <w:szCs w:val="18"/>
              </w:rPr>
            </w:pPr>
            <w:r w:rsidRPr="00B275E2">
              <w:rPr>
                <w:rFonts w:cs="Calibri"/>
                <w:szCs w:val="18"/>
              </w:rPr>
              <w:t>0.004</w:t>
            </w:r>
          </w:p>
        </w:tc>
      </w:tr>
      <w:tr w:rsidR="009312EC" w:rsidRPr="00B275E2" w14:paraId="65091D44" w14:textId="77777777" w:rsidTr="00BC4F8C">
        <w:tc>
          <w:tcPr>
            <w:tcW w:w="1701" w:type="dxa"/>
            <w:vMerge/>
            <w:hideMark/>
          </w:tcPr>
          <w:p w14:paraId="65091D3D" w14:textId="77777777" w:rsidR="009312EC" w:rsidRPr="00B275E2" w:rsidRDefault="009312EC" w:rsidP="007F0B1E">
            <w:pPr>
              <w:pStyle w:val="TableText"/>
              <w:spacing w:before="40" w:after="40"/>
              <w:rPr>
                <w:szCs w:val="18"/>
              </w:rPr>
            </w:pPr>
          </w:p>
        </w:tc>
        <w:tc>
          <w:tcPr>
            <w:tcW w:w="1501" w:type="dxa"/>
            <w:noWrap/>
            <w:hideMark/>
          </w:tcPr>
          <w:p w14:paraId="65091D3E" w14:textId="0BD7F9EB" w:rsidR="009312EC" w:rsidRPr="00B275E2" w:rsidRDefault="009312EC" w:rsidP="007F0B1E">
            <w:pPr>
              <w:pStyle w:val="TableText"/>
              <w:spacing w:before="40" w:after="40"/>
              <w:rPr>
                <w:szCs w:val="18"/>
              </w:rPr>
            </w:pPr>
            <w:r w:rsidRPr="00B275E2">
              <w:rPr>
                <w:szCs w:val="18"/>
              </w:rPr>
              <w:t>1600</w:t>
            </w:r>
            <w:r w:rsidRPr="00B275E2">
              <w:rPr>
                <w:rFonts w:cs="Calibri"/>
                <w:color w:val="000000"/>
                <w:szCs w:val="18"/>
              </w:rPr>
              <w:t xml:space="preserve"> -</w:t>
            </w:r>
            <w:r w:rsidRPr="00B275E2">
              <w:rPr>
                <w:szCs w:val="18"/>
              </w:rPr>
              <w:t xml:space="preserve"> &lt;2000 cc</w:t>
            </w:r>
          </w:p>
        </w:tc>
        <w:tc>
          <w:tcPr>
            <w:tcW w:w="626" w:type="dxa"/>
            <w:noWrap/>
            <w:hideMark/>
          </w:tcPr>
          <w:p w14:paraId="65091D3F" w14:textId="77777777" w:rsidR="009312EC" w:rsidRPr="00B275E2" w:rsidRDefault="009312EC" w:rsidP="007F0B1E">
            <w:pPr>
              <w:pStyle w:val="TableText"/>
              <w:spacing w:before="40" w:after="40"/>
              <w:rPr>
                <w:szCs w:val="18"/>
              </w:rPr>
            </w:pPr>
            <w:r w:rsidRPr="00B275E2">
              <w:rPr>
                <w:szCs w:val="18"/>
              </w:rPr>
              <w:t>km</w:t>
            </w:r>
          </w:p>
        </w:tc>
        <w:tc>
          <w:tcPr>
            <w:tcW w:w="1247" w:type="dxa"/>
            <w:shd w:val="clear" w:color="auto" w:fill="D2DDE1" w:themeFill="background2"/>
            <w:noWrap/>
          </w:tcPr>
          <w:p w14:paraId="65091D40" w14:textId="67932E62" w:rsidR="009312EC" w:rsidRPr="00B275E2" w:rsidRDefault="009312EC" w:rsidP="007F0B1E">
            <w:pPr>
              <w:pStyle w:val="TableText"/>
              <w:spacing w:before="40" w:after="40"/>
              <w:jc w:val="right"/>
              <w:rPr>
                <w:szCs w:val="18"/>
              </w:rPr>
            </w:pPr>
            <w:r w:rsidRPr="00B275E2">
              <w:rPr>
                <w:rFonts w:cs="Calibri"/>
                <w:szCs w:val="18"/>
              </w:rPr>
              <w:t>0.149</w:t>
            </w:r>
          </w:p>
        </w:tc>
        <w:tc>
          <w:tcPr>
            <w:tcW w:w="1087" w:type="dxa"/>
            <w:shd w:val="clear" w:color="auto" w:fill="auto"/>
            <w:noWrap/>
          </w:tcPr>
          <w:p w14:paraId="65091D41" w14:textId="5BE7B675" w:rsidR="009312EC" w:rsidRPr="00B275E2" w:rsidRDefault="009312EC" w:rsidP="007F0B1E">
            <w:pPr>
              <w:pStyle w:val="TableText"/>
              <w:spacing w:before="40" w:after="40"/>
              <w:jc w:val="right"/>
              <w:rPr>
                <w:szCs w:val="18"/>
              </w:rPr>
            </w:pPr>
            <w:r w:rsidRPr="00B275E2">
              <w:rPr>
                <w:rFonts w:cs="Calibri"/>
                <w:szCs w:val="18"/>
              </w:rPr>
              <w:t>0.143</w:t>
            </w:r>
          </w:p>
        </w:tc>
        <w:tc>
          <w:tcPr>
            <w:tcW w:w="1086" w:type="dxa"/>
            <w:shd w:val="clear" w:color="auto" w:fill="auto"/>
            <w:noWrap/>
          </w:tcPr>
          <w:p w14:paraId="65091D42" w14:textId="7E3A67C6" w:rsidR="009312EC" w:rsidRPr="00B275E2" w:rsidRDefault="009312EC" w:rsidP="007F0B1E">
            <w:pPr>
              <w:pStyle w:val="TableText"/>
              <w:spacing w:before="40" w:after="40"/>
              <w:jc w:val="right"/>
              <w:rPr>
                <w:szCs w:val="18"/>
              </w:rPr>
            </w:pPr>
            <w:r w:rsidRPr="00B275E2">
              <w:rPr>
                <w:rFonts w:cs="Calibri"/>
                <w:szCs w:val="18"/>
              </w:rPr>
              <w:t>0.002</w:t>
            </w:r>
          </w:p>
        </w:tc>
        <w:tc>
          <w:tcPr>
            <w:tcW w:w="1134" w:type="dxa"/>
            <w:shd w:val="clear" w:color="auto" w:fill="auto"/>
            <w:noWrap/>
          </w:tcPr>
          <w:p w14:paraId="65091D43" w14:textId="5F2625F2" w:rsidR="009312EC" w:rsidRPr="00B275E2" w:rsidRDefault="009312EC" w:rsidP="007F0B1E">
            <w:pPr>
              <w:pStyle w:val="TableText"/>
              <w:spacing w:before="40" w:after="40"/>
              <w:jc w:val="right"/>
              <w:rPr>
                <w:szCs w:val="18"/>
              </w:rPr>
            </w:pPr>
            <w:r w:rsidRPr="00B275E2">
              <w:rPr>
                <w:rFonts w:cs="Calibri"/>
                <w:szCs w:val="18"/>
              </w:rPr>
              <w:t>0.005</w:t>
            </w:r>
          </w:p>
        </w:tc>
      </w:tr>
      <w:tr w:rsidR="009312EC" w:rsidRPr="00B275E2" w14:paraId="65091D4C" w14:textId="77777777" w:rsidTr="00BC4F8C">
        <w:tc>
          <w:tcPr>
            <w:tcW w:w="1701" w:type="dxa"/>
            <w:vMerge/>
            <w:hideMark/>
          </w:tcPr>
          <w:p w14:paraId="65091D45" w14:textId="77777777" w:rsidR="009312EC" w:rsidRPr="00B275E2" w:rsidRDefault="009312EC" w:rsidP="007F0B1E">
            <w:pPr>
              <w:pStyle w:val="TableText"/>
              <w:spacing w:before="40" w:after="40"/>
              <w:rPr>
                <w:szCs w:val="18"/>
              </w:rPr>
            </w:pPr>
          </w:p>
        </w:tc>
        <w:tc>
          <w:tcPr>
            <w:tcW w:w="1501" w:type="dxa"/>
            <w:noWrap/>
            <w:hideMark/>
          </w:tcPr>
          <w:p w14:paraId="65091D46" w14:textId="7EE9C27D" w:rsidR="009312EC" w:rsidRPr="00B275E2" w:rsidRDefault="009312EC" w:rsidP="007F0B1E">
            <w:pPr>
              <w:pStyle w:val="TableText"/>
              <w:spacing w:before="40" w:after="40"/>
              <w:rPr>
                <w:szCs w:val="18"/>
              </w:rPr>
            </w:pPr>
            <w:r w:rsidRPr="00B275E2">
              <w:rPr>
                <w:szCs w:val="18"/>
              </w:rPr>
              <w:t>2000</w:t>
            </w:r>
            <w:r w:rsidRPr="00B275E2">
              <w:rPr>
                <w:rFonts w:cs="Calibri"/>
                <w:color w:val="000000"/>
                <w:szCs w:val="18"/>
              </w:rPr>
              <w:t xml:space="preserve"> -</w:t>
            </w:r>
            <w:r w:rsidRPr="00B275E2">
              <w:rPr>
                <w:szCs w:val="18"/>
              </w:rPr>
              <w:t xml:space="preserve"> &lt;3000 cc </w:t>
            </w:r>
          </w:p>
        </w:tc>
        <w:tc>
          <w:tcPr>
            <w:tcW w:w="626" w:type="dxa"/>
            <w:noWrap/>
            <w:hideMark/>
          </w:tcPr>
          <w:p w14:paraId="65091D47" w14:textId="77777777" w:rsidR="009312EC" w:rsidRPr="00B275E2" w:rsidRDefault="009312EC" w:rsidP="007F0B1E">
            <w:pPr>
              <w:pStyle w:val="TableText"/>
              <w:spacing w:before="40" w:after="40"/>
              <w:rPr>
                <w:szCs w:val="18"/>
              </w:rPr>
            </w:pPr>
            <w:r w:rsidRPr="00B275E2">
              <w:rPr>
                <w:szCs w:val="18"/>
              </w:rPr>
              <w:t>km</w:t>
            </w:r>
          </w:p>
        </w:tc>
        <w:tc>
          <w:tcPr>
            <w:tcW w:w="1247" w:type="dxa"/>
            <w:shd w:val="clear" w:color="auto" w:fill="D2DDE1" w:themeFill="background2"/>
            <w:noWrap/>
          </w:tcPr>
          <w:p w14:paraId="65091D48" w14:textId="423115A7" w:rsidR="009312EC" w:rsidRPr="00B275E2" w:rsidRDefault="009312EC" w:rsidP="007F0B1E">
            <w:pPr>
              <w:pStyle w:val="TableText"/>
              <w:spacing w:before="40" w:after="40"/>
              <w:jc w:val="right"/>
              <w:rPr>
                <w:szCs w:val="18"/>
              </w:rPr>
            </w:pPr>
            <w:r w:rsidRPr="00B275E2">
              <w:rPr>
                <w:rFonts w:cs="Calibri"/>
                <w:szCs w:val="18"/>
              </w:rPr>
              <w:t>0.166</w:t>
            </w:r>
          </w:p>
        </w:tc>
        <w:tc>
          <w:tcPr>
            <w:tcW w:w="1087" w:type="dxa"/>
            <w:shd w:val="clear" w:color="auto" w:fill="auto"/>
            <w:noWrap/>
          </w:tcPr>
          <w:p w14:paraId="65091D49" w14:textId="76F0CC9C" w:rsidR="009312EC" w:rsidRPr="00B275E2" w:rsidRDefault="009312EC" w:rsidP="007F0B1E">
            <w:pPr>
              <w:pStyle w:val="TableText"/>
              <w:spacing w:before="40" w:after="40"/>
              <w:jc w:val="right"/>
              <w:rPr>
                <w:szCs w:val="18"/>
              </w:rPr>
            </w:pPr>
            <w:r w:rsidRPr="00B275E2">
              <w:rPr>
                <w:rFonts w:cs="Calibri"/>
                <w:szCs w:val="18"/>
              </w:rPr>
              <w:t>0.159</w:t>
            </w:r>
          </w:p>
        </w:tc>
        <w:tc>
          <w:tcPr>
            <w:tcW w:w="1086" w:type="dxa"/>
            <w:shd w:val="clear" w:color="auto" w:fill="auto"/>
            <w:noWrap/>
          </w:tcPr>
          <w:p w14:paraId="65091D4A" w14:textId="3CBB9ED4" w:rsidR="009312EC" w:rsidRPr="00B275E2" w:rsidRDefault="009312EC" w:rsidP="007F0B1E">
            <w:pPr>
              <w:pStyle w:val="TableText"/>
              <w:spacing w:before="40" w:after="40"/>
              <w:jc w:val="right"/>
              <w:rPr>
                <w:szCs w:val="18"/>
              </w:rPr>
            </w:pPr>
            <w:r w:rsidRPr="00B275E2">
              <w:rPr>
                <w:rFonts w:cs="Calibri"/>
                <w:szCs w:val="18"/>
              </w:rPr>
              <w:t>0.002</w:t>
            </w:r>
          </w:p>
        </w:tc>
        <w:tc>
          <w:tcPr>
            <w:tcW w:w="1134" w:type="dxa"/>
            <w:shd w:val="clear" w:color="auto" w:fill="auto"/>
            <w:noWrap/>
          </w:tcPr>
          <w:p w14:paraId="65091D4B" w14:textId="2CB28F6A" w:rsidR="009312EC" w:rsidRPr="00B275E2" w:rsidRDefault="009312EC" w:rsidP="007F0B1E">
            <w:pPr>
              <w:pStyle w:val="TableText"/>
              <w:spacing w:before="40" w:after="40"/>
              <w:jc w:val="right"/>
              <w:rPr>
                <w:szCs w:val="18"/>
              </w:rPr>
            </w:pPr>
            <w:r w:rsidRPr="00B275E2">
              <w:rPr>
                <w:rFonts w:cs="Calibri"/>
                <w:szCs w:val="18"/>
              </w:rPr>
              <w:t>0.005</w:t>
            </w:r>
          </w:p>
        </w:tc>
      </w:tr>
      <w:tr w:rsidR="009312EC" w:rsidRPr="00B275E2" w14:paraId="65091D54" w14:textId="77777777" w:rsidTr="00BC4F8C">
        <w:tc>
          <w:tcPr>
            <w:tcW w:w="1701" w:type="dxa"/>
            <w:vMerge/>
            <w:hideMark/>
          </w:tcPr>
          <w:p w14:paraId="65091D4D" w14:textId="77777777" w:rsidR="009312EC" w:rsidRPr="00B275E2" w:rsidRDefault="009312EC" w:rsidP="007F0B1E">
            <w:pPr>
              <w:pStyle w:val="TableText"/>
              <w:spacing w:before="40" w:after="40"/>
              <w:rPr>
                <w:szCs w:val="18"/>
              </w:rPr>
            </w:pPr>
          </w:p>
        </w:tc>
        <w:tc>
          <w:tcPr>
            <w:tcW w:w="1501" w:type="dxa"/>
            <w:noWrap/>
            <w:hideMark/>
          </w:tcPr>
          <w:p w14:paraId="65091D4E" w14:textId="072DD113" w:rsidR="009312EC" w:rsidRPr="00B275E2" w:rsidRDefault="009312EC" w:rsidP="007F0B1E">
            <w:pPr>
              <w:pStyle w:val="TableText"/>
              <w:spacing w:before="40" w:after="40"/>
              <w:rPr>
                <w:szCs w:val="18"/>
              </w:rPr>
            </w:pPr>
            <w:r w:rsidRPr="00B275E2">
              <w:rPr>
                <w:szCs w:val="18"/>
              </w:rPr>
              <w:t>≥3000 cc</w:t>
            </w:r>
          </w:p>
        </w:tc>
        <w:tc>
          <w:tcPr>
            <w:tcW w:w="626" w:type="dxa"/>
            <w:noWrap/>
            <w:hideMark/>
          </w:tcPr>
          <w:p w14:paraId="65091D4F" w14:textId="77777777" w:rsidR="009312EC" w:rsidRPr="00B275E2" w:rsidRDefault="009312EC" w:rsidP="007F0B1E">
            <w:pPr>
              <w:pStyle w:val="TableText"/>
              <w:spacing w:before="40" w:after="40"/>
              <w:rPr>
                <w:szCs w:val="18"/>
              </w:rPr>
            </w:pPr>
            <w:r w:rsidRPr="00B275E2">
              <w:rPr>
                <w:szCs w:val="18"/>
              </w:rPr>
              <w:t>km</w:t>
            </w:r>
          </w:p>
        </w:tc>
        <w:tc>
          <w:tcPr>
            <w:tcW w:w="1247" w:type="dxa"/>
            <w:shd w:val="clear" w:color="auto" w:fill="D2DDE1" w:themeFill="background2"/>
            <w:noWrap/>
          </w:tcPr>
          <w:p w14:paraId="65091D50" w14:textId="55A7D5F6" w:rsidR="009312EC" w:rsidRPr="00B275E2" w:rsidRDefault="009312EC" w:rsidP="007F0B1E">
            <w:pPr>
              <w:pStyle w:val="TableText"/>
              <w:spacing w:before="40" w:after="40"/>
              <w:jc w:val="right"/>
              <w:rPr>
                <w:szCs w:val="18"/>
              </w:rPr>
            </w:pPr>
            <w:r w:rsidRPr="00B275E2">
              <w:rPr>
                <w:rFonts w:cs="Calibri"/>
                <w:szCs w:val="18"/>
              </w:rPr>
              <w:t>0.198</w:t>
            </w:r>
          </w:p>
        </w:tc>
        <w:tc>
          <w:tcPr>
            <w:tcW w:w="1087" w:type="dxa"/>
            <w:shd w:val="clear" w:color="auto" w:fill="auto"/>
            <w:noWrap/>
          </w:tcPr>
          <w:p w14:paraId="65091D51" w14:textId="702D683E" w:rsidR="009312EC" w:rsidRPr="00B275E2" w:rsidRDefault="009312EC" w:rsidP="007F0B1E">
            <w:pPr>
              <w:pStyle w:val="TableText"/>
              <w:spacing w:before="40" w:after="40"/>
              <w:jc w:val="right"/>
              <w:rPr>
                <w:szCs w:val="18"/>
              </w:rPr>
            </w:pPr>
            <w:r w:rsidRPr="00B275E2">
              <w:rPr>
                <w:rFonts w:cs="Calibri"/>
                <w:szCs w:val="18"/>
              </w:rPr>
              <w:t>0.190</w:t>
            </w:r>
          </w:p>
        </w:tc>
        <w:tc>
          <w:tcPr>
            <w:tcW w:w="1086" w:type="dxa"/>
            <w:shd w:val="clear" w:color="auto" w:fill="auto"/>
            <w:noWrap/>
          </w:tcPr>
          <w:p w14:paraId="65091D52" w14:textId="72F9D7E6" w:rsidR="009312EC" w:rsidRPr="00B275E2" w:rsidRDefault="009312EC" w:rsidP="007F0B1E">
            <w:pPr>
              <w:pStyle w:val="TableText"/>
              <w:spacing w:before="40" w:after="40"/>
              <w:jc w:val="right"/>
              <w:rPr>
                <w:szCs w:val="18"/>
              </w:rPr>
            </w:pPr>
            <w:r w:rsidRPr="00B275E2">
              <w:rPr>
                <w:rFonts w:cs="Calibri"/>
                <w:szCs w:val="18"/>
              </w:rPr>
              <w:t>0.002</w:t>
            </w:r>
          </w:p>
        </w:tc>
        <w:tc>
          <w:tcPr>
            <w:tcW w:w="1134" w:type="dxa"/>
            <w:shd w:val="clear" w:color="auto" w:fill="auto"/>
            <w:noWrap/>
          </w:tcPr>
          <w:p w14:paraId="65091D53" w14:textId="26CF32A4" w:rsidR="009312EC" w:rsidRPr="00B275E2" w:rsidRDefault="009312EC" w:rsidP="007F0B1E">
            <w:pPr>
              <w:pStyle w:val="TableText"/>
              <w:spacing w:before="40" w:after="40"/>
              <w:jc w:val="right"/>
              <w:rPr>
                <w:szCs w:val="18"/>
              </w:rPr>
            </w:pPr>
            <w:r w:rsidRPr="00B275E2">
              <w:rPr>
                <w:rFonts w:cs="Calibri"/>
                <w:szCs w:val="18"/>
              </w:rPr>
              <w:t>0.006</w:t>
            </w:r>
          </w:p>
        </w:tc>
      </w:tr>
      <w:tr w:rsidR="009312EC" w:rsidRPr="00B275E2" w14:paraId="65091D5C" w14:textId="77777777" w:rsidTr="00BC4F8C">
        <w:tc>
          <w:tcPr>
            <w:tcW w:w="1701" w:type="dxa"/>
            <w:vMerge w:val="restart"/>
          </w:tcPr>
          <w:p w14:paraId="65091D55" w14:textId="77777777" w:rsidR="009312EC" w:rsidRPr="00B275E2" w:rsidRDefault="009312EC" w:rsidP="007F0B1E">
            <w:pPr>
              <w:pStyle w:val="TableText"/>
              <w:keepNext/>
              <w:spacing w:before="40" w:after="40"/>
              <w:rPr>
                <w:szCs w:val="18"/>
              </w:rPr>
            </w:pPr>
            <w:r w:rsidRPr="00B275E2">
              <w:rPr>
                <w:szCs w:val="18"/>
              </w:rPr>
              <w:t>Diesel hybrid vehicle</w:t>
            </w:r>
          </w:p>
        </w:tc>
        <w:tc>
          <w:tcPr>
            <w:tcW w:w="1501" w:type="dxa"/>
            <w:noWrap/>
          </w:tcPr>
          <w:p w14:paraId="65091D56" w14:textId="6E8B56A6" w:rsidR="009312EC" w:rsidRPr="00B275E2" w:rsidRDefault="009312EC" w:rsidP="007F0B1E">
            <w:pPr>
              <w:pStyle w:val="TableText"/>
              <w:keepNext/>
              <w:spacing w:before="40" w:after="40"/>
              <w:rPr>
                <w:szCs w:val="18"/>
              </w:rPr>
            </w:pPr>
            <w:r w:rsidRPr="00B275E2">
              <w:rPr>
                <w:szCs w:val="18"/>
              </w:rPr>
              <w:t xml:space="preserve">&lt;1350 cc </w:t>
            </w:r>
          </w:p>
        </w:tc>
        <w:tc>
          <w:tcPr>
            <w:tcW w:w="626" w:type="dxa"/>
            <w:noWrap/>
          </w:tcPr>
          <w:p w14:paraId="65091D57" w14:textId="77777777" w:rsidR="009312EC" w:rsidRPr="00B275E2" w:rsidRDefault="009312EC" w:rsidP="007F0B1E">
            <w:pPr>
              <w:pStyle w:val="TableText"/>
              <w:keepNext/>
              <w:spacing w:before="40" w:after="40"/>
              <w:rPr>
                <w:szCs w:val="18"/>
              </w:rPr>
            </w:pPr>
            <w:r w:rsidRPr="00B275E2">
              <w:rPr>
                <w:szCs w:val="18"/>
              </w:rPr>
              <w:t>km</w:t>
            </w:r>
          </w:p>
        </w:tc>
        <w:tc>
          <w:tcPr>
            <w:tcW w:w="1247" w:type="dxa"/>
            <w:shd w:val="clear" w:color="auto" w:fill="D2DDE1" w:themeFill="background2"/>
            <w:noWrap/>
          </w:tcPr>
          <w:p w14:paraId="65091D58" w14:textId="41D55410" w:rsidR="009312EC" w:rsidRPr="00B275E2" w:rsidRDefault="009312EC" w:rsidP="007F0B1E">
            <w:pPr>
              <w:pStyle w:val="TableText"/>
              <w:keepNext/>
              <w:spacing w:before="40" w:after="40"/>
              <w:jc w:val="right"/>
              <w:rPr>
                <w:szCs w:val="18"/>
              </w:rPr>
            </w:pPr>
            <w:r w:rsidRPr="00B275E2">
              <w:rPr>
                <w:rFonts w:cs="Calibri"/>
                <w:szCs w:val="18"/>
              </w:rPr>
              <w:t>0.164</w:t>
            </w:r>
          </w:p>
        </w:tc>
        <w:tc>
          <w:tcPr>
            <w:tcW w:w="1087" w:type="dxa"/>
            <w:shd w:val="clear" w:color="auto" w:fill="auto"/>
            <w:noWrap/>
          </w:tcPr>
          <w:p w14:paraId="65091D59" w14:textId="10869895" w:rsidR="009312EC" w:rsidRPr="00B275E2" w:rsidRDefault="009312EC" w:rsidP="007F0B1E">
            <w:pPr>
              <w:pStyle w:val="TableText"/>
              <w:keepNext/>
              <w:spacing w:before="40" w:after="40"/>
              <w:jc w:val="right"/>
              <w:rPr>
                <w:szCs w:val="18"/>
              </w:rPr>
            </w:pPr>
            <w:r w:rsidRPr="00B275E2">
              <w:rPr>
                <w:rFonts w:cs="Calibri"/>
                <w:szCs w:val="18"/>
              </w:rPr>
              <w:t>0.161</w:t>
            </w:r>
          </w:p>
        </w:tc>
        <w:tc>
          <w:tcPr>
            <w:tcW w:w="1086" w:type="dxa"/>
            <w:shd w:val="clear" w:color="auto" w:fill="auto"/>
            <w:noWrap/>
          </w:tcPr>
          <w:p w14:paraId="65091D5A" w14:textId="6A45A98C" w:rsidR="009312EC" w:rsidRPr="00B275E2" w:rsidRDefault="009312EC" w:rsidP="007F0B1E">
            <w:pPr>
              <w:pStyle w:val="TableText"/>
              <w:keepNext/>
              <w:spacing w:before="40" w:after="40"/>
              <w:jc w:val="right"/>
              <w:rPr>
                <w:szCs w:val="18"/>
              </w:rPr>
            </w:pPr>
            <w:r w:rsidRPr="00B275E2">
              <w:rPr>
                <w:rFonts w:cs="Calibri"/>
                <w:szCs w:val="18"/>
              </w:rPr>
              <w:t>0.0002</w:t>
            </w:r>
          </w:p>
        </w:tc>
        <w:tc>
          <w:tcPr>
            <w:tcW w:w="1134" w:type="dxa"/>
            <w:shd w:val="clear" w:color="auto" w:fill="auto"/>
            <w:noWrap/>
          </w:tcPr>
          <w:p w14:paraId="65091D5B" w14:textId="741DBA24" w:rsidR="009312EC" w:rsidRPr="00B275E2" w:rsidRDefault="009312EC" w:rsidP="007F0B1E">
            <w:pPr>
              <w:pStyle w:val="TableText"/>
              <w:keepNext/>
              <w:spacing w:before="40" w:after="40"/>
              <w:jc w:val="right"/>
              <w:rPr>
                <w:szCs w:val="18"/>
              </w:rPr>
            </w:pPr>
            <w:r w:rsidRPr="00B275E2">
              <w:rPr>
                <w:rFonts w:cs="Calibri"/>
                <w:szCs w:val="18"/>
              </w:rPr>
              <w:t>0.003</w:t>
            </w:r>
          </w:p>
        </w:tc>
      </w:tr>
      <w:tr w:rsidR="009312EC" w:rsidRPr="00B275E2" w14:paraId="65091D64" w14:textId="77777777" w:rsidTr="00BC4F8C">
        <w:tc>
          <w:tcPr>
            <w:tcW w:w="1701" w:type="dxa"/>
            <w:vMerge/>
          </w:tcPr>
          <w:p w14:paraId="65091D5D" w14:textId="77777777" w:rsidR="009312EC" w:rsidRPr="00B275E2" w:rsidRDefault="009312EC" w:rsidP="007F0B1E">
            <w:pPr>
              <w:pStyle w:val="TableText"/>
              <w:keepNext/>
              <w:spacing w:before="40" w:after="40"/>
              <w:rPr>
                <w:szCs w:val="18"/>
              </w:rPr>
            </w:pPr>
          </w:p>
        </w:tc>
        <w:tc>
          <w:tcPr>
            <w:tcW w:w="1501" w:type="dxa"/>
            <w:noWrap/>
          </w:tcPr>
          <w:p w14:paraId="65091D5E" w14:textId="546AA2B8" w:rsidR="009312EC" w:rsidRPr="00B275E2" w:rsidRDefault="009312EC" w:rsidP="007F0B1E">
            <w:pPr>
              <w:pStyle w:val="TableText"/>
              <w:keepNext/>
              <w:spacing w:before="40" w:after="40"/>
              <w:rPr>
                <w:szCs w:val="18"/>
              </w:rPr>
            </w:pPr>
            <w:r w:rsidRPr="00B275E2">
              <w:rPr>
                <w:szCs w:val="18"/>
              </w:rPr>
              <w:t>1350</w:t>
            </w:r>
            <w:r w:rsidRPr="00B275E2">
              <w:rPr>
                <w:rFonts w:cs="Calibri"/>
                <w:color w:val="000000"/>
                <w:szCs w:val="18"/>
              </w:rPr>
              <w:t xml:space="preserve"> -</w:t>
            </w:r>
            <w:r w:rsidRPr="00B275E2">
              <w:rPr>
                <w:szCs w:val="18"/>
              </w:rPr>
              <w:t xml:space="preserve"> &lt;1600 cc</w:t>
            </w:r>
          </w:p>
        </w:tc>
        <w:tc>
          <w:tcPr>
            <w:tcW w:w="626" w:type="dxa"/>
            <w:noWrap/>
          </w:tcPr>
          <w:p w14:paraId="65091D5F" w14:textId="77777777" w:rsidR="009312EC" w:rsidRPr="00B275E2" w:rsidRDefault="009312EC" w:rsidP="007F0B1E">
            <w:pPr>
              <w:pStyle w:val="TableText"/>
              <w:keepNext/>
              <w:spacing w:before="40" w:after="40"/>
              <w:rPr>
                <w:szCs w:val="18"/>
              </w:rPr>
            </w:pPr>
            <w:r w:rsidRPr="00B275E2">
              <w:rPr>
                <w:szCs w:val="18"/>
              </w:rPr>
              <w:t>km</w:t>
            </w:r>
          </w:p>
        </w:tc>
        <w:tc>
          <w:tcPr>
            <w:tcW w:w="1247" w:type="dxa"/>
            <w:shd w:val="clear" w:color="auto" w:fill="D2DDE1" w:themeFill="background2"/>
            <w:noWrap/>
          </w:tcPr>
          <w:p w14:paraId="65091D60" w14:textId="0E25A5A6" w:rsidR="009312EC" w:rsidRPr="00B275E2" w:rsidRDefault="009312EC" w:rsidP="007F0B1E">
            <w:pPr>
              <w:pStyle w:val="TableText"/>
              <w:keepNext/>
              <w:spacing w:before="40" w:after="40"/>
              <w:jc w:val="right"/>
              <w:rPr>
                <w:szCs w:val="18"/>
              </w:rPr>
            </w:pPr>
            <w:r w:rsidRPr="00B275E2">
              <w:rPr>
                <w:rFonts w:cs="Calibri"/>
                <w:szCs w:val="18"/>
              </w:rPr>
              <w:t>0.158</w:t>
            </w:r>
          </w:p>
        </w:tc>
        <w:tc>
          <w:tcPr>
            <w:tcW w:w="1087" w:type="dxa"/>
            <w:shd w:val="clear" w:color="auto" w:fill="auto"/>
            <w:noWrap/>
          </w:tcPr>
          <w:p w14:paraId="65091D61" w14:textId="0F6702C9" w:rsidR="009312EC" w:rsidRPr="00B275E2" w:rsidRDefault="009312EC" w:rsidP="007F0B1E">
            <w:pPr>
              <w:pStyle w:val="TableText"/>
              <w:keepNext/>
              <w:spacing w:before="40" w:after="40"/>
              <w:jc w:val="right"/>
              <w:rPr>
                <w:szCs w:val="18"/>
              </w:rPr>
            </w:pPr>
            <w:r w:rsidRPr="00B275E2">
              <w:rPr>
                <w:rFonts w:cs="Calibri"/>
                <w:szCs w:val="18"/>
              </w:rPr>
              <w:t>0.155</w:t>
            </w:r>
          </w:p>
        </w:tc>
        <w:tc>
          <w:tcPr>
            <w:tcW w:w="1086" w:type="dxa"/>
            <w:shd w:val="clear" w:color="auto" w:fill="auto"/>
            <w:noWrap/>
          </w:tcPr>
          <w:p w14:paraId="65091D62" w14:textId="77D2CEB1" w:rsidR="009312EC" w:rsidRPr="00B275E2" w:rsidRDefault="009312EC" w:rsidP="007F0B1E">
            <w:pPr>
              <w:pStyle w:val="TableText"/>
              <w:keepNext/>
              <w:spacing w:before="40" w:after="40"/>
              <w:jc w:val="right"/>
              <w:rPr>
                <w:szCs w:val="18"/>
              </w:rPr>
            </w:pPr>
            <w:r w:rsidRPr="00B275E2">
              <w:rPr>
                <w:rFonts w:cs="Calibri"/>
                <w:szCs w:val="18"/>
              </w:rPr>
              <w:t>0.0002</w:t>
            </w:r>
          </w:p>
        </w:tc>
        <w:tc>
          <w:tcPr>
            <w:tcW w:w="1134" w:type="dxa"/>
            <w:shd w:val="clear" w:color="auto" w:fill="auto"/>
            <w:noWrap/>
          </w:tcPr>
          <w:p w14:paraId="65091D63" w14:textId="3F724D2E" w:rsidR="009312EC" w:rsidRPr="00B275E2" w:rsidRDefault="009312EC" w:rsidP="007F0B1E">
            <w:pPr>
              <w:pStyle w:val="TableText"/>
              <w:keepNext/>
              <w:spacing w:before="40" w:after="40"/>
              <w:jc w:val="right"/>
              <w:rPr>
                <w:szCs w:val="18"/>
              </w:rPr>
            </w:pPr>
            <w:r w:rsidRPr="00B275E2">
              <w:rPr>
                <w:rFonts w:cs="Calibri"/>
                <w:szCs w:val="18"/>
              </w:rPr>
              <w:t>0.002</w:t>
            </w:r>
          </w:p>
        </w:tc>
      </w:tr>
      <w:tr w:rsidR="009312EC" w:rsidRPr="00B275E2" w14:paraId="65091D6C" w14:textId="77777777" w:rsidTr="00BC4F8C">
        <w:tc>
          <w:tcPr>
            <w:tcW w:w="1701" w:type="dxa"/>
            <w:vMerge/>
          </w:tcPr>
          <w:p w14:paraId="65091D65" w14:textId="77777777" w:rsidR="009312EC" w:rsidRPr="00B275E2" w:rsidRDefault="009312EC" w:rsidP="007F0B1E">
            <w:pPr>
              <w:pStyle w:val="TableText"/>
              <w:keepNext/>
              <w:spacing w:before="40" w:after="40"/>
              <w:rPr>
                <w:szCs w:val="18"/>
              </w:rPr>
            </w:pPr>
          </w:p>
        </w:tc>
        <w:tc>
          <w:tcPr>
            <w:tcW w:w="1501" w:type="dxa"/>
            <w:noWrap/>
          </w:tcPr>
          <w:p w14:paraId="65091D66" w14:textId="39BDE8B6" w:rsidR="009312EC" w:rsidRPr="00B275E2" w:rsidRDefault="009312EC" w:rsidP="007F0B1E">
            <w:pPr>
              <w:pStyle w:val="TableText"/>
              <w:keepNext/>
              <w:spacing w:before="40" w:after="40"/>
              <w:rPr>
                <w:szCs w:val="18"/>
              </w:rPr>
            </w:pPr>
            <w:r w:rsidRPr="00B275E2">
              <w:rPr>
                <w:szCs w:val="18"/>
              </w:rPr>
              <w:t>1600</w:t>
            </w:r>
            <w:r w:rsidRPr="00B275E2">
              <w:rPr>
                <w:rFonts w:cs="Calibri"/>
                <w:color w:val="000000"/>
                <w:szCs w:val="18"/>
              </w:rPr>
              <w:t xml:space="preserve"> -</w:t>
            </w:r>
            <w:r w:rsidRPr="00B275E2">
              <w:rPr>
                <w:szCs w:val="18"/>
              </w:rPr>
              <w:t xml:space="preserve"> &lt;2000 cc</w:t>
            </w:r>
          </w:p>
        </w:tc>
        <w:tc>
          <w:tcPr>
            <w:tcW w:w="626" w:type="dxa"/>
            <w:noWrap/>
          </w:tcPr>
          <w:p w14:paraId="65091D67" w14:textId="77777777" w:rsidR="009312EC" w:rsidRPr="00B275E2" w:rsidRDefault="009312EC" w:rsidP="007F0B1E">
            <w:pPr>
              <w:pStyle w:val="TableText"/>
              <w:keepNext/>
              <w:spacing w:before="40" w:after="40"/>
              <w:rPr>
                <w:szCs w:val="18"/>
              </w:rPr>
            </w:pPr>
            <w:r w:rsidRPr="00B275E2">
              <w:rPr>
                <w:szCs w:val="18"/>
              </w:rPr>
              <w:t>km</w:t>
            </w:r>
          </w:p>
        </w:tc>
        <w:tc>
          <w:tcPr>
            <w:tcW w:w="1247" w:type="dxa"/>
            <w:shd w:val="clear" w:color="auto" w:fill="D2DDE1" w:themeFill="background2"/>
            <w:noWrap/>
          </w:tcPr>
          <w:p w14:paraId="65091D68" w14:textId="04254467" w:rsidR="009312EC" w:rsidRPr="00B275E2" w:rsidRDefault="009312EC" w:rsidP="007F0B1E">
            <w:pPr>
              <w:pStyle w:val="TableText"/>
              <w:keepNext/>
              <w:spacing w:before="40" w:after="40"/>
              <w:jc w:val="right"/>
              <w:rPr>
                <w:szCs w:val="18"/>
              </w:rPr>
            </w:pPr>
            <w:r w:rsidRPr="00B275E2">
              <w:rPr>
                <w:rFonts w:cs="Calibri"/>
                <w:szCs w:val="18"/>
              </w:rPr>
              <w:t>0.167</w:t>
            </w:r>
          </w:p>
        </w:tc>
        <w:tc>
          <w:tcPr>
            <w:tcW w:w="1087" w:type="dxa"/>
            <w:shd w:val="clear" w:color="auto" w:fill="auto"/>
            <w:noWrap/>
          </w:tcPr>
          <w:p w14:paraId="65091D69" w14:textId="20127613" w:rsidR="009312EC" w:rsidRPr="00B275E2" w:rsidRDefault="009312EC" w:rsidP="007F0B1E">
            <w:pPr>
              <w:pStyle w:val="TableText"/>
              <w:keepNext/>
              <w:spacing w:before="40" w:after="40"/>
              <w:jc w:val="right"/>
              <w:rPr>
                <w:szCs w:val="18"/>
              </w:rPr>
            </w:pPr>
            <w:r w:rsidRPr="00B275E2">
              <w:rPr>
                <w:rFonts w:cs="Calibri"/>
                <w:szCs w:val="18"/>
              </w:rPr>
              <w:t>0.164</w:t>
            </w:r>
          </w:p>
        </w:tc>
        <w:tc>
          <w:tcPr>
            <w:tcW w:w="1086" w:type="dxa"/>
            <w:shd w:val="clear" w:color="auto" w:fill="auto"/>
            <w:noWrap/>
          </w:tcPr>
          <w:p w14:paraId="65091D6A" w14:textId="1BA0F4D2" w:rsidR="009312EC" w:rsidRPr="00B275E2" w:rsidRDefault="009312EC" w:rsidP="007F0B1E">
            <w:pPr>
              <w:pStyle w:val="TableText"/>
              <w:keepNext/>
              <w:spacing w:before="40" w:after="40"/>
              <w:jc w:val="right"/>
              <w:rPr>
                <w:szCs w:val="18"/>
              </w:rPr>
            </w:pPr>
            <w:r w:rsidRPr="00B275E2">
              <w:rPr>
                <w:rFonts w:cs="Calibri"/>
                <w:szCs w:val="18"/>
              </w:rPr>
              <w:t>0.0002</w:t>
            </w:r>
          </w:p>
        </w:tc>
        <w:tc>
          <w:tcPr>
            <w:tcW w:w="1134" w:type="dxa"/>
            <w:shd w:val="clear" w:color="auto" w:fill="auto"/>
            <w:noWrap/>
          </w:tcPr>
          <w:p w14:paraId="65091D6B" w14:textId="1E0F365B" w:rsidR="009312EC" w:rsidRPr="00B275E2" w:rsidRDefault="009312EC" w:rsidP="007F0B1E">
            <w:pPr>
              <w:pStyle w:val="TableText"/>
              <w:keepNext/>
              <w:spacing w:before="40" w:after="40"/>
              <w:jc w:val="right"/>
              <w:rPr>
                <w:szCs w:val="18"/>
              </w:rPr>
            </w:pPr>
            <w:r w:rsidRPr="00B275E2">
              <w:rPr>
                <w:rFonts w:cs="Calibri"/>
                <w:szCs w:val="18"/>
              </w:rPr>
              <w:t>0.003</w:t>
            </w:r>
          </w:p>
        </w:tc>
      </w:tr>
      <w:tr w:rsidR="009312EC" w:rsidRPr="00B275E2" w14:paraId="65091D74" w14:textId="77777777" w:rsidTr="00BC4F8C">
        <w:tc>
          <w:tcPr>
            <w:tcW w:w="1701" w:type="dxa"/>
            <w:vMerge/>
          </w:tcPr>
          <w:p w14:paraId="65091D6D" w14:textId="77777777" w:rsidR="009312EC" w:rsidRPr="00B275E2" w:rsidRDefault="009312EC" w:rsidP="007F0B1E">
            <w:pPr>
              <w:pStyle w:val="TableText"/>
              <w:keepNext/>
              <w:spacing w:before="40" w:after="40"/>
              <w:rPr>
                <w:szCs w:val="18"/>
              </w:rPr>
            </w:pPr>
          </w:p>
        </w:tc>
        <w:tc>
          <w:tcPr>
            <w:tcW w:w="1501" w:type="dxa"/>
            <w:noWrap/>
          </w:tcPr>
          <w:p w14:paraId="65091D6E" w14:textId="1F9E9D97" w:rsidR="009312EC" w:rsidRPr="00B275E2" w:rsidRDefault="009312EC" w:rsidP="007F0B1E">
            <w:pPr>
              <w:pStyle w:val="TableText"/>
              <w:keepNext/>
              <w:spacing w:before="40" w:after="40"/>
              <w:rPr>
                <w:szCs w:val="18"/>
              </w:rPr>
            </w:pPr>
            <w:r w:rsidRPr="00B275E2">
              <w:rPr>
                <w:szCs w:val="18"/>
              </w:rPr>
              <w:t>2000</w:t>
            </w:r>
            <w:r w:rsidRPr="00B275E2">
              <w:rPr>
                <w:rFonts w:cs="Calibri"/>
                <w:color w:val="000000"/>
                <w:szCs w:val="18"/>
              </w:rPr>
              <w:t xml:space="preserve"> -</w:t>
            </w:r>
            <w:r w:rsidRPr="00B275E2">
              <w:rPr>
                <w:szCs w:val="18"/>
              </w:rPr>
              <w:t xml:space="preserve"> &lt;3000 cc </w:t>
            </w:r>
          </w:p>
        </w:tc>
        <w:tc>
          <w:tcPr>
            <w:tcW w:w="626" w:type="dxa"/>
            <w:noWrap/>
          </w:tcPr>
          <w:p w14:paraId="65091D6F" w14:textId="77777777" w:rsidR="009312EC" w:rsidRPr="00B275E2" w:rsidRDefault="009312EC" w:rsidP="007F0B1E">
            <w:pPr>
              <w:pStyle w:val="TableText"/>
              <w:keepNext/>
              <w:spacing w:before="40" w:after="40"/>
              <w:rPr>
                <w:szCs w:val="18"/>
              </w:rPr>
            </w:pPr>
            <w:r w:rsidRPr="00B275E2">
              <w:rPr>
                <w:szCs w:val="18"/>
              </w:rPr>
              <w:t>km</w:t>
            </w:r>
          </w:p>
        </w:tc>
        <w:tc>
          <w:tcPr>
            <w:tcW w:w="1247" w:type="dxa"/>
            <w:shd w:val="clear" w:color="auto" w:fill="D2DDE1" w:themeFill="background2"/>
            <w:noWrap/>
          </w:tcPr>
          <w:p w14:paraId="65091D70" w14:textId="7C48B1CC" w:rsidR="009312EC" w:rsidRPr="00B275E2" w:rsidRDefault="009312EC" w:rsidP="007F0B1E">
            <w:pPr>
              <w:pStyle w:val="TableText"/>
              <w:keepNext/>
              <w:spacing w:before="40" w:after="40"/>
              <w:jc w:val="right"/>
              <w:rPr>
                <w:szCs w:val="18"/>
              </w:rPr>
            </w:pPr>
            <w:r w:rsidRPr="00B275E2">
              <w:rPr>
                <w:rFonts w:cs="Calibri"/>
                <w:szCs w:val="18"/>
              </w:rPr>
              <w:t>0.206</w:t>
            </w:r>
          </w:p>
        </w:tc>
        <w:tc>
          <w:tcPr>
            <w:tcW w:w="1087" w:type="dxa"/>
            <w:shd w:val="clear" w:color="auto" w:fill="auto"/>
            <w:noWrap/>
          </w:tcPr>
          <w:p w14:paraId="65091D71" w14:textId="42303C9A" w:rsidR="009312EC" w:rsidRPr="00B275E2" w:rsidRDefault="009312EC" w:rsidP="007F0B1E">
            <w:pPr>
              <w:pStyle w:val="TableText"/>
              <w:keepNext/>
              <w:spacing w:before="40" w:after="40"/>
              <w:jc w:val="right"/>
              <w:rPr>
                <w:szCs w:val="18"/>
              </w:rPr>
            </w:pPr>
            <w:r w:rsidRPr="00B275E2">
              <w:rPr>
                <w:rFonts w:cs="Calibri"/>
                <w:szCs w:val="18"/>
              </w:rPr>
              <w:t>0.202</w:t>
            </w:r>
          </w:p>
        </w:tc>
        <w:tc>
          <w:tcPr>
            <w:tcW w:w="1086" w:type="dxa"/>
            <w:shd w:val="clear" w:color="auto" w:fill="auto"/>
            <w:noWrap/>
          </w:tcPr>
          <w:p w14:paraId="65091D72" w14:textId="21FEE34F" w:rsidR="009312EC" w:rsidRPr="00B275E2" w:rsidRDefault="009312EC" w:rsidP="007F0B1E">
            <w:pPr>
              <w:pStyle w:val="TableText"/>
              <w:keepNext/>
              <w:spacing w:before="40" w:after="40"/>
              <w:jc w:val="right"/>
              <w:rPr>
                <w:szCs w:val="18"/>
              </w:rPr>
            </w:pPr>
            <w:r w:rsidRPr="00B275E2">
              <w:rPr>
                <w:rFonts w:cs="Calibri"/>
                <w:szCs w:val="18"/>
              </w:rPr>
              <w:t>0.0003</w:t>
            </w:r>
          </w:p>
        </w:tc>
        <w:tc>
          <w:tcPr>
            <w:tcW w:w="1134" w:type="dxa"/>
            <w:shd w:val="clear" w:color="auto" w:fill="auto"/>
            <w:noWrap/>
          </w:tcPr>
          <w:p w14:paraId="65091D73" w14:textId="56922617" w:rsidR="009312EC" w:rsidRPr="00B275E2" w:rsidRDefault="009312EC" w:rsidP="007F0B1E">
            <w:pPr>
              <w:pStyle w:val="TableText"/>
              <w:keepNext/>
              <w:spacing w:before="40" w:after="40"/>
              <w:jc w:val="right"/>
              <w:rPr>
                <w:szCs w:val="18"/>
              </w:rPr>
            </w:pPr>
            <w:r w:rsidRPr="00B275E2">
              <w:rPr>
                <w:rFonts w:cs="Calibri"/>
                <w:szCs w:val="18"/>
              </w:rPr>
              <w:t>0.003</w:t>
            </w:r>
          </w:p>
        </w:tc>
      </w:tr>
      <w:tr w:rsidR="009312EC" w:rsidRPr="00B275E2" w14:paraId="65091D7C" w14:textId="77777777" w:rsidTr="00BC4F8C">
        <w:tc>
          <w:tcPr>
            <w:tcW w:w="1701" w:type="dxa"/>
            <w:vMerge/>
          </w:tcPr>
          <w:p w14:paraId="65091D75" w14:textId="77777777" w:rsidR="009312EC" w:rsidRPr="00B275E2" w:rsidRDefault="009312EC" w:rsidP="007F0B1E">
            <w:pPr>
              <w:pStyle w:val="TableText"/>
              <w:keepNext/>
              <w:spacing w:before="40" w:after="40"/>
              <w:rPr>
                <w:szCs w:val="18"/>
              </w:rPr>
            </w:pPr>
          </w:p>
        </w:tc>
        <w:tc>
          <w:tcPr>
            <w:tcW w:w="1501" w:type="dxa"/>
            <w:noWrap/>
          </w:tcPr>
          <w:p w14:paraId="65091D76" w14:textId="29B3B5EC" w:rsidR="009312EC" w:rsidRPr="00B275E2" w:rsidRDefault="009312EC" w:rsidP="007F0B1E">
            <w:pPr>
              <w:pStyle w:val="TableText"/>
              <w:keepNext/>
              <w:spacing w:before="40" w:after="40"/>
              <w:rPr>
                <w:szCs w:val="18"/>
              </w:rPr>
            </w:pPr>
            <w:r w:rsidRPr="00B275E2">
              <w:rPr>
                <w:szCs w:val="18"/>
              </w:rPr>
              <w:t xml:space="preserve">≥3000 cc </w:t>
            </w:r>
          </w:p>
        </w:tc>
        <w:tc>
          <w:tcPr>
            <w:tcW w:w="626" w:type="dxa"/>
            <w:noWrap/>
          </w:tcPr>
          <w:p w14:paraId="65091D77" w14:textId="77777777" w:rsidR="009312EC" w:rsidRPr="00B275E2" w:rsidRDefault="009312EC" w:rsidP="007F0B1E">
            <w:pPr>
              <w:pStyle w:val="TableText"/>
              <w:keepNext/>
              <w:spacing w:before="40" w:after="40"/>
              <w:rPr>
                <w:szCs w:val="18"/>
              </w:rPr>
            </w:pPr>
            <w:r w:rsidRPr="00B275E2">
              <w:rPr>
                <w:szCs w:val="18"/>
              </w:rPr>
              <w:t>km</w:t>
            </w:r>
          </w:p>
        </w:tc>
        <w:tc>
          <w:tcPr>
            <w:tcW w:w="1247" w:type="dxa"/>
            <w:shd w:val="clear" w:color="auto" w:fill="D2DDE1" w:themeFill="background2"/>
            <w:noWrap/>
          </w:tcPr>
          <w:p w14:paraId="65091D78" w14:textId="17D8B684" w:rsidR="009312EC" w:rsidRPr="00B275E2" w:rsidRDefault="009312EC" w:rsidP="007F0B1E">
            <w:pPr>
              <w:pStyle w:val="TableText"/>
              <w:keepNext/>
              <w:spacing w:before="40" w:after="40"/>
              <w:jc w:val="right"/>
              <w:rPr>
                <w:szCs w:val="18"/>
              </w:rPr>
            </w:pPr>
            <w:r w:rsidRPr="00B275E2">
              <w:rPr>
                <w:rFonts w:cs="Calibri"/>
                <w:szCs w:val="18"/>
              </w:rPr>
              <w:t>0.228</w:t>
            </w:r>
          </w:p>
        </w:tc>
        <w:tc>
          <w:tcPr>
            <w:tcW w:w="1087" w:type="dxa"/>
            <w:shd w:val="clear" w:color="auto" w:fill="auto"/>
            <w:noWrap/>
          </w:tcPr>
          <w:p w14:paraId="65091D79" w14:textId="49B3C281" w:rsidR="009312EC" w:rsidRPr="00B275E2" w:rsidRDefault="009312EC" w:rsidP="007F0B1E">
            <w:pPr>
              <w:pStyle w:val="TableText"/>
              <w:keepNext/>
              <w:spacing w:before="40" w:after="40"/>
              <w:jc w:val="right"/>
              <w:rPr>
                <w:szCs w:val="18"/>
              </w:rPr>
            </w:pPr>
            <w:r w:rsidRPr="00B275E2">
              <w:rPr>
                <w:rFonts w:cs="Calibri"/>
                <w:szCs w:val="18"/>
              </w:rPr>
              <w:t>0.224</w:t>
            </w:r>
          </w:p>
        </w:tc>
        <w:tc>
          <w:tcPr>
            <w:tcW w:w="1086" w:type="dxa"/>
            <w:shd w:val="clear" w:color="auto" w:fill="auto"/>
            <w:noWrap/>
          </w:tcPr>
          <w:p w14:paraId="65091D7A" w14:textId="0E5D5AD3" w:rsidR="009312EC" w:rsidRPr="00B275E2" w:rsidRDefault="009312EC" w:rsidP="007F0B1E">
            <w:pPr>
              <w:pStyle w:val="TableText"/>
              <w:keepNext/>
              <w:spacing w:before="40" w:after="40"/>
              <w:jc w:val="right"/>
              <w:rPr>
                <w:szCs w:val="18"/>
              </w:rPr>
            </w:pPr>
            <w:r w:rsidRPr="00B275E2">
              <w:rPr>
                <w:rFonts w:cs="Calibri"/>
                <w:szCs w:val="18"/>
              </w:rPr>
              <w:t>0.0003</w:t>
            </w:r>
          </w:p>
        </w:tc>
        <w:tc>
          <w:tcPr>
            <w:tcW w:w="1134" w:type="dxa"/>
            <w:shd w:val="clear" w:color="auto" w:fill="auto"/>
            <w:noWrap/>
          </w:tcPr>
          <w:p w14:paraId="65091D7B" w14:textId="69935AF3" w:rsidR="009312EC" w:rsidRPr="00B275E2" w:rsidRDefault="009312EC" w:rsidP="007F0B1E">
            <w:pPr>
              <w:pStyle w:val="TableText"/>
              <w:keepNext/>
              <w:spacing w:before="40" w:after="40"/>
              <w:jc w:val="right"/>
              <w:rPr>
                <w:szCs w:val="18"/>
              </w:rPr>
            </w:pPr>
            <w:r w:rsidRPr="00B275E2">
              <w:rPr>
                <w:rFonts w:cs="Calibri"/>
                <w:szCs w:val="18"/>
              </w:rPr>
              <w:t>0.004</w:t>
            </w:r>
          </w:p>
        </w:tc>
      </w:tr>
      <w:tr w:rsidR="009312EC" w:rsidRPr="00B275E2" w14:paraId="65091D84" w14:textId="77777777" w:rsidTr="00BC4F8C">
        <w:tc>
          <w:tcPr>
            <w:tcW w:w="1701" w:type="dxa"/>
            <w:vMerge w:val="restart"/>
          </w:tcPr>
          <w:p w14:paraId="65091D7D" w14:textId="3310E889" w:rsidR="009312EC" w:rsidRPr="00B275E2" w:rsidRDefault="009312EC" w:rsidP="007F0B1E">
            <w:pPr>
              <w:pStyle w:val="TableText"/>
              <w:spacing w:before="40" w:after="40"/>
              <w:rPr>
                <w:szCs w:val="18"/>
              </w:rPr>
            </w:pPr>
            <w:r w:rsidRPr="00B275E2">
              <w:rPr>
                <w:szCs w:val="18"/>
              </w:rPr>
              <w:t>Petrol plug-in hybrid electric vehicle (PHEV) – petrol consumption</w:t>
            </w:r>
          </w:p>
        </w:tc>
        <w:tc>
          <w:tcPr>
            <w:tcW w:w="1501" w:type="dxa"/>
            <w:noWrap/>
          </w:tcPr>
          <w:p w14:paraId="65091D7E" w14:textId="32845353" w:rsidR="009312EC" w:rsidRPr="00B275E2" w:rsidRDefault="009312EC" w:rsidP="007F0B1E">
            <w:pPr>
              <w:pStyle w:val="TableText"/>
              <w:spacing w:before="40" w:after="40"/>
              <w:rPr>
                <w:szCs w:val="18"/>
              </w:rPr>
            </w:pPr>
            <w:r w:rsidRPr="00B275E2">
              <w:rPr>
                <w:szCs w:val="18"/>
              </w:rPr>
              <w:t>&lt;1350 cc</w:t>
            </w:r>
          </w:p>
        </w:tc>
        <w:tc>
          <w:tcPr>
            <w:tcW w:w="626" w:type="dxa"/>
            <w:noWrap/>
          </w:tcPr>
          <w:p w14:paraId="65091D7F" w14:textId="77777777" w:rsidR="009312EC" w:rsidRPr="00B275E2" w:rsidRDefault="009312EC" w:rsidP="007F0B1E">
            <w:pPr>
              <w:pStyle w:val="TableText"/>
              <w:spacing w:before="40" w:after="40"/>
              <w:rPr>
                <w:szCs w:val="18"/>
              </w:rPr>
            </w:pPr>
            <w:r w:rsidRPr="00B275E2">
              <w:rPr>
                <w:szCs w:val="18"/>
              </w:rPr>
              <w:t>km</w:t>
            </w:r>
          </w:p>
        </w:tc>
        <w:tc>
          <w:tcPr>
            <w:tcW w:w="1247" w:type="dxa"/>
            <w:shd w:val="clear" w:color="auto" w:fill="D2DDE1" w:themeFill="background2"/>
            <w:noWrap/>
          </w:tcPr>
          <w:p w14:paraId="65091D80" w14:textId="2101A543" w:rsidR="009312EC" w:rsidRPr="00B275E2" w:rsidRDefault="009312EC" w:rsidP="007F0B1E">
            <w:pPr>
              <w:pStyle w:val="TableText"/>
              <w:spacing w:before="40" w:after="40"/>
              <w:jc w:val="right"/>
              <w:rPr>
                <w:szCs w:val="18"/>
              </w:rPr>
            </w:pPr>
            <w:r w:rsidRPr="00B275E2">
              <w:rPr>
                <w:rFonts w:cs="Calibri"/>
                <w:szCs w:val="18"/>
              </w:rPr>
              <w:t>0.067</w:t>
            </w:r>
          </w:p>
        </w:tc>
        <w:tc>
          <w:tcPr>
            <w:tcW w:w="1087" w:type="dxa"/>
            <w:shd w:val="clear" w:color="auto" w:fill="auto"/>
            <w:noWrap/>
          </w:tcPr>
          <w:p w14:paraId="65091D81" w14:textId="100E08CA" w:rsidR="009312EC" w:rsidRPr="00B275E2" w:rsidRDefault="009312EC" w:rsidP="007F0B1E">
            <w:pPr>
              <w:pStyle w:val="TableText"/>
              <w:spacing w:before="40" w:after="40"/>
              <w:jc w:val="right"/>
              <w:rPr>
                <w:szCs w:val="18"/>
              </w:rPr>
            </w:pPr>
            <w:r w:rsidRPr="00B275E2">
              <w:rPr>
                <w:rFonts w:cs="Calibri"/>
                <w:szCs w:val="18"/>
              </w:rPr>
              <w:t>0.064</w:t>
            </w:r>
          </w:p>
        </w:tc>
        <w:tc>
          <w:tcPr>
            <w:tcW w:w="1086" w:type="dxa"/>
            <w:shd w:val="clear" w:color="auto" w:fill="auto"/>
            <w:noWrap/>
          </w:tcPr>
          <w:p w14:paraId="65091D82" w14:textId="49A8A80B" w:rsidR="009312EC" w:rsidRPr="00B275E2" w:rsidRDefault="009312EC" w:rsidP="007F0B1E">
            <w:pPr>
              <w:pStyle w:val="TableText"/>
              <w:spacing w:before="40" w:after="40"/>
              <w:jc w:val="right"/>
              <w:rPr>
                <w:szCs w:val="18"/>
              </w:rPr>
            </w:pPr>
            <w:r w:rsidRPr="00B275E2">
              <w:rPr>
                <w:rFonts w:cs="Calibri"/>
                <w:szCs w:val="18"/>
              </w:rPr>
              <w:t>0.001</w:t>
            </w:r>
          </w:p>
        </w:tc>
        <w:tc>
          <w:tcPr>
            <w:tcW w:w="1134" w:type="dxa"/>
            <w:shd w:val="clear" w:color="auto" w:fill="auto"/>
            <w:noWrap/>
          </w:tcPr>
          <w:p w14:paraId="65091D83" w14:textId="46044255" w:rsidR="009312EC" w:rsidRPr="00B275E2" w:rsidRDefault="009312EC" w:rsidP="007F0B1E">
            <w:pPr>
              <w:pStyle w:val="TableText"/>
              <w:spacing w:before="40" w:after="40"/>
              <w:jc w:val="right"/>
              <w:rPr>
                <w:szCs w:val="18"/>
              </w:rPr>
            </w:pPr>
            <w:r w:rsidRPr="00B275E2">
              <w:rPr>
                <w:rFonts w:cs="Calibri"/>
                <w:szCs w:val="18"/>
              </w:rPr>
              <w:t>0.002</w:t>
            </w:r>
          </w:p>
        </w:tc>
      </w:tr>
      <w:tr w:rsidR="009312EC" w:rsidRPr="00B275E2" w14:paraId="65091D8C" w14:textId="77777777" w:rsidTr="00BC4F8C">
        <w:tc>
          <w:tcPr>
            <w:tcW w:w="1701" w:type="dxa"/>
            <w:vMerge/>
          </w:tcPr>
          <w:p w14:paraId="65091D85" w14:textId="77777777" w:rsidR="009312EC" w:rsidRPr="00B275E2" w:rsidRDefault="009312EC" w:rsidP="007F0B1E">
            <w:pPr>
              <w:pStyle w:val="TableText"/>
              <w:spacing w:before="40" w:after="40"/>
              <w:rPr>
                <w:szCs w:val="18"/>
              </w:rPr>
            </w:pPr>
          </w:p>
        </w:tc>
        <w:tc>
          <w:tcPr>
            <w:tcW w:w="1501" w:type="dxa"/>
            <w:noWrap/>
          </w:tcPr>
          <w:p w14:paraId="65091D86" w14:textId="0B34ABD3" w:rsidR="009312EC" w:rsidRPr="00B275E2" w:rsidRDefault="009312EC" w:rsidP="007F0B1E">
            <w:pPr>
              <w:pStyle w:val="TableText"/>
              <w:spacing w:before="40" w:after="40"/>
              <w:rPr>
                <w:szCs w:val="18"/>
              </w:rPr>
            </w:pPr>
            <w:r w:rsidRPr="00B275E2">
              <w:rPr>
                <w:szCs w:val="18"/>
              </w:rPr>
              <w:t>1350</w:t>
            </w:r>
            <w:r w:rsidRPr="00B275E2">
              <w:rPr>
                <w:rFonts w:cs="Calibri"/>
                <w:color w:val="000000"/>
                <w:szCs w:val="18"/>
              </w:rPr>
              <w:t xml:space="preserve"> -</w:t>
            </w:r>
            <w:r w:rsidRPr="00B275E2">
              <w:rPr>
                <w:szCs w:val="18"/>
              </w:rPr>
              <w:t xml:space="preserve"> &lt;1600 cc</w:t>
            </w:r>
          </w:p>
        </w:tc>
        <w:tc>
          <w:tcPr>
            <w:tcW w:w="626" w:type="dxa"/>
            <w:noWrap/>
          </w:tcPr>
          <w:p w14:paraId="65091D87" w14:textId="77777777" w:rsidR="009312EC" w:rsidRPr="00B275E2" w:rsidRDefault="009312EC" w:rsidP="007F0B1E">
            <w:pPr>
              <w:pStyle w:val="TableText"/>
              <w:spacing w:before="40" w:after="40"/>
              <w:rPr>
                <w:szCs w:val="18"/>
              </w:rPr>
            </w:pPr>
            <w:r w:rsidRPr="00B275E2">
              <w:rPr>
                <w:szCs w:val="18"/>
              </w:rPr>
              <w:t>km</w:t>
            </w:r>
          </w:p>
        </w:tc>
        <w:tc>
          <w:tcPr>
            <w:tcW w:w="1247" w:type="dxa"/>
            <w:shd w:val="clear" w:color="auto" w:fill="D2DDE1" w:themeFill="background2"/>
            <w:noWrap/>
          </w:tcPr>
          <w:p w14:paraId="65091D88" w14:textId="1917D38E" w:rsidR="009312EC" w:rsidRPr="00B275E2" w:rsidRDefault="009312EC" w:rsidP="007F0B1E">
            <w:pPr>
              <w:pStyle w:val="TableText"/>
              <w:spacing w:before="40" w:after="40"/>
              <w:jc w:val="right"/>
              <w:rPr>
                <w:szCs w:val="18"/>
              </w:rPr>
            </w:pPr>
            <w:r w:rsidRPr="00B275E2">
              <w:rPr>
                <w:rFonts w:cs="Calibri"/>
                <w:szCs w:val="18"/>
              </w:rPr>
              <w:t>0.069</w:t>
            </w:r>
          </w:p>
        </w:tc>
        <w:tc>
          <w:tcPr>
            <w:tcW w:w="1087" w:type="dxa"/>
            <w:shd w:val="clear" w:color="auto" w:fill="auto"/>
            <w:noWrap/>
          </w:tcPr>
          <w:p w14:paraId="65091D89" w14:textId="3D919E88" w:rsidR="009312EC" w:rsidRPr="00B275E2" w:rsidRDefault="009312EC" w:rsidP="007F0B1E">
            <w:pPr>
              <w:pStyle w:val="TableText"/>
              <w:spacing w:before="40" w:after="40"/>
              <w:jc w:val="right"/>
              <w:rPr>
                <w:szCs w:val="18"/>
              </w:rPr>
            </w:pPr>
            <w:r w:rsidRPr="00B275E2">
              <w:rPr>
                <w:rFonts w:cs="Calibri"/>
                <w:szCs w:val="18"/>
              </w:rPr>
              <w:t>0.066</w:t>
            </w:r>
          </w:p>
        </w:tc>
        <w:tc>
          <w:tcPr>
            <w:tcW w:w="1086" w:type="dxa"/>
            <w:shd w:val="clear" w:color="auto" w:fill="auto"/>
            <w:noWrap/>
          </w:tcPr>
          <w:p w14:paraId="65091D8A" w14:textId="1DF755CE" w:rsidR="009312EC" w:rsidRPr="00B275E2" w:rsidRDefault="009312EC" w:rsidP="007F0B1E">
            <w:pPr>
              <w:pStyle w:val="TableText"/>
              <w:spacing w:before="40" w:after="40"/>
              <w:jc w:val="right"/>
              <w:rPr>
                <w:szCs w:val="18"/>
              </w:rPr>
            </w:pPr>
            <w:r w:rsidRPr="00B275E2">
              <w:rPr>
                <w:rFonts w:cs="Calibri"/>
                <w:szCs w:val="18"/>
              </w:rPr>
              <w:t>0.001</w:t>
            </w:r>
          </w:p>
        </w:tc>
        <w:tc>
          <w:tcPr>
            <w:tcW w:w="1134" w:type="dxa"/>
            <w:shd w:val="clear" w:color="auto" w:fill="auto"/>
            <w:noWrap/>
          </w:tcPr>
          <w:p w14:paraId="65091D8B" w14:textId="0037B6F6" w:rsidR="009312EC" w:rsidRPr="00B275E2" w:rsidRDefault="009312EC" w:rsidP="007F0B1E">
            <w:pPr>
              <w:pStyle w:val="TableText"/>
              <w:spacing w:before="40" w:after="40"/>
              <w:jc w:val="right"/>
              <w:rPr>
                <w:szCs w:val="18"/>
              </w:rPr>
            </w:pPr>
            <w:r w:rsidRPr="00B275E2">
              <w:rPr>
                <w:rFonts w:cs="Calibri"/>
                <w:szCs w:val="18"/>
              </w:rPr>
              <w:t>0.002</w:t>
            </w:r>
          </w:p>
        </w:tc>
      </w:tr>
      <w:tr w:rsidR="009312EC" w:rsidRPr="00B275E2" w14:paraId="65091D94" w14:textId="77777777" w:rsidTr="00BC4F8C">
        <w:tc>
          <w:tcPr>
            <w:tcW w:w="1701" w:type="dxa"/>
            <w:vMerge/>
          </w:tcPr>
          <w:p w14:paraId="65091D8D" w14:textId="77777777" w:rsidR="009312EC" w:rsidRPr="00B275E2" w:rsidRDefault="009312EC" w:rsidP="007F0B1E">
            <w:pPr>
              <w:pStyle w:val="TableText"/>
              <w:spacing w:before="40" w:after="40"/>
              <w:rPr>
                <w:szCs w:val="18"/>
              </w:rPr>
            </w:pPr>
          </w:p>
        </w:tc>
        <w:tc>
          <w:tcPr>
            <w:tcW w:w="1501" w:type="dxa"/>
            <w:noWrap/>
          </w:tcPr>
          <w:p w14:paraId="65091D8E" w14:textId="48EF7019" w:rsidR="009312EC" w:rsidRPr="00B275E2" w:rsidRDefault="009312EC" w:rsidP="007F0B1E">
            <w:pPr>
              <w:pStyle w:val="TableText"/>
              <w:spacing w:before="40" w:after="40"/>
              <w:rPr>
                <w:szCs w:val="18"/>
              </w:rPr>
            </w:pPr>
            <w:r w:rsidRPr="00B275E2">
              <w:rPr>
                <w:szCs w:val="18"/>
              </w:rPr>
              <w:t>1600</w:t>
            </w:r>
            <w:r w:rsidRPr="00B275E2">
              <w:rPr>
                <w:rFonts w:cs="Calibri"/>
                <w:color w:val="000000"/>
                <w:szCs w:val="18"/>
              </w:rPr>
              <w:t xml:space="preserve"> -</w:t>
            </w:r>
            <w:r w:rsidRPr="00B275E2">
              <w:rPr>
                <w:szCs w:val="18"/>
              </w:rPr>
              <w:t xml:space="preserve"> &lt;2000 cc</w:t>
            </w:r>
          </w:p>
        </w:tc>
        <w:tc>
          <w:tcPr>
            <w:tcW w:w="626" w:type="dxa"/>
            <w:noWrap/>
          </w:tcPr>
          <w:p w14:paraId="65091D8F" w14:textId="77777777" w:rsidR="009312EC" w:rsidRPr="00B275E2" w:rsidRDefault="009312EC" w:rsidP="007F0B1E">
            <w:pPr>
              <w:pStyle w:val="TableText"/>
              <w:spacing w:before="40" w:after="40"/>
              <w:rPr>
                <w:szCs w:val="18"/>
              </w:rPr>
            </w:pPr>
            <w:r w:rsidRPr="00B275E2">
              <w:rPr>
                <w:szCs w:val="18"/>
              </w:rPr>
              <w:t>km</w:t>
            </w:r>
          </w:p>
        </w:tc>
        <w:tc>
          <w:tcPr>
            <w:tcW w:w="1247" w:type="dxa"/>
            <w:shd w:val="clear" w:color="auto" w:fill="D2DDE1" w:themeFill="background2"/>
            <w:noWrap/>
          </w:tcPr>
          <w:p w14:paraId="65091D90" w14:textId="6B578C6C" w:rsidR="009312EC" w:rsidRPr="00B275E2" w:rsidRDefault="009312EC" w:rsidP="007F0B1E">
            <w:pPr>
              <w:pStyle w:val="TableText"/>
              <w:spacing w:before="40" w:after="40"/>
              <w:jc w:val="right"/>
              <w:rPr>
                <w:szCs w:val="18"/>
              </w:rPr>
            </w:pPr>
            <w:r w:rsidRPr="00B275E2">
              <w:rPr>
                <w:rFonts w:cs="Calibri"/>
                <w:szCs w:val="18"/>
              </w:rPr>
              <w:t>0.078</w:t>
            </w:r>
          </w:p>
        </w:tc>
        <w:tc>
          <w:tcPr>
            <w:tcW w:w="1087" w:type="dxa"/>
            <w:shd w:val="clear" w:color="auto" w:fill="auto"/>
            <w:noWrap/>
          </w:tcPr>
          <w:p w14:paraId="65091D91" w14:textId="22F6910C" w:rsidR="009312EC" w:rsidRPr="00B275E2" w:rsidRDefault="009312EC" w:rsidP="007F0B1E">
            <w:pPr>
              <w:pStyle w:val="TableText"/>
              <w:spacing w:before="40" w:after="40"/>
              <w:jc w:val="right"/>
              <w:rPr>
                <w:szCs w:val="18"/>
              </w:rPr>
            </w:pPr>
            <w:r w:rsidRPr="00B275E2">
              <w:rPr>
                <w:rFonts w:cs="Calibri"/>
                <w:szCs w:val="18"/>
              </w:rPr>
              <w:t>0.075</w:t>
            </w:r>
          </w:p>
        </w:tc>
        <w:tc>
          <w:tcPr>
            <w:tcW w:w="1086" w:type="dxa"/>
            <w:shd w:val="clear" w:color="auto" w:fill="auto"/>
            <w:noWrap/>
          </w:tcPr>
          <w:p w14:paraId="65091D92" w14:textId="4403A77D" w:rsidR="009312EC" w:rsidRPr="00B275E2" w:rsidRDefault="009312EC" w:rsidP="007F0B1E">
            <w:pPr>
              <w:pStyle w:val="TableText"/>
              <w:spacing w:before="40" w:after="40"/>
              <w:jc w:val="right"/>
              <w:rPr>
                <w:szCs w:val="18"/>
              </w:rPr>
            </w:pPr>
            <w:r w:rsidRPr="00B275E2">
              <w:rPr>
                <w:rFonts w:cs="Calibri"/>
                <w:szCs w:val="18"/>
              </w:rPr>
              <w:t>0.001</w:t>
            </w:r>
          </w:p>
        </w:tc>
        <w:tc>
          <w:tcPr>
            <w:tcW w:w="1134" w:type="dxa"/>
            <w:shd w:val="clear" w:color="auto" w:fill="auto"/>
            <w:noWrap/>
          </w:tcPr>
          <w:p w14:paraId="65091D93" w14:textId="5880414A" w:rsidR="009312EC" w:rsidRPr="00B275E2" w:rsidRDefault="009312EC" w:rsidP="007F0B1E">
            <w:pPr>
              <w:pStyle w:val="TableText"/>
              <w:spacing w:before="40" w:after="40"/>
              <w:jc w:val="right"/>
              <w:rPr>
                <w:szCs w:val="18"/>
              </w:rPr>
            </w:pPr>
            <w:r w:rsidRPr="00B275E2">
              <w:rPr>
                <w:rFonts w:cs="Calibri"/>
                <w:szCs w:val="18"/>
              </w:rPr>
              <w:t>0.003</w:t>
            </w:r>
          </w:p>
        </w:tc>
      </w:tr>
      <w:tr w:rsidR="009312EC" w:rsidRPr="00B275E2" w14:paraId="65091D9C" w14:textId="77777777" w:rsidTr="00BC4F8C">
        <w:tc>
          <w:tcPr>
            <w:tcW w:w="1701" w:type="dxa"/>
            <w:vMerge/>
          </w:tcPr>
          <w:p w14:paraId="65091D95" w14:textId="77777777" w:rsidR="009312EC" w:rsidRPr="00B275E2" w:rsidRDefault="009312EC" w:rsidP="007F0B1E">
            <w:pPr>
              <w:pStyle w:val="TableText"/>
              <w:spacing w:before="40" w:after="40"/>
              <w:rPr>
                <w:szCs w:val="18"/>
              </w:rPr>
            </w:pPr>
          </w:p>
        </w:tc>
        <w:tc>
          <w:tcPr>
            <w:tcW w:w="1501" w:type="dxa"/>
            <w:noWrap/>
          </w:tcPr>
          <w:p w14:paraId="65091D96" w14:textId="3A73E50C" w:rsidR="009312EC" w:rsidRPr="00B275E2" w:rsidRDefault="009312EC" w:rsidP="007F0B1E">
            <w:pPr>
              <w:pStyle w:val="TableText"/>
              <w:spacing w:before="40" w:after="40"/>
              <w:rPr>
                <w:szCs w:val="18"/>
              </w:rPr>
            </w:pPr>
            <w:r w:rsidRPr="00B275E2">
              <w:rPr>
                <w:szCs w:val="18"/>
              </w:rPr>
              <w:t>2000</w:t>
            </w:r>
            <w:r w:rsidRPr="00B275E2">
              <w:rPr>
                <w:rFonts w:cs="Calibri"/>
                <w:color w:val="000000"/>
                <w:szCs w:val="18"/>
              </w:rPr>
              <w:t xml:space="preserve"> -</w:t>
            </w:r>
            <w:r w:rsidRPr="00B275E2">
              <w:rPr>
                <w:szCs w:val="18"/>
              </w:rPr>
              <w:t xml:space="preserve"> &lt;3000 cc</w:t>
            </w:r>
          </w:p>
        </w:tc>
        <w:tc>
          <w:tcPr>
            <w:tcW w:w="626" w:type="dxa"/>
            <w:noWrap/>
          </w:tcPr>
          <w:p w14:paraId="65091D97" w14:textId="77777777" w:rsidR="009312EC" w:rsidRPr="00B275E2" w:rsidRDefault="009312EC" w:rsidP="007F0B1E">
            <w:pPr>
              <w:pStyle w:val="TableText"/>
              <w:spacing w:before="40" w:after="40"/>
              <w:rPr>
                <w:szCs w:val="18"/>
              </w:rPr>
            </w:pPr>
            <w:r w:rsidRPr="00B275E2">
              <w:rPr>
                <w:szCs w:val="18"/>
              </w:rPr>
              <w:t>km</w:t>
            </w:r>
          </w:p>
        </w:tc>
        <w:tc>
          <w:tcPr>
            <w:tcW w:w="1247" w:type="dxa"/>
            <w:shd w:val="clear" w:color="auto" w:fill="D2DDE1" w:themeFill="background2"/>
            <w:noWrap/>
          </w:tcPr>
          <w:p w14:paraId="65091D98" w14:textId="2FE7F8D1" w:rsidR="009312EC" w:rsidRPr="00B275E2" w:rsidRDefault="009312EC" w:rsidP="007F0B1E">
            <w:pPr>
              <w:pStyle w:val="TableText"/>
              <w:spacing w:before="40" w:after="40"/>
              <w:jc w:val="right"/>
              <w:rPr>
                <w:szCs w:val="18"/>
              </w:rPr>
            </w:pPr>
            <w:r w:rsidRPr="00B275E2">
              <w:rPr>
                <w:rFonts w:cs="Calibri"/>
                <w:szCs w:val="18"/>
              </w:rPr>
              <w:t>0.087</w:t>
            </w:r>
          </w:p>
        </w:tc>
        <w:tc>
          <w:tcPr>
            <w:tcW w:w="1087" w:type="dxa"/>
            <w:shd w:val="clear" w:color="auto" w:fill="auto"/>
            <w:noWrap/>
          </w:tcPr>
          <w:p w14:paraId="65091D99" w14:textId="6B50DBBB" w:rsidR="009312EC" w:rsidRPr="00B275E2" w:rsidRDefault="009312EC" w:rsidP="007F0B1E">
            <w:pPr>
              <w:pStyle w:val="TableText"/>
              <w:spacing w:before="40" w:after="40"/>
              <w:jc w:val="right"/>
              <w:rPr>
                <w:szCs w:val="18"/>
              </w:rPr>
            </w:pPr>
            <w:r w:rsidRPr="00B275E2">
              <w:rPr>
                <w:rFonts w:cs="Calibri"/>
                <w:szCs w:val="18"/>
              </w:rPr>
              <w:t>0.083</w:t>
            </w:r>
          </w:p>
        </w:tc>
        <w:tc>
          <w:tcPr>
            <w:tcW w:w="1086" w:type="dxa"/>
            <w:shd w:val="clear" w:color="auto" w:fill="auto"/>
            <w:noWrap/>
          </w:tcPr>
          <w:p w14:paraId="65091D9A" w14:textId="6969ED10" w:rsidR="009312EC" w:rsidRPr="00B275E2" w:rsidRDefault="009312EC" w:rsidP="007F0B1E">
            <w:pPr>
              <w:pStyle w:val="TableText"/>
              <w:spacing w:before="40" w:after="40"/>
              <w:jc w:val="right"/>
              <w:rPr>
                <w:szCs w:val="18"/>
              </w:rPr>
            </w:pPr>
            <w:r w:rsidRPr="00B275E2">
              <w:rPr>
                <w:rFonts w:cs="Calibri"/>
                <w:szCs w:val="18"/>
              </w:rPr>
              <w:t>0.001</w:t>
            </w:r>
          </w:p>
        </w:tc>
        <w:tc>
          <w:tcPr>
            <w:tcW w:w="1134" w:type="dxa"/>
            <w:shd w:val="clear" w:color="auto" w:fill="auto"/>
            <w:noWrap/>
          </w:tcPr>
          <w:p w14:paraId="65091D9B" w14:textId="01278E13" w:rsidR="009312EC" w:rsidRPr="00B275E2" w:rsidRDefault="009312EC" w:rsidP="007F0B1E">
            <w:pPr>
              <w:pStyle w:val="TableText"/>
              <w:spacing w:before="40" w:after="40"/>
              <w:jc w:val="right"/>
              <w:rPr>
                <w:szCs w:val="18"/>
              </w:rPr>
            </w:pPr>
            <w:r w:rsidRPr="00B275E2">
              <w:rPr>
                <w:rFonts w:cs="Calibri"/>
                <w:szCs w:val="18"/>
              </w:rPr>
              <w:t>0.003</w:t>
            </w:r>
          </w:p>
        </w:tc>
      </w:tr>
      <w:tr w:rsidR="009312EC" w:rsidRPr="00B275E2" w14:paraId="65091DA4" w14:textId="77777777" w:rsidTr="00BC4F8C">
        <w:tc>
          <w:tcPr>
            <w:tcW w:w="1701" w:type="dxa"/>
            <w:vMerge/>
          </w:tcPr>
          <w:p w14:paraId="65091D9D" w14:textId="77777777" w:rsidR="009312EC" w:rsidRPr="00B275E2" w:rsidRDefault="009312EC" w:rsidP="007F0B1E">
            <w:pPr>
              <w:pStyle w:val="TableText"/>
              <w:spacing w:before="40" w:after="40"/>
              <w:rPr>
                <w:szCs w:val="18"/>
              </w:rPr>
            </w:pPr>
          </w:p>
        </w:tc>
        <w:tc>
          <w:tcPr>
            <w:tcW w:w="1501" w:type="dxa"/>
            <w:noWrap/>
          </w:tcPr>
          <w:p w14:paraId="65091D9E" w14:textId="238D068E" w:rsidR="009312EC" w:rsidRPr="00B275E2" w:rsidRDefault="009312EC" w:rsidP="007F0B1E">
            <w:pPr>
              <w:pStyle w:val="TableText"/>
              <w:spacing w:before="40" w:after="40"/>
              <w:rPr>
                <w:szCs w:val="18"/>
              </w:rPr>
            </w:pPr>
            <w:r w:rsidRPr="00B275E2">
              <w:rPr>
                <w:szCs w:val="18"/>
              </w:rPr>
              <w:t>≥3000 cc</w:t>
            </w:r>
          </w:p>
        </w:tc>
        <w:tc>
          <w:tcPr>
            <w:tcW w:w="626" w:type="dxa"/>
            <w:noWrap/>
          </w:tcPr>
          <w:p w14:paraId="65091D9F" w14:textId="77777777" w:rsidR="009312EC" w:rsidRPr="00B275E2" w:rsidRDefault="009312EC" w:rsidP="007F0B1E">
            <w:pPr>
              <w:pStyle w:val="TableText"/>
              <w:spacing w:before="40" w:after="40"/>
              <w:rPr>
                <w:szCs w:val="18"/>
              </w:rPr>
            </w:pPr>
            <w:r w:rsidRPr="00B275E2">
              <w:rPr>
                <w:szCs w:val="18"/>
              </w:rPr>
              <w:t>km</w:t>
            </w:r>
          </w:p>
        </w:tc>
        <w:tc>
          <w:tcPr>
            <w:tcW w:w="1247" w:type="dxa"/>
            <w:shd w:val="clear" w:color="auto" w:fill="D2DDE1" w:themeFill="background2"/>
            <w:noWrap/>
          </w:tcPr>
          <w:p w14:paraId="65091DA0" w14:textId="49AD7499" w:rsidR="009312EC" w:rsidRPr="00B275E2" w:rsidRDefault="009312EC" w:rsidP="007F0B1E">
            <w:pPr>
              <w:pStyle w:val="TableText"/>
              <w:spacing w:before="40" w:after="40"/>
              <w:jc w:val="right"/>
              <w:rPr>
                <w:szCs w:val="18"/>
              </w:rPr>
            </w:pPr>
            <w:r w:rsidRPr="00B275E2">
              <w:rPr>
                <w:rFonts w:cs="Calibri"/>
                <w:szCs w:val="18"/>
              </w:rPr>
              <w:t>0.104</w:t>
            </w:r>
          </w:p>
        </w:tc>
        <w:tc>
          <w:tcPr>
            <w:tcW w:w="1087" w:type="dxa"/>
            <w:shd w:val="clear" w:color="auto" w:fill="auto"/>
            <w:noWrap/>
          </w:tcPr>
          <w:p w14:paraId="65091DA1" w14:textId="3835BA08" w:rsidR="009312EC" w:rsidRPr="00B275E2" w:rsidRDefault="009312EC" w:rsidP="007F0B1E">
            <w:pPr>
              <w:pStyle w:val="TableText"/>
              <w:spacing w:before="40" w:after="40"/>
              <w:jc w:val="right"/>
              <w:rPr>
                <w:szCs w:val="18"/>
              </w:rPr>
            </w:pPr>
            <w:r w:rsidRPr="00B275E2">
              <w:rPr>
                <w:rFonts w:cs="Calibri"/>
                <w:szCs w:val="18"/>
              </w:rPr>
              <w:t>0.099</w:t>
            </w:r>
          </w:p>
        </w:tc>
        <w:tc>
          <w:tcPr>
            <w:tcW w:w="1086" w:type="dxa"/>
            <w:shd w:val="clear" w:color="auto" w:fill="auto"/>
            <w:noWrap/>
          </w:tcPr>
          <w:p w14:paraId="65091DA2" w14:textId="15C0EBC1" w:rsidR="009312EC" w:rsidRPr="00B275E2" w:rsidRDefault="009312EC" w:rsidP="007F0B1E">
            <w:pPr>
              <w:pStyle w:val="TableText"/>
              <w:spacing w:before="40" w:after="40"/>
              <w:jc w:val="right"/>
              <w:rPr>
                <w:szCs w:val="18"/>
              </w:rPr>
            </w:pPr>
            <w:r w:rsidRPr="00B275E2">
              <w:rPr>
                <w:rFonts w:cs="Calibri"/>
                <w:szCs w:val="18"/>
              </w:rPr>
              <w:t>0.001</w:t>
            </w:r>
          </w:p>
        </w:tc>
        <w:tc>
          <w:tcPr>
            <w:tcW w:w="1134" w:type="dxa"/>
            <w:shd w:val="clear" w:color="auto" w:fill="auto"/>
            <w:noWrap/>
          </w:tcPr>
          <w:p w14:paraId="65091DA3" w14:textId="7ED67B41" w:rsidR="009312EC" w:rsidRPr="00B275E2" w:rsidRDefault="009312EC" w:rsidP="007F0B1E">
            <w:pPr>
              <w:pStyle w:val="TableText"/>
              <w:spacing w:before="40" w:after="40"/>
              <w:jc w:val="right"/>
              <w:rPr>
                <w:szCs w:val="18"/>
              </w:rPr>
            </w:pPr>
            <w:r w:rsidRPr="00B275E2">
              <w:rPr>
                <w:rFonts w:cs="Calibri"/>
                <w:szCs w:val="18"/>
              </w:rPr>
              <w:t>0.003</w:t>
            </w:r>
          </w:p>
        </w:tc>
      </w:tr>
      <w:tr w:rsidR="009312EC" w:rsidRPr="00B275E2" w14:paraId="65091DAC" w14:textId="77777777" w:rsidTr="00BC4F8C">
        <w:tc>
          <w:tcPr>
            <w:tcW w:w="1701" w:type="dxa"/>
            <w:vMerge w:val="restart"/>
          </w:tcPr>
          <w:p w14:paraId="65091DA5" w14:textId="4C75617F" w:rsidR="009312EC" w:rsidRPr="00B275E2" w:rsidRDefault="009312EC" w:rsidP="007F0B1E">
            <w:pPr>
              <w:pStyle w:val="TableText"/>
              <w:spacing w:before="40" w:after="40"/>
              <w:rPr>
                <w:szCs w:val="18"/>
              </w:rPr>
            </w:pPr>
            <w:r w:rsidRPr="00B275E2">
              <w:rPr>
                <w:szCs w:val="18"/>
              </w:rPr>
              <w:t>Petrol plug-in hybrid electric vehicle (PHEV) – electricity consumption</w:t>
            </w:r>
          </w:p>
        </w:tc>
        <w:tc>
          <w:tcPr>
            <w:tcW w:w="1501" w:type="dxa"/>
            <w:noWrap/>
          </w:tcPr>
          <w:p w14:paraId="65091DA6" w14:textId="2F3C5503" w:rsidR="009312EC" w:rsidRPr="00B275E2" w:rsidRDefault="009312EC" w:rsidP="007F0B1E">
            <w:pPr>
              <w:pStyle w:val="TableText"/>
              <w:spacing w:before="40" w:after="40"/>
              <w:rPr>
                <w:szCs w:val="18"/>
              </w:rPr>
            </w:pPr>
            <w:r w:rsidRPr="00B275E2">
              <w:rPr>
                <w:szCs w:val="18"/>
              </w:rPr>
              <w:t>&lt;1350 cc</w:t>
            </w:r>
          </w:p>
        </w:tc>
        <w:tc>
          <w:tcPr>
            <w:tcW w:w="626" w:type="dxa"/>
            <w:noWrap/>
          </w:tcPr>
          <w:p w14:paraId="65091DA7" w14:textId="77777777" w:rsidR="009312EC" w:rsidRPr="00B275E2" w:rsidRDefault="009312EC" w:rsidP="007F0B1E">
            <w:pPr>
              <w:pStyle w:val="TableText"/>
              <w:spacing w:before="40" w:after="40"/>
              <w:rPr>
                <w:szCs w:val="18"/>
              </w:rPr>
            </w:pPr>
            <w:r w:rsidRPr="00B275E2">
              <w:rPr>
                <w:szCs w:val="18"/>
              </w:rPr>
              <w:t>km</w:t>
            </w:r>
          </w:p>
        </w:tc>
        <w:tc>
          <w:tcPr>
            <w:tcW w:w="1247" w:type="dxa"/>
            <w:shd w:val="clear" w:color="auto" w:fill="D2DDE1" w:themeFill="background2"/>
            <w:noWrap/>
          </w:tcPr>
          <w:p w14:paraId="65091DA8" w14:textId="5E743435" w:rsidR="009312EC" w:rsidRPr="00B275E2" w:rsidRDefault="009312EC" w:rsidP="007F0B1E">
            <w:pPr>
              <w:pStyle w:val="TableText"/>
              <w:spacing w:before="40" w:after="40"/>
              <w:jc w:val="right"/>
              <w:rPr>
                <w:szCs w:val="18"/>
              </w:rPr>
            </w:pPr>
            <w:r w:rsidRPr="00B275E2">
              <w:rPr>
                <w:rFonts w:cs="Calibri"/>
                <w:szCs w:val="18"/>
              </w:rPr>
              <w:t>0.0</w:t>
            </w:r>
            <w:r w:rsidR="0073696C">
              <w:rPr>
                <w:rFonts w:cs="Calibri"/>
                <w:szCs w:val="18"/>
              </w:rPr>
              <w:t>10</w:t>
            </w:r>
          </w:p>
        </w:tc>
        <w:tc>
          <w:tcPr>
            <w:tcW w:w="1087" w:type="dxa"/>
            <w:shd w:val="clear" w:color="auto" w:fill="auto"/>
            <w:noWrap/>
          </w:tcPr>
          <w:p w14:paraId="65091DA9" w14:textId="25407570" w:rsidR="009312EC" w:rsidRPr="00B275E2" w:rsidRDefault="009312EC" w:rsidP="007F0B1E">
            <w:pPr>
              <w:pStyle w:val="TableText"/>
              <w:spacing w:before="40" w:after="40"/>
              <w:jc w:val="right"/>
              <w:rPr>
                <w:szCs w:val="18"/>
              </w:rPr>
            </w:pPr>
            <w:r w:rsidRPr="00B275E2">
              <w:rPr>
                <w:rFonts w:cs="Calibri"/>
                <w:szCs w:val="18"/>
              </w:rPr>
              <w:t>0.009</w:t>
            </w:r>
          </w:p>
        </w:tc>
        <w:tc>
          <w:tcPr>
            <w:tcW w:w="1086" w:type="dxa"/>
            <w:shd w:val="clear" w:color="auto" w:fill="auto"/>
            <w:noWrap/>
          </w:tcPr>
          <w:p w14:paraId="65091DAA" w14:textId="2B03BB15" w:rsidR="009312EC" w:rsidRPr="00B275E2" w:rsidRDefault="009312EC" w:rsidP="007F0B1E">
            <w:pPr>
              <w:pStyle w:val="TableText"/>
              <w:spacing w:before="40" w:after="40"/>
              <w:jc w:val="right"/>
              <w:rPr>
                <w:szCs w:val="18"/>
              </w:rPr>
            </w:pPr>
            <w:r w:rsidRPr="00B275E2">
              <w:rPr>
                <w:rFonts w:cs="Calibri"/>
                <w:szCs w:val="18"/>
              </w:rPr>
              <w:t>0.000</w:t>
            </w:r>
            <w:r w:rsidR="00AC41BE">
              <w:rPr>
                <w:rFonts w:cs="Calibri"/>
                <w:szCs w:val="18"/>
              </w:rPr>
              <w:t>2</w:t>
            </w:r>
          </w:p>
        </w:tc>
        <w:tc>
          <w:tcPr>
            <w:tcW w:w="1134" w:type="dxa"/>
            <w:shd w:val="clear" w:color="auto" w:fill="auto"/>
            <w:noWrap/>
          </w:tcPr>
          <w:p w14:paraId="65091DAB" w14:textId="492CE8B3" w:rsidR="009312EC" w:rsidRPr="00B275E2" w:rsidRDefault="009312EC" w:rsidP="007F0B1E">
            <w:pPr>
              <w:pStyle w:val="TableText"/>
              <w:spacing w:before="40" w:after="40"/>
              <w:jc w:val="right"/>
              <w:rPr>
                <w:szCs w:val="18"/>
              </w:rPr>
            </w:pPr>
            <w:r w:rsidRPr="00B275E2">
              <w:rPr>
                <w:rFonts w:cs="Calibri"/>
                <w:szCs w:val="18"/>
              </w:rPr>
              <w:t>0.0000</w:t>
            </w:r>
            <w:r w:rsidR="00AC41BE">
              <w:rPr>
                <w:rFonts w:cs="Calibri"/>
                <w:szCs w:val="18"/>
              </w:rPr>
              <w:t>2</w:t>
            </w:r>
          </w:p>
        </w:tc>
      </w:tr>
      <w:tr w:rsidR="009312EC" w:rsidRPr="00B275E2" w14:paraId="65091DB4" w14:textId="77777777" w:rsidTr="00BC4F8C">
        <w:tc>
          <w:tcPr>
            <w:tcW w:w="1701" w:type="dxa"/>
            <w:vMerge/>
          </w:tcPr>
          <w:p w14:paraId="65091DAD" w14:textId="77777777" w:rsidR="009312EC" w:rsidRPr="00B275E2" w:rsidRDefault="009312EC" w:rsidP="007F0B1E">
            <w:pPr>
              <w:pStyle w:val="TableText"/>
              <w:spacing w:before="40" w:after="40"/>
              <w:rPr>
                <w:szCs w:val="18"/>
              </w:rPr>
            </w:pPr>
          </w:p>
        </w:tc>
        <w:tc>
          <w:tcPr>
            <w:tcW w:w="1501" w:type="dxa"/>
            <w:noWrap/>
          </w:tcPr>
          <w:p w14:paraId="65091DAE" w14:textId="5D554033" w:rsidR="009312EC" w:rsidRPr="00B275E2" w:rsidRDefault="009312EC" w:rsidP="007F0B1E">
            <w:pPr>
              <w:pStyle w:val="TableText"/>
              <w:spacing w:before="40" w:after="40"/>
              <w:rPr>
                <w:szCs w:val="18"/>
              </w:rPr>
            </w:pPr>
            <w:r w:rsidRPr="00B275E2">
              <w:rPr>
                <w:szCs w:val="18"/>
              </w:rPr>
              <w:t>1350</w:t>
            </w:r>
            <w:r w:rsidRPr="00B275E2">
              <w:rPr>
                <w:rFonts w:cs="Calibri"/>
                <w:color w:val="000000"/>
                <w:szCs w:val="18"/>
              </w:rPr>
              <w:t xml:space="preserve"> -</w:t>
            </w:r>
            <w:r w:rsidRPr="00B275E2">
              <w:rPr>
                <w:szCs w:val="18"/>
              </w:rPr>
              <w:t xml:space="preserve"> &lt;1600 cc</w:t>
            </w:r>
          </w:p>
        </w:tc>
        <w:tc>
          <w:tcPr>
            <w:tcW w:w="626" w:type="dxa"/>
            <w:noWrap/>
          </w:tcPr>
          <w:p w14:paraId="65091DAF" w14:textId="77777777" w:rsidR="009312EC" w:rsidRPr="00B275E2" w:rsidRDefault="009312EC" w:rsidP="007F0B1E">
            <w:pPr>
              <w:pStyle w:val="TableText"/>
              <w:spacing w:before="40" w:after="40"/>
              <w:rPr>
                <w:szCs w:val="18"/>
              </w:rPr>
            </w:pPr>
            <w:r w:rsidRPr="00B275E2">
              <w:rPr>
                <w:szCs w:val="18"/>
              </w:rPr>
              <w:t>km</w:t>
            </w:r>
          </w:p>
        </w:tc>
        <w:tc>
          <w:tcPr>
            <w:tcW w:w="1247" w:type="dxa"/>
            <w:shd w:val="clear" w:color="auto" w:fill="D2DDE1" w:themeFill="background2"/>
            <w:noWrap/>
          </w:tcPr>
          <w:p w14:paraId="65091DB0" w14:textId="5AE7ED39" w:rsidR="009312EC" w:rsidRPr="00B275E2" w:rsidRDefault="009312EC" w:rsidP="007F0B1E">
            <w:pPr>
              <w:pStyle w:val="TableText"/>
              <w:spacing w:before="40" w:after="40"/>
              <w:jc w:val="right"/>
              <w:rPr>
                <w:szCs w:val="18"/>
              </w:rPr>
            </w:pPr>
            <w:r w:rsidRPr="00B275E2">
              <w:rPr>
                <w:rFonts w:cs="Calibri"/>
                <w:szCs w:val="18"/>
              </w:rPr>
              <w:t>0.0</w:t>
            </w:r>
            <w:r w:rsidR="0073696C">
              <w:rPr>
                <w:rFonts w:cs="Calibri"/>
                <w:szCs w:val="18"/>
              </w:rPr>
              <w:t>10</w:t>
            </w:r>
          </w:p>
        </w:tc>
        <w:tc>
          <w:tcPr>
            <w:tcW w:w="1087" w:type="dxa"/>
            <w:shd w:val="clear" w:color="auto" w:fill="auto"/>
            <w:noWrap/>
          </w:tcPr>
          <w:p w14:paraId="65091DB1" w14:textId="0E848784" w:rsidR="009312EC" w:rsidRPr="00B275E2" w:rsidRDefault="009312EC" w:rsidP="007F0B1E">
            <w:pPr>
              <w:pStyle w:val="TableText"/>
              <w:spacing w:before="40" w:after="40"/>
              <w:jc w:val="right"/>
              <w:rPr>
                <w:szCs w:val="18"/>
              </w:rPr>
            </w:pPr>
            <w:r w:rsidRPr="00B275E2">
              <w:rPr>
                <w:rFonts w:cs="Calibri"/>
                <w:szCs w:val="18"/>
              </w:rPr>
              <w:t>0.0</w:t>
            </w:r>
            <w:r w:rsidR="0073696C">
              <w:rPr>
                <w:rFonts w:cs="Calibri"/>
                <w:szCs w:val="18"/>
              </w:rPr>
              <w:t>10</w:t>
            </w:r>
          </w:p>
        </w:tc>
        <w:tc>
          <w:tcPr>
            <w:tcW w:w="1086" w:type="dxa"/>
            <w:shd w:val="clear" w:color="auto" w:fill="auto"/>
            <w:noWrap/>
          </w:tcPr>
          <w:p w14:paraId="65091DB2" w14:textId="0D4F8456" w:rsidR="009312EC" w:rsidRPr="00B275E2" w:rsidRDefault="009312EC" w:rsidP="007F0B1E">
            <w:pPr>
              <w:pStyle w:val="TableText"/>
              <w:spacing w:before="40" w:after="40"/>
              <w:jc w:val="right"/>
              <w:rPr>
                <w:szCs w:val="18"/>
              </w:rPr>
            </w:pPr>
            <w:r w:rsidRPr="00B275E2">
              <w:rPr>
                <w:rFonts w:cs="Calibri"/>
                <w:szCs w:val="18"/>
              </w:rPr>
              <w:t>0.000</w:t>
            </w:r>
            <w:r w:rsidR="00AC41BE">
              <w:rPr>
                <w:rFonts w:cs="Calibri"/>
                <w:szCs w:val="18"/>
              </w:rPr>
              <w:t>3</w:t>
            </w:r>
          </w:p>
        </w:tc>
        <w:tc>
          <w:tcPr>
            <w:tcW w:w="1134" w:type="dxa"/>
            <w:shd w:val="clear" w:color="auto" w:fill="auto"/>
            <w:noWrap/>
          </w:tcPr>
          <w:p w14:paraId="65091DB3" w14:textId="3E947F41" w:rsidR="009312EC" w:rsidRPr="00B275E2" w:rsidRDefault="009312EC" w:rsidP="007F0B1E">
            <w:pPr>
              <w:pStyle w:val="TableText"/>
              <w:spacing w:before="40" w:after="40"/>
              <w:jc w:val="right"/>
              <w:rPr>
                <w:szCs w:val="18"/>
              </w:rPr>
            </w:pPr>
            <w:r w:rsidRPr="00B275E2">
              <w:rPr>
                <w:rFonts w:cs="Calibri"/>
                <w:szCs w:val="18"/>
              </w:rPr>
              <w:t>0.0000</w:t>
            </w:r>
            <w:r w:rsidR="00AC41BE">
              <w:rPr>
                <w:rFonts w:cs="Calibri"/>
                <w:szCs w:val="18"/>
              </w:rPr>
              <w:t>2</w:t>
            </w:r>
          </w:p>
        </w:tc>
      </w:tr>
      <w:tr w:rsidR="009312EC" w:rsidRPr="00B275E2" w14:paraId="65091DBC" w14:textId="77777777" w:rsidTr="00BC4F8C">
        <w:tc>
          <w:tcPr>
            <w:tcW w:w="1701" w:type="dxa"/>
            <w:vMerge/>
          </w:tcPr>
          <w:p w14:paraId="65091DB5" w14:textId="77777777" w:rsidR="009312EC" w:rsidRPr="00B275E2" w:rsidRDefault="009312EC" w:rsidP="007F0B1E">
            <w:pPr>
              <w:pStyle w:val="TableText"/>
              <w:spacing w:before="40" w:after="40"/>
              <w:rPr>
                <w:szCs w:val="18"/>
              </w:rPr>
            </w:pPr>
          </w:p>
        </w:tc>
        <w:tc>
          <w:tcPr>
            <w:tcW w:w="1501" w:type="dxa"/>
            <w:noWrap/>
          </w:tcPr>
          <w:p w14:paraId="65091DB6" w14:textId="4A09CB56" w:rsidR="009312EC" w:rsidRPr="00B275E2" w:rsidRDefault="009312EC" w:rsidP="007F0B1E">
            <w:pPr>
              <w:pStyle w:val="TableText"/>
              <w:spacing w:before="40" w:after="40"/>
              <w:rPr>
                <w:szCs w:val="18"/>
              </w:rPr>
            </w:pPr>
            <w:r w:rsidRPr="00B275E2">
              <w:rPr>
                <w:szCs w:val="18"/>
              </w:rPr>
              <w:t>1600</w:t>
            </w:r>
            <w:r w:rsidRPr="00B275E2">
              <w:rPr>
                <w:rFonts w:cs="Calibri"/>
                <w:color w:val="000000"/>
                <w:szCs w:val="18"/>
              </w:rPr>
              <w:t xml:space="preserve"> -</w:t>
            </w:r>
            <w:r w:rsidRPr="00B275E2">
              <w:rPr>
                <w:szCs w:val="18"/>
              </w:rPr>
              <w:t xml:space="preserve"> &lt;2000 cc</w:t>
            </w:r>
          </w:p>
        </w:tc>
        <w:tc>
          <w:tcPr>
            <w:tcW w:w="626" w:type="dxa"/>
            <w:noWrap/>
          </w:tcPr>
          <w:p w14:paraId="65091DB7" w14:textId="77777777" w:rsidR="009312EC" w:rsidRPr="00B275E2" w:rsidRDefault="009312EC" w:rsidP="007F0B1E">
            <w:pPr>
              <w:pStyle w:val="TableText"/>
              <w:spacing w:before="40" w:after="40"/>
              <w:rPr>
                <w:szCs w:val="18"/>
              </w:rPr>
            </w:pPr>
            <w:r w:rsidRPr="00B275E2">
              <w:rPr>
                <w:szCs w:val="18"/>
              </w:rPr>
              <w:t>km</w:t>
            </w:r>
          </w:p>
        </w:tc>
        <w:tc>
          <w:tcPr>
            <w:tcW w:w="1247" w:type="dxa"/>
            <w:shd w:val="clear" w:color="auto" w:fill="D2DDE1" w:themeFill="background2"/>
            <w:noWrap/>
          </w:tcPr>
          <w:p w14:paraId="65091DB8" w14:textId="5D7785AE" w:rsidR="009312EC" w:rsidRPr="00B275E2" w:rsidRDefault="009312EC" w:rsidP="007F0B1E">
            <w:pPr>
              <w:pStyle w:val="TableText"/>
              <w:spacing w:before="40" w:after="40"/>
              <w:jc w:val="right"/>
              <w:rPr>
                <w:szCs w:val="18"/>
              </w:rPr>
            </w:pPr>
            <w:r w:rsidRPr="00B275E2">
              <w:rPr>
                <w:rFonts w:cs="Calibri"/>
                <w:szCs w:val="18"/>
              </w:rPr>
              <w:t>0.011</w:t>
            </w:r>
          </w:p>
        </w:tc>
        <w:tc>
          <w:tcPr>
            <w:tcW w:w="1087" w:type="dxa"/>
            <w:shd w:val="clear" w:color="auto" w:fill="auto"/>
            <w:noWrap/>
          </w:tcPr>
          <w:p w14:paraId="65091DB9" w14:textId="61E2BA4D" w:rsidR="009312EC" w:rsidRPr="00B275E2" w:rsidRDefault="009312EC" w:rsidP="007F0B1E">
            <w:pPr>
              <w:pStyle w:val="TableText"/>
              <w:spacing w:before="40" w:after="40"/>
              <w:jc w:val="right"/>
              <w:rPr>
                <w:szCs w:val="18"/>
              </w:rPr>
            </w:pPr>
            <w:r w:rsidRPr="00B275E2">
              <w:rPr>
                <w:rFonts w:cs="Calibri"/>
                <w:szCs w:val="18"/>
              </w:rPr>
              <w:t>0.01</w:t>
            </w:r>
            <w:r w:rsidR="0073696C">
              <w:rPr>
                <w:rFonts w:cs="Calibri"/>
                <w:szCs w:val="18"/>
              </w:rPr>
              <w:t>1</w:t>
            </w:r>
          </w:p>
        </w:tc>
        <w:tc>
          <w:tcPr>
            <w:tcW w:w="1086" w:type="dxa"/>
            <w:shd w:val="clear" w:color="auto" w:fill="auto"/>
            <w:noWrap/>
          </w:tcPr>
          <w:p w14:paraId="65091DBA" w14:textId="52120612" w:rsidR="009312EC" w:rsidRPr="00B275E2" w:rsidRDefault="009312EC" w:rsidP="007F0B1E">
            <w:pPr>
              <w:pStyle w:val="TableText"/>
              <w:spacing w:before="40" w:after="40"/>
              <w:jc w:val="right"/>
              <w:rPr>
                <w:szCs w:val="18"/>
              </w:rPr>
            </w:pPr>
            <w:r w:rsidRPr="00B275E2">
              <w:rPr>
                <w:rFonts w:cs="Calibri"/>
                <w:szCs w:val="18"/>
              </w:rPr>
              <w:t>0.000</w:t>
            </w:r>
            <w:r w:rsidR="00AC41BE">
              <w:rPr>
                <w:rFonts w:cs="Calibri"/>
                <w:szCs w:val="18"/>
              </w:rPr>
              <w:t>3</w:t>
            </w:r>
          </w:p>
        </w:tc>
        <w:tc>
          <w:tcPr>
            <w:tcW w:w="1134" w:type="dxa"/>
            <w:shd w:val="clear" w:color="auto" w:fill="auto"/>
            <w:noWrap/>
          </w:tcPr>
          <w:p w14:paraId="65091DBB" w14:textId="187FC22C" w:rsidR="009312EC" w:rsidRPr="00B275E2" w:rsidRDefault="009312EC" w:rsidP="007F0B1E">
            <w:pPr>
              <w:pStyle w:val="TableText"/>
              <w:spacing w:before="40" w:after="40"/>
              <w:jc w:val="right"/>
              <w:rPr>
                <w:szCs w:val="18"/>
              </w:rPr>
            </w:pPr>
            <w:r w:rsidRPr="00B275E2">
              <w:rPr>
                <w:rFonts w:cs="Calibri"/>
                <w:szCs w:val="18"/>
              </w:rPr>
              <w:t>0.0000</w:t>
            </w:r>
            <w:r w:rsidR="00AC41BE">
              <w:rPr>
                <w:rFonts w:cs="Calibri"/>
                <w:szCs w:val="18"/>
              </w:rPr>
              <w:t>2</w:t>
            </w:r>
          </w:p>
        </w:tc>
      </w:tr>
      <w:tr w:rsidR="009312EC" w:rsidRPr="00B275E2" w14:paraId="65091DC4" w14:textId="77777777" w:rsidTr="00BC4F8C">
        <w:tc>
          <w:tcPr>
            <w:tcW w:w="1701" w:type="dxa"/>
            <w:vMerge/>
          </w:tcPr>
          <w:p w14:paraId="65091DBD" w14:textId="77777777" w:rsidR="009312EC" w:rsidRPr="00B275E2" w:rsidRDefault="009312EC" w:rsidP="007F0B1E">
            <w:pPr>
              <w:pStyle w:val="TableText"/>
              <w:spacing w:before="40" w:after="40"/>
              <w:rPr>
                <w:szCs w:val="18"/>
              </w:rPr>
            </w:pPr>
          </w:p>
        </w:tc>
        <w:tc>
          <w:tcPr>
            <w:tcW w:w="1501" w:type="dxa"/>
            <w:noWrap/>
          </w:tcPr>
          <w:p w14:paraId="65091DBE" w14:textId="79183565" w:rsidR="009312EC" w:rsidRPr="00B275E2" w:rsidRDefault="009312EC" w:rsidP="007F0B1E">
            <w:pPr>
              <w:pStyle w:val="TableText"/>
              <w:spacing w:before="40" w:after="40"/>
              <w:rPr>
                <w:szCs w:val="18"/>
              </w:rPr>
            </w:pPr>
            <w:r w:rsidRPr="00B275E2">
              <w:rPr>
                <w:szCs w:val="18"/>
              </w:rPr>
              <w:t>2000</w:t>
            </w:r>
            <w:r w:rsidRPr="00B275E2">
              <w:rPr>
                <w:rFonts w:cs="Calibri"/>
                <w:color w:val="000000"/>
                <w:szCs w:val="18"/>
              </w:rPr>
              <w:t xml:space="preserve"> -</w:t>
            </w:r>
            <w:r w:rsidRPr="00B275E2">
              <w:rPr>
                <w:szCs w:val="18"/>
              </w:rPr>
              <w:t xml:space="preserve"> &lt;3000 cc</w:t>
            </w:r>
          </w:p>
        </w:tc>
        <w:tc>
          <w:tcPr>
            <w:tcW w:w="626" w:type="dxa"/>
            <w:noWrap/>
          </w:tcPr>
          <w:p w14:paraId="65091DBF" w14:textId="77777777" w:rsidR="009312EC" w:rsidRPr="00B275E2" w:rsidRDefault="009312EC" w:rsidP="007F0B1E">
            <w:pPr>
              <w:pStyle w:val="TableText"/>
              <w:spacing w:before="40" w:after="40"/>
              <w:rPr>
                <w:szCs w:val="18"/>
              </w:rPr>
            </w:pPr>
            <w:r w:rsidRPr="00B275E2">
              <w:rPr>
                <w:szCs w:val="18"/>
              </w:rPr>
              <w:t>km</w:t>
            </w:r>
          </w:p>
        </w:tc>
        <w:tc>
          <w:tcPr>
            <w:tcW w:w="1247" w:type="dxa"/>
            <w:shd w:val="clear" w:color="auto" w:fill="D2DDE1" w:themeFill="background2"/>
            <w:noWrap/>
          </w:tcPr>
          <w:p w14:paraId="65091DC0" w14:textId="346A6018" w:rsidR="009312EC" w:rsidRPr="00B275E2" w:rsidRDefault="009312EC" w:rsidP="007F0B1E">
            <w:pPr>
              <w:pStyle w:val="TableText"/>
              <w:spacing w:before="40" w:after="40"/>
              <w:jc w:val="right"/>
              <w:rPr>
                <w:szCs w:val="18"/>
              </w:rPr>
            </w:pPr>
            <w:r w:rsidRPr="00B275E2">
              <w:rPr>
                <w:rFonts w:cs="Calibri"/>
                <w:szCs w:val="18"/>
              </w:rPr>
              <w:t>0.012</w:t>
            </w:r>
          </w:p>
        </w:tc>
        <w:tc>
          <w:tcPr>
            <w:tcW w:w="1087" w:type="dxa"/>
            <w:shd w:val="clear" w:color="auto" w:fill="auto"/>
            <w:noWrap/>
          </w:tcPr>
          <w:p w14:paraId="65091DC1" w14:textId="7848DF75" w:rsidR="009312EC" w:rsidRPr="00B275E2" w:rsidRDefault="009312EC" w:rsidP="007F0B1E">
            <w:pPr>
              <w:pStyle w:val="TableText"/>
              <w:spacing w:before="40" w:after="40"/>
              <w:jc w:val="right"/>
              <w:rPr>
                <w:szCs w:val="18"/>
              </w:rPr>
            </w:pPr>
            <w:r w:rsidRPr="00B275E2">
              <w:rPr>
                <w:rFonts w:cs="Calibri"/>
                <w:szCs w:val="18"/>
              </w:rPr>
              <w:t>0.01</w:t>
            </w:r>
            <w:r w:rsidR="0073696C">
              <w:rPr>
                <w:rFonts w:cs="Calibri"/>
                <w:szCs w:val="18"/>
              </w:rPr>
              <w:t>2</w:t>
            </w:r>
          </w:p>
        </w:tc>
        <w:tc>
          <w:tcPr>
            <w:tcW w:w="1086" w:type="dxa"/>
            <w:shd w:val="clear" w:color="auto" w:fill="auto"/>
            <w:noWrap/>
          </w:tcPr>
          <w:p w14:paraId="65091DC2" w14:textId="1EB184AA" w:rsidR="009312EC" w:rsidRPr="00B275E2" w:rsidRDefault="009312EC" w:rsidP="007F0B1E">
            <w:pPr>
              <w:pStyle w:val="TableText"/>
              <w:spacing w:before="40" w:after="40"/>
              <w:jc w:val="right"/>
              <w:rPr>
                <w:szCs w:val="18"/>
              </w:rPr>
            </w:pPr>
            <w:r w:rsidRPr="00B275E2">
              <w:rPr>
                <w:rFonts w:cs="Calibri"/>
                <w:szCs w:val="18"/>
              </w:rPr>
              <w:t>0.000</w:t>
            </w:r>
            <w:r w:rsidR="00AC41BE">
              <w:rPr>
                <w:rFonts w:cs="Calibri"/>
                <w:szCs w:val="18"/>
              </w:rPr>
              <w:t>3</w:t>
            </w:r>
          </w:p>
        </w:tc>
        <w:tc>
          <w:tcPr>
            <w:tcW w:w="1134" w:type="dxa"/>
            <w:shd w:val="clear" w:color="auto" w:fill="auto"/>
            <w:noWrap/>
          </w:tcPr>
          <w:p w14:paraId="65091DC3" w14:textId="1B3B3CA9" w:rsidR="009312EC" w:rsidRPr="00B275E2" w:rsidRDefault="009312EC" w:rsidP="007F0B1E">
            <w:pPr>
              <w:pStyle w:val="TableText"/>
              <w:spacing w:before="40" w:after="40"/>
              <w:jc w:val="right"/>
              <w:rPr>
                <w:szCs w:val="18"/>
              </w:rPr>
            </w:pPr>
            <w:r w:rsidRPr="00B275E2">
              <w:rPr>
                <w:rFonts w:cs="Calibri"/>
                <w:szCs w:val="18"/>
              </w:rPr>
              <w:t>0.0000</w:t>
            </w:r>
            <w:r w:rsidR="00AC41BE">
              <w:rPr>
                <w:rFonts w:cs="Calibri"/>
                <w:szCs w:val="18"/>
              </w:rPr>
              <w:t>3</w:t>
            </w:r>
          </w:p>
        </w:tc>
      </w:tr>
      <w:tr w:rsidR="009312EC" w:rsidRPr="00B275E2" w14:paraId="65091DCC" w14:textId="77777777" w:rsidTr="00BC4F8C">
        <w:tc>
          <w:tcPr>
            <w:tcW w:w="1701" w:type="dxa"/>
            <w:vMerge/>
          </w:tcPr>
          <w:p w14:paraId="65091DC5" w14:textId="77777777" w:rsidR="009312EC" w:rsidRPr="00B275E2" w:rsidRDefault="009312EC" w:rsidP="007F0B1E">
            <w:pPr>
              <w:pStyle w:val="TableText"/>
              <w:spacing w:before="40" w:after="40"/>
              <w:rPr>
                <w:szCs w:val="18"/>
              </w:rPr>
            </w:pPr>
          </w:p>
        </w:tc>
        <w:tc>
          <w:tcPr>
            <w:tcW w:w="1501" w:type="dxa"/>
            <w:noWrap/>
          </w:tcPr>
          <w:p w14:paraId="65091DC6" w14:textId="5F336F51" w:rsidR="009312EC" w:rsidRPr="00B275E2" w:rsidRDefault="009312EC" w:rsidP="007F0B1E">
            <w:pPr>
              <w:pStyle w:val="TableText"/>
              <w:spacing w:before="40" w:after="40"/>
              <w:rPr>
                <w:szCs w:val="18"/>
              </w:rPr>
            </w:pPr>
            <w:r w:rsidRPr="00B275E2">
              <w:rPr>
                <w:szCs w:val="18"/>
              </w:rPr>
              <w:t>≥3000 cc</w:t>
            </w:r>
          </w:p>
        </w:tc>
        <w:tc>
          <w:tcPr>
            <w:tcW w:w="626" w:type="dxa"/>
            <w:noWrap/>
          </w:tcPr>
          <w:p w14:paraId="65091DC7" w14:textId="77777777" w:rsidR="009312EC" w:rsidRPr="00B275E2" w:rsidRDefault="009312EC" w:rsidP="007F0B1E">
            <w:pPr>
              <w:pStyle w:val="TableText"/>
              <w:spacing w:before="40" w:after="40"/>
              <w:rPr>
                <w:szCs w:val="18"/>
              </w:rPr>
            </w:pPr>
            <w:r w:rsidRPr="00B275E2">
              <w:rPr>
                <w:szCs w:val="18"/>
              </w:rPr>
              <w:t>km</w:t>
            </w:r>
          </w:p>
        </w:tc>
        <w:tc>
          <w:tcPr>
            <w:tcW w:w="1247" w:type="dxa"/>
            <w:shd w:val="clear" w:color="auto" w:fill="D2DDE1" w:themeFill="background2"/>
            <w:noWrap/>
          </w:tcPr>
          <w:p w14:paraId="65091DC8" w14:textId="4A92DD23" w:rsidR="009312EC" w:rsidRPr="00B275E2" w:rsidRDefault="009312EC" w:rsidP="007F0B1E">
            <w:pPr>
              <w:pStyle w:val="TableText"/>
              <w:spacing w:before="40" w:after="40"/>
              <w:jc w:val="right"/>
              <w:rPr>
                <w:szCs w:val="18"/>
              </w:rPr>
            </w:pPr>
            <w:r w:rsidRPr="00B275E2">
              <w:rPr>
                <w:rFonts w:cs="Calibri"/>
                <w:szCs w:val="18"/>
              </w:rPr>
              <w:t>0.01</w:t>
            </w:r>
            <w:r w:rsidR="0073696C">
              <w:rPr>
                <w:rFonts w:cs="Calibri"/>
                <w:szCs w:val="18"/>
              </w:rPr>
              <w:t>5</w:t>
            </w:r>
          </w:p>
        </w:tc>
        <w:tc>
          <w:tcPr>
            <w:tcW w:w="1087" w:type="dxa"/>
            <w:shd w:val="clear" w:color="auto" w:fill="auto"/>
            <w:noWrap/>
          </w:tcPr>
          <w:p w14:paraId="65091DC9" w14:textId="358CAF30" w:rsidR="009312EC" w:rsidRPr="00B275E2" w:rsidRDefault="009312EC" w:rsidP="007F0B1E">
            <w:pPr>
              <w:pStyle w:val="TableText"/>
              <w:spacing w:before="40" w:after="40"/>
              <w:jc w:val="right"/>
              <w:rPr>
                <w:szCs w:val="18"/>
              </w:rPr>
            </w:pPr>
            <w:r w:rsidRPr="00B275E2">
              <w:rPr>
                <w:rFonts w:cs="Calibri"/>
                <w:szCs w:val="18"/>
              </w:rPr>
              <w:t>0.014</w:t>
            </w:r>
          </w:p>
        </w:tc>
        <w:tc>
          <w:tcPr>
            <w:tcW w:w="1086" w:type="dxa"/>
            <w:shd w:val="clear" w:color="auto" w:fill="auto"/>
            <w:noWrap/>
          </w:tcPr>
          <w:p w14:paraId="65091DCA" w14:textId="7F3A54F6" w:rsidR="009312EC" w:rsidRPr="00B275E2" w:rsidRDefault="009312EC" w:rsidP="007F0B1E">
            <w:pPr>
              <w:pStyle w:val="TableText"/>
              <w:spacing w:before="40" w:after="40"/>
              <w:jc w:val="right"/>
              <w:rPr>
                <w:szCs w:val="18"/>
              </w:rPr>
            </w:pPr>
            <w:r w:rsidRPr="00B275E2">
              <w:rPr>
                <w:rFonts w:cs="Calibri"/>
                <w:szCs w:val="18"/>
              </w:rPr>
              <w:t>0.000</w:t>
            </w:r>
            <w:r w:rsidR="00AC41BE">
              <w:rPr>
                <w:rFonts w:cs="Calibri"/>
                <w:szCs w:val="18"/>
              </w:rPr>
              <w:t>4</w:t>
            </w:r>
          </w:p>
        </w:tc>
        <w:tc>
          <w:tcPr>
            <w:tcW w:w="1134" w:type="dxa"/>
            <w:shd w:val="clear" w:color="auto" w:fill="auto"/>
            <w:noWrap/>
          </w:tcPr>
          <w:p w14:paraId="65091DCB" w14:textId="7BDA6BFB" w:rsidR="009312EC" w:rsidRPr="00B275E2" w:rsidRDefault="009312EC" w:rsidP="007F0B1E">
            <w:pPr>
              <w:pStyle w:val="TableText"/>
              <w:spacing w:before="40" w:after="40"/>
              <w:jc w:val="right"/>
              <w:rPr>
                <w:szCs w:val="18"/>
              </w:rPr>
            </w:pPr>
            <w:r w:rsidRPr="00B275E2">
              <w:rPr>
                <w:rFonts w:cs="Calibri"/>
                <w:szCs w:val="18"/>
              </w:rPr>
              <w:t>0.0000</w:t>
            </w:r>
            <w:r w:rsidR="00AC41BE">
              <w:rPr>
                <w:rFonts w:cs="Calibri"/>
                <w:szCs w:val="18"/>
              </w:rPr>
              <w:t>3</w:t>
            </w:r>
          </w:p>
        </w:tc>
      </w:tr>
      <w:tr w:rsidR="009312EC" w:rsidRPr="00B275E2" w14:paraId="65091DD4" w14:textId="77777777" w:rsidTr="00BC4F8C">
        <w:tc>
          <w:tcPr>
            <w:tcW w:w="1701" w:type="dxa"/>
            <w:vMerge w:val="restart"/>
          </w:tcPr>
          <w:p w14:paraId="65091DCD" w14:textId="26DBE052" w:rsidR="009312EC" w:rsidRPr="00B275E2" w:rsidRDefault="009312EC" w:rsidP="00F85347">
            <w:pPr>
              <w:pStyle w:val="TableText"/>
              <w:keepNext/>
              <w:spacing w:before="40" w:after="40"/>
              <w:rPr>
                <w:szCs w:val="18"/>
              </w:rPr>
            </w:pPr>
            <w:r w:rsidRPr="00B275E2">
              <w:rPr>
                <w:szCs w:val="18"/>
              </w:rPr>
              <w:lastRenderedPageBreak/>
              <w:t>Diesel plug-in hybrid electric vehicle (PHEV) – diesel consumption)</w:t>
            </w:r>
          </w:p>
        </w:tc>
        <w:tc>
          <w:tcPr>
            <w:tcW w:w="1501" w:type="dxa"/>
            <w:noWrap/>
          </w:tcPr>
          <w:p w14:paraId="65091DCE" w14:textId="14A265B3" w:rsidR="009312EC" w:rsidRPr="00B275E2" w:rsidRDefault="009312EC" w:rsidP="00F85347">
            <w:pPr>
              <w:pStyle w:val="TableText"/>
              <w:keepNext/>
              <w:spacing w:before="40" w:after="40"/>
              <w:rPr>
                <w:szCs w:val="18"/>
              </w:rPr>
            </w:pPr>
            <w:r w:rsidRPr="00B275E2">
              <w:rPr>
                <w:szCs w:val="18"/>
              </w:rPr>
              <w:t>&lt;1350 cc</w:t>
            </w:r>
          </w:p>
        </w:tc>
        <w:tc>
          <w:tcPr>
            <w:tcW w:w="626" w:type="dxa"/>
            <w:noWrap/>
          </w:tcPr>
          <w:p w14:paraId="65091DCF" w14:textId="77777777" w:rsidR="009312EC" w:rsidRPr="00B275E2" w:rsidRDefault="009312EC" w:rsidP="00F85347">
            <w:pPr>
              <w:pStyle w:val="TableText"/>
              <w:keepNext/>
              <w:spacing w:before="40" w:after="40"/>
              <w:rPr>
                <w:szCs w:val="18"/>
              </w:rPr>
            </w:pPr>
            <w:r w:rsidRPr="00B275E2">
              <w:rPr>
                <w:szCs w:val="18"/>
              </w:rPr>
              <w:t>km</w:t>
            </w:r>
          </w:p>
        </w:tc>
        <w:tc>
          <w:tcPr>
            <w:tcW w:w="1247" w:type="dxa"/>
            <w:shd w:val="clear" w:color="auto" w:fill="D2DDE1" w:themeFill="background2"/>
            <w:noWrap/>
          </w:tcPr>
          <w:p w14:paraId="65091DD0" w14:textId="06CF83CB" w:rsidR="009312EC" w:rsidRPr="00B275E2" w:rsidRDefault="009312EC" w:rsidP="00F85347">
            <w:pPr>
              <w:pStyle w:val="TableText"/>
              <w:keepNext/>
              <w:spacing w:before="40" w:after="40"/>
              <w:jc w:val="right"/>
              <w:rPr>
                <w:szCs w:val="18"/>
              </w:rPr>
            </w:pPr>
            <w:r w:rsidRPr="00B275E2">
              <w:rPr>
                <w:rFonts w:cs="Calibri"/>
                <w:szCs w:val="18"/>
              </w:rPr>
              <w:t>0.086</w:t>
            </w:r>
          </w:p>
        </w:tc>
        <w:tc>
          <w:tcPr>
            <w:tcW w:w="1087" w:type="dxa"/>
            <w:shd w:val="clear" w:color="auto" w:fill="auto"/>
            <w:noWrap/>
          </w:tcPr>
          <w:p w14:paraId="65091DD1" w14:textId="27639862" w:rsidR="009312EC" w:rsidRPr="00B275E2" w:rsidRDefault="009312EC" w:rsidP="00F85347">
            <w:pPr>
              <w:pStyle w:val="TableText"/>
              <w:keepNext/>
              <w:spacing w:before="40" w:after="40"/>
              <w:jc w:val="right"/>
              <w:rPr>
                <w:szCs w:val="18"/>
              </w:rPr>
            </w:pPr>
            <w:r w:rsidRPr="00B275E2">
              <w:rPr>
                <w:rFonts w:cs="Calibri"/>
                <w:szCs w:val="18"/>
              </w:rPr>
              <w:t>0.084</w:t>
            </w:r>
          </w:p>
        </w:tc>
        <w:tc>
          <w:tcPr>
            <w:tcW w:w="1086" w:type="dxa"/>
            <w:shd w:val="clear" w:color="auto" w:fill="auto"/>
            <w:noWrap/>
          </w:tcPr>
          <w:p w14:paraId="65091DD2" w14:textId="665AA3AB" w:rsidR="009312EC" w:rsidRPr="00B275E2" w:rsidRDefault="009312EC" w:rsidP="00F85347">
            <w:pPr>
              <w:pStyle w:val="TableText"/>
              <w:keepNext/>
              <w:spacing w:before="40" w:after="40"/>
              <w:jc w:val="right"/>
              <w:rPr>
                <w:szCs w:val="18"/>
              </w:rPr>
            </w:pPr>
            <w:r w:rsidRPr="00B275E2">
              <w:rPr>
                <w:rFonts w:cs="Calibri"/>
                <w:szCs w:val="18"/>
              </w:rPr>
              <w:t>0.0001</w:t>
            </w:r>
          </w:p>
        </w:tc>
        <w:tc>
          <w:tcPr>
            <w:tcW w:w="1134" w:type="dxa"/>
            <w:shd w:val="clear" w:color="auto" w:fill="auto"/>
            <w:noWrap/>
          </w:tcPr>
          <w:p w14:paraId="65091DD3" w14:textId="17FAE17C" w:rsidR="009312EC" w:rsidRPr="00B275E2" w:rsidRDefault="009312EC" w:rsidP="00F85347">
            <w:pPr>
              <w:pStyle w:val="TableText"/>
              <w:keepNext/>
              <w:spacing w:before="40" w:after="40"/>
              <w:jc w:val="right"/>
              <w:rPr>
                <w:szCs w:val="18"/>
              </w:rPr>
            </w:pPr>
            <w:r w:rsidRPr="00B275E2">
              <w:rPr>
                <w:rFonts w:cs="Calibri"/>
                <w:szCs w:val="18"/>
              </w:rPr>
              <w:t>0.001</w:t>
            </w:r>
          </w:p>
        </w:tc>
      </w:tr>
      <w:tr w:rsidR="009312EC" w:rsidRPr="00B275E2" w14:paraId="65091DDC" w14:textId="77777777" w:rsidTr="00BC4F8C">
        <w:tc>
          <w:tcPr>
            <w:tcW w:w="1701" w:type="dxa"/>
            <w:vMerge/>
          </w:tcPr>
          <w:p w14:paraId="65091DD5" w14:textId="77777777" w:rsidR="009312EC" w:rsidRPr="00B275E2" w:rsidRDefault="009312EC" w:rsidP="00F85347">
            <w:pPr>
              <w:pStyle w:val="TableText"/>
              <w:keepNext/>
              <w:spacing w:before="40" w:after="40"/>
              <w:rPr>
                <w:szCs w:val="18"/>
              </w:rPr>
            </w:pPr>
          </w:p>
        </w:tc>
        <w:tc>
          <w:tcPr>
            <w:tcW w:w="1501" w:type="dxa"/>
            <w:noWrap/>
          </w:tcPr>
          <w:p w14:paraId="65091DD6" w14:textId="71E9D78F" w:rsidR="009312EC" w:rsidRPr="00B275E2" w:rsidRDefault="009312EC" w:rsidP="00F85347">
            <w:pPr>
              <w:pStyle w:val="TableText"/>
              <w:keepNext/>
              <w:spacing w:before="40" w:after="40"/>
              <w:rPr>
                <w:szCs w:val="18"/>
              </w:rPr>
            </w:pPr>
            <w:r w:rsidRPr="00B275E2">
              <w:rPr>
                <w:szCs w:val="18"/>
              </w:rPr>
              <w:t>1350</w:t>
            </w:r>
            <w:r w:rsidRPr="00B275E2">
              <w:rPr>
                <w:rFonts w:cs="Calibri"/>
                <w:color w:val="000000"/>
                <w:szCs w:val="18"/>
              </w:rPr>
              <w:t xml:space="preserve"> -</w:t>
            </w:r>
            <w:r w:rsidRPr="00B275E2">
              <w:rPr>
                <w:szCs w:val="18"/>
              </w:rPr>
              <w:t xml:space="preserve"> &lt;1600 cc</w:t>
            </w:r>
          </w:p>
        </w:tc>
        <w:tc>
          <w:tcPr>
            <w:tcW w:w="626" w:type="dxa"/>
            <w:noWrap/>
          </w:tcPr>
          <w:p w14:paraId="65091DD7" w14:textId="77777777" w:rsidR="009312EC" w:rsidRPr="00B275E2" w:rsidRDefault="009312EC" w:rsidP="00F85347">
            <w:pPr>
              <w:pStyle w:val="TableText"/>
              <w:keepNext/>
              <w:spacing w:before="40" w:after="40"/>
              <w:rPr>
                <w:szCs w:val="18"/>
              </w:rPr>
            </w:pPr>
            <w:r w:rsidRPr="00B275E2">
              <w:rPr>
                <w:szCs w:val="18"/>
              </w:rPr>
              <w:t>km</w:t>
            </w:r>
          </w:p>
        </w:tc>
        <w:tc>
          <w:tcPr>
            <w:tcW w:w="1247" w:type="dxa"/>
            <w:shd w:val="clear" w:color="auto" w:fill="D2DDE1" w:themeFill="background2"/>
            <w:noWrap/>
          </w:tcPr>
          <w:p w14:paraId="65091DD8" w14:textId="047100ED" w:rsidR="009312EC" w:rsidRPr="00B275E2" w:rsidRDefault="009312EC" w:rsidP="00F85347">
            <w:pPr>
              <w:pStyle w:val="TableText"/>
              <w:keepNext/>
              <w:spacing w:before="40" w:after="40"/>
              <w:jc w:val="right"/>
              <w:rPr>
                <w:szCs w:val="18"/>
              </w:rPr>
            </w:pPr>
            <w:r w:rsidRPr="00B275E2">
              <w:rPr>
                <w:rFonts w:cs="Calibri"/>
                <w:szCs w:val="18"/>
              </w:rPr>
              <w:t>0.083</w:t>
            </w:r>
          </w:p>
        </w:tc>
        <w:tc>
          <w:tcPr>
            <w:tcW w:w="1087" w:type="dxa"/>
            <w:shd w:val="clear" w:color="auto" w:fill="auto"/>
            <w:noWrap/>
          </w:tcPr>
          <w:p w14:paraId="65091DD9" w14:textId="0D2DD837" w:rsidR="009312EC" w:rsidRPr="00B275E2" w:rsidRDefault="009312EC" w:rsidP="00F85347">
            <w:pPr>
              <w:pStyle w:val="TableText"/>
              <w:keepNext/>
              <w:spacing w:before="40" w:after="40"/>
              <w:jc w:val="right"/>
              <w:rPr>
                <w:szCs w:val="18"/>
              </w:rPr>
            </w:pPr>
            <w:r w:rsidRPr="00B275E2">
              <w:rPr>
                <w:rFonts w:cs="Calibri"/>
                <w:szCs w:val="18"/>
              </w:rPr>
              <w:t>0.081</w:t>
            </w:r>
          </w:p>
        </w:tc>
        <w:tc>
          <w:tcPr>
            <w:tcW w:w="1086" w:type="dxa"/>
            <w:shd w:val="clear" w:color="auto" w:fill="auto"/>
            <w:noWrap/>
          </w:tcPr>
          <w:p w14:paraId="65091DDA" w14:textId="696EE2B9" w:rsidR="009312EC" w:rsidRPr="00B275E2" w:rsidRDefault="009312EC" w:rsidP="00F85347">
            <w:pPr>
              <w:pStyle w:val="TableText"/>
              <w:keepNext/>
              <w:spacing w:before="40" w:after="40"/>
              <w:jc w:val="right"/>
              <w:rPr>
                <w:szCs w:val="18"/>
              </w:rPr>
            </w:pPr>
            <w:r w:rsidRPr="00B275E2">
              <w:rPr>
                <w:rFonts w:cs="Calibri"/>
                <w:szCs w:val="18"/>
              </w:rPr>
              <w:t>0.0001</w:t>
            </w:r>
          </w:p>
        </w:tc>
        <w:tc>
          <w:tcPr>
            <w:tcW w:w="1134" w:type="dxa"/>
            <w:shd w:val="clear" w:color="auto" w:fill="auto"/>
            <w:noWrap/>
          </w:tcPr>
          <w:p w14:paraId="65091DDB" w14:textId="43929F7E" w:rsidR="009312EC" w:rsidRPr="00B275E2" w:rsidRDefault="009312EC" w:rsidP="00F85347">
            <w:pPr>
              <w:pStyle w:val="TableText"/>
              <w:keepNext/>
              <w:spacing w:before="40" w:after="40"/>
              <w:jc w:val="right"/>
              <w:rPr>
                <w:szCs w:val="18"/>
              </w:rPr>
            </w:pPr>
            <w:r w:rsidRPr="00B275E2">
              <w:rPr>
                <w:rFonts w:cs="Calibri"/>
                <w:szCs w:val="18"/>
              </w:rPr>
              <w:t>0.001</w:t>
            </w:r>
          </w:p>
        </w:tc>
      </w:tr>
      <w:tr w:rsidR="009312EC" w:rsidRPr="00B275E2" w14:paraId="65091DE4" w14:textId="77777777" w:rsidTr="00BC4F8C">
        <w:tc>
          <w:tcPr>
            <w:tcW w:w="1701" w:type="dxa"/>
            <w:vMerge/>
          </w:tcPr>
          <w:p w14:paraId="65091DDD" w14:textId="77777777" w:rsidR="009312EC" w:rsidRPr="00B275E2" w:rsidRDefault="009312EC" w:rsidP="007F0B1E">
            <w:pPr>
              <w:pStyle w:val="TableText"/>
              <w:spacing w:before="40" w:after="40"/>
              <w:rPr>
                <w:szCs w:val="18"/>
              </w:rPr>
            </w:pPr>
          </w:p>
        </w:tc>
        <w:tc>
          <w:tcPr>
            <w:tcW w:w="1501" w:type="dxa"/>
            <w:noWrap/>
          </w:tcPr>
          <w:p w14:paraId="65091DDE" w14:textId="53BB263D" w:rsidR="009312EC" w:rsidRPr="00B275E2" w:rsidRDefault="009312EC" w:rsidP="007F0B1E">
            <w:pPr>
              <w:pStyle w:val="TableText"/>
              <w:spacing w:before="40" w:after="40"/>
              <w:rPr>
                <w:szCs w:val="18"/>
              </w:rPr>
            </w:pPr>
            <w:r w:rsidRPr="00B275E2">
              <w:rPr>
                <w:szCs w:val="18"/>
              </w:rPr>
              <w:t>1600</w:t>
            </w:r>
            <w:r w:rsidRPr="00B275E2">
              <w:rPr>
                <w:rFonts w:cs="Calibri"/>
                <w:color w:val="000000"/>
                <w:szCs w:val="18"/>
              </w:rPr>
              <w:t xml:space="preserve"> -</w:t>
            </w:r>
            <w:r w:rsidRPr="00B275E2">
              <w:rPr>
                <w:szCs w:val="18"/>
              </w:rPr>
              <w:t xml:space="preserve"> &lt;2000 cc</w:t>
            </w:r>
          </w:p>
        </w:tc>
        <w:tc>
          <w:tcPr>
            <w:tcW w:w="626" w:type="dxa"/>
            <w:noWrap/>
          </w:tcPr>
          <w:p w14:paraId="65091DDF" w14:textId="77777777" w:rsidR="009312EC" w:rsidRPr="00B275E2" w:rsidRDefault="009312EC" w:rsidP="007F0B1E">
            <w:pPr>
              <w:pStyle w:val="TableText"/>
              <w:spacing w:before="40" w:after="40"/>
              <w:rPr>
                <w:szCs w:val="18"/>
              </w:rPr>
            </w:pPr>
            <w:r w:rsidRPr="00B275E2">
              <w:rPr>
                <w:szCs w:val="18"/>
              </w:rPr>
              <w:t>km</w:t>
            </w:r>
          </w:p>
        </w:tc>
        <w:tc>
          <w:tcPr>
            <w:tcW w:w="1247" w:type="dxa"/>
            <w:shd w:val="clear" w:color="auto" w:fill="D2DDE1" w:themeFill="background2"/>
            <w:noWrap/>
          </w:tcPr>
          <w:p w14:paraId="65091DE0" w14:textId="1C7301BE" w:rsidR="009312EC" w:rsidRPr="00B275E2" w:rsidRDefault="009312EC" w:rsidP="007F0B1E">
            <w:pPr>
              <w:pStyle w:val="TableText"/>
              <w:spacing w:before="40" w:after="40"/>
              <w:jc w:val="right"/>
              <w:rPr>
                <w:szCs w:val="18"/>
              </w:rPr>
            </w:pPr>
            <w:r w:rsidRPr="00B275E2">
              <w:rPr>
                <w:rFonts w:cs="Calibri"/>
                <w:szCs w:val="18"/>
              </w:rPr>
              <w:t>0.088</w:t>
            </w:r>
          </w:p>
        </w:tc>
        <w:tc>
          <w:tcPr>
            <w:tcW w:w="1087" w:type="dxa"/>
            <w:shd w:val="clear" w:color="auto" w:fill="auto"/>
            <w:noWrap/>
          </w:tcPr>
          <w:p w14:paraId="65091DE1" w14:textId="123E49D5" w:rsidR="009312EC" w:rsidRPr="00B275E2" w:rsidRDefault="009312EC" w:rsidP="007F0B1E">
            <w:pPr>
              <w:pStyle w:val="TableText"/>
              <w:spacing w:before="40" w:after="40"/>
              <w:jc w:val="right"/>
              <w:rPr>
                <w:szCs w:val="18"/>
              </w:rPr>
            </w:pPr>
            <w:r w:rsidRPr="00B275E2">
              <w:rPr>
                <w:rFonts w:cs="Calibri"/>
                <w:szCs w:val="18"/>
              </w:rPr>
              <w:t>0.086</w:t>
            </w:r>
          </w:p>
        </w:tc>
        <w:tc>
          <w:tcPr>
            <w:tcW w:w="1086" w:type="dxa"/>
            <w:shd w:val="clear" w:color="auto" w:fill="auto"/>
            <w:noWrap/>
          </w:tcPr>
          <w:p w14:paraId="65091DE2" w14:textId="5ECEBACD" w:rsidR="009312EC" w:rsidRPr="00B275E2" w:rsidRDefault="009312EC" w:rsidP="007F0B1E">
            <w:pPr>
              <w:pStyle w:val="TableText"/>
              <w:spacing w:before="40" w:after="40"/>
              <w:jc w:val="right"/>
              <w:rPr>
                <w:szCs w:val="18"/>
              </w:rPr>
            </w:pPr>
            <w:r w:rsidRPr="00B275E2">
              <w:rPr>
                <w:rFonts w:cs="Calibri"/>
                <w:szCs w:val="18"/>
              </w:rPr>
              <w:t>0.0001</w:t>
            </w:r>
          </w:p>
        </w:tc>
        <w:tc>
          <w:tcPr>
            <w:tcW w:w="1134" w:type="dxa"/>
            <w:shd w:val="clear" w:color="auto" w:fill="auto"/>
            <w:noWrap/>
          </w:tcPr>
          <w:p w14:paraId="65091DE3" w14:textId="4B45B42D" w:rsidR="009312EC" w:rsidRPr="00B275E2" w:rsidRDefault="009312EC" w:rsidP="007F0B1E">
            <w:pPr>
              <w:pStyle w:val="TableText"/>
              <w:spacing w:before="40" w:after="40"/>
              <w:jc w:val="right"/>
              <w:rPr>
                <w:szCs w:val="18"/>
              </w:rPr>
            </w:pPr>
            <w:r w:rsidRPr="00B275E2">
              <w:rPr>
                <w:rFonts w:cs="Calibri"/>
                <w:szCs w:val="18"/>
              </w:rPr>
              <w:t>0.001</w:t>
            </w:r>
          </w:p>
        </w:tc>
      </w:tr>
      <w:tr w:rsidR="009312EC" w:rsidRPr="00B275E2" w14:paraId="65091DEC" w14:textId="77777777" w:rsidTr="00BC4F8C">
        <w:tc>
          <w:tcPr>
            <w:tcW w:w="1701" w:type="dxa"/>
            <w:vMerge/>
          </w:tcPr>
          <w:p w14:paraId="65091DE5" w14:textId="77777777" w:rsidR="009312EC" w:rsidRPr="00B275E2" w:rsidRDefault="009312EC" w:rsidP="007F0B1E">
            <w:pPr>
              <w:pStyle w:val="TableText"/>
              <w:spacing w:before="40" w:after="40"/>
              <w:rPr>
                <w:szCs w:val="18"/>
              </w:rPr>
            </w:pPr>
          </w:p>
        </w:tc>
        <w:tc>
          <w:tcPr>
            <w:tcW w:w="1501" w:type="dxa"/>
            <w:noWrap/>
          </w:tcPr>
          <w:p w14:paraId="65091DE6" w14:textId="4F35DF59" w:rsidR="009312EC" w:rsidRPr="00B275E2" w:rsidRDefault="009312EC" w:rsidP="007F0B1E">
            <w:pPr>
              <w:pStyle w:val="TableText"/>
              <w:spacing w:before="40" w:after="40"/>
              <w:rPr>
                <w:szCs w:val="18"/>
              </w:rPr>
            </w:pPr>
            <w:r w:rsidRPr="00B275E2">
              <w:rPr>
                <w:szCs w:val="18"/>
              </w:rPr>
              <w:t>2000</w:t>
            </w:r>
            <w:r w:rsidRPr="00B275E2">
              <w:rPr>
                <w:rFonts w:cs="Calibri"/>
                <w:color w:val="000000"/>
                <w:szCs w:val="18"/>
              </w:rPr>
              <w:t xml:space="preserve"> -</w:t>
            </w:r>
            <w:r w:rsidRPr="00B275E2">
              <w:rPr>
                <w:szCs w:val="18"/>
              </w:rPr>
              <w:t xml:space="preserve"> &lt;3000 cc</w:t>
            </w:r>
          </w:p>
        </w:tc>
        <w:tc>
          <w:tcPr>
            <w:tcW w:w="626" w:type="dxa"/>
            <w:noWrap/>
          </w:tcPr>
          <w:p w14:paraId="65091DE7" w14:textId="77777777" w:rsidR="009312EC" w:rsidRPr="00B275E2" w:rsidRDefault="009312EC" w:rsidP="007F0B1E">
            <w:pPr>
              <w:pStyle w:val="TableText"/>
              <w:spacing w:before="40" w:after="40"/>
              <w:rPr>
                <w:szCs w:val="18"/>
              </w:rPr>
            </w:pPr>
            <w:r w:rsidRPr="00B275E2">
              <w:rPr>
                <w:szCs w:val="18"/>
              </w:rPr>
              <w:t>km</w:t>
            </w:r>
          </w:p>
        </w:tc>
        <w:tc>
          <w:tcPr>
            <w:tcW w:w="1247" w:type="dxa"/>
            <w:shd w:val="clear" w:color="auto" w:fill="D2DDE1" w:themeFill="background2"/>
            <w:noWrap/>
          </w:tcPr>
          <w:p w14:paraId="65091DE8" w14:textId="37323A29" w:rsidR="009312EC" w:rsidRPr="00B275E2" w:rsidRDefault="009312EC" w:rsidP="007F0B1E">
            <w:pPr>
              <w:pStyle w:val="TableText"/>
              <w:spacing w:before="40" w:after="40"/>
              <w:jc w:val="right"/>
              <w:rPr>
                <w:szCs w:val="18"/>
              </w:rPr>
            </w:pPr>
            <w:r w:rsidRPr="00B275E2">
              <w:rPr>
                <w:rFonts w:cs="Calibri"/>
                <w:szCs w:val="18"/>
              </w:rPr>
              <w:t>0.108</w:t>
            </w:r>
          </w:p>
        </w:tc>
        <w:tc>
          <w:tcPr>
            <w:tcW w:w="1087" w:type="dxa"/>
            <w:shd w:val="clear" w:color="auto" w:fill="auto"/>
            <w:noWrap/>
          </w:tcPr>
          <w:p w14:paraId="65091DE9" w14:textId="71A36962" w:rsidR="009312EC" w:rsidRPr="00B275E2" w:rsidRDefault="009312EC" w:rsidP="007F0B1E">
            <w:pPr>
              <w:pStyle w:val="TableText"/>
              <w:spacing w:before="40" w:after="40"/>
              <w:jc w:val="right"/>
              <w:rPr>
                <w:szCs w:val="18"/>
              </w:rPr>
            </w:pPr>
            <w:r w:rsidRPr="00B275E2">
              <w:rPr>
                <w:rFonts w:cs="Calibri"/>
                <w:szCs w:val="18"/>
              </w:rPr>
              <w:t>0.106</w:t>
            </w:r>
          </w:p>
        </w:tc>
        <w:tc>
          <w:tcPr>
            <w:tcW w:w="1086" w:type="dxa"/>
            <w:shd w:val="clear" w:color="auto" w:fill="auto"/>
            <w:noWrap/>
          </w:tcPr>
          <w:p w14:paraId="65091DEA" w14:textId="43A8045C" w:rsidR="009312EC" w:rsidRPr="00B275E2" w:rsidRDefault="009312EC" w:rsidP="007F0B1E">
            <w:pPr>
              <w:pStyle w:val="TableText"/>
              <w:spacing w:before="40" w:after="40"/>
              <w:jc w:val="right"/>
              <w:rPr>
                <w:szCs w:val="18"/>
              </w:rPr>
            </w:pPr>
            <w:r w:rsidRPr="00B275E2">
              <w:rPr>
                <w:rFonts w:cs="Calibri"/>
                <w:szCs w:val="18"/>
              </w:rPr>
              <w:t>0.0001</w:t>
            </w:r>
          </w:p>
        </w:tc>
        <w:tc>
          <w:tcPr>
            <w:tcW w:w="1134" w:type="dxa"/>
            <w:shd w:val="clear" w:color="auto" w:fill="auto"/>
            <w:noWrap/>
          </w:tcPr>
          <w:p w14:paraId="65091DEB" w14:textId="0F6A84C8" w:rsidR="009312EC" w:rsidRPr="00B275E2" w:rsidRDefault="009312EC" w:rsidP="007F0B1E">
            <w:pPr>
              <w:pStyle w:val="TableText"/>
              <w:spacing w:before="40" w:after="40"/>
              <w:jc w:val="right"/>
              <w:rPr>
                <w:szCs w:val="18"/>
              </w:rPr>
            </w:pPr>
            <w:r w:rsidRPr="00B275E2">
              <w:rPr>
                <w:rFonts w:cs="Calibri"/>
                <w:szCs w:val="18"/>
              </w:rPr>
              <w:t>0.002</w:t>
            </w:r>
          </w:p>
        </w:tc>
      </w:tr>
      <w:tr w:rsidR="009312EC" w:rsidRPr="00B275E2" w14:paraId="65091DF4" w14:textId="77777777" w:rsidTr="00BC4F8C">
        <w:tc>
          <w:tcPr>
            <w:tcW w:w="1701" w:type="dxa"/>
            <w:vMerge/>
          </w:tcPr>
          <w:p w14:paraId="65091DED" w14:textId="77777777" w:rsidR="009312EC" w:rsidRPr="00B275E2" w:rsidRDefault="009312EC" w:rsidP="007F0B1E">
            <w:pPr>
              <w:pStyle w:val="TableText"/>
              <w:spacing w:before="40" w:after="40"/>
              <w:rPr>
                <w:szCs w:val="18"/>
              </w:rPr>
            </w:pPr>
          </w:p>
        </w:tc>
        <w:tc>
          <w:tcPr>
            <w:tcW w:w="1501" w:type="dxa"/>
            <w:noWrap/>
          </w:tcPr>
          <w:p w14:paraId="65091DEE" w14:textId="3831A29C" w:rsidR="009312EC" w:rsidRPr="00B275E2" w:rsidRDefault="009312EC" w:rsidP="007F0B1E">
            <w:pPr>
              <w:pStyle w:val="TableText"/>
              <w:spacing w:before="40" w:after="40"/>
              <w:rPr>
                <w:szCs w:val="18"/>
              </w:rPr>
            </w:pPr>
            <w:r w:rsidRPr="00B275E2">
              <w:rPr>
                <w:szCs w:val="18"/>
              </w:rPr>
              <w:t>≥3000 cc</w:t>
            </w:r>
          </w:p>
        </w:tc>
        <w:tc>
          <w:tcPr>
            <w:tcW w:w="626" w:type="dxa"/>
            <w:noWrap/>
          </w:tcPr>
          <w:p w14:paraId="65091DEF" w14:textId="77777777" w:rsidR="009312EC" w:rsidRPr="00B275E2" w:rsidRDefault="009312EC" w:rsidP="007F0B1E">
            <w:pPr>
              <w:pStyle w:val="TableText"/>
              <w:spacing w:before="40" w:after="40"/>
              <w:rPr>
                <w:szCs w:val="18"/>
              </w:rPr>
            </w:pPr>
            <w:r w:rsidRPr="00B275E2">
              <w:rPr>
                <w:szCs w:val="18"/>
              </w:rPr>
              <w:t>km</w:t>
            </w:r>
          </w:p>
        </w:tc>
        <w:tc>
          <w:tcPr>
            <w:tcW w:w="1247" w:type="dxa"/>
            <w:shd w:val="clear" w:color="auto" w:fill="D2DDE1" w:themeFill="background2"/>
            <w:noWrap/>
          </w:tcPr>
          <w:p w14:paraId="65091DF0" w14:textId="08473481" w:rsidR="009312EC" w:rsidRPr="00B275E2" w:rsidRDefault="009312EC" w:rsidP="007F0B1E">
            <w:pPr>
              <w:pStyle w:val="TableText"/>
              <w:spacing w:before="40" w:after="40"/>
              <w:jc w:val="right"/>
              <w:rPr>
                <w:szCs w:val="18"/>
              </w:rPr>
            </w:pPr>
            <w:r w:rsidRPr="00B275E2">
              <w:rPr>
                <w:rFonts w:cs="Calibri"/>
                <w:szCs w:val="18"/>
              </w:rPr>
              <w:t>0.119</w:t>
            </w:r>
          </w:p>
        </w:tc>
        <w:tc>
          <w:tcPr>
            <w:tcW w:w="1087" w:type="dxa"/>
            <w:shd w:val="clear" w:color="auto" w:fill="auto"/>
            <w:noWrap/>
          </w:tcPr>
          <w:p w14:paraId="65091DF1" w14:textId="126F8BD8" w:rsidR="009312EC" w:rsidRPr="00B275E2" w:rsidRDefault="009312EC" w:rsidP="007F0B1E">
            <w:pPr>
              <w:pStyle w:val="TableText"/>
              <w:spacing w:before="40" w:after="40"/>
              <w:jc w:val="right"/>
              <w:rPr>
                <w:szCs w:val="18"/>
              </w:rPr>
            </w:pPr>
            <w:r w:rsidRPr="00B275E2">
              <w:rPr>
                <w:rFonts w:cs="Calibri"/>
                <w:szCs w:val="18"/>
              </w:rPr>
              <w:t>0.117</w:t>
            </w:r>
          </w:p>
        </w:tc>
        <w:tc>
          <w:tcPr>
            <w:tcW w:w="1086" w:type="dxa"/>
            <w:shd w:val="clear" w:color="auto" w:fill="auto"/>
            <w:noWrap/>
          </w:tcPr>
          <w:p w14:paraId="65091DF2" w14:textId="33AE0110" w:rsidR="009312EC" w:rsidRPr="00B275E2" w:rsidRDefault="009312EC" w:rsidP="007F0B1E">
            <w:pPr>
              <w:pStyle w:val="TableText"/>
              <w:spacing w:before="40" w:after="40"/>
              <w:jc w:val="right"/>
              <w:rPr>
                <w:szCs w:val="18"/>
              </w:rPr>
            </w:pPr>
            <w:r w:rsidRPr="00B275E2">
              <w:rPr>
                <w:rFonts w:cs="Calibri"/>
                <w:szCs w:val="18"/>
              </w:rPr>
              <w:t>0.0002</w:t>
            </w:r>
          </w:p>
        </w:tc>
        <w:tc>
          <w:tcPr>
            <w:tcW w:w="1134" w:type="dxa"/>
            <w:shd w:val="clear" w:color="auto" w:fill="auto"/>
            <w:noWrap/>
          </w:tcPr>
          <w:p w14:paraId="65091DF3" w14:textId="77F6176C" w:rsidR="009312EC" w:rsidRPr="00B275E2" w:rsidRDefault="009312EC" w:rsidP="007F0B1E">
            <w:pPr>
              <w:pStyle w:val="TableText"/>
              <w:spacing w:before="40" w:after="40"/>
              <w:jc w:val="right"/>
              <w:rPr>
                <w:szCs w:val="18"/>
              </w:rPr>
            </w:pPr>
            <w:r w:rsidRPr="00B275E2">
              <w:rPr>
                <w:rFonts w:cs="Calibri"/>
                <w:szCs w:val="18"/>
              </w:rPr>
              <w:t>0.002</w:t>
            </w:r>
          </w:p>
        </w:tc>
      </w:tr>
      <w:tr w:rsidR="009312EC" w:rsidRPr="00B275E2" w14:paraId="65091DFC" w14:textId="77777777" w:rsidTr="00BC4F8C">
        <w:tc>
          <w:tcPr>
            <w:tcW w:w="1701" w:type="dxa"/>
            <w:vMerge w:val="restart"/>
          </w:tcPr>
          <w:p w14:paraId="65091DF5" w14:textId="1F904A48" w:rsidR="009312EC" w:rsidRPr="00B275E2" w:rsidRDefault="009312EC" w:rsidP="007F0B1E">
            <w:pPr>
              <w:pStyle w:val="TableText"/>
              <w:spacing w:before="40" w:after="40"/>
              <w:rPr>
                <w:szCs w:val="18"/>
              </w:rPr>
            </w:pPr>
            <w:r w:rsidRPr="00B275E2">
              <w:rPr>
                <w:szCs w:val="18"/>
              </w:rPr>
              <w:t>Diesel plug-in hybrid electric vehicle (PHEV) – electricity consumption</w:t>
            </w:r>
          </w:p>
        </w:tc>
        <w:tc>
          <w:tcPr>
            <w:tcW w:w="1501" w:type="dxa"/>
            <w:noWrap/>
          </w:tcPr>
          <w:p w14:paraId="65091DF6" w14:textId="05DA6D64" w:rsidR="009312EC" w:rsidRPr="00B275E2" w:rsidRDefault="009312EC" w:rsidP="007F0B1E">
            <w:pPr>
              <w:pStyle w:val="TableText"/>
              <w:spacing w:before="40" w:after="40"/>
              <w:rPr>
                <w:szCs w:val="18"/>
              </w:rPr>
            </w:pPr>
            <w:r w:rsidRPr="00B275E2">
              <w:rPr>
                <w:szCs w:val="18"/>
              </w:rPr>
              <w:t>&lt;1350 cc</w:t>
            </w:r>
          </w:p>
        </w:tc>
        <w:tc>
          <w:tcPr>
            <w:tcW w:w="626" w:type="dxa"/>
            <w:noWrap/>
          </w:tcPr>
          <w:p w14:paraId="65091DF7" w14:textId="77777777" w:rsidR="009312EC" w:rsidRPr="00B275E2" w:rsidRDefault="009312EC" w:rsidP="007F0B1E">
            <w:pPr>
              <w:pStyle w:val="TableText"/>
              <w:spacing w:before="40" w:after="40"/>
              <w:rPr>
                <w:szCs w:val="18"/>
              </w:rPr>
            </w:pPr>
            <w:r w:rsidRPr="00B275E2">
              <w:rPr>
                <w:szCs w:val="18"/>
              </w:rPr>
              <w:t>km</w:t>
            </w:r>
          </w:p>
        </w:tc>
        <w:tc>
          <w:tcPr>
            <w:tcW w:w="1247" w:type="dxa"/>
            <w:shd w:val="clear" w:color="auto" w:fill="D2DDE1" w:themeFill="background2"/>
            <w:noWrap/>
          </w:tcPr>
          <w:p w14:paraId="65091DF8" w14:textId="4E8F02EB" w:rsidR="009312EC" w:rsidRPr="00B275E2" w:rsidRDefault="009312EC" w:rsidP="007F0B1E">
            <w:pPr>
              <w:pStyle w:val="TableText"/>
              <w:spacing w:before="40" w:after="40"/>
              <w:jc w:val="right"/>
              <w:rPr>
                <w:szCs w:val="18"/>
              </w:rPr>
            </w:pPr>
            <w:r w:rsidRPr="00B275E2">
              <w:rPr>
                <w:rFonts w:cs="Calibri"/>
                <w:szCs w:val="18"/>
              </w:rPr>
              <w:t>0.010</w:t>
            </w:r>
          </w:p>
        </w:tc>
        <w:tc>
          <w:tcPr>
            <w:tcW w:w="1087" w:type="dxa"/>
            <w:shd w:val="clear" w:color="auto" w:fill="auto"/>
            <w:noWrap/>
          </w:tcPr>
          <w:p w14:paraId="65091DF9" w14:textId="604C3758" w:rsidR="009312EC" w:rsidRPr="00B275E2" w:rsidRDefault="009312EC" w:rsidP="007F0B1E">
            <w:pPr>
              <w:pStyle w:val="TableText"/>
              <w:spacing w:before="40" w:after="40"/>
              <w:jc w:val="right"/>
              <w:rPr>
                <w:szCs w:val="18"/>
              </w:rPr>
            </w:pPr>
            <w:r w:rsidRPr="00B275E2">
              <w:rPr>
                <w:rFonts w:cs="Calibri"/>
                <w:szCs w:val="18"/>
              </w:rPr>
              <w:t>0.010</w:t>
            </w:r>
          </w:p>
        </w:tc>
        <w:tc>
          <w:tcPr>
            <w:tcW w:w="1086" w:type="dxa"/>
            <w:shd w:val="clear" w:color="auto" w:fill="auto"/>
            <w:noWrap/>
          </w:tcPr>
          <w:p w14:paraId="65091DFA" w14:textId="056D7DE3" w:rsidR="009312EC" w:rsidRPr="00B275E2" w:rsidRDefault="009312EC" w:rsidP="007F0B1E">
            <w:pPr>
              <w:pStyle w:val="TableText"/>
              <w:spacing w:before="40" w:after="40"/>
              <w:jc w:val="right"/>
              <w:rPr>
                <w:szCs w:val="18"/>
              </w:rPr>
            </w:pPr>
            <w:r w:rsidRPr="00B275E2">
              <w:rPr>
                <w:rFonts w:cs="Calibri"/>
                <w:szCs w:val="18"/>
              </w:rPr>
              <w:t>0.000</w:t>
            </w:r>
            <w:r w:rsidR="00EA5CEA">
              <w:rPr>
                <w:rFonts w:cs="Calibri"/>
                <w:szCs w:val="18"/>
              </w:rPr>
              <w:t>3</w:t>
            </w:r>
          </w:p>
        </w:tc>
        <w:tc>
          <w:tcPr>
            <w:tcW w:w="1134" w:type="dxa"/>
            <w:shd w:val="clear" w:color="auto" w:fill="auto"/>
            <w:noWrap/>
          </w:tcPr>
          <w:p w14:paraId="65091DFB" w14:textId="54833120" w:rsidR="009312EC" w:rsidRPr="00B275E2" w:rsidRDefault="009312EC" w:rsidP="007F0B1E">
            <w:pPr>
              <w:pStyle w:val="TableText"/>
              <w:spacing w:before="40" w:after="40"/>
              <w:jc w:val="right"/>
              <w:rPr>
                <w:szCs w:val="18"/>
              </w:rPr>
            </w:pPr>
            <w:r w:rsidRPr="00B275E2">
              <w:rPr>
                <w:rFonts w:cs="Calibri"/>
                <w:szCs w:val="18"/>
              </w:rPr>
              <w:t>0.0000</w:t>
            </w:r>
            <w:r w:rsidR="00EA5CEA">
              <w:rPr>
                <w:rFonts w:cs="Calibri"/>
                <w:szCs w:val="18"/>
              </w:rPr>
              <w:t>2</w:t>
            </w:r>
          </w:p>
        </w:tc>
      </w:tr>
      <w:tr w:rsidR="009312EC" w:rsidRPr="00B275E2" w14:paraId="65091E04" w14:textId="77777777" w:rsidTr="00BC4F8C">
        <w:tc>
          <w:tcPr>
            <w:tcW w:w="1701" w:type="dxa"/>
            <w:vMerge/>
          </w:tcPr>
          <w:p w14:paraId="65091DFD" w14:textId="77777777" w:rsidR="009312EC" w:rsidRPr="00B275E2" w:rsidRDefault="009312EC" w:rsidP="007F0B1E">
            <w:pPr>
              <w:pStyle w:val="TableText"/>
              <w:spacing w:before="40" w:after="40"/>
              <w:rPr>
                <w:b/>
                <w:szCs w:val="18"/>
              </w:rPr>
            </w:pPr>
          </w:p>
        </w:tc>
        <w:tc>
          <w:tcPr>
            <w:tcW w:w="1501" w:type="dxa"/>
            <w:noWrap/>
          </w:tcPr>
          <w:p w14:paraId="65091DFE" w14:textId="0AB315E5" w:rsidR="009312EC" w:rsidRPr="00B275E2" w:rsidRDefault="009312EC" w:rsidP="007F0B1E">
            <w:pPr>
              <w:pStyle w:val="TableText"/>
              <w:spacing w:before="40" w:after="40"/>
              <w:rPr>
                <w:szCs w:val="18"/>
              </w:rPr>
            </w:pPr>
            <w:r w:rsidRPr="00B275E2">
              <w:rPr>
                <w:szCs w:val="18"/>
              </w:rPr>
              <w:t>1350</w:t>
            </w:r>
            <w:r w:rsidRPr="00B275E2">
              <w:rPr>
                <w:rFonts w:cs="Calibri"/>
                <w:color w:val="000000"/>
                <w:szCs w:val="18"/>
              </w:rPr>
              <w:t xml:space="preserve"> -</w:t>
            </w:r>
            <w:r w:rsidRPr="00B275E2">
              <w:rPr>
                <w:szCs w:val="18"/>
              </w:rPr>
              <w:t xml:space="preserve"> &lt;1600 cc</w:t>
            </w:r>
          </w:p>
        </w:tc>
        <w:tc>
          <w:tcPr>
            <w:tcW w:w="626" w:type="dxa"/>
            <w:noWrap/>
          </w:tcPr>
          <w:p w14:paraId="65091DFF" w14:textId="77777777" w:rsidR="009312EC" w:rsidRPr="00B275E2" w:rsidRDefault="009312EC" w:rsidP="007F0B1E">
            <w:pPr>
              <w:pStyle w:val="TableText"/>
              <w:spacing w:before="40" w:after="40"/>
              <w:rPr>
                <w:szCs w:val="18"/>
              </w:rPr>
            </w:pPr>
            <w:r w:rsidRPr="00B275E2">
              <w:rPr>
                <w:szCs w:val="18"/>
              </w:rPr>
              <w:t>km</w:t>
            </w:r>
          </w:p>
        </w:tc>
        <w:tc>
          <w:tcPr>
            <w:tcW w:w="1247" w:type="dxa"/>
            <w:shd w:val="clear" w:color="auto" w:fill="D2DDE1" w:themeFill="background2"/>
            <w:noWrap/>
          </w:tcPr>
          <w:p w14:paraId="65091E00" w14:textId="57D9DFA2" w:rsidR="009312EC" w:rsidRPr="00B275E2" w:rsidRDefault="009312EC" w:rsidP="007F0B1E">
            <w:pPr>
              <w:pStyle w:val="TableText"/>
              <w:spacing w:before="40" w:after="40"/>
              <w:jc w:val="right"/>
              <w:rPr>
                <w:szCs w:val="18"/>
              </w:rPr>
            </w:pPr>
            <w:r w:rsidRPr="00B275E2">
              <w:rPr>
                <w:rFonts w:cs="Calibri"/>
                <w:szCs w:val="18"/>
              </w:rPr>
              <w:t>0.010</w:t>
            </w:r>
          </w:p>
        </w:tc>
        <w:tc>
          <w:tcPr>
            <w:tcW w:w="1087" w:type="dxa"/>
            <w:shd w:val="clear" w:color="auto" w:fill="auto"/>
            <w:noWrap/>
          </w:tcPr>
          <w:p w14:paraId="65091E01" w14:textId="4800734A" w:rsidR="009312EC" w:rsidRPr="00B275E2" w:rsidRDefault="009312EC" w:rsidP="007F0B1E">
            <w:pPr>
              <w:pStyle w:val="TableText"/>
              <w:spacing w:before="40" w:after="40"/>
              <w:jc w:val="right"/>
              <w:rPr>
                <w:szCs w:val="18"/>
              </w:rPr>
            </w:pPr>
            <w:r w:rsidRPr="00B275E2">
              <w:rPr>
                <w:rFonts w:cs="Calibri"/>
                <w:szCs w:val="18"/>
              </w:rPr>
              <w:t>0.0</w:t>
            </w:r>
            <w:r w:rsidR="00AC41BE">
              <w:rPr>
                <w:rFonts w:cs="Calibri"/>
                <w:szCs w:val="18"/>
              </w:rPr>
              <w:t>10</w:t>
            </w:r>
          </w:p>
        </w:tc>
        <w:tc>
          <w:tcPr>
            <w:tcW w:w="1086" w:type="dxa"/>
            <w:shd w:val="clear" w:color="auto" w:fill="auto"/>
            <w:noWrap/>
          </w:tcPr>
          <w:p w14:paraId="65091E02" w14:textId="5453AF7B" w:rsidR="009312EC" w:rsidRPr="00B275E2" w:rsidRDefault="009312EC" w:rsidP="007F0B1E">
            <w:pPr>
              <w:pStyle w:val="TableText"/>
              <w:spacing w:before="40" w:after="40"/>
              <w:jc w:val="right"/>
              <w:rPr>
                <w:szCs w:val="18"/>
              </w:rPr>
            </w:pPr>
            <w:r w:rsidRPr="00B275E2">
              <w:rPr>
                <w:rFonts w:cs="Calibri"/>
                <w:szCs w:val="18"/>
              </w:rPr>
              <w:t>0.000</w:t>
            </w:r>
            <w:r w:rsidR="00EA5CEA">
              <w:rPr>
                <w:rFonts w:cs="Calibri"/>
                <w:szCs w:val="18"/>
              </w:rPr>
              <w:t>3</w:t>
            </w:r>
          </w:p>
        </w:tc>
        <w:tc>
          <w:tcPr>
            <w:tcW w:w="1134" w:type="dxa"/>
            <w:shd w:val="clear" w:color="auto" w:fill="auto"/>
            <w:noWrap/>
          </w:tcPr>
          <w:p w14:paraId="65091E03" w14:textId="297FD41B" w:rsidR="009312EC" w:rsidRPr="00B275E2" w:rsidRDefault="009312EC" w:rsidP="007F0B1E">
            <w:pPr>
              <w:pStyle w:val="TableText"/>
              <w:spacing w:before="40" w:after="40"/>
              <w:jc w:val="right"/>
              <w:rPr>
                <w:szCs w:val="18"/>
              </w:rPr>
            </w:pPr>
            <w:r w:rsidRPr="00B275E2">
              <w:rPr>
                <w:rFonts w:cs="Calibri"/>
                <w:szCs w:val="18"/>
              </w:rPr>
              <w:t>0.0000</w:t>
            </w:r>
            <w:r w:rsidR="00EA5CEA">
              <w:rPr>
                <w:rFonts w:cs="Calibri"/>
                <w:szCs w:val="18"/>
              </w:rPr>
              <w:t>2</w:t>
            </w:r>
          </w:p>
        </w:tc>
      </w:tr>
      <w:tr w:rsidR="009312EC" w:rsidRPr="00B275E2" w14:paraId="65091E0C" w14:textId="77777777" w:rsidTr="00BC4F8C">
        <w:tc>
          <w:tcPr>
            <w:tcW w:w="1701" w:type="dxa"/>
            <w:vMerge/>
          </w:tcPr>
          <w:p w14:paraId="65091E05" w14:textId="77777777" w:rsidR="009312EC" w:rsidRPr="00B275E2" w:rsidRDefault="009312EC" w:rsidP="007F0B1E">
            <w:pPr>
              <w:pStyle w:val="TableText"/>
              <w:spacing w:before="40" w:after="40"/>
              <w:rPr>
                <w:b/>
                <w:szCs w:val="18"/>
              </w:rPr>
            </w:pPr>
          </w:p>
        </w:tc>
        <w:tc>
          <w:tcPr>
            <w:tcW w:w="1501" w:type="dxa"/>
            <w:noWrap/>
          </w:tcPr>
          <w:p w14:paraId="65091E06" w14:textId="1A21AFA8" w:rsidR="009312EC" w:rsidRPr="00B275E2" w:rsidRDefault="009312EC" w:rsidP="007F0B1E">
            <w:pPr>
              <w:pStyle w:val="TableText"/>
              <w:spacing w:before="40" w:after="40"/>
              <w:rPr>
                <w:szCs w:val="18"/>
              </w:rPr>
            </w:pPr>
            <w:r w:rsidRPr="00B275E2">
              <w:rPr>
                <w:szCs w:val="18"/>
              </w:rPr>
              <w:t>1600</w:t>
            </w:r>
            <w:r w:rsidRPr="00B275E2">
              <w:rPr>
                <w:rFonts w:cs="Calibri"/>
                <w:color w:val="000000"/>
                <w:szCs w:val="18"/>
              </w:rPr>
              <w:t xml:space="preserve"> -</w:t>
            </w:r>
            <w:r w:rsidRPr="00B275E2">
              <w:rPr>
                <w:szCs w:val="18"/>
              </w:rPr>
              <w:t xml:space="preserve"> &lt;2000 cc</w:t>
            </w:r>
          </w:p>
        </w:tc>
        <w:tc>
          <w:tcPr>
            <w:tcW w:w="626" w:type="dxa"/>
            <w:noWrap/>
          </w:tcPr>
          <w:p w14:paraId="65091E07" w14:textId="77777777" w:rsidR="009312EC" w:rsidRPr="00B275E2" w:rsidRDefault="009312EC" w:rsidP="007F0B1E">
            <w:pPr>
              <w:pStyle w:val="TableText"/>
              <w:spacing w:before="40" w:after="40"/>
              <w:rPr>
                <w:szCs w:val="18"/>
              </w:rPr>
            </w:pPr>
            <w:r w:rsidRPr="00B275E2">
              <w:rPr>
                <w:szCs w:val="18"/>
              </w:rPr>
              <w:t>km</w:t>
            </w:r>
          </w:p>
        </w:tc>
        <w:tc>
          <w:tcPr>
            <w:tcW w:w="1247" w:type="dxa"/>
            <w:shd w:val="clear" w:color="auto" w:fill="D2DDE1" w:themeFill="background2"/>
            <w:noWrap/>
          </w:tcPr>
          <w:p w14:paraId="65091E08" w14:textId="27F8E228" w:rsidR="009312EC" w:rsidRPr="00B275E2" w:rsidRDefault="009312EC" w:rsidP="007F0B1E">
            <w:pPr>
              <w:pStyle w:val="TableText"/>
              <w:spacing w:before="40" w:after="40"/>
              <w:jc w:val="right"/>
              <w:rPr>
                <w:szCs w:val="18"/>
              </w:rPr>
            </w:pPr>
            <w:r w:rsidRPr="00B275E2">
              <w:rPr>
                <w:rFonts w:cs="Calibri"/>
                <w:szCs w:val="18"/>
              </w:rPr>
              <w:t>0.01</w:t>
            </w:r>
            <w:r w:rsidR="00AC41BE">
              <w:rPr>
                <w:rFonts w:cs="Calibri"/>
                <w:szCs w:val="18"/>
              </w:rPr>
              <w:t>1</w:t>
            </w:r>
          </w:p>
        </w:tc>
        <w:tc>
          <w:tcPr>
            <w:tcW w:w="1087" w:type="dxa"/>
            <w:shd w:val="clear" w:color="auto" w:fill="auto"/>
            <w:noWrap/>
          </w:tcPr>
          <w:p w14:paraId="65091E09" w14:textId="1208E3EA" w:rsidR="009312EC" w:rsidRPr="00B275E2" w:rsidRDefault="009312EC" w:rsidP="007F0B1E">
            <w:pPr>
              <w:pStyle w:val="TableText"/>
              <w:spacing w:before="40" w:after="40"/>
              <w:jc w:val="right"/>
              <w:rPr>
                <w:szCs w:val="18"/>
              </w:rPr>
            </w:pPr>
            <w:r w:rsidRPr="00B275E2">
              <w:rPr>
                <w:rFonts w:cs="Calibri"/>
                <w:szCs w:val="18"/>
              </w:rPr>
              <w:t>0.01</w:t>
            </w:r>
            <w:r w:rsidR="00AC41BE">
              <w:rPr>
                <w:rFonts w:cs="Calibri"/>
                <w:szCs w:val="18"/>
              </w:rPr>
              <w:t>1</w:t>
            </w:r>
          </w:p>
        </w:tc>
        <w:tc>
          <w:tcPr>
            <w:tcW w:w="1086" w:type="dxa"/>
            <w:shd w:val="clear" w:color="auto" w:fill="auto"/>
            <w:noWrap/>
          </w:tcPr>
          <w:p w14:paraId="65091E0A" w14:textId="7A1C3124" w:rsidR="009312EC" w:rsidRPr="00B275E2" w:rsidRDefault="009312EC" w:rsidP="007F0B1E">
            <w:pPr>
              <w:pStyle w:val="TableText"/>
              <w:spacing w:before="40" w:after="40"/>
              <w:jc w:val="right"/>
              <w:rPr>
                <w:szCs w:val="18"/>
              </w:rPr>
            </w:pPr>
            <w:r w:rsidRPr="00B275E2">
              <w:rPr>
                <w:rFonts w:cs="Calibri"/>
                <w:szCs w:val="18"/>
              </w:rPr>
              <w:t>0.000</w:t>
            </w:r>
            <w:r w:rsidR="00EA5CEA">
              <w:rPr>
                <w:rFonts w:cs="Calibri"/>
                <w:szCs w:val="18"/>
              </w:rPr>
              <w:t>3</w:t>
            </w:r>
          </w:p>
        </w:tc>
        <w:tc>
          <w:tcPr>
            <w:tcW w:w="1134" w:type="dxa"/>
            <w:shd w:val="clear" w:color="auto" w:fill="auto"/>
            <w:noWrap/>
          </w:tcPr>
          <w:p w14:paraId="65091E0B" w14:textId="26962791" w:rsidR="009312EC" w:rsidRPr="00B275E2" w:rsidRDefault="009312EC" w:rsidP="007F0B1E">
            <w:pPr>
              <w:pStyle w:val="TableText"/>
              <w:spacing w:before="40" w:after="40"/>
              <w:jc w:val="right"/>
              <w:rPr>
                <w:szCs w:val="18"/>
              </w:rPr>
            </w:pPr>
            <w:r w:rsidRPr="00B275E2">
              <w:rPr>
                <w:rFonts w:cs="Calibri"/>
                <w:szCs w:val="18"/>
              </w:rPr>
              <w:t>0.0000</w:t>
            </w:r>
            <w:r w:rsidR="00EA5CEA">
              <w:rPr>
                <w:rFonts w:cs="Calibri"/>
                <w:szCs w:val="18"/>
              </w:rPr>
              <w:t>2</w:t>
            </w:r>
          </w:p>
        </w:tc>
      </w:tr>
      <w:tr w:rsidR="009312EC" w:rsidRPr="00B275E2" w14:paraId="65091E14" w14:textId="77777777" w:rsidTr="00BC4F8C">
        <w:tc>
          <w:tcPr>
            <w:tcW w:w="1701" w:type="dxa"/>
            <w:vMerge/>
          </w:tcPr>
          <w:p w14:paraId="65091E0D" w14:textId="77777777" w:rsidR="009312EC" w:rsidRPr="00B275E2" w:rsidRDefault="009312EC" w:rsidP="007F0B1E">
            <w:pPr>
              <w:pStyle w:val="TableText"/>
              <w:spacing w:before="40" w:after="40"/>
              <w:rPr>
                <w:b/>
                <w:szCs w:val="18"/>
              </w:rPr>
            </w:pPr>
          </w:p>
        </w:tc>
        <w:tc>
          <w:tcPr>
            <w:tcW w:w="1501" w:type="dxa"/>
            <w:noWrap/>
          </w:tcPr>
          <w:p w14:paraId="65091E0E" w14:textId="132115BE" w:rsidR="009312EC" w:rsidRPr="00B275E2" w:rsidRDefault="009312EC" w:rsidP="007F0B1E">
            <w:pPr>
              <w:pStyle w:val="TableText"/>
              <w:spacing w:before="40" w:after="40"/>
              <w:rPr>
                <w:szCs w:val="18"/>
              </w:rPr>
            </w:pPr>
            <w:r w:rsidRPr="00B275E2">
              <w:rPr>
                <w:szCs w:val="18"/>
              </w:rPr>
              <w:t>2000</w:t>
            </w:r>
            <w:r w:rsidRPr="00B275E2">
              <w:rPr>
                <w:rFonts w:cs="Calibri"/>
                <w:color w:val="000000"/>
                <w:szCs w:val="18"/>
              </w:rPr>
              <w:t xml:space="preserve"> -</w:t>
            </w:r>
            <w:r w:rsidRPr="00B275E2">
              <w:rPr>
                <w:szCs w:val="18"/>
              </w:rPr>
              <w:t xml:space="preserve"> &lt;3000 cc</w:t>
            </w:r>
          </w:p>
        </w:tc>
        <w:tc>
          <w:tcPr>
            <w:tcW w:w="626" w:type="dxa"/>
            <w:noWrap/>
          </w:tcPr>
          <w:p w14:paraId="65091E0F" w14:textId="77777777" w:rsidR="009312EC" w:rsidRPr="00B275E2" w:rsidRDefault="009312EC" w:rsidP="007F0B1E">
            <w:pPr>
              <w:pStyle w:val="TableText"/>
              <w:spacing w:before="40" w:after="40"/>
              <w:rPr>
                <w:szCs w:val="18"/>
              </w:rPr>
            </w:pPr>
            <w:r w:rsidRPr="00B275E2">
              <w:rPr>
                <w:szCs w:val="18"/>
              </w:rPr>
              <w:t>km</w:t>
            </w:r>
          </w:p>
        </w:tc>
        <w:tc>
          <w:tcPr>
            <w:tcW w:w="1247" w:type="dxa"/>
            <w:shd w:val="clear" w:color="auto" w:fill="D2DDE1" w:themeFill="background2"/>
            <w:noWrap/>
          </w:tcPr>
          <w:p w14:paraId="65091E10" w14:textId="157FD0B4" w:rsidR="009312EC" w:rsidRPr="00B275E2" w:rsidRDefault="009312EC" w:rsidP="007F0B1E">
            <w:pPr>
              <w:pStyle w:val="TableText"/>
              <w:spacing w:before="40" w:after="40"/>
              <w:jc w:val="right"/>
              <w:rPr>
                <w:szCs w:val="18"/>
              </w:rPr>
            </w:pPr>
            <w:r w:rsidRPr="00B275E2">
              <w:rPr>
                <w:rFonts w:cs="Calibri"/>
                <w:szCs w:val="18"/>
              </w:rPr>
              <w:t>0.012</w:t>
            </w:r>
          </w:p>
        </w:tc>
        <w:tc>
          <w:tcPr>
            <w:tcW w:w="1087" w:type="dxa"/>
            <w:shd w:val="clear" w:color="auto" w:fill="auto"/>
            <w:noWrap/>
          </w:tcPr>
          <w:p w14:paraId="65091E11" w14:textId="6978B852" w:rsidR="009312EC" w:rsidRPr="00B275E2" w:rsidRDefault="009312EC" w:rsidP="007F0B1E">
            <w:pPr>
              <w:pStyle w:val="TableText"/>
              <w:spacing w:before="40" w:after="40"/>
              <w:jc w:val="right"/>
              <w:rPr>
                <w:szCs w:val="18"/>
              </w:rPr>
            </w:pPr>
            <w:r w:rsidRPr="00B275E2">
              <w:rPr>
                <w:rFonts w:cs="Calibri"/>
                <w:szCs w:val="18"/>
              </w:rPr>
              <w:t>0.01</w:t>
            </w:r>
            <w:r w:rsidR="00AC41BE">
              <w:rPr>
                <w:rFonts w:cs="Calibri"/>
                <w:szCs w:val="18"/>
              </w:rPr>
              <w:t>2</w:t>
            </w:r>
          </w:p>
        </w:tc>
        <w:tc>
          <w:tcPr>
            <w:tcW w:w="1086" w:type="dxa"/>
            <w:shd w:val="clear" w:color="auto" w:fill="auto"/>
            <w:noWrap/>
          </w:tcPr>
          <w:p w14:paraId="65091E12" w14:textId="5744090A" w:rsidR="009312EC" w:rsidRPr="00B275E2" w:rsidRDefault="009312EC" w:rsidP="007F0B1E">
            <w:pPr>
              <w:pStyle w:val="TableText"/>
              <w:spacing w:before="40" w:after="40"/>
              <w:jc w:val="right"/>
              <w:rPr>
                <w:szCs w:val="18"/>
              </w:rPr>
            </w:pPr>
            <w:r w:rsidRPr="00B275E2">
              <w:rPr>
                <w:rFonts w:cs="Calibri"/>
                <w:szCs w:val="18"/>
              </w:rPr>
              <w:t>0.000</w:t>
            </w:r>
            <w:r w:rsidR="00994207">
              <w:rPr>
                <w:rFonts w:cs="Calibri"/>
                <w:szCs w:val="18"/>
              </w:rPr>
              <w:t>3</w:t>
            </w:r>
          </w:p>
        </w:tc>
        <w:tc>
          <w:tcPr>
            <w:tcW w:w="1134" w:type="dxa"/>
            <w:shd w:val="clear" w:color="auto" w:fill="auto"/>
            <w:noWrap/>
          </w:tcPr>
          <w:p w14:paraId="65091E13" w14:textId="681BAA02" w:rsidR="009312EC" w:rsidRPr="00B275E2" w:rsidRDefault="009312EC" w:rsidP="007F0B1E">
            <w:pPr>
              <w:pStyle w:val="TableText"/>
              <w:spacing w:before="40" w:after="40"/>
              <w:jc w:val="right"/>
              <w:rPr>
                <w:szCs w:val="18"/>
              </w:rPr>
            </w:pPr>
            <w:r w:rsidRPr="00B275E2">
              <w:rPr>
                <w:rFonts w:cs="Calibri"/>
                <w:szCs w:val="18"/>
              </w:rPr>
              <w:t>0.0000</w:t>
            </w:r>
            <w:r w:rsidR="0062019D">
              <w:rPr>
                <w:rFonts w:cs="Calibri"/>
                <w:szCs w:val="18"/>
              </w:rPr>
              <w:t>3</w:t>
            </w:r>
          </w:p>
        </w:tc>
      </w:tr>
      <w:tr w:rsidR="009312EC" w:rsidRPr="00B275E2" w14:paraId="65091E1C" w14:textId="77777777" w:rsidTr="00BC4F8C">
        <w:tc>
          <w:tcPr>
            <w:tcW w:w="1701" w:type="dxa"/>
            <w:vMerge/>
          </w:tcPr>
          <w:p w14:paraId="65091E15" w14:textId="77777777" w:rsidR="009312EC" w:rsidRPr="00B275E2" w:rsidRDefault="009312EC" w:rsidP="007F0B1E">
            <w:pPr>
              <w:pStyle w:val="TableText"/>
              <w:spacing w:before="40" w:after="40"/>
              <w:rPr>
                <w:b/>
                <w:szCs w:val="18"/>
              </w:rPr>
            </w:pPr>
          </w:p>
        </w:tc>
        <w:tc>
          <w:tcPr>
            <w:tcW w:w="1501" w:type="dxa"/>
            <w:noWrap/>
          </w:tcPr>
          <w:p w14:paraId="65091E16" w14:textId="140A4F01" w:rsidR="009312EC" w:rsidRPr="00B275E2" w:rsidRDefault="009312EC" w:rsidP="007F0B1E">
            <w:pPr>
              <w:pStyle w:val="TableText"/>
              <w:spacing w:before="40" w:after="40"/>
              <w:rPr>
                <w:szCs w:val="18"/>
              </w:rPr>
            </w:pPr>
            <w:r w:rsidRPr="00B275E2">
              <w:rPr>
                <w:szCs w:val="18"/>
              </w:rPr>
              <w:t>≥3000 cc</w:t>
            </w:r>
          </w:p>
        </w:tc>
        <w:tc>
          <w:tcPr>
            <w:tcW w:w="626" w:type="dxa"/>
            <w:noWrap/>
          </w:tcPr>
          <w:p w14:paraId="65091E17" w14:textId="77777777" w:rsidR="009312EC" w:rsidRPr="00B275E2" w:rsidRDefault="009312EC" w:rsidP="007F0B1E">
            <w:pPr>
              <w:pStyle w:val="TableText"/>
              <w:spacing w:before="40" w:after="40"/>
              <w:rPr>
                <w:szCs w:val="18"/>
              </w:rPr>
            </w:pPr>
            <w:r w:rsidRPr="00B275E2">
              <w:rPr>
                <w:szCs w:val="18"/>
              </w:rPr>
              <w:t>km</w:t>
            </w:r>
          </w:p>
        </w:tc>
        <w:tc>
          <w:tcPr>
            <w:tcW w:w="1247" w:type="dxa"/>
            <w:shd w:val="clear" w:color="auto" w:fill="D2DDE1" w:themeFill="background2"/>
            <w:noWrap/>
          </w:tcPr>
          <w:p w14:paraId="65091E18" w14:textId="085605B7" w:rsidR="009312EC" w:rsidRPr="00B275E2" w:rsidRDefault="009312EC" w:rsidP="007F0B1E">
            <w:pPr>
              <w:pStyle w:val="TableText"/>
              <w:spacing w:before="40" w:after="40"/>
              <w:jc w:val="right"/>
              <w:rPr>
                <w:szCs w:val="18"/>
              </w:rPr>
            </w:pPr>
            <w:r w:rsidRPr="00B275E2">
              <w:rPr>
                <w:rFonts w:cs="Calibri"/>
                <w:szCs w:val="18"/>
              </w:rPr>
              <w:t>0.01</w:t>
            </w:r>
            <w:r w:rsidR="00994207">
              <w:rPr>
                <w:rFonts w:cs="Calibri"/>
                <w:szCs w:val="18"/>
              </w:rPr>
              <w:t>5</w:t>
            </w:r>
          </w:p>
        </w:tc>
        <w:tc>
          <w:tcPr>
            <w:tcW w:w="1087" w:type="dxa"/>
            <w:shd w:val="clear" w:color="auto" w:fill="auto"/>
            <w:noWrap/>
          </w:tcPr>
          <w:p w14:paraId="65091E19" w14:textId="6726020A" w:rsidR="009312EC" w:rsidRPr="00B275E2" w:rsidRDefault="009312EC" w:rsidP="007F0B1E">
            <w:pPr>
              <w:pStyle w:val="TableText"/>
              <w:spacing w:before="40" w:after="40"/>
              <w:jc w:val="right"/>
              <w:rPr>
                <w:szCs w:val="18"/>
              </w:rPr>
            </w:pPr>
            <w:r w:rsidRPr="00B275E2">
              <w:rPr>
                <w:rFonts w:cs="Calibri"/>
                <w:szCs w:val="18"/>
              </w:rPr>
              <w:t>0.01</w:t>
            </w:r>
            <w:r w:rsidR="00EA5CEA">
              <w:rPr>
                <w:rFonts w:cs="Calibri"/>
                <w:szCs w:val="18"/>
              </w:rPr>
              <w:t>4</w:t>
            </w:r>
          </w:p>
        </w:tc>
        <w:tc>
          <w:tcPr>
            <w:tcW w:w="1086" w:type="dxa"/>
            <w:shd w:val="clear" w:color="auto" w:fill="auto"/>
            <w:noWrap/>
          </w:tcPr>
          <w:p w14:paraId="65091E1A" w14:textId="38291B31" w:rsidR="009312EC" w:rsidRPr="00B275E2" w:rsidRDefault="009312EC" w:rsidP="007F0B1E">
            <w:pPr>
              <w:pStyle w:val="TableText"/>
              <w:spacing w:before="40" w:after="40"/>
              <w:jc w:val="right"/>
              <w:rPr>
                <w:szCs w:val="18"/>
              </w:rPr>
            </w:pPr>
            <w:r w:rsidRPr="00B275E2">
              <w:rPr>
                <w:rFonts w:cs="Calibri"/>
                <w:szCs w:val="18"/>
              </w:rPr>
              <w:t>0.000</w:t>
            </w:r>
            <w:r w:rsidR="00EA5CEA">
              <w:rPr>
                <w:rFonts w:cs="Calibri"/>
                <w:szCs w:val="18"/>
              </w:rPr>
              <w:t>4</w:t>
            </w:r>
          </w:p>
        </w:tc>
        <w:tc>
          <w:tcPr>
            <w:tcW w:w="1134" w:type="dxa"/>
            <w:shd w:val="clear" w:color="auto" w:fill="auto"/>
            <w:noWrap/>
          </w:tcPr>
          <w:p w14:paraId="65091E1B" w14:textId="1C04ED50" w:rsidR="009312EC" w:rsidRPr="00B275E2" w:rsidRDefault="009312EC" w:rsidP="007F0B1E">
            <w:pPr>
              <w:pStyle w:val="TableText"/>
              <w:spacing w:before="40" w:after="40"/>
              <w:jc w:val="right"/>
              <w:rPr>
                <w:szCs w:val="18"/>
              </w:rPr>
            </w:pPr>
            <w:r w:rsidRPr="00B275E2">
              <w:rPr>
                <w:rFonts w:cs="Calibri"/>
                <w:szCs w:val="18"/>
              </w:rPr>
              <w:t>0.0000</w:t>
            </w:r>
            <w:r w:rsidR="0062019D">
              <w:rPr>
                <w:rFonts w:cs="Calibri"/>
                <w:szCs w:val="18"/>
              </w:rPr>
              <w:t>3</w:t>
            </w:r>
          </w:p>
        </w:tc>
      </w:tr>
      <w:tr w:rsidR="009312EC" w:rsidRPr="00B275E2" w14:paraId="65091E24" w14:textId="77777777" w:rsidTr="00BC4F8C">
        <w:tc>
          <w:tcPr>
            <w:tcW w:w="1701" w:type="dxa"/>
            <w:vMerge w:val="restart"/>
          </w:tcPr>
          <w:p w14:paraId="65091E1D" w14:textId="1CB99B17" w:rsidR="009312EC" w:rsidRPr="00B275E2" w:rsidRDefault="009312EC" w:rsidP="007F0B1E">
            <w:pPr>
              <w:pStyle w:val="TableText"/>
              <w:spacing w:before="40" w:after="40"/>
              <w:rPr>
                <w:szCs w:val="18"/>
              </w:rPr>
            </w:pPr>
            <w:r w:rsidRPr="00B275E2">
              <w:rPr>
                <w:szCs w:val="18"/>
              </w:rPr>
              <w:t>Electric vehicle</w:t>
            </w:r>
          </w:p>
        </w:tc>
        <w:tc>
          <w:tcPr>
            <w:tcW w:w="1501" w:type="dxa"/>
            <w:noWrap/>
          </w:tcPr>
          <w:p w14:paraId="65091E1E" w14:textId="17770DBE" w:rsidR="009312EC" w:rsidRPr="00B275E2" w:rsidRDefault="009312EC" w:rsidP="007F0B1E">
            <w:pPr>
              <w:pStyle w:val="TableText"/>
              <w:spacing w:before="40" w:after="40"/>
              <w:rPr>
                <w:szCs w:val="18"/>
              </w:rPr>
            </w:pPr>
            <w:r w:rsidRPr="00B275E2">
              <w:rPr>
                <w:szCs w:val="18"/>
              </w:rPr>
              <w:t>Very small</w:t>
            </w:r>
          </w:p>
        </w:tc>
        <w:tc>
          <w:tcPr>
            <w:tcW w:w="626" w:type="dxa"/>
            <w:noWrap/>
          </w:tcPr>
          <w:p w14:paraId="65091E1F" w14:textId="77777777" w:rsidR="009312EC" w:rsidRPr="00B275E2" w:rsidRDefault="009312EC" w:rsidP="007F0B1E">
            <w:pPr>
              <w:pStyle w:val="TableText"/>
              <w:spacing w:before="40" w:after="40"/>
              <w:rPr>
                <w:szCs w:val="18"/>
              </w:rPr>
            </w:pPr>
            <w:r w:rsidRPr="00B275E2">
              <w:rPr>
                <w:szCs w:val="18"/>
              </w:rPr>
              <w:t>km</w:t>
            </w:r>
          </w:p>
        </w:tc>
        <w:tc>
          <w:tcPr>
            <w:tcW w:w="1247" w:type="dxa"/>
            <w:shd w:val="clear" w:color="auto" w:fill="D2DDE1" w:themeFill="background2"/>
            <w:noWrap/>
          </w:tcPr>
          <w:p w14:paraId="65091E20" w14:textId="0410C69F" w:rsidR="009312EC" w:rsidRPr="00B275E2" w:rsidRDefault="009312EC" w:rsidP="007F0B1E">
            <w:pPr>
              <w:pStyle w:val="TableText"/>
              <w:spacing w:before="40" w:after="40"/>
              <w:jc w:val="right"/>
              <w:rPr>
                <w:szCs w:val="18"/>
              </w:rPr>
            </w:pPr>
            <w:r w:rsidRPr="00B275E2">
              <w:rPr>
                <w:rFonts w:cs="Calibri"/>
                <w:szCs w:val="18"/>
              </w:rPr>
              <w:t>0.0</w:t>
            </w:r>
            <w:r w:rsidR="0062019D">
              <w:rPr>
                <w:rFonts w:cs="Calibri"/>
                <w:szCs w:val="18"/>
              </w:rPr>
              <w:t>20</w:t>
            </w:r>
          </w:p>
        </w:tc>
        <w:tc>
          <w:tcPr>
            <w:tcW w:w="1087" w:type="dxa"/>
            <w:shd w:val="clear" w:color="auto" w:fill="auto"/>
            <w:noWrap/>
          </w:tcPr>
          <w:p w14:paraId="65091E21" w14:textId="12A069DA" w:rsidR="009312EC" w:rsidRPr="00B275E2" w:rsidRDefault="009312EC" w:rsidP="007F0B1E">
            <w:pPr>
              <w:pStyle w:val="TableText"/>
              <w:spacing w:before="40" w:after="40"/>
              <w:jc w:val="right"/>
              <w:rPr>
                <w:szCs w:val="18"/>
              </w:rPr>
            </w:pPr>
            <w:r w:rsidRPr="00B275E2">
              <w:rPr>
                <w:rFonts w:cs="Calibri"/>
                <w:szCs w:val="18"/>
              </w:rPr>
              <w:t>0.0</w:t>
            </w:r>
            <w:r w:rsidR="00195A4F">
              <w:rPr>
                <w:rFonts w:cs="Calibri"/>
                <w:szCs w:val="18"/>
              </w:rPr>
              <w:t>20</w:t>
            </w:r>
          </w:p>
        </w:tc>
        <w:tc>
          <w:tcPr>
            <w:tcW w:w="1086" w:type="dxa"/>
            <w:shd w:val="clear" w:color="auto" w:fill="auto"/>
            <w:noWrap/>
          </w:tcPr>
          <w:p w14:paraId="65091E22" w14:textId="2F098A7E" w:rsidR="009312EC" w:rsidRPr="00B275E2" w:rsidRDefault="009312EC" w:rsidP="007F0B1E">
            <w:pPr>
              <w:pStyle w:val="TableText"/>
              <w:spacing w:before="40" w:after="40"/>
              <w:jc w:val="right"/>
              <w:rPr>
                <w:szCs w:val="18"/>
              </w:rPr>
            </w:pPr>
            <w:r w:rsidRPr="00B275E2">
              <w:rPr>
                <w:rFonts w:cs="Calibri"/>
                <w:szCs w:val="18"/>
              </w:rPr>
              <w:t>0.000</w:t>
            </w:r>
            <w:r w:rsidR="00195A4F">
              <w:rPr>
                <w:rFonts w:cs="Calibri"/>
                <w:szCs w:val="18"/>
              </w:rPr>
              <w:t>5</w:t>
            </w:r>
          </w:p>
        </w:tc>
        <w:tc>
          <w:tcPr>
            <w:tcW w:w="1134" w:type="dxa"/>
            <w:shd w:val="clear" w:color="auto" w:fill="auto"/>
            <w:noWrap/>
          </w:tcPr>
          <w:p w14:paraId="65091E23" w14:textId="1C12C364" w:rsidR="009312EC" w:rsidRPr="00B275E2" w:rsidRDefault="009312EC" w:rsidP="007F0B1E">
            <w:pPr>
              <w:pStyle w:val="TableText"/>
              <w:spacing w:before="40" w:after="40"/>
              <w:jc w:val="right"/>
              <w:rPr>
                <w:szCs w:val="18"/>
              </w:rPr>
            </w:pPr>
            <w:r w:rsidRPr="00B275E2">
              <w:rPr>
                <w:rFonts w:cs="Calibri"/>
                <w:szCs w:val="18"/>
              </w:rPr>
              <w:t>0.0000</w:t>
            </w:r>
            <w:r w:rsidR="00195A4F">
              <w:rPr>
                <w:rFonts w:cs="Calibri"/>
                <w:szCs w:val="18"/>
              </w:rPr>
              <w:t>4</w:t>
            </w:r>
          </w:p>
        </w:tc>
      </w:tr>
      <w:tr w:rsidR="009312EC" w:rsidRPr="00B275E2" w14:paraId="65091E2C" w14:textId="77777777" w:rsidTr="00BC4F8C">
        <w:tc>
          <w:tcPr>
            <w:tcW w:w="1701" w:type="dxa"/>
            <w:vMerge/>
          </w:tcPr>
          <w:p w14:paraId="65091E25" w14:textId="77777777" w:rsidR="009312EC" w:rsidRPr="00B275E2" w:rsidRDefault="009312EC" w:rsidP="007F0B1E">
            <w:pPr>
              <w:pStyle w:val="TableText"/>
              <w:spacing w:before="40" w:after="40"/>
              <w:rPr>
                <w:szCs w:val="18"/>
              </w:rPr>
            </w:pPr>
          </w:p>
        </w:tc>
        <w:tc>
          <w:tcPr>
            <w:tcW w:w="1501" w:type="dxa"/>
            <w:noWrap/>
          </w:tcPr>
          <w:p w14:paraId="65091E26" w14:textId="399EFFDA" w:rsidR="009312EC" w:rsidRPr="00B275E2" w:rsidRDefault="009312EC" w:rsidP="007F0B1E">
            <w:pPr>
              <w:pStyle w:val="TableText"/>
              <w:spacing w:before="40" w:after="40"/>
              <w:rPr>
                <w:szCs w:val="18"/>
              </w:rPr>
            </w:pPr>
            <w:r w:rsidRPr="00B275E2">
              <w:rPr>
                <w:szCs w:val="18"/>
              </w:rPr>
              <w:t>Small</w:t>
            </w:r>
          </w:p>
        </w:tc>
        <w:tc>
          <w:tcPr>
            <w:tcW w:w="626" w:type="dxa"/>
            <w:noWrap/>
          </w:tcPr>
          <w:p w14:paraId="65091E27" w14:textId="77777777" w:rsidR="009312EC" w:rsidRPr="00B275E2" w:rsidRDefault="009312EC" w:rsidP="007F0B1E">
            <w:pPr>
              <w:pStyle w:val="TableText"/>
              <w:spacing w:before="40" w:after="40"/>
              <w:rPr>
                <w:szCs w:val="18"/>
              </w:rPr>
            </w:pPr>
            <w:r w:rsidRPr="00B275E2">
              <w:rPr>
                <w:szCs w:val="18"/>
              </w:rPr>
              <w:t>km</w:t>
            </w:r>
          </w:p>
        </w:tc>
        <w:tc>
          <w:tcPr>
            <w:tcW w:w="1247" w:type="dxa"/>
            <w:shd w:val="clear" w:color="auto" w:fill="D2DDE1" w:themeFill="background2"/>
            <w:noWrap/>
          </w:tcPr>
          <w:p w14:paraId="65091E28" w14:textId="16DE8EF9" w:rsidR="009312EC" w:rsidRPr="00B275E2" w:rsidRDefault="009312EC" w:rsidP="007F0B1E">
            <w:pPr>
              <w:pStyle w:val="TableText"/>
              <w:spacing w:before="40" w:after="40"/>
              <w:jc w:val="right"/>
              <w:rPr>
                <w:szCs w:val="18"/>
              </w:rPr>
            </w:pPr>
            <w:r w:rsidRPr="00B275E2">
              <w:rPr>
                <w:rFonts w:cs="Calibri"/>
                <w:szCs w:val="18"/>
              </w:rPr>
              <w:t>0.02</w:t>
            </w:r>
            <w:r w:rsidR="0062019D">
              <w:rPr>
                <w:rFonts w:cs="Calibri"/>
                <w:szCs w:val="18"/>
              </w:rPr>
              <w:t>1</w:t>
            </w:r>
          </w:p>
        </w:tc>
        <w:tc>
          <w:tcPr>
            <w:tcW w:w="1087" w:type="dxa"/>
            <w:shd w:val="clear" w:color="auto" w:fill="auto"/>
            <w:noWrap/>
          </w:tcPr>
          <w:p w14:paraId="65091E29" w14:textId="731FB069" w:rsidR="009312EC" w:rsidRPr="00B275E2" w:rsidRDefault="009312EC" w:rsidP="007F0B1E">
            <w:pPr>
              <w:pStyle w:val="TableText"/>
              <w:spacing w:before="40" w:after="40"/>
              <w:jc w:val="right"/>
              <w:rPr>
                <w:szCs w:val="18"/>
              </w:rPr>
            </w:pPr>
            <w:r w:rsidRPr="00B275E2">
              <w:rPr>
                <w:rFonts w:cs="Calibri"/>
                <w:szCs w:val="18"/>
              </w:rPr>
              <w:t>0.0</w:t>
            </w:r>
            <w:r w:rsidR="00195A4F">
              <w:rPr>
                <w:rFonts w:cs="Calibri"/>
                <w:szCs w:val="18"/>
              </w:rPr>
              <w:t>20</w:t>
            </w:r>
          </w:p>
        </w:tc>
        <w:tc>
          <w:tcPr>
            <w:tcW w:w="1086" w:type="dxa"/>
            <w:shd w:val="clear" w:color="auto" w:fill="auto"/>
            <w:noWrap/>
          </w:tcPr>
          <w:p w14:paraId="65091E2A" w14:textId="21BF90B3" w:rsidR="009312EC" w:rsidRPr="00B275E2" w:rsidRDefault="009312EC" w:rsidP="007F0B1E">
            <w:pPr>
              <w:pStyle w:val="TableText"/>
              <w:spacing w:before="40" w:after="40"/>
              <w:jc w:val="right"/>
              <w:rPr>
                <w:szCs w:val="18"/>
              </w:rPr>
            </w:pPr>
            <w:r w:rsidRPr="00B275E2">
              <w:rPr>
                <w:rFonts w:cs="Calibri"/>
                <w:szCs w:val="18"/>
              </w:rPr>
              <w:t>0.000</w:t>
            </w:r>
            <w:r w:rsidR="00195A4F">
              <w:rPr>
                <w:rFonts w:cs="Calibri"/>
                <w:szCs w:val="18"/>
              </w:rPr>
              <w:t>5</w:t>
            </w:r>
          </w:p>
        </w:tc>
        <w:tc>
          <w:tcPr>
            <w:tcW w:w="1134" w:type="dxa"/>
            <w:shd w:val="clear" w:color="auto" w:fill="auto"/>
            <w:noWrap/>
          </w:tcPr>
          <w:p w14:paraId="65091E2B" w14:textId="4D1EF3E0" w:rsidR="009312EC" w:rsidRPr="00B275E2" w:rsidRDefault="009312EC" w:rsidP="007F0B1E">
            <w:pPr>
              <w:pStyle w:val="TableText"/>
              <w:spacing w:before="40" w:after="40"/>
              <w:jc w:val="right"/>
              <w:rPr>
                <w:szCs w:val="18"/>
              </w:rPr>
            </w:pPr>
            <w:r w:rsidRPr="00B275E2">
              <w:rPr>
                <w:rFonts w:cs="Calibri"/>
                <w:szCs w:val="18"/>
              </w:rPr>
              <w:t>0.0000</w:t>
            </w:r>
            <w:r w:rsidR="00195A4F">
              <w:rPr>
                <w:rFonts w:cs="Calibri"/>
                <w:szCs w:val="18"/>
              </w:rPr>
              <w:t>4</w:t>
            </w:r>
          </w:p>
        </w:tc>
      </w:tr>
      <w:tr w:rsidR="009312EC" w:rsidRPr="00B275E2" w14:paraId="65091E34" w14:textId="77777777" w:rsidTr="00BC4F8C">
        <w:tc>
          <w:tcPr>
            <w:tcW w:w="1701" w:type="dxa"/>
            <w:vMerge/>
          </w:tcPr>
          <w:p w14:paraId="65091E2D" w14:textId="77777777" w:rsidR="009312EC" w:rsidRPr="00B275E2" w:rsidRDefault="009312EC" w:rsidP="007F0B1E">
            <w:pPr>
              <w:pStyle w:val="TableText"/>
              <w:spacing w:before="40" w:after="40"/>
              <w:rPr>
                <w:szCs w:val="18"/>
              </w:rPr>
            </w:pPr>
          </w:p>
        </w:tc>
        <w:tc>
          <w:tcPr>
            <w:tcW w:w="1501" w:type="dxa"/>
            <w:noWrap/>
          </w:tcPr>
          <w:p w14:paraId="65091E2E" w14:textId="13D9A6A8" w:rsidR="009312EC" w:rsidRPr="00B275E2" w:rsidRDefault="009312EC" w:rsidP="007F0B1E">
            <w:pPr>
              <w:pStyle w:val="TableText"/>
              <w:spacing w:before="40" w:after="40"/>
              <w:rPr>
                <w:szCs w:val="18"/>
              </w:rPr>
            </w:pPr>
            <w:r w:rsidRPr="00B275E2">
              <w:rPr>
                <w:szCs w:val="18"/>
              </w:rPr>
              <w:t>Medium</w:t>
            </w:r>
          </w:p>
        </w:tc>
        <w:tc>
          <w:tcPr>
            <w:tcW w:w="626" w:type="dxa"/>
            <w:noWrap/>
          </w:tcPr>
          <w:p w14:paraId="65091E2F" w14:textId="77777777" w:rsidR="009312EC" w:rsidRPr="00B275E2" w:rsidRDefault="009312EC" w:rsidP="007F0B1E">
            <w:pPr>
              <w:pStyle w:val="TableText"/>
              <w:spacing w:before="40" w:after="40"/>
              <w:rPr>
                <w:szCs w:val="18"/>
              </w:rPr>
            </w:pPr>
            <w:r w:rsidRPr="00B275E2">
              <w:rPr>
                <w:szCs w:val="18"/>
              </w:rPr>
              <w:t>km</w:t>
            </w:r>
          </w:p>
        </w:tc>
        <w:tc>
          <w:tcPr>
            <w:tcW w:w="1247" w:type="dxa"/>
            <w:shd w:val="clear" w:color="auto" w:fill="D2DDE1" w:themeFill="background2"/>
            <w:noWrap/>
          </w:tcPr>
          <w:p w14:paraId="65091E30" w14:textId="377EB1D7" w:rsidR="009312EC" w:rsidRPr="00B275E2" w:rsidRDefault="009312EC" w:rsidP="007F0B1E">
            <w:pPr>
              <w:pStyle w:val="TableText"/>
              <w:spacing w:before="40" w:after="40"/>
              <w:jc w:val="right"/>
              <w:rPr>
                <w:szCs w:val="18"/>
              </w:rPr>
            </w:pPr>
            <w:r w:rsidRPr="00B275E2">
              <w:rPr>
                <w:rFonts w:cs="Calibri"/>
                <w:szCs w:val="18"/>
              </w:rPr>
              <w:t>0.02</w:t>
            </w:r>
            <w:r w:rsidR="0062019D">
              <w:rPr>
                <w:rFonts w:cs="Calibri"/>
                <w:szCs w:val="18"/>
              </w:rPr>
              <w:t>3</w:t>
            </w:r>
          </w:p>
        </w:tc>
        <w:tc>
          <w:tcPr>
            <w:tcW w:w="1087" w:type="dxa"/>
            <w:shd w:val="clear" w:color="auto" w:fill="auto"/>
            <w:noWrap/>
          </w:tcPr>
          <w:p w14:paraId="65091E31" w14:textId="12795A4D" w:rsidR="009312EC" w:rsidRPr="00B275E2" w:rsidRDefault="009312EC" w:rsidP="007F0B1E">
            <w:pPr>
              <w:pStyle w:val="TableText"/>
              <w:spacing w:before="40" w:after="40"/>
              <w:jc w:val="right"/>
              <w:rPr>
                <w:szCs w:val="18"/>
              </w:rPr>
            </w:pPr>
            <w:r w:rsidRPr="00B275E2">
              <w:rPr>
                <w:rFonts w:cs="Calibri"/>
                <w:szCs w:val="18"/>
              </w:rPr>
              <w:t>0.0</w:t>
            </w:r>
            <w:r w:rsidR="00195A4F">
              <w:rPr>
                <w:rFonts w:cs="Calibri"/>
                <w:szCs w:val="18"/>
              </w:rPr>
              <w:t>23</w:t>
            </w:r>
          </w:p>
        </w:tc>
        <w:tc>
          <w:tcPr>
            <w:tcW w:w="1086" w:type="dxa"/>
            <w:shd w:val="clear" w:color="auto" w:fill="auto"/>
            <w:noWrap/>
          </w:tcPr>
          <w:p w14:paraId="65091E32" w14:textId="548A039A" w:rsidR="009312EC" w:rsidRPr="00B275E2" w:rsidRDefault="009312EC" w:rsidP="007F0B1E">
            <w:pPr>
              <w:pStyle w:val="TableText"/>
              <w:spacing w:before="40" w:after="40"/>
              <w:jc w:val="right"/>
              <w:rPr>
                <w:szCs w:val="18"/>
              </w:rPr>
            </w:pPr>
            <w:r w:rsidRPr="00B275E2">
              <w:rPr>
                <w:rFonts w:cs="Calibri"/>
                <w:szCs w:val="18"/>
              </w:rPr>
              <w:t>0.000</w:t>
            </w:r>
            <w:r w:rsidR="00195A4F">
              <w:rPr>
                <w:rFonts w:cs="Calibri"/>
                <w:szCs w:val="18"/>
              </w:rPr>
              <w:t>6</w:t>
            </w:r>
          </w:p>
        </w:tc>
        <w:tc>
          <w:tcPr>
            <w:tcW w:w="1134" w:type="dxa"/>
            <w:shd w:val="clear" w:color="auto" w:fill="auto"/>
            <w:noWrap/>
          </w:tcPr>
          <w:p w14:paraId="65091E33" w14:textId="4DB91DA9" w:rsidR="009312EC" w:rsidRPr="00B275E2" w:rsidRDefault="009312EC" w:rsidP="007F0B1E">
            <w:pPr>
              <w:pStyle w:val="TableText"/>
              <w:spacing w:before="40" w:after="40"/>
              <w:jc w:val="right"/>
              <w:rPr>
                <w:szCs w:val="18"/>
              </w:rPr>
            </w:pPr>
            <w:r w:rsidRPr="00B275E2">
              <w:rPr>
                <w:rFonts w:cs="Calibri"/>
                <w:szCs w:val="18"/>
              </w:rPr>
              <w:t>0.0000</w:t>
            </w:r>
            <w:r w:rsidR="00195A4F">
              <w:rPr>
                <w:rFonts w:cs="Calibri"/>
                <w:szCs w:val="18"/>
              </w:rPr>
              <w:t>5</w:t>
            </w:r>
          </w:p>
        </w:tc>
      </w:tr>
      <w:tr w:rsidR="009312EC" w:rsidRPr="00B275E2" w14:paraId="65091E3C" w14:textId="77777777" w:rsidTr="00BC4F8C">
        <w:tc>
          <w:tcPr>
            <w:tcW w:w="1701" w:type="dxa"/>
            <w:vMerge/>
          </w:tcPr>
          <w:p w14:paraId="65091E35" w14:textId="77777777" w:rsidR="009312EC" w:rsidRPr="00B275E2" w:rsidRDefault="009312EC" w:rsidP="007F0B1E">
            <w:pPr>
              <w:pStyle w:val="TableText"/>
              <w:spacing w:before="40" w:after="40"/>
              <w:rPr>
                <w:szCs w:val="18"/>
              </w:rPr>
            </w:pPr>
          </w:p>
        </w:tc>
        <w:tc>
          <w:tcPr>
            <w:tcW w:w="1501" w:type="dxa"/>
            <w:noWrap/>
          </w:tcPr>
          <w:p w14:paraId="65091E36" w14:textId="690C09CF" w:rsidR="009312EC" w:rsidRPr="00B275E2" w:rsidRDefault="009312EC" w:rsidP="007F0B1E">
            <w:pPr>
              <w:pStyle w:val="TableText"/>
              <w:spacing w:before="40" w:after="40"/>
              <w:rPr>
                <w:szCs w:val="18"/>
              </w:rPr>
            </w:pPr>
            <w:r w:rsidRPr="00B275E2">
              <w:rPr>
                <w:szCs w:val="18"/>
              </w:rPr>
              <w:t>Large</w:t>
            </w:r>
          </w:p>
        </w:tc>
        <w:tc>
          <w:tcPr>
            <w:tcW w:w="626" w:type="dxa"/>
            <w:noWrap/>
          </w:tcPr>
          <w:p w14:paraId="65091E37" w14:textId="77777777" w:rsidR="009312EC" w:rsidRPr="00B275E2" w:rsidRDefault="009312EC" w:rsidP="007F0B1E">
            <w:pPr>
              <w:pStyle w:val="TableText"/>
              <w:spacing w:before="40" w:after="40"/>
              <w:rPr>
                <w:szCs w:val="18"/>
              </w:rPr>
            </w:pPr>
            <w:r w:rsidRPr="00B275E2">
              <w:rPr>
                <w:szCs w:val="18"/>
              </w:rPr>
              <w:t>km</w:t>
            </w:r>
          </w:p>
        </w:tc>
        <w:tc>
          <w:tcPr>
            <w:tcW w:w="1247" w:type="dxa"/>
            <w:shd w:val="clear" w:color="auto" w:fill="D2DDE1" w:themeFill="background2"/>
            <w:noWrap/>
          </w:tcPr>
          <w:p w14:paraId="65091E38" w14:textId="51B3B9C1" w:rsidR="009312EC" w:rsidRPr="00B275E2" w:rsidRDefault="009312EC" w:rsidP="007F0B1E">
            <w:pPr>
              <w:pStyle w:val="TableText"/>
              <w:spacing w:before="40" w:after="40"/>
              <w:jc w:val="right"/>
              <w:rPr>
                <w:szCs w:val="18"/>
              </w:rPr>
            </w:pPr>
            <w:r w:rsidRPr="00B275E2">
              <w:rPr>
                <w:rFonts w:cs="Calibri"/>
                <w:szCs w:val="18"/>
              </w:rPr>
              <w:t>0.02</w:t>
            </w:r>
            <w:r w:rsidR="0062019D">
              <w:rPr>
                <w:rFonts w:cs="Calibri"/>
                <w:szCs w:val="18"/>
              </w:rPr>
              <w:t>6</w:t>
            </w:r>
          </w:p>
        </w:tc>
        <w:tc>
          <w:tcPr>
            <w:tcW w:w="1087" w:type="dxa"/>
            <w:shd w:val="clear" w:color="auto" w:fill="auto"/>
            <w:noWrap/>
          </w:tcPr>
          <w:p w14:paraId="65091E39" w14:textId="76EA0763" w:rsidR="009312EC" w:rsidRPr="00B275E2" w:rsidRDefault="009312EC" w:rsidP="007F0B1E">
            <w:pPr>
              <w:pStyle w:val="TableText"/>
              <w:spacing w:before="40" w:after="40"/>
              <w:jc w:val="right"/>
              <w:rPr>
                <w:szCs w:val="18"/>
              </w:rPr>
            </w:pPr>
            <w:r w:rsidRPr="00B275E2">
              <w:rPr>
                <w:rFonts w:cs="Calibri"/>
                <w:szCs w:val="18"/>
              </w:rPr>
              <w:t>0.02</w:t>
            </w:r>
            <w:r w:rsidR="00195A4F">
              <w:rPr>
                <w:rFonts w:cs="Calibri"/>
                <w:szCs w:val="18"/>
              </w:rPr>
              <w:t>5</w:t>
            </w:r>
          </w:p>
        </w:tc>
        <w:tc>
          <w:tcPr>
            <w:tcW w:w="1086" w:type="dxa"/>
            <w:shd w:val="clear" w:color="auto" w:fill="auto"/>
            <w:noWrap/>
          </w:tcPr>
          <w:p w14:paraId="65091E3A" w14:textId="0B2A5ED9" w:rsidR="009312EC" w:rsidRPr="00B275E2" w:rsidRDefault="009312EC" w:rsidP="007F0B1E">
            <w:pPr>
              <w:pStyle w:val="TableText"/>
              <w:spacing w:before="40" w:after="40"/>
              <w:jc w:val="right"/>
              <w:rPr>
                <w:szCs w:val="18"/>
              </w:rPr>
            </w:pPr>
            <w:r w:rsidRPr="00B275E2">
              <w:rPr>
                <w:rFonts w:cs="Calibri"/>
                <w:szCs w:val="18"/>
              </w:rPr>
              <w:t>0.000</w:t>
            </w:r>
            <w:r w:rsidR="00195A4F">
              <w:rPr>
                <w:rFonts w:cs="Calibri"/>
                <w:szCs w:val="18"/>
              </w:rPr>
              <w:t>7</w:t>
            </w:r>
          </w:p>
        </w:tc>
        <w:tc>
          <w:tcPr>
            <w:tcW w:w="1134" w:type="dxa"/>
            <w:shd w:val="clear" w:color="auto" w:fill="auto"/>
            <w:noWrap/>
          </w:tcPr>
          <w:p w14:paraId="65091E3B" w14:textId="7385644D" w:rsidR="009312EC" w:rsidRPr="00B275E2" w:rsidRDefault="009312EC" w:rsidP="007F0B1E">
            <w:pPr>
              <w:pStyle w:val="TableText"/>
              <w:spacing w:before="40" w:after="40"/>
              <w:jc w:val="right"/>
              <w:rPr>
                <w:szCs w:val="18"/>
              </w:rPr>
            </w:pPr>
            <w:r w:rsidRPr="00B275E2">
              <w:rPr>
                <w:rFonts w:cs="Calibri"/>
                <w:szCs w:val="18"/>
              </w:rPr>
              <w:t>0.0000</w:t>
            </w:r>
            <w:r w:rsidR="00195A4F">
              <w:rPr>
                <w:rFonts w:cs="Calibri"/>
                <w:szCs w:val="18"/>
              </w:rPr>
              <w:t>5</w:t>
            </w:r>
          </w:p>
        </w:tc>
      </w:tr>
      <w:tr w:rsidR="009312EC" w:rsidRPr="00B275E2" w14:paraId="65091E44" w14:textId="77777777" w:rsidTr="00BC4F8C">
        <w:tc>
          <w:tcPr>
            <w:tcW w:w="1701" w:type="dxa"/>
            <w:vMerge/>
          </w:tcPr>
          <w:p w14:paraId="65091E3D" w14:textId="77777777" w:rsidR="009312EC" w:rsidRPr="00B275E2" w:rsidRDefault="009312EC" w:rsidP="007F0B1E">
            <w:pPr>
              <w:pStyle w:val="TableText"/>
              <w:spacing w:before="40" w:after="40"/>
              <w:rPr>
                <w:szCs w:val="18"/>
              </w:rPr>
            </w:pPr>
          </w:p>
        </w:tc>
        <w:tc>
          <w:tcPr>
            <w:tcW w:w="1501" w:type="dxa"/>
            <w:noWrap/>
          </w:tcPr>
          <w:p w14:paraId="65091E3E" w14:textId="1757D74B" w:rsidR="009312EC" w:rsidRPr="00B275E2" w:rsidRDefault="009312EC" w:rsidP="007F0B1E">
            <w:pPr>
              <w:pStyle w:val="TableText"/>
              <w:spacing w:before="40" w:after="40"/>
              <w:rPr>
                <w:szCs w:val="18"/>
              </w:rPr>
            </w:pPr>
            <w:r w:rsidRPr="00B275E2">
              <w:rPr>
                <w:szCs w:val="18"/>
              </w:rPr>
              <w:t>Very large</w:t>
            </w:r>
          </w:p>
        </w:tc>
        <w:tc>
          <w:tcPr>
            <w:tcW w:w="626" w:type="dxa"/>
            <w:noWrap/>
          </w:tcPr>
          <w:p w14:paraId="65091E3F" w14:textId="77777777" w:rsidR="009312EC" w:rsidRPr="00B275E2" w:rsidRDefault="009312EC" w:rsidP="007F0B1E">
            <w:pPr>
              <w:pStyle w:val="TableText"/>
              <w:spacing w:before="40" w:after="40"/>
              <w:rPr>
                <w:szCs w:val="18"/>
              </w:rPr>
            </w:pPr>
            <w:r w:rsidRPr="00B275E2">
              <w:rPr>
                <w:szCs w:val="18"/>
              </w:rPr>
              <w:t>km</w:t>
            </w:r>
          </w:p>
        </w:tc>
        <w:tc>
          <w:tcPr>
            <w:tcW w:w="1247" w:type="dxa"/>
            <w:shd w:val="clear" w:color="auto" w:fill="D2DDE1" w:themeFill="background2"/>
            <w:noWrap/>
          </w:tcPr>
          <w:p w14:paraId="65091E40" w14:textId="5F65C406" w:rsidR="009312EC" w:rsidRPr="00B275E2" w:rsidRDefault="009312EC" w:rsidP="007F0B1E">
            <w:pPr>
              <w:pStyle w:val="TableText"/>
              <w:spacing w:before="40" w:after="40"/>
              <w:jc w:val="right"/>
              <w:rPr>
                <w:szCs w:val="18"/>
              </w:rPr>
            </w:pPr>
            <w:r w:rsidRPr="00B275E2">
              <w:rPr>
                <w:rFonts w:cs="Calibri"/>
                <w:szCs w:val="18"/>
              </w:rPr>
              <w:t>0.03</w:t>
            </w:r>
            <w:r w:rsidR="0062019D">
              <w:rPr>
                <w:rFonts w:cs="Calibri"/>
                <w:szCs w:val="18"/>
              </w:rPr>
              <w:t>1</w:t>
            </w:r>
          </w:p>
        </w:tc>
        <w:tc>
          <w:tcPr>
            <w:tcW w:w="1087" w:type="dxa"/>
            <w:shd w:val="clear" w:color="auto" w:fill="auto"/>
            <w:noWrap/>
          </w:tcPr>
          <w:p w14:paraId="65091E41" w14:textId="5E1E034D" w:rsidR="009312EC" w:rsidRPr="00B275E2" w:rsidRDefault="009312EC" w:rsidP="007F0B1E">
            <w:pPr>
              <w:pStyle w:val="TableText"/>
              <w:spacing w:before="40" w:after="40"/>
              <w:jc w:val="right"/>
              <w:rPr>
                <w:szCs w:val="18"/>
              </w:rPr>
            </w:pPr>
            <w:r w:rsidRPr="00B275E2">
              <w:rPr>
                <w:rFonts w:cs="Calibri"/>
                <w:szCs w:val="18"/>
              </w:rPr>
              <w:t>0.0</w:t>
            </w:r>
            <w:r w:rsidR="00195A4F">
              <w:rPr>
                <w:rFonts w:cs="Calibri"/>
                <w:szCs w:val="18"/>
              </w:rPr>
              <w:t>30</w:t>
            </w:r>
          </w:p>
        </w:tc>
        <w:tc>
          <w:tcPr>
            <w:tcW w:w="1086" w:type="dxa"/>
            <w:shd w:val="clear" w:color="auto" w:fill="auto"/>
            <w:noWrap/>
          </w:tcPr>
          <w:p w14:paraId="65091E42" w14:textId="40719B1B" w:rsidR="009312EC" w:rsidRPr="00B275E2" w:rsidRDefault="009312EC" w:rsidP="007F0B1E">
            <w:pPr>
              <w:pStyle w:val="TableText"/>
              <w:spacing w:before="40" w:after="40"/>
              <w:jc w:val="right"/>
              <w:rPr>
                <w:szCs w:val="18"/>
              </w:rPr>
            </w:pPr>
            <w:r w:rsidRPr="00B275E2">
              <w:rPr>
                <w:rFonts w:cs="Calibri"/>
                <w:szCs w:val="18"/>
              </w:rPr>
              <w:t>0.00</w:t>
            </w:r>
            <w:r w:rsidR="00195A4F">
              <w:rPr>
                <w:rFonts w:cs="Calibri"/>
                <w:szCs w:val="18"/>
              </w:rPr>
              <w:t>08</w:t>
            </w:r>
          </w:p>
        </w:tc>
        <w:tc>
          <w:tcPr>
            <w:tcW w:w="1134" w:type="dxa"/>
            <w:shd w:val="clear" w:color="auto" w:fill="auto"/>
            <w:noWrap/>
          </w:tcPr>
          <w:p w14:paraId="65091E43" w14:textId="6158377E" w:rsidR="009312EC" w:rsidRPr="00B275E2" w:rsidRDefault="009312EC" w:rsidP="007F0B1E">
            <w:pPr>
              <w:pStyle w:val="TableText"/>
              <w:spacing w:before="40" w:after="40"/>
              <w:jc w:val="right"/>
              <w:rPr>
                <w:szCs w:val="18"/>
              </w:rPr>
            </w:pPr>
            <w:r w:rsidRPr="00B275E2">
              <w:rPr>
                <w:rFonts w:cs="Calibri"/>
                <w:szCs w:val="18"/>
              </w:rPr>
              <w:t>0.0000</w:t>
            </w:r>
            <w:r w:rsidR="00195A4F">
              <w:rPr>
                <w:rFonts w:cs="Calibri"/>
                <w:szCs w:val="18"/>
              </w:rPr>
              <w:t>6</w:t>
            </w:r>
          </w:p>
        </w:tc>
      </w:tr>
      <w:tr w:rsidR="009312EC" w:rsidRPr="00B275E2" w14:paraId="65091E4C" w14:textId="77777777" w:rsidTr="00BC4F8C">
        <w:tc>
          <w:tcPr>
            <w:tcW w:w="1701" w:type="dxa"/>
            <w:vMerge w:val="restart"/>
          </w:tcPr>
          <w:p w14:paraId="65091E45" w14:textId="2036B9EF" w:rsidR="009312EC" w:rsidRPr="00B275E2" w:rsidRDefault="009312EC" w:rsidP="007F0B1E">
            <w:pPr>
              <w:pStyle w:val="TableText"/>
              <w:spacing w:before="40" w:after="40"/>
              <w:rPr>
                <w:szCs w:val="18"/>
              </w:rPr>
            </w:pPr>
            <w:r w:rsidRPr="00B275E2">
              <w:rPr>
                <w:szCs w:val="18"/>
              </w:rPr>
              <w:t>Motorcycle</w:t>
            </w:r>
          </w:p>
        </w:tc>
        <w:tc>
          <w:tcPr>
            <w:tcW w:w="1501" w:type="dxa"/>
            <w:noWrap/>
          </w:tcPr>
          <w:p w14:paraId="65091E46" w14:textId="77777777" w:rsidR="009312EC" w:rsidRPr="00B275E2" w:rsidRDefault="009312EC" w:rsidP="007F0B1E">
            <w:pPr>
              <w:pStyle w:val="TableText"/>
              <w:spacing w:before="40" w:after="40"/>
              <w:rPr>
                <w:szCs w:val="18"/>
              </w:rPr>
            </w:pPr>
            <w:r w:rsidRPr="00B275E2">
              <w:rPr>
                <w:szCs w:val="18"/>
              </w:rPr>
              <w:t>&lt;60 cc, petrol</w:t>
            </w:r>
          </w:p>
        </w:tc>
        <w:tc>
          <w:tcPr>
            <w:tcW w:w="626" w:type="dxa"/>
            <w:noWrap/>
          </w:tcPr>
          <w:p w14:paraId="65091E47" w14:textId="77777777" w:rsidR="009312EC" w:rsidRPr="00B275E2" w:rsidRDefault="009312EC" w:rsidP="007F0B1E">
            <w:pPr>
              <w:pStyle w:val="TableText"/>
              <w:spacing w:before="40" w:after="40"/>
              <w:rPr>
                <w:szCs w:val="18"/>
              </w:rPr>
            </w:pPr>
            <w:r w:rsidRPr="00B275E2">
              <w:rPr>
                <w:szCs w:val="18"/>
              </w:rPr>
              <w:t>km</w:t>
            </w:r>
          </w:p>
        </w:tc>
        <w:tc>
          <w:tcPr>
            <w:tcW w:w="1247" w:type="dxa"/>
            <w:shd w:val="clear" w:color="auto" w:fill="D2DDE1" w:themeFill="background2"/>
            <w:noWrap/>
          </w:tcPr>
          <w:p w14:paraId="65091E48" w14:textId="111D7407" w:rsidR="009312EC" w:rsidRPr="00B275E2" w:rsidRDefault="009312EC" w:rsidP="007F0B1E">
            <w:pPr>
              <w:pStyle w:val="TableText"/>
              <w:spacing w:before="40" w:after="40"/>
              <w:jc w:val="right"/>
              <w:rPr>
                <w:szCs w:val="18"/>
              </w:rPr>
            </w:pPr>
            <w:r w:rsidRPr="00B275E2">
              <w:rPr>
                <w:rFonts w:cs="Calibri"/>
                <w:szCs w:val="18"/>
              </w:rPr>
              <w:t>0.057</w:t>
            </w:r>
          </w:p>
        </w:tc>
        <w:tc>
          <w:tcPr>
            <w:tcW w:w="1087" w:type="dxa"/>
            <w:shd w:val="clear" w:color="auto" w:fill="auto"/>
            <w:noWrap/>
          </w:tcPr>
          <w:p w14:paraId="65091E49" w14:textId="32D216B1" w:rsidR="009312EC" w:rsidRPr="00B275E2" w:rsidRDefault="009312EC" w:rsidP="007F0B1E">
            <w:pPr>
              <w:pStyle w:val="TableText"/>
              <w:spacing w:before="40" w:after="40"/>
              <w:jc w:val="right"/>
              <w:rPr>
                <w:szCs w:val="18"/>
              </w:rPr>
            </w:pPr>
            <w:r w:rsidRPr="00B275E2">
              <w:rPr>
                <w:rFonts w:cs="Calibri"/>
                <w:szCs w:val="18"/>
              </w:rPr>
              <w:t>0.055</w:t>
            </w:r>
          </w:p>
        </w:tc>
        <w:tc>
          <w:tcPr>
            <w:tcW w:w="1086" w:type="dxa"/>
            <w:shd w:val="clear" w:color="auto" w:fill="auto"/>
            <w:noWrap/>
          </w:tcPr>
          <w:p w14:paraId="65091E4A" w14:textId="37A6ECBB" w:rsidR="009312EC" w:rsidRPr="00B275E2" w:rsidRDefault="009312EC" w:rsidP="007F0B1E">
            <w:pPr>
              <w:pStyle w:val="TableText"/>
              <w:spacing w:before="40" w:after="40"/>
              <w:jc w:val="right"/>
              <w:rPr>
                <w:szCs w:val="18"/>
              </w:rPr>
            </w:pPr>
            <w:r w:rsidRPr="00B275E2">
              <w:rPr>
                <w:rFonts w:cs="Calibri"/>
                <w:szCs w:val="18"/>
              </w:rPr>
              <w:t>0.001</w:t>
            </w:r>
          </w:p>
        </w:tc>
        <w:tc>
          <w:tcPr>
            <w:tcW w:w="1134" w:type="dxa"/>
            <w:shd w:val="clear" w:color="auto" w:fill="auto"/>
            <w:noWrap/>
          </w:tcPr>
          <w:p w14:paraId="65091E4B" w14:textId="0B7FF715" w:rsidR="009312EC" w:rsidRPr="00B275E2" w:rsidRDefault="009312EC" w:rsidP="007F0B1E">
            <w:pPr>
              <w:pStyle w:val="TableText"/>
              <w:spacing w:before="40" w:after="40"/>
              <w:jc w:val="right"/>
              <w:rPr>
                <w:szCs w:val="18"/>
              </w:rPr>
            </w:pPr>
            <w:r w:rsidRPr="00B275E2">
              <w:rPr>
                <w:rFonts w:cs="Calibri"/>
                <w:szCs w:val="18"/>
              </w:rPr>
              <w:t>0.002</w:t>
            </w:r>
          </w:p>
        </w:tc>
      </w:tr>
      <w:tr w:rsidR="009312EC" w:rsidRPr="00B275E2" w14:paraId="65091E54" w14:textId="77777777" w:rsidTr="00BC4F8C">
        <w:tc>
          <w:tcPr>
            <w:tcW w:w="1701" w:type="dxa"/>
            <w:vMerge/>
          </w:tcPr>
          <w:p w14:paraId="65091E4D" w14:textId="77777777" w:rsidR="009312EC" w:rsidRPr="00B275E2" w:rsidRDefault="009312EC" w:rsidP="007F0B1E">
            <w:pPr>
              <w:pStyle w:val="TableText"/>
              <w:spacing w:before="40" w:after="40"/>
              <w:rPr>
                <w:szCs w:val="18"/>
              </w:rPr>
            </w:pPr>
          </w:p>
        </w:tc>
        <w:tc>
          <w:tcPr>
            <w:tcW w:w="1501" w:type="dxa"/>
            <w:noWrap/>
          </w:tcPr>
          <w:p w14:paraId="65091E4E" w14:textId="1693D038" w:rsidR="009312EC" w:rsidRPr="00B275E2" w:rsidRDefault="009312EC" w:rsidP="007F0B1E">
            <w:pPr>
              <w:pStyle w:val="TableText"/>
              <w:spacing w:before="40" w:after="40"/>
              <w:rPr>
                <w:szCs w:val="18"/>
              </w:rPr>
            </w:pPr>
            <w:r w:rsidRPr="00B275E2">
              <w:rPr>
                <w:szCs w:val="18"/>
              </w:rPr>
              <w:t>≥60 cc, petrol</w:t>
            </w:r>
          </w:p>
        </w:tc>
        <w:tc>
          <w:tcPr>
            <w:tcW w:w="626" w:type="dxa"/>
            <w:noWrap/>
          </w:tcPr>
          <w:p w14:paraId="65091E4F" w14:textId="77777777" w:rsidR="009312EC" w:rsidRPr="00B275E2" w:rsidRDefault="009312EC" w:rsidP="007F0B1E">
            <w:pPr>
              <w:pStyle w:val="TableText"/>
              <w:spacing w:before="40" w:after="40"/>
              <w:rPr>
                <w:szCs w:val="18"/>
              </w:rPr>
            </w:pPr>
            <w:r w:rsidRPr="00B275E2">
              <w:rPr>
                <w:szCs w:val="18"/>
              </w:rPr>
              <w:t>km</w:t>
            </w:r>
          </w:p>
        </w:tc>
        <w:tc>
          <w:tcPr>
            <w:tcW w:w="1247" w:type="dxa"/>
            <w:shd w:val="clear" w:color="auto" w:fill="D2DDE1" w:themeFill="background2"/>
            <w:noWrap/>
          </w:tcPr>
          <w:p w14:paraId="65091E50" w14:textId="1213960C" w:rsidR="009312EC" w:rsidRPr="00B275E2" w:rsidRDefault="009312EC" w:rsidP="007F0B1E">
            <w:pPr>
              <w:pStyle w:val="TableText"/>
              <w:spacing w:before="40" w:after="40"/>
              <w:jc w:val="right"/>
              <w:rPr>
                <w:szCs w:val="18"/>
              </w:rPr>
            </w:pPr>
            <w:r w:rsidRPr="00B275E2">
              <w:rPr>
                <w:rFonts w:cs="Calibri"/>
                <w:szCs w:val="18"/>
              </w:rPr>
              <w:t>0.115</w:t>
            </w:r>
          </w:p>
        </w:tc>
        <w:tc>
          <w:tcPr>
            <w:tcW w:w="1087" w:type="dxa"/>
            <w:shd w:val="clear" w:color="auto" w:fill="auto"/>
            <w:noWrap/>
          </w:tcPr>
          <w:p w14:paraId="65091E51" w14:textId="27CE67E4" w:rsidR="009312EC" w:rsidRPr="00B275E2" w:rsidRDefault="009312EC" w:rsidP="007F0B1E">
            <w:pPr>
              <w:pStyle w:val="TableText"/>
              <w:spacing w:before="40" w:after="40"/>
              <w:jc w:val="right"/>
              <w:rPr>
                <w:szCs w:val="18"/>
              </w:rPr>
            </w:pPr>
            <w:r w:rsidRPr="00B275E2">
              <w:rPr>
                <w:rFonts w:cs="Calibri"/>
                <w:szCs w:val="18"/>
              </w:rPr>
              <w:t>0.110</w:t>
            </w:r>
          </w:p>
        </w:tc>
        <w:tc>
          <w:tcPr>
            <w:tcW w:w="1086" w:type="dxa"/>
            <w:shd w:val="clear" w:color="auto" w:fill="auto"/>
            <w:noWrap/>
          </w:tcPr>
          <w:p w14:paraId="65091E52" w14:textId="6D7D57E0" w:rsidR="009312EC" w:rsidRPr="00B275E2" w:rsidRDefault="009312EC" w:rsidP="007F0B1E">
            <w:pPr>
              <w:pStyle w:val="TableText"/>
              <w:spacing w:before="40" w:after="40"/>
              <w:jc w:val="right"/>
              <w:rPr>
                <w:szCs w:val="18"/>
              </w:rPr>
            </w:pPr>
            <w:r w:rsidRPr="00B275E2">
              <w:rPr>
                <w:rFonts w:cs="Calibri"/>
                <w:szCs w:val="18"/>
              </w:rPr>
              <w:t>0.001</w:t>
            </w:r>
          </w:p>
        </w:tc>
        <w:tc>
          <w:tcPr>
            <w:tcW w:w="1134" w:type="dxa"/>
            <w:shd w:val="clear" w:color="auto" w:fill="auto"/>
            <w:noWrap/>
          </w:tcPr>
          <w:p w14:paraId="65091E53" w14:textId="4AE241FF" w:rsidR="009312EC" w:rsidRPr="00B275E2" w:rsidRDefault="009312EC" w:rsidP="007F0B1E">
            <w:pPr>
              <w:pStyle w:val="TableText"/>
              <w:spacing w:before="40" w:after="40"/>
              <w:jc w:val="right"/>
              <w:rPr>
                <w:szCs w:val="18"/>
              </w:rPr>
            </w:pPr>
            <w:r w:rsidRPr="00B275E2">
              <w:rPr>
                <w:rFonts w:cs="Calibri"/>
                <w:szCs w:val="18"/>
              </w:rPr>
              <w:t>0.004</w:t>
            </w:r>
          </w:p>
        </w:tc>
      </w:tr>
      <w:tr w:rsidR="009312EC" w:rsidRPr="00B275E2" w14:paraId="65091E5C" w14:textId="77777777" w:rsidTr="00BC4F8C">
        <w:tc>
          <w:tcPr>
            <w:tcW w:w="1701" w:type="dxa"/>
            <w:vMerge/>
          </w:tcPr>
          <w:p w14:paraId="65091E55" w14:textId="77777777" w:rsidR="009312EC" w:rsidRPr="00B275E2" w:rsidRDefault="009312EC" w:rsidP="007F0B1E">
            <w:pPr>
              <w:pStyle w:val="TableText"/>
              <w:spacing w:before="40" w:after="40"/>
              <w:rPr>
                <w:szCs w:val="18"/>
              </w:rPr>
            </w:pPr>
          </w:p>
        </w:tc>
        <w:tc>
          <w:tcPr>
            <w:tcW w:w="1501" w:type="dxa"/>
            <w:noWrap/>
          </w:tcPr>
          <w:p w14:paraId="65091E56" w14:textId="6EB43B4D" w:rsidR="009312EC" w:rsidRPr="00B275E2" w:rsidRDefault="009312EC" w:rsidP="007F0B1E">
            <w:pPr>
              <w:pStyle w:val="TableText"/>
              <w:spacing w:before="40" w:after="40"/>
              <w:rPr>
                <w:szCs w:val="18"/>
              </w:rPr>
            </w:pPr>
            <w:r w:rsidRPr="00B275E2">
              <w:rPr>
                <w:szCs w:val="18"/>
              </w:rPr>
              <w:t>&lt;60 cc, electricity</w:t>
            </w:r>
          </w:p>
        </w:tc>
        <w:tc>
          <w:tcPr>
            <w:tcW w:w="626" w:type="dxa"/>
            <w:noWrap/>
          </w:tcPr>
          <w:p w14:paraId="65091E57" w14:textId="77777777" w:rsidR="009312EC" w:rsidRPr="00B275E2" w:rsidRDefault="009312EC" w:rsidP="007F0B1E">
            <w:pPr>
              <w:pStyle w:val="TableText"/>
              <w:spacing w:before="40" w:after="40"/>
              <w:rPr>
                <w:szCs w:val="18"/>
              </w:rPr>
            </w:pPr>
            <w:r w:rsidRPr="00B275E2">
              <w:rPr>
                <w:szCs w:val="18"/>
              </w:rPr>
              <w:t>km</w:t>
            </w:r>
          </w:p>
        </w:tc>
        <w:tc>
          <w:tcPr>
            <w:tcW w:w="1247" w:type="dxa"/>
            <w:shd w:val="clear" w:color="auto" w:fill="D2DDE1" w:themeFill="background2"/>
            <w:noWrap/>
          </w:tcPr>
          <w:p w14:paraId="65091E58" w14:textId="672961EB" w:rsidR="009312EC" w:rsidRPr="00B275E2" w:rsidRDefault="009312EC" w:rsidP="007F0B1E">
            <w:pPr>
              <w:pStyle w:val="TableText"/>
              <w:spacing w:before="40" w:after="40"/>
              <w:jc w:val="right"/>
              <w:rPr>
                <w:szCs w:val="18"/>
              </w:rPr>
            </w:pPr>
            <w:r w:rsidRPr="00B275E2">
              <w:rPr>
                <w:rFonts w:cs="Calibri"/>
                <w:szCs w:val="18"/>
              </w:rPr>
              <w:t>0.005</w:t>
            </w:r>
          </w:p>
        </w:tc>
        <w:tc>
          <w:tcPr>
            <w:tcW w:w="1087" w:type="dxa"/>
            <w:shd w:val="clear" w:color="auto" w:fill="auto"/>
            <w:noWrap/>
          </w:tcPr>
          <w:p w14:paraId="65091E59" w14:textId="0DD149C0" w:rsidR="009312EC" w:rsidRPr="00B275E2" w:rsidRDefault="009312EC" w:rsidP="007F0B1E">
            <w:pPr>
              <w:pStyle w:val="TableText"/>
              <w:spacing w:before="40" w:after="40"/>
              <w:jc w:val="right"/>
              <w:rPr>
                <w:szCs w:val="18"/>
              </w:rPr>
            </w:pPr>
            <w:r w:rsidRPr="00B275E2">
              <w:rPr>
                <w:rFonts w:cs="Calibri"/>
                <w:szCs w:val="18"/>
              </w:rPr>
              <w:t>0.004</w:t>
            </w:r>
          </w:p>
        </w:tc>
        <w:tc>
          <w:tcPr>
            <w:tcW w:w="1086" w:type="dxa"/>
            <w:shd w:val="clear" w:color="auto" w:fill="auto"/>
            <w:noWrap/>
          </w:tcPr>
          <w:p w14:paraId="65091E5A" w14:textId="774AA699" w:rsidR="009312EC" w:rsidRPr="00B275E2" w:rsidRDefault="009312EC" w:rsidP="007F0B1E">
            <w:pPr>
              <w:pStyle w:val="TableText"/>
              <w:spacing w:before="40" w:after="40"/>
              <w:jc w:val="right"/>
              <w:rPr>
                <w:szCs w:val="18"/>
              </w:rPr>
            </w:pPr>
            <w:r w:rsidRPr="00B275E2">
              <w:rPr>
                <w:rFonts w:cs="Calibri"/>
                <w:szCs w:val="18"/>
              </w:rPr>
              <w:t>0.0002</w:t>
            </w:r>
          </w:p>
        </w:tc>
        <w:tc>
          <w:tcPr>
            <w:tcW w:w="1134" w:type="dxa"/>
            <w:shd w:val="clear" w:color="auto" w:fill="auto"/>
            <w:noWrap/>
          </w:tcPr>
          <w:p w14:paraId="65091E5B" w14:textId="6A6E3856" w:rsidR="009312EC" w:rsidRPr="00B275E2" w:rsidRDefault="009312EC" w:rsidP="007F0B1E">
            <w:pPr>
              <w:pStyle w:val="TableText"/>
              <w:spacing w:before="40" w:after="40"/>
              <w:jc w:val="right"/>
              <w:rPr>
                <w:szCs w:val="18"/>
              </w:rPr>
            </w:pPr>
            <w:r w:rsidRPr="00B275E2">
              <w:rPr>
                <w:rFonts w:cs="Calibri"/>
                <w:szCs w:val="18"/>
              </w:rPr>
              <w:t>0.00001</w:t>
            </w:r>
          </w:p>
        </w:tc>
      </w:tr>
      <w:tr w:rsidR="009312EC" w:rsidRPr="00B275E2" w14:paraId="65091E64" w14:textId="77777777" w:rsidTr="00BC4F8C">
        <w:tc>
          <w:tcPr>
            <w:tcW w:w="1701" w:type="dxa"/>
            <w:vMerge/>
          </w:tcPr>
          <w:p w14:paraId="65091E5D" w14:textId="77777777" w:rsidR="009312EC" w:rsidRPr="00B275E2" w:rsidRDefault="009312EC" w:rsidP="007F0B1E">
            <w:pPr>
              <w:pStyle w:val="TableText"/>
              <w:spacing w:before="40" w:after="40"/>
              <w:rPr>
                <w:szCs w:val="18"/>
              </w:rPr>
            </w:pPr>
          </w:p>
        </w:tc>
        <w:tc>
          <w:tcPr>
            <w:tcW w:w="1501" w:type="dxa"/>
            <w:noWrap/>
          </w:tcPr>
          <w:p w14:paraId="65091E5E" w14:textId="03255613" w:rsidR="009312EC" w:rsidRPr="00B275E2" w:rsidRDefault="009312EC" w:rsidP="007F0B1E">
            <w:pPr>
              <w:pStyle w:val="TableText"/>
              <w:spacing w:before="40" w:after="40"/>
              <w:rPr>
                <w:szCs w:val="18"/>
              </w:rPr>
            </w:pPr>
            <w:r w:rsidRPr="00B275E2">
              <w:rPr>
                <w:szCs w:val="18"/>
              </w:rPr>
              <w:t>≥60 cc, electricity</w:t>
            </w:r>
          </w:p>
        </w:tc>
        <w:tc>
          <w:tcPr>
            <w:tcW w:w="626" w:type="dxa"/>
            <w:noWrap/>
          </w:tcPr>
          <w:p w14:paraId="65091E5F" w14:textId="77777777" w:rsidR="009312EC" w:rsidRPr="00B275E2" w:rsidRDefault="009312EC" w:rsidP="007F0B1E">
            <w:pPr>
              <w:pStyle w:val="TableText"/>
              <w:spacing w:before="40" w:after="40"/>
              <w:rPr>
                <w:szCs w:val="18"/>
              </w:rPr>
            </w:pPr>
            <w:r w:rsidRPr="00B275E2">
              <w:rPr>
                <w:szCs w:val="18"/>
              </w:rPr>
              <w:t>km</w:t>
            </w:r>
          </w:p>
        </w:tc>
        <w:tc>
          <w:tcPr>
            <w:tcW w:w="1247" w:type="dxa"/>
            <w:shd w:val="clear" w:color="auto" w:fill="D2DDE1" w:themeFill="background2"/>
            <w:noWrap/>
          </w:tcPr>
          <w:p w14:paraId="65091E60" w14:textId="00AF51E5" w:rsidR="009312EC" w:rsidRPr="00B275E2" w:rsidRDefault="009312EC" w:rsidP="007F0B1E">
            <w:pPr>
              <w:pStyle w:val="TableText"/>
              <w:spacing w:before="40" w:after="40"/>
              <w:jc w:val="right"/>
              <w:rPr>
                <w:rFonts w:cs="Calibri"/>
                <w:szCs w:val="18"/>
              </w:rPr>
            </w:pPr>
            <w:r w:rsidRPr="00B275E2">
              <w:rPr>
                <w:rFonts w:cs="Calibri"/>
                <w:szCs w:val="18"/>
              </w:rPr>
              <w:t>0.009</w:t>
            </w:r>
          </w:p>
        </w:tc>
        <w:tc>
          <w:tcPr>
            <w:tcW w:w="1087" w:type="dxa"/>
            <w:shd w:val="clear" w:color="auto" w:fill="auto"/>
            <w:noWrap/>
          </w:tcPr>
          <w:p w14:paraId="65091E61" w14:textId="5DC2193B" w:rsidR="009312EC" w:rsidRPr="00B275E2" w:rsidRDefault="009312EC" w:rsidP="007F0B1E">
            <w:pPr>
              <w:pStyle w:val="TableText"/>
              <w:spacing w:before="40" w:after="40"/>
              <w:jc w:val="right"/>
              <w:rPr>
                <w:szCs w:val="18"/>
              </w:rPr>
            </w:pPr>
            <w:r w:rsidRPr="00B275E2">
              <w:rPr>
                <w:rFonts w:cs="Calibri"/>
                <w:szCs w:val="18"/>
              </w:rPr>
              <w:t>0.009</w:t>
            </w:r>
          </w:p>
        </w:tc>
        <w:tc>
          <w:tcPr>
            <w:tcW w:w="1086" w:type="dxa"/>
            <w:shd w:val="clear" w:color="auto" w:fill="auto"/>
            <w:noWrap/>
          </w:tcPr>
          <w:p w14:paraId="65091E62" w14:textId="3EF050DF" w:rsidR="009312EC" w:rsidRPr="00B275E2" w:rsidRDefault="009312EC" w:rsidP="007F0B1E">
            <w:pPr>
              <w:pStyle w:val="TableText"/>
              <w:spacing w:before="40" w:after="40"/>
              <w:jc w:val="right"/>
              <w:rPr>
                <w:szCs w:val="18"/>
              </w:rPr>
            </w:pPr>
            <w:r w:rsidRPr="00B275E2">
              <w:rPr>
                <w:rFonts w:cs="Calibri"/>
                <w:szCs w:val="18"/>
              </w:rPr>
              <w:t>0.0004</w:t>
            </w:r>
          </w:p>
        </w:tc>
        <w:tc>
          <w:tcPr>
            <w:tcW w:w="1134" w:type="dxa"/>
            <w:shd w:val="clear" w:color="auto" w:fill="auto"/>
            <w:noWrap/>
          </w:tcPr>
          <w:p w14:paraId="65091E63" w14:textId="6042F050" w:rsidR="009312EC" w:rsidRPr="00B275E2" w:rsidRDefault="009312EC" w:rsidP="007F0B1E">
            <w:pPr>
              <w:pStyle w:val="TableText"/>
              <w:spacing w:before="40" w:after="40"/>
              <w:jc w:val="right"/>
              <w:rPr>
                <w:szCs w:val="18"/>
              </w:rPr>
            </w:pPr>
            <w:r w:rsidRPr="00B275E2">
              <w:rPr>
                <w:rFonts w:cs="Calibri"/>
                <w:szCs w:val="18"/>
              </w:rPr>
              <w:t>0.00001</w:t>
            </w:r>
          </w:p>
        </w:tc>
      </w:tr>
    </w:tbl>
    <w:p w14:paraId="1DC1920A" w14:textId="77777777" w:rsidR="00822A51" w:rsidRPr="00B275E2" w:rsidRDefault="007C42DD" w:rsidP="007F0B1E">
      <w:pPr>
        <w:pStyle w:val="Note"/>
        <w:spacing w:after="80"/>
      </w:pPr>
      <w:r w:rsidRPr="00B275E2">
        <w:t>Note</w:t>
      </w:r>
      <w:r w:rsidR="001B09A4" w:rsidRPr="00B275E2">
        <w:t>: T</w:t>
      </w:r>
      <w:r w:rsidRPr="00B275E2">
        <w:t xml:space="preserve">hese numbers are rounded to three decimal places unless the number </w:t>
      </w:r>
      <w:r w:rsidR="00BA31FD" w:rsidRPr="00B275E2">
        <w:t>is significantly small</w:t>
      </w:r>
      <w:r w:rsidR="008B3986" w:rsidRPr="00B275E2">
        <w:t>.</w:t>
      </w:r>
      <w:r w:rsidR="00B405B1" w:rsidRPr="00B275E2">
        <w:t xml:space="preserve"> </w:t>
      </w:r>
      <w:bookmarkStart w:id="331" w:name="_Ref532803583"/>
    </w:p>
    <w:p w14:paraId="7562C6D4" w14:textId="6B505E3A" w:rsidR="00822A51" w:rsidRPr="00B275E2" w:rsidRDefault="00822A51" w:rsidP="00F85347">
      <w:pPr>
        <w:pStyle w:val="Tableheading"/>
      </w:pPr>
      <w:bookmarkStart w:id="332" w:name="_Ref55220362"/>
      <w:bookmarkStart w:id="333" w:name="table19"/>
      <w:bookmarkStart w:id="334" w:name="_Ref611492"/>
      <w:bookmarkStart w:id="335" w:name="_Toc111536625"/>
      <w:r w:rsidRPr="00B275E2">
        <w:t xml:space="preserve">Table </w:t>
      </w:r>
      <w:r w:rsidRPr="00B275E2">
        <w:fldChar w:fldCharType="begin"/>
      </w:r>
      <w:r w:rsidRPr="00B275E2">
        <w:instrText>SEQ Table \* ARABIC</w:instrText>
      </w:r>
      <w:r w:rsidRPr="00B275E2">
        <w:fldChar w:fldCharType="separate"/>
      </w:r>
      <w:r w:rsidR="003E141C" w:rsidRPr="00B275E2">
        <w:t>20</w:t>
      </w:r>
      <w:r w:rsidRPr="00B275E2">
        <w:fldChar w:fldCharType="end"/>
      </w:r>
      <w:bookmarkEnd w:id="332"/>
      <w:bookmarkEnd w:id="333"/>
      <w:r w:rsidRPr="00B275E2">
        <w:t>:</w:t>
      </w:r>
      <w:r w:rsidRPr="00B275E2">
        <w:tab/>
        <w:t>Default private car emission factors per km travelled for default age of vehicle</w:t>
      </w:r>
      <w:r w:rsidR="00B06CEA" w:rsidRPr="00B275E2">
        <w:br/>
      </w:r>
      <w:r w:rsidRPr="00B275E2">
        <w:t>and &lt;3000 cc engine size</w:t>
      </w:r>
      <w:bookmarkEnd w:id="334"/>
      <w:bookmarkEnd w:id="335"/>
      <w:r w:rsidRPr="00B275E2">
        <w:t xml:space="preserve"> </w:t>
      </w:r>
    </w:p>
    <w:tbl>
      <w:tblPr>
        <w:tblStyle w:val="LightList-Accent11"/>
        <w:tblW w:w="8505" w:type="dxa"/>
        <w:tblBorders>
          <w:top w:val="single" w:sz="4" w:space="0" w:color="1B556B"/>
          <w:bottom w:val="single" w:sz="4" w:space="0" w:color="1B556B"/>
          <w:insideH w:val="single" w:sz="4" w:space="0" w:color="1B556B"/>
          <w:insideV w:val="single" w:sz="4" w:space="0" w:color="1B556B"/>
        </w:tblBorders>
        <w:tblLayout w:type="fixed"/>
        <w:tblLook w:val="04A0" w:firstRow="1" w:lastRow="0" w:firstColumn="1" w:lastColumn="0" w:noHBand="0" w:noVBand="1"/>
      </w:tblPr>
      <w:tblGrid>
        <w:gridCol w:w="1083"/>
        <w:gridCol w:w="2178"/>
        <w:gridCol w:w="567"/>
        <w:gridCol w:w="1275"/>
        <w:gridCol w:w="1134"/>
        <w:gridCol w:w="1134"/>
        <w:gridCol w:w="1134"/>
      </w:tblGrid>
      <w:tr w:rsidR="00B405B1" w:rsidRPr="00B275E2" w14:paraId="7D2787E1" w14:textId="77777777" w:rsidTr="00F853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61" w:type="dxa"/>
            <w:gridSpan w:val="2"/>
            <w:shd w:val="clear" w:color="auto" w:fill="1B556B"/>
            <w:vAlign w:val="bottom"/>
          </w:tcPr>
          <w:bookmarkEnd w:id="331"/>
          <w:p w14:paraId="5638F31A" w14:textId="7AA442AB" w:rsidR="00B405B1" w:rsidRPr="00B275E2" w:rsidRDefault="00B405B1" w:rsidP="007F0B1E">
            <w:pPr>
              <w:pStyle w:val="Caption"/>
              <w:spacing w:before="40" w:after="40"/>
              <w:jc w:val="left"/>
              <w:rPr>
                <w:b/>
                <w:lang w:val="en-NZ"/>
              </w:rPr>
            </w:pPr>
            <w:r w:rsidRPr="00B275E2">
              <w:rPr>
                <w:b/>
                <w:lang w:val="en-NZ"/>
              </w:rPr>
              <w:t>Emission source</w:t>
            </w:r>
          </w:p>
        </w:tc>
        <w:tc>
          <w:tcPr>
            <w:tcW w:w="567" w:type="dxa"/>
            <w:shd w:val="clear" w:color="auto" w:fill="1B556B"/>
            <w:noWrap/>
            <w:vAlign w:val="bottom"/>
          </w:tcPr>
          <w:p w14:paraId="61D300F6" w14:textId="643500E1" w:rsidR="00B405B1" w:rsidRPr="00B275E2" w:rsidRDefault="00B405B1" w:rsidP="007F0B1E">
            <w:pPr>
              <w:pStyle w:val="Caption"/>
              <w:spacing w:before="40" w:after="40"/>
              <w:jc w:val="left"/>
              <w:cnfStyle w:val="100000000000" w:firstRow="1" w:lastRow="0" w:firstColumn="0" w:lastColumn="0" w:oddVBand="0" w:evenVBand="0" w:oddHBand="0" w:evenHBand="0" w:firstRowFirstColumn="0" w:firstRowLastColumn="0" w:lastRowFirstColumn="0" w:lastRowLastColumn="0"/>
              <w:rPr>
                <w:b/>
                <w:lang w:val="en-NZ"/>
              </w:rPr>
            </w:pPr>
            <w:r w:rsidRPr="00B275E2">
              <w:rPr>
                <w:b/>
                <w:lang w:val="en-NZ"/>
              </w:rPr>
              <w:t>Unit</w:t>
            </w:r>
          </w:p>
        </w:tc>
        <w:tc>
          <w:tcPr>
            <w:tcW w:w="1275" w:type="dxa"/>
            <w:shd w:val="clear" w:color="auto" w:fill="D2DDE1" w:themeFill="background2"/>
            <w:noWrap/>
            <w:vAlign w:val="bottom"/>
          </w:tcPr>
          <w:p w14:paraId="76D8D95F" w14:textId="73C24C5C" w:rsidR="00B405B1" w:rsidRPr="00B275E2" w:rsidRDefault="00B405B1" w:rsidP="00BC4F8C">
            <w:pPr>
              <w:pStyle w:val="Caption"/>
              <w:spacing w:before="40" w:after="40"/>
              <w:jc w:val="right"/>
              <w:cnfStyle w:val="100000000000" w:firstRow="1" w:lastRow="0" w:firstColumn="0" w:lastColumn="0" w:oddVBand="0" w:evenVBand="0" w:oddHBand="0" w:evenHBand="0" w:firstRowFirstColumn="0" w:firstRowLastColumn="0" w:lastRowFirstColumn="0" w:lastRowLastColumn="0"/>
              <w:rPr>
                <w:b/>
                <w:color w:val="auto"/>
                <w:lang w:val="en-NZ"/>
              </w:rPr>
            </w:pPr>
            <w:r w:rsidRPr="00B275E2">
              <w:rPr>
                <w:b/>
                <w:color w:val="auto"/>
                <w:lang w:val="en-NZ"/>
              </w:rPr>
              <w:t>kg CO</w:t>
            </w:r>
            <w:r w:rsidRPr="00B275E2">
              <w:rPr>
                <w:b/>
                <w:color w:val="auto"/>
                <w:vertAlign w:val="subscript"/>
                <w:lang w:val="en-NZ"/>
              </w:rPr>
              <w:t>2</w:t>
            </w:r>
            <w:r w:rsidRPr="00B275E2">
              <w:rPr>
                <w:b/>
                <w:color w:val="auto"/>
                <w:lang w:val="en-NZ"/>
              </w:rPr>
              <w:t>-e/unit</w:t>
            </w:r>
          </w:p>
        </w:tc>
        <w:tc>
          <w:tcPr>
            <w:tcW w:w="1134" w:type="dxa"/>
            <w:shd w:val="clear" w:color="auto" w:fill="1B556B"/>
            <w:noWrap/>
            <w:vAlign w:val="bottom"/>
          </w:tcPr>
          <w:p w14:paraId="781802F3" w14:textId="5F634011" w:rsidR="00CA5747" w:rsidRPr="00B275E2" w:rsidRDefault="00B405B1" w:rsidP="00BC4F8C">
            <w:pPr>
              <w:pStyle w:val="Caption"/>
              <w:spacing w:before="40" w:after="40"/>
              <w:jc w:val="right"/>
              <w:cnfStyle w:val="100000000000" w:firstRow="1" w:lastRow="0" w:firstColumn="0" w:lastColumn="0" w:oddVBand="0" w:evenVBand="0" w:oddHBand="0" w:evenHBand="0" w:firstRowFirstColumn="0" w:firstRowLastColumn="0" w:lastRowFirstColumn="0" w:lastRowLastColumn="0"/>
              <w:rPr>
                <w:b/>
                <w:lang w:val="en-NZ"/>
              </w:rPr>
            </w:pPr>
            <w:r w:rsidRPr="00B275E2">
              <w:rPr>
                <w:b/>
                <w:lang w:val="en-NZ"/>
              </w:rPr>
              <w:t>kg CO</w:t>
            </w:r>
            <w:r w:rsidRPr="00B275E2">
              <w:rPr>
                <w:b/>
                <w:vertAlign w:val="subscript"/>
                <w:lang w:val="en-NZ"/>
              </w:rPr>
              <w:t>2</w:t>
            </w:r>
            <w:r w:rsidR="00AC7B27" w:rsidRPr="00B275E2">
              <w:rPr>
                <w:b/>
                <w:lang w:val="en-NZ"/>
              </w:rPr>
              <w:t>/unit</w:t>
            </w:r>
            <w:r w:rsidR="00B06CEA" w:rsidRPr="00B275E2">
              <w:rPr>
                <w:b/>
                <w:lang w:val="en-NZ"/>
              </w:rPr>
              <w:t xml:space="preserve"> </w:t>
            </w:r>
            <w:r w:rsidR="00141B6F" w:rsidRPr="00B275E2">
              <w:rPr>
                <w:b/>
                <w:lang w:val="en-NZ"/>
              </w:rPr>
              <w:t>(kg CO</w:t>
            </w:r>
            <w:r w:rsidR="00141B6F" w:rsidRPr="00B275E2">
              <w:rPr>
                <w:b/>
                <w:vertAlign w:val="subscript"/>
                <w:lang w:val="en-NZ"/>
              </w:rPr>
              <w:t>2</w:t>
            </w:r>
            <w:r w:rsidR="00141B6F" w:rsidRPr="00B275E2">
              <w:rPr>
                <w:b/>
                <w:lang w:val="en-NZ"/>
              </w:rPr>
              <w:t>-e)</w:t>
            </w:r>
          </w:p>
        </w:tc>
        <w:tc>
          <w:tcPr>
            <w:tcW w:w="1134" w:type="dxa"/>
            <w:shd w:val="clear" w:color="auto" w:fill="1B556B"/>
            <w:noWrap/>
            <w:vAlign w:val="bottom"/>
          </w:tcPr>
          <w:p w14:paraId="4C3624C7" w14:textId="783D97BB" w:rsidR="00B405B1" w:rsidRPr="00B275E2" w:rsidRDefault="00141B6F" w:rsidP="00BC4F8C">
            <w:pPr>
              <w:pStyle w:val="Caption"/>
              <w:spacing w:before="40" w:after="40"/>
              <w:jc w:val="right"/>
              <w:cnfStyle w:val="100000000000" w:firstRow="1" w:lastRow="0" w:firstColumn="0" w:lastColumn="0" w:oddVBand="0" w:evenVBand="0" w:oddHBand="0" w:evenHBand="0" w:firstRowFirstColumn="0" w:firstRowLastColumn="0" w:lastRowFirstColumn="0" w:lastRowLastColumn="0"/>
              <w:rPr>
                <w:b/>
                <w:lang w:val="en-NZ"/>
              </w:rPr>
            </w:pPr>
            <w:r w:rsidRPr="00B275E2">
              <w:rPr>
                <w:b/>
                <w:lang w:val="en-NZ"/>
              </w:rPr>
              <w:t xml:space="preserve">kg </w:t>
            </w:r>
            <w:r w:rsidR="00B405B1" w:rsidRPr="00B275E2">
              <w:rPr>
                <w:b/>
                <w:lang w:val="en-NZ"/>
              </w:rPr>
              <w:t>CH</w:t>
            </w:r>
            <w:r w:rsidR="00B405B1" w:rsidRPr="00B275E2">
              <w:rPr>
                <w:b/>
                <w:vertAlign w:val="subscript"/>
                <w:lang w:val="en-NZ"/>
              </w:rPr>
              <w:t>4</w:t>
            </w:r>
            <w:r w:rsidRPr="00B275E2">
              <w:rPr>
                <w:b/>
                <w:lang w:val="en-NZ"/>
              </w:rPr>
              <w:t>/unit</w:t>
            </w:r>
            <w:r w:rsidR="00B405B1" w:rsidRPr="00B275E2">
              <w:rPr>
                <w:b/>
                <w:lang w:val="en-NZ"/>
              </w:rPr>
              <w:t xml:space="preserve"> </w:t>
            </w:r>
            <w:r w:rsidR="00CA5747" w:rsidRPr="00B275E2">
              <w:rPr>
                <w:b/>
                <w:lang w:val="en-NZ"/>
              </w:rPr>
              <w:t>(kg C</w:t>
            </w:r>
            <w:r w:rsidR="00B405B1" w:rsidRPr="00B275E2">
              <w:rPr>
                <w:b/>
                <w:lang w:val="en-NZ"/>
              </w:rPr>
              <w:t>O</w:t>
            </w:r>
            <w:r w:rsidR="00B405B1" w:rsidRPr="00B275E2">
              <w:rPr>
                <w:b/>
                <w:vertAlign w:val="subscript"/>
                <w:lang w:val="en-NZ"/>
              </w:rPr>
              <w:t>2</w:t>
            </w:r>
            <w:r w:rsidR="00503C5C" w:rsidRPr="00B275E2">
              <w:rPr>
                <w:b/>
                <w:lang w:val="en-NZ"/>
              </w:rPr>
              <w:noBreakHyphen/>
            </w:r>
            <w:r w:rsidR="00B405B1" w:rsidRPr="00B275E2">
              <w:rPr>
                <w:b/>
                <w:lang w:val="en-NZ"/>
              </w:rPr>
              <w:t>e)</w:t>
            </w:r>
          </w:p>
        </w:tc>
        <w:tc>
          <w:tcPr>
            <w:tcW w:w="1134" w:type="dxa"/>
            <w:shd w:val="clear" w:color="auto" w:fill="1B556B"/>
            <w:noWrap/>
            <w:vAlign w:val="bottom"/>
          </w:tcPr>
          <w:p w14:paraId="542DD3EA" w14:textId="534AA93F" w:rsidR="00B405B1" w:rsidRPr="00B275E2" w:rsidRDefault="00141B6F" w:rsidP="00BC4F8C">
            <w:pPr>
              <w:pStyle w:val="Caption"/>
              <w:spacing w:before="40" w:after="40"/>
              <w:jc w:val="right"/>
              <w:cnfStyle w:val="100000000000" w:firstRow="1" w:lastRow="0" w:firstColumn="0" w:lastColumn="0" w:oddVBand="0" w:evenVBand="0" w:oddHBand="0" w:evenHBand="0" w:firstRowFirstColumn="0" w:firstRowLastColumn="0" w:lastRowFirstColumn="0" w:lastRowLastColumn="0"/>
              <w:rPr>
                <w:b/>
                <w:lang w:val="en-NZ"/>
              </w:rPr>
            </w:pPr>
            <w:r w:rsidRPr="00B275E2">
              <w:rPr>
                <w:b/>
                <w:lang w:val="en-NZ"/>
              </w:rPr>
              <w:t xml:space="preserve">kg </w:t>
            </w:r>
            <w:r w:rsidR="00B405B1" w:rsidRPr="00B275E2">
              <w:rPr>
                <w:b/>
                <w:lang w:val="en-NZ"/>
              </w:rPr>
              <w:t>N</w:t>
            </w:r>
            <w:r w:rsidR="00B405B1" w:rsidRPr="00B275E2">
              <w:rPr>
                <w:b/>
                <w:vertAlign w:val="subscript"/>
                <w:lang w:val="en-NZ"/>
              </w:rPr>
              <w:t>2</w:t>
            </w:r>
            <w:r w:rsidR="00B405B1" w:rsidRPr="00B275E2">
              <w:rPr>
                <w:b/>
                <w:lang w:val="en-NZ"/>
              </w:rPr>
              <w:t>O</w:t>
            </w:r>
            <w:r w:rsidRPr="00B275E2">
              <w:rPr>
                <w:b/>
                <w:lang w:val="en-NZ"/>
              </w:rPr>
              <w:t>/unit</w:t>
            </w:r>
            <w:r w:rsidR="00B405B1" w:rsidRPr="00B275E2">
              <w:rPr>
                <w:b/>
                <w:lang w:val="en-NZ"/>
              </w:rPr>
              <w:t xml:space="preserve"> (kg</w:t>
            </w:r>
            <w:r w:rsidR="00B06CEA" w:rsidRPr="00B275E2">
              <w:rPr>
                <w:b/>
                <w:lang w:val="en-NZ"/>
              </w:rPr>
              <w:t> </w:t>
            </w:r>
            <w:r w:rsidR="00B405B1" w:rsidRPr="00B275E2">
              <w:rPr>
                <w:b/>
                <w:lang w:val="en-NZ"/>
              </w:rPr>
              <w:t>CO</w:t>
            </w:r>
            <w:r w:rsidR="00B405B1" w:rsidRPr="00B275E2">
              <w:rPr>
                <w:b/>
                <w:vertAlign w:val="subscript"/>
                <w:lang w:val="en-NZ"/>
              </w:rPr>
              <w:t>2</w:t>
            </w:r>
            <w:r w:rsidR="00503C5C" w:rsidRPr="00B275E2">
              <w:rPr>
                <w:b/>
                <w:lang w:val="en-NZ"/>
              </w:rPr>
              <w:noBreakHyphen/>
            </w:r>
            <w:r w:rsidR="00B405B1" w:rsidRPr="00B275E2">
              <w:rPr>
                <w:b/>
                <w:lang w:val="en-NZ"/>
              </w:rPr>
              <w:t>e)</w:t>
            </w:r>
          </w:p>
        </w:tc>
      </w:tr>
      <w:tr w:rsidR="006874F1" w:rsidRPr="00B275E2" w14:paraId="65091E75" w14:textId="77777777" w:rsidTr="00A826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3" w:type="dxa"/>
            <w:vMerge w:val="restart"/>
            <w:tcBorders>
              <w:left w:val="single" w:sz="4" w:space="0" w:color="FFFFFF" w:themeColor="background1"/>
            </w:tcBorders>
            <w:hideMark/>
          </w:tcPr>
          <w:p w14:paraId="65091E6E" w14:textId="77777777" w:rsidR="002B2F5B" w:rsidRPr="00B275E2" w:rsidRDefault="002B2F5B" w:rsidP="007F0B1E">
            <w:pPr>
              <w:pStyle w:val="TableText"/>
              <w:spacing w:before="40" w:after="40"/>
              <w:rPr>
                <w:b w:val="0"/>
                <w:szCs w:val="18"/>
              </w:rPr>
            </w:pPr>
            <w:r w:rsidRPr="00B275E2">
              <w:rPr>
                <w:b w:val="0"/>
                <w:szCs w:val="18"/>
              </w:rPr>
              <w:t xml:space="preserve">Private car default </w:t>
            </w:r>
          </w:p>
        </w:tc>
        <w:tc>
          <w:tcPr>
            <w:tcW w:w="2178" w:type="dxa"/>
            <w:noWrap/>
          </w:tcPr>
          <w:p w14:paraId="65091E6F" w14:textId="77777777" w:rsidR="002B2F5B" w:rsidRPr="00B275E2" w:rsidRDefault="002B2F5B"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rFonts w:cs="Calibri"/>
                <w:color w:val="000000"/>
                <w:szCs w:val="18"/>
              </w:rPr>
              <w:t>Petrol</w:t>
            </w:r>
          </w:p>
        </w:tc>
        <w:tc>
          <w:tcPr>
            <w:tcW w:w="567" w:type="dxa"/>
            <w:noWrap/>
            <w:hideMark/>
          </w:tcPr>
          <w:p w14:paraId="65091E70" w14:textId="77777777" w:rsidR="002B2F5B" w:rsidRPr="00B275E2" w:rsidRDefault="002B2F5B"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km</w:t>
            </w:r>
          </w:p>
        </w:tc>
        <w:tc>
          <w:tcPr>
            <w:tcW w:w="1275" w:type="dxa"/>
            <w:shd w:val="clear" w:color="auto" w:fill="D2DDE1" w:themeFill="background2"/>
            <w:noWrap/>
          </w:tcPr>
          <w:p w14:paraId="65091E71" w14:textId="48BD7A5C" w:rsidR="002B2F5B" w:rsidRPr="00B275E2" w:rsidRDefault="002B2F5B"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0.265</w:t>
            </w:r>
          </w:p>
        </w:tc>
        <w:tc>
          <w:tcPr>
            <w:tcW w:w="1134" w:type="dxa"/>
            <w:shd w:val="clear" w:color="auto" w:fill="auto"/>
            <w:noWrap/>
          </w:tcPr>
          <w:p w14:paraId="65091E72" w14:textId="6F428C32" w:rsidR="002B2F5B" w:rsidRPr="00B275E2" w:rsidRDefault="002B2F5B"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0.253</w:t>
            </w:r>
          </w:p>
        </w:tc>
        <w:tc>
          <w:tcPr>
            <w:tcW w:w="1134" w:type="dxa"/>
            <w:shd w:val="clear" w:color="auto" w:fill="auto"/>
            <w:noWrap/>
          </w:tcPr>
          <w:p w14:paraId="65091E73" w14:textId="6CFF1857" w:rsidR="002B2F5B" w:rsidRPr="00B275E2" w:rsidRDefault="002B2F5B"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0.003</w:t>
            </w:r>
          </w:p>
        </w:tc>
        <w:tc>
          <w:tcPr>
            <w:tcW w:w="1134" w:type="dxa"/>
            <w:tcBorders>
              <w:right w:val="single" w:sz="4" w:space="0" w:color="FFFFFF" w:themeColor="background1"/>
            </w:tcBorders>
            <w:shd w:val="clear" w:color="auto" w:fill="auto"/>
            <w:noWrap/>
          </w:tcPr>
          <w:p w14:paraId="65091E74" w14:textId="21499BE9" w:rsidR="002B2F5B" w:rsidRPr="00B275E2" w:rsidRDefault="002B2F5B"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0.009</w:t>
            </w:r>
          </w:p>
        </w:tc>
      </w:tr>
      <w:tr w:rsidR="002B2F5B" w:rsidRPr="00B275E2" w14:paraId="65091E7D" w14:textId="77777777" w:rsidTr="00A82690">
        <w:trPr>
          <w:trHeight w:val="300"/>
        </w:trPr>
        <w:tc>
          <w:tcPr>
            <w:cnfStyle w:val="001000000000" w:firstRow="0" w:lastRow="0" w:firstColumn="1" w:lastColumn="0" w:oddVBand="0" w:evenVBand="0" w:oddHBand="0" w:evenHBand="0" w:firstRowFirstColumn="0" w:firstRowLastColumn="0" w:lastRowFirstColumn="0" w:lastRowLastColumn="0"/>
            <w:tcW w:w="1083" w:type="dxa"/>
            <w:vMerge/>
            <w:tcBorders>
              <w:left w:val="single" w:sz="4" w:space="0" w:color="FFFFFF" w:themeColor="background1"/>
            </w:tcBorders>
            <w:hideMark/>
          </w:tcPr>
          <w:p w14:paraId="65091E76" w14:textId="77777777" w:rsidR="002B2F5B" w:rsidRPr="00B275E2" w:rsidRDefault="002B2F5B" w:rsidP="007F0B1E">
            <w:pPr>
              <w:pStyle w:val="TableText"/>
              <w:spacing w:before="40" w:after="40"/>
              <w:rPr>
                <w:szCs w:val="18"/>
              </w:rPr>
            </w:pPr>
          </w:p>
        </w:tc>
        <w:tc>
          <w:tcPr>
            <w:tcW w:w="2178" w:type="dxa"/>
            <w:noWrap/>
          </w:tcPr>
          <w:p w14:paraId="65091E77" w14:textId="77777777" w:rsidR="002B2F5B" w:rsidRPr="00B275E2" w:rsidRDefault="002B2F5B"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rFonts w:cs="Calibri"/>
                <w:color w:val="000000"/>
                <w:szCs w:val="18"/>
              </w:rPr>
              <w:t>Diesel</w:t>
            </w:r>
          </w:p>
        </w:tc>
        <w:tc>
          <w:tcPr>
            <w:tcW w:w="567" w:type="dxa"/>
            <w:noWrap/>
            <w:hideMark/>
          </w:tcPr>
          <w:p w14:paraId="65091E78" w14:textId="77777777" w:rsidR="002B2F5B" w:rsidRPr="00B275E2" w:rsidRDefault="002B2F5B"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km</w:t>
            </w:r>
          </w:p>
        </w:tc>
        <w:tc>
          <w:tcPr>
            <w:tcW w:w="1275" w:type="dxa"/>
            <w:shd w:val="clear" w:color="auto" w:fill="D2DDE1" w:themeFill="background2"/>
            <w:noWrap/>
          </w:tcPr>
          <w:p w14:paraId="65091E79" w14:textId="313E740F" w:rsidR="002B2F5B" w:rsidRPr="00B275E2" w:rsidRDefault="002B2F5B"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0.270</w:t>
            </w:r>
          </w:p>
        </w:tc>
        <w:tc>
          <w:tcPr>
            <w:tcW w:w="1134" w:type="dxa"/>
            <w:shd w:val="clear" w:color="auto" w:fill="auto"/>
            <w:noWrap/>
          </w:tcPr>
          <w:p w14:paraId="65091E7A" w14:textId="7AAA2315" w:rsidR="002B2F5B" w:rsidRPr="00B275E2" w:rsidRDefault="002B2F5B"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0.266</w:t>
            </w:r>
          </w:p>
        </w:tc>
        <w:tc>
          <w:tcPr>
            <w:tcW w:w="1134" w:type="dxa"/>
            <w:shd w:val="clear" w:color="auto" w:fill="auto"/>
            <w:noWrap/>
          </w:tcPr>
          <w:p w14:paraId="65091E7B" w14:textId="5EB54089" w:rsidR="002B2F5B" w:rsidRPr="00B275E2" w:rsidRDefault="002B2F5B"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0.0004</w:t>
            </w:r>
          </w:p>
        </w:tc>
        <w:tc>
          <w:tcPr>
            <w:tcW w:w="1134" w:type="dxa"/>
            <w:tcBorders>
              <w:right w:val="single" w:sz="4" w:space="0" w:color="FFFFFF" w:themeColor="background1"/>
            </w:tcBorders>
            <w:shd w:val="clear" w:color="auto" w:fill="auto"/>
            <w:noWrap/>
          </w:tcPr>
          <w:p w14:paraId="65091E7C" w14:textId="581FA4FF" w:rsidR="002B2F5B" w:rsidRPr="00B275E2" w:rsidRDefault="002B2F5B"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0.004</w:t>
            </w:r>
          </w:p>
        </w:tc>
      </w:tr>
      <w:tr w:rsidR="006874F1" w:rsidRPr="00B275E2" w14:paraId="65091E85" w14:textId="77777777" w:rsidTr="00A826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3" w:type="dxa"/>
            <w:vMerge/>
            <w:tcBorders>
              <w:left w:val="single" w:sz="4" w:space="0" w:color="FFFFFF" w:themeColor="background1"/>
            </w:tcBorders>
            <w:hideMark/>
          </w:tcPr>
          <w:p w14:paraId="65091E7E" w14:textId="77777777" w:rsidR="002B2F5B" w:rsidRPr="00B275E2" w:rsidRDefault="002B2F5B" w:rsidP="007F0B1E">
            <w:pPr>
              <w:pStyle w:val="TableText"/>
              <w:spacing w:before="40" w:after="40"/>
              <w:rPr>
                <w:szCs w:val="18"/>
              </w:rPr>
            </w:pPr>
          </w:p>
        </w:tc>
        <w:tc>
          <w:tcPr>
            <w:tcW w:w="2178" w:type="dxa"/>
            <w:noWrap/>
          </w:tcPr>
          <w:p w14:paraId="65091E7F" w14:textId="77777777" w:rsidR="002B2F5B" w:rsidRPr="00B275E2" w:rsidRDefault="002B2F5B"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rFonts w:cs="Calibri"/>
                <w:color w:val="000000"/>
                <w:szCs w:val="18"/>
              </w:rPr>
              <w:t>Petrol hybrid</w:t>
            </w:r>
          </w:p>
        </w:tc>
        <w:tc>
          <w:tcPr>
            <w:tcW w:w="567" w:type="dxa"/>
            <w:noWrap/>
            <w:hideMark/>
          </w:tcPr>
          <w:p w14:paraId="65091E80" w14:textId="77777777" w:rsidR="002B2F5B" w:rsidRPr="00B275E2" w:rsidRDefault="002B2F5B"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km</w:t>
            </w:r>
          </w:p>
        </w:tc>
        <w:tc>
          <w:tcPr>
            <w:tcW w:w="1275" w:type="dxa"/>
            <w:shd w:val="clear" w:color="auto" w:fill="D2DDE1" w:themeFill="background2"/>
            <w:noWrap/>
          </w:tcPr>
          <w:p w14:paraId="65091E81" w14:textId="7C3C53DD" w:rsidR="002B2F5B" w:rsidRPr="00B275E2" w:rsidRDefault="002B2F5B"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0.201</w:t>
            </w:r>
          </w:p>
        </w:tc>
        <w:tc>
          <w:tcPr>
            <w:tcW w:w="1134" w:type="dxa"/>
            <w:shd w:val="clear" w:color="auto" w:fill="auto"/>
            <w:noWrap/>
          </w:tcPr>
          <w:p w14:paraId="65091E82" w14:textId="56A20B04" w:rsidR="002B2F5B" w:rsidRPr="00B275E2" w:rsidRDefault="002B2F5B"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0.193</w:t>
            </w:r>
          </w:p>
        </w:tc>
        <w:tc>
          <w:tcPr>
            <w:tcW w:w="1134" w:type="dxa"/>
            <w:shd w:val="clear" w:color="auto" w:fill="auto"/>
            <w:noWrap/>
          </w:tcPr>
          <w:p w14:paraId="65091E83" w14:textId="4BF606F1" w:rsidR="002B2F5B" w:rsidRPr="00B275E2" w:rsidRDefault="002B2F5B"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0.002</w:t>
            </w:r>
          </w:p>
        </w:tc>
        <w:tc>
          <w:tcPr>
            <w:tcW w:w="1134" w:type="dxa"/>
            <w:tcBorders>
              <w:right w:val="single" w:sz="4" w:space="0" w:color="FFFFFF" w:themeColor="background1"/>
            </w:tcBorders>
            <w:shd w:val="clear" w:color="auto" w:fill="auto"/>
            <w:noWrap/>
          </w:tcPr>
          <w:p w14:paraId="65091E84" w14:textId="017B9B41" w:rsidR="002B2F5B" w:rsidRPr="00B275E2" w:rsidRDefault="002B2F5B"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0.007</w:t>
            </w:r>
          </w:p>
        </w:tc>
      </w:tr>
      <w:tr w:rsidR="002B2F5B" w:rsidRPr="00B275E2" w14:paraId="65091E8D" w14:textId="77777777" w:rsidTr="00A82690">
        <w:trPr>
          <w:trHeight w:val="300"/>
        </w:trPr>
        <w:tc>
          <w:tcPr>
            <w:cnfStyle w:val="001000000000" w:firstRow="0" w:lastRow="0" w:firstColumn="1" w:lastColumn="0" w:oddVBand="0" w:evenVBand="0" w:oddHBand="0" w:evenHBand="0" w:firstRowFirstColumn="0" w:firstRowLastColumn="0" w:lastRowFirstColumn="0" w:lastRowLastColumn="0"/>
            <w:tcW w:w="1083" w:type="dxa"/>
            <w:vMerge/>
            <w:tcBorders>
              <w:left w:val="single" w:sz="4" w:space="0" w:color="FFFFFF" w:themeColor="background1"/>
            </w:tcBorders>
            <w:hideMark/>
          </w:tcPr>
          <w:p w14:paraId="65091E86" w14:textId="77777777" w:rsidR="002B2F5B" w:rsidRPr="00B275E2" w:rsidRDefault="002B2F5B" w:rsidP="007F0B1E">
            <w:pPr>
              <w:pStyle w:val="TableText"/>
              <w:spacing w:before="40" w:after="40"/>
              <w:rPr>
                <w:szCs w:val="18"/>
              </w:rPr>
            </w:pPr>
          </w:p>
        </w:tc>
        <w:tc>
          <w:tcPr>
            <w:tcW w:w="2178" w:type="dxa"/>
            <w:noWrap/>
          </w:tcPr>
          <w:p w14:paraId="65091E87" w14:textId="77777777" w:rsidR="002B2F5B" w:rsidRPr="00B275E2" w:rsidRDefault="002B2F5B"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rFonts w:cs="Calibri"/>
                <w:color w:val="000000"/>
                <w:szCs w:val="18"/>
              </w:rPr>
              <w:t>Diesel hybrid</w:t>
            </w:r>
          </w:p>
        </w:tc>
        <w:tc>
          <w:tcPr>
            <w:tcW w:w="567" w:type="dxa"/>
            <w:noWrap/>
            <w:hideMark/>
          </w:tcPr>
          <w:p w14:paraId="65091E88" w14:textId="77777777" w:rsidR="002B2F5B" w:rsidRPr="00B275E2" w:rsidRDefault="002B2F5B"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km</w:t>
            </w:r>
          </w:p>
        </w:tc>
        <w:tc>
          <w:tcPr>
            <w:tcW w:w="1275" w:type="dxa"/>
            <w:shd w:val="clear" w:color="auto" w:fill="D2DDE1" w:themeFill="background2"/>
            <w:noWrap/>
          </w:tcPr>
          <w:p w14:paraId="65091E89" w14:textId="56BE2C6F" w:rsidR="002B2F5B" w:rsidRPr="00B275E2" w:rsidRDefault="002B2F5B"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0.242</w:t>
            </w:r>
          </w:p>
        </w:tc>
        <w:tc>
          <w:tcPr>
            <w:tcW w:w="1134" w:type="dxa"/>
            <w:shd w:val="clear" w:color="auto" w:fill="auto"/>
            <w:noWrap/>
          </w:tcPr>
          <w:p w14:paraId="65091E8A" w14:textId="2C9022D3" w:rsidR="002B2F5B" w:rsidRPr="00B275E2" w:rsidRDefault="002B2F5B"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0.238</w:t>
            </w:r>
          </w:p>
        </w:tc>
        <w:tc>
          <w:tcPr>
            <w:tcW w:w="1134" w:type="dxa"/>
            <w:shd w:val="clear" w:color="auto" w:fill="auto"/>
            <w:noWrap/>
          </w:tcPr>
          <w:p w14:paraId="65091E8B" w14:textId="581140CE" w:rsidR="002B2F5B" w:rsidRPr="00B275E2" w:rsidRDefault="002B2F5B"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0.0003</w:t>
            </w:r>
          </w:p>
        </w:tc>
        <w:tc>
          <w:tcPr>
            <w:tcW w:w="1134" w:type="dxa"/>
            <w:tcBorders>
              <w:right w:val="single" w:sz="4" w:space="0" w:color="FFFFFF" w:themeColor="background1"/>
            </w:tcBorders>
            <w:shd w:val="clear" w:color="auto" w:fill="auto"/>
            <w:noWrap/>
          </w:tcPr>
          <w:p w14:paraId="65091E8C" w14:textId="1DA1A2CB" w:rsidR="002B2F5B" w:rsidRPr="00B275E2" w:rsidRDefault="002B2F5B"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0.004</w:t>
            </w:r>
          </w:p>
        </w:tc>
      </w:tr>
      <w:tr w:rsidR="006874F1" w:rsidRPr="00B275E2" w14:paraId="65091E95" w14:textId="77777777" w:rsidTr="00A826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3" w:type="dxa"/>
            <w:vMerge/>
            <w:tcBorders>
              <w:left w:val="single" w:sz="4" w:space="0" w:color="FFFFFF" w:themeColor="background1"/>
            </w:tcBorders>
            <w:hideMark/>
          </w:tcPr>
          <w:p w14:paraId="65091E8E" w14:textId="77777777" w:rsidR="002B2F5B" w:rsidRPr="00B275E2" w:rsidRDefault="002B2F5B" w:rsidP="007F0B1E">
            <w:pPr>
              <w:pStyle w:val="TableText"/>
              <w:spacing w:before="40" w:after="40"/>
              <w:rPr>
                <w:szCs w:val="18"/>
              </w:rPr>
            </w:pPr>
          </w:p>
        </w:tc>
        <w:tc>
          <w:tcPr>
            <w:tcW w:w="2178" w:type="dxa"/>
            <w:shd w:val="clear" w:color="auto" w:fill="auto"/>
            <w:noWrap/>
          </w:tcPr>
          <w:p w14:paraId="65091E8F" w14:textId="2F0940FB" w:rsidR="002B2F5B" w:rsidRPr="00B275E2" w:rsidRDefault="002B2F5B"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rFonts w:cs="Calibri"/>
                <w:color w:val="000000"/>
                <w:szCs w:val="18"/>
              </w:rPr>
              <w:t>Petrol plug-in hybrid (petrol consumption)</w:t>
            </w:r>
          </w:p>
        </w:tc>
        <w:tc>
          <w:tcPr>
            <w:tcW w:w="567" w:type="dxa"/>
            <w:noWrap/>
            <w:hideMark/>
          </w:tcPr>
          <w:p w14:paraId="65091E90" w14:textId="77777777" w:rsidR="002B2F5B" w:rsidRPr="00B275E2" w:rsidRDefault="002B2F5B"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km</w:t>
            </w:r>
          </w:p>
        </w:tc>
        <w:tc>
          <w:tcPr>
            <w:tcW w:w="1275" w:type="dxa"/>
            <w:shd w:val="clear" w:color="auto" w:fill="D2DDE1" w:themeFill="background2"/>
            <w:noWrap/>
          </w:tcPr>
          <w:p w14:paraId="65091E91" w14:textId="56F89016" w:rsidR="002B2F5B" w:rsidRPr="00B275E2" w:rsidRDefault="002B2F5B"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0.096</w:t>
            </w:r>
          </w:p>
        </w:tc>
        <w:tc>
          <w:tcPr>
            <w:tcW w:w="1134" w:type="dxa"/>
            <w:shd w:val="clear" w:color="auto" w:fill="auto"/>
            <w:noWrap/>
          </w:tcPr>
          <w:p w14:paraId="65091E92" w14:textId="1082C3BF" w:rsidR="002B2F5B" w:rsidRPr="00B275E2" w:rsidRDefault="002B2F5B"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0.092</w:t>
            </w:r>
          </w:p>
        </w:tc>
        <w:tc>
          <w:tcPr>
            <w:tcW w:w="1134" w:type="dxa"/>
            <w:shd w:val="clear" w:color="auto" w:fill="auto"/>
            <w:noWrap/>
          </w:tcPr>
          <w:p w14:paraId="65091E93" w14:textId="175B27D7" w:rsidR="002B2F5B" w:rsidRPr="00B275E2" w:rsidRDefault="002B2F5B"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0.001</w:t>
            </w:r>
          </w:p>
        </w:tc>
        <w:tc>
          <w:tcPr>
            <w:tcW w:w="1134" w:type="dxa"/>
            <w:tcBorders>
              <w:right w:val="single" w:sz="4" w:space="0" w:color="FFFFFF" w:themeColor="background1"/>
            </w:tcBorders>
            <w:shd w:val="clear" w:color="auto" w:fill="auto"/>
            <w:noWrap/>
          </w:tcPr>
          <w:p w14:paraId="65091E94" w14:textId="648FF750" w:rsidR="002B2F5B" w:rsidRPr="00B275E2" w:rsidRDefault="002B2F5B"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0.003</w:t>
            </w:r>
          </w:p>
        </w:tc>
      </w:tr>
      <w:tr w:rsidR="002B2F5B" w:rsidRPr="00B275E2" w14:paraId="2C2466C1" w14:textId="77777777" w:rsidTr="00A82690">
        <w:trPr>
          <w:trHeight w:val="300"/>
        </w:trPr>
        <w:tc>
          <w:tcPr>
            <w:cnfStyle w:val="001000000000" w:firstRow="0" w:lastRow="0" w:firstColumn="1" w:lastColumn="0" w:oddVBand="0" w:evenVBand="0" w:oddHBand="0" w:evenHBand="0" w:firstRowFirstColumn="0" w:firstRowLastColumn="0" w:lastRowFirstColumn="0" w:lastRowLastColumn="0"/>
            <w:tcW w:w="1083" w:type="dxa"/>
            <w:vMerge/>
            <w:tcBorders>
              <w:left w:val="single" w:sz="4" w:space="0" w:color="FFFFFF" w:themeColor="background1"/>
            </w:tcBorders>
          </w:tcPr>
          <w:p w14:paraId="1A39230D" w14:textId="77777777" w:rsidR="002B2F5B" w:rsidRPr="00B275E2" w:rsidRDefault="002B2F5B" w:rsidP="007F0B1E">
            <w:pPr>
              <w:pStyle w:val="TableText"/>
              <w:spacing w:before="40" w:after="40"/>
              <w:rPr>
                <w:szCs w:val="18"/>
              </w:rPr>
            </w:pPr>
          </w:p>
        </w:tc>
        <w:tc>
          <w:tcPr>
            <w:tcW w:w="2178" w:type="dxa"/>
            <w:shd w:val="clear" w:color="auto" w:fill="auto"/>
            <w:noWrap/>
          </w:tcPr>
          <w:p w14:paraId="1D026D63" w14:textId="4F5DF443" w:rsidR="002B2F5B" w:rsidRPr="00B275E2" w:rsidRDefault="002B2F5B"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color w:val="000000"/>
                <w:szCs w:val="18"/>
              </w:rPr>
            </w:pPr>
            <w:r w:rsidRPr="00B275E2">
              <w:rPr>
                <w:rFonts w:cs="Calibri"/>
                <w:color w:val="000000"/>
                <w:szCs w:val="18"/>
              </w:rPr>
              <w:t>Petrol plug-in hybrid (electricity consumption)</w:t>
            </w:r>
          </w:p>
        </w:tc>
        <w:tc>
          <w:tcPr>
            <w:tcW w:w="567" w:type="dxa"/>
            <w:noWrap/>
          </w:tcPr>
          <w:p w14:paraId="012B2345" w14:textId="32BB86BE" w:rsidR="002B2F5B" w:rsidRPr="00B275E2" w:rsidRDefault="002B2F5B"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km</w:t>
            </w:r>
          </w:p>
        </w:tc>
        <w:tc>
          <w:tcPr>
            <w:tcW w:w="1275" w:type="dxa"/>
            <w:shd w:val="clear" w:color="auto" w:fill="D2DDE1" w:themeFill="background2"/>
            <w:noWrap/>
          </w:tcPr>
          <w:p w14:paraId="6EF4B94C" w14:textId="2A90DA43" w:rsidR="002B2F5B" w:rsidRPr="00B275E2" w:rsidRDefault="002B2F5B"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0.012</w:t>
            </w:r>
          </w:p>
        </w:tc>
        <w:tc>
          <w:tcPr>
            <w:tcW w:w="1134" w:type="dxa"/>
            <w:shd w:val="clear" w:color="auto" w:fill="auto"/>
            <w:noWrap/>
          </w:tcPr>
          <w:p w14:paraId="3D759165" w14:textId="5B3A47C3" w:rsidR="002B2F5B" w:rsidRPr="00B275E2" w:rsidRDefault="002B2F5B"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0.012</w:t>
            </w:r>
          </w:p>
        </w:tc>
        <w:tc>
          <w:tcPr>
            <w:tcW w:w="1134" w:type="dxa"/>
            <w:shd w:val="clear" w:color="auto" w:fill="auto"/>
            <w:noWrap/>
          </w:tcPr>
          <w:p w14:paraId="6257AD93" w14:textId="5C8F5C9C" w:rsidR="002B2F5B" w:rsidRPr="00B275E2" w:rsidRDefault="002B2F5B"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0.000</w:t>
            </w:r>
          </w:p>
        </w:tc>
        <w:tc>
          <w:tcPr>
            <w:tcW w:w="1134" w:type="dxa"/>
            <w:tcBorders>
              <w:right w:val="single" w:sz="4" w:space="0" w:color="FFFFFF" w:themeColor="background1"/>
            </w:tcBorders>
            <w:shd w:val="clear" w:color="auto" w:fill="auto"/>
            <w:noWrap/>
          </w:tcPr>
          <w:p w14:paraId="58AAD118" w14:textId="7FB9DD40" w:rsidR="002B2F5B" w:rsidRPr="00B275E2" w:rsidRDefault="002B2F5B"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0.00002</w:t>
            </w:r>
          </w:p>
        </w:tc>
      </w:tr>
      <w:tr w:rsidR="006874F1" w:rsidRPr="00B275E2" w14:paraId="65091E9D" w14:textId="77777777" w:rsidTr="00A826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3" w:type="dxa"/>
            <w:vMerge/>
            <w:tcBorders>
              <w:left w:val="single" w:sz="4" w:space="0" w:color="FFFFFF" w:themeColor="background1"/>
            </w:tcBorders>
          </w:tcPr>
          <w:p w14:paraId="65091E96" w14:textId="77777777" w:rsidR="002B2F5B" w:rsidRPr="00B275E2" w:rsidRDefault="002B2F5B" w:rsidP="007F0B1E">
            <w:pPr>
              <w:pStyle w:val="TableText"/>
              <w:spacing w:before="40" w:after="40"/>
              <w:rPr>
                <w:szCs w:val="18"/>
              </w:rPr>
            </w:pPr>
          </w:p>
        </w:tc>
        <w:tc>
          <w:tcPr>
            <w:tcW w:w="2178" w:type="dxa"/>
            <w:shd w:val="clear" w:color="auto" w:fill="auto"/>
            <w:noWrap/>
          </w:tcPr>
          <w:p w14:paraId="65091E97" w14:textId="54AD2773" w:rsidR="002B2F5B" w:rsidRPr="00B275E2" w:rsidRDefault="002B2F5B"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rFonts w:cs="Calibri"/>
                <w:color w:val="000000"/>
                <w:szCs w:val="18"/>
              </w:rPr>
              <w:t>Diesel plug-in hybrid (diesel consumption)</w:t>
            </w:r>
          </w:p>
        </w:tc>
        <w:tc>
          <w:tcPr>
            <w:tcW w:w="567" w:type="dxa"/>
            <w:noWrap/>
          </w:tcPr>
          <w:p w14:paraId="65091E98" w14:textId="77777777" w:rsidR="002B2F5B" w:rsidRPr="00B275E2" w:rsidRDefault="002B2F5B"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km</w:t>
            </w:r>
          </w:p>
        </w:tc>
        <w:tc>
          <w:tcPr>
            <w:tcW w:w="1275" w:type="dxa"/>
            <w:shd w:val="clear" w:color="auto" w:fill="D2DDE1" w:themeFill="background2"/>
            <w:noWrap/>
          </w:tcPr>
          <w:p w14:paraId="65091E99" w14:textId="2EDDA186" w:rsidR="002B2F5B" w:rsidRPr="00B275E2" w:rsidRDefault="002B2F5B"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0.116</w:t>
            </w:r>
          </w:p>
        </w:tc>
        <w:tc>
          <w:tcPr>
            <w:tcW w:w="1134" w:type="dxa"/>
            <w:shd w:val="clear" w:color="auto" w:fill="auto"/>
            <w:noWrap/>
          </w:tcPr>
          <w:p w14:paraId="65091E9A" w14:textId="62C1D0B4" w:rsidR="002B2F5B" w:rsidRPr="00B275E2" w:rsidRDefault="002B2F5B"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0.114</w:t>
            </w:r>
          </w:p>
        </w:tc>
        <w:tc>
          <w:tcPr>
            <w:tcW w:w="1134" w:type="dxa"/>
            <w:shd w:val="clear" w:color="auto" w:fill="auto"/>
            <w:noWrap/>
          </w:tcPr>
          <w:p w14:paraId="65091E9B" w14:textId="36A9516B" w:rsidR="002B2F5B" w:rsidRPr="00B275E2" w:rsidRDefault="002B2F5B"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0.0002</w:t>
            </w:r>
          </w:p>
        </w:tc>
        <w:tc>
          <w:tcPr>
            <w:tcW w:w="1134" w:type="dxa"/>
            <w:tcBorders>
              <w:right w:val="single" w:sz="4" w:space="0" w:color="FFFFFF" w:themeColor="background1"/>
            </w:tcBorders>
            <w:shd w:val="clear" w:color="auto" w:fill="auto"/>
            <w:noWrap/>
          </w:tcPr>
          <w:p w14:paraId="65091E9C" w14:textId="1A235CF4" w:rsidR="002B2F5B" w:rsidRPr="00B275E2" w:rsidRDefault="002B2F5B"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0.002</w:t>
            </w:r>
          </w:p>
        </w:tc>
      </w:tr>
      <w:tr w:rsidR="002B2F5B" w:rsidRPr="00B275E2" w14:paraId="18570487" w14:textId="77777777" w:rsidTr="00A82690">
        <w:trPr>
          <w:trHeight w:val="300"/>
        </w:trPr>
        <w:tc>
          <w:tcPr>
            <w:cnfStyle w:val="001000000000" w:firstRow="0" w:lastRow="0" w:firstColumn="1" w:lastColumn="0" w:oddVBand="0" w:evenVBand="0" w:oddHBand="0" w:evenHBand="0" w:firstRowFirstColumn="0" w:firstRowLastColumn="0" w:lastRowFirstColumn="0" w:lastRowLastColumn="0"/>
            <w:tcW w:w="1083" w:type="dxa"/>
            <w:vMerge/>
            <w:tcBorders>
              <w:left w:val="single" w:sz="4" w:space="0" w:color="FFFFFF" w:themeColor="background1"/>
            </w:tcBorders>
          </w:tcPr>
          <w:p w14:paraId="0CB0EC0B" w14:textId="77777777" w:rsidR="002B2F5B" w:rsidRPr="00B275E2" w:rsidRDefault="002B2F5B" w:rsidP="007F0B1E">
            <w:pPr>
              <w:pStyle w:val="TableText"/>
              <w:spacing w:before="40" w:after="40"/>
              <w:rPr>
                <w:szCs w:val="18"/>
              </w:rPr>
            </w:pPr>
          </w:p>
        </w:tc>
        <w:tc>
          <w:tcPr>
            <w:tcW w:w="2178" w:type="dxa"/>
            <w:shd w:val="clear" w:color="auto" w:fill="auto"/>
            <w:noWrap/>
          </w:tcPr>
          <w:p w14:paraId="7A5C1EE9" w14:textId="3C1A2EA0" w:rsidR="002B2F5B" w:rsidRPr="00B275E2" w:rsidRDefault="002B2F5B"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color w:val="000000"/>
                <w:szCs w:val="18"/>
              </w:rPr>
            </w:pPr>
            <w:r w:rsidRPr="00B275E2">
              <w:rPr>
                <w:rFonts w:cs="Calibri"/>
                <w:color w:val="000000"/>
                <w:szCs w:val="18"/>
              </w:rPr>
              <w:t>Diesel plug-in hybrid (electricity consumption)</w:t>
            </w:r>
          </w:p>
        </w:tc>
        <w:tc>
          <w:tcPr>
            <w:tcW w:w="567" w:type="dxa"/>
            <w:noWrap/>
          </w:tcPr>
          <w:p w14:paraId="3B1AC456" w14:textId="64278FEF" w:rsidR="002B2F5B" w:rsidRPr="00B275E2" w:rsidRDefault="002B2F5B"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km</w:t>
            </w:r>
          </w:p>
        </w:tc>
        <w:tc>
          <w:tcPr>
            <w:tcW w:w="1275" w:type="dxa"/>
            <w:shd w:val="clear" w:color="auto" w:fill="D2DDE1" w:themeFill="background2"/>
            <w:noWrap/>
          </w:tcPr>
          <w:p w14:paraId="0CEADC1B" w14:textId="13957FDB" w:rsidR="002B2F5B" w:rsidRPr="00B275E2" w:rsidRDefault="002B2F5B"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0.012</w:t>
            </w:r>
          </w:p>
        </w:tc>
        <w:tc>
          <w:tcPr>
            <w:tcW w:w="1134" w:type="dxa"/>
            <w:shd w:val="clear" w:color="auto" w:fill="auto"/>
            <w:noWrap/>
          </w:tcPr>
          <w:p w14:paraId="290AA884" w14:textId="3B625F7D" w:rsidR="002B2F5B" w:rsidRPr="00B275E2" w:rsidRDefault="002B2F5B"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0.012</w:t>
            </w:r>
          </w:p>
        </w:tc>
        <w:tc>
          <w:tcPr>
            <w:tcW w:w="1134" w:type="dxa"/>
            <w:shd w:val="clear" w:color="auto" w:fill="auto"/>
            <w:noWrap/>
          </w:tcPr>
          <w:p w14:paraId="18EF85FB" w14:textId="43A6281C" w:rsidR="002B2F5B" w:rsidRPr="00B275E2" w:rsidRDefault="002B2F5B"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0.000</w:t>
            </w:r>
          </w:p>
        </w:tc>
        <w:tc>
          <w:tcPr>
            <w:tcW w:w="1134" w:type="dxa"/>
            <w:tcBorders>
              <w:right w:val="single" w:sz="4" w:space="0" w:color="FFFFFF" w:themeColor="background1"/>
            </w:tcBorders>
            <w:shd w:val="clear" w:color="auto" w:fill="auto"/>
            <w:noWrap/>
          </w:tcPr>
          <w:p w14:paraId="37F3A03D" w14:textId="165AC76A" w:rsidR="002B2F5B" w:rsidRPr="00B275E2" w:rsidRDefault="002B2F5B"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0.00002</w:t>
            </w:r>
          </w:p>
        </w:tc>
      </w:tr>
      <w:tr w:rsidR="006874F1" w:rsidRPr="00B275E2" w14:paraId="65091EA5" w14:textId="77777777" w:rsidTr="00A826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3" w:type="dxa"/>
            <w:vMerge/>
            <w:tcBorders>
              <w:left w:val="single" w:sz="4" w:space="0" w:color="FFFFFF" w:themeColor="background1"/>
            </w:tcBorders>
          </w:tcPr>
          <w:p w14:paraId="65091E9E" w14:textId="77777777" w:rsidR="002B2F5B" w:rsidRPr="00B275E2" w:rsidRDefault="002B2F5B" w:rsidP="007F0B1E">
            <w:pPr>
              <w:pStyle w:val="TableText"/>
              <w:spacing w:before="40" w:after="40"/>
              <w:rPr>
                <w:szCs w:val="18"/>
              </w:rPr>
            </w:pPr>
          </w:p>
        </w:tc>
        <w:tc>
          <w:tcPr>
            <w:tcW w:w="2178" w:type="dxa"/>
            <w:noWrap/>
          </w:tcPr>
          <w:p w14:paraId="65091E9F" w14:textId="77777777" w:rsidR="002B2F5B" w:rsidRPr="00B275E2" w:rsidRDefault="002B2F5B"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rFonts w:cs="Calibri"/>
                <w:color w:val="000000"/>
                <w:szCs w:val="18"/>
              </w:rPr>
              <w:t>Electric</w:t>
            </w:r>
          </w:p>
        </w:tc>
        <w:tc>
          <w:tcPr>
            <w:tcW w:w="567" w:type="dxa"/>
            <w:noWrap/>
          </w:tcPr>
          <w:p w14:paraId="65091EA0" w14:textId="77777777" w:rsidR="002B2F5B" w:rsidRPr="00B275E2" w:rsidRDefault="002B2F5B"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km</w:t>
            </w:r>
          </w:p>
        </w:tc>
        <w:tc>
          <w:tcPr>
            <w:tcW w:w="1275" w:type="dxa"/>
            <w:shd w:val="clear" w:color="auto" w:fill="D2DDE1" w:themeFill="background2"/>
            <w:noWrap/>
          </w:tcPr>
          <w:p w14:paraId="65091EA1" w14:textId="4076379A" w:rsidR="002B2F5B" w:rsidRPr="00B275E2" w:rsidRDefault="002B2F5B"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0.026</w:t>
            </w:r>
          </w:p>
        </w:tc>
        <w:tc>
          <w:tcPr>
            <w:tcW w:w="1134" w:type="dxa"/>
            <w:shd w:val="clear" w:color="auto" w:fill="auto"/>
            <w:noWrap/>
          </w:tcPr>
          <w:p w14:paraId="65091EA2" w14:textId="3B0E3EF5" w:rsidR="002B2F5B" w:rsidRPr="00B275E2" w:rsidRDefault="002B2F5B"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0.025</w:t>
            </w:r>
          </w:p>
        </w:tc>
        <w:tc>
          <w:tcPr>
            <w:tcW w:w="1134" w:type="dxa"/>
            <w:shd w:val="clear" w:color="auto" w:fill="auto"/>
            <w:noWrap/>
          </w:tcPr>
          <w:p w14:paraId="65091EA3" w14:textId="794727E0" w:rsidR="002B2F5B" w:rsidRPr="00B275E2" w:rsidRDefault="002B2F5B"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0.001</w:t>
            </w:r>
          </w:p>
        </w:tc>
        <w:tc>
          <w:tcPr>
            <w:tcW w:w="1134" w:type="dxa"/>
            <w:tcBorders>
              <w:right w:val="single" w:sz="4" w:space="0" w:color="FFFFFF" w:themeColor="background1"/>
            </w:tcBorders>
            <w:shd w:val="clear" w:color="auto" w:fill="auto"/>
            <w:noWrap/>
          </w:tcPr>
          <w:p w14:paraId="65091EA4" w14:textId="3A96159E" w:rsidR="002B2F5B" w:rsidRPr="00B275E2" w:rsidRDefault="002B2F5B"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0.00004</w:t>
            </w:r>
          </w:p>
        </w:tc>
      </w:tr>
    </w:tbl>
    <w:p w14:paraId="2B7CB93B" w14:textId="7CE37F6E" w:rsidR="00CA2382" w:rsidRPr="00B275E2" w:rsidRDefault="007C42DD" w:rsidP="007F0B1E">
      <w:pPr>
        <w:pStyle w:val="Note"/>
        <w:spacing w:after="60"/>
      </w:pPr>
      <w:r w:rsidRPr="00B275E2">
        <w:t>Note</w:t>
      </w:r>
      <w:r w:rsidR="00CA2382" w:rsidRPr="00B275E2">
        <w:t>s</w:t>
      </w:r>
      <w:r w:rsidR="00553680" w:rsidRPr="00B275E2">
        <w:t>:</w:t>
      </w:r>
      <w:r w:rsidRPr="00B275E2">
        <w:t xml:space="preserve"> </w:t>
      </w:r>
    </w:p>
    <w:p w14:paraId="71A87F5A" w14:textId="7484F375" w:rsidR="00D12ED1" w:rsidRPr="00B275E2" w:rsidRDefault="00553680" w:rsidP="00C24B73">
      <w:pPr>
        <w:pStyle w:val="Note"/>
        <w:numPr>
          <w:ilvl w:val="0"/>
          <w:numId w:val="37"/>
        </w:numPr>
        <w:spacing w:before="0" w:after="60"/>
        <w:ind w:left="284" w:hanging="284"/>
      </w:pPr>
      <w:r w:rsidRPr="00B275E2">
        <w:t xml:space="preserve">These </w:t>
      </w:r>
      <w:r w:rsidR="007C42DD" w:rsidRPr="00B275E2">
        <w:t xml:space="preserve">numbers are rounded to three decimal places unless the number </w:t>
      </w:r>
      <w:r w:rsidR="00BA31FD" w:rsidRPr="00B275E2">
        <w:t>is significantly small</w:t>
      </w:r>
      <w:r w:rsidR="008B3986" w:rsidRPr="00B275E2">
        <w:t xml:space="preserve">. </w:t>
      </w:r>
    </w:p>
    <w:p w14:paraId="5381DDCB" w14:textId="35CAC618" w:rsidR="0081014F" w:rsidRPr="00B275E2" w:rsidRDefault="3428FDEE" w:rsidP="00C24B73">
      <w:pPr>
        <w:pStyle w:val="Note"/>
        <w:numPr>
          <w:ilvl w:val="0"/>
          <w:numId w:val="37"/>
        </w:numPr>
        <w:spacing w:before="0" w:after="0"/>
        <w:ind w:left="284" w:hanging="284"/>
      </w:pPr>
      <w:r>
        <w:t>Defaults are based on the average ag</w:t>
      </w:r>
      <w:r w:rsidR="25B4DAD1">
        <w:t>e of the vehicle fleet (</w:t>
      </w:r>
      <w:r w:rsidR="046FCBA5">
        <w:t>pre-2010</w:t>
      </w:r>
      <w:r w:rsidR="25B4DAD1">
        <w:t xml:space="preserve"> for petrol and diesel</w:t>
      </w:r>
      <w:r w:rsidR="486EB217">
        <w:t xml:space="preserve"> including hybrids</w:t>
      </w:r>
      <w:r w:rsidR="25B4DAD1">
        <w:t>, and</w:t>
      </w:r>
      <w:r w:rsidR="5DC785A1">
        <w:t> </w:t>
      </w:r>
      <w:r w:rsidR="25B4DAD1">
        <w:t xml:space="preserve">2010–2015 for all </w:t>
      </w:r>
      <w:r w:rsidR="016C7A9C">
        <w:t>plug-in</w:t>
      </w:r>
      <w:r w:rsidR="7B2F1386">
        <w:t xml:space="preserve"> </w:t>
      </w:r>
      <w:r w:rsidR="25B4DAD1">
        <w:t>cars)</w:t>
      </w:r>
      <w:r w:rsidR="6A6ACBD2">
        <w:t xml:space="preserve"> and most common engine size (2000</w:t>
      </w:r>
      <w:r w:rsidR="046FCBA5">
        <w:t>–</w:t>
      </w:r>
      <w:r>
        <w:t>30</w:t>
      </w:r>
      <w:r w:rsidR="06990110">
        <w:t>0</w:t>
      </w:r>
      <w:r>
        <w:t>0</w:t>
      </w:r>
      <w:r w:rsidR="382FB897">
        <w:t xml:space="preserve"> </w:t>
      </w:r>
      <w:r>
        <w:t>cc)</w:t>
      </w:r>
      <w:r w:rsidR="382FB897">
        <w:t>. S</w:t>
      </w:r>
      <w:r w:rsidR="384BBF8A">
        <w:t>ource: MoT</w:t>
      </w:r>
    </w:p>
    <w:p w14:paraId="65091EA7" w14:textId="04DA5870" w:rsidR="001D1CD6" w:rsidRPr="00B275E2" w:rsidRDefault="004837A7" w:rsidP="002B5430">
      <w:pPr>
        <w:pStyle w:val="Tableheading"/>
      </w:pPr>
      <w:bookmarkStart w:id="336" w:name="_Ref55220372"/>
      <w:bookmarkStart w:id="337" w:name="table20"/>
      <w:bookmarkStart w:id="338" w:name="_Ref529835677"/>
      <w:bookmarkStart w:id="339" w:name="_Toc111536626"/>
      <w:r w:rsidRPr="00B275E2">
        <w:lastRenderedPageBreak/>
        <w:t xml:space="preserve">Table </w:t>
      </w:r>
      <w:r w:rsidRPr="00B275E2">
        <w:fldChar w:fldCharType="begin"/>
      </w:r>
      <w:r w:rsidRPr="00B275E2">
        <w:instrText>SEQ Table \* ARABIC</w:instrText>
      </w:r>
      <w:r w:rsidRPr="00B275E2">
        <w:fldChar w:fldCharType="separate"/>
      </w:r>
      <w:r w:rsidR="003E141C" w:rsidRPr="00B275E2">
        <w:t>21</w:t>
      </w:r>
      <w:r w:rsidRPr="00B275E2">
        <w:fldChar w:fldCharType="end"/>
      </w:r>
      <w:bookmarkEnd w:id="336"/>
      <w:bookmarkEnd w:id="337"/>
      <w:r w:rsidRPr="00B275E2">
        <w:t>:</w:t>
      </w:r>
      <w:r w:rsidR="00B86FAD" w:rsidRPr="00B275E2">
        <w:tab/>
      </w:r>
      <w:r w:rsidRPr="00B275E2">
        <w:t xml:space="preserve">Default rental car emission factors per km </w:t>
      </w:r>
      <w:bookmarkEnd w:id="338"/>
      <w:r w:rsidR="001D1CD6" w:rsidRPr="00B275E2" w:rsidDel="004837A7">
        <w:t>travelled</w:t>
      </w:r>
      <w:bookmarkEnd w:id="339"/>
    </w:p>
    <w:tbl>
      <w:tblPr>
        <w:tblStyle w:val="TableGrid"/>
        <w:tblW w:w="8505"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ayout w:type="fixed"/>
        <w:tblLook w:val="04A0" w:firstRow="1" w:lastRow="0" w:firstColumn="1" w:lastColumn="0" w:noHBand="0" w:noVBand="1"/>
      </w:tblPr>
      <w:tblGrid>
        <w:gridCol w:w="998"/>
        <w:gridCol w:w="2047"/>
        <w:gridCol w:w="678"/>
        <w:gridCol w:w="1320"/>
        <w:gridCol w:w="1127"/>
        <w:gridCol w:w="1127"/>
        <w:gridCol w:w="1208"/>
      </w:tblGrid>
      <w:tr w:rsidR="00361A21" w:rsidRPr="00B275E2" w14:paraId="65091EAE" w14:textId="77777777" w:rsidTr="00BE2B06">
        <w:trPr>
          <w:trHeight w:val="360"/>
        </w:trPr>
        <w:tc>
          <w:tcPr>
            <w:tcW w:w="3067" w:type="dxa"/>
            <w:gridSpan w:val="2"/>
            <w:shd w:val="clear" w:color="auto" w:fill="1B556B"/>
            <w:noWrap/>
            <w:vAlign w:val="bottom"/>
            <w:hideMark/>
          </w:tcPr>
          <w:p w14:paraId="65091EA8" w14:textId="77777777" w:rsidR="00361A21" w:rsidRPr="00B275E2" w:rsidRDefault="00361A21" w:rsidP="007F0B1E">
            <w:pPr>
              <w:pStyle w:val="TableText"/>
              <w:spacing w:before="40" w:after="40"/>
              <w:rPr>
                <w:b/>
                <w:color w:val="FFFFFF" w:themeColor="background1"/>
              </w:rPr>
            </w:pPr>
            <w:r w:rsidRPr="00B275E2">
              <w:rPr>
                <w:b/>
                <w:color w:val="FFFFFF" w:themeColor="background1"/>
              </w:rPr>
              <w:t>Emission source</w:t>
            </w:r>
          </w:p>
        </w:tc>
        <w:tc>
          <w:tcPr>
            <w:tcW w:w="682" w:type="dxa"/>
            <w:shd w:val="clear" w:color="auto" w:fill="1B556B"/>
            <w:noWrap/>
            <w:vAlign w:val="bottom"/>
            <w:hideMark/>
          </w:tcPr>
          <w:p w14:paraId="65091EA9" w14:textId="77777777" w:rsidR="00361A21" w:rsidRPr="00B275E2" w:rsidRDefault="00361A21" w:rsidP="007F0B1E">
            <w:pPr>
              <w:pStyle w:val="TableText"/>
              <w:spacing w:before="40" w:after="40"/>
              <w:rPr>
                <w:b/>
                <w:color w:val="FFFFFF" w:themeColor="background1"/>
              </w:rPr>
            </w:pPr>
            <w:r w:rsidRPr="00B275E2">
              <w:rPr>
                <w:b/>
                <w:color w:val="FFFFFF" w:themeColor="background1"/>
              </w:rPr>
              <w:t>Unit</w:t>
            </w:r>
          </w:p>
        </w:tc>
        <w:tc>
          <w:tcPr>
            <w:tcW w:w="1329" w:type="dxa"/>
            <w:shd w:val="clear" w:color="auto" w:fill="D2DDE1" w:themeFill="background2"/>
            <w:noWrap/>
            <w:vAlign w:val="bottom"/>
            <w:hideMark/>
          </w:tcPr>
          <w:p w14:paraId="65091EAA" w14:textId="0E4F8343" w:rsidR="00361A21" w:rsidRPr="00B275E2" w:rsidRDefault="00361A21" w:rsidP="00BE2B06">
            <w:pPr>
              <w:pStyle w:val="TableText"/>
              <w:spacing w:before="40" w:after="40"/>
              <w:jc w:val="right"/>
              <w:rPr>
                <w:b/>
              </w:rPr>
            </w:pPr>
            <w:r w:rsidRPr="00B275E2">
              <w:rPr>
                <w:b/>
              </w:rPr>
              <w:t>kg CO</w:t>
            </w:r>
            <w:r w:rsidRPr="00B275E2">
              <w:rPr>
                <w:b/>
                <w:vertAlign w:val="subscript"/>
              </w:rPr>
              <w:t>2</w:t>
            </w:r>
            <w:r w:rsidRPr="00B275E2">
              <w:rPr>
                <w:b/>
              </w:rPr>
              <w:t>-e/unit</w:t>
            </w:r>
          </w:p>
        </w:tc>
        <w:tc>
          <w:tcPr>
            <w:tcW w:w="1134" w:type="dxa"/>
            <w:shd w:val="clear" w:color="auto" w:fill="1B556B"/>
            <w:noWrap/>
            <w:vAlign w:val="bottom"/>
            <w:hideMark/>
          </w:tcPr>
          <w:p w14:paraId="65091EAB" w14:textId="0D51AC87" w:rsidR="007A6A78" w:rsidRPr="00B275E2" w:rsidRDefault="00361A21" w:rsidP="00BE2B06">
            <w:pPr>
              <w:pStyle w:val="TableText"/>
              <w:spacing w:before="40" w:after="40"/>
              <w:jc w:val="right"/>
              <w:rPr>
                <w:b/>
                <w:color w:val="FFFFFF" w:themeColor="background1"/>
              </w:rPr>
            </w:pPr>
            <w:r w:rsidRPr="00B275E2">
              <w:rPr>
                <w:b/>
                <w:color w:val="FFFFFF" w:themeColor="background1"/>
              </w:rPr>
              <w:t>kg CO</w:t>
            </w:r>
            <w:r w:rsidRPr="00B275E2">
              <w:rPr>
                <w:b/>
                <w:color w:val="FFFFFF" w:themeColor="background1"/>
                <w:vertAlign w:val="subscript"/>
              </w:rPr>
              <w:t>2</w:t>
            </w:r>
            <w:r w:rsidR="00AC7B27" w:rsidRPr="00B275E2">
              <w:rPr>
                <w:b/>
                <w:color w:val="FFFFFF" w:themeColor="background1"/>
              </w:rPr>
              <w:t>/unit</w:t>
            </w:r>
            <w:r w:rsidR="00C51C50" w:rsidRPr="00B275E2">
              <w:rPr>
                <w:b/>
                <w:color w:val="FFFFFF" w:themeColor="background1"/>
              </w:rPr>
              <w:t xml:space="preserve"> (kg CO</w:t>
            </w:r>
            <w:r w:rsidR="00C51C50" w:rsidRPr="00B275E2">
              <w:rPr>
                <w:b/>
                <w:color w:val="FFFFFF" w:themeColor="background1"/>
                <w:vertAlign w:val="subscript"/>
              </w:rPr>
              <w:t>2</w:t>
            </w:r>
            <w:r w:rsidR="00C51C50" w:rsidRPr="00B275E2">
              <w:rPr>
                <w:b/>
                <w:color w:val="FFFFFF" w:themeColor="background1"/>
              </w:rPr>
              <w:t>-e)</w:t>
            </w:r>
          </w:p>
        </w:tc>
        <w:tc>
          <w:tcPr>
            <w:tcW w:w="1134" w:type="dxa"/>
            <w:shd w:val="clear" w:color="auto" w:fill="1B556B"/>
            <w:noWrap/>
            <w:vAlign w:val="bottom"/>
            <w:hideMark/>
          </w:tcPr>
          <w:p w14:paraId="65091EAC" w14:textId="44492328" w:rsidR="00361A21" w:rsidRPr="00B275E2" w:rsidRDefault="00B560B6" w:rsidP="00BE2B06">
            <w:pPr>
              <w:pStyle w:val="TableText"/>
              <w:spacing w:before="40" w:after="40"/>
              <w:jc w:val="right"/>
              <w:rPr>
                <w:b/>
                <w:color w:val="FFFFFF" w:themeColor="background1"/>
              </w:rPr>
            </w:pPr>
            <w:r w:rsidRPr="00B275E2">
              <w:rPr>
                <w:b/>
                <w:bCs/>
                <w:color w:val="FFFFFF" w:themeColor="background1"/>
              </w:rPr>
              <w:t xml:space="preserve">kg </w:t>
            </w:r>
            <w:r w:rsidR="00361A21" w:rsidRPr="00B275E2">
              <w:rPr>
                <w:b/>
                <w:bCs/>
                <w:color w:val="FFFFFF" w:themeColor="background1"/>
              </w:rPr>
              <w:t>CH</w:t>
            </w:r>
            <w:r w:rsidR="00361A21" w:rsidRPr="00B275E2">
              <w:rPr>
                <w:b/>
                <w:bCs/>
                <w:color w:val="FFFFFF" w:themeColor="background1"/>
                <w:vertAlign w:val="subscript"/>
              </w:rPr>
              <w:t>4</w:t>
            </w:r>
            <w:r w:rsidRPr="00B275E2">
              <w:rPr>
                <w:b/>
                <w:bCs/>
                <w:color w:val="FFFFFF" w:themeColor="background1"/>
              </w:rPr>
              <w:t>/unit</w:t>
            </w:r>
            <w:r w:rsidR="00361A21" w:rsidRPr="00B275E2">
              <w:rPr>
                <w:b/>
                <w:bCs/>
                <w:color w:val="FFFFFF" w:themeColor="background1"/>
              </w:rPr>
              <w:t xml:space="preserve"> (kg CO</w:t>
            </w:r>
            <w:r w:rsidR="00361A21" w:rsidRPr="00B275E2">
              <w:rPr>
                <w:b/>
                <w:bCs/>
                <w:color w:val="FFFFFF" w:themeColor="background1"/>
                <w:vertAlign w:val="subscript"/>
              </w:rPr>
              <w:t>2</w:t>
            </w:r>
            <w:r w:rsidR="007A6A78" w:rsidRPr="00B275E2">
              <w:rPr>
                <w:b/>
                <w:bCs/>
                <w:color w:val="FFFFFF" w:themeColor="background1"/>
              </w:rPr>
              <w:noBreakHyphen/>
            </w:r>
            <w:r w:rsidR="00361A21" w:rsidRPr="00B275E2">
              <w:rPr>
                <w:b/>
                <w:bCs/>
                <w:color w:val="FFFFFF" w:themeColor="background1"/>
              </w:rPr>
              <w:t>e)</w:t>
            </w:r>
          </w:p>
        </w:tc>
        <w:tc>
          <w:tcPr>
            <w:tcW w:w="1216" w:type="dxa"/>
            <w:shd w:val="clear" w:color="auto" w:fill="1B556B"/>
            <w:noWrap/>
            <w:vAlign w:val="bottom"/>
            <w:hideMark/>
          </w:tcPr>
          <w:p w14:paraId="65091EAD" w14:textId="6E59C146" w:rsidR="00361A21" w:rsidRPr="00B275E2" w:rsidRDefault="00B560B6" w:rsidP="00BE2B06">
            <w:pPr>
              <w:pStyle w:val="TableText"/>
              <w:spacing w:before="40" w:after="40"/>
              <w:jc w:val="right"/>
              <w:rPr>
                <w:b/>
                <w:color w:val="FFFFFF" w:themeColor="background1"/>
              </w:rPr>
            </w:pPr>
            <w:r w:rsidRPr="00B275E2">
              <w:rPr>
                <w:b/>
                <w:bCs/>
                <w:color w:val="FFFFFF" w:themeColor="background1"/>
              </w:rPr>
              <w:t xml:space="preserve">kg </w:t>
            </w:r>
            <w:r w:rsidR="00361A21" w:rsidRPr="00B275E2">
              <w:rPr>
                <w:b/>
                <w:bCs/>
                <w:color w:val="FFFFFF" w:themeColor="background1"/>
              </w:rPr>
              <w:t>N</w:t>
            </w:r>
            <w:r w:rsidR="00361A21" w:rsidRPr="00B275E2">
              <w:rPr>
                <w:b/>
                <w:bCs/>
                <w:color w:val="FFFFFF" w:themeColor="background1"/>
                <w:vertAlign w:val="subscript"/>
              </w:rPr>
              <w:t>2</w:t>
            </w:r>
            <w:r w:rsidR="00361A21" w:rsidRPr="00B275E2">
              <w:rPr>
                <w:b/>
                <w:bCs/>
                <w:color w:val="FFFFFF" w:themeColor="background1"/>
              </w:rPr>
              <w:t>O</w:t>
            </w:r>
            <w:r w:rsidRPr="00B275E2">
              <w:rPr>
                <w:b/>
                <w:bCs/>
                <w:color w:val="FFFFFF" w:themeColor="background1"/>
              </w:rPr>
              <w:t>/unit</w:t>
            </w:r>
            <w:r w:rsidR="00361A21" w:rsidRPr="00B275E2">
              <w:rPr>
                <w:b/>
                <w:bCs/>
                <w:color w:val="FFFFFF" w:themeColor="background1"/>
              </w:rPr>
              <w:t xml:space="preserve"> (kg CO</w:t>
            </w:r>
            <w:r w:rsidR="00361A21" w:rsidRPr="00B275E2">
              <w:rPr>
                <w:b/>
                <w:bCs/>
                <w:color w:val="FFFFFF" w:themeColor="background1"/>
                <w:vertAlign w:val="subscript"/>
              </w:rPr>
              <w:t>2</w:t>
            </w:r>
            <w:r w:rsidR="007A6A78" w:rsidRPr="00B275E2">
              <w:rPr>
                <w:b/>
                <w:bCs/>
                <w:color w:val="FFFFFF" w:themeColor="background1"/>
              </w:rPr>
              <w:noBreakHyphen/>
            </w:r>
            <w:r w:rsidR="00361A21" w:rsidRPr="00B275E2">
              <w:rPr>
                <w:b/>
                <w:bCs/>
                <w:color w:val="FFFFFF" w:themeColor="background1"/>
              </w:rPr>
              <w:t>e)</w:t>
            </w:r>
          </w:p>
        </w:tc>
      </w:tr>
      <w:tr w:rsidR="00AE34F1" w:rsidRPr="00B275E2" w14:paraId="65091EB6" w14:textId="77777777" w:rsidTr="00A82690">
        <w:trPr>
          <w:trHeight w:val="300"/>
        </w:trPr>
        <w:tc>
          <w:tcPr>
            <w:tcW w:w="1005" w:type="dxa"/>
            <w:vMerge w:val="restart"/>
            <w:tcBorders>
              <w:left w:val="single" w:sz="4" w:space="0" w:color="FFFFFF" w:themeColor="background1"/>
            </w:tcBorders>
            <w:hideMark/>
          </w:tcPr>
          <w:p w14:paraId="65091EAF" w14:textId="77777777" w:rsidR="00AE34F1" w:rsidRPr="00B275E2" w:rsidRDefault="00AE34F1" w:rsidP="007F0B1E">
            <w:pPr>
              <w:pStyle w:val="TableText"/>
              <w:spacing w:before="40" w:after="40"/>
            </w:pPr>
            <w:r w:rsidRPr="00B275E2">
              <w:t>Rental car default</w:t>
            </w:r>
          </w:p>
        </w:tc>
        <w:tc>
          <w:tcPr>
            <w:tcW w:w="2062" w:type="dxa"/>
            <w:shd w:val="clear" w:color="auto" w:fill="auto"/>
            <w:noWrap/>
          </w:tcPr>
          <w:p w14:paraId="65091EB0" w14:textId="77777777" w:rsidR="00AE34F1" w:rsidRPr="00B275E2" w:rsidRDefault="00AE34F1" w:rsidP="007F0B1E">
            <w:pPr>
              <w:pStyle w:val="TableText"/>
              <w:spacing w:before="40" w:after="40"/>
            </w:pPr>
            <w:r w:rsidRPr="00B275E2">
              <w:t>Petrol</w:t>
            </w:r>
          </w:p>
        </w:tc>
        <w:tc>
          <w:tcPr>
            <w:tcW w:w="682" w:type="dxa"/>
            <w:noWrap/>
            <w:hideMark/>
          </w:tcPr>
          <w:p w14:paraId="65091EB1" w14:textId="77777777" w:rsidR="00AE34F1" w:rsidRPr="00B275E2" w:rsidRDefault="00AE34F1" w:rsidP="007F0B1E">
            <w:pPr>
              <w:pStyle w:val="TableText"/>
              <w:spacing w:before="40" w:after="40"/>
            </w:pPr>
            <w:r w:rsidRPr="00B275E2">
              <w:t>km</w:t>
            </w:r>
          </w:p>
        </w:tc>
        <w:tc>
          <w:tcPr>
            <w:tcW w:w="1329" w:type="dxa"/>
            <w:shd w:val="clear" w:color="auto" w:fill="D2DDE1" w:themeFill="background2"/>
            <w:noWrap/>
          </w:tcPr>
          <w:p w14:paraId="65091EB2" w14:textId="53FB9D20" w:rsidR="00AE34F1" w:rsidRPr="00B275E2" w:rsidRDefault="00AE34F1" w:rsidP="007F0B1E">
            <w:pPr>
              <w:pStyle w:val="TableText"/>
              <w:spacing w:before="40" w:after="40"/>
              <w:jc w:val="right"/>
              <w:rPr>
                <w:szCs w:val="18"/>
              </w:rPr>
            </w:pPr>
            <w:r w:rsidRPr="00B275E2">
              <w:rPr>
                <w:rFonts w:cs="Calibri"/>
                <w:szCs w:val="18"/>
              </w:rPr>
              <w:t>0.211</w:t>
            </w:r>
          </w:p>
        </w:tc>
        <w:tc>
          <w:tcPr>
            <w:tcW w:w="1134" w:type="dxa"/>
            <w:shd w:val="clear" w:color="auto" w:fill="auto"/>
            <w:noWrap/>
          </w:tcPr>
          <w:p w14:paraId="65091EB3" w14:textId="64E483C1" w:rsidR="00AE34F1" w:rsidRPr="00B275E2" w:rsidRDefault="00AE34F1" w:rsidP="007F0B1E">
            <w:pPr>
              <w:pStyle w:val="TableText"/>
              <w:spacing w:before="40" w:after="40"/>
              <w:jc w:val="right"/>
              <w:rPr>
                <w:szCs w:val="18"/>
              </w:rPr>
            </w:pPr>
            <w:r w:rsidRPr="00B275E2">
              <w:rPr>
                <w:rFonts w:cs="Calibri"/>
                <w:szCs w:val="18"/>
              </w:rPr>
              <w:t>0.201</w:t>
            </w:r>
          </w:p>
        </w:tc>
        <w:tc>
          <w:tcPr>
            <w:tcW w:w="1134" w:type="dxa"/>
            <w:shd w:val="clear" w:color="auto" w:fill="auto"/>
            <w:noWrap/>
          </w:tcPr>
          <w:p w14:paraId="65091EB4" w14:textId="59ABE10C" w:rsidR="00AE34F1" w:rsidRPr="00B275E2" w:rsidRDefault="00AE34F1" w:rsidP="007F0B1E">
            <w:pPr>
              <w:pStyle w:val="TableText"/>
              <w:spacing w:before="40" w:after="40"/>
              <w:jc w:val="right"/>
              <w:rPr>
                <w:szCs w:val="18"/>
              </w:rPr>
            </w:pPr>
            <w:r w:rsidRPr="00B275E2">
              <w:rPr>
                <w:rFonts w:cs="Calibri"/>
                <w:szCs w:val="18"/>
              </w:rPr>
              <w:t>0.002</w:t>
            </w:r>
          </w:p>
        </w:tc>
        <w:tc>
          <w:tcPr>
            <w:tcW w:w="1216" w:type="dxa"/>
            <w:tcBorders>
              <w:right w:val="single" w:sz="4" w:space="0" w:color="FFFFFF" w:themeColor="background1"/>
            </w:tcBorders>
            <w:shd w:val="clear" w:color="auto" w:fill="auto"/>
            <w:noWrap/>
          </w:tcPr>
          <w:p w14:paraId="65091EB5" w14:textId="4A5A5355" w:rsidR="00AE34F1" w:rsidRPr="00B275E2" w:rsidRDefault="00AE34F1" w:rsidP="007F0B1E">
            <w:pPr>
              <w:pStyle w:val="TableText"/>
              <w:spacing w:before="40" w:after="40"/>
              <w:jc w:val="right"/>
              <w:rPr>
                <w:szCs w:val="18"/>
              </w:rPr>
            </w:pPr>
            <w:r w:rsidRPr="00B275E2">
              <w:rPr>
                <w:rFonts w:cs="Calibri"/>
                <w:szCs w:val="18"/>
              </w:rPr>
              <w:t>0.007</w:t>
            </w:r>
          </w:p>
        </w:tc>
      </w:tr>
      <w:tr w:rsidR="00AE34F1" w:rsidRPr="00B275E2" w14:paraId="65091EBE" w14:textId="77777777" w:rsidTr="00A82690">
        <w:trPr>
          <w:trHeight w:val="300"/>
        </w:trPr>
        <w:tc>
          <w:tcPr>
            <w:tcW w:w="1005" w:type="dxa"/>
            <w:vMerge/>
            <w:tcBorders>
              <w:left w:val="single" w:sz="4" w:space="0" w:color="FFFFFF" w:themeColor="background1"/>
            </w:tcBorders>
            <w:hideMark/>
          </w:tcPr>
          <w:p w14:paraId="65091EB7" w14:textId="77777777" w:rsidR="00AE34F1" w:rsidRPr="00B275E2" w:rsidRDefault="00AE34F1" w:rsidP="007F0B1E">
            <w:pPr>
              <w:pStyle w:val="TableText"/>
              <w:spacing w:before="40" w:after="40"/>
            </w:pPr>
          </w:p>
        </w:tc>
        <w:tc>
          <w:tcPr>
            <w:tcW w:w="2062" w:type="dxa"/>
            <w:shd w:val="clear" w:color="auto" w:fill="auto"/>
            <w:noWrap/>
          </w:tcPr>
          <w:p w14:paraId="65091EB8" w14:textId="77777777" w:rsidR="00AE34F1" w:rsidRPr="00B275E2" w:rsidRDefault="00AE34F1" w:rsidP="007F0B1E">
            <w:pPr>
              <w:pStyle w:val="TableText"/>
              <w:spacing w:before="40" w:after="40"/>
            </w:pPr>
            <w:r w:rsidRPr="00B275E2">
              <w:t>Diesel</w:t>
            </w:r>
          </w:p>
        </w:tc>
        <w:tc>
          <w:tcPr>
            <w:tcW w:w="682" w:type="dxa"/>
            <w:noWrap/>
            <w:hideMark/>
          </w:tcPr>
          <w:p w14:paraId="65091EB9" w14:textId="77777777" w:rsidR="00AE34F1" w:rsidRPr="00B275E2" w:rsidRDefault="00AE34F1" w:rsidP="007F0B1E">
            <w:pPr>
              <w:pStyle w:val="TableText"/>
              <w:spacing w:before="40" w:after="40"/>
            </w:pPr>
            <w:r w:rsidRPr="00B275E2">
              <w:t>km</w:t>
            </w:r>
          </w:p>
        </w:tc>
        <w:tc>
          <w:tcPr>
            <w:tcW w:w="1329" w:type="dxa"/>
            <w:shd w:val="clear" w:color="auto" w:fill="D2DDE1" w:themeFill="background2"/>
            <w:noWrap/>
          </w:tcPr>
          <w:p w14:paraId="65091EBA" w14:textId="3FCFAC26" w:rsidR="00AE34F1" w:rsidRPr="00B275E2" w:rsidRDefault="00AE34F1" w:rsidP="007F0B1E">
            <w:pPr>
              <w:pStyle w:val="TableText"/>
              <w:spacing w:before="40" w:after="40"/>
              <w:jc w:val="right"/>
              <w:rPr>
                <w:szCs w:val="18"/>
              </w:rPr>
            </w:pPr>
            <w:r w:rsidRPr="00B275E2">
              <w:rPr>
                <w:rFonts w:cs="Calibri"/>
                <w:szCs w:val="18"/>
              </w:rPr>
              <w:t>0.202</w:t>
            </w:r>
          </w:p>
        </w:tc>
        <w:tc>
          <w:tcPr>
            <w:tcW w:w="1134" w:type="dxa"/>
            <w:shd w:val="clear" w:color="auto" w:fill="auto"/>
            <w:noWrap/>
          </w:tcPr>
          <w:p w14:paraId="65091EBB" w14:textId="73208481" w:rsidR="00AE34F1" w:rsidRPr="00B275E2" w:rsidRDefault="00AE34F1" w:rsidP="007F0B1E">
            <w:pPr>
              <w:pStyle w:val="TableText"/>
              <w:spacing w:before="40" w:after="40"/>
              <w:jc w:val="right"/>
              <w:rPr>
                <w:szCs w:val="18"/>
              </w:rPr>
            </w:pPr>
            <w:r w:rsidRPr="00B275E2">
              <w:rPr>
                <w:rFonts w:cs="Calibri"/>
                <w:szCs w:val="18"/>
              </w:rPr>
              <w:t>0.198</w:t>
            </w:r>
          </w:p>
        </w:tc>
        <w:tc>
          <w:tcPr>
            <w:tcW w:w="1134" w:type="dxa"/>
            <w:shd w:val="clear" w:color="auto" w:fill="auto"/>
            <w:noWrap/>
          </w:tcPr>
          <w:p w14:paraId="65091EBC" w14:textId="241D2649" w:rsidR="00AE34F1" w:rsidRPr="00B275E2" w:rsidRDefault="00AE34F1" w:rsidP="007F0B1E">
            <w:pPr>
              <w:pStyle w:val="TableText"/>
              <w:spacing w:before="40" w:after="40"/>
              <w:jc w:val="right"/>
              <w:rPr>
                <w:szCs w:val="18"/>
              </w:rPr>
            </w:pPr>
            <w:r w:rsidRPr="00B275E2">
              <w:rPr>
                <w:rFonts w:cs="Calibri"/>
                <w:szCs w:val="18"/>
              </w:rPr>
              <w:t>0.0003</w:t>
            </w:r>
          </w:p>
        </w:tc>
        <w:tc>
          <w:tcPr>
            <w:tcW w:w="1216" w:type="dxa"/>
            <w:tcBorders>
              <w:right w:val="single" w:sz="4" w:space="0" w:color="FFFFFF" w:themeColor="background1"/>
            </w:tcBorders>
            <w:shd w:val="clear" w:color="auto" w:fill="auto"/>
            <w:noWrap/>
          </w:tcPr>
          <w:p w14:paraId="65091EBD" w14:textId="3475358D" w:rsidR="00AE34F1" w:rsidRPr="00B275E2" w:rsidRDefault="00AE34F1" w:rsidP="007F0B1E">
            <w:pPr>
              <w:pStyle w:val="TableText"/>
              <w:spacing w:before="40" w:after="40"/>
              <w:jc w:val="right"/>
              <w:rPr>
                <w:szCs w:val="18"/>
              </w:rPr>
            </w:pPr>
            <w:r w:rsidRPr="00B275E2">
              <w:rPr>
                <w:rFonts w:cs="Calibri"/>
                <w:szCs w:val="18"/>
              </w:rPr>
              <w:t>0.003</w:t>
            </w:r>
          </w:p>
        </w:tc>
      </w:tr>
      <w:tr w:rsidR="00AE34F1" w:rsidRPr="00B275E2" w14:paraId="65091EC6" w14:textId="77777777" w:rsidTr="00A82690">
        <w:trPr>
          <w:trHeight w:val="300"/>
        </w:trPr>
        <w:tc>
          <w:tcPr>
            <w:tcW w:w="1005" w:type="dxa"/>
            <w:vMerge/>
            <w:tcBorders>
              <w:left w:val="single" w:sz="4" w:space="0" w:color="FFFFFF" w:themeColor="background1"/>
            </w:tcBorders>
            <w:hideMark/>
          </w:tcPr>
          <w:p w14:paraId="65091EBF" w14:textId="77777777" w:rsidR="00AE34F1" w:rsidRPr="00B275E2" w:rsidRDefault="00AE34F1" w:rsidP="007F0B1E">
            <w:pPr>
              <w:pStyle w:val="TableText"/>
              <w:spacing w:before="40" w:after="40"/>
            </w:pPr>
          </w:p>
        </w:tc>
        <w:tc>
          <w:tcPr>
            <w:tcW w:w="2062" w:type="dxa"/>
            <w:shd w:val="clear" w:color="auto" w:fill="auto"/>
            <w:noWrap/>
          </w:tcPr>
          <w:p w14:paraId="65091EC0" w14:textId="77777777" w:rsidR="00AE34F1" w:rsidRPr="00B275E2" w:rsidRDefault="00AE34F1" w:rsidP="007F0B1E">
            <w:pPr>
              <w:pStyle w:val="TableText"/>
              <w:spacing w:before="40" w:after="40"/>
            </w:pPr>
            <w:r w:rsidRPr="00B275E2">
              <w:t>Petrol hybrid</w:t>
            </w:r>
          </w:p>
        </w:tc>
        <w:tc>
          <w:tcPr>
            <w:tcW w:w="682" w:type="dxa"/>
            <w:noWrap/>
            <w:hideMark/>
          </w:tcPr>
          <w:p w14:paraId="65091EC1" w14:textId="77777777" w:rsidR="00AE34F1" w:rsidRPr="00B275E2" w:rsidRDefault="00AE34F1" w:rsidP="007F0B1E">
            <w:pPr>
              <w:pStyle w:val="TableText"/>
              <w:spacing w:before="40" w:after="40"/>
            </w:pPr>
            <w:r w:rsidRPr="00B275E2">
              <w:t>km</w:t>
            </w:r>
          </w:p>
        </w:tc>
        <w:tc>
          <w:tcPr>
            <w:tcW w:w="1329" w:type="dxa"/>
            <w:shd w:val="clear" w:color="auto" w:fill="D2DDE1" w:themeFill="background2"/>
            <w:noWrap/>
          </w:tcPr>
          <w:p w14:paraId="65091EC2" w14:textId="44FC218B" w:rsidR="00AE34F1" w:rsidRPr="00B275E2" w:rsidRDefault="00AE34F1" w:rsidP="007F0B1E">
            <w:pPr>
              <w:pStyle w:val="TableText"/>
              <w:spacing w:before="40" w:after="40"/>
              <w:jc w:val="right"/>
              <w:rPr>
                <w:szCs w:val="18"/>
              </w:rPr>
            </w:pPr>
            <w:r w:rsidRPr="00B275E2">
              <w:rPr>
                <w:rFonts w:cs="Calibri"/>
                <w:szCs w:val="18"/>
              </w:rPr>
              <w:t>0.165</w:t>
            </w:r>
          </w:p>
        </w:tc>
        <w:tc>
          <w:tcPr>
            <w:tcW w:w="1134" w:type="dxa"/>
            <w:shd w:val="clear" w:color="auto" w:fill="auto"/>
            <w:noWrap/>
          </w:tcPr>
          <w:p w14:paraId="65091EC3" w14:textId="65A79AF4" w:rsidR="00AE34F1" w:rsidRPr="00B275E2" w:rsidRDefault="00AE34F1" w:rsidP="007F0B1E">
            <w:pPr>
              <w:pStyle w:val="TableText"/>
              <w:spacing w:before="40" w:after="40"/>
              <w:jc w:val="right"/>
              <w:rPr>
                <w:szCs w:val="18"/>
              </w:rPr>
            </w:pPr>
            <w:r w:rsidRPr="00B275E2">
              <w:rPr>
                <w:rFonts w:cs="Calibri"/>
                <w:szCs w:val="18"/>
              </w:rPr>
              <w:t>0.157</w:t>
            </w:r>
          </w:p>
        </w:tc>
        <w:tc>
          <w:tcPr>
            <w:tcW w:w="1134" w:type="dxa"/>
            <w:shd w:val="clear" w:color="auto" w:fill="auto"/>
            <w:noWrap/>
          </w:tcPr>
          <w:p w14:paraId="65091EC4" w14:textId="46913B6A" w:rsidR="00AE34F1" w:rsidRPr="00B275E2" w:rsidRDefault="00AE34F1" w:rsidP="007F0B1E">
            <w:pPr>
              <w:pStyle w:val="TableText"/>
              <w:spacing w:before="40" w:after="40"/>
              <w:jc w:val="right"/>
              <w:rPr>
                <w:szCs w:val="18"/>
              </w:rPr>
            </w:pPr>
            <w:r w:rsidRPr="00B275E2">
              <w:rPr>
                <w:rFonts w:cs="Calibri"/>
                <w:szCs w:val="18"/>
              </w:rPr>
              <w:t>0.002</w:t>
            </w:r>
          </w:p>
        </w:tc>
        <w:tc>
          <w:tcPr>
            <w:tcW w:w="1216" w:type="dxa"/>
            <w:tcBorders>
              <w:right w:val="single" w:sz="4" w:space="0" w:color="FFFFFF" w:themeColor="background1"/>
            </w:tcBorders>
            <w:shd w:val="clear" w:color="auto" w:fill="auto"/>
            <w:noWrap/>
          </w:tcPr>
          <w:p w14:paraId="65091EC5" w14:textId="5D8D2C90" w:rsidR="00AE34F1" w:rsidRPr="00B275E2" w:rsidRDefault="00AE34F1" w:rsidP="007F0B1E">
            <w:pPr>
              <w:pStyle w:val="TableText"/>
              <w:spacing w:before="40" w:after="40"/>
              <w:jc w:val="right"/>
              <w:rPr>
                <w:szCs w:val="18"/>
              </w:rPr>
            </w:pPr>
            <w:r w:rsidRPr="00B275E2">
              <w:rPr>
                <w:rFonts w:cs="Calibri"/>
                <w:szCs w:val="18"/>
              </w:rPr>
              <w:t>0.005</w:t>
            </w:r>
          </w:p>
        </w:tc>
      </w:tr>
      <w:tr w:rsidR="00AE34F1" w:rsidRPr="00B275E2" w14:paraId="65091ECE" w14:textId="77777777" w:rsidTr="00A82690">
        <w:trPr>
          <w:trHeight w:val="300"/>
        </w:trPr>
        <w:tc>
          <w:tcPr>
            <w:tcW w:w="1005" w:type="dxa"/>
            <w:vMerge/>
            <w:tcBorders>
              <w:left w:val="single" w:sz="4" w:space="0" w:color="FFFFFF" w:themeColor="background1"/>
            </w:tcBorders>
            <w:hideMark/>
          </w:tcPr>
          <w:p w14:paraId="65091EC7" w14:textId="77777777" w:rsidR="00AE34F1" w:rsidRPr="00B275E2" w:rsidRDefault="00AE34F1" w:rsidP="007F0B1E">
            <w:pPr>
              <w:pStyle w:val="TableText"/>
              <w:spacing w:before="40" w:after="40"/>
            </w:pPr>
          </w:p>
        </w:tc>
        <w:tc>
          <w:tcPr>
            <w:tcW w:w="2062" w:type="dxa"/>
            <w:shd w:val="clear" w:color="auto" w:fill="auto"/>
            <w:noWrap/>
          </w:tcPr>
          <w:p w14:paraId="65091EC8" w14:textId="77777777" w:rsidR="00AE34F1" w:rsidRPr="00B275E2" w:rsidRDefault="00AE34F1" w:rsidP="007F0B1E">
            <w:pPr>
              <w:pStyle w:val="TableText"/>
              <w:spacing w:before="40" w:after="40"/>
            </w:pPr>
            <w:r w:rsidRPr="00B275E2">
              <w:t>Diesel hybrid</w:t>
            </w:r>
          </w:p>
        </w:tc>
        <w:tc>
          <w:tcPr>
            <w:tcW w:w="682" w:type="dxa"/>
            <w:noWrap/>
            <w:hideMark/>
          </w:tcPr>
          <w:p w14:paraId="65091EC9" w14:textId="77777777" w:rsidR="00AE34F1" w:rsidRPr="00B275E2" w:rsidRDefault="00AE34F1" w:rsidP="007F0B1E">
            <w:pPr>
              <w:pStyle w:val="TableText"/>
              <w:spacing w:before="40" w:after="40"/>
            </w:pPr>
            <w:r w:rsidRPr="00B275E2">
              <w:t>km</w:t>
            </w:r>
          </w:p>
        </w:tc>
        <w:tc>
          <w:tcPr>
            <w:tcW w:w="1329" w:type="dxa"/>
            <w:shd w:val="clear" w:color="auto" w:fill="D2DDE1" w:themeFill="background2"/>
            <w:noWrap/>
          </w:tcPr>
          <w:p w14:paraId="65091ECA" w14:textId="17BA239F" w:rsidR="00AE34F1" w:rsidRPr="00B275E2" w:rsidRDefault="00AE34F1" w:rsidP="007F0B1E">
            <w:pPr>
              <w:pStyle w:val="TableText"/>
              <w:spacing w:before="40" w:after="40"/>
              <w:jc w:val="right"/>
              <w:rPr>
                <w:szCs w:val="18"/>
              </w:rPr>
            </w:pPr>
            <w:r w:rsidRPr="00B275E2">
              <w:rPr>
                <w:rFonts w:cs="Calibri"/>
                <w:szCs w:val="18"/>
              </w:rPr>
              <w:t>0.180</w:t>
            </w:r>
          </w:p>
        </w:tc>
        <w:tc>
          <w:tcPr>
            <w:tcW w:w="1134" w:type="dxa"/>
            <w:shd w:val="clear" w:color="auto" w:fill="auto"/>
            <w:noWrap/>
          </w:tcPr>
          <w:p w14:paraId="65091ECB" w14:textId="10B7356D" w:rsidR="00AE34F1" w:rsidRPr="00B275E2" w:rsidRDefault="00AE34F1" w:rsidP="007F0B1E">
            <w:pPr>
              <w:pStyle w:val="TableText"/>
              <w:spacing w:before="40" w:after="40"/>
              <w:jc w:val="right"/>
              <w:rPr>
                <w:szCs w:val="18"/>
              </w:rPr>
            </w:pPr>
            <w:r w:rsidRPr="00B275E2">
              <w:rPr>
                <w:rFonts w:cs="Calibri"/>
                <w:szCs w:val="18"/>
              </w:rPr>
              <w:t>0.177</w:t>
            </w:r>
          </w:p>
        </w:tc>
        <w:tc>
          <w:tcPr>
            <w:tcW w:w="1134" w:type="dxa"/>
            <w:shd w:val="clear" w:color="auto" w:fill="auto"/>
            <w:noWrap/>
          </w:tcPr>
          <w:p w14:paraId="65091ECC" w14:textId="31672704" w:rsidR="00AE34F1" w:rsidRPr="00B275E2" w:rsidRDefault="00AE34F1" w:rsidP="007F0B1E">
            <w:pPr>
              <w:pStyle w:val="TableText"/>
              <w:spacing w:before="40" w:after="40"/>
              <w:jc w:val="right"/>
              <w:rPr>
                <w:szCs w:val="18"/>
              </w:rPr>
            </w:pPr>
            <w:r w:rsidRPr="00B275E2">
              <w:rPr>
                <w:rFonts w:cs="Calibri"/>
                <w:szCs w:val="18"/>
              </w:rPr>
              <w:t>0.0002</w:t>
            </w:r>
          </w:p>
        </w:tc>
        <w:tc>
          <w:tcPr>
            <w:tcW w:w="1216" w:type="dxa"/>
            <w:tcBorders>
              <w:right w:val="single" w:sz="4" w:space="0" w:color="FFFFFF" w:themeColor="background1"/>
            </w:tcBorders>
            <w:shd w:val="clear" w:color="auto" w:fill="auto"/>
            <w:noWrap/>
          </w:tcPr>
          <w:p w14:paraId="65091ECD" w14:textId="7534FEB0" w:rsidR="00AE34F1" w:rsidRPr="00B275E2" w:rsidRDefault="00AE34F1" w:rsidP="007F0B1E">
            <w:pPr>
              <w:pStyle w:val="TableText"/>
              <w:spacing w:before="40" w:after="40"/>
              <w:jc w:val="right"/>
              <w:rPr>
                <w:szCs w:val="18"/>
              </w:rPr>
            </w:pPr>
            <w:r w:rsidRPr="00B275E2">
              <w:rPr>
                <w:rFonts w:cs="Calibri"/>
                <w:szCs w:val="18"/>
              </w:rPr>
              <w:t>0.003</w:t>
            </w:r>
          </w:p>
        </w:tc>
      </w:tr>
      <w:tr w:rsidR="00AE34F1" w:rsidRPr="00B275E2" w14:paraId="65091ED6" w14:textId="77777777" w:rsidTr="00A82690">
        <w:trPr>
          <w:trHeight w:val="300"/>
        </w:trPr>
        <w:tc>
          <w:tcPr>
            <w:tcW w:w="1005" w:type="dxa"/>
            <w:vMerge/>
            <w:tcBorders>
              <w:left w:val="single" w:sz="4" w:space="0" w:color="FFFFFF" w:themeColor="background1"/>
            </w:tcBorders>
            <w:hideMark/>
          </w:tcPr>
          <w:p w14:paraId="65091ECF" w14:textId="77777777" w:rsidR="00AE34F1" w:rsidRPr="00B275E2" w:rsidRDefault="00AE34F1" w:rsidP="007F0B1E">
            <w:pPr>
              <w:pStyle w:val="TableText"/>
              <w:spacing w:before="40" w:after="40"/>
            </w:pPr>
          </w:p>
        </w:tc>
        <w:tc>
          <w:tcPr>
            <w:tcW w:w="2062" w:type="dxa"/>
            <w:shd w:val="clear" w:color="auto" w:fill="auto"/>
            <w:noWrap/>
          </w:tcPr>
          <w:p w14:paraId="65091ED0" w14:textId="674A1080" w:rsidR="00AE34F1" w:rsidRPr="00B275E2" w:rsidRDefault="00AE34F1" w:rsidP="007F0B1E">
            <w:pPr>
              <w:pStyle w:val="TableText"/>
              <w:spacing w:before="40" w:after="40"/>
            </w:pPr>
            <w:r w:rsidRPr="00B275E2">
              <w:rPr>
                <w:rFonts w:cs="Calibri"/>
                <w:color w:val="000000"/>
                <w:szCs w:val="18"/>
              </w:rPr>
              <w:t>Petrol plug-in hybrid (petrol consumption)</w:t>
            </w:r>
          </w:p>
        </w:tc>
        <w:tc>
          <w:tcPr>
            <w:tcW w:w="682" w:type="dxa"/>
            <w:noWrap/>
            <w:hideMark/>
          </w:tcPr>
          <w:p w14:paraId="65091ED1" w14:textId="77777777" w:rsidR="00AE34F1" w:rsidRPr="00B275E2" w:rsidRDefault="00AE34F1" w:rsidP="007F0B1E">
            <w:pPr>
              <w:pStyle w:val="TableText"/>
              <w:spacing w:before="40" w:after="40"/>
            </w:pPr>
            <w:r w:rsidRPr="00B275E2">
              <w:t>km</w:t>
            </w:r>
          </w:p>
        </w:tc>
        <w:tc>
          <w:tcPr>
            <w:tcW w:w="1329" w:type="dxa"/>
            <w:shd w:val="clear" w:color="auto" w:fill="D2DDE1" w:themeFill="background2"/>
            <w:noWrap/>
          </w:tcPr>
          <w:p w14:paraId="65091ED2" w14:textId="76F2B9B8" w:rsidR="00AE34F1" w:rsidRPr="00B275E2" w:rsidRDefault="00AE34F1" w:rsidP="007F0B1E">
            <w:pPr>
              <w:pStyle w:val="TableText"/>
              <w:spacing w:before="40" w:after="40"/>
              <w:jc w:val="right"/>
              <w:rPr>
                <w:szCs w:val="18"/>
              </w:rPr>
            </w:pPr>
            <w:r w:rsidRPr="00B275E2">
              <w:rPr>
                <w:rFonts w:cs="Calibri"/>
                <w:szCs w:val="18"/>
              </w:rPr>
              <w:t>0.086</w:t>
            </w:r>
          </w:p>
        </w:tc>
        <w:tc>
          <w:tcPr>
            <w:tcW w:w="1134" w:type="dxa"/>
            <w:shd w:val="clear" w:color="auto" w:fill="auto"/>
            <w:noWrap/>
          </w:tcPr>
          <w:p w14:paraId="65091ED3" w14:textId="1ABDFD97" w:rsidR="00AE34F1" w:rsidRPr="00B275E2" w:rsidRDefault="00AE34F1" w:rsidP="007F0B1E">
            <w:pPr>
              <w:pStyle w:val="TableText"/>
              <w:spacing w:before="40" w:after="40"/>
              <w:jc w:val="right"/>
              <w:rPr>
                <w:szCs w:val="18"/>
              </w:rPr>
            </w:pPr>
            <w:r w:rsidRPr="00B275E2">
              <w:rPr>
                <w:rFonts w:cs="Calibri"/>
                <w:szCs w:val="18"/>
              </w:rPr>
              <w:t>0.082</w:t>
            </w:r>
          </w:p>
        </w:tc>
        <w:tc>
          <w:tcPr>
            <w:tcW w:w="1134" w:type="dxa"/>
            <w:shd w:val="clear" w:color="auto" w:fill="auto"/>
            <w:noWrap/>
          </w:tcPr>
          <w:p w14:paraId="65091ED4" w14:textId="3FEDA2EA" w:rsidR="00AE34F1" w:rsidRPr="00B275E2" w:rsidRDefault="00AE34F1" w:rsidP="007F0B1E">
            <w:pPr>
              <w:pStyle w:val="TableText"/>
              <w:spacing w:before="40" w:after="40"/>
              <w:jc w:val="right"/>
              <w:rPr>
                <w:szCs w:val="18"/>
              </w:rPr>
            </w:pPr>
            <w:r w:rsidRPr="00B275E2">
              <w:rPr>
                <w:rFonts w:cs="Calibri"/>
                <w:szCs w:val="18"/>
              </w:rPr>
              <w:t>0.001</w:t>
            </w:r>
          </w:p>
        </w:tc>
        <w:tc>
          <w:tcPr>
            <w:tcW w:w="1216" w:type="dxa"/>
            <w:tcBorders>
              <w:right w:val="single" w:sz="4" w:space="0" w:color="FFFFFF" w:themeColor="background1"/>
            </w:tcBorders>
            <w:shd w:val="clear" w:color="auto" w:fill="auto"/>
            <w:noWrap/>
          </w:tcPr>
          <w:p w14:paraId="65091ED5" w14:textId="1A0958CA" w:rsidR="00AE34F1" w:rsidRPr="00B275E2" w:rsidRDefault="00AE34F1" w:rsidP="007F0B1E">
            <w:pPr>
              <w:pStyle w:val="TableText"/>
              <w:spacing w:before="40" w:after="40"/>
              <w:jc w:val="right"/>
              <w:rPr>
                <w:szCs w:val="18"/>
              </w:rPr>
            </w:pPr>
            <w:r w:rsidRPr="00B275E2">
              <w:rPr>
                <w:rFonts w:cs="Calibri"/>
                <w:szCs w:val="18"/>
              </w:rPr>
              <w:t>0.003</w:t>
            </w:r>
          </w:p>
        </w:tc>
      </w:tr>
      <w:tr w:rsidR="00AE34F1" w:rsidRPr="00B275E2" w14:paraId="6FA64621" w14:textId="77777777" w:rsidTr="00A82690">
        <w:trPr>
          <w:trHeight w:val="300"/>
        </w:trPr>
        <w:tc>
          <w:tcPr>
            <w:tcW w:w="1005" w:type="dxa"/>
            <w:vMerge/>
            <w:tcBorders>
              <w:left w:val="single" w:sz="4" w:space="0" w:color="FFFFFF" w:themeColor="background1"/>
            </w:tcBorders>
          </w:tcPr>
          <w:p w14:paraId="7FDD021D" w14:textId="77777777" w:rsidR="00AE34F1" w:rsidRPr="00B275E2" w:rsidRDefault="00AE34F1" w:rsidP="007F0B1E">
            <w:pPr>
              <w:pStyle w:val="TableText"/>
              <w:spacing w:before="40" w:after="40"/>
            </w:pPr>
          </w:p>
        </w:tc>
        <w:tc>
          <w:tcPr>
            <w:tcW w:w="2062" w:type="dxa"/>
            <w:shd w:val="clear" w:color="auto" w:fill="auto"/>
            <w:noWrap/>
          </w:tcPr>
          <w:p w14:paraId="5CA71C40" w14:textId="263AD54A" w:rsidR="00AE34F1" w:rsidRPr="00B275E2" w:rsidRDefault="00AE34F1" w:rsidP="007F0B1E">
            <w:pPr>
              <w:pStyle w:val="TableText"/>
              <w:spacing w:before="40" w:after="40"/>
            </w:pPr>
            <w:r w:rsidRPr="00B275E2">
              <w:rPr>
                <w:rFonts w:cs="Calibri"/>
                <w:color w:val="000000"/>
                <w:szCs w:val="18"/>
              </w:rPr>
              <w:t>Petrol plug-in hybrid (electricity consumption)</w:t>
            </w:r>
          </w:p>
        </w:tc>
        <w:tc>
          <w:tcPr>
            <w:tcW w:w="682" w:type="dxa"/>
            <w:noWrap/>
          </w:tcPr>
          <w:p w14:paraId="11F3BE10" w14:textId="37A20B74" w:rsidR="00AE34F1" w:rsidRPr="00B275E2" w:rsidRDefault="00AE34F1" w:rsidP="007F0B1E">
            <w:pPr>
              <w:pStyle w:val="TableText"/>
              <w:spacing w:before="40" w:after="40"/>
            </w:pPr>
            <w:r w:rsidRPr="00B275E2">
              <w:t>km</w:t>
            </w:r>
          </w:p>
        </w:tc>
        <w:tc>
          <w:tcPr>
            <w:tcW w:w="1329" w:type="dxa"/>
            <w:shd w:val="clear" w:color="auto" w:fill="D2DDE1" w:themeFill="background2"/>
            <w:noWrap/>
          </w:tcPr>
          <w:p w14:paraId="4ECF1420" w14:textId="5B77879E" w:rsidR="00AE34F1" w:rsidRPr="00B275E2" w:rsidRDefault="00AE34F1" w:rsidP="007F0B1E">
            <w:pPr>
              <w:pStyle w:val="TableText"/>
              <w:spacing w:before="40" w:after="40"/>
              <w:jc w:val="right"/>
              <w:rPr>
                <w:rFonts w:cs="Calibri"/>
                <w:szCs w:val="18"/>
              </w:rPr>
            </w:pPr>
            <w:r w:rsidRPr="00B275E2">
              <w:rPr>
                <w:rFonts w:cs="Calibri"/>
                <w:szCs w:val="18"/>
              </w:rPr>
              <w:t>0.021</w:t>
            </w:r>
          </w:p>
        </w:tc>
        <w:tc>
          <w:tcPr>
            <w:tcW w:w="1134" w:type="dxa"/>
            <w:shd w:val="clear" w:color="auto" w:fill="auto"/>
            <w:noWrap/>
          </w:tcPr>
          <w:p w14:paraId="7943DED2" w14:textId="2C3F3BF4" w:rsidR="00AE34F1" w:rsidRPr="00B275E2" w:rsidRDefault="00AE34F1" w:rsidP="007F0B1E">
            <w:pPr>
              <w:pStyle w:val="TableText"/>
              <w:spacing w:before="40" w:after="40"/>
              <w:jc w:val="right"/>
              <w:rPr>
                <w:rFonts w:cs="Calibri"/>
                <w:szCs w:val="18"/>
              </w:rPr>
            </w:pPr>
            <w:r w:rsidRPr="00B275E2">
              <w:rPr>
                <w:rFonts w:cs="Calibri"/>
                <w:szCs w:val="18"/>
              </w:rPr>
              <w:t>0.011</w:t>
            </w:r>
          </w:p>
        </w:tc>
        <w:tc>
          <w:tcPr>
            <w:tcW w:w="1134" w:type="dxa"/>
            <w:shd w:val="clear" w:color="auto" w:fill="auto"/>
            <w:noWrap/>
          </w:tcPr>
          <w:p w14:paraId="3BC81E44" w14:textId="41AA24E0" w:rsidR="00AE34F1" w:rsidRPr="00B275E2" w:rsidRDefault="00AE34F1" w:rsidP="007F0B1E">
            <w:pPr>
              <w:pStyle w:val="TableText"/>
              <w:spacing w:before="40" w:after="40"/>
              <w:jc w:val="right"/>
              <w:rPr>
                <w:rFonts w:cs="Calibri"/>
                <w:szCs w:val="18"/>
              </w:rPr>
            </w:pPr>
            <w:r w:rsidRPr="00B275E2">
              <w:rPr>
                <w:rFonts w:cs="Calibri"/>
                <w:szCs w:val="18"/>
              </w:rPr>
              <w:t>0.010</w:t>
            </w:r>
          </w:p>
        </w:tc>
        <w:tc>
          <w:tcPr>
            <w:tcW w:w="1216" w:type="dxa"/>
            <w:tcBorders>
              <w:right w:val="single" w:sz="4" w:space="0" w:color="FFFFFF" w:themeColor="background1"/>
            </w:tcBorders>
            <w:shd w:val="clear" w:color="auto" w:fill="auto"/>
            <w:noWrap/>
          </w:tcPr>
          <w:p w14:paraId="073DF9D6" w14:textId="654BFAAB" w:rsidR="00AE34F1" w:rsidRPr="00B275E2" w:rsidRDefault="00AE34F1" w:rsidP="007F0B1E">
            <w:pPr>
              <w:pStyle w:val="TableText"/>
              <w:spacing w:before="40" w:after="40"/>
              <w:jc w:val="right"/>
              <w:rPr>
                <w:rFonts w:cs="Calibri"/>
                <w:szCs w:val="18"/>
              </w:rPr>
            </w:pPr>
            <w:r w:rsidRPr="00B275E2">
              <w:rPr>
                <w:rFonts w:cs="Calibri"/>
                <w:szCs w:val="18"/>
              </w:rPr>
              <w:t>0.0004</w:t>
            </w:r>
          </w:p>
        </w:tc>
      </w:tr>
      <w:tr w:rsidR="00AE34F1" w:rsidRPr="00B275E2" w14:paraId="65091EDE" w14:textId="77777777" w:rsidTr="00A82690">
        <w:trPr>
          <w:trHeight w:val="300"/>
        </w:trPr>
        <w:tc>
          <w:tcPr>
            <w:tcW w:w="1005" w:type="dxa"/>
            <w:vMerge/>
            <w:tcBorders>
              <w:left w:val="single" w:sz="4" w:space="0" w:color="FFFFFF" w:themeColor="background1"/>
            </w:tcBorders>
          </w:tcPr>
          <w:p w14:paraId="65091ED7" w14:textId="77777777" w:rsidR="00AE34F1" w:rsidRPr="00B275E2" w:rsidRDefault="00AE34F1" w:rsidP="007F0B1E">
            <w:pPr>
              <w:pStyle w:val="TableText"/>
              <w:spacing w:before="40" w:after="40"/>
            </w:pPr>
          </w:p>
        </w:tc>
        <w:tc>
          <w:tcPr>
            <w:tcW w:w="2062" w:type="dxa"/>
            <w:shd w:val="clear" w:color="auto" w:fill="auto"/>
            <w:noWrap/>
          </w:tcPr>
          <w:p w14:paraId="65091ED8" w14:textId="47789EB3" w:rsidR="00AE34F1" w:rsidRPr="00B275E2" w:rsidRDefault="00AE34F1" w:rsidP="007F0B1E">
            <w:pPr>
              <w:pStyle w:val="TableText"/>
              <w:spacing w:before="40" w:after="40"/>
            </w:pPr>
            <w:r w:rsidRPr="00B275E2">
              <w:rPr>
                <w:rFonts w:cs="Calibri"/>
                <w:color w:val="000000"/>
                <w:szCs w:val="18"/>
              </w:rPr>
              <w:t>Diesel plug-in hybrid (diesel consumption)</w:t>
            </w:r>
          </w:p>
        </w:tc>
        <w:tc>
          <w:tcPr>
            <w:tcW w:w="682" w:type="dxa"/>
            <w:noWrap/>
          </w:tcPr>
          <w:p w14:paraId="65091ED9" w14:textId="77777777" w:rsidR="00AE34F1" w:rsidRPr="00B275E2" w:rsidRDefault="00AE34F1" w:rsidP="007F0B1E">
            <w:pPr>
              <w:pStyle w:val="TableText"/>
              <w:spacing w:before="40" w:after="40"/>
            </w:pPr>
            <w:r w:rsidRPr="00B275E2">
              <w:t>km</w:t>
            </w:r>
          </w:p>
        </w:tc>
        <w:tc>
          <w:tcPr>
            <w:tcW w:w="1329" w:type="dxa"/>
            <w:shd w:val="clear" w:color="auto" w:fill="D2DDE1" w:themeFill="background2"/>
            <w:noWrap/>
          </w:tcPr>
          <w:p w14:paraId="65091EDA" w14:textId="5815431A" w:rsidR="00AE34F1" w:rsidRPr="00B275E2" w:rsidRDefault="00AE34F1" w:rsidP="007F0B1E">
            <w:pPr>
              <w:pStyle w:val="TableText"/>
              <w:spacing w:before="40" w:after="40"/>
              <w:jc w:val="right"/>
              <w:rPr>
                <w:szCs w:val="18"/>
              </w:rPr>
            </w:pPr>
            <w:r w:rsidRPr="00B275E2">
              <w:rPr>
                <w:rFonts w:cs="Calibri"/>
                <w:szCs w:val="18"/>
              </w:rPr>
              <w:t>0.094</w:t>
            </w:r>
          </w:p>
        </w:tc>
        <w:tc>
          <w:tcPr>
            <w:tcW w:w="1134" w:type="dxa"/>
            <w:shd w:val="clear" w:color="auto" w:fill="auto"/>
            <w:noWrap/>
          </w:tcPr>
          <w:p w14:paraId="65091EDB" w14:textId="468CEAB9" w:rsidR="00AE34F1" w:rsidRPr="00B275E2" w:rsidRDefault="00AE34F1" w:rsidP="007F0B1E">
            <w:pPr>
              <w:pStyle w:val="TableText"/>
              <w:spacing w:before="40" w:after="40"/>
              <w:jc w:val="right"/>
              <w:rPr>
                <w:szCs w:val="18"/>
              </w:rPr>
            </w:pPr>
            <w:r w:rsidRPr="00B275E2">
              <w:rPr>
                <w:rFonts w:cs="Calibri"/>
                <w:szCs w:val="18"/>
              </w:rPr>
              <w:t>0.093</w:t>
            </w:r>
          </w:p>
        </w:tc>
        <w:tc>
          <w:tcPr>
            <w:tcW w:w="1134" w:type="dxa"/>
            <w:shd w:val="clear" w:color="auto" w:fill="auto"/>
            <w:noWrap/>
          </w:tcPr>
          <w:p w14:paraId="65091EDC" w14:textId="02E9B4B0" w:rsidR="00AE34F1" w:rsidRPr="00B275E2" w:rsidRDefault="00AE34F1" w:rsidP="007F0B1E">
            <w:pPr>
              <w:pStyle w:val="TableText"/>
              <w:spacing w:before="40" w:after="40"/>
              <w:jc w:val="right"/>
              <w:rPr>
                <w:szCs w:val="18"/>
              </w:rPr>
            </w:pPr>
            <w:r w:rsidRPr="00B275E2">
              <w:rPr>
                <w:rFonts w:cs="Calibri"/>
                <w:szCs w:val="18"/>
              </w:rPr>
              <w:t>0.000</w:t>
            </w:r>
          </w:p>
        </w:tc>
        <w:tc>
          <w:tcPr>
            <w:tcW w:w="1216" w:type="dxa"/>
            <w:tcBorders>
              <w:right w:val="single" w:sz="4" w:space="0" w:color="FFFFFF" w:themeColor="background1"/>
            </w:tcBorders>
            <w:shd w:val="clear" w:color="auto" w:fill="auto"/>
            <w:noWrap/>
          </w:tcPr>
          <w:p w14:paraId="65091EDD" w14:textId="66C7950E" w:rsidR="00AE34F1" w:rsidRPr="00B275E2" w:rsidRDefault="00AE34F1" w:rsidP="007F0B1E">
            <w:pPr>
              <w:pStyle w:val="TableText"/>
              <w:spacing w:before="40" w:after="40"/>
              <w:jc w:val="right"/>
              <w:rPr>
                <w:szCs w:val="18"/>
              </w:rPr>
            </w:pPr>
            <w:r w:rsidRPr="00B275E2">
              <w:rPr>
                <w:rFonts w:cs="Calibri"/>
                <w:szCs w:val="18"/>
              </w:rPr>
              <w:t>0.001</w:t>
            </w:r>
          </w:p>
        </w:tc>
      </w:tr>
      <w:tr w:rsidR="00AE34F1" w:rsidRPr="00B275E2" w14:paraId="030A21A1" w14:textId="77777777" w:rsidTr="00A82690">
        <w:trPr>
          <w:trHeight w:val="300"/>
        </w:trPr>
        <w:tc>
          <w:tcPr>
            <w:tcW w:w="1005" w:type="dxa"/>
            <w:vMerge/>
            <w:tcBorders>
              <w:left w:val="single" w:sz="4" w:space="0" w:color="FFFFFF" w:themeColor="background1"/>
            </w:tcBorders>
          </w:tcPr>
          <w:p w14:paraId="51155C20" w14:textId="77777777" w:rsidR="00AE34F1" w:rsidRPr="00B275E2" w:rsidRDefault="00AE34F1" w:rsidP="007F0B1E">
            <w:pPr>
              <w:pStyle w:val="TableText"/>
              <w:spacing w:before="40" w:after="40"/>
            </w:pPr>
          </w:p>
        </w:tc>
        <w:tc>
          <w:tcPr>
            <w:tcW w:w="2062" w:type="dxa"/>
            <w:shd w:val="clear" w:color="auto" w:fill="auto"/>
            <w:noWrap/>
          </w:tcPr>
          <w:p w14:paraId="3B7C0673" w14:textId="39B06AD3" w:rsidR="00AE34F1" w:rsidRPr="00B275E2" w:rsidRDefault="00AE34F1" w:rsidP="007F0B1E">
            <w:pPr>
              <w:pStyle w:val="TableText"/>
              <w:spacing w:before="40" w:after="40"/>
            </w:pPr>
            <w:r w:rsidRPr="00B275E2">
              <w:rPr>
                <w:rFonts w:cs="Calibri"/>
                <w:color w:val="000000"/>
                <w:szCs w:val="18"/>
              </w:rPr>
              <w:t>Diesel plug-in hybrid (electricity consumption)</w:t>
            </w:r>
          </w:p>
        </w:tc>
        <w:tc>
          <w:tcPr>
            <w:tcW w:w="682" w:type="dxa"/>
            <w:noWrap/>
          </w:tcPr>
          <w:p w14:paraId="201046EA" w14:textId="5248E34C" w:rsidR="00AE34F1" w:rsidRPr="00B275E2" w:rsidRDefault="00AE34F1" w:rsidP="007F0B1E">
            <w:pPr>
              <w:pStyle w:val="TableText"/>
              <w:spacing w:before="40" w:after="40"/>
            </w:pPr>
            <w:r w:rsidRPr="00B275E2">
              <w:t>km</w:t>
            </w:r>
          </w:p>
        </w:tc>
        <w:tc>
          <w:tcPr>
            <w:tcW w:w="1329" w:type="dxa"/>
            <w:shd w:val="clear" w:color="auto" w:fill="D2DDE1" w:themeFill="background2"/>
            <w:noWrap/>
          </w:tcPr>
          <w:p w14:paraId="2B7D5062" w14:textId="635B21ED" w:rsidR="00AE34F1" w:rsidRPr="00B275E2" w:rsidRDefault="00AE34F1" w:rsidP="007F0B1E">
            <w:pPr>
              <w:pStyle w:val="TableText"/>
              <w:spacing w:before="40" w:after="40"/>
              <w:jc w:val="right"/>
              <w:rPr>
                <w:rFonts w:cs="Calibri"/>
                <w:szCs w:val="18"/>
              </w:rPr>
            </w:pPr>
            <w:r w:rsidRPr="00B275E2">
              <w:rPr>
                <w:rFonts w:cs="Calibri"/>
                <w:szCs w:val="18"/>
              </w:rPr>
              <w:t>0.021</w:t>
            </w:r>
          </w:p>
        </w:tc>
        <w:tc>
          <w:tcPr>
            <w:tcW w:w="1134" w:type="dxa"/>
            <w:shd w:val="clear" w:color="auto" w:fill="auto"/>
            <w:noWrap/>
          </w:tcPr>
          <w:p w14:paraId="01817D1F" w14:textId="131E537E" w:rsidR="00AE34F1" w:rsidRPr="00B275E2" w:rsidRDefault="00AE34F1" w:rsidP="007F0B1E">
            <w:pPr>
              <w:pStyle w:val="TableText"/>
              <w:spacing w:before="40" w:after="40"/>
              <w:jc w:val="right"/>
              <w:rPr>
                <w:rFonts w:cs="Calibri"/>
                <w:szCs w:val="18"/>
              </w:rPr>
            </w:pPr>
            <w:r w:rsidRPr="00B275E2">
              <w:rPr>
                <w:rFonts w:cs="Calibri"/>
                <w:szCs w:val="18"/>
              </w:rPr>
              <w:t>0.010</w:t>
            </w:r>
          </w:p>
        </w:tc>
        <w:tc>
          <w:tcPr>
            <w:tcW w:w="1134" w:type="dxa"/>
            <w:shd w:val="clear" w:color="auto" w:fill="auto"/>
            <w:noWrap/>
          </w:tcPr>
          <w:p w14:paraId="5FA9C69B" w14:textId="77FD5DD8" w:rsidR="00AE34F1" w:rsidRPr="00B275E2" w:rsidRDefault="00AE34F1" w:rsidP="007F0B1E">
            <w:pPr>
              <w:pStyle w:val="TableText"/>
              <w:spacing w:before="40" w:after="40"/>
              <w:jc w:val="right"/>
              <w:rPr>
                <w:rFonts w:cs="Calibri"/>
                <w:szCs w:val="18"/>
              </w:rPr>
            </w:pPr>
            <w:r w:rsidRPr="00B275E2">
              <w:rPr>
                <w:rFonts w:cs="Calibri"/>
                <w:szCs w:val="18"/>
              </w:rPr>
              <w:t>0.010</w:t>
            </w:r>
          </w:p>
        </w:tc>
        <w:tc>
          <w:tcPr>
            <w:tcW w:w="1216" w:type="dxa"/>
            <w:tcBorders>
              <w:right w:val="single" w:sz="4" w:space="0" w:color="FFFFFF" w:themeColor="background1"/>
            </w:tcBorders>
            <w:shd w:val="clear" w:color="auto" w:fill="auto"/>
            <w:noWrap/>
          </w:tcPr>
          <w:p w14:paraId="0F3518EE" w14:textId="59BA4ADC" w:rsidR="00AE34F1" w:rsidRPr="00B275E2" w:rsidRDefault="00AE34F1" w:rsidP="007F0B1E">
            <w:pPr>
              <w:pStyle w:val="TableText"/>
              <w:spacing w:before="40" w:after="40"/>
              <w:jc w:val="right"/>
              <w:rPr>
                <w:rFonts w:cs="Calibri"/>
                <w:szCs w:val="18"/>
              </w:rPr>
            </w:pPr>
            <w:r w:rsidRPr="00B275E2">
              <w:rPr>
                <w:rFonts w:cs="Calibri"/>
                <w:szCs w:val="18"/>
              </w:rPr>
              <w:t>0.000</w:t>
            </w:r>
          </w:p>
        </w:tc>
      </w:tr>
      <w:tr w:rsidR="00AE34F1" w:rsidRPr="00B275E2" w14:paraId="65091EE6" w14:textId="77777777" w:rsidTr="00A82690">
        <w:trPr>
          <w:trHeight w:val="300"/>
        </w:trPr>
        <w:tc>
          <w:tcPr>
            <w:tcW w:w="1005" w:type="dxa"/>
            <w:vMerge/>
            <w:tcBorders>
              <w:left w:val="single" w:sz="4" w:space="0" w:color="FFFFFF" w:themeColor="background1"/>
            </w:tcBorders>
          </w:tcPr>
          <w:p w14:paraId="65091EDF" w14:textId="77777777" w:rsidR="00AE34F1" w:rsidRPr="00B275E2" w:rsidRDefault="00AE34F1" w:rsidP="007F0B1E">
            <w:pPr>
              <w:pStyle w:val="TableText"/>
              <w:spacing w:before="40" w:after="40"/>
            </w:pPr>
          </w:p>
        </w:tc>
        <w:tc>
          <w:tcPr>
            <w:tcW w:w="2062" w:type="dxa"/>
            <w:shd w:val="clear" w:color="auto" w:fill="auto"/>
            <w:noWrap/>
          </w:tcPr>
          <w:p w14:paraId="65091EE0" w14:textId="77777777" w:rsidR="00AE34F1" w:rsidRPr="00B275E2" w:rsidRDefault="00AE34F1" w:rsidP="007F0B1E">
            <w:pPr>
              <w:pStyle w:val="TableText"/>
              <w:spacing w:before="40" w:after="40"/>
            </w:pPr>
            <w:r w:rsidRPr="00B275E2">
              <w:t>Electric</w:t>
            </w:r>
          </w:p>
        </w:tc>
        <w:tc>
          <w:tcPr>
            <w:tcW w:w="682" w:type="dxa"/>
            <w:noWrap/>
          </w:tcPr>
          <w:p w14:paraId="65091EE1" w14:textId="77777777" w:rsidR="00AE34F1" w:rsidRPr="00B275E2" w:rsidRDefault="00AE34F1" w:rsidP="007F0B1E">
            <w:pPr>
              <w:pStyle w:val="TableText"/>
              <w:spacing w:before="40" w:after="40"/>
            </w:pPr>
            <w:r w:rsidRPr="00B275E2">
              <w:t>km</w:t>
            </w:r>
          </w:p>
        </w:tc>
        <w:tc>
          <w:tcPr>
            <w:tcW w:w="1329" w:type="dxa"/>
            <w:shd w:val="clear" w:color="auto" w:fill="D2DDE1" w:themeFill="background2"/>
            <w:noWrap/>
          </w:tcPr>
          <w:p w14:paraId="65091EE2" w14:textId="798A33B5" w:rsidR="00AE34F1" w:rsidRPr="00B275E2" w:rsidRDefault="00AE34F1" w:rsidP="007F0B1E">
            <w:pPr>
              <w:pStyle w:val="TableText"/>
              <w:spacing w:before="40" w:after="40"/>
              <w:jc w:val="right"/>
              <w:rPr>
                <w:szCs w:val="18"/>
              </w:rPr>
            </w:pPr>
            <w:r w:rsidRPr="00B275E2">
              <w:rPr>
                <w:rFonts w:cs="Calibri"/>
                <w:szCs w:val="18"/>
              </w:rPr>
              <w:t>0.023</w:t>
            </w:r>
          </w:p>
        </w:tc>
        <w:tc>
          <w:tcPr>
            <w:tcW w:w="1134" w:type="dxa"/>
            <w:shd w:val="clear" w:color="auto" w:fill="auto"/>
            <w:noWrap/>
          </w:tcPr>
          <w:p w14:paraId="65091EE3" w14:textId="6E76C2F6" w:rsidR="00AE34F1" w:rsidRPr="00B275E2" w:rsidRDefault="00AE34F1" w:rsidP="007F0B1E">
            <w:pPr>
              <w:pStyle w:val="TableText"/>
              <w:spacing w:before="40" w:after="40"/>
              <w:jc w:val="right"/>
              <w:rPr>
                <w:szCs w:val="18"/>
              </w:rPr>
            </w:pPr>
            <w:r w:rsidRPr="00B275E2">
              <w:rPr>
                <w:rFonts w:cs="Calibri"/>
                <w:szCs w:val="18"/>
              </w:rPr>
              <w:t>0.022</w:t>
            </w:r>
          </w:p>
        </w:tc>
        <w:tc>
          <w:tcPr>
            <w:tcW w:w="1134" w:type="dxa"/>
            <w:shd w:val="clear" w:color="auto" w:fill="auto"/>
            <w:noWrap/>
          </w:tcPr>
          <w:p w14:paraId="65091EE4" w14:textId="04E32347" w:rsidR="00AE34F1" w:rsidRPr="00B275E2" w:rsidRDefault="00AE34F1" w:rsidP="007F0B1E">
            <w:pPr>
              <w:pStyle w:val="TableText"/>
              <w:spacing w:before="40" w:after="40"/>
              <w:jc w:val="right"/>
              <w:rPr>
                <w:szCs w:val="18"/>
              </w:rPr>
            </w:pPr>
            <w:r w:rsidRPr="00B275E2">
              <w:rPr>
                <w:rFonts w:cs="Calibri"/>
                <w:szCs w:val="18"/>
              </w:rPr>
              <w:t>0.001</w:t>
            </w:r>
          </w:p>
        </w:tc>
        <w:tc>
          <w:tcPr>
            <w:tcW w:w="1216" w:type="dxa"/>
            <w:tcBorders>
              <w:right w:val="single" w:sz="4" w:space="0" w:color="FFFFFF" w:themeColor="background1"/>
            </w:tcBorders>
            <w:shd w:val="clear" w:color="auto" w:fill="auto"/>
            <w:noWrap/>
          </w:tcPr>
          <w:p w14:paraId="65091EE5" w14:textId="0C08717E" w:rsidR="00AE34F1" w:rsidRPr="00B275E2" w:rsidRDefault="00AE34F1" w:rsidP="007F0B1E">
            <w:pPr>
              <w:pStyle w:val="TableText"/>
              <w:spacing w:before="40" w:after="40"/>
              <w:jc w:val="right"/>
              <w:rPr>
                <w:szCs w:val="18"/>
              </w:rPr>
            </w:pPr>
            <w:r w:rsidRPr="00B275E2">
              <w:rPr>
                <w:rFonts w:cs="Calibri"/>
                <w:szCs w:val="18"/>
              </w:rPr>
              <w:t>0.00003</w:t>
            </w:r>
          </w:p>
        </w:tc>
      </w:tr>
    </w:tbl>
    <w:p w14:paraId="3757D667" w14:textId="10814528" w:rsidR="008B3986" w:rsidRPr="00B275E2" w:rsidRDefault="007C42DD" w:rsidP="007F0B1E">
      <w:pPr>
        <w:pStyle w:val="Note"/>
      </w:pPr>
      <w:bookmarkStart w:id="340" w:name="_Ref529835413"/>
      <w:r w:rsidRPr="00B275E2">
        <w:t>Note</w:t>
      </w:r>
      <w:r w:rsidR="00553680" w:rsidRPr="00B275E2">
        <w:t>:</w:t>
      </w:r>
      <w:r w:rsidRPr="00B275E2">
        <w:t xml:space="preserve"> </w:t>
      </w:r>
      <w:r w:rsidR="00553680" w:rsidRPr="00B275E2">
        <w:t xml:space="preserve">These </w:t>
      </w:r>
      <w:r w:rsidRPr="00B275E2">
        <w:t xml:space="preserve">numbers are rounded to three decimal places unless the number </w:t>
      </w:r>
      <w:r w:rsidR="00BA31FD" w:rsidRPr="00B275E2">
        <w:t>is significantly small</w:t>
      </w:r>
      <w:r w:rsidR="008B3986" w:rsidRPr="00B275E2">
        <w:t xml:space="preserve">. </w:t>
      </w:r>
    </w:p>
    <w:p w14:paraId="65091EE8" w14:textId="0EBEF960" w:rsidR="001D1CD6" w:rsidRPr="00B275E2" w:rsidRDefault="004837A7" w:rsidP="00BE2B06">
      <w:pPr>
        <w:pStyle w:val="Tableheading"/>
      </w:pPr>
      <w:bookmarkStart w:id="341" w:name="_Ref55220458"/>
      <w:bookmarkStart w:id="342" w:name="table21"/>
      <w:bookmarkStart w:id="343" w:name="_Ref535322037"/>
      <w:bookmarkStart w:id="344" w:name="_Ref611544"/>
      <w:bookmarkStart w:id="345" w:name="_Toc111536627"/>
      <w:r w:rsidRPr="00B275E2">
        <w:t xml:space="preserve">Table </w:t>
      </w:r>
      <w:bookmarkEnd w:id="341"/>
      <w:r w:rsidR="007635A9" w:rsidRPr="00B275E2">
        <w:fldChar w:fldCharType="begin"/>
      </w:r>
      <w:r w:rsidR="007635A9" w:rsidRPr="00B275E2">
        <w:instrText xml:space="preserve"> SEQ Table \* ARABIC </w:instrText>
      </w:r>
      <w:r w:rsidR="007635A9" w:rsidRPr="00B275E2">
        <w:fldChar w:fldCharType="separate"/>
      </w:r>
      <w:r w:rsidR="003E141C" w:rsidRPr="00B275E2">
        <w:t>22</w:t>
      </w:r>
      <w:r w:rsidR="007635A9" w:rsidRPr="00B275E2">
        <w:fldChar w:fldCharType="end"/>
      </w:r>
      <w:bookmarkEnd w:id="342"/>
      <w:r w:rsidR="00CB244F" w:rsidRPr="00B275E2">
        <w:t xml:space="preserve">: </w:t>
      </w:r>
      <w:r w:rsidRPr="00B275E2" w:rsidDel="004837A7">
        <w:tab/>
      </w:r>
      <w:r w:rsidRPr="00B275E2">
        <w:t>Emission factors for taxi travel</w:t>
      </w:r>
      <w:bookmarkEnd w:id="340"/>
      <w:bookmarkEnd w:id="343"/>
      <w:bookmarkEnd w:id="344"/>
      <w:bookmarkEnd w:id="345"/>
    </w:p>
    <w:tbl>
      <w:tblPr>
        <w:tblStyle w:val="TableGrid"/>
        <w:tblW w:w="8505"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785"/>
        <w:gridCol w:w="1533"/>
        <w:gridCol w:w="537"/>
        <w:gridCol w:w="1230"/>
        <w:gridCol w:w="1084"/>
        <w:gridCol w:w="1652"/>
        <w:gridCol w:w="1684"/>
      </w:tblGrid>
      <w:tr w:rsidR="00DE12A2" w:rsidRPr="00B275E2" w14:paraId="65091EEF" w14:textId="77777777" w:rsidTr="00B16149">
        <w:tc>
          <w:tcPr>
            <w:tcW w:w="0" w:type="auto"/>
            <w:gridSpan w:val="2"/>
            <w:shd w:val="clear" w:color="auto" w:fill="1B556B" w:themeFill="text2"/>
            <w:noWrap/>
            <w:hideMark/>
          </w:tcPr>
          <w:p w14:paraId="65091EE9" w14:textId="77777777" w:rsidR="007166EA" w:rsidRPr="00B275E2" w:rsidRDefault="007166EA" w:rsidP="007F0B1E">
            <w:pPr>
              <w:pStyle w:val="TableText"/>
              <w:spacing w:before="40" w:after="40"/>
              <w:rPr>
                <w:b/>
                <w:color w:val="FFFFFF" w:themeColor="background1"/>
              </w:rPr>
            </w:pPr>
            <w:r w:rsidRPr="00B275E2">
              <w:rPr>
                <w:b/>
                <w:color w:val="FFFFFF" w:themeColor="background1"/>
              </w:rPr>
              <w:t>Emission source</w:t>
            </w:r>
          </w:p>
        </w:tc>
        <w:tc>
          <w:tcPr>
            <w:tcW w:w="0" w:type="auto"/>
            <w:shd w:val="clear" w:color="auto" w:fill="1B556B" w:themeFill="text2"/>
            <w:noWrap/>
            <w:hideMark/>
          </w:tcPr>
          <w:p w14:paraId="65091EEA" w14:textId="77777777" w:rsidR="007166EA" w:rsidRPr="00B275E2" w:rsidRDefault="007166EA" w:rsidP="007F0B1E">
            <w:pPr>
              <w:pStyle w:val="TableText"/>
              <w:spacing w:before="40" w:after="40"/>
              <w:rPr>
                <w:b/>
                <w:color w:val="FFFFFF" w:themeColor="background1"/>
              </w:rPr>
            </w:pPr>
            <w:r w:rsidRPr="00B275E2">
              <w:rPr>
                <w:b/>
                <w:color w:val="FFFFFF" w:themeColor="background1"/>
              </w:rPr>
              <w:t>Unit</w:t>
            </w:r>
          </w:p>
        </w:tc>
        <w:tc>
          <w:tcPr>
            <w:tcW w:w="0" w:type="auto"/>
            <w:shd w:val="clear" w:color="auto" w:fill="D2DDE1" w:themeFill="background2"/>
            <w:noWrap/>
            <w:hideMark/>
          </w:tcPr>
          <w:p w14:paraId="65091EEB" w14:textId="7EBEBBF0" w:rsidR="007166EA" w:rsidRPr="00B275E2" w:rsidRDefault="007166EA" w:rsidP="00B16149">
            <w:pPr>
              <w:pStyle w:val="TableText"/>
              <w:spacing w:before="40" w:after="40"/>
              <w:jc w:val="right"/>
              <w:rPr>
                <w:b/>
              </w:rPr>
            </w:pPr>
            <w:r w:rsidRPr="00B275E2">
              <w:rPr>
                <w:b/>
              </w:rPr>
              <w:t>kg CO</w:t>
            </w:r>
            <w:r w:rsidRPr="00B275E2">
              <w:rPr>
                <w:b/>
                <w:vertAlign w:val="subscript"/>
              </w:rPr>
              <w:t>2</w:t>
            </w:r>
            <w:r w:rsidRPr="00B275E2">
              <w:rPr>
                <w:b/>
              </w:rPr>
              <w:t>-e/unit</w:t>
            </w:r>
          </w:p>
        </w:tc>
        <w:tc>
          <w:tcPr>
            <w:tcW w:w="0" w:type="auto"/>
            <w:shd w:val="clear" w:color="auto" w:fill="1B556B" w:themeFill="text2"/>
            <w:noWrap/>
            <w:vAlign w:val="bottom"/>
            <w:hideMark/>
          </w:tcPr>
          <w:p w14:paraId="65091EEC" w14:textId="752F5CC3" w:rsidR="007166EA" w:rsidRPr="00B275E2" w:rsidRDefault="007166EA" w:rsidP="00B16149">
            <w:pPr>
              <w:pStyle w:val="TableText"/>
              <w:spacing w:before="40" w:after="40"/>
              <w:jc w:val="right"/>
              <w:rPr>
                <w:b/>
                <w:color w:val="FFFFFF" w:themeColor="background1"/>
              </w:rPr>
            </w:pPr>
            <w:r w:rsidRPr="00B275E2">
              <w:rPr>
                <w:b/>
                <w:color w:val="FFFFFF" w:themeColor="background1"/>
              </w:rPr>
              <w:t>kg CO</w:t>
            </w:r>
            <w:r w:rsidRPr="00B275E2">
              <w:rPr>
                <w:b/>
                <w:color w:val="FFFFFF" w:themeColor="background1"/>
                <w:vertAlign w:val="subscript"/>
              </w:rPr>
              <w:t>2</w:t>
            </w:r>
            <w:r w:rsidR="00DE12A2" w:rsidRPr="00B275E2">
              <w:rPr>
                <w:b/>
                <w:color w:val="FFFFFF" w:themeColor="background1"/>
              </w:rPr>
              <w:t>/unit</w:t>
            </w:r>
          </w:p>
        </w:tc>
        <w:tc>
          <w:tcPr>
            <w:tcW w:w="0" w:type="auto"/>
            <w:shd w:val="clear" w:color="auto" w:fill="1B556B" w:themeFill="text2"/>
            <w:noWrap/>
            <w:vAlign w:val="bottom"/>
            <w:hideMark/>
          </w:tcPr>
          <w:p w14:paraId="65091EED" w14:textId="1A9457B6" w:rsidR="007166EA" w:rsidRPr="00B275E2" w:rsidRDefault="007166EA" w:rsidP="00B16149">
            <w:pPr>
              <w:pStyle w:val="TableText"/>
              <w:spacing w:before="40" w:after="40"/>
              <w:jc w:val="right"/>
              <w:rPr>
                <w:b/>
                <w:color w:val="FFFFFF" w:themeColor="background1"/>
              </w:rPr>
            </w:pPr>
            <w:r w:rsidRPr="00B275E2">
              <w:rPr>
                <w:b/>
                <w:bCs/>
                <w:color w:val="FFFFFF" w:themeColor="background1"/>
              </w:rPr>
              <w:t>CH</w:t>
            </w:r>
            <w:r w:rsidRPr="00B275E2">
              <w:rPr>
                <w:b/>
                <w:bCs/>
                <w:color w:val="FFFFFF" w:themeColor="background1"/>
                <w:vertAlign w:val="subscript"/>
              </w:rPr>
              <w:t>4</w:t>
            </w:r>
            <w:r w:rsidRPr="00B275E2">
              <w:rPr>
                <w:b/>
                <w:bCs/>
                <w:color w:val="FFFFFF" w:themeColor="background1"/>
              </w:rPr>
              <w:t xml:space="preserve"> (kg CO</w:t>
            </w:r>
            <w:r w:rsidRPr="00B275E2">
              <w:rPr>
                <w:b/>
                <w:bCs/>
                <w:color w:val="FFFFFF" w:themeColor="background1"/>
                <w:vertAlign w:val="subscript"/>
              </w:rPr>
              <w:t>2</w:t>
            </w:r>
            <w:r w:rsidRPr="00B275E2">
              <w:rPr>
                <w:b/>
                <w:bCs/>
                <w:color w:val="FFFFFF" w:themeColor="background1"/>
              </w:rPr>
              <w:t>-e)</w:t>
            </w:r>
            <w:r w:rsidR="00DE12A2" w:rsidRPr="00B275E2">
              <w:rPr>
                <w:b/>
                <w:bCs/>
                <w:color w:val="FFFFFF" w:themeColor="background1"/>
              </w:rPr>
              <w:t>/unit</w:t>
            </w:r>
          </w:p>
        </w:tc>
        <w:tc>
          <w:tcPr>
            <w:tcW w:w="0" w:type="auto"/>
            <w:tcBorders>
              <w:bottom w:val="single" w:sz="4" w:space="0" w:color="auto"/>
            </w:tcBorders>
            <w:shd w:val="clear" w:color="auto" w:fill="1B556B" w:themeFill="text2"/>
            <w:noWrap/>
            <w:vAlign w:val="bottom"/>
            <w:hideMark/>
          </w:tcPr>
          <w:p w14:paraId="65091EEE" w14:textId="2B18B84F" w:rsidR="007166EA" w:rsidRPr="00B275E2" w:rsidRDefault="007166EA" w:rsidP="00B16149">
            <w:pPr>
              <w:pStyle w:val="TableText"/>
              <w:spacing w:before="40" w:after="40"/>
              <w:jc w:val="right"/>
              <w:rPr>
                <w:b/>
                <w:color w:val="FFFFFF" w:themeColor="background1"/>
              </w:rPr>
            </w:pPr>
            <w:r w:rsidRPr="00B275E2">
              <w:rPr>
                <w:b/>
                <w:bCs/>
                <w:color w:val="FFFFFF" w:themeColor="background1"/>
              </w:rPr>
              <w:t>N</w:t>
            </w:r>
            <w:r w:rsidRPr="00B275E2">
              <w:rPr>
                <w:b/>
                <w:bCs/>
                <w:color w:val="FFFFFF" w:themeColor="background1"/>
                <w:vertAlign w:val="subscript"/>
              </w:rPr>
              <w:t>2</w:t>
            </w:r>
            <w:r w:rsidRPr="00B275E2">
              <w:rPr>
                <w:b/>
                <w:bCs/>
                <w:color w:val="FFFFFF" w:themeColor="background1"/>
              </w:rPr>
              <w:t>O (kg CO</w:t>
            </w:r>
            <w:r w:rsidRPr="00B275E2">
              <w:rPr>
                <w:b/>
                <w:bCs/>
                <w:color w:val="FFFFFF" w:themeColor="background1"/>
                <w:vertAlign w:val="subscript"/>
              </w:rPr>
              <w:t>2</w:t>
            </w:r>
            <w:r w:rsidRPr="00B275E2">
              <w:rPr>
                <w:b/>
                <w:bCs/>
                <w:color w:val="FFFFFF" w:themeColor="background1"/>
              </w:rPr>
              <w:t>-e)</w:t>
            </w:r>
            <w:r w:rsidR="00DE12A2" w:rsidRPr="00B275E2">
              <w:rPr>
                <w:b/>
                <w:bCs/>
                <w:color w:val="FFFFFF" w:themeColor="background1"/>
              </w:rPr>
              <w:t>/unit</w:t>
            </w:r>
          </w:p>
        </w:tc>
      </w:tr>
      <w:tr w:rsidR="00DE12A2" w:rsidRPr="00B275E2" w14:paraId="65091EF7" w14:textId="77777777" w:rsidTr="00423637">
        <w:trPr>
          <w:trHeight w:val="300"/>
        </w:trPr>
        <w:tc>
          <w:tcPr>
            <w:tcW w:w="0" w:type="auto"/>
            <w:vMerge w:val="restart"/>
            <w:hideMark/>
          </w:tcPr>
          <w:p w14:paraId="65091EF0" w14:textId="77777777" w:rsidR="001976F1" w:rsidRPr="00B275E2" w:rsidRDefault="001976F1" w:rsidP="007F0B1E">
            <w:pPr>
              <w:pStyle w:val="TableText"/>
              <w:spacing w:before="40" w:after="40"/>
              <w:rPr>
                <w:szCs w:val="18"/>
              </w:rPr>
            </w:pPr>
            <w:r w:rsidRPr="00B275E2">
              <w:rPr>
                <w:szCs w:val="18"/>
              </w:rPr>
              <w:t>Taxi travel</w:t>
            </w:r>
          </w:p>
        </w:tc>
        <w:tc>
          <w:tcPr>
            <w:tcW w:w="0" w:type="auto"/>
            <w:shd w:val="clear" w:color="auto" w:fill="auto"/>
            <w:noWrap/>
          </w:tcPr>
          <w:p w14:paraId="65091EF1" w14:textId="77777777" w:rsidR="001976F1" w:rsidRPr="00B275E2" w:rsidRDefault="001976F1" w:rsidP="007F0B1E">
            <w:pPr>
              <w:pStyle w:val="TableText"/>
              <w:spacing w:before="40" w:after="40"/>
              <w:rPr>
                <w:szCs w:val="18"/>
              </w:rPr>
            </w:pPr>
            <w:r w:rsidRPr="00B275E2">
              <w:rPr>
                <w:szCs w:val="18"/>
              </w:rPr>
              <w:t>Distance travelled</w:t>
            </w:r>
          </w:p>
        </w:tc>
        <w:tc>
          <w:tcPr>
            <w:tcW w:w="0" w:type="auto"/>
            <w:noWrap/>
            <w:hideMark/>
          </w:tcPr>
          <w:p w14:paraId="65091EF2" w14:textId="77777777" w:rsidR="001976F1" w:rsidRPr="00B275E2" w:rsidRDefault="001976F1" w:rsidP="007F0B1E">
            <w:pPr>
              <w:pStyle w:val="TableText"/>
              <w:spacing w:before="40" w:after="40"/>
              <w:rPr>
                <w:szCs w:val="18"/>
              </w:rPr>
            </w:pPr>
            <w:r w:rsidRPr="00B275E2">
              <w:rPr>
                <w:szCs w:val="18"/>
              </w:rPr>
              <w:t>km</w:t>
            </w:r>
          </w:p>
        </w:tc>
        <w:tc>
          <w:tcPr>
            <w:tcW w:w="0" w:type="auto"/>
            <w:tcBorders>
              <w:top w:val="single" w:sz="4" w:space="0" w:color="1C556C"/>
              <w:left w:val="single" w:sz="4" w:space="0" w:color="1C556C"/>
              <w:bottom w:val="single" w:sz="4" w:space="0" w:color="1C556C"/>
              <w:right w:val="single" w:sz="4" w:space="0" w:color="1C556C"/>
            </w:tcBorders>
            <w:shd w:val="clear" w:color="auto" w:fill="D2DDE1" w:themeFill="background2"/>
            <w:noWrap/>
          </w:tcPr>
          <w:p w14:paraId="65091EF3" w14:textId="49168276" w:rsidR="001976F1" w:rsidRPr="00B275E2" w:rsidRDefault="001976F1" w:rsidP="007F0B1E">
            <w:pPr>
              <w:pStyle w:val="TableText"/>
              <w:spacing w:before="40" w:after="40"/>
              <w:jc w:val="right"/>
              <w:rPr>
                <w:szCs w:val="18"/>
              </w:rPr>
            </w:pPr>
            <w:r w:rsidRPr="00B275E2">
              <w:rPr>
                <w:rFonts w:cs="Calibri"/>
                <w:szCs w:val="18"/>
              </w:rPr>
              <w:t>0.225</w:t>
            </w:r>
          </w:p>
        </w:tc>
        <w:tc>
          <w:tcPr>
            <w:tcW w:w="0" w:type="auto"/>
            <w:tcBorders>
              <w:top w:val="single" w:sz="4" w:space="0" w:color="1C556C"/>
              <w:left w:val="nil"/>
              <w:bottom w:val="single" w:sz="4" w:space="0" w:color="1C556C"/>
              <w:right w:val="single" w:sz="4" w:space="0" w:color="1C556C"/>
            </w:tcBorders>
            <w:shd w:val="clear" w:color="auto" w:fill="auto"/>
            <w:noWrap/>
          </w:tcPr>
          <w:p w14:paraId="65091EF4" w14:textId="7BD62E45" w:rsidR="001976F1" w:rsidRPr="00B275E2" w:rsidRDefault="001976F1" w:rsidP="007F0B1E">
            <w:pPr>
              <w:pStyle w:val="TableText"/>
              <w:spacing w:before="40" w:after="40"/>
              <w:jc w:val="right"/>
              <w:rPr>
                <w:szCs w:val="18"/>
              </w:rPr>
            </w:pPr>
            <w:r w:rsidRPr="00B275E2">
              <w:rPr>
                <w:rFonts w:cs="Calibri"/>
                <w:szCs w:val="18"/>
              </w:rPr>
              <w:t>0.221</w:t>
            </w:r>
          </w:p>
        </w:tc>
        <w:tc>
          <w:tcPr>
            <w:tcW w:w="0" w:type="auto"/>
            <w:tcBorders>
              <w:top w:val="single" w:sz="4" w:space="0" w:color="1C556C"/>
              <w:left w:val="nil"/>
              <w:bottom w:val="single" w:sz="4" w:space="0" w:color="1C556C"/>
              <w:right w:val="single" w:sz="4" w:space="0" w:color="1C556C"/>
            </w:tcBorders>
            <w:shd w:val="clear" w:color="auto" w:fill="auto"/>
            <w:noWrap/>
          </w:tcPr>
          <w:p w14:paraId="65091EF5" w14:textId="12E18CC1" w:rsidR="001976F1" w:rsidRPr="00B275E2" w:rsidRDefault="001976F1" w:rsidP="007F0B1E">
            <w:pPr>
              <w:pStyle w:val="TableText"/>
              <w:spacing w:before="40" w:after="40"/>
              <w:jc w:val="right"/>
              <w:rPr>
                <w:szCs w:val="18"/>
              </w:rPr>
            </w:pPr>
            <w:r w:rsidRPr="00B275E2">
              <w:rPr>
                <w:rFonts w:cs="Calibri"/>
                <w:szCs w:val="18"/>
              </w:rPr>
              <w:t>0.0003</w:t>
            </w:r>
          </w:p>
        </w:tc>
        <w:tc>
          <w:tcPr>
            <w:tcW w:w="0" w:type="auto"/>
            <w:tcBorders>
              <w:top w:val="single" w:sz="4" w:space="0" w:color="1C556C"/>
              <w:left w:val="nil"/>
              <w:bottom w:val="single" w:sz="4" w:space="0" w:color="1C556C"/>
              <w:right w:val="nil"/>
            </w:tcBorders>
            <w:shd w:val="clear" w:color="auto" w:fill="auto"/>
            <w:noWrap/>
          </w:tcPr>
          <w:p w14:paraId="65091EF6" w14:textId="715ACC84" w:rsidR="001976F1" w:rsidRPr="00B275E2" w:rsidRDefault="001976F1" w:rsidP="007F0B1E">
            <w:pPr>
              <w:pStyle w:val="TableText"/>
              <w:spacing w:before="40" w:after="40"/>
              <w:jc w:val="right"/>
              <w:rPr>
                <w:szCs w:val="18"/>
              </w:rPr>
            </w:pPr>
            <w:r w:rsidRPr="00B275E2">
              <w:rPr>
                <w:rFonts w:cs="Calibri"/>
                <w:szCs w:val="18"/>
              </w:rPr>
              <w:t>0.004</w:t>
            </w:r>
          </w:p>
        </w:tc>
      </w:tr>
      <w:tr w:rsidR="00DE12A2" w:rsidRPr="00B275E2" w14:paraId="65091EFF" w14:textId="77777777" w:rsidTr="00423637">
        <w:trPr>
          <w:trHeight w:val="300"/>
        </w:trPr>
        <w:tc>
          <w:tcPr>
            <w:tcW w:w="0" w:type="auto"/>
            <w:vMerge/>
            <w:hideMark/>
          </w:tcPr>
          <w:p w14:paraId="65091EF8" w14:textId="77777777" w:rsidR="001976F1" w:rsidRPr="00B275E2" w:rsidRDefault="001976F1" w:rsidP="007F0B1E">
            <w:pPr>
              <w:pStyle w:val="TableText"/>
              <w:spacing w:before="40" w:after="40"/>
              <w:rPr>
                <w:szCs w:val="18"/>
              </w:rPr>
            </w:pPr>
          </w:p>
        </w:tc>
        <w:tc>
          <w:tcPr>
            <w:tcW w:w="0" w:type="auto"/>
            <w:shd w:val="clear" w:color="auto" w:fill="auto"/>
            <w:noWrap/>
          </w:tcPr>
          <w:p w14:paraId="65091EF9" w14:textId="77777777" w:rsidR="001976F1" w:rsidRPr="00B275E2" w:rsidRDefault="001976F1" w:rsidP="007F0B1E">
            <w:pPr>
              <w:pStyle w:val="TableText"/>
              <w:spacing w:before="40" w:after="40"/>
              <w:rPr>
                <w:szCs w:val="18"/>
              </w:rPr>
            </w:pPr>
            <w:r w:rsidRPr="00B275E2">
              <w:rPr>
                <w:szCs w:val="18"/>
              </w:rPr>
              <w:t>Dollars spent</w:t>
            </w:r>
          </w:p>
        </w:tc>
        <w:tc>
          <w:tcPr>
            <w:tcW w:w="0" w:type="auto"/>
            <w:noWrap/>
            <w:hideMark/>
          </w:tcPr>
          <w:p w14:paraId="65091EFA" w14:textId="77777777" w:rsidR="001976F1" w:rsidRPr="00B275E2" w:rsidRDefault="001976F1" w:rsidP="007F0B1E">
            <w:pPr>
              <w:pStyle w:val="TableText"/>
              <w:spacing w:before="40" w:after="40"/>
              <w:rPr>
                <w:szCs w:val="18"/>
              </w:rPr>
            </w:pPr>
            <w:r w:rsidRPr="00B275E2">
              <w:rPr>
                <w:szCs w:val="18"/>
              </w:rPr>
              <w:t>$</w:t>
            </w:r>
          </w:p>
        </w:tc>
        <w:tc>
          <w:tcPr>
            <w:tcW w:w="0" w:type="auto"/>
            <w:tcBorders>
              <w:top w:val="nil"/>
              <w:left w:val="single" w:sz="4" w:space="0" w:color="1C556C"/>
              <w:bottom w:val="single" w:sz="4" w:space="0" w:color="1C556C"/>
              <w:right w:val="single" w:sz="4" w:space="0" w:color="1C556C"/>
            </w:tcBorders>
            <w:shd w:val="clear" w:color="auto" w:fill="D2DDE1" w:themeFill="background2"/>
            <w:noWrap/>
          </w:tcPr>
          <w:p w14:paraId="65091EFB" w14:textId="1143DC43" w:rsidR="001976F1" w:rsidRPr="00B275E2" w:rsidRDefault="001976F1" w:rsidP="007F0B1E">
            <w:pPr>
              <w:pStyle w:val="TableText"/>
              <w:spacing w:before="40" w:after="40"/>
              <w:jc w:val="right"/>
              <w:rPr>
                <w:szCs w:val="18"/>
              </w:rPr>
            </w:pPr>
            <w:r w:rsidRPr="00B275E2">
              <w:rPr>
                <w:rFonts w:cs="Calibri"/>
                <w:szCs w:val="18"/>
              </w:rPr>
              <w:t>0.070</w:t>
            </w:r>
          </w:p>
        </w:tc>
        <w:tc>
          <w:tcPr>
            <w:tcW w:w="0" w:type="auto"/>
            <w:tcBorders>
              <w:top w:val="nil"/>
              <w:left w:val="nil"/>
              <w:bottom w:val="single" w:sz="4" w:space="0" w:color="1C556C"/>
              <w:right w:val="single" w:sz="4" w:space="0" w:color="1C556C"/>
            </w:tcBorders>
            <w:shd w:val="clear" w:color="auto" w:fill="auto"/>
            <w:noWrap/>
          </w:tcPr>
          <w:p w14:paraId="65091EFC" w14:textId="211EC6D9" w:rsidR="001976F1" w:rsidRPr="00B275E2" w:rsidRDefault="001976F1" w:rsidP="007F0B1E">
            <w:pPr>
              <w:pStyle w:val="TableText"/>
              <w:spacing w:before="40" w:after="40"/>
              <w:jc w:val="right"/>
              <w:rPr>
                <w:szCs w:val="18"/>
              </w:rPr>
            </w:pPr>
            <w:r w:rsidRPr="00B275E2">
              <w:rPr>
                <w:rFonts w:cs="Calibri"/>
                <w:szCs w:val="18"/>
              </w:rPr>
              <w:t>0.069</w:t>
            </w:r>
          </w:p>
        </w:tc>
        <w:tc>
          <w:tcPr>
            <w:tcW w:w="0" w:type="auto"/>
            <w:tcBorders>
              <w:top w:val="nil"/>
              <w:left w:val="nil"/>
              <w:bottom w:val="single" w:sz="4" w:space="0" w:color="1C556C"/>
              <w:right w:val="single" w:sz="4" w:space="0" w:color="1C556C"/>
            </w:tcBorders>
            <w:shd w:val="clear" w:color="auto" w:fill="auto"/>
            <w:noWrap/>
          </w:tcPr>
          <w:p w14:paraId="65091EFD" w14:textId="23E8797A" w:rsidR="001976F1" w:rsidRPr="00B275E2" w:rsidRDefault="001976F1" w:rsidP="007F0B1E">
            <w:pPr>
              <w:pStyle w:val="TableText"/>
              <w:spacing w:before="40" w:after="40"/>
              <w:jc w:val="right"/>
              <w:rPr>
                <w:szCs w:val="18"/>
              </w:rPr>
            </w:pPr>
            <w:r w:rsidRPr="00B275E2">
              <w:rPr>
                <w:rFonts w:cs="Calibri"/>
                <w:szCs w:val="18"/>
              </w:rPr>
              <w:t>0.0001</w:t>
            </w:r>
          </w:p>
        </w:tc>
        <w:tc>
          <w:tcPr>
            <w:tcW w:w="0" w:type="auto"/>
            <w:tcBorders>
              <w:top w:val="nil"/>
              <w:left w:val="nil"/>
              <w:bottom w:val="single" w:sz="4" w:space="0" w:color="1C556C"/>
              <w:right w:val="nil"/>
            </w:tcBorders>
            <w:shd w:val="clear" w:color="auto" w:fill="auto"/>
            <w:noWrap/>
          </w:tcPr>
          <w:p w14:paraId="65091EFE" w14:textId="2BCC2E47" w:rsidR="001976F1" w:rsidRPr="00B275E2" w:rsidRDefault="001976F1" w:rsidP="007F0B1E">
            <w:pPr>
              <w:pStyle w:val="TableText"/>
              <w:spacing w:before="40" w:after="40"/>
              <w:jc w:val="right"/>
              <w:rPr>
                <w:szCs w:val="18"/>
              </w:rPr>
            </w:pPr>
            <w:r w:rsidRPr="00B275E2">
              <w:rPr>
                <w:rFonts w:cs="Calibri"/>
                <w:szCs w:val="18"/>
              </w:rPr>
              <w:t>0.001</w:t>
            </w:r>
          </w:p>
        </w:tc>
      </w:tr>
    </w:tbl>
    <w:p w14:paraId="4FED17EB" w14:textId="57355B19" w:rsidR="008B3986" w:rsidRPr="00B275E2" w:rsidRDefault="008B3986" w:rsidP="007F0B1E">
      <w:pPr>
        <w:pStyle w:val="Note"/>
      </w:pPr>
      <w:r w:rsidRPr="00B275E2">
        <w:t>Note</w:t>
      </w:r>
      <w:r w:rsidR="00553680" w:rsidRPr="00B275E2">
        <w:t>:</w:t>
      </w:r>
      <w:r w:rsidRPr="00B275E2">
        <w:t xml:space="preserve"> </w:t>
      </w:r>
      <w:r w:rsidR="00553680" w:rsidRPr="00B275E2">
        <w:t xml:space="preserve">These </w:t>
      </w:r>
      <w:r w:rsidRPr="00B275E2">
        <w:t xml:space="preserve">numbers are rounded to three </w:t>
      </w:r>
      <w:r w:rsidR="003228BB" w:rsidRPr="00B275E2">
        <w:t>decimal places</w:t>
      </w:r>
      <w:r w:rsidRPr="00B275E2">
        <w:t xml:space="preserve"> unless the number is significantly small. </w:t>
      </w:r>
    </w:p>
    <w:p w14:paraId="569C4EB7" w14:textId="0E8B9C28" w:rsidR="002F25F0" w:rsidRPr="00B275E2" w:rsidRDefault="00301928" w:rsidP="006B7605">
      <w:pPr>
        <w:pStyle w:val="Heading3"/>
      </w:pPr>
      <w:bookmarkStart w:id="346" w:name="_Toc532904896"/>
      <w:r w:rsidRPr="00B275E2">
        <w:t xml:space="preserve">GHG </w:t>
      </w:r>
      <w:r w:rsidR="002F25F0" w:rsidRPr="00B275E2">
        <w:t>inventory development</w:t>
      </w:r>
      <w:bookmarkEnd w:id="346"/>
    </w:p>
    <w:p w14:paraId="56878A1E" w14:textId="58C66E1A" w:rsidR="0014474E" w:rsidRPr="00B275E2" w:rsidRDefault="0014474E" w:rsidP="007F0B1E">
      <w:pPr>
        <w:pStyle w:val="BodyText"/>
        <w:rPr>
          <w:spacing w:val="4"/>
        </w:rPr>
      </w:pPr>
      <w:r w:rsidRPr="00B275E2">
        <w:rPr>
          <w:spacing w:val="4"/>
        </w:rPr>
        <w:t xml:space="preserve">Organisations should gather the activity data on passenger vehicle use with as much detail as possible, including age of the vehicle, </w:t>
      </w:r>
      <w:r w:rsidR="00495366" w:rsidRPr="00B275E2">
        <w:rPr>
          <w:spacing w:val="4"/>
        </w:rPr>
        <w:t xml:space="preserve">engine </w:t>
      </w:r>
      <w:r w:rsidRPr="00B275E2">
        <w:rPr>
          <w:spacing w:val="4"/>
        </w:rPr>
        <w:t>size, fuel type and k</w:t>
      </w:r>
      <w:r w:rsidR="00495366" w:rsidRPr="00B275E2">
        <w:rPr>
          <w:spacing w:val="4"/>
        </w:rPr>
        <w:t xml:space="preserve">ilometres </w:t>
      </w:r>
      <w:r w:rsidRPr="00B275E2">
        <w:rPr>
          <w:spacing w:val="4"/>
        </w:rPr>
        <w:t xml:space="preserve">travelled. </w:t>
      </w:r>
      <w:bookmarkStart w:id="347" w:name="_Hlk532893087"/>
      <w:r w:rsidR="009F7DDE" w:rsidRPr="00B275E2">
        <w:rPr>
          <w:spacing w:val="4"/>
        </w:rPr>
        <w:t xml:space="preserve">If </w:t>
      </w:r>
      <w:r w:rsidRPr="00B275E2">
        <w:rPr>
          <w:spacing w:val="4"/>
        </w:rPr>
        <w:t xml:space="preserve">information is not available, </w:t>
      </w:r>
      <w:r w:rsidR="008B3986" w:rsidRPr="00B275E2">
        <w:rPr>
          <w:spacing w:val="4"/>
        </w:rPr>
        <w:t xml:space="preserve">we provide </w:t>
      </w:r>
      <w:r w:rsidR="00C97E31" w:rsidRPr="00B275E2">
        <w:rPr>
          <w:spacing w:val="4"/>
        </w:rPr>
        <w:t xml:space="preserve">conservative </w:t>
      </w:r>
      <w:r w:rsidRPr="00B275E2">
        <w:rPr>
          <w:spacing w:val="4"/>
        </w:rPr>
        <w:t>defaults to allow for over</w:t>
      </w:r>
      <w:r w:rsidR="009F7DDE" w:rsidRPr="00B275E2">
        <w:rPr>
          <w:spacing w:val="4"/>
        </w:rPr>
        <w:t>- rather than</w:t>
      </w:r>
      <w:r w:rsidR="00710011" w:rsidRPr="00B275E2">
        <w:rPr>
          <w:spacing w:val="4"/>
        </w:rPr>
        <w:t> </w:t>
      </w:r>
      <w:r w:rsidRPr="00B275E2">
        <w:rPr>
          <w:spacing w:val="4"/>
        </w:rPr>
        <w:t xml:space="preserve">underestimation. </w:t>
      </w:r>
      <w:bookmarkEnd w:id="347"/>
    </w:p>
    <w:p w14:paraId="45849F3E" w14:textId="6B46A9E1" w:rsidR="002F25F0" w:rsidRPr="00B275E2" w:rsidRDefault="0014474E" w:rsidP="007F0B1E">
      <w:pPr>
        <w:pStyle w:val="BodyText"/>
        <w:rPr>
          <w:color w:val="1B556B" w:themeColor="text2"/>
          <w:u w:val="single"/>
        </w:rPr>
      </w:pPr>
      <w:r w:rsidRPr="00B275E2">
        <w:t xml:space="preserve">If fuel-use data </w:t>
      </w:r>
      <w:r w:rsidR="0003097B" w:rsidRPr="00B275E2">
        <w:t>are</w:t>
      </w:r>
      <w:r w:rsidRPr="00B275E2">
        <w:t xml:space="preserve"> available, see </w:t>
      </w:r>
      <w:r w:rsidRPr="00B275E2">
        <w:rPr>
          <w:rStyle w:val="Hyperlink"/>
        </w:rPr>
        <w:t>section</w:t>
      </w:r>
      <w:r w:rsidR="00705C73" w:rsidRPr="00B275E2">
        <w:rPr>
          <w:rStyle w:val="Hyperlink"/>
        </w:rPr>
        <w:t xml:space="preserve"> </w:t>
      </w:r>
      <w:r w:rsidR="00705C73" w:rsidRPr="00B275E2">
        <w:rPr>
          <w:color w:val="32809C" w:themeColor="accent2"/>
        </w:rPr>
        <w:fldChar w:fldCharType="begin"/>
      </w:r>
      <w:r w:rsidR="00705C73" w:rsidRPr="00B275E2">
        <w:rPr>
          <w:color w:val="32809C" w:themeColor="accent2"/>
        </w:rPr>
        <w:instrText xml:space="preserve"> REF _Ref532308943 \r \h </w:instrText>
      </w:r>
      <w:r w:rsidR="00A3582B" w:rsidRPr="00B275E2">
        <w:rPr>
          <w:color w:val="32809C" w:themeColor="accent2"/>
        </w:rPr>
        <w:instrText xml:space="preserve"> \* MERGEFORMAT </w:instrText>
      </w:r>
      <w:r w:rsidR="00705C73" w:rsidRPr="00B275E2">
        <w:rPr>
          <w:color w:val="32809C" w:themeColor="accent2"/>
        </w:rPr>
      </w:r>
      <w:r w:rsidR="00705C73" w:rsidRPr="00B275E2">
        <w:rPr>
          <w:color w:val="32809C" w:themeColor="accent2"/>
        </w:rPr>
        <w:fldChar w:fldCharType="separate"/>
      </w:r>
      <w:r w:rsidR="003E141C" w:rsidRPr="00B275E2">
        <w:rPr>
          <w:color w:val="32809C" w:themeColor="accent2"/>
        </w:rPr>
        <w:t>3.3</w:t>
      </w:r>
      <w:r w:rsidR="00705C73" w:rsidRPr="00B275E2">
        <w:rPr>
          <w:color w:val="32809C" w:themeColor="accent2"/>
        </w:rPr>
        <w:fldChar w:fldCharType="end"/>
      </w:r>
      <w:r w:rsidR="002F25F0" w:rsidRPr="00B275E2">
        <w:t>.</w:t>
      </w:r>
    </w:p>
    <w:p w14:paraId="0CF394D3" w14:textId="1EAD590B" w:rsidR="003C724A" w:rsidRPr="00B275E2" w:rsidRDefault="0014474E" w:rsidP="007F0B1E">
      <w:pPr>
        <w:pStyle w:val="BodyText"/>
      </w:pPr>
      <w:r w:rsidRPr="00B275E2">
        <w:t xml:space="preserve">If fuel-use data </w:t>
      </w:r>
      <w:r w:rsidR="0003097B" w:rsidRPr="00B275E2">
        <w:t>are</w:t>
      </w:r>
      <w:r w:rsidRPr="00B275E2">
        <w:t xml:space="preserve"> not available, collect data on k</w:t>
      </w:r>
      <w:r w:rsidR="00B5255F" w:rsidRPr="00B275E2">
        <w:t>ilo</w:t>
      </w:r>
      <w:r w:rsidRPr="00B275E2">
        <w:t>m</w:t>
      </w:r>
      <w:r w:rsidR="00B5255F" w:rsidRPr="00B275E2">
        <w:t>etres</w:t>
      </w:r>
      <w:r w:rsidRPr="00B275E2">
        <w:t xml:space="preserve"> travelled by vehicle type and multiply this by the emission factor based on distance travelled for each GHG. </w:t>
      </w:r>
      <w:r w:rsidR="00175B5E" w:rsidRPr="00B275E2">
        <w:t xml:space="preserve">If the vehicle is electric </w:t>
      </w:r>
      <w:r w:rsidR="003C724A" w:rsidRPr="00B275E2">
        <w:t xml:space="preserve">and the charging point is within the </w:t>
      </w:r>
      <w:r w:rsidR="00EE0DF2" w:rsidRPr="00B275E2">
        <w:t>organisation’s</w:t>
      </w:r>
      <w:r w:rsidR="003C724A" w:rsidRPr="00B275E2">
        <w:t xml:space="preserve"> </w:t>
      </w:r>
      <w:r w:rsidR="00EE0DF2" w:rsidRPr="00B275E2">
        <w:t>boundaries,</w:t>
      </w:r>
      <w:r w:rsidR="003C724A" w:rsidRPr="00B275E2">
        <w:t xml:space="preserve"> this is a </w:t>
      </w:r>
      <w:r w:rsidR="00EE0DF2" w:rsidRPr="00B275E2">
        <w:t>direct (S</w:t>
      </w:r>
      <w:r w:rsidR="003C724A" w:rsidRPr="00B275E2">
        <w:t>cope 1</w:t>
      </w:r>
      <w:r w:rsidR="00EE0DF2" w:rsidRPr="00B275E2">
        <w:t>)</w:t>
      </w:r>
      <w:r w:rsidR="003C724A" w:rsidRPr="00B275E2">
        <w:t xml:space="preserve"> emission source and emissions are zero.</w:t>
      </w:r>
      <w:r w:rsidR="006935C4" w:rsidRPr="00B275E2">
        <w:t xml:space="preserve"> </w:t>
      </w:r>
      <w:r w:rsidR="00B5255F" w:rsidRPr="00B275E2">
        <w:t xml:space="preserve">If </w:t>
      </w:r>
      <w:r w:rsidR="009646AF" w:rsidRPr="00B275E2">
        <w:t>travel is by rideshare apps (ie</w:t>
      </w:r>
      <w:r w:rsidR="00B5255F" w:rsidRPr="00B275E2">
        <w:t>,</w:t>
      </w:r>
      <w:r w:rsidR="009646AF" w:rsidRPr="00B275E2">
        <w:t xml:space="preserve"> Uber</w:t>
      </w:r>
      <w:r w:rsidR="007D714A" w:rsidRPr="00B275E2">
        <w:t xml:space="preserve">, </w:t>
      </w:r>
      <w:r w:rsidR="009646AF" w:rsidRPr="00B275E2">
        <w:t>Zoomy</w:t>
      </w:r>
      <w:r w:rsidR="007D714A" w:rsidRPr="00B275E2">
        <w:t xml:space="preserve"> or Ola</w:t>
      </w:r>
      <w:r w:rsidR="009646AF" w:rsidRPr="00B275E2">
        <w:t xml:space="preserve">), </w:t>
      </w:r>
      <w:r w:rsidR="009169F9" w:rsidRPr="00B275E2">
        <w:t>we recommend</w:t>
      </w:r>
      <w:r w:rsidR="009646AF" w:rsidRPr="00B275E2">
        <w:t xml:space="preserve"> using the taxi travel emission factors by distance travelled (</w:t>
      </w:r>
      <w:hyperlink w:anchor="table22" w:history="1">
        <w:r w:rsidR="00710011" w:rsidRPr="00B275E2">
          <w:rPr>
            <w:rStyle w:val="Hyperlink"/>
          </w:rPr>
          <w:t>table 22</w:t>
        </w:r>
      </w:hyperlink>
      <w:r w:rsidR="009646AF" w:rsidRPr="00B275E2">
        <w:t xml:space="preserve">). </w:t>
      </w:r>
      <w:r w:rsidR="00B5255F" w:rsidRPr="00B275E2">
        <w:t xml:space="preserve">If </w:t>
      </w:r>
      <w:r w:rsidR="009646AF" w:rsidRPr="00B275E2">
        <w:t>this information is not available</w:t>
      </w:r>
      <w:r w:rsidR="00EE0DF2" w:rsidRPr="00B275E2">
        <w:t>, use the</w:t>
      </w:r>
      <w:r w:rsidR="009646AF" w:rsidRPr="00B275E2">
        <w:t xml:space="preserve"> taxi emission factors per dollars spent.</w:t>
      </w:r>
    </w:p>
    <w:p w14:paraId="3C64A058" w14:textId="43EB6053" w:rsidR="002F25F0" w:rsidRPr="00B275E2" w:rsidRDefault="008B3986" w:rsidP="007F0B1E">
      <w:pPr>
        <w:pStyle w:val="BodyText"/>
      </w:pPr>
      <w:r w:rsidRPr="00B275E2">
        <w:t xml:space="preserve">Applying the equation </w:t>
      </w:r>
      <w:r w:rsidR="00326E2B" w:rsidRPr="00B275E2">
        <w:t>E= Q x F</w:t>
      </w:r>
      <w:r w:rsidR="00715A31" w:rsidRPr="00B275E2">
        <w:t xml:space="preserve"> </w:t>
      </w:r>
      <w:r w:rsidR="00326E2B" w:rsidRPr="00B275E2">
        <w:t>(</w:t>
      </w:r>
      <w:hyperlink w:anchor="_How_to_calculate" w:history="1">
        <w:r w:rsidR="00E52C1F" w:rsidRPr="00B275E2">
          <w:rPr>
            <w:rStyle w:val="Hyperlink"/>
          </w:rPr>
          <w:t>s</w:t>
        </w:r>
        <w:r w:rsidR="006D445E" w:rsidRPr="00B275E2">
          <w:rPr>
            <w:rStyle w:val="Hyperlink"/>
          </w:rPr>
          <w:t>ection 2</w:t>
        </w:r>
      </w:hyperlink>
      <w:r w:rsidR="00326E2B" w:rsidRPr="00B275E2">
        <w:rPr>
          <w:rStyle w:val="Hyperlink"/>
          <w:color w:val="auto"/>
        </w:rPr>
        <w:t>)</w:t>
      </w:r>
      <w:r w:rsidRPr="00B275E2">
        <w:t>, this means</w:t>
      </w:r>
      <w:r w:rsidR="002F25F0" w:rsidRPr="00B275E2">
        <w:t>:</w:t>
      </w:r>
    </w:p>
    <w:p w14:paraId="2CBB7A42" w14:textId="704CE85D" w:rsidR="00326E2B" w:rsidRPr="00B275E2" w:rsidRDefault="00326E2B" w:rsidP="00A41BA6">
      <w:pPr>
        <w:pStyle w:val="BodyText"/>
        <w:tabs>
          <w:tab w:val="left" w:pos="680"/>
          <w:tab w:val="left" w:pos="1134"/>
        </w:tabs>
        <w:contextualSpacing/>
      </w:pPr>
      <w:r w:rsidRPr="00B275E2">
        <w:t>E</w:t>
      </w:r>
      <w:r w:rsidRPr="00B275E2">
        <w:tab/>
        <w:t>=</w:t>
      </w:r>
      <w:r w:rsidRPr="00B275E2">
        <w:tab/>
        <w:t>emissions from the emissions source in kg CO</w:t>
      </w:r>
      <w:r w:rsidRPr="00B275E2">
        <w:rPr>
          <w:vertAlign w:val="subscript"/>
        </w:rPr>
        <w:t>2</w:t>
      </w:r>
      <w:r w:rsidRPr="00B275E2">
        <w:t>-e per year</w:t>
      </w:r>
    </w:p>
    <w:p w14:paraId="7B682D8D" w14:textId="25EA5918" w:rsidR="002F25F0" w:rsidRPr="00B275E2" w:rsidRDefault="00EB24EB" w:rsidP="00A41BA6">
      <w:pPr>
        <w:pStyle w:val="BodyText"/>
        <w:tabs>
          <w:tab w:val="left" w:pos="680"/>
          <w:tab w:val="left" w:pos="1134"/>
        </w:tabs>
        <w:contextualSpacing/>
      </w:pPr>
      <w:r w:rsidRPr="00B275E2">
        <w:t>Q</w:t>
      </w:r>
      <w:r w:rsidRPr="00B275E2">
        <w:tab/>
      </w:r>
      <w:r w:rsidR="002F25F0" w:rsidRPr="00B275E2">
        <w:t>=</w:t>
      </w:r>
      <w:r w:rsidRPr="00B275E2">
        <w:tab/>
      </w:r>
      <w:r w:rsidR="00B5255F" w:rsidRPr="00B275E2">
        <w:t>d</w:t>
      </w:r>
      <w:r w:rsidR="002F25F0" w:rsidRPr="00B275E2">
        <w:t>istance travelled by vehicle type (km)</w:t>
      </w:r>
    </w:p>
    <w:p w14:paraId="5A43F4FE" w14:textId="3F1E582B" w:rsidR="002F25F0" w:rsidRPr="00B275E2" w:rsidRDefault="00EB24EB" w:rsidP="00A41BA6">
      <w:pPr>
        <w:pStyle w:val="BodyText"/>
        <w:tabs>
          <w:tab w:val="left" w:pos="680"/>
          <w:tab w:val="left" w:pos="1134"/>
        </w:tabs>
        <w:spacing w:after="240"/>
        <w:contextualSpacing/>
      </w:pPr>
      <w:r w:rsidRPr="00B275E2">
        <w:t>F</w:t>
      </w:r>
      <w:r w:rsidRPr="00B275E2">
        <w:tab/>
      </w:r>
      <w:r w:rsidR="002F25F0" w:rsidRPr="00B275E2">
        <w:t>=</w:t>
      </w:r>
      <w:r w:rsidRPr="00B275E2">
        <w:tab/>
      </w:r>
      <w:r w:rsidR="002F25F0" w:rsidRPr="00B275E2">
        <w:t xml:space="preserve">emission factors for correlating vehicle type from </w:t>
      </w:r>
      <w:hyperlink w:anchor="table16" w:history="1">
        <w:r w:rsidR="00710011" w:rsidRPr="00772C50">
          <w:rPr>
            <w:rStyle w:val="Hyperlink"/>
          </w:rPr>
          <w:t>table 16</w:t>
        </w:r>
      </w:hyperlink>
      <w:r w:rsidR="00705C73" w:rsidRPr="00B275E2">
        <w:t xml:space="preserve"> </w:t>
      </w:r>
      <w:r w:rsidR="002F25F0" w:rsidRPr="00B275E2">
        <w:t xml:space="preserve">to </w:t>
      </w:r>
      <w:hyperlink w:anchor="table22" w:history="1">
        <w:r w:rsidR="00710011" w:rsidRPr="00772C50">
          <w:rPr>
            <w:rStyle w:val="Hyperlink"/>
          </w:rPr>
          <w:t>table 2</w:t>
        </w:r>
        <w:r w:rsidR="00772C50" w:rsidRPr="00772C50">
          <w:rPr>
            <w:rStyle w:val="Hyperlink"/>
          </w:rPr>
          <w:t>2</w:t>
        </w:r>
      </w:hyperlink>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0"/>
      </w:tblGrid>
      <w:tr w:rsidR="0014474E" w:rsidRPr="00B275E2" w14:paraId="4D121B36" w14:textId="77777777" w:rsidTr="00A41BA6">
        <w:tc>
          <w:tcPr>
            <w:tcW w:w="8500" w:type="dxa"/>
            <w:tcBorders>
              <w:top w:val="single" w:sz="4" w:space="0" w:color="32809C" w:themeColor="accent2"/>
              <w:left w:val="single" w:sz="4" w:space="0" w:color="32809C" w:themeColor="accent2"/>
              <w:bottom w:val="nil"/>
              <w:right w:val="single" w:sz="4" w:space="0" w:color="32809C" w:themeColor="accent2"/>
            </w:tcBorders>
            <w:shd w:val="clear" w:color="auto" w:fill="0F7B7D"/>
            <w:vAlign w:val="center"/>
          </w:tcPr>
          <w:p w14:paraId="7E63932D" w14:textId="5E324CBD" w:rsidR="0014474E" w:rsidRPr="00B275E2" w:rsidDel="00D5390D" w:rsidRDefault="00ED6691" w:rsidP="00AE5398">
            <w:pPr>
              <w:pStyle w:val="Casestudyheading"/>
            </w:pPr>
            <w:r w:rsidRPr="00B275E2">
              <w:lastRenderedPageBreak/>
              <w:t xml:space="preserve">Passenger vehicles: </w:t>
            </w:r>
            <w:r w:rsidR="0014474E" w:rsidRPr="00B275E2">
              <w:t>Example Calculation</w:t>
            </w:r>
          </w:p>
        </w:tc>
      </w:tr>
      <w:tr w:rsidR="00CF2E51" w:rsidRPr="00B275E2" w14:paraId="7A2C4165" w14:textId="77777777" w:rsidTr="00A41BA6">
        <w:tc>
          <w:tcPr>
            <w:tcW w:w="8500" w:type="dxa"/>
            <w:tcBorders>
              <w:top w:val="nil"/>
              <w:left w:val="single" w:sz="4" w:space="0" w:color="D5EBE8" w:themeColor="accent3"/>
              <w:bottom w:val="single" w:sz="4" w:space="0" w:color="D5EBE8" w:themeColor="accent3"/>
              <w:right w:val="single" w:sz="4" w:space="0" w:color="D5EBE8" w:themeColor="accent3"/>
            </w:tcBorders>
            <w:shd w:val="clear" w:color="auto" w:fill="D5EBE8" w:themeFill="accent3"/>
          </w:tcPr>
          <w:p w14:paraId="4AAAB5D1" w14:textId="50BC7877" w:rsidR="0014474E" w:rsidRPr="00B275E2" w:rsidRDefault="0014474E" w:rsidP="00A41BA6">
            <w:pPr>
              <w:pStyle w:val="Boxtext"/>
              <w:spacing w:after="80"/>
            </w:pPr>
            <w:r w:rsidRPr="00B275E2">
              <w:t>An organisation has 15 petrol vehicles. They use 40,000 litres of regular petrol in the reporting period.</w:t>
            </w:r>
          </w:p>
          <w:p w14:paraId="120DEC8B" w14:textId="54FB38BE" w:rsidR="0014474E" w:rsidRPr="00B275E2" w:rsidRDefault="0014474E" w:rsidP="00A41BA6">
            <w:pPr>
              <w:pStyle w:val="Boxtext"/>
              <w:tabs>
                <w:tab w:val="left" w:pos="2865"/>
                <w:tab w:val="left" w:pos="4440"/>
              </w:tabs>
              <w:spacing w:before="20" w:after="20"/>
              <w:ind w:left="850"/>
              <w:rPr>
                <w:vertAlign w:val="subscript"/>
              </w:rPr>
            </w:pPr>
            <w:r w:rsidRPr="00B275E2">
              <w:t>CO</w:t>
            </w:r>
            <w:r w:rsidRPr="00B275E2">
              <w:rPr>
                <w:vertAlign w:val="subscript"/>
              </w:rPr>
              <w:t>2</w:t>
            </w:r>
            <w:r w:rsidRPr="00B275E2">
              <w:t xml:space="preserve"> emissions </w:t>
            </w:r>
            <w:r w:rsidRPr="00B275E2">
              <w:tab/>
              <w:t xml:space="preserve">= 40,000 </w:t>
            </w:r>
            <w:r w:rsidRPr="00B275E2">
              <w:rPr>
                <w:rFonts w:cs="Calibri"/>
              </w:rPr>
              <w:t>×</w:t>
            </w:r>
            <w:r w:rsidRPr="00B275E2">
              <w:t xml:space="preserve"> 2.35</w:t>
            </w:r>
            <w:r w:rsidRPr="00B275E2">
              <w:tab/>
              <w:t>= 9</w:t>
            </w:r>
            <w:r w:rsidR="00ED6691" w:rsidRPr="00B275E2">
              <w:t>4,000</w:t>
            </w:r>
            <w:r w:rsidRPr="00B275E2">
              <w:t xml:space="preserve"> kg CO</w:t>
            </w:r>
            <w:r w:rsidRPr="00B275E2">
              <w:rPr>
                <w:vertAlign w:val="subscript"/>
              </w:rPr>
              <w:t>2</w:t>
            </w:r>
          </w:p>
          <w:p w14:paraId="3B384D43" w14:textId="50874E08" w:rsidR="0014474E" w:rsidRPr="00B275E2" w:rsidRDefault="0014474E" w:rsidP="00A41BA6">
            <w:pPr>
              <w:pStyle w:val="Boxtext"/>
              <w:tabs>
                <w:tab w:val="left" w:pos="2865"/>
                <w:tab w:val="left" w:pos="4440"/>
              </w:tabs>
              <w:spacing w:before="20" w:after="20"/>
              <w:ind w:left="850"/>
            </w:pPr>
            <w:r w:rsidRPr="00B275E2">
              <w:t>CH</w:t>
            </w:r>
            <w:r w:rsidRPr="00B275E2">
              <w:rPr>
                <w:vertAlign w:val="subscript"/>
              </w:rPr>
              <w:t>4</w:t>
            </w:r>
            <w:r w:rsidRPr="00B275E2">
              <w:t xml:space="preserve"> emissions</w:t>
            </w:r>
            <w:r w:rsidRPr="00B275E2">
              <w:tab/>
              <w:t xml:space="preserve">= 40,000 </w:t>
            </w:r>
            <w:r w:rsidRPr="00B275E2">
              <w:rPr>
                <w:rFonts w:cs="Calibri"/>
              </w:rPr>
              <w:t>×</w:t>
            </w:r>
            <w:r w:rsidRPr="00B275E2">
              <w:t xml:space="preserve"> 0.0276</w:t>
            </w:r>
            <w:r w:rsidRPr="00B275E2">
              <w:tab/>
              <w:t>= 1,10</w:t>
            </w:r>
            <w:r w:rsidR="00ED6691" w:rsidRPr="00B275E2">
              <w:t>4</w:t>
            </w:r>
            <w:r w:rsidRPr="00B275E2">
              <w:t xml:space="preserve"> kg CO</w:t>
            </w:r>
            <w:r w:rsidRPr="00B275E2">
              <w:rPr>
                <w:vertAlign w:val="subscript"/>
              </w:rPr>
              <w:t>2</w:t>
            </w:r>
            <w:r w:rsidRPr="00B275E2">
              <w:t>-e</w:t>
            </w:r>
          </w:p>
          <w:p w14:paraId="79F8E917" w14:textId="3A296A5C" w:rsidR="0014474E" w:rsidRPr="00B275E2" w:rsidRDefault="0014474E" w:rsidP="00A41BA6">
            <w:pPr>
              <w:pStyle w:val="Boxtext"/>
              <w:tabs>
                <w:tab w:val="left" w:pos="2865"/>
                <w:tab w:val="left" w:pos="4440"/>
              </w:tabs>
              <w:spacing w:before="20" w:after="20"/>
              <w:ind w:left="850"/>
            </w:pPr>
            <w:r w:rsidRPr="00B275E2">
              <w:t>N</w:t>
            </w:r>
            <w:r w:rsidRPr="00B275E2">
              <w:rPr>
                <w:vertAlign w:val="subscript"/>
              </w:rPr>
              <w:t>2</w:t>
            </w:r>
            <w:r w:rsidRPr="00B275E2">
              <w:t xml:space="preserve">O emissions </w:t>
            </w:r>
            <w:r w:rsidRPr="00B275E2">
              <w:tab/>
              <w:t xml:space="preserve">= 40,000 </w:t>
            </w:r>
            <w:r w:rsidRPr="00B275E2">
              <w:rPr>
                <w:rFonts w:cs="Calibri"/>
              </w:rPr>
              <w:t>×</w:t>
            </w:r>
            <w:r w:rsidRPr="00B275E2">
              <w:t xml:space="preserve"> 0.0797</w:t>
            </w:r>
            <w:r w:rsidRPr="00B275E2">
              <w:tab/>
              <w:t>= 3,18</w:t>
            </w:r>
            <w:r w:rsidR="00ED6691" w:rsidRPr="00B275E2">
              <w:t>8</w:t>
            </w:r>
            <w:r w:rsidRPr="00B275E2">
              <w:t xml:space="preserve"> kg CO</w:t>
            </w:r>
            <w:r w:rsidRPr="00B275E2">
              <w:rPr>
                <w:vertAlign w:val="subscript"/>
              </w:rPr>
              <w:t>2</w:t>
            </w:r>
            <w:r w:rsidRPr="00B275E2">
              <w:t>-e</w:t>
            </w:r>
          </w:p>
          <w:p w14:paraId="5D130AD2" w14:textId="1D9C84A7" w:rsidR="0014474E" w:rsidRPr="00B275E2" w:rsidRDefault="0014474E" w:rsidP="00A41BA6">
            <w:pPr>
              <w:pStyle w:val="Boxtext"/>
              <w:tabs>
                <w:tab w:val="left" w:pos="2865"/>
                <w:tab w:val="left" w:pos="4440"/>
              </w:tabs>
              <w:spacing w:before="20" w:after="20"/>
              <w:ind w:left="850"/>
            </w:pPr>
            <w:r w:rsidRPr="00B275E2">
              <w:t>Total CO</w:t>
            </w:r>
            <w:r w:rsidRPr="00B275E2">
              <w:rPr>
                <w:vertAlign w:val="subscript"/>
              </w:rPr>
              <w:t>2</w:t>
            </w:r>
            <w:r w:rsidRPr="00B275E2">
              <w:t>-e emissions</w:t>
            </w:r>
            <w:r w:rsidRPr="00B275E2">
              <w:tab/>
              <w:t xml:space="preserve">= 40,000 </w:t>
            </w:r>
            <w:r w:rsidRPr="00B275E2">
              <w:rPr>
                <w:rFonts w:cs="Calibri"/>
              </w:rPr>
              <w:t>×</w:t>
            </w:r>
            <w:r w:rsidRPr="00B275E2">
              <w:t xml:space="preserve"> 2.4</w:t>
            </w:r>
            <w:r w:rsidR="00FB14D0" w:rsidRPr="00B275E2">
              <w:t>5</w:t>
            </w:r>
            <w:r w:rsidRPr="00B275E2">
              <w:t xml:space="preserve"> </w:t>
            </w:r>
            <w:r w:rsidRPr="00B275E2">
              <w:tab/>
              <w:t>= 9</w:t>
            </w:r>
            <w:r w:rsidR="00FB14D0" w:rsidRPr="00B275E2">
              <w:t>8,000</w:t>
            </w:r>
            <w:r w:rsidRPr="00B275E2">
              <w:t xml:space="preserve"> kg CO</w:t>
            </w:r>
            <w:r w:rsidRPr="00B275E2">
              <w:rPr>
                <w:vertAlign w:val="subscript"/>
              </w:rPr>
              <w:t>2</w:t>
            </w:r>
            <w:r w:rsidRPr="00B275E2">
              <w:t>-e</w:t>
            </w:r>
          </w:p>
          <w:p w14:paraId="26282D9C" w14:textId="7023707D" w:rsidR="0014474E" w:rsidRPr="00B275E2" w:rsidRDefault="0014474E" w:rsidP="00A41BA6">
            <w:pPr>
              <w:pStyle w:val="Boxtext"/>
              <w:spacing w:after="80"/>
            </w:pPr>
            <w:r w:rsidRPr="00B275E2">
              <w:t xml:space="preserve">An organisation </w:t>
            </w:r>
            <w:r w:rsidR="003E0307" w:rsidRPr="00B275E2">
              <w:t xml:space="preserve">owns </w:t>
            </w:r>
            <w:r w:rsidRPr="00B275E2">
              <w:t>three</w:t>
            </w:r>
            <w:r w:rsidR="00671DEE" w:rsidRPr="00B275E2">
              <w:t xml:space="preserve"> pre-2010</w:t>
            </w:r>
            <w:r w:rsidRPr="00B275E2">
              <w:t xml:space="preserve"> petrol hybrid vehicles. They are all between 1600 and 2000</w:t>
            </w:r>
            <w:r w:rsidR="00EE0DF2" w:rsidRPr="00B275E2">
              <w:t xml:space="preserve"> </w:t>
            </w:r>
            <w:r w:rsidRPr="00B275E2">
              <w:t>cc and travel a total of 37,800 km in the reporting period.</w:t>
            </w:r>
          </w:p>
          <w:p w14:paraId="6E6A90D0" w14:textId="21CAADEE" w:rsidR="0014474E" w:rsidRPr="00B275E2" w:rsidRDefault="0014474E" w:rsidP="00A41BA6">
            <w:pPr>
              <w:pStyle w:val="Boxtext"/>
              <w:tabs>
                <w:tab w:val="left" w:pos="2865"/>
                <w:tab w:val="left" w:pos="4440"/>
              </w:tabs>
              <w:spacing w:before="20" w:after="20"/>
              <w:ind w:left="850"/>
              <w:rPr>
                <w:vertAlign w:val="subscript"/>
              </w:rPr>
            </w:pPr>
            <w:r w:rsidRPr="00B275E2">
              <w:t>CO</w:t>
            </w:r>
            <w:r w:rsidRPr="00B275E2">
              <w:rPr>
                <w:vertAlign w:val="subscript"/>
              </w:rPr>
              <w:t>2</w:t>
            </w:r>
            <w:r w:rsidRPr="00B275E2">
              <w:t xml:space="preserve"> emissions</w:t>
            </w:r>
            <w:r w:rsidRPr="00B275E2">
              <w:tab/>
              <w:t xml:space="preserve">= 37,800 </w:t>
            </w:r>
            <w:r w:rsidRPr="00B275E2">
              <w:rPr>
                <w:rFonts w:cs="Calibri"/>
              </w:rPr>
              <w:t>×</w:t>
            </w:r>
            <w:r w:rsidR="00AA35C2" w:rsidRPr="00B275E2">
              <w:t xml:space="preserve"> 0.17</w:t>
            </w:r>
            <w:r w:rsidR="008D3822" w:rsidRPr="00B275E2">
              <w:t>3</w:t>
            </w:r>
            <w:r w:rsidR="00AA35C2" w:rsidRPr="00B275E2">
              <w:t xml:space="preserve"> </w:t>
            </w:r>
            <w:r w:rsidR="00AA35C2" w:rsidRPr="00B275E2">
              <w:tab/>
              <w:t xml:space="preserve">= </w:t>
            </w:r>
            <w:r w:rsidR="00F569A1" w:rsidRPr="00B275E2">
              <w:t xml:space="preserve">6539 </w:t>
            </w:r>
            <w:r w:rsidRPr="00B275E2">
              <w:t>kg CO</w:t>
            </w:r>
            <w:r w:rsidRPr="00B275E2">
              <w:rPr>
                <w:vertAlign w:val="subscript"/>
              </w:rPr>
              <w:t>2</w:t>
            </w:r>
          </w:p>
          <w:p w14:paraId="09425EEC" w14:textId="2656BC3E" w:rsidR="0014474E" w:rsidRPr="00B275E2" w:rsidRDefault="0014474E" w:rsidP="00A41BA6">
            <w:pPr>
              <w:pStyle w:val="Boxtext"/>
              <w:tabs>
                <w:tab w:val="left" w:pos="2865"/>
                <w:tab w:val="left" w:pos="4440"/>
              </w:tabs>
              <w:spacing w:before="20" w:after="20"/>
              <w:ind w:left="850"/>
            </w:pPr>
            <w:r w:rsidRPr="00B275E2">
              <w:t>CH</w:t>
            </w:r>
            <w:r w:rsidRPr="00B275E2">
              <w:rPr>
                <w:vertAlign w:val="subscript"/>
              </w:rPr>
              <w:t>4</w:t>
            </w:r>
            <w:r w:rsidRPr="00B275E2">
              <w:t xml:space="preserve"> emissions</w:t>
            </w:r>
            <w:r w:rsidRPr="00B275E2">
              <w:tab/>
              <w:t xml:space="preserve">= 37,800 </w:t>
            </w:r>
            <w:r w:rsidRPr="00B275E2">
              <w:rPr>
                <w:rFonts w:cs="Calibri"/>
              </w:rPr>
              <w:t xml:space="preserve">× </w:t>
            </w:r>
            <w:r w:rsidRPr="00B275E2">
              <w:t>0.002</w:t>
            </w:r>
            <w:r w:rsidR="00AA35C2" w:rsidRPr="00B275E2">
              <w:tab/>
              <w:t>= 76</w:t>
            </w:r>
            <w:r w:rsidRPr="00B275E2">
              <w:t xml:space="preserve"> kg CO</w:t>
            </w:r>
            <w:r w:rsidRPr="00B275E2">
              <w:rPr>
                <w:vertAlign w:val="subscript"/>
              </w:rPr>
              <w:t>2</w:t>
            </w:r>
            <w:r w:rsidRPr="00B275E2">
              <w:t>-e</w:t>
            </w:r>
          </w:p>
          <w:p w14:paraId="524031D1" w14:textId="0DD3FDB1" w:rsidR="0014474E" w:rsidRPr="00B275E2" w:rsidRDefault="0014474E" w:rsidP="00A41BA6">
            <w:pPr>
              <w:pStyle w:val="Boxtext"/>
              <w:tabs>
                <w:tab w:val="left" w:pos="2865"/>
                <w:tab w:val="left" w:pos="4440"/>
              </w:tabs>
              <w:spacing w:before="20" w:after="20"/>
              <w:ind w:left="850"/>
            </w:pPr>
            <w:r w:rsidRPr="00B275E2">
              <w:t>N</w:t>
            </w:r>
            <w:r w:rsidRPr="00B275E2">
              <w:rPr>
                <w:vertAlign w:val="subscript"/>
              </w:rPr>
              <w:t>2</w:t>
            </w:r>
            <w:r w:rsidRPr="00B275E2">
              <w:t>O emissions</w:t>
            </w:r>
            <w:r w:rsidRPr="00B275E2">
              <w:tab/>
              <w:t xml:space="preserve">= 37,800 </w:t>
            </w:r>
            <w:r w:rsidRPr="00B275E2">
              <w:rPr>
                <w:rFonts w:cs="Calibri"/>
              </w:rPr>
              <w:t>×</w:t>
            </w:r>
            <w:r w:rsidR="00AA35C2" w:rsidRPr="00B275E2">
              <w:t xml:space="preserve"> 0.006</w:t>
            </w:r>
            <w:r w:rsidR="00AA35C2" w:rsidRPr="00B275E2">
              <w:tab/>
              <w:t>= 227</w:t>
            </w:r>
            <w:r w:rsidRPr="00B275E2">
              <w:t xml:space="preserve"> kg CO</w:t>
            </w:r>
            <w:r w:rsidRPr="00B275E2">
              <w:rPr>
                <w:vertAlign w:val="subscript"/>
              </w:rPr>
              <w:t>2</w:t>
            </w:r>
            <w:r w:rsidRPr="00B275E2">
              <w:t>-e</w:t>
            </w:r>
          </w:p>
          <w:p w14:paraId="03C3ED9B" w14:textId="0E9F1920" w:rsidR="0014474E" w:rsidRPr="00B275E2" w:rsidRDefault="0014474E" w:rsidP="00A41BA6">
            <w:pPr>
              <w:pStyle w:val="Boxtext"/>
              <w:tabs>
                <w:tab w:val="left" w:pos="2865"/>
                <w:tab w:val="left" w:pos="4440"/>
              </w:tabs>
              <w:spacing w:before="20" w:after="20"/>
              <w:ind w:left="850"/>
            </w:pPr>
            <w:r w:rsidRPr="00B275E2">
              <w:t>Total CO</w:t>
            </w:r>
            <w:r w:rsidRPr="00B275E2">
              <w:rPr>
                <w:vertAlign w:val="subscript"/>
              </w:rPr>
              <w:t>2</w:t>
            </w:r>
            <w:r w:rsidRPr="00B275E2">
              <w:t>-e emissions</w:t>
            </w:r>
            <w:r w:rsidRPr="00B275E2">
              <w:tab/>
              <w:t xml:space="preserve">= 37,800 </w:t>
            </w:r>
            <w:r w:rsidRPr="00B275E2">
              <w:rPr>
                <w:rFonts w:cs="Calibri"/>
              </w:rPr>
              <w:t>×</w:t>
            </w:r>
            <w:r w:rsidRPr="00B275E2">
              <w:t xml:space="preserve"> 0.1</w:t>
            </w:r>
            <w:r w:rsidR="00C47EA3" w:rsidRPr="00B275E2">
              <w:t>81</w:t>
            </w:r>
            <w:r w:rsidR="00AA35C2" w:rsidRPr="00B275E2">
              <w:t xml:space="preserve"> </w:t>
            </w:r>
            <w:r w:rsidR="00AA35C2" w:rsidRPr="00B275E2">
              <w:tab/>
              <w:t xml:space="preserve">= </w:t>
            </w:r>
            <w:r w:rsidR="00F569A1" w:rsidRPr="00B275E2">
              <w:t>6</w:t>
            </w:r>
            <w:r w:rsidR="0042673C" w:rsidRPr="00B275E2">
              <w:t>,</w:t>
            </w:r>
            <w:r w:rsidR="00F569A1" w:rsidRPr="00B275E2">
              <w:t>84</w:t>
            </w:r>
            <w:r w:rsidR="0042673C" w:rsidRPr="00B275E2">
              <w:t>2</w:t>
            </w:r>
            <w:r w:rsidR="00F569A1" w:rsidRPr="00B275E2">
              <w:t xml:space="preserve"> </w:t>
            </w:r>
            <w:r w:rsidRPr="00B275E2">
              <w:t>kg CO</w:t>
            </w:r>
            <w:r w:rsidRPr="00B275E2">
              <w:rPr>
                <w:vertAlign w:val="subscript"/>
              </w:rPr>
              <w:t>2</w:t>
            </w:r>
            <w:r w:rsidRPr="00B275E2">
              <w:t>-e</w:t>
            </w:r>
          </w:p>
          <w:p w14:paraId="68BBCD6C" w14:textId="30DA351F" w:rsidR="0014474E" w:rsidRPr="00B275E2" w:rsidRDefault="0014474E" w:rsidP="0068080E">
            <w:pPr>
              <w:pStyle w:val="Boxtext"/>
              <w:spacing w:after="80"/>
            </w:pPr>
            <w:r w:rsidRPr="00B275E2">
              <w:t>An organisation uses petrol rental cars to travel 12,000 km in 20</w:t>
            </w:r>
            <w:r w:rsidR="004033BA" w:rsidRPr="00B275E2">
              <w:t>20</w:t>
            </w:r>
            <w:r w:rsidRPr="00B275E2">
              <w:t>. It also spends $18,000 on taxi travel.</w:t>
            </w:r>
          </w:p>
          <w:p w14:paraId="517B8937" w14:textId="17E3D370" w:rsidR="0014474E" w:rsidRPr="00B275E2" w:rsidRDefault="0014474E" w:rsidP="0068080E">
            <w:pPr>
              <w:pStyle w:val="Boxtext"/>
              <w:tabs>
                <w:tab w:val="left" w:pos="2865"/>
                <w:tab w:val="left" w:pos="4440"/>
              </w:tabs>
              <w:spacing w:before="20" w:after="20"/>
              <w:ind w:left="850"/>
            </w:pPr>
            <w:r w:rsidRPr="00B275E2">
              <w:t>Total CO</w:t>
            </w:r>
            <w:r w:rsidRPr="00B275E2">
              <w:rPr>
                <w:vertAlign w:val="subscript"/>
              </w:rPr>
              <w:t>2</w:t>
            </w:r>
            <w:r w:rsidRPr="00B275E2">
              <w:t>-e emissions from rental cars</w:t>
            </w:r>
            <w:r w:rsidRPr="00B275E2">
              <w:tab/>
              <w:t xml:space="preserve">= 12,000 </w:t>
            </w:r>
            <w:r w:rsidRPr="00B275E2">
              <w:rPr>
                <w:rFonts w:cs="Calibri"/>
              </w:rPr>
              <w:t>×</w:t>
            </w:r>
            <w:r w:rsidRPr="00B275E2">
              <w:t xml:space="preserve"> 0.2</w:t>
            </w:r>
            <w:r w:rsidR="00336CBB" w:rsidRPr="00B275E2">
              <w:t>11</w:t>
            </w:r>
            <w:r w:rsidRPr="00B275E2">
              <w:tab/>
              <w:t>= 2,</w:t>
            </w:r>
            <w:r w:rsidR="00336CBB" w:rsidRPr="00B275E2">
              <w:t>532</w:t>
            </w:r>
            <w:r w:rsidRPr="00B275E2">
              <w:t xml:space="preserve"> kg CO</w:t>
            </w:r>
            <w:r w:rsidRPr="00B275E2">
              <w:rPr>
                <w:vertAlign w:val="subscript"/>
              </w:rPr>
              <w:t>2</w:t>
            </w:r>
            <w:r w:rsidRPr="00B275E2">
              <w:t>-e</w:t>
            </w:r>
          </w:p>
          <w:p w14:paraId="1DC4A674" w14:textId="7327A655" w:rsidR="0014474E" w:rsidRPr="00B275E2" w:rsidRDefault="0014474E" w:rsidP="0068080E">
            <w:pPr>
              <w:pStyle w:val="Boxtext"/>
              <w:tabs>
                <w:tab w:val="left" w:pos="2865"/>
                <w:tab w:val="left" w:pos="4440"/>
              </w:tabs>
              <w:spacing w:before="20" w:after="20"/>
              <w:ind w:left="850"/>
            </w:pPr>
            <w:r w:rsidRPr="00B275E2">
              <w:t>Total CO</w:t>
            </w:r>
            <w:r w:rsidRPr="00B275E2">
              <w:rPr>
                <w:vertAlign w:val="subscript"/>
              </w:rPr>
              <w:t>2</w:t>
            </w:r>
            <w:r w:rsidRPr="00B275E2">
              <w:t>-e</w:t>
            </w:r>
            <w:r w:rsidR="009553A4" w:rsidRPr="00B275E2">
              <w:t xml:space="preserve"> emissions from taxi travel </w:t>
            </w:r>
            <w:r w:rsidR="009553A4" w:rsidRPr="00B275E2">
              <w:tab/>
              <w:t xml:space="preserve">= </w:t>
            </w:r>
            <w:r w:rsidR="00671DEE" w:rsidRPr="00B275E2">
              <w:t>$</w:t>
            </w:r>
            <w:r w:rsidRPr="00B275E2">
              <w:t xml:space="preserve">18,000 </w:t>
            </w:r>
            <w:r w:rsidRPr="00B275E2">
              <w:rPr>
                <w:rFonts w:cs="Calibri"/>
              </w:rPr>
              <w:t>×</w:t>
            </w:r>
            <w:r w:rsidR="00705C73" w:rsidRPr="00B275E2">
              <w:t xml:space="preserve"> 0.07</w:t>
            </w:r>
            <w:r w:rsidR="00705C73" w:rsidRPr="00B275E2">
              <w:tab/>
            </w:r>
            <w:r w:rsidRPr="00B275E2">
              <w:t>= 1,</w:t>
            </w:r>
            <w:r w:rsidR="00A96830" w:rsidRPr="00B275E2">
              <w:t>260</w:t>
            </w:r>
            <w:r w:rsidRPr="00B275E2">
              <w:t xml:space="preserve"> kg CO</w:t>
            </w:r>
            <w:r w:rsidRPr="00B275E2">
              <w:rPr>
                <w:vertAlign w:val="subscript"/>
              </w:rPr>
              <w:t>2</w:t>
            </w:r>
            <w:r w:rsidRPr="00B275E2">
              <w:t>-e</w:t>
            </w:r>
          </w:p>
          <w:p w14:paraId="0B4BE8BD" w14:textId="1B4F3E19" w:rsidR="00D9313E" w:rsidRPr="00B275E2" w:rsidRDefault="00D9313E" w:rsidP="0068080E">
            <w:pPr>
              <w:pStyle w:val="Boxtext"/>
              <w:spacing w:after="180"/>
              <w:rPr>
                <w:sz w:val="18"/>
                <w:szCs w:val="18"/>
              </w:rPr>
            </w:pPr>
            <w:r w:rsidRPr="00B275E2">
              <w:rPr>
                <w:sz w:val="18"/>
                <w:szCs w:val="18"/>
              </w:rPr>
              <w:t>Note</w:t>
            </w:r>
            <w:r w:rsidR="003E0307" w:rsidRPr="00B275E2">
              <w:rPr>
                <w:sz w:val="18"/>
                <w:szCs w:val="18"/>
              </w:rPr>
              <w:t>:</w:t>
            </w:r>
            <w:r w:rsidRPr="00B275E2">
              <w:rPr>
                <w:sz w:val="18"/>
                <w:szCs w:val="18"/>
              </w:rPr>
              <w:t xml:space="preserve"> </w:t>
            </w:r>
            <w:r w:rsidR="003E0307" w:rsidRPr="00B275E2">
              <w:rPr>
                <w:sz w:val="18"/>
                <w:szCs w:val="18"/>
              </w:rPr>
              <w:t>N</w:t>
            </w:r>
            <w:r w:rsidRPr="00B275E2">
              <w:rPr>
                <w:sz w:val="18"/>
                <w:szCs w:val="18"/>
              </w:rPr>
              <w:t>umbers may not add due to rounding</w:t>
            </w:r>
            <w:r w:rsidR="009169F9" w:rsidRPr="00B275E2">
              <w:rPr>
                <w:sz w:val="18"/>
                <w:szCs w:val="18"/>
              </w:rPr>
              <w:t>.</w:t>
            </w:r>
          </w:p>
        </w:tc>
      </w:tr>
    </w:tbl>
    <w:p w14:paraId="65091F01" w14:textId="3A6648C6" w:rsidR="00E61463" w:rsidRPr="00B275E2" w:rsidRDefault="00E61463" w:rsidP="006B7605">
      <w:pPr>
        <w:pStyle w:val="Heading3"/>
      </w:pPr>
      <w:bookmarkStart w:id="348" w:name="_Toc532904897"/>
      <w:r w:rsidRPr="00B275E2">
        <w:t>Emission factor derivation methodology</w:t>
      </w:r>
      <w:bookmarkEnd w:id="348"/>
    </w:p>
    <w:p w14:paraId="65091F02" w14:textId="01B7D414" w:rsidR="007B3244" w:rsidRPr="00B275E2" w:rsidRDefault="00CE50AD" w:rsidP="007F0B1E">
      <w:pPr>
        <w:pStyle w:val="BodyText"/>
      </w:pPr>
      <w:r w:rsidRPr="00B275E2">
        <w:t>The</w:t>
      </w:r>
      <w:r w:rsidR="00047BDB" w:rsidRPr="00B275E2">
        <w:t xml:space="preserve"> </w:t>
      </w:r>
      <w:hyperlink r:id="rId77" w:history="1">
        <w:r w:rsidR="00303601" w:rsidRPr="00B275E2">
          <w:rPr>
            <w:rStyle w:val="Hyperlink"/>
            <w:iCs/>
            <w:color w:val="auto"/>
          </w:rPr>
          <w:t>2019</w:t>
        </w:r>
      </w:hyperlink>
      <w:r w:rsidR="00303601" w:rsidRPr="00B275E2">
        <w:rPr>
          <w:rStyle w:val="Hyperlink"/>
          <w:iCs/>
          <w:color w:val="auto"/>
        </w:rPr>
        <w:t xml:space="preserve"> Vehicle Fleet Emission</w:t>
      </w:r>
      <w:r w:rsidR="00515D64" w:rsidRPr="00B275E2">
        <w:rPr>
          <w:rStyle w:val="Hyperlink"/>
          <w:iCs/>
          <w:color w:val="auto"/>
        </w:rPr>
        <w:t>s Model</w:t>
      </w:r>
      <w:r w:rsidR="00047BDB" w:rsidRPr="00B275E2">
        <w:t xml:space="preserve"> provided</w:t>
      </w:r>
      <w:r w:rsidRPr="00B275E2">
        <w:t xml:space="preserve"> real</w:t>
      </w:r>
      <w:r w:rsidR="007040E1" w:rsidRPr="00B275E2">
        <w:t>-</w:t>
      </w:r>
      <w:r w:rsidRPr="00B275E2">
        <w:t>world fuel con</w:t>
      </w:r>
      <w:r w:rsidR="00BE16C6" w:rsidRPr="00B275E2">
        <w:t>s</w:t>
      </w:r>
      <w:r w:rsidR="002A6897" w:rsidRPr="00B275E2">
        <w:t>um</w:t>
      </w:r>
      <w:r w:rsidRPr="00B275E2">
        <w:t>p</w:t>
      </w:r>
      <w:r w:rsidR="002A6897" w:rsidRPr="00B275E2">
        <w:t>t</w:t>
      </w:r>
      <w:r w:rsidRPr="00B275E2">
        <w:t>ion rates</w:t>
      </w:r>
      <w:r w:rsidR="002A6897" w:rsidRPr="00B275E2">
        <w:t xml:space="preserve"> </w:t>
      </w:r>
      <w:r w:rsidR="002A6897" w:rsidRPr="00B275E2" w:rsidDel="00AB199A">
        <w:t xml:space="preserve">of </w:t>
      </w:r>
      <w:r w:rsidR="00AB199A" w:rsidRPr="00B275E2">
        <w:t>the</w:t>
      </w:r>
      <w:r w:rsidR="0068080E" w:rsidRPr="00B275E2">
        <w:t> </w:t>
      </w:r>
      <w:r w:rsidR="000A1112" w:rsidRPr="00B275E2">
        <w:t>vehicle fleet</w:t>
      </w:r>
      <w:r w:rsidRPr="00B275E2">
        <w:t xml:space="preserve">. </w:t>
      </w:r>
      <w:r w:rsidR="00BE16C6" w:rsidRPr="00B275E2">
        <w:t xml:space="preserve">The </w:t>
      </w:r>
      <w:r w:rsidR="00BE16C6" w:rsidRPr="00B275E2" w:rsidDel="00AB199A">
        <w:t>data</w:t>
      </w:r>
      <w:r w:rsidR="002A6897" w:rsidRPr="00B275E2" w:rsidDel="00AB199A">
        <w:t xml:space="preserve"> </w:t>
      </w:r>
      <w:r w:rsidR="0003097B" w:rsidRPr="00B275E2">
        <w:t xml:space="preserve">apply </w:t>
      </w:r>
      <w:r w:rsidR="007040E1" w:rsidRPr="00B275E2">
        <w:t>to</w:t>
      </w:r>
      <w:r w:rsidR="00BE16C6" w:rsidRPr="00B275E2">
        <w:t xml:space="preserve"> the vehicle fleet dating back to 1970 and forecasting to 2019. </w:t>
      </w:r>
      <w:r w:rsidR="00047BDB" w:rsidRPr="00B275E2">
        <w:t>We</w:t>
      </w:r>
      <w:r w:rsidR="0068080E" w:rsidRPr="00B275E2">
        <w:t xml:space="preserve"> </w:t>
      </w:r>
      <w:r w:rsidR="00BE16C6" w:rsidRPr="00B275E2">
        <w:t xml:space="preserve">decided to split the fleet into </w:t>
      </w:r>
      <w:r w:rsidR="007040E1" w:rsidRPr="00B275E2">
        <w:t>three</w:t>
      </w:r>
      <w:r w:rsidR="00BE16C6" w:rsidRPr="00B275E2">
        <w:t xml:space="preserve"> categories and develop average emission factors</w:t>
      </w:r>
      <w:r w:rsidR="0068080E" w:rsidRPr="00B275E2">
        <w:t> </w:t>
      </w:r>
      <w:r w:rsidR="00BE16C6" w:rsidRPr="00B275E2">
        <w:t>for these</w:t>
      </w:r>
      <w:r w:rsidR="00B52E3C" w:rsidRPr="00B275E2">
        <w:t>.</w:t>
      </w:r>
    </w:p>
    <w:p w14:paraId="65091F03" w14:textId="370ACB7A" w:rsidR="00BE16C6" w:rsidRPr="00B275E2" w:rsidRDefault="00D11881" w:rsidP="0068080E">
      <w:pPr>
        <w:pStyle w:val="Bullet"/>
      </w:pPr>
      <w:r w:rsidRPr="00B275E2">
        <w:t>Pre-2010</w:t>
      </w:r>
      <w:r w:rsidR="00BE16C6" w:rsidRPr="00B275E2">
        <w:t xml:space="preserve"> fleet is based on the average fuel consumption data from 1970</w:t>
      </w:r>
      <w:r w:rsidR="00826588" w:rsidRPr="00B275E2">
        <w:t xml:space="preserve"> to </w:t>
      </w:r>
      <w:r w:rsidR="00BE16C6" w:rsidRPr="00B275E2">
        <w:t>2010</w:t>
      </w:r>
      <w:r w:rsidR="00DA13B2" w:rsidRPr="00B275E2">
        <w:t>.</w:t>
      </w:r>
      <w:r w:rsidR="00957AEA" w:rsidRPr="00B275E2">
        <w:t xml:space="preserve"> </w:t>
      </w:r>
      <w:r w:rsidR="00047BDB" w:rsidRPr="00B275E2">
        <w:t>We</w:t>
      </w:r>
      <w:r w:rsidR="00957AEA" w:rsidRPr="00B275E2">
        <w:t xml:space="preserve"> assume there are no electric vehicles</w:t>
      </w:r>
      <w:r w:rsidR="000948CF" w:rsidRPr="00B275E2">
        <w:t xml:space="preserve"> or plug</w:t>
      </w:r>
      <w:r w:rsidR="00826588" w:rsidRPr="00B275E2">
        <w:t>-</w:t>
      </w:r>
      <w:r w:rsidR="000948CF" w:rsidRPr="00B275E2">
        <w:t>in hybrid vehicles</w:t>
      </w:r>
      <w:r w:rsidR="00415689" w:rsidRPr="00B275E2">
        <w:t>.</w:t>
      </w:r>
    </w:p>
    <w:p w14:paraId="65091F04" w14:textId="0DB719F9" w:rsidR="00BE16C6" w:rsidRPr="00B275E2" w:rsidRDefault="00A519D9" w:rsidP="0068080E">
      <w:pPr>
        <w:pStyle w:val="Bullet"/>
      </w:pPr>
      <w:r w:rsidRPr="00B275E2">
        <w:t>2010</w:t>
      </w:r>
      <w:r w:rsidR="007040E1" w:rsidRPr="00B275E2">
        <w:t>–</w:t>
      </w:r>
      <w:r w:rsidR="00D11881" w:rsidRPr="00B275E2">
        <w:t>2015</w:t>
      </w:r>
      <w:r w:rsidR="00BE16C6" w:rsidRPr="00B275E2">
        <w:t xml:space="preserve"> fleet is based on the average fuel consumption data from </w:t>
      </w:r>
      <w:r w:rsidR="00F86D20" w:rsidRPr="00B275E2">
        <w:t xml:space="preserve">vehicles produced between </w:t>
      </w:r>
      <w:r w:rsidR="00BE16C6" w:rsidRPr="00B275E2">
        <w:t xml:space="preserve">2010 </w:t>
      </w:r>
      <w:r w:rsidR="00F86D20" w:rsidRPr="00B275E2">
        <w:t>and</w:t>
      </w:r>
      <w:r w:rsidR="00BE16C6" w:rsidRPr="00B275E2">
        <w:t xml:space="preserve"> 2015</w:t>
      </w:r>
      <w:r w:rsidR="00DA13B2" w:rsidRPr="00B275E2">
        <w:t>.</w:t>
      </w:r>
    </w:p>
    <w:p w14:paraId="65091F05" w14:textId="7F7E8DCC" w:rsidR="00BE16C6" w:rsidRPr="00B275E2" w:rsidRDefault="00BE16C6" w:rsidP="0068080E">
      <w:pPr>
        <w:pStyle w:val="Bullet"/>
      </w:pPr>
      <w:r w:rsidRPr="00B275E2">
        <w:t>Post</w:t>
      </w:r>
      <w:r w:rsidR="00D11881" w:rsidRPr="00B275E2">
        <w:t>-</w:t>
      </w:r>
      <w:r w:rsidRPr="00B275E2">
        <w:t xml:space="preserve">2015 fleet is based on the average fuel </w:t>
      </w:r>
      <w:r w:rsidRPr="00B275E2" w:rsidDel="00AB199A">
        <w:t xml:space="preserve">consumption </w:t>
      </w:r>
      <w:r w:rsidR="00AB199A" w:rsidRPr="00B275E2">
        <w:t>data</w:t>
      </w:r>
      <w:r w:rsidRPr="00B275E2">
        <w:t xml:space="preserve"> from </w:t>
      </w:r>
      <w:r w:rsidR="00F86D20" w:rsidRPr="00B275E2">
        <w:t xml:space="preserve">vehicles produced from </w:t>
      </w:r>
      <w:r w:rsidRPr="00B275E2">
        <w:t>2015</w:t>
      </w:r>
      <w:r w:rsidR="00F86D20" w:rsidRPr="00B275E2">
        <w:t xml:space="preserve"> onwards</w:t>
      </w:r>
      <w:r w:rsidR="00DA13B2" w:rsidRPr="00B275E2">
        <w:t>.</w:t>
      </w:r>
    </w:p>
    <w:p w14:paraId="65091F06" w14:textId="03500F9D" w:rsidR="004116DD" w:rsidRPr="00B275E2" w:rsidRDefault="00DA13B2" w:rsidP="007F0B1E">
      <w:pPr>
        <w:pStyle w:val="BodyText"/>
      </w:pPr>
      <w:r w:rsidRPr="00B275E2">
        <w:t>For each category, d</w:t>
      </w:r>
      <w:r w:rsidR="00497839" w:rsidRPr="00B275E2">
        <w:t xml:space="preserve">efault vehicles are based on the </w:t>
      </w:r>
      <w:r w:rsidR="00A519D9" w:rsidRPr="00B275E2">
        <w:t>2000</w:t>
      </w:r>
      <w:r w:rsidR="007040E1" w:rsidRPr="00B275E2">
        <w:t>–</w:t>
      </w:r>
      <w:r w:rsidR="00497839" w:rsidRPr="00B275E2">
        <w:t>3000</w:t>
      </w:r>
      <w:r w:rsidR="00EE0DF2" w:rsidRPr="00B275E2">
        <w:t xml:space="preserve"> </w:t>
      </w:r>
      <w:r w:rsidR="00497839" w:rsidRPr="00B275E2">
        <w:t>cc engine size</w:t>
      </w:r>
      <w:r w:rsidR="007040E1" w:rsidRPr="00B275E2">
        <w:t>,</w:t>
      </w:r>
      <w:r w:rsidR="00497839" w:rsidRPr="00B275E2">
        <w:t xml:space="preserve"> as </w:t>
      </w:r>
      <w:r w:rsidRPr="00B275E2">
        <w:t xml:space="preserve">it </w:t>
      </w:r>
      <w:r w:rsidR="00497839" w:rsidRPr="00B275E2">
        <w:t>is the most common size for light passenger vehicles in New Zealand</w:t>
      </w:r>
      <w:r w:rsidR="004116DD" w:rsidRPr="00B275E2">
        <w:t xml:space="preserve"> based on Motor Vehicle </w:t>
      </w:r>
      <w:r w:rsidR="008672E6" w:rsidRPr="00B275E2">
        <w:t xml:space="preserve">Register </w:t>
      </w:r>
      <w:r w:rsidR="00E35CB3" w:rsidRPr="00B275E2">
        <w:t>open</w:t>
      </w:r>
      <w:r w:rsidR="00CF2E51" w:rsidRPr="00B275E2">
        <w:t> </w:t>
      </w:r>
      <w:r w:rsidR="00E35CB3" w:rsidRPr="00B275E2">
        <w:t>data</w:t>
      </w:r>
      <w:r w:rsidR="0068080E" w:rsidRPr="00B275E2">
        <w:t>.</w:t>
      </w:r>
      <w:r w:rsidR="00E35CB3" w:rsidRPr="00B275E2">
        <w:rPr>
          <w:rStyle w:val="FootnoteReference"/>
        </w:rPr>
        <w:footnoteReference w:id="32"/>
      </w:r>
    </w:p>
    <w:p w14:paraId="65091F07" w14:textId="0A292E1C" w:rsidR="002A6897" w:rsidRPr="00B275E2" w:rsidRDefault="00CF2E51" w:rsidP="007F0B1E">
      <w:pPr>
        <w:pStyle w:val="BodyText"/>
      </w:pPr>
      <w:r w:rsidRPr="00B275E2">
        <w:t>Table 2</w:t>
      </w:r>
      <w:r w:rsidR="00772C50">
        <w:t>3</w:t>
      </w:r>
      <w:r w:rsidRPr="00B275E2">
        <w:t xml:space="preserve"> </w:t>
      </w:r>
      <w:r w:rsidR="00047BDB" w:rsidRPr="00B275E2">
        <w:t>details t</w:t>
      </w:r>
      <w:r w:rsidR="002A6897" w:rsidRPr="00B275E2">
        <w:t>he average fuel consumption rates for the vehicles</w:t>
      </w:r>
      <w:r w:rsidR="00DA13B2" w:rsidRPr="00B275E2">
        <w:t>.</w:t>
      </w:r>
    </w:p>
    <w:p w14:paraId="65091F08" w14:textId="5E3823B3" w:rsidR="00A3429F" w:rsidRPr="00B275E2" w:rsidRDefault="00A3429F" w:rsidP="0068080E">
      <w:pPr>
        <w:pStyle w:val="Tableheading"/>
      </w:pPr>
      <w:bookmarkStart w:id="349" w:name="_Ref529723113"/>
      <w:bookmarkStart w:id="350" w:name="table22"/>
      <w:bookmarkStart w:id="351" w:name="_Toc111536628"/>
      <w:r w:rsidRPr="00B275E2">
        <w:lastRenderedPageBreak/>
        <w:t xml:space="preserve">Table </w:t>
      </w:r>
      <w:r w:rsidRPr="00B275E2">
        <w:fldChar w:fldCharType="begin"/>
      </w:r>
      <w:r w:rsidRPr="00B275E2">
        <w:instrText>SEQ Table \* ARABIC</w:instrText>
      </w:r>
      <w:r w:rsidRPr="00B275E2">
        <w:fldChar w:fldCharType="separate"/>
      </w:r>
      <w:r w:rsidR="003E141C" w:rsidRPr="00B275E2">
        <w:t>23</w:t>
      </w:r>
      <w:r w:rsidRPr="00B275E2">
        <w:fldChar w:fldCharType="end"/>
      </w:r>
      <w:bookmarkEnd w:id="349"/>
      <w:bookmarkEnd w:id="350"/>
      <w:r w:rsidR="007040E1" w:rsidRPr="00B275E2">
        <w:t>:</w:t>
      </w:r>
      <w:r w:rsidR="007040E1" w:rsidRPr="00B275E2">
        <w:tab/>
      </w:r>
      <w:r w:rsidRPr="00B275E2">
        <w:t>Fuel consumption in litres per 100</w:t>
      </w:r>
      <w:r w:rsidR="00DA13B2" w:rsidRPr="00B275E2">
        <w:t xml:space="preserve"> </w:t>
      </w:r>
      <w:r w:rsidRPr="00B275E2">
        <w:t>km</w:t>
      </w:r>
      <w:bookmarkEnd w:id="351"/>
    </w:p>
    <w:tbl>
      <w:tblPr>
        <w:tblStyle w:val="LightList-Accent11"/>
        <w:tblW w:w="8505" w:type="dxa"/>
        <w:tblBorders>
          <w:top w:val="single" w:sz="4" w:space="0" w:color="1B556B"/>
          <w:bottom w:val="single" w:sz="4" w:space="0" w:color="1B556B"/>
          <w:insideH w:val="single" w:sz="4" w:space="0" w:color="1B556B"/>
          <w:insideV w:val="single" w:sz="4" w:space="0" w:color="1B556B"/>
        </w:tblBorders>
        <w:tblLayout w:type="fixed"/>
        <w:tblLook w:val="04A0" w:firstRow="1" w:lastRow="0" w:firstColumn="1" w:lastColumn="0" w:noHBand="0" w:noVBand="1"/>
      </w:tblPr>
      <w:tblGrid>
        <w:gridCol w:w="2237"/>
        <w:gridCol w:w="1689"/>
        <w:gridCol w:w="792"/>
        <w:gridCol w:w="1262"/>
        <w:gridCol w:w="1262"/>
        <w:gridCol w:w="1263"/>
      </w:tblGrid>
      <w:tr w:rsidR="009646AF" w:rsidRPr="00B275E2" w14:paraId="7655F1B0" w14:textId="77777777" w:rsidTr="00474E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26" w:type="dxa"/>
            <w:gridSpan w:val="2"/>
            <w:tcBorders>
              <w:left w:val="single" w:sz="4" w:space="0" w:color="FFFFFF" w:themeColor="background1"/>
              <w:bottom w:val="single" w:sz="4" w:space="0" w:color="1B556B"/>
            </w:tcBorders>
            <w:shd w:val="clear" w:color="auto" w:fill="1B556B" w:themeFill="text2"/>
            <w:noWrap/>
          </w:tcPr>
          <w:p w14:paraId="035C34EF" w14:textId="77777777" w:rsidR="009646AF" w:rsidRPr="00B275E2" w:rsidRDefault="009646AF" w:rsidP="007F0B1E">
            <w:pPr>
              <w:pStyle w:val="TableText"/>
              <w:keepNext/>
              <w:spacing w:before="40" w:after="40"/>
              <w:rPr>
                <w:szCs w:val="18"/>
              </w:rPr>
            </w:pPr>
          </w:p>
        </w:tc>
        <w:tc>
          <w:tcPr>
            <w:tcW w:w="792" w:type="dxa"/>
            <w:tcBorders>
              <w:bottom w:val="single" w:sz="4" w:space="0" w:color="1B556B"/>
            </w:tcBorders>
            <w:shd w:val="clear" w:color="auto" w:fill="1B556B" w:themeFill="text2"/>
          </w:tcPr>
          <w:p w14:paraId="03675712" w14:textId="77777777" w:rsidR="009646AF" w:rsidRPr="00B275E2" w:rsidRDefault="009646AF" w:rsidP="007F0B1E">
            <w:pPr>
              <w:pStyle w:val="TableText"/>
              <w:keepNext/>
              <w:spacing w:before="40" w:after="40"/>
              <w:cnfStyle w:val="100000000000" w:firstRow="1" w:lastRow="0" w:firstColumn="0" w:lastColumn="0" w:oddVBand="0" w:evenVBand="0" w:oddHBand="0" w:evenHBand="0" w:firstRowFirstColumn="0" w:firstRowLastColumn="0" w:lastRowFirstColumn="0" w:lastRowLastColumn="0"/>
              <w:rPr>
                <w:szCs w:val="18"/>
              </w:rPr>
            </w:pPr>
          </w:p>
        </w:tc>
        <w:tc>
          <w:tcPr>
            <w:tcW w:w="3787" w:type="dxa"/>
            <w:gridSpan w:val="3"/>
            <w:tcBorders>
              <w:bottom w:val="single" w:sz="4" w:space="0" w:color="1B556B"/>
            </w:tcBorders>
            <w:shd w:val="clear" w:color="auto" w:fill="1B556B" w:themeFill="text2"/>
            <w:noWrap/>
          </w:tcPr>
          <w:p w14:paraId="4D955E78" w14:textId="4FB9EB52" w:rsidR="009646AF" w:rsidRPr="00B275E2" w:rsidRDefault="009646AF" w:rsidP="007F0B1E">
            <w:pPr>
              <w:pStyle w:val="TableText"/>
              <w:keepNext/>
              <w:spacing w:before="40" w:after="40"/>
              <w:jc w:val="center"/>
              <w:cnfStyle w:val="100000000000" w:firstRow="1" w:lastRow="0" w:firstColumn="0" w:lastColumn="0" w:oddVBand="0" w:evenVBand="0" w:oddHBand="0" w:evenHBand="0" w:firstRowFirstColumn="0" w:firstRowLastColumn="0" w:lastRowFirstColumn="0" w:lastRowLastColumn="0"/>
              <w:rPr>
                <w:szCs w:val="18"/>
              </w:rPr>
            </w:pPr>
            <w:r w:rsidRPr="00B275E2">
              <w:rPr>
                <w:szCs w:val="18"/>
              </w:rPr>
              <w:t>Units of energy consumed per 100</w:t>
            </w:r>
            <w:r w:rsidR="00EE0DF2" w:rsidRPr="00B275E2">
              <w:rPr>
                <w:szCs w:val="18"/>
              </w:rPr>
              <w:t xml:space="preserve"> </w:t>
            </w:r>
            <w:r w:rsidRPr="00B275E2">
              <w:rPr>
                <w:szCs w:val="18"/>
              </w:rPr>
              <w:t>km</w:t>
            </w:r>
          </w:p>
        </w:tc>
      </w:tr>
      <w:tr w:rsidR="00444D28" w:rsidRPr="00B275E2" w14:paraId="65091F0D" w14:textId="77777777" w:rsidTr="00474E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26" w:type="dxa"/>
            <w:gridSpan w:val="2"/>
            <w:tcBorders>
              <w:left w:val="single" w:sz="4" w:space="0" w:color="FFFFFF" w:themeColor="background1"/>
              <w:bottom w:val="nil"/>
            </w:tcBorders>
            <w:shd w:val="clear" w:color="auto" w:fill="1B556B" w:themeFill="text2"/>
            <w:noWrap/>
            <w:hideMark/>
          </w:tcPr>
          <w:p w14:paraId="65091F09" w14:textId="77777777" w:rsidR="00444D28" w:rsidRPr="00B275E2" w:rsidRDefault="00444D28" w:rsidP="007F0B1E">
            <w:pPr>
              <w:pStyle w:val="TableText"/>
              <w:keepNext/>
              <w:spacing w:before="40" w:after="40"/>
              <w:rPr>
                <w:szCs w:val="18"/>
              </w:rPr>
            </w:pPr>
            <w:r w:rsidRPr="00B275E2">
              <w:rPr>
                <w:szCs w:val="18"/>
              </w:rPr>
              <w:t>Emission source</w:t>
            </w:r>
          </w:p>
        </w:tc>
        <w:tc>
          <w:tcPr>
            <w:tcW w:w="792" w:type="dxa"/>
            <w:tcBorders>
              <w:bottom w:val="nil"/>
            </w:tcBorders>
            <w:shd w:val="clear" w:color="auto" w:fill="1B556B" w:themeFill="text2"/>
          </w:tcPr>
          <w:p w14:paraId="2D41AB7C" w14:textId="3E61772E" w:rsidR="00444D28" w:rsidRPr="00B275E2" w:rsidRDefault="00B07092" w:rsidP="007F0B1E">
            <w:pPr>
              <w:pStyle w:val="TableText"/>
              <w:keepNext/>
              <w:spacing w:before="40" w:after="40"/>
              <w:cnfStyle w:val="100000000000" w:firstRow="1" w:lastRow="0" w:firstColumn="0" w:lastColumn="0" w:oddVBand="0" w:evenVBand="0" w:oddHBand="0" w:evenHBand="0" w:firstRowFirstColumn="0" w:firstRowLastColumn="0" w:lastRowFirstColumn="0" w:lastRowLastColumn="0"/>
              <w:rPr>
                <w:b w:val="0"/>
                <w:szCs w:val="18"/>
              </w:rPr>
            </w:pPr>
            <w:r w:rsidRPr="00B275E2">
              <w:rPr>
                <w:szCs w:val="18"/>
              </w:rPr>
              <w:t xml:space="preserve">Units </w:t>
            </w:r>
          </w:p>
        </w:tc>
        <w:tc>
          <w:tcPr>
            <w:tcW w:w="1262" w:type="dxa"/>
            <w:tcBorders>
              <w:bottom w:val="nil"/>
            </w:tcBorders>
            <w:shd w:val="clear" w:color="auto" w:fill="1B556B" w:themeFill="text2"/>
            <w:noWrap/>
            <w:hideMark/>
          </w:tcPr>
          <w:p w14:paraId="65091F0A" w14:textId="53C4E61C" w:rsidR="00444D28" w:rsidRPr="00B275E2" w:rsidRDefault="00444D28" w:rsidP="0037602E">
            <w:pPr>
              <w:pStyle w:val="TableText"/>
              <w:keepNext/>
              <w:spacing w:before="40" w:after="40"/>
              <w:jc w:val="right"/>
              <w:cnfStyle w:val="100000000000" w:firstRow="1" w:lastRow="0" w:firstColumn="0" w:lastColumn="0" w:oddVBand="0" w:evenVBand="0" w:oddHBand="0" w:evenHBand="0" w:firstRowFirstColumn="0" w:firstRowLastColumn="0" w:lastRowFirstColumn="0" w:lastRowLastColumn="0"/>
              <w:rPr>
                <w:b w:val="0"/>
                <w:szCs w:val="18"/>
              </w:rPr>
            </w:pPr>
            <w:r w:rsidRPr="00B275E2">
              <w:rPr>
                <w:szCs w:val="18"/>
              </w:rPr>
              <w:t>Pre-</w:t>
            </w:r>
            <w:r w:rsidR="009646AF" w:rsidRPr="00B275E2">
              <w:rPr>
                <w:szCs w:val="18"/>
              </w:rPr>
              <w:t>2010</w:t>
            </w:r>
          </w:p>
        </w:tc>
        <w:tc>
          <w:tcPr>
            <w:tcW w:w="1262" w:type="dxa"/>
            <w:tcBorders>
              <w:bottom w:val="nil"/>
            </w:tcBorders>
            <w:shd w:val="clear" w:color="auto" w:fill="1B556B" w:themeFill="text2"/>
            <w:noWrap/>
            <w:hideMark/>
          </w:tcPr>
          <w:p w14:paraId="65091F0B" w14:textId="0C1783D5" w:rsidR="00444D28" w:rsidRPr="00B275E2" w:rsidRDefault="00444D28" w:rsidP="0037602E">
            <w:pPr>
              <w:pStyle w:val="TableText"/>
              <w:keepNext/>
              <w:spacing w:before="40" w:after="40"/>
              <w:jc w:val="right"/>
              <w:cnfStyle w:val="100000000000" w:firstRow="1" w:lastRow="0" w:firstColumn="0" w:lastColumn="0" w:oddVBand="0" w:evenVBand="0" w:oddHBand="0" w:evenHBand="0" w:firstRowFirstColumn="0" w:firstRowLastColumn="0" w:lastRowFirstColumn="0" w:lastRowLastColumn="0"/>
              <w:rPr>
                <w:b w:val="0"/>
                <w:szCs w:val="18"/>
              </w:rPr>
            </w:pPr>
            <w:r w:rsidRPr="00B275E2">
              <w:rPr>
                <w:szCs w:val="18"/>
              </w:rPr>
              <w:t xml:space="preserve">2010–2015 </w:t>
            </w:r>
          </w:p>
        </w:tc>
        <w:tc>
          <w:tcPr>
            <w:tcW w:w="1263" w:type="dxa"/>
            <w:tcBorders>
              <w:bottom w:val="nil"/>
            </w:tcBorders>
            <w:shd w:val="clear" w:color="auto" w:fill="1B556B" w:themeFill="text2"/>
            <w:noWrap/>
            <w:hideMark/>
          </w:tcPr>
          <w:p w14:paraId="65091F0C" w14:textId="67E92265" w:rsidR="00444D28" w:rsidRPr="00B275E2" w:rsidRDefault="00444D28" w:rsidP="0037602E">
            <w:pPr>
              <w:pStyle w:val="TableText"/>
              <w:keepNext/>
              <w:spacing w:before="40" w:after="40"/>
              <w:jc w:val="right"/>
              <w:cnfStyle w:val="100000000000" w:firstRow="1" w:lastRow="0" w:firstColumn="0" w:lastColumn="0" w:oddVBand="0" w:evenVBand="0" w:oddHBand="0" w:evenHBand="0" w:firstRowFirstColumn="0" w:firstRowLastColumn="0" w:lastRowFirstColumn="0" w:lastRowLastColumn="0"/>
              <w:rPr>
                <w:b w:val="0"/>
                <w:szCs w:val="18"/>
              </w:rPr>
            </w:pPr>
            <w:r w:rsidRPr="00B275E2">
              <w:rPr>
                <w:szCs w:val="18"/>
              </w:rPr>
              <w:t xml:space="preserve">Post-2015 </w:t>
            </w:r>
          </w:p>
        </w:tc>
      </w:tr>
      <w:tr w:rsidR="008139C8" w:rsidRPr="00B275E2" w14:paraId="65091F13" w14:textId="77777777" w:rsidTr="00474E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dxa"/>
            <w:vMerge w:val="restart"/>
            <w:tcBorders>
              <w:top w:val="nil"/>
              <w:left w:val="single" w:sz="4" w:space="0" w:color="FFFFFF" w:themeColor="background1"/>
            </w:tcBorders>
            <w:hideMark/>
          </w:tcPr>
          <w:p w14:paraId="65091F0E" w14:textId="77777777" w:rsidR="0053696B" w:rsidRPr="00B275E2" w:rsidRDefault="0053696B" w:rsidP="007F0B1E">
            <w:pPr>
              <w:pStyle w:val="TableText"/>
              <w:keepNext/>
              <w:spacing w:before="40" w:after="40"/>
              <w:rPr>
                <w:b w:val="0"/>
                <w:szCs w:val="18"/>
              </w:rPr>
            </w:pPr>
            <w:r w:rsidRPr="00B275E2">
              <w:rPr>
                <w:b w:val="0"/>
                <w:szCs w:val="18"/>
              </w:rPr>
              <w:t>Petrol vehicle</w:t>
            </w:r>
          </w:p>
        </w:tc>
        <w:tc>
          <w:tcPr>
            <w:tcW w:w="1689" w:type="dxa"/>
            <w:tcBorders>
              <w:top w:val="nil"/>
            </w:tcBorders>
            <w:noWrap/>
            <w:hideMark/>
          </w:tcPr>
          <w:p w14:paraId="65091F0F" w14:textId="77777777" w:rsidR="0053696B" w:rsidRPr="00B275E2" w:rsidRDefault="0053696B" w:rsidP="007F0B1E">
            <w:pPr>
              <w:pStyle w:val="TableText"/>
              <w:keepN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&lt;1350 cc</w:t>
            </w:r>
          </w:p>
        </w:tc>
        <w:tc>
          <w:tcPr>
            <w:tcW w:w="792" w:type="dxa"/>
            <w:tcBorders>
              <w:top w:val="nil"/>
            </w:tcBorders>
          </w:tcPr>
          <w:p w14:paraId="36ED43F6" w14:textId="26668C5F" w:rsidR="0053696B" w:rsidRPr="00B275E2" w:rsidRDefault="0053696B" w:rsidP="007F0B1E">
            <w:pPr>
              <w:pStyle w:val="TableText"/>
              <w:keepN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litres</w:t>
            </w:r>
          </w:p>
        </w:tc>
        <w:tc>
          <w:tcPr>
            <w:tcW w:w="1262" w:type="dxa"/>
            <w:tcBorders>
              <w:top w:val="nil"/>
            </w:tcBorders>
            <w:noWrap/>
          </w:tcPr>
          <w:p w14:paraId="65091F10" w14:textId="2BE16ED7" w:rsidR="0053696B" w:rsidRPr="00B275E2" w:rsidRDefault="0053696B" w:rsidP="007F0B1E">
            <w:pPr>
              <w:pStyle w:val="TableText"/>
              <w:keepN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8.339</w:t>
            </w:r>
          </w:p>
        </w:tc>
        <w:tc>
          <w:tcPr>
            <w:tcW w:w="1262" w:type="dxa"/>
            <w:tcBorders>
              <w:top w:val="nil"/>
            </w:tcBorders>
            <w:noWrap/>
          </w:tcPr>
          <w:p w14:paraId="65091F11" w14:textId="0265F6F1" w:rsidR="0053696B" w:rsidRPr="00B275E2" w:rsidRDefault="0053696B" w:rsidP="007F0B1E">
            <w:pPr>
              <w:pStyle w:val="TableText"/>
              <w:keepN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7.374</w:t>
            </w:r>
          </w:p>
        </w:tc>
        <w:tc>
          <w:tcPr>
            <w:tcW w:w="1263" w:type="dxa"/>
            <w:tcBorders>
              <w:top w:val="nil"/>
              <w:right w:val="single" w:sz="4" w:space="0" w:color="FFFFFF" w:themeColor="background1"/>
            </w:tcBorders>
            <w:noWrap/>
          </w:tcPr>
          <w:p w14:paraId="65091F12" w14:textId="1CBF1DF2" w:rsidR="0053696B" w:rsidRPr="00B275E2" w:rsidRDefault="0053696B" w:rsidP="007F0B1E">
            <w:pPr>
              <w:pStyle w:val="TableText"/>
              <w:keepN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6.924</w:t>
            </w:r>
          </w:p>
        </w:tc>
      </w:tr>
      <w:tr w:rsidR="0053696B" w:rsidRPr="00B275E2" w14:paraId="65091F19" w14:textId="77777777" w:rsidTr="00474EDC">
        <w:trPr>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left w:val="single" w:sz="4" w:space="0" w:color="FFFFFF" w:themeColor="background1"/>
            </w:tcBorders>
            <w:hideMark/>
          </w:tcPr>
          <w:p w14:paraId="65091F14" w14:textId="77777777" w:rsidR="0053696B" w:rsidRPr="00B275E2" w:rsidRDefault="0053696B" w:rsidP="007F0B1E">
            <w:pPr>
              <w:pStyle w:val="TableText"/>
              <w:keepNext/>
              <w:spacing w:before="40" w:after="40"/>
              <w:rPr>
                <w:b w:val="0"/>
                <w:szCs w:val="18"/>
              </w:rPr>
            </w:pPr>
          </w:p>
        </w:tc>
        <w:tc>
          <w:tcPr>
            <w:tcW w:w="1689" w:type="dxa"/>
            <w:noWrap/>
            <w:hideMark/>
          </w:tcPr>
          <w:p w14:paraId="65091F15" w14:textId="3C537999" w:rsidR="0053696B" w:rsidRPr="00B275E2" w:rsidRDefault="0053696B" w:rsidP="007F0B1E">
            <w:pPr>
              <w:pStyle w:val="TableText"/>
              <w:keepN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1350</w:t>
            </w:r>
            <w:r w:rsidRPr="00B275E2">
              <w:rPr>
                <w:rFonts w:cs="Calibri"/>
                <w:color w:val="000000"/>
                <w:szCs w:val="18"/>
              </w:rPr>
              <w:t xml:space="preserve"> -</w:t>
            </w:r>
            <w:r w:rsidRPr="00B275E2">
              <w:rPr>
                <w:szCs w:val="18"/>
              </w:rPr>
              <w:t xml:space="preserve"> &lt;1600 cc</w:t>
            </w:r>
          </w:p>
        </w:tc>
        <w:tc>
          <w:tcPr>
            <w:tcW w:w="792" w:type="dxa"/>
          </w:tcPr>
          <w:p w14:paraId="20EFE864" w14:textId="3BE9450A" w:rsidR="0053696B" w:rsidRPr="00B275E2" w:rsidRDefault="0053696B" w:rsidP="007F0B1E">
            <w:pPr>
              <w:pStyle w:val="TableText"/>
              <w:keepN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litres</w:t>
            </w:r>
          </w:p>
        </w:tc>
        <w:tc>
          <w:tcPr>
            <w:tcW w:w="1262" w:type="dxa"/>
            <w:noWrap/>
          </w:tcPr>
          <w:p w14:paraId="65091F16" w14:textId="6AEC8EB3" w:rsidR="0053696B" w:rsidRPr="00B275E2" w:rsidRDefault="0053696B" w:rsidP="007F0B1E">
            <w:pPr>
              <w:pStyle w:val="TableText"/>
              <w:keepN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8.631</w:t>
            </w:r>
          </w:p>
        </w:tc>
        <w:tc>
          <w:tcPr>
            <w:tcW w:w="1262" w:type="dxa"/>
            <w:noWrap/>
          </w:tcPr>
          <w:p w14:paraId="65091F17" w14:textId="102B6C4E" w:rsidR="0053696B" w:rsidRPr="00B275E2" w:rsidRDefault="0053696B" w:rsidP="007F0B1E">
            <w:pPr>
              <w:pStyle w:val="TableText"/>
              <w:keepN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7.632</w:t>
            </w:r>
          </w:p>
        </w:tc>
        <w:tc>
          <w:tcPr>
            <w:tcW w:w="1263" w:type="dxa"/>
            <w:tcBorders>
              <w:right w:val="single" w:sz="4" w:space="0" w:color="FFFFFF" w:themeColor="background1"/>
            </w:tcBorders>
            <w:noWrap/>
          </w:tcPr>
          <w:p w14:paraId="65091F18" w14:textId="6CE6A8CD" w:rsidR="0053696B" w:rsidRPr="00B275E2" w:rsidRDefault="0053696B" w:rsidP="007F0B1E">
            <w:pPr>
              <w:pStyle w:val="TableText"/>
              <w:keepN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7.166</w:t>
            </w:r>
          </w:p>
        </w:tc>
      </w:tr>
      <w:tr w:rsidR="0053696B" w:rsidRPr="00B275E2" w14:paraId="65091F1F" w14:textId="77777777" w:rsidTr="00474E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left w:val="single" w:sz="4" w:space="0" w:color="FFFFFF" w:themeColor="background1"/>
            </w:tcBorders>
            <w:hideMark/>
          </w:tcPr>
          <w:p w14:paraId="65091F1A" w14:textId="77777777" w:rsidR="0053696B" w:rsidRPr="00B275E2" w:rsidRDefault="0053696B" w:rsidP="007F0B1E">
            <w:pPr>
              <w:pStyle w:val="TableText"/>
              <w:spacing w:before="40" w:after="40"/>
              <w:rPr>
                <w:b w:val="0"/>
                <w:szCs w:val="18"/>
              </w:rPr>
            </w:pPr>
          </w:p>
        </w:tc>
        <w:tc>
          <w:tcPr>
            <w:tcW w:w="1689" w:type="dxa"/>
            <w:noWrap/>
            <w:hideMark/>
          </w:tcPr>
          <w:p w14:paraId="65091F1B" w14:textId="1D8BDB9A" w:rsidR="0053696B" w:rsidRPr="00B275E2" w:rsidRDefault="0053696B"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1600</w:t>
            </w:r>
            <w:r w:rsidRPr="00B275E2">
              <w:rPr>
                <w:rFonts w:cs="Calibri"/>
                <w:color w:val="000000"/>
                <w:szCs w:val="18"/>
              </w:rPr>
              <w:t xml:space="preserve"> -</w:t>
            </w:r>
            <w:r w:rsidRPr="00B275E2">
              <w:rPr>
                <w:szCs w:val="18"/>
              </w:rPr>
              <w:t xml:space="preserve"> &lt;2000 cc</w:t>
            </w:r>
          </w:p>
        </w:tc>
        <w:tc>
          <w:tcPr>
            <w:tcW w:w="792" w:type="dxa"/>
          </w:tcPr>
          <w:p w14:paraId="2537F039" w14:textId="670301CB" w:rsidR="0053696B" w:rsidRPr="00B275E2" w:rsidRDefault="0053696B"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litres</w:t>
            </w:r>
          </w:p>
        </w:tc>
        <w:tc>
          <w:tcPr>
            <w:tcW w:w="1262" w:type="dxa"/>
            <w:noWrap/>
          </w:tcPr>
          <w:p w14:paraId="65091F1C" w14:textId="67E6B0B7" w:rsidR="0053696B" w:rsidRPr="00B275E2" w:rsidRDefault="0053696B"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9.718</w:t>
            </w:r>
          </w:p>
        </w:tc>
        <w:tc>
          <w:tcPr>
            <w:tcW w:w="1262" w:type="dxa"/>
            <w:noWrap/>
          </w:tcPr>
          <w:p w14:paraId="65091F1D" w14:textId="18163A38" w:rsidR="0053696B" w:rsidRPr="00B275E2" w:rsidRDefault="0053696B"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8.594</w:t>
            </w:r>
          </w:p>
        </w:tc>
        <w:tc>
          <w:tcPr>
            <w:tcW w:w="1263" w:type="dxa"/>
            <w:tcBorders>
              <w:right w:val="single" w:sz="4" w:space="0" w:color="FFFFFF" w:themeColor="background1"/>
            </w:tcBorders>
            <w:noWrap/>
          </w:tcPr>
          <w:p w14:paraId="65091F1E" w14:textId="27C432BD" w:rsidR="0053696B" w:rsidRPr="00B275E2" w:rsidRDefault="0053696B"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8.069</w:t>
            </w:r>
          </w:p>
        </w:tc>
      </w:tr>
      <w:tr w:rsidR="0053696B" w:rsidRPr="00B275E2" w14:paraId="65091F25" w14:textId="77777777" w:rsidTr="00474EDC">
        <w:trPr>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left w:val="single" w:sz="4" w:space="0" w:color="FFFFFF" w:themeColor="background1"/>
            </w:tcBorders>
            <w:hideMark/>
          </w:tcPr>
          <w:p w14:paraId="65091F20" w14:textId="77777777" w:rsidR="0053696B" w:rsidRPr="00B275E2" w:rsidRDefault="0053696B" w:rsidP="007F0B1E">
            <w:pPr>
              <w:pStyle w:val="TableText"/>
              <w:spacing w:before="40" w:after="40"/>
              <w:rPr>
                <w:b w:val="0"/>
                <w:szCs w:val="18"/>
              </w:rPr>
            </w:pPr>
          </w:p>
        </w:tc>
        <w:tc>
          <w:tcPr>
            <w:tcW w:w="1689" w:type="dxa"/>
            <w:noWrap/>
            <w:hideMark/>
          </w:tcPr>
          <w:p w14:paraId="65091F21" w14:textId="724E92C0" w:rsidR="0053696B" w:rsidRPr="00B275E2" w:rsidRDefault="0053696B"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2000</w:t>
            </w:r>
            <w:r w:rsidRPr="00B275E2">
              <w:rPr>
                <w:rFonts w:cs="Calibri"/>
                <w:color w:val="000000"/>
                <w:szCs w:val="18"/>
              </w:rPr>
              <w:t xml:space="preserve"> -</w:t>
            </w:r>
            <w:r w:rsidRPr="00B275E2">
              <w:rPr>
                <w:szCs w:val="18"/>
              </w:rPr>
              <w:t xml:space="preserve"> &lt;3000 cc</w:t>
            </w:r>
          </w:p>
        </w:tc>
        <w:tc>
          <w:tcPr>
            <w:tcW w:w="792" w:type="dxa"/>
          </w:tcPr>
          <w:p w14:paraId="2FF51D69" w14:textId="7968A428" w:rsidR="0053696B" w:rsidRPr="00B275E2" w:rsidRDefault="0053696B"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litres</w:t>
            </w:r>
          </w:p>
        </w:tc>
        <w:tc>
          <w:tcPr>
            <w:tcW w:w="1262" w:type="dxa"/>
            <w:noWrap/>
          </w:tcPr>
          <w:p w14:paraId="65091F22" w14:textId="2CDB3F93" w:rsidR="0053696B" w:rsidRPr="00B275E2" w:rsidRDefault="0053696B"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10.794</w:t>
            </w:r>
          </w:p>
        </w:tc>
        <w:tc>
          <w:tcPr>
            <w:tcW w:w="1262" w:type="dxa"/>
            <w:noWrap/>
          </w:tcPr>
          <w:p w14:paraId="65091F23" w14:textId="7222A5BE" w:rsidR="0053696B" w:rsidRPr="00B275E2" w:rsidRDefault="0053696B"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9.545</w:t>
            </w:r>
          </w:p>
        </w:tc>
        <w:tc>
          <w:tcPr>
            <w:tcW w:w="1263" w:type="dxa"/>
            <w:tcBorders>
              <w:right w:val="single" w:sz="4" w:space="0" w:color="FFFFFF" w:themeColor="background1"/>
            </w:tcBorders>
            <w:noWrap/>
          </w:tcPr>
          <w:p w14:paraId="65091F24" w14:textId="363D64D5" w:rsidR="0053696B" w:rsidRPr="00B275E2" w:rsidRDefault="0053696B"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8.962</w:t>
            </w:r>
          </w:p>
        </w:tc>
      </w:tr>
      <w:tr w:rsidR="0053696B" w:rsidRPr="00B275E2" w14:paraId="65091F2B" w14:textId="77777777" w:rsidTr="00474E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left w:val="single" w:sz="4" w:space="0" w:color="FFFFFF" w:themeColor="background1"/>
            </w:tcBorders>
            <w:hideMark/>
          </w:tcPr>
          <w:p w14:paraId="65091F26" w14:textId="77777777" w:rsidR="0053696B" w:rsidRPr="00B275E2" w:rsidRDefault="0053696B" w:rsidP="007F0B1E">
            <w:pPr>
              <w:pStyle w:val="TableText"/>
              <w:spacing w:before="40" w:after="40"/>
              <w:rPr>
                <w:b w:val="0"/>
                <w:szCs w:val="18"/>
              </w:rPr>
            </w:pPr>
          </w:p>
        </w:tc>
        <w:tc>
          <w:tcPr>
            <w:tcW w:w="1689" w:type="dxa"/>
            <w:noWrap/>
            <w:hideMark/>
          </w:tcPr>
          <w:p w14:paraId="65091F27" w14:textId="77777777" w:rsidR="0053696B" w:rsidRPr="00B275E2" w:rsidRDefault="0053696B"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≥3000 cc</w:t>
            </w:r>
          </w:p>
        </w:tc>
        <w:tc>
          <w:tcPr>
            <w:tcW w:w="792" w:type="dxa"/>
          </w:tcPr>
          <w:p w14:paraId="6F56ABD8" w14:textId="5DCB8438" w:rsidR="0053696B" w:rsidRPr="00B275E2" w:rsidRDefault="0053696B"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litres</w:t>
            </w:r>
          </w:p>
        </w:tc>
        <w:tc>
          <w:tcPr>
            <w:tcW w:w="1262" w:type="dxa"/>
            <w:noWrap/>
          </w:tcPr>
          <w:p w14:paraId="65091F28" w14:textId="6C520E20" w:rsidR="0053696B" w:rsidRPr="00B275E2" w:rsidRDefault="0053696B"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12.912</w:t>
            </w:r>
          </w:p>
        </w:tc>
        <w:tc>
          <w:tcPr>
            <w:tcW w:w="1262" w:type="dxa"/>
            <w:noWrap/>
          </w:tcPr>
          <w:p w14:paraId="65091F29" w14:textId="22F4DE28" w:rsidR="0053696B" w:rsidRPr="00B275E2" w:rsidRDefault="0053696B"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11.418</w:t>
            </w:r>
          </w:p>
        </w:tc>
        <w:tc>
          <w:tcPr>
            <w:tcW w:w="1263" w:type="dxa"/>
            <w:tcBorders>
              <w:right w:val="single" w:sz="4" w:space="0" w:color="FFFFFF" w:themeColor="background1"/>
            </w:tcBorders>
            <w:noWrap/>
          </w:tcPr>
          <w:p w14:paraId="65091F2A" w14:textId="26FB7A2D" w:rsidR="0053696B" w:rsidRPr="00B275E2" w:rsidRDefault="0053696B"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10.721</w:t>
            </w:r>
          </w:p>
        </w:tc>
      </w:tr>
      <w:tr w:rsidR="0053696B" w:rsidRPr="00B275E2" w14:paraId="65091F31" w14:textId="77777777" w:rsidTr="00474EDC">
        <w:trPr>
          <w:trHeight w:val="300"/>
        </w:trPr>
        <w:tc>
          <w:tcPr>
            <w:cnfStyle w:val="001000000000" w:firstRow="0" w:lastRow="0" w:firstColumn="1" w:lastColumn="0" w:oddVBand="0" w:evenVBand="0" w:oddHBand="0" w:evenHBand="0" w:firstRowFirstColumn="0" w:firstRowLastColumn="0" w:lastRowFirstColumn="0" w:lastRowLastColumn="0"/>
            <w:tcW w:w="2237" w:type="dxa"/>
            <w:vMerge w:val="restart"/>
            <w:tcBorders>
              <w:left w:val="single" w:sz="4" w:space="0" w:color="FFFFFF" w:themeColor="background1"/>
            </w:tcBorders>
            <w:hideMark/>
          </w:tcPr>
          <w:p w14:paraId="65091F2C" w14:textId="77777777" w:rsidR="0053696B" w:rsidRPr="00B275E2" w:rsidRDefault="0053696B" w:rsidP="007F0B1E">
            <w:pPr>
              <w:pStyle w:val="TableText"/>
              <w:spacing w:before="40" w:after="40"/>
              <w:rPr>
                <w:b w:val="0"/>
                <w:szCs w:val="18"/>
              </w:rPr>
            </w:pPr>
            <w:r w:rsidRPr="00B275E2">
              <w:rPr>
                <w:b w:val="0"/>
                <w:szCs w:val="18"/>
              </w:rPr>
              <w:t>Diesel vehicle</w:t>
            </w:r>
          </w:p>
        </w:tc>
        <w:tc>
          <w:tcPr>
            <w:tcW w:w="1689" w:type="dxa"/>
            <w:noWrap/>
            <w:hideMark/>
          </w:tcPr>
          <w:p w14:paraId="65091F2D" w14:textId="77777777" w:rsidR="0053696B" w:rsidRPr="00B275E2" w:rsidRDefault="0053696B"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&lt;1350 cc</w:t>
            </w:r>
          </w:p>
        </w:tc>
        <w:tc>
          <w:tcPr>
            <w:tcW w:w="792" w:type="dxa"/>
          </w:tcPr>
          <w:p w14:paraId="2F4EEA5C" w14:textId="639C46A3" w:rsidR="0053696B" w:rsidRPr="00B275E2" w:rsidRDefault="0053696B"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litres</w:t>
            </w:r>
          </w:p>
        </w:tc>
        <w:tc>
          <w:tcPr>
            <w:tcW w:w="1262" w:type="dxa"/>
            <w:noWrap/>
          </w:tcPr>
          <w:p w14:paraId="65091F2E" w14:textId="4B401C07" w:rsidR="0053696B" w:rsidRPr="00B275E2" w:rsidRDefault="0053696B"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8.000</w:t>
            </w:r>
          </w:p>
        </w:tc>
        <w:tc>
          <w:tcPr>
            <w:tcW w:w="1262" w:type="dxa"/>
            <w:noWrap/>
          </w:tcPr>
          <w:p w14:paraId="65091F2F" w14:textId="758015C0" w:rsidR="0053696B" w:rsidRPr="00B275E2" w:rsidRDefault="0053696B"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7.337</w:t>
            </w:r>
          </w:p>
        </w:tc>
        <w:tc>
          <w:tcPr>
            <w:tcW w:w="1263" w:type="dxa"/>
            <w:tcBorders>
              <w:right w:val="single" w:sz="4" w:space="0" w:color="FFFFFF" w:themeColor="background1"/>
            </w:tcBorders>
            <w:noWrap/>
          </w:tcPr>
          <w:p w14:paraId="65091F30" w14:textId="4DCF6574" w:rsidR="0053696B" w:rsidRPr="00B275E2" w:rsidRDefault="0053696B"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6.968</w:t>
            </w:r>
          </w:p>
        </w:tc>
      </w:tr>
      <w:tr w:rsidR="0053696B" w:rsidRPr="00B275E2" w14:paraId="65091F37" w14:textId="77777777" w:rsidTr="00474E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left w:val="single" w:sz="4" w:space="0" w:color="FFFFFF" w:themeColor="background1"/>
            </w:tcBorders>
            <w:hideMark/>
          </w:tcPr>
          <w:p w14:paraId="65091F32" w14:textId="77777777" w:rsidR="0053696B" w:rsidRPr="00B275E2" w:rsidRDefault="0053696B" w:rsidP="007F0B1E">
            <w:pPr>
              <w:pStyle w:val="TableText"/>
              <w:spacing w:before="40" w:after="40"/>
              <w:rPr>
                <w:b w:val="0"/>
                <w:szCs w:val="18"/>
              </w:rPr>
            </w:pPr>
          </w:p>
        </w:tc>
        <w:tc>
          <w:tcPr>
            <w:tcW w:w="1689" w:type="dxa"/>
            <w:noWrap/>
            <w:hideMark/>
          </w:tcPr>
          <w:p w14:paraId="65091F33" w14:textId="0C0C30E7" w:rsidR="0053696B" w:rsidRPr="00B275E2" w:rsidRDefault="0053696B"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1350</w:t>
            </w:r>
            <w:r w:rsidRPr="00B275E2">
              <w:rPr>
                <w:rFonts w:cs="Calibri"/>
                <w:color w:val="000000"/>
                <w:szCs w:val="18"/>
              </w:rPr>
              <w:t xml:space="preserve"> -</w:t>
            </w:r>
            <w:r w:rsidRPr="00B275E2">
              <w:rPr>
                <w:szCs w:val="18"/>
              </w:rPr>
              <w:t xml:space="preserve"> &lt;1600 cc</w:t>
            </w:r>
          </w:p>
        </w:tc>
        <w:tc>
          <w:tcPr>
            <w:tcW w:w="792" w:type="dxa"/>
          </w:tcPr>
          <w:p w14:paraId="61D6B93D" w14:textId="7D4EC370" w:rsidR="0053696B" w:rsidRPr="00B275E2" w:rsidRDefault="0053696B"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litres</w:t>
            </w:r>
          </w:p>
        </w:tc>
        <w:tc>
          <w:tcPr>
            <w:tcW w:w="1262" w:type="dxa"/>
            <w:noWrap/>
          </w:tcPr>
          <w:p w14:paraId="65091F34" w14:textId="2873F2FA" w:rsidR="0053696B" w:rsidRPr="00B275E2" w:rsidRDefault="0053696B"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7.698</w:t>
            </w:r>
          </w:p>
        </w:tc>
        <w:tc>
          <w:tcPr>
            <w:tcW w:w="1262" w:type="dxa"/>
            <w:noWrap/>
          </w:tcPr>
          <w:p w14:paraId="65091F35" w14:textId="033D2083" w:rsidR="0053696B" w:rsidRPr="00B275E2" w:rsidRDefault="0053696B"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7.060</w:t>
            </w:r>
          </w:p>
        </w:tc>
        <w:tc>
          <w:tcPr>
            <w:tcW w:w="1263" w:type="dxa"/>
            <w:tcBorders>
              <w:right w:val="single" w:sz="4" w:space="0" w:color="FFFFFF" w:themeColor="background1"/>
            </w:tcBorders>
            <w:noWrap/>
          </w:tcPr>
          <w:p w14:paraId="65091F36" w14:textId="5B150433" w:rsidR="0053696B" w:rsidRPr="00B275E2" w:rsidRDefault="0053696B"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6.705</w:t>
            </w:r>
          </w:p>
        </w:tc>
      </w:tr>
      <w:tr w:rsidR="0053696B" w:rsidRPr="00B275E2" w14:paraId="65091F3D" w14:textId="77777777" w:rsidTr="00474EDC">
        <w:trPr>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left w:val="single" w:sz="4" w:space="0" w:color="FFFFFF" w:themeColor="background1"/>
            </w:tcBorders>
            <w:hideMark/>
          </w:tcPr>
          <w:p w14:paraId="65091F38" w14:textId="77777777" w:rsidR="0053696B" w:rsidRPr="00B275E2" w:rsidRDefault="0053696B" w:rsidP="007F0B1E">
            <w:pPr>
              <w:pStyle w:val="TableText"/>
              <w:spacing w:before="40" w:after="40"/>
              <w:rPr>
                <w:b w:val="0"/>
                <w:szCs w:val="18"/>
              </w:rPr>
            </w:pPr>
          </w:p>
        </w:tc>
        <w:tc>
          <w:tcPr>
            <w:tcW w:w="1689" w:type="dxa"/>
            <w:noWrap/>
            <w:hideMark/>
          </w:tcPr>
          <w:p w14:paraId="65091F39" w14:textId="0EAD2EB8" w:rsidR="0053696B" w:rsidRPr="00B275E2" w:rsidRDefault="0053696B"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1600</w:t>
            </w:r>
            <w:r w:rsidRPr="00B275E2">
              <w:rPr>
                <w:rFonts w:cs="Calibri"/>
                <w:color w:val="000000"/>
                <w:szCs w:val="18"/>
              </w:rPr>
              <w:t xml:space="preserve"> -</w:t>
            </w:r>
            <w:r w:rsidRPr="00B275E2">
              <w:rPr>
                <w:szCs w:val="18"/>
              </w:rPr>
              <w:t xml:space="preserve"> &lt;2000 cc</w:t>
            </w:r>
          </w:p>
        </w:tc>
        <w:tc>
          <w:tcPr>
            <w:tcW w:w="792" w:type="dxa"/>
          </w:tcPr>
          <w:p w14:paraId="1917B408" w14:textId="51AC92ED" w:rsidR="0053696B" w:rsidRPr="00B275E2" w:rsidRDefault="0053696B"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litres</w:t>
            </w:r>
          </w:p>
        </w:tc>
        <w:tc>
          <w:tcPr>
            <w:tcW w:w="1262" w:type="dxa"/>
            <w:noWrap/>
          </w:tcPr>
          <w:p w14:paraId="65091F3A" w14:textId="504F04BA" w:rsidR="0053696B" w:rsidRPr="00B275E2" w:rsidRDefault="0053696B"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8.159</w:t>
            </w:r>
          </w:p>
        </w:tc>
        <w:tc>
          <w:tcPr>
            <w:tcW w:w="1262" w:type="dxa"/>
            <w:noWrap/>
          </w:tcPr>
          <w:p w14:paraId="65091F3B" w14:textId="02752924" w:rsidR="0053696B" w:rsidRPr="00B275E2" w:rsidRDefault="0053696B"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7.483</w:t>
            </w:r>
          </w:p>
        </w:tc>
        <w:tc>
          <w:tcPr>
            <w:tcW w:w="1263" w:type="dxa"/>
            <w:tcBorders>
              <w:right w:val="single" w:sz="4" w:space="0" w:color="FFFFFF" w:themeColor="background1"/>
            </w:tcBorders>
            <w:noWrap/>
          </w:tcPr>
          <w:p w14:paraId="65091F3C" w14:textId="63B80E30" w:rsidR="0053696B" w:rsidRPr="00B275E2" w:rsidRDefault="0053696B"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7.107</w:t>
            </w:r>
          </w:p>
        </w:tc>
      </w:tr>
      <w:tr w:rsidR="0053696B" w:rsidRPr="00B275E2" w14:paraId="65091F43" w14:textId="77777777" w:rsidTr="00474E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left w:val="single" w:sz="4" w:space="0" w:color="FFFFFF" w:themeColor="background1"/>
            </w:tcBorders>
            <w:hideMark/>
          </w:tcPr>
          <w:p w14:paraId="65091F3E" w14:textId="77777777" w:rsidR="0053696B" w:rsidRPr="00B275E2" w:rsidRDefault="0053696B" w:rsidP="007F0B1E">
            <w:pPr>
              <w:pStyle w:val="TableText"/>
              <w:spacing w:before="40" w:after="40"/>
              <w:rPr>
                <w:b w:val="0"/>
                <w:szCs w:val="18"/>
              </w:rPr>
            </w:pPr>
          </w:p>
        </w:tc>
        <w:tc>
          <w:tcPr>
            <w:tcW w:w="1689" w:type="dxa"/>
            <w:noWrap/>
            <w:hideMark/>
          </w:tcPr>
          <w:p w14:paraId="65091F3F" w14:textId="2F7D9282" w:rsidR="0053696B" w:rsidRPr="00B275E2" w:rsidRDefault="0053696B"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2000</w:t>
            </w:r>
            <w:r w:rsidRPr="00B275E2">
              <w:rPr>
                <w:rFonts w:cs="Calibri"/>
                <w:color w:val="000000"/>
                <w:szCs w:val="18"/>
              </w:rPr>
              <w:t xml:space="preserve"> -</w:t>
            </w:r>
            <w:r w:rsidRPr="00B275E2">
              <w:rPr>
                <w:szCs w:val="18"/>
              </w:rPr>
              <w:t xml:space="preserve"> &lt;3000 cc</w:t>
            </w:r>
          </w:p>
        </w:tc>
        <w:tc>
          <w:tcPr>
            <w:tcW w:w="792" w:type="dxa"/>
          </w:tcPr>
          <w:p w14:paraId="7DC10F4C" w14:textId="1A00288B" w:rsidR="0053696B" w:rsidRPr="00B275E2" w:rsidRDefault="0053696B"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litres</w:t>
            </w:r>
          </w:p>
        </w:tc>
        <w:tc>
          <w:tcPr>
            <w:tcW w:w="1262" w:type="dxa"/>
            <w:noWrap/>
          </w:tcPr>
          <w:p w14:paraId="65091F40" w14:textId="2705258D" w:rsidR="0053696B" w:rsidRPr="00B275E2" w:rsidRDefault="0053696B"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10.031</w:t>
            </w:r>
          </w:p>
        </w:tc>
        <w:tc>
          <w:tcPr>
            <w:tcW w:w="1262" w:type="dxa"/>
            <w:noWrap/>
          </w:tcPr>
          <w:p w14:paraId="65091F41" w14:textId="0B7E621A" w:rsidR="0053696B" w:rsidRPr="00B275E2" w:rsidRDefault="0053696B"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9.199</w:t>
            </w:r>
          </w:p>
        </w:tc>
        <w:tc>
          <w:tcPr>
            <w:tcW w:w="1263" w:type="dxa"/>
            <w:tcBorders>
              <w:right w:val="single" w:sz="4" w:space="0" w:color="FFFFFF" w:themeColor="background1"/>
            </w:tcBorders>
            <w:noWrap/>
          </w:tcPr>
          <w:p w14:paraId="65091F42" w14:textId="0A8624B0" w:rsidR="0053696B" w:rsidRPr="00B275E2" w:rsidRDefault="0053696B"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8.732</w:t>
            </w:r>
          </w:p>
        </w:tc>
      </w:tr>
      <w:tr w:rsidR="0053696B" w:rsidRPr="00B275E2" w14:paraId="65091F49" w14:textId="77777777" w:rsidTr="00474EDC">
        <w:trPr>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left w:val="single" w:sz="4" w:space="0" w:color="FFFFFF" w:themeColor="background1"/>
            </w:tcBorders>
            <w:hideMark/>
          </w:tcPr>
          <w:p w14:paraId="65091F44" w14:textId="77777777" w:rsidR="0053696B" w:rsidRPr="00B275E2" w:rsidRDefault="0053696B" w:rsidP="007F0B1E">
            <w:pPr>
              <w:pStyle w:val="TableText"/>
              <w:spacing w:before="40" w:after="40"/>
              <w:rPr>
                <w:b w:val="0"/>
                <w:szCs w:val="18"/>
              </w:rPr>
            </w:pPr>
          </w:p>
        </w:tc>
        <w:tc>
          <w:tcPr>
            <w:tcW w:w="1689" w:type="dxa"/>
            <w:noWrap/>
            <w:hideMark/>
          </w:tcPr>
          <w:p w14:paraId="65091F45" w14:textId="77777777" w:rsidR="0053696B" w:rsidRPr="00B275E2" w:rsidRDefault="0053696B"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≥3000 cc</w:t>
            </w:r>
          </w:p>
        </w:tc>
        <w:tc>
          <w:tcPr>
            <w:tcW w:w="792" w:type="dxa"/>
          </w:tcPr>
          <w:p w14:paraId="07421CA9" w14:textId="13202661" w:rsidR="0053696B" w:rsidRPr="00B275E2" w:rsidRDefault="0053696B"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litres</w:t>
            </w:r>
          </w:p>
        </w:tc>
        <w:tc>
          <w:tcPr>
            <w:tcW w:w="1262" w:type="dxa"/>
            <w:noWrap/>
          </w:tcPr>
          <w:p w14:paraId="65091F46" w14:textId="573A31FA" w:rsidR="0053696B" w:rsidRPr="00B275E2" w:rsidRDefault="0053696B"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11.127</w:t>
            </w:r>
          </w:p>
        </w:tc>
        <w:tc>
          <w:tcPr>
            <w:tcW w:w="1262" w:type="dxa"/>
            <w:noWrap/>
          </w:tcPr>
          <w:p w14:paraId="65091F47" w14:textId="6E9C2CF1" w:rsidR="0053696B" w:rsidRPr="00B275E2" w:rsidRDefault="0053696B"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10.204</w:t>
            </w:r>
          </w:p>
        </w:tc>
        <w:tc>
          <w:tcPr>
            <w:tcW w:w="1263" w:type="dxa"/>
            <w:tcBorders>
              <w:right w:val="single" w:sz="4" w:space="0" w:color="FFFFFF" w:themeColor="background1"/>
            </w:tcBorders>
            <w:noWrap/>
          </w:tcPr>
          <w:p w14:paraId="65091F48" w14:textId="787513AE" w:rsidR="0053696B" w:rsidRPr="00B275E2" w:rsidRDefault="0053696B"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9.687</w:t>
            </w:r>
          </w:p>
        </w:tc>
      </w:tr>
      <w:tr w:rsidR="0011071E" w:rsidRPr="00B275E2" w14:paraId="65091F4F" w14:textId="77777777" w:rsidTr="00474EDC">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237" w:type="dxa"/>
            <w:vMerge w:val="restart"/>
            <w:tcBorders>
              <w:left w:val="single" w:sz="4" w:space="0" w:color="FFFFFF" w:themeColor="background1"/>
            </w:tcBorders>
            <w:hideMark/>
          </w:tcPr>
          <w:p w14:paraId="65091F4A" w14:textId="77777777" w:rsidR="0011071E" w:rsidRPr="00B275E2" w:rsidRDefault="0011071E" w:rsidP="007F0B1E">
            <w:pPr>
              <w:pStyle w:val="TableText"/>
              <w:spacing w:before="40" w:after="40"/>
              <w:rPr>
                <w:b w:val="0"/>
                <w:szCs w:val="18"/>
              </w:rPr>
            </w:pPr>
            <w:r w:rsidRPr="00B275E2">
              <w:rPr>
                <w:b w:val="0"/>
                <w:szCs w:val="18"/>
              </w:rPr>
              <w:t>Petrol hybrid vehicle</w:t>
            </w:r>
          </w:p>
        </w:tc>
        <w:tc>
          <w:tcPr>
            <w:tcW w:w="1689" w:type="dxa"/>
            <w:noWrap/>
            <w:hideMark/>
          </w:tcPr>
          <w:p w14:paraId="65091F4B" w14:textId="77777777" w:rsidR="0011071E" w:rsidRPr="00B275E2" w:rsidRDefault="0011071E"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&lt;1350 cc</w:t>
            </w:r>
          </w:p>
        </w:tc>
        <w:tc>
          <w:tcPr>
            <w:tcW w:w="792" w:type="dxa"/>
          </w:tcPr>
          <w:p w14:paraId="03735B4F" w14:textId="536D0E76" w:rsidR="0011071E" w:rsidRPr="00B275E2" w:rsidRDefault="0011071E"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litres</w:t>
            </w:r>
          </w:p>
        </w:tc>
        <w:tc>
          <w:tcPr>
            <w:tcW w:w="1262" w:type="dxa"/>
            <w:noWrap/>
          </w:tcPr>
          <w:p w14:paraId="65091F4C" w14:textId="3E9C65D2" w:rsidR="0011071E" w:rsidRPr="00B275E2" w:rsidRDefault="0011071E"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6.346</w:t>
            </w:r>
          </w:p>
        </w:tc>
        <w:tc>
          <w:tcPr>
            <w:tcW w:w="1262" w:type="dxa"/>
            <w:noWrap/>
          </w:tcPr>
          <w:p w14:paraId="65091F4D" w14:textId="10FAF904" w:rsidR="0011071E" w:rsidRPr="00B275E2" w:rsidRDefault="0011071E"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5.763</w:t>
            </w:r>
          </w:p>
        </w:tc>
        <w:tc>
          <w:tcPr>
            <w:tcW w:w="1263" w:type="dxa"/>
            <w:tcBorders>
              <w:right w:val="single" w:sz="4" w:space="0" w:color="FFFFFF" w:themeColor="background1"/>
            </w:tcBorders>
            <w:noWrap/>
          </w:tcPr>
          <w:p w14:paraId="65091F4E" w14:textId="072FCC1F" w:rsidR="0011071E" w:rsidRPr="00B275E2" w:rsidRDefault="0011071E"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5.228</w:t>
            </w:r>
          </w:p>
        </w:tc>
      </w:tr>
      <w:tr w:rsidR="0011071E" w:rsidRPr="00B275E2" w14:paraId="65091F55" w14:textId="77777777" w:rsidTr="00474EDC">
        <w:trPr>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left w:val="single" w:sz="4" w:space="0" w:color="FFFFFF" w:themeColor="background1"/>
            </w:tcBorders>
            <w:hideMark/>
          </w:tcPr>
          <w:p w14:paraId="65091F50" w14:textId="77777777" w:rsidR="0011071E" w:rsidRPr="00B275E2" w:rsidRDefault="0011071E" w:rsidP="007F0B1E">
            <w:pPr>
              <w:pStyle w:val="TableText"/>
              <w:spacing w:before="40" w:after="40"/>
              <w:rPr>
                <w:szCs w:val="18"/>
              </w:rPr>
            </w:pPr>
          </w:p>
        </w:tc>
        <w:tc>
          <w:tcPr>
            <w:tcW w:w="1689" w:type="dxa"/>
            <w:noWrap/>
            <w:hideMark/>
          </w:tcPr>
          <w:p w14:paraId="65091F51" w14:textId="669EA54E" w:rsidR="0011071E" w:rsidRPr="00B275E2" w:rsidRDefault="0011071E"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1350</w:t>
            </w:r>
            <w:r w:rsidRPr="00B275E2">
              <w:rPr>
                <w:rFonts w:cs="Calibri"/>
                <w:color w:val="000000"/>
                <w:szCs w:val="18"/>
              </w:rPr>
              <w:t xml:space="preserve"> -</w:t>
            </w:r>
            <w:r w:rsidRPr="00B275E2">
              <w:rPr>
                <w:szCs w:val="18"/>
              </w:rPr>
              <w:t xml:space="preserve"> &lt;1600 cc</w:t>
            </w:r>
          </w:p>
        </w:tc>
        <w:tc>
          <w:tcPr>
            <w:tcW w:w="792" w:type="dxa"/>
          </w:tcPr>
          <w:p w14:paraId="598F03CC" w14:textId="19D099B0" w:rsidR="0011071E" w:rsidRPr="00B275E2" w:rsidRDefault="0011071E"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litres</w:t>
            </w:r>
          </w:p>
        </w:tc>
        <w:tc>
          <w:tcPr>
            <w:tcW w:w="1262" w:type="dxa"/>
            <w:noWrap/>
          </w:tcPr>
          <w:p w14:paraId="65091F52" w14:textId="4FB6878B" w:rsidR="0011071E" w:rsidRPr="00B275E2" w:rsidRDefault="0011071E"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6.567</w:t>
            </w:r>
          </w:p>
        </w:tc>
        <w:tc>
          <w:tcPr>
            <w:tcW w:w="1262" w:type="dxa"/>
            <w:noWrap/>
          </w:tcPr>
          <w:p w14:paraId="65091F53" w14:textId="287AC7DF" w:rsidR="0011071E" w:rsidRPr="00B275E2" w:rsidRDefault="0011071E"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5.964</w:t>
            </w:r>
          </w:p>
        </w:tc>
        <w:tc>
          <w:tcPr>
            <w:tcW w:w="1263" w:type="dxa"/>
            <w:tcBorders>
              <w:right w:val="single" w:sz="4" w:space="0" w:color="FFFFFF" w:themeColor="background1"/>
            </w:tcBorders>
            <w:noWrap/>
          </w:tcPr>
          <w:p w14:paraId="65091F54" w14:textId="095290D4" w:rsidR="0011071E" w:rsidRPr="00B275E2" w:rsidRDefault="0011071E"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5.411</w:t>
            </w:r>
          </w:p>
        </w:tc>
      </w:tr>
      <w:tr w:rsidR="0011071E" w:rsidRPr="00B275E2" w14:paraId="65091F5B" w14:textId="77777777" w:rsidTr="00474E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left w:val="single" w:sz="4" w:space="0" w:color="FFFFFF" w:themeColor="background1"/>
            </w:tcBorders>
            <w:hideMark/>
          </w:tcPr>
          <w:p w14:paraId="65091F56" w14:textId="77777777" w:rsidR="0011071E" w:rsidRPr="00B275E2" w:rsidRDefault="0011071E" w:rsidP="007F0B1E">
            <w:pPr>
              <w:pStyle w:val="TableText"/>
              <w:spacing w:before="40" w:after="40"/>
              <w:rPr>
                <w:szCs w:val="18"/>
              </w:rPr>
            </w:pPr>
          </w:p>
        </w:tc>
        <w:tc>
          <w:tcPr>
            <w:tcW w:w="1689" w:type="dxa"/>
            <w:noWrap/>
            <w:hideMark/>
          </w:tcPr>
          <w:p w14:paraId="65091F57" w14:textId="225B7393" w:rsidR="0011071E" w:rsidRPr="00B275E2" w:rsidRDefault="0011071E"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1600</w:t>
            </w:r>
            <w:r w:rsidRPr="00B275E2">
              <w:rPr>
                <w:rFonts w:cs="Calibri"/>
                <w:color w:val="000000"/>
                <w:szCs w:val="18"/>
              </w:rPr>
              <w:t xml:space="preserve"> -</w:t>
            </w:r>
            <w:r w:rsidRPr="00B275E2">
              <w:rPr>
                <w:szCs w:val="18"/>
              </w:rPr>
              <w:t xml:space="preserve"> &lt;2000 cc</w:t>
            </w:r>
          </w:p>
        </w:tc>
        <w:tc>
          <w:tcPr>
            <w:tcW w:w="792" w:type="dxa"/>
          </w:tcPr>
          <w:p w14:paraId="1289D139" w14:textId="72A4C016" w:rsidR="0011071E" w:rsidRPr="00B275E2" w:rsidRDefault="0011071E"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litres</w:t>
            </w:r>
          </w:p>
        </w:tc>
        <w:tc>
          <w:tcPr>
            <w:tcW w:w="1262" w:type="dxa"/>
            <w:noWrap/>
          </w:tcPr>
          <w:p w14:paraId="65091F58" w14:textId="3F8ACE30" w:rsidR="0011071E" w:rsidRPr="00B275E2" w:rsidRDefault="0011071E"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7.395</w:t>
            </w:r>
          </w:p>
        </w:tc>
        <w:tc>
          <w:tcPr>
            <w:tcW w:w="1262" w:type="dxa"/>
            <w:noWrap/>
          </w:tcPr>
          <w:p w14:paraId="65091F59" w14:textId="4B14D19E" w:rsidR="0011071E" w:rsidRPr="00B275E2" w:rsidRDefault="0011071E"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6.715</w:t>
            </w:r>
          </w:p>
        </w:tc>
        <w:tc>
          <w:tcPr>
            <w:tcW w:w="1263" w:type="dxa"/>
            <w:tcBorders>
              <w:right w:val="single" w:sz="4" w:space="0" w:color="FFFFFF" w:themeColor="background1"/>
            </w:tcBorders>
            <w:noWrap/>
          </w:tcPr>
          <w:p w14:paraId="65091F5A" w14:textId="78BA6D7E" w:rsidR="0011071E" w:rsidRPr="00B275E2" w:rsidRDefault="0011071E"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6.092</w:t>
            </w:r>
          </w:p>
        </w:tc>
      </w:tr>
      <w:tr w:rsidR="0011071E" w:rsidRPr="00B275E2" w14:paraId="65091F61" w14:textId="77777777" w:rsidTr="00474EDC">
        <w:trPr>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left w:val="single" w:sz="4" w:space="0" w:color="FFFFFF" w:themeColor="background1"/>
            </w:tcBorders>
            <w:hideMark/>
          </w:tcPr>
          <w:p w14:paraId="65091F5C" w14:textId="77777777" w:rsidR="0011071E" w:rsidRPr="00B275E2" w:rsidRDefault="0011071E" w:rsidP="007F0B1E">
            <w:pPr>
              <w:pStyle w:val="TableText"/>
              <w:spacing w:before="40" w:after="40"/>
              <w:rPr>
                <w:szCs w:val="18"/>
              </w:rPr>
            </w:pPr>
          </w:p>
        </w:tc>
        <w:tc>
          <w:tcPr>
            <w:tcW w:w="1689" w:type="dxa"/>
            <w:noWrap/>
            <w:hideMark/>
          </w:tcPr>
          <w:p w14:paraId="65091F5D" w14:textId="4EAF5C64" w:rsidR="0011071E" w:rsidRPr="00B275E2" w:rsidRDefault="0011071E"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2000</w:t>
            </w:r>
            <w:r w:rsidRPr="00B275E2">
              <w:rPr>
                <w:rFonts w:cs="Calibri"/>
                <w:color w:val="000000"/>
                <w:szCs w:val="18"/>
              </w:rPr>
              <w:t xml:space="preserve"> -</w:t>
            </w:r>
            <w:r w:rsidRPr="00B275E2">
              <w:rPr>
                <w:szCs w:val="18"/>
              </w:rPr>
              <w:t xml:space="preserve"> &lt;3000 cc</w:t>
            </w:r>
          </w:p>
        </w:tc>
        <w:tc>
          <w:tcPr>
            <w:tcW w:w="792" w:type="dxa"/>
          </w:tcPr>
          <w:p w14:paraId="58449BEE" w14:textId="356A1350" w:rsidR="0011071E" w:rsidRPr="00B275E2" w:rsidRDefault="0011071E"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litres</w:t>
            </w:r>
          </w:p>
        </w:tc>
        <w:tc>
          <w:tcPr>
            <w:tcW w:w="1262" w:type="dxa"/>
            <w:noWrap/>
          </w:tcPr>
          <w:p w14:paraId="65091F5E" w14:textId="23076579" w:rsidR="0011071E" w:rsidRPr="00B275E2" w:rsidRDefault="0011071E"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8.214</w:t>
            </w:r>
          </w:p>
        </w:tc>
        <w:tc>
          <w:tcPr>
            <w:tcW w:w="1262" w:type="dxa"/>
            <w:noWrap/>
          </w:tcPr>
          <w:p w14:paraId="65091F5F" w14:textId="6DCC9F9B" w:rsidR="0011071E" w:rsidRPr="00B275E2" w:rsidRDefault="0011071E"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7.459</w:t>
            </w:r>
          </w:p>
        </w:tc>
        <w:tc>
          <w:tcPr>
            <w:tcW w:w="1263" w:type="dxa"/>
            <w:tcBorders>
              <w:right w:val="single" w:sz="4" w:space="0" w:color="FFFFFF" w:themeColor="background1"/>
            </w:tcBorders>
            <w:noWrap/>
          </w:tcPr>
          <w:p w14:paraId="65091F60" w14:textId="5E13F68B" w:rsidR="0011071E" w:rsidRPr="00B275E2" w:rsidRDefault="0011071E"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6.767</w:t>
            </w:r>
          </w:p>
        </w:tc>
      </w:tr>
      <w:tr w:rsidR="0011071E" w:rsidRPr="00B275E2" w14:paraId="65091F67" w14:textId="77777777" w:rsidTr="00474E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left w:val="single" w:sz="4" w:space="0" w:color="FFFFFF" w:themeColor="background1"/>
            </w:tcBorders>
            <w:hideMark/>
          </w:tcPr>
          <w:p w14:paraId="65091F62" w14:textId="77777777" w:rsidR="0011071E" w:rsidRPr="00B275E2" w:rsidRDefault="0011071E" w:rsidP="007F0B1E">
            <w:pPr>
              <w:pStyle w:val="TableText"/>
              <w:spacing w:before="40" w:after="40"/>
              <w:rPr>
                <w:szCs w:val="18"/>
              </w:rPr>
            </w:pPr>
          </w:p>
        </w:tc>
        <w:tc>
          <w:tcPr>
            <w:tcW w:w="1689" w:type="dxa"/>
            <w:noWrap/>
            <w:hideMark/>
          </w:tcPr>
          <w:p w14:paraId="65091F63" w14:textId="77777777" w:rsidR="0011071E" w:rsidRPr="00B275E2" w:rsidRDefault="0011071E"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≥3000 cc</w:t>
            </w:r>
          </w:p>
        </w:tc>
        <w:tc>
          <w:tcPr>
            <w:tcW w:w="792" w:type="dxa"/>
          </w:tcPr>
          <w:p w14:paraId="4BD8DD66" w14:textId="4173BFB3" w:rsidR="0011071E" w:rsidRPr="00B275E2" w:rsidRDefault="0011071E"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litres</w:t>
            </w:r>
          </w:p>
        </w:tc>
        <w:tc>
          <w:tcPr>
            <w:tcW w:w="1262" w:type="dxa"/>
            <w:noWrap/>
          </w:tcPr>
          <w:p w14:paraId="65091F64" w14:textId="3EE60870" w:rsidR="0011071E" w:rsidRPr="00B275E2" w:rsidRDefault="0011071E"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9.826</w:t>
            </w:r>
          </w:p>
        </w:tc>
        <w:tc>
          <w:tcPr>
            <w:tcW w:w="1262" w:type="dxa"/>
            <w:noWrap/>
          </w:tcPr>
          <w:p w14:paraId="65091F65" w14:textId="19DE97A4" w:rsidR="0011071E" w:rsidRPr="00B275E2" w:rsidRDefault="0011071E"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8.923</w:t>
            </w:r>
          </w:p>
        </w:tc>
        <w:tc>
          <w:tcPr>
            <w:tcW w:w="1263" w:type="dxa"/>
            <w:tcBorders>
              <w:right w:val="single" w:sz="4" w:space="0" w:color="FFFFFF" w:themeColor="background1"/>
            </w:tcBorders>
            <w:noWrap/>
          </w:tcPr>
          <w:p w14:paraId="65091F66" w14:textId="0B6C3816" w:rsidR="0011071E" w:rsidRPr="00B275E2" w:rsidRDefault="0011071E"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8.095</w:t>
            </w:r>
          </w:p>
        </w:tc>
      </w:tr>
      <w:tr w:rsidR="007A0683" w:rsidRPr="00B275E2" w14:paraId="65091F6D" w14:textId="77777777" w:rsidTr="00474EDC">
        <w:trPr>
          <w:trHeight w:val="300"/>
        </w:trPr>
        <w:tc>
          <w:tcPr>
            <w:cnfStyle w:val="001000000000" w:firstRow="0" w:lastRow="0" w:firstColumn="1" w:lastColumn="0" w:oddVBand="0" w:evenVBand="0" w:oddHBand="0" w:evenHBand="0" w:firstRowFirstColumn="0" w:firstRowLastColumn="0" w:lastRowFirstColumn="0" w:lastRowLastColumn="0"/>
            <w:tcW w:w="2237" w:type="dxa"/>
            <w:vMerge w:val="restart"/>
            <w:tcBorders>
              <w:left w:val="single" w:sz="4" w:space="0" w:color="FFFFFF" w:themeColor="background1"/>
            </w:tcBorders>
            <w:hideMark/>
          </w:tcPr>
          <w:p w14:paraId="65091F68" w14:textId="6D8E1242" w:rsidR="007A0683" w:rsidRPr="00B275E2" w:rsidRDefault="007A0683" w:rsidP="007F0B1E">
            <w:pPr>
              <w:pStyle w:val="TableText"/>
              <w:keepNext/>
              <w:spacing w:before="40" w:after="40"/>
              <w:rPr>
                <w:b w:val="0"/>
                <w:szCs w:val="18"/>
              </w:rPr>
            </w:pPr>
            <w:r w:rsidRPr="00B275E2">
              <w:rPr>
                <w:b w:val="0"/>
                <w:szCs w:val="18"/>
              </w:rPr>
              <w:t>Diesel hybrid vehicle</w:t>
            </w:r>
          </w:p>
        </w:tc>
        <w:tc>
          <w:tcPr>
            <w:tcW w:w="1689" w:type="dxa"/>
            <w:noWrap/>
            <w:hideMark/>
          </w:tcPr>
          <w:p w14:paraId="65091F69" w14:textId="77777777" w:rsidR="007A0683" w:rsidRPr="00B275E2" w:rsidRDefault="007A0683" w:rsidP="007F0B1E">
            <w:pPr>
              <w:pStyle w:val="TableText"/>
              <w:keepN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&lt;1350 cc</w:t>
            </w:r>
          </w:p>
        </w:tc>
        <w:tc>
          <w:tcPr>
            <w:tcW w:w="792" w:type="dxa"/>
          </w:tcPr>
          <w:p w14:paraId="2D2CBE81" w14:textId="108E157D" w:rsidR="007A0683" w:rsidRPr="00B275E2" w:rsidRDefault="007A0683" w:rsidP="007F0B1E">
            <w:pPr>
              <w:pStyle w:val="TableText"/>
              <w:keepN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litres</w:t>
            </w:r>
          </w:p>
        </w:tc>
        <w:tc>
          <w:tcPr>
            <w:tcW w:w="1262" w:type="dxa"/>
            <w:noWrap/>
          </w:tcPr>
          <w:p w14:paraId="65091F6A" w14:textId="2FC40F4D" w:rsidR="007A0683" w:rsidRPr="00B275E2" w:rsidRDefault="007A0683" w:rsidP="007F0B1E">
            <w:pPr>
              <w:pStyle w:val="TableText"/>
              <w:keepN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7.171</w:t>
            </w:r>
          </w:p>
        </w:tc>
        <w:tc>
          <w:tcPr>
            <w:tcW w:w="1262" w:type="dxa"/>
            <w:noWrap/>
            <w:hideMark/>
          </w:tcPr>
          <w:p w14:paraId="65091F6B" w14:textId="0235A151" w:rsidR="007A0683" w:rsidRPr="00B275E2" w:rsidRDefault="007A0683" w:rsidP="007F0B1E">
            <w:pPr>
              <w:pStyle w:val="TableText"/>
              <w:keepN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6.546</w:t>
            </w:r>
          </w:p>
        </w:tc>
        <w:tc>
          <w:tcPr>
            <w:tcW w:w="1263" w:type="dxa"/>
            <w:tcBorders>
              <w:right w:val="single" w:sz="4" w:space="0" w:color="FFFFFF" w:themeColor="background1"/>
            </w:tcBorders>
            <w:noWrap/>
            <w:hideMark/>
          </w:tcPr>
          <w:p w14:paraId="65091F6C" w14:textId="16283423" w:rsidR="007A0683" w:rsidRPr="00B275E2" w:rsidRDefault="007A0683" w:rsidP="007F0B1E">
            <w:pPr>
              <w:pStyle w:val="TableText"/>
              <w:keepN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6.085</w:t>
            </w:r>
          </w:p>
        </w:tc>
      </w:tr>
      <w:tr w:rsidR="007A0683" w:rsidRPr="00B275E2" w14:paraId="65091F73" w14:textId="77777777" w:rsidTr="00474E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left w:val="single" w:sz="4" w:space="0" w:color="FFFFFF" w:themeColor="background1"/>
            </w:tcBorders>
            <w:hideMark/>
          </w:tcPr>
          <w:p w14:paraId="65091F6E" w14:textId="77777777" w:rsidR="007A0683" w:rsidRPr="00B275E2" w:rsidRDefault="007A0683" w:rsidP="007F0B1E">
            <w:pPr>
              <w:pStyle w:val="TableText"/>
              <w:keepNext/>
              <w:spacing w:before="40" w:after="40"/>
              <w:rPr>
                <w:b w:val="0"/>
                <w:szCs w:val="18"/>
              </w:rPr>
            </w:pPr>
          </w:p>
        </w:tc>
        <w:tc>
          <w:tcPr>
            <w:tcW w:w="1689" w:type="dxa"/>
            <w:noWrap/>
            <w:hideMark/>
          </w:tcPr>
          <w:p w14:paraId="65091F6F" w14:textId="73289BF1" w:rsidR="007A0683" w:rsidRPr="00B275E2" w:rsidRDefault="007A0683" w:rsidP="007F0B1E">
            <w:pPr>
              <w:pStyle w:val="TableText"/>
              <w:keepN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1350</w:t>
            </w:r>
            <w:r w:rsidRPr="00B275E2">
              <w:rPr>
                <w:rFonts w:cs="Calibri"/>
                <w:color w:val="000000"/>
                <w:szCs w:val="18"/>
              </w:rPr>
              <w:t xml:space="preserve"> -</w:t>
            </w:r>
            <w:r w:rsidRPr="00B275E2">
              <w:rPr>
                <w:szCs w:val="18"/>
              </w:rPr>
              <w:t xml:space="preserve"> &lt;1600 cc</w:t>
            </w:r>
          </w:p>
        </w:tc>
        <w:tc>
          <w:tcPr>
            <w:tcW w:w="792" w:type="dxa"/>
          </w:tcPr>
          <w:p w14:paraId="7A736457" w14:textId="69D6CEA9" w:rsidR="007A0683" w:rsidRPr="00B275E2" w:rsidRDefault="007A0683" w:rsidP="007F0B1E">
            <w:pPr>
              <w:pStyle w:val="TableText"/>
              <w:keepN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litres</w:t>
            </w:r>
          </w:p>
        </w:tc>
        <w:tc>
          <w:tcPr>
            <w:tcW w:w="1262" w:type="dxa"/>
            <w:noWrap/>
          </w:tcPr>
          <w:p w14:paraId="65091F70" w14:textId="7D9EC342" w:rsidR="007A0683" w:rsidRPr="00B275E2" w:rsidRDefault="007A0683" w:rsidP="007F0B1E">
            <w:pPr>
              <w:pStyle w:val="TableText"/>
              <w:keepN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6.901</w:t>
            </w:r>
          </w:p>
        </w:tc>
        <w:tc>
          <w:tcPr>
            <w:tcW w:w="1262" w:type="dxa"/>
            <w:noWrap/>
            <w:hideMark/>
          </w:tcPr>
          <w:p w14:paraId="65091F71" w14:textId="2C566B69" w:rsidR="007A0683" w:rsidRPr="00B275E2" w:rsidRDefault="007A0683" w:rsidP="007F0B1E">
            <w:pPr>
              <w:pStyle w:val="TableText"/>
              <w:keepN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6.300</w:t>
            </w:r>
          </w:p>
        </w:tc>
        <w:tc>
          <w:tcPr>
            <w:tcW w:w="1263" w:type="dxa"/>
            <w:tcBorders>
              <w:right w:val="single" w:sz="4" w:space="0" w:color="FFFFFF" w:themeColor="background1"/>
            </w:tcBorders>
            <w:noWrap/>
            <w:hideMark/>
          </w:tcPr>
          <w:p w14:paraId="65091F72" w14:textId="1F6FD410" w:rsidR="007A0683" w:rsidRPr="00B275E2" w:rsidRDefault="007A0683" w:rsidP="007F0B1E">
            <w:pPr>
              <w:pStyle w:val="TableText"/>
              <w:keepN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5.856</w:t>
            </w:r>
          </w:p>
        </w:tc>
      </w:tr>
      <w:tr w:rsidR="007A0683" w:rsidRPr="00B275E2" w14:paraId="65091F79" w14:textId="77777777" w:rsidTr="00474EDC">
        <w:trPr>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left w:val="single" w:sz="4" w:space="0" w:color="FFFFFF" w:themeColor="background1"/>
            </w:tcBorders>
            <w:hideMark/>
          </w:tcPr>
          <w:p w14:paraId="65091F74" w14:textId="77777777" w:rsidR="007A0683" w:rsidRPr="00B275E2" w:rsidRDefault="007A0683" w:rsidP="007F0B1E">
            <w:pPr>
              <w:pStyle w:val="TableText"/>
              <w:keepNext/>
              <w:spacing w:before="40" w:after="40"/>
              <w:rPr>
                <w:b w:val="0"/>
                <w:szCs w:val="18"/>
              </w:rPr>
            </w:pPr>
          </w:p>
        </w:tc>
        <w:tc>
          <w:tcPr>
            <w:tcW w:w="1689" w:type="dxa"/>
            <w:noWrap/>
            <w:hideMark/>
          </w:tcPr>
          <w:p w14:paraId="65091F75" w14:textId="7AEAC0E1" w:rsidR="007A0683" w:rsidRPr="00B275E2" w:rsidRDefault="007A0683" w:rsidP="007F0B1E">
            <w:pPr>
              <w:pStyle w:val="TableText"/>
              <w:keepN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1600</w:t>
            </w:r>
            <w:r w:rsidRPr="00B275E2">
              <w:rPr>
                <w:rFonts w:cs="Calibri"/>
                <w:color w:val="000000"/>
                <w:szCs w:val="18"/>
              </w:rPr>
              <w:t xml:space="preserve"> -</w:t>
            </w:r>
            <w:r w:rsidRPr="00B275E2">
              <w:rPr>
                <w:szCs w:val="18"/>
              </w:rPr>
              <w:t xml:space="preserve"> &lt;2000 cc</w:t>
            </w:r>
          </w:p>
        </w:tc>
        <w:tc>
          <w:tcPr>
            <w:tcW w:w="792" w:type="dxa"/>
          </w:tcPr>
          <w:p w14:paraId="43CECFA7" w14:textId="70C316F0" w:rsidR="007A0683" w:rsidRPr="00B275E2" w:rsidRDefault="007A0683" w:rsidP="007F0B1E">
            <w:pPr>
              <w:pStyle w:val="TableText"/>
              <w:keepN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litres</w:t>
            </w:r>
          </w:p>
        </w:tc>
        <w:tc>
          <w:tcPr>
            <w:tcW w:w="1262" w:type="dxa"/>
            <w:noWrap/>
          </w:tcPr>
          <w:p w14:paraId="65091F76" w14:textId="1C94D844" w:rsidR="007A0683" w:rsidRPr="00B275E2" w:rsidRDefault="007A0683" w:rsidP="007F0B1E">
            <w:pPr>
              <w:pStyle w:val="TableText"/>
              <w:keepN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7.314</w:t>
            </w:r>
          </w:p>
        </w:tc>
        <w:tc>
          <w:tcPr>
            <w:tcW w:w="1262" w:type="dxa"/>
            <w:noWrap/>
            <w:hideMark/>
          </w:tcPr>
          <w:p w14:paraId="65091F77" w14:textId="56DF67DF" w:rsidR="007A0683" w:rsidRPr="00B275E2" w:rsidRDefault="007A0683" w:rsidP="007F0B1E">
            <w:pPr>
              <w:pStyle w:val="TableText"/>
              <w:keepN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6.677</w:t>
            </w:r>
          </w:p>
        </w:tc>
        <w:tc>
          <w:tcPr>
            <w:tcW w:w="1263" w:type="dxa"/>
            <w:tcBorders>
              <w:right w:val="single" w:sz="4" w:space="0" w:color="FFFFFF" w:themeColor="background1"/>
            </w:tcBorders>
            <w:noWrap/>
            <w:hideMark/>
          </w:tcPr>
          <w:p w14:paraId="65091F78" w14:textId="56563211" w:rsidR="007A0683" w:rsidRPr="00B275E2" w:rsidRDefault="007A0683" w:rsidP="007F0B1E">
            <w:pPr>
              <w:pStyle w:val="TableText"/>
              <w:keepN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6.207</w:t>
            </w:r>
          </w:p>
        </w:tc>
      </w:tr>
      <w:tr w:rsidR="007A0683" w:rsidRPr="00B275E2" w14:paraId="65091F7F" w14:textId="77777777" w:rsidTr="00474E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left w:val="single" w:sz="4" w:space="0" w:color="FFFFFF" w:themeColor="background1"/>
            </w:tcBorders>
            <w:hideMark/>
          </w:tcPr>
          <w:p w14:paraId="65091F7A" w14:textId="77777777" w:rsidR="007A0683" w:rsidRPr="00B275E2" w:rsidRDefault="007A0683" w:rsidP="007F0B1E">
            <w:pPr>
              <w:pStyle w:val="TableText"/>
              <w:keepNext/>
              <w:spacing w:before="40" w:after="40"/>
              <w:rPr>
                <w:b w:val="0"/>
                <w:szCs w:val="18"/>
              </w:rPr>
            </w:pPr>
          </w:p>
        </w:tc>
        <w:tc>
          <w:tcPr>
            <w:tcW w:w="1689" w:type="dxa"/>
            <w:noWrap/>
            <w:hideMark/>
          </w:tcPr>
          <w:p w14:paraId="65091F7B" w14:textId="075120AC" w:rsidR="007A0683" w:rsidRPr="00B275E2" w:rsidRDefault="007A0683" w:rsidP="007F0B1E">
            <w:pPr>
              <w:pStyle w:val="TableText"/>
              <w:keepN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2000</w:t>
            </w:r>
            <w:r w:rsidRPr="00B275E2">
              <w:rPr>
                <w:rFonts w:cs="Calibri"/>
                <w:color w:val="000000"/>
                <w:szCs w:val="18"/>
              </w:rPr>
              <w:t xml:space="preserve"> -</w:t>
            </w:r>
            <w:r w:rsidRPr="00B275E2">
              <w:rPr>
                <w:szCs w:val="18"/>
              </w:rPr>
              <w:t xml:space="preserve"> &lt;3000 cc</w:t>
            </w:r>
          </w:p>
        </w:tc>
        <w:tc>
          <w:tcPr>
            <w:tcW w:w="792" w:type="dxa"/>
          </w:tcPr>
          <w:p w14:paraId="723CAC14" w14:textId="0753E476" w:rsidR="007A0683" w:rsidRPr="00B275E2" w:rsidRDefault="007A0683" w:rsidP="007F0B1E">
            <w:pPr>
              <w:pStyle w:val="TableText"/>
              <w:keepN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litres</w:t>
            </w:r>
          </w:p>
        </w:tc>
        <w:tc>
          <w:tcPr>
            <w:tcW w:w="1262" w:type="dxa"/>
            <w:noWrap/>
          </w:tcPr>
          <w:p w14:paraId="65091F7C" w14:textId="724FA768" w:rsidR="007A0683" w:rsidRPr="00B275E2" w:rsidRDefault="007A0683" w:rsidP="007F0B1E">
            <w:pPr>
              <w:pStyle w:val="TableText"/>
              <w:keepN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8.992</w:t>
            </w:r>
          </w:p>
        </w:tc>
        <w:tc>
          <w:tcPr>
            <w:tcW w:w="1262" w:type="dxa"/>
            <w:noWrap/>
            <w:hideMark/>
          </w:tcPr>
          <w:p w14:paraId="65091F7D" w14:textId="5BA46890" w:rsidR="007A0683" w:rsidRPr="00B275E2" w:rsidRDefault="007A0683" w:rsidP="007F0B1E">
            <w:pPr>
              <w:pStyle w:val="TableText"/>
              <w:keepN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8.208</w:t>
            </w:r>
          </w:p>
        </w:tc>
        <w:tc>
          <w:tcPr>
            <w:tcW w:w="1263" w:type="dxa"/>
            <w:tcBorders>
              <w:right w:val="single" w:sz="4" w:space="0" w:color="FFFFFF" w:themeColor="background1"/>
            </w:tcBorders>
            <w:noWrap/>
            <w:hideMark/>
          </w:tcPr>
          <w:p w14:paraId="65091F7E" w14:textId="03E81840" w:rsidR="007A0683" w:rsidRPr="00B275E2" w:rsidRDefault="007A0683" w:rsidP="007F0B1E">
            <w:pPr>
              <w:pStyle w:val="TableText"/>
              <w:keepN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7.630</w:t>
            </w:r>
          </w:p>
        </w:tc>
      </w:tr>
      <w:tr w:rsidR="007A0683" w:rsidRPr="00B275E2" w14:paraId="65091F85" w14:textId="77777777" w:rsidTr="00474EDC">
        <w:trPr>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left w:val="single" w:sz="4" w:space="0" w:color="FFFFFF" w:themeColor="background1"/>
            </w:tcBorders>
            <w:hideMark/>
          </w:tcPr>
          <w:p w14:paraId="65091F80" w14:textId="77777777" w:rsidR="007A0683" w:rsidRPr="00B275E2" w:rsidRDefault="007A0683" w:rsidP="007F0B1E">
            <w:pPr>
              <w:pStyle w:val="TableText"/>
              <w:keepNext/>
              <w:spacing w:before="40" w:after="40"/>
              <w:rPr>
                <w:b w:val="0"/>
                <w:szCs w:val="18"/>
              </w:rPr>
            </w:pPr>
          </w:p>
        </w:tc>
        <w:tc>
          <w:tcPr>
            <w:tcW w:w="1689" w:type="dxa"/>
            <w:noWrap/>
            <w:hideMark/>
          </w:tcPr>
          <w:p w14:paraId="65091F81" w14:textId="77777777" w:rsidR="007A0683" w:rsidRPr="00B275E2" w:rsidRDefault="007A0683" w:rsidP="007F0B1E">
            <w:pPr>
              <w:pStyle w:val="TableText"/>
              <w:keepN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≥3000 cc</w:t>
            </w:r>
          </w:p>
        </w:tc>
        <w:tc>
          <w:tcPr>
            <w:tcW w:w="792" w:type="dxa"/>
          </w:tcPr>
          <w:p w14:paraId="20DA772B" w14:textId="38702C4E" w:rsidR="007A0683" w:rsidRPr="00B275E2" w:rsidRDefault="007A0683" w:rsidP="007F0B1E">
            <w:pPr>
              <w:pStyle w:val="TableText"/>
              <w:keepN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litres</w:t>
            </w:r>
          </w:p>
        </w:tc>
        <w:tc>
          <w:tcPr>
            <w:tcW w:w="1262" w:type="dxa"/>
            <w:noWrap/>
          </w:tcPr>
          <w:p w14:paraId="65091F82" w14:textId="16D10CFC" w:rsidR="007A0683" w:rsidRPr="00B275E2" w:rsidRDefault="007A0683" w:rsidP="007F0B1E">
            <w:pPr>
              <w:pStyle w:val="TableText"/>
              <w:keepN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9.974</w:t>
            </w:r>
          </w:p>
        </w:tc>
        <w:tc>
          <w:tcPr>
            <w:tcW w:w="1262" w:type="dxa"/>
            <w:noWrap/>
            <w:hideMark/>
          </w:tcPr>
          <w:p w14:paraId="65091F83" w14:textId="2D30E8AF" w:rsidR="007A0683" w:rsidRPr="00B275E2" w:rsidRDefault="007A0683" w:rsidP="007F0B1E">
            <w:pPr>
              <w:pStyle w:val="TableText"/>
              <w:keepN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9.105</w:t>
            </w:r>
          </w:p>
        </w:tc>
        <w:tc>
          <w:tcPr>
            <w:tcW w:w="1263" w:type="dxa"/>
            <w:tcBorders>
              <w:right w:val="single" w:sz="4" w:space="0" w:color="FFFFFF" w:themeColor="background1"/>
            </w:tcBorders>
            <w:noWrap/>
            <w:hideMark/>
          </w:tcPr>
          <w:p w14:paraId="65091F84" w14:textId="6EF4FB0C" w:rsidR="007A0683" w:rsidRPr="00B275E2" w:rsidRDefault="007A0683" w:rsidP="007F0B1E">
            <w:pPr>
              <w:pStyle w:val="TableText"/>
              <w:keepN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8.464</w:t>
            </w:r>
          </w:p>
        </w:tc>
      </w:tr>
      <w:tr w:rsidR="009A7A7D" w:rsidRPr="00B275E2" w14:paraId="65091F8B" w14:textId="77777777" w:rsidTr="00474ED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37" w:type="dxa"/>
            <w:vMerge w:val="restart"/>
            <w:tcBorders>
              <w:left w:val="single" w:sz="4" w:space="0" w:color="FFFFFF" w:themeColor="background1"/>
            </w:tcBorders>
            <w:hideMark/>
          </w:tcPr>
          <w:p w14:paraId="65091F86" w14:textId="40355EC2" w:rsidR="009A7A7D" w:rsidRPr="00B275E2" w:rsidRDefault="009A7A7D" w:rsidP="007F0B1E">
            <w:pPr>
              <w:pStyle w:val="TableText"/>
              <w:spacing w:before="40" w:after="40"/>
              <w:rPr>
                <w:b w:val="0"/>
                <w:szCs w:val="18"/>
              </w:rPr>
            </w:pPr>
            <w:r w:rsidRPr="00B275E2">
              <w:rPr>
                <w:b w:val="0"/>
                <w:szCs w:val="18"/>
              </w:rPr>
              <w:t>Petrol plug-in hybrid electric vehicle (PHEV) – petrol consumption</w:t>
            </w:r>
          </w:p>
        </w:tc>
        <w:tc>
          <w:tcPr>
            <w:tcW w:w="1689" w:type="dxa"/>
            <w:noWrap/>
            <w:hideMark/>
          </w:tcPr>
          <w:p w14:paraId="65091F87" w14:textId="331E3EE0" w:rsidR="009A7A7D" w:rsidRPr="00B275E2" w:rsidRDefault="009A7A7D"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&lt;1350 cc</w:t>
            </w:r>
          </w:p>
        </w:tc>
        <w:tc>
          <w:tcPr>
            <w:tcW w:w="792" w:type="dxa"/>
          </w:tcPr>
          <w:p w14:paraId="2BEA56F2" w14:textId="61AD62BA" w:rsidR="009A7A7D" w:rsidRPr="00B275E2" w:rsidRDefault="009A7A7D"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litres</w:t>
            </w:r>
          </w:p>
        </w:tc>
        <w:tc>
          <w:tcPr>
            <w:tcW w:w="1262" w:type="dxa"/>
            <w:noWrap/>
          </w:tcPr>
          <w:p w14:paraId="65091F88" w14:textId="0CBA3B51" w:rsidR="009A7A7D" w:rsidRPr="00B275E2" w:rsidRDefault="009A7A7D"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3.321</w:t>
            </w:r>
          </w:p>
        </w:tc>
        <w:tc>
          <w:tcPr>
            <w:tcW w:w="1262" w:type="dxa"/>
            <w:noWrap/>
            <w:hideMark/>
          </w:tcPr>
          <w:p w14:paraId="65091F89" w14:textId="24E2D388" w:rsidR="009A7A7D" w:rsidRPr="00B275E2" w:rsidRDefault="009A7A7D"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3.016</w:t>
            </w:r>
          </w:p>
        </w:tc>
        <w:tc>
          <w:tcPr>
            <w:tcW w:w="1263" w:type="dxa"/>
            <w:tcBorders>
              <w:right w:val="single" w:sz="4" w:space="0" w:color="FFFFFF" w:themeColor="background1"/>
            </w:tcBorders>
            <w:noWrap/>
            <w:hideMark/>
          </w:tcPr>
          <w:p w14:paraId="65091F8A" w14:textId="38D5B598" w:rsidR="009A7A7D" w:rsidRPr="00B275E2" w:rsidRDefault="009A7A7D"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2.736</w:t>
            </w:r>
          </w:p>
        </w:tc>
      </w:tr>
      <w:tr w:rsidR="009A7A7D" w:rsidRPr="00B275E2" w14:paraId="65091F91" w14:textId="77777777" w:rsidTr="00474EDC">
        <w:trPr>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left w:val="single" w:sz="4" w:space="0" w:color="FFFFFF" w:themeColor="background1"/>
            </w:tcBorders>
            <w:hideMark/>
          </w:tcPr>
          <w:p w14:paraId="65091F8C" w14:textId="77777777" w:rsidR="009A7A7D" w:rsidRPr="00B275E2" w:rsidRDefault="009A7A7D" w:rsidP="007F0B1E">
            <w:pPr>
              <w:pStyle w:val="TableText"/>
              <w:spacing w:before="40" w:after="40"/>
              <w:rPr>
                <w:b w:val="0"/>
                <w:szCs w:val="18"/>
              </w:rPr>
            </w:pPr>
          </w:p>
        </w:tc>
        <w:tc>
          <w:tcPr>
            <w:tcW w:w="1689" w:type="dxa"/>
            <w:noWrap/>
            <w:hideMark/>
          </w:tcPr>
          <w:p w14:paraId="65091F8D" w14:textId="107CE367" w:rsidR="009A7A7D" w:rsidRPr="00B275E2" w:rsidRDefault="009A7A7D"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1350</w:t>
            </w:r>
            <w:r w:rsidRPr="00B275E2">
              <w:rPr>
                <w:rFonts w:cs="Calibri"/>
                <w:color w:val="000000"/>
                <w:szCs w:val="18"/>
              </w:rPr>
              <w:t xml:space="preserve"> -</w:t>
            </w:r>
            <w:r w:rsidRPr="00B275E2">
              <w:rPr>
                <w:szCs w:val="18"/>
              </w:rPr>
              <w:t xml:space="preserve"> &lt;1600 cc</w:t>
            </w:r>
          </w:p>
        </w:tc>
        <w:tc>
          <w:tcPr>
            <w:tcW w:w="792" w:type="dxa"/>
          </w:tcPr>
          <w:p w14:paraId="6CA28E98" w14:textId="53B165C4" w:rsidR="009A7A7D" w:rsidRPr="00B275E2" w:rsidRDefault="009A7A7D"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litres</w:t>
            </w:r>
          </w:p>
        </w:tc>
        <w:tc>
          <w:tcPr>
            <w:tcW w:w="1262" w:type="dxa"/>
            <w:noWrap/>
          </w:tcPr>
          <w:p w14:paraId="65091F8E" w14:textId="2EA6B569" w:rsidR="009A7A7D" w:rsidRPr="00B275E2" w:rsidRDefault="009A7A7D"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3.437</w:t>
            </w:r>
          </w:p>
        </w:tc>
        <w:tc>
          <w:tcPr>
            <w:tcW w:w="1262" w:type="dxa"/>
            <w:noWrap/>
            <w:hideMark/>
          </w:tcPr>
          <w:p w14:paraId="65091F8F" w14:textId="72E44B75" w:rsidR="009A7A7D" w:rsidRPr="00B275E2" w:rsidRDefault="009A7A7D"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3.121</w:t>
            </w:r>
          </w:p>
        </w:tc>
        <w:tc>
          <w:tcPr>
            <w:tcW w:w="1263" w:type="dxa"/>
            <w:tcBorders>
              <w:right w:val="single" w:sz="4" w:space="0" w:color="FFFFFF" w:themeColor="background1"/>
            </w:tcBorders>
            <w:noWrap/>
            <w:hideMark/>
          </w:tcPr>
          <w:p w14:paraId="65091F90" w14:textId="306C9AC4" w:rsidR="009A7A7D" w:rsidRPr="00B275E2" w:rsidRDefault="009A7A7D"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2.832</w:t>
            </w:r>
          </w:p>
        </w:tc>
      </w:tr>
      <w:tr w:rsidR="009A7A7D" w:rsidRPr="00B275E2" w14:paraId="65091F97" w14:textId="77777777" w:rsidTr="00474E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left w:val="single" w:sz="4" w:space="0" w:color="FFFFFF" w:themeColor="background1"/>
            </w:tcBorders>
            <w:hideMark/>
          </w:tcPr>
          <w:p w14:paraId="65091F92" w14:textId="77777777" w:rsidR="009A7A7D" w:rsidRPr="00B275E2" w:rsidRDefault="009A7A7D" w:rsidP="007F0B1E">
            <w:pPr>
              <w:pStyle w:val="TableText"/>
              <w:spacing w:before="40" w:after="40"/>
              <w:rPr>
                <w:b w:val="0"/>
                <w:szCs w:val="18"/>
              </w:rPr>
            </w:pPr>
          </w:p>
        </w:tc>
        <w:tc>
          <w:tcPr>
            <w:tcW w:w="1689" w:type="dxa"/>
            <w:noWrap/>
            <w:hideMark/>
          </w:tcPr>
          <w:p w14:paraId="65091F93" w14:textId="7F5452E9" w:rsidR="009A7A7D" w:rsidRPr="00B275E2" w:rsidRDefault="009A7A7D"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1600</w:t>
            </w:r>
            <w:r w:rsidRPr="00B275E2">
              <w:rPr>
                <w:rFonts w:cs="Calibri"/>
                <w:color w:val="000000"/>
                <w:szCs w:val="18"/>
              </w:rPr>
              <w:t xml:space="preserve"> -</w:t>
            </w:r>
            <w:r w:rsidRPr="00B275E2">
              <w:rPr>
                <w:szCs w:val="18"/>
              </w:rPr>
              <w:t>&lt;2000 cc</w:t>
            </w:r>
          </w:p>
        </w:tc>
        <w:tc>
          <w:tcPr>
            <w:tcW w:w="792" w:type="dxa"/>
          </w:tcPr>
          <w:p w14:paraId="04326B9C" w14:textId="5799F521" w:rsidR="009A7A7D" w:rsidRPr="00B275E2" w:rsidRDefault="009A7A7D"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litres</w:t>
            </w:r>
          </w:p>
        </w:tc>
        <w:tc>
          <w:tcPr>
            <w:tcW w:w="1262" w:type="dxa"/>
            <w:noWrap/>
          </w:tcPr>
          <w:p w14:paraId="65091F94" w14:textId="52D5A494" w:rsidR="009A7A7D" w:rsidRPr="00B275E2" w:rsidRDefault="009A7A7D"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3.870</w:t>
            </w:r>
          </w:p>
        </w:tc>
        <w:tc>
          <w:tcPr>
            <w:tcW w:w="1262" w:type="dxa"/>
            <w:noWrap/>
            <w:hideMark/>
          </w:tcPr>
          <w:p w14:paraId="65091F95" w14:textId="4A6E72D5" w:rsidR="009A7A7D" w:rsidRPr="00B275E2" w:rsidRDefault="009A7A7D"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3.514</w:t>
            </w:r>
          </w:p>
        </w:tc>
        <w:tc>
          <w:tcPr>
            <w:tcW w:w="1263" w:type="dxa"/>
            <w:tcBorders>
              <w:right w:val="single" w:sz="4" w:space="0" w:color="FFFFFF" w:themeColor="background1"/>
            </w:tcBorders>
            <w:noWrap/>
            <w:hideMark/>
          </w:tcPr>
          <w:p w14:paraId="65091F96" w14:textId="29BD1A67" w:rsidR="009A7A7D" w:rsidRPr="00B275E2" w:rsidRDefault="009A7A7D"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3.188</w:t>
            </w:r>
          </w:p>
        </w:tc>
      </w:tr>
      <w:tr w:rsidR="009A7A7D" w:rsidRPr="00B275E2" w14:paraId="65091F9D" w14:textId="77777777" w:rsidTr="00474EDC">
        <w:trPr>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left w:val="single" w:sz="4" w:space="0" w:color="FFFFFF" w:themeColor="background1"/>
            </w:tcBorders>
            <w:hideMark/>
          </w:tcPr>
          <w:p w14:paraId="65091F98" w14:textId="77777777" w:rsidR="009A7A7D" w:rsidRPr="00B275E2" w:rsidRDefault="009A7A7D" w:rsidP="007F0B1E">
            <w:pPr>
              <w:pStyle w:val="TableText"/>
              <w:spacing w:before="40" w:after="40"/>
              <w:rPr>
                <w:b w:val="0"/>
                <w:szCs w:val="18"/>
              </w:rPr>
            </w:pPr>
          </w:p>
        </w:tc>
        <w:tc>
          <w:tcPr>
            <w:tcW w:w="1689" w:type="dxa"/>
            <w:noWrap/>
            <w:hideMark/>
          </w:tcPr>
          <w:p w14:paraId="65091F99" w14:textId="2D2ABD9A" w:rsidR="009A7A7D" w:rsidRPr="00B275E2" w:rsidRDefault="009A7A7D"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2000</w:t>
            </w:r>
            <w:r w:rsidRPr="00B275E2">
              <w:rPr>
                <w:rFonts w:cs="Calibri"/>
                <w:color w:val="000000"/>
                <w:szCs w:val="18"/>
              </w:rPr>
              <w:t xml:space="preserve"> -</w:t>
            </w:r>
            <w:r w:rsidRPr="00B275E2">
              <w:rPr>
                <w:szCs w:val="18"/>
              </w:rPr>
              <w:t xml:space="preserve"> &lt;3000 cc</w:t>
            </w:r>
          </w:p>
        </w:tc>
        <w:tc>
          <w:tcPr>
            <w:tcW w:w="792" w:type="dxa"/>
          </w:tcPr>
          <w:p w14:paraId="2C4D63E2" w14:textId="485DE687" w:rsidR="009A7A7D" w:rsidRPr="00B275E2" w:rsidRDefault="009A7A7D"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litres</w:t>
            </w:r>
          </w:p>
        </w:tc>
        <w:tc>
          <w:tcPr>
            <w:tcW w:w="1262" w:type="dxa"/>
            <w:noWrap/>
          </w:tcPr>
          <w:p w14:paraId="65091F9A" w14:textId="6E014E9B" w:rsidR="009A7A7D" w:rsidRPr="00B275E2" w:rsidRDefault="009A7A7D"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4.298</w:t>
            </w:r>
          </w:p>
        </w:tc>
        <w:tc>
          <w:tcPr>
            <w:tcW w:w="1262" w:type="dxa"/>
            <w:noWrap/>
            <w:hideMark/>
          </w:tcPr>
          <w:p w14:paraId="65091F9B" w14:textId="5B405446" w:rsidR="009A7A7D" w:rsidRPr="00B275E2" w:rsidRDefault="009A7A7D"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3.903</w:t>
            </w:r>
          </w:p>
        </w:tc>
        <w:tc>
          <w:tcPr>
            <w:tcW w:w="1263" w:type="dxa"/>
            <w:tcBorders>
              <w:right w:val="single" w:sz="4" w:space="0" w:color="FFFFFF" w:themeColor="background1"/>
            </w:tcBorders>
            <w:noWrap/>
            <w:hideMark/>
          </w:tcPr>
          <w:p w14:paraId="65091F9C" w14:textId="3D09A950" w:rsidR="009A7A7D" w:rsidRPr="00B275E2" w:rsidRDefault="009A7A7D"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3.541</w:t>
            </w:r>
          </w:p>
        </w:tc>
      </w:tr>
      <w:tr w:rsidR="009A7A7D" w:rsidRPr="00B275E2" w14:paraId="65091FA3" w14:textId="77777777" w:rsidTr="00474EDC">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237" w:type="dxa"/>
            <w:vMerge/>
            <w:tcBorders>
              <w:left w:val="single" w:sz="4" w:space="0" w:color="FFFFFF" w:themeColor="background1"/>
            </w:tcBorders>
            <w:hideMark/>
          </w:tcPr>
          <w:p w14:paraId="65091F9E" w14:textId="77777777" w:rsidR="009A7A7D" w:rsidRPr="00B275E2" w:rsidRDefault="009A7A7D" w:rsidP="007F0B1E">
            <w:pPr>
              <w:pStyle w:val="TableText"/>
              <w:spacing w:before="40" w:after="40"/>
              <w:rPr>
                <w:b w:val="0"/>
                <w:szCs w:val="18"/>
              </w:rPr>
            </w:pPr>
          </w:p>
        </w:tc>
        <w:tc>
          <w:tcPr>
            <w:tcW w:w="1689" w:type="dxa"/>
            <w:noWrap/>
            <w:hideMark/>
          </w:tcPr>
          <w:p w14:paraId="65091F9F" w14:textId="69853273" w:rsidR="009A7A7D" w:rsidRPr="00B275E2" w:rsidRDefault="009A7A7D"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≥3000 cc</w:t>
            </w:r>
          </w:p>
        </w:tc>
        <w:tc>
          <w:tcPr>
            <w:tcW w:w="792" w:type="dxa"/>
          </w:tcPr>
          <w:p w14:paraId="2F5BA5AF" w14:textId="5561A654" w:rsidR="009A7A7D" w:rsidRPr="00B275E2" w:rsidRDefault="009A7A7D"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litres</w:t>
            </w:r>
          </w:p>
        </w:tc>
        <w:tc>
          <w:tcPr>
            <w:tcW w:w="1262" w:type="dxa"/>
            <w:noWrap/>
          </w:tcPr>
          <w:p w14:paraId="65091FA0" w14:textId="4503E4BE" w:rsidR="009A7A7D" w:rsidRPr="00B275E2" w:rsidRDefault="009A7A7D"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5.142</w:t>
            </w:r>
          </w:p>
        </w:tc>
        <w:tc>
          <w:tcPr>
            <w:tcW w:w="1262" w:type="dxa"/>
            <w:noWrap/>
            <w:hideMark/>
          </w:tcPr>
          <w:p w14:paraId="65091FA1" w14:textId="44E4734C" w:rsidR="009A7A7D" w:rsidRPr="00B275E2" w:rsidRDefault="009A7A7D"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4.670</w:t>
            </w:r>
          </w:p>
        </w:tc>
        <w:tc>
          <w:tcPr>
            <w:tcW w:w="1263" w:type="dxa"/>
            <w:tcBorders>
              <w:right w:val="single" w:sz="4" w:space="0" w:color="FFFFFF" w:themeColor="background1"/>
            </w:tcBorders>
            <w:noWrap/>
            <w:hideMark/>
          </w:tcPr>
          <w:p w14:paraId="65091FA2" w14:textId="1798F476" w:rsidR="009A7A7D" w:rsidRPr="00B275E2" w:rsidRDefault="009A7A7D"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4.236</w:t>
            </w:r>
          </w:p>
        </w:tc>
      </w:tr>
      <w:tr w:rsidR="00026E4E" w:rsidRPr="00B275E2" w14:paraId="65091FA9" w14:textId="77777777" w:rsidTr="00474EDC">
        <w:trPr>
          <w:trHeight w:val="345"/>
        </w:trPr>
        <w:tc>
          <w:tcPr>
            <w:cnfStyle w:val="001000000000" w:firstRow="0" w:lastRow="0" w:firstColumn="1" w:lastColumn="0" w:oddVBand="0" w:evenVBand="0" w:oddHBand="0" w:evenHBand="0" w:firstRowFirstColumn="0" w:firstRowLastColumn="0" w:lastRowFirstColumn="0" w:lastRowLastColumn="0"/>
            <w:tcW w:w="2237" w:type="dxa"/>
            <w:vMerge w:val="restart"/>
            <w:tcBorders>
              <w:left w:val="single" w:sz="4" w:space="0" w:color="FFFFFF" w:themeColor="background1"/>
            </w:tcBorders>
            <w:hideMark/>
          </w:tcPr>
          <w:p w14:paraId="65091FA4" w14:textId="24EAA2C3" w:rsidR="00026E4E" w:rsidRPr="00B275E2" w:rsidRDefault="00026E4E" w:rsidP="007F0B1E">
            <w:pPr>
              <w:pStyle w:val="TableText"/>
              <w:spacing w:before="40" w:after="40"/>
              <w:rPr>
                <w:b w:val="0"/>
                <w:szCs w:val="18"/>
              </w:rPr>
            </w:pPr>
            <w:r w:rsidRPr="00B275E2">
              <w:rPr>
                <w:b w:val="0"/>
                <w:szCs w:val="18"/>
              </w:rPr>
              <w:t>Petrol plug-in hybrid electric vehicle (PHEV) – electricity consumption</w:t>
            </w:r>
          </w:p>
        </w:tc>
        <w:tc>
          <w:tcPr>
            <w:tcW w:w="1689" w:type="dxa"/>
            <w:noWrap/>
            <w:hideMark/>
          </w:tcPr>
          <w:p w14:paraId="65091FA5" w14:textId="7CB27EF4" w:rsidR="00026E4E" w:rsidRPr="00B275E2" w:rsidRDefault="00026E4E"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&lt;1350 cc</w:t>
            </w:r>
          </w:p>
        </w:tc>
        <w:tc>
          <w:tcPr>
            <w:tcW w:w="792" w:type="dxa"/>
          </w:tcPr>
          <w:p w14:paraId="379E4B6A" w14:textId="1469AE7D" w:rsidR="00026E4E" w:rsidRPr="00B275E2" w:rsidRDefault="00026E4E"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kWh</w:t>
            </w:r>
          </w:p>
        </w:tc>
        <w:tc>
          <w:tcPr>
            <w:tcW w:w="1262" w:type="dxa"/>
            <w:noWrap/>
          </w:tcPr>
          <w:p w14:paraId="65091FA6" w14:textId="539F9B2F" w:rsidR="00026E4E" w:rsidRPr="00B275E2" w:rsidRDefault="00026E4E"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10.164</w:t>
            </w:r>
          </w:p>
        </w:tc>
        <w:tc>
          <w:tcPr>
            <w:tcW w:w="1262" w:type="dxa"/>
            <w:noWrap/>
          </w:tcPr>
          <w:p w14:paraId="65091FA7" w14:textId="2D11411A" w:rsidR="00026E4E" w:rsidRPr="00B275E2" w:rsidRDefault="00026E4E"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9.342</w:t>
            </w:r>
          </w:p>
        </w:tc>
        <w:tc>
          <w:tcPr>
            <w:tcW w:w="1263" w:type="dxa"/>
            <w:tcBorders>
              <w:right w:val="single" w:sz="4" w:space="0" w:color="FFFFFF" w:themeColor="background1"/>
            </w:tcBorders>
            <w:noWrap/>
          </w:tcPr>
          <w:p w14:paraId="65091FA8" w14:textId="09FB52EC" w:rsidR="00026E4E" w:rsidRPr="00B275E2" w:rsidRDefault="00026E4E"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8.957</w:t>
            </w:r>
          </w:p>
        </w:tc>
      </w:tr>
      <w:tr w:rsidR="00026E4E" w:rsidRPr="00B275E2" w14:paraId="65091FAF" w14:textId="77777777" w:rsidTr="00474E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left w:val="single" w:sz="4" w:space="0" w:color="FFFFFF" w:themeColor="background1"/>
            </w:tcBorders>
            <w:hideMark/>
          </w:tcPr>
          <w:p w14:paraId="65091FAA" w14:textId="77777777" w:rsidR="00026E4E" w:rsidRPr="00B275E2" w:rsidRDefault="00026E4E" w:rsidP="007F0B1E">
            <w:pPr>
              <w:pStyle w:val="TableText"/>
              <w:spacing w:before="40" w:after="40"/>
              <w:rPr>
                <w:b w:val="0"/>
                <w:szCs w:val="18"/>
              </w:rPr>
            </w:pPr>
          </w:p>
        </w:tc>
        <w:tc>
          <w:tcPr>
            <w:tcW w:w="1689" w:type="dxa"/>
            <w:noWrap/>
            <w:hideMark/>
          </w:tcPr>
          <w:p w14:paraId="65091FAB" w14:textId="54D50F0F" w:rsidR="00026E4E" w:rsidRPr="00B275E2" w:rsidRDefault="00026E4E"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1350</w:t>
            </w:r>
            <w:r w:rsidRPr="00B275E2">
              <w:rPr>
                <w:rFonts w:cs="Calibri"/>
                <w:color w:val="000000"/>
                <w:szCs w:val="18"/>
              </w:rPr>
              <w:t xml:space="preserve"> -</w:t>
            </w:r>
            <w:r w:rsidRPr="00B275E2">
              <w:rPr>
                <w:szCs w:val="18"/>
              </w:rPr>
              <w:t xml:space="preserve"> &lt;1600 cc</w:t>
            </w:r>
          </w:p>
        </w:tc>
        <w:tc>
          <w:tcPr>
            <w:tcW w:w="792" w:type="dxa"/>
          </w:tcPr>
          <w:p w14:paraId="343A4C9A" w14:textId="126C9B9B" w:rsidR="00026E4E" w:rsidRPr="00B275E2" w:rsidRDefault="00026E4E"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kWh</w:t>
            </w:r>
          </w:p>
        </w:tc>
        <w:tc>
          <w:tcPr>
            <w:tcW w:w="1262" w:type="dxa"/>
            <w:noWrap/>
          </w:tcPr>
          <w:p w14:paraId="65091FAC" w14:textId="09A8DE5C" w:rsidR="00026E4E" w:rsidRPr="00B275E2" w:rsidRDefault="00026E4E"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10.520</w:t>
            </w:r>
          </w:p>
        </w:tc>
        <w:tc>
          <w:tcPr>
            <w:tcW w:w="1262" w:type="dxa"/>
            <w:noWrap/>
          </w:tcPr>
          <w:p w14:paraId="65091FAD" w14:textId="2E6732DC" w:rsidR="00026E4E" w:rsidRPr="00B275E2" w:rsidRDefault="00026E4E"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9.668</w:t>
            </w:r>
          </w:p>
        </w:tc>
        <w:tc>
          <w:tcPr>
            <w:tcW w:w="1263" w:type="dxa"/>
            <w:tcBorders>
              <w:right w:val="single" w:sz="4" w:space="0" w:color="FFFFFF" w:themeColor="background1"/>
            </w:tcBorders>
            <w:noWrap/>
          </w:tcPr>
          <w:p w14:paraId="65091FAE" w14:textId="4816E7AE" w:rsidR="00026E4E" w:rsidRPr="00B275E2" w:rsidRDefault="00026E4E"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9.270</w:t>
            </w:r>
          </w:p>
        </w:tc>
      </w:tr>
      <w:tr w:rsidR="00026E4E" w:rsidRPr="00B275E2" w14:paraId="65091FB5" w14:textId="77777777" w:rsidTr="00474EDC">
        <w:trPr>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left w:val="single" w:sz="4" w:space="0" w:color="FFFFFF" w:themeColor="background1"/>
            </w:tcBorders>
            <w:hideMark/>
          </w:tcPr>
          <w:p w14:paraId="65091FB0" w14:textId="77777777" w:rsidR="00026E4E" w:rsidRPr="00B275E2" w:rsidRDefault="00026E4E" w:rsidP="007F0B1E">
            <w:pPr>
              <w:pStyle w:val="TableText"/>
              <w:spacing w:before="40" w:after="40"/>
              <w:rPr>
                <w:b w:val="0"/>
                <w:szCs w:val="18"/>
              </w:rPr>
            </w:pPr>
          </w:p>
        </w:tc>
        <w:tc>
          <w:tcPr>
            <w:tcW w:w="1689" w:type="dxa"/>
            <w:noWrap/>
            <w:hideMark/>
          </w:tcPr>
          <w:p w14:paraId="65091FB1" w14:textId="6717F56C" w:rsidR="00026E4E" w:rsidRPr="00B275E2" w:rsidRDefault="00026E4E"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1600</w:t>
            </w:r>
            <w:r w:rsidRPr="00B275E2">
              <w:rPr>
                <w:rFonts w:cs="Calibri"/>
                <w:color w:val="000000"/>
                <w:szCs w:val="18"/>
              </w:rPr>
              <w:t xml:space="preserve"> -</w:t>
            </w:r>
            <w:r w:rsidRPr="00B275E2">
              <w:rPr>
                <w:szCs w:val="18"/>
              </w:rPr>
              <w:t xml:space="preserve"> &lt;2000 cc</w:t>
            </w:r>
          </w:p>
        </w:tc>
        <w:tc>
          <w:tcPr>
            <w:tcW w:w="792" w:type="dxa"/>
          </w:tcPr>
          <w:p w14:paraId="0BDD5A7B" w14:textId="65736047" w:rsidR="00026E4E" w:rsidRPr="00B275E2" w:rsidRDefault="00026E4E"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kWh</w:t>
            </w:r>
          </w:p>
        </w:tc>
        <w:tc>
          <w:tcPr>
            <w:tcW w:w="1262" w:type="dxa"/>
            <w:noWrap/>
          </w:tcPr>
          <w:p w14:paraId="65091FB2" w14:textId="31C2DC2C" w:rsidR="00026E4E" w:rsidRPr="00B275E2" w:rsidRDefault="00026E4E"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11.845</w:t>
            </w:r>
          </w:p>
        </w:tc>
        <w:tc>
          <w:tcPr>
            <w:tcW w:w="1262" w:type="dxa"/>
            <w:noWrap/>
          </w:tcPr>
          <w:p w14:paraId="65091FB3" w14:textId="1B855549" w:rsidR="00026E4E" w:rsidRPr="00B275E2" w:rsidRDefault="00026E4E"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10.886</w:t>
            </w:r>
          </w:p>
        </w:tc>
        <w:tc>
          <w:tcPr>
            <w:tcW w:w="1263" w:type="dxa"/>
            <w:tcBorders>
              <w:right w:val="single" w:sz="4" w:space="0" w:color="FFFFFF" w:themeColor="background1"/>
            </w:tcBorders>
            <w:noWrap/>
          </w:tcPr>
          <w:p w14:paraId="65091FB4" w14:textId="65258811" w:rsidR="00026E4E" w:rsidRPr="00B275E2" w:rsidRDefault="00026E4E"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10.438</w:t>
            </w:r>
          </w:p>
        </w:tc>
      </w:tr>
      <w:tr w:rsidR="00026E4E" w:rsidRPr="00B275E2" w14:paraId="65091FBB" w14:textId="77777777" w:rsidTr="00474E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left w:val="single" w:sz="4" w:space="0" w:color="FFFFFF" w:themeColor="background1"/>
            </w:tcBorders>
            <w:hideMark/>
          </w:tcPr>
          <w:p w14:paraId="65091FB6" w14:textId="77777777" w:rsidR="00026E4E" w:rsidRPr="00B275E2" w:rsidRDefault="00026E4E" w:rsidP="007F0B1E">
            <w:pPr>
              <w:pStyle w:val="TableText"/>
              <w:spacing w:before="40" w:after="40"/>
              <w:rPr>
                <w:b w:val="0"/>
                <w:szCs w:val="18"/>
              </w:rPr>
            </w:pPr>
          </w:p>
        </w:tc>
        <w:tc>
          <w:tcPr>
            <w:tcW w:w="1689" w:type="dxa"/>
            <w:noWrap/>
            <w:hideMark/>
          </w:tcPr>
          <w:p w14:paraId="65091FB7" w14:textId="7ED7515F" w:rsidR="00026E4E" w:rsidRPr="00B275E2" w:rsidRDefault="00026E4E"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2000</w:t>
            </w:r>
            <w:r w:rsidRPr="00B275E2">
              <w:rPr>
                <w:rFonts w:cs="Calibri"/>
                <w:color w:val="000000"/>
                <w:szCs w:val="18"/>
              </w:rPr>
              <w:t xml:space="preserve"> -</w:t>
            </w:r>
            <w:r w:rsidRPr="00B275E2">
              <w:rPr>
                <w:szCs w:val="18"/>
              </w:rPr>
              <w:t xml:space="preserve"> &lt;3000 cc</w:t>
            </w:r>
          </w:p>
        </w:tc>
        <w:tc>
          <w:tcPr>
            <w:tcW w:w="792" w:type="dxa"/>
          </w:tcPr>
          <w:p w14:paraId="76755D05" w14:textId="16416833" w:rsidR="00026E4E" w:rsidRPr="00B275E2" w:rsidRDefault="00026E4E"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kWh</w:t>
            </w:r>
          </w:p>
        </w:tc>
        <w:tc>
          <w:tcPr>
            <w:tcW w:w="1262" w:type="dxa"/>
            <w:noWrap/>
          </w:tcPr>
          <w:p w14:paraId="65091FB8" w14:textId="6BE1D701" w:rsidR="00026E4E" w:rsidRPr="00B275E2" w:rsidRDefault="00026E4E"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13.156</w:t>
            </w:r>
          </w:p>
        </w:tc>
        <w:tc>
          <w:tcPr>
            <w:tcW w:w="1262" w:type="dxa"/>
            <w:noWrap/>
          </w:tcPr>
          <w:p w14:paraId="65091FB9" w14:textId="5202319B" w:rsidR="00026E4E" w:rsidRPr="00B275E2" w:rsidRDefault="00026E4E"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12.092</w:t>
            </w:r>
          </w:p>
        </w:tc>
        <w:tc>
          <w:tcPr>
            <w:tcW w:w="1263" w:type="dxa"/>
            <w:tcBorders>
              <w:right w:val="single" w:sz="4" w:space="0" w:color="FFFFFF" w:themeColor="background1"/>
            </w:tcBorders>
            <w:noWrap/>
          </w:tcPr>
          <w:p w14:paraId="65091FBA" w14:textId="3935E50B" w:rsidR="00026E4E" w:rsidRPr="00B275E2" w:rsidRDefault="00026E4E"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11.594</w:t>
            </w:r>
          </w:p>
        </w:tc>
      </w:tr>
      <w:tr w:rsidR="00026E4E" w:rsidRPr="00B275E2" w14:paraId="65091FC1" w14:textId="77777777" w:rsidTr="00474EDC">
        <w:trPr>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left w:val="single" w:sz="4" w:space="0" w:color="FFFFFF" w:themeColor="background1"/>
            </w:tcBorders>
            <w:hideMark/>
          </w:tcPr>
          <w:p w14:paraId="65091FBC" w14:textId="77777777" w:rsidR="00026E4E" w:rsidRPr="00B275E2" w:rsidRDefault="00026E4E" w:rsidP="007F0B1E">
            <w:pPr>
              <w:pStyle w:val="TableText"/>
              <w:spacing w:before="40" w:after="40"/>
              <w:rPr>
                <w:b w:val="0"/>
                <w:szCs w:val="18"/>
              </w:rPr>
            </w:pPr>
          </w:p>
        </w:tc>
        <w:tc>
          <w:tcPr>
            <w:tcW w:w="1689" w:type="dxa"/>
            <w:noWrap/>
            <w:hideMark/>
          </w:tcPr>
          <w:p w14:paraId="65091FBD" w14:textId="1ED1CD96" w:rsidR="00026E4E" w:rsidRPr="00B275E2" w:rsidRDefault="00026E4E"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≥3000 cc</w:t>
            </w:r>
          </w:p>
        </w:tc>
        <w:tc>
          <w:tcPr>
            <w:tcW w:w="792" w:type="dxa"/>
          </w:tcPr>
          <w:p w14:paraId="048674B4" w14:textId="7269DEE5" w:rsidR="00026E4E" w:rsidRPr="00B275E2" w:rsidRDefault="00026E4E"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kWh</w:t>
            </w:r>
          </w:p>
        </w:tc>
        <w:tc>
          <w:tcPr>
            <w:tcW w:w="1262" w:type="dxa"/>
            <w:noWrap/>
          </w:tcPr>
          <w:p w14:paraId="65091FBE" w14:textId="63A0B9C0" w:rsidR="00026E4E" w:rsidRPr="00B275E2" w:rsidRDefault="00026E4E"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15.738</w:t>
            </w:r>
          </w:p>
        </w:tc>
        <w:tc>
          <w:tcPr>
            <w:tcW w:w="1262" w:type="dxa"/>
            <w:noWrap/>
          </w:tcPr>
          <w:p w14:paraId="65091FBF" w14:textId="2802E407" w:rsidR="00026E4E" w:rsidRPr="00B275E2" w:rsidRDefault="00026E4E"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14.465</w:t>
            </w:r>
          </w:p>
        </w:tc>
        <w:tc>
          <w:tcPr>
            <w:tcW w:w="1263" w:type="dxa"/>
            <w:tcBorders>
              <w:right w:val="single" w:sz="4" w:space="0" w:color="FFFFFF" w:themeColor="background1"/>
            </w:tcBorders>
            <w:noWrap/>
          </w:tcPr>
          <w:p w14:paraId="65091FC0" w14:textId="11F29BE4" w:rsidR="00026E4E" w:rsidRPr="00B275E2" w:rsidRDefault="00026E4E"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13.869</w:t>
            </w:r>
          </w:p>
        </w:tc>
      </w:tr>
      <w:tr w:rsidR="00026E4E" w:rsidRPr="00B275E2" w14:paraId="65091FC7" w14:textId="77777777" w:rsidTr="00474ED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37" w:type="dxa"/>
            <w:vMerge w:val="restart"/>
            <w:tcBorders>
              <w:left w:val="single" w:sz="4" w:space="0" w:color="FFFFFF" w:themeColor="background1"/>
            </w:tcBorders>
            <w:hideMark/>
          </w:tcPr>
          <w:p w14:paraId="65091FC2" w14:textId="7D23E94D" w:rsidR="00026E4E" w:rsidRPr="00B275E2" w:rsidRDefault="00026E4E" w:rsidP="007F0B1E">
            <w:pPr>
              <w:pStyle w:val="TableText"/>
              <w:spacing w:before="40" w:after="40"/>
              <w:rPr>
                <w:b w:val="0"/>
                <w:szCs w:val="18"/>
              </w:rPr>
            </w:pPr>
            <w:r w:rsidRPr="00B275E2">
              <w:rPr>
                <w:b w:val="0"/>
                <w:szCs w:val="18"/>
              </w:rPr>
              <w:t>Diesel plug-in hybrid electric vehicle (PHEV) – diesel consumption</w:t>
            </w:r>
          </w:p>
        </w:tc>
        <w:tc>
          <w:tcPr>
            <w:tcW w:w="1689" w:type="dxa"/>
            <w:noWrap/>
            <w:hideMark/>
          </w:tcPr>
          <w:p w14:paraId="65091FC3" w14:textId="13211B52" w:rsidR="00026E4E" w:rsidRPr="00B275E2" w:rsidRDefault="00026E4E"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&lt;1350 cc</w:t>
            </w:r>
          </w:p>
        </w:tc>
        <w:tc>
          <w:tcPr>
            <w:tcW w:w="792" w:type="dxa"/>
          </w:tcPr>
          <w:p w14:paraId="37D65785" w14:textId="7F0FEF4B" w:rsidR="00026E4E" w:rsidRPr="00B275E2" w:rsidRDefault="00026E4E"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litres</w:t>
            </w:r>
          </w:p>
        </w:tc>
        <w:tc>
          <w:tcPr>
            <w:tcW w:w="1262" w:type="dxa"/>
            <w:noWrap/>
          </w:tcPr>
          <w:p w14:paraId="65091FC4" w14:textId="235327E9" w:rsidR="00026E4E" w:rsidRPr="00B275E2" w:rsidRDefault="00026E4E"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3.753</w:t>
            </w:r>
          </w:p>
        </w:tc>
        <w:tc>
          <w:tcPr>
            <w:tcW w:w="1262" w:type="dxa"/>
            <w:noWrap/>
          </w:tcPr>
          <w:p w14:paraId="65091FC5" w14:textId="482EE452" w:rsidR="00026E4E" w:rsidRPr="00B275E2" w:rsidRDefault="00026E4E"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3.426</w:t>
            </w:r>
          </w:p>
        </w:tc>
        <w:tc>
          <w:tcPr>
            <w:tcW w:w="1263" w:type="dxa"/>
            <w:tcBorders>
              <w:right w:val="single" w:sz="4" w:space="0" w:color="FFFFFF" w:themeColor="background1"/>
            </w:tcBorders>
            <w:noWrap/>
          </w:tcPr>
          <w:p w14:paraId="65091FC6" w14:textId="49F9ECFD" w:rsidR="00026E4E" w:rsidRPr="00B275E2" w:rsidRDefault="00026E4E"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3.185</w:t>
            </w:r>
          </w:p>
        </w:tc>
      </w:tr>
      <w:tr w:rsidR="00026E4E" w:rsidRPr="00B275E2" w14:paraId="65091FCD" w14:textId="77777777" w:rsidTr="00474EDC">
        <w:trPr>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left w:val="single" w:sz="4" w:space="0" w:color="FFFFFF" w:themeColor="background1"/>
            </w:tcBorders>
            <w:hideMark/>
          </w:tcPr>
          <w:p w14:paraId="65091FC8" w14:textId="77777777" w:rsidR="00026E4E" w:rsidRPr="00B275E2" w:rsidRDefault="00026E4E" w:rsidP="007F0B1E">
            <w:pPr>
              <w:pStyle w:val="TableText"/>
              <w:spacing w:before="40" w:after="40"/>
              <w:rPr>
                <w:b w:val="0"/>
                <w:szCs w:val="18"/>
              </w:rPr>
            </w:pPr>
          </w:p>
        </w:tc>
        <w:tc>
          <w:tcPr>
            <w:tcW w:w="1689" w:type="dxa"/>
            <w:noWrap/>
            <w:hideMark/>
          </w:tcPr>
          <w:p w14:paraId="65091FC9" w14:textId="0D31F731" w:rsidR="00026E4E" w:rsidRPr="00B275E2" w:rsidRDefault="00026E4E"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1350</w:t>
            </w:r>
            <w:r w:rsidRPr="00B275E2">
              <w:rPr>
                <w:rFonts w:cs="Calibri"/>
                <w:color w:val="000000"/>
                <w:szCs w:val="18"/>
              </w:rPr>
              <w:t xml:space="preserve"> -</w:t>
            </w:r>
            <w:r w:rsidRPr="00B275E2">
              <w:rPr>
                <w:szCs w:val="18"/>
              </w:rPr>
              <w:t xml:space="preserve"> &lt;1600 cc</w:t>
            </w:r>
          </w:p>
        </w:tc>
        <w:tc>
          <w:tcPr>
            <w:tcW w:w="792" w:type="dxa"/>
          </w:tcPr>
          <w:p w14:paraId="53C614F8" w14:textId="215C0C54" w:rsidR="00026E4E" w:rsidRPr="00B275E2" w:rsidRDefault="00026E4E"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litres</w:t>
            </w:r>
          </w:p>
        </w:tc>
        <w:tc>
          <w:tcPr>
            <w:tcW w:w="1262" w:type="dxa"/>
            <w:noWrap/>
          </w:tcPr>
          <w:p w14:paraId="65091FCA" w14:textId="14057F87" w:rsidR="00026E4E" w:rsidRPr="00B275E2" w:rsidRDefault="00026E4E"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3.611</w:t>
            </w:r>
          </w:p>
        </w:tc>
        <w:tc>
          <w:tcPr>
            <w:tcW w:w="1262" w:type="dxa"/>
            <w:noWrap/>
          </w:tcPr>
          <w:p w14:paraId="65091FCB" w14:textId="31FA1AD0" w:rsidR="00026E4E" w:rsidRPr="00B275E2" w:rsidRDefault="00026E4E"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3.297</w:t>
            </w:r>
          </w:p>
        </w:tc>
        <w:tc>
          <w:tcPr>
            <w:tcW w:w="1263" w:type="dxa"/>
            <w:tcBorders>
              <w:right w:val="single" w:sz="4" w:space="0" w:color="FFFFFF" w:themeColor="background1"/>
            </w:tcBorders>
            <w:noWrap/>
          </w:tcPr>
          <w:p w14:paraId="65091FCC" w14:textId="62E35CF3" w:rsidR="00026E4E" w:rsidRPr="00B275E2" w:rsidRDefault="00026E4E"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3.065</w:t>
            </w:r>
          </w:p>
        </w:tc>
      </w:tr>
      <w:tr w:rsidR="00026E4E" w:rsidRPr="00B275E2" w14:paraId="65091FD3" w14:textId="77777777" w:rsidTr="00474E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left w:val="single" w:sz="4" w:space="0" w:color="FFFFFF" w:themeColor="background1"/>
            </w:tcBorders>
            <w:hideMark/>
          </w:tcPr>
          <w:p w14:paraId="65091FCE" w14:textId="77777777" w:rsidR="00026E4E" w:rsidRPr="00B275E2" w:rsidRDefault="00026E4E" w:rsidP="007F0B1E">
            <w:pPr>
              <w:pStyle w:val="TableText"/>
              <w:spacing w:before="40" w:after="40"/>
              <w:rPr>
                <w:b w:val="0"/>
                <w:szCs w:val="18"/>
              </w:rPr>
            </w:pPr>
          </w:p>
        </w:tc>
        <w:tc>
          <w:tcPr>
            <w:tcW w:w="1689" w:type="dxa"/>
            <w:noWrap/>
            <w:hideMark/>
          </w:tcPr>
          <w:p w14:paraId="65091FCF" w14:textId="1300C3D8" w:rsidR="00026E4E" w:rsidRPr="00B275E2" w:rsidRDefault="00026E4E"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1600</w:t>
            </w:r>
            <w:r w:rsidRPr="00B275E2">
              <w:rPr>
                <w:rFonts w:cs="Calibri"/>
                <w:color w:val="000000"/>
                <w:szCs w:val="18"/>
              </w:rPr>
              <w:t xml:space="preserve"> -</w:t>
            </w:r>
            <w:r w:rsidRPr="00B275E2">
              <w:rPr>
                <w:szCs w:val="18"/>
              </w:rPr>
              <w:t xml:space="preserve"> &lt;2000 cc</w:t>
            </w:r>
          </w:p>
        </w:tc>
        <w:tc>
          <w:tcPr>
            <w:tcW w:w="792" w:type="dxa"/>
          </w:tcPr>
          <w:p w14:paraId="572E97F8" w14:textId="6351C48F" w:rsidR="00026E4E" w:rsidRPr="00B275E2" w:rsidRDefault="00026E4E"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litres</w:t>
            </w:r>
          </w:p>
        </w:tc>
        <w:tc>
          <w:tcPr>
            <w:tcW w:w="1262" w:type="dxa"/>
            <w:noWrap/>
          </w:tcPr>
          <w:p w14:paraId="65091FD0" w14:textId="4771C9BE" w:rsidR="00026E4E" w:rsidRPr="00B275E2" w:rsidRDefault="00026E4E"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3.828</w:t>
            </w:r>
          </w:p>
        </w:tc>
        <w:tc>
          <w:tcPr>
            <w:tcW w:w="1262" w:type="dxa"/>
            <w:noWrap/>
          </w:tcPr>
          <w:p w14:paraId="65091FD1" w14:textId="73555457" w:rsidR="00026E4E" w:rsidRPr="00B275E2" w:rsidRDefault="00026E4E"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3.494</w:t>
            </w:r>
          </w:p>
        </w:tc>
        <w:tc>
          <w:tcPr>
            <w:tcW w:w="1263" w:type="dxa"/>
            <w:tcBorders>
              <w:right w:val="single" w:sz="4" w:space="0" w:color="FFFFFF" w:themeColor="background1"/>
            </w:tcBorders>
            <w:noWrap/>
          </w:tcPr>
          <w:p w14:paraId="65091FD2" w14:textId="2B917109" w:rsidR="00026E4E" w:rsidRPr="00B275E2" w:rsidRDefault="00026E4E"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3.248</w:t>
            </w:r>
          </w:p>
        </w:tc>
      </w:tr>
      <w:tr w:rsidR="00026E4E" w:rsidRPr="00B275E2" w14:paraId="65091FD9" w14:textId="77777777" w:rsidTr="00474EDC">
        <w:trPr>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left w:val="single" w:sz="4" w:space="0" w:color="FFFFFF" w:themeColor="background1"/>
            </w:tcBorders>
            <w:hideMark/>
          </w:tcPr>
          <w:p w14:paraId="65091FD4" w14:textId="77777777" w:rsidR="00026E4E" w:rsidRPr="00B275E2" w:rsidRDefault="00026E4E" w:rsidP="007F0B1E">
            <w:pPr>
              <w:pStyle w:val="TableText"/>
              <w:spacing w:before="40" w:after="40"/>
              <w:rPr>
                <w:b w:val="0"/>
                <w:szCs w:val="18"/>
              </w:rPr>
            </w:pPr>
          </w:p>
        </w:tc>
        <w:tc>
          <w:tcPr>
            <w:tcW w:w="1689" w:type="dxa"/>
            <w:noWrap/>
            <w:hideMark/>
          </w:tcPr>
          <w:p w14:paraId="65091FD5" w14:textId="4E5F6852" w:rsidR="00026E4E" w:rsidRPr="00B275E2" w:rsidRDefault="00026E4E"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2000</w:t>
            </w:r>
            <w:r w:rsidRPr="00B275E2">
              <w:rPr>
                <w:rFonts w:cs="Calibri"/>
                <w:color w:val="000000"/>
                <w:szCs w:val="18"/>
              </w:rPr>
              <w:t xml:space="preserve"> -</w:t>
            </w:r>
            <w:r w:rsidRPr="00B275E2">
              <w:rPr>
                <w:szCs w:val="18"/>
              </w:rPr>
              <w:t xml:space="preserve"> &lt;3000 cc</w:t>
            </w:r>
          </w:p>
        </w:tc>
        <w:tc>
          <w:tcPr>
            <w:tcW w:w="792" w:type="dxa"/>
          </w:tcPr>
          <w:p w14:paraId="6ED6DAB6" w14:textId="52EE9E2E" w:rsidR="00026E4E" w:rsidRPr="00B275E2" w:rsidRDefault="00026E4E"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litres</w:t>
            </w:r>
          </w:p>
        </w:tc>
        <w:tc>
          <w:tcPr>
            <w:tcW w:w="1262" w:type="dxa"/>
            <w:noWrap/>
          </w:tcPr>
          <w:p w14:paraId="65091FD6" w14:textId="05AA419C" w:rsidR="00026E4E" w:rsidRPr="00B275E2" w:rsidRDefault="00026E4E"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4.706</w:t>
            </w:r>
          </w:p>
        </w:tc>
        <w:tc>
          <w:tcPr>
            <w:tcW w:w="1262" w:type="dxa"/>
            <w:noWrap/>
          </w:tcPr>
          <w:p w14:paraId="65091FD7" w14:textId="6FA3C141" w:rsidR="00026E4E" w:rsidRPr="00B275E2" w:rsidRDefault="00026E4E"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4.296</w:t>
            </w:r>
          </w:p>
        </w:tc>
        <w:tc>
          <w:tcPr>
            <w:tcW w:w="1263" w:type="dxa"/>
            <w:tcBorders>
              <w:right w:val="single" w:sz="4" w:space="0" w:color="FFFFFF" w:themeColor="background1"/>
            </w:tcBorders>
            <w:noWrap/>
          </w:tcPr>
          <w:p w14:paraId="65091FD8" w14:textId="7839D4AB" w:rsidR="00026E4E" w:rsidRPr="00B275E2" w:rsidRDefault="00026E4E"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3.993</w:t>
            </w:r>
          </w:p>
        </w:tc>
      </w:tr>
      <w:tr w:rsidR="00026E4E" w:rsidRPr="00B275E2" w14:paraId="65091FDF" w14:textId="77777777" w:rsidTr="00474E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left w:val="single" w:sz="4" w:space="0" w:color="FFFFFF" w:themeColor="background1"/>
            </w:tcBorders>
            <w:hideMark/>
          </w:tcPr>
          <w:p w14:paraId="65091FDA" w14:textId="77777777" w:rsidR="00026E4E" w:rsidRPr="00B275E2" w:rsidRDefault="00026E4E" w:rsidP="007F0B1E">
            <w:pPr>
              <w:pStyle w:val="TableText"/>
              <w:spacing w:before="40" w:after="40"/>
              <w:rPr>
                <w:b w:val="0"/>
                <w:szCs w:val="18"/>
              </w:rPr>
            </w:pPr>
          </w:p>
        </w:tc>
        <w:tc>
          <w:tcPr>
            <w:tcW w:w="1689" w:type="dxa"/>
            <w:noWrap/>
            <w:hideMark/>
          </w:tcPr>
          <w:p w14:paraId="65091FDB" w14:textId="6E3761F9" w:rsidR="00026E4E" w:rsidRPr="00B275E2" w:rsidRDefault="00026E4E"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≥3000 cc</w:t>
            </w:r>
          </w:p>
        </w:tc>
        <w:tc>
          <w:tcPr>
            <w:tcW w:w="792" w:type="dxa"/>
          </w:tcPr>
          <w:p w14:paraId="3E88361F" w14:textId="27372AB2" w:rsidR="00026E4E" w:rsidRPr="00B275E2" w:rsidRDefault="00026E4E"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litres</w:t>
            </w:r>
          </w:p>
        </w:tc>
        <w:tc>
          <w:tcPr>
            <w:tcW w:w="1262" w:type="dxa"/>
            <w:noWrap/>
          </w:tcPr>
          <w:p w14:paraId="65091FDC" w14:textId="5DA0A047" w:rsidR="00026E4E" w:rsidRPr="00B275E2" w:rsidRDefault="00026E4E"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5.220</w:t>
            </w:r>
          </w:p>
        </w:tc>
        <w:tc>
          <w:tcPr>
            <w:tcW w:w="1262" w:type="dxa"/>
            <w:noWrap/>
          </w:tcPr>
          <w:p w14:paraId="65091FDD" w14:textId="76319CE1" w:rsidR="00026E4E" w:rsidRPr="00B275E2" w:rsidRDefault="00026E4E"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4.765</w:t>
            </w:r>
          </w:p>
        </w:tc>
        <w:tc>
          <w:tcPr>
            <w:tcW w:w="1263" w:type="dxa"/>
            <w:tcBorders>
              <w:right w:val="single" w:sz="4" w:space="0" w:color="FFFFFF" w:themeColor="background1"/>
            </w:tcBorders>
            <w:noWrap/>
          </w:tcPr>
          <w:p w14:paraId="65091FDE" w14:textId="685C62D1" w:rsidR="00026E4E" w:rsidRPr="00B275E2" w:rsidRDefault="00026E4E"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4.430</w:t>
            </w:r>
          </w:p>
        </w:tc>
      </w:tr>
      <w:tr w:rsidR="00026E4E" w:rsidRPr="00B275E2" w14:paraId="65091FE5" w14:textId="77777777" w:rsidTr="00474EDC">
        <w:trPr>
          <w:trHeight w:val="345"/>
        </w:trPr>
        <w:tc>
          <w:tcPr>
            <w:cnfStyle w:val="001000000000" w:firstRow="0" w:lastRow="0" w:firstColumn="1" w:lastColumn="0" w:oddVBand="0" w:evenVBand="0" w:oddHBand="0" w:evenHBand="0" w:firstRowFirstColumn="0" w:firstRowLastColumn="0" w:lastRowFirstColumn="0" w:lastRowLastColumn="0"/>
            <w:tcW w:w="2237" w:type="dxa"/>
            <w:vMerge w:val="restart"/>
            <w:tcBorders>
              <w:left w:val="single" w:sz="4" w:space="0" w:color="FFFFFF" w:themeColor="background1"/>
            </w:tcBorders>
            <w:hideMark/>
          </w:tcPr>
          <w:p w14:paraId="65091FE0" w14:textId="2BA15F7F" w:rsidR="00026E4E" w:rsidRPr="00B275E2" w:rsidRDefault="00026E4E" w:rsidP="007F0B1E">
            <w:pPr>
              <w:pStyle w:val="TableText"/>
              <w:spacing w:before="40" w:after="40"/>
              <w:rPr>
                <w:b w:val="0"/>
                <w:szCs w:val="18"/>
              </w:rPr>
            </w:pPr>
            <w:r w:rsidRPr="00B275E2">
              <w:rPr>
                <w:b w:val="0"/>
                <w:szCs w:val="18"/>
              </w:rPr>
              <w:t>Diesel plug-in hybrid electric vehicle (PHEV) – electricity consumption</w:t>
            </w:r>
          </w:p>
        </w:tc>
        <w:tc>
          <w:tcPr>
            <w:tcW w:w="1689" w:type="dxa"/>
            <w:noWrap/>
            <w:hideMark/>
          </w:tcPr>
          <w:p w14:paraId="65091FE1" w14:textId="26A63235" w:rsidR="00026E4E" w:rsidRPr="00B275E2" w:rsidRDefault="00026E4E"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&lt;1350 cc</w:t>
            </w:r>
          </w:p>
        </w:tc>
        <w:tc>
          <w:tcPr>
            <w:tcW w:w="792" w:type="dxa"/>
          </w:tcPr>
          <w:p w14:paraId="7DEACB09" w14:textId="16F400CB" w:rsidR="00026E4E" w:rsidRPr="00B275E2" w:rsidRDefault="00026E4E"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kWh</w:t>
            </w:r>
          </w:p>
        </w:tc>
        <w:tc>
          <w:tcPr>
            <w:tcW w:w="1262" w:type="dxa"/>
            <w:noWrap/>
          </w:tcPr>
          <w:p w14:paraId="65091FE2" w14:textId="3B47C82A" w:rsidR="00026E4E" w:rsidRPr="00B275E2" w:rsidRDefault="00026E4E"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11.086</w:t>
            </w:r>
          </w:p>
        </w:tc>
        <w:tc>
          <w:tcPr>
            <w:tcW w:w="1262" w:type="dxa"/>
            <w:noWrap/>
          </w:tcPr>
          <w:p w14:paraId="65091FE3" w14:textId="4BD6BDBC" w:rsidR="00026E4E" w:rsidRPr="00B275E2" w:rsidRDefault="00026E4E"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10.189</w:t>
            </w:r>
          </w:p>
        </w:tc>
        <w:tc>
          <w:tcPr>
            <w:tcW w:w="1263" w:type="dxa"/>
            <w:tcBorders>
              <w:right w:val="single" w:sz="4" w:space="0" w:color="FFFFFF" w:themeColor="background1"/>
            </w:tcBorders>
            <w:noWrap/>
          </w:tcPr>
          <w:p w14:paraId="65091FE4" w14:textId="0839C445" w:rsidR="00026E4E" w:rsidRPr="00B275E2" w:rsidRDefault="00026E4E"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9.770</w:t>
            </w:r>
          </w:p>
        </w:tc>
      </w:tr>
      <w:tr w:rsidR="00026E4E" w:rsidRPr="00B275E2" w14:paraId="65091FEB" w14:textId="77777777" w:rsidTr="00474E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left w:val="single" w:sz="4" w:space="0" w:color="FFFFFF" w:themeColor="background1"/>
            </w:tcBorders>
            <w:hideMark/>
          </w:tcPr>
          <w:p w14:paraId="65091FE6" w14:textId="77777777" w:rsidR="00026E4E" w:rsidRPr="00B275E2" w:rsidRDefault="00026E4E" w:rsidP="007F0B1E">
            <w:pPr>
              <w:pStyle w:val="TableText"/>
              <w:spacing w:before="40" w:after="40"/>
              <w:rPr>
                <w:b w:val="0"/>
                <w:szCs w:val="18"/>
              </w:rPr>
            </w:pPr>
          </w:p>
        </w:tc>
        <w:tc>
          <w:tcPr>
            <w:tcW w:w="1689" w:type="dxa"/>
            <w:noWrap/>
            <w:hideMark/>
          </w:tcPr>
          <w:p w14:paraId="65091FE7" w14:textId="7C16C01B" w:rsidR="00026E4E" w:rsidRPr="00B275E2" w:rsidRDefault="00026E4E"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1350</w:t>
            </w:r>
            <w:r w:rsidRPr="00B275E2">
              <w:rPr>
                <w:rFonts w:cs="Calibri"/>
                <w:color w:val="000000"/>
                <w:szCs w:val="18"/>
              </w:rPr>
              <w:t xml:space="preserve"> -</w:t>
            </w:r>
            <w:r w:rsidRPr="00B275E2">
              <w:rPr>
                <w:szCs w:val="18"/>
              </w:rPr>
              <w:t xml:space="preserve"> &lt;1600 cc</w:t>
            </w:r>
          </w:p>
        </w:tc>
        <w:tc>
          <w:tcPr>
            <w:tcW w:w="792" w:type="dxa"/>
          </w:tcPr>
          <w:p w14:paraId="37C42E29" w14:textId="29CF3A59" w:rsidR="00026E4E" w:rsidRPr="00B275E2" w:rsidRDefault="00026E4E"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kWh</w:t>
            </w:r>
          </w:p>
        </w:tc>
        <w:tc>
          <w:tcPr>
            <w:tcW w:w="1262" w:type="dxa"/>
            <w:noWrap/>
          </w:tcPr>
          <w:p w14:paraId="65091FE8" w14:textId="2B2B3EEB" w:rsidR="00026E4E" w:rsidRPr="00B275E2" w:rsidRDefault="00026E4E"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10.648</w:t>
            </w:r>
          </w:p>
        </w:tc>
        <w:tc>
          <w:tcPr>
            <w:tcW w:w="1262" w:type="dxa"/>
            <w:noWrap/>
          </w:tcPr>
          <w:p w14:paraId="65091FE9" w14:textId="35198B86" w:rsidR="00026E4E" w:rsidRPr="00B275E2" w:rsidRDefault="00026E4E"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9.786</w:t>
            </w:r>
          </w:p>
        </w:tc>
        <w:tc>
          <w:tcPr>
            <w:tcW w:w="1263" w:type="dxa"/>
            <w:tcBorders>
              <w:right w:val="single" w:sz="4" w:space="0" w:color="FFFFFF" w:themeColor="background1"/>
            </w:tcBorders>
            <w:noWrap/>
          </w:tcPr>
          <w:p w14:paraId="65091FEA" w14:textId="300A5877" w:rsidR="00026E4E" w:rsidRPr="00B275E2" w:rsidRDefault="00026E4E"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9.383</w:t>
            </w:r>
          </w:p>
        </w:tc>
      </w:tr>
      <w:tr w:rsidR="00026E4E" w:rsidRPr="00B275E2" w14:paraId="65091FF1" w14:textId="77777777" w:rsidTr="00474EDC">
        <w:trPr>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left w:val="single" w:sz="4" w:space="0" w:color="FFFFFF" w:themeColor="background1"/>
            </w:tcBorders>
            <w:hideMark/>
          </w:tcPr>
          <w:p w14:paraId="65091FEC" w14:textId="77777777" w:rsidR="00026E4E" w:rsidRPr="00B275E2" w:rsidRDefault="00026E4E" w:rsidP="007F0B1E">
            <w:pPr>
              <w:pStyle w:val="TableText"/>
              <w:spacing w:before="40" w:after="40"/>
              <w:rPr>
                <w:b w:val="0"/>
                <w:szCs w:val="18"/>
              </w:rPr>
            </w:pPr>
          </w:p>
        </w:tc>
        <w:tc>
          <w:tcPr>
            <w:tcW w:w="1689" w:type="dxa"/>
            <w:noWrap/>
            <w:hideMark/>
          </w:tcPr>
          <w:p w14:paraId="65091FED" w14:textId="4F867473" w:rsidR="00026E4E" w:rsidRPr="00B275E2" w:rsidRDefault="00026E4E"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1600</w:t>
            </w:r>
            <w:r w:rsidRPr="00B275E2">
              <w:rPr>
                <w:rFonts w:cs="Calibri"/>
                <w:color w:val="000000"/>
                <w:szCs w:val="18"/>
              </w:rPr>
              <w:t xml:space="preserve"> -</w:t>
            </w:r>
            <w:r w:rsidRPr="00B275E2">
              <w:rPr>
                <w:szCs w:val="18"/>
              </w:rPr>
              <w:t xml:space="preserve"> &lt;2000 cc</w:t>
            </w:r>
          </w:p>
        </w:tc>
        <w:tc>
          <w:tcPr>
            <w:tcW w:w="792" w:type="dxa"/>
          </w:tcPr>
          <w:p w14:paraId="31DB97D3" w14:textId="0DFE3091" w:rsidR="00026E4E" w:rsidRPr="00B275E2" w:rsidRDefault="00026E4E"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kWh</w:t>
            </w:r>
          </w:p>
        </w:tc>
        <w:tc>
          <w:tcPr>
            <w:tcW w:w="1262" w:type="dxa"/>
            <w:noWrap/>
          </w:tcPr>
          <w:p w14:paraId="65091FEE" w14:textId="17F09D55" w:rsidR="00026E4E" w:rsidRPr="00B275E2" w:rsidRDefault="00026E4E"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11.667</w:t>
            </w:r>
          </w:p>
        </w:tc>
        <w:tc>
          <w:tcPr>
            <w:tcW w:w="1262" w:type="dxa"/>
            <w:noWrap/>
          </w:tcPr>
          <w:p w14:paraId="65091FEF" w14:textId="04D08007" w:rsidR="00026E4E" w:rsidRPr="00B275E2" w:rsidRDefault="00026E4E"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10.723</w:t>
            </w:r>
          </w:p>
        </w:tc>
        <w:tc>
          <w:tcPr>
            <w:tcW w:w="1263" w:type="dxa"/>
            <w:tcBorders>
              <w:right w:val="single" w:sz="4" w:space="0" w:color="FFFFFF" w:themeColor="background1"/>
            </w:tcBorders>
            <w:noWrap/>
          </w:tcPr>
          <w:p w14:paraId="65091FF0" w14:textId="4DCC3E38" w:rsidR="00026E4E" w:rsidRPr="00B275E2" w:rsidRDefault="00026E4E"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10.281</w:t>
            </w:r>
          </w:p>
        </w:tc>
      </w:tr>
      <w:tr w:rsidR="00026E4E" w:rsidRPr="00B275E2" w14:paraId="65091FF7" w14:textId="77777777" w:rsidTr="00474E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left w:val="single" w:sz="4" w:space="0" w:color="FFFFFF" w:themeColor="background1"/>
            </w:tcBorders>
            <w:hideMark/>
          </w:tcPr>
          <w:p w14:paraId="65091FF2" w14:textId="77777777" w:rsidR="00026E4E" w:rsidRPr="00B275E2" w:rsidRDefault="00026E4E" w:rsidP="007F0B1E">
            <w:pPr>
              <w:pStyle w:val="TableText"/>
              <w:spacing w:before="40" w:after="40"/>
              <w:rPr>
                <w:b w:val="0"/>
                <w:szCs w:val="18"/>
              </w:rPr>
            </w:pPr>
          </w:p>
        </w:tc>
        <w:tc>
          <w:tcPr>
            <w:tcW w:w="1689" w:type="dxa"/>
            <w:noWrap/>
            <w:hideMark/>
          </w:tcPr>
          <w:p w14:paraId="65091FF3" w14:textId="350499BC" w:rsidR="00026E4E" w:rsidRPr="00B275E2" w:rsidRDefault="00026E4E"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2000</w:t>
            </w:r>
            <w:r w:rsidRPr="00B275E2">
              <w:rPr>
                <w:rFonts w:cs="Calibri"/>
                <w:color w:val="000000"/>
                <w:szCs w:val="18"/>
              </w:rPr>
              <w:t xml:space="preserve"> -</w:t>
            </w:r>
            <w:r w:rsidRPr="00B275E2">
              <w:rPr>
                <w:szCs w:val="18"/>
              </w:rPr>
              <w:t xml:space="preserve"> &lt;3000 cc</w:t>
            </w:r>
          </w:p>
        </w:tc>
        <w:tc>
          <w:tcPr>
            <w:tcW w:w="792" w:type="dxa"/>
          </w:tcPr>
          <w:p w14:paraId="01D090E1" w14:textId="6B99E20C" w:rsidR="00026E4E" w:rsidRPr="00B275E2" w:rsidRDefault="00026E4E"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kWh</w:t>
            </w:r>
          </w:p>
        </w:tc>
        <w:tc>
          <w:tcPr>
            <w:tcW w:w="1262" w:type="dxa"/>
            <w:noWrap/>
          </w:tcPr>
          <w:p w14:paraId="65091FF4" w14:textId="2F7BD498" w:rsidR="00026E4E" w:rsidRPr="00B275E2" w:rsidRDefault="00026E4E"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13.205</w:t>
            </w:r>
          </w:p>
        </w:tc>
        <w:tc>
          <w:tcPr>
            <w:tcW w:w="1262" w:type="dxa"/>
            <w:noWrap/>
          </w:tcPr>
          <w:p w14:paraId="65091FF5" w14:textId="3C97946D" w:rsidR="00026E4E" w:rsidRPr="00B275E2" w:rsidRDefault="00026E4E"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12.137</w:t>
            </w:r>
          </w:p>
        </w:tc>
        <w:tc>
          <w:tcPr>
            <w:tcW w:w="1263" w:type="dxa"/>
            <w:tcBorders>
              <w:right w:val="single" w:sz="4" w:space="0" w:color="FFFFFF" w:themeColor="background1"/>
            </w:tcBorders>
            <w:noWrap/>
          </w:tcPr>
          <w:p w14:paraId="65091FF6" w14:textId="1E25DED5" w:rsidR="00026E4E" w:rsidRPr="00B275E2" w:rsidRDefault="00026E4E"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11.637</w:t>
            </w:r>
          </w:p>
        </w:tc>
      </w:tr>
      <w:tr w:rsidR="00026E4E" w:rsidRPr="00B275E2" w14:paraId="65091FFD" w14:textId="77777777" w:rsidTr="00474EDC">
        <w:trPr>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left w:val="single" w:sz="4" w:space="0" w:color="FFFFFF" w:themeColor="background1"/>
            </w:tcBorders>
            <w:hideMark/>
          </w:tcPr>
          <w:p w14:paraId="65091FF8" w14:textId="77777777" w:rsidR="00026E4E" w:rsidRPr="00B275E2" w:rsidRDefault="00026E4E" w:rsidP="007F0B1E">
            <w:pPr>
              <w:pStyle w:val="TableText"/>
              <w:spacing w:before="40" w:after="40"/>
              <w:rPr>
                <w:b w:val="0"/>
                <w:szCs w:val="18"/>
              </w:rPr>
            </w:pPr>
          </w:p>
        </w:tc>
        <w:tc>
          <w:tcPr>
            <w:tcW w:w="1689" w:type="dxa"/>
            <w:noWrap/>
            <w:hideMark/>
          </w:tcPr>
          <w:p w14:paraId="65091FF9" w14:textId="4E982C0E" w:rsidR="00026E4E" w:rsidRPr="00B275E2" w:rsidRDefault="00026E4E"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≥3000 cc</w:t>
            </w:r>
          </w:p>
        </w:tc>
        <w:tc>
          <w:tcPr>
            <w:tcW w:w="792" w:type="dxa"/>
          </w:tcPr>
          <w:p w14:paraId="361E7C12" w14:textId="0981C91E" w:rsidR="00026E4E" w:rsidRPr="00B275E2" w:rsidRDefault="00026E4E"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kWh</w:t>
            </w:r>
          </w:p>
        </w:tc>
        <w:tc>
          <w:tcPr>
            <w:tcW w:w="1262" w:type="dxa"/>
            <w:noWrap/>
          </w:tcPr>
          <w:p w14:paraId="65091FFA" w14:textId="2DE264ED" w:rsidR="00026E4E" w:rsidRPr="00B275E2" w:rsidRDefault="00026E4E"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15.618</w:t>
            </w:r>
          </w:p>
        </w:tc>
        <w:tc>
          <w:tcPr>
            <w:tcW w:w="1262" w:type="dxa"/>
            <w:noWrap/>
          </w:tcPr>
          <w:p w14:paraId="65091FFB" w14:textId="61469FE1" w:rsidR="00026E4E" w:rsidRPr="00B275E2" w:rsidRDefault="00026E4E"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14.354</w:t>
            </w:r>
          </w:p>
        </w:tc>
        <w:tc>
          <w:tcPr>
            <w:tcW w:w="1263" w:type="dxa"/>
            <w:tcBorders>
              <w:right w:val="single" w:sz="4" w:space="0" w:color="FFFFFF" w:themeColor="background1"/>
            </w:tcBorders>
            <w:noWrap/>
          </w:tcPr>
          <w:p w14:paraId="65091FFC" w14:textId="6D705506" w:rsidR="00026E4E" w:rsidRPr="00B275E2" w:rsidRDefault="00026E4E"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13.763</w:t>
            </w:r>
          </w:p>
        </w:tc>
      </w:tr>
      <w:tr w:rsidR="00026E4E" w:rsidRPr="00B275E2" w14:paraId="65092003" w14:textId="77777777" w:rsidTr="00474E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dxa"/>
            <w:vMerge w:val="restart"/>
            <w:tcBorders>
              <w:left w:val="single" w:sz="4" w:space="0" w:color="FFFFFF" w:themeColor="background1"/>
            </w:tcBorders>
            <w:hideMark/>
          </w:tcPr>
          <w:p w14:paraId="65091FFE" w14:textId="77777777" w:rsidR="00026E4E" w:rsidRPr="00B275E2" w:rsidRDefault="00026E4E" w:rsidP="006A336A">
            <w:pPr>
              <w:pStyle w:val="TableText"/>
              <w:spacing w:before="30" w:after="30"/>
              <w:rPr>
                <w:b w:val="0"/>
                <w:szCs w:val="18"/>
              </w:rPr>
            </w:pPr>
            <w:r w:rsidRPr="00B275E2">
              <w:rPr>
                <w:b w:val="0"/>
                <w:szCs w:val="18"/>
              </w:rPr>
              <w:t>Electric vehicle</w:t>
            </w:r>
          </w:p>
        </w:tc>
        <w:tc>
          <w:tcPr>
            <w:tcW w:w="1689" w:type="dxa"/>
            <w:noWrap/>
            <w:hideMark/>
          </w:tcPr>
          <w:p w14:paraId="65091FFF" w14:textId="3BF6B7B7" w:rsidR="00026E4E" w:rsidRPr="00B275E2" w:rsidRDefault="00026E4E" w:rsidP="006A336A">
            <w:pPr>
              <w:pStyle w:val="TableText"/>
              <w:spacing w:before="30" w:after="3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&lt;1350 cc</w:t>
            </w:r>
          </w:p>
        </w:tc>
        <w:tc>
          <w:tcPr>
            <w:tcW w:w="792" w:type="dxa"/>
          </w:tcPr>
          <w:p w14:paraId="3ECB9807" w14:textId="1B9738E5" w:rsidR="00026E4E" w:rsidRPr="00B275E2" w:rsidRDefault="00026E4E" w:rsidP="006A336A">
            <w:pPr>
              <w:pStyle w:val="TableText"/>
              <w:spacing w:before="30" w:after="3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kWh</w:t>
            </w:r>
          </w:p>
        </w:tc>
        <w:tc>
          <w:tcPr>
            <w:tcW w:w="1262" w:type="dxa"/>
            <w:noWrap/>
          </w:tcPr>
          <w:p w14:paraId="65092000" w14:textId="097AC2AA" w:rsidR="00026E4E" w:rsidRPr="00B275E2" w:rsidRDefault="00026E4E" w:rsidP="006A336A">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21.324</w:t>
            </w:r>
          </w:p>
        </w:tc>
        <w:tc>
          <w:tcPr>
            <w:tcW w:w="1262" w:type="dxa"/>
            <w:noWrap/>
          </w:tcPr>
          <w:p w14:paraId="65092001" w14:textId="458AB46C" w:rsidR="00026E4E" w:rsidRPr="00B275E2" w:rsidRDefault="00026E4E" w:rsidP="006A336A">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19.598</w:t>
            </w:r>
          </w:p>
        </w:tc>
        <w:tc>
          <w:tcPr>
            <w:tcW w:w="1263" w:type="dxa"/>
            <w:tcBorders>
              <w:right w:val="single" w:sz="4" w:space="0" w:color="FFFFFF" w:themeColor="background1"/>
            </w:tcBorders>
            <w:noWrap/>
          </w:tcPr>
          <w:p w14:paraId="65092002" w14:textId="753863B4" w:rsidR="00026E4E" w:rsidRPr="00B275E2" w:rsidRDefault="00026E4E" w:rsidP="006A336A">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18.792</w:t>
            </w:r>
          </w:p>
        </w:tc>
      </w:tr>
      <w:tr w:rsidR="00026E4E" w:rsidRPr="00B275E2" w14:paraId="65092009" w14:textId="77777777" w:rsidTr="00474EDC">
        <w:trPr>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left w:val="single" w:sz="4" w:space="0" w:color="FFFFFF" w:themeColor="background1"/>
            </w:tcBorders>
            <w:hideMark/>
          </w:tcPr>
          <w:p w14:paraId="65092004" w14:textId="77777777" w:rsidR="00026E4E" w:rsidRPr="00B275E2" w:rsidRDefault="00026E4E" w:rsidP="006A336A">
            <w:pPr>
              <w:pStyle w:val="TableText"/>
              <w:spacing w:before="30" w:after="30"/>
              <w:rPr>
                <w:b w:val="0"/>
                <w:szCs w:val="18"/>
              </w:rPr>
            </w:pPr>
          </w:p>
        </w:tc>
        <w:tc>
          <w:tcPr>
            <w:tcW w:w="1689" w:type="dxa"/>
            <w:noWrap/>
            <w:hideMark/>
          </w:tcPr>
          <w:p w14:paraId="65092005" w14:textId="1846C73A" w:rsidR="00026E4E" w:rsidRPr="00B275E2" w:rsidRDefault="00026E4E" w:rsidP="006A336A">
            <w:pPr>
              <w:pStyle w:val="TableText"/>
              <w:spacing w:before="30" w:after="3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1350</w:t>
            </w:r>
            <w:r w:rsidRPr="00B275E2">
              <w:rPr>
                <w:rFonts w:cs="Calibri"/>
                <w:color w:val="000000"/>
                <w:szCs w:val="18"/>
              </w:rPr>
              <w:t xml:space="preserve"> -</w:t>
            </w:r>
            <w:r w:rsidRPr="00B275E2">
              <w:rPr>
                <w:szCs w:val="18"/>
              </w:rPr>
              <w:t xml:space="preserve"> &lt;1600 cc</w:t>
            </w:r>
          </w:p>
        </w:tc>
        <w:tc>
          <w:tcPr>
            <w:tcW w:w="792" w:type="dxa"/>
          </w:tcPr>
          <w:p w14:paraId="0353134E" w14:textId="136E5DB8" w:rsidR="00026E4E" w:rsidRPr="00B275E2" w:rsidRDefault="00026E4E" w:rsidP="006A336A">
            <w:pPr>
              <w:pStyle w:val="TableText"/>
              <w:spacing w:before="30" w:after="3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kWh</w:t>
            </w:r>
          </w:p>
        </w:tc>
        <w:tc>
          <w:tcPr>
            <w:tcW w:w="1262" w:type="dxa"/>
            <w:noWrap/>
          </w:tcPr>
          <w:p w14:paraId="65092006" w14:textId="0F55F3BE" w:rsidR="00026E4E" w:rsidRPr="00B275E2" w:rsidRDefault="00026E4E" w:rsidP="006A336A">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22.069</w:t>
            </w:r>
          </w:p>
        </w:tc>
        <w:tc>
          <w:tcPr>
            <w:tcW w:w="1262" w:type="dxa"/>
            <w:noWrap/>
          </w:tcPr>
          <w:p w14:paraId="65092007" w14:textId="6F748388" w:rsidR="00026E4E" w:rsidRPr="00B275E2" w:rsidRDefault="00026E4E" w:rsidP="006A336A">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20.283</w:t>
            </w:r>
          </w:p>
        </w:tc>
        <w:tc>
          <w:tcPr>
            <w:tcW w:w="1263" w:type="dxa"/>
            <w:tcBorders>
              <w:right w:val="single" w:sz="4" w:space="0" w:color="FFFFFF" w:themeColor="background1"/>
            </w:tcBorders>
            <w:noWrap/>
          </w:tcPr>
          <w:p w14:paraId="65092008" w14:textId="63E6EB7F" w:rsidR="00026E4E" w:rsidRPr="00B275E2" w:rsidRDefault="00026E4E" w:rsidP="006A336A">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19.448</w:t>
            </w:r>
          </w:p>
        </w:tc>
      </w:tr>
      <w:tr w:rsidR="00026E4E" w:rsidRPr="00B275E2" w14:paraId="6509200F" w14:textId="77777777" w:rsidTr="00474E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left w:val="single" w:sz="4" w:space="0" w:color="FFFFFF" w:themeColor="background1"/>
            </w:tcBorders>
            <w:hideMark/>
          </w:tcPr>
          <w:p w14:paraId="6509200A" w14:textId="77777777" w:rsidR="00026E4E" w:rsidRPr="00B275E2" w:rsidRDefault="00026E4E" w:rsidP="006A336A">
            <w:pPr>
              <w:pStyle w:val="TableText"/>
              <w:spacing w:before="30" w:after="30"/>
              <w:rPr>
                <w:b w:val="0"/>
                <w:szCs w:val="18"/>
              </w:rPr>
            </w:pPr>
          </w:p>
        </w:tc>
        <w:tc>
          <w:tcPr>
            <w:tcW w:w="1689" w:type="dxa"/>
            <w:noWrap/>
            <w:hideMark/>
          </w:tcPr>
          <w:p w14:paraId="6509200B" w14:textId="04C43DF3" w:rsidR="00026E4E" w:rsidRPr="00B275E2" w:rsidRDefault="00026E4E" w:rsidP="006A336A">
            <w:pPr>
              <w:pStyle w:val="TableText"/>
              <w:spacing w:before="30" w:after="3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1600</w:t>
            </w:r>
            <w:r w:rsidRPr="00B275E2">
              <w:rPr>
                <w:rFonts w:cs="Calibri"/>
                <w:color w:val="000000"/>
                <w:szCs w:val="18"/>
              </w:rPr>
              <w:t xml:space="preserve"> -</w:t>
            </w:r>
            <w:r w:rsidRPr="00B275E2">
              <w:rPr>
                <w:szCs w:val="18"/>
              </w:rPr>
              <w:t xml:space="preserve"> &lt;2000 cc</w:t>
            </w:r>
          </w:p>
        </w:tc>
        <w:tc>
          <w:tcPr>
            <w:tcW w:w="792" w:type="dxa"/>
          </w:tcPr>
          <w:p w14:paraId="2FDB40A9" w14:textId="1454589C" w:rsidR="00026E4E" w:rsidRPr="00B275E2" w:rsidRDefault="00026E4E" w:rsidP="006A336A">
            <w:pPr>
              <w:pStyle w:val="TableText"/>
              <w:spacing w:before="30" w:after="3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kWh</w:t>
            </w:r>
          </w:p>
        </w:tc>
        <w:tc>
          <w:tcPr>
            <w:tcW w:w="1262" w:type="dxa"/>
            <w:noWrap/>
          </w:tcPr>
          <w:p w14:paraId="6509200C" w14:textId="2CE540FA" w:rsidR="00026E4E" w:rsidRPr="00B275E2" w:rsidRDefault="00026E4E" w:rsidP="006A336A">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24.849</w:t>
            </w:r>
          </w:p>
        </w:tc>
        <w:tc>
          <w:tcPr>
            <w:tcW w:w="1262" w:type="dxa"/>
            <w:noWrap/>
          </w:tcPr>
          <w:p w14:paraId="6509200D" w14:textId="71FA887D" w:rsidR="00026E4E" w:rsidRPr="00B275E2" w:rsidRDefault="00026E4E" w:rsidP="006A336A">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22.838</w:t>
            </w:r>
          </w:p>
        </w:tc>
        <w:tc>
          <w:tcPr>
            <w:tcW w:w="1263" w:type="dxa"/>
            <w:tcBorders>
              <w:right w:val="single" w:sz="4" w:space="0" w:color="FFFFFF" w:themeColor="background1"/>
            </w:tcBorders>
            <w:noWrap/>
          </w:tcPr>
          <w:p w14:paraId="6509200E" w14:textId="3353232A" w:rsidR="00026E4E" w:rsidRPr="00B275E2" w:rsidRDefault="00026E4E" w:rsidP="006A336A">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21.898</w:t>
            </w:r>
          </w:p>
        </w:tc>
      </w:tr>
      <w:tr w:rsidR="00026E4E" w:rsidRPr="00B275E2" w14:paraId="65092015" w14:textId="77777777" w:rsidTr="00474EDC">
        <w:trPr>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left w:val="single" w:sz="4" w:space="0" w:color="FFFFFF" w:themeColor="background1"/>
            </w:tcBorders>
            <w:hideMark/>
          </w:tcPr>
          <w:p w14:paraId="65092010" w14:textId="77777777" w:rsidR="00026E4E" w:rsidRPr="00B275E2" w:rsidRDefault="00026E4E" w:rsidP="006A336A">
            <w:pPr>
              <w:pStyle w:val="TableText"/>
              <w:spacing w:before="30" w:after="30"/>
              <w:rPr>
                <w:b w:val="0"/>
                <w:szCs w:val="18"/>
              </w:rPr>
            </w:pPr>
          </w:p>
        </w:tc>
        <w:tc>
          <w:tcPr>
            <w:tcW w:w="1689" w:type="dxa"/>
            <w:noWrap/>
            <w:hideMark/>
          </w:tcPr>
          <w:p w14:paraId="65092011" w14:textId="7FC60CEE" w:rsidR="00026E4E" w:rsidRPr="00B275E2" w:rsidRDefault="00026E4E" w:rsidP="006A336A">
            <w:pPr>
              <w:pStyle w:val="TableText"/>
              <w:spacing w:before="30" w:after="3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2000</w:t>
            </w:r>
            <w:r w:rsidRPr="00B275E2">
              <w:rPr>
                <w:rFonts w:cs="Calibri"/>
                <w:color w:val="000000"/>
                <w:szCs w:val="18"/>
              </w:rPr>
              <w:t xml:space="preserve"> -</w:t>
            </w:r>
            <w:r w:rsidRPr="00B275E2">
              <w:rPr>
                <w:szCs w:val="18"/>
              </w:rPr>
              <w:t xml:space="preserve"> &lt;3000 cc</w:t>
            </w:r>
          </w:p>
        </w:tc>
        <w:tc>
          <w:tcPr>
            <w:tcW w:w="792" w:type="dxa"/>
          </w:tcPr>
          <w:p w14:paraId="52B437BA" w14:textId="34628A78" w:rsidR="00026E4E" w:rsidRPr="00B275E2" w:rsidRDefault="00026E4E" w:rsidP="006A336A">
            <w:pPr>
              <w:pStyle w:val="TableText"/>
              <w:spacing w:before="30" w:after="3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kWh</w:t>
            </w:r>
          </w:p>
        </w:tc>
        <w:tc>
          <w:tcPr>
            <w:tcW w:w="1262" w:type="dxa"/>
            <w:noWrap/>
          </w:tcPr>
          <w:p w14:paraId="65092012" w14:textId="1778D090" w:rsidR="00026E4E" w:rsidRPr="00B275E2" w:rsidRDefault="00026E4E" w:rsidP="006A336A">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27.601</w:t>
            </w:r>
          </w:p>
        </w:tc>
        <w:tc>
          <w:tcPr>
            <w:tcW w:w="1262" w:type="dxa"/>
            <w:noWrap/>
          </w:tcPr>
          <w:p w14:paraId="65092013" w14:textId="10E5D0AC" w:rsidR="00026E4E" w:rsidRPr="00B275E2" w:rsidRDefault="00026E4E" w:rsidP="006A336A">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25.367</w:t>
            </w:r>
          </w:p>
        </w:tc>
        <w:tc>
          <w:tcPr>
            <w:tcW w:w="1263" w:type="dxa"/>
            <w:tcBorders>
              <w:right w:val="single" w:sz="4" w:space="0" w:color="FFFFFF" w:themeColor="background1"/>
            </w:tcBorders>
            <w:noWrap/>
          </w:tcPr>
          <w:p w14:paraId="65092014" w14:textId="5B831E57" w:rsidR="00026E4E" w:rsidRPr="00B275E2" w:rsidRDefault="00026E4E" w:rsidP="006A336A">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24.323</w:t>
            </w:r>
          </w:p>
        </w:tc>
      </w:tr>
      <w:tr w:rsidR="00026E4E" w:rsidRPr="00B275E2" w14:paraId="6509201B" w14:textId="77777777" w:rsidTr="00474E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left w:val="single" w:sz="4" w:space="0" w:color="FFFFFF" w:themeColor="background1"/>
            </w:tcBorders>
            <w:hideMark/>
          </w:tcPr>
          <w:p w14:paraId="65092016" w14:textId="77777777" w:rsidR="00026E4E" w:rsidRPr="00B275E2" w:rsidRDefault="00026E4E" w:rsidP="006A336A">
            <w:pPr>
              <w:pStyle w:val="TableText"/>
              <w:spacing w:before="30" w:after="30"/>
              <w:rPr>
                <w:b w:val="0"/>
                <w:szCs w:val="18"/>
              </w:rPr>
            </w:pPr>
          </w:p>
        </w:tc>
        <w:tc>
          <w:tcPr>
            <w:tcW w:w="1689" w:type="dxa"/>
            <w:noWrap/>
            <w:hideMark/>
          </w:tcPr>
          <w:p w14:paraId="65092017" w14:textId="41CCF42E" w:rsidR="00026E4E" w:rsidRPr="00B275E2" w:rsidRDefault="00026E4E" w:rsidP="006A336A">
            <w:pPr>
              <w:pStyle w:val="TableText"/>
              <w:spacing w:before="30" w:after="3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≥3000 cc</w:t>
            </w:r>
          </w:p>
        </w:tc>
        <w:tc>
          <w:tcPr>
            <w:tcW w:w="792" w:type="dxa"/>
          </w:tcPr>
          <w:p w14:paraId="0D4945D9" w14:textId="60DE9E1C" w:rsidR="00026E4E" w:rsidRPr="00B275E2" w:rsidRDefault="00026E4E" w:rsidP="006A336A">
            <w:pPr>
              <w:pStyle w:val="TableText"/>
              <w:spacing w:before="30" w:after="3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kWh</w:t>
            </w:r>
          </w:p>
        </w:tc>
        <w:tc>
          <w:tcPr>
            <w:tcW w:w="1262" w:type="dxa"/>
            <w:noWrap/>
          </w:tcPr>
          <w:p w14:paraId="65092018" w14:textId="502FD0DD" w:rsidR="00026E4E" w:rsidRPr="00B275E2" w:rsidRDefault="00026E4E" w:rsidP="006A336A">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33.017</w:t>
            </w:r>
          </w:p>
        </w:tc>
        <w:tc>
          <w:tcPr>
            <w:tcW w:w="1262" w:type="dxa"/>
            <w:noWrap/>
          </w:tcPr>
          <w:p w14:paraId="65092019" w14:textId="556C7F48" w:rsidR="00026E4E" w:rsidRPr="00B275E2" w:rsidRDefault="00026E4E" w:rsidP="006A336A">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30.346</w:t>
            </w:r>
          </w:p>
        </w:tc>
        <w:tc>
          <w:tcPr>
            <w:tcW w:w="1263" w:type="dxa"/>
            <w:tcBorders>
              <w:right w:val="single" w:sz="4" w:space="0" w:color="FFFFFF" w:themeColor="background1"/>
            </w:tcBorders>
            <w:noWrap/>
          </w:tcPr>
          <w:p w14:paraId="6509201A" w14:textId="3E5BD48F" w:rsidR="00026E4E" w:rsidRPr="00B275E2" w:rsidRDefault="00026E4E" w:rsidP="006A336A">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29.097</w:t>
            </w:r>
          </w:p>
        </w:tc>
      </w:tr>
      <w:tr w:rsidR="00026E4E" w:rsidRPr="00B275E2" w14:paraId="65092021" w14:textId="77777777" w:rsidTr="00474EDC">
        <w:trPr>
          <w:trHeight w:val="300"/>
        </w:trPr>
        <w:tc>
          <w:tcPr>
            <w:cnfStyle w:val="001000000000" w:firstRow="0" w:lastRow="0" w:firstColumn="1" w:lastColumn="0" w:oddVBand="0" w:evenVBand="0" w:oddHBand="0" w:evenHBand="0" w:firstRowFirstColumn="0" w:firstRowLastColumn="0" w:lastRowFirstColumn="0" w:lastRowLastColumn="0"/>
            <w:tcW w:w="2237" w:type="dxa"/>
            <w:vMerge w:val="restart"/>
            <w:tcBorders>
              <w:left w:val="single" w:sz="4" w:space="0" w:color="FFFFFF" w:themeColor="background1"/>
            </w:tcBorders>
            <w:hideMark/>
          </w:tcPr>
          <w:p w14:paraId="6509201C" w14:textId="77777777" w:rsidR="00026E4E" w:rsidRPr="00B275E2" w:rsidRDefault="00026E4E" w:rsidP="006A336A">
            <w:pPr>
              <w:pStyle w:val="TableText"/>
              <w:spacing w:before="30" w:after="30"/>
              <w:rPr>
                <w:b w:val="0"/>
                <w:szCs w:val="18"/>
              </w:rPr>
            </w:pPr>
            <w:r w:rsidRPr="00B275E2">
              <w:rPr>
                <w:b w:val="0"/>
                <w:szCs w:val="18"/>
              </w:rPr>
              <w:t>Motorcycle</w:t>
            </w:r>
          </w:p>
        </w:tc>
        <w:tc>
          <w:tcPr>
            <w:tcW w:w="1689" w:type="dxa"/>
            <w:noWrap/>
            <w:hideMark/>
          </w:tcPr>
          <w:p w14:paraId="6509201D" w14:textId="77777777" w:rsidR="00026E4E" w:rsidRPr="00B275E2" w:rsidRDefault="00026E4E" w:rsidP="006A336A">
            <w:pPr>
              <w:pStyle w:val="TableText"/>
              <w:spacing w:before="30" w:after="3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&lt;60 cc, petrol</w:t>
            </w:r>
          </w:p>
        </w:tc>
        <w:tc>
          <w:tcPr>
            <w:tcW w:w="792" w:type="dxa"/>
          </w:tcPr>
          <w:p w14:paraId="34FA4E98" w14:textId="1B34FC18" w:rsidR="00026E4E" w:rsidRPr="00B275E2" w:rsidRDefault="00026E4E" w:rsidP="006A336A">
            <w:pPr>
              <w:pStyle w:val="TableText"/>
              <w:spacing w:before="30" w:after="3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litres</w:t>
            </w:r>
          </w:p>
        </w:tc>
        <w:tc>
          <w:tcPr>
            <w:tcW w:w="1262" w:type="dxa"/>
            <w:noWrap/>
          </w:tcPr>
          <w:p w14:paraId="6509201E" w14:textId="63F63EE6" w:rsidR="00026E4E" w:rsidRPr="00B275E2" w:rsidRDefault="00026E4E" w:rsidP="006A336A">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2.680</w:t>
            </w:r>
          </w:p>
        </w:tc>
        <w:tc>
          <w:tcPr>
            <w:tcW w:w="1262" w:type="dxa"/>
            <w:noWrap/>
          </w:tcPr>
          <w:p w14:paraId="6509201F" w14:textId="78D7EC4C" w:rsidR="00026E4E" w:rsidRPr="00B275E2" w:rsidRDefault="00026E4E" w:rsidP="006A336A">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2.459</w:t>
            </w:r>
          </w:p>
        </w:tc>
        <w:tc>
          <w:tcPr>
            <w:tcW w:w="1263" w:type="dxa"/>
            <w:tcBorders>
              <w:right w:val="single" w:sz="4" w:space="0" w:color="FFFFFF" w:themeColor="background1"/>
            </w:tcBorders>
            <w:noWrap/>
          </w:tcPr>
          <w:p w14:paraId="65092020" w14:textId="0E910B49" w:rsidR="00026E4E" w:rsidRPr="00B275E2" w:rsidRDefault="00026E4E" w:rsidP="006A336A">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2.340</w:t>
            </w:r>
          </w:p>
        </w:tc>
      </w:tr>
      <w:tr w:rsidR="00026E4E" w:rsidRPr="00B275E2" w14:paraId="65092027" w14:textId="77777777" w:rsidTr="00474E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left w:val="single" w:sz="4" w:space="0" w:color="FFFFFF" w:themeColor="background1"/>
            </w:tcBorders>
            <w:hideMark/>
          </w:tcPr>
          <w:p w14:paraId="65092022" w14:textId="77777777" w:rsidR="00026E4E" w:rsidRPr="00B275E2" w:rsidRDefault="00026E4E" w:rsidP="006A336A">
            <w:pPr>
              <w:pStyle w:val="TableText"/>
              <w:spacing w:before="30" w:after="30"/>
              <w:rPr>
                <w:szCs w:val="18"/>
              </w:rPr>
            </w:pPr>
          </w:p>
        </w:tc>
        <w:tc>
          <w:tcPr>
            <w:tcW w:w="1689" w:type="dxa"/>
            <w:noWrap/>
            <w:hideMark/>
          </w:tcPr>
          <w:p w14:paraId="65092023" w14:textId="77777777" w:rsidR="00026E4E" w:rsidRPr="00B275E2" w:rsidRDefault="00026E4E" w:rsidP="006A336A">
            <w:pPr>
              <w:pStyle w:val="TableText"/>
              <w:spacing w:before="30" w:after="3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≥60 cc, petrol</w:t>
            </w:r>
          </w:p>
        </w:tc>
        <w:tc>
          <w:tcPr>
            <w:tcW w:w="792" w:type="dxa"/>
          </w:tcPr>
          <w:p w14:paraId="53B0F267" w14:textId="5AB7E8D4" w:rsidR="00026E4E" w:rsidRPr="00B275E2" w:rsidRDefault="00026E4E" w:rsidP="006A336A">
            <w:pPr>
              <w:pStyle w:val="TableText"/>
              <w:spacing w:before="30" w:after="3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litres</w:t>
            </w:r>
          </w:p>
        </w:tc>
        <w:tc>
          <w:tcPr>
            <w:tcW w:w="1262" w:type="dxa"/>
            <w:noWrap/>
          </w:tcPr>
          <w:p w14:paraId="65092024" w14:textId="6D6AA3BE" w:rsidR="00026E4E" w:rsidRPr="00B275E2" w:rsidRDefault="00026E4E" w:rsidP="006A336A">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4.952</w:t>
            </w:r>
          </w:p>
        </w:tc>
        <w:tc>
          <w:tcPr>
            <w:tcW w:w="1262" w:type="dxa"/>
            <w:noWrap/>
          </w:tcPr>
          <w:p w14:paraId="65092025" w14:textId="2F18A104" w:rsidR="00026E4E" w:rsidRPr="00B275E2" w:rsidRDefault="00026E4E" w:rsidP="006A336A">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4.591</w:t>
            </w:r>
          </w:p>
        </w:tc>
        <w:tc>
          <w:tcPr>
            <w:tcW w:w="1263" w:type="dxa"/>
            <w:tcBorders>
              <w:right w:val="single" w:sz="4" w:space="0" w:color="FFFFFF" w:themeColor="background1"/>
            </w:tcBorders>
            <w:noWrap/>
          </w:tcPr>
          <w:p w14:paraId="65092026" w14:textId="5EE5ECFE" w:rsidR="00026E4E" w:rsidRPr="00B275E2" w:rsidRDefault="00026E4E" w:rsidP="006A336A">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4.582</w:t>
            </w:r>
          </w:p>
        </w:tc>
      </w:tr>
      <w:tr w:rsidR="00026E4E" w:rsidRPr="00B275E2" w14:paraId="6509202D" w14:textId="77777777" w:rsidTr="00474EDC">
        <w:trPr>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left w:val="single" w:sz="4" w:space="0" w:color="FFFFFF" w:themeColor="background1"/>
            </w:tcBorders>
            <w:hideMark/>
          </w:tcPr>
          <w:p w14:paraId="65092028" w14:textId="77777777" w:rsidR="00026E4E" w:rsidRPr="00B275E2" w:rsidRDefault="00026E4E" w:rsidP="006A336A">
            <w:pPr>
              <w:pStyle w:val="TableText"/>
              <w:spacing w:before="30" w:after="30"/>
              <w:rPr>
                <w:szCs w:val="18"/>
              </w:rPr>
            </w:pPr>
          </w:p>
        </w:tc>
        <w:tc>
          <w:tcPr>
            <w:tcW w:w="1689" w:type="dxa"/>
            <w:noWrap/>
            <w:hideMark/>
          </w:tcPr>
          <w:p w14:paraId="65092029" w14:textId="77777777" w:rsidR="00026E4E" w:rsidRPr="00B275E2" w:rsidRDefault="00026E4E" w:rsidP="006A336A">
            <w:pPr>
              <w:pStyle w:val="TableText"/>
              <w:spacing w:before="30" w:after="3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&lt;60 cc, electricity</w:t>
            </w:r>
          </w:p>
        </w:tc>
        <w:tc>
          <w:tcPr>
            <w:tcW w:w="792" w:type="dxa"/>
          </w:tcPr>
          <w:p w14:paraId="0C8F1657" w14:textId="335207B1" w:rsidR="00026E4E" w:rsidRPr="00B275E2" w:rsidRDefault="00026E4E" w:rsidP="006A336A">
            <w:pPr>
              <w:pStyle w:val="TableText"/>
              <w:spacing w:before="30" w:after="3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kWh</w:t>
            </w:r>
          </w:p>
        </w:tc>
        <w:tc>
          <w:tcPr>
            <w:tcW w:w="1262" w:type="dxa"/>
            <w:noWrap/>
          </w:tcPr>
          <w:p w14:paraId="6509202A" w14:textId="35C1C49C" w:rsidR="00026E4E" w:rsidRPr="00B275E2" w:rsidRDefault="00026E4E" w:rsidP="006A336A">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5.360</w:t>
            </w:r>
          </w:p>
        </w:tc>
        <w:tc>
          <w:tcPr>
            <w:tcW w:w="1262" w:type="dxa"/>
            <w:noWrap/>
          </w:tcPr>
          <w:p w14:paraId="6509202B" w14:textId="65A06392" w:rsidR="00026E4E" w:rsidRPr="00B275E2" w:rsidRDefault="00026E4E" w:rsidP="006A336A">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4.918</w:t>
            </w:r>
          </w:p>
        </w:tc>
        <w:tc>
          <w:tcPr>
            <w:tcW w:w="1263" w:type="dxa"/>
            <w:tcBorders>
              <w:right w:val="single" w:sz="4" w:space="0" w:color="FFFFFF" w:themeColor="background1"/>
            </w:tcBorders>
            <w:noWrap/>
          </w:tcPr>
          <w:p w14:paraId="6509202C" w14:textId="5518BC24" w:rsidR="00026E4E" w:rsidRPr="00B275E2" w:rsidRDefault="00026E4E" w:rsidP="006A336A">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4.679</w:t>
            </w:r>
          </w:p>
        </w:tc>
      </w:tr>
      <w:tr w:rsidR="00026E4E" w:rsidRPr="00B275E2" w14:paraId="65092033" w14:textId="77777777" w:rsidTr="00474E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left w:val="single" w:sz="4" w:space="0" w:color="FFFFFF" w:themeColor="background1"/>
            </w:tcBorders>
            <w:hideMark/>
          </w:tcPr>
          <w:p w14:paraId="6509202E" w14:textId="77777777" w:rsidR="00026E4E" w:rsidRPr="00B275E2" w:rsidRDefault="00026E4E" w:rsidP="006A336A">
            <w:pPr>
              <w:pStyle w:val="TableText"/>
              <w:spacing w:before="30" w:after="30"/>
              <w:rPr>
                <w:szCs w:val="18"/>
              </w:rPr>
            </w:pPr>
          </w:p>
        </w:tc>
        <w:tc>
          <w:tcPr>
            <w:tcW w:w="1689" w:type="dxa"/>
            <w:noWrap/>
            <w:hideMark/>
          </w:tcPr>
          <w:p w14:paraId="6509202F" w14:textId="77777777" w:rsidR="00026E4E" w:rsidRPr="00B275E2" w:rsidRDefault="00026E4E" w:rsidP="006A336A">
            <w:pPr>
              <w:pStyle w:val="TableText"/>
              <w:spacing w:before="30" w:after="3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≥60 cc, electricity</w:t>
            </w:r>
          </w:p>
        </w:tc>
        <w:tc>
          <w:tcPr>
            <w:tcW w:w="792" w:type="dxa"/>
          </w:tcPr>
          <w:p w14:paraId="327A9EDC" w14:textId="6CFDD7E1" w:rsidR="00026E4E" w:rsidRPr="00B275E2" w:rsidRDefault="00026E4E" w:rsidP="006A336A">
            <w:pPr>
              <w:pStyle w:val="TableText"/>
              <w:spacing w:before="30" w:after="3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kWh</w:t>
            </w:r>
          </w:p>
        </w:tc>
        <w:tc>
          <w:tcPr>
            <w:tcW w:w="1262" w:type="dxa"/>
            <w:noWrap/>
          </w:tcPr>
          <w:p w14:paraId="65092030" w14:textId="30F6A4B2" w:rsidR="00026E4E" w:rsidRPr="00B275E2" w:rsidRDefault="00026E4E" w:rsidP="006A336A">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9.903</w:t>
            </w:r>
          </w:p>
        </w:tc>
        <w:tc>
          <w:tcPr>
            <w:tcW w:w="1262" w:type="dxa"/>
            <w:noWrap/>
          </w:tcPr>
          <w:p w14:paraId="65092031" w14:textId="0118FE8F" w:rsidR="00026E4E" w:rsidRPr="00B275E2" w:rsidRDefault="00026E4E" w:rsidP="006A336A">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9.183</w:t>
            </w:r>
          </w:p>
        </w:tc>
        <w:tc>
          <w:tcPr>
            <w:tcW w:w="1263" w:type="dxa"/>
            <w:tcBorders>
              <w:right w:val="single" w:sz="4" w:space="0" w:color="FFFFFF" w:themeColor="background1"/>
            </w:tcBorders>
            <w:noWrap/>
          </w:tcPr>
          <w:p w14:paraId="65092032" w14:textId="36EA68C6" w:rsidR="00026E4E" w:rsidRPr="00B275E2" w:rsidRDefault="00026E4E" w:rsidP="006A336A">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9.164</w:t>
            </w:r>
          </w:p>
        </w:tc>
      </w:tr>
    </w:tbl>
    <w:p w14:paraId="5E8D0BC2" w14:textId="71F0B90F" w:rsidR="00047BDB" w:rsidRPr="00B275E2" w:rsidRDefault="00047BDB" w:rsidP="007F0B1E">
      <w:pPr>
        <w:pStyle w:val="Note"/>
      </w:pPr>
      <w:r w:rsidRPr="00B275E2">
        <w:t xml:space="preserve">Source: </w:t>
      </w:r>
      <w:r w:rsidRPr="00B275E2">
        <w:tab/>
        <w:t>The Emission Impossible report and supporting data</w:t>
      </w:r>
    </w:p>
    <w:p w14:paraId="65092034" w14:textId="5B215519" w:rsidR="00BE16C6" w:rsidRPr="00B275E2" w:rsidRDefault="00047BDB" w:rsidP="006A336A">
      <w:pPr>
        <w:pStyle w:val="BodyText"/>
        <w:spacing w:before="100" w:after="100"/>
      </w:pPr>
      <w:r w:rsidRPr="00B275E2">
        <w:t xml:space="preserve">The </w:t>
      </w:r>
      <w:hyperlink r:id="rId78" w:history="1">
        <w:r w:rsidR="00C12669">
          <w:rPr>
            <w:rStyle w:val="Hyperlink"/>
            <w:i/>
            <w:iCs/>
          </w:rPr>
          <w:t>EI</w:t>
        </w:r>
        <w:r w:rsidR="00C12669" w:rsidRPr="00CA7C59">
          <w:rPr>
            <w:rStyle w:val="Hyperlink"/>
            <w:i/>
            <w:iCs/>
          </w:rPr>
          <w:t xml:space="preserve"> report</w:t>
        </w:r>
      </w:hyperlink>
      <w:r w:rsidR="00887C78" w:rsidRPr="00B275E2">
        <w:t xml:space="preserve"> </w:t>
      </w:r>
      <w:r w:rsidRPr="00B275E2">
        <w:t>categorises t</w:t>
      </w:r>
      <w:r w:rsidR="00BE16C6" w:rsidRPr="00B275E2">
        <w:t>he vehicles included</w:t>
      </w:r>
      <w:r w:rsidR="00D62905" w:rsidRPr="00B275E2">
        <w:t xml:space="preserve"> for private, rental and taxi vehicles as light passenger vehicles.</w:t>
      </w:r>
    </w:p>
    <w:p w14:paraId="65092035" w14:textId="50377FB7" w:rsidR="00753056" w:rsidRPr="00B275E2" w:rsidRDefault="00753056" w:rsidP="006A336A">
      <w:pPr>
        <w:pStyle w:val="BodyText"/>
        <w:spacing w:before="100" w:after="240"/>
      </w:pPr>
      <w:r w:rsidRPr="00B275E2">
        <w:t>The equation used to calculate the emission factor for each</w:t>
      </w:r>
      <w:r w:rsidR="008B2AF1" w:rsidRPr="00B275E2">
        <w:t xml:space="preserve"> </w:t>
      </w:r>
      <w:r w:rsidR="00831325" w:rsidRPr="00B275E2">
        <w:t>GHG</w:t>
      </w:r>
      <w:r w:rsidRPr="00B275E2">
        <w:t xml:space="preserve"> is:</w:t>
      </w:r>
    </w:p>
    <w:tbl>
      <w:tblPr>
        <w:tblStyle w:val="mfebox"/>
        <w:tblW w:w="0" w:type="auto"/>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495"/>
      </w:tblGrid>
      <w:tr w:rsidR="008123E0" w:rsidRPr="00B275E2" w14:paraId="65092037" w14:textId="77777777" w:rsidTr="00AE5398">
        <w:tc>
          <w:tcPr>
            <w:tcW w:w="8720" w:type="dxa"/>
            <w:shd w:val="clear" w:color="auto" w:fill="D2DDE1" w:themeFill="background2"/>
            <w:vAlign w:val="center"/>
          </w:tcPr>
          <w:p w14:paraId="65092036" w14:textId="5B099C21" w:rsidR="008123E0" w:rsidRPr="00B275E2" w:rsidRDefault="00954B9C" w:rsidP="008C278C">
            <w:pPr>
              <w:pStyle w:val="Box"/>
              <w:spacing w:before="0" w:after="0" w:line="240" w:lineRule="auto"/>
              <w:ind w:left="0"/>
              <w:jc w:val="center"/>
            </w:pPr>
            <m:oMathPara>
              <m:oMathParaPr>
                <m:jc m:val="center"/>
              </m:oMathParaPr>
              <m:oMath>
                <m:f>
                  <m:fPr>
                    <m:ctrlPr>
                      <w:rPr>
                        <w:rFonts w:ascii="Cambria Math" w:hAnsi="Cambria Math"/>
                      </w:rPr>
                    </m:ctrlPr>
                  </m:fPr>
                  <m:num>
                    <m:r>
                      <w:rPr>
                        <w:rFonts w:ascii="Cambria Math" w:hAnsi="Cambria Math"/>
                      </w:rPr>
                      <m:t>real</m:t>
                    </m:r>
                    <m:r>
                      <m:rPr>
                        <m:sty m:val="p"/>
                      </m:rPr>
                      <w:rPr>
                        <w:rFonts w:ascii="Cambria Math" w:hAnsi="Cambria Math"/>
                      </w:rPr>
                      <m:t xml:space="preserve"> </m:t>
                    </m:r>
                    <m:r>
                      <w:rPr>
                        <w:rFonts w:ascii="Cambria Math" w:hAnsi="Cambria Math"/>
                      </w:rPr>
                      <m:t>world</m:t>
                    </m:r>
                    <m:r>
                      <m:rPr>
                        <m:sty m:val="p"/>
                      </m:rPr>
                      <w:rPr>
                        <w:rFonts w:ascii="Cambria Math" w:hAnsi="Cambria Math"/>
                      </w:rPr>
                      <m:t xml:space="preserve"> </m:t>
                    </m:r>
                    <m:r>
                      <w:rPr>
                        <w:rFonts w:ascii="Cambria Math" w:hAnsi="Cambria Math"/>
                      </w:rPr>
                      <m:t>fuel</m:t>
                    </m:r>
                    <m:r>
                      <m:rPr>
                        <m:sty m:val="p"/>
                      </m:rPr>
                      <w:rPr>
                        <w:rFonts w:ascii="Cambria Math" w:hAnsi="Cambria Math"/>
                      </w:rPr>
                      <m:t xml:space="preserve"> </m:t>
                    </m:r>
                    <m:r>
                      <w:rPr>
                        <w:rFonts w:ascii="Cambria Math" w:hAnsi="Cambria Math"/>
                      </w:rPr>
                      <m:t>consumption (litres)</m:t>
                    </m:r>
                    <m:r>
                      <m:rPr>
                        <m:sty m:val="p"/>
                      </m:rPr>
                      <w:rPr>
                        <w:rFonts w:ascii="Cambria Math" w:hAnsi="Cambria Math"/>
                      </w:rPr>
                      <m:t>×</m:t>
                    </m:r>
                    <m:r>
                      <w:rPr>
                        <w:rFonts w:ascii="Cambria Math" w:hAnsi="Cambria Math"/>
                      </w:rPr>
                      <m:t>emission</m:t>
                    </m:r>
                    <m:r>
                      <m:rPr>
                        <m:sty m:val="p"/>
                      </m:rPr>
                      <w:rPr>
                        <w:rFonts w:ascii="Cambria Math" w:hAnsi="Cambria Math"/>
                      </w:rPr>
                      <m:t xml:space="preserve"> </m:t>
                    </m:r>
                    <m:r>
                      <w:rPr>
                        <w:rFonts w:ascii="Cambria Math" w:hAnsi="Cambria Math"/>
                      </w:rPr>
                      <m:t>conversion</m:t>
                    </m:r>
                    <m:r>
                      <m:rPr>
                        <m:sty m:val="p"/>
                      </m:rPr>
                      <w:rPr>
                        <w:rFonts w:ascii="Cambria Math" w:hAnsi="Cambria Math"/>
                      </w:rPr>
                      <m:t xml:space="preserve"> </m:t>
                    </m:r>
                    <m:r>
                      <w:rPr>
                        <w:rFonts w:ascii="Cambria Math" w:hAnsi="Cambria Math"/>
                      </w:rPr>
                      <m:t>factor</m:t>
                    </m:r>
                  </m:num>
                  <m:den>
                    <m:r>
                      <w:rPr>
                        <w:rFonts w:ascii="Cambria Math" w:hAnsi="Cambria Math"/>
                      </w:rPr>
                      <m:t>100 (km)</m:t>
                    </m:r>
                  </m:den>
                </m:f>
              </m:oMath>
            </m:oMathPara>
          </w:p>
        </w:tc>
      </w:tr>
    </w:tbl>
    <w:p w14:paraId="65092038" w14:textId="3D74D507" w:rsidR="00753056" w:rsidRPr="00B275E2" w:rsidRDefault="00753056" w:rsidP="008C278C">
      <w:pPr>
        <w:pStyle w:val="BodyText"/>
        <w:spacing w:before="240" w:after="100"/>
      </w:pPr>
      <w:r w:rsidRPr="00B275E2">
        <w:t xml:space="preserve">Dividing by 100 gives a factor for litres (or </w:t>
      </w:r>
      <w:r w:rsidR="00F86D20" w:rsidRPr="00B275E2">
        <w:t>kWh</w:t>
      </w:r>
      <w:r w:rsidRPr="00B275E2">
        <w:t>) per fuel per km</w:t>
      </w:r>
      <w:r w:rsidR="00047BDB" w:rsidRPr="00B275E2">
        <w:t>.</w:t>
      </w:r>
      <w:r w:rsidRPr="00B275E2">
        <w:t xml:space="preserve"> </w:t>
      </w:r>
      <w:r w:rsidR="00047BDB" w:rsidRPr="00B275E2">
        <w:t>Use this</w:t>
      </w:r>
      <w:r w:rsidRPr="00B275E2">
        <w:t xml:space="preserve"> with the fuel emission factors to calculate emission</w:t>
      </w:r>
      <w:r w:rsidR="00375CE1" w:rsidRPr="00B275E2">
        <w:t>s</w:t>
      </w:r>
      <w:r w:rsidRPr="00B275E2">
        <w:t xml:space="preserve"> per km.</w:t>
      </w:r>
    </w:p>
    <w:p w14:paraId="65092039" w14:textId="0676BD3A" w:rsidR="00C11590" w:rsidRPr="00B275E2" w:rsidRDefault="00047BDB" w:rsidP="008C278C">
      <w:pPr>
        <w:pStyle w:val="BodyText"/>
        <w:spacing w:after="100"/>
      </w:pPr>
      <w:r w:rsidRPr="00B275E2">
        <w:t>Multiply t</w:t>
      </w:r>
      <w:r w:rsidR="002A6897" w:rsidRPr="00B275E2">
        <w:t xml:space="preserve">he values for fuel consumption </w:t>
      </w:r>
      <w:r w:rsidR="00C11590" w:rsidRPr="00B275E2">
        <w:t xml:space="preserve">by the emission conversion factors in </w:t>
      </w:r>
      <w:hyperlink w:anchor="table4" w:history="1">
        <w:r w:rsidR="00A734B3" w:rsidRPr="00B275E2">
          <w:rPr>
            <w:rStyle w:val="Hyperlink"/>
          </w:rPr>
          <w:t>table 4</w:t>
        </w:r>
      </w:hyperlink>
      <w:r w:rsidR="002F25F0" w:rsidRPr="00B275E2">
        <w:t>.</w:t>
      </w:r>
    </w:p>
    <w:p w14:paraId="6509203A" w14:textId="31C1FA50" w:rsidR="00CC3C6D" w:rsidRPr="00B275E2" w:rsidRDefault="00970648" w:rsidP="008C278C">
      <w:pPr>
        <w:pStyle w:val="BodyText"/>
        <w:spacing w:after="100"/>
      </w:pPr>
      <w:r w:rsidRPr="00B275E2">
        <w:t>According to the Motor Industry Association</w:t>
      </w:r>
      <w:r w:rsidR="00B56B95" w:rsidRPr="00B275E2">
        <w:t>,</w:t>
      </w:r>
      <w:r w:rsidRPr="00B275E2">
        <w:t xml:space="preserve"> the most common taxi vehicle </w:t>
      </w:r>
      <w:r w:rsidR="008123E0" w:rsidRPr="00B275E2">
        <w:t>uses</w:t>
      </w:r>
      <w:r w:rsidRPr="00B275E2">
        <w:t xml:space="preserve"> </w:t>
      </w:r>
      <w:r w:rsidR="008123E0" w:rsidRPr="00B275E2">
        <w:t>d</w:t>
      </w:r>
      <w:r w:rsidRPr="00B275E2">
        <w:t xml:space="preserve">iesel </w:t>
      </w:r>
      <w:r w:rsidR="008123E0" w:rsidRPr="00B275E2">
        <w:t>(</w:t>
      </w:r>
      <w:r w:rsidRPr="00B275E2">
        <w:t>see</w:t>
      </w:r>
      <w:r w:rsidR="00CA09CD" w:rsidRPr="00B275E2">
        <w:t> </w:t>
      </w:r>
      <w:hyperlink w:anchor="table24" w:history="1">
        <w:r w:rsidR="00C616AB" w:rsidRPr="00B275E2">
          <w:rPr>
            <w:rStyle w:val="Hyperlink"/>
          </w:rPr>
          <w:t>table 24</w:t>
        </w:r>
      </w:hyperlink>
      <w:r w:rsidR="00C616AB" w:rsidRPr="00B275E2">
        <w:t>)</w:t>
      </w:r>
      <w:r w:rsidR="00374204" w:rsidRPr="00B275E2">
        <w:t>.</w:t>
      </w:r>
      <w:r w:rsidRPr="00B275E2">
        <w:t xml:space="preserve"> </w:t>
      </w:r>
      <w:r w:rsidR="00047BDB" w:rsidRPr="00B275E2">
        <w:t>We based t</w:t>
      </w:r>
      <w:r w:rsidR="004C2C17" w:rsidRPr="00B275E2">
        <w:t>he default factor for taxis on the average of &lt;2000</w:t>
      </w:r>
      <w:r w:rsidRPr="00B275E2">
        <w:t xml:space="preserve"> cc and &lt;3000</w:t>
      </w:r>
      <w:r w:rsidR="001B68AF" w:rsidRPr="00B275E2">
        <w:t xml:space="preserve"> </w:t>
      </w:r>
      <w:r w:rsidRPr="00B275E2">
        <w:t xml:space="preserve">cc </w:t>
      </w:r>
      <w:r w:rsidR="00DA13B2" w:rsidRPr="00B275E2">
        <w:t>diesel</w:t>
      </w:r>
      <w:r w:rsidR="00C616AB" w:rsidRPr="00B275E2">
        <w:t> </w:t>
      </w:r>
      <w:r w:rsidR="00DA13B2" w:rsidRPr="00B275E2">
        <w:t xml:space="preserve">vehicles </w:t>
      </w:r>
      <w:r w:rsidRPr="00B275E2">
        <w:t>from</w:t>
      </w:r>
      <w:r w:rsidR="00264EE0" w:rsidRPr="00B275E2">
        <w:t xml:space="preserve"> </w:t>
      </w:r>
      <w:hyperlink w:anchor="table17" w:history="1">
        <w:r w:rsidR="00A734B3" w:rsidRPr="00B275E2">
          <w:rPr>
            <w:rStyle w:val="Hyperlink"/>
          </w:rPr>
          <w:t>table 17</w:t>
        </w:r>
      </w:hyperlink>
      <w:r w:rsidR="006965C2" w:rsidRPr="00B275E2">
        <w:t>)</w:t>
      </w:r>
      <w:r w:rsidR="00374204" w:rsidRPr="00B275E2">
        <w:t>.</w:t>
      </w:r>
      <w:r w:rsidRPr="00B275E2">
        <w:t xml:space="preserve"> </w:t>
      </w:r>
      <w:r w:rsidR="004C2C17" w:rsidRPr="00B275E2">
        <w:t xml:space="preserve">Data from </w:t>
      </w:r>
      <w:r w:rsidR="000759F3" w:rsidRPr="00B275E2">
        <w:t xml:space="preserve">the </w:t>
      </w:r>
      <w:r w:rsidR="002E2FF9" w:rsidRPr="00B275E2">
        <w:t xml:space="preserve">NZTA </w:t>
      </w:r>
      <w:r w:rsidR="000759F3" w:rsidRPr="00B275E2">
        <w:t xml:space="preserve">new registration </w:t>
      </w:r>
      <w:r w:rsidR="004C2C17" w:rsidRPr="00B275E2">
        <w:t>database show</w:t>
      </w:r>
      <w:r w:rsidR="00EC5384" w:rsidRPr="00B275E2">
        <w:t xml:space="preserve">s </w:t>
      </w:r>
      <w:r w:rsidR="004C2C17" w:rsidRPr="00B275E2">
        <w:t>that for the</w:t>
      </w:r>
      <w:r w:rsidR="00A734B3" w:rsidRPr="00B275E2">
        <w:t> </w:t>
      </w:r>
      <w:r w:rsidR="00C450B5" w:rsidRPr="00B275E2">
        <w:t>calendar-year</w:t>
      </w:r>
      <w:r w:rsidR="004C2C17" w:rsidRPr="00B275E2">
        <w:t xml:space="preserve"> period 201</w:t>
      </w:r>
      <w:r w:rsidR="002B49AB" w:rsidRPr="00B275E2">
        <w:t>8</w:t>
      </w:r>
      <w:r w:rsidR="004C2C17" w:rsidRPr="00B275E2">
        <w:t xml:space="preserve"> </w:t>
      </w:r>
      <w:r w:rsidR="002A1B51" w:rsidRPr="00B275E2">
        <w:t>the majority</w:t>
      </w:r>
      <w:r w:rsidR="004C2C17" w:rsidRPr="00B275E2">
        <w:t xml:space="preserve"> of taxis purchased were in this class</w:t>
      </w:r>
      <w:r w:rsidR="00F400C9" w:rsidRPr="00B275E2">
        <w:t>.</w:t>
      </w:r>
      <w:r w:rsidR="00CC3C6D" w:rsidRPr="00B275E2">
        <w:t xml:space="preserve"> </w:t>
      </w:r>
      <w:r w:rsidR="00E15AB4" w:rsidRPr="00B275E2">
        <w:t xml:space="preserve">NZTA vehicle registration data also shows </w:t>
      </w:r>
      <w:r w:rsidR="00BB2C27" w:rsidRPr="00B275E2">
        <w:t xml:space="preserve">the average </w:t>
      </w:r>
      <w:r w:rsidR="00947D9F" w:rsidRPr="00B275E2">
        <w:t>year of manufacture for</w:t>
      </w:r>
      <w:r w:rsidR="00BB2C27" w:rsidRPr="00B275E2">
        <w:t xml:space="preserve"> the taxi fleet is 2012 </w:t>
      </w:r>
      <w:r w:rsidR="00947D9F" w:rsidRPr="00B275E2">
        <w:t>while for</w:t>
      </w:r>
      <w:r w:rsidR="00C616AB" w:rsidRPr="00B275E2">
        <w:t> </w:t>
      </w:r>
      <w:r w:rsidR="00947D9F" w:rsidRPr="00B275E2">
        <w:t xml:space="preserve">the </w:t>
      </w:r>
      <w:r w:rsidR="00B757C1" w:rsidRPr="00B275E2">
        <w:t xml:space="preserve">rental fleet </w:t>
      </w:r>
      <w:r w:rsidR="00947D9F" w:rsidRPr="00B275E2">
        <w:t xml:space="preserve">this is </w:t>
      </w:r>
      <w:r w:rsidR="00B757C1" w:rsidRPr="00B275E2">
        <w:t>2015</w:t>
      </w:r>
      <w:r w:rsidR="00A734B3" w:rsidRPr="00B275E2">
        <w:t>.</w:t>
      </w:r>
      <w:r w:rsidR="007351FA" w:rsidRPr="00B275E2">
        <w:rPr>
          <w:rStyle w:val="FootnoteReference"/>
          <w:color w:val="auto"/>
        </w:rPr>
        <w:footnoteReference w:id="33"/>
      </w:r>
      <w:r w:rsidR="004C2A6D" w:rsidRPr="00B275E2">
        <w:t xml:space="preserve"> F</w:t>
      </w:r>
      <w:r w:rsidR="00803206" w:rsidRPr="00B275E2">
        <w:t xml:space="preserve">or </w:t>
      </w:r>
      <w:r w:rsidR="001B68AF" w:rsidRPr="00B275E2">
        <w:t>consistency we</w:t>
      </w:r>
      <w:r w:rsidR="00FB3A5F" w:rsidRPr="00B275E2">
        <w:t xml:space="preserve"> assumed </w:t>
      </w:r>
      <w:r w:rsidR="00CC3C6D" w:rsidRPr="00B275E2">
        <w:t xml:space="preserve">a </w:t>
      </w:r>
      <w:r w:rsidR="003A0011" w:rsidRPr="00B275E2">
        <w:t>2010</w:t>
      </w:r>
      <w:r w:rsidR="00D55AF0" w:rsidRPr="00B275E2">
        <w:t>–</w:t>
      </w:r>
      <w:r w:rsidR="00220A1D" w:rsidRPr="00B275E2">
        <w:t>2015</w:t>
      </w:r>
      <w:r w:rsidR="00CC3C6D" w:rsidRPr="00B275E2">
        <w:t xml:space="preserve"> fleet</w:t>
      </w:r>
      <w:r w:rsidR="00A979FB" w:rsidRPr="00B275E2">
        <w:t xml:space="preserve"> for both taxis and rental cars</w:t>
      </w:r>
      <w:r w:rsidR="00374204" w:rsidRPr="00B275E2">
        <w:t>.</w:t>
      </w:r>
    </w:p>
    <w:p w14:paraId="6509203B" w14:textId="070F3993" w:rsidR="00CF475D" w:rsidRPr="00B275E2" w:rsidRDefault="00970648" w:rsidP="008C278C">
      <w:pPr>
        <w:pStyle w:val="BodyText"/>
        <w:spacing w:after="100"/>
      </w:pPr>
      <w:r w:rsidRPr="00B275E2">
        <w:t xml:space="preserve">Taxicharge </w:t>
      </w:r>
      <w:r w:rsidR="00375CE1" w:rsidRPr="00B275E2">
        <w:t>advised</w:t>
      </w:r>
      <w:r w:rsidRPr="00B275E2">
        <w:t xml:space="preserve"> that</w:t>
      </w:r>
      <w:r w:rsidR="008123E0" w:rsidRPr="00B275E2">
        <w:t>,</w:t>
      </w:r>
      <w:r w:rsidRPr="00B275E2">
        <w:t xml:space="preserve"> the </w:t>
      </w:r>
      <w:r w:rsidR="001A65FE" w:rsidRPr="00B275E2">
        <w:t xml:space="preserve">current </w:t>
      </w:r>
      <w:r w:rsidR="00874BC0" w:rsidRPr="00B275E2">
        <w:t xml:space="preserve">average </w:t>
      </w:r>
      <w:r w:rsidRPr="00B275E2">
        <w:t>price per k</w:t>
      </w:r>
      <w:r w:rsidR="00EC3183" w:rsidRPr="00B275E2">
        <w:t>ilo</w:t>
      </w:r>
      <w:r w:rsidRPr="00B275E2">
        <w:t>m</w:t>
      </w:r>
      <w:r w:rsidR="00EC3183" w:rsidRPr="00B275E2">
        <w:t>etre</w:t>
      </w:r>
      <w:r w:rsidRPr="00B275E2">
        <w:t xml:space="preserve"> in a taxi </w:t>
      </w:r>
      <w:r w:rsidR="00874BC0" w:rsidRPr="00B275E2">
        <w:t>is</w:t>
      </w:r>
      <w:r w:rsidRPr="00B275E2">
        <w:t xml:space="preserve"> $3</w:t>
      </w:r>
      <w:r w:rsidR="000545BF" w:rsidRPr="00B275E2">
        <w:t>.20</w:t>
      </w:r>
      <w:r w:rsidRPr="00B275E2">
        <w:t>.</w:t>
      </w:r>
      <w:r w:rsidR="00724C42" w:rsidRPr="00B275E2">
        <w:t xml:space="preserve"> </w:t>
      </w:r>
      <w:r w:rsidR="00335EC0" w:rsidRPr="00B275E2">
        <w:t>North Island’s average rate = $3.02, while South Island’s average = $3.52</w:t>
      </w:r>
      <w:r w:rsidR="00A07586" w:rsidRPr="00B275E2">
        <w:t>.</w:t>
      </w:r>
    </w:p>
    <w:p w14:paraId="6509203C" w14:textId="3E545119" w:rsidR="00970648" w:rsidRPr="00B275E2" w:rsidRDefault="00970648" w:rsidP="008C278C">
      <w:pPr>
        <w:pStyle w:val="BodyText"/>
        <w:spacing w:after="100"/>
      </w:pPr>
      <w:r w:rsidRPr="00B275E2">
        <w:t>The calculation to work out the emission factors for taxi by distance is an average between the</w:t>
      </w:r>
      <w:r w:rsidR="00AE5398" w:rsidRPr="00B275E2">
        <w:t> </w:t>
      </w:r>
      <w:r w:rsidR="003A0011" w:rsidRPr="00B275E2">
        <w:t xml:space="preserve">Diesel </w:t>
      </w:r>
      <w:r w:rsidRPr="00B275E2">
        <w:t>1600</w:t>
      </w:r>
      <w:r w:rsidR="008123E0" w:rsidRPr="00B275E2">
        <w:t>–</w:t>
      </w:r>
      <w:r w:rsidRPr="00B275E2">
        <w:t xml:space="preserve">2000 cc and the </w:t>
      </w:r>
      <w:r w:rsidR="0081014F" w:rsidRPr="00B275E2">
        <w:t>2000</w:t>
      </w:r>
      <w:r w:rsidR="00C20E3C" w:rsidRPr="00B275E2">
        <w:t>–</w:t>
      </w:r>
      <w:r w:rsidRPr="00B275E2">
        <w:t>3000</w:t>
      </w:r>
      <w:r w:rsidR="00DA46BB" w:rsidRPr="00B275E2">
        <w:t xml:space="preserve"> </w:t>
      </w:r>
      <w:r w:rsidRPr="00B275E2">
        <w:t xml:space="preserve">cc from </w:t>
      </w:r>
      <w:hyperlink w:anchor="table17" w:history="1">
        <w:r w:rsidR="00C616AB" w:rsidRPr="00B275E2">
          <w:rPr>
            <w:rStyle w:val="Hyperlink"/>
          </w:rPr>
          <w:t>table 17</w:t>
        </w:r>
      </w:hyperlink>
      <w:r w:rsidRPr="00B275E2">
        <w:t>.</w:t>
      </w:r>
      <w:r w:rsidR="005C3ED0" w:rsidRPr="00B275E2">
        <w:t xml:space="preserve"> </w:t>
      </w:r>
      <w:r w:rsidR="00523D6D" w:rsidRPr="00B275E2">
        <w:t>Table 2</w:t>
      </w:r>
      <w:r w:rsidR="00B67C0A">
        <w:t>4</w:t>
      </w:r>
      <w:r w:rsidR="00047BDB" w:rsidRPr="00B275E2">
        <w:t xml:space="preserve"> </w:t>
      </w:r>
      <w:r w:rsidR="00C20E3C" w:rsidRPr="00B275E2">
        <w:t>show</w:t>
      </w:r>
      <w:r w:rsidR="00047BDB" w:rsidRPr="00B275E2">
        <w:t>s this</w:t>
      </w:r>
      <w:r w:rsidR="005C3ED0" w:rsidRPr="00B275E2">
        <w:t>.</w:t>
      </w:r>
    </w:p>
    <w:p w14:paraId="1FD84D94" w14:textId="6713D332" w:rsidR="005C3ED0" w:rsidRPr="00B275E2" w:rsidRDefault="005C3ED0" w:rsidP="0037602E">
      <w:pPr>
        <w:pStyle w:val="Tableheading"/>
      </w:pPr>
      <w:bookmarkStart w:id="352" w:name="_Ref532393591"/>
      <w:bookmarkStart w:id="353" w:name="_Toc111536629"/>
      <w:r w:rsidRPr="00B275E2">
        <w:lastRenderedPageBreak/>
        <w:t xml:space="preserve">Table </w:t>
      </w:r>
      <w:r w:rsidRPr="00B275E2">
        <w:fldChar w:fldCharType="begin"/>
      </w:r>
      <w:r w:rsidRPr="00B275E2">
        <w:instrText>SEQ Table \* ARABIC</w:instrText>
      </w:r>
      <w:r w:rsidRPr="00B275E2">
        <w:fldChar w:fldCharType="separate"/>
      </w:r>
      <w:r w:rsidR="003E141C" w:rsidRPr="00B275E2">
        <w:t>24</w:t>
      </w:r>
      <w:r w:rsidRPr="00B275E2">
        <w:fldChar w:fldCharType="end"/>
      </w:r>
      <w:bookmarkEnd w:id="352"/>
      <w:r w:rsidR="0011046F" w:rsidRPr="00B275E2">
        <w:t>:</w:t>
      </w:r>
      <w:r w:rsidR="0011046F" w:rsidRPr="00B275E2">
        <w:tab/>
      </w:r>
      <w:r w:rsidRPr="00B275E2">
        <w:t>Data used for calculating the taxi emission factors</w:t>
      </w:r>
      <w:bookmarkEnd w:id="353"/>
    </w:p>
    <w:tbl>
      <w:tblPr>
        <w:tblStyle w:val="TableGrid"/>
        <w:tblW w:w="8505"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ayout w:type="fixed"/>
        <w:tblLook w:val="04A0" w:firstRow="1" w:lastRow="0" w:firstColumn="1" w:lastColumn="0" w:noHBand="0" w:noVBand="1"/>
      </w:tblPr>
      <w:tblGrid>
        <w:gridCol w:w="1356"/>
        <w:gridCol w:w="1525"/>
        <w:gridCol w:w="600"/>
        <w:gridCol w:w="1374"/>
        <w:gridCol w:w="1211"/>
        <w:gridCol w:w="1202"/>
        <w:gridCol w:w="1237"/>
      </w:tblGrid>
      <w:tr w:rsidR="009B5746" w:rsidRPr="00B275E2" w14:paraId="65092047" w14:textId="77777777" w:rsidTr="008F3D39">
        <w:tc>
          <w:tcPr>
            <w:tcW w:w="1356" w:type="dxa"/>
            <w:shd w:val="clear" w:color="auto" w:fill="1B556B" w:themeFill="text2"/>
            <w:vAlign w:val="bottom"/>
          </w:tcPr>
          <w:p w14:paraId="65092040" w14:textId="77777777" w:rsidR="00F42AFF" w:rsidRPr="00B275E2" w:rsidRDefault="00F42AFF" w:rsidP="00F70E9D">
            <w:pPr>
              <w:pStyle w:val="TableText"/>
              <w:keepNext/>
              <w:rPr>
                <w:b/>
                <w:color w:val="FFFFFF" w:themeColor="background1"/>
              </w:rPr>
            </w:pPr>
          </w:p>
        </w:tc>
        <w:tc>
          <w:tcPr>
            <w:tcW w:w="1525" w:type="dxa"/>
            <w:shd w:val="clear" w:color="auto" w:fill="1B556B" w:themeFill="text2"/>
            <w:vAlign w:val="bottom"/>
          </w:tcPr>
          <w:p w14:paraId="65092041" w14:textId="77777777" w:rsidR="00F42AFF" w:rsidRPr="00B275E2" w:rsidRDefault="00F42AFF" w:rsidP="00F70E9D">
            <w:pPr>
              <w:pStyle w:val="TableText"/>
              <w:keepNext/>
              <w:rPr>
                <w:b/>
                <w:color w:val="FFFFFF" w:themeColor="background1"/>
              </w:rPr>
            </w:pPr>
          </w:p>
        </w:tc>
        <w:tc>
          <w:tcPr>
            <w:tcW w:w="600" w:type="dxa"/>
            <w:shd w:val="clear" w:color="auto" w:fill="1B556B" w:themeFill="text2"/>
            <w:vAlign w:val="bottom"/>
          </w:tcPr>
          <w:p w14:paraId="65092042" w14:textId="542E32DD" w:rsidR="00F42AFF" w:rsidRPr="00B275E2" w:rsidRDefault="00F42AFF" w:rsidP="00F70E9D">
            <w:pPr>
              <w:pStyle w:val="TableText"/>
              <w:keepNext/>
              <w:rPr>
                <w:b/>
                <w:color w:val="FFFFFF" w:themeColor="background1"/>
              </w:rPr>
            </w:pPr>
            <w:r w:rsidRPr="00B275E2">
              <w:rPr>
                <w:b/>
                <w:color w:val="FFFFFF" w:themeColor="background1"/>
              </w:rPr>
              <w:t>Unit</w:t>
            </w:r>
          </w:p>
        </w:tc>
        <w:tc>
          <w:tcPr>
            <w:tcW w:w="1374" w:type="dxa"/>
            <w:shd w:val="clear" w:color="auto" w:fill="1B556B" w:themeFill="text2"/>
            <w:vAlign w:val="bottom"/>
          </w:tcPr>
          <w:p w14:paraId="65092043" w14:textId="0EDFF31B" w:rsidR="00F42AFF" w:rsidRPr="00B275E2" w:rsidRDefault="00F42AFF" w:rsidP="00F70E9D">
            <w:pPr>
              <w:pStyle w:val="TableText"/>
              <w:keepNext/>
              <w:jc w:val="right"/>
              <w:rPr>
                <w:b/>
                <w:color w:val="FFFFFF" w:themeColor="background1"/>
              </w:rPr>
            </w:pPr>
            <w:r w:rsidRPr="00B275E2">
              <w:rPr>
                <w:b/>
                <w:color w:val="FFFFFF" w:themeColor="background1"/>
              </w:rPr>
              <w:t>kg CO</w:t>
            </w:r>
            <w:bookmarkStart w:id="354" w:name="_Hlk529783908"/>
            <w:r w:rsidRPr="00B275E2">
              <w:rPr>
                <w:b/>
                <w:color w:val="FFFFFF" w:themeColor="background1"/>
                <w:vertAlign w:val="subscript"/>
              </w:rPr>
              <w:t>2</w:t>
            </w:r>
            <w:r w:rsidRPr="00B275E2">
              <w:rPr>
                <w:b/>
                <w:color w:val="FFFFFF" w:themeColor="background1"/>
              </w:rPr>
              <w:t>-e</w:t>
            </w:r>
            <w:bookmarkEnd w:id="354"/>
            <w:r w:rsidRPr="00B275E2">
              <w:rPr>
                <w:b/>
                <w:color w:val="FFFFFF" w:themeColor="background1"/>
              </w:rPr>
              <w:t>/unit</w:t>
            </w:r>
          </w:p>
        </w:tc>
        <w:tc>
          <w:tcPr>
            <w:tcW w:w="1211" w:type="dxa"/>
            <w:shd w:val="clear" w:color="auto" w:fill="1B556B" w:themeFill="text2"/>
            <w:vAlign w:val="bottom"/>
          </w:tcPr>
          <w:p w14:paraId="65092044" w14:textId="6C30F892" w:rsidR="00422F0C" w:rsidRPr="00B275E2" w:rsidRDefault="00F42AFF" w:rsidP="00F70E9D">
            <w:pPr>
              <w:pStyle w:val="TableText"/>
              <w:keepNext/>
              <w:jc w:val="right"/>
              <w:rPr>
                <w:b/>
                <w:color w:val="FFFFFF" w:themeColor="background1"/>
              </w:rPr>
            </w:pPr>
            <w:r w:rsidRPr="00B275E2">
              <w:rPr>
                <w:b/>
                <w:color w:val="FFFFFF" w:themeColor="background1"/>
              </w:rPr>
              <w:t>kg CO</w:t>
            </w:r>
            <w:r w:rsidRPr="00B275E2">
              <w:rPr>
                <w:b/>
                <w:color w:val="FFFFFF" w:themeColor="background1"/>
                <w:vertAlign w:val="subscript"/>
              </w:rPr>
              <w:t>2</w:t>
            </w:r>
            <w:r w:rsidR="009B5746" w:rsidRPr="00B275E2">
              <w:rPr>
                <w:b/>
                <w:color w:val="FFFFFF" w:themeColor="background1"/>
              </w:rPr>
              <w:t>/unit</w:t>
            </w:r>
            <w:r w:rsidR="0076488B" w:rsidRPr="00B275E2">
              <w:rPr>
                <w:b/>
                <w:color w:val="FFFFFF" w:themeColor="background1"/>
              </w:rPr>
              <w:t xml:space="preserve"> </w:t>
            </w:r>
            <w:r w:rsidR="0076488B" w:rsidRPr="00B275E2">
              <w:rPr>
                <w:b/>
                <w:color w:val="FFFFFF" w:themeColor="background1"/>
              </w:rPr>
              <w:br/>
            </w:r>
            <w:r w:rsidR="00D66230" w:rsidRPr="00B275E2">
              <w:rPr>
                <w:b/>
                <w:bCs/>
                <w:color w:val="FFFFFF" w:themeColor="background1"/>
              </w:rPr>
              <w:t>(kg CO</w:t>
            </w:r>
            <w:r w:rsidR="00D66230" w:rsidRPr="00B275E2">
              <w:rPr>
                <w:b/>
                <w:bCs/>
                <w:color w:val="FFFFFF" w:themeColor="background1"/>
                <w:vertAlign w:val="subscript"/>
              </w:rPr>
              <w:t>2</w:t>
            </w:r>
            <w:r w:rsidR="00D66230" w:rsidRPr="00B275E2">
              <w:rPr>
                <w:b/>
                <w:bCs/>
                <w:color w:val="FFFFFF" w:themeColor="background1"/>
              </w:rPr>
              <w:noBreakHyphen/>
              <w:t>e)</w:t>
            </w:r>
          </w:p>
        </w:tc>
        <w:tc>
          <w:tcPr>
            <w:tcW w:w="1202" w:type="dxa"/>
            <w:shd w:val="clear" w:color="auto" w:fill="1B556B" w:themeFill="text2"/>
            <w:vAlign w:val="bottom"/>
          </w:tcPr>
          <w:p w14:paraId="65092045" w14:textId="1F8B5811" w:rsidR="00F42AFF" w:rsidRPr="00B275E2" w:rsidRDefault="00D66230" w:rsidP="00F70E9D">
            <w:pPr>
              <w:pStyle w:val="TableText"/>
              <w:keepNext/>
              <w:jc w:val="right"/>
              <w:rPr>
                <w:b/>
                <w:color w:val="FFFFFF" w:themeColor="background1"/>
              </w:rPr>
            </w:pPr>
            <w:r w:rsidRPr="00B275E2">
              <w:rPr>
                <w:b/>
                <w:bCs/>
                <w:color w:val="FFFFFF" w:themeColor="background1"/>
              </w:rPr>
              <w:t xml:space="preserve">kg </w:t>
            </w:r>
            <w:r w:rsidR="00F42AFF" w:rsidRPr="00B275E2">
              <w:rPr>
                <w:b/>
                <w:bCs/>
                <w:color w:val="FFFFFF" w:themeColor="background1"/>
              </w:rPr>
              <w:t>CH</w:t>
            </w:r>
            <w:r w:rsidR="00F42AFF" w:rsidRPr="00B275E2">
              <w:rPr>
                <w:b/>
                <w:bCs/>
                <w:color w:val="FFFFFF" w:themeColor="background1"/>
                <w:vertAlign w:val="subscript"/>
              </w:rPr>
              <w:t>4</w:t>
            </w:r>
            <w:r w:rsidRPr="00B275E2">
              <w:rPr>
                <w:b/>
                <w:bCs/>
                <w:color w:val="FFFFFF" w:themeColor="background1"/>
              </w:rPr>
              <w:t>/unit</w:t>
            </w:r>
            <w:r w:rsidR="0076488B" w:rsidRPr="00B275E2">
              <w:rPr>
                <w:b/>
                <w:bCs/>
                <w:color w:val="FFFFFF" w:themeColor="background1"/>
              </w:rPr>
              <w:br/>
            </w:r>
            <w:r w:rsidR="00F42AFF" w:rsidRPr="00B275E2">
              <w:rPr>
                <w:b/>
                <w:bCs/>
                <w:color w:val="FFFFFF" w:themeColor="background1"/>
              </w:rPr>
              <w:t>(kg CO</w:t>
            </w:r>
            <w:r w:rsidR="00F42AFF" w:rsidRPr="00B275E2">
              <w:rPr>
                <w:b/>
                <w:bCs/>
                <w:color w:val="FFFFFF" w:themeColor="background1"/>
                <w:vertAlign w:val="subscript"/>
              </w:rPr>
              <w:t>2</w:t>
            </w:r>
            <w:r w:rsidR="00422F0C" w:rsidRPr="00B275E2">
              <w:rPr>
                <w:b/>
                <w:bCs/>
                <w:color w:val="FFFFFF" w:themeColor="background1"/>
              </w:rPr>
              <w:noBreakHyphen/>
            </w:r>
            <w:r w:rsidR="00F42AFF" w:rsidRPr="00B275E2">
              <w:rPr>
                <w:b/>
                <w:bCs/>
                <w:color w:val="FFFFFF" w:themeColor="background1"/>
              </w:rPr>
              <w:t>e)</w:t>
            </w:r>
          </w:p>
        </w:tc>
        <w:tc>
          <w:tcPr>
            <w:tcW w:w="1237" w:type="dxa"/>
            <w:shd w:val="clear" w:color="auto" w:fill="1B556B" w:themeFill="text2"/>
            <w:vAlign w:val="bottom"/>
          </w:tcPr>
          <w:p w14:paraId="65092046" w14:textId="3DF0E710" w:rsidR="00F42AFF" w:rsidRPr="00B275E2" w:rsidRDefault="00D66230" w:rsidP="00F70E9D">
            <w:pPr>
              <w:pStyle w:val="TableText"/>
              <w:keepNext/>
              <w:jc w:val="right"/>
              <w:rPr>
                <w:b/>
                <w:color w:val="FFFFFF" w:themeColor="background1"/>
              </w:rPr>
            </w:pPr>
            <w:r w:rsidRPr="00B275E2">
              <w:rPr>
                <w:b/>
                <w:bCs/>
                <w:color w:val="FFFFFF" w:themeColor="background1"/>
              </w:rPr>
              <w:t xml:space="preserve">kg </w:t>
            </w:r>
            <w:r w:rsidR="00F42AFF" w:rsidRPr="00B275E2">
              <w:rPr>
                <w:b/>
                <w:bCs/>
                <w:color w:val="FFFFFF" w:themeColor="background1"/>
              </w:rPr>
              <w:t>N</w:t>
            </w:r>
            <w:r w:rsidR="00F42AFF" w:rsidRPr="00B275E2">
              <w:rPr>
                <w:b/>
                <w:bCs/>
                <w:color w:val="FFFFFF" w:themeColor="background1"/>
                <w:vertAlign w:val="subscript"/>
              </w:rPr>
              <w:t>2</w:t>
            </w:r>
            <w:r w:rsidR="00F42AFF" w:rsidRPr="00B275E2">
              <w:rPr>
                <w:b/>
                <w:bCs/>
                <w:color w:val="FFFFFF" w:themeColor="background1"/>
              </w:rPr>
              <w:t>O</w:t>
            </w:r>
            <w:r w:rsidRPr="00B275E2">
              <w:rPr>
                <w:b/>
                <w:bCs/>
                <w:color w:val="FFFFFF" w:themeColor="background1"/>
              </w:rPr>
              <w:t>/unit</w:t>
            </w:r>
            <w:r w:rsidR="00F42AFF" w:rsidRPr="00B275E2">
              <w:rPr>
                <w:b/>
                <w:bCs/>
                <w:color w:val="FFFFFF" w:themeColor="background1"/>
              </w:rPr>
              <w:t xml:space="preserve"> </w:t>
            </w:r>
            <w:r w:rsidR="0076488B" w:rsidRPr="00B275E2">
              <w:rPr>
                <w:b/>
                <w:bCs/>
                <w:color w:val="FFFFFF" w:themeColor="background1"/>
              </w:rPr>
              <w:br/>
            </w:r>
            <w:r w:rsidR="00F42AFF" w:rsidRPr="00B275E2">
              <w:rPr>
                <w:b/>
                <w:bCs/>
                <w:color w:val="FFFFFF" w:themeColor="background1"/>
              </w:rPr>
              <w:t>(kg CO</w:t>
            </w:r>
            <w:r w:rsidR="00F42AFF" w:rsidRPr="00B275E2">
              <w:rPr>
                <w:b/>
                <w:bCs/>
                <w:color w:val="FFFFFF" w:themeColor="background1"/>
                <w:vertAlign w:val="subscript"/>
              </w:rPr>
              <w:t>2</w:t>
            </w:r>
            <w:r w:rsidR="00422F0C" w:rsidRPr="00B275E2">
              <w:rPr>
                <w:b/>
                <w:bCs/>
                <w:color w:val="FFFFFF" w:themeColor="background1"/>
              </w:rPr>
              <w:noBreakHyphen/>
            </w:r>
            <w:r w:rsidR="00F42AFF" w:rsidRPr="00B275E2">
              <w:rPr>
                <w:b/>
                <w:bCs/>
                <w:color w:val="FFFFFF" w:themeColor="background1"/>
              </w:rPr>
              <w:t>e)</w:t>
            </w:r>
          </w:p>
        </w:tc>
      </w:tr>
      <w:tr w:rsidR="009B5746" w:rsidRPr="00B275E2" w14:paraId="6509204F" w14:textId="77777777" w:rsidTr="008F3D39">
        <w:tc>
          <w:tcPr>
            <w:tcW w:w="1356" w:type="dxa"/>
            <w:vMerge w:val="restart"/>
          </w:tcPr>
          <w:p w14:paraId="65092048" w14:textId="6496283F" w:rsidR="008D773A" w:rsidRPr="00B275E2" w:rsidRDefault="008D773A" w:rsidP="00F70E9D">
            <w:pPr>
              <w:pStyle w:val="TableText"/>
              <w:keepNext/>
            </w:pPr>
            <w:r w:rsidRPr="00B275E2">
              <w:t>Diesel vehicle</w:t>
            </w:r>
          </w:p>
        </w:tc>
        <w:tc>
          <w:tcPr>
            <w:tcW w:w="1525" w:type="dxa"/>
          </w:tcPr>
          <w:p w14:paraId="65092049" w14:textId="6FB01C34" w:rsidR="008D773A" w:rsidRPr="00B275E2" w:rsidRDefault="008D773A" w:rsidP="00F70E9D">
            <w:pPr>
              <w:pStyle w:val="TableText"/>
              <w:keepNext/>
            </w:pPr>
            <w:r w:rsidRPr="00B275E2">
              <w:t>1600</w:t>
            </w:r>
            <w:r w:rsidRPr="00B275E2">
              <w:rPr>
                <w:rFonts w:cs="Calibri"/>
                <w:color w:val="000000"/>
                <w:szCs w:val="18"/>
              </w:rPr>
              <w:t xml:space="preserve"> -</w:t>
            </w:r>
            <w:r w:rsidRPr="00B275E2">
              <w:t xml:space="preserve"> &lt;2000 cc</w:t>
            </w:r>
          </w:p>
        </w:tc>
        <w:tc>
          <w:tcPr>
            <w:tcW w:w="600" w:type="dxa"/>
          </w:tcPr>
          <w:p w14:paraId="6509204A" w14:textId="77777777" w:rsidR="008D773A" w:rsidRPr="00B275E2" w:rsidRDefault="008D773A" w:rsidP="00F70E9D">
            <w:pPr>
              <w:pStyle w:val="TableText"/>
              <w:keepNext/>
            </w:pPr>
            <w:r w:rsidRPr="00B275E2">
              <w:t>km</w:t>
            </w:r>
          </w:p>
        </w:tc>
        <w:tc>
          <w:tcPr>
            <w:tcW w:w="1374" w:type="dxa"/>
            <w:shd w:val="clear" w:color="auto" w:fill="D2DDE1" w:themeFill="background2"/>
          </w:tcPr>
          <w:p w14:paraId="6509204B" w14:textId="37DAB083" w:rsidR="008D773A" w:rsidRPr="00B275E2" w:rsidRDefault="008D773A" w:rsidP="00F70E9D">
            <w:pPr>
              <w:pStyle w:val="TableText"/>
              <w:keepNext/>
              <w:jc w:val="right"/>
              <w:rPr>
                <w:szCs w:val="18"/>
              </w:rPr>
            </w:pPr>
            <w:r w:rsidRPr="00B275E2">
              <w:rPr>
                <w:rFonts w:cs="Calibri"/>
                <w:szCs w:val="18"/>
              </w:rPr>
              <w:t>0.202</w:t>
            </w:r>
          </w:p>
        </w:tc>
        <w:tc>
          <w:tcPr>
            <w:tcW w:w="1211" w:type="dxa"/>
            <w:shd w:val="clear" w:color="auto" w:fill="auto"/>
          </w:tcPr>
          <w:p w14:paraId="6509204C" w14:textId="5BB25EE1" w:rsidR="008D773A" w:rsidRPr="00B275E2" w:rsidRDefault="008D773A" w:rsidP="00F70E9D">
            <w:pPr>
              <w:pStyle w:val="TableText"/>
              <w:keepNext/>
              <w:jc w:val="right"/>
              <w:rPr>
                <w:szCs w:val="18"/>
              </w:rPr>
            </w:pPr>
            <w:r w:rsidRPr="00B275E2">
              <w:rPr>
                <w:rFonts w:cs="Calibri"/>
                <w:szCs w:val="18"/>
              </w:rPr>
              <w:t>0.198</w:t>
            </w:r>
          </w:p>
        </w:tc>
        <w:tc>
          <w:tcPr>
            <w:tcW w:w="1202" w:type="dxa"/>
            <w:shd w:val="clear" w:color="auto" w:fill="auto"/>
          </w:tcPr>
          <w:p w14:paraId="6509204D" w14:textId="64EEB241" w:rsidR="008D773A" w:rsidRPr="00B275E2" w:rsidRDefault="008D773A" w:rsidP="00F70E9D">
            <w:pPr>
              <w:pStyle w:val="TableText"/>
              <w:keepNext/>
              <w:jc w:val="right"/>
              <w:rPr>
                <w:szCs w:val="18"/>
              </w:rPr>
            </w:pPr>
            <w:r w:rsidRPr="00B275E2">
              <w:rPr>
                <w:rFonts w:cs="Calibri"/>
                <w:szCs w:val="18"/>
              </w:rPr>
              <w:t>0.0003</w:t>
            </w:r>
          </w:p>
        </w:tc>
        <w:tc>
          <w:tcPr>
            <w:tcW w:w="1237" w:type="dxa"/>
            <w:shd w:val="clear" w:color="auto" w:fill="auto"/>
          </w:tcPr>
          <w:p w14:paraId="6509204E" w14:textId="3439639F" w:rsidR="008D773A" w:rsidRPr="00B275E2" w:rsidRDefault="008D773A" w:rsidP="00F70E9D">
            <w:pPr>
              <w:pStyle w:val="TableText"/>
              <w:keepNext/>
              <w:jc w:val="right"/>
              <w:rPr>
                <w:szCs w:val="18"/>
              </w:rPr>
            </w:pPr>
            <w:r w:rsidRPr="00B275E2">
              <w:rPr>
                <w:rFonts w:cs="Calibri"/>
                <w:szCs w:val="18"/>
              </w:rPr>
              <w:t>0.003</w:t>
            </w:r>
          </w:p>
        </w:tc>
      </w:tr>
      <w:tr w:rsidR="009B5746" w:rsidRPr="00B275E2" w14:paraId="65092057" w14:textId="77777777" w:rsidTr="008F3D39">
        <w:tc>
          <w:tcPr>
            <w:tcW w:w="1356" w:type="dxa"/>
            <w:vMerge/>
          </w:tcPr>
          <w:p w14:paraId="65092050" w14:textId="77777777" w:rsidR="008D773A" w:rsidRPr="00B275E2" w:rsidRDefault="008D773A" w:rsidP="00F70E9D">
            <w:pPr>
              <w:pStyle w:val="TableText"/>
              <w:keepNext/>
            </w:pPr>
          </w:p>
        </w:tc>
        <w:tc>
          <w:tcPr>
            <w:tcW w:w="1525" w:type="dxa"/>
          </w:tcPr>
          <w:p w14:paraId="65092051" w14:textId="5BE30E3F" w:rsidR="008D773A" w:rsidRPr="00B275E2" w:rsidRDefault="008D773A" w:rsidP="00F70E9D">
            <w:pPr>
              <w:pStyle w:val="TableText"/>
              <w:keepNext/>
            </w:pPr>
            <w:r w:rsidRPr="00B275E2">
              <w:t>2000</w:t>
            </w:r>
            <w:r w:rsidRPr="00B275E2">
              <w:rPr>
                <w:rFonts w:cs="Calibri"/>
                <w:color w:val="000000"/>
                <w:szCs w:val="18"/>
              </w:rPr>
              <w:t xml:space="preserve"> -</w:t>
            </w:r>
            <w:r w:rsidRPr="00B275E2">
              <w:t xml:space="preserve"> &lt;3000 cc</w:t>
            </w:r>
          </w:p>
        </w:tc>
        <w:tc>
          <w:tcPr>
            <w:tcW w:w="600" w:type="dxa"/>
          </w:tcPr>
          <w:p w14:paraId="65092052" w14:textId="77777777" w:rsidR="008D773A" w:rsidRPr="00B275E2" w:rsidRDefault="008D773A" w:rsidP="00F70E9D">
            <w:pPr>
              <w:pStyle w:val="TableText"/>
              <w:keepNext/>
            </w:pPr>
            <w:r w:rsidRPr="00B275E2">
              <w:t>km</w:t>
            </w:r>
          </w:p>
        </w:tc>
        <w:tc>
          <w:tcPr>
            <w:tcW w:w="1374" w:type="dxa"/>
            <w:shd w:val="clear" w:color="auto" w:fill="D2DDE1" w:themeFill="background2"/>
          </w:tcPr>
          <w:p w14:paraId="65092053" w14:textId="18AF95D8" w:rsidR="008D773A" w:rsidRPr="00B275E2" w:rsidRDefault="008D773A" w:rsidP="00F70E9D">
            <w:pPr>
              <w:pStyle w:val="TableText"/>
              <w:keepNext/>
              <w:jc w:val="right"/>
              <w:rPr>
                <w:szCs w:val="18"/>
              </w:rPr>
            </w:pPr>
            <w:r w:rsidRPr="00B275E2">
              <w:rPr>
                <w:rFonts w:cs="Calibri"/>
                <w:szCs w:val="18"/>
              </w:rPr>
              <w:t>0.248</w:t>
            </w:r>
          </w:p>
        </w:tc>
        <w:tc>
          <w:tcPr>
            <w:tcW w:w="1211" w:type="dxa"/>
            <w:shd w:val="clear" w:color="auto" w:fill="auto"/>
          </w:tcPr>
          <w:p w14:paraId="65092054" w14:textId="23143319" w:rsidR="008D773A" w:rsidRPr="00B275E2" w:rsidRDefault="008D773A" w:rsidP="00F70E9D">
            <w:pPr>
              <w:pStyle w:val="TableText"/>
              <w:keepNext/>
              <w:jc w:val="right"/>
              <w:rPr>
                <w:szCs w:val="18"/>
              </w:rPr>
            </w:pPr>
            <w:r w:rsidRPr="00B275E2">
              <w:rPr>
                <w:rFonts w:cs="Calibri"/>
                <w:szCs w:val="18"/>
              </w:rPr>
              <w:t>0.244</w:t>
            </w:r>
          </w:p>
        </w:tc>
        <w:tc>
          <w:tcPr>
            <w:tcW w:w="1202" w:type="dxa"/>
            <w:shd w:val="clear" w:color="auto" w:fill="auto"/>
          </w:tcPr>
          <w:p w14:paraId="65092055" w14:textId="58F8FF53" w:rsidR="008D773A" w:rsidRPr="00B275E2" w:rsidRDefault="008D773A" w:rsidP="00F70E9D">
            <w:pPr>
              <w:pStyle w:val="TableText"/>
              <w:keepNext/>
              <w:jc w:val="right"/>
              <w:rPr>
                <w:szCs w:val="18"/>
              </w:rPr>
            </w:pPr>
            <w:r w:rsidRPr="00B275E2">
              <w:rPr>
                <w:rFonts w:cs="Calibri"/>
                <w:szCs w:val="18"/>
              </w:rPr>
              <w:t>0.0003</w:t>
            </w:r>
          </w:p>
        </w:tc>
        <w:tc>
          <w:tcPr>
            <w:tcW w:w="1237" w:type="dxa"/>
            <w:shd w:val="clear" w:color="auto" w:fill="auto"/>
          </w:tcPr>
          <w:p w14:paraId="65092056" w14:textId="63680AA9" w:rsidR="008D773A" w:rsidRPr="00B275E2" w:rsidRDefault="008D773A" w:rsidP="00F70E9D">
            <w:pPr>
              <w:pStyle w:val="TableText"/>
              <w:keepNext/>
              <w:jc w:val="right"/>
              <w:rPr>
                <w:szCs w:val="18"/>
              </w:rPr>
            </w:pPr>
            <w:r w:rsidRPr="00B275E2">
              <w:rPr>
                <w:rFonts w:cs="Calibri"/>
                <w:szCs w:val="18"/>
              </w:rPr>
              <w:t>0.004</w:t>
            </w:r>
          </w:p>
        </w:tc>
      </w:tr>
      <w:tr w:rsidR="009B5746" w:rsidRPr="00B275E2" w14:paraId="6509205F" w14:textId="77777777" w:rsidTr="008F3D39">
        <w:tc>
          <w:tcPr>
            <w:tcW w:w="1356" w:type="dxa"/>
          </w:tcPr>
          <w:p w14:paraId="65092058" w14:textId="77777777" w:rsidR="00AC4250" w:rsidRPr="00B275E2" w:rsidRDefault="00AC4250" w:rsidP="00F70E9D">
            <w:pPr>
              <w:pStyle w:val="TableText"/>
              <w:keepNext/>
            </w:pPr>
            <w:r w:rsidRPr="00B275E2">
              <w:t>Taxi</w:t>
            </w:r>
          </w:p>
        </w:tc>
        <w:tc>
          <w:tcPr>
            <w:tcW w:w="1525" w:type="dxa"/>
          </w:tcPr>
          <w:p w14:paraId="65092059" w14:textId="77777777" w:rsidR="00AC4250" w:rsidRPr="00B275E2" w:rsidRDefault="00AC4250" w:rsidP="00F70E9D">
            <w:pPr>
              <w:pStyle w:val="TableText"/>
              <w:keepNext/>
            </w:pPr>
            <w:r w:rsidRPr="00B275E2">
              <w:t>Average</w:t>
            </w:r>
          </w:p>
        </w:tc>
        <w:tc>
          <w:tcPr>
            <w:tcW w:w="600" w:type="dxa"/>
          </w:tcPr>
          <w:p w14:paraId="6509205A" w14:textId="77777777" w:rsidR="00AC4250" w:rsidRPr="00B275E2" w:rsidRDefault="00AC4250" w:rsidP="00F70E9D">
            <w:pPr>
              <w:pStyle w:val="TableText"/>
              <w:keepNext/>
            </w:pPr>
            <w:r w:rsidRPr="00B275E2">
              <w:t>km</w:t>
            </w:r>
          </w:p>
        </w:tc>
        <w:tc>
          <w:tcPr>
            <w:tcW w:w="1374" w:type="dxa"/>
            <w:shd w:val="clear" w:color="auto" w:fill="D2DDE1" w:themeFill="background2"/>
          </w:tcPr>
          <w:p w14:paraId="6509205B" w14:textId="1001699B" w:rsidR="00AC4250" w:rsidRPr="00B275E2" w:rsidRDefault="00AC4250" w:rsidP="00F70E9D">
            <w:pPr>
              <w:pStyle w:val="TableText"/>
              <w:keepNext/>
              <w:jc w:val="right"/>
              <w:rPr>
                <w:szCs w:val="18"/>
              </w:rPr>
            </w:pPr>
            <w:r w:rsidRPr="00B275E2">
              <w:rPr>
                <w:rFonts w:cs="Calibri"/>
                <w:szCs w:val="18"/>
              </w:rPr>
              <w:t>0.225</w:t>
            </w:r>
          </w:p>
        </w:tc>
        <w:tc>
          <w:tcPr>
            <w:tcW w:w="1211" w:type="dxa"/>
            <w:shd w:val="clear" w:color="auto" w:fill="auto"/>
          </w:tcPr>
          <w:p w14:paraId="6509205C" w14:textId="4167DF46" w:rsidR="00AC4250" w:rsidRPr="00B275E2" w:rsidRDefault="00AC4250" w:rsidP="00F70E9D">
            <w:pPr>
              <w:pStyle w:val="TableText"/>
              <w:keepNext/>
              <w:jc w:val="right"/>
              <w:rPr>
                <w:szCs w:val="18"/>
              </w:rPr>
            </w:pPr>
            <w:r w:rsidRPr="00B275E2">
              <w:rPr>
                <w:rFonts w:cs="Calibri"/>
                <w:szCs w:val="18"/>
              </w:rPr>
              <w:t>0.221</w:t>
            </w:r>
          </w:p>
        </w:tc>
        <w:tc>
          <w:tcPr>
            <w:tcW w:w="1202" w:type="dxa"/>
            <w:shd w:val="clear" w:color="auto" w:fill="auto"/>
          </w:tcPr>
          <w:p w14:paraId="6509205D" w14:textId="55E90C83" w:rsidR="00AC4250" w:rsidRPr="00B275E2" w:rsidRDefault="00AC4250" w:rsidP="00F70E9D">
            <w:pPr>
              <w:pStyle w:val="TableText"/>
              <w:keepNext/>
              <w:jc w:val="right"/>
              <w:rPr>
                <w:szCs w:val="18"/>
              </w:rPr>
            </w:pPr>
            <w:r w:rsidRPr="00B275E2">
              <w:rPr>
                <w:rFonts w:cs="Calibri"/>
                <w:szCs w:val="18"/>
              </w:rPr>
              <w:t>0.0003</w:t>
            </w:r>
          </w:p>
        </w:tc>
        <w:tc>
          <w:tcPr>
            <w:tcW w:w="1237" w:type="dxa"/>
            <w:shd w:val="clear" w:color="auto" w:fill="auto"/>
          </w:tcPr>
          <w:p w14:paraId="6509205E" w14:textId="3EFF5D41" w:rsidR="00AC4250" w:rsidRPr="00B275E2" w:rsidRDefault="00AC4250" w:rsidP="00F70E9D">
            <w:pPr>
              <w:pStyle w:val="TableText"/>
              <w:keepNext/>
              <w:jc w:val="right"/>
              <w:rPr>
                <w:szCs w:val="18"/>
              </w:rPr>
            </w:pPr>
            <w:r w:rsidRPr="00B275E2">
              <w:rPr>
                <w:rFonts w:cs="Calibri"/>
                <w:szCs w:val="18"/>
              </w:rPr>
              <w:t>0.004</w:t>
            </w:r>
          </w:p>
        </w:tc>
      </w:tr>
    </w:tbl>
    <w:p w14:paraId="29C9E5CB" w14:textId="29116AC6" w:rsidR="00047BDB" w:rsidRPr="00B275E2" w:rsidRDefault="007C42DD" w:rsidP="007F0B1E">
      <w:pPr>
        <w:pStyle w:val="Note"/>
      </w:pPr>
      <w:r w:rsidRPr="00B275E2">
        <w:t>Note</w:t>
      </w:r>
      <w:r w:rsidR="00E52C1F" w:rsidRPr="00B275E2">
        <w:t>:</w:t>
      </w:r>
      <w:r w:rsidRPr="00B275E2">
        <w:t xml:space="preserve"> </w:t>
      </w:r>
      <w:r w:rsidR="00E52C1F" w:rsidRPr="00B275E2">
        <w:t xml:space="preserve">These </w:t>
      </w:r>
      <w:r w:rsidRPr="00B275E2">
        <w:t xml:space="preserve">numbers are rounded to three decimal places unless the number </w:t>
      </w:r>
      <w:r w:rsidR="00BA31FD" w:rsidRPr="00B275E2">
        <w:t>is significantly small</w:t>
      </w:r>
      <w:r w:rsidR="00047BDB" w:rsidRPr="00B275E2">
        <w:t xml:space="preserve">. </w:t>
      </w:r>
    </w:p>
    <w:p w14:paraId="65092061" w14:textId="119D8127" w:rsidR="00970648" w:rsidRPr="00B275E2" w:rsidRDefault="00970648" w:rsidP="007F0B1E">
      <w:pPr>
        <w:pStyle w:val="BodyText"/>
        <w:spacing w:after="240"/>
      </w:pPr>
      <w:r w:rsidRPr="00B275E2">
        <w:t xml:space="preserve">The calculation to </w:t>
      </w:r>
      <w:r w:rsidR="00C20E3C" w:rsidRPr="00B275E2">
        <w:t>develop</w:t>
      </w:r>
      <w:r w:rsidRPr="00B275E2">
        <w:t xml:space="preserve"> the emission factors for taxi based by $ spend is</w:t>
      </w:r>
      <w:r w:rsidR="008123E0" w:rsidRPr="00B275E2">
        <w:t>:</w:t>
      </w:r>
    </w:p>
    <w:tbl>
      <w:tblPr>
        <w:tblStyle w:val="mfebox"/>
        <w:tblW w:w="0" w:type="auto"/>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tblLook w:val="04A0" w:firstRow="1" w:lastRow="0" w:firstColumn="1" w:lastColumn="0" w:noHBand="0" w:noVBand="1"/>
      </w:tblPr>
      <w:tblGrid>
        <w:gridCol w:w="8495"/>
      </w:tblGrid>
      <w:tr w:rsidR="008123E0" w:rsidRPr="00B275E2" w14:paraId="65092063" w14:textId="77777777" w:rsidTr="007F0B1E">
        <w:tc>
          <w:tcPr>
            <w:tcW w:w="8720" w:type="dxa"/>
          </w:tcPr>
          <w:p w14:paraId="65092062" w14:textId="75C4F8C7" w:rsidR="008123E0" w:rsidRPr="00B275E2" w:rsidRDefault="002B2882" w:rsidP="007F0B1E">
            <w:pPr>
              <w:pStyle w:val="Box"/>
              <w:spacing w:before="0" w:after="0"/>
              <w:ind w:left="0"/>
            </w:pPr>
            <m:oMathPara>
              <m:oMath>
                <m:r>
                  <w:rPr>
                    <w:rFonts w:ascii="Cambria Math" w:hAnsi="Cambria Math"/>
                  </w:rPr>
                  <m:t>emissions</m:t>
                </m:r>
                <m:r>
                  <m:rPr>
                    <m:sty m:val="p"/>
                  </m:rPr>
                  <w:rPr>
                    <w:rFonts w:ascii="Cambria Math" w:hAnsi="Cambria Math"/>
                  </w:rPr>
                  <m:t xml:space="preserve"> </m:t>
                </m:r>
                <m:r>
                  <w:rPr>
                    <w:rFonts w:ascii="Cambria Math" w:hAnsi="Cambria Math"/>
                  </w:rPr>
                  <m:t>per</m:t>
                </m:r>
                <m:r>
                  <m:rPr>
                    <m:sty m:val="p"/>
                  </m:rPr>
                  <w:rPr>
                    <w:rFonts w:ascii="Cambria Math" w:hAnsi="Cambria Math"/>
                  </w:rPr>
                  <m:t xml:space="preserve"> $ </m:t>
                </m:r>
                <m:r>
                  <w:rPr>
                    <w:rFonts w:ascii="Cambria Math" w:hAnsi="Cambria Math"/>
                  </w:rPr>
                  <m:t>spend</m:t>
                </m:r>
                <m:r>
                  <m:rPr>
                    <m:sty m:val="p"/>
                  </m:rPr>
                  <w:rPr>
                    <w:rFonts w:ascii="Cambria Math" w:hAnsi="Cambria Math"/>
                  </w:rPr>
                  <m:t>=</m:t>
                </m:r>
                <m:f>
                  <m:fPr>
                    <m:ctrlPr>
                      <w:rPr>
                        <w:rFonts w:ascii="Cambria Math" w:hAnsi="Cambria Math"/>
                        <w:i/>
                      </w:rPr>
                    </m:ctrlPr>
                  </m:fPr>
                  <m:num>
                    <m:r>
                      <w:rPr>
                        <w:rFonts w:ascii="Cambria Math" w:hAnsi="Cambria Math"/>
                      </w:rPr>
                      <m:t>emissions per km</m:t>
                    </m:r>
                  </m:num>
                  <m:den>
                    <m:r>
                      <w:rPr>
                        <w:rFonts w:ascii="Cambria Math" w:hAnsi="Cambria Math"/>
                      </w:rPr>
                      <m:t>$3.20 per km</m:t>
                    </m:r>
                  </m:den>
                </m:f>
              </m:oMath>
            </m:oMathPara>
          </w:p>
        </w:tc>
      </w:tr>
    </w:tbl>
    <w:p w14:paraId="65092076" w14:textId="625FBE62" w:rsidR="00654EA7" w:rsidRPr="00B275E2" w:rsidRDefault="00654EA7" w:rsidP="00724236">
      <w:pPr>
        <w:pStyle w:val="Tableheading"/>
        <w:spacing w:before="360"/>
      </w:pPr>
      <w:bookmarkStart w:id="355" w:name="_Ref529837324"/>
      <w:bookmarkStart w:id="356" w:name="_Ref612346"/>
      <w:bookmarkStart w:id="357" w:name="table24"/>
      <w:bookmarkStart w:id="358" w:name="_Ref53146591"/>
      <w:bookmarkStart w:id="359" w:name="_Toc111536630"/>
      <w:r w:rsidRPr="00B275E2">
        <w:t xml:space="preserve">Table </w:t>
      </w:r>
      <w:r w:rsidRPr="00B275E2">
        <w:fldChar w:fldCharType="begin"/>
      </w:r>
      <w:r w:rsidRPr="00B275E2">
        <w:instrText>SEQ Table \* ARABIC</w:instrText>
      </w:r>
      <w:r w:rsidRPr="00B275E2">
        <w:fldChar w:fldCharType="separate"/>
      </w:r>
      <w:r w:rsidR="003E141C" w:rsidRPr="00B275E2">
        <w:t>25</w:t>
      </w:r>
      <w:r w:rsidRPr="00B275E2">
        <w:fldChar w:fldCharType="end"/>
      </w:r>
      <w:bookmarkEnd w:id="355"/>
      <w:bookmarkEnd w:id="356"/>
      <w:bookmarkEnd w:id="357"/>
      <w:r w:rsidR="00861CC1" w:rsidRPr="00B275E2">
        <w:t>:</w:t>
      </w:r>
      <w:r w:rsidR="00861CC1" w:rsidRPr="00B275E2">
        <w:tab/>
      </w:r>
      <w:r w:rsidRPr="00B275E2">
        <w:t>Data on the number of taxis purchased by fuel type</w:t>
      </w:r>
      <w:bookmarkEnd w:id="358"/>
      <w:bookmarkEnd w:id="359"/>
    </w:p>
    <w:tbl>
      <w:tblPr>
        <w:tblStyle w:val="TableGrid"/>
        <w:tblW w:w="8505"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ayout w:type="fixed"/>
        <w:tblLook w:val="04A0" w:firstRow="1" w:lastRow="0" w:firstColumn="1" w:lastColumn="0" w:noHBand="0" w:noVBand="1"/>
      </w:tblPr>
      <w:tblGrid>
        <w:gridCol w:w="2561"/>
        <w:gridCol w:w="2717"/>
        <w:gridCol w:w="1075"/>
        <w:gridCol w:w="1076"/>
        <w:gridCol w:w="1076"/>
      </w:tblGrid>
      <w:tr w:rsidR="00E47049" w:rsidRPr="00B275E2" w14:paraId="6509207B" w14:textId="77777777" w:rsidTr="00724236">
        <w:trPr>
          <w:trHeight w:val="360"/>
        </w:trPr>
        <w:tc>
          <w:tcPr>
            <w:tcW w:w="5278" w:type="dxa"/>
            <w:gridSpan w:val="2"/>
            <w:shd w:val="clear" w:color="auto" w:fill="1B556B" w:themeFill="text2"/>
            <w:noWrap/>
            <w:hideMark/>
          </w:tcPr>
          <w:p w14:paraId="65092077" w14:textId="403CFBDD" w:rsidR="00E47049" w:rsidRPr="00B275E2" w:rsidRDefault="00E47049" w:rsidP="007F0B1E">
            <w:pPr>
              <w:pStyle w:val="TableText"/>
              <w:rPr>
                <w:b/>
                <w:color w:val="FFFFFF" w:themeColor="background1"/>
              </w:rPr>
            </w:pPr>
            <w:bookmarkStart w:id="360" w:name="_Hlk52963511"/>
            <w:r w:rsidRPr="00B275E2">
              <w:rPr>
                <w:b/>
                <w:color w:val="FFFFFF" w:themeColor="background1"/>
              </w:rPr>
              <w:t xml:space="preserve">Taxi </w:t>
            </w:r>
            <w:r w:rsidR="00EC3183" w:rsidRPr="00B275E2">
              <w:rPr>
                <w:b/>
                <w:color w:val="FFFFFF" w:themeColor="background1"/>
              </w:rPr>
              <w:t>c</w:t>
            </w:r>
            <w:r w:rsidRPr="00B275E2">
              <w:rPr>
                <w:b/>
                <w:color w:val="FFFFFF" w:themeColor="background1"/>
              </w:rPr>
              <w:t>ars purchased by year</w:t>
            </w:r>
          </w:p>
        </w:tc>
        <w:tc>
          <w:tcPr>
            <w:tcW w:w="1075" w:type="dxa"/>
            <w:shd w:val="clear" w:color="auto" w:fill="1B556B" w:themeFill="text2"/>
            <w:noWrap/>
          </w:tcPr>
          <w:p w14:paraId="65092078" w14:textId="61670CDF" w:rsidR="00E47049" w:rsidRPr="00B275E2" w:rsidRDefault="00E47049" w:rsidP="007F0B1E">
            <w:pPr>
              <w:pStyle w:val="TableText"/>
              <w:jc w:val="right"/>
              <w:rPr>
                <w:b/>
                <w:color w:val="FFFFFF" w:themeColor="background1"/>
              </w:rPr>
            </w:pPr>
            <w:r w:rsidRPr="00B275E2">
              <w:rPr>
                <w:b/>
                <w:color w:val="FFFFFF" w:themeColor="background1"/>
              </w:rPr>
              <w:t>201</w:t>
            </w:r>
            <w:r w:rsidR="007C3BE8" w:rsidRPr="00B275E2">
              <w:rPr>
                <w:b/>
                <w:color w:val="FFFFFF" w:themeColor="background1"/>
              </w:rPr>
              <w:t>7</w:t>
            </w:r>
          </w:p>
        </w:tc>
        <w:tc>
          <w:tcPr>
            <w:tcW w:w="1076" w:type="dxa"/>
            <w:shd w:val="clear" w:color="auto" w:fill="1B556B" w:themeFill="text2"/>
            <w:noWrap/>
          </w:tcPr>
          <w:p w14:paraId="65092079" w14:textId="5D651F82" w:rsidR="00E47049" w:rsidRPr="00B275E2" w:rsidRDefault="00E47049" w:rsidP="007F0B1E">
            <w:pPr>
              <w:pStyle w:val="TableText"/>
              <w:jc w:val="right"/>
              <w:rPr>
                <w:b/>
                <w:color w:val="FFFFFF" w:themeColor="background1"/>
              </w:rPr>
            </w:pPr>
            <w:r w:rsidRPr="00B275E2">
              <w:rPr>
                <w:b/>
                <w:color w:val="FFFFFF" w:themeColor="background1"/>
              </w:rPr>
              <w:t>201</w:t>
            </w:r>
            <w:r w:rsidR="007C3BE8" w:rsidRPr="00B275E2">
              <w:rPr>
                <w:b/>
                <w:color w:val="FFFFFF" w:themeColor="background1"/>
              </w:rPr>
              <w:t>8</w:t>
            </w:r>
          </w:p>
        </w:tc>
        <w:tc>
          <w:tcPr>
            <w:tcW w:w="1076" w:type="dxa"/>
            <w:shd w:val="clear" w:color="auto" w:fill="1B556B" w:themeFill="text2"/>
            <w:noWrap/>
          </w:tcPr>
          <w:p w14:paraId="6509207A" w14:textId="632CCDE2" w:rsidR="00E47049" w:rsidRPr="00B275E2" w:rsidRDefault="00E47049" w:rsidP="007F0B1E">
            <w:pPr>
              <w:pStyle w:val="TableText"/>
              <w:jc w:val="right"/>
              <w:rPr>
                <w:b/>
                <w:color w:val="FFFFFF" w:themeColor="background1"/>
              </w:rPr>
            </w:pPr>
            <w:r w:rsidRPr="00B275E2">
              <w:rPr>
                <w:b/>
                <w:color w:val="FFFFFF" w:themeColor="background1"/>
              </w:rPr>
              <w:t>201</w:t>
            </w:r>
            <w:r w:rsidR="007C3BE8" w:rsidRPr="00B275E2">
              <w:rPr>
                <w:b/>
                <w:color w:val="FFFFFF" w:themeColor="background1"/>
              </w:rPr>
              <w:t>9</w:t>
            </w:r>
          </w:p>
        </w:tc>
      </w:tr>
      <w:tr w:rsidR="00B11894" w:rsidRPr="00B275E2" w14:paraId="65092081" w14:textId="77777777" w:rsidTr="00724236">
        <w:trPr>
          <w:trHeight w:val="300"/>
        </w:trPr>
        <w:tc>
          <w:tcPr>
            <w:tcW w:w="2561" w:type="dxa"/>
            <w:vMerge w:val="restart"/>
            <w:hideMark/>
          </w:tcPr>
          <w:p w14:paraId="6509207C" w14:textId="77777777" w:rsidR="00B11894" w:rsidRPr="00B275E2" w:rsidRDefault="00B11894" w:rsidP="007F0B1E">
            <w:pPr>
              <w:pStyle w:val="TableText"/>
              <w:rPr>
                <w:szCs w:val="18"/>
              </w:rPr>
            </w:pPr>
            <w:r w:rsidRPr="00B275E2">
              <w:rPr>
                <w:szCs w:val="18"/>
              </w:rPr>
              <w:t>Taxi commercial passenger (MIA NZTA – vehicle sales data)</w:t>
            </w:r>
          </w:p>
        </w:tc>
        <w:tc>
          <w:tcPr>
            <w:tcW w:w="2717" w:type="dxa"/>
            <w:shd w:val="clear" w:color="auto" w:fill="auto"/>
            <w:noWrap/>
          </w:tcPr>
          <w:p w14:paraId="6509207D" w14:textId="77777777" w:rsidR="00B11894" w:rsidRPr="00B275E2" w:rsidRDefault="00B11894" w:rsidP="007F0B1E">
            <w:pPr>
              <w:pStyle w:val="TableText"/>
              <w:rPr>
                <w:szCs w:val="18"/>
              </w:rPr>
            </w:pPr>
            <w:r w:rsidRPr="00B275E2">
              <w:rPr>
                <w:rFonts w:cs="Calibri"/>
                <w:color w:val="000000"/>
                <w:szCs w:val="18"/>
              </w:rPr>
              <w:t>Petrol</w:t>
            </w:r>
          </w:p>
        </w:tc>
        <w:tc>
          <w:tcPr>
            <w:tcW w:w="1075" w:type="dxa"/>
            <w:shd w:val="clear" w:color="auto" w:fill="FFFFFF"/>
            <w:noWrap/>
            <w:vAlign w:val="center"/>
          </w:tcPr>
          <w:p w14:paraId="6509207E" w14:textId="48DEEB1F" w:rsidR="00B11894" w:rsidRPr="00B275E2" w:rsidRDefault="00B11894" w:rsidP="007F0B1E">
            <w:pPr>
              <w:pStyle w:val="TableText"/>
              <w:jc w:val="right"/>
              <w:rPr>
                <w:rFonts w:asciiTheme="minorHAnsi" w:hAnsiTheme="minorHAnsi"/>
                <w:szCs w:val="18"/>
              </w:rPr>
            </w:pPr>
            <w:r w:rsidRPr="00B275E2">
              <w:rPr>
                <w:rFonts w:asciiTheme="minorHAnsi" w:eastAsia="Times New Roman" w:hAnsiTheme="minorHAnsi" w:cs="Segoe UI"/>
                <w:szCs w:val="18"/>
              </w:rPr>
              <w:t>181</w:t>
            </w:r>
          </w:p>
        </w:tc>
        <w:tc>
          <w:tcPr>
            <w:tcW w:w="1076" w:type="dxa"/>
            <w:shd w:val="clear" w:color="auto" w:fill="FFFFFF"/>
            <w:noWrap/>
            <w:vAlign w:val="center"/>
          </w:tcPr>
          <w:p w14:paraId="6509207F" w14:textId="2AEED63C" w:rsidR="00B11894" w:rsidRPr="00B275E2" w:rsidRDefault="00B11894" w:rsidP="007F0B1E">
            <w:pPr>
              <w:pStyle w:val="TableText"/>
              <w:jc w:val="right"/>
              <w:rPr>
                <w:rFonts w:asciiTheme="minorHAnsi" w:hAnsiTheme="minorHAnsi"/>
                <w:sz w:val="20"/>
                <w:szCs w:val="18"/>
              </w:rPr>
            </w:pPr>
            <w:r w:rsidRPr="00B275E2">
              <w:rPr>
                <w:rFonts w:asciiTheme="minorHAnsi" w:eastAsia="Times New Roman" w:hAnsiTheme="minorHAnsi" w:cs="Segoe UI"/>
                <w:szCs w:val="18"/>
              </w:rPr>
              <w:t>116</w:t>
            </w:r>
          </w:p>
        </w:tc>
        <w:tc>
          <w:tcPr>
            <w:tcW w:w="1076" w:type="dxa"/>
            <w:shd w:val="clear" w:color="auto" w:fill="FFFFFF"/>
            <w:noWrap/>
            <w:vAlign w:val="center"/>
          </w:tcPr>
          <w:p w14:paraId="65092080" w14:textId="279D8AB3" w:rsidR="00B11894" w:rsidRPr="00B275E2" w:rsidRDefault="00B11894" w:rsidP="007F0B1E">
            <w:pPr>
              <w:pStyle w:val="TableText"/>
              <w:jc w:val="right"/>
              <w:rPr>
                <w:rFonts w:asciiTheme="minorHAnsi" w:hAnsiTheme="minorHAnsi"/>
                <w:sz w:val="20"/>
                <w:szCs w:val="18"/>
              </w:rPr>
            </w:pPr>
            <w:r w:rsidRPr="00B275E2">
              <w:rPr>
                <w:rFonts w:asciiTheme="minorHAnsi" w:eastAsia="Times New Roman" w:hAnsiTheme="minorHAnsi" w:cs="Segoe UI"/>
                <w:szCs w:val="18"/>
              </w:rPr>
              <w:t>84</w:t>
            </w:r>
          </w:p>
        </w:tc>
      </w:tr>
      <w:tr w:rsidR="00B11894" w:rsidRPr="00B275E2" w14:paraId="65092087" w14:textId="77777777" w:rsidTr="00724236">
        <w:trPr>
          <w:trHeight w:val="300"/>
        </w:trPr>
        <w:tc>
          <w:tcPr>
            <w:tcW w:w="2561" w:type="dxa"/>
            <w:vMerge/>
            <w:hideMark/>
          </w:tcPr>
          <w:p w14:paraId="65092082" w14:textId="77777777" w:rsidR="00B11894" w:rsidRPr="00B275E2" w:rsidRDefault="00B11894" w:rsidP="007F0B1E">
            <w:pPr>
              <w:pStyle w:val="TableText"/>
              <w:rPr>
                <w:szCs w:val="18"/>
              </w:rPr>
            </w:pPr>
          </w:p>
        </w:tc>
        <w:tc>
          <w:tcPr>
            <w:tcW w:w="2717" w:type="dxa"/>
            <w:shd w:val="clear" w:color="auto" w:fill="auto"/>
            <w:noWrap/>
          </w:tcPr>
          <w:p w14:paraId="65092083" w14:textId="77777777" w:rsidR="00B11894" w:rsidRPr="00B275E2" w:rsidRDefault="00B11894" w:rsidP="007F0B1E">
            <w:pPr>
              <w:pStyle w:val="TableText"/>
              <w:rPr>
                <w:szCs w:val="18"/>
              </w:rPr>
            </w:pPr>
            <w:r w:rsidRPr="00B275E2">
              <w:rPr>
                <w:rFonts w:cs="Calibri"/>
                <w:color w:val="000000"/>
                <w:szCs w:val="18"/>
              </w:rPr>
              <w:t>Diesel</w:t>
            </w:r>
          </w:p>
        </w:tc>
        <w:tc>
          <w:tcPr>
            <w:tcW w:w="1075" w:type="dxa"/>
            <w:shd w:val="clear" w:color="auto" w:fill="FFFFFF"/>
            <w:noWrap/>
            <w:vAlign w:val="center"/>
          </w:tcPr>
          <w:p w14:paraId="65092084" w14:textId="61DEB2C4" w:rsidR="00B11894" w:rsidRPr="00B275E2" w:rsidRDefault="00B11894" w:rsidP="007F0B1E">
            <w:pPr>
              <w:pStyle w:val="TableText"/>
              <w:jc w:val="right"/>
              <w:rPr>
                <w:rFonts w:asciiTheme="minorHAnsi" w:hAnsiTheme="minorHAnsi"/>
                <w:szCs w:val="18"/>
              </w:rPr>
            </w:pPr>
            <w:r w:rsidRPr="00B275E2">
              <w:rPr>
                <w:rFonts w:asciiTheme="minorHAnsi" w:eastAsia="Times New Roman" w:hAnsiTheme="minorHAnsi" w:cs="Segoe UI"/>
                <w:szCs w:val="18"/>
              </w:rPr>
              <w:t>796</w:t>
            </w:r>
          </w:p>
        </w:tc>
        <w:tc>
          <w:tcPr>
            <w:tcW w:w="1076" w:type="dxa"/>
            <w:shd w:val="clear" w:color="auto" w:fill="FFFFFF"/>
            <w:noWrap/>
            <w:vAlign w:val="center"/>
          </w:tcPr>
          <w:p w14:paraId="65092085" w14:textId="377CFCD1" w:rsidR="00B11894" w:rsidRPr="00B275E2" w:rsidRDefault="00B11894" w:rsidP="007F0B1E">
            <w:pPr>
              <w:pStyle w:val="TableText"/>
              <w:jc w:val="right"/>
              <w:rPr>
                <w:rFonts w:asciiTheme="minorHAnsi" w:hAnsiTheme="minorHAnsi"/>
                <w:sz w:val="20"/>
                <w:szCs w:val="18"/>
              </w:rPr>
            </w:pPr>
            <w:r w:rsidRPr="00B275E2">
              <w:rPr>
                <w:rFonts w:asciiTheme="minorHAnsi" w:eastAsia="Times New Roman" w:hAnsiTheme="minorHAnsi" w:cs="Segoe UI"/>
                <w:szCs w:val="18"/>
              </w:rPr>
              <w:t>888</w:t>
            </w:r>
          </w:p>
        </w:tc>
        <w:tc>
          <w:tcPr>
            <w:tcW w:w="1076" w:type="dxa"/>
            <w:shd w:val="clear" w:color="auto" w:fill="FFFFFF"/>
            <w:noWrap/>
            <w:vAlign w:val="center"/>
          </w:tcPr>
          <w:p w14:paraId="65092086" w14:textId="50FBC22E" w:rsidR="00B11894" w:rsidRPr="00B275E2" w:rsidRDefault="00B11894" w:rsidP="007F0B1E">
            <w:pPr>
              <w:pStyle w:val="TableText"/>
              <w:jc w:val="right"/>
              <w:rPr>
                <w:rFonts w:asciiTheme="minorHAnsi" w:hAnsiTheme="minorHAnsi"/>
                <w:sz w:val="20"/>
                <w:szCs w:val="18"/>
              </w:rPr>
            </w:pPr>
            <w:r w:rsidRPr="00B275E2">
              <w:rPr>
                <w:rFonts w:asciiTheme="minorHAnsi" w:eastAsia="Times New Roman" w:hAnsiTheme="minorHAnsi" w:cs="Segoe UI"/>
                <w:szCs w:val="18"/>
              </w:rPr>
              <w:t>448</w:t>
            </w:r>
          </w:p>
        </w:tc>
      </w:tr>
      <w:tr w:rsidR="00B11894" w:rsidRPr="00B275E2" w14:paraId="6509208D" w14:textId="77777777" w:rsidTr="00724236">
        <w:trPr>
          <w:trHeight w:val="300"/>
        </w:trPr>
        <w:tc>
          <w:tcPr>
            <w:tcW w:w="2561" w:type="dxa"/>
            <w:vMerge/>
            <w:hideMark/>
          </w:tcPr>
          <w:p w14:paraId="65092088" w14:textId="77777777" w:rsidR="00B11894" w:rsidRPr="00B275E2" w:rsidRDefault="00B11894" w:rsidP="007F0B1E">
            <w:pPr>
              <w:pStyle w:val="TableText"/>
              <w:rPr>
                <w:szCs w:val="18"/>
              </w:rPr>
            </w:pPr>
          </w:p>
        </w:tc>
        <w:tc>
          <w:tcPr>
            <w:tcW w:w="2717" w:type="dxa"/>
            <w:shd w:val="clear" w:color="auto" w:fill="auto"/>
            <w:noWrap/>
          </w:tcPr>
          <w:p w14:paraId="65092089" w14:textId="77777777" w:rsidR="00B11894" w:rsidRPr="00B275E2" w:rsidRDefault="00B11894" w:rsidP="007F0B1E">
            <w:pPr>
              <w:pStyle w:val="TableText"/>
              <w:rPr>
                <w:szCs w:val="18"/>
              </w:rPr>
            </w:pPr>
            <w:r w:rsidRPr="00B275E2">
              <w:rPr>
                <w:rFonts w:cs="Calibri"/>
                <w:color w:val="000000"/>
                <w:szCs w:val="18"/>
              </w:rPr>
              <w:t>Electric</w:t>
            </w:r>
          </w:p>
        </w:tc>
        <w:tc>
          <w:tcPr>
            <w:tcW w:w="1075" w:type="dxa"/>
            <w:shd w:val="clear" w:color="auto" w:fill="FFFFFF"/>
            <w:noWrap/>
            <w:vAlign w:val="center"/>
          </w:tcPr>
          <w:p w14:paraId="6509208A" w14:textId="655539E6" w:rsidR="00B11894" w:rsidRPr="00B275E2" w:rsidRDefault="00B11894" w:rsidP="007F0B1E">
            <w:pPr>
              <w:pStyle w:val="TableText"/>
              <w:jc w:val="right"/>
              <w:rPr>
                <w:rFonts w:asciiTheme="minorHAnsi" w:hAnsiTheme="minorHAnsi"/>
                <w:szCs w:val="18"/>
              </w:rPr>
            </w:pPr>
            <w:r w:rsidRPr="00B275E2">
              <w:rPr>
                <w:rFonts w:asciiTheme="minorHAnsi" w:eastAsia="Times New Roman" w:hAnsiTheme="minorHAnsi" w:cs="Segoe UI"/>
                <w:szCs w:val="18"/>
              </w:rPr>
              <w:t>8</w:t>
            </w:r>
          </w:p>
        </w:tc>
        <w:tc>
          <w:tcPr>
            <w:tcW w:w="1076" w:type="dxa"/>
            <w:shd w:val="clear" w:color="auto" w:fill="FFFFFF"/>
            <w:noWrap/>
            <w:vAlign w:val="center"/>
          </w:tcPr>
          <w:p w14:paraId="6509208B" w14:textId="119B0892" w:rsidR="00B11894" w:rsidRPr="00B275E2" w:rsidRDefault="00B11894" w:rsidP="007F0B1E">
            <w:pPr>
              <w:pStyle w:val="TableText"/>
              <w:jc w:val="right"/>
              <w:rPr>
                <w:rFonts w:asciiTheme="minorHAnsi" w:hAnsiTheme="minorHAnsi"/>
                <w:sz w:val="20"/>
                <w:szCs w:val="18"/>
              </w:rPr>
            </w:pPr>
            <w:r w:rsidRPr="00B275E2">
              <w:rPr>
                <w:rFonts w:asciiTheme="minorHAnsi" w:eastAsia="Times New Roman" w:hAnsiTheme="minorHAnsi" w:cs="Segoe UI"/>
                <w:szCs w:val="18"/>
              </w:rPr>
              <w:t>14</w:t>
            </w:r>
          </w:p>
        </w:tc>
        <w:tc>
          <w:tcPr>
            <w:tcW w:w="1076" w:type="dxa"/>
            <w:shd w:val="clear" w:color="auto" w:fill="FFFFFF"/>
            <w:noWrap/>
            <w:vAlign w:val="center"/>
          </w:tcPr>
          <w:p w14:paraId="6509208C" w14:textId="03A47E9E" w:rsidR="00B11894" w:rsidRPr="00B275E2" w:rsidRDefault="00B11894" w:rsidP="007F0B1E">
            <w:pPr>
              <w:pStyle w:val="TableText"/>
              <w:jc w:val="right"/>
              <w:rPr>
                <w:rFonts w:asciiTheme="minorHAnsi" w:hAnsiTheme="minorHAnsi"/>
                <w:sz w:val="20"/>
                <w:szCs w:val="18"/>
              </w:rPr>
            </w:pPr>
            <w:r w:rsidRPr="00B275E2">
              <w:rPr>
                <w:rFonts w:asciiTheme="minorHAnsi" w:eastAsia="Times New Roman" w:hAnsiTheme="minorHAnsi" w:cs="Segoe UI"/>
                <w:szCs w:val="18"/>
              </w:rPr>
              <w:t>9</w:t>
            </w:r>
          </w:p>
        </w:tc>
      </w:tr>
      <w:tr w:rsidR="00B11894" w:rsidRPr="00B275E2" w14:paraId="65092093" w14:textId="77777777" w:rsidTr="00724236">
        <w:trPr>
          <w:trHeight w:val="300"/>
        </w:trPr>
        <w:tc>
          <w:tcPr>
            <w:tcW w:w="2561" w:type="dxa"/>
            <w:vMerge/>
            <w:hideMark/>
          </w:tcPr>
          <w:p w14:paraId="6509208E" w14:textId="77777777" w:rsidR="00B11894" w:rsidRPr="00B275E2" w:rsidRDefault="00B11894" w:rsidP="007F0B1E">
            <w:pPr>
              <w:pStyle w:val="TableText"/>
              <w:rPr>
                <w:szCs w:val="18"/>
              </w:rPr>
            </w:pPr>
          </w:p>
        </w:tc>
        <w:tc>
          <w:tcPr>
            <w:tcW w:w="2717" w:type="dxa"/>
            <w:shd w:val="clear" w:color="auto" w:fill="auto"/>
            <w:noWrap/>
          </w:tcPr>
          <w:p w14:paraId="6509208F" w14:textId="1FE674E4" w:rsidR="00B11894" w:rsidRPr="00B275E2" w:rsidRDefault="00B11894" w:rsidP="007F0B1E">
            <w:pPr>
              <w:pStyle w:val="TableText"/>
              <w:rPr>
                <w:szCs w:val="18"/>
              </w:rPr>
            </w:pPr>
            <w:r w:rsidRPr="00B275E2">
              <w:rPr>
                <w:szCs w:val="18"/>
              </w:rPr>
              <w:t>Petrol hybrid</w:t>
            </w:r>
          </w:p>
        </w:tc>
        <w:tc>
          <w:tcPr>
            <w:tcW w:w="1075" w:type="dxa"/>
            <w:shd w:val="clear" w:color="auto" w:fill="FFFFFF"/>
            <w:noWrap/>
            <w:vAlign w:val="center"/>
          </w:tcPr>
          <w:p w14:paraId="65092090" w14:textId="589A2201" w:rsidR="00B11894" w:rsidRPr="00B275E2" w:rsidRDefault="00B11894" w:rsidP="007F0B1E">
            <w:pPr>
              <w:pStyle w:val="TableText"/>
              <w:jc w:val="right"/>
              <w:rPr>
                <w:rFonts w:asciiTheme="minorHAnsi" w:hAnsiTheme="minorHAnsi"/>
                <w:szCs w:val="18"/>
              </w:rPr>
            </w:pPr>
            <w:r w:rsidRPr="00B275E2">
              <w:rPr>
                <w:rFonts w:asciiTheme="minorHAnsi" w:eastAsia="Times New Roman" w:hAnsiTheme="minorHAnsi" w:cs="Segoe UI"/>
                <w:szCs w:val="18"/>
              </w:rPr>
              <w:t>44</w:t>
            </w:r>
          </w:p>
        </w:tc>
        <w:tc>
          <w:tcPr>
            <w:tcW w:w="1076" w:type="dxa"/>
            <w:shd w:val="clear" w:color="auto" w:fill="FFFFFF"/>
            <w:noWrap/>
            <w:vAlign w:val="center"/>
          </w:tcPr>
          <w:p w14:paraId="65092091" w14:textId="2C175974" w:rsidR="00B11894" w:rsidRPr="00B275E2" w:rsidRDefault="00B11894" w:rsidP="007F0B1E">
            <w:pPr>
              <w:pStyle w:val="TableText"/>
              <w:jc w:val="right"/>
              <w:rPr>
                <w:rFonts w:asciiTheme="minorHAnsi" w:hAnsiTheme="minorHAnsi"/>
                <w:sz w:val="20"/>
                <w:szCs w:val="18"/>
              </w:rPr>
            </w:pPr>
            <w:r w:rsidRPr="00B275E2">
              <w:rPr>
                <w:rFonts w:asciiTheme="minorHAnsi" w:eastAsia="Times New Roman" w:hAnsiTheme="minorHAnsi" w:cs="Segoe UI"/>
                <w:szCs w:val="18"/>
              </w:rPr>
              <w:t>66</w:t>
            </w:r>
          </w:p>
        </w:tc>
        <w:tc>
          <w:tcPr>
            <w:tcW w:w="1076" w:type="dxa"/>
            <w:shd w:val="clear" w:color="auto" w:fill="FFFFFF"/>
            <w:noWrap/>
            <w:vAlign w:val="center"/>
          </w:tcPr>
          <w:p w14:paraId="65092092" w14:textId="16CF8FDC" w:rsidR="00B11894" w:rsidRPr="00B275E2" w:rsidRDefault="00B11894" w:rsidP="007F0B1E">
            <w:pPr>
              <w:pStyle w:val="TableText"/>
              <w:jc w:val="right"/>
              <w:rPr>
                <w:rFonts w:asciiTheme="minorHAnsi" w:hAnsiTheme="minorHAnsi"/>
                <w:sz w:val="20"/>
                <w:szCs w:val="18"/>
              </w:rPr>
            </w:pPr>
            <w:r w:rsidRPr="00B275E2">
              <w:rPr>
                <w:rFonts w:asciiTheme="minorHAnsi" w:eastAsia="Times New Roman" w:hAnsiTheme="minorHAnsi" w:cs="Segoe UI"/>
                <w:szCs w:val="18"/>
              </w:rPr>
              <w:t>63</w:t>
            </w:r>
          </w:p>
        </w:tc>
      </w:tr>
      <w:tr w:rsidR="00B11894" w:rsidRPr="00B275E2" w14:paraId="65092099" w14:textId="77777777" w:rsidTr="00724236">
        <w:trPr>
          <w:trHeight w:val="300"/>
        </w:trPr>
        <w:tc>
          <w:tcPr>
            <w:tcW w:w="2561" w:type="dxa"/>
            <w:vMerge/>
          </w:tcPr>
          <w:p w14:paraId="65092094" w14:textId="77777777" w:rsidR="00B11894" w:rsidRPr="00B275E2" w:rsidRDefault="00B11894" w:rsidP="007F0B1E">
            <w:pPr>
              <w:pStyle w:val="TableText"/>
              <w:rPr>
                <w:szCs w:val="18"/>
              </w:rPr>
            </w:pPr>
          </w:p>
        </w:tc>
        <w:tc>
          <w:tcPr>
            <w:tcW w:w="2717" w:type="dxa"/>
            <w:shd w:val="clear" w:color="auto" w:fill="auto"/>
            <w:noWrap/>
          </w:tcPr>
          <w:p w14:paraId="65092095" w14:textId="77777777" w:rsidR="00B11894" w:rsidRPr="00B275E2" w:rsidRDefault="00B11894" w:rsidP="007F0B1E">
            <w:pPr>
              <w:pStyle w:val="TableText"/>
              <w:rPr>
                <w:szCs w:val="18"/>
              </w:rPr>
            </w:pPr>
            <w:r w:rsidRPr="00B275E2">
              <w:rPr>
                <w:rFonts w:cs="Calibri"/>
                <w:color w:val="000000"/>
                <w:szCs w:val="18"/>
              </w:rPr>
              <w:t>Petrol plug-in hybrid</w:t>
            </w:r>
          </w:p>
        </w:tc>
        <w:tc>
          <w:tcPr>
            <w:tcW w:w="1075" w:type="dxa"/>
            <w:shd w:val="clear" w:color="auto" w:fill="FFFFFF"/>
            <w:noWrap/>
            <w:vAlign w:val="center"/>
          </w:tcPr>
          <w:p w14:paraId="65092096" w14:textId="33CEA0CC" w:rsidR="00B11894" w:rsidRPr="00B275E2" w:rsidRDefault="00B11894" w:rsidP="007F0B1E">
            <w:pPr>
              <w:pStyle w:val="TableText"/>
              <w:jc w:val="right"/>
              <w:rPr>
                <w:rFonts w:asciiTheme="minorHAnsi" w:hAnsiTheme="minorHAnsi"/>
                <w:szCs w:val="18"/>
              </w:rPr>
            </w:pPr>
            <w:r w:rsidRPr="00B275E2">
              <w:rPr>
                <w:rFonts w:asciiTheme="minorHAnsi" w:eastAsia="Times New Roman" w:hAnsiTheme="minorHAnsi" w:cs="Segoe UI"/>
                <w:szCs w:val="18"/>
              </w:rPr>
              <w:t>1</w:t>
            </w:r>
          </w:p>
        </w:tc>
        <w:tc>
          <w:tcPr>
            <w:tcW w:w="1076" w:type="dxa"/>
            <w:shd w:val="clear" w:color="auto" w:fill="FFFFFF"/>
            <w:noWrap/>
            <w:vAlign w:val="center"/>
          </w:tcPr>
          <w:p w14:paraId="65092097" w14:textId="18FB7C97" w:rsidR="00B11894" w:rsidRPr="00B275E2" w:rsidRDefault="00B11894" w:rsidP="007F0B1E">
            <w:pPr>
              <w:pStyle w:val="TableText"/>
              <w:jc w:val="right"/>
              <w:rPr>
                <w:rFonts w:asciiTheme="minorHAnsi" w:hAnsiTheme="minorHAnsi"/>
                <w:sz w:val="20"/>
                <w:szCs w:val="18"/>
              </w:rPr>
            </w:pPr>
            <w:r w:rsidRPr="00B275E2">
              <w:rPr>
                <w:rFonts w:asciiTheme="minorHAnsi" w:eastAsia="Times New Roman" w:hAnsiTheme="minorHAnsi" w:cs="Segoe UI"/>
                <w:szCs w:val="18"/>
              </w:rPr>
              <w:t>1</w:t>
            </w:r>
          </w:p>
        </w:tc>
        <w:tc>
          <w:tcPr>
            <w:tcW w:w="1076" w:type="dxa"/>
            <w:shd w:val="clear" w:color="auto" w:fill="FFFFFF"/>
            <w:noWrap/>
            <w:vAlign w:val="center"/>
          </w:tcPr>
          <w:p w14:paraId="65092098" w14:textId="02E77577" w:rsidR="00B11894" w:rsidRPr="00B275E2" w:rsidRDefault="00B11894" w:rsidP="007F0B1E">
            <w:pPr>
              <w:pStyle w:val="TableText"/>
              <w:jc w:val="right"/>
              <w:rPr>
                <w:rFonts w:asciiTheme="minorHAnsi" w:hAnsiTheme="minorHAnsi"/>
                <w:sz w:val="20"/>
                <w:szCs w:val="18"/>
              </w:rPr>
            </w:pPr>
            <w:r w:rsidRPr="00B275E2">
              <w:rPr>
                <w:rFonts w:asciiTheme="minorHAnsi" w:eastAsia="Times New Roman" w:hAnsiTheme="minorHAnsi" w:cs="Segoe UI"/>
                <w:szCs w:val="18"/>
              </w:rPr>
              <w:t>2</w:t>
            </w:r>
          </w:p>
        </w:tc>
      </w:tr>
    </w:tbl>
    <w:bookmarkEnd w:id="360"/>
    <w:p w14:paraId="3585A7C9" w14:textId="24F4E52E" w:rsidR="00C20E3C" w:rsidRPr="00B275E2" w:rsidRDefault="00C20E3C" w:rsidP="007F0B1E">
      <w:pPr>
        <w:pStyle w:val="Note"/>
        <w:rPr>
          <w:rFonts w:eastAsia="Times New Roman"/>
        </w:rPr>
      </w:pPr>
      <w:r w:rsidRPr="00B275E2">
        <w:t>Source:</w:t>
      </w:r>
      <w:r w:rsidRPr="00B275E2">
        <w:tab/>
        <w:t>Motor Industry Authority</w:t>
      </w:r>
    </w:p>
    <w:p w14:paraId="6509209B" w14:textId="7C3BC2CB" w:rsidR="00700349" w:rsidRPr="00B275E2" w:rsidRDefault="001550D5" w:rsidP="007F0B1E">
      <w:pPr>
        <w:pStyle w:val="BodyText"/>
        <w:rPr>
          <w:rFonts w:eastAsia="Times New Roman"/>
        </w:rPr>
      </w:pPr>
      <w:r w:rsidRPr="00B275E2">
        <w:rPr>
          <w:rFonts w:eastAsia="Times New Roman"/>
        </w:rPr>
        <w:t>The p</w:t>
      </w:r>
      <w:r w:rsidR="00700349" w:rsidRPr="00B275E2">
        <w:rPr>
          <w:rFonts w:eastAsia="Times New Roman"/>
        </w:rPr>
        <w:t>rivate car default is based on the average age of the N</w:t>
      </w:r>
      <w:r w:rsidR="00861CC1" w:rsidRPr="00B275E2">
        <w:rPr>
          <w:rFonts w:eastAsia="Times New Roman"/>
        </w:rPr>
        <w:t xml:space="preserve">ew </w:t>
      </w:r>
      <w:r w:rsidR="00700349" w:rsidRPr="00B275E2">
        <w:rPr>
          <w:rFonts w:eastAsia="Times New Roman"/>
        </w:rPr>
        <w:t>Z</w:t>
      </w:r>
      <w:r w:rsidR="00861CC1" w:rsidRPr="00B275E2">
        <w:rPr>
          <w:rFonts w:eastAsia="Times New Roman"/>
        </w:rPr>
        <w:t>ealand</w:t>
      </w:r>
      <w:r w:rsidR="00700349" w:rsidRPr="00B275E2">
        <w:rPr>
          <w:rFonts w:eastAsia="Times New Roman"/>
        </w:rPr>
        <w:t xml:space="preserve"> fleet, back</w:t>
      </w:r>
      <w:r w:rsidR="00EC3183" w:rsidRPr="00B275E2">
        <w:rPr>
          <w:rFonts w:eastAsia="Times New Roman"/>
        </w:rPr>
        <w:t>-</w:t>
      </w:r>
      <w:r w:rsidR="00700349" w:rsidRPr="00B275E2">
        <w:rPr>
          <w:rFonts w:eastAsia="Times New Roman"/>
        </w:rPr>
        <w:t>calculated to</w:t>
      </w:r>
      <w:r w:rsidR="004E2443" w:rsidRPr="00B275E2">
        <w:rPr>
          <w:rFonts w:eastAsia="Times New Roman"/>
        </w:rPr>
        <w:t> </w:t>
      </w:r>
      <w:r w:rsidR="0081014F" w:rsidRPr="00B275E2">
        <w:rPr>
          <w:rFonts w:eastAsia="Times New Roman"/>
        </w:rPr>
        <w:t>the</w:t>
      </w:r>
      <w:r w:rsidR="00700349" w:rsidRPr="00B275E2">
        <w:rPr>
          <w:rFonts w:eastAsia="Times New Roman"/>
        </w:rPr>
        <w:t xml:space="preserve"> year of manufacture</w:t>
      </w:r>
      <w:r w:rsidRPr="00B275E2">
        <w:rPr>
          <w:rFonts w:eastAsia="Times New Roman"/>
        </w:rPr>
        <w:t>,</w:t>
      </w:r>
      <w:r w:rsidR="00700349" w:rsidRPr="00B275E2">
        <w:rPr>
          <w:rFonts w:eastAsia="Times New Roman"/>
        </w:rPr>
        <w:t xml:space="preserve"> </w:t>
      </w:r>
      <w:r w:rsidRPr="00B275E2">
        <w:rPr>
          <w:rFonts w:eastAsia="Times New Roman"/>
        </w:rPr>
        <w:t>with</w:t>
      </w:r>
      <w:r w:rsidR="00700349" w:rsidRPr="00B275E2">
        <w:rPr>
          <w:rFonts w:eastAsia="Times New Roman"/>
        </w:rPr>
        <w:t xml:space="preserve"> the real</w:t>
      </w:r>
      <w:r w:rsidR="00861CC1" w:rsidRPr="00B275E2">
        <w:rPr>
          <w:rFonts w:eastAsia="Times New Roman"/>
        </w:rPr>
        <w:t>-</w:t>
      </w:r>
      <w:r w:rsidR="00700349" w:rsidRPr="00B275E2">
        <w:rPr>
          <w:rFonts w:eastAsia="Times New Roman"/>
        </w:rPr>
        <w:t xml:space="preserve">world fuel consumption factor applied. According to </w:t>
      </w:r>
      <w:r w:rsidR="00B140FE" w:rsidRPr="00B275E2">
        <w:rPr>
          <w:rFonts w:eastAsia="Times New Roman"/>
        </w:rPr>
        <w:t>the Ministry of Transport (</w:t>
      </w:r>
      <w:r w:rsidR="00700349" w:rsidRPr="00B275E2">
        <w:rPr>
          <w:rFonts w:eastAsia="Times New Roman"/>
        </w:rPr>
        <w:t>MoT</w:t>
      </w:r>
      <w:r w:rsidR="00B140FE" w:rsidRPr="00B275E2">
        <w:rPr>
          <w:rFonts w:eastAsia="Times New Roman"/>
        </w:rPr>
        <w:t>)</w:t>
      </w:r>
      <w:r w:rsidR="00700349" w:rsidRPr="00B275E2">
        <w:rPr>
          <w:rStyle w:val="FootnoteReference"/>
          <w:rFonts w:eastAsia="Times New Roman" w:cs="Times New Roman"/>
          <w:bCs/>
          <w:color w:val="auto"/>
          <w:szCs w:val="20"/>
        </w:rPr>
        <w:footnoteReference w:id="34"/>
      </w:r>
      <w:r w:rsidR="00700349" w:rsidRPr="00B275E2">
        <w:rPr>
          <w:rFonts w:eastAsia="Times New Roman"/>
          <w:bCs/>
        </w:rPr>
        <w:t xml:space="preserve"> </w:t>
      </w:r>
      <w:r w:rsidR="00700349" w:rsidRPr="00B275E2">
        <w:rPr>
          <w:rFonts w:eastAsia="Times New Roman"/>
        </w:rPr>
        <w:t>the average age of light passenger vehicles in 201</w:t>
      </w:r>
      <w:r w:rsidR="000F2699" w:rsidRPr="00B275E2">
        <w:rPr>
          <w:rFonts w:eastAsia="Times New Roman"/>
        </w:rPr>
        <w:t>8</w:t>
      </w:r>
      <w:r w:rsidR="00700349" w:rsidRPr="00B275E2">
        <w:rPr>
          <w:rFonts w:eastAsia="Times New Roman"/>
        </w:rPr>
        <w:t xml:space="preserve"> was 14.</w:t>
      </w:r>
      <w:r w:rsidR="0077036E" w:rsidRPr="00B275E2">
        <w:rPr>
          <w:rFonts w:eastAsia="Times New Roman"/>
        </w:rPr>
        <w:t>4</w:t>
      </w:r>
      <w:r w:rsidR="004E2443" w:rsidRPr="00B275E2">
        <w:rPr>
          <w:rFonts w:eastAsia="Times New Roman"/>
        </w:rPr>
        <w:t> </w:t>
      </w:r>
      <w:r w:rsidR="00700349" w:rsidRPr="00B275E2">
        <w:rPr>
          <w:rFonts w:eastAsia="Times New Roman"/>
        </w:rPr>
        <w:t>years. This correlates to a 200</w:t>
      </w:r>
      <w:r w:rsidR="001C2E5D" w:rsidRPr="00B275E2">
        <w:rPr>
          <w:rFonts w:eastAsia="Times New Roman"/>
        </w:rPr>
        <w:t>4</w:t>
      </w:r>
      <w:r w:rsidR="00700349" w:rsidRPr="00B275E2">
        <w:rPr>
          <w:rFonts w:eastAsia="Times New Roman"/>
        </w:rPr>
        <w:t xml:space="preserve"> year of manufacture. </w:t>
      </w:r>
      <w:r w:rsidR="00FB3A5F" w:rsidRPr="00B275E2">
        <w:rPr>
          <w:rFonts w:eastAsia="Times New Roman"/>
        </w:rPr>
        <w:t>Also,</w:t>
      </w:r>
      <w:r w:rsidR="00525C6F" w:rsidRPr="00B275E2">
        <w:rPr>
          <w:rFonts w:eastAsia="Times New Roman"/>
        </w:rPr>
        <w:t xml:space="preserve"> a</w:t>
      </w:r>
      <w:r w:rsidR="00700349" w:rsidRPr="00B275E2">
        <w:rPr>
          <w:rFonts w:eastAsia="Times New Roman"/>
        </w:rPr>
        <w:t>ccording to MoT</w:t>
      </w:r>
      <w:r w:rsidR="00700349" w:rsidRPr="00B275E2">
        <w:rPr>
          <w:rStyle w:val="FootnoteReference"/>
          <w:rFonts w:eastAsia="Times New Roman" w:cs="Times New Roman"/>
          <w:bCs/>
          <w:color w:val="auto"/>
          <w:szCs w:val="20"/>
        </w:rPr>
        <w:footnoteReference w:id="35"/>
      </w:r>
      <w:r w:rsidR="00700349" w:rsidRPr="00B275E2">
        <w:rPr>
          <w:rFonts w:eastAsia="Times New Roman"/>
        </w:rPr>
        <w:t xml:space="preserve"> the most common size of light passenger vehicle is 2289 cc</w:t>
      </w:r>
      <w:r w:rsidR="00525C6F" w:rsidRPr="00B275E2">
        <w:rPr>
          <w:rFonts w:eastAsia="Times New Roman"/>
        </w:rPr>
        <w:t>,</w:t>
      </w:r>
      <w:r w:rsidR="00700349" w:rsidRPr="00B275E2">
        <w:rPr>
          <w:rFonts w:eastAsia="Times New Roman"/>
        </w:rPr>
        <w:t xml:space="preserve"> which puts it in the </w:t>
      </w:r>
      <w:r w:rsidR="0081014F" w:rsidRPr="00B275E2">
        <w:rPr>
          <w:rFonts w:eastAsia="Times New Roman"/>
        </w:rPr>
        <w:t>2000</w:t>
      </w:r>
      <w:r w:rsidR="001B68AF" w:rsidRPr="00B275E2">
        <w:rPr>
          <w:rFonts w:eastAsia="Times New Roman"/>
        </w:rPr>
        <w:t>–</w:t>
      </w:r>
      <w:r w:rsidR="00700349" w:rsidRPr="00B275E2">
        <w:rPr>
          <w:rFonts w:eastAsia="Times New Roman"/>
        </w:rPr>
        <w:t xml:space="preserve">3000 cc category. For electric vehicles </w:t>
      </w:r>
      <w:r w:rsidR="00FB3A5F" w:rsidRPr="00B275E2">
        <w:rPr>
          <w:rFonts w:eastAsia="Times New Roman"/>
        </w:rPr>
        <w:t>we assumed</w:t>
      </w:r>
      <w:r w:rsidR="00A80DFB" w:rsidRPr="00B275E2">
        <w:rPr>
          <w:rFonts w:eastAsia="Times New Roman"/>
        </w:rPr>
        <w:t xml:space="preserve"> a</w:t>
      </w:r>
      <w:r w:rsidR="002C3F9B" w:rsidRPr="00B275E2">
        <w:rPr>
          <w:rFonts w:eastAsia="Times New Roman"/>
        </w:rPr>
        <w:t xml:space="preserve"> 2010</w:t>
      </w:r>
      <w:r w:rsidR="00411C04" w:rsidRPr="00B275E2">
        <w:rPr>
          <w:rFonts w:eastAsia="Times New Roman"/>
        </w:rPr>
        <w:t>–</w:t>
      </w:r>
      <w:r w:rsidR="00A858A8" w:rsidRPr="00B275E2">
        <w:rPr>
          <w:rFonts w:eastAsia="Times New Roman"/>
        </w:rPr>
        <w:t>2015 fleet consumption for a 2000–3000 cc equivalent engine size</w:t>
      </w:r>
      <w:r w:rsidR="00EC3183" w:rsidRPr="00B275E2">
        <w:rPr>
          <w:rFonts w:eastAsia="Times New Roman"/>
        </w:rPr>
        <w:t>,</w:t>
      </w:r>
      <w:r w:rsidR="00176139" w:rsidRPr="00B275E2">
        <w:rPr>
          <w:rFonts w:eastAsia="Times New Roman"/>
        </w:rPr>
        <w:t xml:space="preserve"> in the absence of detailed information about fleet age</w:t>
      </w:r>
      <w:r w:rsidR="00A858A8" w:rsidRPr="00B275E2">
        <w:rPr>
          <w:rFonts w:eastAsia="Times New Roman"/>
        </w:rPr>
        <w:t>.</w:t>
      </w:r>
      <w:r w:rsidR="00700349" w:rsidRPr="00B275E2">
        <w:rPr>
          <w:rFonts w:eastAsia="Times New Roman"/>
        </w:rPr>
        <w:t xml:space="preserve"> </w:t>
      </w:r>
    </w:p>
    <w:p w14:paraId="6509209C" w14:textId="60D2D9AF" w:rsidR="001B2552" w:rsidRPr="00B275E2" w:rsidRDefault="001B2552" w:rsidP="0017052E">
      <w:pPr>
        <w:pStyle w:val="Tableheading"/>
      </w:pPr>
      <w:bookmarkStart w:id="361" w:name="_Ref53065918"/>
      <w:bookmarkStart w:id="362" w:name="_Toc111536631"/>
      <w:r w:rsidRPr="00B275E2">
        <w:t xml:space="preserve">Table </w:t>
      </w:r>
      <w:r w:rsidRPr="00B275E2">
        <w:fldChar w:fldCharType="begin"/>
      </w:r>
      <w:r w:rsidRPr="00B275E2">
        <w:instrText>SEQ Table \* ARABIC</w:instrText>
      </w:r>
      <w:r w:rsidRPr="00B275E2">
        <w:fldChar w:fldCharType="separate"/>
      </w:r>
      <w:r w:rsidR="003E141C" w:rsidRPr="00B275E2">
        <w:t>26</w:t>
      </w:r>
      <w:r w:rsidRPr="00B275E2">
        <w:fldChar w:fldCharType="end"/>
      </w:r>
      <w:bookmarkEnd w:id="361"/>
      <w:r w:rsidR="00861CC1" w:rsidRPr="00B275E2">
        <w:t>:</w:t>
      </w:r>
      <w:r w:rsidR="00861CC1" w:rsidRPr="00B275E2">
        <w:tab/>
      </w:r>
      <w:r w:rsidR="00B62B90" w:rsidRPr="00B275E2">
        <w:t>Energy</w:t>
      </w:r>
      <w:r w:rsidRPr="00B275E2">
        <w:t xml:space="preserve"> consumption</w:t>
      </w:r>
      <w:r w:rsidR="00B62B90" w:rsidRPr="00B275E2">
        <w:t xml:space="preserve"> per 100</w:t>
      </w:r>
      <w:r w:rsidR="00C20E3C" w:rsidRPr="00B275E2">
        <w:t xml:space="preserve"> </w:t>
      </w:r>
      <w:r w:rsidR="00B62B90" w:rsidRPr="00B275E2">
        <w:t>km</w:t>
      </w:r>
      <w:r w:rsidRPr="00B275E2">
        <w:t xml:space="preserve"> for light passenger vehicles manufactured in 200</w:t>
      </w:r>
      <w:r w:rsidR="001C2E5D" w:rsidRPr="00B275E2">
        <w:t>4</w:t>
      </w:r>
      <w:bookmarkEnd w:id="362"/>
    </w:p>
    <w:tbl>
      <w:tblPr>
        <w:tblStyle w:val="TableGrid"/>
        <w:tblW w:w="8505"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3402"/>
        <w:gridCol w:w="993"/>
        <w:gridCol w:w="4110"/>
      </w:tblGrid>
      <w:tr w:rsidR="00AA5E3E" w:rsidRPr="00B275E2" w14:paraId="6509209F" w14:textId="77777777" w:rsidTr="00072159">
        <w:trPr>
          <w:tblHeader/>
        </w:trPr>
        <w:tc>
          <w:tcPr>
            <w:tcW w:w="3402" w:type="dxa"/>
            <w:shd w:val="clear" w:color="auto" w:fill="1C556C" w:themeFill="accent1"/>
            <w:vAlign w:val="bottom"/>
          </w:tcPr>
          <w:p w14:paraId="6509209D" w14:textId="77777777" w:rsidR="0081014F" w:rsidRPr="00B275E2" w:rsidRDefault="0081014F" w:rsidP="007F0B1E">
            <w:pPr>
              <w:pStyle w:val="TableText"/>
              <w:rPr>
                <w:b/>
                <w:color w:val="FFFFFF" w:themeColor="background1"/>
                <w:szCs w:val="18"/>
              </w:rPr>
            </w:pPr>
            <w:r w:rsidRPr="00B275E2">
              <w:rPr>
                <w:b/>
                <w:color w:val="FFFFFF" w:themeColor="background1"/>
                <w:szCs w:val="18"/>
              </w:rPr>
              <w:t>Engine type</w:t>
            </w:r>
          </w:p>
        </w:tc>
        <w:tc>
          <w:tcPr>
            <w:tcW w:w="993" w:type="dxa"/>
            <w:shd w:val="clear" w:color="auto" w:fill="1C556C" w:themeFill="accent1"/>
            <w:vAlign w:val="bottom"/>
          </w:tcPr>
          <w:p w14:paraId="104873A7" w14:textId="60B8C072" w:rsidR="0081014F" w:rsidRPr="00B275E2" w:rsidRDefault="0081014F" w:rsidP="007F0B1E">
            <w:pPr>
              <w:pStyle w:val="TableText"/>
              <w:rPr>
                <w:b/>
                <w:color w:val="FFFFFF" w:themeColor="background1"/>
                <w:szCs w:val="18"/>
              </w:rPr>
            </w:pPr>
            <w:r w:rsidRPr="00B275E2">
              <w:rPr>
                <w:b/>
                <w:color w:val="FFFFFF" w:themeColor="background1"/>
                <w:szCs w:val="18"/>
              </w:rPr>
              <w:t>Unit</w:t>
            </w:r>
          </w:p>
        </w:tc>
        <w:tc>
          <w:tcPr>
            <w:tcW w:w="4110" w:type="dxa"/>
            <w:shd w:val="clear" w:color="auto" w:fill="1C556C" w:themeFill="accent1"/>
            <w:vAlign w:val="bottom"/>
          </w:tcPr>
          <w:p w14:paraId="6509209E" w14:textId="2CDE18DC" w:rsidR="0081014F" w:rsidRPr="00B275E2" w:rsidRDefault="0081014F" w:rsidP="007F0B1E">
            <w:pPr>
              <w:pStyle w:val="TableText"/>
              <w:rPr>
                <w:b/>
                <w:color w:val="FFFFFF" w:themeColor="background1"/>
                <w:szCs w:val="18"/>
              </w:rPr>
            </w:pPr>
            <w:r w:rsidRPr="00B275E2">
              <w:rPr>
                <w:b/>
                <w:color w:val="FFFFFF" w:themeColor="background1"/>
                <w:szCs w:val="18"/>
              </w:rPr>
              <w:t>Units per 100</w:t>
            </w:r>
            <w:r w:rsidR="00C20E3C" w:rsidRPr="00B275E2">
              <w:rPr>
                <w:b/>
                <w:color w:val="FFFFFF" w:themeColor="background1"/>
                <w:szCs w:val="18"/>
              </w:rPr>
              <w:t xml:space="preserve"> </w:t>
            </w:r>
            <w:r w:rsidRPr="00B275E2">
              <w:rPr>
                <w:b/>
                <w:color w:val="FFFFFF" w:themeColor="background1"/>
                <w:szCs w:val="18"/>
              </w:rPr>
              <w:t>km for a</w:t>
            </w:r>
            <w:r w:rsidR="00AF1F58" w:rsidRPr="00B275E2">
              <w:rPr>
                <w:b/>
                <w:color w:val="FFFFFF" w:themeColor="background1"/>
                <w:szCs w:val="18"/>
              </w:rPr>
              <w:t xml:space="preserve"> 2000</w:t>
            </w:r>
            <w:r w:rsidR="00C20E3C" w:rsidRPr="00B275E2">
              <w:rPr>
                <w:b/>
                <w:color w:val="FFFFFF" w:themeColor="background1"/>
                <w:szCs w:val="18"/>
              </w:rPr>
              <w:t>–</w:t>
            </w:r>
            <w:r w:rsidRPr="00B275E2">
              <w:rPr>
                <w:b/>
                <w:color w:val="FFFFFF" w:themeColor="background1"/>
                <w:szCs w:val="18"/>
              </w:rPr>
              <w:t>3000cc engine in 200</w:t>
            </w:r>
            <w:r w:rsidR="001C2E5D" w:rsidRPr="00B275E2">
              <w:rPr>
                <w:b/>
                <w:color w:val="FFFFFF" w:themeColor="background1"/>
                <w:szCs w:val="18"/>
              </w:rPr>
              <w:t>4</w:t>
            </w:r>
          </w:p>
        </w:tc>
      </w:tr>
      <w:tr w:rsidR="00AA5E3E" w:rsidRPr="00B275E2" w14:paraId="650920A2" w14:textId="77777777" w:rsidTr="00072159">
        <w:tc>
          <w:tcPr>
            <w:tcW w:w="3402" w:type="dxa"/>
          </w:tcPr>
          <w:p w14:paraId="650920A0" w14:textId="77777777" w:rsidR="0081014F" w:rsidRPr="00B275E2" w:rsidRDefault="0081014F" w:rsidP="007F0B1E">
            <w:pPr>
              <w:pStyle w:val="TableText"/>
              <w:rPr>
                <w:szCs w:val="18"/>
              </w:rPr>
            </w:pPr>
            <w:r w:rsidRPr="00B275E2">
              <w:rPr>
                <w:szCs w:val="18"/>
              </w:rPr>
              <w:t>Petrol</w:t>
            </w:r>
          </w:p>
        </w:tc>
        <w:tc>
          <w:tcPr>
            <w:tcW w:w="993" w:type="dxa"/>
          </w:tcPr>
          <w:p w14:paraId="275115E7" w14:textId="37C77169" w:rsidR="0081014F" w:rsidRPr="00B275E2" w:rsidRDefault="00560904" w:rsidP="007F0B1E">
            <w:pPr>
              <w:pStyle w:val="TableText"/>
              <w:rPr>
                <w:szCs w:val="18"/>
              </w:rPr>
            </w:pPr>
            <w:r w:rsidRPr="00B275E2">
              <w:rPr>
                <w:szCs w:val="18"/>
              </w:rPr>
              <w:t>litre</w:t>
            </w:r>
          </w:p>
        </w:tc>
        <w:tc>
          <w:tcPr>
            <w:tcW w:w="4110" w:type="dxa"/>
          </w:tcPr>
          <w:p w14:paraId="650920A1" w14:textId="5ACCBAAF" w:rsidR="0081014F" w:rsidRPr="00B275E2" w:rsidRDefault="0081014F" w:rsidP="007F0B1E">
            <w:pPr>
              <w:pStyle w:val="TableText"/>
              <w:jc w:val="right"/>
              <w:rPr>
                <w:szCs w:val="18"/>
              </w:rPr>
            </w:pPr>
            <w:r w:rsidRPr="00B275E2">
              <w:rPr>
                <w:szCs w:val="18"/>
              </w:rPr>
              <w:t>10.</w:t>
            </w:r>
            <w:r w:rsidR="00594564" w:rsidRPr="00B275E2">
              <w:rPr>
                <w:szCs w:val="18"/>
              </w:rPr>
              <w:t>794</w:t>
            </w:r>
          </w:p>
        </w:tc>
      </w:tr>
      <w:tr w:rsidR="00AA5E3E" w:rsidRPr="00B275E2" w14:paraId="650920A5" w14:textId="77777777" w:rsidTr="00072159">
        <w:tc>
          <w:tcPr>
            <w:tcW w:w="3402" w:type="dxa"/>
          </w:tcPr>
          <w:p w14:paraId="650920A3" w14:textId="77777777" w:rsidR="0081014F" w:rsidRPr="00B275E2" w:rsidRDefault="0081014F" w:rsidP="007F0B1E">
            <w:pPr>
              <w:pStyle w:val="TableText"/>
              <w:rPr>
                <w:szCs w:val="18"/>
              </w:rPr>
            </w:pPr>
            <w:r w:rsidRPr="00B275E2">
              <w:rPr>
                <w:szCs w:val="18"/>
              </w:rPr>
              <w:t>Diesel</w:t>
            </w:r>
          </w:p>
        </w:tc>
        <w:tc>
          <w:tcPr>
            <w:tcW w:w="993" w:type="dxa"/>
          </w:tcPr>
          <w:p w14:paraId="6CB86218" w14:textId="53E7AEE2" w:rsidR="0081014F" w:rsidRPr="00B275E2" w:rsidRDefault="00560904" w:rsidP="007F0B1E">
            <w:pPr>
              <w:pStyle w:val="TableText"/>
              <w:rPr>
                <w:szCs w:val="18"/>
              </w:rPr>
            </w:pPr>
            <w:r w:rsidRPr="00B275E2">
              <w:rPr>
                <w:szCs w:val="18"/>
              </w:rPr>
              <w:t>litre</w:t>
            </w:r>
          </w:p>
        </w:tc>
        <w:tc>
          <w:tcPr>
            <w:tcW w:w="4110" w:type="dxa"/>
          </w:tcPr>
          <w:p w14:paraId="650920A4" w14:textId="397E0533" w:rsidR="0081014F" w:rsidRPr="00B275E2" w:rsidRDefault="00AA483D" w:rsidP="007F0B1E">
            <w:pPr>
              <w:pStyle w:val="TableText"/>
              <w:jc w:val="right"/>
              <w:rPr>
                <w:szCs w:val="18"/>
              </w:rPr>
            </w:pPr>
            <w:r w:rsidRPr="00B275E2">
              <w:rPr>
                <w:szCs w:val="18"/>
              </w:rPr>
              <w:t>10.031</w:t>
            </w:r>
          </w:p>
        </w:tc>
      </w:tr>
      <w:tr w:rsidR="00AA5E3E" w:rsidRPr="00B275E2" w14:paraId="650920A8" w14:textId="77777777" w:rsidTr="00072159">
        <w:tc>
          <w:tcPr>
            <w:tcW w:w="3402" w:type="dxa"/>
          </w:tcPr>
          <w:p w14:paraId="650920A6" w14:textId="017B39F7" w:rsidR="0081014F" w:rsidRPr="00B275E2" w:rsidRDefault="0081014F" w:rsidP="007F0B1E">
            <w:pPr>
              <w:pStyle w:val="TableText"/>
              <w:rPr>
                <w:szCs w:val="18"/>
              </w:rPr>
            </w:pPr>
            <w:r w:rsidRPr="00B275E2">
              <w:rPr>
                <w:szCs w:val="18"/>
              </w:rPr>
              <w:t xml:space="preserve">Petrol </w:t>
            </w:r>
            <w:r w:rsidR="00EC3183" w:rsidRPr="00B275E2">
              <w:rPr>
                <w:szCs w:val="18"/>
              </w:rPr>
              <w:t>h</w:t>
            </w:r>
            <w:r w:rsidRPr="00B275E2">
              <w:rPr>
                <w:szCs w:val="18"/>
              </w:rPr>
              <w:t>ybrid</w:t>
            </w:r>
          </w:p>
        </w:tc>
        <w:tc>
          <w:tcPr>
            <w:tcW w:w="993" w:type="dxa"/>
          </w:tcPr>
          <w:p w14:paraId="017EDE24" w14:textId="4AC57F7B" w:rsidR="0081014F" w:rsidRPr="00B275E2" w:rsidRDefault="0081014F" w:rsidP="007F0B1E">
            <w:pPr>
              <w:pStyle w:val="TableText"/>
              <w:rPr>
                <w:szCs w:val="18"/>
              </w:rPr>
            </w:pPr>
            <w:r w:rsidRPr="00B275E2">
              <w:rPr>
                <w:szCs w:val="18"/>
              </w:rPr>
              <w:t>litre</w:t>
            </w:r>
          </w:p>
        </w:tc>
        <w:tc>
          <w:tcPr>
            <w:tcW w:w="4110" w:type="dxa"/>
          </w:tcPr>
          <w:p w14:paraId="650920A7" w14:textId="5043A9B6" w:rsidR="0081014F" w:rsidRPr="00B275E2" w:rsidRDefault="00E67AE8" w:rsidP="007F0B1E">
            <w:pPr>
              <w:pStyle w:val="TableText"/>
              <w:jc w:val="right"/>
              <w:rPr>
                <w:rFonts w:cs="Calibri"/>
                <w:szCs w:val="18"/>
              </w:rPr>
            </w:pPr>
            <w:r w:rsidRPr="00B275E2">
              <w:rPr>
                <w:rFonts w:cs="Calibri"/>
                <w:szCs w:val="18"/>
              </w:rPr>
              <w:t>8.214</w:t>
            </w:r>
          </w:p>
        </w:tc>
      </w:tr>
      <w:tr w:rsidR="00AA5E3E" w:rsidRPr="00B275E2" w14:paraId="650920AB" w14:textId="77777777" w:rsidTr="00072159">
        <w:tc>
          <w:tcPr>
            <w:tcW w:w="3402" w:type="dxa"/>
          </w:tcPr>
          <w:p w14:paraId="650920A9" w14:textId="0C6835CF" w:rsidR="0081014F" w:rsidRPr="00B275E2" w:rsidRDefault="0081014F" w:rsidP="007F0B1E">
            <w:pPr>
              <w:pStyle w:val="TableText"/>
              <w:rPr>
                <w:szCs w:val="18"/>
              </w:rPr>
            </w:pPr>
            <w:r w:rsidRPr="00B275E2">
              <w:rPr>
                <w:szCs w:val="18"/>
              </w:rPr>
              <w:t xml:space="preserve">Diesel </w:t>
            </w:r>
            <w:r w:rsidR="00EC3183" w:rsidRPr="00B275E2">
              <w:rPr>
                <w:szCs w:val="18"/>
              </w:rPr>
              <w:t>h</w:t>
            </w:r>
            <w:r w:rsidRPr="00B275E2">
              <w:rPr>
                <w:szCs w:val="18"/>
              </w:rPr>
              <w:t>ybrid</w:t>
            </w:r>
          </w:p>
        </w:tc>
        <w:tc>
          <w:tcPr>
            <w:tcW w:w="993" w:type="dxa"/>
          </w:tcPr>
          <w:p w14:paraId="19009CAD" w14:textId="15B86B87" w:rsidR="0081014F" w:rsidRPr="00B275E2" w:rsidRDefault="0081014F" w:rsidP="007F0B1E">
            <w:pPr>
              <w:pStyle w:val="TableText"/>
              <w:rPr>
                <w:szCs w:val="18"/>
              </w:rPr>
            </w:pPr>
            <w:r w:rsidRPr="00B275E2">
              <w:rPr>
                <w:szCs w:val="18"/>
              </w:rPr>
              <w:t>litre</w:t>
            </w:r>
          </w:p>
        </w:tc>
        <w:tc>
          <w:tcPr>
            <w:tcW w:w="4110" w:type="dxa"/>
          </w:tcPr>
          <w:p w14:paraId="650920AA" w14:textId="2E176509" w:rsidR="0081014F" w:rsidRPr="00B275E2" w:rsidRDefault="008660E0" w:rsidP="007F0B1E">
            <w:pPr>
              <w:pStyle w:val="TableText"/>
              <w:jc w:val="right"/>
              <w:rPr>
                <w:szCs w:val="18"/>
              </w:rPr>
            </w:pPr>
            <w:r w:rsidRPr="00B275E2">
              <w:rPr>
                <w:rFonts w:cs="Calibri"/>
                <w:szCs w:val="18"/>
              </w:rPr>
              <w:t>8.992</w:t>
            </w:r>
          </w:p>
        </w:tc>
      </w:tr>
      <w:tr w:rsidR="00AA5E3E" w:rsidRPr="00B275E2" w14:paraId="650920AE" w14:textId="77777777" w:rsidTr="00072159">
        <w:tc>
          <w:tcPr>
            <w:tcW w:w="3402" w:type="dxa"/>
          </w:tcPr>
          <w:p w14:paraId="650920AC" w14:textId="4365A4E6" w:rsidR="0081014F" w:rsidRPr="00B275E2" w:rsidRDefault="0081014F" w:rsidP="007F0B1E">
            <w:pPr>
              <w:pStyle w:val="TableText"/>
              <w:rPr>
                <w:szCs w:val="18"/>
              </w:rPr>
            </w:pPr>
            <w:r w:rsidRPr="00B275E2">
              <w:rPr>
                <w:szCs w:val="18"/>
              </w:rPr>
              <w:t>Petrol plug-in hybrid (petrol)</w:t>
            </w:r>
            <w:r w:rsidR="00A764DB" w:rsidRPr="00B275E2">
              <w:rPr>
                <w:szCs w:val="18"/>
              </w:rPr>
              <w:t>*</w:t>
            </w:r>
          </w:p>
        </w:tc>
        <w:tc>
          <w:tcPr>
            <w:tcW w:w="993" w:type="dxa"/>
          </w:tcPr>
          <w:p w14:paraId="2D56D484" w14:textId="3E3A0538" w:rsidR="0081014F" w:rsidRPr="00B275E2" w:rsidRDefault="0081014F" w:rsidP="007F0B1E">
            <w:pPr>
              <w:pStyle w:val="TableText"/>
              <w:rPr>
                <w:szCs w:val="18"/>
              </w:rPr>
            </w:pPr>
            <w:r w:rsidRPr="00B275E2">
              <w:rPr>
                <w:szCs w:val="18"/>
              </w:rPr>
              <w:t>litre</w:t>
            </w:r>
          </w:p>
        </w:tc>
        <w:tc>
          <w:tcPr>
            <w:tcW w:w="4110" w:type="dxa"/>
          </w:tcPr>
          <w:p w14:paraId="650920AD" w14:textId="0B91F927" w:rsidR="0081014F" w:rsidRPr="00B275E2" w:rsidRDefault="00C12113" w:rsidP="007F0B1E">
            <w:pPr>
              <w:pStyle w:val="TableText"/>
              <w:jc w:val="right"/>
              <w:rPr>
                <w:rFonts w:cs="Calibri"/>
                <w:szCs w:val="18"/>
              </w:rPr>
            </w:pPr>
            <w:r w:rsidRPr="00B275E2">
              <w:rPr>
                <w:rFonts w:cs="Calibri"/>
                <w:szCs w:val="18"/>
              </w:rPr>
              <w:t>3.903</w:t>
            </w:r>
          </w:p>
        </w:tc>
      </w:tr>
      <w:tr w:rsidR="00AA5E3E" w:rsidRPr="00B275E2" w14:paraId="650920B1" w14:textId="77777777" w:rsidTr="00072159">
        <w:tc>
          <w:tcPr>
            <w:tcW w:w="3402" w:type="dxa"/>
          </w:tcPr>
          <w:p w14:paraId="650920AF" w14:textId="6DBE007F" w:rsidR="0081014F" w:rsidRPr="00B275E2" w:rsidRDefault="0081014F" w:rsidP="007F0B1E">
            <w:pPr>
              <w:pStyle w:val="TableText"/>
              <w:rPr>
                <w:szCs w:val="18"/>
              </w:rPr>
            </w:pPr>
            <w:r w:rsidRPr="00B275E2">
              <w:rPr>
                <w:szCs w:val="18"/>
              </w:rPr>
              <w:t>Petrol plug-in hybrid (electricity)</w:t>
            </w:r>
            <w:r w:rsidR="00A764DB" w:rsidRPr="00B275E2">
              <w:rPr>
                <w:szCs w:val="18"/>
              </w:rPr>
              <w:t>*</w:t>
            </w:r>
          </w:p>
        </w:tc>
        <w:tc>
          <w:tcPr>
            <w:tcW w:w="993" w:type="dxa"/>
          </w:tcPr>
          <w:p w14:paraId="29521FD2" w14:textId="5F01C55A" w:rsidR="0081014F" w:rsidRPr="00B275E2" w:rsidRDefault="0081014F" w:rsidP="007F0B1E">
            <w:pPr>
              <w:pStyle w:val="TableText"/>
              <w:rPr>
                <w:szCs w:val="18"/>
              </w:rPr>
            </w:pPr>
            <w:r w:rsidRPr="00B275E2">
              <w:rPr>
                <w:szCs w:val="18"/>
              </w:rPr>
              <w:t>litre</w:t>
            </w:r>
          </w:p>
        </w:tc>
        <w:tc>
          <w:tcPr>
            <w:tcW w:w="4110" w:type="dxa"/>
          </w:tcPr>
          <w:p w14:paraId="650920B0" w14:textId="7A469B17" w:rsidR="0081014F" w:rsidRPr="00B275E2" w:rsidRDefault="004D6465" w:rsidP="007F0B1E">
            <w:pPr>
              <w:pStyle w:val="TableText"/>
              <w:jc w:val="right"/>
              <w:rPr>
                <w:rFonts w:cs="Calibri"/>
                <w:szCs w:val="18"/>
              </w:rPr>
            </w:pPr>
            <w:r w:rsidRPr="00B275E2">
              <w:rPr>
                <w:rFonts w:cs="Calibri"/>
                <w:szCs w:val="18"/>
              </w:rPr>
              <w:t>12.092</w:t>
            </w:r>
          </w:p>
        </w:tc>
      </w:tr>
      <w:tr w:rsidR="00AA5E3E" w:rsidRPr="00B275E2" w14:paraId="650920B4" w14:textId="77777777" w:rsidTr="00072159">
        <w:tc>
          <w:tcPr>
            <w:tcW w:w="3402" w:type="dxa"/>
          </w:tcPr>
          <w:p w14:paraId="650920B2" w14:textId="5B92C2D2" w:rsidR="0081014F" w:rsidRPr="00B275E2" w:rsidRDefault="0081014F" w:rsidP="007F0B1E">
            <w:pPr>
              <w:pStyle w:val="TableText"/>
              <w:rPr>
                <w:szCs w:val="18"/>
              </w:rPr>
            </w:pPr>
            <w:r w:rsidRPr="00B275E2">
              <w:rPr>
                <w:szCs w:val="18"/>
              </w:rPr>
              <w:lastRenderedPageBreak/>
              <w:t>Diesel plug-in hybrid (diesel)</w:t>
            </w:r>
            <w:r w:rsidR="00A764DB" w:rsidRPr="00B275E2">
              <w:rPr>
                <w:szCs w:val="18"/>
              </w:rPr>
              <w:t>*</w:t>
            </w:r>
          </w:p>
        </w:tc>
        <w:tc>
          <w:tcPr>
            <w:tcW w:w="993" w:type="dxa"/>
          </w:tcPr>
          <w:p w14:paraId="41D7631C" w14:textId="61FCE715" w:rsidR="0081014F" w:rsidRPr="00B275E2" w:rsidRDefault="0081014F" w:rsidP="007F0B1E">
            <w:pPr>
              <w:pStyle w:val="TableText"/>
              <w:rPr>
                <w:szCs w:val="18"/>
              </w:rPr>
            </w:pPr>
            <w:r w:rsidRPr="00B275E2">
              <w:rPr>
                <w:szCs w:val="18"/>
              </w:rPr>
              <w:t>litre</w:t>
            </w:r>
          </w:p>
        </w:tc>
        <w:tc>
          <w:tcPr>
            <w:tcW w:w="4110" w:type="dxa"/>
          </w:tcPr>
          <w:p w14:paraId="650920B3" w14:textId="1F760F75" w:rsidR="0081014F" w:rsidRPr="00B275E2" w:rsidRDefault="000700AC" w:rsidP="007F0B1E">
            <w:pPr>
              <w:pStyle w:val="TableText"/>
              <w:jc w:val="right"/>
              <w:rPr>
                <w:szCs w:val="18"/>
              </w:rPr>
            </w:pPr>
            <w:r w:rsidRPr="00B275E2">
              <w:rPr>
                <w:szCs w:val="18"/>
              </w:rPr>
              <w:t>4.296</w:t>
            </w:r>
          </w:p>
        </w:tc>
      </w:tr>
      <w:tr w:rsidR="00AA5E3E" w:rsidRPr="00B275E2" w14:paraId="650920B7" w14:textId="77777777" w:rsidTr="00072159">
        <w:tc>
          <w:tcPr>
            <w:tcW w:w="3402" w:type="dxa"/>
          </w:tcPr>
          <w:p w14:paraId="650920B5" w14:textId="639C93E0" w:rsidR="0081014F" w:rsidRPr="00B275E2" w:rsidRDefault="0081014F" w:rsidP="007F0B1E">
            <w:pPr>
              <w:pStyle w:val="TableText"/>
              <w:rPr>
                <w:szCs w:val="18"/>
              </w:rPr>
            </w:pPr>
            <w:r w:rsidRPr="00B275E2">
              <w:rPr>
                <w:szCs w:val="18"/>
              </w:rPr>
              <w:t>Diesel plug-in hybrid (electricity)</w:t>
            </w:r>
            <w:r w:rsidR="00A764DB" w:rsidRPr="00B275E2">
              <w:rPr>
                <w:szCs w:val="18"/>
              </w:rPr>
              <w:t>*</w:t>
            </w:r>
          </w:p>
        </w:tc>
        <w:tc>
          <w:tcPr>
            <w:tcW w:w="993" w:type="dxa"/>
          </w:tcPr>
          <w:p w14:paraId="097FAFAE" w14:textId="52E70118" w:rsidR="0081014F" w:rsidRPr="00B275E2" w:rsidRDefault="0081014F" w:rsidP="007F0B1E">
            <w:pPr>
              <w:pStyle w:val="TableText"/>
              <w:rPr>
                <w:szCs w:val="18"/>
              </w:rPr>
            </w:pPr>
            <w:r w:rsidRPr="00B275E2">
              <w:rPr>
                <w:szCs w:val="18"/>
              </w:rPr>
              <w:t>litre</w:t>
            </w:r>
          </w:p>
        </w:tc>
        <w:tc>
          <w:tcPr>
            <w:tcW w:w="4110" w:type="dxa"/>
          </w:tcPr>
          <w:p w14:paraId="650920B6" w14:textId="4CFDCCB3" w:rsidR="0081014F" w:rsidRPr="00B275E2" w:rsidRDefault="00360B96" w:rsidP="007F0B1E">
            <w:pPr>
              <w:pStyle w:val="TableText"/>
              <w:jc w:val="right"/>
              <w:rPr>
                <w:szCs w:val="18"/>
              </w:rPr>
            </w:pPr>
            <w:r w:rsidRPr="00B275E2">
              <w:rPr>
                <w:szCs w:val="18"/>
              </w:rPr>
              <w:t>12.137</w:t>
            </w:r>
          </w:p>
        </w:tc>
      </w:tr>
      <w:tr w:rsidR="00AA5E3E" w:rsidRPr="00B275E2" w14:paraId="650920BA" w14:textId="77777777" w:rsidTr="00072159">
        <w:tc>
          <w:tcPr>
            <w:tcW w:w="3402" w:type="dxa"/>
          </w:tcPr>
          <w:p w14:paraId="650920B8" w14:textId="6ABD1CF1" w:rsidR="0081014F" w:rsidRPr="00B275E2" w:rsidRDefault="0081014F" w:rsidP="007F0B1E">
            <w:pPr>
              <w:pStyle w:val="TableText"/>
              <w:rPr>
                <w:szCs w:val="18"/>
              </w:rPr>
            </w:pPr>
            <w:r w:rsidRPr="00B275E2">
              <w:rPr>
                <w:szCs w:val="18"/>
              </w:rPr>
              <w:t>Electric</w:t>
            </w:r>
            <w:r w:rsidR="004C2A6D" w:rsidRPr="00B275E2">
              <w:rPr>
                <w:szCs w:val="18"/>
              </w:rPr>
              <w:t>*</w:t>
            </w:r>
          </w:p>
        </w:tc>
        <w:tc>
          <w:tcPr>
            <w:tcW w:w="993" w:type="dxa"/>
          </w:tcPr>
          <w:p w14:paraId="07226370" w14:textId="59E92E38" w:rsidR="0081014F" w:rsidRPr="00B275E2" w:rsidRDefault="0081014F" w:rsidP="007F0B1E">
            <w:pPr>
              <w:pStyle w:val="TableText"/>
              <w:rPr>
                <w:szCs w:val="18"/>
              </w:rPr>
            </w:pPr>
            <w:r w:rsidRPr="00B275E2">
              <w:rPr>
                <w:szCs w:val="18"/>
              </w:rPr>
              <w:t>kWh</w:t>
            </w:r>
          </w:p>
        </w:tc>
        <w:tc>
          <w:tcPr>
            <w:tcW w:w="4110" w:type="dxa"/>
          </w:tcPr>
          <w:p w14:paraId="650920B9" w14:textId="49554ED9" w:rsidR="0081014F" w:rsidRPr="00B275E2" w:rsidRDefault="00BB6390" w:rsidP="007F0B1E">
            <w:pPr>
              <w:pStyle w:val="TableText"/>
              <w:jc w:val="right"/>
              <w:rPr>
                <w:szCs w:val="18"/>
              </w:rPr>
            </w:pPr>
            <w:r w:rsidRPr="00B275E2">
              <w:rPr>
                <w:szCs w:val="18"/>
              </w:rPr>
              <w:t>25.367</w:t>
            </w:r>
          </w:p>
        </w:tc>
      </w:tr>
    </w:tbl>
    <w:p w14:paraId="1FF7A112" w14:textId="79179F08" w:rsidR="00A80DFB" w:rsidRPr="00B275E2" w:rsidRDefault="00A80DFB" w:rsidP="007F0B1E">
      <w:pPr>
        <w:pStyle w:val="Note"/>
      </w:pPr>
      <w:r w:rsidRPr="00B275E2">
        <w:t>Note</w:t>
      </w:r>
      <w:r w:rsidR="003D5438" w:rsidRPr="00B275E2">
        <w:t xml:space="preserve">: * </w:t>
      </w:r>
      <w:r w:rsidR="00EF221F" w:rsidRPr="00B275E2">
        <w:t>V</w:t>
      </w:r>
      <w:r w:rsidRPr="00B275E2">
        <w:t>ehicle</w:t>
      </w:r>
      <w:r w:rsidR="00EF221F" w:rsidRPr="00B275E2">
        <w:t xml:space="preserve"> energy</w:t>
      </w:r>
      <w:r w:rsidRPr="00B275E2">
        <w:t xml:space="preserve"> consumption is based on a 2010</w:t>
      </w:r>
      <w:r w:rsidR="00EC3183" w:rsidRPr="00B275E2">
        <w:t>–</w:t>
      </w:r>
      <w:r w:rsidRPr="00B275E2">
        <w:t>2015 vehicle fleet.</w:t>
      </w:r>
    </w:p>
    <w:p w14:paraId="650920BB" w14:textId="50BFFC91" w:rsidR="00700349" w:rsidRPr="00B275E2" w:rsidRDefault="005C3ED0" w:rsidP="007F0B1E">
      <w:pPr>
        <w:pStyle w:val="BodyText"/>
        <w:rPr>
          <w:rFonts w:eastAsia="Times New Roman"/>
        </w:rPr>
      </w:pPr>
      <w:r w:rsidRPr="00B275E2">
        <w:rPr>
          <w:rFonts w:eastAsia="Times New Roman"/>
        </w:rPr>
        <w:t xml:space="preserve">The default </w:t>
      </w:r>
      <w:r w:rsidRPr="00B275E2">
        <w:t>emission</w:t>
      </w:r>
      <w:r w:rsidRPr="00B275E2">
        <w:rPr>
          <w:rFonts w:eastAsia="Times New Roman"/>
        </w:rPr>
        <w:t xml:space="preserve"> factor for rental cars is the same as for vehicles in the 1600–2000 cc category. Data from the Motor Industry Association New Vehicle Sales database show that for the 201</w:t>
      </w:r>
      <w:r w:rsidR="00E54B54" w:rsidRPr="00B275E2">
        <w:rPr>
          <w:rFonts w:eastAsia="Times New Roman"/>
        </w:rPr>
        <w:t>8</w:t>
      </w:r>
      <w:r w:rsidRPr="00B275E2">
        <w:rPr>
          <w:rFonts w:eastAsia="Times New Roman"/>
        </w:rPr>
        <w:t xml:space="preserve"> period, an average of </w:t>
      </w:r>
      <w:r w:rsidR="00650655" w:rsidRPr="00B275E2">
        <w:rPr>
          <w:rFonts w:eastAsia="Times New Roman"/>
        </w:rPr>
        <w:t>4</w:t>
      </w:r>
      <w:r w:rsidR="003C2744" w:rsidRPr="00B275E2">
        <w:rPr>
          <w:rFonts w:eastAsia="Times New Roman"/>
        </w:rPr>
        <w:t>5</w:t>
      </w:r>
      <w:r w:rsidRPr="00B275E2">
        <w:rPr>
          <w:rFonts w:eastAsia="Times New Roman"/>
        </w:rPr>
        <w:t xml:space="preserve"> </w:t>
      </w:r>
      <w:r w:rsidR="00C20E3C" w:rsidRPr="00B275E2">
        <w:rPr>
          <w:rFonts w:eastAsia="Times New Roman"/>
        </w:rPr>
        <w:t>per cent</w:t>
      </w:r>
      <w:r w:rsidRPr="00B275E2">
        <w:rPr>
          <w:rFonts w:eastAsia="Times New Roman"/>
        </w:rPr>
        <w:t xml:space="preserve"> of rental vehicles purchased were in the category 1751–2150</w:t>
      </w:r>
      <w:r w:rsidR="005253C7" w:rsidRPr="00B275E2">
        <w:rPr>
          <w:rFonts w:eastAsia="Times New Roman"/>
        </w:rPr>
        <w:t> </w:t>
      </w:r>
      <w:r w:rsidRPr="00B275E2">
        <w:rPr>
          <w:rFonts w:eastAsia="Times New Roman"/>
        </w:rPr>
        <w:t>cc</w:t>
      </w:r>
      <w:r w:rsidR="00047BDB" w:rsidRPr="00B275E2">
        <w:rPr>
          <w:rFonts w:eastAsia="Times New Roman"/>
        </w:rPr>
        <w:t>.</w:t>
      </w:r>
      <w:r w:rsidRPr="00B275E2">
        <w:rPr>
          <w:rFonts w:eastAsia="Times New Roman"/>
        </w:rPr>
        <w:t xml:space="preserve"> </w:t>
      </w:r>
      <w:r w:rsidR="00047BDB" w:rsidRPr="00B275E2">
        <w:rPr>
          <w:rFonts w:eastAsia="Times New Roman"/>
        </w:rPr>
        <w:t>This</w:t>
      </w:r>
      <w:r w:rsidRPr="00B275E2">
        <w:rPr>
          <w:rFonts w:eastAsia="Times New Roman"/>
        </w:rPr>
        <w:t xml:space="preserve"> correlate</w:t>
      </w:r>
      <w:r w:rsidR="00047BDB" w:rsidRPr="00B275E2">
        <w:rPr>
          <w:rFonts w:eastAsia="Times New Roman"/>
        </w:rPr>
        <w:t>s</w:t>
      </w:r>
      <w:r w:rsidRPr="00B275E2">
        <w:rPr>
          <w:rFonts w:eastAsia="Times New Roman"/>
        </w:rPr>
        <w:t xml:space="preserve"> closest to the 1600–2000 cc category. </w:t>
      </w:r>
      <w:r w:rsidR="00047BDB" w:rsidRPr="00B275E2">
        <w:rPr>
          <w:rFonts w:eastAsia="Times New Roman"/>
        </w:rPr>
        <w:t xml:space="preserve">We </w:t>
      </w:r>
      <w:r w:rsidRPr="00B275E2">
        <w:rPr>
          <w:rFonts w:eastAsia="Times New Roman"/>
        </w:rPr>
        <w:t>assumed that the average rental car was manufactured between 2010 and 2015.</w:t>
      </w:r>
    </w:p>
    <w:p w14:paraId="650920BC" w14:textId="0BAD085E" w:rsidR="00E61463" w:rsidRPr="00B275E2" w:rsidRDefault="4D8FF3D4" w:rsidP="006B7605">
      <w:pPr>
        <w:pStyle w:val="Heading3"/>
      </w:pPr>
      <w:bookmarkStart w:id="363" w:name="_Toc532904898"/>
      <w:r>
        <w:t>Assumptions, limitations and uncertainties</w:t>
      </w:r>
      <w:bookmarkEnd w:id="363"/>
    </w:p>
    <w:p w14:paraId="650920BE" w14:textId="17B4D8D7" w:rsidR="002A6897" w:rsidRPr="00B275E2" w:rsidRDefault="00E72063" w:rsidP="007F0B1E">
      <w:pPr>
        <w:pStyle w:val="BodyText"/>
      </w:pPr>
      <w:r w:rsidRPr="00B275E2">
        <w:t>E</w:t>
      </w:r>
      <w:r w:rsidR="00BB0FF5" w:rsidRPr="00B275E2">
        <w:t xml:space="preserve">mission factors from fuel </w:t>
      </w:r>
      <w:r w:rsidRPr="00B275E2">
        <w:t xml:space="preserve">are </w:t>
      </w:r>
      <w:r w:rsidR="00BB0FF5" w:rsidRPr="00B275E2">
        <w:t>multiplied by real</w:t>
      </w:r>
      <w:r w:rsidR="003E3E96" w:rsidRPr="00B275E2">
        <w:t>-</w:t>
      </w:r>
      <w:r w:rsidR="00BB0FF5" w:rsidRPr="00B275E2">
        <w:t xml:space="preserve">world consumption rates for vehicles </w:t>
      </w:r>
      <w:r w:rsidR="00EC3183" w:rsidRPr="00B275E2">
        <w:t xml:space="preserve">with </w:t>
      </w:r>
      <w:r w:rsidR="00BB0FF5" w:rsidRPr="00B275E2">
        <w:t xml:space="preserve">different engine sizes. </w:t>
      </w:r>
      <w:r w:rsidRPr="00B275E2">
        <w:t>The uncertainties embodied in these figures carr</w:t>
      </w:r>
      <w:r w:rsidR="00047BDB" w:rsidRPr="00B275E2">
        <w:t>y</w:t>
      </w:r>
      <w:r w:rsidRPr="00B275E2">
        <w:t xml:space="preserve"> through to the emission factors.</w:t>
      </w:r>
      <w:r w:rsidR="005C3ED0" w:rsidRPr="00B275E2">
        <w:t xml:space="preserve"> </w:t>
      </w:r>
      <w:r w:rsidR="002A6897" w:rsidRPr="00B275E2">
        <w:t>For petrol vehicles</w:t>
      </w:r>
      <w:r w:rsidR="003E3E96" w:rsidRPr="00B275E2">
        <w:t>,</w:t>
      </w:r>
      <w:r w:rsidR="002A6897" w:rsidRPr="00B275E2">
        <w:t xml:space="preserve"> </w:t>
      </w:r>
      <w:r w:rsidR="00FB3A5F" w:rsidRPr="00B275E2">
        <w:t xml:space="preserve">we multiplied </w:t>
      </w:r>
      <w:r w:rsidR="002A6897" w:rsidRPr="00B275E2">
        <w:t>the real</w:t>
      </w:r>
      <w:r w:rsidR="003E3E96" w:rsidRPr="00B275E2">
        <w:t>-</w:t>
      </w:r>
      <w:r w:rsidR="002A6897" w:rsidRPr="00B275E2">
        <w:t xml:space="preserve">world consumption by </w:t>
      </w:r>
      <w:r w:rsidR="00294FE7" w:rsidRPr="00B275E2">
        <w:t>‘</w:t>
      </w:r>
      <w:r w:rsidR="002A6897" w:rsidRPr="00B275E2">
        <w:t>regular petrol</w:t>
      </w:r>
      <w:r w:rsidR="00294FE7" w:rsidRPr="00B275E2">
        <w:t>’</w:t>
      </w:r>
      <w:r w:rsidR="007D1DA6" w:rsidRPr="00B275E2">
        <w:t xml:space="preserve"> emission factors from the fuel emission source category</w:t>
      </w:r>
      <w:r w:rsidR="002A6897" w:rsidRPr="00B275E2">
        <w:t>. This may over</w:t>
      </w:r>
      <w:r w:rsidR="003E3E96" w:rsidRPr="00B275E2">
        <w:t>e</w:t>
      </w:r>
      <w:r w:rsidR="002A6897" w:rsidRPr="00B275E2">
        <w:t>stimate emissions for some and underestimate emissions for others.</w:t>
      </w:r>
    </w:p>
    <w:p w14:paraId="650920BF" w14:textId="28C8CAC5" w:rsidR="00FB1801" w:rsidRPr="00B275E2" w:rsidRDefault="00CB5E01" w:rsidP="007F0B1E">
      <w:pPr>
        <w:pStyle w:val="BodyText"/>
      </w:pPr>
      <w:r w:rsidRPr="00B275E2">
        <w:t xml:space="preserve">The default emission factors (for vehicles of unknown engine size) </w:t>
      </w:r>
      <w:r w:rsidR="00EC3183" w:rsidRPr="00B275E2">
        <w:t xml:space="preserve">are </w:t>
      </w:r>
      <w:r w:rsidRPr="00B275E2">
        <w:t>the same as th</w:t>
      </w:r>
      <w:r w:rsidR="00EC3183" w:rsidRPr="00B275E2">
        <w:t>ose</w:t>
      </w:r>
      <w:r w:rsidRPr="00B275E2">
        <w:t xml:space="preserve"> of a </w:t>
      </w:r>
      <w:r w:rsidR="003E3E96" w:rsidRPr="00B275E2">
        <w:t>&lt;</w:t>
      </w:r>
      <w:r w:rsidR="00BA2F9F" w:rsidRPr="00B275E2">
        <w:t>3000</w:t>
      </w:r>
      <w:r w:rsidR="003E3E96" w:rsidRPr="00B275E2">
        <w:t xml:space="preserve"> </w:t>
      </w:r>
      <w:r w:rsidRPr="00B275E2">
        <w:t xml:space="preserve">cc vehicle. </w:t>
      </w:r>
      <w:r w:rsidR="00FB1801" w:rsidRPr="00B275E2">
        <w:t>Using the Motor Vehicle Register</w:t>
      </w:r>
      <w:r w:rsidR="00FB1801" w:rsidRPr="00B275E2">
        <w:rPr>
          <w:rStyle w:val="FootnoteReference"/>
          <w:color w:val="auto"/>
        </w:rPr>
        <w:footnoteReference w:id="36"/>
      </w:r>
      <w:r w:rsidR="00FB1801" w:rsidRPr="00B275E2">
        <w:t xml:space="preserve"> </w:t>
      </w:r>
      <w:r w:rsidR="003E3E96" w:rsidRPr="00B275E2">
        <w:t>we</w:t>
      </w:r>
      <w:r w:rsidR="00FB1801" w:rsidRPr="00B275E2">
        <w:t xml:space="preserve"> calculate</w:t>
      </w:r>
      <w:r w:rsidR="003E3E96" w:rsidRPr="00B275E2">
        <w:t>d</w:t>
      </w:r>
      <w:r w:rsidR="00FB1801" w:rsidRPr="00B275E2">
        <w:t xml:space="preserve"> </w:t>
      </w:r>
      <w:r w:rsidR="00EC3183" w:rsidRPr="00B275E2">
        <w:t xml:space="preserve">that </w:t>
      </w:r>
      <w:r w:rsidR="00FB1801" w:rsidRPr="00B275E2">
        <w:t>the most common private passenger vehicle in 201</w:t>
      </w:r>
      <w:r w:rsidR="00887D6D" w:rsidRPr="00B275E2">
        <w:t>8</w:t>
      </w:r>
      <w:r w:rsidR="00FB1801" w:rsidRPr="00B275E2">
        <w:t xml:space="preserve"> </w:t>
      </w:r>
      <w:r w:rsidR="003E3E96" w:rsidRPr="00B275E2">
        <w:t>had</w:t>
      </w:r>
      <w:r w:rsidR="00FB1801" w:rsidRPr="00B275E2">
        <w:t xml:space="preserve"> an engine size 2000</w:t>
      </w:r>
      <w:r w:rsidR="003E3E96" w:rsidRPr="00B275E2">
        <w:t>–</w:t>
      </w:r>
      <w:r w:rsidR="00FB1801" w:rsidRPr="00B275E2">
        <w:t>3000</w:t>
      </w:r>
      <w:r w:rsidR="003E3E96" w:rsidRPr="00B275E2">
        <w:t xml:space="preserve"> cc</w:t>
      </w:r>
      <w:r w:rsidR="00FB1801" w:rsidRPr="00B275E2">
        <w:t>. Theref</w:t>
      </w:r>
      <w:r w:rsidR="00D62905" w:rsidRPr="00B275E2">
        <w:t>ore</w:t>
      </w:r>
      <w:r w:rsidR="00EE689B" w:rsidRPr="00B275E2">
        <w:t>,</w:t>
      </w:r>
      <w:r w:rsidR="00D62905" w:rsidRPr="00B275E2">
        <w:t xml:space="preserve"> </w:t>
      </w:r>
      <w:r w:rsidR="002C25DA" w:rsidRPr="00B275E2">
        <w:t>t</w:t>
      </w:r>
      <w:r w:rsidR="00D62905" w:rsidRPr="00B275E2">
        <w:t>h</w:t>
      </w:r>
      <w:r w:rsidR="00EC3183" w:rsidRPr="00B275E2">
        <w:t xml:space="preserve">is </w:t>
      </w:r>
      <w:r w:rsidR="00FB1801" w:rsidRPr="00B275E2">
        <w:t xml:space="preserve">is the default </w:t>
      </w:r>
      <w:r w:rsidR="00EC3183" w:rsidRPr="00B275E2">
        <w:t xml:space="preserve">engine size </w:t>
      </w:r>
      <w:r w:rsidR="00FB1801" w:rsidRPr="00B275E2">
        <w:t>used.</w:t>
      </w:r>
      <w:r w:rsidR="0041137E" w:rsidRPr="00B275E2">
        <w:t xml:space="preserve"> </w:t>
      </w:r>
      <w:r w:rsidR="001D1CD6" w:rsidRPr="00B275E2">
        <w:t>The average age of a private c</w:t>
      </w:r>
      <w:r w:rsidR="00654EA7" w:rsidRPr="00B275E2">
        <w:t>a</w:t>
      </w:r>
      <w:r w:rsidR="001D1CD6" w:rsidRPr="00B275E2">
        <w:t>r is 14</w:t>
      </w:r>
      <w:r w:rsidR="00E511BE" w:rsidRPr="00B275E2">
        <w:t>.</w:t>
      </w:r>
      <w:r w:rsidR="00A61D50" w:rsidRPr="00B275E2">
        <w:t>4</w:t>
      </w:r>
      <w:r w:rsidR="001D1CD6" w:rsidRPr="00B275E2">
        <w:t xml:space="preserve"> years</w:t>
      </w:r>
      <w:r w:rsidR="003E3E96" w:rsidRPr="00B275E2">
        <w:t>, so for</w:t>
      </w:r>
      <w:r w:rsidR="001D1CD6" w:rsidRPr="00B275E2">
        <w:t xml:space="preserve"> the </w:t>
      </w:r>
      <w:r w:rsidR="00E158BF" w:rsidRPr="00B275E2">
        <w:t>20</w:t>
      </w:r>
      <w:r w:rsidR="00F66BC6">
        <w:t>20</w:t>
      </w:r>
      <w:r w:rsidR="00D00706" w:rsidRPr="00B275E2">
        <w:t xml:space="preserve"> </w:t>
      </w:r>
      <w:r w:rsidR="003E3E96" w:rsidRPr="00B275E2">
        <w:t>period</w:t>
      </w:r>
      <w:r w:rsidR="001D1CD6" w:rsidRPr="00B275E2">
        <w:t xml:space="preserve"> </w:t>
      </w:r>
      <w:r w:rsidR="00F76EF8" w:rsidRPr="00B275E2">
        <w:t xml:space="preserve">we assume </w:t>
      </w:r>
      <w:r w:rsidR="001D1CD6" w:rsidRPr="00B275E2">
        <w:t>200</w:t>
      </w:r>
      <w:r w:rsidR="00036EB4" w:rsidRPr="00B275E2">
        <w:t xml:space="preserve">4 </w:t>
      </w:r>
      <w:r w:rsidR="001D1CD6" w:rsidRPr="00B275E2">
        <w:t xml:space="preserve">as the year of manufacture. </w:t>
      </w:r>
    </w:p>
    <w:p w14:paraId="73D763FC" w14:textId="1BF840EA" w:rsidR="007D1DA6" w:rsidRPr="00B275E2" w:rsidRDefault="00F76EF8" w:rsidP="007F0B1E">
      <w:pPr>
        <w:pStyle w:val="BodyText"/>
        <w:rPr>
          <w:spacing w:val="-2"/>
        </w:rPr>
      </w:pPr>
      <w:r w:rsidRPr="00B275E2">
        <w:rPr>
          <w:spacing w:val="-2"/>
        </w:rPr>
        <w:t xml:space="preserve">The </w:t>
      </w:r>
      <w:r w:rsidR="00AE25FC" w:rsidRPr="00B275E2">
        <w:rPr>
          <w:spacing w:val="-2"/>
        </w:rPr>
        <w:t xml:space="preserve">2019 </w:t>
      </w:r>
      <w:r w:rsidR="00A379D9" w:rsidRPr="00B275E2">
        <w:rPr>
          <w:spacing w:val="-2"/>
        </w:rPr>
        <w:t xml:space="preserve">Vehicle </w:t>
      </w:r>
      <w:r w:rsidR="008224AA" w:rsidRPr="00B275E2">
        <w:rPr>
          <w:spacing w:val="-2"/>
        </w:rPr>
        <w:t>Fleet Emissions</w:t>
      </w:r>
      <w:r w:rsidR="00A379D9" w:rsidRPr="00B275E2">
        <w:rPr>
          <w:spacing w:val="-2"/>
        </w:rPr>
        <w:t xml:space="preserve"> </w:t>
      </w:r>
      <w:r w:rsidR="00927734" w:rsidRPr="00B275E2">
        <w:rPr>
          <w:spacing w:val="-2"/>
        </w:rPr>
        <w:t>M</w:t>
      </w:r>
      <w:r w:rsidR="00AE25FC" w:rsidRPr="00B275E2">
        <w:rPr>
          <w:spacing w:val="-2"/>
        </w:rPr>
        <w:t>odel</w:t>
      </w:r>
      <w:r w:rsidR="003F4E0F" w:rsidRPr="00B275E2">
        <w:rPr>
          <w:spacing w:val="-2"/>
        </w:rPr>
        <w:t xml:space="preserve"> (V</w:t>
      </w:r>
      <w:r w:rsidR="008224AA" w:rsidRPr="00B275E2">
        <w:rPr>
          <w:spacing w:val="-2"/>
        </w:rPr>
        <w:t>FEM)</w:t>
      </w:r>
      <w:r w:rsidR="003F4E0F" w:rsidRPr="00B275E2">
        <w:rPr>
          <w:spacing w:val="-2"/>
        </w:rPr>
        <w:t xml:space="preserve"> supplied by MoT</w:t>
      </w:r>
      <w:r w:rsidR="00AE25FC" w:rsidRPr="00B275E2">
        <w:rPr>
          <w:spacing w:val="-2"/>
        </w:rPr>
        <w:t xml:space="preserve"> </w:t>
      </w:r>
      <w:r w:rsidRPr="00B275E2">
        <w:rPr>
          <w:spacing w:val="-2"/>
        </w:rPr>
        <w:t>provided a</w:t>
      </w:r>
      <w:r w:rsidR="00CB5E01" w:rsidRPr="00B275E2">
        <w:rPr>
          <w:spacing w:val="-2"/>
        </w:rPr>
        <w:t>ll real</w:t>
      </w:r>
      <w:r w:rsidR="003E3E96" w:rsidRPr="00B275E2">
        <w:rPr>
          <w:spacing w:val="-2"/>
        </w:rPr>
        <w:t>-</w:t>
      </w:r>
      <w:r w:rsidR="00D77847" w:rsidRPr="00B275E2">
        <w:rPr>
          <w:spacing w:val="-2"/>
        </w:rPr>
        <w:t>world fuel</w:t>
      </w:r>
      <w:r w:rsidR="00CB5E01" w:rsidRPr="00B275E2">
        <w:rPr>
          <w:spacing w:val="-2"/>
        </w:rPr>
        <w:t xml:space="preserve"> consumption rates. </w:t>
      </w:r>
      <w:r w:rsidR="00812D02" w:rsidRPr="00B275E2">
        <w:rPr>
          <w:spacing w:val="-2"/>
        </w:rPr>
        <w:t xml:space="preserve">The data in </w:t>
      </w:r>
      <w:r w:rsidR="008224AA" w:rsidRPr="00B275E2">
        <w:rPr>
          <w:spacing w:val="-2"/>
        </w:rPr>
        <w:t>this model is</w:t>
      </w:r>
      <w:r w:rsidR="00CB5E01" w:rsidRPr="00B275E2">
        <w:rPr>
          <w:spacing w:val="-2"/>
        </w:rPr>
        <w:t xml:space="preserve"> inherently uncertain</w:t>
      </w:r>
      <w:r w:rsidR="005C3ED0" w:rsidRPr="00B275E2">
        <w:rPr>
          <w:spacing w:val="-2"/>
        </w:rPr>
        <w:t xml:space="preserve"> as </w:t>
      </w:r>
      <w:r w:rsidR="0003097B" w:rsidRPr="00B275E2">
        <w:rPr>
          <w:spacing w:val="-2"/>
        </w:rPr>
        <w:t xml:space="preserve">they </w:t>
      </w:r>
      <w:r w:rsidR="00EC3183" w:rsidRPr="00B275E2">
        <w:rPr>
          <w:spacing w:val="-2"/>
        </w:rPr>
        <w:t>model</w:t>
      </w:r>
      <w:r w:rsidR="005C3ED0" w:rsidRPr="00B275E2">
        <w:rPr>
          <w:spacing w:val="-2"/>
        </w:rPr>
        <w:t xml:space="preserve"> the </w:t>
      </w:r>
      <w:r w:rsidR="00294FE7" w:rsidRPr="00B275E2">
        <w:rPr>
          <w:spacing w:val="-2"/>
        </w:rPr>
        <w:t>real-world</w:t>
      </w:r>
      <w:r w:rsidR="005C3ED0" w:rsidRPr="00B275E2">
        <w:rPr>
          <w:spacing w:val="-2"/>
        </w:rPr>
        <w:t xml:space="preserve"> fuel consumption of new vehicles sold that calendar year</w:t>
      </w:r>
      <w:r w:rsidR="007D1DA6" w:rsidRPr="00B275E2">
        <w:rPr>
          <w:spacing w:val="-2"/>
        </w:rPr>
        <w:t>. Emission factors represent the average fuel consumption of vehicles operating in the real world under different driving condition</w:t>
      </w:r>
      <w:r w:rsidR="007A3654" w:rsidRPr="00B275E2">
        <w:rPr>
          <w:spacing w:val="-2"/>
        </w:rPr>
        <w:t>s,</w:t>
      </w:r>
      <w:r w:rsidR="007D1DA6" w:rsidRPr="00B275E2">
        <w:rPr>
          <w:spacing w:val="-2"/>
        </w:rPr>
        <w:t xml:space="preserve"> across all vehicle types in that classification.</w:t>
      </w:r>
    </w:p>
    <w:p w14:paraId="650920C3" w14:textId="2E04CBF4" w:rsidR="00D62905" w:rsidRPr="00B275E2" w:rsidRDefault="00F76EF8" w:rsidP="007F0B1E">
      <w:pPr>
        <w:pStyle w:val="BodyText"/>
      </w:pPr>
      <w:r w:rsidRPr="00B275E2">
        <w:t>We</w:t>
      </w:r>
      <w:r w:rsidR="00D62905" w:rsidRPr="00B275E2">
        <w:t xml:space="preserve"> assume there are no electric cars or hybrids in the </w:t>
      </w:r>
      <w:r w:rsidR="00153912" w:rsidRPr="00B275E2">
        <w:t>pre-2010</w:t>
      </w:r>
      <w:r w:rsidR="00D62905" w:rsidRPr="00B275E2">
        <w:t xml:space="preserve"> fleet.</w:t>
      </w:r>
    </w:p>
    <w:p w14:paraId="64B8A9F0" w14:textId="3ABA1F98" w:rsidR="009663F3" w:rsidRPr="00B275E2" w:rsidRDefault="009663F3" w:rsidP="00C24B73">
      <w:pPr>
        <w:pStyle w:val="Heading2"/>
        <w:numPr>
          <w:ilvl w:val="0"/>
          <w:numId w:val="27"/>
        </w:numPr>
      </w:pPr>
      <w:bookmarkStart w:id="364" w:name="_Toc532904899"/>
      <w:bookmarkStart w:id="365" w:name="_Toc600584"/>
      <w:bookmarkStart w:id="366" w:name="_Toc111536795"/>
      <w:r w:rsidRPr="00B275E2">
        <w:t>Public transport passenger</w:t>
      </w:r>
      <w:bookmarkEnd w:id="366"/>
    </w:p>
    <w:p w14:paraId="650E17E0" w14:textId="657EA167" w:rsidR="00D7550A" w:rsidRPr="00B275E2" w:rsidRDefault="00480307" w:rsidP="007F0B1E">
      <w:pPr>
        <w:pStyle w:val="BodyText"/>
      </w:pPr>
      <w:r w:rsidRPr="00B275E2">
        <w:t>In this update it has been possible to</w:t>
      </w:r>
      <w:r w:rsidR="00F06E17" w:rsidRPr="00B275E2">
        <w:t xml:space="preserve"> </w:t>
      </w:r>
      <w:r w:rsidR="00B26BFA" w:rsidRPr="00B275E2">
        <w:t>update</w:t>
      </w:r>
      <w:r w:rsidR="00F06E17" w:rsidRPr="00B275E2">
        <w:t xml:space="preserve"> the </w:t>
      </w:r>
      <w:r w:rsidR="0078070A" w:rsidRPr="00B275E2">
        <w:t>emission</w:t>
      </w:r>
      <w:r w:rsidR="00F06E17" w:rsidRPr="00B275E2">
        <w:t xml:space="preserve"> factors</w:t>
      </w:r>
      <w:r w:rsidR="0078070A" w:rsidRPr="00B275E2">
        <w:t xml:space="preserve"> </w:t>
      </w:r>
      <w:r w:rsidR="00F06E17" w:rsidRPr="00B275E2">
        <w:t>for</w:t>
      </w:r>
      <w:r w:rsidR="0078070A" w:rsidRPr="00B275E2">
        <w:t xml:space="preserve"> public</w:t>
      </w:r>
      <w:r w:rsidRPr="00B275E2">
        <w:t xml:space="preserve"> transp</w:t>
      </w:r>
      <w:r w:rsidR="00820563" w:rsidRPr="00B275E2">
        <w:t xml:space="preserve">ort for passenger travel on buses and trains. </w:t>
      </w:r>
      <w:r w:rsidR="006D4D78" w:rsidRPr="00B275E2">
        <w:t>The unit used for these emission source</w:t>
      </w:r>
      <w:r w:rsidR="002406D1" w:rsidRPr="00B275E2">
        <w:t>s</w:t>
      </w:r>
      <w:r w:rsidR="006D4D78" w:rsidRPr="00B275E2">
        <w:t xml:space="preserve"> are passenger kilometres (pkm).</w:t>
      </w:r>
    </w:p>
    <w:p w14:paraId="2AB4FFC6" w14:textId="33A831F5" w:rsidR="00A60118" w:rsidRPr="00B275E2" w:rsidRDefault="00A60118" w:rsidP="007F0B1E">
      <w:pPr>
        <w:pStyle w:val="BodyText"/>
      </w:pPr>
      <w:r w:rsidRPr="00B275E2">
        <w:t xml:space="preserve">Data </w:t>
      </w:r>
      <w:r w:rsidR="00BE260A" w:rsidRPr="00B275E2">
        <w:t>for this update was sourced from NZTA</w:t>
      </w:r>
      <w:r w:rsidR="0024349C" w:rsidRPr="00B275E2">
        <w:t>,</w:t>
      </w:r>
      <w:r w:rsidR="00456840" w:rsidRPr="00B275E2">
        <w:t xml:space="preserve"> </w:t>
      </w:r>
      <w:r w:rsidR="004132ED" w:rsidRPr="00B275E2">
        <w:t>Greater Wellington Regional Council</w:t>
      </w:r>
      <w:r w:rsidR="005F20CD" w:rsidRPr="00B275E2">
        <w:t>, Kiwirail</w:t>
      </w:r>
      <w:r w:rsidR="00BE260A" w:rsidRPr="00B275E2">
        <w:t xml:space="preserve"> </w:t>
      </w:r>
      <w:r w:rsidR="0024349C" w:rsidRPr="00B275E2">
        <w:t>and Metlink</w:t>
      </w:r>
      <w:r w:rsidR="00BE260A" w:rsidRPr="00B275E2">
        <w:t xml:space="preserve"> for the 2020 calendar year.</w:t>
      </w:r>
    </w:p>
    <w:p w14:paraId="70A7894D" w14:textId="6FA8FAFF" w:rsidR="006D4D78" w:rsidRPr="00B275E2" w:rsidRDefault="004837A7" w:rsidP="00F70E9D">
      <w:pPr>
        <w:pStyle w:val="Tableheading"/>
      </w:pPr>
      <w:bookmarkStart w:id="367" w:name="_Ref54789939"/>
      <w:bookmarkStart w:id="368" w:name="_Toc111536632"/>
      <w:r w:rsidRPr="00B275E2">
        <w:lastRenderedPageBreak/>
        <w:t xml:space="preserve">Table </w:t>
      </w:r>
      <w:r w:rsidRPr="00B275E2">
        <w:fldChar w:fldCharType="begin"/>
      </w:r>
      <w:r w:rsidRPr="00B275E2">
        <w:instrText>SEQ Table \* ARABIC</w:instrText>
      </w:r>
      <w:r w:rsidRPr="00B275E2">
        <w:fldChar w:fldCharType="separate"/>
      </w:r>
      <w:r w:rsidR="003E141C" w:rsidRPr="00B275E2">
        <w:t>27</w:t>
      </w:r>
      <w:r w:rsidRPr="00B275E2">
        <w:fldChar w:fldCharType="end"/>
      </w:r>
      <w:bookmarkEnd w:id="367"/>
      <w:r w:rsidRPr="00B275E2">
        <w:t>:</w:t>
      </w:r>
      <w:r w:rsidR="00C504BE" w:rsidRPr="00B275E2">
        <w:tab/>
      </w:r>
      <w:r w:rsidRPr="00B275E2">
        <w:t>Emission factors for public transport</w:t>
      </w:r>
      <w:bookmarkEnd w:id="368"/>
    </w:p>
    <w:tbl>
      <w:tblPr>
        <w:tblStyle w:val="LightList-Accent11"/>
        <w:tblW w:w="8505" w:type="dxa"/>
        <w:tblBorders>
          <w:top w:val="single" w:sz="4" w:space="0" w:color="1B556B"/>
          <w:bottom w:val="single" w:sz="4" w:space="0" w:color="1B556B"/>
          <w:insideH w:val="single" w:sz="4" w:space="0" w:color="1B556B"/>
          <w:insideV w:val="single" w:sz="4" w:space="0" w:color="1B556B"/>
        </w:tblBorders>
        <w:tblLayout w:type="fixed"/>
        <w:tblLook w:val="04A0" w:firstRow="1" w:lastRow="0" w:firstColumn="1" w:lastColumn="0" w:noHBand="0" w:noVBand="1"/>
      </w:tblPr>
      <w:tblGrid>
        <w:gridCol w:w="567"/>
        <w:gridCol w:w="2482"/>
        <w:gridCol w:w="561"/>
        <w:gridCol w:w="1259"/>
        <w:gridCol w:w="1119"/>
        <w:gridCol w:w="1258"/>
        <w:gridCol w:w="1259"/>
      </w:tblGrid>
      <w:tr w:rsidR="006D4D78" w:rsidRPr="00B275E2" w14:paraId="1877A263" w14:textId="77777777" w:rsidTr="00F702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9" w:type="dxa"/>
            <w:gridSpan w:val="2"/>
            <w:vAlign w:val="bottom"/>
          </w:tcPr>
          <w:p w14:paraId="5B4A7158" w14:textId="77777777" w:rsidR="006D4D78" w:rsidRPr="00B275E2" w:rsidRDefault="006D4D78" w:rsidP="007F0B1E">
            <w:pPr>
              <w:pStyle w:val="TableText"/>
              <w:keepNext/>
              <w:rPr>
                <w:szCs w:val="18"/>
              </w:rPr>
            </w:pPr>
            <w:r w:rsidRPr="00B275E2">
              <w:rPr>
                <w:szCs w:val="18"/>
              </w:rPr>
              <w:t>Emission source</w:t>
            </w:r>
          </w:p>
        </w:tc>
        <w:tc>
          <w:tcPr>
            <w:tcW w:w="561" w:type="dxa"/>
            <w:noWrap/>
            <w:vAlign w:val="bottom"/>
          </w:tcPr>
          <w:p w14:paraId="51EB13CF" w14:textId="77777777" w:rsidR="006D4D78" w:rsidRPr="00B275E2" w:rsidRDefault="006D4D78" w:rsidP="007F0B1E">
            <w:pPr>
              <w:pStyle w:val="TableText"/>
              <w:keepNext/>
              <w:cnfStyle w:val="100000000000" w:firstRow="1" w:lastRow="0" w:firstColumn="0" w:lastColumn="0" w:oddVBand="0" w:evenVBand="0" w:oddHBand="0" w:evenHBand="0" w:firstRowFirstColumn="0" w:firstRowLastColumn="0" w:lastRowFirstColumn="0" w:lastRowLastColumn="0"/>
              <w:rPr>
                <w:szCs w:val="18"/>
              </w:rPr>
            </w:pPr>
            <w:r w:rsidRPr="00B275E2">
              <w:rPr>
                <w:szCs w:val="18"/>
              </w:rPr>
              <w:t>Unit</w:t>
            </w:r>
          </w:p>
        </w:tc>
        <w:tc>
          <w:tcPr>
            <w:tcW w:w="1259" w:type="dxa"/>
            <w:shd w:val="clear" w:color="auto" w:fill="D2DDE1" w:themeFill="background2"/>
            <w:noWrap/>
            <w:vAlign w:val="bottom"/>
          </w:tcPr>
          <w:p w14:paraId="4263DA0B" w14:textId="77777777" w:rsidR="006D4D78" w:rsidRPr="00B275E2" w:rsidRDefault="006D4D78" w:rsidP="00F702FD">
            <w:pPr>
              <w:pStyle w:val="TableText"/>
              <w:keepNext/>
              <w:jc w:val="right"/>
              <w:cnfStyle w:val="100000000000" w:firstRow="1" w:lastRow="0" w:firstColumn="0" w:lastColumn="0" w:oddVBand="0" w:evenVBand="0" w:oddHBand="0" w:evenHBand="0" w:firstRowFirstColumn="0" w:firstRowLastColumn="0" w:lastRowFirstColumn="0" w:lastRowLastColumn="0"/>
              <w:rPr>
                <w:color w:val="auto"/>
                <w:szCs w:val="18"/>
              </w:rPr>
            </w:pPr>
            <w:r w:rsidRPr="00B275E2">
              <w:rPr>
                <w:color w:val="auto"/>
                <w:szCs w:val="18"/>
              </w:rPr>
              <w:t>kg CO</w:t>
            </w:r>
            <w:r w:rsidRPr="00B275E2">
              <w:rPr>
                <w:color w:val="auto"/>
                <w:szCs w:val="18"/>
                <w:vertAlign w:val="subscript"/>
              </w:rPr>
              <w:t>2</w:t>
            </w:r>
            <w:r w:rsidRPr="00B275E2">
              <w:rPr>
                <w:color w:val="auto"/>
                <w:szCs w:val="18"/>
              </w:rPr>
              <w:t>-e/unit</w:t>
            </w:r>
          </w:p>
        </w:tc>
        <w:tc>
          <w:tcPr>
            <w:tcW w:w="1119" w:type="dxa"/>
            <w:noWrap/>
            <w:vAlign w:val="bottom"/>
          </w:tcPr>
          <w:p w14:paraId="0BB0BCC7" w14:textId="4A2EC7BA" w:rsidR="006D4D78" w:rsidRPr="00B275E2" w:rsidRDefault="006D4D78" w:rsidP="00F702FD">
            <w:pPr>
              <w:pStyle w:val="TableText"/>
              <w:keepNext/>
              <w:jc w:val="right"/>
              <w:cnfStyle w:val="100000000000" w:firstRow="1" w:lastRow="0" w:firstColumn="0" w:lastColumn="0" w:oddVBand="0" w:evenVBand="0" w:oddHBand="0" w:evenHBand="0" w:firstRowFirstColumn="0" w:firstRowLastColumn="0" w:lastRowFirstColumn="0" w:lastRowLastColumn="0"/>
              <w:rPr>
                <w:szCs w:val="18"/>
              </w:rPr>
            </w:pPr>
            <w:r w:rsidRPr="00B275E2">
              <w:rPr>
                <w:szCs w:val="18"/>
              </w:rPr>
              <w:t>kg CO</w:t>
            </w:r>
            <w:r w:rsidRPr="00B275E2">
              <w:rPr>
                <w:szCs w:val="18"/>
                <w:vertAlign w:val="subscript"/>
              </w:rPr>
              <w:t>2</w:t>
            </w:r>
            <w:r w:rsidRPr="00B275E2">
              <w:rPr>
                <w:szCs w:val="18"/>
              </w:rPr>
              <w:t>/unit</w:t>
            </w:r>
            <w:r w:rsidR="009024F6" w:rsidRPr="00B275E2">
              <w:rPr>
                <w:szCs w:val="18"/>
              </w:rPr>
              <w:t xml:space="preserve"> (kg CO</w:t>
            </w:r>
            <w:r w:rsidR="009024F6" w:rsidRPr="00B275E2">
              <w:rPr>
                <w:szCs w:val="18"/>
                <w:vertAlign w:val="subscript"/>
              </w:rPr>
              <w:t>2</w:t>
            </w:r>
            <w:r w:rsidR="009024F6" w:rsidRPr="00B275E2">
              <w:rPr>
                <w:szCs w:val="18"/>
              </w:rPr>
              <w:noBreakHyphen/>
              <w:t>e)</w:t>
            </w:r>
          </w:p>
        </w:tc>
        <w:tc>
          <w:tcPr>
            <w:tcW w:w="1258" w:type="dxa"/>
            <w:noWrap/>
            <w:vAlign w:val="bottom"/>
          </w:tcPr>
          <w:p w14:paraId="1646DD89" w14:textId="55F3FB9F" w:rsidR="006D4D78" w:rsidRPr="00B275E2" w:rsidRDefault="0078070A" w:rsidP="00F702FD">
            <w:pPr>
              <w:pStyle w:val="TableText"/>
              <w:keepNext/>
              <w:jc w:val="right"/>
              <w:cnfStyle w:val="100000000000" w:firstRow="1" w:lastRow="0" w:firstColumn="0" w:lastColumn="0" w:oddVBand="0" w:evenVBand="0" w:oddHBand="0" w:evenHBand="0" w:firstRowFirstColumn="0" w:firstRowLastColumn="0" w:lastRowFirstColumn="0" w:lastRowLastColumn="0"/>
              <w:rPr>
                <w:szCs w:val="18"/>
              </w:rPr>
            </w:pPr>
            <w:r w:rsidRPr="00B275E2">
              <w:rPr>
                <w:szCs w:val="18"/>
              </w:rPr>
              <w:t xml:space="preserve">kg </w:t>
            </w:r>
            <w:r w:rsidR="006D4D78" w:rsidRPr="00B275E2">
              <w:rPr>
                <w:szCs w:val="18"/>
              </w:rPr>
              <w:t>CH</w:t>
            </w:r>
            <w:r w:rsidR="006D4D78" w:rsidRPr="00B275E2">
              <w:rPr>
                <w:szCs w:val="18"/>
                <w:vertAlign w:val="subscript"/>
              </w:rPr>
              <w:t>4</w:t>
            </w:r>
            <w:r w:rsidR="002D02A8" w:rsidRPr="00B275E2">
              <w:rPr>
                <w:szCs w:val="18"/>
              </w:rPr>
              <w:t>/unit</w:t>
            </w:r>
            <w:r w:rsidR="009D46CB" w:rsidRPr="00B275E2">
              <w:rPr>
                <w:szCs w:val="18"/>
              </w:rPr>
              <w:t xml:space="preserve"> (</w:t>
            </w:r>
            <w:r w:rsidR="009024F6" w:rsidRPr="00B275E2">
              <w:rPr>
                <w:szCs w:val="18"/>
              </w:rPr>
              <w:t xml:space="preserve">kg </w:t>
            </w:r>
            <w:r w:rsidR="006E1721" w:rsidRPr="00B275E2">
              <w:rPr>
                <w:szCs w:val="18"/>
              </w:rPr>
              <w:t>CO</w:t>
            </w:r>
            <w:r w:rsidR="006E1721" w:rsidRPr="00B275E2">
              <w:rPr>
                <w:szCs w:val="18"/>
                <w:vertAlign w:val="subscript"/>
              </w:rPr>
              <w:t>2</w:t>
            </w:r>
            <w:r w:rsidR="006E1721" w:rsidRPr="00B275E2">
              <w:rPr>
                <w:szCs w:val="18"/>
              </w:rPr>
              <w:noBreakHyphen/>
            </w:r>
            <w:r w:rsidR="009D46CB" w:rsidRPr="00B275E2">
              <w:rPr>
                <w:szCs w:val="18"/>
              </w:rPr>
              <w:t>e)</w:t>
            </w:r>
          </w:p>
        </w:tc>
        <w:tc>
          <w:tcPr>
            <w:tcW w:w="1259" w:type="dxa"/>
            <w:noWrap/>
            <w:vAlign w:val="bottom"/>
          </w:tcPr>
          <w:p w14:paraId="37AD8FEF" w14:textId="7A65E09E" w:rsidR="006D4D78" w:rsidRPr="00B275E2" w:rsidRDefault="0078070A" w:rsidP="00F702FD">
            <w:pPr>
              <w:pStyle w:val="TableText"/>
              <w:keepNext/>
              <w:jc w:val="right"/>
              <w:cnfStyle w:val="100000000000" w:firstRow="1" w:lastRow="0" w:firstColumn="0" w:lastColumn="0" w:oddVBand="0" w:evenVBand="0" w:oddHBand="0" w:evenHBand="0" w:firstRowFirstColumn="0" w:firstRowLastColumn="0" w:lastRowFirstColumn="0" w:lastRowLastColumn="0"/>
              <w:rPr>
                <w:szCs w:val="18"/>
              </w:rPr>
            </w:pPr>
            <w:r w:rsidRPr="00B275E2">
              <w:rPr>
                <w:szCs w:val="18"/>
              </w:rPr>
              <w:t xml:space="preserve">kg </w:t>
            </w:r>
            <w:r w:rsidR="006D4D78" w:rsidRPr="00B275E2">
              <w:rPr>
                <w:szCs w:val="18"/>
              </w:rPr>
              <w:t>N</w:t>
            </w:r>
            <w:r w:rsidR="006D4D78" w:rsidRPr="00B275E2">
              <w:rPr>
                <w:szCs w:val="18"/>
                <w:vertAlign w:val="subscript"/>
              </w:rPr>
              <w:t>2</w:t>
            </w:r>
            <w:r w:rsidR="002D02A8" w:rsidRPr="00B275E2">
              <w:rPr>
                <w:szCs w:val="18"/>
              </w:rPr>
              <w:t>O/unit</w:t>
            </w:r>
            <w:r w:rsidRPr="00B275E2">
              <w:rPr>
                <w:szCs w:val="18"/>
              </w:rPr>
              <w:br/>
            </w:r>
            <w:r w:rsidR="009D46CB" w:rsidRPr="00B275E2">
              <w:rPr>
                <w:szCs w:val="18"/>
              </w:rPr>
              <w:t>(</w:t>
            </w:r>
            <w:r w:rsidR="009024F6" w:rsidRPr="00B275E2">
              <w:rPr>
                <w:szCs w:val="18"/>
              </w:rPr>
              <w:t xml:space="preserve">kg </w:t>
            </w:r>
            <w:r w:rsidR="009D46CB" w:rsidRPr="00B275E2">
              <w:rPr>
                <w:szCs w:val="18"/>
              </w:rPr>
              <w:t>CO</w:t>
            </w:r>
            <w:r w:rsidR="009D46CB" w:rsidRPr="00B275E2">
              <w:rPr>
                <w:szCs w:val="18"/>
                <w:vertAlign w:val="subscript"/>
              </w:rPr>
              <w:t>2</w:t>
            </w:r>
            <w:r w:rsidR="009D46CB" w:rsidRPr="00B275E2">
              <w:rPr>
                <w:szCs w:val="18"/>
              </w:rPr>
              <w:t>-e)</w:t>
            </w:r>
          </w:p>
        </w:tc>
      </w:tr>
      <w:tr w:rsidR="00377436" w:rsidRPr="00B275E2" w14:paraId="2D301CA4" w14:textId="77777777" w:rsidTr="00C46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val="restart"/>
            <w:tcBorders>
              <w:left w:val="single" w:sz="4" w:space="0" w:color="FFFFFF" w:themeColor="background1"/>
            </w:tcBorders>
            <w:hideMark/>
          </w:tcPr>
          <w:p w14:paraId="409D6C48" w14:textId="37067D09" w:rsidR="00377436" w:rsidRPr="00B275E2" w:rsidRDefault="00377436" w:rsidP="007F0B1E">
            <w:pPr>
              <w:pStyle w:val="TableText"/>
              <w:keepNext/>
              <w:rPr>
                <w:b w:val="0"/>
                <w:bCs w:val="0"/>
                <w:szCs w:val="18"/>
              </w:rPr>
            </w:pPr>
            <w:r w:rsidRPr="00B275E2">
              <w:rPr>
                <w:b w:val="0"/>
                <w:bCs w:val="0"/>
                <w:szCs w:val="18"/>
              </w:rPr>
              <w:t>Bus</w:t>
            </w:r>
          </w:p>
        </w:tc>
        <w:tc>
          <w:tcPr>
            <w:tcW w:w="2482" w:type="dxa"/>
            <w:noWrap/>
          </w:tcPr>
          <w:p w14:paraId="724FE876" w14:textId="4A63A468" w:rsidR="00377436" w:rsidRPr="00B275E2" w:rsidRDefault="00377436" w:rsidP="007F0B1E">
            <w:pPr>
              <w:pStyle w:val="TableText"/>
              <w:keepNext/>
              <w:cnfStyle w:val="000000100000" w:firstRow="0" w:lastRow="0" w:firstColumn="0" w:lastColumn="0" w:oddVBand="0" w:evenVBand="0" w:oddHBand="1" w:evenHBand="0" w:firstRowFirstColumn="0" w:firstRowLastColumn="0" w:lastRowFirstColumn="0" w:lastRowLastColumn="0"/>
              <w:rPr>
                <w:szCs w:val="18"/>
              </w:rPr>
            </w:pPr>
            <w:r w:rsidRPr="00B275E2">
              <w:rPr>
                <w:szCs w:val="18"/>
              </w:rPr>
              <w:t>National Average for Bus</w:t>
            </w:r>
          </w:p>
        </w:tc>
        <w:tc>
          <w:tcPr>
            <w:tcW w:w="561" w:type="dxa"/>
            <w:noWrap/>
            <w:hideMark/>
          </w:tcPr>
          <w:p w14:paraId="7E95DCB1" w14:textId="60AB9898" w:rsidR="00377436" w:rsidRPr="00B275E2" w:rsidRDefault="00377436" w:rsidP="007F0B1E">
            <w:pPr>
              <w:pStyle w:val="TableText"/>
              <w:keepNext/>
              <w:cnfStyle w:val="000000100000" w:firstRow="0" w:lastRow="0" w:firstColumn="0" w:lastColumn="0" w:oddVBand="0" w:evenVBand="0" w:oddHBand="1" w:evenHBand="0" w:firstRowFirstColumn="0" w:firstRowLastColumn="0" w:lastRowFirstColumn="0" w:lastRowLastColumn="0"/>
              <w:rPr>
                <w:szCs w:val="18"/>
              </w:rPr>
            </w:pPr>
            <w:r w:rsidRPr="00B275E2">
              <w:rPr>
                <w:szCs w:val="18"/>
              </w:rPr>
              <w:t>pkm</w:t>
            </w:r>
          </w:p>
        </w:tc>
        <w:tc>
          <w:tcPr>
            <w:tcW w:w="1259" w:type="dxa"/>
            <w:shd w:val="clear" w:color="auto" w:fill="D2DDE1" w:themeFill="background2"/>
            <w:noWrap/>
          </w:tcPr>
          <w:p w14:paraId="56406CCF" w14:textId="4216DCED" w:rsidR="00377436" w:rsidRPr="00B275E2" w:rsidRDefault="00980780" w:rsidP="007F0B1E">
            <w:pPr>
              <w:pStyle w:val="TableText"/>
              <w:keepNext/>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0.1</w:t>
            </w:r>
            <w:r w:rsidR="001417B9" w:rsidRPr="00B275E2">
              <w:rPr>
                <w:rFonts w:cs="Calibri"/>
                <w:szCs w:val="18"/>
              </w:rPr>
              <w:t>55</w:t>
            </w:r>
            <w:r w:rsidR="00377436" w:rsidRPr="00B275E2">
              <w:rPr>
                <w:rFonts w:cs="Calibri"/>
                <w:szCs w:val="18"/>
              </w:rPr>
              <w:t xml:space="preserve"> </w:t>
            </w:r>
          </w:p>
        </w:tc>
        <w:tc>
          <w:tcPr>
            <w:tcW w:w="1119" w:type="dxa"/>
            <w:shd w:val="clear" w:color="000000" w:fill="FFFFFF"/>
            <w:noWrap/>
          </w:tcPr>
          <w:p w14:paraId="009B1A71" w14:textId="02265362" w:rsidR="00377436" w:rsidRPr="00B275E2" w:rsidRDefault="00980780" w:rsidP="007F0B1E">
            <w:pPr>
              <w:pStyle w:val="TableText"/>
              <w:keepNext/>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0.1</w:t>
            </w:r>
            <w:r w:rsidR="001417B9" w:rsidRPr="00B275E2">
              <w:rPr>
                <w:rFonts w:cs="Calibri"/>
                <w:szCs w:val="18"/>
              </w:rPr>
              <w:t>53</w:t>
            </w:r>
            <w:r w:rsidR="00377436" w:rsidRPr="00B275E2">
              <w:rPr>
                <w:rFonts w:cs="Calibri"/>
                <w:szCs w:val="18"/>
              </w:rPr>
              <w:t xml:space="preserve"> </w:t>
            </w:r>
          </w:p>
        </w:tc>
        <w:tc>
          <w:tcPr>
            <w:tcW w:w="1258" w:type="dxa"/>
            <w:shd w:val="clear" w:color="000000" w:fill="FFFFFF"/>
            <w:noWrap/>
          </w:tcPr>
          <w:p w14:paraId="59522157" w14:textId="7F46751B" w:rsidR="00377436" w:rsidRPr="00B275E2" w:rsidRDefault="00980780" w:rsidP="007F0B1E">
            <w:pPr>
              <w:pStyle w:val="TableText"/>
              <w:keepNext/>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w:t>
            </w:r>
            <w:r w:rsidR="00D35BBD">
              <w:rPr>
                <w:rFonts w:cs="Calibri"/>
                <w:szCs w:val="18"/>
              </w:rPr>
              <w:t>13</w:t>
            </w:r>
            <w:r w:rsidR="00377436" w:rsidRPr="00B275E2">
              <w:rPr>
                <w:rFonts w:cs="Calibri"/>
                <w:szCs w:val="18"/>
              </w:rPr>
              <w:t xml:space="preserve"> </w:t>
            </w:r>
          </w:p>
        </w:tc>
        <w:tc>
          <w:tcPr>
            <w:tcW w:w="1259" w:type="dxa"/>
            <w:tcBorders>
              <w:right w:val="single" w:sz="4" w:space="0" w:color="FFFFFF" w:themeColor="background1"/>
            </w:tcBorders>
            <w:shd w:val="clear" w:color="000000" w:fill="FFFFFF"/>
            <w:noWrap/>
          </w:tcPr>
          <w:p w14:paraId="3ED5DA9A" w14:textId="6AE8D053" w:rsidR="00377436" w:rsidRPr="00B275E2" w:rsidRDefault="00980780" w:rsidP="007F0B1E">
            <w:pPr>
              <w:pStyle w:val="TableText"/>
              <w:keepNext/>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0.002</w:t>
            </w:r>
            <w:r w:rsidR="00377436" w:rsidRPr="00B275E2">
              <w:rPr>
                <w:rFonts w:cs="Calibri"/>
                <w:szCs w:val="18"/>
              </w:rPr>
              <w:t xml:space="preserve"> </w:t>
            </w:r>
          </w:p>
        </w:tc>
      </w:tr>
      <w:tr w:rsidR="00377436" w:rsidRPr="00B275E2" w14:paraId="5A7B728A" w14:textId="77777777" w:rsidTr="00C469A6">
        <w:tc>
          <w:tcPr>
            <w:cnfStyle w:val="001000000000" w:firstRow="0" w:lastRow="0" w:firstColumn="1" w:lastColumn="0" w:oddVBand="0" w:evenVBand="0" w:oddHBand="0" w:evenHBand="0" w:firstRowFirstColumn="0" w:firstRowLastColumn="0" w:lastRowFirstColumn="0" w:lastRowLastColumn="0"/>
            <w:tcW w:w="567" w:type="dxa"/>
            <w:vMerge/>
            <w:tcBorders>
              <w:left w:val="single" w:sz="4" w:space="0" w:color="FFFFFF" w:themeColor="background1"/>
            </w:tcBorders>
            <w:hideMark/>
          </w:tcPr>
          <w:p w14:paraId="29C77920" w14:textId="77777777" w:rsidR="00377436" w:rsidRPr="00B275E2" w:rsidRDefault="00377436" w:rsidP="007F0B1E">
            <w:pPr>
              <w:pStyle w:val="TableText"/>
              <w:keepNext/>
              <w:rPr>
                <w:b w:val="0"/>
                <w:bCs w:val="0"/>
                <w:szCs w:val="18"/>
              </w:rPr>
            </w:pPr>
          </w:p>
        </w:tc>
        <w:tc>
          <w:tcPr>
            <w:tcW w:w="2482" w:type="dxa"/>
            <w:noWrap/>
          </w:tcPr>
          <w:p w14:paraId="647E8748" w14:textId="43B80B04" w:rsidR="00377436" w:rsidRPr="00B275E2" w:rsidRDefault="00377436" w:rsidP="007F0B1E">
            <w:pPr>
              <w:pStyle w:val="TableText"/>
              <w:keepNext/>
              <w:cnfStyle w:val="000000000000" w:firstRow="0" w:lastRow="0" w:firstColumn="0" w:lastColumn="0" w:oddVBand="0" w:evenVBand="0" w:oddHBand="0" w:evenHBand="0" w:firstRowFirstColumn="0" w:firstRowLastColumn="0" w:lastRowFirstColumn="0" w:lastRowLastColumn="0"/>
              <w:rPr>
                <w:szCs w:val="18"/>
              </w:rPr>
            </w:pPr>
            <w:r w:rsidRPr="00B275E2">
              <w:rPr>
                <w:szCs w:val="18"/>
              </w:rPr>
              <w:t>Electric Bus</w:t>
            </w:r>
            <w:r w:rsidR="006B403D">
              <w:rPr>
                <w:szCs w:val="18"/>
              </w:rPr>
              <w:t xml:space="preserve"> (based on Wellington)</w:t>
            </w:r>
          </w:p>
        </w:tc>
        <w:tc>
          <w:tcPr>
            <w:tcW w:w="561" w:type="dxa"/>
            <w:noWrap/>
            <w:hideMark/>
          </w:tcPr>
          <w:p w14:paraId="6518BA02" w14:textId="432FF3A7" w:rsidR="00377436" w:rsidRPr="00B275E2" w:rsidRDefault="00377436" w:rsidP="007F0B1E">
            <w:pPr>
              <w:pStyle w:val="TableText"/>
              <w:keepNext/>
              <w:cnfStyle w:val="000000000000" w:firstRow="0" w:lastRow="0" w:firstColumn="0" w:lastColumn="0" w:oddVBand="0" w:evenVBand="0" w:oddHBand="0" w:evenHBand="0" w:firstRowFirstColumn="0" w:firstRowLastColumn="0" w:lastRowFirstColumn="0" w:lastRowLastColumn="0"/>
              <w:rPr>
                <w:szCs w:val="18"/>
              </w:rPr>
            </w:pPr>
            <w:r w:rsidRPr="00B275E2">
              <w:rPr>
                <w:szCs w:val="18"/>
              </w:rPr>
              <w:t>pkm</w:t>
            </w:r>
          </w:p>
        </w:tc>
        <w:tc>
          <w:tcPr>
            <w:tcW w:w="1259" w:type="dxa"/>
            <w:shd w:val="clear" w:color="auto" w:fill="D2DDE1" w:themeFill="background2"/>
            <w:noWrap/>
          </w:tcPr>
          <w:p w14:paraId="00A4CB4D" w14:textId="2DC75AA2" w:rsidR="00377436" w:rsidRPr="00B275E2" w:rsidRDefault="00377436" w:rsidP="007F0B1E">
            <w:pPr>
              <w:pStyle w:val="TableText"/>
              <w:keepNext/>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w:t>
            </w:r>
            <w:r w:rsidR="00762BD0">
              <w:rPr>
                <w:rFonts w:cs="Calibri"/>
                <w:szCs w:val="18"/>
              </w:rPr>
              <w:t>12</w:t>
            </w:r>
            <w:r w:rsidRPr="00B275E2">
              <w:rPr>
                <w:rFonts w:cs="Calibri"/>
                <w:szCs w:val="18"/>
              </w:rPr>
              <w:t xml:space="preserve"> </w:t>
            </w:r>
          </w:p>
        </w:tc>
        <w:tc>
          <w:tcPr>
            <w:tcW w:w="1119" w:type="dxa"/>
            <w:shd w:val="clear" w:color="auto" w:fill="auto"/>
            <w:noWrap/>
          </w:tcPr>
          <w:p w14:paraId="4D180404" w14:textId="58C1A32D" w:rsidR="00377436" w:rsidRPr="00B275E2" w:rsidRDefault="00377436" w:rsidP="007F0B1E">
            <w:pPr>
              <w:pStyle w:val="TableText"/>
              <w:keepNext/>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 xml:space="preserve">0.012 </w:t>
            </w:r>
          </w:p>
        </w:tc>
        <w:tc>
          <w:tcPr>
            <w:tcW w:w="1258" w:type="dxa"/>
            <w:shd w:val="clear" w:color="auto" w:fill="auto"/>
            <w:noWrap/>
          </w:tcPr>
          <w:p w14:paraId="2D5EEC64" w14:textId="4FA20585" w:rsidR="00377436" w:rsidRPr="00B275E2" w:rsidRDefault="00377436" w:rsidP="007F0B1E">
            <w:pPr>
              <w:pStyle w:val="TableText"/>
              <w:keepNext/>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w:t>
            </w:r>
            <w:r w:rsidR="001417B9" w:rsidRPr="00B275E2">
              <w:rPr>
                <w:rFonts w:cs="Calibri"/>
                <w:szCs w:val="18"/>
              </w:rPr>
              <w:t>4</w:t>
            </w:r>
            <w:r w:rsidR="00D35BBD">
              <w:rPr>
                <w:rFonts w:cs="Calibri"/>
                <w:szCs w:val="18"/>
              </w:rPr>
              <w:t>0</w:t>
            </w:r>
            <w:r w:rsidRPr="00B275E2">
              <w:rPr>
                <w:rFonts w:cs="Calibri"/>
                <w:szCs w:val="18"/>
              </w:rPr>
              <w:t xml:space="preserve"> </w:t>
            </w:r>
          </w:p>
        </w:tc>
        <w:tc>
          <w:tcPr>
            <w:tcW w:w="1259" w:type="dxa"/>
            <w:tcBorders>
              <w:right w:val="single" w:sz="4" w:space="0" w:color="FFFFFF" w:themeColor="background1"/>
            </w:tcBorders>
            <w:shd w:val="clear" w:color="auto" w:fill="auto"/>
            <w:noWrap/>
          </w:tcPr>
          <w:p w14:paraId="2D9F7C97" w14:textId="01E12CF1" w:rsidR="00377436" w:rsidRPr="00B275E2" w:rsidRDefault="00377436" w:rsidP="007F0B1E">
            <w:pPr>
              <w:pStyle w:val="TableText"/>
              <w:keepNext/>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 xml:space="preserve">0.00002 </w:t>
            </w:r>
          </w:p>
        </w:tc>
      </w:tr>
      <w:tr w:rsidR="00377436" w:rsidRPr="00B275E2" w14:paraId="76DDB101" w14:textId="77777777" w:rsidTr="00C46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tcBorders>
              <w:left w:val="single" w:sz="4" w:space="0" w:color="FFFFFF" w:themeColor="background1"/>
            </w:tcBorders>
            <w:hideMark/>
          </w:tcPr>
          <w:p w14:paraId="4CE5EF20" w14:textId="77777777" w:rsidR="00377436" w:rsidRPr="00B275E2" w:rsidRDefault="00377436" w:rsidP="007F0B1E">
            <w:pPr>
              <w:pStyle w:val="TableText"/>
              <w:rPr>
                <w:b w:val="0"/>
                <w:bCs w:val="0"/>
                <w:szCs w:val="18"/>
              </w:rPr>
            </w:pPr>
          </w:p>
        </w:tc>
        <w:tc>
          <w:tcPr>
            <w:tcW w:w="2482" w:type="dxa"/>
            <w:noWrap/>
          </w:tcPr>
          <w:p w14:paraId="2C13740B" w14:textId="068B779E" w:rsidR="00377436" w:rsidRPr="00B275E2" w:rsidRDefault="00377436" w:rsidP="007F0B1E">
            <w:pPr>
              <w:pStyle w:val="TableText"/>
              <w:cnfStyle w:val="000000100000" w:firstRow="0" w:lastRow="0" w:firstColumn="0" w:lastColumn="0" w:oddVBand="0" w:evenVBand="0" w:oddHBand="1" w:evenHBand="0" w:firstRowFirstColumn="0" w:firstRowLastColumn="0" w:lastRowFirstColumn="0" w:lastRowLastColumn="0"/>
              <w:rPr>
                <w:szCs w:val="18"/>
              </w:rPr>
            </w:pPr>
            <w:r w:rsidRPr="00B275E2">
              <w:rPr>
                <w:szCs w:val="18"/>
              </w:rPr>
              <w:t>Diesel Bus</w:t>
            </w:r>
            <w:r w:rsidR="006B403D">
              <w:rPr>
                <w:szCs w:val="18"/>
              </w:rPr>
              <w:t xml:space="preserve"> (based on Wellington)</w:t>
            </w:r>
          </w:p>
        </w:tc>
        <w:tc>
          <w:tcPr>
            <w:tcW w:w="561" w:type="dxa"/>
            <w:noWrap/>
            <w:hideMark/>
          </w:tcPr>
          <w:p w14:paraId="0157A689" w14:textId="2DDBAB0E" w:rsidR="00377436" w:rsidRPr="00B275E2" w:rsidRDefault="00377436" w:rsidP="007F0B1E">
            <w:pPr>
              <w:pStyle w:val="TableText"/>
              <w:cnfStyle w:val="000000100000" w:firstRow="0" w:lastRow="0" w:firstColumn="0" w:lastColumn="0" w:oddVBand="0" w:evenVBand="0" w:oddHBand="1" w:evenHBand="0" w:firstRowFirstColumn="0" w:firstRowLastColumn="0" w:lastRowFirstColumn="0" w:lastRowLastColumn="0"/>
              <w:rPr>
                <w:szCs w:val="18"/>
              </w:rPr>
            </w:pPr>
            <w:r w:rsidRPr="00B275E2">
              <w:rPr>
                <w:szCs w:val="18"/>
              </w:rPr>
              <w:t>pkm</w:t>
            </w:r>
          </w:p>
        </w:tc>
        <w:tc>
          <w:tcPr>
            <w:tcW w:w="1259" w:type="dxa"/>
            <w:shd w:val="clear" w:color="auto" w:fill="D2DDE1" w:themeFill="background2"/>
            <w:noWrap/>
          </w:tcPr>
          <w:p w14:paraId="1A9C95C3" w14:textId="6B32E889" w:rsidR="00377436" w:rsidRPr="00B275E2" w:rsidRDefault="00377436" w:rsidP="007F0B1E">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w:t>
            </w:r>
            <w:r w:rsidR="001417B9" w:rsidRPr="00B275E2">
              <w:rPr>
                <w:rFonts w:cs="Calibri"/>
                <w:szCs w:val="18"/>
              </w:rPr>
              <w:t>060</w:t>
            </w:r>
            <w:r w:rsidRPr="00B275E2">
              <w:rPr>
                <w:rFonts w:cs="Calibri"/>
                <w:szCs w:val="18"/>
              </w:rPr>
              <w:t xml:space="preserve"> </w:t>
            </w:r>
          </w:p>
        </w:tc>
        <w:tc>
          <w:tcPr>
            <w:tcW w:w="1119" w:type="dxa"/>
            <w:shd w:val="clear" w:color="auto" w:fill="auto"/>
            <w:noWrap/>
          </w:tcPr>
          <w:p w14:paraId="042A11F7" w14:textId="31EDF289" w:rsidR="00377436" w:rsidRPr="00B275E2" w:rsidRDefault="00377436" w:rsidP="007F0B1E">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w:t>
            </w:r>
            <w:r w:rsidR="0079164B" w:rsidRPr="00B275E2">
              <w:rPr>
                <w:rFonts w:cs="Calibri"/>
                <w:szCs w:val="18"/>
              </w:rPr>
              <w:t>060</w:t>
            </w:r>
            <w:r w:rsidRPr="00B275E2">
              <w:rPr>
                <w:rFonts w:cs="Calibri"/>
                <w:szCs w:val="18"/>
              </w:rPr>
              <w:t xml:space="preserve"> </w:t>
            </w:r>
          </w:p>
        </w:tc>
        <w:tc>
          <w:tcPr>
            <w:tcW w:w="1258" w:type="dxa"/>
            <w:shd w:val="clear" w:color="auto" w:fill="auto"/>
            <w:noWrap/>
          </w:tcPr>
          <w:p w14:paraId="5CFFF194" w14:textId="2CFFA399" w:rsidR="00377436" w:rsidRPr="00B275E2" w:rsidRDefault="00377436" w:rsidP="007F0B1E">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w:t>
            </w:r>
            <w:r w:rsidR="0079164B" w:rsidRPr="00B275E2">
              <w:rPr>
                <w:rFonts w:cs="Calibri"/>
                <w:szCs w:val="18"/>
              </w:rPr>
              <w:t>05</w:t>
            </w:r>
            <w:r w:rsidRPr="00B275E2">
              <w:rPr>
                <w:rFonts w:cs="Calibri"/>
                <w:szCs w:val="18"/>
              </w:rPr>
              <w:t xml:space="preserve"> </w:t>
            </w:r>
          </w:p>
        </w:tc>
        <w:tc>
          <w:tcPr>
            <w:tcW w:w="1259" w:type="dxa"/>
            <w:tcBorders>
              <w:right w:val="single" w:sz="4" w:space="0" w:color="FFFFFF" w:themeColor="background1"/>
            </w:tcBorders>
            <w:shd w:val="clear" w:color="auto" w:fill="auto"/>
            <w:noWrap/>
          </w:tcPr>
          <w:p w14:paraId="61E3AFD7" w14:textId="53ECCB7F" w:rsidR="00377436" w:rsidRPr="00B275E2" w:rsidRDefault="00377436" w:rsidP="007F0B1E">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w:t>
            </w:r>
            <w:r w:rsidR="0057395A">
              <w:rPr>
                <w:rFonts w:cs="Calibri"/>
                <w:szCs w:val="18"/>
              </w:rPr>
              <w:t>1</w:t>
            </w:r>
            <w:r w:rsidRPr="00B275E2">
              <w:rPr>
                <w:rFonts w:cs="Calibri"/>
                <w:szCs w:val="18"/>
              </w:rPr>
              <w:t xml:space="preserve"> </w:t>
            </w:r>
          </w:p>
        </w:tc>
      </w:tr>
      <w:tr w:rsidR="00377436" w:rsidRPr="00B275E2" w14:paraId="3380A4F7" w14:textId="77777777" w:rsidTr="00C469A6">
        <w:tc>
          <w:tcPr>
            <w:cnfStyle w:val="001000000000" w:firstRow="0" w:lastRow="0" w:firstColumn="1" w:lastColumn="0" w:oddVBand="0" w:evenVBand="0" w:oddHBand="0" w:evenHBand="0" w:firstRowFirstColumn="0" w:firstRowLastColumn="0" w:lastRowFirstColumn="0" w:lastRowLastColumn="0"/>
            <w:tcW w:w="567" w:type="dxa"/>
            <w:vMerge/>
            <w:tcBorders>
              <w:left w:val="single" w:sz="4" w:space="0" w:color="FFFFFF" w:themeColor="background1"/>
            </w:tcBorders>
            <w:hideMark/>
          </w:tcPr>
          <w:p w14:paraId="31DC74C4" w14:textId="77777777" w:rsidR="00377436" w:rsidRPr="00B275E2" w:rsidRDefault="00377436" w:rsidP="007F0B1E">
            <w:pPr>
              <w:pStyle w:val="TableText"/>
              <w:rPr>
                <w:b w:val="0"/>
                <w:bCs w:val="0"/>
                <w:szCs w:val="18"/>
              </w:rPr>
            </w:pPr>
          </w:p>
        </w:tc>
        <w:tc>
          <w:tcPr>
            <w:tcW w:w="2482" w:type="dxa"/>
            <w:noWrap/>
          </w:tcPr>
          <w:p w14:paraId="7178515A" w14:textId="2F788FBD" w:rsidR="00377436" w:rsidRPr="00B275E2" w:rsidRDefault="00377436" w:rsidP="007F0B1E">
            <w:pPr>
              <w:pStyle w:val="TableText"/>
              <w:cnfStyle w:val="000000000000" w:firstRow="0" w:lastRow="0" w:firstColumn="0" w:lastColumn="0" w:oddVBand="0" w:evenVBand="0" w:oddHBand="0" w:evenHBand="0" w:firstRowFirstColumn="0" w:firstRowLastColumn="0" w:lastRowFirstColumn="0" w:lastRowLastColumn="0"/>
              <w:rPr>
                <w:szCs w:val="18"/>
              </w:rPr>
            </w:pPr>
            <w:r w:rsidRPr="00B275E2">
              <w:rPr>
                <w:szCs w:val="18"/>
              </w:rPr>
              <w:t>Average Bus</w:t>
            </w:r>
            <w:r w:rsidR="006B403D">
              <w:rPr>
                <w:szCs w:val="18"/>
              </w:rPr>
              <w:t xml:space="preserve"> (based on Wellington)</w:t>
            </w:r>
          </w:p>
        </w:tc>
        <w:tc>
          <w:tcPr>
            <w:tcW w:w="561" w:type="dxa"/>
            <w:noWrap/>
            <w:hideMark/>
          </w:tcPr>
          <w:p w14:paraId="2FD5D4D8" w14:textId="6F4BB494" w:rsidR="00377436" w:rsidRPr="00B275E2" w:rsidRDefault="00377436" w:rsidP="007F0B1E">
            <w:pPr>
              <w:pStyle w:val="TableText"/>
              <w:cnfStyle w:val="000000000000" w:firstRow="0" w:lastRow="0" w:firstColumn="0" w:lastColumn="0" w:oddVBand="0" w:evenVBand="0" w:oddHBand="0" w:evenHBand="0" w:firstRowFirstColumn="0" w:firstRowLastColumn="0" w:lastRowFirstColumn="0" w:lastRowLastColumn="0"/>
              <w:rPr>
                <w:szCs w:val="18"/>
              </w:rPr>
            </w:pPr>
            <w:r w:rsidRPr="00B275E2">
              <w:rPr>
                <w:szCs w:val="18"/>
              </w:rPr>
              <w:t>pkm</w:t>
            </w:r>
          </w:p>
        </w:tc>
        <w:tc>
          <w:tcPr>
            <w:tcW w:w="1259" w:type="dxa"/>
            <w:shd w:val="clear" w:color="auto" w:fill="D2DDE1" w:themeFill="background2"/>
            <w:noWrap/>
          </w:tcPr>
          <w:p w14:paraId="395332B8" w14:textId="3E47AE63" w:rsidR="00377436" w:rsidRPr="00B275E2" w:rsidRDefault="00377436" w:rsidP="007F0B1E">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w:t>
            </w:r>
            <w:r w:rsidR="0079164B" w:rsidRPr="00B275E2">
              <w:rPr>
                <w:rFonts w:cs="Calibri"/>
                <w:szCs w:val="18"/>
              </w:rPr>
              <w:t>0</w:t>
            </w:r>
            <w:r w:rsidR="00762BD0">
              <w:rPr>
                <w:rFonts w:cs="Calibri"/>
                <w:szCs w:val="18"/>
              </w:rPr>
              <w:t>36</w:t>
            </w:r>
            <w:r w:rsidRPr="00B275E2">
              <w:rPr>
                <w:rFonts w:cs="Calibri"/>
                <w:szCs w:val="18"/>
              </w:rPr>
              <w:t xml:space="preserve"> </w:t>
            </w:r>
          </w:p>
        </w:tc>
        <w:tc>
          <w:tcPr>
            <w:tcW w:w="1119" w:type="dxa"/>
            <w:shd w:val="clear" w:color="auto" w:fill="auto"/>
            <w:noWrap/>
          </w:tcPr>
          <w:p w14:paraId="47CD84ED" w14:textId="107E4518" w:rsidR="00377436" w:rsidRPr="00B275E2" w:rsidRDefault="00377436" w:rsidP="007F0B1E">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w:t>
            </w:r>
            <w:r w:rsidR="0079164B" w:rsidRPr="00B275E2">
              <w:rPr>
                <w:rFonts w:cs="Calibri"/>
                <w:szCs w:val="18"/>
              </w:rPr>
              <w:t>036</w:t>
            </w:r>
            <w:r w:rsidRPr="00B275E2">
              <w:rPr>
                <w:rFonts w:cs="Calibri"/>
                <w:szCs w:val="18"/>
              </w:rPr>
              <w:t xml:space="preserve"> </w:t>
            </w:r>
          </w:p>
        </w:tc>
        <w:tc>
          <w:tcPr>
            <w:tcW w:w="1258" w:type="dxa"/>
            <w:shd w:val="clear" w:color="auto" w:fill="auto"/>
            <w:noWrap/>
          </w:tcPr>
          <w:p w14:paraId="327147E6" w14:textId="5EF9F157" w:rsidR="00377436" w:rsidRPr="00B275E2" w:rsidRDefault="00377436" w:rsidP="007F0B1E">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w:t>
            </w:r>
            <w:r w:rsidR="00D35BBD">
              <w:rPr>
                <w:rFonts w:cs="Calibri"/>
                <w:szCs w:val="18"/>
              </w:rPr>
              <w:t>13</w:t>
            </w:r>
            <w:r w:rsidRPr="00B275E2">
              <w:rPr>
                <w:rFonts w:cs="Calibri"/>
                <w:szCs w:val="18"/>
              </w:rPr>
              <w:t xml:space="preserve"> </w:t>
            </w:r>
          </w:p>
        </w:tc>
        <w:tc>
          <w:tcPr>
            <w:tcW w:w="1259" w:type="dxa"/>
            <w:tcBorders>
              <w:right w:val="single" w:sz="4" w:space="0" w:color="FFFFFF" w:themeColor="background1"/>
            </w:tcBorders>
            <w:shd w:val="clear" w:color="auto" w:fill="auto"/>
            <w:noWrap/>
          </w:tcPr>
          <w:p w14:paraId="3EE00730" w14:textId="2C500712" w:rsidR="00377436" w:rsidRPr="00B275E2" w:rsidRDefault="00377436" w:rsidP="007F0B1E">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w:t>
            </w:r>
            <w:r w:rsidR="0079164B" w:rsidRPr="00B275E2">
              <w:rPr>
                <w:rFonts w:cs="Calibri"/>
                <w:szCs w:val="18"/>
              </w:rPr>
              <w:t>0</w:t>
            </w:r>
            <w:r w:rsidR="0057395A">
              <w:rPr>
                <w:rFonts w:cs="Calibri"/>
                <w:szCs w:val="18"/>
              </w:rPr>
              <w:t>1</w:t>
            </w:r>
            <w:r w:rsidRPr="00B275E2">
              <w:rPr>
                <w:rFonts w:cs="Calibri"/>
                <w:szCs w:val="18"/>
              </w:rPr>
              <w:t xml:space="preserve"> </w:t>
            </w:r>
          </w:p>
        </w:tc>
      </w:tr>
      <w:tr w:rsidR="00377436" w:rsidRPr="00B275E2" w14:paraId="4F841F73" w14:textId="77777777" w:rsidTr="00C46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val="restart"/>
            <w:tcBorders>
              <w:left w:val="single" w:sz="4" w:space="0" w:color="FFFFFF" w:themeColor="background1"/>
            </w:tcBorders>
            <w:hideMark/>
          </w:tcPr>
          <w:p w14:paraId="69455A1D" w14:textId="33C1C7C7" w:rsidR="00377436" w:rsidRPr="00B275E2" w:rsidRDefault="00377436" w:rsidP="007F0B1E">
            <w:pPr>
              <w:pStyle w:val="TableText"/>
              <w:rPr>
                <w:b w:val="0"/>
                <w:bCs w:val="0"/>
                <w:szCs w:val="18"/>
              </w:rPr>
            </w:pPr>
            <w:r w:rsidRPr="00B275E2">
              <w:rPr>
                <w:b w:val="0"/>
                <w:bCs w:val="0"/>
                <w:szCs w:val="18"/>
              </w:rPr>
              <w:t>Rail</w:t>
            </w:r>
          </w:p>
        </w:tc>
        <w:tc>
          <w:tcPr>
            <w:tcW w:w="2482" w:type="dxa"/>
            <w:shd w:val="clear" w:color="auto" w:fill="auto"/>
            <w:noWrap/>
          </w:tcPr>
          <w:p w14:paraId="249F0831" w14:textId="45970FFA" w:rsidR="00377436" w:rsidRPr="00B275E2" w:rsidRDefault="00377436" w:rsidP="007F0B1E">
            <w:pPr>
              <w:pStyle w:val="TableText"/>
              <w:cnfStyle w:val="000000100000" w:firstRow="0" w:lastRow="0" w:firstColumn="0" w:lastColumn="0" w:oddVBand="0" w:evenVBand="0" w:oddHBand="1" w:evenHBand="0" w:firstRowFirstColumn="0" w:firstRowLastColumn="0" w:lastRowFirstColumn="0" w:lastRowLastColumn="0"/>
              <w:rPr>
                <w:szCs w:val="18"/>
              </w:rPr>
            </w:pPr>
            <w:r w:rsidRPr="00B275E2">
              <w:rPr>
                <w:szCs w:val="18"/>
              </w:rPr>
              <w:t>Electric (based on Wellington)</w:t>
            </w:r>
          </w:p>
        </w:tc>
        <w:tc>
          <w:tcPr>
            <w:tcW w:w="561" w:type="dxa"/>
            <w:noWrap/>
            <w:hideMark/>
          </w:tcPr>
          <w:p w14:paraId="040A0ABC" w14:textId="10880CF0" w:rsidR="00377436" w:rsidRPr="00B275E2" w:rsidRDefault="00377436" w:rsidP="007F0B1E">
            <w:pPr>
              <w:pStyle w:val="TableText"/>
              <w:cnfStyle w:val="000000100000" w:firstRow="0" w:lastRow="0" w:firstColumn="0" w:lastColumn="0" w:oddVBand="0" w:evenVBand="0" w:oddHBand="1" w:evenHBand="0" w:firstRowFirstColumn="0" w:firstRowLastColumn="0" w:lastRowFirstColumn="0" w:lastRowLastColumn="0"/>
              <w:rPr>
                <w:szCs w:val="18"/>
              </w:rPr>
            </w:pPr>
            <w:r w:rsidRPr="00B275E2">
              <w:rPr>
                <w:szCs w:val="18"/>
              </w:rPr>
              <w:t>pkm</w:t>
            </w:r>
          </w:p>
        </w:tc>
        <w:tc>
          <w:tcPr>
            <w:tcW w:w="1259" w:type="dxa"/>
            <w:shd w:val="clear" w:color="auto" w:fill="D2DDE1" w:themeFill="background2"/>
            <w:noWrap/>
          </w:tcPr>
          <w:p w14:paraId="104A73FD" w14:textId="0B0372B6" w:rsidR="00377436" w:rsidRPr="00B275E2" w:rsidRDefault="00377436" w:rsidP="007F0B1E">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w:t>
            </w:r>
            <w:r w:rsidR="0079164B" w:rsidRPr="00B275E2">
              <w:rPr>
                <w:rFonts w:cs="Calibri"/>
                <w:szCs w:val="18"/>
              </w:rPr>
              <w:t>1</w:t>
            </w:r>
            <w:r w:rsidR="0048283F" w:rsidRPr="00B275E2">
              <w:rPr>
                <w:rFonts w:cs="Calibri"/>
                <w:szCs w:val="18"/>
              </w:rPr>
              <w:t>3</w:t>
            </w:r>
            <w:r w:rsidRPr="00B275E2">
              <w:rPr>
                <w:rFonts w:cs="Calibri"/>
                <w:szCs w:val="18"/>
              </w:rPr>
              <w:t xml:space="preserve"> </w:t>
            </w:r>
          </w:p>
        </w:tc>
        <w:tc>
          <w:tcPr>
            <w:tcW w:w="1119" w:type="dxa"/>
            <w:shd w:val="clear" w:color="auto" w:fill="auto"/>
            <w:noWrap/>
          </w:tcPr>
          <w:p w14:paraId="13507267" w14:textId="024619E0" w:rsidR="00377436" w:rsidRPr="00B275E2" w:rsidRDefault="00377436" w:rsidP="007F0B1E">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w:t>
            </w:r>
            <w:r w:rsidR="0079164B" w:rsidRPr="00B275E2">
              <w:rPr>
                <w:rFonts w:cs="Calibri"/>
                <w:szCs w:val="18"/>
              </w:rPr>
              <w:t>1</w:t>
            </w:r>
            <w:r w:rsidR="00E375B2" w:rsidRPr="00B275E2">
              <w:rPr>
                <w:rFonts w:cs="Calibri"/>
                <w:szCs w:val="18"/>
              </w:rPr>
              <w:t>3</w:t>
            </w:r>
            <w:r w:rsidRPr="00B275E2">
              <w:rPr>
                <w:rFonts w:cs="Calibri"/>
                <w:szCs w:val="18"/>
              </w:rPr>
              <w:t xml:space="preserve"> </w:t>
            </w:r>
          </w:p>
        </w:tc>
        <w:tc>
          <w:tcPr>
            <w:tcW w:w="1258" w:type="dxa"/>
            <w:shd w:val="clear" w:color="auto" w:fill="auto"/>
            <w:noWrap/>
          </w:tcPr>
          <w:p w14:paraId="10418375" w14:textId="2967D632" w:rsidR="00377436" w:rsidRPr="00B275E2" w:rsidRDefault="00377436" w:rsidP="007F0B1E">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w:t>
            </w:r>
            <w:r w:rsidR="00E375B2" w:rsidRPr="00B275E2">
              <w:rPr>
                <w:rFonts w:cs="Calibri"/>
                <w:szCs w:val="18"/>
              </w:rPr>
              <w:t>01</w:t>
            </w:r>
            <w:r w:rsidRPr="00B275E2">
              <w:rPr>
                <w:rFonts w:cs="Calibri"/>
                <w:szCs w:val="18"/>
              </w:rPr>
              <w:t xml:space="preserve"> </w:t>
            </w:r>
          </w:p>
        </w:tc>
        <w:tc>
          <w:tcPr>
            <w:tcW w:w="1259" w:type="dxa"/>
            <w:tcBorders>
              <w:right w:val="single" w:sz="4" w:space="0" w:color="FFFFFF" w:themeColor="background1"/>
            </w:tcBorders>
            <w:shd w:val="clear" w:color="auto" w:fill="auto"/>
            <w:noWrap/>
          </w:tcPr>
          <w:p w14:paraId="3C5CCF29" w14:textId="489A3EE6" w:rsidR="00377436" w:rsidRPr="00B275E2" w:rsidRDefault="00377436" w:rsidP="007F0B1E">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0.0000</w:t>
            </w:r>
            <w:r w:rsidR="007B7D9F" w:rsidRPr="00B275E2">
              <w:rPr>
                <w:rFonts w:cs="Calibri"/>
                <w:szCs w:val="18"/>
              </w:rPr>
              <w:t>001</w:t>
            </w:r>
            <w:r w:rsidRPr="00B275E2">
              <w:rPr>
                <w:rFonts w:cs="Calibri"/>
                <w:szCs w:val="18"/>
              </w:rPr>
              <w:t xml:space="preserve"> </w:t>
            </w:r>
          </w:p>
        </w:tc>
      </w:tr>
      <w:tr w:rsidR="00377436" w:rsidRPr="00B275E2" w14:paraId="4FF5A4FD" w14:textId="77777777" w:rsidTr="00C469A6">
        <w:tc>
          <w:tcPr>
            <w:cnfStyle w:val="001000000000" w:firstRow="0" w:lastRow="0" w:firstColumn="1" w:lastColumn="0" w:oddVBand="0" w:evenVBand="0" w:oddHBand="0" w:evenHBand="0" w:firstRowFirstColumn="0" w:firstRowLastColumn="0" w:lastRowFirstColumn="0" w:lastRowLastColumn="0"/>
            <w:tcW w:w="567" w:type="dxa"/>
            <w:vMerge/>
            <w:tcBorders>
              <w:left w:val="single" w:sz="4" w:space="0" w:color="FFFFFF" w:themeColor="background1"/>
            </w:tcBorders>
          </w:tcPr>
          <w:p w14:paraId="1AB76A87" w14:textId="77777777" w:rsidR="00377436" w:rsidRPr="00B275E2" w:rsidRDefault="00377436" w:rsidP="007F0B1E">
            <w:pPr>
              <w:pStyle w:val="TableText"/>
              <w:rPr>
                <w:szCs w:val="18"/>
              </w:rPr>
            </w:pPr>
          </w:p>
        </w:tc>
        <w:tc>
          <w:tcPr>
            <w:tcW w:w="2482" w:type="dxa"/>
            <w:shd w:val="clear" w:color="auto" w:fill="auto"/>
            <w:noWrap/>
          </w:tcPr>
          <w:p w14:paraId="097E782A" w14:textId="2D0C1B72" w:rsidR="00377436" w:rsidRPr="00B275E2" w:rsidRDefault="00377436" w:rsidP="007F0B1E">
            <w:pPr>
              <w:pStyle w:val="TableTex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Diesel (based on Wellington)</w:t>
            </w:r>
          </w:p>
        </w:tc>
        <w:tc>
          <w:tcPr>
            <w:tcW w:w="561" w:type="dxa"/>
            <w:noWrap/>
          </w:tcPr>
          <w:p w14:paraId="53D4A2CC" w14:textId="12E094EB" w:rsidR="00377436" w:rsidRPr="00B275E2" w:rsidRDefault="00377436" w:rsidP="007F0B1E">
            <w:pPr>
              <w:pStyle w:val="TableText"/>
              <w:cnfStyle w:val="000000000000" w:firstRow="0" w:lastRow="0" w:firstColumn="0" w:lastColumn="0" w:oddVBand="0" w:evenVBand="0" w:oddHBand="0" w:evenHBand="0" w:firstRowFirstColumn="0" w:firstRowLastColumn="0" w:lastRowFirstColumn="0" w:lastRowLastColumn="0"/>
              <w:rPr>
                <w:szCs w:val="18"/>
              </w:rPr>
            </w:pPr>
            <w:r w:rsidRPr="00B275E2">
              <w:rPr>
                <w:szCs w:val="18"/>
              </w:rPr>
              <w:t>pkm</w:t>
            </w:r>
          </w:p>
        </w:tc>
        <w:tc>
          <w:tcPr>
            <w:tcW w:w="1259" w:type="dxa"/>
            <w:shd w:val="clear" w:color="auto" w:fill="D2DDE1" w:themeFill="background2"/>
            <w:noWrap/>
          </w:tcPr>
          <w:p w14:paraId="1F764726" w14:textId="1E546C49" w:rsidR="00377436" w:rsidRPr="00B275E2" w:rsidRDefault="00377436" w:rsidP="007F0B1E">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w:t>
            </w:r>
            <w:r w:rsidR="0079164B" w:rsidRPr="00B275E2">
              <w:rPr>
                <w:rFonts w:cs="Calibri"/>
                <w:szCs w:val="18"/>
              </w:rPr>
              <w:t>46</w:t>
            </w:r>
            <w:r w:rsidRPr="00B275E2">
              <w:rPr>
                <w:rFonts w:cs="Calibri"/>
                <w:szCs w:val="18"/>
              </w:rPr>
              <w:t xml:space="preserve"> </w:t>
            </w:r>
          </w:p>
        </w:tc>
        <w:tc>
          <w:tcPr>
            <w:tcW w:w="1119" w:type="dxa"/>
            <w:shd w:val="clear" w:color="auto" w:fill="auto"/>
            <w:noWrap/>
          </w:tcPr>
          <w:p w14:paraId="17944AE2" w14:textId="565B5401" w:rsidR="00377436" w:rsidRPr="00B275E2" w:rsidRDefault="00377436" w:rsidP="007F0B1E">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w:t>
            </w:r>
            <w:r w:rsidR="006D087D" w:rsidRPr="00B275E2">
              <w:rPr>
                <w:rFonts w:cs="Calibri"/>
                <w:szCs w:val="18"/>
              </w:rPr>
              <w:t>45</w:t>
            </w:r>
            <w:r w:rsidRPr="00B275E2">
              <w:rPr>
                <w:rFonts w:cs="Calibri"/>
                <w:szCs w:val="18"/>
              </w:rPr>
              <w:t xml:space="preserve"> </w:t>
            </w:r>
          </w:p>
        </w:tc>
        <w:tc>
          <w:tcPr>
            <w:tcW w:w="1258" w:type="dxa"/>
            <w:shd w:val="clear" w:color="auto" w:fill="auto"/>
            <w:noWrap/>
          </w:tcPr>
          <w:p w14:paraId="2F097DEB" w14:textId="000D79CF" w:rsidR="00377436" w:rsidRPr="00B275E2" w:rsidRDefault="00377436" w:rsidP="007F0B1E">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0.000</w:t>
            </w:r>
            <w:r w:rsidR="00D35BBD">
              <w:rPr>
                <w:rFonts w:cs="Calibri"/>
                <w:szCs w:val="18"/>
              </w:rPr>
              <w:t>0</w:t>
            </w:r>
            <w:r w:rsidR="006D087D" w:rsidRPr="00B275E2">
              <w:rPr>
                <w:rFonts w:cs="Calibri"/>
                <w:szCs w:val="18"/>
              </w:rPr>
              <w:t>6</w:t>
            </w:r>
            <w:r w:rsidRPr="00B275E2">
              <w:rPr>
                <w:rFonts w:cs="Calibri"/>
                <w:szCs w:val="18"/>
              </w:rPr>
              <w:t xml:space="preserve"> </w:t>
            </w:r>
          </w:p>
        </w:tc>
        <w:tc>
          <w:tcPr>
            <w:tcW w:w="1259" w:type="dxa"/>
            <w:tcBorders>
              <w:right w:val="single" w:sz="4" w:space="0" w:color="FFFFFF" w:themeColor="background1"/>
            </w:tcBorders>
            <w:shd w:val="clear" w:color="auto" w:fill="auto"/>
            <w:noWrap/>
          </w:tcPr>
          <w:p w14:paraId="1A307498" w14:textId="35AC8D98" w:rsidR="00377436" w:rsidRPr="00B275E2" w:rsidRDefault="00377436" w:rsidP="007F0B1E">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0.00</w:t>
            </w:r>
            <w:r w:rsidR="0057395A">
              <w:rPr>
                <w:rFonts w:cs="Calibri"/>
                <w:szCs w:val="18"/>
              </w:rPr>
              <w:t>1</w:t>
            </w:r>
            <w:r w:rsidRPr="00B275E2">
              <w:rPr>
                <w:rFonts w:cs="Calibri"/>
                <w:szCs w:val="18"/>
              </w:rPr>
              <w:t xml:space="preserve"> </w:t>
            </w:r>
          </w:p>
        </w:tc>
      </w:tr>
      <w:tr w:rsidR="00377436" w:rsidRPr="00B275E2" w14:paraId="2DC72963" w14:textId="77777777" w:rsidTr="00C46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tcBorders>
              <w:left w:val="single" w:sz="4" w:space="0" w:color="FFFFFF" w:themeColor="background1"/>
            </w:tcBorders>
          </w:tcPr>
          <w:p w14:paraId="1DC7597A" w14:textId="77777777" w:rsidR="00377436" w:rsidRPr="00B275E2" w:rsidRDefault="00377436" w:rsidP="007F0B1E">
            <w:pPr>
              <w:pStyle w:val="TableText"/>
              <w:rPr>
                <w:szCs w:val="18"/>
              </w:rPr>
            </w:pPr>
          </w:p>
        </w:tc>
        <w:tc>
          <w:tcPr>
            <w:tcW w:w="2482" w:type="dxa"/>
            <w:shd w:val="clear" w:color="auto" w:fill="auto"/>
            <w:noWrap/>
          </w:tcPr>
          <w:p w14:paraId="03C04F74" w14:textId="6359D738" w:rsidR="00377436" w:rsidRPr="00B275E2" w:rsidRDefault="00377436" w:rsidP="007F0B1E">
            <w:pPr>
              <w:pStyle w:val="TableText"/>
              <w:cnfStyle w:val="000000100000" w:firstRow="0" w:lastRow="0" w:firstColumn="0" w:lastColumn="0" w:oddVBand="0" w:evenVBand="0" w:oddHBand="1" w:evenHBand="0" w:firstRowFirstColumn="0" w:firstRowLastColumn="0" w:lastRowFirstColumn="0" w:lastRowLastColumn="0"/>
              <w:rPr>
                <w:szCs w:val="18"/>
              </w:rPr>
            </w:pPr>
            <w:r w:rsidRPr="00B275E2">
              <w:rPr>
                <w:szCs w:val="18"/>
              </w:rPr>
              <w:t>Average (based on Wellington)</w:t>
            </w:r>
          </w:p>
        </w:tc>
        <w:tc>
          <w:tcPr>
            <w:tcW w:w="561" w:type="dxa"/>
            <w:noWrap/>
          </w:tcPr>
          <w:p w14:paraId="03B4B61D" w14:textId="3555DCF3" w:rsidR="00377436" w:rsidRPr="00B275E2" w:rsidRDefault="00377436" w:rsidP="007F0B1E">
            <w:pPr>
              <w:pStyle w:val="TableText"/>
              <w:cnfStyle w:val="000000100000" w:firstRow="0" w:lastRow="0" w:firstColumn="0" w:lastColumn="0" w:oddVBand="0" w:evenVBand="0" w:oddHBand="1" w:evenHBand="0" w:firstRowFirstColumn="0" w:firstRowLastColumn="0" w:lastRowFirstColumn="0" w:lastRowLastColumn="0"/>
              <w:rPr>
                <w:szCs w:val="18"/>
              </w:rPr>
            </w:pPr>
            <w:r w:rsidRPr="00B275E2">
              <w:rPr>
                <w:szCs w:val="18"/>
              </w:rPr>
              <w:t>pkm</w:t>
            </w:r>
          </w:p>
        </w:tc>
        <w:tc>
          <w:tcPr>
            <w:tcW w:w="1259" w:type="dxa"/>
            <w:shd w:val="clear" w:color="auto" w:fill="D2DDE1" w:themeFill="background2"/>
            <w:noWrap/>
          </w:tcPr>
          <w:p w14:paraId="46BB2704" w14:textId="37C0C4C7" w:rsidR="00377436" w:rsidRPr="00B275E2" w:rsidRDefault="00377436" w:rsidP="007F0B1E">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0.01</w:t>
            </w:r>
            <w:r w:rsidR="00C649A7">
              <w:rPr>
                <w:rFonts w:cs="Calibri"/>
                <w:szCs w:val="18"/>
              </w:rPr>
              <w:t>9</w:t>
            </w:r>
            <w:r w:rsidRPr="00B275E2">
              <w:rPr>
                <w:rFonts w:cs="Calibri"/>
                <w:szCs w:val="18"/>
              </w:rPr>
              <w:t xml:space="preserve"> </w:t>
            </w:r>
          </w:p>
        </w:tc>
        <w:tc>
          <w:tcPr>
            <w:tcW w:w="1119" w:type="dxa"/>
            <w:shd w:val="clear" w:color="auto" w:fill="auto"/>
            <w:noWrap/>
          </w:tcPr>
          <w:p w14:paraId="14D48BF0" w14:textId="7949E7D9" w:rsidR="00377436" w:rsidRPr="00B275E2" w:rsidRDefault="00377436" w:rsidP="007F0B1E">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0.01</w:t>
            </w:r>
            <w:r w:rsidR="00C649A7">
              <w:rPr>
                <w:rFonts w:cs="Calibri"/>
                <w:szCs w:val="18"/>
              </w:rPr>
              <w:t>9</w:t>
            </w:r>
            <w:r w:rsidRPr="00B275E2">
              <w:rPr>
                <w:rFonts w:cs="Calibri"/>
                <w:szCs w:val="18"/>
              </w:rPr>
              <w:t xml:space="preserve"> </w:t>
            </w:r>
          </w:p>
        </w:tc>
        <w:tc>
          <w:tcPr>
            <w:tcW w:w="1258" w:type="dxa"/>
            <w:shd w:val="clear" w:color="auto" w:fill="auto"/>
            <w:noWrap/>
          </w:tcPr>
          <w:p w14:paraId="3909349B" w14:textId="23505CB4" w:rsidR="00377436" w:rsidRPr="00B275E2" w:rsidRDefault="00377436" w:rsidP="007F0B1E">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w:t>
            </w:r>
            <w:r w:rsidR="00D35BBD">
              <w:rPr>
                <w:rFonts w:cs="Calibri"/>
                <w:szCs w:val="18"/>
              </w:rPr>
              <w:t>02</w:t>
            </w:r>
            <w:r w:rsidRPr="00B275E2">
              <w:rPr>
                <w:rFonts w:cs="Calibri"/>
                <w:szCs w:val="18"/>
              </w:rPr>
              <w:t xml:space="preserve"> </w:t>
            </w:r>
          </w:p>
        </w:tc>
        <w:tc>
          <w:tcPr>
            <w:tcW w:w="1259" w:type="dxa"/>
            <w:tcBorders>
              <w:right w:val="single" w:sz="4" w:space="0" w:color="FFFFFF" w:themeColor="background1"/>
            </w:tcBorders>
            <w:shd w:val="clear" w:color="auto" w:fill="auto"/>
            <w:noWrap/>
          </w:tcPr>
          <w:p w14:paraId="3133DD8D" w14:textId="283D3700" w:rsidR="00377436" w:rsidRPr="00B275E2" w:rsidRDefault="00377436" w:rsidP="007F0B1E">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 xml:space="preserve">0.0001 </w:t>
            </w:r>
          </w:p>
        </w:tc>
      </w:tr>
    </w:tbl>
    <w:p w14:paraId="39E58133" w14:textId="32047820" w:rsidR="00864224" w:rsidRPr="00B275E2" w:rsidRDefault="00864224" w:rsidP="006B7605">
      <w:pPr>
        <w:pStyle w:val="Heading3"/>
      </w:pPr>
      <w:r w:rsidRPr="00B275E2">
        <w:t>GHG inventory development</w:t>
      </w:r>
    </w:p>
    <w:p w14:paraId="7B481D1D" w14:textId="18A56BA9" w:rsidR="00F5075A" w:rsidRPr="00B275E2" w:rsidRDefault="00335166" w:rsidP="007F0B1E">
      <w:pPr>
        <w:pStyle w:val="BodyText"/>
      </w:pPr>
      <w:r w:rsidRPr="00B275E2">
        <w:t xml:space="preserve">To calculate public transport </w:t>
      </w:r>
      <w:r w:rsidR="00F9009D" w:rsidRPr="00B275E2">
        <w:t xml:space="preserve">passenger </w:t>
      </w:r>
      <w:r w:rsidRPr="00B275E2">
        <w:t xml:space="preserve">emissions, collect data on the type of transport and distance travelled, and multiply this by the emission factors for each gas. </w:t>
      </w:r>
      <w:r w:rsidR="00F5075A" w:rsidRPr="00B275E2">
        <w:t>Organisation</w:t>
      </w:r>
      <w:r w:rsidR="00B976AD" w:rsidRPr="00B275E2">
        <w:t>s</w:t>
      </w:r>
      <w:r w:rsidR="00F5075A" w:rsidRPr="00B275E2">
        <w:t xml:space="preserve"> could conduct a staff travel survey to quantify these emissions</w:t>
      </w:r>
      <w:r w:rsidR="00411C04" w:rsidRPr="00B275E2">
        <w:t>.</w:t>
      </w:r>
      <w:r w:rsidR="00F5075A" w:rsidRPr="00B275E2">
        <w:rPr>
          <w:rStyle w:val="FootnoteReference"/>
          <w:color w:val="auto"/>
        </w:rPr>
        <w:footnoteReference w:id="37"/>
      </w:r>
    </w:p>
    <w:p w14:paraId="2DE807C7" w14:textId="6F8B85B0" w:rsidR="00335166" w:rsidRPr="00B275E2" w:rsidRDefault="00335166" w:rsidP="007F0B1E">
      <w:pPr>
        <w:pStyle w:val="BodyText"/>
      </w:pPr>
      <w:r w:rsidRPr="00B275E2">
        <w:t xml:space="preserve">Applying the equation </w:t>
      </w:r>
      <w:r w:rsidR="00326E2B" w:rsidRPr="00B275E2">
        <w:t>E= Q x F</w:t>
      </w:r>
      <w:r w:rsidR="002E6FAB" w:rsidRPr="00B275E2">
        <w:t xml:space="preserve"> </w:t>
      </w:r>
      <w:r w:rsidR="00326E2B" w:rsidRPr="00B275E2">
        <w:t>(</w:t>
      </w:r>
      <w:hyperlink w:anchor="_How_to_quantify" w:history="1">
        <w:r w:rsidRPr="00B275E2">
          <w:rPr>
            <w:rStyle w:val="Hyperlink"/>
          </w:rPr>
          <w:t>section 2</w:t>
        </w:r>
      </w:hyperlink>
      <w:r w:rsidR="00326E2B" w:rsidRPr="00B275E2">
        <w:rPr>
          <w:rStyle w:val="Hyperlink"/>
          <w:color w:val="auto"/>
        </w:rPr>
        <w:t>)</w:t>
      </w:r>
      <w:r w:rsidRPr="00B275E2">
        <w:t>, this means:</w:t>
      </w:r>
    </w:p>
    <w:p w14:paraId="0634AB8E" w14:textId="7FE95741" w:rsidR="00326E2B" w:rsidRPr="00B275E2" w:rsidRDefault="00326E2B" w:rsidP="00F702FD">
      <w:pPr>
        <w:pStyle w:val="BodyText"/>
        <w:tabs>
          <w:tab w:val="left" w:pos="680"/>
          <w:tab w:val="left" w:pos="1134"/>
        </w:tabs>
        <w:contextualSpacing/>
      </w:pPr>
      <w:r w:rsidRPr="00B275E2">
        <w:t>E</w:t>
      </w:r>
      <w:r w:rsidRPr="00B275E2">
        <w:tab/>
        <w:t>=</w:t>
      </w:r>
      <w:r w:rsidRPr="00B275E2">
        <w:tab/>
        <w:t>emissions from the emissions source in kg CO</w:t>
      </w:r>
      <w:r w:rsidRPr="00B275E2">
        <w:rPr>
          <w:vertAlign w:val="subscript"/>
        </w:rPr>
        <w:t>2</w:t>
      </w:r>
      <w:r w:rsidRPr="00B275E2">
        <w:t>-e per year</w:t>
      </w:r>
    </w:p>
    <w:p w14:paraId="397F3317" w14:textId="77777777" w:rsidR="00335166" w:rsidRPr="00B275E2" w:rsidRDefault="00335166" w:rsidP="00F702FD">
      <w:pPr>
        <w:pStyle w:val="BodyText"/>
        <w:tabs>
          <w:tab w:val="left" w:pos="680"/>
          <w:tab w:val="left" w:pos="1134"/>
        </w:tabs>
        <w:contextualSpacing/>
      </w:pPr>
      <w:r w:rsidRPr="00B275E2">
        <w:t>Q</w:t>
      </w:r>
      <w:r w:rsidRPr="00B275E2">
        <w:tab/>
        <w:t>=</w:t>
      </w:r>
      <w:r w:rsidRPr="00B275E2">
        <w:tab/>
        <w:t>distance travelled, by vehicle type (km)</w:t>
      </w:r>
    </w:p>
    <w:tbl>
      <w:tblPr>
        <w:tblpPr w:leftFromText="180" w:rightFromText="180" w:vertAnchor="text" w:horzAnchor="margin" w:tblpY="727"/>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0"/>
      </w:tblGrid>
      <w:tr w:rsidR="00CD5654" w:rsidRPr="00B275E2" w14:paraId="3F09367D" w14:textId="77777777" w:rsidTr="00CD5654">
        <w:tc>
          <w:tcPr>
            <w:tcW w:w="8500" w:type="dxa"/>
            <w:tcBorders>
              <w:top w:val="single" w:sz="4" w:space="0" w:color="0F7B7D"/>
              <w:left w:val="single" w:sz="4" w:space="0" w:color="0F7B7D"/>
              <w:bottom w:val="nil"/>
              <w:right w:val="single" w:sz="4" w:space="0" w:color="0F7B7D"/>
            </w:tcBorders>
            <w:shd w:val="clear" w:color="auto" w:fill="0F7B7D"/>
            <w:vAlign w:val="center"/>
          </w:tcPr>
          <w:p w14:paraId="273F360C" w14:textId="77777777" w:rsidR="00CD5654" w:rsidRPr="00B275E2" w:rsidRDefault="00CD5654" w:rsidP="00CD5654">
            <w:pPr>
              <w:pStyle w:val="Casestudyheading"/>
              <w:rPr>
                <w:highlight w:val="yellow"/>
              </w:rPr>
            </w:pPr>
            <w:r w:rsidRPr="00B275E2">
              <w:t>pasSenger BUS: Example Calculation</w:t>
            </w:r>
          </w:p>
        </w:tc>
      </w:tr>
      <w:tr w:rsidR="00CD5654" w:rsidRPr="00B275E2" w14:paraId="4B02D589" w14:textId="77777777" w:rsidTr="00CD5654">
        <w:tc>
          <w:tcPr>
            <w:tcW w:w="8500" w:type="dxa"/>
            <w:tcBorders>
              <w:top w:val="nil"/>
              <w:left w:val="single" w:sz="4" w:space="0" w:color="CFE5E5"/>
              <w:bottom w:val="single" w:sz="4" w:space="0" w:color="CFE5E5"/>
              <w:right w:val="single" w:sz="4" w:space="0" w:color="CFE5E5"/>
            </w:tcBorders>
            <w:shd w:val="clear" w:color="auto" w:fill="D5EBE8" w:themeFill="accent3"/>
          </w:tcPr>
          <w:p w14:paraId="5F7C21DD" w14:textId="77777777" w:rsidR="00CD5654" w:rsidRPr="00B275E2" w:rsidRDefault="00CD5654" w:rsidP="00CD5654">
            <w:pPr>
              <w:pStyle w:val="Boxtext"/>
              <w:spacing w:after="80"/>
            </w:pPr>
            <w:r w:rsidRPr="00B275E2">
              <w:t>An employee takes a return trip on an electric Wellington bus from the CBD to the airport (9.4 km each way). This happens five times in the reporting year</w:t>
            </w:r>
          </w:p>
          <w:p w14:paraId="382C0DED" w14:textId="77777777" w:rsidR="00CD5654" w:rsidRPr="00B275E2" w:rsidRDefault="00CD5654" w:rsidP="00CD5654">
            <w:pPr>
              <w:pStyle w:val="Boxtext"/>
              <w:spacing w:after="80"/>
            </w:pPr>
            <w:r w:rsidRPr="00B275E2">
              <w:t>Passenger kilometres travelled = 2 trips × 9.4km x 5 times = 94 pkm</w:t>
            </w:r>
          </w:p>
          <w:p w14:paraId="0D1F137E" w14:textId="77777777" w:rsidR="00CD5654" w:rsidRPr="00B275E2" w:rsidRDefault="00CD5654" w:rsidP="00CD5654">
            <w:pPr>
              <w:pStyle w:val="Boxtext"/>
              <w:tabs>
                <w:tab w:val="left" w:pos="2829"/>
                <w:tab w:val="left" w:pos="5022"/>
              </w:tabs>
              <w:spacing w:before="20" w:after="20"/>
              <w:ind w:left="851"/>
            </w:pPr>
            <w:r w:rsidRPr="00B275E2">
              <w:t>CO</w:t>
            </w:r>
            <w:r w:rsidRPr="00B275E2">
              <w:rPr>
                <w:vertAlign w:val="subscript"/>
              </w:rPr>
              <w:t>2</w:t>
            </w:r>
            <w:r w:rsidRPr="00B275E2">
              <w:t xml:space="preserve"> emissions</w:t>
            </w:r>
            <w:r w:rsidRPr="00B275E2">
              <w:tab/>
              <w:t>= 94 x 0.012</w:t>
            </w:r>
            <w:r w:rsidRPr="00B275E2">
              <w:tab/>
              <w:t>= 1.128 kg CO</w:t>
            </w:r>
            <w:r w:rsidRPr="00B275E2">
              <w:rPr>
                <w:vertAlign w:val="subscript"/>
              </w:rPr>
              <w:t>2</w:t>
            </w:r>
          </w:p>
          <w:p w14:paraId="7C3B8CCE" w14:textId="77777777" w:rsidR="00CD5654" w:rsidRPr="00B275E2" w:rsidRDefault="00CD5654" w:rsidP="00CD5654">
            <w:pPr>
              <w:pStyle w:val="Boxtext"/>
              <w:tabs>
                <w:tab w:val="left" w:pos="2829"/>
                <w:tab w:val="left" w:pos="5022"/>
              </w:tabs>
              <w:spacing w:before="20" w:after="20"/>
              <w:ind w:left="850"/>
            </w:pPr>
            <w:r w:rsidRPr="00B275E2">
              <w:t>CH</w:t>
            </w:r>
            <w:r w:rsidRPr="00B275E2">
              <w:rPr>
                <w:vertAlign w:val="subscript"/>
              </w:rPr>
              <w:t>4</w:t>
            </w:r>
            <w:r w:rsidRPr="00B275E2">
              <w:t xml:space="preserve"> emissions</w:t>
            </w:r>
            <w:r w:rsidRPr="00B275E2">
              <w:tab/>
              <w:t>= 94 x 0.0004</w:t>
            </w:r>
            <w:r w:rsidRPr="00B275E2">
              <w:tab/>
              <w:t>= 0.038 kg CO</w:t>
            </w:r>
            <w:r w:rsidRPr="00B275E2">
              <w:rPr>
                <w:vertAlign w:val="subscript"/>
              </w:rPr>
              <w:t>2</w:t>
            </w:r>
            <w:r w:rsidRPr="00B275E2">
              <w:t>-e</w:t>
            </w:r>
          </w:p>
          <w:p w14:paraId="1395B858" w14:textId="77777777" w:rsidR="00CD5654" w:rsidRPr="00B275E2" w:rsidRDefault="00CD5654" w:rsidP="00CD5654">
            <w:pPr>
              <w:pStyle w:val="Boxtext"/>
              <w:tabs>
                <w:tab w:val="left" w:pos="2829"/>
                <w:tab w:val="left" w:pos="5022"/>
              </w:tabs>
              <w:spacing w:before="20" w:after="20"/>
              <w:ind w:left="850"/>
            </w:pPr>
            <w:r w:rsidRPr="00B275E2">
              <w:t>N</w:t>
            </w:r>
            <w:r w:rsidRPr="00B275E2">
              <w:rPr>
                <w:vertAlign w:val="subscript"/>
              </w:rPr>
              <w:t>2</w:t>
            </w:r>
            <w:r w:rsidRPr="00B275E2">
              <w:t>O emissions</w:t>
            </w:r>
            <w:r w:rsidRPr="00B275E2">
              <w:tab/>
              <w:t>= 94 x 0.00002</w:t>
            </w:r>
            <w:r w:rsidRPr="00B275E2">
              <w:tab/>
              <w:t>= 0.002 kg CO</w:t>
            </w:r>
            <w:r w:rsidRPr="00B275E2">
              <w:rPr>
                <w:vertAlign w:val="subscript"/>
              </w:rPr>
              <w:t>2</w:t>
            </w:r>
            <w:r w:rsidRPr="00B275E2">
              <w:t>-e</w:t>
            </w:r>
          </w:p>
          <w:p w14:paraId="71CDC508" w14:textId="77777777" w:rsidR="00CD5654" w:rsidRPr="00B275E2" w:rsidRDefault="00CD5654" w:rsidP="00CD5654">
            <w:pPr>
              <w:pStyle w:val="Boxtext"/>
              <w:tabs>
                <w:tab w:val="left" w:pos="2829"/>
                <w:tab w:val="left" w:pos="5022"/>
              </w:tabs>
              <w:spacing w:before="20" w:after="20"/>
              <w:ind w:left="850"/>
            </w:pPr>
            <w:r w:rsidRPr="00B275E2">
              <w:t>Total CO</w:t>
            </w:r>
            <w:r w:rsidRPr="00B275E2">
              <w:rPr>
                <w:vertAlign w:val="subscript"/>
              </w:rPr>
              <w:t>2</w:t>
            </w:r>
            <w:r w:rsidRPr="00B275E2">
              <w:t>-e emissions from passenger public travel = 0.024 x 94 = 2.3 kg CO</w:t>
            </w:r>
            <w:r w:rsidRPr="00B275E2">
              <w:rPr>
                <w:vertAlign w:val="subscript"/>
              </w:rPr>
              <w:t>2</w:t>
            </w:r>
            <w:r w:rsidRPr="00B275E2">
              <w:t>-e</w:t>
            </w:r>
          </w:p>
          <w:p w14:paraId="7E0CC587" w14:textId="77777777" w:rsidR="00CD5654" w:rsidRPr="00B275E2" w:rsidRDefault="00CD5654" w:rsidP="00CD5654">
            <w:pPr>
              <w:pStyle w:val="Boxtext"/>
              <w:spacing w:after="180"/>
            </w:pPr>
            <w:r w:rsidRPr="00B275E2">
              <w:rPr>
                <w:sz w:val="18"/>
                <w:szCs w:val="20"/>
              </w:rPr>
              <w:t>Note: Numbers may not add due to rounding.</w:t>
            </w:r>
          </w:p>
        </w:tc>
      </w:tr>
    </w:tbl>
    <w:p w14:paraId="73DD685F" w14:textId="46C6CE99" w:rsidR="00757604" w:rsidRPr="00B275E2" w:rsidRDefault="00CD5654" w:rsidP="00F702FD">
      <w:pPr>
        <w:pStyle w:val="BodyText"/>
        <w:tabs>
          <w:tab w:val="left" w:pos="680"/>
          <w:tab w:val="left" w:pos="1134"/>
        </w:tabs>
        <w:spacing w:after="240"/>
        <w:contextualSpacing/>
      </w:pPr>
      <w:r w:rsidRPr="00B275E2">
        <w:t xml:space="preserve"> </w:t>
      </w:r>
      <w:r w:rsidR="00335166" w:rsidRPr="00B275E2">
        <w:t>F</w:t>
      </w:r>
      <w:r w:rsidR="00335166" w:rsidRPr="00B275E2">
        <w:tab/>
        <w:t>=</w:t>
      </w:r>
      <w:r w:rsidR="00335166" w:rsidRPr="00B275E2">
        <w:tab/>
        <w:t xml:space="preserve">emission factors for correlating vehicle type, from </w:t>
      </w:r>
      <w:r w:rsidR="00411C04" w:rsidRPr="00B275E2">
        <w:t>table 2</w:t>
      </w:r>
      <w:r w:rsidR="00407CE7" w:rsidRPr="00B275E2">
        <w:t>7</w:t>
      </w:r>
    </w:p>
    <w:p w14:paraId="200C1E32" w14:textId="7E17AB6F" w:rsidR="00864224" w:rsidRPr="00B275E2" w:rsidRDefault="00864224" w:rsidP="006B7605">
      <w:pPr>
        <w:pStyle w:val="Heading3"/>
      </w:pPr>
      <w:r w:rsidRPr="00B275E2">
        <w:lastRenderedPageBreak/>
        <w:t>Emission factor derivation methodology</w:t>
      </w:r>
    </w:p>
    <w:p w14:paraId="4FE2F7E8" w14:textId="36FD8970" w:rsidR="00113725" w:rsidRPr="00B275E2" w:rsidRDefault="00956E28" w:rsidP="002234D0">
      <w:pPr>
        <w:pStyle w:val="Heading3"/>
      </w:pPr>
      <w:r w:rsidRPr="00B275E2">
        <w:t>National average bus</w:t>
      </w:r>
    </w:p>
    <w:p w14:paraId="2B21EE90" w14:textId="1EA0A502" w:rsidR="004837A7" w:rsidRPr="00B275E2" w:rsidRDefault="00260B7E" w:rsidP="007F0B1E">
      <w:pPr>
        <w:pStyle w:val="BodyText"/>
      </w:pPr>
      <w:r w:rsidRPr="00B275E2">
        <w:t>To calculate the emission factor for national average bus travel we used the NZTA passenger travel data</w:t>
      </w:r>
      <w:r w:rsidRPr="00B275E2">
        <w:rPr>
          <w:rStyle w:val="FootnoteReference"/>
          <w:color w:val="auto"/>
        </w:rPr>
        <w:footnoteReference w:id="38"/>
      </w:r>
      <w:r w:rsidRPr="00B275E2">
        <w:t xml:space="preserve"> (</w:t>
      </w:r>
      <w:r w:rsidR="006A7146" w:rsidRPr="00B275E2">
        <w:t>table 2</w:t>
      </w:r>
      <w:r w:rsidR="00D23EE9" w:rsidRPr="00B275E2">
        <w:t>8</w:t>
      </w:r>
      <w:r w:rsidRPr="00B275E2">
        <w:t xml:space="preserve">) </w:t>
      </w:r>
      <w:r w:rsidR="00711BC4" w:rsidRPr="00B275E2">
        <w:t>to estimate the nationa</w:t>
      </w:r>
      <w:r w:rsidR="00BD56D1" w:rsidRPr="00B275E2">
        <w:t>l</w:t>
      </w:r>
      <w:r w:rsidR="00711BC4" w:rsidRPr="00B275E2">
        <w:t xml:space="preserve"> average loading capacity of </w:t>
      </w:r>
      <w:r w:rsidR="00435A8B" w:rsidRPr="00B275E2">
        <w:t xml:space="preserve">seven </w:t>
      </w:r>
      <w:r w:rsidR="00711BC4" w:rsidRPr="00B275E2">
        <w:t>people per</w:t>
      </w:r>
      <w:r w:rsidR="00846652" w:rsidRPr="00B275E2">
        <w:t> </w:t>
      </w:r>
      <w:r w:rsidR="00711BC4" w:rsidRPr="00B275E2">
        <w:t>bus.</w:t>
      </w:r>
    </w:p>
    <w:p w14:paraId="14A78C37" w14:textId="27B64CE6" w:rsidR="004837A7" w:rsidRPr="00B275E2" w:rsidRDefault="004837A7" w:rsidP="00846652">
      <w:pPr>
        <w:pStyle w:val="Tableheading"/>
      </w:pPr>
      <w:bookmarkStart w:id="369" w:name="_Ref53067433"/>
      <w:bookmarkStart w:id="370" w:name="_Toc111536633"/>
      <w:r w:rsidRPr="00B275E2">
        <w:t xml:space="preserve">Table </w:t>
      </w:r>
      <w:r w:rsidRPr="00B275E2">
        <w:fldChar w:fldCharType="begin"/>
      </w:r>
      <w:r w:rsidRPr="00B275E2">
        <w:instrText>SEQ Table \* ARABIC</w:instrText>
      </w:r>
      <w:r w:rsidRPr="00B275E2">
        <w:fldChar w:fldCharType="separate"/>
      </w:r>
      <w:r w:rsidR="003E141C" w:rsidRPr="00B275E2">
        <w:t>28</w:t>
      </w:r>
      <w:r w:rsidRPr="00B275E2">
        <w:fldChar w:fldCharType="end"/>
      </w:r>
      <w:bookmarkEnd w:id="369"/>
      <w:r w:rsidRPr="00B275E2">
        <w:t>:</w:t>
      </w:r>
      <w:r w:rsidR="009B2935" w:rsidRPr="00B275E2">
        <w:tab/>
      </w:r>
      <w:r w:rsidR="00A469F8" w:rsidRPr="00B275E2">
        <w:t>National b</w:t>
      </w:r>
      <w:r w:rsidR="0059494E" w:rsidRPr="00B275E2">
        <w:t>us pkm</w:t>
      </w:r>
      <w:r w:rsidRPr="00B275E2">
        <w:t xml:space="preserve"> in </w:t>
      </w:r>
      <w:r w:rsidR="003E1714" w:rsidRPr="00B275E2">
        <w:t>2020/21</w:t>
      </w:r>
      <w:bookmarkEnd w:id="370"/>
    </w:p>
    <w:tbl>
      <w:tblPr>
        <w:tblStyle w:val="TableGrid"/>
        <w:tblW w:w="8505"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2268"/>
        <w:gridCol w:w="1985"/>
        <w:gridCol w:w="2693"/>
        <w:gridCol w:w="1559"/>
      </w:tblGrid>
      <w:tr w:rsidR="00B15002" w:rsidRPr="00B275E2" w14:paraId="4B171D49" w14:textId="77777777" w:rsidTr="007001A9">
        <w:trPr>
          <w:trHeight w:val="264"/>
        </w:trPr>
        <w:tc>
          <w:tcPr>
            <w:tcW w:w="2268" w:type="dxa"/>
            <w:shd w:val="clear" w:color="auto" w:fill="1B556B" w:themeFill="text2"/>
          </w:tcPr>
          <w:p w14:paraId="38217389" w14:textId="77777777" w:rsidR="00260B7E" w:rsidRPr="00B275E2" w:rsidRDefault="00260B7E" w:rsidP="007F0B1E">
            <w:pPr>
              <w:pStyle w:val="TableText"/>
              <w:rPr>
                <w:b/>
                <w:color w:val="FFFFFF" w:themeColor="background1"/>
              </w:rPr>
            </w:pPr>
            <w:r w:rsidRPr="00B275E2">
              <w:rPr>
                <w:b/>
                <w:color w:val="FFFFFF" w:themeColor="background1"/>
              </w:rPr>
              <w:t>Region</w:t>
            </w:r>
          </w:p>
        </w:tc>
        <w:tc>
          <w:tcPr>
            <w:tcW w:w="1985" w:type="dxa"/>
            <w:shd w:val="clear" w:color="auto" w:fill="1B556B" w:themeFill="text2"/>
          </w:tcPr>
          <w:p w14:paraId="765A2B14" w14:textId="77777777" w:rsidR="00260B7E" w:rsidRPr="00B275E2" w:rsidRDefault="00260B7E" w:rsidP="007F0B1E">
            <w:pPr>
              <w:pStyle w:val="TableText"/>
              <w:rPr>
                <w:b/>
                <w:color w:val="FFFFFF" w:themeColor="background1"/>
              </w:rPr>
            </w:pPr>
            <w:r w:rsidRPr="00B275E2">
              <w:rPr>
                <w:b/>
                <w:color w:val="FFFFFF" w:themeColor="background1"/>
              </w:rPr>
              <w:t>Mode</w:t>
            </w:r>
          </w:p>
        </w:tc>
        <w:tc>
          <w:tcPr>
            <w:tcW w:w="2693" w:type="dxa"/>
            <w:shd w:val="clear" w:color="auto" w:fill="1B556B" w:themeFill="text2"/>
          </w:tcPr>
          <w:p w14:paraId="7C339613" w14:textId="77777777" w:rsidR="00260B7E" w:rsidRPr="00B275E2" w:rsidRDefault="00260B7E" w:rsidP="007F0B1E">
            <w:pPr>
              <w:pStyle w:val="TableText"/>
              <w:rPr>
                <w:b/>
                <w:color w:val="FFFFFF" w:themeColor="background1"/>
              </w:rPr>
            </w:pPr>
            <w:r w:rsidRPr="00B275E2">
              <w:rPr>
                <w:b/>
                <w:color w:val="FFFFFF" w:themeColor="background1"/>
              </w:rPr>
              <w:t>Breakdown</w:t>
            </w:r>
          </w:p>
        </w:tc>
        <w:tc>
          <w:tcPr>
            <w:tcW w:w="1559" w:type="dxa"/>
            <w:tcBorders>
              <w:bottom w:val="single" w:sz="4" w:space="0" w:color="1B556B"/>
            </w:tcBorders>
            <w:shd w:val="clear" w:color="auto" w:fill="1B556B" w:themeFill="text2"/>
          </w:tcPr>
          <w:p w14:paraId="621141D3" w14:textId="4E991533" w:rsidR="00260B7E" w:rsidRPr="00B275E2" w:rsidRDefault="003E1714" w:rsidP="007F0B1E">
            <w:pPr>
              <w:pStyle w:val="TableText"/>
              <w:jc w:val="right"/>
              <w:rPr>
                <w:b/>
                <w:color w:val="FFFFFF" w:themeColor="background1"/>
              </w:rPr>
            </w:pPr>
            <w:r w:rsidRPr="00B275E2">
              <w:rPr>
                <w:b/>
                <w:color w:val="FFFFFF" w:themeColor="background1"/>
              </w:rPr>
              <w:t>2020/21</w:t>
            </w:r>
          </w:p>
        </w:tc>
      </w:tr>
      <w:tr w:rsidR="00B15002" w:rsidRPr="00B275E2" w14:paraId="58B290EC" w14:textId="77777777" w:rsidTr="007001A9">
        <w:trPr>
          <w:trHeight w:val="253"/>
        </w:trPr>
        <w:tc>
          <w:tcPr>
            <w:tcW w:w="2268" w:type="dxa"/>
          </w:tcPr>
          <w:p w14:paraId="50CB46FF" w14:textId="77777777" w:rsidR="00260B7E" w:rsidRPr="00B275E2" w:rsidRDefault="00260B7E" w:rsidP="007F0B1E">
            <w:pPr>
              <w:pStyle w:val="TableText"/>
            </w:pPr>
            <w:r w:rsidRPr="00B275E2">
              <w:t>NZ</w:t>
            </w:r>
          </w:p>
        </w:tc>
        <w:tc>
          <w:tcPr>
            <w:tcW w:w="1985" w:type="dxa"/>
          </w:tcPr>
          <w:p w14:paraId="216F776F" w14:textId="77777777" w:rsidR="00260B7E" w:rsidRPr="00B275E2" w:rsidRDefault="00260B7E" w:rsidP="007F0B1E">
            <w:pPr>
              <w:pStyle w:val="TableText"/>
            </w:pPr>
            <w:r w:rsidRPr="00B275E2">
              <w:t>Bus</w:t>
            </w:r>
          </w:p>
        </w:tc>
        <w:tc>
          <w:tcPr>
            <w:tcW w:w="2693" w:type="dxa"/>
          </w:tcPr>
          <w:p w14:paraId="4C45AC26" w14:textId="0A6B1969" w:rsidR="00260B7E" w:rsidRPr="00B275E2" w:rsidRDefault="0059494E" w:rsidP="007F0B1E">
            <w:pPr>
              <w:pStyle w:val="TableText"/>
            </w:pPr>
            <w:r w:rsidRPr="00B275E2">
              <w:t>pkm</w:t>
            </w:r>
          </w:p>
        </w:tc>
        <w:tc>
          <w:tcPr>
            <w:tcW w:w="1559" w:type="dxa"/>
            <w:shd w:val="clear" w:color="auto" w:fill="D2DDE1" w:themeFill="background2"/>
          </w:tcPr>
          <w:p w14:paraId="27EA0AF1" w14:textId="2ADAC044" w:rsidR="00260B7E" w:rsidRPr="00B275E2" w:rsidRDefault="003E1714" w:rsidP="007F0B1E">
            <w:pPr>
              <w:pStyle w:val="TableText"/>
              <w:jc w:val="right"/>
              <w:rPr>
                <w:szCs w:val="18"/>
                <w:highlight w:val="yellow"/>
              </w:rPr>
            </w:pPr>
            <w:r w:rsidRPr="00B275E2">
              <w:rPr>
                <w:szCs w:val="18"/>
              </w:rPr>
              <w:t xml:space="preserve">534,976,704 </w:t>
            </w:r>
          </w:p>
        </w:tc>
      </w:tr>
      <w:tr w:rsidR="00711BC4" w:rsidRPr="00B275E2" w14:paraId="28BD1A89" w14:textId="77777777" w:rsidTr="007001A9">
        <w:trPr>
          <w:trHeight w:val="253"/>
        </w:trPr>
        <w:tc>
          <w:tcPr>
            <w:tcW w:w="2268" w:type="dxa"/>
          </w:tcPr>
          <w:p w14:paraId="62474CC8" w14:textId="70E5117C" w:rsidR="00711BC4" w:rsidRPr="00B275E2" w:rsidRDefault="00711BC4" w:rsidP="007F0B1E">
            <w:pPr>
              <w:pStyle w:val="TableText"/>
            </w:pPr>
            <w:r w:rsidRPr="00B275E2">
              <w:t>NZ</w:t>
            </w:r>
          </w:p>
        </w:tc>
        <w:tc>
          <w:tcPr>
            <w:tcW w:w="1985" w:type="dxa"/>
          </w:tcPr>
          <w:p w14:paraId="64598592" w14:textId="19AB4375" w:rsidR="00711BC4" w:rsidRPr="00B275E2" w:rsidRDefault="00711BC4" w:rsidP="007F0B1E">
            <w:pPr>
              <w:pStyle w:val="TableText"/>
            </w:pPr>
            <w:r w:rsidRPr="00B275E2">
              <w:t>Bus</w:t>
            </w:r>
          </w:p>
        </w:tc>
        <w:tc>
          <w:tcPr>
            <w:tcW w:w="2693" w:type="dxa"/>
          </w:tcPr>
          <w:p w14:paraId="596627FA" w14:textId="4855F078" w:rsidR="00711BC4" w:rsidRPr="00B275E2" w:rsidRDefault="00711BC4" w:rsidP="007F0B1E">
            <w:pPr>
              <w:pStyle w:val="TableText"/>
            </w:pPr>
            <w:r w:rsidRPr="00B275E2">
              <w:t>Service km</w:t>
            </w:r>
          </w:p>
        </w:tc>
        <w:tc>
          <w:tcPr>
            <w:tcW w:w="1559" w:type="dxa"/>
            <w:shd w:val="clear" w:color="auto" w:fill="D2DDE1" w:themeFill="background2"/>
          </w:tcPr>
          <w:p w14:paraId="3F1877EA" w14:textId="250EB1BE" w:rsidR="00711BC4" w:rsidRPr="00B275E2" w:rsidRDefault="003E1714" w:rsidP="007F0B1E">
            <w:pPr>
              <w:pStyle w:val="TableText"/>
              <w:jc w:val="right"/>
              <w:rPr>
                <w:szCs w:val="18"/>
              </w:rPr>
            </w:pPr>
            <w:r w:rsidRPr="00B275E2">
              <w:rPr>
                <w:szCs w:val="18"/>
              </w:rPr>
              <w:t xml:space="preserve">122,934,050 </w:t>
            </w:r>
          </w:p>
        </w:tc>
      </w:tr>
    </w:tbl>
    <w:p w14:paraId="556E919D" w14:textId="57FCBC6C" w:rsidR="00260B7E" w:rsidRPr="00B275E2" w:rsidRDefault="000D674C" w:rsidP="007F0B1E">
      <w:pPr>
        <w:pStyle w:val="BodyText"/>
        <w:spacing w:before="240"/>
      </w:pPr>
      <w:r w:rsidRPr="00B275E2">
        <w:t xml:space="preserve">The passenger loading per bus for the different regions for </w:t>
      </w:r>
      <w:r w:rsidR="003E1714" w:rsidRPr="00B275E2">
        <w:t>2020/21</w:t>
      </w:r>
      <w:r w:rsidRPr="00B275E2">
        <w:t xml:space="preserve"> is shown</w:t>
      </w:r>
      <w:r w:rsidR="00583648" w:rsidRPr="00B275E2">
        <w:t xml:space="preserve"> in</w:t>
      </w:r>
      <w:r w:rsidR="004935B0" w:rsidRPr="00B275E2">
        <w:t xml:space="preserve"> table 2</w:t>
      </w:r>
      <w:r w:rsidR="00D23EE9" w:rsidRPr="00B275E2">
        <w:t>9</w:t>
      </w:r>
      <w:r w:rsidR="00516258" w:rsidRPr="00B275E2">
        <w:t>.</w:t>
      </w:r>
    </w:p>
    <w:p w14:paraId="19AA929E" w14:textId="4C28151E" w:rsidR="00A469F8" w:rsidRPr="00B275E2" w:rsidRDefault="00EF550C" w:rsidP="00846652">
      <w:pPr>
        <w:pStyle w:val="Tableheading"/>
      </w:pPr>
      <w:bookmarkStart w:id="371" w:name="_Ref53065955"/>
      <w:bookmarkStart w:id="372" w:name="_Toc111536634"/>
      <w:r w:rsidRPr="00B275E2">
        <w:t xml:space="preserve">Table </w:t>
      </w:r>
      <w:r w:rsidRPr="00B275E2">
        <w:fldChar w:fldCharType="begin"/>
      </w:r>
      <w:r w:rsidRPr="00B275E2">
        <w:instrText>SEQ Table \* ARABIC</w:instrText>
      </w:r>
      <w:r w:rsidRPr="00B275E2">
        <w:fldChar w:fldCharType="separate"/>
      </w:r>
      <w:r w:rsidR="003E141C" w:rsidRPr="00B275E2">
        <w:t>29</w:t>
      </w:r>
      <w:r w:rsidRPr="00B275E2">
        <w:fldChar w:fldCharType="end"/>
      </w:r>
      <w:bookmarkEnd w:id="371"/>
      <w:r w:rsidRPr="00B275E2">
        <w:t>:</w:t>
      </w:r>
      <w:r w:rsidR="009B2935" w:rsidRPr="00B275E2">
        <w:tab/>
      </w:r>
      <w:r w:rsidR="000D674C" w:rsidRPr="00B275E2">
        <w:t>National bus passenger loading by region</w:t>
      </w:r>
      <w:bookmarkEnd w:id="372"/>
    </w:p>
    <w:tbl>
      <w:tblPr>
        <w:tblStyle w:val="TableGrid"/>
        <w:tblW w:w="8505"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4253"/>
        <w:gridCol w:w="2697"/>
        <w:gridCol w:w="1555"/>
      </w:tblGrid>
      <w:tr w:rsidR="000D674C" w:rsidRPr="00B275E2" w14:paraId="59D9A6CE" w14:textId="77777777" w:rsidTr="00846652">
        <w:trPr>
          <w:trHeight w:val="264"/>
        </w:trPr>
        <w:tc>
          <w:tcPr>
            <w:tcW w:w="4253" w:type="dxa"/>
            <w:shd w:val="clear" w:color="auto" w:fill="1B556B" w:themeFill="text2"/>
          </w:tcPr>
          <w:p w14:paraId="22CF0E2F" w14:textId="77777777" w:rsidR="000D674C" w:rsidRPr="00B275E2" w:rsidRDefault="000D674C" w:rsidP="007F0B1E">
            <w:pPr>
              <w:pStyle w:val="TableText"/>
              <w:rPr>
                <w:b/>
                <w:color w:val="FFFFFF" w:themeColor="background1"/>
              </w:rPr>
            </w:pPr>
            <w:bookmarkStart w:id="373" w:name="_Ref53066944"/>
            <w:r w:rsidRPr="00B275E2">
              <w:rPr>
                <w:b/>
                <w:color w:val="FFFFFF" w:themeColor="background1"/>
              </w:rPr>
              <w:t>Region</w:t>
            </w:r>
          </w:p>
        </w:tc>
        <w:tc>
          <w:tcPr>
            <w:tcW w:w="2697" w:type="dxa"/>
            <w:shd w:val="clear" w:color="auto" w:fill="1B556B" w:themeFill="text2"/>
          </w:tcPr>
          <w:p w14:paraId="7C5FDDFD" w14:textId="2C003B31" w:rsidR="000D674C" w:rsidRPr="00B275E2" w:rsidRDefault="000D674C" w:rsidP="007F0B1E">
            <w:pPr>
              <w:pStyle w:val="TableText"/>
              <w:rPr>
                <w:b/>
                <w:color w:val="FFFFFF" w:themeColor="background1"/>
              </w:rPr>
            </w:pPr>
            <w:r w:rsidRPr="00B275E2">
              <w:rPr>
                <w:b/>
                <w:color w:val="FFFFFF" w:themeColor="background1"/>
              </w:rPr>
              <w:t>Unit</w:t>
            </w:r>
          </w:p>
        </w:tc>
        <w:tc>
          <w:tcPr>
            <w:tcW w:w="0" w:type="auto"/>
            <w:shd w:val="clear" w:color="auto" w:fill="1B556B" w:themeFill="text2"/>
          </w:tcPr>
          <w:p w14:paraId="04D4269A" w14:textId="11079FBD" w:rsidR="000D674C" w:rsidRPr="00B275E2" w:rsidRDefault="000D674C" w:rsidP="007F0B1E">
            <w:pPr>
              <w:pStyle w:val="TableText"/>
              <w:rPr>
                <w:b/>
                <w:color w:val="FFFFFF" w:themeColor="background1"/>
              </w:rPr>
            </w:pPr>
            <w:r w:rsidRPr="00B275E2">
              <w:rPr>
                <w:b/>
                <w:color w:val="FFFFFF" w:themeColor="background1"/>
              </w:rPr>
              <w:t>End Use</w:t>
            </w:r>
          </w:p>
        </w:tc>
      </w:tr>
      <w:tr w:rsidR="000D674C" w:rsidRPr="00B275E2" w14:paraId="0B58ED7B" w14:textId="77777777" w:rsidTr="00846652">
        <w:trPr>
          <w:trHeight w:val="253"/>
        </w:trPr>
        <w:tc>
          <w:tcPr>
            <w:tcW w:w="4253" w:type="dxa"/>
          </w:tcPr>
          <w:p w14:paraId="0DE103E8" w14:textId="756A2971" w:rsidR="000D674C" w:rsidRPr="00B275E2" w:rsidRDefault="000D674C" w:rsidP="007F0B1E">
            <w:pPr>
              <w:pStyle w:val="TableText"/>
            </w:pPr>
            <w:r w:rsidRPr="00B275E2">
              <w:t>National</w:t>
            </w:r>
            <w:r w:rsidR="003E1714" w:rsidRPr="00B275E2">
              <w:t xml:space="preserve"> </w:t>
            </w:r>
            <w:r w:rsidR="00435A8B" w:rsidRPr="00B275E2">
              <w:t>a</w:t>
            </w:r>
            <w:r w:rsidR="003E1714" w:rsidRPr="00B275E2">
              <w:t>verage</w:t>
            </w:r>
          </w:p>
        </w:tc>
        <w:tc>
          <w:tcPr>
            <w:tcW w:w="2697" w:type="dxa"/>
          </w:tcPr>
          <w:p w14:paraId="0C5F914F" w14:textId="67DC6A64" w:rsidR="000D674C" w:rsidRPr="00B275E2" w:rsidRDefault="000D674C" w:rsidP="007F0B1E">
            <w:pPr>
              <w:pStyle w:val="TableText"/>
            </w:pPr>
            <w:r w:rsidRPr="00B275E2">
              <w:t>Passenger/bus</w:t>
            </w:r>
          </w:p>
        </w:tc>
        <w:tc>
          <w:tcPr>
            <w:tcW w:w="0" w:type="auto"/>
          </w:tcPr>
          <w:p w14:paraId="495635C0" w14:textId="61CF200A" w:rsidR="000D674C" w:rsidRPr="00B275E2" w:rsidRDefault="003E1714" w:rsidP="007F0B1E">
            <w:pPr>
              <w:pStyle w:val="TableText"/>
            </w:pPr>
            <w:r w:rsidRPr="00B275E2">
              <w:t>7</w:t>
            </w:r>
          </w:p>
        </w:tc>
      </w:tr>
      <w:tr w:rsidR="000D674C" w:rsidRPr="00B275E2" w14:paraId="20B3FE64" w14:textId="77777777" w:rsidTr="00846652">
        <w:trPr>
          <w:trHeight w:val="253"/>
        </w:trPr>
        <w:tc>
          <w:tcPr>
            <w:tcW w:w="4253" w:type="dxa"/>
          </w:tcPr>
          <w:p w14:paraId="6D9B3C48" w14:textId="02708F44" w:rsidR="000D674C" w:rsidRPr="00B275E2" w:rsidRDefault="000D674C" w:rsidP="007F0B1E">
            <w:pPr>
              <w:pStyle w:val="TableText"/>
            </w:pPr>
            <w:r w:rsidRPr="00B275E2">
              <w:t>Auckland</w:t>
            </w:r>
          </w:p>
        </w:tc>
        <w:tc>
          <w:tcPr>
            <w:tcW w:w="2697" w:type="dxa"/>
          </w:tcPr>
          <w:p w14:paraId="776483A0" w14:textId="71C4A1ED" w:rsidR="000D674C" w:rsidRPr="00B275E2" w:rsidRDefault="000D674C" w:rsidP="007F0B1E">
            <w:pPr>
              <w:pStyle w:val="TableText"/>
            </w:pPr>
            <w:r w:rsidRPr="00B275E2">
              <w:t>Passenger/bus</w:t>
            </w:r>
          </w:p>
        </w:tc>
        <w:tc>
          <w:tcPr>
            <w:tcW w:w="0" w:type="auto"/>
          </w:tcPr>
          <w:p w14:paraId="661A7980" w14:textId="620D09A8" w:rsidR="000D674C" w:rsidRPr="00B275E2" w:rsidRDefault="003E1714" w:rsidP="007F0B1E">
            <w:pPr>
              <w:pStyle w:val="TableText"/>
            </w:pPr>
            <w:r w:rsidRPr="00B275E2">
              <w:t>7</w:t>
            </w:r>
          </w:p>
        </w:tc>
      </w:tr>
      <w:tr w:rsidR="000D674C" w:rsidRPr="00B275E2" w14:paraId="31AE8A19" w14:textId="77777777" w:rsidTr="00846652">
        <w:trPr>
          <w:trHeight w:val="253"/>
        </w:trPr>
        <w:tc>
          <w:tcPr>
            <w:tcW w:w="4253" w:type="dxa"/>
          </w:tcPr>
          <w:p w14:paraId="23136EB2" w14:textId="74BB57B8" w:rsidR="000D674C" w:rsidRPr="00B275E2" w:rsidRDefault="000D674C" w:rsidP="007F0B1E">
            <w:pPr>
              <w:pStyle w:val="TableText"/>
            </w:pPr>
            <w:r w:rsidRPr="00B275E2">
              <w:t>Bay of Plenty</w:t>
            </w:r>
          </w:p>
        </w:tc>
        <w:tc>
          <w:tcPr>
            <w:tcW w:w="2697" w:type="dxa"/>
          </w:tcPr>
          <w:p w14:paraId="3B8A5DB5" w14:textId="1AF80BA0" w:rsidR="000D674C" w:rsidRPr="00B275E2" w:rsidRDefault="000D674C" w:rsidP="007F0B1E">
            <w:pPr>
              <w:pStyle w:val="TableText"/>
            </w:pPr>
            <w:r w:rsidRPr="00B275E2">
              <w:t>Passenger/bus</w:t>
            </w:r>
          </w:p>
        </w:tc>
        <w:tc>
          <w:tcPr>
            <w:tcW w:w="0" w:type="auto"/>
          </w:tcPr>
          <w:p w14:paraId="4639C7B0" w14:textId="29384CB2" w:rsidR="000D674C" w:rsidRPr="00B275E2" w:rsidRDefault="008F6CEE" w:rsidP="007F0B1E">
            <w:pPr>
              <w:pStyle w:val="TableText"/>
            </w:pPr>
            <w:r w:rsidRPr="00B275E2">
              <w:t>3</w:t>
            </w:r>
          </w:p>
        </w:tc>
      </w:tr>
      <w:tr w:rsidR="000D674C" w:rsidRPr="00B275E2" w14:paraId="63D17507" w14:textId="77777777" w:rsidTr="00846652">
        <w:trPr>
          <w:trHeight w:val="253"/>
        </w:trPr>
        <w:tc>
          <w:tcPr>
            <w:tcW w:w="4253" w:type="dxa"/>
          </w:tcPr>
          <w:p w14:paraId="192F2D38" w14:textId="587CF4AB" w:rsidR="000D674C" w:rsidRPr="00B275E2" w:rsidRDefault="000D674C" w:rsidP="007F0B1E">
            <w:pPr>
              <w:pStyle w:val="TableText"/>
            </w:pPr>
            <w:r w:rsidRPr="00B275E2">
              <w:t>Canterbury</w:t>
            </w:r>
          </w:p>
        </w:tc>
        <w:tc>
          <w:tcPr>
            <w:tcW w:w="2697" w:type="dxa"/>
          </w:tcPr>
          <w:p w14:paraId="41E67C49" w14:textId="79C1007F" w:rsidR="000D674C" w:rsidRPr="00B275E2" w:rsidRDefault="000D674C" w:rsidP="007F0B1E">
            <w:pPr>
              <w:pStyle w:val="TableText"/>
            </w:pPr>
            <w:r w:rsidRPr="00B275E2">
              <w:t>Passenger/bus</w:t>
            </w:r>
          </w:p>
        </w:tc>
        <w:tc>
          <w:tcPr>
            <w:tcW w:w="0" w:type="auto"/>
          </w:tcPr>
          <w:p w14:paraId="423AC62D" w14:textId="04C4D48F" w:rsidR="000D674C" w:rsidRPr="00B275E2" w:rsidRDefault="008F6CEE" w:rsidP="007F0B1E">
            <w:pPr>
              <w:pStyle w:val="TableText"/>
            </w:pPr>
            <w:r w:rsidRPr="00B275E2">
              <w:rPr>
                <w:i/>
                <w:iCs/>
              </w:rPr>
              <w:t xml:space="preserve">Missing </w:t>
            </w:r>
            <w:r w:rsidR="00435A8B" w:rsidRPr="00B275E2">
              <w:rPr>
                <w:i/>
                <w:iCs/>
              </w:rPr>
              <w:t>d</w:t>
            </w:r>
            <w:r w:rsidRPr="00B275E2">
              <w:rPr>
                <w:i/>
                <w:iCs/>
              </w:rPr>
              <w:t>ata</w:t>
            </w:r>
          </w:p>
        </w:tc>
      </w:tr>
      <w:tr w:rsidR="000D674C" w:rsidRPr="00B275E2" w14:paraId="30F240C1" w14:textId="77777777" w:rsidTr="00846652">
        <w:trPr>
          <w:trHeight w:val="253"/>
        </w:trPr>
        <w:tc>
          <w:tcPr>
            <w:tcW w:w="4253" w:type="dxa"/>
          </w:tcPr>
          <w:p w14:paraId="5D57EDAE" w14:textId="0CF0FCB1" w:rsidR="000D674C" w:rsidRPr="00B275E2" w:rsidRDefault="000D674C" w:rsidP="007F0B1E">
            <w:pPr>
              <w:pStyle w:val="TableText"/>
            </w:pPr>
            <w:r w:rsidRPr="00B275E2">
              <w:t>Gisborne</w:t>
            </w:r>
          </w:p>
        </w:tc>
        <w:tc>
          <w:tcPr>
            <w:tcW w:w="2697" w:type="dxa"/>
          </w:tcPr>
          <w:p w14:paraId="11462260" w14:textId="2956A160" w:rsidR="000D674C" w:rsidRPr="00B275E2" w:rsidRDefault="000D674C" w:rsidP="007F0B1E">
            <w:pPr>
              <w:pStyle w:val="TableText"/>
            </w:pPr>
            <w:r w:rsidRPr="00B275E2">
              <w:t>Passenger/bus</w:t>
            </w:r>
          </w:p>
        </w:tc>
        <w:tc>
          <w:tcPr>
            <w:tcW w:w="0" w:type="auto"/>
          </w:tcPr>
          <w:p w14:paraId="4AA18182" w14:textId="1D61D8EC" w:rsidR="000D674C" w:rsidRPr="00B275E2" w:rsidRDefault="000D674C" w:rsidP="007F0B1E">
            <w:pPr>
              <w:pStyle w:val="TableText"/>
            </w:pPr>
            <w:r w:rsidRPr="00B275E2">
              <w:t>8</w:t>
            </w:r>
          </w:p>
        </w:tc>
      </w:tr>
      <w:tr w:rsidR="000D674C" w:rsidRPr="00B275E2" w14:paraId="2F5E64F4" w14:textId="77777777" w:rsidTr="00846652">
        <w:trPr>
          <w:trHeight w:val="253"/>
        </w:trPr>
        <w:tc>
          <w:tcPr>
            <w:tcW w:w="4253" w:type="dxa"/>
          </w:tcPr>
          <w:p w14:paraId="62913792" w14:textId="35852278" w:rsidR="000D674C" w:rsidRPr="00B275E2" w:rsidRDefault="000D674C" w:rsidP="007F0B1E">
            <w:pPr>
              <w:pStyle w:val="TableText"/>
            </w:pPr>
            <w:r w:rsidRPr="00B275E2">
              <w:t>Hawkes Bay</w:t>
            </w:r>
          </w:p>
        </w:tc>
        <w:tc>
          <w:tcPr>
            <w:tcW w:w="2697" w:type="dxa"/>
          </w:tcPr>
          <w:p w14:paraId="780DD8A4" w14:textId="2748E8FD" w:rsidR="000D674C" w:rsidRPr="00B275E2" w:rsidRDefault="000D674C" w:rsidP="007F0B1E">
            <w:pPr>
              <w:pStyle w:val="TableText"/>
            </w:pPr>
            <w:r w:rsidRPr="00B275E2">
              <w:t>Passenger/bus</w:t>
            </w:r>
          </w:p>
        </w:tc>
        <w:tc>
          <w:tcPr>
            <w:tcW w:w="0" w:type="auto"/>
          </w:tcPr>
          <w:p w14:paraId="463D0E67" w14:textId="76734EC2" w:rsidR="000D674C" w:rsidRPr="00B275E2" w:rsidRDefault="008F6CEE" w:rsidP="007F0B1E">
            <w:pPr>
              <w:pStyle w:val="TableText"/>
            </w:pPr>
            <w:r w:rsidRPr="00B275E2">
              <w:t>1</w:t>
            </w:r>
          </w:p>
        </w:tc>
      </w:tr>
      <w:tr w:rsidR="000D674C" w:rsidRPr="00B275E2" w14:paraId="235A74F9" w14:textId="77777777" w:rsidTr="00846652">
        <w:trPr>
          <w:trHeight w:val="253"/>
        </w:trPr>
        <w:tc>
          <w:tcPr>
            <w:tcW w:w="4253" w:type="dxa"/>
          </w:tcPr>
          <w:p w14:paraId="0486BF05" w14:textId="0E1B12D9" w:rsidR="000D674C" w:rsidRPr="00B275E2" w:rsidRDefault="000D674C" w:rsidP="007F0B1E">
            <w:pPr>
              <w:pStyle w:val="TableText"/>
            </w:pPr>
            <w:r w:rsidRPr="00B275E2">
              <w:t>Manawat</w:t>
            </w:r>
            <w:r w:rsidR="00435A8B" w:rsidRPr="00B275E2">
              <w:rPr>
                <w:rFonts w:cs="Calibri"/>
              </w:rPr>
              <w:t>ū</w:t>
            </w:r>
            <w:r w:rsidRPr="00B275E2">
              <w:t>-Whanganui</w:t>
            </w:r>
          </w:p>
        </w:tc>
        <w:tc>
          <w:tcPr>
            <w:tcW w:w="2697" w:type="dxa"/>
          </w:tcPr>
          <w:p w14:paraId="405AC2F6" w14:textId="3B6CE10A" w:rsidR="000D674C" w:rsidRPr="00B275E2" w:rsidRDefault="000D674C" w:rsidP="007F0B1E">
            <w:pPr>
              <w:pStyle w:val="TableText"/>
            </w:pPr>
            <w:r w:rsidRPr="00B275E2">
              <w:t>Passenger/bus</w:t>
            </w:r>
          </w:p>
        </w:tc>
        <w:tc>
          <w:tcPr>
            <w:tcW w:w="0" w:type="auto"/>
          </w:tcPr>
          <w:p w14:paraId="74F62E48" w14:textId="40A16130" w:rsidR="000D674C" w:rsidRPr="00B275E2" w:rsidRDefault="008F6CEE" w:rsidP="007F0B1E">
            <w:pPr>
              <w:pStyle w:val="TableText"/>
            </w:pPr>
            <w:r w:rsidRPr="00B275E2">
              <w:t>5</w:t>
            </w:r>
          </w:p>
        </w:tc>
      </w:tr>
      <w:tr w:rsidR="000D674C" w:rsidRPr="00B275E2" w14:paraId="1BD781A1" w14:textId="77777777" w:rsidTr="00846652">
        <w:trPr>
          <w:trHeight w:val="253"/>
        </w:trPr>
        <w:tc>
          <w:tcPr>
            <w:tcW w:w="4253" w:type="dxa"/>
          </w:tcPr>
          <w:p w14:paraId="3068E3CD" w14:textId="35960B0F" w:rsidR="000D674C" w:rsidRPr="00B275E2" w:rsidRDefault="000D674C" w:rsidP="007F0B1E">
            <w:pPr>
              <w:pStyle w:val="TableText"/>
            </w:pPr>
            <w:r w:rsidRPr="00B275E2">
              <w:t>Marlborough-Nelson-Tasman</w:t>
            </w:r>
          </w:p>
        </w:tc>
        <w:tc>
          <w:tcPr>
            <w:tcW w:w="2697" w:type="dxa"/>
          </w:tcPr>
          <w:p w14:paraId="42F80B69" w14:textId="1AB277CB" w:rsidR="000D674C" w:rsidRPr="00B275E2" w:rsidRDefault="000D674C" w:rsidP="007F0B1E">
            <w:pPr>
              <w:pStyle w:val="TableText"/>
            </w:pPr>
            <w:r w:rsidRPr="00B275E2">
              <w:t>Passenger/bus</w:t>
            </w:r>
          </w:p>
        </w:tc>
        <w:tc>
          <w:tcPr>
            <w:tcW w:w="0" w:type="auto"/>
          </w:tcPr>
          <w:p w14:paraId="40DA901D" w14:textId="0695A586" w:rsidR="000D674C" w:rsidRPr="00B275E2" w:rsidRDefault="000D674C" w:rsidP="007F0B1E">
            <w:pPr>
              <w:pStyle w:val="TableText"/>
            </w:pPr>
            <w:r w:rsidRPr="00B275E2">
              <w:t>6</w:t>
            </w:r>
          </w:p>
        </w:tc>
      </w:tr>
      <w:tr w:rsidR="000D674C" w:rsidRPr="00B275E2" w14:paraId="7A4C6636" w14:textId="77777777" w:rsidTr="00846652">
        <w:trPr>
          <w:trHeight w:val="253"/>
        </w:trPr>
        <w:tc>
          <w:tcPr>
            <w:tcW w:w="4253" w:type="dxa"/>
          </w:tcPr>
          <w:p w14:paraId="093029AC" w14:textId="4966F9C7" w:rsidR="000D674C" w:rsidRPr="00B275E2" w:rsidRDefault="000D674C" w:rsidP="007F0B1E">
            <w:pPr>
              <w:pStyle w:val="TableText"/>
            </w:pPr>
            <w:r w:rsidRPr="00B275E2">
              <w:t>Northland</w:t>
            </w:r>
          </w:p>
        </w:tc>
        <w:tc>
          <w:tcPr>
            <w:tcW w:w="2697" w:type="dxa"/>
          </w:tcPr>
          <w:p w14:paraId="17BB670E" w14:textId="26AC1AE5" w:rsidR="000D674C" w:rsidRPr="00B275E2" w:rsidRDefault="000D674C" w:rsidP="007F0B1E">
            <w:pPr>
              <w:pStyle w:val="TableText"/>
            </w:pPr>
            <w:r w:rsidRPr="00B275E2">
              <w:t>Passenger/bus</w:t>
            </w:r>
          </w:p>
        </w:tc>
        <w:tc>
          <w:tcPr>
            <w:tcW w:w="0" w:type="auto"/>
          </w:tcPr>
          <w:p w14:paraId="0B6D4713" w14:textId="0A1A39E5" w:rsidR="000D674C" w:rsidRPr="00B275E2" w:rsidRDefault="008F6CEE" w:rsidP="007F0B1E">
            <w:pPr>
              <w:pStyle w:val="TableText"/>
            </w:pPr>
            <w:r w:rsidRPr="00B275E2">
              <w:t>8</w:t>
            </w:r>
          </w:p>
        </w:tc>
      </w:tr>
      <w:tr w:rsidR="000D674C" w:rsidRPr="00B275E2" w14:paraId="1D6F9D1D" w14:textId="77777777" w:rsidTr="00846652">
        <w:trPr>
          <w:trHeight w:val="253"/>
        </w:trPr>
        <w:tc>
          <w:tcPr>
            <w:tcW w:w="4253" w:type="dxa"/>
          </w:tcPr>
          <w:p w14:paraId="5A855CEB" w14:textId="71CD6576" w:rsidR="000D674C" w:rsidRPr="00B275E2" w:rsidRDefault="000D674C" w:rsidP="007F0B1E">
            <w:pPr>
              <w:pStyle w:val="TableText"/>
            </w:pPr>
            <w:r w:rsidRPr="00B275E2">
              <w:t>Otago</w:t>
            </w:r>
          </w:p>
        </w:tc>
        <w:tc>
          <w:tcPr>
            <w:tcW w:w="2697" w:type="dxa"/>
          </w:tcPr>
          <w:p w14:paraId="494A9290" w14:textId="094659AB" w:rsidR="000D674C" w:rsidRPr="00B275E2" w:rsidRDefault="000D674C" w:rsidP="007F0B1E">
            <w:pPr>
              <w:pStyle w:val="TableText"/>
            </w:pPr>
            <w:r w:rsidRPr="00B275E2">
              <w:t>Passenger/bus</w:t>
            </w:r>
          </w:p>
        </w:tc>
        <w:tc>
          <w:tcPr>
            <w:tcW w:w="0" w:type="auto"/>
          </w:tcPr>
          <w:p w14:paraId="4CE58D6E" w14:textId="3FAEB858" w:rsidR="000D674C" w:rsidRPr="00B275E2" w:rsidRDefault="00DF4B5B" w:rsidP="007F0B1E">
            <w:pPr>
              <w:pStyle w:val="TableText"/>
            </w:pPr>
            <w:r w:rsidRPr="00B275E2">
              <w:rPr>
                <w:i/>
                <w:iCs/>
              </w:rPr>
              <w:t xml:space="preserve">Missing </w:t>
            </w:r>
            <w:r w:rsidR="00435A8B" w:rsidRPr="00B275E2">
              <w:rPr>
                <w:i/>
                <w:iCs/>
              </w:rPr>
              <w:t>d</w:t>
            </w:r>
            <w:r w:rsidRPr="00B275E2">
              <w:rPr>
                <w:i/>
                <w:iCs/>
              </w:rPr>
              <w:t>ata</w:t>
            </w:r>
          </w:p>
        </w:tc>
      </w:tr>
      <w:tr w:rsidR="000D674C" w:rsidRPr="00B275E2" w14:paraId="199F0328" w14:textId="77777777" w:rsidTr="00846652">
        <w:trPr>
          <w:trHeight w:val="253"/>
        </w:trPr>
        <w:tc>
          <w:tcPr>
            <w:tcW w:w="4253" w:type="dxa"/>
          </w:tcPr>
          <w:p w14:paraId="22AC8239" w14:textId="37BA67FD" w:rsidR="000D674C" w:rsidRPr="00B275E2" w:rsidRDefault="000D674C" w:rsidP="007F0B1E">
            <w:pPr>
              <w:pStyle w:val="TableText"/>
            </w:pPr>
            <w:r w:rsidRPr="00B275E2">
              <w:t>Southland</w:t>
            </w:r>
          </w:p>
        </w:tc>
        <w:tc>
          <w:tcPr>
            <w:tcW w:w="2697" w:type="dxa"/>
          </w:tcPr>
          <w:p w14:paraId="4F0C7EC7" w14:textId="619BEC29" w:rsidR="000D674C" w:rsidRPr="00B275E2" w:rsidRDefault="000D674C" w:rsidP="007F0B1E">
            <w:pPr>
              <w:pStyle w:val="TableText"/>
            </w:pPr>
            <w:r w:rsidRPr="00B275E2">
              <w:t>Passenger/bus</w:t>
            </w:r>
          </w:p>
        </w:tc>
        <w:tc>
          <w:tcPr>
            <w:tcW w:w="0" w:type="auto"/>
          </w:tcPr>
          <w:p w14:paraId="2D68695E" w14:textId="46FD4C9D" w:rsidR="000D674C" w:rsidRPr="00B275E2" w:rsidRDefault="00DF4B5B" w:rsidP="007F0B1E">
            <w:pPr>
              <w:pStyle w:val="TableText"/>
            </w:pPr>
            <w:r w:rsidRPr="00B275E2">
              <w:t>3</w:t>
            </w:r>
          </w:p>
        </w:tc>
      </w:tr>
      <w:tr w:rsidR="000D674C" w:rsidRPr="00B275E2" w14:paraId="701A3D8E" w14:textId="77777777" w:rsidTr="00846652">
        <w:trPr>
          <w:trHeight w:val="253"/>
        </w:trPr>
        <w:tc>
          <w:tcPr>
            <w:tcW w:w="4253" w:type="dxa"/>
          </w:tcPr>
          <w:p w14:paraId="2E245BB3" w14:textId="223D8C25" w:rsidR="000D674C" w:rsidRPr="00B275E2" w:rsidRDefault="000D674C" w:rsidP="007F0B1E">
            <w:pPr>
              <w:pStyle w:val="TableText"/>
            </w:pPr>
            <w:r w:rsidRPr="00B275E2">
              <w:t>Taranaki</w:t>
            </w:r>
          </w:p>
        </w:tc>
        <w:tc>
          <w:tcPr>
            <w:tcW w:w="2697" w:type="dxa"/>
          </w:tcPr>
          <w:p w14:paraId="43DEA65D" w14:textId="77BAC6D2" w:rsidR="000D674C" w:rsidRPr="00B275E2" w:rsidRDefault="000D674C" w:rsidP="007F0B1E">
            <w:pPr>
              <w:pStyle w:val="TableText"/>
            </w:pPr>
            <w:r w:rsidRPr="00B275E2">
              <w:t>Passenger/bus</w:t>
            </w:r>
          </w:p>
        </w:tc>
        <w:tc>
          <w:tcPr>
            <w:tcW w:w="0" w:type="auto"/>
          </w:tcPr>
          <w:p w14:paraId="4FA10A70" w14:textId="7E70F60D" w:rsidR="000D674C" w:rsidRPr="00B275E2" w:rsidRDefault="00DF4B5B" w:rsidP="007F0B1E">
            <w:pPr>
              <w:pStyle w:val="TableText"/>
            </w:pPr>
            <w:r w:rsidRPr="00B275E2">
              <w:t>12</w:t>
            </w:r>
          </w:p>
        </w:tc>
      </w:tr>
      <w:tr w:rsidR="000D674C" w:rsidRPr="00B275E2" w14:paraId="0245407E" w14:textId="77777777" w:rsidTr="00846652">
        <w:trPr>
          <w:trHeight w:val="253"/>
        </w:trPr>
        <w:tc>
          <w:tcPr>
            <w:tcW w:w="4253" w:type="dxa"/>
          </w:tcPr>
          <w:p w14:paraId="19BD1E35" w14:textId="2BF27021" w:rsidR="000D674C" w:rsidRPr="00B275E2" w:rsidRDefault="000D674C" w:rsidP="007F0B1E">
            <w:pPr>
              <w:pStyle w:val="TableText"/>
            </w:pPr>
            <w:r w:rsidRPr="00B275E2">
              <w:t>Waikato</w:t>
            </w:r>
          </w:p>
        </w:tc>
        <w:tc>
          <w:tcPr>
            <w:tcW w:w="2697" w:type="dxa"/>
          </w:tcPr>
          <w:p w14:paraId="073C9E11" w14:textId="4FB9A6B3" w:rsidR="000D674C" w:rsidRPr="00B275E2" w:rsidRDefault="000D674C" w:rsidP="007F0B1E">
            <w:pPr>
              <w:pStyle w:val="TableText"/>
            </w:pPr>
            <w:r w:rsidRPr="00B275E2">
              <w:t>Passenger/bus</w:t>
            </w:r>
          </w:p>
        </w:tc>
        <w:tc>
          <w:tcPr>
            <w:tcW w:w="0" w:type="auto"/>
          </w:tcPr>
          <w:p w14:paraId="3B88983D" w14:textId="4E9C5AD1" w:rsidR="000D674C" w:rsidRPr="00B275E2" w:rsidRDefault="00DF4B5B" w:rsidP="007F0B1E">
            <w:pPr>
              <w:pStyle w:val="TableText"/>
            </w:pPr>
            <w:r w:rsidRPr="00B275E2">
              <w:t>4</w:t>
            </w:r>
          </w:p>
        </w:tc>
      </w:tr>
      <w:tr w:rsidR="000D674C" w:rsidRPr="00B275E2" w14:paraId="6443EDBD" w14:textId="77777777" w:rsidTr="00846652">
        <w:trPr>
          <w:trHeight w:val="253"/>
        </w:trPr>
        <w:tc>
          <w:tcPr>
            <w:tcW w:w="4253" w:type="dxa"/>
          </w:tcPr>
          <w:p w14:paraId="343A72D2" w14:textId="499FB23F" w:rsidR="000D674C" w:rsidRPr="00B275E2" w:rsidRDefault="000D674C" w:rsidP="007F0B1E">
            <w:pPr>
              <w:pStyle w:val="TableText"/>
            </w:pPr>
            <w:r w:rsidRPr="00B275E2">
              <w:t>Wellington</w:t>
            </w:r>
          </w:p>
        </w:tc>
        <w:tc>
          <w:tcPr>
            <w:tcW w:w="2697" w:type="dxa"/>
          </w:tcPr>
          <w:p w14:paraId="4153BEE7" w14:textId="17F42347" w:rsidR="000D674C" w:rsidRPr="00B275E2" w:rsidRDefault="000D674C" w:rsidP="007F0B1E">
            <w:pPr>
              <w:pStyle w:val="TableText"/>
            </w:pPr>
            <w:r w:rsidRPr="00B275E2">
              <w:t>Passenger/bus</w:t>
            </w:r>
          </w:p>
        </w:tc>
        <w:tc>
          <w:tcPr>
            <w:tcW w:w="0" w:type="auto"/>
          </w:tcPr>
          <w:p w14:paraId="44CF6AE0" w14:textId="5F54D4C6" w:rsidR="000D674C" w:rsidRPr="00B275E2" w:rsidRDefault="00DF4B5B" w:rsidP="007F0B1E">
            <w:pPr>
              <w:pStyle w:val="TableText"/>
            </w:pPr>
            <w:r w:rsidRPr="00B275E2">
              <w:t>20</w:t>
            </w:r>
          </w:p>
        </w:tc>
      </w:tr>
    </w:tbl>
    <w:p w14:paraId="60DADD8F" w14:textId="65193CFF" w:rsidR="000D674C" w:rsidRPr="00B275E2" w:rsidRDefault="000D674C" w:rsidP="007F0B1E">
      <w:pPr>
        <w:pStyle w:val="BodyText"/>
        <w:spacing w:before="240"/>
      </w:pPr>
      <w:r w:rsidRPr="00B275E2">
        <w:t xml:space="preserve">We then divided the per km emission factor for diesel buses in </w:t>
      </w:r>
      <w:r w:rsidR="0068073F" w:rsidRPr="00B275E2">
        <w:t xml:space="preserve">table </w:t>
      </w:r>
      <w:r w:rsidR="00D23EE9" w:rsidRPr="00B275E2">
        <w:t>30</w:t>
      </w:r>
      <w:r w:rsidR="00604CFD" w:rsidRPr="00B275E2">
        <w:t xml:space="preserve"> </w:t>
      </w:r>
      <w:r w:rsidRPr="00B275E2">
        <w:t>by the national passenger/bus loading rate to give the emissions per gas.</w:t>
      </w:r>
    </w:p>
    <w:p w14:paraId="2AA69744" w14:textId="631B5D61" w:rsidR="00C117FD" w:rsidRPr="00B275E2" w:rsidRDefault="00493E2D" w:rsidP="00A51DCC">
      <w:pPr>
        <w:pStyle w:val="Tableheading"/>
      </w:pPr>
      <w:bookmarkStart w:id="374" w:name="_Ref58413433"/>
      <w:bookmarkStart w:id="375" w:name="_Toc111536635"/>
      <w:r w:rsidRPr="00B275E2">
        <w:t xml:space="preserve">Table </w:t>
      </w:r>
      <w:r w:rsidRPr="00B275E2">
        <w:fldChar w:fldCharType="begin"/>
      </w:r>
      <w:r w:rsidRPr="00B275E2">
        <w:instrText>SEQ Table \* ARABIC</w:instrText>
      </w:r>
      <w:r w:rsidRPr="00B275E2">
        <w:fldChar w:fldCharType="separate"/>
      </w:r>
      <w:r w:rsidR="003E141C" w:rsidRPr="00B275E2">
        <w:t>30</w:t>
      </w:r>
      <w:r w:rsidRPr="00B275E2">
        <w:fldChar w:fldCharType="end"/>
      </w:r>
      <w:bookmarkEnd w:id="373"/>
      <w:r w:rsidRPr="00B275E2">
        <w:t>:</w:t>
      </w:r>
      <w:r w:rsidR="009B2935" w:rsidRPr="00B275E2">
        <w:tab/>
      </w:r>
      <w:r w:rsidR="004C3BA8" w:rsidRPr="00B275E2">
        <w:t>Emission factor for diesel bus</w:t>
      </w:r>
      <w:bookmarkEnd w:id="374"/>
      <w:bookmarkEnd w:id="375"/>
    </w:p>
    <w:tbl>
      <w:tblPr>
        <w:tblStyle w:val="TableGrid"/>
        <w:tblW w:w="8505"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ayout w:type="fixed"/>
        <w:tblLook w:val="04A0" w:firstRow="1" w:lastRow="0" w:firstColumn="1" w:lastColumn="0" w:noHBand="0" w:noVBand="1"/>
      </w:tblPr>
      <w:tblGrid>
        <w:gridCol w:w="1126"/>
        <w:gridCol w:w="1230"/>
        <w:gridCol w:w="621"/>
        <w:gridCol w:w="1276"/>
        <w:gridCol w:w="1417"/>
        <w:gridCol w:w="1276"/>
        <w:gridCol w:w="1559"/>
      </w:tblGrid>
      <w:tr w:rsidR="00C153EE" w:rsidRPr="00B275E2" w14:paraId="3799F763" w14:textId="0D42872C" w:rsidTr="00677799">
        <w:trPr>
          <w:trHeight w:val="683"/>
        </w:trPr>
        <w:tc>
          <w:tcPr>
            <w:tcW w:w="1126" w:type="dxa"/>
            <w:shd w:val="clear" w:color="auto" w:fill="1B556B" w:themeFill="text2"/>
            <w:vAlign w:val="bottom"/>
          </w:tcPr>
          <w:p w14:paraId="235F79A3" w14:textId="49493825" w:rsidR="00C153EE" w:rsidRPr="00B275E2" w:rsidRDefault="00C153EE" w:rsidP="007F0B1E">
            <w:pPr>
              <w:pStyle w:val="TableTextbold"/>
            </w:pPr>
            <w:r w:rsidRPr="00B275E2">
              <w:t>Bus type</w:t>
            </w:r>
          </w:p>
        </w:tc>
        <w:tc>
          <w:tcPr>
            <w:tcW w:w="1230" w:type="dxa"/>
            <w:shd w:val="clear" w:color="auto" w:fill="1B556B" w:themeFill="text2"/>
            <w:vAlign w:val="bottom"/>
          </w:tcPr>
          <w:p w14:paraId="20CA2DE5" w14:textId="7FD0891E" w:rsidR="00C153EE" w:rsidRPr="00B275E2" w:rsidRDefault="00C153EE" w:rsidP="007F0B1E">
            <w:pPr>
              <w:pStyle w:val="TableTextbold"/>
            </w:pPr>
            <w:r w:rsidRPr="00B275E2">
              <w:t>Size</w:t>
            </w:r>
          </w:p>
        </w:tc>
        <w:tc>
          <w:tcPr>
            <w:tcW w:w="621" w:type="dxa"/>
            <w:shd w:val="clear" w:color="auto" w:fill="1B556B" w:themeFill="text2"/>
            <w:vAlign w:val="bottom"/>
          </w:tcPr>
          <w:p w14:paraId="074F6F34" w14:textId="15661684" w:rsidR="00C153EE" w:rsidRPr="00B275E2" w:rsidRDefault="00C153EE" w:rsidP="007F0B1E">
            <w:pPr>
              <w:pStyle w:val="TableTextbold"/>
            </w:pPr>
            <w:r w:rsidRPr="00B275E2">
              <w:t>Unit</w:t>
            </w:r>
          </w:p>
        </w:tc>
        <w:tc>
          <w:tcPr>
            <w:tcW w:w="1276" w:type="dxa"/>
            <w:shd w:val="clear" w:color="auto" w:fill="1B556B" w:themeFill="text2"/>
            <w:vAlign w:val="bottom"/>
          </w:tcPr>
          <w:p w14:paraId="0D69DC89" w14:textId="4888EBA8" w:rsidR="00C153EE" w:rsidRPr="00B275E2" w:rsidRDefault="00C153EE" w:rsidP="00A51DCC">
            <w:pPr>
              <w:pStyle w:val="TableTextbold"/>
              <w:jc w:val="right"/>
            </w:pPr>
            <w:r w:rsidRPr="00B275E2">
              <w:rPr>
                <w:szCs w:val="18"/>
              </w:rPr>
              <w:t>kg CO</w:t>
            </w:r>
            <w:r w:rsidRPr="00B275E2">
              <w:rPr>
                <w:szCs w:val="18"/>
                <w:vertAlign w:val="subscript"/>
              </w:rPr>
              <w:t>2</w:t>
            </w:r>
            <w:r w:rsidRPr="00B275E2">
              <w:rPr>
                <w:szCs w:val="18"/>
              </w:rPr>
              <w:t>-e/unit</w:t>
            </w:r>
          </w:p>
        </w:tc>
        <w:tc>
          <w:tcPr>
            <w:tcW w:w="1417" w:type="dxa"/>
            <w:shd w:val="clear" w:color="auto" w:fill="1B556B" w:themeFill="text2"/>
            <w:vAlign w:val="bottom"/>
          </w:tcPr>
          <w:p w14:paraId="313E218D" w14:textId="4CFB7C91" w:rsidR="00C153EE" w:rsidRPr="00B275E2" w:rsidRDefault="00C153EE" w:rsidP="00A51DCC">
            <w:pPr>
              <w:pStyle w:val="TableTextbold"/>
              <w:jc w:val="right"/>
            </w:pPr>
            <w:r w:rsidRPr="00B275E2">
              <w:rPr>
                <w:szCs w:val="18"/>
              </w:rPr>
              <w:t>kg CO</w:t>
            </w:r>
            <w:r w:rsidRPr="00B275E2">
              <w:rPr>
                <w:szCs w:val="18"/>
                <w:vertAlign w:val="subscript"/>
              </w:rPr>
              <w:t>2</w:t>
            </w:r>
            <w:r w:rsidRPr="00B275E2">
              <w:rPr>
                <w:szCs w:val="18"/>
              </w:rPr>
              <w:t>/unit (kg</w:t>
            </w:r>
            <w:r w:rsidR="0068073F" w:rsidRPr="00B275E2">
              <w:rPr>
                <w:szCs w:val="18"/>
              </w:rPr>
              <w:t> </w:t>
            </w:r>
            <w:r w:rsidRPr="00B275E2">
              <w:rPr>
                <w:szCs w:val="18"/>
              </w:rPr>
              <w:t>CO</w:t>
            </w:r>
            <w:r w:rsidRPr="00B275E2">
              <w:rPr>
                <w:szCs w:val="18"/>
                <w:vertAlign w:val="subscript"/>
              </w:rPr>
              <w:t>2</w:t>
            </w:r>
            <w:r w:rsidRPr="00B275E2">
              <w:rPr>
                <w:szCs w:val="18"/>
              </w:rPr>
              <w:noBreakHyphen/>
              <w:t>e)</w:t>
            </w:r>
          </w:p>
        </w:tc>
        <w:tc>
          <w:tcPr>
            <w:tcW w:w="1276" w:type="dxa"/>
            <w:shd w:val="clear" w:color="auto" w:fill="1B556B" w:themeFill="text2"/>
            <w:vAlign w:val="bottom"/>
          </w:tcPr>
          <w:p w14:paraId="212F5BFF" w14:textId="25C22C80" w:rsidR="00C153EE" w:rsidRPr="00B275E2" w:rsidRDefault="00C153EE" w:rsidP="00A51DCC">
            <w:pPr>
              <w:pStyle w:val="TableTextbold"/>
              <w:jc w:val="right"/>
            </w:pPr>
            <w:r w:rsidRPr="00B275E2">
              <w:rPr>
                <w:szCs w:val="18"/>
              </w:rPr>
              <w:t>kg CH</w:t>
            </w:r>
            <w:r w:rsidRPr="00B275E2">
              <w:rPr>
                <w:szCs w:val="18"/>
                <w:vertAlign w:val="subscript"/>
              </w:rPr>
              <w:t>4</w:t>
            </w:r>
            <w:r w:rsidRPr="00B275E2">
              <w:rPr>
                <w:szCs w:val="18"/>
              </w:rPr>
              <w:t>/unit (kg CO</w:t>
            </w:r>
            <w:r w:rsidRPr="00B275E2">
              <w:rPr>
                <w:szCs w:val="18"/>
                <w:vertAlign w:val="subscript"/>
              </w:rPr>
              <w:t>2</w:t>
            </w:r>
            <w:r w:rsidRPr="00B275E2">
              <w:rPr>
                <w:szCs w:val="18"/>
              </w:rPr>
              <w:noBreakHyphen/>
              <w:t>e)</w:t>
            </w:r>
          </w:p>
        </w:tc>
        <w:tc>
          <w:tcPr>
            <w:tcW w:w="1559" w:type="dxa"/>
            <w:shd w:val="clear" w:color="auto" w:fill="1B556B" w:themeFill="text2"/>
            <w:vAlign w:val="bottom"/>
          </w:tcPr>
          <w:p w14:paraId="4C486D8A" w14:textId="2531DF7A" w:rsidR="00C153EE" w:rsidRPr="00B275E2" w:rsidRDefault="00C153EE" w:rsidP="00A51DCC">
            <w:pPr>
              <w:pStyle w:val="TableTextbold"/>
              <w:jc w:val="right"/>
            </w:pPr>
            <w:r w:rsidRPr="00B275E2">
              <w:rPr>
                <w:szCs w:val="18"/>
              </w:rPr>
              <w:t>kg N</w:t>
            </w:r>
            <w:r w:rsidRPr="00B275E2">
              <w:rPr>
                <w:szCs w:val="18"/>
                <w:vertAlign w:val="subscript"/>
              </w:rPr>
              <w:t>2</w:t>
            </w:r>
            <w:r w:rsidRPr="00B275E2">
              <w:rPr>
                <w:szCs w:val="18"/>
              </w:rPr>
              <w:t>O/unit</w:t>
            </w:r>
            <w:r w:rsidRPr="00B275E2">
              <w:rPr>
                <w:szCs w:val="18"/>
              </w:rPr>
              <w:br/>
              <w:t>(kg CO</w:t>
            </w:r>
            <w:r w:rsidRPr="00B275E2">
              <w:rPr>
                <w:szCs w:val="18"/>
                <w:vertAlign w:val="subscript"/>
              </w:rPr>
              <w:t>2</w:t>
            </w:r>
            <w:r w:rsidRPr="00B275E2">
              <w:rPr>
                <w:szCs w:val="18"/>
              </w:rPr>
              <w:t>-e)</w:t>
            </w:r>
          </w:p>
        </w:tc>
      </w:tr>
      <w:tr w:rsidR="00C153EE" w:rsidRPr="00B275E2" w14:paraId="7FFE806A" w14:textId="119F16B6" w:rsidTr="00677799">
        <w:trPr>
          <w:trHeight w:val="369"/>
        </w:trPr>
        <w:tc>
          <w:tcPr>
            <w:tcW w:w="1126" w:type="dxa"/>
          </w:tcPr>
          <w:p w14:paraId="28B470A6" w14:textId="764AD2C8" w:rsidR="00C153EE" w:rsidRPr="00B275E2" w:rsidRDefault="00C153EE" w:rsidP="007F0B1E">
            <w:pPr>
              <w:pStyle w:val="TableText"/>
            </w:pPr>
            <w:r w:rsidRPr="00B275E2">
              <w:t>Diesel bus</w:t>
            </w:r>
          </w:p>
        </w:tc>
        <w:tc>
          <w:tcPr>
            <w:tcW w:w="1230" w:type="dxa"/>
          </w:tcPr>
          <w:p w14:paraId="2D52686C" w14:textId="3DA6B475" w:rsidR="00C153EE" w:rsidRPr="00B275E2" w:rsidRDefault="00C153EE" w:rsidP="007F0B1E">
            <w:pPr>
              <w:pStyle w:val="TableText"/>
            </w:pPr>
            <w:r w:rsidRPr="00B275E2">
              <w:t>≥ 12000 kg</w:t>
            </w:r>
          </w:p>
        </w:tc>
        <w:tc>
          <w:tcPr>
            <w:tcW w:w="621" w:type="dxa"/>
          </w:tcPr>
          <w:p w14:paraId="4D7CC216" w14:textId="23399B39" w:rsidR="00C153EE" w:rsidRPr="00B275E2" w:rsidRDefault="00C153EE" w:rsidP="007F0B1E">
            <w:pPr>
              <w:pStyle w:val="TableText"/>
            </w:pPr>
            <w:r w:rsidRPr="00B275E2">
              <w:t>km</w:t>
            </w:r>
          </w:p>
        </w:tc>
        <w:tc>
          <w:tcPr>
            <w:tcW w:w="1276" w:type="dxa"/>
            <w:shd w:val="clear" w:color="auto" w:fill="auto"/>
          </w:tcPr>
          <w:p w14:paraId="462EB170" w14:textId="4C248CA5" w:rsidR="00C153EE" w:rsidRPr="00B275E2" w:rsidRDefault="00C153EE" w:rsidP="00A51DCC">
            <w:pPr>
              <w:pStyle w:val="TableText"/>
              <w:jc w:val="right"/>
            </w:pPr>
            <w:r w:rsidRPr="00B275E2">
              <w:t>1.088</w:t>
            </w:r>
          </w:p>
        </w:tc>
        <w:tc>
          <w:tcPr>
            <w:tcW w:w="1417" w:type="dxa"/>
            <w:shd w:val="clear" w:color="auto" w:fill="auto"/>
          </w:tcPr>
          <w:p w14:paraId="085A01AA" w14:textId="5565EDA4" w:rsidR="00C153EE" w:rsidRPr="00B275E2" w:rsidRDefault="00C153EE" w:rsidP="00A51DCC">
            <w:pPr>
              <w:pStyle w:val="TableText"/>
              <w:jc w:val="right"/>
              <w:rPr>
                <w:highlight w:val="yellow"/>
              </w:rPr>
            </w:pPr>
            <w:r w:rsidRPr="00B275E2">
              <w:t>1.070</w:t>
            </w:r>
          </w:p>
        </w:tc>
        <w:tc>
          <w:tcPr>
            <w:tcW w:w="1276" w:type="dxa"/>
          </w:tcPr>
          <w:p w14:paraId="79A8C5A7" w14:textId="586F2BB9" w:rsidR="00C153EE" w:rsidRPr="00B275E2" w:rsidRDefault="00C153EE" w:rsidP="00A51DCC">
            <w:pPr>
              <w:pStyle w:val="TableText"/>
              <w:jc w:val="right"/>
            </w:pPr>
            <w:r w:rsidRPr="00B275E2">
              <w:t>0.001</w:t>
            </w:r>
          </w:p>
        </w:tc>
        <w:tc>
          <w:tcPr>
            <w:tcW w:w="1559" w:type="dxa"/>
          </w:tcPr>
          <w:p w14:paraId="1F36F3D9" w14:textId="2B46FF6E" w:rsidR="00C153EE" w:rsidRPr="00B275E2" w:rsidRDefault="00C153EE" w:rsidP="00A51DCC">
            <w:pPr>
              <w:pStyle w:val="TableText"/>
              <w:jc w:val="right"/>
            </w:pPr>
            <w:r w:rsidRPr="00B275E2">
              <w:t>0.017</w:t>
            </w:r>
          </w:p>
        </w:tc>
      </w:tr>
    </w:tbl>
    <w:p w14:paraId="6AD0929D" w14:textId="2D5CF5ED" w:rsidR="00956E28" w:rsidRPr="00B275E2" w:rsidRDefault="00956E28" w:rsidP="002234D0">
      <w:pPr>
        <w:pStyle w:val="Heading3"/>
      </w:pPr>
      <w:r w:rsidRPr="00B275E2">
        <w:lastRenderedPageBreak/>
        <w:t>Wellington buses</w:t>
      </w:r>
    </w:p>
    <w:p w14:paraId="0BA52432" w14:textId="70402249" w:rsidR="00113725" w:rsidRPr="00B275E2" w:rsidRDefault="00113725" w:rsidP="000E405C">
      <w:pPr>
        <w:pStyle w:val="BodyText"/>
        <w:spacing w:before="100" w:after="100"/>
      </w:pPr>
      <w:bookmarkStart w:id="376" w:name="_Ref53067126"/>
      <w:r w:rsidRPr="00B275E2">
        <w:t>To calculate</w:t>
      </w:r>
      <w:r w:rsidR="001135F3" w:rsidRPr="00B275E2">
        <w:t xml:space="preserve"> the emissions from </w:t>
      </w:r>
      <w:r w:rsidR="001C24AA" w:rsidRPr="00B275E2">
        <w:t>W</w:t>
      </w:r>
      <w:r w:rsidR="001135F3" w:rsidRPr="00B275E2">
        <w:t>ellington buses we used the most recent data</w:t>
      </w:r>
      <w:r w:rsidR="00690D31" w:rsidRPr="00B275E2">
        <w:t xml:space="preserve"> available</w:t>
      </w:r>
      <w:r w:rsidR="001135F3" w:rsidRPr="00B275E2">
        <w:t xml:space="preserve"> </w:t>
      </w:r>
      <w:r w:rsidR="001135F3" w:rsidRPr="00B275E2">
        <w:rPr>
          <w:spacing w:val="-2"/>
        </w:rPr>
        <w:t>which was from the year 20</w:t>
      </w:r>
      <w:r w:rsidR="00DF4B5B" w:rsidRPr="00B275E2">
        <w:rPr>
          <w:spacing w:val="-2"/>
        </w:rPr>
        <w:t>20</w:t>
      </w:r>
      <w:r w:rsidR="001135F3" w:rsidRPr="00B275E2">
        <w:rPr>
          <w:spacing w:val="-2"/>
        </w:rPr>
        <w:t xml:space="preserve">. </w:t>
      </w:r>
      <w:r w:rsidR="00BD0B13" w:rsidRPr="00B275E2">
        <w:rPr>
          <w:spacing w:val="-2"/>
        </w:rPr>
        <w:t xml:space="preserve">This information was from Greater </w:t>
      </w:r>
      <w:r w:rsidR="00690D31" w:rsidRPr="00B275E2">
        <w:rPr>
          <w:spacing w:val="-2"/>
        </w:rPr>
        <w:t>W</w:t>
      </w:r>
      <w:r w:rsidR="00BD0B13" w:rsidRPr="00B275E2">
        <w:rPr>
          <w:spacing w:val="-2"/>
        </w:rPr>
        <w:t xml:space="preserve">ellington </w:t>
      </w:r>
      <w:r w:rsidR="005B02EA" w:rsidRPr="00B275E2">
        <w:rPr>
          <w:spacing w:val="-2"/>
        </w:rPr>
        <w:t>Regional Council</w:t>
      </w:r>
      <w:r w:rsidR="00BD0B13" w:rsidRPr="00B275E2">
        <w:rPr>
          <w:spacing w:val="-2"/>
        </w:rPr>
        <w:t xml:space="preserve">. </w:t>
      </w:r>
      <w:r w:rsidR="00C7384F">
        <w:rPr>
          <w:spacing w:val="-2"/>
        </w:rPr>
        <w:t>Data for electric buses is in table 3</w:t>
      </w:r>
      <w:r w:rsidR="005A197B">
        <w:rPr>
          <w:spacing w:val="-2"/>
        </w:rPr>
        <w:t xml:space="preserve">1 </w:t>
      </w:r>
      <w:r w:rsidR="00C7384F">
        <w:rPr>
          <w:spacing w:val="-2"/>
        </w:rPr>
        <w:t>and data for diesel buses is in table 3</w:t>
      </w:r>
      <w:r w:rsidR="005A197B">
        <w:rPr>
          <w:spacing w:val="-2"/>
        </w:rPr>
        <w:t>2</w:t>
      </w:r>
      <w:r w:rsidR="00C7384F">
        <w:rPr>
          <w:spacing w:val="-2"/>
        </w:rPr>
        <w:t>.</w:t>
      </w:r>
    </w:p>
    <w:p w14:paraId="65B2E6E9" w14:textId="7240A899" w:rsidR="00690D31" w:rsidRPr="00B275E2" w:rsidRDefault="00FB51DA" w:rsidP="00733AE4">
      <w:pPr>
        <w:pStyle w:val="Tableheading"/>
      </w:pPr>
      <w:bookmarkStart w:id="377" w:name="_Ref53067547"/>
      <w:bookmarkStart w:id="378" w:name="_Toc111536636"/>
      <w:r w:rsidRPr="00B275E2">
        <w:t xml:space="preserve">Table </w:t>
      </w:r>
      <w:r w:rsidRPr="00B275E2">
        <w:fldChar w:fldCharType="begin"/>
      </w:r>
      <w:r w:rsidRPr="00B275E2">
        <w:instrText>SEQ Table \* ARABIC</w:instrText>
      </w:r>
      <w:r w:rsidRPr="00B275E2">
        <w:fldChar w:fldCharType="separate"/>
      </w:r>
      <w:r w:rsidR="003E141C" w:rsidRPr="00B275E2">
        <w:t>31</w:t>
      </w:r>
      <w:r w:rsidRPr="00B275E2">
        <w:fldChar w:fldCharType="end"/>
      </w:r>
      <w:bookmarkEnd w:id="376"/>
      <w:bookmarkEnd w:id="377"/>
      <w:r w:rsidRPr="00B275E2">
        <w:t>:</w:t>
      </w:r>
      <w:r w:rsidR="009B2935" w:rsidRPr="00B275E2">
        <w:tab/>
      </w:r>
      <w:r w:rsidR="00705B8D" w:rsidRPr="00B275E2">
        <w:t>Greater Wellington Regional Council</w:t>
      </w:r>
      <w:r w:rsidR="00705B8D" w:rsidRPr="00B275E2" w:rsidDel="004132ED">
        <w:t xml:space="preserve"> </w:t>
      </w:r>
      <w:r w:rsidR="00DF4B5B" w:rsidRPr="00B275E2">
        <w:t xml:space="preserve">2020 </w:t>
      </w:r>
      <w:r w:rsidRPr="00B275E2">
        <w:t>data for electric buses</w:t>
      </w:r>
      <w:bookmarkEnd w:id="378"/>
    </w:p>
    <w:tbl>
      <w:tblPr>
        <w:tblStyle w:val="TableGrid"/>
        <w:tblW w:w="8505"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2127"/>
        <w:gridCol w:w="1559"/>
        <w:gridCol w:w="2268"/>
        <w:gridCol w:w="1417"/>
        <w:gridCol w:w="1134"/>
      </w:tblGrid>
      <w:tr w:rsidR="00412047" w:rsidRPr="00B275E2" w14:paraId="73CFB1D8" w14:textId="77777777" w:rsidTr="00C56EFF">
        <w:tc>
          <w:tcPr>
            <w:tcW w:w="2127" w:type="dxa"/>
            <w:shd w:val="clear" w:color="auto" w:fill="1B556B"/>
            <w:vAlign w:val="bottom"/>
          </w:tcPr>
          <w:p w14:paraId="33B449B3" w14:textId="658AB1B7" w:rsidR="00234F92" w:rsidRPr="00B275E2" w:rsidRDefault="00234F92" w:rsidP="000E405C">
            <w:pPr>
              <w:pStyle w:val="TableText"/>
              <w:spacing w:before="40" w:after="40"/>
              <w:rPr>
                <w:b/>
                <w:color w:val="FFFFFF" w:themeColor="background1"/>
              </w:rPr>
            </w:pPr>
            <w:r w:rsidRPr="00B275E2">
              <w:rPr>
                <w:b/>
                <w:color w:val="FFFFFF" w:themeColor="background1"/>
              </w:rPr>
              <w:t xml:space="preserve">Wellington </w:t>
            </w:r>
            <w:r w:rsidR="00705B8D" w:rsidRPr="00B275E2">
              <w:rPr>
                <w:b/>
                <w:color w:val="FFFFFF" w:themeColor="background1"/>
              </w:rPr>
              <w:t>e</w:t>
            </w:r>
            <w:r w:rsidRPr="00B275E2">
              <w:rPr>
                <w:b/>
                <w:color w:val="FFFFFF" w:themeColor="background1"/>
              </w:rPr>
              <w:t>lectric Buses</w:t>
            </w:r>
          </w:p>
        </w:tc>
        <w:tc>
          <w:tcPr>
            <w:tcW w:w="1559" w:type="dxa"/>
            <w:shd w:val="clear" w:color="auto" w:fill="1B556B"/>
            <w:vAlign w:val="bottom"/>
          </w:tcPr>
          <w:p w14:paraId="267C21D5" w14:textId="06FED669" w:rsidR="00234F92" w:rsidRPr="00B275E2" w:rsidRDefault="00234F92" w:rsidP="000E405C">
            <w:pPr>
              <w:pStyle w:val="TableText"/>
              <w:spacing w:before="40" w:after="40"/>
              <w:rPr>
                <w:b/>
                <w:color w:val="FFFFFF" w:themeColor="background1"/>
              </w:rPr>
            </w:pPr>
            <w:r w:rsidRPr="00B275E2">
              <w:rPr>
                <w:b/>
                <w:color w:val="FFFFFF" w:themeColor="background1"/>
              </w:rPr>
              <w:t>Distance (km)</w:t>
            </w:r>
          </w:p>
        </w:tc>
        <w:tc>
          <w:tcPr>
            <w:tcW w:w="2268" w:type="dxa"/>
            <w:shd w:val="clear" w:color="auto" w:fill="1B556B"/>
            <w:vAlign w:val="bottom"/>
          </w:tcPr>
          <w:p w14:paraId="032ABF00" w14:textId="14D09499" w:rsidR="00234F92" w:rsidRPr="00B275E2" w:rsidRDefault="00234F92" w:rsidP="000E405C">
            <w:pPr>
              <w:pStyle w:val="TableText"/>
              <w:spacing w:before="40" w:after="40"/>
              <w:rPr>
                <w:b/>
                <w:color w:val="FFFFFF" w:themeColor="background1"/>
              </w:rPr>
            </w:pPr>
            <w:r w:rsidRPr="00B275E2">
              <w:rPr>
                <w:b/>
                <w:color w:val="FFFFFF" w:themeColor="background1"/>
              </w:rPr>
              <w:t xml:space="preserve">Electric bus </w:t>
            </w:r>
            <w:r w:rsidR="00705B8D" w:rsidRPr="00B275E2">
              <w:rPr>
                <w:b/>
                <w:color w:val="FFFFFF" w:themeColor="background1"/>
              </w:rPr>
              <w:t xml:space="preserve">average </w:t>
            </w:r>
            <w:r w:rsidRPr="00B275E2">
              <w:rPr>
                <w:b/>
                <w:color w:val="FFFFFF" w:themeColor="background1"/>
              </w:rPr>
              <w:t>power (kWh/km)</w:t>
            </w:r>
          </w:p>
        </w:tc>
        <w:tc>
          <w:tcPr>
            <w:tcW w:w="1417" w:type="dxa"/>
            <w:shd w:val="clear" w:color="auto" w:fill="1B556B"/>
            <w:vAlign w:val="bottom"/>
          </w:tcPr>
          <w:p w14:paraId="19EE1594" w14:textId="1DB0A40E" w:rsidR="00234F92" w:rsidRPr="00B275E2" w:rsidRDefault="00234F92" w:rsidP="000E405C">
            <w:pPr>
              <w:pStyle w:val="TableText"/>
              <w:spacing w:before="40" w:after="40"/>
              <w:rPr>
                <w:b/>
                <w:color w:val="FFFFFF" w:themeColor="background1"/>
              </w:rPr>
            </w:pPr>
            <w:r w:rsidRPr="00B275E2">
              <w:rPr>
                <w:b/>
                <w:color w:val="FFFFFF" w:themeColor="background1"/>
              </w:rPr>
              <w:t>Electricity consumption</w:t>
            </w:r>
          </w:p>
        </w:tc>
        <w:tc>
          <w:tcPr>
            <w:tcW w:w="1134" w:type="dxa"/>
            <w:shd w:val="clear" w:color="auto" w:fill="1B556B"/>
            <w:vAlign w:val="bottom"/>
          </w:tcPr>
          <w:p w14:paraId="5DBE998B" w14:textId="463F0402" w:rsidR="00234F92" w:rsidRPr="00B275E2" w:rsidRDefault="0059494E" w:rsidP="000E405C">
            <w:pPr>
              <w:pStyle w:val="TableText"/>
              <w:spacing w:before="40" w:after="40"/>
              <w:rPr>
                <w:b/>
                <w:color w:val="FFFFFF" w:themeColor="background1"/>
              </w:rPr>
            </w:pPr>
            <w:r w:rsidRPr="00B275E2">
              <w:rPr>
                <w:b/>
                <w:color w:val="FFFFFF" w:themeColor="background1"/>
              </w:rPr>
              <w:t>pkm</w:t>
            </w:r>
          </w:p>
        </w:tc>
      </w:tr>
      <w:tr w:rsidR="00234F92" w:rsidRPr="00B275E2" w14:paraId="636F9D31" w14:textId="77777777" w:rsidTr="00C56EFF">
        <w:tc>
          <w:tcPr>
            <w:tcW w:w="2127" w:type="dxa"/>
          </w:tcPr>
          <w:p w14:paraId="01E6A262" w14:textId="20E16044" w:rsidR="00234F92" w:rsidRPr="00B275E2" w:rsidRDefault="00DD500E" w:rsidP="000E405C">
            <w:pPr>
              <w:pStyle w:val="TableText"/>
              <w:spacing w:before="40" w:after="40"/>
            </w:pPr>
            <w:r w:rsidRPr="00B275E2">
              <w:t xml:space="preserve">Double </w:t>
            </w:r>
            <w:r w:rsidR="00705B8D" w:rsidRPr="00B275E2">
              <w:t>d</w:t>
            </w:r>
            <w:r w:rsidRPr="00B275E2">
              <w:t>ecker</w:t>
            </w:r>
          </w:p>
        </w:tc>
        <w:tc>
          <w:tcPr>
            <w:tcW w:w="1559" w:type="dxa"/>
          </w:tcPr>
          <w:p w14:paraId="07F04745" w14:textId="5B829BEB" w:rsidR="00234F92" w:rsidRPr="00B275E2" w:rsidRDefault="00DD500E" w:rsidP="000E405C">
            <w:pPr>
              <w:pStyle w:val="TableText"/>
              <w:spacing w:before="40" w:after="40"/>
            </w:pPr>
            <w:r w:rsidRPr="00B275E2">
              <w:t>431,928</w:t>
            </w:r>
          </w:p>
        </w:tc>
        <w:tc>
          <w:tcPr>
            <w:tcW w:w="2268" w:type="dxa"/>
          </w:tcPr>
          <w:p w14:paraId="27EAE85A" w14:textId="00BDC280" w:rsidR="00234F92" w:rsidRPr="00B275E2" w:rsidRDefault="00234F92" w:rsidP="000E405C">
            <w:pPr>
              <w:pStyle w:val="TableText"/>
              <w:spacing w:before="40" w:after="40"/>
            </w:pPr>
            <w:r w:rsidRPr="00B275E2">
              <w:t>1.3</w:t>
            </w:r>
          </w:p>
        </w:tc>
        <w:tc>
          <w:tcPr>
            <w:tcW w:w="1417" w:type="dxa"/>
            <w:shd w:val="clear" w:color="auto" w:fill="auto"/>
          </w:tcPr>
          <w:p w14:paraId="79E09DB3" w14:textId="3CA45DBD" w:rsidR="00234F92" w:rsidRPr="00BC40AD" w:rsidRDefault="00DD500E" w:rsidP="000E405C">
            <w:pPr>
              <w:pStyle w:val="TableText"/>
              <w:spacing w:before="40" w:after="40"/>
              <w:rPr>
                <w:bCs/>
              </w:rPr>
            </w:pPr>
            <w:r w:rsidRPr="00BC40AD">
              <w:rPr>
                <w:bCs/>
              </w:rPr>
              <w:t>561,506</w:t>
            </w:r>
          </w:p>
        </w:tc>
        <w:tc>
          <w:tcPr>
            <w:tcW w:w="1134" w:type="dxa"/>
            <w:shd w:val="clear" w:color="auto" w:fill="auto"/>
          </w:tcPr>
          <w:p w14:paraId="390EC4E4" w14:textId="08ACED8F" w:rsidR="00234F92" w:rsidRPr="00B275E2" w:rsidRDefault="00DD500E" w:rsidP="000E405C">
            <w:pPr>
              <w:pStyle w:val="TableText"/>
              <w:spacing w:before="40" w:after="40"/>
              <w:rPr>
                <w:rFonts w:cs="Calibri"/>
                <w:szCs w:val="18"/>
                <w:highlight w:val="yellow"/>
              </w:rPr>
            </w:pPr>
            <w:r w:rsidRPr="00B275E2">
              <w:rPr>
                <w:rFonts w:cs="Calibri"/>
                <w:szCs w:val="18"/>
              </w:rPr>
              <w:t xml:space="preserve">4,630,752 </w:t>
            </w:r>
          </w:p>
        </w:tc>
      </w:tr>
      <w:tr w:rsidR="00DD500E" w:rsidRPr="00B275E2" w14:paraId="7AC37B4E" w14:textId="77777777" w:rsidTr="00C56EFF">
        <w:tc>
          <w:tcPr>
            <w:tcW w:w="2127" w:type="dxa"/>
          </w:tcPr>
          <w:p w14:paraId="3B3A0A7C" w14:textId="0136CA67" w:rsidR="00DD500E" w:rsidRPr="00B275E2" w:rsidRDefault="00DD500E" w:rsidP="000E405C">
            <w:pPr>
              <w:pStyle w:val="TableText"/>
              <w:spacing w:before="40" w:after="40"/>
            </w:pPr>
            <w:r w:rsidRPr="00B275E2">
              <w:t xml:space="preserve">Single </w:t>
            </w:r>
            <w:r w:rsidR="00705B8D" w:rsidRPr="00B275E2">
              <w:t>d</w:t>
            </w:r>
            <w:r w:rsidRPr="00B275E2">
              <w:t>ecker</w:t>
            </w:r>
          </w:p>
        </w:tc>
        <w:tc>
          <w:tcPr>
            <w:tcW w:w="1559" w:type="dxa"/>
          </w:tcPr>
          <w:p w14:paraId="3CB1049A" w14:textId="5F0105C9" w:rsidR="00DD500E" w:rsidRPr="00B275E2" w:rsidRDefault="00DD500E" w:rsidP="000E405C">
            <w:pPr>
              <w:pStyle w:val="TableText"/>
              <w:spacing w:before="40" w:after="40"/>
            </w:pPr>
            <w:r w:rsidRPr="00B275E2">
              <w:t>12,143</w:t>
            </w:r>
          </w:p>
        </w:tc>
        <w:tc>
          <w:tcPr>
            <w:tcW w:w="2268" w:type="dxa"/>
          </w:tcPr>
          <w:p w14:paraId="6E0A49BB" w14:textId="117E6677" w:rsidR="00DD500E" w:rsidRPr="00B275E2" w:rsidRDefault="00DD500E" w:rsidP="000E405C">
            <w:pPr>
              <w:pStyle w:val="TableText"/>
              <w:spacing w:before="40" w:after="40"/>
            </w:pPr>
            <w:r w:rsidRPr="00B275E2">
              <w:t>1.06</w:t>
            </w:r>
          </w:p>
        </w:tc>
        <w:tc>
          <w:tcPr>
            <w:tcW w:w="1417" w:type="dxa"/>
            <w:shd w:val="clear" w:color="auto" w:fill="auto"/>
          </w:tcPr>
          <w:p w14:paraId="1BBB7735" w14:textId="05418219" w:rsidR="00DD500E" w:rsidRPr="00BC40AD" w:rsidRDefault="00DD500E" w:rsidP="000E405C">
            <w:pPr>
              <w:pStyle w:val="TableText"/>
              <w:spacing w:before="40" w:after="40"/>
              <w:rPr>
                <w:bCs/>
              </w:rPr>
            </w:pPr>
            <w:r w:rsidRPr="00BC40AD">
              <w:rPr>
                <w:bCs/>
              </w:rPr>
              <w:t>12,872</w:t>
            </w:r>
          </w:p>
        </w:tc>
        <w:tc>
          <w:tcPr>
            <w:tcW w:w="1134" w:type="dxa"/>
            <w:shd w:val="clear" w:color="auto" w:fill="auto"/>
          </w:tcPr>
          <w:p w14:paraId="01D8F1DE" w14:textId="46B876E0" w:rsidR="00DD500E" w:rsidRPr="00B275E2" w:rsidRDefault="00DD500E" w:rsidP="000E405C">
            <w:pPr>
              <w:pStyle w:val="TableText"/>
              <w:spacing w:before="40" w:after="40"/>
              <w:rPr>
                <w:rFonts w:cs="Calibri"/>
                <w:szCs w:val="18"/>
              </w:rPr>
            </w:pPr>
            <w:r w:rsidRPr="00B275E2">
              <w:rPr>
                <w:rFonts w:cs="Calibri"/>
                <w:szCs w:val="18"/>
              </w:rPr>
              <w:t>67,610</w:t>
            </w:r>
          </w:p>
        </w:tc>
      </w:tr>
    </w:tbl>
    <w:p w14:paraId="1CBFFCDA" w14:textId="422BD199" w:rsidR="00BD0B13" w:rsidRPr="00B275E2" w:rsidRDefault="00357F0D" w:rsidP="00C56EFF">
      <w:pPr>
        <w:pStyle w:val="Tableheading"/>
        <w:spacing w:before="240"/>
      </w:pPr>
      <w:bookmarkStart w:id="379" w:name="_Ref53067564"/>
      <w:bookmarkStart w:id="380" w:name="_Toc111536637"/>
      <w:r w:rsidRPr="00B275E2">
        <w:t xml:space="preserve">Table </w:t>
      </w:r>
      <w:r w:rsidRPr="00B275E2">
        <w:fldChar w:fldCharType="begin"/>
      </w:r>
      <w:r w:rsidRPr="00B275E2">
        <w:instrText>SEQ Table \* ARABIC</w:instrText>
      </w:r>
      <w:r w:rsidRPr="00B275E2">
        <w:fldChar w:fldCharType="separate"/>
      </w:r>
      <w:r w:rsidR="003E141C" w:rsidRPr="00B275E2">
        <w:t>32</w:t>
      </w:r>
      <w:r w:rsidRPr="00B275E2">
        <w:fldChar w:fldCharType="end"/>
      </w:r>
      <w:bookmarkEnd w:id="379"/>
      <w:r w:rsidRPr="00B275E2">
        <w:t>:</w:t>
      </w:r>
      <w:r w:rsidR="009B2935" w:rsidRPr="00B275E2">
        <w:tab/>
      </w:r>
      <w:r w:rsidR="004132ED" w:rsidRPr="00B275E2">
        <w:t>Greater Wellington Regional Council</w:t>
      </w:r>
      <w:r w:rsidR="004132ED" w:rsidRPr="00B275E2" w:rsidDel="004132ED">
        <w:t xml:space="preserve"> </w:t>
      </w:r>
      <w:r w:rsidR="00DD500E" w:rsidRPr="00B275E2">
        <w:t xml:space="preserve">2020 </w:t>
      </w:r>
      <w:r w:rsidRPr="00B275E2">
        <w:t>data for diesel buses</w:t>
      </w:r>
      <w:bookmarkEnd w:id="380"/>
    </w:p>
    <w:tbl>
      <w:tblPr>
        <w:tblStyle w:val="TableGrid"/>
        <w:tblW w:w="8505"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3261"/>
        <w:gridCol w:w="2409"/>
        <w:gridCol w:w="2835"/>
      </w:tblGrid>
      <w:tr w:rsidR="00412047" w:rsidRPr="00B275E2" w14:paraId="73D17A39" w14:textId="77777777" w:rsidTr="00C56EFF">
        <w:tc>
          <w:tcPr>
            <w:tcW w:w="3261" w:type="dxa"/>
            <w:shd w:val="clear" w:color="auto" w:fill="1C556C" w:themeFill="accent1"/>
          </w:tcPr>
          <w:p w14:paraId="4FAFD404" w14:textId="112B0CD5" w:rsidR="00A3409D" w:rsidRPr="00B275E2" w:rsidRDefault="00A3409D" w:rsidP="007F0B1E">
            <w:pPr>
              <w:pStyle w:val="TableTextbold"/>
              <w:spacing w:before="40" w:after="40"/>
            </w:pPr>
            <w:r w:rsidRPr="00B275E2">
              <w:t xml:space="preserve">Wellington </w:t>
            </w:r>
            <w:r w:rsidR="00705B8D" w:rsidRPr="00B275E2">
              <w:t>d</w:t>
            </w:r>
            <w:r w:rsidRPr="00B275E2">
              <w:t xml:space="preserve">iesel </w:t>
            </w:r>
            <w:r w:rsidR="00705B8D" w:rsidRPr="00B275E2">
              <w:t>b</w:t>
            </w:r>
            <w:r w:rsidRPr="00B275E2">
              <w:t>uses</w:t>
            </w:r>
          </w:p>
        </w:tc>
        <w:tc>
          <w:tcPr>
            <w:tcW w:w="2409" w:type="dxa"/>
            <w:shd w:val="clear" w:color="auto" w:fill="1C556C" w:themeFill="accent1"/>
          </w:tcPr>
          <w:p w14:paraId="2765751F" w14:textId="3F5D40BD" w:rsidR="00A3409D" w:rsidRPr="00B275E2" w:rsidRDefault="00A3409D" w:rsidP="007F0B1E">
            <w:pPr>
              <w:pStyle w:val="TableTextbold"/>
              <w:spacing w:before="40" w:after="40"/>
            </w:pPr>
            <w:r w:rsidRPr="00B275E2">
              <w:t>Fuel consumption</w:t>
            </w:r>
            <w:r w:rsidR="005A030A" w:rsidRPr="00B275E2">
              <w:t xml:space="preserve"> (litres)</w:t>
            </w:r>
          </w:p>
        </w:tc>
        <w:tc>
          <w:tcPr>
            <w:tcW w:w="2835" w:type="dxa"/>
            <w:shd w:val="clear" w:color="auto" w:fill="1C556C" w:themeFill="accent1"/>
          </w:tcPr>
          <w:p w14:paraId="7A4AEDAA" w14:textId="38C50A5E" w:rsidR="00A3409D" w:rsidRPr="00B275E2" w:rsidRDefault="0059494E" w:rsidP="007F0B1E">
            <w:pPr>
              <w:pStyle w:val="TableTextbold"/>
              <w:spacing w:before="40" w:after="40"/>
            </w:pPr>
            <w:r w:rsidRPr="00B275E2">
              <w:t>pkm</w:t>
            </w:r>
          </w:p>
        </w:tc>
      </w:tr>
      <w:tr w:rsidR="00A3409D" w:rsidRPr="00B275E2" w14:paraId="5CD52BCA" w14:textId="77777777" w:rsidTr="00C56EFF">
        <w:tc>
          <w:tcPr>
            <w:tcW w:w="3261" w:type="dxa"/>
          </w:tcPr>
          <w:p w14:paraId="464AE527" w14:textId="3B980A11" w:rsidR="00A3409D" w:rsidRPr="00B275E2" w:rsidRDefault="00DD500E" w:rsidP="007F0B1E">
            <w:pPr>
              <w:pStyle w:val="TableText"/>
              <w:spacing w:before="40" w:after="40"/>
            </w:pPr>
            <w:r w:rsidRPr="00B275E2">
              <w:t xml:space="preserve">Diesel </w:t>
            </w:r>
            <w:r w:rsidR="00705B8D" w:rsidRPr="00B275E2">
              <w:t>b</w:t>
            </w:r>
            <w:r w:rsidRPr="00B275E2">
              <w:t>uses</w:t>
            </w:r>
          </w:p>
        </w:tc>
        <w:tc>
          <w:tcPr>
            <w:tcW w:w="2409" w:type="dxa"/>
          </w:tcPr>
          <w:p w14:paraId="4245DA2A" w14:textId="7564D5C6" w:rsidR="00A3409D" w:rsidRPr="00B275E2" w:rsidRDefault="00DD500E" w:rsidP="007F0B1E">
            <w:pPr>
              <w:pStyle w:val="TableText"/>
              <w:spacing w:before="40" w:after="40"/>
            </w:pPr>
            <w:r w:rsidRPr="00B275E2">
              <w:t xml:space="preserve">5,601,529 </w:t>
            </w:r>
          </w:p>
        </w:tc>
        <w:tc>
          <w:tcPr>
            <w:tcW w:w="2835" w:type="dxa"/>
          </w:tcPr>
          <w:p w14:paraId="0CCF64AA" w14:textId="556A3B69" w:rsidR="00A3409D" w:rsidRPr="00B275E2" w:rsidRDefault="00DD500E" w:rsidP="007F0B1E">
            <w:pPr>
              <w:pStyle w:val="TableText"/>
              <w:spacing w:before="40" w:after="40"/>
            </w:pPr>
            <w:r w:rsidRPr="00B275E2">
              <w:t xml:space="preserve">102,013,687 </w:t>
            </w:r>
          </w:p>
        </w:tc>
      </w:tr>
    </w:tbl>
    <w:p w14:paraId="3A99200D" w14:textId="45A2376C" w:rsidR="00D8290F" w:rsidRPr="00B275E2" w:rsidRDefault="005A030A" w:rsidP="000E405C">
      <w:pPr>
        <w:pStyle w:val="BodyText"/>
        <w:spacing w:before="240" w:after="100"/>
      </w:pPr>
      <w:r w:rsidRPr="00B275E2">
        <w:t xml:space="preserve">The energy consumption was </w:t>
      </w:r>
      <w:r w:rsidR="00D40914" w:rsidRPr="00B275E2">
        <w:t>multiplied by its respective emission facto</w:t>
      </w:r>
      <w:r w:rsidR="0059494E" w:rsidRPr="00B275E2">
        <w:t>rs and divided by the p</w:t>
      </w:r>
      <w:r w:rsidR="00D40914" w:rsidRPr="00B275E2">
        <w:t>km to provide the emission factor.</w:t>
      </w:r>
      <w:r w:rsidR="00DD500E" w:rsidRPr="00B275E2">
        <w:t xml:space="preserve"> This was calculated using 2018 electricity data.</w:t>
      </w:r>
    </w:p>
    <w:p w14:paraId="02F4433E" w14:textId="7200E523" w:rsidR="00D40914" w:rsidRPr="00B275E2" w:rsidRDefault="00D40914" w:rsidP="000E405C">
      <w:pPr>
        <w:pStyle w:val="BodyText"/>
        <w:spacing w:after="100"/>
      </w:pPr>
      <w:r w:rsidRPr="00B275E2">
        <w:t xml:space="preserve">The </w:t>
      </w:r>
      <w:r w:rsidR="004B3A05" w:rsidRPr="00B275E2">
        <w:t xml:space="preserve">average for Wellington was calculated by adding the total </w:t>
      </w:r>
      <w:r w:rsidR="0059494E" w:rsidRPr="00B275E2">
        <w:t>pkm</w:t>
      </w:r>
      <w:r w:rsidR="004B3A05" w:rsidRPr="00B275E2">
        <w:t xml:space="preserve"> and the total </w:t>
      </w:r>
      <w:r w:rsidR="00831325" w:rsidRPr="00B275E2">
        <w:t>GHGs</w:t>
      </w:r>
      <w:r w:rsidR="00D8290F" w:rsidRPr="00B275E2">
        <w:t xml:space="preserve">. </w:t>
      </w:r>
    </w:p>
    <w:p w14:paraId="62968AE9" w14:textId="4039FD5E" w:rsidR="00D8290F" w:rsidRPr="00B275E2" w:rsidRDefault="00D8290F" w:rsidP="002234D0">
      <w:pPr>
        <w:pStyle w:val="Heading3"/>
      </w:pPr>
      <w:r w:rsidRPr="00B275E2">
        <w:t>Wellington trains data</w:t>
      </w:r>
    </w:p>
    <w:p w14:paraId="0BB9DD69" w14:textId="1F5BF302" w:rsidR="00BE65D9" w:rsidRPr="00B275E2" w:rsidRDefault="00DD500E" w:rsidP="007F0B1E">
      <w:pPr>
        <w:pStyle w:val="BodyText"/>
      </w:pPr>
      <w:r w:rsidRPr="00B275E2">
        <w:t xml:space="preserve">To calculate the emissions from Wellington trains we used </w:t>
      </w:r>
      <w:r w:rsidR="00897886" w:rsidRPr="00B275E2">
        <w:t>the most recent data available which was from the year 2020. The energy consumption data in table 3</w:t>
      </w:r>
      <w:r w:rsidR="005218C6" w:rsidRPr="00B275E2">
        <w:t>3</w:t>
      </w:r>
      <w:r w:rsidR="00897886" w:rsidRPr="00B275E2">
        <w:t xml:space="preserve"> is from KiwiRail and the passenger kilometres</w:t>
      </w:r>
      <w:r w:rsidR="00865925" w:rsidRPr="00B275E2">
        <w:t xml:space="preserve"> data is from Metlink. </w:t>
      </w:r>
    </w:p>
    <w:p w14:paraId="24612CEE" w14:textId="127DF2B6" w:rsidR="00C6618E" w:rsidRPr="00B275E2" w:rsidRDefault="00C6618E" w:rsidP="00C56EFF">
      <w:pPr>
        <w:pStyle w:val="Tableheading"/>
      </w:pPr>
      <w:bookmarkStart w:id="381" w:name="_Ref53068085"/>
      <w:bookmarkStart w:id="382" w:name="_Toc111536638"/>
      <w:r w:rsidRPr="00B275E2">
        <w:t xml:space="preserve">Table </w:t>
      </w:r>
      <w:r w:rsidRPr="00B275E2">
        <w:fldChar w:fldCharType="begin"/>
      </w:r>
      <w:r w:rsidRPr="00B275E2">
        <w:instrText>SEQ Table \* ARABIC</w:instrText>
      </w:r>
      <w:r w:rsidRPr="00B275E2">
        <w:fldChar w:fldCharType="separate"/>
      </w:r>
      <w:r w:rsidR="003E141C" w:rsidRPr="00B275E2">
        <w:t>33</w:t>
      </w:r>
      <w:r w:rsidRPr="00B275E2">
        <w:fldChar w:fldCharType="end"/>
      </w:r>
      <w:bookmarkEnd w:id="381"/>
      <w:r w:rsidRPr="00B275E2">
        <w:t>:</w:t>
      </w:r>
      <w:r w:rsidR="009B2935" w:rsidRPr="00B275E2">
        <w:tab/>
      </w:r>
      <w:r w:rsidR="00C66C7C" w:rsidRPr="00B275E2">
        <w:t>T</w:t>
      </w:r>
      <w:r w:rsidRPr="00B275E2">
        <w:t>rain data</w:t>
      </w:r>
      <w:bookmarkEnd w:id="382"/>
    </w:p>
    <w:tbl>
      <w:tblPr>
        <w:tblStyle w:val="TableGrid"/>
        <w:tblW w:w="8505"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2258"/>
        <w:gridCol w:w="1002"/>
        <w:gridCol w:w="2409"/>
        <w:gridCol w:w="2836"/>
      </w:tblGrid>
      <w:tr w:rsidR="00412047" w:rsidRPr="00B275E2" w14:paraId="74557F9C" w14:textId="25092E0E" w:rsidTr="00C56EFF">
        <w:trPr>
          <w:trHeight w:val="63"/>
        </w:trPr>
        <w:tc>
          <w:tcPr>
            <w:tcW w:w="1328" w:type="pct"/>
            <w:shd w:val="clear" w:color="auto" w:fill="1B556B"/>
          </w:tcPr>
          <w:p w14:paraId="40C6F388" w14:textId="6AB7D70F" w:rsidR="001B2533" w:rsidRPr="00B275E2" w:rsidRDefault="001B2533" w:rsidP="007F0B1E">
            <w:pPr>
              <w:pStyle w:val="TableText"/>
              <w:spacing w:before="40" w:after="40"/>
              <w:rPr>
                <w:b/>
                <w:color w:val="FFFFFF" w:themeColor="background1"/>
              </w:rPr>
            </w:pPr>
            <w:r w:rsidRPr="00B275E2">
              <w:rPr>
                <w:b/>
                <w:color w:val="FFFFFF" w:themeColor="background1"/>
              </w:rPr>
              <w:t xml:space="preserve">Metro </w:t>
            </w:r>
            <w:r w:rsidR="007950C0" w:rsidRPr="00B275E2">
              <w:rPr>
                <w:b/>
                <w:color w:val="FFFFFF" w:themeColor="background1"/>
              </w:rPr>
              <w:t>c</w:t>
            </w:r>
            <w:r w:rsidRPr="00B275E2">
              <w:rPr>
                <w:b/>
                <w:color w:val="FFFFFF" w:themeColor="background1"/>
              </w:rPr>
              <w:t xml:space="preserve">ommuter </w:t>
            </w:r>
            <w:r w:rsidR="007950C0" w:rsidRPr="00B275E2">
              <w:rPr>
                <w:b/>
                <w:color w:val="FFFFFF" w:themeColor="background1"/>
              </w:rPr>
              <w:t>r</w:t>
            </w:r>
            <w:r w:rsidRPr="00B275E2">
              <w:rPr>
                <w:b/>
                <w:color w:val="FFFFFF" w:themeColor="background1"/>
              </w:rPr>
              <w:t>ail</w:t>
            </w:r>
          </w:p>
        </w:tc>
        <w:tc>
          <w:tcPr>
            <w:tcW w:w="589" w:type="pct"/>
            <w:shd w:val="clear" w:color="auto" w:fill="1B556B"/>
          </w:tcPr>
          <w:p w14:paraId="2B79719D" w14:textId="1A2CA666" w:rsidR="001B2533" w:rsidRPr="00B275E2" w:rsidRDefault="001B2533" w:rsidP="007F0B1E">
            <w:pPr>
              <w:pStyle w:val="TableText"/>
              <w:spacing w:before="40" w:after="40"/>
              <w:rPr>
                <w:b/>
                <w:color w:val="FFFFFF" w:themeColor="background1"/>
              </w:rPr>
            </w:pPr>
            <w:r w:rsidRPr="00B275E2">
              <w:rPr>
                <w:b/>
                <w:color w:val="FFFFFF" w:themeColor="background1"/>
              </w:rPr>
              <w:t>Units</w:t>
            </w:r>
          </w:p>
        </w:tc>
        <w:tc>
          <w:tcPr>
            <w:tcW w:w="1416" w:type="pct"/>
            <w:shd w:val="clear" w:color="auto" w:fill="1B556B"/>
          </w:tcPr>
          <w:p w14:paraId="6D085944" w14:textId="5FE8C465" w:rsidR="001B2533" w:rsidRPr="00B275E2" w:rsidRDefault="001B2533" w:rsidP="007F0B1E">
            <w:pPr>
              <w:pStyle w:val="TableText"/>
              <w:spacing w:before="40" w:after="40"/>
              <w:rPr>
                <w:b/>
                <w:color w:val="FFFFFF" w:themeColor="background1"/>
              </w:rPr>
            </w:pPr>
            <w:r w:rsidRPr="00B275E2">
              <w:rPr>
                <w:b/>
                <w:color w:val="FFFFFF" w:themeColor="background1"/>
              </w:rPr>
              <w:t>20</w:t>
            </w:r>
            <w:r w:rsidR="00C66C7C" w:rsidRPr="00B275E2">
              <w:rPr>
                <w:b/>
                <w:color w:val="FFFFFF" w:themeColor="background1"/>
              </w:rPr>
              <w:t>20</w:t>
            </w:r>
          </w:p>
        </w:tc>
        <w:tc>
          <w:tcPr>
            <w:tcW w:w="1667" w:type="pct"/>
            <w:shd w:val="clear" w:color="auto" w:fill="1B556B"/>
          </w:tcPr>
          <w:p w14:paraId="6C38A793" w14:textId="1AE6976B" w:rsidR="001B2533" w:rsidRPr="00B275E2" w:rsidRDefault="0059494E" w:rsidP="007F0B1E">
            <w:pPr>
              <w:pStyle w:val="TableText"/>
              <w:spacing w:before="40" w:after="40"/>
              <w:rPr>
                <w:b/>
                <w:color w:val="FFFFFF" w:themeColor="background1"/>
              </w:rPr>
            </w:pPr>
            <w:r w:rsidRPr="00B275E2">
              <w:rPr>
                <w:b/>
                <w:color w:val="FFFFFF" w:themeColor="background1"/>
              </w:rPr>
              <w:t>pkm</w:t>
            </w:r>
          </w:p>
        </w:tc>
      </w:tr>
      <w:tr w:rsidR="00412047" w:rsidRPr="00B275E2" w14:paraId="38D30834" w14:textId="533B0C94" w:rsidTr="007F0B1E">
        <w:trPr>
          <w:trHeight w:val="204"/>
        </w:trPr>
        <w:tc>
          <w:tcPr>
            <w:tcW w:w="1328" w:type="pct"/>
          </w:tcPr>
          <w:p w14:paraId="0F0D71E5" w14:textId="2ADBB234" w:rsidR="001B2533" w:rsidRPr="00B275E2" w:rsidRDefault="001B2533" w:rsidP="007F0B1E">
            <w:pPr>
              <w:pStyle w:val="TableText"/>
              <w:spacing w:before="40" w:after="40"/>
            </w:pPr>
            <w:r w:rsidRPr="00B275E2">
              <w:t>Electric (Wellington)</w:t>
            </w:r>
          </w:p>
        </w:tc>
        <w:tc>
          <w:tcPr>
            <w:tcW w:w="589" w:type="pct"/>
          </w:tcPr>
          <w:p w14:paraId="11D7192A" w14:textId="05723922" w:rsidR="001B2533" w:rsidRPr="00B275E2" w:rsidRDefault="001B2533" w:rsidP="007F0B1E">
            <w:pPr>
              <w:pStyle w:val="TableText"/>
              <w:spacing w:before="40" w:after="40"/>
            </w:pPr>
            <w:r w:rsidRPr="00B275E2">
              <w:t>kWh</w:t>
            </w:r>
          </w:p>
        </w:tc>
        <w:tc>
          <w:tcPr>
            <w:tcW w:w="1416" w:type="pct"/>
          </w:tcPr>
          <w:p w14:paraId="03ED11DD" w14:textId="7FC33B51" w:rsidR="001B2533" w:rsidRPr="00B275E2" w:rsidRDefault="009B1964" w:rsidP="007F0B1E">
            <w:pPr>
              <w:pStyle w:val="TableText"/>
              <w:spacing w:before="40" w:after="40"/>
            </w:pPr>
            <w:r w:rsidRPr="00B275E2">
              <w:t>23,242,017</w:t>
            </w:r>
          </w:p>
        </w:tc>
        <w:tc>
          <w:tcPr>
            <w:tcW w:w="1667" w:type="pct"/>
          </w:tcPr>
          <w:p w14:paraId="1B5E6E8C" w14:textId="7FC79074" w:rsidR="001B2533" w:rsidRPr="00B275E2" w:rsidRDefault="009B1964" w:rsidP="007F0B1E">
            <w:pPr>
              <w:pStyle w:val="TableText"/>
              <w:spacing w:before="40" w:after="40"/>
            </w:pPr>
            <w:r w:rsidRPr="00B275E2">
              <w:t xml:space="preserve">190,659,149 </w:t>
            </w:r>
          </w:p>
        </w:tc>
      </w:tr>
      <w:tr w:rsidR="00412047" w:rsidRPr="00B275E2" w14:paraId="4C5F4F6F" w14:textId="5B1D033B" w:rsidTr="007F0B1E">
        <w:trPr>
          <w:trHeight w:val="123"/>
        </w:trPr>
        <w:tc>
          <w:tcPr>
            <w:tcW w:w="1328" w:type="pct"/>
          </w:tcPr>
          <w:p w14:paraId="55AF9CE0" w14:textId="494E2294" w:rsidR="001B2533" w:rsidRPr="00B275E2" w:rsidRDefault="001B2533" w:rsidP="007F0B1E">
            <w:pPr>
              <w:pStyle w:val="TableText"/>
              <w:spacing w:before="40" w:after="40"/>
            </w:pPr>
            <w:r w:rsidRPr="00B275E2">
              <w:t>Diesel (Wellington)</w:t>
            </w:r>
          </w:p>
        </w:tc>
        <w:tc>
          <w:tcPr>
            <w:tcW w:w="589" w:type="pct"/>
          </w:tcPr>
          <w:p w14:paraId="4D221903" w14:textId="79017CC8" w:rsidR="001B2533" w:rsidRPr="00B275E2" w:rsidRDefault="001B2533" w:rsidP="007F0B1E">
            <w:pPr>
              <w:pStyle w:val="TableText"/>
              <w:spacing w:before="40" w:after="40"/>
            </w:pPr>
            <w:r w:rsidRPr="00B275E2">
              <w:t>litres</w:t>
            </w:r>
          </w:p>
        </w:tc>
        <w:tc>
          <w:tcPr>
            <w:tcW w:w="1416" w:type="pct"/>
          </w:tcPr>
          <w:p w14:paraId="3026678D" w14:textId="25FDA010" w:rsidR="001B2533" w:rsidRPr="00B275E2" w:rsidRDefault="009B1964" w:rsidP="007F0B1E">
            <w:pPr>
              <w:pStyle w:val="TableText"/>
              <w:spacing w:before="40" w:after="40"/>
            </w:pPr>
            <w:r w:rsidRPr="00B275E2">
              <w:t>699,773</w:t>
            </w:r>
            <w:r w:rsidR="00203B4F" w:rsidRPr="00B275E2">
              <w:t xml:space="preserve"> </w:t>
            </w:r>
          </w:p>
        </w:tc>
        <w:tc>
          <w:tcPr>
            <w:tcW w:w="1667" w:type="pct"/>
          </w:tcPr>
          <w:p w14:paraId="0311D11E" w14:textId="0DF24B46" w:rsidR="001B2533" w:rsidRPr="00B275E2" w:rsidRDefault="00203B4F" w:rsidP="007F0B1E">
            <w:pPr>
              <w:pStyle w:val="TableText"/>
              <w:spacing w:before="40" w:after="40"/>
            </w:pPr>
            <w:r w:rsidRPr="00B275E2">
              <w:t xml:space="preserve">40,765,152 </w:t>
            </w:r>
          </w:p>
        </w:tc>
      </w:tr>
    </w:tbl>
    <w:p w14:paraId="355609E9" w14:textId="14D7EBBB" w:rsidR="001B2533" w:rsidRPr="00B275E2" w:rsidRDefault="00CD7748" w:rsidP="007F0B1E">
      <w:pPr>
        <w:pStyle w:val="Note"/>
      </w:pPr>
      <w:r w:rsidRPr="00B275E2">
        <w:t>*</w:t>
      </w:r>
      <w:r w:rsidR="005B02EA" w:rsidRPr="00B275E2">
        <w:t xml:space="preserve">No data has been used from the Palmerston North to Wellington commuter line. </w:t>
      </w:r>
      <w:r w:rsidR="00D9578F" w:rsidRPr="00B275E2">
        <w:t>For diesel, calculations are based solely on the Wairarapa line.</w:t>
      </w:r>
    </w:p>
    <w:p w14:paraId="2AE7344F" w14:textId="233E7E85" w:rsidR="00203B4F" w:rsidRPr="00B275E2" w:rsidRDefault="00203B4F" w:rsidP="00A36C08">
      <w:pPr>
        <w:pStyle w:val="BodyText"/>
        <w:spacing w:before="80" w:after="100"/>
      </w:pPr>
      <w:r w:rsidRPr="00B275E2">
        <w:t>The energy consumption was multiplied by its respective emission factors (table 9 and table 4) and divided by the pkm to provide</w:t>
      </w:r>
      <w:r w:rsidR="00092A07" w:rsidRPr="00B275E2">
        <w:t xml:space="preserve"> the emission factor. This was calculated using 20</w:t>
      </w:r>
      <w:r w:rsidR="00F0391C" w:rsidRPr="00B275E2">
        <w:t>20</w:t>
      </w:r>
      <w:r w:rsidR="00092A07" w:rsidRPr="00B275E2">
        <w:t xml:space="preserve"> electricity data.</w:t>
      </w:r>
      <w:r w:rsidRPr="00B275E2">
        <w:t xml:space="preserve"> </w:t>
      </w:r>
    </w:p>
    <w:p w14:paraId="3CEC8010" w14:textId="165DE357" w:rsidR="009264E1" w:rsidRPr="00B275E2" w:rsidRDefault="009264E1" w:rsidP="000E405C">
      <w:pPr>
        <w:pStyle w:val="BodyText"/>
        <w:spacing w:before="100" w:after="240"/>
      </w:pPr>
      <w:r w:rsidRPr="00B275E2">
        <w:t>The average was calculated by adding the to</w:t>
      </w:r>
      <w:r w:rsidR="00204FA9" w:rsidRPr="00B275E2">
        <w:t>t</w:t>
      </w:r>
      <w:r w:rsidR="0059494E" w:rsidRPr="00B275E2">
        <w:t>al pkm</w:t>
      </w:r>
      <w:r w:rsidR="00831325" w:rsidRPr="00B275E2">
        <w:t>s and the total GHG</w:t>
      </w:r>
      <w:r w:rsidR="00204FA9" w:rsidRPr="00B275E2">
        <w:t>s</w:t>
      </w:r>
      <w:r w:rsidR="005B02EA" w:rsidRPr="00B275E2">
        <w:t xml:space="preserve"> for both the electric and diesel commuter lines</w:t>
      </w:r>
      <w:r w:rsidR="00204FA9" w:rsidRPr="00B275E2">
        <w:t>.</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505"/>
      </w:tblGrid>
      <w:tr w:rsidR="003E6859" w:rsidRPr="00B275E2" w14:paraId="660F6CFB" w14:textId="77777777" w:rsidTr="00C56EFF">
        <w:tc>
          <w:tcPr>
            <w:tcW w:w="0" w:type="auto"/>
            <w:shd w:val="clear" w:color="auto" w:fill="D2DDE1" w:themeFill="background2"/>
          </w:tcPr>
          <w:p w14:paraId="19E44A9F" w14:textId="05DFCF15" w:rsidR="003E6859" w:rsidRPr="00B275E2" w:rsidRDefault="000F0C85" w:rsidP="007F0B1E">
            <w:pPr>
              <w:pStyle w:val="Blueboxtext"/>
              <w:spacing w:before="240" w:after="240"/>
              <w:ind w:left="0"/>
              <w:jc w:val="center"/>
            </w:pPr>
            <w:r w:rsidRPr="00B275E2">
              <w:rPr>
                <w:rFonts w:ascii="Cambria Math" w:hAnsi="Cambria Math"/>
                <w:i/>
              </w:rPr>
              <w:t>(total diesel GHG + total electric GHG)/ (diesel pkm + electric pkm)</w:t>
            </w:r>
          </w:p>
        </w:tc>
      </w:tr>
    </w:tbl>
    <w:p w14:paraId="6F0E98E0" w14:textId="77777777" w:rsidR="00864224" w:rsidRPr="00B275E2" w:rsidRDefault="506D0CC3" w:rsidP="006B7605">
      <w:pPr>
        <w:pStyle w:val="Heading3"/>
      </w:pPr>
      <w:r>
        <w:t>Assumptions, limitations and uncertainties</w:t>
      </w:r>
    </w:p>
    <w:p w14:paraId="17656D6E" w14:textId="1B76BD4A" w:rsidR="000437CB" w:rsidRPr="00B275E2" w:rsidRDefault="00EF7C04" w:rsidP="000E405C">
      <w:pPr>
        <w:pStyle w:val="BodyText"/>
        <w:spacing w:before="100" w:after="100"/>
      </w:pPr>
      <w:r w:rsidRPr="00B275E2">
        <w:t xml:space="preserve">Limited data is available </w:t>
      </w:r>
      <w:r w:rsidR="00FB561C" w:rsidRPr="00B275E2">
        <w:t xml:space="preserve">for regions outside </w:t>
      </w:r>
      <w:r w:rsidR="00092A07" w:rsidRPr="00B275E2">
        <w:t xml:space="preserve">the </w:t>
      </w:r>
      <w:r w:rsidR="00FB561C" w:rsidRPr="00B275E2">
        <w:t>Greater Wellington Region</w:t>
      </w:r>
      <w:r w:rsidR="000437CB" w:rsidRPr="00B275E2">
        <w:t>.</w:t>
      </w:r>
      <w:r w:rsidR="00D8290F" w:rsidRPr="00B275E2">
        <w:t xml:space="preserve"> </w:t>
      </w:r>
      <w:r w:rsidR="00092A07" w:rsidRPr="00B275E2">
        <w:t xml:space="preserve">These </w:t>
      </w:r>
      <w:r w:rsidR="000437CB" w:rsidRPr="00B275E2">
        <w:t xml:space="preserve">metro commuter rail </w:t>
      </w:r>
      <w:r w:rsidR="00D94393" w:rsidRPr="00B275E2">
        <w:t>emission factors</w:t>
      </w:r>
      <w:r w:rsidR="000437CB" w:rsidRPr="00B275E2">
        <w:t xml:space="preserve"> are assumed to be appropriate for use on any commuter rail line in New Zealand.</w:t>
      </w:r>
    </w:p>
    <w:p w14:paraId="088CB360" w14:textId="201051E4" w:rsidR="00864224" w:rsidRPr="00B275E2" w:rsidRDefault="000437CB" w:rsidP="007F0B1E">
      <w:pPr>
        <w:pStyle w:val="BodyText"/>
        <w:rPr>
          <w:spacing w:val="-2"/>
        </w:rPr>
      </w:pPr>
      <w:r w:rsidRPr="00B275E2">
        <w:rPr>
          <w:spacing w:val="-2"/>
        </w:rPr>
        <w:lastRenderedPageBreak/>
        <w:t xml:space="preserve">In most instances the National Average for Bus </w:t>
      </w:r>
      <w:r w:rsidR="00D94393" w:rsidRPr="00B275E2">
        <w:rPr>
          <w:spacing w:val="-2"/>
        </w:rPr>
        <w:t>emission factor</w:t>
      </w:r>
      <w:r w:rsidRPr="00B275E2">
        <w:rPr>
          <w:spacing w:val="-2"/>
        </w:rPr>
        <w:t xml:space="preserve"> is the most appropriate to use.</w:t>
      </w:r>
      <w:r w:rsidR="00A36C08" w:rsidRPr="00B275E2">
        <w:rPr>
          <w:spacing w:val="-2"/>
        </w:rPr>
        <w:t xml:space="preserve"> </w:t>
      </w:r>
      <w:r w:rsidRPr="00B275E2">
        <w:rPr>
          <w:spacing w:val="-2"/>
        </w:rPr>
        <w:t>If taking public transport in Auckland or Wellington we recommend using the Wellington</w:t>
      </w:r>
      <w:r w:rsidR="00A36C08" w:rsidRPr="00B275E2">
        <w:rPr>
          <w:spacing w:val="-2"/>
        </w:rPr>
        <w:t xml:space="preserve"> </w:t>
      </w:r>
      <w:r w:rsidRPr="00B275E2">
        <w:rPr>
          <w:spacing w:val="-2"/>
        </w:rPr>
        <w:t>bus data.</w:t>
      </w:r>
      <w:bookmarkStart w:id="383" w:name="_Toc55216288"/>
      <w:bookmarkStart w:id="384" w:name="_Toc55216461"/>
      <w:bookmarkEnd w:id="383"/>
      <w:bookmarkEnd w:id="384"/>
    </w:p>
    <w:p w14:paraId="650920D8" w14:textId="22DC15A8" w:rsidR="00321918" w:rsidRPr="00B275E2" w:rsidRDefault="00321918" w:rsidP="00C24B73">
      <w:pPr>
        <w:pStyle w:val="Heading2"/>
        <w:numPr>
          <w:ilvl w:val="0"/>
          <w:numId w:val="27"/>
        </w:numPr>
      </w:pPr>
      <w:bookmarkStart w:id="385" w:name="_Toc111536796"/>
      <w:r w:rsidRPr="00B275E2">
        <w:t xml:space="preserve">Public transport </w:t>
      </w:r>
      <w:bookmarkEnd w:id="364"/>
      <w:bookmarkEnd w:id="365"/>
      <w:r w:rsidR="009663F3" w:rsidRPr="00B275E2">
        <w:t>vehicles</w:t>
      </w:r>
      <w:bookmarkEnd w:id="385"/>
    </w:p>
    <w:p w14:paraId="2BA72F24" w14:textId="13051D93" w:rsidR="007D1DA6" w:rsidRPr="00B275E2" w:rsidRDefault="007D1DA6" w:rsidP="0083519F">
      <w:pPr>
        <w:pStyle w:val="BodyText"/>
        <w:spacing w:before="100" w:after="100"/>
      </w:pPr>
      <w:bookmarkStart w:id="386" w:name="_Hlk532670168"/>
      <w:r w:rsidRPr="00B275E2">
        <w:t xml:space="preserve">Public transport </w:t>
      </w:r>
      <w:r w:rsidR="00897E22" w:rsidRPr="00B275E2">
        <w:t xml:space="preserve">vehicle </w:t>
      </w:r>
      <w:r w:rsidRPr="00B275E2">
        <w:t xml:space="preserve">emissions include </w:t>
      </w:r>
      <w:r w:rsidR="007A3654" w:rsidRPr="00B275E2">
        <w:t xml:space="preserve">those </w:t>
      </w:r>
      <w:r w:rsidR="00603347" w:rsidRPr="00B275E2">
        <w:t>from</w:t>
      </w:r>
      <w:r w:rsidRPr="00B275E2">
        <w:t xml:space="preserve"> </w:t>
      </w:r>
      <w:r w:rsidR="006B2276" w:rsidRPr="00B275E2">
        <w:t>buses</w:t>
      </w:r>
      <w:r w:rsidRPr="00B275E2">
        <w:t xml:space="preserve">. </w:t>
      </w:r>
      <w:r w:rsidRPr="00B275E2">
        <w:fldChar w:fldCharType="begin"/>
      </w:r>
      <w:r w:rsidRPr="00B275E2">
        <w:instrText xml:space="preserve"> REF _Ref529971822 \h  \* MERGEFORMAT </w:instrText>
      </w:r>
      <w:r w:rsidRPr="00B275E2">
        <w:fldChar w:fldCharType="separate"/>
      </w:r>
      <w:r w:rsidR="003E141C" w:rsidRPr="00B275E2">
        <w:t>Air travel</w:t>
      </w:r>
      <w:r w:rsidRPr="00B275E2">
        <w:fldChar w:fldCharType="end"/>
      </w:r>
      <w:r w:rsidRPr="00B275E2">
        <w:t xml:space="preserve"> is in a separate section</w:t>
      </w:r>
      <w:r w:rsidR="00946BFE" w:rsidRPr="00B275E2">
        <w:t> </w:t>
      </w:r>
      <w:r w:rsidRPr="00B275E2">
        <w:t xml:space="preserve">below. </w:t>
      </w:r>
      <w:bookmarkStart w:id="387" w:name="_Hlk532893305"/>
      <w:bookmarkEnd w:id="386"/>
      <w:r w:rsidR="00127492" w:rsidRPr="00B275E2">
        <w:t>I</w:t>
      </w:r>
      <w:r w:rsidR="008B3A39" w:rsidRPr="00B275E2">
        <w:t>t is possible to calculate the emissions from the whole vehicle.</w:t>
      </w:r>
      <w:r w:rsidR="00EE6D09" w:rsidRPr="00B275E2">
        <w:t xml:space="preserve"> This approach</w:t>
      </w:r>
      <w:r w:rsidR="00946BFE" w:rsidRPr="00B275E2">
        <w:t> </w:t>
      </w:r>
      <w:r w:rsidR="00EE6D09" w:rsidRPr="00B275E2">
        <w:t>is</w:t>
      </w:r>
      <w:r w:rsidR="00946BFE" w:rsidRPr="00B275E2">
        <w:t> </w:t>
      </w:r>
      <w:r w:rsidR="00EE6D09" w:rsidRPr="00B275E2">
        <w:t>appropriate for transport operators or if a bus is chartered.</w:t>
      </w:r>
      <w:r w:rsidR="008B3A39" w:rsidRPr="00B275E2">
        <w:t xml:space="preserve"> </w:t>
      </w:r>
      <w:bookmarkEnd w:id="387"/>
      <w:r w:rsidR="00CD3298">
        <w:fldChar w:fldCharType="begin"/>
      </w:r>
      <w:r w:rsidR="00CD3298">
        <w:instrText xml:space="preserve"> HYPERLINK \l "table34" </w:instrText>
      </w:r>
      <w:r w:rsidR="00CD3298">
        <w:fldChar w:fldCharType="separate"/>
      </w:r>
      <w:r w:rsidR="00FC11C4" w:rsidRPr="00B275E2">
        <w:rPr>
          <w:rStyle w:val="Hyperlink"/>
        </w:rPr>
        <w:t>Table 3</w:t>
      </w:r>
      <w:r w:rsidR="00C70C8A" w:rsidRPr="00B275E2">
        <w:rPr>
          <w:rStyle w:val="Hyperlink"/>
        </w:rPr>
        <w:t>4</w:t>
      </w:r>
      <w:r w:rsidR="00CD3298">
        <w:rPr>
          <w:rStyle w:val="Hyperlink"/>
        </w:rPr>
        <w:fldChar w:fldCharType="end"/>
      </w:r>
      <w:r w:rsidR="00FC11C4" w:rsidRPr="00B275E2">
        <w:t xml:space="preserve"> </w:t>
      </w:r>
      <w:r w:rsidR="00F76EF8" w:rsidRPr="00B275E2">
        <w:t>details t</w:t>
      </w:r>
      <w:r w:rsidR="008B3A39" w:rsidRPr="00B275E2">
        <w:t>hese</w:t>
      </w:r>
      <w:r w:rsidR="00946BFE" w:rsidRPr="00B275E2">
        <w:t> </w:t>
      </w:r>
      <w:r w:rsidR="008B3A39" w:rsidRPr="00B275E2">
        <w:t>emission factors.</w:t>
      </w:r>
      <w:r w:rsidR="008657E5" w:rsidRPr="00B275E2">
        <w:t xml:space="preserve"> </w:t>
      </w:r>
    </w:p>
    <w:p w14:paraId="47C83332" w14:textId="48889B6B" w:rsidR="007D1DA6" w:rsidRPr="00B275E2" w:rsidRDefault="007A3654" w:rsidP="007F0B1E">
      <w:pPr>
        <w:pStyle w:val="BodyText"/>
        <w:spacing w:before="100" w:after="100"/>
        <w:rPr>
          <w:spacing w:val="-2"/>
        </w:rPr>
      </w:pPr>
      <w:r w:rsidRPr="00B275E2">
        <w:rPr>
          <w:b/>
          <w:spacing w:val="-2"/>
        </w:rPr>
        <w:t>Buses:</w:t>
      </w:r>
      <w:r w:rsidRPr="00B275E2">
        <w:rPr>
          <w:spacing w:val="-2"/>
        </w:rPr>
        <w:t xml:space="preserve"> </w:t>
      </w:r>
      <w:r w:rsidR="00F76EF8" w:rsidRPr="00B275E2">
        <w:rPr>
          <w:spacing w:val="-2"/>
        </w:rPr>
        <w:t>We calculated the emissions of differ</w:t>
      </w:r>
      <w:r w:rsidRPr="00B275E2">
        <w:rPr>
          <w:spacing w:val="-2"/>
        </w:rPr>
        <w:t>ent</w:t>
      </w:r>
      <w:r w:rsidR="00F76EF8" w:rsidRPr="00B275E2">
        <w:rPr>
          <w:spacing w:val="-2"/>
        </w:rPr>
        <w:t xml:space="preserve"> buses using </w:t>
      </w:r>
      <w:r w:rsidR="002E72D6" w:rsidRPr="00B275E2">
        <w:rPr>
          <w:spacing w:val="-2"/>
        </w:rPr>
        <w:t>MoT</w:t>
      </w:r>
      <w:r w:rsidR="00CF1B7F" w:rsidRPr="00B275E2">
        <w:rPr>
          <w:spacing w:val="-2"/>
        </w:rPr>
        <w:t>’</w:t>
      </w:r>
      <w:r w:rsidR="002E72D6" w:rsidRPr="00B275E2">
        <w:rPr>
          <w:spacing w:val="-2"/>
        </w:rPr>
        <w:t xml:space="preserve">s </w:t>
      </w:r>
      <w:hyperlink r:id="rId79" w:history="1">
        <w:r w:rsidR="00CE59AC" w:rsidRPr="00B275E2">
          <w:rPr>
            <w:rStyle w:val="Hyperlink"/>
            <w:iCs/>
            <w:color w:val="auto"/>
            <w:spacing w:val="-2"/>
          </w:rPr>
          <w:t>Vehicle</w:t>
        </w:r>
      </w:hyperlink>
      <w:r w:rsidR="00CE59AC" w:rsidRPr="00B275E2">
        <w:rPr>
          <w:rStyle w:val="Hyperlink"/>
          <w:iCs/>
          <w:color w:val="auto"/>
          <w:spacing w:val="-2"/>
        </w:rPr>
        <w:t xml:space="preserve"> </w:t>
      </w:r>
      <w:r w:rsidR="002E72D6" w:rsidRPr="00B275E2">
        <w:rPr>
          <w:rStyle w:val="Hyperlink"/>
          <w:iCs/>
          <w:color w:val="auto"/>
          <w:spacing w:val="-2"/>
        </w:rPr>
        <w:t>Fleet Emissions Model</w:t>
      </w:r>
      <w:r w:rsidR="00FC11C4" w:rsidRPr="00B275E2">
        <w:rPr>
          <w:i/>
          <w:iCs/>
          <w:spacing w:val="-2"/>
        </w:rPr>
        <w:t> </w:t>
      </w:r>
      <w:r w:rsidR="007D1DA6" w:rsidRPr="00B275E2">
        <w:rPr>
          <w:spacing w:val="-2"/>
        </w:rPr>
        <w:t>data for fuel consumption in litres per 100 k</w:t>
      </w:r>
      <w:r w:rsidR="006A0E82" w:rsidRPr="00B275E2">
        <w:rPr>
          <w:spacing w:val="-2"/>
        </w:rPr>
        <w:t>ilometres</w:t>
      </w:r>
      <w:r w:rsidR="007D1DA6" w:rsidRPr="00B275E2">
        <w:rPr>
          <w:spacing w:val="-2"/>
        </w:rPr>
        <w:t xml:space="preserve">. </w:t>
      </w:r>
      <w:r w:rsidR="00F76EF8" w:rsidRPr="00B275E2">
        <w:rPr>
          <w:spacing w:val="-2"/>
        </w:rPr>
        <w:t>The guide presents the</w:t>
      </w:r>
      <w:r w:rsidR="007D1DA6" w:rsidRPr="00B275E2">
        <w:rPr>
          <w:spacing w:val="-2"/>
        </w:rPr>
        <w:t xml:space="preserve"> data in emissions per k</w:t>
      </w:r>
      <w:r w:rsidR="006A0E82" w:rsidRPr="00B275E2">
        <w:rPr>
          <w:spacing w:val="-2"/>
        </w:rPr>
        <w:t>ilometre</w:t>
      </w:r>
      <w:r w:rsidR="007D1DA6" w:rsidRPr="00B275E2">
        <w:rPr>
          <w:spacing w:val="-2"/>
        </w:rPr>
        <w:t>.</w:t>
      </w:r>
    </w:p>
    <w:bookmarkStart w:id="388" w:name="table34"/>
    <w:p w14:paraId="7979E3A3" w14:textId="53DB37AF" w:rsidR="003D5438" w:rsidRPr="00B275E2" w:rsidRDefault="00C70C8A" w:rsidP="007F0B1E">
      <w:pPr>
        <w:pStyle w:val="BodyText"/>
        <w:spacing w:before="100" w:after="100"/>
        <w:rPr>
          <w:b/>
          <w:sz w:val="20"/>
        </w:rPr>
      </w:pPr>
      <w:r w:rsidRPr="00B275E2">
        <w:rPr>
          <w:color w:val="32809C" w:themeColor="accent2"/>
        </w:rPr>
        <w:fldChar w:fldCharType="begin"/>
      </w:r>
      <w:r w:rsidRPr="00B275E2">
        <w:rPr>
          <w:color w:val="32809C" w:themeColor="accent2"/>
        </w:rPr>
        <w:instrText xml:space="preserve"> HYPERLINK  \l "table35" </w:instrText>
      </w:r>
      <w:r w:rsidRPr="00B275E2">
        <w:rPr>
          <w:color w:val="32809C" w:themeColor="accent2"/>
        </w:rPr>
        <w:fldChar w:fldCharType="separate"/>
      </w:r>
      <w:r w:rsidR="00D36BE3" w:rsidRPr="00B275E2">
        <w:rPr>
          <w:rStyle w:val="Hyperlink"/>
        </w:rPr>
        <w:t>Table 3</w:t>
      </w:r>
      <w:r w:rsidRPr="00B275E2">
        <w:rPr>
          <w:rStyle w:val="Hyperlink"/>
        </w:rPr>
        <w:t>5</w:t>
      </w:r>
      <w:bookmarkEnd w:id="388"/>
      <w:r w:rsidRPr="00B275E2">
        <w:rPr>
          <w:color w:val="32809C" w:themeColor="accent2"/>
        </w:rPr>
        <w:fldChar w:fldCharType="end"/>
      </w:r>
      <w:r w:rsidR="00D36BE3" w:rsidRPr="00B275E2">
        <w:rPr>
          <w:color w:val="32809C" w:themeColor="accent2"/>
        </w:rPr>
        <w:t xml:space="preserve"> </w:t>
      </w:r>
      <w:r w:rsidR="00F76EF8" w:rsidRPr="00B275E2">
        <w:t>details t</w:t>
      </w:r>
      <w:r w:rsidR="007D1DA6" w:rsidRPr="00B275E2">
        <w:t>he data provided to calculate the emission conversion factors.</w:t>
      </w:r>
      <w:bookmarkStart w:id="389" w:name="_Ref529837843"/>
    </w:p>
    <w:p w14:paraId="650920DE" w14:textId="682FEDBF" w:rsidR="00654EA7" w:rsidRPr="00B275E2" w:rsidRDefault="00654EA7" w:rsidP="00946BFE">
      <w:pPr>
        <w:pStyle w:val="Tableheading"/>
      </w:pPr>
      <w:bookmarkStart w:id="390" w:name="_Ref612831"/>
      <w:bookmarkStart w:id="391" w:name="table33"/>
      <w:bookmarkStart w:id="392" w:name="_Toc111536639"/>
      <w:r w:rsidRPr="00B275E2">
        <w:t xml:space="preserve">Table </w:t>
      </w:r>
      <w:r w:rsidRPr="00B275E2">
        <w:fldChar w:fldCharType="begin"/>
      </w:r>
      <w:r w:rsidRPr="00B275E2">
        <w:instrText>SEQ Table \* ARABIC</w:instrText>
      </w:r>
      <w:r w:rsidRPr="00B275E2">
        <w:fldChar w:fldCharType="separate"/>
      </w:r>
      <w:r w:rsidR="003E141C" w:rsidRPr="00B275E2">
        <w:t>34</w:t>
      </w:r>
      <w:r w:rsidRPr="00B275E2">
        <w:fldChar w:fldCharType="end"/>
      </w:r>
      <w:bookmarkEnd w:id="389"/>
      <w:bookmarkEnd w:id="390"/>
      <w:bookmarkEnd w:id="391"/>
      <w:r w:rsidR="00AB7CE4" w:rsidRPr="00B275E2">
        <w:t>:</w:t>
      </w:r>
      <w:r w:rsidR="00AB7CE4" w:rsidRPr="00B275E2">
        <w:tab/>
      </w:r>
      <w:r w:rsidR="007A3654" w:rsidRPr="00B275E2">
        <w:t>Bus</w:t>
      </w:r>
      <w:r w:rsidRPr="00B275E2">
        <w:t xml:space="preserve"> emission factors per km travelled</w:t>
      </w:r>
      <w:bookmarkEnd w:id="392"/>
    </w:p>
    <w:tbl>
      <w:tblPr>
        <w:tblStyle w:val="LightList-Accent11"/>
        <w:tblW w:w="8505" w:type="dxa"/>
        <w:tblBorders>
          <w:top w:val="single" w:sz="4" w:space="0" w:color="1B556B"/>
          <w:bottom w:val="single" w:sz="4" w:space="0" w:color="1B556B"/>
          <w:insideH w:val="single" w:sz="4" w:space="0" w:color="1B556B"/>
          <w:insideV w:val="single" w:sz="4" w:space="0" w:color="1B556B"/>
        </w:tblBorders>
        <w:tblLayout w:type="fixed"/>
        <w:tblLook w:val="04A0" w:firstRow="1" w:lastRow="0" w:firstColumn="1" w:lastColumn="0" w:noHBand="0" w:noVBand="1"/>
      </w:tblPr>
      <w:tblGrid>
        <w:gridCol w:w="1664"/>
        <w:gridCol w:w="1147"/>
        <w:gridCol w:w="608"/>
        <w:gridCol w:w="1391"/>
        <w:gridCol w:w="1226"/>
        <w:gridCol w:w="1217"/>
        <w:gridCol w:w="1252"/>
      </w:tblGrid>
      <w:tr w:rsidR="00D6183A" w:rsidRPr="00B275E2" w14:paraId="650920E5" w14:textId="77777777" w:rsidTr="00946BFE">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811" w:type="dxa"/>
            <w:gridSpan w:val="2"/>
            <w:shd w:val="clear" w:color="auto" w:fill="1B556B"/>
            <w:noWrap/>
            <w:vAlign w:val="bottom"/>
            <w:hideMark/>
          </w:tcPr>
          <w:p w14:paraId="650920DF" w14:textId="77777777" w:rsidR="00D6183A" w:rsidRPr="00B275E2" w:rsidRDefault="00D6183A" w:rsidP="000E405C">
            <w:pPr>
              <w:pStyle w:val="TableText"/>
              <w:spacing w:before="40" w:after="40"/>
            </w:pPr>
            <w:r w:rsidRPr="00B275E2">
              <w:t>Emission source</w:t>
            </w:r>
          </w:p>
        </w:tc>
        <w:tc>
          <w:tcPr>
            <w:tcW w:w="608" w:type="dxa"/>
            <w:shd w:val="clear" w:color="auto" w:fill="1B556B"/>
            <w:noWrap/>
            <w:vAlign w:val="bottom"/>
            <w:hideMark/>
          </w:tcPr>
          <w:p w14:paraId="650920E0" w14:textId="77777777" w:rsidR="00D6183A" w:rsidRPr="00B275E2" w:rsidRDefault="00D6183A" w:rsidP="000E405C">
            <w:pPr>
              <w:pStyle w:val="TableText"/>
              <w:spacing w:before="40" w:after="40"/>
              <w:cnfStyle w:val="100000000000" w:firstRow="1" w:lastRow="0" w:firstColumn="0" w:lastColumn="0" w:oddVBand="0" w:evenVBand="0" w:oddHBand="0" w:evenHBand="0" w:firstRowFirstColumn="0" w:firstRowLastColumn="0" w:lastRowFirstColumn="0" w:lastRowLastColumn="0"/>
            </w:pPr>
            <w:r w:rsidRPr="00B275E2">
              <w:t>Unit</w:t>
            </w:r>
          </w:p>
        </w:tc>
        <w:tc>
          <w:tcPr>
            <w:tcW w:w="1391" w:type="dxa"/>
            <w:shd w:val="clear" w:color="auto" w:fill="D2DDE1" w:themeFill="background2"/>
            <w:noWrap/>
            <w:vAlign w:val="bottom"/>
            <w:hideMark/>
          </w:tcPr>
          <w:p w14:paraId="650920E1" w14:textId="05B95356" w:rsidR="00D6183A" w:rsidRPr="00B275E2" w:rsidRDefault="00B74F56" w:rsidP="000E405C">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color w:val="auto"/>
              </w:rPr>
            </w:pPr>
            <w:r w:rsidRPr="00B275E2">
              <w:rPr>
                <w:color w:val="auto"/>
              </w:rPr>
              <w:t>kg</w:t>
            </w:r>
            <w:r w:rsidR="00094081" w:rsidRPr="00B275E2">
              <w:rPr>
                <w:color w:val="auto"/>
              </w:rPr>
              <w:t xml:space="preserve"> CO</w:t>
            </w:r>
            <w:r w:rsidR="00C072A8" w:rsidRPr="00B275E2">
              <w:rPr>
                <w:color w:val="auto"/>
                <w:vertAlign w:val="subscript"/>
              </w:rPr>
              <w:t>2</w:t>
            </w:r>
            <w:r w:rsidR="00C072A8" w:rsidRPr="00B275E2">
              <w:rPr>
                <w:color w:val="auto"/>
              </w:rPr>
              <w:t>-e</w:t>
            </w:r>
            <w:r w:rsidR="00D645D0" w:rsidRPr="00B275E2">
              <w:rPr>
                <w:color w:val="auto"/>
              </w:rPr>
              <w:t>/unit</w:t>
            </w:r>
          </w:p>
        </w:tc>
        <w:tc>
          <w:tcPr>
            <w:tcW w:w="1226" w:type="dxa"/>
            <w:shd w:val="clear" w:color="auto" w:fill="1B556B"/>
            <w:noWrap/>
            <w:vAlign w:val="bottom"/>
            <w:hideMark/>
          </w:tcPr>
          <w:p w14:paraId="650920E2" w14:textId="12FFE059" w:rsidR="00D6183A" w:rsidRPr="00B275E2" w:rsidRDefault="00B74F56" w:rsidP="000E405C">
            <w:pPr>
              <w:pStyle w:val="TableText"/>
              <w:spacing w:before="40" w:after="40"/>
              <w:jc w:val="right"/>
              <w:cnfStyle w:val="100000000000" w:firstRow="1" w:lastRow="0" w:firstColumn="0" w:lastColumn="0" w:oddVBand="0" w:evenVBand="0" w:oddHBand="0" w:evenHBand="0" w:firstRowFirstColumn="0" w:firstRowLastColumn="0" w:lastRowFirstColumn="0" w:lastRowLastColumn="0"/>
            </w:pPr>
            <w:r w:rsidRPr="00B275E2">
              <w:t>kg</w:t>
            </w:r>
            <w:r w:rsidR="00D6183A" w:rsidRPr="00B275E2">
              <w:t xml:space="preserve"> CO</w:t>
            </w:r>
            <w:r w:rsidR="00D6183A" w:rsidRPr="00B275E2">
              <w:rPr>
                <w:vertAlign w:val="subscript"/>
              </w:rPr>
              <w:t>2</w:t>
            </w:r>
            <w:r w:rsidR="00D645D0" w:rsidRPr="00B275E2">
              <w:t>/unit</w:t>
            </w:r>
            <w:r w:rsidR="009024F6" w:rsidRPr="00B275E2">
              <w:t xml:space="preserve"> </w:t>
            </w:r>
            <w:r w:rsidR="009024F6" w:rsidRPr="00B275E2">
              <w:rPr>
                <w:szCs w:val="18"/>
              </w:rPr>
              <w:t>(kg CO</w:t>
            </w:r>
            <w:r w:rsidR="009024F6" w:rsidRPr="00B275E2">
              <w:rPr>
                <w:szCs w:val="18"/>
                <w:vertAlign w:val="subscript"/>
              </w:rPr>
              <w:t>2</w:t>
            </w:r>
            <w:r w:rsidR="009024F6" w:rsidRPr="00B275E2">
              <w:rPr>
                <w:szCs w:val="18"/>
              </w:rPr>
              <w:noBreakHyphen/>
              <w:t>e)</w:t>
            </w:r>
          </w:p>
        </w:tc>
        <w:tc>
          <w:tcPr>
            <w:tcW w:w="1217" w:type="dxa"/>
            <w:shd w:val="clear" w:color="auto" w:fill="1B556B"/>
            <w:noWrap/>
            <w:vAlign w:val="bottom"/>
            <w:hideMark/>
          </w:tcPr>
          <w:p w14:paraId="650920E3" w14:textId="39E52A19" w:rsidR="00D6183A" w:rsidRPr="00B275E2" w:rsidRDefault="00B74F56" w:rsidP="000E405C">
            <w:pPr>
              <w:pStyle w:val="TableText"/>
              <w:spacing w:before="40" w:after="40"/>
              <w:jc w:val="right"/>
              <w:cnfStyle w:val="100000000000" w:firstRow="1" w:lastRow="0" w:firstColumn="0" w:lastColumn="0" w:oddVBand="0" w:evenVBand="0" w:oddHBand="0" w:evenHBand="0" w:firstRowFirstColumn="0" w:firstRowLastColumn="0" w:lastRowFirstColumn="0" w:lastRowLastColumn="0"/>
            </w:pPr>
            <w:r w:rsidRPr="00B275E2">
              <w:t>kg</w:t>
            </w:r>
            <w:r w:rsidR="00D6183A" w:rsidRPr="00B275E2">
              <w:t xml:space="preserve"> CH</w:t>
            </w:r>
            <w:r w:rsidR="00D6183A" w:rsidRPr="00B275E2">
              <w:rPr>
                <w:vertAlign w:val="subscript"/>
              </w:rPr>
              <w:t>4</w:t>
            </w:r>
            <w:r w:rsidR="00D645D0" w:rsidRPr="00B275E2">
              <w:t>/unit</w:t>
            </w:r>
            <w:r w:rsidR="007B2ED2" w:rsidRPr="00B275E2">
              <w:t xml:space="preserve"> (kg CO</w:t>
            </w:r>
            <w:r w:rsidR="007B2ED2" w:rsidRPr="00B275E2">
              <w:rPr>
                <w:vertAlign w:val="subscript"/>
              </w:rPr>
              <w:t>2</w:t>
            </w:r>
            <w:r w:rsidR="007B2ED2" w:rsidRPr="00B275E2">
              <w:t>-e)</w:t>
            </w:r>
          </w:p>
        </w:tc>
        <w:tc>
          <w:tcPr>
            <w:tcW w:w="1252" w:type="dxa"/>
            <w:shd w:val="clear" w:color="auto" w:fill="1B556B"/>
            <w:noWrap/>
            <w:vAlign w:val="bottom"/>
            <w:hideMark/>
          </w:tcPr>
          <w:p w14:paraId="650920E4" w14:textId="7DD9A870" w:rsidR="00D6183A" w:rsidRPr="00B275E2" w:rsidRDefault="00B74F56" w:rsidP="000E405C">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b w:val="0"/>
                <w:bCs w:val="0"/>
              </w:rPr>
            </w:pPr>
            <w:r w:rsidRPr="00B275E2">
              <w:t>kg</w:t>
            </w:r>
            <w:r w:rsidR="00D6183A" w:rsidRPr="00B275E2">
              <w:t xml:space="preserve"> </w:t>
            </w:r>
            <w:r w:rsidR="00035F53" w:rsidRPr="00B275E2">
              <w:t>N</w:t>
            </w:r>
            <w:r w:rsidR="00035F53" w:rsidRPr="00B275E2">
              <w:rPr>
                <w:vertAlign w:val="subscript"/>
              </w:rPr>
              <w:t>2</w:t>
            </w:r>
            <w:r w:rsidR="00035F53" w:rsidRPr="00B275E2">
              <w:t>O</w:t>
            </w:r>
            <w:r w:rsidR="00D645D0" w:rsidRPr="00B275E2">
              <w:t>/unit</w:t>
            </w:r>
            <w:r w:rsidR="007B2ED2" w:rsidRPr="00B275E2">
              <w:t xml:space="preserve"> (kg CO</w:t>
            </w:r>
            <w:r w:rsidR="007B2ED2" w:rsidRPr="00B275E2">
              <w:rPr>
                <w:vertAlign w:val="subscript"/>
              </w:rPr>
              <w:t>2</w:t>
            </w:r>
            <w:r w:rsidR="007B2ED2" w:rsidRPr="00B275E2">
              <w:t>-e)</w:t>
            </w:r>
          </w:p>
        </w:tc>
      </w:tr>
      <w:tr w:rsidR="005116A5" w:rsidRPr="00B275E2" w14:paraId="650920ED" w14:textId="77777777" w:rsidTr="00BC40A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64" w:type="dxa"/>
            <w:vMerge w:val="restart"/>
            <w:tcBorders>
              <w:left w:val="single" w:sz="4" w:space="0" w:color="FFFFFF" w:themeColor="background1"/>
            </w:tcBorders>
            <w:hideMark/>
          </w:tcPr>
          <w:p w14:paraId="650920E6" w14:textId="6186B5E0" w:rsidR="005116A5" w:rsidRPr="00B275E2" w:rsidRDefault="005116A5" w:rsidP="000E405C">
            <w:pPr>
              <w:pStyle w:val="TableText"/>
              <w:spacing w:before="40" w:after="40"/>
              <w:rPr>
                <w:b w:val="0"/>
              </w:rPr>
            </w:pPr>
            <w:r w:rsidRPr="00B275E2">
              <w:rPr>
                <w:b w:val="0"/>
              </w:rPr>
              <w:t>Diesel bus</w:t>
            </w:r>
          </w:p>
        </w:tc>
        <w:tc>
          <w:tcPr>
            <w:tcW w:w="1147" w:type="dxa"/>
            <w:hideMark/>
          </w:tcPr>
          <w:p w14:paraId="650920E7" w14:textId="167B3C7C" w:rsidR="005116A5" w:rsidRPr="00B275E2" w:rsidRDefault="005116A5" w:rsidP="000E405C">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275E2">
              <w:t>&lt;7,500 kg</w:t>
            </w:r>
          </w:p>
        </w:tc>
        <w:tc>
          <w:tcPr>
            <w:tcW w:w="608" w:type="dxa"/>
            <w:noWrap/>
            <w:hideMark/>
          </w:tcPr>
          <w:p w14:paraId="650920E8" w14:textId="77777777" w:rsidR="005116A5" w:rsidRPr="00B275E2" w:rsidRDefault="005116A5" w:rsidP="000E405C">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275E2">
              <w:t>km</w:t>
            </w:r>
          </w:p>
        </w:tc>
        <w:tc>
          <w:tcPr>
            <w:tcW w:w="1391" w:type="dxa"/>
            <w:shd w:val="clear" w:color="auto" w:fill="D2DDE1" w:themeFill="background2"/>
            <w:noWrap/>
          </w:tcPr>
          <w:p w14:paraId="650920E9" w14:textId="7BD0CD64" w:rsidR="005116A5" w:rsidRPr="00B275E2" w:rsidRDefault="005116A5" w:rsidP="000E405C">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0.567</w:t>
            </w:r>
          </w:p>
        </w:tc>
        <w:tc>
          <w:tcPr>
            <w:tcW w:w="1226" w:type="dxa"/>
            <w:shd w:val="clear" w:color="auto" w:fill="auto"/>
            <w:noWrap/>
          </w:tcPr>
          <w:p w14:paraId="650920EA" w14:textId="14645F0E" w:rsidR="005116A5" w:rsidRPr="00B275E2" w:rsidRDefault="005116A5" w:rsidP="000E405C">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0.557</w:t>
            </w:r>
          </w:p>
        </w:tc>
        <w:tc>
          <w:tcPr>
            <w:tcW w:w="1217" w:type="dxa"/>
            <w:shd w:val="clear" w:color="auto" w:fill="auto"/>
            <w:noWrap/>
          </w:tcPr>
          <w:p w14:paraId="650920EB" w14:textId="699F5AF3" w:rsidR="005116A5" w:rsidRPr="00B275E2" w:rsidRDefault="005116A5" w:rsidP="000E405C">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0.001</w:t>
            </w:r>
          </w:p>
        </w:tc>
        <w:tc>
          <w:tcPr>
            <w:tcW w:w="1252" w:type="dxa"/>
            <w:tcBorders>
              <w:right w:val="single" w:sz="4" w:space="0" w:color="FFFFFF" w:themeColor="background1"/>
            </w:tcBorders>
            <w:shd w:val="clear" w:color="auto" w:fill="auto"/>
            <w:noWrap/>
          </w:tcPr>
          <w:p w14:paraId="650920EC" w14:textId="21710554" w:rsidR="005116A5" w:rsidRPr="00B275E2" w:rsidRDefault="005116A5" w:rsidP="000E405C">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0.009</w:t>
            </w:r>
          </w:p>
        </w:tc>
      </w:tr>
      <w:tr w:rsidR="007B2ED2" w:rsidRPr="00B275E2" w14:paraId="650920F5" w14:textId="77777777" w:rsidTr="00BC40AD">
        <w:trPr>
          <w:trHeight w:val="315"/>
        </w:trPr>
        <w:tc>
          <w:tcPr>
            <w:cnfStyle w:val="001000000000" w:firstRow="0" w:lastRow="0" w:firstColumn="1" w:lastColumn="0" w:oddVBand="0" w:evenVBand="0" w:oddHBand="0" w:evenHBand="0" w:firstRowFirstColumn="0" w:firstRowLastColumn="0" w:lastRowFirstColumn="0" w:lastRowLastColumn="0"/>
            <w:tcW w:w="1664" w:type="dxa"/>
            <w:vMerge/>
            <w:tcBorders>
              <w:left w:val="single" w:sz="4" w:space="0" w:color="FFFFFF" w:themeColor="background1"/>
            </w:tcBorders>
            <w:hideMark/>
          </w:tcPr>
          <w:p w14:paraId="650920EE" w14:textId="77777777" w:rsidR="005116A5" w:rsidRPr="00B275E2" w:rsidRDefault="005116A5" w:rsidP="000E405C">
            <w:pPr>
              <w:pStyle w:val="TableText"/>
              <w:spacing w:before="40" w:after="40"/>
              <w:rPr>
                <w:b w:val="0"/>
              </w:rPr>
            </w:pPr>
          </w:p>
        </w:tc>
        <w:tc>
          <w:tcPr>
            <w:tcW w:w="1147" w:type="dxa"/>
            <w:hideMark/>
          </w:tcPr>
          <w:p w14:paraId="650920EF" w14:textId="10CC17AC" w:rsidR="005116A5" w:rsidRPr="00B275E2" w:rsidRDefault="005116A5" w:rsidP="000E405C">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275E2">
              <w:t>&lt;12,000 kg</w:t>
            </w:r>
          </w:p>
        </w:tc>
        <w:tc>
          <w:tcPr>
            <w:tcW w:w="608" w:type="dxa"/>
            <w:noWrap/>
            <w:hideMark/>
          </w:tcPr>
          <w:p w14:paraId="650920F0" w14:textId="77777777" w:rsidR="005116A5" w:rsidRPr="00B275E2" w:rsidRDefault="005116A5" w:rsidP="000E405C">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275E2">
              <w:t>km</w:t>
            </w:r>
          </w:p>
        </w:tc>
        <w:tc>
          <w:tcPr>
            <w:tcW w:w="1391" w:type="dxa"/>
            <w:shd w:val="clear" w:color="auto" w:fill="D2DDE1" w:themeFill="background2"/>
            <w:noWrap/>
          </w:tcPr>
          <w:p w14:paraId="650920F1" w14:textId="07E63452" w:rsidR="005116A5" w:rsidRPr="00B275E2" w:rsidRDefault="005116A5" w:rsidP="000E405C">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0.785</w:t>
            </w:r>
          </w:p>
        </w:tc>
        <w:tc>
          <w:tcPr>
            <w:tcW w:w="1226" w:type="dxa"/>
            <w:shd w:val="clear" w:color="auto" w:fill="auto"/>
            <w:noWrap/>
          </w:tcPr>
          <w:p w14:paraId="650920F2" w14:textId="2571E83C" w:rsidR="005116A5" w:rsidRPr="00B275E2" w:rsidRDefault="005116A5" w:rsidP="000E405C">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0.772</w:t>
            </w:r>
          </w:p>
        </w:tc>
        <w:tc>
          <w:tcPr>
            <w:tcW w:w="1217" w:type="dxa"/>
            <w:shd w:val="clear" w:color="auto" w:fill="auto"/>
            <w:noWrap/>
          </w:tcPr>
          <w:p w14:paraId="650920F3" w14:textId="1DE7135A" w:rsidR="005116A5" w:rsidRPr="00B275E2" w:rsidRDefault="005116A5" w:rsidP="000E405C">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0.001</w:t>
            </w:r>
          </w:p>
        </w:tc>
        <w:tc>
          <w:tcPr>
            <w:tcW w:w="1252" w:type="dxa"/>
            <w:tcBorders>
              <w:right w:val="single" w:sz="4" w:space="0" w:color="FFFFFF" w:themeColor="background1"/>
            </w:tcBorders>
            <w:shd w:val="clear" w:color="auto" w:fill="auto"/>
            <w:noWrap/>
          </w:tcPr>
          <w:p w14:paraId="650920F4" w14:textId="44DE1719" w:rsidR="005116A5" w:rsidRPr="00B275E2" w:rsidRDefault="005116A5" w:rsidP="000E405C">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0.012</w:t>
            </w:r>
          </w:p>
        </w:tc>
      </w:tr>
      <w:tr w:rsidR="007B2ED2" w:rsidRPr="00B275E2" w14:paraId="650920FD" w14:textId="77777777" w:rsidTr="00BC40A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64" w:type="dxa"/>
            <w:vMerge/>
            <w:tcBorders>
              <w:left w:val="single" w:sz="4" w:space="0" w:color="FFFFFF" w:themeColor="background1"/>
            </w:tcBorders>
            <w:hideMark/>
          </w:tcPr>
          <w:p w14:paraId="650920F6" w14:textId="77777777" w:rsidR="005116A5" w:rsidRPr="00B275E2" w:rsidRDefault="005116A5" w:rsidP="000E405C">
            <w:pPr>
              <w:pStyle w:val="TableText"/>
              <w:spacing w:before="40" w:after="40"/>
              <w:rPr>
                <w:b w:val="0"/>
              </w:rPr>
            </w:pPr>
          </w:p>
        </w:tc>
        <w:tc>
          <w:tcPr>
            <w:tcW w:w="1147" w:type="dxa"/>
            <w:hideMark/>
          </w:tcPr>
          <w:p w14:paraId="650920F7" w14:textId="00B4E4ED" w:rsidR="005116A5" w:rsidRPr="00B275E2" w:rsidRDefault="005116A5" w:rsidP="000E405C">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275E2">
              <w:t xml:space="preserve">≥12,000 kg </w:t>
            </w:r>
          </w:p>
        </w:tc>
        <w:tc>
          <w:tcPr>
            <w:tcW w:w="608" w:type="dxa"/>
            <w:noWrap/>
            <w:hideMark/>
          </w:tcPr>
          <w:p w14:paraId="650920F8" w14:textId="77777777" w:rsidR="005116A5" w:rsidRPr="00B275E2" w:rsidRDefault="005116A5" w:rsidP="000E405C">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275E2">
              <w:t>km</w:t>
            </w:r>
          </w:p>
        </w:tc>
        <w:tc>
          <w:tcPr>
            <w:tcW w:w="1391" w:type="dxa"/>
            <w:shd w:val="clear" w:color="auto" w:fill="D2DDE1" w:themeFill="background2"/>
            <w:noWrap/>
          </w:tcPr>
          <w:p w14:paraId="650920F9" w14:textId="1728E4CA" w:rsidR="005116A5" w:rsidRPr="00B275E2" w:rsidRDefault="005116A5" w:rsidP="000E405C">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1.088</w:t>
            </w:r>
          </w:p>
        </w:tc>
        <w:tc>
          <w:tcPr>
            <w:tcW w:w="1226" w:type="dxa"/>
            <w:shd w:val="clear" w:color="auto" w:fill="auto"/>
            <w:noWrap/>
          </w:tcPr>
          <w:p w14:paraId="650920FA" w14:textId="16DDD088" w:rsidR="005116A5" w:rsidRPr="00B275E2" w:rsidRDefault="005116A5" w:rsidP="000E405C">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1.070</w:t>
            </w:r>
          </w:p>
        </w:tc>
        <w:tc>
          <w:tcPr>
            <w:tcW w:w="1217" w:type="dxa"/>
            <w:shd w:val="clear" w:color="auto" w:fill="auto"/>
            <w:noWrap/>
          </w:tcPr>
          <w:p w14:paraId="650920FB" w14:textId="5695BF41" w:rsidR="005116A5" w:rsidRPr="00B275E2" w:rsidRDefault="005116A5" w:rsidP="000E405C">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0.001</w:t>
            </w:r>
          </w:p>
        </w:tc>
        <w:tc>
          <w:tcPr>
            <w:tcW w:w="1252" w:type="dxa"/>
            <w:tcBorders>
              <w:right w:val="single" w:sz="4" w:space="0" w:color="FFFFFF" w:themeColor="background1"/>
            </w:tcBorders>
            <w:shd w:val="clear" w:color="auto" w:fill="auto"/>
            <w:noWrap/>
          </w:tcPr>
          <w:p w14:paraId="650920FC" w14:textId="49D71640" w:rsidR="005116A5" w:rsidRPr="00B275E2" w:rsidRDefault="005116A5" w:rsidP="000E405C">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0.017</w:t>
            </w:r>
          </w:p>
        </w:tc>
      </w:tr>
      <w:tr w:rsidR="007B2ED2" w:rsidRPr="00B275E2" w14:paraId="65092105" w14:textId="77777777" w:rsidTr="00BC40AD">
        <w:trPr>
          <w:trHeight w:val="315"/>
        </w:trPr>
        <w:tc>
          <w:tcPr>
            <w:cnfStyle w:val="001000000000" w:firstRow="0" w:lastRow="0" w:firstColumn="1" w:lastColumn="0" w:oddVBand="0" w:evenVBand="0" w:oddHBand="0" w:evenHBand="0" w:firstRowFirstColumn="0" w:firstRowLastColumn="0" w:lastRowFirstColumn="0" w:lastRowLastColumn="0"/>
            <w:tcW w:w="1664" w:type="dxa"/>
            <w:vMerge w:val="restart"/>
            <w:tcBorders>
              <w:left w:val="single" w:sz="4" w:space="0" w:color="FFFFFF" w:themeColor="background1"/>
            </w:tcBorders>
            <w:hideMark/>
          </w:tcPr>
          <w:p w14:paraId="650920FE" w14:textId="77777777" w:rsidR="005116A5" w:rsidRPr="00B275E2" w:rsidRDefault="005116A5" w:rsidP="000E405C">
            <w:pPr>
              <w:pStyle w:val="TableText"/>
              <w:spacing w:before="40" w:after="40"/>
              <w:rPr>
                <w:b w:val="0"/>
              </w:rPr>
            </w:pPr>
            <w:r w:rsidRPr="00B275E2">
              <w:rPr>
                <w:b w:val="0"/>
              </w:rPr>
              <w:t>Diesel hybrid bus</w:t>
            </w:r>
          </w:p>
        </w:tc>
        <w:tc>
          <w:tcPr>
            <w:tcW w:w="1147" w:type="dxa"/>
            <w:hideMark/>
          </w:tcPr>
          <w:p w14:paraId="650920FF" w14:textId="36BEF77E" w:rsidR="005116A5" w:rsidRPr="00B275E2" w:rsidRDefault="005116A5" w:rsidP="000E405C">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275E2">
              <w:t xml:space="preserve">&lt;7,500 kg </w:t>
            </w:r>
          </w:p>
        </w:tc>
        <w:tc>
          <w:tcPr>
            <w:tcW w:w="608" w:type="dxa"/>
            <w:noWrap/>
            <w:hideMark/>
          </w:tcPr>
          <w:p w14:paraId="65092100" w14:textId="77777777" w:rsidR="005116A5" w:rsidRPr="00B275E2" w:rsidRDefault="005116A5" w:rsidP="000E405C">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275E2">
              <w:t>km</w:t>
            </w:r>
          </w:p>
        </w:tc>
        <w:tc>
          <w:tcPr>
            <w:tcW w:w="1391" w:type="dxa"/>
            <w:shd w:val="clear" w:color="auto" w:fill="D2DDE1" w:themeFill="background2"/>
            <w:noWrap/>
          </w:tcPr>
          <w:p w14:paraId="65092101" w14:textId="5B7D75D5" w:rsidR="005116A5" w:rsidRPr="00B275E2" w:rsidRDefault="005116A5" w:rsidP="000E405C">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0.401</w:t>
            </w:r>
          </w:p>
        </w:tc>
        <w:tc>
          <w:tcPr>
            <w:tcW w:w="1226" w:type="dxa"/>
            <w:shd w:val="clear" w:color="auto" w:fill="auto"/>
            <w:noWrap/>
          </w:tcPr>
          <w:p w14:paraId="65092102" w14:textId="771E4B63" w:rsidR="005116A5" w:rsidRPr="00B275E2" w:rsidRDefault="005116A5" w:rsidP="000E405C">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0.394</w:t>
            </w:r>
          </w:p>
        </w:tc>
        <w:tc>
          <w:tcPr>
            <w:tcW w:w="1217" w:type="dxa"/>
            <w:shd w:val="clear" w:color="auto" w:fill="auto"/>
            <w:noWrap/>
          </w:tcPr>
          <w:p w14:paraId="65092103" w14:textId="603EFB17" w:rsidR="005116A5" w:rsidRPr="00B275E2" w:rsidRDefault="005116A5" w:rsidP="000E405C">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0.001</w:t>
            </w:r>
          </w:p>
        </w:tc>
        <w:tc>
          <w:tcPr>
            <w:tcW w:w="1252" w:type="dxa"/>
            <w:tcBorders>
              <w:right w:val="single" w:sz="4" w:space="0" w:color="FFFFFF" w:themeColor="background1"/>
            </w:tcBorders>
            <w:shd w:val="clear" w:color="auto" w:fill="auto"/>
            <w:noWrap/>
          </w:tcPr>
          <w:p w14:paraId="65092104" w14:textId="6B33915F" w:rsidR="005116A5" w:rsidRPr="00B275E2" w:rsidRDefault="005116A5" w:rsidP="000E405C">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0.006</w:t>
            </w:r>
          </w:p>
        </w:tc>
      </w:tr>
      <w:tr w:rsidR="007B2ED2" w:rsidRPr="00B275E2" w14:paraId="6509210D" w14:textId="77777777" w:rsidTr="00BC40A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64" w:type="dxa"/>
            <w:vMerge/>
            <w:tcBorders>
              <w:left w:val="single" w:sz="4" w:space="0" w:color="FFFFFF" w:themeColor="background1"/>
            </w:tcBorders>
            <w:hideMark/>
          </w:tcPr>
          <w:p w14:paraId="65092106" w14:textId="77777777" w:rsidR="005116A5" w:rsidRPr="00B275E2" w:rsidRDefault="005116A5" w:rsidP="000E405C">
            <w:pPr>
              <w:pStyle w:val="TableText"/>
              <w:spacing w:before="40" w:after="40"/>
              <w:rPr>
                <w:b w:val="0"/>
              </w:rPr>
            </w:pPr>
          </w:p>
        </w:tc>
        <w:tc>
          <w:tcPr>
            <w:tcW w:w="1147" w:type="dxa"/>
            <w:hideMark/>
          </w:tcPr>
          <w:p w14:paraId="65092107" w14:textId="57297ABC" w:rsidR="005116A5" w:rsidRPr="00B275E2" w:rsidRDefault="005116A5" w:rsidP="000E405C">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275E2">
              <w:t>&lt;12,000 kg</w:t>
            </w:r>
          </w:p>
        </w:tc>
        <w:tc>
          <w:tcPr>
            <w:tcW w:w="608" w:type="dxa"/>
            <w:noWrap/>
            <w:hideMark/>
          </w:tcPr>
          <w:p w14:paraId="65092108" w14:textId="77777777" w:rsidR="005116A5" w:rsidRPr="00B275E2" w:rsidRDefault="005116A5" w:rsidP="000E405C">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275E2">
              <w:t>km</w:t>
            </w:r>
          </w:p>
        </w:tc>
        <w:tc>
          <w:tcPr>
            <w:tcW w:w="1391" w:type="dxa"/>
            <w:shd w:val="clear" w:color="auto" w:fill="D2DDE1" w:themeFill="background2"/>
            <w:noWrap/>
          </w:tcPr>
          <w:p w14:paraId="65092109" w14:textId="345CD88E" w:rsidR="005116A5" w:rsidRPr="00B275E2" w:rsidRDefault="005116A5" w:rsidP="000E405C">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0.556</w:t>
            </w:r>
          </w:p>
        </w:tc>
        <w:tc>
          <w:tcPr>
            <w:tcW w:w="1226" w:type="dxa"/>
            <w:shd w:val="clear" w:color="auto" w:fill="auto"/>
            <w:noWrap/>
          </w:tcPr>
          <w:p w14:paraId="6509210A" w14:textId="68ECA0EA" w:rsidR="005116A5" w:rsidRPr="00B275E2" w:rsidRDefault="005116A5" w:rsidP="000E405C">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0.546</w:t>
            </w:r>
          </w:p>
        </w:tc>
        <w:tc>
          <w:tcPr>
            <w:tcW w:w="1217" w:type="dxa"/>
            <w:shd w:val="clear" w:color="auto" w:fill="auto"/>
            <w:noWrap/>
          </w:tcPr>
          <w:p w14:paraId="6509210B" w14:textId="58E62F56" w:rsidR="005116A5" w:rsidRPr="00B275E2" w:rsidRDefault="005116A5" w:rsidP="000E405C">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0.001</w:t>
            </w:r>
          </w:p>
        </w:tc>
        <w:tc>
          <w:tcPr>
            <w:tcW w:w="1252" w:type="dxa"/>
            <w:tcBorders>
              <w:right w:val="single" w:sz="4" w:space="0" w:color="FFFFFF" w:themeColor="background1"/>
            </w:tcBorders>
            <w:shd w:val="clear" w:color="auto" w:fill="auto"/>
            <w:noWrap/>
          </w:tcPr>
          <w:p w14:paraId="6509210C" w14:textId="11B2D986" w:rsidR="005116A5" w:rsidRPr="00B275E2" w:rsidRDefault="005116A5" w:rsidP="000E405C">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0.009</w:t>
            </w:r>
          </w:p>
        </w:tc>
      </w:tr>
      <w:tr w:rsidR="007B2ED2" w:rsidRPr="00B275E2" w14:paraId="65092115" w14:textId="77777777" w:rsidTr="00BC40AD">
        <w:trPr>
          <w:trHeight w:val="315"/>
        </w:trPr>
        <w:tc>
          <w:tcPr>
            <w:cnfStyle w:val="001000000000" w:firstRow="0" w:lastRow="0" w:firstColumn="1" w:lastColumn="0" w:oddVBand="0" w:evenVBand="0" w:oddHBand="0" w:evenHBand="0" w:firstRowFirstColumn="0" w:firstRowLastColumn="0" w:lastRowFirstColumn="0" w:lastRowLastColumn="0"/>
            <w:tcW w:w="1664" w:type="dxa"/>
            <w:vMerge/>
            <w:tcBorders>
              <w:left w:val="single" w:sz="4" w:space="0" w:color="FFFFFF" w:themeColor="background1"/>
            </w:tcBorders>
            <w:hideMark/>
          </w:tcPr>
          <w:p w14:paraId="6509210E" w14:textId="77777777" w:rsidR="005116A5" w:rsidRPr="00B275E2" w:rsidRDefault="005116A5" w:rsidP="000E405C">
            <w:pPr>
              <w:pStyle w:val="TableText"/>
              <w:spacing w:before="40" w:after="40"/>
              <w:rPr>
                <w:b w:val="0"/>
              </w:rPr>
            </w:pPr>
          </w:p>
        </w:tc>
        <w:tc>
          <w:tcPr>
            <w:tcW w:w="1147" w:type="dxa"/>
            <w:hideMark/>
          </w:tcPr>
          <w:p w14:paraId="6509210F" w14:textId="6D565B0E" w:rsidR="005116A5" w:rsidRPr="00B275E2" w:rsidRDefault="005116A5" w:rsidP="000E405C">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275E2">
              <w:t xml:space="preserve">≥12,000 kg </w:t>
            </w:r>
          </w:p>
        </w:tc>
        <w:tc>
          <w:tcPr>
            <w:tcW w:w="608" w:type="dxa"/>
            <w:noWrap/>
            <w:hideMark/>
          </w:tcPr>
          <w:p w14:paraId="65092110" w14:textId="77777777" w:rsidR="005116A5" w:rsidRPr="00B275E2" w:rsidRDefault="005116A5" w:rsidP="000E405C">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275E2">
              <w:t>km</w:t>
            </w:r>
          </w:p>
        </w:tc>
        <w:tc>
          <w:tcPr>
            <w:tcW w:w="1391" w:type="dxa"/>
            <w:shd w:val="clear" w:color="auto" w:fill="D2DDE1" w:themeFill="background2"/>
            <w:noWrap/>
          </w:tcPr>
          <w:p w14:paraId="65092111" w14:textId="154FB702" w:rsidR="005116A5" w:rsidRPr="00B275E2" w:rsidRDefault="005116A5" w:rsidP="000E405C">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0.770</w:t>
            </w:r>
          </w:p>
        </w:tc>
        <w:tc>
          <w:tcPr>
            <w:tcW w:w="1226" w:type="dxa"/>
            <w:shd w:val="clear" w:color="auto" w:fill="auto"/>
            <w:noWrap/>
          </w:tcPr>
          <w:p w14:paraId="65092112" w14:textId="2E2C8C96" w:rsidR="005116A5" w:rsidRPr="00B275E2" w:rsidRDefault="005116A5" w:rsidP="000E405C">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0.757</w:t>
            </w:r>
          </w:p>
        </w:tc>
        <w:tc>
          <w:tcPr>
            <w:tcW w:w="1217" w:type="dxa"/>
            <w:shd w:val="clear" w:color="auto" w:fill="auto"/>
            <w:noWrap/>
          </w:tcPr>
          <w:p w14:paraId="65092113" w14:textId="7E1A2D8E" w:rsidR="005116A5" w:rsidRPr="00B275E2" w:rsidRDefault="005116A5" w:rsidP="000E405C">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0.001</w:t>
            </w:r>
          </w:p>
        </w:tc>
        <w:tc>
          <w:tcPr>
            <w:tcW w:w="1252" w:type="dxa"/>
            <w:tcBorders>
              <w:right w:val="single" w:sz="4" w:space="0" w:color="FFFFFF" w:themeColor="background1"/>
            </w:tcBorders>
            <w:shd w:val="clear" w:color="auto" w:fill="auto"/>
            <w:noWrap/>
          </w:tcPr>
          <w:p w14:paraId="65092114" w14:textId="4D52A356" w:rsidR="005116A5" w:rsidRPr="00B275E2" w:rsidRDefault="005116A5" w:rsidP="000E405C">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0.012</w:t>
            </w:r>
          </w:p>
        </w:tc>
      </w:tr>
      <w:tr w:rsidR="007B2ED2" w:rsidRPr="00B275E2" w14:paraId="65092135" w14:textId="77777777" w:rsidTr="00BC40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4" w:type="dxa"/>
            <w:vMerge w:val="restart"/>
            <w:tcBorders>
              <w:left w:val="single" w:sz="4" w:space="0" w:color="FFFFFF" w:themeColor="background1"/>
            </w:tcBorders>
            <w:noWrap/>
            <w:hideMark/>
          </w:tcPr>
          <w:p w14:paraId="6509212E" w14:textId="6CF53440" w:rsidR="005116A5" w:rsidRPr="00B275E2" w:rsidRDefault="005116A5" w:rsidP="000E405C">
            <w:pPr>
              <w:pStyle w:val="TableText"/>
              <w:spacing w:before="40" w:after="40"/>
              <w:rPr>
                <w:b w:val="0"/>
              </w:rPr>
            </w:pPr>
            <w:r w:rsidRPr="00B275E2">
              <w:rPr>
                <w:b w:val="0"/>
              </w:rPr>
              <w:t>Electric bus</w:t>
            </w:r>
          </w:p>
        </w:tc>
        <w:tc>
          <w:tcPr>
            <w:tcW w:w="1147" w:type="dxa"/>
            <w:hideMark/>
          </w:tcPr>
          <w:p w14:paraId="6509212F" w14:textId="24F02358" w:rsidR="005116A5" w:rsidRPr="00B275E2" w:rsidRDefault="005116A5" w:rsidP="000E405C">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275E2">
              <w:t>&lt;7,500 kg</w:t>
            </w:r>
          </w:p>
        </w:tc>
        <w:tc>
          <w:tcPr>
            <w:tcW w:w="608" w:type="dxa"/>
            <w:noWrap/>
            <w:hideMark/>
          </w:tcPr>
          <w:p w14:paraId="65092130" w14:textId="77777777" w:rsidR="005116A5" w:rsidRPr="00B275E2" w:rsidRDefault="005116A5" w:rsidP="000E405C">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275E2">
              <w:t>km</w:t>
            </w:r>
          </w:p>
        </w:tc>
        <w:tc>
          <w:tcPr>
            <w:tcW w:w="1391" w:type="dxa"/>
            <w:shd w:val="clear" w:color="auto" w:fill="D2DDE1" w:themeFill="background2"/>
            <w:noWrap/>
          </w:tcPr>
          <w:p w14:paraId="65092131" w14:textId="7650F2BB" w:rsidR="005116A5" w:rsidRPr="00B275E2" w:rsidRDefault="005116A5" w:rsidP="000E405C">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0.055</w:t>
            </w:r>
          </w:p>
        </w:tc>
        <w:tc>
          <w:tcPr>
            <w:tcW w:w="1226" w:type="dxa"/>
            <w:shd w:val="clear" w:color="auto" w:fill="auto"/>
            <w:noWrap/>
          </w:tcPr>
          <w:p w14:paraId="65092132" w14:textId="1A7CDDA2" w:rsidR="005116A5" w:rsidRPr="00B275E2" w:rsidRDefault="005116A5" w:rsidP="000E405C">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0.053</w:t>
            </w:r>
          </w:p>
        </w:tc>
        <w:tc>
          <w:tcPr>
            <w:tcW w:w="1217" w:type="dxa"/>
            <w:shd w:val="clear" w:color="auto" w:fill="auto"/>
            <w:noWrap/>
          </w:tcPr>
          <w:p w14:paraId="65092133" w14:textId="434F4055" w:rsidR="005116A5" w:rsidRPr="00B275E2" w:rsidRDefault="005116A5" w:rsidP="000E405C">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0.002</w:t>
            </w:r>
          </w:p>
        </w:tc>
        <w:tc>
          <w:tcPr>
            <w:tcW w:w="1252" w:type="dxa"/>
            <w:tcBorders>
              <w:right w:val="single" w:sz="4" w:space="0" w:color="FFFFFF" w:themeColor="background1"/>
            </w:tcBorders>
            <w:shd w:val="clear" w:color="auto" w:fill="auto"/>
            <w:noWrap/>
          </w:tcPr>
          <w:p w14:paraId="65092134" w14:textId="5263C45C" w:rsidR="005116A5" w:rsidRPr="00B275E2" w:rsidRDefault="005116A5" w:rsidP="000E405C">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0.0001</w:t>
            </w:r>
          </w:p>
        </w:tc>
      </w:tr>
      <w:tr w:rsidR="007B2ED2" w:rsidRPr="00B275E2" w14:paraId="6509213D" w14:textId="77777777" w:rsidTr="00BC40AD">
        <w:trPr>
          <w:trHeight w:val="300"/>
        </w:trPr>
        <w:tc>
          <w:tcPr>
            <w:cnfStyle w:val="001000000000" w:firstRow="0" w:lastRow="0" w:firstColumn="1" w:lastColumn="0" w:oddVBand="0" w:evenVBand="0" w:oddHBand="0" w:evenHBand="0" w:firstRowFirstColumn="0" w:firstRowLastColumn="0" w:lastRowFirstColumn="0" w:lastRowLastColumn="0"/>
            <w:tcW w:w="1664" w:type="dxa"/>
            <w:vMerge/>
            <w:tcBorders>
              <w:left w:val="single" w:sz="4" w:space="0" w:color="FFFFFF" w:themeColor="background1"/>
            </w:tcBorders>
            <w:hideMark/>
          </w:tcPr>
          <w:p w14:paraId="65092136" w14:textId="77777777" w:rsidR="005116A5" w:rsidRPr="00B275E2" w:rsidRDefault="005116A5" w:rsidP="000E405C">
            <w:pPr>
              <w:pStyle w:val="TableText"/>
              <w:spacing w:before="40" w:after="40"/>
            </w:pPr>
          </w:p>
        </w:tc>
        <w:tc>
          <w:tcPr>
            <w:tcW w:w="1147" w:type="dxa"/>
            <w:hideMark/>
          </w:tcPr>
          <w:p w14:paraId="65092137" w14:textId="2B88B92B" w:rsidR="005116A5" w:rsidRPr="00B275E2" w:rsidRDefault="005116A5" w:rsidP="000E405C">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275E2">
              <w:t xml:space="preserve">&lt;12,000 kg </w:t>
            </w:r>
          </w:p>
        </w:tc>
        <w:tc>
          <w:tcPr>
            <w:tcW w:w="608" w:type="dxa"/>
            <w:noWrap/>
            <w:hideMark/>
          </w:tcPr>
          <w:p w14:paraId="65092138" w14:textId="77777777" w:rsidR="005116A5" w:rsidRPr="00B275E2" w:rsidRDefault="005116A5" w:rsidP="000E405C">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275E2">
              <w:t>km</w:t>
            </w:r>
          </w:p>
        </w:tc>
        <w:tc>
          <w:tcPr>
            <w:tcW w:w="1391" w:type="dxa"/>
            <w:shd w:val="clear" w:color="auto" w:fill="D2DDE1" w:themeFill="background2"/>
            <w:noWrap/>
          </w:tcPr>
          <w:p w14:paraId="65092139" w14:textId="5870E233" w:rsidR="005116A5" w:rsidRPr="00B275E2" w:rsidRDefault="005116A5" w:rsidP="000E405C">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0.076</w:t>
            </w:r>
          </w:p>
        </w:tc>
        <w:tc>
          <w:tcPr>
            <w:tcW w:w="1226" w:type="dxa"/>
            <w:shd w:val="clear" w:color="auto" w:fill="auto"/>
            <w:noWrap/>
          </w:tcPr>
          <w:p w14:paraId="6509213A" w14:textId="7DA2A420" w:rsidR="005116A5" w:rsidRPr="00B275E2" w:rsidRDefault="005116A5" w:rsidP="000E405C">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0.073</w:t>
            </w:r>
          </w:p>
        </w:tc>
        <w:tc>
          <w:tcPr>
            <w:tcW w:w="1217" w:type="dxa"/>
            <w:shd w:val="clear" w:color="auto" w:fill="auto"/>
            <w:noWrap/>
          </w:tcPr>
          <w:p w14:paraId="6509213B" w14:textId="637F6B84" w:rsidR="005116A5" w:rsidRPr="00B275E2" w:rsidRDefault="005116A5" w:rsidP="000E405C">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0.003</w:t>
            </w:r>
          </w:p>
        </w:tc>
        <w:tc>
          <w:tcPr>
            <w:tcW w:w="1252" w:type="dxa"/>
            <w:tcBorders>
              <w:right w:val="single" w:sz="4" w:space="0" w:color="FFFFFF" w:themeColor="background1"/>
            </w:tcBorders>
            <w:shd w:val="clear" w:color="auto" w:fill="auto"/>
            <w:noWrap/>
          </w:tcPr>
          <w:p w14:paraId="6509213C" w14:textId="2A4C8597" w:rsidR="005116A5" w:rsidRPr="00B275E2" w:rsidRDefault="005116A5" w:rsidP="000E405C">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0.0001</w:t>
            </w:r>
          </w:p>
        </w:tc>
      </w:tr>
      <w:tr w:rsidR="007B2ED2" w:rsidRPr="00B275E2" w14:paraId="65092145" w14:textId="77777777" w:rsidTr="00BC40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4" w:type="dxa"/>
            <w:vMerge/>
            <w:tcBorders>
              <w:left w:val="single" w:sz="4" w:space="0" w:color="FFFFFF" w:themeColor="background1"/>
            </w:tcBorders>
            <w:hideMark/>
          </w:tcPr>
          <w:p w14:paraId="6509213E" w14:textId="77777777" w:rsidR="005116A5" w:rsidRPr="00B275E2" w:rsidRDefault="005116A5" w:rsidP="000E405C">
            <w:pPr>
              <w:pStyle w:val="TableText"/>
              <w:spacing w:before="40" w:after="40"/>
            </w:pPr>
          </w:p>
        </w:tc>
        <w:tc>
          <w:tcPr>
            <w:tcW w:w="1147" w:type="dxa"/>
            <w:hideMark/>
          </w:tcPr>
          <w:p w14:paraId="6509213F" w14:textId="37346410" w:rsidR="005116A5" w:rsidRPr="00B275E2" w:rsidRDefault="005116A5" w:rsidP="000E405C">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275E2">
              <w:t>≥12,000 kg</w:t>
            </w:r>
          </w:p>
        </w:tc>
        <w:tc>
          <w:tcPr>
            <w:tcW w:w="608" w:type="dxa"/>
            <w:noWrap/>
            <w:hideMark/>
          </w:tcPr>
          <w:p w14:paraId="65092140" w14:textId="77777777" w:rsidR="005116A5" w:rsidRPr="00B275E2" w:rsidRDefault="005116A5" w:rsidP="000E405C">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275E2">
              <w:t>km</w:t>
            </w:r>
          </w:p>
        </w:tc>
        <w:tc>
          <w:tcPr>
            <w:tcW w:w="1391" w:type="dxa"/>
            <w:shd w:val="clear" w:color="auto" w:fill="D2DDE1" w:themeFill="background2"/>
            <w:noWrap/>
          </w:tcPr>
          <w:p w14:paraId="65092141" w14:textId="54ADB524" w:rsidR="005116A5" w:rsidRPr="00B275E2" w:rsidRDefault="005116A5" w:rsidP="000E405C">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0.106</w:t>
            </w:r>
          </w:p>
        </w:tc>
        <w:tc>
          <w:tcPr>
            <w:tcW w:w="1226" w:type="dxa"/>
            <w:shd w:val="clear" w:color="auto" w:fill="auto"/>
            <w:noWrap/>
          </w:tcPr>
          <w:p w14:paraId="65092142" w14:textId="270B0444" w:rsidR="005116A5" w:rsidRPr="00B275E2" w:rsidRDefault="005116A5" w:rsidP="000E405C">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0.102</w:t>
            </w:r>
          </w:p>
        </w:tc>
        <w:tc>
          <w:tcPr>
            <w:tcW w:w="1217" w:type="dxa"/>
            <w:shd w:val="clear" w:color="auto" w:fill="auto"/>
            <w:noWrap/>
          </w:tcPr>
          <w:p w14:paraId="65092143" w14:textId="6CAF648A" w:rsidR="005116A5" w:rsidRPr="00B275E2" w:rsidRDefault="005116A5" w:rsidP="000E405C">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0.004</w:t>
            </w:r>
          </w:p>
        </w:tc>
        <w:tc>
          <w:tcPr>
            <w:tcW w:w="1252" w:type="dxa"/>
            <w:tcBorders>
              <w:right w:val="single" w:sz="4" w:space="0" w:color="FFFFFF" w:themeColor="background1"/>
            </w:tcBorders>
            <w:shd w:val="clear" w:color="auto" w:fill="auto"/>
            <w:noWrap/>
          </w:tcPr>
          <w:p w14:paraId="65092144" w14:textId="1FB0F90C" w:rsidR="005116A5" w:rsidRPr="00B275E2" w:rsidRDefault="005116A5" w:rsidP="000E405C">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0.0001</w:t>
            </w:r>
          </w:p>
        </w:tc>
      </w:tr>
    </w:tbl>
    <w:p w14:paraId="2F381123" w14:textId="3A06EF68" w:rsidR="00F76EF8" w:rsidRPr="00B275E2" w:rsidRDefault="00F76EF8" w:rsidP="007F0B1E">
      <w:pPr>
        <w:pStyle w:val="Note"/>
      </w:pPr>
      <w:r w:rsidRPr="00B275E2">
        <w:t>Note</w:t>
      </w:r>
      <w:r w:rsidR="003D5438" w:rsidRPr="00B275E2">
        <w:t>:</w:t>
      </w:r>
      <w:r w:rsidRPr="00B275E2">
        <w:t xml:space="preserve"> </w:t>
      </w:r>
      <w:r w:rsidR="003D5438" w:rsidRPr="00B275E2">
        <w:t xml:space="preserve">These </w:t>
      </w:r>
      <w:r w:rsidRPr="00B275E2">
        <w:t xml:space="preserve">numbers are rounded to three </w:t>
      </w:r>
      <w:r w:rsidR="003228BB" w:rsidRPr="00B275E2">
        <w:t>decimal places</w:t>
      </w:r>
      <w:r w:rsidRPr="00B275E2">
        <w:t xml:space="preserve"> unless the number is significantly small. </w:t>
      </w:r>
    </w:p>
    <w:p w14:paraId="27F91741" w14:textId="406CB998" w:rsidR="00D645D0" w:rsidRPr="00B275E2" w:rsidRDefault="00301928" w:rsidP="00C24B73">
      <w:pPr>
        <w:pStyle w:val="Heading3"/>
        <w:numPr>
          <w:ilvl w:val="0"/>
          <w:numId w:val="28"/>
        </w:numPr>
      </w:pPr>
      <w:bookmarkStart w:id="393" w:name="_Toc532904900"/>
      <w:r w:rsidRPr="00B275E2">
        <w:t xml:space="preserve">GHG </w:t>
      </w:r>
      <w:r w:rsidR="00D645D0" w:rsidRPr="00B275E2">
        <w:t>inventory development</w:t>
      </w:r>
      <w:bookmarkEnd w:id="393"/>
    </w:p>
    <w:p w14:paraId="42C8C5A3" w14:textId="6018C4AA" w:rsidR="00A74A8C" w:rsidRPr="00B275E2" w:rsidRDefault="00D645D0" w:rsidP="007F0B1E">
      <w:pPr>
        <w:pStyle w:val="BodyText"/>
      </w:pPr>
      <w:r w:rsidRPr="00B275E2">
        <w:t>To calculate public transport emissions, collect data on the type of transport and distance travelled</w:t>
      </w:r>
      <w:r w:rsidR="006A0E82" w:rsidRPr="00B275E2">
        <w:t>,</w:t>
      </w:r>
      <w:r w:rsidRPr="00B275E2">
        <w:t xml:space="preserve"> and multiply this by the emission factors for each gas.</w:t>
      </w:r>
      <w:r w:rsidR="00A74A8C" w:rsidRPr="00B275E2">
        <w:t xml:space="preserve"> </w:t>
      </w:r>
      <w:r w:rsidR="00F76EF8" w:rsidRPr="00B275E2">
        <w:t xml:space="preserve">Applying the equation </w:t>
      </w:r>
      <w:r w:rsidR="00326E2B" w:rsidRPr="00B275E2">
        <w:t>E</w:t>
      </w:r>
      <w:r w:rsidR="00F5568B" w:rsidRPr="00B275E2">
        <w:t> </w:t>
      </w:r>
      <w:r w:rsidR="00326E2B" w:rsidRPr="00B275E2">
        <w:t>=</w:t>
      </w:r>
      <w:r w:rsidR="00F5568B" w:rsidRPr="00B275E2">
        <w:t> </w:t>
      </w:r>
      <w:r w:rsidR="00326E2B" w:rsidRPr="00B275E2">
        <w:t>Q</w:t>
      </w:r>
      <w:r w:rsidR="00F5568B" w:rsidRPr="00B275E2">
        <w:t> </w:t>
      </w:r>
      <w:r w:rsidR="00326E2B" w:rsidRPr="00B275E2">
        <w:t>x</w:t>
      </w:r>
      <w:r w:rsidR="00F5568B" w:rsidRPr="00B275E2">
        <w:t> </w:t>
      </w:r>
      <w:r w:rsidR="00326E2B" w:rsidRPr="00B275E2">
        <w:t>F</w:t>
      </w:r>
      <w:r w:rsidR="00F76EF8" w:rsidRPr="00B275E2">
        <w:t xml:space="preserve"> </w:t>
      </w:r>
      <w:r w:rsidR="00326E2B" w:rsidRPr="00B275E2">
        <w:t>(</w:t>
      </w:r>
      <w:hyperlink w:anchor="_How_to_quantify" w:history="1">
        <w:r w:rsidR="004C7CA6" w:rsidRPr="00B275E2">
          <w:rPr>
            <w:rStyle w:val="Hyperlink"/>
          </w:rPr>
          <w:t>section 2</w:t>
        </w:r>
      </w:hyperlink>
      <w:r w:rsidR="00326E2B" w:rsidRPr="00B275E2">
        <w:rPr>
          <w:rStyle w:val="Hyperlink"/>
          <w:color w:val="auto"/>
        </w:rPr>
        <w:t>)</w:t>
      </w:r>
      <w:r w:rsidR="00F76EF8" w:rsidRPr="00B275E2">
        <w:rPr>
          <w:i/>
        </w:rPr>
        <w:t>,</w:t>
      </w:r>
      <w:r w:rsidR="00F76EF8" w:rsidRPr="00B275E2">
        <w:t xml:space="preserve"> this means</w:t>
      </w:r>
      <w:r w:rsidR="00D23AAF" w:rsidRPr="00B275E2">
        <w:t>:</w:t>
      </w:r>
    </w:p>
    <w:p w14:paraId="6CDA4B6E" w14:textId="1F1838CB" w:rsidR="00326E2B" w:rsidRPr="00B275E2" w:rsidRDefault="00326E2B" w:rsidP="00946BFE">
      <w:pPr>
        <w:pStyle w:val="BodyText"/>
        <w:tabs>
          <w:tab w:val="left" w:pos="680"/>
          <w:tab w:val="left" w:pos="1134"/>
        </w:tabs>
        <w:contextualSpacing/>
      </w:pPr>
      <w:r w:rsidRPr="00B275E2">
        <w:t>E</w:t>
      </w:r>
      <w:r w:rsidRPr="00B275E2">
        <w:tab/>
        <w:t>=</w:t>
      </w:r>
      <w:r w:rsidRPr="00B275E2">
        <w:tab/>
        <w:t>emissions from the emissions source in kg CO</w:t>
      </w:r>
      <w:r w:rsidRPr="00B275E2">
        <w:rPr>
          <w:vertAlign w:val="subscript"/>
        </w:rPr>
        <w:t>2</w:t>
      </w:r>
      <w:r w:rsidRPr="00B275E2">
        <w:t>-e per year</w:t>
      </w:r>
    </w:p>
    <w:p w14:paraId="2B52E5B1" w14:textId="49783312" w:rsidR="00A74A8C" w:rsidRPr="00B275E2" w:rsidRDefault="003D5438" w:rsidP="00946BFE">
      <w:pPr>
        <w:pStyle w:val="BodyText"/>
        <w:tabs>
          <w:tab w:val="left" w:pos="680"/>
          <w:tab w:val="left" w:pos="1134"/>
        </w:tabs>
        <w:contextualSpacing/>
      </w:pPr>
      <w:r w:rsidRPr="00B275E2">
        <w:t>Q</w:t>
      </w:r>
      <w:r w:rsidRPr="00B275E2">
        <w:tab/>
      </w:r>
      <w:r w:rsidR="00A74A8C" w:rsidRPr="00B275E2">
        <w:t>=</w:t>
      </w:r>
      <w:r w:rsidRPr="00B275E2">
        <w:tab/>
      </w:r>
      <w:r w:rsidR="006A0E82" w:rsidRPr="00B275E2">
        <w:t>d</w:t>
      </w:r>
      <w:r w:rsidR="00A74A8C" w:rsidRPr="00B275E2">
        <w:t>istance travelled</w:t>
      </w:r>
      <w:r w:rsidR="006A0E82" w:rsidRPr="00B275E2">
        <w:t>,</w:t>
      </w:r>
      <w:r w:rsidR="00A74A8C" w:rsidRPr="00B275E2">
        <w:t xml:space="preserve"> by vehicle type (km)</w:t>
      </w:r>
    </w:p>
    <w:p w14:paraId="19FDED96" w14:textId="6F8ADE46" w:rsidR="00D645D0" w:rsidRPr="00B275E2" w:rsidRDefault="003D5438" w:rsidP="00946BFE">
      <w:pPr>
        <w:pStyle w:val="BodyText"/>
        <w:tabs>
          <w:tab w:val="left" w:pos="680"/>
          <w:tab w:val="left" w:pos="1134"/>
        </w:tabs>
        <w:spacing w:after="240"/>
        <w:contextualSpacing/>
      </w:pPr>
      <w:r w:rsidRPr="00B275E2">
        <w:t>F</w:t>
      </w:r>
      <w:r w:rsidRPr="00B275E2">
        <w:tab/>
      </w:r>
      <w:r w:rsidR="00A74A8C" w:rsidRPr="00B275E2">
        <w:t>=</w:t>
      </w:r>
      <w:r w:rsidRPr="00B275E2">
        <w:tab/>
      </w:r>
      <w:r w:rsidR="00A74A8C" w:rsidRPr="00B275E2">
        <w:t>emission factors for correlating vehicle type</w:t>
      </w:r>
      <w:r w:rsidR="006A0E82" w:rsidRPr="00B275E2">
        <w:t>,</w:t>
      </w:r>
      <w:r w:rsidR="00A74A8C" w:rsidRPr="00B275E2">
        <w:t xml:space="preserve"> from </w:t>
      </w:r>
      <w:r w:rsidR="00F30257" w:rsidRPr="00B275E2">
        <w:t>table 3</w:t>
      </w:r>
      <w:r w:rsidR="00F221AA">
        <w:t>4</w:t>
      </w: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5"/>
      </w:tblGrid>
      <w:tr w:rsidR="00BC126B" w:rsidRPr="00B275E2" w:rsidDel="00D5390D" w14:paraId="38A037F0" w14:textId="77777777" w:rsidTr="00946BFE">
        <w:tc>
          <w:tcPr>
            <w:tcW w:w="8647" w:type="dxa"/>
            <w:tcBorders>
              <w:top w:val="single" w:sz="4" w:space="0" w:color="0F7B7D"/>
              <w:left w:val="single" w:sz="4" w:space="0" w:color="0F7B7D"/>
              <w:bottom w:val="nil"/>
              <w:right w:val="single" w:sz="4" w:space="0" w:color="0F7B7D"/>
            </w:tcBorders>
            <w:shd w:val="clear" w:color="auto" w:fill="0F7B7D"/>
            <w:vAlign w:val="center"/>
          </w:tcPr>
          <w:p w14:paraId="7E024865" w14:textId="3F84E5DD" w:rsidR="008B3A39" w:rsidRPr="00B275E2" w:rsidDel="00D5390D" w:rsidRDefault="006A0E82" w:rsidP="00F5568B">
            <w:pPr>
              <w:pStyle w:val="Casestudyheading"/>
            </w:pPr>
            <w:bookmarkStart w:id="394" w:name="_Hlk532893338"/>
            <w:r w:rsidRPr="00B275E2">
              <w:t xml:space="preserve">DIESEL BUS: </w:t>
            </w:r>
            <w:r w:rsidR="008B3A39" w:rsidRPr="00B275E2">
              <w:t>Example Calculation</w:t>
            </w:r>
          </w:p>
        </w:tc>
      </w:tr>
      <w:tr w:rsidR="00BC126B" w:rsidRPr="00B275E2" w14:paraId="3CB22AB4" w14:textId="77777777" w:rsidTr="00946BFE">
        <w:tc>
          <w:tcPr>
            <w:tcW w:w="8647" w:type="dxa"/>
            <w:tcBorders>
              <w:top w:val="nil"/>
              <w:left w:val="single" w:sz="4" w:space="0" w:color="CFE5E5"/>
              <w:bottom w:val="single" w:sz="4" w:space="0" w:color="CFE5E5"/>
              <w:right w:val="single" w:sz="4" w:space="0" w:color="CFE5E5"/>
            </w:tcBorders>
            <w:shd w:val="clear" w:color="auto" w:fill="D5EBE8" w:themeFill="accent3"/>
          </w:tcPr>
          <w:p w14:paraId="758EC5BB" w14:textId="1DC6C85B" w:rsidR="008B3A39" w:rsidRPr="00B275E2" w:rsidRDefault="008B3A39" w:rsidP="000E405C">
            <w:pPr>
              <w:pStyle w:val="Boxtext"/>
              <w:spacing w:after="80"/>
            </w:pPr>
            <w:r w:rsidRPr="00B275E2">
              <w:t xml:space="preserve">An organisation charters a diesel bus (&lt;7,500 </w:t>
            </w:r>
            <w:r w:rsidR="00BA0C39" w:rsidRPr="00B275E2">
              <w:t>kg</w:t>
            </w:r>
            <w:r w:rsidRPr="00B275E2">
              <w:t xml:space="preserve">) to travel 500 km. The emissions would be: </w:t>
            </w:r>
          </w:p>
          <w:p w14:paraId="3AEC3FF7" w14:textId="517C4C75" w:rsidR="00FF6BA9" w:rsidRPr="00B275E2" w:rsidRDefault="00FF6BA9" w:rsidP="000E405C">
            <w:pPr>
              <w:pStyle w:val="Boxtext"/>
              <w:tabs>
                <w:tab w:val="left" w:pos="3001"/>
                <w:tab w:val="left" w:pos="4567"/>
              </w:tabs>
              <w:spacing w:before="20" w:after="20"/>
              <w:ind w:left="850"/>
            </w:pPr>
            <w:r w:rsidRPr="00B275E2">
              <w:t>CO</w:t>
            </w:r>
            <w:r w:rsidRPr="00B275E2">
              <w:rPr>
                <w:vertAlign w:val="subscript"/>
              </w:rPr>
              <w:t>2</w:t>
            </w:r>
            <w:r w:rsidRPr="00B275E2">
              <w:t xml:space="preserve"> emissions</w:t>
            </w:r>
            <w:r w:rsidRPr="00B275E2">
              <w:tab/>
              <w:t>= 500 x 0.557</w:t>
            </w:r>
            <w:r w:rsidRPr="00B275E2">
              <w:tab/>
              <w:t>= 278.5 kg CO</w:t>
            </w:r>
            <w:r w:rsidRPr="00B275E2">
              <w:rPr>
                <w:vertAlign w:val="subscript"/>
              </w:rPr>
              <w:t>2</w:t>
            </w:r>
          </w:p>
          <w:p w14:paraId="145EB9FB" w14:textId="6B409DAE" w:rsidR="00FF6BA9" w:rsidRPr="00B275E2" w:rsidRDefault="00FF6BA9" w:rsidP="000E405C">
            <w:pPr>
              <w:pStyle w:val="Boxtext"/>
              <w:tabs>
                <w:tab w:val="left" w:pos="3001"/>
                <w:tab w:val="left" w:pos="4567"/>
              </w:tabs>
              <w:spacing w:before="20" w:after="20"/>
              <w:ind w:left="850"/>
            </w:pPr>
            <w:r w:rsidRPr="00B275E2">
              <w:t>CH</w:t>
            </w:r>
            <w:r w:rsidRPr="00B275E2">
              <w:rPr>
                <w:vertAlign w:val="subscript"/>
              </w:rPr>
              <w:t>4</w:t>
            </w:r>
            <w:r w:rsidRPr="00B275E2">
              <w:t xml:space="preserve"> emissions</w:t>
            </w:r>
            <w:r w:rsidRPr="00B275E2">
              <w:tab/>
              <w:t>= 500 x 0.001</w:t>
            </w:r>
            <w:r w:rsidRPr="00B275E2">
              <w:tab/>
              <w:t>= 0.5 kg CO</w:t>
            </w:r>
            <w:r w:rsidRPr="00B275E2">
              <w:rPr>
                <w:vertAlign w:val="subscript"/>
              </w:rPr>
              <w:t>2</w:t>
            </w:r>
            <w:r w:rsidRPr="00B275E2">
              <w:t>-e</w:t>
            </w:r>
          </w:p>
          <w:p w14:paraId="11117E18" w14:textId="288E041D" w:rsidR="00FF6BA9" w:rsidRPr="00B275E2" w:rsidRDefault="00FF6BA9" w:rsidP="000E405C">
            <w:pPr>
              <w:pStyle w:val="Boxtext"/>
              <w:tabs>
                <w:tab w:val="left" w:pos="3001"/>
                <w:tab w:val="left" w:pos="4567"/>
              </w:tabs>
              <w:spacing w:before="20" w:after="20"/>
              <w:ind w:left="850"/>
            </w:pPr>
            <w:r w:rsidRPr="00B275E2">
              <w:t>N</w:t>
            </w:r>
            <w:r w:rsidRPr="00B275E2">
              <w:rPr>
                <w:vertAlign w:val="subscript"/>
              </w:rPr>
              <w:t>2</w:t>
            </w:r>
            <w:r w:rsidRPr="00B275E2">
              <w:t>O emissions</w:t>
            </w:r>
            <w:r w:rsidRPr="00B275E2">
              <w:tab/>
              <w:t>= 500 x 0.009</w:t>
            </w:r>
            <w:r w:rsidRPr="00B275E2">
              <w:tab/>
              <w:t>= 4.5 kg CO</w:t>
            </w:r>
            <w:r w:rsidRPr="00B275E2">
              <w:rPr>
                <w:vertAlign w:val="subscript"/>
              </w:rPr>
              <w:t>2</w:t>
            </w:r>
            <w:r w:rsidRPr="00B275E2">
              <w:t>-e</w:t>
            </w:r>
          </w:p>
          <w:p w14:paraId="7D4E274A" w14:textId="14B0DFD1" w:rsidR="008B3A39" w:rsidRPr="00B275E2" w:rsidRDefault="008B3A39" w:rsidP="00A36C08">
            <w:pPr>
              <w:pStyle w:val="Boxtext"/>
              <w:tabs>
                <w:tab w:val="left" w:pos="3001"/>
                <w:tab w:val="left" w:pos="5126"/>
              </w:tabs>
              <w:spacing w:before="20" w:after="80"/>
              <w:ind w:left="850"/>
            </w:pPr>
            <w:r w:rsidRPr="00B275E2">
              <w:t>Total CO</w:t>
            </w:r>
            <w:r w:rsidRPr="00B275E2">
              <w:rPr>
                <w:vertAlign w:val="subscript"/>
              </w:rPr>
              <w:t>2</w:t>
            </w:r>
            <w:r w:rsidRPr="00B275E2">
              <w:t>-e emissions from bu</w:t>
            </w:r>
            <w:r w:rsidR="0684B752" w:rsidRPr="00B275E2">
              <w:t>s travel = 500 km x 0.56</w:t>
            </w:r>
            <w:r w:rsidR="006E36A8" w:rsidRPr="00B275E2">
              <w:t>7</w:t>
            </w:r>
            <w:r w:rsidRPr="00B275E2">
              <w:t xml:space="preserve"> = 283</w:t>
            </w:r>
            <w:r w:rsidR="006E36A8" w:rsidRPr="00B275E2">
              <w:t>.5</w:t>
            </w:r>
            <w:r w:rsidRPr="00B275E2">
              <w:t xml:space="preserve"> kg CO</w:t>
            </w:r>
            <w:r w:rsidRPr="00B275E2">
              <w:rPr>
                <w:vertAlign w:val="subscript"/>
              </w:rPr>
              <w:t>2</w:t>
            </w:r>
            <w:r w:rsidRPr="00B275E2">
              <w:t>-e</w:t>
            </w:r>
          </w:p>
          <w:p w14:paraId="4F6D0C64" w14:textId="77777777" w:rsidR="008B3A39" w:rsidRPr="00B275E2" w:rsidRDefault="008B3A39" w:rsidP="000E405C">
            <w:pPr>
              <w:pStyle w:val="Boxtext"/>
              <w:spacing w:after="80"/>
            </w:pPr>
            <w:r w:rsidRPr="00B275E2">
              <w:t>This result is for the entire bus.</w:t>
            </w:r>
          </w:p>
          <w:p w14:paraId="01448515" w14:textId="4AEC48B4" w:rsidR="00D9313E" w:rsidRPr="00B275E2" w:rsidRDefault="00D9313E" w:rsidP="00A36C08">
            <w:pPr>
              <w:pStyle w:val="Boxtext"/>
              <w:spacing w:before="80" w:after="180"/>
              <w:rPr>
                <w:highlight w:val="yellow"/>
              </w:rPr>
            </w:pPr>
            <w:r w:rsidRPr="00B275E2">
              <w:rPr>
                <w:sz w:val="18"/>
                <w:szCs w:val="20"/>
              </w:rPr>
              <w:lastRenderedPageBreak/>
              <w:t>Note</w:t>
            </w:r>
            <w:r w:rsidR="006A0E82" w:rsidRPr="00B275E2">
              <w:rPr>
                <w:sz w:val="18"/>
                <w:szCs w:val="20"/>
              </w:rPr>
              <w:t>: N</w:t>
            </w:r>
            <w:r w:rsidRPr="00B275E2">
              <w:rPr>
                <w:sz w:val="18"/>
                <w:szCs w:val="20"/>
              </w:rPr>
              <w:t>umbers may not add due to rounding</w:t>
            </w:r>
            <w:r w:rsidR="009B64D6" w:rsidRPr="00B275E2">
              <w:rPr>
                <w:sz w:val="18"/>
                <w:szCs w:val="20"/>
              </w:rPr>
              <w:t>.</w:t>
            </w:r>
            <w:r w:rsidRPr="00B275E2">
              <w:t xml:space="preserve"> </w:t>
            </w:r>
          </w:p>
        </w:tc>
      </w:tr>
    </w:tbl>
    <w:p w14:paraId="65092147" w14:textId="240BAF79" w:rsidR="00EC7BB1" w:rsidRPr="00B275E2" w:rsidRDefault="00E61463" w:rsidP="00C24B73">
      <w:pPr>
        <w:pStyle w:val="Heading3"/>
        <w:numPr>
          <w:ilvl w:val="0"/>
          <w:numId w:val="28"/>
        </w:numPr>
      </w:pPr>
      <w:bookmarkStart w:id="395" w:name="_Toc532904901"/>
      <w:bookmarkEnd w:id="394"/>
      <w:r w:rsidRPr="00B275E2">
        <w:lastRenderedPageBreak/>
        <w:t>Emission factor derivation methodology</w:t>
      </w:r>
      <w:bookmarkEnd w:id="395"/>
    </w:p>
    <w:p w14:paraId="30952FD7" w14:textId="00F1525B" w:rsidR="00311BCD" w:rsidRPr="00B275E2" w:rsidRDefault="00311BCD" w:rsidP="007F0B1E">
      <w:pPr>
        <w:pStyle w:val="BodyText"/>
        <w:rPr>
          <w:rFonts w:cs="Calibri"/>
          <w:color w:val="000000"/>
          <w:shd w:val="clear" w:color="auto" w:fill="FFFFFF"/>
        </w:rPr>
      </w:pPr>
      <w:bookmarkStart w:id="396" w:name="_Ref529725506"/>
      <w:bookmarkStart w:id="397" w:name="_Ref612749"/>
      <w:r w:rsidRPr="00B275E2">
        <w:rPr>
          <w:rFonts w:cs="Calibri"/>
          <w:color w:val="000000"/>
          <w:shd w:val="clear" w:color="auto" w:fill="FFFFFF"/>
        </w:rPr>
        <w:t xml:space="preserve">The average age of the bus fleet is </w:t>
      </w:r>
      <w:r w:rsidRPr="00B275E2">
        <w:rPr>
          <w:rFonts w:cs="Calibri"/>
          <w:shd w:val="clear" w:color="auto" w:fill="FFFFFF"/>
        </w:rPr>
        <w:t xml:space="preserve">16.4 </w:t>
      </w:r>
      <w:r w:rsidRPr="00B275E2">
        <w:rPr>
          <w:rFonts w:cs="Calibri"/>
          <w:color w:val="000000"/>
          <w:shd w:val="clear" w:color="auto" w:fill="FFFFFF"/>
        </w:rPr>
        <w:t xml:space="preserve">years (according to </w:t>
      </w:r>
      <w:r w:rsidRPr="00B275E2">
        <w:rPr>
          <w:rFonts w:cs="Calibri"/>
          <w:shd w:val="clear" w:color="auto" w:fill="FFFFFF"/>
        </w:rPr>
        <w:t xml:space="preserve">Ministry of Transport fleet statistics). Therefore, we applied an average fuel consumption factor for a pre-2010 fleet </w:t>
      </w:r>
      <w:r w:rsidRPr="00B275E2">
        <w:rPr>
          <w:rFonts w:cs="Calibri"/>
          <w:color w:val="000000"/>
          <w:shd w:val="clear" w:color="auto" w:fill="FFFFFF"/>
        </w:rPr>
        <w:t>to</w:t>
      </w:r>
      <w:r w:rsidR="00A36C08" w:rsidRPr="00B275E2">
        <w:rPr>
          <w:rFonts w:cs="Calibri"/>
          <w:color w:val="000000"/>
          <w:shd w:val="clear" w:color="auto" w:fill="FFFFFF"/>
        </w:rPr>
        <w:t> </w:t>
      </w:r>
      <w:r w:rsidRPr="00B275E2">
        <w:rPr>
          <w:rFonts w:cs="Calibri"/>
          <w:color w:val="000000"/>
          <w:shd w:val="clear" w:color="auto" w:fill="FFFFFF"/>
        </w:rPr>
        <w:t>the bus fleet from the 2019 Vehicle Fleet Emissions Model.</w:t>
      </w:r>
    </w:p>
    <w:p w14:paraId="65092149" w14:textId="0BAB9F6D" w:rsidR="009D38DA" w:rsidRPr="00B275E2" w:rsidRDefault="009D38DA" w:rsidP="00A36C08">
      <w:pPr>
        <w:pStyle w:val="Tableheading"/>
      </w:pPr>
      <w:bookmarkStart w:id="398" w:name="_Toc111536640"/>
      <w:r w:rsidRPr="00B275E2">
        <w:t xml:space="preserve">Table </w:t>
      </w:r>
      <w:r w:rsidRPr="00B275E2">
        <w:fldChar w:fldCharType="begin"/>
      </w:r>
      <w:r w:rsidRPr="00B275E2">
        <w:instrText>SEQ Table \* ARABIC</w:instrText>
      </w:r>
      <w:r w:rsidRPr="00B275E2">
        <w:fldChar w:fldCharType="separate"/>
      </w:r>
      <w:r w:rsidR="003E141C" w:rsidRPr="00B275E2">
        <w:t>35</w:t>
      </w:r>
      <w:r w:rsidRPr="00B275E2">
        <w:fldChar w:fldCharType="end"/>
      </w:r>
      <w:bookmarkEnd w:id="396"/>
      <w:bookmarkEnd w:id="397"/>
      <w:r w:rsidR="00AB7CE4" w:rsidRPr="00B275E2">
        <w:t>:</w:t>
      </w:r>
      <w:r w:rsidR="00AB7CE4" w:rsidRPr="00B275E2">
        <w:tab/>
      </w:r>
      <w:r w:rsidRPr="00B275E2">
        <w:t>Fuel</w:t>
      </w:r>
      <w:r w:rsidR="00DF5C38" w:rsidRPr="00B275E2">
        <w:t>/e</w:t>
      </w:r>
      <w:r w:rsidR="00050C31" w:rsidRPr="00B275E2">
        <w:t xml:space="preserve">nergy </w:t>
      </w:r>
      <w:r w:rsidRPr="00B275E2">
        <w:t>consumption per 100</w:t>
      </w:r>
      <w:r w:rsidR="002A0AC2" w:rsidRPr="00B275E2">
        <w:t xml:space="preserve"> </w:t>
      </w:r>
      <w:r w:rsidRPr="00B275E2">
        <w:t xml:space="preserve">km for </w:t>
      </w:r>
      <w:r w:rsidR="00845114" w:rsidRPr="00B275E2">
        <w:t>pre-2010</w:t>
      </w:r>
      <w:r w:rsidRPr="00B275E2">
        <w:t xml:space="preserve"> fleet buses</w:t>
      </w:r>
      <w:bookmarkEnd w:id="398"/>
    </w:p>
    <w:tbl>
      <w:tblPr>
        <w:tblStyle w:val="LightList-Accent11"/>
        <w:tblW w:w="8505" w:type="dxa"/>
        <w:tblInd w:w="20" w:type="dxa"/>
        <w:tblBorders>
          <w:top w:val="single" w:sz="4" w:space="0" w:color="1B556B"/>
          <w:bottom w:val="single" w:sz="4" w:space="0" w:color="1B556B"/>
          <w:insideH w:val="single" w:sz="4" w:space="0" w:color="1B556B"/>
          <w:insideV w:val="single" w:sz="4" w:space="0" w:color="1B556B"/>
        </w:tblBorders>
        <w:tblLook w:val="04A0" w:firstRow="1" w:lastRow="0" w:firstColumn="1" w:lastColumn="0" w:noHBand="0" w:noVBand="1"/>
      </w:tblPr>
      <w:tblGrid>
        <w:gridCol w:w="1823"/>
        <w:gridCol w:w="1682"/>
        <w:gridCol w:w="1122"/>
        <w:gridCol w:w="3878"/>
      </w:tblGrid>
      <w:tr w:rsidR="002A0AC2" w:rsidRPr="00B275E2" w14:paraId="02D8DDC8" w14:textId="77777777" w:rsidTr="00A36C0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3" w:type="dxa"/>
            <w:shd w:val="clear" w:color="auto" w:fill="1B556B" w:themeFill="text2"/>
          </w:tcPr>
          <w:p w14:paraId="414D19C3" w14:textId="4A49C475" w:rsidR="002A0AC2" w:rsidRPr="00B275E2" w:rsidRDefault="002A0AC2" w:rsidP="00837BE8">
            <w:pPr>
              <w:pStyle w:val="TableText"/>
              <w:spacing w:before="40" w:after="40"/>
            </w:pPr>
            <w:r w:rsidRPr="00B275E2">
              <w:t xml:space="preserve">Emission </w:t>
            </w:r>
            <w:r w:rsidR="006A0E82" w:rsidRPr="00B275E2">
              <w:t>s</w:t>
            </w:r>
            <w:r w:rsidRPr="00B275E2">
              <w:t>ource</w:t>
            </w:r>
          </w:p>
        </w:tc>
        <w:tc>
          <w:tcPr>
            <w:tcW w:w="1701" w:type="dxa"/>
            <w:shd w:val="clear" w:color="auto" w:fill="1B556B" w:themeFill="text2"/>
          </w:tcPr>
          <w:p w14:paraId="45E231F2" w14:textId="77777777" w:rsidR="002A0AC2" w:rsidRPr="00B275E2" w:rsidRDefault="002A0AC2" w:rsidP="00837BE8">
            <w:pPr>
              <w:pStyle w:val="TableText"/>
              <w:spacing w:before="40" w:after="40"/>
              <w:cnfStyle w:val="100000000000" w:firstRow="1" w:lastRow="0" w:firstColumn="0" w:lastColumn="0" w:oddVBand="0" w:evenVBand="0" w:oddHBand="0" w:evenHBand="0" w:firstRowFirstColumn="0" w:firstRowLastColumn="0" w:lastRowFirstColumn="0" w:lastRowLastColumn="0"/>
            </w:pPr>
          </w:p>
        </w:tc>
        <w:tc>
          <w:tcPr>
            <w:tcW w:w="1134" w:type="dxa"/>
            <w:shd w:val="clear" w:color="auto" w:fill="1B556B" w:themeFill="text2"/>
          </w:tcPr>
          <w:p w14:paraId="11A2DE2B" w14:textId="0C5B217F" w:rsidR="002A0AC2" w:rsidRPr="00B275E2" w:rsidRDefault="002A0AC2" w:rsidP="00837BE8">
            <w:pPr>
              <w:pStyle w:val="TableText"/>
              <w:spacing w:before="40" w:after="40"/>
              <w:cnfStyle w:val="100000000000" w:firstRow="1" w:lastRow="0" w:firstColumn="0" w:lastColumn="0" w:oddVBand="0" w:evenVBand="0" w:oddHBand="0" w:evenHBand="0" w:firstRowFirstColumn="0" w:firstRowLastColumn="0" w:lastRowFirstColumn="0" w:lastRowLastColumn="0"/>
            </w:pPr>
            <w:r w:rsidRPr="00B275E2">
              <w:t>Unit</w:t>
            </w:r>
          </w:p>
        </w:tc>
        <w:tc>
          <w:tcPr>
            <w:tcW w:w="3944" w:type="dxa"/>
            <w:shd w:val="clear" w:color="auto" w:fill="1B556B" w:themeFill="text2"/>
          </w:tcPr>
          <w:p w14:paraId="3031D583" w14:textId="0955A7E6" w:rsidR="002A0AC2" w:rsidRPr="00B275E2" w:rsidRDefault="002A0AC2" w:rsidP="00837BE8">
            <w:pPr>
              <w:pStyle w:val="TableText"/>
              <w:spacing w:before="40" w:after="40"/>
              <w:jc w:val="right"/>
              <w:cnfStyle w:val="100000000000" w:firstRow="1" w:lastRow="0" w:firstColumn="0" w:lastColumn="0" w:oddVBand="0" w:evenVBand="0" w:oddHBand="0" w:evenHBand="0" w:firstRowFirstColumn="0" w:firstRowLastColumn="0" w:lastRowFirstColumn="0" w:lastRowLastColumn="0"/>
            </w:pPr>
            <w:r w:rsidRPr="00B275E2">
              <w:t>Pre-2010 units of energy per 100</w:t>
            </w:r>
            <w:r w:rsidR="0017660C" w:rsidRPr="00B275E2">
              <w:t> </w:t>
            </w:r>
            <w:r w:rsidRPr="00B275E2">
              <w:t>km</w:t>
            </w:r>
          </w:p>
        </w:tc>
      </w:tr>
      <w:tr w:rsidR="00021F0B" w:rsidRPr="00B275E2" w14:paraId="6CC152D0" w14:textId="77777777" w:rsidTr="00E241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val="restart"/>
            <w:tcBorders>
              <w:left w:val="single" w:sz="4" w:space="0" w:color="FFFFFF" w:themeColor="background1"/>
            </w:tcBorders>
          </w:tcPr>
          <w:p w14:paraId="36EE7D1B" w14:textId="6DEAC01E" w:rsidR="00021F0B" w:rsidRPr="00B275E2" w:rsidRDefault="00021F0B" w:rsidP="00837BE8">
            <w:pPr>
              <w:pStyle w:val="TableText"/>
              <w:spacing w:before="40" w:after="40"/>
              <w:rPr>
                <w:b w:val="0"/>
              </w:rPr>
            </w:pPr>
            <w:r w:rsidRPr="00B275E2">
              <w:rPr>
                <w:b w:val="0"/>
              </w:rPr>
              <w:t>Diesel bus</w:t>
            </w:r>
          </w:p>
        </w:tc>
        <w:tc>
          <w:tcPr>
            <w:tcW w:w="1701" w:type="dxa"/>
          </w:tcPr>
          <w:p w14:paraId="76424DE5" w14:textId="44AB8495" w:rsidR="00021F0B" w:rsidRPr="00B275E2" w:rsidRDefault="00021F0B" w:rsidP="00837BE8">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275E2">
              <w:t>&lt;7,500 kg</w:t>
            </w:r>
          </w:p>
        </w:tc>
        <w:tc>
          <w:tcPr>
            <w:tcW w:w="1134" w:type="dxa"/>
          </w:tcPr>
          <w:p w14:paraId="68B34945" w14:textId="369DBA94" w:rsidR="00021F0B" w:rsidRPr="00B275E2" w:rsidRDefault="00021F0B" w:rsidP="00837BE8">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275E2">
              <w:t>litre</w:t>
            </w:r>
          </w:p>
        </w:tc>
        <w:tc>
          <w:tcPr>
            <w:tcW w:w="3944" w:type="dxa"/>
            <w:tcBorders>
              <w:right w:val="single" w:sz="4" w:space="0" w:color="FFFFFF" w:themeColor="background1"/>
            </w:tcBorders>
            <w:shd w:val="clear" w:color="auto" w:fill="auto"/>
            <w:vAlign w:val="bottom"/>
          </w:tcPr>
          <w:p w14:paraId="410EB84E" w14:textId="5D03934D" w:rsidR="00021F0B" w:rsidRPr="00B275E2" w:rsidRDefault="00021F0B" w:rsidP="00837BE8">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21.043</w:t>
            </w:r>
          </w:p>
        </w:tc>
      </w:tr>
      <w:tr w:rsidR="00021F0B" w:rsidRPr="00B275E2" w14:paraId="177F13B0" w14:textId="77777777" w:rsidTr="00E2410C">
        <w:tc>
          <w:tcPr>
            <w:cnfStyle w:val="001000000000" w:firstRow="0" w:lastRow="0" w:firstColumn="1" w:lastColumn="0" w:oddVBand="0" w:evenVBand="0" w:oddHBand="0" w:evenHBand="0" w:firstRowFirstColumn="0" w:firstRowLastColumn="0" w:lastRowFirstColumn="0" w:lastRowLastColumn="0"/>
            <w:tcW w:w="1843" w:type="dxa"/>
            <w:vMerge/>
            <w:tcBorders>
              <w:left w:val="single" w:sz="4" w:space="0" w:color="FFFFFF" w:themeColor="background1"/>
            </w:tcBorders>
          </w:tcPr>
          <w:p w14:paraId="417BA11F" w14:textId="77777777" w:rsidR="00021F0B" w:rsidRPr="00B275E2" w:rsidRDefault="00021F0B" w:rsidP="00837BE8">
            <w:pPr>
              <w:pStyle w:val="TableText"/>
              <w:spacing w:before="40" w:after="40"/>
              <w:rPr>
                <w:b w:val="0"/>
              </w:rPr>
            </w:pPr>
          </w:p>
        </w:tc>
        <w:tc>
          <w:tcPr>
            <w:tcW w:w="1701" w:type="dxa"/>
          </w:tcPr>
          <w:p w14:paraId="3EE1064B" w14:textId="4125599C" w:rsidR="00021F0B" w:rsidRPr="00B275E2" w:rsidRDefault="00021F0B" w:rsidP="00837BE8">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275E2">
              <w:t>&lt;12,000 kg</w:t>
            </w:r>
          </w:p>
        </w:tc>
        <w:tc>
          <w:tcPr>
            <w:tcW w:w="1134" w:type="dxa"/>
          </w:tcPr>
          <w:p w14:paraId="59BB3187" w14:textId="50EB834C" w:rsidR="00021F0B" w:rsidRPr="00B275E2" w:rsidRDefault="00021F0B" w:rsidP="00837BE8">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275E2">
              <w:t>litre</w:t>
            </w:r>
          </w:p>
        </w:tc>
        <w:tc>
          <w:tcPr>
            <w:tcW w:w="3944" w:type="dxa"/>
            <w:tcBorders>
              <w:right w:val="single" w:sz="4" w:space="0" w:color="FFFFFF" w:themeColor="background1"/>
            </w:tcBorders>
            <w:shd w:val="clear" w:color="auto" w:fill="auto"/>
            <w:vAlign w:val="bottom"/>
          </w:tcPr>
          <w:p w14:paraId="7D67F06A" w14:textId="6C7F232B" w:rsidR="00021F0B" w:rsidRPr="00B275E2" w:rsidRDefault="00021F0B" w:rsidP="00837BE8">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29.147</w:t>
            </w:r>
          </w:p>
        </w:tc>
      </w:tr>
      <w:tr w:rsidR="00021F0B" w:rsidRPr="00B275E2" w14:paraId="58667F97" w14:textId="77777777" w:rsidTr="00E241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Borders>
              <w:left w:val="single" w:sz="4" w:space="0" w:color="FFFFFF" w:themeColor="background1"/>
            </w:tcBorders>
          </w:tcPr>
          <w:p w14:paraId="54C0F74E" w14:textId="77777777" w:rsidR="00021F0B" w:rsidRPr="00B275E2" w:rsidRDefault="00021F0B" w:rsidP="00837BE8">
            <w:pPr>
              <w:pStyle w:val="TableText"/>
              <w:spacing w:before="40" w:after="40"/>
              <w:rPr>
                <w:b w:val="0"/>
              </w:rPr>
            </w:pPr>
          </w:p>
        </w:tc>
        <w:tc>
          <w:tcPr>
            <w:tcW w:w="1701" w:type="dxa"/>
          </w:tcPr>
          <w:p w14:paraId="09DC4747" w14:textId="32A3858D" w:rsidR="00021F0B" w:rsidRPr="00B275E2" w:rsidRDefault="00021F0B" w:rsidP="00837BE8">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275E2">
              <w:t>≥12,000 kg</w:t>
            </w:r>
          </w:p>
        </w:tc>
        <w:tc>
          <w:tcPr>
            <w:tcW w:w="1134" w:type="dxa"/>
          </w:tcPr>
          <w:p w14:paraId="62A73466" w14:textId="46475042" w:rsidR="00021F0B" w:rsidRPr="00B275E2" w:rsidRDefault="00021F0B" w:rsidP="00837BE8">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275E2">
              <w:t>litre</w:t>
            </w:r>
          </w:p>
        </w:tc>
        <w:tc>
          <w:tcPr>
            <w:tcW w:w="3944" w:type="dxa"/>
            <w:tcBorders>
              <w:right w:val="single" w:sz="4" w:space="0" w:color="FFFFFF" w:themeColor="background1"/>
            </w:tcBorders>
            <w:shd w:val="clear" w:color="auto" w:fill="auto"/>
            <w:vAlign w:val="bottom"/>
          </w:tcPr>
          <w:p w14:paraId="43922371" w14:textId="7BD48D9B" w:rsidR="00021F0B" w:rsidRPr="00B275E2" w:rsidRDefault="00021F0B" w:rsidP="00837BE8">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40.397</w:t>
            </w:r>
          </w:p>
        </w:tc>
      </w:tr>
      <w:tr w:rsidR="00021F0B" w:rsidRPr="00B275E2" w14:paraId="17D1295A" w14:textId="77777777" w:rsidTr="00E2410C">
        <w:tc>
          <w:tcPr>
            <w:cnfStyle w:val="001000000000" w:firstRow="0" w:lastRow="0" w:firstColumn="1" w:lastColumn="0" w:oddVBand="0" w:evenVBand="0" w:oddHBand="0" w:evenHBand="0" w:firstRowFirstColumn="0" w:firstRowLastColumn="0" w:lastRowFirstColumn="0" w:lastRowLastColumn="0"/>
            <w:tcW w:w="1843" w:type="dxa"/>
            <w:vMerge w:val="restart"/>
            <w:tcBorders>
              <w:left w:val="single" w:sz="4" w:space="0" w:color="FFFFFF" w:themeColor="background1"/>
            </w:tcBorders>
          </w:tcPr>
          <w:p w14:paraId="6F39A004" w14:textId="0DA37195" w:rsidR="00021F0B" w:rsidRPr="00B275E2" w:rsidRDefault="00021F0B" w:rsidP="00837BE8">
            <w:pPr>
              <w:pStyle w:val="TableText"/>
              <w:keepNext/>
              <w:spacing w:before="40" w:after="40"/>
              <w:rPr>
                <w:b w:val="0"/>
              </w:rPr>
            </w:pPr>
            <w:r w:rsidRPr="00B275E2">
              <w:rPr>
                <w:b w:val="0"/>
              </w:rPr>
              <w:t>Diesel hybrid bus</w:t>
            </w:r>
          </w:p>
        </w:tc>
        <w:tc>
          <w:tcPr>
            <w:tcW w:w="1701" w:type="dxa"/>
          </w:tcPr>
          <w:p w14:paraId="10BCA354" w14:textId="564E3F50" w:rsidR="00021F0B" w:rsidRPr="00B275E2" w:rsidRDefault="00021F0B" w:rsidP="00837BE8">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275E2">
              <w:t>&lt;7,500 kg</w:t>
            </w:r>
          </w:p>
        </w:tc>
        <w:tc>
          <w:tcPr>
            <w:tcW w:w="1134" w:type="dxa"/>
          </w:tcPr>
          <w:p w14:paraId="2FD29A52" w14:textId="12DFC345" w:rsidR="00021F0B" w:rsidRPr="00B275E2" w:rsidRDefault="00021F0B" w:rsidP="00837BE8">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275E2">
              <w:t>litre</w:t>
            </w:r>
          </w:p>
        </w:tc>
        <w:tc>
          <w:tcPr>
            <w:tcW w:w="3944" w:type="dxa"/>
            <w:tcBorders>
              <w:right w:val="single" w:sz="4" w:space="0" w:color="FFFFFF" w:themeColor="background1"/>
            </w:tcBorders>
            <w:shd w:val="clear" w:color="auto" w:fill="auto"/>
            <w:vAlign w:val="bottom"/>
          </w:tcPr>
          <w:p w14:paraId="3D76F63C" w14:textId="2FA7E882" w:rsidR="00021F0B" w:rsidRPr="00B275E2" w:rsidRDefault="00021F0B" w:rsidP="00837BE8">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14.891</w:t>
            </w:r>
          </w:p>
        </w:tc>
      </w:tr>
      <w:tr w:rsidR="00021F0B" w:rsidRPr="00B275E2" w14:paraId="03B57454" w14:textId="77777777" w:rsidTr="00E241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Borders>
              <w:left w:val="single" w:sz="4" w:space="0" w:color="FFFFFF" w:themeColor="background1"/>
            </w:tcBorders>
          </w:tcPr>
          <w:p w14:paraId="4E2C1518" w14:textId="77777777" w:rsidR="00021F0B" w:rsidRPr="00B275E2" w:rsidRDefault="00021F0B" w:rsidP="00837BE8">
            <w:pPr>
              <w:pStyle w:val="TableText"/>
              <w:spacing w:before="40" w:after="40"/>
              <w:rPr>
                <w:b w:val="0"/>
              </w:rPr>
            </w:pPr>
          </w:p>
        </w:tc>
        <w:tc>
          <w:tcPr>
            <w:tcW w:w="1701" w:type="dxa"/>
          </w:tcPr>
          <w:p w14:paraId="0C322ACA" w14:textId="6277C293" w:rsidR="00021F0B" w:rsidRPr="00B275E2" w:rsidRDefault="00021F0B" w:rsidP="00837BE8">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275E2">
              <w:t>&lt;12,000 kg</w:t>
            </w:r>
          </w:p>
        </w:tc>
        <w:tc>
          <w:tcPr>
            <w:tcW w:w="1134" w:type="dxa"/>
          </w:tcPr>
          <w:p w14:paraId="7BA03E87" w14:textId="27707E76" w:rsidR="00021F0B" w:rsidRPr="00B275E2" w:rsidRDefault="00021F0B" w:rsidP="00837BE8">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275E2">
              <w:t>litre</w:t>
            </w:r>
          </w:p>
        </w:tc>
        <w:tc>
          <w:tcPr>
            <w:tcW w:w="3944" w:type="dxa"/>
            <w:tcBorders>
              <w:right w:val="single" w:sz="4" w:space="0" w:color="FFFFFF" w:themeColor="background1"/>
            </w:tcBorders>
            <w:shd w:val="clear" w:color="auto" w:fill="auto"/>
            <w:vAlign w:val="bottom"/>
          </w:tcPr>
          <w:p w14:paraId="4D8BB542" w14:textId="3BE282D7" w:rsidR="00021F0B" w:rsidRPr="00B275E2" w:rsidRDefault="00021F0B" w:rsidP="00837BE8">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20.626</w:t>
            </w:r>
          </w:p>
        </w:tc>
      </w:tr>
      <w:tr w:rsidR="00021F0B" w:rsidRPr="00B275E2" w14:paraId="40A54197" w14:textId="77777777" w:rsidTr="00E2410C">
        <w:tc>
          <w:tcPr>
            <w:cnfStyle w:val="001000000000" w:firstRow="0" w:lastRow="0" w:firstColumn="1" w:lastColumn="0" w:oddVBand="0" w:evenVBand="0" w:oddHBand="0" w:evenHBand="0" w:firstRowFirstColumn="0" w:firstRowLastColumn="0" w:lastRowFirstColumn="0" w:lastRowLastColumn="0"/>
            <w:tcW w:w="1843" w:type="dxa"/>
            <w:vMerge/>
            <w:tcBorders>
              <w:left w:val="single" w:sz="4" w:space="0" w:color="FFFFFF" w:themeColor="background1"/>
            </w:tcBorders>
          </w:tcPr>
          <w:p w14:paraId="633C7BB4" w14:textId="77777777" w:rsidR="00021F0B" w:rsidRPr="00B275E2" w:rsidRDefault="00021F0B" w:rsidP="00837BE8">
            <w:pPr>
              <w:pStyle w:val="TableText"/>
              <w:spacing w:before="40" w:after="40"/>
              <w:rPr>
                <w:b w:val="0"/>
              </w:rPr>
            </w:pPr>
          </w:p>
        </w:tc>
        <w:tc>
          <w:tcPr>
            <w:tcW w:w="1701" w:type="dxa"/>
          </w:tcPr>
          <w:p w14:paraId="22628348" w14:textId="7EF15F29" w:rsidR="00021F0B" w:rsidRPr="00B275E2" w:rsidRDefault="00021F0B" w:rsidP="00837BE8">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275E2">
              <w:t>≥12,000 kg</w:t>
            </w:r>
          </w:p>
        </w:tc>
        <w:tc>
          <w:tcPr>
            <w:tcW w:w="1134" w:type="dxa"/>
          </w:tcPr>
          <w:p w14:paraId="3853214C" w14:textId="0CDCB31D" w:rsidR="00021F0B" w:rsidRPr="00B275E2" w:rsidRDefault="00021F0B" w:rsidP="00837BE8">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275E2">
              <w:t>litre</w:t>
            </w:r>
          </w:p>
        </w:tc>
        <w:tc>
          <w:tcPr>
            <w:tcW w:w="3944" w:type="dxa"/>
            <w:tcBorders>
              <w:right w:val="single" w:sz="4" w:space="0" w:color="FFFFFF" w:themeColor="background1"/>
            </w:tcBorders>
            <w:shd w:val="clear" w:color="auto" w:fill="auto"/>
            <w:vAlign w:val="bottom"/>
          </w:tcPr>
          <w:p w14:paraId="683126AA" w14:textId="65F14B37" w:rsidR="00021F0B" w:rsidRPr="00B275E2" w:rsidRDefault="00021F0B" w:rsidP="00837BE8">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28.587</w:t>
            </w:r>
          </w:p>
        </w:tc>
      </w:tr>
      <w:tr w:rsidR="00021F0B" w:rsidRPr="00B275E2" w14:paraId="6C7AE4A4" w14:textId="77777777" w:rsidTr="00E241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val="restart"/>
            <w:tcBorders>
              <w:left w:val="single" w:sz="4" w:space="0" w:color="FFFFFF" w:themeColor="background1"/>
            </w:tcBorders>
          </w:tcPr>
          <w:p w14:paraId="1ED22509" w14:textId="3851924B" w:rsidR="00021F0B" w:rsidRPr="00B275E2" w:rsidRDefault="00021F0B" w:rsidP="00837BE8">
            <w:pPr>
              <w:pStyle w:val="TableText"/>
              <w:spacing w:before="40" w:after="40"/>
              <w:rPr>
                <w:b w:val="0"/>
              </w:rPr>
            </w:pPr>
            <w:r w:rsidRPr="00B275E2">
              <w:rPr>
                <w:b w:val="0"/>
              </w:rPr>
              <w:t>Electric bus</w:t>
            </w:r>
          </w:p>
        </w:tc>
        <w:tc>
          <w:tcPr>
            <w:tcW w:w="1701" w:type="dxa"/>
          </w:tcPr>
          <w:p w14:paraId="7EE38250" w14:textId="114A8B2D" w:rsidR="00021F0B" w:rsidRPr="00B275E2" w:rsidRDefault="00021F0B" w:rsidP="00837BE8">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275E2">
              <w:t>&lt;7,500 kg</w:t>
            </w:r>
          </w:p>
        </w:tc>
        <w:tc>
          <w:tcPr>
            <w:tcW w:w="1134" w:type="dxa"/>
          </w:tcPr>
          <w:p w14:paraId="790B322B" w14:textId="73C9EDAC" w:rsidR="00021F0B" w:rsidRPr="00B275E2" w:rsidRDefault="00021F0B" w:rsidP="00837BE8">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275E2">
              <w:t>kWh</w:t>
            </w:r>
          </w:p>
        </w:tc>
        <w:tc>
          <w:tcPr>
            <w:tcW w:w="3944" w:type="dxa"/>
            <w:tcBorders>
              <w:right w:val="single" w:sz="4" w:space="0" w:color="FFFFFF" w:themeColor="background1"/>
            </w:tcBorders>
            <w:shd w:val="clear" w:color="auto" w:fill="auto"/>
            <w:vAlign w:val="bottom"/>
          </w:tcPr>
          <w:p w14:paraId="3D90863F" w14:textId="3B9BD3B7" w:rsidR="00021F0B" w:rsidRPr="00B275E2" w:rsidRDefault="00021F0B" w:rsidP="00837BE8">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8.690</w:t>
            </w:r>
          </w:p>
        </w:tc>
      </w:tr>
      <w:tr w:rsidR="00021F0B" w:rsidRPr="00B275E2" w14:paraId="1DD366AF" w14:textId="77777777" w:rsidTr="00E2410C">
        <w:tc>
          <w:tcPr>
            <w:cnfStyle w:val="001000000000" w:firstRow="0" w:lastRow="0" w:firstColumn="1" w:lastColumn="0" w:oddVBand="0" w:evenVBand="0" w:oddHBand="0" w:evenHBand="0" w:firstRowFirstColumn="0" w:firstRowLastColumn="0" w:lastRowFirstColumn="0" w:lastRowLastColumn="0"/>
            <w:tcW w:w="1843" w:type="dxa"/>
            <w:vMerge/>
            <w:tcBorders>
              <w:left w:val="single" w:sz="4" w:space="0" w:color="FFFFFF" w:themeColor="background1"/>
            </w:tcBorders>
          </w:tcPr>
          <w:p w14:paraId="41A26BE7" w14:textId="77777777" w:rsidR="00021F0B" w:rsidRPr="00B275E2" w:rsidRDefault="00021F0B" w:rsidP="00837BE8">
            <w:pPr>
              <w:pStyle w:val="TableText"/>
              <w:spacing w:before="40" w:after="40"/>
            </w:pPr>
          </w:p>
        </w:tc>
        <w:tc>
          <w:tcPr>
            <w:tcW w:w="1701" w:type="dxa"/>
          </w:tcPr>
          <w:p w14:paraId="0F124E5E" w14:textId="0B0E0A23" w:rsidR="00021F0B" w:rsidRPr="00B275E2" w:rsidRDefault="00021F0B" w:rsidP="00837BE8">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275E2">
              <w:t>&lt;12,000 kg</w:t>
            </w:r>
          </w:p>
        </w:tc>
        <w:tc>
          <w:tcPr>
            <w:tcW w:w="1134" w:type="dxa"/>
          </w:tcPr>
          <w:p w14:paraId="4C5530A2" w14:textId="34A79F35" w:rsidR="00021F0B" w:rsidRPr="00B275E2" w:rsidRDefault="00021F0B" w:rsidP="00837BE8">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275E2">
              <w:t>kWh</w:t>
            </w:r>
          </w:p>
        </w:tc>
        <w:tc>
          <w:tcPr>
            <w:tcW w:w="3944" w:type="dxa"/>
            <w:tcBorders>
              <w:right w:val="single" w:sz="4" w:space="0" w:color="FFFFFF" w:themeColor="background1"/>
            </w:tcBorders>
            <w:shd w:val="clear" w:color="auto" w:fill="auto"/>
            <w:vAlign w:val="bottom"/>
          </w:tcPr>
          <w:p w14:paraId="7B379170" w14:textId="35E84F5D" w:rsidR="00021F0B" w:rsidRPr="00B275E2" w:rsidRDefault="00021F0B" w:rsidP="00837BE8">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12.037</w:t>
            </w:r>
          </w:p>
        </w:tc>
      </w:tr>
      <w:tr w:rsidR="00021F0B" w:rsidRPr="00B275E2" w14:paraId="60947B13" w14:textId="77777777" w:rsidTr="00E241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Borders>
              <w:left w:val="single" w:sz="4" w:space="0" w:color="FFFFFF" w:themeColor="background1"/>
            </w:tcBorders>
          </w:tcPr>
          <w:p w14:paraId="5216F7C1" w14:textId="77777777" w:rsidR="00021F0B" w:rsidRPr="00B275E2" w:rsidRDefault="00021F0B" w:rsidP="00837BE8">
            <w:pPr>
              <w:pStyle w:val="TableText"/>
              <w:spacing w:before="40" w:after="40"/>
            </w:pPr>
          </w:p>
        </w:tc>
        <w:tc>
          <w:tcPr>
            <w:tcW w:w="1701" w:type="dxa"/>
            <w:shd w:val="clear" w:color="auto" w:fill="auto"/>
          </w:tcPr>
          <w:p w14:paraId="562B7915" w14:textId="3DCDE246" w:rsidR="00021F0B" w:rsidRPr="00B275E2" w:rsidRDefault="00021F0B" w:rsidP="00837BE8">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275E2">
              <w:t>≥12,000 kg</w:t>
            </w:r>
          </w:p>
        </w:tc>
        <w:tc>
          <w:tcPr>
            <w:tcW w:w="1134" w:type="dxa"/>
            <w:shd w:val="clear" w:color="auto" w:fill="auto"/>
          </w:tcPr>
          <w:p w14:paraId="5CD10FE4" w14:textId="1E6E765E" w:rsidR="00021F0B" w:rsidRPr="00B275E2" w:rsidRDefault="00021F0B" w:rsidP="00837BE8">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275E2">
              <w:t>kWh</w:t>
            </w:r>
          </w:p>
        </w:tc>
        <w:tc>
          <w:tcPr>
            <w:tcW w:w="3944" w:type="dxa"/>
            <w:tcBorders>
              <w:right w:val="single" w:sz="4" w:space="0" w:color="FFFFFF" w:themeColor="background1"/>
            </w:tcBorders>
            <w:shd w:val="clear" w:color="auto" w:fill="auto"/>
            <w:vAlign w:val="bottom"/>
          </w:tcPr>
          <w:p w14:paraId="5B5B81EE" w14:textId="3097C407" w:rsidR="00021F0B" w:rsidRPr="00B275E2" w:rsidRDefault="00021F0B" w:rsidP="00837BE8">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16.682</w:t>
            </w:r>
          </w:p>
        </w:tc>
      </w:tr>
    </w:tbl>
    <w:p w14:paraId="6509217D" w14:textId="3D7E0656" w:rsidR="009D38DA" w:rsidRPr="00B275E2" w:rsidRDefault="009D38DA" w:rsidP="007F0B1E">
      <w:pPr>
        <w:pStyle w:val="BodyText"/>
        <w:spacing w:before="240" w:after="240"/>
      </w:pPr>
      <w:r w:rsidRPr="00B275E2">
        <w:t xml:space="preserve">Using the information in </w:t>
      </w:r>
      <w:hyperlink w:anchor="table35" w:history="1">
        <w:r w:rsidR="00857F60" w:rsidRPr="0057779A">
          <w:rPr>
            <w:rStyle w:val="Hyperlink"/>
          </w:rPr>
          <w:t>table 3</w:t>
        </w:r>
        <w:r w:rsidR="0057779A" w:rsidRPr="0057779A">
          <w:rPr>
            <w:rStyle w:val="Hyperlink"/>
          </w:rPr>
          <w:t>5</w:t>
        </w:r>
      </w:hyperlink>
      <w:r w:rsidR="00ED28A5" w:rsidRPr="00B275E2">
        <w:rPr>
          <w:color w:val="32809C" w:themeColor="accent2"/>
        </w:rPr>
        <w:t xml:space="preserve"> </w:t>
      </w:r>
      <w:r w:rsidRPr="00B275E2">
        <w:t>and</w:t>
      </w:r>
      <w:r w:rsidR="00C92A36" w:rsidRPr="00B275E2">
        <w:t xml:space="preserve"> appropriate</w:t>
      </w:r>
      <w:r w:rsidRPr="00B275E2">
        <w:t xml:space="preserve"> emission factor</w:t>
      </w:r>
      <w:r w:rsidR="00F76EF8" w:rsidRPr="00B275E2">
        <w:t>,</w:t>
      </w:r>
      <w:r w:rsidR="00DB031E" w:rsidRPr="00B275E2">
        <w:t xml:space="preserve"> </w:t>
      </w:r>
      <w:r w:rsidRPr="00B275E2">
        <w:t xml:space="preserve">the equation </w:t>
      </w:r>
      <w:r w:rsidR="00F76EF8" w:rsidRPr="00B275E2">
        <w:t>is</w:t>
      </w:r>
      <w:r w:rsidR="002D55C1" w:rsidRPr="00B275E2">
        <w:t>:</w:t>
      </w:r>
    </w:p>
    <w:tbl>
      <w:tblPr>
        <w:tblStyle w:val="mfebox"/>
        <w:tblW w:w="0" w:type="auto"/>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495"/>
      </w:tblGrid>
      <w:tr w:rsidR="002D55C1" w:rsidRPr="00B275E2" w14:paraId="6509217F" w14:textId="77777777" w:rsidTr="00837BE8">
        <w:tc>
          <w:tcPr>
            <w:tcW w:w="8720" w:type="dxa"/>
            <w:shd w:val="clear" w:color="auto" w:fill="D2DDE1" w:themeFill="background2"/>
          </w:tcPr>
          <w:p w14:paraId="6509217E" w14:textId="782FCA65" w:rsidR="002D55C1" w:rsidRPr="00B275E2" w:rsidRDefault="00954B9C" w:rsidP="007F0B1E">
            <w:pPr>
              <w:pStyle w:val="Box"/>
              <w:spacing w:before="0" w:after="0"/>
              <w:ind w:left="0"/>
            </w:pPr>
            <m:oMathPara>
              <m:oMath>
                <m:f>
                  <m:fPr>
                    <m:ctrlPr>
                      <w:rPr>
                        <w:rFonts w:ascii="Cambria Math" w:hAnsi="Cambria Math"/>
                      </w:rPr>
                    </m:ctrlPr>
                  </m:fPr>
                  <m:num>
                    <m:r>
                      <w:rPr>
                        <w:rFonts w:ascii="Cambria Math" w:hAnsi="Cambria Math"/>
                      </w:rPr>
                      <m:t>energy</m:t>
                    </m:r>
                    <m:r>
                      <m:rPr>
                        <m:sty m:val="p"/>
                      </m:rPr>
                      <w:rPr>
                        <w:rFonts w:ascii="Cambria Math" w:hAnsi="Cambria Math"/>
                      </w:rPr>
                      <m:t xml:space="preserve"> </m:t>
                    </m:r>
                    <m:r>
                      <w:rPr>
                        <w:rFonts w:ascii="Cambria Math" w:hAnsi="Cambria Math"/>
                      </w:rPr>
                      <m:t>consumption</m:t>
                    </m:r>
                  </m:num>
                  <m:den>
                    <m:r>
                      <w:rPr>
                        <w:rFonts w:ascii="Cambria Math" w:hAnsi="Cambria Math"/>
                      </w:rPr>
                      <m:t>100 (km)</m:t>
                    </m:r>
                  </m:den>
                </m:f>
                <m:r>
                  <m:rPr>
                    <m:sty m:val="p"/>
                  </m:rPr>
                  <w:rPr>
                    <w:rFonts w:ascii="Cambria Math" w:hAnsi="Cambria Math"/>
                  </w:rPr>
                  <m:t xml:space="preserve"> ×</m:t>
                </m:r>
                <m:r>
                  <w:rPr>
                    <w:rFonts w:ascii="Cambria Math" w:hAnsi="Cambria Math"/>
                  </w:rPr>
                  <m:t>emission</m:t>
                </m:r>
                <m:r>
                  <m:rPr>
                    <m:sty m:val="p"/>
                  </m:rPr>
                  <w:rPr>
                    <w:rFonts w:ascii="Cambria Math" w:hAnsi="Cambria Math"/>
                  </w:rPr>
                  <m:t xml:space="preserve"> </m:t>
                </m:r>
                <m:r>
                  <w:rPr>
                    <w:rFonts w:ascii="Cambria Math" w:hAnsi="Cambria Math"/>
                  </w:rPr>
                  <m:t>factor</m:t>
                </m:r>
                <m:r>
                  <m:rPr>
                    <m:sty m:val="p"/>
                  </m:rPr>
                  <w:rPr>
                    <w:rFonts w:ascii="Cambria Math" w:hAnsi="Cambria Math"/>
                  </w:rPr>
                  <m:t>=</m:t>
                </m:r>
                <m:r>
                  <w:rPr>
                    <w:rFonts w:ascii="Cambria Math" w:hAnsi="Cambria Math"/>
                  </w:rPr>
                  <m:t>greenhouse</m:t>
                </m:r>
                <m:r>
                  <m:rPr>
                    <m:sty m:val="p"/>
                  </m:rPr>
                  <w:rPr>
                    <w:rFonts w:ascii="Cambria Math" w:hAnsi="Cambria Math"/>
                  </w:rPr>
                  <m:t xml:space="preserve"> </m:t>
                </m:r>
                <m:r>
                  <w:rPr>
                    <w:rFonts w:ascii="Cambria Math" w:hAnsi="Cambria Math"/>
                  </w:rPr>
                  <m:t>gas</m:t>
                </m:r>
                <m:r>
                  <m:rPr>
                    <m:sty m:val="p"/>
                  </m:rPr>
                  <w:rPr>
                    <w:rFonts w:ascii="Cambria Math" w:hAnsi="Cambria Math"/>
                  </w:rPr>
                  <m:t xml:space="preserve"> </m:t>
                </m:r>
                <m:r>
                  <w:rPr>
                    <w:rFonts w:ascii="Cambria Math" w:hAnsi="Cambria Math"/>
                  </w:rPr>
                  <m:t>emissions</m:t>
                </m:r>
                <m:r>
                  <m:rPr>
                    <m:sty m:val="p"/>
                  </m:rPr>
                  <w:rPr>
                    <w:rFonts w:ascii="Cambria Math" w:hAnsi="Cambria Math"/>
                  </w:rPr>
                  <m:t xml:space="preserve"> </m:t>
                </m:r>
                <m:r>
                  <w:rPr>
                    <w:rFonts w:ascii="Cambria Math" w:hAnsi="Cambria Math"/>
                  </w:rPr>
                  <m:t>per</m:t>
                </m:r>
                <m:r>
                  <m:rPr>
                    <m:sty m:val="p"/>
                  </m:rPr>
                  <w:rPr>
                    <w:rFonts w:ascii="Cambria Math" w:hAnsi="Cambria Math"/>
                  </w:rPr>
                  <m:t xml:space="preserve"> </m:t>
                </m:r>
                <m:r>
                  <w:rPr>
                    <w:rFonts w:ascii="Cambria Math" w:hAnsi="Cambria Math"/>
                  </w:rPr>
                  <m:t>km</m:t>
                </m:r>
              </m:oMath>
            </m:oMathPara>
          </w:p>
        </w:tc>
      </w:tr>
    </w:tbl>
    <w:p w14:paraId="65092180" w14:textId="77777777" w:rsidR="00D338EB" w:rsidRPr="00B275E2" w:rsidRDefault="00D338EB" w:rsidP="007F0B1E">
      <w:pPr>
        <w:pStyle w:val="BodyText"/>
        <w:spacing w:before="240"/>
      </w:pPr>
      <w:r w:rsidRPr="00B275E2">
        <w:t>Where</w:t>
      </w:r>
      <w:r w:rsidR="002D55C1" w:rsidRPr="00B275E2">
        <w:t>:</w:t>
      </w:r>
    </w:p>
    <w:p w14:paraId="1701BD5F" w14:textId="77777777" w:rsidR="0057779A" w:rsidRDefault="009B64D6" w:rsidP="007F0B1E">
      <w:pPr>
        <w:pStyle w:val="Bullet"/>
      </w:pPr>
      <w:r w:rsidRPr="00B275E2">
        <w:t>f</w:t>
      </w:r>
      <w:r w:rsidR="00D338EB" w:rsidRPr="00B275E2">
        <w:t>uel</w:t>
      </w:r>
      <w:r w:rsidR="00161749" w:rsidRPr="00B275E2">
        <w:t>/e</w:t>
      </w:r>
      <w:r w:rsidR="00050C31" w:rsidRPr="00B275E2">
        <w:t xml:space="preserve">nergy </w:t>
      </w:r>
      <w:r w:rsidR="00D338EB" w:rsidRPr="00B275E2">
        <w:t xml:space="preserve">consumption = </w:t>
      </w:r>
      <w:r w:rsidR="00050C31" w:rsidRPr="00B275E2">
        <w:t xml:space="preserve">units </w:t>
      </w:r>
      <w:r w:rsidR="00D338EB" w:rsidRPr="00B275E2">
        <w:t xml:space="preserve">of </w:t>
      </w:r>
      <w:r w:rsidR="00050C31" w:rsidRPr="00B275E2">
        <w:t xml:space="preserve">energy </w:t>
      </w:r>
      <w:r w:rsidR="00D338EB" w:rsidRPr="00B275E2">
        <w:t>per 100</w:t>
      </w:r>
      <w:r w:rsidR="002A0AC2" w:rsidRPr="00B275E2">
        <w:t xml:space="preserve"> </w:t>
      </w:r>
      <w:r w:rsidR="00D338EB" w:rsidRPr="00B275E2">
        <w:t>km travelled</w:t>
      </w:r>
    </w:p>
    <w:p w14:paraId="65092182" w14:textId="3918E24B" w:rsidR="00D338EB" w:rsidRPr="00B275E2" w:rsidRDefault="009B64D6" w:rsidP="00D31805">
      <w:pPr>
        <w:pStyle w:val="Bullet"/>
      </w:pPr>
      <w:r w:rsidRPr="00B275E2">
        <w:t>e</w:t>
      </w:r>
      <w:r w:rsidR="00D338EB" w:rsidRPr="00B275E2">
        <w:t xml:space="preserve">mission factor = the emission factor </w:t>
      </w:r>
      <w:r w:rsidR="0070705A" w:rsidRPr="00B275E2">
        <w:t>from</w:t>
      </w:r>
      <w:r w:rsidR="00D338EB" w:rsidRPr="00B275E2">
        <w:t xml:space="preserve"> </w:t>
      </w:r>
      <w:hyperlink w:anchor="table4" w:history="1">
        <w:r w:rsidR="0030081A" w:rsidRPr="00B275E2">
          <w:rPr>
            <w:rStyle w:val="Hyperlink"/>
          </w:rPr>
          <w:t>table 4</w:t>
        </w:r>
      </w:hyperlink>
      <w:r w:rsidR="005B74D6" w:rsidRPr="0057779A">
        <w:rPr>
          <w:color w:val="32809C" w:themeColor="accent2"/>
        </w:rPr>
        <w:t xml:space="preserve"> </w:t>
      </w:r>
      <w:r w:rsidR="0070705A" w:rsidRPr="00B275E2">
        <w:t xml:space="preserve">or </w:t>
      </w:r>
      <w:hyperlink w:anchor="table9" w:history="1">
        <w:r w:rsidR="00CD647B" w:rsidRPr="00B275E2">
          <w:rPr>
            <w:rStyle w:val="Hyperlink"/>
          </w:rPr>
          <w:t>table 9</w:t>
        </w:r>
      </w:hyperlink>
    </w:p>
    <w:p w14:paraId="65092183" w14:textId="2692D0F3" w:rsidR="00D6183A" w:rsidRPr="00B275E2" w:rsidRDefault="00D338EB" w:rsidP="007F0B1E">
      <w:pPr>
        <w:pStyle w:val="BodyText"/>
        <w:spacing w:after="100"/>
      </w:pPr>
      <w:r w:rsidRPr="00B275E2">
        <w:t xml:space="preserve">This allows </w:t>
      </w:r>
      <w:r w:rsidR="006A0E82" w:rsidRPr="00B275E2">
        <w:t xml:space="preserve">you </w:t>
      </w:r>
      <w:r w:rsidRPr="00B275E2">
        <w:t xml:space="preserve">to use distance travelled as a unit for calculating emissions. </w:t>
      </w:r>
      <w:r w:rsidR="00563393" w:rsidRPr="00B275E2">
        <w:t>I</w:t>
      </w:r>
      <w:r w:rsidRPr="00B275E2">
        <w:t xml:space="preserve">f there </w:t>
      </w:r>
      <w:r w:rsidR="0003097B" w:rsidRPr="00B275E2">
        <w:t>are</w:t>
      </w:r>
      <w:r w:rsidRPr="00B275E2">
        <w:t xml:space="preserve"> data on the quantity of fuel used</w:t>
      </w:r>
      <w:r w:rsidR="00563393" w:rsidRPr="00B275E2">
        <w:t>,</w:t>
      </w:r>
      <w:r w:rsidRPr="00B275E2">
        <w:t xml:space="preserve"> refer to </w:t>
      </w:r>
      <w:r w:rsidR="00565DE0" w:rsidRPr="00B275E2">
        <w:t>transport fuel emission factors.</w:t>
      </w:r>
    </w:p>
    <w:p w14:paraId="65092184" w14:textId="19FB1352" w:rsidR="00E61463" w:rsidRPr="00B275E2" w:rsidRDefault="4D8FF3D4" w:rsidP="00C24B73">
      <w:pPr>
        <w:pStyle w:val="Heading3"/>
        <w:numPr>
          <w:ilvl w:val="0"/>
          <w:numId w:val="28"/>
        </w:numPr>
      </w:pPr>
      <w:bookmarkStart w:id="399" w:name="_Toc532904902"/>
      <w:r>
        <w:t>Assumptions, limitations and uncertainties</w:t>
      </w:r>
      <w:bookmarkEnd w:id="399"/>
    </w:p>
    <w:p w14:paraId="0BDABAEF" w14:textId="3EE8416E" w:rsidR="00251CFA" w:rsidRPr="00B275E2" w:rsidRDefault="00251CFA" w:rsidP="007F0B1E">
      <w:pPr>
        <w:pStyle w:val="BodyText"/>
        <w:spacing w:before="100" w:after="100"/>
      </w:pPr>
      <w:r w:rsidRPr="00B275E2">
        <w:t xml:space="preserve">The assumptions, limitations and uncertainties of the data come from the </w:t>
      </w:r>
      <w:r w:rsidR="002A0AC2" w:rsidRPr="00B275E2">
        <w:t xml:space="preserve">EI </w:t>
      </w:r>
      <w:r w:rsidRPr="00B275E2">
        <w:t>report</w:t>
      </w:r>
      <w:r w:rsidR="002A0AC2" w:rsidRPr="00B275E2">
        <w:t xml:space="preserve"> prepared for</w:t>
      </w:r>
      <w:r w:rsidR="00857F60" w:rsidRPr="00B275E2">
        <w:t> </w:t>
      </w:r>
      <w:r w:rsidR="002A0AC2" w:rsidRPr="00B275E2">
        <w:t>MoT.</w:t>
      </w:r>
      <w:r w:rsidRPr="00B275E2">
        <w:t xml:space="preserve"> The data are projections and therefore these fuel consumption rates are uncertain</w:t>
      </w:r>
      <w:r w:rsidR="006A0E82" w:rsidRPr="00B275E2">
        <w:t>.</w:t>
      </w:r>
      <w:r w:rsidRPr="00B275E2">
        <w:t xml:space="preserve"> </w:t>
      </w:r>
      <w:r w:rsidR="006A0E82" w:rsidRPr="00B275E2">
        <w:t>H</w:t>
      </w:r>
      <w:r w:rsidR="00F76EF8" w:rsidRPr="00B275E2">
        <w:t>owever,</w:t>
      </w:r>
      <w:r w:rsidRPr="00B275E2">
        <w:t xml:space="preserve"> there is no quantified uncertainty.</w:t>
      </w:r>
    </w:p>
    <w:p w14:paraId="6509218D" w14:textId="50210396" w:rsidR="00321918" w:rsidRPr="00B275E2" w:rsidRDefault="00321918" w:rsidP="00C24B73">
      <w:pPr>
        <w:pStyle w:val="Heading2"/>
        <w:numPr>
          <w:ilvl w:val="0"/>
          <w:numId w:val="27"/>
        </w:numPr>
      </w:pPr>
      <w:bookmarkStart w:id="400" w:name="_Ref529971822"/>
      <w:bookmarkStart w:id="401" w:name="_Toc532904903"/>
      <w:bookmarkStart w:id="402" w:name="_Toc600585"/>
      <w:bookmarkStart w:id="403" w:name="_Toc111536797"/>
      <w:r w:rsidRPr="00B275E2">
        <w:t>Air travel</w:t>
      </w:r>
      <w:bookmarkEnd w:id="400"/>
      <w:bookmarkEnd w:id="401"/>
      <w:bookmarkEnd w:id="402"/>
      <w:bookmarkEnd w:id="403"/>
    </w:p>
    <w:p w14:paraId="40B01858" w14:textId="666BF886" w:rsidR="00B154CD" w:rsidRPr="00B275E2" w:rsidRDefault="003A2129" w:rsidP="00B154CD">
      <w:pPr>
        <w:pStyle w:val="BodyText"/>
      </w:pPr>
      <w:r w:rsidRPr="00B275E2">
        <w:t>This section covers emission factors</w:t>
      </w:r>
      <w:r w:rsidR="00DA546C">
        <w:t xml:space="preserve"> for</w:t>
      </w:r>
      <w:r w:rsidRPr="00B275E2">
        <w:t xml:space="preserve"> domestic and international air travel </w:t>
      </w:r>
      <w:r w:rsidR="00A6029F" w:rsidRPr="00B275E2">
        <w:t>for o</w:t>
      </w:r>
      <w:r w:rsidR="003F0ED7" w:rsidRPr="00B275E2">
        <w:t xml:space="preserve">rganisations seeking to determine the emissions from </w:t>
      </w:r>
      <w:r w:rsidR="009B62C1" w:rsidRPr="00B275E2">
        <w:t>business travel</w:t>
      </w:r>
      <w:r w:rsidR="00A6029F" w:rsidRPr="00B275E2">
        <w:t>.</w:t>
      </w:r>
      <w:r w:rsidRPr="00B275E2">
        <w:t xml:space="preserve"> </w:t>
      </w:r>
    </w:p>
    <w:p w14:paraId="6509218E" w14:textId="1D936052" w:rsidR="001201AE" w:rsidRPr="00B275E2" w:rsidRDefault="00D44550" w:rsidP="006B7605">
      <w:pPr>
        <w:pStyle w:val="Heading3"/>
      </w:pPr>
      <w:bookmarkStart w:id="404" w:name="_Toc532904904"/>
      <w:r w:rsidRPr="00B275E2">
        <w:lastRenderedPageBreak/>
        <w:t xml:space="preserve">Domestic air </w:t>
      </w:r>
      <w:bookmarkEnd w:id="404"/>
      <w:r w:rsidR="004F61EE" w:rsidRPr="00B275E2">
        <w:t>travel</w:t>
      </w:r>
    </w:p>
    <w:p w14:paraId="018BD261" w14:textId="6350BEBF" w:rsidR="002A0AC2" w:rsidRPr="00B275E2" w:rsidRDefault="00E4044E" w:rsidP="007F0B1E">
      <w:pPr>
        <w:pStyle w:val="BodyText"/>
        <w:spacing w:before="100" w:after="100"/>
      </w:pPr>
      <w:r w:rsidRPr="00B275E2">
        <w:t xml:space="preserve">This section provides </w:t>
      </w:r>
      <w:r w:rsidR="00FD19B8" w:rsidRPr="00B275E2">
        <w:t>emission factor</w:t>
      </w:r>
      <w:r w:rsidRPr="00B275E2">
        <w:t>s</w:t>
      </w:r>
      <w:r w:rsidR="00FD19B8" w:rsidRPr="00B275E2">
        <w:t xml:space="preserve"> from </w:t>
      </w:r>
      <w:r w:rsidR="005966B6">
        <w:t xml:space="preserve">2016, </w:t>
      </w:r>
      <w:r w:rsidR="00FD19B8" w:rsidRPr="00B275E2">
        <w:t>20</w:t>
      </w:r>
      <w:r w:rsidR="00345FB1" w:rsidRPr="00B275E2">
        <w:t>19 and 2020</w:t>
      </w:r>
      <w:r w:rsidR="00CA7ED4">
        <w:t>.</w:t>
      </w:r>
      <w:r w:rsidR="008B4F8C" w:rsidRPr="00B275E2">
        <w:rPr>
          <w:rStyle w:val="FootnoteReference"/>
        </w:rPr>
        <w:footnoteReference w:id="39"/>
      </w:r>
      <w:r w:rsidR="00FD19B8" w:rsidRPr="00B275E2">
        <w:t xml:space="preserve"> Domestic air travel is a common </w:t>
      </w:r>
      <w:r w:rsidR="006A0E82" w:rsidRPr="00B275E2">
        <w:t xml:space="preserve">source of </w:t>
      </w:r>
      <w:r w:rsidR="00A529EF" w:rsidRPr="00B275E2">
        <w:t>indirect (S</w:t>
      </w:r>
      <w:r w:rsidR="00FD19B8" w:rsidRPr="00B275E2">
        <w:t>cope 3</w:t>
      </w:r>
      <w:r w:rsidR="00A529EF" w:rsidRPr="00B275E2">
        <w:t>)</w:t>
      </w:r>
      <w:r w:rsidR="00FD19B8" w:rsidRPr="00B275E2">
        <w:t xml:space="preserve"> emissions </w:t>
      </w:r>
      <w:r w:rsidR="00A529EF" w:rsidRPr="00B275E2">
        <w:t>for many N</w:t>
      </w:r>
      <w:r w:rsidR="00563393" w:rsidRPr="00B275E2">
        <w:t>ew</w:t>
      </w:r>
      <w:r w:rsidR="00B917D5" w:rsidRPr="00B275E2">
        <w:t> </w:t>
      </w:r>
      <w:r w:rsidR="00A529EF" w:rsidRPr="00B275E2">
        <w:t>Z</w:t>
      </w:r>
      <w:r w:rsidR="00563393" w:rsidRPr="00B275E2">
        <w:t>ealand</w:t>
      </w:r>
      <w:r w:rsidR="00A529EF" w:rsidRPr="00B275E2">
        <w:t xml:space="preserve"> organisations</w:t>
      </w:r>
      <w:r w:rsidR="00C76CAE" w:rsidRPr="00B275E2">
        <w:t>.</w:t>
      </w:r>
      <w:r w:rsidR="00C02E9D" w:rsidRPr="00B275E2">
        <w:t xml:space="preserve"> </w:t>
      </w:r>
    </w:p>
    <w:p w14:paraId="22F0C996" w14:textId="77777777" w:rsidR="00990177" w:rsidRDefault="00EC2B85" w:rsidP="007F0B1E">
      <w:pPr>
        <w:pStyle w:val="BodyText"/>
        <w:spacing w:before="100" w:after="100"/>
        <w:rPr>
          <w:spacing w:val="-2"/>
        </w:rPr>
      </w:pPr>
      <w:r w:rsidRPr="00B275E2">
        <w:rPr>
          <w:spacing w:val="-2"/>
        </w:rPr>
        <w:t xml:space="preserve">For air travel emission factors, multipliers or other corrections may be applied to account for the </w:t>
      </w:r>
      <w:r w:rsidR="00CF1B7F" w:rsidRPr="00B275E2">
        <w:rPr>
          <w:spacing w:val="-2"/>
        </w:rPr>
        <w:t>radiative forcing</w:t>
      </w:r>
      <w:r w:rsidRPr="00B275E2">
        <w:rPr>
          <w:color w:val="FF0000"/>
          <w:spacing w:val="-2"/>
        </w:rPr>
        <w:t xml:space="preserve"> </w:t>
      </w:r>
      <w:r w:rsidRPr="00B275E2">
        <w:rPr>
          <w:spacing w:val="-2"/>
        </w:rPr>
        <w:t xml:space="preserve">of emissions arising from aircraft transport at altitude (jet aircraft). </w:t>
      </w:r>
      <w:r w:rsidR="002A0AC2" w:rsidRPr="00B275E2">
        <w:rPr>
          <w:spacing w:val="-2"/>
        </w:rPr>
        <w:t>Radiative forcing</w:t>
      </w:r>
      <w:r w:rsidR="009274C4" w:rsidRPr="00B275E2">
        <w:rPr>
          <w:spacing w:val="-2"/>
        </w:rPr>
        <w:t xml:space="preserve"> </w:t>
      </w:r>
      <w:r w:rsidRPr="00B275E2">
        <w:rPr>
          <w:spacing w:val="-2"/>
        </w:rPr>
        <w:t xml:space="preserve">helps </w:t>
      </w:r>
      <w:r w:rsidR="00572D0B" w:rsidRPr="00B275E2">
        <w:rPr>
          <w:spacing w:val="-2"/>
        </w:rPr>
        <w:t xml:space="preserve">organisations </w:t>
      </w:r>
      <w:r w:rsidRPr="00B275E2">
        <w:rPr>
          <w:spacing w:val="-2"/>
        </w:rPr>
        <w:t xml:space="preserve">account </w:t>
      </w:r>
      <w:r w:rsidR="009274C4" w:rsidRPr="00B275E2">
        <w:rPr>
          <w:spacing w:val="-2"/>
        </w:rPr>
        <w:t xml:space="preserve">for the wider climate effects of aviation, </w:t>
      </w:r>
      <w:r w:rsidRPr="00B275E2">
        <w:rPr>
          <w:spacing w:val="-2"/>
        </w:rPr>
        <w:t xml:space="preserve">including </w:t>
      </w:r>
      <w:r w:rsidR="009274C4" w:rsidRPr="00B275E2">
        <w:rPr>
          <w:spacing w:val="-2"/>
        </w:rPr>
        <w:t>water vapour</w:t>
      </w:r>
      <w:r w:rsidRPr="00B275E2">
        <w:rPr>
          <w:spacing w:val="-2"/>
        </w:rPr>
        <w:t xml:space="preserve"> and indirect GHGs. </w:t>
      </w:r>
      <w:r w:rsidR="00D23AAF" w:rsidRPr="00B275E2">
        <w:rPr>
          <w:spacing w:val="-2"/>
        </w:rPr>
        <w:t>This is an area of active research</w:t>
      </w:r>
      <w:r w:rsidRPr="00B275E2">
        <w:rPr>
          <w:spacing w:val="-2"/>
        </w:rPr>
        <w:t xml:space="preserve">, aiming to </w:t>
      </w:r>
      <w:r w:rsidR="00D23AAF" w:rsidRPr="00B275E2">
        <w:rPr>
          <w:spacing w:val="-2"/>
        </w:rPr>
        <w:t>express the relationship between emissions and</w:t>
      </w:r>
      <w:r w:rsidR="00C66720" w:rsidRPr="00B275E2">
        <w:rPr>
          <w:spacing w:val="-2"/>
        </w:rPr>
        <w:t xml:space="preserve"> the</w:t>
      </w:r>
      <w:r w:rsidR="00D23AAF" w:rsidRPr="00B275E2">
        <w:rPr>
          <w:spacing w:val="-2"/>
        </w:rPr>
        <w:t xml:space="preserve"> climate warming effects of aviation</w:t>
      </w:r>
      <w:r w:rsidRPr="00B275E2">
        <w:rPr>
          <w:spacing w:val="-2"/>
        </w:rPr>
        <w:t xml:space="preserve">, </w:t>
      </w:r>
      <w:r w:rsidR="002D2AF4" w:rsidRPr="00B275E2">
        <w:t>but there is yet to be consensus on this aspect</w:t>
      </w:r>
      <w:r w:rsidR="00D23AAF" w:rsidRPr="00B275E2">
        <w:rPr>
          <w:spacing w:val="-2"/>
        </w:rPr>
        <w:t xml:space="preserve">. </w:t>
      </w:r>
    </w:p>
    <w:p w14:paraId="18372B32" w14:textId="4693050A" w:rsidR="002A0AC2" w:rsidRPr="00B275E2" w:rsidRDefault="00990177" w:rsidP="007F0B1E">
      <w:pPr>
        <w:pStyle w:val="BodyText"/>
        <w:spacing w:before="100" w:after="100"/>
        <w:rPr>
          <w:spacing w:val="-2"/>
        </w:rPr>
      </w:pPr>
      <w:r w:rsidRPr="009A35F9">
        <w:rPr>
          <w:spacing w:val="-2"/>
        </w:rPr>
        <w:t xml:space="preserve">In this guidance, emission factors with </w:t>
      </w:r>
      <w:r w:rsidRPr="001356A0">
        <w:rPr>
          <w:spacing w:val="-2"/>
        </w:rPr>
        <w:t xml:space="preserve">a radiative forcing </w:t>
      </w:r>
      <w:r w:rsidRPr="000F68E8">
        <w:rPr>
          <w:spacing w:val="-2"/>
        </w:rPr>
        <w:t xml:space="preserve">multiplier </w:t>
      </w:r>
      <w:r w:rsidRPr="009A35F9">
        <w:rPr>
          <w:spacing w:val="-2"/>
        </w:rPr>
        <w:t>refers to the indirect climate change effects (</w:t>
      </w:r>
      <w:r w:rsidRPr="009A35F9">
        <w:rPr>
          <w:rStyle w:val="normaltextrun"/>
          <w:rFonts w:asciiTheme="minorHAnsi" w:eastAsiaTheme="majorEastAsia" w:hAnsiTheme="minorHAnsi"/>
        </w:rPr>
        <w:t>non-CO</w:t>
      </w:r>
      <w:r w:rsidRPr="009A35F9">
        <w:rPr>
          <w:rStyle w:val="normaltextrun"/>
          <w:rFonts w:asciiTheme="minorHAnsi" w:eastAsiaTheme="majorEastAsia" w:hAnsiTheme="minorHAnsi"/>
          <w:vertAlign w:val="subscript"/>
        </w:rPr>
        <w:t>2</w:t>
      </w:r>
      <w:r w:rsidRPr="009A35F9">
        <w:rPr>
          <w:rStyle w:val="normaltextrun"/>
          <w:rFonts w:asciiTheme="minorHAnsi" w:eastAsiaTheme="majorEastAsia" w:hAnsiTheme="minorHAnsi"/>
        </w:rPr>
        <w:t xml:space="preserve"> emissions eg, water vapour, contrails, NOx). Emission factors without a radiative forcing multiplier refers to the direct climate change effects (CO</w:t>
      </w:r>
      <w:r w:rsidRPr="009A35F9">
        <w:rPr>
          <w:rStyle w:val="normaltextrun"/>
          <w:rFonts w:asciiTheme="minorHAnsi" w:eastAsiaTheme="majorEastAsia" w:hAnsiTheme="minorHAnsi"/>
          <w:vertAlign w:val="subscript"/>
        </w:rPr>
        <w:t>2</w:t>
      </w:r>
      <w:r w:rsidRPr="009A35F9">
        <w:rPr>
          <w:rStyle w:val="normaltextrun"/>
          <w:rFonts w:asciiTheme="minorHAnsi" w:eastAsiaTheme="majorEastAsia" w:hAnsiTheme="minorHAnsi"/>
        </w:rPr>
        <w:t>, CH</w:t>
      </w:r>
      <w:r w:rsidRPr="009A35F9">
        <w:rPr>
          <w:rStyle w:val="normaltextrun"/>
          <w:rFonts w:asciiTheme="minorHAnsi" w:eastAsiaTheme="majorEastAsia" w:hAnsiTheme="minorHAnsi"/>
          <w:vertAlign w:val="subscript"/>
        </w:rPr>
        <w:t>4</w:t>
      </w:r>
      <w:r w:rsidRPr="009A35F9">
        <w:rPr>
          <w:rStyle w:val="normaltextrun"/>
          <w:rFonts w:asciiTheme="minorHAnsi" w:eastAsiaTheme="majorEastAsia" w:hAnsiTheme="minorHAnsi"/>
        </w:rPr>
        <w:t xml:space="preserve"> and N</w:t>
      </w:r>
      <w:r w:rsidRPr="009A35F9">
        <w:rPr>
          <w:rStyle w:val="normaltextrun"/>
          <w:rFonts w:asciiTheme="minorHAnsi" w:eastAsiaTheme="majorEastAsia" w:hAnsiTheme="minorHAnsi"/>
          <w:vertAlign w:val="subscript"/>
        </w:rPr>
        <w:t>2</w:t>
      </w:r>
      <w:r w:rsidRPr="009A35F9">
        <w:rPr>
          <w:rStyle w:val="normaltextrun"/>
          <w:rFonts w:asciiTheme="minorHAnsi" w:eastAsiaTheme="majorEastAsia" w:hAnsiTheme="minorHAnsi"/>
        </w:rPr>
        <w:t>O).</w:t>
      </w:r>
      <w:r>
        <w:rPr>
          <w:spacing w:val="-2"/>
        </w:rPr>
        <w:t xml:space="preserve"> </w:t>
      </w:r>
      <w:r w:rsidR="00EC2B85" w:rsidRPr="00B275E2">
        <w:rPr>
          <w:spacing w:val="-2"/>
        </w:rPr>
        <w:t xml:space="preserve">If </w:t>
      </w:r>
      <w:r w:rsidR="00F11FFB" w:rsidRPr="00B275E2">
        <w:rPr>
          <w:spacing w:val="-2"/>
        </w:rPr>
        <w:t xml:space="preserve">multipliers are </w:t>
      </w:r>
      <w:r w:rsidR="00EC2B85" w:rsidRPr="00B275E2">
        <w:rPr>
          <w:spacing w:val="-2"/>
        </w:rPr>
        <w:t xml:space="preserve">applied, organisations should disclose </w:t>
      </w:r>
      <w:r w:rsidR="00E21C3C" w:rsidRPr="00B275E2">
        <w:rPr>
          <w:spacing w:val="-2"/>
        </w:rPr>
        <w:t xml:space="preserve">the </w:t>
      </w:r>
      <w:r w:rsidR="00EC2B85" w:rsidRPr="00B275E2">
        <w:rPr>
          <w:spacing w:val="-2"/>
        </w:rPr>
        <w:t xml:space="preserve">specific factor used </w:t>
      </w:r>
      <w:r w:rsidR="00EE6D09" w:rsidRPr="00B275E2">
        <w:rPr>
          <w:spacing w:val="-2"/>
        </w:rPr>
        <w:t xml:space="preserve">including its source </w:t>
      </w:r>
      <w:r w:rsidR="00EC2B85" w:rsidRPr="00B275E2">
        <w:rPr>
          <w:spacing w:val="-2"/>
        </w:rPr>
        <w:t xml:space="preserve">and produce </w:t>
      </w:r>
      <w:bookmarkStart w:id="405" w:name="_Hlk532893587"/>
      <w:r w:rsidR="00B97AAE" w:rsidRPr="00B275E2">
        <w:rPr>
          <w:spacing w:val="-2"/>
        </w:rPr>
        <w:t>comparable reporting. Therefore, avoid reporting with air travel conversion factors in one year and without in another</w:t>
      </w:r>
      <w:r w:rsidR="009B64D6" w:rsidRPr="00B275E2">
        <w:rPr>
          <w:spacing w:val="-2"/>
        </w:rPr>
        <w:t xml:space="preserve"> year</w:t>
      </w:r>
      <w:r w:rsidR="006A0E82" w:rsidRPr="00B275E2">
        <w:rPr>
          <w:spacing w:val="-2"/>
        </w:rPr>
        <w:t>,</w:t>
      </w:r>
      <w:r w:rsidR="00B97AAE" w:rsidRPr="00B275E2">
        <w:rPr>
          <w:spacing w:val="-2"/>
        </w:rPr>
        <w:t xml:space="preserve"> as this may skew the interpretation of</w:t>
      </w:r>
      <w:r w:rsidR="00A17249" w:rsidRPr="00B275E2">
        <w:rPr>
          <w:spacing w:val="-2"/>
        </w:rPr>
        <w:t> </w:t>
      </w:r>
      <w:r w:rsidR="00F11FFB" w:rsidRPr="00B275E2">
        <w:rPr>
          <w:spacing w:val="-2"/>
        </w:rPr>
        <w:t>your</w:t>
      </w:r>
      <w:r w:rsidR="00B97AAE" w:rsidRPr="00B275E2">
        <w:rPr>
          <w:spacing w:val="-2"/>
        </w:rPr>
        <w:t xml:space="preserve"> reporting. </w:t>
      </w:r>
      <w:bookmarkEnd w:id="405"/>
    </w:p>
    <w:p w14:paraId="6509218F" w14:textId="5F7B36C1" w:rsidR="00FD19B8" w:rsidRPr="00B275E2" w:rsidRDefault="00EE2422" w:rsidP="007F0B1E">
      <w:pPr>
        <w:pStyle w:val="BodyText"/>
      </w:pPr>
      <w:r w:rsidRPr="00B275E2">
        <w:t>Table 3</w:t>
      </w:r>
      <w:r w:rsidR="00B36244" w:rsidRPr="00B275E2">
        <w:t>6</w:t>
      </w:r>
      <w:r w:rsidRPr="00B275E2">
        <w:t xml:space="preserve"> </w:t>
      </w:r>
      <w:r w:rsidR="00C02E9D" w:rsidRPr="00B275E2">
        <w:t>provides the emission factors</w:t>
      </w:r>
      <w:r w:rsidR="006F5E67" w:rsidRPr="00B275E2">
        <w:t xml:space="preserve"> with</w:t>
      </w:r>
      <w:r w:rsidR="00CF0249" w:rsidRPr="00B275E2">
        <w:t>out</w:t>
      </w:r>
      <w:r w:rsidR="006F5E67" w:rsidRPr="00B275E2">
        <w:t xml:space="preserve"> the radiative forcing multiplier applied</w:t>
      </w:r>
      <w:r w:rsidR="006A0E82" w:rsidRPr="00B275E2">
        <w:t xml:space="preserve">. </w:t>
      </w:r>
      <w:r w:rsidRPr="00B275E2">
        <w:t>Table 3</w:t>
      </w:r>
      <w:r w:rsidR="00B36244" w:rsidRPr="00B275E2">
        <w:t>7</w:t>
      </w:r>
      <w:r w:rsidR="003D5438" w:rsidRPr="00B275E2">
        <w:rPr>
          <w:color w:val="32809C" w:themeColor="accent2"/>
        </w:rPr>
        <w:t xml:space="preserve"> </w:t>
      </w:r>
      <w:r w:rsidR="006F5E67" w:rsidRPr="00B275E2">
        <w:t xml:space="preserve">provides emission factors with </w:t>
      </w:r>
      <w:r w:rsidR="00E7560A" w:rsidRPr="00B275E2">
        <w:t>a</w:t>
      </w:r>
      <w:r w:rsidR="00E004FF" w:rsidRPr="00B275E2">
        <w:t xml:space="preserve"> radiative forcing</w:t>
      </w:r>
      <w:r w:rsidR="00E7560A" w:rsidRPr="00B275E2">
        <w:t xml:space="preserve"> </w:t>
      </w:r>
      <w:r w:rsidR="006F5E67" w:rsidRPr="00B275E2">
        <w:t>multip</w:t>
      </w:r>
      <w:r w:rsidR="00054D44" w:rsidRPr="00B275E2">
        <w:t>lier</w:t>
      </w:r>
      <w:r w:rsidR="00E7560A" w:rsidRPr="00B275E2">
        <w:t xml:space="preserve"> of 1.9 applied</w:t>
      </w:r>
      <w:r w:rsidR="00B917D5" w:rsidRPr="00B275E2">
        <w:t>.</w:t>
      </w:r>
      <w:r w:rsidR="00E7560A" w:rsidRPr="00B275E2">
        <w:rPr>
          <w:rStyle w:val="FootnoteReference"/>
        </w:rPr>
        <w:footnoteReference w:id="40"/>
      </w:r>
      <w:r w:rsidR="00E7560A" w:rsidRPr="00B275E2">
        <w:rPr>
          <w:vertAlign w:val="superscript"/>
        </w:rPr>
        <w:t>,</w:t>
      </w:r>
      <w:r w:rsidR="00DE42C0" w:rsidRPr="00B275E2">
        <w:rPr>
          <w:vertAlign w:val="superscript"/>
        </w:rPr>
        <w:t xml:space="preserve"> </w:t>
      </w:r>
      <w:r w:rsidR="00E7560A" w:rsidRPr="00B275E2">
        <w:rPr>
          <w:rStyle w:val="FootnoteReference"/>
        </w:rPr>
        <w:footnoteReference w:id="41"/>
      </w:r>
    </w:p>
    <w:p w14:paraId="65092190" w14:textId="41C4B366" w:rsidR="00C02E9D" w:rsidRPr="00B275E2" w:rsidRDefault="00C02E9D" w:rsidP="00B917D5">
      <w:pPr>
        <w:pStyle w:val="Tableheading"/>
      </w:pPr>
      <w:bookmarkStart w:id="406" w:name="_Ref529841178"/>
      <w:bookmarkStart w:id="407" w:name="table35"/>
      <w:bookmarkStart w:id="408" w:name="_Ref529841145"/>
      <w:bookmarkStart w:id="409" w:name="_Toc111536641"/>
      <w:r w:rsidRPr="00B275E2">
        <w:t xml:space="preserve">Table </w:t>
      </w:r>
      <w:r w:rsidRPr="00B275E2">
        <w:fldChar w:fldCharType="begin"/>
      </w:r>
      <w:r w:rsidRPr="00B275E2">
        <w:instrText>SEQ Table \* ARABIC</w:instrText>
      </w:r>
      <w:r w:rsidRPr="00B275E2">
        <w:fldChar w:fldCharType="separate"/>
      </w:r>
      <w:r w:rsidR="003E141C" w:rsidRPr="00B275E2">
        <w:t>36</w:t>
      </w:r>
      <w:r w:rsidRPr="00B275E2">
        <w:fldChar w:fldCharType="end"/>
      </w:r>
      <w:bookmarkEnd w:id="406"/>
      <w:bookmarkEnd w:id="407"/>
      <w:r w:rsidR="00563393" w:rsidRPr="00B275E2">
        <w:t>:</w:t>
      </w:r>
      <w:r w:rsidR="00563393" w:rsidRPr="00B275E2">
        <w:tab/>
      </w:r>
      <w:r w:rsidRPr="00B275E2">
        <w:t>Domestic air travel emission factors</w:t>
      </w:r>
      <w:bookmarkEnd w:id="408"/>
      <w:r w:rsidR="00054D44" w:rsidRPr="00B275E2">
        <w:t xml:space="preserve"> </w:t>
      </w:r>
      <w:r w:rsidR="0025728C" w:rsidRPr="00B275E2">
        <w:t xml:space="preserve">for 2019 </w:t>
      </w:r>
      <w:r w:rsidR="00054D44" w:rsidRPr="00B275E2">
        <w:t>with</w:t>
      </w:r>
      <w:r w:rsidR="00CF0249" w:rsidRPr="00B275E2">
        <w:t>out</w:t>
      </w:r>
      <w:r w:rsidR="00054D44" w:rsidRPr="00B275E2">
        <w:t xml:space="preserve"> </w:t>
      </w:r>
      <w:r w:rsidR="00CF1B7F" w:rsidRPr="00B275E2">
        <w:t xml:space="preserve">a </w:t>
      </w:r>
      <w:r w:rsidR="00054D44" w:rsidRPr="00B275E2">
        <w:t>radiative forcing</w:t>
      </w:r>
      <w:r w:rsidR="00CF1B7F" w:rsidRPr="00B275E2">
        <w:t xml:space="preserve"> multiplier</w:t>
      </w:r>
      <w:bookmarkEnd w:id="409"/>
    </w:p>
    <w:tbl>
      <w:tblPr>
        <w:tblStyle w:val="LightList-Accent11"/>
        <w:tblW w:w="8505" w:type="dxa"/>
        <w:tblBorders>
          <w:top w:val="single" w:sz="4" w:space="0" w:color="1B556B"/>
          <w:bottom w:val="single" w:sz="4" w:space="0" w:color="1B556B"/>
          <w:insideH w:val="single" w:sz="4" w:space="0" w:color="1B556B"/>
          <w:insideV w:val="single" w:sz="4" w:space="0" w:color="1B556B"/>
        </w:tblBorders>
        <w:tblLayout w:type="fixed"/>
        <w:tblLook w:val="04A0" w:firstRow="1" w:lastRow="0" w:firstColumn="1" w:lastColumn="0" w:noHBand="0" w:noVBand="1"/>
      </w:tblPr>
      <w:tblGrid>
        <w:gridCol w:w="2410"/>
        <w:gridCol w:w="851"/>
        <w:gridCol w:w="1417"/>
        <w:gridCol w:w="1276"/>
        <w:gridCol w:w="1276"/>
        <w:gridCol w:w="1275"/>
      </w:tblGrid>
      <w:tr w:rsidR="00070D8A" w:rsidRPr="00B275E2" w14:paraId="65092197" w14:textId="77777777" w:rsidTr="00B917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noWrap/>
            <w:vAlign w:val="bottom"/>
            <w:hideMark/>
          </w:tcPr>
          <w:p w14:paraId="65092191" w14:textId="77777777" w:rsidR="00C02E9D" w:rsidRPr="00B275E2" w:rsidRDefault="00C02E9D" w:rsidP="003F07A7">
            <w:pPr>
              <w:pStyle w:val="TableText"/>
              <w:spacing w:before="40" w:after="40"/>
            </w:pPr>
            <w:r w:rsidRPr="00B275E2">
              <w:t>Emission source</w:t>
            </w:r>
          </w:p>
        </w:tc>
        <w:tc>
          <w:tcPr>
            <w:tcW w:w="851" w:type="dxa"/>
            <w:noWrap/>
            <w:vAlign w:val="bottom"/>
            <w:hideMark/>
          </w:tcPr>
          <w:p w14:paraId="65092192" w14:textId="77777777" w:rsidR="00C02E9D" w:rsidRPr="00B275E2" w:rsidRDefault="00C02E9D" w:rsidP="003F07A7">
            <w:pPr>
              <w:pStyle w:val="TableText"/>
              <w:spacing w:before="40" w:after="40"/>
              <w:cnfStyle w:val="100000000000" w:firstRow="1" w:lastRow="0" w:firstColumn="0" w:lastColumn="0" w:oddVBand="0" w:evenVBand="0" w:oddHBand="0" w:evenHBand="0" w:firstRowFirstColumn="0" w:firstRowLastColumn="0" w:lastRowFirstColumn="0" w:lastRowLastColumn="0"/>
            </w:pPr>
            <w:r w:rsidRPr="00B275E2">
              <w:t>Unit</w:t>
            </w:r>
          </w:p>
        </w:tc>
        <w:tc>
          <w:tcPr>
            <w:tcW w:w="1417" w:type="dxa"/>
            <w:shd w:val="clear" w:color="auto" w:fill="D2DDE1" w:themeFill="background2"/>
            <w:noWrap/>
            <w:vAlign w:val="bottom"/>
            <w:hideMark/>
          </w:tcPr>
          <w:p w14:paraId="65092193" w14:textId="6F62078D" w:rsidR="00C02E9D" w:rsidRPr="00B275E2" w:rsidRDefault="00C02E9D" w:rsidP="003F07A7">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color w:val="auto"/>
              </w:rPr>
            </w:pPr>
            <w:r w:rsidRPr="00B275E2">
              <w:rPr>
                <w:color w:val="auto"/>
              </w:rPr>
              <w:t>kg CO</w:t>
            </w:r>
            <w:r w:rsidRPr="00B275E2">
              <w:rPr>
                <w:color w:val="auto"/>
                <w:vertAlign w:val="subscript"/>
              </w:rPr>
              <w:t>2</w:t>
            </w:r>
            <w:r w:rsidRPr="00B275E2">
              <w:rPr>
                <w:color w:val="auto"/>
              </w:rPr>
              <w:t>-e</w:t>
            </w:r>
            <w:r w:rsidR="00836D5A" w:rsidRPr="00B275E2">
              <w:rPr>
                <w:color w:val="auto"/>
              </w:rPr>
              <w:t>/unit</w:t>
            </w:r>
          </w:p>
        </w:tc>
        <w:tc>
          <w:tcPr>
            <w:tcW w:w="1276" w:type="dxa"/>
            <w:noWrap/>
            <w:vAlign w:val="bottom"/>
            <w:hideMark/>
          </w:tcPr>
          <w:p w14:paraId="65092194" w14:textId="0D636A9E" w:rsidR="00C02E9D" w:rsidRPr="00B275E2" w:rsidRDefault="00C02E9D" w:rsidP="003F07A7">
            <w:pPr>
              <w:pStyle w:val="TableText"/>
              <w:spacing w:before="40" w:after="40"/>
              <w:jc w:val="right"/>
              <w:cnfStyle w:val="100000000000" w:firstRow="1" w:lastRow="0" w:firstColumn="0" w:lastColumn="0" w:oddVBand="0" w:evenVBand="0" w:oddHBand="0" w:evenHBand="0" w:firstRowFirstColumn="0" w:firstRowLastColumn="0" w:lastRowFirstColumn="0" w:lastRowLastColumn="0"/>
            </w:pPr>
            <w:r w:rsidRPr="00B275E2">
              <w:t>kg CO</w:t>
            </w:r>
            <w:r w:rsidRPr="00B275E2">
              <w:rPr>
                <w:vertAlign w:val="subscript"/>
              </w:rPr>
              <w:t>2</w:t>
            </w:r>
            <w:r w:rsidR="00836D5A" w:rsidRPr="00B275E2">
              <w:t>/unit</w:t>
            </w:r>
            <w:r w:rsidR="00070D8A" w:rsidRPr="00B275E2">
              <w:t xml:space="preserve"> (kg CO</w:t>
            </w:r>
            <w:r w:rsidR="00070D8A" w:rsidRPr="00B275E2">
              <w:rPr>
                <w:vertAlign w:val="subscript"/>
              </w:rPr>
              <w:t>2</w:t>
            </w:r>
            <w:r w:rsidR="00070D8A" w:rsidRPr="00B275E2">
              <w:t>-e)</w:t>
            </w:r>
          </w:p>
        </w:tc>
        <w:tc>
          <w:tcPr>
            <w:tcW w:w="1276" w:type="dxa"/>
            <w:noWrap/>
            <w:vAlign w:val="bottom"/>
            <w:hideMark/>
          </w:tcPr>
          <w:p w14:paraId="65092195" w14:textId="3673859D" w:rsidR="00C02E9D" w:rsidRPr="00B275E2" w:rsidRDefault="00070D8A" w:rsidP="003F07A7">
            <w:pPr>
              <w:pStyle w:val="TableText"/>
              <w:spacing w:before="40" w:after="40"/>
              <w:jc w:val="right"/>
              <w:cnfStyle w:val="100000000000" w:firstRow="1" w:lastRow="0" w:firstColumn="0" w:lastColumn="0" w:oddVBand="0" w:evenVBand="0" w:oddHBand="0" w:evenHBand="0" w:firstRowFirstColumn="0" w:firstRowLastColumn="0" w:lastRowFirstColumn="0" w:lastRowLastColumn="0"/>
            </w:pPr>
            <w:r w:rsidRPr="00B275E2">
              <w:t xml:space="preserve">kg </w:t>
            </w:r>
            <w:r w:rsidR="00C02E9D" w:rsidRPr="00B275E2">
              <w:t>CH</w:t>
            </w:r>
            <w:r w:rsidR="00C02E9D" w:rsidRPr="00B275E2">
              <w:rPr>
                <w:vertAlign w:val="subscript"/>
              </w:rPr>
              <w:t>4</w:t>
            </w:r>
            <w:r w:rsidRPr="00B275E2">
              <w:t>/unit</w:t>
            </w:r>
            <w:r w:rsidR="003B5D5A" w:rsidRPr="00B275E2">
              <w:t xml:space="preserve"> </w:t>
            </w:r>
            <w:r w:rsidR="000A6EB0" w:rsidRPr="00B275E2">
              <w:t>(kg CO</w:t>
            </w:r>
            <w:r w:rsidR="000A6EB0" w:rsidRPr="00B275E2">
              <w:rPr>
                <w:vertAlign w:val="subscript"/>
              </w:rPr>
              <w:t>2</w:t>
            </w:r>
            <w:r w:rsidR="000A6EB0" w:rsidRPr="00B275E2">
              <w:t>-e)</w:t>
            </w:r>
          </w:p>
        </w:tc>
        <w:tc>
          <w:tcPr>
            <w:tcW w:w="1275" w:type="dxa"/>
            <w:noWrap/>
            <w:vAlign w:val="bottom"/>
            <w:hideMark/>
          </w:tcPr>
          <w:p w14:paraId="65092196" w14:textId="23031316" w:rsidR="00C02E9D" w:rsidRPr="00B275E2" w:rsidRDefault="00070D8A" w:rsidP="003F07A7">
            <w:pPr>
              <w:pStyle w:val="TableText"/>
              <w:spacing w:before="40" w:after="40"/>
              <w:jc w:val="right"/>
              <w:cnfStyle w:val="100000000000" w:firstRow="1" w:lastRow="0" w:firstColumn="0" w:lastColumn="0" w:oddVBand="0" w:evenVBand="0" w:oddHBand="0" w:evenHBand="0" w:firstRowFirstColumn="0" w:firstRowLastColumn="0" w:lastRowFirstColumn="0" w:lastRowLastColumn="0"/>
            </w:pPr>
            <w:r w:rsidRPr="00B275E2">
              <w:t xml:space="preserve">kg </w:t>
            </w:r>
            <w:r w:rsidR="00035F53" w:rsidRPr="00B275E2">
              <w:t>N</w:t>
            </w:r>
            <w:r w:rsidR="00035F53" w:rsidRPr="00B275E2">
              <w:rPr>
                <w:vertAlign w:val="subscript"/>
              </w:rPr>
              <w:t>2</w:t>
            </w:r>
            <w:r w:rsidR="00035F53" w:rsidRPr="00B275E2">
              <w:t>O</w:t>
            </w:r>
            <w:r w:rsidRPr="00B275E2">
              <w:t>/unit</w:t>
            </w:r>
            <w:r w:rsidR="000A6EB0" w:rsidRPr="00B275E2">
              <w:t xml:space="preserve"> (kg CO</w:t>
            </w:r>
            <w:r w:rsidR="000A6EB0" w:rsidRPr="00B275E2">
              <w:rPr>
                <w:vertAlign w:val="subscript"/>
              </w:rPr>
              <w:t>2</w:t>
            </w:r>
            <w:r w:rsidR="000A6EB0" w:rsidRPr="00B275E2">
              <w:t>-e)</w:t>
            </w:r>
          </w:p>
        </w:tc>
      </w:tr>
      <w:tr w:rsidR="00070D8A" w:rsidRPr="00B275E2" w14:paraId="6509219E" w14:textId="77777777" w:rsidTr="00B92C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left w:val="single" w:sz="4" w:space="0" w:color="FFFFFF" w:themeColor="background1"/>
            </w:tcBorders>
            <w:hideMark/>
          </w:tcPr>
          <w:p w14:paraId="65092198" w14:textId="0FAF5978" w:rsidR="008B2DF4" w:rsidRPr="00B275E2" w:rsidRDefault="008B2DF4" w:rsidP="003F07A7">
            <w:pPr>
              <w:pStyle w:val="TableText"/>
              <w:spacing w:before="40" w:after="40"/>
              <w:rPr>
                <w:b w:val="0"/>
              </w:rPr>
            </w:pPr>
            <w:r w:rsidRPr="00B275E2">
              <w:rPr>
                <w:b w:val="0"/>
              </w:rPr>
              <w:t>National average</w:t>
            </w:r>
          </w:p>
        </w:tc>
        <w:tc>
          <w:tcPr>
            <w:tcW w:w="851" w:type="dxa"/>
            <w:noWrap/>
            <w:hideMark/>
          </w:tcPr>
          <w:p w14:paraId="65092199" w14:textId="2B7A041F" w:rsidR="008B2DF4" w:rsidRPr="00B275E2" w:rsidRDefault="008B2DF4" w:rsidP="003F07A7">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275E2">
              <w:t>pkm</w:t>
            </w:r>
          </w:p>
        </w:tc>
        <w:tc>
          <w:tcPr>
            <w:tcW w:w="1417" w:type="dxa"/>
            <w:shd w:val="clear" w:color="auto" w:fill="D2DDE1" w:themeFill="background2"/>
            <w:noWrap/>
          </w:tcPr>
          <w:p w14:paraId="6509219A" w14:textId="35C8D9DC" w:rsidR="008B2DF4" w:rsidRPr="00B275E2" w:rsidRDefault="00091A8B" w:rsidP="003F07A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t>0.163</w:t>
            </w:r>
          </w:p>
        </w:tc>
        <w:tc>
          <w:tcPr>
            <w:tcW w:w="1276" w:type="dxa"/>
            <w:shd w:val="clear" w:color="auto" w:fill="auto"/>
            <w:noWrap/>
          </w:tcPr>
          <w:p w14:paraId="6509219B" w14:textId="755A9D18" w:rsidR="008B2DF4" w:rsidRPr="00B275E2" w:rsidRDefault="00091A8B" w:rsidP="003F07A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t>0.158</w:t>
            </w:r>
          </w:p>
        </w:tc>
        <w:tc>
          <w:tcPr>
            <w:tcW w:w="1276" w:type="dxa"/>
            <w:shd w:val="clear" w:color="auto" w:fill="auto"/>
            <w:noWrap/>
          </w:tcPr>
          <w:p w14:paraId="6509219C" w14:textId="10211729" w:rsidR="008B2DF4" w:rsidRPr="00B275E2" w:rsidRDefault="00091A8B" w:rsidP="003F07A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t>0.001</w:t>
            </w:r>
          </w:p>
        </w:tc>
        <w:tc>
          <w:tcPr>
            <w:tcW w:w="1275" w:type="dxa"/>
            <w:tcBorders>
              <w:right w:val="single" w:sz="4" w:space="0" w:color="FFFFFF" w:themeColor="background1"/>
            </w:tcBorders>
            <w:shd w:val="clear" w:color="auto" w:fill="auto"/>
            <w:noWrap/>
          </w:tcPr>
          <w:p w14:paraId="6509219D" w14:textId="60824B1F" w:rsidR="008B2DF4" w:rsidRPr="00B275E2" w:rsidRDefault="00091A8B" w:rsidP="003F07A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t>0.004</w:t>
            </w:r>
          </w:p>
        </w:tc>
      </w:tr>
      <w:tr w:rsidR="00070D8A" w:rsidRPr="00B275E2" w14:paraId="650921A5" w14:textId="77777777" w:rsidTr="00B92C15">
        <w:tc>
          <w:tcPr>
            <w:cnfStyle w:val="001000000000" w:firstRow="0" w:lastRow="0" w:firstColumn="1" w:lastColumn="0" w:oddVBand="0" w:evenVBand="0" w:oddHBand="0" w:evenHBand="0" w:firstRowFirstColumn="0" w:firstRowLastColumn="0" w:lastRowFirstColumn="0" w:lastRowLastColumn="0"/>
            <w:tcW w:w="2410" w:type="dxa"/>
            <w:tcBorders>
              <w:left w:val="single" w:sz="4" w:space="0" w:color="FFFFFF" w:themeColor="background1"/>
            </w:tcBorders>
          </w:tcPr>
          <w:p w14:paraId="6509219F" w14:textId="0188CC31" w:rsidR="008B2DF4" w:rsidRPr="00B275E2" w:rsidRDefault="0025728C" w:rsidP="003F07A7">
            <w:pPr>
              <w:pStyle w:val="TableText"/>
              <w:spacing w:before="40" w:after="40"/>
              <w:rPr>
                <w:b w:val="0"/>
              </w:rPr>
            </w:pPr>
            <w:r w:rsidRPr="00B275E2">
              <w:rPr>
                <w:b w:val="0"/>
              </w:rPr>
              <w:t>Large</w:t>
            </w:r>
            <w:r w:rsidR="008B2DF4" w:rsidRPr="00B275E2">
              <w:rPr>
                <w:b w:val="0"/>
              </w:rPr>
              <w:t xml:space="preserve"> aircraft</w:t>
            </w:r>
          </w:p>
        </w:tc>
        <w:tc>
          <w:tcPr>
            <w:tcW w:w="851" w:type="dxa"/>
            <w:noWrap/>
          </w:tcPr>
          <w:p w14:paraId="650921A0" w14:textId="5D8F3BB8" w:rsidR="008B2DF4" w:rsidRPr="00B275E2" w:rsidRDefault="008B2DF4" w:rsidP="003F07A7">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275E2">
              <w:t>pkm</w:t>
            </w:r>
          </w:p>
        </w:tc>
        <w:tc>
          <w:tcPr>
            <w:tcW w:w="1417" w:type="dxa"/>
            <w:shd w:val="clear" w:color="auto" w:fill="D2DDE1" w:themeFill="background2"/>
            <w:noWrap/>
          </w:tcPr>
          <w:p w14:paraId="650921A1" w14:textId="11352049" w:rsidR="008B2DF4" w:rsidRPr="00B275E2" w:rsidRDefault="00091A8B" w:rsidP="003F07A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t>0.09</w:t>
            </w:r>
            <w:r w:rsidR="00C128C4">
              <w:t>0</w:t>
            </w:r>
          </w:p>
        </w:tc>
        <w:tc>
          <w:tcPr>
            <w:tcW w:w="1276" w:type="dxa"/>
            <w:shd w:val="clear" w:color="auto" w:fill="auto"/>
            <w:noWrap/>
          </w:tcPr>
          <w:p w14:paraId="650921A2" w14:textId="3E244738" w:rsidR="008B2DF4" w:rsidRPr="00B275E2" w:rsidRDefault="00091A8B" w:rsidP="003F07A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t>0.0</w:t>
            </w:r>
            <w:r w:rsidR="00C128C4">
              <w:t>87</w:t>
            </w:r>
          </w:p>
        </w:tc>
        <w:tc>
          <w:tcPr>
            <w:tcW w:w="1276" w:type="dxa"/>
            <w:shd w:val="clear" w:color="auto" w:fill="auto"/>
            <w:noWrap/>
          </w:tcPr>
          <w:p w14:paraId="650921A3" w14:textId="025B18B1" w:rsidR="008B2DF4" w:rsidRPr="00B275E2" w:rsidRDefault="00091A8B" w:rsidP="003F07A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t>0.001</w:t>
            </w:r>
          </w:p>
        </w:tc>
        <w:tc>
          <w:tcPr>
            <w:tcW w:w="1275" w:type="dxa"/>
            <w:tcBorders>
              <w:right w:val="single" w:sz="4" w:space="0" w:color="FFFFFF" w:themeColor="background1"/>
            </w:tcBorders>
            <w:shd w:val="clear" w:color="auto" w:fill="auto"/>
            <w:noWrap/>
          </w:tcPr>
          <w:p w14:paraId="650921A4" w14:textId="10CCF9C0" w:rsidR="008B2DF4" w:rsidRPr="00B275E2" w:rsidRDefault="00091A8B" w:rsidP="003F07A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t>0.00</w:t>
            </w:r>
            <w:r w:rsidR="00C128C4">
              <w:t>2</w:t>
            </w:r>
          </w:p>
        </w:tc>
      </w:tr>
      <w:tr w:rsidR="00070D8A" w:rsidRPr="00B275E2" w14:paraId="650921AC" w14:textId="77777777" w:rsidTr="00B92C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left w:val="single" w:sz="4" w:space="0" w:color="FFFFFF" w:themeColor="background1"/>
            </w:tcBorders>
          </w:tcPr>
          <w:p w14:paraId="650921A6" w14:textId="42459D0C" w:rsidR="008B2DF4" w:rsidRPr="00B275E2" w:rsidRDefault="008B2DF4" w:rsidP="003F07A7">
            <w:pPr>
              <w:pStyle w:val="TableText"/>
              <w:spacing w:before="40" w:after="40"/>
              <w:rPr>
                <w:b w:val="0"/>
              </w:rPr>
            </w:pPr>
            <w:r w:rsidRPr="00B275E2">
              <w:rPr>
                <w:b w:val="0"/>
              </w:rPr>
              <w:t>Medium aircraft</w:t>
            </w:r>
          </w:p>
        </w:tc>
        <w:tc>
          <w:tcPr>
            <w:tcW w:w="851" w:type="dxa"/>
            <w:noWrap/>
          </w:tcPr>
          <w:p w14:paraId="650921A7" w14:textId="351E7500" w:rsidR="008B2DF4" w:rsidRPr="00B275E2" w:rsidRDefault="008B2DF4" w:rsidP="003F07A7">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275E2">
              <w:t>pkm</w:t>
            </w:r>
          </w:p>
        </w:tc>
        <w:tc>
          <w:tcPr>
            <w:tcW w:w="1417" w:type="dxa"/>
            <w:shd w:val="clear" w:color="auto" w:fill="D2DDE1" w:themeFill="background2"/>
            <w:noWrap/>
          </w:tcPr>
          <w:p w14:paraId="650921A8" w14:textId="2295FC64" w:rsidR="008B2DF4" w:rsidRPr="00B275E2" w:rsidRDefault="00091A8B" w:rsidP="003F07A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t>0.12</w:t>
            </w:r>
            <w:r w:rsidR="00C128C4">
              <w:t>0</w:t>
            </w:r>
          </w:p>
        </w:tc>
        <w:tc>
          <w:tcPr>
            <w:tcW w:w="1276" w:type="dxa"/>
            <w:shd w:val="clear" w:color="auto" w:fill="auto"/>
            <w:noWrap/>
          </w:tcPr>
          <w:p w14:paraId="650921A9" w14:textId="6F00404C" w:rsidR="008B2DF4" w:rsidRPr="00B275E2" w:rsidRDefault="00091A8B" w:rsidP="003F07A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t>0.</w:t>
            </w:r>
            <w:r w:rsidR="00C128C4">
              <w:t>116</w:t>
            </w:r>
          </w:p>
        </w:tc>
        <w:tc>
          <w:tcPr>
            <w:tcW w:w="1276" w:type="dxa"/>
            <w:shd w:val="clear" w:color="auto" w:fill="auto"/>
            <w:noWrap/>
          </w:tcPr>
          <w:p w14:paraId="650921AA" w14:textId="13EC5EDD" w:rsidR="008B2DF4" w:rsidRPr="00B275E2" w:rsidRDefault="00091A8B" w:rsidP="003F07A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t>0.001</w:t>
            </w:r>
          </w:p>
        </w:tc>
        <w:tc>
          <w:tcPr>
            <w:tcW w:w="1275" w:type="dxa"/>
            <w:tcBorders>
              <w:right w:val="single" w:sz="4" w:space="0" w:color="FFFFFF" w:themeColor="background1"/>
            </w:tcBorders>
            <w:shd w:val="clear" w:color="auto" w:fill="auto"/>
            <w:noWrap/>
          </w:tcPr>
          <w:p w14:paraId="650921AB" w14:textId="6DFFFDC1" w:rsidR="008B2DF4" w:rsidRPr="00B275E2" w:rsidRDefault="00091A8B" w:rsidP="003F07A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t>0.003</w:t>
            </w:r>
          </w:p>
        </w:tc>
      </w:tr>
      <w:tr w:rsidR="00070D8A" w:rsidRPr="00B275E2" w14:paraId="650921B3" w14:textId="77777777" w:rsidTr="00B92C15">
        <w:tc>
          <w:tcPr>
            <w:cnfStyle w:val="001000000000" w:firstRow="0" w:lastRow="0" w:firstColumn="1" w:lastColumn="0" w:oddVBand="0" w:evenVBand="0" w:oddHBand="0" w:evenHBand="0" w:firstRowFirstColumn="0" w:firstRowLastColumn="0" w:lastRowFirstColumn="0" w:lastRowLastColumn="0"/>
            <w:tcW w:w="2410" w:type="dxa"/>
            <w:tcBorders>
              <w:left w:val="single" w:sz="4" w:space="0" w:color="FFFFFF" w:themeColor="background1"/>
            </w:tcBorders>
          </w:tcPr>
          <w:p w14:paraId="650921AD" w14:textId="23869429" w:rsidR="008B2DF4" w:rsidRPr="00B275E2" w:rsidRDefault="008B2DF4" w:rsidP="003F07A7">
            <w:pPr>
              <w:pStyle w:val="TableText"/>
              <w:spacing w:before="40" w:after="40"/>
              <w:rPr>
                <w:b w:val="0"/>
              </w:rPr>
            </w:pPr>
            <w:r w:rsidRPr="00B275E2">
              <w:rPr>
                <w:b w:val="0"/>
              </w:rPr>
              <w:t>Small aircraft</w:t>
            </w:r>
            <w:r w:rsidR="00794C91" w:rsidRPr="00B275E2">
              <w:rPr>
                <w:b w:val="0"/>
              </w:rPr>
              <w:t>*</w:t>
            </w:r>
          </w:p>
        </w:tc>
        <w:tc>
          <w:tcPr>
            <w:tcW w:w="851" w:type="dxa"/>
            <w:noWrap/>
          </w:tcPr>
          <w:p w14:paraId="650921AE" w14:textId="53A3786A" w:rsidR="008B2DF4" w:rsidRPr="00B275E2" w:rsidRDefault="008B2DF4" w:rsidP="003F07A7">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275E2">
              <w:t>pkm</w:t>
            </w:r>
          </w:p>
        </w:tc>
        <w:tc>
          <w:tcPr>
            <w:tcW w:w="1417" w:type="dxa"/>
            <w:shd w:val="clear" w:color="auto" w:fill="D2DDE1" w:themeFill="background2"/>
            <w:noWrap/>
          </w:tcPr>
          <w:p w14:paraId="650921AF" w14:textId="77AF97BF" w:rsidR="008B2DF4" w:rsidRPr="00B275E2" w:rsidRDefault="008B2DF4" w:rsidP="003F07A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t>0.35</w:t>
            </w:r>
            <w:r w:rsidR="00C128C4">
              <w:t>2</w:t>
            </w:r>
          </w:p>
        </w:tc>
        <w:tc>
          <w:tcPr>
            <w:tcW w:w="1276" w:type="dxa"/>
            <w:shd w:val="clear" w:color="auto" w:fill="auto"/>
            <w:noWrap/>
          </w:tcPr>
          <w:p w14:paraId="650921B0" w14:textId="24227B4A" w:rsidR="008B2DF4" w:rsidRPr="00B275E2" w:rsidRDefault="008B2DF4" w:rsidP="003F07A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t>0.341</w:t>
            </w:r>
          </w:p>
        </w:tc>
        <w:tc>
          <w:tcPr>
            <w:tcW w:w="1276" w:type="dxa"/>
            <w:shd w:val="clear" w:color="auto" w:fill="auto"/>
            <w:noWrap/>
          </w:tcPr>
          <w:p w14:paraId="650921B1" w14:textId="6899E29B" w:rsidR="008B2DF4" w:rsidRPr="00B275E2" w:rsidRDefault="008B2DF4" w:rsidP="003F07A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t>0.00</w:t>
            </w:r>
            <w:r w:rsidR="00C128C4">
              <w:t>3</w:t>
            </w:r>
          </w:p>
        </w:tc>
        <w:tc>
          <w:tcPr>
            <w:tcW w:w="1275" w:type="dxa"/>
            <w:tcBorders>
              <w:right w:val="single" w:sz="4" w:space="0" w:color="FFFFFF" w:themeColor="background1"/>
            </w:tcBorders>
            <w:shd w:val="clear" w:color="auto" w:fill="auto"/>
            <w:noWrap/>
          </w:tcPr>
          <w:p w14:paraId="650921B2" w14:textId="17B2E106" w:rsidR="008B2DF4" w:rsidRPr="00B275E2" w:rsidRDefault="008B2DF4" w:rsidP="003F07A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t>0.0</w:t>
            </w:r>
            <w:r w:rsidR="00EC5CAE" w:rsidRPr="00B275E2">
              <w:t>09</w:t>
            </w:r>
          </w:p>
        </w:tc>
      </w:tr>
    </w:tbl>
    <w:p w14:paraId="2B5AE5CD" w14:textId="7D4442EE" w:rsidR="00794C91" w:rsidRPr="00B275E2" w:rsidRDefault="00F76EF8" w:rsidP="007F0B1E">
      <w:pPr>
        <w:pStyle w:val="Note"/>
      </w:pPr>
      <w:bookmarkStart w:id="410" w:name="_Ref532374474"/>
      <w:r w:rsidRPr="00B275E2">
        <w:t>Note</w:t>
      </w:r>
      <w:r w:rsidR="00E416A5" w:rsidRPr="00B275E2">
        <w:t>:</w:t>
      </w:r>
      <w:r w:rsidRPr="00B275E2">
        <w:t xml:space="preserve"> </w:t>
      </w:r>
      <w:r w:rsidR="00E416A5" w:rsidRPr="00B275E2">
        <w:t xml:space="preserve">These </w:t>
      </w:r>
      <w:r w:rsidRPr="00B275E2">
        <w:t>numbers are rounded to three</w:t>
      </w:r>
      <w:r w:rsidR="00BA0C39" w:rsidRPr="00B275E2">
        <w:t xml:space="preserve"> decim</w:t>
      </w:r>
      <w:r w:rsidR="00D15DE7" w:rsidRPr="00B275E2">
        <w:t>al places</w:t>
      </w:r>
      <w:r w:rsidRPr="00B275E2">
        <w:t xml:space="preserve"> unless the number is significantly small. </w:t>
      </w:r>
      <w:r w:rsidR="00794C91" w:rsidRPr="00B275E2">
        <w:br/>
        <w:t>Note: *Calculated using data from 2016.</w:t>
      </w:r>
    </w:p>
    <w:p w14:paraId="23671168" w14:textId="60E1A654" w:rsidR="00054D44" w:rsidRPr="00B275E2" w:rsidRDefault="00054D44" w:rsidP="00B917D5">
      <w:pPr>
        <w:pStyle w:val="Tableheading"/>
      </w:pPr>
      <w:bookmarkStart w:id="411" w:name="_Ref526213"/>
      <w:bookmarkStart w:id="412" w:name="table36"/>
      <w:bookmarkStart w:id="413" w:name="_Toc111536642"/>
      <w:r w:rsidRPr="00B275E2">
        <w:t xml:space="preserve">Table </w:t>
      </w:r>
      <w:r w:rsidRPr="00B275E2">
        <w:fldChar w:fldCharType="begin"/>
      </w:r>
      <w:r w:rsidRPr="00B275E2">
        <w:instrText>SEQ Table \* ARABIC</w:instrText>
      </w:r>
      <w:r w:rsidRPr="00B275E2">
        <w:fldChar w:fldCharType="separate"/>
      </w:r>
      <w:r w:rsidR="003E141C" w:rsidRPr="00B275E2">
        <w:t>37</w:t>
      </w:r>
      <w:r w:rsidRPr="00B275E2">
        <w:fldChar w:fldCharType="end"/>
      </w:r>
      <w:bookmarkEnd w:id="410"/>
      <w:bookmarkEnd w:id="411"/>
      <w:bookmarkEnd w:id="412"/>
      <w:r w:rsidR="0011046F" w:rsidRPr="00B275E2">
        <w:t>:</w:t>
      </w:r>
      <w:r w:rsidR="0011046F" w:rsidRPr="00B275E2">
        <w:tab/>
      </w:r>
      <w:r w:rsidRPr="00B275E2">
        <w:t xml:space="preserve">Domestic aviation emission factors </w:t>
      </w:r>
      <w:r w:rsidR="000D724B" w:rsidRPr="00B275E2">
        <w:t xml:space="preserve">for 2019 </w:t>
      </w:r>
      <w:r w:rsidRPr="00B275E2">
        <w:t xml:space="preserve">with </w:t>
      </w:r>
      <w:r w:rsidR="00CF1B7F" w:rsidRPr="00B275E2">
        <w:t xml:space="preserve">a </w:t>
      </w:r>
      <w:r w:rsidRPr="00B275E2">
        <w:t>radiative forcing</w:t>
      </w:r>
      <w:r w:rsidR="00CF1B7F" w:rsidRPr="00B275E2">
        <w:t xml:space="preserve"> multiplier</w:t>
      </w:r>
      <w:bookmarkEnd w:id="413"/>
    </w:p>
    <w:tbl>
      <w:tblPr>
        <w:tblStyle w:val="LightList-Accent11"/>
        <w:tblW w:w="8505" w:type="dxa"/>
        <w:tblBorders>
          <w:top w:val="single" w:sz="4" w:space="0" w:color="1B556B"/>
          <w:bottom w:val="single" w:sz="4" w:space="0" w:color="1B556B"/>
          <w:insideH w:val="single" w:sz="4" w:space="0" w:color="1B556B"/>
          <w:insideV w:val="single" w:sz="4" w:space="0" w:color="1B556B"/>
        </w:tblBorders>
        <w:tblLayout w:type="fixed"/>
        <w:tblLook w:val="04A0" w:firstRow="1" w:lastRow="0" w:firstColumn="1" w:lastColumn="0" w:noHBand="0" w:noVBand="1"/>
      </w:tblPr>
      <w:tblGrid>
        <w:gridCol w:w="2410"/>
        <w:gridCol w:w="851"/>
        <w:gridCol w:w="1417"/>
        <w:gridCol w:w="1276"/>
        <w:gridCol w:w="1276"/>
        <w:gridCol w:w="1275"/>
      </w:tblGrid>
      <w:tr w:rsidR="00070D8A" w:rsidRPr="00B275E2" w14:paraId="1189328D" w14:textId="77777777" w:rsidTr="00B917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noWrap/>
            <w:vAlign w:val="bottom"/>
            <w:hideMark/>
          </w:tcPr>
          <w:p w14:paraId="2651C659" w14:textId="77777777" w:rsidR="00054D44" w:rsidRPr="00B275E2" w:rsidRDefault="00054D44" w:rsidP="003F07A7">
            <w:pPr>
              <w:pStyle w:val="TableText"/>
              <w:spacing w:before="40" w:after="40"/>
            </w:pPr>
            <w:r w:rsidRPr="00B275E2">
              <w:t>Emission source</w:t>
            </w:r>
          </w:p>
        </w:tc>
        <w:tc>
          <w:tcPr>
            <w:tcW w:w="851" w:type="dxa"/>
            <w:noWrap/>
            <w:vAlign w:val="bottom"/>
            <w:hideMark/>
          </w:tcPr>
          <w:p w14:paraId="2A330A8B" w14:textId="77777777" w:rsidR="00054D44" w:rsidRPr="00B275E2" w:rsidRDefault="00054D44" w:rsidP="003F07A7">
            <w:pPr>
              <w:pStyle w:val="TableText"/>
              <w:spacing w:before="40" w:after="40"/>
              <w:cnfStyle w:val="100000000000" w:firstRow="1" w:lastRow="0" w:firstColumn="0" w:lastColumn="0" w:oddVBand="0" w:evenVBand="0" w:oddHBand="0" w:evenHBand="0" w:firstRowFirstColumn="0" w:firstRowLastColumn="0" w:lastRowFirstColumn="0" w:lastRowLastColumn="0"/>
            </w:pPr>
            <w:r w:rsidRPr="00B275E2">
              <w:t>Unit</w:t>
            </w:r>
          </w:p>
        </w:tc>
        <w:tc>
          <w:tcPr>
            <w:tcW w:w="1417" w:type="dxa"/>
            <w:shd w:val="clear" w:color="auto" w:fill="D2DDE1" w:themeFill="background2"/>
            <w:noWrap/>
            <w:vAlign w:val="bottom"/>
            <w:hideMark/>
          </w:tcPr>
          <w:p w14:paraId="0328318B" w14:textId="3255A9ED" w:rsidR="00054D44" w:rsidRPr="00B275E2" w:rsidRDefault="00054D44" w:rsidP="003F07A7">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color w:val="auto"/>
              </w:rPr>
            </w:pPr>
            <w:r w:rsidRPr="00B275E2">
              <w:rPr>
                <w:color w:val="auto"/>
              </w:rPr>
              <w:t>kg CO</w:t>
            </w:r>
            <w:r w:rsidRPr="00B275E2">
              <w:rPr>
                <w:color w:val="auto"/>
                <w:vertAlign w:val="subscript"/>
              </w:rPr>
              <w:t>2</w:t>
            </w:r>
            <w:r w:rsidRPr="00B275E2">
              <w:rPr>
                <w:color w:val="auto"/>
              </w:rPr>
              <w:t>-e</w:t>
            </w:r>
            <w:r w:rsidR="00836D5A" w:rsidRPr="00B275E2">
              <w:rPr>
                <w:color w:val="auto"/>
              </w:rPr>
              <w:t>/unit</w:t>
            </w:r>
          </w:p>
        </w:tc>
        <w:tc>
          <w:tcPr>
            <w:tcW w:w="1276" w:type="dxa"/>
            <w:noWrap/>
            <w:vAlign w:val="bottom"/>
            <w:hideMark/>
          </w:tcPr>
          <w:p w14:paraId="38015A11" w14:textId="03D7A3C7" w:rsidR="00054D44" w:rsidRPr="00B275E2" w:rsidRDefault="00054D44" w:rsidP="003F07A7">
            <w:pPr>
              <w:pStyle w:val="TableText"/>
              <w:spacing w:before="40" w:after="40"/>
              <w:jc w:val="right"/>
              <w:cnfStyle w:val="100000000000" w:firstRow="1" w:lastRow="0" w:firstColumn="0" w:lastColumn="0" w:oddVBand="0" w:evenVBand="0" w:oddHBand="0" w:evenHBand="0" w:firstRowFirstColumn="0" w:firstRowLastColumn="0" w:lastRowFirstColumn="0" w:lastRowLastColumn="0"/>
            </w:pPr>
            <w:r w:rsidRPr="00B275E2">
              <w:t>kg CO</w:t>
            </w:r>
            <w:r w:rsidRPr="00B275E2">
              <w:rPr>
                <w:vertAlign w:val="subscript"/>
              </w:rPr>
              <w:t>2</w:t>
            </w:r>
            <w:r w:rsidR="00836D5A" w:rsidRPr="00B275E2">
              <w:t>/unit</w:t>
            </w:r>
            <w:r w:rsidR="00070D8A" w:rsidRPr="00B275E2">
              <w:t xml:space="preserve"> (kg CO</w:t>
            </w:r>
            <w:r w:rsidR="00070D8A" w:rsidRPr="00B275E2">
              <w:rPr>
                <w:vertAlign w:val="subscript"/>
              </w:rPr>
              <w:t>2</w:t>
            </w:r>
            <w:r w:rsidR="00070D8A" w:rsidRPr="00B275E2">
              <w:t>-e)</w:t>
            </w:r>
          </w:p>
        </w:tc>
        <w:tc>
          <w:tcPr>
            <w:tcW w:w="1276" w:type="dxa"/>
            <w:noWrap/>
            <w:vAlign w:val="bottom"/>
            <w:hideMark/>
          </w:tcPr>
          <w:p w14:paraId="26E91D57" w14:textId="1260C680" w:rsidR="00054D44" w:rsidRPr="00B275E2" w:rsidRDefault="00070D8A" w:rsidP="003F07A7">
            <w:pPr>
              <w:pStyle w:val="TableText"/>
              <w:spacing w:before="40" w:after="40"/>
              <w:jc w:val="right"/>
              <w:cnfStyle w:val="100000000000" w:firstRow="1" w:lastRow="0" w:firstColumn="0" w:lastColumn="0" w:oddVBand="0" w:evenVBand="0" w:oddHBand="0" w:evenHBand="0" w:firstRowFirstColumn="0" w:firstRowLastColumn="0" w:lastRowFirstColumn="0" w:lastRowLastColumn="0"/>
            </w:pPr>
            <w:r w:rsidRPr="00B275E2">
              <w:t xml:space="preserve">kg </w:t>
            </w:r>
            <w:r w:rsidR="00054D44" w:rsidRPr="00B275E2">
              <w:t>CH</w:t>
            </w:r>
            <w:r w:rsidR="00054D44" w:rsidRPr="00B275E2">
              <w:rPr>
                <w:vertAlign w:val="subscript"/>
              </w:rPr>
              <w:t>4</w:t>
            </w:r>
            <w:r w:rsidRPr="00B275E2">
              <w:t>/unit</w:t>
            </w:r>
            <w:r w:rsidR="003B5D5A" w:rsidRPr="00B275E2">
              <w:t xml:space="preserve"> </w:t>
            </w:r>
            <w:r w:rsidR="000A6EB0" w:rsidRPr="00B275E2">
              <w:t>(kg CO</w:t>
            </w:r>
            <w:r w:rsidR="000A6EB0" w:rsidRPr="00B275E2">
              <w:rPr>
                <w:vertAlign w:val="subscript"/>
              </w:rPr>
              <w:t>2</w:t>
            </w:r>
            <w:r w:rsidR="000A6EB0" w:rsidRPr="00B275E2">
              <w:t>-e)</w:t>
            </w:r>
          </w:p>
        </w:tc>
        <w:tc>
          <w:tcPr>
            <w:tcW w:w="1275" w:type="dxa"/>
            <w:noWrap/>
            <w:vAlign w:val="bottom"/>
            <w:hideMark/>
          </w:tcPr>
          <w:p w14:paraId="581750F2" w14:textId="64CDC756" w:rsidR="00054D44" w:rsidRPr="00B275E2" w:rsidRDefault="00070D8A" w:rsidP="003F07A7">
            <w:pPr>
              <w:pStyle w:val="TableText"/>
              <w:spacing w:before="40" w:after="40"/>
              <w:jc w:val="right"/>
              <w:cnfStyle w:val="100000000000" w:firstRow="1" w:lastRow="0" w:firstColumn="0" w:lastColumn="0" w:oddVBand="0" w:evenVBand="0" w:oddHBand="0" w:evenHBand="0" w:firstRowFirstColumn="0" w:firstRowLastColumn="0" w:lastRowFirstColumn="0" w:lastRowLastColumn="0"/>
            </w:pPr>
            <w:r w:rsidRPr="00B275E2">
              <w:t xml:space="preserve">kg </w:t>
            </w:r>
            <w:r w:rsidR="00054D44" w:rsidRPr="00B275E2">
              <w:t>N</w:t>
            </w:r>
            <w:r w:rsidR="00054D44" w:rsidRPr="00B275E2">
              <w:rPr>
                <w:vertAlign w:val="subscript"/>
              </w:rPr>
              <w:t>2</w:t>
            </w:r>
            <w:r w:rsidR="00054D44" w:rsidRPr="00B275E2">
              <w:t>O</w:t>
            </w:r>
            <w:r w:rsidRPr="00B275E2">
              <w:t>/unit</w:t>
            </w:r>
            <w:r w:rsidR="000A6EB0" w:rsidRPr="00B275E2">
              <w:t xml:space="preserve"> (kg CO</w:t>
            </w:r>
            <w:r w:rsidR="000A6EB0" w:rsidRPr="00B275E2">
              <w:rPr>
                <w:vertAlign w:val="subscript"/>
              </w:rPr>
              <w:t>2</w:t>
            </w:r>
            <w:r w:rsidR="000A6EB0" w:rsidRPr="00B275E2">
              <w:t>-e)</w:t>
            </w:r>
          </w:p>
        </w:tc>
      </w:tr>
      <w:tr w:rsidR="00070D8A" w:rsidRPr="00B275E2" w14:paraId="1B040215" w14:textId="77777777" w:rsidTr="00B92C15">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410" w:type="dxa"/>
            <w:tcBorders>
              <w:left w:val="single" w:sz="4" w:space="0" w:color="FFFFFF" w:themeColor="background1"/>
            </w:tcBorders>
            <w:hideMark/>
          </w:tcPr>
          <w:p w14:paraId="57650E82" w14:textId="77777777" w:rsidR="008B2DF4" w:rsidRPr="00B275E2" w:rsidRDefault="008B2DF4" w:rsidP="003F07A7">
            <w:pPr>
              <w:pStyle w:val="TableText"/>
              <w:spacing w:before="40" w:after="40"/>
              <w:rPr>
                <w:b w:val="0"/>
              </w:rPr>
            </w:pPr>
            <w:r w:rsidRPr="00B275E2">
              <w:rPr>
                <w:b w:val="0"/>
              </w:rPr>
              <w:t>National average</w:t>
            </w:r>
          </w:p>
        </w:tc>
        <w:tc>
          <w:tcPr>
            <w:tcW w:w="851" w:type="dxa"/>
            <w:noWrap/>
            <w:hideMark/>
          </w:tcPr>
          <w:p w14:paraId="5AEA6F69" w14:textId="4208AB19" w:rsidR="008B2DF4" w:rsidRPr="00B275E2" w:rsidRDefault="008B2DF4" w:rsidP="003F07A7">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275E2">
              <w:t>pkm</w:t>
            </w:r>
          </w:p>
        </w:tc>
        <w:tc>
          <w:tcPr>
            <w:tcW w:w="1417" w:type="dxa"/>
            <w:shd w:val="clear" w:color="auto" w:fill="D2DDE1" w:themeFill="background2"/>
            <w:noWrap/>
          </w:tcPr>
          <w:p w14:paraId="6EC0F558" w14:textId="4D372362" w:rsidR="008B2DF4" w:rsidRPr="00B275E2" w:rsidRDefault="00A17603" w:rsidP="003F07A7">
            <w:pPr>
              <w:pStyle w:val="TableText"/>
              <w:tabs>
                <w:tab w:val="center" w:pos="374"/>
                <w:tab w:val="right" w:pos="748"/>
              </w:tabs>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t>0.306</w:t>
            </w:r>
          </w:p>
        </w:tc>
        <w:tc>
          <w:tcPr>
            <w:tcW w:w="1276" w:type="dxa"/>
            <w:shd w:val="clear" w:color="auto" w:fill="auto"/>
            <w:noWrap/>
          </w:tcPr>
          <w:p w14:paraId="7B9127E0" w14:textId="57553A5F" w:rsidR="008B2DF4" w:rsidRPr="00B275E2" w:rsidRDefault="00A17603" w:rsidP="003F07A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t>0.300</w:t>
            </w:r>
          </w:p>
        </w:tc>
        <w:tc>
          <w:tcPr>
            <w:tcW w:w="1276" w:type="dxa"/>
            <w:shd w:val="clear" w:color="auto" w:fill="auto"/>
            <w:noWrap/>
          </w:tcPr>
          <w:p w14:paraId="0AB3C6C5" w14:textId="3D5F1174" w:rsidR="008B2DF4" w:rsidRPr="00B275E2" w:rsidRDefault="00A17603" w:rsidP="003F07A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t>0.001</w:t>
            </w:r>
          </w:p>
        </w:tc>
        <w:tc>
          <w:tcPr>
            <w:tcW w:w="1275" w:type="dxa"/>
            <w:tcBorders>
              <w:right w:val="single" w:sz="4" w:space="0" w:color="FFFFFF" w:themeColor="background1"/>
            </w:tcBorders>
            <w:shd w:val="clear" w:color="auto" w:fill="auto"/>
            <w:noWrap/>
          </w:tcPr>
          <w:p w14:paraId="2DDD39ED" w14:textId="032D6563" w:rsidR="008B2DF4" w:rsidRPr="00B275E2" w:rsidRDefault="00A17603" w:rsidP="003F07A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t>0.004</w:t>
            </w:r>
          </w:p>
        </w:tc>
      </w:tr>
      <w:tr w:rsidR="00070D8A" w:rsidRPr="00B275E2" w14:paraId="491597E5" w14:textId="77777777" w:rsidTr="00B92C15">
        <w:trPr>
          <w:trHeight w:val="329"/>
        </w:trPr>
        <w:tc>
          <w:tcPr>
            <w:cnfStyle w:val="001000000000" w:firstRow="0" w:lastRow="0" w:firstColumn="1" w:lastColumn="0" w:oddVBand="0" w:evenVBand="0" w:oddHBand="0" w:evenHBand="0" w:firstRowFirstColumn="0" w:firstRowLastColumn="0" w:lastRowFirstColumn="0" w:lastRowLastColumn="0"/>
            <w:tcW w:w="2410" w:type="dxa"/>
            <w:tcBorders>
              <w:left w:val="single" w:sz="4" w:space="0" w:color="FFFFFF" w:themeColor="background1"/>
            </w:tcBorders>
          </w:tcPr>
          <w:p w14:paraId="03D08FF6" w14:textId="7F973D0F" w:rsidR="008B2DF4" w:rsidRPr="00B275E2" w:rsidRDefault="00877BF3" w:rsidP="003F07A7">
            <w:pPr>
              <w:pStyle w:val="TableText"/>
              <w:spacing w:before="40" w:after="40"/>
              <w:rPr>
                <w:b w:val="0"/>
              </w:rPr>
            </w:pPr>
            <w:r w:rsidRPr="00B275E2">
              <w:rPr>
                <w:b w:val="0"/>
              </w:rPr>
              <w:t>Large</w:t>
            </w:r>
            <w:r w:rsidR="008B2DF4" w:rsidRPr="00B275E2">
              <w:rPr>
                <w:b w:val="0"/>
              </w:rPr>
              <w:t xml:space="preserve"> aircraft</w:t>
            </w:r>
          </w:p>
        </w:tc>
        <w:tc>
          <w:tcPr>
            <w:tcW w:w="851" w:type="dxa"/>
            <w:noWrap/>
          </w:tcPr>
          <w:p w14:paraId="732F89E9" w14:textId="38900488" w:rsidR="008B2DF4" w:rsidRPr="00B275E2" w:rsidRDefault="008B2DF4" w:rsidP="003F07A7">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275E2">
              <w:t>pkm</w:t>
            </w:r>
          </w:p>
        </w:tc>
        <w:tc>
          <w:tcPr>
            <w:tcW w:w="1417" w:type="dxa"/>
            <w:shd w:val="clear" w:color="auto" w:fill="D2DDE1" w:themeFill="background2"/>
            <w:noWrap/>
          </w:tcPr>
          <w:p w14:paraId="01CA9CAB" w14:textId="729731AB" w:rsidR="008B2DF4" w:rsidRPr="00B275E2" w:rsidRDefault="00A17603" w:rsidP="003F07A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t>0.1</w:t>
            </w:r>
            <w:r w:rsidR="00C128C4">
              <w:t>68</w:t>
            </w:r>
          </w:p>
        </w:tc>
        <w:tc>
          <w:tcPr>
            <w:tcW w:w="1276" w:type="dxa"/>
            <w:shd w:val="clear" w:color="auto" w:fill="auto"/>
            <w:noWrap/>
          </w:tcPr>
          <w:p w14:paraId="54E90AAF" w14:textId="2D595366" w:rsidR="008B2DF4" w:rsidRPr="00B275E2" w:rsidRDefault="00A17603" w:rsidP="003F07A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t>0.1</w:t>
            </w:r>
            <w:r w:rsidR="00C128C4">
              <w:t>65</w:t>
            </w:r>
          </w:p>
        </w:tc>
        <w:tc>
          <w:tcPr>
            <w:tcW w:w="1276" w:type="dxa"/>
            <w:shd w:val="clear" w:color="auto" w:fill="auto"/>
            <w:noWrap/>
          </w:tcPr>
          <w:p w14:paraId="0B4BCF1F" w14:textId="311D49E3" w:rsidR="008B2DF4" w:rsidRPr="00B275E2" w:rsidRDefault="00A17603" w:rsidP="003F07A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t>0.001</w:t>
            </w:r>
          </w:p>
        </w:tc>
        <w:tc>
          <w:tcPr>
            <w:tcW w:w="1275" w:type="dxa"/>
            <w:tcBorders>
              <w:right w:val="single" w:sz="4" w:space="0" w:color="FFFFFF" w:themeColor="background1"/>
            </w:tcBorders>
            <w:shd w:val="clear" w:color="auto" w:fill="auto"/>
            <w:noWrap/>
          </w:tcPr>
          <w:p w14:paraId="76557FD2" w14:textId="56E147A5" w:rsidR="008B2DF4" w:rsidRPr="00B275E2" w:rsidRDefault="00A17603" w:rsidP="003F07A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t>0.00</w:t>
            </w:r>
            <w:r w:rsidR="00C128C4">
              <w:t>2</w:t>
            </w:r>
          </w:p>
        </w:tc>
      </w:tr>
      <w:tr w:rsidR="00070D8A" w:rsidRPr="00B275E2" w14:paraId="5C2274CA" w14:textId="77777777" w:rsidTr="00B92C15">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410" w:type="dxa"/>
            <w:tcBorders>
              <w:left w:val="single" w:sz="4" w:space="0" w:color="FFFFFF" w:themeColor="background1"/>
            </w:tcBorders>
          </w:tcPr>
          <w:p w14:paraId="5C7108BA" w14:textId="3DF9B952" w:rsidR="008B2DF4" w:rsidRPr="00B275E2" w:rsidRDefault="008B2DF4" w:rsidP="003F07A7">
            <w:pPr>
              <w:pStyle w:val="TableText"/>
              <w:spacing w:before="40" w:after="40"/>
              <w:rPr>
                <w:b w:val="0"/>
              </w:rPr>
            </w:pPr>
            <w:r w:rsidRPr="00B275E2">
              <w:rPr>
                <w:b w:val="0"/>
              </w:rPr>
              <w:t>Medium aircraft</w:t>
            </w:r>
          </w:p>
        </w:tc>
        <w:tc>
          <w:tcPr>
            <w:tcW w:w="851" w:type="dxa"/>
            <w:noWrap/>
          </w:tcPr>
          <w:p w14:paraId="7768ADEB" w14:textId="1B25EA41" w:rsidR="008B2DF4" w:rsidRPr="00B275E2" w:rsidRDefault="008B2DF4" w:rsidP="003F07A7">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275E2">
              <w:t>pkm</w:t>
            </w:r>
          </w:p>
        </w:tc>
        <w:tc>
          <w:tcPr>
            <w:tcW w:w="1417" w:type="dxa"/>
            <w:shd w:val="clear" w:color="auto" w:fill="D2DDE1" w:themeFill="background2"/>
            <w:noWrap/>
          </w:tcPr>
          <w:p w14:paraId="05E51539" w14:textId="1B866BBF" w:rsidR="008B2DF4" w:rsidRPr="00B275E2" w:rsidRDefault="00A17603" w:rsidP="003F07A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t>0.2</w:t>
            </w:r>
            <w:r w:rsidR="00C128C4">
              <w:t>24</w:t>
            </w:r>
          </w:p>
        </w:tc>
        <w:tc>
          <w:tcPr>
            <w:tcW w:w="1276" w:type="dxa"/>
            <w:shd w:val="clear" w:color="auto" w:fill="auto"/>
            <w:noWrap/>
          </w:tcPr>
          <w:p w14:paraId="406BE122" w14:textId="0EE039F5" w:rsidR="008B2DF4" w:rsidRPr="00B275E2" w:rsidRDefault="00A17603" w:rsidP="003F07A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t>0.2</w:t>
            </w:r>
            <w:r w:rsidR="00C128C4">
              <w:t>20</w:t>
            </w:r>
          </w:p>
        </w:tc>
        <w:tc>
          <w:tcPr>
            <w:tcW w:w="1276" w:type="dxa"/>
            <w:shd w:val="clear" w:color="auto" w:fill="auto"/>
            <w:noWrap/>
          </w:tcPr>
          <w:p w14:paraId="05A89C63" w14:textId="085C14FD" w:rsidR="008B2DF4" w:rsidRPr="00B275E2" w:rsidRDefault="00A17603" w:rsidP="003F07A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t>0.001</w:t>
            </w:r>
          </w:p>
        </w:tc>
        <w:tc>
          <w:tcPr>
            <w:tcW w:w="1275" w:type="dxa"/>
            <w:tcBorders>
              <w:right w:val="single" w:sz="4" w:space="0" w:color="FFFFFF" w:themeColor="background1"/>
            </w:tcBorders>
            <w:shd w:val="clear" w:color="auto" w:fill="auto"/>
            <w:noWrap/>
          </w:tcPr>
          <w:p w14:paraId="30843CEF" w14:textId="51311600" w:rsidR="008B2DF4" w:rsidRPr="00B275E2" w:rsidRDefault="00A17603" w:rsidP="003F07A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t>0.003</w:t>
            </w:r>
          </w:p>
        </w:tc>
      </w:tr>
      <w:tr w:rsidR="00070D8A" w:rsidRPr="00B275E2" w14:paraId="494CF492" w14:textId="77777777" w:rsidTr="00B92C15">
        <w:trPr>
          <w:trHeight w:val="329"/>
        </w:trPr>
        <w:tc>
          <w:tcPr>
            <w:cnfStyle w:val="001000000000" w:firstRow="0" w:lastRow="0" w:firstColumn="1" w:lastColumn="0" w:oddVBand="0" w:evenVBand="0" w:oddHBand="0" w:evenHBand="0" w:firstRowFirstColumn="0" w:firstRowLastColumn="0" w:lastRowFirstColumn="0" w:lastRowLastColumn="0"/>
            <w:tcW w:w="2410" w:type="dxa"/>
            <w:tcBorders>
              <w:left w:val="single" w:sz="4" w:space="0" w:color="FFFFFF" w:themeColor="background1"/>
            </w:tcBorders>
          </w:tcPr>
          <w:p w14:paraId="30E74CAA" w14:textId="0455703D" w:rsidR="008B2DF4" w:rsidRPr="00B275E2" w:rsidRDefault="008B2DF4" w:rsidP="003F07A7">
            <w:pPr>
              <w:pStyle w:val="TableText"/>
              <w:spacing w:before="40" w:after="40"/>
              <w:rPr>
                <w:b w:val="0"/>
              </w:rPr>
            </w:pPr>
            <w:r w:rsidRPr="00B275E2">
              <w:rPr>
                <w:b w:val="0"/>
              </w:rPr>
              <w:t>Small aircraft</w:t>
            </w:r>
            <w:r w:rsidR="00794C91" w:rsidRPr="00B275E2">
              <w:rPr>
                <w:b w:val="0"/>
              </w:rPr>
              <w:t>*</w:t>
            </w:r>
          </w:p>
        </w:tc>
        <w:tc>
          <w:tcPr>
            <w:tcW w:w="851" w:type="dxa"/>
            <w:noWrap/>
          </w:tcPr>
          <w:p w14:paraId="3474E316" w14:textId="2C86BF64" w:rsidR="008B2DF4" w:rsidRPr="00B275E2" w:rsidRDefault="008B2DF4" w:rsidP="003F07A7">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275E2">
              <w:t>pkm</w:t>
            </w:r>
          </w:p>
        </w:tc>
        <w:tc>
          <w:tcPr>
            <w:tcW w:w="1417" w:type="dxa"/>
            <w:shd w:val="clear" w:color="auto" w:fill="D2DDE1" w:themeFill="background2"/>
            <w:noWrap/>
          </w:tcPr>
          <w:p w14:paraId="033887DB" w14:textId="4B1C2EFD" w:rsidR="008B2DF4" w:rsidRPr="00B275E2" w:rsidRDefault="008B2DF4" w:rsidP="003F07A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t>0.6</w:t>
            </w:r>
            <w:r w:rsidR="00C128C4">
              <w:t>70</w:t>
            </w:r>
          </w:p>
        </w:tc>
        <w:tc>
          <w:tcPr>
            <w:tcW w:w="1276" w:type="dxa"/>
            <w:shd w:val="clear" w:color="auto" w:fill="auto"/>
            <w:noWrap/>
          </w:tcPr>
          <w:p w14:paraId="2AC08D43" w14:textId="089E4413" w:rsidR="008B2DF4" w:rsidRPr="00B275E2" w:rsidRDefault="008B2DF4" w:rsidP="003F07A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t>0.647</w:t>
            </w:r>
          </w:p>
        </w:tc>
        <w:tc>
          <w:tcPr>
            <w:tcW w:w="1276" w:type="dxa"/>
            <w:shd w:val="clear" w:color="auto" w:fill="auto"/>
            <w:noWrap/>
          </w:tcPr>
          <w:p w14:paraId="37F81FBB" w14:textId="20DBB2D1" w:rsidR="008B2DF4" w:rsidRPr="00B275E2" w:rsidRDefault="008B2DF4" w:rsidP="003F07A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t>0.00</w:t>
            </w:r>
            <w:r w:rsidR="00C128C4">
              <w:t>5</w:t>
            </w:r>
          </w:p>
        </w:tc>
        <w:tc>
          <w:tcPr>
            <w:tcW w:w="1275" w:type="dxa"/>
            <w:tcBorders>
              <w:right w:val="single" w:sz="4" w:space="0" w:color="FFFFFF" w:themeColor="background1"/>
            </w:tcBorders>
            <w:shd w:val="clear" w:color="auto" w:fill="auto"/>
            <w:noWrap/>
          </w:tcPr>
          <w:p w14:paraId="44E611FD" w14:textId="53E2A47F" w:rsidR="008B2DF4" w:rsidRPr="00B275E2" w:rsidRDefault="00595A98" w:rsidP="003F07A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t>0.0</w:t>
            </w:r>
            <w:r w:rsidR="00C128C4">
              <w:t>17</w:t>
            </w:r>
          </w:p>
        </w:tc>
      </w:tr>
    </w:tbl>
    <w:p w14:paraId="5F2FBD3E" w14:textId="6325EF37" w:rsidR="00F76EF8" w:rsidRPr="00B275E2" w:rsidRDefault="00F76EF8" w:rsidP="007F0B1E">
      <w:pPr>
        <w:pStyle w:val="Note"/>
      </w:pPr>
      <w:r w:rsidRPr="00B275E2">
        <w:t>Note</w:t>
      </w:r>
      <w:r w:rsidR="00E416A5" w:rsidRPr="00B275E2">
        <w:t>:</w:t>
      </w:r>
      <w:r w:rsidRPr="00B275E2">
        <w:t xml:space="preserve"> </w:t>
      </w:r>
      <w:r w:rsidR="00E416A5" w:rsidRPr="00B275E2">
        <w:t xml:space="preserve">These </w:t>
      </w:r>
      <w:r w:rsidRPr="00B275E2">
        <w:t xml:space="preserve">numbers are rounded to three </w:t>
      </w:r>
      <w:r w:rsidR="00D15DE7" w:rsidRPr="00B275E2">
        <w:t>decimal places</w:t>
      </w:r>
      <w:r w:rsidR="00BA31FD" w:rsidRPr="00B275E2">
        <w:t xml:space="preserve"> </w:t>
      </w:r>
      <w:r w:rsidRPr="00B275E2">
        <w:t>unless the number is significantly small.</w:t>
      </w:r>
      <w:r w:rsidR="00794C91" w:rsidRPr="00B275E2">
        <w:br/>
        <w:t>Note: *Calculated using data from 2016.</w:t>
      </w:r>
    </w:p>
    <w:p w14:paraId="0F40946A" w14:textId="04586E94" w:rsidR="00F83830" w:rsidRPr="00B275E2" w:rsidRDefault="00F83830" w:rsidP="00B917D5">
      <w:pPr>
        <w:pStyle w:val="Tableheading"/>
      </w:pPr>
      <w:bookmarkStart w:id="414" w:name="_Toc111536643"/>
      <w:r w:rsidRPr="00B275E2">
        <w:lastRenderedPageBreak/>
        <w:t xml:space="preserve">Table </w:t>
      </w:r>
      <w:r w:rsidRPr="00B275E2">
        <w:fldChar w:fldCharType="begin"/>
      </w:r>
      <w:r w:rsidRPr="00B275E2">
        <w:instrText>SEQ Table \* ARABIC</w:instrText>
      </w:r>
      <w:r w:rsidRPr="00B275E2">
        <w:fldChar w:fldCharType="separate"/>
      </w:r>
      <w:r w:rsidR="003E141C" w:rsidRPr="00B275E2">
        <w:t>38</w:t>
      </w:r>
      <w:r w:rsidRPr="00B275E2">
        <w:fldChar w:fldCharType="end"/>
      </w:r>
      <w:r w:rsidRPr="00B275E2">
        <w:t>:</w:t>
      </w:r>
      <w:r w:rsidRPr="00B275E2">
        <w:tab/>
        <w:t>Domestic air travel emission factors for 2020 without a radiative forcing multiplier</w:t>
      </w:r>
      <w:bookmarkEnd w:id="414"/>
    </w:p>
    <w:tbl>
      <w:tblPr>
        <w:tblStyle w:val="LightList-Accent11"/>
        <w:tblW w:w="8505" w:type="dxa"/>
        <w:tblBorders>
          <w:top w:val="single" w:sz="4" w:space="0" w:color="1B556B"/>
          <w:bottom w:val="single" w:sz="4" w:space="0" w:color="1B556B"/>
          <w:insideH w:val="single" w:sz="4" w:space="0" w:color="1B556B"/>
          <w:insideV w:val="single" w:sz="4" w:space="0" w:color="1B556B"/>
        </w:tblBorders>
        <w:tblLayout w:type="fixed"/>
        <w:tblLook w:val="04A0" w:firstRow="1" w:lastRow="0" w:firstColumn="1" w:lastColumn="0" w:noHBand="0" w:noVBand="1"/>
      </w:tblPr>
      <w:tblGrid>
        <w:gridCol w:w="2410"/>
        <w:gridCol w:w="851"/>
        <w:gridCol w:w="1417"/>
        <w:gridCol w:w="1276"/>
        <w:gridCol w:w="1276"/>
        <w:gridCol w:w="1275"/>
      </w:tblGrid>
      <w:tr w:rsidR="00F83830" w:rsidRPr="00B275E2" w14:paraId="043BD569" w14:textId="77777777" w:rsidTr="00B917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noWrap/>
            <w:vAlign w:val="bottom"/>
            <w:hideMark/>
          </w:tcPr>
          <w:p w14:paraId="3B8A5BB5" w14:textId="77777777" w:rsidR="00F83830" w:rsidRPr="00B275E2" w:rsidRDefault="00F83830" w:rsidP="003F07A7">
            <w:pPr>
              <w:pStyle w:val="TableText"/>
              <w:spacing w:before="40" w:after="40"/>
            </w:pPr>
            <w:r w:rsidRPr="00B275E2">
              <w:t>Emission source</w:t>
            </w:r>
          </w:p>
        </w:tc>
        <w:tc>
          <w:tcPr>
            <w:tcW w:w="851" w:type="dxa"/>
            <w:noWrap/>
            <w:vAlign w:val="bottom"/>
            <w:hideMark/>
          </w:tcPr>
          <w:p w14:paraId="45ED073F" w14:textId="77777777" w:rsidR="00F83830" w:rsidRPr="00B275E2" w:rsidRDefault="00F83830" w:rsidP="003F07A7">
            <w:pPr>
              <w:pStyle w:val="TableText"/>
              <w:spacing w:before="40" w:after="40"/>
              <w:cnfStyle w:val="100000000000" w:firstRow="1" w:lastRow="0" w:firstColumn="0" w:lastColumn="0" w:oddVBand="0" w:evenVBand="0" w:oddHBand="0" w:evenHBand="0" w:firstRowFirstColumn="0" w:firstRowLastColumn="0" w:lastRowFirstColumn="0" w:lastRowLastColumn="0"/>
            </w:pPr>
            <w:r w:rsidRPr="00B275E2">
              <w:t>Unit</w:t>
            </w:r>
          </w:p>
        </w:tc>
        <w:tc>
          <w:tcPr>
            <w:tcW w:w="1417" w:type="dxa"/>
            <w:shd w:val="clear" w:color="auto" w:fill="D2DDE1" w:themeFill="background2"/>
            <w:noWrap/>
            <w:vAlign w:val="bottom"/>
            <w:hideMark/>
          </w:tcPr>
          <w:p w14:paraId="313BC338" w14:textId="77777777" w:rsidR="00F83830" w:rsidRPr="00B275E2" w:rsidRDefault="00F83830" w:rsidP="003F07A7">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color w:val="auto"/>
              </w:rPr>
            </w:pPr>
            <w:r w:rsidRPr="00B275E2">
              <w:rPr>
                <w:color w:val="auto"/>
              </w:rPr>
              <w:t>kg CO</w:t>
            </w:r>
            <w:r w:rsidRPr="00B275E2">
              <w:rPr>
                <w:color w:val="auto"/>
                <w:vertAlign w:val="subscript"/>
              </w:rPr>
              <w:t>2</w:t>
            </w:r>
            <w:r w:rsidRPr="00B275E2">
              <w:rPr>
                <w:color w:val="auto"/>
              </w:rPr>
              <w:t>-e/unit</w:t>
            </w:r>
          </w:p>
        </w:tc>
        <w:tc>
          <w:tcPr>
            <w:tcW w:w="1276" w:type="dxa"/>
            <w:noWrap/>
            <w:vAlign w:val="bottom"/>
            <w:hideMark/>
          </w:tcPr>
          <w:p w14:paraId="5CBD122F" w14:textId="77777777" w:rsidR="00F83830" w:rsidRPr="00B275E2" w:rsidRDefault="00F83830" w:rsidP="003F07A7">
            <w:pPr>
              <w:pStyle w:val="TableText"/>
              <w:spacing w:before="40" w:after="40"/>
              <w:jc w:val="right"/>
              <w:cnfStyle w:val="100000000000" w:firstRow="1" w:lastRow="0" w:firstColumn="0" w:lastColumn="0" w:oddVBand="0" w:evenVBand="0" w:oddHBand="0" w:evenHBand="0" w:firstRowFirstColumn="0" w:firstRowLastColumn="0" w:lastRowFirstColumn="0" w:lastRowLastColumn="0"/>
            </w:pPr>
            <w:r w:rsidRPr="00B275E2">
              <w:t>kg CO</w:t>
            </w:r>
            <w:r w:rsidRPr="00B275E2">
              <w:rPr>
                <w:vertAlign w:val="subscript"/>
              </w:rPr>
              <w:t>2</w:t>
            </w:r>
            <w:r w:rsidRPr="00B275E2">
              <w:t>/unit (kg CO</w:t>
            </w:r>
            <w:r w:rsidRPr="00B275E2">
              <w:rPr>
                <w:vertAlign w:val="subscript"/>
              </w:rPr>
              <w:t>2</w:t>
            </w:r>
            <w:r w:rsidRPr="00B275E2">
              <w:t>-e)</w:t>
            </w:r>
          </w:p>
        </w:tc>
        <w:tc>
          <w:tcPr>
            <w:tcW w:w="1276" w:type="dxa"/>
            <w:noWrap/>
            <w:vAlign w:val="bottom"/>
            <w:hideMark/>
          </w:tcPr>
          <w:p w14:paraId="5C6F82EB" w14:textId="77777777" w:rsidR="00F83830" w:rsidRPr="00B275E2" w:rsidRDefault="00F83830" w:rsidP="003F07A7">
            <w:pPr>
              <w:pStyle w:val="TableText"/>
              <w:spacing w:before="40" w:after="40"/>
              <w:jc w:val="right"/>
              <w:cnfStyle w:val="100000000000" w:firstRow="1" w:lastRow="0" w:firstColumn="0" w:lastColumn="0" w:oddVBand="0" w:evenVBand="0" w:oddHBand="0" w:evenHBand="0" w:firstRowFirstColumn="0" w:firstRowLastColumn="0" w:lastRowFirstColumn="0" w:lastRowLastColumn="0"/>
            </w:pPr>
            <w:r w:rsidRPr="00B275E2">
              <w:t>kg CH</w:t>
            </w:r>
            <w:r w:rsidRPr="00B275E2">
              <w:rPr>
                <w:vertAlign w:val="subscript"/>
              </w:rPr>
              <w:t>4</w:t>
            </w:r>
            <w:r w:rsidRPr="00B275E2">
              <w:t>/unit (kg CO</w:t>
            </w:r>
            <w:r w:rsidRPr="00B275E2">
              <w:rPr>
                <w:vertAlign w:val="subscript"/>
              </w:rPr>
              <w:t>2</w:t>
            </w:r>
            <w:r w:rsidRPr="00B275E2">
              <w:t>-e)</w:t>
            </w:r>
          </w:p>
        </w:tc>
        <w:tc>
          <w:tcPr>
            <w:tcW w:w="1275" w:type="dxa"/>
            <w:noWrap/>
            <w:vAlign w:val="bottom"/>
            <w:hideMark/>
          </w:tcPr>
          <w:p w14:paraId="3CFE5626" w14:textId="77777777" w:rsidR="00F83830" w:rsidRPr="00B275E2" w:rsidRDefault="00F83830" w:rsidP="003F07A7">
            <w:pPr>
              <w:pStyle w:val="TableText"/>
              <w:spacing w:before="40" w:after="40"/>
              <w:jc w:val="right"/>
              <w:cnfStyle w:val="100000000000" w:firstRow="1" w:lastRow="0" w:firstColumn="0" w:lastColumn="0" w:oddVBand="0" w:evenVBand="0" w:oddHBand="0" w:evenHBand="0" w:firstRowFirstColumn="0" w:firstRowLastColumn="0" w:lastRowFirstColumn="0" w:lastRowLastColumn="0"/>
            </w:pPr>
            <w:r w:rsidRPr="00B275E2">
              <w:t>kg N</w:t>
            </w:r>
            <w:r w:rsidRPr="00B275E2">
              <w:rPr>
                <w:vertAlign w:val="subscript"/>
              </w:rPr>
              <w:t>2</w:t>
            </w:r>
            <w:r w:rsidRPr="00B275E2">
              <w:t>O/unit (kg CO</w:t>
            </w:r>
            <w:r w:rsidRPr="00B275E2">
              <w:rPr>
                <w:vertAlign w:val="subscript"/>
              </w:rPr>
              <w:t>2</w:t>
            </w:r>
            <w:r w:rsidRPr="00B275E2">
              <w:t>-e)</w:t>
            </w:r>
          </w:p>
        </w:tc>
      </w:tr>
      <w:tr w:rsidR="00F83830" w:rsidRPr="00B275E2" w14:paraId="6E2EAFDE" w14:textId="77777777" w:rsidTr="00C25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left w:val="single" w:sz="4" w:space="0" w:color="FFFFFF" w:themeColor="background1"/>
            </w:tcBorders>
            <w:hideMark/>
          </w:tcPr>
          <w:p w14:paraId="0676DC50" w14:textId="77777777" w:rsidR="00F83830" w:rsidRPr="00B275E2" w:rsidRDefault="00F83830" w:rsidP="003F07A7">
            <w:pPr>
              <w:pStyle w:val="TableText"/>
              <w:spacing w:before="40" w:after="40"/>
              <w:rPr>
                <w:b w:val="0"/>
              </w:rPr>
            </w:pPr>
            <w:r w:rsidRPr="00B275E2">
              <w:rPr>
                <w:b w:val="0"/>
              </w:rPr>
              <w:t>National average</w:t>
            </w:r>
          </w:p>
        </w:tc>
        <w:tc>
          <w:tcPr>
            <w:tcW w:w="851" w:type="dxa"/>
            <w:noWrap/>
            <w:hideMark/>
          </w:tcPr>
          <w:p w14:paraId="18EEA143" w14:textId="77777777" w:rsidR="00F83830" w:rsidRPr="00B275E2" w:rsidRDefault="00F83830" w:rsidP="003F07A7">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275E2">
              <w:t>pkm</w:t>
            </w:r>
          </w:p>
        </w:tc>
        <w:tc>
          <w:tcPr>
            <w:tcW w:w="1417" w:type="dxa"/>
            <w:shd w:val="clear" w:color="auto" w:fill="D2DDE1" w:themeFill="background2"/>
            <w:noWrap/>
          </w:tcPr>
          <w:p w14:paraId="15AD43A9" w14:textId="2AB37194" w:rsidR="00F83830" w:rsidRPr="00B275E2" w:rsidRDefault="0067347C" w:rsidP="003F07A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t>0.164</w:t>
            </w:r>
          </w:p>
        </w:tc>
        <w:tc>
          <w:tcPr>
            <w:tcW w:w="1276" w:type="dxa"/>
            <w:shd w:val="clear" w:color="auto" w:fill="auto"/>
            <w:noWrap/>
          </w:tcPr>
          <w:p w14:paraId="33096657" w14:textId="4119053F" w:rsidR="00F83830" w:rsidRPr="00B275E2" w:rsidRDefault="0067347C" w:rsidP="003F07A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t>0.158</w:t>
            </w:r>
          </w:p>
        </w:tc>
        <w:tc>
          <w:tcPr>
            <w:tcW w:w="1276" w:type="dxa"/>
            <w:shd w:val="clear" w:color="auto" w:fill="auto"/>
            <w:noWrap/>
          </w:tcPr>
          <w:p w14:paraId="0AA7D713" w14:textId="77EB0A7D" w:rsidR="00F83830" w:rsidRPr="00B275E2" w:rsidRDefault="0067347C" w:rsidP="003F07A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t>0.001</w:t>
            </w:r>
          </w:p>
        </w:tc>
        <w:tc>
          <w:tcPr>
            <w:tcW w:w="1275" w:type="dxa"/>
            <w:tcBorders>
              <w:right w:val="single" w:sz="4" w:space="0" w:color="FFFFFF" w:themeColor="background1"/>
            </w:tcBorders>
            <w:shd w:val="clear" w:color="auto" w:fill="auto"/>
            <w:noWrap/>
          </w:tcPr>
          <w:p w14:paraId="63F2A19B" w14:textId="0EFE5DFE" w:rsidR="00F83830" w:rsidRPr="00B275E2" w:rsidRDefault="0067347C" w:rsidP="003F07A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t>0.004</w:t>
            </w:r>
          </w:p>
        </w:tc>
      </w:tr>
      <w:tr w:rsidR="00F83830" w:rsidRPr="00B275E2" w14:paraId="22A7C1FF" w14:textId="77777777" w:rsidTr="00C2550D">
        <w:tc>
          <w:tcPr>
            <w:cnfStyle w:val="001000000000" w:firstRow="0" w:lastRow="0" w:firstColumn="1" w:lastColumn="0" w:oddVBand="0" w:evenVBand="0" w:oddHBand="0" w:evenHBand="0" w:firstRowFirstColumn="0" w:firstRowLastColumn="0" w:lastRowFirstColumn="0" w:lastRowLastColumn="0"/>
            <w:tcW w:w="2410" w:type="dxa"/>
            <w:tcBorders>
              <w:left w:val="single" w:sz="4" w:space="0" w:color="FFFFFF" w:themeColor="background1"/>
            </w:tcBorders>
          </w:tcPr>
          <w:p w14:paraId="101DBB75" w14:textId="4F68810F" w:rsidR="00F83830" w:rsidRPr="00B275E2" w:rsidRDefault="00F83830" w:rsidP="003F07A7">
            <w:pPr>
              <w:pStyle w:val="TableText"/>
              <w:spacing w:before="40" w:after="40"/>
              <w:rPr>
                <w:b w:val="0"/>
              </w:rPr>
            </w:pPr>
            <w:r w:rsidRPr="00B275E2">
              <w:rPr>
                <w:b w:val="0"/>
                <w:bCs w:val="0"/>
              </w:rPr>
              <w:t>Large</w:t>
            </w:r>
            <w:r w:rsidRPr="00B275E2">
              <w:rPr>
                <w:b w:val="0"/>
              </w:rPr>
              <w:t xml:space="preserve"> aircraft</w:t>
            </w:r>
          </w:p>
        </w:tc>
        <w:tc>
          <w:tcPr>
            <w:tcW w:w="851" w:type="dxa"/>
            <w:noWrap/>
          </w:tcPr>
          <w:p w14:paraId="5FAD28E1" w14:textId="77777777" w:rsidR="00F83830" w:rsidRPr="00B275E2" w:rsidRDefault="00F83830" w:rsidP="003F07A7">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275E2">
              <w:t>pkm</w:t>
            </w:r>
          </w:p>
        </w:tc>
        <w:tc>
          <w:tcPr>
            <w:tcW w:w="1417" w:type="dxa"/>
            <w:shd w:val="clear" w:color="auto" w:fill="D2DDE1" w:themeFill="background2"/>
            <w:noWrap/>
          </w:tcPr>
          <w:p w14:paraId="1106347B" w14:textId="38CD8782" w:rsidR="00F83830" w:rsidRPr="00B275E2" w:rsidRDefault="0067347C" w:rsidP="003F07A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t>0.09</w:t>
            </w:r>
            <w:r w:rsidR="00974004">
              <w:t>0</w:t>
            </w:r>
          </w:p>
        </w:tc>
        <w:tc>
          <w:tcPr>
            <w:tcW w:w="1276" w:type="dxa"/>
            <w:shd w:val="clear" w:color="auto" w:fill="auto"/>
            <w:noWrap/>
          </w:tcPr>
          <w:p w14:paraId="36180603" w14:textId="3FD46B3B" w:rsidR="00F83830" w:rsidRPr="00B275E2" w:rsidRDefault="0067347C" w:rsidP="003F07A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t>0.0</w:t>
            </w:r>
            <w:r w:rsidR="00974004">
              <w:t>87</w:t>
            </w:r>
          </w:p>
        </w:tc>
        <w:tc>
          <w:tcPr>
            <w:tcW w:w="1276" w:type="dxa"/>
            <w:shd w:val="clear" w:color="auto" w:fill="auto"/>
            <w:noWrap/>
          </w:tcPr>
          <w:p w14:paraId="52AB64D3" w14:textId="3D86497D" w:rsidR="00F83830" w:rsidRPr="00B275E2" w:rsidRDefault="0067347C" w:rsidP="003F07A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t>0.001</w:t>
            </w:r>
          </w:p>
        </w:tc>
        <w:tc>
          <w:tcPr>
            <w:tcW w:w="1275" w:type="dxa"/>
            <w:tcBorders>
              <w:right w:val="single" w:sz="4" w:space="0" w:color="FFFFFF" w:themeColor="background1"/>
            </w:tcBorders>
            <w:shd w:val="clear" w:color="auto" w:fill="auto"/>
            <w:noWrap/>
          </w:tcPr>
          <w:p w14:paraId="1447D449" w14:textId="53228A94" w:rsidR="00F83830" w:rsidRPr="00B275E2" w:rsidRDefault="0067347C" w:rsidP="003F07A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t>0.00</w:t>
            </w:r>
            <w:r w:rsidR="00974004">
              <w:t>2</w:t>
            </w:r>
          </w:p>
        </w:tc>
      </w:tr>
      <w:tr w:rsidR="00F83830" w:rsidRPr="00B275E2" w14:paraId="03480AA5" w14:textId="77777777" w:rsidTr="00C25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left w:val="single" w:sz="4" w:space="0" w:color="FFFFFF" w:themeColor="background1"/>
            </w:tcBorders>
          </w:tcPr>
          <w:p w14:paraId="18CA266F" w14:textId="77777777" w:rsidR="00F83830" w:rsidRPr="00B275E2" w:rsidRDefault="00F83830" w:rsidP="003F07A7">
            <w:pPr>
              <w:pStyle w:val="TableText"/>
              <w:spacing w:before="40" w:after="40"/>
              <w:rPr>
                <w:b w:val="0"/>
              </w:rPr>
            </w:pPr>
            <w:r w:rsidRPr="00B275E2">
              <w:rPr>
                <w:b w:val="0"/>
              </w:rPr>
              <w:t>Medium aircraft</w:t>
            </w:r>
          </w:p>
        </w:tc>
        <w:tc>
          <w:tcPr>
            <w:tcW w:w="851" w:type="dxa"/>
            <w:noWrap/>
          </w:tcPr>
          <w:p w14:paraId="1E313F27" w14:textId="77777777" w:rsidR="00F83830" w:rsidRPr="00B275E2" w:rsidRDefault="00F83830" w:rsidP="003F07A7">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275E2">
              <w:t>pkm</w:t>
            </w:r>
          </w:p>
        </w:tc>
        <w:tc>
          <w:tcPr>
            <w:tcW w:w="1417" w:type="dxa"/>
            <w:shd w:val="clear" w:color="auto" w:fill="D2DDE1" w:themeFill="background2"/>
            <w:noWrap/>
          </w:tcPr>
          <w:p w14:paraId="625071F0" w14:textId="6F2B28EE" w:rsidR="00F83830" w:rsidRPr="00B275E2" w:rsidRDefault="0067347C" w:rsidP="003F07A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t>0.12</w:t>
            </w:r>
            <w:r w:rsidR="00974004">
              <w:t>0</w:t>
            </w:r>
          </w:p>
        </w:tc>
        <w:tc>
          <w:tcPr>
            <w:tcW w:w="1276" w:type="dxa"/>
            <w:shd w:val="clear" w:color="auto" w:fill="auto"/>
            <w:noWrap/>
          </w:tcPr>
          <w:p w14:paraId="432FFBEC" w14:textId="65CE1224" w:rsidR="00F83830" w:rsidRPr="00B275E2" w:rsidRDefault="0067347C" w:rsidP="003F07A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t>0.1</w:t>
            </w:r>
            <w:r w:rsidR="00974004">
              <w:t>16</w:t>
            </w:r>
          </w:p>
        </w:tc>
        <w:tc>
          <w:tcPr>
            <w:tcW w:w="1276" w:type="dxa"/>
            <w:shd w:val="clear" w:color="auto" w:fill="auto"/>
            <w:noWrap/>
          </w:tcPr>
          <w:p w14:paraId="22E0709E" w14:textId="7D60588C" w:rsidR="00F83830" w:rsidRPr="00B275E2" w:rsidRDefault="0067347C" w:rsidP="003F07A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t>0.001</w:t>
            </w:r>
          </w:p>
        </w:tc>
        <w:tc>
          <w:tcPr>
            <w:tcW w:w="1275" w:type="dxa"/>
            <w:tcBorders>
              <w:right w:val="single" w:sz="4" w:space="0" w:color="FFFFFF" w:themeColor="background1"/>
            </w:tcBorders>
            <w:shd w:val="clear" w:color="auto" w:fill="auto"/>
            <w:noWrap/>
          </w:tcPr>
          <w:p w14:paraId="174D15BF" w14:textId="7431E340" w:rsidR="00F83830" w:rsidRPr="00B275E2" w:rsidRDefault="0067347C" w:rsidP="003F07A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t>0.003</w:t>
            </w:r>
          </w:p>
        </w:tc>
      </w:tr>
      <w:tr w:rsidR="00F83830" w:rsidRPr="00B275E2" w14:paraId="3C180071" w14:textId="77777777" w:rsidTr="00C2550D">
        <w:tc>
          <w:tcPr>
            <w:cnfStyle w:val="001000000000" w:firstRow="0" w:lastRow="0" w:firstColumn="1" w:lastColumn="0" w:oddVBand="0" w:evenVBand="0" w:oddHBand="0" w:evenHBand="0" w:firstRowFirstColumn="0" w:firstRowLastColumn="0" w:lastRowFirstColumn="0" w:lastRowLastColumn="0"/>
            <w:tcW w:w="2410" w:type="dxa"/>
            <w:tcBorders>
              <w:left w:val="single" w:sz="4" w:space="0" w:color="FFFFFF" w:themeColor="background1"/>
            </w:tcBorders>
          </w:tcPr>
          <w:p w14:paraId="7DCD0FA3" w14:textId="77E21108" w:rsidR="00F83830" w:rsidRPr="00B275E2" w:rsidRDefault="00F83830" w:rsidP="003F07A7">
            <w:pPr>
              <w:pStyle w:val="TableText"/>
              <w:spacing w:before="40" w:after="40"/>
              <w:rPr>
                <w:b w:val="0"/>
              </w:rPr>
            </w:pPr>
            <w:r w:rsidRPr="00B275E2">
              <w:rPr>
                <w:b w:val="0"/>
              </w:rPr>
              <w:t>Small aircraft</w:t>
            </w:r>
            <w:r w:rsidR="00794C91" w:rsidRPr="00B275E2">
              <w:rPr>
                <w:b w:val="0"/>
              </w:rPr>
              <w:t>*</w:t>
            </w:r>
          </w:p>
        </w:tc>
        <w:tc>
          <w:tcPr>
            <w:tcW w:w="851" w:type="dxa"/>
            <w:noWrap/>
          </w:tcPr>
          <w:p w14:paraId="3EDDED28" w14:textId="77777777" w:rsidR="00F83830" w:rsidRPr="00B275E2" w:rsidRDefault="00F83830" w:rsidP="003F07A7">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275E2">
              <w:t>pkm</w:t>
            </w:r>
          </w:p>
        </w:tc>
        <w:tc>
          <w:tcPr>
            <w:tcW w:w="1417" w:type="dxa"/>
            <w:shd w:val="clear" w:color="auto" w:fill="D2DDE1" w:themeFill="background2"/>
            <w:noWrap/>
          </w:tcPr>
          <w:p w14:paraId="62DFFB8F" w14:textId="2D9AEDA2" w:rsidR="00F83830" w:rsidRPr="00B275E2" w:rsidRDefault="00F83830" w:rsidP="003F07A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t>0.35</w:t>
            </w:r>
            <w:r w:rsidR="00974004">
              <w:t>2</w:t>
            </w:r>
          </w:p>
        </w:tc>
        <w:tc>
          <w:tcPr>
            <w:tcW w:w="1276" w:type="dxa"/>
            <w:shd w:val="clear" w:color="auto" w:fill="auto"/>
            <w:noWrap/>
          </w:tcPr>
          <w:p w14:paraId="45C28998" w14:textId="77777777" w:rsidR="00F83830" w:rsidRPr="00B275E2" w:rsidRDefault="00F83830" w:rsidP="003F07A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t>0.341</w:t>
            </w:r>
          </w:p>
        </w:tc>
        <w:tc>
          <w:tcPr>
            <w:tcW w:w="1276" w:type="dxa"/>
            <w:shd w:val="clear" w:color="auto" w:fill="auto"/>
            <w:noWrap/>
          </w:tcPr>
          <w:p w14:paraId="53257498" w14:textId="2B9B31AD" w:rsidR="00F83830" w:rsidRPr="00B275E2" w:rsidRDefault="00F83830" w:rsidP="003F07A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t>0.00</w:t>
            </w:r>
            <w:r w:rsidR="00974004">
              <w:t>3</w:t>
            </w:r>
          </w:p>
        </w:tc>
        <w:tc>
          <w:tcPr>
            <w:tcW w:w="1275" w:type="dxa"/>
            <w:tcBorders>
              <w:right w:val="single" w:sz="4" w:space="0" w:color="FFFFFF" w:themeColor="background1"/>
            </w:tcBorders>
            <w:shd w:val="clear" w:color="auto" w:fill="auto"/>
            <w:noWrap/>
          </w:tcPr>
          <w:p w14:paraId="5EF6C608" w14:textId="25E39B78" w:rsidR="00F83830" w:rsidRPr="00B275E2" w:rsidRDefault="00F83830" w:rsidP="003F07A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t>0.009</w:t>
            </w:r>
          </w:p>
        </w:tc>
      </w:tr>
    </w:tbl>
    <w:p w14:paraId="7FD5B93A" w14:textId="4D8E81A0" w:rsidR="00F83830" w:rsidRPr="00B275E2" w:rsidRDefault="00F83830" w:rsidP="007F0B1E">
      <w:pPr>
        <w:pStyle w:val="Note"/>
      </w:pPr>
      <w:r w:rsidRPr="00B275E2">
        <w:t xml:space="preserve">Note: These numbers are rounded to three decimal places unless the number is significantly small. </w:t>
      </w:r>
      <w:r w:rsidR="00794C91" w:rsidRPr="00B275E2">
        <w:br/>
        <w:t>Note: *Calculated using data from 2016.</w:t>
      </w:r>
    </w:p>
    <w:p w14:paraId="452FDF87" w14:textId="46C1D54A" w:rsidR="00F83830" w:rsidRPr="00B275E2" w:rsidRDefault="00F83830" w:rsidP="00075CF4">
      <w:pPr>
        <w:pStyle w:val="Tableheading"/>
      </w:pPr>
      <w:bookmarkStart w:id="415" w:name="_Toc111536644"/>
      <w:r w:rsidRPr="00B275E2">
        <w:t xml:space="preserve">Table </w:t>
      </w:r>
      <w:r w:rsidRPr="00B275E2">
        <w:fldChar w:fldCharType="begin"/>
      </w:r>
      <w:r w:rsidRPr="00B275E2">
        <w:instrText>SEQ Table \* ARABIC</w:instrText>
      </w:r>
      <w:r w:rsidRPr="00B275E2">
        <w:fldChar w:fldCharType="separate"/>
      </w:r>
      <w:r w:rsidR="003E141C" w:rsidRPr="00B275E2">
        <w:t>39</w:t>
      </w:r>
      <w:r w:rsidRPr="00B275E2">
        <w:fldChar w:fldCharType="end"/>
      </w:r>
      <w:r w:rsidRPr="00B275E2">
        <w:t>:</w:t>
      </w:r>
      <w:r w:rsidRPr="00B275E2">
        <w:tab/>
        <w:t>Domestic aviation emission factors for 20</w:t>
      </w:r>
      <w:r w:rsidR="00F74AD7" w:rsidRPr="00B275E2">
        <w:t>20</w:t>
      </w:r>
      <w:r w:rsidRPr="00B275E2">
        <w:t xml:space="preserve"> with a radiative forcing multiplier</w:t>
      </w:r>
      <w:bookmarkEnd w:id="415"/>
    </w:p>
    <w:tbl>
      <w:tblPr>
        <w:tblStyle w:val="LightList-Accent11"/>
        <w:tblW w:w="8505" w:type="dxa"/>
        <w:tblBorders>
          <w:top w:val="single" w:sz="4" w:space="0" w:color="1B556B"/>
          <w:bottom w:val="single" w:sz="4" w:space="0" w:color="1B556B"/>
          <w:insideH w:val="single" w:sz="4" w:space="0" w:color="1B556B"/>
          <w:insideV w:val="single" w:sz="4" w:space="0" w:color="1B556B"/>
        </w:tblBorders>
        <w:tblLayout w:type="fixed"/>
        <w:tblLook w:val="04A0" w:firstRow="1" w:lastRow="0" w:firstColumn="1" w:lastColumn="0" w:noHBand="0" w:noVBand="1"/>
      </w:tblPr>
      <w:tblGrid>
        <w:gridCol w:w="2410"/>
        <w:gridCol w:w="851"/>
        <w:gridCol w:w="1417"/>
        <w:gridCol w:w="1276"/>
        <w:gridCol w:w="1276"/>
        <w:gridCol w:w="1275"/>
      </w:tblGrid>
      <w:tr w:rsidR="00F83830" w:rsidRPr="00B275E2" w14:paraId="31125A78" w14:textId="77777777" w:rsidTr="00075C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noWrap/>
            <w:vAlign w:val="bottom"/>
            <w:hideMark/>
          </w:tcPr>
          <w:p w14:paraId="589F28D1" w14:textId="77777777" w:rsidR="00F83830" w:rsidRPr="00B275E2" w:rsidRDefault="00F83830" w:rsidP="003F07A7">
            <w:pPr>
              <w:pStyle w:val="TableText"/>
              <w:spacing w:before="40" w:after="40"/>
            </w:pPr>
            <w:r w:rsidRPr="00B275E2">
              <w:t>Emission source</w:t>
            </w:r>
          </w:p>
        </w:tc>
        <w:tc>
          <w:tcPr>
            <w:tcW w:w="851" w:type="dxa"/>
            <w:noWrap/>
            <w:vAlign w:val="bottom"/>
            <w:hideMark/>
          </w:tcPr>
          <w:p w14:paraId="6CEDAD8B" w14:textId="77777777" w:rsidR="00F83830" w:rsidRPr="00B275E2" w:rsidRDefault="00F83830" w:rsidP="003F07A7">
            <w:pPr>
              <w:pStyle w:val="TableText"/>
              <w:spacing w:before="40" w:after="40"/>
              <w:cnfStyle w:val="100000000000" w:firstRow="1" w:lastRow="0" w:firstColumn="0" w:lastColumn="0" w:oddVBand="0" w:evenVBand="0" w:oddHBand="0" w:evenHBand="0" w:firstRowFirstColumn="0" w:firstRowLastColumn="0" w:lastRowFirstColumn="0" w:lastRowLastColumn="0"/>
            </w:pPr>
            <w:r w:rsidRPr="00B275E2">
              <w:t>Unit</w:t>
            </w:r>
          </w:p>
        </w:tc>
        <w:tc>
          <w:tcPr>
            <w:tcW w:w="1417" w:type="dxa"/>
            <w:shd w:val="clear" w:color="auto" w:fill="D2DDE1" w:themeFill="background2"/>
            <w:noWrap/>
            <w:vAlign w:val="bottom"/>
            <w:hideMark/>
          </w:tcPr>
          <w:p w14:paraId="7527A29B" w14:textId="77777777" w:rsidR="00F83830" w:rsidRPr="00B275E2" w:rsidRDefault="00F83830" w:rsidP="003F07A7">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color w:val="auto"/>
              </w:rPr>
            </w:pPr>
            <w:r w:rsidRPr="00B275E2">
              <w:rPr>
                <w:color w:val="auto"/>
              </w:rPr>
              <w:t>kg CO</w:t>
            </w:r>
            <w:r w:rsidRPr="00B275E2">
              <w:rPr>
                <w:color w:val="auto"/>
                <w:vertAlign w:val="subscript"/>
              </w:rPr>
              <w:t>2</w:t>
            </w:r>
            <w:r w:rsidRPr="00B275E2">
              <w:rPr>
                <w:color w:val="auto"/>
              </w:rPr>
              <w:t>-e/unit</w:t>
            </w:r>
          </w:p>
        </w:tc>
        <w:tc>
          <w:tcPr>
            <w:tcW w:w="1276" w:type="dxa"/>
            <w:noWrap/>
            <w:vAlign w:val="bottom"/>
            <w:hideMark/>
          </w:tcPr>
          <w:p w14:paraId="0C9610EB" w14:textId="77777777" w:rsidR="00F83830" w:rsidRPr="00B275E2" w:rsidRDefault="00F83830" w:rsidP="003F07A7">
            <w:pPr>
              <w:pStyle w:val="TableText"/>
              <w:spacing w:before="40" w:after="40"/>
              <w:jc w:val="right"/>
              <w:cnfStyle w:val="100000000000" w:firstRow="1" w:lastRow="0" w:firstColumn="0" w:lastColumn="0" w:oddVBand="0" w:evenVBand="0" w:oddHBand="0" w:evenHBand="0" w:firstRowFirstColumn="0" w:firstRowLastColumn="0" w:lastRowFirstColumn="0" w:lastRowLastColumn="0"/>
            </w:pPr>
            <w:r w:rsidRPr="00B275E2">
              <w:t>kg CO</w:t>
            </w:r>
            <w:r w:rsidRPr="00B275E2">
              <w:rPr>
                <w:vertAlign w:val="subscript"/>
              </w:rPr>
              <w:t>2</w:t>
            </w:r>
            <w:r w:rsidRPr="00B275E2">
              <w:t>/unit (kg CO</w:t>
            </w:r>
            <w:r w:rsidRPr="00B275E2">
              <w:rPr>
                <w:vertAlign w:val="subscript"/>
              </w:rPr>
              <w:t>2</w:t>
            </w:r>
            <w:r w:rsidRPr="00B275E2">
              <w:t>-e)</w:t>
            </w:r>
          </w:p>
        </w:tc>
        <w:tc>
          <w:tcPr>
            <w:tcW w:w="1276" w:type="dxa"/>
            <w:noWrap/>
            <w:vAlign w:val="bottom"/>
            <w:hideMark/>
          </w:tcPr>
          <w:p w14:paraId="7413BD8B" w14:textId="77777777" w:rsidR="00F83830" w:rsidRPr="00B275E2" w:rsidRDefault="00F83830" w:rsidP="003F07A7">
            <w:pPr>
              <w:pStyle w:val="TableText"/>
              <w:spacing w:before="40" w:after="40"/>
              <w:jc w:val="right"/>
              <w:cnfStyle w:val="100000000000" w:firstRow="1" w:lastRow="0" w:firstColumn="0" w:lastColumn="0" w:oddVBand="0" w:evenVBand="0" w:oddHBand="0" w:evenHBand="0" w:firstRowFirstColumn="0" w:firstRowLastColumn="0" w:lastRowFirstColumn="0" w:lastRowLastColumn="0"/>
            </w:pPr>
            <w:r w:rsidRPr="00B275E2">
              <w:t>kg CH</w:t>
            </w:r>
            <w:r w:rsidRPr="00B275E2">
              <w:rPr>
                <w:vertAlign w:val="subscript"/>
              </w:rPr>
              <w:t>4</w:t>
            </w:r>
            <w:r w:rsidRPr="00B275E2">
              <w:t>/unit (kg CO</w:t>
            </w:r>
            <w:r w:rsidRPr="00B275E2">
              <w:rPr>
                <w:vertAlign w:val="subscript"/>
              </w:rPr>
              <w:t>2</w:t>
            </w:r>
            <w:r w:rsidRPr="00B275E2">
              <w:t>-e)</w:t>
            </w:r>
          </w:p>
        </w:tc>
        <w:tc>
          <w:tcPr>
            <w:tcW w:w="1275" w:type="dxa"/>
            <w:noWrap/>
            <w:vAlign w:val="bottom"/>
            <w:hideMark/>
          </w:tcPr>
          <w:p w14:paraId="345B63D9" w14:textId="77777777" w:rsidR="00F83830" w:rsidRPr="00B275E2" w:rsidRDefault="00F83830" w:rsidP="003F07A7">
            <w:pPr>
              <w:pStyle w:val="TableText"/>
              <w:spacing w:before="40" w:after="40"/>
              <w:jc w:val="right"/>
              <w:cnfStyle w:val="100000000000" w:firstRow="1" w:lastRow="0" w:firstColumn="0" w:lastColumn="0" w:oddVBand="0" w:evenVBand="0" w:oddHBand="0" w:evenHBand="0" w:firstRowFirstColumn="0" w:firstRowLastColumn="0" w:lastRowFirstColumn="0" w:lastRowLastColumn="0"/>
            </w:pPr>
            <w:r w:rsidRPr="00B275E2">
              <w:t>kg N</w:t>
            </w:r>
            <w:r w:rsidRPr="00B275E2">
              <w:rPr>
                <w:vertAlign w:val="subscript"/>
              </w:rPr>
              <w:t>2</w:t>
            </w:r>
            <w:r w:rsidRPr="00B275E2">
              <w:t>O/unit (kg CO</w:t>
            </w:r>
            <w:r w:rsidRPr="00B275E2">
              <w:rPr>
                <w:vertAlign w:val="subscript"/>
              </w:rPr>
              <w:t>2</w:t>
            </w:r>
            <w:r w:rsidRPr="00B275E2">
              <w:t>-e)</w:t>
            </w:r>
          </w:p>
        </w:tc>
      </w:tr>
      <w:tr w:rsidR="00F83830" w:rsidRPr="00B275E2" w14:paraId="2ECC8398" w14:textId="77777777" w:rsidTr="00C2550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410" w:type="dxa"/>
            <w:tcBorders>
              <w:left w:val="single" w:sz="4" w:space="0" w:color="FFFFFF" w:themeColor="background1"/>
            </w:tcBorders>
            <w:hideMark/>
          </w:tcPr>
          <w:p w14:paraId="282570E2" w14:textId="77777777" w:rsidR="00F83830" w:rsidRPr="00B275E2" w:rsidRDefault="00F83830" w:rsidP="003F07A7">
            <w:pPr>
              <w:pStyle w:val="TableText"/>
              <w:spacing w:before="40" w:after="40"/>
              <w:rPr>
                <w:b w:val="0"/>
              </w:rPr>
            </w:pPr>
            <w:r w:rsidRPr="00B275E2">
              <w:rPr>
                <w:b w:val="0"/>
              </w:rPr>
              <w:t>National average</w:t>
            </w:r>
          </w:p>
        </w:tc>
        <w:tc>
          <w:tcPr>
            <w:tcW w:w="851" w:type="dxa"/>
            <w:noWrap/>
            <w:hideMark/>
          </w:tcPr>
          <w:p w14:paraId="3F6845EC" w14:textId="77777777" w:rsidR="00F83830" w:rsidRPr="00B275E2" w:rsidRDefault="00F83830" w:rsidP="003F07A7">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275E2">
              <w:t>pkm</w:t>
            </w:r>
          </w:p>
        </w:tc>
        <w:tc>
          <w:tcPr>
            <w:tcW w:w="1417" w:type="dxa"/>
            <w:shd w:val="clear" w:color="auto" w:fill="D2DDE1" w:themeFill="background2"/>
            <w:noWrap/>
          </w:tcPr>
          <w:p w14:paraId="1E4F54F0" w14:textId="33BA1835" w:rsidR="00F83830" w:rsidRPr="00B275E2" w:rsidRDefault="008A6F02" w:rsidP="003F07A7">
            <w:pPr>
              <w:pStyle w:val="TableText"/>
              <w:tabs>
                <w:tab w:val="center" w:pos="374"/>
                <w:tab w:val="right" w:pos="748"/>
              </w:tabs>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t>0.306</w:t>
            </w:r>
          </w:p>
        </w:tc>
        <w:tc>
          <w:tcPr>
            <w:tcW w:w="1276" w:type="dxa"/>
            <w:shd w:val="clear" w:color="auto" w:fill="auto"/>
            <w:noWrap/>
          </w:tcPr>
          <w:p w14:paraId="647A4BBC" w14:textId="053F868B" w:rsidR="00F83830" w:rsidRPr="00B275E2" w:rsidRDefault="008A6F02" w:rsidP="003F07A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t>0.300</w:t>
            </w:r>
          </w:p>
        </w:tc>
        <w:tc>
          <w:tcPr>
            <w:tcW w:w="1276" w:type="dxa"/>
            <w:shd w:val="clear" w:color="auto" w:fill="auto"/>
            <w:noWrap/>
          </w:tcPr>
          <w:p w14:paraId="42B84F40" w14:textId="71193B70" w:rsidR="00F83830" w:rsidRPr="00B275E2" w:rsidRDefault="008A6F02" w:rsidP="003F07A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t>0.001</w:t>
            </w:r>
          </w:p>
        </w:tc>
        <w:tc>
          <w:tcPr>
            <w:tcW w:w="1275" w:type="dxa"/>
            <w:tcBorders>
              <w:right w:val="single" w:sz="4" w:space="0" w:color="FFFFFF" w:themeColor="background1"/>
            </w:tcBorders>
            <w:shd w:val="clear" w:color="auto" w:fill="auto"/>
            <w:noWrap/>
          </w:tcPr>
          <w:p w14:paraId="33C52FEE" w14:textId="700A39AF" w:rsidR="00F83830" w:rsidRPr="00B275E2" w:rsidRDefault="008A6F02" w:rsidP="003F07A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t>0.004</w:t>
            </w:r>
          </w:p>
        </w:tc>
      </w:tr>
      <w:tr w:rsidR="00F83830" w:rsidRPr="00B275E2" w14:paraId="3F1061AF" w14:textId="77777777" w:rsidTr="00C2550D">
        <w:trPr>
          <w:trHeight w:val="329"/>
        </w:trPr>
        <w:tc>
          <w:tcPr>
            <w:cnfStyle w:val="001000000000" w:firstRow="0" w:lastRow="0" w:firstColumn="1" w:lastColumn="0" w:oddVBand="0" w:evenVBand="0" w:oddHBand="0" w:evenHBand="0" w:firstRowFirstColumn="0" w:firstRowLastColumn="0" w:lastRowFirstColumn="0" w:lastRowLastColumn="0"/>
            <w:tcW w:w="2410" w:type="dxa"/>
            <w:tcBorders>
              <w:left w:val="single" w:sz="4" w:space="0" w:color="FFFFFF" w:themeColor="background1"/>
            </w:tcBorders>
          </w:tcPr>
          <w:p w14:paraId="76E138A7" w14:textId="5353F478" w:rsidR="00F83830" w:rsidRPr="00B275E2" w:rsidRDefault="00F83830" w:rsidP="003F07A7">
            <w:pPr>
              <w:pStyle w:val="TableText"/>
              <w:spacing w:before="40" w:after="40"/>
              <w:rPr>
                <w:b w:val="0"/>
              </w:rPr>
            </w:pPr>
            <w:r w:rsidRPr="00B275E2">
              <w:rPr>
                <w:b w:val="0"/>
              </w:rPr>
              <w:t>Large aircraft</w:t>
            </w:r>
          </w:p>
        </w:tc>
        <w:tc>
          <w:tcPr>
            <w:tcW w:w="851" w:type="dxa"/>
            <w:noWrap/>
          </w:tcPr>
          <w:p w14:paraId="39476816" w14:textId="77777777" w:rsidR="00F83830" w:rsidRPr="00B275E2" w:rsidRDefault="00F83830" w:rsidP="003F07A7">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275E2">
              <w:t>pkm</w:t>
            </w:r>
          </w:p>
        </w:tc>
        <w:tc>
          <w:tcPr>
            <w:tcW w:w="1417" w:type="dxa"/>
            <w:shd w:val="clear" w:color="auto" w:fill="D2DDE1" w:themeFill="background2"/>
            <w:noWrap/>
          </w:tcPr>
          <w:p w14:paraId="0370F2EE" w14:textId="7BCD7ACF" w:rsidR="00F83830" w:rsidRPr="00B275E2" w:rsidRDefault="008A6F02" w:rsidP="003F07A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t>0.1</w:t>
            </w:r>
            <w:r w:rsidR="00974004">
              <w:t>68</w:t>
            </w:r>
          </w:p>
        </w:tc>
        <w:tc>
          <w:tcPr>
            <w:tcW w:w="1276" w:type="dxa"/>
            <w:shd w:val="clear" w:color="auto" w:fill="auto"/>
            <w:noWrap/>
          </w:tcPr>
          <w:p w14:paraId="1F244D42" w14:textId="14ED438C" w:rsidR="00F83830" w:rsidRPr="00B275E2" w:rsidRDefault="008A6F02" w:rsidP="003F07A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t>0.1</w:t>
            </w:r>
            <w:r w:rsidR="00974004">
              <w:t>65</w:t>
            </w:r>
          </w:p>
        </w:tc>
        <w:tc>
          <w:tcPr>
            <w:tcW w:w="1276" w:type="dxa"/>
            <w:shd w:val="clear" w:color="auto" w:fill="auto"/>
            <w:noWrap/>
          </w:tcPr>
          <w:p w14:paraId="4EB4AAAD" w14:textId="31CCE5A6" w:rsidR="00F83830" w:rsidRPr="00B275E2" w:rsidRDefault="008A6F02" w:rsidP="003F07A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t>0.001</w:t>
            </w:r>
          </w:p>
        </w:tc>
        <w:tc>
          <w:tcPr>
            <w:tcW w:w="1275" w:type="dxa"/>
            <w:tcBorders>
              <w:right w:val="single" w:sz="4" w:space="0" w:color="FFFFFF" w:themeColor="background1"/>
            </w:tcBorders>
            <w:shd w:val="clear" w:color="auto" w:fill="auto"/>
            <w:noWrap/>
          </w:tcPr>
          <w:p w14:paraId="0404968D" w14:textId="6D451E82" w:rsidR="00F83830" w:rsidRPr="00B275E2" w:rsidRDefault="008A6F02" w:rsidP="003F07A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t>0.00</w:t>
            </w:r>
            <w:r w:rsidR="00974004">
              <w:t>2</w:t>
            </w:r>
          </w:p>
        </w:tc>
      </w:tr>
      <w:tr w:rsidR="00F83830" w:rsidRPr="00B275E2" w14:paraId="3F2C2314" w14:textId="77777777" w:rsidTr="00C2550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410" w:type="dxa"/>
            <w:tcBorders>
              <w:left w:val="single" w:sz="4" w:space="0" w:color="FFFFFF" w:themeColor="background1"/>
            </w:tcBorders>
          </w:tcPr>
          <w:p w14:paraId="728054D5" w14:textId="77777777" w:rsidR="00F83830" w:rsidRPr="00B275E2" w:rsidRDefault="00F83830" w:rsidP="003F07A7">
            <w:pPr>
              <w:pStyle w:val="TableText"/>
              <w:spacing w:before="40" w:after="40"/>
              <w:rPr>
                <w:b w:val="0"/>
              </w:rPr>
            </w:pPr>
            <w:r w:rsidRPr="00B275E2">
              <w:rPr>
                <w:b w:val="0"/>
              </w:rPr>
              <w:t>Medium aircraft</w:t>
            </w:r>
          </w:p>
        </w:tc>
        <w:tc>
          <w:tcPr>
            <w:tcW w:w="851" w:type="dxa"/>
            <w:noWrap/>
          </w:tcPr>
          <w:p w14:paraId="40435C8D" w14:textId="77777777" w:rsidR="00F83830" w:rsidRPr="00B275E2" w:rsidRDefault="00F83830" w:rsidP="003F07A7">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275E2">
              <w:t>pkm</w:t>
            </w:r>
          </w:p>
        </w:tc>
        <w:tc>
          <w:tcPr>
            <w:tcW w:w="1417" w:type="dxa"/>
            <w:shd w:val="clear" w:color="auto" w:fill="D2DDE1" w:themeFill="background2"/>
            <w:noWrap/>
          </w:tcPr>
          <w:p w14:paraId="734259B9" w14:textId="0FB05A77" w:rsidR="00F83830" w:rsidRPr="00B275E2" w:rsidRDefault="008A6F02" w:rsidP="003F07A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t>0.2</w:t>
            </w:r>
            <w:r w:rsidR="00974004">
              <w:t>24</w:t>
            </w:r>
          </w:p>
        </w:tc>
        <w:tc>
          <w:tcPr>
            <w:tcW w:w="1276" w:type="dxa"/>
            <w:shd w:val="clear" w:color="auto" w:fill="auto"/>
            <w:noWrap/>
          </w:tcPr>
          <w:p w14:paraId="5378F981" w14:textId="7B8B36CE" w:rsidR="00F83830" w:rsidRPr="00B275E2" w:rsidRDefault="008A6F02" w:rsidP="003F07A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t>0.2</w:t>
            </w:r>
            <w:r w:rsidR="0062508E">
              <w:t>20</w:t>
            </w:r>
          </w:p>
        </w:tc>
        <w:tc>
          <w:tcPr>
            <w:tcW w:w="1276" w:type="dxa"/>
            <w:shd w:val="clear" w:color="auto" w:fill="auto"/>
            <w:noWrap/>
          </w:tcPr>
          <w:p w14:paraId="6308A7E5" w14:textId="70DECEE6" w:rsidR="00F83830" w:rsidRPr="00B275E2" w:rsidRDefault="008A6F02" w:rsidP="003F07A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t>0.001</w:t>
            </w:r>
          </w:p>
        </w:tc>
        <w:tc>
          <w:tcPr>
            <w:tcW w:w="1275" w:type="dxa"/>
            <w:tcBorders>
              <w:right w:val="single" w:sz="4" w:space="0" w:color="FFFFFF" w:themeColor="background1"/>
            </w:tcBorders>
            <w:shd w:val="clear" w:color="auto" w:fill="auto"/>
            <w:noWrap/>
          </w:tcPr>
          <w:p w14:paraId="5E1DFAD2" w14:textId="7AB5DC63" w:rsidR="00F83830" w:rsidRPr="00B275E2" w:rsidRDefault="008A6F02" w:rsidP="003F07A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t>0.003</w:t>
            </w:r>
          </w:p>
        </w:tc>
      </w:tr>
      <w:tr w:rsidR="00F83830" w:rsidRPr="00B275E2" w14:paraId="6659DE30" w14:textId="77777777" w:rsidTr="00C2550D">
        <w:trPr>
          <w:trHeight w:val="329"/>
        </w:trPr>
        <w:tc>
          <w:tcPr>
            <w:cnfStyle w:val="001000000000" w:firstRow="0" w:lastRow="0" w:firstColumn="1" w:lastColumn="0" w:oddVBand="0" w:evenVBand="0" w:oddHBand="0" w:evenHBand="0" w:firstRowFirstColumn="0" w:firstRowLastColumn="0" w:lastRowFirstColumn="0" w:lastRowLastColumn="0"/>
            <w:tcW w:w="2410" w:type="dxa"/>
            <w:tcBorders>
              <w:left w:val="single" w:sz="4" w:space="0" w:color="FFFFFF" w:themeColor="background1"/>
            </w:tcBorders>
          </w:tcPr>
          <w:p w14:paraId="1B4A9979" w14:textId="7F763203" w:rsidR="00F83830" w:rsidRPr="00B275E2" w:rsidRDefault="00F83830" w:rsidP="003F07A7">
            <w:pPr>
              <w:pStyle w:val="TableText"/>
              <w:spacing w:before="40" w:after="40"/>
              <w:rPr>
                <w:b w:val="0"/>
              </w:rPr>
            </w:pPr>
            <w:r w:rsidRPr="00B275E2">
              <w:rPr>
                <w:b w:val="0"/>
              </w:rPr>
              <w:t>Small aircraft</w:t>
            </w:r>
            <w:r w:rsidR="00794C91" w:rsidRPr="00B275E2">
              <w:t>*</w:t>
            </w:r>
          </w:p>
        </w:tc>
        <w:tc>
          <w:tcPr>
            <w:tcW w:w="851" w:type="dxa"/>
            <w:noWrap/>
          </w:tcPr>
          <w:p w14:paraId="17EE7D51" w14:textId="77777777" w:rsidR="00F83830" w:rsidRPr="00B275E2" w:rsidRDefault="00F83830" w:rsidP="003F07A7">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275E2">
              <w:t>pkm</w:t>
            </w:r>
          </w:p>
        </w:tc>
        <w:tc>
          <w:tcPr>
            <w:tcW w:w="1417" w:type="dxa"/>
            <w:shd w:val="clear" w:color="auto" w:fill="D2DDE1" w:themeFill="background2"/>
            <w:noWrap/>
          </w:tcPr>
          <w:p w14:paraId="334A5568" w14:textId="26C28A27" w:rsidR="00F83830" w:rsidRPr="00B275E2" w:rsidRDefault="00F83830" w:rsidP="003F07A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t>0.6</w:t>
            </w:r>
            <w:r w:rsidR="0062508E">
              <w:t>70</w:t>
            </w:r>
          </w:p>
        </w:tc>
        <w:tc>
          <w:tcPr>
            <w:tcW w:w="1276" w:type="dxa"/>
            <w:shd w:val="clear" w:color="auto" w:fill="auto"/>
            <w:noWrap/>
          </w:tcPr>
          <w:p w14:paraId="45BB4D79" w14:textId="77777777" w:rsidR="00F83830" w:rsidRPr="00B275E2" w:rsidRDefault="00F83830" w:rsidP="003F07A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t>0.647</w:t>
            </w:r>
          </w:p>
        </w:tc>
        <w:tc>
          <w:tcPr>
            <w:tcW w:w="1276" w:type="dxa"/>
            <w:shd w:val="clear" w:color="auto" w:fill="auto"/>
            <w:noWrap/>
          </w:tcPr>
          <w:p w14:paraId="3D97FADE" w14:textId="103AC3D3" w:rsidR="00F83830" w:rsidRPr="00B275E2" w:rsidRDefault="00F83830" w:rsidP="003F07A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t>0.00</w:t>
            </w:r>
            <w:r w:rsidR="0062508E">
              <w:t>5</w:t>
            </w:r>
          </w:p>
        </w:tc>
        <w:tc>
          <w:tcPr>
            <w:tcW w:w="1275" w:type="dxa"/>
            <w:tcBorders>
              <w:right w:val="single" w:sz="4" w:space="0" w:color="FFFFFF" w:themeColor="background1"/>
            </w:tcBorders>
            <w:shd w:val="clear" w:color="auto" w:fill="auto"/>
            <w:noWrap/>
          </w:tcPr>
          <w:p w14:paraId="0A7FDD4F" w14:textId="39773E55" w:rsidR="00F83830" w:rsidRPr="00B275E2" w:rsidRDefault="00F83830" w:rsidP="003F07A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t>0.0</w:t>
            </w:r>
            <w:r w:rsidR="0062508E">
              <w:t>17</w:t>
            </w:r>
          </w:p>
        </w:tc>
      </w:tr>
    </w:tbl>
    <w:p w14:paraId="20ADC403" w14:textId="0C9EC091" w:rsidR="00F83830" w:rsidRPr="00B275E2" w:rsidRDefault="00F83830" w:rsidP="007F0B1E">
      <w:pPr>
        <w:pStyle w:val="Note"/>
      </w:pPr>
      <w:r w:rsidRPr="00B275E2">
        <w:t xml:space="preserve">Note: These numbers are rounded to three decimal places unless the number is significantly small. </w:t>
      </w:r>
      <w:r w:rsidR="00794C91" w:rsidRPr="00B275E2">
        <w:br/>
        <w:t>Note: *Calculated using data from 2016.</w:t>
      </w:r>
    </w:p>
    <w:p w14:paraId="10E1B8F9" w14:textId="667EBE26" w:rsidR="00CC2FCE" w:rsidRPr="00B275E2" w:rsidRDefault="00CC2FCE" w:rsidP="007F0B1E">
      <w:pPr>
        <w:pStyle w:val="BodyText"/>
      </w:pPr>
      <w:r w:rsidRPr="00B275E2">
        <w:t>We have provided a national average emission factor</w:t>
      </w:r>
      <w:r w:rsidR="006A0E82" w:rsidRPr="00B275E2">
        <w:t>, and</w:t>
      </w:r>
      <w:r w:rsidRPr="00B275E2">
        <w:t xml:space="preserve"> three factors based on the aircraft size: </w:t>
      </w:r>
      <w:r w:rsidR="00142655" w:rsidRPr="00B275E2">
        <w:t>large</w:t>
      </w:r>
      <w:r w:rsidRPr="00B275E2">
        <w:t xml:space="preserve">, </w:t>
      </w:r>
      <w:r w:rsidR="00EB6BEE" w:rsidRPr="00B275E2">
        <w:t xml:space="preserve">medium </w:t>
      </w:r>
      <w:r w:rsidRPr="00B275E2">
        <w:t xml:space="preserve">or small aircraft. A large aircraft in New Zealand would be an </w:t>
      </w:r>
      <w:r w:rsidR="005225BC">
        <w:t xml:space="preserve">Airbus A320, </w:t>
      </w:r>
      <w:r w:rsidR="00142655" w:rsidRPr="00B275E2">
        <w:rPr>
          <w:rFonts w:cs="Calibri"/>
          <w:color w:val="000000"/>
          <w:shd w:val="clear" w:color="auto" w:fill="FFFFFF"/>
        </w:rPr>
        <w:t>A3</w:t>
      </w:r>
      <w:r w:rsidR="00142655" w:rsidRPr="00B275E2">
        <w:rPr>
          <w:rFonts w:cs="Calibri"/>
          <w:shd w:val="clear" w:color="auto" w:fill="FFFFFF"/>
        </w:rPr>
        <w:t>20neo, A321neo, and A320ceo Domestic</w:t>
      </w:r>
      <w:r w:rsidR="00142655" w:rsidRPr="00B275E2">
        <w:t>.</w:t>
      </w:r>
      <w:r w:rsidRPr="00B275E2">
        <w:t xml:space="preserve"> </w:t>
      </w:r>
      <w:r w:rsidR="00142655" w:rsidRPr="00B275E2">
        <w:t>A</w:t>
      </w:r>
      <w:r w:rsidRPr="00B275E2">
        <w:t xml:space="preserve"> </w:t>
      </w:r>
      <w:r w:rsidR="00FE1E62" w:rsidRPr="00B275E2">
        <w:t>medium aircraft</w:t>
      </w:r>
      <w:r w:rsidRPr="00B275E2">
        <w:t xml:space="preserve"> </w:t>
      </w:r>
      <w:r w:rsidR="00FE1E62" w:rsidRPr="00B275E2">
        <w:t xml:space="preserve">has </w:t>
      </w:r>
      <w:r w:rsidR="00DA6761" w:rsidRPr="00B275E2">
        <w:t xml:space="preserve">between </w:t>
      </w:r>
      <w:r w:rsidR="00EB6BEE" w:rsidRPr="00B275E2">
        <w:t>5</w:t>
      </w:r>
      <w:r w:rsidR="00DA6761" w:rsidRPr="00B275E2">
        <w:t xml:space="preserve">0 and </w:t>
      </w:r>
      <w:r w:rsidR="00EB6BEE" w:rsidRPr="00B275E2">
        <w:t>7</w:t>
      </w:r>
      <w:r w:rsidR="00DA6761" w:rsidRPr="00B275E2">
        <w:t>0</w:t>
      </w:r>
      <w:r w:rsidRPr="00B275E2">
        <w:t xml:space="preserve"> seats</w:t>
      </w:r>
      <w:r w:rsidR="0079219A" w:rsidRPr="00B275E2">
        <w:t xml:space="preserve"> (ie</w:t>
      </w:r>
      <w:r w:rsidR="006A0E82" w:rsidRPr="00B275E2">
        <w:t>,</w:t>
      </w:r>
      <w:r w:rsidR="0079219A" w:rsidRPr="00B275E2">
        <w:t xml:space="preserve"> regional services on an ATR</w:t>
      </w:r>
      <w:r w:rsidR="00CF5F2D" w:rsidRPr="00B275E2">
        <w:t> </w:t>
      </w:r>
      <w:r w:rsidR="0079219A" w:rsidRPr="00B275E2">
        <w:t>72</w:t>
      </w:r>
      <w:r w:rsidR="00CF5F2D" w:rsidRPr="00B275E2">
        <w:t> </w:t>
      </w:r>
      <w:r w:rsidR="0079219A" w:rsidRPr="00B275E2">
        <w:t xml:space="preserve">or </w:t>
      </w:r>
      <w:r w:rsidR="005225BC">
        <w:t xml:space="preserve">de Havilland </w:t>
      </w:r>
      <w:r w:rsidR="00EA32DE" w:rsidRPr="00B275E2">
        <w:t>Q</w:t>
      </w:r>
      <w:r w:rsidR="0079219A" w:rsidRPr="00B275E2">
        <w:t>300)</w:t>
      </w:r>
      <w:r w:rsidRPr="00B275E2">
        <w:t xml:space="preserve"> and a small aircraft has less than </w:t>
      </w:r>
      <w:r w:rsidR="00DA6761" w:rsidRPr="00B275E2">
        <w:t>5</w:t>
      </w:r>
      <w:r w:rsidRPr="00B275E2">
        <w:t xml:space="preserve">0 seats. </w:t>
      </w:r>
      <w:r w:rsidR="006A0E82" w:rsidRPr="00B275E2">
        <w:t xml:space="preserve">If </w:t>
      </w:r>
      <w:r w:rsidR="00EB6BEE" w:rsidRPr="00B275E2">
        <w:t>the aircraft type is unknown,</w:t>
      </w:r>
      <w:r w:rsidR="00CF5F2D" w:rsidRPr="00B275E2">
        <w:t> </w:t>
      </w:r>
      <w:r w:rsidR="0079219A" w:rsidRPr="00B275E2">
        <w:t xml:space="preserve">we recommend using </w:t>
      </w:r>
      <w:r w:rsidR="00EB6BEE" w:rsidRPr="00B275E2">
        <w:t>t</w:t>
      </w:r>
      <w:r w:rsidRPr="00B275E2">
        <w:t>he national average.</w:t>
      </w:r>
    </w:p>
    <w:p w14:paraId="02F0D51B" w14:textId="4862F7DA" w:rsidR="00054D44" w:rsidRPr="00B275E2" w:rsidRDefault="00301928" w:rsidP="006B7605">
      <w:pPr>
        <w:pStyle w:val="Heading3"/>
      </w:pPr>
      <w:bookmarkStart w:id="416" w:name="_Toc532904905"/>
      <w:r w:rsidRPr="00B275E2">
        <w:t xml:space="preserve">GHG </w:t>
      </w:r>
      <w:r w:rsidR="00054D44" w:rsidRPr="00B275E2">
        <w:t>inventory development</w:t>
      </w:r>
      <w:bookmarkEnd w:id="416"/>
    </w:p>
    <w:p w14:paraId="70B7814D" w14:textId="68828340" w:rsidR="000A47A7" w:rsidRPr="00B275E2" w:rsidRDefault="0091206D" w:rsidP="007F0B1E">
      <w:pPr>
        <w:pStyle w:val="BodyText"/>
      </w:pPr>
      <w:bookmarkStart w:id="417" w:name="_Hlk532893478"/>
      <w:r w:rsidRPr="00B275E2">
        <w:t xml:space="preserve">To calculate emissions for </w:t>
      </w:r>
      <w:r w:rsidR="00A80DFB" w:rsidRPr="00B275E2">
        <w:t xml:space="preserve">domestic </w:t>
      </w:r>
      <w:r w:rsidRPr="00B275E2">
        <w:t>air travel, collect information on passengers flying, their</w:t>
      </w:r>
      <w:r w:rsidR="006C377D" w:rsidRPr="00B275E2">
        <w:t> </w:t>
      </w:r>
      <w:r w:rsidRPr="00B275E2">
        <w:t>departure and destination airport</w:t>
      </w:r>
      <w:r w:rsidR="00033E38" w:rsidRPr="00B275E2">
        <w:t>s</w:t>
      </w:r>
      <w:r w:rsidRPr="00B275E2">
        <w:t xml:space="preserve">, and if practical, the size of </w:t>
      </w:r>
      <w:r w:rsidR="00033E38" w:rsidRPr="00B275E2">
        <w:t xml:space="preserve">the </w:t>
      </w:r>
      <w:r w:rsidR="00A62BEE" w:rsidRPr="00B275E2">
        <w:t>aircraft</w:t>
      </w:r>
      <w:r w:rsidR="00033E38" w:rsidRPr="00B275E2">
        <w:t>.</w:t>
      </w:r>
      <w:r w:rsidR="00A80DFB" w:rsidRPr="00B275E2">
        <w:t xml:space="preserve"> If </w:t>
      </w:r>
      <w:r w:rsidR="00206E30" w:rsidRPr="00B275E2">
        <w:t>the type</w:t>
      </w:r>
      <w:r w:rsidR="00A80DFB" w:rsidRPr="00B275E2">
        <w:t xml:space="preserve"> of</w:t>
      </w:r>
      <w:r w:rsidR="00A17249" w:rsidRPr="00B275E2">
        <w:t> </w:t>
      </w:r>
      <w:r w:rsidR="00A62BEE" w:rsidRPr="00B275E2">
        <w:t>aircraft</w:t>
      </w:r>
      <w:r w:rsidR="00CF5F2D" w:rsidRPr="00B275E2">
        <w:t> </w:t>
      </w:r>
      <w:r w:rsidR="00A80DFB" w:rsidRPr="00B275E2">
        <w:t>is unknown</w:t>
      </w:r>
      <w:r w:rsidR="00EB6BEE" w:rsidRPr="00B275E2">
        <w:t>,</w:t>
      </w:r>
      <w:r w:rsidR="00A80DFB" w:rsidRPr="00B275E2">
        <w:t xml:space="preserve"> </w:t>
      </w:r>
      <w:r w:rsidR="00EB6BEE" w:rsidRPr="00B275E2">
        <w:t xml:space="preserve">use </w:t>
      </w:r>
      <w:r w:rsidR="00A80DFB" w:rsidRPr="00B275E2">
        <w:t xml:space="preserve">the national average </w:t>
      </w:r>
      <w:r w:rsidR="00984AF9" w:rsidRPr="00B275E2">
        <w:t>emission factors</w:t>
      </w:r>
      <w:r w:rsidRPr="00B275E2">
        <w:t>. Calculate distances using online calculators</w:t>
      </w:r>
      <w:r w:rsidR="00984AF9" w:rsidRPr="00B275E2">
        <w:t xml:space="preserve"> </w:t>
      </w:r>
      <w:bookmarkStart w:id="418" w:name="_Hlk534718934"/>
      <w:r w:rsidR="00984AF9" w:rsidRPr="00B275E2">
        <w:t xml:space="preserve">such as </w:t>
      </w:r>
      <w:r w:rsidR="00C9328F" w:rsidRPr="00B275E2">
        <w:t xml:space="preserve">on </w:t>
      </w:r>
      <w:bookmarkEnd w:id="418"/>
      <w:r w:rsidR="0040564C" w:rsidRPr="00B275E2">
        <w:rPr>
          <w:rStyle w:val="Hyperlink"/>
        </w:rPr>
        <w:t>www.</w:t>
      </w:r>
      <w:hyperlink r:id="rId80" w:history="1">
        <w:r w:rsidR="0040564C" w:rsidRPr="00B275E2">
          <w:rPr>
            <w:rStyle w:val="Hyperlink"/>
          </w:rPr>
          <w:t>airmilescalculator</w:t>
        </w:r>
      </w:hyperlink>
      <w:r w:rsidR="0040564C" w:rsidRPr="00B275E2">
        <w:rPr>
          <w:rStyle w:val="Hyperlink"/>
        </w:rPr>
        <w:t>.com</w:t>
      </w:r>
      <w:r w:rsidRPr="00B275E2">
        <w:t xml:space="preserve">. Multiply the number of passengers by the distance travelled </w:t>
      </w:r>
      <w:r w:rsidR="00062BF8" w:rsidRPr="00B275E2">
        <w:t xml:space="preserve">to obtain </w:t>
      </w:r>
      <w:r w:rsidR="0059494E" w:rsidRPr="00B275E2">
        <w:t>the pkm</w:t>
      </w:r>
      <w:r w:rsidRPr="00B275E2">
        <w:t xml:space="preserve">. </w:t>
      </w:r>
      <w:bookmarkEnd w:id="417"/>
    </w:p>
    <w:p w14:paraId="62FD7148" w14:textId="61EBD07B" w:rsidR="00A74A8C" w:rsidRPr="00B275E2" w:rsidRDefault="00F76EF8" w:rsidP="007F0B1E">
      <w:pPr>
        <w:pStyle w:val="BodyText"/>
      </w:pPr>
      <w:r w:rsidRPr="00B275E2">
        <w:t xml:space="preserve">Applying the equation </w:t>
      </w:r>
      <w:r w:rsidR="00E71782" w:rsidRPr="00B275E2">
        <w:t>E = Q x F</w:t>
      </w:r>
      <w:r w:rsidR="00C62F72" w:rsidRPr="00B275E2">
        <w:t xml:space="preserve"> </w:t>
      </w:r>
      <w:r w:rsidR="00E71782" w:rsidRPr="00B275E2">
        <w:t>(</w:t>
      </w:r>
      <w:hyperlink w:anchor="_How_to_quantify" w:history="1">
        <w:r w:rsidR="00A17249" w:rsidRPr="00B275E2">
          <w:rPr>
            <w:rStyle w:val="Hyperlink"/>
          </w:rPr>
          <w:t>section 2</w:t>
        </w:r>
      </w:hyperlink>
      <w:r w:rsidR="00E71782" w:rsidRPr="00B275E2">
        <w:rPr>
          <w:rStyle w:val="Hyperlink"/>
          <w:color w:val="auto"/>
        </w:rPr>
        <w:t>)</w:t>
      </w:r>
      <w:r w:rsidRPr="00B275E2">
        <w:t>, this means</w:t>
      </w:r>
      <w:r w:rsidR="000A47A7" w:rsidRPr="00B275E2">
        <w:t>:</w:t>
      </w:r>
    </w:p>
    <w:p w14:paraId="7E480409" w14:textId="637115BE" w:rsidR="00E71782" w:rsidRPr="00B275E2" w:rsidRDefault="00E71782" w:rsidP="00075CF4">
      <w:pPr>
        <w:pStyle w:val="BodyText"/>
        <w:tabs>
          <w:tab w:val="left" w:pos="680"/>
          <w:tab w:val="left" w:pos="1134"/>
        </w:tabs>
        <w:contextualSpacing/>
      </w:pPr>
      <w:r w:rsidRPr="00B275E2">
        <w:t>E</w:t>
      </w:r>
      <w:r w:rsidRPr="00B275E2">
        <w:tab/>
        <w:t>=</w:t>
      </w:r>
      <w:r w:rsidRPr="00B275E2">
        <w:tab/>
        <w:t>emissions from the emissions source in kg CO</w:t>
      </w:r>
      <w:r w:rsidRPr="00B275E2">
        <w:rPr>
          <w:vertAlign w:val="subscript"/>
        </w:rPr>
        <w:t>2</w:t>
      </w:r>
      <w:r w:rsidRPr="00B275E2">
        <w:t>-e per year</w:t>
      </w:r>
    </w:p>
    <w:p w14:paraId="2FEFD304" w14:textId="31D61DF5" w:rsidR="00A74A8C" w:rsidRPr="00B275E2" w:rsidRDefault="00A74A8C" w:rsidP="00075CF4">
      <w:pPr>
        <w:pStyle w:val="BodyText"/>
        <w:tabs>
          <w:tab w:val="left" w:pos="680"/>
          <w:tab w:val="left" w:pos="1134"/>
        </w:tabs>
        <w:contextualSpacing/>
      </w:pPr>
      <w:r w:rsidRPr="00B275E2">
        <w:t>Q</w:t>
      </w:r>
      <w:r w:rsidR="00E416A5" w:rsidRPr="00B275E2">
        <w:tab/>
        <w:t>=</w:t>
      </w:r>
      <w:r w:rsidR="00E416A5" w:rsidRPr="00B275E2">
        <w:tab/>
      </w:r>
      <w:r w:rsidR="006B577D" w:rsidRPr="00B275E2">
        <w:t>p</w:t>
      </w:r>
      <w:r w:rsidR="008518AD" w:rsidRPr="00B275E2">
        <w:t xml:space="preserve">assengers multiplied by distance flown </w:t>
      </w:r>
      <w:r w:rsidRPr="00B275E2">
        <w:t>(</w:t>
      </w:r>
      <w:r w:rsidR="00BA31FD" w:rsidRPr="00B275E2">
        <w:t>pkm</w:t>
      </w:r>
      <w:r w:rsidRPr="00B275E2">
        <w:t>)</w:t>
      </w:r>
    </w:p>
    <w:tbl>
      <w:tblPr>
        <w:tblpPr w:leftFromText="180" w:rightFromText="180" w:vertAnchor="text" w:horzAnchor="margin" w:tblpY="502"/>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0"/>
      </w:tblGrid>
      <w:tr w:rsidR="00CD5654" w:rsidRPr="00B275E2" w14:paraId="236254A9" w14:textId="77777777" w:rsidTr="00CD5654">
        <w:tc>
          <w:tcPr>
            <w:tcW w:w="8500" w:type="dxa"/>
            <w:tcBorders>
              <w:top w:val="single" w:sz="4" w:space="0" w:color="32809C" w:themeColor="accent2"/>
              <w:left w:val="single" w:sz="4" w:space="0" w:color="32809C" w:themeColor="accent2"/>
              <w:bottom w:val="nil"/>
              <w:right w:val="single" w:sz="4" w:space="0" w:color="32809C" w:themeColor="accent2"/>
            </w:tcBorders>
            <w:shd w:val="clear" w:color="auto" w:fill="0F7B7D"/>
            <w:vAlign w:val="center"/>
          </w:tcPr>
          <w:p w14:paraId="3179A958" w14:textId="77777777" w:rsidR="00CD5654" w:rsidRPr="00B275E2" w:rsidDel="00D5390D" w:rsidRDefault="00CD5654" w:rsidP="00CD5654">
            <w:pPr>
              <w:pStyle w:val="Casestudyheading"/>
            </w:pPr>
            <w:r w:rsidRPr="00B275E2">
              <w:t>DOMESTIC AIR TRAVEL: Example Calculation</w:t>
            </w:r>
          </w:p>
        </w:tc>
      </w:tr>
      <w:tr w:rsidR="00CD5654" w:rsidRPr="00B275E2" w14:paraId="15255872" w14:textId="77777777" w:rsidTr="00CD5654">
        <w:tc>
          <w:tcPr>
            <w:tcW w:w="8500" w:type="dxa"/>
            <w:tcBorders>
              <w:top w:val="nil"/>
              <w:left w:val="single" w:sz="4" w:space="0" w:color="D5EBE8" w:themeColor="accent3"/>
              <w:bottom w:val="single" w:sz="4" w:space="0" w:color="D5EBE8" w:themeColor="accent3"/>
              <w:right w:val="single" w:sz="4" w:space="0" w:color="D5EBE8" w:themeColor="accent3"/>
            </w:tcBorders>
            <w:shd w:val="clear" w:color="auto" w:fill="D5EBE8" w:themeFill="accent3"/>
          </w:tcPr>
          <w:p w14:paraId="0E569A02" w14:textId="77777777" w:rsidR="00CD5654" w:rsidRPr="00B275E2" w:rsidRDefault="00CD5654" w:rsidP="00CD5654">
            <w:pPr>
              <w:pStyle w:val="Boxtext"/>
              <w:spacing w:after="80"/>
            </w:pPr>
            <w:r w:rsidRPr="00B275E2">
              <w:t>An organisation flies an employee on a return flight from Christchurch to Wellington (</w:t>
            </w:r>
            <w:hyperlink r:id="rId81" w:history="1">
              <w:r w:rsidRPr="00B275E2">
                <w:rPr>
                  <w:rStyle w:val="Hyperlink"/>
                </w:rPr>
                <w:t>304</w:t>
              </w:r>
            </w:hyperlink>
            <w:r w:rsidRPr="00B275E2">
              <w:t> km each way). This happens five times in the reporting year on an aircraft of unknown size. The national average emission factor with radiative forcing is used.</w:t>
            </w:r>
          </w:p>
          <w:p w14:paraId="2B5F0490" w14:textId="77777777" w:rsidR="00CD5654" w:rsidRPr="00B275E2" w:rsidRDefault="00CD5654" w:rsidP="00CD5654">
            <w:pPr>
              <w:pStyle w:val="Boxtext"/>
              <w:spacing w:before="20" w:after="20"/>
              <w:ind w:left="850"/>
            </w:pPr>
            <w:r w:rsidRPr="00B275E2">
              <w:t>Passenger kilometres travelled = (2 × 304) × 5 = 3,040 pkm</w:t>
            </w:r>
          </w:p>
          <w:p w14:paraId="773EC6E0" w14:textId="77777777" w:rsidR="00CD5654" w:rsidRPr="00B275E2" w:rsidRDefault="00CD5654" w:rsidP="00CD5654">
            <w:pPr>
              <w:pStyle w:val="Boxtext"/>
              <w:spacing w:before="20" w:after="20"/>
              <w:ind w:left="850"/>
            </w:pPr>
            <w:r w:rsidRPr="00B275E2">
              <w:t>Total CO</w:t>
            </w:r>
            <w:r w:rsidRPr="00B275E2">
              <w:rPr>
                <w:vertAlign w:val="subscript"/>
              </w:rPr>
              <w:t>2</w:t>
            </w:r>
            <w:r w:rsidRPr="00B275E2">
              <w:t>-e emissions from domestic air travel = 0.306 x 3,040 = 929.92 kg CO</w:t>
            </w:r>
            <w:r w:rsidRPr="00B275E2">
              <w:rPr>
                <w:vertAlign w:val="subscript"/>
              </w:rPr>
              <w:t>2</w:t>
            </w:r>
            <w:r w:rsidRPr="00B275E2">
              <w:t>-e</w:t>
            </w:r>
          </w:p>
          <w:p w14:paraId="3E6072EA" w14:textId="77777777" w:rsidR="00CD5654" w:rsidRPr="00B275E2" w:rsidRDefault="00CD5654" w:rsidP="00CD5654">
            <w:pPr>
              <w:pStyle w:val="Boxtext"/>
              <w:spacing w:after="180"/>
            </w:pPr>
            <w:r w:rsidRPr="00B275E2">
              <w:rPr>
                <w:sz w:val="18"/>
              </w:rPr>
              <w:t>Note: Numbers may not add due to rounding.</w:t>
            </w:r>
          </w:p>
        </w:tc>
      </w:tr>
    </w:tbl>
    <w:p w14:paraId="7B899EEC" w14:textId="54BED44C" w:rsidR="00B52C46" w:rsidRPr="00B275E2" w:rsidRDefault="00CD5654" w:rsidP="00075CF4">
      <w:pPr>
        <w:pStyle w:val="BodyText"/>
        <w:tabs>
          <w:tab w:val="left" w:pos="680"/>
          <w:tab w:val="left" w:pos="1134"/>
        </w:tabs>
        <w:spacing w:after="240"/>
        <w:contextualSpacing/>
      </w:pPr>
      <w:r w:rsidRPr="00B275E2">
        <w:t xml:space="preserve"> </w:t>
      </w:r>
      <w:r w:rsidR="00E416A5" w:rsidRPr="00B275E2">
        <w:t>F</w:t>
      </w:r>
      <w:r w:rsidR="00E416A5" w:rsidRPr="00B275E2">
        <w:tab/>
      </w:r>
      <w:r w:rsidR="00A74A8C" w:rsidRPr="00B275E2">
        <w:t>=</w:t>
      </w:r>
      <w:r w:rsidR="00E416A5" w:rsidRPr="00B275E2">
        <w:tab/>
      </w:r>
      <w:r w:rsidR="00A74A8C" w:rsidRPr="00B275E2">
        <w:t>emission factor</w:t>
      </w:r>
      <w:r w:rsidR="008518AD" w:rsidRPr="00B275E2">
        <w:t>s from</w:t>
      </w:r>
      <w:r w:rsidR="00A17249" w:rsidRPr="00B275E2">
        <w:t xml:space="preserve"> </w:t>
      </w:r>
      <w:hyperlink w:anchor="table35" w:history="1">
        <w:r w:rsidR="00A17249" w:rsidRPr="00B275E2">
          <w:rPr>
            <w:rStyle w:val="Hyperlink"/>
          </w:rPr>
          <w:t>table 35</w:t>
        </w:r>
      </w:hyperlink>
      <w:r w:rsidR="008518AD" w:rsidRPr="00B275E2">
        <w:t xml:space="preserve"> </w:t>
      </w:r>
      <w:r w:rsidR="009C2FE6">
        <w:t>to</w:t>
      </w:r>
      <w:r w:rsidR="008518AD" w:rsidRPr="00B275E2">
        <w:t xml:space="preserve"> </w:t>
      </w:r>
      <w:r w:rsidR="009C2FE6" w:rsidRPr="00B75022">
        <w:t>table 3</w:t>
      </w:r>
      <w:r w:rsidR="009C2FE6">
        <w:t>9</w:t>
      </w:r>
      <w:r w:rsidR="00A17249" w:rsidRPr="00B275E2">
        <w:t>.</w:t>
      </w:r>
    </w:p>
    <w:p w14:paraId="650921B5" w14:textId="3586E0D4" w:rsidR="00FD19B8" w:rsidRPr="00B275E2" w:rsidRDefault="00FD19B8" w:rsidP="006B7605">
      <w:pPr>
        <w:pStyle w:val="Heading3"/>
      </w:pPr>
      <w:bookmarkStart w:id="419" w:name="_Toc532904906"/>
      <w:r w:rsidRPr="00B275E2">
        <w:lastRenderedPageBreak/>
        <w:t>Emission factor derivation methodology</w:t>
      </w:r>
      <w:bookmarkEnd w:id="419"/>
    </w:p>
    <w:p w14:paraId="650921B6" w14:textId="38C9D3EC" w:rsidR="00D44550" w:rsidRPr="00B275E2" w:rsidRDefault="00E35371" w:rsidP="007F0B1E">
      <w:pPr>
        <w:pStyle w:val="BodyText"/>
      </w:pPr>
      <w:r w:rsidRPr="00B275E2">
        <w:t xml:space="preserve">We </w:t>
      </w:r>
      <w:r w:rsidR="00576515">
        <w:t xml:space="preserve">developed these emission factors with data supplied by Air New Zealand and the Ministry of Transport. We calculated an average emission factor for domestic air travel using data from the 2016, 2019 and 2020 calendar years. </w:t>
      </w:r>
    </w:p>
    <w:p w14:paraId="28A1C2FC" w14:textId="21950FA3" w:rsidR="00024E78" w:rsidRPr="00B275E2" w:rsidRDefault="00634621" w:rsidP="007F0B1E">
      <w:pPr>
        <w:pStyle w:val="BodyText"/>
      </w:pPr>
      <w:r w:rsidRPr="00B275E2">
        <w:t>Table</w:t>
      </w:r>
      <w:r w:rsidR="008949E5" w:rsidRPr="00B275E2">
        <w:t>s</w:t>
      </w:r>
      <w:r w:rsidRPr="00B275E2">
        <w:t xml:space="preserve"> </w:t>
      </w:r>
      <w:r w:rsidR="00A40CFE" w:rsidRPr="00B275E2">
        <w:t>40 and 41</w:t>
      </w:r>
      <w:r w:rsidRPr="00B275E2">
        <w:t xml:space="preserve"> </w:t>
      </w:r>
      <w:r w:rsidR="00D44550" w:rsidRPr="00B275E2">
        <w:t xml:space="preserve">detail the </w:t>
      </w:r>
      <w:r w:rsidR="00381D07" w:rsidRPr="00B275E2">
        <w:t>types</w:t>
      </w:r>
      <w:r w:rsidR="00D44550" w:rsidRPr="00B275E2">
        <w:t xml:space="preserve"> of aircraft running domestic flights in </w:t>
      </w:r>
      <w:r w:rsidR="00675B1F" w:rsidRPr="00B275E2">
        <w:t xml:space="preserve">2019 and </w:t>
      </w:r>
      <w:r w:rsidR="00B4412F" w:rsidRPr="00B275E2">
        <w:t xml:space="preserve">2020 </w:t>
      </w:r>
      <w:r w:rsidR="00D1365E" w:rsidRPr="00B275E2">
        <w:t>respectively</w:t>
      </w:r>
      <w:r w:rsidR="00427C06">
        <w:t>,</w:t>
      </w:r>
      <w:r w:rsidR="00B4412F" w:rsidRPr="00B275E2">
        <w:t xml:space="preserve"> </w:t>
      </w:r>
      <w:r w:rsidR="002153CA" w:rsidRPr="00B275E2">
        <w:t>using Air New Zealand</w:t>
      </w:r>
      <w:r w:rsidR="00DE0740" w:rsidRPr="00B275E2">
        <w:t xml:space="preserve"> </w:t>
      </w:r>
      <w:r w:rsidR="00D44550" w:rsidRPr="00B275E2">
        <w:t>data</w:t>
      </w:r>
      <w:r w:rsidR="00992243" w:rsidRPr="00B275E2">
        <w:t xml:space="preserve"> </w:t>
      </w:r>
      <w:r w:rsidR="00427C06">
        <w:t xml:space="preserve">and 2016 Ministry of Transport data </w:t>
      </w:r>
      <w:r w:rsidR="00D44550" w:rsidRPr="00B275E2">
        <w:t>to calculat</w:t>
      </w:r>
      <w:r w:rsidR="00033013" w:rsidRPr="00B275E2">
        <w:t>e the</w:t>
      </w:r>
      <w:r w:rsidR="004475FD" w:rsidRPr="00B275E2">
        <w:t xml:space="preserve"> </w:t>
      </w:r>
      <w:r w:rsidR="00033013" w:rsidRPr="00B275E2">
        <w:t>emission factor</w:t>
      </w:r>
      <w:r w:rsidR="00DE0740" w:rsidRPr="00B275E2">
        <w:t>s</w:t>
      </w:r>
      <w:r w:rsidR="00D44550" w:rsidRPr="00B275E2">
        <w:t>.</w:t>
      </w:r>
      <w:r w:rsidR="007A3270" w:rsidRPr="00B275E2">
        <w:t xml:space="preserve"> </w:t>
      </w:r>
      <w:r w:rsidR="00D1365E" w:rsidRPr="00B275E2">
        <w:t xml:space="preserve">An average emissions factor has also been provided where the aircraft type is unknown. </w:t>
      </w:r>
      <w:r w:rsidR="00381D07" w:rsidRPr="00B275E2">
        <w:t>O</w:t>
      </w:r>
      <w:r w:rsidR="00033013" w:rsidRPr="00B275E2">
        <w:t xml:space="preserve">rganisations </w:t>
      </w:r>
      <w:r w:rsidR="00381D07" w:rsidRPr="00B275E2">
        <w:t xml:space="preserve">that </w:t>
      </w:r>
      <w:r w:rsidR="00033013" w:rsidRPr="00B275E2">
        <w:t xml:space="preserve">own aircraft </w:t>
      </w:r>
      <w:r w:rsidR="00381D07" w:rsidRPr="00B275E2">
        <w:t>could</w:t>
      </w:r>
      <w:r w:rsidR="00033013" w:rsidRPr="00B275E2">
        <w:t xml:space="preserve"> calculate emissions based on the fuel consumption data.</w:t>
      </w:r>
    </w:p>
    <w:p w14:paraId="59B67E4D" w14:textId="2F37FE95" w:rsidR="00722DA8" w:rsidRPr="00722DA8" w:rsidRDefault="00C7511A" w:rsidP="00C7511A">
      <w:pPr>
        <w:pStyle w:val="Tableheading"/>
      </w:pPr>
      <w:bookmarkStart w:id="420" w:name="_Toc111536645"/>
      <w:r w:rsidRPr="00B275E2">
        <w:t xml:space="preserve">Table </w:t>
      </w:r>
      <w:r w:rsidRPr="00B275E2">
        <w:fldChar w:fldCharType="begin"/>
      </w:r>
      <w:r w:rsidRPr="00B275E2">
        <w:instrText>SEQ Table \* ARABIC</w:instrText>
      </w:r>
      <w:r w:rsidRPr="00B275E2">
        <w:fldChar w:fldCharType="separate"/>
      </w:r>
      <w:r>
        <w:rPr>
          <w:noProof/>
        </w:rPr>
        <w:t>40</w:t>
      </w:r>
      <w:r w:rsidRPr="00B275E2">
        <w:fldChar w:fldCharType="end"/>
      </w:r>
      <w:r w:rsidRPr="00B275E2">
        <w:t>:</w:t>
      </w:r>
      <w:r w:rsidRPr="00B275E2">
        <w:tab/>
      </w:r>
      <w:r w:rsidR="00722DA8" w:rsidRPr="00722DA8">
        <w:t>Domestic aviation data (applicable to 2019)</w:t>
      </w:r>
      <w:bookmarkEnd w:id="420"/>
    </w:p>
    <w:tbl>
      <w:tblPr>
        <w:tblStyle w:val="LightList-Accent2"/>
        <w:tblW w:w="8505" w:type="dxa"/>
        <w:tblInd w:w="20"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ayout w:type="fixed"/>
        <w:tblLook w:val="04A0" w:firstRow="1" w:lastRow="0" w:firstColumn="1" w:lastColumn="0" w:noHBand="0" w:noVBand="1"/>
      </w:tblPr>
      <w:tblGrid>
        <w:gridCol w:w="3372"/>
        <w:gridCol w:w="1062"/>
        <w:gridCol w:w="1534"/>
        <w:gridCol w:w="1416"/>
        <w:gridCol w:w="1121"/>
      </w:tblGrid>
      <w:tr w:rsidR="00722DA8" w:rsidRPr="00B34BB5" w14:paraId="51E19E60" w14:textId="77777777" w:rsidTr="00D31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2" w:type="dxa"/>
            <w:shd w:val="clear" w:color="auto" w:fill="1C556C" w:themeFill="accent1"/>
            <w:vAlign w:val="bottom"/>
          </w:tcPr>
          <w:p w14:paraId="49183BA5" w14:textId="77777777" w:rsidR="00722DA8" w:rsidRPr="00B34BB5" w:rsidRDefault="00722DA8" w:rsidP="00D31805">
            <w:pPr>
              <w:pStyle w:val="TableText"/>
              <w:spacing w:before="40" w:after="40"/>
              <w:rPr>
                <w:szCs w:val="18"/>
              </w:rPr>
            </w:pPr>
            <w:r w:rsidRPr="00B34BB5">
              <w:rPr>
                <w:szCs w:val="18"/>
              </w:rPr>
              <w:t>Aircraft type</w:t>
            </w:r>
          </w:p>
        </w:tc>
        <w:tc>
          <w:tcPr>
            <w:tcW w:w="1062" w:type="dxa"/>
            <w:shd w:val="clear" w:color="auto" w:fill="1C556C" w:themeFill="accent1"/>
            <w:vAlign w:val="bottom"/>
          </w:tcPr>
          <w:p w14:paraId="41B50374" w14:textId="77777777" w:rsidR="00722DA8" w:rsidRPr="00B34BB5" w:rsidRDefault="00722DA8" w:rsidP="00D31805">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szCs w:val="18"/>
              </w:rPr>
            </w:pPr>
            <w:r w:rsidRPr="00B34BB5">
              <w:rPr>
                <w:szCs w:val="18"/>
              </w:rPr>
              <w:t>Total seats per flight</w:t>
            </w:r>
          </w:p>
        </w:tc>
        <w:tc>
          <w:tcPr>
            <w:tcW w:w="1534" w:type="dxa"/>
            <w:shd w:val="clear" w:color="auto" w:fill="1C556C" w:themeFill="accent1"/>
            <w:vAlign w:val="bottom"/>
          </w:tcPr>
          <w:p w14:paraId="5852632A" w14:textId="77777777" w:rsidR="00722DA8" w:rsidRPr="00B34BB5" w:rsidRDefault="00722DA8" w:rsidP="00D31805">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szCs w:val="18"/>
              </w:rPr>
            </w:pPr>
            <w:r w:rsidRPr="00B34BB5">
              <w:rPr>
                <w:szCs w:val="18"/>
              </w:rPr>
              <w:t>Average distance per flight (km)</w:t>
            </w:r>
          </w:p>
        </w:tc>
        <w:tc>
          <w:tcPr>
            <w:tcW w:w="1416" w:type="dxa"/>
            <w:shd w:val="clear" w:color="auto" w:fill="1C556C" w:themeFill="accent1"/>
            <w:vAlign w:val="bottom"/>
          </w:tcPr>
          <w:p w14:paraId="6BB31CEB" w14:textId="77777777" w:rsidR="00722DA8" w:rsidRPr="00B34BB5" w:rsidRDefault="00722DA8" w:rsidP="00D31805">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szCs w:val="18"/>
              </w:rPr>
            </w:pPr>
            <w:r w:rsidRPr="00B34BB5">
              <w:rPr>
                <w:szCs w:val="18"/>
              </w:rPr>
              <w:t>Total fuel used (kg)</w:t>
            </w:r>
          </w:p>
        </w:tc>
        <w:tc>
          <w:tcPr>
            <w:tcW w:w="1121" w:type="dxa"/>
            <w:shd w:val="clear" w:color="auto" w:fill="1C556C" w:themeFill="accent1"/>
            <w:vAlign w:val="bottom"/>
          </w:tcPr>
          <w:p w14:paraId="51695B55" w14:textId="77777777" w:rsidR="00722DA8" w:rsidRPr="00B34BB5" w:rsidDel="00C6698A" w:rsidRDefault="00722DA8" w:rsidP="00D31805">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szCs w:val="18"/>
              </w:rPr>
            </w:pPr>
            <w:r w:rsidRPr="00B34BB5">
              <w:rPr>
                <w:szCs w:val="18"/>
              </w:rPr>
              <w:t>Total flights</w:t>
            </w:r>
          </w:p>
        </w:tc>
      </w:tr>
      <w:tr w:rsidR="00722DA8" w:rsidRPr="00B34BB5" w14:paraId="1C282814" w14:textId="77777777" w:rsidTr="00C91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2" w:type="dxa"/>
            <w:tcBorders>
              <w:left w:val="single" w:sz="4" w:space="0" w:color="FFFFFF" w:themeColor="background1"/>
            </w:tcBorders>
            <w:vAlign w:val="bottom"/>
          </w:tcPr>
          <w:p w14:paraId="5785A230" w14:textId="77777777" w:rsidR="00722DA8" w:rsidRPr="00B34BB5" w:rsidRDefault="00722DA8" w:rsidP="00D31805">
            <w:pPr>
              <w:pStyle w:val="TableText"/>
              <w:spacing w:before="40" w:after="40"/>
              <w:rPr>
                <w:b w:val="0"/>
                <w:szCs w:val="18"/>
              </w:rPr>
            </w:pPr>
            <w:r w:rsidRPr="00B34BB5">
              <w:rPr>
                <w:b w:val="0"/>
                <w:szCs w:val="18"/>
              </w:rPr>
              <w:t>Airbus A320</w:t>
            </w:r>
            <w:r>
              <w:rPr>
                <w:b w:val="0"/>
                <w:szCs w:val="18"/>
              </w:rPr>
              <w:t>*</w:t>
            </w:r>
          </w:p>
        </w:tc>
        <w:tc>
          <w:tcPr>
            <w:tcW w:w="1062" w:type="dxa"/>
            <w:vAlign w:val="bottom"/>
          </w:tcPr>
          <w:p w14:paraId="3CABF90F" w14:textId="77777777" w:rsidR="00722DA8" w:rsidRPr="00B34BB5" w:rsidRDefault="00722DA8" w:rsidP="00D31805">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t>181</w:t>
            </w:r>
            <w:r w:rsidRPr="00B34BB5">
              <w:t xml:space="preserve"> </w:t>
            </w:r>
          </w:p>
        </w:tc>
        <w:tc>
          <w:tcPr>
            <w:tcW w:w="1534" w:type="dxa"/>
            <w:vAlign w:val="bottom"/>
          </w:tcPr>
          <w:p w14:paraId="2C7E8453" w14:textId="77777777" w:rsidR="00722DA8" w:rsidRPr="00B34BB5" w:rsidRDefault="00722DA8" w:rsidP="00D31805">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t>652.83</w:t>
            </w:r>
            <w:r w:rsidRPr="00B34BB5">
              <w:t xml:space="preserve"> </w:t>
            </w:r>
          </w:p>
        </w:tc>
        <w:tc>
          <w:tcPr>
            <w:tcW w:w="1416" w:type="dxa"/>
            <w:vAlign w:val="bottom"/>
          </w:tcPr>
          <w:p w14:paraId="0CA72FC2" w14:textId="77777777" w:rsidR="00722DA8" w:rsidRPr="00B34BB5" w:rsidRDefault="00722DA8" w:rsidP="00D31805">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t>66,972,183</w:t>
            </w:r>
            <w:r w:rsidRPr="00B34BB5">
              <w:t xml:space="preserve"> </w:t>
            </w:r>
          </w:p>
        </w:tc>
        <w:tc>
          <w:tcPr>
            <w:tcW w:w="1121" w:type="dxa"/>
            <w:tcBorders>
              <w:right w:val="single" w:sz="4" w:space="0" w:color="FFFFFF" w:themeColor="background1"/>
            </w:tcBorders>
            <w:vAlign w:val="bottom"/>
          </w:tcPr>
          <w:p w14:paraId="04DFE385" w14:textId="77777777" w:rsidR="00722DA8" w:rsidRPr="00B34BB5" w:rsidDel="00DC3D64" w:rsidRDefault="00722DA8" w:rsidP="00D31805">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t>21,356.25</w:t>
            </w:r>
            <w:r w:rsidRPr="00B34BB5">
              <w:t xml:space="preserve"> </w:t>
            </w:r>
          </w:p>
        </w:tc>
      </w:tr>
      <w:tr w:rsidR="00722DA8" w:rsidRPr="00B34BB5" w14:paraId="39E28394" w14:textId="77777777" w:rsidTr="00C91D05">
        <w:tc>
          <w:tcPr>
            <w:cnfStyle w:val="001000000000" w:firstRow="0" w:lastRow="0" w:firstColumn="1" w:lastColumn="0" w:oddVBand="0" w:evenVBand="0" w:oddHBand="0" w:evenHBand="0" w:firstRowFirstColumn="0" w:firstRowLastColumn="0" w:lastRowFirstColumn="0" w:lastRowLastColumn="0"/>
            <w:tcW w:w="3372" w:type="dxa"/>
            <w:tcBorders>
              <w:left w:val="single" w:sz="4" w:space="0" w:color="FFFFFF" w:themeColor="background1"/>
            </w:tcBorders>
            <w:vAlign w:val="bottom"/>
          </w:tcPr>
          <w:p w14:paraId="4B965B09" w14:textId="77777777" w:rsidR="00722DA8" w:rsidRPr="00B34BB5" w:rsidRDefault="00722DA8" w:rsidP="00D31805">
            <w:pPr>
              <w:pStyle w:val="TableText"/>
              <w:spacing w:before="40" w:after="40"/>
              <w:rPr>
                <w:b w:val="0"/>
                <w:szCs w:val="18"/>
              </w:rPr>
            </w:pPr>
            <w:r w:rsidRPr="00B34BB5">
              <w:rPr>
                <w:b w:val="0"/>
                <w:szCs w:val="18"/>
              </w:rPr>
              <w:t>Aerospatiale/Alenia ATR 72</w:t>
            </w:r>
            <w:r>
              <w:rPr>
                <w:b w:val="0"/>
                <w:szCs w:val="18"/>
              </w:rPr>
              <w:t>*</w:t>
            </w:r>
          </w:p>
        </w:tc>
        <w:tc>
          <w:tcPr>
            <w:tcW w:w="1062" w:type="dxa"/>
            <w:vAlign w:val="bottom"/>
          </w:tcPr>
          <w:p w14:paraId="622F44F4" w14:textId="77777777" w:rsidR="00722DA8" w:rsidRPr="00B34BB5" w:rsidRDefault="00722DA8" w:rsidP="00D31805">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34BB5">
              <w:t xml:space="preserve">68 </w:t>
            </w:r>
          </w:p>
        </w:tc>
        <w:tc>
          <w:tcPr>
            <w:tcW w:w="1534" w:type="dxa"/>
            <w:vAlign w:val="bottom"/>
          </w:tcPr>
          <w:p w14:paraId="4A7538EE" w14:textId="77777777" w:rsidR="00722DA8" w:rsidRPr="00B34BB5" w:rsidRDefault="00722DA8" w:rsidP="00D31805">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t>394.73</w:t>
            </w:r>
            <w:r w:rsidRPr="00B34BB5">
              <w:t xml:space="preserve"> </w:t>
            </w:r>
          </w:p>
        </w:tc>
        <w:tc>
          <w:tcPr>
            <w:tcW w:w="1416" w:type="dxa"/>
            <w:vAlign w:val="bottom"/>
          </w:tcPr>
          <w:p w14:paraId="0E15D8B5" w14:textId="77777777" w:rsidR="00722DA8" w:rsidRPr="00B34BB5" w:rsidRDefault="00722DA8" w:rsidP="00D31805">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t>41,633,907.59</w:t>
            </w:r>
            <w:r w:rsidRPr="00B34BB5">
              <w:t xml:space="preserve"> </w:t>
            </w:r>
          </w:p>
        </w:tc>
        <w:tc>
          <w:tcPr>
            <w:tcW w:w="1121" w:type="dxa"/>
            <w:tcBorders>
              <w:right w:val="single" w:sz="4" w:space="0" w:color="FFFFFF" w:themeColor="background1"/>
            </w:tcBorders>
            <w:vAlign w:val="bottom"/>
          </w:tcPr>
          <w:p w14:paraId="77274DD9" w14:textId="77777777" w:rsidR="00722DA8" w:rsidRPr="00B34BB5" w:rsidDel="00DC3D64" w:rsidRDefault="00722DA8" w:rsidP="00D31805">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t>55,102</w:t>
            </w:r>
            <w:r w:rsidRPr="00B34BB5">
              <w:t xml:space="preserve"> </w:t>
            </w:r>
          </w:p>
        </w:tc>
      </w:tr>
      <w:tr w:rsidR="00722DA8" w:rsidRPr="00B34BB5" w14:paraId="5C6B7576" w14:textId="77777777" w:rsidTr="00C91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2" w:type="dxa"/>
            <w:tcBorders>
              <w:left w:val="single" w:sz="4" w:space="0" w:color="FFFFFF" w:themeColor="background1"/>
            </w:tcBorders>
            <w:vAlign w:val="bottom"/>
          </w:tcPr>
          <w:p w14:paraId="41DEA772" w14:textId="77777777" w:rsidR="00722DA8" w:rsidRPr="00B34BB5" w:rsidRDefault="00722DA8" w:rsidP="00D31805">
            <w:pPr>
              <w:pStyle w:val="TableText"/>
              <w:spacing w:before="40" w:after="40"/>
              <w:rPr>
                <w:b w:val="0"/>
                <w:szCs w:val="18"/>
              </w:rPr>
            </w:pPr>
            <w:r w:rsidRPr="00B34BB5">
              <w:rPr>
                <w:b w:val="0"/>
                <w:szCs w:val="18"/>
              </w:rPr>
              <w:t>British Aerospace Jetstream 32</w:t>
            </w:r>
          </w:p>
        </w:tc>
        <w:tc>
          <w:tcPr>
            <w:tcW w:w="1062" w:type="dxa"/>
            <w:vAlign w:val="bottom"/>
          </w:tcPr>
          <w:p w14:paraId="15CAA2B9" w14:textId="77777777" w:rsidR="00722DA8" w:rsidRPr="00B34BB5" w:rsidRDefault="00722DA8" w:rsidP="00D31805">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t xml:space="preserve">19 </w:t>
            </w:r>
          </w:p>
        </w:tc>
        <w:tc>
          <w:tcPr>
            <w:tcW w:w="1534" w:type="dxa"/>
            <w:vAlign w:val="bottom"/>
          </w:tcPr>
          <w:p w14:paraId="19D152AD" w14:textId="77777777" w:rsidR="00722DA8" w:rsidRPr="00B34BB5" w:rsidRDefault="00722DA8" w:rsidP="00D31805">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t xml:space="preserve">167.78 </w:t>
            </w:r>
          </w:p>
        </w:tc>
        <w:tc>
          <w:tcPr>
            <w:tcW w:w="1416" w:type="dxa"/>
            <w:vAlign w:val="bottom"/>
          </w:tcPr>
          <w:p w14:paraId="0E5D648F" w14:textId="77777777" w:rsidR="00722DA8" w:rsidRPr="00B34BB5" w:rsidRDefault="00722DA8" w:rsidP="00D31805">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t xml:space="preserve">94,556.00 </w:t>
            </w:r>
          </w:p>
        </w:tc>
        <w:tc>
          <w:tcPr>
            <w:tcW w:w="1121" w:type="dxa"/>
            <w:tcBorders>
              <w:right w:val="single" w:sz="4" w:space="0" w:color="FFFFFF" w:themeColor="background1"/>
            </w:tcBorders>
            <w:vAlign w:val="bottom"/>
          </w:tcPr>
          <w:p w14:paraId="2FE76DC9" w14:textId="77777777" w:rsidR="00722DA8" w:rsidRPr="00B34BB5" w:rsidDel="00DC3D64" w:rsidRDefault="00722DA8" w:rsidP="00D31805">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t xml:space="preserve">324 </w:t>
            </w:r>
          </w:p>
        </w:tc>
      </w:tr>
      <w:tr w:rsidR="00722DA8" w:rsidRPr="00B34BB5" w14:paraId="786A8C30" w14:textId="77777777" w:rsidTr="00C91D05">
        <w:tc>
          <w:tcPr>
            <w:cnfStyle w:val="001000000000" w:firstRow="0" w:lastRow="0" w:firstColumn="1" w:lastColumn="0" w:oddVBand="0" w:evenVBand="0" w:oddHBand="0" w:evenHBand="0" w:firstRowFirstColumn="0" w:firstRowLastColumn="0" w:lastRowFirstColumn="0" w:lastRowLastColumn="0"/>
            <w:tcW w:w="3372" w:type="dxa"/>
            <w:tcBorders>
              <w:left w:val="single" w:sz="4" w:space="0" w:color="FFFFFF" w:themeColor="background1"/>
            </w:tcBorders>
            <w:vAlign w:val="bottom"/>
          </w:tcPr>
          <w:p w14:paraId="2186079C" w14:textId="77777777" w:rsidR="00722DA8" w:rsidRPr="00B34BB5" w:rsidRDefault="00722DA8" w:rsidP="00D31805">
            <w:pPr>
              <w:pStyle w:val="TableText"/>
              <w:spacing w:before="40" w:after="40"/>
              <w:rPr>
                <w:b w:val="0"/>
                <w:szCs w:val="18"/>
              </w:rPr>
            </w:pPr>
            <w:r w:rsidRPr="00B34BB5">
              <w:rPr>
                <w:b w:val="0"/>
                <w:szCs w:val="18"/>
              </w:rPr>
              <w:t>Beechcraft Beech 1900D</w:t>
            </w:r>
          </w:p>
        </w:tc>
        <w:tc>
          <w:tcPr>
            <w:tcW w:w="1062" w:type="dxa"/>
            <w:vAlign w:val="bottom"/>
          </w:tcPr>
          <w:p w14:paraId="2DDEBA0C" w14:textId="77777777" w:rsidR="00722DA8" w:rsidRPr="00B34BB5" w:rsidRDefault="00722DA8" w:rsidP="00D31805">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34BB5">
              <w:t xml:space="preserve">19 </w:t>
            </w:r>
          </w:p>
        </w:tc>
        <w:tc>
          <w:tcPr>
            <w:tcW w:w="1534" w:type="dxa"/>
            <w:vAlign w:val="bottom"/>
          </w:tcPr>
          <w:p w14:paraId="5494380C" w14:textId="77777777" w:rsidR="00722DA8" w:rsidRPr="00B34BB5" w:rsidRDefault="00722DA8" w:rsidP="00D31805">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34BB5">
              <w:t xml:space="preserve">250.73 </w:t>
            </w:r>
          </w:p>
        </w:tc>
        <w:tc>
          <w:tcPr>
            <w:tcW w:w="1416" w:type="dxa"/>
            <w:vAlign w:val="bottom"/>
          </w:tcPr>
          <w:p w14:paraId="55370E75" w14:textId="77777777" w:rsidR="00722DA8" w:rsidRPr="00B34BB5" w:rsidRDefault="00722DA8" w:rsidP="00D31805">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34BB5">
              <w:t xml:space="preserve">2,152,521.40 </w:t>
            </w:r>
          </w:p>
        </w:tc>
        <w:tc>
          <w:tcPr>
            <w:tcW w:w="1121" w:type="dxa"/>
            <w:tcBorders>
              <w:right w:val="single" w:sz="4" w:space="0" w:color="FFFFFF" w:themeColor="background1"/>
            </w:tcBorders>
            <w:vAlign w:val="bottom"/>
          </w:tcPr>
          <w:p w14:paraId="3C328023" w14:textId="77777777" w:rsidR="00722DA8" w:rsidRPr="00B34BB5" w:rsidDel="00DC3D64" w:rsidRDefault="00722DA8" w:rsidP="00D31805">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34BB5">
              <w:t xml:space="preserve">6,277 </w:t>
            </w:r>
          </w:p>
        </w:tc>
      </w:tr>
      <w:tr w:rsidR="00722DA8" w:rsidRPr="00B34BB5" w14:paraId="26364C00" w14:textId="77777777" w:rsidTr="00C91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2" w:type="dxa"/>
            <w:tcBorders>
              <w:left w:val="single" w:sz="4" w:space="0" w:color="FFFFFF" w:themeColor="background1"/>
            </w:tcBorders>
            <w:vAlign w:val="bottom"/>
          </w:tcPr>
          <w:p w14:paraId="2A910699" w14:textId="77777777" w:rsidR="00722DA8" w:rsidRPr="00B34BB5" w:rsidRDefault="00722DA8" w:rsidP="00D31805">
            <w:pPr>
              <w:pStyle w:val="TableText"/>
              <w:spacing w:before="40" w:after="40"/>
              <w:rPr>
                <w:b w:val="0"/>
                <w:szCs w:val="18"/>
              </w:rPr>
            </w:pPr>
            <w:r w:rsidRPr="00B34BB5">
              <w:rPr>
                <w:b w:val="0"/>
                <w:szCs w:val="18"/>
              </w:rPr>
              <w:t>Cessna Light Aircraft</w:t>
            </w:r>
          </w:p>
        </w:tc>
        <w:tc>
          <w:tcPr>
            <w:tcW w:w="1062" w:type="dxa"/>
            <w:vAlign w:val="bottom"/>
          </w:tcPr>
          <w:p w14:paraId="18B6EA7C" w14:textId="77777777" w:rsidR="00722DA8" w:rsidRPr="00B34BB5" w:rsidRDefault="00722DA8" w:rsidP="00D31805">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t xml:space="preserve">6 </w:t>
            </w:r>
          </w:p>
        </w:tc>
        <w:tc>
          <w:tcPr>
            <w:tcW w:w="1534" w:type="dxa"/>
            <w:vAlign w:val="bottom"/>
          </w:tcPr>
          <w:p w14:paraId="3C4E54CA" w14:textId="77777777" w:rsidR="00722DA8" w:rsidRPr="00B34BB5" w:rsidRDefault="00722DA8" w:rsidP="00D31805">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t xml:space="preserve">95.87 </w:t>
            </w:r>
          </w:p>
        </w:tc>
        <w:tc>
          <w:tcPr>
            <w:tcW w:w="1416" w:type="dxa"/>
            <w:vAlign w:val="bottom"/>
          </w:tcPr>
          <w:p w14:paraId="241796A3" w14:textId="77777777" w:rsidR="00722DA8" w:rsidRPr="00B34BB5" w:rsidRDefault="00722DA8" w:rsidP="00D31805">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t xml:space="preserve">1,199,632.30 </w:t>
            </w:r>
          </w:p>
        </w:tc>
        <w:tc>
          <w:tcPr>
            <w:tcW w:w="1121" w:type="dxa"/>
            <w:tcBorders>
              <w:right w:val="single" w:sz="4" w:space="0" w:color="FFFFFF" w:themeColor="background1"/>
            </w:tcBorders>
            <w:vAlign w:val="bottom"/>
          </w:tcPr>
          <w:p w14:paraId="37FAA91B" w14:textId="77777777" w:rsidR="00722DA8" w:rsidRPr="00B34BB5" w:rsidDel="00DC3D64" w:rsidRDefault="00722DA8" w:rsidP="00D31805">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t xml:space="preserve">9,791 </w:t>
            </w:r>
          </w:p>
        </w:tc>
      </w:tr>
      <w:tr w:rsidR="00722DA8" w:rsidRPr="00B34BB5" w14:paraId="3B7AB53D" w14:textId="77777777" w:rsidTr="00C91D05">
        <w:tc>
          <w:tcPr>
            <w:cnfStyle w:val="001000000000" w:firstRow="0" w:lastRow="0" w:firstColumn="1" w:lastColumn="0" w:oddVBand="0" w:evenVBand="0" w:oddHBand="0" w:evenHBand="0" w:firstRowFirstColumn="0" w:firstRowLastColumn="0" w:lastRowFirstColumn="0" w:lastRowLastColumn="0"/>
            <w:tcW w:w="3372" w:type="dxa"/>
            <w:tcBorders>
              <w:left w:val="single" w:sz="4" w:space="0" w:color="FFFFFF" w:themeColor="background1"/>
            </w:tcBorders>
            <w:vAlign w:val="bottom"/>
          </w:tcPr>
          <w:p w14:paraId="0C0E51A7" w14:textId="77777777" w:rsidR="00722DA8" w:rsidRPr="00B34BB5" w:rsidRDefault="00722DA8" w:rsidP="00D31805">
            <w:pPr>
              <w:pStyle w:val="TableText"/>
              <w:spacing w:before="40" w:after="40"/>
              <w:rPr>
                <w:b w:val="0"/>
                <w:szCs w:val="18"/>
              </w:rPr>
            </w:pPr>
            <w:r w:rsidRPr="00B34BB5">
              <w:rPr>
                <w:b w:val="0"/>
                <w:szCs w:val="18"/>
              </w:rPr>
              <w:t>De Havilland Canada DHC-8-300 Dash 8/8Q</w:t>
            </w:r>
            <w:r>
              <w:rPr>
                <w:b w:val="0"/>
                <w:szCs w:val="18"/>
              </w:rPr>
              <w:t>, Q300*</w:t>
            </w:r>
          </w:p>
        </w:tc>
        <w:tc>
          <w:tcPr>
            <w:tcW w:w="1062" w:type="dxa"/>
            <w:vAlign w:val="bottom"/>
          </w:tcPr>
          <w:p w14:paraId="1C5F293F" w14:textId="77777777" w:rsidR="00722DA8" w:rsidRPr="00B34BB5" w:rsidRDefault="00722DA8" w:rsidP="00D31805">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34BB5">
              <w:t xml:space="preserve">50 </w:t>
            </w:r>
          </w:p>
        </w:tc>
        <w:tc>
          <w:tcPr>
            <w:tcW w:w="1534" w:type="dxa"/>
            <w:vAlign w:val="bottom"/>
          </w:tcPr>
          <w:p w14:paraId="09BE047F" w14:textId="77777777" w:rsidR="00722DA8" w:rsidRPr="00B34BB5" w:rsidRDefault="00722DA8" w:rsidP="00D31805">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t>299.4</w:t>
            </w:r>
            <w:r w:rsidRPr="00B34BB5">
              <w:t xml:space="preserve"> </w:t>
            </w:r>
          </w:p>
        </w:tc>
        <w:tc>
          <w:tcPr>
            <w:tcW w:w="1416" w:type="dxa"/>
            <w:vAlign w:val="bottom"/>
          </w:tcPr>
          <w:p w14:paraId="59BF2EDD" w14:textId="77777777" w:rsidR="00722DA8" w:rsidRPr="00B34BB5" w:rsidRDefault="00722DA8" w:rsidP="00D31805">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t>45,892,622.75</w:t>
            </w:r>
            <w:r w:rsidRPr="00B34BB5">
              <w:t xml:space="preserve"> </w:t>
            </w:r>
          </w:p>
        </w:tc>
        <w:tc>
          <w:tcPr>
            <w:tcW w:w="1121" w:type="dxa"/>
            <w:tcBorders>
              <w:right w:val="single" w:sz="4" w:space="0" w:color="FFFFFF" w:themeColor="background1"/>
            </w:tcBorders>
            <w:vAlign w:val="bottom"/>
          </w:tcPr>
          <w:p w14:paraId="1675AD01" w14:textId="77777777" w:rsidR="00722DA8" w:rsidRPr="00B34BB5" w:rsidDel="00DC3D64" w:rsidRDefault="00722DA8" w:rsidP="00D31805">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t>64,580</w:t>
            </w:r>
            <w:r w:rsidRPr="00B34BB5">
              <w:t xml:space="preserve"> </w:t>
            </w:r>
          </w:p>
        </w:tc>
      </w:tr>
      <w:tr w:rsidR="00722DA8" w:rsidRPr="00B34BB5" w14:paraId="4FB48463" w14:textId="77777777" w:rsidTr="00C91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2" w:type="dxa"/>
            <w:tcBorders>
              <w:left w:val="single" w:sz="4" w:space="0" w:color="FFFFFF" w:themeColor="background1"/>
            </w:tcBorders>
            <w:vAlign w:val="bottom"/>
          </w:tcPr>
          <w:p w14:paraId="6D87AFA3" w14:textId="77777777" w:rsidR="00722DA8" w:rsidRPr="00B34BB5" w:rsidRDefault="00722DA8" w:rsidP="00D31805">
            <w:pPr>
              <w:pStyle w:val="TableText"/>
              <w:spacing w:before="40" w:after="40"/>
              <w:rPr>
                <w:b w:val="0"/>
                <w:szCs w:val="18"/>
              </w:rPr>
            </w:pPr>
            <w:r w:rsidRPr="00B34BB5">
              <w:rPr>
                <w:b w:val="0"/>
                <w:szCs w:val="18"/>
              </w:rPr>
              <w:t>Pilatus PC-12</w:t>
            </w:r>
          </w:p>
        </w:tc>
        <w:tc>
          <w:tcPr>
            <w:tcW w:w="1062" w:type="dxa"/>
            <w:vAlign w:val="bottom"/>
          </w:tcPr>
          <w:p w14:paraId="0969EF30" w14:textId="77777777" w:rsidR="00722DA8" w:rsidRPr="00B34BB5" w:rsidRDefault="00722DA8" w:rsidP="00D31805">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t xml:space="preserve">9 </w:t>
            </w:r>
          </w:p>
        </w:tc>
        <w:tc>
          <w:tcPr>
            <w:tcW w:w="1534" w:type="dxa"/>
            <w:vAlign w:val="bottom"/>
          </w:tcPr>
          <w:p w14:paraId="4009B85D" w14:textId="77777777" w:rsidR="00722DA8" w:rsidRPr="00B34BB5" w:rsidRDefault="00722DA8" w:rsidP="00D31805">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t xml:space="preserve">300.72 </w:t>
            </w:r>
          </w:p>
        </w:tc>
        <w:tc>
          <w:tcPr>
            <w:tcW w:w="1416" w:type="dxa"/>
            <w:vAlign w:val="bottom"/>
          </w:tcPr>
          <w:p w14:paraId="4FF29CE7" w14:textId="77777777" w:rsidR="00722DA8" w:rsidRPr="00B34BB5" w:rsidRDefault="00722DA8" w:rsidP="00D31805">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t xml:space="preserve">847,901.49 </w:t>
            </w:r>
          </w:p>
        </w:tc>
        <w:tc>
          <w:tcPr>
            <w:tcW w:w="1121" w:type="dxa"/>
            <w:tcBorders>
              <w:right w:val="single" w:sz="4" w:space="0" w:color="FFFFFF" w:themeColor="background1"/>
            </w:tcBorders>
            <w:vAlign w:val="bottom"/>
          </w:tcPr>
          <w:p w14:paraId="297A30F2" w14:textId="77777777" w:rsidR="00722DA8" w:rsidRPr="00B34BB5" w:rsidDel="00DC3D64" w:rsidRDefault="00722DA8" w:rsidP="00D31805">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t xml:space="preserve">4,315 </w:t>
            </w:r>
          </w:p>
        </w:tc>
      </w:tr>
      <w:tr w:rsidR="00722DA8" w:rsidRPr="00B34BB5" w14:paraId="7FC4DCC8" w14:textId="77777777" w:rsidTr="00C91D05">
        <w:tc>
          <w:tcPr>
            <w:cnfStyle w:val="001000000000" w:firstRow="0" w:lastRow="0" w:firstColumn="1" w:lastColumn="0" w:oddVBand="0" w:evenVBand="0" w:oddHBand="0" w:evenHBand="0" w:firstRowFirstColumn="0" w:firstRowLastColumn="0" w:lastRowFirstColumn="0" w:lastRowLastColumn="0"/>
            <w:tcW w:w="3372" w:type="dxa"/>
            <w:tcBorders>
              <w:left w:val="single" w:sz="4" w:space="0" w:color="FFFFFF" w:themeColor="background1"/>
            </w:tcBorders>
            <w:vAlign w:val="bottom"/>
          </w:tcPr>
          <w:p w14:paraId="5B47A6F3" w14:textId="77777777" w:rsidR="00722DA8" w:rsidRPr="00B34BB5" w:rsidRDefault="00722DA8" w:rsidP="00D31805">
            <w:pPr>
              <w:pStyle w:val="TableText"/>
              <w:spacing w:before="40" w:after="40"/>
              <w:rPr>
                <w:b w:val="0"/>
                <w:szCs w:val="18"/>
              </w:rPr>
            </w:pPr>
            <w:r w:rsidRPr="00B34BB5">
              <w:rPr>
                <w:b w:val="0"/>
                <w:szCs w:val="18"/>
              </w:rPr>
              <w:t>Saab SF-340</w:t>
            </w:r>
          </w:p>
        </w:tc>
        <w:tc>
          <w:tcPr>
            <w:tcW w:w="1062" w:type="dxa"/>
            <w:vAlign w:val="bottom"/>
          </w:tcPr>
          <w:p w14:paraId="66DCA213" w14:textId="77777777" w:rsidR="00722DA8" w:rsidRPr="00B34BB5" w:rsidRDefault="00722DA8" w:rsidP="00D31805">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34BB5">
              <w:t xml:space="preserve">34 </w:t>
            </w:r>
          </w:p>
        </w:tc>
        <w:tc>
          <w:tcPr>
            <w:tcW w:w="1534" w:type="dxa"/>
            <w:vAlign w:val="bottom"/>
          </w:tcPr>
          <w:p w14:paraId="39429F06" w14:textId="77777777" w:rsidR="00722DA8" w:rsidRPr="00B34BB5" w:rsidRDefault="00722DA8" w:rsidP="00D31805">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34BB5">
              <w:t xml:space="preserve">479.70 </w:t>
            </w:r>
          </w:p>
        </w:tc>
        <w:tc>
          <w:tcPr>
            <w:tcW w:w="1416" w:type="dxa"/>
            <w:vAlign w:val="bottom"/>
          </w:tcPr>
          <w:p w14:paraId="4BDB8724" w14:textId="77777777" w:rsidR="00722DA8" w:rsidRPr="00B34BB5" w:rsidRDefault="00722DA8" w:rsidP="00D31805">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34BB5">
              <w:t xml:space="preserve">407,373.70 </w:t>
            </w:r>
          </w:p>
        </w:tc>
        <w:tc>
          <w:tcPr>
            <w:tcW w:w="1121" w:type="dxa"/>
            <w:tcBorders>
              <w:right w:val="single" w:sz="4" w:space="0" w:color="FFFFFF" w:themeColor="background1"/>
            </w:tcBorders>
            <w:vAlign w:val="bottom"/>
          </w:tcPr>
          <w:p w14:paraId="3FDC4160" w14:textId="77777777" w:rsidR="00722DA8" w:rsidRPr="00B34BB5" w:rsidDel="00DC3D64" w:rsidRDefault="00722DA8" w:rsidP="00D31805">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34BB5">
              <w:t xml:space="preserve">668 </w:t>
            </w:r>
          </w:p>
        </w:tc>
      </w:tr>
      <w:tr w:rsidR="00722DA8" w:rsidRPr="00B34BB5" w14:paraId="43F798D2" w14:textId="77777777" w:rsidTr="00C91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2" w:type="dxa"/>
            <w:tcBorders>
              <w:left w:val="single" w:sz="4" w:space="0" w:color="FFFFFF" w:themeColor="background1"/>
            </w:tcBorders>
            <w:vAlign w:val="bottom"/>
          </w:tcPr>
          <w:p w14:paraId="3E56EDDA" w14:textId="77777777" w:rsidR="00722DA8" w:rsidRPr="00B34BB5" w:rsidRDefault="00722DA8" w:rsidP="00D31805">
            <w:pPr>
              <w:pStyle w:val="TableText"/>
              <w:spacing w:before="40" w:after="40"/>
              <w:rPr>
                <w:b w:val="0"/>
                <w:szCs w:val="18"/>
              </w:rPr>
            </w:pPr>
            <w:r w:rsidRPr="00B34BB5">
              <w:rPr>
                <w:b w:val="0"/>
                <w:szCs w:val="18"/>
              </w:rPr>
              <w:t>FOKKER F50</w:t>
            </w:r>
          </w:p>
        </w:tc>
        <w:tc>
          <w:tcPr>
            <w:tcW w:w="1062" w:type="dxa"/>
            <w:vAlign w:val="bottom"/>
          </w:tcPr>
          <w:p w14:paraId="27EF8E27" w14:textId="77777777" w:rsidR="00722DA8" w:rsidRPr="00B34BB5" w:rsidRDefault="00722DA8" w:rsidP="00D3180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color w:val="000000"/>
                <w:szCs w:val="18"/>
              </w:rPr>
              <w:t xml:space="preserve">53 </w:t>
            </w:r>
          </w:p>
        </w:tc>
        <w:tc>
          <w:tcPr>
            <w:tcW w:w="1534" w:type="dxa"/>
            <w:vAlign w:val="bottom"/>
          </w:tcPr>
          <w:p w14:paraId="2C2D2C5C" w14:textId="77777777" w:rsidR="00722DA8" w:rsidRPr="00B34BB5" w:rsidRDefault="00722DA8" w:rsidP="00D3180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color w:val="000000"/>
                <w:szCs w:val="18"/>
              </w:rPr>
              <w:t xml:space="preserve">631.55 </w:t>
            </w:r>
          </w:p>
        </w:tc>
        <w:tc>
          <w:tcPr>
            <w:tcW w:w="1416" w:type="dxa"/>
            <w:vAlign w:val="bottom"/>
          </w:tcPr>
          <w:p w14:paraId="5C0B961E" w14:textId="77777777" w:rsidR="00722DA8" w:rsidRPr="00B34BB5" w:rsidRDefault="00722DA8" w:rsidP="00D3180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color w:val="000000"/>
                <w:szCs w:val="18"/>
              </w:rPr>
              <w:t xml:space="preserve">12,890.19 </w:t>
            </w:r>
          </w:p>
        </w:tc>
        <w:tc>
          <w:tcPr>
            <w:tcW w:w="1121" w:type="dxa"/>
            <w:tcBorders>
              <w:right w:val="single" w:sz="4" w:space="0" w:color="FFFFFF" w:themeColor="background1"/>
            </w:tcBorders>
            <w:vAlign w:val="bottom"/>
          </w:tcPr>
          <w:p w14:paraId="438AEECA" w14:textId="77777777" w:rsidR="00722DA8" w:rsidRPr="00B34BB5" w:rsidDel="00DC3D64" w:rsidRDefault="00722DA8" w:rsidP="00D3180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color w:val="000000"/>
                <w:szCs w:val="18"/>
              </w:rPr>
              <w:t xml:space="preserve">11 </w:t>
            </w:r>
          </w:p>
        </w:tc>
      </w:tr>
    </w:tbl>
    <w:p w14:paraId="0CAE772D" w14:textId="77777777" w:rsidR="00722DA8" w:rsidRDefault="00722DA8" w:rsidP="00722DA8">
      <w:pPr>
        <w:pStyle w:val="Note"/>
      </w:pPr>
      <w:r>
        <w:t>Note: *Average calculated using data from 2016 and 2019.</w:t>
      </w:r>
    </w:p>
    <w:p w14:paraId="1C1EA662" w14:textId="6394BCFC" w:rsidR="00722DA8" w:rsidRPr="00B34BB5" w:rsidRDefault="00C7511A" w:rsidP="00722DA8">
      <w:pPr>
        <w:pStyle w:val="Tableheading"/>
      </w:pPr>
      <w:bookmarkStart w:id="421" w:name="_Toc111536646"/>
      <w:r w:rsidRPr="00B275E2">
        <w:t xml:space="preserve">Table </w:t>
      </w:r>
      <w:r w:rsidRPr="00B275E2">
        <w:fldChar w:fldCharType="begin"/>
      </w:r>
      <w:r w:rsidRPr="00B275E2">
        <w:instrText>SEQ Table \* ARABIC</w:instrText>
      </w:r>
      <w:r w:rsidRPr="00B275E2">
        <w:fldChar w:fldCharType="separate"/>
      </w:r>
      <w:r>
        <w:rPr>
          <w:noProof/>
        </w:rPr>
        <w:t>41</w:t>
      </w:r>
      <w:r w:rsidRPr="00B275E2">
        <w:fldChar w:fldCharType="end"/>
      </w:r>
      <w:r w:rsidRPr="00B275E2">
        <w:t>:</w:t>
      </w:r>
      <w:r w:rsidRPr="00B275E2">
        <w:tab/>
      </w:r>
      <w:r w:rsidRPr="00722DA8">
        <w:t>Domestic</w:t>
      </w:r>
      <w:r w:rsidR="00722DA8" w:rsidRPr="00B34BB5">
        <w:t xml:space="preserve"> aviation data</w:t>
      </w:r>
      <w:r w:rsidR="00722DA8">
        <w:t xml:space="preserve"> (applicable to 2020)</w:t>
      </w:r>
      <w:bookmarkEnd w:id="421"/>
    </w:p>
    <w:tbl>
      <w:tblPr>
        <w:tblStyle w:val="LightList-Accent2"/>
        <w:tblW w:w="8505" w:type="dxa"/>
        <w:tblInd w:w="20"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ayout w:type="fixed"/>
        <w:tblLook w:val="04A0" w:firstRow="1" w:lastRow="0" w:firstColumn="1" w:lastColumn="0" w:noHBand="0" w:noVBand="1"/>
      </w:tblPr>
      <w:tblGrid>
        <w:gridCol w:w="3372"/>
        <w:gridCol w:w="1062"/>
        <w:gridCol w:w="1534"/>
        <w:gridCol w:w="1416"/>
        <w:gridCol w:w="1121"/>
      </w:tblGrid>
      <w:tr w:rsidR="00722DA8" w:rsidRPr="00B34BB5" w14:paraId="6BE3CB91" w14:textId="77777777" w:rsidTr="00D31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2" w:type="dxa"/>
            <w:shd w:val="clear" w:color="auto" w:fill="1C556C" w:themeFill="accent1"/>
            <w:vAlign w:val="bottom"/>
          </w:tcPr>
          <w:p w14:paraId="5EE1B772" w14:textId="77777777" w:rsidR="00722DA8" w:rsidRPr="00B34BB5" w:rsidRDefault="00722DA8" w:rsidP="00D31805">
            <w:pPr>
              <w:pStyle w:val="TableText"/>
              <w:spacing w:before="40" w:after="40"/>
              <w:rPr>
                <w:szCs w:val="18"/>
              </w:rPr>
            </w:pPr>
            <w:r w:rsidRPr="00B34BB5">
              <w:rPr>
                <w:szCs w:val="18"/>
              </w:rPr>
              <w:t>Aircraft type</w:t>
            </w:r>
          </w:p>
        </w:tc>
        <w:tc>
          <w:tcPr>
            <w:tcW w:w="1062" w:type="dxa"/>
            <w:shd w:val="clear" w:color="auto" w:fill="1C556C" w:themeFill="accent1"/>
            <w:vAlign w:val="bottom"/>
          </w:tcPr>
          <w:p w14:paraId="144772F3" w14:textId="77777777" w:rsidR="00722DA8" w:rsidRPr="00B34BB5" w:rsidRDefault="00722DA8" w:rsidP="00D31805">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szCs w:val="18"/>
              </w:rPr>
            </w:pPr>
            <w:r w:rsidRPr="00B34BB5">
              <w:rPr>
                <w:szCs w:val="18"/>
              </w:rPr>
              <w:t>Total seats per flight</w:t>
            </w:r>
          </w:p>
        </w:tc>
        <w:tc>
          <w:tcPr>
            <w:tcW w:w="1534" w:type="dxa"/>
            <w:shd w:val="clear" w:color="auto" w:fill="1C556C" w:themeFill="accent1"/>
            <w:vAlign w:val="bottom"/>
          </w:tcPr>
          <w:p w14:paraId="14118249" w14:textId="77777777" w:rsidR="00722DA8" w:rsidRPr="00B34BB5" w:rsidRDefault="00722DA8" w:rsidP="00D31805">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szCs w:val="18"/>
              </w:rPr>
            </w:pPr>
            <w:r w:rsidRPr="00B34BB5">
              <w:rPr>
                <w:szCs w:val="18"/>
              </w:rPr>
              <w:t>Average distance per flight (km)</w:t>
            </w:r>
          </w:p>
        </w:tc>
        <w:tc>
          <w:tcPr>
            <w:tcW w:w="1416" w:type="dxa"/>
            <w:shd w:val="clear" w:color="auto" w:fill="1C556C" w:themeFill="accent1"/>
            <w:vAlign w:val="bottom"/>
          </w:tcPr>
          <w:p w14:paraId="7EBFF239" w14:textId="77777777" w:rsidR="00722DA8" w:rsidRPr="00B34BB5" w:rsidRDefault="00722DA8" w:rsidP="00D31805">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szCs w:val="18"/>
              </w:rPr>
            </w:pPr>
            <w:r w:rsidRPr="00B34BB5">
              <w:rPr>
                <w:szCs w:val="18"/>
              </w:rPr>
              <w:t>Total fuel used (kg)</w:t>
            </w:r>
          </w:p>
        </w:tc>
        <w:tc>
          <w:tcPr>
            <w:tcW w:w="1121" w:type="dxa"/>
            <w:shd w:val="clear" w:color="auto" w:fill="1C556C" w:themeFill="accent1"/>
            <w:vAlign w:val="bottom"/>
          </w:tcPr>
          <w:p w14:paraId="24BC6E64" w14:textId="77777777" w:rsidR="00722DA8" w:rsidRPr="00B34BB5" w:rsidDel="00C6698A" w:rsidRDefault="00722DA8" w:rsidP="00D31805">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szCs w:val="18"/>
              </w:rPr>
            </w:pPr>
            <w:r w:rsidRPr="00B34BB5">
              <w:rPr>
                <w:szCs w:val="18"/>
              </w:rPr>
              <w:t>Total flights</w:t>
            </w:r>
          </w:p>
        </w:tc>
      </w:tr>
      <w:tr w:rsidR="00722DA8" w:rsidRPr="00B34BB5" w14:paraId="327469BB" w14:textId="77777777" w:rsidTr="00C91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2" w:type="dxa"/>
            <w:tcBorders>
              <w:left w:val="single" w:sz="4" w:space="0" w:color="FFFFFF" w:themeColor="background1"/>
            </w:tcBorders>
            <w:vAlign w:val="bottom"/>
          </w:tcPr>
          <w:p w14:paraId="1D056054" w14:textId="77777777" w:rsidR="00722DA8" w:rsidRPr="00B34BB5" w:rsidRDefault="00722DA8" w:rsidP="00D31805">
            <w:pPr>
              <w:pStyle w:val="TableText"/>
              <w:spacing w:before="40" w:after="40"/>
              <w:rPr>
                <w:b w:val="0"/>
                <w:szCs w:val="18"/>
              </w:rPr>
            </w:pPr>
            <w:r w:rsidRPr="00B34BB5" w:rsidDel="003E1836">
              <w:rPr>
                <w:b w:val="0"/>
                <w:szCs w:val="18"/>
              </w:rPr>
              <w:t>Airbus A320</w:t>
            </w:r>
            <w:r>
              <w:rPr>
                <w:b w:val="0"/>
                <w:szCs w:val="18"/>
              </w:rPr>
              <w:t>*</w:t>
            </w:r>
          </w:p>
        </w:tc>
        <w:tc>
          <w:tcPr>
            <w:tcW w:w="1062" w:type="dxa"/>
            <w:vAlign w:val="bottom"/>
          </w:tcPr>
          <w:p w14:paraId="724D4AA8" w14:textId="77777777" w:rsidR="00722DA8" w:rsidRPr="00B34BB5" w:rsidRDefault="00722DA8" w:rsidP="00D31805">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t>181</w:t>
            </w:r>
            <w:r w:rsidRPr="00B34BB5" w:rsidDel="003E1836">
              <w:t xml:space="preserve"> </w:t>
            </w:r>
          </w:p>
        </w:tc>
        <w:tc>
          <w:tcPr>
            <w:tcW w:w="1534" w:type="dxa"/>
            <w:vAlign w:val="bottom"/>
          </w:tcPr>
          <w:p w14:paraId="1A360E90" w14:textId="77777777" w:rsidR="00722DA8" w:rsidRPr="00B34BB5" w:rsidRDefault="00722DA8" w:rsidP="00D31805">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t>674.16</w:t>
            </w:r>
            <w:r w:rsidRPr="00B34BB5" w:rsidDel="003E1836">
              <w:t xml:space="preserve"> </w:t>
            </w:r>
          </w:p>
        </w:tc>
        <w:tc>
          <w:tcPr>
            <w:tcW w:w="1416" w:type="dxa"/>
            <w:vAlign w:val="bottom"/>
          </w:tcPr>
          <w:p w14:paraId="26D963C9" w14:textId="77777777" w:rsidR="00722DA8" w:rsidRPr="00B34BB5" w:rsidRDefault="00722DA8" w:rsidP="00D31805">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t>56,638,617</w:t>
            </w:r>
            <w:r w:rsidRPr="00B34BB5" w:rsidDel="003E1836">
              <w:t xml:space="preserve"> </w:t>
            </w:r>
          </w:p>
        </w:tc>
        <w:tc>
          <w:tcPr>
            <w:tcW w:w="1121" w:type="dxa"/>
            <w:tcBorders>
              <w:right w:val="single" w:sz="4" w:space="0" w:color="FFFFFF" w:themeColor="background1"/>
            </w:tcBorders>
            <w:vAlign w:val="bottom"/>
          </w:tcPr>
          <w:p w14:paraId="7CD5D5B5" w14:textId="77777777" w:rsidR="00722DA8" w:rsidRPr="00B34BB5" w:rsidDel="00DC3D64" w:rsidRDefault="00722DA8" w:rsidP="00D31805">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t>18,140.75</w:t>
            </w:r>
            <w:r w:rsidRPr="00B34BB5" w:rsidDel="003E1836">
              <w:t xml:space="preserve"> </w:t>
            </w:r>
          </w:p>
        </w:tc>
      </w:tr>
      <w:tr w:rsidR="00722DA8" w:rsidRPr="00B34BB5" w14:paraId="28CFAD17" w14:textId="77777777" w:rsidTr="00C91D05">
        <w:tc>
          <w:tcPr>
            <w:cnfStyle w:val="001000000000" w:firstRow="0" w:lastRow="0" w:firstColumn="1" w:lastColumn="0" w:oddVBand="0" w:evenVBand="0" w:oddHBand="0" w:evenHBand="0" w:firstRowFirstColumn="0" w:firstRowLastColumn="0" w:lastRowFirstColumn="0" w:lastRowLastColumn="0"/>
            <w:tcW w:w="3372" w:type="dxa"/>
            <w:tcBorders>
              <w:left w:val="single" w:sz="4" w:space="0" w:color="FFFFFF" w:themeColor="background1"/>
            </w:tcBorders>
            <w:vAlign w:val="bottom"/>
          </w:tcPr>
          <w:p w14:paraId="3708F0D8" w14:textId="77777777" w:rsidR="00722DA8" w:rsidRPr="00B34BB5" w:rsidRDefault="00722DA8" w:rsidP="00D31805">
            <w:pPr>
              <w:pStyle w:val="TableText"/>
              <w:spacing w:before="40" w:after="40"/>
              <w:rPr>
                <w:b w:val="0"/>
                <w:szCs w:val="18"/>
              </w:rPr>
            </w:pPr>
            <w:r w:rsidRPr="00B34BB5" w:rsidDel="003E1836">
              <w:rPr>
                <w:b w:val="0"/>
                <w:szCs w:val="18"/>
              </w:rPr>
              <w:t>Aerospatiale/Alenia ATR 72</w:t>
            </w:r>
            <w:r>
              <w:rPr>
                <w:b w:val="0"/>
                <w:szCs w:val="18"/>
              </w:rPr>
              <w:t>*</w:t>
            </w:r>
          </w:p>
        </w:tc>
        <w:tc>
          <w:tcPr>
            <w:tcW w:w="1062" w:type="dxa"/>
            <w:vAlign w:val="bottom"/>
          </w:tcPr>
          <w:p w14:paraId="6D0C5400" w14:textId="77777777" w:rsidR="00722DA8" w:rsidRPr="00B34BB5" w:rsidRDefault="00722DA8" w:rsidP="00D31805">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34BB5" w:rsidDel="003E1836">
              <w:t xml:space="preserve">68 </w:t>
            </w:r>
          </w:p>
        </w:tc>
        <w:tc>
          <w:tcPr>
            <w:tcW w:w="1534" w:type="dxa"/>
            <w:vAlign w:val="bottom"/>
          </w:tcPr>
          <w:p w14:paraId="0CFF736C" w14:textId="77777777" w:rsidR="00722DA8" w:rsidRPr="00B34BB5" w:rsidRDefault="00722DA8" w:rsidP="00D31805">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t>389.51</w:t>
            </w:r>
            <w:r w:rsidRPr="00B34BB5" w:rsidDel="003E1836">
              <w:t xml:space="preserve"> </w:t>
            </w:r>
          </w:p>
        </w:tc>
        <w:tc>
          <w:tcPr>
            <w:tcW w:w="1416" w:type="dxa"/>
            <w:vAlign w:val="bottom"/>
          </w:tcPr>
          <w:p w14:paraId="3EFBAD9B" w14:textId="77777777" w:rsidR="00722DA8" w:rsidRPr="00B34BB5" w:rsidRDefault="00722DA8" w:rsidP="00D31805">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t>35,187,553.59</w:t>
            </w:r>
            <w:r w:rsidRPr="00B34BB5" w:rsidDel="003E1836">
              <w:t xml:space="preserve"> </w:t>
            </w:r>
          </w:p>
        </w:tc>
        <w:tc>
          <w:tcPr>
            <w:tcW w:w="1121" w:type="dxa"/>
            <w:tcBorders>
              <w:right w:val="single" w:sz="4" w:space="0" w:color="FFFFFF" w:themeColor="background1"/>
            </w:tcBorders>
            <w:vAlign w:val="bottom"/>
          </w:tcPr>
          <w:p w14:paraId="583FF610" w14:textId="77777777" w:rsidR="00722DA8" w:rsidRPr="00B34BB5" w:rsidDel="00DC3D64" w:rsidRDefault="00722DA8" w:rsidP="00D31805">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t>47,183</w:t>
            </w:r>
            <w:r w:rsidRPr="00B34BB5" w:rsidDel="003E1836">
              <w:t xml:space="preserve"> </w:t>
            </w:r>
          </w:p>
        </w:tc>
      </w:tr>
      <w:tr w:rsidR="00722DA8" w:rsidRPr="00B34BB5" w14:paraId="5EA6BD5F" w14:textId="77777777" w:rsidTr="00C91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2" w:type="dxa"/>
            <w:tcBorders>
              <w:left w:val="single" w:sz="4" w:space="0" w:color="FFFFFF" w:themeColor="background1"/>
            </w:tcBorders>
            <w:vAlign w:val="bottom"/>
          </w:tcPr>
          <w:p w14:paraId="423006B3" w14:textId="77777777" w:rsidR="00722DA8" w:rsidRPr="00B34BB5" w:rsidRDefault="00722DA8" w:rsidP="00D31805">
            <w:pPr>
              <w:pStyle w:val="TableText"/>
              <w:spacing w:before="40" w:after="40"/>
              <w:rPr>
                <w:b w:val="0"/>
                <w:szCs w:val="18"/>
              </w:rPr>
            </w:pPr>
            <w:r w:rsidRPr="00B34BB5" w:rsidDel="003E1836">
              <w:rPr>
                <w:b w:val="0"/>
                <w:szCs w:val="18"/>
              </w:rPr>
              <w:t>British Aerospace Jetstream 32</w:t>
            </w:r>
          </w:p>
        </w:tc>
        <w:tc>
          <w:tcPr>
            <w:tcW w:w="1062" w:type="dxa"/>
            <w:vAlign w:val="bottom"/>
          </w:tcPr>
          <w:p w14:paraId="477DD579" w14:textId="77777777" w:rsidR="00722DA8" w:rsidRPr="00B34BB5" w:rsidRDefault="00722DA8" w:rsidP="00D31805">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rsidDel="003E1836">
              <w:t xml:space="preserve">19 </w:t>
            </w:r>
          </w:p>
        </w:tc>
        <w:tc>
          <w:tcPr>
            <w:tcW w:w="1534" w:type="dxa"/>
            <w:vAlign w:val="bottom"/>
          </w:tcPr>
          <w:p w14:paraId="417351A2" w14:textId="77777777" w:rsidR="00722DA8" w:rsidRPr="00B34BB5" w:rsidRDefault="00722DA8" w:rsidP="00D31805">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rsidDel="003E1836">
              <w:t xml:space="preserve">167.78 </w:t>
            </w:r>
          </w:p>
        </w:tc>
        <w:tc>
          <w:tcPr>
            <w:tcW w:w="1416" w:type="dxa"/>
            <w:vAlign w:val="bottom"/>
          </w:tcPr>
          <w:p w14:paraId="000F830E" w14:textId="77777777" w:rsidR="00722DA8" w:rsidRPr="00B34BB5" w:rsidRDefault="00722DA8" w:rsidP="00D31805">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rsidDel="003E1836">
              <w:t xml:space="preserve">94,556.00 </w:t>
            </w:r>
          </w:p>
        </w:tc>
        <w:tc>
          <w:tcPr>
            <w:tcW w:w="1121" w:type="dxa"/>
            <w:tcBorders>
              <w:right w:val="single" w:sz="4" w:space="0" w:color="FFFFFF" w:themeColor="background1"/>
            </w:tcBorders>
            <w:vAlign w:val="bottom"/>
          </w:tcPr>
          <w:p w14:paraId="6E236356" w14:textId="77777777" w:rsidR="00722DA8" w:rsidRPr="00B34BB5" w:rsidDel="00DC3D64" w:rsidRDefault="00722DA8" w:rsidP="00D31805">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rsidDel="003E1836">
              <w:t xml:space="preserve">324 </w:t>
            </w:r>
          </w:p>
        </w:tc>
      </w:tr>
      <w:tr w:rsidR="00722DA8" w:rsidRPr="00B34BB5" w14:paraId="067B9555" w14:textId="77777777" w:rsidTr="00C91D05">
        <w:tc>
          <w:tcPr>
            <w:cnfStyle w:val="001000000000" w:firstRow="0" w:lastRow="0" w:firstColumn="1" w:lastColumn="0" w:oddVBand="0" w:evenVBand="0" w:oddHBand="0" w:evenHBand="0" w:firstRowFirstColumn="0" w:firstRowLastColumn="0" w:lastRowFirstColumn="0" w:lastRowLastColumn="0"/>
            <w:tcW w:w="3372" w:type="dxa"/>
            <w:tcBorders>
              <w:left w:val="single" w:sz="4" w:space="0" w:color="FFFFFF" w:themeColor="background1"/>
            </w:tcBorders>
            <w:vAlign w:val="bottom"/>
          </w:tcPr>
          <w:p w14:paraId="3DBBD8FA" w14:textId="77777777" w:rsidR="00722DA8" w:rsidRPr="00B34BB5" w:rsidRDefault="00722DA8" w:rsidP="00D31805">
            <w:pPr>
              <w:pStyle w:val="TableText"/>
              <w:spacing w:before="40" w:after="40"/>
              <w:rPr>
                <w:b w:val="0"/>
                <w:szCs w:val="18"/>
              </w:rPr>
            </w:pPr>
            <w:r w:rsidRPr="00B34BB5" w:rsidDel="003E1836">
              <w:rPr>
                <w:b w:val="0"/>
                <w:szCs w:val="18"/>
              </w:rPr>
              <w:t>Beechcraft Beech 1900D</w:t>
            </w:r>
          </w:p>
        </w:tc>
        <w:tc>
          <w:tcPr>
            <w:tcW w:w="1062" w:type="dxa"/>
            <w:vAlign w:val="bottom"/>
          </w:tcPr>
          <w:p w14:paraId="6A7FC523" w14:textId="77777777" w:rsidR="00722DA8" w:rsidRPr="00B34BB5" w:rsidRDefault="00722DA8" w:rsidP="00D31805">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34BB5" w:rsidDel="003E1836">
              <w:t xml:space="preserve">19 </w:t>
            </w:r>
          </w:p>
        </w:tc>
        <w:tc>
          <w:tcPr>
            <w:tcW w:w="1534" w:type="dxa"/>
            <w:vAlign w:val="bottom"/>
          </w:tcPr>
          <w:p w14:paraId="42BAB325" w14:textId="77777777" w:rsidR="00722DA8" w:rsidRPr="00B34BB5" w:rsidRDefault="00722DA8" w:rsidP="00D31805">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34BB5" w:rsidDel="003E1836">
              <w:t xml:space="preserve">250.73 </w:t>
            </w:r>
          </w:p>
        </w:tc>
        <w:tc>
          <w:tcPr>
            <w:tcW w:w="1416" w:type="dxa"/>
            <w:vAlign w:val="bottom"/>
          </w:tcPr>
          <w:p w14:paraId="0F776DB5" w14:textId="77777777" w:rsidR="00722DA8" w:rsidRPr="00B34BB5" w:rsidRDefault="00722DA8" w:rsidP="00D31805">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34BB5" w:rsidDel="003E1836">
              <w:t xml:space="preserve">2,152,521.40 </w:t>
            </w:r>
          </w:p>
        </w:tc>
        <w:tc>
          <w:tcPr>
            <w:tcW w:w="1121" w:type="dxa"/>
            <w:tcBorders>
              <w:right w:val="single" w:sz="4" w:space="0" w:color="FFFFFF" w:themeColor="background1"/>
            </w:tcBorders>
            <w:vAlign w:val="bottom"/>
          </w:tcPr>
          <w:p w14:paraId="73B8755E" w14:textId="77777777" w:rsidR="00722DA8" w:rsidRPr="00B34BB5" w:rsidDel="00DC3D64" w:rsidRDefault="00722DA8" w:rsidP="00D31805">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34BB5" w:rsidDel="003E1836">
              <w:t xml:space="preserve">6,277 </w:t>
            </w:r>
          </w:p>
        </w:tc>
      </w:tr>
      <w:tr w:rsidR="00722DA8" w:rsidRPr="00B34BB5" w14:paraId="176FABF1" w14:textId="77777777" w:rsidTr="00C91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2" w:type="dxa"/>
            <w:tcBorders>
              <w:left w:val="single" w:sz="4" w:space="0" w:color="FFFFFF" w:themeColor="background1"/>
            </w:tcBorders>
            <w:vAlign w:val="bottom"/>
          </w:tcPr>
          <w:p w14:paraId="4E1C8CDC" w14:textId="77777777" w:rsidR="00722DA8" w:rsidRPr="00B34BB5" w:rsidRDefault="00722DA8" w:rsidP="00D31805">
            <w:pPr>
              <w:pStyle w:val="TableText"/>
              <w:spacing w:before="40" w:after="40"/>
              <w:rPr>
                <w:b w:val="0"/>
                <w:szCs w:val="18"/>
              </w:rPr>
            </w:pPr>
            <w:r w:rsidRPr="00B34BB5" w:rsidDel="003E1836">
              <w:rPr>
                <w:b w:val="0"/>
                <w:szCs w:val="18"/>
              </w:rPr>
              <w:t>Cessna Light Aircraft</w:t>
            </w:r>
          </w:p>
        </w:tc>
        <w:tc>
          <w:tcPr>
            <w:tcW w:w="1062" w:type="dxa"/>
            <w:vAlign w:val="bottom"/>
          </w:tcPr>
          <w:p w14:paraId="3854A97E" w14:textId="77777777" w:rsidR="00722DA8" w:rsidRPr="00B34BB5" w:rsidRDefault="00722DA8" w:rsidP="00D31805">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rsidDel="003E1836">
              <w:t xml:space="preserve">6 </w:t>
            </w:r>
          </w:p>
        </w:tc>
        <w:tc>
          <w:tcPr>
            <w:tcW w:w="1534" w:type="dxa"/>
            <w:vAlign w:val="bottom"/>
          </w:tcPr>
          <w:p w14:paraId="22F70AE3" w14:textId="77777777" w:rsidR="00722DA8" w:rsidRPr="00B34BB5" w:rsidRDefault="00722DA8" w:rsidP="00D31805">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rsidDel="003E1836">
              <w:t xml:space="preserve">95.87 </w:t>
            </w:r>
          </w:p>
        </w:tc>
        <w:tc>
          <w:tcPr>
            <w:tcW w:w="1416" w:type="dxa"/>
            <w:vAlign w:val="bottom"/>
          </w:tcPr>
          <w:p w14:paraId="7A695E35" w14:textId="77777777" w:rsidR="00722DA8" w:rsidRPr="00B34BB5" w:rsidRDefault="00722DA8" w:rsidP="00D31805">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rsidDel="003E1836">
              <w:t xml:space="preserve">1,199,632.30 </w:t>
            </w:r>
          </w:p>
        </w:tc>
        <w:tc>
          <w:tcPr>
            <w:tcW w:w="1121" w:type="dxa"/>
            <w:tcBorders>
              <w:right w:val="single" w:sz="4" w:space="0" w:color="FFFFFF" w:themeColor="background1"/>
            </w:tcBorders>
            <w:vAlign w:val="bottom"/>
          </w:tcPr>
          <w:p w14:paraId="37501CDA" w14:textId="77777777" w:rsidR="00722DA8" w:rsidRPr="00B34BB5" w:rsidDel="00DC3D64" w:rsidRDefault="00722DA8" w:rsidP="00D31805">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rsidDel="003E1836">
              <w:t xml:space="preserve">9,791 </w:t>
            </w:r>
          </w:p>
        </w:tc>
      </w:tr>
      <w:tr w:rsidR="00722DA8" w:rsidRPr="00B34BB5" w14:paraId="29BC97C6" w14:textId="77777777" w:rsidTr="00C91D05">
        <w:tc>
          <w:tcPr>
            <w:cnfStyle w:val="001000000000" w:firstRow="0" w:lastRow="0" w:firstColumn="1" w:lastColumn="0" w:oddVBand="0" w:evenVBand="0" w:oddHBand="0" w:evenHBand="0" w:firstRowFirstColumn="0" w:firstRowLastColumn="0" w:lastRowFirstColumn="0" w:lastRowLastColumn="0"/>
            <w:tcW w:w="3372" w:type="dxa"/>
            <w:tcBorders>
              <w:left w:val="single" w:sz="4" w:space="0" w:color="FFFFFF" w:themeColor="background1"/>
            </w:tcBorders>
            <w:vAlign w:val="bottom"/>
          </w:tcPr>
          <w:p w14:paraId="322400BD" w14:textId="77777777" w:rsidR="00722DA8" w:rsidRPr="00B34BB5" w:rsidRDefault="00722DA8" w:rsidP="00D31805">
            <w:pPr>
              <w:pStyle w:val="TableText"/>
              <w:spacing w:before="40" w:after="40"/>
              <w:rPr>
                <w:b w:val="0"/>
                <w:szCs w:val="18"/>
              </w:rPr>
            </w:pPr>
            <w:r w:rsidRPr="00B34BB5" w:rsidDel="003E1836">
              <w:rPr>
                <w:b w:val="0"/>
                <w:szCs w:val="18"/>
              </w:rPr>
              <w:t>De Havilland Canada DHC-8-300 Dash 8/8Q</w:t>
            </w:r>
            <w:r>
              <w:rPr>
                <w:b w:val="0"/>
                <w:szCs w:val="18"/>
              </w:rPr>
              <w:t>, Q300*</w:t>
            </w:r>
          </w:p>
        </w:tc>
        <w:tc>
          <w:tcPr>
            <w:tcW w:w="1062" w:type="dxa"/>
            <w:vAlign w:val="bottom"/>
          </w:tcPr>
          <w:p w14:paraId="2A3D1160" w14:textId="77777777" w:rsidR="00722DA8" w:rsidRPr="00B34BB5" w:rsidRDefault="00722DA8" w:rsidP="00D31805">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34BB5" w:rsidDel="003E1836">
              <w:t xml:space="preserve">50 </w:t>
            </w:r>
          </w:p>
        </w:tc>
        <w:tc>
          <w:tcPr>
            <w:tcW w:w="1534" w:type="dxa"/>
            <w:vAlign w:val="bottom"/>
          </w:tcPr>
          <w:p w14:paraId="03D06AFE" w14:textId="77777777" w:rsidR="00722DA8" w:rsidRPr="00B34BB5" w:rsidRDefault="00722DA8" w:rsidP="00D31805">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t>313.40</w:t>
            </w:r>
            <w:r w:rsidRPr="00B34BB5" w:rsidDel="003E1836">
              <w:t xml:space="preserve"> </w:t>
            </w:r>
          </w:p>
        </w:tc>
        <w:tc>
          <w:tcPr>
            <w:tcW w:w="1416" w:type="dxa"/>
            <w:vAlign w:val="bottom"/>
          </w:tcPr>
          <w:p w14:paraId="6DA540F4" w14:textId="77777777" w:rsidR="00722DA8" w:rsidRPr="00B34BB5" w:rsidRDefault="00722DA8" w:rsidP="00D31805">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t>40,934,925.25</w:t>
            </w:r>
            <w:r w:rsidRPr="00B34BB5" w:rsidDel="003E1836">
              <w:t xml:space="preserve"> </w:t>
            </w:r>
          </w:p>
        </w:tc>
        <w:tc>
          <w:tcPr>
            <w:tcW w:w="1121" w:type="dxa"/>
            <w:tcBorders>
              <w:right w:val="single" w:sz="4" w:space="0" w:color="FFFFFF" w:themeColor="background1"/>
            </w:tcBorders>
            <w:vAlign w:val="bottom"/>
          </w:tcPr>
          <w:p w14:paraId="77B9B0B2" w14:textId="77777777" w:rsidR="00722DA8" w:rsidRPr="00B34BB5" w:rsidDel="00DC3D64" w:rsidRDefault="00722DA8" w:rsidP="00D31805">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t>53,991</w:t>
            </w:r>
            <w:r w:rsidRPr="00B34BB5" w:rsidDel="003E1836">
              <w:t xml:space="preserve"> </w:t>
            </w:r>
          </w:p>
        </w:tc>
      </w:tr>
      <w:tr w:rsidR="00722DA8" w:rsidRPr="00B34BB5" w14:paraId="6B325C38" w14:textId="77777777" w:rsidTr="00C91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2" w:type="dxa"/>
            <w:tcBorders>
              <w:left w:val="single" w:sz="4" w:space="0" w:color="FFFFFF" w:themeColor="background1"/>
            </w:tcBorders>
            <w:vAlign w:val="bottom"/>
          </w:tcPr>
          <w:p w14:paraId="43174B31" w14:textId="77777777" w:rsidR="00722DA8" w:rsidRPr="00B34BB5" w:rsidRDefault="00722DA8" w:rsidP="00D31805">
            <w:pPr>
              <w:pStyle w:val="TableText"/>
              <w:spacing w:before="40" w:after="40"/>
              <w:rPr>
                <w:b w:val="0"/>
                <w:szCs w:val="18"/>
              </w:rPr>
            </w:pPr>
            <w:r w:rsidRPr="00B34BB5" w:rsidDel="003E1836">
              <w:rPr>
                <w:b w:val="0"/>
                <w:szCs w:val="18"/>
              </w:rPr>
              <w:t>Pilatus PC-12</w:t>
            </w:r>
          </w:p>
        </w:tc>
        <w:tc>
          <w:tcPr>
            <w:tcW w:w="1062" w:type="dxa"/>
            <w:vAlign w:val="bottom"/>
          </w:tcPr>
          <w:p w14:paraId="6FAC5C7B" w14:textId="77777777" w:rsidR="00722DA8" w:rsidRPr="00B34BB5" w:rsidRDefault="00722DA8" w:rsidP="00D31805">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rsidDel="003E1836">
              <w:t xml:space="preserve">9 </w:t>
            </w:r>
          </w:p>
        </w:tc>
        <w:tc>
          <w:tcPr>
            <w:tcW w:w="1534" w:type="dxa"/>
            <w:vAlign w:val="bottom"/>
          </w:tcPr>
          <w:p w14:paraId="4264D80A" w14:textId="77777777" w:rsidR="00722DA8" w:rsidRPr="00B34BB5" w:rsidRDefault="00722DA8" w:rsidP="00D31805">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rsidDel="003E1836">
              <w:t xml:space="preserve">300.72 </w:t>
            </w:r>
          </w:p>
        </w:tc>
        <w:tc>
          <w:tcPr>
            <w:tcW w:w="1416" w:type="dxa"/>
            <w:vAlign w:val="bottom"/>
          </w:tcPr>
          <w:p w14:paraId="31C0CD21" w14:textId="77777777" w:rsidR="00722DA8" w:rsidRPr="00B34BB5" w:rsidRDefault="00722DA8" w:rsidP="00D31805">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rsidDel="003E1836">
              <w:t xml:space="preserve">847,901.49 </w:t>
            </w:r>
          </w:p>
        </w:tc>
        <w:tc>
          <w:tcPr>
            <w:tcW w:w="1121" w:type="dxa"/>
            <w:tcBorders>
              <w:right w:val="single" w:sz="4" w:space="0" w:color="FFFFFF" w:themeColor="background1"/>
            </w:tcBorders>
            <w:vAlign w:val="bottom"/>
          </w:tcPr>
          <w:p w14:paraId="4C8A2821" w14:textId="77777777" w:rsidR="00722DA8" w:rsidRPr="00B34BB5" w:rsidDel="00DC3D64" w:rsidRDefault="00722DA8" w:rsidP="00D31805">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rsidDel="003E1836">
              <w:t xml:space="preserve">4,315 </w:t>
            </w:r>
          </w:p>
        </w:tc>
      </w:tr>
      <w:tr w:rsidR="00722DA8" w:rsidRPr="00B34BB5" w14:paraId="6B5337FC" w14:textId="77777777" w:rsidTr="00C91D05">
        <w:tc>
          <w:tcPr>
            <w:cnfStyle w:val="001000000000" w:firstRow="0" w:lastRow="0" w:firstColumn="1" w:lastColumn="0" w:oddVBand="0" w:evenVBand="0" w:oddHBand="0" w:evenHBand="0" w:firstRowFirstColumn="0" w:firstRowLastColumn="0" w:lastRowFirstColumn="0" w:lastRowLastColumn="0"/>
            <w:tcW w:w="3372" w:type="dxa"/>
            <w:tcBorders>
              <w:left w:val="single" w:sz="4" w:space="0" w:color="FFFFFF" w:themeColor="background1"/>
            </w:tcBorders>
            <w:vAlign w:val="bottom"/>
          </w:tcPr>
          <w:p w14:paraId="0608AF35" w14:textId="77777777" w:rsidR="00722DA8" w:rsidRPr="00B34BB5" w:rsidRDefault="00722DA8" w:rsidP="00D31805">
            <w:pPr>
              <w:pStyle w:val="TableText"/>
              <w:spacing w:before="40" w:after="40"/>
              <w:rPr>
                <w:b w:val="0"/>
                <w:szCs w:val="18"/>
              </w:rPr>
            </w:pPr>
            <w:r w:rsidRPr="00B34BB5" w:rsidDel="003E1836">
              <w:rPr>
                <w:b w:val="0"/>
                <w:szCs w:val="18"/>
              </w:rPr>
              <w:t>Saab SF-340</w:t>
            </w:r>
          </w:p>
        </w:tc>
        <w:tc>
          <w:tcPr>
            <w:tcW w:w="1062" w:type="dxa"/>
            <w:vAlign w:val="bottom"/>
          </w:tcPr>
          <w:p w14:paraId="1636363C" w14:textId="77777777" w:rsidR="00722DA8" w:rsidRPr="00B34BB5" w:rsidRDefault="00722DA8" w:rsidP="00D31805">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34BB5" w:rsidDel="003E1836">
              <w:t xml:space="preserve">34 </w:t>
            </w:r>
          </w:p>
        </w:tc>
        <w:tc>
          <w:tcPr>
            <w:tcW w:w="1534" w:type="dxa"/>
            <w:vAlign w:val="bottom"/>
          </w:tcPr>
          <w:p w14:paraId="38CB5531" w14:textId="77777777" w:rsidR="00722DA8" w:rsidRPr="00B34BB5" w:rsidRDefault="00722DA8" w:rsidP="00D31805">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34BB5" w:rsidDel="003E1836">
              <w:t xml:space="preserve">479.70 </w:t>
            </w:r>
          </w:p>
        </w:tc>
        <w:tc>
          <w:tcPr>
            <w:tcW w:w="1416" w:type="dxa"/>
            <w:vAlign w:val="bottom"/>
          </w:tcPr>
          <w:p w14:paraId="6B9017E2" w14:textId="77777777" w:rsidR="00722DA8" w:rsidRPr="00B34BB5" w:rsidRDefault="00722DA8" w:rsidP="00D31805">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34BB5" w:rsidDel="003E1836">
              <w:t xml:space="preserve">407,373.70 </w:t>
            </w:r>
          </w:p>
        </w:tc>
        <w:tc>
          <w:tcPr>
            <w:tcW w:w="1121" w:type="dxa"/>
            <w:tcBorders>
              <w:right w:val="single" w:sz="4" w:space="0" w:color="FFFFFF" w:themeColor="background1"/>
            </w:tcBorders>
            <w:vAlign w:val="bottom"/>
          </w:tcPr>
          <w:p w14:paraId="11F12633" w14:textId="77777777" w:rsidR="00722DA8" w:rsidRPr="00B34BB5" w:rsidDel="00DC3D64" w:rsidRDefault="00722DA8" w:rsidP="00D31805">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34BB5" w:rsidDel="003E1836">
              <w:t xml:space="preserve">668 </w:t>
            </w:r>
          </w:p>
        </w:tc>
      </w:tr>
      <w:tr w:rsidR="00722DA8" w:rsidRPr="00B34BB5" w14:paraId="3459B25B" w14:textId="77777777" w:rsidTr="00C91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2" w:type="dxa"/>
            <w:tcBorders>
              <w:left w:val="single" w:sz="4" w:space="0" w:color="FFFFFF" w:themeColor="background1"/>
            </w:tcBorders>
            <w:vAlign w:val="bottom"/>
          </w:tcPr>
          <w:p w14:paraId="7297A6FF" w14:textId="77777777" w:rsidR="00722DA8" w:rsidRPr="00B34BB5" w:rsidRDefault="00722DA8" w:rsidP="00D31805">
            <w:pPr>
              <w:pStyle w:val="TableText"/>
              <w:spacing w:before="40" w:after="40"/>
              <w:rPr>
                <w:b w:val="0"/>
                <w:szCs w:val="18"/>
              </w:rPr>
            </w:pPr>
            <w:r w:rsidRPr="00B34BB5" w:rsidDel="003E1836">
              <w:rPr>
                <w:b w:val="0"/>
                <w:szCs w:val="18"/>
              </w:rPr>
              <w:t>FOKKER F50</w:t>
            </w:r>
          </w:p>
        </w:tc>
        <w:tc>
          <w:tcPr>
            <w:tcW w:w="1062" w:type="dxa"/>
            <w:vAlign w:val="bottom"/>
          </w:tcPr>
          <w:p w14:paraId="3EEE6692" w14:textId="77777777" w:rsidR="00722DA8" w:rsidRPr="00B34BB5" w:rsidRDefault="00722DA8" w:rsidP="00D3180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sidDel="003E1836">
              <w:rPr>
                <w:rFonts w:cs="Calibri"/>
                <w:color w:val="000000"/>
                <w:szCs w:val="18"/>
              </w:rPr>
              <w:t xml:space="preserve">53 </w:t>
            </w:r>
          </w:p>
        </w:tc>
        <w:tc>
          <w:tcPr>
            <w:tcW w:w="1534" w:type="dxa"/>
            <w:vAlign w:val="bottom"/>
          </w:tcPr>
          <w:p w14:paraId="5AE1B219" w14:textId="77777777" w:rsidR="00722DA8" w:rsidRPr="00B34BB5" w:rsidRDefault="00722DA8" w:rsidP="00D3180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sidDel="003E1836">
              <w:rPr>
                <w:rFonts w:cs="Calibri"/>
                <w:color w:val="000000"/>
                <w:szCs w:val="18"/>
              </w:rPr>
              <w:t xml:space="preserve">631.55 </w:t>
            </w:r>
          </w:p>
        </w:tc>
        <w:tc>
          <w:tcPr>
            <w:tcW w:w="1416" w:type="dxa"/>
            <w:vAlign w:val="bottom"/>
          </w:tcPr>
          <w:p w14:paraId="1F7A58BA" w14:textId="77777777" w:rsidR="00722DA8" w:rsidRPr="00B34BB5" w:rsidRDefault="00722DA8" w:rsidP="00D3180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sidDel="003E1836">
              <w:rPr>
                <w:rFonts w:cs="Calibri"/>
                <w:color w:val="000000"/>
                <w:szCs w:val="18"/>
              </w:rPr>
              <w:t xml:space="preserve">12,890.19 </w:t>
            </w:r>
          </w:p>
        </w:tc>
        <w:tc>
          <w:tcPr>
            <w:tcW w:w="1121" w:type="dxa"/>
            <w:tcBorders>
              <w:right w:val="single" w:sz="4" w:space="0" w:color="FFFFFF" w:themeColor="background1"/>
            </w:tcBorders>
            <w:vAlign w:val="bottom"/>
          </w:tcPr>
          <w:p w14:paraId="33AAA3C6" w14:textId="77777777" w:rsidR="00722DA8" w:rsidRPr="00B34BB5" w:rsidDel="00DC3D64" w:rsidRDefault="00722DA8" w:rsidP="00D3180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sidDel="003E1836">
              <w:rPr>
                <w:rFonts w:cs="Calibri"/>
                <w:color w:val="000000"/>
                <w:szCs w:val="18"/>
              </w:rPr>
              <w:t xml:space="preserve">11 </w:t>
            </w:r>
          </w:p>
        </w:tc>
      </w:tr>
    </w:tbl>
    <w:p w14:paraId="701C1536" w14:textId="77777777" w:rsidR="00722DA8" w:rsidRPr="009B7207" w:rsidRDefault="00722DA8" w:rsidP="00722DA8">
      <w:pPr>
        <w:pStyle w:val="Note"/>
      </w:pPr>
      <w:r>
        <w:t>Note: *Average calculated using data from 2016 and 2020.</w:t>
      </w:r>
    </w:p>
    <w:p w14:paraId="650921F6" w14:textId="4AAFB701" w:rsidR="00612B28" w:rsidRPr="00B275E2" w:rsidRDefault="00563393" w:rsidP="00CA4A9E">
      <w:pPr>
        <w:pStyle w:val="BodyText"/>
        <w:keepNext/>
        <w:spacing w:after="240"/>
        <w:rPr>
          <w:rFonts w:asciiTheme="minorHAnsi" w:hAnsiTheme="minorHAnsi"/>
        </w:rPr>
      </w:pPr>
      <w:r w:rsidRPr="00B275E2">
        <w:t>T</w:t>
      </w:r>
      <w:r w:rsidR="00612B28" w:rsidRPr="00B275E2">
        <w:t>o calculate the emission factor</w:t>
      </w:r>
      <w:r w:rsidRPr="00B275E2">
        <w:t>, first</w:t>
      </w:r>
      <w:r w:rsidR="00612B28" w:rsidRPr="00B275E2">
        <w:t xml:space="preserve"> </w:t>
      </w:r>
      <w:r w:rsidR="00612B28" w:rsidRPr="00B275E2">
        <w:rPr>
          <w:rFonts w:asciiTheme="minorHAnsi" w:hAnsiTheme="minorHAnsi"/>
        </w:rPr>
        <w:t>calculate fuel per flight for each aircraft:</w:t>
      </w:r>
    </w:p>
    <w:tbl>
      <w:tblPr>
        <w:tblStyle w:val="mfebox"/>
        <w:tblW w:w="0" w:type="auto"/>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blLook w:val="04A0" w:firstRow="1" w:lastRow="0" w:firstColumn="1" w:lastColumn="0" w:noHBand="0" w:noVBand="1"/>
      </w:tblPr>
      <w:tblGrid>
        <w:gridCol w:w="8495"/>
      </w:tblGrid>
      <w:tr w:rsidR="00563393" w:rsidRPr="00B275E2" w14:paraId="650921F8" w14:textId="77777777" w:rsidTr="00602592">
        <w:tc>
          <w:tcPr>
            <w:tcW w:w="8720" w:type="dxa"/>
            <w:shd w:val="clear" w:color="auto" w:fill="D2DDE1"/>
          </w:tcPr>
          <w:p w14:paraId="650921F7" w14:textId="6F82848A" w:rsidR="00563393" w:rsidRPr="00B275E2" w:rsidRDefault="00954B9C" w:rsidP="007F0B1E">
            <w:pPr>
              <w:pStyle w:val="Box"/>
              <w:spacing w:before="0" w:after="0"/>
              <w:ind w:left="0"/>
              <w:rPr>
                <w:rFonts w:asciiTheme="minorHAnsi" w:hAnsiTheme="minorHAnsi"/>
                <w:szCs w:val="20"/>
              </w:rPr>
            </w:pPr>
            <m:oMathPara>
              <m:oMath>
                <m:f>
                  <m:fPr>
                    <m:ctrlPr>
                      <w:rPr>
                        <w:rFonts w:ascii="Cambria Math" w:hAnsi="Cambria Math"/>
                      </w:rPr>
                    </m:ctrlPr>
                  </m:fPr>
                  <m:num>
                    <m:r>
                      <w:rPr>
                        <w:rFonts w:ascii="Cambria Math" w:hAnsi="Cambria Math"/>
                      </w:rPr>
                      <m:t>average total</m:t>
                    </m:r>
                    <m:r>
                      <m:rPr>
                        <m:sty m:val="p"/>
                      </m:rPr>
                      <w:rPr>
                        <w:rFonts w:ascii="Cambria Math" w:hAnsi="Cambria Math"/>
                      </w:rPr>
                      <m:t xml:space="preserve"> </m:t>
                    </m:r>
                    <m:r>
                      <w:rPr>
                        <w:rFonts w:ascii="Cambria Math" w:hAnsi="Cambria Math"/>
                      </w:rPr>
                      <m:t>fuel</m:t>
                    </m:r>
                    <m:r>
                      <m:rPr>
                        <m:sty m:val="p"/>
                      </m:rPr>
                      <w:rPr>
                        <w:rFonts w:ascii="Cambria Math" w:hAnsi="Cambria Math"/>
                      </w:rPr>
                      <m:t xml:space="preserve"> </m:t>
                    </m:r>
                    <m:r>
                      <w:rPr>
                        <w:rFonts w:ascii="Cambria Math" w:hAnsi="Cambria Math"/>
                      </w:rPr>
                      <m:t>used</m:t>
                    </m:r>
                    <m:r>
                      <m:rPr>
                        <m:sty m:val="p"/>
                      </m:rPr>
                      <w:rPr>
                        <w:rFonts w:ascii="Cambria Math" w:hAnsi="Cambria Math"/>
                      </w:rPr>
                      <m:t xml:space="preserve"> </m:t>
                    </m:r>
                    <m:d>
                      <m:dPr>
                        <m:ctrlPr>
                          <w:rPr>
                            <w:rFonts w:ascii="Cambria Math" w:hAnsi="Cambria Math"/>
                          </w:rPr>
                        </m:ctrlPr>
                      </m:dPr>
                      <m:e>
                        <m:r>
                          <w:rPr>
                            <w:rFonts w:ascii="Cambria Math" w:hAnsi="Cambria Math"/>
                          </w:rPr>
                          <m:t>kg</m:t>
                        </m:r>
                      </m:e>
                    </m:d>
                  </m:num>
                  <m:den>
                    <m:r>
                      <w:rPr>
                        <w:rFonts w:ascii="Cambria Math" w:hAnsi="Cambria Math"/>
                      </w:rPr>
                      <m:t>average number</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flights</m:t>
                    </m:r>
                  </m:den>
                </m:f>
              </m:oMath>
            </m:oMathPara>
          </w:p>
        </w:tc>
      </w:tr>
    </w:tbl>
    <w:p w14:paraId="650921F9" w14:textId="2A770821" w:rsidR="00612B28" w:rsidRPr="00B275E2" w:rsidRDefault="00612B28" w:rsidP="007F0B1E">
      <w:pPr>
        <w:pStyle w:val="BodyText"/>
        <w:spacing w:before="240" w:after="160"/>
      </w:pPr>
      <w:r w:rsidRPr="00B275E2">
        <w:lastRenderedPageBreak/>
        <w:t>T</w:t>
      </w:r>
      <w:r w:rsidR="00563393" w:rsidRPr="00B275E2">
        <w:t>hen</w:t>
      </w:r>
      <w:r w:rsidRPr="00B275E2">
        <w:t xml:space="preserve"> calculate fuel per passenger:</w:t>
      </w:r>
    </w:p>
    <w:tbl>
      <w:tblPr>
        <w:tblStyle w:val="mfebox"/>
        <w:tblW w:w="0" w:type="auto"/>
        <w:tblBorders>
          <w:top w:val="single" w:sz="4" w:space="0" w:color="D2DDE1"/>
          <w:left w:val="single" w:sz="4" w:space="0" w:color="D2DDE1"/>
          <w:bottom w:val="single" w:sz="4" w:space="0" w:color="D2DDE1"/>
          <w:right w:val="single" w:sz="4" w:space="0" w:color="D2DDE1"/>
        </w:tblBorders>
        <w:shd w:val="clear" w:color="auto" w:fill="D2DDE1"/>
        <w:tblLook w:val="04A0" w:firstRow="1" w:lastRow="0" w:firstColumn="1" w:lastColumn="0" w:noHBand="0" w:noVBand="1"/>
      </w:tblPr>
      <w:tblGrid>
        <w:gridCol w:w="8495"/>
      </w:tblGrid>
      <w:tr w:rsidR="00563393" w:rsidRPr="00B275E2" w14:paraId="650921FB" w14:textId="77777777" w:rsidTr="00602592">
        <w:tc>
          <w:tcPr>
            <w:tcW w:w="8720" w:type="dxa"/>
            <w:shd w:val="clear" w:color="auto" w:fill="D2DDE1"/>
          </w:tcPr>
          <w:p w14:paraId="650921FA" w14:textId="026BC47B" w:rsidR="00563393" w:rsidRPr="00B275E2" w:rsidRDefault="00954B9C" w:rsidP="007F0B1E">
            <w:pPr>
              <w:pStyle w:val="Box"/>
              <w:spacing w:before="0" w:after="0"/>
              <w:ind w:left="0"/>
            </w:pPr>
            <m:oMathPara>
              <m:oMath>
                <m:f>
                  <m:fPr>
                    <m:ctrlPr>
                      <w:rPr>
                        <w:rFonts w:ascii="Cambria Math" w:hAnsi="Cambria Math"/>
                      </w:rPr>
                    </m:ctrlPr>
                  </m:fPr>
                  <m:num>
                    <m:r>
                      <w:rPr>
                        <w:rFonts w:ascii="Cambria Math" w:hAnsi="Cambria Math"/>
                      </w:rPr>
                      <m:t>average fuel</m:t>
                    </m:r>
                    <m:r>
                      <m:rPr>
                        <m:sty m:val="p"/>
                      </m:rPr>
                      <w:rPr>
                        <w:rFonts w:ascii="Cambria Math" w:hAnsi="Cambria Math"/>
                      </w:rPr>
                      <m:t xml:space="preserve"> (</m:t>
                    </m:r>
                    <m:r>
                      <w:rPr>
                        <w:rFonts w:ascii="Cambria Math" w:hAnsi="Cambria Math"/>
                      </w:rPr>
                      <m:t>kg</m:t>
                    </m:r>
                    <m:r>
                      <m:rPr>
                        <m:sty m:val="p"/>
                      </m:rPr>
                      <w:rPr>
                        <w:rFonts w:ascii="Cambria Math" w:hAnsi="Cambria Math"/>
                      </w:rPr>
                      <m:t xml:space="preserve">) </m:t>
                    </m:r>
                    <m:r>
                      <w:rPr>
                        <w:rFonts w:ascii="Cambria Math" w:hAnsi="Cambria Math"/>
                      </w:rPr>
                      <m:t>per</m:t>
                    </m:r>
                    <m:r>
                      <m:rPr>
                        <m:sty m:val="p"/>
                      </m:rPr>
                      <w:rPr>
                        <w:rFonts w:ascii="Cambria Math" w:hAnsi="Cambria Math"/>
                      </w:rPr>
                      <m:t xml:space="preserve"> </m:t>
                    </m:r>
                    <m:r>
                      <w:rPr>
                        <w:rFonts w:ascii="Cambria Math" w:hAnsi="Cambria Math"/>
                      </w:rPr>
                      <m:t>flight</m:t>
                    </m:r>
                  </m:num>
                  <m:den>
                    <m:r>
                      <w:rPr>
                        <w:rFonts w:ascii="Cambria Math" w:hAnsi="Cambria Math"/>
                      </w:rPr>
                      <m:t>average seats</m:t>
                    </m:r>
                    <m:r>
                      <m:rPr>
                        <m:sty m:val="p"/>
                      </m:rPr>
                      <w:rPr>
                        <w:rFonts w:ascii="Cambria Math" w:hAnsi="Cambria Math"/>
                      </w:rPr>
                      <m:t>×0.8</m:t>
                    </m:r>
                  </m:den>
                </m:f>
              </m:oMath>
            </m:oMathPara>
          </w:p>
        </w:tc>
      </w:tr>
    </w:tbl>
    <w:p w14:paraId="650921FD" w14:textId="2BFE406E" w:rsidR="002D1C12" w:rsidRPr="00B275E2" w:rsidRDefault="00F76EF8" w:rsidP="007F0B1E">
      <w:pPr>
        <w:pStyle w:val="Numberedparagraph"/>
        <w:numPr>
          <w:ilvl w:val="0"/>
          <w:numId w:val="0"/>
        </w:numPr>
        <w:spacing w:before="240" w:after="160"/>
      </w:pPr>
      <w:r w:rsidRPr="00B275E2">
        <w:t>Using this, next</w:t>
      </w:r>
      <w:r w:rsidR="002D1C12" w:rsidRPr="00B275E2">
        <w:t xml:space="preserve"> calculate fuel per passenger per km:</w:t>
      </w:r>
    </w:p>
    <w:tbl>
      <w:tblPr>
        <w:tblStyle w:val="mfebox"/>
        <w:tblW w:w="0" w:type="auto"/>
        <w:tblBorders>
          <w:top w:val="single" w:sz="4" w:space="0" w:color="D2DDE1"/>
          <w:left w:val="single" w:sz="4" w:space="0" w:color="D2DDE1"/>
          <w:bottom w:val="single" w:sz="4" w:space="0" w:color="D2DDE1"/>
          <w:right w:val="single" w:sz="4" w:space="0" w:color="D2DDE1"/>
        </w:tblBorders>
        <w:shd w:val="clear" w:color="auto" w:fill="D2DDE1" w:themeFill="background2"/>
        <w:tblLook w:val="04A0" w:firstRow="1" w:lastRow="0" w:firstColumn="1" w:lastColumn="0" w:noHBand="0" w:noVBand="1"/>
      </w:tblPr>
      <w:tblGrid>
        <w:gridCol w:w="8495"/>
      </w:tblGrid>
      <w:tr w:rsidR="00E05938" w:rsidRPr="00B275E2" w14:paraId="650921FF" w14:textId="77777777" w:rsidTr="00602592">
        <w:tc>
          <w:tcPr>
            <w:tcW w:w="8720" w:type="dxa"/>
            <w:shd w:val="clear" w:color="auto" w:fill="D2DDE1" w:themeFill="background2"/>
          </w:tcPr>
          <w:p w14:paraId="650921FE" w14:textId="37562E41" w:rsidR="00E05938" w:rsidRPr="00B275E2" w:rsidRDefault="00954B9C" w:rsidP="007F0B1E">
            <w:pPr>
              <w:pStyle w:val="Box"/>
              <w:spacing w:before="0" w:after="0"/>
              <w:ind w:left="0"/>
              <w:rPr>
                <w:rFonts w:asciiTheme="minorHAnsi" w:hAnsiTheme="minorHAnsi"/>
              </w:rPr>
            </w:pPr>
            <m:oMathPara>
              <m:oMath>
                <m:f>
                  <m:fPr>
                    <m:ctrlPr>
                      <w:rPr>
                        <w:rFonts w:ascii="Cambria Math" w:hAnsi="Cambria Math"/>
                      </w:rPr>
                    </m:ctrlPr>
                  </m:fPr>
                  <m:num>
                    <m:r>
                      <w:rPr>
                        <w:rFonts w:ascii="Cambria Math" w:hAnsi="Cambria Math"/>
                      </w:rPr>
                      <m:t>average fuel</m:t>
                    </m:r>
                    <m:r>
                      <m:rPr>
                        <m:sty m:val="p"/>
                      </m:rPr>
                      <w:rPr>
                        <w:rFonts w:ascii="Cambria Math" w:hAnsi="Cambria Math"/>
                      </w:rPr>
                      <m:t xml:space="preserve"> </m:t>
                    </m:r>
                    <m:d>
                      <m:dPr>
                        <m:ctrlPr>
                          <w:rPr>
                            <w:rFonts w:ascii="Cambria Math" w:hAnsi="Cambria Math"/>
                          </w:rPr>
                        </m:ctrlPr>
                      </m:dPr>
                      <m:e>
                        <m:r>
                          <w:rPr>
                            <w:rFonts w:ascii="Cambria Math" w:hAnsi="Cambria Math"/>
                          </w:rPr>
                          <m:t>kg</m:t>
                        </m:r>
                      </m:e>
                    </m:d>
                    <m:r>
                      <w:rPr>
                        <w:rFonts w:ascii="Cambria Math" w:hAnsi="Cambria Math"/>
                      </w:rPr>
                      <m:t xml:space="preserve"> per</m:t>
                    </m:r>
                    <m:r>
                      <m:rPr>
                        <m:sty m:val="p"/>
                      </m:rPr>
                      <w:rPr>
                        <w:rFonts w:ascii="Cambria Math" w:hAnsi="Cambria Math"/>
                      </w:rPr>
                      <m:t xml:space="preserve"> </m:t>
                    </m:r>
                    <m:r>
                      <w:rPr>
                        <w:rFonts w:ascii="Cambria Math" w:hAnsi="Cambria Math"/>
                      </w:rPr>
                      <m:t>passenger</m:t>
                    </m:r>
                  </m:num>
                  <m:den>
                    <m:r>
                      <w:rPr>
                        <w:rFonts w:ascii="Cambria Math" w:hAnsi="Cambria Math"/>
                      </w:rPr>
                      <m:t>average</m:t>
                    </m:r>
                    <m:r>
                      <m:rPr>
                        <m:sty m:val="p"/>
                      </m:rPr>
                      <w:rPr>
                        <w:rFonts w:ascii="Cambria Math" w:hAnsi="Cambria Math"/>
                      </w:rPr>
                      <m:t xml:space="preserve"> </m:t>
                    </m:r>
                    <m:r>
                      <w:rPr>
                        <w:rFonts w:ascii="Cambria Math" w:hAnsi="Cambria Math"/>
                      </w:rPr>
                      <m:t>flight</m:t>
                    </m:r>
                    <m:r>
                      <m:rPr>
                        <m:sty m:val="p"/>
                      </m:rPr>
                      <w:rPr>
                        <w:rFonts w:ascii="Cambria Math" w:hAnsi="Cambria Math"/>
                      </w:rPr>
                      <m:t xml:space="preserve"> </m:t>
                    </m:r>
                    <m:r>
                      <w:rPr>
                        <w:rFonts w:ascii="Cambria Math" w:hAnsi="Cambria Math"/>
                      </w:rPr>
                      <m:t>distance</m:t>
                    </m:r>
                  </m:den>
                </m:f>
              </m:oMath>
            </m:oMathPara>
          </w:p>
        </w:tc>
      </w:tr>
    </w:tbl>
    <w:p w14:paraId="65092201" w14:textId="4F3224B8" w:rsidR="0042309F" w:rsidRPr="00B275E2" w:rsidRDefault="007C72B2" w:rsidP="007F0B1E">
      <w:pPr>
        <w:pStyle w:val="BodyText"/>
        <w:spacing w:before="240"/>
      </w:pPr>
      <w:r w:rsidRPr="00B275E2">
        <w:t>The density of kerosene (the assumed aviation fuel) is 0.</w:t>
      </w:r>
      <w:r w:rsidR="00D15DE7" w:rsidRPr="00B275E2">
        <w:t>79</w:t>
      </w:r>
      <w:r w:rsidR="009D3BC4" w:rsidRPr="00B275E2">
        <w:t xml:space="preserve"> kg/l</w:t>
      </w:r>
      <w:r w:rsidR="009B64D6" w:rsidRPr="00B275E2">
        <w:t>.</w:t>
      </w:r>
      <w:r w:rsidR="00344735" w:rsidRPr="00B275E2">
        <w:rPr>
          <w:rStyle w:val="FootnoteReference"/>
        </w:rPr>
        <w:footnoteReference w:id="42"/>
      </w:r>
    </w:p>
    <w:p w14:paraId="3319E9E0" w14:textId="1626B0E7" w:rsidR="00772128" w:rsidRPr="00B275E2" w:rsidRDefault="00772128" w:rsidP="007F0B1E">
      <w:pPr>
        <w:pStyle w:val="BodyText"/>
      </w:pPr>
      <w:r w:rsidRPr="00B275E2">
        <w:t>Tables 4</w:t>
      </w:r>
      <w:r w:rsidR="007728DC">
        <w:t>2</w:t>
      </w:r>
      <w:r w:rsidRPr="00B275E2">
        <w:t xml:space="preserve"> and 4</w:t>
      </w:r>
      <w:r w:rsidR="007728DC">
        <w:t>3</w:t>
      </w:r>
      <w:r w:rsidRPr="00B275E2">
        <w:t xml:space="preserve"> provide the</w:t>
      </w:r>
      <w:r w:rsidR="001F0ACA">
        <w:t xml:space="preserve"> average</w:t>
      </w:r>
      <w:r w:rsidRPr="00B275E2">
        <w:t xml:space="preserve"> fuel and passenger data </w:t>
      </w:r>
      <w:r w:rsidR="001F0ACA">
        <w:t>from 2016,</w:t>
      </w:r>
      <w:r w:rsidRPr="00B275E2">
        <w:t xml:space="preserve"> 2019 and 2020 used to calculate the</w:t>
      </w:r>
      <w:r w:rsidR="00602592" w:rsidRPr="00B275E2">
        <w:t> </w:t>
      </w:r>
      <w:r w:rsidRPr="00B275E2">
        <w:t>emission factor</w:t>
      </w:r>
      <w:r w:rsidR="007244C4" w:rsidRPr="00B275E2">
        <w:t>s</w:t>
      </w:r>
      <w:r w:rsidRPr="00B275E2">
        <w:t>.</w:t>
      </w:r>
      <w:r w:rsidR="009710BA" w:rsidRPr="00B275E2">
        <w:t xml:space="preserve"> </w:t>
      </w:r>
    </w:p>
    <w:p w14:paraId="3BC0805F" w14:textId="7FE7C621" w:rsidR="00EE23CA" w:rsidRPr="00EE23CA" w:rsidRDefault="00EE23CA" w:rsidP="00EE23CA">
      <w:pPr>
        <w:pStyle w:val="Tableheading"/>
      </w:pPr>
      <w:bookmarkStart w:id="422" w:name="_Ref529839703"/>
      <w:bookmarkStart w:id="423" w:name="_Toc58790877"/>
      <w:bookmarkStart w:id="424" w:name="_Toc111536647"/>
      <w:r w:rsidRPr="00B275E2">
        <w:t xml:space="preserve">Table </w:t>
      </w:r>
      <w:r w:rsidRPr="00B275E2">
        <w:fldChar w:fldCharType="begin"/>
      </w:r>
      <w:r w:rsidRPr="00B275E2">
        <w:instrText>SEQ Table \* ARABIC</w:instrText>
      </w:r>
      <w:r w:rsidRPr="00B275E2">
        <w:fldChar w:fldCharType="separate"/>
      </w:r>
      <w:r>
        <w:rPr>
          <w:noProof/>
        </w:rPr>
        <w:t>42</w:t>
      </w:r>
      <w:r w:rsidRPr="00B275E2">
        <w:fldChar w:fldCharType="end"/>
      </w:r>
      <w:r w:rsidRPr="00B275E2">
        <w:t>:</w:t>
      </w:r>
      <w:r w:rsidRPr="00B275E2">
        <w:tab/>
      </w:r>
      <w:bookmarkEnd w:id="422"/>
      <w:bookmarkEnd w:id="423"/>
      <w:r w:rsidR="004D4C1C">
        <w:t>Average fuel and passenger data for 2019</w:t>
      </w:r>
      <w:bookmarkEnd w:id="424"/>
    </w:p>
    <w:tbl>
      <w:tblPr>
        <w:tblStyle w:val="LightList-Accent2"/>
        <w:tblW w:w="8505" w:type="dxa"/>
        <w:tblBorders>
          <w:top w:val="single" w:sz="4" w:space="0" w:color="1C556C" w:themeColor="accent1"/>
          <w:left w:val="none" w:sz="0" w:space="0" w:color="auto"/>
          <w:right w:val="none" w:sz="0" w:space="0" w:color="auto"/>
          <w:insideH w:val="single" w:sz="8" w:space="0" w:color="32809C" w:themeColor="accent2"/>
          <w:insideV w:val="single" w:sz="4" w:space="0" w:color="1C556C" w:themeColor="accent1"/>
        </w:tblBorders>
        <w:tblLayout w:type="fixed"/>
        <w:tblLook w:val="04A0" w:firstRow="1" w:lastRow="0" w:firstColumn="1" w:lastColumn="0" w:noHBand="0" w:noVBand="1"/>
      </w:tblPr>
      <w:tblGrid>
        <w:gridCol w:w="2608"/>
        <w:gridCol w:w="993"/>
        <w:gridCol w:w="1179"/>
        <w:gridCol w:w="1242"/>
        <w:gridCol w:w="1179"/>
        <w:gridCol w:w="1304"/>
      </w:tblGrid>
      <w:tr w:rsidR="007728DC" w:rsidRPr="00B34BB5" w14:paraId="7D0075EC" w14:textId="77777777" w:rsidTr="00D31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8" w:type="dxa"/>
            <w:tcBorders>
              <w:bottom w:val="single" w:sz="8" w:space="0" w:color="32809C" w:themeColor="accent2"/>
            </w:tcBorders>
            <w:shd w:val="clear" w:color="auto" w:fill="1C556C" w:themeFill="accent1"/>
            <w:vAlign w:val="bottom"/>
          </w:tcPr>
          <w:p w14:paraId="1A473AD2" w14:textId="77777777" w:rsidR="007728DC" w:rsidRPr="00B34BB5" w:rsidRDefault="007728DC" w:rsidP="00D31805">
            <w:pPr>
              <w:pStyle w:val="TableText"/>
            </w:pPr>
            <w:r w:rsidRPr="00B34BB5">
              <w:t>Aircraft type</w:t>
            </w:r>
          </w:p>
        </w:tc>
        <w:tc>
          <w:tcPr>
            <w:tcW w:w="993" w:type="dxa"/>
            <w:shd w:val="clear" w:color="auto" w:fill="1C556C" w:themeFill="accent1"/>
            <w:vAlign w:val="bottom"/>
          </w:tcPr>
          <w:p w14:paraId="39A84A34" w14:textId="77777777" w:rsidR="007728DC" w:rsidRPr="00B34BB5" w:rsidRDefault="007728DC" w:rsidP="00D31805">
            <w:pPr>
              <w:pStyle w:val="TableText"/>
              <w:jc w:val="right"/>
              <w:cnfStyle w:val="100000000000" w:firstRow="1" w:lastRow="0" w:firstColumn="0" w:lastColumn="0" w:oddVBand="0" w:evenVBand="0" w:oddHBand="0" w:evenHBand="0" w:firstRowFirstColumn="0" w:firstRowLastColumn="0" w:lastRowFirstColumn="0" w:lastRowLastColumn="0"/>
            </w:pPr>
            <w:r w:rsidRPr="00B34BB5">
              <w:t>Fuel (kg) per flight</w:t>
            </w:r>
          </w:p>
        </w:tc>
        <w:tc>
          <w:tcPr>
            <w:tcW w:w="1179" w:type="dxa"/>
            <w:shd w:val="clear" w:color="auto" w:fill="1C556C" w:themeFill="accent1"/>
            <w:vAlign w:val="bottom"/>
          </w:tcPr>
          <w:p w14:paraId="08338469" w14:textId="77777777" w:rsidR="007728DC" w:rsidRPr="00B34BB5" w:rsidRDefault="007728DC" w:rsidP="00D31805">
            <w:pPr>
              <w:pStyle w:val="TableText"/>
              <w:jc w:val="right"/>
              <w:cnfStyle w:val="100000000000" w:firstRow="1" w:lastRow="0" w:firstColumn="0" w:lastColumn="0" w:oddVBand="0" w:evenVBand="0" w:oddHBand="0" w:evenHBand="0" w:firstRowFirstColumn="0" w:firstRowLastColumn="0" w:lastRowFirstColumn="0" w:lastRowLastColumn="0"/>
            </w:pPr>
            <w:r w:rsidRPr="00B34BB5">
              <w:t>Assumed passengers per flight</w:t>
            </w:r>
          </w:p>
        </w:tc>
        <w:tc>
          <w:tcPr>
            <w:tcW w:w="1242" w:type="dxa"/>
            <w:shd w:val="clear" w:color="auto" w:fill="1C556C" w:themeFill="accent1"/>
            <w:vAlign w:val="bottom"/>
          </w:tcPr>
          <w:p w14:paraId="3B6B699D" w14:textId="77777777" w:rsidR="007728DC" w:rsidRPr="00B34BB5" w:rsidRDefault="007728DC" w:rsidP="00D31805">
            <w:pPr>
              <w:pStyle w:val="TableText"/>
              <w:jc w:val="right"/>
              <w:cnfStyle w:val="100000000000" w:firstRow="1" w:lastRow="0" w:firstColumn="0" w:lastColumn="0" w:oddVBand="0" w:evenVBand="0" w:oddHBand="0" w:evenHBand="0" w:firstRowFirstColumn="0" w:firstRowLastColumn="0" w:lastRowFirstColumn="0" w:lastRowLastColumn="0"/>
            </w:pPr>
            <w:r w:rsidRPr="00B34BB5">
              <w:t>Fuel (kg) per passenger</w:t>
            </w:r>
          </w:p>
        </w:tc>
        <w:tc>
          <w:tcPr>
            <w:tcW w:w="1179" w:type="dxa"/>
            <w:shd w:val="clear" w:color="auto" w:fill="1C556C" w:themeFill="accent1"/>
            <w:vAlign w:val="bottom"/>
          </w:tcPr>
          <w:p w14:paraId="22BF9217" w14:textId="77777777" w:rsidR="007728DC" w:rsidRPr="00B34BB5" w:rsidRDefault="007728DC" w:rsidP="00D31805">
            <w:pPr>
              <w:pStyle w:val="TableText"/>
              <w:jc w:val="right"/>
              <w:cnfStyle w:val="100000000000" w:firstRow="1" w:lastRow="0" w:firstColumn="0" w:lastColumn="0" w:oddVBand="0" w:evenVBand="0" w:oddHBand="0" w:evenHBand="0" w:firstRowFirstColumn="0" w:firstRowLastColumn="0" w:lastRowFirstColumn="0" w:lastRowLastColumn="0"/>
            </w:pPr>
            <w:r w:rsidRPr="00B34BB5">
              <w:t>Fuel (kg) per passenger per km</w:t>
            </w:r>
          </w:p>
        </w:tc>
        <w:tc>
          <w:tcPr>
            <w:tcW w:w="1304" w:type="dxa"/>
            <w:tcBorders>
              <w:bottom w:val="single" w:sz="8" w:space="0" w:color="32809C" w:themeColor="accent2"/>
            </w:tcBorders>
            <w:shd w:val="clear" w:color="auto" w:fill="1C556C" w:themeFill="accent1"/>
            <w:vAlign w:val="bottom"/>
          </w:tcPr>
          <w:p w14:paraId="2A543EF8" w14:textId="77777777" w:rsidR="007728DC" w:rsidRPr="00B34BB5" w:rsidDel="00C6698A" w:rsidRDefault="007728DC" w:rsidP="00D31805">
            <w:pPr>
              <w:pStyle w:val="TableText"/>
              <w:jc w:val="right"/>
              <w:cnfStyle w:val="100000000000" w:firstRow="1" w:lastRow="0" w:firstColumn="0" w:lastColumn="0" w:oddVBand="0" w:evenVBand="0" w:oddHBand="0" w:evenHBand="0" w:firstRowFirstColumn="0" w:firstRowLastColumn="0" w:lastRowFirstColumn="0" w:lastRowLastColumn="0"/>
            </w:pPr>
            <w:r w:rsidRPr="00B34BB5">
              <w:t>Fuel (litres) per passenger per km</w:t>
            </w:r>
          </w:p>
        </w:tc>
      </w:tr>
      <w:tr w:rsidR="007728DC" w:rsidRPr="00B34BB5" w14:paraId="09B1C7EF" w14:textId="77777777" w:rsidTr="00D3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8" w:type="dxa"/>
            <w:tcBorders>
              <w:left w:val="nil"/>
            </w:tcBorders>
          </w:tcPr>
          <w:p w14:paraId="15B8EA07" w14:textId="77777777" w:rsidR="007728DC" w:rsidRPr="00B34BB5" w:rsidRDefault="007728DC" w:rsidP="00D31805">
            <w:pPr>
              <w:pStyle w:val="TableText"/>
            </w:pPr>
            <w:r w:rsidRPr="00B34BB5" w:rsidDel="002827AE">
              <w:rPr>
                <w:b w:val="0"/>
              </w:rPr>
              <w:t>Airbus A320</w:t>
            </w:r>
            <w:r>
              <w:rPr>
                <w:b w:val="0"/>
              </w:rPr>
              <w:t>*</w:t>
            </w:r>
          </w:p>
        </w:tc>
        <w:tc>
          <w:tcPr>
            <w:tcW w:w="993" w:type="dxa"/>
            <w:shd w:val="clear" w:color="auto" w:fill="auto"/>
          </w:tcPr>
          <w:p w14:paraId="71F6DBCB" w14:textId="77777777" w:rsidR="007728DC" w:rsidRPr="00B34BB5" w:rsidRDefault="007728DC" w:rsidP="00D31805">
            <w:pPr>
              <w:pStyle w:val="TableText"/>
              <w:jc w:val="right"/>
              <w:cnfStyle w:val="000000100000" w:firstRow="0" w:lastRow="0" w:firstColumn="0" w:lastColumn="0" w:oddVBand="0" w:evenVBand="0" w:oddHBand="1" w:evenHBand="0" w:firstRowFirstColumn="0" w:firstRowLastColumn="0" w:lastRowFirstColumn="0" w:lastRowLastColumn="0"/>
            </w:pPr>
            <w:r>
              <w:t>2,933.78</w:t>
            </w:r>
            <w:r w:rsidRPr="00B34BB5" w:rsidDel="002827AE">
              <w:t xml:space="preserve"> </w:t>
            </w:r>
          </w:p>
        </w:tc>
        <w:tc>
          <w:tcPr>
            <w:tcW w:w="1179" w:type="dxa"/>
            <w:shd w:val="clear" w:color="auto" w:fill="auto"/>
          </w:tcPr>
          <w:p w14:paraId="265ADF01" w14:textId="77777777" w:rsidR="007728DC" w:rsidRPr="00B34BB5" w:rsidRDefault="007728DC" w:rsidP="00D31805">
            <w:pPr>
              <w:pStyle w:val="TableText"/>
              <w:jc w:val="right"/>
              <w:cnfStyle w:val="000000100000" w:firstRow="0" w:lastRow="0" w:firstColumn="0" w:lastColumn="0" w:oddVBand="0" w:evenVBand="0" w:oddHBand="1" w:evenHBand="0" w:firstRowFirstColumn="0" w:firstRowLastColumn="0" w:lastRowFirstColumn="0" w:lastRowLastColumn="0"/>
            </w:pPr>
            <w:r w:rsidRPr="00B34BB5" w:rsidDel="002827AE">
              <w:t>1</w:t>
            </w:r>
            <w:r>
              <w:t>48.5</w:t>
            </w:r>
          </w:p>
        </w:tc>
        <w:tc>
          <w:tcPr>
            <w:tcW w:w="1242" w:type="dxa"/>
            <w:shd w:val="clear" w:color="auto" w:fill="auto"/>
          </w:tcPr>
          <w:p w14:paraId="0729DE57" w14:textId="77777777" w:rsidR="007728DC" w:rsidRPr="00B34BB5" w:rsidRDefault="007728DC" w:rsidP="00D31805">
            <w:pPr>
              <w:pStyle w:val="TableText"/>
              <w:jc w:val="right"/>
              <w:cnfStyle w:val="000000100000" w:firstRow="0" w:lastRow="0" w:firstColumn="0" w:lastColumn="0" w:oddVBand="0" w:evenVBand="0" w:oddHBand="1" w:evenHBand="0" w:firstRowFirstColumn="0" w:firstRowLastColumn="0" w:lastRowFirstColumn="0" w:lastRowLastColumn="0"/>
            </w:pPr>
            <w:r>
              <w:t>19.906</w:t>
            </w:r>
          </w:p>
        </w:tc>
        <w:tc>
          <w:tcPr>
            <w:tcW w:w="1179" w:type="dxa"/>
            <w:shd w:val="clear" w:color="auto" w:fill="auto"/>
          </w:tcPr>
          <w:p w14:paraId="6C437330" w14:textId="77777777" w:rsidR="007728DC" w:rsidRPr="00B34BB5" w:rsidRDefault="007728DC" w:rsidP="00D31805">
            <w:pPr>
              <w:pStyle w:val="TableText"/>
              <w:jc w:val="right"/>
              <w:cnfStyle w:val="000000100000" w:firstRow="0" w:lastRow="0" w:firstColumn="0" w:lastColumn="0" w:oddVBand="0" w:evenVBand="0" w:oddHBand="1" w:evenHBand="0" w:firstRowFirstColumn="0" w:firstRowLastColumn="0" w:lastRowFirstColumn="0" w:lastRowLastColumn="0"/>
            </w:pPr>
            <w:r>
              <w:t>0.0305</w:t>
            </w:r>
          </w:p>
        </w:tc>
        <w:tc>
          <w:tcPr>
            <w:tcW w:w="1304" w:type="dxa"/>
            <w:tcBorders>
              <w:right w:val="nil"/>
            </w:tcBorders>
          </w:tcPr>
          <w:p w14:paraId="72A6F27E" w14:textId="77777777" w:rsidR="007728DC" w:rsidRPr="00B34BB5" w:rsidRDefault="007728DC" w:rsidP="00D31805">
            <w:pPr>
              <w:pStyle w:val="TableText"/>
              <w:jc w:val="right"/>
              <w:cnfStyle w:val="000000100000" w:firstRow="0" w:lastRow="0" w:firstColumn="0" w:lastColumn="0" w:oddVBand="0" w:evenVBand="0" w:oddHBand="1" w:evenHBand="0" w:firstRowFirstColumn="0" w:firstRowLastColumn="0" w:lastRowFirstColumn="0" w:lastRowLastColumn="0"/>
            </w:pPr>
            <w:r>
              <w:t>0.0331</w:t>
            </w:r>
          </w:p>
        </w:tc>
      </w:tr>
      <w:tr w:rsidR="007728DC" w:rsidRPr="00B34BB5" w14:paraId="31F79155" w14:textId="77777777" w:rsidTr="00D31805">
        <w:tc>
          <w:tcPr>
            <w:cnfStyle w:val="001000000000" w:firstRow="0" w:lastRow="0" w:firstColumn="1" w:lastColumn="0" w:oddVBand="0" w:evenVBand="0" w:oddHBand="0" w:evenHBand="0" w:firstRowFirstColumn="0" w:firstRowLastColumn="0" w:lastRowFirstColumn="0" w:lastRowLastColumn="0"/>
            <w:tcW w:w="2608" w:type="dxa"/>
            <w:tcBorders>
              <w:left w:val="nil"/>
            </w:tcBorders>
          </w:tcPr>
          <w:p w14:paraId="044FCE8E" w14:textId="77777777" w:rsidR="007728DC" w:rsidRPr="00B34BB5" w:rsidRDefault="007728DC" w:rsidP="00D31805">
            <w:pPr>
              <w:pStyle w:val="TableText"/>
            </w:pPr>
            <w:r w:rsidRPr="00B34BB5" w:rsidDel="002827AE">
              <w:rPr>
                <w:b w:val="0"/>
              </w:rPr>
              <w:t>Aerospatiale/Alenia ATR 72</w:t>
            </w:r>
            <w:r>
              <w:rPr>
                <w:b w:val="0"/>
              </w:rPr>
              <w:t>*</w:t>
            </w:r>
          </w:p>
        </w:tc>
        <w:tc>
          <w:tcPr>
            <w:tcW w:w="993" w:type="dxa"/>
            <w:shd w:val="clear" w:color="auto" w:fill="auto"/>
          </w:tcPr>
          <w:p w14:paraId="04B3CFF1" w14:textId="77777777" w:rsidR="007728DC" w:rsidRPr="00B34BB5" w:rsidRDefault="007728DC" w:rsidP="00D31805">
            <w:pPr>
              <w:pStyle w:val="TableText"/>
              <w:jc w:val="right"/>
              <w:cnfStyle w:val="000000000000" w:firstRow="0" w:lastRow="0" w:firstColumn="0" w:lastColumn="0" w:oddVBand="0" w:evenVBand="0" w:oddHBand="0" w:evenHBand="0" w:firstRowFirstColumn="0" w:firstRowLastColumn="0" w:lastRowFirstColumn="0" w:lastRowLastColumn="0"/>
            </w:pPr>
            <w:r w:rsidRPr="00B34BB5" w:rsidDel="002827AE">
              <w:t>7</w:t>
            </w:r>
            <w:r>
              <w:t>56.72</w:t>
            </w:r>
            <w:r w:rsidRPr="00B34BB5" w:rsidDel="002827AE">
              <w:t xml:space="preserve"> </w:t>
            </w:r>
          </w:p>
        </w:tc>
        <w:tc>
          <w:tcPr>
            <w:tcW w:w="1179" w:type="dxa"/>
            <w:shd w:val="clear" w:color="auto" w:fill="auto"/>
          </w:tcPr>
          <w:p w14:paraId="013D066E" w14:textId="77777777" w:rsidR="007728DC" w:rsidRPr="00B34BB5" w:rsidRDefault="007728DC" w:rsidP="00D31805">
            <w:pPr>
              <w:pStyle w:val="TableText"/>
              <w:jc w:val="right"/>
              <w:cnfStyle w:val="000000000000" w:firstRow="0" w:lastRow="0" w:firstColumn="0" w:lastColumn="0" w:oddVBand="0" w:evenVBand="0" w:oddHBand="0" w:evenHBand="0" w:firstRowFirstColumn="0" w:firstRowLastColumn="0" w:lastRowFirstColumn="0" w:lastRowLastColumn="0"/>
            </w:pPr>
            <w:r w:rsidRPr="00B34BB5" w:rsidDel="002827AE">
              <w:t>5</w:t>
            </w:r>
            <w:r>
              <w:t>5.4</w:t>
            </w:r>
          </w:p>
        </w:tc>
        <w:tc>
          <w:tcPr>
            <w:tcW w:w="1242" w:type="dxa"/>
            <w:shd w:val="clear" w:color="auto" w:fill="auto"/>
          </w:tcPr>
          <w:p w14:paraId="1D2C4E14" w14:textId="77777777" w:rsidR="007728DC" w:rsidRPr="00B34BB5" w:rsidRDefault="007728DC" w:rsidP="00D31805">
            <w:pPr>
              <w:pStyle w:val="TableText"/>
              <w:jc w:val="right"/>
              <w:cnfStyle w:val="000000000000" w:firstRow="0" w:lastRow="0" w:firstColumn="0" w:lastColumn="0" w:oddVBand="0" w:evenVBand="0" w:oddHBand="0" w:evenHBand="0" w:firstRowFirstColumn="0" w:firstRowLastColumn="0" w:lastRowFirstColumn="0" w:lastRowLastColumn="0"/>
            </w:pPr>
            <w:r>
              <w:t>13.67</w:t>
            </w:r>
          </w:p>
        </w:tc>
        <w:tc>
          <w:tcPr>
            <w:tcW w:w="1179" w:type="dxa"/>
            <w:shd w:val="clear" w:color="auto" w:fill="auto"/>
          </w:tcPr>
          <w:p w14:paraId="47BC1DDF" w14:textId="77777777" w:rsidR="007728DC" w:rsidRPr="00B34BB5" w:rsidRDefault="007728DC" w:rsidP="00D31805">
            <w:pPr>
              <w:pStyle w:val="TableText"/>
              <w:jc w:val="right"/>
              <w:cnfStyle w:val="000000000000" w:firstRow="0" w:lastRow="0" w:firstColumn="0" w:lastColumn="0" w:oddVBand="0" w:evenVBand="0" w:oddHBand="0" w:evenHBand="0" w:firstRowFirstColumn="0" w:firstRowLastColumn="0" w:lastRowFirstColumn="0" w:lastRowLastColumn="0"/>
            </w:pPr>
            <w:r>
              <w:t>0.</w:t>
            </w:r>
            <w:r w:rsidRPr="00B34BB5" w:rsidDel="002827AE">
              <w:t>0</w:t>
            </w:r>
            <w:r>
              <w:t>346</w:t>
            </w:r>
          </w:p>
        </w:tc>
        <w:tc>
          <w:tcPr>
            <w:tcW w:w="1304" w:type="dxa"/>
            <w:tcBorders>
              <w:right w:val="nil"/>
            </w:tcBorders>
          </w:tcPr>
          <w:p w14:paraId="16D2D9BB" w14:textId="77777777" w:rsidR="007728DC" w:rsidRPr="00B34BB5" w:rsidRDefault="007728DC" w:rsidP="00D31805">
            <w:pPr>
              <w:pStyle w:val="TableText"/>
              <w:jc w:val="right"/>
              <w:cnfStyle w:val="000000000000" w:firstRow="0" w:lastRow="0" w:firstColumn="0" w:lastColumn="0" w:oddVBand="0" w:evenVBand="0" w:oddHBand="0" w:evenHBand="0" w:firstRowFirstColumn="0" w:firstRowLastColumn="0" w:lastRowFirstColumn="0" w:lastRowLastColumn="0"/>
            </w:pPr>
            <w:r>
              <w:t>0.</w:t>
            </w:r>
            <w:r w:rsidRPr="00B34BB5" w:rsidDel="002827AE">
              <w:t>0</w:t>
            </w:r>
            <w:r>
              <w:t>326</w:t>
            </w:r>
          </w:p>
        </w:tc>
      </w:tr>
      <w:tr w:rsidR="007728DC" w:rsidRPr="00B34BB5" w14:paraId="4C492A73" w14:textId="77777777" w:rsidTr="00D3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8" w:type="dxa"/>
            <w:tcBorders>
              <w:left w:val="nil"/>
            </w:tcBorders>
          </w:tcPr>
          <w:p w14:paraId="018F3EC7" w14:textId="77777777" w:rsidR="007728DC" w:rsidRPr="00B34BB5" w:rsidRDefault="007728DC" w:rsidP="00D31805">
            <w:pPr>
              <w:pStyle w:val="TableText"/>
            </w:pPr>
            <w:r w:rsidRPr="00B34BB5" w:rsidDel="002827AE">
              <w:rPr>
                <w:b w:val="0"/>
              </w:rPr>
              <w:t>British Aerospace Jetstream 32</w:t>
            </w:r>
          </w:p>
        </w:tc>
        <w:tc>
          <w:tcPr>
            <w:tcW w:w="993" w:type="dxa"/>
            <w:shd w:val="clear" w:color="auto" w:fill="auto"/>
          </w:tcPr>
          <w:p w14:paraId="6F68040C" w14:textId="77777777" w:rsidR="007728DC" w:rsidRPr="00B34BB5" w:rsidRDefault="007728DC" w:rsidP="00D31805">
            <w:pPr>
              <w:pStyle w:val="TableText"/>
              <w:jc w:val="right"/>
              <w:cnfStyle w:val="000000100000" w:firstRow="0" w:lastRow="0" w:firstColumn="0" w:lastColumn="0" w:oddVBand="0" w:evenVBand="0" w:oddHBand="1" w:evenHBand="0" w:firstRowFirstColumn="0" w:firstRowLastColumn="0" w:lastRowFirstColumn="0" w:lastRowLastColumn="0"/>
            </w:pPr>
            <w:r w:rsidRPr="00B34BB5" w:rsidDel="002827AE">
              <w:t xml:space="preserve">291.84 </w:t>
            </w:r>
          </w:p>
        </w:tc>
        <w:tc>
          <w:tcPr>
            <w:tcW w:w="1179" w:type="dxa"/>
            <w:shd w:val="clear" w:color="auto" w:fill="auto"/>
          </w:tcPr>
          <w:p w14:paraId="04704390" w14:textId="77777777" w:rsidR="007728DC" w:rsidRPr="00B34BB5" w:rsidRDefault="007728DC" w:rsidP="00D31805">
            <w:pPr>
              <w:pStyle w:val="TableText"/>
              <w:jc w:val="right"/>
              <w:cnfStyle w:val="000000100000" w:firstRow="0" w:lastRow="0" w:firstColumn="0" w:lastColumn="0" w:oddVBand="0" w:evenVBand="0" w:oddHBand="1" w:evenHBand="0" w:firstRowFirstColumn="0" w:firstRowLastColumn="0" w:lastRowFirstColumn="0" w:lastRowLastColumn="0"/>
            </w:pPr>
            <w:r w:rsidRPr="00B34BB5" w:rsidDel="002827AE">
              <w:t>15.2</w:t>
            </w:r>
          </w:p>
        </w:tc>
        <w:tc>
          <w:tcPr>
            <w:tcW w:w="1242" w:type="dxa"/>
            <w:shd w:val="clear" w:color="auto" w:fill="auto"/>
          </w:tcPr>
          <w:p w14:paraId="61DCAC6C" w14:textId="77777777" w:rsidR="007728DC" w:rsidRPr="00B34BB5" w:rsidRDefault="007728DC" w:rsidP="00D31805">
            <w:pPr>
              <w:pStyle w:val="TableText"/>
              <w:jc w:val="right"/>
              <w:cnfStyle w:val="000000100000" w:firstRow="0" w:lastRow="0" w:firstColumn="0" w:lastColumn="0" w:oddVBand="0" w:evenVBand="0" w:oddHBand="1" w:evenHBand="0" w:firstRowFirstColumn="0" w:firstRowLastColumn="0" w:lastRowFirstColumn="0" w:lastRowLastColumn="0"/>
            </w:pPr>
            <w:r w:rsidRPr="00B34BB5" w:rsidDel="002827AE">
              <w:t>19.200</w:t>
            </w:r>
          </w:p>
        </w:tc>
        <w:tc>
          <w:tcPr>
            <w:tcW w:w="1179" w:type="dxa"/>
            <w:shd w:val="clear" w:color="auto" w:fill="auto"/>
          </w:tcPr>
          <w:p w14:paraId="69CFA584" w14:textId="77777777" w:rsidR="007728DC" w:rsidRPr="00B34BB5" w:rsidRDefault="007728DC" w:rsidP="00D31805">
            <w:pPr>
              <w:pStyle w:val="TableText"/>
              <w:jc w:val="right"/>
              <w:cnfStyle w:val="000000100000" w:firstRow="0" w:lastRow="0" w:firstColumn="0" w:lastColumn="0" w:oddVBand="0" w:evenVBand="0" w:oddHBand="1" w:evenHBand="0" w:firstRowFirstColumn="0" w:firstRowLastColumn="0" w:lastRowFirstColumn="0" w:lastRowLastColumn="0"/>
            </w:pPr>
            <w:r>
              <w:t>0.</w:t>
            </w:r>
            <w:r w:rsidRPr="00B34BB5" w:rsidDel="002827AE">
              <w:t>1144</w:t>
            </w:r>
          </w:p>
        </w:tc>
        <w:tc>
          <w:tcPr>
            <w:tcW w:w="1304" w:type="dxa"/>
            <w:tcBorders>
              <w:right w:val="nil"/>
            </w:tcBorders>
          </w:tcPr>
          <w:p w14:paraId="5E0DA393" w14:textId="77777777" w:rsidR="007728DC" w:rsidRPr="00B34BB5" w:rsidRDefault="007728DC" w:rsidP="00D31805">
            <w:pPr>
              <w:pStyle w:val="TableText"/>
              <w:jc w:val="right"/>
              <w:cnfStyle w:val="000000100000" w:firstRow="0" w:lastRow="0" w:firstColumn="0" w:lastColumn="0" w:oddVBand="0" w:evenVBand="0" w:oddHBand="1" w:evenHBand="0" w:firstRowFirstColumn="0" w:firstRowLastColumn="0" w:lastRowFirstColumn="0" w:lastRowLastColumn="0"/>
            </w:pPr>
            <w:r>
              <w:t>0.</w:t>
            </w:r>
            <w:r w:rsidRPr="00B34BB5" w:rsidDel="002827AE">
              <w:t>0727</w:t>
            </w:r>
          </w:p>
        </w:tc>
      </w:tr>
      <w:tr w:rsidR="007728DC" w:rsidRPr="00B34BB5" w14:paraId="53D84496" w14:textId="77777777" w:rsidTr="00D31805">
        <w:tc>
          <w:tcPr>
            <w:cnfStyle w:val="001000000000" w:firstRow="0" w:lastRow="0" w:firstColumn="1" w:lastColumn="0" w:oddVBand="0" w:evenVBand="0" w:oddHBand="0" w:evenHBand="0" w:firstRowFirstColumn="0" w:firstRowLastColumn="0" w:lastRowFirstColumn="0" w:lastRowLastColumn="0"/>
            <w:tcW w:w="2608" w:type="dxa"/>
            <w:tcBorders>
              <w:left w:val="nil"/>
            </w:tcBorders>
          </w:tcPr>
          <w:p w14:paraId="2DEE54C5" w14:textId="77777777" w:rsidR="007728DC" w:rsidRPr="00B34BB5" w:rsidRDefault="007728DC" w:rsidP="00D31805">
            <w:pPr>
              <w:pStyle w:val="TableText"/>
            </w:pPr>
            <w:r w:rsidRPr="00B34BB5" w:rsidDel="002827AE">
              <w:rPr>
                <w:b w:val="0"/>
              </w:rPr>
              <w:t>Beechcraft Beech 1900D</w:t>
            </w:r>
          </w:p>
        </w:tc>
        <w:tc>
          <w:tcPr>
            <w:tcW w:w="993" w:type="dxa"/>
            <w:shd w:val="clear" w:color="auto" w:fill="auto"/>
          </w:tcPr>
          <w:p w14:paraId="2B36DEFC" w14:textId="77777777" w:rsidR="007728DC" w:rsidRPr="00B34BB5" w:rsidRDefault="007728DC" w:rsidP="00D31805">
            <w:pPr>
              <w:pStyle w:val="TableText"/>
              <w:jc w:val="right"/>
              <w:cnfStyle w:val="000000000000" w:firstRow="0" w:lastRow="0" w:firstColumn="0" w:lastColumn="0" w:oddVBand="0" w:evenVBand="0" w:oddHBand="0" w:evenHBand="0" w:firstRowFirstColumn="0" w:firstRowLastColumn="0" w:lastRowFirstColumn="0" w:lastRowLastColumn="0"/>
            </w:pPr>
            <w:r w:rsidRPr="00B34BB5" w:rsidDel="002827AE">
              <w:t xml:space="preserve">342.92 </w:t>
            </w:r>
          </w:p>
        </w:tc>
        <w:tc>
          <w:tcPr>
            <w:tcW w:w="1179" w:type="dxa"/>
            <w:shd w:val="clear" w:color="auto" w:fill="auto"/>
          </w:tcPr>
          <w:p w14:paraId="73154615" w14:textId="77777777" w:rsidR="007728DC" w:rsidRPr="00B34BB5" w:rsidRDefault="007728DC" w:rsidP="00D31805">
            <w:pPr>
              <w:pStyle w:val="TableText"/>
              <w:jc w:val="right"/>
              <w:cnfStyle w:val="000000000000" w:firstRow="0" w:lastRow="0" w:firstColumn="0" w:lastColumn="0" w:oddVBand="0" w:evenVBand="0" w:oddHBand="0" w:evenHBand="0" w:firstRowFirstColumn="0" w:firstRowLastColumn="0" w:lastRowFirstColumn="0" w:lastRowLastColumn="0"/>
            </w:pPr>
            <w:r w:rsidRPr="00B34BB5" w:rsidDel="002827AE">
              <w:t>15.2</w:t>
            </w:r>
          </w:p>
        </w:tc>
        <w:tc>
          <w:tcPr>
            <w:tcW w:w="1242" w:type="dxa"/>
            <w:shd w:val="clear" w:color="auto" w:fill="auto"/>
          </w:tcPr>
          <w:p w14:paraId="122E79FC" w14:textId="77777777" w:rsidR="007728DC" w:rsidRPr="00B34BB5" w:rsidRDefault="007728DC" w:rsidP="00D31805">
            <w:pPr>
              <w:pStyle w:val="TableText"/>
              <w:jc w:val="right"/>
              <w:cnfStyle w:val="000000000000" w:firstRow="0" w:lastRow="0" w:firstColumn="0" w:lastColumn="0" w:oddVBand="0" w:evenVBand="0" w:oddHBand="0" w:evenHBand="0" w:firstRowFirstColumn="0" w:firstRowLastColumn="0" w:lastRowFirstColumn="0" w:lastRowLastColumn="0"/>
            </w:pPr>
            <w:r w:rsidRPr="00B34BB5" w:rsidDel="002827AE">
              <w:t>22.561</w:t>
            </w:r>
          </w:p>
        </w:tc>
        <w:tc>
          <w:tcPr>
            <w:tcW w:w="1179" w:type="dxa"/>
            <w:shd w:val="clear" w:color="auto" w:fill="auto"/>
          </w:tcPr>
          <w:p w14:paraId="1C0A70D2" w14:textId="77777777" w:rsidR="007728DC" w:rsidRPr="00B34BB5" w:rsidRDefault="007728DC" w:rsidP="00D31805">
            <w:pPr>
              <w:pStyle w:val="TableText"/>
              <w:jc w:val="right"/>
              <w:cnfStyle w:val="000000000000" w:firstRow="0" w:lastRow="0" w:firstColumn="0" w:lastColumn="0" w:oddVBand="0" w:evenVBand="0" w:oddHBand="0" w:evenHBand="0" w:firstRowFirstColumn="0" w:firstRowLastColumn="0" w:lastRowFirstColumn="0" w:lastRowLastColumn="0"/>
            </w:pPr>
            <w:r>
              <w:t>0.</w:t>
            </w:r>
            <w:r w:rsidRPr="00B34BB5" w:rsidDel="002827AE">
              <w:t>0900</w:t>
            </w:r>
          </w:p>
        </w:tc>
        <w:tc>
          <w:tcPr>
            <w:tcW w:w="1304" w:type="dxa"/>
            <w:tcBorders>
              <w:right w:val="nil"/>
            </w:tcBorders>
          </w:tcPr>
          <w:p w14:paraId="5796EB93" w14:textId="77777777" w:rsidR="007728DC" w:rsidRPr="00B34BB5" w:rsidRDefault="007728DC" w:rsidP="00D31805">
            <w:pPr>
              <w:pStyle w:val="TableText"/>
              <w:jc w:val="right"/>
              <w:cnfStyle w:val="000000000000" w:firstRow="0" w:lastRow="0" w:firstColumn="0" w:lastColumn="0" w:oddVBand="0" w:evenVBand="0" w:oddHBand="0" w:evenHBand="0" w:firstRowFirstColumn="0" w:firstRowLastColumn="0" w:lastRowFirstColumn="0" w:lastRowLastColumn="0"/>
            </w:pPr>
            <w:r>
              <w:t>0.</w:t>
            </w:r>
            <w:r w:rsidRPr="00B34BB5" w:rsidDel="002827AE">
              <w:t>0572</w:t>
            </w:r>
          </w:p>
        </w:tc>
      </w:tr>
      <w:tr w:rsidR="007728DC" w:rsidRPr="00B34BB5" w14:paraId="0BA66271" w14:textId="77777777" w:rsidTr="00D3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8" w:type="dxa"/>
            <w:tcBorders>
              <w:left w:val="nil"/>
            </w:tcBorders>
          </w:tcPr>
          <w:p w14:paraId="2ACC14B2" w14:textId="77777777" w:rsidR="007728DC" w:rsidRPr="00B34BB5" w:rsidRDefault="007728DC" w:rsidP="00D31805">
            <w:pPr>
              <w:pStyle w:val="TableText"/>
            </w:pPr>
            <w:r w:rsidRPr="00B34BB5" w:rsidDel="002827AE">
              <w:rPr>
                <w:b w:val="0"/>
              </w:rPr>
              <w:t>Cessna Light Aircraft</w:t>
            </w:r>
          </w:p>
        </w:tc>
        <w:tc>
          <w:tcPr>
            <w:tcW w:w="993" w:type="dxa"/>
            <w:shd w:val="clear" w:color="auto" w:fill="auto"/>
          </w:tcPr>
          <w:p w14:paraId="7242C136" w14:textId="77777777" w:rsidR="007728DC" w:rsidRPr="00B34BB5" w:rsidRDefault="007728DC" w:rsidP="00D31805">
            <w:pPr>
              <w:pStyle w:val="TableText"/>
              <w:jc w:val="right"/>
              <w:cnfStyle w:val="000000100000" w:firstRow="0" w:lastRow="0" w:firstColumn="0" w:lastColumn="0" w:oddVBand="0" w:evenVBand="0" w:oddHBand="1" w:evenHBand="0" w:firstRowFirstColumn="0" w:firstRowLastColumn="0" w:lastRowFirstColumn="0" w:lastRowLastColumn="0"/>
            </w:pPr>
            <w:r w:rsidRPr="00B34BB5" w:rsidDel="002827AE">
              <w:t xml:space="preserve">122.52 </w:t>
            </w:r>
          </w:p>
        </w:tc>
        <w:tc>
          <w:tcPr>
            <w:tcW w:w="1179" w:type="dxa"/>
            <w:shd w:val="clear" w:color="auto" w:fill="auto"/>
          </w:tcPr>
          <w:p w14:paraId="05FB1893" w14:textId="77777777" w:rsidR="007728DC" w:rsidRPr="00B34BB5" w:rsidRDefault="007728DC" w:rsidP="00D31805">
            <w:pPr>
              <w:pStyle w:val="TableText"/>
              <w:jc w:val="right"/>
              <w:cnfStyle w:val="000000100000" w:firstRow="0" w:lastRow="0" w:firstColumn="0" w:lastColumn="0" w:oddVBand="0" w:evenVBand="0" w:oddHBand="1" w:evenHBand="0" w:firstRowFirstColumn="0" w:firstRowLastColumn="0" w:lastRowFirstColumn="0" w:lastRowLastColumn="0"/>
            </w:pPr>
            <w:r w:rsidRPr="00B34BB5" w:rsidDel="002827AE">
              <w:t>4.8</w:t>
            </w:r>
          </w:p>
        </w:tc>
        <w:tc>
          <w:tcPr>
            <w:tcW w:w="1242" w:type="dxa"/>
            <w:shd w:val="clear" w:color="auto" w:fill="auto"/>
          </w:tcPr>
          <w:p w14:paraId="0CEA7EDF" w14:textId="77777777" w:rsidR="007728DC" w:rsidRPr="00B34BB5" w:rsidRDefault="007728DC" w:rsidP="00D31805">
            <w:pPr>
              <w:pStyle w:val="TableText"/>
              <w:jc w:val="right"/>
              <w:cnfStyle w:val="000000100000" w:firstRow="0" w:lastRow="0" w:firstColumn="0" w:lastColumn="0" w:oddVBand="0" w:evenVBand="0" w:oddHBand="1" w:evenHBand="0" w:firstRowFirstColumn="0" w:firstRowLastColumn="0" w:lastRowFirstColumn="0" w:lastRowLastColumn="0"/>
            </w:pPr>
            <w:r w:rsidRPr="00B34BB5" w:rsidDel="002827AE">
              <w:t>25.526</w:t>
            </w:r>
          </w:p>
        </w:tc>
        <w:tc>
          <w:tcPr>
            <w:tcW w:w="1179" w:type="dxa"/>
            <w:shd w:val="clear" w:color="auto" w:fill="auto"/>
          </w:tcPr>
          <w:p w14:paraId="1B11DEB8" w14:textId="77777777" w:rsidR="007728DC" w:rsidRPr="00B34BB5" w:rsidRDefault="007728DC" w:rsidP="00D31805">
            <w:pPr>
              <w:pStyle w:val="TableText"/>
              <w:jc w:val="right"/>
              <w:cnfStyle w:val="000000100000" w:firstRow="0" w:lastRow="0" w:firstColumn="0" w:lastColumn="0" w:oddVBand="0" w:evenVBand="0" w:oddHBand="1" w:evenHBand="0" w:firstRowFirstColumn="0" w:firstRowLastColumn="0" w:lastRowFirstColumn="0" w:lastRowLastColumn="0"/>
            </w:pPr>
            <w:r>
              <w:t>0.</w:t>
            </w:r>
            <w:r w:rsidRPr="00B34BB5" w:rsidDel="002827AE">
              <w:t>2663</w:t>
            </w:r>
          </w:p>
        </w:tc>
        <w:tc>
          <w:tcPr>
            <w:tcW w:w="1304" w:type="dxa"/>
            <w:tcBorders>
              <w:right w:val="nil"/>
            </w:tcBorders>
          </w:tcPr>
          <w:p w14:paraId="179A0B0B" w14:textId="77777777" w:rsidR="007728DC" w:rsidRPr="00B34BB5" w:rsidRDefault="007728DC" w:rsidP="00D31805">
            <w:pPr>
              <w:pStyle w:val="TableText"/>
              <w:jc w:val="right"/>
              <w:cnfStyle w:val="000000100000" w:firstRow="0" w:lastRow="0" w:firstColumn="0" w:lastColumn="0" w:oddVBand="0" w:evenVBand="0" w:oddHBand="1" w:evenHBand="0" w:firstRowFirstColumn="0" w:firstRowLastColumn="0" w:lastRowFirstColumn="0" w:lastRowLastColumn="0"/>
            </w:pPr>
            <w:r>
              <w:t>0.</w:t>
            </w:r>
            <w:r w:rsidRPr="00B34BB5" w:rsidDel="002827AE">
              <w:t>1690</w:t>
            </w:r>
          </w:p>
        </w:tc>
      </w:tr>
      <w:tr w:rsidR="007728DC" w:rsidRPr="00B34BB5" w14:paraId="43D3ED4F" w14:textId="77777777" w:rsidTr="00D31805">
        <w:tc>
          <w:tcPr>
            <w:cnfStyle w:val="001000000000" w:firstRow="0" w:lastRow="0" w:firstColumn="1" w:lastColumn="0" w:oddVBand="0" w:evenVBand="0" w:oddHBand="0" w:evenHBand="0" w:firstRowFirstColumn="0" w:firstRowLastColumn="0" w:lastRowFirstColumn="0" w:lastRowLastColumn="0"/>
            <w:tcW w:w="2608" w:type="dxa"/>
            <w:tcBorders>
              <w:left w:val="nil"/>
            </w:tcBorders>
          </w:tcPr>
          <w:p w14:paraId="091B3A6F" w14:textId="77777777" w:rsidR="007728DC" w:rsidRPr="006F7DAB" w:rsidRDefault="007728DC" w:rsidP="00D31805">
            <w:pPr>
              <w:pStyle w:val="TableText"/>
              <w:rPr>
                <w:rStyle w:val="normaltextrun"/>
                <w:rFonts w:cs="Calibri"/>
                <w:color w:val="D13438"/>
                <w:szCs w:val="18"/>
                <w:u w:val="single"/>
                <w:shd w:val="clear" w:color="auto" w:fill="E1F2FA"/>
              </w:rPr>
            </w:pPr>
            <w:r w:rsidRPr="00B34BB5" w:rsidDel="002827AE">
              <w:rPr>
                <w:b w:val="0"/>
              </w:rPr>
              <w:t>De Havilland Canada DHC-8-300 Dash 8/8Q</w:t>
            </w:r>
            <w:r>
              <w:rPr>
                <w:b w:val="0"/>
              </w:rPr>
              <w:t>, Q300*</w:t>
            </w:r>
          </w:p>
        </w:tc>
        <w:tc>
          <w:tcPr>
            <w:tcW w:w="993" w:type="dxa"/>
            <w:shd w:val="clear" w:color="auto" w:fill="auto"/>
          </w:tcPr>
          <w:p w14:paraId="749D5C55" w14:textId="77777777" w:rsidR="007728DC" w:rsidRDefault="007728DC" w:rsidP="00D31805">
            <w:pPr>
              <w:pStyle w:val="TableText"/>
              <w:jc w:val="right"/>
              <w:cnfStyle w:val="000000000000" w:firstRow="0" w:lastRow="0" w:firstColumn="0" w:lastColumn="0" w:oddVBand="0" w:evenVBand="0" w:oddHBand="0" w:evenHBand="0" w:firstRowFirstColumn="0" w:firstRowLastColumn="0" w:lastRowFirstColumn="0" w:lastRowLastColumn="0"/>
            </w:pPr>
            <w:r>
              <w:t>692.26</w:t>
            </w:r>
            <w:r w:rsidRPr="00B34BB5" w:rsidDel="002827AE">
              <w:t xml:space="preserve"> </w:t>
            </w:r>
          </w:p>
        </w:tc>
        <w:tc>
          <w:tcPr>
            <w:tcW w:w="1179" w:type="dxa"/>
            <w:shd w:val="clear" w:color="auto" w:fill="auto"/>
          </w:tcPr>
          <w:p w14:paraId="53EC28EE" w14:textId="77777777" w:rsidR="007728DC" w:rsidRDefault="007728DC" w:rsidP="00D31805">
            <w:pPr>
              <w:pStyle w:val="TableText"/>
              <w:jc w:val="right"/>
              <w:cnfStyle w:val="000000000000" w:firstRow="0" w:lastRow="0" w:firstColumn="0" w:lastColumn="0" w:oddVBand="0" w:evenVBand="0" w:oddHBand="0" w:evenHBand="0" w:firstRowFirstColumn="0" w:firstRowLastColumn="0" w:lastRowFirstColumn="0" w:lastRowLastColumn="0"/>
            </w:pPr>
            <w:r w:rsidRPr="00B34BB5" w:rsidDel="002827AE">
              <w:t>40</w:t>
            </w:r>
            <w:r>
              <w:t>.7</w:t>
            </w:r>
          </w:p>
        </w:tc>
        <w:tc>
          <w:tcPr>
            <w:tcW w:w="1242" w:type="dxa"/>
            <w:shd w:val="clear" w:color="auto" w:fill="auto"/>
          </w:tcPr>
          <w:p w14:paraId="25EB1CA3" w14:textId="77777777" w:rsidR="007728DC" w:rsidRDefault="007728DC" w:rsidP="00D31805">
            <w:pPr>
              <w:pStyle w:val="TableText"/>
              <w:jc w:val="right"/>
              <w:cnfStyle w:val="000000000000" w:firstRow="0" w:lastRow="0" w:firstColumn="0" w:lastColumn="0" w:oddVBand="0" w:evenVBand="0" w:oddHBand="0" w:evenHBand="0" w:firstRowFirstColumn="0" w:firstRowLastColumn="0" w:lastRowFirstColumn="0" w:lastRowLastColumn="0"/>
            </w:pPr>
            <w:r>
              <w:t>17.125</w:t>
            </w:r>
          </w:p>
        </w:tc>
        <w:tc>
          <w:tcPr>
            <w:tcW w:w="1179" w:type="dxa"/>
            <w:shd w:val="clear" w:color="auto" w:fill="auto"/>
          </w:tcPr>
          <w:p w14:paraId="47B65B74" w14:textId="77777777" w:rsidR="007728DC" w:rsidRDefault="007728DC" w:rsidP="00D31805">
            <w:pPr>
              <w:pStyle w:val="TableText"/>
              <w:jc w:val="right"/>
              <w:cnfStyle w:val="000000000000" w:firstRow="0" w:lastRow="0" w:firstColumn="0" w:lastColumn="0" w:oddVBand="0" w:evenVBand="0" w:oddHBand="0" w:evenHBand="0" w:firstRowFirstColumn="0" w:firstRowLastColumn="0" w:lastRowFirstColumn="0" w:lastRowLastColumn="0"/>
            </w:pPr>
            <w:r w:rsidRPr="00B34BB5" w:rsidDel="002827AE">
              <w:t>0.0</w:t>
            </w:r>
            <w:r>
              <w:t>566</w:t>
            </w:r>
          </w:p>
        </w:tc>
        <w:tc>
          <w:tcPr>
            <w:tcW w:w="1304" w:type="dxa"/>
            <w:tcBorders>
              <w:right w:val="nil"/>
            </w:tcBorders>
          </w:tcPr>
          <w:p w14:paraId="39DF3A7F" w14:textId="77777777" w:rsidR="007728DC" w:rsidRDefault="007728DC" w:rsidP="00D31805">
            <w:pPr>
              <w:pStyle w:val="TableText"/>
              <w:jc w:val="right"/>
              <w:cnfStyle w:val="000000000000" w:firstRow="0" w:lastRow="0" w:firstColumn="0" w:lastColumn="0" w:oddVBand="0" w:evenVBand="0" w:oddHBand="0" w:evenHBand="0" w:firstRowFirstColumn="0" w:firstRowLastColumn="0" w:lastRowFirstColumn="0" w:lastRowLastColumn="0"/>
            </w:pPr>
            <w:r w:rsidRPr="00B34BB5" w:rsidDel="002827AE">
              <w:t>0.0</w:t>
            </w:r>
            <w:r>
              <w:t>499</w:t>
            </w:r>
          </w:p>
        </w:tc>
      </w:tr>
      <w:tr w:rsidR="007728DC" w:rsidRPr="00B34BB5" w14:paraId="412A38C2" w14:textId="77777777" w:rsidTr="00D3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8" w:type="dxa"/>
            <w:tcBorders>
              <w:left w:val="nil"/>
            </w:tcBorders>
          </w:tcPr>
          <w:p w14:paraId="3443BB01" w14:textId="77777777" w:rsidR="007728DC" w:rsidRPr="006F7DAB" w:rsidRDefault="007728DC" w:rsidP="00D31805">
            <w:pPr>
              <w:pStyle w:val="TableText"/>
              <w:rPr>
                <w:rStyle w:val="normaltextrun"/>
                <w:rFonts w:cs="Calibri"/>
                <w:color w:val="D13438"/>
                <w:szCs w:val="18"/>
                <w:u w:val="single"/>
                <w:shd w:val="clear" w:color="auto" w:fill="E1F2FA"/>
              </w:rPr>
            </w:pPr>
            <w:r w:rsidRPr="00B34BB5" w:rsidDel="002827AE">
              <w:rPr>
                <w:b w:val="0"/>
              </w:rPr>
              <w:t>Pilatus PC-12</w:t>
            </w:r>
          </w:p>
        </w:tc>
        <w:tc>
          <w:tcPr>
            <w:tcW w:w="993" w:type="dxa"/>
            <w:shd w:val="clear" w:color="auto" w:fill="auto"/>
          </w:tcPr>
          <w:p w14:paraId="2569DDE5" w14:textId="77777777" w:rsidR="007728DC" w:rsidRDefault="007728DC" w:rsidP="00D31805">
            <w:pPr>
              <w:pStyle w:val="TableText"/>
              <w:jc w:val="right"/>
              <w:cnfStyle w:val="000000100000" w:firstRow="0" w:lastRow="0" w:firstColumn="0" w:lastColumn="0" w:oddVBand="0" w:evenVBand="0" w:oddHBand="1" w:evenHBand="0" w:firstRowFirstColumn="0" w:firstRowLastColumn="0" w:lastRowFirstColumn="0" w:lastRowLastColumn="0"/>
            </w:pPr>
            <w:r w:rsidRPr="00B34BB5" w:rsidDel="002827AE">
              <w:t xml:space="preserve">196.50 </w:t>
            </w:r>
          </w:p>
        </w:tc>
        <w:tc>
          <w:tcPr>
            <w:tcW w:w="1179" w:type="dxa"/>
            <w:shd w:val="clear" w:color="auto" w:fill="auto"/>
          </w:tcPr>
          <w:p w14:paraId="69726D6F" w14:textId="77777777" w:rsidR="007728DC" w:rsidRDefault="007728DC" w:rsidP="00D31805">
            <w:pPr>
              <w:pStyle w:val="TableText"/>
              <w:jc w:val="right"/>
              <w:cnfStyle w:val="000000100000" w:firstRow="0" w:lastRow="0" w:firstColumn="0" w:lastColumn="0" w:oddVBand="0" w:evenVBand="0" w:oddHBand="1" w:evenHBand="0" w:firstRowFirstColumn="0" w:firstRowLastColumn="0" w:lastRowFirstColumn="0" w:lastRowLastColumn="0"/>
            </w:pPr>
            <w:r w:rsidRPr="00B34BB5" w:rsidDel="002827AE">
              <w:t>7.2</w:t>
            </w:r>
          </w:p>
        </w:tc>
        <w:tc>
          <w:tcPr>
            <w:tcW w:w="1242" w:type="dxa"/>
            <w:shd w:val="clear" w:color="auto" w:fill="auto"/>
          </w:tcPr>
          <w:p w14:paraId="65DD33F5" w14:textId="77777777" w:rsidR="007728DC" w:rsidRDefault="007728DC" w:rsidP="00D31805">
            <w:pPr>
              <w:pStyle w:val="TableText"/>
              <w:jc w:val="right"/>
              <w:cnfStyle w:val="000000100000" w:firstRow="0" w:lastRow="0" w:firstColumn="0" w:lastColumn="0" w:oddVBand="0" w:evenVBand="0" w:oddHBand="1" w:evenHBand="0" w:firstRowFirstColumn="0" w:firstRowLastColumn="0" w:lastRowFirstColumn="0" w:lastRowLastColumn="0"/>
            </w:pPr>
            <w:r w:rsidRPr="00B34BB5" w:rsidDel="002827AE">
              <w:t>27.292</w:t>
            </w:r>
          </w:p>
        </w:tc>
        <w:tc>
          <w:tcPr>
            <w:tcW w:w="1179" w:type="dxa"/>
            <w:shd w:val="clear" w:color="auto" w:fill="auto"/>
          </w:tcPr>
          <w:p w14:paraId="721F28C6" w14:textId="77777777" w:rsidR="007728DC" w:rsidRDefault="007728DC" w:rsidP="00D31805">
            <w:pPr>
              <w:pStyle w:val="TableText"/>
              <w:jc w:val="right"/>
              <w:cnfStyle w:val="000000100000" w:firstRow="0" w:lastRow="0" w:firstColumn="0" w:lastColumn="0" w:oddVBand="0" w:evenVBand="0" w:oddHBand="1" w:evenHBand="0" w:firstRowFirstColumn="0" w:firstRowLastColumn="0" w:lastRowFirstColumn="0" w:lastRowLastColumn="0"/>
            </w:pPr>
            <w:r w:rsidRPr="00B34BB5" w:rsidDel="002827AE">
              <w:t>0.0908</w:t>
            </w:r>
          </w:p>
        </w:tc>
        <w:tc>
          <w:tcPr>
            <w:tcW w:w="1304" w:type="dxa"/>
            <w:tcBorders>
              <w:right w:val="nil"/>
            </w:tcBorders>
          </w:tcPr>
          <w:p w14:paraId="306C2DEA" w14:textId="77777777" w:rsidR="007728DC" w:rsidRDefault="007728DC" w:rsidP="00D31805">
            <w:pPr>
              <w:pStyle w:val="TableText"/>
              <w:jc w:val="right"/>
              <w:cnfStyle w:val="000000100000" w:firstRow="0" w:lastRow="0" w:firstColumn="0" w:lastColumn="0" w:oddVBand="0" w:evenVBand="0" w:oddHBand="1" w:evenHBand="0" w:firstRowFirstColumn="0" w:firstRowLastColumn="0" w:lastRowFirstColumn="0" w:lastRowLastColumn="0"/>
            </w:pPr>
            <w:r w:rsidRPr="00B34BB5" w:rsidDel="002827AE">
              <w:t>0.0576</w:t>
            </w:r>
          </w:p>
        </w:tc>
      </w:tr>
      <w:tr w:rsidR="007728DC" w:rsidRPr="00B34BB5" w14:paraId="05C7BC97" w14:textId="77777777" w:rsidTr="00D31805">
        <w:tc>
          <w:tcPr>
            <w:cnfStyle w:val="001000000000" w:firstRow="0" w:lastRow="0" w:firstColumn="1" w:lastColumn="0" w:oddVBand="0" w:evenVBand="0" w:oddHBand="0" w:evenHBand="0" w:firstRowFirstColumn="0" w:firstRowLastColumn="0" w:lastRowFirstColumn="0" w:lastRowLastColumn="0"/>
            <w:tcW w:w="2608" w:type="dxa"/>
            <w:tcBorders>
              <w:left w:val="nil"/>
            </w:tcBorders>
          </w:tcPr>
          <w:p w14:paraId="0BD040A6" w14:textId="77777777" w:rsidR="007728DC" w:rsidRPr="006F7DAB" w:rsidRDefault="007728DC" w:rsidP="00D31805">
            <w:pPr>
              <w:pStyle w:val="TableText"/>
              <w:rPr>
                <w:rStyle w:val="normaltextrun"/>
                <w:rFonts w:cs="Calibri"/>
                <w:color w:val="D13438"/>
                <w:szCs w:val="18"/>
                <w:u w:val="single"/>
                <w:shd w:val="clear" w:color="auto" w:fill="E1F2FA"/>
              </w:rPr>
            </w:pPr>
            <w:r w:rsidRPr="00B34BB5" w:rsidDel="002827AE">
              <w:rPr>
                <w:b w:val="0"/>
              </w:rPr>
              <w:t>Saab SF-340</w:t>
            </w:r>
          </w:p>
        </w:tc>
        <w:tc>
          <w:tcPr>
            <w:tcW w:w="993" w:type="dxa"/>
            <w:shd w:val="clear" w:color="auto" w:fill="auto"/>
          </w:tcPr>
          <w:p w14:paraId="4F4CCF6F" w14:textId="77777777" w:rsidR="007728DC" w:rsidRDefault="007728DC" w:rsidP="00D31805">
            <w:pPr>
              <w:pStyle w:val="TableText"/>
              <w:jc w:val="right"/>
              <w:cnfStyle w:val="000000000000" w:firstRow="0" w:lastRow="0" w:firstColumn="0" w:lastColumn="0" w:oddVBand="0" w:evenVBand="0" w:oddHBand="0" w:evenHBand="0" w:firstRowFirstColumn="0" w:firstRowLastColumn="0" w:lastRowFirstColumn="0" w:lastRowLastColumn="0"/>
            </w:pPr>
            <w:r w:rsidRPr="00B34BB5" w:rsidDel="002827AE">
              <w:t xml:space="preserve">609.84 </w:t>
            </w:r>
          </w:p>
        </w:tc>
        <w:tc>
          <w:tcPr>
            <w:tcW w:w="1179" w:type="dxa"/>
            <w:shd w:val="clear" w:color="auto" w:fill="auto"/>
          </w:tcPr>
          <w:p w14:paraId="50BEB8D4" w14:textId="77777777" w:rsidR="007728DC" w:rsidRDefault="007728DC" w:rsidP="00D31805">
            <w:pPr>
              <w:pStyle w:val="TableText"/>
              <w:jc w:val="right"/>
              <w:cnfStyle w:val="000000000000" w:firstRow="0" w:lastRow="0" w:firstColumn="0" w:lastColumn="0" w:oddVBand="0" w:evenVBand="0" w:oddHBand="0" w:evenHBand="0" w:firstRowFirstColumn="0" w:firstRowLastColumn="0" w:lastRowFirstColumn="0" w:lastRowLastColumn="0"/>
            </w:pPr>
            <w:r w:rsidRPr="00B34BB5" w:rsidDel="002827AE">
              <w:t>27.2</w:t>
            </w:r>
          </w:p>
        </w:tc>
        <w:tc>
          <w:tcPr>
            <w:tcW w:w="1242" w:type="dxa"/>
            <w:shd w:val="clear" w:color="auto" w:fill="auto"/>
          </w:tcPr>
          <w:p w14:paraId="3FC57F3F" w14:textId="77777777" w:rsidR="007728DC" w:rsidRDefault="007728DC" w:rsidP="00D31805">
            <w:pPr>
              <w:pStyle w:val="TableText"/>
              <w:jc w:val="right"/>
              <w:cnfStyle w:val="000000000000" w:firstRow="0" w:lastRow="0" w:firstColumn="0" w:lastColumn="0" w:oddVBand="0" w:evenVBand="0" w:oddHBand="0" w:evenHBand="0" w:firstRowFirstColumn="0" w:firstRowLastColumn="0" w:lastRowFirstColumn="0" w:lastRowLastColumn="0"/>
            </w:pPr>
            <w:r w:rsidRPr="00B34BB5" w:rsidDel="002827AE">
              <w:t>22.421</w:t>
            </w:r>
          </w:p>
        </w:tc>
        <w:tc>
          <w:tcPr>
            <w:tcW w:w="1179" w:type="dxa"/>
            <w:shd w:val="clear" w:color="auto" w:fill="auto"/>
          </w:tcPr>
          <w:p w14:paraId="16AF72C0" w14:textId="77777777" w:rsidR="007728DC" w:rsidRDefault="007728DC" w:rsidP="00D31805">
            <w:pPr>
              <w:pStyle w:val="TableText"/>
              <w:jc w:val="right"/>
              <w:cnfStyle w:val="000000000000" w:firstRow="0" w:lastRow="0" w:firstColumn="0" w:lastColumn="0" w:oddVBand="0" w:evenVBand="0" w:oddHBand="0" w:evenHBand="0" w:firstRowFirstColumn="0" w:firstRowLastColumn="0" w:lastRowFirstColumn="0" w:lastRowLastColumn="0"/>
            </w:pPr>
            <w:r w:rsidRPr="00B34BB5" w:rsidDel="002827AE">
              <w:t>0.0467</w:t>
            </w:r>
          </w:p>
        </w:tc>
        <w:tc>
          <w:tcPr>
            <w:tcW w:w="1304" w:type="dxa"/>
            <w:tcBorders>
              <w:right w:val="nil"/>
            </w:tcBorders>
          </w:tcPr>
          <w:p w14:paraId="63D1E193" w14:textId="77777777" w:rsidR="007728DC" w:rsidRDefault="007728DC" w:rsidP="00D31805">
            <w:pPr>
              <w:pStyle w:val="TableText"/>
              <w:jc w:val="right"/>
              <w:cnfStyle w:val="000000000000" w:firstRow="0" w:lastRow="0" w:firstColumn="0" w:lastColumn="0" w:oddVBand="0" w:evenVBand="0" w:oddHBand="0" w:evenHBand="0" w:firstRowFirstColumn="0" w:firstRowLastColumn="0" w:lastRowFirstColumn="0" w:lastRowLastColumn="0"/>
            </w:pPr>
            <w:r w:rsidRPr="00B34BB5" w:rsidDel="002827AE">
              <w:t>0.0297</w:t>
            </w:r>
          </w:p>
        </w:tc>
      </w:tr>
      <w:tr w:rsidR="007728DC" w:rsidRPr="00B34BB5" w14:paraId="2B849672" w14:textId="77777777" w:rsidTr="00D3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8" w:type="dxa"/>
            <w:tcBorders>
              <w:left w:val="nil"/>
            </w:tcBorders>
          </w:tcPr>
          <w:p w14:paraId="5A9AADD1" w14:textId="77777777" w:rsidR="007728DC" w:rsidRPr="006F7DAB" w:rsidRDefault="007728DC" w:rsidP="00D31805">
            <w:pPr>
              <w:pStyle w:val="TableText"/>
              <w:rPr>
                <w:rStyle w:val="normaltextrun"/>
                <w:rFonts w:cs="Calibri"/>
                <w:color w:val="D13438"/>
                <w:szCs w:val="18"/>
                <w:u w:val="single"/>
                <w:shd w:val="clear" w:color="auto" w:fill="E1F2FA"/>
              </w:rPr>
            </w:pPr>
            <w:r w:rsidRPr="00B34BB5" w:rsidDel="002827AE">
              <w:rPr>
                <w:b w:val="0"/>
              </w:rPr>
              <w:t>FOKKER F50</w:t>
            </w:r>
          </w:p>
        </w:tc>
        <w:tc>
          <w:tcPr>
            <w:tcW w:w="993" w:type="dxa"/>
            <w:shd w:val="clear" w:color="auto" w:fill="auto"/>
          </w:tcPr>
          <w:p w14:paraId="7B0B1745" w14:textId="77777777" w:rsidR="007728DC" w:rsidRDefault="007728DC" w:rsidP="00D31805">
            <w:pPr>
              <w:pStyle w:val="TableText"/>
              <w:jc w:val="right"/>
              <w:cnfStyle w:val="000000100000" w:firstRow="0" w:lastRow="0" w:firstColumn="0" w:lastColumn="0" w:oddVBand="0" w:evenVBand="0" w:oddHBand="1" w:evenHBand="0" w:firstRowFirstColumn="0" w:firstRowLastColumn="0" w:lastRowFirstColumn="0" w:lastRowLastColumn="0"/>
            </w:pPr>
            <w:r w:rsidRPr="00B34BB5" w:rsidDel="002827AE">
              <w:t xml:space="preserve">1,171.84 </w:t>
            </w:r>
          </w:p>
        </w:tc>
        <w:tc>
          <w:tcPr>
            <w:tcW w:w="1179" w:type="dxa"/>
            <w:shd w:val="clear" w:color="auto" w:fill="auto"/>
          </w:tcPr>
          <w:p w14:paraId="7388A4EE" w14:textId="77777777" w:rsidR="007728DC" w:rsidRDefault="007728DC" w:rsidP="00D31805">
            <w:pPr>
              <w:pStyle w:val="TableText"/>
              <w:jc w:val="right"/>
              <w:cnfStyle w:val="000000100000" w:firstRow="0" w:lastRow="0" w:firstColumn="0" w:lastColumn="0" w:oddVBand="0" w:evenVBand="0" w:oddHBand="1" w:evenHBand="0" w:firstRowFirstColumn="0" w:firstRowLastColumn="0" w:lastRowFirstColumn="0" w:lastRowLastColumn="0"/>
            </w:pPr>
            <w:r w:rsidRPr="00B34BB5" w:rsidDel="002827AE">
              <w:t>42.4</w:t>
            </w:r>
          </w:p>
        </w:tc>
        <w:tc>
          <w:tcPr>
            <w:tcW w:w="1242" w:type="dxa"/>
            <w:shd w:val="clear" w:color="auto" w:fill="auto"/>
          </w:tcPr>
          <w:p w14:paraId="5C2C29D5" w14:textId="77777777" w:rsidR="007728DC" w:rsidRDefault="007728DC" w:rsidP="00D31805">
            <w:pPr>
              <w:pStyle w:val="TableText"/>
              <w:jc w:val="right"/>
              <w:cnfStyle w:val="000000100000" w:firstRow="0" w:lastRow="0" w:firstColumn="0" w:lastColumn="0" w:oddVBand="0" w:evenVBand="0" w:oddHBand="1" w:evenHBand="0" w:firstRowFirstColumn="0" w:firstRowLastColumn="0" w:lastRowFirstColumn="0" w:lastRowLastColumn="0"/>
            </w:pPr>
            <w:r w:rsidRPr="00B34BB5" w:rsidDel="002827AE">
              <w:t>27.638</w:t>
            </w:r>
          </w:p>
        </w:tc>
        <w:tc>
          <w:tcPr>
            <w:tcW w:w="1179" w:type="dxa"/>
            <w:shd w:val="clear" w:color="auto" w:fill="auto"/>
          </w:tcPr>
          <w:p w14:paraId="254DB576" w14:textId="77777777" w:rsidR="007728DC" w:rsidRDefault="007728DC" w:rsidP="00D31805">
            <w:pPr>
              <w:pStyle w:val="TableText"/>
              <w:jc w:val="right"/>
              <w:cnfStyle w:val="000000100000" w:firstRow="0" w:lastRow="0" w:firstColumn="0" w:lastColumn="0" w:oddVBand="0" w:evenVBand="0" w:oddHBand="1" w:evenHBand="0" w:firstRowFirstColumn="0" w:firstRowLastColumn="0" w:lastRowFirstColumn="0" w:lastRowLastColumn="0"/>
            </w:pPr>
            <w:r w:rsidRPr="00B34BB5" w:rsidDel="002827AE">
              <w:t>0.0438</w:t>
            </w:r>
          </w:p>
        </w:tc>
        <w:tc>
          <w:tcPr>
            <w:tcW w:w="1304" w:type="dxa"/>
            <w:tcBorders>
              <w:right w:val="nil"/>
            </w:tcBorders>
          </w:tcPr>
          <w:p w14:paraId="3137249E" w14:textId="77777777" w:rsidR="007728DC" w:rsidRDefault="007728DC" w:rsidP="00D31805">
            <w:pPr>
              <w:pStyle w:val="TableText"/>
              <w:jc w:val="right"/>
              <w:cnfStyle w:val="000000100000" w:firstRow="0" w:lastRow="0" w:firstColumn="0" w:lastColumn="0" w:oddVBand="0" w:evenVBand="0" w:oddHBand="1" w:evenHBand="0" w:firstRowFirstColumn="0" w:firstRowLastColumn="0" w:lastRowFirstColumn="0" w:lastRowLastColumn="0"/>
            </w:pPr>
            <w:r w:rsidRPr="00B34BB5" w:rsidDel="002827AE">
              <w:t>0.0278</w:t>
            </w:r>
          </w:p>
        </w:tc>
      </w:tr>
    </w:tbl>
    <w:p w14:paraId="188C4D1D" w14:textId="77777777" w:rsidR="007728DC" w:rsidRDefault="007728DC" w:rsidP="007728DC">
      <w:pPr>
        <w:pStyle w:val="Note"/>
      </w:pPr>
      <w:r>
        <w:t>Note: *Average calculated using data from 2016 and 2019.</w:t>
      </w:r>
    </w:p>
    <w:p w14:paraId="5976FFC4" w14:textId="31DAC32D" w:rsidR="007728DC" w:rsidRDefault="00EE23CA" w:rsidP="007728DC">
      <w:pPr>
        <w:pStyle w:val="Tableheading"/>
      </w:pPr>
      <w:bookmarkStart w:id="425" w:name="_Toc111536648"/>
      <w:r w:rsidRPr="00B275E2">
        <w:t xml:space="preserve">Table </w:t>
      </w:r>
      <w:r w:rsidRPr="00B275E2">
        <w:fldChar w:fldCharType="begin"/>
      </w:r>
      <w:r w:rsidRPr="00B275E2">
        <w:instrText>SEQ Table \* ARABIC</w:instrText>
      </w:r>
      <w:r w:rsidRPr="00B275E2">
        <w:fldChar w:fldCharType="separate"/>
      </w:r>
      <w:r>
        <w:rPr>
          <w:noProof/>
        </w:rPr>
        <w:t>43</w:t>
      </w:r>
      <w:r w:rsidRPr="00B275E2">
        <w:fldChar w:fldCharType="end"/>
      </w:r>
      <w:r w:rsidRPr="00B275E2">
        <w:t>:</w:t>
      </w:r>
      <w:r w:rsidRPr="00B275E2">
        <w:tab/>
      </w:r>
      <w:r w:rsidR="004D4C1C">
        <w:t xml:space="preserve">Average fuel and passenger data for </w:t>
      </w:r>
      <w:r>
        <w:t>2020</w:t>
      </w:r>
      <w:bookmarkEnd w:id="425"/>
    </w:p>
    <w:tbl>
      <w:tblPr>
        <w:tblStyle w:val="LightList-Accent2"/>
        <w:tblW w:w="8505" w:type="dxa"/>
        <w:tblBorders>
          <w:top w:val="single" w:sz="4" w:space="0" w:color="1C556C" w:themeColor="accent1"/>
          <w:left w:val="none" w:sz="0" w:space="0" w:color="auto"/>
          <w:right w:val="none" w:sz="0" w:space="0" w:color="auto"/>
          <w:insideH w:val="single" w:sz="8" w:space="0" w:color="32809C" w:themeColor="accent2"/>
          <w:insideV w:val="single" w:sz="4" w:space="0" w:color="1C556C" w:themeColor="accent1"/>
        </w:tblBorders>
        <w:tblLayout w:type="fixed"/>
        <w:tblLook w:val="04A0" w:firstRow="1" w:lastRow="0" w:firstColumn="1" w:lastColumn="0" w:noHBand="0" w:noVBand="1"/>
      </w:tblPr>
      <w:tblGrid>
        <w:gridCol w:w="2608"/>
        <w:gridCol w:w="993"/>
        <w:gridCol w:w="1179"/>
        <w:gridCol w:w="1242"/>
        <w:gridCol w:w="1179"/>
        <w:gridCol w:w="1304"/>
      </w:tblGrid>
      <w:tr w:rsidR="007728DC" w:rsidRPr="00B34BB5" w14:paraId="4FBCA4ED" w14:textId="77777777" w:rsidTr="00D31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8" w:type="dxa"/>
            <w:tcBorders>
              <w:bottom w:val="single" w:sz="8" w:space="0" w:color="32809C" w:themeColor="accent2"/>
            </w:tcBorders>
            <w:shd w:val="clear" w:color="auto" w:fill="1C556C" w:themeFill="accent1"/>
            <w:vAlign w:val="bottom"/>
          </w:tcPr>
          <w:p w14:paraId="453EDED1" w14:textId="77777777" w:rsidR="007728DC" w:rsidRPr="00B34BB5" w:rsidRDefault="007728DC" w:rsidP="00D31805">
            <w:pPr>
              <w:pStyle w:val="TableText"/>
            </w:pPr>
            <w:r w:rsidRPr="00B34BB5">
              <w:t>Aircraft type</w:t>
            </w:r>
          </w:p>
        </w:tc>
        <w:tc>
          <w:tcPr>
            <w:tcW w:w="993" w:type="dxa"/>
            <w:shd w:val="clear" w:color="auto" w:fill="1C556C" w:themeFill="accent1"/>
            <w:vAlign w:val="bottom"/>
          </w:tcPr>
          <w:p w14:paraId="17F6BEE3" w14:textId="77777777" w:rsidR="007728DC" w:rsidRPr="00B34BB5" w:rsidRDefault="007728DC" w:rsidP="00D31805">
            <w:pPr>
              <w:pStyle w:val="TableText"/>
              <w:jc w:val="right"/>
              <w:cnfStyle w:val="100000000000" w:firstRow="1" w:lastRow="0" w:firstColumn="0" w:lastColumn="0" w:oddVBand="0" w:evenVBand="0" w:oddHBand="0" w:evenHBand="0" w:firstRowFirstColumn="0" w:firstRowLastColumn="0" w:lastRowFirstColumn="0" w:lastRowLastColumn="0"/>
            </w:pPr>
            <w:r w:rsidRPr="00B34BB5">
              <w:t>Fuel (kg) per flight</w:t>
            </w:r>
          </w:p>
        </w:tc>
        <w:tc>
          <w:tcPr>
            <w:tcW w:w="1179" w:type="dxa"/>
            <w:shd w:val="clear" w:color="auto" w:fill="1C556C" w:themeFill="accent1"/>
            <w:vAlign w:val="bottom"/>
          </w:tcPr>
          <w:p w14:paraId="7005BE76" w14:textId="77777777" w:rsidR="007728DC" w:rsidRPr="00B34BB5" w:rsidRDefault="007728DC" w:rsidP="00D31805">
            <w:pPr>
              <w:pStyle w:val="TableText"/>
              <w:jc w:val="right"/>
              <w:cnfStyle w:val="100000000000" w:firstRow="1" w:lastRow="0" w:firstColumn="0" w:lastColumn="0" w:oddVBand="0" w:evenVBand="0" w:oddHBand="0" w:evenHBand="0" w:firstRowFirstColumn="0" w:firstRowLastColumn="0" w:lastRowFirstColumn="0" w:lastRowLastColumn="0"/>
            </w:pPr>
            <w:r w:rsidRPr="00B34BB5">
              <w:t>Assumed passengers per flight</w:t>
            </w:r>
          </w:p>
        </w:tc>
        <w:tc>
          <w:tcPr>
            <w:tcW w:w="1242" w:type="dxa"/>
            <w:shd w:val="clear" w:color="auto" w:fill="1C556C" w:themeFill="accent1"/>
            <w:vAlign w:val="bottom"/>
          </w:tcPr>
          <w:p w14:paraId="2768B752" w14:textId="77777777" w:rsidR="007728DC" w:rsidRPr="00B34BB5" w:rsidRDefault="007728DC" w:rsidP="00D31805">
            <w:pPr>
              <w:pStyle w:val="TableText"/>
              <w:jc w:val="right"/>
              <w:cnfStyle w:val="100000000000" w:firstRow="1" w:lastRow="0" w:firstColumn="0" w:lastColumn="0" w:oddVBand="0" w:evenVBand="0" w:oddHBand="0" w:evenHBand="0" w:firstRowFirstColumn="0" w:firstRowLastColumn="0" w:lastRowFirstColumn="0" w:lastRowLastColumn="0"/>
            </w:pPr>
            <w:r w:rsidRPr="00B34BB5">
              <w:t>Fuel (kg) per passenger</w:t>
            </w:r>
          </w:p>
        </w:tc>
        <w:tc>
          <w:tcPr>
            <w:tcW w:w="1179" w:type="dxa"/>
            <w:shd w:val="clear" w:color="auto" w:fill="1C556C" w:themeFill="accent1"/>
            <w:vAlign w:val="bottom"/>
          </w:tcPr>
          <w:p w14:paraId="774D8167" w14:textId="77777777" w:rsidR="007728DC" w:rsidRPr="00B34BB5" w:rsidRDefault="007728DC" w:rsidP="00D31805">
            <w:pPr>
              <w:pStyle w:val="TableText"/>
              <w:jc w:val="right"/>
              <w:cnfStyle w:val="100000000000" w:firstRow="1" w:lastRow="0" w:firstColumn="0" w:lastColumn="0" w:oddVBand="0" w:evenVBand="0" w:oddHBand="0" w:evenHBand="0" w:firstRowFirstColumn="0" w:firstRowLastColumn="0" w:lastRowFirstColumn="0" w:lastRowLastColumn="0"/>
            </w:pPr>
            <w:r w:rsidRPr="00B34BB5">
              <w:t>Fuel (kg) per passenger per km</w:t>
            </w:r>
          </w:p>
        </w:tc>
        <w:tc>
          <w:tcPr>
            <w:tcW w:w="1304" w:type="dxa"/>
            <w:tcBorders>
              <w:bottom w:val="single" w:sz="8" w:space="0" w:color="32809C" w:themeColor="accent2"/>
            </w:tcBorders>
            <w:shd w:val="clear" w:color="auto" w:fill="1C556C" w:themeFill="accent1"/>
            <w:vAlign w:val="bottom"/>
          </w:tcPr>
          <w:p w14:paraId="736A4A98" w14:textId="77777777" w:rsidR="007728DC" w:rsidRPr="00B34BB5" w:rsidDel="00C6698A" w:rsidRDefault="007728DC" w:rsidP="00D31805">
            <w:pPr>
              <w:pStyle w:val="TableText"/>
              <w:jc w:val="right"/>
              <w:cnfStyle w:val="100000000000" w:firstRow="1" w:lastRow="0" w:firstColumn="0" w:lastColumn="0" w:oddVBand="0" w:evenVBand="0" w:oddHBand="0" w:evenHBand="0" w:firstRowFirstColumn="0" w:firstRowLastColumn="0" w:lastRowFirstColumn="0" w:lastRowLastColumn="0"/>
            </w:pPr>
            <w:r w:rsidRPr="00B34BB5">
              <w:t>Fuel (litres) per passenger per km</w:t>
            </w:r>
          </w:p>
        </w:tc>
      </w:tr>
      <w:tr w:rsidR="007728DC" w:rsidRPr="00B34BB5" w14:paraId="021AA00A" w14:textId="77777777" w:rsidTr="00D3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8" w:type="dxa"/>
            <w:tcBorders>
              <w:left w:val="nil"/>
            </w:tcBorders>
          </w:tcPr>
          <w:p w14:paraId="130FEDBE" w14:textId="77777777" w:rsidR="007728DC" w:rsidRPr="00B34BB5" w:rsidRDefault="007728DC" w:rsidP="00D31805">
            <w:pPr>
              <w:pStyle w:val="TableText"/>
            </w:pPr>
            <w:r w:rsidRPr="00B34BB5" w:rsidDel="002827AE">
              <w:rPr>
                <w:b w:val="0"/>
              </w:rPr>
              <w:t>Airbus A320</w:t>
            </w:r>
            <w:r>
              <w:rPr>
                <w:b w:val="0"/>
              </w:rPr>
              <w:t>*</w:t>
            </w:r>
          </w:p>
        </w:tc>
        <w:tc>
          <w:tcPr>
            <w:tcW w:w="993" w:type="dxa"/>
            <w:shd w:val="clear" w:color="auto" w:fill="auto"/>
          </w:tcPr>
          <w:p w14:paraId="65205D1A" w14:textId="77777777" w:rsidR="007728DC" w:rsidRPr="00B34BB5" w:rsidRDefault="007728DC" w:rsidP="00D31805">
            <w:pPr>
              <w:pStyle w:val="TableText"/>
              <w:jc w:val="right"/>
              <w:cnfStyle w:val="000000100000" w:firstRow="0" w:lastRow="0" w:firstColumn="0" w:lastColumn="0" w:oddVBand="0" w:evenVBand="0" w:oddHBand="1" w:evenHBand="0" w:firstRowFirstColumn="0" w:firstRowLastColumn="0" w:lastRowFirstColumn="0" w:lastRowLastColumn="0"/>
            </w:pPr>
            <w:r>
              <w:t>2,909.74</w:t>
            </w:r>
            <w:r w:rsidRPr="00B34BB5" w:rsidDel="002827AE">
              <w:t xml:space="preserve"> </w:t>
            </w:r>
          </w:p>
        </w:tc>
        <w:tc>
          <w:tcPr>
            <w:tcW w:w="1179" w:type="dxa"/>
            <w:shd w:val="clear" w:color="auto" w:fill="auto"/>
          </w:tcPr>
          <w:p w14:paraId="25A08870" w14:textId="77777777" w:rsidR="007728DC" w:rsidRPr="00B34BB5" w:rsidRDefault="007728DC" w:rsidP="00D31805">
            <w:pPr>
              <w:pStyle w:val="TableText"/>
              <w:jc w:val="right"/>
              <w:cnfStyle w:val="000000100000" w:firstRow="0" w:lastRow="0" w:firstColumn="0" w:lastColumn="0" w:oddVBand="0" w:evenVBand="0" w:oddHBand="1" w:evenHBand="0" w:firstRowFirstColumn="0" w:firstRowLastColumn="0" w:lastRowFirstColumn="0" w:lastRowLastColumn="0"/>
            </w:pPr>
            <w:r w:rsidRPr="00B34BB5" w:rsidDel="002827AE">
              <w:t>1</w:t>
            </w:r>
            <w:r>
              <w:t>43.2</w:t>
            </w:r>
          </w:p>
        </w:tc>
        <w:tc>
          <w:tcPr>
            <w:tcW w:w="1242" w:type="dxa"/>
            <w:shd w:val="clear" w:color="auto" w:fill="auto"/>
          </w:tcPr>
          <w:p w14:paraId="1A9EE9EF" w14:textId="77777777" w:rsidR="007728DC" w:rsidRPr="00B34BB5" w:rsidRDefault="007728DC" w:rsidP="00D31805">
            <w:pPr>
              <w:pStyle w:val="TableText"/>
              <w:jc w:val="right"/>
              <w:cnfStyle w:val="000000100000" w:firstRow="0" w:lastRow="0" w:firstColumn="0" w:lastColumn="0" w:oddVBand="0" w:evenVBand="0" w:oddHBand="1" w:evenHBand="0" w:firstRowFirstColumn="0" w:firstRowLastColumn="0" w:lastRowFirstColumn="0" w:lastRowLastColumn="0"/>
            </w:pPr>
            <w:r>
              <w:t>20.45</w:t>
            </w:r>
          </w:p>
        </w:tc>
        <w:tc>
          <w:tcPr>
            <w:tcW w:w="1179" w:type="dxa"/>
            <w:shd w:val="clear" w:color="auto" w:fill="auto"/>
          </w:tcPr>
          <w:p w14:paraId="5D8146F8" w14:textId="77777777" w:rsidR="007728DC" w:rsidRPr="00B34BB5" w:rsidRDefault="007728DC" w:rsidP="00D31805">
            <w:pPr>
              <w:pStyle w:val="TableText"/>
              <w:jc w:val="right"/>
              <w:cnfStyle w:val="000000100000" w:firstRow="0" w:lastRow="0" w:firstColumn="0" w:lastColumn="0" w:oddVBand="0" w:evenVBand="0" w:oddHBand="1" w:evenHBand="0" w:firstRowFirstColumn="0" w:firstRowLastColumn="0" w:lastRowFirstColumn="0" w:lastRowLastColumn="0"/>
            </w:pPr>
            <w:r w:rsidRPr="00F47F92">
              <w:t>0.</w:t>
            </w:r>
            <w:r>
              <w:t>0304</w:t>
            </w:r>
          </w:p>
        </w:tc>
        <w:tc>
          <w:tcPr>
            <w:tcW w:w="1304" w:type="dxa"/>
            <w:tcBorders>
              <w:right w:val="nil"/>
            </w:tcBorders>
          </w:tcPr>
          <w:p w14:paraId="438C8D6E" w14:textId="77777777" w:rsidR="007728DC" w:rsidRPr="00B34BB5" w:rsidRDefault="007728DC" w:rsidP="00D31805">
            <w:pPr>
              <w:pStyle w:val="TableText"/>
              <w:jc w:val="right"/>
              <w:cnfStyle w:val="000000100000" w:firstRow="0" w:lastRow="0" w:firstColumn="0" w:lastColumn="0" w:oddVBand="0" w:evenVBand="0" w:oddHBand="1" w:evenHBand="0" w:firstRowFirstColumn="0" w:firstRowLastColumn="0" w:lastRowFirstColumn="0" w:lastRowLastColumn="0"/>
            </w:pPr>
            <w:r w:rsidRPr="00F47F92">
              <w:t>0.</w:t>
            </w:r>
            <w:r>
              <w:t>0329</w:t>
            </w:r>
          </w:p>
        </w:tc>
      </w:tr>
      <w:tr w:rsidR="007728DC" w:rsidRPr="00B34BB5" w14:paraId="56A9A9B0" w14:textId="77777777" w:rsidTr="00D31805">
        <w:tc>
          <w:tcPr>
            <w:cnfStyle w:val="001000000000" w:firstRow="0" w:lastRow="0" w:firstColumn="1" w:lastColumn="0" w:oddVBand="0" w:evenVBand="0" w:oddHBand="0" w:evenHBand="0" w:firstRowFirstColumn="0" w:firstRowLastColumn="0" w:lastRowFirstColumn="0" w:lastRowLastColumn="0"/>
            <w:tcW w:w="2608" w:type="dxa"/>
            <w:tcBorders>
              <w:left w:val="nil"/>
            </w:tcBorders>
          </w:tcPr>
          <w:p w14:paraId="527A4266" w14:textId="77777777" w:rsidR="007728DC" w:rsidRPr="00B34BB5" w:rsidRDefault="007728DC" w:rsidP="00D31805">
            <w:pPr>
              <w:pStyle w:val="TableText"/>
            </w:pPr>
            <w:r w:rsidRPr="00B34BB5" w:rsidDel="002827AE">
              <w:rPr>
                <w:b w:val="0"/>
              </w:rPr>
              <w:t>Aerospatiale/Alenia ATR 72</w:t>
            </w:r>
            <w:r>
              <w:rPr>
                <w:b w:val="0"/>
              </w:rPr>
              <w:t>*</w:t>
            </w:r>
          </w:p>
        </w:tc>
        <w:tc>
          <w:tcPr>
            <w:tcW w:w="993" w:type="dxa"/>
            <w:shd w:val="clear" w:color="auto" w:fill="auto"/>
          </w:tcPr>
          <w:p w14:paraId="375227B0" w14:textId="77777777" w:rsidR="007728DC" w:rsidRPr="00B34BB5" w:rsidRDefault="007728DC" w:rsidP="00D31805">
            <w:pPr>
              <w:pStyle w:val="TableText"/>
              <w:jc w:val="right"/>
              <w:cnfStyle w:val="000000000000" w:firstRow="0" w:lastRow="0" w:firstColumn="0" w:lastColumn="0" w:oddVBand="0" w:evenVBand="0" w:oddHBand="0" w:evenHBand="0" w:firstRowFirstColumn="0" w:firstRowLastColumn="0" w:lastRowFirstColumn="0" w:lastRowLastColumn="0"/>
            </w:pPr>
            <w:r w:rsidRPr="00B34BB5" w:rsidDel="002827AE">
              <w:t>7</w:t>
            </w:r>
            <w:r>
              <w:t>43.19</w:t>
            </w:r>
            <w:r w:rsidRPr="00B34BB5" w:rsidDel="002827AE">
              <w:t xml:space="preserve"> </w:t>
            </w:r>
          </w:p>
        </w:tc>
        <w:tc>
          <w:tcPr>
            <w:tcW w:w="1179" w:type="dxa"/>
            <w:shd w:val="clear" w:color="auto" w:fill="auto"/>
          </w:tcPr>
          <w:p w14:paraId="65C9533E" w14:textId="77777777" w:rsidR="007728DC" w:rsidRPr="00B34BB5" w:rsidRDefault="007728DC" w:rsidP="00D31805">
            <w:pPr>
              <w:pStyle w:val="TableText"/>
              <w:jc w:val="right"/>
              <w:cnfStyle w:val="000000000000" w:firstRow="0" w:lastRow="0" w:firstColumn="0" w:lastColumn="0" w:oddVBand="0" w:evenVBand="0" w:oddHBand="0" w:evenHBand="0" w:firstRowFirstColumn="0" w:firstRowLastColumn="0" w:lastRowFirstColumn="0" w:lastRowLastColumn="0"/>
            </w:pPr>
            <w:r w:rsidRPr="00B34BB5" w:rsidDel="002827AE">
              <w:t>5</w:t>
            </w:r>
            <w:r>
              <w:t>5.0</w:t>
            </w:r>
          </w:p>
        </w:tc>
        <w:tc>
          <w:tcPr>
            <w:tcW w:w="1242" w:type="dxa"/>
            <w:shd w:val="clear" w:color="auto" w:fill="auto"/>
          </w:tcPr>
          <w:p w14:paraId="778B5639" w14:textId="77777777" w:rsidR="007728DC" w:rsidRPr="00B34BB5" w:rsidRDefault="007728DC" w:rsidP="00D31805">
            <w:pPr>
              <w:pStyle w:val="TableText"/>
              <w:jc w:val="right"/>
              <w:cnfStyle w:val="000000000000" w:firstRow="0" w:lastRow="0" w:firstColumn="0" w:lastColumn="0" w:oddVBand="0" w:evenVBand="0" w:oddHBand="0" w:evenHBand="0" w:firstRowFirstColumn="0" w:firstRowLastColumn="0" w:lastRowFirstColumn="0" w:lastRowLastColumn="0"/>
            </w:pPr>
            <w:r>
              <w:t>13.52</w:t>
            </w:r>
          </w:p>
        </w:tc>
        <w:tc>
          <w:tcPr>
            <w:tcW w:w="1179" w:type="dxa"/>
            <w:shd w:val="clear" w:color="auto" w:fill="auto"/>
          </w:tcPr>
          <w:p w14:paraId="3777CDB5" w14:textId="77777777" w:rsidR="007728DC" w:rsidRPr="00B34BB5" w:rsidRDefault="007728DC" w:rsidP="00D31805">
            <w:pPr>
              <w:pStyle w:val="TableText"/>
              <w:jc w:val="right"/>
              <w:cnfStyle w:val="000000000000" w:firstRow="0" w:lastRow="0" w:firstColumn="0" w:lastColumn="0" w:oddVBand="0" w:evenVBand="0" w:oddHBand="0" w:evenHBand="0" w:firstRowFirstColumn="0" w:firstRowLastColumn="0" w:lastRowFirstColumn="0" w:lastRowLastColumn="0"/>
            </w:pPr>
            <w:r w:rsidRPr="00457B9D">
              <w:t>0.</w:t>
            </w:r>
            <w:r w:rsidRPr="00B34BB5" w:rsidDel="002827AE">
              <w:t>0</w:t>
            </w:r>
            <w:r>
              <w:t>347</w:t>
            </w:r>
          </w:p>
        </w:tc>
        <w:tc>
          <w:tcPr>
            <w:tcW w:w="1304" w:type="dxa"/>
            <w:tcBorders>
              <w:right w:val="nil"/>
            </w:tcBorders>
          </w:tcPr>
          <w:p w14:paraId="0A1B5C1E" w14:textId="77777777" w:rsidR="007728DC" w:rsidRPr="00B34BB5" w:rsidRDefault="007728DC" w:rsidP="00D31805">
            <w:pPr>
              <w:pStyle w:val="TableText"/>
              <w:jc w:val="right"/>
              <w:cnfStyle w:val="000000000000" w:firstRow="0" w:lastRow="0" w:firstColumn="0" w:lastColumn="0" w:oddVBand="0" w:evenVBand="0" w:oddHBand="0" w:evenHBand="0" w:firstRowFirstColumn="0" w:firstRowLastColumn="0" w:lastRowFirstColumn="0" w:lastRowLastColumn="0"/>
            </w:pPr>
            <w:r w:rsidRPr="00457B9D">
              <w:t>0.</w:t>
            </w:r>
            <w:r w:rsidRPr="00B34BB5" w:rsidDel="002827AE">
              <w:t>0</w:t>
            </w:r>
            <w:r>
              <w:t>327</w:t>
            </w:r>
          </w:p>
        </w:tc>
      </w:tr>
      <w:tr w:rsidR="007728DC" w:rsidRPr="00B34BB5" w14:paraId="23F8CAAC" w14:textId="77777777" w:rsidTr="00D3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8" w:type="dxa"/>
            <w:tcBorders>
              <w:left w:val="nil"/>
            </w:tcBorders>
          </w:tcPr>
          <w:p w14:paraId="45DFA705" w14:textId="77777777" w:rsidR="007728DC" w:rsidRPr="00B34BB5" w:rsidRDefault="007728DC" w:rsidP="00D31805">
            <w:pPr>
              <w:pStyle w:val="TableText"/>
            </w:pPr>
            <w:r w:rsidRPr="00B34BB5" w:rsidDel="002827AE">
              <w:rPr>
                <w:b w:val="0"/>
              </w:rPr>
              <w:t>British Aerospace Jetstream 32</w:t>
            </w:r>
          </w:p>
        </w:tc>
        <w:tc>
          <w:tcPr>
            <w:tcW w:w="993" w:type="dxa"/>
            <w:shd w:val="clear" w:color="auto" w:fill="auto"/>
          </w:tcPr>
          <w:p w14:paraId="30173BBE" w14:textId="77777777" w:rsidR="007728DC" w:rsidRPr="00B34BB5" w:rsidRDefault="007728DC" w:rsidP="00D31805">
            <w:pPr>
              <w:pStyle w:val="TableText"/>
              <w:jc w:val="right"/>
              <w:cnfStyle w:val="000000100000" w:firstRow="0" w:lastRow="0" w:firstColumn="0" w:lastColumn="0" w:oddVBand="0" w:evenVBand="0" w:oddHBand="1" w:evenHBand="0" w:firstRowFirstColumn="0" w:firstRowLastColumn="0" w:lastRowFirstColumn="0" w:lastRowLastColumn="0"/>
            </w:pPr>
            <w:r w:rsidRPr="00B34BB5" w:rsidDel="002827AE">
              <w:t xml:space="preserve">291.84 </w:t>
            </w:r>
          </w:p>
        </w:tc>
        <w:tc>
          <w:tcPr>
            <w:tcW w:w="1179" w:type="dxa"/>
            <w:shd w:val="clear" w:color="auto" w:fill="auto"/>
          </w:tcPr>
          <w:p w14:paraId="065BA219" w14:textId="77777777" w:rsidR="007728DC" w:rsidRPr="00B34BB5" w:rsidRDefault="007728DC" w:rsidP="00D31805">
            <w:pPr>
              <w:pStyle w:val="TableText"/>
              <w:jc w:val="right"/>
              <w:cnfStyle w:val="000000100000" w:firstRow="0" w:lastRow="0" w:firstColumn="0" w:lastColumn="0" w:oddVBand="0" w:evenVBand="0" w:oddHBand="1" w:evenHBand="0" w:firstRowFirstColumn="0" w:firstRowLastColumn="0" w:lastRowFirstColumn="0" w:lastRowLastColumn="0"/>
            </w:pPr>
            <w:r w:rsidRPr="00B34BB5" w:rsidDel="002827AE">
              <w:t>15.2</w:t>
            </w:r>
          </w:p>
        </w:tc>
        <w:tc>
          <w:tcPr>
            <w:tcW w:w="1242" w:type="dxa"/>
            <w:shd w:val="clear" w:color="auto" w:fill="auto"/>
          </w:tcPr>
          <w:p w14:paraId="046643CC" w14:textId="77777777" w:rsidR="007728DC" w:rsidRPr="00B34BB5" w:rsidRDefault="007728DC" w:rsidP="00D31805">
            <w:pPr>
              <w:pStyle w:val="TableText"/>
              <w:jc w:val="right"/>
              <w:cnfStyle w:val="000000100000" w:firstRow="0" w:lastRow="0" w:firstColumn="0" w:lastColumn="0" w:oddVBand="0" w:evenVBand="0" w:oddHBand="1" w:evenHBand="0" w:firstRowFirstColumn="0" w:firstRowLastColumn="0" w:lastRowFirstColumn="0" w:lastRowLastColumn="0"/>
            </w:pPr>
            <w:r w:rsidRPr="00B34BB5" w:rsidDel="002827AE">
              <w:t>19.200</w:t>
            </w:r>
          </w:p>
        </w:tc>
        <w:tc>
          <w:tcPr>
            <w:tcW w:w="1179" w:type="dxa"/>
            <w:shd w:val="clear" w:color="auto" w:fill="auto"/>
          </w:tcPr>
          <w:p w14:paraId="62438AC0" w14:textId="77777777" w:rsidR="007728DC" w:rsidRPr="00B34BB5" w:rsidRDefault="007728DC" w:rsidP="00D31805">
            <w:pPr>
              <w:pStyle w:val="TableText"/>
              <w:jc w:val="right"/>
              <w:cnfStyle w:val="000000100000" w:firstRow="0" w:lastRow="0" w:firstColumn="0" w:lastColumn="0" w:oddVBand="0" w:evenVBand="0" w:oddHBand="1" w:evenHBand="0" w:firstRowFirstColumn="0" w:firstRowLastColumn="0" w:lastRowFirstColumn="0" w:lastRowLastColumn="0"/>
            </w:pPr>
            <w:r w:rsidRPr="00457B9D">
              <w:t>0.</w:t>
            </w:r>
            <w:r w:rsidRPr="00B34BB5" w:rsidDel="002827AE">
              <w:t>1144</w:t>
            </w:r>
          </w:p>
        </w:tc>
        <w:tc>
          <w:tcPr>
            <w:tcW w:w="1304" w:type="dxa"/>
            <w:tcBorders>
              <w:right w:val="nil"/>
            </w:tcBorders>
          </w:tcPr>
          <w:p w14:paraId="542ED6F1" w14:textId="77777777" w:rsidR="007728DC" w:rsidRPr="00B34BB5" w:rsidRDefault="007728DC" w:rsidP="00D31805">
            <w:pPr>
              <w:pStyle w:val="TableText"/>
              <w:jc w:val="right"/>
              <w:cnfStyle w:val="000000100000" w:firstRow="0" w:lastRow="0" w:firstColumn="0" w:lastColumn="0" w:oddVBand="0" w:evenVBand="0" w:oddHBand="1" w:evenHBand="0" w:firstRowFirstColumn="0" w:firstRowLastColumn="0" w:lastRowFirstColumn="0" w:lastRowLastColumn="0"/>
            </w:pPr>
            <w:r w:rsidRPr="00457B9D">
              <w:t>0.</w:t>
            </w:r>
            <w:r w:rsidRPr="00B34BB5" w:rsidDel="002827AE">
              <w:t>0727</w:t>
            </w:r>
          </w:p>
        </w:tc>
      </w:tr>
      <w:tr w:rsidR="007728DC" w:rsidRPr="00B34BB5" w14:paraId="08B4C0C6" w14:textId="77777777" w:rsidTr="00D31805">
        <w:tc>
          <w:tcPr>
            <w:cnfStyle w:val="001000000000" w:firstRow="0" w:lastRow="0" w:firstColumn="1" w:lastColumn="0" w:oddVBand="0" w:evenVBand="0" w:oddHBand="0" w:evenHBand="0" w:firstRowFirstColumn="0" w:firstRowLastColumn="0" w:lastRowFirstColumn="0" w:lastRowLastColumn="0"/>
            <w:tcW w:w="2608" w:type="dxa"/>
            <w:tcBorders>
              <w:left w:val="nil"/>
            </w:tcBorders>
          </w:tcPr>
          <w:p w14:paraId="1A83EA46" w14:textId="77777777" w:rsidR="007728DC" w:rsidRPr="00B34BB5" w:rsidRDefault="007728DC" w:rsidP="00D31805">
            <w:pPr>
              <w:pStyle w:val="TableText"/>
            </w:pPr>
            <w:r w:rsidRPr="00B34BB5" w:rsidDel="002827AE">
              <w:rPr>
                <w:b w:val="0"/>
              </w:rPr>
              <w:t>Beechcraft Beech 1900D</w:t>
            </w:r>
          </w:p>
        </w:tc>
        <w:tc>
          <w:tcPr>
            <w:tcW w:w="993" w:type="dxa"/>
            <w:shd w:val="clear" w:color="auto" w:fill="auto"/>
          </w:tcPr>
          <w:p w14:paraId="51BF4556" w14:textId="77777777" w:rsidR="007728DC" w:rsidRPr="00B34BB5" w:rsidRDefault="007728DC" w:rsidP="00D31805">
            <w:pPr>
              <w:pStyle w:val="TableText"/>
              <w:jc w:val="right"/>
              <w:cnfStyle w:val="000000000000" w:firstRow="0" w:lastRow="0" w:firstColumn="0" w:lastColumn="0" w:oddVBand="0" w:evenVBand="0" w:oddHBand="0" w:evenHBand="0" w:firstRowFirstColumn="0" w:firstRowLastColumn="0" w:lastRowFirstColumn="0" w:lastRowLastColumn="0"/>
            </w:pPr>
            <w:r w:rsidRPr="00B34BB5" w:rsidDel="002827AE">
              <w:t xml:space="preserve">342.92 </w:t>
            </w:r>
          </w:p>
        </w:tc>
        <w:tc>
          <w:tcPr>
            <w:tcW w:w="1179" w:type="dxa"/>
            <w:shd w:val="clear" w:color="auto" w:fill="auto"/>
          </w:tcPr>
          <w:p w14:paraId="31D3E024" w14:textId="77777777" w:rsidR="007728DC" w:rsidRPr="00B34BB5" w:rsidRDefault="007728DC" w:rsidP="00D31805">
            <w:pPr>
              <w:pStyle w:val="TableText"/>
              <w:jc w:val="right"/>
              <w:cnfStyle w:val="000000000000" w:firstRow="0" w:lastRow="0" w:firstColumn="0" w:lastColumn="0" w:oddVBand="0" w:evenVBand="0" w:oddHBand="0" w:evenHBand="0" w:firstRowFirstColumn="0" w:firstRowLastColumn="0" w:lastRowFirstColumn="0" w:lastRowLastColumn="0"/>
            </w:pPr>
            <w:r w:rsidRPr="00B34BB5" w:rsidDel="002827AE">
              <w:t>15.2</w:t>
            </w:r>
          </w:p>
        </w:tc>
        <w:tc>
          <w:tcPr>
            <w:tcW w:w="1242" w:type="dxa"/>
            <w:shd w:val="clear" w:color="auto" w:fill="auto"/>
          </w:tcPr>
          <w:p w14:paraId="284A8E23" w14:textId="77777777" w:rsidR="007728DC" w:rsidRPr="00B34BB5" w:rsidRDefault="007728DC" w:rsidP="00D31805">
            <w:pPr>
              <w:pStyle w:val="TableText"/>
              <w:jc w:val="right"/>
              <w:cnfStyle w:val="000000000000" w:firstRow="0" w:lastRow="0" w:firstColumn="0" w:lastColumn="0" w:oddVBand="0" w:evenVBand="0" w:oddHBand="0" w:evenHBand="0" w:firstRowFirstColumn="0" w:firstRowLastColumn="0" w:lastRowFirstColumn="0" w:lastRowLastColumn="0"/>
            </w:pPr>
            <w:r w:rsidRPr="00B34BB5" w:rsidDel="002827AE">
              <w:t>22.561</w:t>
            </w:r>
          </w:p>
        </w:tc>
        <w:tc>
          <w:tcPr>
            <w:tcW w:w="1179" w:type="dxa"/>
            <w:shd w:val="clear" w:color="auto" w:fill="auto"/>
          </w:tcPr>
          <w:p w14:paraId="4F3B8C03" w14:textId="77777777" w:rsidR="007728DC" w:rsidRPr="00B34BB5" w:rsidRDefault="007728DC" w:rsidP="00D31805">
            <w:pPr>
              <w:pStyle w:val="TableText"/>
              <w:jc w:val="right"/>
              <w:cnfStyle w:val="000000000000" w:firstRow="0" w:lastRow="0" w:firstColumn="0" w:lastColumn="0" w:oddVBand="0" w:evenVBand="0" w:oddHBand="0" w:evenHBand="0" w:firstRowFirstColumn="0" w:firstRowLastColumn="0" w:lastRowFirstColumn="0" w:lastRowLastColumn="0"/>
            </w:pPr>
            <w:r w:rsidRPr="00457B9D">
              <w:t>0.</w:t>
            </w:r>
            <w:r w:rsidRPr="00B34BB5" w:rsidDel="002827AE">
              <w:t>0900</w:t>
            </w:r>
          </w:p>
        </w:tc>
        <w:tc>
          <w:tcPr>
            <w:tcW w:w="1304" w:type="dxa"/>
            <w:tcBorders>
              <w:right w:val="nil"/>
            </w:tcBorders>
          </w:tcPr>
          <w:p w14:paraId="3A772AE1" w14:textId="77777777" w:rsidR="007728DC" w:rsidRPr="00B34BB5" w:rsidRDefault="007728DC" w:rsidP="00D31805">
            <w:pPr>
              <w:pStyle w:val="TableText"/>
              <w:jc w:val="right"/>
              <w:cnfStyle w:val="000000000000" w:firstRow="0" w:lastRow="0" w:firstColumn="0" w:lastColumn="0" w:oddVBand="0" w:evenVBand="0" w:oddHBand="0" w:evenHBand="0" w:firstRowFirstColumn="0" w:firstRowLastColumn="0" w:lastRowFirstColumn="0" w:lastRowLastColumn="0"/>
            </w:pPr>
            <w:r w:rsidRPr="00457B9D">
              <w:t>0.</w:t>
            </w:r>
            <w:r w:rsidRPr="00B34BB5" w:rsidDel="002827AE">
              <w:t>0572</w:t>
            </w:r>
          </w:p>
        </w:tc>
      </w:tr>
      <w:tr w:rsidR="007728DC" w:rsidRPr="00B34BB5" w14:paraId="43B1A8D9" w14:textId="77777777" w:rsidTr="00D3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8" w:type="dxa"/>
            <w:tcBorders>
              <w:left w:val="nil"/>
            </w:tcBorders>
          </w:tcPr>
          <w:p w14:paraId="195426E7" w14:textId="77777777" w:rsidR="007728DC" w:rsidRPr="00B34BB5" w:rsidRDefault="007728DC" w:rsidP="00D31805">
            <w:pPr>
              <w:pStyle w:val="TableText"/>
            </w:pPr>
            <w:r w:rsidRPr="00B34BB5" w:rsidDel="002827AE">
              <w:rPr>
                <w:b w:val="0"/>
              </w:rPr>
              <w:t>Cessna Light Aircraft</w:t>
            </w:r>
          </w:p>
        </w:tc>
        <w:tc>
          <w:tcPr>
            <w:tcW w:w="993" w:type="dxa"/>
            <w:shd w:val="clear" w:color="auto" w:fill="auto"/>
          </w:tcPr>
          <w:p w14:paraId="4C651D85" w14:textId="77777777" w:rsidR="007728DC" w:rsidRPr="00B34BB5" w:rsidRDefault="007728DC" w:rsidP="00D31805">
            <w:pPr>
              <w:pStyle w:val="TableText"/>
              <w:jc w:val="right"/>
              <w:cnfStyle w:val="000000100000" w:firstRow="0" w:lastRow="0" w:firstColumn="0" w:lastColumn="0" w:oddVBand="0" w:evenVBand="0" w:oddHBand="1" w:evenHBand="0" w:firstRowFirstColumn="0" w:firstRowLastColumn="0" w:lastRowFirstColumn="0" w:lastRowLastColumn="0"/>
            </w:pPr>
            <w:r w:rsidRPr="00B34BB5" w:rsidDel="002827AE">
              <w:t xml:space="preserve">122.52 </w:t>
            </w:r>
          </w:p>
        </w:tc>
        <w:tc>
          <w:tcPr>
            <w:tcW w:w="1179" w:type="dxa"/>
            <w:shd w:val="clear" w:color="auto" w:fill="auto"/>
          </w:tcPr>
          <w:p w14:paraId="5E2A5A98" w14:textId="77777777" w:rsidR="007728DC" w:rsidRPr="00B34BB5" w:rsidRDefault="007728DC" w:rsidP="00D31805">
            <w:pPr>
              <w:pStyle w:val="TableText"/>
              <w:jc w:val="right"/>
              <w:cnfStyle w:val="000000100000" w:firstRow="0" w:lastRow="0" w:firstColumn="0" w:lastColumn="0" w:oddVBand="0" w:evenVBand="0" w:oddHBand="1" w:evenHBand="0" w:firstRowFirstColumn="0" w:firstRowLastColumn="0" w:lastRowFirstColumn="0" w:lastRowLastColumn="0"/>
            </w:pPr>
            <w:r w:rsidRPr="00B34BB5" w:rsidDel="002827AE">
              <w:t>4.8</w:t>
            </w:r>
          </w:p>
        </w:tc>
        <w:tc>
          <w:tcPr>
            <w:tcW w:w="1242" w:type="dxa"/>
            <w:shd w:val="clear" w:color="auto" w:fill="auto"/>
          </w:tcPr>
          <w:p w14:paraId="19E26CE9" w14:textId="77777777" w:rsidR="007728DC" w:rsidRPr="00B34BB5" w:rsidRDefault="007728DC" w:rsidP="00D31805">
            <w:pPr>
              <w:pStyle w:val="TableText"/>
              <w:jc w:val="right"/>
              <w:cnfStyle w:val="000000100000" w:firstRow="0" w:lastRow="0" w:firstColumn="0" w:lastColumn="0" w:oddVBand="0" w:evenVBand="0" w:oddHBand="1" w:evenHBand="0" w:firstRowFirstColumn="0" w:firstRowLastColumn="0" w:lastRowFirstColumn="0" w:lastRowLastColumn="0"/>
            </w:pPr>
            <w:r w:rsidRPr="00B34BB5" w:rsidDel="002827AE">
              <w:t>25.526</w:t>
            </w:r>
          </w:p>
        </w:tc>
        <w:tc>
          <w:tcPr>
            <w:tcW w:w="1179" w:type="dxa"/>
            <w:shd w:val="clear" w:color="auto" w:fill="auto"/>
          </w:tcPr>
          <w:p w14:paraId="1E78EB82" w14:textId="77777777" w:rsidR="007728DC" w:rsidRPr="00B34BB5" w:rsidRDefault="007728DC" w:rsidP="00D31805">
            <w:pPr>
              <w:pStyle w:val="TableText"/>
              <w:jc w:val="right"/>
              <w:cnfStyle w:val="000000100000" w:firstRow="0" w:lastRow="0" w:firstColumn="0" w:lastColumn="0" w:oddVBand="0" w:evenVBand="0" w:oddHBand="1" w:evenHBand="0" w:firstRowFirstColumn="0" w:firstRowLastColumn="0" w:lastRowFirstColumn="0" w:lastRowLastColumn="0"/>
            </w:pPr>
            <w:r w:rsidRPr="00457B9D">
              <w:t>0.</w:t>
            </w:r>
            <w:r w:rsidRPr="00B34BB5" w:rsidDel="002827AE">
              <w:t>2663</w:t>
            </w:r>
          </w:p>
        </w:tc>
        <w:tc>
          <w:tcPr>
            <w:tcW w:w="1304" w:type="dxa"/>
            <w:tcBorders>
              <w:right w:val="nil"/>
            </w:tcBorders>
          </w:tcPr>
          <w:p w14:paraId="1FEF8AEF" w14:textId="77777777" w:rsidR="007728DC" w:rsidRPr="00B34BB5" w:rsidRDefault="007728DC" w:rsidP="00D31805">
            <w:pPr>
              <w:pStyle w:val="TableText"/>
              <w:jc w:val="right"/>
              <w:cnfStyle w:val="000000100000" w:firstRow="0" w:lastRow="0" w:firstColumn="0" w:lastColumn="0" w:oddVBand="0" w:evenVBand="0" w:oddHBand="1" w:evenHBand="0" w:firstRowFirstColumn="0" w:firstRowLastColumn="0" w:lastRowFirstColumn="0" w:lastRowLastColumn="0"/>
            </w:pPr>
            <w:r w:rsidRPr="00457B9D">
              <w:t>0.</w:t>
            </w:r>
            <w:r w:rsidRPr="00B34BB5" w:rsidDel="002827AE">
              <w:t>1690</w:t>
            </w:r>
          </w:p>
        </w:tc>
      </w:tr>
      <w:tr w:rsidR="007728DC" w:rsidRPr="00B34BB5" w14:paraId="2D698C1C" w14:textId="77777777" w:rsidTr="00D31805">
        <w:tc>
          <w:tcPr>
            <w:cnfStyle w:val="001000000000" w:firstRow="0" w:lastRow="0" w:firstColumn="1" w:lastColumn="0" w:oddVBand="0" w:evenVBand="0" w:oddHBand="0" w:evenHBand="0" w:firstRowFirstColumn="0" w:firstRowLastColumn="0" w:lastRowFirstColumn="0" w:lastRowLastColumn="0"/>
            <w:tcW w:w="2608" w:type="dxa"/>
            <w:tcBorders>
              <w:left w:val="nil"/>
            </w:tcBorders>
          </w:tcPr>
          <w:p w14:paraId="11A76540" w14:textId="77777777" w:rsidR="007728DC" w:rsidRPr="006F7DAB" w:rsidRDefault="007728DC" w:rsidP="00D31805">
            <w:pPr>
              <w:pStyle w:val="TableText"/>
              <w:rPr>
                <w:rStyle w:val="normaltextrun"/>
                <w:rFonts w:cs="Calibri"/>
                <w:color w:val="D13438"/>
                <w:szCs w:val="18"/>
                <w:u w:val="single"/>
                <w:shd w:val="clear" w:color="auto" w:fill="E1F2FA"/>
              </w:rPr>
            </w:pPr>
            <w:r w:rsidRPr="00B34BB5" w:rsidDel="002827AE">
              <w:rPr>
                <w:b w:val="0"/>
              </w:rPr>
              <w:lastRenderedPageBreak/>
              <w:t>De Havilland Canada DHC-8-300 Dash 8/8Q</w:t>
            </w:r>
            <w:r>
              <w:rPr>
                <w:b w:val="0"/>
              </w:rPr>
              <w:t>, Q300*</w:t>
            </w:r>
          </w:p>
        </w:tc>
        <w:tc>
          <w:tcPr>
            <w:tcW w:w="993" w:type="dxa"/>
            <w:shd w:val="clear" w:color="auto" w:fill="auto"/>
          </w:tcPr>
          <w:p w14:paraId="5DE4089D" w14:textId="77777777" w:rsidR="007728DC" w:rsidRPr="00457B9D" w:rsidRDefault="007728DC" w:rsidP="00D31805">
            <w:pPr>
              <w:pStyle w:val="TableText"/>
              <w:jc w:val="right"/>
              <w:cnfStyle w:val="000000000000" w:firstRow="0" w:lastRow="0" w:firstColumn="0" w:lastColumn="0" w:oddVBand="0" w:evenVBand="0" w:oddHBand="0" w:evenHBand="0" w:firstRowFirstColumn="0" w:firstRowLastColumn="0" w:lastRowFirstColumn="0" w:lastRowLastColumn="0"/>
            </w:pPr>
            <w:r>
              <w:t>708.64</w:t>
            </w:r>
            <w:r w:rsidRPr="00B34BB5" w:rsidDel="002827AE">
              <w:t xml:space="preserve"> </w:t>
            </w:r>
          </w:p>
        </w:tc>
        <w:tc>
          <w:tcPr>
            <w:tcW w:w="1179" w:type="dxa"/>
            <w:shd w:val="clear" w:color="auto" w:fill="auto"/>
          </w:tcPr>
          <w:p w14:paraId="102B4A00" w14:textId="77777777" w:rsidR="007728DC" w:rsidRPr="00457B9D" w:rsidRDefault="007728DC" w:rsidP="00D31805">
            <w:pPr>
              <w:pStyle w:val="TableText"/>
              <w:jc w:val="right"/>
              <w:cnfStyle w:val="000000000000" w:firstRow="0" w:lastRow="0" w:firstColumn="0" w:lastColumn="0" w:oddVBand="0" w:evenVBand="0" w:oddHBand="0" w:evenHBand="0" w:firstRowFirstColumn="0" w:firstRowLastColumn="0" w:lastRowFirstColumn="0" w:lastRowLastColumn="0"/>
            </w:pPr>
            <w:r w:rsidRPr="00B34BB5" w:rsidDel="002827AE">
              <w:t>40</w:t>
            </w:r>
            <w:r>
              <w:t>.6</w:t>
            </w:r>
          </w:p>
        </w:tc>
        <w:tc>
          <w:tcPr>
            <w:tcW w:w="1242" w:type="dxa"/>
            <w:shd w:val="clear" w:color="auto" w:fill="auto"/>
          </w:tcPr>
          <w:p w14:paraId="67C2A91B" w14:textId="77777777" w:rsidR="007728DC" w:rsidRPr="00457B9D" w:rsidRDefault="007728DC" w:rsidP="00D31805">
            <w:pPr>
              <w:pStyle w:val="TableText"/>
              <w:jc w:val="right"/>
              <w:cnfStyle w:val="000000000000" w:firstRow="0" w:lastRow="0" w:firstColumn="0" w:lastColumn="0" w:oddVBand="0" w:evenVBand="0" w:oddHBand="0" w:evenHBand="0" w:firstRowFirstColumn="0" w:firstRowLastColumn="0" w:lastRowFirstColumn="0" w:lastRowLastColumn="0"/>
            </w:pPr>
            <w:r>
              <w:t>17.515</w:t>
            </w:r>
          </w:p>
        </w:tc>
        <w:tc>
          <w:tcPr>
            <w:tcW w:w="1179" w:type="dxa"/>
            <w:shd w:val="clear" w:color="auto" w:fill="auto"/>
          </w:tcPr>
          <w:p w14:paraId="31DE591C" w14:textId="77777777" w:rsidR="007728DC" w:rsidRPr="00457B9D" w:rsidRDefault="007728DC" w:rsidP="00D31805">
            <w:pPr>
              <w:pStyle w:val="TableText"/>
              <w:jc w:val="right"/>
              <w:cnfStyle w:val="000000000000" w:firstRow="0" w:lastRow="0" w:firstColumn="0" w:lastColumn="0" w:oddVBand="0" w:evenVBand="0" w:oddHBand="0" w:evenHBand="0" w:firstRowFirstColumn="0" w:firstRowLastColumn="0" w:lastRowFirstColumn="0" w:lastRowLastColumn="0"/>
            </w:pPr>
            <w:r w:rsidRPr="00B34BB5" w:rsidDel="002827AE">
              <w:t>0.0</w:t>
            </w:r>
            <w:r>
              <w:t>559</w:t>
            </w:r>
          </w:p>
        </w:tc>
        <w:tc>
          <w:tcPr>
            <w:tcW w:w="1304" w:type="dxa"/>
            <w:tcBorders>
              <w:right w:val="nil"/>
            </w:tcBorders>
          </w:tcPr>
          <w:p w14:paraId="3A0D5B04" w14:textId="77777777" w:rsidR="007728DC" w:rsidRPr="00457B9D" w:rsidRDefault="007728DC" w:rsidP="00D31805">
            <w:pPr>
              <w:pStyle w:val="TableText"/>
              <w:jc w:val="right"/>
              <w:cnfStyle w:val="000000000000" w:firstRow="0" w:lastRow="0" w:firstColumn="0" w:lastColumn="0" w:oddVBand="0" w:evenVBand="0" w:oddHBand="0" w:evenHBand="0" w:firstRowFirstColumn="0" w:firstRowLastColumn="0" w:lastRowFirstColumn="0" w:lastRowLastColumn="0"/>
            </w:pPr>
            <w:r w:rsidRPr="00B34BB5" w:rsidDel="002827AE">
              <w:t>0.0</w:t>
            </w:r>
            <w:r>
              <w:t>490</w:t>
            </w:r>
          </w:p>
        </w:tc>
      </w:tr>
      <w:tr w:rsidR="007728DC" w:rsidRPr="00B34BB5" w14:paraId="379EE6AF" w14:textId="77777777" w:rsidTr="00D3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8" w:type="dxa"/>
            <w:tcBorders>
              <w:left w:val="nil"/>
            </w:tcBorders>
          </w:tcPr>
          <w:p w14:paraId="4530D7FA" w14:textId="77777777" w:rsidR="007728DC" w:rsidRPr="006F7DAB" w:rsidRDefault="007728DC" w:rsidP="00D31805">
            <w:pPr>
              <w:pStyle w:val="TableText"/>
              <w:rPr>
                <w:rStyle w:val="normaltextrun"/>
                <w:rFonts w:cs="Calibri"/>
                <w:color w:val="D13438"/>
                <w:szCs w:val="18"/>
                <w:u w:val="single"/>
                <w:shd w:val="clear" w:color="auto" w:fill="E1F2FA"/>
              </w:rPr>
            </w:pPr>
            <w:r w:rsidRPr="00B34BB5" w:rsidDel="002827AE">
              <w:rPr>
                <w:b w:val="0"/>
              </w:rPr>
              <w:t>Pilatus PC-12</w:t>
            </w:r>
          </w:p>
        </w:tc>
        <w:tc>
          <w:tcPr>
            <w:tcW w:w="993" w:type="dxa"/>
            <w:shd w:val="clear" w:color="auto" w:fill="auto"/>
          </w:tcPr>
          <w:p w14:paraId="7DDA686F" w14:textId="77777777" w:rsidR="007728DC" w:rsidRPr="00457B9D" w:rsidRDefault="007728DC" w:rsidP="00D31805">
            <w:pPr>
              <w:pStyle w:val="TableText"/>
              <w:jc w:val="right"/>
              <w:cnfStyle w:val="000000100000" w:firstRow="0" w:lastRow="0" w:firstColumn="0" w:lastColumn="0" w:oddVBand="0" w:evenVBand="0" w:oddHBand="1" w:evenHBand="0" w:firstRowFirstColumn="0" w:firstRowLastColumn="0" w:lastRowFirstColumn="0" w:lastRowLastColumn="0"/>
            </w:pPr>
            <w:r w:rsidRPr="00B34BB5" w:rsidDel="002827AE">
              <w:t xml:space="preserve">196.50 </w:t>
            </w:r>
          </w:p>
        </w:tc>
        <w:tc>
          <w:tcPr>
            <w:tcW w:w="1179" w:type="dxa"/>
            <w:shd w:val="clear" w:color="auto" w:fill="auto"/>
          </w:tcPr>
          <w:p w14:paraId="3EE569A1" w14:textId="77777777" w:rsidR="007728DC" w:rsidRPr="00457B9D" w:rsidRDefault="007728DC" w:rsidP="00D31805">
            <w:pPr>
              <w:pStyle w:val="TableText"/>
              <w:jc w:val="right"/>
              <w:cnfStyle w:val="000000100000" w:firstRow="0" w:lastRow="0" w:firstColumn="0" w:lastColumn="0" w:oddVBand="0" w:evenVBand="0" w:oddHBand="1" w:evenHBand="0" w:firstRowFirstColumn="0" w:firstRowLastColumn="0" w:lastRowFirstColumn="0" w:lastRowLastColumn="0"/>
            </w:pPr>
            <w:r w:rsidRPr="00B34BB5" w:rsidDel="002827AE">
              <w:t>7.2</w:t>
            </w:r>
          </w:p>
        </w:tc>
        <w:tc>
          <w:tcPr>
            <w:tcW w:w="1242" w:type="dxa"/>
            <w:shd w:val="clear" w:color="auto" w:fill="auto"/>
          </w:tcPr>
          <w:p w14:paraId="02121059" w14:textId="77777777" w:rsidR="007728DC" w:rsidRPr="00457B9D" w:rsidRDefault="007728DC" w:rsidP="00D31805">
            <w:pPr>
              <w:pStyle w:val="TableText"/>
              <w:jc w:val="right"/>
              <w:cnfStyle w:val="000000100000" w:firstRow="0" w:lastRow="0" w:firstColumn="0" w:lastColumn="0" w:oddVBand="0" w:evenVBand="0" w:oddHBand="1" w:evenHBand="0" w:firstRowFirstColumn="0" w:firstRowLastColumn="0" w:lastRowFirstColumn="0" w:lastRowLastColumn="0"/>
            </w:pPr>
            <w:r w:rsidRPr="00B34BB5" w:rsidDel="002827AE">
              <w:t>27.292</w:t>
            </w:r>
          </w:p>
        </w:tc>
        <w:tc>
          <w:tcPr>
            <w:tcW w:w="1179" w:type="dxa"/>
            <w:shd w:val="clear" w:color="auto" w:fill="auto"/>
          </w:tcPr>
          <w:p w14:paraId="0A09C50E" w14:textId="77777777" w:rsidR="007728DC" w:rsidRPr="00457B9D" w:rsidRDefault="007728DC" w:rsidP="00D31805">
            <w:pPr>
              <w:pStyle w:val="TableText"/>
              <w:jc w:val="right"/>
              <w:cnfStyle w:val="000000100000" w:firstRow="0" w:lastRow="0" w:firstColumn="0" w:lastColumn="0" w:oddVBand="0" w:evenVBand="0" w:oddHBand="1" w:evenHBand="0" w:firstRowFirstColumn="0" w:firstRowLastColumn="0" w:lastRowFirstColumn="0" w:lastRowLastColumn="0"/>
            </w:pPr>
            <w:r w:rsidRPr="00B34BB5" w:rsidDel="002827AE">
              <w:t>0.0908</w:t>
            </w:r>
          </w:p>
        </w:tc>
        <w:tc>
          <w:tcPr>
            <w:tcW w:w="1304" w:type="dxa"/>
            <w:tcBorders>
              <w:right w:val="nil"/>
            </w:tcBorders>
          </w:tcPr>
          <w:p w14:paraId="33D96FB3" w14:textId="77777777" w:rsidR="007728DC" w:rsidRPr="00457B9D" w:rsidRDefault="007728DC" w:rsidP="00D31805">
            <w:pPr>
              <w:pStyle w:val="TableText"/>
              <w:jc w:val="right"/>
              <w:cnfStyle w:val="000000100000" w:firstRow="0" w:lastRow="0" w:firstColumn="0" w:lastColumn="0" w:oddVBand="0" w:evenVBand="0" w:oddHBand="1" w:evenHBand="0" w:firstRowFirstColumn="0" w:firstRowLastColumn="0" w:lastRowFirstColumn="0" w:lastRowLastColumn="0"/>
            </w:pPr>
            <w:r w:rsidRPr="00B34BB5" w:rsidDel="002827AE">
              <w:t>0.0576</w:t>
            </w:r>
          </w:p>
        </w:tc>
      </w:tr>
      <w:tr w:rsidR="007728DC" w:rsidRPr="00B34BB5" w14:paraId="6D917A4F" w14:textId="77777777" w:rsidTr="00D31805">
        <w:tc>
          <w:tcPr>
            <w:cnfStyle w:val="001000000000" w:firstRow="0" w:lastRow="0" w:firstColumn="1" w:lastColumn="0" w:oddVBand="0" w:evenVBand="0" w:oddHBand="0" w:evenHBand="0" w:firstRowFirstColumn="0" w:firstRowLastColumn="0" w:lastRowFirstColumn="0" w:lastRowLastColumn="0"/>
            <w:tcW w:w="2608" w:type="dxa"/>
            <w:tcBorders>
              <w:left w:val="nil"/>
            </w:tcBorders>
          </w:tcPr>
          <w:p w14:paraId="660488CC" w14:textId="77777777" w:rsidR="007728DC" w:rsidRPr="006F7DAB" w:rsidRDefault="007728DC" w:rsidP="00D31805">
            <w:pPr>
              <w:pStyle w:val="TableText"/>
              <w:rPr>
                <w:rStyle w:val="normaltextrun"/>
                <w:rFonts w:cs="Calibri"/>
                <w:color w:val="D13438"/>
                <w:szCs w:val="18"/>
                <w:u w:val="single"/>
                <w:shd w:val="clear" w:color="auto" w:fill="E1F2FA"/>
              </w:rPr>
            </w:pPr>
            <w:r w:rsidRPr="00B34BB5" w:rsidDel="002827AE">
              <w:rPr>
                <w:b w:val="0"/>
              </w:rPr>
              <w:t>Saab SF-340</w:t>
            </w:r>
          </w:p>
        </w:tc>
        <w:tc>
          <w:tcPr>
            <w:tcW w:w="993" w:type="dxa"/>
            <w:shd w:val="clear" w:color="auto" w:fill="auto"/>
          </w:tcPr>
          <w:p w14:paraId="5700EBB3" w14:textId="77777777" w:rsidR="007728DC" w:rsidRPr="00457B9D" w:rsidRDefault="007728DC" w:rsidP="00D31805">
            <w:pPr>
              <w:pStyle w:val="TableText"/>
              <w:jc w:val="right"/>
              <w:cnfStyle w:val="000000000000" w:firstRow="0" w:lastRow="0" w:firstColumn="0" w:lastColumn="0" w:oddVBand="0" w:evenVBand="0" w:oddHBand="0" w:evenHBand="0" w:firstRowFirstColumn="0" w:firstRowLastColumn="0" w:lastRowFirstColumn="0" w:lastRowLastColumn="0"/>
            </w:pPr>
            <w:r w:rsidRPr="00B34BB5" w:rsidDel="002827AE">
              <w:t xml:space="preserve">609.84 </w:t>
            </w:r>
          </w:p>
        </w:tc>
        <w:tc>
          <w:tcPr>
            <w:tcW w:w="1179" w:type="dxa"/>
            <w:shd w:val="clear" w:color="auto" w:fill="auto"/>
          </w:tcPr>
          <w:p w14:paraId="595F19F4" w14:textId="77777777" w:rsidR="007728DC" w:rsidRPr="00457B9D" w:rsidRDefault="007728DC" w:rsidP="00D31805">
            <w:pPr>
              <w:pStyle w:val="TableText"/>
              <w:jc w:val="right"/>
              <w:cnfStyle w:val="000000000000" w:firstRow="0" w:lastRow="0" w:firstColumn="0" w:lastColumn="0" w:oddVBand="0" w:evenVBand="0" w:oddHBand="0" w:evenHBand="0" w:firstRowFirstColumn="0" w:firstRowLastColumn="0" w:lastRowFirstColumn="0" w:lastRowLastColumn="0"/>
            </w:pPr>
            <w:r w:rsidRPr="00B34BB5" w:rsidDel="002827AE">
              <w:t>27.2</w:t>
            </w:r>
          </w:p>
        </w:tc>
        <w:tc>
          <w:tcPr>
            <w:tcW w:w="1242" w:type="dxa"/>
            <w:shd w:val="clear" w:color="auto" w:fill="auto"/>
          </w:tcPr>
          <w:p w14:paraId="30737D02" w14:textId="77777777" w:rsidR="007728DC" w:rsidRPr="00457B9D" w:rsidRDefault="007728DC" w:rsidP="00D31805">
            <w:pPr>
              <w:pStyle w:val="TableText"/>
              <w:jc w:val="right"/>
              <w:cnfStyle w:val="000000000000" w:firstRow="0" w:lastRow="0" w:firstColumn="0" w:lastColumn="0" w:oddVBand="0" w:evenVBand="0" w:oddHBand="0" w:evenHBand="0" w:firstRowFirstColumn="0" w:firstRowLastColumn="0" w:lastRowFirstColumn="0" w:lastRowLastColumn="0"/>
            </w:pPr>
            <w:r w:rsidRPr="00B34BB5" w:rsidDel="002827AE">
              <w:t>22.421</w:t>
            </w:r>
          </w:p>
        </w:tc>
        <w:tc>
          <w:tcPr>
            <w:tcW w:w="1179" w:type="dxa"/>
            <w:shd w:val="clear" w:color="auto" w:fill="auto"/>
          </w:tcPr>
          <w:p w14:paraId="598F879F" w14:textId="77777777" w:rsidR="007728DC" w:rsidRPr="00457B9D" w:rsidRDefault="007728DC" w:rsidP="00D31805">
            <w:pPr>
              <w:pStyle w:val="TableText"/>
              <w:jc w:val="right"/>
              <w:cnfStyle w:val="000000000000" w:firstRow="0" w:lastRow="0" w:firstColumn="0" w:lastColumn="0" w:oddVBand="0" w:evenVBand="0" w:oddHBand="0" w:evenHBand="0" w:firstRowFirstColumn="0" w:firstRowLastColumn="0" w:lastRowFirstColumn="0" w:lastRowLastColumn="0"/>
            </w:pPr>
            <w:r w:rsidRPr="00B34BB5" w:rsidDel="002827AE">
              <w:t>0.0467</w:t>
            </w:r>
          </w:p>
        </w:tc>
        <w:tc>
          <w:tcPr>
            <w:tcW w:w="1304" w:type="dxa"/>
            <w:tcBorders>
              <w:right w:val="nil"/>
            </w:tcBorders>
          </w:tcPr>
          <w:p w14:paraId="7252CD0E" w14:textId="77777777" w:rsidR="007728DC" w:rsidRPr="00457B9D" w:rsidRDefault="007728DC" w:rsidP="00D31805">
            <w:pPr>
              <w:pStyle w:val="TableText"/>
              <w:jc w:val="right"/>
              <w:cnfStyle w:val="000000000000" w:firstRow="0" w:lastRow="0" w:firstColumn="0" w:lastColumn="0" w:oddVBand="0" w:evenVBand="0" w:oddHBand="0" w:evenHBand="0" w:firstRowFirstColumn="0" w:firstRowLastColumn="0" w:lastRowFirstColumn="0" w:lastRowLastColumn="0"/>
            </w:pPr>
            <w:r w:rsidRPr="00B34BB5" w:rsidDel="002827AE">
              <w:t>0.0297</w:t>
            </w:r>
          </w:p>
        </w:tc>
      </w:tr>
      <w:tr w:rsidR="007728DC" w:rsidRPr="00B34BB5" w14:paraId="6C2AF661" w14:textId="77777777" w:rsidTr="00D3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8" w:type="dxa"/>
            <w:tcBorders>
              <w:left w:val="nil"/>
            </w:tcBorders>
          </w:tcPr>
          <w:p w14:paraId="010E1C05" w14:textId="77777777" w:rsidR="007728DC" w:rsidRPr="006F7DAB" w:rsidRDefault="007728DC" w:rsidP="00D31805">
            <w:pPr>
              <w:pStyle w:val="TableText"/>
              <w:rPr>
                <w:rStyle w:val="normaltextrun"/>
                <w:rFonts w:cs="Calibri"/>
                <w:color w:val="D13438"/>
                <w:szCs w:val="18"/>
                <w:u w:val="single"/>
                <w:shd w:val="clear" w:color="auto" w:fill="E1F2FA"/>
              </w:rPr>
            </w:pPr>
            <w:r w:rsidRPr="00B34BB5" w:rsidDel="002827AE">
              <w:rPr>
                <w:b w:val="0"/>
              </w:rPr>
              <w:t>FOKKER F50</w:t>
            </w:r>
          </w:p>
        </w:tc>
        <w:tc>
          <w:tcPr>
            <w:tcW w:w="993" w:type="dxa"/>
            <w:shd w:val="clear" w:color="auto" w:fill="auto"/>
          </w:tcPr>
          <w:p w14:paraId="15558DE9" w14:textId="77777777" w:rsidR="007728DC" w:rsidRPr="00457B9D" w:rsidRDefault="007728DC" w:rsidP="00D31805">
            <w:pPr>
              <w:pStyle w:val="TableText"/>
              <w:jc w:val="right"/>
              <w:cnfStyle w:val="000000100000" w:firstRow="0" w:lastRow="0" w:firstColumn="0" w:lastColumn="0" w:oddVBand="0" w:evenVBand="0" w:oddHBand="1" w:evenHBand="0" w:firstRowFirstColumn="0" w:firstRowLastColumn="0" w:lastRowFirstColumn="0" w:lastRowLastColumn="0"/>
            </w:pPr>
            <w:r w:rsidRPr="00B34BB5" w:rsidDel="002827AE">
              <w:t xml:space="preserve">1,171.84 </w:t>
            </w:r>
          </w:p>
        </w:tc>
        <w:tc>
          <w:tcPr>
            <w:tcW w:w="1179" w:type="dxa"/>
            <w:shd w:val="clear" w:color="auto" w:fill="auto"/>
          </w:tcPr>
          <w:p w14:paraId="0E31EFED" w14:textId="77777777" w:rsidR="007728DC" w:rsidRPr="00457B9D" w:rsidRDefault="007728DC" w:rsidP="00D31805">
            <w:pPr>
              <w:pStyle w:val="TableText"/>
              <w:jc w:val="right"/>
              <w:cnfStyle w:val="000000100000" w:firstRow="0" w:lastRow="0" w:firstColumn="0" w:lastColumn="0" w:oddVBand="0" w:evenVBand="0" w:oddHBand="1" w:evenHBand="0" w:firstRowFirstColumn="0" w:firstRowLastColumn="0" w:lastRowFirstColumn="0" w:lastRowLastColumn="0"/>
            </w:pPr>
            <w:r w:rsidRPr="00B34BB5" w:rsidDel="002827AE">
              <w:t>42.4</w:t>
            </w:r>
          </w:p>
        </w:tc>
        <w:tc>
          <w:tcPr>
            <w:tcW w:w="1242" w:type="dxa"/>
            <w:shd w:val="clear" w:color="auto" w:fill="auto"/>
          </w:tcPr>
          <w:p w14:paraId="2CCE12A1" w14:textId="77777777" w:rsidR="007728DC" w:rsidRPr="00457B9D" w:rsidRDefault="007728DC" w:rsidP="00D31805">
            <w:pPr>
              <w:pStyle w:val="TableText"/>
              <w:jc w:val="right"/>
              <w:cnfStyle w:val="000000100000" w:firstRow="0" w:lastRow="0" w:firstColumn="0" w:lastColumn="0" w:oddVBand="0" w:evenVBand="0" w:oddHBand="1" w:evenHBand="0" w:firstRowFirstColumn="0" w:firstRowLastColumn="0" w:lastRowFirstColumn="0" w:lastRowLastColumn="0"/>
            </w:pPr>
            <w:r w:rsidRPr="00B34BB5" w:rsidDel="002827AE">
              <w:t>27.638</w:t>
            </w:r>
          </w:p>
        </w:tc>
        <w:tc>
          <w:tcPr>
            <w:tcW w:w="1179" w:type="dxa"/>
            <w:shd w:val="clear" w:color="auto" w:fill="auto"/>
          </w:tcPr>
          <w:p w14:paraId="78AD7D2B" w14:textId="77777777" w:rsidR="007728DC" w:rsidRPr="00457B9D" w:rsidRDefault="007728DC" w:rsidP="00D31805">
            <w:pPr>
              <w:pStyle w:val="TableText"/>
              <w:jc w:val="right"/>
              <w:cnfStyle w:val="000000100000" w:firstRow="0" w:lastRow="0" w:firstColumn="0" w:lastColumn="0" w:oddVBand="0" w:evenVBand="0" w:oddHBand="1" w:evenHBand="0" w:firstRowFirstColumn="0" w:firstRowLastColumn="0" w:lastRowFirstColumn="0" w:lastRowLastColumn="0"/>
            </w:pPr>
            <w:r w:rsidRPr="00B34BB5" w:rsidDel="002827AE">
              <w:t>0.0438</w:t>
            </w:r>
          </w:p>
        </w:tc>
        <w:tc>
          <w:tcPr>
            <w:tcW w:w="1304" w:type="dxa"/>
            <w:tcBorders>
              <w:right w:val="nil"/>
            </w:tcBorders>
          </w:tcPr>
          <w:p w14:paraId="32A7D88A" w14:textId="77777777" w:rsidR="007728DC" w:rsidRPr="00457B9D" w:rsidRDefault="007728DC" w:rsidP="00D31805">
            <w:pPr>
              <w:pStyle w:val="TableText"/>
              <w:jc w:val="right"/>
              <w:cnfStyle w:val="000000100000" w:firstRow="0" w:lastRow="0" w:firstColumn="0" w:lastColumn="0" w:oddVBand="0" w:evenVBand="0" w:oddHBand="1" w:evenHBand="0" w:firstRowFirstColumn="0" w:firstRowLastColumn="0" w:lastRowFirstColumn="0" w:lastRowLastColumn="0"/>
            </w:pPr>
            <w:r w:rsidRPr="00B34BB5" w:rsidDel="002827AE">
              <w:t>0.0278</w:t>
            </w:r>
          </w:p>
        </w:tc>
      </w:tr>
    </w:tbl>
    <w:p w14:paraId="473AD5AF" w14:textId="77777777" w:rsidR="007728DC" w:rsidRDefault="007728DC" w:rsidP="007728DC">
      <w:pPr>
        <w:pStyle w:val="Note"/>
      </w:pPr>
      <w:r>
        <w:t>Note: *Average calculated using data from 2016 and 2020.</w:t>
      </w:r>
    </w:p>
    <w:p w14:paraId="7D3604BF" w14:textId="42B1CC9A" w:rsidR="000C02EE" w:rsidRDefault="007A6CE1" w:rsidP="009A1C86">
      <w:pPr>
        <w:pStyle w:val="BodyText"/>
        <w:spacing w:after="100"/>
      </w:pPr>
      <w:r w:rsidRPr="00B275E2">
        <w:t xml:space="preserve">Emission factors for each aircraft were determined by multiplying the fuel </w:t>
      </w:r>
      <w:r w:rsidR="008A6738" w:rsidRPr="00B275E2">
        <w:t xml:space="preserve">(litres) </w:t>
      </w:r>
      <w:r w:rsidRPr="00B275E2">
        <w:t xml:space="preserve">per passenger per kilometre by the kerosene (aviation fuel) emission factor in </w:t>
      </w:r>
      <w:hyperlink w:anchor="table4" w:history="1">
        <w:r w:rsidR="00B162A2" w:rsidRPr="00B275E2">
          <w:rPr>
            <w:rStyle w:val="Hyperlink"/>
          </w:rPr>
          <w:t>table 4</w:t>
        </w:r>
      </w:hyperlink>
      <w:r w:rsidR="0064585D" w:rsidRPr="00B275E2">
        <w:t xml:space="preserve">. </w:t>
      </w:r>
    </w:p>
    <w:p w14:paraId="39B592DB" w14:textId="0D97376D" w:rsidR="005B404A" w:rsidRPr="00B275E2" w:rsidRDefault="005B404A" w:rsidP="009A1C86">
      <w:pPr>
        <w:pStyle w:val="BodyText"/>
        <w:spacing w:after="100"/>
      </w:pPr>
      <w:r w:rsidRPr="00B275E2">
        <w:t>A national average was</w:t>
      </w:r>
      <w:r w:rsidR="00FD04D1" w:rsidRPr="00B275E2">
        <w:t xml:space="preserve"> </w:t>
      </w:r>
      <w:r w:rsidRPr="00B275E2">
        <w:t>then calculated using the share of total flights to weight the contributions of each aircraft type.</w:t>
      </w:r>
    </w:p>
    <w:p w14:paraId="7529B65F" w14:textId="05CFBD0B" w:rsidR="00E4261E" w:rsidRPr="00B275E2" w:rsidRDefault="00E4261E" w:rsidP="009A1C86">
      <w:pPr>
        <w:pStyle w:val="BodyText"/>
        <w:spacing w:after="100"/>
      </w:pPr>
      <w:r w:rsidRPr="00B275E2">
        <w:t>We then calculated a weighted average emission factor for each size category, using the aircraft types within that size range:</w:t>
      </w:r>
    </w:p>
    <w:p w14:paraId="5C464E59" w14:textId="74359AEE" w:rsidR="00E4261E" w:rsidRPr="00B275E2" w:rsidRDefault="00FD04D1" w:rsidP="009A1C86">
      <w:pPr>
        <w:pStyle w:val="Bullet"/>
        <w:spacing w:after="100"/>
      </w:pPr>
      <w:r w:rsidRPr="00B275E2">
        <w:t>l</w:t>
      </w:r>
      <w:r w:rsidR="00E4261E" w:rsidRPr="00B275E2">
        <w:t>arge aircraft:</w:t>
      </w:r>
      <w:r w:rsidR="00A42624" w:rsidRPr="00B275E2">
        <w:t xml:space="preserve"> </w:t>
      </w:r>
      <w:r w:rsidR="00E4261E" w:rsidRPr="00B275E2">
        <w:t>A320neo, A321neo, A320ceo Domestic</w:t>
      </w:r>
    </w:p>
    <w:p w14:paraId="1038A5A5" w14:textId="093B466E" w:rsidR="00E4261E" w:rsidRPr="00B275E2" w:rsidRDefault="00FD04D1" w:rsidP="009A1C86">
      <w:pPr>
        <w:pStyle w:val="Bullet"/>
        <w:spacing w:after="100"/>
      </w:pPr>
      <w:r w:rsidRPr="00B275E2">
        <w:t>m</w:t>
      </w:r>
      <w:r w:rsidR="00E4261E" w:rsidRPr="00B275E2">
        <w:t xml:space="preserve">edium aircraft: ATR 72, </w:t>
      </w:r>
      <w:r w:rsidR="00C95E7E">
        <w:t>De Havilland Canada DHC-8-300 Dash 8/8Q, Q300, FOKKER F50</w:t>
      </w:r>
      <w:r w:rsidR="00E4261E" w:rsidRPr="00B275E2">
        <w:t xml:space="preserve"> </w:t>
      </w:r>
    </w:p>
    <w:p w14:paraId="68376156" w14:textId="0F550566" w:rsidR="00E4261E" w:rsidRDefault="00FD04D1" w:rsidP="009E47F3">
      <w:pPr>
        <w:pStyle w:val="Bullet"/>
      </w:pPr>
      <w:r w:rsidRPr="00B275E2">
        <w:t>s</w:t>
      </w:r>
      <w:r w:rsidR="00E4261E" w:rsidRPr="00B275E2">
        <w:t>mall aircraft: British Aerospace Jetstream 32, Cessna Light Aircraft, Pilatus PC-12, Beechcraft Beech 1900D, Saab SF-340</w:t>
      </w:r>
    </w:p>
    <w:p w14:paraId="25C10276" w14:textId="745D8A2F" w:rsidR="00C7511A" w:rsidRPr="00B34BB5" w:rsidRDefault="00EE23CA" w:rsidP="00C7511A">
      <w:pPr>
        <w:pStyle w:val="Tableheading"/>
      </w:pPr>
      <w:bookmarkStart w:id="426" w:name="_Ref529840606"/>
      <w:bookmarkStart w:id="427" w:name="_Toc58790878"/>
      <w:bookmarkStart w:id="428" w:name="_Toc111536649"/>
      <w:r w:rsidRPr="00B275E2">
        <w:t xml:space="preserve">Table </w:t>
      </w:r>
      <w:r w:rsidRPr="00B275E2">
        <w:fldChar w:fldCharType="begin"/>
      </w:r>
      <w:r w:rsidRPr="00B275E2">
        <w:instrText>SEQ Table \* ARABIC</w:instrText>
      </w:r>
      <w:r w:rsidRPr="00B275E2">
        <w:fldChar w:fldCharType="separate"/>
      </w:r>
      <w:r>
        <w:rPr>
          <w:noProof/>
        </w:rPr>
        <w:t>44</w:t>
      </w:r>
      <w:r w:rsidRPr="00B275E2">
        <w:fldChar w:fldCharType="end"/>
      </w:r>
      <w:r w:rsidRPr="00B275E2">
        <w:t>:</w:t>
      </w:r>
      <w:r w:rsidRPr="00B275E2">
        <w:tab/>
      </w:r>
      <w:bookmarkEnd w:id="426"/>
      <w:r w:rsidR="00C7511A" w:rsidRPr="00B34BB5">
        <w:t>Calculated emissions</w:t>
      </w:r>
      <w:r w:rsidR="00C7511A">
        <w:t xml:space="preserve"> for 2019</w:t>
      </w:r>
      <w:r w:rsidR="00C7511A" w:rsidRPr="00B34BB5">
        <w:t>, without the radiative forcing multiplier, per aircraft type</w:t>
      </w:r>
      <w:bookmarkEnd w:id="428"/>
      <w:r w:rsidR="00C7511A" w:rsidRPr="00B34BB5">
        <w:t xml:space="preserve"> </w:t>
      </w:r>
      <w:bookmarkEnd w:id="427"/>
    </w:p>
    <w:tbl>
      <w:tblPr>
        <w:tblStyle w:val="LightList-Accent1"/>
        <w:tblW w:w="9064" w:type="dxa"/>
        <w:tblBorders>
          <w:insideH w:val="single" w:sz="8" w:space="0" w:color="1C556C" w:themeColor="accent1"/>
        </w:tblBorders>
        <w:tblLayout w:type="fixed"/>
        <w:tblLook w:val="04A0" w:firstRow="1" w:lastRow="0" w:firstColumn="1" w:lastColumn="0" w:noHBand="0" w:noVBand="1"/>
      </w:tblPr>
      <w:tblGrid>
        <w:gridCol w:w="2694"/>
        <w:gridCol w:w="567"/>
        <w:gridCol w:w="1559"/>
        <w:gridCol w:w="1417"/>
        <w:gridCol w:w="1418"/>
        <w:gridCol w:w="1409"/>
      </w:tblGrid>
      <w:tr w:rsidR="004D4C1C" w:rsidRPr="00B34BB5" w14:paraId="47C4FCD0" w14:textId="77777777" w:rsidTr="00820AC3">
        <w:trPr>
          <w:cnfStyle w:val="100000000000" w:firstRow="1" w:lastRow="0" w:firstColumn="0" w:lastColumn="0" w:oddVBand="0" w:evenVBand="0" w:oddHBand="0" w:evenHBand="0" w:firstRowFirstColumn="0" w:firstRowLastColumn="0" w:lastRowFirstColumn="0" w:lastRowLastColumn="0"/>
          <w:trHeight w:val="448"/>
          <w:tblHeader/>
        </w:trPr>
        <w:tc>
          <w:tcPr>
            <w:cnfStyle w:val="001000000000" w:firstRow="0" w:lastRow="0" w:firstColumn="1" w:lastColumn="0" w:oddVBand="0" w:evenVBand="0" w:oddHBand="0" w:evenHBand="0" w:firstRowFirstColumn="0" w:firstRowLastColumn="0" w:lastRowFirstColumn="0" w:lastRowLastColumn="0"/>
            <w:tcW w:w="2694" w:type="dxa"/>
            <w:tcBorders>
              <w:bottom w:val="single" w:sz="8" w:space="0" w:color="1C556C" w:themeColor="accent1"/>
            </w:tcBorders>
            <w:vAlign w:val="bottom"/>
          </w:tcPr>
          <w:p w14:paraId="78881CF0" w14:textId="77777777" w:rsidR="00C7511A" w:rsidRPr="00B34BB5" w:rsidRDefault="00C7511A" w:rsidP="00D31805">
            <w:pPr>
              <w:pStyle w:val="TableText"/>
            </w:pPr>
            <w:r w:rsidRPr="00B34BB5">
              <w:t>Aircraft type</w:t>
            </w:r>
          </w:p>
        </w:tc>
        <w:tc>
          <w:tcPr>
            <w:tcW w:w="567" w:type="dxa"/>
            <w:vAlign w:val="bottom"/>
          </w:tcPr>
          <w:p w14:paraId="18CB2C9C" w14:textId="77777777" w:rsidR="00C7511A" w:rsidRPr="00B34BB5" w:rsidRDefault="00C7511A" w:rsidP="00D31805">
            <w:pPr>
              <w:pStyle w:val="TableText"/>
              <w:cnfStyle w:val="100000000000" w:firstRow="1" w:lastRow="0" w:firstColumn="0" w:lastColumn="0" w:oddVBand="0" w:evenVBand="0" w:oddHBand="0" w:evenHBand="0" w:firstRowFirstColumn="0" w:firstRowLastColumn="0" w:lastRowFirstColumn="0" w:lastRowLastColumn="0"/>
            </w:pPr>
            <w:r w:rsidRPr="00B34BB5">
              <w:t>Unit</w:t>
            </w:r>
          </w:p>
        </w:tc>
        <w:tc>
          <w:tcPr>
            <w:tcW w:w="1559" w:type="dxa"/>
            <w:shd w:val="clear" w:color="auto" w:fill="D2DDE1" w:themeFill="background2"/>
            <w:vAlign w:val="bottom"/>
          </w:tcPr>
          <w:p w14:paraId="457B153E" w14:textId="77777777" w:rsidR="00C7511A" w:rsidRPr="00B34BB5" w:rsidRDefault="00C7511A" w:rsidP="00D31805">
            <w:pPr>
              <w:pStyle w:val="TableText"/>
              <w:jc w:val="right"/>
              <w:cnfStyle w:val="100000000000" w:firstRow="1" w:lastRow="0" w:firstColumn="0" w:lastColumn="0" w:oddVBand="0" w:evenVBand="0" w:oddHBand="0" w:evenHBand="0" w:firstRowFirstColumn="0" w:firstRowLastColumn="0" w:lastRowFirstColumn="0" w:lastRowLastColumn="0"/>
            </w:pPr>
            <w:r w:rsidRPr="00820AC3">
              <w:rPr>
                <w:color w:val="auto"/>
              </w:rPr>
              <w:t>kg CO</w:t>
            </w:r>
            <w:r w:rsidRPr="00820AC3">
              <w:rPr>
                <w:color w:val="auto"/>
                <w:vertAlign w:val="subscript"/>
              </w:rPr>
              <w:t>2</w:t>
            </w:r>
            <w:r w:rsidRPr="00820AC3">
              <w:rPr>
                <w:color w:val="auto"/>
              </w:rPr>
              <w:t>-e/unit</w:t>
            </w:r>
          </w:p>
        </w:tc>
        <w:tc>
          <w:tcPr>
            <w:tcW w:w="1417" w:type="dxa"/>
            <w:vAlign w:val="bottom"/>
          </w:tcPr>
          <w:p w14:paraId="1DEACAAF" w14:textId="77777777" w:rsidR="00C7511A" w:rsidRPr="00B34BB5" w:rsidRDefault="00C7511A" w:rsidP="00D31805">
            <w:pPr>
              <w:pStyle w:val="TableText"/>
              <w:jc w:val="right"/>
              <w:cnfStyle w:val="100000000000" w:firstRow="1" w:lastRow="0" w:firstColumn="0" w:lastColumn="0" w:oddVBand="0" w:evenVBand="0" w:oddHBand="0" w:evenHBand="0" w:firstRowFirstColumn="0" w:firstRowLastColumn="0" w:lastRowFirstColumn="0" w:lastRowLastColumn="0"/>
            </w:pPr>
            <w:r w:rsidRPr="00B34BB5">
              <w:t>kg CO</w:t>
            </w:r>
            <w:r w:rsidRPr="00B34BB5">
              <w:rPr>
                <w:vertAlign w:val="subscript"/>
              </w:rPr>
              <w:t>2</w:t>
            </w:r>
            <w:r w:rsidRPr="00B34BB5">
              <w:t>/unit (kg CO</w:t>
            </w:r>
            <w:r w:rsidRPr="00B34BB5">
              <w:rPr>
                <w:vertAlign w:val="subscript"/>
              </w:rPr>
              <w:t>2</w:t>
            </w:r>
            <w:r w:rsidRPr="00B34BB5">
              <w:t>-e)</w:t>
            </w:r>
          </w:p>
        </w:tc>
        <w:tc>
          <w:tcPr>
            <w:tcW w:w="1418" w:type="dxa"/>
            <w:vAlign w:val="bottom"/>
          </w:tcPr>
          <w:p w14:paraId="536E6946" w14:textId="77777777" w:rsidR="00C7511A" w:rsidRPr="00B34BB5" w:rsidRDefault="00C7511A" w:rsidP="00D31805">
            <w:pPr>
              <w:pStyle w:val="TableText"/>
              <w:jc w:val="right"/>
              <w:cnfStyle w:val="100000000000" w:firstRow="1" w:lastRow="0" w:firstColumn="0" w:lastColumn="0" w:oddVBand="0" w:evenVBand="0" w:oddHBand="0" w:evenHBand="0" w:firstRowFirstColumn="0" w:firstRowLastColumn="0" w:lastRowFirstColumn="0" w:lastRowLastColumn="0"/>
            </w:pPr>
            <w:r w:rsidRPr="00B34BB5">
              <w:t>kg CH</w:t>
            </w:r>
            <w:r w:rsidRPr="00B34BB5">
              <w:rPr>
                <w:vertAlign w:val="subscript"/>
              </w:rPr>
              <w:t>4</w:t>
            </w:r>
            <w:r w:rsidRPr="00B34BB5">
              <w:t>/unit (kg CO</w:t>
            </w:r>
            <w:r w:rsidRPr="00B34BB5">
              <w:rPr>
                <w:vertAlign w:val="subscript"/>
              </w:rPr>
              <w:t>2</w:t>
            </w:r>
            <w:r w:rsidRPr="00B34BB5">
              <w:t>-e)</w:t>
            </w:r>
          </w:p>
        </w:tc>
        <w:tc>
          <w:tcPr>
            <w:tcW w:w="1409" w:type="dxa"/>
            <w:tcBorders>
              <w:bottom w:val="single" w:sz="8" w:space="0" w:color="1C556C" w:themeColor="accent1"/>
            </w:tcBorders>
            <w:vAlign w:val="bottom"/>
          </w:tcPr>
          <w:p w14:paraId="4DC98A21" w14:textId="77777777" w:rsidR="00C7511A" w:rsidRPr="00B34BB5" w:rsidRDefault="00C7511A" w:rsidP="00D31805">
            <w:pPr>
              <w:pStyle w:val="TableText"/>
              <w:jc w:val="right"/>
              <w:cnfStyle w:val="100000000000" w:firstRow="1" w:lastRow="0" w:firstColumn="0" w:lastColumn="0" w:oddVBand="0" w:evenVBand="0" w:oddHBand="0" w:evenHBand="0" w:firstRowFirstColumn="0" w:firstRowLastColumn="0" w:lastRowFirstColumn="0" w:lastRowLastColumn="0"/>
              <w:rPr>
                <w:b w:val="0"/>
                <w:bCs w:val="0"/>
              </w:rPr>
            </w:pPr>
            <w:r w:rsidRPr="00B34BB5">
              <w:t>kg N</w:t>
            </w:r>
            <w:r w:rsidRPr="00B34BB5">
              <w:rPr>
                <w:vertAlign w:val="subscript"/>
              </w:rPr>
              <w:t>2</w:t>
            </w:r>
            <w:r w:rsidRPr="00B34BB5">
              <w:t>O/unit (kg CO</w:t>
            </w:r>
            <w:r w:rsidRPr="00B34BB5">
              <w:rPr>
                <w:vertAlign w:val="subscript"/>
              </w:rPr>
              <w:t>2</w:t>
            </w:r>
            <w:r w:rsidRPr="00B34BB5">
              <w:t>-e)</w:t>
            </w:r>
          </w:p>
        </w:tc>
      </w:tr>
      <w:tr w:rsidR="004D4C1C" w:rsidRPr="00B34BB5" w14:paraId="0B5C0BCA" w14:textId="77777777" w:rsidTr="00820AC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694" w:type="dxa"/>
            <w:tcBorders>
              <w:left w:val="nil"/>
            </w:tcBorders>
          </w:tcPr>
          <w:p w14:paraId="6B2395D2" w14:textId="77777777" w:rsidR="00C7511A" w:rsidRPr="00B34BB5" w:rsidRDefault="00C7511A" w:rsidP="00D31805">
            <w:pPr>
              <w:pStyle w:val="TableText"/>
              <w:rPr>
                <w:b w:val="0"/>
              </w:rPr>
            </w:pPr>
            <w:r w:rsidRPr="00B34BB5">
              <w:rPr>
                <w:b w:val="0"/>
              </w:rPr>
              <w:t>Airbus A320</w:t>
            </w:r>
            <w:r>
              <w:rPr>
                <w:b w:val="0"/>
              </w:rPr>
              <w:t>*</w:t>
            </w:r>
          </w:p>
        </w:tc>
        <w:tc>
          <w:tcPr>
            <w:tcW w:w="567" w:type="dxa"/>
          </w:tcPr>
          <w:p w14:paraId="4F378676" w14:textId="77777777" w:rsidR="00C7511A" w:rsidRPr="00B34BB5" w:rsidRDefault="00C7511A" w:rsidP="00D31805">
            <w:pPr>
              <w:pStyle w:val="TableText"/>
              <w:cnfStyle w:val="000000100000" w:firstRow="0" w:lastRow="0" w:firstColumn="0" w:lastColumn="0" w:oddVBand="0" w:evenVBand="0" w:oddHBand="1" w:evenHBand="0" w:firstRowFirstColumn="0" w:firstRowLastColumn="0" w:lastRowFirstColumn="0" w:lastRowLastColumn="0"/>
            </w:pPr>
            <w:r w:rsidRPr="00B34BB5">
              <w:t>pkm</w:t>
            </w:r>
          </w:p>
        </w:tc>
        <w:tc>
          <w:tcPr>
            <w:tcW w:w="1559" w:type="dxa"/>
            <w:shd w:val="clear" w:color="auto" w:fill="D2DDE1" w:themeFill="background2"/>
          </w:tcPr>
          <w:p w14:paraId="202E295F" w14:textId="77777777" w:rsidR="00C7511A" w:rsidRPr="00B34BB5"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t>0.</w:t>
            </w:r>
            <w:r w:rsidRPr="00B34BB5" w:rsidDel="00692096">
              <w:t>0</w:t>
            </w:r>
            <w:r>
              <w:t>90</w:t>
            </w:r>
          </w:p>
        </w:tc>
        <w:tc>
          <w:tcPr>
            <w:tcW w:w="1417" w:type="dxa"/>
          </w:tcPr>
          <w:p w14:paraId="25F5E673" w14:textId="77777777" w:rsidR="00C7511A" w:rsidRPr="00B34BB5"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t>0.</w:t>
            </w:r>
            <w:r w:rsidRPr="00B34BB5" w:rsidDel="00692096">
              <w:t>0</w:t>
            </w:r>
            <w:r>
              <w:t>87</w:t>
            </w:r>
          </w:p>
        </w:tc>
        <w:tc>
          <w:tcPr>
            <w:tcW w:w="1418" w:type="dxa"/>
          </w:tcPr>
          <w:p w14:paraId="65968172" w14:textId="77777777" w:rsidR="00C7511A" w:rsidRPr="00B34BB5"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t>0.001</w:t>
            </w:r>
          </w:p>
        </w:tc>
        <w:tc>
          <w:tcPr>
            <w:tcW w:w="1409" w:type="dxa"/>
            <w:tcBorders>
              <w:right w:val="nil"/>
            </w:tcBorders>
          </w:tcPr>
          <w:p w14:paraId="59F0F10B" w14:textId="77777777" w:rsidR="00C7511A" w:rsidRPr="00B34BB5"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t>0.002</w:t>
            </w:r>
          </w:p>
        </w:tc>
      </w:tr>
      <w:tr w:rsidR="004D4C1C" w:rsidRPr="00B34BB5" w14:paraId="4D307071" w14:textId="77777777" w:rsidTr="00820AC3">
        <w:trPr>
          <w:trHeight w:val="448"/>
        </w:trPr>
        <w:tc>
          <w:tcPr>
            <w:cnfStyle w:val="001000000000" w:firstRow="0" w:lastRow="0" w:firstColumn="1" w:lastColumn="0" w:oddVBand="0" w:evenVBand="0" w:oddHBand="0" w:evenHBand="0" w:firstRowFirstColumn="0" w:firstRowLastColumn="0" w:lastRowFirstColumn="0" w:lastRowLastColumn="0"/>
            <w:tcW w:w="2694" w:type="dxa"/>
            <w:tcBorders>
              <w:left w:val="nil"/>
            </w:tcBorders>
          </w:tcPr>
          <w:p w14:paraId="653D0139" w14:textId="77777777" w:rsidR="00C7511A" w:rsidRPr="00B34BB5" w:rsidRDefault="00C7511A" w:rsidP="00D31805">
            <w:pPr>
              <w:pStyle w:val="TableText"/>
              <w:rPr>
                <w:b w:val="0"/>
              </w:rPr>
            </w:pPr>
            <w:r w:rsidRPr="00B34BB5">
              <w:rPr>
                <w:b w:val="0"/>
              </w:rPr>
              <w:t>Aerospatiale/Alenia ATR 72</w:t>
            </w:r>
            <w:r>
              <w:rPr>
                <w:b w:val="0"/>
              </w:rPr>
              <w:t>*</w:t>
            </w:r>
          </w:p>
        </w:tc>
        <w:tc>
          <w:tcPr>
            <w:tcW w:w="567" w:type="dxa"/>
          </w:tcPr>
          <w:p w14:paraId="7064D46D" w14:textId="77777777" w:rsidR="00C7511A" w:rsidRPr="00B34BB5" w:rsidRDefault="00C7511A" w:rsidP="00D31805">
            <w:pPr>
              <w:pStyle w:val="TableText"/>
              <w:cnfStyle w:val="000000000000" w:firstRow="0" w:lastRow="0" w:firstColumn="0" w:lastColumn="0" w:oddVBand="0" w:evenVBand="0" w:oddHBand="0" w:evenHBand="0" w:firstRowFirstColumn="0" w:firstRowLastColumn="0" w:lastRowFirstColumn="0" w:lastRowLastColumn="0"/>
            </w:pPr>
            <w:r w:rsidRPr="00B34BB5">
              <w:t>pkm</w:t>
            </w:r>
          </w:p>
        </w:tc>
        <w:tc>
          <w:tcPr>
            <w:tcW w:w="1559" w:type="dxa"/>
            <w:shd w:val="clear" w:color="auto" w:fill="D2DDE1" w:themeFill="background2"/>
          </w:tcPr>
          <w:p w14:paraId="673648F0" w14:textId="77777777" w:rsidR="00C7511A" w:rsidRPr="00B34BB5" w:rsidRDefault="00C7511A" w:rsidP="00D31805">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t>0.</w:t>
            </w:r>
            <w:r w:rsidRPr="00B34BB5" w:rsidDel="00692096">
              <w:t>0</w:t>
            </w:r>
            <w:r>
              <w:t>93</w:t>
            </w:r>
          </w:p>
        </w:tc>
        <w:tc>
          <w:tcPr>
            <w:tcW w:w="1417" w:type="dxa"/>
          </w:tcPr>
          <w:p w14:paraId="28991C65" w14:textId="77777777" w:rsidR="00C7511A" w:rsidRPr="00B34BB5" w:rsidRDefault="00C7511A" w:rsidP="00D3180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t>0.</w:t>
            </w:r>
            <w:r w:rsidRPr="00B34BB5" w:rsidDel="00692096">
              <w:t>0</w:t>
            </w:r>
            <w:r>
              <w:t>90</w:t>
            </w:r>
          </w:p>
        </w:tc>
        <w:tc>
          <w:tcPr>
            <w:tcW w:w="1418" w:type="dxa"/>
          </w:tcPr>
          <w:p w14:paraId="14E3162D" w14:textId="77777777" w:rsidR="00C7511A" w:rsidRPr="00B34BB5" w:rsidRDefault="00C7511A" w:rsidP="00D3180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t>0.001</w:t>
            </w:r>
          </w:p>
        </w:tc>
        <w:tc>
          <w:tcPr>
            <w:tcW w:w="1409" w:type="dxa"/>
            <w:tcBorders>
              <w:right w:val="nil"/>
            </w:tcBorders>
          </w:tcPr>
          <w:p w14:paraId="66D67AC3" w14:textId="77777777" w:rsidR="00C7511A" w:rsidRPr="00B34BB5" w:rsidRDefault="00C7511A" w:rsidP="00D3180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t>0.</w:t>
            </w:r>
            <w:r w:rsidRPr="00B34BB5" w:rsidDel="00692096">
              <w:t>00</w:t>
            </w:r>
            <w:r>
              <w:t>3</w:t>
            </w:r>
          </w:p>
        </w:tc>
      </w:tr>
      <w:tr w:rsidR="004D4C1C" w:rsidRPr="00B34BB5" w14:paraId="5B972E9B" w14:textId="77777777" w:rsidTr="00820AC3">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2694" w:type="dxa"/>
            <w:tcBorders>
              <w:left w:val="nil"/>
            </w:tcBorders>
          </w:tcPr>
          <w:p w14:paraId="56568494" w14:textId="77777777" w:rsidR="00C7511A" w:rsidRPr="00B34BB5" w:rsidRDefault="00C7511A" w:rsidP="00D31805">
            <w:pPr>
              <w:pStyle w:val="TableText"/>
              <w:rPr>
                <w:b w:val="0"/>
              </w:rPr>
            </w:pPr>
            <w:r w:rsidRPr="00B34BB5">
              <w:rPr>
                <w:b w:val="0"/>
              </w:rPr>
              <w:t>British Aerospace Jetstream 32</w:t>
            </w:r>
          </w:p>
        </w:tc>
        <w:tc>
          <w:tcPr>
            <w:tcW w:w="567" w:type="dxa"/>
          </w:tcPr>
          <w:p w14:paraId="50290053" w14:textId="77777777" w:rsidR="00C7511A" w:rsidRPr="00B34BB5" w:rsidRDefault="00C7511A" w:rsidP="00D31805">
            <w:pPr>
              <w:pStyle w:val="TableText"/>
              <w:cnfStyle w:val="000000100000" w:firstRow="0" w:lastRow="0" w:firstColumn="0" w:lastColumn="0" w:oddVBand="0" w:evenVBand="0" w:oddHBand="1" w:evenHBand="0" w:firstRowFirstColumn="0" w:firstRowLastColumn="0" w:lastRowFirstColumn="0" w:lastRowLastColumn="0"/>
            </w:pPr>
            <w:r w:rsidRPr="00B34BB5">
              <w:t>pkm</w:t>
            </w:r>
          </w:p>
        </w:tc>
        <w:tc>
          <w:tcPr>
            <w:tcW w:w="1559" w:type="dxa"/>
            <w:shd w:val="clear" w:color="auto" w:fill="D2DDE1" w:themeFill="background2"/>
          </w:tcPr>
          <w:p w14:paraId="4FFE52D5" w14:textId="77777777" w:rsidR="00C7511A" w:rsidRPr="00B34BB5"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t>0.237</w:t>
            </w:r>
          </w:p>
        </w:tc>
        <w:tc>
          <w:tcPr>
            <w:tcW w:w="1417" w:type="dxa"/>
          </w:tcPr>
          <w:p w14:paraId="6ABC97AF" w14:textId="77777777" w:rsidR="00C7511A" w:rsidRPr="00B34BB5"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t>0.229</w:t>
            </w:r>
          </w:p>
        </w:tc>
        <w:tc>
          <w:tcPr>
            <w:tcW w:w="1418" w:type="dxa"/>
          </w:tcPr>
          <w:p w14:paraId="6013FA66" w14:textId="77777777" w:rsidR="00C7511A" w:rsidRPr="00B34BB5"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t>0.002</w:t>
            </w:r>
          </w:p>
        </w:tc>
        <w:tc>
          <w:tcPr>
            <w:tcW w:w="1409" w:type="dxa"/>
            <w:tcBorders>
              <w:right w:val="nil"/>
            </w:tcBorders>
          </w:tcPr>
          <w:p w14:paraId="797A157C" w14:textId="77777777" w:rsidR="00C7511A" w:rsidRPr="00B34BB5"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t>0.006</w:t>
            </w:r>
          </w:p>
        </w:tc>
      </w:tr>
      <w:tr w:rsidR="004D4C1C" w:rsidRPr="00B34BB5" w14:paraId="79EB3AA7" w14:textId="77777777" w:rsidTr="00820AC3">
        <w:trPr>
          <w:trHeight w:val="448"/>
        </w:trPr>
        <w:tc>
          <w:tcPr>
            <w:cnfStyle w:val="001000000000" w:firstRow="0" w:lastRow="0" w:firstColumn="1" w:lastColumn="0" w:oddVBand="0" w:evenVBand="0" w:oddHBand="0" w:evenHBand="0" w:firstRowFirstColumn="0" w:firstRowLastColumn="0" w:lastRowFirstColumn="0" w:lastRowLastColumn="0"/>
            <w:tcW w:w="2694" w:type="dxa"/>
            <w:tcBorders>
              <w:left w:val="nil"/>
            </w:tcBorders>
          </w:tcPr>
          <w:p w14:paraId="51E3D430" w14:textId="77777777" w:rsidR="00C7511A" w:rsidRPr="00B34BB5" w:rsidRDefault="00C7511A" w:rsidP="00D31805">
            <w:pPr>
              <w:pStyle w:val="TableText"/>
              <w:rPr>
                <w:b w:val="0"/>
              </w:rPr>
            </w:pPr>
            <w:r w:rsidRPr="00B34BB5">
              <w:rPr>
                <w:b w:val="0"/>
              </w:rPr>
              <w:t>Beechcraft Beech 1900D</w:t>
            </w:r>
          </w:p>
        </w:tc>
        <w:tc>
          <w:tcPr>
            <w:tcW w:w="567" w:type="dxa"/>
          </w:tcPr>
          <w:p w14:paraId="2C501426" w14:textId="77777777" w:rsidR="00C7511A" w:rsidRPr="00B34BB5" w:rsidRDefault="00C7511A" w:rsidP="00D31805">
            <w:pPr>
              <w:pStyle w:val="TableText"/>
              <w:cnfStyle w:val="000000000000" w:firstRow="0" w:lastRow="0" w:firstColumn="0" w:lastColumn="0" w:oddVBand="0" w:evenVBand="0" w:oddHBand="0" w:evenHBand="0" w:firstRowFirstColumn="0" w:firstRowLastColumn="0" w:lastRowFirstColumn="0" w:lastRowLastColumn="0"/>
            </w:pPr>
            <w:r w:rsidRPr="00B34BB5">
              <w:t>pkm</w:t>
            </w:r>
          </w:p>
        </w:tc>
        <w:tc>
          <w:tcPr>
            <w:tcW w:w="1559" w:type="dxa"/>
            <w:shd w:val="clear" w:color="auto" w:fill="D2DDE1" w:themeFill="background2"/>
          </w:tcPr>
          <w:p w14:paraId="1721C010" w14:textId="77777777" w:rsidR="00C7511A" w:rsidRPr="00B34BB5" w:rsidRDefault="00C7511A" w:rsidP="00D31805">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t>0.186</w:t>
            </w:r>
          </w:p>
        </w:tc>
        <w:tc>
          <w:tcPr>
            <w:tcW w:w="1417" w:type="dxa"/>
          </w:tcPr>
          <w:p w14:paraId="04D1D984" w14:textId="77777777" w:rsidR="00C7511A" w:rsidRPr="00B34BB5" w:rsidRDefault="00C7511A" w:rsidP="00D3180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t>0.180</w:t>
            </w:r>
          </w:p>
        </w:tc>
        <w:tc>
          <w:tcPr>
            <w:tcW w:w="1418" w:type="dxa"/>
          </w:tcPr>
          <w:p w14:paraId="01925D2C" w14:textId="77777777" w:rsidR="00C7511A" w:rsidRPr="00B34BB5" w:rsidRDefault="00C7511A" w:rsidP="00D3180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t>0.002</w:t>
            </w:r>
          </w:p>
        </w:tc>
        <w:tc>
          <w:tcPr>
            <w:tcW w:w="1409" w:type="dxa"/>
            <w:tcBorders>
              <w:right w:val="nil"/>
            </w:tcBorders>
          </w:tcPr>
          <w:p w14:paraId="670D07A5" w14:textId="77777777" w:rsidR="00C7511A" w:rsidRPr="00B34BB5" w:rsidRDefault="00C7511A" w:rsidP="00D3180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t>0.005</w:t>
            </w:r>
          </w:p>
        </w:tc>
      </w:tr>
      <w:tr w:rsidR="004D4C1C" w:rsidRPr="00B34BB5" w14:paraId="3F4DCDBF" w14:textId="77777777" w:rsidTr="00820AC3">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2694" w:type="dxa"/>
            <w:tcBorders>
              <w:left w:val="nil"/>
            </w:tcBorders>
          </w:tcPr>
          <w:p w14:paraId="50360BAF" w14:textId="77777777" w:rsidR="00C7511A" w:rsidRPr="00B34BB5" w:rsidRDefault="00C7511A" w:rsidP="00D31805">
            <w:pPr>
              <w:pStyle w:val="TableText"/>
              <w:rPr>
                <w:b w:val="0"/>
              </w:rPr>
            </w:pPr>
            <w:r w:rsidRPr="00B34BB5">
              <w:rPr>
                <w:b w:val="0"/>
              </w:rPr>
              <w:t>Cessna Light Aircraft</w:t>
            </w:r>
          </w:p>
        </w:tc>
        <w:tc>
          <w:tcPr>
            <w:tcW w:w="567" w:type="dxa"/>
          </w:tcPr>
          <w:p w14:paraId="446B0B85" w14:textId="77777777" w:rsidR="00C7511A" w:rsidRPr="00B34BB5" w:rsidRDefault="00C7511A" w:rsidP="00D31805">
            <w:pPr>
              <w:pStyle w:val="TableText"/>
              <w:cnfStyle w:val="000000100000" w:firstRow="0" w:lastRow="0" w:firstColumn="0" w:lastColumn="0" w:oddVBand="0" w:evenVBand="0" w:oddHBand="1" w:evenHBand="0" w:firstRowFirstColumn="0" w:firstRowLastColumn="0" w:lastRowFirstColumn="0" w:lastRowLastColumn="0"/>
            </w:pPr>
            <w:r w:rsidRPr="00B34BB5">
              <w:t>pkm</w:t>
            </w:r>
          </w:p>
        </w:tc>
        <w:tc>
          <w:tcPr>
            <w:tcW w:w="1559" w:type="dxa"/>
            <w:shd w:val="clear" w:color="auto" w:fill="D2DDE1" w:themeFill="background2"/>
          </w:tcPr>
          <w:p w14:paraId="59A5CA14" w14:textId="77777777" w:rsidR="00C7511A" w:rsidRPr="00B34BB5"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t>0.552</w:t>
            </w:r>
          </w:p>
        </w:tc>
        <w:tc>
          <w:tcPr>
            <w:tcW w:w="1417" w:type="dxa"/>
          </w:tcPr>
          <w:p w14:paraId="48463629" w14:textId="77777777" w:rsidR="00C7511A" w:rsidRPr="00B34BB5"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t>0.534</w:t>
            </w:r>
          </w:p>
        </w:tc>
        <w:tc>
          <w:tcPr>
            <w:tcW w:w="1418" w:type="dxa"/>
          </w:tcPr>
          <w:p w14:paraId="48989504" w14:textId="77777777" w:rsidR="00C7511A" w:rsidRPr="00B34BB5"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t>0.004</w:t>
            </w:r>
          </w:p>
        </w:tc>
        <w:tc>
          <w:tcPr>
            <w:tcW w:w="1409" w:type="dxa"/>
            <w:tcBorders>
              <w:right w:val="nil"/>
            </w:tcBorders>
          </w:tcPr>
          <w:p w14:paraId="2099974B" w14:textId="77777777" w:rsidR="00C7511A" w:rsidRPr="00B34BB5"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t>0.014</w:t>
            </w:r>
          </w:p>
        </w:tc>
      </w:tr>
      <w:tr w:rsidR="004D4C1C" w:rsidRPr="00B34BB5" w14:paraId="755A1760" w14:textId="77777777" w:rsidTr="00820AC3">
        <w:trPr>
          <w:trHeight w:val="627"/>
        </w:trPr>
        <w:tc>
          <w:tcPr>
            <w:cnfStyle w:val="001000000000" w:firstRow="0" w:lastRow="0" w:firstColumn="1" w:lastColumn="0" w:oddVBand="0" w:evenVBand="0" w:oddHBand="0" w:evenHBand="0" w:firstRowFirstColumn="0" w:firstRowLastColumn="0" w:lastRowFirstColumn="0" w:lastRowLastColumn="0"/>
            <w:tcW w:w="2694" w:type="dxa"/>
            <w:tcBorders>
              <w:left w:val="nil"/>
            </w:tcBorders>
          </w:tcPr>
          <w:p w14:paraId="26DAE664" w14:textId="77777777" w:rsidR="00C7511A" w:rsidRPr="00B34BB5" w:rsidRDefault="00C7511A" w:rsidP="00D31805">
            <w:pPr>
              <w:pStyle w:val="TableText"/>
              <w:rPr>
                <w:b w:val="0"/>
              </w:rPr>
            </w:pPr>
            <w:r w:rsidRPr="00B34BB5">
              <w:rPr>
                <w:b w:val="0"/>
              </w:rPr>
              <w:t>De Havilland Canada DHC-8-300 Dash 8/8Q</w:t>
            </w:r>
            <w:r>
              <w:rPr>
                <w:b w:val="0"/>
              </w:rPr>
              <w:t>*</w:t>
            </w:r>
          </w:p>
        </w:tc>
        <w:tc>
          <w:tcPr>
            <w:tcW w:w="567" w:type="dxa"/>
          </w:tcPr>
          <w:p w14:paraId="36C5412D" w14:textId="77777777" w:rsidR="00C7511A" w:rsidRPr="00B34BB5" w:rsidRDefault="00C7511A" w:rsidP="00D31805">
            <w:pPr>
              <w:pStyle w:val="TableText"/>
              <w:cnfStyle w:val="000000000000" w:firstRow="0" w:lastRow="0" w:firstColumn="0" w:lastColumn="0" w:oddVBand="0" w:evenVBand="0" w:oddHBand="0" w:evenHBand="0" w:firstRowFirstColumn="0" w:firstRowLastColumn="0" w:lastRowFirstColumn="0" w:lastRowLastColumn="0"/>
            </w:pPr>
            <w:r w:rsidRPr="00B34BB5">
              <w:t>pkm</w:t>
            </w:r>
          </w:p>
        </w:tc>
        <w:tc>
          <w:tcPr>
            <w:tcW w:w="1559" w:type="dxa"/>
            <w:shd w:val="clear" w:color="auto" w:fill="D2DDE1" w:themeFill="background2"/>
          </w:tcPr>
          <w:p w14:paraId="486233B0" w14:textId="77777777" w:rsidR="00C7511A" w:rsidRPr="00B34BB5" w:rsidRDefault="00C7511A" w:rsidP="00D31805">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t>0.</w:t>
            </w:r>
            <w:r w:rsidRPr="00B34BB5" w:rsidDel="00692096">
              <w:t>14</w:t>
            </w:r>
            <w:r>
              <w:t>5</w:t>
            </w:r>
          </w:p>
        </w:tc>
        <w:tc>
          <w:tcPr>
            <w:tcW w:w="1417" w:type="dxa"/>
          </w:tcPr>
          <w:p w14:paraId="7A65C6B1" w14:textId="77777777" w:rsidR="00C7511A" w:rsidRPr="00B34BB5" w:rsidRDefault="00C7511A" w:rsidP="00D3180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t>0.</w:t>
            </w:r>
            <w:r w:rsidRPr="00B34BB5" w:rsidDel="00692096">
              <w:t>1</w:t>
            </w:r>
            <w:r>
              <w:t>40</w:t>
            </w:r>
          </w:p>
        </w:tc>
        <w:tc>
          <w:tcPr>
            <w:tcW w:w="1418" w:type="dxa"/>
          </w:tcPr>
          <w:p w14:paraId="2D8479C0" w14:textId="77777777" w:rsidR="00C7511A" w:rsidRPr="00B34BB5" w:rsidRDefault="00C7511A" w:rsidP="00D3180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t>0.001</w:t>
            </w:r>
          </w:p>
        </w:tc>
        <w:tc>
          <w:tcPr>
            <w:tcW w:w="1409" w:type="dxa"/>
            <w:tcBorders>
              <w:right w:val="nil"/>
            </w:tcBorders>
          </w:tcPr>
          <w:p w14:paraId="4E3F818F" w14:textId="77777777" w:rsidR="00C7511A" w:rsidRPr="00B34BB5" w:rsidRDefault="00C7511A" w:rsidP="00D3180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t>0.004</w:t>
            </w:r>
          </w:p>
        </w:tc>
      </w:tr>
      <w:tr w:rsidR="004D4C1C" w:rsidRPr="00B34BB5" w14:paraId="571FE1A5" w14:textId="77777777" w:rsidTr="00820AC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694" w:type="dxa"/>
            <w:tcBorders>
              <w:left w:val="nil"/>
            </w:tcBorders>
          </w:tcPr>
          <w:p w14:paraId="1C3FA235" w14:textId="77777777" w:rsidR="00C7511A" w:rsidRPr="00B34BB5" w:rsidRDefault="00C7511A" w:rsidP="00D31805">
            <w:pPr>
              <w:pStyle w:val="TableText"/>
              <w:rPr>
                <w:b w:val="0"/>
              </w:rPr>
            </w:pPr>
            <w:r w:rsidRPr="00B34BB5">
              <w:rPr>
                <w:b w:val="0"/>
              </w:rPr>
              <w:t>Pilatus PC-12</w:t>
            </w:r>
          </w:p>
        </w:tc>
        <w:tc>
          <w:tcPr>
            <w:tcW w:w="567" w:type="dxa"/>
          </w:tcPr>
          <w:p w14:paraId="503E871F" w14:textId="77777777" w:rsidR="00C7511A" w:rsidRPr="00B34BB5" w:rsidRDefault="00C7511A" w:rsidP="00D31805">
            <w:pPr>
              <w:pStyle w:val="TableText"/>
              <w:cnfStyle w:val="000000100000" w:firstRow="0" w:lastRow="0" w:firstColumn="0" w:lastColumn="0" w:oddVBand="0" w:evenVBand="0" w:oddHBand="1" w:evenHBand="0" w:firstRowFirstColumn="0" w:firstRowLastColumn="0" w:lastRowFirstColumn="0" w:lastRowLastColumn="0"/>
            </w:pPr>
            <w:r w:rsidRPr="00B34BB5">
              <w:t>pkm</w:t>
            </w:r>
          </w:p>
        </w:tc>
        <w:tc>
          <w:tcPr>
            <w:tcW w:w="1559" w:type="dxa"/>
            <w:shd w:val="clear" w:color="auto" w:fill="D2DDE1" w:themeFill="background2"/>
          </w:tcPr>
          <w:p w14:paraId="09D28F20" w14:textId="77777777" w:rsidR="00C7511A" w:rsidRPr="00B34BB5"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t>0.188</w:t>
            </w:r>
          </w:p>
        </w:tc>
        <w:tc>
          <w:tcPr>
            <w:tcW w:w="1417" w:type="dxa"/>
          </w:tcPr>
          <w:p w14:paraId="6DC97073" w14:textId="77777777" w:rsidR="00C7511A" w:rsidRPr="00B34BB5"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t>0.182</w:t>
            </w:r>
          </w:p>
        </w:tc>
        <w:tc>
          <w:tcPr>
            <w:tcW w:w="1418" w:type="dxa"/>
          </w:tcPr>
          <w:p w14:paraId="63EBE3F6" w14:textId="77777777" w:rsidR="00C7511A" w:rsidRPr="00B34BB5"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t>0.002</w:t>
            </w:r>
          </w:p>
        </w:tc>
        <w:tc>
          <w:tcPr>
            <w:tcW w:w="1409" w:type="dxa"/>
            <w:tcBorders>
              <w:right w:val="nil"/>
            </w:tcBorders>
          </w:tcPr>
          <w:p w14:paraId="6B953BB1" w14:textId="77777777" w:rsidR="00C7511A" w:rsidRPr="00B34BB5"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t>0.005</w:t>
            </w:r>
          </w:p>
        </w:tc>
      </w:tr>
      <w:tr w:rsidR="004D4C1C" w:rsidRPr="00B34BB5" w14:paraId="16034E6A" w14:textId="77777777" w:rsidTr="00820AC3">
        <w:trPr>
          <w:trHeight w:val="280"/>
        </w:trPr>
        <w:tc>
          <w:tcPr>
            <w:cnfStyle w:val="001000000000" w:firstRow="0" w:lastRow="0" w:firstColumn="1" w:lastColumn="0" w:oddVBand="0" w:evenVBand="0" w:oddHBand="0" w:evenHBand="0" w:firstRowFirstColumn="0" w:firstRowLastColumn="0" w:lastRowFirstColumn="0" w:lastRowLastColumn="0"/>
            <w:tcW w:w="2694" w:type="dxa"/>
            <w:tcBorders>
              <w:left w:val="nil"/>
            </w:tcBorders>
          </w:tcPr>
          <w:p w14:paraId="7D2069F4" w14:textId="77777777" w:rsidR="00C7511A" w:rsidRPr="00B34BB5" w:rsidRDefault="00C7511A" w:rsidP="00D31805">
            <w:pPr>
              <w:pStyle w:val="TableText"/>
              <w:rPr>
                <w:b w:val="0"/>
              </w:rPr>
            </w:pPr>
            <w:r w:rsidRPr="00B34BB5">
              <w:rPr>
                <w:b w:val="0"/>
              </w:rPr>
              <w:t>Saab SF-340</w:t>
            </w:r>
          </w:p>
        </w:tc>
        <w:tc>
          <w:tcPr>
            <w:tcW w:w="567" w:type="dxa"/>
          </w:tcPr>
          <w:p w14:paraId="5F8DAEDF" w14:textId="77777777" w:rsidR="00C7511A" w:rsidRPr="00B34BB5" w:rsidRDefault="00C7511A" w:rsidP="00D31805">
            <w:pPr>
              <w:pStyle w:val="TableText"/>
              <w:cnfStyle w:val="000000000000" w:firstRow="0" w:lastRow="0" w:firstColumn="0" w:lastColumn="0" w:oddVBand="0" w:evenVBand="0" w:oddHBand="0" w:evenHBand="0" w:firstRowFirstColumn="0" w:firstRowLastColumn="0" w:lastRowFirstColumn="0" w:lastRowLastColumn="0"/>
            </w:pPr>
            <w:r w:rsidRPr="00B34BB5">
              <w:t>pkm</w:t>
            </w:r>
          </w:p>
        </w:tc>
        <w:tc>
          <w:tcPr>
            <w:tcW w:w="1559" w:type="dxa"/>
            <w:shd w:val="clear" w:color="auto" w:fill="D2DDE1" w:themeFill="background2"/>
          </w:tcPr>
          <w:p w14:paraId="597A9D51" w14:textId="77777777" w:rsidR="00C7511A" w:rsidRPr="00B34BB5" w:rsidRDefault="00C7511A" w:rsidP="00D31805">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t>0.097</w:t>
            </w:r>
          </w:p>
        </w:tc>
        <w:tc>
          <w:tcPr>
            <w:tcW w:w="1417" w:type="dxa"/>
          </w:tcPr>
          <w:p w14:paraId="4FF21360" w14:textId="77777777" w:rsidR="00C7511A" w:rsidRPr="00B34BB5" w:rsidRDefault="00C7511A" w:rsidP="00D3180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t>0.094</w:t>
            </w:r>
          </w:p>
        </w:tc>
        <w:tc>
          <w:tcPr>
            <w:tcW w:w="1418" w:type="dxa"/>
          </w:tcPr>
          <w:p w14:paraId="14DE39BF" w14:textId="77777777" w:rsidR="00C7511A" w:rsidRPr="00B34BB5" w:rsidRDefault="00C7511A" w:rsidP="00D3180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t>0.001</w:t>
            </w:r>
          </w:p>
        </w:tc>
        <w:tc>
          <w:tcPr>
            <w:tcW w:w="1409" w:type="dxa"/>
            <w:tcBorders>
              <w:right w:val="nil"/>
            </w:tcBorders>
          </w:tcPr>
          <w:p w14:paraId="2C5A0F22" w14:textId="77777777" w:rsidR="00C7511A" w:rsidRPr="00B34BB5" w:rsidRDefault="00C7511A" w:rsidP="00D3180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t>0.002</w:t>
            </w:r>
          </w:p>
        </w:tc>
      </w:tr>
      <w:tr w:rsidR="004D4C1C" w:rsidRPr="00B34BB5" w14:paraId="035A009F" w14:textId="77777777" w:rsidTr="00820AC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694" w:type="dxa"/>
            <w:tcBorders>
              <w:left w:val="nil"/>
            </w:tcBorders>
          </w:tcPr>
          <w:p w14:paraId="17E401CA" w14:textId="77777777" w:rsidR="00C7511A" w:rsidRPr="00B34BB5" w:rsidRDefault="00C7511A" w:rsidP="00D31805">
            <w:pPr>
              <w:pStyle w:val="TableText"/>
              <w:rPr>
                <w:b w:val="0"/>
              </w:rPr>
            </w:pPr>
            <w:r w:rsidRPr="00B34BB5">
              <w:rPr>
                <w:b w:val="0"/>
              </w:rPr>
              <w:t>FOKKER F50</w:t>
            </w:r>
          </w:p>
        </w:tc>
        <w:tc>
          <w:tcPr>
            <w:tcW w:w="567" w:type="dxa"/>
          </w:tcPr>
          <w:p w14:paraId="21256E96" w14:textId="77777777" w:rsidR="00C7511A" w:rsidRPr="00B34BB5" w:rsidRDefault="00C7511A" w:rsidP="00D31805">
            <w:pPr>
              <w:pStyle w:val="TableText"/>
              <w:cnfStyle w:val="000000100000" w:firstRow="0" w:lastRow="0" w:firstColumn="0" w:lastColumn="0" w:oddVBand="0" w:evenVBand="0" w:oddHBand="1" w:evenHBand="0" w:firstRowFirstColumn="0" w:firstRowLastColumn="0" w:lastRowFirstColumn="0" w:lastRowLastColumn="0"/>
            </w:pPr>
            <w:r w:rsidRPr="00B34BB5">
              <w:t>pkm</w:t>
            </w:r>
          </w:p>
        </w:tc>
        <w:tc>
          <w:tcPr>
            <w:tcW w:w="1559" w:type="dxa"/>
            <w:shd w:val="clear" w:color="auto" w:fill="D2DDE1" w:themeFill="background2"/>
          </w:tcPr>
          <w:p w14:paraId="34103FEB" w14:textId="77777777" w:rsidR="00C7511A" w:rsidRPr="00B34BB5"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t>0.091</w:t>
            </w:r>
          </w:p>
        </w:tc>
        <w:tc>
          <w:tcPr>
            <w:tcW w:w="1417" w:type="dxa"/>
          </w:tcPr>
          <w:p w14:paraId="6E70E286" w14:textId="77777777" w:rsidR="00C7511A" w:rsidRPr="00B34BB5"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t>0.088</w:t>
            </w:r>
          </w:p>
        </w:tc>
        <w:tc>
          <w:tcPr>
            <w:tcW w:w="1418" w:type="dxa"/>
          </w:tcPr>
          <w:p w14:paraId="7BAF2BCE" w14:textId="77777777" w:rsidR="00C7511A" w:rsidRPr="00B34BB5"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t>0.001</w:t>
            </w:r>
          </w:p>
        </w:tc>
        <w:tc>
          <w:tcPr>
            <w:tcW w:w="1409" w:type="dxa"/>
            <w:tcBorders>
              <w:right w:val="nil"/>
            </w:tcBorders>
          </w:tcPr>
          <w:p w14:paraId="0A308B3B" w14:textId="77777777" w:rsidR="00C7511A" w:rsidRPr="00B34BB5"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t>0.002</w:t>
            </w:r>
          </w:p>
        </w:tc>
      </w:tr>
    </w:tbl>
    <w:p w14:paraId="2ED6915B" w14:textId="77777777" w:rsidR="00C7511A" w:rsidRPr="00B34BB5" w:rsidRDefault="00C7511A" w:rsidP="00EB4389">
      <w:pPr>
        <w:pStyle w:val="Note"/>
      </w:pPr>
      <w:r w:rsidRPr="00B34BB5">
        <w:t>Note: These numbers are rounded to three decimal places</w:t>
      </w:r>
      <w:r>
        <w:t xml:space="preserve"> unless the number is significantly small</w:t>
      </w:r>
      <w:r w:rsidRPr="00B34BB5">
        <w:t xml:space="preserve">. </w:t>
      </w:r>
      <w:r>
        <w:t>*Average calculated using data from 2016 and 2019.</w:t>
      </w:r>
    </w:p>
    <w:p w14:paraId="78930F5F" w14:textId="66FE702E" w:rsidR="00C7511A" w:rsidRPr="00B34BB5" w:rsidRDefault="004D4C1C" w:rsidP="004D4C1C">
      <w:pPr>
        <w:pStyle w:val="Tableheading"/>
      </w:pPr>
      <w:bookmarkStart w:id="429" w:name="_Toc111536650"/>
      <w:r w:rsidRPr="00B275E2">
        <w:t xml:space="preserve">Table </w:t>
      </w:r>
      <w:r w:rsidRPr="00B275E2">
        <w:fldChar w:fldCharType="begin"/>
      </w:r>
      <w:r w:rsidRPr="00B275E2">
        <w:instrText>SEQ Table \* ARABIC</w:instrText>
      </w:r>
      <w:r w:rsidRPr="00B275E2">
        <w:fldChar w:fldCharType="separate"/>
      </w:r>
      <w:r>
        <w:rPr>
          <w:noProof/>
        </w:rPr>
        <w:t>45</w:t>
      </w:r>
      <w:r w:rsidRPr="00B275E2">
        <w:fldChar w:fldCharType="end"/>
      </w:r>
      <w:r w:rsidRPr="00B275E2">
        <w:t>:</w:t>
      </w:r>
      <w:r w:rsidRPr="00B275E2">
        <w:tab/>
      </w:r>
      <w:r w:rsidRPr="00B34BB5">
        <w:t>Calculated</w:t>
      </w:r>
      <w:r w:rsidR="00C7511A" w:rsidRPr="00B34BB5">
        <w:t xml:space="preserve"> emissions</w:t>
      </w:r>
      <w:r w:rsidR="00C7511A">
        <w:t xml:space="preserve"> for 2019</w:t>
      </w:r>
      <w:r w:rsidR="00C7511A" w:rsidRPr="00B34BB5">
        <w:t>, with the radiative forcing multiplier, per aircraft type</w:t>
      </w:r>
      <w:bookmarkEnd w:id="429"/>
    </w:p>
    <w:tbl>
      <w:tblPr>
        <w:tblStyle w:val="LightList-Accent1"/>
        <w:tblW w:w="9090" w:type="dxa"/>
        <w:tblBorders>
          <w:insideH w:val="single" w:sz="8" w:space="0" w:color="1C556C" w:themeColor="accent1"/>
        </w:tblBorders>
        <w:tblLayout w:type="fixed"/>
        <w:tblLook w:val="04A0" w:firstRow="1" w:lastRow="0" w:firstColumn="1" w:lastColumn="0" w:noHBand="0" w:noVBand="1"/>
      </w:tblPr>
      <w:tblGrid>
        <w:gridCol w:w="2603"/>
        <w:gridCol w:w="694"/>
        <w:gridCol w:w="1560"/>
        <w:gridCol w:w="1388"/>
        <w:gridCol w:w="1388"/>
        <w:gridCol w:w="1457"/>
      </w:tblGrid>
      <w:tr w:rsidR="00C7511A" w:rsidRPr="00B34BB5" w14:paraId="1389E263" w14:textId="77777777" w:rsidTr="00820AC3">
        <w:trPr>
          <w:cnfStyle w:val="100000000000" w:firstRow="1" w:lastRow="0" w:firstColumn="0" w:lastColumn="0" w:oddVBand="0" w:evenVBand="0" w:oddHBand="0" w:evenHBand="0" w:firstRowFirstColumn="0" w:firstRowLastColumn="0" w:lastRowFirstColumn="0" w:lastRowLastColumn="0"/>
          <w:trHeight w:val="604"/>
          <w:tblHeader/>
        </w:trPr>
        <w:tc>
          <w:tcPr>
            <w:cnfStyle w:val="001000000000" w:firstRow="0" w:lastRow="0" w:firstColumn="1" w:lastColumn="0" w:oddVBand="0" w:evenVBand="0" w:oddHBand="0" w:evenHBand="0" w:firstRowFirstColumn="0" w:firstRowLastColumn="0" w:lastRowFirstColumn="0" w:lastRowLastColumn="0"/>
            <w:tcW w:w="2603" w:type="dxa"/>
            <w:tcBorders>
              <w:bottom w:val="single" w:sz="8" w:space="0" w:color="1C556C" w:themeColor="accent1"/>
            </w:tcBorders>
            <w:vAlign w:val="bottom"/>
          </w:tcPr>
          <w:p w14:paraId="3CC19C02" w14:textId="77777777" w:rsidR="00C7511A" w:rsidRPr="00B34BB5" w:rsidRDefault="00C7511A" w:rsidP="00D31805">
            <w:pPr>
              <w:pStyle w:val="TableText"/>
            </w:pPr>
            <w:r w:rsidRPr="00B34BB5">
              <w:t>Aircraft type</w:t>
            </w:r>
          </w:p>
        </w:tc>
        <w:tc>
          <w:tcPr>
            <w:tcW w:w="694" w:type="dxa"/>
            <w:vAlign w:val="bottom"/>
          </w:tcPr>
          <w:p w14:paraId="6A8AD32A" w14:textId="77777777" w:rsidR="00C7511A" w:rsidRPr="00B34BB5" w:rsidRDefault="00C7511A" w:rsidP="00D31805">
            <w:pPr>
              <w:pStyle w:val="TableText"/>
              <w:cnfStyle w:val="100000000000" w:firstRow="1" w:lastRow="0" w:firstColumn="0" w:lastColumn="0" w:oddVBand="0" w:evenVBand="0" w:oddHBand="0" w:evenHBand="0" w:firstRowFirstColumn="0" w:firstRowLastColumn="0" w:lastRowFirstColumn="0" w:lastRowLastColumn="0"/>
            </w:pPr>
            <w:r w:rsidRPr="00B34BB5">
              <w:t>Unit</w:t>
            </w:r>
          </w:p>
        </w:tc>
        <w:tc>
          <w:tcPr>
            <w:tcW w:w="1560" w:type="dxa"/>
            <w:shd w:val="clear" w:color="auto" w:fill="D2DDE1" w:themeFill="background2"/>
            <w:vAlign w:val="bottom"/>
          </w:tcPr>
          <w:p w14:paraId="6AD3D550" w14:textId="77777777" w:rsidR="00C7511A" w:rsidRPr="00820AC3" w:rsidRDefault="00C7511A" w:rsidP="00D31805">
            <w:pPr>
              <w:pStyle w:val="TableText"/>
              <w:jc w:val="right"/>
              <w:cnfStyle w:val="100000000000" w:firstRow="1" w:lastRow="0" w:firstColumn="0" w:lastColumn="0" w:oddVBand="0" w:evenVBand="0" w:oddHBand="0" w:evenHBand="0" w:firstRowFirstColumn="0" w:firstRowLastColumn="0" w:lastRowFirstColumn="0" w:lastRowLastColumn="0"/>
              <w:rPr>
                <w:color w:val="auto"/>
              </w:rPr>
            </w:pPr>
            <w:r w:rsidRPr="00820AC3">
              <w:rPr>
                <w:color w:val="auto"/>
              </w:rPr>
              <w:t>kg CO</w:t>
            </w:r>
            <w:r w:rsidRPr="00820AC3">
              <w:rPr>
                <w:color w:val="auto"/>
                <w:vertAlign w:val="subscript"/>
              </w:rPr>
              <w:t>2</w:t>
            </w:r>
            <w:r w:rsidRPr="00820AC3">
              <w:rPr>
                <w:color w:val="auto"/>
              </w:rPr>
              <w:t>-e/unit</w:t>
            </w:r>
          </w:p>
        </w:tc>
        <w:tc>
          <w:tcPr>
            <w:tcW w:w="1388" w:type="dxa"/>
            <w:vAlign w:val="bottom"/>
          </w:tcPr>
          <w:p w14:paraId="5BAB3CD8" w14:textId="77777777" w:rsidR="00C7511A" w:rsidRPr="00B34BB5" w:rsidRDefault="00C7511A" w:rsidP="00D31805">
            <w:pPr>
              <w:pStyle w:val="TableText"/>
              <w:jc w:val="right"/>
              <w:cnfStyle w:val="100000000000" w:firstRow="1" w:lastRow="0" w:firstColumn="0" w:lastColumn="0" w:oddVBand="0" w:evenVBand="0" w:oddHBand="0" w:evenHBand="0" w:firstRowFirstColumn="0" w:firstRowLastColumn="0" w:lastRowFirstColumn="0" w:lastRowLastColumn="0"/>
            </w:pPr>
            <w:r w:rsidRPr="00B34BB5">
              <w:t>kg CO</w:t>
            </w:r>
            <w:r w:rsidRPr="00B34BB5">
              <w:rPr>
                <w:vertAlign w:val="subscript"/>
              </w:rPr>
              <w:t>2</w:t>
            </w:r>
            <w:r w:rsidRPr="00B34BB5">
              <w:t>/unit (kg CO</w:t>
            </w:r>
            <w:r w:rsidRPr="00B34BB5">
              <w:rPr>
                <w:vertAlign w:val="subscript"/>
              </w:rPr>
              <w:t>2</w:t>
            </w:r>
            <w:r w:rsidRPr="00B34BB5">
              <w:t>-e)</w:t>
            </w:r>
          </w:p>
        </w:tc>
        <w:tc>
          <w:tcPr>
            <w:tcW w:w="1388" w:type="dxa"/>
            <w:vAlign w:val="bottom"/>
          </w:tcPr>
          <w:p w14:paraId="534A2221" w14:textId="77777777" w:rsidR="00C7511A" w:rsidRPr="00B34BB5" w:rsidRDefault="00C7511A" w:rsidP="00D31805">
            <w:pPr>
              <w:pStyle w:val="TableText"/>
              <w:jc w:val="right"/>
              <w:cnfStyle w:val="100000000000" w:firstRow="1" w:lastRow="0" w:firstColumn="0" w:lastColumn="0" w:oddVBand="0" w:evenVBand="0" w:oddHBand="0" w:evenHBand="0" w:firstRowFirstColumn="0" w:firstRowLastColumn="0" w:lastRowFirstColumn="0" w:lastRowLastColumn="0"/>
            </w:pPr>
            <w:r w:rsidRPr="00B34BB5">
              <w:t>kg CH</w:t>
            </w:r>
            <w:r w:rsidRPr="00B34BB5">
              <w:rPr>
                <w:vertAlign w:val="subscript"/>
              </w:rPr>
              <w:t>4</w:t>
            </w:r>
            <w:r w:rsidRPr="00B34BB5">
              <w:t>/unit (kg CO</w:t>
            </w:r>
            <w:r w:rsidRPr="00B34BB5">
              <w:rPr>
                <w:vertAlign w:val="subscript"/>
              </w:rPr>
              <w:t>2</w:t>
            </w:r>
            <w:r w:rsidRPr="00B34BB5">
              <w:t>-e)</w:t>
            </w:r>
          </w:p>
        </w:tc>
        <w:tc>
          <w:tcPr>
            <w:tcW w:w="1457" w:type="dxa"/>
            <w:tcBorders>
              <w:bottom w:val="single" w:sz="8" w:space="0" w:color="1C556C" w:themeColor="accent1"/>
            </w:tcBorders>
            <w:vAlign w:val="bottom"/>
          </w:tcPr>
          <w:p w14:paraId="5E0C28E6" w14:textId="77777777" w:rsidR="00C7511A" w:rsidRPr="00B34BB5" w:rsidRDefault="00C7511A" w:rsidP="00D31805">
            <w:pPr>
              <w:pStyle w:val="TableText"/>
              <w:jc w:val="right"/>
              <w:cnfStyle w:val="100000000000" w:firstRow="1" w:lastRow="0" w:firstColumn="0" w:lastColumn="0" w:oddVBand="0" w:evenVBand="0" w:oddHBand="0" w:evenHBand="0" w:firstRowFirstColumn="0" w:firstRowLastColumn="0" w:lastRowFirstColumn="0" w:lastRowLastColumn="0"/>
              <w:rPr>
                <w:b w:val="0"/>
                <w:bCs w:val="0"/>
              </w:rPr>
            </w:pPr>
            <w:r w:rsidRPr="00B34BB5">
              <w:t>kg N</w:t>
            </w:r>
            <w:r w:rsidRPr="00B34BB5">
              <w:rPr>
                <w:vertAlign w:val="subscript"/>
              </w:rPr>
              <w:t>2</w:t>
            </w:r>
            <w:r w:rsidRPr="00B34BB5">
              <w:t>O/unit (kg CO</w:t>
            </w:r>
            <w:r w:rsidRPr="00B34BB5">
              <w:rPr>
                <w:vertAlign w:val="subscript"/>
              </w:rPr>
              <w:t>2</w:t>
            </w:r>
            <w:r w:rsidRPr="00B34BB5">
              <w:t>-e)</w:t>
            </w:r>
          </w:p>
        </w:tc>
      </w:tr>
      <w:tr w:rsidR="00C7511A" w:rsidRPr="00B34BB5" w14:paraId="0D33FC35" w14:textId="77777777" w:rsidTr="00820AC3">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603" w:type="dxa"/>
            <w:tcBorders>
              <w:left w:val="nil"/>
            </w:tcBorders>
          </w:tcPr>
          <w:p w14:paraId="2BBEB9D9" w14:textId="77777777" w:rsidR="00C7511A" w:rsidRPr="00DF0262" w:rsidRDefault="00C7511A" w:rsidP="00D31805">
            <w:pPr>
              <w:pStyle w:val="TableText"/>
              <w:rPr>
                <w:b w:val="0"/>
              </w:rPr>
            </w:pPr>
            <w:r w:rsidRPr="00DF0262" w:rsidDel="00692096">
              <w:rPr>
                <w:b w:val="0"/>
              </w:rPr>
              <w:t>Airbus A320</w:t>
            </w:r>
            <w:r w:rsidRPr="00DF0262">
              <w:rPr>
                <w:b w:val="0"/>
              </w:rPr>
              <w:t>*</w:t>
            </w:r>
          </w:p>
        </w:tc>
        <w:tc>
          <w:tcPr>
            <w:tcW w:w="694" w:type="dxa"/>
          </w:tcPr>
          <w:p w14:paraId="4EEC710E" w14:textId="77777777" w:rsidR="00C7511A" w:rsidRPr="00DF0262" w:rsidRDefault="00C7511A" w:rsidP="00D31805">
            <w:pPr>
              <w:pStyle w:val="TableText"/>
              <w:cnfStyle w:val="000000100000" w:firstRow="0" w:lastRow="0" w:firstColumn="0" w:lastColumn="0" w:oddVBand="0" w:evenVBand="0" w:oddHBand="1" w:evenHBand="0" w:firstRowFirstColumn="0" w:firstRowLastColumn="0" w:lastRowFirstColumn="0" w:lastRowLastColumn="0"/>
            </w:pPr>
            <w:r w:rsidRPr="00DF0262" w:rsidDel="00692096">
              <w:t>pkm</w:t>
            </w:r>
          </w:p>
        </w:tc>
        <w:tc>
          <w:tcPr>
            <w:tcW w:w="1560" w:type="dxa"/>
            <w:shd w:val="clear" w:color="auto" w:fill="D2DDE1" w:themeFill="background2"/>
          </w:tcPr>
          <w:p w14:paraId="5FB9FAE7" w14:textId="77777777" w:rsidR="00C7511A" w:rsidRPr="00820AC3"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820AC3" w:rsidDel="00692096">
              <w:t>0.</w:t>
            </w:r>
            <w:r w:rsidRPr="00820AC3">
              <w:t>168</w:t>
            </w:r>
          </w:p>
        </w:tc>
        <w:tc>
          <w:tcPr>
            <w:tcW w:w="1388" w:type="dxa"/>
          </w:tcPr>
          <w:p w14:paraId="7CDB616E" w14:textId="77777777" w:rsidR="00C7511A" w:rsidRPr="00DF0262"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DF0262" w:rsidDel="00692096">
              <w:t>0.</w:t>
            </w:r>
            <w:r>
              <w:t>165</w:t>
            </w:r>
          </w:p>
        </w:tc>
        <w:tc>
          <w:tcPr>
            <w:tcW w:w="1388" w:type="dxa"/>
          </w:tcPr>
          <w:p w14:paraId="0735C049" w14:textId="77777777" w:rsidR="00C7511A" w:rsidRPr="00DF0262"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DF0262" w:rsidDel="00692096">
              <w:t>0.001</w:t>
            </w:r>
          </w:p>
        </w:tc>
        <w:tc>
          <w:tcPr>
            <w:tcW w:w="1457" w:type="dxa"/>
            <w:tcBorders>
              <w:right w:val="nil"/>
            </w:tcBorders>
          </w:tcPr>
          <w:p w14:paraId="341E65CB" w14:textId="77777777" w:rsidR="00C7511A" w:rsidRPr="00DF0262"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DF0262" w:rsidDel="00692096">
              <w:t>0.00</w:t>
            </w:r>
            <w:r>
              <w:t>2</w:t>
            </w:r>
          </w:p>
        </w:tc>
      </w:tr>
      <w:tr w:rsidR="00C7511A" w:rsidRPr="00B34BB5" w14:paraId="23730E99" w14:textId="77777777" w:rsidTr="00820AC3">
        <w:trPr>
          <w:trHeight w:val="604"/>
        </w:trPr>
        <w:tc>
          <w:tcPr>
            <w:cnfStyle w:val="001000000000" w:firstRow="0" w:lastRow="0" w:firstColumn="1" w:lastColumn="0" w:oddVBand="0" w:evenVBand="0" w:oddHBand="0" w:evenHBand="0" w:firstRowFirstColumn="0" w:firstRowLastColumn="0" w:lastRowFirstColumn="0" w:lastRowLastColumn="0"/>
            <w:tcW w:w="2603" w:type="dxa"/>
            <w:tcBorders>
              <w:left w:val="nil"/>
            </w:tcBorders>
          </w:tcPr>
          <w:p w14:paraId="1E5F4078" w14:textId="77777777" w:rsidR="00C7511A" w:rsidRPr="00DF0262" w:rsidRDefault="00C7511A" w:rsidP="00D31805">
            <w:pPr>
              <w:pStyle w:val="TableText"/>
              <w:rPr>
                <w:b w:val="0"/>
              </w:rPr>
            </w:pPr>
            <w:r w:rsidRPr="00DF0262" w:rsidDel="00692096">
              <w:rPr>
                <w:b w:val="0"/>
              </w:rPr>
              <w:t>Aerospatiale/Alenia ATR 72</w:t>
            </w:r>
            <w:r w:rsidRPr="00DF0262">
              <w:rPr>
                <w:b w:val="0"/>
              </w:rPr>
              <w:t>*</w:t>
            </w:r>
          </w:p>
        </w:tc>
        <w:tc>
          <w:tcPr>
            <w:tcW w:w="694" w:type="dxa"/>
          </w:tcPr>
          <w:p w14:paraId="4738EC72" w14:textId="77777777" w:rsidR="00C7511A" w:rsidRPr="00DF0262" w:rsidRDefault="00C7511A" w:rsidP="00D31805">
            <w:pPr>
              <w:pStyle w:val="TableText"/>
              <w:cnfStyle w:val="000000000000" w:firstRow="0" w:lastRow="0" w:firstColumn="0" w:lastColumn="0" w:oddVBand="0" w:evenVBand="0" w:oddHBand="0" w:evenHBand="0" w:firstRowFirstColumn="0" w:firstRowLastColumn="0" w:lastRowFirstColumn="0" w:lastRowLastColumn="0"/>
            </w:pPr>
            <w:r w:rsidRPr="00DF0262" w:rsidDel="00692096">
              <w:t>pkm</w:t>
            </w:r>
          </w:p>
        </w:tc>
        <w:tc>
          <w:tcPr>
            <w:tcW w:w="1560" w:type="dxa"/>
            <w:shd w:val="clear" w:color="auto" w:fill="D2DDE1" w:themeFill="background2"/>
          </w:tcPr>
          <w:p w14:paraId="6DD3BBBC" w14:textId="77777777" w:rsidR="00C7511A" w:rsidRPr="00820AC3" w:rsidRDefault="00C7511A" w:rsidP="00D31805">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820AC3" w:rsidDel="00692096">
              <w:t>0.</w:t>
            </w:r>
            <w:r w:rsidRPr="00820AC3">
              <w:t>174</w:t>
            </w:r>
          </w:p>
        </w:tc>
        <w:tc>
          <w:tcPr>
            <w:tcW w:w="1388" w:type="dxa"/>
          </w:tcPr>
          <w:p w14:paraId="6ED611D5" w14:textId="77777777" w:rsidR="00C7511A" w:rsidRPr="00DF0262" w:rsidRDefault="00C7511A" w:rsidP="00D3180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DF0262" w:rsidDel="00692096">
              <w:t>0.</w:t>
            </w:r>
            <w:r>
              <w:t>171</w:t>
            </w:r>
          </w:p>
        </w:tc>
        <w:tc>
          <w:tcPr>
            <w:tcW w:w="1388" w:type="dxa"/>
          </w:tcPr>
          <w:p w14:paraId="25770002" w14:textId="77777777" w:rsidR="00C7511A" w:rsidRPr="00DF0262" w:rsidRDefault="00C7511A" w:rsidP="00D3180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DF0262" w:rsidDel="00692096">
              <w:t>0.001</w:t>
            </w:r>
          </w:p>
        </w:tc>
        <w:tc>
          <w:tcPr>
            <w:tcW w:w="1457" w:type="dxa"/>
            <w:tcBorders>
              <w:right w:val="nil"/>
            </w:tcBorders>
          </w:tcPr>
          <w:p w14:paraId="6148084B" w14:textId="77777777" w:rsidR="00C7511A" w:rsidRPr="00DF0262" w:rsidRDefault="00C7511A" w:rsidP="00D3180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DF0262" w:rsidDel="00692096">
              <w:t>0.00</w:t>
            </w:r>
            <w:r>
              <w:t>3</w:t>
            </w:r>
          </w:p>
        </w:tc>
      </w:tr>
      <w:tr w:rsidR="00C7511A" w:rsidRPr="00B34BB5" w14:paraId="05100780" w14:textId="77777777" w:rsidTr="00820AC3">
        <w:trPr>
          <w:cnfStyle w:val="000000100000" w:firstRow="0" w:lastRow="0" w:firstColumn="0" w:lastColumn="0" w:oddVBand="0" w:evenVBand="0" w:oddHBand="1"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2603" w:type="dxa"/>
            <w:tcBorders>
              <w:left w:val="nil"/>
            </w:tcBorders>
          </w:tcPr>
          <w:p w14:paraId="1003C5E6" w14:textId="77777777" w:rsidR="00C7511A" w:rsidRPr="00DF0262" w:rsidRDefault="00C7511A" w:rsidP="00D31805">
            <w:pPr>
              <w:pStyle w:val="TableText"/>
              <w:rPr>
                <w:b w:val="0"/>
              </w:rPr>
            </w:pPr>
            <w:r w:rsidRPr="00DF0262" w:rsidDel="00692096">
              <w:rPr>
                <w:b w:val="0"/>
              </w:rPr>
              <w:lastRenderedPageBreak/>
              <w:t>British Aerospace Jetstream 32</w:t>
            </w:r>
          </w:p>
        </w:tc>
        <w:tc>
          <w:tcPr>
            <w:tcW w:w="694" w:type="dxa"/>
          </w:tcPr>
          <w:p w14:paraId="7BCBB283" w14:textId="77777777" w:rsidR="00C7511A" w:rsidRPr="00DF0262" w:rsidRDefault="00C7511A" w:rsidP="00D31805">
            <w:pPr>
              <w:pStyle w:val="TableText"/>
              <w:cnfStyle w:val="000000100000" w:firstRow="0" w:lastRow="0" w:firstColumn="0" w:lastColumn="0" w:oddVBand="0" w:evenVBand="0" w:oddHBand="1" w:evenHBand="0" w:firstRowFirstColumn="0" w:firstRowLastColumn="0" w:lastRowFirstColumn="0" w:lastRowLastColumn="0"/>
            </w:pPr>
            <w:r w:rsidRPr="00DF0262" w:rsidDel="00692096">
              <w:t>pkm</w:t>
            </w:r>
          </w:p>
        </w:tc>
        <w:tc>
          <w:tcPr>
            <w:tcW w:w="1560" w:type="dxa"/>
            <w:shd w:val="clear" w:color="auto" w:fill="D2DDE1" w:themeFill="background2"/>
          </w:tcPr>
          <w:p w14:paraId="508C4100" w14:textId="77777777" w:rsidR="00C7511A" w:rsidRPr="00820AC3"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820AC3" w:rsidDel="00692096">
              <w:t>0.</w:t>
            </w:r>
            <w:r w:rsidRPr="00820AC3">
              <w:t>450</w:t>
            </w:r>
          </w:p>
        </w:tc>
        <w:tc>
          <w:tcPr>
            <w:tcW w:w="1388" w:type="dxa"/>
          </w:tcPr>
          <w:p w14:paraId="2FA68F1E" w14:textId="77777777" w:rsidR="00C7511A" w:rsidRPr="00DF0262"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DF0262" w:rsidDel="00692096">
              <w:t>0.</w:t>
            </w:r>
            <w:r>
              <w:t>435</w:t>
            </w:r>
          </w:p>
        </w:tc>
        <w:tc>
          <w:tcPr>
            <w:tcW w:w="1388" w:type="dxa"/>
          </w:tcPr>
          <w:p w14:paraId="23CD3DE1" w14:textId="77777777" w:rsidR="00C7511A" w:rsidRPr="00DF0262"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DF0262" w:rsidDel="00692096">
              <w:t>0.00</w:t>
            </w:r>
            <w:r>
              <w:t>4</w:t>
            </w:r>
          </w:p>
        </w:tc>
        <w:tc>
          <w:tcPr>
            <w:tcW w:w="1457" w:type="dxa"/>
            <w:tcBorders>
              <w:right w:val="nil"/>
            </w:tcBorders>
          </w:tcPr>
          <w:p w14:paraId="13CB9B43" w14:textId="77777777" w:rsidR="00C7511A" w:rsidRPr="00DF0262"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DF0262" w:rsidDel="00692096">
              <w:t>0.0</w:t>
            </w:r>
            <w:r>
              <w:t>11</w:t>
            </w:r>
          </w:p>
        </w:tc>
      </w:tr>
      <w:tr w:rsidR="00C7511A" w:rsidRPr="00B34BB5" w14:paraId="485FA3E1" w14:textId="77777777" w:rsidTr="00820AC3">
        <w:trPr>
          <w:trHeight w:val="362"/>
        </w:trPr>
        <w:tc>
          <w:tcPr>
            <w:cnfStyle w:val="001000000000" w:firstRow="0" w:lastRow="0" w:firstColumn="1" w:lastColumn="0" w:oddVBand="0" w:evenVBand="0" w:oddHBand="0" w:evenHBand="0" w:firstRowFirstColumn="0" w:firstRowLastColumn="0" w:lastRowFirstColumn="0" w:lastRowLastColumn="0"/>
            <w:tcW w:w="2603" w:type="dxa"/>
            <w:tcBorders>
              <w:left w:val="nil"/>
            </w:tcBorders>
          </w:tcPr>
          <w:p w14:paraId="52FC68C7" w14:textId="77777777" w:rsidR="00C7511A" w:rsidRPr="00DF0262" w:rsidRDefault="00C7511A" w:rsidP="00D31805">
            <w:pPr>
              <w:pStyle w:val="TableText"/>
              <w:rPr>
                <w:b w:val="0"/>
              </w:rPr>
            </w:pPr>
            <w:r w:rsidRPr="00DF0262" w:rsidDel="00692096">
              <w:rPr>
                <w:b w:val="0"/>
              </w:rPr>
              <w:t>Beechcraft Beech 1900D</w:t>
            </w:r>
          </w:p>
        </w:tc>
        <w:tc>
          <w:tcPr>
            <w:tcW w:w="694" w:type="dxa"/>
          </w:tcPr>
          <w:p w14:paraId="384C8BBC" w14:textId="77777777" w:rsidR="00C7511A" w:rsidRPr="00DF0262" w:rsidRDefault="00C7511A" w:rsidP="00D31805">
            <w:pPr>
              <w:pStyle w:val="TableText"/>
              <w:cnfStyle w:val="000000000000" w:firstRow="0" w:lastRow="0" w:firstColumn="0" w:lastColumn="0" w:oddVBand="0" w:evenVBand="0" w:oddHBand="0" w:evenHBand="0" w:firstRowFirstColumn="0" w:firstRowLastColumn="0" w:lastRowFirstColumn="0" w:lastRowLastColumn="0"/>
            </w:pPr>
            <w:r w:rsidRPr="00DF0262" w:rsidDel="00692096">
              <w:t>pkm</w:t>
            </w:r>
          </w:p>
        </w:tc>
        <w:tc>
          <w:tcPr>
            <w:tcW w:w="1560" w:type="dxa"/>
            <w:shd w:val="clear" w:color="auto" w:fill="D2DDE1" w:themeFill="background2"/>
          </w:tcPr>
          <w:p w14:paraId="6B998549" w14:textId="77777777" w:rsidR="00C7511A" w:rsidRPr="00820AC3" w:rsidRDefault="00C7511A" w:rsidP="00D31805">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820AC3" w:rsidDel="00692096">
              <w:t>0.</w:t>
            </w:r>
            <w:r w:rsidRPr="00820AC3">
              <w:t>353</w:t>
            </w:r>
          </w:p>
        </w:tc>
        <w:tc>
          <w:tcPr>
            <w:tcW w:w="1388" w:type="dxa"/>
          </w:tcPr>
          <w:p w14:paraId="7B9B2120" w14:textId="77777777" w:rsidR="00C7511A" w:rsidRPr="00DF0262" w:rsidRDefault="00C7511A" w:rsidP="00D3180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DF0262" w:rsidDel="00692096">
              <w:t>0.</w:t>
            </w:r>
            <w:r>
              <w:t>342</w:t>
            </w:r>
          </w:p>
        </w:tc>
        <w:tc>
          <w:tcPr>
            <w:tcW w:w="1388" w:type="dxa"/>
          </w:tcPr>
          <w:p w14:paraId="0952C024" w14:textId="77777777" w:rsidR="00C7511A" w:rsidRPr="00DF0262" w:rsidRDefault="00C7511A" w:rsidP="00D3180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DF0262" w:rsidDel="00692096">
              <w:t>0.00</w:t>
            </w:r>
            <w:r>
              <w:t>4</w:t>
            </w:r>
          </w:p>
        </w:tc>
        <w:tc>
          <w:tcPr>
            <w:tcW w:w="1457" w:type="dxa"/>
            <w:tcBorders>
              <w:right w:val="nil"/>
            </w:tcBorders>
          </w:tcPr>
          <w:p w14:paraId="46A1CDC4" w14:textId="77777777" w:rsidR="00C7511A" w:rsidRPr="00DF0262" w:rsidRDefault="00C7511A" w:rsidP="00D3180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DF0262" w:rsidDel="00692096">
              <w:t>0.0</w:t>
            </w:r>
            <w:r>
              <w:t>10</w:t>
            </w:r>
          </w:p>
        </w:tc>
      </w:tr>
      <w:tr w:rsidR="00C7511A" w:rsidRPr="00B34BB5" w14:paraId="32F4D31F" w14:textId="77777777" w:rsidTr="00820AC3">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2603" w:type="dxa"/>
            <w:tcBorders>
              <w:left w:val="nil"/>
            </w:tcBorders>
          </w:tcPr>
          <w:p w14:paraId="181EDA1D" w14:textId="77777777" w:rsidR="00C7511A" w:rsidRPr="00DF0262" w:rsidRDefault="00C7511A" w:rsidP="00D31805">
            <w:pPr>
              <w:pStyle w:val="TableText"/>
              <w:rPr>
                <w:b w:val="0"/>
              </w:rPr>
            </w:pPr>
            <w:r w:rsidRPr="00DF0262" w:rsidDel="00692096">
              <w:rPr>
                <w:b w:val="0"/>
              </w:rPr>
              <w:t>Cessna Light Aircraft</w:t>
            </w:r>
          </w:p>
        </w:tc>
        <w:tc>
          <w:tcPr>
            <w:tcW w:w="694" w:type="dxa"/>
          </w:tcPr>
          <w:p w14:paraId="72A2492C" w14:textId="77777777" w:rsidR="00C7511A" w:rsidRPr="00DF0262" w:rsidRDefault="00C7511A" w:rsidP="00D31805">
            <w:pPr>
              <w:pStyle w:val="TableText"/>
              <w:cnfStyle w:val="000000100000" w:firstRow="0" w:lastRow="0" w:firstColumn="0" w:lastColumn="0" w:oddVBand="0" w:evenVBand="0" w:oddHBand="1" w:evenHBand="0" w:firstRowFirstColumn="0" w:firstRowLastColumn="0" w:lastRowFirstColumn="0" w:lastRowLastColumn="0"/>
            </w:pPr>
            <w:r w:rsidRPr="00DF0262" w:rsidDel="00692096">
              <w:t>pkm</w:t>
            </w:r>
          </w:p>
        </w:tc>
        <w:tc>
          <w:tcPr>
            <w:tcW w:w="1560" w:type="dxa"/>
            <w:shd w:val="clear" w:color="auto" w:fill="D2DDE1" w:themeFill="background2"/>
          </w:tcPr>
          <w:p w14:paraId="56DE177E" w14:textId="77777777" w:rsidR="00C7511A" w:rsidRPr="00820AC3"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820AC3">
              <w:t>1.049</w:t>
            </w:r>
          </w:p>
        </w:tc>
        <w:tc>
          <w:tcPr>
            <w:tcW w:w="1388" w:type="dxa"/>
          </w:tcPr>
          <w:p w14:paraId="21381604" w14:textId="77777777" w:rsidR="00C7511A" w:rsidRPr="00DF0262"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t>1.015</w:t>
            </w:r>
          </w:p>
        </w:tc>
        <w:tc>
          <w:tcPr>
            <w:tcW w:w="1388" w:type="dxa"/>
          </w:tcPr>
          <w:p w14:paraId="7FB157BD" w14:textId="77777777" w:rsidR="00C7511A" w:rsidRPr="00DF0262"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DF0262" w:rsidDel="00692096">
              <w:t>0.00</w:t>
            </w:r>
            <w:r>
              <w:t>8</w:t>
            </w:r>
          </w:p>
        </w:tc>
        <w:tc>
          <w:tcPr>
            <w:tcW w:w="1457" w:type="dxa"/>
            <w:tcBorders>
              <w:right w:val="nil"/>
            </w:tcBorders>
          </w:tcPr>
          <w:p w14:paraId="517FE804" w14:textId="77777777" w:rsidR="00C7511A" w:rsidRPr="00DF0262"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DF0262" w:rsidDel="00692096">
              <w:t>0.0</w:t>
            </w:r>
            <w:r>
              <w:t>27</w:t>
            </w:r>
          </w:p>
        </w:tc>
      </w:tr>
      <w:tr w:rsidR="00C7511A" w:rsidRPr="00B34BB5" w14:paraId="7DDB70D5" w14:textId="77777777" w:rsidTr="00820AC3">
        <w:trPr>
          <w:trHeight w:val="598"/>
        </w:trPr>
        <w:tc>
          <w:tcPr>
            <w:cnfStyle w:val="001000000000" w:firstRow="0" w:lastRow="0" w:firstColumn="1" w:lastColumn="0" w:oddVBand="0" w:evenVBand="0" w:oddHBand="0" w:evenHBand="0" w:firstRowFirstColumn="0" w:firstRowLastColumn="0" w:lastRowFirstColumn="0" w:lastRowLastColumn="0"/>
            <w:tcW w:w="2603" w:type="dxa"/>
            <w:tcBorders>
              <w:left w:val="nil"/>
            </w:tcBorders>
          </w:tcPr>
          <w:p w14:paraId="755414CA" w14:textId="77777777" w:rsidR="00C7511A" w:rsidRPr="00DF0262" w:rsidRDefault="00C7511A" w:rsidP="00D31805">
            <w:pPr>
              <w:pStyle w:val="TableText"/>
              <w:rPr>
                <w:b w:val="0"/>
              </w:rPr>
            </w:pPr>
            <w:r w:rsidRPr="00DF0262" w:rsidDel="00692096">
              <w:rPr>
                <w:b w:val="0"/>
              </w:rPr>
              <w:t>De Havilland Canada DHC-8-300 Dash 8/8Q</w:t>
            </w:r>
            <w:r>
              <w:rPr>
                <w:b w:val="0"/>
              </w:rPr>
              <w:t>, Q300</w:t>
            </w:r>
            <w:r w:rsidRPr="00DF0262">
              <w:rPr>
                <w:b w:val="0"/>
              </w:rPr>
              <w:t>*</w:t>
            </w:r>
          </w:p>
        </w:tc>
        <w:tc>
          <w:tcPr>
            <w:tcW w:w="694" w:type="dxa"/>
          </w:tcPr>
          <w:p w14:paraId="35AE82FE" w14:textId="77777777" w:rsidR="00C7511A" w:rsidRPr="00DF0262" w:rsidRDefault="00C7511A" w:rsidP="00D31805">
            <w:pPr>
              <w:pStyle w:val="TableText"/>
              <w:cnfStyle w:val="000000000000" w:firstRow="0" w:lastRow="0" w:firstColumn="0" w:lastColumn="0" w:oddVBand="0" w:evenVBand="0" w:oddHBand="0" w:evenHBand="0" w:firstRowFirstColumn="0" w:firstRowLastColumn="0" w:lastRowFirstColumn="0" w:lastRowLastColumn="0"/>
            </w:pPr>
            <w:r w:rsidRPr="00DF0262" w:rsidDel="00692096">
              <w:t>pkm</w:t>
            </w:r>
          </w:p>
        </w:tc>
        <w:tc>
          <w:tcPr>
            <w:tcW w:w="1560" w:type="dxa"/>
            <w:shd w:val="clear" w:color="auto" w:fill="D2DDE1" w:themeFill="background2"/>
          </w:tcPr>
          <w:p w14:paraId="02E41CA0" w14:textId="77777777" w:rsidR="00C7511A" w:rsidRPr="00820AC3" w:rsidRDefault="00C7511A" w:rsidP="00D31805">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820AC3" w:rsidDel="00692096">
              <w:t>0.</w:t>
            </w:r>
            <w:r w:rsidRPr="00820AC3">
              <w:t>270</w:t>
            </w:r>
          </w:p>
        </w:tc>
        <w:tc>
          <w:tcPr>
            <w:tcW w:w="1388" w:type="dxa"/>
          </w:tcPr>
          <w:p w14:paraId="042ACB25" w14:textId="77777777" w:rsidR="00C7511A" w:rsidRPr="00DF0262" w:rsidRDefault="00C7511A" w:rsidP="00D3180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DF0262" w:rsidDel="00692096">
              <w:t>0.</w:t>
            </w:r>
            <w:r>
              <w:t>266</w:t>
            </w:r>
          </w:p>
        </w:tc>
        <w:tc>
          <w:tcPr>
            <w:tcW w:w="1388" w:type="dxa"/>
          </w:tcPr>
          <w:p w14:paraId="78BFF394" w14:textId="77777777" w:rsidR="00C7511A" w:rsidRPr="00DF0262" w:rsidRDefault="00C7511A" w:rsidP="00D3180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DF0262" w:rsidDel="00692096">
              <w:t>0.001</w:t>
            </w:r>
          </w:p>
        </w:tc>
        <w:tc>
          <w:tcPr>
            <w:tcW w:w="1457" w:type="dxa"/>
            <w:tcBorders>
              <w:right w:val="nil"/>
            </w:tcBorders>
          </w:tcPr>
          <w:p w14:paraId="76F05AE1" w14:textId="77777777" w:rsidR="00C7511A" w:rsidRPr="00DF0262" w:rsidRDefault="00C7511A" w:rsidP="00D3180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DF0262" w:rsidDel="00692096">
              <w:t>0.0</w:t>
            </w:r>
            <w:r>
              <w:t>04</w:t>
            </w:r>
          </w:p>
        </w:tc>
      </w:tr>
      <w:tr w:rsidR="00C7511A" w:rsidRPr="00B34BB5" w14:paraId="1F84CF0E" w14:textId="77777777" w:rsidTr="00820AC3">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2603" w:type="dxa"/>
            <w:tcBorders>
              <w:left w:val="nil"/>
            </w:tcBorders>
          </w:tcPr>
          <w:p w14:paraId="66848866" w14:textId="77777777" w:rsidR="00C7511A" w:rsidRPr="00DF0262" w:rsidRDefault="00C7511A" w:rsidP="00D31805">
            <w:pPr>
              <w:pStyle w:val="TableText"/>
              <w:rPr>
                <w:b w:val="0"/>
              </w:rPr>
            </w:pPr>
            <w:r w:rsidRPr="00DF0262" w:rsidDel="00692096">
              <w:rPr>
                <w:b w:val="0"/>
              </w:rPr>
              <w:t>Pilatus PC-12</w:t>
            </w:r>
          </w:p>
        </w:tc>
        <w:tc>
          <w:tcPr>
            <w:tcW w:w="694" w:type="dxa"/>
          </w:tcPr>
          <w:p w14:paraId="057195FD" w14:textId="77777777" w:rsidR="00C7511A" w:rsidRPr="00DF0262" w:rsidRDefault="00C7511A" w:rsidP="00D31805">
            <w:pPr>
              <w:pStyle w:val="TableText"/>
              <w:cnfStyle w:val="000000100000" w:firstRow="0" w:lastRow="0" w:firstColumn="0" w:lastColumn="0" w:oddVBand="0" w:evenVBand="0" w:oddHBand="1" w:evenHBand="0" w:firstRowFirstColumn="0" w:firstRowLastColumn="0" w:lastRowFirstColumn="0" w:lastRowLastColumn="0"/>
            </w:pPr>
            <w:r w:rsidRPr="00DF0262" w:rsidDel="00692096">
              <w:t>pkm</w:t>
            </w:r>
          </w:p>
        </w:tc>
        <w:tc>
          <w:tcPr>
            <w:tcW w:w="1560" w:type="dxa"/>
            <w:shd w:val="clear" w:color="auto" w:fill="D2DDE1" w:themeFill="background2"/>
          </w:tcPr>
          <w:p w14:paraId="7193B1B8" w14:textId="77777777" w:rsidR="00C7511A" w:rsidRPr="00820AC3"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820AC3" w:rsidDel="00692096">
              <w:t>0.</w:t>
            </w:r>
            <w:r w:rsidRPr="00820AC3">
              <w:t>357</w:t>
            </w:r>
          </w:p>
        </w:tc>
        <w:tc>
          <w:tcPr>
            <w:tcW w:w="1388" w:type="dxa"/>
          </w:tcPr>
          <w:p w14:paraId="4A15E37E" w14:textId="77777777" w:rsidR="00C7511A" w:rsidRPr="00DF0262"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DF0262" w:rsidDel="00692096">
              <w:t>0.</w:t>
            </w:r>
            <w:r>
              <w:t>346</w:t>
            </w:r>
          </w:p>
        </w:tc>
        <w:tc>
          <w:tcPr>
            <w:tcW w:w="1388" w:type="dxa"/>
          </w:tcPr>
          <w:p w14:paraId="44C53828" w14:textId="77777777" w:rsidR="00C7511A" w:rsidRPr="00DF0262"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DF0262" w:rsidDel="00692096">
              <w:t>0.00</w:t>
            </w:r>
            <w:r>
              <w:t>4</w:t>
            </w:r>
          </w:p>
        </w:tc>
        <w:tc>
          <w:tcPr>
            <w:tcW w:w="1457" w:type="dxa"/>
            <w:tcBorders>
              <w:right w:val="nil"/>
            </w:tcBorders>
          </w:tcPr>
          <w:p w14:paraId="5D083923" w14:textId="77777777" w:rsidR="00C7511A" w:rsidRPr="00DF0262"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DF0262" w:rsidDel="00692096">
              <w:t>0.0</w:t>
            </w:r>
            <w:r>
              <w:t>10</w:t>
            </w:r>
          </w:p>
        </w:tc>
      </w:tr>
      <w:tr w:rsidR="00C7511A" w:rsidRPr="00B34BB5" w14:paraId="4D7D5E97" w14:textId="77777777" w:rsidTr="00820AC3">
        <w:trPr>
          <w:trHeight w:val="362"/>
        </w:trPr>
        <w:tc>
          <w:tcPr>
            <w:cnfStyle w:val="001000000000" w:firstRow="0" w:lastRow="0" w:firstColumn="1" w:lastColumn="0" w:oddVBand="0" w:evenVBand="0" w:oddHBand="0" w:evenHBand="0" w:firstRowFirstColumn="0" w:firstRowLastColumn="0" w:lastRowFirstColumn="0" w:lastRowLastColumn="0"/>
            <w:tcW w:w="2603" w:type="dxa"/>
            <w:tcBorders>
              <w:left w:val="nil"/>
            </w:tcBorders>
          </w:tcPr>
          <w:p w14:paraId="45080FAC" w14:textId="77777777" w:rsidR="00C7511A" w:rsidRPr="00DF0262" w:rsidRDefault="00C7511A" w:rsidP="00D31805">
            <w:pPr>
              <w:pStyle w:val="TableText"/>
              <w:rPr>
                <w:b w:val="0"/>
              </w:rPr>
            </w:pPr>
            <w:r w:rsidRPr="00DF0262" w:rsidDel="00692096">
              <w:rPr>
                <w:b w:val="0"/>
              </w:rPr>
              <w:t>Saab SF-340</w:t>
            </w:r>
          </w:p>
        </w:tc>
        <w:tc>
          <w:tcPr>
            <w:tcW w:w="694" w:type="dxa"/>
          </w:tcPr>
          <w:p w14:paraId="614E0D2D" w14:textId="77777777" w:rsidR="00C7511A" w:rsidRPr="00DF0262" w:rsidRDefault="00C7511A" w:rsidP="00D31805">
            <w:pPr>
              <w:pStyle w:val="TableText"/>
              <w:cnfStyle w:val="000000000000" w:firstRow="0" w:lastRow="0" w:firstColumn="0" w:lastColumn="0" w:oddVBand="0" w:evenVBand="0" w:oddHBand="0" w:evenHBand="0" w:firstRowFirstColumn="0" w:firstRowLastColumn="0" w:lastRowFirstColumn="0" w:lastRowLastColumn="0"/>
            </w:pPr>
            <w:r w:rsidRPr="00DF0262" w:rsidDel="00692096">
              <w:t>pkm</w:t>
            </w:r>
          </w:p>
        </w:tc>
        <w:tc>
          <w:tcPr>
            <w:tcW w:w="1560" w:type="dxa"/>
            <w:shd w:val="clear" w:color="auto" w:fill="D2DDE1" w:themeFill="background2"/>
          </w:tcPr>
          <w:p w14:paraId="0A5C736F" w14:textId="77777777" w:rsidR="00C7511A" w:rsidRPr="00820AC3" w:rsidRDefault="00C7511A" w:rsidP="00D31805">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820AC3" w:rsidDel="00692096">
              <w:t>0.</w:t>
            </w:r>
            <w:r w:rsidRPr="00820AC3">
              <w:t>184</w:t>
            </w:r>
          </w:p>
        </w:tc>
        <w:tc>
          <w:tcPr>
            <w:tcW w:w="1388" w:type="dxa"/>
          </w:tcPr>
          <w:p w14:paraId="17C51503" w14:textId="77777777" w:rsidR="00C7511A" w:rsidRPr="00DF0262" w:rsidRDefault="00C7511A" w:rsidP="00D3180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DF0262" w:rsidDel="00692096">
              <w:t>0.</w:t>
            </w:r>
            <w:r>
              <w:t>179</w:t>
            </w:r>
          </w:p>
        </w:tc>
        <w:tc>
          <w:tcPr>
            <w:tcW w:w="1388" w:type="dxa"/>
          </w:tcPr>
          <w:p w14:paraId="7EC3C397" w14:textId="77777777" w:rsidR="00C7511A" w:rsidRPr="00DF0262" w:rsidRDefault="00C7511A" w:rsidP="00D3180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DF0262" w:rsidDel="00692096">
              <w:t>0.00</w:t>
            </w:r>
            <w:r>
              <w:t>2</w:t>
            </w:r>
          </w:p>
        </w:tc>
        <w:tc>
          <w:tcPr>
            <w:tcW w:w="1457" w:type="dxa"/>
            <w:tcBorders>
              <w:right w:val="nil"/>
            </w:tcBorders>
          </w:tcPr>
          <w:p w14:paraId="37337E34" w14:textId="77777777" w:rsidR="00C7511A" w:rsidRPr="00DF0262" w:rsidRDefault="00C7511A" w:rsidP="00D3180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DF0262" w:rsidDel="00692096">
              <w:t>0.00</w:t>
            </w:r>
            <w:r>
              <w:t>4</w:t>
            </w:r>
          </w:p>
        </w:tc>
      </w:tr>
      <w:tr w:rsidR="00C7511A" w:rsidRPr="00B34BB5" w14:paraId="2804A018" w14:textId="77777777" w:rsidTr="00820AC3">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603" w:type="dxa"/>
            <w:tcBorders>
              <w:left w:val="nil"/>
            </w:tcBorders>
          </w:tcPr>
          <w:p w14:paraId="5DA2AE8E" w14:textId="77777777" w:rsidR="00C7511A" w:rsidRPr="00DF0262" w:rsidRDefault="00C7511A" w:rsidP="00D31805">
            <w:pPr>
              <w:pStyle w:val="TableText"/>
              <w:rPr>
                <w:b w:val="0"/>
              </w:rPr>
            </w:pPr>
            <w:r w:rsidRPr="00DF0262" w:rsidDel="00692096">
              <w:rPr>
                <w:b w:val="0"/>
              </w:rPr>
              <w:t>FOKKER F50</w:t>
            </w:r>
          </w:p>
        </w:tc>
        <w:tc>
          <w:tcPr>
            <w:tcW w:w="694" w:type="dxa"/>
          </w:tcPr>
          <w:p w14:paraId="450F6669" w14:textId="77777777" w:rsidR="00C7511A" w:rsidRPr="00DF0262" w:rsidRDefault="00C7511A" w:rsidP="00D31805">
            <w:pPr>
              <w:pStyle w:val="TableText"/>
              <w:cnfStyle w:val="000000100000" w:firstRow="0" w:lastRow="0" w:firstColumn="0" w:lastColumn="0" w:oddVBand="0" w:evenVBand="0" w:oddHBand="1" w:evenHBand="0" w:firstRowFirstColumn="0" w:firstRowLastColumn="0" w:lastRowFirstColumn="0" w:lastRowLastColumn="0"/>
            </w:pPr>
            <w:r w:rsidRPr="00DF0262" w:rsidDel="00692096">
              <w:t>pkm</w:t>
            </w:r>
          </w:p>
        </w:tc>
        <w:tc>
          <w:tcPr>
            <w:tcW w:w="1560" w:type="dxa"/>
            <w:shd w:val="clear" w:color="auto" w:fill="D2DDE1" w:themeFill="background2"/>
          </w:tcPr>
          <w:p w14:paraId="7AD8A867" w14:textId="77777777" w:rsidR="00C7511A" w:rsidRPr="00820AC3"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820AC3" w:rsidDel="00692096">
              <w:t>0.</w:t>
            </w:r>
            <w:r w:rsidRPr="00820AC3">
              <w:t>173</w:t>
            </w:r>
          </w:p>
        </w:tc>
        <w:tc>
          <w:tcPr>
            <w:tcW w:w="1388" w:type="dxa"/>
          </w:tcPr>
          <w:p w14:paraId="64C16496" w14:textId="77777777" w:rsidR="00C7511A" w:rsidRPr="00DF0262"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DF0262" w:rsidDel="00692096">
              <w:t>0.</w:t>
            </w:r>
            <w:r>
              <w:t>167</w:t>
            </w:r>
          </w:p>
        </w:tc>
        <w:tc>
          <w:tcPr>
            <w:tcW w:w="1388" w:type="dxa"/>
          </w:tcPr>
          <w:p w14:paraId="6A3CC15B" w14:textId="77777777" w:rsidR="00C7511A" w:rsidRPr="00DF0262"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DF0262" w:rsidDel="00692096">
              <w:t>0.00</w:t>
            </w:r>
            <w:r>
              <w:t>2</w:t>
            </w:r>
          </w:p>
        </w:tc>
        <w:tc>
          <w:tcPr>
            <w:tcW w:w="1457" w:type="dxa"/>
            <w:tcBorders>
              <w:right w:val="nil"/>
            </w:tcBorders>
          </w:tcPr>
          <w:p w14:paraId="37D2AB5B" w14:textId="77777777" w:rsidR="00C7511A" w:rsidRPr="00DF0262"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DF0262" w:rsidDel="00692096">
              <w:t>0.00</w:t>
            </w:r>
            <w:r>
              <w:t>4</w:t>
            </w:r>
          </w:p>
        </w:tc>
      </w:tr>
    </w:tbl>
    <w:p w14:paraId="168CEC57" w14:textId="0D65CDB0" w:rsidR="00C7511A" w:rsidRDefault="00C7511A" w:rsidP="00EB4389">
      <w:pPr>
        <w:pStyle w:val="Note"/>
      </w:pPr>
      <w:r w:rsidRPr="00B34BB5">
        <w:t>Note: These numbers are rounded to three decimal places</w:t>
      </w:r>
      <w:r>
        <w:t xml:space="preserve"> u</w:t>
      </w:r>
      <w:r w:rsidRPr="00B34BB5">
        <w:t xml:space="preserve">nless the number is significantly small. </w:t>
      </w:r>
      <w:r>
        <w:t>*Average calculated using data from 2016 and 2019.</w:t>
      </w:r>
    </w:p>
    <w:p w14:paraId="37538273" w14:textId="2D56C385" w:rsidR="00C7511A" w:rsidRPr="00B34BB5" w:rsidRDefault="00EB4389" w:rsidP="00EB4389">
      <w:pPr>
        <w:pStyle w:val="Tableheading"/>
      </w:pPr>
      <w:bookmarkStart w:id="430" w:name="_Toc111536651"/>
      <w:r w:rsidRPr="00B275E2">
        <w:t xml:space="preserve">Table </w:t>
      </w:r>
      <w:r w:rsidRPr="00B275E2">
        <w:fldChar w:fldCharType="begin"/>
      </w:r>
      <w:r w:rsidRPr="00B275E2">
        <w:instrText>SEQ Table \* ARABIC</w:instrText>
      </w:r>
      <w:r w:rsidRPr="00B275E2">
        <w:fldChar w:fldCharType="separate"/>
      </w:r>
      <w:r>
        <w:rPr>
          <w:noProof/>
        </w:rPr>
        <w:t>46</w:t>
      </w:r>
      <w:r w:rsidRPr="00B275E2">
        <w:fldChar w:fldCharType="end"/>
      </w:r>
      <w:r w:rsidRPr="00B275E2">
        <w:t>:</w:t>
      </w:r>
      <w:r w:rsidRPr="00B275E2">
        <w:tab/>
      </w:r>
      <w:r w:rsidRPr="00B34BB5">
        <w:t>Calculated</w:t>
      </w:r>
      <w:r w:rsidR="00C7511A" w:rsidRPr="00B34BB5">
        <w:t xml:space="preserve"> emissions</w:t>
      </w:r>
      <w:r w:rsidR="00C7511A">
        <w:t xml:space="preserve"> for 2020</w:t>
      </w:r>
      <w:r w:rsidR="00C7511A" w:rsidRPr="00B34BB5">
        <w:t>, without the radiative forcing multiplier, per aircraft type</w:t>
      </w:r>
      <w:bookmarkEnd w:id="430"/>
      <w:r w:rsidR="00C7511A" w:rsidRPr="00B34BB5">
        <w:t xml:space="preserve"> </w:t>
      </w:r>
    </w:p>
    <w:tbl>
      <w:tblPr>
        <w:tblStyle w:val="LightList-Accent1"/>
        <w:tblW w:w="9110" w:type="dxa"/>
        <w:tblBorders>
          <w:insideH w:val="single" w:sz="8" w:space="0" w:color="1C556C" w:themeColor="accent1"/>
        </w:tblBorders>
        <w:tblLayout w:type="fixed"/>
        <w:tblLook w:val="04A0" w:firstRow="1" w:lastRow="0" w:firstColumn="1" w:lastColumn="0" w:noHBand="0" w:noVBand="1"/>
      </w:tblPr>
      <w:tblGrid>
        <w:gridCol w:w="2610"/>
        <w:gridCol w:w="694"/>
        <w:gridCol w:w="1564"/>
        <w:gridCol w:w="1391"/>
        <w:gridCol w:w="1391"/>
        <w:gridCol w:w="1460"/>
      </w:tblGrid>
      <w:tr w:rsidR="00C7511A" w:rsidRPr="00B34BB5" w14:paraId="379A56B8" w14:textId="77777777" w:rsidTr="00820AC3">
        <w:trPr>
          <w:cnfStyle w:val="100000000000" w:firstRow="1" w:lastRow="0" w:firstColumn="0" w:lastColumn="0" w:oddVBand="0" w:evenVBand="0" w:oddHBand="0" w:evenHBand="0" w:firstRowFirstColumn="0" w:firstRowLastColumn="0" w:lastRowFirstColumn="0" w:lastRowLastColumn="0"/>
          <w:trHeight w:val="613"/>
          <w:tblHeader/>
        </w:trPr>
        <w:tc>
          <w:tcPr>
            <w:cnfStyle w:val="001000000000" w:firstRow="0" w:lastRow="0" w:firstColumn="1" w:lastColumn="0" w:oddVBand="0" w:evenVBand="0" w:oddHBand="0" w:evenHBand="0" w:firstRowFirstColumn="0" w:firstRowLastColumn="0" w:lastRowFirstColumn="0" w:lastRowLastColumn="0"/>
            <w:tcW w:w="2610" w:type="dxa"/>
            <w:tcBorders>
              <w:bottom w:val="single" w:sz="8" w:space="0" w:color="1C556C" w:themeColor="accent1"/>
            </w:tcBorders>
            <w:vAlign w:val="bottom"/>
          </w:tcPr>
          <w:p w14:paraId="19C03C23" w14:textId="77777777" w:rsidR="00C7511A" w:rsidRPr="00B34BB5" w:rsidRDefault="00C7511A" w:rsidP="00D31805">
            <w:pPr>
              <w:pStyle w:val="TableText"/>
            </w:pPr>
            <w:r w:rsidRPr="00B34BB5">
              <w:t>Aircraft type</w:t>
            </w:r>
          </w:p>
        </w:tc>
        <w:tc>
          <w:tcPr>
            <w:tcW w:w="694" w:type="dxa"/>
            <w:vAlign w:val="bottom"/>
          </w:tcPr>
          <w:p w14:paraId="7ECFD3B1" w14:textId="77777777" w:rsidR="00C7511A" w:rsidRPr="00B34BB5" w:rsidRDefault="00C7511A" w:rsidP="00D31805">
            <w:pPr>
              <w:pStyle w:val="TableText"/>
              <w:cnfStyle w:val="100000000000" w:firstRow="1" w:lastRow="0" w:firstColumn="0" w:lastColumn="0" w:oddVBand="0" w:evenVBand="0" w:oddHBand="0" w:evenHBand="0" w:firstRowFirstColumn="0" w:firstRowLastColumn="0" w:lastRowFirstColumn="0" w:lastRowLastColumn="0"/>
            </w:pPr>
            <w:r w:rsidRPr="00B34BB5">
              <w:t>Unit</w:t>
            </w:r>
          </w:p>
        </w:tc>
        <w:tc>
          <w:tcPr>
            <w:tcW w:w="1564" w:type="dxa"/>
            <w:shd w:val="clear" w:color="auto" w:fill="D2DDE1" w:themeFill="background2"/>
            <w:vAlign w:val="bottom"/>
          </w:tcPr>
          <w:p w14:paraId="05F92A5C" w14:textId="77777777" w:rsidR="00C7511A" w:rsidRPr="00820AC3" w:rsidRDefault="00C7511A" w:rsidP="00D31805">
            <w:pPr>
              <w:pStyle w:val="TableText"/>
              <w:jc w:val="right"/>
              <w:cnfStyle w:val="100000000000" w:firstRow="1" w:lastRow="0" w:firstColumn="0" w:lastColumn="0" w:oddVBand="0" w:evenVBand="0" w:oddHBand="0" w:evenHBand="0" w:firstRowFirstColumn="0" w:firstRowLastColumn="0" w:lastRowFirstColumn="0" w:lastRowLastColumn="0"/>
              <w:rPr>
                <w:color w:val="auto"/>
              </w:rPr>
            </w:pPr>
            <w:r w:rsidRPr="00820AC3">
              <w:rPr>
                <w:color w:val="auto"/>
              </w:rPr>
              <w:t>kg CO</w:t>
            </w:r>
            <w:r w:rsidRPr="00820AC3">
              <w:rPr>
                <w:color w:val="auto"/>
                <w:vertAlign w:val="subscript"/>
              </w:rPr>
              <w:t>2</w:t>
            </w:r>
            <w:r w:rsidRPr="00820AC3">
              <w:rPr>
                <w:color w:val="auto"/>
              </w:rPr>
              <w:t>-e/unit</w:t>
            </w:r>
          </w:p>
        </w:tc>
        <w:tc>
          <w:tcPr>
            <w:tcW w:w="1391" w:type="dxa"/>
            <w:vAlign w:val="bottom"/>
          </w:tcPr>
          <w:p w14:paraId="42DAC50B" w14:textId="77777777" w:rsidR="00C7511A" w:rsidRPr="00B34BB5" w:rsidRDefault="00C7511A" w:rsidP="00D31805">
            <w:pPr>
              <w:pStyle w:val="TableText"/>
              <w:jc w:val="right"/>
              <w:cnfStyle w:val="100000000000" w:firstRow="1" w:lastRow="0" w:firstColumn="0" w:lastColumn="0" w:oddVBand="0" w:evenVBand="0" w:oddHBand="0" w:evenHBand="0" w:firstRowFirstColumn="0" w:firstRowLastColumn="0" w:lastRowFirstColumn="0" w:lastRowLastColumn="0"/>
            </w:pPr>
            <w:r w:rsidRPr="00B34BB5">
              <w:t>kg CO</w:t>
            </w:r>
            <w:r w:rsidRPr="00B34BB5">
              <w:rPr>
                <w:vertAlign w:val="subscript"/>
              </w:rPr>
              <w:t>2</w:t>
            </w:r>
            <w:r w:rsidRPr="00B34BB5">
              <w:t>/unit (kg CO</w:t>
            </w:r>
            <w:r w:rsidRPr="00B34BB5">
              <w:rPr>
                <w:vertAlign w:val="subscript"/>
              </w:rPr>
              <w:t>2</w:t>
            </w:r>
            <w:r w:rsidRPr="00B34BB5">
              <w:t>-e)</w:t>
            </w:r>
          </w:p>
        </w:tc>
        <w:tc>
          <w:tcPr>
            <w:tcW w:w="1391" w:type="dxa"/>
            <w:vAlign w:val="bottom"/>
          </w:tcPr>
          <w:p w14:paraId="5DC6049F" w14:textId="77777777" w:rsidR="00C7511A" w:rsidRPr="00B34BB5" w:rsidRDefault="00C7511A" w:rsidP="00D31805">
            <w:pPr>
              <w:pStyle w:val="TableText"/>
              <w:jc w:val="right"/>
              <w:cnfStyle w:val="100000000000" w:firstRow="1" w:lastRow="0" w:firstColumn="0" w:lastColumn="0" w:oddVBand="0" w:evenVBand="0" w:oddHBand="0" w:evenHBand="0" w:firstRowFirstColumn="0" w:firstRowLastColumn="0" w:lastRowFirstColumn="0" w:lastRowLastColumn="0"/>
            </w:pPr>
            <w:r w:rsidRPr="00B34BB5">
              <w:t>kg CH</w:t>
            </w:r>
            <w:r w:rsidRPr="00B34BB5">
              <w:rPr>
                <w:vertAlign w:val="subscript"/>
              </w:rPr>
              <w:t>4</w:t>
            </w:r>
            <w:r w:rsidRPr="00B34BB5">
              <w:t>/unit (kg CO</w:t>
            </w:r>
            <w:r w:rsidRPr="00B34BB5">
              <w:rPr>
                <w:vertAlign w:val="subscript"/>
              </w:rPr>
              <w:t>2</w:t>
            </w:r>
            <w:r w:rsidRPr="00B34BB5">
              <w:t>-e)</w:t>
            </w:r>
          </w:p>
        </w:tc>
        <w:tc>
          <w:tcPr>
            <w:tcW w:w="1460" w:type="dxa"/>
            <w:tcBorders>
              <w:bottom w:val="single" w:sz="8" w:space="0" w:color="1C556C" w:themeColor="accent1"/>
            </w:tcBorders>
            <w:vAlign w:val="bottom"/>
          </w:tcPr>
          <w:p w14:paraId="10AC287F" w14:textId="77777777" w:rsidR="00C7511A" w:rsidRPr="00B34BB5" w:rsidRDefault="00C7511A" w:rsidP="00D31805">
            <w:pPr>
              <w:pStyle w:val="TableText"/>
              <w:jc w:val="right"/>
              <w:cnfStyle w:val="100000000000" w:firstRow="1" w:lastRow="0" w:firstColumn="0" w:lastColumn="0" w:oddVBand="0" w:evenVBand="0" w:oddHBand="0" w:evenHBand="0" w:firstRowFirstColumn="0" w:firstRowLastColumn="0" w:lastRowFirstColumn="0" w:lastRowLastColumn="0"/>
              <w:rPr>
                <w:b w:val="0"/>
                <w:bCs w:val="0"/>
              </w:rPr>
            </w:pPr>
            <w:r w:rsidRPr="00B34BB5">
              <w:t>kg N</w:t>
            </w:r>
            <w:r w:rsidRPr="00B34BB5">
              <w:rPr>
                <w:vertAlign w:val="subscript"/>
              </w:rPr>
              <w:t>2</w:t>
            </w:r>
            <w:r w:rsidRPr="00B34BB5">
              <w:t>O/unit (kg CO</w:t>
            </w:r>
            <w:r w:rsidRPr="00B34BB5">
              <w:rPr>
                <w:vertAlign w:val="subscript"/>
              </w:rPr>
              <w:t>2</w:t>
            </w:r>
            <w:r w:rsidRPr="00B34BB5">
              <w:t>-e)</w:t>
            </w:r>
          </w:p>
        </w:tc>
      </w:tr>
      <w:tr w:rsidR="00C7511A" w:rsidRPr="00B34BB5" w14:paraId="3C926BAD" w14:textId="77777777" w:rsidTr="00820AC3">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610" w:type="dxa"/>
            <w:tcBorders>
              <w:left w:val="nil"/>
            </w:tcBorders>
          </w:tcPr>
          <w:p w14:paraId="36FDAEBB" w14:textId="77777777" w:rsidR="00C7511A" w:rsidRPr="00B34BB5" w:rsidRDefault="00C7511A" w:rsidP="00D31805">
            <w:pPr>
              <w:pStyle w:val="TableText"/>
              <w:rPr>
                <w:b w:val="0"/>
              </w:rPr>
            </w:pPr>
            <w:r w:rsidRPr="00B34BB5" w:rsidDel="00692096">
              <w:rPr>
                <w:b w:val="0"/>
              </w:rPr>
              <w:t>Airbus A320</w:t>
            </w:r>
            <w:r>
              <w:rPr>
                <w:b w:val="0"/>
              </w:rPr>
              <w:t>*</w:t>
            </w:r>
          </w:p>
        </w:tc>
        <w:tc>
          <w:tcPr>
            <w:tcW w:w="694" w:type="dxa"/>
          </w:tcPr>
          <w:p w14:paraId="3D250643" w14:textId="77777777" w:rsidR="00C7511A" w:rsidRPr="00B34BB5" w:rsidRDefault="00C7511A" w:rsidP="00D31805">
            <w:pPr>
              <w:pStyle w:val="TableText"/>
              <w:cnfStyle w:val="000000100000" w:firstRow="0" w:lastRow="0" w:firstColumn="0" w:lastColumn="0" w:oddVBand="0" w:evenVBand="0" w:oddHBand="1" w:evenHBand="0" w:firstRowFirstColumn="0" w:firstRowLastColumn="0" w:lastRowFirstColumn="0" w:lastRowLastColumn="0"/>
            </w:pPr>
            <w:r w:rsidRPr="00B34BB5" w:rsidDel="00692096">
              <w:t>pkm</w:t>
            </w:r>
          </w:p>
        </w:tc>
        <w:tc>
          <w:tcPr>
            <w:tcW w:w="1564" w:type="dxa"/>
            <w:shd w:val="clear" w:color="auto" w:fill="D2DDE1" w:themeFill="background2"/>
          </w:tcPr>
          <w:p w14:paraId="506E195F" w14:textId="77777777" w:rsidR="00C7511A" w:rsidRPr="00820AC3"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820AC3" w:rsidDel="00692096">
              <w:t>0.0</w:t>
            </w:r>
            <w:r w:rsidRPr="00820AC3">
              <w:t>90</w:t>
            </w:r>
          </w:p>
        </w:tc>
        <w:tc>
          <w:tcPr>
            <w:tcW w:w="1391" w:type="dxa"/>
          </w:tcPr>
          <w:p w14:paraId="2AD033F8" w14:textId="77777777" w:rsidR="00C7511A" w:rsidRPr="00B34BB5"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sidDel="00692096">
              <w:t>0.0</w:t>
            </w:r>
            <w:r>
              <w:t>87</w:t>
            </w:r>
          </w:p>
        </w:tc>
        <w:tc>
          <w:tcPr>
            <w:tcW w:w="1391" w:type="dxa"/>
          </w:tcPr>
          <w:p w14:paraId="10667E7F" w14:textId="77777777" w:rsidR="00C7511A" w:rsidRPr="00B34BB5"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sidDel="00692096">
              <w:t>0.001</w:t>
            </w:r>
          </w:p>
        </w:tc>
        <w:tc>
          <w:tcPr>
            <w:tcW w:w="1460" w:type="dxa"/>
            <w:tcBorders>
              <w:right w:val="nil"/>
            </w:tcBorders>
          </w:tcPr>
          <w:p w14:paraId="470F99F7" w14:textId="77777777" w:rsidR="00C7511A" w:rsidRPr="00B34BB5"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sidDel="00692096">
              <w:t>0.002</w:t>
            </w:r>
          </w:p>
        </w:tc>
      </w:tr>
      <w:tr w:rsidR="00C7511A" w:rsidRPr="00B34BB5" w14:paraId="34AC7C75" w14:textId="77777777" w:rsidTr="00820AC3">
        <w:trPr>
          <w:trHeight w:val="613"/>
        </w:trPr>
        <w:tc>
          <w:tcPr>
            <w:cnfStyle w:val="001000000000" w:firstRow="0" w:lastRow="0" w:firstColumn="1" w:lastColumn="0" w:oddVBand="0" w:evenVBand="0" w:oddHBand="0" w:evenHBand="0" w:firstRowFirstColumn="0" w:firstRowLastColumn="0" w:lastRowFirstColumn="0" w:lastRowLastColumn="0"/>
            <w:tcW w:w="2610" w:type="dxa"/>
            <w:tcBorders>
              <w:left w:val="nil"/>
            </w:tcBorders>
          </w:tcPr>
          <w:p w14:paraId="5839A89C" w14:textId="77777777" w:rsidR="00C7511A" w:rsidRPr="00B34BB5" w:rsidRDefault="00C7511A" w:rsidP="00D31805">
            <w:pPr>
              <w:pStyle w:val="TableText"/>
              <w:rPr>
                <w:b w:val="0"/>
              </w:rPr>
            </w:pPr>
            <w:r w:rsidRPr="00B34BB5" w:rsidDel="00692096">
              <w:rPr>
                <w:b w:val="0"/>
              </w:rPr>
              <w:t>Aerospatiale/Alenia ATR 72</w:t>
            </w:r>
            <w:r>
              <w:rPr>
                <w:b w:val="0"/>
              </w:rPr>
              <w:t>*</w:t>
            </w:r>
          </w:p>
        </w:tc>
        <w:tc>
          <w:tcPr>
            <w:tcW w:w="694" w:type="dxa"/>
          </w:tcPr>
          <w:p w14:paraId="37063D91" w14:textId="77777777" w:rsidR="00C7511A" w:rsidRPr="00B34BB5" w:rsidRDefault="00C7511A" w:rsidP="00D31805">
            <w:pPr>
              <w:pStyle w:val="TableText"/>
              <w:cnfStyle w:val="000000000000" w:firstRow="0" w:lastRow="0" w:firstColumn="0" w:lastColumn="0" w:oddVBand="0" w:evenVBand="0" w:oddHBand="0" w:evenHBand="0" w:firstRowFirstColumn="0" w:firstRowLastColumn="0" w:lastRowFirstColumn="0" w:lastRowLastColumn="0"/>
            </w:pPr>
            <w:r w:rsidRPr="00B34BB5" w:rsidDel="00692096">
              <w:t>pkm</w:t>
            </w:r>
          </w:p>
        </w:tc>
        <w:tc>
          <w:tcPr>
            <w:tcW w:w="1564" w:type="dxa"/>
            <w:shd w:val="clear" w:color="auto" w:fill="D2DDE1" w:themeFill="background2"/>
          </w:tcPr>
          <w:p w14:paraId="0574B5CD" w14:textId="77777777" w:rsidR="00C7511A" w:rsidRPr="00820AC3" w:rsidRDefault="00C7511A" w:rsidP="00D31805">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820AC3" w:rsidDel="00692096">
              <w:t>0.0</w:t>
            </w:r>
            <w:r w:rsidRPr="00820AC3">
              <w:t>93</w:t>
            </w:r>
          </w:p>
        </w:tc>
        <w:tc>
          <w:tcPr>
            <w:tcW w:w="1391" w:type="dxa"/>
          </w:tcPr>
          <w:p w14:paraId="696F2FF1" w14:textId="77777777" w:rsidR="00C7511A" w:rsidRPr="00B34BB5" w:rsidRDefault="00C7511A" w:rsidP="00D3180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sidDel="00692096">
              <w:t>0.0</w:t>
            </w:r>
            <w:r>
              <w:t>90</w:t>
            </w:r>
          </w:p>
        </w:tc>
        <w:tc>
          <w:tcPr>
            <w:tcW w:w="1391" w:type="dxa"/>
          </w:tcPr>
          <w:p w14:paraId="698F32C6" w14:textId="77777777" w:rsidR="00C7511A" w:rsidRPr="00B34BB5" w:rsidRDefault="00C7511A" w:rsidP="00D3180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sidDel="00692096">
              <w:t>0.001</w:t>
            </w:r>
          </w:p>
        </w:tc>
        <w:tc>
          <w:tcPr>
            <w:tcW w:w="1460" w:type="dxa"/>
            <w:tcBorders>
              <w:right w:val="nil"/>
            </w:tcBorders>
          </w:tcPr>
          <w:p w14:paraId="359BCA4B" w14:textId="77777777" w:rsidR="00C7511A" w:rsidRPr="00B34BB5" w:rsidRDefault="00C7511A" w:rsidP="00D3180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sidDel="00692096">
              <w:t>0.00</w:t>
            </w:r>
            <w:r>
              <w:t>3</w:t>
            </w:r>
          </w:p>
        </w:tc>
      </w:tr>
      <w:tr w:rsidR="00C7511A" w:rsidRPr="00B34BB5" w14:paraId="28382B9F" w14:textId="77777777" w:rsidTr="00820AC3">
        <w:trPr>
          <w:cnfStyle w:val="000000100000" w:firstRow="0" w:lastRow="0" w:firstColumn="0" w:lastColumn="0" w:oddVBand="0" w:evenVBand="0" w:oddHBand="1"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2610" w:type="dxa"/>
            <w:tcBorders>
              <w:left w:val="nil"/>
            </w:tcBorders>
          </w:tcPr>
          <w:p w14:paraId="582F6CD8" w14:textId="77777777" w:rsidR="00C7511A" w:rsidRPr="00B34BB5" w:rsidRDefault="00C7511A" w:rsidP="00D31805">
            <w:pPr>
              <w:pStyle w:val="TableText"/>
              <w:rPr>
                <w:b w:val="0"/>
              </w:rPr>
            </w:pPr>
            <w:r w:rsidRPr="00B34BB5" w:rsidDel="00692096">
              <w:rPr>
                <w:b w:val="0"/>
              </w:rPr>
              <w:t>British Aerospace Jetstream 32</w:t>
            </w:r>
          </w:p>
        </w:tc>
        <w:tc>
          <w:tcPr>
            <w:tcW w:w="694" w:type="dxa"/>
          </w:tcPr>
          <w:p w14:paraId="2E6F7A3A" w14:textId="77777777" w:rsidR="00C7511A" w:rsidRPr="00B34BB5" w:rsidRDefault="00C7511A" w:rsidP="00D31805">
            <w:pPr>
              <w:pStyle w:val="TableText"/>
              <w:cnfStyle w:val="000000100000" w:firstRow="0" w:lastRow="0" w:firstColumn="0" w:lastColumn="0" w:oddVBand="0" w:evenVBand="0" w:oddHBand="1" w:evenHBand="0" w:firstRowFirstColumn="0" w:firstRowLastColumn="0" w:lastRowFirstColumn="0" w:lastRowLastColumn="0"/>
            </w:pPr>
            <w:r w:rsidRPr="00B34BB5" w:rsidDel="00692096">
              <w:t>pkm</w:t>
            </w:r>
          </w:p>
        </w:tc>
        <w:tc>
          <w:tcPr>
            <w:tcW w:w="1564" w:type="dxa"/>
            <w:shd w:val="clear" w:color="auto" w:fill="D2DDE1" w:themeFill="background2"/>
          </w:tcPr>
          <w:p w14:paraId="05B0E228" w14:textId="77777777" w:rsidR="00C7511A" w:rsidRPr="00820AC3"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820AC3" w:rsidDel="00692096">
              <w:t>0.237</w:t>
            </w:r>
          </w:p>
        </w:tc>
        <w:tc>
          <w:tcPr>
            <w:tcW w:w="1391" w:type="dxa"/>
          </w:tcPr>
          <w:p w14:paraId="6DE0DF43" w14:textId="77777777" w:rsidR="00C7511A" w:rsidRPr="00B34BB5"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sidDel="00692096">
              <w:t>0.229</w:t>
            </w:r>
          </w:p>
        </w:tc>
        <w:tc>
          <w:tcPr>
            <w:tcW w:w="1391" w:type="dxa"/>
          </w:tcPr>
          <w:p w14:paraId="66E1F929" w14:textId="77777777" w:rsidR="00C7511A" w:rsidRPr="00B34BB5"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sidDel="00692096">
              <w:t>0.002</w:t>
            </w:r>
          </w:p>
        </w:tc>
        <w:tc>
          <w:tcPr>
            <w:tcW w:w="1460" w:type="dxa"/>
            <w:tcBorders>
              <w:right w:val="nil"/>
            </w:tcBorders>
          </w:tcPr>
          <w:p w14:paraId="0620826C" w14:textId="77777777" w:rsidR="00C7511A" w:rsidRPr="00B34BB5"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sidDel="00692096">
              <w:t>0.006</w:t>
            </w:r>
          </w:p>
        </w:tc>
      </w:tr>
      <w:tr w:rsidR="00C7511A" w:rsidRPr="00B34BB5" w14:paraId="51961E08" w14:textId="77777777" w:rsidTr="00820AC3">
        <w:trPr>
          <w:trHeight w:val="383"/>
        </w:trPr>
        <w:tc>
          <w:tcPr>
            <w:cnfStyle w:val="001000000000" w:firstRow="0" w:lastRow="0" w:firstColumn="1" w:lastColumn="0" w:oddVBand="0" w:evenVBand="0" w:oddHBand="0" w:evenHBand="0" w:firstRowFirstColumn="0" w:firstRowLastColumn="0" w:lastRowFirstColumn="0" w:lastRowLastColumn="0"/>
            <w:tcW w:w="2610" w:type="dxa"/>
            <w:tcBorders>
              <w:left w:val="nil"/>
            </w:tcBorders>
          </w:tcPr>
          <w:p w14:paraId="0DEE4A0E" w14:textId="77777777" w:rsidR="00C7511A" w:rsidRPr="00B34BB5" w:rsidRDefault="00C7511A" w:rsidP="00D31805">
            <w:pPr>
              <w:pStyle w:val="TableText"/>
              <w:rPr>
                <w:b w:val="0"/>
              </w:rPr>
            </w:pPr>
            <w:r w:rsidRPr="00B34BB5" w:rsidDel="00692096">
              <w:rPr>
                <w:b w:val="0"/>
              </w:rPr>
              <w:t>Beechcraft Beech 1900D</w:t>
            </w:r>
          </w:p>
        </w:tc>
        <w:tc>
          <w:tcPr>
            <w:tcW w:w="694" w:type="dxa"/>
          </w:tcPr>
          <w:p w14:paraId="099BC605" w14:textId="77777777" w:rsidR="00C7511A" w:rsidRPr="00B34BB5" w:rsidRDefault="00C7511A" w:rsidP="00D31805">
            <w:pPr>
              <w:pStyle w:val="TableText"/>
              <w:cnfStyle w:val="000000000000" w:firstRow="0" w:lastRow="0" w:firstColumn="0" w:lastColumn="0" w:oddVBand="0" w:evenVBand="0" w:oddHBand="0" w:evenHBand="0" w:firstRowFirstColumn="0" w:firstRowLastColumn="0" w:lastRowFirstColumn="0" w:lastRowLastColumn="0"/>
            </w:pPr>
            <w:r w:rsidRPr="00B34BB5" w:rsidDel="00692096">
              <w:t>pkm</w:t>
            </w:r>
          </w:p>
        </w:tc>
        <w:tc>
          <w:tcPr>
            <w:tcW w:w="1564" w:type="dxa"/>
            <w:shd w:val="clear" w:color="auto" w:fill="D2DDE1" w:themeFill="background2"/>
          </w:tcPr>
          <w:p w14:paraId="38085382" w14:textId="77777777" w:rsidR="00C7511A" w:rsidRPr="00820AC3" w:rsidRDefault="00C7511A" w:rsidP="00D31805">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820AC3" w:rsidDel="00692096">
              <w:t>0.186</w:t>
            </w:r>
          </w:p>
        </w:tc>
        <w:tc>
          <w:tcPr>
            <w:tcW w:w="1391" w:type="dxa"/>
          </w:tcPr>
          <w:p w14:paraId="327863B7" w14:textId="77777777" w:rsidR="00C7511A" w:rsidRPr="00B34BB5" w:rsidRDefault="00C7511A" w:rsidP="00D3180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sidDel="00692096">
              <w:t>0.180</w:t>
            </w:r>
          </w:p>
        </w:tc>
        <w:tc>
          <w:tcPr>
            <w:tcW w:w="1391" w:type="dxa"/>
          </w:tcPr>
          <w:p w14:paraId="4F9633E1" w14:textId="77777777" w:rsidR="00C7511A" w:rsidRPr="00B34BB5" w:rsidRDefault="00C7511A" w:rsidP="00D3180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sidDel="00692096">
              <w:t>0.002</w:t>
            </w:r>
          </w:p>
        </w:tc>
        <w:tc>
          <w:tcPr>
            <w:tcW w:w="1460" w:type="dxa"/>
            <w:tcBorders>
              <w:right w:val="nil"/>
            </w:tcBorders>
          </w:tcPr>
          <w:p w14:paraId="505114C1" w14:textId="77777777" w:rsidR="00C7511A" w:rsidRPr="00B34BB5" w:rsidRDefault="00C7511A" w:rsidP="00D3180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sidDel="00692096">
              <w:t>0.005</w:t>
            </w:r>
          </w:p>
        </w:tc>
      </w:tr>
      <w:tr w:rsidR="00C7511A" w:rsidRPr="00B34BB5" w14:paraId="7ABA51CF" w14:textId="77777777" w:rsidTr="00820AC3">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2610" w:type="dxa"/>
            <w:tcBorders>
              <w:left w:val="nil"/>
            </w:tcBorders>
          </w:tcPr>
          <w:p w14:paraId="070B04A8" w14:textId="77777777" w:rsidR="00C7511A" w:rsidRPr="00B34BB5" w:rsidRDefault="00C7511A" w:rsidP="00D31805">
            <w:pPr>
              <w:pStyle w:val="TableText"/>
              <w:rPr>
                <w:b w:val="0"/>
              </w:rPr>
            </w:pPr>
            <w:r w:rsidRPr="00B34BB5" w:rsidDel="00692096">
              <w:rPr>
                <w:b w:val="0"/>
              </w:rPr>
              <w:t>Cessna Light Aircraft</w:t>
            </w:r>
          </w:p>
        </w:tc>
        <w:tc>
          <w:tcPr>
            <w:tcW w:w="694" w:type="dxa"/>
          </w:tcPr>
          <w:p w14:paraId="4CBE5C26" w14:textId="77777777" w:rsidR="00C7511A" w:rsidRPr="00B34BB5" w:rsidRDefault="00C7511A" w:rsidP="00D31805">
            <w:pPr>
              <w:pStyle w:val="TableText"/>
              <w:cnfStyle w:val="000000100000" w:firstRow="0" w:lastRow="0" w:firstColumn="0" w:lastColumn="0" w:oddVBand="0" w:evenVBand="0" w:oddHBand="1" w:evenHBand="0" w:firstRowFirstColumn="0" w:firstRowLastColumn="0" w:lastRowFirstColumn="0" w:lastRowLastColumn="0"/>
            </w:pPr>
            <w:r w:rsidRPr="00B34BB5" w:rsidDel="00692096">
              <w:t>pkm</w:t>
            </w:r>
          </w:p>
        </w:tc>
        <w:tc>
          <w:tcPr>
            <w:tcW w:w="1564" w:type="dxa"/>
            <w:shd w:val="clear" w:color="auto" w:fill="D2DDE1" w:themeFill="background2"/>
          </w:tcPr>
          <w:p w14:paraId="3DE203B5" w14:textId="77777777" w:rsidR="00C7511A" w:rsidRPr="00820AC3"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820AC3" w:rsidDel="00692096">
              <w:t>0.552</w:t>
            </w:r>
          </w:p>
        </w:tc>
        <w:tc>
          <w:tcPr>
            <w:tcW w:w="1391" w:type="dxa"/>
          </w:tcPr>
          <w:p w14:paraId="22B511CB" w14:textId="77777777" w:rsidR="00C7511A" w:rsidRPr="00B34BB5"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sidDel="00692096">
              <w:t>0.534</w:t>
            </w:r>
          </w:p>
        </w:tc>
        <w:tc>
          <w:tcPr>
            <w:tcW w:w="1391" w:type="dxa"/>
          </w:tcPr>
          <w:p w14:paraId="177866D3" w14:textId="77777777" w:rsidR="00C7511A" w:rsidRPr="00B34BB5"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sidDel="00692096">
              <w:t>0.004</w:t>
            </w:r>
          </w:p>
        </w:tc>
        <w:tc>
          <w:tcPr>
            <w:tcW w:w="1460" w:type="dxa"/>
            <w:tcBorders>
              <w:right w:val="nil"/>
            </w:tcBorders>
          </w:tcPr>
          <w:p w14:paraId="010D6A79" w14:textId="77777777" w:rsidR="00C7511A" w:rsidRPr="00B34BB5"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sidDel="00692096">
              <w:t>0.014</w:t>
            </w:r>
          </w:p>
        </w:tc>
      </w:tr>
      <w:tr w:rsidR="00C7511A" w:rsidRPr="00B34BB5" w14:paraId="430773C7" w14:textId="77777777" w:rsidTr="00820AC3">
        <w:trPr>
          <w:trHeight w:val="613"/>
        </w:trPr>
        <w:tc>
          <w:tcPr>
            <w:cnfStyle w:val="001000000000" w:firstRow="0" w:lastRow="0" w:firstColumn="1" w:lastColumn="0" w:oddVBand="0" w:evenVBand="0" w:oddHBand="0" w:evenHBand="0" w:firstRowFirstColumn="0" w:firstRowLastColumn="0" w:lastRowFirstColumn="0" w:lastRowLastColumn="0"/>
            <w:tcW w:w="2610" w:type="dxa"/>
            <w:tcBorders>
              <w:left w:val="nil"/>
            </w:tcBorders>
          </w:tcPr>
          <w:p w14:paraId="58E178B2" w14:textId="77777777" w:rsidR="00C7511A" w:rsidRPr="00B34BB5" w:rsidRDefault="00C7511A" w:rsidP="00D31805">
            <w:pPr>
              <w:pStyle w:val="TableText"/>
              <w:rPr>
                <w:b w:val="0"/>
              </w:rPr>
            </w:pPr>
            <w:r w:rsidRPr="00B34BB5" w:rsidDel="00692096">
              <w:rPr>
                <w:b w:val="0"/>
              </w:rPr>
              <w:t>De Havilland Canada DHC-8-300 Dash 8/8Q</w:t>
            </w:r>
            <w:r>
              <w:rPr>
                <w:b w:val="0"/>
              </w:rPr>
              <w:t>*</w:t>
            </w:r>
          </w:p>
        </w:tc>
        <w:tc>
          <w:tcPr>
            <w:tcW w:w="694" w:type="dxa"/>
          </w:tcPr>
          <w:p w14:paraId="5CE02BD7" w14:textId="77777777" w:rsidR="00C7511A" w:rsidRPr="00B34BB5" w:rsidRDefault="00C7511A" w:rsidP="00D31805">
            <w:pPr>
              <w:pStyle w:val="TableText"/>
              <w:cnfStyle w:val="000000000000" w:firstRow="0" w:lastRow="0" w:firstColumn="0" w:lastColumn="0" w:oddVBand="0" w:evenVBand="0" w:oddHBand="0" w:evenHBand="0" w:firstRowFirstColumn="0" w:firstRowLastColumn="0" w:lastRowFirstColumn="0" w:lastRowLastColumn="0"/>
            </w:pPr>
            <w:r w:rsidRPr="00B34BB5" w:rsidDel="00692096">
              <w:t>pkm</w:t>
            </w:r>
          </w:p>
        </w:tc>
        <w:tc>
          <w:tcPr>
            <w:tcW w:w="1564" w:type="dxa"/>
            <w:shd w:val="clear" w:color="auto" w:fill="D2DDE1" w:themeFill="background2"/>
          </w:tcPr>
          <w:p w14:paraId="1EFEB584" w14:textId="77777777" w:rsidR="00C7511A" w:rsidRPr="00820AC3" w:rsidRDefault="00C7511A" w:rsidP="00D31805">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820AC3" w:rsidDel="00692096">
              <w:t>0.14</w:t>
            </w:r>
            <w:r w:rsidRPr="00820AC3">
              <w:t>5</w:t>
            </w:r>
          </w:p>
        </w:tc>
        <w:tc>
          <w:tcPr>
            <w:tcW w:w="1391" w:type="dxa"/>
          </w:tcPr>
          <w:p w14:paraId="2C865DB3" w14:textId="77777777" w:rsidR="00C7511A" w:rsidRPr="00B34BB5" w:rsidRDefault="00C7511A" w:rsidP="00D3180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sidDel="00692096">
              <w:t>0.1</w:t>
            </w:r>
            <w:r>
              <w:t>40</w:t>
            </w:r>
          </w:p>
        </w:tc>
        <w:tc>
          <w:tcPr>
            <w:tcW w:w="1391" w:type="dxa"/>
          </w:tcPr>
          <w:p w14:paraId="39C56036" w14:textId="77777777" w:rsidR="00C7511A" w:rsidRPr="00B34BB5" w:rsidRDefault="00C7511A" w:rsidP="00D3180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sidDel="00692096">
              <w:t>0.001</w:t>
            </w:r>
          </w:p>
        </w:tc>
        <w:tc>
          <w:tcPr>
            <w:tcW w:w="1460" w:type="dxa"/>
            <w:tcBorders>
              <w:right w:val="nil"/>
            </w:tcBorders>
          </w:tcPr>
          <w:p w14:paraId="6408DCB2" w14:textId="77777777" w:rsidR="00C7511A" w:rsidRPr="00B34BB5" w:rsidRDefault="00C7511A" w:rsidP="00D3180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sidDel="00692096">
              <w:t>0.004</w:t>
            </w:r>
          </w:p>
        </w:tc>
      </w:tr>
      <w:tr w:rsidR="00C7511A" w:rsidRPr="00B34BB5" w14:paraId="0B6FBC8E" w14:textId="77777777" w:rsidTr="00820AC3">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610" w:type="dxa"/>
            <w:tcBorders>
              <w:left w:val="nil"/>
            </w:tcBorders>
          </w:tcPr>
          <w:p w14:paraId="0FF16E57" w14:textId="77777777" w:rsidR="00C7511A" w:rsidRPr="00B34BB5" w:rsidRDefault="00C7511A" w:rsidP="00D31805">
            <w:pPr>
              <w:pStyle w:val="TableText"/>
              <w:rPr>
                <w:b w:val="0"/>
              </w:rPr>
            </w:pPr>
            <w:r w:rsidRPr="00B34BB5" w:rsidDel="00692096">
              <w:rPr>
                <w:b w:val="0"/>
              </w:rPr>
              <w:t>Pilatus PC-12</w:t>
            </w:r>
          </w:p>
        </w:tc>
        <w:tc>
          <w:tcPr>
            <w:tcW w:w="694" w:type="dxa"/>
          </w:tcPr>
          <w:p w14:paraId="3C22B94D" w14:textId="77777777" w:rsidR="00C7511A" w:rsidRPr="00B34BB5" w:rsidRDefault="00C7511A" w:rsidP="00D31805">
            <w:pPr>
              <w:pStyle w:val="TableText"/>
              <w:cnfStyle w:val="000000100000" w:firstRow="0" w:lastRow="0" w:firstColumn="0" w:lastColumn="0" w:oddVBand="0" w:evenVBand="0" w:oddHBand="1" w:evenHBand="0" w:firstRowFirstColumn="0" w:firstRowLastColumn="0" w:lastRowFirstColumn="0" w:lastRowLastColumn="0"/>
            </w:pPr>
            <w:r w:rsidRPr="00B34BB5" w:rsidDel="00692096">
              <w:t>pkm</w:t>
            </w:r>
          </w:p>
        </w:tc>
        <w:tc>
          <w:tcPr>
            <w:tcW w:w="1564" w:type="dxa"/>
            <w:shd w:val="clear" w:color="auto" w:fill="D2DDE1" w:themeFill="background2"/>
          </w:tcPr>
          <w:p w14:paraId="1B2B9392" w14:textId="77777777" w:rsidR="00C7511A" w:rsidRPr="00820AC3"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820AC3" w:rsidDel="00692096">
              <w:t>0.188</w:t>
            </w:r>
          </w:p>
        </w:tc>
        <w:tc>
          <w:tcPr>
            <w:tcW w:w="1391" w:type="dxa"/>
          </w:tcPr>
          <w:p w14:paraId="71C8FE49" w14:textId="77777777" w:rsidR="00C7511A" w:rsidRPr="00B34BB5"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sidDel="00692096">
              <w:t>0.182</w:t>
            </w:r>
          </w:p>
        </w:tc>
        <w:tc>
          <w:tcPr>
            <w:tcW w:w="1391" w:type="dxa"/>
          </w:tcPr>
          <w:p w14:paraId="46D023D7" w14:textId="77777777" w:rsidR="00C7511A" w:rsidRPr="00B34BB5"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sidDel="00692096">
              <w:t>0.002</w:t>
            </w:r>
          </w:p>
        </w:tc>
        <w:tc>
          <w:tcPr>
            <w:tcW w:w="1460" w:type="dxa"/>
            <w:tcBorders>
              <w:right w:val="nil"/>
            </w:tcBorders>
          </w:tcPr>
          <w:p w14:paraId="39FBC98B" w14:textId="77777777" w:rsidR="00C7511A" w:rsidRPr="00B34BB5"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sidDel="00692096">
              <w:t>0.005</w:t>
            </w:r>
          </w:p>
        </w:tc>
      </w:tr>
      <w:tr w:rsidR="00C7511A" w:rsidRPr="00B34BB5" w14:paraId="43F98301" w14:textId="77777777" w:rsidTr="00820AC3">
        <w:trPr>
          <w:trHeight w:val="367"/>
        </w:trPr>
        <w:tc>
          <w:tcPr>
            <w:cnfStyle w:val="001000000000" w:firstRow="0" w:lastRow="0" w:firstColumn="1" w:lastColumn="0" w:oddVBand="0" w:evenVBand="0" w:oddHBand="0" w:evenHBand="0" w:firstRowFirstColumn="0" w:firstRowLastColumn="0" w:lastRowFirstColumn="0" w:lastRowLastColumn="0"/>
            <w:tcW w:w="2610" w:type="dxa"/>
            <w:tcBorders>
              <w:left w:val="nil"/>
            </w:tcBorders>
          </w:tcPr>
          <w:p w14:paraId="58A14C01" w14:textId="77777777" w:rsidR="00C7511A" w:rsidRPr="00B34BB5" w:rsidRDefault="00C7511A" w:rsidP="00D31805">
            <w:pPr>
              <w:pStyle w:val="TableText"/>
              <w:rPr>
                <w:b w:val="0"/>
              </w:rPr>
            </w:pPr>
            <w:r w:rsidRPr="00B34BB5" w:rsidDel="00692096">
              <w:rPr>
                <w:b w:val="0"/>
              </w:rPr>
              <w:t>Saab SF-340</w:t>
            </w:r>
          </w:p>
        </w:tc>
        <w:tc>
          <w:tcPr>
            <w:tcW w:w="694" w:type="dxa"/>
          </w:tcPr>
          <w:p w14:paraId="3EEDB9F3" w14:textId="77777777" w:rsidR="00C7511A" w:rsidRPr="00B34BB5" w:rsidRDefault="00C7511A" w:rsidP="00D31805">
            <w:pPr>
              <w:pStyle w:val="TableText"/>
              <w:cnfStyle w:val="000000000000" w:firstRow="0" w:lastRow="0" w:firstColumn="0" w:lastColumn="0" w:oddVBand="0" w:evenVBand="0" w:oddHBand="0" w:evenHBand="0" w:firstRowFirstColumn="0" w:firstRowLastColumn="0" w:lastRowFirstColumn="0" w:lastRowLastColumn="0"/>
            </w:pPr>
            <w:r w:rsidRPr="00B34BB5" w:rsidDel="00692096">
              <w:t>pkm</w:t>
            </w:r>
          </w:p>
        </w:tc>
        <w:tc>
          <w:tcPr>
            <w:tcW w:w="1564" w:type="dxa"/>
            <w:shd w:val="clear" w:color="auto" w:fill="D2DDE1" w:themeFill="background2"/>
          </w:tcPr>
          <w:p w14:paraId="41037538" w14:textId="77777777" w:rsidR="00C7511A" w:rsidRPr="00820AC3" w:rsidRDefault="00C7511A" w:rsidP="00D31805">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820AC3" w:rsidDel="00692096">
              <w:t>0.097</w:t>
            </w:r>
          </w:p>
        </w:tc>
        <w:tc>
          <w:tcPr>
            <w:tcW w:w="1391" w:type="dxa"/>
          </w:tcPr>
          <w:p w14:paraId="3CB4CC4C" w14:textId="77777777" w:rsidR="00C7511A" w:rsidRPr="00B34BB5" w:rsidRDefault="00C7511A" w:rsidP="00D3180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sidDel="00692096">
              <w:t>0.094</w:t>
            </w:r>
          </w:p>
        </w:tc>
        <w:tc>
          <w:tcPr>
            <w:tcW w:w="1391" w:type="dxa"/>
          </w:tcPr>
          <w:p w14:paraId="7F0E491C" w14:textId="77777777" w:rsidR="00C7511A" w:rsidRPr="00B34BB5" w:rsidRDefault="00C7511A" w:rsidP="00D3180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sidDel="00692096">
              <w:t>0.001</w:t>
            </w:r>
          </w:p>
        </w:tc>
        <w:tc>
          <w:tcPr>
            <w:tcW w:w="1460" w:type="dxa"/>
            <w:tcBorders>
              <w:right w:val="nil"/>
            </w:tcBorders>
          </w:tcPr>
          <w:p w14:paraId="6217BEA4" w14:textId="77777777" w:rsidR="00C7511A" w:rsidRPr="00B34BB5" w:rsidRDefault="00C7511A" w:rsidP="00D3180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sidDel="00692096">
              <w:t>0.002</w:t>
            </w:r>
          </w:p>
        </w:tc>
      </w:tr>
      <w:tr w:rsidR="00C7511A" w:rsidRPr="00B34BB5" w14:paraId="3D412A44" w14:textId="77777777" w:rsidTr="00820AC3">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610" w:type="dxa"/>
            <w:tcBorders>
              <w:left w:val="nil"/>
            </w:tcBorders>
          </w:tcPr>
          <w:p w14:paraId="562386A4" w14:textId="77777777" w:rsidR="00C7511A" w:rsidRPr="00B34BB5" w:rsidRDefault="00C7511A" w:rsidP="00D31805">
            <w:pPr>
              <w:pStyle w:val="TableText"/>
              <w:rPr>
                <w:b w:val="0"/>
              </w:rPr>
            </w:pPr>
            <w:r w:rsidRPr="00B34BB5" w:rsidDel="00692096">
              <w:rPr>
                <w:b w:val="0"/>
              </w:rPr>
              <w:t>FOKKER F50</w:t>
            </w:r>
          </w:p>
        </w:tc>
        <w:tc>
          <w:tcPr>
            <w:tcW w:w="694" w:type="dxa"/>
          </w:tcPr>
          <w:p w14:paraId="2BF13425" w14:textId="77777777" w:rsidR="00C7511A" w:rsidRPr="00B34BB5" w:rsidRDefault="00C7511A" w:rsidP="00D31805">
            <w:pPr>
              <w:pStyle w:val="TableText"/>
              <w:cnfStyle w:val="000000100000" w:firstRow="0" w:lastRow="0" w:firstColumn="0" w:lastColumn="0" w:oddVBand="0" w:evenVBand="0" w:oddHBand="1" w:evenHBand="0" w:firstRowFirstColumn="0" w:firstRowLastColumn="0" w:lastRowFirstColumn="0" w:lastRowLastColumn="0"/>
            </w:pPr>
            <w:r w:rsidRPr="00B34BB5" w:rsidDel="00692096">
              <w:t>pkm</w:t>
            </w:r>
          </w:p>
        </w:tc>
        <w:tc>
          <w:tcPr>
            <w:tcW w:w="1564" w:type="dxa"/>
            <w:shd w:val="clear" w:color="auto" w:fill="D2DDE1" w:themeFill="background2"/>
          </w:tcPr>
          <w:p w14:paraId="5F6A3EDD" w14:textId="77777777" w:rsidR="00C7511A" w:rsidRPr="00820AC3"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820AC3" w:rsidDel="00692096">
              <w:t>0.091</w:t>
            </w:r>
          </w:p>
        </w:tc>
        <w:tc>
          <w:tcPr>
            <w:tcW w:w="1391" w:type="dxa"/>
          </w:tcPr>
          <w:p w14:paraId="09FA92CF" w14:textId="77777777" w:rsidR="00C7511A" w:rsidRPr="00B34BB5"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sidDel="00692096">
              <w:t>0.088</w:t>
            </w:r>
          </w:p>
        </w:tc>
        <w:tc>
          <w:tcPr>
            <w:tcW w:w="1391" w:type="dxa"/>
          </w:tcPr>
          <w:p w14:paraId="6CDEBF9A" w14:textId="77777777" w:rsidR="00C7511A" w:rsidRPr="00B34BB5"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sidDel="00692096">
              <w:t>0.001</w:t>
            </w:r>
          </w:p>
        </w:tc>
        <w:tc>
          <w:tcPr>
            <w:tcW w:w="1460" w:type="dxa"/>
            <w:tcBorders>
              <w:right w:val="nil"/>
            </w:tcBorders>
          </w:tcPr>
          <w:p w14:paraId="38695DD3" w14:textId="77777777" w:rsidR="00C7511A" w:rsidRPr="00B34BB5"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sidDel="00692096">
              <w:t>0.002</w:t>
            </w:r>
          </w:p>
        </w:tc>
      </w:tr>
    </w:tbl>
    <w:p w14:paraId="07FF388A" w14:textId="77777777" w:rsidR="00C7511A" w:rsidRPr="00B34BB5" w:rsidRDefault="00C7511A" w:rsidP="00EB4389">
      <w:pPr>
        <w:pStyle w:val="Note"/>
      </w:pPr>
      <w:r w:rsidRPr="00B34BB5">
        <w:t>Note: These numbers are rounded to three decimal places</w:t>
      </w:r>
      <w:r>
        <w:t xml:space="preserve"> unless the number is significantly small</w:t>
      </w:r>
      <w:r w:rsidRPr="00B34BB5">
        <w:t xml:space="preserve">. </w:t>
      </w:r>
      <w:r>
        <w:t>*Average calculated using data from 2016 and 2020.</w:t>
      </w:r>
    </w:p>
    <w:p w14:paraId="6528C4B2" w14:textId="1488EE23" w:rsidR="00C7511A" w:rsidRPr="00B34BB5" w:rsidRDefault="00EB4389" w:rsidP="00EB4389">
      <w:pPr>
        <w:pStyle w:val="Tableheading"/>
      </w:pPr>
      <w:bookmarkStart w:id="431" w:name="_Toc111536652"/>
      <w:r w:rsidRPr="00B275E2">
        <w:t xml:space="preserve">Table </w:t>
      </w:r>
      <w:r w:rsidRPr="00B275E2">
        <w:fldChar w:fldCharType="begin"/>
      </w:r>
      <w:r w:rsidRPr="00B275E2">
        <w:instrText>SEQ Table \* ARABIC</w:instrText>
      </w:r>
      <w:r w:rsidRPr="00B275E2">
        <w:fldChar w:fldCharType="separate"/>
      </w:r>
      <w:r>
        <w:rPr>
          <w:noProof/>
        </w:rPr>
        <w:t>47</w:t>
      </w:r>
      <w:r w:rsidRPr="00B275E2">
        <w:fldChar w:fldCharType="end"/>
      </w:r>
      <w:r w:rsidRPr="00B275E2">
        <w:t>:</w:t>
      </w:r>
      <w:r w:rsidRPr="00B275E2">
        <w:tab/>
      </w:r>
      <w:r w:rsidRPr="00B34BB5">
        <w:t>Calculated</w:t>
      </w:r>
      <w:r w:rsidR="00C7511A" w:rsidRPr="00B34BB5">
        <w:t xml:space="preserve"> emissions</w:t>
      </w:r>
      <w:r w:rsidR="00C7511A">
        <w:t xml:space="preserve"> for 2020</w:t>
      </w:r>
      <w:r w:rsidR="00C7511A" w:rsidRPr="00B34BB5">
        <w:t>, with the radiative forcing multiplier, per aircraft type</w:t>
      </w:r>
      <w:bookmarkEnd w:id="431"/>
    </w:p>
    <w:tbl>
      <w:tblPr>
        <w:tblStyle w:val="LightList-Accent1"/>
        <w:tblW w:w="9090" w:type="dxa"/>
        <w:tblBorders>
          <w:insideH w:val="single" w:sz="8" w:space="0" w:color="1C556C" w:themeColor="accent1"/>
        </w:tblBorders>
        <w:tblLayout w:type="fixed"/>
        <w:tblLook w:val="04A0" w:firstRow="1" w:lastRow="0" w:firstColumn="1" w:lastColumn="0" w:noHBand="0" w:noVBand="1"/>
      </w:tblPr>
      <w:tblGrid>
        <w:gridCol w:w="2603"/>
        <w:gridCol w:w="694"/>
        <w:gridCol w:w="1560"/>
        <w:gridCol w:w="1388"/>
        <w:gridCol w:w="1388"/>
        <w:gridCol w:w="1457"/>
      </w:tblGrid>
      <w:tr w:rsidR="00C7511A" w:rsidRPr="00B34BB5" w14:paraId="669E83D2" w14:textId="77777777" w:rsidTr="00820AC3">
        <w:trPr>
          <w:cnfStyle w:val="100000000000" w:firstRow="1" w:lastRow="0" w:firstColumn="0" w:lastColumn="0" w:oddVBand="0" w:evenVBand="0" w:oddHBand="0" w:evenHBand="0" w:firstRowFirstColumn="0" w:firstRowLastColumn="0" w:lastRowFirstColumn="0" w:lastRowLastColumn="0"/>
          <w:trHeight w:val="604"/>
          <w:tblHeader/>
        </w:trPr>
        <w:tc>
          <w:tcPr>
            <w:cnfStyle w:val="001000000000" w:firstRow="0" w:lastRow="0" w:firstColumn="1" w:lastColumn="0" w:oddVBand="0" w:evenVBand="0" w:oddHBand="0" w:evenHBand="0" w:firstRowFirstColumn="0" w:firstRowLastColumn="0" w:lastRowFirstColumn="0" w:lastRowLastColumn="0"/>
            <w:tcW w:w="2603" w:type="dxa"/>
            <w:tcBorders>
              <w:bottom w:val="single" w:sz="8" w:space="0" w:color="1C556C" w:themeColor="accent1"/>
            </w:tcBorders>
            <w:vAlign w:val="bottom"/>
          </w:tcPr>
          <w:p w14:paraId="680ED434" w14:textId="77777777" w:rsidR="00C7511A" w:rsidRPr="00B34BB5" w:rsidRDefault="00C7511A" w:rsidP="00D31805">
            <w:pPr>
              <w:pStyle w:val="TableText"/>
            </w:pPr>
            <w:r w:rsidRPr="00B34BB5">
              <w:t>Aircraft type</w:t>
            </w:r>
          </w:p>
        </w:tc>
        <w:tc>
          <w:tcPr>
            <w:tcW w:w="694" w:type="dxa"/>
            <w:vAlign w:val="bottom"/>
          </w:tcPr>
          <w:p w14:paraId="1BEFAC2E" w14:textId="77777777" w:rsidR="00C7511A" w:rsidRPr="00B34BB5" w:rsidRDefault="00C7511A" w:rsidP="00D31805">
            <w:pPr>
              <w:pStyle w:val="TableText"/>
              <w:cnfStyle w:val="100000000000" w:firstRow="1" w:lastRow="0" w:firstColumn="0" w:lastColumn="0" w:oddVBand="0" w:evenVBand="0" w:oddHBand="0" w:evenHBand="0" w:firstRowFirstColumn="0" w:firstRowLastColumn="0" w:lastRowFirstColumn="0" w:lastRowLastColumn="0"/>
            </w:pPr>
            <w:r w:rsidRPr="00B34BB5">
              <w:t>Unit</w:t>
            </w:r>
          </w:p>
        </w:tc>
        <w:tc>
          <w:tcPr>
            <w:tcW w:w="1560" w:type="dxa"/>
            <w:shd w:val="clear" w:color="auto" w:fill="D2DDE1" w:themeFill="background2"/>
            <w:vAlign w:val="bottom"/>
          </w:tcPr>
          <w:p w14:paraId="54AD19A8" w14:textId="77777777" w:rsidR="00C7511A" w:rsidRPr="00820AC3" w:rsidRDefault="00C7511A" w:rsidP="00D31805">
            <w:pPr>
              <w:pStyle w:val="TableText"/>
              <w:jc w:val="right"/>
              <w:cnfStyle w:val="100000000000" w:firstRow="1" w:lastRow="0" w:firstColumn="0" w:lastColumn="0" w:oddVBand="0" w:evenVBand="0" w:oddHBand="0" w:evenHBand="0" w:firstRowFirstColumn="0" w:firstRowLastColumn="0" w:lastRowFirstColumn="0" w:lastRowLastColumn="0"/>
              <w:rPr>
                <w:color w:val="auto"/>
              </w:rPr>
            </w:pPr>
            <w:r w:rsidRPr="00820AC3">
              <w:rPr>
                <w:color w:val="auto"/>
              </w:rPr>
              <w:t>kg CO</w:t>
            </w:r>
            <w:r w:rsidRPr="00820AC3">
              <w:rPr>
                <w:color w:val="auto"/>
                <w:vertAlign w:val="subscript"/>
              </w:rPr>
              <w:t>2</w:t>
            </w:r>
            <w:r w:rsidRPr="00820AC3">
              <w:rPr>
                <w:color w:val="auto"/>
              </w:rPr>
              <w:t>-e/unit</w:t>
            </w:r>
          </w:p>
        </w:tc>
        <w:tc>
          <w:tcPr>
            <w:tcW w:w="1388" w:type="dxa"/>
            <w:vAlign w:val="bottom"/>
          </w:tcPr>
          <w:p w14:paraId="0FBE1DAC" w14:textId="77777777" w:rsidR="00C7511A" w:rsidRPr="00B34BB5" w:rsidRDefault="00C7511A" w:rsidP="00D31805">
            <w:pPr>
              <w:pStyle w:val="TableText"/>
              <w:jc w:val="right"/>
              <w:cnfStyle w:val="100000000000" w:firstRow="1" w:lastRow="0" w:firstColumn="0" w:lastColumn="0" w:oddVBand="0" w:evenVBand="0" w:oddHBand="0" w:evenHBand="0" w:firstRowFirstColumn="0" w:firstRowLastColumn="0" w:lastRowFirstColumn="0" w:lastRowLastColumn="0"/>
            </w:pPr>
            <w:r w:rsidRPr="00B34BB5">
              <w:t>kg CO</w:t>
            </w:r>
            <w:r w:rsidRPr="00B34BB5">
              <w:rPr>
                <w:vertAlign w:val="subscript"/>
              </w:rPr>
              <w:t>2</w:t>
            </w:r>
            <w:r w:rsidRPr="00B34BB5">
              <w:t>/unit (kg CO</w:t>
            </w:r>
            <w:r w:rsidRPr="00B34BB5">
              <w:rPr>
                <w:vertAlign w:val="subscript"/>
              </w:rPr>
              <w:t>2</w:t>
            </w:r>
            <w:r w:rsidRPr="00B34BB5">
              <w:t>-e)</w:t>
            </w:r>
          </w:p>
        </w:tc>
        <w:tc>
          <w:tcPr>
            <w:tcW w:w="1388" w:type="dxa"/>
            <w:vAlign w:val="bottom"/>
          </w:tcPr>
          <w:p w14:paraId="0B850895" w14:textId="77777777" w:rsidR="00C7511A" w:rsidRPr="00B34BB5" w:rsidRDefault="00C7511A" w:rsidP="00D31805">
            <w:pPr>
              <w:pStyle w:val="TableText"/>
              <w:jc w:val="right"/>
              <w:cnfStyle w:val="100000000000" w:firstRow="1" w:lastRow="0" w:firstColumn="0" w:lastColumn="0" w:oddVBand="0" w:evenVBand="0" w:oddHBand="0" w:evenHBand="0" w:firstRowFirstColumn="0" w:firstRowLastColumn="0" w:lastRowFirstColumn="0" w:lastRowLastColumn="0"/>
            </w:pPr>
            <w:r w:rsidRPr="00B34BB5">
              <w:t>kg CH</w:t>
            </w:r>
            <w:r w:rsidRPr="00B34BB5">
              <w:rPr>
                <w:vertAlign w:val="subscript"/>
              </w:rPr>
              <w:t>4</w:t>
            </w:r>
            <w:r w:rsidRPr="00B34BB5">
              <w:t>/unit (kg CO</w:t>
            </w:r>
            <w:r w:rsidRPr="00B34BB5">
              <w:rPr>
                <w:vertAlign w:val="subscript"/>
              </w:rPr>
              <w:t>2</w:t>
            </w:r>
            <w:r w:rsidRPr="00B34BB5">
              <w:t>-e)</w:t>
            </w:r>
          </w:p>
        </w:tc>
        <w:tc>
          <w:tcPr>
            <w:tcW w:w="1457" w:type="dxa"/>
            <w:tcBorders>
              <w:bottom w:val="single" w:sz="8" w:space="0" w:color="1C556C" w:themeColor="accent1"/>
            </w:tcBorders>
            <w:vAlign w:val="bottom"/>
          </w:tcPr>
          <w:p w14:paraId="09A6FF58" w14:textId="77777777" w:rsidR="00C7511A" w:rsidRPr="00B34BB5" w:rsidRDefault="00C7511A" w:rsidP="00D31805">
            <w:pPr>
              <w:pStyle w:val="TableText"/>
              <w:jc w:val="right"/>
              <w:cnfStyle w:val="100000000000" w:firstRow="1" w:lastRow="0" w:firstColumn="0" w:lastColumn="0" w:oddVBand="0" w:evenVBand="0" w:oddHBand="0" w:evenHBand="0" w:firstRowFirstColumn="0" w:firstRowLastColumn="0" w:lastRowFirstColumn="0" w:lastRowLastColumn="0"/>
              <w:rPr>
                <w:b w:val="0"/>
                <w:bCs w:val="0"/>
              </w:rPr>
            </w:pPr>
            <w:r w:rsidRPr="00B34BB5">
              <w:t>kg N</w:t>
            </w:r>
            <w:r w:rsidRPr="00B34BB5">
              <w:rPr>
                <w:vertAlign w:val="subscript"/>
              </w:rPr>
              <w:t>2</w:t>
            </w:r>
            <w:r w:rsidRPr="00B34BB5">
              <w:t>O/unit (kg CO</w:t>
            </w:r>
            <w:r w:rsidRPr="00B34BB5">
              <w:rPr>
                <w:vertAlign w:val="subscript"/>
              </w:rPr>
              <w:t>2</w:t>
            </w:r>
            <w:r w:rsidRPr="00B34BB5">
              <w:t>-e)</w:t>
            </w:r>
          </w:p>
        </w:tc>
      </w:tr>
      <w:tr w:rsidR="00C7511A" w:rsidRPr="00B34BB5" w14:paraId="684C9E51" w14:textId="77777777" w:rsidTr="00820AC3">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603" w:type="dxa"/>
            <w:tcBorders>
              <w:left w:val="nil"/>
            </w:tcBorders>
          </w:tcPr>
          <w:p w14:paraId="6A33F99C" w14:textId="77777777" w:rsidR="00C7511A" w:rsidRPr="00DF0262" w:rsidRDefault="00C7511A" w:rsidP="00D31805">
            <w:pPr>
              <w:pStyle w:val="TableText"/>
              <w:rPr>
                <w:b w:val="0"/>
              </w:rPr>
            </w:pPr>
            <w:r w:rsidRPr="00DF0262" w:rsidDel="00692096">
              <w:rPr>
                <w:b w:val="0"/>
              </w:rPr>
              <w:t>Airbus A320</w:t>
            </w:r>
            <w:r w:rsidRPr="00DF0262">
              <w:rPr>
                <w:b w:val="0"/>
              </w:rPr>
              <w:t>*</w:t>
            </w:r>
          </w:p>
        </w:tc>
        <w:tc>
          <w:tcPr>
            <w:tcW w:w="694" w:type="dxa"/>
          </w:tcPr>
          <w:p w14:paraId="66FBCC35" w14:textId="77777777" w:rsidR="00C7511A" w:rsidRPr="00DF0262" w:rsidRDefault="00C7511A" w:rsidP="00D31805">
            <w:pPr>
              <w:pStyle w:val="TableText"/>
              <w:cnfStyle w:val="000000100000" w:firstRow="0" w:lastRow="0" w:firstColumn="0" w:lastColumn="0" w:oddVBand="0" w:evenVBand="0" w:oddHBand="1" w:evenHBand="0" w:firstRowFirstColumn="0" w:firstRowLastColumn="0" w:lastRowFirstColumn="0" w:lastRowLastColumn="0"/>
            </w:pPr>
            <w:r w:rsidRPr="00DF0262" w:rsidDel="00692096">
              <w:t>pkm</w:t>
            </w:r>
          </w:p>
        </w:tc>
        <w:tc>
          <w:tcPr>
            <w:tcW w:w="1560" w:type="dxa"/>
            <w:shd w:val="clear" w:color="auto" w:fill="D2DDE1" w:themeFill="background2"/>
          </w:tcPr>
          <w:p w14:paraId="64D5F4BA" w14:textId="77777777" w:rsidR="00C7511A" w:rsidRPr="00820AC3"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820AC3" w:rsidDel="00692096">
              <w:t>0.</w:t>
            </w:r>
            <w:r w:rsidRPr="00820AC3">
              <w:t>168</w:t>
            </w:r>
          </w:p>
        </w:tc>
        <w:tc>
          <w:tcPr>
            <w:tcW w:w="1388" w:type="dxa"/>
          </w:tcPr>
          <w:p w14:paraId="7F1A7DDA" w14:textId="77777777" w:rsidR="00C7511A" w:rsidRPr="00DF0262"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DF0262" w:rsidDel="00692096">
              <w:t>0.</w:t>
            </w:r>
            <w:r>
              <w:t>165</w:t>
            </w:r>
          </w:p>
        </w:tc>
        <w:tc>
          <w:tcPr>
            <w:tcW w:w="1388" w:type="dxa"/>
          </w:tcPr>
          <w:p w14:paraId="365AFED2" w14:textId="77777777" w:rsidR="00C7511A" w:rsidRPr="00DF0262"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DF0262" w:rsidDel="00692096">
              <w:t>0.001</w:t>
            </w:r>
          </w:p>
        </w:tc>
        <w:tc>
          <w:tcPr>
            <w:tcW w:w="1457" w:type="dxa"/>
            <w:tcBorders>
              <w:right w:val="nil"/>
            </w:tcBorders>
          </w:tcPr>
          <w:p w14:paraId="5BEE840C" w14:textId="77777777" w:rsidR="00C7511A" w:rsidRPr="00DF0262"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DF0262" w:rsidDel="00692096">
              <w:t>0.00</w:t>
            </w:r>
            <w:r>
              <w:t>2</w:t>
            </w:r>
          </w:p>
        </w:tc>
      </w:tr>
      <w:tr w:rsidR="00C7511A" w:rsidRPr="00B34BB5" w14:paraId="70ACB75C" w14:textId="77777777" w:rsidTr="00820AC3">
        <w:trPr>
          <w:trHeight w:val="604"/>
        </w:trPr>
        <w:tc>
          <w:tcPr>
            <w:cnfStyle w:val="001000000000" w:firstRow="0" w:lastRow="0" w:firstColumn="1" w:lastColumn="0" w:oddVBand="0" w:evenVBand="0" w:oddHBand="0" w:evenHBand="0" w:firstRowFirstColumn="0" w:firstRowLastColumn="0" w:lastRowFirstColumn="0" w:lastRowLastColumn="0"/>
            <w:tcW w:w="2603" w:type="dxa"/>
            <w:tcBorders>
              <w:left w:val="nil"/>
            </w:tcBorders>
          </w:tcPr>
          <w:p w14:paraId="5E628116" w14:textId="77777777" w:rsidR="00C7511A" w:rsidRPr="00DF0262" w:rsidRDefault="00C7511A" w:rsidP="00D31805">
            <w:pPr>
              <w:pStyle w:val="TableText"/>
              <w:rPr>
                <w:b w:val="0"/>
              </w:rPr>
            </w:pPr>
            <w:r w:rsidRPr="00DF0262" w:rsidDel="00692096">
              <w:rPr>
                <w:b w:val="0"/>
              </w:rPr>
              <w:t>Aerospatiale/Alenia ATR 72</w:t>
            </w:r>
            <w:r w:rsidRPr="00DF0262">
              <w:rPr>
                <w:b w:val="0"/>
              </w:rPr>
              <w:t>*</w:t>
            </w:r>
          </w:p>
        </w:tc>
        <w:tc>
          <w:tcPr>
            <w:tcW w:w="694" w:type="dxa"/>
          </w:tcPr>
          <w:p w14:paraId="03FF05E8" w14:textId="77777777" w:rsidR="00C7511A" w:rsidRPr="00DF0262" w:rsidRDefault="00C7511A" w:rsidP="00D31805">
            <w:pPr>
              <w:pStyle w:val="TableText"/>
              <w:cnfStyle w:val="000000000000" w:firstRow="0" w:lastRow="0" w:firstColumn="0" w:lastColumn="0" w:oddVBand="0" w:evenVBand="0" w:oddHBand="0" w:evenHBand="0" w:firstRowFirstColumn="0" w:firstRowLastColumn="0" w:lastRowFirstColumn="0" w:lastRowLastColumn="0"/>
            </w:pPr>
            <w:r w:rsidRPr="00DF0262" w:rsidDel="00692096">
              <w:t>pkm</w:t>
            </w:r>
          </w:p>
        </w:tc>
        <w:tc>
          <w:tcPr>
            <w:tcW w:w="1560" w:type="dxa"/>
            <w:shd w:val="clear" w:color="auto" w:fill="D2DDE1" w:themeFill="background2"/>
          </w:tcPr>
          <w:p w14:paraId="699251BF" w14:textId="77777777" w:rsidR="00C7511A" w:rsidRPr="00820AC3" w:rsidRDefault="00C7511A" w:rsidP="00D31805">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820AC3" w:rsidDel="00692096">
              <w:t>0.</w:t>
            </w:r>
            <w:r w:rsidRPr="00820AC3">
              <w:t>174</w:t>
            </w:r>
          </w:p>
        </w:tc>
        <w:tc>
          <w:tcPr>
            <w:tcW w:w="1388" w:type="dxa"/>
          </w:tcPr>
          <w:p w14:paraId="2D56FCA1" w14:textId="77777777" w:rsidR="00C7511A" w:rsidRPr="00DF0262" w:rsidRDefault="00C7511A" w:rsidP="00D3180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DF0262" w:rsidDel="00692096">
              <w:t>0.</w:t>
            </w:r>
            <w:r>
              <w:t>171</w:t>
            </w:r>
          </w:p>
        </w:tc>
        <w:tc>
          <w:tcPr>
            <w:tcW w:w="1388" w:type="dxa"/>
          </w:tcPr>
          <w:p w14:paraId="7D268A12" w14:textId="77777777" w:rsidR="00C7511A" w:rsidRPr="00DF0262" w:rsidRDefault="00C7511A" w:rsidP="00D3180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DF0262" w:rsidDel="00692096">
              <w:t>0.001</w:t>
            </w:r>
          </w:p>
        </w:tc>
        <w:tc>
          <w:tcPr>
            <w:tcW w:w="1457" w:type="dxa"/>
            <w:tcBorders>
              <w:right w:val="nil"/>
            </w:tcBorders>
          </w:tcPr>
          <w:p w14:paraId="4A8BCFB9" w14:textId="77777777" w:rsidR="00C7511A" w:rsidRPr="00DF0262" w:rsidRDefault="00C7511A" w:rsidP="00D3180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DF0262" w:rsidDel="00692096">
              <w:t>0.00</w:t>
            </w:r>
            <w:r>
              <w:t>3</w:t>
            </w:r>
          </w:p>
        </w:tc>
      </w:tr>
      <w:tr w:rsidR="00C7511A" w:rsidRPr="00B34BB5" w14:paraId="7A9EE1AD" w14:textId="77777777" w:rsidTr="00820AC3">
        <w:trPr>
          <w:cnfStyle w:val="000000100000" w:firstRow="0" w:lastRow="0" w:firstColumn="0" w:lastColumn="0" w:oddVBand="0" w:evenVBand="0" w:oddHBand="1"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2603" w:type="dxa"/>
            <w:tcBorders>
              <w:left w:val="nil"/>
            </w:tcBorders>
          </w:tcPr>
          <w:p w14:paraId="2D032561" w14:textId="77777777" w:rsidR="00C7511A" w:rsidRPr="00DF0262" w:rsidRDefault="00C7511A" w:rsidP="00D31805">
            <w:pPr>
              <w:pStyle w:val="TableText"/>
              <w:rPr>
                <w:b w:val="0"/>
              </w:rPr>
            </w:pPr>
            <w:r w:rsidRPr="00DF0262" w:rsidDel="00692096">
              <w:rPr>
                <w:b w:val="0"/>
              </w:rPr>
              <w:t>British Aerospace Jetstream 32</w:t>
            </w:r>
          </w:p>
        </w:tc>
        <w:tc>
          <w:tcPr>
            <w:tcW w:w="694" w:type="dxa"/>
          </w:tcPr>
          <w:p w14:paraId="6CBDD5E0" w14:textId="77777777" w:rsidR="00C7511A" w:rsidRPr="00DF0262" w:rsidRDefault="00C7511A" w:rsidP="00D31805">
            <w:pPr>
              <w:pStyle w:val="TableText"/>
              <w:cnfStyle w:val="000000100000" w:firstRow="0" w:lastRow="0" w:firstColumn="0" w:lastColumn="0" w:oddVBand="0" w:evenVBand="0" w:oddHBand="1" w:evenHBand="0" w:firstRowFirstColumn="0" w:firstRowLastColumn="0" w:lastRowFirstColumn="0" w:lastRowLastColumn="0"/>
            </w:pPr>
            <w:r w:rsidRPr="00DF0262" w:rsidDel="00692096">
              <w:t>pkm</w:t>
            </w:r>
          </w:p>
        </w:tc>
        <w:tc>
          <w:tcPr>
            <w:tcW w:w="1560" w:type="dxa"/>
            <w:shd w:val="clear" w:color="auto" w:fill="D2DDE1" w:themeFill="background2"/>
          </w:tcPr>
          <w:p w14:paraId="49C2D1D5" w14:textId="77777777" w:rsidR="00C7511A" w:rsidRPr="00820AC3"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820AC3" w:rsidDel="00692096">
              <w:t>0.</w:t>
            </w:r>
            <w:r w:rsidRPr="00820AC3">
              <w:t>450</w:t>
            </w:r>
          </w:p>
        </w:tc>
        <w:tc>
          <w:tcPr>
            <w:tcW w:w="1388" w:type="dxa"/>
          </w:tcPr>
          <w:p w14:paraId="51F8C21A" w14:textId="77777777" w:rsidR="00C7511A" w:rsidRPr="00DF0262"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DF0262" w:rsidDel="00692096">
              <w:t>0.</w:t>
            </w:r>
            <w:r>
              <w:t>435</w:t>
            </w:r>
          </w:p>
        </w:tc>
        <w:tc>
          <w:tcPr>
            <w:tcW w:w="1388" w:type="dxa"/>
          </w:tcPr>
          <w:p w14:paraId="4F3B4499" w14:textId="77777777" w:rsidR="00C7511A" w:rsidRPr="00DF0262"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DF0262" w:rsidDel="00692096">
              <w:t>0.00</w:t>
            </w:r>
            <w:r>
              <w:t>4</w:t>
            </w:r>
          </w:p>
        </w:tc>
        <w:tc>
          <w:tcPr>
            <w:tcW w:w="1457" w:type="dxa"/>
            <w:tcBorders>
              <w:right w:val="nil"/>
            </w:tcBorders>
          </w:tcPr>
          <w:p w14:paraId="2FC383AA" w14:textId="77777777" w:rsidR="00C7511A" w:rsidRPr="00DF0262"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DF0262" w:rsidDel="00692096">
              <w:t>0.0</w:t>
            </w:r>
            <w:r>
              <w:t>11</w:t>
            </w:r>
          </w:p>
        </w:tc>
      </w:tr>
      <w:tr w:rsidR="00C7511A" w:rsidRPr="00B34BB5" w14:paraId="24FB8404" w14:textId="77777777" w:rsidTr="00820AC3">
        <w:trPr>
          <w:trHeight w:val="362"/>
        </w:trPr>
        <w:tc>
          <w:tcPr>
            <w:cnfStyle w:val="001000000000" w:firstRow="0" w:lastRow="0" w:firstColumn="1" w:lastColumn="0" w:oddVBand="0" w:evenVBand="0" w:oddHBand="0" w:evenHBand="0" w:firstRowFirstColumn="0" w:firstRowLastColumn="0" w:lastRowFirstColumn="0" w:lastRowLastColumn="0"/>
            <w:tcW w:w="2603" w:type="dxa"/>
            <w:tcBorders>
              <w:left w:val="nil"/>
            </w:tcBorders>
          </w:tcPr>
          <w:p w14:paraId="3C44B0A5" w14:textId="77777777" w:rsidR="00C7511A" w:rsidRPr="00DF0262" w:rsidRDefault="00C7511A" w:rsidP="00D31805">
            <w:pPr>
              <w:pStyle w:val="TableText"/>
              <w:rPr>
                <w:b w:val="0"/>
              </w:rPr>
            </w:pPr>
            <w:r w:rsidRPr="00DF0262" w:rsidDel="00692096">
              <w:rPr>
                <w:b w:val="0"/>
              </w:rPr>
              <w:t>Beechcraft Beech 1900D</w:t>
            </w:r>
          </w:p>
        </w:tc>
        <w:tc>
          <w:tcPr>
            <w:tcW w:w="694" w:type="dxa"/>
          </w:tcPr>
          <w:p w14:paraId="32397B17" w14:textId="77777777" w:rsidR="00C7511A" w:rsidRPr="00DF0262" w:rsidRDefault="00C7511A" w:rsidP="00D31805">
            <w:pPr>
              <w:pStyle w:val="TableText"/>
              <w:cnfStyle w:val="000000000000" w:firstRow="0" w:lastRow="0" w:firstColumn="0" w:lastColumn="0" w:oddVBand="0" w:evenVBand="0" w:oddHBand="0" w:evenHBand="0" w:firstRowFirstColumn="0" w:firstRowLastColumn="0" w:lastRowFirstColumn="0" w:lastRowLastColumn="0"/>
            </w:pPr>
            <w:r w:rsidRPr="00DF0262" w:rsidDel="00692096">
              <w:t>pkm</w:t>
            </w:r>
          </w:p>
        </w:tc>
        <w:tc>
          <w:tcPr>
            <w:tcW w:w="1560" w:type="dxa"/>
            <w:shd w:val="clear" w:color="auto" w:fill="D2DDE1" w:themeFill="background2"/>
          </w:tcPr>
          <w:p w14:paraId="6233F054" w14:textId="77777777" w:rsidR="00C7511A" w:rsidRPr="00820AC3" w:rsidRDefault="00C7511A" w:rsidP="00D31805">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820AC3" w:rsidDel="00692096">
              <w:t>0.</w:t>
            </w:r>
            <w:r w:rsidRPr="00820AC3">
              <w:t>353</w:t>
            </w:r>
          </w:p>
        </w:tc>
        <w:tc>
          <w:tcPr>
            <w:tcW w:w="1388" w:type="dxa"/>
          </w:tcPr>
          <w:p w14:paraId="7D97B196" w14:textId="77777777" w:rsidR="00C7511A" w:rsidRPr="00DF0262" w:rsidRDefault="00C7511A" w:rsidP="00D3180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DF0262" w:rsidDel="00692096">
              <w:t>0.</w:t>
            </w:r>
            <w:r>
              <w:t>342</w:t>
            </w:r>
          </w:p>
        </w:tc>
        <w:tc>
          <w:tcPr>
            <w:tcW w:w="1388" w:type="dxa"/>
          </w:tcPr>
          <w:p w14:paraId="3F84B6FC" w14:textId="77777777" w:rsidR="00C7511A" w:rsidRPr="00DF0262" w:rsidRDefault="00C7511A" w:rsidP="00D3180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DF0262" w:rsidDel="00692096">
              <w:t>0.00</w:t>
            </w:r>
            <w:r>
              <w:t>4</w:t>
            </w:r>
          </w:p>
        </w:tc>
        <w:tc>
          <w:tcPr>
            <w:tcW w:w="1457" w:type="dxa"/>
            <w:tcBorders>
              <w:right w:val="nil"/>
            </w:tcBorders>
          </w:tcPr>
          <w:p w14:paraId="616CC62D" w14:textId="77777777" w:rsidR="00C7511A" w:rsidRPr="00DF0262" w:rsidRDefault="00C7511A" w:rsidP="00D3180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DF0262" w:rsidDel="00692096">
              <w:t>0.0</w:t>
            </w:r>
            <w:r>
              <w:t>10</w:t>
            </w:r>
          </w:p>
        </w:tc>
      </w:tr>
      <w:tr w:rsidR="00C7511A" w:rsidRPr="00B34BB5" w14:paraId="48346893" w14:textId="77777777" w:rsidTr="00820AC3">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2603" w:type="dxa"/>
            <w:tcBorders>
              <w:left w:val="nil"/>
            </w:tcBorders>
          </w:tcPr>
          <w:p w14:paraId="600454DC" w14:textId="77777777" w:rsidR="00C7511A" w:rsidRPr="00DF0262" w:rsidRDefault="00C7511A" w:rsidP="00D31805">
            <w:pPr>
              <w:pStyle w:val="TableText"/>
              <w:rPr>
                <w:b w:val="0"/>
              </w:rPr>
            </w:pPr>
            <w:r w:rsidRPr="00DF0262" w:rsidDel="00692096">
              <w:rPr>
                <w:b w:val="0"/>
              </w:rPr>
              <w:t>Cessna Light Aircraft</w:t>
            </w:r>
          </w:p>
        </w:tc>
        <w:tc>
          <w:tcPr>
            <w:tcW w:w="694" w:type="dxa"/>
          </w:tcPr>
          <w:p w14:paraId="213859BC" w14:textId="77777777" w:rsidR="00C7511A" w:rsidRPr="00DF0262" w:rsidRDefault="00C7511A" w:rsidP="00D31805">
            <w:pPr>
              <w:pStyle w:val="TableText"/>
              <w:cnfStyle w:val="000000100000" w:firstRow="0" w:lastRow="0" w:firstColumn="0" w:lastColumn="0" w:oddVBand="0" w:evenVBand="0" w:oddHBand="1" w:evenHBand="0" w:firstRowFirstColumn="0" w:firstRowLastColumn="0" w:lastRowFirstColumn="0" w:lastRowLastColumn="0"/>
            </w:pPr>
            <w:r w:rsidRPr="00DF0262" w:rsidDel="00692096">
              <w:t>pkm</w:t>
            </w:r>
          </w:p>
        </w:tc>
        <w:tc>
          <w:tcPr>
            <w:tcW w:w="1560" w:type="dxa"/>
            <w:shd w:val="clear" w:color="auto" w:fill="D2DDE1" w:themeFill="background2"/>
          </w:tcPr>
          <w:p w14:paraId="09D744A9" w14:textId="77777777" w:rsidR="00C7511A" w:rsidRPr="00820AC3"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820AC3">
              <w:t>1.049</w:t>
            </w:r>
          </w:p>
        </w:tc>
        <w:tc>
          <w:tcPr>
            <w:tcW w:w="1388" w:type="dxa"/>
          </w:tcPr>
          <w:p w14:paraId="2271C630" w14:textId="77777777" w:rsidR="00C7511A" w:rsidRPr="00DF0262"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t>1.015</w:t>
            </w:r>
          </w:p>
        </w:tc>
        <w:tc>
          <w:tcPr>
            <w:tcW w:w="1388" w:type="dxa"/>
          </w:tcPr>
          <w:p w14:paraId="01CCDB29" w14:textId="77777777" w:rsidR="00C7511A" w:rsidRPr="00DF0262"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DF0262" w:rsidDel="00692096">
              <w:t>0.00</w:t>
            </w:r>
            <w:r>
              <w:t>8</w:t>
            </w:r>
          </w:p>
        </w:tc>
        <w:tc>
          <w:tcPr>
            <w:tcW w:w="1457" w:type="dxa"/>
            <w:tcBorders>
              <w:right w:val="nil"/>
            </w:tcBorders>
          </w:tcPr>
          <w:p w14:paraId="2B005E75" w14:textId="77777777" w:rsidR="00C7511A" w:rsidRPr="00DF0262"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DF0262" w:rsidDel="00692096">
              <w:t>0.0</w:t>
            </w:r>
            <w:r>
              <w:t>27</w:t>
            </w:r>
          </w:p>
        </w:tc>
      </w:tr>
      <w:tr w:rsidR="00C7511A" w:rsidRPr="00B34BB5" w14:paraId="083E8CA7" w14:textId="77777777" w:rsidTr="00820AC3">
        <w:trPr>
          <w:trHeight w:val="598"/>
        </w:trPr>
        <w:tc>
          <w:tcPr>
            <w:cnfStyle w:val="001000000000" w:firstRow="0" w:lastRow="0" w:firstColumn="1" w:lastColumn="0" w:oddVBand="0" w:evenVBand="0" w:oddHBand="0" w:evenHBand="0" w:firstRowFirstColumn="0" w:firstRowLastColumn="0" w:lastRowFirstColumn="0" w:lastRowLastColumn="0"/>
            <w:tcW w:w="2603" w:type="dxa"/>
            <w:tcBorders>
              <w:left w:val="nil"/>
            </w:tcBorders>
          </w:tcPr>
          <w:p w14:paraId="1D9CB77B" w14:textId="77777777" w:rsidR="00C7511A" w:rsidRPr="00DF0262" w:rsidRDefault="00C7511A" w:rsidP="00D31805">
            <w:pPr>
              <w:pStyle w:val="TableText"/>
              <w:rPr>
                <w:b w:val="0"/>
              </w:rPr>
            </w:pPr>
            <w:r w:rsidRPr="00DF0262" w:rsidDel="00692096">
              <w:rPr>
                <w:b w:val="0"/>
              </w:rPr>
              <w:lastRenderedPageBreak/>
              <w:t>De Havilland Canada DHC-8-300 Dash 8/8Q</w:t>
            </w:r>
            <w:r>
              <w:rPr>
                <w:b w:val="0"/>
              </w:rPr>
              <w:t>, Q300</w:t>
            </w:r>
            <w:r w:rsidRPr="00DF0262">
              <w:rPr>
                <w:b w:val="0"/>
              </w:rPr>
              <w:t>*</w:t>
            </w:r>
          </w:p>
        </w:tc>
        <w:tc>
          <w:tcPr>
            <w:tcW w:w="694" w:type="dxa"/>
          </w:tcPr>
          <w:p w14:paraId="2037A8A0" w14:textId="77777777" w:rsidR="00C7511A" w:rsidRPr="00DF0262" w:rsidRDefault="00C7511A" w:rsidP="00D31805">
            <w:pPr>
              <w:pStyle w:val="TableText"/>
              <w:cnfStyle w:val="000000000000" w:firstRow="0" w:lastRow="0" w:firstColumn="0" w:lastColumn="0" w:oddVBand="0" w:evenVBand="0" w:oddHBand="0" w:evenHBand="0" w:firstRowFirstColumn="0" w:firstRowLastColumn="0" w:lastRowFirstColumn="0" w:lastRowLastColumn="0"/>
            </w:pPr>
            <w:r w:rsidRPr="00DF0262" w:rsidDel="00692096">
              <w:t>pkm</w:t>
            </w:r>
          </w:p>
        </w:tc>
        <w:tc>
          <w:tcPr>
            <w:tcW w:w="1560" w:type="dxa"/>
            <w:shd w:val="clear" w:color="auto" w:fill="D2DDE1" w:themeFill="background2"/>
          </w:tcPr>
          <w:p w14:paraId="124CCBC8" w14:textId="77777777" w:rsidR="00C7511A" w:rsidRPr="00820AC3" w:rsidRDefault="00C7511A" w:rsidP="00D31805">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820AC3" w:rsidDel="00692096">
              <w:t>0.</w:t>
            </w:r>
            <w:r w:rsidRPr="00820AC3">
              <w:t>270</w:t>
            </w:r>
          </w:p>
        </w:tc>
        <w:tc>
          <w:tcPr>
            <w:tcW w:w="1388" w:type="dxa"/>
          </w:tcPr>
          <w:p w14:paraId="27328057" w14:textId="77777777" w:rsidR="00C7511A" w:rsidRPr="00DF0262" w:rsidRDefault="00C7511A" w:rsidP="00D3180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DF0262" w:rsidDel="00692096">
              <w:t>0.</w:t>
            </w:r>
            <w:r>
              <w:t>266</w:t>
            </w:r>
          </w:p>
        </w:tc>
        <w:tc>
          <w:tcPr>
            <w:tcW w:w="1388" w:type="dxa"/>
          </w:tcPr>
          <w:p w14:paraId="5772446C" w14:textId="77777777" w:rsidR="00C7511A" w:rsidRPr="00DF0262" w:rsidRDefault="00C7511A" w:rsidP="00D3180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DF0262" w:rsidDel="00692096">
              <w:t>0.001</w:t>
            </w:r>
          </w:p>
        </w:tc>
        <w:tc>
          <w:tcPr>
            <w:tcW w:w="1457" w:type="dxa"/>
            <w:tcBorders>
              <w:right w:val="nil"/>
            </w:tcBorders>
          </w:tcPr>
          <w:p w14:paraId="55B7D3A0" w14:textId="77777777" w:rsidR="00C7511A" w:rsidRPr="00DF0262" w:rsidRDefault="00C7511A" w:rsidP="00D3180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DF0262" w:rsidDel="00692096">
              <w:t>0.00</w:t>
            </w:r>
            <w:r>
              <w:t>3</w:t>
            </w:r>
          </w:p>
        </w:tc>
      </w:tr>
      <w:tr w:rsidR="00C7511A" w:rsidRPr="00B34BB5" w14:paraId="0BF5E686" w14:textId="77777777" w:rsidTr="00820AC3">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2603" w:type="dxa"/>
            <w:tcBorders>
              <w:left w:val="nil"/>
            </w:tcBorders>
          </w:tcPr>
          <w:p w14:paraId="62A688E1" w14:textId="77777777" w:rsidR="00C7511A" w:rsidRPr="00DF0262" w:rsidRDefault="00C7511A" w:rsidP="00D31805">
            <w:pPr>
              <w:pStyle w:val="TableText"/>
              <w:rPr>
                <w:b w:val="0"/>
              </w:rPr>
            </w:pPr>
            <w:r w:rsidRPr="00DF0262" w:rsidDel="00692096">
              <w:rPr>
                <w:b w:val="0"/>
              </w:rPr>
              <w:t>Pilatus PC-12</w:t>
            </w:r>
          </w:p>
        </w:tc>
        <w:tc>
          <w:tcPr>
            <w:tcW w:w="694" w:type="dxa"/>
          </w:tcPr>
          <w:p w14:paraId="29DE1201" w14:textId="77777777" w:rsidR="00C7511A" w:rsidRPr="00DF0262" w:rsidRDefault="00C7511A" w:rsidP="00D31805">
            <w:pPr>
              <w:pStyle w:val="TableText"/>
              <w:cnfStyle w:val="000000100000" w:firstRow="0" w:lastRow="0" w:firstColumn="0" w:lastColumn="0" w:oddVBand="0" w:evenVBand="0" w:oddHBand="1" w:evenHBand="0" w:firstRowFirstColumn="0" w:firstRowLastColumn="0" w:lastRowFirstColumn="0" w:lastRowLastColumn="0"/>
            </w:pPr>
            <w:r w:rsidRPr="00DF0262" w:rsidDel="00692096">
              <w:t>pkm</w:t>
            </w:r>
          </w:p>
        </w:tc>
        <w:tc>
          <w:tcPr>
            <w:tcW w:w="1560" w:type="dxa"/>
            <w:shd w:val="clear" w:color="auto" w:fill="D2DDE1" w:themeFill="background2"/>
          </w:tcPr>
          <w:p w14:paraId="47658A47" w14:textId="77777777" w:rsidR="00C7511A" w:rsidRPr="00820AC3"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820AC3" w:rsidDel="00692096">
              <w:t>0.</w:t>
            </w:r>
            <w:r w:rsidRPr="00820AC3">
              <w:t>357</w:t>
            </w:r>
          </w:p>
        </w:tc>
        <w:tc>
          <w:tcPr>
            <w:tcW w:w="1388" w:type="dxa"/>
          </w:tcPr>
          <w:p w14:paraId="1D769E70" w14:textId="77777777" w:rsidR="00C7511A" w:rsidRPr="00DF0262"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DF0262" w:rsidDel="00692096">
              <w:t>0.</w:t>
            </w:r>
            <w:r>
              <w:t>346</w:t>
            </w:r>
          </w:p>
        </w:tc>
        <w:tc>
          <w:tcPr>
            <w:tcW w:w="1388" w:type="dxa"/>
          </w:tcPr>
          <w:p w14:paraId="6AA8DD97" w14:textId="77777777" w:rsidR="00C7511A" w:rsidRPr="00DF0262"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DF0262" w:rsidDel="00692096">
              <w:t>0.00</w:t>
            </w:r>
            <w:r>
              <w:t>4</w:t>
            </w:r>
          </w:p>
        </w:tc>
        <w:tc>
          <w:tcPr>
            <w:tcW w:w="1457" w:type="dxa"/>
            <w:tcBorders>
              <w:right w:val="nil"/>
            </w:tcBorders>
          </w:tcPr>
          <w:p w14:paraId="6B49DED1" w14:textId="77777777" w:rsidR="00C7511A" w:rsidRPr="00DF0262"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DF0262" w:rsidDel="00692096">
              <w:t>0.0</w:t>
            </w:r>
            <w:r>
              <w:t>10</w:t>
            </w:r>
          </w:p>
        </w:tc>
      </w:tr>
      <w:tr w:rsidR="00C7511A" w:rsidRPr="00B34BB5" w14:paraId="3C1088CB" w14:textId="77777777" w:rsidTr="00820AC3">
        <w:trPr>
          <w:trHeight w:val="362"/>
        </w:trPr>
        <w:tc>
          <w:tcPr>
            <w:cnfStyle w:val="001000000000" w:firstRow="0" w:lastRow="0" w:firstColumn="1" w:lastColumn="0" w:oddVBand="0" w:evenVBand="0" w:oddHBand="0" w:evenHBand="0" w:firstRowFirstColumn="0" w:firstRowLastColumn="0" w:lastRowFirstColumn="0" w:lastRowLastColumn="0"/>
            <w:tcW w:w="2603" w:type="dxa"/>
            <w:tcBorders>
              <w:left w:val="nil"/>
            </w:tcBorders>
          </w:tcPr>
          <w:p w14:paraId="73995A0D" w14:textId="77777777" w:rsidR="00C7511A" w:rsidRPr="00DF0262" w:rsidRDefault="00C7511A" w:rsidP="00D31805">
            <w:pPr>
              <w:pStyle w:val="TableText"/>
              <w:rPr>
                <w:b w:val="0"/>
              </w:rPr>
            </w:pPr>
            <w:r w:rsidRPr="00DF0262" w:rsidDel="00692096">
              <w:rPr>
                <w:b w:val="0"/>
              </w:rPr>
              <w:t>Saab SF-340</w:t>
            </w:r>
          </w:p>
        </w:tc>
        <w:tc>
          <w:tcPr>
            <w:tcW w:w="694" w:type="dxa"/>
          </w:tcPr>
          <w:p w14:paraId="5D20877A" w14:textId="77777777" w:rsidR="00C7511A" w:rsidRPr="00DF0262" w:rsidRDefault="00C7511A" w:rsidP="00D31805">
            <w:pPr>
              <w:pStyle w:val="TableText"/>
              <w:cnfStyle w:val="000000000000" w:firstRow="0" w:lastRow="0" w:firstColumn="0" w:lastColumn="0" w:oddVBand="0" w:evenVBand="0" w:oddHBand="0" w:evenHBand="0" w:firstRowFirstColumn="0" w:firstRowLastColumn="0" w:lastRowFirstColumn="0" w:lastRowLastColumn="0"/>
            </w:pPr>
            <w:r w:rsidRPr="00DF0262" w:rsidDel="00692096">
              <w:t>pkm</w:t>
            </w:r>
          </w:p>
        </w:tc>
        <w:tc>
          <w:tcPr>
            <w:tcW w:w="1560" w:type="dxa"/>
            <w:shd w:val="clear" w:color="auto" w:fill="D2DDE1" w:themeFill="background2"/>
          </w:tcPr>
          <w:p w14:paraId="43FA3CBF" w14:textId="77777777" w:rsidR="00C7511A" w:rsidRPr="00820AC3" w:rsidRDefault="00C7511A" w:rsidP="00D31805">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820AC3" w:rsidDel="00692096">
              <w:t>0.</w:t>
            </w:r>
            <w:r w:rsidRPr="00820AC3">
              <w:t>184</w:t>
            </w:r>
          </w:p>
        </w:tc>
        <w:tc>
          <w:tcPr>
            <w:tcW w:w="1388" w:type="dxa"/>
          </w:tcPr>
          <w:p w14:paraId="71F934AA" w14:textId="77777777" w:rsidR="00C7511A" w:rsidRPr="00DF0262" w:rsidRDefault="00C7511A" w:rsidP="00D3180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DF0262" w:rsidDel="00692096">
              <w:t>0.</w:t>
            </w:r>
            <w:r>
              <w:t>179</w:t>
            </w:r>
          </w:p>
        </w:tc>
        <w:tc>
          <w:tcPr>
            <w:tcW w:w="1388" w:type="dxa"/>
          </w:tcPr>
          <w:p w14:paraId="00665054" w14:textId="77777777" w:rsidR="00C7511A" w:rsidRPr="00DF0262" w:rsidRDefault="00C7511A" w:rsidP="00D3180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DF0262" w:rsidDel="00692096">
              <w:t>0.00</w:t>
            </w:r>
            <w:r>
              <w:t>2</w:t>
            </w:r>
          </w:p>
        </w:tc>
        <w:tc>
          <w:tcPr>
            <w:tcW w:w="1457" w:type="dxa"/>
            <w:tcBorders>
              <w:right w:val="nil"/>
            </w:tcBorders>
          </w:tcPr>
          <w:p w14:paraId="70244FA6" w14:textId="77777777" w:rsidR="00C7511A" w:rsidRPr="00DF0262" w:rsidRDefault="00C7511A" w:rsidP="00D3180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DF0262" w:rsidDel="00692096">
              <w:t>0.00</w:t>
            </w:r>
            <w:r>
              <w:t>4</w:t>
            </w:r>
          </w:p>
        </w:tc>
      </w:tr>
      <w:tr w:rsidR="00C7511A" w:rsidRPr="00B34BB5" w14:paraId="59A2CAAB" w14:textId="77777777" w:rsidTr="00820AC3">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603" w:type="dxa"/>
            <w:tcBorders>
              <w:left w:val="nil"/>
            </w:tcBorders>
          </w:tcPr>
          <w:p w14:paraId="615CB4C7" w14:textId="77777777" w:rsidR="00C7511A" w:rsidRPr="00DF0262" w:rsidRDefault="00C7511A" w:rsidP="00D31805">
            <w:pPr>
              <w:pStyle w:val="TableText"/>
              <w:rPr>
                <w:b w:val="0"/>
              </w:rPr>
            </w:pPr>
            <w:r w:rsidRPr="00DF0262" w:rsidDel="00692096">
              <w:rPr>
                <w:b w:val="0"/>
              </w:rPr>
              <w:t>FOKKER F50</w:t>
            </w:r>
          </w:p>
        </w:tc>
        <w:tc>
          <w:tcPr>
            <w:tcW w:w="694" w:type="dxa"/>
          </w:tcPr>
          <w:p w14:paraId="3C9018C0" w14:textId="77777777" w:rsidR="00C7511A" w:rsidRPr="00DF0262" w:rsidRDefault="00C7511A" w:rsidP="00D31805">
            <w:pPr>
              <w:pStyle w:val="TableText"/>
              <w:cnfStyle w:val="000000100000" w:firstRow="0" w:lastRow="0" w:firstColumn="0" w:lastColumn="0" w:oddVBand="0" w:evenVBand="0" w:oddHBand="1" w:evenHBand="0" w:firstRowFirstColumn="0" w:firstRowLastColumn="0" w:lastRowFirstColumn="0" w:lastRowLastColumn="0"/>
            </w:pPr>
            <w:r w:rsidRPr="00DF0262" w:rsidDel="00692096">
              <w:t>pkm</w:t>
            </w:r>
          </w:p>
        </w:tc>
        <w:tc>
          <w:tcPr>
            <w:tcW w:w="1560" w:type="dxa"/>
            <w:shd w:val="clear" w:color="auto" w:fill="D2DDE1" w:themeFill="background2"/>
          </w:tcPr>
          <w:p w14:paraId="7F124B26" w14:textId="77777777" w:rsidR="00C7511A" w:rsidRPr="00820AC3"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820AC3" w:rsidDel="00692096">
              <w:t>0.</w:t>
            </w:r>
            <w:r w:rsidRPr="00820AC3">
              <w:t>173</w:t>
            </w:r>
          </w:p>
        </w:tc>
        <w:tc>
          <w:tcPr>
            <w:tcW w:w="1388" w:type="dxa"/>
          </w:tcPr>
          <w:p w14:paraId="7BD9E2FE" w14:textId="77777777" w:rsidR="00C7511A" w:rsidRPr="00DF0262"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DF0262" w:rsidDel="00692096">
              <w:t>0.</w:t>
            </w:r>
            <w:r>
              <w:t>167</w:t>
            </w:r>
          </w:p>
        </w:tc>
        <w:tc>
          <w:tcPr>
            <w:tcW w:w="1388" w:type="dxa"/>
          </w:tcPr>
          <w:p w14:paraId="70E62394" w14:textId="77777777" w:rsidR="00C7511A" w:rsidRPr="00DF0262"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DF0262" w:rsidDel="00692096">
              <w:t>0.00</w:t>
            </w:r>
            <w:r>
              <w:t>2</w:t>
            </w:r>
          </w:p>
        </w:tc>
        <w:tc>
          <w:tcPr>
            <w:tcW w:w="1457" w:type="dxa"/>
            <w:tcBorders>
              <w:right w:val="nil"/>
            </w:tcBorders>
          </w:tcPr>
          <w:p w14:paraId="47EFE7F7" w14:textId="77777777" w:rsidR="00C7511A" w:rsidRPr="00DF0262" w:rsidRDefault="00C7511A" w:rsidP="00D3180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DF0262" w:rsidDel="00692096">
              <w:t>0.00</w:t>
            </w:r>
            <w:r>
              <w:t>4</w:t>
            </w:r>
          </w:p>
        </w:tc>
      </w:tr>
    </w:tbl>
    <w:p w14:paraId="7E308090" w14:textId="1F3CCD80" w:rsidR="00C7511A" w:rsidRDefault="00C7511A" w:rsidP="00EB4389">
      <w:pPr>
        <w:pStyle w:val="Note"/>
      </w:pPr>
      <w:r w:rsidRPr="00B34BB5">
        <w:t>Note: These numbers are rounded to three decimal places</w:t>
      </w:r>
      <w:r>
        <w:t xml:space="preserve"> u</w:t>
      </w:r>
      <w:r w:rsidRPr="00B34BB5">
        <w:t xml:space="preserve">nless the number is significantly small. </w:t>
      </w:r>
      <w:r>
        <w:t>*Average calculated using data from 2016 and 2020.</w:t>
      </w:r>
    </w:p>
    <w:p w14:paraId="6509227E" w14:textId="77777777" w:rsidR="0054105F" w:rsidRPr="00B275E2" w:rsidRDefault="500DFA64" w:rsidP="006B7605">
      <w:pPr>
        <w:pStyle w:val="Heading3"/>
      </w:pPr>
      <w:bookmarkStart w:id="432" w:name="_Toc532904907"/>
      <w:r>
        <w:t>Assumptions, limitations and uncertainties</w:t>
      </w:r>
      <w:bookmarkEnd w:id="432"/>
    </w:p>
    <w:p w14:paraId="4D8C8360" w14:textId="26D78513" w:rsidR="002F25F0" w:rsidRPr="00B275E2" w:rsidRDefault="00E135B6" w:rsidP="007F0B1E">
      <w:pPr>
        <w:pStyle w:val="BodyText"/>
      </w:pPr>
      <w:r w:rsidRPr="00B275E2">
        <w:t>We assume t</w:t>
      </w:r>
      <w:r w:rsidR="003D3007" w:rsidRPr="00B275E2">
        <w:t>he fuel for domestic flights is kerosene</w:t>
      </w:r>
      <w:r w:rsidR="00E05938" w:rsidRPr="00B275E2">
        <w:t xml:space="preserve"> </w:t>
      </w:r>
      <w:r w:rsidR="00C02E9D" w:rsidRPr="00B275E2">
        <w:t>(aviation fuel)</w:t>
      </w:r>
      <w:r w:rsidRPr="00B275E2">
        <w:t xml:space="preserve"> and </w:t>
      </w:r>
      <w:r w:rsidR="009544A1" w:rsidRPr="00B275E2">
        <w:t xml:space="preserve">all the </w:t>
      </w:r>
      <w:r w:rsidR="00E05938" w:rsidRPr="00B275E2">
        <w:t>k</w:t>
      </w:r>
      <w:r w:rsidR="009544A1" w:rsidRPr="00B275E2">
        <w:t xml:space="preserve">erosene is combusted. </w:t>
      </w:r>
      <w:r w:rsidRPr="00B275E2">
        <w:t xml:space="preserve">The </w:t>
      </w:r>
      <w:r w:rsidR="001340B9" w:rsidRPr="00B275E2">
        <w:t xml:space="preserve">domestic </w:t>
      </w:r>
      <w:r w:rsidRPr="00B275E2">
        <w:t xml:space="preserve">emission factors </w:t>
      </w:r>
      <w:r w:rsidR="001340B9" w:rsidRPr="00B275E2">
        <w:t>are based on fu</w:t>
      </w:r>
      <w:r w:rsidR="0039734E" w:rsidRPr="00B275E2">
        <w:t>e</w:t>
      </w:r>
      <w:r w:rsidR="001340B9" w:rsidRPr="00B275E2">
        <w:t xml:space="preserve">l delivery data. </w:t>
      </w:r>
      <w:r w:rsidR="00F11FFB" w:rsidRPr="00B275E2">
        <w:t>Therefore, i</w:t>
      </w:r>
      <w:r w:rsidR="001340B9" w:rsidRPr="00B275E2">
        <w:t>t is not</w:t>
      </w:r>
      <w:r w:rsidR="00A33A55" w:rsidRPr="00B275E2">
        <w:t> </w:t>
      </w:r>
      <w:r w:rsidR="001340B9" w:rsidRPr="00B275E2">
        <w:t>necessary to apply a</w:t>
      </w:r>
      <w:r w:rsidR="00E22417" w:rsidRPr="00B275E2">
        <w:t xml:space="preserve"> distance</w:t>
      </w:r>
      <w:r w:rsidR="001340B9" w:rsidRPr="00B275E2">
        <w:t xml:space="preserve"> uplift factor to account for delays/circling and non-direct routes (ie, not along the straight-line/great-circle between destinations). However, this should</w:t>
      </w:r>
      <w:r w:rsidR="00BE4072" w:rsidRPr="00B275E2">
        <w:t xml:space="preserve"> </w:t>
      </w:r>
      <w:r w:rsidR="001340B9" w:rsidRPr="00B275E2">
        <w:t>be considered for international air travel.</w:t>
      </w:r>
      <w:r w:rsidR="00BD685C" w:rsidRPr="00B275E2">
        <w:t xml:space="preserve"> </w:t>
      </w:r>
    </w:p>
    <w:p w14:paraId="65092289" w14:textId="39E2E090" w:rsidR="00D44550" w:rsidRPr="00B275E2" w:rsidRDefault="00D44550" w:rsidP="006B7605">
      <w:pPr>
        <w:pStyle w:val="Heading3"/>
      </w:pPr>
      <w:bookmarkStart w:id="433" w:name="_Toc532904908"/>
      <w:r w:rsidRPr="00B275E2">
        <w:t>International air travel</w:t>
      </w:r>
      <w:bookmarkEnd w:id="433"/>
    </w:p>
    <w:p w14:paraId="64CFA26B" w14:textId="47F1BE40" w:rsidR="00E135B6" w:rsidRPr="00B275E2" w:rsidRDefault="00C02E9D" w:rsidP="007F0B1E">
      <w:pPr>
        <w:pStyle w:val="BodyText"/>
      </w:pPr>
      <w:r w:rsidRPr="00B275E2">
        <w:t>Organisations wishing to report their international air travel emissions based on distance travelled per passeng</w:t>
      </w:r>
      <w:r w:rsidR="00AF51E9" w:rsidRPr="00B275E2">
        <w:t xml:space="preserve">er </w:t>
      </w:r>
      <w:r w:rsidR="00140DC3">
        <w:t>could</w:t>
      </w:r>
      <w:r w:rsidR="00140DC3" w:rsidRPr="00B275E2">
        <w:t xml:space="preserve"> </w:t>
      </w:r>
      <w:r w:rsidR="00AF51E9" w:rsidRPr="00B275E2">
        <w:t>use the</w:t>
      </w:r>
      <w:r w:rsidRPr="00B275E2">
        <w:t xml:space="preserve"> International Civil Aviation </w:t>
      </w:r>
      <w:r w:rsidR="00516689" w:rsidRPr="00B275E2">
        <w:t>Organisation</w:t>
      </w:r>
      <w:r w:rsidRPr="00B275E2">
        <w:t xml:space="preserve"> (ICAO) calculator</w:t>
      </w:r>
      <w:r w:rsidR="00AB78C1" w:rsidRPr="00B275E2">
        <w:t>.</w:t>
      </w:r>
      <w:r w:rsidR="00E05938" w:rsidRPr="00B275E2">
        <w:rPr>
          <w:rStyle w:val="FootnoteReference"/>
        </w:rPr>
        <w:footnoteReference w:id="43"/>
      </w:r>
      <w:r w:rsidRPr="00B275E2">
        <w:t xml:space="preserve"> </w:t>
      </w:r>
      <w:r w:rsidR="00F20C7A" w:rsidRPr="00B275E2">
        <w:t>This calculator considers aircraft types and load factors for specific airline routes</w:t>
      </w:r>
      <w:r w:rsidR="00A33A55" w:rsidRPr="00B275E2">
        <w:t> </w:t>
      </w:r>
      <w:r w:rsidR="00F20C7A" w:rsidRPr="00B275E2">
        <w:t>but does no</w:t>
      </w:r>
      <w:r w:rsidR="00EB6BEE" w:rsidRPr="00B275E2">
        <w:t>t</w:t>
      </w:r>
      <w:r w:rsidR="00F20C7A" w:rsidRPr="00B275E2">
        <w:t xml:space="preserve"> apply the radiative forcing multiplier</w:t>
      </w:r>
      <w:r w:rsidR="000A4E28" w:rsidRPr="00B275E2">
        <w:t xml:space="preserve"> (</w:t>
      </w:r>
      <w:r w:rsidR="007F6E98" w:rsidRPr="00B275E2">
        <w:t>accounting for</w:t>
      </w:r>
      <w:r w:rsidR="000A4E28" w:rsidRPr="00B275E2">
        <w:t xml:space="preserve"> the wider climate effect of </w:t>
      </w:r>
      <w:r w:rsidR="000A4E28" w:rsidRPr="00B275E2">
        <w:rPr>
          <w:spacing w:val="-2"/>
        </w:rPr>
        <w:t>emissions arising from aircraft transport at altitude)</w:t>
      </w:r>
      <w:r w:rsidR="009E2E77" w:rsidRPr="00B275E2">
        <w:t xml:space="preserve"> or </w:t>
      </w:r>
      <w:r w:rsidR="00E22417" w:rsidRPr="00B275E2">
        <w:t xml:space="preserve">distance </w:t>
      </w:r>
      <w:r w:rsidR="009E2E77" w:rsidRPr="00B275E2">
        <w:t>uplift factor to account</w:t>
      </w:r>
      <w:r w:rsidR="00AB78C1" w:rsidRPr="00B275E2">
        <w:t> </w:t>
      </w:r>
      <w:r w:rsidR="009E2E77" w:rsidRPr="00B275E2">
        <w:t>for delays/circling and non-direct routes (ie, not along the straight-line/great-circle between destinations)</w:t>
      </w:r>
      <w:r w:rsidR="00F20C7A" w:rsidRPr="00B275E2">
        <w:t xml:space="preserve">. </w:t>
      </w:r>
      <w:r w:rsidR="00666FC8">
        <w:t>If using the</w:t>
      </w:r>
      <w:r w:rsidR="00666FC8" w:rsidRPr="00B34BB5">
        <w:t xml:space="preserve"> </w:t>
      </w:r>
      <w:hyperlink r:id="rId82">
        <w:r w:rsidR="00666FC8" w:rsidRPr="7DF65DEF">
          <w:rPr>
            <w:rStyle w:val="Hyperlink"/>
          </w:rPr>
          <w:t>ICAO calculator</w:t>
        </w:r>
      </w:hyperlink>
      <w:r w:rsidR="00666FC8">
        <w:t xml:space="preserve"> to </w:t>
      </w:r>
      <w:r w:rsidR="00666FC8" w:rsidRPr="00B34BB5">
        <w:t>calculate emissions for international air travel</w:t>
      </w:r>
      <w:r w:rsidR="00666FC8">
        <w:t>, m</w:t>
      </w:r>
      <w:r w:rsidR="00666FC8" w:rsidRPr="00B34BB5">
        <w:t xml:space="preserve">ultiply the output by </w:t>
      </w:r>
      <w:r w:rsidR="00666FC8">
        <w:t>8 per cent</w:t>
      </w:r>
      <w:r w:rsidR="00666FC8" w:rsidRPr="00B34BB5">
        <w:t xml:space="preserve"> to account for the distance uplift factor (see </w:t>
      </w:r>
      <w:hyperlink w:anchor="_Assumptions,_limitations_and">
        <w:r w:rsidR="00666FC8" w:rsidRPr="7DF65DEF">
          <w:rPr>
            <w:rStyle w:val="Hyperlink"/>
          </w:rPr>
          <w:t>section 7.5.8</w:t>
        </w:r>
      </w:hyperlink>
      <w:r w:rsidR="00666FC8">
        <w:t>), and a radiative forcing multiplier of 1.9.</w:t>
      </w:r>
    </w:p>
    <w:p w14:paraId="5C97F606" w14:textId="04533FE0" w:rsidR="007103C0" w:rsidRPr="00B275E2" w:rsidRDefault="00C02E9D" w:rsidP="007F0B1E">
      <w:pPr>
        <w:pStyle w:val="BodyText"/>
      </w:pPr>
      <w:r w:rsidRPr="00B275E2">
        <w:t xml:space="preserve">If </w:t>
      </w:r>
      <w:r w:rsidR="00560990" w:rsidRPr="00B275E2">
        <w:t xml:space="preserve">you </w:t>
      </w:r>
      <w:r w:rsidR="00E05938" w:rsidRPr="00B275E2">
        <w:t xml:space="preserve">prefer </w:t>
      </w:r>
      <w:r w:rsidRPr="00B275E2">
        <w:t>not to use the ICAO calculator</w:t>
      </w:r>
      <w:r w:rsidR="00E05938" w:rsidRPr="00B275E2">
        <w:t>,</w:t>
      </w:r>
      <w:r w:rsidRPr="00B275E2">
        <w:t xml:space="preserve"> we recommend the emission factors provided in</w:t>
      </w:r>
      <w:r w:rsidR="0086289F" w:rsidRPr="00B275E2">
        <w:t xml:space="preserve"> </w:t>
      </w:r>
      <w:r w:rsidR="00A33A55" w:rsidRPr="00B275E2">
        <w:t xml:space="preserve">table </w:t>
      </w:r>
      <w:r w:rsidR="00255370">
        <w:t>48</w:t>
      </w:r>
      <w:r w:rsidR="00A33A55" w:rsidRPr="00B275E2">
        <w:t xml:space="preserve"> and table </w:t>
      </w:r>
      <w:r w:rsidR="00E11716">
        <w:t>49</w:t>
      </w:r>
      <w:r w:rsidR="00206E30" w:rsidRPr="00B275E2">
        <w:t xml:space="preserve">. </w:t>
      </w:r>
      <w:r w:rsidRPr="00B275E2">
        <w:t>The</w:t>
      </w:r>
      <w:r w:rsidR="009E2E77" w:rsidRPr="00B275E2">
        <w:t>se</w:t>
      </w:r>
      <w:r w:rsidRPr="00B275E2">
        <w:t xml:space="preserve"> emission factors follow those published online by </w:t>
      </w:r>
      <w:hyperlink r:id="rId83" w:history="1">
        <w:r w:rsidR="007103C0" w:rsidRPr="00B275E2">
          <w:rPr>
            <w:rStyle w:val="Hyperlink"/>
          </w:rPr>
          <w:t>UK BIES conversion factors</w:t>
        </w:r>
      </w:hyperlink>
      <w:r w:rsidR="00E22417" w:rsidRPr="00B275E2">
        <w:t xml:space="preserve"> and include</w:t>
      </w:r>
      <w:r w:rsidRPr="00B275E2">
        <w:t xml:space="preserve"> </w:t>
      </w:r>
      <w:r w:rsidR="00E22417" w:rsidRPr="00B275E2">
        <w:t>a distance uplift of 8</w:t>
      </w:r>
      <w:r w:rsidR="00B22FE9" w:rsidRPr="00B275E2">
        <w:t xml:space="preserve"> per cent</w:t>
      </w:r>
      <w:r w:rsidR="00666FC8">
        <w:t>, and a radiative forcing multiplier of 1.9</w:t>
      </w:r>
      <w:r w:rsidR="00B22FE9" w:rsidRPr="00B275E2">
        <w:t>.</w:t>
      </w:r>
    </w:p>
    <w:p w14:paraId="6509228B" w14:textId="7E318C7B" w:rsidR="003462B4" w:rsidRPr="00B275E2" w:rsidRDefault="00EB4389" w:rsidP="00AB78C1">
      <w:pPr>
        <w:pStyle w:val="Tableheading"/>
      </w:pPr>
      <w:bookmarkStart w:id="434" w:name="_Ref529907849"/>
      <w:bookmarkStart w:id="435" w:name="_Toc111536653"/>
      <w:r w:rsidRPr="00B275E2">
        <w:t xml:space="preserve">Table </w:t>
      </w:r>
      <w:r w:rsidRPr="00B275E2">
        <w:fldChar w:fldCharType="begin"/>
      </w:r>
      <w:r w:rsidRPr="00B275E2">
        <w:instrText>SEQ Table \* ARABIC</w:instrText>
      </w:r>
      <w:r w:rsidRPr="00B275E2">
        <w:fldChar w:fldCharType="separate"/>
      </w:r>
      <w:r>
        <w:rPr>
          <w:noProof/>
        </w:rPr>
        <w:t>48</w:t>
      </w:r>
      <w:r w:rsidRPr="00B275E2">
        <w:fldChar w:fldCharType="end"/>
      </w:r>
      <w:r w:rsidRPr="00B275E2">
        <w:t>:</w:t>
      </w:r>
      <w:r w:rsidRPr="00B275E2">
        <w:tab/>
      </w:r>
      <w:r w:rsidR="003462B4" w:rsidRPr="00B275E2">
        <w:t>Emission factors for international air travel</w:t>
      </w:r>
      <w:bookmarkEnd w:id="434"/>
      <w:r w:rsidR="00762CE1" w:rsidRPr="00B275E2">
        <w:t xml:space="preserve"> </w:t>
      </w:r>
      <w:r w:rsidR="00666FC8">
        <w:t>with radiative forcing multiplier</w:t>
      </w:r>
      <w:bookmarkEnd w:id="435"/>
    </w:p>
    <w:tbl>
      <w:tblPr>
        <w:tblStyle w:val="LightList-Accent11"/>
        <w:tblW w:w="8562" w:type="dxa"/>
        <w:tblBorders>
          <w:top w:val="single" w:sz="4" w:space="0" w:color="1B556B"/>
          <w:bottom w:val="single" w:sz="4" w:space="0" w:color="1B556B"/>
          <w:insideH w:val="single" w:sz="4" w:space="0" w:color="1B556B"/>
          <w:insideV w:val="single" w:sz="4" w:space="0" w:color="1B556B"/>
        </w:tblBorders>
        <w:tblLayout w:type="fixed"/>
        <w:tblLook w:val="04A0" w:firstRow="1" w:lastRow="0" w:firstColumn="1" w:lastColumn="0" w:noHBand="0" w:noVBand="1"/>
      </w:tblPr>
      <w:tblGrid>
        <w:gridCol w:w="1565"/>
        <w:gridCol w:w="1706"/>
        <w:gridCol w:w="629"/>
        <w:gridCol w:w="1251"/>
        <w:gridCol w:w="1137"/>
        <w:gridCol w:w="1137"/>
        <w:gridCol w:w="1137"/>
      </w:tblGrid>
      <w:tr w:rsidR="00327CB5" w:rsidRPr="00B275E2" w14:paraId="37AA0620" w14:textId="77777777" w:rsidTr="00300EC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65" w:type="dxa"/>
            <w:vAlign w:val="bottom"/>
          </w:tcPr>
          <w:p w14:paraId="6BBC7D61" w14:textId="77777777" w:rsidR="00327CB5" w:rsidRPr="00B275E2" w:rsidRDefault="00327CB5" w:rsidP="007F0B1E">
            <w:pPr>
              <w:pStyle w:val="TableText"/>
              <w:rPr>
                <w:b w:val="0"/>
                <w:bCs w:val="0"/>
              </w:rPr>
            </w:pPr>
            <w:r w:rsidRPr="00B275E2">
              <w:t>Emission source</w:t>
            </w:r>
          </w:p>
        </w:tc>
        <w:tc>
          <w:tcPr>
            <w:tcW w:w="1706" w:type="dxa"/>
            <w:vAlign w:val="bottom"/>
          </w:tcPr>
          <w:p w14:paraId="471B21F0" w14:textId="5A920FB3" w:rsidR="00327CB5" w:rsidRPr="00B275E2" w:rsidRDefault="00327CB5" w:rsidP="007F0B1E">
            <w:pPr>
              <w:pStyle w:val="TableText"/>
              <w:cnfStyle w:val="100000000000" w:firstRow="1" w:lastRow="0" w:firstColumn="0" w:lastColumn="0" w:oddVBand="0" w:evenVBand="0" w:oddHBand="0" w:evenHBand="0" w:firstRowFirstColumn="0" w:firstRowLastColumn="0" w:lastRowFirstColumn="0" w:lastRowLastColumn="0"/>
            </w:pPr>
            <w:r w:rsidRPr="00B275E2">
              <w:t>Travel class</w:t>
            </w:r>
          </w:p>
        </w:tc>
        <w:tc>
          <w:tcPr>
            <w:tcW w:w="629" w:type="dxa"/>
            <w:vAlign w:val="bottom"/>
          </w:tcPr>
          <w:p w14:paraId="76F1C1A9" w14:textId="1D7DC659" w:rsidR="00327CB5" w:rsidRPr="00B275E2" w:rsidRDefault="00327CB5" w:rsidP="007F0B1E">
            <w:pPr>
              <w:pStyle w:val="TableText"/>
              <w:cnfStyle w:val="100000000000" w:firstRow="1" w:lastRow="0" w:firstColumn="0" w:lastColumn="0" w:oddVBand="0" w:evenVBand="0" w:oddHBand="0" w:evenHBand="0" w:firstRowFirstColumn="0" w:firstRowLastColumn="0" w:lastRowFirstColumn="0" w:lastRowLastColumn="0"/>
            </w:pPr>
            <w:r w:rsidRPr="00B275E2">
              <w:t>Unit</w:t>
            </w:r>
          </w:p>
        </w:tc>
        <w:tc>
          <w:tcPr>
            <w:tcW w:w="1251" w:type="dxa"/>
            <w:shd w:val="clear" w:color="auto" w:fill="D2DDE1" w:themeFill="background2"/>
            <w:vAlign w:val="bottom"/>
          </w:tcPr>
          <w:p w14:paraId="339F698E" w14:textId="7459DA6A" w:rsidR="00327CB5" w:rsidRPr="00B275E2" w:rsidRDefault="00327CB5" w:rsidP="007F0B1E">
            <w:pPr>
              <w:pStyle w:val="TableText"/>
              <w:jc w:val="right"/>
              <w:cnfStyle w:val="100000000000" w:firstRow="1" w:lastRow="0" w:firstColumn="0" w:lastColumn="0" w:oddVBand="0" w:evenVBand="0" w:oddHBand="0" w:evenHBand="0" w:firstRowFirstColumn="0" w:firstRowLastColumn="0" w:lastRowFirstColumn="0" w:lastRowLastColumn="0"/>
              <w:rPr>
                <w:color w:val="auto"/>
              </w:rPr>
            </w:pPr>
            <w:r w:rsidRPr="00B275E2">
              <w:rPr>
                <w:color w:val="auto"/>
              </w:rPr>
              <w:t>kg CO</w:t>
            </w:r>
            <w:r w:rsidRPr="00B275E2">
              <w:rPr>
                <w:color w:val="auto"/>
                <w:vertAlign w:val="subscript"/>
              </w:rPr>
              <w:t>2</w:t>
            </w:r>
            <w:r w:rsidRPr="00B275E2">
              <w:rPr>
                <w:color w:val="auto"/>
              </w:rPr>
              <w:t>-e/unit</w:t>
            </w:r>
          </w:p>
        </w:tc>
        <w:tc>
          <w:tcPr>
            <w:tcW w:w="1137" w:type="dxa"/>
            <w:vAlign w:val="bottom"/>
          </w:tcPr>
          <w:p w14:paraId="05A13B7D" w14:textId="2C933D58" w:rsidR="00327CB5" w:rsidRPr="00B275E2" w:rsidRDefault="00327CB5" w:rsidP="007F0B1E">
            <w:pPr>
              <w:pStyle w:val="TableText"/>
              <w:jc w:val="right"/>
              <w:cnfStyle w:val="100000000000" w:firstRow="1" w:lastRow="0" w:firstColumn="0" w:lastColumn="0" w:oddVBand="0" w:evenVBand="0" w:oddHBand="0" w:evenHBand="0" w:firstRowFirstColumn="0" w:firstRowLastColumn="0" w:lastRowFirstColumn="0" w:lastRowLastColumn="0"/>
            </w:pPr>
            <w:r w:rsidRPr="00B275E2">
              <w:t>kg CO</w:t>
            </w:r>
            <w:r w:rsidRPr="00B275E2">
              <w:rPr>
                <w:vertAlign w:val="subscript"/>
              </w:rPr>
              <w:t>2</w:t>
            </w:r>
            <w:r w:rsidRPr="00B275E2">
              <w:t>/unit</w:t>
            </w:r>
            <w:r w:rsidR="006324CD" w:rsidRPr="00B275E2">
              <w:t xml:space="preserve"> (kg CO</w:t>
            </w:r>
            <w:r w:rsidR="006324CD" w:rsidRPr="00B275E2">
              <w:rPr>
                <w:vertAlign w:val="subscript"/>
              </w:rPr>
              <w:t>2</w:t>
            </w:r>
            <w:r w:rsidR="006324CD" w:rsidRPr="00B275E2">
              <w:noBreakHyphen/>
              <w:t xml:space="preserve">e) </w:t>
            </w:r>
          </w:p>
        </w:tc>
        <w:tc>
          <w:tcPr>
            <w:tcW w:w="1137" w:type="dxa"/>
            <w:vAlign w:val="bottom"/>
          </w:tcPr>
          <w:p w14:paraId="1573E827" w14:textId="3EEA1DB1" w:rsidR="00327CB5" w:rsidRPr="00B275E2" w:rsidRDefault="006324CD" w:rsidP="007F0B1E">
            <w:pPr>
              <w:pStyle w:val="TableText"/>
              <w:jc w:val="right"/>
              <w:cnfStyle w:val="100000000000" w:firstRow="1" w:lastRow="0" w:firstColumn="0" w:lastColumn="0" w:oddVBand="0" w:evenVBand="0" w:oddHBand="0" w:evenHBand="0" w:firstRowFirstColumn="0" w:firstRowLastColumn="0" w:lastRowFirstColumn="0" w:lastRowLastColumn="0"/>
            </w:pPr>
            <w:r w:rsidRPr="00B275E2">
              <w:t xml:space="preserve">kg </w:t>
            </w:r>
            <w:r w:rsidR="00327CB5" w:rsidRPr="00B275E2">
              <w:t>CH</w:t>
            </w:r>
            <w:r w:rsidR="00327CB5" w:rsidRPr="00B275E2">
              <w:rPr>
                <w:vertAlign w:val="subscript"/>
              </w:rPr>
              <w:t>4</w:t>
            </w:r>
            <w:r w:rsidRPr="00B275E2">
              <w:t>/unit</w:t>
            </w:r>
            <w:r w:rsidR="006E5F08" w:rsidRPr="00B275E2">
              <w:t xml:space="preserve"> (kg CO</w:t>
            </w:r>
            <w:r w:rsidR="006E5F08" w:rsidRPr="00B275E2">
              <w:rPr>
                <w:vertAlign w:val="subscript"/>
              </w:rPr>
              <w:t>2</w:t>
            </w:r>
            <w:r w:rsidR="006062E4" w:rsidRPr="00B275E2">
              <w:noBreakHyphen/>
            </w:r>
            <w:r w:rsidR="006E5F08" w:rsidRPr="00B275E2">
              <w:t>e)</w:t>
            </w:r>
          </w:p>
        </w:tc>
        <w:tc>
          <w:tcPr>
            <w:tcW w:w="1137" w:type="dxa"/>
            <w:vAlign w:val="bottom"/>
          </w:tcPr>
          <w:p w14:paraId="1A9DED6C" w14:textId="48B54ABB" w:rsidR="00327CB5" w:rsidRPr="00B275E2" w:rsidRDefault="006324CD" w:rsidP="007F0B1E">
            <w:pPr>
              <w:pStyle w:val="TableText"/>
              <w:jc w:val="right"/>
              <w:cnfStyle w:val="100000000000" w:firstRow="1" w:lastRow="0" w:firstColumn="0" w:lastColumn="0" w:oddVBand="0" w:evenVBand="0" w:oddHBand="0" w:evenHBand="0" w:firstRowFirstColumn="0" w:firstRowLastColumn="0" w:lastRowFirstColumn="0" w:lastRowLastColumn="0"/>
            </w:pPr>
            <w:r w:rsidRPr="00B275E2">
              <w:t xml:space="preserve">kg </w:t>
            </w:r>
            <w:r w:rsidR="00327CB5" w:rsidRPr="00B275E2">
              <w:t>N</w:t>
            </w:r>
            <w:r w:rsidR="00327CB5" w:rsidRPr="00B275E2">
              <w:rPr>
                <w:vertAlign w:val="subscript"/>
              </w:rPr>
              <w:t>2</w:t>
            </w:r>
            <w:r w:rsidR="00327CB5" w:rsidRPr="00B275E2">
              <w:t>O</w:t>
            </w:r>
            <w:r w:rsidRPr="00B275E2">
              <w:t>/unit</w:t>
            </w:r>
            <w:r w:rsidR="006E5F08" w:rsidRPr="00B275E2">
              <w:t xml:space="preserve"> (kg CO</w:t>
            </w:r>
            <w:r w:rsidR="006E5F08" w:rsidRPr="00B275E2">
              <w:rPr>
                <w:vertAlign w:val="subscript"/>
              </w:rPr>
              <w:t>2</w:t>
            </w:r>
            <w:r w:rsidR="006E5F08" w:rsidRPr="00B275E2">
              <w:t>-e)</w:t>
            </w:r>
            <w:r w:rsidRPr="00B275E2">
              <w:t xml:space="preserve"> </w:t>
            </w:r>
          </w:p>
        </w:tc>
      </w:tr>
      <w:tr w:rsidR="00300ECC" w:rsidRPr="00B275E2" w14:paraId="4EA78CC6" w14:textId="77777777" w:rsidTr="00C22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5" w:type="dxa"/>
            <w:vMerge w:val="restart"/>
            <w:tcBorders>
              <w:left w:val="single" w:sz="4" w:space="0" w:color="FFFFFF" w:themeColor="background1"/>
            </w:tcBorders>
          </w:tcPr>
          <w:p w14:paraId="77CA9941" w14:textId="05597FDA" w:rsidR="00300ECC" w:rsidRPr="00B275E2" w:rsidRDefault="00300ECC" w:rsidP="00300ECC">
            <w:pPr>
              <w:pStyle w:val="TableText"/>
              <w:rPr>
                <w:b w:val="0"/>
              </w:rPr>
            </w:pPr>
            <w:r w:rsidRPr="00B275E2">
              <w:rPr>
                <w:rFonts w:eastAsia="Times New Roman" w:cs="Calibri"/>
                <w:b w:val="0"/>
                <w:color w:val="000000"/>
              </w:rPr>
              <w:t>Short haul (&lt;3700 km)</w:t>
            </w:r>
          </w:p>
        </w:tc>
        <w:tc>
          <w:tcPr>
            <w:tcW w:w="1706" w:type="dxa"/>
          </w:tcPr>
          <w:p w14:paraId="32663F8F" w14:textId="61C441F8" w:rsidR="00300ECC" w:rsidRPr="00B275E2" w:rsidRDefault="00300ECC" w:rsidP="00300ECC">
            <w:pPr>
              <w:pStyle w:val="TableText"/>
              <w:cnfStyle w:val="000000100000" w:firstRow="0" w:lastRow="0" w:firstColumn="0" w:lastColumn="0" w:oddVBand="0" w:evenVBand="0" w:oddHBand="1" w:evenHBand="0" w:firstRowFirstColumn="0" w:firstRowLastColumn="0" w:lastRowFirstColumn="0" w:lastRowLastColumn="0"/>
            </w:pPr>
            <w:r w:rsidRPr="00B275E2">
              <w:rPr>
                <w:rFonts w:cs="Calibri"/>
                <w:color w:val="000000"/>
              </w:rPr>
              <w:t>Average passenger</w:t>
            </w:r>
          </w:p>
        </w:tc>
        <w:tc>
          <w:tcPr>
            <w:tcW w:w="629" w:type="dxa"/>
          </w:tcPr>
          <w:p w14:paraId="17A12EFD" w14:textId="26C9A4A5" w:rsidR="00300ECC" w:rsidRPr="00B275E2" w:rsidRDefault="00300ECC" w:rsidP="00300ECC">
            <w:pPr>
              <w:pStyle w:val="TableText"/>
              <w:cnfStyle w:val="000000100000" w:firstRow="0" w:lastRow="0" w:firstColumn="0" w:lastColumn="0" w:oddVBand="0" w:evenVBand="0" w:oddHBand="1" w:evenHBand="0" w:firstRowFirstColumn="0" w:firstRowLastColumn="0" w:lastRowFirstColumn="0" w:lastRowLastColumn="0"/>
            </w:pPr>
            <w:r w:rsidRPr="00B275E2">
              <w:rPr>
                <w:rFonts w:eastAsia="Times New Roman" w:cs="Calibri"/>
                <w:color w:val="000000"/>
              </w:rPr>
              <w:t>pkm</w:t>
            </w:r>
          </w:p>
        </w:tc>
        <w:tc>
          <w:tcPr>
            <w:tcW w:w="1251" w:type="dxa"/>
            <w:shd w:val="clear" w:color="auto" w:fill="D2DDE1" w:themeFill="background2"/>
          </w:tcPr>
          <w:p w14:paraId="1D9451D1" w14:textId="3F9FC197" w:rsidR="00300ECC" w:rsidRPr="00B275E2" w:rsidRDefault="00300ECC" w:rsidP="00300ECC">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Pr>
                <w:rFonts w:cs="Calibri"/>
                <w:szCs w:val="18"/>
              </w:rPr>
              <w:t>0.154</w:t>
            </w:r>
          </w:p>
        </w:tc>
        <w:tc>
          <w:tcPr>
            <w:tcW w:w="1137" w:type="dxa"/>
            <w:shd w:val="clear" w:color="auto" w:fill="auto"/>
          </w:tcPr>
          <w:p w14:paraId="5E13715A" w14:textId="1CE4DDF0" w:rsidR="00300ECC" w:rsidRPr="00B275E2" w:rsidRDefault="00300ECC" w:rsidP="00300ECC">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Pr>
                <w:rFonts w:cs="Calibri"/>
                <w:szCs w:val="18"/>
              </w:rPr>
              <w:t>0.153</w:t>
            </w:r>
          </w:p>
        </w:tc>
        <w:tc>
          <w:tcPr>
            <w:tcW w:w="1137" w:type="dxa"/>
            <w:shd w:val="clear" w:color="auto" w:fill="auto"/>
          </w:tcPr>
          <w:p w14:paraId="2AF06CE7" w14:textId="41297891" w:rsidR="00300ECC" w:rsidRPr="00B275E2" w:rsidRDefault="00300ECC" w:rsidP="00300ECC">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0.00001</w:t>
            </w:r>
          </w:p>
        </w:tc>
        <w:tc>
          <w:tcPr>
            <w:tcW w:w="1137" w:type="dxa"/>
            <w:tcBorders>
              <w:right w:val="single" w:sz="4" w:space="0" w:color="FFFFFF" w:themeColor="background1"/>
            </w:tcBorders>
            <w:shd w:val="clear" w:color="auto" w:fill="auto"/>
          </w:tcPr>
          <w:p w14:paraId="648EA046" w14:textId="79180699" w:rsidR="00300ECC" w:rsidRPr="00B275E2" w:rsidRDefault="00300ECC" w:rsidP="00300ECC">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0.001</w:t>
            </w:r>
          </w:p>
        </w:tc>
      </w:tr>
      <w:tr w:rsidR="00300ECC" w:rsidRPr="00B275E2" w14:paraId="617B6437" w14:textId="77777777" w:rsidTr="00C22686">
        <w:trPr>
          <w:trHeight w:val="383"/>
        </w:trPr>
        <w:tc>
          <w:tcPr>
            <w:cnfStyle w:val="001000000000" w:firstRow="0" w:lastRow="0" w:firstColumn="1" w:lastColumn="0" w:oddVBand="0" w:evenVBand="0" w:oddHBand="0" w:evenHBand="0" w:firstRowFirstColumn="0" w:firstRowLastColumn="0" w:lastRowFirstColumn="0" w:lastRowLastColumn="0"/>
            <w:tcW w:w="1565" w:type="dxa"/>
            <w:vMerge/>
            <w:tcBorders>
              <w:left w:val="single" w:sz="4" w:space="0" w:color="FFFFFF" w:themeColor="background1"/>
            </w:tcBorders>
          </w:tcPr>
          <w:p w14:paraId="10B9D4D1" w14:textId="77777777" w:rsidR="00300ECC" w:rsidRPr="00B275E2" w:rsidRDefault="00300ECC" w:rsidP="00300ECC">
            <w:pPr>
              <w:pStyle w:val="TableText"/>
              <w:rPr>
                <w:b w:val="0"/>
              </w:rPr>
            </w:pPr>
          </w:p>
        </w:tc>
        <w:tc>
          <w:tcPr>
            <w:tcW w:w="1706" w:type="dxa"/>
          </w:tcPr>
          <w:p w14:paraId="44260B93" w14:textId="3C374EEF" w:rsidR="00300ECC" w:rsidRPr="00B275E2" w:rsidRDefault="00300ECC" w:rsidP="00300ECC">
            <w:pPr>
              <w:pStyle w:val="TableText"/>
              <w:cnfStyle w:val="000000000000" w:firstRow="0" w:lastRow="0" w:firstColumn="0" w:lastColumn="0" w:oddVBand="0" w:evenVBand="0" w:oddHBand="0" w:evenHBand="0" w:firstRowFirstColumn="0" w:firstRowLastColumn="0" w:lastRowFirstColumn="0" w:lastRowLastColumn="0"/>
            </w:pPr>
            <w:r w:rsidRPr="00B275E2">
              <w:rPr>
                <w:rFonts w:cs="Calibri"/>
                <w:color w:val="000000"/>
              </w:rPr>
              <w:t>Economy</w:t>
            </w:r>
          </w:p>
        </w:tc>
        <w:tc>
          <w:tcPr>
            <w:tcW w:w="629" w:type="dxa"/>
          </w:tcPr>
          <w:p w14:paraId="0296E258" w14:textId="47254433" w:rsidR="00300ECC" w:rsidRPr="00B275E2" w:rsidRDefault="00300ECC" w:rsidP="00300ECC">
            <w:pPr>
              <w:pStyle w:val="TableText"/>
              <w:cnfStyle w:val="000000000000" w:firstRow="0" w:lastRow="0" w:firstColumn="0" w:lastColumn="0" w:oddVBand="0" w:evenVBand="0" w:oddHBand="0" w:evenHBand="0" w:firstRowFirstColumn="0" w:firstRowLastColumn="0" w:lastRowFirstColumn="0" w:lastRowLastColumn="0"/>
            </w:pPr>
            <w:r w:rsidRPr="00B275E2">
              <w:rPr>
                <w:rFonts w:eastAsia="Times New Roman" w:cs="Calibri"/>
                <w:color w:val="000000"/>
              </w:rPr>
              <w:t>pkm</w:t>
            </w:r>
          </w:p>
        </w:tc>
        <w:tc>
          <w:tcPr>
            <w:tcW w:w="1251" w:type="dxa"/>
            <w:shd w:val="clear" w:color="auto" w:fill="D2DDE1" w:themeFill="background2"/>
          </w:tcPr>
          <w:p w14:paraId="7175F892" w14:textId="1718A6AE" w:rsidR="00300ECC" w:rsidRPr="00B275E2" w:rsidRDefault="00300ECC" w:rsidP="00300ECC">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Pr>
                <w:rFonts w:cs="Calibri"/>
                <w:szCs w:val="18"/>
              </w:rPr>
              <w:t>0.151</w:t>
            </w:r>
          </w:p>
        </w:tc>
        <w:tc>
          <w:tcPr>
            <w:tcW w:w="1137" w:type="dxa"/>
            <w:shd w:val="clear" w:color="auto" w:fill="auto"/>
          </w:tcPr>
          <w:p w14:paraId="55CDF87E" w14:textId="683EB8F8" w:rsidR="00300ECC" w:rsidRPr="00B275E2" w:rsidRDefault="00300ECC" w:rsidP="00300ECC">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Pr>
                <w:rFonts w:cs="Calibri"/>
                <w:szCs w:val="18"/>
              </w:rPr>
              <w:t>0.150</w:t>
            </w:r>
          </w:p>
        </w:tc>
        <w:tc>
          <w:tcPr>
            <w:tcW w:w="1137" w:type="dxa"/>
            <w:shd w:val="clear" w:color="auto" w:fill="auto"/>
          </w:tcPr>
          <w:p w14:paraId="59C2E97E" w14:textId="1F7A5119" w:rsidR="00300ECC" w:rsidRPr="00B275E2" w:rsidRDefault="00300ECC" w:rsidP="00300ECC">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0.00001</w:t>
            </w:r>
          </w:p>
        </w:tc>
        <w:tc>
          <w:tcPr>
            <w:tcW w:w="1137" w:type="dxa"/>
            <w:tcBorders>
              <w:right w:val="single" w:sz="4" w:space="0" w:color="FFFFFF" w:themeColor="background1"/>
            </w:tcBorders>
            <w:shd w:val="clear" w:color="auto" w:fill="auto"/>
          </w:tcPr>
          <w:p w14:paraId="258459F2" w14:textId="3285E28E" w:rsidR="00300ECC" w:rsidRPr="00B275E2" w:rsidRDefault="00300ECC" w:rsidP="00300ECC">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0.001</w:t>
            </w:r>
          </w:p>
        </w:tc>
      </w:tr>
      <w:tr w:rsidR="00300ECC" w:rsidRPr="00B275E2" w14:paraId="3333A307" w14:textId="77777777" w:rsidTr="00C22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5" w:type="dxa"/>
            <w:vMerge/>
            <w:tcBorders>
              <w:left w:val="single" w:sz="4" w:space="0" w:color="FFFFFF" w:themeColor="background1"/>
            </w:tcBorders>
          </w:tcPr>
          <w:p w14:paraId="55C080E0" w14:textId="77777777" w:rsidR="00300ECC" w:rsidRPr="00B275E2" w:rsidRDefault="00300ECC" w:rsidP="00300ECC">
            <w:pPr>
              <w:pStyle w:val="TableText"/>
              <w:rPr>
                <w:b w:val="0"/>
              </w:rPr>
            </w:pPr>
          </w:p>
        </w:tc>
        <w:tc>
          <w:tcPr>
            <w:tcW w:w="1706" w:type="dxa"/>
          </w:tcPr>
          <w:p w14:paraId="551CE49F" w14:textId="5D6010F7" w:rsidR="00300ECC" w:rsidRPr="00B275E2" w:rsidRDefault="00300ECC" w:rsidP="00300ECC">
            <w:pPr>
              <w:pStyle w:val="TableText"/>
              <w:cnfStyle w:val="000000100000" w:firstRow="0" w:lastRow="0" w:firstColumn="0" w:lastColumn="0" w:oddVBand="0" w:evenVBand="0" w:oddHBand="1" w:evenHBand="0" w:firstRowFirstColumn="0" w:firstRowLastColumn="0" w:lastRowFirstColumn="0" w:lastRowLastColumn="0"/>
            </w:pPr>
            <w:r w:rsidRPr="00B275E2">
              <w:rPr>
                <w:rFonts w:cs="Calibri"/>
                <w:color w:val="000000"/>
              </w:rPr>
              <w:t>Business</w:t>
            </w:r>
          </w:p>
        </w:tc>
        <w:tc>
          <w:tcPr>
            <w:tcW w:w="629" w:type="dxa"/>
          </w:tcPr>
          <w:p w14:paraId="507B7A08" w14:textId="18D0C526" w:rsidR="00300ECC" w:rsidRPr="00B275E2" w:rsidRDefault="00300ECC" w:rsidP="00300ECC">
            <w:pPr>
              <w:pStyle w:val="TableText"/>
              <w:cnfStyle w:val="000000100000" w:firstRow="0" w:lastRow="0" w:firstColumn="0" w:lastColumn="0" w:oddVBand="0" w:evenVBand="0" w:oddHBand="1" w:evenHBand="0" w:firstRowFirstColumn="0" w:firstRowLastColumn="0" w:lastRowFirstColumn="0" w:lastRowLastColumn="0"/>
            </w:pPr>
            <w:r w:rsidRPr="00B275E2">
              <w:rPr>
                <w:rFonts w:eastAsia="Times New Roman" w:cs="Calibri"/>
                <w:color w:val="000000"/>
              </w:rPr>
              <w:t>pkm</w:t>
            </w:r>
          </w:p>
        </w:tc>
        <w:tc>
          <w:tcPr>
            <w:tcW w:w="1251" w:type="dxa"/>
            <w:shd w:val="clear" w:color="auto" w:fill="D2DDE1" w:themeFill="background2"/>
          </w:tcPr>
          <w:p w14:paraId="2C056FAE" w14:textId="7C679FD7" w:rsidR="00300ECC" w:rsidRPr="00B275E2" w:rsidRDefault="00300ECC" w:rsidP="00300ECC">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Pr>
                <w:rFonts w:cs="Calibri"/>
                <w:szCs w:val="18"/>
              </w:rPr>
              <w:t>0.227</w:t>
            </w:r>
          </w:p>
        </w:tc>
        <w:tc>
          <w:tcPr>
            <w:tcW w:w="1137" w:type="dxa"/>
            <w:shd w:val="clear" w:color="auto" w:fill="auto"/>
          </w:tcPr>
          <w:p w14:paraId="679A39D4" w14:textId="7DF12A53" w:rsidR="00300ECC" w:rsidRPr="00B275E2" w:rsidRDefault="00300ECC" w:rsidP="00300ECC">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Pr>
                <w:rFonts w:cs="Calibri"/>
                <w:szCs w:val="18"/>
              </w:rPr>
              <w:t>0.225</w:t>
            </w:r>
          </w:p>
        </w:tc>
        <w:tc>
          <w:tcPr>
            <w:tcW w:w="1137" w:type="dxa"/>
            <w:shd w:val="clear" w:color="auto" w:fill="auto"/>
          </w:tcPr>
          <w:p w14:paraId="22A96F21" w14:textId="643BD980" w:rsidR="00300ECC" w:rsidRPr="00B275E2" w:rsidRDefault="00300ECC" w:rsidP="00300ECC">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0.00001</w:t>
            </w:r>
          </w:p>
        </w:tc>
        <w:tc>
          <w:tcPr>
            <w:tcW w:w="1137" w:type="dxa"/>
            <w:tcBorders>
              <w:right w:val="single" w:sz="4" w:space="0" w:color="FFFFFF" w:themeColor="background1"/>
            </w:tcBorders>
            <w:shd w:val="clear" w:color="auto" w:fill="auto"/>
          </w:tcPr>
          <w:p w14:paraId="59191B28" w14:textId="67140234" w:rsidR="00300ECC" w:rsidRPr="00B275E2" w:rsidRDefault="00300ECC" w:rsidP="00300ECC">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0.001</w:t>
            </w:r>
          </w:p>
        </w:tc>
      </w:tr>
      <w:tr w:rsidR="00300ECC" w:rsidRPr="00B275E2" w14:paraId="6FFBCDA2" w14:textId="77777777" w:rsidTr="00C22686">
        <w:trPr>
          <w:trHeight w:val="281"/>
        </w:trPr>
        <w:tc>
          <w:tcPr>
            <w:cnfStyle w:val="001000000000" w:firstRow="0" w:lastRow="0" w:firstColumn="1" w:lastColumn="0" w:oddVBand="0" w:evenVBand="0" w:oddHBand="0" w:evenHBand="0" w:firstRowFirstColumn="0" w:firstRowLastColumn="0" w:lastRowFirstColumn="0" w:lastRowLastColumn="0"/>
            <w:tcW w:w="1565" w:type="dxa"/>
            <w:vMerge w:val="restart"/>
            <w:tcBorders>
              <w:left w:val="single" w:sz="4" w:space="0" w:color="FFFFFF" w:themeColor="background1"/>
            </w:tcBorders>
          </w:tcPr>
          <w:p w14:paraId="5F0200AF" w14:textId="0B0CEA80" w:rsidR="00300ECC" w:rsidRPr="00B275E2" w:rsidRDefault="00300ECC" w:rsidP="00300ECC">
            <w:pPr>
              <w:pStyle w:val="TableText"/>
              <w:rPr>
                <w:b w:val="0"/>
              </w:rPr>
            </w:pPr>
            <w:r w:rsidRPr="00B275E2">
              <w:rPr>
                <w:rFonts w:eastAsia="Times New Roman" w:cs="Calibri"/>
                <w:b w:val="0"/>
                <w:color w:val="000000"/>
              </w:rPr>
              <w:t>Long haul (&gt;3700 km)</w:t>
            </w:r>
          </w:p>
        </w:tc>
        <w:tc>
          <w:tcPr>
            <w:tcW w:w="1706" w:type="dxa"/>
          </w:tcPr>
          <w:p w14:paraId="6AE11BCE" w14:textId="5124AC19" w:rsidR="00300ECC" w:rsidRPr="00B275E2" w:rsidRDefault="00300ECC" w:rsidP="00300ECC">
            <w:pPr>
              <w:pStyle w:val="TableText"/>
              <w:cnfStyle w:val="000000000000" w:firstRow="0" w:lastRow="0" w:firstColumn="0" w:lastColumn="0" w:oddVBand="0" w:evenVBand="0" w:oddHBand="0" w:evenHBand="0" w:firstRowFirstColumn="0" w:firstRowLastColumn="0" w:lastRowFirstColumn="0" w:lastRowLastColumn="0"/>
            </w:pPr>
            <w:r w:rsidRPr="00B275E2">
              <w:rPr>
                <w:rFonts w:cs="Calibri"/>
                <w:color w:val="000000"/>
              </w:rPr>
              <w:t>Average passenger</w:t>
            </w:r>
          </w:p>
        </w:tc>
        <w:tc>
          <w:tcPr>
            <w:tcW w:w="629" w:type="dxa"/>
          </w:tcPr>
          <w:p w14:paraId="58F48CB2" w14:textId="46C65B4F" w:rsidR="00300ECC" w:rsidRPr="00B275E2" w:rsidRDefault="00300ECC" w:rsidP="00300ECC">
            <w:pPr>
              <w:pStyle w:val="TableText"/>
              <w:cnfStyle w:val="000000000000" w:firstRow="0" w:lastRow="0" w:firstColumn="0" w:lastColumn="0" w:oddVBand="0" w:evenVBand="0" w:oddHBand="0" w:evenHBand="0" w:firstRowFirstColumn="0" w:firstRowLastColumn="0" w:lastRowFirstColumn="0" w:lastRowLastColumn="0"/>
            </w:pPr>
            <w:r w:rsidRPr="00B275E2">
              <w:rPr>
                <w:rFonts w:eastAsia="Times New Roman" w:cs="Calibri"/>
                <w:color w:val="000000"/>
              </w:rPr>
              <w:t>pkm</w:t>
            </w:r>
          </w:p>
        </w:tc>
        <w:tc>
          <w:tcPr>
            <w:tcW w:w="1251" w:type="dxa"/>
            <w:shd w:val="clear" w:color="auto" w:fill="D2DDE1" w:themeFill="background2"/>
          </w:tcPr>
          <w:p w14:paraId="38C66101" w14:textId="528A210C" w:rsidR="00300ECC" w:rsidRPr="00B275E2" w:rsidRDefault="00300ECC" w:rsidP="00300ECC">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Pr>
                <w:rFonts w:cs="Calibri"/>
                <w:szCs w:val="18"/>
              </w:rPr>
              <w:t>0.193</w:t>
            </w:r>
          </w:p>
        </w:tc>
        <w:tc>
          <w:tcPr>
            <w:tcW w:w="1137" w:type="dxa"/>
            <w:shd w:val="clear" w:color="auto" w:fill="auto"/>
          </w:tcPr>
          <w:p w14:paraId="2D844320" w14:textId="06F7E961" w:rsidR="00300ECC" w:rsidRPr="00B275E2" w:rsidRDefault="00300ECC" w:rsidP="00300ECC">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Pr>
                <w:rFonts w:cs="Calibri"/>
                <w:szCs w:val="18"/>
              </w:rPr>
              <w:t>0.192</w:t>
            </w:r>
          </w:p>
        </w:tc>
        <w:tc>
          <w:tcPr>
            <w:tcW w:w="1137" w:type="dxa"/>
            <w:shd w:val="clear" w:color="auto" w:fill="auto"/>
          </w:tcPr>
          <w:p w14:paraId="460FDB58" w14:textId="37DBAA10" w:rsidR="00300ECC" w:rsidRPr="00B275E2" w:rsidRDefault="00300ECC" w:rsidP="00300ECC">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0.00001</w:t>
            </w:r>
          </w:p>
        </w:tc>
        <w:tc>
          <w:tcPr>
            <w:tcW w:w="1137" w:type="dxa"/>
            <w:tcBorders>
              <w:right w:val="single" w:sz="4" w:space="0" w:color="FFFFFF" w:themeColor="background1"/>
            </w:tcBorders>
            <w:shd w:val="clear" w:color="auto" w:fill="auto"/>
          </w:tcPr>
          <w:p w14:paraId="695EAC10" w14:textId="0117ED46" w:rsidR="00300ECC" w:rsidRPr="00B275E2" w:rsidRDefault="00300ECC" w:rsidP="00300ECC">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0.001</w:t>
            </w:r>
          </w:p>
        </w:tc>
      </w:tr>
      <w:tr w:rsidR="00300ECC" w:rsidRPr="00B275E2" w14:paraId="0500A03E" w14:textId="77777777" w:rsidTr="00C22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5" w:type="dxa"/>
            <w:vMerge/>
            <w:tcBorders>
              <w:left w:val="single" w:sz="4" w:space="0" w:color="FFFFFF" w:themeColor="background1"/>
            </w:tcBorders>
          </w:tcPr>
          <w:p w14:paraId="2A0CA84E" w14:textId="77777777" w:rsidR="00300ECC" w:rsidRPr="00B275E2" w:rsidRDefault="00300ECC" w:rsidP="00300ECC">
            <w:pPr>
              <w:pStyle w:val="TableText"/>
            </w:pPr>
          </w:p>
        </w:tc>
        <w:tc>
          <w:tcPr>
            <w:tcW w:w="1706" w:type="dxa"/>
          </w:tcPr>
          <w:p w14:paraId="42A173E7" w14:textId="50ED69DE" w:rsidR="00300ECC" w:rsidRPr="00B275E2" w:rsidRDefault="00300ECC" w:rsidP="00300ECC">
            <w:pPr>
              <w:pStyle w:val="TableText"/>
              <w:cnfStyle w:val="000000100000" w:firstRow="0" w:lastRow="0" w:firstColumn="0" w:lastColumn="0" w:oddVBand="0" w:evenVBand="0" w:oddHBand="1" w:evenHBand="0" w:firstRowFirstColumn="0" w:firstRowLastColumn="0" w:lastRowFirstColumn="0" w:lastRowLastColumn="0"/>
            </w:pPr>
            <w:r w:rsidRPr="00B275E2">
              <w:rPr>
                <w:rFonts w:cs="Calibri"/>
                <w:color w:val="000000"/>
              </w:rPr>
              <w:t>Economy</w:t>
            </w:r>
          </w:p>
        </w:tc>
        <w:tc>
          <w:tcPr>
            <w:tcW w:w="629" w:type="dxa"/>
          </w:tcPr>
          <w:p w14:paraId="46E84E44" w14:textId="030F3ADD" w:rsidR="00300ECC" w:rsidRPr="00B275E2" w:rsidRDefault="00300ECC" w:rsidP="00300ECC">
            <w:pPr>
              <w:pStyle w:val="TableText"/>
              <w:cnfStyle w:val="000000100000" w:firstRow="0" w:lastRow="0" w:firstColumn="0" w:lastColumn="0" w:oddVBand="0" w:evenVBand="0" w:oddHBand="1" w:evenHBand="0" w:firstRowFirstColumn="0" w:firstRowLastColumn="0" w:lastRowFirstColumn="0" w:lastRowLastColumn="0"/>
            </w:pPr>
            <w:r w:rsidRPr="00B275E2">
              <w:rPr>
                <w:rFonts w:eastAsia="Times New Roman" w:cs="Calibri"/>
                <w:color w:val="000000"/>
              </w:rPr>
              <w:t>pkm</w:t>
            </w:r>
          </w:p>
        </w:tc>
        <w:tc>
          <w:tcPr>
            <w:tcW w:w="1251" w:type="dxa"/>
            <w:shd w:val="clear" w:color="auto" w:fill="D2DDE1" w:themeFill="background2"/>
          </w:tcPr>
          <w:p w14:paraId="590F6F60" w14:textId="04E6B97F" w:rsidR="00300ECC" w:rsidRPr="00B275E2" w:rsidRDefault="00300ECC" w:rsidP="00300ECC">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Pr>
                <w:rFonts w:cs="Calibri"/>
                <w:szCs w:val="18"/>
              </w:rPr>
              <w:t>0.148</w:t>
            </w:r>
          </w:p>
        </w:tc>
        <w:tc>
          <w:tcPr>
            <w:tcW w:w="1137" w:type="dxa"/>
            <w:shd w:val="clear" w:color="auto" w:fill="auto"/>
          </w:tcPr>
          <w:p w14:paraId="4030AC90" w14:textId="6199CF2C" w:rsidR="00300ECC" w:rsidRPr="00B275E2" w:rsidRDefault="00300ECC" w:rsidP="00300ECC">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Pr>
                <w:rFonts w:cs="Calibri"/>
                <w:szCs w:val="18"/>
              </w:rPr>
              <w:t>0.147</w:t>
            </w:r>
          </w:p>
        </w:tc>
        <w:tc>
          <w:tcPr>
            <w:tcW w:w="1137" w:type="dxa"/>
            <w:shd w:val="clear" w:color="auto" w:fill="auto"/>
          </w:tcPr>
          <w:p w14:paraId="2658DF5D" w14:textId="4C7F9036" w:rsidR="00300ECC" w:rsidRPr="00B275E2" w:rsidRDefault="00300ECC" w:rsidP="00300ECC">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0.00001</w:t>
            </w:r>
          </w:p>
        </w:tc>
        <w:tc>
          <w:tcPr>
            <w:tcW w:w="1137" w:type="dxa"/>
            <w:tcBorders>
              <w:right w:val="single" w:sz="4" w:space="0" w:color="FFFFFF" w:themeColor="background1"/>
            </w:tcBorders>
            <w:shd w:val="clear" w:color="auto" w:fill="auto"/>
          </w:tcPr>
          <w:p w14:paraId="3A7DBE77" w14:textId="54CC40C8" w:rsidR="00300ECC" w:rsidRPr="00B275E2" w:rsidRDefault="00300ECC" w:rsidP="00300ECC">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0.001</w:t>
            </w:r>
          </w:p>
        </w:tc>
      </w:tr>
      <w:tr w:rsidR="00300ECC" w:rsidRPr="00B275E2" w14:paraId="693247E3" w14:textId="77777777" w:rsidTr="00C22686">
        <w:tc>
          <w:tcPr>
            <w:cnfStyle w:val="001000000000" w:firstRow="0" w:lastRow="0" w:firstColumn="1" w:lastColumn="0" w:oddVBand="0" w:evenVBand="0" w:oddHBand="0" w:evenHBand="0" w:firstRowFirstColumn="0" w:firstRowLastColumn="0" w:lastRowFirstColumn="0" w:lastRowLastColumn="0"/>
            <w:tcW w:w="1565" w:type="dxa"/>
            <w:vMerge/>
            <w:tcBorders>
              <w:left w:val="single" w:sz="4" w:space="0" w:color="FFFFFF" w:themeColor="background1"/>
            </w:tcBorders>
          </w:tcPr>
          <w:p w14:paraId="0410292B" w14:textId="77777777" w:rsidR="00300ECC" w:rsidRPr="00B275E2" w:rsidRDefault="00300ECC" w:rsidP="00300ECC">
            <w:pPr>
              <w:pStyle w:val="TableText"/>
            </w:pPr>
          </w:p>
        </w:tc>
        <w:tc>
          <w:tcPr>
            <w:tcW w:w="1706" w:type="dxa"/>
          </w:tcPr>
          <w:p w14:paraId="7B080466" w14:textId="6E830D8E" w:rsidR="00300ECC" w:rsidRPr="00B275E2" w:rsidRDefault="00300ECC" w:rsidP="00300ECC">
            <w:pPr>
              <w:pStyle w:val="TableText"/>
              <w:cnfStyle w:val="000000000000" w:firstRow="0" w:lastRow="0" w:firstColumn="0" w:lastColumn="0" w:oddVBand="0" w:evenVBand="0" w:oddHBand="0" w:evenHBand="0" w:firstRowFirstColumn="0" w:firstRowLastColumn="0" w:lastRowFirstColumn="0" w:lastRowLastColumn="0"/>
            </w:pPr>
            <w:r w:rsidRPr="00B275E2">
              <w:rPr>
                <w:rFonts w:cs="Calibri"/>
                <w:color w:val="000000"/>
              </w:rPr>
              <w:t>Premium economy</w:t>
            </w:r>
          </w:p>
        </w:tc>
        <w:tc>
          <w:tcPr>
            <w:tcW w:w="629" w:type="dxa"/>
          </w:tcPr>
          <w:p w14:paraId="7D9DBC94" w14:textId="326D8396" w:rsidR="00300ECC" w:rsidRPr="00B275E2" w:rsidRDefault="00300ECC" w:rsidP="00300ECC">
            <w:pPr>
              <w:pStyle w:val="TableText"/>
              <w:cnfStyle w:val="000000000000" w:firstRow="0" w:lastRow="0" w:firstColumn="0" w:lastColumn="0" w:oddVBand="0" w:evenVBand="0" w:oddHBand="0" w:evenHBand="0" w:firstRowFirstColumn="0" w:firstRowLastColumn="0" w:lastRowFirstColumn="0" w:lastRowLastColumn="0"/>
            </w:pPr>
            <w:r w:rsidRPr="00B275E2">
              <w:rPr>
                <w:rFonts w:eastAsia="Times New Roman" w:cs="Calibri"/>
                <w:color w:val="000000"/>
              </w:rPr>
              <w:t>pkm</w:t>
            </w:r>
          </w:p>
        </w:tc>
        <w:tc>
          <w:tcPr>
            <w:tcW w:w="1251" w:type="dxa"/>
            <w:shd w:val="clear" w:color="auto" w:fill="D2DDE1" w:themeFill="background2"/>
          </w:tcPr>
          <w:p w14:paraId="27587FF7" w14:textId="295BE0E5" w:rsidR="00300ECC" w:rsidRPr="00B275E2" w:rsidRDefault="00300ECC" w:rsidP="00300ECC">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Pr>
                <w:rFonts w:cs="Calibri"/>
                <w:szCs w:val="18"/>
              </w:rPr>
              <w:t>0.237</w:t>
            </w:r>
          </w:p>
        </w:tc>
        <w:tc>
          <w:tcPr>
            <w:tcW w:w="1137" w:type="dxa"/>
            <w:shd w:val="clear" w:color="auto" w:fill="auto"/>
          </w:tcPr>
          <w:p w14:paraId="0931E680" w14:textId="63BD4123" w:rsidR="00300ECC" w:rsidRPr="00B275E2" w:rsidRDefault="00300ECC" w:rsidP="00300ECC">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Pr>
                <w:rFonts w:cs="Calibri"/>
                <w:szCs w:val="18"/>
              </w:rPr>
              <w:t>0.235</w:t>
            </w:r>
          </w:p>
        </w:tc>
        <w:tc>
          <w:tcPr>
            <w:tcW w:w="1137" w:type="dxa"/>
            <w:shd w:val="clear" w:color="auto" w:fill="auto"/>
          </w:tcPr>
          <w:p w14:paraId="5A645FB7" w14:textId="630E190F" w:rsidR="00300ECC" w:rsidRPr="00B275E2" w:rsidRDefault="00300ECC" w:rsidP="00300ECC">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0.00001</w:t>
            </w:r>
          </w:p>
        </w:tc>
        <w:tc>
          <w:tcPr>
            <w:tcW w:w="1137" w:type="dxa"/>
            <w:tcBorders>
              <w:right w:val="single" w:sz="4" w:space="0" w:color="FFFFFF" w:themeColor="background1"/>
            </w:tcBorders>
            <w:shd w:val="clear" w:color="auto" w:fill="auto"/>
          </w:tcPr>
          <w:p w14:paraId="57B8D78E" w14:textId="2EE43FF9" w:rsidR="00300ECC" w:rsidRPr="00B275E2" w:rsidRDefault="00300ECC" w:rsidP="00300ECC">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0.001</w:t>
            </w:r>
          </w:p>
        </w:tc>
      </w:tr>
      <w:tr w:rsidR="00300ECC" w:rsidRPr="00B275E2" w14:paraId="3E09140B" w14:textId="77777777" w:rsidTr="00C22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5" w:type="dxa"/>
            <w:vMerge/>
            <w:tcBorders>
              <w:left w:val="single" w:sz="4" w:space="0" w:color="FFFFFF" w:themeColor="background1"/>
            </w:tcBorders>
          </w:tcPr>
          <w:p w14:paraId="48FCBF7B" w14:textId="77777777" w:rsidR="00300ECC" w:rsidRPr="00B275E2" w:rsidRDefault="00300ECC" w:rsidP="00300ECC">
            <w:pPr>
              <w:pStyle w:val="TableText"/>
            </w:pPr>
          </w:p>
        </w:tc>
        <w:tc>
          <w:tcPr>
            <w:tcW w:w="1706" w:type="dxa"/>
          </w:tcPr>
          <w:p w14:paraId="234AC0BB" w14:textId="1D419F84" w:rsidR="00300ECC" w:rsidRPr="00B275E2" w:rsidRDefault="00300ECC" w:rsidP="00300ECC">
            <w:pPr>
              <w:pStyle w:val="TableText"/>
              <w:cnfStyle w:val="000000100000" w:firstRow="0" w:lastRow="0" w:firstColumn="0" w:lastColumn="0" w:oddVBand="0" w:evenVBand="0" w:oddHBand="1" w:evenHBand="0" w:firstRowFirstColumn="0" w:firstRowLastColumn="0" w:lastRowFirstColumn="0" w:lastRowLastColumn="0"/>
            </w:pPr>
            <w:r w:rsidRPr="00B275E2">
              <w:rPr>
                <w:rFonts w:cs="Calibri"/>
                <w:color w:val="000000"/>
              </w:rPr>
              <w:t>Business</w:t>
            </w:r>
          </w:p>
        </w:tc>
        <w:tc>
          <w:tcPr>
            <w:tcW w:w="629" w:type="dxa"/>
          </w:tcPr>
          <w:p w14:paraId="05D080C2" w14:textId="60205B55" w:rsidR="00300ECC" w:rsidRPr="00B275E2" w:rsidRDefault="00300ECC" w:rsidP="00300ECC">
            <w:pPr>
              <w:pStyle w:val="TableText"/>
              <w:cnfStyle w:val="000000100000" w:firstRow="0" w:lastRow="0" w:firstColumn="0" w:lastColumn="0" w:oddVBand="0" w:evenVBand="0" w:oddHBand="1" w:evenHBand="0" w:firstRowFirstColumn="0" w:firstRowLastColumn="0" w:lastRowFirstColumn="0" w:lastRowLastColumn="0"/>
            </w:pPr>
            <w:r w:rsidRPr="00B275E2">
              <w:rPr>
                <w:rFonts w:eastAsia="Times New Roman" w:cs="Calibri"/>
                <w:color w:val="000000"/>
              </w:rPr>
              <w:t>pkm</w:t>
            </w:r>
          </w:p>
        </w:tc>
        <w:tc>
          <w:tcPr>
            <w:tcW w:w="1251" w:type="dxa"/>
            <w:shd w:val="clear" w:color="auto" w:fill="D2DDE1" w:themeFill="background2"/>
          </w:tcPr>
          <w:p w14:paraId="2AE83625" w14:textId="45B885AA" w:rsidR="00300ECC" w:rsidRPr="00B275E2" w:rsidRDefault="00300ECC" w:rsidP="00300ECC">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Pr>
                <w:rFonts w:cs="Calibri"/>
                <w:szCs w:val="18"/>
              </w:rPr>
              <w:t>0.429</w:t>
            </w:r>
          </w:p>
        </w:tc>
        <w:tc>
          <w:tcPr>
            <w:tcW w:w="1137" w:type="dxa"/>
            <w:shd w:val="clear" w:color="auto" w:fill="auto"/>
          </w:tcPr>
          <w:p w14:paraId="2971EE9A" w14:textId="5CA9C549" w:rsidR="00300ECC" w:rsidRPr="00B275E2" w:rsidRDefault="00300ECC" w:rsidP="00300ECC">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Pr>
                <w:rFonts w:cs="Calibri"/>
                <w:szCs w:val="18"/>
              </w:rPr>
              <w:t>0.427</w:t>
            </w:r>
          </w:p>
        </w:tc>
        <w:tc>
          <w:tcPr>
            <w:tcW w:w="1137" w:type="dxa"/>
            <w:shd w:val="clear" w:color="auto" w:fill="auto"/>
          </w:tcPr>
          <w:p w14:paraId="12DB5686" w14:textId="0FB0D07E" w:rsidR="00300ECC" w:rsidRPr="00B275E2" w:rsidRDefault="00300ECC" w:rsidP="00300ECC">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0.00002</w:t>
            </w:r>
          </w:p>
        </w:tc>
        <w:tc>
          <w:tcPr>
            <w:tcW w:w="1137" w:type="dxa"/>
            <w:tcBorders>
              <w:right w:val="single" w:sz="4" w:space="0" w:color="FFFFFF" w:themeColor="background1"/>
            </w:tcBorders>
            <w:shd w:val="clear" w:color="auto" w:fill="auto"/>
          </w:tcPr>
          <w:p w14:paraId="03931E96" w14:textId="2F72EC8C" w:rsidR="00300ECC" w:rsidRPr="00B275E2" w:rsidRDefault="00300ECC" w:rsidP="00300ECC">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0.002</w:t>
            </w:r>
          </w:p>
        </w:tc>
      </w:tr>
      <w:tr w:rsidR="00300ECC" w:rsidRPr="00B275E2" w14:paraId="439BD65F" w14:textId="77777777" w:rsidTr="00C22686">
        <w:tc>
          <w:tcPr>
            <w:cnfStyle w:val="001000000000" w:firstRow="0" w:lastRow="0" w:firstColumn="1" w:lastColumn="0" w:oddVBand="0" w:evenVBand="0" w:oddHBand="0" w:evenHBand="0" w:firstRowFirstColumn="0" w:firstRowLastColumn="0" w:lastRowFirstColumn="0" w:lastRowLastColumn="0"/>
            <w:tcW w:w="1565" w:type="dxa"/>
            <w:vMerge/>
            <w:tcBorders>
              <w:left w:val="single" w:sz="4" w:space="0" w:color="FFFFFF" w:themeColor="background1"/>
            </w:tcBorders>
          </w:tcPr>
          <w:p w14:paraId="7D52C2A2" w14:textId="77777777" w:rsidR="00300ECC" w:rsidRPr="00B275E2" w:rsidRDefault="00300ECC" w:rsidP="00300ECC">
            <w:pPr>
              <w:pStyle w:val="TableText"/>
            </w:pPr>
          </w:p>
        </w:tc>
        <w:tc>
          <w:tcPr>
            <w:tcW w:w="1706" w:type="dxa"/>
          </w:tcPr>
          <w:p w14:paraId="6B01BC7B" w14:textId="4DAC286D" w:rsidR="00300ECC" w:rsidRPr="00B275E2" w:rsidRDefault="00300ECC" w:rsidP="00300ECC">
            <w:pPr>
              <w:pStyle w:val="TableText"/>
              <w:cnfStyle w:val="000000000000" w:firstRow="0" w:lastRow="0" w:firstColumn="0" w:lastColumn="0" w:oddVBand="0" w:evenVBand="0" w:oddHBand="0" w:evenHBand="0" w:firstRowFirstColumn="0" w:firstRowLastColumn="0" w:lastRowFirstColumn="0" w:lastRowLastColumn="0"/>
            </w:pPr>
            <w:r w:rsidRPr="00B275E2">
              <w:rPr>
                <w:rFonts w:cs="Calibri"/>
                <w:color w:val="000000"/>
              </w:rPr>
              <w:t>First</w:t>
            </w:r>
          </w:p>
        </w:tc>
        <w:tc>
          <w:tcPr>
            <w:tcW w:w="629" w:type="dxa"/>
          </w:tcPr>
          <w:p w14:paraId="3CA8AFCC" w14:textId="0165547C" w:rsidR="00300ECC" w:rsidRPr="00B275E2" w:rsidRDefault="00300ECC" w:rsidP="00300ECC">
            <w:pPr>
              <w:pStyle w:val="TableText"/>
              <w:cnfStyle w:val="000000000000" w:firstRow="0" w:lastRow="0" w:firstColumn="0" w:lastColumn="0" w:oddVBand="0" w:evenVBand="0" w:oddHBand="0" w:evenHBand="0" w:firstRowFirstColumn="0" w:firstRowLastColumn="0" w:lastRowFirstColumn="0" w:lastRowLastColumn="0"/>
            </w:pPr>
            <w:r w:rsidRPr="00B275E2">
              <w:rPr>
                <w:rFonts w:eastAsia="Times New Roman" w:cs="Calibri"/>
                <w:color w:val="000000"/>
              </w:rPr>
              <w:t>pkm</w:t>
            </w:r>
          </w:p>
        </w:tc>
        <w:tc>
          <w:tcPr>
            <w:tcW w:w="1251" w:type="dxa"/>
            <w:shd w:val="clear" w:color="auto" w:fill="D2DDE1" w:themeFill="background2"/>
          </w:tcPr>
          <w:p w14:paraId="2E6CFB5A" w14:textId="2641D8A7" w:rsidR="00300ECC" w:rsidRPr="00B275E2" w:rsidRDefault="00300ECC" w:rsidP="00300ECC">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Pr>
                <w:rFonts w:cs="Calibri"/>
                <w:szCs w:val="18"/>
              </w:rPr>
              <w:t>0.591</w:t>
            </w:r>
          </w:p>
        </w:tc>
        <w:tc>
          <w:tcPr>
            <w:tcW w:w="1137" w:type="dxa"/>
            <w:shd w:val="clear" w:color="auto" w:fill="auto"/>
          </w:tcPr>
          <w:p w14:paraId="25F38829" w14:textId="6472CEBA" w:rsidR="00300ECC" w:rsidRPr="00B275E2" w:rsidRDefault="00300ECC" w:rsidP="00300ECC">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Pr>
                <w:rFonts w:cs="Calibri"/>
                <w:szCs w:val="18"/>
              </w:rPr>
              <w:t>0.589</w:t>
            </w:r>
          </w:p>
        </w:tc>
        <w:tc>
          <w:tcPr>
            <w:tcW w:w="1137" w:type="dxa"/>
            <w:shd w:val="clear" w:color="auto" w:fill="auto"/>
          </w:tcPr>
          <w:p w14:paraId="0ABB45EB" w14:textId="4E643954" w:rsidR="00300ECC" w:rsidRPr="00B275E2" w:rsidRDefault="00300ECC" w:rsidP="00300ECC">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0.00002</w:t>
            </w:r>
          </w:p>
        </w:tc>
        <w:tc>
          <w:tcPr>
            <w:tcW w:w="1137" w:type="dxa"/>
            <w:tcBorders>
              <w:right w:val="single" w:sz="4" w:space="0" w:color="FFFFFF" w:themeColor="background1"/>
            </w:tcBorders>
            <w:shd w:val="clear" w:color="auto" w:fill="auto"/>
          </w:tcPr>
          <w:p w14:paraId="4D76049D" w14:textId="603A8077" w:rsidR="00300ECC" w:rsidRPr="00B275E2" w:rsidRDefault="00300ECC" w:rsidP="00300ECC">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0.003</w:t>
            </w:r>
          </w:p>
        </w:tc>
      </w:tr>
    </w:tbl>
    <w:p w14:paraId="26BF8451" w14:textId="7F5F59AC" w:rsidR="00DA1BB8" w:rsidRPr="00B275E2" w:rsidRDefault="004B7EAA" w:rsidP="007F0B1E">
      <w:pPr>
        <w:pStyle w:val="BodyText"/>
        <w:rPr>
          <w:sz w:val="18"/>
          <w:szCs w:val="18"/>
        </w:rPr>
      </w:pPr>
      <w:bookmarkStart w:id="436" w:name="_Ref532397982"/>
      <w:bookmarkStart w:id="437" w:name="_Ref532759560"/>
      <w:r w:rsidRPr="00B275E2">
        <w:rPr>
          <w:sz w:val="18"/>
          <w:szCs w:val="18"/>
        </w:rPr>
        <w:t>Note</w:t>
      </w:r>
      <w:r w:rsidR="00327CB5" w:rsidRPr="00B275E2">
        <w:rPr>
          <w:sz w:val="18"/>
          <w:szCs w:val="18"/>
        </w:rPr>
        <w:t>:</w:t>
      </w:r>
      <w:r w:rsidRPr="00B275E2">
        <w:rPr>
          <w:sz w:val="18"/>
          <w:szCs w:val="18"/>
        </w:rPr>
        <w:t xml:space="preserve"> </w:t>
      </w:r>
      <w:r w:rsidR="00327CB5" w:rsidRPr="00B275E2">
        <w:rPr>
          <w:sz w:val="18"/>
          <w:szCs w:val="18"/>
        </w:rPr>
        <w:t xml:space="preserve">These </w:t>
      </w:r>
      <w:r w:rsidRPr="00B275E2">
        <w:rPr>
          <w:sz w:val="18"/>
          <w:szCs w:val="18"/>
        </w:rPr>
        <w:t>numbers are rounded to three</w:t>
      </w:r>
      <w:r w:rsidR="00A80DFB" w:rsidRPr="00B275E2">
        <w:rPr>
          <w:sz w:val="18"/>
          <w:szCs w:val="18"/>
        </w:rPr>
        <w:t xml:space="preserve"> decimal places</w:t>
      </w:r>
      <w:r w:rsidRPr="00B275E2">
        <w:rPr>
          <w:sz w:val="18"/>
          <w:szCs w:val="18"/>
        </w:rPr>
        <w:t xml:space="preserve"> unless the number is significantly small. </w:t>
      </w:r>
    </w:p>
    <w:p w14:paraId="5C23BE7A" w14:textId="73507B40" w:rsidR="00762CE1" w:rsidRPr="00B275E2" w:rsidRDefault="00EB4389" w:rsidP="005F7581">
      <w:pPr>
        <w:pStyle w:val="Tableheading"/>
      </w:pPr>
      <w:bookmarkStart w:id="438" w:name="_Toc111536654"/>
      <w:bookmarkEnd w:id="436"/>
      <w:bookmarkEnd w:id="437"/>
      <w:r w:rsidRPr="00B275E2">
        <w:t xml:space="preserve">Table </w:t>
      </w:r>
      <w:r w:rsidRPr="00B275E2">
        <w:fldChar w:fldCharType="begin"/>
      </w:r>
      <w:r w:rsidRPr="00B275E2">
        <w:instrText>SEQ Table \* ARABIC</w:instrText>
      </w:r>
      <w:r w:rsidRPr="00B275E2">
        <w:fldChar w:fldCharType="separate"/>
      </w:r>
      <w:r>
        <w:rPr>
          <w:noProof/>
        </w:rPr>
        <w:t>49</w:t>
      </w:r>
      <w:r w:rsidRPr="00B275E2">
        <w:fldChar w:fldCharType="end"/>
      </w:r>
      <w:r w:rsidRPr="00B275E2">
        <w:t>:</w:t>
      </w:r>
      <w:r w:rsidRPr="00B275E2">
        <w:tab/>
      </w:r>
      <w:r w:rsidR="00762CE1" w:rsidRPr="00B275E2">
        <w:t>Emission factors for international air travel</w:t>
      </w:r>
      <w:r w:rsidR="00666FC8">
        <w:t xml:space="preserve"> without radiative forcing multiplier</w:t>
      </w:r>
      <w:bookmarkEnd w:id="438"/>
    </w:p>
    <w:tbl>
      <w:tblPr>
        <w:tblStyle w:val="LightList-Accent11"/>
        <w:tblW w:w="8562" w:type="dxa"/>
        <w:tblBorders>
          <w:top w:val="single" w:sz="4" w:space="0" w:color="1B556B"/>
          <w:bottom w:val="single" w:sz="4" w:space="0" w:color="1B556B"/>
          <w:insideH w:val="single" w:sz="4" w:space="0" w:color="1B556B"/>
          <w:insideV w:val="single" w:sz="4" w:space="0" w:color="1B556B"/>
        </w:tblBorders>
        <w:tblLayout w:type="fixed"/>
        <w:tblLook w:val="04A0" w:firstRow="1" w:lastRow="0" w:firstColumn="1" w:lastColumn="0" w:noHBand="0" w:noVBand="1"/>
      </w:tblPr>
      <w:tblGrid>
        <w:gridCol w:w="1555"/>
        <w:gridCol w:w="1701"/>
        <w:gridCol w:w="708"/>
        <w:gridCol w:w="1259"/>
        <w:gridCol w:w="1113"/>
        <w:gridCol w:w="1113"/>
        <w:gridCol w:w="1113"/>
      </w:tblGrid>
      <w:tr w:rsidR="00327CB5" w:rsidRPr="00B275E2" w14:paraId="4258B1F9" w14:textId="77777777" w:rsidTr="005F7581">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55" w:type="dxa"/>
            <w:noWrap/>
            <w:vAlign w:val="bottom"/>
            <w:hideMark/>
          </w:tcPr>
          <w:p w14:paraId="43C63902" w14:textId="77777777" w:rsidR="00327CB5" w:rsidRPr="00B275E2" w:rsidRDefault="00327CB5" w:rsidP="007F0B1E">
            <w:pPr>
              <w:pStyle w:val="TableText"/>
              <w:rPr>
                <w:b w:val="0"/>
                <w:bCs w:val="0"/>
              </w:rPr>
            </w:pPr>
            <w:r w:rsidRPr="00B275E2">
              <w:t>Emission source</w:t>
            </w:r>
          </w:p>
        </w:tc>
        <w:tc>
          <w:tcPr>
            <w:tcW w:w="1701" w:type="dxa"/>
            <w:vAlign w:val="bottom"/>
          </w:tcPr>
          <w:p w14:paraId="666984B8" w14:textId="184D87A1" w:rsidR="00327CB5" w:rsidRPr="00B275E2" w:rsidRDefault="00327CB5" w:rsidP="007F0B1E">
            <w:pPr>
              <w:pStyle w:val="TableText"/>
              <w:cnfStyle w:val="100000000000" w:firstRow="1" w:lastRow="0" w:firstColumn="0" w:lastColumn="0" w:oddVBand="0" w:evenVBand="0" w:oddHBand="0" w:evenHBand="0" w:firstRowFirstColumn="0" w:firstRowLastColumn="0" w:lastRowFirstColumn="0" w:lastRowLastColumn="0"/>
            </w:pPr>
            <w:r w:rsidRPr="00B275E2">
              <w:t>Travel class</w:t>
            </w:r>
          </w:p>
        </w:tc>
        <w:tc>
          <w:tcPr>
            <w:tcW w:w="708" w:type="dxa"/>
            <w:noWrap/>
            <w:vAlign w:val="bottom"/>
            <w:hideMark/>
          </w:tcPr>
          <w:p w14:paraId="7915750F" w14:textId="77777777" w:rsidR="00327CB5" w:rsidRPr="00B275E2" w:rsidRDefault="00327CB5" w:rsidP="007F0B1E">
            <w:pPr>
              <w:pStyle w:val="TableText"/>
              <w:cnfStyle w:val="100000000000" w:firstRow="1" w:lastRow="0" w:firstColumn="0" w:lastColumn="0" w:oddVBand="0" w:evenVBand="0" w:oddHBand="0" w:evenHBand="0" w:firstRowFirstColumn="0" w:firstRowLastColumn="0" w:lastRowFirstColumn="0" w:lastRowLastColumn="0"/>
            </w:pPr>
            <w:r w:rsidRPr="00B275E2">
              <w:t>Unit</w:t>
            </w:r>
          </w:p>
        </w:tc>
        <w:tc>
          <w:tcPr>
            <w:tcW w:w="1259" w:type="dxa"/>
            <w:shd w:val="clear" w:color="auto" w:fill="D2DDE1" w:themeFill="background2"/>
            <w:noWrap/>
            <w:vAlign w:val="bottom"/>
            <w:hideMark/>
          </w:tcPr>
          <w:p w14:paraId="4738C812" w14:textId="71E04CFF" w:rsidR="00327CB5" w:rsidRPr="00B275E2" w:rsidRDefault="00327CB5" w:rsidP="007F0B1E">
            <w:pPr>
              <w:pStyle w:val="TableText"/>
              <w:jc w:val="right"/>
              <w:cnfStyle w:val="100000000000" w:firstRow="1" w:lastRow="0" w:firstColumn="0" w:lastColumn="0" w:oddVBand="0" w:evenVBand="0" w:oddHBand="0" w:evenHBand="0" w:firstRowFirstColumn="0" w:firstRowLastColumn="0" w:lastRowFirstColumn="0" w:lastRowLastColumn="0"/>
              <w:rPr>
                <w:color w:val="auto"/>
              </w:rPr>
            </w:pPr>
            <w:r w:rsidRPr="00B275E2">
              <w:rPr>
                <w:color w:val="auto"/>
              </w:rPr>
              <w:t>kg CO</w:t>
            </w:r>
            <w:r w:rsidRPr="00B275E2">
              <w:rPr>
                <w:color w:val="auto"/>
                <w:vertAlign w:val="subscript"/>
              </w:rPr>
              <w:t>2</w:t>
            </w:r>
            <w:r w:rsidRPr="00B275E2">
              <w:rPr>
                <w:color w:val="auto"/>
              </w:rPr>
              <w:t>-e/unit</w:t>
            </w:r>
          </w:p>
        </w:tc>
        <w:tc>
          <w:tcPr>
            <w:tcW w:w="1113" w:type="dxa"/>
            <w:noWrap/>
            <w:vAlign w:val="bottom"/>
            <w:hideMark/>
          </w:tcPr>
          <w:p w14:paraId="68602BAF" w14:textId="0F94E922" w:rsidR="00327CB5" w:rsidRPr="00B275E2" w:rsidRDefault="00327CB5" w:rsidP="007F0B1E">
            <w:pPr>
              <w:pStyle w:val="TableText"/>
              <w:jc w:val="right"/>
              <w:cnfStyle w:val="100000000000" w:firstRow="1" w:lastRow="0" w:firstColumn="0" w:lastColumn="0" w:oddVBand="0" w:evenVBand="0" w:oddHBand="0" w:evenHBand="0" w:firstRowFirstColumn="0" w:firstRowLastColumn="0" w:lastRowFirstColumn="0" w:lastRowLastColumn="0"/>
            </w:pPr>
            <w:r w:rsidRPr="00B275E2">
              <w:t>kg CO</w:t>
            </w:r>
            <w:r w:rsidRPr="00B275E2">
              <w:rPr>
                <w:vertAlign w:val="subscript"/>
              </w:rPr>
              <w:t>2</w:t>
            </w:r>
            <w:r w:rsidRPr="00B275E2">
              <w:t>/unit</w:t>
            </w:r>
            <w:r w:rsidR="001A2019" w:rsidRPr="00B275E2">
              <w:t xml:space="preserve"> (kg CO</w:t>
            </w:r>
            <w:r w:rsidR="001A2019" w:rsidRPr="00B275E2">
              <w:rPr>
                <w:vertAlign w:val="subscript"/>
              </w:rPr>
              <w:t>2</w:t>
            </w:r>
            <w:r w:rsidR="001A2019" w:rsidRPr="00B275E2">
              <w:noBreakHyphen/>
              <w:t>e)</w:t>
            </w:r>
          </w:p>
        </w:tc>
        <w:tc>
          <w:tcPr>
            <w:tcW w:w="1113" w:type="dxa"/>
            <w:noWrap/>
            <w:vAlign w:val="bottom"/>
            <w:hideMark/>
          </w:tcPr>
          <w:p w14:paraId="4C78CDE9" w14:textId="70771FFF" w:rsidR="00327CB5" w:rsidRPr="00B275E2" w:rsidRDefault="001A2019" w:rsidP="007F0B1E">
            <w:pPr>
              <w:pStyle w:val="TableText"/>
              <w:jc w:val="right"/>
              <w:cnfStyle w:val="100000000000" w:firstRow="1" w:lastRow="0" w:firstColumn="0" w:lastColumn="0" w:oddVBand="0" w:evenVBand="0" w:oddHBand="0" w:evenHBand="0" w:firstRowFirstColumn="0" w:firstRowLastColumn="0" w:lastRowFirstColumn="0" w:lastRowLastColumn="0"/>
            </w:pPr>
            <w:r w:rsidRPr="00B275E2">
              <w:t xml:space="preserve">kg </w:t>
            </w:r>
            <w:r w:rsidR="00327CB5" w:rsidRPr="00B275E2">
              <w:t>CH</w:t>
            </w:r>
            <w:r w:rsidR="00327CB5" w:rsidRPr="00B275E2">
              <w:rPr>
                <w:vertAlign w:val="subscript"/>
              </w:rPr>
              <w:t>4</w:t>
            </w:r>
            <w:r w:rsidRPr="00B275E2">
              <w:t>/unit</w:t>
            </w:r>
            <w:r w:rsidR="006E5F08" w:rsidRPr="00B275E2">
              <w:t xml:space="preserve"> (kg CO</w:t>
            </w:r>
            <w:r w:rsidR="006E5F08" w:rsidRPr="00B275E2">
              <w:rPr>
                <w:vertAlign w:val="subscript"/>
              </w:rPr>
              <w:t>2</w:t>
            </w:r>
            <w:r w:rsidR="006062E4" w:rsidRPr="00B275E2">
              <w:noBreakHyphen/>
            </w:r>
            <w:r w:rsidR="006E5F08" w:rsidRPr="00B275E2">
              <w:t>e)</w:t>
            </w:r>
            <w:r w:rsidR="009939B8" w:rsidRPr="00B275E2">
              <w:t xml:space="preserve"> </w:t>
            </w:r>
          </w:p>
        </w:tc>
        <w:tc>
          <w:tcPr>
            <w:tcW w:w="1113" w:type="dxa"/>
            <w:noWrap/>
            <w:vAlign w:val="bottom"/>
            <w:hideMark/>
          </w:tcPr>
          <w:p w14:paraId="51804EB7" w14:textId="22A866FC" w:rsidR="00327CB5" w:rsidRPr="00B275E2" w:rsidRDefault="001A2019" w:rsidP="007F0B1E">
            <w:pPr>
              <w:pStyle w:val="TableText"/>
              <w:jc w:val="right"/>
              <w:cnfStyle w:val="100000000000" w:firstRow="1" w:lastRow="0" w:firstColumn="0" w:lastColumn="0" w:oddVBand="0" w:evenVBand="0" w:oddHBand="0" w:evenHBand="0" w:firstRowFirstColumn="0" w:firstRowLastColumn="0" w:lastRowFirstColumn="0" w:lastRowLastColumn="0"/>
            </w:pPr>
            <w:r w:rsidRPr="00B275E2">
              <w:t xml:space="preserve">kg </w:t>
            </w:r>
            <w:r w:rsidR="00327CB5" w:rsidRPr="00B275E2">
              <w:t>N</w:t>
            </w:r>
            <w:r w:rsidR="00327CB5" w:rsidRPr="00B275E2">
              <w:rPr>
                <w:vertAlign w:val="subscript"/>
              </w:rPr>
              <w:t>2</w:t>
            </w:r>
            <w:r w:rsidR="009939B8" w:rsidRPr="00B275E2">
              <w:t>O</w:t>
            </w:r>
            <w:r w:rsidRPr="00B275E2">
              <w:t>/unit</w:t>
            </w:r>
            <w:r w:rsidR="006E5F08" w:rsidRPr="00B275E2">
              <w:t xml:space="preserve"> (kg CO</w:t>
            </w:r>
            <w:r w:rsidR="006E5F08" w:rsidRPr="00B275E2">
              <w:rPr>
                <w:vertAlign w:val="subscript"/>
              </w:rPr>
              <w:t>2</w:t>
            </w:r>
            <w:r w:rsidR="006E5F08" w:rsidRPr="00B275E2">
              <w:t>-e)</w:t>
            </w:r>
            <w:r w:rsidRPr="00B275E2">
              <w:t xml:space="preserve"> </w:t>
            </w:r>
          </w:p>
        </w:tc>
      </w:tr>
      <w:tr w:rsidR="004E009C" w:rsidRPr="00B275E2" w14:paraId="330BAF91" w14:textId="77777777" w:rsidTr="00C226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vMerge w:val="restart"/>
            <w:tcBorders>
              <w:left w:val="single" w:sz="4" w:space="0" w:color="FFFFFF" w:themeColor="background1"/>
            </w:tcBorders>
            <w:noWrap/>
            <w:hideMark/>
          </w:tcPr>
          <w:p w14:paraId="5FB08216" w14:textId="2F6B5115" w:rsidR="004E009C" w:rsidRPr="00B275E2" w:rsidRDefault="004E009C" w:rsidP="004E009C">
            <w:pPr>
              <w:pStyle w:val="TableText"/>
              <w:rPr>
                <w:rFonts w:eastAsia="Times New Roman" w:cs="Calibri"/>
                <w:b w:val="0"/>
                <w:color w:val="000000"/>
              </w:rPr>
            </w:pPr>
            <w:r w:rsidRPr="00B275E2">
              <w:rPr>
                <w:rFonts w:eastAsia="Times New Roman" w:cs="Calibri"/>
                <w:b w:val="0"/>
                <w:color w:val="000000"/>
              </w:rPr>
              <w:t>Short haul (&lt;3700 km)</w:t>
            </w:r>
          </w:p>
        </w:tc>
        <w:tc>
          <w:tcPr>
            <w:tcW w:w="1701" w:type="dxa"/>
            <w:noWrap/>
            <w:hideMark/>
          </w:tcPr>
          <w:p w14:paraId="117B5DA9" w14:textId="77777777" w:rsidR="004E009C" w:rsidRPr="00B275E2" w:rsidRDefault="004E009C" w:rsidP="004E009C">
            <w:pPr>
              <w:pStyle w:val="TableTex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B275E2">
              <w:rPr>
                <w:rFonts w:cs="Calibri"/>
                <w:color w:val="000000"/>
              </w:rPr>
              <w:t>Average passenger</w:t>
            </w:r>
          </w:p>
        </w:tc>
        <w:tc>
          <w:tcPr>
            <w:tcW w:w="708" w:type="dxa"/>
            <w:noWrap/>
            <w:hideMark/>
          </w:tcPr>
          <w:p w14:paraId="44C4E3CD" w14:textId="2E8F8F4A" w:rsidR="004E009C" w:rsidRPr="00B275E2" w:rsidRDefault="004E009C" w:rsidP="004E009C">
            <w:pPr>
              <w:pStyle w:val="TableTex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B275E2">
              <w:rPr>
                <w:rFonts w:eastAsia="Times New Roman" w:cs="Calibri"/>
                <w:color w:val="000000"/>
              </w:rPr>
              <w:t>pkm</w:t>
            </w:r>
          </w:p>
        </w:tc>
        <w:tc>
          <w:tcPr>
            <w:tcW w:w="1259" w:type="dxa"/>
            <w:shd w:val="clear" w:color="auto" w:fill="D2DDE1" w:themeFill="background2"/>
            <w:noWrap/>
          </w:tcPr>
          <w:p w14:paraId="50640D48" w14:textId="57D4E952" w:rsidR="004E009C" w:rsidRPr="00B275E2" w:rsidRDefault="004E009C" w:rsidP="004E009C">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Pr>
                <w:rFonts w:cs="Calibri"/>
                <w:szCs w:val="18"/>
              </w:rPr>
              <w:t>0.081</w:t>
            </w:r>
          </w:p>
        </w:tc>
        <w:tc>
          <w:tcPr>
            <w:tcW w:w="1113" w:type="dxa"/>
            <w:shd w:val="clear" w:color="auto" w:fill="auto"/>
            <w:noWrap/>
          </w:tcPr>
          <w:p w14:paraId="295E6CE2" w14:textId="3023868F" w:rsidR="004E009C" w:rsidRPr="00B275E2" w:rsidRDefault="004E009C" w:rsidP="004E009C">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Pr>
                <w:rFonts w:cs="Calibri"/>
                <w:szCs w:val="18"/>
              </w:rPr>
              <w:t>0.080</w:t>
            </w:r>
          </w:p>
        </w:tc>
        <w:tc>
          <w:tcPr>
            <w:tcW w:w="1113" w:type="dxa"/>
            <w:shd w:val="clear" w:color="auto" w:fill="auto"/>
            <w:noWrap/>
          </w:tcPr>
          <w:p w14:paraId="2683D8E5" w14:textId="0DB5EFA7" w:rsidR="004E009C" w:rsidRPr="00B275E2" w:rsidRDefault="004E009C" w:rsidP="004E009C">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0A27DF">
              <w:rPr>
                <w:rFonts w:cs="Calibri"/>
                <w:szCs w:val="18"/>
              </w:rPr>
              <w:t>0.00001</w:t>
            </w:r>
          </w:p>
        </w:tc>
        <w:tc>
          <w:tcPr>
            <w:tcW w:w="1113" w:type="dxa"/>
            <w:tcBorders>
              <w:right w:val="single" w:sz="4" w:space="0" w:color="FFFFFF" w:themeColor="background1"/>
            </w:tcBorders>
            <w:shd w:val="clear" w:color="auto" w:fill="auto"/>
            <w:noWrap/>
          </w:tcPr>
          <w:p w14:paraId="2B2484E9" w14:textId="1A797206" w:rsidR="004E009C" w:rsidRPr="00B275E2" w:rsidRDefault="004E009C" w:rsidP="004E009C">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0A27DF">
              <w:rPr>
                <w:rFonts w:cs="Calibri"/>
                <w:szCs w:val="18"/>
              </w:rPr>
              <w:t>0.001</w:t>
            </w:r>
          </w:p>
        </w:tc>
      </w:tr>
      <w:tr w:rsidR="004E009C" w:rsidRPr="00B275E2" w14:paraId="40055835" w14:textId="77777777" w:rsidTr="00C22686">
        <w:trPr>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left w:val="single" w:sz="4" w:space="0" w:color="FFFFFF" w:themeColor="background1"/>
            </w:tcBorders>
            <w:hideMark/>
          </w:tcPr>
          <w:p w14:paraId="625B2E1B" w14:textId="77777777" w:rsidR="004E009C" w:rsidRPr="00B275E2" w:rsidRDefault="004E009C" w:rsidP="004E009C">
            <w:pPr>
              <w:pStyle w:val="TableText"/>
              <w:rPr>
                <w:rFonts w:eastAsia="Times New Roman" w:cs="Calibri"/>
                <w:b w:val="0"/>
                <w:color w:val="000000"/>
              </w:rPr>
            </w:pPr>
          </w:p>
        </w:tc>
        <w:tc>
          <w:tcPr>
            <w:tcW w:w="1701" w:type="dxa"/>
            <w:noWrap/>
            <w:hideMark/>
          </w:tcPr>
          <w:p w14:paraId="5F04B93E" w14:textId="3477574D" w:rsidR="004E009C" w:rsidRPr="00B275E2" w:rsidRDefault="004E009C" w:rsidP="004E009C">
            <w:pPr>
              <w:pStyle w:val="TableTex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B275E2">
              <w:rPr>
                <w:rFonts w:cs="Calibri"/>
                <w:color w:val="000000"/>
              </w:rPr>
              <w:t>Economy</w:t>
            </w:r>
          </w:p>
        </w:tc>
        <w:tc>
          <w:tcPr>
            <w:tcW w:w="708" w:type="dxa"/>
            <w:noWrap/>
            <w:hideMark/>
          </w:tcPr>
          <w:p w14:paraId="53436DE4" w14:textId="3C88A498" w:rsidR="004E009C" w:rsidRPr="00B275E2" w:rsidRDefault="004E009C" w:rsidP="004E009C">
            <w:pPr>
              <w:pStyle w:val="TableTex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B275E2">
              <w:rPr>
                <w:rFonts w:eastAsia="Times New Roman" w:cs="Calibri"/>
                <w:color w:val="000000"/>
              </w:rPr>
              <w:t>pkm</w:t>
            </w:r>
          </w:p>
        </w:tc>
        <w:tc>
          <w:tcPr>
            <w:tcW w:w="1259" w:type="dxa"/>
            <w:shd w:val="clear" w:color="auto" w:fill="D2DDE1" w:themeFill="background2"/>
            <w:noWrap/>
          </w:tcPr>
          <w:p w14:paraId="5CDBB305" w14:textId="4E6BD5EE" w:rsidR="004E009C" w:rsidRPr="00B275E2" w:rsidRDefault="004E009C" w:rsidP="004E009C">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0A27DF">
              <w:rPr>
                <w:rFonts w:cs="Calibri"/>
                <w:szCs w:val="18"/>
              </w:rPr>
              <w:t>0.08</w:t>
            </w:r>
            <w:r>
              <w:rPr>
                <w:rFonts w:cs="Calibri"/>
                <w:szCs w:val="18"/>
              </w:rPr>
              <w:t>0</w:t>
            </w:r>
          </w:p>
        </w:tc>
        <w:tc>
          <w:tcPr>
            <w:tcW w:w="1113" w:type="dxa"/>
            <w:shd w:val="clear" w:color="auto" w:fill="auto"/>
            <w:noWrap/>
          </w:tcPr>
          <w:p w14:paraId="736FB5EF" w14:textId="4B4994FA" w:rsidR="004E009C" w:rsidRPr="00B275E2" w:rsidRDefault="004E009C" w:rsidP="004E009C">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0A27DF">
              <w:rPr>
                <w:rFonts w:cs="Calibri"/>
                <w:szCs w:val="18"/>
              </w:rPr>
              <w:t>0.0</w:t>
            </w:r>
            <w:r>
              <w:rPr>
                <w:rFonts w:cs="Calibri"/>
                <w:szCs w:val="18"/>
              </w:rPr>
              <w:t>79</w:t>
            </w:r>
          </w:p>
        </w:tc>
        <w:tc>
          <w:tcPr>
            <w:tcW w:w="1113" w:type="dxa"/>
            <w:shd w:val="clear" w:color="auto" w:fill="auto"/>
            <w:noWrap/>
          </w:tcPr>
          <w:p w14:paraId="1FA379FA" w14:textId="6AF2AB8B" w:rsidR="004E009C" w:rsidRPr="00B275E2" w:rsidRDefault="004E009C" w:rsidP="004E009C">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0A27DF">
              <w:rPr>
                <w:rFonts w:cs="Calibri"/>
                <w:szCs w:val="18"/>
              </w:rPr>
              <w:t>0.00001</w:t>
            </w:r>
          </w:p>
        </w:tc>
        <w:tc>
          <w:tcPr>
            <w:tcW w:w="1113" w:type="dxa"/>
            <w:tcBorders>
              <w:right w:val="single" w:sz="4" w:space="0" w:color="FFFFFF" w:themeColor="background1"/>
            </w:tcBorders>
            <w:shd w:val="clear" w:color="auto" w:fill="auto"/>
            <w:noWrap/>
          </w:tcPr>
          <w:p w14:paraId="5D8B31E0" w14:textId="7AABD892" w:rsidR="004E009C" w:rsidRPr="00B275E2" w:rsidRDefault="004E009C" w:rsidP="004E009C">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0A27DF">
              <w:rPr>
                <w:rFonts w:cs="Calibri"/>
                <w:szCs w:val="18"/>
              </w:rPr>
              <w:t>0.001</w:t>
            </w:r>
          </w:p>
        </w:tc>
      </w:tr>
      <w:tr w:rsidR="004E009C" w:rsidRPr="00B275E2" w14:paraId="6FD3D2C2" w14:textId="77777777" w:rsidTr="00C226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left w:val="single" w:sz="4" w:space="0" w:color="FFFFFF" w:themeColor="background1"/>
            </w:tcBorders>
            <w:hideMark/>
          </w:tcPr>
          <w:p w14:paraId="2815D06F" w14:textId="77777777" w:rsidR="004E009C" w:rsidRPr="00B275E2" w:rsidRDefault="004E009C" w:rsidP="004E009C">
            <w:pPr>
              <w:pStyle w:val="TableText"/>
              <w:rPr>
                <w:rFonts w:eastAsia="Times New Roman" w:cs="Calibri"/>
                <w:b w:val="0"/>
                <w:color w:val="000000"/>
              </w:rPr>
            </w:pPr>
          </w:p>
        </w:tc>
        <w:tc>
          <w:tcPr>
            <w:tcW w:w="1701" w:type="dxa"/>
            <w:noWrap/>
            <w:hideMark/>
          </w:tcPr>
          <w:p w14:paraId="67E9EA5E" w14:textId="38ADC7F1" w:rsidR="004E009C" w:rsidRPr="00B275E2" w:rsidRDefault="004E009C" w:rsidP="004E009C">
            <w:pPr>
              <w:pStyle w:val="TableTex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B275E2">
              <w:rPr>
                <w:rFonts w:cs="Calibri"/>
                <w:color w:val="000000"/>
              </w:rPr>
              <w:t>Business</w:t>
            </w:r>
          </w:p>
        </w:tc>
        <w:tc>
          <w:tcPr>
            <w:tcW w:w="708" w:type="dxa"/>
            <w:noWrap/>
            <w:hideMark/>
          </w:tcPr>
          <w:p w14:paraId="13D11342" w14:textId="06AAA1F6" w:rsidR="004E009C" w:rsidRPr="00B275E2" w:rsidRDefault="004E009C" w:rsidP="004E009C">
            <w:pPr>
              <w:pStyle w:val="TableTex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B275E2">
              <w:rPr>
                <w:rFonts w:eastAsia="Times New Roman" w:cs="Calibri"/>
                <w:color w:val="000000"/>
              </w:rPr>
              <w:t>pkm</w:t>
            </w:r>
          </w:p>
        </w:tc>
        <w:tc>
          <w:tcPr>
            <w:tcW w:w="1259" w:type="dxa"/>
            <w:shd w:val="clear" w:color="auto" w:fill="D2DDE1" w:themeFill="background2"/>
            <w:noWrap/>
          </w:tcPr>
          <w:p w14:paraId="56DC8F29" w14:textId="0BFC5CA7" w:rsidR="004E009C" w:rsidRPr="00B275E2" w:rsidRDefault="004E009C" w:rsidP="004E009C">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Pr>
                <w:rFonts w:cs="Calibri"/>
                <w:szCs w:val="18"/>
              </w:rPr>
              <w:t>0.120</w:t>
            </w:r>
          </w:p>
        </w:tc>
        <w:tc>
          <w:tcPr>
            <w:tcW w:w="1113" w:type="dxa"/>
            <w:shd w:val="clear" w:color="auto" w:fill="auto"/>
            <w:noWrap/>
          </w:tcPr>
          <w:p w14:paraId="666CFCF9" w14:textId="70F42E45" w:rsidR="004E009C" w:rsidRPr="00B275E2" w:rsidRDefault="004E009C" w:rsidP="004E009C">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Pr>
                <w:rFonts w:cs="Calibri"/>
                <w:szCs w:val="18"/>
              </w:rPr>
              <w:t>0.119</w:t>
            </w:r>
          </w:p>
        </w:tc>
        <w:tc>
          <w:tcPr>
            <w:tcW w:w="1113" w:type="dxa"/>
            <w:shd w:val="clear" w:color="auto" w:fill="auto"/>
            <w:noWrap/>
          </w:tcPr>
          <w:p w14:paraId="7E31B791" w14:textId="16D5B675" w:rsidR="004E009C" w:rsidRPr="00B275E2" w:rsidRDefault="004E009C" w:rsidP="004E009C">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0A27DF">
              <w:rPr>
                <w:rFonts w:cs="Calibri"/>
                <w:szCs w:val="18"/>
              </w:rPr>
              <w:t>0.00001</w:t>
            </w:r>
          </w:p>
        </w:tc>
        <w:tc>
          <w:tcPr>
            <w:tcW w:w="1113" w:type="dxa"/>
            <w:tcBorders>
              <w:right w:val="single" w:sz="4" w:space="0" w:color="FFFFFF" w:themeColor="background1"/>
            </w:tcBorders>
            <w:shd w:val="clear" w:color="auto" w:fill="auto"/>
            <w:noWrap/>
          </w:tcPr>
          <w:p w14:paraId="545C3115" w14:textId="1FC5775B" w:rsidR="004E009C" w:rsidRPr="00B275E2" w:rsidRDefault="004E009C" w:rsidP="004E009C">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0A27DF">
              <w:rPr>
                <w:rFonts w:cs="Calibri"/>
                <w:szCs w:val="18"/>
              </w:rPr>
              <w:t>0.001</w:t>
            </w:r>
          </w:p>
        </w:tc>
      </w:tr>
      <w:tr w:rsidR="004E009C" w:rsidRPr="00B275E2" w14:paraId="09208360" w14:textId="77777777" w:rsidTr="00C22686">
        <w:trPr>
          <w:trHeight w:val="300"/>
        </w:trPr>
        <w:tc>
          <w:tcPr>
            <w:cnfStyle w:val="001000000000" w:firstRow="0" w:lastRow="0" w:firstColumn="1" w:lastColumn="0" w:oddVBand="0" w:evenVBand="0" w:oddHBand="0" w:evenHBand="0" w:firstRowFirstColumn="0" w:firstRowLastColumn="0" w:lastRowFirstColumn="0" w:lastRowLastColumn="0"/>
            <w:tcW w:w="1555" w:type="dxa"/>
            <w:vMerge w:val="restart"/>
            <w:tcBorders>
              <w:left w:val="single" w:sz="4" w:space="0" w:color="FFFFFF" w:themeColor="background1"/>
            </w:tcBorders>
            <w:hideMark/>
          </w:tcPr>
          <w:p w14:paraId="2C495E67" w14:textId="773D1DA2" w:rsidR="004E009C" w:rsidRPr="00B275E2" w:rsidRDefault="004E009C" w:rsidP="004E009C">
            <w:pPr>
              <w:pStyle w:val="TableText"/>
              <w:rPr>
                <w:rFonts w:eastAsia="Times New Roman" w:cs="Calibri"/>
                <w:b w:val="0"/>
                <w:color w:val="000000"/>
              </w:rPr>
            </w:pPr>
            <w:r w:rsidRPr="00B275E2">
              <w:rPr>
                <w:rFonts w:eastAsia="Times New Roman" w:cs="Calibri"/>
                <w:b w:val="0"/>
                <w:color w:val="000000"/>
              </w:rPr>
              <w:t>Long haul (&gt;3700 km)</w:t>
            </w:r>
          </w:p>
        </w:tc>
        <w:tc>
          <w:tcPr>
            <w:tcW w:w="1701" w:type="dxa"/>
            <w:noWrap/>
            <w:hideMark/>
          </w:tcPr>
          <w:p w14:paraId="15B76E10" w14:textId="77777777" w:rsidR="004E009C" w:rsidRPr="00B275E2" w:rsidRDefault="004E009C" w:rsidP="004E009C">
            <w:pPr>
              <w:pStyle w:val="TableTex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B275E2">
              <w:rPr>
                <w:rFonts w:cs="Calibri"/>
                <w:color w:val="000000"/>
              </w:rPr>
              <w:t>Average passenger</w:t>
            </w:r>
          </w:p>
        </w:tc>
        <w:tc>
          <w:tcPr>
            <w:tcW w:w="708" w:type="dxa"/>
            <w:noWrap/>
            <w:hideMark/>
          </w:tcPr>
          <w:p w14:paraId="39060AB8" w14:textId="28DD263E" w:rsidR="004E009C" w:rsidRPr="00B275E2" w:rsidRDefault="004E009C" w:rsidP="004E009C">
            <w:pPr>
              <w:pStyle w:val="TableTex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B275E2">
              <w:rPr>
                <w:rFonts w:eastAsia="Times New Roman" w:cs="Calibri"/>
                <w:color w:val="000000"/>
              </w:rPr>
              <w:t>pkm</w:t>
            </w:r>
          </w:p>
        </w:tc>
        <w:tc>
          <w:tcPr>
            <w:tcW w:w="1259" w:type="dxa"/>
            <w:shd w:val="clear" w:color="auto" w:fill="D2DDE1" w:themeFill="background2"/>
            <w:noWrap/>
          </w:tcPr>
          <w:p w14:paraId="37D60372" w14:textId="5D015570" w:rsidR="004E009C" w:rsidRPr="00B275E2" w:rsidRDefault="004E009C" w:rsidP="004E009C">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Pr>
                <w:rFonts w:cs="Calibri"/>
                <w:szCs w:val="18"/>
              </w:rPr>
              <w:t>0.102</w:t>
            </w:r>
          </w:p>
        </w:tc>
        <w:tc>
          <w:tcPr>
            <w:tcW w:w="1113" w:type="dxa"/>
            <w:shd w:val="clear" w:color="auto" w:fill="auto"/>
            <w:noWrap/>
          </w:tcPr>
          <w:p w14:paraId="284EF4A6" w14:textId="4A24C80A" w:rsidR="004E009C" w:rsidRPr="00B275E2" w:rsidRDefault="004E009C" w:rsidP="004E009C">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Pr>
                <w:rFonts w:cs="Calibri"/>
                <w:szCs w:val="18"/>
              </w:rPr>
              <w:t>0.101</w:t>
            </w:r>
          </w:p>
        </w:tc>
        <w:tc>
          <w:tcPr>
            <w:tcW w:w="1113" w:type="dxa"/>
            <w:shd w:val="clear" w:color="auto" w:fill="auto"/>
            <w:noWrap/>
          </w:tcPr>
          <w:p w14:paraId="780C3BAC" w14:textId="1E0FE510" w:rsidR="004E009C" w:rsidRPr="00B275E2" w:rsidRDefault="004E009C" w:rsidP="004E009C">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0A27DF">
              <w:rPr>
                <w:rFonts w:cs="Calibri"/>
                <w:szCs w:val="18"/>
              </w:rPr>
              <w:t>0.00001</w:t>
            </w:r>
          </w:p>
        </w:tc>
        <w:tc>
          <w:tcPr>
            <w:tcW w:w="1113" w:type="dxa"/>
            <w:tcBorders>
              <w:right w:val="single" w:sz="4" w:space="0" w:color="FFFFFF" w:themeColor="background1"/>
            </w:tcBorders>
            <w:shd w:val="clear" w:color="auto" w:fill="auto"/>
            <w:noWrap/>
          </w:tcPr>
          <w:p w14:paraId="085A3E9B" w14:textId="62D36A22" w:rsidR="004E009C" w:rsidRPr="00B275E2" w:rsidRDefault="004E009C" w:rsidP="004E009C">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0A27DF">
              <w:rPr>
                <w:rFonts w:cs="Calibri"/>
                <w:szCs w:val="18"/>
              </w:rPr>
              <w:t>0.001</w:t>
            </w:r>
          </w:p>
        </w:tc>
      </w:tr>
      <w:tr w:rsidR="004E009C" w:rsidRPr="00B275E2" w14:paraId="7080E3C8" w14:textId="77777777" w:rsidTr="00C226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left w:val="single" w:sz="4" w:space="0" w:color="FFFFFF" w:themeColor="background1"/>
            </w:tcBorders>
            <w:noWrap/>
          </w:tcPr>
          <w:p w14:paraId="3F5C9CCB" w14:textId="77777777" w:rsidR="004E009C" w:rsidRPr="00B275E2" w:rsidRDefault="004E009C" w:rsidP="004E009C">
            <w:pPr>
              <w:pStyle w:val="TableText"/>
              <w:rPr>
                <w:rFonts w:eastAsia="Times New Roman" w:cs="Calibri"/>
                <w:b w:val="0"/>
                <w:color w:val="000000"/>
              </w:rPr>
            </w:pPr>
          </w:p>
        </w:tc>
        <w:tc>
          <w:tcPr>
            <w:tcW w:w="1701" w:type="dxa"/>
            <w:noWrap/>
            <w:hideMark/>
          </w:tcPr>
          <w:p w14:paraId="5EF7E3F2" w14:textId="37BE4316" w:rsidR="004E009C" w:rsidRPr="00B275E2" w:rsidRDefault="004E009C" w:rsidP="004E009C">
            <w:pPr>
              <w:pStyle w:val="TableTex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B275E2">
              <w:rPr>
                <w:rFonts w:cs="Calibri"/>
                <w:color w:val="000000"/>
              </w:rPr>
              <w:t>Economy</w:t>
            </w:r>
          </w:p>
        </w:tc>
        <w:tc>
          <w:tcPr>
            <w:tcW w:w="708" w:type="dxa"/>
            <w:noWrap/>
            <w:hideMark/>
          </w:tcPr>
          <w:p w14:paraId="66F0B0B3" w14:textId="6B57C332" w:rsidR="004E009C" w:rsidRPr="00B275E2" w:rsidRDefault="004E009C" w:rsidP="004E009C">
            <w:pPr>
              <w:pStyle w:val="TableTex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B275E2">
              <w:rPr>
                <w:rFonts w:eastAsia="Times New Roman" w:cs="Calibri"/>
                <w:color w:val="000000"/>
              </w:rPr>
              <w:t>pkm</w:t>
            </w:r>
          </w:p>
        </w:tc>
        <w:tc>
          <w:tcPr>
            <w:tcW w:w="1259" w:type="dxa"/>
            <w:shd w:val="clear" w:color="auto" w:fill="D2DDE1" w:themeFill="background2"/>
            <w:noWrap/>
          </w:tcPr>
          <w:p w14:paraId="3AB7B18C" w14:textId="397E9908" w:rsidR="004E009C" w:rsidRPr="00B275E2" w:rsidRDefault="004E009C" w:rsidP="004E009C">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Pr>
                <w:rFonts w:cs="Calibri"/>
                <w:szCs w:val="18"/>
              </w:rPr>
              <w:t>0.078</w:t>
            </w:r>
          </w:p>
        </w:tc>
        <w:tc>
          <w:tcPr>
            <w:tcW w:w="1113" w:type="dxa"/>
            <w:shd w:val="clear" w:color="auto" w:fill="auto"/>
            <w:noWrap/>
          </w:tcPr>
          <w:p w14:paraId="34231EA1" w14:textId="47BD2A2E" w:rsidR="004E009C" w:rsidRPr="00B275E2" w:rsidRDefault="004E009C" w:rsidP="004E009C">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Pr>
                <w:rFonts w:cs="Calibri"/>
                <w:szCs w:val="18"/>
              </w:rPr>
              <w:t>0.077</w:t>
            </w:r>
          </w:p>
        </w:tc>
        <w:tc>
          <w:tcPr>
            <w:tcW w:w="1113" w:type="dxa"/>
            <w:shd w:val="clear" w:color="auto" w:fill="auto"/>
            <w:noWrap/>
          </w:tcPr>
          <w:p w14:paraId="425AC700" w14:textId="0306A53A" w:rsidR="004E009C" w:rsidRPr="00B275E2" w:rsidRDefault="004E009C" w:rsidP="004E009C">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0A27DF">
              <w:rPr>
                <w:rFonts w:cs="Calibri"/>
                <w:szCs w:val="18"/>
              </w:rPr>
              <w:t>0.00001</w:t>
            </w:r>
          </w:p>
        </w:tc>
        <w:tc>
          <w:tcPr>
            <w:tcW w:w="1113" w:type="dxa"/>
            <w:tcBorders>
              <w:right w:val="single" w:sz="4" w:space="0" w:color="FFFFFF" w:themeColor="background1"/>
            </w:tcBorders>
            <w:shd w:val="clear" w:color="auto" w:fill="auto"/>
            <w:noWrap/>
          </w:tcPr>
          <w:p w14:paraId="2F9133E7" w14:textId="30FD46F0" w:rsidR="004E009C" w:rsidRPr="00B275E2" w:rsidRDefault="004E009C" w:rsidP="004E009C">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0A27DF">
              <w:rPr>
                <w:rFonts w:cs="Calibri"/>
                <w:szCs w:val="18"/>
              </w:rPr>
              <w:t>0.001</w:t>
            </w:r>
          </w:p>
        </w:tc>
      </w:tr>
      <w:tr w:rsidR="004E009C" w:rsidRPr="00B275E2" w14:paraId="49170586" w14:textId="77777777" w:rsidTr="00C22686">
        <w:trPr>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left w:val="single" w:sz="4" w:space="0" w:color="FFFFFF" w:themeColor="background1"/>
            </w:tcBorders>
            <w:hideMark/>
          </w:tcPr>
          <w:p w14:paraId="1BAF58B5" w14:textId="77777777" w:rsidR="004E009C" w:rsidRPr="00B275E2" w:rsidRDefault="004E009C" w:rsidP="004E009C">
            <w:pPr>
              <w:pStyle w:val="TableText"/>
              <w:rPr>
                <w:rFonts w:eastAsia="Times New Roman" w:cs="Calibri"/>
                <w:color w:val="000000"/>
              </w:rPr>
            </w:pPr>
          </w:p>
        </w:tc>
        <w:tc>
          <w:tcPr>
            <w:tcW w:w="1701" w:type="dxa"/>
            <w:noWrap/>
            <w:hideMark/>
          </w:tcPr>
          <w:p w14:paraId="30EAE4B5" w14:textId="60322AC5" w:rsidR="004E009C" w:rsidRPr="00B275E2" w:rsidRDefault="004E009C" w:rsidP="004E009C">
            <w:pPr>
              <w:pStyle w:val="TableTex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B275E2">
              <w:rPr>
                <w:rFonts w:cs="Calibri"/>
                <w:color w:val="000000"/>
              </w:rPr>
              <w:t>Premium economy</w:t>
            </w:r>
          </w:p>
        </w:tc>
        <w:tc>
          <w:tcPr>
            <w:tcW w:w="708" w:type="dxa"/>
            <w:noWrap/>
            <w:hideMark/>
          </w:tcPr>
          <w:p w14:paraId="3E54BC23" w14:textId="0806982E" w:rsidR="004E009C" w:rsidRPr="00B275E2" w:rsidRDefault="004E009C" w:rsidP="004E009C">
            <w:pPr>
              <w:pStyle w:val="TableTex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B275E2">
              <w:rPr>
                <w:rFonts w:eastAsia="Times New Roman" w:cs="Calibri"/>
                <w:color w:val="000000"/>
              </w:rPr>
              <w:t>pkm</w:t>
            </w:r>
          </w:p>
        </w:tc>
        <w:tc>
          <w:tcPr>
            <w:tcW w:w="1259" w:type="dxa"/>
            <w:shd w:val="clear" w:color="auto" w:fill="D2DDE1" w:themeFill="background2"/>
            <w:noWrap/>
          </w:tcPr>
          <w:p w14:paraId="53C25006" w14:textId="5512A6C4" w:rsidR="004E009C" w:rsidRPr="00B275E2" w:rsidRDefault="004E009C" w:rsidP="004E009C">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Pr>
                <w:rFonts w:cs="Calibri"/>
                <w:szCs w:val="18"/>
              </w:rPr>
              <w:t>0.125</w:t>
            </w:r>
          </w:p>
        </w:tc>
        <w:tc>
          <w:tcPr>
            <w:tcW w:w="1113" w:type="dxa"/>
            <w:shd w:val="clear" w:color="auto" w:fill="auto"/>
            <w:noWrap/>
          </w:tcPr>
          <w:p w14:paraId="6084D0B1" w14:textId="29EAAD34" w:rsidR="004E009C" w:rsidRPr="00B275E2" w:rsidRDefault="004E009C" w:rsidP="004E009C">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Pr>
                <w:rFonts w:cs="Calibri"/>
                <w:szCs w:val="18"/>
              </w:rPr>
              <w:t>0.124</w:t>
            </w:r>
          </w:p>
        </w:tc>
        <w:tc>
          <w:tcPr>
            <w:tcW w:w="1113" w:type="dxa"/>
            <w:shd w:val="clear" w:color="auto" w:fill="auto"/>
            <w:noWrap/>
          </w:tcPr>
          <w:p w14:paraId="62470053" w14:textId="48AAA82B" w:rsidR="004E009C" w:rsidRPr="00B275E2" w:rsidRDefault="004E009C" w:rsidP="004E009C">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0A27DF">
              <w:rPr>
                <w:rFonts w:cs="Calibri"/>
                <w:szCs w:val="18"/>
              </w:rPr>
              <w:t>0.00001</w:t>
            </w:r>
          </w:p>
        </w:tc>
        <w:tc>
          <w:tcPr>
            <w:tcW w:w="1113" w:type="dxa"/>
            <w:tcBorders>
              <w:right w:val="single" w:sz="4" w:space="0" w:color="FFFFFF" w:themeColor="background1"/>
            </w:tcBorders>
            <w:shd w:val="clear" w:color="auto" w:fill="auto"/>
            <w:noWrap/>
          </w:tcPr>
          <w:p w14:paraId="58E44AD0" w14:textId="56024958" w:rsidR="004E009C" w:rsidRPr="00B275E2" w:rsidRDefault="004E009C" w:rsidP="004E009C">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0A27DF">
              <w:rPr>
                <w:rFonts w:cs="Calibri"/>
                <w:szCs w:val="18"/>
              </w:rPr>
              <w:t>0.001</w:t>
            </w:r>
          </w:p>
        </w:tc>
      </w:tr>
      <w:tr w:rsidR="004E009C" w:rsidRPr="00B275E2" w14:paraId="73A59D89" w14:textId="77777777" w:rsidTr="00C226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left w:val="single" w:sz="4" w:space="0" w:color="FFFFFF" w:themeColor="background1"/>
            </w:tcBorders>
            <w:hideMark/>
          </w:tcPr>
          <w:p w14:paraId="133BB81B" w14:textId="77777777" w:rsidR="004E009C" w:rsidRPr="00B275E2" w:rsidRDefault="004E009C" w:rsidP="004E009C">
            <w:pPr>
              <w:pStyle w:val="TableText"/>
              <w:rPr>
                <w:rFonts w:eastAsia="Times New Roman" w:cs="Calibri"/>
                <w:color w:val="000000"/>
              </w:rPr>
            </w:pPr>
          </w:p>
        </w:tc>
        <w:tc>
          <w:tcPr>
            <w:tcW w:w="1701" w:type="dxa"/>
            <w:noWrap/>
            <w:hideMark/>
          </w:tcPr>
          <w:p w14:paraId="75128FCA" w14:textId="04FB6C6B" w:rsidR="004E009C" w:rsidRPr="00B275E2" w:rsidRDefault="004E009C" w:rsidP="004E009C">
            <w:pPr>
              <w:pStyle w:val="TableTex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B275E2">
              <w:rPr>
                <w:rFonts w:cs="Calibri"/>
                <w:color w:val="000000"/>
              </w:rPr>
              <w:t>Business</w:t>
            </w:r>
          </w:p>
        </w:tc>
        <w:tc>
          <w:tcPr>
            <w:tcW w:w="708" w:type="dxa"/>
            <w:noWrap/>
            <w:hideMark/>
          </w:tcPr>
          <w:p w14:paraId="64232A1F" w14:textId="6AA0D035" w:rsidR="004E009C" w:rsidRPr="00B275E2" w:rsidRDefault="004E009C" w:rsidP="004E009C">
            <w:pPr>
              <w:pStyle w:val="TableTex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B275E2">
              <w:rPr>
                <w:rFonts w:eastAsia="Times New Roman" w:cs="Calibri"/>
                <w:color w:val="000000"/>
              </w:rPr>
              <w:t>pkm</w:t>
            </w:r>
          </w:p>
        </w:tc>
        <w:tc>
          <w:tcPr>
            <w:tcW w:w="1259" w:type="dxa"/>
            <w:shd w:val="clear" w:color="auto" w:fill="D2DDE1" w:themeFill="background2"/>
            <w:noWrap/>
          </w:tcPr>
          <w:p w14:paraId="3413DD46" w14:textId="0375C78C" w:rsidR="004E009C" w:rsidRPr="00B275E2" w:rsidRDefault="004E009C" w:rsidP="004E009C">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Pr>
                <w:rFonts w:cs="Calibri"/>
                <w:szCs w:val="18"/>
              </w:rPr>
              <w:t>0.227</w:t>
            </w:r>
          </w:p>
        </w:tc>
        <w:tc>
          <w:tcPr>
            <w:tcW w:w="1113" w:type="dxa"/>
            <w:shd w:val="clear" w:color="auto" w:fill="auto"/>
            <w:noWrap/>
          </w:tcPr>
          <w:p w14:paraId="791CA37D" w14:textId="1B1263F8" w:rsidR="004E009C" w:rsidRPr="00B275E2" w:rsidRDefault="004E009C" w:rsidP="004E009C">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Pr>
                <w:rFonts w:cs="Calibri"/>
                <w:szCs w:val="18"/>
              </w:rPr>
              <w:t>0.225</w:t>
            </w:r>
          </w:p>
        </w:tc>
        <w:tc>
          <w:tcPr>
            <w:tcW w:w="1113" w:type="dxa"/>
            <w:shd w:val="clear" w:color="auto" w:fill="auto"/>
            <w:noWrap/>
          </w:tcPr>
          <w:p w14:paraId="5AB8E32D" w14:textId="14D9B39C" w:rsidR="004E009C" w:rsidRPr="00B275E2" w:rsidRDefault="004E009C" w:rsidP="004E009C">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0A27DF">
              <w:rPr>
                <w:rFonts w:cs="Calibri"/>
                <w:szCs w:val="18"/>
              </w:rPr>
              <w:t>0.00002</w:t>
            </w:r>
          </w:p>
        </w:tc>
        <w:tc>
          <w:tcPr>
            <w:tcW w:w="1113" w:type="dxa"/>
            <w:tcBorders>
              <w:right w:val="single" w:sz="4" w:space="0" w:color="FFFFFF" w:themeColor="background1"/>
            </w:tcBorders>
            <w:shd w:val="clear" w:color="auto" w:fill="auto"/>
            <w:noWrap/>
          </w:tcPr>
          <w:p w14:paraId="01F01D6D" w14:textId="7995F751" w:rsidR="004E009C" w:rsidRPr="00B275E2" w:rsidRDefault="004E009C" w:rsidP="004E009C">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0A27DF">
              <w:rPr>
                <w:rFonts w:cs="Calibri"/>
                <w:szCs w:val="18"/>
              </w:rPr>
              <w:t>0.002</w:t>
            </w:r>
          </w:p>
        </w:tc>
      </w:tr>
      <w:tr w:rsidR="004E009C" w:rsidRPr="00B275E2" w14:paraId="77FB44A3" w14:textId="77777777" w:rsidTr="00C22686">
        <w:trPr>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left w:val="single" w:sz="4" w:space="0" w:color="FFFFFF" w:themeColor="background1"/>
            </w:tcBorders>
            <w:hideMark/>
          </w:tcPr>
          <w:p w14:paraId="339980CA" w14:textId="77777777" w:rsidR="004E009C" w:rsidRPr="00B275E2" w:rsidRDefault="004E009C" w:rsidP="004E009C">
            <w:pPr>
              <w:pStyle w:val="TableText"/>
              <w:rPr>
                <w:rFonts w:eastAsia="Times New Roman" w:cs="Calibri"/>
                <w:color w:val="000000"/>
              </w:rPr>
            </w:pPr>
          </w:p>
        </w:tc>
        <w:tc>
          <w:tcPr>
            <w:tcW w:w="1701" w:type="dxa"/>
            <w:noWrap/>
            <w:hideMark/>
          </w:tcPr>
          <w:p w14:paraId="22EEA511" w14:textId="3553F7B0" w:rsidR="004E009C" w:rsidRPr="00B275E2" w:rsidRDefault="004E009C" w:rsidP="004E009C">
            <w:pPr>
              <w:pStyle w:val="TableTex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B275E2">
              <w:rPr>
                <w:rFonts w:cs="Calibri"/>
                <w:color w:val="000000"/>
              </w:rPr>
              <w:t>First</w:t>
            </w:r>
          </w:p>
        </w:tc>
        <w:tc>
          <w:tcPr>
            <w:tcW w:w="708" w:type="dxa"/>
            <w:noWrap/>
            <w:hideMark/>
          </w:tcPr>
          <w:p w14:paraId="383F554B" w14:textId="2A7C5C8E" w:rsidR="004E009C" w:rsidRPr="00B275E2" w:rsidRDefault="004E009C" w:rsidP="004E009C">
            <w:pPr>
              <w:pStyle w:val="TableTex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B275E2">
              <w:rPr>
                <w:rFonts w:eastAsia="Times New Roman" w:cs="Calibri"/>
                <w:color w:val="000000"/>
              </w:rPr>
              <w:t>pkm</w:t>
            </w:r>
          </w:p>
        </w:tc>
        <w:tc>
          <w:tcPr>
            <w:tcW w:w="1259" w:type="dxa"/>
            <w:shd w:val="clear" w:color="auto" w:fill="D2DDE1" w:themeFill="background2"/>
            <w:noWrap/>
          </w:tcPr>
          <w:p w14:paraId="70B7E919" w14:textId="224B3E00" w:rsidR="004E009C" w:rsidRPr="00B275E2" w:rsidRDefault="004E009C" w:rsidP="004E009C">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Pr>
                <w:rFonts w:cs="Calibri"/>
                <w:szCs w:val="18"/>
              </w:rPr>
              <w:t>0.313</w:t>
            </w:r>
          </w:p>
        </w:tc>
        <w:tc>
          <w:tcPr>
            <w:tcW w:w="1113" w:type="dxa"/>
            <w:shd w:val="clear" w:color="auto" w:fill="auto"/>
            <w:noWrap/>
          </w:tcPr>
          <w:p w14:paraId="5A764F87" w14:textId="103E4B6E" w:rsidR="004E009C" w:rsidRPr="00B275E2" w:rsidRDefault="004E009C" w:rsidP="004E009C">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Pr>
                <w:rFonts w:cs="Calibri"/>
                <w:szCs w:val="18"/>
              </w:rPr>
              <w:t>0.313</w:t>
            </w:r>
          </w:p>
        </w:tc>
        <w:tc>
          <w:tcPr>
            <w:tcW w:w="1113" w:type="dxa"/>
            <w:shd w:val="clear" w:color="auto" w:fill="auto"/>
            <w:noWrap/>
          </w:tcPr>
          <w:p w14:paraId="07D5DA2B" w14:textId="13B39FBE" w:rsidR="004E009C" w:rsidRPr="00B275E2" w:rsidRDefault="004E009C" w:rsidP="004E009C">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0A27DF">
              <w:rPr>
                <w:rFonts w:cs="Calibri"/>
                <w:szCs w:val="18"/>
              </w:rPr>
              <w:t>0.00002</w:t>
            </w:r>
          </w:p>
        </w:tc>
        <w:tc>
          <w:tcPr>
            <w:tcW w:w="1113" w:type="dxa"/>
            <w:tcBorders>
              <w:right w:val="single" w:sz="4" w:space="0" w:color="FFFFFF" w:themeColor="background1"/>
            </w:tcBorders>
            <w:shd w:val="clear" w:color="auto" w:fill="auto"/>
            <w:noWrap/>
          </w:tcPr>
          <w:p w14:paraId="321F5B38" w14:textId="2A6AA25F" w:rsidR="004E009C" w:rsidRPr="00B275E2" w:rsidRDefault="004E009C" w:rsidP="004E009C">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0A27DF">
              <w:rPr>
                <w:rFonts w:cs="Calibri"/>
                <w:szCs w:val="18"/>
              </w:rPr>
              <w:t>0.003</w:t>
            </w:r>
          </w:p>
        </w:tc>
      </w:tr>
    </w:tbl>
    <w:p w14:paraId="33051245" w14:textId="56D8A80A" w:rsidR="004B7EAA" w:rsidRPr="00B275E2" w:rsidRDefault="004B7EAA" w:rsidP="00B941B1">
      <w:pPr>
        <w:pStyle w:val="Note"/>
      </w:pPr>
      <w:r w:rsidRPr="00B275E2">
        <w:t>Note</w:t>
      </w:r>
      <w:r w:rsidR="00E95D76" w:rsidRPr="00B275E2">
        <w:t>:</w:t>
      </w:r>
      <w:r w:rsidRPr="00B275E2">
        <w:t xml:space="preserve"> </w:t>
      </w:r>
      <w:r w:rsidR="00E95D76" w:rsidRPr="00B275E2">
        <w:t>T</w:t>
      </w:r>
      <w:r w:rsidRPr="00B275E2">
        <w:t xml:space="preserve">hese numbers are rounded to three </w:t>
      </w:r>
      <w:r w:rsidR="007F7FE2" w:rsidRPr="00B275E2">
        <w:t xml:space="preserve">decimal places </w:t>
      </w:r>
      <w:r w:rsidRPr="00B275E2">
        <w:t xml:space="preserve">unless the number is significantly small. </w:t>
      </w:r>
    </w:p>
    <w:p w14:paraId="4A139F1A" w14:textId="4880B1F8" w:rsidR="00B0279C" w:rsidRPr="00B275E2" w:rsidRDefault="00ED13A0" w:rsidP="00B941B1">
      <w:pPr>
        <w:pStyle w:val="BodyText"/>
      </w:pPr>
      <w:r w:rsidRPr="00C34F18">
        <w:rPr>
          <w:rStyle w:val="normaltextrun"/>
          <w:rFonts w:asciiTheme="minorHAnsi" w:eastAsiaTheme="majorEastAsia" w:hAnsiTheme="minorHAnsi"/>
        </w:rPr>
        <w:t xml:space="preserve">The </w:t>
      </w:r>
      <w:r w:rsidR="0055078B" w:rsidRPr="00C34F18">
        <w:rPr>
          <w:rStyle w:val="normaltextrun"/>
          <w:rFonts w:asciiTheme="minorHAnsi" w:eastAsiaTheme="majorEastAsia" w:hAnsiTheme="minorHAnsi"/>
        </w:rPr>
        <w:t>emission</w:t>
      </w:r>
      <w:r w:rsidRPr="00C34F18">
        <w:rPr>
          <w:rStyle w:val="normaltextrun"/>
          <w:rFonts w:asciiTheme="minorHAnsi" w:eastAsiaTheme="majorEastAsia" w:hAnsiTheme="minorHAnsi"/>
        </w:rPr>
        <w:t xml:space="preserve"> factors </w:t>
      </w:r>
      <w:r w:rsidR="0055078B" w:rsidRPr="00C34F18">
        <w:rPr>
          <w:rStyle w:val="normaltextrun"/>
          <w:rFonts w:asciiTheme="minorHAnsi" w:eastAsiaTheme="majorEastAsia" w:hAnsiTheme="minorHAnsi"/>
        </w:rPr>
        <w:t>from the</w:t>
      </w:r>
      <w:r w:rsidRPr="00C34F18">
        <w:rPr>
          <w:rStyle w:val="normaltextrun"/>
          <w:rFonts w:asciiTheme="minorHAnsi" w:eastAsiaTheme="majorEastAsia" w:hAnsiTheme="minorHAnsi"/>
        </w:rPr>
        <w:t xml:space="preserve"> UK BEIS </w:t>
      </w:r>
      <w:r w:rsidR="0055078B" w:rsidRPr="00C34F18">
        <w:rPr>
          <w:rStyle w:val="normaltextrun"/>
          <w:rFonts w:asciiTheme="minorHAnsi" w:eastAsiaTheme="majorEastAsia" w:hAnsiTheme="minorHAnsi"/>
        </w:rPr>
        <w:t xml:space="preserve">are calculated </w:t>
      </w:r>
      <w:r w:rsidRPr="00C34F18">
        <w:rPr>
          <w:rStyle w:val="normaltextrun"/>
          <w:rFonts w:asciiTheme="minorHAnsi" w:eastAsiaTheme="majorEastAsia" w:hAnsiTheme="minorHAnsi"/>
        </w:rPr>
        <w:t xml:space="preserve">regarding the indirect and direct climate change effects. </w:t>
      </w:r>
      <w:r w:rsidR="00271E9F" w:rsidRPr="00C34F18">
        <w:rPr>
          <w:rStyle w:val="normaltextrun"/>
          <w:rFonts w:asciiTheme="minorHAnsi" w:eastAsiaTheme="majorEastAsia" w:hAnsiTheme="minorHAnsi"/>
        </w:rPr>
        <w:t>For</w:t>
      </w:r>
      <w:r w:rsidRPr="00C34F18">
        <w:rPr>
          <w:rStyle w:val="normaltextrun"/>
          <w:rFonts w:asciiTheme="minorHAnsi" w:eastAsiaTheme="majorEastAsia" w:hAnsiTheme="minorHAnsi"/>
        </w:rPr>
        <w:t xml:space="preserve"> continuity in this guidance, we have categorised the international air travel emission factors by whether a radiative forcing multiplier was applied, as outlined in</w:t>
      </w:r>
      <w:r w:rsidRPr="00C34F18">
        <w:rPr>
          <w:rStyle w:val="normaltextrun"/>
          <w:rFonts w:asciiTheme="minorHAnsi" w:eastAsiaTheme="majorEastAsia" w:hAnsiTheme="minorHAnsi"/>
          <w:u w:val="single"/>
        </w:rPr>
        <w:t xml:space="preserve"> </w:t>
      </w:r>
      <w:hyperlink w:anchor="_Domestic_air_travel" w:history="1">
        <w:r w:rsidRPr="00C910C7">
          <w:rPr>
            <w:rStyle w:val="Hyperlink"/>
            <w:rFonts w:asciiTheme="minorHAnsi" w:eastAsiaTheme="majorEastAsia" w:hAnsiTheme="minorHAnsi"/>
          </w:rPr>
          <w:t>section 7.5.1</w:t>
        </w:r>
      </w:hyperlink>
      <w:r w:rsidRPr="00C34F18">
        <w:rPr>
          <w:rStyle w:val="normaltextrun"/>
          <w:rFonts w:asciiTheme="minorHAnsi" w:eastAsiaTheme="majorEastAsia" w:hAnsiTheme="minorHAnsi"/>
        </w:rPr>
        <w:t xml:space="preserve">. Further information can be found in paragraphs 8.37-8.41 in </w:t>
      </w:r>
      <w:hyperlink r:id="rId84" w:tgtFrame="_blank" w:history="1">
        <w:r w:rsidRPr="1127EA12">
          <w:rPr>
            <w:rStyle w:val="normaltextrun"/>
            <w:rFonts w:asciiTheme="minorHAnsi" w:eastAsiaTheme="majorEastAsia" w:hAnsiTheme="minorHAnsi"/>
            <w:color w:val="000000" w:themeColor="text1"/>
          </w:rPr>
          <w:t xml:space="preserve">the </w:t>
        </w:r>
        <w:r>
          <w:rPr>
            <w:rStyle w:val="normaltextrun"/>
            <w:rFonts w:asciiTheme="minorHAnsi" w:eastAsiaTheme="majorEastAsia" w:hAnsiTheme="minorHAnsi"/>
            <w:color w:val="000000" w:themeColor="text1"/>
          </w:rPr>
          <w:t xml:space="preserve">UK BEIS </w:t>
        </w:r>
        <w:r w:rsidRPr="007655FB">
          <w:rPr>
            <w:rStyle w:val="normaltextrun"/>
            <w:rFonts w:asciiTheme="minorHAnsi" w:eastAsiaTheme="majorEastAsia" w:hAnsiTheme="minorHAnsi"/>
            <w:color w:val="000000" w:themeColor="text1"/>
          </w:rPr>
          <w:t>2021 Government</w:t>
        </w:r>
        <w:r>
          <w:rPr>
            <w:rStyle w:val="normaltextrun"/>
            <w:rFonts w:asciiTheme="minorHAnsi" w:eastAsiaTheme="majorEastAsia" w:hAnsiTheme="minorHAnsi"/>
            <w:color w:val="000000" w:themeColor="text1"/>
          </w:rPr>
          <w:t xml:space="preserve"> </w:t>
        </w:r>
        <w:r w:rsidRPr="007655FB">
          <w:rPr>
            <w:rStyle w:val="normaltextrun"/>
            <w:rFonts w:asciiTheme="minorHAnsi" w:eastAsiaTheme="majorEastAsia" w:hAnsiTheme="minorHAnsi"/>
            <w:color w:val="000000" w:themeColor="text1"/>
          </w:rPr>
          <w:t>Greenhouse Gas</w:t>
        </w:r>
        <w:r>
          <w:rPr>
            <w:rStyle w:val="normaltextrun"/>
            <w:rFonts w:asciiTheme="minorHAnsi" w:eastAsiaTheme="majorEastAsia" w:hAnsiTheme="minorHAnsi"/>
            <w:color w:val="000000" w:themeColor="text1"/>
          </w:rPr>
          <w:t xml:space="preserve"> </w:t>
        </w:r>
        <w:r w:rsidRPr="007655FB">
          <w:rPr>
            <w:rStyle w:val="normaltextrun"/>
            <w:rFonts w:asciiTheme="minorHAnsi" w:eastAsiaTheme="majorEastAsia" w:hAnsiTheme="minorHAnsi"/>
            <w:color w:val="000000" w:themeColor="text1"/>
          </w:rPr>
          <w:t>Conversion Factors for</w:t>
        </w:r>
        <w:r>
          <w:rPr>
            <w:rStyle w:val="normaltextrun"/>
            <w:rFonts w:asciiTheme="minorHAnsi" w:eastAsiaTheme="majorEastAsia" w:hAnsiTheme="minorHAnsi"/>
            <w:color w:val="000000" w:themeColor="text1"/>
          </w:rPr>
          <w:t xml:space="preserve"> </w:t>
        </w:r>
        <w:r w:rsidRPr="007655FB">
          <w:rPr>
            <w:rStyle w:val="normaltextrun"/>
            <w:rFonts w:asciiTheme="minorHAnsi" w:eastAsiaTheme="majorEastAsia" w:hAnsiTheme="minorHAnsi"/>
            <w:color w:val="000000" w:themeColor="text1"/>
          </w:rPr>
          <w:t>Company Reporting</w:t>
        </w:r>
        <w:r>
          <w:rPr>
            <w:rStyle w:val="normaltextrun"/>
            <w:rFonts w:asciiTheme="minorHAnsi" w:eastAsiaTheme="majorEastAsia" w:hAnsiTheme="minorHAnsi"/>
            <w:color w:val="000000" w:themeColor="text1"/>
          </w:rPr>
          <w:t xml:space="preserve">: </w:t>
        </w:r>
        <w:r w:rsidRPr="007655FB">
          <w:rPr>
            <w:rStyle w:val="normaltextrun"/>
            <w:rFonts w:asciiTheme="minorHAnsi" w:eastAsiaTheme="majorEastAsia" w:hAnsiTheme="minorHAnsi"/>
            <w:color w:val="000000" w:themeColor="text1"/>
          </w:rPr>
          <w:t>Methodology</w:t>
        </w:r>
        <w:r>
          <w:rPr>
            <w:rStyle w:val="normaltextrun"/>
            <w:rFonts w:asciiTheme="minorHAnsi" w:eastAsiaTheme="majorEastAsia" w:hAnsiTheme="minorHAnsi"/>
            <w:color w:val="000000" w:themeColor="text1"/>
          </w:rPr>
          <w:t xml:space="preserve"> </w:t>
        </w:r>
        <w:r w:rsidRPr="007655FB">
          <w:rPr>
            <w:rStyle w:val="normaltextrun"/>
            <w:rFonts w:asciiTheme="minorHAnsi" w:eastAsiaTheme="majorEastAsia" w:hAnsiTheme="minorHAnsi"/>
            <w:color w:val="000000" w:themeColor="text1"/>
          </w:rPr>
          <w:t>Paper for Conversion factors Final Report</w:t>
        </w:r>
        <w:r w:rsidRPr="1127EA12">
          <w:rPr>
            <w:rStyle w:val="normaltextrun"/>
            <w:rFonts w:asciiTheme="minorHAnsi" w:eastAsiaTheme="majorEastAsia" w:hAnsiTheme="minorHAnsi"/>
            <w:color w:val="000000" w:themeColor="text1"/>
          </w:rPr>
          <w:t>.</w:t>
        </w:r>
      </w:hyperlink>
    </w:p>
    <w:p w14:paraId="724CFAB4" w14:textId="62E0ADD9" w:rsidR="00762CE1" w:rsidRPr="00B275E2" w:rsidRDefault="00301928" w:rsidP="006B7605">
      <w:pPr>
        <w:pStyle w:val="Heading3"/>
      </w:pPr>
      <w:bookmarkStart w:id="439" w:name="_Toc532904909"/>
      <w:r w:rsidRPr="00B275E2">
        <w:t xml:space="preserve">GHG </w:t>
      </w:r>
      <w:r w:rsidR="00762CE1" w:rsidRPr="00B275E2">
        <w:t>inventory development</w:t>
      </w:r>
      <w:bookmarkEnd w:id="439"/>
    </w:p>
    <w:p w14:paraId="2BD13621" w14:textId="164C2764" w:rsidR="00762CE1" w:rsidRPr="00B275E2" w:rsidRDefault="00762CE1" w:rsidP="004A5707">
      <w:pPr>
        <w:pStyle w:val="BodyText"/>
      </w:pPr>
      <w:r w:rsidRPr="00B275E2">
        <w:t xml:space="preserve">To calculate emissions for </w:t>
      </w:r>
      <w:r w:rsidR="00E22417" w:rsidRPr="00B275E2">
        <w:t xml:space="preserve">international </w:t>
      </w:r>
      <w:r w:rsidRPr="00B275E2">
        <w:t xml:space="preserve">air travel, </w:t>
      </w:r>
      <w:r w:rsidR="004B7EAA" w:rsidRPr="00B275E2">
        <w:t xml:space="preserve">gather </w:t>
      </w:r>
      <w:r w:rsidRPr="00B275E2">
        <w:t>the information on how far each passenger flew for each flight.</w:t>
      </w:r>
      <w:r w:rsidR="002305C2" w:rsidRPr="00B275E2">
        <w:t xml:space="preserve"> </w:t>
      </w:r>
      <w:r w:rsidR="004B7EAA" w:rsidRPr="00B275E2">
        <w:t>Multiply t</w:t>
      </w:r>
      <w:r w:rsidRPr="00B275E2">
        <w:t>his by the factors in</w:t>
      </w:r>
      <w:r w:rsidR="00D02436" w:rsidRPr="00B275E2">
        <w:t xml:space="preserve"> table </w:t>
      </w:r>
      <w:r w:rsidR="00521227">
        <w:t>48</w:t>
      </w:r>
      <w:r w:rsidRPr="00B275E2">
        <w:t xml:space="preserve">. </w:t>
      </w:r>
      <w:r w:rsidR="00233116" w:rsidRPr="00B275E2">
        <w:t>U</w:t>
      </w:r>
      <w:r w:rsidR="004B7EAA" w:rsidRPr="00B275E2">
        <w:t>se t</w:t>
      </w:r>
      <w:r w:rsidR="002305C2" w:rsidRPr="00B275E2">
        <w:t xml:space="preserve">he specified emission factors for different cabin classes </w:t>
      </w:r>
      <w:r w:rsidR="00560990" w:rsidRPr="00B275E2">
        <w:t xml:space="preserve">if </w:t>
      </w:r>
      <w:r w:rsidR="002305C2" w:rsidRPr="00B275E2">
        <w:t>information is available</w:t>
      </w:r>
      <w:r w:rsidR="00560990" w:rsidRPr="00B275E2">
        <w:t>. I</w:t>
      </w:r>
      <w:r w:rsidR="004B7EAA" w:rsidRPr="00B275E2">
        <w:t>f unknown</w:t>
      </w:r>
      <w:r w:rsidR="00560990" w:rsidRPr="00B275E2">
        <w:t>,</w:t>
      </w:r>
      <w:r w:rsidR="004B7EAA" w:rsidRPr="00B275E2">
        <w:t xml:space="preserve"> use t</w:t>
      </w:r>
      <w:r w:rsidR="002305C2" w:rsidRPr="00B275E2">
        <w:t xml:space="preserve">he average emission factors. </w:t>
      </w:r>
      <w:r w:rsidR="004B7EAA" w:rsidRPr="00B275E2">
        <w:t>Applying the equation</w:t>
      </w:r>
      <w:r w:rsidR="00883A1A" w:rsidRPr="00B275E2">
        <w:t xml:space="preserve"> </w:t>
      </w:r>
      <w:r w:rsidR="00E71782" w:rsidRPr="00B275E2">
        <w:t>E= Q x F (</w:t>
      </w:r>
      <w:hyperlink w:anchor="_How_to_quantify" w:history="1">
        <w:r w:rsidR="00701203" w:rsidRPr="00B275E2">
          <w:rPr>
            <w:rStyle w:val="Hyperlink"/>
          </w:rPr>
          <w:t>section 2</w:t>
        </w:r>
      </w:hyperlink>
      <w:r w:rsidR="00E71782" w:rsidRPr="00B275E2">
        <w:rPr>
          <w:rStyle w:val="Hyperlink"/>
          <w:color w:val="auto"/>
        </w:rPr>
        <w:t>)</w:t>
      </w:r>
      <w:r w:rsidR="004B7EAA" w:rsidRPr="00B275E2">
        <w:rPr>
          <w:i/>
        </w:rPr>
        <w:t>,</w:t>
      </w:r>
      <w:r w:rsidR="004B7EAA" w:rsidRPr="00B275E2">
        <w:t xml:space="preserve"> this means</w:t>
      </w:r>
      <w:r w:rsidRPr="00B275E2">
        <w:t>:</w:t>
      </w:r>
    </w:p>
    <w:p w14:paraId="05949CB2" w14:textId="0C5CA216" w:rsidR="00E71782" w:rsidRPr="00B275E2" w:rsidRDefault="00E71782" w:rsidP="00B941B1">
      <w:pPr>
        <w:pStyle w:val="BodyText"/>
        <w:tabs>
          <w:tab w:val="left" w:pos="680"/>
          <w:tab w:val="left" w:pos="1134"/>
        </w:tabs>
        <w:contextualSpacing/>
      </w:pPr>
      <w:r w:rsidRPr="00B275E2">
        <w:t>E</w:t>
      </w:r>
      <w:r w:rsidRPr="00B275E2">
        <w:tab/>
        <w:t>=</w:t>
      </w:r>
      <w:r w:rsidRPr="00B275E2">
        <w:tab/>
        <w:t>emissions from the emissions source in kg CO</w:t>
      </w:r>
      <w:r w:rsidRPr="00B275E2">
        <w:rPr>
          <w:vertAlign w:val="subscript"/>
        </w:rPr>
        <w:t>2</w:t>
      </w:r>
      <w:r w:rsidRPr="00B275E2">
        <w:t>-e per year</w:t>
      </w:r>
    </w:p>
    <w:p w14:paraId="14164ACF" w14:textId="39FEF89E" w:rsidR="00762CE1" w:rsidRPr="00B275E2" w:rsidRDefault="00EB6D3D" w:rsidP="00B941B1">
      <w:pPr>
        <w:pStyle w:val="BodyText"/>
        <w:tabs>
          <w:tab w:val="left" w:pos="680"/>
          <w:tab w:val="left" w:pos="1134"/>
        </w:tabs>
        <w:contextualSpacing/>
      </w:pPr>
      <w:r w:rsidRPr="00B275E2">
        <w:t>Q</w:t>
      </w:r>
      <w:r w:rsidRPr="00B275E2">
        <w:tab/>
        <w:t>=</w:t>
      </w:r>
      <w:r w:rsidRPr="00B275E2">
        <w:tab/>
      </w:r>
      <w:r w:rsidR="00560990" w:rsidRPr="00B275E2">
        <w:t>p</w:t>
      </w:r>
      <w:r w:rsidR="00762CE1" w:rsidRPr="00B275E2">
        <w:t>assengers multiplied by distance flown (pkm)</w:t>
      </w:r>
    </w:p>
    <w:p w14:paraId="3640B13B" w14:textId="19E0CCC2" w:rsidR="00762CE1" w:rsidRPr="00B275E2" w:rsidRDefault="00EB6D3D" w:rsidP="00B941B1">
      <w:pPr>
        <w:pStyle w:val="BodyText"/>
        <w:tabs>
          <w:tab w:val="left" w:pos="680"/>
          <w:tab w:val="left" w:pos="1134"/>
        </w:tabs>
        <w:spacing w:after="240"/>
        <w:contextualSpacing/>
      </w:pPr>
      <w:r w:rsidRPr="00B275E2">
        <w:t>F</w:t>
      </w:r>
      <w:r w:rsidR="00810A24" w:rsidRPr="00B275E2">
        <w:tab/>
      </w:r>
      <w:r w:rsidRPr="00B275E2">
        <w:t>=</w:t>
      </w:r>
      <w:r w:rsidR="00810A24" w:rsidRPr="00B275E2">
        <w:tab/>
      </w:r>
      <w:r w:rsidR="004B7EAA" w:rsidRPr="00B275E2">
        <w:t>appropriate</w:t>
      </w:r>
      <w:r w:rsidR="004B7EAA" w:rsidRPr="00B275E2">
        <w:rPr>
          <w:szCs w:val="28"/>
        </w:rPr>
        <w:t xml:space="preserve"> emission factors from </w:t>
      </w:r>
      <w:r w:rsidR="00810A24" w:rsidRPr="00B275E2">
        <w:rPr>
          <w:szCs w:val="28"/>
        </w:rPr>
        <w:t xml:space="preserve">table </w:t>
      </w:r>
      <w:r w:rsidR="00521227">
        <w:rPr>
          <w:szCs w:val="28"/>
        </w:rPr>
        <w:t>48</w:t>
      </w:r>
      <w:r w:rsidR="0038016E" w:rsidRPr="00B275E2">
        <w:rPr>
          <w:szCs w:val="28"/>
        </w:rPr>
        <w:t xml:space="preserve"> </w:t>
      </w:r>
      <w:r w:rsidR="0061200C" w:rsidRPr="00B275E2">
        <w:rPr>
          <w:szCs w:val="28"/>
        </w:rPr>
        <w:t xml:space="preserve">or </w:t>
      </w:r>
      <w:r w:rsidR="00810A24" w:rsidRPr="00B275E2">
        <w:rPr>
          <w:szCs w:val="28"/>
        </w:rPr>
        <w:t xml:space="preserve">table </w:t>
      </w:r>
      <w:r w:rsidR="00521227">
        <w:rPr>
          <w:szCs w:val="28"/>
        </w:rPr>
        <w:t>49</w:t>
      </w:r>
    </w:p>
    <w:tbl>
      <w:tblPr>
        <w:tblW w:w="8562"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62"/>
      </w:tblGrid>
      <w:tr w:rsidR="00381D07" w:rsidRPr="00B275E2" w14:paraId="174D308B" w14:textId="77777777" w:rsidTr="61AD9701">
        <w:tc>
          <w:tcPr>
            <w:tcW w:w="8500" w:type="dxa"/>
            <w:tcBorders>
              <w:top w:val="single" w:sz="4" w:space="0" w:color="0F7B7D"/>
              <w:left w:val="single" w:sz="4" w:space="0" w:color="0F7B7D"/>
              <w:bottom w:val="nil"/>
              <w:right w:val="single" w:sz="4" w:space="0" w:color="0F7B7D"/>
            </w:tcBorders>
            <w:shd w:val="clear" w:color="auto" w:fill="0F7B7D"/>
            <w:vAlign w:val="center"/>
          </w:tcPr>
          <w:p w14:paraId="3A818EB9" w14:textId="571CC7D9" w:rsidR="00381D07" w:rsidRPr="00B275E2" w:rsidDel="00D5390D" w:rsidRDefault="00560990" w:rsidP="00B11474">
            <w:pPr>
              <w:pStyle w:val="Casestudyheading"/>
            </w:pPr>
            <w:r w:rsidRPr="00B275E2">
              <w:t xml:space="preserve">INTERNATIONAL AIR TRAVEL: </w:t>
            </w:r>
            <w:r w:rsidR="00381D07" w:rsidRPr="00B275E2">
              <w:t>Example Calculation</w:t>
            </w:r>
          </w:p>
        </w:tc>
      </w:tr>
      <w:tr w:rsidR="00381D07" w:rsidRPr="00B275E2" w14:paraId="28A32D96" w14:textId="77777777" w:rsidTr="61AD9701">
        <w:tc>
          <w:tcPr>
            <w:tcW w:w="8500" w:type="dxa"/>
            <w:tcBorders>
              <w:top w:val="nil"/>
              <w:left w:val="single" w:sz="4" w:space="0" w:color="D2DDE1" w:themeColor="background2"/>
              <w:bottom w:val="single" w:sz="4" w:space="0" w:color="D2DDE1" w:themeColor="background2"/>
              <w:right w:val="single" w:sz="4" w:space="0" w:color="D2DDE1" w:themeColor="background2"/>
            </w:tcBorders>
            <w:shd w:val="clear" w:color="auto" w:fill="D5EBE8" w:themeFill="accent3"/>
          </w:tcPr>
          <w:p w14:paraId="102AC666" w14:textId="50B7EEBF" w:rsidR="00381D07" w:rsidRPr="00B275E2" w:rsidRDefault="00381D07" w:rsidP="008A166B">
            <w:pPr>
              <w:pStyle w:val="Boxtext"/>
              <w:spacing w:after="80"/>
            </w:pPr>
            <w:r w:rsidRPr="00B275E2">
              <w:t>An organisation makes five flights from Auckland to Shanghai (</w:t>
            </w:r>
            <w:r w:rsidR="000A4E28" w:rsidRPr="00B275E2">
              <w:t>9</w:t>
            </w:r>
            <w:r w:rsidR="00B22FE9" w:rsidRPr="00B275E2">
              <w:t>,</w:t>
            </w:r>
            <w:r w:rsidR="000A4E28" w:rsidRPr="00B275E2">
              <w:t xml:space="preserve">346 </w:t>
            </w:r>
            <w:r w:rsidRPr="00B275E2">
              <w:t xml:space="preserve">km each way). On the first </w:t>
            </w:r>
            <w:r w:rsidR="0012103C" w:rsidRPr="00B275E2">
              <w:t xml:space="preserve">trip, </w:t>
            </w:r>
            <w:r w:rsidRPr="00B275E2">
              <w:t xml:space="preserve">two people flew return to Shanghai on the same flight in economy class. On the second </w:t>
            </w:r>
            <w:r w:rsidR="0012103C" w:rsidRPr="00B275E2">
              <w:t xml:space="preserve">trip, </w:t>
            </w:r>
            <w:r w:rsidRPr="00B275E2">
              <w:t xml:space="preserve">three people flew return to Shanghai and the cabin classes were not recorded. </w:t>
            </w:r>
            <w:r w:rsidR="00F87186" w:rsidRPr="00B275E2">
              <w:t>L</w:t>
            </w:r>
            <w:r w:rsidR="007F6E98" w:rsidRPr="00B275E2">
              <w:t>ong</w:t>
            </w:r>
            <w:r w:rsidR="007F6E98" w:rsidRPr="00B275E2">
              <w:noBreakHyphen/>
            </w:r>
            <w:r w:rsidR="00F87186" w:rsidRPr="00B275E2">
              <w:t>haul</w:t>
            </w:r>
            <w:r w:rsidR="008A166B" w:rsidRPr="00B275E2">
              <w:t xml:space="preserve"> </w:t>
            </w:r>
            <w:r w:rsidR="007F6E98" w:rsidRPr="00B275E2">
              <w:t>(&gt;3700 km) emission factor</w:t>
            </w:r>
            <w:r w:rsidR="00F87186" w:rsidRPr="00B275E2">
              <w:t>s</w:t>
            </w:r>
            <w:r w:rsidR="007F6E98" w:rsidRPr="00B275E2">
              <w:t xml:space="preserve"> </w:t>
            </w:r>
            <w:r w:rsidR="0055078B">
              <w:t>with radiative forcing</w:t>
            </w:r>
            <w:r w:rsidR="000E4749" w:rsidRPr="00B275E2">
              <w:t xml:space="preserve"> </w:t>
            </w:r>
            <w:r w:rsidR="00F87186" w:rsidRPr="00B275E2">
              <w:t>are</w:t>
            </w:r>
            <w:r w:rsidR="007F6E98" w:rsidRPr="00B275E2">
              <w:t xml:space="preserve"> used</w:t>
            </w:r>
            <w:r w:rsidR="00BB3CFC" w:rsidRPr="00B275E2">
              <w:t>.</w:t>
            </w:r>
            <w:r w:rsidR="00F87186" w:rsidRPr="00B275E2">
              <w:t xml:space="preserve"> </w:t>
            </w:r>
          </w:p>
          <w:p w14:paraId="58891324" w14:textId="3F560188" w:rsidR="00704476" w:rsidRDefault="00704476" w:rsidP="00704476">
            <w:pPr>
              <w:pStyle w:val="Boxtext"/>
              <w:spacing w:after="80"/>
            </w:pPr>
            <w:r>
              <w:t xml:space="preserve">For the two people who travel economy class: </w:t>
            </w:r>
          </w:p>
          <w:p w14:paraId="1DB024F2" w14:textId="3F560188" w:rsidR="00704476" w:rsidRDefault="00704476" w:rsidP="00704476">
            <w:pPr>
              <w:pStyle w:val="Boxtext"/>
              <w:spacing w:after="80"/>
            </w:pPr>
            <w:r>
              <w:lastRenderedPageBreak/>
              <w:t>Passenger kilometres travelled</w:t>
            </w:r>
            <w:r>
              <w:tab/>
            </w:r>
            <w:r>
              <w:tab/>
            </w:r>
            <w:r>
              <w:tab/>
              <w:t xml:space="preserve"> = (2 × 9,346) × 2</w:t>
            </w:r>
            <w:r>
              <w:tab/>
              <w:t xml:space="preserve"> = 37,384 pkm</w:t>
            </w:r>
          </w:p>
          <w:p w14:paraId="09861BBA" w14:textId="3F560188" w:rsidR="00704476" w:rsidRDefault="00704476" w:rsidP="00704476">
            <w:pPr>
              <w:pStyle w:val="Boxtext"/>
              <w:spacing w:after="80"/>
            </w:pPr>
            <w:r>
              <w:t>Their CO</w:t>
            </w:r>
            <w:r w:rsidRPr="61AD9701">
              <w:rPr>
                <w:vertAlign w:val="subscript"/>
              </w:rPr>
              <w:t>2</w:t>
            </w:r>
            <w:r>
              <w:t xml:space="preserve">-e emissions from air travel </w:t>
            </w:r>
            <w:r>
              <w:tab/>
              <w:t xml:space="preserve"> = 37,384 × 0.148</w:t>
            </w:r>
            <w:r>
              <w:tab/>
              <w:t xml:space="preserve"> = 5,532 kg CO2-e </w:t>
            </w:r>
          </w:p>
          <w:p w14:paraId="78E270CE" w14:textId="3F560188" w:rsidR="00704476" w:rsidRDefault="00704476" w:rsidP="00704476">
            <w:pPr>
              <w:pStyle w:val="Boxtext"/>
              <w:spacing w:after="80"/>
            </w:pPr>
            <w:r>
              <w:t xml:space="preserve">For the three people with unknown travel classes: </w:t>
            </w:r>
          </w:p>
          <w:p w14:paraId="220E7E8E" w14:textId="3F560188" w:rsidR="00704476" w:rsidRDefault="00704476" w:rsidP="00704476">
            <w:pPr>
              <w:pStyle w:val="Boxtext"/>
              <w:spacing w:after="80"/>
            </w:pPr>
            <w:r>
              <w:t>Passenger kilometres travelled</w:t>
            </w:r>
            <w:r>
              <w:tab/>
            </w:r>
            <w:r>
              <w:tab/>
            </w:r>
            <w:r>
              <w:tab/>
              <w:t xml:space="preserve"> = (3 × 9,346) × 2</w:t>
            </w:r>
            <w:r>
              <w:tab/>
              <w:t>= 56,076 pkm</w:t>
            </w:r>
          </w:p>
          <w:p w14:paraId="2119E0D5" w14:textId="3F560188" w:rsidR="00704476" w:rsidRDefault="00704476" w:rsidP="00704476">
            <w:pPr>
              <w:pStyle w:val="Boxtext"/>
              <w:spacing w:after="80"/>
            </w:pPr>
            <w:r>
              <w:t>Their CO</w:t>
            </w:r>
            <w:r w:rsidRPr="61AD9701">
              <w:rPr>
                <w:vertAlign w:val="subscript"/>
              </w:rPr>
              <w:t>2</w:t>
            </w:r>
            <w:r>
              <w:t xml:space="preserve">-e emissions from air travel </w:t>
            </w:r>
            <w:r>
              <w:tab/>
              <w:t xml:space="preserve"> = 56,076 × 0.193</w:t>
            </w:r>
            <w:r>
              <w:tab/>
              <w:t xml:space="preserve">= 10,822 kg CO2-e </w:t>
            </w:r>
          </w:p>
          <w:p w14:paraId="78D31DA6" w14:textId="3F560188" w:rsidR="00704476" w:rsidRDefault="00704476" w:rsidP="00704476">
            <w:pPr>
              <w:pStyle w:val="Boxtext"/>
              <w:spacing w:after="80"/>
            </w:pPr>
            <w:r>
              <w:t>Total CO</w:t>
            </w:r>
            <w:r w:rsidRPr="61AD9701">
              <w:rPr>
                <w:vertAlign w:val="subscript"/>
              </w:rPr>
              <w:t>2</w:t>
            </w:r>
            <w:r>
              <w:t xml:space="preserve">-e emissions from international air travel </w:t>
            </w:r>
            <w:r>
              <w:tab/>
              <w:t>= 5,532 + 10,822</w:t>
            </w:r>
            <w:r>
              <w:tab/>
              <w:t>= 16,354 kg CO2-e</w:t>
            </w:r>
          </w:p>
          <w:p w14:paraId="4DF3343B" w14:textId="3F560188" w:rsidR="00704476" w:rsidRDefault="00704476" w:rsidP="00704476">
            <w:pPr>
              <w:pStyle w:val="Boxtext"/>
              <w:spacing w:after="180"/>
            </w:pPr>
            <w:r>
              <w:t>Total CO</w:t>
            </w:r>
            <w:r w:rsidRPr="61AD9701">
              <w:rPr>
                <w:vertAlign w:val="subscript"/>
              </w:rPr>
              <w:t>2</w:t>
            </w:r>
            <w:r>
              <w:t xml:space="preserve">-e with distance uplift </w:t>
            </w:r>
            <w:r>
              <w:tab/>
              <w:t xml:space="preserve">= 16,354 × 1.09 </w:t>
            </w:r>
            <w:r>
              <w:tab/>
              <w:t>= 17,825 kg CO</w:t>
            </w:r>
            <w:r w:rsidRPr="61AD9701">
              <w:rPr>
                <w:vertAlign w:val="subscript"/>
              </w:rPr>
              <w:t>2</w:t>
            </w:r>
            <w:r>
              <w:t>-e</w:t>
            </w:r>
          </w:p>
          <w:p w14:paraId="5D693856" w14:textId="3FB5831A" w:rsidR="00D9313E" w:rsidRPr="00B275E2" w:rsidRDefault="00D9313E" w:rsidP="00704476">
            <w:pPr>
              <w:pStyle w:val="Boxtext"/>
              <w:spacing w:after="180"/>
            </w:pPr>
            <w:r w:rsidRPr="61AD9701">
              <w:rPr>
                <w:sz w:val="18"/>
                <w:szCs w:val="18"/>
              </w:rPr>
              <w:t>Note</w:t>
            </w:r>
            <w:r w:rsidR="00E964B5" w:rsidRPr="61AD9701">
              <w:rPr>
                <w:sz w:val="18"/>
                <w:szCs w:val="18"/>
              </w:rPr>
              <w:t>:</w:t>
            </w:r>
            <w:r w:rsidRPr="61AD9701">
              <w:rPr>
                <w:sz w:val="18"/>
                <w:szCs w:val="18"/>
              </w:rPr>
              <w:t xml:space="preserve"> </w:t>
            </w:r>
            <w:r w:rsidR="00E964B5" w:rsidRPr="61AD9701">
              <w:rPr>
                <w:sz w:val="18"/>
                <w:szCs w:val="18"/>
              </w:rPr>
              <w:t>N</w:t>
            </w:r>
            <w:r w:rsidRPr="61AD9701">
              <w:rPr>
                <w:sz w:val="18"/>
                <w:szCs w:val="18"/>
              </w:rPr>
              <w:t>umbers may not add due to rounding</w:t>
            </w:r>
            <w:r w:rsidR="00B22FE9" w:rsidRPr="61AD9701">
              <w:rPr>
                <w:sz w:val="18"/>
                <w:szCs w:val="18"/>
              </w:rPr>
              <w:t>.</w:t>
            </w:r>
          </w:p>
        </w:tc>
      </w:tr>
    </w:tbl>
    <w:p w14:paraId="650922D4" w14:textId="0BCEC41E" w:rsidR="003462B4" w:rsidRPr="00B275E2" w:rsidRDefault="0054105F" w:rsidP="006B7605">
      <w:pPr>
        <w:pStyle w:val="Heading3"/>
      </w:pPr>
      <w:bookmarkStart w:id="440" w:name="_Toc532904910"/>
      <w:r w:rsidRPr="00B275E2">
        <w:lastRenderedPageBreak/>
        <w:t>Emission factor derivation methodology</w:t>
      </w:r>
      <w:bookmarkEnd w:id="440"/>
    </w:p>
    <w:p w14:paraId="650922D5" w14:textId="1F67B75C" w:rsidR="00017EB3" w:rsidRPr="00B275E2" w:rsidRDefault="00017EB3" w:rsidP="007F0B1E">
      <w:pPr>
        <w:pStyle w:val="BodyText"/>
        <w:rPr>
          <w:highlight w:val="green"/>
        </w:rPr>
      </w:pPr>
      <w:r w:rsidRPr="00B275E2">
        <w:t xml:space="preserve">The </w:t>
      </w:r>
      <w:hyperlink r:id="rId85" w:history="1">
        <w:r w:rsidR="00181039" w:rsidRPr="00B275E2">
          <w:rPr>
            <w:rStyle w:val="Hyperlink"/>
            <w:rFonts w:eastAsia="Times New Roman" w:cs="Times New Roman"/>
          </w:rPr>
          <w:t>UK BEIS emission factors</w:t>
        </w:r>
      </w:hyperlink>
      <w:r w:rsidR="00181039" w:rsidRPr="00B275E2">
        <w:rPr>
          <w:rStyle w:val="Hyperlink"/>
          <w:rFonts w:eastAsia="Times New Roman" w:cs="Times New Roman"/>
        </w:rPr>
        <w:t xml:space="preserve"> </w:t>
      </w:r>
      <w:r w:rsidRPr="00B275E2">
        <w:t xml:space="preserve">publication discusses the methodology in more detail, including changes over time. </w:t>
      </w:r>
    </w:p>
    <w:p w14:paraId="650922D6" w14:textId="1C524988" w:rsidR="0054105F" w:rsidRPr="00B275E2" w:rsidRDefault="500DFA64" w:rsidP="006B7605">
      <w:pPr>
        <w:pStyle w:val="Heading3"/>
      </w:pPr>
      <w:bookmarkStart w:id="441" w:name="_Assumptions,_limitations_and"/>
      <w:bookmarkStart w:id="442" w:name="_Toc532904911"/>
      <w:bookmarkStart w:id="443" w:name="_Ref527594"/>
      <w:bookmarkEnd w:id="441"/>
      <w:r>
        <w:t>Assumptions, limitations and uncertainties</w:t>
      </w:r>
      <w:bookmarkEnd w:id="442"/>
      <w:bookmarkEnd w:id="443"/>
    </w:p>
    <w:p w14:paraId="650922D8" w14:textId="5F482BA8" w:rsidR="00925EA5" w:rsidRPr="00B275E2" w:rsidRDefault="007F7FE2" w:rsidP="00B11474">
      <w:pPr>
        <w:pStyle w:val="BodyText"/>
        <w:spacing w:before="100" w:after="100"/>
        <w:jc w:val="both"/>
      </w:pPr>
      <w:r w:rsidRPr="00B275E2">
        <w:t>T</w:t>
      </w:r>
      <w:r w:rsidR="00925EA5" w:rsidRPr="00B275E2">
        <w:t>he emission factors in</w:t>
      </w:r>
      <w:r w:rsidR="00976411" w:rsidRPr="00B275E2">
        <w:t xml:space="preserve"> table </w:t>
      </w:r>
      <w:r w:rsidR="00521227">
        <w:t>48</w:t>
      </w:r>
      <w:r w:rsidR="00925EA5" w:rsidRPr="00B275E2">
        <w:t xml:space="preserve"> </w:t>
      </w:r>
      <w:r w:rsidR="002305C2" w:rsidRPr="00B275E2">
        <w:t xml:space="preserve">and </w:t>
      </w:r>
      <w:r w:rsidR="00976411" w:rsidRPr="00B275E2">
        <w:t xml:space="preserve">table </w:t>
      </w:r>
      <w:r w:rsidR="00521227">
        <w:t>49</w:t>
      </w:r>
      <w:r w:rsidR="002305C2" w:rsidRPr="00B275E2">
        <w:t xml:space="preserve"> </w:t>
      </w:r>
      <w:r w:rsidRPr="00B275E2">
        <w:t xml:space="preserve">are based </w:t>
      </w:r>
      <w:r w:rsidR="00925EA5" w:rsidRPr="00B275E2">
        <w:t>on UK and European data. The short</w:t>
      </w:r>
      <w:r w:rsidR="00C040DE" w:rsidRPr="00B275E2">
        <w:t>-</w:t>
      </w:r>
      <w:r w:rsidR="00925EA5" w:rsidRPr="00B275E2">
        <w:t xml:space="preserve">haul emission factor </w:t>
      </w:r>
      <w:r w:rsidR="00C040DE" w:rsidRPr="00B275E2">
        <w:t xml:space="preserve">applies </w:t>
      </w:r>
      <w:r w:rsidR="00925EA5" w:rsidRPr="00B275E2">
        <w:t xml:space="preserve">to international flights </w:t>
      </w:r>
      <w:r w:rsidR="00E964B5" w:rsidRPr="00B275E2">
        <w:t xml:space="preserve">of </w:t>
      </w:r>
      <w:r w:rsidR="00925EA5" w:rsidRPr="00B275E2">
        <w:t>less than 3</w:t>
      </w:r>
      <w:r w:rsidR="00B22FE9" w:rsidRPr="00B275E2">
        <w:t>,</w:t>
      </w:r>
      <w:r w:rsidR="00925EA5" w:rsidRPr="00B275E2">
        <w:t>700 km</w:t>
      </w:r>
      <w:r w:rsidR="00E964B5" w:rsidRPr="00B275E2">
        <w:t>. T</w:t>
      </w:r>
      <w:r w:rsidR="00925EA5" w:rsidRPr="00B275E2">
        <w:t>he long</w:t>
      </w:r>
      <w:r w:rsidR="00C040DE" w:rsidRPr="00B275E2">
        <w:t>-</w:t>
      </w:r>
      <w:r w:rsidR="00925EA5" w:rsidRPr="00B275E2">
        <w:t>haul factor applie</w:t>
      </w:r>
      <w:r w:rsidR="00C040DE" w:rsidRPr="00B275E2">
        <w:t>s</w:t>
      </w:r>
      <w:r w:rsidR="00925EA5" w:rsidRPr="00B275E2">
        <w:t xml:space="preserve"> to flights </w:t>
      </w:r>
      <w:r w:rsidR="00E964B5" w:rsidRPr="00B275E2">
        <w:t xml:space="preserve">of more </w:t>
      </w:r>
      <w:r w:rsidR="00925EA5" w:rsidRPr="00B275E2">
        <w:t>than 3</w:t>
      </w:r>
      <w:r w:rsidR="00B22FE9" w:rsidRPr="00B275E2">
        <w:t>,</w:t>
      </w:r>
      <w:r w:rsidR="00925EA5" w:rsidRPr="00B275E2">
        <w:t>700 km</w:t>
      </w:r>
      <w:r w:rsidR="002305C2" w:rsidRPr="00B275E2">
        <w:t>.</w:t>
      </w:r>
    </w:p>
    <w:p w14:paraId="650922D9" w14:textId="536C0E0E" w:rsidR="00925EA5" w:rsidRPr="00B275E2" w:rsidRDefault="00925EA5" w:rsidP="00B11474">
      <w:pPr>
        <w:pStyle w:val="BodyText"/>
        <w:spacing w:before="100" w:after="100"/>
      </w:pPr>
      <w:r w:rsidRPr="00B275E2">
        <w:t xml:space="preserve">The UK </w:t>
      </w:r>
      <w:r w:rsidR="00C040DE" w:rsidRPr="00B275E2">
        <w:t>BEIS</w:t>
      </w:r>
      <w:r w:rsidRPr="00B275E2">
        <w:t xml:space="preserve"> endorses a great circle distance uplift factor to account</w:t>
      </w:r>
      <w:r w:rsidR="0087475C" w:rsidRPr="00B275E2">
        <w:t xml:space="preserve"> for</w:t>
      </w:r>
      <w:r w:rsidRPr="00B275E2">
        <w:t xml:space="preserve"> non-direct (ie, not along the straight-line/great-circle between destinations) routes and delays/circling. The </w:t>
      </w:r>
      <w:r w:rsidR="00E964B5" w:rsidRPr="00B275E2">
        <w:t xml:space="preserve">8 </w:t>
      </w:r>
      <w:r w:rsidRPr="00B275E2">
        <w:t xml:space="preserve">per cent uplift factor applied by UK </w:t>
      </w:r>
      <w:r w:rsidR="00C040DE" w:rsidRPr="00B275E2">
        <w:t>BEIS</w:t>
      </w:r>
      <w:r w:rsidRPr="00B275E2">
        <w:t xml:space="preserve"> is based on the analysis of flights arriving and departing from the</w:t>
      </w:r>
      <w:r w:rsidR="000558A5" w:rsidRPr="00B275E2">
        <w:t> </w:t>
      </w:r>
      <w:r w:rsidRPr="00B275E2">
        <w:t xml:space="preserve">UK. This figure is likely to be overstated </w:t>
      </w:r>
      <w:r w:rsidR="00233116" w:rsidRPr="00B275E2">
        <w:t xml:space="preserve">for international flights to/from </w:t>
      </w:r>
      <w:r w:rsidRPr="00B275E2">
        <w:t>New Zealand (initial</w:t>
      </w:r>
      <w:r w:rsidR="000558A5" w:rsidRPr="00B275E2">
        <w:t> </w:t>
      </w:r>
      <w:r w:rsidRPr="00B275E2">
        <w:t xml:space="preserve">estimates from Airways New Zealand </w:t>
      </w:r>
      <w:r w:rsidR="00233116" w:rsidRPr="00B275E2">
        <w:t>suggest</w:t>
      </w:r>
      <w:r w:rsidRPr="00B275E2">
        <w:t xml:space="preserve"> </w:t>
      </w:r>
      <w:r w:rsidR="00BC1AAD" w:rsidRPr="00B275E2">
        <w:t>it</w:t>
      </w:r>
      <w:r w:rsidRPr="00B275E2">
        <w:t xml:space="preserve"> is likely to be less than </w:t>
      </w:r>
      <w:r w:rsidR="00E964B5" w:rsidRPr="00B275E2">
        <w:t xml:space="preserve">5 </w:t>
      </w:r>
      <w:r w:rsidRPr="00B275E2">
        <w:t xml:space="preserve">per cent). </w:t>
      </w:r>
      <w:r w:rsidR="00C040DE" w:rsidRPr="00B275E2">
        <w:t>I</w:t>
      </w:r>
      <w:r w:rsidRPr="00B275E2">
        <w:t>n the</w:t>
      </w:r>
      <w:r w:rsidR="000558A5" w:rsidRPr="00B275E2">
        <w:t> </w:t>
      </w:r>
      <w:r w:rsidRPr="00B275E2">
        <w:t>absence of a New Zealand-specific figure</w:t>
      </w:r>
      <w:r w:rsidR="003C063B" w:rsidRPr="00B275E2">
        <w:t xml:space="preserve"> for international flights</w:t>
      </w:r>
      <w:r w:rsidR="009E3161" w:rsidRPr="00B275E2">
        <w:t>, we recommend</w:t>
      </w:r>
      <w:r w:rsidRPr="00B275E2">
        <w:t xml:space="preserve"> a </w:t>
      </w:r>
      <w:r w:rsidR="00E964B5" w:rsidRPr="00B275E2">
        <w:t xml:space="preserve">9 </w:t>
      </w:r>
      <w:r w:rsidRPr="00B275E2">
        <w:t>per cent uplift factor</w:t>
      </w:r>
      <w:r w:rsidR="00C040DE" w:rsidRPr="00B275E2">
        <w:t xml:space="preserve">. This conservative </w:t>
      </w:r>
      <w:r w:rsidRPr="00B275E2">
        <w:t>value comes from an IPCC publication</w:t>
      </w:r>
      <w:r w:rsidR="00E964B5" w:rsidRPr="00B275E2">
        <w:t>,</w:t>
      </w:r>
      <w:r w:rsidRPr="00B275E2">
        <w:t xml:space="preserve"> </w:t>
      </w:r>
      <w:r w:rsidRPr="00B275E2">
        <w:rPr>
          <w:i/>
        </w:rPr>
        <w:t>Aviation and the Global Atmosphere</w:t>
      </w:r>
      <w:r w:rsidRPr="00B275E2">
        <w:t xml:space="preserve"> (refer to section 8.2.2.3</w:t>
      </w:r>
      <w:r w:rsidR="00C040DE" w:rsidRPr="00B275E2">
        <w:t>)</w:t>
      </w:r>
      <w:r w:rsidRPr="00B275E2">
        <w:t xml:space="preserve"> and is based on studies o</w:t>
      </w:r>
      <w:r w:rsidR="00E964B5" w:rsidRPr="00B275E2">
        <w:t>f</w:t>
      </w:r>
      <w:r w:rsidRPr="00B275E2">
        <w:t xml:space="preserve"> penalties to air traffic associated with the European ATS Route Network. </w:t>
      </w:r>
      <w:r w:rsidR="000534B9" w:rsidRPr="00B275E2">
        <w:t>We recommend applying</w:t>
      </w:r>
      <w:r w:rsidR="00F005B6" w:rsidRPr="00B275E2">
        <w:t xml:space="preserve"> t</w:t>
      </w:r>
      <w:r w:rsidRPr="00B275E2">
        <w:t xml:space="preserve">he </w:t>
      </w:r>
      <w:r w:rsidR="00E964B5" w:rsidRPr="00B275E2">
        <w:t xml:space="preserve">9 </w:t>
      </w:r>
      <w:r w:rsidRPr="00B275E2">
        <w:t>per</w:t>
      </w:r>
      <w:r w:rsidR="00E964B5" w:rsidRPr="00B275E2">
        <w:t xml:space="preserve"> </w:t>
      </w:r>
      <w:r w:rsidRPr="00B275E2">
        <w:t>cent uplift</w:t>
      </w:r>
      <w:r w:rsidR="000558A5" w:rsidRPr="00B275E2">
        <w:t> </w:t>
      </w:r>
      <w:r w:rsidRPr="00B275E2">
        <w:t xml:space="preserve">factor </w:t>
      </w:r>
      <w:r w:rsidR="000534B9" w:rsidRPr="00B275E2">
        <w:t>to international flight</w:t>
      </w:r>
      <w:r w:rsidR="00E22417" w:rsidRPr="00B275E2">
        <w:t xml:space="preserve"> emission estimates from the ICAO</w:t>
      </w:r>
      <w:r w:rsidR="000534B9" w:rsidRPr="00B275E2">
        <w:t xml:space="preserve"> </w:t>
      </w:r>
      <w:r w:rsidR="00E22417" w:rsidRPr="00B275E2">
        <w:t xml:space="preserve">calculator </w:t>
      </w:r>
      <w:r w:rsidRPr="00B275E2">
        <w:t xml:space="preserve">by multiplying the </w:t>
      </w:r>
      <w:r w:rsidR="00E22417" w:rsidRPr="00B275E2">
        <w:t>out</w:t>
      </w:r>
      <w:r w:rsidR="00877169" w:rsidRPr="00B275E2">
        <w:t>put</w:t>
      </w:r>
      <w:r w:rsidR="00E22417" w:rsidRPr="00B275E2">
        <w:t xml:space="preserve"> </w:t>
      </w:r>
      <w:r w:rsidRPr="00B275E2">
        <w:t xml:space="preserve">by 1.09. </w:t>
      </w:r>
    </w:p>
    <w:p w14:paraId="650922DA" w14:textId="6EBFC7A9" w:rsidR="00925EA5" w:rsidRPr="00B275E2" w:rsidRDefault="00925EA5" w:rsidP="00B11474">
      <w:pPr>
        <w:pStyle w:val="BodyText"/>
        <w:spacing w:before="100" w:after="100"/>
      </w:pPr>
      <w:r w:rsidRPr="00B275E2">
        <w:t xml:space="preserve">The emission factors refer to aviation’s direct </w:t>
      </w:r>
      <w:r w:rsidR="00445170" w:rsidRPr="00B275E2">
        <w:t xml:space="preserve">GHG emissions including </w:t>
      </w:r>
      <w:r w:rsidR="008D6410" w:rsidRPr="00B275E2">
        <w:t>carbon dioxide, methane</w:t>
      </w:r>
      <w:r w:rsidRPr="00B275E2">
        <w:t xml:space="preserve"> and </w:t>
      </w:r>
      <w:r w:rsidR="008D6410" w:rsidRPr="00B275E2">
        <w:t>nitrous oxide</w:t>
      </w:r>
      <w:r w:rsidRPr="00B275E2">
        <w:t xml:space="preserve">. There is currently uncertainty over the other climate change </w:t>
      </w:r>
      <w:r w:rsidR="00D242F8" w:rsidRPr="00B275E2">
        <w:t xml:space="preserve">impacts </w:t>
      </w:r>
      <w:r w:rsidRPr="00B275E2">
        <w:t>of aviation (including water vapour</w:t>
      </w:r>
      <w:r w:rsidR="00D242F8" w:rsidRPr="00B275E2">
        <w:t xml:space="preserve"> and indirect GHGs, among other factors)</w:t>
      </w:r>
      <w:r w:rsidRPr="00B275E2">
        <w:t xml:space="preserve">, which </w:t>
      </w:r>
      <w:r w:rsidR="0087475C" w:rsidRPr="00B275E2">
        <w:t xml:space="preserve">the IPCC </w:t>
      </w:r>
      <w:r w:rsidRPr="00B275E2">
        <w:t>estimated to</w:t>
      </w:r>
      <w:r w:rsidR="000558A5" w:rsidRPr="00B275E2">
        <w:t> </w:t>
      </w:r>
      <w:r w:rsidRPr="00B275E2">
        <w:t>be</w:t>
      </w:r>
      <w:r w:rsidR="000558A5" w:rsidRPr="00B275E2">
        <w:t> </w:t>
      </w:r>
      <w:r w:rsidRPr="00B275E2">
        <w:t xml:space="preserve">up to two to four times those of </w:t>
      </w:r>
      <w:r w:rsidR="008D6410" w:rsidRPr="00B275E2">
        <w:t>carbon dioxide</w:t>
      </w:r>
      <w:r w:rsidRPr="00B275E2">
        <w:t xml:space="preserve"> alone. However, the science is</w:t>
      </w:r>
      <w:r w:rsidR="000558A5" w:rsidRPr="00B275E2">
        <w:t> </w:t>
      </w:r>
      <w:r w:rsidRPr="00B275E2">
        <w:t xml:space="preserve">currently uncertain and New Zealand’s </w:t>
      </w:r>
      <w:r w:rsidR="003D6E84" w:rsidRPr="00B275E2">
        <w:t>Greenhouse Gas Inventory</w:t>
      </w:r>
      <w:r w:rsidRPr="00B275E2">
        <w:t xml:space="preserve"> </w:t>
      </w:r>
      <w:r w:rsidR="0087475C" w:rsidRPr="00B275E2">
        <w:t>does not use a multiplier</w:t>
      </w:r>
      <w:r w:rsidRPr="00B275E2">
        <w:t xml:space="preserve">. </w:t>
      </w:r>
    </w:p>
    <w:p w14:paraId="27107BA0" w14:textId="6A1945FE" w:rsidR="003D6E84" w:rsidRPr="00B275E2" w:rsidRDefault="00690FD1" w:rsidP="00B11474">
      <w:pPr>
        <w:pStyle w:val="BodyText"/>
        <w:spacing w:before="100" w:after="100"/>
      </w:pPr>
      <w:r w:rsidRPr="00B275E2">
        <w:t xml:space="preserve">International travel is divided by class of travel. Emissions vary by class because they are based on the number of people on a flight. </w:t>
      </w:r>
      <w:r w:rsidR="00A37435" w:rsidRPr="00B275E2">
        <w:t xml:space="preserve">Business </w:t>
      </w:r>
      <w:r w:rsidRPr="00B275E2">
        <w:t xml:space="preserve">class passengers use more space and facilities than economy </w:t>
      </w:r>
      <w:r w:rsidR="0082269C" w:rsidRPr="00B275E2">
        <w:t xml:space="preserve">class </w:t>
      </w:r>
      <w:r w:rsidRPr="00B275E2">
        <w:t xml:space="preserve">travellers. If everyone flew </w:t>
      </w:r>
      <w:r w:rsidR="00A37435" w:rsidRPr="00B275E2">
        <w:t>business</w:t>
      </w:r>
      <w:r w:rsidRPr="00B275E2">
        <w:t xml:space="preserve"> class, fewer people could fit on the flight and therefore emissions </w:t>
      </w:r>
      <w:r w:rsidR="00164566" w:rsidRPr="00B275E2">
        <w:t xml:space="preserve">per person </w:t>
      </w:r>
      <w:r w:rsidRPr="00B275E2">
        <w:t xml:space="preserve">would be higher. </w:t>
      </w:r>
    </w:p>
    <w:p w14:paraId="4D0E6C41" w14:textId="452A5EF8" w:rsidR="00191856" w:rsidRPr="00B275E2" w:rsidRDefault="00191856" w:rsidP="00C24B73">
      <w:pPr>
        <w:pStyle w:val="Heading2"/>
        <w:numPr>
          <w:ilvl w:val="1"/>
          <w:numId w:val="39"/>
        </w:numPr>
      </w:pPr>
      <w:bookmarkStart w:id="444" w:name="_Toc111536798"/>
      <w:r w:rsidRPr="00B275E2">
        <w:lastRenderedPageBreak/>
        <w:t>Helicopters</w:t>
      </w:r>
      <w:bookmarkEnd w:id="444"/>
    </w:p>
    <w:p w14:paraId="3D5BE7D5" w14:textId="2CA3411B" w:rsidR="00191856" w:rsidRPr="00B275E2" w:rsidRDefault="00191856" w:rsidP="007F0B1E">
      <w:pPr>
        <w:pStyle w:val="BodyText"/>
      </w:pPr>
      <w:r w:rsidRPr="00B275E2">
        <w:t>This section provides emission factors for some commonly used helicopters in New Zealand. Business activities that require the use of helicopters might include organisations involved in tourism, air transport, agricultural operations</w:t>
      </w:r>
      <w:r w:rsidR="008D6E4C" w:rsidRPr="00B275E2">
        <w:t>,</w:t>
      </w:r>
      <w:r w:rsidRPr="00B275E2">
        <w:t xml:space="preserve"> or emergency services.</w:t>
      </w:r>
    </w:p>
    <w:p w14:paraId="09D9B7A4" w14:textId="7168D78A" w:rsidR="00191856" w:rsidRPr="00B275E2" w:rsidRDefault="00EB4389" w:rsidP="009C6381">
      <w:pPr>
        <w:pStyle w:val="Tableheading"/>
      </w:pPr>
      <w:bookmarkStart w:id="445" w:name="_Toc111536655"/>
      <w:r w:rsidRPr="00B275E2">
        <w:t xml:space="preserve">Table </w:t>
      </w:r>
      <w:r w:rsidRPr="00B275E2">
        <w:fldChar w:fldCharType="begin"/>
      </w:r>
      <w:r w:rsidRPr="00B275E2">
        <w:instrText>SEQ Table \* ARABIC</w:instrText>
      </w:r>
      <w:r w:rsidRPr="00B275E2">
        <w:fldChar w:fldCharType="separate"/>
      </w:r>
      <w:r>
        <w:rPr>
          <w:noProof/>
        </w:rPr>
        <w:t>50</w:t>
      </w:r>
      <w:r w:rsidRPr="00B275E2">
        <w:fldChar w:fldCharType="end"/>
      </w:r>
      <w:r w:rsidRPr="00B275E2">
        <w:t>:</w:t>
      </w:r>
      <w:r w:rsidRPr="00B275E2">
        <w:tab/>
      </w:r>
      <w:r w:rsidR="00191856" w:rsidRPr="00B275E2">
        <w:t>Emission factors for helicopters</w:t>
      </w:r>
      <w:bookmarkEnd w:id="445"/>
    </w:p>
    <w:tbl>
      <w:tblPr>
        <w:tblStyle w:val="LightList-Accent11"/>
        <w:tblW w:w="8505" w:type="dxa"/>
        <w:tblBorders>
          <w:top w:val="single" w:sz="4" w:space="0" w:color="1B556B"/>
          <w:bottom w:val="single" w:sz="4" w:space="0" w:color="1B556B"/>
          <w:insideH w:val="single" w:sz="4" w:space="0" w:color="1B556B"/>
          <w:insideV w:val="single" w:sz="4" w:space="0" w:color="1B556B"/>
        </w:tblBorders>
        <w:tblLayout w:type="fixed"/>
        <w:tblLook w:val="04A0" w:firstRow="1" w:lastRow="0" w:firstColumn="1" w:lastColumn="0" w:noHBand="0" w:noVBand="1"/>
      </w:tblPr>
      <w:tblGrid>
        <w:gridCol w:w="2410"/>
        <w:gridCol w:w="851"/>
        <w:gridCol w:w="1417"/>
        <w:gridCol w:w="1276"/>
        <w:gridCol w:w="1276"/>
        <w:gridCol w:w="1275"/>
      </w:tblGrid>
      <w:tr w:rsidR="00191856" w:rsidRPr="00B275E2" w14:paraId="6DC54085" w14:textId="77777777" w:rsidTr="000C67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noWrap/>
            <w:vAlign w:val="bottom"/>
            <w:hideMark/>
          </w:tcPr>
          <w:p w14:paraId="0066B937" w14:textId="77777777" w:rsidR="00191856" w:rsidRPr="00B275E2" w:rsidRDefault="00191856" w:rsidP="00B11474">
            <w:pPr>
              <w:pStyle w:val="TableText"/>
              <w:spacing w:before="40" w:after="40"/>
              <w:rPr>
                <w:b w:val="0"/>
                <w:bCs w:val="0"/>
                <w:lang w:eastAsia="en-US"/>
              </w:rPr>
            </w:pPr>
            <w:r w:rsidRPr="00B275E2">
              <w:rPr>
                <w:lang w:eastAsia="en-US"/>
              </w:rPr>
              <w:t>Emission source</w:t>
            </w:r>
          </w:p>
        </w:tc>
        <w:tc>
          <w:tcPr>
            <w:tcW w:w="851" w:type="dxa"/>
            <w:noWrap/>
            <w:vAlign w:val="bottom"/>
            <w:hideMark/>
          </w:tcPr>
          <w:p w14:paraId="7FDC3404" w14:textId="77777777" w:rsidR="00191856" w:rsidRPr="00B275E2" w:rsidRDefault="00191856" w:rsidP="00B11474">
            <w:pPr>
              <w:pStyle w:val="TableText"/>
              <w:spacing w:before="40" w:after="40"/>
              <w:cnfStyle w:val="100000000000" w:firstRow="1" w:lastRow="0" w:firstColumn="0" w:lastColumn="0" w:oddVBand="0" w:evenVBand="0" w:oddHBand="0" w:evenHBand="0" w:firstRowFirstColumn="0" w:firstRowLastColumn="0" w:lastRowFirstColumn="0" w:lastRowLastColumn="0"/>
              <w:rPr>
                <w:lang w:eastAsia="en-US"/>
              </w:rPr>
            </w:pPr>
            <w:r w:rsidRPr="00B275E2">
              <w:rPr>
                <w:lang w:eastAsia="en-US"/>
              </w:rPr>
              <w:t>Unit</w:t>
            </w:r>
          </w:p>
        </w:tc>
        <w:tc>
          <w:tcPr>
            <w:tcW w:w="1417" w:type="dxa"/>
            <w:shd w:val="clear" w:color="auto" w:fill="D2DDE1" w:themeFill="background2"/>
            <w:noWrap/>
            <w:vAlign w:val="bottom"/>
            <w:hideMark/>
          </w:tcPr>
          <w:p w14:paraId="3DC470C5" w14:textId="77777777" w:rsidR="00191856" w:rsidRPr="00B275E2" w:rsidRDefault="00191856" w:rsidP="00B11474">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color w:val="auto"/>
                <w:lang w:eastAsia="en-US"/>
              </w:rPr>
            </w:pPr>
            <w:r w:rsidRPr="00B275E2">
              <w:rPr>
                <w:color w:val="auto"/>
                <w:lang w:eastAsia="en-US"/>
              </w:rPr>
              <w:t>kg CO</w:t>
            </w:r>
            <w:r w:rsidRPr="00B275E2">
              <w:rPr>
                <w:color w:val="auto"/>
                <w:vertAlign w:val="subscript"/>
                <w:lang w:eastAsia="en-US"/>
              </w:rPr>
              <w:t>2</w:t>
            </w:r>
            <w:r w:rsidRPr="00B275E2">
              <w:rPr>
                <w:color w:val="auto"/>
                <w:lang w:eastAsia="en-US"/>
              </w:rPr>
              <w:t>-e/unit</w:t>
            </w:r>
          </w:p>
        </w:tc>
        <w:tc>
          <w:tcPr>
            <w:tcW w:w="1276" w:type="dxa"/>
            <w:noWrap/>
            <w:vAlign w:val="bottom"/>
            <w:hideMark/>
          </w:tcPr>
          <w:p w14:paraId="34270C69" w14:textId="77777777" w:rsidR="00191856" w:rsidRPr="00B275E2" w:rsidRDefault="00191856" w:rsidP="00B11474">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lang w:eastAsia="en-US"/>
              </w:rPr>
            </w:pPr>
            <w:r w:rsidRPr="00B275E2">
              <w:rPr>
                <w:lang w:eastAsia="en-US"/>
              </w:rPr>
              <w:t>kg CO</w:t>
            </w:r>
            <w:r w:rsidRPr="00B275E2">
              <w:rPr>
                <w:vertAlign w:val="subscript"/>
                <w:lang w:eastAsia="en-US"/>
              </w:rPr>
              <w:t>2</w:t>
            </w:r>
            <w:r w:rsidRPr="00B275E2">
              <w:rPr>
                <w:lang w:eastAsia="en-US"/>
              </w:rPr>
              <w:t>/unit (kg CO</w:t>
            </w:r>
            <w:r w:rsidRPr="00B275E2">
              <w:rPr>
                <w:vertAlign w:val="subscript"/>
                <w:lang w:eastAsia="en-US"/>
              </w:rPr>
              <w:t>2</w:t>
            </w:r>
            <w:r w:rsidRPr="00B275E2">
              <w:rPr>
                <w:lang w:eastAsia="en-US"/>
              </w:rPr>
              <w:t>-e)</w:t>
            </w:r>
          </w:p>
        </w:tc>
        <w:tc>
          <w:tcPr>
            <w:tcW w:w="1276" w:type="dxa"/>
            <w:noWrap/>
            <w:vAlign w:val="bottom"/>
            <w:hideMark/>
          </w:tcPr>
          <w:p w14:paraId="5913DFA0" w14:textId="77777777" w:rsidR="00191856" w:rsidRPr="00B275E2" w:rsidRDefault="00191856" w:rsidP="00B11474">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lang w:eastAsia="en-US"/>
              </w:rPr>
            </w:pPr>
            <w:r w:rsidRPr="00B275E2">
              <w:rPr>
                <w:lang w:eastAsia="en-US"/>
              </w:rPr>
              <w:t>kg CH</w:t>
            </w:r>
            <w:r w:rsidRPr="00B275E2">
              <w:rPr>
                <w:vertAlign w:val="subscript"/>
                <w:lang w:eastAsia="en-US"/>
              </w:rPr>
              <w:t>4</w:t>
            </w:r>
            <w:r w:rsidRPr="00B275E2">
              <w:rPr>
                <w:lang w:eastAsia="en-US"/>
              </w:rPr>
              <w:t>/unit (kg CO</w:t>
            </w:r>
            <w:r w:rsidRPr="00B275E2">
              <w:rPr>
                <w:vertAlign w:val="subscript"/>
                <w:lang w:eastAsia="en-US"/>
              </w:rPr>
              <w:t>2</w:t>
            </w:r>
            <w:r w:rsidRPr="00B275E2">
              <w:rPr>
                <w:lang w:eastAsia="en-US"/>
              </w:rPr>
              <w:t>-e)</w:t>
            </w:r>
          </w:p>
        </w:tc>
        <w:tc>
          <w:tcPr>
            <w:tcW w:w="1275" w:type="dxa"/>
            <w:noWrap/>
            <w:vAlign w:val="bottom"/>
            <w:hideMark/>
          </w:tcPr>
          <w:p w14:paraId="6A76E1E7" w14:textId="77777777" w:rsidR="00191856" w:rsidRPr="00B275E2" w:rsidRDefault="00191856" w:rsidP="00B11474">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lang w:eastAsia="en-US"/>
              </w:rPr>
            </w:pPr>
            <w:r w:rsidRPr="00B275E2">
              <w:rPr>
                <w:lang w:eastAsia="en-US"/>
              </w:rPr>
              <w:t>kg N</w:t>
            </w:r>
            <w:r w:rsidRPr="00B275E2">
              <w:rPr>
                <w:vertAlign w:val="subscript"/>
                <w:lang w:eastAsia="en-US"/>
              </w:rPr>
              <w:t>2</w:t>
            </w:r>
            <w:r w:rsidRPr="00B275E2">
              <w:rPr>
                <w:lang w:eastAsia="en-US"/>
              </w:rPr>
              <w:t>O/unit (kg CO</w:t>
            </w:r>
            <w:r w:rsidRPr="00B275E2">
              <w:rPr>
                <w:vertAlign w:val="subscript"/>
                <w:lang w:eastAsia="en-US"/>
              </w:rPr>
              <w:t>2</w:t>
            </w:r>
            <w:r w:rsidRPr="00B275E2">
              <w:rPr>
                <w:lang w:eastAsia="en-US"/>
              </w:rPr>
              <w:t>-e)</w:t>
            </w:r>
          </w:p>
        </w:tc>
      </w:tr>
      <w:tr w:rsidR="00191856" w:rsidRPr="00B275E2" w14:paraId="7A68AF26" w14:textId="77777777" w:rsidTr="00F64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left w:val="single" w:sz="4" w:space="0" w:color="FFFFFF" w:themeColor="background1"/>
            </w:tcBorders>
            <w:hideMark/>
          </w:tcPr>
          <w:p w14:paraId="434913D8" w14:textId="77777777" w:rsidR="00191856" w:rsidRPr="00B275E2" w:rsidRDefault="00191856" w:rsidP="00B11474">
            <w:pPr>
              <w:pStyle w:val="TableText"/>
              <w:spacing w:before="40" w:after="40"/>
              <w:rPr>
                <w:b w:val="0"/>
                <w:bCs w:val="0"/>
                <w:lang w:eastAsia="en-US"/>
              </w:rPr>
            </w:pPr>
            <w:r w:rsidRPr="00B275E2">
              <w:rPr>
                <w:b w:val="0"/>
                <w:bCs w:val="0"/>
                <w:lang w:eastAsia="en-US"/>
              </w:rPr>
              <w:t xml:space="preserve">Eurocopter AS 350B Squirrel </w:t>
            </w:r>
          </w:p>
        </w:tc>
        <w:tc>
          <w:tcPr>
            <w:tcW w:w="851" w:type="dxa"/>
            <w:noWrap/>
            <w:hideMark/>
          </w:tcPr>
          <w:p w14:paraId="658B241A" w14:textId="77777777" w:rsidR="00191856" w:rsidRPr="00B275E2" w:rsidRDefault="00191856" w:rsidP="00B11474">
            <w:pPr>
              <w:pStyle w:val="TableText"/>
              <w:spacing w:before="40" w:after="40"/>
              <w:cnfStyle w:val="000000100000" w:firstRow="0" w:lastRow="0" w:firstColumn="0" w:lastColumn="0" w:oddVBand="0" w:evenVBand="0" w:oddHBand="1" w:evenHBand="0" w:firstRowFirstColumn="0" w:firstRowLastColumn="0" w:lastRowFirstColumn="0" w:lastRowLastColumn="0"/>
              <w:rPr>
                <w:lang w:eastAsia="en-US"/>
              </w:rPr>
            </w:pPr>
            <w:r w:rsidRPr="00B275E2">
              <w:rPr>
                <w:lang w:eastAsia="en-US"/>
              </w:rPr>
              <w:t>hours</w:t>
            </w:r>
          </w:p>
        </w:tc>
        <w:tc>
          <w:tcPr>
            <w:tcW w:w="1417" w:type="dxa"/>
            <w:shd w:val="clear" w:color="auto" w:fill="D2DDE1" w:themeFill="background2"/>
            <w:noWrap/>
            <w:hideMark/>
          </w:tcPr>
          <w:p w14:paraId="25F4E319" w14:textId="040A87A4" w:rsidR="00191856" w:rsidRPr="00B275E2" w:rsidRDefault="00A77B76" w:rsidP="00B11474">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lang w:eastAsia="en-US"/>
              </w:rPr>
            </w:pPr>
            <w:r w:rsidRPr="00B275E2">
              <w:rPr>
                <w:szCs w:val="18"/>
                <w:lang w:eastAsia="en-US"/>
              </w:rPr>
              <w:t>480.185</w:t>
            </w:r>
          </w:p>
        </w:tc>
        <w:tc>
          <w:tcPr>
            <w:tcW w:w="1276" w:type="dxa"/>
            <w:noWrap/>
            <w:hideMark/>
          </w:tcPr>
          <w:p w14:paraId="3EB8EDE7" w14:textId="23024372" w:rsidR="00191856" w:rsidRPr="00B275E2" w:rsidRDefault="00A77B76" w:rsidP="00B11474">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lang w:eastAsia="en-US"/>
              </w:rPr>
            </w:pPr>
            <w:r w:rsidRPr="00B275E2">
              <w:rPr>
                <w:szCs w:val="18"/>
                <w:lang w:eastAsia="en-US"/>
              </w:rPr>
              <w:t>463.998</w:t>
            </w:r>
          </w:p>
        </w:tc>
        <w:tc>
          <w:tcPr>
            <w:tcW w:w="1276" w:type="dxa"/>
            <w:noWrap/>
            <w:hideMark/>
          </w:tcPr>
          <w:p w14:paraId="578B9D1E" w14:textId="28E22DFA" w:rsidR="00191856" w:rsidRPr="00B275E2" w:rsidRDefault="00A77B76" w:rsidP="00B11474">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lang w:eastAsia="en-US"/>
              </w:rPr>
            </w:pPr>
            <w:r w:rsidRPr="00B275E2">
              <w:rPr>
                <w:szCs w:val="18"/>
                <w:lang w:eastAsia="en-US"/>
              </w:rPr>
              <w:t>3.2647</w:t>
            </w:r>
          </w:p>
        </w:tc>
        <w:tc>
          <w:tcPr>
            <w:tcW w:w="1275" w:type="dxa"/>
            <w:tcBorders>
              <w:right w:val="single" w:sz="4" w:space="0" w:color="FFFFFF" w:themeColor="background1"/>
            </w:tcBorders>
            <w:noWrap/>
            <w:hideMark/>
          </w:tcPr>
          <w:p w14:paraId="22177ED0" w14:textId="080AA731" w:rsidR="00191856" w:rsidRPr="00B275E2" w:rsidRDefault="00A77B76" w:rsidP="00B11474">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lang w:eastAsia="en-US"/>
              </w:rPr>
            </w:pPr>
            <w:r w:rsidRPr="00B275E2">
              <w:rPr>
                <w:szCs w:val="18"/>
                <w:lang w:eastAsia="en-US"/>
              </w:rPr>
              <w:t>12.923</w:t>
            </w:r>
          </w:p>
        </w:tc>
      </w:tr>
      <w:tr w:rsidR="00191856" w:rsidRPr="00B275E2" w14:paraId="2C1E40D4" w14:textId="77777777" w:rsidTr="00F64471">
        <w:tc>
          <w:tcPr>
            <w:cnfStyle w:val="001000000000" w:firstRow="0" w:lastRow="0" w:firstColumn="1" w:lastColumn="0" w:oddVBand="0" w:evenVBand="0" w:oddHBand="0" w:evenHBand="0" w:firstRowFirstColumn="0" w:firstRowLastColumn="0" w:lastRowFirstColumn="0" w:lastRowLastColumn="0"/>
            <w:tcW w:w="2410" w:type="dxa"/>
            <w:tcBorders>
              <w:left w:val="single" w:sz="4" w:space="0" w:color="FFFFFF" w:themeColor="background1"/>
            </w:tcBorders>
            <w:hideMark/>
          </w:tcPr>
          <w:p w14:paraId="1D1450D9" w14:textId="77777777" w:rsidR="00191856" w:rsidRPr="00B275E2" w:rsidRDefault="00191856" w:rsidP="00B11474">
            <w:pPr>
              <w:pStyle w:val="TableText"/>
              <w:spacing w:before="40" w:after="40"/>
              <w:rPr>
                <w:b w:val="0"/>
                <w:bCs w:val="0"/>
                <w:lang w:eastAsia="en-US"/>
              </w:rPr>
            </w:pPr>
            <w:r w:rsidRPr="00B275E2">
              <w:rPr>
                <w:b w:val="0"/>
                <w:bCs w:val="0"/>
                <w:lang w:eastAsia="en-US"/>
              </w:rPr>
              <w:t>Eurocopter AS 350B3 Squirrel</w:t>
            </w:r>
          </w:p>
        </w:tc>
        <w:tc>
          <w:tcPr>
            <w:tcW w:w="851" w:type="dxa"/>
            <w:noWrap/>
            <w:hideMark/>
          </w:tcPr>
          <w:p w14:paraId="2F6E5B0B" w14:textId="77777777" w:rsidR="00191856" w:rsidRPr="00B275E2" w:rsidRDefault="00191856" w:rsidP="00B11474">
            <w:pPr>
              <w:pStyle w:val="TableText"/>
              <w:spacing w:before="40" w:after="40"/>
              <w:cnfStyle w:val="000000000000" w:firstRow="0" w:lastRow="0" w:firstColumn="0" w:lastColumn="0" w:oddVBand="0" w:evenVBand="0" w:oddHBand="0" w:evenHBand="0" w:firstRowFirstColumn="0" w:firstRowLastColumn="0" w:lastRowFirstColumn="0" w:lastRowLastColumn="0"/>
              <w:rPr>
                <w:lang w:eastAsia="en-US"/>
              </w:rPr>
            </w:pPr>
            <w:r w:rsidRPr="00B275E2">
              <w:rPr>
                <w:lang w:eastAsia="en-US"/>
              </w:rPr>
              <w:t>hours</w:t>
            </w:r>
          </w:p>
        </w:tc>
        <w:tc>
          <w:tcPr>
            <w:tcW w:w="1417" w:type="dxa"/>
            <w:shd w:val="clear" w:color="auto" w:fill="D2DDE1" w:themeFill="background2"/>
            <w:noWrap/>
            <w:hideMark/>
          </w:tcPr>
          <w:p w14:paraId="37A7700A" w14:textId="1BBCAE56" w:rsidR="00191856" w:rsidRPr="00B275E2" w:rsidRDefault="00A77B76" w:rsidP="00B11474">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lang w:eastAsia="en-US"/>
              </w:rPr>
            </w:pPr>
            <w:r w:rsidRPr="00B275E2">
              <w:rPr>
                <w:szCs w:val="18"/>
                <w:lang w:eastAsia="en-US"/>
              </w:rPr>
              <w:t>496.518</w:t>
            </w:r>
          </w:p>
        </w:tc>
        <w:tc>
          <w:tcPr>
            <w:tcW w:w="1276" w:type="dxa"/>
            <w:noWrap/>
            <w:hideMark/>
          </w:tcPr>
          <w:p w14:paraId="2D820E92" w14:textId="3078E12D" w:rsidR="00191856" w:rsidRPr="00B275E2" w:rsidRDefault="00A77B76" w:rsidP="00B11474">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lang w:eastAsia="en-US"/>
              </w:rPr>
            </w:pPr>
            <w:r w:rsidRPr="00B275E2">
              <w:rPr>
                <w:szCs w:val="18"/>
                <w:lang w:eastAsia="en-US"/>
              </w:rPr>
              <w:t>479.780</w:t>
            </w:r>
          </w:p>
        </w:tc>
        <w:tc>
          <w:tcPr>
            <w:tcW w:w="1276" w:type="dxa"/>
            <w:noWrap/>
            <w:hideMark/>
          </w:tcPr>
          <w:p w14:paraId="7175AFD5" w14:textId="28633D36" w:rsidR="00191856" w:rsidRPr="00B275E2" w:rsidRDefault="00A77B76" w:rsidP="00B11474">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lang w:eastAsia="en-US"/>
              </w:rPr>
            </w:pPr>
            <w:r w:rsidRPr="00B275E2">
              <w:rPr>
                <w:szCs w:val="18"/>
                <w:lang w:eastAsia="en-US"/>
              </w:rPr>
              <w:t>3.3758</w:t>
            </w:r>
          </w:p>
        </w:tc>
        <w:tc>
          <w:tcPr>
            <w:tcW w:w="1275" w:type="dxa"/>
            <w:tcBorders>
              <w:right w:val="single" w:sz="4" w:space="0" w:color="FFFFFF" w:themeColor="background1"/>
            </w:tcBorders>
            <w:noWrap/>
            <w:hideMark/>
          </w:tcPr>
          <w:p w14:paraId="4AE77271" w14:textId="02300D7F" w:rsidR="00191856" w:rsidRPr="00B275E2" w:rsidRDefault="00A77B76" w:rsidP="00B11474">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lang w:eastAsia="en-US"/>
              </w:rPr>
            </w:pPr>
            <w:r w:rsidRPr="00B275E2">
              <w:rPr>
                <w:szCs w:val="18"/>
                <w:lang w:eastAsia="en-US"/>
              </w:rPr>
              <w:t>13.362</w:t>
            </w:r>
          </w:p>
        </w:tc>
      </w:tr>
      <w:tr w:rsidR="00191856" w:rsidRPr="00B275E2" w14:paraId="498259E1" w14:textId="77777777" w:rsidTr="00F64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left w:val="single" w:sz="4" w:space="0" w:color="FFFFFF" w:themeColor="background1"/>
            </w:tcBorders>
            <w:hideMark/>
          </w:tcPr>
          <w:p w14:paraId="1FA9CE73" w14:textId="77777777" w:rsidR="00191856" w:rsidRPr="00B275E2" w:rsidRDefault="00191856" w:rsidP="00B11474">
            <w:pPr>
              <w:pStyle w:val="TableText"/>
              <w:spacing w:before="40" w:after="40"/>
              <w:rPr>
                <w:b w:val="0"/>
                <w:bCs w:val="0"/>
                <w:lang w:eastAsia="en-US"/>
              </w:rPr>
            </w:pPr>
            <w:r w:rsidRPr="00B275E2">
              <w:rPr>
                <w:b w:val="0"/>
                <w:bCs w:val="0"/>
                <w:lang w:eastAsia="en-US"/>
              </w:rPr>
              <w:t>Robinson R44</w:t>
            </w:r>
          </w:p>
        </w:tc>
        <w:tc>
          <w:tcPr>
            <w:tcW w:w="851" w:type="dxa"/>
            <w:noWrap/>
            <w:hideMark/>
          </w:tcPr>
          <w:p w14:paraId="5061C58D" w14:textId="77777777" w:rsidR="00191856" w:rsidRPr="00B275E2" w:rsidRDefault="00191856" w:rsidP="00B11474">
            <w:pPr>
              <w:pStyle w:val="TableText"/>
              <w:spacing w:before="40" w:after="40"/>
              <w:cnfStyle w:val="000000100000" w:firstRow="0" w:lastRow="0" w:firstColumn="0" w:lastColumn="0" w:oddVBand="0" w:evenVBand="0" w:oddHBand="1" w:evenHBand="0" w:firstRowFirstColumn="0" w:firstRowLastColumn="0" w:lastRowFirstColumn="0" w:lastRowLastColumn="0"/>
              <w:rPr>
                <w:lang w:eastAsia="en-US"/>
              </w:rPr>
            </w:pPr>
            <w:r w:rsidRPr="00B275E2">
              <w:rPr>
                <w:lang w:eastAsia="en-US"/>
              </w:rPr>
              <w:t>hours</w:t>
            </w:r>
          </w:p>
        </w:tc>
        <w:tc>
          <w:tcPr>
            <w:tcW w:w="1417" w:type="dxa"/>
            <w:shd w:val="clear" w:color="auto" w:fill="D2DDE1" w:themeFill="background2"/>
            <w:noWrap/>
            <w:hideMark/>
          </w:tcPr>
          <w:p w14:paraId="51E49FC4" w14:textId="0882828E" w:rsidR="00191856" w:rsidRPr="00B275E2" w:rsidRDefault="00A77B76" w:rsidP="00B11474">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lang w:eastAsia="en-US"/>
              </w:rPr>
            </w:pPr>
            <w:r w:rsidRPr="00B275E2">
              <w:rPr>
                <w:szCs w:val="18"/>
                <w:lang w:eastAsia="en-US"/>
              </w:rPr>
              <w:t>191.016</w:t>
            </w:r>
          </w:p>
        </w:tc>
        <w:tc>
          <w:tcPr>
            <w:tcW w:w="1276" w:type="dxa"/>
            <w:noWrap/>
            <w:hideMark/>
          </w:tcPr>
          <w:p w14:paraId="4AD21179" w14:textId="11D724A8" w:rsidR="00191856" w:rsidRPr="00B275E2" w:rsidRDefault="00A77B76" w:rsidP="00B11474">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lang w:eastAsia="en-US"/>
              </w:rPr>
            </w:pPr>
            <w:r w:rsidRPr="00B275E2">
              <w:rPr>
                <w:szCs w:val="18"/>
                <w:lang w:eastAsia="en-US"/>
              </w:rPr>
              <w:t>184.357</w:t>
            </w:r>
          </w:p>
        </w:tc>
        <w:tc>
          <w:tcPr>
            <w:tcW w:w="1276" w:type="dxa"/>
            <w:noWrap/>
            <w:hideMark/>
          </w:tcPr>
          <w:p w14:paraId="77F51EAD" w14:textId="05A60BCE" w:rsidR="00191856" w:rsidRPr="00B275E2" w:rsidRDefault="00A77B76" w:rsidP="00B11474">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lang w:eastAsia="en-US"/>
              </w:rPr>
            </w:pPr>
            <w:r w:rsidRPr="00B275E2">
              <w:rPr>
                <w:szCs w:val="18"/>
                <w:lang w:eastAsia="en-US"/>
              </w:rPr>
              <w:t>1.3430</w:t>
            </w:r>
          </w:p>
        </w:tc>
        <w:tc>
          <w:tcPr>
            <w:tcW w:w="1275" w:type="dxa"/>
            <w:tcBorders>
              <w:right w:val="single" w:sz="4" w:space="0" w:color="FFFFFF" w:themeColor="background1"/>
            </w:tcBorders>
            <w:noWrap/>
            <w:hideMark/>
          </w:tcPr>
          <w:p w14:paraId="11A6DD3E" w14:textId="4E1F8CB4" w:rsidR="00191856" w:rsidRPr="00B275E2" w:rsidRDefault="00A77B76" w:rsidP="00B11474">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lang w:eastAsia="en-US"/>
              </w:rPr>
            </w:pPr>
            <w:r w:rsidRPr="00B275E2">
              <w:rPr>
                <w:szCs w:val="18"/>
                <w:lang w:eastAsia="en-US"/>
              </w:rPr>
              <w:t>5.316</w:t>
            </w:r>
          </w:p>
        </w:tc>
      </w:tr>
      <w:tr w:rsidR="00191856" w:rsidRPr="00B275E2" w14:paraId="78FCF8C4" w14:textId="77777777" w:rsidTr="00F64471">
        <w:tc>
          <w:tcPr>
            <w:cnfStyle w:val="001000000000" w:firstRow="0" w:lastRow="0" w:firstColumn="1" w:lastColumn="0" w:oddVBand="0" w:evenVBand="0" w:oddHBand="0" w:evenHBand="0" w:firstRowFirstColumn="0" w:firstRowLastColumn="0" w:lastRowFirstColumn="0" w:lastRowLastColumn="0"/>
            <w:tcW w:w="2410" w:type="dxa"/>
            <w:tcBorders>
              <w:left w:val="single" w:sz="4" w:space="0" w:color="FFFFFF" w:themeColor="background1"/>
            </w:tcBorders>
            <w:hideMark/>
          </w:tcPr>
          <w:p w14:paraId="28BEFC15" w14:textId="77777777" w:rsidR="00191856" w:rsidRPr="00B275E2" w:rsidRDefault="00191856" w:rsidP="00B11474">
            <w:pPr>
              <w:pStyle w:val="TableText"/>
              <w:spacing w:before="40" w:after="40"/>
              <w:rPr>
                <w:b w:val="0"/>
                <w:bCs w:val="0"/>
                <w:lang w:eastAsia="en-US"/>
              </w:rPr>
            </w:pPr>
            <w:r w:rsidRPr="00B275E2">
              <w:rPr>
                <w:b w:val="0"/>
                <w:bCs w:val="0"/>
                <w:lang w:eastAsia="en-US"/>
              </w:rPr>
              <w:t>Robinson R22 Beta</w:t>
            </w:r>
          </w:p>
        </w:tc>
        <w:tc>
          <w:tcPr>
            <w:tcW w:w="851" w:type="dxa"/>
            <w:noWrap/>
            <w:hideMark/>
          </w:tcPr>
          <w:p w14:paraId="41D98852" w14:textId="77777777" w:rsidR="00191856" w:rsidRPr="00B275E2" w:rsidRDefault="00191856" w:rsidP="00B11474">
            <w:pPr>
              <w:pStyle w:val="TableText"/>
              <w:spacing w:before="40" w:after="40"/>
              <w:cnfStyle w:val="000000000000" w:firstRow="0" w:lastRow="0" w:firstColumn="0" w:lastColumn="0" w:oddVBand="0" w:evenVBand="0" w:oddHBand="0" w:evenHBand="0" w:firstRowFirstColumn="0" w:firstRowLastColumn="0" w:lastRowFirstColumn="0" w:lastRowLastColumn="0"/>
              <w:rPr>
                <w:lang w:eastAsia="en-US"/>
              </w:rPr>
            </w:pPr>
            <w:r w:rsidRPr="00B275E2">
              <w:rPr>
                <w:lang w:eastAsia="en-US"/>
              </w:rPr>
              <w:t>hours</w:t>
            </w:r>
          </w:p>
        </w:tc>
        <w:tc>
          <w:tcPr>
            <w:tcW w:w="1417" w:type="dxa"/>
            <w:shd w:val="clear" w:color="auto" w:fill="D2DDE1" w:themeFill="background2"/>
            <w:noWrap/>
            <w:hideMark/>
          </w:tcPr>
          <w:p w14:paraId="514F91B2" w14:textId="2B65B3B1" w:rsidR="00191856" w:rsidRPr="00B275E2" w:rsidRDefault="00A77B76" w:rsidP="00B11474">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lang w:eastAsia="en-US"/>
              </w:rPr>
            </w:pPr>
            <w:r w:rsidRPr="00B275E2">
              <w:rPr>
                <w:szCs w:val="18"/>
                <w:lang w:eastAsia="en-US"/>
              </w:rPr>
              <w:t>130.695</w:t>
            </w:r>
          </w:p>
        </w:tc>
        <w:tc>
          <w:tcPr>
            <w:tcW w:w="1276" w:type="dxa"/>
            <w:noWrap/>
            <w:hideMark/>
          </w:tcPr>
          <w:p w14:paraId="749546AF" w14:textId="77AB4472" w:rsidR="00191856" w:rsidRPr="00B275E2" w:rsidRDefault="00A77B76" w:rsidP="00B11474">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lang w:eastAsia="en-US"/>
              </w:rPr>
            </w:pPr>
            <w:r w:rsidRPr="00B275E2">
              <w:rPr>
                <w:szCs w:val="18"/>
                <w:lang w:eastAsia="en-US"/>
              </w:rPr>
              <w:t>126.139</w:t>
            </w:r>
          </w:p>
        </w:tc>
        <w:tc>
          <w:tcPr>
            <w:tcW w:w="1276" w:type="dxa"/>
            <w:noWrap/>
            <w:hideMark/>
          </w:tcPr>
          <w:p w14:paraId="1DC58C6E" w14:textId="006DBDA2" w:rsidR="00191856" w:rsidRPr="00B275E2" w:rsidRDefault="00A77B76" w:rsidP="00B11474">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lang w:eastAsia="en-US"/>
              </w:rPr>
            </w:pPr>
            <w:r w:rsidRPr="00B275E2">
              <w:rPr>
                <w:szCs w:val="18"/>
                <w:lang w:eastAsia="en-US"/>
              </w:rPr>
              <w:t>0.9189</w:t>
            </w:r>
          </w:p>
        </w:tc>
        <w:tc>
          <w:tcPr>
            <w:tcW w:w="1275" w:type="dxa"/>
            <w:tcBorders>
              <w:right w:val="single" w:sz="4" w:space="0" w:color="FFFFFF" w:themeColor="background1"/>
            </w:tcBorders>
            <w:noWrap/>
            <w:hideMark/>
          </w:tcPr>
          <w:p w14:paraId="3EA91E52" w14:textId="0D1098D7" w:rsidR="00191856" w:rsidRPr="00B275E2" w:rsidRDefault="00A77B76" w:rsidP="00B11474">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lang w:eastAsia="en-US"/>
              </w:rPr>
            </w:pPr>
            <w:r w:rsidRPr="00B275E2">
              <w:rPr>
                <w:szCs w:val="18"/>
                <w:lang w:eastAsia="en-US"/>
              </w:rPr>
              <w:t>3.637</w:t>
            </w:r>
          </w:p>
        </w:tc>
      </w:tr>
      <w:tr w:rsidR="00191856" w:rsidRPr="00B275E2" w14:paraId="34133796" w14:textId="77777777" w:rsidTr="00F64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left w:val="single" w:sz="4" w:space="0" w:color="FFFFFF" w:themeColor="background1"/>
            </w:tcBorders>
            <w:hideMark/>
          </w:tcPr>
          <w:p w14:paraId="1BE07443" w14:textId="77777777" w:rsidR="00191856" w:rsidRPr="00B275E2" w:rsidRDefault="00191856" w:rsidP="00B11474">
            <w:pPr>
              <w:pStyle w:val="TableText"/>
              <w:spacing w:before="40" w:after="40"/>
              <w:rPr>
                <w:b w:val="0"/>
                <w:bCs w:val="0"/>
                <w:lang w:eastAsia="en-US"/>
              </w:rPr>
            </w:pPr>
            <w:r w:rsidRPr="00B275E2">
              <w:rPr>
                <w:b w:val="0"/>
                <w:bCs w:val="0"/>
                <w:lang w:eastAsia="en-US"/>
              </w:rPr>
              <w:t>Bell 206B</w:t>
            </w:r>
          </w:p>
        </w:tc>
        <w:tc>
          <w:tcPr>
            <w:tcW w:w="851" w:type="dxa"/>
            <w:noWrap/>
            <w:hideMark/>
          </w:tcPr>
          <w:p w14:paraId="0CD8E7F7" w14:textId="77777777" w:rsidR="00191856" w:rsidRPr="00B275E2" w:rsidRDefault="00191856" w:rsidP="00B11474">
            <w:pPr>
              <w:pStyle w:val="TableText"/>
              <w:spacing w:before="40" w:after="40"/>
              <w:cnfStyle w:val="000000100000" w:firstRow="0" w:lastRow="0" w:firstColumn="0" w:lastColumn="0" w:oddVBand="0" w:evenVBand="0" w:oddHBand="1" w:evenHBand="0" w:firstRowFirstColumn="0" w:firstRowLastColumn="0" w:lastRowFirstColumn="0" w:lastRowLastColumn="0"/>
              <w:rPr>
                <w:lang w:eastAsia="en-US"/>
              </w:rPr>
            </w:pPr>
            <w:r w:rsidRPr="00B275E2">
              <w:rPr>
                <w:lang w:eastAsia="en-US"/>
              </w:rPr>
              <w:t>hours</w:t>
            </w:r>
          </w:p>
        </w:tc>
        <w:tc>
          <w:tcPr>
            <w:tcW w:w="1417" w:type="dxa"/>
            <w:shd w:val="clear" w:color="auto" w:fill="D2DDE1" w:themeFill="background2"/>
            <w:noWrap/>
            <w:hideMark/>
          </w:tcPr>
          <w:p w14:paraId="784795FD" w14:textId="50C4314B" w:rsidR="00191856" w:rsidRPr="00B275E2" w:rsidRDefault="00A77B76" w:rsidP="00B11474">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lang w:eastAsia="en-US"/>
              </w:rPr>
            </w:pPr>
            <w:r w:rsidRPr="00B275E2">
              <w:rPr>
                <w:szCs w:val="18"/>
                <w:lang w:eastAsia="en-US"/>
              </w:rPr>
              <w:t>329.923</w:t>
            </w:r>
          </w:p>
        </w:tc>
        <w:tc>
          <w:tcPr>
            <w:tcW w:w="1276" w:type="dxa"/>
            <w:noWrap/>
            <w:hideMark/>
          </w:tcPr>
          <w:p w14:paraId="6D521201" w14:textId="11A3F0A4" w:rsidR="00191856" w:rsidRPr="00B275E2" w:rsidRDefault="00A77B76" w:rsidP="00B11474">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lang w:eastAsia="en-US"/>
              </w:rPr>
            </w:pPr>
            <w:r w:rsidRPr="00B275E2">
              <w:rPr>
                <w:szCs w:val="18"/>
                <w:lang w:eastAsia="en-US"/>
              </w:rPr>
              <w:t>318.801</w:t>
            </w:r>
          </w:p>
        </w:tc>
        <w:tc>
          <w:tcPr>
            <w:tcW w:w="1276" w:type="dxa"/>
            <w:noWrap/>
            <w:hideMark/>
          </w:tcPr>
          <w:p w14:paraId="00899D63" w14:textId="59536C0A" w:rsidR="00191856" w:rsidRPr="00B275E2" w:rsidRDefault="00A77B76" w:rsidP="00B11474">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lang w:eastAsia="en-US"/>
              </w:rPr>
            </w:pPr>
            <w:r w:rsidRPr="00B275E2">
              <w:rPr>
                <w:szCs w:val="18"/>
                <w:lang w:eastAsia="en-US"/>
              </w:rPr>
              <w:t>2.2431</w:t>
            </w:r>
          </w:p>
        </w:tc>
        <w:tc>
          <w:tcPr>
            <w:tcW w:w="1275" w:type="dxa"/>
            <w:tcBorders>
              <w:right w:val="single" w:sz="4" w:space="0" w:color="FFFFFF" w:themeColor="background1"/>
            </w:tcBorders>
            <w:noWrap/>
            <w:hideMark/>
          </w:tcPr>
          <w:p w14:paraId="3A679D88" w14:textId="706498C4" w:rsidR="00191856" w:rsidRPr="00B275E2" w:rsidRDefault="00A77B76" w:rsidP="00B11474">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lang w:eastAsia="en-US"/>
              </w:rPr>
            </w:pPr>
            <w:r w:rsidRPr="00B275E2">
              <w:rPr>
                <w:szCs w:val="18"/>
                <w:lang w:eastAsia="en-US"/>
              </w:rPr>
              <w:t>8.879</w:t>
            </w:r>
          </w:p>
        </w:tc>
      </w:tr>
    </w:tbl>
    <w:p w14:paraId="4D948A07" w14:textId="77777777" w:rsidR="00191856" w:rsidRPr="00B275E2" w:rsidRDefault="00191856" w:rsidP="002234D0">
      <w:pPr>
        <w:pStyle w:val="Heading3"/>
      </w:pPr>
      <w:r w:rsidRPr="00B275E2">
        <w:t>7.6.1</w:t>
      </w:r>
      <w:r w:rsidRPr="00B275E2">
        <w:tab/>
        <w:t>GHG inventory development</w:t>
      </w:r>
    </w:p>
    <w:p w14:paraId="56801FD5" w14:textId="77777777" w:rsidR="00191856" w:rsidRPr="00B275E2" w:rsidRDefault="00191856" w:rsidP="007F0B1E">
      <w:pPr>
        <w:pStyle w:val="BodyText"/>
        <w:spacing w:before="80"/>
      </w:pPr>
      <w:r w:rsidRPr="00B275E2">
        <w:t>These emission factors can be used where the amount of fuel used is not known. Obtaining fuel data will provide a more accurate estimate of your carbon emissions.</w:t>
      </w:r>
    </w:p>
    <w:p w14:paraId="0C5220CC" w14:textId="1BA87B6B" w:rsidR="00191856" w:rsidRPr="00B275E2" w:rsidRDefault="00191856" w:rsidP="007F0B1E">
      <w:pPr>
        <w:pStyle w:val="BodyText"/>
        <w:spacing w:before="80"/>
      </w:pPr>
      <w:r w:rsidRPr="00B275E2">
        <w:t>To calculate emissions from operating helicopters when only the number of operating hours is known. Applying the equation E= Q x F (</w:t>
      </w:r>
      <w:hyperlink w:anchor="_How_to_quantify" w:history="1">
        <w:r w:rsidRPr="00B275E2">
          <w:rPr>
            <w:rStyle w:val="Hyperlink"/>
          </w:rPr>
          <w:t>section 2</w:t>
        </w:r>
      </w:hyperlink>
      <w:r w:rsidRPr="00B275E2">
        <w:t xml:space="preserve">), this means: </w:t>
      </w:r>
    </w:p>
    <w:p w14:paraId="5827EC53" w14:textId="50FBEC5E" w:rsidR="00DB5967" w:rsidRPr="00B275E2" w:rsidRDefault="00DB5967" w:rsidP="00953BE9">
      <w:pPr>
        <w:pStyle w:val="BodyText"/>
        <w:tabs>
          <w:tab w:val="left" w:pos="680"/>
          <w:tab w:val="left" w:pos="1134"/>
        </w:tabs>
        <w:contextualSpacing/>
      </w:pPr>
      <w:r w:rsidRPr="00B275E2">
        <w:t>E</w:t>
      </w:r>
      <w:r w:rsidRPr="00B275E2">
        <w:tab/>
        <w:t>=</w:t>
      </w:r>
      <w:r w:rsidRPr="00B275E2">
        <w:tab/>
        <w:t>emissions from the emissions source in kg CO</w:t>
      </w:r>
      <w:r w:rsidRPr="00B275E2">
        <w:rPr>
          <w:vertAlign w:val="subscript"/>
        </w:rPr>
        <w:t>2</w:t>
      </w:r>
      <w:r w:rsidRPr="00B275E2">
        <w:t>-e per year</w:t>
      </w:r>
    </w:p>
    <w:p w14:paraId="45C0F399" w14:textId="01D15EA1" w:rsidR="00191856" w:rsidRPr="00B275E2" w:rsidRDefault="00191856" w:rsidP="00953BE9">
      <w:pPr>
        <w:pStyle w:val="BodyText"/>
        <w:tabs>
          <w:tab w:val="left" w:pos="680"/>
          <w:tab w:val="left" w:pos="1134"/>
        </w:tabs>
        <w:spacing w:before="0" w:after="0"/>
        <w:contextualSpacing/>
      </w:pPr>
      <w:r w:rsidRPr="00B275E2">
        <w:t>Q</w:t>
      </w:r>
      <w:r w:rsidRPr="00B275E2">
        <w:tab/>
        <w:t>=</w:t>
      </w:r>
      <w:r w:rsidRPr="00B275E2">
        <w:tab/>
        <w:t>hours of operating time (hours)</w:t>
      </w:r>
    </w:p>
    <w:p w14:paraId="164E04FC" w14:textId="4E5B935B" w:rsidR="00191856" w:rsidRPr="00B275E2" w:rsidRDefault="00191856" w:rsidP="00B11474">
      <w:pPr>
        <w:pStyle w:val="BodyText"/>
        <w:tabs>
          <w:tab w:val="left" w:pos="680"/>
          <w:tab w:val="left" w:pos="1134"/>
        </w:tabs>
        <w:spacing w:after="240"/>
        <w:contextualSpacing/>
      </w:pPr>
      <w:r w:rsidRPr="00B275E2">
        <w:t>F</w:t>
      </w:r>
      <w:r w:rsidRPr="00B275E2">
        <w:tab/>
        <w:t>=</w:t>
      </w:r>
      <w:r w:rsidRPr="00B275E2">
        <w:tab/>
        <w:t xml:space="preserve">emission factors for correlating helicopter type, from table </w:t>
      </w:r>
      <w:r w:rsidR="003D409D" w:rsidRPr="00B275E2">
        <w:t>5</w:t>
      </w:r>
      <w:r w:rsidR="00521227">
        <w:t>0</w:t>
      </w:r>
      <w:r w:rsidRPr="00B275E2">
        <w:t xml:space="preserve"> above</w:t>
      </w:r>
    </w:p>
    <w:tbl>
      <w:tblPr>
        <w:tblW w:w="8500"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0"/>
      </w:tblGrid>
      <w:tr w:rsidR="00191856" w:rsidRPr="00B275E2" w14:paraId="11AF7D73" w14:textId="77777777" w:rsidTr="00953BE9">
        <w:tc>
          <w:tcPr>
            <w:tcW w:w="8500" w:type="dxa"/>
            <w:tcBorders>
              <w:top w:val="single" w:sz="4" w:space="0" w:color="0F7B7D"/>
              <w:left w:val="single" w:sz="4" w:space="0" w:color="0F7B7D"/>
              <w:bottom w:val="nil"/>
              <w:right w:val="single" w:sz="4" w:space="0" w:color="0F7B7D"/>
            </w:tcBorders>
            <w:shd w:val="clear" w:color="auto" w:fill="0F7B7D"/>
            <w:vAlign w:val="center"/>
            <w:hideMark/>
          </w:tcPr>
          <w:p w14:paraId="4A21E733" w14:textId="77777777" w:rsidR="00191856" w:rsidRPr="00B275E2" w:rsidRDefault="00191856" w:rsidP="00953BE9">
            <w:pPr>
              <w:pStyle w:val="Casestudyheading"/>
              <w:rPr>
                <w:lang w:eastAsia="en-US"/>
              </w:rPr>
            </w:pPr>
            <w:r w:rsidRPr="00B275E2">
              <w:t>Helicopter</w:t>
            </w:r>
            <w:r w:rsidRPr="00B275E2">
              <w:rPr>
                <w:lang w:eastAsia="en-US"/>
              </w:rPr>
              <w:t xml:space="preserve"> use: Example Calculation</w:t>
            </w:r>
          </w:p>
        </w:tc>
      </w:tr>
      <w:tr w:rsidR="00191856" w:rsidRPr="00B275E2" w14:paraId="167E3AA4" w14:textId="77777777" w:rsidTr="00953BE9">
        <w:tc>
          <w:tcPr>
            <w:tcW w:w="8500" w:type="dxa"/>
            <w:tcBorders>
              <w:top w:val="nil"/>
              <w:left w:val="single" w:sz="4" w:space="0" w:color="D5EBE8" w:themeColor="accent3"/>
              <w:bottom w:val="single" w:sz="4" w:space="0" w:color="D5EBE8" w:themeColor="accent3"/>
              <w:right w:val="single" w:sz="4" w:space="0" w:color="D5EBE8" w:themeColor="accent3"/>
            </w:tcBorders>
            <w:shd w:val="clear" w:color="auto" w:fill="D5EBE8" w:themeFill="accent3"/>
          </w:tcPr>
          <w:p w14:paraId="146C6A2A" w14:textId="58BA1D94" w:rsidR="00191856" w:rsidRPr="00B275E2" w:rsidRDefault="00191856" w:rsidP="00953BE9">
            <w:pPr>
              <w:pStyle w:val="Boxtext"/>
              <w:spacing w:after="80"/>
            </w:pPr>
            <w:r w:rsidRPr="00B275E2">
              <w:t xml:space="preserve">An agricultural operation used a Eurocopter AS 350B Squirrel to apply topdressing and other spraying activities. They could not obtain data on the amount of fuel used, but had recorded </w:t>
            </w:r>
            <w:r w:rsidR="004E3EF0" w:rsidRPr="00B275E2">
              <w:t xml:space="preserve">10 </w:t>
            </w:r>
            <w:r w:rsidRPr="00B275E2">
              <w:t xml:space="preserve">flying hours over a given year. </w:t>
            </w:r>
          </w:p>
          <w:p w14:paraId="1E318861" w14:textId="2C935839" w:rsidR="00191856" w:rsidRPr="00B275E2" w:rsidRDefault="00191856" w:rsidP="00953BE9">
            <w:pPr>
              <w:pStyle w:val="Boxtext"/>
              <w:tabs>
                <w:tab w:val="left" w:pos="2854"/>
                <w:tab w:val="left" w:pos="4285"/>
              </w:tabs>
              <w:spacing w:before="20" w:after="20"/>
              <w:ind w:left="850"/>
            </w:pPr>
            <w:r w:rsidRPr="00B275E2">
              <w:t>CO</w:t>
            </w:r>
            <w:r w:rsidRPr="00B275E2">
              <w:rPr>
                <w:vertAlign w:val="subscript"/>
              </w:rPr>
              <w:t>2</w:t>
            </w:r>
            <w:r w:rsidRPr="00B275E2">
              <w:t xml:space="preserve"> emissions</w:t>
            </w:r>
            <w:r w:rsidRPr="00B275E2">
              <w:tab/>
              <w:t xml:space="preserve">= 10 </w:t>
            </w:r>
            <w:r w:rsidRPr="00B275E2">
              <w:rPr>
                <w:rFonts w:cs="Calibri"/>
              </w:rPr>
              <w:t>×</w:t>
            </w:r>
            <w:r w:rsidRPr="00B275E2">
              <w:t xml:space="preserve"> 46</w:t>
            </w:r>
            <w:r w:rsidR="004015C7" w:rsidRPr="00B275E2">
              <w:t>3.998</w:t>
            </w:r>
            <w:r w:rsidRPr="00B275E2">
              <w:tab/>
              <w:t xml:space="preserve"> = 4,6</w:t>
            </w:r>
            <w:r w:rsidR="00BB5E32" w:rsidRPr="00B275E2">
              <w:t>39.98</w:t>
            </w:r>
            <w:r w:rsidRPr="00B275E2">
              <w:t xml:space="preserve"> kg CO</w:t>
            </w:r>
            <w:r w:rsidRPr="00B275E2">
              <w:rPr>
                <w:vertAlign w:val="subscript"/>
              </w:rPr>
              <w:t>2</w:t>
            </w:r>
            <w:r w:rsidRPr="00B275E2">
              <w:t xml:space="preserve"> </w:t>
            </w:r>
          </w:p>
          <w:p w14:paraId="6D49B0C6" w14:textId="0A7C05AB" w:rsidR="00191856" w:rsidRPr="00B275E2" w:rsidRDefault="00191856" w:rsidP="00953BE9">
            <w:pPr>
              <w:pStyle w:val="Boxtext"/>
              <w:tabs>
                <w:tab w:val="left" w:pos="2854"/>
                <w:tab w:val="left" w:pos="4285"/>
              </w:tabs>
              <w:spacing w:before="20" w:after="20"/>
              <w:ind w:left="850"/>
            </w:pPr>
            <w:r w:rsidRPr="00B275E2">
              <w:t>CH</w:t>
            </w:r>
            <w:r w:rsidRPr="00B275E2">
              <w:rPr>
                <w:vertAlign w:val="subscript"/>
              </w:rPr>
              <w:t>4</w:t>
            </w:r>
            <w:r w:rsidRPr="00B275E2">
              <w:t xml:space="preserve"> emissions</w:t>
            </w:r>
            <w:r w:rsidRPr="00B275E2">
              <w:tab/>
              <w:t xml:space="preserve">= 10 </w:t>
            </w:r>
            <w:r w:rsidRPr="00B275E2">
              <w:rPr>
                <w:rFonts w:cs="Calibri"/>
              </w:rPr>
              <w:t>×</w:t>
            </w:r>
            <w:r w:rsidRPr="00B275E2">
              <w:t xml:space="preserve"> 3.2</w:t>
            </w:r>
            <w:r w:rsidR="00BB5E32" w:rsidRPr="00B275E2">
              <w:t>647</w:t>
            </w:r>
            <w:r w:rsidRPr="00B275E2">
              <w:tab/>
              <w:t xml:space="preserve"> = 32.</w:t>
            </w:r>
            <w:r w:rsidR="00BB5E32" w:rsidRPr="00B275E2">
              <w:t>647</w:t>
            </w:r>
            <w:r w:rsidRPr="00B275E2">
              <w:t xml:space="preserve"> kg CO</w:t>
            </w:r>
            <w:r w:rsidRPr="00B275E2">
              <w:rPr>
                <w:vertAlign w:val="subscript"/>
              </w:rPr>
              <w:t>2</w:t>
            </w:r>
            <w:r w:rsidRPr="00B275E2">
              <w:t xml:space="preserve">-e </w:t>
            </w:r>
          </w:p>
          <w:p w14:paraId="3F0F9D55" w14:textId="0F829538" w:rsidR="00191856" w:rsidRPr="00B275E2" w:rsidRDefault="00191856" w:rsidP="00953BE9">
            <w:pPr>
              <w:pStyle w:val="Boxtext"/>
              <w:tabs>
                <w:tab w:val="left" w:pos="2854"/>
                <w:tab w:val="left" w:pos="4285"/>
              </w:tabs>
              <w:spacing w:before="20" w:after="20"/>
              <w:ind w:left="850"/>
            </w:pPr>
            <w:r w:rsidRPr="00B275E2">
              <w:t>N</w:t>
            </w:r>
            <w:r w:rsidRPr="00B275E2">
              <w:rPr>
                <w:vertAlign w:val="subscript"/>
              </w:rPr>
              <w:t>2</w:t>
            </w:r>
            <w:r w:rsidRPr="00B275E2">
              <w:t>O emissions</w:t>
            </w:r>
            <w:r w:rsidRPr="00B275E2">
              <w:tab/>
              <w:t xml:space="preserve">= 10 </w:t>
            </w:r>
            <w:r w:rsidRPr="00B275E2">
              <w:rPr>
                <w:rFonts w:cs="Calibri"/>
              </w:rPr>
              <w:t>×</w:t>
            </w:r>
            <w:r w:rsidRPr="00B275E2">
              <w:t xml:space="preserve"> 12.</w:t>
            </w:r>
            <w:r w:rsidR="008E1EB4" w:rsidRPr="00B275E2">
              <w:t>923</w:t>
            </w:r>
            <w:r w:rsidRPr="00B275E2">
              <w:tab/>
              <w:t xml:space="preserve"> = 12</w:t>
            </w:r>
            <w:r w:rsidR="008E1EB4" w:rsidRPr="00B275E2">
              <w:t>9.23</w:t>
            </w:r>
            <w:r w:rsidRPr="00B275E2">
              <w:t xml:space="preserve"> kg CO</w:t>
            </w:r>
            <w:r w:rsidRPr="00B275E2">
              <w:rPr>
                <w:vertAlign w:val="subscript"/>
              </w:rPr>
              <w:t>2</w:t>
            </w:r>
            <w:r w:rsidRPr="00B275E2">
              <w:t xml:space="preserve">-e </w:t>
            </w:r>
          </w:p>
          <w:p w14:paraId="55139407" w14:textId="7D443AB9" w:rsidR="00191856" w:rsidRPr="00B275E2" w:rsidRDefault="00191856" w:rsidP="00953BE9">
            <w:pPr>
              <w:pStyle w:val="Boxtext"/>
              <w:tabs>
                <w:tab w:val="left" w:pos="2854"/>
                <w:tab w:val="left" w:pos="4285"/>
              </w:tabs>
              <w:spacing w:before="20" w:after="20"/>
              <w:ind w:left="850"/>
            </w:pPr>
            <w:r w:rsidRPr="00B275E2">
              <w:t>Total CO</w:t>
            </w:r>
            <w:r w:rsidRPr="00B275E2">
              <w:rPr>
                <w:vertAlign w:val="subscript"/>
              </w:rPr>
              <w:t>2</w:t>
            </w:r>
            <w:r w:rsidRPr="00B275E2">
              <w:t>-e emissions</w:t>
            </w:r>
            <w:r w:rsidRPr="00B275E2">
              <w:tab/>
              <w:t xml:space="preserve">= 10 </w:t>
            </w:r>
            <w:r w:rsidRPr="00B275E2">
              <w:rPr>
                <w:rFonts w:cs="Calibri"/>
              </w:rPr>
              <w:t>×</w:t>
            </w:r>
            <w:r w:rsidRPr="00B275E2">
              <w:t xml:space="preserve"> 4</w:t>
            </w:r>
            <w:r w:rsidR="008E1EB4" w:rsidRPr="00B275E2">
              <w:t>80.185</w:t>
            </w:r>
            <w:r w:rsidRPr="00B275E2">
              <w:tab/>
              <w:t>= 4,</w:t>
            </w:r>
            <w:r w:rsidR="008E1EB4" w:rsidRPr="00B275E2">
              <w:t>801.85</w:t>
            </w:r>
            <w:r w:rsidRPr="00B275E2">
              <w:t xml:space="preserve"> kg CO</w:t>
            </w:r>
            <w:r w:rsidRPr="00B275E2">
              <w:rPr>
                <w:vertAlign w:val="subscript"/>
              </w:rPr>
              <w:t>2</w:t>
            </w:r>
            <w:r w:rsidRPr="00B275E2">
              <w:t xml:space="preserve">-e </w:t>
            </w:r>
          </w:p>
          <w:p w14:paraId="2E874567" w14:textId="77777777" w:rsidR="00191856" w:rsidRPr="00B275E2" w:rsidRDefault="00191856" w:rsidP="00953BE9">
            <w:pPr>
              <w:pStyle w:val="Boxtext"/>
              <w:spacing w:after="180"/>
              <w:rPr>
                <w:rFonts w:cs="Times New Roman"/>
                <w:szCs w:val="20"/>
              </w:rPr>
            </w:pPr>
            <w:r w:rsidRPr="00B275E2">
              <w:rPr>
                <w:rFonts w:cs="Times New Roman"/>
                <w:sz w:val="18"/>
                <w:szCs w:val="18"/>
              </w:rPr>
              <w:t>Note: Numbers may not add due to rounding.</w:t>
            </w:r>
          </w:p>
        </w:tc>
      </w:tr>
    </w:tbl>
    <w:p w14:paraId="7FE986DC" w14:textId="77777777" w:rsidR="00191856" w:rsidRPr="00B275E2" w:rsidRDefault="00191856" w:rsidP="002234D0">
      <w:pPr>
        <w:pStyle w:val="Heading3"/>
      </w:pPr>
      <w:r w:rsidRPr="00B275E2">
        <w:t>7.6.2</w:t>
      </w:r>
      <w:r w:rsidRPr="00B275E2">
        <w:tab/>
        <w:t>Emission factor derivation methodology</w:t>
      </w:r>
    </w:p>
    <w:p w14:paraId="3CE7B197" w14:textId="2A30F8BB" w:rsidR="00191856" w:rsidRPr="00B275E2" w:rsidRDefault="00191856" w:rsidP="007F0B1E">
      <w:pPr>
        <w:pStyle w:val="BodyText"/>
      </w:pPr>
      <w:r w:rsidRPr="00B275E2">
        <w:t xml:space="preserve">These emission factors were derived from the Swiss Federal Office of Civil Aviation’s </w:t>
      </w:r>
      <w:r w:rsidR="00C302B4">
        <w:t xml:space="preserve">(FOCA) </w:t>
      </w:r>
      <w:r w:rsidRPr="00B275E2">
        <w:t>Guidance on the Determination of Helicopter Emissions</w:t>
      </w:r>
      <w:r w:rsidR="00953BE9" w:rsidRPr="00B275E2">
        <w:t>.</w:t>
      </w:r>
      <w:r w:rsidRPr="00B275E2">
        <w:rPr>
          <w:rStyle w:val="FootnoteReference"/>
        </w:rPr>
        <w:footnoteReference w:id="44"/>
      </w:r>
      <w:r w:rsidRPr="00B275E2">
        <w:t xml:space="preserve"> This contains air emissions data (non-GHG) for one hour of flying time, including fuel consumption, for a range of helicopter models.</w:t>
      </w:r>
    </w:p>
    <w:p w14:paraId="3F4D8468" w14:textId="6A1739CD" w:rsidR="008930E5" w:rsidRPr="00B275E2" w:rsidRDefault="008930E5" w:rsidP="007F0B1E">
      <w:pPr>
        <w:pStyle w:val="BodyText"/>
      </w:pPr>
      <w:r w:rsidRPr="00B275E2">
        <w:t xml:space="preserve">The fuel consumption (provided in kgs) was converted to litres using assumed densities of 0.804 kg per litre and 0.690 kg per litre, for Jet A1 and aviation gas respectively. Turbine engine </w:t>
      </w:r>
      <w:r w:rsidRPr="00B275E2">
        <w:lastRenderedPageBreak/>
        <w:t xml:space="preserve">helicopters are assumed to use Jet A1 while piston helicopters are assumed to use aviation gas. We then applied the Jet A1 and aviation gas emission factors from Transport fuels </w:t>
      </w:r>
      <w:r w:rsidR="008458CE" w:rsidRPr="00B275E2">
        <w:t xml:space="preserve">section </w:t>
      </w:r>
      <w:r w:rsidRPr="00B275E2">
        <w:t xml:space="preserve">above to determine the emission factor for one hour of operation. </w:t>
      </w:r>
    </w:p>
    <w:p w14:paraId="2750E546" w14:textId="77777777" w:rsidR="00191856" w:rsidRPr="00B275E2" w:rsidRDefault="00191856" w:rsidP="007F0B1E">
      <w:pPr>
        <w:pStyle w:val="BodyText"/>
      </w:pPr>
      <w:r w:rsidRPr="00B275E2">
        <w:t>We used the aircraft register on the New Zealand Civil Aviation Authority (CAA) website</w:t>
      </w:r>
      <w:r w:rsidRPr="00B275E2">
        <w:rPr>
          <w:rStyle w:val="FootnoteReference"/>
        </w:rPr>
        <w:footnoteReference w:id="45"/>
      </w:r>
      <w:r w:rsidRPr="00B275E2">
        <w:t xml:space="preserve"> to identify the most commonly registered helicopter models in the country.</w:t>
      </w:r>
    </w:p>
    <w:p w14:paraId="6578693F" w14:textId="77777777" w:rsidR="00191856" w:rsidRPr="00B275E2" w:rsidRDefault="00191856" w:rsidP="002234D0">
      <w:pPr>
        <w:pStyle w:val="Heading3"/>
      </w:pPr>
      <w:r w:rsidRPr="00B275E2">
        <w:t>7.6.3</w:t>
      </w:r>
      <w:r w:rsidRPr="00B275E2">
        <w:tab/>
        <w:t>Assumptions, limitations and uncertainties</w:t>
      </w:r>
    </w:p>
    <w:p w14:paraId="576A8647" w14:textId="77777777" w:rsidR="00191856" w:rsidRPr="00B275E2" w:rsidRDefault="00191856" w:rsidP="007F0B1E">
      <w:pPr>
        <w:pStyle w:val="BodyText"/>
        <w:rPr>
          <w:spacing w:val="-2"/>
        </w:rPr>
      </w:pPr>
      <w:r w:rsidRPr="00B275E2">
        <w:rPr>
          <w:spacing w:val="-2"/>
        </w:rPr>
        <w:t>Obtaining the amount of fuel used for helicopter activities would provide a more accurate estimate of carbon emissions, than using this emission factor which is based on operating hours.</w:t>
      </w:r>
    </w:p>
    <w:p w14:paraId="2CAE3D51" w14:textId="77777777" w:rsidR="00191856" w:rsidRPr="00B275E2" w:rsidRDefault="00191856" w:rsidP="007F0B1E">
      <w:pPr>
        <w:pStyle w:val="BodyText"/>
      </w:pPr>
      <w:r w:rsidRPr="00B275E2">
        <w:t>A number of factors will influence the accuracy of this emission factor for a given operating hour, such as the cruising speed, the take-off and approach, and the way the helicopter is being used.</w:t>
      </w:r>
    </w:p>
    <w:p w14:paraId="33731901" w14:textId="52011637" w:rsidR="00191856" w:rsidRPr="00B275E2" w:rsidRDefault="00191856" w:rsidP="007F0B1E">
      <w:pPr>
        <w:pStyle w:val="BodyText"/>
      </w:pPr>
      <w:r w:rsidRPr="00B275E2">
        <w:t xml:space="preserve">Finally, if </w:t>
      </w:r>
      <w:r w:rsidR="0092123F" w:rsidRPr="00B275E2">
        <w:t xml:space="preserve">your </w:t>
      </w:r>
      <w:r w:rsidRPr="00B275E2">
        <w:t xml:space="preserve">organisation has a helicopter model that is not provided here, </w:t>
      </w:r>
      <w:r w:rsidR="0092123F" w:rsidRPr="00B275E2">
        <w:t xml:space="preserve">you </w:t>
      </w:r>
      <w:r w:rsidRPr="00B275E2">
        <w:t>may wish to choose the model that seems to be the best fit. However</w:t>
      </w:r>
      <w:r w:rsidR="0092123F" w:rsidRPr="00B275E2">
        <w:t>,</w:t>
      </w:r>
      <w:r w:rsidRPr="00B275E2">
        <w:t xml:space="preserve"> this approach will have limitations, due to variations that include engine operating power, and the size and number of engines. </w:t>
      </w:r>
    </w:p>
    <w:p w14:paraId="6A764A6C" w14:textId="7FD71D76" w:rsidR="00DB0697" w:rsidRPr="00B275E2" w:rsidRDefault="00191856" w:rsidP="003B02D6">
      <w:pPr>
        <w:pStyle w:val="Heading2"/>
        <w:numPr>
          <w:ilvl w:val="0"/>
          <w:numId w:val="0"/>
        </w:numPr>
      </w:pPr>
      <w:bookmarkStart w:id="446" w:name="_Toc111536799"/>
      <w:r w:rsidRPr="00B275E2">
        <w:t>7.7</w:t>
      </w:r>
      <w:bookmarkStart w:id="447" w:name="_Toc532904912"/>
      <w:bookmarkStart w:id="448" w:name="_Toc600586"/>
      <w:r w:rsidR="0092123F" w:rsidRPr="00B275E2">
        <w:tab/>
      </w:r>
      <w:r w:rsidR="00F005B6" w:rsidRPr="00B275E2">
        <w:t>Accommodation</w:t>
      </w:r>
      <w:bookmarkEnd w:id="447"/>
      <w:bookmarkEnd w:id="448"/>
      <w:bookmarkEnd w:id="446"/>
    </w:p>
    <w:p w14:paraId="7B1D9D78" w14:textId="0509114F" w:rsidR="00DB0697" w:rsidRPr="00B275E2" w:rsidRDefault="001A6521" w:rsidP="000C10FE">
      <w:pPr>
        <w:pStyle w:val="BodyText"/>
        <w:keepLines/>
      </w:pPr>
      <w:r w:rsidRPr="00B275E2">
        <w:t xml:space="preserve">Accommodation is an indirect (Scope 3) emissions source. </w:t>
      </w:r>
      <w:r w:rsidR="00F005B6" w:rsidRPr="00B275E2">
        <w:t>We obtained the e</w:t>
      </w:r>
      <w:r w:rsidR="00DB0697" w:rsidRPr="00B275E2">
        <w:t xml:space="preserve">mission factors for </w:t>
      </w:r>
      <w:r w:rsidR="00F005B6" w:rsidRPr="00B275E2">
        <w:t>accommodation</w:t>
      </w:r>
      <w:r w:rsidR="00064006" w:rsidRPr="00B275E2">
        <w:t xml:space="preserve">, see </w:t>
      </w:r>
      <w:r w:rsidR="000558A5" w:rsidRPr="00B275E2">
        <w:t xml:space="preserve">table </w:t>
      </w:r>
      <w:r w:rsidR="003D409D" w:rsidRPr="00B275E2">
        <w:t>5</w:t>
      </w:r>
      <w:r w:rsidR="00521227">
        <w:t>1</w:t>
      </w:r>
      <w:r w:rsidR="00064006" w:rsidRPr="00B275E2">
        <w:t>,</w:t>
      </w:r>
      <w:r w:rsidR="00DB0697" w:rsidRPr="00B275E2">
        <w:t xml:space="preserve"> directly from the Hotel Footprinting Tool, produced by the International Tourism Partnership and Greenview, which have been derived from the Cornell Hotel Sustainability Benchmarking Index (CHSB) </w:t>
      </w:r>
      <w:r w:rsidR="0006594A" w:rsidRPr="00B275E2">
        <w:t>Index 2021: Carbon Energy, and Water</w:t>
      </w:r>
      <w:r w:rsidR="00B22FE9" w:rsidRPr="00B275E2">
        <w:t>.</w:t>
      </w:r>
      <w:r w:rsidR="0009133A" w:rsidRPr="00B275E2">
        <w:rPr>
          <w:rStyle w:val="FootnoteReference"/>
        </w:rPr>
        <w:footnoteReference w:id="46"/>
      </w:r>
      <w:r w:rsidR="00064006" w:rsidRPr="00B275E2">
        <w:t xml:space="preserve"> The </w:t>
      </w:r>
      <w:r w:rsidR="00DB0697" w:rsidRPr="00B275E2">
        <w:t>factors are in CO</w:t>
      </w:r>
      <w:r w:rsidR="00DB0697" w:rsidRPr="00B275E2">
        <w:rPr>
          <w:vertAlign w:val="subscript"/>
        </w:rPr>
        <w:t>2</w:t>
      </w:r>
      <w:r w:rsidR="00DB0697" w:rsidRPr="00B275E2">
        <w:t xml:space="preserve">-e and </w:t>
      </w:r>
      <w:r w:rsidRPr="00B275E2">
        <w:t>are not available</w:t>
      </w:r>
      <w:r w:rsidR="00DB0697" w:rsidRPr="00B275E2">
        <w:t xml:space="preserve"> by</w:t>
      </w:r>
      <w:r w:rsidR="000C10FE" w:rsidRPr="00B275E2">
        <w:t> </w:t>
      </w:r>
      <w:r w:rsidR="00DB0697" w:rsidRPr="00B275E2">
        <w:t>gas</w:t>
      </w:r>
      <w:r w:rsidR="0009133A" w:rsidRPr="00B275E2">
        <w:t xml:space="preserve"> type</w:t>
      </w:r>
      <w:r w:rsidR="00064006" w:rsidRPr="00B275E2">
        <w:t>.</w:t>
      </w:r>
    </w:p>
    <w:p w14:paraId="204B93C1" w14:textId="60CB8A00" w:rsidR="00380A49" w:rsidRPr="00B275E2" w:rsidRDefault="00EB4389" w:rsidP="003A6D7A">
      <w:pPr>
        <w:pStyle w:val="Tableheading"/>
      </w:pPr>
      <w:bookmarkStart w:id="449" w:name="_Toc111536656"/>
      <w:r w:rsidRPr="00B275E2">
        <w:t xml:space="preserve">Table </w:t>
      </w:r>
      <w:r w:rsidRPr="00B275E2">
        <w:fldChar w:fldCharType="begin"/>
      </w:r>
      <w:r w:rsidRPr="00B275E2">
        <w:instrText>SEQ Table \* ARABIC</w:instrText>
      </w:r>
      <w:r w:rsidRPr="00B275E2">
        <w:fldChar w:fldCharType="separate"/>
      </w:r>
      <w:r>
        <w:rPr>
          <w:noProof/>
        </w:rPr>
        <w:t>51</w:t>
      </w:r>
      <w:r w:rsidRPr="00B275E2">
        <w:fldChar w:fldCharType="end"/>
      </w:r>
      <w:r w:rsidRPr="00B275E2">
        <w:t>:</w:t>
      </w:r>
      <w:r w:rsidRPr="00B275E2">
        <w:tab/>
      </w:r>
      <w:r w:rsidR="00DE5085" w:rsidRPr="00B275E2">
        <w:t>Accommodation</w:t>
      </w:r>
      <w:r w:rsidR="00380A49" w:rsidRPr="00B275E2">
        <w:t xml:space="preserve"> emission factors</w:t>
      </w:r>
      <w:bookmarkEnd w:id="449"/>
    </w:p>
    <w:tbl>
      <w:tblPr>
        <w:tblStyle w:val="LightList-Accent11"/>
        <w:tblW w:w="8515" w:type="dxa"/>
        <w:tblInd w:w="20" w:type="dxa"/>
        <w:tblBorders>
          <w:top w:val="single" w:sz="4" w:space="0" w:color="1B556B"/>
          <w:bottom w:val="single" w:sz="4" w:space="0" w:color="1B556B"/>
          <w:insideH w:val="single" w:sz="4" w:space="0" w:color="1B556B"/>
          <w:insideV w:val="single" w:sz="4" w:space="0" w:color="1B556B"/>
        </w:tblBorders>
        <w:tblLayout w:type="fixed"/>
        <w:tblLook w:val="04A0" w:firstRow="1" w:lastRow="0" w:firstColumn="1" w:lastColumn="0" w:noHBand="0" w:noVBand="1"/>
      </w:tblPr>
      <w:tblGrid>
        <w:gridCol w:w="3500"/>
        <w:gridCol w:w="7"/>
        <w:gridCol w:w="2569"/>
        <w:gridCol w:w="2403"/>
        <w:gridCol w:w="13"/>
        <w:gridCol w:w="23"/>
      </w:tblGrid>
      <w:tr w:rsidR="00380A49" w:rsidRPr="00B275E2" w14:paraId="06A41C03" w14:textId="77777777" w:rsidTr="00B11474">
        <w:trPr>
          <w:gridAfter w:val="2"/>
          <w:cnfStyle w:val="100000000000" w:firstRow="1" w:lastRow="0" w:firstColumn="0" w:lastColumn="0" w:oddVBand="0" w:evenVBand="0" w:oddHBand="0" w:evenHBand="0" w:firstRowFirstColumn="0" w:firstRowLastColumn="0" w:lastRowFirstColumn="0" w:lastRowLastColumn="0"/>
          <w:wAfter w:w="36" w:type="dxa"/>
          <w:tblHeader/>
        </w:trPr>
        <w:tc>
          <w:tcPr>
            <w:cnfStyle w:val="001000000000" w:firstRow="0" w:lastRow="0" w:firstColumn="1" w:lastColumn="0" w:oddVBand="0" w:evenVBand="0" w:oddHBand="0" w:evenHBand="0" w:firstRowFirstColumn="0" w:firstRowLastColumn="0" w:lastRowFirstColumn="0" w:lastRowLastColumn="0"/>
            <w:tcW w:w="3500" w:type="dxa"/>
            <w:shd w:val="clear" w:color="auto" w:fill="1B556B" w:themeFill="text2"/>
          </w:tcPr>
          <w:p w14:paraId="4851A7C9" w14:textId="72846E54" w:rsidR="00380A49" w:rsidRPr="00B275E2" w:rsidRDefault="00DE5085" w:rsidP="000C10FE">
            <w:pPr>
              <w:pStyle w:val="TableText"/>
              <w:spacing w:before="40" w:after="40"/>
            </w:pPr>
            <w:r w:rsidRPr="00B275E2">
              <w:t>C</w:t>
            </w:r>
            <w:r w:rsidR="00380A49" w:rsidRPr="00B275E2">
              <w:t>ountry</w:t>
            </w:r>
            <w:r w:rsidRPr="00B275E2">
              <w:t xml:space="preserve"> </w:t>
            </w:r>
          </w:p>
        </w:tc>
        <w:tc>
          <w:tcPr>
            <w:tcW w:w="2576" w:type="dxa"/>
            <w:gridSpan w:val="2"/>
            <w:shd w:val="clear" w:color="auto" w:fill="1B556B" w:themeFill="text2"/>
          </w:tcPr>
          <w:p w14:paraId="7F9E93D2" w14:textId="77777777" w:rsidR="00380A49" w:rsidRPr="00B275E2" w:rsidRDefault="00380A49" w:rsidP="000C10FE">
            <w:pPr>
              <w:pStyle w:val="TableText"/>
              <w:spacing w:before="40" w:after="40"/>
              <w:cnfStyle w:val="100000000000" w:firstRow="1" w:lastRow="0" w:firstColumn="0" w:lastColumn="0" w:oddVBand="0" w:evenVBand="0" w:oddHBand="0" w:evenHBand="0" w:firstRowFirstColumn="0" w:firstRowLastColumn="0" w:lastRowFirstColumn="0" w:lastRowLastColumn="0"/>
            </w:pPr>
            <w:r w:rsidRPr="00B275E2">
              <w:t>Unit</w:t>
            </w:r>
          </w:p>
        </w:tc>
        <w:tc>
          <w:tcPr>
            <w:tcW w:w="2403" w:type="dxa"/>
            <w:shd w:val="clear" w:color="auto" w:fill="1B556B" w:themeFill="text2"/>
          </w:tcPr>
          <w:p w14:paraId="0199DC46" w14:textId="06626947" w:rsidR="00380A49" w:rsidRPr="00B275E2" w:rsidRDefault="00380A49" w:rsidP="000C10FE">
            <w:pPr>
              <w:pStyle w:val="TableText"/>
              <w:spacing w:before="40" w:after="40"/>
              <w:jc w:val="right"/>
              <w:cnfStyle w:val="100000000000" w:firstRow="1" w:lastRow="0" w:firstColumn="0" w:lastColumn="0" w:oddVBand="0" w:evenVBand="0" w:oddHBand="0" w:evenHBand="0" w:firstRowFirstColumn="0" w:firstRowLastColumn="0" w:lastRowFirstColumn="0" w:lastRowLastColumn="0"/>
            </w:pPr>
            <w:r w:rsidRPr="00B275E2">
              <w:t>kgCO</w:t>
            </w:r>
            <w:r w:rsidRPr="00B275E2">
              <w:rPr>
                <w:vertAlign w:val="subscript"/>
              </w:rPr>
              <w:t>2</w:t>
            </w:r>
            <w:r w:rsidRPr="00B275E2">
              <w:t>-e/unit</w:t>
            </w:r>
          </w:p>
        </w:tc>
      </w:tr>
      <w:tr w:rsidR="00531C90" w:rsidRPr="00B275E2" w14:paraId="1D74E1FC" w14:textId="77777777" w:rsidTr="00B65C73">
        <w:trPr>
          <w:gridAfter w:val="1"/>
          <w:cnfStyle w:val="000000100000" w:firstRow="0" w:lastRow="0" w:firstColumn="0" w:lastColumn="0" w:oddVBand="0" w:evenVBand="0" w:oddHBand="1" w:evenHBand="0" w:firstRowFirstColumn="0" w:firstRowLastColumn="0" w:lastRowFirstColumn="0" w:lastRowLastColumn="0"/>
          <w:wAfter w:w="23" w:type="dxa"/>
          <w:trHeight w:val="300"/>
        </w:trPr>
        <w:tc>
          <w:tcPr>
            <w:cnfStyle w:val="001000000000" w:firstRow="0" w:lastRow="0" w:firstColumn="1" w:lastColumn="0" w:oddVBand="0" w:evenVBand="0" w:oddHBand="0" w:evenHBand="0" w:firstRowFirstColumn="0" w:firstRowLastColumn="0" w:lastRowFirstColumn="0" w:lastRowLastColumn="0"/>
            <w:tcW w:w="3500" w:type="dxa"/>
            <w:tcBorders>
              <w:left w:val="single" w:sz="4" w:space="0" w:color="FFFFFF" w:themeColor="background1"/>
            </w:tcBorders>
            <w:shd w:val="clear" w:color="000000" w:fill="FFFFFF"/>
            <w:noWrap/>
            <w:vAlign w:val="center"/>
          </w:tcPr>
          <w:p w14:paraId="6BC51E36" w14:textId="32AC7BF3" w:rsidR="00056107" w:rsidRPr="00B275E2" w:rsidRDefault="00056107" w:rsidP="000C10FE">
            <w:pPr>
              <w:pStyle w:val="TableText"/>
              <w:spacing w:before="40" w:after="40"/>
              <w:rPr>
                <w:rFonts w:eastAsia="Times New Roman"/>
                <w:b w:val="0"/>
                <w:szCs w:val="18"/>
              </w:rPr>
            </w:pPr>
            <w:r w:rsidRPr="00B275E2">
              <w:rPr>
                <w:rFonts w:cs="Calibri"/>
                <w:b w:val="0"/>
                <w:szCs w:val="18"/>
              </w:rPr>
              <w:t>Argentina</w:t>
            </w:r>
          </w:p>
        </w:tc>
        <w:tc>
          <w:tcPr>
            <w:tcW w:w="2576" w:type="dxa"/>
            <w:gridSpan w:val="2"/>
            <w:shd w:val="clear" w:color="000000" w:fill="FFFFFF"/>
            <w:noWrap/>
            <w:vAlign w:val="bottom"/>
          </w:tcPr>
          <w:p w14:paraId="0424EB2B" w14:textId="28C27310" w:rsidR="00056107" w:rsidRPr="00B275E2" w:rsidRDefault="00056107" w:rsidP="000C10FE">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275E2">
              <w:rPr>
                <w:rFonts w:cs="Calibri"/>
                <w:szCs w:val="18"/>
              </w:rPr>
              <w:t>Room per night</w:t>
            </w:r>
          </w:p>
        </w:tc>
        <w:tc>
          <w:tcPr>
            <w:tcW w:w="2416" w:type="dxa"/>
            <w:gridSpan w:val="2"/>
            <w:tcBorders>
              <w:right w:val="single" w:sz="4" w:space="0" w:color="FFFFFF" w:themeColor="background1"/>
            </w:tcBorders>
            <w:shd w:val="clear" w:color="000000" w:fill="D2DDE1" w:themeFill="background2"/>
            <w:noWrap/>
          </w:tcPr>
          <w:p w14:paraId="175E732A" w14:textId="35FAF8EB" w:rsidR="00056107" w:rsidRPr="00B275E2" w:rsidRDefault="005B337C" w:rsidP="000C10F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275E2">
              <w:t>50.0</w:t>
            </w:r>
          </w:p>
        </w:tc>
      </w:tr>
      <w:tr w:rsidR="00056107" w:rsidRPr="00B275E2" w14:paraId="20958B4C" w14:textId="77777777" w:rsidTr="00B65C73">
        <w:trPr>
          <w:gridAfter w:val="2"/>
          <w:wAfter w:w="36" w:type="dxa"/>
          <w:trHeight w:val="300"/>
        </w:trPr>
        <w:tc>
          <w:tcPr>
            <w:cnfStyle w:val="001000000000" w:firstRow="0" w:lastRow="0" w:firstColumn="1" w:lastColumn="0" w:oddVBand="0" w:evenVBand="0" w:oddHBand="0" w:evenHBand="0" w:firstRowFirstColumn="0" w:firstRowLastColumn="0" w:lastRowFirstColumn="0" w:lastRowLastColumn="0"/>
            <w:tcW w:w="3500" w:type="dxa"/>
            <w:tcBorders>
              <w:left w:val="single" w:sz="4" w:space="0" w:color="FFFFFF" w:themeColor="background1"/>
            </w:tcBorders>
            <w:shd w:val="clear" w:color="000000" w:fill="FFFFFF"/>
            <w:noWrap/>
            <w:vAlign w:val="center"/>
          </w:tcPr>
          <w:p w14:paraId="280E3E37" w14:textId="0CCE66AD" w:rsidR="00056107" w:rsidRPr="00B275E2" w:rsidRDefault="00056107" w:rsidP="000C10FE">
            <w:pPr>
              <w:pStyle w:val="TableText"/>
              <w:spacing w:before="40" w:after="40"/>
              <w:rPr>
                <w:rFonts w:eastAsia="Times New Roman"/>
                <w:b w:val="0"/>
                <w:szCs w:val="18"/>
              </w:rPr>
            </w:pPr>
            <w:r w:rsidRPr="00B275E2">
              <w:rPr>
                <w:rFonts w:cs="Calibri"/>
                <w:b w:val="0"/>
                <w:szCs w:val="18"/>
              </w:rPr>
              <w:t>Australia</w:t>
            </w:r>
          </w:p>
        </w:tc>
        <w:tc>
          <w:tcPr>
            <w:tcW w:w="2576" w:type="dxa"/>
            <w:gridSpan w:val="2"/>
            <w:shd w:val="clear" w:color="000000" w:fill="FFFFFF"/>
            <w:noWrap/>
            <w:vAlign w:val="bottom"/>
          </w:tcPr>
          <w:p w14:paraId="45758A43" w14:textId="6545A854" w:rsidR="00056107" w:rsidRPr="00B275E2" w:rsidRDefault="00056107" w:rsidP="000C10FE">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275E2">
              <w:rPr>
                <w:rFonts w:cs="Calibri"/>
                <w:szCs w:val="18"/>
              </w:rPr>
              <w:t>Room per night</w:t>
            </w:r>
          </w:p>
        </w:tc>
        <w:tc>
          <w:tcPr>
            <w:tcW w:w="2403" w:type="dxa"/>
            <w:tcBorders>
              <w:right w:val="single" w:sz="4" w:space="0" w:color="FFFFFF" w:themeColor="background1"/>
            </w:tcBorders>
            <w:shd w:val="clear" w:color="000000" w:fill="D2DDE1" w:themeFill="background2"/>
            <w:noWrap/>
          </w:tcPr>
          <w:p w14:paraId="494614B7" w14:textId="2E1C7BFB" w:rsidR="00056107" w:rsidRPr="00B275E2" w:rsidRDefault="00027555" w:rsidP="000C10F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275E2">
              <w:t>38.9</w:t>
            </w:r>
          </w:p>
        </w:tc>
      </w:tr>
      <w:tr w:rsidR="00531C90" w:rsidRPr="00B275E2" w14:paraId="5E7C2970" w14:textId="77777777" w:rsidTr="00B65C73">
        <w:trPr>
          <w:gridAfter w:val="1"/>
          <w:cnfStyle w:val="000000100000" w:firstRow="0" w:lastRow="0" w:firstColumn="0" w:lastColumn="0" w:oddVBand="0" w:evenVBand="0" w:oddHBand="1" w:evenHBand="0" w:firstRowFirstColumn="0" w:firstRowLastColumn="0" w:lastRowFirstColumn="0" w:lastRowLastColumn="0"/>
          <w:wAfter w:w="23" w:type="dxa"/>
          <w:trHeight w:val="300"/>
        </w:trPr>
        <w:tc>
          <w:tcPr>
            <w:cnfStyle w:val="001000000000" w:firstRow="0" w:lastRow="0" w:firstColumn="1" w:lastColumn="0" w:oddVBand="0" w:evenVBand="0" w:oddHBand="0" w:evenHBand="0" w:firstRowFirstColumn="0" w:firstRowLastColumn="0" w:lastRowFirstColumn="0" w:lastRowLastColumn="0"/>
            <w:tcW w:w="3500" w:type="dxa"/>
            <w:tcBorders>
              <w:left w:val="single" w:sz="4" w:space="0" w:color="FFFFFF" w:themeColor="background1"/>
            </w:tcBorders>
            <w:shd w:val="clear" w:color="000000" w:fill="FFFFFF"/>
            <w:noWrap/>
            <w:vAlign w:val="center"/>
          </w:tcPr>
          <w:p w14:paraId="240D9BC8" w14:textId="1E1BF06C" w:rsidR="00056107" w:rsidRPr="00B275E2" w:rsidRDefault="00056107" w:rsidP="000C10FE">
            <w:pPr>
              <w:pStyle w:val="TableText"/>
              <w:spacing w:before="40" w:after="40"/>
              <w:rPr>
                <w:rFonts w:eastAsia="Times New Roman"/>
                <w:b w:val="0"/>
                <w:szCs w:val="18"/>
              </w:rPr>
            </w:pPr>
            <w:r w:rsidRPr="00B275E2">
              <w:rPr>
                <w:rFonts w:cs="Calibri"/>
                <w:b w:val="0"/>
                <w:szCs w:val="18"/>
              </w:rPr>
              <w:t>Austria</w:t>
            </w:r>
          </w:p>
        </w:tc>
        <w:tc>
          <w:tcPr>
            <w:tcW w:w="2576" w:type="dxa"/>
            <w:gridSpan w:val="2"/>
            <w:shd w:val="clear" w:color="000000" w:fill="FFFFFF"/>
            <w:noWrap/>
            <w:vAlign w:val="bottom"/>
          </w:tcPr>
          <w:p w14:paraId="391E11D6" w14:textId="4B4A6B00" w:rsidR="00056107" w:rsidRPr="00B275E2" w:rsidRDefault="00056107" w:rsidP="000C10FE">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275E2">
              <w:rPr>
                <w:rFonts w:cs="Calibri"/>
                <w:szCs w:val="18"/>
              </w:rPr>
              <w:t>Room per night</w:t>
            </w:r>
          </w:p>
        </w:tc>
        <w:tc>
          <w:tcPr>
            <w:tcW w:w="2416" w:type="dxa"/>
            <w:gridSpan w:val="2"/>
            <w:tcBorders>
              <w:right w:val="single" w:sz="4" w:space="0" w:color="FFFFFF" w:themeColor="background1"/>
            </w:tcBorders>
            <w:shd w:val="clear" w:color="000000" w:fill="D2DDE1" w:themeFill="background2"/>
            <w:noWrap/>
          </w:tcPr>
          <w:p w14:paraId="519F11D6" w14:textId="15CD2042" w:rsidR="00056107" w:rsidRPr="00B275E2" w:rsidRDefault="00027555" w:rsidP="000C10F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275E2">
              <w:t>11.9</w:t>
            </w:r>
          </w:p>
        </w:tc>
      </w:tr>
      <w:tr w:rsidR="00056107" w:rsidRPr="00B275E2" w14:paraId="5A059D5D" w14:textId="77777777" w:rsidTr="00B65C73">
        <w:trPr>
          <w:gridAfter w:val="2"/>
          <w:wAfter w:w="36" w:type="dxa"/>
          <w:trHeight w:val="300"/>
        </w:trPr>
        <w:tc>
          <w:tcPr>
            <w:cnfStyle w:val="001000000000" w:firstRow="0" w:lastRow="0" w:firstColumn="1" w:lastColumn="0" w:oddVBand="0" w:evenVBand="0" w:oddHBand="0" w:evenHBand="0" w:firstRowFirstColumn="0" w:firstRowLastColumn="0" w:lastRowFirstColumn="0" w:lastRowLastColumn="0"/>
            <w:tcW w:w="3500" w:type="dxa"/>
            <w:tcBorders>
              <w:left w:val="single" w:sz="4" w:space="0" w:color="FFFFFF" w:themeColor="background1"/>
            </w:tcBorders>
            <w:shd w:val="clear" w:color="000000" w:fill="FFFFFF"/>
            <w:noWrap/>
            <w:vAlign w:val="center"/>
          </w:tcPr>
          <w:p w14:paraId="5C4EA0B3" w14:textId="3A586354" w:rsidR="00056107" w:rsidRPr="00B275E2" w:rsidRDefault="00056107" w:rsidP="000C10FE">
            <w:pPr>
              <w:pStyle w:val="TableText"/>
              <w:spacing w:before="40" w:after="40"/>
              <w:rPr>
                <w:rFonts w:eastAsia="Times New Roman"/>
                <w:b w:val="0"/>
                <w:szCs w:val="18"/>
              </w:rPr>
            </w:pPr>
            <w:r w:rsidRPr="00B275E2">
              <w:rPr>
                <w:rFonts w:cs="Calibri"/>
                <w:b w:val="0"/>
                <w:szCs w:val="18"/>
              </w:rPr>
              <w:t>Belgium</w:t>
            </w:r>
          </w:p>
        </w:tc>
        <w:tc>
          <w:tcPr>
            <w:tcW w:w="2576" w:type="dxa"/>
            <w:gridSpan w:val="2"/>
            <w:shd w:val="clear" w:color="000000" w:fill="FFFFFF"/>
            <w:noWrap/>
            <w:vAlign w:val="bottom"/>
          </w:tcPr>
          <w:p w14:paraId="4F77EC43" w14:textId="6BE771FE" w:rsidR="00056107" w:rsidRPr="00B275E2" w:rsidRDefault="00056107" w:rsidP="000C10FE">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275E2">
              <w:rPr>
                <w:rFonts w:cs="Calibri"/>
                <w:szCs w:val="18"/>
              </w:rPr>
              <w:t>Room per night</w:t>
            </w:r>
          </w:p>
        </w:tc>
        <w:tc>
          <w:tcPr>
            <w:tcW w:w="2403" w:type="dxa"/>
            <w:tcBorders>
              <w:right w:val="single" w:sz="4" w:space="0" w:color="FFFFFF" w:themeColor="background1"/>
            </w:tcBorders>
            <w:shd w:val="clear" w:color="000000" w:fill="D2DDE1" w:themeFill="background2"/>
            <w:noWrap/>
          </w:tcPr>
          <w:p w14:paraId="46AF9C22" w14:textId="795B2FCE" w:rsidR="00056107" w:rsidRPr="00B275E2" w:rsidRDefault="005829AF" w:rsidP="000C10F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275E2">
              <w:t>11.</w:t>
            </w:r>
            <w:r w:rsidR="00027555" w:rsidRPr="00B275E2">
              <w:t>6</w:t>
            </w:r>
          </w:p>
        </w:tc>
      </w:tr>
      <w:tr w:rsidR="00531C90" w:rsidRPr="00B275E2" w14:paraId="0F46EAA5" w14:textId="77777777" w:rsidTr="00B65C73">
        <w:trPr>
          <w:gridAfter w:val="1"/>
          <w:cnfStyle w:val="000000100000" w:firstRow="0" w:lastRow="0" w:firstColumn="0" w:lastColumn="0" w:oddVBand="0" w:evenVBand="0" w:oddHBand="1" w:evenHBand="0" w:firstRowFirstColumn="0" w:firstRowLastColumn="0" w:lastRowFirstColumn="0" w:lastRowLastColumn="0"/>
          <w:wAfter w:w="23" w:type="dxa"/>
          <w:trHeight w:val="300"/>
        </w:trPr>
        <w:tc>
          <w:tcPr>
            <w:cnfStyle w:val="001000000000" w:firstRow="0" w:lastRow="0" w:firstColumn="1" w:lastColumn="0" w:oddVBand="0" w:evenVBand="0" w:oddHBand="0" w:evenHBand="0" w:firstRowFirstColumn="0" w:firstRowLastColumn="0" w:lastRowFirstColumn="0" w:lastRowLastColumn="0"/>
            <w:tcW w:w="3500" w:type="dxa"/>
            <w:tcBorders>
              <w:left w:val="single" w:sz="4" w:space="0" w:color="FFFFFF" w:themeColor="background1"/>
            </w:tcBorders>
            <w:shd w:val="clear" w:color="000000" w:fill="FFFFFF"/>
            <w:noWrap/>
            <w:vAlign w:val="center"/>
          </w:tcPr>
          <w:p w14:paraId="2472F0E6" w14:textId="767E6B15" w:rsidR="00056107" w:rsidRPr="00B275E2" w:rsidRDefault="00056107" w:rsidP="000C10FE">
            <w:pPr>
              <w:pStyle w:val="TableText"/>
              <w:spacing w:before="40" w:after="40"/>
              <w:rPr>
                <w:rFonts w:eastAsia="Times New Roman"/>
                <w:b w:val="0"/>
                <w:szCs w:val="18"/>
              </w:rPr>
            </w:pPr>
            <w:r w:rsidRPr="00B275E2">
              <w:rPr>
                <w:rFonts w:cs="Calibri"/>
                <w:b w:val="0"/>
                <w:szCs w:val="18"/>
              </w:rPr>
              <w:t>Brazil</w:t>
            </w:r>
          </w:p>
        </w:tc>
        <w:tc>
          <w:tcPr>
            <w:tcW w:w="2576" w:type="dxa"/>
            <w:gridSpan w:val="2"/>
            <w:shd w:val="clear" w:color="000000" w:fill="FFFFFF"/>
            <w:noWrap/>
            <w:vAlign w:val="bottom"/>
          </w:tcPr>
          <w:p w14:paraId="6890618C" w14:textId="6ADEFE4F" w:rsidR="00056107" w:rsidRPr="00B275E2" w:rsidRDefault="00056107" w:rsidP="000C10FE">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275E2">
              <w:rPr>
                <w:rFonts w:cs="Calibri"/>
                <w:szCs w:val="18"/>
              </w:rPr>
              <w:t>Room per night</w:t>
            </w:r>
          </w:p>
        </w:tc>
        <w:tc>
          <w:tcPr>
            <w:tcW w:w="2416" w:type="dxa"/>
            <w:gridSpan w:val="2"/>
            <w:tcBorders>
              <w:right w:val="single" w:sz="4" w:space="0" w:color="FFFFFF" w:themeColor="background1"/>
            </w:tcBorders>
            <w:shd w:val="clear" w:color="000000" w:fill="D2DDE1" w:themeFill="background2"/>
            <w:noWrap/>
          </w:tcPr>
          <w:p w14:paraId="05FB2855" w14:textId="3A45FC01" w:rsidR="00056107" w:rsidRPr="00B275E2" w:rsidRDefault="00027555" w:rsidP="000C10F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275E2">
              <w:t>14.9</w:t>
            </w:r>
          </w:p>
        </w:tc>
      </w:tr>
      <w:tr w:rsidR="00056107" w:rsidRPr="00B275E2" w14:paraId="2B17B98B" w14:textId="77777777" w:rsidTr="00B65C73">
        <w:trPr>
          <w:gridAfter w:val="2"/>
          <w:wAfter w:w="36" w:type="dxa"/>
          <w:trHeight w:val="300"/>
        </w:trPr>
        <w:tc>
          <w:tcPr>
            <w:cnfStyle w:val="001000000000" w:firstRow="0" w:lastRow="0" w:firstColumn="1" w:lastColumn="0" w:oddVBand="0" w:evenVBand="0" w:oddHBand="0" w:evenHBand="0" w:firstRowFirstColumn="0" w:firstRowLastColumn="0" w:lastRowFirstColumn="0" w:lastRowLastColumn="0"/>
            <w:tcW w:w="3500" w:type="dxa"/>
            <w:tcBorders>
              <w:left w:val="single" w:sz="4" w:space="0" w:color="FFFFFF" w:themeColor="background1"/>
            </w:tcBorders>
            <w:shd w:val="clear" w:color="000000" w:fill="FFFFFF"/>
            <w:noWrap/>
            <w:vAlign w:val="center"/>
          </w:tcPr>
          <w:p w14:paraId="2EA48466" w14:textId="2F7D9CB3" w:rsidR="00056107" w:rsidRPr="00B275E2" w:rsidRDefault="00056107" w:rsidP="000C10FE">
            <w:pPr>
              <w:pStyle w:val="TableText"/>
              <w:spacing w:before="40" w:after="40"/>
              <w:rPr>
                <w:rFonts w:eastAsia="Times New Roman"/>
                <w:b w:val="0"/>
                <w:szCs w:val="18"/>
              </w:rPr>
            </w:pPr>
            <w:r w:rsidRPr="00B275E2">
              <w:rPr>
                <w:rFonts w:cs="Calibri"/>
                <w:b w:val="0"/>
                <w:szCs w:val="18"/>
              </w:rPr>
              <w:t>Canada</w:t>
            </w:r>
          </w:p>
        </w:tc>
        <w:tc>
          <w:tcPr>
            <w:tcW w:w="2576" w:type="dxa"/>
            <w:gridSpan w:val="2"/>
            <w:shd w:val="clear" w:color="000000" w:fill="FFFFFF"/>
            <w:noWrap/>
            <w:vAlign w:val="bottom"/>
          </w:tcPr>
          <w:p w14:paraId="78780954" w14:textId="00F159FF" w:rsidR="00056107" w:rsidRPr="00B275E2" w:rsidRDefault="00056107" w:rsidP="000C10FE">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275E2">
              <w:rPr>
                <w:rFonts w:cs="Calibri"/>
                <w:szCs w:val="18"/>
              </w:rPr>
              <w:t>Room per night</w:t>
            </w:r>
          </w:p>
        </w:tc>
        <w:tc>
          <w:tcPr>
            <w:tcW w:w="2403" w:type="dxa"/>
            <w:tcBorders>
              <w:right w:val="single" w:sz="4" w:space="0" w:color="FFFFFF" w:themeColor="background1"/>
            </w:tcBorders>
            <w:shd w:val="clear" w:color="000000" w:fill="D2DDE1" w:themeFill="background2"/>
            <w:noWrap/>
          </w:tcPr>
          <w:p w14:paraId="300AD846" w14:textId="0BE3AEFA" w:rsidR="00056107" w:rsidRPr="00B275E2" w:rsidRDefault="00027555" w:rsidP="000C10F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275E2">
              <w:t>17.1</w:t>
            </w:r>
          </w:p>
        </w:tc>
      </w:tr>
      <w:tr w:rsidR="00531C90" w:rsidRPr="00B275E2" w14:paraId="64155005" w14:textId="77777777" w:rsidTr="00B65C73">
        <w:trPr>
          <w:gridAfter w:val="1"/>
          <w:cnfStyle w:val="000000100000" w:firstRow="0" w:lastRow="0" w:firstColumn="0" w:lastColumn="0" w:oddVBand="0" w:evenVBand="0" w:oddHBand="1" w:evenHBand="0" w:firstRowFirstColumn="0" w:firstRowLastColumn="0" w:lastRowFirstColumn="0" w:lastRowLastColumn="0"/>
          <w:wAfter w:w="23" w:type="dxa"/>
          <w:trHeight w:val="300"/>
        </w:trPr>
        <w:tc>
          <w:tcPr>
            <w:cnfStyle w:val="001000000000" w:firstRow="0" w:lastRow="0" w:firstColumn="1" w:lastColumn="0" w:oddVBand="0" w:evenVBand="0" w:oddHBand="0" w:evenHBand="0" w:firstRowFirstColumn="0" w:firstRowLastColumn="0" w:lastRowFirstColumn="0" w:lastRowLastColumn="0"/>
            <w:tcW w:w="3500" w:type="dxa"/>
            <w:tcBorders>
              <w:left w:val="single" w:sz="4" w:space="0" w:color="FFFFFF" w:themeColor="background1"/>
            </w:tcBorders>
            <w:shd w:val="clear" w:color="000000" w:fill="FFFFFF"/>
            <w:noWrap/>
            <w:vAlign w:val="center"/>
          </w:tcPr>
          <w:p w14:paraId="4835C13E" w14:textId="30E32A9D" w:rsidR="00056107" w:rsidRPr="00B275E2" w:rsidRDefault="00056107" w:rsidP="000C10FE">
            <w:pPr>
              <w:pStyle w:val="TableText"/>
              <w:spacing w:before="40" w:after="40"/>
              <w:rPr>
                <w:rFonts w:eastAsia="Times New Roman"/>
                <w:b w:val="0"/>
                <w:szCs w:val="18"/>
              </w:rPr>
            </w:pPr>
            <w:r w:rsidRPr="00B275E2">
              <w:rPr>
                <w:rFonts w:cs="Calibri"/>
                <w:b w:val="0"/>
                <w:szCs w:val="18"/>
              </w:rPr>
              <w:t>Caribbean Region</w:t>
            </w:r>
          </w:p>
        </w:tc>
        <w:tc>
          <w:tcPr>
            <w:tcW w:w="2576" w:type="dxa"/>
            <w:gridSpan w:val="2"/>
            <w:shd w:val="clear" w:color="000000" w:fill="FFFFFF"/>
            <w:noWrap/>
            <w:vAlign w:val="bottom"/>
          </w:tcPr>
          <w:p w14:paraId="514346C2" w14:textId="40C42671" w:rsidR="00056107" w:rsidRPr="00B275E2" w:rsidRDefault="00056107" w:rsidP="000C10FE">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275E2">
              <w:rPr>
                <w:rFonts w:cs="Calibri"/>
                <w:szCs w:val="18"/>
              </w:rPr>
              <w:t>Room per night</w:t>
            </w:r>
          </w:p>
        </w:tc>
        <w:tc>
          <w:tcPr>
            <w:tcW w:w="2416" w:type="dxa"/>
            <w:gridSpan w:val="2"/>
            <w:tcBorders>
              <w:right w:val="single" w:sz="4" w:space="0" w:color="FFFFFF" w:themeColor="background1"/>
            </w:tcBorders>
            <w:shd w:val="clear" w:color="000000" w:fill="D2DDE1" w:themeFill="background2"/>
            <w:noWrap/>
          </w:tcPr>
          <w:p w14:paraId="1CFE5526" w14:textId="38BC6E02" w:rsidR="00056107" w:rsidRPr="00B275E2" w:rsidRDefault="00027555" w:rsidP="000C10F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275E2">
              <w:t>61.1</w:t>
            </w:r>
          </w:p>
        </w:tc>
      </w:tr>
      <w:tr w:rsidR="00056107" w:rsidRPr="00B275E2" w14:paraId="6FA70572" w14:textId="77777777" w:rsidTr="00B65C73">
        <w:trPr>
          <w:gridAfter w:val="2"/>
          <w:wAfter w:w="36" w:type="dxa"/>
          <w:trHeight w:val="300"/>
        </w:trPr>
        <w:tc>
          <w:tcPr>
            <w:cnfStyle w:val="001000000000" w:firstRow="0" w:lastRow="0" w:firstColumn="1" w:lastColumn="0" w:oddVBand="0" w:evenVBand="0" w:oddHBand="0" w:evenHBand="0" w:firstRowFirstColumn="0" w:firstRowLastColumn="0" w:lastRowFirstColumn="0" w:lastRowLastColumn="0"/>
            <w:tcW w:w="3500" w:type="dxa"/>
            <w:tcBorders>
              <w:left w:val="single" w:sz="4" w:space="0" w:color="FFFFFF" w:themeColor="background1"/>
            </w:tcBorders>
            <w:shd w:val="clear" w:color="000000" w:fill="FFFFFF"/>
            <w:noWrap/>
            <w:vAlign w:val="center"/>
          </w:tcPr>
          <w:p w14:paraId="20ABB905" w14:textId="65057765" w:rsidR="00056107" w:rsidRPr="00B275E2" w:rsidRDefault="00056107" w:rsidP="000C10FE">
            <w:pPr>
              <w:pStyle w:val="TableText"/>
              <w:spacing w:before="40" w:after="40"/>
              <w:rPr>
                <w:rFonts w:eastAsia="Times New Roman"/>
                <w:b w:val="0"/>
                <w:szCs w:val="18"/>
              </w:rPr>
            </w:pPr>
            <w:r w:rsidRPr="00B275E2">
              <w:rPr>
                <w:rFonts w:cs="Calibri"/>
                <w:b w:val="0"/>
                <w:szCs w:val="18"/>
              </w:rPr>
              <w:t>Chile</w:t>
            </w:r>
          </w:p>
        </w:tc>
        <w:tc>
          <w:tcPr>
            <w:tcW w:w="2576" w:type="dxa"/>
            <w:gridSpan w:val="2"/>
            <w:shd w:val="clear" w:color="000000" w:fill="FFFFFF"/>
            <w:noWrap/>
            <w:vAlign w:val="bottom"/>
          </w:tcPr>
          <w:p w14:paraId="76E5A930" w14:textId="1DC24745" w:rsidR="00056107" w:rsidRPr="00B275E2" w:rsidRDefault="00056107" w:rsidP="000C10FE">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275E2">
              <w:rPr>
                <w:rFonts w:cs="Calibri"/>
                <w:szCs w:val="18"/>
              </w:rPr>
              <w:t>Room per night</w:t>
            </w:r>
          </w:p>
        </w:tc>
        <w:tc>
          <w:tcPr>
            <w:tcW w:w="2403" w:type="dxa"/>
            <w:tcBorders>
              <w:right w:val="single" w:sz="4" w:space="0" w:color="FFFFFF" w:themeColor="background1"/>
            </w:tcBorders>
            <w:shd w:val="clear" w:color="000000" w:fill="D2DDE1" w:themeFill="background2"/>
            <w:noWrap/>
          </w:tcPr>
          <w:p w14:paraId="6398955D" w14:textId="2FD51D9E" w:rsidR="00056107" w:rsidRPr="00B275E2" w:rsidRDefault="00F10C3F" w:rsidP="000C10F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275E2">
              <w:t>30.</w:t>
            </w:r>
            <w:r w:rsidR="00027555" w:rsidRPr="00B275E2">
              <w:t>8</w:t>
            </w:r>
          </w:p>
        </w:tc>
      </w:tr>
      <w:tr w:rsidR="00531C90" w:rsidRPr="00B275E2" w14:paraId="58F0494B" w14:textId="77777777" w:rsidTr="00B65C73">
        <w:trPr>
          <w:gridAfter w:val="1"/>
          <w:cnfStyle w:val="000000100000" w:firstRow="0" w:lastRow="0" w:firstColumn="0" w:lastColumn="0" w:oddVBand="0" w:evenVBand="0" w:oddHBand="1" w:evenHBand="0" w:firstRowFirstColumn="0" w:firstRowLastColumn="0" w:lastRowFirstColumn="0" w:lastRowLastColumn="0"/>
          <w:wAfter w:w="23" w:type="dxa"/>
          <w:trHeight w:val="300"/>
        </w:trPr>
        <w:tc>
          <w:tcPr>
            <w:cnfStyle w:val="001000000000" w:firstRow="0" w:lastRow="0" w:firstColumn="1" w:lastColumn="0" w:oddVBand="0" w:evenVBand="0" w:oddHBand="0" w:evenHBand="0" w:firstRowFirstColumn="0" w:firstRowLastColumn="0" w:lastRowFirstColumn="0" w:lastRowLastColumn="0"/>
            <w:tcW w:w="3500" w:type="dxa"/>
            <w:tcBorders>
              <w:left w:val="single" w:sz="4" w:space="0" w:color="FFFFFF" w:themeColor="background1"/>
            </w:tcBorders>
            <w:shd w:val="clear" w:color="000000" w:fill="FFFFFF"/>
            <w:noWrap/>
            <w:vAlign w:val="center"/>
          </w:tcPr>
          <w:p w14:paraId="7588DF7F" w14:textId="228C6BB2" w:rsidR="00056107" w:rsidRPr="00B275E2" w:rsidRDefault="00056107" w:rsidP="000C10FE">
            <w:pPr>
              <w:pStyle w:val="TableText"/>
              <w:spacing w:before="40" w:after="40"/>
              <w:rPr>
                <w:rFonts w:eastAsia="Times New Roman"/>
                <w:b w:val="0"/>
                <w:szCs w:val="18"/>
              </w:rPr>
            </w:pPr>
            <w:r w:rsidRPr="00B275E2">
              <w:rPr>
                <w:rFonts w:cs="Calibri"/>
                <w:b w:val="0"/>
                <w:szCs w:val="18"/>
              </w:rPr>
              <w:t>China</w:t>
            </w:r>
          </w:p>
        </w:tc>
        <w:tc>
          <w:tcPr>
            <w:tcW w:w="2576" w:type="dxa"/>
            <w:gridSpan w:val="2"/>
            <w:shd w:val="clear" w:color="000000" w:fill="FFFFFF"/>
            <w:noWrap/>
            <w:vAlign w:val="bottom"/>
          </w:tcPr>
          <w:p w14:paraId="1EF2F95C" w14:textId="000C5BD7" w:rsidR="00056107" w:rsidRPr="00B275E2" w:rsidRDefault="00056107" w:rsidP="000C10FE">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275E2">
              <w:rPr>
                <w:rFonts w:cs="Calibri"/>
                <w:szCs w:val="18"/>
              </w:rPr>
              <w:t>Room per night</w:t>
            </w:r>
          </w:p>
        </w:tc>
        <w:tc>
          <w:tcPr>
            <w:tcW w:w="2416" w:type="dxa"/>
            <w:gridSpan w:val="2"/>
            <w:tcBorders>
              <w:right w:val="single" w:sz="4" w:space="0" w:color="FFFFFF" w:themeColor="background1"/>
            </w:tcBorders>
            <w:shd w:val="clear" w:color="000000" w:fill="D2DDE1" w:themeFill="background2"/>
            <w:noWrap/>
          </w:tcPr>
          <w:p w14:paraId="6A54F963" w14:textId="6747D230" w:rsidR="00056107" w:rsidRPr="00B275E2" w:rsidRDefault="00027555" w:rsidP="000C10F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275E2">
              <w:t>60.7</w:t>
            </w:r>
          </w:p>
        </w:tc>
      </w:tr>
      <w:tr w:rsidR="00AE4EC4" w:rsidRPr="00B275E2" w14:paraId="1276E186" w14:textId="77777777" w:rsidTr="00B65C73">
        <w:trPr>
          <w:gridAfter w:val="2"/>
          <w:wAfter w:w="36" w:type="dxa"/>
          <w:trHeight w:val="300"/>
        </w:trPr>
        <w:tc>
          <w:tcPr>
            <w:cnfStyle w:val="001000000000" w:firstRow="0" w:lastRow="0" w:firstColumn="1" w:lastColumn="0" w:oddVBand="0" w:evenVBand="0" w:oddHBand="0" w:evenHBand="0" w:firstRowFirstColumn="0" w:firstRowLastColumn="0" w:lastRowFirstColumn="0" w:lastRowLastColumn="0"/>
            <w:tcW w:w="3500" w:type="dxa"/>
            <w:tcBorders>
              <w:left w:val="single" w:sz="4" w:space="0" w:color="FFFFFF" w:themeColor="background1"/>
            </w:tcBorders>
            <w:shd w:val="clear" w:color="000000" w:fill="FFFFFF"/>
            <w:noWrap/>
            <w:vAlign w:val="center"/>
          </w:tcPr>
          <w:p w14:paraId="1B429728" w14:textId="09230E63" w:rsidR="00056107" w:rsidRPr="00B275E2" w:rsidRDefault="00056107" w:rsidP="000C10FE">
            <w:pPr>
              <w:pStyle w:val="TableText"/>
              <w:spacing w:before="40" w:after="40"/>
              <w:rPr>
                <w:rFonts w:eastAsia="Times New Roman"/>
                <w:b w:val="0"/>
                <w:szCs w:val="18"/>
              </w:rPr>
            </w:pPr>
            <w:r w:rsidRPr="00B275E2">
              <w:rPr>
                <w:rFonts w:cs="Calibri"/>
                <w:b w:val="0"/>
                <w:szCs w:val="18"/>
              </w:rPr>
              <w:t>Colombia</w:t>
            </w:r>
          </w:p>
        </w:tc>
        <w:tc>
          <w:tcPr>
            <w:tcW w:w="2576" w:type="dxa"/>
            <w:gridSpan w:val="2"/>
            <w:shd w:val="clear" w:color="000000" w:fill="FFFFFF"/>
            <w:noWrap/>
            <w:vAlign w:val="bottom"/>
          </w:tcPr>
          <w:p w14:paraId="64AD8B95" w14:textId="20EB933B" w:rsidR="00056107" w:rsidRPr="00B275E2" w:rsidRDefault="00056107" w:rsidP="000C10FE">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275E2">
              <w:rPr>
                <w:rFonts w:cs="Calibri"/>
                <w:szCs w:val="18"/>
              </w:rPr>
              <w:t>Room per night</w:t>
            </w:r>
          </w:p>
        </w:tc>
        <w:tc>
          <w:tcPr>
            <w:tcW w:w="2403" w:type="dxa"/>
            <w:tcBorders>
              <w:right w:val="single" w:sz="4" w:space="0" w:color="FFFFFF" w:themeColor="background1"/>
            </w:tcBorders>
            <w:shd w:val="clear" w:color="000000" w:fill="D2DDE1" w:themeFill="background2"/>
            <w:noWrap/>
          </w:tcPr>
          <w:p w14:paraId="70D0B9DA" w14:textId="49577545" w:rsidR="00056107" w:rsidRPr="00B275E2" w:rsidRDefault="005B337C" w:rsidP="000C10F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275E2">
              <w:t>11</w:t>
            </w:r>
            <w:r w:rsidR="00027555" w:rsidRPr="00B275E2">
              <w:t>.0</w:t>
            </w:r>
          </w:p>
        </w:tc>
      </w:tr>
      <w:tr w:rsidR="00056107" w:rsidRPr="00B275E2" w14:paraId="3AD72A95" w14:textId="77777777" w:rsidTr="00B65C73">
        <w:trPr>
          <w:gridAfter w:val="2"/>
          <w:cnfStyle w:val="000000100000" w:firstRow="0" w:lastRow="0" w:firstColumn="0" w:lastColumn="0" w:oddVBand="0" w:evenVBand="0" w:oddHBand="1" w:evenHBand="0" w:firstRowFirstColumn="0" w:firstRowLastColumn="0" w:lastRowFirstColumn="0" w:lastRowLastColumn="0"/>
          <w:wAfter w:w="36" w:type="dxa"/>
          <w:trHeight w:val="300"/>
        </w:trPr>
        <w:tc>
          <w:tcPr>
            <w:cnfStyle w:val="001000000000" w:firstRow="0" w:lastRow="0" w:firstColumn="1" w:lastColumn="0" w:oddVBand="0" w:evenVBand="0" w:oddHBand="0" w:evenHBand="0" w:firstRowFirstColumn="0" w:firstRowLastColumn="0" w:lastRowFirstColumn="0" w:lastRowLastColumn="0"/>
            <w:tcW w:w="3500" w:type="dxa"/>
            <w:tcBorders>
              <w:left w:val="single" w:sz="4" w:space="0" w:color="FFFFFF" w:themeColor="background1"/>
            </w:tcBorders>
            <w:shd w:val="clear" w:color="000000" w:fill="FFFFFF"/>
            <w:noWrap/>
            <w:vAlign w:val="center"/>
          </w:tcPr>
          <w:p w14:paraId="75B698C9" w14:textId="1704BD6C" w:rsidR="00056107" w:rsidRPr="00B275E2" w:rsidRDefault="00056107" w:rsidP="000C10FE">
            <w:pPr>
              <w:pStyle w:val="TableText"/>
              <w:spacing w:before="40" w:after="40"/>
              <w:rPr>
                <w:rFonts w:eastAsia="Times New Roman"/>
                <w:b w:val="0"/>
                <w:szCs w:val="18"/>
              </w:rPr>
            </w:pPr>
            <w:r w:rsidRPr="00B275E2">
              <w:rPr>
                <w:rFonts w:cs="Calibri"/>
                <w:b w:val="0"/>
                <w:szCs w:val="18"/>
              </w:rPr>
              <w:t>Costa Rica</w:t>
            </w:r>
          </w:p>
        </w:tc>
        <w:tc>
          <w:tcPr>
            <w:tcW w:w="2576" w:type="dxa"/>
            <w:gridSpan w:val="2"/>
            <w:shd w:val="clear" w:color="000000" w:fill="FFFFFF"/>
            <w:noWrap/>
            <w:vAlign w:val="bottom"/>
          </w:tcPr>
          <w:p w14:paraId="79103F51" w14:textId="2BE38FC2" w:rsidR="00056107" w:rsidRPr="00B275E2" w:rsidRDefault="00056107" w:rsidP="000C10FE">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275E2">
              <w:rPr>
                <w:rFonts w:cs="Calibri"/>
                <w:szCs w:val="18"/>
              </w:rPr>
              <w:t>Room per night</w:t>
            </w:r>
          </w:p>
        </w:tc>
        <w:tc>
          <w:tcPr>
            <w:tcW w:w="2403" w:type="dxa"/>
            <w:tcBorders>
              <w:right w:val="single" w:sz="4" w:space="0" w:color="FFFFFF" w:themeColor="background1"/>
            </w:tcBorders>
            <w:shd w:val="clear" w:color="000000" w:fill="D2DDE1" w:themeFill="background2"/>
            <w:noWrap/>
          </w:tcPr>
          <w:p w14:paraId="7F5A00A1" w14:textId="3B3ABF3E" w:rsidR="00056107" w:rsidRPr="00B275E2" w:rsidRDefault="005B337C" w:rsidP="000C10F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275E2">
              <w:t>7.0</w:t>
            </w:r>
          </w:p>
        </w:tc>
      </w:tr>
      <w:tr w:rsidR="00AE4EC4" w:rsidRPr="00B275E2" w14:paraId="2CF8931D" w14:textId="77777777" w:rsidTr="00B65C73">
        <w:trPr>
          <w:gridAfter w:val="2"/>
          <w:wAfter w:w="36" w:type="dxa"/>
          <w:trHeight w:val="300"/>
        </w:trPr>
        <w:tc>
          <w:tcPr>
            <w:cnfStyle w:val="001000000000" w:firstRow="0" w:lastRow="0" w:firstColumn="1" w:lastColumn="0" w:oddVBand="0" w:evenVBand="0" w:oddHBand="0" w:evenHBand="0" w:firstRowFirstColumn="0" w:firstRowLastColumn="0" w:lastRowFirstColumn="0" w:lastRowLastColumn="0"/>
            <w:tcW w:w="3500" w:type="dxa"/>
            <w:tcBorders>
              <w:left w:val="single" w:sz="4" w:space="0" w:color="FFFFFF" w:themeColor="background1"/>
            </w:tcBorders>
            <w:shd w:val="clear" w:color="000000" w:fill="FFFFFF"/>
            <w:noWrap/>
            <w:vAlign w:val="center"/>
          </w:tcPr>
          <w:p w14:paraId="6B8966F9" w14:textId="78DF5ACD" w:rsidR="00056107" w:rsidRPr="00B275E2" w:rsidRDefault="00056107" w:rsidP="000C10FE">
            <w:pPr>
              <w:pStyle w:val="TableText"/>
              <w:spacing w:before="40" w:after="40"/>
              <w:rPr>
                <w:rFonts w:eastAsia="Times New Roman"/>
                <w:b w:val="0"/>
                <w:szCs w:val="18"/>
              </w:rPr>
            </w:pPr>
            <w:r w:rsidRPr="00B275E2">
              <w:rPr>
                <w:rFonts w:cs="Calibri"/>
                <w:b w:val="0"/>
                <w:szCs w:val="18"/>
              </w:rPr>
              <w:t>Czech Republic</w:t>
            </w:r>
          </w:p>
        </w:tc>
        <w:tc>
          <w:tcPr>
            <w:tcW w:w="2576" w:type="dxa"/>
            <w:gridSpan w:val="2"/>
            <w:shd w:val="clear" w:color="000000" w:fill="FFFFFF"/>
            <w:noWrap/>
            <w:vAlign w:val="bottom"/>
          </w:tcPr>
          <w:p w14:paraId="11405E4A" w14:textId="57E0111A" w:rsidR="00056107" w:rsidRPr="00B275E2" w:rsidRDefault="00056107" w:rsidP="000C10FE">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275E2">
              <w:rPr>
                <w:rFonts w:cs="Calibri"/>
                <w:szCs w:val="18"/>
              </w:rPr>
              <w:t>Room per night</w:t>
            </w:r>
          </w:p>
        </w:tc>
        <w:tc>
          <w:tcPr>
            <w:tcW w:w="2403" w:type="dxa"/>
            <w:tcBorders>
              <w:right w:val="single" w:sz="4" w:space="0" w:color="FFFFFF" w:themeColor="background1"/>
            </w:tcBorders>
            <w:shd w:val="clear" w:color="000000" w:fill="D2DDE1" w:themeFill="background2"/>
            <w:noWrap/>
          </w:tcPr>
          <w:p w14:paraId="6D6DEBB6" w14:textId="57C78BEF" w:rsidR="00056107" w:rsidRPr="00B275E2" w:rsidRDefault="005B337C" w:rsidP="000C10F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275E2">
              <w:t>31.8</w:t>
            </w:r>
          </w:p>
        </w:tc>
      </w:tr>
      <w:tr w:rsidR="00056107" w:rsidRPr="00B275E2" w14:paraId="1A6AD60E" w14:textId="77777777" w:rsidTr="00B65C73">
        <w:trPr>
          <w:gridAfter w:val="2"/>
          <w:cnfStyle w:val="000000100000" w:firstRow="0" w:lastRow="0" w:firstColumn="0" w:lastColumn="0" w:oddVBand="0" w:evenVBand="0" w:oddHBand="1" w:evenHBand="0" w:firstRowFirstColumn="0" w:firstRowLastColumn="0" w:lastRowFirstColumn="0" w:lastRowLastColumn="0"/>
          <w:wAfter w:w="36" w:type="dxa"/>
          <w:trHeight w:val="300"/>
        </w:trPr>
        <w:tc>
          <w:tcPr>
            <w:cnfStyle w:val="001000000000" w:firstRow="0" w:lastRow="0" w:firstColumn="1" w:lastColumn="0" w:oddVBand="0" w:evenVBand="0" w:oddHBand="0" w:evenHBand="0" w:firstRowFirstColumn="0" w:firstRowLastColumn="0" w:lastRowFirstColumn="0" w:lastRowLastColumn="0"/>
            <w:tcW w:w="3500" w:type="dxa"/>
            <w:tcBorders>
              <w:left w:val="single" w:sz="4" w:space="0" w:color="FFFFFF" w:themeColor="background1"/>
            </w:tcBorders>
            <w:shd w:val="clear" w:color="000000" w:fill="FFFFFF"/>
            <w:noWrap/>
            <w:vAlign w:val="center"/>
          </w:tcPr>
          <w:p w14:paraId="57308BE3" w14:textId="0AE41173" w:rsidR="00056107" w:rsidRPr="00B275E2" w:rsidRDefault="00056107" w:rsidP="000C10FE">
            <w:pPr>
              <w:pStyle w:val="TableText"/>
              <w:spacing w:before="40" w:after="40"/>
              <w:rPr>
                <w:rFonts w:eastAsia="Times New Roman"/>
                <w:b w:val="0"/>
                <w:szCs w:val="18"/>
              </w:rPr>
            </w:pPr>
            <w:r w:rsidRPr="00B275E2">
              <w:rPr>
                <w:rFonts w:cs="Calibri"/>
                <w:b w:val="0"/>
                <w:szCs w:val="18"/>
              </w:rPr>
              <w:t>Egypt</w:t>
            </w:r>
          </w:p>
        </w:tc>
        <w:tc>
          <w:tcPr>
            <w:tcW w:w="2576" w:type="dxa"/>
            <w:gridSpan w:val="2"/>
            <w:shd w:val="clear" w:color="000000" w:fill="FFFFFF"/>
            <w:noWrap/>
            <w:vAlign w:val="bottom"/>
          </w:tcPr>
          <w:p w14:paraId="7C7360D2" w14:textId="6A7E155B" w:rsidR="00056107" w:rsidRPr="00B275E2" w:rsidRDefault="00056107" w:rsidP="000C10FE">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275E2">
              <w:rPr>
                <w:rFonts w:cs="Calibri"/>
                <w:szCs w:val="18"/>
              </w:rPr>
              <w:t>Room per night</w:t>
            </w:r>
          </w:p>
        </w:tc>
        <w:tc>
          <w:tcPr>
            <w:tcW w:w="2403" w:type="dxa"/>
            <w:tcBorders>
              <w:right w:val="single" w:sz="4" w:space="0" w:color="FFFFFF" w:themeColor="background1"/>
            </w:tcBorders>
            <w:shd w:val="clear" w:color="000000" w:fill="D2DDE1" w:themeFill="background2"/>
            <w:noWrap/>
          </w:tcPr>
          <w:p w14:paraId="715664ED" w14:textId="1D502492" w:rsidR="00056107" w:rsidRPr="00B275E2" w:rsidRDefault="00027555" w:rsidP="000C10F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275E2">
              <w:t>54.</w:t>
            </w:r>
            <w:r w:rsidR="005B337C" w:rsidRPr="00B275E2">
              <w:t>0</w:t>
            </w:r>
          </w:p>
        </w:tc>
      </w:tr>
      <w:tr w:rsidR="00E203D7" w:rsidRPr="00B275E2" w14:paraId="1598CF1C" w14:textId="77777777" w:rsidTr="00B65C73">
        <w:trPr>
          <w:trHeight w:val="300"/>
        </w:trPr>
        <w:tc>
          <w:tcPr>
            <w:cnfStyle w:val="001000000000" w:firstRow="0" w:lastRow="0" w:firstColumn="1" w:lastColumn="0" w:oddVBand="0" w:evenVBand="0" w:oddHBand="0" w:evenHBand="0" w:firstRowFirstColumn="0" w:firstRowLastColumn="0" w:lastRowFirstColumn="0" w:lastRowLastColumn="0"/>
            <w:tcW w:w="3507" w:type="dxa"/>
            <w:gridSpan w:val="2"/>
            <w:tcBorders>
              <w:left w:val="single" w:sz="4" w:space="0" w:color="FFFFFF" w:themeColor="background1"/>
            </w:tcBorders>
            <w:shd w:val="clear" w:color="000000" w:fill="FFFFFF"/>
            <w:noWrap/>
            <w:vAlign w:val="center"/>
          </w:tcPr>
          <w:p w14:paraId="164AC1D1" w14:textId="3ECCB91B" w:rsidR="00E203D7" w:rsidRPr="00B275E2" w:rsidRDefault="00E203D7" w:rsidP="000C10FE">
            <w:pPr>
              <w:pStyle w:val="TableText"/>
              <w:spacing w:before="40" w:after="40"/>
              <w:rPr>
                <w:rFonts w:cs="Calibri"/>
                <w:b w:val="0"/>
                <w:szCs w:val="18"/>
              </w:rPr>
            </w:pPr>
            <w:r w:rsidRPr="00B275E2">
              <w:rPr>
                <w:rFonts w:cs="Calibri"/>
                <w:b w:val="0"/>
                <w:szCs w:val="18"/>
              </w:rPr>
              <w:t>Fiji</w:t>
            </w:r>
          </w:p>
        </w:tc>
        <w:tc>
          <w:tcPr>
            <w:tcW w:w="2569" w:type="dxa"/>
            <w:shd w:val="clear" w:color="000000" w:fill="FFFFFF"/>
            <w:noWrap/>
            <w:vAlign w:val="bottom"/>
          </w:tcPr>
          <w:p w14:paraId="4CFA2386" w14:textId="1BDD94C2" w:rsidR="00E203D7" w:rsidRPr="00B275E2" w:rsidRDefault="00E203D7" w:rsidP="000C10FE">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Room per night</w:t>
            </w:r>
          </w:p>
        </w:tc>
        <w:tc>
          <w:tcPr>
            <w:tcW w:w="2439" w:type="dxa"/>
            <w:gridSpan w:val="3"/>
            <w:tcBorders>
              <w:right w:val="single" w:sz="4" w:space="0" w:color="FFFFFF" w:themeColor="background1"/>
            </w:tcBorders>
            <w:shd w:val="clear" w:color="000000" w:fill="D2DDE1" w:themeFill="background2"/>
            <w:noWrap/>
          </w:tcPr>
          <w:p w14:paraId="3331B927" w14:textId="7B0C23B9" w:rsidR="00E203D7" w:rsidRPr="00B275E2" w:rsidRDefault="005B337C" w:rsidP="000C10F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t>54.8</w:t>
            </w:r>
          </w:p>
        </w:tc>
      </w:tr>
      <w:tr w:rsidR="00531C90" w:rsidRPr="00B275E2" w14:paraId="5328F3C5" w14:textId="77777777" w:rsidTr="00B65C73">
        <w:trPr>
          <w:gridAfter w:val="1"/>
          <w:cnfStyle w:val="000000100000" w:firstRow="0" w:lastRow="0" w:firstColumn="0" w:lastColumn="0" w:oddVBand="0" w:evenVBand="0" w:oddHBand="1" w:evenHBand="0" w:firstRowFirstColumn="0" w:firstRowLastColumn="0" w:lastRowFirstColumn="0" w:lastRowLastColumn="0"/>
          <w:wAfter w:w="23" w:type="dxa"/>
          <w:trHeight w:val="300"/>
        </w:trPr>
        <w:tc>
          <w:tcPr>
            <w:cnfStyle w:val="001000000000" w:firstRow="0" w:lastRow="0" w:firstColumn="1" w:lastColumn="0" w:oddVBand="0" w:evenVBand="0" w:oddHBand="0" w:evenHBand="0" w:firstRowFirstColumn="0" w:firstRowLastColumn="0" w:lastRowFirstColumn="0" w:lastRowLastColumn="0"/>
            <w:tcW w:w="3500" w:type="dxa"/>
            <w:tcBorders>
              <w:left w:val="single" w:sz="4" w:space="0" w:color="FFFFFF" w:themeColor="background1"/>
            </w:tcBorders>
            <w:shd w:val="clear" w:color="000000" w:fill="FFFFFF"/>
            <w:noWrap/>
            <w:vAlign w:val="center"/>
          </w:tcPr>
          <w:p w14:paraId="0FA2979A" w14:textId="54A70817" w:rsidR="00056107" w:rsidRPr="00B275E2" w:rsidRDefault="00056107" w:rsidP="000C10FE">
            <w:pPr>
              <w:pStyle w:val="TableText"/>
              <w:spacing w:before="40" w:after="40"/>
              <w:rPr>
                <w:rFonts w:eastAsia="Times New Roman"/>
                <w:b w:val="0"/>
                <w:szCs w:val="18"/>
              </w:rPr>
            </w:pPr>
            <w:r w:rsidRPr="00B275E2">
              <w:rPr>
                <w:rFonts w:cs="Calibri"/>
                <w:b w:val="0"/>
                <w:szCs w:val="18"/>
              </w:rPr>
              <w:lastRenderedPageBreak/>
              <w:t>Finland</w:t>
            </w:r>
          </w:p>
        </w:tc>
        <w:tc>
          <w:tcPr>
            <w:tcW w:w="2576" w:type="dxa"/>
            <w:gridSpan w:val="2"/>
            <w:shd w:val="clear" w:color="000000" w:fill="FFFFFF"/>
            <w:noWrap/>
            <w:vAlign w:val="bottom"/>
          </w:tcPr>
          <w:p w14:paraId="6B9EB17B" w14:textId="16DCBE38" w:rsidR="00056107" w:rsidRPr="00B275E2" w:rsidRDefault="00056107" w:rsidP="000C10FE">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275E2">
              <w:rPr>
                <w:rFonts w:cs="Calibri"/>
                <w:szCs w:val="18"/>
              </w:rPr>
              <w:t>Room per night</w:t>
            </w:r>
          </w:p>
        </w:tc>
        <w:tc>
          <w:tcPr>
            <w:tcW w:w="2416" w:type="dxa"/>
            <w:gridSpan w:val="2"/>
            <w:tcBorders>
              <w:right w:val="single" w:sz="4" w:space="0" w:color="FFFFFF" w:themeColor="background1"/>
            </w:tcBorders>
            <w:shd w:val="clear" w:color="000000" w:fill="D2DDE1" w:themeFill="background2"/>
            <w:noWrap/>
          </w:tcPr>
          <w:p w14:paraId="420BA0E9" w14:textId="1BC35E0E" w:rsidR="00056107" w:rsidRPr="00B275E2" w:rsidRDefault="005B337C" w:rsidP="000C10F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275E2">
              <w:t>11.1</w:t>
            </w:r>
          </w:p>
        </w:tc>
      </w:tr>
      <w:tr w:rsidR="00056107" w:rsidRPr="00B275E2" w14:paraId="2E505B35" w14:textId="77777777" w:rsidTr="00B65C73">
        <w:trPr>
          <w:gridAfter w:val="2"/>
          <w:wAfter w:w="36" w:type="dxa"/>
          <w:trHeight w:val="300"/>
        </w:trPr>
        <w:tc>
          <w:tcPr>
            <w:cnfStyle w:val="001000000000" w:firstRow="0" w:lastRow="0" w:firstColumn="1" w:lastColumn="0" w:oddVBand="0" w:evenVBand="0" w:oddHBand="0" w:evenHBand="0" w:firstRowFirstColumn="0" w:firstRowLastColumn="0" w:lastRowFirstColumn="0" w:lastRowLastColumn="0"/>
            <w:tcW w:w="3500" w:type="dxa"/>
            <w:tcBorders>
              <w:left w:val="single" w:sz="4" w:space="0" w:color="FFFFFF" w:themeColor="background1"/>
            </w:tcBorders>
            <w:shd w:val="clear" w:color="000000" w:fill="FFFFFF"/>
            <w:noWrap/>
            <w:vAlign w:val="center"/>
          </w:tcPr>
          <w:p w14:paraId="651CA056" w14:textId="44BC4616" w:rsidR="00056107" w:rsidRPr="00B275E2" w:rsidRDefault="00056107" w:rsidP="000C10FE">
            <w:pPr>
              <w:pStyle w:val="TableText"/>
              <w:spacing w:before="40" w:after="40"/>
              <w:rPr>
                <w:rFonts w:eastAsia="Times New Roman"/>
                <w:b w:val="0"/>
                <w:szCs w:val="18"/>
              </w:rPr>
            </w:pPr>
            <w:r w:rsidRPr="00B275E2">
              <w:rPr>
                <w:rFonts w:cs="Calibri"/>
                <w:b w:val="0"/>
                <w:szCs w:val="18"/>
              </w:rPr>
              <w:t>France</w:t>
            </w:r>
          </w:p>
        </w:tc>
        <w:tc>
          <w:tcPr>
            <w:tcW w:w="2576" w:type="dxa"/>
            <w:gridSpan w:val="2"/>
            <w:shd w:val="clear" w:color="000000" w:fill="FFFFFF"/>
            <w:noWrap/>
            <w:vAlign w:val="bottom"/>
          </w:tcPr>
          <w:p w14:paraId="163FDFEE" w14:textId="05D988D2" w:rsidR="00056107" w:rsidRPr="00B275E2" w:rsidRDefault="00056107" w:rsidP="000C10FE">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275E2">
              <w:rPr>
                <w:rFonts w:cs="Calibri"/>
                <w:szCs w:val="18"/>
              </w:rPr>
              <w:t>Room per night</w:t>
            </w:r>
          </w:p>
        </w:tc>
        <w:tc>
          <w:tcPr>
            <w:tcW w:w="2403" w:type="dxa"/>
            <w:tcBorders>
              <w:right w:val="single" w:sz="4" w:space="0" w:color="FFFFFF" w:themeColor="background1"/>
            </w:tcBorders>
            <w:shd w:val="clear" w:color="000000" w:fill="D2DDE1" w:themeFill="background2"/>
            <w:noWrap/>
          </w:tcPr>
          <w:p w14:paraId="2B7E7B63" w14:textId="30FBFDA7" w:rsidR="00056107" w:rsidRPr="00B275E2" w:rsidRDefault="005B337C" w:rsidP="000C10F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275E2">
              <w:t>7.5</w:t>
            </w:r>
          </w:p>
        </w:tc>
      </w:tr>
      <w:tr w:rsidR="00531C90" w:rsidRPr="00B275E2" w14:paraId="18AE352B" w14:textId="77777777" w:rsidTr="00B65C73">
        <w:trPr>
          <w:gridAfter w:val="1"/>
          <w:cnfStyle w:val="000000100000" w:firstRow="0" w:lastRow="0" w:firstColumn="0" w:lastColumn="0" w:oddVBand="0" w:evenVBand="0" w:oddHBand="1" w:evenHBand="0" w:firstRowFirstColumn="0" w:firstRowLastColumn="0" w:lastRowFirstColumn="0" w:lastRowLastColumn="0"/>
          <w:wAfter w:w="23" w:type="dxa"/>
          <w:trHeight w:val="300"/>
        </w:trPr>
        <w:tc>
          <w:tcPr>
            <w:cnfStyle w:val="001000000000" w:firstRow="0" w:lastRow="0" w:firstColumn="1" w:lastColumn="0" w:oddVBand="0" w:evenVBand="0" w:oddHBand="0" w:evenHBand="0" w:firstRowFirstColumn="0" w:firstRowLastColumn="0" w:lastRowFirstColumn="0" w:lastRowLastColumn="0"/>
            <w:tcW w:w="3500" w:type="dxa"/>
            <w:tcBorders>
              <w:left w:val="single" w:sz="4" w:space="0" w:color="FFFFFF" w:themeColor="background1"/>
            </w:tcBorders>
            <w:shd w:val="clear" w:color="000000" w:fill="FFFFFF"/>
            <w:noWrap/>
            <w:vAlign w:val="center"/>
          </w:tcPr>
          <w:p w14:paraId="5BC7DCB7" w14:textId="26EE310D" w:rsidR="00056107" w:rsidRPr="00B275E2" w:rsidRDefault="00056107" w:rsidP="000C10FE">
            <w:pPr>
              <w:pStyle w:val="TableText"/>
              <w:spacing w:before="40" w:after="40"/>
              <w:rPr>
                <w:rFonts w:eastAsia="Times New Roman"/>
                <w:b w:val="0"/>
                <w:szCs w:val="18"/>
              </w:rPr>
            </w:pPr>
            <w:r w:rsidRPr="00B275E2">
              <w:rPr>
                <w:rFonts w:cs="Calibri"/>
                <w:b w:val="0"/>
                <w:szCs w:val="18"/>
              </w:rPr>
              <w:t>French Polynesia</w:t>
            </w:r>
          </w:p>
        </w:tc>
        <w:tc>
          <w:tcPr>
            <w:tcW w:w="2576" w:type="dxa"/>
            <w:gridSpan w:val="2"/>
            <w:shd w:val="clear" w:color="000000" w:fill="FFFFFF"/>
            <w:noWrap/>
            <w:vAlign w:val="bottom"/>
          </w:tcPr>
          <w:p w14:paraId="1D6B37DE" w14:textId="5EA878F4" w:rsidR="00056107" w:rsidRPr="00B275E2" w:rsidRDefault="00056107" w:rsidP="000C10FE">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275E2">
              <w:rPr>
                <w:rFonts w:cs="Calibri"/>
                <w:szCs w:val="18"/>
              </w:rPr>
              <w:t>Room per night</w:t>
            </w:r>
          </w:p>
        </w:tc>
        <w:tc>
          <w:tcPr>
            <w:tcW w:w="2416" w:type="dxa"/>
            <w:gridSpan w:val="2"/>
            <w:tcBorders>
              <w:right w:val="single" w:sz="4" w:space="0" w:color="FFFFFF" w:themeColor="background1"/>
            </w:tcBorders>
            <w:shd w:val="clear" w:color="000000" w:fill="D2DDE1" w:themeFill="background2"/>
            <w:noWrap/>
          </w:tcPr>
          <w:p w14:paraId="354AFBE4" w14:textId="4E3EBCD8" w:rsidR="00056107" w:rsidRPr="00B275E2" w:rsidRDefault="005B337C" w:rsidP="000C10F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275E2">
              <w:t>73.0</w:t>
            </w:r>
          </w:p>
        </w:tc>
      </w:tr>
      <w:tr w:rsidR="00056107" w:rsidRPr="00B275E2" w14:paraId="34C9FD8E" w14:textId="77777777" w:rsidTr="00B65C73">
        <w:trPr>
          <w:gridAfter w:val="2"/>
          <w:wAfter w:w="36" w:type="dxa"/>
          <w:trHeight w:val="300"/>
        </w:trPr>
        <w:tc>
          <w:tcPr>
            <w:cnfStyle w:val="001000000000" w:firstRow="0" w:lastRow="0" w:firstColumn="1" w:lastColumn="0" w:oddVBand="0" w:evenVBand="0" w:oddHBand="0" w:evenHBand="0" w:firstRowFirstColumn="0" w:firstRowLastColumn="0" w:lastRowFirstColumn="0" w:lastRowLastColumn="0"/>
            <w:tcW w:w="3500" w:type="dxa"/>
            <w:tcBorders>
              <w:left w:val="single" w:sz="4" w:space="0" w:color="FFFFFF" w:themeColor="background1"/>
            </w:tcBorders>
            <w:shd w:val="clear" w:color="000000" w:fill="FFFFFF"/>
            <w:noWrap/>
            <w:vAlign w:val="center"/>
          </w:tcPr>
          <w:p w14:paraId="6E3A7634" w14:textId="0D67D1F4" w:rsidR="00056107" w:rsidRPr="00B275E2" w:rsidRDefault="00056107" w:rsidP="000C10FE">
            <w:pPr>
              <w:pStyle w:val="TableText"/>
              <w:spacing w:before="40" w:after="40"/>
              <w:rPr>
                <w:rFonts w:eastAsia="Times New Roman"/>
                <w:b w:val="0"/>
                <w:szCs w:val="18"/>
              </w:rPr>
            </w:pPr>
            <w:r w:rsidRPr="00B275E2">
              <w:rPr>
                <w:rFonts w:cs="Calibri"/>
                <w:b w:val="0"/>
                <w:szCs w:val="18"/>
              </w:rPr>
              <w:t>Germany</w:t>
            </w:r>
          </w:p>
        </w:tc>
        <w:tc>
          <w:tcPr>
            <w:tcW w:w="2576" w:type="dxa"/>
            <w:gridSpan w:val="2"/>
            <w:shd w:val="clear" w:color="000000" w:fill="FFFFFF"/>
            <w:noWrap/>
            <w:vAlign w:val="bottom"/>
          </w:tcPr>
          <w:p w14:paraId="53D5A2F3" w14:textId="62EE3157" w:rsidR="00056107" w:rsidRPr="00B275E2" w:rsidRDefault="00056107" w:rsidP="000C10FE">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275E2">
              <w:rPr>
                <w:rFonts w:cs="Calibri"/>
                <w:szCs w:val="18"/>
              </w:rPr>
              <w:t>Room per night</w:t>
            </w:r>
          </w:p>
        </w:tc>
        <w:tc>
          <w:tcPr>
            <w:tcW w:w="2403" w:type="dxa"/>
            <w:tcBorders>
              <w:right w:val="single" w:sz="4" w:space="0" w:color="FFFFFF" w:themeColor="background1"/>
            </w:tcBorders>
            <w:shd w:val="clear" w:color="000000" w:fill="D2DDE1" w:themeFill="background2"/>
            <w:noWrap/>
          </w:tcPr>
          <w:p w14:paraId="45D91A12" w14:textId="57DF87C1" w:rsidR="00056107" w:rsidRPr="00B275E2" w:rsidRDefault="005B337C" w:rsidP="000C10F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275E2">
              <w:t>18.2</w:t>
            </w:r>
          </w:p>
        </w:tc>
      </w:tr>
      <w:tr w:rsidR="002E153D" w:rsidRPr="00B275E2" w14:paraId="6AF351F9" w14:textId="77777777" w:rsidTr="00B65C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07" w:type="dxa"/>
            <w:gridSpan w:val="2"/>
            <w:tcBorders>
              <w:left w:val="single" w:sz="4" w:space="0" w:color="FFFFFF" w:themeColor="background1"/>
            </w:tcBorders>
            <w:shd w:val="clear" w:color="000000" w:fill="FFFFFF"/>
            <w:noWrap/>
            <w:vAlign w:val="center"/>
          </w:tcPr>
          <w:p w14:paraId="0B03DD00" w14:textId="4D0C4CDB" w:rsidR="005B337C" w:rsidRPr="00B275E2" w:rsidRDefault="005B337C" w:rsidP="000C10FE">
            <w:pPr>
              <w:pStyle w:val="TableText"/>
              <w:spacing w:before="40" w:after="40"/>
              <w:rPr>
                <w:rFonts w:cs="Calibri"/>
                <w:b w:val="0"/>
                <w:szCs w:val="18"/>
              </w:rPr>
            </w:pPr>
            <w:r w:rsidRPr="00B275E2">
              <w:rPr>
                <w:rFonts w:cs="Calibri"/>
                <w:b w:val="0"/>
                <w:szCs w:val="18"/>
              </w:rPr>
              <w:t>Greece</w:t>
            </w:r>
          </w:p>
        </w:tc>
        <w:tc>
          <w:tcPr>
            <w:tcW w:w="2569" w:type="dxa"/>
            <w:shd w:val="clear" w:color="000000" w:fill="FFFFFF"/>
            <w:noWrap/>
            <w:vAlign w:val="bottom"/>
          </w:tcPr>
          <w:p w14:paraId="2E4212E1" w14:textId="157F3089" w:rsidR="005B337C" w:rsidRPr="00B275E2" w:rsidRDefault="005B337C" w:rsidP="000C10FE">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Room per night</w:t>
            </w:r>
          </w:p>
        </w:tc>
        <w:tc>
          <w:tcPr>
            <w:tcW w:w="2439" w:type="dxa"/>
            <w:gridSpan w:val="3"/>
            <w:tcBorders>
              <w:right w:val="single" w:sz="4" w:space="0" w:color="FFFFFF" w:themeColor="background1"/>
            </w:tcBorders>
            <w:shd w:val="clear" w:color="000000" w:fill="D2DDE1" w:themeFill="background2"/>
            <w:noWrap/>
          </w:tcPr>
          <w:p w14:paraId="37DB1F53" w14:textId="50C11AEE" w:rsidR="005B337C" w:rsidRPr="00B275E2" w:rsidRDefault="005B337C" w:rsidP="000C10F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t>42.8</w:t>
            </w:r>
          </w:p>
        </w:tc>
      </w:tr>
      <w:tr w:rsidR="002E153D" w:rsidRPr="00B275E2" w14:paraId="6FC6CCC7" w14:textId="77777777" w:rsidTr="00B65C73">
        <w:trPr>
          <w:trHeight w:val="300"/>
        </w:trPr>
        <w:tc>
          <w:tcPr>
            <w:cnfStyle w:val="001000000000" w:firstRow="0" w:lastRow="0" w:firstColumn="1" w:lastColumn="0" w:oddVBand="0" w:evenVBand="0" w:oddHBand="0" w:evenHBand="0" w:firstRowFirstColumn="0" w:firstRowLastColumn="0" w:lastRowFirstColumn="0" w:lastRowLastColumn="0"/>
            <w:tcW w:w="3507" w:type="dxa"/>
            <w:gridSpan w:val="2"/>
            <w:tcBorders>
              <w:left w:val="single" w:sz="4" w:space="0" w:color="FFFFFF" w:themeColor="background1"/>
            </w:tcBorders>
            <w:shd w:val="clear" w:color="000000" w:fill="FFFFFF"/>
            <w:noWrap/>
            <w:vAlign w:val="center"/>
          </w:tcPr>
          <w:p w14:paraId="604F882D" w14:textId="07DCBC05" w:rsidR="005B337C" w:rsidRPr="00B275E2" w:rsidRDefault="005B337C" w:rsidP="000C10FE">
            <w:pPr>
              <w:pStyle w:val="TableText"/>
              <w:spacing w:before="40" w:after="40"/>
              <w:rPr>
                <w:rFonts w:cs="Calibri"/>
                <w:b w:val="0"/>
                <w:szCs w:val="18"/>
              </w:rPr>
            </w:pPr>
            <w:r w:rsidRPr="00B275E2">
              <w:rPr>
                <w:rFonts w:cs="Calibri"/>
                <w:b w:val="0"/>
                <w:szCs w:val="18"/>
              </w:rPr>
              <w:t>Hong Kong</w:t>
            </w:r>
          </w:p>
        </w:tc>
        <w:tc>
          <w:tcPr>
            <w:tcW w:w="2569" w:type="dxa"/>
            <w:shd w:val="clear" w:color="000000" w:fill="FFFFFF"/>
            <w:noWrap/>
            <w:vAlign w:val="bottom"/>
          </w:tcPr>
          <w:p w14:paraId="66281B62" w14:textId="4B75BBBB" w:rsidR="005B337C" w:rsidRPr="00B275E2" w:rsidRDefault="005B337C" w:rsidP="000C10FE">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Room per night</w:t>
            </w:r>
          </w:p>
        </w:tc>
        <w:tc>
          <w:tcPr>
            <w:tcW w:w="2439" w:type="dxa"/>
            <w:gridSpan w:val="3"/>
            <w:tcBorders>
              <w:right w:val="single" w:sz="4" w:space="0" w:color="FFFFFF" w:themeColor="background1"/>
            </w:tcBorders>
            <w:shd w:val="clear" w:color="000000" w:fill="D2DDE1" w:themeFill="background2"/>
            <w:noWrap/>
          </w:tcPr>
          <w:p w14:paraId="2BAF742A" w14:textId="1B330AD5" w:rsidR="005B337C" w:rsidRPr="00B275E2" w:rsidRDefault="005B337C" w:rsidP="000C10F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t>66.2</w:t>
            </w:r>
          </w:p>
        </w:tc>
      </w:tr>
      <w:tr w:rsidR="002E153D" w:rsidRPr="00B275E2" w14:paraId="78FE723D" w14:textId="77777777" w:rsidTr="00B65C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07" w:type="dxa"/>
            <w:gridSpan w:val="2"/>
            <w:tcBorders>
              <w:left w:val="single" w:sz="4" w:space="0" w:color="FFFFFF" w:themeColor="background1"/>
            </w:tcBorders>
            <w:shd w:val="clear" w:color="000000" w:fill="FFFFFF"/>
            <w:noWrap/>
            <w:vAlign w:val="center"/>
          </w:tcPr>
          <w:p w14:paraId="053E8501" w14:textId="193379CC" w:rsidR="005B337C" w:rsidRPr="00B275E2" w:rsidRDefault="005B337C" w:rsidP="000C10FE">
            <w:pPr>
              <w:pStyle w:val="TableText"/>
              <w:spacing w:before="40" w:after="40"/>
              <w:rPr>
                <w:rFonts w:cs="Calibri"/>
                <w:b w:val="0"/>
                <w:szCs w:val="18"/>
              </w:rPr>
            </w:pPr>
            <w:r w:rsidRPr="00B275E2">
              <w:rPr>
                <w:rFonts w:cs="Calibri"/>
                <w:b w:val="0"/>
                <w:szCs w:val="18"/>
              </w:rPr>
              <w:t>Hungary</w:t>
            </w:r>
          </w:p>
        </w:tc>
        <w:tc>
          <w:tcPr>
            <w:tcW w:w="2569" w:type="dxa"/>
            <w:shd w:val="clear" w:color="000000" w:fill="FFFFFF"/>
            <w:noWrap/>
            <w:vAlign w:val="bottom"/>
          </w:tcPr>
          <w:p w14:paraId="4A81346E" w14:textId="7EAFC51A" w:rsidR="005B337C" w:rsidRPr="00B275E2" w:rsidRDefault="005B337C" w:rsidP="000C10FE">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Room per night</w:t>
            </w:r>
          </w:p>
        </w:tc>
        <w:tc>
          <w:tcPr>
            <w:tcW w:w="2439" w:type="dxa"/>
            <w:gridSpan w:val="3"/>
            <w:tcBorders>
              <w:right w:val="single" w:sz="4" w:space="0" w:color="FFFFFF" w:themeColor="background1"/>
            </w:tcBorders>
            <w:shd w:val="clear" w:color="000000" w:fill="D2DDE1" w:themeFill="background2"/>
            <w:noWrap/>
          </w:tcPr>
          <w:p w14:paraId="59C53B39" w14:textId="10335636" w:rsidR="005B337C" w:rsidRPr="00B275E2" w:rsidRDefault="005B337C" w:rsidP="000C10F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t>22.0</w:t>
            </w:r>
          </w:p>
        </w:tc>
      </w:tr>
      <w:tr w:rsidR="00AE4EC4" w:rsidRPr="00B275E2" w14:paraId="4A4CC1D4" w14:textId="77777777" w:rsidTr="00B65C73">
        <w:trPr>
          <w:gridAfter w:val="2"/>
          <w:wAfter w:w="36" w:type="dxa"/>
          <w:trHeight w:val="300"/>
        </w:trPr>
        <w:tc>
          <w:tcPr>
            <w:cnfStyle w:val="001000000000" w:firstRow="0" w:lastRow="0" w:firstColumn="1" w:lastColumn="0" w:oddVBand="0" w:evenVBand="0" w:oddHBand="0" w:evenHBand="0" w:firstRowFirstColumn="0" w:firstRowLastColumn="0" w:lastRowFirstColumn="0" w:lastRowLastColumn="0"/>
            <w:tcW w:w="3500" w:type="dxa"/>
            <w:tcBorders>
              <w:left w:val="single" w:sz="4" w:space="0" w:color="FFFFFF" w:themeColor="background1"/>
            </w:tcBorders>
            <w:shd w:val="clear" w:color="000000" w:fill="FFFFFF"/>
            <w:noWrap/>
            <w:vAlign w:val="center"/>
          </w:tcPr>
          <w:p w14:paraId="44110255" w14:textId="6578B052" w:rsidR="00056107" w:rsidRPr="00B275E2" w:rsidRDefault="00056107" w:rsidP="000C10FE">
            <w:pPr>
              <w:pStyle w:val="TableText"/>
              <w:spacing w:before="40" w:after="40"/>
              <w:rPr>
                <w:rFonts w:eastAsia="Times New Roman"/>
                <w:b w:val="0"/>
                <w:szCs w:val="18"/>
              </w:rPr>
            </w:pPr>
            <w:r w:rsidRPr="00B275E2">
              <w:rPr>
                <w:rFonts w:cs="Calibri"/>
                <w:b w:val="0"/>
                <w:szCs w:val="18"/>
              </w:rPr>
              <w:t>India</w:t>
            </w:r>
          </w:p>
        </w:tc>
        <w:tc>
          <w:tcPr>
            <w:tcW w:w="2576" w:type="dxa"/>
            <w:gridSpan w:val="2"/>
            <w:shd w:val="clear" w:color="000000" w:fill="FFFFFF"/>
            <w:noWrap/>
            <w:vAlign w:val="bottom"/>
          </w:tcPr>
          <w:p w14:paraId="5B93573C" w14:textId="62111A4C" w:rsidR="00056107" w:rsidRPr="00B275E2" w:rsidRDefault="00056107" w:rsidP="000C10FE">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275E2">
              <w:rPr>
                <w:rFonts w:cs="Calibri"/>
                <w:szCs w:val="18"/>
              </w:rPr>
              <w:t>Room per night</w:t>
            </w:r>
          </w:p>
        </w:tc>
        <w:tc>
          <w:tcPr>
            <w:tcW w:w="2403" w:type="dxa"/>
            <w:tcBorders>
              <w:right w:val="single" w:sz="4" w:space="0" w:color="FFFFFF" w:themeColor="background1"/>
            </w:tcBorders>
            <w:shd w:val="clear" w:color="000000" w:fill="D2DDE1" w:themeFill="background2"/>
            <w:noWrap/>
          </w:tcPr>
          <w:p w14:paraId="3E868944" w14:textId="1C7F1E60" w:rsidR="00056107" w:rsidRPr="00B275E2" w:rsidRDefault="005B337C" w:rsidP="000C10F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275E2">
              <w:t>66.0</w:t>
            </w:r>
          </w:p>
        </w:tc>
      </w:tr>
      <w:tr w:rsidR="00056107" w:rsidRPr="00B275E2" w14:paraId="3270B7A7" w14:textId="77777777" w:rsidTr="00B65C73">
        <w:trPr>
          <w:gridAfter w:val="2"/>
          <w:cnfStyle w:val="000000100000" w:firstRow="0" w:lastRow="0" w:firstColumn="0" w:lastColumn="0" w:oddVBand="0" w:evenVBand="0" w:oddHBand="1" w:evenHBand="0" w:firstRowFirstColumn="0" w:firstRowLastColumn="0" w:lastRowFirstColumn="0" w:lastRowLastColumn="0"/>
          <w:wAfter w:w="36" w:type="dxa"/>
          <w:trHeight w:val="300"/>
        </w:trPr>
        <w:tc>
          <w:tcPr>
            <w:cnfStyle w:val="001000000000" w:firstRow="0" w:lastRow="0" w:firstColumn="1" w:lastColumn="0" w:oddVBand="0" w:evenVBand="0" w:oddHBand="0" w:evenHBand="0" w:firstRowFirstColumn="0" w:firstRowLastColumn="0" w:lastRowFirstColumn="0" w:lastRowLastColumn="0"/>
            <w:tcW w:w="3500" w:type="dxa"/>
            <w:tcBorders>
              <w:left w:val="single" w:sz="4" w:space="0" w:color="FFFFFF" w:themeColor="background1"/>
            </w:tcBorders>
            <w:shd w:val="clear" w:color="000000" w:fill="FFFFFF"/>
            <w:noWrap/>
            <w:vAlign w:val="center"/>
          </w:tcPr>
          <w:p w14:paraId="7DB4D0D5" w14:textId="1154A38E" w:rsidR="00056107" w:rsidRPr="00B275E2" w:rsidRDefault="00056107" w:rsidP="000C10FE">
            <w:pPr>
              <w:pStyle w:val="TableText"/>
              <w:spacing w:before="40" w:after="40"/>
              <w:rPr>
                <w:rFonts w:eastAsia="Times New Roman"/>
                <w:b w:val="0"/>
                <w:szCs w:val="18"/>
              </w:rPr>
            </w:pPr>
            <w:r w:rsidRPr="00B275E2">
              <w:rPr>
                <w:rFonts w:cs="Calibri"/>
                <w:b w:val="0"/>
                <w:szCs w:val="18"/>
              </w:rPr>
              <w:t>Indonesia</w:t>
            </w:r>
          </w:p>
        </w:tc>
        <w:tc>
          <w:tcPr>
            <w:tcW w:w="2576" w:type="dxa"/>
            <w:gridSpan w:val="2"/>
            <w:shd w:val="clear" w:color="000000" w:fill="FFFFFF"/>
            <w:noWrap/>
            <w:vAlign w:val="bottom"/>
          </w:tcPr>
          <w:p w14:paraId="1CBC6E06" w14:textId="771347CA" w:rsidR="00056107" w:rsidRPr="00B275E2" w:rsidRDefault="00056107" w:rsidP="000C10FE">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275E2">
              <w:rPr>
                <w:rFonts w:cs="Calibri"/>
                <w:szCs w:val="18"/>
              </w:rPr>
              <w:t>Room per night</w:t>
            </w:r>
          </w:p>
        </w:tc>
        <w:tc>
          <w:tcPr>
            <w:tcW w:w="2403" w:type="dxa"/>
            <w:tcBorders>
              <w:right w:val="single" w:sz="4" w:space="0" w:color="FFFFFF" w:themeColor="background1"/>
            </w:tcBorders>
            <w:shd w:val="clear" w:color="000000" w:fill="D2DDE1" w:themeFill="background2"/>
            <w:noWrap/>
          </w:tcPr>
          <w:p w14:paraId="03D58C36" w14:textId="53BD0AA9" w:rsidR="00056107" w:rsidRPr="00B275E2" w:rsidRDefault="005B337C" w:rsidP="000C10F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275E2">
              <w:t>88.2</w:t>
            </w:r>
          </w:p>
        </w:tc>
      </w:tr>
      <w:tr w:rsidR="00AE4EC4" w:rsidRPr="00B275E2" w14:paraId="09614DEB" w14:textId="77777777" w:rsidTr="00B65C73">
        <w:trPr>
          <w:gridAfter w:val="2"/>
          <w:wAfter w:w="36" w:type="dxa"/>
          <w:trHeight w:val="300"/>
        </w:trPr>
        <w:tc>
          <w:tcPr>
            <w:cnfStyle w:val="001000000000" w:firstRow="0" w:lastRow="0" w:firstColumn="1" w:lastColumn="0" w:oddVBand="0" w:evenVBand="0" w:oddHBand="0" w:evenHBand="0" w:firstRowFirstColumn="0" w:firstRowLastColumn="0" w:lastRowFirstColumn="0" w:lastRowLastColumn="0"/>
            <w:tcW w:w="3500" w:type="dxa"/>
            <w:tcBorders>
              <w:left w:val="single" w:sz="4" w:space="0" w:color="FFFFFF" w:themeColor="background1"/>
            </w:tcBorders>
            <w:shd w:val="clear" w:color="000000" w:fill="FFFFFF"/>
            <w:noWrap/>
            <w:vAlign w:val="center"/>
          </w:tcPr>
          <w:p w14:paraId="294258D0" w14:textId="580384BC" w:rsidR="00056107" w:rsidRPr="00B275E2" w:rsidRDefault="00056107" w:rsidP="000C10FE">
            <w:pPr>
              <w:pStyle w:val="TableText"/>
              <w:spacing w:before="40" w:after="40"/>
              <w:rPr>
                <w:rFonts w:eastAsia="Times New Roman"/>
                <w:b w:val="0"/>
                <w:szCs w:val="18"/>
              </w:rPr>
            </w:pPr>
            <w:r w:rsidRPr="00B275E2">
              <w:rPr>
                <w:rFonts w:cs="Calibri"/>
                <w:b w:val="0"/>
                <w:szCs w:val="18"/>
              </w:rPr>
              <w:t>Ireland</w:t>
            </w:r>
          </w:p>
        </w:tc>
        <w:tc>
          <w:tcPr>
            <w:tcW w:w="2576" w:type="dxa"/>
            <w:gridSpan w:val="2"/>
            <w:shd w:val="clear" w:color="000000" w:fill="FFFFFF"/>
            <w:noWrap/>
            <w:vAlign w:val="bottom"/>
          </w:tcPr>
          <w:p w14:paraId="7155E08D" w14:textId="684C90B6" w:rsidR="00056107" w:rsidRPr="00B275E2" w:rsidRDefault="00056107" w:rsidP="000C10FE">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275E2">
              <w:rPr>
                <w:rFonts w:cs="Calibri"/>
                <w:szCs w:val="18"/>
              </w:rPr>
              <w:t>Room per night</w:t>
            </w:r>
          </w:p>
        </w:tc>
        <w:tc>
          <w:tcPr>
            <w:tcW w:w="2403" w:type="dxa"/>
            <w:tcBorders>
              <w:right w:val="single" w:sz="4" w:space="0" w:color="FFFFFF" w:themeColor="background1"/>
            </w:tcBorders>
            <w:shd w:val="clear" w:color="000000" w:fill="D2DDE1" w:themeFill="background2"/>
            <w:noWrap/>
          </w:tcPr>
          <w:p w14:paraId="06947BE2" w14:textId="75FCCE54" w:rsidR="00056107" w:rsidRPr="00B275E2" w:rsidRDefault="005B337C" w:rsidP="000C10F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275E2">
              <w:t>23.9</w:t>
            </w:r>
          </w:p>
        </w:tc>
      </w:tr>
      <w:tr w:rsidR="00682C9A" w:rsidRPr="00B275E2" w14:paraId="0405D268" w14:textId="77777777" w:rsidTr="00B65C73">
        <w:trPr>
          <w:gridAfter w:val="1"/>
          <w:cnfStyle w:val="000000100000" w:firstRow="0" w:lastRow="0" w:firstColumn="0" w:lastColumn="0" w:oddVBand="0" w:evenVBand="0" w:oddHBand="1" w:evenHBand="0" w:firstRowFirstColumn="0" w:firstRowLastColumn="0" w:lastRowFirstColumn="0" w:lastRowLastColumn="0"/>
          <w:wAfter w:w="23" w:type="dxa"/>
          <w:trHeight w:val="300"/>
        </w:trPr>
        <w:tc>
          <w:tcPr>
            <w:cnfStyle w:val="001000000000" w:firstRow="0" w:lastRow="0" w:firstColumn="1" w:lastColumn="0" w:oddVBand="0" w:evenVBand="0" w:oddHBand="0" w:evenHBand="0" w:firstRowFirstColumn="0" w:firstRowLastColumn="0" w:lastRowFirstColumn="0" w:lastRowLastColumn="0"/>
            <w:tcW w:w="3507" w:type="dxa"/>
            <w:gridSpan w:val="2"/>
            <w:tcBorders>
              <w:left w:val="single" w:sz="4" w:space="0" w:color="FFFFFF" w:themeColor="background1"/>
            </w:tcBorders>
            <w:shd w:val="clear" w:color="000000" w:fill="FFFFFF"/>
            <w:noWrap/>
            <w:vAlign w:val="center"/>
          </w:tcPr>
          <w:p w14:paraId="33CB2828" w14:textId="7FDBDE6C" w:rsidR="00682C9A" w:rsidRPr="00B275E2" w:rsidRDefault="00682C9A" w:rsidP="000C10FE">
            <w:pPr>
              <w:pStyle w:val="TableText"/>
              <w:spacing w:before="40" w:after="40"/>
              <w:rPr>
                <w:rFonts w:cs="Calibri"/>
                <w:b w:val="0"/>
                <w:szCs w:val="18"/>
              </w:rPr>
            </w:pPr>
            <w:r w:rsidRPr="00B275E2">
              <w:rPr>
                <w:rFonts w:cs="Calibri"/>
                <w:b w:val="0"/>
                <w:szCs w:val="18"/>
              </w:rPr>
              <w:t>Israel</w:t>
            </w:r>
          </w:p>
        </w:tc>
        <w:tc>
          <w:tcPr>
            <w:tcW w:w="2569" w:type="dxa"/>
            <w:shd w:val="clear" w:color="000000" w:fill="FFFFFF"/>
            <w:noWrap/>
            <w:vAlign w:val="bottom"/>
          </w:tcPr>
          <w:p w14:paraId="13D04660" w14:textId="6E085596" w:rsidR="00682C9A" w:rsidRPr="00B275E2" w:rsidRDefault="00682C9A" w:rsidP="000C10FE">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Room per night</w:t>
            </w:r>
          </w:p>
        </w:tc>
        <w:tc>
          <w:tcPr>
            <w:tcW w:w="2416" w:type="dxa"/>
            <w:gridSpan w:val="2"/>
            <w:tcBorders>
              <w:right w:val="single" w:sz="4" w:space="0" w:color="FFFFFF" w:themeColor="background1"/>
            </w:tcBorders>
            <w:shd w:val="clear" w:color="000000" w:fill="D2DDE1" w:themeFill="background2"/>
            <w:noWrap/>
          </w:tcPr>
          <w:p w14:paraId="38287B0F" w14:textId="7E846213" w:rsidR="00682C9A" w:rsidRPr="00B275E2" w:rsidRDefault="005B337C" w:rsidP="000C10F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t>51.8</w:t>
            </w:r>
          </w:p>
        </w:tc>
      </w:tr>
      <w:tr w:rsidR="00056107" w:rsidRPr="00B275E2" w14:paraId="420E3314" w14:textId="77777777" w:rsidTr="00B65C73">
        <w:trPr>
          <w:gridAfter w:val="2"/>
          <w:wAfter w:w="36" w:type="dxa"/>
          <w:trHeight w:val="300"/>
        </w:trPr>
        <w:tc>
          <w:tcPr>
            <w:cnfStyle w:val="001000000000" w:firstRow="0" w:lastRow="0" w:firstColumn="1" w:lastColumn="0" w:oddVBand="0" w:evenVBand="0" w:oddHBand="0" w:evenHBand="0" w:firstRowFirstColumn="0" w:firstRowLastColumn="0" w:lastRowFirstColumn="0" w:lastRowLastColumn="0"/>
            <w:tcW w:w="3500" w:type="dxa"/>
            <w:tcBorders>
              <w:left w:val="single" w:sz="4" w:space="0" w:color="FFFFFF" w:themeColor="background1"/>
            </w:tcBorders>
            <w:shd w:val="clear" w:color="000000" w:fill="FFFFFF"/>
            <w:noWrap/>
            <w:vAlign w:val="center"/>
          </w:tcPr>
          <w:p w14:paraId="74F6E86A" w14:textId="4D9CD8AF" w:rsidR="00056107" w:rsidRPr="00B275E2" w:rsidRDefault="00056107" w:rsidP="000C10FE">
            <w:pPr>
              <w:pStyle w:val="TableText"/>
              <w:spacing w:before="40" w:after="40"/>
              <w:rPr>
                <w:rFonts w:eastAsia="Times New Roman"/>
                <w:b w:val="0"/>
                <w:szCs w:val="18"/>
              </w:rPr>
            </w:pPr>
            <w:r w:rsidRPr="00B275E2">
              <w:rPr>
                <w:rFonts w:cs="Calibri"/>
                <w:b w:val="0"/>
                <w:szCs w:val="18"/>
              </w:rPr>
              <w:t>Italy</w:t>
            </w:r>
          </w:p>
        </w:tc>
        <w:tc>
          <w:tcPr>
            <w:tcW w:w="2576" w:type="dxa"/>
            <w:gridSpan w:val="2"/>
            <w:shd w:val="clear" w:color="000000" w:fill="FFFFFF"/>
            <w:noWrap/>
            <w:vAlign w:val="bottom"/>
          </w:tcPr>
          <w:p w14:paraId="3F3F259E" w14:textId="1531989B" w:rsidR="00056107" w:rsidRPr="00B275E2" w:rsidRDefault="00056107" w:rsidP="000C10FE">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275E2">
              <w:rPr>
                <w:rFonts w:cs="Calibri"/>
                <w:szCs w:val="18"/>
              </w:rPr>
              <w:t>Room per night</w:t>
            </w:r>
          </w:p>
        </w:tc>
        <w:tc>
          <w:tcPr>
            <w:tcW w:w="2403" w:type="dxa"/>
            <w:tcBorders>
              <w:right w:val="single" w:sz="4" w:space="0" w:color="FFFFFF" w:themeColor="background1"/>
            </w:tcBorders>
            <w:shd w:val="clear" w:color="000000" w:fill="D2DDE1" w:themeFill="background2"/>
            <w:noWrap/>
          </w:tcPr>
          <w:p w14:paraId="7492E2A8" w14:textId="194FE82A" w:rsidR="00056107" w:rsidRPr="00B275E2" w:rsidRDefault="005B337C" w:rsidP="000C10F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275E2">
              <w:t>23.9</w:t>
            </w:r>
          </w:p>
        </w:tc>
      </w:tr>
      <w:tr w:rsidR="00531C90" w:rsidRPr="00B275E2" w14:paraId="7B234C6B" w14:textId="77777777" w:rsidTr="00B65C73">
        <w:trPr>
          <w:gridAfter w:val="1"/>
          <w:cnfStyle w:val="000000100000" w:firstRow="0" w:lastRow="0" w:firstColumn="0" w:lastColumn="0" w:oddVBand="0" w:evenVBand="0" w:oddHBand="1" w:evenHBand="0" w:firstRowFirstColumn="0" w:firstRowLastColumn="0" w:lastRowFirstColumn="0" w:lastRowLastColumn="0"/>
          <w:wAfter w:w="23" w:type="dxa"/>
          <w:trHeight w:val="300"/>
        </w:trPr>
        <w:tc>
          <w:tcPr>
            <w:cnfStyle w:val="001000000000" w:firstRow="0" w:lastRow="0" w:firstColumn="1" w:lastColumn="0" w:oddVBand="0" w:evenVBand="0" w:oddHBand="0" w:evenHBand="0" w:firstRowFirstColumn="0" w:firstRowLastColumn="0" w:lastRowFirstColumn="0" w:lastRowLastColumn="0"/>
            <w:tcW w:w="3500" w:type="dxa"/>
            <w:tcBorders>
              <w:left w:val="single" w:sz="4" w:space="0" w:color="FFFFFF" w:themeColor="background1"/>
            </w:tcBorders>
            <w:shd w:val="clear" w:color="000000" w:fill="FFFFFF"/>
            <w:noWrap/>
            <w:vAlign w:val="center"/>
          </w:tcPr>
          <w:p w14:paraId="35CA5D42" w14:textId="742711DB" w:rsidR="00056107" w:rsidRPr="00B275E2" w:rsidRDefault="00056107" w:rsidP="000C10FE">
            <w:pPr>
              <w:pStyle w:val="TableText"/>
              <w:spacing w:before="40" w:after="40"/>
              <w:rPr>
                <w:rFonts w:eastAsia="Times New Roman"/>
                <w:b w:val="0"/>
                <w:szCs w:val="18"/>
              </w:rPr>
            </w:pPr>
            <w:r w:rsidRPr="00B275E2">
              <w:rPr>
                <w:rFonts w:cs="Calibri"/>
                <w:b w:val="0"/>
                <w:szCs w:val="18"/>
              </w:rPr>
              <w:t>Japan</w:t>
            </w:r>
          </w:p>
        </w:tc>
        <w:tc>
          <w:tcPr>
            <w:tcW w:w="2576" w:type="dxa"/>
            <w:gridSpan w:val="2"/>
            <w:shd w:val="clear" w:color="000000" w:fill="FFFFFF"/>
            <w:noWrap/>
            <w:vAlign w:val="bottom"/>
          </w:tcPr>
          <w:p w14:paraId="2F688265" w14:textId="19E4E85C" w:rsidR="00056107" w:rsidRPr="00B275E2" w:rsidRDefault="00056107" w:rsidP="000C10FE">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275E2">
              <w:rPr>
                <w:rFonts w:cs="Calibri"/>
                <w:szCs w:val="18"/>
              </w:rPr>
              <w:t>Room per night</w:t>
            </w:r>
          </w:p>
        </w:tc>
        <w:tc>
          <w:tcPr>
            <w:tcW w:w="2416" w:type="dxa"/>
            <w:gridSpan w:val="2"/>
            <w:tcBorders>
              <w:right w:val="single" w:sz="4" w:space="0" w:color="FFFFFF" w:themeColor="background1"/>
            </w:tcBorders>
            <w:shd w:val="clear" w:color="000000" w:fill="D2DDE1" w:themeFill="background2"/>
            <w:noWrap/>
          </w:tcPr>
          <w:p w14:paraId="575F393A" w14:textId="298A5C9D" w:rsidR="00056107" w:rsidRPr="00B275E2" w:rsidRDefault="005B337C" w:rsidP="000C10F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275E2">
              <w:t>54.7</w:t>
            </w:r>
          </w:p>
        </w:tc>
      </w:tr>
      <w:tr w:rsidR="00056107" w:rsidRPr="00B275E2" w14:paraId="61A5236F" w14:textId="77777777" w:rsidTr="00B65C73">
        <w:trPr>
          <w:gridAfter w:val="2"/>
          <w:wAfter w:w="36" w:type="dxa"/>
          <w:trHeight w:val="300"/>
        </w:trPr>
        <w:tc>
          <w:tcPr>
            <w:cnfStyle w:val="001000000000" w:firstRow="0" w:lastRow="0" w:firstColumn="1" w:lastColumn="0" w:oddVBand="0" w:evenVBand="0" w:oddHBand="0" w:evenHBand="0" w:firstRowFirstColumn="0" w:firstRowLastColumn="0" w:lastRowFirstColumn="0" w:lastRowLastColumn="0"/>
            <w:tcW w:w="3500" w:type="dxa"/>
            <w:tcBorders>
              <w:left w:val="single" w:sz="4" w:space="0" w:color="FFFFFF" w:themeColor="background1"/>
            </w:tcBorders>
            <w:shd w:val="clear" w:color="000000" w:fill="FFFFFF"/>
            <w:noWrap/>
            <w:vAlign w:val="center"/>
          </w:tcPr>
          <w:p w14:paraId="1437A9B9" w14:textId="50F5DDAC" w:rsidR="00056107" w:rsidRPr="00B275E2" w:rsidRDefault="00056107" w:rsidP="000C10FE">
            <w:pPr>
              <w:pStyle w:val="TableText"/>
              <w:spacing w:before="40" w:after="40"/>
              <w:rPr>
                <w:rFonts w:eastAsia="Times New Roman"/>
                <w:b w:val="0"/>
                <w:szCs w:val="18"/>
              </w:rPr>
            </w:pPr>
            <w:r w:rsidRPr="00B275E2">
              <w:rPr>
                <w:rFonts w:cs="Calibri"/>
                <w:b w:val="0"/>
                <w:szCs w:val="18"/>
              </w:rPr>
              <w:t>Jordan</w:t>
            </w:r>
          </w:p>
        </w:tc>
        <w:tc>
          <w:tcPr>
            <w:tcW w:w="2576" w:type="dxa"/>
            <w:gridSpan w:val="2"/>
            <w:shd w:val="clear" w:color="000000" w:fill="FFFFFF"/>
            <w:noWrap/>
            <w:vAlign w:val="bottom"/>
          </w:tcPr>
          <w:p w14:paraId="3676D3A2" w14:textId="0345E0EF" w:rsidR="00056107" w:rsidRPr="00B275E2" w:rsidRDefault="00056107" w:rsidP="000C10FE">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275E2">
              <w:rPr>
                <w:rFonts w:cs="Calibri"/>
                <w:szCs w:val="18"/>
              </w:rPr>
              <w:t>Room per night</w:t>
            </w:r>
          </w:p>
        </w:tc>
        <w:tc>
          <w:tcPr>
            <w:tcW w:w="2403" w:type="dxa"/>
            <w:tcBorders>
              <w:right w:val="single" w:sz="4" w:space="0" w:color="FFFFFF" w:themeColor="background1"/>
            </w:tcBorders>
            <w:shd w:val="clear" w:color="000000" w:fill="D2DDE1" w:themeFill="background2"/>
            <w:noWrap/>
          </w:tcPr>
          <w:p w14:paraId="07A1B4E3" w14:textId="22BD012B" w:rsidR="00056107" w:rsidRPr="00B275E2" w:rsidRDefault="005B337C" w:rsidP="000C10F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275E2">
              <w:t>64.5</w:t>
            </w:r>
          </w:p>
        </w:tc>
      </w:tr>
      <w:tr w:rsidR="00682C9A" w:rsidRPr="00B275E2" w14:paraId="21EE5FFB" w14:textId="77777777" w:rsidTr="00B65C73">
        <w:trPr>
          <w:gridAfter w:val="2"/>
          <w:cnfStyle w:val="000000100000" w:firstRow="0" w:lastRow="0" w:firstColumn="0" w:lastColumn="0" w:oddVBand="0" w:evenVBand="0" w:oddHBand="1" w:evenHBand="0" w:firstRowFirstColumn="0" w:firstRowLastColumn="0" w:lastRowFirstColumn="0" w:lastRowLastColumn="0"/>
          <w:wAfter w:w="36" w:type="dxa"/>
          <w:trHeight w:val="300"/>
        </w:trPr>
        <w:tc>
          <w:tcPr>
            <w:cnfStyle w:val="001000000000" w:firstRow="0" w:lastRow="0" w:firstColumn="1" w:lastColumn="0" w:oddVBand="0" w:evenVBand="0" w:oddHBand="0" w:evenHBand="0" w:firstRowFirstColumn="0" w:firstRowLastColumn="0" w:lastRowFirstColumn="0" w:lastRowLastColumn="0"/>
            <w:tcW w:w="3500" w:type="dxa"/>
            <w:tcBorders>
              <w:left w:val="single" w:sz="4" w:space="0" w:color="FFFFFF" w:themeColor="background1"/>
            </w:tcBorders>
            <w:shd w:val="clear" w:color="000000" w:fill="FFFFFF"/>
            <w:noWrap/>
            <w:vAlign w:val="center"/>
          </w:tcPr>
          <w:p w14:paraId="20BB98E6" w14:textId="26567CA8" w:rsidR="00682C9A" w:rsidRPr="00B275E2" w:rsidRDefault="00682C9A" w:rsidP="000C10FE">
            <w:pPr>
              <w:pStyle w:val="TableText"/>
              <w:spacing w:before="40" w:after="40"/>
              <w:rPr>
                <w:rFonts w:cs="Calibri"/>
                <w:b w:val="0"/>
                <w:szCs w:val="18"/>
              </w:rPr>
            </w:pPr>
            <w:r w:rsidRPr="00B275E2">
              <w:rPr>
                <w:rFonts w:cs="Calibri"/>
                <w:b w:val="0"/>
                <w:szCs w:val="18"/>
              </w:rPr>
              <w:t>Kazakhstan</w:t>
            </w:r>
          </w:p>
        </w:tc>
        <w:tc>
          <w:tcPr>
            <w:tcW w:w="2576" w:type="dxa"/>
            <w:gridSpan w:val="2"/>
            <w:shd w:val="clear" w:color="000000" w:fill="FFFFFF"/>
            <w:noWrap/>
            <w:vAlign w:val="bottom"/>
          </w:tcPr>
          <w:p w14:paraId="57E577B6" w14:textId="0197ED31" w:rsidR="00682C9A" w:rsidRPr="00B275E2" w:rsidRDefault="00682C9A" w:rsidP="000C10FE">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Room per night</w:t>
            </w:r>
          </w:p>
        </w:tc>
        <w:tc>
          <w:tcPr>
            <w:tcW w:w="2403" w:type="dxa"/>
            <w:tcBorders>
              <w:right w:val="single" w:sz="4" w:space="0" w:color="FFFFFF" w:themeColor="background1"/>
            </w:tcBorders>
            <w:shd w:val="clear" w:color="000000" w:fill="D2DDE1" w:themeFill="background2"/>
            <w:noWrap/>
          </w:tcPr>
          <w:p w14:paraId="192E57E3" w14:textId="47E28A7D" w:rsidR="00682C9A" w:rsidRPr="00B275E2" w:rsidRDefault="005B337C" w:rsidP="000C10F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t>105.7</w:t>
            </w:r>
          </w:p>
        </w:tc>
      </w:tr>
      <w:tr w:rsidR="00682C9A" w:rsidRPr="00B275E2" w14:paraId="4AD58333" w14:textId="77777777" w:rsidTr="00B65C73">
        <w:trPr>
          <w:gridAfter w:val="2"/>
          <w:wAfter w:w="36" w:type="dxa"/>
          <w:trHeight w:val="300"/>
        </w:trPr>
        <w:tc>
          <w:tcPr>
            <w:cnfStyle w:val="001000000000" w:firstRow="0" w:lastRow="0" w:firstColumn="1" w:lastColumn="0" w:oddVBand="0" w:evenVBand="0" w:oddHBand="0" w:evenHBand="0" w:firstRowFirstColumn="0" w:firstRowLastColumn="0" w:lastRowFirstColumn="0" w:lastRowLastColumn="0"/>
            <w:tcW w:w="3500" w:type="dxa"/>
            <w:tcBorders>
              <w:left w:val="single" w:sz="4" w:space="0" w:color="FFFFFF" w:themeColor="background1"/>
            </w:tcBorders>
            <w:shd w:val="clear" w:color="000000" w:fill="FFFFFF"/>
            <w:noWrap/>
            <w:vAlign w:val="center"/>
          </w:tcPr>
          <w:p w14:paraId="27375ECF" w14:textId="62D4F25A" w:rsidR="00682C9A" w:rsidRPr="00B275E2" w:rsidRDefault="00682C9A" w:rsidP="000C10FE">
            <w:pPr>
              <w:pStyle w:val="TableText"/>
              <w:spacing w:before="40" w:after="40"/>
              <w:rPr>
                <w:rFonts w:cs="Calibri"/>
                <w:b w:val="0"/>
                <w:szCs w:val="18"/>
              </w:rPr>
            </w:pPr>
            <w:r w:rsidRPr="00B275E2">
              <w:rPr>
                <w:rFonts w:cs="Calibri"/>
                <w:b w:val="0"/>
                <w:szCs w:val="18"/>
              </w:rPr>
              <w:t>Macau</w:t>
            </w:r>
          </w:p>
        </w:tc>
        <w:tc>
          <w:tcPr>
            <w:tcW w:w="2576" w:type="dxa"/>
            <w:gridSpan w:val="2"/>
            <w:shd w:val="clear" w:color="000000" w:fill="FFFFFF"/>
            <w:noWrap/>
            <w:vAlign w:val="bottom"/>
          </w:tcPr>
          <w:p w14:paraId="123CF395" w14:textId="4948CA6E" w:rsidR="00682C9A" w:rsidRPr="00B275E2" w:rsidRDefault="00682C9A" w:rsidP="000C10FE">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Room per night</w:t>
            </w:r>
          </w:p>
        </w:tc>
        <w:tc>
          <w:tcPr>
            <w:tcW w:w="2403" w:type="dxa"/>
            <w:tcBorders>
              <w:right w:val="single" w:sz="4" w:space="0" w:color="FFFFFF" w:themeColor="background1"/>
            </w:tcBorders>
            <w:shd w:val="clear" w:color="000000" w:fill="D2DDE1" w:themeFill="background2"/>
            <w:noWrap/>
          </w:tcPr>
          <w:p w14:paraId="47596070" w14:textId="0B3B64CD" w:rsidR="00682C9A" w:rsidRPr="00B275E2" w:rsidRDefault="005B337C" w:rsidP="000C10F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t>68.1</w:t>
            </w:r>
          </w:p>
        </w:tc>
      </w:tr>
      <w:tr w:rsidR="00531C90" w:rsidRPr="00B275E2" w14:paraId="6BD23659" w14:textId="77777777" w:rsidTr="00B65C73">
        <w:trPr>
          <w:gridAfter w:val="1"/>
          <w:cnfStyle w:val="000000100000" w:firstRow="0" w:lastRow="0" w:firstColumn="0" w:lastColumn="0" w:oddVBand="0" w:evenVBand="0" w:oddHBand="1" w:evenHBand="0" w:firstRowFirstColumn="0" w:firstRowLastColumn="0" w:lastRowFirstColumn="0" w:lastRowLastColumn="0"/>
          <w:wAfter w:w="23" w:type="dxa"/>
          <w:trHeight w:val="300"/>
        </w:trPr>
        <w:tc>
          <w:tcPr>
            <w:cnfStyle w:val="001000000000" w:firstRow="0" w:lastRow="0" w:firstColumn="1" w:lastColumn="0" w:oddVBand="0" w:evenVBand="0" w:oddHBand="0" w:evenHBand="0" w:firstRowFirstColumn="0" w:firstRowLastColumn="0" w:lastRowFirstColumn="0" w:lastRowLastColumn="0"/>
            <w:tcW w:w="3500" w:type="dxa"/>
            <w:tcBorders>
              <w:left w:val="single" w:sz="4" w:space="0" w:color="FFFFFF" w:themeColor="background1"/>
            </w:tcBorders>
            <w:shd w:val="clear" w:color="000000" w:fill="FFFFFF"/>
            <w:noWrap/>
            <w:vAlign w:val="center"/>
          </w:tcPr>
          <w:p w14:paraId="174D314B" w14:textId="7A19B249" w:rsidR="00056107" w:rsidRPr="00B275E2" w:rsidRDefault="00056107" w:rsidP="000C10FE">
            <w:pPr>
              <w:pStyle w:val="TableText"/>
              <w:spacing w:before="40" w:after="40"/>
              <w:rPr>
                <w:rFonts w:eastAsia="Times New Roman"/>
                <w:b w:val="0"/>
                <w:szCs w:val="18"/>
              </w:rPr>
            </w:pPr>
            <w:r w:rsidRPr="00B275E2">
              <w:rPr>
                <w:rFonts w:cs="Calibri"/>
                <w:b w:val="0"/>
                <w:szCs w:val="18"/>
              </w:rPr>
              <w:t>Malaysia</w:t>
            </w:r>
          </w:p>
        </w:tc>
        <w:tc>
          <w:tcPr>
            <w:tcW w:w="2576" w:type="dxa"/>
            <w:gridSpan w:val="2"/>
            <w:shd w:val="clear" w:color="000000" w:fill="FFFFFF"/>
            <w:noWrap/>
            <w:vAlign w:val="bottom"/>
          </w:tcPr>
          <w:p w14:paraId="0768C72B" w14:textId="46D9A284" w:rsidR="00056107" w:rsidRPr="00B275E2" w:rsidRDefault="00056107" w:rsidP="000C10FE">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275E2">
              <w:rPr>
                <w:rFonts w:cs="Calibri"/>
                <w:szCs w:val="18"/>
              </w:rPr>
              <w:t>Room per night</w:t>
            </w:r>
          </w:p>
        </w:tc>
        <w:tc>
          <w:tcPr>
            <w:tcW w:w="2416" w:type="dxa"/>
            <w:gridSpan w:val="2"/>
            <w:tcBorders>
              <w:right w:val="single" w:sz="4" w:space="0" w:color="FFFFFF" w:themeColor="background1"/>
            </w:tcBorders>
            <w:shd w:val="clear" w:color="000000" w:fill="D2DDE1" w:themeFill="background2"/>
            <w:noWrap/>
          </w:tcPr>
          <w:p w14:paraId="59AD6395" w14:textId="2D5273A7" w:rsidR="00056107" w:rsidRPr="00B275E2" w:rsidRDefault="005B337C" w:rsidP="000C10F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275E2">
              <w:t>80.3</w:t>
            </w:r>
          </w:p>
        </w:tc>
      </w:tr>
      <w:tr w:rsidR="00056107" w:rsidRPr="00B275E2" w14:paraId="108A52B9" w14:textId="77777777" w:rsidTr="00B65C73">
        <w:trPr>
          <w:gridAfter w:val="2"/>
          <w:wAfter w:w="36" w:type="dxa"/>
          <w:trHeight w:val="300"/>
        </w:trPr>
        <w:tc>
          <w:tcPr>
            <w:cnfStyle w:val="001000000000" w:firstRow="0" w:lastRow="0" w:firstColumn="1" w:lastColumn="0" w:oddVBand="0" w:evenVBand="0" w:oddHBand="0" w:evenHBand="0" w:firstRowFirstColumn="0" w:firstRowLastColumn="0" w:lastRowFirstColumn="0" w:lastRowLastColumn="0"/>
            <w:tcW w:w="3500" w:type="dxa"/>
            <w:tcBorders>
              <w:left w:val="single" w:sz="4" w:space="0" w:color="FFFFFF" w:themeColor="background1"/>
            </w:tcBorders>
            <w:shd w:val="clear" w:color="000000" w:fill="FFFFFF"/>
            <w:noWrap/>
            <w:vAlign w:val="center"/>
          </w:tcPr>
          <w:p w14:paraId="7A7BF1C2" w14:textId="778E81A0" w:rsidR="00056107" w:rsidRPr="00B275E2" w:rsidRDefault="00056107" w:rsidP="000C10FE">
            <w:pPr>
              <w:pStyle w:val="TableText"/>
              <w:spacing w:before="40" w:after="40"/>
              <w:rPr>
                <w:rFonts w:eastAsia="Times New Roman"/>
                <w:b w:val="0"/>
                <w:szCs w:val="18"/>
              </w:rPr>
            </w:pPr>
            <w:r w:rsidRPr="00B275E2">
              <w:rPr>
                <w:rFonts w:cs="Calibri"/>
                <w:b w:val="0"/>
                <w:szCs w:val="18"/>
              </w:rPr>
              <w:t>Maldives</w:t>
            </w:r>
          </w:p>
        </w:tc>
        <w:tc>
          <w:tcPr>
            <w:tcW w:w="2576" w:type="dxa"/>
            <w:gridSpan w:val="2"/>
            <w:shd w:val="clear" w:color="000000" w:fill="FFFFFF"/>
            <w:noWrap/>
            <w:vAlign w:val="bottom"/>
          </w:tcPr>
          <w:p w14:paraId="7FF6A239" w14:textId="310FC831" w:rsidR="00056107" w:rsidRPr="00B275E2" w:rsidRDefault="00056107" w:rsidP="000C10FE">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275E2">
              <w:rPr>
                <w:rFonts w:cs="Calibri"/>
                <w:szCs w:val="18"/>
              </w:rPr>
              <w:t>Room per night</w:t>
            </w:r>
          </w:p>
        </w:tc>
        <w:tc>
          <w:tcPr>
            <w:tcW w:w="2403" w:type="dxa"/>
            <w:tcBorders>
              <w:right w:val="single" w:sz="4" w:space="0" w:color="FFFFFF" w:themeColor="background1"/>
            </w:tcBorders>
            <w:shd w:val="clear" w:color="000000" w:fill="D2DDE1" w:themeFill="background2"/>
            <w:noWrap/>
          </w:tcPr>
          <w:p w14:paraId="33BA6390" w14:textId="4BF70322" w:rsidR="00056107" w:rsidRPr="00B275E2" w:rsidRDefault="005B337C" w:rsidP="000C10F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275E2">
              <w:t>176.5</w:t>
            </w:r>
          </w:p>
        </w:tc>
      </w:tr>
      <w:tr w:rsidR="00531C90" w:rsidRPr="00B275E2" w14:paraId="51D49FC4" w14:textId="77777777" w:rsidTr="00B65C73">
        <w:trPr>
          <w:gridAfter w:val="1"/>
          <w:cnfStyle w:val="000000100000" w:firstRow="0" w:lastRow="0" w:firstColumn="0" w:lastColumn="0" w:oddVBand="0" w:evenVBand="0" w:oddHBand="1" w:evenHBand="0" w:firstRowFirstColumn="0" w:firstRowLastColumn="0" w:lastRowFirstColumn="0" w:lastRowLastColumn="0"/>
          <w:wAfter w:w="23" w:type="dxa"/>
          <w:trHeight w:val="300"/>
        </w:trPr>
        <w:tc>
          <w:tcPr>
            <w:cnfStyle w:val="001000000000" w:firstRow="0" w:lastRow="0" w:firstColumn="1" w:lastColumn="0" w:oddVBand="0" w:evenVBand="0" w:oddHBand="0" w:evenHBand="0" w:firstRowFirstColumn="0" w:firstRowLastColumn="0" w:lastRowFirstColumn="0" w:lastRowLastColumn="0"/>
            <w:tcW w:w="3500" w:type="dxa"/>
            <w:tcBorders>
              <w:left w:val="single" w:sz="4" w:space="0" w:color="FFFFFF" w:themeColor="background1"/>
            </w:tcBorders>
            <w:shd w:val="clear" w:color="000000" w:fill="FFFFFF"/>
            <w:noWrap/>
            <w:vAlign w:val="center"/>
          </w:tcPr>
          <w:p w14:paraId="25943AA8" w14:textId="43A5679A" w:rsidR="00D765CE" w:rsidRPr="00B275E2" w:rsidRDefault="00D765CE" w:rsidP="000C10FE">
            <w:pPr>
              <w:pStyle w:val="TableText"/>
              <w:spacing w:before="40" w:after="40"/>
              <w:rPr>
                <w:rFonts w:eastAsia="Times New Roman"/>
                <w:b w:val="0"/>
                <w:szCs w:val="18"/>
              </w:rPr>
            </w:pPr>
            <w:r w:rsidRPr="00B275E2">
              <w:rPr>
                <w:rFonts w:cs="Calibri"/>
                <w:b w:val="0"/>
                <w:szCs w:val="18"/>
              </w:rPr>
              <w:t>Mexico</w:t>
            </w:r>
          </w:p>
        </w:tc>
        <w:tc>
          <w:tcPr>
            <w:tcW w:w="2576" w:type="dxa"/>
            <w:gridSpan w:val="2"/>
            <w:shd w:val="clear" w:color="000000" w:fill="FFFFFF"/>
            <w:noWrap/>
            <w:vAlign w:val="bottom"/>
          </w:tcPr>
          <w:p w14:paraId="429B0264" w14:textId="3B846440" w:rsidR="00D765CE" w:rsidRPr="00B275E2" w:rsidRDefault="00D765CE" w:rsidP="000C10FE">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275E2">
              <w:rPr>
                <w:rFonts w:cs="Calibri"/>
                <w:szCs w:val="18"/>
              </w:rPr>
              <w:t>Room per night</w:t>
            </w:r>
          </w:p>
        </w:tc>
        <w:tc>
          <w:tcPr>
            <w:tcW w:w="2416" w:type="dxa"/>
            <w:gridSpan w:val="2"/>
            <w:tcBorders>
              <w:right w:val="single" w:sz="4" w:space="0" w:color="FFFFFF" w:themeColor="background1"/>
            </w:tcBorders>
            <w:shd w:val="clear" w:color="000000" w:fill="D2DDE1" w:themeFill="background2"/>
            <w:noWrap/>
          </w:tcPr>
          <w:p w14:paraId="4FB79B7B" w14:textId="267487C9" w:rsidR="00D765CE" w:rsidRPr="00B275E2" w:rsidRDefault="005B337C" w:rsidP="000C10F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275E2">
              <w:t>27</w:t>
            </w:r>
            <w:r w:rsidR="00DF3026" w:rsidRPr="00B275E2">
              <w:t>.0</w:t>
            </w:r>
          </w:p>
        </w:tc>
      </w:tr>
      <w:tr w:rsidR="00682C9A" w:rsidRPr="00B275E2" w14:paraId="074EADF9" w14:textId="77777777" w:rsidTr="00B65C73">
        <w:trPr>
          <w:gridAfter w:val="2"/>
          <w:wAfter w:w="36" w:type="dxa"/>
          <w:trHeight w:val="300"/>
        </w:trPr>
        <w:tc>
          <w:tcPr>
            <w:cnfStyle w:val="001000000000" w:firstRow="0" w:lastRow="0" w:firstColumn="1" w:lastColumn="0" w:oddVBand="0" w:evenVBand="0" w:oddHBand="0" w:evenHBand="0" w:firstRowFirstColumn="0" w:firstRowLastColumn="0" w:lastRowFirstColumn="0" w:lastRowLastColumn="0"/>
            <w:tcW w:w="3500" w:type="dxa"/>
            <w:tcBorders>
              <w:left w:val="single" w:sz="4" w:space="0" w:color="FFFFFF" w:themeColor="background1"/>
            </w:tcBorders>
            <w:shd w:val="clear" w:color="000000" w:fill="FFFFFF"/>
            <w:noWrap/>
            <w:vAlign w:val="center"/>
          </w:tcPr>
          <w:p w14:paraId="2E07A22E" w14:textId="01E2FD30" w:rsidR="00682C9A" w:rsidRPr="00B275E2" w:rsidRDefault="00027555" w:rsidP="000C10FE">
            <w:pPr>
              <w:pStyle w:val="TableText"/>
              <w:spacing w:before="40" w:after="40"/>
              <w:rPr>
                <w:rFonts w:cs="Calibri"/>
                <w:b w:val="0"/>
                <w:szCs w:val="18"/>
              </w:rPr>
            </w:pPr>
            <w:r w:rsidRPr="00B275E2">
              <w:rPr>
                <w:rFonts w:cs="Calibri"/>
                <w:b w:val="0"/>
                <w:szCs w:val="18"/>
              </w:rPr>
              <w:t>Morocco</w:t>
            </w:r>
          </w:p>
        </w:tc>
        <w:tc>
          <w:tcPr>
            <w:tcW w:w="2576" w:type="dxa"/>
            <w:gridSpan w:val="2"/>
            <w:shd w:val="clear" w:color="000000" w:fill="FFFFFF"/>
            <w:noWrap/>
            <w:vAlign w:val="bottom"/>
          </w:tcPr>
          <w:p w14:paraId="75E581C5" w14:textId="65A29BAD" w:rsidR="00682C9A" w:rsidRPr="00B275E2" w:rsidRDefault="00027555" w:rsidP="000C10FE">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Room per night</w:t>
            </w:r>
          </w:p>
        </w:tc>
        <w:tc>
          <w:tcPr>
            <w:tcW w:w="2403" w:type="dxa"/>
            <w:tcBorders>
              <w:right w:val="single" w:sz="4" w:space="0" w:color="FFFFFF" w:themeColor="background1"/>
            </w:tcBorders>
            <w:shd w:val="clear" w:color="000000" w:fill="D2DDE1" w:themeFill="background2"/>
            <w:noWrap/>
          </w:tcPr>
          <w:p w14:paraId="00B05237" w14:textId="5F89E30A" w:rsidR="00682C9A" w:rsidRPr="00B275E2" w:rsidRDefault="005B337C" w:rsidP="000C10F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t>104.0</w:t>
            </w:r>
          </w:p>
        </w:tc>
      </w:tr>
      <w:tr w:rsidR="00D765CE" w:rsidRPr="00B275E2" w14:paraId="14B777B0" w14:textId="77777777" w:rsidTr="00B65C73">
        <w:trPr>
          <w:gridAfter w:val="2"/>
          <w:cnfStyle w:val="000000100000" w:firstRow="0" w:lastRow="0" w:firstColumn="0" w:lastColumn="0" w:oddVBand="0" w:evenVBand="0" w:oddHBand="1" w:evenHBand="0" w:firstRowFirstColumn="0" w:firstRowLastColumn="0" w:lastRowFirstColumn="0" w:lastRowLastColumn="0"/>
          <w:wAfter w:w="36" w:type="dxa"/>
          <w:trHeight w:val="300"/>
        </w:trPr>
        <w:tc>
          <w:tcPr>
            <w:cnfStyle w:val="001000000000" w:firstRow="0" w:lastRow="0" w:firstColumn="1" w:lastColumn="0" w:oddVBand="0" w:evenVBand="0" w:oddHBand="0" w:evenHBand="0" w:firstRowFirstColumn="0" w:firstRowLastColumn="0" w:lastRowFirstColumn="0" w:lastRowLastColumn="0"/>
            <w:tcW w:w="3500" w:type="dxa"/>
            <w:tcBorders>
              <w:left w:val="single" w:sz="4" w:space="0" w:color="FFFFFF" w:themeColor="background1"/>
            </w:tcBorders>
            <w:shd w:val="clear" w:color="000000" w:fill="FFFFFF"/>
            <w:noWrap/>
            <w:vAlign w:val="center"/>
          </w:tcPr>
          <w:p w14:paraId="6501F320" w14:textId="5956F0F6" w:rsidR="00D765CE" w:rsidRPr="00B275E2" w:rsidRDefault="00D765CE" w:rsidP="000C10FE">
            <w:pPr>
              <w:pStyle w:val="TableText"/>
              <w:spacing w:before="40" w:after="40"/>
              <w:rPr>
                <w:rFonts w:eastAsia="Times New Roman"/>
                <w:b w:val="0"/>
                <w:szCs w:val="18"/>
              </w:rPr>
            </w:pPr>
            <w:r w:rsidRPr="00B275E2">
              <w:rPr>
                <w:rFonts w:cs="Calibri"/>
                <w:b w:val="0"/>
                <w:szCs w:val="18"/>
              </w:rPr>
              <w:t>Netherlands</w:t>
            </w:r>
          </w:p>
        </w:tc>
        <w:tc>
          <w:tcPr>
            <w:tcW w:w="2576" w:type="dxa"/>
            <w:gridSpan w:val="2"/>
            <w:shd w:val="clear" w:color="000000" w:fill="FFFFFF"/>
            <w:noWrap/>
            <w:vAlign w:val="bottom"/>
          </w:tcPr>
          <w:p w14:paraId="16D8F310" w14:textId="7766EE8C" w:rsidR="00D765CE" w:rsidRPr="00B275E2" w:rsidRDefault="00D765CE" w:rsidP="000C10FE">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275E2">
              <w:rPr>
                <w:rFonts w:cs="Calibri"/>
                <w:szCs w:val="18"/>
              </w:rPr>
              <w:t>Room per night</w:t>
            </w:r>
          </w:p>
        </w:tc>
        <w:tc>
          <w:tcPr>
            <w:tcW w:w="2403" w:type="dxa"/>
            <w:tcBorders>
              <w:right w:val="single" w:sz="4" w:space="0" w:color="FFFFFF" w:themeColor="background1"/>
            </w:tcBorders>
            <w:shd w:val="clear" w:color="000000" w:fill="D2DDE1" w:themeFill="background2"/>
            <w:noWrap/>
          </w:tcPr>
          <w:p w14:paraId="1BF15786" w14:textId="47D7D93D" w:rsidR="00D765CE" w:rsidRPr="00B275E2" w:rsidRDefault="005B337C" w:rsidP="000C10F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275E2">
              <w:t>21.2</w:t>
            </w:r>
          </w:p>
        </w:tc>
      </w:tr>
      <w:tr w:rsidR="00AE4EC4" w:rsidRPr="00B275E2" w14:paraId="2417DD76" w14:textId="77777777" w:rsidTr="00B65C73">
        <w:trPr>
          <w:gridAfter w:val="2"/>
          <w:wAfter w:w="36" w:type="dxa"/>
          <w:trHeight w:val="300"/>
        </w:trPr>
        <w:tc>
          <w:tcPr>
            <w:cnfStyle w:val="001000000000" w:firstRow="0" w:lastRow="0" w:firstColumn="1" w:lastColumn="0" w:oddVBand="0" w:evenVBand="0" w:oddHBand="0" w:evenHBand="0" w:firstRowFirstColumn="0" w:firstRowLastColumn="0" w:lastRowFirstColumn="0" w:lastRowLastColumn="0"/>
            <w:tcW w:w="3500" w:type="dxa"/>
            <w:tcBorders>
              <w:left w:val="single" w:sz="4" w:space="0" w:color="FFFFFF" w:themeColor="background1"/>
            </w:tcBorders>
            <w:shd w:val="clear" w:color="000000" w:fill="FFFFFF"/>
            <w:noWrap/>
            <w:vAlign w:val="center"/>
          </w:tcPr>
          <w:p w14:paraId="5D7763C4" w14:textId="50649BB9" w:rsidR="00D765CE" w:rsidRPr="00B275E2" w:rsidRDefault="00D765CE" w:rsidP="000C10FE">
            <w:pPr>
              <w:pStyle w:val="TableText"/>
              <w:spacing w:before="40" w:after="40"/>
              <w:rPr>
                <w:rFonts w:eastAsia="Times New Roman"/>
                <w:b w:val="0"/>
                <w:szCs w:val="18"/>
              </w:rPr>
            </w:pPr>
            <w:r w:rsidRPr="00B275E2">
              <w:rPr>
                <w:rFonts w:cs="Calibri"/>
                <w:b w:val="0"/>
                <w:szCs w:val="18"/>
              </w:rPr>
              <w:t>New Zealand</w:t>
            </w:r>
          </w:p>
        </w:tc>
        <w:tc>
          <w:tcPr>
            <w:tcW w:w="2576" w:type="dxa"/>
            <w:gridSpan w:val="2"/>
            <w:shd w:val="clear" w:color="000000" w:fill="FFFFFF"/>
            <w:noWrap/>
            <w:vAlign w:val="bottom"/>
          </w:tcPr>
          <w:p w14:paraId="483B4552" w14:textId="5FB6DB81" w:rsidR="00D765CE" w:rsidRPr="00B275E2" w:rsidRDefault="00D765CE" w:rsidP="000C10FE">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275E2">
              <w:rPr>
                <w:rFonts w:cs="Calibri"/>
                <w:szCs w:val="18"/>
              </w:rPr>
              <w:t>Room per night</w:t>
            </w:r>
          </w:p>
        </w:tc>
        <w:tc>
          <w:tcPr>
            <w:tcW w:w="2403" w:type="dxa"/>
            <w:tcBorders>
              <w:right w:val="single" w:sz="4" w:space="0" w:color="FFFFFF" w:themeColor="background1"/>
            </w:tcBorders>
            <w:shd w:val="clear" w:color="000000" w:fill="D2DDE1" w:themeFill="background2"/>
            <w:noWrap/>
          </w:tcPr>
          <w:p w14:paraId="24DF42F1" w14:textId="3EB5D480" w:rsidR="00D765CE" w:rsidRPr="00B275E2" w:rsidRDefault="005B337C" w:rsidP="000C10F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275E2">
              <w:t>9.4</w:t>
            </w:r>
          </w:p>
        </w:tc>
      </w:tr>
      <w:tr w:rsidR="00D765CE" w:rsidRPr="00B275E2" w14:paraId="155FD530" w14:textId="77777777" w:rsidTr="00B65C73">
        <w:trPr>
          <w:gridAfter w:val="2"/>
          <w:cnfStyle w:val="000000100000" w:firstRow="0" w:lastRow="0" w:firstColumn="0" w:lastColumn="0" w:oddVBand="0" w:evenVBand="0" w:oddHBand="1" w:evenHBand="0" w:firstRowFirstColumn="0" w:firstRowLastColumn="0" w:lastRowFirstColumn="0" w:lastRowLastColumn="0"/>
          <w:wAfter w:w="36" w:type="dxa"/>
          <w:trHeight w:val="300"/>
        </w:trPr>
        <w:tc>
          <w:tcPr>
            <w:cnfStyle w:val="001000000000" w:firstRow="0" w:lastRow="0" w:firstColumn="1" w:lastColumn="0" w:oddVBand="0" w:evenVBand="0" w:oddHBand="0" w:evenHBand="0" w:firstRowFirstColumn="0" w:firstRowLastColumn="0" w:lastRowFirstColumn="0" w:lastRowLastColumn="0"/>
            <w:tcW w:w="3500" w:type="dxa"/>
            <w:tcBorders>
              <w:left w:val="single" w:sz="4" w:space="0" w:color="FFFFFF" w:themeColor="background1"/>
            </w:tcBorders>
            <w:shd w:val="clear" w:color="000000" w:fill="FFFFFF"/>
            <w:noWrap/>
            <w:vAlign w:val="center"/>
          </w:tcPr>
          <w:p w14:paraId="4297BD67" w14:textId="4B9689E7" w:rsidR="00D765CE" w:rsidRPr="00B275E2" w:rsidRDefault="00D765CE" w:rsidP="000C10FE">
            <w:pPr>
              <w:pStyle w:val="TableText"/>
              <w:spacing w:before="40" w:after="40"/>
              <w:rPr>
                <w:rFonts w:eastAsia="Times New Roman"/>
                <w:b w:val="0"/>
                <w:szCs w:val="18"/>
              </w:rPr>
            </w:pPr>
            <w:r w:rsidRPr="00B275E2">
              <w:rPr>
                <w:rFonts w:cs="Calibri"/>
                <w:b w:val="0"/>
                <w:szCs w:val="18"/>
              </w:rPr>
              <w:t>Oman</w:t>
            </w:r>
          </w:p>
        </w:tc>
        <w:tc>
          <w:tcPr>
            <w:tcW w:w="2576" w:type="dxa"/>
            <w:gridSpan w:val="2"/>
            <w:shd w:val="clear" w:color="000000" w:fill="FFFFFF"/>
            <w:noWrap/>
            <w:vAlign w:val="bottom"/>
          </w:tcPr>
          <w:p w14:paraId="5249E179" w14:textId="69353B8E" w:rsidR="00D765CE" w:rsidRPr="00B275E2" w:rsidRDefault="00D765CE" w:rsidP="000C10FE">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275E2">
              <w:rPr>
                <w:rFonts w:cs="Calibri"/>
                <w:szCs w:val="18"/>
              </w:rPr>
              <w:t>Room per night</w:t>
            </w:r>
          </w:p>
        </w:tc>
        <w:tc>
          <w:tcPr>
            <w:tcW w:w="2403" w:type="dxa"/>
            <w:tcBorders>
              <w:right w:val="single" w:sz="4" w:space="0" w:color="FFFFFF" w:themeColor="background1"/>
            </w:tcBorders>
            <w:shd w:val="clear" w:color="000000" w:fill="D2DDE1" w:themeFill="background2"/>
            <w:noWrap/>
          </w:tcPr>
          <w:p w14:paraId="775BBC9D" w14:textId="60A5F615" w:rsidR="00D765CE" w:rsidRPr="00B275E2" w:rsidRDefault="005B337C" w:rsidP="000C10F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275E2">
              <w:t>117.3</w:t>
            </w:r>
          </w:p>
        </w:tc>
      </w:tr>
      <w:tr w:rsidR="00AE4EC4" w:rsidRPr="00B275E2" w14:paraId="0F4F7E4C" w14:textId="77777777" w:rsidTr="00B65C73">
        <w:trPr>
          <w:gridAfter w:val="2"/>
          <w:wAfter w:w="36" w:type="dxa"/>
          <w:trHeight w:val="300"/>
        </w:trPr>
        <w:tc>
          <w:tcPr>
            <w:cnfStyle w:val="001000000000" w:firstRow="0" w:lastRow="0" w:firstColumn="1" w:lastColumn="0" w:oddVBand="0" w:evenVBand="0" w:oddHBand="0" w:evenHBand="0" w:firstRowFirstColumn="0" w:firstRowLastColumn="0" w:lastRowFirstColumn="0" w:lastRowLastColumn="0"/>
            <w:tcW w:w="3500" w:type="dxa"/>
            <w:tcBorders>
              <w:left w:val="single" w:sz="4" w:space="0" w:color="FFFFFF" w:themeColor="background1"/>
            </w:tcBorders>
            <w:shd w:val="clear" w:color="000000" w:fill="FFFFFF"/>
            <w:noWrap/>
            <w:vAlign w:val="center"/>
          </w:tcPr>
          <w:p w14:paraId="1882598C" w14:textId="3EB6EA5D" w:rsidR="00D765CE" w:rsidRPr="00B275E2" w:rsidRDefault="00D765CE" w:rsidP="000C10FE">
            <w:pPr>
              <w:pStyle w:val="TableText"/>
              <w:spacing w:before="40" w:after="40"/>
              <w:rPr>
                <w:rFonts w:eastAsia="Times New Roman"/>
                <w:b w:val="0"/>
                <w:szCs w:val="18"/>
              </w:rPr>
            </w:pPr>
            <w:r w:rsidRPr="00B275E2">
              <w:rPr>
                <w:rFonts w:cs="Calibri"/>
                <w:b w:val="0"/>
                <w:szCs w:val="18"/>
              </w:rPr>
              <w:t>Panama</w:t>
            </w:r>
          </w:p>
        </w:tc>
        <w:tc>
          <w:tcPr>
            <w:tcW w:w="2576" w:type="dxa"/>
            <w:gridSpan w:val="2"/>
            <w:shd w:val="clear" w:color="000000" w:fill="FFFFFF"/>
            <w:noWrap/>
            <w:vAlign w:val="bottom"/>
          </w:tcPr>
          <w:p w14:paraId="5BB211CB" w14:textId="72CFF824" w:rsidR="00D765CE" w:rsidRPr="00B275E2" w:rsidRDefault="00D765CE" w:rsidP="000C10FE">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275E2">
              <w:rPr>
                <w:rFonts w:cs="Calibri"/>
                <w:szCs w:val="18"/>
              </w:rPr>
              <w:t>Room per night</w:t>
            </w:r>
          </w:p>
        </w:tc>
        <w:tc>
          <w:tcPr>
            <w:tcW w:w="2403" w:type="dxa"/>
            <w:tcBorders>
              <w:right w:val="single" w:sz="4" w:space="0" w:color="FFFFFF" w:themeColor="background1"/>
            </w:tcBorders>
            <w:shd w:val="clear" w:color="000000" w:fill="D2DDE1" w:themeFill="background2"/>
            <w:noWrap/>
          </w:tcPr>
          <w:p w14:paraId="596192F4" w14:textId="59DE7DB0" w:rsidR="00D765CE" w:rsidRPr="00B275E2" w:rsidRDefault="005B337C" w:rsidP="000C10F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275E2">
              <w:t>23.7</w:t>
            </w:r>
          </w:p>
        </w:tc>
      </w:tr>
      <w:tr w:rsidR="00027555" w:rsidRPr="00B275E2" w14:paraId="411993BC" w14:textId="77777777" w:rsidTr="00B65C73">
        <w:trPr>
          <w:gridAfter w:val="2"/>
          <w:cnfStyle w:val="000000100000" w:firstRow="0" w:lastRow="0" w:firstColumn="0" w:lastColumn="0" w:oddVBand="0" w:evenVBand="0" w:oddHBand="1" w:evenHBand="0" w:firstRowFirstColumn="0" w:firstRowLastColumn="0" w:lastRowFirstColumn="0" w:lastRowLastColumn="0"/>
          <w:wAfter w:w="36" w:type="dxa"/>
          <w:trHeight w:val="300"/>
        </w:trPr>
        <w:tc>
          <w:tcPr>
            <w:cnfStyle w:val="001000000000" w:firstRow="0" w:lastRow="0" w:firstColumn="1" w:lastColumn="0" w:oddVBand="0" w:evenVBand="0" w:oddHBand="0" w:evenHBand="0" w:firstRowFirstColumn="0" w:firstRowLastColumn="0" w:lastRowFirstColumn="0" w:lastRowLastColumn="0"/>
            <w:tcW w:w="3500" w:type="dxa"/>
            <w:tcBorders>
              <w:left w:val="single" w:sz="4" w:space="0" w:color="FFFFFF" w:themeColor="background1"/>
            </w:tcBorders>
            <w:shd w:val="clear" w:color="000000" w:fill="FFFFFF"/>
            <w:noWrap/>
            <w:vAlign w:val="center"/>
          </w:tcPr>
          <w:p w14:paraId="05C8E1FB" w14:textId="16D8236D" w:rsidR="00027555" w:rsidRPr="00B275E2" w:rsidRDefault="00027555" w:rsidP="000C10FE">
            <w:pPr>
              <w:pStyle w:val="TableText"/>
              <w:spacing w:before="40" w:after="40"/>
              <w:rPr>
                <w:rFonts w:cs="Calibri"/>
                <w:b w:val="0"/>
                <w:szCs w:val="18"/>
              </w:rPr>
            </w:pPr>
            <w:r w:rsidRPr="00B275E2">
              <w:rPr>
                <w:rFonts w:cs="Calibri"/>
                <w:b w:val="0"/>
                <w:szCs w:val="18"/>
              </w:rPr>
              <w:t>Peru</w:t>
            </w:r>
          </w:p>
        </w:tc>
        <w:tc>
          <w:tcPr>
            <w:tcW w:w="2576" w:type="dxa"/>
            <w:gridSpan w:val="2"/>
            <w:shd w:val="clear" w:color="000000" w:fill="FFFFFF"/>
            <w:noWrap/>
            <w:vAlign w:val="bottom"/>
          </w:tcPr>
          <w:p w14:paraId="069206B2" w14:textId="1EFF6253" w:rsidR="00027555" w:rsidRPr="00B275E2" w:rsidRDefault="00027555" w:rsidP="000C10FE">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Room per night</w:t>
            </w:r>
          </w:p>
        </w:tc>
        <w:tc>
          <w:tcPr>
            <w:tcW w:w="2403" w:type="dxa"/>
            <w:tcBorders>
              <w:right w:val="single" w:sz="4" w:space="0" w:color="FFFFFF" w:themeColor="background1"/>
            </w:tcBorders>
            <w:shd w:val="clear" w:color="000000" w:fill="D2DDE1" w:themeFill="background2"/>
            <w:noWrap/>
          </w:tcPr>
          <w:p w14:paraId="2B178A18" w14:textId="47889EA8" w:rsidR="00027555" w:rsidRPr="00B275E2" w:rsidRDefault="005B337C" w:rsidP="000C10F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t>29</w:t>
            </w:r>
            <w:r w:rsidR="00027555" w:rsidRPr="00B275E2">
              <w:t>.9</w:t>
            </w:r>
          </w:p>
        </w:tc>
      </w:tr>
      <w:tr w:rsidR="00D765CE" w:rsidRPr="00B275E2" w14:paraId="513E1974" w14:textId="77777777" w:rsidTr="00B65C73">
        <w:trPr>
          <w:gridAfter w:val="2"/>
          <w:wAfter w:w="36" w:type="dxa"/>
          <w:trHeight w:val="300"/>
        </w:trPr>
        <w:tc>
          <w:tcPr>
            <w:cnfStyle w:val="001000000000" w:firstRow="0" w:lastRow="0" w:firstColumn="1" w:lastColumn="0" w:oddVBand="0" w:evenVBand="0" w:oddHBand="0" w:evenHBand="0" w:firstRowFirstColumn="0" w:firstRowLastColumn="0" w:lastRowFirstColumn="0" w:lastRowLastColumn="0"/>
            <w:tcW w:w="3500" w:type="dxa"/>
            <w:tcBorders>
              <w:left w:val="single" w:sz="4" w:space="0" w:color="FFFFFF" w:themeColor="background1"/>
            </w:tcBorders>
            <w:shd w:val="clear" w:color="000000" w:fill="FFFFFF"/>
            <w:noWrap/>
            <w:vAlign w:val="center"/>
          </w:tcPr>
          <w:p w14:paraId="77ACF369" w14:textId="63BB7E2D" w:rsidR="00D765CE" w:rsidRPr="00B275E2" w:rsidRDefault="00D765CE" w:rsidP="000C10FE">
            <w:pPr>
              <w:pStyle w:val="TableText"/>
              <w:spacing w:before="40" w:after="40"/>
              <w:rPr>
                <w:rFonts w:eastAsia="Times New Roman"/>
                <w:b w:val="0"/>
                <w:szCs w:val="18"/>
              </w:rPr>
            </w:pPr>
            <w:r w:rsidRPr="00B275E2">
              <w:rPr>
                <w:rFonts w:cs="Calibri"/>
                <w:b w:val="0"/>
                <w:szCs w:val="18"/>
              </w:rPr>
              <w:t>Philippines</w:t>
            </w:r>
          </w:p>
        </w:tc>
        <w:tc>
          <w:tcPr>
            <w:tcW w:w="2576" w:type="dxa"/>
            <w:gridSpan w:val="2"/>
            <w:shd w:val="clear" w:color="000000" w:fill="FFFFFF"/>
            <w:noWrap/>
            <w:vAlign w:val="bottom"/>
          </w:tcPr>
          <w:p w14:paraId="41030020" w14:textId="2AE47498" w:rsidR="00D765CE" w:rsidRPr="00B275E2" w:rsidRDefault="00D765CE" w:rsidP="000C10FE">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275E2">
              <w:rPr>
                <w:rFonts w:cs="Calibri"/>
                <w:szCs w:val="18"/>
              </w:rPr>
              <w:t>Room per night</w:t>
            </w:r>
          </w:p>
        </w:tc>
        <w:tc>
          <w:tcPr>
            <w:tcW w:w="2403" w:type="dxa"/>
            <w:tcBorders>
              <w:right w:val="single" w:sz="4" w:space="0" w:color="FFFFFF" w:themeColor="background1"/>
            </w:tcBorders>
            <w:shd w:val="clear" w:color="000000" w:fill="D2DDE1" w:themeFill="background2"/>
            <w:noWrap/>
          </w:tcPr>
          <w:p w14:paraId="2B28A491" w14:textId="5F3B6513" w:rsidR="00D765CE" w:rsidRPr="00B275E2" w:rsidRDefault="005B337C" w:rsidP="000C10F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275E2">
              <w:t>62.9</w:t>
            </w:r>
          </w:p>
        </w:tc>
      </w:tr>
      <w:tr w:rsidR="00531C90" w:rsidRPr="00B275E2" w14:paraId="7497654B" w14:textId="77777777" w:rsidTr="00B65C73">
        <w:trPr>
          <w:gridAfter w:val="1"/>
          <w:cnfStyle w:val="000000100000" w:firstRow="0" w:lastRow="0" w:firstColumn="0" w:lastColumn="0" w:oddVBand="0" w:evenVBand="0" w:oddHBand="1" w:evenHBand="0" w:firstRowFirstColumn="0" w:firstRowLastColumn="0" w:lastRowFirstColumn="0" w:lastRowLastColumn="0"/>
          <w:wAfter w:w="23" w:type="dxa"/>
          <w:trHeight w:val="300"/>
        </w:trPr>
        <w:tc>
          <w:tcPr>
            <w:cnfStyle w:val="001000000000" w:firstRow="0" w:lastRow="0" w:firstColumn="1" w:lastColumn="0" w:oddVBand="0" w:evenVBand="0" w:oddHBand="0" w:evenHBand="0" w:firstRowFirstColumn="0" w:firstRowLastColumn="0" w:lastRowFirstColumn="0" w:lastRowLastColumn="0"/>
            <w:tcW w:w="3500" w:type="dxa"/>
            <w:tcBorders>
              <w:left w:val="single" w:sz="4" w:space="0" w:color="FFFFFF" w:themeColor="background1"/>
            </w:tcBorders>
            <w:shd w:val="clear" w:color="000000" w:fill="FFFFFF"/>
            <w:noWrap/>
            <w:vAlign w:val="center"/>
          </w:tcPr>
          <w:p w14:paraId="56635B9E" w14:textId="6C7E66DA" w:rsidR="00D765CE" w:rsidRPr="00B275E2" w:rsidRDefault="00D765CE" w:rsidP="000C10FE">
            <w:pPr>
              <w:pStyle w:val="TableText"/>
              <w:spacing w:before="40" w:after="40"/>
              <w:rPr>
                <w:rFonts w:eastAsia="Times New Roman"/>
                <w:b w:val="0"/>
                <w:szCs w:val="18"/>
              </w:rPr>
            </w:pPr>
            <w:r w:rsidRPr="00B275E2">
              <w:rPr>
                <w:rFonts w:cs="Calibri"/>
                <w:b w:val="0"/>
                <w:szCs w:val="18"/>
              </w:rPr>
              <w:t>Poland</w:t>
            </w:r>
          </w:p>
        </w:tc>
        <w:tc>
          <w:tcPr>
            <w:tcW w:w="2576" w:type="dxa"/>
            <w:gridSpan w:val="2"/>
            <w:shd w:val="clear" w:color="000000" w:fill="FFFFFF"/>
            <w:noWrap/>
            <w:vAlign w:val="bottom"/>
          </w:tcPr>
          <w:p w14:paraId="3CBEAC7E" w14:textId="51EA3F2A" w:rsidR="00D765CE" w:rsidRPr="00B275E2" w:rsidRDefault="00D765CE" w:rsidP="000C10FE">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275E2">
              <w:rPr>
                <w:rFonts w:cs="Calibri"/>
                <w:szCs w:val="18"/>
              </w:rPr>
              <w:t>Room per night</w:t>
            </w:r>
          </w:p>
        </w:tc>
        <w:tc>
          <w:tcPr>
            <w:tcW w:w="2416" w:type="dxa"/>
            <w:gridSpan w:val="2"/>
            <w:tcBorders>
              <w:right w:val="single" w:sz="4" w:space="0" w:color="FFFFFF" w:themeColor="background1"/>
            </w:tcBorders>
            <w:shd w:val="clear" w:color="000000" w:fill="D2DDE1" w:themeFill="background2"/>
            <w:noWrap/>
          </w:tcPr>
          <w:p w14:paraId="79EC2D6B" w14:textId="04A18623" w:rsidR="00D765CE" w:rsidRPr="00B275E2" w:rsidRDefault="005B337C" w:rsidP="000C10F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275E2">
              <w:t>35.8</w:t>
            </w:r>
          </w:p>
        </w:tc>
      </w:tr>
      <w:tr w:rsidR="00D765CE" w:rsidRPr="00B275E2" w14:paraId="578E7BD6" w14:textId="77777777" w:rsidTr="00B65C73">
        <w:trPr>
          <w:gridAfter w:val="2"/>
          <w:wAfter w:w="36" w:type="dxa"/>
          <w:trHeight w:val="300"/>
        </w:trPr>
        <w:tc>
          <w:tcPr>
            <w:cnfStyle w:val="001000000000" w:firstRow="0" w:lastRow="0" w:firstColumn="1" w:lastColumn="0" w:oddVBand="0" w:evenVBand="0" w:oddHBand="0" w:evenHBand="0" w:firstRowFirstColumn="0" w:firstRowLastColumn="0" w:lastRowFirstColumn="0" w:lastRowLastColumn="0"/>
            <w:tcW w:w="3500" w:type="dxa"/>
            <w:tcBorders>
              <w:left w:val="single" w:sz="4" w:space="0" w:color="FFFFFF" w:themeColor="background1"/>
            </w:tcBorders>
            <w:shd w:val="clear" w:color="000000" w:fill="FFFFFF"/>
            <w:noWrap/>
            <w:vAlign w:val="center"/>
          </w:tcPr>
          <w:p w14:paraId="6F15DF03" w14:textId="0C028C79" w:rsidR="00D765CE" w:rsidRPr="00B275E2" w:rsidRDefault="00D765CE" w:rsidP="000C10FE">
            <w:pPr>
              <w:pStyle w:val="TableText"/>
              <w:spacing w:before="40" w:after="40"/>
              <w:rPr>
                <w:rFonts w:eastAsia="Times New Roman"/>
                <w:b w:val="0"/>
                <w:szCs w:val="18"/>
              </w:rPr>
            </w:pPr>
            <w:r w:rsidRPr="00B275E2">
              <w:rPr>
                <w:rFonts w:cs="Calibri"/>
                <w:b w:val="0"/>
                <w:szCs w:val="18"/>
              </w:rPr>
              <w:t>Portugal</w:t>
            </w:r>
          </w:p>
        </w:tc>
        <w:tc>
          <w:tcPr>
            <w:tcW w:w="2576" w:type="dxa"/>
            <w:gridSpan w:val="2"/>
            <w:shd w:val="clear" w:color="000000" w:fill="FFFFFF"/>
            <w:noWrap/>
            <w:vAlign w:val="bottom"/>
          </w:tcPr>
          <w:p w14:paraId="35195E2B" w14:textId="58D3A91D" w:rsidR="00D765CE" w:rsidRPr="00B275E2" w:rsidRDefault="00D765CE" w:rsidP="000C10FE">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275E2">
              <w:rPr>
                <w:rFonts w:cs="Calibri"/>
                <w:szCs w:val="18"/>
              </w:rPr>
              <w:t>Room per night</w:t>
            </w:r>
          </w:p>
        </w:tc>
        <w:tc>
          <w:tcPr>
            <w:tcW w:w="2403" w:type="dxa"/>
            <w:tcBorders>
              <w:right w:val="single" w:sz="4" w:space="0" w:color="FFFFFF" w:themeColor="background1"/>
            </w:tcBorders>
            <w:shd w:val="clear" w:color="000000" w:fill="D2DDE1" w:themeFill="background2"/>
            <w:noWrap/>
          </w:tcPr>
          <w:p w14:paraId="293E56A3" w14:textId="43A3A656" w:rsidR="00D765CE" w:rsidRPr="00B275E2" w:rsidRDefault="005B337C" w:rsidP="000C10F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275E2">
              <w:t>27.2</w:t>
            </w:r>
          </w:p>
        </w:tc>
      </w:tr>
      <w:tr w:rsidR="00531C90" w:rsidRPr="00B275E2" w14:paraId="3CB016BE" w14:textId="77777777" w:rsidTr="00B65C73">
        <w:trPr>
          <w:gridAfter w:val="1"/>
          <w:cnfStyle w:val="000000100000" w:firstRow="0" w:lastRow="0" w:firstColumn="0" w:lastColumn="0" w:oddVBand="0" w:evenVBand="0" w:oddHBand="1" w:evenHBand="0" w:firstRowFirstColumn="0" w:firstRowLastColumn="0" w:lastRowFirstColumn="0" w:lastRowLastColumn="0"/>
          <w:wAfter w:w="23" w:type="dxa"/>
          <w:trHeight w:val="300"/>
        </w:trPr>
        <w:tc>
          <w:tcPr>
            <w:cnfStyle w:val="001000000000" w:firstRow="0" w:lastRow="0" w:firstColumn="1" w:lastColumn="0" w:oddVBand="0" w:evenVBand="0" w:oddHBand="0" w:evenHBand="0" w:firstRowFirstColumn="0" w:firstRowLastColumn="0" w:lastRowFirstColumn="0" w:lastRowLastColumn="0"/>
            <w:tcW w:w="3500" w:type="dxa"/>
            <w:tcBorders>
              <w:left w:val="single" w:sz="4" w:space="0" w:color="FFFFFF" w:themeColor="background1"/>
            </w:tcBorders>
            <w:shd w:val="clear" w:color="000000" w:fill="FFFFFF"/>
            <w:noWrap/>
            <w:vAlign w:val="center"/>
          </w:tcPr>
          <w:p w14:paraId="1031ABAB" w14:textId="1A52E62A" w:rsidR="00D765CE" w:rsidRPr="00B275E2" w:rsidRDefault="00D765CE" w:rsidP="000C10FE">
            <w:pPr>
              <w:pStyle w:val="TableText"/>
              <w:spacing w:before="40" w:after="40"/>
              <w:rPr>
                <w:rFonts w:eastAsia="Times New Roman"/>
                <w:b w:val="0"/>
                <w:szCs w:val="18"/>
              </w:rPr>
            </w:pPr>
            <w:r w:rsidRPr="00B275E2">
              <w:rPr>
                <w:rFonts w:cs="Calibri"/>
                <w:b w:val="0"/>
                <w:szCs w:val="18"/>
              </w:rPr>
              <w:t>Qatar</w:t>
            </w:r>
          </w:p>
        </w:tc>
        <w:tc>
          <w:tcPr>
            <w:tcW w:w="2576" w:type="dxa"/>
            <w:gridSpan w:val="2"/>
            <w:shd w:val="clear" w:color="000000" w:fill="FFFFFF"/>
            <w:noWrap/>
            <w:vAlign w:val="bottom"/>
          </w:tcPr>
          <w:p w14:paraId="5C937A50" w14:textId="7954A442" w:rsidR="00D765CE" w:rsidRPr="00B275E2" w:rsidRDefault="00D765CE" w:rsidP="000C10FE">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275E2">
              <w:rPr>
                <w:rFonts w:cs="Calibri"/>
                <w:szCs w:val="18"/>
              </w:rPr>
              <w:t>Room per night</w:t>
            </w:r>
          </w:p>
        </w:tc>
        <w:tc>
          <w:tcPr>
            <w:tcW w:w="2416" w:type="dxa"/>
            <w:gridSpan w:val="2"/>
            <w:tcBorders>
              <w:right w:val="single" w:sz="4" w:space="0" w:color="FFFFFF" w:themeColor="background1"/>
            </w:tcBorders>
            <w:shd w:val="clear" w:color="000000" w:fill="D2DDE1" w:themeFill="background2"/>
            <w:noWrap/>
          </w:tcPr>
          <w:p w14:paraId="20C83BEF" w14:textId="605A5542" w:rsidR="00D765CE" w:rsidRPr="00B275E2" w:rsidRDefault="005B337C" w:rsidP="000C10F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275E2">
              <w:t>104.9</w:t>
            </w:r>
          </w:p>
        </w:tc>
      </w:tr>
      <w:tr w:rsidR="00D765CE" w:rsidRPr="00B275E2" w14:paraId="7E2BD918" w14:textId="77777777" w:rsidTr="00B65C73">
        <w:trPr>
          <w:gridAfter w:val="2"/>
          <w:wAfter w:w="36" w:type="dxa"/>
          <w:trHeight w:val="300"/>
        </w:trPr>
        <w:tc>
          <w:tcPr>
            <w:cnfStyle w:val="001000000000" w:firstRow="0" w:lastRow="0" w:firstColumn="1" w:lastColumn="0" w:oddVBand="0" w:evenVBand="0" w:oddHBand="0" w:evenHBand="0" w:firstRowFirstColumn="0" w:firstRowLastColumn="0" w:lastRowFirstColumn="0" w:lastRowLastColumn="0"/>
            <w:tcW w:w="3500" w:type="dxa"/>
            <w:tcBorders>
              <w:left w:val="single" w:sz="4" w:space="0" w:color="FFFFFF" w:themeColor="background1"/>
            </w:tcBorders>
            <w:shd w:val="clear" w:color="000000" w:fill="FFFFFF"/>
            <w:noWrap/>
            <w:vAlign w:val="center"/>
          </w:tcPr>
          <w:p w14:paraId="4A654579" w14:textId="2DF222B2" w:rsidR="00D765CE" w:rsidRPr="00B275E2" w:rsidRDefault="00D765CE" w:rsidP="000C10FE">
            <w:pPr>
              <w:pStyle w:val="TableText"/>
              <w:spacing w:before="40" w:after="40"/>
              <w:rPr>
                <w:rFonts w:eastAsia="Times New Roman"/>
                <w:b w:val="0"/>
                <w:szCs w:val="18"/>
              </w:rPr>
            </w:pPr>
            <w:r w:rsidRPr="00B275E2">
              <w:rPr>
                <w:rFonts w:cs="Calibri"/>
                <w:b w:val="0"/>
                <w:szCs w:val="18"/>
              </w:rPr>
              <w:t>Romania</w:t>
            </w:r>
          </w:p>
        </w:tc>
        <w:tc>
          <w:tcPr>
            <w:tcW w:w="2576" w:type="dxa"/>
            <w:gridSpan w:val="2"/>
            <w:shd w:val="clear" w:color="000000" w:fill="FFFFFF"/>
            <w:noWrap/>
            <w:vAlign w:val="bottom"/>
          </w:tcPr>
          <w:p w14:paraId="2A27139E" w14:textId="1D553AF1" w:rsidR="00D765CE" w:rsidRPr="00B275E2" w:rsidRDefault="00D765CE" w:rsidP="000C10FE">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275E2">
              <w:rPr>
                <w:rFonts w:cs="Calibri"/>
                <w:szCs w:val="18"/>
              </w:rPr>
              <w:t>Room per night</w:t>
            </w:r>
          </w:p>
        </w:tc>
        <w:tc>
          <w:tcPr>
            <w:tcW w:w="2403" w:type="dxa"/>
            <w:tcBorders>
              <w:right w:val="single" w:sz="4" w:space="0" w:color="FFFFFF" w:themeColor="background1"/>
            </w:tcBorders>
            <w:shd w:val="clear" w:color="000000" w:fill="D2DDE1" w:themeFill="background2"/>
            <w:noWrap/>
          </w:tcPr>
          <w:p w14:paraId="38285403" w14:textId="6E5C59E5" w:rsidR="00D765CE" w:rsidRPr="00B275E2" w:rsidRDefault="005B337C" w:rsidP="000C10F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275E2">
              <w:t>25.5</w:t>
            </w:r>
          </w:p>
        </w:tc>
      </w:tr>
      <w:tr w:rsidR="00531C90" w:rsidRPr="00B275E2" w14:paraId="68AE9FFB" w14:textId="77777777" w:rsidTr="00B65C73">
        <w:trPr>
          <w:gridAfter w:val="1"/>
          <w:cnfStyle w:val="000000100000" w:firstRow="0" w:lastRow="0" w:firstColumn="0" w:lastColumn="0" w:oddVBand="0" w:evenVBand="0" w:oddHBand="1" w:evenHBand="0" w:firstRowFirstColumn="0" w:firstRowLastColumn="0" w:lastRowFirstColumn="0" w:lastRowLastColumn="0"/>
          <w:wAfter w:w="23" w:type="dxa"/>
          <w:trHeight w:val="300"/>
        </w:trPr>
        <w:tc>
          <w:tcPr>
            <w:cnfStyle w:val="001000000000" w:firstRow="0" w:lastRow="0" w:firstColumn="1" w:lastColumn="0" w:oddVBand="0" w:evenVBand="0" w:oddHBand="0" w:evenHBand="0" w:firstRowFirstColumn="0" w:firstRowLastColumn="0" w:lastRowFirstColumn="0" w:lastRowLastColumn="0"/>
            <w:tcW w:w="3500" w:type="dxa"/>
            <w:tcBorders>
              <w:left w:val="single" w:sz="4" w:space="0" w:color="FFFFFF" w:themeColor="background1"/>
            </w:tcBorders>
            <w:shd w:val="clear" w:color="000000" w:fill="FFFFFF"/>
            <w:noWrap/>
            <w:vAlign w:val="center"/>
          </w:tcPr>
          <w:p w14:paraId="73345E09" w14:textId="79381F69" w:rsidR="00D765CE" w:rsidRPr="00B275E2" w:rsidRDefault="00D765CE" w:rsidP="000C10FE">
            <w:pPr>
              <w:pStyle w:val="TableText"/>
              <w:spacing w:before="40" w:after="40"/>
              <w:rPr>
                <w:rFonts w:eastAsia="Times New Roman"/>
                <w:b w:val="0"/>
                <w:szCs w:val="18"/>
              </w:rPr>
            </w:pPr>
            <w:r w:rsidRPr="00B275E2">
              <w:rPr>
                <w:rFonts w:cs="Calibri"/>
                <w:b w:val="0"/>
                <w:szCs w:val="18"/>
              </w:rPr>
              <w:t>Russian Federation</w:t>
            </w:r>
          </w:p>
        </w:tc>
        <w:tc>
          <w:tcPr>
            <w:tcW w:w="2576" w:type="dxa"/>
            <w:gridSpan w:val="2"/>
            <w:shd w:val="clear" w:color="000000" w:fill="FFFFFF"/>
            <w:noWrap/>
            <w:vAlign w:val="bottom"/>
          </w:tcPr>
          <w:p w14:paraId="3B0863E6" w14:textId="791A0AE2" w:rsidR="00D765CE" w:rsidRPr="00B275E2" w:rsidRDefault="00D765CE" w:rsidP="000C10FE">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275E2">
              <w:rPr>
                <w:rFonts w:cs="Calibri"/>
                <w:szCs w:val="18"/>
              </w:rPr>
              <w:t>Room per night</w:t>
            </w:r>
          </w:p>
        </w:tc>
        <w:tc>
          <w:tcPr>
            <w:tcW w:w="2416" w:type="dxa"/>
            <w:gridSpan w:val="2"/>
            <w:tcBorders>
              <w:right w:val="single" w:sz="4" w:space="0" w:color="FFFFFF" w:themeColor="background1"/>
            </w:tcBorders>
            <w:shd w:val="clear" w:color="000000" w:fill="D2DDE1" w:themeFill="background2"/>
            <w:noWrap/>
          </w:tcPr>
          <w:p w14:paraId="4BED464C" w14:textId="67F1AB7D" w:rsidR="00D765CE" w:rsidRPr="00B275E2" w:rsidRDefault="005B337C" w:rsidP="000C10F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275E2">
              <w:t>30.9</w:t>
            </w:r>
          </w:p>
        </w:tc>
      </w:tr>
      <w:tr w:rsidR="00D765CE" w:rsidRPr="00B275E2" w14:paraId="57A8D521" w14:textId="77777777" w:rsidTr="00B65C73">
        <w:trPr>
          <w:gridAfter w:val="2"/>
          <w:wAfter w:w="36" w:type="dxa"/>
          <w:trHeight w:val="300"/>
        </w:trPr>
        <w:tc>
          <w:tcPr>
            <w:cnfStyle w:val="001000000000" w:firstRow="0" w:lastRow="0" w:firstColumn="1" w:lastColumn="0" w:oddVBand="0" w:evenVBand="0" w:oddHBand="0" w:evenHBand="0" w:firstRowFirstColumn="0" w:firstRowLastColumn="0" w:lastRowFirstColumn="0" w:lastRowLastColumn="0"/>
            <w:tcW w:w="3500" w:type="dxa"/>
            <w:tcBorders>
              <w:left w:val="single" w:sz="4" w:space="0" w:color="FFFFFF" w:themeColor="background1"/>
            </w:tcBorders>
            <w:shd w:val="clear" w:color="000000" w:fill="FFFFFF"/>
            <w:noWrap/>
            <w:vAlign w:val="center"/>
          </w:tcPr>
          <w:p w14:paraId="0E3C603D" w14:textId="338851DD" w:rsidR="00D765CE" w:rsidRPr="00B275E2" w:rsidRDefault="00D765CE" w:rsidP="000C10FE">
            <w:pPr>
              <w:pStyle w:val="TableText"/>
              <w:spacing w:before="40" w:after="40"/>
              <w:rPr>
                <w:rFonts w:eastAsia="Times New Roman"/>
                <w:b w:val="0"/>
                <w:szCs w:val="18"/>
              </w:rPr>
            </w:pPr>
            <w:r w:rsidRPr="00B275E2">
              <w:rPr>
                <w:rFonts w:cs="Calibri"/>
                <w:b w:val="0"/>
                <w:szCs w:val="18"/>
              </w:rPr>
              <w:t>Saudi Arabia</w:t>
            </w:r>
          </w:p>
        </w:tc>
        <w:tc>
          <w:tcPr>
            <w:tcW w:w="2576" w:type="dxa"/>
            <w:gridSpan w:val="2"/>
            <w:shd w:val="clear" w:color="000000" w:fill="FFFFFF"/>
            <w:noWrap/>
            <w:vAlign w:val="bottom"/>
          </w:tcPr>
          <w:p w14:paraId="3D44C7E5" w14:textId="0FB94967" w:rsidR="00D765CE" w:rsidRPr="00B275E2" w:rsidRDefault="00D765CE" w:rsidP="000C10FE">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275E2">
              <w:rPr>
                <w:rFonts w:cs="Calibri"/>
                <w:szCs w:val="18"/>
              </w:rPr>
              <w:t>Room per night</w:t>
            </w:r>
          </w:p>
        </w:tc>
        <w:tc>
          <w:tcPr>
            <w:tcW w:w="2403" w:type="dxa"/>
            <w:tcBorders>
              <w:right w:val="single" w:sz="4" w:space="0" w:color="FFFFFF" w:themeColor="background1"/>
            </w:tcBorders>
            <w:shd w:val="clear" w:color="000000" w:fill="D2DDE1" w:themeFill="background2"/>
            <w:noWrap/>
          </w:tcPr>
          <w:p w14:paraId="12B57DD3" w14:textId="7B0B1251" w:rsidR="00D765CE" w:rsidRPr="00B275E2" w:rsidRDefault="005B337C" w:rsidP="000C10F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275E2">
              <w:t>112</w:t>
            </w:r>
            <w:r w:rsidR="00027555" w:rsidRPr="00B275E2">
              <w:t>.5</w:t>
            </w:r>
          </w:p>
        </w:tc>
      </w:tr>
      <w:tr w:rsidR="00531C90" w:rsidRPr="00B275E2" w14:paraId="1D035FB0" w14:textId="77777777" w:rsidTr="00B65C73">
        <w:trPr>
          <w:gridAfter w:val="1"/>
          <w:cnfStyle w:val="000000100000" w:firstRow="0" w:lastRow="0" w:firstColumn="0" w:lastColumn="0" w:oddVBand="0" w:evenVBand="0" w:oddHBand="1" w:evenHBand="0" w:firstRowFirstColumn="0" w:firstRowLastColumn="0" w:lastRowFirstColumn="0" w:lastRowLastColumn="0"/>
          <w:wAfter w:w="23" w:type="dxa"/>
          <w:trHeight w:val="300"/>
        </w:trPr>
        <w:tc>
          <w:tcPr>
            <w:cnfStyle w:val="001000000000" w:firstRow="0" w:lastRow="0" w:firstColumn="1" w:lastColumn="0" w:oddVBand="0" w:evenVBand="0" w:oddHBand="0" w:evenHBand="0" w:firstRowFirstColumn="0" w:firstRowLastColumn="0" w:lastRowFirstColumn="0" w:lastRowLastColumn="0"/>
            <w:tcW w:w="3500" w:type="dxa"/>
            <w:tcBorders>
              <w:left w:val="single" w:sz="4" w:space="0" w:color="FFFFFF" w:themeColor="background1"/>
            </w:tcBorders>
            <w:shd w:val="clear" w:color="000000" w:fill="FFFFFF"/>
            <w:noWrap/>
            <w:vAlign w:val="center"/>
          </w:tcPr>
          <w:p w14:paraId="030525CA" w14:textId="3F288774" w:rsidR="00D765CE" w:rsidRPr="00B275E2" w:rsidRDefault="00D765CE" w:rsidP="000C10FE">
            <w:pPr>
              <w:pStyle w:val="TableText"/>
              <w:spacing w:before="40" w:after="40"/>
              <w:rPr>
                <w:rFonts w:eastAsia="Times New Roman"/>
                <w:b w:val="0"/>
                <w:szCs w:val="18"/>
              </w:rPr>
            </w:pPr>
            <w:r w:rsidRPr="00B275E2">
              <w:rPr>
                <w:rFonts w:cs="Calibri"/>
                <w:b w:val="0"/>
                <w:szCs w:val="18"/>
              </w:rPr>
              <w:t>Singapore</w:t>
            </w:r>
          </w:p>
        </w:tc>
        <w:tc>
          <w:tcPr>
            <w:tcW w:w="2576" w:type="dxa"/>
            <w:gridSpan w:val="2"/>
            <w:shd w:val="clear" w:color="000000" w:fill="FFFFFF"/>
            <w:noWrap/>
            <w:vAlign w:val="bottom"/>
          </w:tcPr>
          <w:p w14:paraId="77875ED7" w14:textId="10E14A34" w:rsidR="00D765CE" w:rsidRPr="00B275E2" w:rsidRDefault="00D765CE" w:rsidP="000C10FE">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275E2">
              <w:rPr>
                <w:rFonts w:cs="Calibri"/>
                <w:szCs w:val="18"/>
              </w:rPr>
              <w:t>Room per night</w:t>
            </w:r>
          </w:p>
        </w:tc>
        <w:tc>
          <w:tcPr>
            <w:tcW w:w="2416" w:type="dxa"/>
            <w:gridSpan w:val="2"/>
            <w:tcBorders>
              <w:right w:val="single" w:sz="4" w:space="0" w:color="FFFFFF" w:themeColor="background1"/>
            </w:tcBorders>
            <w:shd w:val="clear" w:color="000000" w:fill="D2DDE1" w:themeFill="background2"/>
            <w:noWrap/>
          </w:tcPr>
          <w:p w14:paraId="1F4E619C" w14:textId="36FDE93E" w:rsidR="00D765CE" w:rsidRPr="00B275E2" w:rsidRDefault="005B337C" w:rsidP="000C10F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275E2">
              <w:t>28.5</w:t>
            </w:r>
          </w:p>
        </w:tc>
      </w:tr>
      <w:tr w:rsidR="00D765CE" w:rsidRPr="00B275E2" w14:paraId="73530E4E" w14:textId="77777777" w:rsidTr="00B65C73">
        <w:trPr>
          <w:gridAfter w:val="2"/>
          <w:wAfter w:w="36" w:type="dxa"/>
          <w:trHeight w:val="300"/>
        </w:trPr>
        <w:tc>
          <w:tcPr>
            <w:cnfStyle w:val="001000000000" w:firstRow="0" w:lastRow="0" w:firstColumn="1" w:lastColumn="0" w:oddVBand="0" w:evenVBand="0" w:oddHBand="0" w:evenHBand="0" w:firstRowFirstColumn="0" w:firstRowLastColumn="0" w:lastRowFirstColumn="0" w:lastRowLastColumn="0"/>
            <w:tcW w:w="3500" w:type="dxa"/>
            <w:tcBorders>
              <w:left w:val="single" w:sz="4" w:space="0" w:color="FFFFFF" w:themeColor="background1"/>
            </w:tcBorders>
            <w:shd w:val="clear" w:color="000000" w:fill="FFFFFF"/>
            <w:noWrap/>
            <w:vAlign w:val="center"/>
          </w:tcPr>
          <w:p w14:paraId="257A9764" w14:textId="4A35603F" w:rsidR="00D765CE" w:rsidRPr="00B275E2" w:rsidRDefault="00D765CE" w:rsidP="000C10FE">
            <w:pPr>
              <w:pStyle w:val="TableText"/>
              <w:spacing w:before="40" w:after="40"/>
              <w:rPr>
                <w:rFonts w:eastAsia="Times New Roman"/>
                <w:b w:val="0"/>
                <w:szCs w:val="18"/>
              </w:rPr>
            </w:pPr>
            <w:r w:rsidRPr="00B275E2">
              <w:rPr>
                <w:rFonts w:cs="Calibri"/>
                <w:b w:val="0"/>
                <w:szCs w:val="18"/>
              </w:rPr>
              <w:t>South Africa</w:t>
            </w:r>
          </w:p>
        </w:tc>
        <w:tc>
          <w:tcPr>
            <w:tcW w:w="2576" w:type="dxa"/>
            <w:gridSpan w:val="2"/>
            <w:shd w:val="clear" w:color="000000" w:fill="FFFFFF"/>
            <w:noWrap/>
            <w:vAlign w:val="bottom"/>
          </w:tcPr>
          <w:p w14:paraId="6B0E907F" w14:textId="7CBA2F38" w:rsidR="00D765CE" w:rsidRPr="00B275E2" w:rsidRDefault="00D765CE" w:rsidP="000C10FE">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275E2">
              <w:rPr>
                <w:rFonts w:cs="Calibri"/>
                <w:szCs w:val="18"/>
              </w:rPr>
              <w:t>Room per night</w:t>
            </w:r>
          </w:p>
        </w:tc>
        <w:tc>
          <w:tcPr>
            <w:tcW w:w="2403" w:type="dxa"/>
            <w:tcBorders>
              <w:right w:val="single" w:sz="4" w:space="0" w:color="FFFFFF" w:themeColor="background1"/>
            </w:tcBorders>
            <w:shd w:val="clear" w:color="000000" w:fill="D2DDE1" w:themeFill="background2"/>
            <w:noWrap/>
          </w:tcPr>
          <w:p w14:paraId="28CA48AE" w14:textId="28C4C144" w:rsidR="00D765CE" w:rsidRPr="00B275E2" w:rsidRDefault="00027555" w:rsidP="000C10F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275E2">
              <w:t>56.</w:t>
            </w:r>
            <w:r w:rsidR="005B337C" w:rsidRPr="00B275E2">
              <w:t>6</w:t>
            </w:r>
          </w:p>
        </w:tc>
      </w:tr>
      <w:tr w:rsidR="00531C90" w:rsidRPr="00B275E2" w14:paraId="39E681B6" w14:textId="77777777" w:rsidTr="00B65C73">
        <w:trPr>
          <w:gridAfter w:val="1"/>
          <w:cnfStyle w:val="000000100000" w:firstRow="0" w:lastRow="0" w:firstColumn="0" w:lastColumn="0" w:oddVBand="0" w:evenVBand="0" w:oddHBand="1" w:evenHBand="0" w:firstRowFirstColumn="0" w:firstRowLastColumn="0" w:lastRowFirstColumn="0" w:lastRowLastColumn="0"/>
          <w:wAfter w:w="23" w:type="dxa"/>
          <w:trHeight w:val="300"/>
        </w:trPr>
        <w:tc>
          <w:tcPr>
            <w:cnfStyle w:val="001000000000" w:firstRow="0" w:lastRow="0" w:firstColumn="1" w:lastColumn="0" w:oddVBand="0" w:evenVBand="0" w:oddHBand="0" w:evenHBand="0" w:firstRowFirstColumn="0" w:firstRowLastColumn="0" w:lastRowFirstColumn="0" w:lastRowLastColumn="0"/>
            <w:tcW w:w="3500" w:type="dxa"/>
            <w:tcBorders>
              <w:left w:val="single" w:sz="4" w:space="0" w:color="FFFFFF" w:themeColor="background1"/>
            </w:tcBorders>
            <w:shd w:val="clear" w:color="000000" w:fill="FFFFFF"/>
            <w:noWrap/>
            <w:vAlign w:val="center"/>
          </w:tcPr>
          <w:p w14:paraId="2631393E" w14:textId="10D23C81" w:rsidR="00D765CE" w:rsidRPr="00B275E2" w:rsidRDefault="00D765CE" w:rsidP="000C10FE">
            <w:pPr>
              <w:pStyle w:val="TableText"/>
              <w:spacing w:before="40" w:after="40"/>
              <w:rPr>
                <w:rFonts w:eastAsia="Times New Roman"/>
                <w:b w:val="0"/>
                <w:szCs w:val="18"/>
              </w:rPr>
            </w:pPr>
            <w:r w:rsidRPr="00B275E2">
              <w:rPr>
                <w:rFonts w:cs="Calibri"/>
                <w:b w:val="0"/>
                <w:szCs w:val="18"/>
              </w:rPr>
              <w:t>South Korea</w:t>
            </w:r>
          </w:p>
        </w:tc>
        <w:tc>
          <w:tcPr>
            <w:tcW w:w="2576" w:type="dxa"/>
            <w:gridSpan w:val="2"/>
            <w:shd w:val="clear" w:color="000000" w:fill="FFFFFF"/>
            <w:noWrap/>
            <w:vAlign w:val="bottom"/>
          </w:tcPr>
          <w:p w14:paraId="496DC38F" w14:textId="6C67ED23" w:rsidR="00D765CE" w:rsidRPr="00B275E2" w:rsidRDefault="00D765CE" w:rsidP="000C10FE">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275E2">
              <w:rPr>
                <w:rFonts w:cs="Calibri"/>
                <w:szCs w:val="18"/>
              </w:rPr>
              <w:t>Room per night</w:t>
            </w:r>
          </w:p>
        </w:tc>
        <w:tc>
          <w:tcPr>
            <w:tcW w:w="2416" w:type="dxa"/>
            <w:gridSpan w:val="2"/>
            <w:tcBorders>
              <w:right w:val="single" w:sz="4" w:space="0" w:color="FFFFFF" w:themeColor="background1"/>
            </w:tcBorders>
            <w:shd w:val="clear" w:color="000000" w:fill="D2DDE1" w:themeFill="background2"/>
            <w:noWrap/>
          </w:tcPr>
          <w:p w14:paraId="12F41C18" w14:textId="1F3715C9" w:rsidR="00D765CE" w:rsidRPr="00B275E2" w:rsidRDefault="005B337C" w:rsidP="000C10F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275E2">
              <w:t>56.5</w:t>
            </w:r>
          </w:p>
        </w:tc>
      </w:tr>
      <w:tr w:rsidR="00D765CE" w:rsidRPr="00B275E2" w14:paraId="4035021A" w14:textId="77777777" w:rsidTr="00B65C73">
        <w:trPr>
          <w:gridAfter w:val="2"/>
          <w:wAfter w:w="36" w:type="dxa"/>
          <w:trHeight w:val="300"/>
        </w:trPr>
        <w:tc>
          <w:tcPr>
            <w:cnfStyle w:val="001000000000" w:firstRow="0" w:lastRow="0" w:firstColumn="1" w:lastColumn="0" w:oddVBand="0" w:evenVBand="0" w:oddHBand="0" w:evenHBand="0" w:firstRowFirstColumn="0" w:firstRowLastColumn="0" w:lastRowFirstColumn="0" w:lastRowLastColumn="0"/>
            <w:tcW w:w="3500" w:type="dxa"/>
            <w:tcBorders>
              <w:left w:val="single" w:sz="4" w:space="0" w:color="FFFFFF" w:themeColor="background1"/>
            </w:tcBorders>
            <w:shd w:val="clear" w:color="auto" w:fill="auto"/>
            <w:noWrap/>
          </w:tcPr>
          <w:p w14:paraId="5458B108" w14:textId="50126A11" w:rsidR="00D765CE" w:rsidRPr="00B275E2" w:rsidRDefault="00D765CE" w:rsidP="000C10FE">
            <w:pPr>
              <w:pStyle w:val="TableText"/>
              <w:spacing w:before="40" w:after="40"/>
              <w:rPr>
                <w:rFonts w:eastAsia="Times New Roman"/>
                <w:b w:val="0"/>
                <w:szCs w:val="18"/>
              </w:rPr>
            </w:pPr>
            <w:r w:rsidRPr="00B275E2">
              <w:rPr>
                <w:rFonts w:cs="Calibri"/>
                <w:b w:val="0"/>
                <w:szCs w:val="18"/>
              </w:rPr>
              <w:t>Spain</w:t>
            </w:r>
          </w:p>
        </w:tc>
        <w:tc>
          <w:tcPr>
            <w:tcW w:w="2576" w:type="dxa"/>
            <w:gridSpan w:val="2"/>
            <w:shd w:val="clear" w:color="000000" w:fill="FFFFFF"/>
            <w:noWrap/>
            <w:vAlign w:val="bottom"/>
          </w:tcPr>
          <w:p w14:paraId="698C72EB" w14:textId="6D7BEC49" w:rsidR="00D765CE" w:rsidRPr="00B275E2" w:rsidRDefault="00D765CE" w:rsidP="000C10FE">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275E2">
              <w:rPr>
                <w:rFonts w:cs="Calibri"/>
                <w:szCs w:val="18"/>
              </w:rPr>
              <w:t>Room per night</w:t>
            </w:r>
          </w:p>
        </w:tc>
        <w:tc>
          <w:tcPr>
            <w:tcW w:w="2403" w:type="dxa"/>
            <w:tcBorders>
              <w:right w:val="single" w:sz="4" w:space="0" w:color="FFFFFF" w:themeColor="background1"/>
            </w:tcBorders>
            <w:shd w:val="clear" w:color="000000" w:fill="D2DDE1" w:themeFill="background2"/>
            <w:noWrap/>
          </w:tcPr>
          <w:p w14:paraId="4C219A9B" w14:textId="4743DF06" w:rsidR="00D765CE" w:rsidRPr="00B275E2" w:rsidRDefault="005B337C" w:rsidP="000C10F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275E2">
              <w:t>16.3</w:t>
            </w:r>
          </w:p>
        </w:tc>
      </w:tr>
      <w:tr w:rsidR="00531C90" w:rsidRPr="00B275E2" w14:paraId="62EA2FCB" w14:textId="77777777" w:rsidTr="00B65C73">
        <w:trPr>
          <w:gridAfter w:val="1"/>
          <w:cnfStyle w:val="000000100000" w:firstRow="0" w:lastRow="0" w:firstColumn="0" w:lastColumn="0" w:oddVBand="0" w:evenVBand="0" w:oddHBand="1" w:evenHBand="0" w:firstRowFirstColumn="0" w:firstRowLastColumn="0" w:lastRowFirstColumn="0" w:lastRowLastColumn="0"/>
          <w:wAfter w:w="23" w:type="dxa"/>
          <w:trHeight w:val="300"/>
        </w:trPr>
        <w:tc>
          <w:tcPr>
            <w:cnfStyle w:val="001000000000" w:firstRow="0" w:lastRow="0" w:firstColumn="1" w:lastColumn="0" w:oddVBand="0" w:evenVBand="0" w:oddHBand="0" w:evenHBand="0" w:firstRowFirstColumn="0" w:firstRowLastColumn="0" w:lastRowFirstColumn="0" w:lastRowLastColumn="0"/>
            <w:tcW w:w="3500" w:type="dxa"/>
            <w:tcBorders>
              <w:left w:val="single" w:sz="4" w:space="0" w:color="FFFFFF" w:themeColor="background1"/>
            </w:tcBorders>
            <w:shd w:val="clear" w:color="auto" w:fill="auto"/>
            <w:noWrap/>
          </w:tcPr>
          <w:p w14:paraId="4C9E7876" w14:textId="03123FDC" w:rsidR="00D765CE" w:rsidRPr="00B275E2" w:rsidRDefault="00D765CE" w:rsidP="000C10FE">
            <w:pPr>
              <w:pStyle w:val="TableText"/>
              <w:spacing w:before="40" w:after="40"/>
              <w:rPr>
                <w:rFonts w:eastAsia="Times New Roman"/>
                <w:b w:val="0"/>
                <w:szCs w:val="18"/>
              </w:rPr>
            </w:pPr>
            <w:r w:rsidRPr="00B275E2">
              <w:rPr>
                <w:rFonts w:cs="Calibri"/>
                <w:b w:val="0"/>
                <w:szCs w:val="18"/>
              </w:rPr>
              <w:t>Switzerland</w:t>
            </w:r>
          </w:p>
        </w:tc>
        <w:tc>
          <w:tcPr>
            <w:tcW w:w="2576" w:type="dxa"/>
            <w:gridSpan w:val="2"/>
            <w:shd w:val="clear" w:color="000000" w:fill="FFFFFF"/>
            <w:noWrap/>
            <w:vAlign w:val="bottom"/>
          </w:tcPr>
          <w:p w14:paraId="7680189C" w14:textId="6E289F1B" w:rsidR="00D765CE" w:rsidRPr="00B275E2" w:rsidRDefault="00D765CE" w:rsidP="000C10FE">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275E2">
              <w:rPr>
                <w:rFonts w:cs="Calibri"/>
                <w:szCs w:val="18"/>
              </w:rPr>
              <w:t>Room per night</w:t>
            </w:r>
          </w:p>
        </w:tc>
        <w:tc>
          <w:tcPr>
            <w:tcW w:w="2416" w:type="dxa"/>
            <w:gridSpan w:val="2"/>
            <w:tcBorders>
              <w:right w:val="single" w:sz="4" w:space="0" w:color="FFFFFF" w:themeColor="background1"/>
            </w:tcBorders>
            <w:shd w:val="clear" w:color="000000" w:fill="D2DDE1" w:themeFill="background2"/>
            <w:noWrap/>
          </w:tcPr>
          <w:p w14:paraId="2B3D1F65" w14:textId="359E8884" w:rsidR="00D765CE" w:rsidRPr="00B275E2" w:rsidRDefault="005B337C" w:rsidP="000C10F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275E2">
              <w:t>7.4</w:t>
            </w:r>
          </w:p>
        </w:tc>
      </w:tr>
      <w:tr w:rsidR="00AE4EC4" w:rsidRPr="00B275E2" w14:paraId="406746DD" w14:textId="77777777" w:rsidTr="00B65C73">
        <w:trPr>
          <w:gridAfter w:val="2"/>
          <w:wAfter w:w="36" w:type="dxa"/>
          <w:trHeight w:val="300"/>
        </w:trPr>
        <w:tc>
          <w:tcPr>
            <w:cnfStyle w:val="001000000000" w:firstRow="0" w:lastRow="0" w:firstColumn="1" w:lastColumn="0" w:oddVBand="0" w:evenVBand="0" w:oddHBand="0" w:evenHBand="0" w:firstRowFirstColumn="0" w:firstRowLastColumn="0" w:lastRowFirstColumn="0" w:lastRowLastColumn="0"/>
            <w:tcW w:w="3500" w:type="dxa"/>
            <w:tcBorders>
              <w:left w:val="single" w:sz="4" w:space="0" w:color="FFFFFF" w:themeColor="background1"/>
            </w:tcBorders>
            <w:shd w:val="clear" w:color="auto" w:fill="auto"/>
            <w:noWrap/>
          </w:tcPr>
          <w:p w14:paraId="35170A4D" w14:textId="3D29C05C" w:rsidR="00AE4EC4" w:rsidRPr="00B275E2" w:rsidRDefault="00AE4EC4" w:rsidP="000C10FE">
            <w:pPr>
              <w:pStyle w:val="TableText"/>
              <w:spacing w:before="40" w:after="40"/>
              <w:rPr>
                <w:rFonts w:cs="Calibri"/>
                <w:b w:val="0"/>
                <w:szCs w:val="18"/>
              </w:rPr>
            </w:pPr>
            <w:r w:rsidRPr="00B275E2">
              <w:rPr>
                <w:rFonts w:cs="Calibri"/>
                <w:b w:val="0"/>
                <w:szCs w:val="18"/>
              </w:rPr>
              <w:t>Taiwan</w:t>
            </w:r>
          </w:p>
        </w:tc>
        <w:tc>
          <w:tcPr>
            <w:tcW w:w="2576" w:type="dxa"/>
            <w:gridSpan w:val="2"/>
            <w:shd w:val="clear" w:color="000000" w:fill="FFFFFF"/>
            <w:noWrap/>
            <w:vAlign w:val="bottom"/>
          </w:tcPr>
          <w:p w14:paraId="4FF2EEBC" w14:textId="683FBCAD" w:rsidR="00AE4EC4" w:rsidRPr="00B275E2" w:rsidRDefault="00AE4EC4" w:rsidP="000C10FE">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Room per night</w:t>
            </w:r>
          </w:p>
        </w:tc>
        <w:tc>
          <w:tcPr>
            <w:tcW w:w="2403" w:type="dxa"/>
            <w:tcBorders>
              <w:right w:val="single" w:sz="4" w:space="0" w:color="FFFFFF" w:themeColor="background1"/>
            </w:tcBorders>
            <w:shd w:val="clear" w:color="000000" w:fill="D2DDE1" w:themeFill="background2"/>
            <w:noWrap/>
          </w:tcPr>
          <w:p w14:paraId="35BD7611" w14:textId="1DE80719" w:rsidR="00AE4EC4" w:rsidRPr="00B275E2" w:rsidRDefault="005B337C" w:rsidP="000C10F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t>86.8</w:t>
            </w:r>
          </w:p>
        </w:tc>
      </w:tr>
      <w:tr w:rsidR="00531C90" w:rsidRPr="00B275E2" w14:paraId="4E2C211C" w14:textId="77777777" w:rsidTr="00B65C73">
        <w:trPr>
          <w:gridAfter w:val="1"/>
          <w:cnfStyle w:val="000000100000" w:firstRow="0" w:lastRow="0" w:firstColumn="0" w:lastColumn="0" w:oddVBand="0" w:evenVBand="0" w:oddHBand="1" w:evenHBand="0" w:firstRowFirstColumn="0" w:firstRowLastColumn="0" w:lastRowFirstColumn="0" w:lastRowLastColumn="0"/>
          <w:wAfter w:w="23" w:type="dxa"/>
          <w:trHeight w:val="300"/>
        </w:trPr>
        <w:tc>
          <w:tcPr>
            <w:cnfStyle w:val="001000000000" w:firstRow="0" w:lastRow="0" w:firstColumn="1" w:lastColumn="0" w:oddVBand="0" w:evenVBand="0" w:oddHBand="0" w:evenHBand="0" w:firstRowFirstColumn="0" w:firstRowLastColumn="0" w:lastRowFirstColumn="0" w:lastRowLastColumn="0"/>
            <w:tcW w:w="3500" w:type="dxa"/>
            <w:tcBorders>
              <w:left w:val="single" w:sz="4" w:space="0" w:color="FFFFFF" w:themeColor="background1"/>
            </w:tcBorders>
            <w:shd w:val="clear" w:color="auto" w:fill="auto"/>
            <w:noWrap/>
          </w:tcPr>
          <w:p w14:paraId="1F6069FD" w14:textId="68E75409" w:rsidR="00AE4EC4" w:rsidRPr="00B275E2" w:rsidRDefault="00AE4EC4" w:rsidP="000C10FE">
            <w:pPr>
              <w:pStyle w:val="TableText"/>
              <w:spacing w:before="40" w:after="40"/>
              <w:rPr>
                <w:rFonts w:cs="Calibri"/>
                <w:b w:val="0"/>
                <w:szCs w:val="18"/>
              </w:rPr>
            </w:pPr>
            <w:r w:rsidRPr="00B275E2">
              <w:rPr>
                <w:rFonts w:cs="Calibri"/>
                <w:b w:val="0"/>
                <w:szCs w:val="18"/>
              </w:rPr>
              <w:t>Thailand</w:t>
            </w:r>
          </w:p>
        </w:tc>
        <w:tc>
          <w:tcPr>
            <w:tcW w:w="2576" w:type="dxa"/>
            <w:gridSpan w:val="2"/>
            <w:shd w:val="clear" w:color="000000" w:fill="FFFFFF"/>
            <w:noWrap/>
            <w:vAlign w:val="bottom"/>
          </w:tcPr>
          <w:p w14:paraId="50CECB27" w14:textId="0D8FBB9C" w:rsidR="00AE4EC4" w:rsidRPr="00B275E2" w:rsidRDefault="00AE4EC4" w:rsidP="000C10FE">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Room per night</w:t>
            </w:r>
          </w:p>
        </w:tc>
        <w:tc>
          <w:tcPr>
            <w:tcW w:w="2416" w:type="dxa"/>
            <w:gridSpan w:val="2"/>
            <w:tcBorders>
              <w:right w:val="single" w:sz="4" w:space="0" w:color="FFFFFF" w:themeColor="background1"/>
            </w:tcBorders>
            <w:shd w:val="clear" w:color="000000" w:fill="D2DDE1" w:themeFill="background2"/>
            <w:noWrap/>
          </w:tcPr>
          <w:p w14:paraId="28548983" w14:textId="69650712" w:rsidR="00AE4EC4" w:rsidRPr="00B275E2" w:rsidRDefault="005B337C" w:rsidP="000C10F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t>55.9</w:t>
            </w:r>
          </w:p>
        </w:tc>
      </w:tr>
      <w:tr w:rsidR="00AE4EC4" w:rsidRPr="00B275E2" w14:paraId="30DB2594" w14:textId="77777777" w:rsidTr="00B65C73">
        <w:trPr>
          <w:gridAfter w:val="2"/>
          <w:wAfter w:w="36" w:type="dxa"/>
          <w:trHeight w:val="300"/>
        </w:trPr>
        <w:tc>
          <w:tcPr>
            <w:cnfStyle w:val="001000000000" w:firstRow="0" w:lastRow="0" w:firstColumn="1" w:lastColumn="0" w:oddVBand="0" w:evenVBand="0" w:oddHBand="0" w:evenHBand="0" w:firstRowFirstColumn="0" w:firstRowLastColumn="0" w:lastRowFirstColumn="0" w:lastRowLastColumn="0"/>
            <w:tcW w:w="3500" w:type="dxa"/>
            <w:tcBorders>
              <w:left w:val="single" w:sz="4" w:space="0" w:color="FFFFFF" w:themeColor="background1"/>
            </w:tcBorders>
            <w:shd w:val="clear" w:color="auto" w:fill="auto"/>
            <w:noWrap/>
          </w:tcPr>
          <w:p w14:paraId="02818244" w14:textId="183FCF4D" w:rsidR="00AE4EC4" w:rsidRPr="00B275E2" w:rsidRDefault="00AE4EC4" w:rsidP="000C10FE">
            <w:pPr>
              <w:pStyle w:val="TableText"/>
              <w:spacing w:before="40" w:after="40"/>
              <w:rPr>
                <w:rFonts w:cs="Calibri"/>
                <w:b w:val="0"/>
                <w:szCs w:val="18"/>
              </w:rPr>
            </w:pPr>
            <w:r w:rsidRPr="00B275E2">
              <w:rPr>
                <w:rFonts w:cs="Calibri"/>
                <w:b w:val="0"/>
                <w:szCs w:val="18"/>
              </w:rPr>
              <w:t>Turkey</w:t>
            </w:r>
          </w:p>
        </w:tc>
        <w:tc>
          <w:tcPr>
            <w:tcW w:w="2576" w:type="dxa"/>
            <w:gridSpan w:val="2"/>
            <w:shd w:val="clear" w:color="000000" w:fill="FFFFFF"/>
            <w:noWrap/>
            <w:vAlign w:val="bottom"/>
          </w:tcPr>
          <w:p w14:paraId="3D6F23F3" w14:textId="63007B50" w:rsidR="00AE4EC4" w:rsidRPr="00B275E2" w:rsidRDefault="00AE4EC4" w:rsidP="000C10FE">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Room per night</w:t>
            </w:r>
          </w:p>
        </w:tc>
        <w:tc>
          <w:tcPr>
            <w:tcW w:w="2403" w:type="dxa"/>
            <w:tcBorders>
              <w:right w:val="single" w:sz="4" w:space="0" w:color="FFFFFF" w:themeColor="background1"/>
            </w:tcBorders>
            <w:shd w:val="clear" w:color="000000" w:fill="D2DDE1" w:themeFill="background2"/>
            <w:noWrap/>
          </w:tcPr>
          <w:p w14:paraId="6BC2F26D" w14:textId="4FB6CC14" w:rsidR="00AE4EC4" w:rsidRPr="00B275E2" w:rsidRDefault="005B337C" w:rsidP="000C10F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t>38.0</w:t>
            </w:r>
          </w:p>
        </w:tc>
      </w:tr>
      <w:tr w:rsidR="00531C90" w:rsidRPr="00B275E2" w14:paraId="1BC3014B" w14:textId="77777777" w:rsidTr="00B65C73">
        <w:trPr>
          <w:gridAfter w:val="1"/>
          <w:cnfStyle w:val="000000100000" w:firstRow="0" w:lastRow="0" w:firstColumn="0" w:lastColumn="0" w:oddVBand="0" w:evenVBand="0" w:oddHBand="1" w:evenHBand="0" w:firstRowFirstColumn="0" w:firstRowLastColumn="0" w:lastRowFirstColumn="0" w:lastRowLastColumn="0"/>
          <w:wAfter w:w="23" w:type="dxa"/>
          <w:trHeight w:val="300"/>
        </w:trPr>
        <w:tc>
          <w:tcPr>
            <w:cnfStyle w:val="001000000000" w:firstRow="0" w:lastRow="0" w:firstColumn="1" w:lastColumn="0" w:oddVBand="0" w:evenVBand="0" w:oddHBand="0" w:evenHBand="0" w:firstRowFirstColumn="0" w:firstRowLastColumn="0" w:lastRowFirstColumn="0" w:lastRowLastColumn="0"/>
            <w:tcW w:w="3500" w:type="dxa"/>
            <w:tcBorders>
              <w:left w:val="single" w:sz="4" w:space="0" w:color="FFFFFF" w:themeColor="background1"/>
            </w:tcBorders>
            <w:shd w:val="clear" w:color="auto" w:fill="auto"/>
            <w:noWrap/>
          </w:tcPr>
          <w:p w14:paraId="4584BD1E" w14:textId="7EE0B84F" w:rsidR="00AE4EC4" w:rsidRPr="00B275E2" w:rsidRDefault="00AE4EC4" w:rsidP="000C10FE">
            <w:pPr>
              <w:pStyle w:val="TableText"/>
              <w:spacing w:before="40" w:after="40"/>
              <w:rPr>
                <w:rFonts w:cs="Calibri"/>
                <w:b w:val="0"/>
                <w:szCs w:val="18"/>
              </w:rPr>
            </w:pPr>
            <w:r w:rsidRPr="00B275E2">
              <w:rPr>
                <w:rFonts w:cs="Calibri"/>
                <w:b w:val="0"/>
                <w:szCs w:val="18"/>
              </w:rPr>
              <w:t>United Arab Emirates</w:t>
            </w:r>
          </w:p>
        </w:tc>
        <w:tc>
          <w:tcPr>
            <w:tcW w:w="2576" w:type="dxa"/>
            <w:gridSpan w:val="2"/>
            <w:shd w:val="clear" w:color="000000" w:fill="FFFFFF"/>
            <w:noWrap/>
            <w:vAlign w:val="bottom"/>
          </w:tcPr>
          <w:p w14:paraId="1057EFE8" w14:textId="0E0BB340" w:rsidR="00AE4EC4" w:rsidRPr="00B275E2" w:rsidRDefault="00AE4EC4" w:rsidP="000C10FE">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Room per night</w:t>
            </w:r>
          </w:p>
        </w:tc>
        <w:tc>
          <w:tcPr>
            <w:tcW w:w="2416" w:type="dxa"/>
            <w:gridSpan w:val="2"/>
            <w:tcBorders>
              <w:right w:val="single" w:sz="4" w:space="0" w:color="FFFFFF" w:themeColor="background1"/>
            </w:tcBorders>
            <w:shd w:val="clear" w:color="000000" w:fill="D2DDE1" w:themeFill="background2"/>
            <w:noWrap/>
          </w:tcPr>
          <w:p w14:paraId="189B601D" w14:textId="32C006A4" w:rsidR="00AE4EC4" w:rsidRPr="00B275E2" w:rsidRDefault="005B337C" w:rsidP="000C10F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t>95.9</w:t>
            </w:r>
          </w:p>
        </w:tc>
      </w:tr>
      <w:tr w:rsidR="00AE4EC4" w:rsidRPr="00B275E2" w14:paraId="77ECB6B3" w14:textId="77777777" w:rsidTr="00B65C73">
        <w:trPr>
          <w:gridAfter w:val="2"/>
          <w:wAfter w:w="36" w:type="dxa"/>
          <w:trHeight w:val="300"/>
        </w:trPr>
        <w:tc>
          <w:tcPr>
            <w:cnfStyle w:val="001000000000" w:firstRow="0" w:lastRow="0" w:firstColumn="1" w:lastColumn="0" w:oddVBand="0" w:evenVBand="0" w:oddHBand="0" w:evenHBand="0" w:firstRowFirstColumn="0" w:firstRowLastColumn="0" w:lastRowFirstColumn="0" w:lastRowLastColumn="0"/>
            <w:tcW w:w="3500" w:type="dxa"/>
            <w:tcBorders>
              <w:left w:val="single" w:sz="4" w:space="0" w:color="FFFFFF" w:themeColor="background1"/>
            </w:tcBorders>
            <w:shd w:val="clear" w:color="auto" w:fill="auto"/>
            <w:noWrap/>
          </w:tcPr>
          <w:p w14:paraId="5BBB1EF1" w14:textId="7A7148C5" w:rsidR="00AE4EC4" w:rsidRPr="00B275E2" w:rsidRDefault="00AE4EC4" w:rsidP="000C10FE">
            <w:pPr>
              <w:pStyle w:val="TableText"/>
              <w:spacing w:before="40" w:after="40"/>
              <w:rPr>
                <w:rFonts w:cs="Calibri"/>
                <w:b w:val="0"/>
                <w:szCs w:val="18"/>
              </w:rPr>
            </w:pPr>
            <w:r w:rsidRPr="00B275E2">
              <w:rPr>
                <w:rFonts w:cs="Calibri"/>
                <w:b w:val="0"/>
                <w:szCs w:val="18"/>
              </w:rPr>
              <w:lastRenderedPageBreak/>
              <w:t>United Kingdom</w:t>
            </w:r>
          </w:p>
        </w:tc>
        <w:tc>
          <w:tcPr>
            <w:tcW w:w="2576" w:type="dxa"/>
            <w:gridSpan w:val="2"/>
            <w:shd w:val="clear" w:color="000000" w:fill="FFFFFF"/>
            <w:noWrap/>
            <w:vAlign w:val="bottom"/>
          </w:tcPr>
          <w:p w14:paraId="349EE149" w14:textId="6701B3C3" w:rsidR="00AE4EC4" w:rsidRPr="00B275E2" w:rsidRDefault="00AE4EC4" w:rsidP="000C10FE">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Room per night</w:t>
            </w:r>
          </w:p>
        </w:tc>
        <w:tc>
          <w:tcPr>
            <w:tcW w:w="2403" w:type="dxa"/>
            <w:tcBorders>
              <w:right w:val="single" w:sz="4" w:space="0" w:color="FFFFFF" w:themeColor="background1"/>
            </w:tcBorders>
            <w:shd w:val="clear" w:color="000000" w:fill="D2DDE1" w:themeFill="background2"/>
            <w:noWrap/>
          </w:tcPr>
          <w:p w14:paraId="4E359046" w14:textId="0BCB8039" w:rsidR="00AE4EC4" w:rsidRPr="00B275E2" w:rsidRDefault="005B337C" w:rsidP="000C10F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t>13.4</w:t>
            </w:r>
          </w:p>
        </w:tc>
      </w:tr>
      <w:tr w:rsidR="00531C90" w:rsidRPr="00B275E2" w14:paraId="4E15573A" w14:textId="77777777" w:rsidTr="00B65C73">
        <w:trPr>
          <w:gridAfter w:val="1"/>
          <w:cnfStyle w:val="000000100000" w:firstRow="0" w:lastRow="0" w:firstColumn="0" w:lastColumn="0" w:oddVBand="0" w:evenVBand="0" w:oddHBand="1" w:evenHBand="0" w:firstRowFirstColumn="0" w:firstRowLastColumn="0" w:lastRowFirstColumn="0" w:lastRowLastColumn="0"/>
          <w:wAfter w:w="23" w:type="dxa"/>
          <w:trHeight w:val="300"/>
        </w:trPr>
        <w:tc>
          <w:tcPr>
            <w:cnfStyle w:val="001000000000" w:firstRow="0" w:lastRow="0" w:firstColumn="1" w:lastColumn="0" w:oddVBand="0" w:evenVBand="0" w:oddHBand="0" w:evenHBand="0" w:firstRowFirstColumn="0" w:firstRowLastColumn="0" w:lastRowFirstColumn="0" w:lastRowLastColumn="0"/>
            <w:tcW w:w="3500" w:type="dxa"/>
            <w:tcBorders>
              <w:left w:val="single" w:sz="4" w:space="0" w:color="FFFFFF" w:themeColor="background1"/>
            </w:tcBorders>
            <w:shd w:val="clear" w:color="auto" w:fill="auto"/>
            <w:noWrap/>
          </w:tcPr>
          <w:p w14:paraId="1862EF0C" w14:textId="686F64AC" w:rsidR="00AE4EC4" w:rsidRPr="00B275E2" w:rsidRDefault="00AE4EC4" w:rsidP="000C10FE">
            <w:pPr>
              <w:pStyle w:val="TableText"/>
              <w:spacing w:before="40" w:after="40"/>
              <w:rPr>
                <w:rFonts w:cs="Calibri"/>
                <w:b w:val="0"/>
                <w:szCs w:val="18"/>
              </w:rPr>
            </w:pPr>
            <w:r w:rsidRPr="00B275E2">
              <w:rPr>
                <w:rFonts w:cs="Calibri"/>
                <w:b w:val="0"/>
                <w:szCs w:val="18"/>
              </w:rPr>
              <w:t>United States</w:t>
            </w:r>
          </w:p>
        </w:tc>
        <w:tc>
          <w:tcPr>
            <w:tcW w:w="2576" w:type="dxa"/>
            <w:gridSpan w:val="2"/>
            <w:shd w:val="clear" w:color="000000" w:fill="FFFFFF"/>
            <w:noWrap/>
            <w:vAlign w:val="bottom"/>
          </w:tcPr>
          <w:p w14:paraId="2679529D" w14:textId="14760290" w:rsidR="00AE4EC4" w:rsidRPr="00B275E2" w:rsidRDefault="00AE4EC4" w:rsidP="000C10FE">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Room per night</w:t>
            </w:r>
          </w:p>
        </w:tc>
        <w:tc>
          <w:tcPr>
            <w:tcW w:w="2416" w:type="dxa"/>
            <w:gridSpan w:val="2"/>
            <w:tcBorders>
              <w:right w:val="single" w:sz="4" w:space="0" w:color="FFFFFF" w:themeColor="background1"/>
            </w:tcBorders>
            <w:shd w:val="clear" w:color="000000" w:fill="D2DDE1" w:themeFill="background2"/>
            <w:noWrap/>
          </w:tcPr>
          <w:p w14:paraId="17630DCE" w14:textId="1902B87E" w:rsidR="00AE4EC4" w:rsidRPr="00B275E2" w:rsidRDefault="005B337C" w:rsidP="000C10F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t>19.8</w:t>
            </w:r>
          </w:p>
        </w:tc>
      </w:tr>
      <w:tr w:rsidR="00AE4EC4" w:rsidRPr="00B275E2" w14:paraId="6AA971BD" w14:textId="77777777" w:rsidTr="00B65C73">
        <w:trPr>
          <w:gridAfter w:val="2"/>
          <w:wAfter w:w="36" w:type="dxa"/>
          <w:trHeight w:val="300"/>
        </w:trPr>
        <w:tc>
          <w:tcPr>
            <w:cnfStyle w:val="001000000000" w:firstRow="0" w:lastRow="0" w:firstColumn="1" w:lastColumn="0" w:oddVBand="0" w:evenVBand="0" w:oddHBand="0" w:evenHBand="0" w:firstRowFirstColumn="0" w:firstRowLastColumn="0" w:lastRowFirstColumn="0" w:lastRowLastColumn="0"/>
            <w:tcW w:w="3500" w:type="dxa"/>
            <w:tcBorders>
              <w:left w:val="single" w:sz="4" w:space="0" w:color="FFFFFF" w:themeColor="background1"/>
            </w:tcBorders>
            <w:shd w:val="clear" w:color="auto" w:fill="auto"/>
            <w:noWrap/>
          </w:tcPr>
          <w:p w14:paraId="20E9BEAF" w14:textId="3D024045" w:rsidR="00AE4EC4" w:rsidRPr="00B275E2" w:rsidRDefault="00AE4EC4" w:rsidP="000C10FE">
            <w:pPr>
              <w:pStyle w:val="TableText"/>
              <w:spacing w:before="40" w:after="40"/>
              <w:rPr>
                <w:rFonts w:cs="Calibri"/>
                <w:b w:val="0"/>
                <w:szCs w:val="18"/>
              </w:rPr>
            </w:pPr>
            <w:r w:rsidRPr="00B275E2">
              <w:rPr>
                <w:rFonts w:cs="Calibri"/>
                <w:b w:val="0"/>
                <w:szCs w:val="18"/>
              </w:rPr>
              <w:t>Vietnam</w:t>
            </w:r>
          </w:p>
        </w:tc>
        <w:tc>
          <w:tcPr>
            <w:tcW w:w="2576" w:type="dxa"/>
            <w:gridSpan w:val="2"/>
            <w:shd w:val="clear" w:color="000000" w:fill="FFFFFF"/>
            <w:noWrap/>
            <w:vAlign w:val="bottom"/>
          </w:tcPr>
          <w:p w14:paraId="4244FC31" w14:textId="1A685FC0" w:rsidR="00AE4EC4" w:rsidRPr="00B275E2" w:rsidRDefault="00AE4EC4" w:rsidP="000C10FE">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Room per night</w:t>
            </w:r>
          </w:p>
        </w:tc>
        <w:tc>
          <w:tcPr>
            <w:tcW w:w="2403" w:type="dxa"/>
            <w:tcBorders>
              <w:right w:val="single" w:sz="4" w:space="0" w:color="FFFFFF" w:themeColor="background1"/>
            </w:tcBorders>
            <w:shd w:val="clear" w:color="000000" w:fill="D2DDE1" w:themeFill="background2"/>
            <w:noWrap/>
          </w:tcPr>
          <w:p w14:paraId="6B8BBB9D" w14:textId="4D7CBC17" w:rsidR="00AE4EC4" w:rsidRPr="00B275E2" w:rsidRDefault="005B337C" w:rsidP="000C10F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t>49.2</w:t>
            </w:r>
          </w:p>
        </w:tc>
      </w:tr>
    </w:tbl>
    <w:p w14:paraId="7D453AE7" w14:textId="66095CE5" w:rsidR="008C2961" w:rsidRPr="00B275E2" w:rsidRDefault="70FB8015" w:rsidP="006B7605">
      <w:pPr>
        <w:pStyle w:val="Heading3"/>
      </w:pPr>
      <w:bookmarkStart w:id="450" w:name="_Toc532904913"/>
      <w:r>
        <w:t xml:space="preserve">GHG </w:t>
      </w:r>
      <w:r w:rsidR="17A78AC1">
        <w:t>inventory development</w:t>
      </w:r>
      <w:bookmarkEnd w:id="450"/>
    </w:p>
    <w:p w14:paraId="63F1BD02" w14:textId="20C0617C" w:rsidR="008C2961" w:rsidRPr="00B275E2" w:rsidRDefault="008C2961" w:rsidP="00C40AF2">
      <w:pPr>
        <w:pStyle w:val="BodyText"/>
      </w:pPr>
      <w:bookmarkStart w:id="451" w:name="_Hlk532893831"/>
      <w:r w:rsidRPr="00B275E2">
        <w:t xml:space="preserve">To calculate emissions from </w:t>
      </w:r>
      <w:r w:rsidR="00F005B6" w:rsidRPr="00B275E2">
        <w:t>accommodation</w:t>
      </w:r>
      <w:r w:rsidRPr="00B275E2">
        <w:t xml:space="preserve"> during business trips, collect data on the number of nights and </w:t>
      </w:r>
      <w:r w:rsidR="00F005B6" w:rsidRPr="00B275E2">
        <w:t>the</w:t>
      </w:r>
      <w:r w:rsidRPr="00B275E2">
        <w:t xml:space="preserve"> country</w:t>
      </w:r>
      <w:r w:rsidR="00F005B6" w:rsidRPr="00B275E2">
        <w:t xml:space="preserve"> stayed in</w:t>
      </w:r>
      <w:r w:rsidRPr="00B275E2">
        <w:t xml:space="preserve">. </w:t>
      </w:r>
      <w:bookmarkEnd w:id="451"/>
      <w:r w:rsidR="00EB6D3D" w:rsidRPr="00B275E2">
        <w:t xml:space="preserve">Applying the equation </w:t>
      </w:r>
      <w:r w:rsidR="00E71782" w:rsidRPr="00B275E2">
        <w:t>E= Q x F</w:t>
      </w:r>
      <w:r w:rsidR="00505D97" w:rsidRPr="00B275E2">
        <w:t xml:space="preserve"> </w:t>
      </w:r>
      <w:r w:rsidR="00E71782" w:rsidRPr="00B275E2">
        <w:t>(</w:t>
      </w:r>
      <w:hyperlink w:anchor="_How_to_quantify" w:history="1">
        <w:r w:rsidR="00EB6D3D" w:rsidRPr="00B275E2">
          <w:rPr>
            <w:rStyle w:val="Hyperlink"/>
          </w:rPr>
          <w:t>s</w:t>
        </w:r>
        <w:r w:rsidR="00F005B6" w:rsidRPr="00B275E2">
          <w:rPr>
            <w:rStyle w:val="Hyperlink"/>
          </w:rPr>
          <w:t>ection</w:t>
        </w:r>
        <w:r w:rsidR="002C0614" w:rsidRPr="00B275E2">
          <w:rPr>
            <w:rStyle w:val="Hyperlink"/>
          </w:rPr>
          <w:t xml:space="preserve"> 2</w:t>
        </w:r>
      </w:hyperlink>
      <w:r w:rsidR="00E71782" w:rsidRPr="00B275E2">
        <w:rPr>
          <w:rStyle w:val="Hyperlink"/>
          <w:color w:val="auto"/>
        </w:rPr>
        <w:t>)</w:t>
      </w:r>
      <w:r w:rsidR="00F005B6" w:rsidRPr="00B275E2">
        <w:t>, this means</w:t>
      </w:r>
      <w:r w:rsidR="00576048" w:rsidRPr="00B275E2">
        <w:t>:</w:t>
      </w:r>
    </w:p>
    <w:p w14:paraId="2B4E4F0E" w14:textId="4334731E" w:rsidR="00E71782" w:rsidRPr="00B275E2" w:rsidRDefault="00E71782" w:rsidP="00C40AF2">
      <w:pPr>
        <w:pStyle w:val="BodyText"/>
        <w:tabs>
          <w:tab w:val="left" w:pos="680"/>
          <w:tab w:val="left" w:pos="1134"/>
        </w:tabs>
        <w:contextualSpacing/>
      </w:pPr>
      <w:r w:rsidRPr="00B275E2">
        <w:t>E</w:t>
      </w:r>
      <w:r w:rsidRPr="00B275E2">
        <w:tab/>
        <w:t>=</w:t>
      </w:r>
      <w:r w:rsidRPr="00B275E2">
        <w:tab/>
        <w:t>emissions from the emissions source in kg CO</w:t>
      </w:r>
      <w:r w:rsidRPr="00B275E2">
        <w:rPr>
          <w:vertAlign w:val="subscript"/>
        </w:rPr>
        <w:t>2</w:t>
      </w:r>
      <w:r w:rsidRPr="00B275E2">
        <w:t>-e per year</w:t>
      </w:r>
    </w:p>
    <w:p w14:paraId="4BECD0C4" w14:textId="7A8A6B96" w:rsidR="008C2961" w:rsidRPr="00B275E2" w:rsidRDefault="008C2961" w:rsidP="00C40AF2">
      <w:pPr>
        <w:pStyle w:val="BodyText"/>
        <w:tabs>
          <w:tab w:val="left" w:pos="680"/>
          <w:tab w:val="left" w:pos="1134"/>
        </w:tabs>
        <w:contextualSpacing/>
      </w:pPr>
      <w:r w:rsidRPr="00B275E2">
        <w:t>Q</w:t>
      </w:r>
      <w:r w:rsidR="00EB6D3D" w:rsidRPr="00B275E2">
        <w:tab/>
      </w:r>
      <w:r w:rsidRPr="00B275E2">
        <w:t>=</w:t>
      </w:r>
      <w:r w:rsidR="00EB6D3D" w:rsidRPr="00B275E2">
        <w:tab/>
      </w:r>
      <w:r w:rsidR="00CB5BAC" w:rsidRPr="00B275E2">
        <w:t>r</w:t>
      </w:r>
      <w:r w:rsidRPr="00B275E2">
        <w:t>ooms per night</w:t>
      </w:r>
    </w:p>
    <w:p w14:paraId="5711BD47" w14:textId="3C701481" w:rsidR="008C2961" w:rsidRPr="00B275E2" w:rsidRDefault="008C2961" w:rsidP="00C40AF2">
      <w:pPr>
        <w:pStyle w:val="BodyText"/>
        <w:tabs>
          <w:tab w:val="left" w:pos="680"/>
          <w:tab w:val="left" w:pos="1134"/>
        </w:tabs>
        <w:spacing w:after="240"/>
        <w:contextualSpacing/>
      </w:pPr>
      <w:r w:rsidRPr="00B275E2">
        <w:t>F</w:t>
      </w:r>
      <w:r w:rsidR="00EB6D3D" w:rsidRPr="00B275E2">
        <w:tab/>
      </w:r>
      <w:r w:rsidRPr="00B275E2">
        <w:t>=</w:t>
      </w:r>
      <w:r w:rsidR="00EB6D3D" w:rsidRPr="00B275E2">
        <w:tab/>
      </w:r>
      <w:r w:rsidRPr="00B275E2">
        <w:t xml:space="preserve">emission factors for the country </w:t>
      </w:r>
      <w:r w:rsidR="00F005B6" w:rsidRPr="00B275E2">
        <w:t>stayed</w:t>
      </w:r>
      <w:r w:rsidRPr="00B275E2">
        <w:t xml:space="preserve"> in from </w:t>
      </w:r>
      <w:r w:rsidR="00E00DF8" w:rsidRPr="00B275E2">
        <w:t>table 5</w:t>
      </w:r>
      <w:r w:rsidR="00521227">
        <w:t>1</w:t>
      </w:r>
      <w:r w:rsidR="00E00DF8" w:rsidRPr="00B275E2">
        <w:t>.</w:t>
      </w:r>
    </w:p>
    <w:tbl>
      <w:tblPr>
        <w:tblW w:w="8500"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0"/>
      </w:tblGrid>
      <w:tr w:rsidR="00F005B6" w:rsidRPr="00B275E2" w:rsidDel="00D5390D" w14:paraId="397FE808" w14:textId="77777777" w:rsidTr="00F424ED">
        <w:tc>
          <w:tcPr>
            <w:tcW w:w="8500" w:type="dxa"/>
            <w:tcBorders>
              <w:top w:val="single" w:sz="4" w:space="0" w:color="0F7B7D"/>
              <w:left w:val="single" w:sz="4" w:space="0" w:color="0F7B7D"/>
              <w:bottom w:val="nil"/>
              <w:right w:val="single" w:sz="4" w:space="0" w:color="0F7B7D"/>
            </w:tcBorders>
            <w:shd w:val="clear" w:color="auto" w:fill="0F7B7D"/>
            <w:vAlign w:val="center"/>
          </w:tcPr>
          <w:p w14:paraId="76691CB9" w14:textId="77777777" w:rsidR="00F005B6" w:rsidRPr="00B275E2" w:rsidDel="00D5390D" w:rsidRDefault="00F005B6" w:rsidP="00F424ED">
            <w:pPr>
              <w:pStyle w:val="Casestudyheading"/>
            </w:pPr>
            <w:r w:rsidRPr="00B275E2">
              <w:t>Example Calculation</w:t>
            </w:r>
          </w:p>
        </w:tc>
      </w:tr>
      <w:tr w:rsidR="00F005B6" w:rsidRPr="00B275E2" w14:paraId="146E3452" w14:textId="77777777" w:rsidTr="00F424ED">
        <w:tc>
          <w:tcPr>
            <w:tcW w:w="8500" w:type="dxa"/>
            <w:tcBorders>
              <w:top w:val="nil"/>
              <w:left w:val="single" w:sz="4" w:space="0" w:color="D5EBE8" w:themeColor="accent3"/>
              <w:bottom w:val="single" w:sz="4" w:space="0" w:color="D5EBE8" w:themeColor="accent3"/>
              <w:right w:val="single" w:sz="4" w:space="0" w:color="D5EBE8" w:themeColor="accent3"/>
            </w:tcBorders>
            <w:shd w:val="clear" w:color="auto" w:fill="D5EBE8" w:themeFill="accent3"/>
          </w:tcPr>
          <w:p w14:paraId="7AF55A70" w14:textId="1A0398C7" w:rsidR="00F005B6" w:rsidRPr="00B275E2" w:rsidRDefault="00F005B6" w:rsidP="00F424ED">
            <w:pPr>
              <w:pStyle w:val="Boxtext"/>
              <w:spacing w:after="80"/>
            </w:pPr>
            <w:r w:rsidRPr="00B275E2">
              <w:t>An organisation sends six people to a conference in Australia. They book three rooms for four</w:t>
            </w:r>
            <w:r w:rsidR="00B11474" w:rsidRPr="00B275E2">
              <w:t> </w:t>
            </w:r>
            <w:r w:rsidRPr="00B275E2">
              <w:t xml:space="preserve">nights. </w:t>
            </w:r>
          </w:p>
          <w:p w14:paraId="32AB3885" w14:textId="1A47A808" w:rsidR="009E5BAA" w:rsidRPr="00B275E2" w:rsidRDefault="009E5BAA" w:rsidP="00F424ED">
            <w:pPr>
              <w:pStyle w:val="Boxtext"/>
              <w:spacing w:before="20" w:after="20"/>
              <w:ind w:left="850"/>
            </w:pPr>
            <w:r w:rsidRPr="00B275E2">
              <w:t xml:space="preserve">3 rooms x 4 nights = </w:t>
            </w:r>
            <w:r w:rsidR="009B06F8" w:rsidRPr="00B275E2">
              <w:t>12</w:t>
            </w:r>
          </w:p>
          <w:p w14:paraId="6868B82B" w14:textId="204DBE03" w:rsidR="00BA350D" w:rsidRPr="00B275E2" w:rsidRDefault="00F005B6" w:rsidP="00B11474">
            <w:pPr>
              <w:pStyle w:val="Boxtext"/>
              <w:spacing w:before="20" w:after="240"/>
              <w:ind w:left="850"/>
              <w:rPr>
                <w:rFonts w:asciiTheme="minorHAnsi" w:eastAsia="Times New Roman" w:hAnsiTheme="minorHAnsi" w:cs="Times New Roman"/>
                <w:szCs w:val="20"/>
                <w:lang w:eastAsia="en-US"/>
              </w:rPr>
            </w:pPr>
            <w:r w:rsidRPr="00B275E2">
              <w:t>Total CO</w:t>
            </w:r>
            <w:r w:rsidRPr="00B275E2">
              <w:rPr>
                <w:vertAlign w:val="subscript"/>
              </w:rPr>
              <w:t>2</w:t>
            </w:r>
            <w:r w:rsidRPr="00B275E2">
              <w:t>-e emissions from the hotel stay =</w:t>
            </w:r>
            <w:r w:rsidR="00795F09" w:rsidRPr="00B275E2">
              <w:t xml:space="preserve"> </w:t>
            </w:r>
            <w:r w:rsidR="009B06F8" w:rsidRPr="00B275E2">
              <w:t>12</w:t>
            </w:r>
            <w:r w:rsidR="009E5BAA" w:rsidRPr="00B275E2">
              <w:t xml:space="preserve"> </w:t>
            </w:r>
            <w:r w:rsidR="00E92C59" w:rsidRPr="00B275E2">
              <w:t xml:space="preserve">x </w:t>
            </w:r>
            <w:r w:rsidR="00D26DCB" w:rsidRPr="00B275E2">
              <w:t>38.9</w:t>
            </w:r>
            <w:r w:rsidR="00E92C59" w:rsidRPr="00B275E2">
              <w:t xml:space="preserve"> kg</w:t>
            </w:r>
            <w:r w:rsidR="009B5746" w:rsidRPr="00B275E2">
              <w:t xml:space="preserve"> </w:t>
            </w:r>
            <w:r w:rsidR="00E92C59" w:rsidRPr="00B275E2">
              <w:t>CO</w:t>
            </w:r>
            <w:r w:rsidR="00E92C59" w:rsidRPr="00B275E2">
              <w:rPr>
                <w:vertAlign w:val="subscript"/>
              </w:rPr>
              <w:t>2</w:t>
            </w:r>
            <w:r w:rsidR="00E92C59" w:rsidRPr="00B275E2">
              <w:t xml:space="preserve">-e/unit = </w:t>
            </w:r>
            <w:r w:rsidR="00D26DCB" w:rsidRPr="00B275E2">
              <w:t>466.8</w:t>
            </w:r>
            <w:r w:rsidR="00E92C59" w:rsidRPr="00B275E2">
              <w:t xml:space="preserve"> kg CO</w:t>
            </w:r>
            <w:r w:rsidR="00E92C59" w:rsidRPr="00B275E2">
              <w:rPr>
                <w:vertAlign w:val="subscript"/>
              </w:rPr>
              <w:t>2</w:t>
            </w:r>
            <w:r w:rsidR="00E92C59" w:rsidRPr="00B275E2">
              <w:t>-e</w:t>
            </w:r>
          </w:p>
        </w:tc>
      </w:tr>
    </w:tbl>
    <w:p w14:paraId="0FE542AA" w14:textId="3382FD82" w:rsidR="00DB0697" w:rsidRPr="00B275E2" w:rsidRDefault="3DE69A2B" w:rsidP="006B7605">
      <w:pPr>
        <w:pStyle w:val="Heading3"/>
      </w:pPr>
      <w:bookmarkStart w:id="452" w:name="_Toc532904914"/>
      <w:r>
        <w:t>Assumptions, limitations and uncertainties</w:t>
      </w:r>
      <w:bookmarkEnd w:id="452"/>
    </w:p>
    <w:p w14:paraId="513C8919" w14:textId="617F4969" w:rsidR="00DB0697" w:rsidRPr="00B275E2" w:rsidRDefault="00F005B6" w:rsidP="00E66428">
      <w:pPr>
        <w:pStyle w:val="BodyText"/>
      </w:pPr>
      <w:r w:rsidRPr="00B275E2">
        <w:t>T</w:t>
      </w:r>
      <w:r w:rsidR="00DB0697" w:rsidRPr="00B275E2">
        <w:t xml:space="preserve">he CHSB </w:t>
      </w:r>
      <w:r w:rsidR="0015058F" w:rsidRPr="00B275E2">
        <w:t>Index</w:t>
      </w:r>
      <w:r w:rsidR="00DB0697" w:rsidRPr="00B275E2">
        <w:t xml:space="preserve"> document</w:t>
      </w:r>
      <w:r w:rsidR="00DB0697" w:rsidRPr="00B275E2">
        <w:rPr>
          <w:rStyle w:val="FootnoteReference"/>
        </w:rPr>
        <w:footnoteReference w:id="47"/>
      </w:r>
      <w:r w:rsidR="00DB0697" w:rsidRPr="00B275E2">
        <w:t xml:space="preserve"> </w:t>
      </w:r>
      <w:r w:rsidRPr="00B275E2">
        <w:t>outlines</w:t>
      </w:r>
      <w:r w:rsidR="00DB0697" w:rsidRPr="00B275E2">
        <w:t xml:space="preserve"> the limitations </w:t>
      </w:r>
      <w:r w:rsidR="00CB5BAC" w:rsidRPr="00B275E2">
        <w:t xml:space="preserve">of </w:t>
      </w:r>
      <w:r w:rsidR="00DB0697" w:rsidRPr="00B275E2">
        <w:t>the study and the dataset</w:t>
      </w:r>
      <w:r w:rsidR="00CB5BAC" w:rsidRPr="00B275E2">
        <w:t>.</w:t>
      </w:r>
      <w:r w:rsidR="00CF42CA" w:rsidRPr="00B275E2">
        <w:t xml:space="preserve"> These</w:t>
      </w:r>
      <w:r w:rsidR="00F07910" w:rsidRPr="00B275E2">
        <w:t> </w:t>
      </w:r>
      <w:r w:rsidR="00CF42CA" w:rsidRPr="00B275E2">
        <w:t>include:</w:t>
      </w:r>
    </w:p>
    <w:p w14:paraId="7F893BA2" w14:textId="0CC7C5FD" w:rsidR="004F20DD" w:rsidRPr="00B275E2" w:rsidRDefault="00DB0697" w:rsidP="00C24B73">
      <w:pPr>
        <w:pStyle w:val="Bullet"/>
        <w:numPr>
          <w:ilvl w:val="0"/>
          <w:numId w:val="48"/>
        </w:numPr>
      </w:pPr>
      <w:r w:rsidRPr="00B275E2">
        <w:t>It is skewed towards upmarket and chain hotels</w:t>
      </w:r>
      <w:r w:rsidR="00CB5BAC" w:rsidRPr="00B275E2">
        <w:t>.</w:t>
      </w:r>
    </w:p>
    <w:p w14:paraId="781EAC81" w14:textId="3049E417" w:rsidR="004F20DD" w:rsidRPr="00B275E2" w:rsidRDefault="00CB5BAC" w:rsidP="00C24B73">
      <w:pPr>
        <w:pStyle w:val="Bullet"/>
        <w:numPr>
          <w:ilvl w:val="0"/>
          <w:numId w:val="48"/>
        </w:numPr>
      </w:pPr>
      <w:r w:rsidRPr="00B275E2">
        <w:t>Most</w:t>
      </w:r>
      <w:r w:rsidR="004F20DD" w:rsidRPr="00B275E2">
        <w:t xml:space="preserve"> of the dataset covers the </w:t>
      </w:r>
      <w:r w:rsidR="00BA3FD1" w:rsidRPr="00B275E2">
        <w:t>United States</w:t>
      </w:r>
      <w:r w:rsidRPr="00B275E2">
        <w:t>.</w:t>
      </w:r>
    </w:p>
    <w:p w14:paraId="4BCCD509" w14:textId="1DB84275" w:rsidR="004F20DD" w:rsidRPr="00B275E2" w:rsidRDefault="79D99AE3" w:rsidP="00C24B73">
      <w:pPr>
        <w:pStyle w:val="Bullet"/>
        <w:numPr>
          <w:ilvl w:val="0"/>
          <w:numId w:val="48"/>
        </w:numPr>
      </w:pPr>
      <w:r>
        <w:t xml:space="preserve">The results do not distinguish </w:t>
      </w:r>
      <w:r w:rsidR="4BE388E5">
        <w:t xml:space="preserve">a </w:t>
      </w:r>
      <w:r>
        <w:t>propert</w:t>
      </w:r>
      <w:r w:rsidR="4BE388E5">
        <w:t>y’</w:t>
      </w:r>
      <w:r>
        <w:t xml:space="preserve">s </w:t>
      </w:r>
      <w:r w:rsidR="21E8F865">
        <w:t>facilities</w:t>
      </w:r>
      <w:r>
        <w:t xml:space="preserve">, </w:t>
      </w:r>
      <w:r w:rsidR="19145046">
        <w:t>with the exception of outsourced laundry services, which are taken into consideration</w:t>
      </w:r>
      <w:r w:rsidR="21E8F865">
        <w:t xml:space="preserve">. This </w:t>
      </w:r>
      <w:r w:rsidR="48A698EC">
        <w:t>means it is very difficult to compare two hotels since some may contain distinct attributes, (such as restaurants, fitness</w:t>
      </w:r>
      <w:r w:rsidR="442BA66F">
        <w:t> </w:t>
      </w:r>
      <w:r w:rsidR="48A698EC">
        <w:t>centres, swimming pool and spa) while others do not.</w:t>
      </w:r>
    </w:p>
    <w:p w14:paraId="650922EA" w14:textId="40DA4903" w:rsidR="00321918" w:rsidRPr="00B275E2" w:rsidRDefault="00321918" w:rsidP="00C24B73">
      <w:pPr>
        <w:pStyle w:val="Heading1"/>
        <w:pageBreakBefore/>
        <w:numPr>
          <w:ilvl w:val="0"/>
          <w:numId w:val="15"/>
        </w:numPr>
      </w:pPr>
      <w:bookmarkStart w:id="453" w:name="_Freight_transport_emission"/>
      <w:bookmarkStart w:id="454" w:name="_Ref532845869"/>
      <w:bookmarkStart w:id="455" w:name="_Toc532904915"/>
      <w:bookmarkStart w:id="456" w:name="_Toc600587"/>
      <w:bookmarkStart w:id="457" w:name="_Ref616061"/>
      <w:bookmarkStart w:id="458" w:name="_Toc111536800"/>
      <w:bookmarkEnd w:id="453"/>
      <w:r w:rsidRPr="00B275E2">
        <w:lastRenderedPageBreak/>
        <w:t xml:space="preserve">Freight transport emission </w:t>
      </w:r>
      <w:bookmarkEnd w:id="454"/>
      <w:bookmarkEnd w:id="455"/>
      <w:bookmarkEnd w:id="456"/>
      <w:bookmarkEnd w:id="457"/>
      <w:r w:rsidR="005D5C74" w:rsidRPr="00B275E2">
        <w:t>factors</w:t>
      </w:r>
      <w:bookmarkEnd w:id="458"/>
    </w:p>
    <w:p w14:paraId="650922EB" w14:textId="4E796368" w:rsidR="00321918" w:rsidRPr="00B275E2" w:rsidRDefault="00321918" w:rsidP="00C24B73">
      <w:pPr>
        <w:pStyle w:val="Heading2"/>
        <w:numPr>
          <w:ilvl w:val="0"/>
          <w:numId w:val="29"/>
        </w:numPr>
        <w:spacing w:before="240"/>
      </w:pPr>
      <w:bookmarkStart w:id="459" w:name="_Toc532904916"/>
      <w:bookmarkStart w:id="460" w:name="_Toc600588"/>
      <w:bookmarkStart w:id="461" w:name="_Toc111536801"/>
      <w:r w:rsidRPr="00B275E2">
        <w:t>Overview of changes since previous</w:t>
      </w:r>
      <w:r w:rsidR="00844F4F" w:rsidRPr="00B275E2">
        <w:t xml:space="preserve"> </w:t>
      </w:r>
      <w:r w:rsidRPr="00B275E2">
        <w:t>update</w:t>
      </w:r>
      <w:bookmarkEnd w:id="459"/>
      <w:bookmarkEnd w:id="460"/>
      <w:bookmarkEnd w:id="461"/>
    </w:p>
    <w:p w14:paraId="354B919D" w14:textId="1D498848" w:rsidR="00331C00" w:rsidRPr="00B275E2" w:rsidRDefault="00DE5085" w:rsidP="007F0B1E">
      <w:pPr>
        <w:pStyle w:val="BodyText"/>
      </w:pPr>
      <w:bookmarkStart w:id="462" w:name="_Hlk532907287"/>
      <w:bookmarkStart w:id="463" w:name="_Hlk532903433"/>
      <w:r w:rsidRPr="00B275E2">
        <w:t>We provide emission factors for freighting goods (in tonne kilometres</w:t>
      </w:r>
      <w:r w:rsidR="00690FD1" w:rsidRPr="00B275E2">
        <w:t>, tkm</w:t>
      </w:r>
      <w:r w:rsidRPr="00B275E2">
        <w:t>) and for the actual freight vehicles (in k</w:t>
      </w:r>
      <w:r w:rsidR="008078ED" w:rsidRPr="00B275E2">
        <w:t>m</w:t>
      </w:r>
      <w:r w:rsidR="00F3109A" w:rsidRPr="00B275E2">
        <w:t>)</w:t>
      </w:r>
      <w:r w:rsidRPr="00B275E2">
        <w:t xml:space="preserve">. </w:t>
      </w:r>
      <w:r w:rsidR="00C31F68" w:rsidRPr="00B275E2">
        <w:t>We provide f</w:t>
      </w:r>
      <w:r w:rsidR="00C13E7D" w:rsidRPr="00B275E2">
        <w:t xml:space="preserve">reight </w:t>
      </w:r>
      <w:r w:rsidRPr="00B275E2">
        <w:t xml:space="preserve">vehicle </w:t>
      </w:r>
      <w:r w:rsidR="003079FA" w:rsidRPr="00B275E2">
        <w:t>emission factors</w:t>
      </w:r>
      <w:r w:rsidR="00940115" w:rsidRPr="00B275E2">
        <w:t xml:space="preserve"> (in km)</w:t>
      </w:r>
      <w:r w:rsidR="003079FA" w:rsidRPr="00B275E2">
        <w:t xml:space="preserve"> for </w:t>
      </w:r>
      <w:r w:rsidR="007F7FE2" w:rsidRPr="00B275E2">
        <w:t xml:space="preserve">road light commercial </w:t>
      </w:r>
      <w:r w:rsidR="0045521C" w:rsidRPr="00B275E2">
        <w:t>and</w:t>
      </w:r>
      <w:r w:rsidR="007F7FE2" w:rsidRPr="00B275E2">
        <w:t xml:space="preserve"> heavy goods vehicles</w:t>
      </w:r>
      <w:r w:rsidR="00331C00" w:rsidRPr="00B275E2">
        <w:t xml:space="preserve"> (HGV)</w:t>
      </w:r>
      <w:r w:rsidR="003079FA" w:rsidRPr="00B275E2">
        <w:t>.</w:t>
      </w:r>
      <w:bookmarkEnd w:id="462"/>
      <w:r w:rsidR="00331C00" w:rsidRPr="00B275E2">
        <w:t xml:space="preserve"> Users should note that these are average emission factors for certain vehicle categories of the New Zealand vehicle fleet. The actual emissions for a specific vehicle in a specific trip could be different. </w:t>
      </w:r>
    </w:p>
    <w:p w14:paraId="2DB3EB4F" w14:textId="40141D66" w:rsidR="00331C00" w:rsidRPr="00B275E2" w:rsidRDefault="00331C00" w:rsidP="007F0B1E">
      <w:pPr>
        <w:pStyle w:val="BodyText"/>
      </w:pPr>
      <w:r w:rsidRPr="00B275E2">
        <w:t xml:space="preserve">There has been an update to the previous road freight heavy goods vehicles emission factors as the source data from the Ministry of Transport was updated. There has also been an update to the previous air freight and international shipping freight emission factors as the source data from the UK BEIS was updated. </w:t>
      </w:r>
    </w:p>
    <w:p w14:paraId="650922EC" w14:textId="7363F99C" w:rsidR="00017EB3" w:rsidRPr="00B275E2" w:rsidRDefault="00331C00" w:rsidP="007F0B1E">
      <w:pPr>
        <w:pStyle w:val="BodyText"/>
      </w:pPr>
      <w:r w:rsidRPr="00B275E2">
        <w:t>Additionally, rail freight emission factors have been updated to align with source data from KiwiRail.</w:t>
      </w:r>
      <w:bookmarkEnd w:id="463"/>
    </w:p>
    <w:p w14:paraId="650922ED" w14:textId="72A6EAD4" w:rsidR="00321918" w:rsidRPr="00B275E2" w:rsidRDefault="00321918" w:rsidP="00C24B73">
      <w:pPr>
        <w:pStyle w:val="Heading2"/>
        <w:numPr>
          <w:ilvl w:val="0"/>
          <w:numId w:val="29"/>
        </w:numPr>
      </w:pPr>
      <w:bookmarkStart w:id="464" w:name="_Toc532904917"/>
      <w:bookmarkStart w:id="465" w:name="_Toc600589"/>
      <w:bookmarkStart w:id="466" w:name="_Toc111536802"/>
      <w:r w:rsidRPr="00B275E2">
        <w:t>Road freight</w:t>
      </w:r>
      <w:bookmarkEnd w:id="464"/>
      <w:bookmarkEnd w:id="465"/>
      <w:bookmarkEnd w:id="466"/>
    </w:p>
    <w:p w14:paraId="650922EE" w14:textId="5861E939" w:rsidR="00645D01" w:rsidRPr="00B275E2" w:rsidRDefault="00E9625E" w:rsidP="007F0B1E">
      <w:pPr>
        <w:pStyle w:val="BodyText"/>
        <w:rPr>
          <w:spacing w:val="-2"/>
        </w:rPr>
      </w:pPr>
      <w:r w:rsidRPr="00B275E2">
        <w:rPr>
          <w:spacing w:val="-2"/>
        </w:rPr>
        <w:t xml:space="preserve">Organisations </w:t>
      </w:r>
      <w:r w:rsidR="008027A0" w:rsidRPr="00B275E2">
        <w:rPr>
          <w:spacing w:val="-2"/>
        </w:rPr>
        <w:t>freighting goods through third</w:t>
      </w:r>
      <w:r w:rsidR="0045521C" w:rsidRPr="00B275E2">
        <w:rPr>
          <w:spacing w:val="-2"/>
        </w:rPr>
        <w:t>-</w:t>
      </w:r>
      <w:r w:rsidR="008027A0" w:rsidRPr="00B275E2">
        <w:rPr>
          <w:spacing w:val="-2"/>
        </w:rPr>
        <w:t xml:space="preserve">party providers can categorise road freight </w:t>
      </w:r>
      <w:r w:rsidR="00645D01" w:rsidRPr="00B275E2">
        <w:rPr>
          <w:spacing w:val="-2"/>
        </w:rPr>
        <w:t>emission</w:t>
      </w:r>
      <w:r w:rsidR="00EE288F" w:rsidRPr="00B275E2">
        <w:rPr>
          <w:spacing w:val="-2"/>
        </w:rPr>
        <w:t>s</w:t>
      </w:r>
      <w:r w:rsidR="00645D01" w:rsidRPr="00B275E2">
        <w:rPr>
          <w:spacing w:val="-2"/>
        </w:rPr>
        <w:t xml:space="preserve"> </w:t>
      </w:r>
      <w:r w:rsidR="008027A0" w:rsidRPr="00B275E2">
        <w:rPr>
          <w:spacing w:val="-2"/>
        </w:rPr>
        <w:t>as</w:t>
      </w:r>
      <w:r w:rsidR="00645D01" w:rsidRPr="00B275E2">
        <w:rPr>
          <w:spacing w:val="-2"/>
        </w:rPr>
        <w:t xml:space="preserve"> indirect (Scope 3). </w:t>
      </w:r>
      <w:r w:rsidR="008027A0" w:rsidRPr="00B275E2">
        <w:rPr>
          <w:spacing w:val="-2"/>
        </w:rPr>
        <w:t>We generated e</w:t>
      </w:r>
      <w:r w:rsidR="00645D01" w:rsidRPr="00B275E2">
        <w:rPr>
          <w:spacing w:val="-2"/>
        </w:rPr>
        <w:t xml:space="preserve">mission factors for freight vehicles </w:t>
      </w:r>
      <w:r w:rsidR="00C818FE" w:rsidRPr="00B275E2">
        <w:rPr>
          <w:spacing w:val="-2"/>
        </w:rPr>
        <w:t xml:space="preserve">(in km travelled) </w:t>
      </w:r>
      <w:r w:rsidR="00645D01" w:rsidRPr="00B275E2">
        <w:rPr>
          <w:spacing w:val="-2"/>
        </w:rPr>
        <w:t xml:space="preserve">and an average </w:t>
      </w:r>
      <w:r w:rsidR="003079FA" w:rsidRPr="00B275E2">
        <w:rPr>
          <w:spacing w:val="-2"/>
        </w:rPr>
        <w:t xml:space="preserve">emission factor </w:t>
      </w:r>
      <w:r w:rsidR="00645D01" w:rsidRPr="00B275E2">
        <w:rPr>
          <w:spacing w:val="-2"/>
        </w:rPr>
        <w:t>for freighting goods</w:t>
      </w:r>
      <w:r w:rsidR="003079FA" w:rsidRPr="00B275E2">
        <w:rPr>
          <w:spacing w:val="-2"/>
        </w:rPr>
        <w:t xml:space="preserve"> by road in </w:t>
      </w:r>
      <w:r w:rsidR="007219F5" w:rsidRPr="00B275E2">
        <w:rPr>
          <w:spacing w:val="-2"/>
        </w:rPr>
        <w:t>tonne kilometres (</w:t>
      </w:r>
      <w:r w:rsidR="00DE5085" w:rsidRPr="00B275E2">
        <w:rPr>
          <w:spacing w:val="-2"/>
        </w:rPr>
        <w:t>tkm</w:t>
      </w:r>
      <w:r w:rsidR="007219F5" w:rsidRPr="00B275E2">
        <w:rPr>
          <w:spacing w:val="-2"/>
        </w:rPr>
        <w:t>)</w:t>
      </w:r>
      <w:r w:rsidR="00645D01" w:rsidRPr="00B275E2">
        <w:rPr>
          <w:spacing w:val="-2"/>
        </w:rPr>
        <w:t>.</w:t>
      </w:r>
      <w:r w:rsidR="00583FDB" w:rsidRPr="00B275E2">
        <w:t xml:space="preserve"> </w:t>
      </w:r>
      <w:r w:rsidR="00A9211C" w:rsidRPr="00B275E2">
        <w:rPr>
          <w:rFonts w:cs="Calibri"/>
          <w:shd w:val="clear" w:color="auto" w:fill="FFFFFF"/>
        </w:rPr>
        <w:t>Where the organisation’s goods are only part of the load, the tkm emission factor should be used as the way of allocating emissions between the different goods on the same truck.</w:t>
      </w:r>
      <w:r w:rsidR="00583FDB" w:rsidRPr="00B275E2">
        <w:rPr>
          <w:spacing w:val="-2"/>
        </w:rPr>
        <w:t xml:space="preserve"> </w:t>
      </w:r>
      <w:r w:rsidR="00F561E5" w:rsidRPr="00B275E2">
        <w:rPr>
          <w:spacing w:val="-2"/>
        </w:rPr>
        <w:t xml:space="preserve">Downstream and upstream transportation and distribution can also be considered. Refer to </w:t>
      </w:r>
      <w:r w:rsidR="00355CE6" w:rsidRPr="00B275E2">
        <w:t>the</w:t>
      </w:r>
      <w:r w:rsidR="00F424ED" w:rsidRPr="00B275E2">
        <w:t> </w:t>
      </w:r>
      <w:hyperlink r:id="rId86" w:history="1">
        <w:r w:rsidR="00355CE6" w:rsidRPr="00B275E2">
          <w:rPr>
            <w:i/>
            <w:color w:val="32809C"/>
          </w:rPr>
          <w:t>GHG Protocol</w:t>
        </w:r>
      </w:hyperlink>
      <w:r w:rsidR="00355CE6" w:rsidRPr="00B275E2">
        <w:rPr>
          <w:i/>
          <w:color w:val="32809C"/>
        </w:rPr>
        <w:t xml:space="preserve"> Corporate Accounting and Reporting Standard</w:t>
      </w:r>
      <w:r w:rsidR="00355CE6" w:rsidRPr="00B275E2">
        <w:t>.</w:t>
      </w:r>
    </w:p>
    <w:p w14:paraId="7A02931A" w14:textId="1C0E8050" w:rsidR="005E3DD1" w:rsidRDefault="00583FDB" w:rsidP="007F0B1E">
      <w:pPr>
        <w:pStyle w:val="BodyText"/>
      </w:pPr>
      <w:r w:rsidRPr="00B275E2">
        <w:t xml:space="preserve">Included </w:t>
      </w:r>
      <w:r w:rsidR="00A73471">
        <w:t xml:space="preserve">the </w:t>
      </w:r>
      <w:r w:rsidR="00A73471" w:rsidRPr="00B34BB5">
        <w:t xml:space="preserve">road freight </w:t>
      </w:r>
      <w:r w:rsidR="00A73471">
        <w:t xml:space="preserve">section </w:t>
      </w:r>
      <w:r w:rsidR="00A73471" w:rsidRPr="00B34BB5">
        <w:t xml:space="preserve">are </w:t>
      </w:r>
      <w:r w:rsidR="00A73471">
        <w:t>three emissions factors covering urban delivery heavy trucks, long haul heavy trucks and all trucks. Urban delivery heavy trucks</w:t>
      </w:r>
      <w:r w:rsidR="00A73471" w:rsidRPr="00B34BB5">
        <w:t xml:space="preserve"> </w:t>
      </w:r>
      <w:r w:rsidR="00A73471">
        <w:t xml:space="preserve">include vans and </w:t>
      </w:r>
      <w:r w:rsidR="00A73471">
        <w:rPr>
          <w:color w:val="1F497D"/>
        </w:rPr>
        <w:t xml:space="preserve">RUC (road user charge) type 2 trucks such as those powered vehicles with two axles. Please note these trucks could carry trailers and most of their travel would be for urban delivery. </w:t>
      </w:r>
      <w:r w:rsidR="00A73471">
        <w:t>Long haul heavy trucks</w:t>
      </w:r>
      <w:r w:rsidR="00A73471" w:rsidRPr="34D43C65">
        <w:rPr>
          <w:rFonts w:eastAsia="Calibri" w:cs="Calibri"/>
          <w:color w:val="1B556B" w:themeColor="text2"/>
        </w:rPr>
        <w:t xml:space="preserve"> </w:t>
      </w:r>
      <w:r w:rsidR="00A73471">
        <w:rPr>
          <w:rFonts w:eastAsia="Calibri" w:cs="Calibri"/>
          <w:color w:val="1B556B" w:themeColor="text2"/>
        </w:rPr>
        <w:t xml:space="preserve">include other </w:t>
      </w:r>
      <w:r w:rsidR="00A73471" w:rsidRPr="34D43C65">
        <w:rPr>
          <w:rFonts w:eastAsia="Calibri" w:cs="Calibri"/>
          <w:color w:val="1B556B" w:themeColor="text2"/>
        </w:rPr>
        <w:t>RUC types</w:t>
      </w:r>
      <w:r w:rsidR="00A73471">
        <w:rPr>
          <w:rFonts w:eastAsia="Calibri" w:cs="Calibri"/>
          <w:color w:val="1B556B" w:themeColor="text2"/>
        </w:rPr>
        <w:t xml:space="preserve"> such as</w:t>
      </w:r>
      <w:r w:rsidR="00A73471" w:rsidRPr="34D43C65">
        <w:rPr>
          <w:rFonts w:eastAsia="Calibri" w:cs="Calibri"/>
          <w:color w:val="1B556B" w:themeColor="text2"/>
        </w:rPr>
        <w:t xml:space="preserve"> those powered vehicles with three or more axles. Most of them would be used for relatively long-distance travel. </w:t>
      </w:r>
      <w:r w:rsidR="00A73471">
        <w:rPr>
          <w:color w:val="1F497D"/>
        </w:rPr>
        <w:t>The EF for ‘all truck’ should be used for a large fleet with a good mix of small and large trucks. Users should be aware that the emission behaviour of individual vehicles could vary largely.</w:t>
      </w:r>
    </w:p>
    <w:p w14:paraId="650922EF" w14:textId="23972F69" w:rsidR="00583FDB" w:rsidRPr="00B275E2" w:rsidRDefault="00583FDB" w:rsidP="007F0B1E">
      <w:pPr>
        <w:pStyle w:val="BodyText"/>
      </w:pPr>
      <w:r w:rsidRPr="00B275E2">
        <w:t xml:space="preserve">The </w:t>
      </w:r>
      <w:r w:rsidR="00D8796A" w:rsidRPr="00B275E2">
        <w:t>2019 V</w:t>
      </w:r>
      <w:r w:rsidR="0017562F" w:rsidRPr="00B275E2">
        <w:t xml:space="preserve">ehicle </w:t>
      </w:r>
      <w:r w:rsidR="00D8796A" w:rsidRPr="00B275E2">
        <w:t xml:space="preserve">Fleet Emissions Model </w:t>
      </w:r>
      <w:r w:rsidR="008027A0" w:rsidRPr="00B275E2">
        <w:t xml:space="preserve">provided the </w:t>
      </w:r>
      <w:r w:rsidRPr="00B275E2">
        <w:t>real</w:t>
      </w:r>
      <w:r w:rsidR="0075269F" w:rsidRPr="00B275E2">
        <w:t>-</w:t>
      </w:r>
      <w:r w:rsidRPr="00B275E2">
        <w:t xml:space="preserve">world fuel consumption rates </w:t>
      </w:r>
      <w:r w:rsidRPr="00B275E2" w:rsidDel="00AB199A">
        <w:t xml:space="preserve">of </w:t>
      </w:r>
      <w:r w:rsidRPr="00B275E2">
        <w:t xml:space="preserve">the vehicle fleet. The </w:t>
      </w:r>
      <w:r w:rsidRPr="00B275E2" w:rsidDel="00AB199A">
        <w:t xml:space="preserve">data </w:t>
      </w:r>
      <w:r w:rsidRPr="00B275E2">
        <w:t>for the vehicle fleet dat</w:t>
      </w:r>
      <w:r w:rsidR="008027A0" w:rsidRPr="00B275E2">
        <w:t>e</w:t>
      </w:r>
      <w:r w:rsidRPr="00B275E2">
        <w:t xml:space="preserve"> back to 1970 and forecast</w:t>
      </w:r>
      <w:r w:rsidR="008027A0" w:rsidRPr="00B275E2">
        <w:t>s</w:t>
      </w:r>
      <w:r w:rsidRPr="00B275E2">
        <w:t xml:space="preserve"> to 2019.</w:t>
      </w:r>
      <w:r w:rsidR="00B752EF" w:rsidRPr="00B275E2">
        <w:t> </w:t>
      </w:r>
      <w:r w:rsidR="008027A0" w:rsidRPr="00B275E2">
        <w:t>We</w:t>
      </w:r>
      <w:r w:rsidRPr="00B275E2">
        <w:t xml:space="preserve"> decided to split the fleet into </w:t>
      </w:r>
      <w:r w:rsidR="00A151BF" w:rsidRPr="00B275E2">
        <w:t xml:space="preserve">three </w:t>
      </w:r>
      <w:r w:rsidRPr="00B275E2">
        <w:t>categories and develop average emission factors</w:t>
      </w:r>
      <w:r w:rsidR="00B752EF" w:rsidRPr="00B275E2">
        <w:t> </w:t>
      </w:r>
      <w:r w:rsidRPr="00B275E2">
        <w:t>for these</w:t>
      </w:r>
      <w:r w:rsidR="0045521C" w:rsidRPr="00B275E2">
        <w:t>.</w:t>
      </w:r>
    </w:p>
    <w:p w14:paraId="650922F0" w14:textId="66CC0432" w:rsidR="00583FDB" w:rsidRPr="00B275E2" w:rsidRDefault="00583FDB" w:rsidP="00F424ED">
      <w:pPr>
        <w:pStyle w:val="Bullet"/>
      </w:pPr>
      <w:r w:rsidRPr="00B275E2">
        <w:t>Pre-2010 fleet is based on the average fuel consumption data from 1970 to 2010</w:t>
      </w:r>
      <w:r w:rsidR="0045521C" w:rsidRPr="00B275E2">
        <w:t>. W</w:t>
      </w:r>
      <w:r w:rsidR="008027A0" w:rsidRPr="00B275E2">
        <w:t>e assume</w:t>
      </w:r>
      <w:r w:rsidRPr="00B275E2">
        <w:t xml:space="preserve"> there are no electric vehicles or diesel hybrids.</w:t>
      </w:r>
    </w:p>
    <w:p w14:paraId="650922F1" w14:textId="07CEFF4F" w:rsidR="00583FDB" w:rsidRPr="00B275E2" w:rsidRDefault="00583FDB" w:rsidP="00F424ED">
      <w:pPr>
        <w:pStyle w:val="Bullet"/>
      </w:pPr>
      <w:r w:rsidRPr="00B275E2">
        <w:t>2010</w:t>
      </w:r>
      <w:r w:rsidR="0075269F" w:rsidRPr="00B275E2">
        <w:t>–</w:t>
      </w:r>
      <w:r w:rsidRPr="00B275E2">
        <w:t>2015 fleet is based on the average fuel consumption data from vehicles produced between 2010 and 2015</w:t>
      </w:r>
      <w:r w:rsidR="0045521C" w:rsidRPr="00B275E2">
        <w:t>.</w:t>
      </w:r>
    </w:p>
    <w:p w14:paraId="4FC75020" w14:textId="6964848B" w:rsidR="008278EA" w:rsidRPr="00B275E2" w:rsidRDefault="00583FDB" w:rsidP="00F424ED">
      <w:pPr>
        <w:pStyle w:val="Bullet"/>
        <w:spacing w:after="240"/>
      </w:pPr>
      <w:r w:rsidRPr="00B275E2">
        <w:t xml:space="preserve">Post-2015 fleet is based on the average fuel </w:t>
      </w:r>
      <w:r w:rsidRPr="00B275E2" w:rsidDel="00AB199A">
        <w:t xml:space="preserve">consumption </w:t>
      </w:r>
      <w:r w:rsidRPr="00B275E2">
        <w:t>data from vehicles produced from 2015 onwards</w:t>
      </w:r>
      <w:r w:rsidR="0045521C" w:rsidRPr="00B275E2">
        <w:t>.</w:t>
      </w:r>
      <w:r w:rsidR="00A42624" w:rsidRPr="00B275E2">
        <w:t xml:space="preserve"> </w:t>
      </w:r>
    </w:p>
    <w:tbl>
      <w:tblPr>
        <w:tblW w:w="8500"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0"/>
      </w:tblGrid>
      <w:tr w:rsidR="008278EA" w:rsidRPr="00B275E2" w:rsidDel="00D5390D" w14:paraId="0731D7D0" w14:textId="77777777" w:rsidTr="00111201">
        <w:tc>
          <w:tcPr>
            <w:tcW w:w="8500" w:type="dxa"/>
            <w:tcBorders>
              <w:top w:val="single" w:sz="4" w:space="0" w:color="0F7B7D"/>
              <w:left w:val="single" w:sz="4" w:space="0" w:color="0F7B7D"/>
              <w:bottom w:val="nil"/>
              <w:right w:val="single" w:sz="4" w:space="0" w:color="0F7B7D"/>
            </w:tcBorders>
            <w:shd w:val="clear" w:color="auto" w:fill="0F7B7D"/>
            <w:vAlign w:val="center"/>
          </w:tcPr>
          <w:p w14:paraId="2C59AC40" w14:textId="0BCECDC8" w:rsidR="008278EA" w:rsidRPr="00B275E2" w:rsidDel="00D5390D" w:rsidRDefault="008278EA" w:rsidP="00111201">
            <w:pPr>
              <w:pStyle w:val="Casestudyheading"/>
            </w:pPr>
            <w:r w:rsidRPr="00B275E2">
              <w:lastRenderedPageBreak/>
              <w:t>TONNES PER KILOMETRE</w:t>
            </w:r>
          </w:p>
        </w:tc>
      </w:tr>
      <w:tr w:rsidR="008278EA" w:rsidRPr="00B275E2" w14:paraId="126C32AF" w14:textId="77777777" w:rsidTr="00111201">
        <w:tc>
          <w:tcPr>
            <w:tcW w:w="8500" w:type="dxa"/>
            <w:tcBorders>
              <w:top w:val="nil"/>
              <w:left w:val="single" w:sz="4" w:space="0" w:color="D5EBE8" w:themeColor="accent3"/>
              <w:bottom w:val="single" w:sz="4" w:space="0" w:color="D5EBE8" w:themeColor="accent3"/>
              <w:right w:val="single" w:sz="4" w:space="0" w:color="D5EBE8" w:themeColor="accent3"/>
            </w:tcBorders>
            <w:shd w:val="clear" w:color="auto" w:fill="D5EBE8" w:themeFill="accent3"/>
          </w:tcPr>
          <w:p w14:paraId="3B2EAC13" w14:textId="6A60CE31" w:rsidR="008278EA" w:rsidRPr="00B275E2" w:rsidRDefault="008278EA" w:rsidP="00111201">
            <w:pPr>
              <w:pStyle w:val="Boxtext"/>
              <w:keepNext/>
              <w:spacing w:after="80"/>
            </w:pPr>
            <w:r w:rsidRPr="00B275E2">
              <w:t>A tkm is the distance travelled multiplied by the weight of freight carried by the LCV or HGV.</w:t>
            </w:r>
            <w:r w:rsidR="00A42624" w:rsidRPr="00B275E2">
              <w:t xml:space="preserve"> </w:t>
            </w:r>
          </w:p>
          <w:p w14:paraId="088C223B" w14:textId="2581DA95" w:rsidR="008278EA" w:rsidRPr="00B275E2" w:rsidRDefault="008278EA" w:rsidP="00111201">
            <w:pPr>
              <w:pStyle w:val="Boxtext"/>
              <w:keepNext/>
              <w:spacing w:after="80"/>
            </w:pPr>
            <w:r w:rsidRPr="00B275E2">
              <w:t>For example, an HGV carrying 5 tonnes freight over 100</w:t>
            </w:r>
            <w:r w:rsidR="00637C54" w:rsidRPr="00B275E2">
              <w:t xml:space="preserve"> </w:t>
            </w:r>
            <w:r w:rsidRPr="00B275E2">
              <w:t>km has a tkm value of 500</w:t>
            </w:r>
            <w:r w:rsidR="00637C54" w:rsidRPr="00B275E2">
              <w:t xml:space="preserve"> </w:t>
            </w:r>
            <w:r w:rsidRPr="00B275E2">
              <w:t>tkm.</w:t>
            </w:r>
            <w:r w:rsidR="00A42624" w:rsidRPr="00B275E2">
              <w:t xml:space="preserve"> </w:t>
            </w:r>
          </w:p>
          <w:p w14:paraId="50ACDB77" w14:textId="09277019" w:rsidR="008278EA" w:rsidRPr="00B275E2" w:rsidRDefault="008278EA" w:rsidP="00111201">
            <w:pPr>
              <w:pStyle w:val="Boxtext"/>
              <w:keepNext/>
              <w:spacing w:after="180"/>
              <w:rPr>
                <w:rFonts w:asciiTheme="minorHAnsi" w:eastAsia="Times New Roman" w:hAnsiTheme="minorHAnsi"/>
                <w:lang w:eastAsia="en-US"/>
              </w:rPr>
            </w:pPr>
            <w:r w:rsidRPr="00B275E2">
              <w:t>The CO</w:t>
            </w:r>
            <w:r w:rsidRPr="00B275E2">
              <w:rPr>
                <w:vertAlign w:val="subscript"/>
              </w:rPr>
              <w:t>2</w:t>
            </w:r>
            <w:r w:rsidRPr="00B275E2">
              <w:t xml:space="preserve"> emissions are calculated from these factors by multiplying the number of tkm the user has for the distance and weight of the goods being moved by the CO</w:t>
            </w:r>
            <w:r w:rsidRPr="00B275E2">
              <w:rPr>
                <w:vertAlign w:val="subscript"/>
              </w:rPr>
              <w:t>2</w:t>
            </w:r>
            <w:r w:rsidRPr="00B275E2">
              <w:t xml:space="preserve"> conversion factor in the ‘Freight workbook 2022’ worksheet of the 2022 Interactive </w:t>
            </w:r>
            <w:r w:rsidR="00BC56F5" w:rsidRPr="00B275E2">
              <w:t>w</w:t>
            </w:r>
            <w:r w:rsidRPr="00B275E2">
              <w:t>orkbook for the relevant LCV or HGV class.</w:t>
            </w:r>
          </w:p>
        </w:tc>
      </w:tr>
    </w:tbl>
    <w:p w14:paraId="20F1907C" w14:textId="41F46C2A" w:rsidR="004863A6" w:rsidRPr="00B275E2" w:rsidRDefault="004863A6" w:rsidP="006B7605">
      <w:pPr>
        <w:pStyle w:val="Heading3"/>
      </w:pPr>
      <w:bookmarkStart w:id="467" w:name="_Toc532904918"/>
      <w:r w:rsidRPr="00B275E2">
        <w:t>Light commercial vehicle emission factors</w:t>
      </w:r>
      <w:bookmarkEnd w:id="467"/>
    </w:p>
    <w:p w14:paraId="650922F4" w14:textId="20E069F4" w:rsidR="009A7279" w:rsidRPr="00B275E2" w:rsidRDefault="00EB4389" w:rsidP="00111201">
      <w:pPr>
        <w:pStyle w:val="Tableheading"/>
      </w:pPr>
      <w:bookmarkStart w:id="468" w:name="_Toc111536657"/>
      <w:r w:rsidRPr="00B275E2">
        <w:t xml:space="preserve">Table </w:t>
      </w:r>
      <w:r w:rsidRPr="00B275E2">
        <w:fldChar w:fldCharType="begin"/>
      </w:r>
      <w:r w:rsidRPr="00B275E2">
        <w:instrText>SEQ Table \* ARABIC</w:instrText>
      </w:r>
      <w:r w:rsidRPr="00B275E2">
        <w:fldChar w:fldCharType="separate"/>
      </w:r>
      <w:r>
        <w:rPr>
          <w:noProof/>
        </w:rPr>
        <w:t>52</w:t>
      </w:r>
      <w:r w:rsidRPr="00B275E2">
        <w:fldChar w:fldCharType="end"/>
      </w:r>
      <w:r w:rsidRPr="00B275E2">
        <w:t>:</w:t>
      </w:r>
      <w:r w:rsidRPr="00B275E2">
        <w:tab/>
      </w:r>
      <w:r w:rsidR="009A7279" w:rsidRPr="00B275E2">
        <w:t>Emission factors for</w:t>
      </w:r>
      <w:r w:rsidR="00C803E3" w:rsidRPr="00B275E2">
        <w:t xml:space="preserve"> </w:t>
      </w:r>
      <w:r w:rsidR="009A7279" w:rsidRPr="00B275E2">
        <w:t>light commercial vehicles</w:t>
      </w:r>
      <w:r w:rsidR="00C803E3" w:rsidRPr="00B275E2">
        <w:t xml:space="preserve"> manufactured pre</w:t>
      </w:r>
      <w:r w:rsidR="0075269F" w:rsidRPr="00B275E2">
        <w:t>-</w:t>
      </w:r>
      <w:r w:rsidR="00C803E3" w:rsidRPr="00B275E2">
        <w:t>2010</w:t>
      </w:r>
      <w:bookmarkEnd w:id="468"/>
    </w:p>
    <w:tbl>
      <w:tblPr>
        <w:tblStyle w:val="TableGrid"/>
        <w:tblW w:w="8505" w:type="dxa"/>
        <w:tblInd w:w="20"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ayout w:type="fixed"/>
        <w:tblCellMar>
          <w:left w:w="85" w:type="dxa"/>
          <w:right w:w="85" w:type="dxa"/>
        </w:tblCellMar>
        <w:tblLook w:val="04A0" w:firstRow="1" w:lastRow="0" w:firstColumn="1" w:lastColumn="0" w:noHBand="0" w:noVBand="1"/>
      </w:tblPr>
      <w:tblGrid>
        <w:gridCol w:w="1478"/>
        <w:gridCol w:w="1536"/>
        <w:gridCol w:w="708"/>
        <w:gridCol w:w="1299"/>
        <w:gridCol w:w="1122"/>
        <w:gridCol w:w="1181"/>
        <w:gridCol w:w="1181"/>
      </w:tblGrid>
      <w:tr w:rsidR="00B70E71" w:rsidRPr="00B275E2" w14:paraId="650922FB" w14:textId="77777777" w:rsidTr="00111201">
        <w:trPr>
          <w:tblHeader/>
        </w:trPr>
        <w:tc>
          <w:tcPr>
            <w:tcW w:w="1418" w:type="dxa"/>
            <w:shd w:val="clear" w:color="auto" w:fill="1C556C" w:themeFill="accent1"/>
            <w:noWrap/>
            <w:vAlign w:val="bottom"/>
            <w:hideMark/>
          </w:tcPr>
          <w:p w14:paraId="650922F5" w14:textId="77777777" w:rsidR="000105C2" w:rsidRPr="00B275E2" w:rsidRDefault="000105C2" w:rsidP="00F16608">
            <w:pPr>
              <w:pStyle w:val="TableText"/>
              <w:spacing w:before="40" w:after="40"/>
              <w:rPr>
                <w:rFonts w:cs="Calibri"/>
                <w:b/>
                <w:color w:val="FFFFFF" w:themeColor="background1"/>
                <w:szCs w:val="18"/>
              </w:rPr>
            </w:pPr>
            <w:r w:rsidRPr="00B275E2">
              <w:rPr>
                <w:rFonts w:cs="Calibri"/>
                <w:b/>
                <w:color w:val="FFFFFF" w:themeColor="background1"/>
                <w:szCs w:val="18"/>
              </w:rPr>
              <w:t>Emission source</w:t>
            </w:r>
          </w:p>
        </w:tc>
        <w:tc>
          <w:tcPr>
            <w:tcW w:w="1474" w:type="dxa"/>
            <w:shd w:val="clear" w:color="auto" w:fill="1C556C" w:themeFill="accent1"/>
            <w:vAlign w:val="bottom"/>
          </w:tcPr>
          <w:p w14:paraId="10612381" w14:textId="77777777" w:rsidR="000105C2" w:rsidRPr="00B275E2" w:rsidRDefault="000105C2" w:rsidP="00F16608">
            <w:pPr>
              <w:pStyle w:val="TableText"/>
              <w:spacing w:before="40" w:after="40"/>
              <w:rPr>
                <w:rFonts w:cs="Calibri"/>
                <w:b/>
                <w:color w:val="FFFFFF" w:themeColor="background1"/>
                <w:szCs w:val="18"/>
              </w:rPr>
            </w:pPr>
          </w:p>
        </w:tc>
        <w:tc>
          <w:tcPr>
            <w:tcW w:w="654" w:type="dxa"/>
            <w:shd w:val="clear" w:color="auto" w:fill="1C556C" w:themeFill="accent1"/>
            <w:noWrap/>
            <w:vAlign w:val="bottom"/>
            <w:hideMark/>
          </w:tcPr>
          <w:p w14:paraId="650922F6" w14:textId="32E4D8E2" w:rsidR="000105C2" w:rsidRPr="00B275E2" w:rsidRDefault="000105C2" w:rsidP="00F16608">
            <w:pPr>
              <w:pStyle w:val="TableText"/>
              <w:spacing w:before="40" w:after="40"/>
              <w:rPr>
                <w:rFonts w:cs="Calibri"/>
                <w:b/>
                <w:color w:val="FFFFFF" w:themeColor="background1"/>
                <w:szCs w:val="18"/>
              </w:rPr>
            </w:pPr>
            <w:r w:rsidRPr="00B275E2">
              <w:rPr>
                <w:rFonts w:cs="Calibri"/>
                <w:b/>
                <w:color w:val="FFFFFF" w:themeColor="background1"/>
                <w:szCs w:val="18"/>
              </w:rPr>
              <w:t>Unit</w:t>
            </w:r>
          </w:p>
        </w:tc>
        <w:tc>
          <w:tcPr>
            <w:tcW w:w="1247" w:type="dxa"/>
            <w:shd w:val="clear" w:color="auto" w:fill="D2DDE1" w:themeFill="background2"/>
            <w:noWrap/>
            <w:vAlign w:val="bottom"/>
            <w:hideMark/>
          </w:tcPr>
          <w:p w14:paraId="650922F7" w14:textId="5CE07169" w:rsidR="000105C2" w:rsidRPr="00B275E2" w:rsidRDefault="000105C2" w:rsidP="00F16608">
            <w:pPr>
              <w:pStyle w:val="TableText"/>
              <w:spacing w:before="40" w:after="40"/>
              <w:jc w:val="right"/>
              <w:rPr>
                <w:rFonts w:cs="Calibri"/>
                <w:b/>
                <w:szCs w:val="18"/>
              </w:rPr>
            </w:pPr>
            <w:r w:rsidRPr="00B275E2">
              <w:rPr>
                <w:rFonts w:cs="Calibri"/>
                <w:b/>
                <w:szCs w:val="18"/>
              </w:rPr>
              <w:t>kg CO</w:t>
            </w:r>
            <w:r w:rsidRPr="00B275E2">
              <w:rPr>
                <w:rFonts w:cs="Calibri"/>
                <w:b/>
                <w:szCs w:val="18"/>
                <w:vertAlign w:val="subscript"/>
              </w:rPr>
              <w:t>2</w:t>
            </w:r>
            <w:r w:rsidRPr="00B275E2">
              <w:rPr>
                <w:rFonts w:cs="Calibri"/>
                <w:b/>
                <w:szCs w:val="18"/>
              </w:rPr>
              <w:t>-e/unit</w:t>
            </w:r>
          </w:p>
        </w:tc>
        <w:tc>
          <w:tcPr>
            <w:tcW w:w="1077" w:type="dxa"/>
            <w:shd w:val="clear" w:color="auto" w:fill="1C556C" w:themeFill="accent1"/>
            <w:noWrap/>
            <w:vAlign w:val="bottom"/>
            <w:hideMark/>
          </w:tcPr>
          <w:p w14:paraId="650922F8" w14:textId="74B037F2" w:rsidR="000105C2" w:rsidRPr="00B275E2" w:rsidRDefault="000105C2" w:rsidP="00F16608">
            <w:pPr>
              <w:pStyle w:val="TableText"/>
              <w:spacing w:before="40" w:after="40"/>
              <w:jc w:val="right"/>
              <w:rPr>
                <w:rFonts w:cs="Calibri"/>
                <w:b/>
                <w:color w:val="FFFFFF" w:themeColor="background1"/>
                <w:szCs w:val="18"/>
              </w:rPr>
            </w:pPr>
            <w:r w:rsidRPr="00B275E2">
              <w:rPr>
                <w:rFonts w:cs="Calibri"/>
                <w:b/>
                <w:color w:val="FFFFFF" w:themeColor="background1"/>
                <w:szCs w:val="18"/>
              </w:rPr>
              <w:t>kg CO</w:t>
            </w:r>
            <w:r w:rsidRPr="00B275E2">
              <w:rPr>
                <w:rFonts w:cs="Calibri"/>
                <w:b/>
                <w:color w:val="FFFFFF" w:themeColor="background1"/>
                <w:szCs w:val="18"/>
                <w:vertAlign w:val="subscript"/>
              </w:rPr>
              <w:t>2</w:t>
            </w:r>
            <w:r w:rsidRPr="00B275E2">
              <w:rPr>
                <w:rFonts w:cs="Calibri"/>
                <w:b/>
                <w:color w:val="FFFFFF" w:themeColor="background1"/>
                <w:szCs w:val="18"/>
              </w:rPr>
              <w:t>/unit (kg CO</w:t>
            </w:r>
            <w:r w:rsidRPr="00B275E2">
              <w:rPr>
                <w:rFonts w:cs="Calibri"/>
                <w:b/>
                <w:color w:val="FFFFFF" w:themeColor="background1"/>
                <w:szCs w:val="18"/>
                <w:vertAlign w:val="subscript"/>
              </w:rPr>
              <w:t>2</w:t>
            </w:r>
            <w:r w:rsidRPr="00B275E2">
              <w:rPr>
                <w:rFonts w:cs="Calibri"/>
                <w:b/>
                <w:color w:val="FFFFFF" w:themeColor="background1"/>
                <w:szCs w:val="18"/>
              </w:rPr>
              <w:noBreakHyphen/>
              <w:t>e)</w:t>
            </w:r>
          </w:p>
        </w:tc>
        <w:tc>
          <w:tcPr>
            <w:tcW w:w="1134" w:type="dxa"/>
            <w:shd w:val="clear" w:color="auto" w:fill="1C556C" w:themeFill="accent1"/>
            <w:noWrap/>
            <w:vAlign w:val="bottom"/>
            <w:hideMark/>
          </w:tcPr>
          <w:p w14:paraId="650922F9" w14:textId="6F46EFB9" w:rsidR="000105C2" w:rsidRPr="00B275E2" w:rsidRDefault="000105C2" w:rsidP="00F16608">
            <w:pPr>
              <w:pStyle w:val="TableText"/>
              <w:spacing w:before="40" w:after="40"/>
              <w:jc w:val="right"/>
              <w:rPr>
                <w:rFonts w:cs="Calibri"/>
                <w:b/>
                <w:color w:val="FFFFFF" w:themeColor="background1"/>
                <w:szCs w:val="18"/>
              </w:rPr>
            </w:pPr>
            <w:r w:rsidRPr="00B275E2">
              <w:rPr>
                <w:rFonts w:cs="Calibri"/>
                <w:b/>
                <w:color w:val="FFFFFF" w:themeColor="background1"/>
                <w:szCs w:val="18"/>
              </w:rPr>
              <w:t>kg CH</w:t>
            </w:r>
            <w:r w:rsidRPr="00B275E2">
              <w:rPr>
                <w:rFonts w:cs="Calibri"/>
                <w:b/>
                <w:color w:val="FFFFFF" w:themeColor="background1"/>
                <w:szCs w:val="18"/>
                <w:vertAlign w:val="subscript"/>
              </w:rPr>
              <w:t>4</w:t>
            </w:r>
            <w:r w:rsidRPr="00B275E2">
              <w:rPr>
                <w:rFonts w:cs="Calibri"/>
                <w:b/>
                <w:color w:val="FFFFFF" w:themeColor="background1"/>
                <w:szCs w:val="18"/>
              </w:rPr>
              <w:t>/unit (kg CO</w:t>
            </w:r>
            <w:r w:rsidRPr="00B275E2">
              <w:rPr>
                <w:rFonts w:cs="Calibri"/>
                <w:b/>
                <w:color w:val="FFFFFF" w:themeColor="background1"/>
                <w:szCs w:val="18"/>
                <w:vertAlign w:val="subscript"/>
              </w:rPr>
              <w:t>2</w:t>
            </w:r>
            <w:r w:rsidRPr="00B275E2">
              <w:rPr>
                <w:rFonts w:cs="Calibri"/>
                <w:b/>
                <w:color w:val="FFFFFF" w:themeColor="background1"/>
                <w:szCs w:val="18"/>
              </w:rPr>
              <w:noBreakHyphen/>
              <w:t>e)</w:t>
            </w:r>
          </w:p>
        </w:tc>
        <w:tc>
          <w:tcPr>
            <w:tcW w:w="1134" w:type="dxa"/>
            <w:shd w:val="clear" w:color="auto" w:fill="1C556C" w:themeFill="accent1"/>
            <w:noWrap/>
            <w:vAlign w:val="bottom"/>
            <w:hideMark/>
          </w:tcPr>
          <w:p w14:paraId="650922FA" w14:textId="43DC9B4A" w:rsidR="000105C2" w:rsidRPr="00B275E2" w:rsidRDefault="000105C2" w:rsidP="00F16608">
            <w:pPr>
              <w:pStyle w:val="TableText"/>
              <w:spacing w:before="40" w:after="40"/>
              <w:jc w:val="right"/>
              <w:rPr>
                <w:rFonts w:cs="Calibri"/>
                <w:b/>
                <w:color w:val="FFFFFF" w:themeColor="background1"/>
                <w:szCs w:val="18"/>
              </w:rPr>
            </w:pPr>
            <w:r w:rsidRPr="00B275E2">
              <w:rPr>
                <w:rFonts w:cs="Calibri"/>
                <w:b/>
                <w:color w:val="FFFFFF" w:themeColor="background1"/>
                <w:szCs w:val="18"/>
              </w:rPr>
              <w:t>kg N</w:t>
            </w:r>
            <w:r w:rsidRPr="00B275E2">
              <w:rPr>
                <w:rFonts w:cs="Calibri"/>
                <w:b/>
                <w:color w:val="FFFFFF" w:themeColor="background1"/>
                <w:szCs w:val="18"/>
                <w:vertAlign w:val="subscript"/>
              </w:rPr>
              <w:t>2</w:t>
            </w:r>
            <w:r w:rsidRPr="00B275E2">
              <w:rPr>
                <w:rFonts w:cs="Calibri"/>
                <w:b/>
                <w:color w:val="FFFFFF" w:themeColor="background1"/>
                <w:szCs w:val="18"/>
              </w:rPr>
              <w:t>O/unit (kg CO</w:t>
            </w:r>
            <w:r w:rsidRPr="00B275E2">
              <w:rPr>
                <w:rFonts w:cs="Calibri"/>
                <w:b/>
                <w:color w:val="FFFFFF" w:themeColor="background1"/>
                <w:szCs w:val="18"/>
                <w:vertAlign w:val="subscript"/>
              </w:rPr>
              <w:t>2</w:t>
            </w:r>
            <w:r w:rsidRPr="00B275E2">
              <w:rPr>
                <w:rFonts w:cs="Calibri"/>
                <w:b/>
                <w:color w:val="FFFFFF" w:themeColor="background1"/>
                <w:szCs w:val="18"/>
              </w:rPr>
              <w:noBreakHyphen/>
              <w:t>e)</w:t>
            </w:r>
          </w:p>
        </w:tc>
      </w:tr>
      <w:tr w:rsidR="00B70E71" w:rsidRPr="00B275E2" w14:paraId="65092303" w14:textId="77777777" w:rsidTr="00111201">
        <w:tc>
          <w:tcPr>
            <w:tcW w:w="1418" w:type="dxa"/>
            <w:vMerge w:val="restart"/>
          </w:tcPr>
          <w:p w14:paraId="650922FC" w14:textId="77777777" w:rsidR="002D1F90" w:rsidRPr="00B275E2" w:rsidRDefault="002D1F90" w:rsidP="00F16608">
            <w:pPr>
              <w:pStyle w:val="TableText"/>
              <w:spacing w:before="40" w:after="40"/>
              <w:rPr>
                <w:rFonts w:cs="Calibri"/>
                <w:szCs w:val="18"/>
              </w:rPr>
            </w:pPr>
            <w:r w:rsidRPr="00B275E2">
              <w:rPr>
                <w:rFonts w:cs="Calibri"/>
                <w:szCs w:val="18"/>
              </w:rPr>
              <w:t>Petrol</w:t>
            </w:r>
          </w:p>
        </w:tc>
        <w:tc>
          <w:tcPr>
            <w:tcW w:w="1474" w:type="dxa"/>
            <w:shd w:val="clear" w:color="auto" w:fill="auto"/>
            <w:noWrap/>
            <w:vAlign w:val="bottom"/>
          </w:tcPr>
          <w:p w14:paraId="650922FD" w14:textId="77777777" w:rsidR="002D1F90" w:rsidRPr="00B275E2" w:rsidRDefault="002D1F90" w:rsidP="00F16608">
            <w:pPr>
              <w:pStyle w:val="TableText"/>
              <w:spacing w:before="40" w:after="40"/>
              <w:rPr>
                <w:rFonts w:cs="Calibri"/>
                <w:szCs w:val="18"/>
              </w:rPr>
            </w:pPr>
            <w:r w:rsidRPr="00B275E2">
              <w:rPr>
                <w:rFonts w:cs="Calibri"/>
                <w:color w:val="000000"/>
                <w:szCs w:val="18"/>
              </w:rPr>
              <w:t>&lt;1350 cc</w:t>
            </w:r>
          </w:p>
        </w:tc>
        <w:tc>
          <w:tcPr>
            <w:tcW w:w="654" w:type="dxa"/>
            <w:shd w:val="clear" w:color="auto" w:fill="auto"/>
            <w:noWrap/>
            <w:vAlign w:val="bottom"/>
          </w:tcPr>
          <w:p w14:paraId="650922FE" w14:textId="2CF143F4" w:rsidR="002D1F90" w:rsidRPr="00B275E2" w:rsidRDefault="002D1F90" w:rsidP="00F16608">
            <w:pPr>
              <w:pStyle w:val="TableText"/>
              <w:spacing w:before="40" w:after="40"/>
              <w:rPr>
                <w:rFonts w:cs="Calibri"/>
                <w:szCs w:val="18"/>
              </w:rPr>
            </w:pPr>
            <w:r w:rsidRPr="00B275E2">
              <w:rPr>
                <w:rFonts w:cs="Calibri"/>
                <w:color w:val="000000"/>
                <w:szCs w:val="18"/>
              </w:rPr>
              <w:t>km</w:t>
            </w:r>
          </w:p>
        </w:tc>
        <w:tc>
          <w:tcPr>
            <w:tcW w:w="1247" w:type="dxa"/>
            <w:shd w:val="clear" w:color="auto" w:fill="D2DDE1" w:themeFill="background2"/>
            <w:noWrap/>
          </w:tcPr>
          <w:p w14:paraId="650922FF" w14:textId="58828653" w:rsidR="002D1F90" w:rsidRPr="00B275E2" w:rsidRDefault="002D1F90" w:rsidP="00F16608">
            <w:pPr>
              <w:pStyle w:val="TableText"/>
              <w:spacing w:before="40" w:after="40"/>
              <w:jc w:val="right"/>
              <w:rPr>
                <w:rFonts w:cs="Calibri"/>
                <w:szCs w:val="18"/>
              </w:rPr>
            </w:pPr>
            <w:r w:rsidRPr="00B275E2">
              <w:rPr>
                <w:rFonts w:cs="Calibri"/>
                <w:szCs w:val="18"/>
              </w:rPr>
              <w:t>0.207</w:t>
            </w:r>
          </w:p>
        </w:tc>
        <w:tc>
          <w:tcPr>
            <w:tcW w:w="1077" w:type="dxa"/>
            <w:shd w:val="clear" w:color="auto" w:fill="auto"/>
            <w:noWrap/>
          </w:tcPr>
          <w:p w14:paraId="65092300" w14:textId="2267FBBD" w:rsidR="002D1F90" w:rsidRPr="00B275E2" w:rsidRDefault="002D1F90" w:rsidP="00F16608">
            <w:pPr>
              <w:pStyle w:val="TableText"/>
              <w:spacing w:before="40" w:after="40"/>
              <w:jc w:val="right"/>
              <w:rPr>
                <w:rFonts w:cs="Calibri"/>
                <w:szCs w:val="18"/>
              </w:rPr>
            </w:pPr>
            <w:r w:rsidRPr="00B275E2">
              <w:rPr>
                <w:rFonts w:cs="Calibri"/>
                <w:szCs w:val="18"/>
              </w:rPr>
              <w:t>0.198</w:t>
            </w:r>
          </w:p>
        </w:tc>
        <w:tc>
          <w:tcPr>
            <w:tcW w:w="1134" w:type="dxa"/>
            <w:shd w:val="clear" w:color="auto" w:fill="auto"/>
            <w:noWrap/>
          </w:tcPr>
          <w:p w14:paraId="65092301" w14:textId="0A31567C" w:rsidR="002D1F90" w:rsidRPr="00B275E2" w:rsidRDefault="002D1F90" w:rsidP="00F16608">
            <w:pPr>
              <w:pStyle w:val="TableText"/>
              <w:spacing w:before="40" w:after="40"/>
              <w:jc w:val="right"/>
              <w:rPr>
                <w:rFonts w:cs="Calibri"/>
                <w:szCs w:val="18"/>
              </w:rPr>
            </w:pPr>
            <w:r w:rsidRPr="00B275E2">
              <w:rPr>
                <w:rFonts w:cs="Calibri"/>
                <w:szCs w:val="18"/>
              </w:rPr>
              <w:t>0.002</w:t>
            </w:r>
          </w:p>
        </w:tc>
        <w:tc>
          <w:tcPr>
            <w:tcW w:w="1134" w:type="dxa"/>
            <w:shd w:val="clear" w:color="auto" w:fill="auto"/>
            <w:noWrap/>
          </w:tcPr>
          <w:p w14:paraId="65092302" w14:textId="21CF77D7" w:rsidR="002D1F90" w:rsidRPr="00B275E2" w:rsidRDefault="002D1F90" w:rsidP="00F16608">
            <w:pPr>
              <w:pStyle w:val="TableText"/>
              <w:spacing w:before="40" w:after="40"/>
              <w:jc w:val="right"/>
              <w:rPr>
                <w:rFonts w:cs="Calibri"/>
                <w:szCs w:val="18"/>
              </w:rPr>
            </w:pPr>
            <w:r w:rsidRPr="00B275E2">
              <w:rPr>
                <w:rFonts w:cs="Calibri"/>
                <w:szCs w:val="18"/>
              </w:rPr>
              <w:t>0.007</w:t>
            </w:r>
          </w:p>
        </w:tc>
      </w:tr>
      <w:tr w:rsidR="00B70E71" w:rsidRPr="00B275E2" w14:paraId="6509230B" w14:textId="77777777" w:rsidTr="00111201">
        <w:tc>
          <w:tcPr>
            <w:tcW w:w="1418" w:type="dxa"/>
            <w:vMerge/>
          </w:tcPr>
          <w:p w14:paraId="65092304" w14:textId="77777777" w:rsidR="002D1F90" w:rsidRPr="00B275E2" w:rsidRDefault="002D1F90" w:rsidP="00F16608">
            <w:pPr>
              <w:pStyle w:val="TableText"/>
              <w:spacing w:before="40" w:after="40"/>
              <w:rPr>
                <w:rFonts w:cs="Calibri"/>
                <w:szCs w:val="18"/>
              </w:rPr>
            </w:pPr>
          </w:p>
        </w:tc>
        <w:tc>
          <w:tcPr>
            <w:tcW w:w="1474" w:type="dxa"/>
            <w:shd w:val="clear" w:color="auto" w:fill="auto"/>
            <w:noWrap/>
            <w:vAlign w:val="bottom"/>
          </w:tcPr>
          <w:p w14:paraId="65092305" w14:textId="0538FDA2" w:rsidR="002D1F90" w:rsidRPr="00B275E2" w:rsidRDefault="002D1F90" w:rsidP="00F16608">
            <w:pPr>
              <w:pStyle w:val="TableText"/>
              <w:spacing w:before="40" w:after="40"/>
              <w:rPr>
                <w:rFonts w:cs="Calibri"/>
                <w:szCs w:val="18"/>
              </w:rPr>
            </w:pPr>
            <w:r w:rsidRPr="00B275E2">
              <w:rPr>
                <w:rFonts w:cs="Calibri"/>
                <w:color w:val="000000"/>
                <w:szCs w:val="18"/>
              </w:rPr>
              <w:t xml:space="preserve">1350 - </w:t>
            </w:r>
            <w:r w:rsidRPr="00B275E2">
              <w:rPr>
                <w:rFonts w:cs="Calibri"/>
                <w:szCs w:val="18"/>
              </w:rPr>
              <w:t>&lt;</w:t>
            </w:r>
            <w:r w:rsidRPr="00B275E2">
              <w:rPr>
                <w:rFonts w:cs="Calibri"/>
                <w:color w:val="000000"/>
                <w:szCs w:val="18"/>
              </w:rPr>
              <w:t>1600 cc</w:t>
            </w:r>
          </w:p>
        </w:tc>
        <w:tc>
          <w:tcPr>
            <w:tcW w:w="654" w:type="dxa"/>
            <w:shd w:val="clear" w:color="auto" w:fill="auto"/>
            <w:noWrap/>
            <w:vAlign w:val="bottom"/>
          </w:tcPr>
          <w:p w14:paraId="65092306" w14:textId="7E77E3B2" w:rsidR="002D1F90" w:rsidRPr="00B275E2" w:rsidRDefault="002D1F90" w:rsidP="00F16608">
            <w:pPr>
              <w:pStyle w:val="TableText"/>
              <w:spacing w:before="40" w:after="40"/>
              <w:rPr>
                <w:rFonts w:cs="Calibri"/>
                <w:szCs w:val="18"/>
              </w:rPr>
            </w:pPr>
            <w:r w:rsidRPr="00B275E2">
              <w:rPr>
                <w:rFonts w:cs="Calibri"/>
                <w:color w:val="000000"/>
                <w:szCs w:val="18"/>
              </w:rPr>
              <w:t>km</w:t>
            </w:r>
          </w:p>
        </w:tc>
        <w:tc>
          <w:tcPr>
            <w:tcW w:w="1247" w:type="dxa"/>
            <w:shd w:val="clear" w:color="auto" w:fill="D2DDE1" w:themeFill="background2"/>
            <w:noWrap/>
          </w:tcPr>
          <w:p w14:paraId="65092307" w14:textId="2F352DB3" w:rsidR="002D1F90" w:rsidRPr="00B275E2" w:rsidRDefault="002D1F90" w:rsidP="00F16608">
            <w:pPr>
              <w:pStyle w:val="TableText"/>
              <w:spacing w:before="40" w:after="40"/>
              <w:jc w:val="right"/>
              <w:rPr>
                <w:rFonts w:cs="Calibri"/>
                <w:szCs w:val="18"/>
              </w:rPr>
            </w:pPr>
            <w:r w:rsidRPr="00B275E2">
              <w:rPr>
                <w:rFonts w:cs="Calibri"/>
                <w:szCs w:val="18"/>
              </w:rPr>
              <w:t>0.222</w:t>
            </w:r>
          </w:p>
        </w:tc>
        <w:tc>
          <w:tcPr>
            <w:tcW w:w="1077" w:type="dxa"/>
            <w:shd w:val="clear" w:color="auto" w:fill="auto"/>
            <w:noWrap/>
          </w:tcPr>
          <w:p w14:paraId="65092308" w14:textId="26270784" w:rsidR="002D1F90" w:rsidRPr="00B275E2" w:rsidRDefault="002D1F90" w:rsidP="00F16608">
            <w:pPr>
              <w:pStyle w:val="TableText"/>
              <w:spacing w:before="40" w:after="40"/>
              <w:jc w:val="right"/>
              <w:rPr>
                <w:rFonts w:cs="Calibri"/>
                <w:szCs w:val="18"/>
              </w:rPr>
            </w:pPr>
            <w:r w:rsidRPr="00B275E2">
              <w:rPr>
                <w:rFonts w:cs="Calibri"/>
                <w:szCs w:val="18"/>
              </w:rPr>
              <w:t>0.212</w:t>
            </w:r>
          </w:p>
        </w:tc>
        <w:tc>
          <w:tcPr>
            <w:tcW w:w="1134" w:type="dxa"/>
            <w:shd w:val="clear" w:color="auto" w:fill="auto"/>
            <w:noWrap/>
          </w:tcPr>
          <w:p w14:paraId="65092309" w14:textId="4258247A" w:rsidR="002D1F90" w:rsidRPr="00B275E2" w:rsidRDefault="002D1F90" w:rsidP="00F16608">
            <w:pPr>
              <w:pStyle w:val="TableText"/>
              <w:spacing w:before="40" w:after="40"/>
              <w:jc w:val="right"/>
              <w:rPr>
                <w:rFonts w:cs="Calibri"/>
                <w:szCs w:val="18"/>
              </w:rPr>
            </w:pPr>
            <w:r w:rsidRPr="00B275E2">
              <w:rPr>
                <w:rFonts w:cs="Calibri"/>
                <w:szCs w:val="18"/>
              </w:rPr>
              <w:t>0.002</w:t>
            </w:r>
          </w:p>
        </w:tc>
        <w:tc>
          <w:tcPr>
            <w:tcW w:w="1134" w:type="dxa"/>
            <w:shd w:val="clear" w:color="auto" w:fill="auto"/>
            <w:noWrap/>
          </w:tcPr>
          <w:p w14:paraId="6509230A" w14:textId="4A7C27C6" w:rsidR="002D1F90" w:rsidRPr="00B275E2" w:rsidRDefault="002D1F90" w:rsidP="00F16608">
            <w:pPr>
              <w:pStyle w:val="TableText"/>
              <w:spacing w:before="40" w:after="40"/>
              <w:jc w:val="right"/>
              <w:rPr>
                <w:rFonts w:cs="Calibri"/>
                <w:szCs w:val="18"/>
              </w:rPr>
            </w:pPr>
            <w:r w:rsidRPr="00B275E2">
              <w:rPr>
                <w:rFonts w:cs="Calibri"/>
                <w:szCs w:val="18"/>
              </w:rPr>
              <w:t>0.007</w:t>
            </w:r>
          </w:p>
        </w:tc>
      </w:tr>
      <w:tr w:rsidR="00B70E71" w:rsidRPr="00B275E2" w14:paraId="65092313" w14:textId="77777777" w:rsidTr="00111201">
        <w:tc>
          <w:tcPr>
            <w:tcW w:w="1418" w:type="dxa"/>
            <w:vMerge/>
          </w:tcPr>
          <w:p w14:paraId="6509230C" w14:textId="77777777" w:rsidR="002D1F90" w:rsidRPr="00B275E2" w:rsidRDefault="002D1F90" w:rsidP="00F16608">
            <w:pPr>
              <w:pStyle w:val="TableText"/>
              <w:spacing w:before="40" w:after="40"/>
              <w:rPr>
                <w:rFonts w:cs="Calibri"/>
                <w:szCs w:val="18"/>
              </w:rPr>
            </w:pPr>
          </w:p>
        </w:tc>
        <w:tc>
          <w:tcPr>
            <w:tcW w:w="1474" w:type="dxa"/>
            <w:shd w:val="clear" w:color="auto" w:fill="auto"/>
            <w:noWrap/>
            <w:vAlign w:val="bottom"/>
          </w:tcPr>
          <w:p w14:paraId="6509230D" w14:textId="536B55C0" w:rsidR="002D1F90" w:rsidRPr="00B275E2" w:rsidRDefault="002D1F90" w:rsidP="00F16608">
            <w:pPr>
              <w:pStyle w:val="TableText"/>
              <w:spacing w:before="40" w:after="40"/>
              <w:rPr>
                <w:rFonts w:cs="Calibri"/>
                <w:szCs w:val="18"/>
              </w:rPr>
            </w:pPr>
            <w:r w:rsidRPr="00B275E2">
              <w:rPr>
                <w:rFonts w:cs="Calibri"/>
                <w:color w:val="000000"/>
                <w:szCs w:val="18"/>
              </w:rPr>
              <w:t xml:space="preserve">1600 - </w:t>
            </w:r>
            <w:r w:rsidRPr="00B275E2">
              <w:rPr>
                <w:rFonts w:cs="Calibri"/>
                <w:szCs w:val="18"/>
              </w:rPr>
              <w:t>&lt;</w:t>
            </w:r>
            <w:r w:rsidRPr="00B275E2">
              <w:rPr>
                <w:rFonts w:cs="Calibri"/>
                <w:color w:val="000000"/>
                <w:szCs w:val="18"/>
              </w:rPr>
              <w:t>2000 cc</w:t>
            </w:r>
          </w:p>
        </w:tc>
        <w:tc>
          <w:tcPr>
            <w:tcW w:w="654" w:type="dxa"/>
            <w:shd w:val="clear" w:color="auto" w:fill="auto"/>
            <w:noWrap/>
            <w:vAlign w:val="bottom"/>
          </w:tcPr>
          <w:p w14:paraId="6509230E" w14:textId="2E4B9661" w:rsidR="002D1F90" w:rsidRPr="00B275E2" w:rsidRDefault="002D1F90" w:rsidP="00F16608">
            <w:pPr>
              <w:pStyle w:val="TableText"/>
              <w:spacing w:before="40" w:after="40"/>
              <w:rPr>
                <w:rFonts w:cs="Calibri"/>
                <w:szCs w:val="18"/>
              </w:rPr>
            </w:pPr>
            <w:r w:rsidRPr="00B275E2">
              <w:rPr>
                <w:rFonts w:cs="Calibri"/>
                <w:color w:val="000000"/>
                <w:szCs w:val="18"/>
              </w:rPr>
              <w:t>km</w:t>
            </w:r>
          </w:p>
        </w:tc>
        <w:tc>
          <w:tcPr>
            <w:tcW w:w="1247" w:type="dxa"/>
            <w:shd w:val="clear" w:color="auto" w:fill="D2DDE1" w:themeFill="background2"/>
            <w:noWrap/>
          </w:tcPr>
          <w:p w14:paraId="6509230F" w14:textId="180EAD66" w:rsidR="002D1F90" w:rsidRPr="00B275E2" w:rsidRDefault="002D1F90" w:rsidP="00F16608">
            <w:pPr>
              <w:pStyle w:val="TableText"/>
              <w:spacing w:before="40" w:after="40"/>
              <w:jc w:val="right"/>
              <w:rPr>
                <w:rFonts w:cs="Calibri"/>
                <w:szCs w:val="18"/>
              </w:rPr>
            </w:pPr>
            <w:r w:rsidRPr="00B275E2">
              <w:rPr>
                <w:rFonts w:cs="Calibri"/>
                <w:szCs w:val="18"/>
              </w:rPr>
              <w:t>0.299</w:t>
            </w:r>
          </w:p>
        </w:tc>
        <w:tc>
          <w:tcPr>
            <w:tcW w:w="1077" w:type="dxa"/>
            <w:shd w:val="clear" w:color="auto" w:fill="auto"/>
            <w:noWrap/>
          </w:tcPr>
          <w:p w14:paraId="65092310" w14:textId="061EED10" w:rsidR="002D1F90" w:rsidRPr="00B275E2" w:rsidRDefault="002D1F90" w:rsidP="00F16608">
            <w:pPr>
              <w:pStyle w:val="TableText"/>
              <w:spacing w:before="40" w:after="40"/>
              <w:jc w:val="right"/>
              <w:rPr>
                <w:rFonts w:cs="Calibri"/>
                <w:szCs w:val="18"/>
              </w:rPr>
            </w:pPr>
            <w:r w:rsidRPr="00B275E2">
              <w:rPr>
                <w:rFonts w:cs="Calibri"/>
                <w:szCs w:val="18"/>
              </w:rPr>
              <w:t>0.286</w:t>
            </w:r>
          </w:p>
        </w:tc>
        <w:tc>
          <w:tcPr>
            <w:tcW w:w="1134" w:type="dxa"/>
            <w:shd w:val="clear" w:color="auto" w:fill="auto"/>
            <w:noWrap/>
          </w:tcPr>
          <w:p w14:paraId="65092311" w14:textId="6B792B78" w:rsidR="002D1F90" w:rsidRPr="00B275E2" w:rsidRDefault="002D1F90" w:rsidP="00F16608">
            <w:pPr>
              <w:pStyle w:val="TableText"/>
              <w:spacing w:before="40" w:after="40"/>
              <w:jc w:val="right"/>
              <w:rPr>
                <w:rFonts w:cs="Calibri"/>
                <w:szCs w:val="18"/>
              </w:rPr>
            </w:pPr>
            <w:r w:rsidRPr="00B275E2">
              <w:rPr>
                <w:rFonts w:cs="Calibri"/>
                <w:szCs w:val="18"/>
              </w:rPr>
              <w:t>0.003</w:t>
            </w:r>
          </w:p>
        </w:tc>
        <w:tc>
          <w:tcPr>
            <w:tcW w:w="1134" w:type="dxa"/>
            <w:shd w:val="clear" w:color="auto" w:fill="auto"/>
            <w:noWrap/>
          </w:tcPr>
          <w:p w14:paraId="65092312" w14:textId="22857E53" w:rsidR="002D1F90" w:rsidRPr="00B275E2" w:rsidRDefault="002D1F90" w:rsidP="00F16608">
            <w:pPr>
              <w:pStyle w:val="TableText"/>
              <w:spacing w:before="40" w:after="40"/>
              <w:jc w:val="right"/>
              <w:rPr>
                <w:rFonts w:cs="Calibri"/>
                <w:szCs w:val="18"/>
              </w:rPr>
            </w:pPr>
            <w:r w:rsidRPr="00B275E2">
              <w:rPr>
                <w:rFonts w:cs="Calibri"/>
                <w:szCs w:val="18"/>
              </w:rPr>
              <w:t>0.010</w:t>
            </w:r>
          </w:p>
        </w:tc>
      </w:tr>
      <w:tr w:rsidR="00B70E71" w:rsidRPr="00B275E2" w14:paraId="6509231B" w14:textId="77777777" w:rsidTr="00111201">
        <w:tc>
          <w:tcPr>
            <w:tcW w:w="1418" w:type="dxa"/>
            <w:vMerge/>
          </w:tcPr>
          <w:p w14:paraId="65092314" w14:textId="77777777" w:rsidR="002D1F90" w:rsidRPr="00B275E2" w:rsidRDefault="002D1F90" w:rsidP="00F16608">
            <w:pPr>
              <w:pStyle w:val="TableText"/>
              <w:spacing w:before="40" w:after="40"/>
              <w:rPr>
                <w:rFonts w:cs="Calibri"/>
                <w:szCs w:val="18"/>
              </w:rPr>
            </w:pPr>
          </w:p>
        </w:tc>
        <w:tc>
          <w:tcPr>
            <w:tcW w:w="1474" w:type="dxa"/>
            <w:shd w:val="clear" w:color="auto" w:fill="auto"/>
            <w:noWrap/>
            <w:vAlign w:val="bottom"/>
          </w:tcPr>
          <w:p w14:paraId="65092315" w14:textId="7030B865" w:rsidR="002D1F90" w:rsidRPr="00B275E2" w:rsidRDefault="002D1F90" w:rsidP="00F16608">
            <w:pPr>
              <w:pStyle w:val="TableText"/>
              <w:spacing w:before="40" w:after="40"/>
              <w:rPr>
                <w:rFonts w:cs="Calibri"/>
                <w:szCs w:val="18"/>
              </w:rPr>
            </w:pPr>
            <w:r w:rsidRPr="00B275E2">
              <w:rPr>
                <w:rFonts w:cs="Calibri"/>
                <w:color w:val="000000"/>
                <w:szCs w:val="18"/>
              </w:rPr>
              <w:t xml:space="preserve">2000 - </w:t>
            </w:r>
            <w:r w:rsidRPr="00B275E2">
              <w:rPr>
                <w:rFonts w:cs="Calibri"/>
                <w:szCs w:val="18"/>
              </w:rPr>
              <w:t>&lt;</w:t>
            </w:r>
            <w:r w:rsidRPr="00B275E2">
              <w:rPr>
                <w:rFonts w:cs="Calibri"/>
                <w:color w:val="000000"/>
                <w:szCs w:val="18"/>
              </w:rPr>
              <w:t>3000 cc</w:t>
            </w:r>
          </w:p>
        </w:tc>
        <w:tc>
          <w:tcPr>
            <w:tcW w:w="654" w:type="dxa"/>
            <w:shd w:val="clear" w:color="auto" w:fill="auto"/>
            <w:noWrap/>
            <w:vAlign w:val="bottom"/>
          </w:tcPr>
          <w:p w14:paraId="65092316" w14:textId="7C1D978B" w:rsidR="002D1F90" w:rsidRPr="00B275E2" w:rsidRDefault="002D1F90" w:rsidP="00F16608">
            <w:pPr>
              <w:pStyle w:val="TableText"/>
              <w:spacing w:before="40" w:after="40"/>
              <w:rPr>
                <w:rFonts w:cs="Calibri"/>
                <w:szCs w:val="18"/>
              </w:rPr>
            </w:pPr>
            <w:r w:rsidRPr="00B275E2">
              <w:rPr>
                <w:rFonts w:cs="Calibri"/>
                <w:color w:val="000000"/>
                <w:szCs w:val="18"/>
              </w:rPr>
              <w:t>km</w:t>
            </w:r>
          </w:p>
        </w:tc>
        <w:tc>
          <w:tcPr>
            <w:tcW w:w="1247" w:type="dxa"/>
            <w:shd w:val="clear" w:color="auto" w:fill="D2DDE1" w:themeFill="background2"/>
            <w:noWrap/>
          </w:tcPr>
          <w:p w14:paraId="65092317" w14:textId="764C06FF" w:rsidR="002D1F90" w:rsidRPr="00B275E2" w:rsidRDefault="002D1F90" w:rsidP="00F16608">
            <w:pPr>
              <w:pStyle w:val="TableText"/>
              <w:spacing w:before="40" w:after="40"/>
              <w:jc w:val="right"/>
              <w:rPr>
                <w:rFonts w:cs="Calibri"/>
                <w:szCs w:val="18"/>
              </w:rPr>
            </w:pPr>
            <w:r w:rsidRPr="00B275E2">
              <w:rPr>
                <w:rFonts w:cs="Calibri"/>
                <w:szCs w:val="18"/>
              </w:rPr>
              <w:t>0.317</w:t>
            </w:r>
          </w:p>
        </w:tc>
        <w:tc>
          <w:tcPr>
            <w:tcW w:w="1077" w:type="dxa"/>
            <w:shd w:val="clear" w:color="auto" w:fill="auto"/>
            <w:noWrap/>
          </w:tcPr>
          <w:p w14:paraId="65092318" w14:textId="5DB56477" w:rsidR="002D1F90" w:rsidRPr="00B275E2" w:rsidRDefault="002D1F90" w:rsidP="00F16608">
            <w:pPr>
              <w:pStyle w:val="TableText"/>
              <w:spacing w:before="40" w:after="40"/>
              <w:jc w:val="right"/>
              <w:rPr>
                <w:rFonts w:cs="Calibri"/>
                <w:szCs w:val="18"/>
              </w:rPr>
            </w:pPr>
            <w:r w:rsidRPr="00B275E2">
              <w:rPr>
                <w:rFonts w:cs="Calibri"/>
                <w:szCs w:val="18"/>
              </w:rPr>
              <w:t>0.303</w:t>
            </w:r>
          </w:p>
        </w:tc>
        <w:tc>
          <w:tcPr>
            <w:tcW w:w="1134" w:type="dxa"/>
            <w:shd w:val="clear" w:color="auto" w:fill="auto"/>
            <w:noWrap/>
          </w:tcPr>
          <w:p w14:paraId="65092319" w14:textId="12DBFE94" w:rsidR="002D1F90" w:rsidRPr="00B275E2" w:rsidRDefault="002D1F90" w:rsidP="00F16608">
            <w:pPr>
              <w:pStyle w:val="TableText"/>
              <w:spacing w:before="40" w:after="40"/>
              <w:jc w:val="right"/>
              <w:rPr>
                <w:rFonts w:cs="Calibri"/>
                <w:szCs w:val="18"/>
              </w:rPr>
            </w:pPr>
            <w:r w:rsidRPr="00B275E2">
              <w:rPr>
                <w:rFonts w:cs="Calibri"/>
                <w:szCs w:val="18"/>
              </w:rPr>
              <w:t>0.004</w:t>
            </w:r>
          </w:p>
        </w:tc>
        <w:tc>
          <w:tcPr>
            <w:tcW w:w="1134" w:type="dxa"/>
            <w:shd w:val="clear" w:color="auto" w:fill="auto"/>
            <w:noWrap/>
          </w:tcPr>
          <w:p w14:paraId="6509231A" w14:textId="1CC222F9" w:rsidR="002D1F90" w:rsidRPr="00B275E2" w:rsidRDefault="002D1F90" w:rsidP="00F16608">
            <w:pPr>
              <w:pStyle w:val="TableText"/>
              <w:spacing w:before="40" w:after="40"/>
              <w:jc w:val="right"/>
              <w:rPr>
                <w:rFonts w:cs="Calibri"/>
                <w:szCs w:val="18"/>
              </w:rPr>
            </w:pPr>
            <w:r w:rsidRPr="00B275E2">
              <w:rPr>
                <w:rFonts w:cs="Calibri"/>
                <w:szCs w:val="18"/>
              </w:rPr>
              <w:t>0.010</w:t>
            </w:r>
          </w:p>
        </w:tc>
      </w:tr>
      <w:tr w:rsidR="00B70E71" w:rsidRPr="00B275E2" w14:paraId="65092323" w14:textId="77777777" w:rsidTr="00111201">
        <w:tc>
          <w:tcPr>
            <w:tcW w:w="1418" w:type="dxa"/>
            <w:vMerge/>
          </w:tcPr>
          <w:p w14:paraId="6509231C" w14:textId="77777777" w:rsidR="002D1F90" w:rsidRPr="00B275E2" w:rsidRDefault="002D1F90" w:rsidP="00F16608">
            <w:pPr>
              <w:pStyle w:val="TableText"/>
              <w:spacing w:before="40" w:after="40"/>
              <w:rPr>
                <w:rFonts w:cs="Calibri"/>
                <w:szCs w:val="18"/>
              </w:rPr>
            </w:pPr>
          </w:p>
        </w:tc>
        <w:tc>
          <w:tcPr>
            <w:tcW w:w="1474" w:type="dxa"/>
            <w:shd w:val="clear" w:color="auto" w:fill="auto"/>
            <w:noWrap/>
            <w:vAlign w:val="bottom"/>
          </w:tcPr>
          <w:p w14:paraId="6509231D" w14:textId="77777777" w:rsidR="002D1F90" w:rsidRPr="00B275E2" w:rsidRDefault="002D1F90" w:rsidP="00F16608">
            <w:pPr>
              <w:pStyle w:val="TableText"/>
              <w:spacing w:before="40" w:after="40"/>
              <w:rPr>
                <w:rFonts w:cs="Calibri"/>
                <w:szCs w:val="18"/>
              </w:rPr>
            </w:pPr>
            <w:r w:rsidRPr="00B275E2">
              <w:rPr>
                <w:rFonts w:cs="Calibri"/>
                <w:color w:val="000000"/>
                <w:szCs w:val="18"/>
              </w:rPr>
              <w:t>≥3000 cc</w:t>
            </w:r>
          </w:p>
        </w:tc>
        <w:tc>
          <w:tcPr>
            <w:tcW w:w="654" w:type="dxa"/>
            <w:shd w:val="clear" w:color="auto" w:fill="auto"/>
            <w:noWrap/>
            <w:vAlign w:val="bottom"/>
          </w:tcPr>
          <w:p w14:paraId="6509231E" w14:textId="44225034" w:rsidR="002D1F90" w:rsidRPr="00B275E2" w:rsidRDefault="002D1F90" w:rsidP="00F16608">
            <w:pPr>
              <w:pStyle w:val="TableText"/>
              <w:spacing w:before="40" w:after="40"/>
              <w:rPr>
                <w:rFonts w:cs="Calibri"/>
                <w:szCs w:val="18"/>
              </w:rPr>
            </w:pPr>
            <w:r w:rsidRPr="00B275E2">
              <w:rPr>
                <w:rFonts w:cs="Calibri"/>
                <w:color w:val="000000"/>
                <w:szCs w:val="18"/>
              </w:rPr>
              <w:t>km</w:t>
            </w:r>
          </w:p>
        </w:tc>
        <w:tc>
          <w:tcPr>
            <w:tcW w:w="1247" w:type="dxa"/>
            <w:shd w:val="clear" w:color="auto" w:fill="D2DDE1" w:themeFill="background2"/>
            <w:noWrap/>
          </w:tcPr>
          <w:p w14:paraId="6509231F" w14:textId="5EC46E91" w:rsidR="002D1F90" w:rsidRPr="00B275E2" w:rsidRDefault="002D1F90" w:rsidP="00F16608">
            <w:pPr>
              <w:pStyle w:val="TableText"/>
              <w:spacing w:before="40" w:after="40"/>
              <w:jc w:val="right"/>
              <w:rPr>
                <w:rFonts w:cs="Calibri"/>
                <w:szCs w:val="18"/>
              </w:rPr>
            </w:pPr>
            <w:r w:rsidRPr="00B275E2">
              <w:rPr>
                <w:rFonts w:cs="Calibri"/>
                <w:szCs w:val="18"/>
              </w:rPr>
              <w:t>0.362</w:t>
            </w:r>
          </w:p>
        </w:tc>
        <w:tc>
          <w:tcPr>
            <w:tcW w:w="1077" w:type="dxa"/>
            <w:shd w:val="clear" w:color="auto" w:fill="auto"/>
            <w:noWrap/>
          </w:tcPr>
          <w:p w14:paraId="65092320" w14:textId="30D28EC9" w:rsidR="002D1F90" w:rsidRPr="00B275E2" w:rsidRDefault="002D1F90" w:rsidP="00F16608">
            <w:pPr>
              <w:pStyle w:val="TableText"/>
              <w:spacing w:before="40" w:after="40"/>
              <w:jc w:val="right"/>
              <w:rPr>
                <w:rFonts w:cs="Calibri"/>
                <w:szCs w:val="18"/>
              </w:rPr>
            </w:pPr>
            <w:r w:rsidRPr="00B275E2">
              <w:rPr>
                <w:rFonts w:cs="Calibri"/>
                <w:szCs w:val="18"/>
              </w:rPr>
              <w:t>0.346</w:t>
            </w:r>
          </w:p>
        </w:tc>
        <w:tc>
          <w:tcPr>
            <w:tcW w:w="1134" w:type="dxa"/>
            <w:shd w:val="clear" w:color="auto" w:fill="auto"/>
            <w:noWrap/>
          </w:tcPr>
          <w:p w14:paraId="65092321" w14:textId="18BC9442" w:rsidR="002D1F90" w:rsidRPr="00B275E2" w:rsidRDefault="002D1F90" w:rsidP="00F16608">
            <w:pPr>
              <w:pStyle w:val="TableText"/>
              <w:spacing w:before="40" w:after="40"/>
              <w:jc w:val="right"/>
              <w:rPr>
                <w:rFonts w:cs="Calibri"/>
                <w:szCs w:val="18"/>
              </w:rPr>
            </w:pPr>
            <w:r w:rsidRPr="00B275E2">
              <w:rPr>
                <w:rFonts w:cs="Calibri"/>
                <w:szCs w:val="18"/>
              </w:rPr>
              <w:t>0.004</w:t>
            </w:r>
          </w:p>
        </w:tc>
        <w:tc>
          <w:tcPr>
            <w:tcW w:w="1134" w:type="dxa"/>
            <w:shd w:val="clear" w:color="auto" w:fill="auto"/>
            <w:noWrap/>
          </w:tcPr>
          <w:p w14:paraId="65092322" w14:textId="15905649" w:rsidR="002D1F90" w:rsidRPr="00B275E2" w:rsidRDefault="002D1F90" w:rsidP="00F16608">
            <w:pPr>
              <w:pStyle w:val="TableText"/>
              <w:spacing w:before="40" w:after="40"/>
              <w:jc w:val="right"/>
              <w:rPr>
                <w:rFonts w:cs="Calibri"/>
                <w:szCs w:val="18"/>
              </w:rPr>
            </w:pPr>
            <w:r w:rsidRPr="00B275E2">
              <w:rPr>
                <w:rFonts w:cs="Calibri"/>
                <w:szCs w:val="18"/>
              </w:rPr>
              <w:t>0.012</w:t>
            </w:r>
          </w:p>
        </w:tc>
      </w:tr>
      <w:tr w:rsidR="00B70E71" w:rsidRPr="00B275E2" w14:paraId="6509232B" w14:textId="77777777" w:rsidTr="00111201">
        <w:tc>
          <w:tcPr>
            <w:tcW w:w="1418" w:type="dxa"/>
            <w:vMerge w:val="restart"/>
          </w:tcPr>
          <w:p w14:paraId="65092324" w14:textId="77777777" w:rsidR="002D1F90" w:rsidRPr="00B275E2" w:rsidRDefault="002D1F90" w:rsidP="00F16608">
            <w:pPr>
              <w:pStyle w:val="TableText"/>
              <w:spacing w:before="40" w:after="40"/>
              <w:rPr>
                <w:rFonts w:cs="Calibri"/>
                <w:szCs w:val="18"/>
              </w:rPr>
            </w:pPr>
            <w:r w:rsidRPr="00B275E2">
              <w:rPr>
                <w:rFonts w:cs="Calibri"/>
                <w:szCs w:val="18"/>
              </w:rPr>
              <w:t>Diesel</w:t>
            </w:r>
          </w:p>
        </w:tc>
        <w:tc>
          <w:tcPr>
            <w:tcW w:w="1474" w:type="dxa"/>
            <w:noWrap/>
            <w:vAlign w:val="bottom"/>
          </w:tcPr>
          <w:p w14:paraId="65092325" w14:textId="77777777" w:rsidR="002D1F90" w:rsidRPr="00B275E2" w:rsidRDefault="002D1F90" w:rsidP="00F16608">
            <w:pPr>
              <w:pStyle w:val="TableText"/>
              <w:spacing w:before="40" w:after="40"/>
              <w:rPr>
                <w:rFonts w:cs="Calibri"/>
                <w:szCs w:val="18"/>
              </w:rPr>
            </w:pPr>
            <w:r w:rsidRPr="00B275E2">
              <w:rPr>
                <w:rFonts w:cs="Calibri"/>
                <w:color w:val="000000"/>
                <w:szCs w:val="18"/>
              </w:rPr>
              <w:t>&lt;1350 cc</w:t>
            </w:r>
          </w:p>
        </w:tc>
        <w:tc>
          <w:tcPr>
            <w:tcW w:w="654" w:type="dxa"/>
            <w:shd w:val="clear" w:color="auto" w:fill="auto"/>
            <w:noWrap/>
            <w:vAlign w:val="bottom"/>
          </w:tcPr>
          <w:p w14:paraId="65092326" w14:textId="2B4109A5" w:rsidR="002D1F90" w:rsidRPr="00B275E2" w:rsidRDefault="002D1F90" w:rsidP="00F16608">
            <w:pPr>
              <w:pStyle w:val="TableText"/>
              <w:spacing w:before="40" w:after="40"/>
              <w:rPr>
                <w:rFonts w:cs="Calibri"/>
                <w:szCs w:val="18"/>
              </w:rPr>
            </w:pPr>
            <w:r w:rsidRPr="00B275E2">
              <w:rPr>
                <w:rFonts w:cs="Calibri"/>
                <w:color w:val="000000"/>
                <w:szCs w:val="18"/>
              </w:rPr>
              <w:t>km</w:t>
            </w:r>
          </w:p>
        </w:tc>
        <w:tc>
          <w:tcPr>
            <w:tcW w:w="1247" w:type="dxa"/>
            <w:shd w:val="clear" w:color="auto" w:fill="D2DDE1" w:themeFill="background2"/>
            <w:noWrap/>
          </w:tcPr>
          <w:p w14:paraId="65092327" w14:textId="5D4AEBBC" w:rsidR="002D1F90" w:rsidRPr="00B275E2" w:rsidRDefault="002D1F90" w:rsidP="00F16608">
            <w:pPr>
              <w:pStyle w:val="TableText"/>
              <w:spacing w:before="40" w:after="40"/>
              <w:jc w:val="right"/>
              <w:rPr>
                <w:rFonts w:cs="Calibri"/>
                <w:szCs w:val="18"/>
              </w:rPr>
            </w:pPr>
            <w:r w:rsidRPr="00B275E2">
              <w:rPr>
                <w:rFonts w:cs="Calibri"/>
                <w:szCs w:val="18"/>
              </w:rPr>
              <w:t>0.215</w:t>
            </w:r>
          </w:p>
        </w:tc>
        <w:tc>
          <w:tcPr>
            <w:tcW w:w="1077" w:type="dxa"/>
            <w:shd w:val="clear" w:color="auto" w:fill="auto"/>
            <w:noWrap/>
          </w:tcPr>
          <w:p w14:paraId="65092328" w14:textId="1E427480" w:rsidR="002D1F90" w:rsidRPr="00B275E2" w:rsidRDefault="002D1F90" w:rsidP="00F16608">
            <w:pPr>
              <w:pStyle w:val="TableText"/>
              <w:spacing w:before="40" w:after="40"/>
              <w:jc w:val="right"/>
              <w:rPr>
                <w:rFonts w:cs="Calibri"/>
                <w:szCs w:val="18"/>
              </w:rPr>
            </w:pPr>
            <w:r w:rsidRPr="00B275E2">
              <w:rPr>
                <w:rFonts w:cs="Calibri"/>
                <w:szCs w:val="18"/>
              </w:rPr>
              <w:t>0.212</w:t>
            </w:r>
          </w:p>
        </w:tc>
        <w:tc>
          <w:tcPr>
            <w:tcW w:w="1134" w:type="dxa"/>
            <w:shd w:val="clear" w:color="auto" w:fill="auto"/>
            <w:noWrap/>
          </w:tcPr>
          <w:p w14:paraId="65092329" w14:textId="767C06DF" w:rsidR="002D1F90" w:rsidRPr="00B275E2" w:rsidRDefault="002D1F90" w:rsidP="00F16608">
            <w:pPr>
              <w:pStyle w:val="TableText"/>
              <w:spacing w:before="40" w:after="40"/>
              <w:jc w:val="right"/>
              <w:rPr>
                <w:rFonts w:cs="Calibri"/>
                <w:szCs w:val="18"/>
              </w:rPr>
            </w:pPr>
            <w:r w:rsidRPr="00B275E2">
              <w:rPr>
                <w:rFonts w:cs="Calibri"/>
                <w:szCs w:val="18"/>
              </w:rPr>
              <w:t>0.0003</w:t>
            </w:r>
          </w:p>
        </w:tc>
        <w:tc>
          <w:tcPr>
            <w:tcW w:w="1134" w:type="dxa"/>
            <w:shd w:val="clear" w:color="auto" w:fill="auto"/>
            <w:noWrap/>
          </w:tcPr>
          <w:p w14:paraId="6509232A" w14:textId="0F2097F2" w:rsidR="002D1F90" w:rsidRPr="00B275E2" w:rsidRDefault="002D1F90" w:rsidP="00F16608">
            <w:pPr>
              <w:pStyle w:val="TableText"/>
              <w:spacing w:before="40" w:after="40"/>
              <w:jc w:val="right"/>
              <w:rPr>
                <w:rFonts w:cs="Calibri"/>
                <w:szCs w:val="18"/>
              </w:rPr>
            </w:pPr>
            <w:r w:rsidRPr="00B275E2">
              <w:rPr>
                <w:rFonts w:cs="Calibri"/>
                <w:szCs w:val="18"/>
              </w:rPr>
              <w:t>0.0034</w:t>
            </w:r>
          </w:p>
        </w:tc>
      </w:tr>
      <w:tr w:rsidR="00B70E71" w:rsidRPr="00B275E2" w14:paraId="65092333" w14:textId="77777777" w:rsidTr="00111201">
        <w:tc>
          <w:tcPr>
            <w:tcW w:w="1418" w:type="dxa"/>
            <w:vMerge/>
          </w:tcPr>
          <w:p w14:paraId="6509232C" w14:textId="77777777" w:rsidR="002D1F90" w:rsidRPr="00B275E2" w:rsidRDefault="002D1F90" w:rsidP="00F16608">
            <w:pPr>
              <w:pStyle w:val="TableText"/>
              <w:spacing w:before="40" w:after="40"/>
              <w:rPr>
                <w:rFonts w:cs="Calibri"/>
                <w:szCs w:val="18"/>
              </w:rPr>
            </w:pPr>
          </w:p>
        </w:tc>
        <w:tc>
          <w:tcPr>
            <w:tcW w:w="1474" w:type="dxa"/>
            <w:noWrap/>
            <w:vAlign w:val="bottom"/>
          </w:tcPr>
          <w:p w14:paraId="6509232D" w14:textId="7111EA80" w:rsidR="002D1F90" w:rsidRPr="00B275E2" w:rsidRDefault="002D1F90" w:rsidP="00F16608">
            <w:pPr>
              <w:pStyle w:val="TableText"/>
              <w:spacing w:before="40" w:after="40"/>
              <w:rPr>
                <w:rFonts w:cs="Calibri"/>
                <w:szCs w:val="18"/>
              </w:rPr>
            </w:pPr>
            <w:r w:rsidRPr="00B275E2">
              <w:rPr>
                <w:rFonts w:cs="Calibri"/>
                <w:color w:val="000000"/>
                <w:szCs w:val="18"/>
              </w:rPr>
              <w:t xml:space="preserve">1350 - </w:t>
            </w:r>
            <w:r w:rsidRPr="00B275E2">
              <w:rPr>
                <w:rFonts w:cs="Calibri"/>
                <w:szCs w:val="18"/>
              </w:rPr>
              <w:t>&lt;</w:t>
            </w:r>
            <w:r w:rsidRPr="00B275E2">
              <w:rPr>
                <w:rFonts w:cs="Calibri"/>
                <w:color w:val="000000"/>
                <w:szCs w:val="18"/>
              </w:rPr>
              <w:t>1600 cc</w:t>
            </w:r>
          </w:p>
        </w:tc>
        <w:tc>
          <w:tcPr>
            <w:tcW w:w="654" w:type="dxa"/>
            <w:shd w:val="clear" w:color="auto" w:fill="auto"/>
            <w:noWrap/>
            <w:vAlign w:val="bottom"/>
          </w:tcPr>
          <w:p w14:paraId="6509232E" w14:textId="41365F9B" w:rsidR="002D1F90" w:rsidRPr="00B275E2" w:rsidRDefault="002D1F90" w:rsidP="00F16608">
            <w:pPr>
              <w:pStyle w:val="TableText"/>
              <w:spacing w:before="40" w:after="40"/>
              <w:rPr>
                <w:rFonts w:cs="Calibri"/>
                <w:szCs w:val="18"/>
              </w:rPr>
            </w:pPr>
            <w:r w:rsidRPr="00B275E2">
              <w:rPr>
                <w:rFonts w:cs="Calibri"/>
                <w:color w:val="000000"/>
                <w:szCs w:val="18"/>
              </w:rPr>
              <w:t>km</w:t>
            </w:r>
          </w:p>
        </w:tc>
        <w:tc>
          <w:tcPr>
            <w:tcW w:w="1247" w:type="dxa"/>
            <w:shd w:val="clear" w:color="auto" w:fill="D2DDE1" w:themeFill="background2"/>
            <w:noWrap/>
          </w:tcPr>
          <w:p w14:paraId="6509232F" w14:textId="7071C700" w:rsidR="002D1F90" w:rsidRPr="00B275E2" w:rsidRDefault="002D1F90" w:rsidP="00F16608">
            <w:pPr>
              <w:pStyle w:val="TableText"/>
              <w:spacing w:before="40" w:after="40"/>
              <w:jc w:val="right"/>
              <w:rPr>
                <w:rFonts w:cs="Calibri"/>
                <w:szCs w:val="18"/>
              </w:rPr>
            </w:pPr>
            <w:r w:rsidRPr="00B275E2">
              <w:rPr>
                <w:rFonts w:cs="Calibri"/>
                <w:szCs w:val="18"/>
              </w:rPr>
              <w:t>0.207</w:t>
            </w:r>
          </w:p>
        </w:tc>
        <w:tc>
          <w:tcPr>
            <w:tcW w:w="1077" w:type="dxa"/>
            <w:shd w:val="clear" w:color="auto" w:fill="auto"/>
            <w:noWrap/>
          </w:tcPr>
          <w:p w14:paraId="65092330" w14:textId="57EC2BA8" w:rsidR="002D1F90" w:rsidRPr="00B275E2" w:rsidRDefault="002D1F90" w:rsidP="00F16608">
            <w:pPr>
              <w:pStyle w:val="TableText"/>
              <w:spacing w:before="40" w:after="40"/>
              <w:jc w:val="right"/>
              <w:rPr>
                <w:rFonts w:cs="Calibri"/>
                <w:szCs w:val="18"/>
              </w:rPr>
            </w:pPr>
            <w:r w:rsidRPr="00B275E2">
              <w:rPr>
                <w:rFonts w:cs="Calibri"/>
                <w:szCs w:val="18"/>
              </w:rPr>
              <w:t>0.204</w:t>
            </w:r>
          </w:p>
        </w:tc>
        <w:tc>
          <w:tcPr>
            <w:tcW w:w="1134" w:type="dxa"/>
            <w:shd w:val="clear" w:color="auto" w:fill="auto"/>
            <w:noWrap/>
          </w:tcPr>
          <w:p w14:paraId="65092331" w14:textId="1A53B229" w:rsidR="002D1F90" w:rsidRPr="00B275E2" w:rsidRDefault="002D1F90" w:rsidP="00F16608">
            <w:pPr>
              <w:pStyle w:val="TableText"/>
              <w:spacing w:before="40" w:after="40"/>
              <w:jc w:val="right"/>
              <w:rPr>
                <w:rFonts w:cs="Calibri"/>
                <w:szCs w:val="18"/>
              </w:rPr>
            </w:pPr>
            <w:r w:rsidRPr="00B275E2">
              <w:rPr>
                <w:rFonts w:cs="Calibri"/>
                <w:szCs w:val="18"/>
              </w:rPr>
              <w:t>0.0003</w:t>
            </w:r>
          </w:p>
        </w:tc>
        <w:tc>
          <w:tcPr>
            <w:tcW w:w="1134" w:type="dxa"/>
            <w:shd w:val="clear" w:color="auto" w:fill="auto"/>
            <w:noWrap/>
          </w:tcPr>
          <w:p w14:paraId="65092332" w14:textId="17E6987A" w:rsidR="002D1F90" w:rsidRPr="00B275E2" w:rsidRDefault="002D1F90" w:rsidP="00F16608">
            <w:pPr>
              <w:pStyle w:val="TableText"/>
              <w:spacing w:before="40" w:after="40"/>
              <w:jc w:val="right"/>
              <w:rPr>
                <w:rFonts w:cs="Calibri"/>
                <w:szCs w:val="18"/>
              </w:rPr>
            </w:pPr>
            <w:r w:rsidRPr="00B275E2">
              <w:rPr>
                <w:rFonts w:cs="Calibri"/>
                <w:szCs w:val="18"/>
              </w:rPr>
              <w:t>0.0032</w:t>
            </w:r>
          </w:p>
        </w:tc>
      </w:tr>
      <w:tr w:rsidR="00B70E71" w:rsidRPr="00B275E2" w14:paraId="6509233B" w14:textId="77777777" w:rsidTr="00111201">
        <w:tc>
          <w:tcPr>
            <w:tcW w:w="1418" w:type="dxa"/>
            <w:vMerge/>
          </w:tcPr>
          <w:p w14:paraId="65092334" w14:textId="77777777" w:rsidR="002D1F90" w:rsidRPr="00B275E2" w:rsidRDefault="002D1F90" w:rsidP="00F16608">
            <w:pPr>
              <w:pStyle w:val="TableText"/>
              <w:spacing w:before="40" w:after="40"/>
              <w:rPr>
                <w:rFonts w:cs="Calibri"/>
                <w:szCs w:val="18"/>
              </w:rPr>
            </w:pPr>
          </w:p>
        </w:tc>
        <w:tc>
          <w:tcPr>
            <w:tcW w:w="1474" w:type="dxa"/>
            <w:noWrap/>
            <w:vAlign w:val="bottom"/>
          </w:tcPr>
          <w:p w14:paraId="65092335" w14:textId="18BF1378" w:rsidR="002D1F90" w:rsidRPr="00B275E2" w:rsidRDefault="002D1F90" w:rsidP="00F16608">
            <w:pPr>
              <w:pStyle w:val="TableText"/>
              <w:spacing w:before="40" w:after="40"/>
              <w:rPr>
                <w:rFonts w:cs="Calibri"/>
                <w:szCs w:val="18"/>
              </w:rPr>
            </w:pPr>
            <w:r w:rsidRPr="00B275E2">
              <w:rPr>
                <w:rFonts w:cs="Calibri"/>
                <w:color w:val="000000"/>
                <w:szCs w:val="18"/>
              </w:rPr>
              <w:t xml:space="preserve">1600 - </w:t>
            </w:r>
            <w:r w:rsidRPr="00B275E2">
              <w:rPr>
                <w:rFonts w:cs="Calibri"/>
                <w:szCs w:val="18"/>
              </w:rPr>
              <w:t>&lt;</w:t>
            </w:r>
            <w:r w:rsidRPr="00B275E2">
              <w:rPr>
                <w:rFonts w:cs="Calibri"/>
                <w:color w:val="000000"/>
                <w:szCs w:val="18"/>
              </w:rPr>
              <w:t>2000 cc</w:t>
            </w:r>
          </w:p>
        </w:tc>
        <w:tc>
          <w:tcPr>
            <w:tcW w:w="654" w:type="dxa"/>
            <w:shd w:val="clear" w:color="auto" w:fill="auto"/>
            <w:noWrap/>
            <w:vAlign w:val="bottom"/>
          </w:tcPr>
          <w:p w14:paraId="65092336" w14:textId="3B308EB2" w:rsidR="002D1F90" w:rsidRPr="00B275E2" w:rsidRDefault="002D1F90" w:rsidP="00F16608">
            <w:pPr>
              <w:pStyle w:val="TableText"/>
              <w:spacing w:before="40" w:after="40"/>
              <w:rPr>
                <w:rFonts w:cs="Calibri"/>
                <w:szCs w:val="18"/>
              </w:rPr>
            </w:pPr>
            <w:r w:rsidRPr="00B275E2">
              <w:rPr>
                <w:rFonts w:cs="Calibri"/>
                <w:color w:val="000000"/>
                <w:szCs w:val="18"/>
              </w:rPr>
              <w:t>km</w:t>
            </w:r>
          </w:p>
        </w:tc>
        <w:tc>
          <w:tcPr>
            <w:tcW w:w="1247" w:type="dxa"/>
            <w:shd w:val="clear" w:color="auto" w:fill="D2DDE1" w:themeFill="background2"/>
            <w:noWrap/>
          </w:tcPr>
          <w:p w14:paraId="65092337" w14:textId="04744209" w:rsidR="002D1F90" w:rsidRPr="00B275E2" w:rsidRDefault="002D1F90" w:rsidP="00F16608">
            <w:pPr>
              <w:pStyle w:val="TableText"/>
              <w:spacing w:before="40" w:after="40"/>
              <w:jc w:val="right"/>
              <w:rPr>
                <w:rFonts w:cs="Calibri"/>
                <w:szCs w:val="18"/>
              </w:rPr>
            </w:pPr>
            <w:r w:rsidRPr="00B275E2">
              <w:rPr>
                <w:rFonts w:cs="Calibri"/>
                <w:szCs w:val="18"/>
              </w:rPr>
              <w:t>0.276</w:t>
            </w:r>
          </w:p>
        </w:tc>
        <w:tc>
          <w:tcPr>
            <w:tcW w:w="1077" w:type="dxa"/>
            <w:shd w:val="clear" w:color="auto" w:fill="auto"/>
            <w:noWrap/>
          </w:tcPr>
          <w:p w14:paraId="65092338" w14:textId="7B161235" w:rsidR="002D1F90" w:rsidRPr="00B275E2" w:rsidRDefault="002D1F90" w:rsidP="00F16608">
            <w:pPr>
              <w:pStyle w:val="TableText"/>
              <w:spacing w:before="40" w:after="40"/>
              <w:jc w:val="right"/>
              <w:rPr>
                <w:rFonts w:cs="Calibri"/>
                <w:szCs w:val="18"/>
              </w:rPr>
            </w:pPr>
            <w:r w:rsidRPr="00B275E2">
              <w:rPr>
                <w:rFonts w:cs="Calibri"/>
                <w:szCs w:val="18"/>
              </w:rPr>
              <w:t>0.271</w:t>
            </w:r>
          </w:p>
        </w:tc>
        <w:tc>
          <w:tcPr>
            <w:tcW w:w="1134" w:type="dxa"/>
            <w:shd w:val="clear" w:color="auto" w:fill="auto"/>
            <w:noWrap/>
          </w:tcPr>
          <w:p w14:paraId="65092339" w14:textId="18C56B46" w:rsidR="002D1F90" w:rsidRPr="00B275E2" w:rsidRDefault="002D1F90" w:rsidP="00F16608">
            <w:pPr>
              <w:pStyle w:val="TableText"/>
              <w:spacing w:before="40" w:after="40"/>
              <w:jc w:val="right"/>
              <w:rPr>
                <w:rFonts w:cs="Calibri"/>
                <w:szCs w:val="18"/>
              </w:rPr>
            </w:pPr>
            <w:r w:rsidRPr="00B275E2">
              <w:rPr>
                <w:rFonts w:cs="Calibri"/>
                <w:szCs w:val="18"/>
              </w:rPr>
              <w:t>0.0004</w:t>
            </w:r>
          </w:p>
        </w:tc>
        <w:tc>
          <w:tcPr>
            <w:tcW w:w="1134" w:type="dxa"/>
            <w:shd w:val="clear" w:color="auto" w:fill="auto"/>
            <w:noWrap/>
          </w:tcPr>
          <w:p w14:paraId="6509233A" w14:textId="68B1252F" w:rsidR="002D1F90" w:rsidRPr="00B275E2" w:rsidRDefault="002D1F90" w:rsidP="00F16608">
            <w:pPr>
              <w:pStyle w:val="TableText"/>
              <w:spacing w:before="40" w:after="40"/>
              <w:jc w:val="right"/>
              <w:rPr>
                <w:rFonts w:cs="Calibri"/>
                <w:szCs w:val="18"/>
              </w:rPr>
            </w:pPr>
            <w:r w:rsidRPr="00B275E2">
              <w:rPr>
                <w:rFonts w:cs="Calibri"/>
                <w:szCs w:val="18"/>
              </w:rPr>
              <w:t>0.0043</w:t>
            </w:r>
          </w:p>
        </w:tc>
      </w:tr>
      <w:tr w:rsidR="00B70E71" w:rsidRPr="00B275E2" w14:paraId="65092343" w14:textId="77777777" w:rsidTr="00111201">
        <w:tc>
          <w:tcPr>
            <w:tcW w:w="1418" w:type="dxa"/>
            <w:vMerge/>
          </w:tcPr>
          <w:p w14:paraId="6509233C" w14:textId="77777777" w:rsidR="002D1F90" w:rsidRPr="00B275E2" w:rsidRDefault="002D1F90" w:rsidP="00F16608">
            <w:pPr>
              <w:pStyle w:val="TableText"/>
              <w:spacing w:before="40" w:after="40"/>
              <w:rPr>
                <w:rFonts w:cs="Calibri"/>
                <w:szCs w:val="18"/>
              </w:rPr>
            </w:pPr>
          </w:p>
        </w:tc>
        <w:tc>
          <w:tcPr>
            <w:tcW w:w="1474" w:type="dxa"/>
            <w:noWrap/>
            <w:vAlign w:val="bottom"/>
          </w:tcPr>
          <w:p w14:paraId="6509233D" w14:textId="5B76D74D" w:rsidR="002D1F90" w:rsidRPr="00B275E2" w:rsidRDefault="002D1F90" w:rsidP="00F16608">
            <w:pPr>
              <w:pStyle w:val="TableText"/>
              <w:spacing w:before="40" w:after="40"/>
              <w:rPr>
                <w:rFonts w:cs="Calibri"/>
                <w:szCs w:val="18"/>
              </w:rPr>
            </w:pPr>
            <w:r w:rsidRPr="00B275E2">
              <w:rPr>
                <w:rFonts w:cs="Calibri"/>
                <w:color w:val="000000"/>
                <w:szCs w:val="18"/>
              </w:rPr>
              <w:t xml:space="preserve">2000 - </w:t>
            </w:r>
            <w:r w:rsidRPr="00B275E2">
              <w:rPr>
                <w:rFonts w:cs="Calibri"/>
                <w:szCs w:val="18"/>
              </w:rPr>
              <w:t>&lt;</w:t>
            </w:r>
            <w:r w:rsidRPr="00B275E2">
              <w:rPr>
                <w:rFonts w:cs="Calibri"/>
                <w:color w:val="000000"/>
                <w:szCs w:val="18"/>
              </w:rPr>
              <w:t>3000 cc</w:t>
            </w:r>
          </w:p>
        </w:tc>
        <w:tc>
          <w:tcPr>
            <w:tcW w:w="654" w:type="dxa"/>
            <w:shd w:val="clear" w:color="auto" w:fill="auto"/>
            <w:noWrap/>
            <w:vAlign w:val="bottom"/>
          </w:tcPr>
          <w:p w14:paraId="6509233E" w14:textId="2F497107" w:rsidR="002D1F90" w:rsidRPr="00B275E2" w:rsidRDefault="002D1F90" w:rsidP="00F16608">
            <w:pPr>
              <w:pStyle w:val="TableText"/>
              <w:spacing w:before="40" w:after="40"/>
              <w:rPr>
                <w:rFonts w:cs="Calibri"/>
                <w:szCs w:val="18"/>
              </w:rPr>
            </w:pPr>
            <w:r w:rsidRPr="00B275E2">
              <w:rPr>
                <w:rFonts w:cs="Calibri"/>
                <w:color w:val="000000"/>
                <w:szCs w:val="18"/>
              </w:rPr>
              <w:t>km</w:t>
            </w:r>
          </w:p>
        </w:tc>
        <w:tc>
          <w:tcPr>
            <w:tcW w:w="1247" w:type="dxa"/>
            <w:shd w:val="clear" w:color="auto" w:fill="D2DDE1" w:themeFill="background2"/>
            <w:noWrap/>
          </w:tcPr>
          <w:p w14:paraId="6509233F" w14:textId="6EEC6439" w:rsidR="002D1F90" w:rsidRPr="00B275E2" w:rsidRDefault="002D1F90" w:rsidP="00F16608">
            <w:pPr>
              <w:pStyle w:val="TableText"/>
              <w:spacing w:before="40" w:after="40"/>
              <w:jc w:val="right"/>
              <w:rPr>
                <w:rFonts w:cs="Calibri"/>
                <w:szCs w:val="18"/>
              </w:rPr>
            </w:pPr>
            <w:r w:rsidRPr="00B275E2">
              <w:rPr>
                <w:rFonts w:cs="Calibri"/>
                <w:szCs w:val="18"/>
              </w:rPr>
              <w:t>0.296</w:t>
            </w:r>
          </w:p>
        </w:tc>
        <w:tc>
          <w:tcPr>
            <w:tcW w:w="1077" w:type="dxa"/>
            <w:shd w:val="clear" w:color="auto" w:fill="auto"/>
            <w:noWrap/>
          </w:tcPr>
          <w:p w14:paraId="65092340" w14:textId="7DCDCAFA" w:rsidR="002D1F90" w:rsidRPr="00B275E2" w:rsidRDefault="002D1F90" w:rsidP="00F16608">
            <w:pPr>
              <w:pStyle w:val="TableText"/>
              <w:spacing w:before="40" w:after="40"/>
              <w:jc w:val="right"/>
              <w:rPr>
                <w:rFonts w:cs="Calibri"/>
                <w:szCs w:val="18"/>
              </w:rPr>
            </w:pPr>
            <w:r w:rsidRPr="00B275E2">
              <w:rPr>
                <w:rFonts w:cs="Calibri"/>
                <w:szCs w:val="18"/>
              </w:rPr>
              <w:t>0.291</w:t>
            </w:r>
          </w:p>
        </w:tc>
        <w:tc>
          <w:tcPr>
            <w:tcW w:w="1134" w:type="dxa"/>
            <w:shd w:val="clear" w:color="auto" w:fill="auto"/>
            <w:noWrap/>
          </w:tcPr>
          <w:p w14:paraId="65092341" w14:textId="5AF0C4CA" w:rsidR="002D1F90" w:rsidRPr="00B275E2" w:rsidRDefault="002D1F90" w:rsidP="00F16608">
            <w:pPr>
              <w:pStyle w:val="TableText"/>
              <w:spacing w:before="40" w:after="40"/>
              <w:jc w:val="right"/>
              <w:rPr>
                <w:rFonts w:cs="Calibri"/>
                <w:szCs w:val="18"/>
              </w:rPr>
            </w:pPr>
            <w:r w:rsidRPr="00B275E2">
              <w:rPr>
                <w:rFonts w:cs="Calibri"/>
                <w:szCs w:val="18"/>
              </w:rPr>
              <w:t>0.0004</w:t>
            </w:r>
          </w:p>
        </w:tc>
        <w:tc>
          <w:tcPr>
            <w:tcW w:w="1134" w:type="dxa"/>
            <w:shd w:val="clear" w:color="auto" w:fill="auto"/>
            <w:noWrap/>
          </w:tcPr>
          <w:p w14:paraId="65092342" w14:textId="61BA6FD8" w:rsidR="002D1F90" w:rsidRPr="00B275E2" w:rsidRDefault="002D1F90" w:rsidP="00F16608">
            <w:pPr>
              <w:pStyle w:val="TableText"/>
              <w:spacing w:before="40" w:after="40"/>
              <w:jc w:val="right"/>
              <w:rPr>
                <w:rFonts w:cs="Calibri"/>
                <w:szCs w:val="18"/>
              </w:rPr>
            </w:pPr>
            <w:r w:rsidRPr="00B275E2">
              <w:rPr>
                <w:rFonts w:cs="Calibri"/>
                <w:szCs w:val="18"/>
              </w:rPr>
              <w:t>0.0046</w:t>
            </w:r>
          </w:p>
        </w:tc>
      </w:tr>
      <w:tr w:rsidR="00B70E71" w:rsidRPr="00B275E2" w14:paraId="6509234B" w14:textId="77777777" w:rsidTr="00111201">
        <w:tc>
          <w:tcPr>
            <w:tcW w:w="1418" w:type="dxa"/>
            <w:vMerge/>
          </w:tcPr>
          <w:p w14:paraId="65092344" w14:textId="77777777" w:rsidR="002D1F90" w:rsidRPr="00B275E2" w:rsidRDefault="002D1F90" w:rsidP="00F16608">
            <w:pPr>
              <w:pStyle w:val="TableText"/>
              <w:spacing w:before="40" w:after="40"/>
              <w:rPr>
                <w:rFonts w:cs="Calibri"/>
                <w:szCs w:val="18"/>
              </w:rPr>
            </w:pPr>
          </w:p>
        </w:tc>
        <w:tc>
          <w:tcPr>
            <w:tcW w:w="1474" w:type="dxa"/>
            <w:noWrap/>
            <w:vAlign w:val="bottom"/>
          </w:tcPr>
          <w:p w14:paraId="65092345" w14:textId="77777777" w:rsidR="002D1F90" w:rsidRPr="00B275E2" w:rsidRDefault="002D1F90" w:rsidP="00F16608">
            <w:pPr>
              <w:pStyle w:val="TableText"/>
              <w:spacing w:before="40" w:after="40"/>
              <w:rPr>
                <w:rFonts w:cs="Calibri"/>
                <w:szCs w:val="18"/>
              </w:rPr>
            </w:pPr>
            <w:r w:rsidRPr="00B275E2">
              <w:rPr>
                <w:rFonts w:cs="Calibri"/>
                <w:color w:val="000000"/>
                <w:szCs w:val="18"/>
              </w:rPr>
              <w:t>≥3000 cc</w:t>
            </w:r>
          </w:p>
        </w:tc>
        <w:tc>
          <w:tcPr>
            <w:tcW w:w="654" w:type="dxa"/>
            <w:shd w:val="clear" w:color="auto" w:fill="auto"/>
            <w:noWrap/>
            <w:vAlign w:val="bottom"/>
          </w:tcPr>
          <w:p w14:paraId="65092346" w14:textId="77777777" w:rsidR="002D1F90" w:rsidRPr="00B275E2" w:rsidRDefault="002D1F90" w:rsidP="00F16608">
            <w:pPr>
              <w:pStyle w:val="TableText"/>
              <w:spacing w:before="40" w:after="40"/>
              <w:rPr>
                <w:rFonts w:cs="Calibri"/>
                <w:szCs w:val="18"/>
              </w:rPr>
            </w:pPr>
            <w:r w:rsidRPr="00B275E2">
              <w:rPr>
                <w:rFonts w:cs="Calibri"/>
                <w:color w:val="000000"/>
                <w:szCs w:val="18"/>
              </w:rPr>
              <w:t>km</w:t>
            </w:r>
          </w:p>
        </w:tc>
        <w:tc>
          <w:tcPr>
            <w:tcW w:w="1247" w:type="dxa"/>
            <w:shd w:val="clear" w:color="auto" w:fill="D2DDE1" w:themeFill="background2"/>
            <w:noWrap/>
          </w:tcPr>
          <w:p w14:paraId="65092347" w14:textId="486191FA" w:rsidR="002D1F90" w:rsidRPr="00B275E2" w:rsidRDefault="002D1F90" w:rsidP="00F16608">
            <w:pPr>
              <w:pStyle w:val="TableText"/>
              <w:spacing w:before="40" w:after="40"/>
              <w:jc w:val="right"/>
              <w:rPr>
                <w:rFonts w:cs="Calibri"/>
                <w:szCs w:val="18"/>
              </w:rPr>
            </w:pPr>
            <w:r w:rsidRPr="00B275E2">
              <w:rPr>
                <w:rFonts w:cs="Calibri"/>
                <w:szCs w:val="18"/>
              </w:rPr>
              <w:t>0.300</w:t>
            </w:r>
          </w:p>
        </w:tc>
        <w:tc>
          <w:tcPr>
            <w:tcW w:w="1077" w:type="dxa"/>
            <w:shd w:val="clear" w:color="auto" w:fill="auto"/>
            <w:noWrap/>
          </w:tcPr>
          <w:p w14:paraId="65092348" w14:textId="6229FBDC" w:rsidR="002D1F90" w:rsidRPr="00B275E2" w:rsidRDefault="002D1F90" w:rsidP="00F16608">
            <w:pPr>
              <w:pStyle w:val="TableText"/>
              <w:spacing w:before="40" w:after="40"/>
              <w:jc w:val="right"/>
              <w:rPr>
                <w:rFonts w:cs="Calibri"/>
                <w:szCs w:val="18"/>
              </w:rPr>
            </w:pPr>
            <w:r w:rsidRPr="00B275E2">
              <w:rPr>
                <w:rFonts w:cs="Calibri"/>
                <w:szCs w:val="18"/>
              </w:rPr>
              <w:t>0.295</w:t>
            </w:r>
          </w:p>
        </w:tc>
        <w:tc>
          <w:tcPr>
            <w:tcW w:w="1134" w:type="dxa"/>
            <w:shd w:val="clear" w:color="auto" w:fill="auto"/>
            <w:noWrap/>
          </w:tcPr>
          <w:p w14:paraId="65092349" w14:textId="7FB0112B" w:rsidR="002D1F90" w:rsidRPr="00B275E2" w:rsidRDefault="002D1F90" w:rsidP="00F16608">
            <w:pPr>
              <w:pStyle w:val="TableText"/>
              <w:spacing w:before="40" w:after="40"/>
              <w:jc w:val="right"/>
              <w:rPr>
                <w:rFonts w:cs="Calibri"/>
                <w:szCs w:val="18"/>
              </w:rPr>
            </w:pPr>
            <w:r w:rsidRPr="00B275E2">
              <w:rPr>
                <w:rFonts w:cs="Calibri"/>
                <w:szCs w:val="18"/>
              </w:rPr>
              <w:t>0.0004</w:t>
            </w:r>
          </w:p>
        </w:tc>
        <w:tc>
          <w:tcPr>
            <w:tcW w:w="1134" w:type="dxa"/>
            <w:shd w:val="clear" w:color="auto" w:fill="auto"/>
            <w:noWrap/>
          </w:tcPr>
          <w:p w14:paraId="6509234A" w14:textId="208F8E31" w:rsidR="002D1F90" w:rsidRPr="00B275E2" w:rsidRDefault="002D1F90" w:rsidP="00F16608">
            <w:pPr>
              <w:pStyle w:val="TableText"/>
              <w:spacing w:before="40" w:after="40"/>
              <w:jc w:val="right"/>
              <w:rPr>
                <w:rFonts w:cs="Calibri"/>
                <w:szCs w:val="18"/>
              </w:rPr>
            </w:pPr>
            <w:r w:rsidRPr="00B275E2">
              <w:rPr>
                <w:rFonts w:cs="Calibri"/>
                <w:szCs w:val="18"/>
              </w:rPr>
              <w:t>0.0047</w:t>
            </w:r>
          </w:p>
        </w:tc>
      </w:tr>
      <w:tr w:rsidR="00B70E71" w:rsidRPr="00B275E2" w14:paraId="65092353" w14:textId="77777777" w:rsidTr="00111201">
        <w:tc>
          <w:tcPr>
            <w:tcW w:w="1418" w:type="dxa"/>
            <w:vMerge w:val="restart"/>
          </w:tcPr>
          <w:p w14:paraId="6509234C" w14:textId="08E36586" w:rsidR="002D1F90" w:rsidRPr="00B275E2" w:rsidRDefault="002D1F90" w:rsidP="00F16608">
            <w:pPr>
              <w:pStyle w:val="TableText"/>
              <w:keepNext/>
              <w:spacing w:before="40" w:after="40"/>
              <w:rPr>
                <w:rFonts w:cs="Calibri"/>
                <w:szCs w:val="18"/>
              </w:rPr>
            </w:pPr>
            <w:r w:rsidRPr="00B275E2">
              <w:rPr>
                <w:rFonts w:cs="Calibri"/>
                <w:szCs w:val="18"/>
              </w:rPr>
              <w:t>Petrol hybrid</w:t>
            </w:r>
          </w:p>
        </w:tc>
        <w:tc>
          <w:tcPr>
            <w:tcW w:w="1474" w:type="dxa"/>
            <w:noWrap/>
            <w:vAlign w:val="bottom"/>
          </w:tcPr>
          <w:p w14:paraId="6509234D" w14:textId="77777777" w:rsidR="002D1F90" w:rsidRPr="00B275E2" w:rsidRDefault="002D1F90" w:rsidP="00F16608">
            <w:pPr>
              <w:pStyle w:val="TableText"/>
              <w:spacing w:before="40" w:after="40"/>
              <w:rPr>
                <w:rFonts w:cs="Calibri"/>
                <w:szCs w:val="18"/>
              </w:rPr>
            </w:pPr>
            <w:r w:rsidRPr="00B275E2">
              <w:rPr>
                <w:rFonts w:cs="Calibri"/>
                <w:color w:val="000000"/>
                <w:szCs w:val="18"/>
              </w:rPr>
              <w:t>&lt;1350 cc</w:t>
            </w:r>
          </w:p>
        </w:tc>
        <w:tc>
          <w:tcPr>
            <w:tcW w:w="654" w:type="dxa"/>
            <w:shd w:val="clear" w:color="auto" w:fill="auto"/>
            <w:noWrap/>
            <w:vAlign w:val="bottom"/>
          </w:tcPr>
          <w:p w14:paraId="6509234E" w14:textId="77777777" w:rsidR="002D1F90" w:rsidRPr="00B275E2" w:rsidRDefault="002D1F90" w:rsidP="00F16608">
            <w:pPr>
              <w:pStyle w:val="TableText"/>
              <w:spacing w:before="40" w:after="40"/>
              <w:rPr>
                <w:rFonts w:cs="Calibri"/>
                <w:szCs w:val="18"/>
              </w:rPr>
            </w:pPr>
            <w:r w:rsidRPr="00B275E2">
              <w:rPr>
                <w:rFonts w:cs="Calibri"/>
                <w:color w:val="000000"/>
                <w:szCs w:val="18"/>
              </w:rPr>
              <w:t>km</w:t>
            </w:r>
          </w:p>
        </w:tc>
        <w:tc>
          <w:tcPr>
            <w:tcW w:w="1247" w:type="dxa"/>
            <w:shd w:val="clear" w:color="auto" w:fill="D2DDE1" w:themeFill="background2"/>
            <w:noWrap/>
          </w:tcPr>
          <w:p w14:paraId="6509234F" w14:textId="3E4EB31C" w:rsidR="002D1F90" w:rsidRPr="00B275E2" w:rsidRDefault="002D1F90" w:rsidP="00F16608">
            <w:pPr>
              <w:pStyle w:val="TableText"/>
              <w:spacing w:before="40" w:after="40"/>
              <w:jc w:val="right"/>
              <w:rPr>
                <w:rFonts w:cs="Calibri"/>
                <w:szCs w:val="18"/>
              </w:rPr>
            </w:pPr>
            <w:r w:rsidRPr="00B275E2">
              <w:rPr>
                <w:rFonts w:cs="Calibri"/>
                <w:szCs w:val="18"/>
              </w:rPr>
              <w:t>0.163</w:t>
            </w:r>
          </w:p>
        </w:tc>
        <w:tc>
          <w:tcPr>
            <w:tcW w:w="1077" w:type="dxa"/>
            <w:shd w:val="clear" w:color="auto" w:fill="auto"/>
            <w:noWrap/>
          </w:tcPr>
          <w:p w14:paraId="65092350" w14:textId="6C3A13AF" w:rsidR="002D1F90" w:rsidRPr="00B275E2" w:rsidRDefault="002D1F90" w:rsidP="00F16608">
            <w:pPr>
              <w:pStyle w:val="TableText"/>
              <w:spacing w:before="40" w:after="40"/>
              <w:jc w:val="right"/>
              <w:rPr>
                <w:rFonts w:cs="Calibri"/>
                <w:szCs w:val="18"/>
              </w:rPr>
            </w:pPr>
            <w:r w:rsidRPr="00B275E2">
              <w:rPr>
                <w:rFonts w:cs="Calibri"/>
                <w:szCs w:val="18"/>
              </w:rPr>
              <w:t>0.156</w:t>
            </w:r>
          </w:p>
        </w:tc>
        <w:tc>
          <w:tcPr>
            <w:tcW w:w="1134" w:type="dxa"/>
            <w:shd w:val="clear" w:color="auto" w:fill="auto"/>
            <w:noWrap/>
          </w:tcPr>
          <w:p w14:paraId="65092351" w14:textId="0B120A9A" w:rsidR="002D1F90" w:rsidRPr="00B275E2" w:rsidRDefault="002D1F90" w:rsidP="00F16608">
            <w:pPr>
              <w:pStyle w:val="TableText"/>
              <w:spacing w:before="40" w:after="40"/>
              <w:jc w:val="right"/>
              <w:rPr>
                <w:rFonts w:cs="Calibri"/>
                <w:szCs w:val="18"/>
              </w:rPr>
            </w:pPr>
            <w:r w:rsidRPr="00B275E2">
              <w:rPr>
                <w:rFonts w:cs="Calibri"/>
                <w:szCs w:val="18"/>
              </w:rPr>
              <w:t>0.002</w:t>
            </w:r>
          </w:p>
        </w:tc>
        <w:tc>
          <w:tcPr>
            <w:tcW w:w="1134" w:type="dxa"/>
            <w:shd w:val="clear" w:color="auto" w:fill="auto"/>
            <w:noWrap/>
          </w:tcPr>
          <w:p w14:paraId="65092352" w14:textId="4E2D6A52" w:rsidR="002D1F90" w:rsidRPr="00B275E2" w:rsidRDefault="002D1F90" w:rsidP="00F16608">
            <w:pPr>
              <w:pStyle w:val="TableText"/>
              <w:spacing w:before="40" w:after="40"/>
              <w:jc w:val="right"/>
              <w:rPr>
                <w:rFonts w:cs="Calibri"/>
                <w:szCs w:val="18"/>
              </w:rPr>
            </w:pPr>
            <w:r w:rsidRPr="00B275E2">
              <w:rPr>
                <w:rFonts w:cs="Calibri"/>
                <w:szCs w:val="18"/>
              </w:rPr>
              <w:t>0.005</w:t>
            </w:r>
          </w:p>
        </w:tc>
      </w:tr>
      <w:tr w:rsidR="00B70E71" w:rsidRPr="00B275E2" w14:paraId="6509235B" w14:textId="77777777" w:rsidTr="00111201">
        <w:tc>
          <w:tcPr>
            <w:tcW w:w="1418" w:type="dxa"/>
            <w:vMerge/>
          </w:tcPr>
          <w:p w14:paraId="65092354" w14:textId="77777777" w:rsidR="002D1F90" w:rsidRPr="00B275E2" w:rsidRDefault="002D1F90" w:rsidP="00F16608">
            <w:pPr>
              <w:pStyle w:val="TableText"/>
              <w:spacing w:before="40" w:after="40"/>
              <w:rPr>
                <w:rFonts w:cs="Calibri"/>
                <w:szCs w:val="18"/>
              </w:rPr>
            </w:pPr>
          </w:p>
        </w:tc>
        <w:tc>
          <w:tcPr>
            <w:tcW w:w="1474" w:type="dxa"/>
            <w:noWrap/>
            <w:vAlign w:val="bottom"/>
          </w:tcPr>
          <w:p w14:paraId="65092355" w14:textId="1494FED1" w:rsidR="002D1F90" w:rsidRPr="00B275E2" w:rsidRDefault="002D1F90" w:rsidP="00F16608">
            <w:pPr>
              <w:pStyle w:val="TableText"/>
              <w:spacing w:before="40" w:after="40"/>
              <w:rPr>
                <w:rFonts w:cs="Calibri"/>
                <w:szCs w:val="18"/>
              </w:rPr>
            </w:pPr>
            <w:r w:rsidRPr="00B275E2">
              <w:rPr>
                <w:rFonts w:cs="Calibri"/>
                <w:color w:val="000000"/>
                <w:szCs w:val="18"/>
              </w:rPr>
              <w:t xml:space="preserve">1350 - </w:t>
            </w:r>
            <w:r w:rsidRPr="00B275E2">
              <w:rPr>
                <w:rFonts w:cs="Calibri"/>
                <w:szCs w:val="18"/>
              </w:rPr>
              <w:t>&lt;</w:t>
            </w:r>
            <w:r w:rsidRPr="00B275E2">
              <w:rPr>
                <w:rFonts w:cs="Calibri"/>
                <w:color w:val="000000"/>
                <w:szCs w:val="18"/>
              </w:rPr>
              <w:t>1600 cc</w:t>
            </w:r>
          </w:p>
        </w:tc>
        <w:tc>
          <w:tcPr>
            <w:tcW w:w="654" w:type="dxa"/>
            <w:shd w:val="clear" w:color="auto" w:fill="auto"/>
            <w:noWrap/>
            <w:vAlign w:val="bottom"/>
          </w:tcPr>
          <w:p w14:paraId="65092356" w14:textId="77777777" w:rsidR="002D1F90" w:rsidRPr="00B275E2" w:rsidRDefault="002D1F90" w:rsidP="00F16608">
            <w:pPr>
              <w:pStyle w:val="TableText"/>
              <w:spacing w:before="40" w:after="40"/>
              <w:rPr>
                <w:rFonts w:cs="Calibri"/>
                <w:szCs w:val="18"/>
              </w:rPr>
            </w:pPr>
            <w:r w:rsidRPr="00B275E2">
              <w:rPr>
                <w:rFonts w:cs="Calibri"/>
                <w:color w:val="000000"/>
                <w:szCs w:val="18"/>
              </w:rPr>
              <w:t>km</w:t>
            </w:r>
          </w:p>
        </w:tc>
        <w:tc>
          <w:tcPr>
            <w:tcW w:w="1247" w:type="dxa"/>
            <w:shd w:val="clear" w:color="auto" w:fill="D2DDE1" w:themeFill="background2"/>
            <w:noWrap/>
          </w:tcPr>
          <w:p w14:paraId="65092357" w14:textId="3F54A45B" w:rsidR="002D1F90" w:rsidRPr="00B275E2" w:rsidRDefault="002D1F90" w:rsidP="00F16608">
            <w:pPr>
              <w:pStyle w:val="TableText"/>
              <w:spacing w:before="40" w:after="40"/>
              <w:jc w:val="right"/>
              <w:rPr>
                <w:rFonts w:cs="Calibri"/>
                <w:szCs w:val="18"/>
              </w:rPr>
            </w:pPr>
            <w:r w:rsidRPr="00B275E2">
              <w:rPr>
                <w:rFonts w:cs="Calibri"/>
                <w:szCs w:val="18"/>
              </w:rPr>
              <w:t>0.175</w:t>
            </w:r>
          </w:p>
        </w:tc>
        <w:tc>
          <w:tcPr>
            <w:tcW w:w="1077" w:type="dxa"/>
            <w:shd w:val="clear" w:color="auto" w:fill="auto"/>
            <w:noWrap/>
          </w:tcPr>
          <w:p w14:paraId="65092358" w14:textId="2D32055C" w:rsidR="002D1F90" w:rsidRPr="00B275E2" w:rsidRDefault="002D1F90" w:rsidP="00F16608">
            <w:pPr>
              <w:pStyle w:val="TableText"/>
              <w:spacing w:before="40" w:after="40"/>
              <w:jc w:val="right"/>
              <w:rPr>
                <w:rFonts w:cs="Calibri"/>
                <w:szCs w:val="18"/>
              </w:rPr>
            </w:pPr>
            <w:r w:rsidRPr="00B275E2">
              <w:rPr>
                <w:rFonts w:cs="Calibri"/>
                <w:szCs w:val="18"/>
              </w:rPr>
              <w:t>0.168</w:t>
            </w:r>
          </w:p>
        </w:tc>
        <w:tc>
          <w:tcPr>
            <w:tcW w:w="1134" w:type="dxa"/>
            <w:shd w:val="clear" w:color="auto" w:fill="auto"/>
            <w:noWrap/>
          </w:tcPr>
          <w:p w14:paraId="65092359" w14:textId="73046D24" w:rsidR="002D1F90" w:rsidRPr="00B275E2" w:rsidRDefault="002D1F90" w:rsidP="00F16608">
            <w:pPr>
              <w:pStyle w:val="TableText"/>
              <w:spacing w:before="40" w:after="40"/>
              <w:jc w:val="right"/>
              <w:rPr>
                <w:rFonts w:cs="Calibri"/>
                <w:szCs w:val="18"/>
              </w:rPr>
            </w:pPr>
            <w:r w:rsidRPr="00B275E2">
              <w:rPr>
                <w:rFonts w:cs="Calibri"/>
                <w:szCs w:val="18"/>
              </w:rPr>
              <w:t>0.002</w:t>
            </w:r>
          </w:p>
        </w:tc>
        <w:tc>
          <w:tcPr>
            <w:tcW w:w="1134" w:type="dxa"/>
            <w:shd w:val="clear" w:color="auto" w:fill="auto"/>
            <w:noWrap/>
          </w:tcPr>
          <w:p w14:paraId="6509235A" w14:textId="0BDBEC4D" w:rsidR="002D1F90" w:rsidRPr="00B275E2" w:rsidRDefault="002D1F90" w:rsidP="00F16608">
            <w:pPr>
              <w:pStyle w:val="TableText"/>
              <w:spacing w:before="40" w:after="40"/>
              <w:jc w:val="right"/>
              <w:rPr>
                <w:rFonts w:cs="Calibri"/>
                <w:szCs w:val="18"/>
              </w:rPr>
            </w:pPr>
            <w:r w:rsidRPr="00B275E2">
              <w:rPr>
                <w:rFonts w:cs="Calibri"/>
                <w:szCs w:val="18"/>
              </w:rPr>
              <w:t>0.006</w:t>
            </w:r>
          </w:p>
        </w:tc>
      </w:tr>
      <w:tr w:rsidR="00B70E71" w:rsidRPr="00B275E2" w14:paraId="65092363" w14:textId="77777777" w:rsidTr="00111201">
        <w:tc>
          <w:tcPr>
            <w:tcW w:w="1418" w:type="dxa"/>
            <w:vMerge/>
            <w:hideMark/>
          </w:tcPr>
          <w:p w14:paraId="6509235C" w14:textId="77777777" w:rsidR="002D1F90" w:rsidRPr="00B275E2" w:rsidRDefault="002D1F90" w:rsidP="00F16608">
            <w:pPr>
              <w:pStyle w:val="TableText"/>
              <w:spacing w:before="40" w:after="40"/>
              <w:rPr>
                <w:rFonts w:cs="Calibri"/>
                <w:szCs w:val="18"/>
              </w:rPr>
            </w:pPr>
          </w:p>
        </w:tc>
        <w:tc>
          <w:tcPr>
            <w:tcW w:w="1474" w:type="dxa"/>
            <w:noWrap/>
            <w:vAlign w:val="bottom"/>
          </w:tcPr>
          <w:p w14:paraId="6509235D" w14:textId="1F528AA8" w:rsidR="002D1F90" w:rsidRPr="00B275E2" w:rsidRDefault="002D1F90" w:rsidP="00F16608">
            <w:pPr>
              <w:pStyle w:val="TableText"/>
              <w:spacing w:before="40" w:after="40"/>
              <w:rPr>
                <w:rFonts w:cs="Calibri"/>
                <w:szCs w:val="18"/>
              </w:rPr>
            </w:pPr>
            <w:r w:rsidRPr="00B275E2">
              <w:rPr>
                <w:rFonts w:cs="Calibri"/>
                <w:color w:val="000000"/>
                <w:szCs w:val="18"/>
              </w:rPr>
              <w:t xml:space="preserve">1600 - </w:t>
            </w:r>
            <w:r w:rsidRPr="00B275E2">
              <w:rPr>
                <w:rFonts w:cs="Calibri"/>
                <w:szCs w:val="18"/>
              </w:rPr>
              <w:t>&lt;</w:t>
            </w:r>
            <w:r w:rsidRPr="00B275E2">
              <w:rPr>
                <w:rFonts w:cs="Calibri"/>
                <w:color w:val="000000"/>
                <w:szCs w:val="18"/>
              </w:rPr>
              <w:t>2000 cc</w:t>
            </w:r>
          </w:p>
        </w:tc>
        <w:tc>
          <w:tcPr>
            <w:tcW w:w="654" w:type="dxa"/>
            <w:shd w:val="clear" w:color="auto" w:fill="auto"/>
            <w:noWrap/>
            <w:vAlign w:val="bottom"/>
          </w:tcPr>
          <w:p w14:paraId="6509235E" w14:textId="77777777" w:rsidR="002D1F90" w:rsidRPr="00B275E2" w:rsidRDefault="002D1F90" w:rsidP="00F16608">
            <w:pPr>
              <w:pStyle w:val="TableText"/>
              <w:spacing w:before="40" w:after="40"/>
              <w:rPr>
                <w:rFonts w:cs="Calibri"/>
                <w:szCs w:val="18"/>
              </w:rPr>
            </w:pPr>
            <w:r w:rsidRPr="00B275E2">
              <w:rPr>
                <w:rFonts w:cs="Calibri"/>
                <w:color w:val="000000"/>
                <w:szCs w:val="18"/>
              </w:rPr>
              <w:t>km</w:t>
            </w:r>
          </w:p>
        </w:tc>
        <w:tc>
          <w:tcPr>
            <w:tcW w:w="1247" w:type="dxa"/>
            <w:shd w:val="clear" w:color="auto" w:fill="D2DDE1" w:themeFill="background2"/>
            <w:noWrap/>
          </w:tcPr>
          <w:p w14:paraId="6509235F" w14:textId="0F0500F2" w:rsidR="002D1F90" w:rsidRPr="00B275E2" w:rsidRDefault="002D1F90" w:rsidP="00F16608">
            <w:pPr>
              <w:pStyle w:val="TableText"/>
              <w:spacing w:before="40" w:after="40"/>
              <w:jc w:val="right"/>
              <w:rPr>
                <w:rFonts w:cs="Calibri"/>
                <w:szCs w:val="18"/>
              </w:rPr>
            </w:pPr>
            <w:r w:rsidRPr="00B275E2">
              <w:rPr>
                <w:rFonts w:cs="Calibri"/>
                <w:szCs w:val="18"/>
              </w:rPr>
              <w:t>0.236</w:t>
            </w:r>
          </w:p>
        </w:tc>
        <w:tc>
          <w:tcPr>
            <w:tcW w:w="1077" w:type="dxa"/>
            <w:shd w:val="clear" w:color="auto" w:fill="auto"/>
            <w:noWrap/>
          </w:tcPr>
          <w:p w14:paraId="65092360" w14:textId="4E01F584" w:rsidR="002D1F90" w:rsidRPr="00B275E2" w:rsidRDefault="002D1F90" w:rsidP="00F16608">
            <w:pPr>
              <w:pStyle w:val="TableText"/>
              <w:spacing w:before="40" w:after="40"/>
              <w:jc w:val="right"/>
              <w:rPr>
                <w:rFonts w:cs="Calibri"/>
                <w:szCs w:val="18"/>
              </w:rPr>
            </w:pPr>
            <w:r w:rsidRPr="00B275E2">
              <w:rPr>
                <w:rFonts w:cs="Calibri"/>
                <w:szCs w:val="18"/>
              </w:rPr>
              <w:t>0.226</w:t>
            </w:r>
          </w:p>
        </w:tc>
        <w:tc>
          <w:tcPr>
            <w:tcW w:w="1134" w:type="dxa"/>
            <w:shd w:val="clear" w:color="auto" w:fill="auto"/>
            <w:noWrap/>
          </w:tcPr>
          <w:p w14:paraId="65092361" w14:textId="3C34AC3C" w:rsidR="002D1F90" w:rsidRPr="00B275E2" w:rsidRDefault="002D1F90" w:rsidP="00F16608">
            <w:pPr>
              <w:pStyle w:val="TableText"/>
              <w:spacing w:before="40" w:after="40"/>
              <w:jc w:val="right"/>
              <w:rPr>
                <w:rFonts w:cs="Calibri"/>
                <w:szCs w:val="18"/>
              </w:rPr>
            </w:pPr>
            <w:r w:rsidRPr="00B275E2">
              <w:rPr>
                <w:rFonts w:cs="Calibri"/>
                <w:szCs w:val="18"/>
              </w:rPr>
              <w:t>0.003</w:t>
            </w:r>
          </w:p>
        </w:tc>
        <w:tc>
          <w:tcPr>
            <w:tcW w:w="1134" w:type="dxa"/>
            <w:shd w:val="clear" w:color="auto" w:fill="auto"/>
            <w:noWrap/>
          </w:tcPr>
          <w:p w14:paraId="65092362" w14:textId="4BC0471F" w:rsidR="002D1F90" w:rsidRPr="00B275E2" w:rsidRDefault="002D1F90" w:rsidP="00F16608">
            <w:pPr>
              <w:pStyle w:val="TableText"/>
              <w:spacing w:before="40" w:after="40"/>
              <w:jc w:val="right"/>
              <w:rPr>
                <w:rFonts w:cs="Calibri"/>
                <w:szCs w:val="18"/>
              </w:rPr>
            </w:pPr>
            <w:r w:rsidRPr="00B275E2">
              <w:rPr>
                <w:rFonts w:cs="Calibri"/>
                <w:szCs w:val="18"/>
              </w:rPr>
              <w:t>0.008</w:t>
            </w:r>
          </w:p>
        </w:tc>
      </w:tr>
      <w:tr w:rsidR="00B70E71" w:rsidRPr="00B275E2" w14:paraId="6509236B" w14:textId="77777777" w:rsidTr="00111201">
        <w:tc>
          <w:tcPr>
            <w:tcW w:w="1418" w:type="dxa"/>
            <w:vMerge/>
            <w:hideMark/>
          </w:tcPr>
          <w:p w14:paraId="65092364" w14:textId="77777777" w:rsidR="002D1F90" w:rsidRPr="00B275E2" w:rsidRDefault="002D1F90" w:rsidP="00F16608">
            <w:pPr>
              <w:pStyle w:val="TableText"/>
              <w:spacing w:before="40" w:after="40"/>
              <w:rPr>
                <w:rFonts w:cs="Calibri"/>
                <w:szCs w:val="18"/>
              </w:rPr>
            </w:pPr>
          </w:p>
        </w:tc>
        <w:tc>
          <w:tcPr>
            <w:tcW w:w="1474" w:type="dxa"/>
            <w:noWrap/>
            <w:vAlign w:val="bottom"/>
          </w:tcPr>
          <w:p w14:paraId="65092365" w14:textId="0881FDAC" w:rsidR="002D1F90" w:rsidRPr="00B275E2" w:rsidRDefault="002D1F90" w:rsidP="00F16608">
            <w:pPr>
              <w:pStyle w:val="TableText"/>
              <w:spacing w:before="40" w:after="40"/>
              <w:rPr>
                <w:rFonts w:cs="Calibri"/>
                <w:szCs w:val="18"/>
              </w:rPr>
            </w:pPr>
            <w:r w:rsidRPr="00B275E2">
              <w:rPr>
                <w:rFonts w:cs="Calibri"/>
                <w:color w:val="000000"/>
                <w:szCs w:val="18"/>
              </w:rPr>
              <w:t xml:space="preserve">2000 - </w:t>
            </w:r>
            <w:r w:rsidRPr="00B275E2">
              <w:rPr>
                <w:rFonts w:cs="Calibri"/>
                <w:szCs w:val="18"/>
              </w:rPr>
              <w:t>&lt;</w:t>
            </w:r>
            <w:r w:rsidRPr="00B275E2">
              <w:rPr>
                <w:rFonts w:cs="Calibri"/>
                <w:color w:val="000000"/>
                <w:szCs w:val="18"/>
              </w:rPr>
              <w:t>3000 cc</w:t>
            </w:r>
          </w:p>
        </w:tc>
        <w:tc>
          <w:tcPr>
            <w:tcW w:w="654" w:type="dxa"/>
            <w:shd w:val="clear" w:color="auto" w:fill="auto"/>
            <w:noWrap/>
            <w:vAlign w:val="bottom"/>
          </w:tcPr>
          <w:p w14:paraId="65092366" w14:textId="77777777" w:rsidR="002D1F90" w:rsidRPr="00B275E2" w:rsidRDefault="002D1F90" w:rsidP="00F16608">
            <w:pPr>
              <w:pStyle w:val="TableText"/>
              <w:spacing w:before="40" w:after="40"/>
              <w:rPr>
                <w:rFonts w:cs="Calibri"/>
                <w:szCs w:val="18"/>
              </w:rPr>
            </w:pPr>
            <w:r w:rsidRPr="00B275E2">
              <w:rPr>
                <w:rFonts w:cs="Calibri"/>
                <w:color w:val="000000"/>
                <w:szCs w:val="18"/>
              </w:rPr>
              <w:t>km</w:t>
            </w:r>
          </w:p>
        </w:tc>
        <w:tc>
          <w:tcPr>
            <w:tcW w:w="1247" w:type="dxa"/>
            <w:shd w:val="clear" w:color="auto" w:fill="D2DDE1" w:themeFill="background2"/>
            <w:noWrap/>
          </w:tcPr>
          <w:p w14:paraId="65092367" w14:textId="2A755B7C" w:rsidR="002D1F90" w:rsidRPr="00B275E2" w:rsidRDefault="002D1F90" w:rsidP="00F16608">
            <w:pPr>
              <w:pStyle w:val="TableText"/>
              <w:spacing w:before="40" w:after="40"/>
              <w:jc w:val="right"/>
              <w:rPr>
                <w:rFonts w:cs="Calibri"/>
                <w:szCs w:val="18"/>
              </w:rPr>
            </w:pPr>
            <w:r w:rsidRPr="00B275E2">
              <w:rPr>
                <w:rFonts w:cs="Calibri"/>
                <w:szCs w:val="18"/>
              </w:rPr>
              <w:t>0.250</w:t>
            </w:r>
          </w:p>
        </w:tc>
        <w:tc>
          <w:tcPr>
            <w:tcW w:w="1077" w:type="dxa"/>
            <w:shd w:val="clear" w:color="auto" w:fill="auto"/>
            <w:noWrap/>
          </w:tcPr>
          <w:p w14:paraId="65092368" w14:textId="73437B1C" w:rsidR="002D1F90" w:rsidRPr="00B275E2" w:rsidRDefault="002D1F90" w:rsidP="00F16608">
            <w:pPr>
              <w:pStyle w:val="TableText"/>
              <w:spacing w:before="40" w:after="40"/>
              <w:jc w:val="right"/>
              <w:rPr>
                <w:rFonts w:cs="Calibri"/>
                <w:szCs w:val="18"/>
              </w:rPr>
            </w:pPr>
            <w:r w:rsidRPr="00B275E2">
              <w:rPr>
                <w:rFonts w:cs="Calibri"/>
                <w:szCs w:val="18"/>
              </w:rPr>
              <w:t>0.239</w:t>
            </w:r>
          </w:p>
        </w:tc>
        <w:tc>
          <w:tcPr>
            <w:tcW w:w="1134" w:type="dxa"/>
            <w:shd w:val="clear" w:color="auto" w:fill="auto"/>
            <w:noWrap/>
          </w:tcPr>
          <w:p w14:paraId="65092369" w14:textId="7ED6E3EB" w:rsidR="002D1F90" w:rsidRPr="00B275E2" w:rsidRDefault="002D1F90" w:rsidP="00F16608">
            <w:pPr>
              <w:pStyle w:val="TableText"/>
              <w:spacing w:before="40" w:after="40"/>
              <w:jc w:val="right"/>
              <w:rPr>
                <w:rFonts w:cs="Calibri"/>
                <w:szCs w:val="18"/>
              </w:rPr>
            </w:pPr>
            <w:r w:rsidRPr="00B275E2">
              <w:rPr>
                <w:rFonts w:cs="Calibri"/>
                <w:szCs w:val="18"/>
              </w:rPr>
              <w:t>0.003</w:t>
            </w:r>
          </w:p>
        </w:tc>
        <w:tc>
          <w:tcPr>
            <w:tcW w:w="1134" w:type="dxa"/>
            <w:shd w:val="clear" w:color="auto" w:fill="auto"/>
            <w:noWrap/>
          </w:tcPr>
          <w:p w14:paraId="6509236A" w14:textId="14F2AD3A" w:rsidR="002D1F90" w:rsidRPr="00B275E2" w:rsidRDefault="002D1F90" w:rsidP="00F16608">
            <w:pPr>
              <w:pStyle w:val="TableText"/>
              <w:spacing w:before="40" w:after="40"/>
              <w:jc w:val="right"/>
              <w:rPr>
                <w:rFonts w:cs="Calibri"/>
                <w:szCs w:val="18"/>
              </w:rPr>
            </w:pPr>
            <w:r w:rsidRPr="00B275E2">
              <w:rPr>
                <w:rFonts w:cs="Calibri"/>
                <w:szCs w:val="18"/>
              </w:rPr>
              <w:t>0.008</w:t>
            </w:r>
          </w:p>
        </w:tc>
      </w:tr>
      <w:tr w:rsidR="00B70E71" w:rsidRPr="00B275E2" w14:paraId="65092373" w14:textId="77777777" w:rsidTr="00111201">
        <w:tc>
          <w:tcPr>
            <w:tcW w:w="1418" w:type="dxa"/>
            <w:vMerge/>
            <w:hideMark/>
          </w:tcPr>
          <w:p w14:paraId="6509236C" w14:textId="77777777" w:rsidR="002D1F90" w:rsidRPr="00B275E2" w:rsidRDefault="002D1F90" w:rsidP="00F16608">
            <w:pPr>
              <w:pStyle w:val="TableText"/>
              <w:spacing w:before="40" w:after="40"/>
              <w:rPr>
                <w:rFonts w:cs="Calibri"/>
                <w:szCs w:val="18"/>
              </w:rPr>
            </w:pPr>
          </w:p>
        </w:tc>
        <w:tc>
          <w:tcPr>
            <w:tcW w:w="1474" w:type="dxa"/>
            <w:noWrap/>
            <w:vAlign w:val="bottom"/>
          </w:tcPr>
          <w:p w14:paraId="6509236D" w14:textId="77777777" w:rsidR="002D1F90" w:rsidRPr="00B275E2" w:rsidRDefault="002D1F90" w:rsidP="00F16608">
            <w:pPr>
              <w:pStyle w:val="TableText"/>
              <w:spacing w:before="40" w:after="40"/>
              <w:rPr>
                <w:rFonts w:cs="Calibri"/>
                <w:szCs w:val="18"/>
              </w:rPr>
            </w:pPr>
            <w:r w:rsidRPr="00B275E2">
              <w:rPr>
                <w:rFonts w:cs="Calibri"/>
                <w:color w:val="000000"/>
                <w:szCs w:val="18"/>
              </w:rPr>
              <w:t>≥3000 cc</w:t>
            </w:r>
          </w:p>
        </w:tc>
        <w:tc>
          <w:tcPr>
            <w:tcW w:w="654" w:type="dxa"/>
            <w:shd w:val="clear" w:color="auto" w:fill="auto"/>
            <w:noWrap/>
            <w:vAlign w:val="bottom"/>
          </w:tcPr>
          <w:p w14:paraId="6509236E" w14:textId="77777777" w:rsidR="002D1F90" w:rsidRPr="00B275E2" w:rsidRDefault="002D1F90" w:rsidP="00F16608">
            <w:pPr>
              <w:pStyle w:val="TableText"/>
              <w:spacing w:before="40" w:after="40"/>
              <w:rPr>
                <w:rFonts w:cs="Calibri"/>
                <w:szCs w:val="18"/>
              </w:rPr>
            </w:pPr>
            <w:r w:rsidRPr="00B275E2">
              <w:rPr>
                <w:rFonts w:cs="Calibri"/>
                <w:color w:val="000000"/>
                <w:szCs w:val="18"/>
              </w:rPr>
              <w:t>km</w:t>
            </w:r>
          </w:p>
        </w:tc>
        <w:tc>
          <w:tcPr>
            <w:tcW w:w="1247" w:type="dxa"/>
            <w:shd w:val="clear" w:color="auto" w:fill="D2DDE1" w:themeFill="background2"/>
            <w:noWrap/>
          </w:tcPr>
          <w:p w14:paraId="6509236F" w14:textId="3CEC517A" w:rsidR="002D1F90" w:rsidRPr="00B275E2" w:rsidRDefault="002D1F90" w:rsidP="00F16608">
            <w:pPr>
              <w:pStyle w:val="TableText"/>
              <w:spacing w:before="40" w:after="40"/>
              <w:jc w:val="right"/>
              <w:rPr>
                <w:rFonts w:cs="Calibri"/>
                <w:szCs w:val="18"/>
              </w:rPr>
            </w:pPr>
            <w:r w:rsidRPr="00B275E2">
              <w:rPr>
                <w:rFonts w:cs="Calibri"/>
                <w:szCs w:val="18"/>
              </w:rPr>
              <w:t>0.286</w:t>
            </w:r>
          </w:p>
        </w:tc>
        <w:tc>
          <w:tcPr>
            <w:tcW w:w="1077" w:type="dxa"/>
            <w:shd w:val="clear" w:color="auto" w:fill="auto"/>
            <w:noWrap/>
          </w:tcPr>
          <w:p w14:paraId="65092370" w14:textId="50FE9321" w:rsidR="002D1F90" w:rsidRPr="00B275E2" w:rsidRDefault="002D1F90" w:rsidP="00F16608">
            <w:pPr>
              <w:pStyle w:val="TableText"/>
              <w:spacing w:before="40" w:after="40"/>
              <w:jc w:val="right"/>
              <w:rPr>
                <w:rFonts w:cs="Calibri"/>
                <w:szCs w:val="18"/>
              </w:rPr>
            </w:pPr>
            <w:r w:rsidRPr="00B275E2">
              <w:rPr>
                <w:rFonts w:cs="Calibri"/>
                <w:szCs w:val="18"/>
              </w:rPr>
              <w:t>0.273</w:t>
            </w:r>
          </w:p>
        </w:tc>
        <w:tc>
          <w:tcPr>
            <w:tcW w:w="1134" w:type="dxa"/>
            <w:shd w:val="clear" w:color="auto" w:fill="auto"/>
            <w:noWrap/>
          </w:tcPr>
          <w:p w14:paraId="65092371" w14:textId="515F42B6" w:rsidR="002D1F90" w:rsidRPr="00B275E2" w:rsidRDefault="002D1F90" w:rsidP="00F16608">
            <w:pPr>
              <w:pStyle w:val="TableText"/>
              <w:spacing w:before="40" w:after="40"/>
              <w:jc w:val="right"/>
              <w:rPr>
                <w:rFonts w:cs="Calibri"/>
                <w:szCs w:val="18"/>
              </w:rPr>
            </w:pPr>
            <w:r w:rsidRPr="00B275E2">
              <w:rPr>
                <w:rFonts w:cs="Calibri"/>
                <w:szCs w:val="18"/>
              </w:rPr>
              <w:t>0.003</w:t>
            </w:r>
          </w:p>
        </w:tc>
        <w:tc>
          <w:tcPr>
            <w:tcW w:w="1134" w:type="dxa"/>
            <w:shd w:val="clear" w:color="auto" w:fill="auto"/>
            <w:noWrap/>
          </w:tcPr>
          <w:p w14:paraId="65092372" w14:textId="4E8F2545" w:rsidR="002D1F90" w:rsidRPr="00B275E2" w:rsidRDefault="002D1F90" w:rsidP="00F16608">
            <w:pPr>
              <w:pStyle w:val="TableText"/>
              <w:spacing w:before="40" w:after="40"/>
              <w:jc w:val="right"/>
              <w:rPr>
                <w:rFonts w:cs="Calibri"/>
                <w:szCs w:val="18"/>
              </w:rPr>
            </w:pPr>
            <w:r w:rsidRPr="00B275E2">
              <w:rPr>
                <w:rFonts w:cs="Calibri"/>
                <w:szCs w:val="18"/>
              </w:rPr>
              <w:t>0.009</w:t>
            </w:r>
          </w:p>
        </w:tc>
      </w:tr>
      <w:tr w:rsidR="00B70E71" w:rsidRPr="00B275E2" w14:paraId="6509237B" w14:textId="77777777" w:rsidTr="00111201">
        <w:tc>
          <w:tcPr>
            <w:tcW w:w="1418" w:type="dxa"/>
            <w:vMerge w:val="restart"/>
            <w:hideMark/>
          </w:tcPr>
          <w:p w14:paraId="65092374" w14:textId="146AB86B" w:rsidR="002D1F90" w:rsidRPr="00B275E2" w:rsidRDefault="002D1F90" w:rsidP="00F16608">
            <w:pPr>
              <w:pStyle w:val="TableText"/>
              <w:spacing w:before="40" w:after="40"/>
              <w:rPr>
                <w:rFonts w:cs="Calibri"/>
                <w:szCs w:val="18"/>
              </w:rPr>
            </w:pPr>
            <w:r w:rsidRPr="00B275E2">
              <w:rPr>
                <w:rFonts w:cs="Calibri"/>
                <w:szCs w:val="18"/>
              </w:rPr>
              <w:t>Diesel hybrid</w:t>
            </w:r>
          </w:p>
        </w:tc>
        <w:tc>
          <w:tcPr>
            <w:tcW w:w="1474" w:type="dxa"/>
            <w:noWrap/>
            <w:vAlign w:val="bottom"/>
          </w:tcPr>
          <w:p w14:paraId="65092375" w14:textId="77777777" w:rsidR="002D1F90" w:rsidRPr="00B275E2" w:rsidRDefault="002D1F90" w:rsidP="00F16608">
            <w:pPr>
              <w:pStyle w:val="TableText"/>
              <w:spacing w:before="40" w:after="40"/>
              <w:rPr>
                <w:rFonts w:cs="Calibri"/>
                <w:szCs w:val="18"/>
              </w:rPr>
            </w:pPr>
            <w:r w:rsidRPr="00B275E2">
              <w:rPr>
                <w:rFonts w:cs="Calibri"/>
                <w:color w:val="000000"/>
                <w:szCs w:val="18"/>
              </w:rPr>
              <w:t>&lt;1350 cc</w:t>
            </w:r>
          </w:p>
        </w:tc>
        <w:tc>
          <w:tcPr>
            <w:tcW w:w="654" w:type="dxa"/>
            <w:shd w:val="clear" w:color="auto" w:fill="auto"/>
            <w:noWrap/>
            <w:vAlign w:val="bottom"/>
          </w:tcPr>
          <w:p w14:paraId="65092376" w14:textId="77777777" w:rsidR="002D1F90" w:rsidRPr="00B275E2" w:rsidRDefault="002D1F90" w:rsidP="00F16608">
            <w:pPr>
              <w:pStyle w:val="TableText"/>
              <w:spacing w:before="40" w:after="40"/>
              <w:rPr>
                <w:rFonts w:cs="Calibri"/>
                <w:szCs w:val="18"/>
              </w:rPr>
            </w:pPr>
            <w:r w:rsidRPr="00B275E2">
              <w:rPr>
                <w:rFonts w:cs="Calibri"/>
                <w:color w:val="000000"/>
                <w:szCs w:val="18"/>
              </w:rPr>
              <w:t>km</w:t>
            </w:r>
          </w:p>
        </w:tc>
        <w:tc>
          <w:tcPr>
            <w:tcW w:w="1247" w:type="dxa"/>
            <w:shd w:val="clear" w:color="auto" w:fill="D2DDE1" w:themeFill="background2"/>
            <w:noWrap/>
          </w:tcPr>
          <w:p w14:paraId="65092377" w14:textId="6495AA25" w:rsidR="002D1F90" w:rsidRPr="00B275E2" w:rsidRDefault="002D1F90" w:rsidP="00F16608">
            <w:pPr>
              <w:pStyle w:val="TableText"/>
              <w:spacing w:before="40" w:after="40"/>
              <w:jc w:val="right"/>
              <w:rPr>
                <w:rFonts w:cs="Calibri"/>
                <w:szCs w:val="18"/>
              </w:rPr>
            </w:pPr>
            <w:r w:rsidRPr="00B275E2">
              <w:rPr>
                <w:rFonts w:cs="Calibri"/>
                <w:szCs w:val="18"/>
              </w:rPr>
              <w:t>0.193</w:t>
            </w:r>
          </w:p>
        </w:tc>
        <w:tc>
          <w:tcPr>
            <w:tcW w:w="1077" w:type="dxa"/>
            <w:shd w:val="clear" w:color="auto" w:fill="auto"/>
            <w:noWrap/>
          </w:tcPr>
          <w:p w14:paraId="65092378" w14:textId="5CAD44BA" w:rsidR="002D1F90" w:rsidRPr="00B275E2" w:rsidRDefault="002D1F90" w:rsidP="00F16608">
            <w:pPr>
              <w:pStyle w:val="TableText"/>
              <w:spacing w:before="40" w:after="40"/>
              <w:jc w:val="right"/>
              <w:rPr>
                <w:rFonts w:cs="Calibri"/>
                <w:szCs w:val="18"/>
              </w:rPr>
            </w:pPr>
            <w:r w:rsidRPr="00B275E2">
              <w:rPr>
                <w:rFonts w:cs="Calibri"/>
                <w:szCs w:val="18"/>
              </w:rPr>
              <w:t>0.190</w:t>
            </w:r>
          </w:p>
        </w:tc>
        <w:tc>
          <w:tcPr>
            <w:tcW w:w="1134" w:type="dxa"/>
            <w:shd w:val="clear" w:color="auto" w:fill="auto"/>
            <w:noWrap/>
          </w:tcPr>
          <w:p w14:paraId="65092379" w14:textId="7E327400" w:rsidR="002D1F90" w:rsidRPr="00B275E2" w:rsidRDefault="002D1F90" w:rsidP="00F16608">
            <w:pPr>
              <w:pStyle w:val="TableText"/>
              <w:spacing w:before="40" w:after="40"/>
              <w:jc w:val="right"/>
              <w:rPr>
                <w:rFonts w:cs="Calibri"/>
                <w:szCs w:val="18"/>
              </w:rPr>
            </w:pPr>
            <w:r w:rsidRPr="00B275E2">
              <w:rPr>
                <w:rFonts w:cs="Calibri"/>
                <w:szCs w:val="18"/>
              </w:rPr>
              <w:t>0.0003</w:t>
            </w:r>
          </w:p>
        </w:tc>
        <w:tc>
          <w:tcPr>
            <w:tcW w:w="1134" w:type="dxa"/>
            <w:shd w:val="clear" w:color="auto" w:fill="auto"/>
            <w:noWrap/>
          </w:tcPr>
          <w:p w14:paraId="6509237A" w14:textId="70991B6F" w:rsidR="002D1F90" w:rsidRPr="00B275E2" w:rsidRDefault="002D1F90" w:rsidP="00F16608">
            <w:pPr>
              <w:pStyle w:val="TableText"/>
              <w:spacing w:before="40" w:after="40"/>
              <w:jc w:val="right"/>
              <w:rPr>
                <w:rFonts w:cs="Calibri"/>
                <w:szCs w:val="18"/>
              </w:rPr>
            </w:pPr>
            <w:r w:rsidRPr="00B275E2">
              <w:rPr>
                <w:rFonts w:cs="Calibri"/>
                <w:szCs w:val="18"/>
              </w:rPr>
              <w:t>0.003</w:t>
            </w:r>
          </w:p>
        </w:tc>
      </w:tr>
      <w:tr w:rsidR="00B70E71" w:rsidRPr="00B275E2" w14:paraId="65092383" w14:textId="77777777" w:rsidTr="00111201">
        <w:tc>
          <w:tcPr>
            <w:tcW w:w="1418" w:type="dxa"/>
            <w:vMerge/>
          </w:tcPr>
          <w:p w14:paraId="6509237C" w14:textId="77777777" w:rsidR="002D1F90" w:rsidRPr="00B275E2" w:rsidRDefault="002D1F90" w:rsidP="00F16608">
            <w:pPr>
              <w:pStyle w:val="TableText"/>
              <w:spacing w:before="40" w:after="40"/>
              <w:rPr>
                <w:rFonts w:cs="Calibri"/>
                <w:szCs w:val="18"/>
              </w:rPr>
            </w:pPr>
          </w:p>
        </w:tc>
        <w:tc>
          <w:tcPr>
            <w:tcW w:w="1474" w:type="dxa"/>
            <w:noWrap/>
            <w:vAlign w:val="bottom"/>
          </w:tcPr>
          <w:p w14:paraId="6509237D" w14:textId="12E30ED7" w:rsidR="002D1F90" w:rsidRPr="00B275E2" w:rsidRDefault="002D1F90" w:rsidP="00F16608">
            <w:pPr>
              <w:pStyle w:val="TableText"/>
              <w:spacing w:before="40" w:after="40"/>
              <w:rPr>
                <w:rFonts w:cs="Calibri"/>
                <w:szCs w:val="18"/>
              </w:rPr>
            </w:pPr>
            <w:r w:rsidRPr="00B275E2">
              <w:rPr>
                <w:rFonts w:cs="Calibri"/>
                <w:color w:val="000000"/>
                <w:szCs w:val="18"/>
              </w:rPr>
              <w:t xml:space="preserve">1350 - </w:t>
            </w:r>
            <w:r w:rsidRPr="00B275E2">
              <w:rPr>
                <w:rFonts w:cs="Calibri"/>
                <w:szCs w:val="18"/>
              </w:rPr>
              <w:t>&lt;</w:t>
            </w:r>
            <w:r w:rsidRPr="00B275E2">
              <w:rPr>
                <w:rFonts w:cs="Calibri"/>
                <w:color w:val="000000"/>
                <w:szCs w:val="18"/>
              </w:rPr>
              <w:t>1600 cc</w:t>
            </w:r>
          </w:p>
        </w:tc>
        <w:tc>
          <w:tcPr>
            <w:tcW w:w="654" w:type="dxa"/>
            <w:shd w:val="clear" w:color="auto" w:fill="auto"/>
            <w:noWrap/>
            <w:vAlign w:val="bottom"/>
          </w:tcPr>
          <w:p w14:paraId="6509237E" w14:textId="77777777" w:rsidR="002D1F90" w:rsidRPr="00B275E2" w:rsidRDefault="002D1F90" w:rsidP="00F16608">
            <w:pPr>
              <w:pStyle w:val="TableText"/>
              <w:spacing w:before="40" w:after="40"/>
              <w:rPr>
                <w:rFonts w:cs="Calibri"/>
                <w:szCs w:val="18"/>
              </w:rPr>
            </w:pPr>
            <w:r w:rsidRPr="00B275E2">
              <w:rPr>
                <w:rFonts w:cs="Calibri"/>
                <w:color w:val="000000"/>
                <w:szCs w:val="18"/>
              </w:rPr>
              <w:t>km</w:t>
            </w:r>
          </w:p>
        </w:tc>
        <w:tc>
          <w:tcPr>
            <w:tcW w:w="1247" w:type="dxa"/>
            <w:shd w:val="clear" w:color="auto" w:fill="D2DDE1" w:themeFill="background2"/>
            <w:noWrap/>
          </w:tcPr>
          <w:p w14:paraId="6509237F" w14:textId="3CBE5FD8" w:rsidR="002D1F90" w:rsidRPr="00B275E2" w:rsidRDefault="002D1F90" w:rsidP="00F16608">
            <w:pPr>
              <w:pStyle w:val="TableText"/>
              <w:spacing w:before="40" w:after="40"/>
              <w:jc w:val="right"/>
              <w:rPr>
                <w:rFonts w:cs="Calibri"/>
                <w:szCs w:val="18"/>
              </w:rPr>
            </w:pPr>
            <w:r w:rsidRPr="00B275E2">
              <w:rPr>
                <w:rFonts w:cs="Calibri"/>
                <w:szCs w:val="18"/>
              </w:rPr>
              <w:t>0.186</w:t>
            </w:r>
          </w:p>
        </w:tc>
        <w:tc>
          <w:tcPr>
            <w:tcW w:w="1077" w:type="dxa"/>
            <w:shd w:val="clear" w:color="auto" w:fill="auto"/>
            <w:noWrap/>
          </w:tcPr>
          <w:p w14:paraId="65092380" w14:textId="6E6FB84F" w:rsidR="002D1F90" w:rsidRPr="00B275E2" w:rsidRDefault="002D1F90" w:rsidP="00F16608">
            <w:pPr>
              <w:pStyle w:val="TableText"/>
              <w:spacing w:before="40" w:after="40"/>
              <w:jc w:val="right"/>
              <w:rPr>
                <w:rFonts w:cs="Calibri"/>
                <w:szCs w:val="18"/>
              </w:rPr>
            </w:pPr>
            <w:r w:rsidRPr="00B275E2">
              <w:rPr>
                <w:rFonts w:cs="Calibri"/>
                <w:szCs w:val="18"/>
              </w:rPr>
              <w:t>0.183</w:t>
            </w:r>
          </w:p>
        </w:tc>
        <w:tc>
          <w:tcPr>
            <w:tcW w:w="1134" w:type="dxa"/>
            <w:shd w:val="clear" w:color="auto" w:fill="auto"/>
            <w:noWrap/>
          </w:tcPr>
          <w:p w14:paraId="65092381" w14:textId="4EFE9C8B" w:rsidR="002D1F90" w:rsidRPr="00B275E2" w:rsidRDefault="002D1F90" w:rsidP="00F16608">
            <w:pPr>
              <w:pStyle w:val="TableText"/>
              <w:spacing w:before="40" w:after="40"/>
              <w:jc w:val="right"/>
              <w:rPr>
                <w:rFonts w:cs="Calibri"/>
                <w:szCs w:val="18"/>
              </w:rPr>
            </w:pPr>
            <w:r w:rsidRPr="00B275E2">
              <w:rPr>
                <w:rFonts w:cs="Calibri"/>
                <w:szCs w:val="18"/>
              </w:rPr>
              <w:t>0.0002</w:t>
            </w:r>
          </w:p>
        </w:tc>
        <w:tc>
          <w:tcPr>
            <w:tcW w:w="1134" w:type="dxa"/>
            <w:shd w:val="clear" w:color="auto" w:fill="auto"/>
            <w:noWrap/>
          </w:tcPr>
          <w:p w14:paraId="65092382" w14:textId="18C8656D" w:rsidR="002D1F90" w:rsidRPr="00B275E2" w:rsidRDefault="002D1F90" w:rsidP="00F16608">
            <w:pPr>
              <w:pStyle w:val="TableText"/>
              <w:spacing w:before="40" w:after="40"/>
              <w:jc w:val="right"/>
              <w:rPr>
                <w:rFonts w:cs="Calibri"/>
                <w:szCs w:val="18"/>
              </w:rPr>
            </w:pPr>
            <w:r w:rsidRPr="00B275E2">
              <w:rPr>
                <w:rFonts w:cs="Calibri"/>
                <w:szCs w:val="18"/>
              </w:rPr>
              <w:t>0.003</w:t>
            </w:r>
          </w:p>
        </w:tc>
      </w:tr>
      <w:tr w:rsidR="00B70E71" w:rsidRPr="00B275E2" w14:paraId="6509238B" w14:textId="77777777" w:rsidTr="00111201">
        <w:tc>
          <w:tcPr>
            <w:tcW w:w="1418" w:type="dxa"/>
            <w:vMerge/>
          </w:tcPr>
          <w:p w14:paraId="65092384" w14:textId="77777777" w:rsidR="002D1F90" w:rsidRPr="00B275E2" w:rsidRDefault="002D1F90" w:rsidP="00F16608">
            <w:pPr>
              <w:pStyle w:val="TableText"/>
              <w:spacing w:before="40" w:after="40"/>
              <w:rPr>
                <w:rFonts w:cs="Calibri"/>
                <w:szCs w:val="18"/>
              </w:rPr>
            </w:pPr>
          </w:p>
        </w:tc>
        <w:tc>
          <w:tcPr>
            <w:tcW w:w="1474" w:type="dxa"/>
            <w:noWrap/>
            <w:vAlign w:val="bottom"/>
          </w:tcPr>
          <w:p w14:paraId="65092385" w14:textId="0D3EDC04" w:rsidR="002D1F90" w:rsidRPr="00B275E2" w:rsidRDefault="002D1F90" w:rsidP="00F16608">
            <w:pPr>
              <w:pStyle w:val="TableText"/>
              <w:spacing w:before="40" w:after="40"/>
              <w:rPr>
                <w:rFonts w:cs="Calibri"/>
                <w:szCs w:val="18"/>
              </w:rPr>
            </w:pPr>
            <w:r w:rsidRPr="00B275E2">
              <w:rPr>
                <w:rFonts w:cs="Calibri"/>
                <w:color w:val="000000"/>
                <w:szCs w:val="18"/>
              </w:rPr>
              <w:t xml:space="preserve">1600 - </w:t>
            </w:r>
            <w:r w:rsidRPr="00B275E2">
              <w:rPr>
                <w:rFonts w:cs="Calibri"/>
                <w:szCs w:val="18"/>
              </w:rPr>
              <w:t>&lt;</w:t>
            </w:r>
            <w:r w:rsidRPr="00B275E2">
              <w:rPr>
                <w:rFonts w:cs="Calibri"/>
                <w:color w:val="000000"/>
                <w:szCs w:val="18"/>
              </w:rPr>
              <w:t>2000 cc</w:t>
            </w:r>
          </w:p>
        </w:tc>
        <w:tc>
          <w:tcPr>
            <w:tcW w:w="654" w:type="dxa"/>
            <w:shd w:val="clear" w:color="auto" w:fill="auto"/>
            <w:noWrap/>
            <w:vAlign w:val="bottom"/>
          </w:tcPr>
          <w:p w14:paraId="65092386" w14:textId="77777777" w:rsidR="002D1F90" w:rsidRPr="00B275E2" w:rsidRDefault="002D1F90" w:rsidP="00F16608">
            <w:pPr>
              <w:pStyle w:val="TableText"/>
              <w:spacing w:before="40" w:after="40"/>
              <w:rPr>
                <w:rFonts w:cs="Calibri"/>
                <w:szCs w:val="18"/>
              </w:rPr>
            </w:pPr>
            <w:r w:rsidRPr="00B275E2">
              <w:rPr>
                <w:rFonts w:cs="Calibri"/>
                <w:color w:val="000000"/>
                <w:szCs w:val="18"/>
              </w:rPr>
              <w:t>km</w:t>
            </w:r>
          </w:p>
        </w:tc>
        <w:tc>
          <w:tcPr>
            <w:tcW w:w="1247" w:type="dxa"/>
            <w:shd w:val="clear" w:color="auto" w:fill="D2DDE1" w:themeFill="background2"/>
            <w:noWrap/>
          </w:tcPr>
          <w:p w14:paraId="65092387" w14:textId="5AE7D3C6" w:rsidR="002D1F90" w:rsidRPr="00B275E2" w:rsidRDefault="002D1F90" w:rsidP="00F16608">
            <w:pPr>
              <w:pStyle w:val="TableText"/>
              <w:spacing w:before="40" w:after="40"/>
              <w:jc w:val="right"/>
              <w:rPr>
                <w:rFonts w:cs="Calibri"/>
                <w:szCs w:val="18"/>
              </w:rPr>
            </w:pPr>
            <w:r w:rsidRPr="00B275E2">
              <w:rPr>
                <w:rFonts w:cs="Calibri"/>
                <w:szCs w:val="18"/>
              </w:rPr>
              <w:t>0.247</w:t>
            </w:r>
          </w:p>
        </w:tc>
        <w:tc>
          <w:tcPr>
            <w:tcW w:w="1077" w:type="dxa"/>
            <w:shd w:val="clear" w:color="auto" w:fill="auto"/>
            <w:noWrap/>
          </w:tcPr>
          <w:p w14:paraId="65092388" w14:textId="0AB43038" w:rsidR="002D1F90" w:rsidRPr="00B275E2" w:rsidRDefault="002D1F90" w:rsidP="00F16608">
            <w:pPr>
              <w:pStyle w:val="TableText"/>
              <w:spacing w:before="40" w:after="40"/>
              <w:jc w:val="right"/>
              <w:rPr>
                <w:rFonts w:cs="Calibri"/>
                <w:szCs w:val="18"/>
              </w:rPr>
            </w:pPr>
            <w:r w:rsidRPr="00B275E2">
              <w:rPr>
                <w:rFonts w:cs="Calibri"/>
                <w:szCs w:val="18"/>
              </w:rPr>
              <w:t>0.243</w:t>
            </w:r>
          </w:p>
        </w:tc>
        <w:tc>
          <w:tcPr>
            <w:tcW w:w="1134" w:type="dxa"/>
            <w:shd w:val="clear" w:color="auto" w:fill="auto"/>
            <w:noWrap/>
          </w:tcPr>
          <w:p w14:paraId="65092389" w14:textId="3DAA8D4A" w:rsidR="002D1F90" w:rsidRPr="00B275E2" w:rsidRDefault="002D1F90" w:rsidP="00F16608">
            <w:pPr>
              <w:pStyle w:val="TableText"/>
              <w:spacing w:before="40" w:after="40"/>
              <w:jc w:val="right"/>
              <w:rPr>
                <w:rFonts w:cs="Calibri"/>
                <w:szCs w:val="18"/>
              </w:rPr>
            </w:pPr>
            <w:r w:rsidRPr="00B275E2">
              <w:rPr>
                <w:rFonts w:cs="Calibri"/>
                <w:szCs w:val="18"/>
              </w:rPr>
              <w:t>0.0003</w:t>
            </w:r>
          </w:p>
        </w:tc>
        <w:tc>
          <w:tcPr>
            <w:tcW w:w="1134" w:type="dxa"/>
            <w:shd w:val="clear" w:color="auto" w:fill="auto"/>
            <w:noWrap/>
          </w:tcPr>
          <w:p w14:paraId="6509238A" w14:textId="52FB2B85" w:rsidR="002D1F90" w:rsidRPr="00B275E2" w:rsidRDefault="002D1F90" w:rsidP="00F16608">
            <w:pPr>
              <w:pStyle w:val="TableText"/>
              <w:spacing w:before="40" w:after="40"/>
              <w:jc w:val="right"/>
              <w:rPr>
                <w:rFonts w:cs="Calibri"/>
                <w:szCs w:val="18"/>
              </w:rPr>
            </w:pPr>
            <w:r w:rsidRPr="00B275E2">
              <w:rPr>
                <w:rFonts w:cs="Calibri"/>
                <w:szCs w:val="18"/>
              </w:rPr>
              <w:t>0.004</w:t>
            </w:r>
          </w:p>
        </w:tc>
      </w:tr>
      <w:tr w:rsidR="00B70E71" w:rsidRPr="00B275E2" w14:paraId="65092393" w14:textId="77777777" w:rsidTr="00111201">
        <w:tc>
          <w:tcPr>
            <w:tcW w:w="1418" w:type="dxa"/>
            <w:vMerge/>
          </w:tcPr>
          <w:p w14:paraId="6509238C" w14:textId="77777777" w:rsidR="002D1F90" w:rsidRPr="00B275E2" w:rsidRDefault="002D1F90" w:rsidP="00F16608">
            <w:pPr>
              <w:pStyle w:val="TableText"/>
              <w:spacing w:before="40" w:after="40"/>
              <w:rPr>
                <w:rFonts w:cs="Calibri"/>
                <w:szCs w:val="18"/>
              </w:rPr>
            </w:pPr>
          </w:p>
        </w:tc>
        <w:tc>
          <w:tcPr>
            <w:tcW w:w="1474" w:type="dxa"/>
            <w:noWrap/>
            <w:vAlign w:val="bottom"/>
          </w:tcPr>
          <w:p w14:paraId="6509238D" w14:textId="6A13510A" w:rsidR="002D1F90" w:rsidRPr="00B275E2" w:rsidRDefault="002D1F90" w:rsidP="00F16608">
            <w:pPr>
              <w:pStyle w:val="TableText"/>
              <w:spacing w:before="40" w:after="40"/>
              <w:rPr>
                <w:rFonts w:cs="Calibri"/>
                <w:color w:val="000000"/>
                <w:szCs w:val="18"/>
              </w:rPr>
            </w:pPr>
            <w:r w:rsidRPr="00B275E2">
              <w:rPr>
                <w:rFonts w:cs="Calibri"/>
                <w:color w:val="000000"/>
                <w:szCs w:val="18"/>
              </w:rPr>
              <w:t xml:space="preserve">2000 - </w:t>
            </w:r>
            <w:r w:rsidRPr="00B275E2">
              <w:rPr>
                <w:rFonts w:cs="Calibri"/>
                <w:szCs w:val="18"/>
              </w:rPr>
              <w:t>&lt;</w:t>
            </w:r>
            <w:r w:rsidRPr="00B275E2">
              <w:rPr>
                <w:rFonts w:cs="Calibri"/>
                <w:color w:val="000000"/>
                <w:szCs w:val="18"/>
              </w:rPr>
              <w:t>3000 cc</w:t>
            </w:r>
          </w:p>
        </w:tc>
        <w:tc>
          <w:tcPr>
            <w:tcW w:w="654" w:type="dxa"/>
            <w:shd w:val="clear" w:color="auto" w:fill="auto"/>
            <w:noWrap/>
            <w:vAlign w:val="bottom"/>
          </w:tcPr>
          <w:p w14:paraId="6509238E" w14:textId="77777777" w:rsidR="002D1F90" w:rsidRPr="00B275E2" w:rsidRDefault="002D1F90" w:rsidP="00F16608">
            <w:pPr>
              <w:pStyle w:val="TableText"/>
              <w:spacing w:before="40" w:after="40"/>
              <w:rPr>
                <w:rFonts w:cs="Calibri"/>
                <w:szCs w:val="18"/>
              </w:rPr>
            </w:pPr>
            <w:r w:rsidRPr="00B275E2">
              <w:rPr>
                <w:rFonts w:cs="Calibri"/>
                <w:color w:val="000000"/>
                <w:szCs w:val="18"/>
              </w:rPr>
              <w:t>km</w:t>
            </w:r>
          </w:p>
        </w:tc>
        <w:tc>
          <w:tcPr>
            <w:tcW w:w="1247" w:type="dxa"/>
            <w:shd w:val="clear" w:color="auto" w:fill="D2DDE1" w:themeFill="background2"/>
            <w:noWrap/>
          </w:tcPr>
          <w:p w14:paraId="6509238F" w14:textId="08C16CC7" w:rsidR="002D1F90" w:rsidRPr="00B275E2" w:rsidRDefault="002D1F90" w:rsidP="00F16608">
            <w:pPr>
              <w:pStyle w:val="TableText"/>
              <w:spacing w:before="40" w:after="40"/>
              <w:jc w:val="right"/>
              <w:rPr>
                <w:rFonts w:cs="Calibri"/>
                <w:szCs w:val="18"/>
              </w:rPr>
            </w:pPr>
            <w:r w:rsidRPr="00B275E2">
              <w:rPr>
                <w:rFonts w:cs="Calibri"/>
                <w:szCs w:val="18"/>
              </w:rPr>
              <w:t>0.265</w:t>
            </w:r>
          </w:p>
        </w:tc>
        <w:tc>
          <w:tcPr>
            <w:tcW w:w="1077" w:type="dxa"/>
            <w:shd w:val="clear" w:color="auto" w:fill="auto"/>
            <w:noWrap/>
          </w:tcPr>
          <w:p w14:paraId="65092390" w14:textId="7F76D180" w:rsidR="002D1F90" w:rsidRPr="00B275E2" w:rsidRDefault="002D1F90" w:rsidP="00F16608">
            <w:pPr>
              <w:pStyle w:val="TableText"/>
              <w:spacing w:before="40" w:after="40"/>
              <w:jc w:val="right"/>
              <w:rPr>
                <w:rFonts w:cs="Calibri"/>
                <w:szCs w:val="18"/>
              </w:rPr>
            </w:pPr>
            <w:r w:rsidRPr="00B275E2">
              <w:rPr>
                <w:rFonts w:cs="Calibri"/>
                <w:szCs w:val="18"/>
              </w:rPr>
              <w:t>0.261</w:t>
            </w:r>
          </w:p>
        </w:tc>
        <w:tc>
          <w:tcPr>
            <w:tcW w:w="1134" w:type="dxa"/>
            <w:shd w:val="clear" w:color="auto" w:fill="auto"/>
            <w:noWrap/>
          </w:tcPr>
          <w:p w14:paraId="65092391" w14:textId="0C501915" w:rsidR="002D1F90" w:rsidRPr="00B275E2" w:rsidRDefault="002D1F90" w:rsidP="00F16608">
            <w:pPr>
              <w:pStyle w:val="TableText"/>
              <w:spacing w:before="40" w:after="40"/>
              <w:jc w:val="right"/>
              <w:rPr>
                <w:rFonts w:cs="Calibri"/>
                <w:szCs w:val="18"/>
              </w:rPr>
            </w:pPr>
            <w:r w:rsidRPr="00B275E2">
              <w:rPr>
                <w:rFonts w:cs="Calibri"/>
                <w:szCs w:val="18"/>
              </w:rPr>
              <w:t>0.0003</w:t>
            </w:r>
          </w:p>
        </w:tc>
        <w:tc>
          <w:tcPr>
            <w:tcW w:w="1134" w:type="dxa"/>
            <w:shd w:val="clear" w:color="auto" w:fill="auto"/>
            <w:noWrap/>
          </w:tcPr>
          <w:p w14:paraId="65092392" w14:textId="77DEFE96" w:rsidR="002D1F90" w:rsidRPr="00B275E2" w:rsidRDefault="002D1F90" w:rsidP="00F16608">
            <w:pPr>
              <w:pStyle w:val="TableText"/>
              <w:spacing w:before="40" w:after="40"/>
              <w:jc w:val="right"/>
              <w:rPr>
                <w:rFonts w:cs="Calibri"/>
                <w:szCs w:val="18"/>
              </w:rPr>
            </w:pPr>
            <w:r w:rsidRPr="00B275E2">
              <w:rPr>
                <w:rFonts w:cs="Calibri"/>
                <w:szCs w:val="18"/>
              </w:rPr>
              <w:t>0.004</w:t>
            </w:r>
          </w:p>
        </w:tc>
      </w:tr>
      <w:tr w:rsidR="00B70E71" w:rsidRPr="00B275E2" w14:paraId="6509239B" w14:textId="77777777" w:rsidTr="00111201">
        <w:tc>
          <w:tcPr>
            <w:tcW w:w="1418" w:type="dxa"/>
            <w:vMerge/>
          </w:tcPr>
          <w:p w14:paraId="65092394" w14:textId="77777777" w:rsidR="002D1F90" w:rsidRPr="00B275E2" w:rsidRDefault="002D1F90" w:rsidP="00F16608">
            <w:pPr>
              <w:pStyle w:val="TableText"/>
              <w:spacing w:before="40" w:after="40"/>
              <w:rPr>
                <w:rFonts w:cs="Calibri"/>
                <w:szCs w:val="18"/>
              </w:rPr>
            </w:pPr>
          </w:p>
        </w:tc>
        <w:tc>
          <w:tcPr>
            <w:tcW w:w="1474" w:type="dxa"/>
            <w:noWrap/>
            <w:vAlign w:val="bottom"/>
          </w:tcPr>
          <w:p w14:paraId="65092395" w14:textId="77777777" w:rsidR="002D1F90" w:rsidRPr="00B275E2" w:rsidRDefault="002D1F90" w:rsidP="00F16608">
            <w:pPr>
              <w:pStyle w:val="TableText"/>
              <w:spacing w:before="40" w:after="40"/>
              <w:rPr>
                <w:rFonts w:cs="Calibri"/>
                <w:color w:val="000000"/>
                <w:szCs w:val="18"/>
              </w:rPr>
            </w:pPr>
            <w:r w:rsidRPr="00B275E2">
              <w:rPr>
                <w:rFonts w:cs="Calibri"/>
                <w:color w:val="000000"/>
                <w:szCs w:val="18"/>
              </w:rPr>
              <w:t>≥3000 cc</w:t>
            </w:r>
          </w:p>
        </w:tc>
        <w:tc>
          <w:tcPr>
            <w:tcW w:w="680" w:type="dxa"/>
            <w:shd w:val="clear" w:color="auto" w:fill="auto"/>
            <w:noWrap/>
            <w:vAlign w:val="bottom"/>
          </w:tcPr>
          <w:p w14:paraId="65092396" w14:textId="77777777" w:rsidR="002D1F90" w:rsidRPr="00B275E2" w:rsidRDefault="002D1F90" w:rsidP="00F16608">
            <w:pPr>
              <w:pStyle w:val="TableText"/>
              <w:spacing w:before="40" w:after="40"/>
              <w:rPr>
                <w:rFonts w:cs="Calibri"/>
                <w:szCs w:val="18"/>
              </w:rPr>
            </w:pPr>
            <w:r w:rsidRPr="00B275E2">
              <w:rPr>
                <w:rFonts w:cs="Calibri"/>
                <w:color w:val="000000"/>
                <w:szCs w:val="18"/>
              </w:rPr>
              <w:t>km</w:t>
            </w:r>
          </w:p>
        </w:tc>
        <w:tc>
          <w:tcPr>
            <w:tcW w:w="1247" w:type="dxa"/>
            <w:shd w:val="clear" w:color="auto" w:fill="D2DDE1" w:themeFill="background2"/>
            <w:noWrap/>
          </w:tcPr>
          <w:p w14:paraId="65092397" w14:textId="40D9B707" w:rsidR="002D1F90" w:rsidRPr="00B275E2" w:rsidRDefault="002D1F90" w:rsidP="00F16608">
            <w:pPr>
              <w:pStyle w:val="TableText"/>
              <w:spacing w:before="40" w:after="40"/>
              <w:jc w:val="right"/>
              <w:rPr>
                <w:rFonts w:cs="Calibri"/>
                <w:szCs w:val="18"/>
              </w:rPr>
            </w:pPr>
            <w:r w:rsidRPr="00B275E2">
              <w:rPr>
                <w:rFonts w:cs="Calibri"/>
                <w:szCs w:val="18"/>
              </w:rPr>
              <w:t>0.269</w:t>
            </w:r>
          </w:p>
        </w:tc>
        <w:tc>
          <w:tcPr>
            <w:tcW w:w="1077" w:type="dxa"/>
            <w:shd w:val="clear" w:color="auto" w:fill="auto"/>
            <w:noWrap/>
          </w:tcPr>
          <w:p w14:paraId="65092398" w14:textId="7B4F6F2A" w:rsidR="002D1F90" w:rsidRPr="00B275E2" w:rsidRDefault="002D1F90" w:rsidP="00F16608">
            <w:pPr>
              <w:pStyle w:val="TableText"/>
              <w:spacing w:before="40" w:after="40"/>
              <w:jc w:val="right"/>
              <w:rPr>
                <w:rFonts w:cs="Calibri"/>
                <w:szCs w:val="18"/>
              </w:rPr>
            </w:pPr>
            <w:r w:rsidRPr="00B275E2">
              <w:rPr>
                <w:rFonts w:cs="Calibri"/>
                <w:szCs w:val="18"/>
              </w:rPr>
              <w:t>0.264</w:t>
            </w:r>
          </w:p>
        </w:tc>
        <w:tc>
          <w:tcPr>
            <w:tcW w:w="1134" w:type="dxa"/>
            <w:shd w:val="clear" w:color="auto" w:fill="auto"/>
            <w:noWrap/>
          </w:tcPr>
          <w:p w14:paraId="65092399" w14:textId="3168A67B" w:rsidR="002D1F90" w:rsidRPr="00B275E2" w:rsidRDefault="002D1F90" w:rsidP="00F16608">
            <w:pPr>
              <w:pStyle w:val="TableText"/>
              <w:spacing w:before="40" w:after="40"/>
              <w:jc w:val="right"/>
              <w:rPr>
                <w:rFonts w:cs="Calibri"/>
                <w:szCs w:val="18"/>
              </w:rPr>
            </w:pPr>
            <w:r w:rsidRPr="00B275E2">
              <w:rPr>
                <w:rFonts w:cs="Calibri"/>
                <w:szCs w:val="18"/>
              </w:rPr>
              <w:t>0.0004</w:t>
            </w:r>
          </w:p>
        </w:tc>
        <w:tc>
          <w:tcPr>
            <w:tcW w:w="1134" w:type="dxa"/>
            <w:shd w:val="clear" w:color="auto" w:fill="auto"/>
            <w:noWrap/>
          </w:tcPr>
          <w:p w14:paraId="6509239A" w14:textId="16C778DB" w:rsidR="002D1F90" w:rsidRPr="00B275E2" w:rsidRDefault="002D1F90" w:rsidP="00F16608">
            <w:pPr>
              <w:pStyle w:val="TableText"/>
              <w:spacing w:before="40" w:after="40"/>
              <w:jc w:val="right"/>
              <w:rPr>
                <w:rFonts w:cs="Calibri"/>
                <w:szCs w:val="18"/>
              </w:rPr>
            </w:pPr>
            <w:r w:rsidRPr="00B275E2">
              <w:rPr>
                <w:rFonts w:cs="Calibri"/>
                <w:szCs w:val="18"/>
              </w:rPr>
              <w:t>0.004</w:t>
            </w:r>
          </w:p>
        </w:tc>
      </w:tr>
    </w:tbl>
    <w:p w14:paraId="58680668" w14:textId="6D94F28A" w:rsidR="005B2EC6" w:rsidRPr="00B275E2" w:rsidRDefault="005B2EC6" w:rsidP="007F0B1E">
      <w:pPr>
        <w:pStyle w:val="Note"/>
      </w:pPr>
      <w:r w:rsidRPr="00B275E2">
        <w:t>Note</w:t>
      </w:r>
      <w:r w:rsidR="000A56D0" w:rsidRPr="00B275E2">
        <w:t>: T</w:t>
      </w:r>
      <w:r w:rsidR="00D80439" w:rsidRPr="00B275E2">
        <w:t>h</w:t>
      </w:r>
      <w:r w:rsidRPr="00B275E2">
        <w:t xml:space="preserve">ese numbers are rounded to three </w:t>
      </w:r>
      <w:r w:rsidR="002011A6" w:rsidRPr="00B275E2">
        <w:t xml:space="preserve">decimal places </w:t>
      </w:r>
      <w:r w:rsidRPr="00B275E2">
        <w:t xml:space="preserve">unless the number is significantly small. </w:t>
      </w:r>
    </w:p>
    <w:p w14:paraId="6509239D" w14:textId="308AF36B" w:rsidR="00C803E3" w:rsidRPr="00B275E2" w:rsidRDefault="00EB4389" w:rsidP="00111201">
      <w:pPr>
        <w:pStyle w:val="Tableheading"/>
      </w:pPr>
      <w:bookmarkStart w:id="469" w:name="_Toc111536658"/>
      <w:r w:rsidRPr="00B275E2">
        <w:t xml:space="preserve">Table </w:t>
      </w:r>
      <w:r w:rsidRPr="00B275E2">
        <w:fldChar w:fldCharType="begin"/>
      </w:r>
      <w:r w:rsidRPr="00B275E2">
        <w:instrText>SEQ Table \* ARABIC</w:instrText>
      </w:r>
      <w:r w:rsidRPr="00B275E2">
        <w:fldChar w:fldCharType="separate"/>
      </w:r>
      <w:r>
        <w:rPr>
          <w:noProof/>
        </w:rPr>
        <w:t>53</w:t>
      </w:r>
      <w:r w:rsidRPr="00B275E2">
        <w:fldChar w:fldCharType="end"/>
      </w:r>
      <w:r w:rsidRPr="00B275E2">
        <w:t>:</w:t>
      </w:r>
      <w:r w:rsidRPr="00B275E2">
        <w:tab/>
      </w:r>
      <w:r w:rsidR="00C803E3" w:rsidRPr="00B275E2">
        <w:t>Emission factors for light commercial vehicles manufactured between 2010</w:t>
      </w:r>
      <w:r w:rsidR="00DD6397" w:rsidRPr="00B275E2">
        <w:t xml:space="preserve"> and </w:t>
      </w:r>
      <w:r w:rsidR="00C803E3" w:rsidRPr="00B275E2">
        <w:t>2015</w:t>
      </w:r>
      <w:bookmarkEnd w:id="469"/>
    </w:p>
    <w:tbl>
      <w:tblPr>
        <w:tblStyle w:val="LightList-Accent11"/>
        <w:tblW w:w="8505" w:type="dxa"/>
        <w:tblBorders>
          <w:top w:val="single" w:sz="4" w:space="0" w:color="1B556B"/>
          <w:bottom w:val="single" w:sz="4" w:space="0" w:color="1B556B"/>
          <w:insideH w:val="single" w:sz="4" w:space="0" w:color="1B556B"/>
          <w:insideV w:val="single" w:sz="4" w:space="0" w:color="1B556B"/>
        </w:tblBorders>
        <w:tblLayout w:type="fixed"/>
        <w:tblCellMar>
          <w:left w:w="85" w:type="dxa"/>
          <w:right w:w="85" w:type="dxa"/>
        </w:tblCellMar>
        <w:tblLook w:val="04A0" w:firstRow="1" w:lastRow="0" w:firstColumn="1" w:lastColumn="0" w:noHBand="0" w:noVBand="1"/>
      </w:tblPr>
      <w:tblGrid>
        <w:gridCol w:w="1535"/>
        <w:gridCol w:w="1546"/>
        <w:gridCol w:w="710"/>
        <w:gridCol w:w="1249"/>
        <w:gridCol w:w="1136"/>
        <w:gridCol w:w="1136"/>
        <w:gridCol w:w="1193"/>
      </w:tblGrid>
      <w:tr w:rsidR="001E087B" w:rsidRPr="00B275E2" w14:paraId="650923A4" w14:textId="77777777" w:rsidTr="001E087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31" w:type="dxa"/>
            <w:noWrap/>
            <w:vAlign w:val="bottom"/>
            <w:hideMark/>
          </w:tcPr>
          <w:p w14:paraId="6509239E" w14:textId="77777777" w:rsidR="00896106" w:rsidRPr="00B275E2" w:rsidRDefault="00896106" w:rsidP="001E087B">
            <w:pPr>
              <w:pStyle w:val="TableText"/>
              <w:spacing w:before="30" w:after="30"/>
            </w:pPr>
            <w:r w:rsidRPr="00B275E2">
              <w:t>Emission source</w:t>
            </w:r>
          </w:p>
        </w:tc>
        <w:tc>
          <w:tcPr>
            <w:tcW w:w="1543" w:type="dxa"/>
            <w:vAlign w:val="bottom"/>
          </w:tcPr>
          <w:p w14:paraId="133BA6D9" w14:textId="77777777" w:rsidR="00896106" w:rsidRPr="00B275E2" w:rsidRDefault="00896106" w:rsidP="001E087B">
            <w:pPr>
              <w:pStyle w:val="TableText"/>
              <w:spacing w:before="30" w:after="30"/>
              <w:cnfStyle w:val="100000000000" w:firstRow="1" w:lastRow="0" w:firstColumn="0" w:lastColumn="0" w:oddVBand="0" w:evenVBand="0" w:oddHBand="0" w:evenHBand="0" w:firstRowFirstColumn="0" w:firstRowLastColumn="0" w:lastRowFirstColumn="0" w:lastRowLastColumn="0"/>
              <w:rPr>
                <w:b w:val="0"/>
                <w:bCs w:val="0"/>
              </w:rPr>
            </w:pPr>
          </w:p>
        </w:tc>
        <w:tc>
          <w:tcPr>
            <w:tcW w:w="709" w:type="dxa"/>
            <w:vAlign w:val="bottom"/>
          </w:tcPr>
          <w:p w14:paraId="6509239F" w14:textId="5E2D845C" w:rsidR="00896106" w:rsidRPr="00B275E2" w:rsidRDefault="00896106" w:rsidP="001E087B">
            <w:pPr>
              <w:pStyle w:val="TableText"/>
              <w:spacing w:before="30" w:after="30"/>
              <w:cnfStyle w:val="100000000000" w:firstRow="1" w:lastRow="0" w:firstColumn="0" w:lastColumn="0" w:oddVBand="0" w:evenVBand="0" w:oddHBand="0" w:evenHBand="0" w:firstRowFirstColumn="0" w:firstRowLastColumn="0" w:lastRowFirstColumn="0" w:lastRowLastColumn="0"/>
            </w:pPr>
            <w:r w:rsidRPr="00B275E2">
              <w:t>Unit</w:t>
            </w:r>
          </w:p>
        </w:tc>
        <w:tc>
          <w:tcPr>
            <w:tcW w:w="1247" w:type="dxa"/>
            <w:shd w:val="clear" w:color="auto" w:fill="D2DDE1" w:themeFill="background2"/>
            <w:noWrap/>
            <w:vAlign w:val="bottom"/>
            <w:hideMark/>
          </w:tcPr>
          <w:p w14:paraId="650923A0" w14:textId="1B76D520" w:rsidR="00896106" w:rsidRPr="00B275E2" w:rsidRDefault="00896106" w:rsidP="001E087B">
            <w:pPr>
              <w:pStyle w:val="TableText"/>
              <w:spacing w:before="30" w:after="30"/>
              <w:jc w:val="right"/>
              <w:cnfStyle w:val="100000000000" w:firstRow="1" w:lastRow="0" w:firstColumn="0" w:lastColumn="0" w:oddVBand="0" w:evenVBand="0" w:oddHBand="0" w:evenHBand="0" w:firstRowFirstColumn="0" w:firstRowLastColumn="0" w:lastRowFirstColumn="0" w:lastRowLastColumn="0"/>
              <w:rPr>
                <w:color w:val="auto"/>
              </w:rPr>
            </w:pPr>
            <w:r w:rsidRPr="00B275E2">
              <w:rPr>
                <w:color w:val="auto"/>
              </w:rPr>
              <w:t>kg CO</w:t>
            </w:r>
            <w:r w:rsidRPr="00B275E2">
              <w:rPr>
                <w:color w:val="auto"/>
                <w:vertAlign w:val="subscript"/>
              </w:rPr>
              <w:t>2</w:t>
            </w:r>
            <w:r w:rsidRPr="00B275E2">
              <w:rPr>
                <w:color w:val="auto"/>
              </w:rPr>
              <w:t>-e/unit</w:t>
            </w:r>
          </w:p>
        </w:tc>
        <w:tc>
          <w:tcPr>
            <w:tcW w:w="1134" w:type="dxa"/>
            <w:noWrap/>
            <w:vAlign w:val="bottom"/>
            <w:hideMark/>
          </w:tcPr>
          <w:p w14:paraId="650923A1" w14:textId="1F5DA748" w:rsidR="00896106" w:rsidRPr="00B275E2" w:rsidRDefault="00896106" w:rsidP="001E087B">
            <w:pPr>
              <w:pStyle w:val="TableText"/>
              <w:spacing w:before="30" w:after="30"/>
              <w:jc w:val="right"/>
              <w:cnfStyle w:val="100000000000" w:firstRow="1" w:lastRow="0" w:firstColumn="0" w:lastColumn="0" w:oddVBand="0" w:evenVBand="0" w:oddHBand="0" w:evenHBand="0" w:firstRowFirstColumn="0" w:firstRowLastColumn="0" w:lastRowFirstColumn="0" w:lastRowLastColumn="0"/>
            </w:pPr>
            <w:r w:rsidRPr="00B275E2">
              <w:t>kg CO</w:t>
            </w:r>
            <w:r w:rsidRPr="00B275E2">
              <w:rPr>
                <w:vertAlign w:val="subscript"/>
              </w:rPr>
              <w:t>2</w:t>
            </w:r>
            <w:r w:rsidRPr="00B275E2">
              <w:t xml:space="preserve">/unit </w:t>
            </w:r>
            <w:r w:rsidRPr="00B275E2">
              <w:rPr>
                <w:szCs w:val="18"/>
              </w:rPr>
              <w:t>(kg CO</w:t>
            </w:r>
            <w:r w:rsidRPr="00B275E2">
              <w:rPr>
                <w:szCs w:val="18"/>
                <w:vertAlign w:val="subscript"/>
              </w:rPr>
              <w:t>2</w:t>
            </w:r>
            <w:r w:rsidRPr="00B275E2">
              <w:rPr>
                <w:szCs w:val="18"/>
              </w:rPr>
              <w:noBreakHyphen/>
              <w:t>e)</w:t>
            </w:r>
          </w:p>
        </w:tc>
        <w:tc>
          <w:tcPr>
            <w:tcW w:w="1134" w:type="dxa"/>
            <w:noWrap/>
            <w:vAlign w:val="bottom"/>
            <w:hideMark/>
          </w:tcPr>
          <w:p w14:paraId="650923A2" w14:textId="5A187D3C" w:rsidR="00896106" w:rsidRPr="00B275E2" w:rsidRDefault="00896106" w:rsidP="001E087B">
            <w:pPr>
              <w:pStyle w:val="TableText"/>
              <w:spacing w:before="30" w:after="30"/>
              <w:jc w:val="right"/>
              <w:cnfStyle w:val="100000000000" w:firstRow="1" w:lastRow="0" w:firstColumn="0" w:lastColumn="0" w:oddVBand="0" w:evenVBand="0" w:oddHBand="0" w:evenHBand="0" w:firstRowFirstColumn="0" w:firstRowLastColumn="0" w:lastRowFirstColumn="0" w:lastRowLastColumn="0"/>
              <w:rPr>
                <w:bCs w:val="0"/>
              </w:rPr>
            </w:pPr>
            <w:r w:rsidRPr="00B275E2">
              <w:t>kg CH</w:t>
            </w:r>
            <w:r w:rsidRPr="00B275E2">
              <w:rPr>
                <w:vertAlign w:val="subscript"/>
              </w:rPr>
              <w:t>4</w:t>
            </w:r>
            <w:r w:rsidRPr="00B275E2">
              <w:t>/unit (kg CO</w:t>
            </w:r>
            <w:r w:rsidRPr="00B275E2">
              <w:rPr>
                <w:vertAlign w:val="subscript"/>
              </w:rPr>
              <w:t>2</w:t>
            </w:r>
            <w:r w:rsidRPr="00B275E2">
              <w:noBreakHyphen/>
              <w:t>e)</w:t>
            </w:r>
          </w:p>
        </w:tc>
        <w:tc>
          <w:tcPr>
            <w:tcW w:w="1191" w:type="dxa"/>
            <w:noWrap/>
            <w:vAlign w:val="bottom"/>
            <w:hideMark/>
          </w:tcPr>
          <w:p w14:paraId="650923A3" w14:textId="568A6223" w:rsidR="00896106" w:rsidRPr="00B275E2" w:rsidRDefault="00896106" w:rsidP="001E087B">
            <w:pPr>
              <w:pStyle w:val="TableText"/>
              <w:spacing w:before="30" w:after="30"/>
              <w:jc w:val="right"/>
              <w:cnfStyle w:val="100000000000" w:firstRow="1" w:lastRow="0" w:firstColumn="0" w:lastColumn="0" w:oddVBand="0" w:evenVBand="0" w:oddHBand="0" w:evenHBand="0" w:firstRowFirstColumn="0" w:firstRowLastColumn="0" w:lastRowFirstColumn="0" w:lastRowLastColumn="0"/>
            </w:pPr>
            <w:r w:rsidRPr="00B275E2">
              <w:t>kg N</w:t>
            </w:r>
            <w:r w:rsidRPr="00B275E2">
              <w:rPr>
                <w:vertAlign w:val="subscript"/>
              </w:rPr>
              <w:t>2</w:t>
            </w:r>
            <w:r w:rsidRPr="00B275E2">
              <w:t>O/unit (kg CO</w:t>
            </w:r>
            <w:r w:rsidRPr="00B275E2">
              <w:rPr>
                <w:vertAlign w:val="subscript"/>
              </w:rPr>
              <w:t>2</w:t>
            </w:r>
            <w:r w:rsidRPr="00B275E2">
              <w:noBreakHyphen/>
              <w:t>e)</w:t>
            </w:r>
          </w:p>
        </w:tc>
      </w:tr>
      <w:tr w:rsidR="001E087B" w:rsidRPr="00B275E2" w14:paraId="650923AC" w14:textId="77777777" w:rsidTr="004D45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1" w:type="dxa"/>
            <w:vMerge w:val="restart"/>
            <w:tcBorders>
              <w:left w:val="single" w:sz="4" w:space="0" w:color="FFFFFF" w:themeColor="background1"/>
            </w:tcBorders>
          </w:tcPr>
          <w:p w14:paraId="650923A5" w14:textId="77777777" w:rsidR="00E078CD" w:rsidRPr="00B275E2" w:rsidRDefault="00E078CD" w:rsidP="001E087B">
            <w:pPr>
              <w:pStyle w:val="TableText"/>
              <w:spacing w:before="30" w:after="30"/>
              <w:rPr>
                <w:b w:val="0"/>
              </w:rPr>
            </w:pPr>
            <w:r w:rsidRPr="00B275E2">
              <w:rPr>
                <w:b w:val="0"/>
              </w:rPr>
              <w:t>Petrol</w:t>
            </w:r>
          </w:p>
        </w:tc>
        <w:tc>
          <w:tcPr>
            <w:tcW w:w="1543" w:type="dxa"/>
            <w:noWrap/>
            <w:vAlign w:val="bottom"/>
          </w:tcPr>
          <w:p w14:paraId="650923A6" w14:textId="77777777" w:rsidR="00E078CD" w:rsidRPr="00B275E2" w:rsidRDefault="00E078CD" w:rsidP="001E087B">
            <w:pPr>
              <w:pStyle w:val="TableText"/>
              <w:spacing w:before="30" w:after="30"/>
              <w:cnfStyle w:val="000000100000" w:firstRow="0" w:lastRow="0" w:firstColumn="0" w:lastColumn="0" w:oddVBand="0" w:evenVBand="0" w:oddHBand="1" w:evenHBand="0" w:firstRowFirstColumn="0" w:firstRowLastColumn="0" w:lastRowFirstColumn="0" w:lastRowLastColumn="0"/>
            </w:pPr>
            <w:r w:rsidRPr="00B275E2">
              <w:t>&lt;1350 cc</w:t>
            </w:r>
          </w:p>
        </w:tc>
        <w:tc>
          <w:tcPr>
            <w:tcW w:w="709" w:type="dxa"/>
            <w:noWrap/>
          </w:tcPr>
          <w:p w14:paraId="650923A7" w14:textId="77777777" w:rsidR="00E078CD" w:rsidRPr="00B275E2" w:rsidRDefault="00E078CD" w:rsidP="001E087B">
            <w:pPr>
              <w:pStyle w:val="TableText"/>
              <w:spacing w:before="30" w:after="30"/>
              <w:cnfStyle w:val="000000100000" w:firstRow="0" w:lastRow="0" w:firstColumn="0" w:lastColumn="0" w:oddVBand="0" w:evenVBand="0" w:oddHBand="1" w:evenHBand="0" w:firstRowFirstColumn="0" w:firstRowLastColumn="0" w:lastRowFirstColumn="0" w:lastRowLastColumn="0"/>
            </w:pPr>
            <w:r w:rsidRPr="00B275E2">
              <w:t>km</w:t>
            </w:r>
          </w:p>
        </w:tc>
        <w:tc>
          <w:tcPr>
            <w:tcW w:w="1247" w:type="dxa"/>
            <w:shd w:val="clear" w:color="auto" w:fill="D2DDE1" w:themeFill="background2"/>
            <w:noWrap/>
          </w:tcPr>
          <w:p w14:paraId="650923A8" w14:textId="7AEDC28F"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0.195</w:t>
            </w:r>
          </w:p>
        </w:tc>
        <w:tc>
          <w:tcPr>
            <w:tcW w:w="1134" w:type="dxa"/>
            <w:shd w:val="clear" w:color="auto" w:fill="auto"/>
            <w:noWrap/>
          </w:tcPr>
          <w:p w14:paraId="650923A9" w14:textId="0E4DE9BA"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0.186</w:t>
            </w:r>
          </w:p>
        </w:tc>
        <w:tc>
          <w:tcPr>
            <w:tcW w:w="1134" w:type="dxa"/>
            <w:shd w:val="clear" w:color="auto" w:fill="auto"/>
            <w:noWrap/>
          </w:tcPr>
          <w:p w14:paraId="650923AA" w14:textId="5E0C4F1F"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0.002</w:t>
            </w:r>
          </w:p>
        </w:tc>
        <w:tc>
          <w:tcPr>
            <w:tcW w:w="1191" w:type="dxa"/>
            <w:tcBorders>
              <w:right w:val="single" w:sz="4" w:space="0" w:color="FFFFFF" w:themeColor="background1"/>
            </w:tcBorders>
            <w:shd w:val="clear" w:color="auto" w:fill="auto"/>
            <w:noWrap/>
          </w:tcPr>
          <w:p w14:paraId="650923AB" w14:textId="19444E34"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0.006</w:t>
            </w:r>
          </w:p>
        </w:tc>
      </w:tr>
      <w:tr w:rsidR="001E087B" w:rsidRPr="00B275E2" w14:paraId="650923B4" w14:textId="77777777" w:rsidTr="004D4540">
        <w:trPr>
          <w:trHeight w:val="300"/>
        </w:trPr>
        <w:tc>
          <w:tcPr>
            <w:cnfStyle w:val="001000000000" w:firstRow="0" w:lastRow="0" w:firstColumn="1" w:lastColumn="0" w:oddVBand="0" w:evenVBand="0" w:oddHBand="0" w:evenHBand="0" w:firstRowFirstColumn="0" w:firstRowLastColumn="0" w:lastRowFirstColumn="0" w:lastRowLastColumn="0"/>
            <w:tcW w:w="1531" w:type="dxa"/>
            <w:vMerge/>
            <w:tcBorders>
              <w:left w:val="single" w:sz="4" w:space="0" w:color="FFFFFF" w:themeColor="background1"/>
            </w:tcBorders>
          </w:tcPr>
          <w:p w14:paraId="650923AD" w14:textId="77777777" w:rsidR="00E078CD" w:rsidRPr="00B275E2" w:rsidRDefault="00E078CD" w:rsidP="001E087B">
            <w:pPr>
              <w:pStyle w:val="TableText"/>
              <w:spacing w:before="30" w:after="30"/>
              <w:rPr>
                <w:b w:val="0"/>
              </w:rPr>
            </w:pPr>
          </w:p>
        </w:tc>
        <w:tc>
          <w:tcPr>
            <w:tcW w:w="1543" w:type="dxa"/>
            <w:noWrap/>
            <w:vAlign w:val="bottom"/>
          </w:tcPr>
          <w:p w14:paraId="650923AE" w14:textId="612D4233" w:rsidR="00E078CD" w:rsidRPr="00B275E2" w:rsidRDefault="00E078CD" w:rsidP="001E087B">
            <w:pPr>
              <w:pStyle w:val="TableText"/>
              <w:spacing w:before="30" w:after="30"/>
              <w:cnfStyle w:val="000000000000" w:firstRow="0" w:lastRow="0" w:firstColumn="0" w:lastColumn="0" w:oddVBand="0" w:evenVBand="0" w:oddHBand="0" w:evenHBand="0" w:firstRowFirstColumn="0" w:firstRowLastColumn="0" w:lastRowFirstColumn="0" w:lastRowLastColumn="0"/>
            </w:pPr>
            <w:r w:rsidRPr="00B275E2">
              <w:t>1350</w:t>
            </w:r>
            <w:r w:rsidRPr="00B275E2">
              <w:rPr>
                <w:rFonts w:cs="Calibri"/>
                <w:color w:val="000000"/>
                <w:szCs w:val="18"/>
              </w:rPr>
              <w:t xml:space="preserve"> -</w:t>
            </w:r>
            <w:r w:rsidRPr="00B275E2">
              <w:t xml:space="preserve"> &lt;1600 cc</w:t>
            </w:r>
          </w:p>
        </w:tc>
        <w:tc>
          <w:tcPr>
            <w:tcW w:w="709" w:type="dxa"/>
            <w:noWrap/>
          </w:tcPr>
          <w:p w14:paraId="650923AF" w14:textId="77777777" w:rsidR="00E078CD" w:rsidRPr="00B275E2" w:rsidRDefault="00E078CD" w:rsidP="001E087B">
            <w:pPr>
              <w:pStyle w:val="TableText"/>
              <w:spacing w:before="30" w:after="30"/>
              <w:cnfStyle w:val="000000000000" w:firstRow="0" w:lastRow="0" w:firstColumn="0" w:lastColumn="0" w:oddVBand="0" w:evenVBand="0" w:oddHBand="0" w:evenHBand="0" w:firstRowFirstColumn="0" w:firstRowLastColumn="0" w:lastRowFirstColumn="0" w:lastRowLastColumn="0"/>
            </w:pPr>
            <w:r w:rsidRPr="00B275E2">
              <w:t>km</w:t>
            </w:r>
          </w:p>
        </w:tc>
        <w:tc>
          <w:tcPr>
            <w:tcW w:w="1247" w:type="dxa"/>
            <w:shd w:val="clear" w:color="auto" w:fill="D2DDE1" w:themeFill="background2"/>
            <w:noWrap/>
          </w:tcPr>
          <w:p w14:paraId="650923B0" w14:textId="6C78D09E"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0.209</w:t>
            </w:r>
          </w:p>
        </w:tc>
        <w:tc>
          <w:tcPr>
            <w:tcW w:w="1134" w:type="dxa"/>
            <w:shd w:val="clear" w:color="auto" w:fill="auto"/>
            <w:noWrap/>
          </w:tcPr>
          <w:p w14:paraId="650923B1" w14:textId="71E83249"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0.200</w:t>
            </w:r>
          </w:p>
        </w:tc>
        <w:tc>
          <w:tcPr>
            <w:tcW w:w="1134" w:type="dxa"/>
            <w:shd w:val="clear" w:color="auto" w:fill="auto"/>
            <w:noWrap/>
          </w:tcPr>
          <w:p w14:paraId="650923B2" w14:textId="73DE0224"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0.002</w:t>
            </w:r>
          </w:p>
        </w:tc>
        <w:tc>
          <w:tcPr>
            <w:tcW w:w="1191" w:type="dxa"/>
            <w:tcBorders>
              <w:right w:val="single" w:sz="4" w:space="0" w:color="FFFFFF" w:themeColor="background1"/>
            </w:tcBorders>
            <w:shd w:val="clear" w:color="auto" w:fill="auto"/>
            <w:noWrap/>
          </w:tcPr>
          <w:p w14:paraId="650923B3" w14:textId="27052760"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0.007</w:t>
            </w:r>
          </w:p>
        </w:tc>
      </w:tr>
      <w:tr w:rsidR="001E087B" w:rsidRPr="00B275E2" w14:paraId="650923BC" w14:textId="77777777" w:rsidTr="004D45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1" w:type="dxa"/>
            <w:vMerge/>
            <w:tcBorders>
              <w:left w:val="single" w:sz="4" w:space="0" w:color="FFFFFF" w:themeColor="background1"/>
            </w:tcBorders>
          </w:tcPr>
          <w:p w14:paraId="650923B5" w14:textId="77777777" w:rsidR="00E078CD" w:rsidRPr="00B275E2" w:rsidRDefault="00E078CD" w:rsidP="001E087B">
            <w:pPr>
              <w:pStyle w:val="TableText"/>
              <w:spacing w:before="30" w:after="30"/>
              <w:rPr>
                <w:b w:val="0"/>
              </w:rPr>
            </w:pPr>
          </w:p>
        </w:tc>
        <w:tc>
          <w:tcPr>
            <w:tcW w:w="1543" w:type="dxa"/>
            <w:noWrap/>
            <w:vAlign w:val="bottom"/>
          </w:tcPr>
          <w:p w14:paraId="650923B6" w14:textId="44C6164A" w:rsidR="00E078CD" w:rsidRPr="00B275E2" w:rsidRDefault="00E078CD" w:rsidP="001E087B">
            <w:pPr>
              <w:pStyle w:val="TableText"/>
              <w:spacing w:before="30" w:after="30"/>
              <w:cnfStyle w:val="000000100000" w:firstRow="0" w:lastRow="0" w:firstColumn="0" w:lastColumn="0" w:oddVBand="0" w:evenVBand="0" w:oddHBand="1" w:evenHBand="0" w:firstRowFirstColumn="0" w:firstRowLastColumn="0" w:lastRowFirstColumn="0" w:lastRowLastColumn="0"/>
            </w:pPr>
            <w:r w:rsidRPr="00B275E2">
              <w:t>1600</w:t>
            </w:r>
            <w:r w:rsidRPr="00B275E2">
              <w:rPr>
                <w:rFonts w:cs="Calibri"/>
                <w:color w:val="000000"/>
                <w:szCs w:val="18"/>
              </w:rPr>
              <w:t xml:space="preserve"> -</w:t>
            </w:r>
            <w:r w:rsidRPr="00B275E2">
              <w:t xml:space="preserve"> &lt;2000 cc</w:t>
            </w:r>
          </w:p>
        </w:tc>
        <w:tc>
          <w:tcPr>
            <w:tcW w:w="709" w:type="dxa"/>
            <w:noWrap/>
          </w:tcPr>
          <w:p w14:paraId="650923B7" w14:textId="77777777" w:rsidR="00E078CD" w:rsidRPr="00B275E2" w:rsidRDefault="00E078CD" w:rsidP="001E087B">
            <w:pPr>
              <w:pStyle w:val="TableText"/>
              <w:spacing w:before="30" w:after="30"/>
              <w:cnfStyle w:val="000000100000" w:firstRow="0" w:lastRow="0" w:firstColumn="0" w:lastColumn="0" w:oddVBand="0" w:evenVBand="0" w:oddHBand="1" w:evenHBand="0" w:firstRowFirstColumn="0" w:firstRowLastColumn="0" w:lastRowFirstColumn="0" w:lastRowLastColumn="0"/>
            </w:pPr>
            <w:r w:rsidRPr="00B275E2">
              <w:t>km</w:t>
            </w:r>
          </w:p>
        </w:tc>
        <w:tc>
          <w:tcPr>
            <w:tcW w:w="1247" w:type="dxa"/>
            <w:shd w:val="clear" w:color="auto" w:fill="D2DDE1" w:themeFill="background2"/>
            <w:noWrap/>
          </w:tcPr>
          <w:p w14:paraId="650923B8" w14:textId="0BC450F0"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0.282</w:t>
            </w:r>
          </w:p>
        </w:tc>
        <w:tc>
          <w:tcPr>
            <w:tcW w:w="1134" w:type="dxa"/>
            <w:shd w:val="clear" w:color="auto" w:fill="auto"/>
            <w:noWrap/>
          </w:tcPr>
          <w:p w14:paraId="650923B9" w14:textId="0561D079"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0.270</w:t>
            </w:r>
          </w:p>
        </w:tc>
        <w:tc>
          <w:tcPr>
            <w:tcW w:w="1134" w:type="dxa"/>
            <w:shd w:val="clear" w:color="auto" w:fill="auto"/>
            <w:noWrap/>
          </w:tcPr>
          <w:p w14:paraId="650923BA" w14:textId="148757CC"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0.003</w:t>
            </w:r>
          </w:p>
        </w:tc>
        <w:tc>
          <w:tcPr>
            <w:tcW w:w="1191" w:type="dxa"/>
            <w:tcBorders>
              <w:right w:val="single" w:sz="4" w:space="0" w:color="FFFFFF" w:themeColor="background1"/>
            </w:tcBorders>
            <w:shd w:val="clear" w:color="auto" w:fill="auto"/>
            <w:noWrap/>
          </w:tcPr>
          <w:p w14:paraId="650923BB" w14:textId="273FFC89"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0.009</w:t>
            </w:r>
          </w:p>
        </w:tc>
      </w:tr>
      <w:tr w:rsidR="001E087B" w:rsidRPr="00B275E2" w14:paraId="650923C4" w14:textId="77777777" w:rsidTr="004D4540">
        <w:trPr>
          <w:trHeight w:val="300"/>
        </w:trPr>
        <w:tc>
          <w:tcPr>
            <w:cnfStyle w:val="001000000000" w:firstRow="0" w:lastRow="0" w:firstColumn="1" w:lastColumn="0" w:oddVBand="0" w:evenVBand="0" w:oddHBand="0" w:evenHBand="0" w:firstRowFirstColumn="0" w:firstRowLastColumn="0" w:lastRowFirstColumn="0" w:lastRowLastColumn="0"/>
            <w:tcW w:w="1531" w:type="dxa"/>
            <w:vMerge/>
            <w:tcBorders>
              <w:left w:val="single" w:sz="4" w:space="0" w:color="FFFFFF" w:themeColor="background1"/>
            </w:tcBorders>
          </w:tcPr>
          <w:p w14:paraId="650923BD" w14:textId="77777777" w:rsidR="00E078CD" w:rsidRPr="00B275E2" w:rsidRDefault="00E078CD" w:rsidP="001E087B">
            <w:pPr>
              <w:pStyle w:val="TableText"/>
              <w:spacing w:before="30" w:after="30"/>
              <w:rPr>
                <w:b w:val="0"/>
              </w:rPr>
            </w:pPr>
          </w:p>
        </w:tc>
        <w:tc>
          <w:tcPr>
            <w:tcW w:w="1543" w:type="dxa"/>
            <w:noWrap/>
            <w:vAlign w:val="bottom"/>
          </w:tcPr>
          <w:p w14:paraId="650923BE" w14:textId="41C100A2" w:rsidR="00E078CD" w:rsidRPr="00B275E2" w:rsidRDefault="00E078CD" w:rsidP="001E087B">
            <w:pPr>
              <w:pStyle w:val="TableText"/>
              <w:spacing w:before="30" w:after="30"/>
              <w:cnfStyle w:val="000000000000" w:firstRow="0" w:lastRow="0" w:firstColumn="0" w:lastColumn="0" w:oddVBand="0" w:evenVBand="0" w:oddHBand="0" w:evenHBand="0" w:firstRowFirstColumn="0" w:firstRowLastColumn="0" w:lastRowFirstColumn="0" w:lastRowLastColumn="0"/>
            </w:pPr>
            <w:r w:rsidRPr="00B275E2">
              <w:t>2000</w:t>
            </w:r>
            <w:r w:rsidRPr="00B275E2">
              <w:rPr>
                <w:rFonts w:cs="Calibri"/>
                <w:color w:val="000000"/>
                <w:szCs w:val="18"/>
              </w:rPr>
              <w:t xml:space="preserve"> -</w:t>
            </w:r>
            <w:r w:rsidRPr="00B275E2">
              <w:t xml:space="preserve"> &lt;3000 cc</w:t>
            </w:r>
          </w:p>
        </w:tc>
        <w:tc>
          <w:tcPr>
            <w:tcW w:w="709" w:type="dxa"/>
            <w:noWrap/>
          </w:tcPr>
          <w:p w14:paraId="650923BF" w14:textId="77777777" w:rsidR="00E078CD" w:rsidRPr="00B275E2" w:rsidRDefault="00E078CD" w:rsidP="001E087B">
            <w:pPr>
              <w:pStyle w:val="TableText"/>
              <w:spacing w:before="30" w:after="30"/>
              <w:cnfStyle w:val="000000000000" w:firstRow="0" w:lastRow="0" w:firstColumn="0" w:lastColumn="0" w:oddVBand="0" w:evenVBand="0" w:oddHBand="0" w:evenHBand="0" w:firstRowFirstColumn="0" w:firstRowLastColumn="0" w:lastRowFirstColumn="0" w:lastRowLastColumn="0"/>
            </w:pPr>
            <w:r w:rsidRPr="00B275E2">
              <w:t>km</w:t>
            </w:r>
          </w:p>
        </w:tc>
        <w:tc>
          <w:tcPr>
            <w:tcW w:w="1247" w:type="dxa"/>
            <w:shd w:val="clear" w:color="auto" w:fill="D2DDE1" w:themeFill="background2"/>
            <w:noWrap/>
          </w:tcPr>
          <w:p w14:paraId="650923C0" w14:textId="5CC7DBED"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0.299</w:t>
            </w:r>
          </w:p>
        </w:tc>
        <w:tc>
          <w:tcPr>
            <w:tcW w:w="1134" w:type="dxa"/>
            <w:shd w:val="clear" w:color="auto" w:fill="auto"/>
            <w:noWrap/>
          </w:tcPr>
          <w:p w14:paraId="650923C1" w14:textId="7A4CE9DD"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0.286</w:t>
            </w:r>
          </w:p>
        </w:tc>
        <w:tc>
          <w:tcPr>
            <w:tcW w:w="1134" w:type="dxa"/>
            <w:shd w:val="clear" w:color="auto" w:fill="auto"/>
            <w:noWrap/>
          </w:tcPr>
          <w:p w14:paraId="650923C2" w14:textId="73B4AA29"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0.003</w:t>
            </w:r>
          </w:p>
        </w:tc>
        <w:tc>
          <w:tcPr>
            <w:tcW w:w="1191" w:type="dxa"/>
            <w:tcBorders>
              <w:right w:val="single" w:sz="4" w:space="0" w:color="FFFFFF" w:themeColor="background1"/>
            </w:tcBorders>
            <w:shd w:val="clear" w:color="auto" w:fill="auto"/>
            <w:noWrap/>
          </w:tcPr>
          <w:p w14:paraId="650923C3" w14:textId="74F0CFDE"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0.010</w:t>
            </w:r>
          </w:p>
        </w:tc>
      </w:tr>
      <w:tr w:rsidR="001E087B" w:rsidRPr="00B275E2" w14:paraId="650923CC" w14:textId="77777777" w:rsidTr="004D45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1" w:type="dxa"/>
            <w:vMerge/>
            <w:tcBorders>
              <w:left w:val="single" w:sz="4" w:space="0" w:color="FFFFFF" w:themeColor="background1"/>
            </w:tcBorders>
          </w:tcPr>
          <w:p w14:paraId="650923C5" w14:textId="77777777" w:rsidR="00E078CD" w:rsidRPr="00B275E2" w:rsidRDefault="00E078CD" w:rsidP="001E087B">
            <w:pPr>
              <w:pStyle w:val="TableText"/>
              <w:spacing w:before="30" w:after="30"/>
              <w:rPr>
                <w:b w:val="0"/>
              </w:rPr>
            </w:pPr>
          </w:p>
        </w:tc>
        <w:tc>
          <w:tcPr>
            <w:tcW w:w="1543" w:type="dxa"/>
            <w:noWrap/>
            <w:vAlign w:val="bottom"/>
          </w:tcPr>
          <w:p w14:paraId="650923C6" w14:textId="77777777" w:rsidR="00E078CD" w:rsidRPr="00B275E2" w:rsidRDefault="00E078CD" w:rsidP="001E087B">
            <w:pPr>
              <w:pStyle w:val="TableText"/>
              <w:spacing w:before="30" w:after="30"/>
              <w:cnfStyle w:val="000000100000" w:firstRow="0" w:lastRow="0" w:firstColumn="0" w:lastColumn="0" w:oddVBand="0" w:evenVBand="0" w:oddHBand="1" w:evenHBand="0" w:firstRowFirstColumn="0" w:firstRowLastColumn="0" w:lastRowFirstColumn="0" w:lastRowLastColumn="0"/>
            </w:pPr>
            <w:r w:rsidRPr="00B275E2">
              <w:t>≥3000 cc</w:t>
            </w:r>
          </w:p>
        </w:tc>
        <w:tc>
          <w:tcPr>
            <w:tcW w:w="709" w:type="dxa"/>
            <w:noWrap/>
          </w:tcPr>
          <w:p w14:paraId="650923C7" w14:textId="77777777" w:rsidR="00E078CD" w:rsidRPr="00B275E2" w:rsidRDefault="00E078CD" w:rsidP="001E087B">
            <w:pPr>
              <w:pStyle w:val="TableText"/>
              <w:spacing w:before="30" w:after="30"/>
              <w:cnfStyle w:val="000000100000" w:firstRow="0" w:lastRow="0" w:firstColumn="0" w:lastColumn="0" w:oddVBand="0" w:evenVBand="0" w:oddHBand="1" w:evenHBand="0" w:firstRowFirstColumn="0" w:firstRowLastColumn="0" w:lastRowFirstColumn="0" w:lastRowLastColumn="0"/>
            </w:pPr>
            <w:r w:rsidRPr="00B275E2">
              <w:t>km</w:t>
            </w:r>
          </w:p>
        </w:tc>
        <w:tc>
          <w:tcPr>
            <w:tcW w:w="1247" w:type="dxa"/>
            <w:shd w:val="clear" w:color="auto" w:fill="D2DDE1" w:themeFill="background2"/>
            <w:noWrap/>
          </w:tcPr>
          <w:p w14:paraId="650923C8" w14:textId="556363EB"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0.341</w:t>
            </w:r>
          </w:p>
        </w:tc>
        <w:tc>
          <w:tcPr>
            <w:tcW w:w="1134" w:type="dxa"/>
            <w:shd w:val="clear" w:color="auto" w:fill="auto"/>
            <w:noWrap/>
          </w:tcPr>
          <w:p w14:paraId="650923C9" w14:textId="60FD1A57"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0.326</w:t>
            </w:r>
          </w:p>
        </w:tc>
        <w:tc>
          <w:tcPr>
            <w:tcW w:w="1134" w:type="dxa"/>
            <w:shd w:val="clear" w:color="auto" w:fill="auto"/>
            <w:noWrap/>
          </w:tcPr>
          <w:p w14:paraId="650923CA" w14:textId="68E871FD"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0.004</w:t>
            </w:r>
          </w:p>
        </w:tc>
        <w:tc>
          <w:tcPr>
            <w:tcW w:w="1191" w:type="dxa"/>
            <w:tcBorders>
              <w:right w:val="single" w:sz="4" w:space="0" w:color="FFFFFF" w:themeColor="background1"/>
            </w:tcBorders>
            <w:shd w:val="clear" w:color="auto" w:fill="auto"/>
            <w:noWrap/>
          </w:tcPr>
          <w:p w14:paraId="650923CB" w14:textId="3869F6D0"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0.011</w:t>
            </w:r>
          </w:p>
        </w:tc>
      </w:tr>
      <w:tr w:rsidR="001E087B" w:rsidRPr="00B275E2" w14:paraId="650923D4" w14:textId="77777777" w:rsidTr="004D4540">
        <w:trPr>
          <w:trHeight w:val="300"/>
        </w:trPr>
        <w:tc>
          <w:tcPr>
            <w:cnfStyle w:val="001000000000" w:firstRow="0" w:lastRow="0" w:firstColumn="1" w:lastColumn="0" w:oddVBand="0" w:evenVBand="0" w:oddHBand="0" w:evenHBand="0" w:firstRowFirstColumn="0" w:firstRowLastColumn="0" w:lastRowFirstColumn="0" w:lastRowLastColumn="0"/>
            <w:tcW w:w="1531" w:type="dxa"/>
            <w:vMerge w:val="restart"/>
            <w:tcBorders>
              <w:left w:val="single" w:sz="4" w:space="0" w:color="FFFFFF" w:themeColor="background1"/>
            </w:tcBorders>
          </w:tcPr>
          <w:p w14:paraId="650923CD" w14:textId="77777777" w:rsidR="00E078CD" w:rsidRPr="00B275E2" w:rsidRDefault="00E078CD" w:rsidP="00537369">
            <w:pPr>
              <w:pStyle w:val="TableText"/>
              <w:keepNext/>
              <w:spacing w:before="30" w:after="30"/>
              <w:rPr>
                <w:b w:val="0"/>
              </w:rPr>
            </w:pPr>
            <w:r w:rsidRPr="00B275E2">
              <w:rPr>
                <w:b w:val="0"/>
              </w:rPr>
              <w:lastRenderedPageBreak/>
              <w:t>Diesel</w:t>
            </w:r>
          </w:p>
        </w:tc>
        <w:tc>
          <w:tcPr>
            <w:tcW w:w="1543" w:type="dxa"/>
            <w:noWrap/>
            <w:vAlign w:val="bottom"/>
          </w:tcPr>
          <w:p w14:paraId="650923CE" w14:textId="77777777" w:rsidR="00E078CD" w:rsidRPr="00B275E2" w:rsidRDefault="00E078CD" w:rsidP="001E087B">
            <w:pPr>
              <w:pStyle w:val="TableText"/>
              <w:spacing w:before="30" w:after="30"/>
              <w:cnfStyle w:val="000000000000" w:firstRow="0" w:lastRow="0" w:firstColumn="0" w:lastColumn="0" w:oddVBand="0" w:evenVBand="0" w:oddHBand="0" w:evenHBand="0" w:firstRowFirstColumn="0" w:firstRowLastColumn="0" w:lastRowFirstColumn="0" w:lastRowLastColumn="0"/>
            </w:pPr>
            <w:r w:rsidRPr="00B275E2">
              <w:t>&lt;1350 cc</w:t>
            </w:r>
          </w:p>
        </w:tc>
        <w:tc>
          <w:tcPr>
            <w:tcW w:w="709" w:type="dxa"/>
            <w:noWrap/>
          </w:tcPr>
          <w:p w14:paraId="650923CF" w14:textId="77777777" w:rsidR="00E078CD" w:rsidRPr="00B275E2" w:rsidRDefault="00E078CD" w:rsidP="001E087B">
            <w:pPr>
              <w:pStyle w:val="TableText"/>
              <w:spacing w:before="30" w:after="30"/>
              <w:cnfStyle w:val="000000000000" w:firstRow="0" w:lastRow="0" w:firstColumn="0" w:lastColumn="0" w:oddVBand="0" w:evenVBand="0" w:oddHBand="0" w:evenHBand="0" w:firstRowFirstColumn="0" w:firstRowLastColumn="0" w:lastRowFirstColumn="0" w:lastRowLastColumn="0"/>
            </w:pPr>
            <w:r w:rsidRPr="00B275E2">
              <w:t>km</w:t>
            </w:r>
          </w:p>
        </w:tc>
        <w:tc>
          <w:tcPr>
            <w:tcW w:w="1247" w:type="dxa"/>
            <w:shd w:val="clear" w:color="auto" w:fill="D2DDE1" w:themeFill="background2"/>
            <w:noWrap/>
          </w:tcPr>
          <w:p w14:paraId="650923D0" w14:textId="542E65B9"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0.199</w:t>
            </w:r>
          </w:p>
        </w:tc>
        <w:tc>
          <w:tcPr>
            <w:tcW w:w="1134" w:type="dxa"/>
            <w:shd w:val="clear" w:color="auto" w:fill="auto"/>
            <w:noWrap/>
          </w:tcPr>
          <w:p w14:paraId="650923D1" w14:textId="13015415"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0.195</w:t>
            </w:r>
          </w:p>
        </w:tc>
        <w:tc>
          <w:tcPr>
            <w:tcW w:w="1134" w:type="dxa"/>
            <w:shd w:val="clear" w:color="auto" w:fill="auto"/>
            <w:noWrap/>
          </w:tcPr>
          <w:p w14:paraId="650923D2" w14:textId="3503765B"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0.0003</w:t>
            </w:r>
          </w:p>
        </w:tc>
        <w:tc>
          <w:tcPr>
            <w:tcW w:w="1191" w:type="dxa"/>
            <w:tcBorders>
              <w:right w:val="single" w:sz="4" w:space="0" w:color="FFFFFF" w:themeColor="background1"/>
            </w:tcBorders>
            <w:shd w:val="clear" w:color="auto" w:fill="auto"/>
            <w:noWrap/>
          </w:tcPr>
          <w:p w14:paraId="650923D3" w14:textId="60E05AE5"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0.003</w:t>
            </w:r>
          </w:p>
        </w:tc>
      </w:tr>
      <w:tr w:rsidR="001E087B" w:rsidRPr="00B275E2" w14:paraId="650923DC" w14:textId="77777777" w:rsidTr="004D45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1" w:type="dxa"/>
            <w:vMerge/>
            <w:tcBorders>
              <w:left w:val="single" w:sz="4" w:space="0" w:color="FFFFFF" w:themeColor="background1"/>
            </w:tcBorders>
          </w:tcPr>
          <w:p w14:paraId="650923D5" w14:textId="77777777" w:rsidR="00E078CD" w:rsidRPr="00B275E2" w:rsidRDefault="00E078CD" w:rsidP="001E087B">
            <w:pPr>
              <w:pStyle w:val="TableText"/>
              <w:spacing w:before="30" w:after="30"/>
              <w:rPr>
                <w:b w:val="0"/>
              </w:rPr>
            </w:pPr>
          </w:p>
        </w:tc>
        <w:tc>
          <w:tcPr>
            <w:tcW w:w="1543" w:type="dxa"/>
            <w:noWrap/>
            <w:vAlign w:val="bottom"/>
          </w:tcPr>
          <w:p w14:paraId="650923D6" w14:textId="3FE068C6" w:rsidR="00E078CD" w:rsidRPr="00B275E2" w:rsidRDefault="00E078CD" w:rsidP="001E087B">
            <w:pPr>
              <w:pStyle w:val="TableText"/>
              <w:spacing w:before="30" w:after="30"/>
              <w:cnfStyle w:val="000000100000" w:firstRow="0" w:lastRow="0" w:firstColumn="0" w:lastColumn="0" w:oddVBand="0" w:evenVBand="0" w:oddHBand="1" w:evenHBand="0" w:firstRowFirstColumn="0" w:firstRowLastColumn="0" w:lastRowFirstColumn="0" w:lastRowLastColumn="0"/>
            </w:pPr>
            <w:r w:rsidRPr="00B275E2">
              <w:t>1350</w:t>
            </w:r>
            <w:r w:rsidRPr="00B275E2">
              <w:rPr>
                <w:rFonts w:cs="Calibri"/>
                <w:color w:val="000000"/>
                <w:szCs w:val="18"/>
              </w:rPr>
              <w:t xml:space="preserve"> -</w:t>
            </w:r>
            <w:r w:rsidRPr="00B275E2">
              <w:t xml:space="preserve"> &lt;1600 cc</w:t>
            </w:r>
          </w:p>
        </w:tc>
        <w:tc>
          <w:tcPr>
            <w:tcW w:w="709" w:type="dxa"/>
            <w:noWrap/>
          </w:tcPr>
          <w:p w14:paraId="650923D7" w14:textId="77777777" w:rsidR="00E078CD" w:rsidRPr="00B275E2" w:rsidRDefault="00E078CD" w:rsidP="001E087B">
            <w:pPr>
              <w:pStyle w:val="TableText"/>
              <w:spacing w:before="30" w:after="30"/>
              <w:cnfStyle w:val="000000100000" w:firstRow="0" w:lastRow="0" w:firstColumn="0" w:lastColumn="0" w:oddVBand="0" w:evenVBand="0" w:oddHBand="1" w:evenHBand="0" w:firstRowFirstColumn="0" w:firstRowLastColumn="0" w:lastRowFirstColumn="0" w:lastRowLastColumn="0"/>
            </w:pPr>
            <w:r w:rsidRPr="00B275E2">
              <w:t>km</w:t>
            </w:r>
          </w:p>
        </w:tc>
        <w:tc>
          <w:tcPr>
            <w:tcW w:w="1247" w:type="dxa"/>
            <w:shd w:val="clear" w:color="auto" w:fill="D2DDE1" w:themeFill="background2"/>
            <w:noWrap/>
          </w:tcPr>
          <w:p w14:paraId="650923D8" w14:textId="1A0BFB3B"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0.191</w:t>
            </w:r>
          </w:p>
        </w:tc>
        <w:tc>
          <w:tcPr>
            <w:tcW w:w="1134" w:type="dxa"/>
            <w:shd w:val="clear" w:color="auto" w:fill="auto"/>
            <w:noWrap/>
          </w:tcPr>
          <w:p w14:paraId="650923D9" w14:textId="58B1B975"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0.188</w:t>
            </w:r>
          </w:p>
        </w:tc>
        <w:tc>
          <w:tcPr>
            <w:tcW w:w="1134" w:type="dxa"/>
            <w:shd w:val="clear" w:color="auto" w:fill="auto"/>
            <w:noWrap/>
          </w:tcPr>
          <w:p w14:paraId="650923DA" w14:textId="3524B218"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0.0003</w:t>
            </w:r>
          </w:p>
        </w:tc>
        <w:tc>
          <w:tcPr>
            <w:tcW w:w="1191" w:type="dxa"/>
            <w:tcBorders>
              <w:right w:val="single" w:sz="4" w:space="0" w:color="FFFFFF" w:themeColor="background1"/>
            </w:tcBorders>
            <w:shd w:val="clear" w:color="auto" w:fill="auto"/>
            <w:noWrap/>
          </w:tcPr>
          <w:p w14:paraId="650923DB" w14:textId="5BD10E78"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0.003</w:t>
            </w:r>
          </w:p>
        </w:tc>
      </w:tr>
      <w:tr w:rsidR="001E087B" w:rsidRPr="00B275E2" w14:paraId="650923E4" w14:textId="77777777" w:rsidTr="004D4540">
        <w:trPr>
          <w:trHeight w:val="300"/>
        </w:trPr>
        <w:tc>
          <w:tcPr>
            <w:cnfStyle w:val="001000000000" w:firstRow="0" w:lastRow="0" w:firstColumn="1" w:lastColumn="0" w:oddVBand="0" w:evenVBand="0" w:oddHBand="0" w:evenHBand="0" w:firstRowFirstColumn="0" w:firstRowLastColumn="0" w:lastRowFirstColumn="0" w:lastRowLastColumn="0"/>
            <w:tcW w:w="1531" w:type="dxa"/>
            <w:vMerge/>
            <w:tcBorders>
              <w:left w:val="single" w:sz="4" w:space="0" w:color="FFFFFF" w:themeColor="background1"/>
            </w:tcBorders>
          </w:tcPr>
          <w:p w14:paraId="650923DD" w14:textId="77777777" w:rsidR="00E078CD" w:rsidRPr="00B275E2" w:rsidRDefault="00E078CD" w:rsidP="001E087B">
            <w:pPr>
              <w:pStyle w:val="TableText"/>
              <w:spacing w:before="30" w:after="30"/>
              <w:rPr>
                <w:b w:val="0"/>
              </w:rPr>
            </w:pPr>
          </w:p>
        </w:tc>
        <w:tc>
          <w:tcPr>
            <w:tcW w:w="1543" w:type="dxa"/>
            <w:noWrap/>
            <w:vAlign w:val="bottom"/>
          </w:tcPr>
          <w:p w14:paraId="650923DE" w14:textId="5934323A" w:rsidR="00E078CD" w:rsidRPr="00B275E2" w:rsidRDefault="00E078CD" w:rsidP="001E087B">
            <w:pPr>
              <w:pStyle w:val="TableText"/>
              <w:spacing w:before="30" w:after="30"/>
              <w:cnfStyle w:val="000000000000" w:firstRow="0" w:lastRow="0" w:firstColumn="0" w:lastColumn="0" w:oddVBand="0" w:evenVBand="0" w:oddHBand="0" w:evenHBand="0" w:firstRowFirstColumn="0" w:firstRowLastColumn="0" w:lastRowFirstColumn="0" w:lastRowLastColumn="0"/>
            </w:pPr>
            <w:r w:rsidRPr="00B275E2">
              <w:t>1600</w:t>
            </w:r>
            <w:r w:rsidRPr="00B275E2">
              <w:rPr>
                <w:rFonts w:cs="Calibri"/>
                <w:color w:val="000000"/>
                <w:szCs w:val="18"/>
              </w:rPr>
              <w:t xml:space="preserve"> -</w:t>
            </w:r>
            <w:r w:rsidRPr="00B275E2">
              <w:t xml:space="preserve"> &lt;2000 cc</w:t>
            </w:r>
          </w:p>
        </w:tc>
        <w:tc>
          <w:tcPr>
            <w:tcW w:w="709" w:type="dxa"/>
            <w:noWrap/>
          </w:tcPr>
          <w:p w14:paraId="650923DF" w14:textId="77777777" w:rsidR="00E078CD" w:rsidRPr="00B275E2" w:rsidRDefault="00E078CD" w:rsidP="001E087B">
            <w:pPr>
              <w:pStyle w:val="TableText"/>
              <w:spacing w:before="30" w:after="30"/>
              <w:cnfStyle w:val="000000000000" w:firstRow="0" w:lastRow="0" w:firstColumn="0" w:lastColumn="0" w:oddVBand="0" w:evenVBand="0" w:oddHBand="0" w:evenHBand="0" w:firstRowFirstColumn="0" w:firstRowLastColumn="0" w:lastRowFirstColumn="0" w:lastRowLastColumn="0"/>
            </w:pPr>
            <w:r w:rsidRPr="00B275E2">
              <w:t>km</w:t>
            </w:r>
          </w:p>
        </w:tc>
        <w:tc>
          <w:tcPr>
            <w:tcW w:w="1247" w:type="dxa"/>
            <w:shd w:val="clear" w:color="auto" w:fill="D2DDE1" w:themeFill="background2"/>
            <w:noWrap/>
          </w:tcPr>
          <w:p w14:paraId="650923E0" w14:textId="7E2503EE"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0.254</w:t>
            </w:r>
          </w:p>
        </w:tc>
        <w:tc>
          <w:tcPr>
            <w:tcW w:w="1134" w:type="dxa"/>
            <w:shd w:val="clear" w:color="auto" w:fill="auto"/>
            <w:noWrap/>
          </w:tcPr>
          <w:p w14:paraId="650923E1" w14:textId="6D14C8B4"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0.250</w:t>
            </w:r>
          </w:p>
        </w:tc>
        <w:tc>
          <w:tcPr>
            <w:tcW w:w="1134" w:type="dxa"/>
            <w:shd w:val="clear" w:color="auto" w:fill="auto"/>
            <w:noWrap/>
          </w:tcPr>
          <w:p w14:paraId="650923E2" w14:textId="51649C59"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0.0003</w:t>
            </w:r>
          </w:p>
        </w:tc>
        <w:tc>
          <w:tcPr>
            <w:tcW w:w="1191" w:type="dxa"/>
            <w:tcBorders>
              <w:right w:val="single" w:sz="4" w:space="0" w:color="FFFFFF" w:themeColor="background1"/>
            </w:tcBorders>
            <w:shd w:val="clear" w:color="auto" w:fill="auto"/>
            <w:noWrap/>
          </w:tcPr>
          <w:p w14:paraId="650923E3" w14:textId="1BCEDF05"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0.004</w:t>
            </w:r>
          </w:p>
        </w:tc>
      </w:tr>
      <w:tr w:rsidR="001E087B" w:rsidRPr="00B275E2" w14:paraId="650923EC" w14:textId="77777777" w:rsidTr="004D45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1" w:type="dxa"/>
            <w:vMerge/>
            <w:tcBorders>
              <w:left w:val="single" w:sz="4" w:space="0" w:color="FFFFFF" w:themeColor="background1"/>
            </w:tcBorders>
          </w:tcPr>
          <w:p w14:paraId="650923E5" w14:textId="77777777" w:rsidR="00E078CD" w:rsidRPr="00B275E2" w:rsidRDefault="00E078CD" w:rsidP="001E087B">
            <w:pPr>
              <w:pStyle w:val="TableText"/>
              <w:spacing w:before="30" w:after="30"/>
              <w:rPr>
                <w:b w:val="0"/>
              </w:rPr>
            </w:pPr>
          </w:p>
        </w:tc>
        <w:tc>
          <w:tcPr>
            <w:tcW w:w="1543" w:type="dxa"/>
            <w:noWrap/>
            <w:vAlign w:val="bottom"/>
          </w:tcPr>
          <w:p w14:paraId="650923E6" w14:textId="421F455D" w:rsidR="00E078CD" w:rsidRPr="00B275E2" w:rsidRDefault="00E078CD" w:rsidP="001E087B">
            <w:pPr>
              <w:pStyle w:val="TableText"/>
              <w:spacing w:before="30" w:after="30"/>
              <w:cnfStyle w:val="000000100000" w:firstRow="0" w:lastRow="0" w:firstColumn="0" w:lastColumn="0" w:oddVBand="0" w:evenVBand="0" w:oddHBand="1" w:evenHBand="0" w:firstRowFirstColumn="0" w:firstRowLastColumn="0" w:lastRowFirstColumn="0" w:lastRowLastColumn="0"/>
            </w:pPr>
            <w:r w:rsidRPr="00B275E2">
              <w:t>2000</w:t>
            </w:r>
            <w:r w:rsidRPr="00B275E2">
              <w:rPr>
                <w:rFonts w:cs="Calibri"/>
                <w:color w:val="000000"/>
                <w:szCs w:val="18"/>
              </w:rPr>
              <w:t xml:space="preserve"> -</w:t>
            </w:r>
            <w:r w:rsidRPr="00B275E2">
              <w:t xml:space="preserve"> &lt;3000 cc</w:t>
            </w:r>
          </w:p>
        </w:tc>
        <w:tc>
          <w:tcPr>
            <w:tcW w:w="709" w:type="dxa"/>
            <w:noWrap/>
          </w:tcPr>
          <w:p w14:paraId="650923E7" w14:textId="77777777" w:rsidR="00E078CD" w:rsidRPr="00B275E2" w:rsidRDefault="00E078CD" w:rsidP="001E087B">
            <w:pPr>
              <w:pStyle w:val="TableText"/>
              <w:spacing w:before="30" w:after="30"/>
              <w:cnfStyle w:val="000000100000" w:firstRow="0" w:lastRow="0" w:firstColumn="0" w:lastColumn="0" w:oddVBand="0" w:evenVBand="0" w:oddHBand="1" w:evenHBand="0" w:firstRowFirstColumn="0" w:firstRowLastColumn="0" w:lastRowFirstColumn="0" w:lastRowLastColumn="0"/>
            </w:pPr>
            <w:r w:rsidRPr="00B275E2">
              <w:t>km</w:t>
            </w:r>
          </w:p>
        </w:tc>
        <w:tc>
          <w:tcPr>
            <w:tcW w:w="1247" w:type="dxa"/>
            <w:shd w:val="clear" w:color="auto" w:fill="D2DDE1" w:themeFill="background2"/>
            <w:noWrap/>
          </w:tcPr>
          <w:p w14:paraId="650923E8" w14:textId="6A4E90BD"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0.273</w:t>
            </w:r>
          </w:p>
        </w:tc>
        <w:tc>
          <w:tcPr>
            <w:tcW w:w="1134" w:type="dxa"/>
            <w:shd w:val="clear" w:color="auto" w:fill="auto"/>
            <w:noWrap/>
          </w:tcPr>
          <w:p w14:paraId="650923E9" w14:textId="63139F44"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0.268</w:t>
            </w:r>
          </w:p>
        </w:tc>
        <w:tc>
          <w:tcPr>
            <w:tcW w:w="1134" w:type="dxa"/>
            <w:shd w:val="clear" w:color="auto" w:fill="auto"/>
            <w:noWrap/>
          </w:tcPr>
          <w:p w14:paraId="650923EA" w14:textId="02D1D02B"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0.0004</w:t>
            </w:r>
          </w:p>
        </w:tc>
        <w:tc>
          <w:tcPr>
            <w:tcW w:w="1191" w:type="dxa"/>
            <w:tcBorders>
              <w:right w:val="single" w:sz="4" w:space="0" w:color="FFFFFF" w:themeColor="background1"/>
            </w:tcBorders>
            <w:shd w:val="clear" w:color="auto" w:fill="auto"/>
            <w:noWrap/>
          </w:tcPr>
          <w:p w14:paraId="650923EB" w14:textId="462BBAA4"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0.004</w:t>
            </w:r>
          </w:p>
        </w:tc>
      </w:tr>
      <w:tr w:rsidR="001E087B" w:rsidRPr="00B275E2" w14:paraId="650923F4" w14:textId="77777777" w:rsidTr="004D4540">
        <w:trPr>
          <w:trHeight w:val="300"/>
        </w:trPr>
        <w:tc>
          <w:tcPr>
            <w:cnfStyle w:val="001000000000" w:firstRow="0" w:lastRow="0" w:firstColumn="1" w:lastColumn="0" w:oddVBand="0" w:evenVBand="0" w:oddHBand="0" w:evenHBand="0" w:firstRowFirstColumn="0" w:firstRowLastColumn="0" w:lastRowFirstColumn="0" w:lastRowLastColumn="0"/>
            <w:tcW w:w="1531" w:type="dxa"/>
            <w:vMerge/>
            <w:tcBorders>
              <w:left w:val="single" w:sz="4" w:space="0" w:color="FFFFFF" w:themeColor="background1"/>
            </w:tcBorders>
          </w:tcPr>
          <w:p w14:paraId="650923ED" w14:textId="77777777" w:rsidR="00E078CD" w:rsidRPr="00B275E2" w:rsidRDefault="00E078CD" w:rsidP="001E087B">
            <w:pPr>
              <w:pStyle w:val="TableText"/>
              <w:spacing w:before="30" w:after="30"/>
              <w:rPr>
                <w:b w:val="0"/>
              </w:rPr>
            </w:pPr>
          </w:p>
        </w:tc>
        <w:tc>
          <w:tcPr>
            <w:tcW w:w="1543" w:type="dxa"/>
            <w:noWrap/>
            <w:vAlign w:val="bottom"/>
          </w:tcPr>
          <w:p w14:paraId="650923EE" w14:textId="77777777" w:rsidR="00E078CD" w:rsidRPr="00B275E2" w:rsidRDefault="00E078CD" w:rsidP="001E087B">
            <w:pPr>
              <w:pStyle w:val="TableText"/>
              <w:spacing w:before="30" w:after="30"/>
              <w:cnfStyle w:val="000000000000" w:firstRow="0" w:lastRow="0" w:firstColumn="0" w:lastColumn="0" w:oddVBand="0" w:evenVBand="0" w:oddHBand="0" w:evenHBand="0" w:firstRowFirstColumn="0" w:firstRowLastColumn="0" w:lastRowFirstColumn="0" w:lastRowLastColumn="0"/>
            </w:pPr>
            <w:r w:rsidRPr="00B275E2">
              <w:t>≥3000 cc</w:t>
            </w:r>
          </w:p>
        </w:tc>
        <w:tc>
          <w:tcPr>
            <w:tcW w:w="709" w:type="dxa"/>
            <w:noWrap/>
          </w:tcPr>
          <w:p w14:paraId="650923EF" w14:textId="77777777" w:rsidR="00E078CD" w:rsidRPr="00B275E2" w:rsidRDefault="00E078CD" w:rsidP="001E087B">
            <w:pPr>
              <w:pStyle w:val="TableText"/>
              <w:spacing w:before="30" w:after="30"/>
              <w:cnfStyle w:val="000000000000" w:firstRow="0" w:lastRow="0" w:firstColumn="0" w:lastColumn="0" w:oddVBand="0" w:evenVBand="0" w:oddHBand="0" w:evenHBand="0" w:firstRowFirstColumn="0" w:firstRowLastColumn="0" w:lastRowFirstColumn="0" w:lastRowLastColumn="0"/>
            </w:pPr>
            <w:r w:rsidRPr="00B275E2">
              <w:t>km</w:t>
            </w:r>
          </w:p>
        </w:tc>
        <w:tc>
          <w:tcPr>
            <w:tcW w:w="1247" w:type="dxa"/>
            <w:shd w:val="clear" w:color="auto" w:fill="D2DDE1" w:themeFill="background2"/>
            <w:noWrap/>
          </w:tcPr>
          <w:p w14:paraId="650923F0" w14:textId="16A40830"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0.276</w:t>
            </w:r>
          </w:p>
        </w:tc>
        <w:tc>
          <w:tcPr>
            <w:tcW w:w="1134" w:type="dxa"/>
            <w:shd w:val="clear" w:color="auto" w:fill="auto"/>
            <w:noWrap/>
          </w:tcPr>
          <w:p w14:paraId="650923F1" w14:textId="2DDAE56B"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0.272</w:t>
            </w:r>
          </w:p>
        </w:tc>
        <w:tc>
          <w:tcPr>
            <w:tcW w:w="1134" w:type="dxa"/>
            <w:shd w:val="clear" w:color="auto" w:fill="auto"/>
            <w:noWrap/>
          </w:tcPr>
          <w:p w14:paraId="650923F2" w14:textId="419FF464"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0.0004</w:t>
            </w:r>
          </w:p>
        </w:tc>
        <w:tc>
          <w:tcPr>
            <w:tcW w:w="1191" w:type="dxa"/>
            <w:tcBorders>
              <w:right w:val="single" w:sz="4" w:space="0" w:color="FFFFFF" w:themeColor="background1"/>
            </w:tcBorders>
            <w:shd w:val="clear" w:color="auto" w:fill="auto"/>
            <w:noWrap/>
          </w:tcPr>
          <w:p w14:paraId="650923F3" w14:textId="306F74D9"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0.004</w:t>
            </w:r>
          </w:p>
        </w:tc>
      </w:tr>
      <w:tr w:rsidR="001E087B" w:rsidRPr="00B275E2" w14:paraId="650923FC" w14:textId="77777777" w:rsidTr="004D4540">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531" w:type="dxa"/>
            <w:vMerge w:val="restart"/>
            <w:tcBorders>
              <w:left w:val="single" w:sz="4" w:space="0" w:color="FFFFFF" w:themeColor="background1"/>
            </w:tcBorders>
          </w:tcPr>
          <w:p w14:paraId="650923F5" w14:textId="2DBC1552" w:rsidR="00E078CD" w:rsidRPr="00B275E2" w:rsidRDefault="00E078CD" w:rsidP="001E087B">
            <w:pPr>
              <w:pStyle w:val="TableText"/>
              <w:spacing w:before="30" w:after="30"/>
              <w:rPr>
                <w:b w:val="0"/>
              </w:rPr>
            </w:pPr>
            <w:r w:rsidRPr="00B275E2">
              <w:rPr>
                <w:b w:val="0"/>
              </w:rPr>
              <w:t>Petrol hybrid</w:t>
            </w:r>
          </w:p>
        </w:tc>
        <w:tc>
          <w:tcPr>
            <w:tcW w:w="1543" w:type="dxa"/>
            <w:noWrap/>
            <w:vAlign w:val="bottom"/>
          </w:tcPr>
          <w:p w14:paraId="650923F6" w14:textId="77777777" w:rsidR="00E078CD" w:rsidRPr="00B275E2" w:rsidRDefault="00E078CD" w:rsidP="001E087B">
            <w:pPr>
              <w:pStyle w:val="TableText"/>
              <w:spacing w:before="30" w:after="30"/>
              <w:cnfStyle w:val="000000100000" w:firstRow="0" w:lastRow="0" w:firstColumn="0" w:lastColumn="0" w:oddVBand="0" w:evenVBand="0" w:oddHBand="1" w:evenHBand="0" w:firstRowFirstColumn="0" w:firstRowLastColumn="0" w:lastRowFirstColumn="0" w:lastRowLastColumn="0"/>
            </w:pPr>
            <w:r w:rsidRPr="00B275E2">
              <w:t>&lt;1350 cc</w:t>
            </w:r>
          </w:p>
        </w:tc>
        <w:tc>
          <w:tcPr>
            <w:tcW w:w="709" w:type="dxa"/>
            <w:noWrap/>
          </w:tcPr>
          <w:p w14:paraId="650923F7" w14:textId="77777777" w:rsidR="00E078CD" w:rsidRPr="00B275E2" w:rsidRDefault="00E078CD" w:rsidP="001E087B">
            <w:pPr>
              <w:pStyle w:val="TableText"/>
              <w:spacing w:before="30" w:after="30"/>
              <w:cnfStyle w:val="000000100000" w:firstRow="0" w:lastRow="0" w:firstColumn="0" w:lastColumn="0" w:oddVBand="0" w:evenVBand="0" w:oddHBand="1" w:evenHBand="0" w:firstRowFirstColumn="0" w:firstRowLastColumn="0" w:lastRowFirstColumn="0" w:lastRowLastColumn="0"/>
            </w:pPr>
            <w:r w:rsidRPr="00B275E2">
              <w:t>km</w:t>
            </w:r>
          </w:p>
        </w:tc>
        <w:tc>
          <w:tcPr>
            <w:tcW w:w="1247" w:type="dxa"/>
            <w:shd w:val="clear" w:color="auto" w:fill="D2DDE1" w:themeFill="background2"/>
            <w:noWrap/>
          </w:tcPr>
          <w:p w14:paraId="650923F8" w14:textId="3EE27E7A"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0.154</w:t>
            </w:r>
          </w:p>
        </w:tc>
        <w:tc>
          <w:tcPr>
            <w:tcW w:w="1134" w:type="dxa"/>
            <w:shd w:val="clear" w:color="auto" w:fill="auto"/>
            <w:noWrap/>
          </w:tcPr>
          <w:p w14:paraId="650923F9" w14:textId="121AD967"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0.147</w:t>
            </w:r>
          </w:p>
        </w:tc>
        <w:tc>
          <w:tcPr>
            <w:tcW w:w="1134" w:type="dxa"/>
            <w:shd w:val="clear" w:color="auto" w:fill="auto"/>
            <w:noWrap/>
          </w:tcPr>
          <w:p w14:paraId="650923FA" w14:textId="2B12F80C"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0.002</w:t>
            </w:r>
          </w:p>
        </w:tc>
        <w:tc>
          <w:tcPr>
            <w:tcW w:w="1191" w:type="dxa"/>
            <w:tcBorders>
              <w:right w:val="single" w:sz="4" w:space="0" w:color="FFFFFF" w:themeColor="background1"/>
            </w:tcBorders>
            <w:shd w:val="clear" w:color="auto" w:fill="auto"/>
            <w:noWrap/>
          </w:tcPr>
          <w:p w14:paraId="650923FB" w14:textId="11C29D9C"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0.005</w:t>
            </w:r>
          </w:p>
        </w:tc>
      </w:tr>
      <w:tr w:rsidR="001E087B" w:rsidRPr="00B275E2" w14:paraId="65092404" w14:textId="77777777" w:rsidTr="004D4540">
        <w:trPr>
          <w:trHeight w:val="345"/>
        </w:trPr>
        <w:tc>
          <w:tcPr>
            <w:cnfStyle w:val="001000000000" w:firstRow="0" w:lastRow="0" w:firstColumn="1" w:lastColumn="0" w:oddVBand="0" w:evenVBand="0" w:oddHBand="0" w:evenHBand="0" w:firstRowFirstColumn="0" w:firstRowLastColumn="0" w:lastRowFirstColumn="0" w:lastRowLastColumn="0"/>
            <w:tcW w:w="1531" w:type="dxa"/>
            <w:vMerge/>
            <w:tcBorders>
              <w:left w:val="single" w:sz="4" w:space="0" w:color="FFFFFF" w:themeColor="background1"/>
            </w:tcBorders>
          </w:tcPr>
          <w:p w14:paraId="650923FD" w14:textId="77777777" w:rsidR="00E078CD" w:rsidRPr="00B275E2" w:rsidRDefault="00E078CD" w:rsidP="001E087B">
            <w:pPr>
              <w:pStyle w:val="TableText"/>
              <w:spacing w:before="30" w:after="30"/>
              <w:rPr>
                <w:b w:val="0"/>
              </w:rPr>
            </w:pPr>
          </w:p>
        </w:tc>
        <w:tc>
          <w:tcPr>
            <w:tcW w:w="1543" w:type="dxa"/>
            <w:noWrap/>
            <w:vAlign w:val="bottom"/>
          </w:tcPr>
          <w:p w14:paraId="650923FE" w14:textId="2B1E84B9" w:rsidR="00E078CD" w:rsidRPr="00B275E2" w:rsidRDefault="00E078CD" w:rsidP="001E087B">
            <w:pPr>
              <w:pStyle w:val="TableText"/>
              <w:spacing w:before="30" w:after="30"/>
              <w:cnfStyle w:val="000000000000" w:firstRow="0" w:lastRow="0" w:firstColumn="0" w:lastColumn="0" w:oddVBand="0" w:evenVBand="0" w:oddHBand="0" w:evenHBand="0" w:firstRowFirstColumn="0" w:firstRowLastColumn="0" w:lastRowFirstColumn="0" w:lastRowLastColumn="0"/>
            </w:pPr>
            <w:r w:rsidRPr="00B275E2">
              <w:t>1350</w:t>
            </w:r>
            <w:r w:rsidRPr="00B275E2">
              <w:rPr>
                <w:rFonts w:cs="Calibri"/>
                <w:color w:val="000000"/>
                <w:szCs w:val="18"/>
              </w:rPr>
              <w:t xml:space="preserve"> -</w:t>
            </w:r>
            <w:r w:rsidRPr="00B275E2">
              <w:t xml:space="preserve"> &lt;1600 cc</w:t>
            </w:r>
          </w:p>
        </w:tc>
        <w:tc>
          <w:tcPr>
            <w:tcW w:w="709" w:type="dxa"/>
            <w:noWrap/>
          </w:tcPr>
          <w:p w14:paraId="650923FF" w14:textId="77777777" w:rsidR="00E078CD" w:rsidRPr="00B275E2" w:rsidRDefault="00E078CD" w:rsidP="001E087B">
            <w:pPr>
              <w:pStyle w:val="TableText"/>
              <w:spacing w:before="30" w:after="30"/>
              <w:cnfStyle w:val="000000000000" w:firstRow="0" w:lastRow="0" w:firstColumn="0" w:lastColumn="0" w:oddVBand="0" w:evenVBand="0" w:oddHBand="0" w:evenHBand="0" w:firstRowFirstColumn="0" w:firstRowLastColumn="0" w:lastRowFirstColumn="0" w:lastRowLastColumn="0"/>
            </w:pPr>
            <w:r w:rsidRPr="00B275E2">
              <w:t>km</w:t>
            </w:r>
          </w:p>
        </w:tc>
        <w:tc>
          <w:tcPr>
            <w:tcW w:w="1247" w:type="dxa"/>
            <w:shd w:val="clear" w:color="auto" w:fill="D2DDE1" w:themeFill="background2"/>
            <w:noWrap/>
          </w:tcPr>
          <w:p w14:paraId="65092400" w14:textId="72251474"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0.165</w:t>
            </w:r>
          </w:p>
        </w:tc>
        <w:tc>
          <w:tcPr>
            <w:tcW w:w="1134" w:type="dxa"/>
            <w:shd w:val="clear" w:color="auto" w:fill="auto"/>
            <w:noWrap/>
          </w:tcPr>
          <w:p w14:paraId="65092401" w14:textId="138E9B7B"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0.158</w:t>
            </w:r>
          </w:p>
        </w:tc>
        <w:tc>
          <w:tcPr>
            <w:tcW w:w="1134" w:type="dxa"/>
            <w:shd w:val="clear" w:color="auto" w:fill="auto"/>
            <w:noWrap/>
          </w:tcPr>
          <w:p w14:paraId="65092402" w14:textId="60EF828A"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0.002</w:t>
            </w:r>
          </w:p>
        </w:tc>
        <w:tc>
          <w:tcPr>
            <w:tcW w:w="1191" w:type="dxa"/>
            <w:tcBorders>
              <w:right w:val="single" w:sz="4" w:space="0" w:color="FFFFFF" w:themeColor="background1"/>
            </w:tcBorders>
            <w:shd w:val="clear" w:color="auto" w:fill="auto"/>
            <w:noWrap/>
          </w:tcPr>
          <w:p w14:paraId="65092403" w14:textId="5F6FE590"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0.005</w:t>
            </w:r>
          </w:p>
        </w:tc>
      </w:tr>
      <w:tr w:rsidR="001E087B" w:rsidRPr="00B275E2" w14:paraId="6509240C" w14:textId="77777777" w:rsidTr="004D45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1" w:type="dxa"/>
            <w:vMerge/>
            <w:tcBorders>
              <w:left w:val="single" w:sz="4" w:space="0" w:color="FFFFFF" w:themeColor="background1"/>
            </w:tcBorders>
            <w:hideMark/>
          </w:tcPr>
          <w:p w14:paraId="65092405" w14:textId="77777777" w:rsidR="00E078CD" w:rsidRPr="00B275E2" w:rsidRDefault="00E078CD" w:rsidP="001E087B">
            <w:pPr>
              <w:pStyle w:val="TableText"/>
              <w:spacing w:before="30" w:after="30"/>
              <w:rPr>
                <w:b w:val="0"/>
              </w:rPr>
            </w:pPr>
          </w:p>
        </w:tc>
        <w:tc>
          <w:tcPr>
            <w:tcW w:w="1543" w:type="dxa"/>
            <w:noWrap/>
            <w:vAlign w:val="bottom"/>
          </w:tcPr>
          <w:p w14:paraId="65092406" w14:textId="3F8497F7" w:rsidR="00E078CD" w:rsidRPr="00B275E2" w:rsidRDefault="00E078CD" w:rsidP="001E087B">
            <w:pPr>
              <w:pStyle w:val="TableText"/>
              <w:spacing w:before="30" w:after="30"/>
              <w:cnfStyle w:val="000000100000" w:firstRow="0" w:lastRow="0" w:firstColumn="0" w:lastColumn="0" w:oddVBand="0" w:evenVBand="0" w:oddHBand="1" w:evenHBand="0" w:firstRowFirstColumn="0" w:firstRowLastColumn="0" w:lastRowFirstColumn="0" w:lastRowLastColumn="0"/>
            </w:pPr>
            <w:r w:rsidRPr="00B275E2">
              <w:t>1600</w:t>
            </w:r>
            <w:r w:rsidRPr="00B275E2">
              <w:rPr>
                <w:rFonts w:cs="Calibri"/>
                <w:color w:val="000000"/>
                <w:szCs w:val="18"/>
              </w:rPr>
              <w:t xml:space="preserve"> -</w:t>
            </w:r>
            <w:r w:rsidRPr="00B275E2">
              <w:t xml:space="preserve"> &lt;2000 cc</w:t>
            </w:r>
          </w:p>
        </w:tc>
        <w:tc>
          <w:tcPr>
            <w:tcW w:w="709" w:type="dxa"/>
            <w:noWrap/>
          </w:tcPr>
          <w:p w14:paraId="65092407" w14:textId="77777777" w:rsidR="00E078CD" w:rsidRPr="00B275E2" w:rsidRDefault="00E078CD" w:rsidP="001E087B">
            <w:pPr>
              <w:pStyle w:val="TableText"/>
              <w:spacing w:before="30" w:after="30"/>
              <w:cnfStyle w:val="000000100000" w:firstRow="0" w:lastRow="0" w:firstColumn="0" w:lastColumn="0" w:oddVBand="0" w:evenVBand="0" w:oddHBand="1" w:evenHBand="0" w:firstRowFirstColumn="0" w:firstRowLastColumn="0" w:lastRowFirstColumn="0" w:lastRowLastColumn="0"/>
            </w:pPr>
            <w:r w:rsidRPr="00B275E2">
              <w:t>km</w:t>
            </w:r>
          </w:p>
        </w:tc>
        <w:tc>
          <w:tcPr>
            <w:tcW w:w="1247" w:type="dxa"/>
            <w:shd w:val="clear" w:color="auto" w:fill="D2DDE1" w:themeFill="background2"/>
            <w:noWrap/>
          </w:tcPr>
          <w:p w14:paraId="65092408" w14:textId="62C6A1B3"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0.223</w:t>
            </w:r>
          </w:p>
        </w:tc>
        <w:tc>
          <w:tcPr>
            <w:tcW w:w="1134" w:type="dxa"/>
            <w:shd w:val="clear" w:color="auto" w:fill="auto"/>
            <w:noWrap/>
          </w:tcPr>
          <w:p w14:paraId="65092409" w14:textId="79362871"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0.213</w:t>
            </w:r>
          </w:p>
        </w:tc>
        <w:tc>
          <w:tcPr>
            <w:tcW w:w="1134" w:type="dxa"/>
            <w:shd w:val="clear" w:color="auto" w:fill="auto"/>
            <w:noWrap/>
          </w:tcPr>
          <w:p w14:paraId="6509240A" w14:textId="2DBA5DC7"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0.003</w:t>
            </w:r>
          </w:p>
        </w:tc>
        <w:tc>
          <w:tcPr>
            <w:tcW w:w="1191" w:type="dxa"/>
            <w:tcBorders>
              <w:right w:val="single" w:sz="4" w:space="0" w:color="FFFFFF" w:themeColor="background1"/>
            </w:tcBorders>
            <w:shd w:val="clear" w:color="auto" w:fill="auto"/>
            <w:noWrap/>
          </w:tcPr>
          <w:p w14:paraId="6509240B" w14:textId="61AC7654"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0.007</w:t>
            </w:r>
          </w:p>
        </w:tc>
      </w:tr>
      <w:tr w:rsidR="001E087B" w:rsidRPr="00B275E2" w14:paraId="65092414" w14:textId="77777777" w:rsidTr="004D4540">
        <w:trPr>
          <w:trHeight w:val="300"/>
        </w:trPr>
        <w:tc>
          <w:tcPr>
            <w:cnfStyle w:val="001000000000" w:firstRow="0" w:lastRow="0" w:firstColumn="1" w:lastColumn="0" w:oddVBand="0" w:evenVBand="0" w:oddHBand="0" w:evenHBand="0" w:firstRowFirstColumn="0" w:firstRowLastColumn="0" w:lastRowFirstColumn="0" w:lastRowLastColumn="0"/>
            <w:tcW w:w="1531" w:type="dxa"/>
            <w:vMerge/>
            <w:tcBorders>
              <w:left w:val="single" w:sz="4" w:space="0" w:color="FFFFFF" w:themeColor="background1"/>
            </w:tcBorders>
            <w:hideMark/>
          </w:tcPr>
          <w:p w14:paraId="6509240D" w14:textId="77777777" w:rsidR="00E078CD" w:rsidRPr="00B275E2" w:rsidRDefault="00E078CD" w:rsidP="001E087B">
            <w:pPr>
              <w:pStyle w:val="TableText"/>
              <w:spacing w:before="30" w:after="30"/>
              <w:rPr>
                <w:b w:val="0"/>
              </w:rPr>
            </w:pPr>
          </w:p>
        </w:tc>
        <w:tc>
          <w:tcPr>
            <w:tcW w:w="1543" w:type="dxa"/>
            <w:noWrap/>
            <w:vAlign w:val="bottom"/>
          </w:tcPr>
          <w:p w14:paraId="6509240E" w14:textId="3EB5CD5F" w:rsidR="00E078CD" w:rsidRPr="00B275E2" w:rsidRDefault="00E078CD" w:rsidP="001E087B">
            <w:pPr>
              <w:pStyle w:val="TableText"/>
              <w:spacing w:before="30" w:after="30"/>
              <w:cnfStyle w:val="000000000000" w:firstRow="0" w:lastRow="0" w:firstColumn="0" w:lastColumn="0" w:oddVBand="0" w:evenVBand="0" w:oddHBand="0" w:evenHBand="0" w:firstRowFirstColumn="0" w:firstRowLastColumn="0" w:lastRowFirstColumn="0" w:lastRowLastColumn="0"/>
            </w:pPr>
            <w:r w:rsidRPr="00B275E2">
              <w:t>2000</w:t>
            </w:r>
            <w:r w:rsidRPr="00B275E2">
              <w:rPr>
                <w:rFonts w:cs="Calibri"/>
                <w:color w:val="000000"/>
                <w:szCs w:val="18"/>
              </w:rPr>
              <w:t xml:space="preserve"> -</w:t>
            </w:r>
            <w:r w:rsidRPr="00B275E2">
              <w:t xml:space="preserve"> &lt;3000 cc</w:t>
            </w:r>
          </w:p>
        </w:tc>
        <w:tc>
          <w:tcPr>
            <w:tcW w:w="709" w:type="dxa"/>
            <w:noWrap/>
          </w:tcPr>
          <w:p w14:paraId="6509240F" w14:textId="77777777" w:rsidR="00E078CD" w:rsidRPr="00B275E2" w:rsidRDefault="00E078CD" w:rsidP="001E087B">
            <w:pPr>
              <w:pStyle w:val="TableText"/>
              <w:spacing w:before="30" w:after="30"/>
              <w:cnfStyle w:val="000000000000" w:firstRow="0" w:lastRow="0" w:firstColumn="0" w:lastColumn="0" w:oddVBand="0" w:evenVBand="0" w:oddHBand="0" w:evenHBand="0" w:firstRowFirstColumn="0" w:firstRowLastColumn="0" w:lastRowFirstColumn="0" w:lastRowLastColumn="0"/>
            </w:pPr>
            <w:r w:rsidRPr="00B275E2">
              <w:t>km</w:t>
            </w:r>
          </w:p>
        </w:tc>
        <w:tc>
          <w:tcPr>
            <w:tcW w:w="1247" w:type="dxa"/>
            <w:shd w:val="clear" w:color="auto" w:fill="D2DDE1" w:themeFill="background2"/>
            <w:noWrap/>
          </w:tcPr>
          <w:p w14:paraId="65092410" w14:textId="304468F5"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0.236</w:t>
            </w:r>
          </w:p>
        </w:tc>
        <w:tc>
          <w:tcPr>
            <w:tcW w:w="1134" w:type="dxa"/>
            <w:shd w:val="clear" w:color="auto" w:fill="auto"/>
            <w:noWrap/>
          </w:tcPr>
          <w:p w14:paraId="65092411" w14:textId="4B7B3CD2"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0.225</w:t>
            </w:r>
          </w:p>
        </w:tc>
        <w:tc>
          <w:tcPr>
            <w:tcW w:w="1134" w:type="dxa"/>
            <w:shd w:val="clear" w:color="auto" w:fill="auto"/>
            <w:noWrap/>
          </w:tcPr>
          <w:p w14:paraId="65092412" w14:textId="51D91882"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0.003</w:t>
            </w:r>
          </w:p>
        </w:tc>
        <w:tc>
          <w:tcPr>
            <w:tcW w:w="1191" w:type="dxa"/>
            <w:tcBorders>
              <w:right w:val="single" w:sz="4" w:space="0" w:color="FFFFFF" w:themeColor="background1"/>
            </w:tcBorders>
            <w:shd w:val="clear" w:color="auto" w:fill="auto"/>
            <w:noWrap/>
          </w:tcPr>
          <w:p w14:paraId="65092413" w14:textId="108E135D"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0.008</w:t>
            </w:r>
          </w:p>
        </w:tc>
      </w:tr>
      <w:tr w:rsidR="001E087B" w:rsidRPr="00B275E2" w14:paraId="6509241C" w14:textId="77777777" w:rsidTr="004D45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1" w:type="dxa"/>
            <w:vMerge/>
            <w:tcBorders>
              <w:left w:val="single" w:sz="4" w:space="0" w:color="FFFFFF" w:themeColor="background1"/>
            </w:tcBorders>
            <w:hideMark/>
          </w:tcPr>
          <w:p w14:paraId="65092415" w14:textId="77777777" w:rsidR="00E078CD" w:rsidRPr="00B275E2" w:rsidRDefault="00E078CD" w:rsidP="001E087B">
            <w:pPr>
              <w:pStyle w:val="TableText"/>
              <w:spacing w:before="30" w:after="30"/>
              <w:rPr>
                <w:b w:val="0"/>
              </w:rPr>
            </w:pPr>
          </w:p>
        </w:tc>
        <w:tc>
          <w:tcPr>
            <w:tcW w:w="1543" w:type="dxa"/>
            <w:noWrap/>
            <w:vAlign w:val="bottom"/>
          </w:tcPr>
          <w:p w14:paraId="65092416" w14:textId="77777777" w:rsidR="00E078CD" w:rsidRPr="00B275E2" w:rsidRDefault="00E078CD" w:rsidP="001E087B">
            <w:pPr>
              <w:pStyle w:val="TableText"/>
              <w:spacing w:before="30" w:after="30"/>
              <w:cnfStyle w:val="000000100000" w:firstRow="0" w:lastRow="0" w:firstColumn="0" w:lastColumn="0" w:oddVBand="0" w:evenVBand="0" w:oddHBand="1" w:evenHBand="0" w:firstRowFirstColumn="0" w:firstRowLastColumn="0" w:lastRowFirstColumn="0" w:lastRowLastColumn="0"/>
            </w:pPr>
            <w:r w:rsidRPr="00B275E2">
              <w:t>≥3000 cc</w:t>
            </w:r>
          </w:p>
        </w:tc>
        <w:tc>
          <w:tcPr>
            <w:tcW w:w="709" w:type="dxa"/>
            <w:noWrap/>
          </w:tcPr>
          <w:p w14:paraId="65092417" w14:textId="77777777" w:rsidR="00E078CD" w:rsidRPr="00B275E2" w:rsidRDefault="00E078CD" w:rsidP="001E087B">
            <w:pPr>
              <w:pStyle w:val="TableText"/>
              <w:spacing w:before="30" w:after="30"/>
              <w:cnfStyle w:val="000000100000" w:firstRow="0" w:lastRow="0" w:firstColumn="0" w:lastColumn="0" w:oddVBand="0" w:evenVBand="0" w:oddHBand="1" w:evenHBand="0" w:firstRowFirstColumn="0" w:firstRowLastColumn="0" w:lastRowFirstColumn="0" w:lastRowLastColumn="0"/>
            </w:pPr>
            <w:r w:rsidRPr="00B275E2">
              <w:t>km</w:t>
            </w:r>
          </w:p>
        </w:tc>
        <w:tc>
          <w:tcPr>
            <w:tcW w:w="1247" w:type="dxa"/>
            <w:shd w:val="clear" w:color="auto" w:fill="D2DDE1" w:themeFill="background2"/>
            <w:noWrap/>
          </w:tcPr>
          <w:p w14:paraId="65092418" w14:textId="35898BFC"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0.269</w:t>
            </w:r>
          </w:p>
        </w:tc>
        <w:tc>
          <w:tcPr>
            <w:tcW w:w="1134" w:type="dxa"/>
            <w:shd w:val="clear" w:color="auto" w:fill="auto"/>
            <w:noWrap/>
          </w:tcPr>
          <w:p w14:paraId="65092419" w14:textId="78CC1B09"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0.257</w:t>
            </w:r>
          </w:p>
        </w:tc>
        <w:tc>
          <w:tcPr>
            <w:tcW w:w="1134" w:type="dxa"/>
            <w:shd w:val="clear" w:color="auto" w:fill="auto"/>
            <w:noWrap/>
          </w:tcPr>
          <w:p w14:paraId="6509241A" w14:textId="493615F7"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0.003</w:t>
            </w:r>
          </w:p>
        </w:tc>
        <w:tc>
          <w:tcPr>
            <w:tcW w:w="1191" w:type="dxa"/>
            <w:tcBorders>
              <w:right w:val="single" w:sz="4" w:space="0" w:color="FFFFFF" w:themeColor="background1"/>
            </w:tcBorders>
            <w:shd w:val="clear" w:color="auto" w:fill="auto"/>
            <w:noWrap/>
          </w:tcPr>
          <w:p w14:paraId="6509241B" w14:textId="3AF57B93"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0.009</w:t>
            </w:r>
          </w:p>
        </w:tc>
      </w:tr>
      <w:tr w:rsidR="001E087B" w:rsidRPr="00B275E2" w14:paraId="65092424" w14:textId="77777777" w:rsidTr="004D4540">
        <w:trPr>
          <w:trHeight w:val="300"/>
        </w:trPr>
        <w:tc>
          <w:tcPr>
            <w:cnfStyle w:val="001000000000" w:firstRow="0" w:lastRow="0" w:firstColumn="1" w:lastColumn="0" w:oddVBand="0" w:evenVBand="0" w:oddHBand="0" w:evenHBand="0" w:firstRowFirstColumn="0" w:firstRowLastColumn="0" w:lastRowFirstColumn="0" w:lastRowLastColumn="0"/>
            <w:tcW w:w="1531" w:type="dxa"/>
            <w:vMerge w:val="restart"/>
            <w:tcBorders>
              <w:left w:val="single" w:sz="4" w:space="0" w:color="FFFFFF" w:themeColor="background1"/>
            </w:tcBorders>
            <w:hideMark/>
          </w:tcPr>
          <w:p w14:paraId="6509241D" w14:textId="662A3AD8" w:rsidR="00E078CD" w:rsidRPr="00B275E2" w:rsidRDefault="00E078CD" w:rsidP="001E087B">
            <w:pPr>
              <w:pStyle w:val="TableText"/>
              <w:spacing w:before="30" w:after="30"/>
              <w:rPr>
                <w:b w:val="0"/>
              </w:rPr>
            </w:pPr>
            <w:r w:rsidRPr="00B275E2">
              <w:rPr>
                <w:b w:val="0"/>
              </w:rPr>
              <w:t>Diesel hybrid</w:t>
            </w:r>
          </w:p>
        </w:tc>
        <w:tc>
          <w:tcPr>
            <w:tcW w:w="1543" w:type="dxa"/>
            <w:noWrap/>
            <w:vAlign w:val="bottom"/>
          </w:tcPr>
          <w:p w14:paraId="6509241E" w14:textId="77777777" w:rsidR="00E078CD" w:rsidRPr="00B275E2" w:rsidRDefault="00E078CD" w:rsidP="001E087B">
            <w:pPr>
              <w:pStyle w:val="TableText"/>
              <w:spacing w:before="30" w:after="30"/>
              <w:cnfStyle w:val="000000000000" w:firstRow="0" w:lastRow="0" w:firstColumn="0" w:lastColumn="0" w:oddVBand="0" w:evenVBand="0" w:oddHBand="0" w:evenHBand="0" w:firstRowFirstColumn="0" w:firstRowLastColumn="0" w:lastRowFirstColumn="0" w:lastRowLastColumn="0"/>
            </w:pPr>
            <w:r w:rsidRPr="00B275E2">
              <w:t>&lt;1350 cc</w:t>
            </w:r>
          </w:p>
        </w:tc>
        <w:tc>
          <w:tcPr>
            <w:tcW w:w="709" w:type="dxa"/>
            <w:noWrap/>
          </w:tcPr>
          <w:p w14:paraId="6509241F" w14:textId="77777777" w:rsidR="00E078CD" w:rsidRPr="00B275E2" w:rsidRDefault="00E078CD" w:rsidP="001E087B">
            <w:pPr>
              <w:pStyle w:val="TableText"/>
              <w:spacing w:before="30" w:after="30"/>
              <w:cnfStyle w:val="000000000000" w:firstRow="0" w:lastRow="0" w:firstColumn="0" w:lastColumn="0" w:oddVBand="0" w:evenVBand="0" w:oddHBand="0" w:evenHBand="0" w:firstRowFirstColumn="0" w:firstRowLastColumn="0" w:lastRowFirstColumn="0" w:lastRowLastColumn="0"/>
            </w:pPr>
            <w:r w:rsidRPr="00B275E2">
              <w:t>km</w:t>
            </w:r>
          </w:p>
        </w:tc>
        <w:tc>
          <w:tcPr>
            <w:tcW w:w="1247" w:type="dxa"/>
            <w:shd w:val="clear" w:color="auto" w:fill="D2DDE1" w:themeFill="background2"/>
            <w:noWrap/>
          </w:tcPr>
          <w:p w14:paraId="65092420" w14:textId="76927DE2"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0.178</w:t>
            </w:r>
          </w:p>
        </w:tc>
        <w:tc>
          <w:tcPr>
            <w:tcW w:w="1134" w:type="dxa"/>
            <w:shd w:val="clear" w:color="auto" w:fill="auto"/>
            <w:noWrap/>
          </w:tcPr>
          <w:p w14:paraId="65092421" w14:textId="6CF42BE1"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0.175</w:t>
            </w:r>
          </w:p>
        </w:tc>
        <w:tc>
          <w:tcPr>
            <w:tcW w:w="1134" w:type="dxa"/>
            <w:shd w:val="clear" w:color="auto" w:fill="auto"/>
            <w:noWrap/>
          </w:tcPr>
          <w:p w14:paraId="65092422" w14:textId="6E443C6A"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0.0002</w:t>
            </w:r>
          </w:p>
        </w:tc>
        <w:tc>
          <w:tcPr>
            <w:tcW w:w="1191" w:type="dxa"/>
            <w:tcBorders>
              <w:right w:val="single" w:sz="4" w:space="0" w:color="FFFFFF" w:themeColor="background1"/>
            </w:tcBorders>
            <w:shd w:val="clear" w:color="auto" w:fill="auto"/>
            <w:noWrap/>
          </w:tcPr>
          <w:p w14:paraId="65092423" w14:textId="4ACE9B14"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0.003</w:t>
            </w:r>
          </w:p>
        </w:tc>
      </w:tr>
      <w:tr w:rsidR="001E087B" w:rsidRPr="00B275E2" w14:paraId="6509242C" w14:textId="77777777" w:rsidTr="004D45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1" w:type="dxa"/>
            <w:vMerge/>
            <w:tcBorders>
              <w:left w:val="single" w:sz="4" w:space="0" w:color="FFFFFF" w:themeColor="background1"/>
            </w:tcBorders>
          </w:tcPr>
          <w:p w14:paraId="65092425" w14:textId="77777777" w:rsidR="00E078CD" w:rsidRPr="00B275E2" w:rsidRDefault="00E078CD" w:rsidP="001E087B">
            <w:pPr>
              <w:pStyle w:val="TableText"/>
              <w:spacing w:before="30" w:after="30"/>
              <w:rPr>
                <w:b w:val="0"/>
              </w:rPr>
            </w:pPr>
          </w:p>
        </w:tc>
        <w:tc>
          <w:tcPr>
            <w:tcW w:w="1543" w:type="dxa"/>
            <w:noWrap/>
            <w:vAlign w:val="bottom"/>
          </w:tcPr>
          <w:p w14:paraId="65092426" w14:textId="270B8FF6" w:rsidR="00E078CD" w:rsidRPr="00B275E2" w:rsidRDefault="00E078CD" w:rsidP="001E087B">
            <w:pPr>
              <w:pStyle w:val="TableText"/>
              <w:spacing w:before="30" w:after="30"/>
              <w:cnfStyle w:val="000000100000" w:firstRow="0" w:lastRow="0" w:firstColumn="0" w:lastColumn="0" w:oddVBand="0" w:evenVBand="0" w:oddHBand="1" w:evenHBand="0" w:firstRowFirstColumn="0" w:firstRowLastColumn="0" w:lastRowFirstColumn="0" w:lastRowLastColumn="0"/>
            </w:pPr>
            <w:r w:rsidRPr="00B275E2">
              <w:t>1350</w:t>
            </w:r>
            <w:r w:rsidRPr="00B275E2">
              <w:rPr>
                <w:rFonts w:cs="Calibri"/>
                <w:color w:val="000000"/>
                <w:szCs w:val="18"/>
              </w:rPr>
              <w:t xml:space="preserve"> -</w:t>
            </w:r>
            <w:r w:rsidRPr="00B275E2">
              <w:t xml:space="preserve"> &lt;1600 cc</w:t>
            </w:r>
          </w:p>
        </w:tc>
        <w:tc>
          <w:tcPr>
            <w:tcW w:w="709" w:type="dxa"/>
            <w:noWrap/>
          </w:tcPr>
          <w:p w14:paraId="65092427" w14:textId="77777777" w:rsidR="00E078CD" w:rsidRPr="00B275E2" w:rsidRDefault="00E078CD" w:rsidP="001E087B">
            <w:pPr>
              <w:pStyle w:val="TableText"/>
              <w:spacing w:before="30" w:after="30"/>
              <w:cnfStyle w:val="000000100000" w:firstRow="0" w:lastRow="0" w:firstColumn="0" w:lastColumn="0" w:oddVBand="0" w:evenVBand="0" w:oddHBand="1" w:evenHBand="0" w:firstRowFirstColumn="0" w:firstRowLastColumn="0" w:lastRowFirstColumn="0" w:lastRowLastColumn="0"/>
            </w:pPr>
            <w:r w:rsidRPr="00B275E2">
              <w:t>km</w:t>
            </w:r>
          </w:p>
        </w:tc>
        <w:tc>
          <w:tcPr>
            <w:tcW w:w="1247" w:type="dxa"/>
            <w:shd w:val="clear" w:color="auto" w:fill="D2DDE1" w:themeFill="background2"/>
            <w:noWrap/>
          </w:tcPr>
          <w:p w14:paraId="65092428" w14:textId="73202FBF"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0.171</w:t>
            </w:r>
          </w:p>
        </w:tc>
        <w:tc>
          <w:tcPr>
            <w:tcW w:w="1134" w:type="dxa"/>
            <w:shd w:val="clear" w:color="auto" w:fill="auto"/>
            <w:noWrap/>
          </w:tcPr>
          <w:p w14:paraId="65092429" w14:textId="34D4984A"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0.168</w:t>
            </w:r>
          </w:p>
        </w:tc>
        <w:tc>
          <w:tcPr>
            <w:tcW w:w="1134" w:type="dxa"/>
            <w:shd w:val="clear" w:color="auto" w:fill="auto"/>
            <w:noWrap/>
          </w:tcPr>
          <w:p w14:paraId="6509242A" w14:textId="5AE329EB"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0.0002</w:t>
            </w:r>
          </w:p>
        </w:tc>
        <w:tc>
          <w:tcPr>
            <w:tcW w:w="1191" w:type="dxa"/>
            <w:tcBorders>
              <w:right w:val="single" w:sz="4" w:space="0" w:color="FFFFFF" w:themeColor="background1"/>
            </w:tcBorders>
            <w:shd w:val="clear" w:color="auto" w:fill="auto"/>
            <w:noWrap/>
          </w:tcPr>
          <w:p w14:paraId="6509242B" w14:textId="57CC10CF"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0.003</w:t>
            </w:r>
          </w:p>
        </w:tc>
      </w:tr>
      <w:tr w:rsidR="001E087B" w:rsidRPr="00B275E2" w14:paraId="65092434" w14:textId="77777777" w:rsidTr="004D4540">
        <w:trPr>
          <w:trHeight w:val="300"/>
        </w:trPr>
        <w:tc>
          <w:tcPr>
            <w:cnfStyle w:val="001000000000" w:firstRow="0" w:lastRow="0" w:firstColumn="1" w:lastColumn="0" w:oddVBand="0" w:evenVBand="0" w:oddHBand="0" w:evenHBand="0" w:firstRowFirstColumn="0" w:firstRowLastColumn="0" w:lastRowFirstColumn="0" w:lastRowLastColumn="0"/>
            <w:tcW w:w="1531" w:type="dxa"/>
            <w:vMerge/>
            <w:tcBorders>
              <w:left w:val="single" w:sz="4" w:space="0" w:color="FFFFFF" w:themeColor="background1"/>
            </w:tcBorders>
          </w:tcPr>
          <w:p w14:paraId="6509242D" w14:textId="77777777" w:rsidR="00E078CD" w:rsidRPr="00B275E2" w:rsidRDefault="00E078CD" w:rsidP="001E087B">
            <w:pPr>
              <w:pStyle w:val="TableText"/>
              <w:spacing w:before="30" w:after="30"/>
              <w:rPr>
                <w:b w:val="0"/>
              </w:rPr>
            </w:pPr>
          </w:p>
        </w:tc>
        <w:tc>
          <w:tcPr>
            <w:tcW w:w="1543" w:type="dxa"/>
            <w:noWrap/>
            <w:vAlign w:val="bottom"/>
          </w:tcPr>
          <w:p w14:paraId="6509242E" w14:textId="72AEA9B2" w:rsidR="00E078CD" w:rsidRPr="00B275E2" w:rsidRDefault="00E078CD" w:rsidP="001E087B">
            <w:pPr>
              <w:pStyle w:val="TableText"/>
              <w:spacing w:before="30" w:after="30"/>
              <w:cnfStyle w:val="000000000000" w:firstRow="0" w:lastRow="0" w:firstColumn="0" w:lastColumn="0" w:oddVBand="0" w:evenVBand="0" w:oddHBand="0" w:evenHBand="0" w:firstRowFirstColumn="0" w:firstRowLastColumn="0" w:lastRowFirstColumn="0" w:lastRowLastColumn="0"/>
            </w:pPr>
            <w:r w:rsidRPr="00B275E2">
              <w:t>1600</w:t>
            </w:r>
            <w:r w:rsidRPr="00B275E2">
              <w:rPr>
                <w:rFonts w:cs="Calibri"/>
                <w:color w:val="000000"/>
                <w:szCs w:val="18"/>
              </w:rPr>
              <w:t xml:space="preserve"> -</w:t>
            </w:r>
            <w:r w:rsidRPr="00B275E2">
              <w:t xml:space="preserve"> &lt;2000 cc</w:t>
            </w:r>
          </w:p>
        </w:tc>
        <w:tc>
          <w:tcPr>
            <w:tcW w:w="709" w:type="dxa"/>
            <w:noWrap/>
          </w:tcPr>
          <w:p w14:paraId="6509242F" w14:textId="77777777" w:rsidR="00E078CD" w:rsidRPr="00B275E2" w:rsidRDefault="00E078CD" w:rsidP="001E087B">
            <w:pPr>
              <w:pStyle w:val="TableText"/>
              <w:spacing w:before="30" w:after="30"/>
              <w:cnfStyle w:val="000000000000" w:firstRow="0" w:lastRow="0" w:firstColumn="0" w:lastColumn="0" w:oddVBand="0" w:evenVBand="0" w:oddHBand="0" w:evenHBand="0" w:firstRowFirstColumn="0" w:firstRowLastColumn="0" w:lastRowFirstColumn="0" w:lastRowLastColumn="0"/>
            </w:pPr>
            <w:r w:rsidRPr="00B275E2">
              <w:t>km</w:t>
            </w:r>
          </w:p>
        </w:tc>
        <w:tc>
          <w:tcPr>
            <w:tcW w:w="1247" w:type="dxa"/>
            <w:shd w:val="clear" w:color="auto" w:fill="D2DDE1" w:themeFill="background2"/>
            <w:noWrap/>
          </w:tcPr>
          <w:p w14:paraId="65092430" w14:textId="4AADB961"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0.228</w:t>
            </w:r>
          </w:p>
        </w:tc>
        <w:tc>
          <w:tcPr>
            <w:tcW w:w="1134" w:type="dxa"/>
            <w:shd w:val="clear" w:color="auto" w:fill="auto"/>
            <w:noWrap/>
          </w:tcPr>
          <w:p w14:paraId="65092431" w14:textId="05AD9276"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0.224</w:t>
            </w:r>
          </w:p>
        </w:tc>
        <w:tc>
          <w:tcPr>
            <w:tcW w:w="1134" w:type="dxa"/>
            <w:shd w:val="clear" w:color="auto" w:fill="auto"/>
            <w:noWrap/>
          </w:tcPr>
          <w:p w14:paraId="65092432" w14:textId="6ED872A2"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0.0003</w:t>
            </w:r>
          </w:p>
        </w:tc>
        <w:tc>
          <w:tcPr>
            <w:tcW w:w="1191" w:type="dxa"/>
            <w:tcBorders>
              <w:right w:val="single" w:sz="4" w:space="0" w:color="FFFFFF" w:themeColor="background1"/>
            </w:tcBorders>
            <w:shd w:val="clear" w:color="auto" w:fill="auto"/>
            <w:noWrap/>
          </w:tcPr>
          <w:p w14:paraId="65092433" w14:textId="00B2B2C8"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0.004</w:t>
            </w:r>
          </w:p>
        </w:tc>
      </w:tr>
      <w:tr w:rsidR="001E087B" w:rsidRPr="00B275E2" w14:paraId="6509243C" w14:textId="77777777" w:rsidTr="004D45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1" w:type="dxa"/>
            <w:vMerge/>
            <w:tcBorders>
              <w:left w:val="single" w:sz="4" w:space="0" w:color="FFFFFF" w:themeColor="background1"/>
            </w:tcBorders>
          </w:tcPr>
          <w:p w14:paraId="65092435" w14:textId="77777777" w:rsidR="00E078CD" w:rsidRPr="00B275E2" w:rsidRDefault="00E078CD" w:rsidP="001E087B">
            <w:pPr>
              <w:pStyle w:val="TableText"/>
              <w:spacing w:before="30" w:after="30"/>
              <w:rPr>
                <w:b w:val="0"/>
              </w:rPr>
            </w:pPr>
          </w:p>
        </w:tc>
        <w:tc>
          <w:tcPr>
            <w:tcW w:w="1543" w:type="dxa"/>
            <w:noWrap/>
            <w:vAlign w:val="bottom"/>
          </w:tcPr>
          <w:p w14:paraId="65092436" w14:textId="779AAB8C" w:rsidR="00E078CD" w:rsidRPr="00B275E2" w:rsidRDefault="00E078CD" w:rsidP="001E087B">
            <w:pPr>
              <w:pStyle w:val="TableText"/>
              <w:spacing w:before="30" w:after="30"/>
              <w:cnfStyle w:val="000000100000" w:firstRow="0" w:lastRow="0" w:firstColumn="0" w:lastColumn="0" w:oddVBand="0" w:evenVBand="0" w:oddHBand="1" w:evenHBand="0" w:firstRowFirstColumn="0" w:firstRowLastColumn="0" w:lastRowFirstColumn="0" w:lastRowLastColumn="0"/>
            </w:pPr>
            <w:r w:rsidRPr="00B275E2">
              <w:t>2000</w:t>
            </w:r>
            <w:r w:rsidRPr="00B275E2">
              <w:rPr>
                <w:rFonts w:cs="Calibri"/>
                <w:color w:val="000000"/>
                <w:szCs w:val="18"/>
              </w:rPr>
              <w:t xml:space="preserve"> -</w:t>
            </w:r>
            <w:r w:rsidRPr="00B275E2">
              <w:t xml:space="preserve"> &lt;3000 cc</w:t>
            </w:r>
          </w:p>
        </w:tc>
        <w:tc>
          <w:tcPr>
            <w:tcW w:w="709" w:type="dxa"/>
            <w:noWrap/>
          </w:tcPr>
          <w:p w14:paraId="65092437" w14:textId="77777777" w:rsidR="00E078CD" w:rsidRPr="00B275E2" w:rsidRDefault="00E078CD" w:rsidP="001E087B">
            <w:pPr>
              <w:pStyle w:val="TableText"/>
              <w:spacing w:before="30" w:after="30"/>
              <w:cnfStyle w:val="000000100000" w:firstRow="0" w:lastRow="0" w:firstColumn="0" w:lastColumn="0" w:oddVBand="0" w:evenVBand="0" w:oddHBand="1" w:evenHBand="0" w:firstRowFirstColumn="0" w:firstRowLastColumn="0" w:lastRowFirstColumn="0" w:lastRowLastColumn="0"/>
            </w:pPr>
            <w:r w:rsidRPr="00B275E2">
              <w:t>km</w:t>
            </w:r>
          </w:p>
        </w:tc>
        <w:tc>
          <w:tcPr>
            <w:tcW w:w="1247" w:type="dxa"/>
            <w:shd w:val="clear" w:color="auto" w:fill="D2DDE1" w:themeFill="background2"/>
            <w:noWrap/>
          </w:tcPr>
          <w:p w14:paraId="65092438" w14:textId="628154EE"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0.245</w:t>
            </w:r>
          </w:p>
        </w:tc>
        <w:tc>
          <w:tcPr>
            <w:tcW w:w="1134" w:type="dxa"/>
            <w:shd w:val="clear" w:color="auto" w:fill="auto"/>
            <w:noWrap/>
          </w:tcPr>
          <w:p w14:paraId="65092439" w14:textId="16A42A19"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0.240</w:t>
            </w:r>
          </w:p>
        </w:tc>
        <w:tc>
          <w:tcPr>
            <w:tcW w:w="1134" w:type="dxa"/>
            <w:shd w:val="clear" w:color="auto" w:fill="auto"/>
            <w:noWrap/>
          </w:tcPr>
          <w:p w14:paraId="6509243A" w14:textId="32EFB4C9"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0.0003</w:t>
            </w:r>
          </w:p>
        </w:tc>
        <w:tc>
          <w:tcPr>
            <w:tcW w:w="1191" w:type="dxa"/>
            <w:tcBorders>
              <w:right w:val="single" w:sz="4" w:space="0" w:color="FFFFFF" w:themeColor="background1"/>
            </w:tcBorders>
            <w:shd w:val="clear" w:color="auto" w:fill="auto"/>
            <w:noWrap/>
          </w:tcPr>
          <w:p w14:paraId="6509243B" w14:textId="30F7433C"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0.004</w:t>
            </w:r>
          </w:p>
        </w:tc>
      </w:tr>
      <w:tr w:rsidR="001E087B" w:rsidRPr="00B275E2" w14:paraId="65092444" w14:textId="77777777" w:rsidTr="004D4540">
        <w:trPr>
          <w:trHeight w:val="300"/>
        </w:trPr>
        <w:tc>
          <w:tcPr>
            <w:cnfStyle w:val="001000000000" w:firstRow="0" w:lastRow="0" w:firstColumn="1" w:lastColumn="0" w:oddVBand="0" w:evenVBand="0" w:oddHBand="0" w:evenHBand="0" w:firstRowFirstColumn="0" w:firstRowLastColumn="0" w:lastRowFirstColumn="0" w:lastRowLastColumn="0"/>
            <w:tcW w:w="1531" w:type="dxa"/>
            <w:vMerge/>
            <w:tcBorders>
              <w:left w:val="single" w:sz="4" w:space="0" w:color="FFFFFF" w:themeColor="background1"/>
            </w:tcBorders>
          </w:tcPr>
          <w:p w14:paraId="6509243D" w14:textId="77777777" w:rsidR="00E078CD" w:rsidRPr="00B275E2" w:rsidRDefault="00E078CD" w:rsidP="001E087B">
            <w:pPr>
              <w:pStyle w:val="TableText"/>
              <w:spacing w:before="30" w:after="30"/>
              <w:rPr>
                <w:b w:val="0"/>
              </w:rPr>
            </w:pPr>
          </w:p>
        </w:tc>
        <w:tc>
          <w:tcPr>
            <w:tcW w:w="1543" w:type="dxa"/>
            <w:noWrap/>
            <w:vAlign w:val="bottom"/>
          </w:tcPr>
          <w:p w14:paraId="6509243E" w14:textId="77777777" w:rsidR="00E078CD" w:rsidRPr="00B275E2" w:rsidRDefault="00E078CD" w:rsidP="001E087B">
            <w:pPr>
              <w:pStyle w:val="TableText"/>
              <w:spacing w:before="30" w:after="30"/>
              <w:cnfStyle w:val="000000000000" w:firstRow="0" w:lastRow="0" w:firstColumn="0" w:lastColumn="0" w:oddVBand="0" w:evenVBand="0" w:oddHBand="0" w:evenHBand="0" w:firstRowFirstColumn="0" w:firstRowLastColumn="0" w:lastRowFirstColumn="0" w:lastRowLastColumn="0"/>
            </w:pPr>
            <w:r w:rsidRPr="00B275E2">
              <w:t>≥3000 cc</w:t>
            </w:r>
          </w:p>
        </w:tc>
        <w:tc>
          <w:tcPr>
            <w:tcW w:w="709" w:type="dxa"/>
            <w:noWrap/>
          </w:tcPr>
          <w:p w14:paraId="6509243F" w14:textId="77777777" w:rsidR="00E078CD" w:rsidRPr="00B275E2" w:rsidRDefault="00E078CD" w:rsidP="001E087B">
            <w:pPr>
              <w:pStyle w:val="TableText"/>
              <w:spacing w:before="30" w:after="30"/>
              <w:cnfStyle w:val="000000000000" w:firstRow="0" w:lastRow="0" w:firstColumn="0" w:lastColumn="0" w:oddVBand="0" w:evenVBand="0" w:oddHBand="0" w:evenHBand="0" w:firstRowFirstColumn="0" w:firstRowLastColumn="0" w:lastRowFirstColumn="0" w:lastRowLastColumn="0"/>
            </w:pPr>
            <w:r w:rsidRPr="00B275E2">
              <w:t>km</w:t>
            </w:r>
          </w:p>
        </w:tc>
        <w:tc>
          <w:tcPr>
            <w:tcW w:w="1247" w:type="dxa"/>
            <w:shd w:val="clear" w:color="auto" w:fill="D2DDE1" w:themeFill="background2"/>
            <w:noWrap/>
          </w:tcPr>
          <w:p w14:paraId="65092440" w14:textId="18DB21D3"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0.248</w:t>
            </w:r>
          </w:p>
        </w:tc>
        <w:tc>
          <w:tcPr>
            <w:tcW w:w="1134" w:type="dxa"/>
            <w:shd w:val="clear" w:color="auto" w:fill="auto"/>
            <w:noWrap/>
          </w:tcPr>
          <w:p w14:paraId="65092441" w14:textId="29AD6B01"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0.243</w:t>
            </w:r>
          </w:p>
        </w:tc>
        <w:tc>
          <w:tcPr>
            <w:tcW w:w="1134" w:type="dxa"/>
            <w:shd w:val="clear" w:color="auto" w:fill="auto"/>
            <w:noWrap/>
          </w:tcPr>
          <w:p w14:paraId="65092442" w14:textId="7CEEC68C"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0.0003</w:t>
            </w:r>
          </w:p>
        </w:tc>
        <w:tc>
          <w:tcPr>
            <w:tcW w:w="1191" w:type="dxa"/>
            <w:tcBorders>
              <w:right w:val="single" w:sz="4" w:space="0" w:color="FFFFFF" w:themeColor="background1"/>
            </w:tcBorders>
            <w:shd w:val="clear" w:color="auto" w:fill="auto"/>
            <w:noWrap/>
          </w:tcPr>
          <w:p w14:paraId="65092443" w14:textId="6F43EA1C"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0.004</w:t>
            </w:r>
          </w:p>
        </w:tc>
      </w:tr>
      <w:tr w:rsidR="001E087B" w:rsidRPr="00B275E2" w14:paraId="6509244C" w14:textId="77777777" w:rsidTr="004D45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1" w:type="dxa"/>
            <w:vMerge w:val="restart"/>
            <w:tcBorders>
              <w:left w:val="single" w:sz="4" w:space="0" w:color="FFFFFF" w:themeColor="background1"/>
            </w:tcBorders>
          </w:tcPr>
          <w:p w14:paraId="65092445" w14:textId="46E64B34" w:rsidR="00E078CD" w:rsidRPr="00B275E2" w:rsidRDefault="00E078CD" w:rsidP="001E087B">
            <w:pPr>
              <w:pStyle w:val="TableText"/>
              <w:spacing w:before="30" w:after="30"/>
              <w:rPr>
                <w:b w:val="0"/>
              </w:rPr>
            </w:pPr>
            <w:r w:rsidRPr="00B275E2">
              <w:rPr>
                <w:b w:val="0"/>
              </w:rPr>
              <w:t>Petrol plug-in hybrid electric vehicle (PHEV) – petrol consumption</w:t>
            </w:r>
          </w:p>
        </w:tc>
        <w:tc>
          <w:tcPr>
            <w:tcW w:w="1543" w:type="dxa"/>
            <w:noWrap/>
            <w:vAlign w:val="bottom"/>
          </w:tcPr>
          <w:p w14:paraId="65092446" w14:textId="0C5D9428" w:rsidR="00E078CD" w:rsidRPr="00B275E2" w:rsidRDefault="00E078CD" w:rsidP="001E087B">
            <w:pPr>
              <w:pStyle w:val="TableText"/>
              <w:spacing w:before="30" w:after="30"/>
              <w:cnfStyle w:val="000000100000" w:firstRow="0" w:lastRow="0" w:firstColumn="0" w:lastColumn="0" w:oddVBand="0" w:evenVBand="0" w:oddHBand="1" w:evenHBand="0" w:firstRowFirstColumn="0" w:firstRowLastColumn="0" w:lastRowFirstColumn="0" w:lastRowLastColumn="0"/>
            </w:pPr>
            <w:r w:rsidRPr="00B275E2">
              <w:t>&lt;1350 cc</w:t>
            </w:r>
          </w:p>
        </w:tc>
        <w:tc>
          <w:tcPr>
            <w:tcW w:w="709" w:type="dxa"/>
            <w:noWrap/>
          </w:tcPr>
          <w:p w14:paraId="65092447" w14:textId="77777777" w:rsidR="00E078CD" w:rsidRPr="00B275E2" w:rsidRDefault="00E078CD" w:rsidP="001E087B">
            <w:pPr>
              <w:pStyle w:val="TableText"/>
              <w:spacing w:before="30" w:after="30"/>
              <w:cnfStyle w:val="000000100000" w:firstRow="0" w:lastRow="0" w:firstColumn="0" w:lastColumn="0" w:oddVBand="0" w:evenVBand="0" w:oddHBand="1" w:evenHBand="0" w:firstRowFirstColumn="0" w:firstRowLastColumn="0" w:lastRowFirstColumn="0" w:lastRowLastColumn="0"/>
            </w:pPr>
            <w:r w:rsidRPr="00B275E2">
              <w:t>km</w:t>
            </w:r>
          </w:p>
        </w:tc>
        <w:tc>
          <w:tcPr>
            <w:tcW w:w="1247" w:type="dxa"/>
            <w:shd w:val="clear" w:color="auto" w:fill="D2DDE1" w:themeFill="background2"/>
            <w:noWrap/>
          </w:tcPr>
          <w:p w14:paraId="65092448" w14:textId="1B791AC0"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0.080</w:t>
            </w:r>
          </w:p>
        </w:tc>
        <w:tc>
          <w:tcPr>
            <w:tcW w:w="1134" w:type="dxa"/>
            <w:shd w:val="clear" w:color="auto" w:fill="auto"/>
            <w:noWrap/>
          </w:tcPr>
          <w:p w14:paraId="65092449" w14:textId="100404DB"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0.077</w:t>
            </w:r>
          </w:p>
        </w:tc>
        <w:tc>
          <w:tcPr>
            <w:tcW w:w="1134" w:type="dxa"/>
            <w:shd w:val="clear" w:color="auto" w:fill="auto"/>
            <w:noWrap/>
          </w:tcPr>
          <w:p w14:paraId="6509244A" w14:textId="053AF584"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0.001</w:t>
            </w:r>
          </w:p>
        </w:tc>
        <w:tc>
          <w:tcPr>
            <w:tcW w:w="1191" w:type="dxa"/>
            <w:tcBorders>
              <w:right w:val="single" w:sz="4" w:space="0" w:color="FFFFFF" w:themeColor="background1"/>
            </w:tcBorders>
            <w:shd w:val="clear" w:color="auto" w:fill="auto"/>
            <w:noWrap/>
          </w:tcPr>
          <w:p w14:paraId="6509244B" w14:textId="41E98605"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0.003</w:t>
            </w:r>
          </w:p>
        </w:tc>
      </w:tr>
      <w:tr w:rsidR="001E087B" w:rsidRPr="00B275E2" w14:paraId="65092454" w14:textId="77777777" w:rsidTr="004D4540">
        <w:trPr>
          <w:trHeight w:val="300"/>
        </w:trPr>
        <w:tc>
          <w:tcPr>
            <w:cnfStyle w:val="001000000000" w:firstRow="0" w:lastRow="0" w:firstColumn="1" w:lastColumn="0" w:oddVBand="0" w:evenVBand="0" w:oddHBand="0" w:evenHBand="0" w:firstRowFirstColumn="0" w:firstRowLastColumn="0" w:lastRowFirstColumn="0" w:lastRowLastColumn="0"/>
            <w:tcW w:w="1531" w:type="dxa"/>
            <w:vMerge/>
            <w:tcBorders>
              <w:left w:val="single" w:sz="4" w:space="0" w:color="FFFFFF" w:themeColor="background1"/>
            </w:tcBorders>
          </w:tcPr>
          <w:p w14:paraId="6509244D" w14:textId="77777777" w:rsidR="00E078CD" w:rsidRPr="00B275E2" w:rsidRDefault="00E078CD" w:rsidP="001E087B">
            <w:pPr>
              <w:pStyle w:val="TableText"/>
              <w:spacing w:before="30" w:after="30"/>
              <w:rPr>
                <w:b w:val="0"/>
              </w:rPr>
            </w:pPr>
          </w:p>
        </w:tc>
        <w:tc>
          <w:tcPr>
            <w:tcW w:w="1543" w:type="dxa"/>
            <w:noWrap/>
            <w:vAlign w:val="bottom"/>
          </w:tcPr>
          <w:p w14:paraId="6509244E" w14:textId="7F5145C0" w:rsidR="00E078CD" w:rsidRPr="00B275E2" w:rsidRDefault="00E078CD" w:rsidP="001E087B">
            <w:pPr>
              <w:pStyle w:val="TableText"/>
              <w:spacing w:before="30" w:after="30"/>
              <w:cnfStyle w:val="000000000000" w:firstRow="0" w:lastRow="0" w:firstColumn="0" w:lastColumn="0" w:oddVBand="0" w:evenVBand="0" w:oddHBand="0" w:evenHBand="0" w:firstRowFirstColumn="0" w:firstRowLastColumn="0" w:lastRowFirstColumn="0" w:lastRowLastColumn="0"/>
            </w:pPr>
            <w:r w:rsidRPr="00B275E2">
              <w:t>1350</w:t>
            </w:r>
            <w:r w:rsidRPr="00B275E2">
              <w:rPr>
                <w:rFonts w:cs="Calibri"/>
                <w:color w:val="000000"/>
                <w:szCs w:val="18"/>
              </w:rPr>
              <w:t xml:space="preserve"> -</w:t>
            </w:r>
            <w:r w:rsidRPr="00B275E2">
              <w:t xml:space="preserve"> &lt;1600 cc</w:t>
            </w:r>
          </w:p>
        </w:tc>
        <w:tc>
          <w:tcPr>
            <w:tcW w:w="709" w:type="dxa"/>
            <w:noWrap/>
          </w:tcPr>
          <w:p w14:paraId="6509244F" w14:textId="77777777" w:rsidR="00E078CD" w:rsidRPr="00B275E2" w:rsidRDefault="00E078CD" w:rsidP="001E087B">
            <w:pPr>
              <w:pStyle w:val="TableText"/>
              <w:spacing w:before="30" w:after="30"/>
              <w:cnfStyle w:val="000000000000" w:firstRow="0" w:lastRow="0" w:firstColumn="0" w:lastColumn="0" w:oddVBand="0" w:evenVBand="0" w:oddHBand="0" w:evenHBand="0" w:firstRowFirstColumn="0" w:firstRowLastColumn="0" w:lastRowFirstColumn="0" w:lastRowLastColumn="0"/>
            </w:pPr>
            <w:r w:rsidRPr="00B275E2">
              <w:t>km</w:t>
            </w:r>
          </w:p>
        </w:tc>
        <w:tc>
          <w:tcPr>
            <w:tcW w:w="1247" w:type="dxa"/>
            <w:shd w:val="clear" w:color="auto" w:fill="D2DDE1" w:themeFill="background2"/>
            <w:noWrap/>
          </w:tcPr>
          <w:p w14:paraId="65092450" w14:textId="36C74914"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0.086</w:t>
            </w:r>
          </w:p>
        </w:tc>
        <w:tc>
          <w:tcPr>
            <w:tcW w:w="1134" w:type="dxa"/>
            <w:shd w:val="clear" w:color="auto" w:fill="auto"/>
            <w:noWrap/>
          </w:tcPr>
          <w:p w14:paraId="65092451" w14:textId="164B6740"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0.083</w:t>
            </w:r>
          </w:p>
        </w:tc>
        <w:tc>
          <w:tcPr>
            <w:tcW w:w="1134" w:type="dxa"/>
            <w:shd w:val="clear" w:color="auto" w:fill="auto"/>
            <w:noWrap/>
          </w:tcPr>
          <w:p w14:paraId="65092452" w14:textId="65C4B3B3"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0.001</w:t>
            </w:r>
          </w:p>
        </w:tc>
        <w:tc>
          <w:tcPr>
            <w:tcW w:w="1191" w:type="dxa"/>
            <w:tcBorders>
              <w:right w:val="single" w:sz="4" w:space="0" w:color="FFFFFF" w:themeColor="background1"/>
            </w:tcBorders>
            <w:shd w:val="clear" w:color="auto" w:fill="auto"/>
            <w:noWrap/>
          </w:tcPr>
          <w:p w14:paraId="65092453" w14:textId="462ED5BC"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0.003</w:t>
            </w:r>
          </w:p>
        </w:tc>
      </w:tr>
      <w:tr w:rsidR="001E087B" w:rsidRPr="00B275E2" w14:paraId="6509245C" w14:textId="77777777" w:rsidTr="004D45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1" w:type="dxa"/>
            <w:vMerge/>
            <w:tcBorders>
              <w:left w:val="single" w:sz="4" w:space="0" w:color="FFFFFF" w:themeColor="background1"/>
            </w:tcBorders>
          </w:tcPr>
          <w:p w14:paraId="65092455" w14:textId="77777777" w:rsidR="00E078CD" w:rsidRPr="00B275E2" w:rsidRDefault="00E078CD" w:rsidP="001E087B">
            <w:pPr>
              <w:pStyle w:val="TableText"/>
              <w:spacing w:before="30" w:after="30"/>
              <w:rPr>
                <w:b w:val="0"/>
              </w:rPr>
            </w:pPr>
          </w:p>
        </w:tc>
        <w:tc>
          <w:tcPr>
            <w:tcW w:w="1543" w:type="dxa"/>
            <w:noWrap/>
            <w:vAlign w:val="bottom"/>
          </w:tcPr>
          <w:p w14:paraId="65092456" w14:textId="206B50C8" w:rsidR="00E078CD" w:rsidRPr="00B275E2" w:rsidRDefault="00E078CD" w:rsidP="001E087B">
            <w:pPr>
              <w:pStyle w:val="TableText"/>
              <w:spacing w:before="30" w:after="30"/>
              <w:cnfStyle w:val="000000100000" w:firstRow="0" w:lastRow="0" w:firstColumn="0" w:lastColumn="0" w:oddVBand="0" w:evenVBand="0" w:oddHBand="1" w:evenHBand="0" w:firstRowFirstColumn="0" w:firstRowLastColumn="0" w:lastRowFirstColumn="0" w:lastRowLastColumn="0"/>
            </w:pPr>
            <w:r w:rsidRPr="00B275E2">
              <w:t>1600</w:t>
            </w:r>
            <w:r w:rsidRPr="00B275E2">
              <w:rPr>
                <w:rFonts w:cs="Calibri"/>
                <w:color w:val="000000"/>
                <w:szCs w:val="18"/>
              </w:rPr>
              <w:t xml:space="preserve"> -</w:t>
            </w:r>
            <w:r w:rsidRPr="00B275E2">
              <w:t xml:space="preserve"> &lt;2000 cc</w:t>
            </w:r>
          </w:p>
        </w:tc>
        <w:tc>
          <w:tcPr>
            <w:tcW w:w="709" w:type="dxa"/>
            <w:noWrap/>
          </w:tcPr>
          <w:p w14:paraId="65092457" w14:textId="77777777" w:rsidR="00E078CD" w:rsidRPr="00B275E2" w:rsidRDefault="00E078CD" w:rsidP="001E087B">
            <w:pPr>
              <w:pStyle w:val="TableText"/>
              <w:spacing w:before="30" w:after="30"/>
              <w:cnfStyle w:val="000000100000" w:firstRow="0" w:lastRow="0" w:firstColumn="0" w:lastColumn="0" w:oddVBand="0" w:evenVBand="0" w:oddHBand="1" w:evenHBand="0" w:firstRowFirstColumn="0" w:firstRowLastColumn="0" w:lastRowFirstColumn="0" w:lastRowLastColumn="0"/>
            </w:pPr>
            <w:r w:rsidRPr="00B275E2">
              <w:t>km</w:t>
            </w:r>
          </w:p>
        </w:tc>
        <w:tc>
          <w:tcPr>
            <w:tcW w:w="1247" w:type="dxa"/>
            <w:shd w:val="clear" w:color="auto" w:fill="D2DDE1" w:themeFill="background2"/>
            <w:noWrap/>
          </w:tcPr>
          <w:p w14:paraId="65092458" w14:textId="0DCA62DE"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0.117</w:t>
            </w:r>
          </w:p>
        </w:tc>
        <w:tc>
          <w:tcPr>
            <w:tcW w:w="1134" w:type="dxa"/>
            <w:shd w:val="clear" w:color="auto" w:fill="auto"/>
            <w:noWrap/>
          </w:tcPr>
          <w:p w14:paraId="65092459" w14:textId="283FA2C3"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0.111</w:t>
            </w:r>
          </w:p>
        </w:tc>
        <w:tc>
          <w:tcPr>
            <w:tcW w:w="1134" w:type="dxa"/>
            <w:shd w:val="clear" w:color="auto" w:fill="auto"/>
            <w:noWrap/>
          </w:tcPr>
          <w:p w14:paraId="6509245A" w14:textId="2C53CA97"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0.001</w:t>
            </w:r>
          </w:p>
        </w:tc>
        <w:tc>
          <w:tcPr>
            <w:tcW w:w="1191" w:type="dxa"/>
            <w:tcBorders>
              <w:right w:val="single" w:sz="4" w:space="0" w:color="FFFFFF" w:themeColor="background1"/>
            </w:tcBorders>
            <w:shd w:val="clear" w:color="auto" w:fill="auto"/>
            <w:noWrap/>
          </w:tcPr>
          <w:p w14:paraId="6509245B" w14:textId="258FBBBA"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0.004</w:t>
            </w:r>
          </w:p>
        </w:tc>
      </w:tr>
      <w:tr w:rsidR="001E087B" w:rsidRPr="00B275E2" w14:paraId="65092464" w14:textId="77777777" w:rsidTr="004D4540">
        <w:trPr>
          <w:trHeight w:val="300"/>
        </w:trPr>
        <w:tc>
          <w:tcPr>
            <w:cnfStyle w:val="001000000000" w:firstRow="0" w:lastRow="0" w:firstColumn="1" w:lastColumn="0" w:oddVBand="0" w:evenVBand="0" w:oddHBand="0" w:evenHBand="0" w:firstRowFirstColumn="0" w:firstRowLastColumn="0" w:lastRowFirstColumn="0" w:lastRowLastColumn="0"/>
            <w:tcW w:w="1531" w:type="dxa"/>
            <w:vMerge/>
            <w:tcBorders>
              <w:left w:val="single" w:sz="4" w:space="0" w:color="FFFFFF" w:themeColor="background1"/>
            </w:tcBorders>
          </w:tcPr>
          <w:p w14:paraId="6509245D" w14:textId="77777777" w:rsidR="00E078CD" w:rsidRPr="00B275E2" w:rsidRDefault="00E078CD" w:rsidP="001E087B">
            <w:pPr>
              <w:pStyle w:val="TableText"/>
              <w:spacing w:before="30" w:after="30"/>
              <w:rPr>
                <w:b w:val="0"/>
              </w:rPr>
            </w:pPr>
          </w:p>
        </w:tc>
        <w:tc>
          <w:tcPr>
            <w:tcW w:w="1543" w:type="dxa"/>
            <w:noWrap/>
            <w:vAlign w:val="bottom"/>
          </w:tcPr>
          <w:p w14:paraId="6509245E" w14:textId="06F6998F" w:rsidR="00E078CD" w:rsidRPr="00B275E2" w:rsidRDefault="00E078CD" w:rsidP="001E087B">
            <w:pPr>
              <w:pStyle w:val="TableText"/>
              <w:spacing w:before="30" w:after="30"/>
              <w:cnfStyle w:val="000000000000" w:firstRow="0" w:lastRow="0" w:firstColumn="0" w:lastColumn="0" w:oddVBand="0" w:evenVBand="0" w:oddHBand="0" w:evenHBand="0" w:firstRowFirstColumn="0" w:firstRowLastColumn="0" w:lastRowFirstColumn="0" w:lastRowLastColumn="0"/>
            </w:pPr>
            <w:r w:rsidRPr="00B275E2">
              <w:t>2000</w:t>
            </w:r>
            <w:r w:rsidRPr="00B275E2">
              <w:rPr>
                <w:rFonts w:cs="Calibri"/>
                <w:color w:val="000000"/>
                <w:szCs w:val="18"/>
              </w:rPr>
              <w:t xml:space="preserve"> -</w:t>
            </w:r>
            <w:r w:rsidRPr="00B275E2">
              <w:t xml:space="preserve"> &lt;3000 cc</w:t>
            </w:r>
          </w:p>
        </w:tc>
        <w:tc>
          <w:tcPr>
            <w:tcW w:w="709" w:type="dxa"/>
            <w:noWrap/>
          </w:tcPr>
          <w:p w14:paraId="6509245F" w14:textId="77777777" w:rsidR="00E078CD" w:rsidRPr="00B275E2" w:rsidRDefault="00E078CD" w:rsidP="001E087B">
            <w:pPr>
              <w:pStyle w:val="TableText"/>
              <w:spacing w:before="30" w:after="30"/>
              <w:cnfStyle w:val="000000000000" w:firstRow="0" w:lastRow="0" w:firstColumn="0" w:lastColumn="0" w:oddVBand="0" w:evenVBand="0" w:oddHBand="0" w:evenHBand="0" w:firstRowFirstColumn="0" w:firstRowLastColumn="0" w:lastRowFirstColumn="0" w:lastRowLastColumn="0"/>
            </w:pPr>
            <w:r w:rsidRPr="00B275E2">
              <w:t>km</w:t>
            </w:r>
          </w:p>
        </w:tc>
        <w:tc>
          <w:tcPr>
            <w:tcW w:w="1247" w:type="dxa"/>
            <w:shd w:val="clear" w:color="auto" w:fill="D2DDE1" w:themeFill="background2"/>
            <w:noWrap/>
          </w:tcPr>
          <w:p w14:paraId="65092460" w14:textId="1621A33E"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0.123</w:t>
            </w:r>
          </w:p>
        </w:tc>
        <w:tc>
          <w:tcPr>
            <w:tcW w:w="1134" w:type="dxa"/>
            <w:shd w:val="clear" w:color="auto" w:fill="auto"/>
            <w:noWrap/>
          </w:tcPr>
          <w:p w14:paraId="65092461" w14:textId="23803EBE"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0.118</w:t>
            </w:r>
          </w:p>
        </w:tc>
        <w:tc>
          <w:tcPr>
            <w:tcW w:w="1134" w:type="dxa"/>
            <w:shd w:val="clear" w:color="auto" w:fill="auto"/>
            <w:noWrap/>
          </w:tcPr>
          <w:p w14:paraId="65092462" w14:textId="09F3C1DD"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0.001</w:t>
            </w:r>
          </w:p>
        </w:tc>
        <w:tc>
          <w:tcPr>
            <w:tcW w:w="1191" w:type="dxa"/>
            <w:tcBorders>
              <w:right w:val="single" w:sz="4" w:space="0" w:color="FFFFFF" w:themeColor="background1"/>
            </w:tcBorders>
            <w:shd w:val="clear" w:color="auto" w:fill="auto"/>
            <w:noWrap/>
          </w:tcPr>
          <w:p w14:paraId="65092463" w14:textId="6760EFA8"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0.004</w:t>
            </w:r>
          </w:p>
        </w:tc>
      </w:tr>
      <w:tr w:rsidR="001E087B" w:rsidRPr="00B275E2" w14:paraId="6509246C" w14:textId="77777777" w:rsidTr="004D45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1" w:type="dxa"/>
            <w:vMerge/>
            <w:tcBorders>
              <w:left w:val="single" w:sz="4" w:space="0" w:color="FFFFFF" w:themeColor="background1"/>
            </w:tcBorders>
          </w:tcPr>
          <w:p w14:paraId="65092465" w14:textId="77777777" w:rsidR="00E078CD" w:rsidRPr="00B275E2" w:rsidRDefault="00E078CD" w:rsidP="001E087B">
            <w:pPr>
              <w:pStyle w:val="TableText"/>
              <w:spacing w:before="30" w:after="30"/>
              <w:rPr>
                <w:b w:val="0"/>
              </w:rPr>
            </w:pPr>
          </w:p>
        </w:tc>
        <w:tc>
          <w:tcPr>
            <w:tcW w:w="1543" w:type="dxa"/>
            <w:noWrap/>
            <w:vAlign w:val="bottom"/>
          </w:tcPr>
          <w:p w14:paraId="65092466" w14:textId="63764CED" w:rsidR="00E078CD" w:rsidRPr="00B275E2" w:rsidRDefault="00E078CD" w:rsidP="001E087B">
            <w:pPr>
              <w:pStyle w:val="TableText"/>
              <w:spacing w:before="30" w:after="30"/>
              <w:cnfStyle w:val="000000100000" w:firstRow="0" w:lastRow="0" w:firstColumn="0" w:lastColumn="0" w:oddVBand="0" w:evenVBand="0" w:oddHBand="1" w:evenHBand="0" w:firstRowFirstColumn="0" w:firstRowLastColumn="0" w:lastRowFirstColumn="0" w:lastRowLastColumn="0"/>
            </w:pPr>
            <w:r w:rsidRPr="00B275E2">
              <w:t>≥3000 cc</w:t>
            </w:r>
          </w:p>
        </w:tc>
        <w:tc>
          <w:tcPr>
            <w:tcW w:w="709" w:type="dxa"/>
            <w:noWrap/>
          </w:tcPr>
          <w:p w14:paraId="65092467" w14:textId="77777777" w:rsidR="00E078CD" w:rsidRPr="00B275E2" w:rsidRDefault="00E078CD" w:rsidP="001E087B">
            <w:pPr>
              <w:pStyle w:val="TableText"/>
              <w:spacing w:before="30" w:after="30"/>
              <w:cnfStyle w:val="000000100000" w:firstRow="0" w:lastRow="0" w:firstColumn="0" w:lastColumn="0" w:oddVBand="0" w:evenVBand="0" w:oddHBand="1" w:evenHBand="0" w:firstRowFirstColumn="0" w:firstRowLastColumn="0" w:lastRowFirstColumn="0" w:lastRowLastColumn="0"/>
            </w:pPr>
            <w:r w:rsidRPr="00B275E2">
              <w:t>km</w:t>
            </w:r>
          </w:p>
        </w:tc>
        <w:tc>
          <w:tcPr>
            <w:tcW w:w="1247" w:type="dxa"/>
            <w:shd w:val="clear" w:color="auto" w:fill="D2DDE1" w:themeFill="background2"/>
            <w:noWrap/>
          </w:tcPr>
          <w:p w14:paraId="65092468" w14:textId="0CD6FEF7"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0.141</w:t>
            </w:r>
          </w:p>
        </w:tc>
        <w:tc>
          <w:tcPr>
            <w:tcW w:w="1134" w:type="dxa"/>
            <w:shd w:val="clear" w:color="auto" w:fill="auto"/>
            <w:noWrap/>
          </w:tcPr>
          <w:p w14:paraId="65092469" w14:textId="2EFFF1AB"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0.135</w:t>
            </w:r>
          </w:p>
        </w:tc>
        <w:tc>
          <w:tcPr>
            <w:tcW w:w="1134" w:type="dxa"/>
            <w:shd w:val="clear" w:color="auto" w:fill="auto"/>
            <w:noWrap/>
          </w:tcPr>
          <w:p w14:paraId="6509246A" w14:textId="2BE6FFD8"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0.002</w:t>
            </w:r>
          </w:p>
        </w:tc>
        <w:tc>
          <w:tcPr>
            <w:tcW w:w="1191" w:type="dxa"/>
            <w:tcBorders>
              <w:right w:val="single" w:sz="4" w:space="0" w:color="FFFFFF" w:themeColor="background1"/>
            </w:tcBorders>
            <w:shd w:val="clear" w:color="auto" w:fill="auto"/>
            <w:noWrap/>
          </w:tcPr>
          <w:p w14:paraId="6509246B" w14:textId="57F1C953"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0.005</w:t>
            </w:r>
          </w:p>
        </w:tc>
      </w:tr>
      <w:tr w:rsidR="001E087B" w:rsidRPr="00B275E2" w14:paraId="65092474" w14:textId="77777777" w:rsidTr="004D4540">
        <w:trPr>
          <w:trHeight w:val="300"/>
        </w:trPr>
        <w:tc>
          <w:tcPr>
            <w:cnfStyle w:val="001000000000" w:firstRow="0" w:lastRow="0" w:firstColumn="1" w:lastColumn="0" w:oddVBand="0" w:evenVBand="0" w:oddHBand="0" w:evenHBand="0" w:firstRowFirstColumn="0" w:firstRowLastColumn="0" w:lastRowFirstColumn="0" w:lastRowLastColumn="0"/>
            <w:tcW w:w="1531" w:type="dxa"/>
            <w:vMerge w:val="restart"/>
            <w:tcBorders>
              <w:left w:val="single" w:sz="4" w:space="0" w:color="FFFFFF" w:themeColor="background1"/>
            </w:tcBorders>
            <w:shd w:val="clear" w:color="auto" w:fill="auto"/>
          </w:tcPr>
          <w:p w14:paraId="6509246D" w14:textId="1E72E01E" w:rsidR="00E078CD" w:rsidRPr="00B275E2" w:rsidRDefault="00E078CD" w:rsidP="001E087B">
            <w:pPr>
              <w:pStyle w:val="TableText"/>
              <w:keepNext/>
              <w:spacing w:before="30" w:after="30"/>
              <w:rPr>
                <w:b w:val="0"/>
              </w:rPr>
            </w:pPr>
            <w:r w:rsidRPr="00B275E2">
              <w:rPr>
                <w:b w:val="0"/>
              </w:rPr>
              <w:t>Petrol plug-in hybrid electric vehicle (PHEV) – electricity consumption</w:t>
            </w:r>
          </w:p>
        </w:tc>
        <w:tc>
          <w:tcPr>
            <w:tcW w:w="1543" w:type="dxa"/>
            <w:shd w:val="clear" w:color="auto" w:fill="auto"/>
            <w:noWrap/>
            <w:vAlign w:val="bottom"/>
          </w:tcPr>
          <w:p w14:paraId="6509246E" w14:textId="28D78AF7" w:rsidR="00E078CD" w:rsidRPr="00B275E2" w:rsidRDefault="00E078CD" w:rsidP="001E087B">
            <w:pPr>
              <w:pStyle w:val="TableText"/>
              <w:spacing w:before="30" w:after="30"/>
              <w:cnfStyle w:val="000000000000" w:firstRow="0" w:lastRow="0" w:firstColumn="0" w:lastColumn="0" w:oddVBand="0" w:evenVBand="0" w:oddHBand="0" w:evenHBand="0" w:firstRowFirstColumn="0" w:firstRowLastColumn="0" w:lastRowFirstColumn="0" w:lastRowLastColumn="0"/>
            </w:pPr>
            <w:r w:rsidRPr="00B275E2">
              <w:t>&lt;1350 cc</w:t>
            </w:r>
          </w:p>
        </w:tc>
        <w:tc>
          <w:tcPr>
            <w:tcW w:w="709" w:type="dxa"/>
            <w:shd w:val="clear" w:color="auto" w:fill="auto"/>
            <w:noWrap/>
          </w:tcPr>
          <w:p w14:paraId="6509246F" w14:textId="77777777" w:rsidR="00E078CD" w:rsidRPr="00B275E2" w:rsidRDefault="00E078CD" w:rsidP="001E087B">
            <w:pPr>
              <w:pStyle w:val="TableText"/>
              <w:spacing w:before="30" w:after="30"/>
              <w:cnfStyle w:val="000000000000" w:firstRow="0" w:lastRow="0" w:firstColumn="0" w:lastColumn="0" w:oddVBand="0" w:evenVBand="0" w:oddHBand="0" w:evenHBand="0" w:firstRowFirstColumn="0" w:firstRowLastColumn="0" w:lastRowFirstColumn="0" w:lastRowLastColumn="0"/>
            </w:pPr>
            <w:r w:rsidRPr="00B275E2">
              <w:t>km</w:t>
            </w:r>
          </w:p>
        </w:tc>
        <w:tc>
          <w:tcPr>
            <w:tcW w:w="1247" w:type="dxa"/>
            <w:shd w:val="clear" w:color="auto" w:fill="D2DDE1" w:themeFill="background2"/>
            <w:noWrap/>
          </w:tcPr>
          <w:p w14:paraId="65092470" w14:textId="71C55668"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0.010</w:t>
            </w:r>
          </w:p>
        </w:tc>
        <w:tc>
          <w:tcPr>
            <w:tcW w:w="1134" w:type="dxa"/>
            <w:shd w:val="clear" w:color="auto" w:fill="auto"/>
            <w:noWrap/>
          </w:tcPr>
          <w:p w14:paraId="65092471" w14:textId="3A90CB25"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0.010</w:t>
            </w:r>
          </w:p>
        </w:tc>
        <w:tc>
          <w:tcPr>
            <w:tcW w:w="1134" w:type="dxa"/>
            <w:shd w:val="clear" w:color="auto" w:fill="auto"/>
            <w:noWrap/>
          </w:tcPr>
          <w:p w14:paraId="65092472" w14:textId="5FCE0B8D"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w:t>
            </w:r>
          </w:p>
        </w:tc>
        <w:tc>
          <w:tcPr>
            <w:tcW w:w="1191" w:type="dxa"/>
            <w:tcBorders>
              <w:right w:val="single" w:sz="4" w:space="0" w:color="FFFFFF" w:themeColor="background1"/>
            </w:tcBorders>
            <w:shd w:val="clear" w:color="auto" w:fill="auto"/>
            <w:noWrap/>
          </w:tcPr>
          <w:p w14:paraId="65092473" w14:textId="7E9E1A81"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0.00001</w:t>
            </w:r>
          </w:p>
        </w:tc>
      </w:tr>
      <w:tr w:rsidR="001E087B" w:rsidRPr="00B275E2" w14:paraId="6509247C" w14:textId="77777777" w:rsidTr="004D45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1" w:type="dxa"/>
            <w:vMerge/>
            <w:tcBorders>
              <w:left w:val="single" w:sz="4" w:space="0" w:color="FFFFFF" w:themeColor="background1"/>
            </w:tcBorders>
            <w:shd w:val="clear" w:color="auto" w:fill="auto"/>
          </w:tcPr>
          <w:p w14:paraId="65092475" w14:textId="77777777" w:rsidR="00E078CD" w:rsidRPr="00B275E2" w:rsidRDefault="00E078CD" w:rsidP="001E087B">
            <w:pPr>
              <w:pStyle w:val="TableText"/>
              <w:spacing w:before="30" w:after="30"/>
              <w:rPr>
                <w:b w:val="0"/>
              </w:rPr>
            </w:pPr>
          </w:p>
        </w:tc>
        <w:tc>
          <w:tcPr>
            <w:tcW w:w="1543" w:type="dxa"/>
            <w:noWrap/>
            <w:vAlign w:val="bottom"/>
          </w:tcPr>
          <w:p w14:paraId="65092476" w14:textId="59581734" w:rsidR="00E078CD" w:rsidRPr="00B275E2" w:rsidRDefault="00E078CD" w:rsidP="001E087B">
            <w:pPr>
              <w:pStyle w:val="TableText"/>
              <w:spacing w:before="30" w:after="30"/>
              <w:cnfStyle w:val="000000100000" w:firstRow="0" w:lastRow="0" w:firstColumn="0" w:lastColumn="0" w:oddVBand="0" w:evenVBand="0" w:oddHBand="1" w:evenHBand="0" w:firstRowFirstColumn="0" w:firstRowLastColumn="0" w:lastRowFirstColumn="0" w:lastRowLastColumn="0"/>
            </w:pPr>
            <w:r w:rsidRPr="00B275E2">
              <w:t>1350</w:t>
            </w:r>
            <w:r w:rsidRPr="00B275E2">
              <w:rPr>
                <w:rFonts w:cs="Calibri"/>
                <w:color w:val="000000"/>
                <w:szCs w:val="18"/>
              </w:rPr>
              <w:t xml:space="preserve"> -</w:t>
            </w:r>
            <w:r w:rsidRPr="00B275E2">
              <w:t xml:space="preserve"> &lt;1600 cc</w:t>
            </w:r>
          </w:p>
        </w:tc>
        <w:tc>
          <w:tcPr>
            <w:tcW w:w="709" w:type="dxa"/>
            <w:noWrap/>
          </w:tcPr>
          <w:p w14:paraId="65092477" w14:textId="77777777" w:rsidR="00E078CD" w:rsidRPr="00B275E2" w:rsidRDefault="00E078CD" w:rsidP="001E087B">
            <w:pPr>
              <w:pStyle w:val="TableText"/>
              <w:spacing w:before="30" w:after="30"/>
              <w:cnfStyle w:val="000000100000" w:firstRow="0" w:lastRow="0" w:firstColumn="0" w:lastColumn="0" w:oddVBand="0" w:evenVBand="0" w:oddHBand="1" w:evenHBand="0" w:firstRowFirstColumn="0" w:firstRowLastColumn="0" w:lastRowFirstColumn="0" w:lastRowLastColumn="0"/>
            </w:pPr>
            <w:r w:rsidRPr="00B275E2">
              <w:t>km</w:t>
            </w:r>
          </w:p>
        </w:tc>
        <w:tc>
          <w:tcPr>
            <w:tcW w:w="1247" w:type="dxa"/>
            <w:shd w:val="clear" w:color="auto" w:fill="D2DDE1" w:themeFill="background2"/>
            <w:noWrap/>
          </w:tcPr>
          <w:p w14:paraId="65092478" w14:textId="126BB17D"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0.011</w:t>
            </w:r>
          </w:p>
        </w:tc>
        <w:tc>
          <w:tcPr>
            <w:tcW w:w="1134" w:type="dxa"/>
            <w:shd w:val="clear" w:color="auto" w:fill="auto"/>
            <w:noWrap/>
          </w:tcPr>
          <w:p w14:paraId="65092479" w14:textId="4884CE2B"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0.011</w:t>
            </w:r>
          </w:p>
        </w:tc>
        <w:tc>
          <w:tcPr>
            <w:tcW w:w="1134" w:type="dxa"/>
            <w:shd w:val="clear" w:color="auto" w:fill="auto"/>
            <w:noWrap/>
          </w:tcPr>
          <w:p w14:paraId="6509247A" w14:textId="29E62595"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w:t>
            </w:r>
          </w:p>
        </w:tc>
        <w:tc>
          <w:tcPr>
            <w:tcW w:w="1191" w:type="dxa"/>
            <w:tcBorders>
              <w:right w:val="single" w:sz="4" w:space="0" w:color="FFFFFF" w:themeColor="background1"/>
            </w:tcBorders>
            <w:shd w:val="clear" w:color="auto" w:fill="auto"/>
            <w:noWrap/>
          </w:tcPr>
          <w:p w14:paraId="6509247B" w14:textId="7D3C966C"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0.00002</w:t>
            </w:r>
          </w:p>
        </w:tc>
      </w:tr>
      <w:tr w:rsidR="001E087B" w:rsidRPr="00B275E2" w14:paraId="65092484" w14:textId="77777777" w:rsidTr="004D4540">
        <w:trPr>
          <w:trHeight w:val="300"/>
        </w:trPr>
        <w:tc>
          <w:tcPr>
            <w:cnfStyle w:val="001000000000" w:firstRow="0" w:lastRow="0" w:firstColumn="1" w:lastColumn="0" w:oddVBand="0" w:evenVBand="0" w:oddHBand="0" w:evenHBand="0" w:firstRowFirstColumn="0" w:firstRowLastColumn="0" w:lastRowFirstColumn="0" w:lastRowLastColumn="0"/>
            <w:tcW w:w="1531" w:type="dxa"/>
            <w:vMerge/>
            <w:tcBorders>
              <w:left w:val="single" w:sz="4" w:space="0" w:color="FFFFFF" w:themeColor="background1"/>
            </w:tcBorders>
            <w:shd w:val="clear" w:color="auto" w:fill="auto"/>
          </w:tcPr>
          <w:p w14:paraId="6509247D" w14:textId="77777777" w:rsidR="00E078CD" w:rsidRPr="00B275E2" w:rsidRDefault="00E078CD" w:rsidP="001E087B">
            <w:pPr>
              <w:pStyle w:val="TableText"/>
              <w:spacing w:before="30" w:after="30"/>
              <w:rPr>
                <w:b w:val="0"/>
              </w:rPr>
            </w:pPr>
          </w:p>
        </w:tc>
        <w:tc>
          <w:tcPr>
            <w:tcW w:w="1543" w:type="dxa"/>
            <w:noWrap/>
            <w:vAlign w:val="bottom"/>
          </w:tcPr>
          <w:p w14:paraId="6509247E" w14:textId="193087DC" w:rsidR="00E078CD" w:rsidRPr="00B275E2" w:rsidRDefault="00E078CD" w:rsidP="001E087B">
            <w:pPr>
              <w:pStyle w:val="TableText"/>
              <w:spacing w:before="30" w:after="30"/>
              <w:cnfStyle w:val="000000000000" w:firstRow="0" w:lastRow="0" w:firstColumn="0" w:lastColumn="0" w:oddVBand="0" w:evenVBand="0" w:oddHBand="0" w:evenHBand="0" w:firstRowFirstColumn="0" w:firstRowLastColumn="0" w:lastRowFirstColumn="0" w:lastRowLastColumn="0"/>
            </w:pPr>
            <w:r w:rsidRPr="00B275E2">
              <w:t>1600</w:t>
            </w:r>
            <w:r w:rsidRPr="00B275E2">
              <w:rPr>
                <w:rFonts w:cs="Calibri"/>
                <w:color w:val="000000"/>
                <w:szCs w:val="18"/>
              </w:rPr>
              <w:t xml:space="preserve"> -</w:t>
            </w:r>
            <w:r w:rsidRPr="00B275E2">
              <w:t xml:space="preserve"> &lt;2000 cc</w:t>
            </w:r>
          </w:p>
        </w:tc>
        <w:tc>
          <w:tcPr>
            <w:tcW w:w="709" w:type="dxa"/>
            <w:noWrap/>
          </w:tcPr>
          <w:p w14:paraId="6509247F" w14:textId="77777777" w:rsidR="00E078CD" w:rsidRPr="00B275E2" w:rsidRDefault="00E078CD" w:rsidP="001E087B">
            <w:pPr>
              <w:pStyle w:val="TableText"/>
              <w:spacing w:before="30" w:after="30"/>
              <w:cnfStyle w:val="000000000000" w:firstRow="0" w:lastRow="0" w:firstColumn="0" w:lastColumn="0" w:oddVBand="0" w:evenVBand="0" w:oddHBand="0" w:evenHBand="0" w:firstRowFirstColumn="0" w:firstRowLastColumn="0" w:lastRowFirstColumn="0" w:lastRowLastColumn="0"/>
            </w:pPr>
            <w:r w:rsidRPr="00B275E2">
              <w:t>km</w:t>
            </w:r>
          </w:p>
        </w:tc>
        <w:tc>
          <w:tcPr>
            <w:tcW w:w="1247" w:type="dxa"/>
            <w:shd w:val="clear" w:color="auto" w:fill="D2DDE1" w:themeFill="background2"/>
            <w:noWrap/>
          </w:tcPr>
          <w:p w14:paraId="65092480" w14:textId="1863B083"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0.012</w:t>
            </w:r>
          </w:p>
        </w:tc>
        <w:tc>
          <w:tcPr>
            <w:tcW w:w="1134" w:type="dxa"/>
            <w:shd w:val="clear" w:color="auto" w:fill="auto"/>
            <w:noWrap/>
          </w:tcPr>
          <w:p w14:paraId="65092481" w14:textId="43774E0F"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0.012</w:t>
            </w:r>
          </w:p>
        </w:tc>
        <w:tc>
          <w:tcPr>
            <w:tcW w:w="1134" w:type="dxa"/>
            <w:shd w:val="clear" w:color="auto" w:fill="auto"/>
            <w:noWrap/>
          </w:tcPr>
          <w:p w14:paraId="65092482" w14:textId="52FA5F54"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w:t>
            </w:r>
          </w:p>
        </w:tc>
        <w:tc>
          <w:tcPr>
            <w:tcW w:w="1191" w:type="dxa"/>
            <w:tcBorders>
              <w:right w:val="single" w:sz="4" w:space="0" w:color="FFFFFF" w:themeColor="background1"/>
            </w:tcBorders>
            <w:shd w:val="clear" w:color="auto" w:fill="auto"/>
            <w:noWrap/>
          </w:tcPr>
          <w:p w14:paraId="65092483" w14:textId="6A27F719"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0.00002</w:t>
            </w:r>
          </w:p>
        </w:tc>
      </w:tr>
      <w:tr w:rsidR="001E087B" w:rsidRPr="00B275E2" w14:paraId="6509248C" w14:textId="77777777" w:rsidTr="004D45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1" w:type="dxa"/>
            <w:vMerge/>
            <w:tcBorders>
              <w:left w:val="single" w:sz="4" w:space="0" w:color="FFFFFF" w:themeColor="background1"/>
            </w:tcBorders>
            <w:shd w:val="clear" w:color="auto" w:fill="auto"/>
          </w:tcPr>
          <w:p w14:paraId="65092485" w14:textId="77777777" w:rsidR="00E078CD" w:rsidRPr="00B275E2" w:rsidRDefault="00E078CD" w:rsidP="001E087B">
            <w:pPr>
              <w:pStyle w:val="TableText"/>
              <w:spacing w:before="30" w:after="30"/>
              <w:rPr>
                <w:b w:val="0"/>
              </w:rPr>
            </w:pPr>
          </w:p>
        </w:tc>
        <w:tc>
          <w:tcPr>
            <w:tcW w:w="1543" w:type="dxa"/>
            <w:noWrap/>
            <w:vAlign w:val="bottom"/>
          </w:tcPr>
          <w:p w14:paraId="65092486" w14:textId="0B1F1A8C" w:rsidR="00E078CD" w:rsidRPr="00B275E2" w:rsidRDefault="00E078CD" w:rsidP="001E087B">
            <w:pPr>
              <w:pStyle w:val="TableText"/>
              <w:spacing w:before="30" w:after="30"/>
              <w:cnfStyle w:val="000000100000" w:firstRow="0" w:lastRow="0" w:firstColumn="0" w:lastColumn="0" w:oddVBand="0" w:evenVBand="0" w:oddHBand="1" w:evenHBand="0" w:firstRowFirstColumn="0" w:firstRowLastColumn="0" w:lastRowFirstColumn="0" w:lastRowLastColumn="0"/>
            </w:pPr>
            <w:r w:rsidRPr="00B275E2">
              <w:t>2000</w:t>
            </w:r>
            <w:r w:rsidRPr="00B275E2">
              <w:rPr>
                <w:rFonts w:cs="Calibri"/>
                <w:color w:val="000000"/>
                <w:szCs w:val="18"/>
              </w:rPr>
              <w:t xml:space="preserve"> -</w:t>
            </w:r>
            <w:r w:rsidRPr="00B275E2">
              <w:t xml:space="preserve"> &lt;3000 cc</w:t>
            </w:r>
          </w:p>
        </w:tc>
        <w:tc>
          <w:tcPr>
            <w:tcW w:w="709" w:type="dxa"/>
            <w:noWrap/>
          </w:tcPr>
          <w:p w14:paraId="65092487" w14:textId="77777777" w:rsidR="00E078CD" w:rsidRPr="00B275E2" w:rsidRDefault="00E078CD" w:rsidP="001E087B">
            <w:pPr>
              <w:pStyle w:val="TableText"/>
              <w:spacing w:before="30" w:after="30"/>
              <w:cnfStyle w:val="000000100000" w:firstRow="0" w:lastRow="0" w:firstColumn="0" w:lastColumn="0" w:oddVBand="0" w:evenVBand="0" w:oddHBand="1" w:evenHBand="0" w:firstRowFirstColumn="0" w:firstRowLastColumn="0" w:lastRowFirstColumn="0" w:lastRowLastColumn="0"/>
            </w:pPr>
            <w:r w:rsidRPr="00B275E2">
              <w:t>km</w:t>
            </w:r>
          </w:p>
        </w:tc>
        <w:tc>
          <w:tcPr>
            <w:tcW w:w="1247" w:type="dxa"/>
            <w:shd w:val="clear" w:color="auto" w:fill="D2DDE1" w:themeFill="background2"/>
            <w:noWrap/>
          </w:tcPr>
          <w:p w14:paraId="65092488" w14:textId="1A3F7544"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0.015</w:t>
            </w:r>
          </w:p>
        </w:tc>
        <w:tc>
          <w:tcPr>
            <w:tcW w:w="1134" w:type="dxa"/>
            <w:shd w:val="clear" w:color="auto" w:fill="auto"/>
            <w:noWrap/>
          </w:tcPr>
          <w:p w14:paraId="65092489" w14:textId="0F827CDC"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0.015</w:t>
            </w:r>
          </w:p>
        </w:tc>
        <w:tc>
          <w:tcPr>
            <w:tcW w:w="1134" w:type="dxa"/>
            <w:shd w:val="clear" w:color="auto" w:fill="auto"/>
            <w:noWrap/>
          </w:tcPr>
          <w:p w14:paraId="6509248A" w14:textId="1BFCBE85"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0.001</w:t>
            </w:r>
          </w:p>
        </w:tc>
        <w:tc>
          <w:tcPr>
            <w:tcW w:w="1191" w:type="dxa"/>
            <w:tcBorders>
              <w:right w:val="single" w:sz="4" w:space="0" w:color="FFFFFF" w:themeColor="background1"/>
            </w:tcBorders>
            <w:shd w:val="clear" w:color="auto" w:fill="auto"/>
            <w:noWrap/>
          </w:tcPr>
          <w:p w14:paraId="6509248B" w14:textId="4A25A971"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0.00002</w:t>
            </w:r>
          </w:p>
        </w:tc>
      </w:tr>
      <w:tr w:rsidR="001E087B" w:rsidRPr="00B275E2" w14:paraId="65092494" w14:textId="77777777" w:rsidTr="004D4540">
        <w:trPr>
          <w:trHeight w:val="300"/>
        </w:trPr>
        <w:tc>
          <w:tcPr>
            <w:cnfStyle w:val="001000000000" w:firstRow="0" w:lastRow="0" w:firstColumn="1" w:lastColumn="0" w:oddVBand="0" w:evenVBand="0" w:oddHBand="0" w:evenHBand="0" w:firstRowFirstColumn="0" w:firstRowLastColumn="0" w:lastRowFirstColumn="0" w:lastRowLastColumn="0"/>
            <w:tcW w:w="1531" w:type="dxa"/>
            <w:vMerge/>
            <w:tcBorders>
              <w:left w:val="single" w:sz="4" w:space="0" w:color="FFFFFF" w:themeColor="background1"/>
            </w:tcBorders>
            <w:shd w:val="clear" w:color="auto" w:fill="auto"/>
          </w:tcPr>
          <w:p w14:paraId="6509248D" w14:textId="77777777" w:rsidR="00E078CD" w:rsidRPr="00B275E2" w:rsidRDefault="00E078CD" w:rsidP="001E087B">
            <w:pPr>
              <w:pStyle w:val="TableText"/>
              <w:spacing w:before="30" w:after="30"/>
              <w:rPr>
                <w:b w:val="0"/>
              </w:rPr>
            </w:pPr>
          </w:p>
        </w:tc>
        <w:tc>
          <w:tcPr>
            <w:tcW w:w="1543" w:type="dxa"/>
            <w:noWrap/>
            <w:vAlign w:val="bottom"/>
          </w:tcPr>
          <w:p w14:paraId="6509248E" w14:textId="60C26A35" w:rsidR="00E078CD" w:rsidRPr="00B275E2" w:rsidRDefault="00E078CD" w:rsidP="001E087B">
            <w:pPr>
              <w:pStyle w:val="TableText"/>
              <w:spacing w:before="30" w:after="30"/>
              <w:cnfStyle w:val="000000000000" w:firstRow="0" w:lastRow="0" w:firstColumn="0" w:lastColumn="0" w:oddVBand="0" w:evenVBand="0" w:oddHBand="0" w:evenHBand="0" w:firstRowFirstColumn="0" w:firstRowLastColumn="0" w:lastRowFirstColumn="0" w:lastRowLastColumn="0"/>
            </w:pPr>
            <w:r w:rsidRPr="00B275E2">
              <w:t>≥3000 cc</w:t>
            </w:r>
          </w:p>
        </w:tc>
        <w:tc>
          <w:tcPr>
            <w:tcW w:w="709" w:type="dxa"/>
            <w:noWrap/>
          </w:tcPr>
          <w:p w14:paraId="6509248F" w14:textId="77777777" w:rsidR="00E078CD" w:rsidRPr="00B275E2" w:rsidRDefault="00E078CD" w:rsidP="001E087B">
            <w:pPr>
              <w:pStyle w:val="TableText"/>
              <w:spacing w:before="30" w:after="30"/>
              <w:cnfStyle w:val="000000000000" w:firstRow="0" w:lastRow="0" w:firstColumn="0" w:lastColumn="0" w:oddVBand="0" w:evenVBand="0" w:oddHBand="0" w:evenHBand="0" w:firstRowFirstColumn="0" w:firstRowLastColumn="0" w:lastRowFirstColumn="0" w:lastRowLastColumn="0"/>
            </w:pPr>
            <w:r w:rsidRPr="00B275E2">
              <w:t>km</w:t>
            </w:r>
          </w:p>
        </w:tc>
        <w:tc>
          <w:tcPr>
            <w:tcW w:w="1247" w:type="dxa"/>
            <w:shd w:val="clear" w:color="auto" w:fill="D2DDE1" w:themeFill="background2"/>
            <w:noWrap/>
          </w:tcPr>
          <w:p w14:paraId="65092490" w14:textId="21E22593"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0.018</w:t>
            </w:r>
          </w:p>
        </w:tc>
        <w:tc>
          <w:tcPr>
            <w:tcW w:w="1134" w:type="dxa"/>
            <w:shd w:val="clear" w:color="auto" w:fill="auto"/>
            <w:noWrap/>
          </w:tcPr>
          <w:p w14:paraId="65092491" w14:textId="7BC843DA"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0.017</w:t>
            </w:r>
          </w:p>
        </w:tc>
        <w:tc>
          <w:tcPr>
            <w:tcW w:w="1134" w:type="dxa"/>
            <w:shd w:val="clear" w:color="auto" w:fill="auto"/>
            <w:noWrap/>
          </w:tcPr>
          <w:p w14:paraId="65092492" w14:textId="4CDFFF07"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0.001</w:t>
            </w:r>
          </w:p>
        </w:tc>
        <w:tc>
          <w:tcPr>
            <w:tcW w:w="1191" w:type="dxa"/>
            <w:tcBorders>
              <w:right w:val="single" w:sz="4" w:space="0" w:color="FFFFFF" w:themeColor="background1"/>
            </w:tcBorders>
            <w:shd w:val="clear" w:color="auto" w:fill="auto"/>
            <w:noWrap/>
          </w:tcPr>
          <w:p w14:paraId="65092493" w14:textId="48477AB2"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0.00002</w:t>
            </w:r>
          </w:p>
        </w:tc>
      </w:tr>
      <w:tr w:rsidR="001E087B" w:rsidRPr="00B275E2" w14:paraId="6509249C" w14:textId="77777777" w:rsidTr="004D4540">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531" w:type="dxa"/>
            <w:vMerge w:val="restart"/>
            <w:tcBorders>
              <w:left w:val="single" w:sz="4" w:space="0" w:color="FFFFFF" w:themeColor="background1"/>
            </w:tcBorders>
          </w:tcPr>
          <w:p w14:paraId="65092495" w14:textId="5844A5D5" w:rsidR="00E078CD" w:rsidRPr="00B275E2" w:rsidRDefault="00E078CD" w:rsidP="001E087B">
            <w:pPr>
              <w:pStyle w:val="TableText"/>
              <w:spacing w:before="30" w:after="30"/>
              <w:rPr>
                <w:b w:val="0"/>
              </w:rPr>
            </w:pPr>
            <w:r w:rsidRPr="00B275E2">
              <w:rPr>
                <w:b w:val="0"/>
              </w:rPr>
              <w:t>Diesel plug-in hybrid electric vehicle (PHEV) – diesel consumption</w:t>
            </w:r>
          </w:p>
        </w:tc>
        <w:tc>
          <w:tcPr>
            <w:tcW w:w="1543" w:type="dxa"/>
            <w:noWrap/>
            <w:vAlign w:val="bottom"/>
          </w:tcPr>
          <w:p w14:paraId="65092496" w14:textId="6EB8E841" w:rsidR="00E078CD" w:rsidRPr="00B275E2" w:rsidRDefault="00E078CD" w:rsidP="001E087B">
            <w:pPr>
              <w:pStyle w:val="TableText"/>
              <w:spacing w:before="30" w:after="30"/>
              <w:cnfStyle w:val="000000100000" w:firstRow="0" w:lastRow="0" w:firstColumn="0" w:lastColumn="0" w:oddVBand="0" w:evenVBand="0" w:oddHBand="1" w:evenHBand="0" w:firstRowFirstColumn="0" w:firstRowLastColumn="0" w:lastRowFirstColumn="0" w:lastRowLastColumn="0"/>
            </w:pPr>
            <w:r w:rsidRPr="00B275E2">
              <w:t>&lt;1350 cc</w:t>
            </w:r>
          </w:p>
        </w:tc>
        <w:tc>
          <w:tcPr>
            <w:tcW w:w="709" w:type="dxa"/>
            <w:noWrap/>
          </w:tcPr>
          <w:p w14:paraId="65092497" w14:textId="77777777" w:rsidR="00E078CD" w:rsidRPr="00B275E2" w:rsidRDefault="00E078CD" w:rsidP="001E087B">
            <w:pPr>
              <w:pStyle w:val="TableText"/>
              <w:spacing w:before="30" w:after="30"/>
              <w:cnfStyle w:val="000000100000" w:firstRow="0" w:lastRow="0" w:firstColumn="0" w:lastColumn="0" w:oddVBand="0" w:evenVBand="0" w:oddHBand="1" w:evenHBand="0" w:firstRowFirstColumn="0" w:firstRowLastColumn="0" w:lastRowFirstColumn="0" w:lastRowLastColumn="0"/>
            </w:pPr>
            <w:r w:rsidRPr="00B275E2">
              <w:t>km</w:t>
            </w:r>
          </w:p>
        </w:tc>
        <w:tc>
          <w:tcPr>
            <w:tcW w:w="1247" w:type="dxa"/>
            <w:shd w:val="clear" w:color="auto" w:fill="D2DDE1" w:themeFill="background2"/>
            <w:noWrap/>
          </w:tcPr>
          <w:p w14:paraId="65092498" w14:textId="793ADF9E"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0.093</w:t>
            </w:r>
          </w:p>
        </w:tc>
        <w:tc>
          <w:tcPr>
            <w:tcW w:w="1134" w:type="dxa"/>
            <w:shd w:val="clear" w:color="auto" w:fill="auto"/>
            <w:noWrap/>
          </w:tcPr>
          <w:p w14:paraId="65092499" w14:textId="62A1B23F"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0.092</w:t>
            </w:r>
          </w:p>
        </w:tc>
        <w:tc>
          <w:tcPr>
            <w:tcW w:w="1134" w:type="dxa"/>
            <w:shd w:val="clear" w:color="auto" w:fill="auto"/>
            <w:noWrap/>
          </w:tcPr>
          <w:p w14:paraId="6509249A" w14:textId="704012D8"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0.0001</w:t>
            </w:r>
          </w:p>
        </w:tc>
        <w:tc>
          <w:tcPr>
            <w:tcW w:w="1191" w:type="dxa"/>
            <w:tcBorders>
              <w:right w:val="single" w:sz="4" w:space="0" w:color="FFFFFF" w:themeColor="background1"/>
            </w:tcBorders>
            <w:shd w:val="clear" w:color="auto" w:fill="auto"/>
            <w:noWrap/>
          </w:tcPr>
          <w:p w14:paraId="6509249B" w14:textId="651FE140"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0.0015</w:t>
            </w:r>
          </w:p>
        </w:tc>
      </w:tr>
      <w:tr w:rsidR="001E087B" w:rsidRPr="00B275E2" w14:paraId="650924A4" w14:textId="77777777" w:rsidTr="004D4540">
        <w:trPr>
          <w:trHeight w:val="345"/>
        </w:trPr>
        <w:tc>
          <w:tcPr>
            <w:cnfStyle w:val="001000000000" w:firstRow="0" w:lastRow="0" w:firstColumn="1" w:lastColumn="0" w:oddVBand="0" w:evenVBand="0" w:oddHBand="0" w:evenHBand="0" w:firstRowFirstColumn="0" w:firstRowLastColumn="0" w:lastRowFirstColumn="0" w:lastRowLastColumn="0"/>
            <w:tcW w:w="1531" w:type="dxa"/>
            <w:vMerge/>
            <w:tcBorders>
              <w:left w:val="single" w:sz="4" w:space="0" w:color="FFFFFF" w:themeColor="background1"/>
            </w:tcBorders>
          </w:tcPr>
          <w:p w14:paraId="6509249D" w14:textId="77777777" w:rsidR="00E078CD" w:rsidRPr="00B275E2" w:rsidRDefault="00E078CD" w:rsidP="001E087B">
            <w:pPr>
              <w:pStyle w:val="TableText"/>
              <w:spacing w:before="30" w:after="30"/>
              <w:rPr>
                <w:b w:val="0"/>
              </w:rPr>
            </w:pPr>
          </w:p>
        </w:tc>
        <w:tc>
          <w:tcPr>
            <w:tcW w:w="1543" w:type="dxa"/>
            <w:noWrap/>
            <w:vAlign w:val="bottom"/>
          </w:tcPr>
          <w:p w14:paraId="6509249E" w14:textId="07855C57" w:rsidR="00E078CD" w:rsidRPr="00B275E2" w:rsidRDefault="00E078CD" w:rsidP="001E087B">
            <w:pPr>
              <w:pStyle w:val="TableText"/>
              <w:spacing w:before="30" w:after="30"/>
              <w:cnfStyle w:val="000000000000" w:firstRow="0" w:lastRow="0" w:firstColumn="0" w:lastColumn="0" w:oddVBand="0" w:evenVBand="0" w:oddHBand="0" w:evenHBand="0" w:firstRowFirstColumn="0" w:firstRowLastColumn="0" w:lastRowFirstColumn="0" w:lastRowLastColumn="0"/>
            </w:pPr>
            <w:r w:rsidRPr="00B275E2">
              <w:t>1350</w:t>
            </w:r>
            <w:r w:rsidRPr="00B275E2">
              <w:rPr>
                <w:rFonts w:cs="Calibri"/>
                <w:color w:val="000000"/>
                <w:szCs w:val="18"/>
              </w:rPr>
              <w:t xml:space="preserve"> -</w:t>
            </w:r>
            <w:r w:rsidRPr="00B275E2">
              <w:t xml:space="preserve"> &lt;1600 cc</w:t>
            </w:r>
          </w:p>
        </w:tc>
        <w:tc>
          <w:tcPr>
            <w:tcW w:w="709" w:type="dxa"/>
            <w:noWrap/>
          </w:tcPr>
          <w:p w14:paraId="6509249F" w14:textId="77777777" w:rsidR="00E078CD" w:rsidRPr="00B275E2" w:rsidRDefault="00E078CD" w:rsidP="001E087B">
            <w:pPr>
              <w:pStyle w:val="TableText"/>
              <w:spacing w:before="30" w:after="30"/>
              <w:cnfStyle w:val="000000000000" w:firstRow="0" w:lastRow="0" w:firstColumn="0" w:lastColumn="0" w:oddVBand="0" w:evenVBand="0" w:oddHBand="0" w:evenHBand="0" w:firstRowFirstColumn="0" w:firstRowLastColumn="0" w:lastRowFirstColumn="0" w:lastRowLastColumn="0"/>
            </w:pPr>
            <w:r w:rsidRPr="00B275E2">
              <w:t>km</w:t>
            </w:r>
          </w:p>
        </w:tc>
        <w:tc>
          <w:tcPr>
            <w:tcW w:w="1247" w:type="dxa"/>
            <w:shd w:val="clear" w:color="auto" w:fill="D2DDE1" w:themeFill="background2"/>
            <w:noWrap/>
          </w:tcPr>
          <w:p w14:paraId="650924A0" w14:textId="13114CF6"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0.090</w:t>
            </w:r>
          </w:p>
        </w:tc>
        <w:tc>
          <w:tcPr>
            <w:tcW w:w="1134" w:type="dxa"/>
            <w:shd w:val="clear" w:color="auto" w:fill="auto"/>
            <w:noWrap/>
          </w:tcPr>
          <w:p w14:paraId="650924A1" w14:textId="19C244BF"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0.088</w:t>
            </w:r>
          </w:p>
        </w:tc>
        <w:tc>
          <w:tcPr>
            <w:tcW w:w="1134" w:type="dxa"/>
            <w:shd w:val="clear" w:color="auto" w:fill="auto"/>
            <w:noWrap/>
          </w:tcPr>
          <w:p w14:paraId="650924A2" w14:textId="4CD422E3"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0.0001</w:t>
            </w:r>
          </w:p>
        </w:tc>
        <w:tc>
          <w:tcPr>
            <w:tcW w:w="1191" w:type="dxa"/>
            <w:tcBorders>
              <w:right w:val="single" w:sz="4" w:space="0" w:color="FFFFFF" w:themeColor="background1"/>
            </w:tcBorders>
            <w:shd w:val="clear" w:color="auto" w:fill="auto"/>
            <w:noWrap/>
          </w:tcPr>
          <w:p w14:paraId="650924A3" w14:textId="014B2D98"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0.0014</w:t>
            </w:r>
          </w:p>
        </w:tc>
      </w:tr>
      <w:tr w:rsidR="001E087B" w:rsidRPr="00B275E2" w14:paraId="650924AC" w14:textId="77777777" w:rsidTr="004D45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1" w:type="dxa"/>
            <w:vMerge/>
            <w:tcBorders>
              <w:left w:val="single" w:sz="4" w:space="0" w:color="FFFFFF" w:themeColor="background1"/>
            </w:tcBorders>
            <w:hideMark/>
          </w:tcPr>
          <w:p w14:paraId="650924A5" w14:textId="77777777" w:rsidR="00E078CD" w:rsidRPr="00B275E2" w:rsidRDefault="00E078CD" w:rsidP="001E087B">
            <w:pPr>
              <w:pStyle w:val="TableText"/>
              <w:spacing w:before="30" w:after="30"/>
              <w:rPr>
                <w:b w:val="0"/>
              </w:rPr>
            </w:pPr>
          </w:p>
        </w:tc>
        <w:tc>
          <w:tcPr>
            <w:tcW w:w="1543" w:type="dxa"/>
            <w:noWrap/>
            <w:vAlign w:val="bottom"/>
          </w:tcPr>
          <w:p w14:paraId="650924A6" w14:textId="43ECEEA3" w:rsidR="00E078CD" w:rsidRPr="00B275E2" w:rsidRDefault="00E078CD" w:rsidP="001E087B">
            <w:pPr>
              <w:pStyle w:val="TableText"/>
              <w:spacing w:before="30" w:after="30"/>
              <w:cnfStyle w:val="000000100000" w:firstRow="0" w:lastRow="0" w:firstColumn="0" w:lastColumn="0" w:oddVBand="0" w:evenVBand="0" w:oddHBand="1" w:evenHBand="0" w:firstRowFirstColumn="0" w:firstRowLastColumn="0" w:lastRowFirstColumn="0" w:lastRowLastColumn="0"/>
            </w:pPr>
            <w:r w:rsidRPr="00B275E2">
              <w:t>1600</w:t>
            </w:r>
            <w:r w:rsidRPr="00B275E2">
              <w:rPr>
                <w:rFonts w:cs="Calibri"/>
                <w:color w:val="000000"/>
                <w:szCs w:val="18"/>
              </w:rPr>
              <w:t xml:space="preserve"> -</w:t>
            </w:r>
            <w:r w:rsidRPr="00B275E2">
              <w:t xml:space="preserve"> &lt;2000 cc</w:t>
            </w:r>
          </w:p>
        </w:tc>
        <w:tc>
          <w:tcPr>
            <w:tcW w:w="709" w:type="dxa"/>
            <w:noWrap/>
          </w:tcPr>
          <w:p w14:paraId="650924A7" w14:textId="77777777" w:rsidR="00E078CD" w:rsidRPr="00B275E2" w:rsidRDefault="00E078CD" w:rsidP="001E087B">
            <w:pPr>
              <w:pStyle w:val="TableText"/>
              <w:spacing w:before="30" w:after="30"/>
              <w:cnfStyle w:val="000000100000" w:firstRow="0" w:lastRow="0" w:firstColumn="0" w:lastColumn="0" w:oddVBand="0" w:evenVBand="0" w:oddHBand="1" w:evenHBand="0" w:firstRowFirstColumn="0" w:firstRowLastColumn="0" w:lastRowFirstColumn="0" w:lastRowLastColumn="0"/>
            </w:pPr>
            <w:r w:rsidRPr="00B275E2">
              <w:t>km</w:t>
            </w:r>
          </w:p>
        </w:tc>
        <w:tc>
          <w:tcPr>
            <w:tcW w:w="1247" w:type="dxa"/>
            <w:shd w:val="clear" w:color="auto" w:fill="D2DDE1" w:themeFill="background2"/>
            <w:noWrap/>
          </w:tcPr>
          <w:p w14:paraId="650924A8" w14:textId="3C20CC80"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0.119</w:t>
            </w:r>
          </w:p>
        </w:tc>
        <w:tc>
          <w:tcPr>
            <w:tcW w:w="1134" w:type="dxa"/>
            <w:shd w:val="clear" w:color="auto" w:fill="auto"/>
            <w:noWrap/>
          </w:tcPr>
          <w:p w14:paraId="650924A9" w14:textId="515231C0"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0.117</w:t>
            </w:r>
          </w:p>
        </w:tc>
        <w:tc>
          <w:tcPr>
            <w:tcW w:w="1134" w:type="dxa"/>
            <w:shd w:val="clear" w:color="auto" w:fill="auto"/>
            <w:noWrap/>
          </w:tcPr>
          <w:p w14:paraId="650924AA" w14:textId="594B8397"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0.0002</w:t>
            </w:r>
          </w:p>
        </w:tc>
        <w:tc>
          <w:tcPr>
            <w:tcW w:w="1191" w:type="dxa"/>
            <w:tcBorders>
              <w:right w:val="single" w:sz="4" w:space="0" w:color="FFFFFF" w:themeColor="background1"/>
            </w:tcBorders>
            <w:shd w:val="clear" w:color="auto" w:fill="auto"/>
            <w:noWrap/>
          </w:tcPr>
          <w:p w14:paraId="650924AB" w14:textId="410426D3"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0.0019</w:t>
            </w:r>
          </w:p>
        </w:tc>
      </w:tr>
      <w:tr w:rsidR="001E087B" w:rsidRPr="00B275E2" w14:paraId="650924B4" w14:textId="77777777" w:rsidTr="004D4540">
        <w:trPr>
          <w:trHeight w:val="300"/>
        </w:trPr>
        <w:tc>
          <w:tcPr>
            <w:cnfStyle w:val="001000000000" w:firstRow="0" w:lastRow="0" w:firstColumn="1" w:lastColumn="0" w:oddVBand="0" w:evenVBand="0" w:oddHBand="0" w:evenHBand="0" w:firstRowFirstColumn="0" w:firstRowLastColumn="0" w:lastRowFirstColumn="0" w:lastRowLastColumn="0"/>
            <w:tcW w:w="1531" w:type="dxa"/>
            <w:vMerge/>
            <w:tcBorders>
              <w:left w:val="single" w:sz="4" w:space="0" w:color="FFFFFF" w:themeColor="background1"/>
            </w:tcBorders>
            <w:hideMark/>
          </w:tcPr>
          <w:p w14:paraId="650924AD" w14:textId="77777777" w:rsidR="00E078CD" w:rsidRPr="00B275E2" w:rsidRDefault="00E078CD" w:rsidP="001E087B">
            <w:pPr>
              <w:pStyle w:val="TableText"/>
              <w:spacing w:before="30" w:after="30"/>
              <w:rPr>
                <w:b w:val="0"/>
              </w:rPr>
            </w:pPr>
          </w:p>
        </w:tc>
        <w:tc>
          <w:tcPr>
            <w:tcW w:w="1543" w:type="dxa"/>
            <w:noWrap/>
            <w:vAlign w:val="bottom"/>
          </w:tcPr>
          <w:p w14:paraId="650924AE" w14:textId="589151FB" w:rsidR="00E078CD" w:rsidRPr="00B275E2" w:rsidRDefault="00E078CD" w:rsidP="001E087B">
            <w:pPr>
              <w:pStyle w:val="TableText"/>
              <w:spacing w:before="30" w:after="30"/>
              <w:cnfStyle w:val="000000000000" w:firstRow="0" w:lastRow="0" w:firstColumn="0" w:lastColumn="0" w:oddVBand="0" w:evenVBand="0" w:oddHBand="0" w:evenHBand="0" w:firstRowFirstColumn="0" w:firstRowLastColumn="0" w:lastRowFirstColumn="0" w:lastRowLastColumn="0"/>
            </w:pPr>
            <w:r w:rsidRPr="00B275E2">
              <w:t>2000</w:t>
            </w:r>
            <w:r w:rsidRPr="00B275E2">
              <w:rPr>
                <w:rFonts w:cs="Calibri"/>
                <w:color w:val="000000"/>
                <w:szCs w:val="18"/>
              </w:rPr>
              <w:t xml:space="preserve"> -</w:t>
            </w:r>
            <w:r w:rsidRPr="00B275E2">
              <w:t xml:space="preserve"> &lt;3000 cc</w:t>
            </w:r>
          </w:p>
        </w:tc>
        <w:tc>
          <w:tcPr>
            <w:tcW w:w="709" w:type="dxa"/>
            <w:noWrap/>
          </w:tcPr>
          <w:p w14:paraId="650924AF" w14:textId="77777777" w:rsidR="00E078CD" w:rsidRPr="00B275E2" w:rsidRDefault="00E078CD" w:rsidP="001E087B">
            <w:pPr>
              <w:pStyle w:val="TableText"/>
              <w:spacing w:before="30" w:after="30"/>
              <w:cnfStyle w:val="000000000000" w:firstRow="0" w:lastRow="0" w:firstColumn="0" w:lastColumn="0" w:oddVBand="0" w:evenVBand="0" w:oddHBand="0" w:evenHBand="0" w:firstRowFirstColumn="0" w:firstRowLastColumn="0" w:lastRowFirstColumn="0" w:lastRowLastColumn="0"/>
            </w:pPr>
            <w:r w:rsidRPr="00B275E2">
              <w:t>km</w:t>
            </w:r>
          </w:p>
        </w:tc>
        <w:tc>
          <w:tcPr>
            <w:tcW w:w="1247" w:type="dxa"/>
            <w:shd w:val="clear" w:color="auto" w:fill="D2DDE1" w:themeFill="background2"/>
            <w:noWrap/>
          </w:tcPr>
          <w:p w14:paraId="650924B0" w14:textId="575246DD"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0.128</w:t>
            </w:r>
          </w:p>
        </w:tc>
        <w:tc>
          <w:tcPr>
            <w:tcW w:w="1134" w:type="dxa"/>
            <w:shd w:val="clear" w:color="auto" w:fill="auto"/>
            <w:noWrap/>
          </w:tcPr>
          <w:p w14:paraId="650924B1" w14:textId="0A7580CD"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0.126</w:t>
            </w:r>
          </w:p>
        </w:tc>
        <w:tc>
          <w:tcPr>
            <w:tcW w:w="1134" w:type="dxa"/>
            <w:shd w:val="clear" w:color="auto" w:fill="auto"/>
            <w:noWrap/>
          </w:tcPr>
          <w:p w14:paraId="650924B2" w14:textId="58DAFD41"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0.0002</w:t>
            </w:r>
          </w:p>
        </w:tc>
        <w:tc>
          <w:tcPr>
            <w:tcW w:w="1191" w:type="dxa"/>
            <w:tcBorders>
              <w:right w:val="single" w:sz="4" w:space="0" w:color="FFFFFF" w:themeColor="background1"/>
            </w:tcBorders>
            <w:shd w:val="clear" w:color="auto" w:fill="auto"/>
            <w:noWrap/>
          </w:tcPr>
          <w:p w14:paraId="650924B3" w14:textId="64329D13"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0.0020</w:t>
            </w:r>
          </w:p>
        </w:tc>
      </w:tr>
      <w:tr w:rsidR="001E087B" w:rsidRPr="00B275E2" w14:paraId="650924BC" w14:textId="77777777" w:rsidTr="004D45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1" w:type="dxa"/>
            <w:vMerge/>
            <w:tcBorders>
              <w:left w:val="single" w:sz="4" w:space="0" w:color="FFFFFF" w:themeColor="background1"/>
            </w:tcBorders>
            <w:hideMark/>
          </w:tcPr>
          <w:p w14:paraId="650924B5" w14:textId="77777777" w:rsidR="00E078CD" w:rsidRPr="00B275E2" w:rsidRDefault="00E078CD" w:rsidP="001E087B">
            <w:pPr>
              <w:pStyle w:val="TableText"/>
              <w:spacing w:before="30" w:after="30"/>
              <w:rPr>
                <w:b w:val="0"/>
              </w:rPr>
            </w:pPr>
          </w:p>
        </w:tc>
        <w:tc>
          <w:tcPr>
            <w:tcW w:w="1543" w:type="dxa"/>
            <w:noWrap/>
            <w:vAlign w:val="bottom"/>
          </w:tcPr>
          <w:p w14:paraId="650924B6" w14:textId="57CE2A68" w:rsidR="00E078CD" w:rsidRPr="00B275E2" w:rsidRDefault="00E078CD" w:rsidP="001E087B">
            <w:pPr>
              <w:pStyle w:val="TableText"/>
              <w:spacing w:before="30" w:after="30"/>
              <w:cnfStyle w:val="000000100000" w:firstRow="0" w:lastRow="0" w:firstColumn="0" w:lastColumn="0" w:oddVBand="0" w:evenVBand="0" w:oddHBand="1" w:evenHBand="0" w:firstRowFirstColumn="0" w:firstRowLastColumn="0" w:lastRowFirstColumn="0" w:lastRowLastColumn="0"/>
            </w:pPr>
            <w:r w:rsidRPr="00B275E2">
              <w:t>≥3000 cc</w:t>
            </w:r>
          </w:p>
        </w:tc>
        <w:tc>
          <w:tcPr>
            <w:tcW w:w="709" w:type="dxa"/>
            <w:noWrap/>
          </w:tcPr>
          <w:p w14:paraId="650924B7" w14:textId="77777777" w:rsidR="00E078CD" w:rsidRPr="00B275E2" w:rsidRDefault="00E078CD" w:rsidP="001E087B">
            <w:pPr>
              <w:pStyle w:val="TableText"/>
              <w:spacing w:before="30" w:after="30"/>
              <w:cnfStyle w:val="000000100000" w:firstRow="0" w:lastRow="0" w:firstColumn="0" w:lastColumn="0" w:oddVBand="0" w:evenVBand="0" w:oddHBand="1" w:evenHBand="0" w:firstRowFirstColumn="0" w:firstRowLastColumn="0" w:lastRowFirstColumn="0" w:lastRowLastColumn="0"/>
            </w:pPr>
            <w:r w:rsidRPr="00B275E2">
              <w:t>km</w:t>
            </w:r>
          </w:p>
        </w:tc>
        <w:tc>
          <w:tcPr>
            <w:tcW w:w="1247" w:type="dxa"/>
            <w:shd w:val="clear" w:color="auto" w:fill="D2DDE1" w:themeFill="background2"/>
            <w:noWrap/>
          </w:tcPr>
          <w:p w14:paraId="650924B8" w14:textId="04C0C26A"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0.130</w:t>
            </w:r>
          </w:p>
        </w:tc>
        <w:tc>
          <w:tcPr>
            <w:tcW w:w="1134" w:type="dxa"/>
            <w:shd w:val="clear" w:color="auto" w:fill="auto"/>
            <w:noWrap/>
          </w:tcPr>
          <w:p w14:paraId="650924B9" w14:textId="71EF0E2F"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0.127</w:t>
            </w:r>
          </w:p>
        </w:tc>
        <w:tc>
          <w:tcPr>
            <w:tcW w:w="1134" w:type="dxa"/>
            <w:shd w:val="clear" w:color="auto" w:fill="auto"/>
            <w:noWrap/>
          </w:tcPr>
          <w:p w14:paraId="650924BA" w14:textId="7B000B52"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0.0002</w:t>
            </w:r>
          </w:p>
        </w:tc>
        <w:tc>
          <w:tcPr>
            <w:tcW w:w="1191" w:type="dxa"/>
            <w:tcBorders>
              <w:right w:val="single" w:sz="4" w:space="0" w:color="FFFFFF" w:themeColor="background1"/>
            </w:tcBorders>
            <w:shd w:val="clear" w:color="auto" w:fill="auto"/>
            <w:noWrap/>
          </w:tcPr>
          <w:p w14:paraId="650924BB" w14:textId="4BBF3882"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0.0020</w:t>
            </w:r>
          </w:p>
        </w:tc>
      </w:tr>
      <w:tr w:rsidR="001E087B" w:rsidRPr="00B275E2" w14:paraId="650924C4" w14:textId="77777777" w:rsidTr="004D4540">
        <w:trPr>
          <w:trHeight w:val="300"/>
        </w:trPr>
        <w:tc>
          <w:tcPr>
            <w:cnfStyle w:val="001000000000" w:firstRow="0" w:lastRow="0" w:firstColumn="1" w:lastColumn="0" w:oddVBand="0" w:evenVBand="0" w:oddHBand="0" w:evenHBand="0" w:firstRowFirstColumn="0" w:firstRowLastColumn="0" w:lastRowFirstColumn="0" w:lastRowLastColumn="0"/>
            <w:tcW w:w="1531" w:type="dxa"/>
            <w:vMerge w:val="restart"/>
            <w:tcBorders>
              <w:left w:val="single" w:sz="4" w:space="0" w:color="FFFFFF" w:themeColor="background1"/>
            </w:tcBorders>
            <w:hideMark/>
          </w:tcPr>
          <w:p w14:paraId="650924BD" w14:textId="5080709B" w:rsidR="00E078CD" w:rsidRPr="00B275E2" w:rsidRDefault="00E078CD" w:rsidP="001E087B">
            <w:pPr>
              <w:pStyle w:val="TableText"/>
              <w:keepNext/>
              <w:spacing w:before="30" w:after="30"/>
              <w:rPr>
                <w:b w:val="0"/>
              </w:rPr>
            </w:pPr>
            <w:r w:rsidRPr="00B275E2">
              <w:rPr>
                <w:b w:val="0"/>
              </w:rPr>
              <w:t>Diesel plug-in hybrid electric vehicle (PHEV) – electricity consumption</w:t>
            </w:r>
          </w:p>
        </w:tc>
        <w:tc>
          <w:tcPr>
            <w:tcW w:w="1543" w:type="dxa"/>
            <w:noWrap/>
            <w:vAlign w:val="bottom"/>
          </w:tcPr>
          <w:p w14:paraId="650924BE" w14:textId="45A94ED1" w:rsidR="00E078CD" w:rsidRPr="00B275E2" w:rsidRDefault="00E078CD" w:rsidP="001E087B">
            <w:pPr>
              <w:pStyle w:val="TableText"/>
              <w:keepNext/>
              <w:spacing w:before="30" w:after="30"/>
              <w:cnfStyle w:val="000000000000" w:firstRow="0" w:lastRow="0" w:firstColumn="0" w:lastColumn="0" w:oddVBand="0" w:evenVBand="0" w:oddHBand="0" w:evenHBand="0" w:firstRowFirstColumn="0" w:firstRowLastColumn="0" w:lastRowFirstColumn="0" w:lastRowLastColumn="0"/>
            </w:pPr>
            <w:r w:rsidRPr="00B275E2">
              <w:t>&lt;1350 cc</w:t>
            </w:r>
          </w:p>
        </w:tc>
        <w:tc>
          <w:tcPr>
            <w:tcW w:w="709" w:type="dxa"/>
            <w:noWrap/>
          </w:tcPr>
          <w:p w14:paraId="650924BF" w14:textId="77777777" w:rsidR="00E078CD" w:rsidRPr="00B275E2" w:rsidRDefault="00E078CD" w:rsidP="001E087B">
            <w:pPr>
              <w:pStyle w:val="TableText"/>
              <w:keepNext/>
              <w:spacing w:before="30" w:after="30"/>
              <w:cnfStyle w:val="000000000000" w:firstRow="0" w:lastRow="0" w:firstColumn="0" w:lastColumn="0" w:oddVBand="0" w:evenVBand="0" w:oddHBand="0" w:evenHBand="0" w:firstRowFirstColumn="0" w:firstRowLastColumn="0" w:lastRowFirstColumn="0" w:lastRowLastColumn="0"/>
            </w:pPr>
            <w:r w:rsidRPr="00B275E2">
              <w:t>km</w:t>
            </w:r>
          </w:p>
        </w:tc>
        <w:tc>
          <w:tcPr>
            <w:tcW w:w="1247" w:type="dxa"/>
            <w:shd w:val="clear" w:color="auto" w:fill="D2DDE1" w:themeFill="background2"/>
            <w:noWrap/>
          </w:tcPr>
          <w:p w14:paraId="650924C0" w14:textId="01E7A67A" w:rsidR="00E078CD" w:rsidRPr="00B275E2" w:rsidRDefault="00E078CD" w:rsidP="001E087B">
            <w:pPr>
              <w:pStyle w:val="TableText"/>
              <w:keepN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0.010</w:t>
            </w:r>
          </w:p>
        </w:tc>
        <w:tc>
          <w:tcPr>
            <w:tcW w:w="1134" w:type="dxa"/>
            <w:shd w:val="clear" w:color="auto" w:fill="auto"/>
            <w:noWrap/>
          </w:tcPr>
          <w:p w14:paraId="650924C1" w14:textId="2EEA423B" w:rsidR="00E078CD" w:rsidRPr="00B275E2" w:rsidRDefault="00E078CD" w:rsidP="001E087B">
            <w:pPr>
              <w:pStyle w:val="TableText"/>
              <w:keepN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0.010</w:t>
            </w:r>
          </w:p>
        </w:tc>
        <w:tc>
          <w:tcPr>
            <w:tcW w:w="1134" w:type="dxa"/>
            <w:shd w:val="clear" w:color="auto" w:fill="auto"/>
            <w:noWrap/>
          </w:tcPr>
          <w:p w14:paraId="650924C2" w14:textId="6BFB95D8" w:rsidR="00E078CD" w:rsidRPr="00B275E2" w:rsidRDefault="00E078CD" w:rsidP="001E087B">
            <w:pPr>
              <w:pStyle w:val="TableText"/>
              <w:keepN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0.0004</w:t>
            </w:r>
          </w:p>
        </w:tc>
        <w:tc>
          <w:tcPr>
            <w:tcW w:w="1191" w:type="dxa"/>
            <w:tcBorders>
              <w:right w:val="single" w:sz="4" w:space="0" w:color="FFFFFF" w:themeColor="background1"/>
            </w:tcBorders>
            <w:shd w:val="clear" w:color="auto" w:fill="auto"/>
            <w:noWrap/>
          </w:tcPr>
          <w:p w14:paraId="650924C3" w14:textId="2DB06A18" w:rsidR="00E078CD" w:rsidRPr="00B275E2" w:rsidRDefault="00E078CD" w:rsidP="001E087B">
            <w:pPr>
              <w:pStyle w:val="TableText"/>
              <w:keepN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0.00001</w:t>
            </w:r>
          </w:p>
        </w:tc>
      </w:tr>
      <w:tr w:rsidR="001E087B" w:rsidRPr="00B275E2" w14:paraId="650924CC" w14:textId="77777777" w:rsidTr="004D45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1" w:type="dxa"/>
            <w:vMerge/>
            <w:tcBorders>
              <w:left w:val="single" w:sz="4" w:space="0" w:color="FFFFFF" w:themeColor="background1"/>
            </w:tcBorders>
          </w:tcPr>
          <w:p w14:paraId="650924C5" w14:textId="77777777" w:rsidR="00E078CD" w:rsidRPr="00B275E2" w:rsidRDefault="00E078CD" w:rsidP="001E087B">
            <w:pPr>
              <w:pStyle w:val="TableText"/>
              <w:keepNext/>
              <w:spacing w:before="30" w:after="30"/>
              <w:rPr>
                <w:b w:val="0"/>
              </w:rPr>
            </w:pPr>
          </w:p>
        </w:tc>
        <w:tc>
          <w:tcPr>
            <w:tcW w:w="1543" w:type="dxa"/>
            <w:noWrap/>
            <w:vAlign w:val="bottom"/>
          </w:tcPr>
          <w:p w14:paraId="650924C6" w14:textId="1D1ED177" w:rsidR="00E078CD" w:rsidRPr="00B275E2" w:rsidRDefault="00E078CD" w:rsidP="001E087B">
            <w:pPr>
              <w:pStyle w:val="TableText"/>
              <w:keepNext/>
              <w:spacing w:before="30" w:after="30"/>
              <w:cnfStyle w:val="000000100000" w:firstRow="0" w:lastRow="0" w:firstColumn="0" w:lastColumn="0" w:oddVBand="0" w:evenVBand="0" w:oddHBand="1" w:evenHBand="0" w:firstRowFirstColumn="0" w:firstRowLastColumn="0" w:lastRowFirstColumn="0" w:lastRowLastColumn="0"/>
            </w:pPr>
            <w:r w:rsidRPr="00B275E2">
              <w:t>1350</w:t>
            </w:r>
            <w:r w:rsidRPr="00B275E2">
              <w:rPr>
                <w:rFonts w:cs="Calibri"/>
                <w:color w:val="000000"/>
                <w:szCs w:val="18"/>
              </w:rPr>
              <w:t xml:space="preserve"> -</w:t>
            </w:r>
            <w:r w:rsidRPr="00B275E2">
              <w:t xml:space="preserve"> &lt;1600 cc</w:t>
            </w:r>
          </w:p>
        </w:tc>
        <w:tc>
          <w:tcPr>
            <w:tcW w:w="709" w:type="dxa"/>
            <w:noWrap/>
          </w:tcPr>
          <w:p w14:paraId="650924C7" w14:textId="77777777" w:rsidR="00E078CD" w:rsidRPr="00B275E2" w:rsidRDefault="00E078CD" w:rsidP="001E087B">
            <w:pPr>
              <w:pStyle w:val="TableText"/>
              <w:keepNext/>
              <w:spacing w:before="30" w:after="30"/>
              <w:cnfStyle w:val="000000100000" w:firstRow="0" w:lastRow="0" w:firstColumn="0" w:lastColumn="0" w:oddVBand="0" w:evenVBand="0" w:oddHBand="1" w:evenHBand="0" w:firstRowFirstColumn="0" w:firstRowLastColumn="0" w:lastRowFirstColumn="0" w:lastRowLastColumn="0"/>
            </w:pPr>
            <w:r w:rsidRPr="00B275E2">
              <w:t>km</w:t>
            </w:r>
          </w:p>
        </w:tc>
        <w:tc>
          <w:tcPr>
            <w:tcW w:w="1247" w:type="dxa"/>
            <w:shd w:val="clear" w:color="auto" w:fill="D2DDE1" w:themeFill="background2"/>
            <w:noWrap/>
          </w:tcPr>
          <w:p w14:paraId="650924C8" w14:textId="63E2E07A" w:rsidR="00E078CD" w:rsidRPr="00B275E2" w:rsidRDefault="00E078CD" w:rsidP="001E087B">
            <w:pPr>
              <w:pStyle w:val="TableText"/>
              <w:keepN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0.010</w:t>
            </w:r>
          </w:p>
        </w:tc>
        <w:tc>
          <w:tcPr>
            <w:tcW w:w="1134" w:type="dxa"/>
            <w:shd w:val="clear" w:color="auto" w:fill="auto"/>
            <w:noWrap/>
          </w:tcPr>
          <w:p w14:paraId="650924C9" w14:textId="11CA8649" w:rsidR="00E078CD" w:rsidRPr="00B275E2" w:rsidRDefault="00E078CD" w:rsidP="001E087B">
            <w:pPr>
              <w:pStyle w:val="TableText"/>
              <w:keepN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0.010</w:t>
            </w:r>
          </w:p>
        </w:tc>
        <w:tc>
          <w:tcPr>
            <w:tcW w:w="1134" w:type="dxa"/>
            <w:shd w:val="clear" w:color="auto" w:fill="auto"/>
            <w:noWrap/>
          </w:tcPr>
          <w:p w14:paraId="650924CA" w14:textId="218E4975" w:rsidR="00E078CD" w:rsidRPr="00B275E2" w:rsidRDefault="00E078CD" w:rsidP="001E087B">
            <w:pPr>
              <w:pStyle w:val="TableText"/>
              <w:keepN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0.0004</w:t>
            </w:r>
          </w:p>
        </w:tc>
        <w:tc>
          <w:tcPr>
            <w:tcW w:w="1191" w:type="dxa"/>
            <w:tcBorders>
              <w:right w:val="single" w:sz="4" w:space="0" w:color="FFFFFF" w:themeColor="background1"/>
            </w:tcBorders>
            <w:shd w:val="clear" w:color="auto" w:fill="auto"/>
            <w:noWrap/>
          </w:tcPr>
          <w:p w14:paraId="650924CB" w14:textId="6AA4C40D" w:rsidR="00E078CD" w:rsidRPr="00B275E2" w:rsidRDefault="00E078CD" w:rsidP="001E087B">
            <w:pPr>
              <w:pStyle w:val="TableText"/>
              <w:keepN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0.00001</w:t>
            </w:r>
          </w:p>
        </w:tc>
      </w:tr>
      <w:tr w:rsidR="001E087B" w:rsidRPr="00B275E2" w14:paraId="650924D4" w14:textId="77777777" w:rsidTr="004D4540">
        <w:trPr>
          <w:trHeight w:val="300"/>
        </w:trPr>
        <w:tc>
          <w:tcPr>
            <w:cnfStyle w:val="001000000000" w:firstRow="0" w:lastRow="0" w:firstColumn="1" w:lastColumn="0" w:oddVBand="0" w:evenVBand="0" w:oddHBand="0" w:evenHBand="0" w:firstRowFirstColumn="0" w:firstRowLastColumn="0" w:lastRowFirstColumn="0" w:lastRowLastColumn="0"/>
            <w:tcW w:w="1531" w:type="dxa"/>
            <w:vMerge/>
            <w:tcBorders>
              <w:left w:val="single" w:sz="4" w:space="0" w:color="FFFFFF" w:themeColor="background1"/>
            </w:tcBorders>
          </w:tcPr>
          <w:p w14:paraId="650924CD" w14:textId="77777777" w:rsidR="00E078CD" w:rsidRPr="00B275E2" w:rsidRDefault="00E078CD" w:rsidP="001E087B">
            <w:pPr>
              <w:pStyle w:val="TableText"/>
              <w:keepNext/>
              <w:spacing w:before="30" w:after="30"/>
              <w:rPr>
                <w:b w:val="0"/>
              </w:rPr>
            </w:pPr>
          </w:p>
        </w:tc>
        <w:tc>
          <w:tcPr>
            <w:tcW w:w="1543" w:type="dxa"/>
            <w:noWrap/>
            <w:vAlign w:val="bottom"/>
          </w:tcPr>
          <w:p w14:paraId="650924CE" w14:textId="5D1BD7D1" w:rsidR="00E078CD" w:rsidRPr="00B275E2" w:rsidRDefault="00E078CD" w:rsidP="001E087B">
            <w:pPr>
              <w:pStyle w:val="TableText"/>
              <w:keepNext/>
              <w:spacing w:before="30" w:after="30"/>
              <w:cnfStyle w:val="000000000000" w:firstRow="0" w:lastRow="0" w:firstColumn="0" w:lastColumn="0" w:oddVBand="0" w:evenVBand="0" w:oddHBand="0" w:evenHBand="0" w:firstRowFirstColumn="0" w:firstRowLastColumn="0" w:lastRowFirstColumn="0" w:lastRowLastColumn="0"/>
            </w:pPr>
            <w:r w:rsidRPr="00B275E2">
              <w:t>1600</w:t>
            </w:r>
            <w:r w:rsidRPr="00B275E2">
              <w:rPr>
                <w:rFonts w:cs="Calibri"/>
                <w:color w:val="000000"/>
                <w:szCs w:val="18"/>
              </w:rPr>
              <w:t xml:space="preserve"> -</w:t>
            </w:r>
            <w:r w:rsidRPr="00B275E2">
              <w:t xml:space="preserve"> &lt;2000 cc</w:t>
            </w:r>
          </w:p>
        </w:tc>
        <w:tc>
          <w:tcPr>
            <w:tcW w:w="709" w:type="dxa"/>
            <w:noWrap/>
          </w:tcPr>
          <w:p w14:paraId="650924CF" w14:textId="77777777" w:rsidR="00E078CD" w:rsidRPr="00B275E2" w:rsidRDefault="00E078CD" w:rsidP="001E087B">
            <w:pPr>
              <w:pStyle w:val="TableText"/>
              <w:keepNext/>
              <w:spacing w:before="30" w:after="30"/>
              <w:cnfStyle w:val="000000000000" w:firstRow="0" w:lastRow="0" w:firstColumn="0" w:lastColumn="0" w:oddVBand="0" w:evenVBand="0" w:oddHBand="0" w:evenHBand="0" w:firstRowFirstColumn="0" w:firstRowLastColumn="0" w:lastRowFirstColumn="0" w:lastRowLastColumn="0"/>
            </w:pPr>
            <w:r w:rsidRPr="00B275E2">
              <w:t>km</w:t>
            </w:r>
          </w:p>
        </w:tc>
        <w:tc>
          <w:tcPr>
            <w:tcW w:w="1247" w:type="dxa"/>
            <w:shd w:val="clear" w:color="auto" w:fill="D2DDE1" w:themeFill="background2"/>
            <w:noWrap/>
          </w:tcPr>
          <w:p w14:paraId="650924D0" w14:textId="4E02098D" w:rsidR="00E078CD" w:rsidRPr="00B275E2" w:rsidRDefault="00E078CD" w:rsidP="001E087B">
            <w:pPr>
              <w:pStyle w:val="TableText"/>
              <w:keepN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0.011</w:t>
            </w:r>
          </w:p>
        </w:tc>
        <w:tc>
          <w:tcPr>
            <w:tcW w:w="1134" w:type="dxa"/>
            <w:shd w:val="clear" w:color="auto" w:fill="auto"/>
            <w:noWrap/>
          </w:tcPr>
          <w:p w14:paraId="650924D1" w14:textId="3F355677" w:rsidR="00E078CD" w:rsidRPr="00B275E2" w:rsidRDefault="00E078CD" w:rsidP="001E087B">
            <w:pPr>
              <w:pStyle w:val="TableText"/>
              <w:keepN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0.010</w:t>
            </w:r>
          </w:p>
        </w:tc>
        <w:tc>
          <w:tcPr>
            <w:tcW w:w="1134" w:type="dxa"/>
            <w:shd w:val="clear" w:color="auto" w:fill="auto"/>
            <w:noWrap/>
          </w:tcPr>
          <w:p w14:paraId="650924D2" w14:textId="7C42F0D0" w:rsidR="00E078CD" w:rsidRPr="00B275E2" w:rsidRDefault="00E078CD" w:rsidP="001E087B">
            <w:pPr>
              <w:pStyle w:val="TableText"/>
              <w:keepN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0.0004</w:t>
            </w:r>
          </w:p>
        </w:tc>
        <w:tc>
          <w:tcPr>
            <w:tcW w:w="1191" w:type="dxa"/>
            <w:tcBorders>
              <w:right w:val="single" w:sz="4" w:space="0" w:color="FFFFFF" w:themeColor="background1"/>
            </w:tcBorders>
            <w:shd w:val="clear" w:color="auto" w:fill="auto"/>
            <w:noWrap/>
          </w:tcPr>
          <w:p w14:paraId="650924D3" w14:textId="2F1D56BF" w:rsidR="00E078CD" w:rsidRPr="00B275E2" w:rsidRDefault="00E078CD" w:rsidP="001E087B">
            <w:pPr>
              <w:pStyle w:val="TableText"/>
              <w:keepN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0.00001</w:t>
            </w:r>
          </w:p>
        </w:tc>
      </w:tr>
      <w:tr w:rsidR="001E087B" w:rsidRPr="00B275E2" w14:paraId="650924DC" w14:textId="77777777" w:rsidTr="004D45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1" w:type="dxa"/>
            <w:vMerge/>
            <w:tcBorders>
              <w:left w:val="single" w:sz="4" w:space="0" w:color="FFFFFF" w:themeColor="background1"/>
            </w:tcBorders>
          </w:tcPr>
          <w:p w14:paraId="650924D5" w14:textId="77777777" w:rsidR="00E078CD" w:rsidRPr="00B275E2" w:rsidRDefault="00E078CD" w:rsidP="001E087B">
            <w:pPr>
              <w:pStyle w:val="TableText"/>
              <w:keepNext/>
              <w:spacing w:before="30" w:after="30"/>
              <w:rPr>
                <w:b w:val="0"/>
              </w:rPr>
            </w:pPr>
          </w:p>
        </w:tc>
        <w:tc>
          <w:tcPr>
            <w:tcW w:w="1543" w:type="dxa"/>
            <w:noWrap/>
            <w:vAlign w:val="bottom"/>
          </w:tcPr>
          <w:p w14:paraId="650924D6" w14:textId="67584983" w:rsidR="00E078CD" w:rsidRPr="00B275E2" w:rsidRDefault="00E078CD" w:rsidP="001E087B">
            <w:pPr>
              <w:pStyle w:val="TableText"/>
              <w:keepNext/>
              <w:spacing w:before="30" w:after="30"/>
              <w:cnfStyle w:val="000000100000" w:firstRow="0" w:lastRow="0" w:firstColumn="0" w:lastColumn="0" w:oddVBand="0" w:evenVBand="0" w:oddHBand="1" w:evenHBand="0" w:firstRowFirstColumn="0" w:firstRowLastColumn="0" w:lastRowFirstColumn="0" w:lastRowLastColumn="0"/>
            </w:pPr>
            <w:r w:rsidRPr="00B275E2">
              <w:t>2000</w:t>
            </w:r>
            <w:r w:rsidRPr="00B275E2">
              <w:rPr>
                <w:rFonts w:cs="Calibri"/>
                <w:color w:val="000000"/>
                <w:szCs w:val="18"/>
              </w:rPr>
              <w:t xml:space="preserve"> -</w:t>
            </w:r>
            <w:r w:rsidRPr="00B275E2">
              <w:t xml:space="preserve"> &lt;3000 cc</w:t>
            </w:r>
          </w:p>
        </w:tc>
        <w:tc>
          <w:tcPr>
            <w:tcW w:w="709" w:type="dxa"/>
            <w:noWrap/>
          </w:tcPr>
          <w:p w14:paraId="650924D7" w14:textId="77777777" w:rsidR="00E078CD" w:rsidRPr="00B275E2" w:rsidRDefault="00E078CD" w:rsidP="001E087B">
            <w:pPr>
              <w:pStyle w:val="TableText"/>
              <w:keepNext/>
              <w:spacing w:before="30" w:after="30"/>
              <w:cnfStyle w:val="000000100000" w:firstRow="0" w:lastRow="0" w:firstColumn="0" w:lastColumn="0" w:oddVBand="0" w:evenVBand="0" w:oddHBand="1" w:evenHBand="0" w:firstRowFirstColumn="0" w:firstRowLastColumn="0" w:lastRowFirstColumn="0" w:lastRowLastColumn="0"/>
            </w:pPr>
            <w:r w:rsidRPr="00B275E2">
              <w:t>km</w:t>
            </w:r>
          </w:p>
        </w:tc>
        <w:tc>
          <w:tcPr>
            <w:tcW w:w="1247" w:type="dxa"/>
            <w:shd w:val="clear" w:color="auto" w:fill="D2DDE1" w:themeFill="background2"/>
            <w:noWrap/>
          </w:tcPr>
          <w:p w14:paraId="650924D8" w14:textId="1395A88B" w:rsidR="00E078CD" w:rsidRPr="00B275E2" w:rsidRDefault="00E078CD" w:rsidP="001E087B">
            <w:pPr>
              <w:pStyle w:val="TableText"/>
              <w:keepN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0.012</w:t>
            </w:r>
          </w:p>
        </w:tc>
        <w:tc>
          <w:tcPr>
            <w:tcW w:w="1134" w:type="dxa"/>
            <w:shd w:val="clear" w:color="auto" w:fill="auto"/>
            <w:noWrap/>
          </w:tcPr>
          <w:p w14:paraId="650924D9" w14:textId="6F6F9716" w:rsidR="00E078CD" w:rsidRPr="00B275E2" w:rsidRDefault="00E078CD" w:rsidP="001E087B">
            <w:pPr>
              <w:pStyle w:val="TableText"/>
              <w:keepN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0.012</w:t>
            </w:r>
          </w:p>
        </w:tc>
        <w:tc>
          <w:tcPr>
            <w:tcW w:w="1134" w:type="dxa"/>
            <w:shd w:val="clear" w:color="auto" w:fill="auto"/>
            <w:noWrap/>
          </w:tcPr>
          <w:p w14:paraId="650924DA" w14:textId="270428D8" w:rsidR="00E078CD" w:rsidRPr="00B275E2" w:rsidRDefault="00E078CD" w:rsidP="001E087B">
            <w:pPr>
              <w:pStyle w:val="TableText"/>
              <w:keepN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0.0005</w:t>
            </w:r>
          </w:p>
        </w:tc>
        <w:tc>
          <w:tcPr>
            <w:tcW w:w="1191" w:type="dxa"/>
            <w:tcBorders>
              <w:right w:val="single" w:sz="4" w:space="0" w:color="FFFFFF" w:themeColor="background1"/>
            </w:tcBorders>
            <w:shd w:val="clear" w:color="auto" w:fill="auto"/>
            <w:noWrap/>
          </w:tcPr>
          <w:p w14:paraId="650924DB" w14:textId="659FB810" w:rsidR="00E078CD" w:rsidRPr="00B275E2" w:rsidRDefault="00E078CD" w:rsidP="001E087B">
            <w:pPr>
              <w:pStyle w:val="TableText"/>
              <w:keepN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0.00002</w:t>
            </w:r>
          </w:p>
        </w:tc>
      </w:tr>
      <w:tr w:rsidR="001E087B" w:rsidRPr="00B275E2" w14:paraId="650924E4" w14:textId="77777777" w:rsidTr="004D4540">
        <w:trPr>
          <w:trHeight w:val="300"/>
        </w:trPr>
        <w:tc>
          <w:tcPr>
            <w:cnfStyle w:val="001000000000" w:firstRow="0" w:lastRow="0" w:firstColumn="1" w:lastColumn="0" w:oddVBand="0" w:evenVBand="0" w:oddHBand="0" w:evenHBand="0" w:firstRowFirstColumn="0" w:firstRowLastColumn="0" w:lastRowFirstColumn="0" w:lastRowLastColumn="0"/>
            <w:tcW w:w="1531" w:type="dxa"/>
            <w:vMerge/>
            <w:tcBorders>
              <w:left w:val="single" w:sz="4" w:space="0" w:color="FFFFFF" w:themeColor="background1"/>
            </w:tcBorders>
          </w:tcPr>
          <w:p w14:paraId="650924DD" w14:textId="77777777" w:rsidR="00E078CD" w:rsidRPr="00B275E2" w:rsidRDefault="00E078CD" w:rsidP="001E087B">
            <w:pPr>
              <w:pStyle w:val="TableText"/>
              <w:keepNext/>
              <w:spacing w:before="30" w:after="30"/>
              <w:rPr>
                <w:b w:val="0"/>
              </w:rPr>
            </w:pPr>
          </w:p>
        </w:tc>
        <w:tc>
          <w:tcPr>
            <w:tcW w:w="1543" w:type="dxa"/>
            <w:noWrap/>
            <w:vAlign w:val="bottom"/>
          </w:tcPr>
          <w:p w14:paraId="650924DE" w14:textId="564C6759" w:rsidR="00E078CD" w:rsidRPr="00B275E2" w:rsidRDefault="00E078CD" w:rsidP="001E087B">
            <w:pPr>
              <w:pStyle w:val="TableText"/>
              <w:keepNext/>
              <w:spacing w:before="30" w:after="30"/>
              <w:cnfStyle w:val="000000000000" w:firstRow="0" w:lastRow="0" w:firstColumn="0" w:lastColumn="0" w:oddVBand="0" w:evenVBand="0" w:oddHBand="0" w:evenHBand="0" w:firstRowFirstColumn="0" w:firstRowLastColumn="0" w:lastRowFirstColumn="0" w:lastRowLastColumn="0"/>
            </w:pPr>
            <w:r w:rsidRPr="00B275E2">
              <w:t>≥3000 cc</w:t>
            </w:r>
          </w:p>
        </w:tc>
        <w:tc>
          <w:tcPr>
            <w:tcW w:w="709" w:type="dxa"/>
            <w:noWrap/>
          </w:tcPr>
          <w:p w14:paraId="650924DF" w14:textId="77777777" w:rsidR="00E078CD" w:rsidRPr="00B275E2" w:rsidRDefault="00E078CD" w:rsidP="001E087B">
            <w:pPr>
              <w:pStyle w:val="TableText"/>
              <w:keepNext/>
              <w:spacing w:before="30" w:after="30"/>
              <w:cnfStyle w:val="000000000000" w:firstRow="0" w:lastRow="0" w:firstColumn="0" w:lastColumn="0" w:oddVBand="0" w:evenVBand="0" w:oddHBand="0" w:evenHBand="0" w:firstRowFirstColumn="0" w:firstRowLastColumn="0" w:lastRowFirstColumn="0" w:lastRowLastColumn="0"/>
            </w:pPr>
            <w:r w:rsidRPr="00B275E2">
              <w:t>km</w:t>
            </w:r>
          </w:p>
        </w:tc>
        <w:tc>
          <w:tcPr>
            <w:tcW w:w="1247" w:type="dxa"/>
            <w:shd w:val="clear" w:color="auto" w:fill="D2DDE1" w:themeFill="background2"/>
            <w:noWrap/>
          </w:tcPr>
          <w:p w14:paraId="650924E0" w14:textId="3B653699" w:rsidR="00E078CD" w:rsidRPr="00B275E2" w:rsidRDefault="00E078CD" w:rsidP="001E087B">
            <w:pPr>
              <w:pStyle w:val="TableText"/>
              <w:keepN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0.015</w:t>
            </w:r>
          </w:p>
        </w:tc>
        <w:tc>
          <w:tcPr>
            <w:tcW w:w="1134" w:type="dxa"/>
            <w:shd w:val="clear" w:color="auto" w:fill="auto"/>
            <w:noWrap/>
          </w:tcPr>
          <w:p w14:paraId="650924E1" w14:textId="34EC5DEE" w:rsidR="00E078CD" w:rsidRPr="00B275E2" w:rsidRDefault="00E078CD" w:rsidP="001E087B">
            <w:pPr>
              <w:pStyle w:val="TableText"/>
              <w:keepN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0.014</w:t>
            </w:r>
          </w:p>
        </w:tc>
        <w:tc>
          <w:tcPr>
            <w:tcW w:w="1134" w:type="dxa"/>
            <w:shd w:val="clear" w:color="auto" w:fill="auto"/>
            <w:noWrap/>
          </w:tcPr>
          <w:p w14:paraId="650924E2" w14:textId="6ADC3ED6" w:rsidR="00E078CD" w:rsidRPr="00B275E2" w:rsidRDefault="00E078CD" w:rsidP="001E087B">
            <w:pPr>
              <w:pStyle w:val="TableText"/>
              <w:keepN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0.0006</w:t>
            </w:r>
          </w:p>
        </w:tc>
        <w:tc>
          <w:tcPr>
            <w:tcW w:w="1191" w:type="dxa"/>
            <w:tcBorders>
              <w:right w:val="single" w:sz="4" w:space="0" w:color="FFFFFF" w:themeColor="background1"/>
            </w:tcBorders>
            <w:shd w:val="clear" w:color="auto" w:fill="auto"/>
            <w:noWrap/>
          </w:tcPr>
          <w:p w14:paraId="650924E3" w14:textId="1E638D9B" w:rsidR="00E078CD" w:rsidRPr="00B275E2" w:rsidRDefault="00E078CD" w:rsidP="001E087B">
            <w:pPr>
              <w:pStyle w:val="TableText"/>
              <w:keepN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0.00002</w:t>
            </w:r>
          </w:p>
        </w:tc>
      </w:tr>
      <w:tr w:rsidR="001E087B" w:rsidRPr="00B275E2" w14:paraId="650924EC" w14:textId="77777777" w:rsidTr="004D45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1" w:type="dxa"/>
            <w:vMerge w:val="restart"/>
            <w:tcBorders>
              <w:left w:val="single" w:sz="4" w:space="0" w:color="FFFFFF" w:themeColor="background1"/>
            </w:tcBorders>
          </w:tcPr>
          <w:p w14:paraId="650924E5" w14:textId="06CA95AC" w:rsidR="00E078CD" w:rsidRPr="00B275E2" w:rsidRDefault="00E078CD" w:rsidP="001E087B">
            <w:pPr>
              <w:pStyle w:val="TableText"/>
              <w:spacing w:before="30" w:after="30"/>
              <w:rPr>
                <w:b w:val="0"/>
              </w:rPr>
            </w:pPr>
            <w:r w:rsidRPr="00B275E2">
              <w:rPr>
                <w:b w:val="0"/>
              </w:rPr>
              <w:t>Electricity: BEV (battery electric vehicle)</w:t>
            </w:r>
          </w:p>
        </w:tc>
        <w:tc>
          <w:tcPr>
            <w:tcW w:w="1543" w:type="dxa"/>
            <w:noWrap/>
          </w:tcPr>
          <w:p w14:paraId="650924E6" w14:textId="4233CF65" w:rsidR="00E078CD" w:rsidRPr="00B275E2" w:rsidRDefault="00E078CD" w:rsidP="001E087B">
            <w:pPr>
              <w:pStyle w:val="TableText"/>
              <w:spacing w:before="30" w:after="30"/>
              <w:cnfStyle w:val="000000100000" w:firstRow="0" w:lastRow="0" w:firstColumn="0" w:lastColumn="0" w:oddVBand="0" w:evenVBand="0" w:oddHBand="1" w:evenHBand="0" w:firstRowFirstColumn="0" w:firstRowLastColumn="0" w:lastRowFirstColumn="0" w:lastRowLastColumn="0"/>
            </w:pPr>
            <w:r w:rsidRPr="00B275E2">
              <w:t>Very small</w:t>
            </w:r>
          </w:p>
        </w:tc>
        <w:tc>
          <w:tcPr>
            <w:tcW w:w="709" w:type="dxa"/>
            <w:noWrap/>
          </w:tcPr>
          <w:p w14:paraId="650924E7" w14:textId="77777777" w:rsidR="00E078CD" w:rsidRPr="00B275E2" w:rsidRDefault="00E078CD" w:rsidP="001E087B">
            <w:pPr>
              <w:pStyle w:val="TableText"/>
              <w:spacing w:before="30" w:after="30"/>
              <w:cnfStyle w:val="000000100000" w:firstRow="0" w:lastRow="0" w:firstColumn="0" w:lastColumn="0" w:oddVBand="0" w:evenVBand="0" w:oddHBand="1" w:evenHBand="0" w:firstRowFirstColumn="0" w:firstRowLastColumn="0" w:lastRowFirstColumn="0" w:lastRowLastColumn="0"/>
            </w:pPr>
            <w:r w:rsidRPr="00B275E2">
              <w:t>km</w:t>
            </w:r>
          </w:p>
        </w:tc>
        <w:tc>
          <w:tcPr>
            <w:tcW w:w="1247" w:type="dxa"/>
            <w:shd w:val="clear" w:color="auto" w:fill="D2DDE1" w:themeFill="background2"/>
            <w:noWrap/>
          </w:tcPr>
          <w:p w14:paraId="650924E8" w14:textId="6C3C4281"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0.021</w:t>
            </w:r>
          </w:p>
        </w:tc>
        <w:tc>
          <w:tcPr>
            <w:tcW w:w="1134" w:type="dxa"/>
            <w:shd w:val="clear" w:color="auto" w:fill="auto"/>
            <w:noWrap/>
          </w:tcPr>
          <w:p w14:paraId="650924E9" w14:textId="5ED04ED7"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0.021</w:t>
            </w:r>
          </w:p>
        </w:tc>
        <w:tc>
          <w:tcPr>
            <w:tcW w:w="1134" w:type="dxa"/>
            <w:shd w:val="clear" w:color="auto" w:fill="auto"/>
            <w:noWrap/>
          </w:tcPr>
          <w:p w14:paraId="650924EA" w14:textId="786D713C"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0.001</w:t>
            </w:r>
          </w:p>
        </w:tc>
        <w:tc>
          <w:tcPr>
            <w:tcW w:w="1191" w:type="dxa"/>
            <w:tcBorders>
              <w:right w:val="single" w:sz="4" w:space="0" w:color="FFFFFF" w:themeColor="background1"/>
            </w:tcBorders>
            <w:shd w:val="clear" w:color="auto" w:fill="auto"/>
            <w:noWrap/>
          </w:tcPr>
          <w:p w14:paraId="650924EB" w14:textId="199DF08D"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0.00003</w:t>
            </w:r>
          </w:p>
        </w:tc>
      </w:tr>
      <w:tr w:rsidR="001E087B" w:rsidRPr="00B275E2" w14:paraId="650924F4" w14:textId="77777777" w:rsidTr="004D4540">
        <w:trPr>
          <w:trHeight w:val="300"/>
        </w:trPr>
        <w:tc>
          <w:tcPr>
            <w:cnfStyle w:val="001000000000" w:firstRow="0" w:lastRow="0" w:firstColumn="1" w:lastColumn="0" w:oddVBand="0" w:evenVBand="0" w:oddHBand="0" w:evenHBand="0" w:firstRowFirstColumn="0" w:firstRowLastColumn="0" w:lastRowFirstColumn="0" w:lastRowLastColumn="0"/>
            <w:tcW w:w="1531" w:type="dxa"/>
            <w:vMerge/>
            <w:tcBorders>
              <w:left w:val="single" w:sz="4" w:space="0" w:color="FFFFFF" w:themeColor="background1"/>
            </w:tcBorders>
          </w:tcPr>
          <w:p w14:paraId="650924ED" w14:textId="77777777" w:rsidR="00E078CD" w:rsidRPr="00B275E2" w:rsidRDefault="00E078CD" w:rsidP="001E087B">
            <w:pPr>
              <w:pStyle w:val="TableText"/>
              <w:spacing w:before="30" w:after="30"/>
              <w:rPr>
                <w:b w:val="0"/>
              </w:rPr>
            </w:pPr>
          </w:p>
        </w:tc>
        <w:tc>
          <w:tcPr>
            <w:tcW w:w="1543" w:type="dxa"/>
            <w:noWrap/>
          </w:tcPr>
          <w:p w14:paraId="650924EE" w14:textId="47A740E8" w:rsidR="00E078CD" w:rsidRPr="00B275E2" w:rsidRDefault="00E078CD" w:rsidP="001E087B">
            <w:pPr>
              <w:pStyle w:val="TableText"/>
              <w:spacing w:before="30" w:after="30"/>
              <w:cnfStyle w:val="000000000000" w:firstRow="0" w:lastRow="0" w:firstColumn="0" w:lastColumn="0" w:oddVBand="0" w:evenVBand="0" w:oddHBand="0" w:evenHBand="0" w:firstRowFirstColumn="0" w:firstRowLastColumn="0" w:lastRowFirstColumn="0" w:lastRowLastColumn="0"/>
            </w:pPr>
            <w:r w:rsidRPr="00B275E2">
              <w:t>Small</w:t>
            </w:r>
          </w:p>
        </w:tc>
        <w:tc>
          <w:tcPr>
            <w:tcW w:w="709" w:type="dxa"/>
            <w:noWrap/>
          </w:tcPr>
          <w:p w14:paraId="650924EF" w14:textId="77777777" w:rsidR="00E078CD" w:rsidRPr="00B275E2" w:rsidRDefault="00E078CD" w:rsidP="001E087B">
            <w:pPr>
              <w:pStyle w:val="TableText"/>
              <w:spacing w:before="30" w:after="30"/>
              <w:cnfStyle w:val="000000000000" w:firstRow="0" w:lastRow="0" w:firstColumn="0" w:lastColumn="0" w:oddVBand="0" w:evenVBand="0" w:oddHBand="0" w:evenHBand="0" w:firstRowFirstColumn="0" w:firstRowLastColumn="0" w:lastRowFirstColumn="0" w:lastRowLastColumn="0"/>
            </w:pPr>
            <w:r w:rsidRPr="00B275E2">
              <w:t>km</w:t>
            </w:r>
          </w:p>
        </w:tc>
        <w:tc>
          <w:tcPr>
            <w:tcW w:w="1247" w:type="dxa"/>
            <w:shd w:val="clear" w:color="auto" w:fill="D2DDE1" w:themeFill="background2"/>
            <w:noWrap/>
          </w:tcPr>
          <w:p w14:paraId="650924F0" w14:textId="5B221E79"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0.023</w:t>
            </w:r>
          </w:p>
        </w:tc>
        <w:tc>
          <w:tcPr>
            <w:tcW w:w="1134" w:type="dxa"/>
            <w:shd w:val="clear" w:color="auto" w:fill="auto"/>
            <w:noWrap/>
          </w:tcPr>
          <w:p w14:paraId="650924F1" w14:textId="46F7EC36"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0.022</w:t>
            </w:r>
          </w:p>
        </w:tc>
        <w:tc>
          <w:tcPr>
            <w:tcW w:w="1134" w:type="dxa"/>
            <w:shd w:val="clear" w:color="auto" w:fill="auto"/>
            <w:noWrap/>
          </w:tcPr>
          <w:p w14:paraId="650924F2" w14:textId="302DAECE"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0.001</w:t>
            </w:r>
          </w:p>
        </w:tc>
        <w:tc>
          <w:tcPr>
            <w:tcW w:w="1191" w:type="dxa"/>
            <w:tcBorders>
              <w:right w:val="single" w:sz="4" w:space="0" w:color="FFFFFF" w:themeColor="background1"/>
            </w:tcBorders>
            <w:shd w:val="clear" w:color="auto" w:fill="auto"/>
            <w:noWrap/>
          </w:tcPr>
          <w:p w14:paraId="650924F3" w14:textId="6397F0D9"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0.00003</w:t>
            </w:r>
          </w:p>
        </w:tc>
      </w:tr>
      <w:tr w:rsidR="001E087B" w:rsidRPr="00B275E2" w14:paraId="650924FC" w14:textId="77777777" w:rsidTr="004D45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1" w:type="dxa"/>
            <w:vMerge/>
            <w:tcBorders>
              <w:left w:val="single" w:sz="4" w:space="0" w:color="FFFFFF" w:themeColor="background1"/>
            </w:tcBorders>
          </w:tcPr>
          <w:p w14:paraId="650924F5" w14:textId="77777777" w:rsidR="00E078CD" w:rsidRPr="00B275E2" w:rsidRDefault="00E078CD" w:rsidP="001E087B">
            <w:pPr>
              <w:pStyle w:val="TableText"/>
              <w:spacing w:before="30" w:after="30"/>
              <w:rPr>
                <w:b w:val="0"/>
              </w:rPr>
            </w:pPr>
          </w:p>
        </w:tc>
        <w:tc>
          <w:tcPr>
            <w:tcW w:w="1543" w:type="dxa"/>
            <w:noWrap/>
          </w:tcPr>
          <w:p w14:paraId="650924F6" w14:textId="079CF15F" w:rsidR="00E078CD" w:rsidRPr="00B275E2" w:rsidRDefault="00E078CD" w:rsidP="001E087B">
            <w:pPr>
              <w:pStyle w:val="TableText"/>
              <w:spacing w:before="30" w:after="30"/>
              <w:cnfStyle w:val="000000100000" w:firstRow="0" w:lastRow="0" w:firstColumn="0" w:lastColumn="0" w:oddVBand="0" w:evenVBand="0" w:oddHBand="1" w:evenHBand="0" w:firstRowFirstColumn="0" w:firstRowLastColumn="0" w:lastRowFirstColumn="0" w:lastRowLastColumn="0"/>
            </w:pPr>
            <w:r w:rsidRPr="00B275E2">
              <w:t>Medium</w:t>
            </w:r>
          </w:p>
        </w:tc>
        <w:tc>
          <w:tcPr>
            <w:tcW w:w="709" w:type="dxa"/>
            <w:noWrap/>
          </w:tcPr>
          <w:p w14:paraId="650924F7" w14:textId="77777777" w:rsidR="00E078CD" w:rsidRPr="00B275E2" w:rsidRDefault="00E078CD" w:rsidP="001E087B">
            <w:pPr>
              <w:pStyle w:val="TableText"/>
              <w:spacing w:before="30" w:after="30"/>
              <w:cnfStyle w:val="000000100000" w:firstRow="0" w:lastRow="0" w:firstColumn="0" w:lastColumn="0" w:oddVBand="0" w:evenVBand="0" w:oddHBand="1" w:evenHBand="0" w:firstRowFirstColumn="0" w:firstRowLastColumn="0" w:lastRowFirstColumn="0" w:lastRowLastColumn="0"/>
            </w:pPr>
            <w:r w:rsidRPr="00B275E2">
              <w:t>km</w:t>
            </w:r>
          </w:p>
        </w:tc>
        <w:tc>
          <w:tcPr>
            <w:tcW w:w="1247" w:type="dxa"/>
            <w:shd w:val="clear" w:color="auto" w:fill="D2DDE1" w:themeFill="background2"/>
            <w:noWrap/>
          </w:tcPr>
          <w:p w14:paraId="650924F8" w14:textId="56FF90C5"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0.026</w:t>
            </w:r>
          </w:p>
        </w:tc>
        <w:tc>
          <w:tcPr>
            <w:tcW w:w="1134" w:type="dxa"/>
            <w:shd w:val="clear" w:color="auto" w:fill="auto"/>
            <w:noWrap/>
          </w:tcPr>
          <w:p w14:paraId="650924F9" w14:textId="2561AA89"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0.025</w:t>
            </w:r>
          </w:p>
        </w:tc>
        <w:tc>
          <w:tcPr>
            <w:tcW w:w="1134" w:type="dxa"/>
            <w:shd w:val="clear" w:color="auto" w:fill="auto"/>
            <w:noWrap/>
          </w:tcPr>
          <w:p w14:paraId="650924FA" w14:textId="2ED822DC"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0.001</w:t>
            </w:r>
          </w:p>
        </w:tc>
        <w:tc>
          <w:tcPr>
            <w:tcW w:w="1191" w:type="dxa"/>
            <w:tcBorders>
              <w:right w:val="single" w:sz="4" w:space="0" w:color="FFFFFF" w:themeColor="background1"/>
            </w:tcBorders>
            <w:shd w:val="clear" w:color="auto" w:fill="auto"/>
            <w:noWrap/>
          </w:tcPr>
          <w:p w14:paraId="650924FB" w14:textId="34BE2AA3"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0.00004</w:t>
            </w:r>
          </w:p>
        </w:tc>
      </w:tr>
      <w:tr w:rsidR="001E087B" w:rsidRPr="00B275E2" w14:paraId="65092504" w14:textId="77777777" w:rsidTr="004D4540">
        <w:trPr>
          <w:trHeight w:val="300"/>
        </w:trPr>
        <w:tc>
          <w:tcPr>
            <w:cnfStyle w:val="001000000000" w:firstRow="0" w:lastRow="0" w:firstColumn="1" w:lastColumn="0" w:oddVBand="0" w:evenVBand="0" w:oddHBand="0" w:evenHBand="0" w:firstRowFirstColumn="0" w:firstRowLastColumn="0" w:lastRowFirstColumn="0" w:lastRowLastColumn="0"/>
            <w:tcW w:w="1531" w:type="dxa"/>
            <w:vMerge/>
            <w:tcBorders>
              <w:left w:val="single" w:sz="4" w:space="0" w:color="FFFFFF" w:themeColor="background1"/>
            </w:tcBorders>
          </w:tcPr>
          <w:p w14:paraId="650924FD" w14:textId="77777777" w:rsidR="00E078CD" w:rsidRPr="00B275E2" w:rsidRDefault="00E078CD" w:rsidP="001E087B">
            <w:pPr>
              <w:pStyle w:val="TableText"/>
              <w:spacing w:before="30" w:after="30"/>
              <w:rPr>
                <w:b w:val="0"/>
              </w:rPr>
            </w:pPr>
          </w:p>
        </w:tc>
        <w:tc>
          <w:tcPr>
            <w:tcW w:w="1543" w:type="dxa"/>
            <w:noWrap/>
          </w:tcPr>
          <w:p w14:paraId="650924FE" w14:textId="1A624A2C" w:rsidR="00E078CD" w:rsidRPr="00B275E2" w:rsidRDefault="00E078CD" w:rsidP="001E087B">
            <w:pPr>
              <w:pStyle w:val="TableText"/>
              <w:spacing w:before="30" w:after="30"/>
              <w:cnfStyle w:val="000000000000" w:firstRow="0" w:lastRow="0" w:firstColumn="0" w:lastColumn="0" w:oddVBand="0" w:evenVBand="0" w:oddHBand="0" w:evenHBand="0" w:firstRowFirstColumn="0" w:firstRowLastColumn="0" w:lastRowFirstColumn="0" w:lastRowLastColumn="0"/>
            </w:pPr>
            <w:r w:rsidRPr="00B275E2">
              <w:t>Large</w:t>
            </w:r>
          </w:p>
        </w:tc>
        <w:tc>
          <w:tcPr>
            <w:tcW w:w="709" w:type="dxa"/>
            <w:noWrap/>
          </w:tcPr>
          <w:p w14:paraId="650924FF" w14:textId="77777777" w:rsidR="00E078CD" w:rsidRPr="00B275E2" w:rsidRDefault="00E078CD" w:rsidP="001E087B">
            <w:pPr>
              <w:pStyle w:val="TableText"/>
              <w:spacing w:before="30" w:after="30"/>
              <w:cnfStyle w:val="000000000000" w:firstRow="0" w:lastRow="0" w:firstColumn="0" w:lastColumn="0" w:oddVBand="0" w:evenVBand="0" w:oddHBand="0" w:evenHBand="0" w:firstRowFirstColumn="0" w:firstRowLastColumn="0" w:lastRowFirstColumn="0" w:lastRowLastColumn="0"/>
            </w:pPr>
            <w:r w:rsidRPr="00B275E2">
              <w:t>km</w:t>
            </w:r>
          </w:p>
        </w:tc>
        <w:tc>
          <w:tcPr>
            <w:tcW w:w="1247" w:type="dxa"/>
            <w:shd w:val="clear" w:color="auto" w:fill="D2DDE1" w:themeFill="background2"/>
            <w:noWrap/>
          </w:tcPr>
          <w:p w14:paraId="65092500" w14:textId="7E768B73"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0.032</w:t>
            </w:r>
          </w:p>
        </w:tc>
        <w:tc>
          <w:tcPr>
            <w:tcW w:w="1134" w:type="dxa"/>
            <w:shd w:val="clear" w:color="auto" w:fill="auto"/>
            <w:noWrap/>
          </w:tcPr>
          <w:p w14:paraId="65092501" w14:textId="24D0AB9F"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0.031</w:t>
            </w:r>
          </w:p>
        </w:tc>
        <w:tc>
          <w:tcPr>
            <w:tcW w:w="1134" w:type="dxa"/>
            <w:shd w:val="clear" w:color="auto" w:fill="auto"/>
            <w:noWrap/>
          </w:tcPr>
          <w:p w14:paraId="65092502" w14:textId="7454BB84"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0.001</w:t>
            </w:r>
          </w:p>
        </w:tc>
        <w:tc>
          <w:tcPr>
            <w:tcW w:w="1191" w:type="dxa"/>
            <w:tcBorders>
              <w:right w:val="single" w:sz="4" w:space="0" w:color="FFFFFF" w:themeColor="background1"/>
            </w:tcBorders>
            <w:shd w:val="clear" w:color="auto" w:fill="auto"/>
            <w:noWrap/>
          </w:tcPr>
          <w:p w14:paraId="65092503" w14:textId="71AA9F1A" w:rsidR="00E078CD" w:rsidRPr="00B275E2" w:rsidRDefault="00E078CD" w:rsidP="001E087B">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0.00004</w:t>
            </w:r>
          </w:p>
        </w:tc>
      </w:tr>
      <w:tr w:rsidR="001E087B" w:rsidRPr="00B275E2" w14:paraId="6509250C" w14:textId="77777777" w:rsidTr="004D45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1" w:type="dxa"/>
            <w:vMerge/>
            <w:tcBorders>
              <w:left w:val="single" w:sz="4" w:space="0" w:color="FFFFFF" w:themeColor="background1"/>
            </w:tcBorders>
          </w:tcPr>
          <w:p w14:paraId="65092505" w14:textId="77777777" w:rsidR="00E078CD" w:rsidRPr="00B275E2" w:rsidRDefault="00E078CD" w:rsidP="001E087B">
            <w:pPr>
              <w:pStyle w:val="TableText"/>
              <w:spacing w:before="30" w:after="30"/>
              <w:rPr>
                <w:b w:val="0"/>
              </w:rPr>
            </w:pPr>
          </w:p>
        </w:tc>
        <w:tc>
          <w:tcPr>
            <w:tcW w:w="1543" w:type="dxa"/>
            <w:noWrap/>
          </w:tcPr>
          <w:p w14:paraId="65092506" w14:textId="04388F70" w:rsidR="00E078CD" w:rsidRPr="00B275E2" w:rsidRDefault="00E078CD" w:rsidP="001E087B">
            <w:pPr>
              <w:pStyle w:val="TableText"/>
              <w:spacing w:before="30" w:after="30"/>
              <w:cnfStyle w:val="000000100000" w:firstRow="0" w:lastRow="0" w:firstColumn="0" w:lastColumn="0" w:oddVBand="0" w:evenVBand="0" w:oddHBand="1" w:evenHBand="0" w:firstRowFirstColumn="0" w:firstRowLastColumn="0" w:lastRowFirstColumn="0" w:lastRowLastColumn="0"/>
            </w:pPr>
            <w:r w:rsidRPr="00B275E2">
              <w:t>Very large</w:t>
            </w:r>
          </w:p>
        </w:tc>
        <w:tc>
          <w:tcPr>
            <w:tcW w:w="709" w:type="dxa"/>
            <w:noWrap/>
          </w:tcPr>
          <w:p w14:paraId="65092507" w14:textId="77777777" w:rsidR="00E078CD" w:rsidRPr="00B275E2" w:rsidRDefault="00E078CD" w:rsidP="001E087B">
            <w:pPr>
              <w:pStyle w:val="TableText"/>
              <w:spacing w:before="30" w:after="30"/>
              <w:cnfStyle w:val="000000100000" w:firstRow="0" w:lastRow="0" w:firstColumn="0" w:lastColumn="0" w:oddVBand="0" w:evenVBand="0" w:oddHBand="1" w:evenHBand="0" w:firstRowFirstColumn="0" w:firstRowLastColumn="0" w:lastRowFirstColumn="0" w:lastRowLastColumn="0"/>
            </w:pPr>
            <w:r w:rsidRPr="00B275E2">
              <w:t>km</w:t>
            </w:r>
          </w:p>
        </w:tc>
        <w:tc>
          <w:tcPr>
            <w:tcW w:w="1247" w:type="dxa"/>
            <w:shd w:val="clear" w:color="auto" w:fill="D2DDE1" w:themeFill="background2"/>
            <w:noWrap/>
          </w:tcPr>
          <w:p w14:paraId="65092508" w14:textId="39A694DE"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0.038</w:t>
            </w:r>
          </w:p>
        </w:tc>
        <w:tc>
          <w:tcPr>
            <w:tcW w:w="1134" w:type="dxa"/>
            <w:shd w:val="clear" w:color="auto" w:fill="auto"/>
            <w:noWrap/>
          </w:tcPr>
          <w:p w14:paraId="65092509" w14:textId="46A9DC32"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0.036</w:t>
            </w:r>
          </w:p>
        </w:tc>
        <w:tc>
          <w:tcPr>
            <w:tcW w:w="1134" w:type="dxa"/>
            <w:shd w:val="clear" w:color="auto" w:fill="auto"/>
            <w:noWrap/>
          </w:tcPr>
          <w:p w14:paraId="6509250A" w14:textId="7D7131F1"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0.001</w:t>
            </w:r>
          </w:p>
        </w:tc>
        <w:tc>
          <w:tcPr>
            <w:tcW w:w="1191" w:type="dxa"/>
            <w:tcBorders>
              <w:right w:val="single" w:sz="4" w:space="0" w:color="FFFFFF" w:themeColor="background1"/>
            </w:tcBorders>
            <w:shd w:val="clear" w:color="auto" w:fill="auto"/>
            <w:noWrap/>
          </w:tcPr>
          <w:p w14:paraId="6509250B" w14:textId="7A95EB33" w:rsidR="00E078CD" w:rsidRPr="00B275E2" w:rsidRDefault="00E078CD" w:rsidP="001E087B">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0.00005</w:t>
            </w:r>
          </w:p>
        </w:tc>
      </w:tr>
    </w:tbl>
    <w:p w14:paraId="31A067A8" w14:textId="21765E8E" w:rsidR="00DA1BB8" w:rsidRPr="00B275E2" w:rsidRDefault="005B2EC6" w:rsidP="007F0B1E">
      <w:pPr>
        <w:pStyle w:val="Note"/>
      </w:pPr>
      <w:r w:rsidRPr="00B275E2">
        <w:t>Note</w:t>
      </w:r>
      <w:r w:rsidR="000A56D0" w:rsidRPr="00B275E2">
        <w:t>: T</w:t>
      </w:r>
      <w:r w:rsidRPr="00B275E2">
        <w:t xml:space="preserve">hese numbers are rounded to three </w:t>
      </w:r>
      <w:r w:rsidR="002011A6" w:rsidRPr="00B275E2">
        <w:t xml:space="preserve">decimal places </w:t>
      </w:r>
      <w:r w:rsidRPr="00B275E2">
        <w:t>unless the number is significantly small.</w:t>
      </w:r>
      <w:r w:rsidR="00A13B22" w:rsidRPr="00B275E2">
        <w:t xml:space="preserve"> </w:t>
      </w:r>
    </w:p>
    <w:p w14:paraId="6509250E" w14:textId="2678E55C" w:rsidR="00F73FFA" w:rsidRPr="00B275E2" w:rsidRDefault="00EB4389" w:rsidP="00F16608">
      <w:pPr>
        <w:pStyle w:val="Tableheading"/>
      </w:pPr>
      <w:bookmarkStart w:id="470" w:name="_Toc111536659"/>
      <w:r w:rsidRPr="00B275E2">
        <w:lastRenderedPageBreak/>
        <w:t xml:space="preserve">Table </w:t>
      </w:r>
      <w:r w:rsidRPr="00B275E2">
        <w:fldChar w:fldCharType="begin"/>
      </w:r>
      <w:r w:rsidRPr="00B275E2">
        <w:instrText>SEQ Table \* ARABIC</w:instrText>
      </w:r>
      <w:r w:rsidRPr="00B275E2">
        <w:fldChar w:fldCharType="separate"/>
      </w:r>
      <w:r>
        <w:rPr>
          <w:noProof/>
        </w:rPr>
        <w:t>54</w:t>
      </w:r>
      <w:r w:rsidRPr="00B275E2">
        <w:fldChar w:fldCharType="end"/>
      </w:r>
      <w:r w:rsidRPr="00B275E2">
        <w:t>:</w:t>
      </w:r>
      <w:r w:rsidRPr="00B275E2">
        <w:tab/>
      </w:r>
      <w:r w:rsidR="00F73FFA" w:rsidRPr="00B275E2">
        <w:t xml:space="preserve">Emission factors for light commercial vehicles </w:t>
      </w:r>
      <w:r w:rsidR="00EE288F" w:rsidRPr="00B275E2">
        <w:t xml:space="preserve">manufactured </w:t>
      </w:r>
      <w:r w:rsidR="00F73FFA" w:rsidRPr="00B275E2">
        <w:t>post</w:t>
      </w:r>
      <w:r w:rsidR="005B2EC6" w:rsidRPr="00B275E2">
        <w:t>-</w:t>
      </w:r>
      <w:r w:rsidR="00F73FFA" w:rsidRPr="00B275E2">
        <w:t>2015</w:t>
      </w:r>
      <w:bookmarkEnd w:id="470"/>
    </w:p>
    <w:tbl>
      <w:tblPr>
        <w:tblStyle w:val="LightList-Accent11"/>
        <w:tblW w:w="8505" w:type="dxa"/>
        <w:tblBorders>
          <w:top w:val="single" w:sz="4" w:space="0" w:color="1B556B"/>
          <w:bottom w:val="single" w:sz="4" w:space="0" w:color="1B556B"/>
          <w:insideH w:val="single" w:sz="4" w:space="0" w:color="1B556B"/>
          <w:insideV w:val="single" w:sz="4" w:space="0" w:color="1B556B"/>
        </w:tblBorders>
        <w:tblLayout w:type="fixed"/>
        <w:tblCellMar>
          <w:left w:w="85" w:type="dxa"/>
          <w:right w:w="85" w:type="dxa"/>
        </w:tblCellMar>
        <w:tblLook w:val="04A0" w:firstRow="1" w:lastRow="0" w:firstColumn="1" w:lastColumn="0" w:noHBand="0" w:noVBand="1"/>
      </w:tblPr>
      <w:tblGrid>
        <w:gridCol w:w="1380"/>
        <w:gridCol w:w="1490"/>
        <w:gridCol w:w="720"/>
        <w:gridCol w:w="1325"/>
        <w:gridCol w:w="1160"/>
        <w:gridCol w:w="1215"/>
        <w:gridCol w:w="1215"/>
      </w:tblGrid>
      <w:tr w:rsidR="006F1A5A" w:rsidRPr="00B275E2" w14:paraId="65092515" w14:textId="77777777" w:rsidTr="00F1660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8" w:type="dxa"/>
            <w:noWrap/>
            <w:vAlign w:val="bottom"/>
            <w:hideMark/>
          </w:tcPr>
          <w:p w14:paraId="6509250F" w14:textId="7A48DC2B" w:rsidR="006F1A5A" w:rsidRPr="00B275E2" w:rsidRDefault="006F1A5A" w:rsidP="007F0B1E">
            <w:pPr>
              <w:pStyle w:val="TableText"/>
              <w:spacing w:before="40" w:after="40"/>
            </w:pPr>
            <w:r w:rsidRPr="00B275E2">
              <w:t>Emission source</w:t>
            </w:r>
          </w:p>
        </w:tc>
        <w:tc>
          <w:tcPr>
            <w:tcW w:w="1531" w:type="dxa"/>
            <w:vAlign w:val="bottom"/>
          </w:tcPr>
          <w:p w14:paraId="4498A2D1" w14:textId="77777777" w:rsidR="006F1A5A" w:rsidRPr="00B275E2" w:rsidRDefault="006F1A5A" w:rsidP="007F0B1E">
            <w:pPr>
              <w:pStyle w:val="TableText"/>
              <w:spacing w:before="40" w:after="40"/>
              <w:cnfStyle w:val="100000000000" w:firstRow="1" w:lastRow="0" w:firstColumn="0" w:lastColumn="0" w:oddVBand="0" w:evenVBand="0" w:oddHBand="0" w:evenHBand="0" w:firstRowFirstColumn="0" w:firstRowLastColumn="0" w:lastRowFirstColumn="0" w:lastRowLastColumn="0"/>
              <w:rPr>
                <w:b w:val="0"/>
                <w:bCs w:val="0"/>
              </w:rPr>
            </w:pPr>
          </w:p>
        </w:tc>
        <w:tc>
          <w:tcPr>
            <w:tcW w:w="737" w:type="dxa"/>
            <w:noWrap/>
            <w:vAlign w:val="bottom"/>
            <w:hideMark/>
          </w:tcPr>
          <w:p w14:paraId="65092510" w14:textId="04FBA293" w:rsidR="006F1A5A" w:rsidRPr="00B275E2" w:rsidRDefault="006F1A5A" w:rsidP="007F0B1E">
            <w:pPr>
              <w:pStyle w:val="TableText"/>
              <w:spacing w:before="40" w:after="40"/>
              <w:cnfStyle w:val="100000000000" w:firstRow="1" w:lastRow="0" w:firstColumn="0" w:lastColumn="0" w:oddVBand="0" w:evenVBand="0" w:oddHBand="0" w:evenHBand="0" w:firstRowFirstColumn="0" w:firstRowLastColumn="0" w:lastRowFirstColumn="0" w:lastRowLastColumn="0"/>
            </w:pPr>
            <w:r w:rsidRPr="00B275E2">
              <w:t>Unit</w:t>
            </w:r>
          </w:p>
        </w:tc>
        <w:tc>
          <w:tcPr>
            <w:tcW w:w="1361" w:type="dxa"/>
            <w:shd w:val="clear" w:color="auto" w:fill="D2DDE1" w:themeFill="background2"/>
            <w:noWrap/>
            <w:vAlign w:val="bottom"/>
            <w:hideMark/>
          </w:tcPr>
          <w:p w14:paraId="65092511" w14:textId="0DC286DC" w:rsidR="006F1A5A" w:rsidRPr="00B275E2" w:rsidRDefault="006F1A5A" w:rsidP="007F0B1E">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color w:val="auto"/>
              </w:rPr>
            </w:pPr>
            <w:r w:rsidRPr="00B275E2">
              <w:rPr>
                <w:color w:val="auto"/>
              </w:rPr>
              <w:t>kg CO</w:t>
            </w:r>
            <w:r w:rsidRPr="00B275E2">
              <w:rPr>
                <w:color w:val="auto"/>
                <w:vertAlign w:val="subscript"/>
              </w:rPr>
              <w:t>2</w:t>
            </w:r>
            <w:r w:rsidRPr="00B275E2">
              <w:rPr>
                <w:color w:val="auto"/>
              </w:rPr>
              <w:t>-e/unit</w:t>
            </w:r>
          </w:p>
        </w:tc>
        <w:tc>
          <w:tcPr>
            <w:tcW w:w="1191" w:type="dxa"/>
            <w:noWrap/>
            <w:vAlign w:val="bottom"/>
            <w:hideMark/>
          </w:tcPr>
          <w:p w14:paraId="65092512" w14:textId="65935055" w:rsidR="006F1A5A" w:rsidRPr="00B275E2" w:rsidRDefault="006F1A5A" w:rsidP="007F0B1E">
            <w:pPr>
              <w:pStyle w:val="TableText"/>
              <w:spacing w:before="40" w:after="40"/>
              <w:jc w:val="right"/>
              <w:cnfStyle w:val="100000000000" w:firstRow="1" w:lastRow="0" w:firstColumn="0" w:lastColumn="0" w:oddVBand="0" w:evenVBand="0" w:oddHBand="0" w:evenHBand="0" w:firstRowFirstColumn="0" w:firstRowLastColumn="0" w:lastRowFirstColumn="0" w:lastRowLastColumn="0"/>
            </w:pPr>
            <w:r w:rsidRPr="00B275E2">
              <w:t>kg CO</w:t>
            </w:r>
            <w:r w:rsidRPr="00B275E2">
              <w:rPr>
                <w:vertAlign w:val="subscript"/>
              </w:rPr>
              <w:t>2</w:t>
            </w:r>
            <w:r w:rsidRPr="00B275E2">
              <w:t>/unit</w:t>
            </w:r>
            <w:r w:rsidRPr="00B275E2">
              <w:br/>
              <w:t>(kg CO</w:t>
            </w:r>
            <w:r w:rsidRPr="00B275E2">
              <w:rPr>
                <w:vertAlign w:val="subscript"/>
              </w:rPr>
              <w:t>2</w:t>
            </w:r>
            <w:r w:rsidRPr="00B275E2">
              <w:noBreakHyphen/>
              <w:t>e)</w:t>
            </w:r>
          </w:p>
        </w:tc>
        <w:tc>
          <w:tcPr>
            <w:tcW w:w="1247" w:type="dxa"/>
            <w:noWrap/>
            <w:vAlign w:val="bottom"/>
            <w:hideMark/>
          </w:tcPr>
          <w:p w14:paraId="65092513" w14:textId="7DE8C5C8" w:rsidR="006F1A5A" w:rsidRPr="00B275E2" w:rsidRDefault="006F1A5A" w:rsidP="007F0B1E">
            <w:pPr>
              <w:pStyle w:val="TableText"/>
              <w:spacing w:before="40" w:after="40"/>
              <w:jc w:val="right"/>
              <w:cnfStyle w:val="100000000000" w:firstRow="1" w:lastRow="0" w:firstColumn="0" w:lastColumn="0" w:oddVBand="0" w:evenVBand="0" w:oddHBand="0" w:evenHBand="0" w:firstRowFirstColumn="0" w:firstRowLastColumn="0" w:lastRowFirstColumn="0" w:lastRowLastColumn="0"/>
            </w:pPr>
            <w:r w:rsidRPr="00B275E2">
              <w:t>kg CH</w:t>
            </w:r>
            <w:r w:rsidRPr="00B275E2">
              <w:rPr>
                <w:vertAlign w:val="subscript"/>
              </w:rPr>
              <w:t>4</w:t>
            </w:r>
            <w:r w:rsidRPr="00B275E2">
              <w:t xml:space="preserve">/unit </w:t>
            </w:r>
            <w:r w:rsidRPr="00B275E2">
              <w:br/>
              <w:t>(kg CO</w:t>
            </w:r>
            <w:r w:rsidRPr="00B275E2">
              <w:rPr>
                <w:vertAlign w:val="subscript"/>
              </w:rPr>
              <w:t>2</w:t>
            </w:r>
            <w:r w:rsidRPr="00B275E2">
              <w:noBreakHyphen/>
              <w:t>e)</w:t>
            </w:r>
          </w:p>
        </w:tc>
        <w:tc>
          <w:tcPr>
            <w:tcW w:w="1247" w:type="dxa"/>
            <w:noWrap/>
            <w:vAlign w:val="bottom"/>
            <w:hideMark/>
          </w:tcPr>
          <w:p w14:paraId="65092514" w14:textId="340FEB52" w:rsidR="006F1A5A" w:rsidRPr="00B275E2" w:rsidRDefault="006F1A5A" w:rsidP="007F0B1E">
            <w:pPr>
              <w:pStyle w:val="TableText"/>
              <w:spacing w:before="40" w:after="40"/>
              <w:jc w:val="right"/>
              <w:cnfStyle w:val="100000000000" w:firstRow="1" w:lastRow="0" w:firstColumn="0" w:lastColumn="0" w:oddVBand="0" w:evenVBand="0" w:oddHBand="0" w:evenHBand="0" w:firstRowFirstColumn="0" w:firstRowLastColumn="0" w:lastRowFirstColumn="0" w:lastRowLastColumn="0"/>
            </w:pPr>
            <w:r w:rsidRPr="00B275E2">
              <w:t>kg N</w:t>
            </w:r>
            <w:r w:rsidRPr="00B275E2">
              <w:rPr>
                <w:vertAlign w:val="subscript"/>
              </w:rPr>
              <w:t>2</w:t>
            </w:r>
            <w:r w:rsidRPr="00B275E2">
              <w:t xml:space="preserve">O/unit </w:t>
            </w:r>
            <w:r w:rsidRPr="00B275E2">
              <w:br/>
              <w:t>(kg CO</w:t>
            </w:r>
            <w:r w:rsidRPr="00B275E2">
              <w:rPr>
                <w:vertAlign w:val="subscript"/>
              </w:rPr>
              <w:t>2</w:t>
            </w:r>
            <w:r w:rsidRPr="00B275E2">
              <w:noBreakHyphen/>
              <w:t>e)</w:t>
            </w:r>
          </w:p>
        </w:tc>
      </w:tr>
      <w:tr w:rsidR="006F1A5A" w:rsidRPr="00B275E2" w14:paraId="6509251D" w14:textId="77777777" w:rsidTr="00BA09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val="restart"/>
            <w:tcBorders>
              <w:left w:val="single" w:sz="4" w:space="0" w:color="FFFFFF" w:themeColor="background1"/>
            </w:tcBorders>
          </w:tcPr>
          <w:p w14:paraId="65092516" w14:textId="77777777" w:rsidR="00C97C65" w:rsidRPr="00B275E2" w:rsidRDefault="00C97C65" w:rsidP="007F0B1E">
            <w:pPr>
              <w:pStyle w:val="TableText"/>
              <w:spacing w:before="40" w:after="50"/>
              <w:rPr>
                <w:b w:val="0"/>
              </w:rPr>
            </w:pPr>
            <w:r w:rsidRPr="00B275E2">
              <w:rPr>
                <w:b w:val="0"/>
              </w:rPr>
              <w:t>Petrol</w:t>
            </w:r>
          </w:p>
        </w:tc>
        <w:tc>
          <w:tcPr>
            <w:tcW w:w="1531" w:type="dxa"/>
            <w:noWrap/>
            <w:vAlign w:val="bottom"/>
          </w:tcPr>
          <w:p w14:paraId="65092517" w14:textId="77777777" w:rsidR="00C97C65" w:rsidRPr="00B275E2" w:rsidRDefault="00C97C65" w:rsidP="007F0B1E">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275E2">
              <w:rPr>
                <w:color w:val="000000"/>
              </w:rPr>
              <w:t>&lt;1350 cc</w:t>
            </w:r>
          </w:p>
        </w:tc>
        <w:tc>
          <w:tcPr>
            <w:tcW w:w="737" w:type="dxa"/>
            <w:noWrap/>
          </w:tcPr>
          <w:p w14:paraId="65092518" w14:textId="77777777" w:rsidR="00C97C65" w:rsidRPr="00B275E2" w:rsidRDefault="00C97C65" w:rsidP="007F0B1E">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275E2">
              <w:t>km</w:t>
            </w:r>
          </w:p>
        </w:tc>
        <w:tc>
          <w:tcPr>
            <w:tcW w:w="1361" w:type="dxa"/>
            <w:shd w:val="clear" w:color="auto" w:fill="D2DDE1" w:themeFill="background2"/>
            <w:noWrap/>
          </w:tcPr>
          <w:p w14:paraId="65092519" w14:textId="4FAB7366" w:rsidR="00C97C65" w:rsidRPr="00B275E2" w:rsidRDefault="00C97C65" w:rsidP="007F0B1E">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0.184</w:t>
            </w:r>
          </w:p>
        </w:tc>
        <w:tc>
          <w:tcPr>
            <w:tcW w:w="1191" w:type="dxa"/>
            <w:shd w:val="clear" w:color="auto" w:fill="auto"/>
            <w:noWrap/>
          </w:tcPr>
          <w:p w14:paraId="6509251A" w14:textId="7F76DEF3" w:rsidR="00C97C65" w:rsidRPr="00B275E2" w:rsidRDefault="00C97C65" w:rsidP="007F0B1E">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0.175</w:t>
            </w:r>
          </w:p>
        </w:tc>
        <w:tc>
          <w:tcPr>
            <w:tcW w:w="1247" w:type="dxa"/>
            <w:shd w:val="clear" w:color="auto" w:fill="auto"/>
            <w:noWrap/>
          </w:tcPr>
          <w:p w14:paraId="6509251B" w14:textId="0E541AC0" w:rsidR="00C97C65" w:rsidRPr="00B275E2" w:rsidRDefault="00C97C65" w:rsidP="007F0B1E">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0.002</w:t>
            </w:r>
          </w:p>
        </w:tc>
        <w:tc>
          <w:tcPr>
            <w:tcW w:w="1247" w:type="dxa"/>
            <w:tcBorders>
              <w:right w:val="single" w:sz="4" w:space="0" w:color="FFFFFF" w:themeColor="background1"/>
            </w:tcBorders>
            <w:shd w:val="clear" w:color="auto" w:fill="auto"/>
            <w:noWrap/>
          </w:tcPr>
          <w:p w14:paraId="6509251C" w14:textId="4B92DEA3" w:rsidR="00C97C65" w:rsidRPr="00B275E2" w:rsidRDefault="00C97C65" w:rsidP="007F0B1E">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0.007</w:t>
            </w:r>
          </w:p>
        </w:tc>
      </w:tr>
      <w:tr w:rsidR="006F1A5A" w:rsidRPr="00B275E2" w14:paraId="65092525" w14:textId="77777777" w:rsidTr="00BA0951">
        <w:tc>
          <w:tcPr>
            <w:cnfStyle w:val="001000000000" w:firstRow="0" w:lastRow="0" w:firstColumn="1" w:lastColumn="0" w:oddVBand="0" w:evenVBand="0" w:oddHBand="0" w:evenHBand="0" w:firstRowFirstColumn="0" w:firstRowLastColumn="0" w:lastRowFirstColumn="0" w:lastRowLastColumn="0"/>
            <w:tcW w:w="1418" w:type="dxa"/>
            <w:vMerge/>
            <w:tcBorders>
              <w:left w:val="single" w:sz="4" w:space="0" w:color="FFFFFF" w:themeColor="background1"/>
            </w:tcBorders>
          </w:tcPr>
          <w:p w14:paraId="6509251E" w14:textId="77777777" w:rsidR="00C97C65" w:rsidRPr="00B275E2" w:rsidRDefault="00C97C65" w:rsidP="007F0B1E">
            <w:pPr>
              <w:pStyle w:val="TableText"/>
              <w:spacing w:before="40" w:after="50"/>
              <w:rPr>
                <w:b w:val="0"/>
              </w:rPr>
            </w:pPr>
          </w:p>
        </w:tc>
        <w:tc>
          <w:tcPr>
            <w:tcW w:w="1531" w:type="dxa"/>
            <w:noWrap/>
            <w:vAlign w:val="bottom"/>
          </w:tcPr>
          <w:p w14:paraId="6509251F" w14:textId="1792243F" w:rsidR="00C97C65" w:rsidRPr="00B275E2" w:rsidRDefault="00C97C65" w:rsidP="007F0B1E">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275E2">
              <w:rPr>
                <w:color w:val="000000"/>
              </w:rPr>
              <w:t>1350</w:t>
            </w:r>
            <w:r w:rsidRPr="00B275E2">
              <w:rPr>
                <w:rFonts w:cs="Calibri"/>
                <w:color w:val="000000"/>
                <w:szCs w:val="18"/>
              </w:rPr>
              <w:t xml:space="preserve"> -</w:t>
            </w:r>
            <w:r w:rsidRPr="00B275E2">
              <w:rPr>
                <w:rFonts w:cs="Calibri"/>
                <w:color w:val="000000"/>
              </w:rPr>
              <w:t xml:space="preserve"> </w:t>
            </w:r>
            <w:r w:rsidRPr="00B275E2">
              <w:t>&lt;</w:t>
            </w:r>
            <w:r w:rsidRPr="00B275E2">
              <w:rPr>
                <w:color w:val="000000"/>
              </w:rPr>
              <w:t>1600 cc</w:t>
            </w:r>
          </w:p>
        </w:tc>
        <w:tc>
          <w:tcPr>
            <w:tcW w:w="737" w:type="dxa"/>
            <w:noWrap/>
          </w:tcPr>
          <w:p w14:paraId="65092520" w14:textId="77777777" w:rsidR="00C97C65" w:rsidRPr="00B275E2" w:rsidRDefault="00C97C65" w:rsidP="007F0B1E">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275E2">
              <w:t>km</w:t>
            </w:r>
          </w:p>
        </w:tc>
        <w:tc>
          <w:tcPr>
            <w:tcW w:w="1361" w:type="dxa"/>
            <w:shd w:val="clear" w:color="auto" w:fill="D2DDE1" w:themeFill="background2"/>
            <w:noWrap/>
          </w:tcPr>
          <w:p w14:paraId="65092521" w14:textId="5C73F778" w:rsidR="00C97C65" w:rsidRPr="00B275E2" w:rsidRDefault="00C97C65" w:rsidP="007F0B1E">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0.198</w:t>
            </w:r>
          </w:p>
        </w:tc>
        <w:tc>
          <w:tcPr>
            <w:tcW w:w="1191" w:type="dxa"/>
            <w:shd w:val="clear" w:color="auto" w:fill="auto"/>
            <w:noWrap/>
          </w:tcPr>
          <w:p w14:paraId="65092522" w14:textId="67E991C8" w:rsidR="00C97C65" w:rsidRPr="00B275E2" w:rsidRDefault="00C97C65" w:rsidP="007F0B1E">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0.188</w:t>
            </w:r>
          </w:p>
        </w:tc>
        <w:tc>
          <w:tcPr>
            <w:tcW w:w="1247" w:type="dxa"/>
            <w:shd w:val="clear" w:color="auto" w:fill="auto"/>
            <w:noWrap/>
          </w:tcPr>
          <w:p w14:paraId="65092523" w14:textId="068A81AC" w:rsidR="00C97C65" w:rsidRPr="00B275E2" w:rsidRDefault="00C97C65" w:rsidP="007F0B1E">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0.002</w:t>
            </w:r>
          </w:p>
        </w:tc>
        <w:tc>
          <w:tcPr>
            <w:tcW w:w="1247" w:type="dxa"/>
            <w:tcBorders>
              <w:right w:val="single" w:sz="4" w:space="0" w:color="FFFFFF" w:themeColor="background1"/>
            </w:tcBorders>
            <w:shd w:val="clear" w:color="auto" w:fill="auto"/>
            <w:noWrap/>
          </w:tcPr>
          <w:p w14:paraId="65092524" w14:textId="0A9D5910" w:rsidR="00C97C65" w:rsidRPr="00B275E2" w:rsidRDefault="00C97C65" w:rsidP="007F0B1E">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0.007</w:t>
            </w:r>
          </w:p>
        </w:tc>
      </w:tr>
      <w:tr w:rsidR="006F1A5A" w:rsidRPr="00B275E2" w14:paraId="6509252D" w14:textId="77777777" w:rsidTr="00BA09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left w:val="single" w:sz="4" w:space="0" w:color="FFFFFF" w:themeColor="background1"/>
            </w:tcBorders>
          </w:tcPr>
          <w:p w14:paraId="65092526" w14:textId="77777777" w:rsidR="00C97C65" w:rsidRPr="00B275E2" w:rsidRDefault="00C97C65" w:rsidP="007F0B1E">
            <w:pPr>
              <w:pStyle w:val="TableText"/>
              <w:spacing w:before="40" w:after="50"/>
              <w:rPr>
                <w:b w:val="0"/>
              </w:rPr>
            </w:pPr>
          </w:p>
        </w:tc>
        <w:tc>
          <w:tcPr>
            <w:tcW w:w="1531" w:type="dxa"/>
            <w:noWrap/>
            <w:vAlign w:val="bottom"/>
          </w:tcPr>
          <w:p w14:paraId="65092527" w14:textId="3844A5AA" w:rsidR="00C97C65" w:rsidRPr="00B275E2" w:rsidRDefault="00C97C65" w:rsidP="007F0B1E">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275E2">
              <w:rPr>
                <w:color w:val="000000"/>
              </w:rPr>
              <w:t>1600</w:t>
            </w:r>
            <w:r w:rsidRPr="00B275E2">
              <w:rPr>
                <w:rFonts w:cs="Calibri"/>
                <w:color w:val="000000"/>
                <w:szCs w:val="18"/>
              </w:rPr>
              <w:t xml:space="preserve"> -</w:t>
            </w:r>
            <w:r w:rsidRPr="00B275E2">
              <w:rPr>
                <w:rFonts w:cs="Calibri"/>
                <w:color w:val="000000"/>
              </w:rPr>
              <w:t xml:space="preserve"> </w:t>
            </w:r>
            <w:r w:rsidRPr="00B275E2">
              <w:t>&lt;</w:t>
            </w:r>
            <w:r w:rsidRPr="00B275E2">
              <w:rPr>
                <w:color w:val="000000"/>
              </w:rPr>
              <w:t>2000 cc</w:t>
            </w:r>
          </w:p>
        </w:tc>
        <w:tc>
          <w:tcPr>
            <w:tcW w:w="737" w:type="dxa"/>
            <w:noWrap/>
          </w:tcPr>
          <w:p w14:paraId="65092528" w14:textId="77777777" w:rsidR="00C97C65" w:rsidRPr="00B275E2" w:rsidRDefault="00C97C65" w:rsidP="007F0B1E">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275E2">
              <w:t>km</w:t>
            </w:r>
          </w:p>
        </w:tc>
        <w:tc>
          <w:tcPr>
            <w:tcW w:w="1361" w:type="dxa"/>
            <w:shd w:val="clear" w:color="auto" w:fill="D2DDE1" w:themeFill="background2"/>
            <w:noWrap/>
          </w:tcPr>
          <w:p w14:paraId="65092529" w14:textId="516E696B" w:rsidR="00C97C65" w:rsidRPr="00B275E2" w:rsidRDefault="00C97C65" w:rsidP="007F0B1E">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0.267</w:t>
            </w:r>
          </w:p>
        </w:tc>
        <w:tc>
          <w:tcPr>
            <w:tcW w:w="1191" w:type="dxa"/>
            <w:shd w:val="clear" w:color="auto" w:fill="auto"/>
            <w:noWrap/>
          </w:tcPr>
          <w:p w14:paraId="6509252A" w14:textId="13CF06F7" w:rsidR="00C97C65" w:rsidRPr="00B275E2" w:rsidRDefault="00C97C65" w:rsidP="007F0B1E">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0.254</w:t>
            </w:r>
          </w:p>
        </w:tc>
        <w:tc>
          <w:tcPr>
            <w:tcW w:w="1247" w:type="dxa"/>
            <w:shd w:val="clear" w:color="auto" w:fill="auto"/>
            <w:noWrap/>
          </w:tcPr>
          <w:p w14:paraId="6509252B" w14:textId="084AE416" w:rsidR="00C97C65" w:rsidRPr="00B275E2" w:rsidRDefault="00C97C65" w:rsidP="007F0B1E">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0.003</w:t>
            </w:r>
          </w:p>
        </w:tc>
        <w:tc>
          <w:tcPr>
            <w:tcW w:w="1247" w:type="dxa"/>
            <w:tcBorders>
              <w:right w:val="single" w:sz="4" w:space="0" w:color="FFFFFF" w:themeColor="background1"/>
            </w:tcBorders>
            <w:shd w:val="clear" w:color="auto" w:fill="auto"/>
            <w:noWrap/>
          </w:tcPr>
          <w:p w14:paraId="6509252C" w14:textId="3C1CD5DE" w:rsidR="00C97C65" w:rsidRPr="00B275E2" w:rsidRDefault="00C97C65" w:rsidP="007F0B1E">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0.010</w:t>
            </w:r>
          </w:p>
        </w:tc>
      </w:tr>
      <w:tr w:rsidR="006F1A5A" w:rsidRPr="00B275E2" w14:paraId="65092535" w14:textId="77777777" w:rsidTr="00BA0951">
        <w:tc>
          <w:tcPr>
            <w:cnfStyle w:val="001000000000" w:firstRow="0" w:lastRow="0" w:firstColumn="1" w:lastColumn="0" w:oddVBand="0" w:evenVBand="0" w:oddHBand="0" w:evenHBand="0" w:firstRowFirstColumn="0" w:firstRowLastColumn="0" w:lastRowFirstColumn="0" w:lastRowLastColumn="0"/>
            <w:tcW w:w="1418" w:type="dxa"/>
            <w:vMerge/>
            <w:tcBorders>
              <w:left w:val="single" w:sz="4" w:space="0" w:color="FFFFFF" w:themeColor="background1"/>
            </w:tcBorders>
          </w:tcPr>
          <w:p w14:paraId="6509252E" w14:textId="77777777" w:rsidR="00C97C65" w:rsidRPr="00B275E2" w:rsidRDefault="00C97C65" w:rsidP="007F0B1E">
            <w:pPr>
              <w:pStyle w:val="TableText"/>
              <w:spacing w:before="40" w:after="50"/>
              <w:rPr>
                <w:b w:val="0"/>
              </w:rPr>
            </w:pPr>
          </w:p>
        </w:tc>
        <w:tc>
          <w:tcPr>
            <w:tcW w:w="1531" w:type="dxa"/>
            <w:noWrap/>
            <w:vAlign w:val="bottom"/>
          </w:tcPr>
          <w:p w14:paraId="6509252F" w14:textId="3164205E" w:rsidR="00C97C65" w:rsidRPr="00B275E2" w:rsidRDefault="00C97C65" w:rsidP="007F0B1E">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275E2">
              <w:rPr>
                <w:color w:val="000000"/>
              </w:rPr>
              <w:t>2000</w:t>
            </w:r>
            <w:r w:rsidRPr="00B275E2">
              <w:rPr>
                <w:rFonts w:cs="Calibri"/>
                <w:color w:val="000000"/>
                <w:szCs w:val="18"/>
              </w:rPr>
              <w:t xml:space="preserve"> -</w:t>
            </w:r>
            <w:r w:rsidRPr="00B275E2">
              <w:rPr>
                <w:rFonts w:cs="Calibri"/>
                <w:color w:val="000000"/>
              </w:rPr>
              <w:t xml:space="preserve"> </w:t>
            </w:r>
            <w:r w:rsidRPr="00B275E2">
              <w:t>&lt;</w:t>
            </w:r>
            <w:r w:rsidRPr="00B275E2">
              <w:rPr>
                <w:color w:val="000000"/>
              </w:rPr>
              <w:t>3000 cc</w:t>
            </w:r>
          </w:p>
        </w:tc>
        <w:tc>
          <w:tcPr>
            <w:tcW w:w="737" w:type="dxa"/>
            <w:noWrap/>
          </w:tcPr>
          <w:p w14:paraId="65092530" w14:textId="77777777" w:rsidR="00C97C65" w:rsidRPr="00B275E2" w:rsidRDefault="00C97C65" w:rsidP="007F0B1E">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275E2">
              <w:t>km</w:t>
            </w:r>
          </w:p>
        </w:tc>
        <w:tc>
          <w:tcPr>
            <w:tcW w:w="1361" w:type="dxa"/>
            <w:shd w:val="clear" w:color="auto" w:fill="D2DDE1" w:themeFill="background2"/>
            <w:noWrap/>
          </w:tcPr>
          <w:p w14:paraId="65092531" w14:textId="39457021" w:rsidR="00C97C65" w:rsidRPr="00B275E2" w:rsidRDefault="00C97C65" w:rsidP="007F0B1E">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0.282</w:t>
            </w:r>
          </w:p>
        </w:tc>
        <w:tc>
          <w:tcPr>
            <w:tcW w:w="1191" w:type="dxa"/>
            <w:shd w:val="clear" w:color="auto" w:fill="auto"/>
            <w:noWrap/>
          </w:tcPr>
          <w:p w14:paraId="65092532" w14:textId="37EB6A98" w:rsidR="00C97C65" w:rsidRPr="00B275E2" w:rsidRDefault="00C97C65" w:rsidP="007F0B1E">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0.269</w:t>
            </w:r>
          </w:p>
        </w:tc>
        <w:tc>
          <w:tcPr>
            <w:tcW w:w="1247" w:type="dxa"/>
            <w:shd w:val="clear" w:color="auto" w:fill="auto"/>
            <w:noWrap/>
          </w:tcPr>
          <w:p w14:paraId="65092533" w14:textId="5D65236E" w:rsidR="00C97C65" w:rsidRPr="00B275E2" w:rsidRDefault="00C97C65" w:rsidP="007F0B1E">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0.003</w:t>
            </w:r>
          </w:p>
        </w:tc>
        <w:tc>
          <w:tcPr>
            <w:tcW w:w="1247" w:type="dxa"/>
            <w:tcBorders>
              <w:right w:val="single" w:sz="4" w:space="0" w:color="FFFFFF" w:themeColor="background1"/>
            </w:tcBorders>
            <w:shd w:val="clear" w:color="auto" w:fill="auto"/>
            <w:noWrap/>
          </w:tcPr>
          <w:p w14:paraId="65092534" w14:textId="0C0D277A" w:rsidR="00C97C65" w:rsidRPr="00B275E2" w:rsidRDefault="00C97C65" w:rsidP="007F0B1E">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0.010</w:t>
            </w:r>
          </w:p>
        </w:tc>
      </w:tr>
      <w:tr w:rsidR="006F1A5A" w:rsidRPr="00B275E2" w14:paraId="6509253D" w14:textId="77777777" w:rsidTr="00BA09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left w:val="single" w:sz="4" w:space="0" w:color="FFFFFF" w:themeColor="background1"/>
            </w:tcBorders>
          </w:tcPr>
          <w:p w14:paraId="65092536" w14:textId="77777777" w:rsidR="00C97C65" w:rsidRPr="00B275E2" w:rsidRDefault="00C97C65" w:rsidP="007F0B1E">
            <w:pPr>
              <w:pStyle w:val="TableText"/>
              <w:spacing w:before="40" w:after="50"/>
              <w:rPr>
                <w:b w:val="0"/>
              </w:rPr>
            </w:pPr>
          </w:p>
        </w:tc>
        <w:tc>
          <w:tcPr>
            <w:tcW w:w="1531" w:type="dxa"/>
            <w:noWrap/>
            <w:vAlign w:val="bottom"/>
          </w:tcPr>
          <w:p w14:paraId="65092537" w14:textId="77777777" w:rsidR="00C97C65" w:rsidRPr="00B275E2" w:rsidRDefault="00C97C65" w:rsidP="007F0B1E">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275E2">
              <w:rPr>
                <w:color w:val="000000"/>
              </w:rPr>
              <w:t>≥3000 cc</w:t>
            </w:r>
          </w:p>
        </w:tc>
        <w:tc>
          <w:tcPr>
            <w:tcW w:w="737" w:type="dxa"/>
            <w:noWrap/>
          </w:tcPr>
          <w:p w14:paraId="65092538" w14:textId="77777777" w:rsidR="00C97C65" w:rsidRPr="00B275E2" w:rsidRDefault="00C97C65" w:rsidP="007F0B1E">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275E2">
              <w:t>km</w:t>
            </w:r>
          </w:p>
        </w:tc>
        <w:tc>
          <w:tcPr>
            <w:tcW w:w="1361" w:type="dxa"/>
            <w:shd w:val="clear" w:color="auto" w:fill="D2DDE1" w:themeFill="background2"/>
            <w:noWrap/>
          </w:tcPr>
          <w:p w14:paraId="65092539" w14:textId="6FB0381A" w:rsidR="00C97C65" w:rsidRPr="00B275E2" w:rsidRDefault="00C97C65" w:rsidP="007F0B1E">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0.322</w:t>
            </w:r>
          </w:p>
        </w:tc>
        <w:tc>
          <w:tcPr>
            <w:tcW w:w="1191" w:type="dxa"/>
            <w:shd w:val="clear" w:color="auto" w:fill="auto"/>
            <w:noWrap/>
          </w:tcPr>
          <w:p w14:paraId="6509253A" w14:textId="566533E8" w:rsidR="00C97C65" w:rsidRPr="00B275E2" w:rsidRDefault="00C97C65" w:rsidP="007F0B1E">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0.307</w:t>
            </w:r>
          </w:p>
        </w:tc>
        <w:tc>
          <w:tcPr>
            <w:tcW w:w="1247" w:type="dxa"/>
            <w:shd w:val="clear" w:color="auto" w:fill="auto"/>
            <w:noWrap/>
          </w:tcPr>
          <w:p w14:paraId="6509253B" w14:textId="03852BDE" w:rsidR="00C97C65" w:rsidRPr="00B275E2" w:rsidRDefault="00C97C65" w:rsidP="007F0B1E">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0.004</w:t>
            </w:r>
          </w:p>
        </w:tc>
        <w:tc>
          <w:tcPr>
            <w:tcW w:w="1247" w:type="dxa"/>
            <w:tcBorders>
              <w:right w:val="single" w:sz="4" w:space="0" w:color="FFFFFF" w:themeColor="background1"/>
            </w:tcBorders>
            <w:shd w:val="clear" w:color="auto" w:fill="auto"/>
            <w:noWrap/>
          </w:tcPr>
          <w:p w14:paraId="6509253C" w14:textId="26F09C4C" w:rsidR="00C97C65" w:rsidRPr="00B275E2" w:rsidRDefault="00C97C65" w:rsidP="007F0B1E">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0.012</w:t>
            </w:r>
          </w:p>
        </w:tc>
      </w:tr>
      <w:tr w:rsidR="006F1A5A" w:rsidRPr="00B275E2" w14:paraId="65092545" w14:textId="77777777" w:rsidTr="00BA0951">
        <w:tc>
          <w:tcPr>
            <w:cnfStyle w:val="001000000000" w:firstRow="0" w:lastRow="0" w:firstColumn="1" w:lastColumn="0" w:oddVBand="0" w:evenVBand="0" w:oddHBand="0" w:evenHBand="0" w:firstRowFirstColumn="0" w:firstRowLastColumn="0" w:lastRowFirstColumn="0" w:lastRowLastColumn="0"/>
            <w:tcW w:w="1418" w:type="dxa"/>
            <w:vMerge w:val="restart"/>
            <w:tcBorders>
              <w:left w:val="single" w:sz="4" w:space="0" w:color="FFFFFF" w:themeColor="background1"/>
            </w:tcBorders>
          </w:tcPr>
          <w:p w14:paraId="6509253E" w14:textId="77777777" w:rsidR="00C97C65" w:rsidRPr="00B275E2" w:rsidRDefault="00C97C65" w:rsidP="007F0B1E">
            <w:pPr>
              <w:pStyle w:val="TableText"/>
              <w:spacing w:before="40" w:after="50"/>
              <w:rPr>
                <w:b w:val="0"/>
              </w:rPr>
            </w:pPr>
            <w:r w:rsidRPr="00B275E2">
              <w:rPr>
                <w:b w:val="0"/>
              </w:rPr>
              <w:t>Diesel</w:t>
            </w:r>
          </w:p>
        </w:tc>
        <w:tc>
          <w:tcPr>
            <w:tcW w:w="1531" w:type="dxa"/>
            <w:noWrap/>
            <w:vAlign w:val="bottom"/>
          </w:tcPr>
          <w:p w14:paraId="6509253F" w14:textId="77777777" w:rsidR="00C97C65" w:rsidRPr="00B275E2" w:rsidRDefault="00C97C65" w:rsidP="007F0B1E">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275E2">
              <w:rPr>
                <w:color w:val="000000"/>
              </w:rPr>
              <w:t>&lt;1350 cc</w:t>
            </w:r>
          </w:p>
        </w:tc>
        <w:tc>
          <w:tcPr>
            <w:tcW w:w="737" w:type="dxa"/>
            <w:noWrap/>
          </w:tcPr>
          <w:p w14:paraId="65092540" w14:textId="77777777" w:rsidR="00C97C65" w:rsidRPr="00B275E2" w:rsidRDefault="00C97C65" w:rsidP="007F0B1E">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275E2">
              <w:t>km</w:t>
            </w:r>
          </w:p>
        </w:tc>
        <w:tc>
          <w:tcPr>
            <w:tcW w:w="1361" w:type="dxa"/>
            <w:shd w:val="clear" w:color="auto" w:fill="D2DDE1" w:themeFill="background2"/>
            <w:noWrap/>
          </w:tcPr>
          <w:p w14:paraId="65092541" w14:textId="77A8CF5F" w:rsidR="00C97C65" w:rsidRPr="00B275E2" w:rsidRDefault="00C97C65" w:rsidP="007F0B1E">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0.189</w:t>
            </w:r>
          </w:p>
        </w:tc>
        <w:tc>
          <w:tcPr>
            <w:tcW w:w="1191" w:type="dxa"/>
            <w:shd w:val="clear" w:color="auto" w:fill="auto"/>
            <w:noWrap/>
          </w:tcPr>
          <w:p w14:paraId="65092542" w14:textId="22285F75" w:rsidR="00C97C65" w:rsidRPr="00B275E2" w:rsidRDefault="00C97C65" w:rsidP="007F0B1E">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0.185</w:t>
            </w:r>
          </w:p>
        </w:tc>
        <w:tc>
          <w:tcPr>
            <w:tcW w:w="1247" w:type="dxa"/>
            <w:shd w:val="clear" w:color="auto" w:fill="auto"/>
            <w:noWrap/>
          </w:tcPr>
          <w:p w14:paraId="65092543" w14:textId="01E2CD5F" w:rsidR="00C97C65" w:rsidRPr="00B275E2" w:rsidRDefault="00C97C65" w:rsidP="007F0B1E">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0.0002</w:t>
            </w:r>
          </w:p>
        </w:tc>
        <w:tc>
          <w:tcPr>
            <w:tcW w:w="1247" w:type="dxa"/>
            <w:tcBorders>
              <w:right w:val="single" w:sz="4" w:space="0" w:color="FFFFFF" w:themeColor="background1"/>
            </w:tcBorders>
            <w:shd w:val="clear" w:color="auto" w:fill="auto"/>
            <w:noWrap/>
          </w:tcPr>
          <w:p w14:paraId="65092544" w14:textId="74ED5C06" w:rsidR="00C97C65" w:rsidRPr="00B275E2" w:rsidRDefault="00C97C65" w:rsidP="007F0B1E">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0.0030</w:t>
            </w:r>
          </w:p>
        </w:tc>
      </w:tr>
      <w:tr w:rsidR="006F1A5A" w:rsidRPr="00B275E2" w14:paraId="6509254D" w14:textId="77777777" w:rsidTr="00BA09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left w:val="single" w:sz="4" w:space="0" w:color="FFFFFF" w:themeColor="background1"/>
            </w:tcBorders>
          </w:tcPr>
          <w:p w14:paraId="65092546" w14:textId="77777777" w:rsidR="00C97C65" w:rsidRPr="00B275E2" w:rsidRDefault="00C97C65" w:rsidP="007F0B1E">
            <w:pPr>
              <w:pStyle w:val="TableText"/>
              <w:spacing w:before="40" w:after="50"/>
              <w:rPr>
                <w:b w:val="0"/>
              </w:rPr>
            </w:pPr>
          </w:p>
        </w:tc>
        <w:tc>
          <w:tcPr>
            <w:tcW w:w="1531" w:type="dxa"/>
            <w:noWrap/>
            <w:vAlign w:val="bottom"/>
          </w:tcPr>
          <w:p w14:paraId="65092547" w14:textId="0E952ADB" w:rsidR="00C97C65" w:rsidRPr="00B275E2" w:rsidRDefault="00C97C65" w:rsidP="007F0B1E">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275E2">
              <w:rPr>
                <w:color w:val="000000"/>
              </w:rPr>
              <w:t>1350</w:t>
            </w:r>
            <w:r w:rsidRPr="00B275E2">
              <w:rPr>
                <w:rFonts w:cs="Calibri"/>
                <w:color w:val="000000"/>
                <w:szCs w:val="18"/>
              </w:rPr>
              <w:t xml:space="preserve"> -</w:t>
            </w:r>
            <w:r w:rsidRPr="00B275E2">
              <w:rPr>
                <w:rFonts w:cs="Calibri"/>
                <w:color w:val="000000"/>
              </w:rPr>
              <w:t xml:space="preserve"> </w:t>
            </w:r>
            <w:r w:rsidRPr="00B275E2">
              <w:t>&lt;</w:t>
            </w:r>
            <w:r w:rsidRPr="00B275E2">
              <w:rPr>
                <w:color w:val="000000"/>
              </w:rPr>
              <w:t>1600 cc</w:t>
            </w:r>
          </w:p>
        </w:tc>
        <w:tc>
          <w:tcPr>
            <w:tcW w:w="737" w:type="dxa"/>
            <w:noWrap/>
          </w:tcPr>
          <w:p w14:paraId="65092548" w14:textId="77777777" w:rsidR="00C97C65" w:rsidRPr="00B275E2" w:rsidRDefault="00C97C65" w:rsidP="007F0B1E">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275E2">
              <w:t>km</w:t>
            </w:r>
          </w:p>
        </w:tc>
        <w:tc>
          <w:tcPr>
            <w:tcW w:w="1361" w:type="dxa"/>
            <w:shd w:val="clear" w:color="auto" w:fill="D2DDE1" w:themeFill="background2"/>
            <w:noWrap/>
          </w:tcPr>
          <w:p w14:paraId="65092549" w14:textId="50F039F5" w:rsidR="00C97C65" w:rsidRPr="00B275E2" w:rsidRDefault="00C97C65" w:rsidP="007F0B1E">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0.182</w:t>
            </w:r>
          </w:p>
        </w:tc>
        <w:tc>
          <w:tcPr>
            <w:tcW w:w="1191" w:type="dxa"/>
            <w:shd w:val="clear" w:color="auto" w:fill="auto"/>
            <w:noWrap/>
          </w:tcPr>
          <w:p w14:paraId="6509254A" w14:textId="2AEC4C70" w:rsidR="00C97C65" w:rsidRPr="00B275E2" w:rsidRDefault="00C97C65" w:rsidP="007F0B1E">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0.178</w:t>
            </w:r>
          </w:p>
        </w:tc>
        <w:tc>
          <w:tcPr>
            <w:tcW w:w="1247" w:type="dxa"/>
            <w:shd w:val="clear" w:color="auto" w:fill="auto"/>
            <w:noWrap/>
          </w:tcPr>
          <w:p w14:paraId="6509254B" w14:textId="463D35C3" w:rsidR="00C97C65" w:rsidRPr="00B275E2" w:rsidRDefault="00C97C65" w:rsidP="007F0B1E">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0.0002</w:t>
            </w:r>
          </w:p>
        </w:tc>
        <w:tc>
          <w:tcPr>
            <w:tcW w:w="1247" w:type="dxa"/>
            <w:tcBorders>
              <w:right w:val="single" w:sz="4" w:space="0" w:color="FFFFFF" w:themeColor="background1"/>
            </w:tcBorders>
            <w:shd w:val="clear" w:color="auto" w:fill="auto"/>
            <w:noWrap/>
          </w:tcPr>
          <w:p w14:paraId="6509254C" w14:textId="354441D9" w:rsidR="00C97C65" w:rsidRPr="00B275E2" w:rsidRDefault="00C97C65" w:rsidP="007F0B1E">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0.0028</w:t>
            </w:r>
          </w:p>
        </w:tc>
      </w:tr>
      <w:tr w:rsidR="006F1A5A" w:rsidRPr="00B275E2" w14:paraId="65092555" w14:textId="77777777" w:rsidTr="00BA0951">
        <w:tc>
          <w:tcPr>
            <w:cnfStyle w:val="001000000000" w:firstRow="0" w:lastRow="0" w:firstColumn="1" w:lastColumn="0" w:oddVBand="0" w:evenVBand="0" w:oddHBand="0" w:evenHBand="0" w:firstRowFirstColumn="0" w:firstRowLastColumn="0" w:lastRowFirstColumn="0" w:lastRowLastColumn="0"/>
            <w:tcW w:w="1418" w:type="dxa"/>
            <w:vMerge/>
            <w:tcBorders>
              <w:left w:val="single" w:sz="4" w:space="0" w:color="FFFFFF" w:themeColor="background1"/>
            </w:tcBorders>
          </w:tcPr>
          <w:p w14:paraId="6509254E" w14:textId="77777777" w:rsidR="00C97C65" w:rsidRPr="00B275E2" w:rsidRDefault="00C97C65" w:rsidP="007F0B1E">
            <w:pPr>
              <w:pStyle w:val="TableText"/>
              <w:spacing w:before="40" w:after="50"/>
              <w:rPr>
                <w:b w:val="0"/>
              </w:rPr>
            </w:pPr>
          </w:p>
        </w:tc>
        <w:tc>
          <w:tcPr>
            <w:tcW w:w="1531" w:type="dxa"/>
            <w:noWrap/>
            <w:vAlign w:val="bottom"/>
          </w:tcPr>
          <w:p w14:paraId="6509254F" w14:textId="461DF23D" w:rsidR="00C97C65" w:rsidRPr="00B275E2" w:rsidRDefault="00C97C65" w:rsidP="007F0B1E">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275E2">
              <w:rPr>
                <w:color w:val="000000"/>
              </w:rPr>
              <w:t>1600</w:t>
            </w:r>
            <w:r w:rsidRPr="00B275E2">
              <w:rPr>
                <w:rFonts w:cs="Calibri"/>
                <w:color w:val="000000"/>
                <w:szCs w:val="18"/>
              </w:rPr>
              <w:t xml:space="preserve"> -</w:t>
            </w:r>
            <w:r w:rsidRPr="00B275E2">
              <w:rPr>
                <w:rFonts w:cs="Calibri"/>
                <w:color w:val="000000"/>
              </w:rPr>
              <w:t xml:space="preserve"> </w:t>
            </w:r>
            <w:r w:rsidRPr="00B275E2">
              <w:t>&lt;</w:t>
            </w:r>
            <w:r w:rsidRPr="00B275E2">
              <w:rPr>
                <w:color w:val="000000"/>
              </w:rPr>
              <w:t>2000 cc</w:t>
            </w:r>
          </w:p>
        </w:tc>
        <w:tc>
          <w:tcPr>
            <w:tcW w:w="737" w:type="dxa"/>
            <w:noWrap/>
          </w:tcPr>
          <w:p w14:paraId="65092550" w14:textId="77777777" w:rsidR="00C97C65" w:rsidRPr="00B275E2" w:rsidRDefault="00C97C65" w:rsidP="007F0B1E">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275E2">
              <w:t>km</w:t>
            </w:r>
          </w:p>
        </w:tc>
        <w:tc>
          <w:tcPr>
            <w:tcW w:w="1361" w:type="dxa"/>
            <w:shd w:val="clear" w:color="auto" w:fill="D2DDE1" w:themeFill="background2"/>
            <w:noWrap/>
          </w:tcPr>
          <w:p w14:paraId="65092551" w14:textId="169EEAAA" w:rsidR="00C97C65" w:rsidRPr="00B275E2" w:rsidRDefault="00C97C65" w:rsidP="007F0B1E">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0.242</w:t>
            </w:r>
          </w:p>
        </w:tc>
        <w:tc>
          <w:tcPr>
            <w:tcW w:w="1191" w:type="dxa"/>
            <w:shd w:val="clear" w:color="auto" w:fill="auto"/>
            <w:noWrap/>
          </w:tcPr>
          <w:p w14:paraId="65092552" w14:textId="699D4483" w:rsidR="00C97C65" w:rsidRPr="00B275E2" w:rsidRDefault="00C97C65" w:rsidP="007F0B1E">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0.238</w:t>
            </w:r>
          </w:p>
        </w:tc>
        <w:tc>
          <w:tcPr>
            <w:tcW w:w="1247" w:type="dxa"/>
            <w:shd w:val="clear" w:color="auto" w:fill="auto"/>
            <w:noWrap/>
          </w:tcPr>
          <w:p w14:paraId="65092553" w14:textId="515A3DBD" w:rsidR="00C97C65" w:rsidRPr="00B275E2" w:rsidRDefault="00C97C65" w:rsidP="007F0B1E">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0.0003</w:t>
            </w:r>
          </w:p>
        </w:tc>
        <w:tc>
          <w:tcPr>
            <w:tcW w:w="1247" w:type="dxa"/>
            <w:tcBorders>
              <w:right w:val="single" w:sz="4" w:space="0" w:color="FFFFFF" w:themeColor="background1"/>
            </w:tcBorders>
            <w:shd w:val="clear" w:color="auto" w:fill="auto"/>
            <w:noWrap/>
          </w:tcPr>
          <w:p w14:paraId="65092554" w14:textId="0DFF67EF" w:rsidR="00C97C65" w:rsidRPr="00B275E2" w:rsidRDefault="00C97C65" w:rsidP="007F0B1E">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0.0038</w:t>
            </w:r>
          </w:p>
        </w:tc>
      </w:tr>
      <w:tr w:rsidR="006F1A5A" w:rsidRPr="00B275E2" w14:paraId="6509255D" w14:textId="77777777" w:rsidTr="00BA09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left w:val="single" w:sz="4" w:space="0" w:color="FFFFFF" w:themeColor="background1"/>
            </w:tcBorders>
          </w:tcPr>
          <w:p w14:paraId="65092556" w14:textId="77777777" w:rsidR="00C97C65" w:rsidRPr="00B275E2" w:rsidRDefault="00C97C65" w:rsidP="007F0B1E">
            <w:pPr>
              <w:pStyle w:val="TableText"/>
              <w:spacing w:before="40" w:after="50"/>
              <w:rPr>
                <w:b w:val="0"/>
              </w:rPr>
            </w:pPr>
          </w:p>
        </w:tc>
        <w:tc>
          <w:tcPr>
            <w:tcW w:w="1531" w:type="dxa"/>
            <w:noWrap/>
            <w:vAlign w:val="bottom"/>
          </w:tcPr>
          <w:p w14:paraId="65092557" w14:textId="6B97D317" w:rsidR="00C97C65" w:rsidRPr="00B275E2" w:rsidRDefault="00C97C65" w:rsidP="007F0B1E">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275E2">
              <w:rPr>
                <w:color w:val="000000"/>
              </w:rPr>
              <w:t>2000</w:t>
            </w:r>
            <w:r w:rsidRPr="00B275E2">
              <w:rPr>
                <w:rFonts w:cs="Calibri"/>
                <w:color w:val="000000"/>
                <w:szCs w:val="18"/>
              </w:rPr>
              <w:t xml:space="preserve"> -</w:t>
            </w:r>
            <w:r w:rsidRPr="00B275E2">
              <w:rPr>
                <w:rFonts w:cs="Calibri"/>
                <w:color w:val="000000"/>
              </w:rPr>
              <w:t xml:space="preserve"> </w:t>
            </w:r>
            <w:r w:rsidRPr="00B275E2">
              <w:t>&lt;</w:t>
            </w:r>
            <w:r w:rsidRPr="00B275E2">
              <w:rPr>
                <w:color w:val="000000"/>
              </w:rPr>
              <w:t>3000 cc</w:t>
            </w:r>
          </w:p>
        </w:tc>
        <w:tc>
          <w:tcPr>
            <w:tcW w:w="737" w:type="dxa"/>
            <w:noWrap/>
          </w:tcPr>
          <w:p w14:paraId="65092558" w14:textId="77777777" w:rsidR="00C97C65" w:rsidRPr="00B275E2" w:rsidRDefault="00C97C65" w:rsidP="007F0B1E">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275E2">
              <w:t>km</w:t>
            </w:r>
          </w:p>
        </w:tc>
        <w:tc>
          <w:tcPr>
            <w:tcW w:w="1361" w:type="dxa"/>
            <w:shd w:val="clear" w:color="auto" w:fill="D2DDE1" w:themeFill="background2"/>
            <w:noWrap/>
          </w:tcPr>
          <w:p w14:paraId="65092559" w14:textId="1A43015C" w:rsidR="00C97C65" w:rsidRPr="00B275E2" w:rsidRDefault="00C97C65" w:rsidP="007F0B1E">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0.259</w:t>
            </w:r>
          </w:p>
        </w:tc>
        <w:tc>
          <w:tcPr>
            <w:tcW w:w="1191" w:type="dxa"/>
            <w:shd w:val="clear" w:color="auto" w:fill="auto"/>
            <w:noWrap/>
          </w:tcPr>
          <w:p w14:paraId="6509255A" w14:textId="1797EF7B" w:rsidR="00C97C65" w:rsidRPr="00B275E2" w:rsidRDefault="00C97C65" w:rsidP="007F0B1E">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0.255</w:t>
            </w:r>
          </w:p>
        </w:tc>
        <w:tc>
          <w:tcPr>
            <w:tcW w:w="1247" w:type="dxa"/>
            <w:shd w:val="clear" w:color="auto" w:fill="auto"/>
            <w:noWrap/>
          </w:tcPr>
          <w:p w14:paraId="6509255B" w14:textId="3ACAF8FB" w:rsidR="00C97C65" w:rsidRPr="00B275E2" w:rsidRDefault="00C97C65" w:rsidP="007F0B1E">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0.0003</w:t>
            </w:r>
          </w:p>
        </w:tc>
        <w:tc>
          <w:tcPr>
            <w:tcW w:w="1247" w:type="dxa"/>
            <w:tcBorders>
              <w:right w:val="single" w:sz="4" w:space="0" w:color="FFFFFF" w:themeColor="background1"/>
            </w:tcBorders>
            <w:shd w:val="clear" w:color="auto" w:fill="auto"/>
            <w:noWrap/>
          </w:tcPr>
          <w:p w14:paraId="6509255C" w14:textId="17BE90F9" w:rsidR="00C97C65" w:rsidRPr="00B275E2" w:rsidRDefault="00C97C65" w:rsidP="007F0B1E">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0.0041</w:t>
            </w:r>
          </w:p>
        </w:tc>
      </w:tr>
      <w:tr w:rsidR="006F1A5A" w:rsidRPr="00B275E2" w14:paraId="65092565" w14:textId="77777777" w:rsidTr="00BA0951">
        <w:tc>
          <w:tcPr>
            <w:cnfStyle w:val="001000000000" w:firstRow="0" w:lastRow="0" w:firstColumn="1" w:lastColumn="0" w:oddVBand="0" w:evenVBand="0" w:oddHBand="0" w:evenHBand="0" w:firstRowFirstColumn="0" w:firstRowLastColumn="0" w:lastRowFirstColumn="0" w:lastRowLastColumn="0"/>
            <w:tcW w:w="1418" w:type="dxa"/>
            <w:vMerge/>
            <w:tcBorders>
              <w:left w:val="single" w:sz="4" w:space="0" w:color="FFFFFF" w:themeColor="background1"/>
            </w:tcBorders>
          </w:tcPr>
          <w:p w14:paraId="6509255E" w14:textId="77777777" w:rsidR="00C97C65" w:rsidRPr="00B275E2" w:rsidRDefault="00C97C65" w:rsidP="007F0B1E">
            <w:pPr>
              <w:pStyle w:val="TableText"/>
              <w:spacing w:before="40" w:after="50"/>
              <w:rPr>
                <w:b w:val="0"/>
              </w:rPr>
            </w:pPr>
          </w:p>
        </w:tc>
        <w:tc>
          <w:tcPr>
            <w:tcW w:w="1531" w:type="dxa"/>
            <w:noWrap/>
            <w:vAlign w:val="bottom"/>
          </w:tcPr>
          <w:p w14:paraId="6509255F" w14:textId="77777777" w:rsidR="00C97C65" w:rsidRPr="00B275E2" w:rsidRDefault="00C97C65" w:rsidP="007F0B1E">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275E2">
              <w:rPr>
                <w:color w:val="000000"/>
              </w:rPr>
              <w:t>≥3000 cc</w:t>
            </w:r>
          </w:p>
        </w:tc>
        <w:tc>
          <w:tcPr>
            <w:tcW w:w="737" w:type="dxa"/>
            <w:noWrap/>
          </w:tcPr>
          <w:p w14:paraId="65092560" w14:textId="77777777" w:rsidR="00C97C65" w:rsidRPr="00B275E2" w:rsidRDefault="00C97C65" w:rsidP="007F0B1E">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275E2">
              <w:t>km</w:t>
            </w:r>
          </w:p>
        </w:tc>
        <w:tc>
          <w:tcPr>
            <w:tcW w:w="1361" w:type="dxa"/>
            <w:shd w:val="clear" w:color="auto" w:fill="D2DDE1" w:themeFill="background2"/>
            <w:noWrap/>
          </w:tcPr>
          <w:p w14:paraId="65092561" w14:textId="04CC677E" w:rsidR="00C97C65" w:rsidRPr="00B275E2" w:rsidRDefault="00C97C65" w:rsidP="007F0B1E">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0.262</w:t>
            </w:r>
          </w:p>
        </w:tc>
        <w:tc>
          <w:tcPr>
            <w:tcW w:w="1191" w:type="dxa"/>
            <w:shd w:val="clear" w:color="auto" w:fill="auto"/>
            <w:noWrap/>
          </w:tcPr>
          <w:p w14:paraId="65092562" w14:textId="30AB07BE" w:rsidR="00C97C65" w:rsidRPr="00B275E2" w:rsidRDefault="00C97C65" w:rsidP="007F0B1E">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0.258</w:t>
            </w:r>
          </w:p>
        </w:tc>
        <w:tc>
          <w:tcPr>
            <w:tcW w:w="1247" w:type="dxa"/>
            <w:shd w:val="clear" w:color="auto" w:fill="auto"/>
            <w:noWrap/>
          </w:tcPr>
          <w:p w14:paraId="65092563" w14:textId="2C54DBFE" w:rsidR="00C97C65" w:rsidRPr="00B275E2" w:rsidRDefault="00C97C65" w:rsidP="007F0B1E">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0.0003</w:t>
            </w:r>
          </w:p>
        </w:tc>
        <w:tc>
          <w:tcPr>
            <w:tcW w:w="1247" w:type="dxa"/>
            <w:tcBorders>
              <w:right w:val="single" w:sz="4" w:space="0" w:color="FFFFFF" w:themeColor="background1"/>
            </w:tcBorders>
            <w:shd w:val="clear" w:color="auto" w:fill="auto"/>
            <w:noWrap/>
          </w:tcPr>
          <w:p w14:paraId="65092564" w14:textId="4E885C31" w:rsidR="00C97C65" w:rsidRPr="00B275E2" w:rsidRDefault="00C97C65" w:rsidP="007F0B1E">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0.0041</w:t>
            </w:r>
          </w:p>
        </w:tc>
      </w:tr>
      <w:tr w:rsidR="006F1A5A" w:rsidRPr="00B275E2" w14:paraId="6509256D" w14:textId="77777777" w:rsidTr="00BA09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val="restart"/>
            <w:tcBorders>
              <w:left w:val="single" w:sz="4" w:space="0" w:color="FFFFFF" w:themeColor="background1"/>
            </w:tcBorders>
          </w:tcPr>
          <w:p w14:paraId="65092566" w14:textId="6CE3705B" w:rsidR="00C97C65" w:rsidRPr="00B275E2" w:rsidRDefault="00C97C65" w:rsidP="007F0B1E">
            <w:pPr>
              <w:pStyle w:val="TableText"/>
              <w:spacing w:before="40" w:after="50"/>
              <w:rPr>
                <w:b w:val="0"/>
              </w:rPr>
            </w:pPr>
            <w:r w:rsidRPr="00B275E2">
              <w:rPr>
                <w:b w:val="0"/>
              </w:rPr>
              <w:t>Petrol hybrid</w:t>
            </w:r>
          </w:p>
        </w:tc>
        <w:tc>
          <w:tcPr>
            <w:tcW w:w="1531" w:type="dxa"/>
            <w:noWrap/>
            <w:vAlign w:val="bottom"/>
          </w:tcPr>
          <w:p w14:paraId="65092567" w14:textId="77777777" w:rsidR="00C97C65" w:rsidRPr="00B275E2" w:rsidRDefault="00C97C65" w:rsidP="007F0B1E">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275E2">
              <w:rPr>
                <w:color w:val="000000"/>
              </w:rPr>
              <w:t>&lt;1350 cc</w:t>
            </w:r>
          </w:p>
        </w:tc>
        <w:tc>
          <w:tcPr>
            <w:tcW w:w="737" w:type="dxa"/>
            <w:noWrap/>
          </w:tcPr>
          <w:p w14:paraId="65092568" w14:textId="77777777" w:rsidR="00C97C65" w:rsidRPr="00B275E2" w:rsidRDefault="00C97C65" w:rsidP="007F0B1E">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275E2">
              <w:t>km</w:t>
            </w:r>
          </w:p>
        </w:tc>
        <w:tc>
          <w:tcPr>
            <w:tcW w:w="1361" w:type="dxa"/>
            <w:shd w:val="clear" w:color="auto" w:fill="D2DDE1" w:themeFill="background2"/>
            <w:noWrap/>
          </w:tcPr>
          <w:p w14:paraId="65092569" w14:textId="60459120" w:rsidR="00C97C65" w:rsidRPr="00B275E2" w:rsidRDefault="00C97C65" w:rsidP="007F0B1E">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0.144</w:t>
            </w:r>
          </w:p>
        </w:tc>
        <w:tc>
          <w:tcPr>
            <w:tcW w:w="1191" w:type="dxa"/>
            <w:shd w:val="clear" w:color="auto" w:fill="auto"/>
            <w:noWrap/>
          </w:tcPr>
          <w:p w14:paraId="6509256A" w14:textId="67DD63D8" w:rsidR="00C97C65" w:rsidRPr="00B275E2" w:rsidRDefault="00C97C65" w:rsidP="007F0B1E">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0.138</w:t>
            </w:r>
          </w:p>
        </w:tc>
        <w:tc>
          <w:tcPr>
            <w:tcW w:w="1247" w:type="dxa"/>
            <w:shd w:val="clear" w:color="auto" w:fill="auto"/>
            <w:noWrap/>
          </w:tcPr>
          <w:p w14:paraId="6509256B" w14:textId="334C52E6" w:rsidR="00C97C65" w:rsidRPr="00B275E2" w:rsidRDefault="00C97C65" w:rsidP="007F0B1E">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0.002</w:t>
            </w:r>
          </w:p>
        </w:tc>
        <w:tc>
          <w:tcPr>
            <w:tcW w:w="1247" w:type="dxa"/>
            <w:tcBorders>
              <w:right w:val="single" w:sz="4" w:space="0" w:color="FFFFFF" w:themeColor="background1"/>
            </w:tcBorders>
            <w:shd w:val="clear" w:color="auto" w:fill="auto"/>
            <w:noWrap/>
          </w:tcPr>
          <w:p w14:paraId="6509256C" w14:textId="12151DF2" w:rsidR="00C97C65" w:rsidRPr="00B275E2" w:rsidRDefault="00C97C65" w:rsidP="007F0B1E">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0.005</w:t>
            </w:r>
          </w:p>
        </w:tc>
      </w:tr>
      <w:tr w:rsidR="006F1A5A" w:rsidRPr="00B275E2" w14:paraId="65092575" w14:textId="77777777" w:rsidTr="00BA0951">
        <w:tc>
          <w:tcPr>
            <w:cnfStyle w:val="001000000000" w:firstRow="0" w:lastRow="0" w:firstColumn="1" w:lastColumn="0" w:oddVBand="0" w:evenVBand="0" w:oddHBand="0" w:evenHBand="0" w:firstRowFirstColumn="0" w:firstRowLastColumn="0" w:lastRowFirstColumn="0" w:lastRowLastColumn="0"/>
            <w:tcW w:w="1418" w:type="dxa"/>
            <w:vMerge/>
            <w:tcBorders>
              <w:left w:val="single" w:sz="4" w:space="0" w:color="FFFFFF" w:themeColor="background1"/>
            </w:tcBorders>
          </w:tcPr>
          <w:p w14:paraId="6509256E" w14:textId="77777777" w:rsidR="00C97C65" w:rsidRPr="00B275E2" w:rsidRDefault="00C97C65" w:rsidP="007F0B1E">
            <w:pPr>
              <w:pStyle w:val="TableText"/>
              <w:spacing w:before="40" w:after="50"/>
              <w:rPr>
                <w:b w:val="0"/>
              </w:rPr>
            </w:pPr>
          </w:p>
        </w:tc>
        <w:tc>
          <w:tcPr>
            <w:tcW w:w="1531" w:type="dxa"/>
            <w:noWrap/>
            <w:vAlign w:val="bottom"/>
          </w:tcPr>
          <w:p w14:paraId="6509256F" w14:textId="02A8A15E" w:rsidR="00C97C65" w:rsidRPr="00B275E2" w:rsidRDefault="00C97C65" w:rsidP="007F0B1E">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275E2">
              <w:rPr>
                <w:color w:val="000000"/>
              </w:rPr>
              <w:t>1350</w:t>
            </w:r>
            <w:r w:rsidRPr="00B275E2">
              <w:rPr>
                <w:rFonts w:cs="Calibri"/>
                <w:color w:val="000000"/>
                <w:szCs w:val="18"/>
              </w:rPr>
              <w:t xml:space="preserve"> -</w:t>
            </w:r>
            <w:r w:rsidRPr="00B275E2">
              <w:rPr>
                <w:rFonts w:cs="Calibri"/>
                <w:color w:val="000000"/>
              </w:rPr>
              <w:t xml:space="preserve"> </w:t>
            </w:r>
            <w:r w:rsidRPr="00B275E2">
              <w:t>&lt;</w:t>
            </w:r>
            <w:r w:rsidRPr="00B275E2">
              <w:rPr>
                <w:color w:val="000000"/>
              </w:rPr>
              <w:t>1600 cc</w:t>
            </w:r>
          </w:p>
        </w:tc>
        <w:tc>
          <w:tcPr>
            <w:tcW w:w="737" w:type="dxa"/>
            <w:noWrap/>
          </w:tcPr>
          <w:p w14:paraId="65092570" w14:textId="77777777" w:rsidR="00C97C65" w:rsidRPr="00B275E2" w:rsidRDefault="00C97C65" w:rsidP="007F0B1E">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275E2">
              <w:t>km</w:t>
            </w:r>
          </w:p>
        </w:tc>
        <w:tc>
          <w:tcPr>
            <w:tcW w:w="1361" w:type="dxa"/>
            <w:shd w:val="clear" w:color="auto" w:fill="D2DDE1" w:themeFill="background2"/>
            <w:noWrap/>
          </w:tcPr>
          <w:p w14:paraId="65092571" w14:textId="4F2A7EF7" w:rsidR="00C97C65" w:rsidRPr="00B275E2" w:rsidRDefault="00C97C65" w:rsidP="007F0B1E">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0.155</w:t>
            </w:r>
          </w:p>
        </w:tc>
        <w:tc>
          <w:tcPr>
            <w:tcW w:w="1191" w:type="dxa"/>
            <w:shd w:val="clear" w:color="auto" w:fill="auto"/>
            <w:noWrap/>
          </w:tcPr>
          <w:p w14:paraId="65092572" w14:textId="2C55B075" w:rsidR="00C97C65" w:rsidRPr="00B275E2" w:rsidRDefault="00C97C65" w:rsidP="007F0B1E">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0.148</w:t>
            </w:r>
          </w:p>
        </w:tc>
        <w:tc>
          <w:tcPr>
            <w:tcW w:w="1247" w:type="dxa"/>
            <w:shd w:val="clear" w:color="auto" w:fill="auto"/>
            <w:noWrap/>
          </w:tcPr>
          <w:p w14:paraId="65092573" w14:textId="6E5F5377" w:rsidR="00C97C65" w:rsidRPr="00B275E2" w:rsidRDefault="00C97C65" w:rsidP="007F0B1E">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0.002</w:t>
            </w:r>
          </w:p>
        </w:tc>
        <w:tc>
          <w:tcPr>
            <w:tcW w:w="1247" w:type="dxa"/>
            <w:tcBorders>
              <w:right w:val="single" w:sz="4" w:space="0" w:color="FFFFFF" w:themeColor="background1"/>
            </w:tcBorders>
            <w:shd w:val="clear" w:color="auto" w:fill="auto"/>
            <w:noWrap/>
          </w:tcPr>
          <w:p w14:paraId="65092574" w14:textId="5A11E9B3" w:rsidR="00C97C65" w:rsidRPr="00B275E2" w:rsidRDefault="00C97C65" w:rsidP="007F0B1E">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0.005</w:t>
            </w:r>
          </w:p>
        </w:tc>
      </w:tr>
      <w:tr w:rsidR="006F1A5A" w:rsidRPr="00B275E2" w14:paraId="6509257D" w14:textId="77777777" w:rsidTr="00BA09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left w:val="single" w:sz="4" w:space="0" w:color="FFFFFF" w:themeColor="background1"/>
            </w:tcBorders>
            <w:hideMark/>
          </w:tcPr>
          <w:p w14:paraId="65092576" w14:textId="77777777" w:rsidR="00C97C65" w:rsidRPr="00B275E2" w:rsidRDefault="00C97C65" w:rsidP="007F0B1E">
            <w:pPr>
              <w:pStyle w:val="TableText"/>
              <w:spacing w:before="40" w:after="50"/>
              <w:rPr>
                <w:b w:val="0"/>
              </w:rPr>
            </w:pPr>
          </w:p>
        </w:tc>
        <w:tc>
          <w:tcPr>
            <w:tcW w:w="1531" w:type="dxa"/>
            <w:noWrap/>
            <w:vAlign w:val="bottom"/>
          </w:tcPr>
          <w:p w14:paraId="65092577" w14:textId="22D3BEDC" w:rsidR="00C97C65" w:rsidRPr="00B275E2" w:rsidRDefault="00C97C65" w:rsidP="007F0B1E">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275E2">
              <w:rPr>
                <w:color w:val="000000"/>
              </w:rPr>
              <w:t>1600</w:t>
            </w:r>
            <w:r w:rsidRPr="00B275E2">
              <w:rPr>
                <w:rFonts w:cs="Calibri"/>
                <w:color w:val="000000"/>
                <w:szCs w:val="18"/>
              </w:rPr>
              <w:t xml:space="preserve"> -</w:t>
            </w:r>
            <w:r w:rsidRPr="00B275E2">
              <w:rPr>
                <w:rFonts w:cs="Calibri"/>
                <w:color w:val="000000"/>
              </w:rPr>
              <w:t xml:space="preserve"> </w:t>
            </w:r>
            <w:r w:rsidRPr="00B275E2">
              <w:t>&lt;</w:t>
            </w:r>
            <w:r w:rsidRPr="00B275E2">
              <w:rPr>
                <w:color w:val="000000"/>
              </w:rPr>
              <w:t>2000 cc</w:t>
            </w:r>
          </w:p>
        </w:tc>
        <w:tc>
          <w:tcPr>
            <w:tcW w:w="737" w:type="dxa"/>
            <w:noWrap/>
          </w:tcPr>
          <w:p w14:paraId="65092578" w14:textId="77777777" w:rsidR="00C97C65" w:rsidRPr="00B275E2" w:rsidRDefault="00C97C65" w:rsidP="007F0B1E">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275E2">
              <w:t>km</w:t>
            </w:r>
          </w:p>
        </w:tc>
        <w:tc>
          <w:tcPr>
            <w:tcW w:w="1361" w:type="dxa"/>
            <w:shd w:val="clear" w:color="auto" w:fill="D2DDE1" w:themeFill="background2"/>
            <w:noWrap/>
          </w:tcPr>
          <w:p w14:paraId="65092579" w14:textId="7C3F6066" w:rsidR="00C97C65" w:rsidRPr="00B275E2" w:rsidRDefault="00C97C65" w:rsidP="007F0B1E">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0.208</w:t>
            </w:r>
          </w:p>
        </w:tc>
        <w:tc>
          <w:tcPr>
            <w:tcW w:w="1191" w:type="dxa"/>
            <w:shd w:val="clear" w:color="auto" w:fill="auto"/>
            <w:noWrap/>
          </w:tcPr>
          <w:p w14:paraId="6509257A" w14:textId="26622A3C" w:rsidR="00C97C65" w:rsidRPr="00B275E2" w:rsidRDefault="00C97C65" w:rsidP="007F0B1E">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0.199</w:t>
            </w:r>
          </w:p>
        </w:tc>
        <w:tc>
          <w:tcPr>
            <w:tcW w:w="1247" w:type="dxa"/>
            <w:shd w:val="clear" w:color="auto" w:fill="auto"/>
            <w:noWrap/>
          </w:tcPr>
          <w:p w14:paraId="6509257B" w14:textId="1EFAF8F8" w:rsidR="00C97C65" w:rsidRPr="00B275E2" w:rsidRDefault="00C97C65" w:rsidP="007F0B1E">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0.002</w:t>
            </w:r>
          </w:p>
        </w:tc>
        <w:tc>
          <w:tcPr>
            <w:tcW w:w="1247" w:type="dxa"/>
            <w:tcBorders>
              <w:right w:val="single" w:sz="4" w:space="0" w:color="FFFFFF" w:themeColor="background1"/>
            </w:tcBorders>
            <w:shd w:val="clear" w:color="auto" w:fill="auto"/>
            <w:noWrap/>
          </w:tcPr>
          <w:p w14:paraId="6509257C" w14:textId="1D2E0C46" w:rsidR="00C97C65" w:rsidRPr="00B275E2" w:rsidRDefault="00C97C65" w:rsidP="007F0B1E">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0.007</w:t>
            </w:r>
          </w:p>
        </w:tc>
      </w:tr>
      <w:tr w:rsidR="006F1A5A" w:rsidRPr="00B275E2" w14:paraId="65092585" w14:textId="77777777" w:rsidTr="00BA0951">
        <w:tc>
          <w:tcPr>
            <w:cnfStyle w:val="001000000000" w:firstRow="0" w:lastRow="0" w:firstColumn="1" w:lastColumn="0" w:oddVBand="0" w:evenVBand="0" w:oddHBand="0" w:evenHBand="0" w:firstRowFirstColumn="0" w:firstRowLastColumn="0" w:lastRowFirstColumn="0" w:lastRowLastColumn="0"/>
            <w:tcW w:w="1418" w:type="dxa"/>
            <w:vMerge/>
            <w:tcBorders>
              <w:left w:val="single" w:sz="4" w:space="0" w:color="FFFFFF" w:themeColor="background1"/>
            </w:tcBorders>
            <w:hideMark/>
          </w:tcPr>
          <w:p w14:paraId="6509257E" w14:textId="77777777" w:rsidR="00C97C65" w:rsidRPr="00B275E2" w:rsidRDefault="00C97C65" w:rsidP="007F0B1E">
            <w:pPr>
              <w:pStyle w:val="TableText"/>
              <w:spacing w:before="40" w:after="50"/>
              <w:rPr>
                <w:b w:val="0"/>
              </w:rPr>
            </w:pPr>
          </w:p>
        </w:tc>
        <w:tc>
          <w:tcPr>
            <w:tcW w:w="1531" w:type="dxa"/>
            <w:noWrap/>
            <w:vAlign w:val="bottom"/>
          </w:tcPr>
          <w:p w14:paraId="6509257F" w14:textId="0B382FC8" w:rsidR="00C97C65" w:rsidRPr="00B275E2" w:rsidRDefault="00C97C65" w:rsidP="007F0B1E">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275E2">
              <w:rPr>
                <w:color w:val="000000"/>
              </w:rPr>
              <w:t>2000</w:t>
            </w:r>
            <w:r w:rsidRPr="00B275E2">
              <w:rPr>
                <w:rFonts w:cs="Calibri"/>
                <w:color w:val="000000"/>
                <w:szCs w:val="18"/>
              </w:rPr>
              <w:t xml:space="preserve"> -</w:t>
            </w:r>
            <w:r w:rsidRPr="00B275E2">
              <w:rPr>
                <w:rFonts w:cs="Calibri"/>
                <w:color w:val="000000"/>
              </w:rPr>
              <w:t xml:space="preserve"> </w:t>
            </w:r>
            <w:r w:rsidRPr="00B275E2">
              <w:t>&lt;</w:t>
            </w:r>
            <w:r w:rsidRPr="00B275E2">
              <w:rPr>
                <w:color w:val="000000"/>
              </w:rPr>
              <w:t>3000 cc</w:t>
            </w:r>
          </w:p>
        </w:tc>
        <w:tc>
          <w:tcPr>
            <w:tcW w:w="737" w:type="dxa"/>
            <w:noWrap/>
          </w:tcPr>
          <w:p w14:paraId="65092580" w14:textId="77777777" w:rsidR="00C97C65" w:rsidRPr="00B275E2" w:rsidRDefault="00C97C65" w:rsidP="007F0B1E">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275E2">
              <w:t>km</w:t>
            </w:r>
          </w:p>
        </w:tc>
        <w:tc>
          <w:tcPr>
            <w:tcW w:w="1361" w:type="dxa"/>
            <w:shd w:val="clear" w:color="auto" w:fill="D2DDE1" w:themeFill="background2"/>
            <w:noWrap/>
          </w:tcPr>
          <w:p w14:paraId="65092581" w14:textId="0A99AC87" w:rsidR="00C97C65" w:rsidRPr="00B275E2" w:rsidRDefault="00C97C65" w:rsidP="007F0B1E">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0.221</w:t>
            </w:r>
          </w:p>
        </w:tc>
        <w:tc>
          <w:tcPr>
            <w:tcW w:w="1191" w:type="dxa"/>
            <w:shd w:val="clear" w:color="auto" w:fill="auto"/>
            <w:noWrap/>
          </w:tcPr>
          <w:p w14:paraId="65092582" w14:textId="447C7B61" w:rsidR="00C97C65" w:rsidRPr="00B275E2" w:rsidRDefault="00C97C65" w:rsidP="007F0B1E">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0.211</w:t>
            </w:r>
          </w:p>
        </w:tc>
        <w:tc>
          <w:tcPr>
            <w:tcW w:w="1247" w:type="dxa"/>
            <w:shd w:val="clear" w:color="auto" w:fill="auto"/>
            <w:noWrap/>
          </w:tcPr>
          <w:p w14:paraId="65092583" w14:textId="769604E3" w:rsidR="00C97C65" w:rsidRPr="00B275E2" w:rsidRDefault="00C97C65" w:rsidP="007F0B1E">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0.002</w:t>
            </w:r>
          </w:p>
        </w:tc>
        <w:tc>
          <w:tcPr>
            <w:tcW w:w="1247" w:type="dxa"/>
            <w:tcBorders>
              <w:right w:val="single" w:sz="4" w:space="0" w:color="FFFFFF" w:themeColor="background1"/>
            </w:tcBorders>
            <w:shd w:val="clear" w:color="auto" w:fill="auto"/>
            <w:noWrap/>
          </w:tcPr>
          <w:p w14:paraId="65092584" w14:textId="744671B2" w:rsidR="00C97C65" w:rsidRPr="00B275E2" w:rsidRDefault="00C97C65" w:rsidP="007F0B1E">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0.007</w:t>
            </w:r>
          </w:p>
        </w:tc>
      </w:tr>
      <w:tr w:rsidR="006F1A5A" w:rsidRPr="00B275E2" w14:paraId="6509258D" w14:textId="77777777" w:rsidTr="00BA09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left w:val="single" w:sz="4" w:space="0" w:color="FFFFFF" w:themeColor="background1"/>
            </w:tcBorders>
            <w:hideMark/>
          </w:tcPr>
          <w:p w14:paraId="65092586" w14:textId="77777777" w:rsidR="00C97C65" w:rsidRPr="00B275E2" w:rsidRDefault="00C97C65" w:rsidP="007F0B1E">
            <w:pPr>
              <w:pStyle w:val="TableText"/>
              <w:spacing w:before="40" w:after="50"/>
              <w:rPr>
                <w:b w:val="0"/>
              </w:rPr>
            </w:pPr>
          </w:p>
        </w:tc>
        <w:tc>
          <w:tcPr>
            <w:tcW w:w="1531" w:type="dxa"/>
            <w:noWrap/>
            <w:vAlign w:val="bottom"/>
          </w:tcPr>
          <w:p w14:paraId="65092587" w14:textId="77777777" w:rsidR="00C97C65" w:rsidRPr="00B275E2" w:rsidRDefault="00C97C65" w:rsidP="007F0B1E">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275E2">
              <w:rPr>
                <w:color w:val="000000"/>
              </w:rPr>
              <w:t>≥3000 cc</w:t>
            </w:r>
          </w:p>
        </w:tc>
        <w:tc>
          <w:tcPr>
            <w:tcW w:w="737" w:type="dxa"/>
            <w:noWrap/>
          </w:tcPr>
          <w:p w14:paraId="65092588" w14:textId="77777777" w:rsidR="00C97C65" w:rsidRPr="00B275E2" w:rsidRDefault="00C97C65" w:rsidP="007F0B1E">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275E2">
              <w:t>km</w:t>
            </w:r>
          </w:p>
        </w:tc>
        <w:tc>
          <w:tcPr>
            <w:tcW w:w="1361" w:type="dxa"/>
            <w:shd w:val="clear" w:color="auto" w:fill="D2DDE1" w:themeFill="background2"/>
            <w:noWrap/>
          </w:tcPr>
          <w:p w14:paraId="65092589" w14:textId="4D84B5F8" w:rsidR="00C97C65" w:rsidRPr="00B275E2" w:rsidRDefault="00C97C65" w:rsidP="007F0B1E">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0.252</w:t>
            </w:r>
          </w:p>
        </w:tc>
        <w:tc>
          <w:tcPr>
            <w:tcW w:w="1191" w:type="dxa"/>
            <w:shd w:val="clear" w:color="auto" w:fill="auto"/>
            <w:noWrap/>
          </w:tcPr>
          <w:p w14:paraId="6509258A" w14:textId="7745D21E" w:rsidR="00C97C65" w:rsidRPr="00B275E2" w:rsidRDefault="00C97C65" w:rsidP="007F0B1E">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0.241</w:t>
            </w:r>
          </w:p>
        </w:tc>
        <w:tc>
          <w:tcPr>
            <w:tcW w:w="1247" w:type="dxa"/>
            <w:shd w:val="clear" w:color="auto" w:fill="auto"/>
            <w:noWrap/>
          </w:tcPr>
          <w:p w14:paraId="6509258B" w14:textId="4C9ABFBC" w:rsidR="00C97C65" w:rsidRPr="00B275E2" w:rsidRDefault="00C97C65" w:rsidP="007F0B1E">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0.003</w:t>
            </w:r>
          </w:p>
        </w:tc>
        <w:tc>
          <w:tcPr>
            <w:tcW w:w="1247" w:type="dxa"/>
            <w:tcBorders>
              <w:right w:val="single" w:sz="4" w:space="0" w:color="FFFFFF" w:themeColor="background1"/>
            </w:tcBorders>
            <w:shd w:val="clear" w:color="auto" w:fill="auto"/>
            <w:noWrap/>
          </w:tcPr>
          <w:p w14:paraId="6509258C" w14:textId="67BA6C6E" w:rsidR="00C97C65" w:rsidRPr="00B275E2" w:rsidRDefault="00C97C65" w:rsidP="007F0B1E">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0.008</w:t>
            </w:r>
          </w:p>
        </w:tc>
      </w:tr>
      <w:tr w:rsidR="006F1A5A" w:rsidRPr="00B275E2" w14:paraId="65092595" w14:textId="77777777" w:rsidTr="00BA0951">
        <w:tc>
          <w:tcPr>
            <w:cnfStyle w:val="001000000000" w:firstRow="0" w:lastRow="0" w:firstColumn="1" w:lastColumn="0" w:oddVBand="0" w:evenVBand="0" w:oddHBand="0" w:evenHBand="0" w:firstRowFirstColumn="0" w:firstRowLastColumn="0" w:lastRowFirstColumn="0" w:lastRowLastColumn="0"/>
            <w:tcW w:w="1418" w:type="dxa"/>
            <w:vMerge w:val="restart"/>
            <w:tcBorders>
              <w:left w:val="single" w:sz="4" w:space="0" w:color="FFFFFF" w:themeColor="background1"/>
            </w:tcBorders>
            <w:hideMark/>
          </w:tcPr>
          <w:p w14:paraId="6509258E" w14:textId="03D3D195" w:rsidR="00C97C65" w:rsidRPr="00B275E2" w:rsidRDefault="00C97C65" w:rsidP="007F0B1E">
            <w:pPr>
              <w:pStyle w:val="TableText"/>
              <w:spacing w:before="40" w:after="50"/>
              <w:rPr>
                <w:b w:val="0"/>
              </w:rPr>
            </w:pPr>
            <w:r w:rsidRPr="00B275E2">
              <w:rPr>
                <w:b w:val="0"/>
              </w:rPr>
              <w:t>Diesel hybrid</w:t>
            </w:r>
          </w:p>
        </w:tc>
        <w:tc>
          <w:tcPr>
            <w:tcW w:w="1531" w:type="dxa"/>
            <w:noWrap/>
            <w:vAlign w:val="bottom"/>
          </w:tcPr>
          <w:p w14:paraId="6509258F" w14:textId="77777777" w:rsidR="00C97C65" w:rsidRPr="00B275E2" w:rsidRDefault="00C97C65" w:rsidP="007F0B1E">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275E2">
              <w:rPr>
                <w:color w:val="000000"/>
              </w:rPr>
              <w:t>&lt;1350 cc</w:t>
            </w:r>
          </w:p>
        </w:tc>
        <w:tc>
          <w:tcPr>
            <w:tcW w:w="737" w:type="dxa"/>
            <w:noWrap/>
          </w:tcPr>
          <w:p w14:paraId="65092590" w14:textId="77777777" w:rsidR="00C97C65" w:rsidRPr="00B275E2" w:rsidRDefault="00C97C65" w:rsidP="007F0B1E">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275E2">
              <w:t>km</w:t>
            </w:r>
          </w:p>
        </w:tc>
        <w:tc>
          <w:tcPr>
            <w:tcW w:w="1361" w:type="dxa"/>
            <w:shd w:val="clear" w:color="auto" w:fill="D2DDE1" w:themeFill="background2"/>
            <w:noWrap/>
          </w:tcPr>
          <w:p w14:paraId="65092591" w14:textId="75DEAFB2" w:rsidR="00C97C65" w:rsidRPr="00B275E2" w:rsidRDefault="00C97C65" w:rsidP="007F0B1E">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0.170</w:t>
            </w:r>
          </w:p>
        </w:tc>
        <w:tc>
          <w:tcPr>
            <w:tcW w:w="1191" w:type="dxa"/>
            <w:shd w:val="clear" w:color="auto" w:fill="auto"/>
            <w:noWrap/>
          </w:tcPr>
          <w:p w14:paraId="65092592" w14:textId="7B07238A" w:rsidR="00C97C65" w:rsidRPr="00B275E2" w:rsidRDefault="00C97C65" w:rsidP="007F0B1E">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0.167</w:t>
            </w:r>
          </w:p>
        </w:tc>
        <w:tc>
          <w:tcPr>
            <w:tcW w:w="1247" w:type="dxa"/>
            <w:shd w:val="clear" w:color="auto" w:fill="auto"/>
            <w:noWrap/>
          </w:tcPr>
          <w:p w14:paraId="65092593" w14:textId="5BEB6A47" w:rsidR="00C97C65" w:rsidRPr="00B275E2" w:rsidRDefault="00C97C65" w:rsidP="007F0B1E">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w:t>
            </w:r>
          </w:p>
        </w:tc>
        <w:tc>
          <w:tcPr>
            <w:tcW w:w="1247" w:type="dxa"/>
            <w:tcBorders>
              <w:right w:val="single" w:sz="4" w:space="0" w:color="FFFFFF" w:themeColor="background1"/>
            </w:tcBorders>
            <w:shd w:val="clear" w:color="auto" w:fill="auto"/>
            <w:noWrap/>
          </w:tcPr>
          <w:p w14:paraId="65092594" w14:textId="71591D73" w:rsidR="00C97C65" w:rsidRPr="00B275E2" w:rsidRDefault="00C97C65" w:rsidP="007F0B1E">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0.003</w:t>
            </w:r>
          </w:p>
        </w:tc>
      </w:tr>
      <w:tr w:rsidR="006F1A5A" w:rsidRPr="00B275E2" w14:paraId="6509259D" w14:textId="77777777" w:rsidTr="00BA09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left w:val="single" w:sz="4" w:space="0" w:color="FFFFFF" w:themeColor="background1"/>
            </w:tcBorders>
          </w:tcPr>
          <w:p w14:paraId="65092596" w14:textId="77777777" w:rsidR="00C97C65" w:rsidRPr="00B275E2" w:rsidRDefault="00C97C65" w:rsidP="007F0B1E">
            <w:pPr>
              <w:pStyle w:val="TableText"/>
              <w:spacing w:before="40" w:after="50"/>
              <w:rPr>
                <w:b w:val="0"/>
              </w:rPr>
            </w:pPr>
          </w:p>
        </w:tc>
        <w:tc>
          <w:tcPr>
            <w:tcW w:w="1531" w:type="dxa"/>
            <w:noWrap/>
            <w:vAlign w:val="bottom"/>
          </w:tcPr>
          <w:p w14:paraId="65092597" w14:textId="5E87F325" w:rsidR="00C97C65" w:rsidRPr="00B275E2" w:rsidRDefault="00C97C65" w:rsidP="007F0B1E">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275E2">
              <w:rPr>
                <w:color w:val="000000"/>
              </w:rPr>
              <w:t>1350</w:t>
            </w:r>
            <w:r w:rsidRPr="00B275E2">
              <w:rPr>
                <w:rFonts w:cs="Calibri"/>
                <w:color w:val="000000"/>
                <w:szCs w:val="18"/>
              </w:rPr>
              <w:t xml:space="preserve"> -</w:t>
            </w:r>
            <w:r w:rsidRPr="00B275E2">
              <w:rPr>
                <w:rFonts w:cs="Calibri"/>
                <w:color w:val="000000"/>
              </w:rPr>
              <w:t xml:space="preserve"> </w:t>
            </w:r>
            <w:r w:rsidRPr="00B275E2">
              <w:t>&lt;</w:t>
            </w:r>
            <w:r w:rsidRPr="00B275E2">
              <w:rPr>
                <w:color w:val="000000"/>
              </w:rPr>
              <w:t>1600 cc</w:t>
            </w:r>
          </w:p>
        </w:tc>
        <w:tc>
          <w:tcPr>
            <w:tcW w:w="737" w:type="dxa"/>
            <w:noWrap/>
          </w:tcPr>
          <w:p w14:paraId="65092598" w14:textId="77777777" w:rsidR="00C97C65" w:rsidRPr="00B275E2" w:rsidRDefault="00C97C65" w:rsidP="007F0B1E">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275E2">
              <w:t>km</w:t>
            </w:r>
          </w:p>
        </w:tc>
        <w:tc>
          <w:tcPr>
            <w:tcW w:w="1361" w:type="dxa"/>
            <w:shd w:val="clear" w:color="auto" w:fill="D2DDE1" w:themeFill="background2"/>
            <w:noWrap/>
          </w:tcPr>
          <w:p w14:paraId="65092599" w14:textId="02CBC80E" w:rsidR="00C97C65" w:rsidRPr="00B275E2" w:rsidRDefault="00C97C65" w:rsidP="007F0B1E">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0.163</w:t>
            </w:r>
          </w:p>
        </w:tc>
        <w:tc>
          <w:tcPr>
            <w:tcW w:w="1191" w:type="dxa"/>
            <w:shd w:val="clear" w:color="auto" w:fill="auto"/>
            <w:noWrap/>
          </w:tcPr>
          <w:p w14:paraId="6509259A" w14:textId="5EC67D8D" w:rsidR="00C97C65" w:rsidRPr="00B275E2" w:rsidRDefault="00C97C65" w:rsidP="007F0B1E">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0.160</w:t>
            </w:r>
          </w:p>
        </w:tc>
        <w:tc>
          <w:tcPr>
            <w:tcW w:w="1247" w:type="dxa"/>
            <w:shd w:val="clear" w:color="auto" w:fill="auto"/>
            <w:noWrap/>
          </w:tcPr>
          <w:p w14:paraId="6509259B" w14:textId="7FCB7A77" w:rsidR="00C97C65" w:rsidRPr="00B275E2" w:rsidRDefault="00C97C65" w:rsidP="007F0B1E">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w:t>
            </w:r>
          </w:p>
        </w:tc>
        <w:tc>
          <w:tcPr>
            <w:tcW w:w="1247" w:type="dxa"/>
            <w:tcBorders>
              <w:right w:val="single" w:sz="4" w:space="0" w:color="FFFFFF" w:themeColor="background1"/>
            </w:tcBorders>
            <w:shd w:val="clear" w:color="auto" w:fill="auto"/>
            <w:noWrap/>
          </w:tcPr>
          <w:p w14:paraId="6509259C" w14:textId="3C261BD2" w:rsidR="00C97C65" w:rsidRPr="00B275E2" w:rsidRDefault="00C97C65" w:rsidP="007F0B1E">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0.003</w:t>
            </w:r>
          </w:p>
        </w:tc>
      </w:tr>
      <w:tr w:rsidR="006F1A5A" w:rsidRPr="00B275E2" w14:paraId="650925A5" w14:textId="77777777" w:rsidTr="00BA0951">
        <w:tc>
          <w:tcPr>
            <w:cnfStyle w:val="001000000000" w:firstRow="0" w:lastRow="0" w:firstColumn="1" w:lastColumn="0" w:oddVBand="0" w:evenVBand="0" w:oddHBand="0" w:evenHBand="0" w:firstRowFirstColumn="0" w:firstRowLastColumn="0" w:lastRowFirstColumn="0" w:lastRowLastColumn="0"/>
            <w:tcW w:w="1418" w:type="dxa"/>
            <w:vMerge/>
            <w:tcBorders>
              <w:left w:val="single" w:sz="4" w:space="0" w:color="FFFFFF" w:themeColor="background1"/>
            </w:tcBorders>
          </w:tcPr>
          <w:p w14:paraId="6509259E" w14:textId="77777777" w:rsidR="00C97C65" w:rsidRPr="00B275E2" w:rsidRDefault="00C97C65" w:rsidP="007F0B1E">
            <w:pPr>
              <w:pStyle w:val="TableText"/>
              <w:spacing w:before="40" w:after="50"/>
              <w:rPr>
                <w:b w:val="0"/>
              </w:rPr>
            </w:pPr>
          </w:p>
        </w:tc>
        <w:tc>
          <w:tcPr>
            <w:tcW w:w="1531" w:type="dxa"/>
            <w:noWrap/>
            <w:vAlign w:val="bottom"/>
          </w:tcPr>
          <w:p w14:paraId="6509259F" w14:textId="7766E62D" w:rsidR="00C97C65" w:rsidRPr="00B275E2" w:rsidRDefault="00C97C65" w:rsidP="007F0B1E">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275E2">
              <w:rPr>
                <w:color w:val="000000"/>
              </w:rPr>
              <w:t>1600</w:t>
            </w:r>
            <w:r w:rsidRPr="00B275E2">
              <w:rPr>
                <w:rFonts w:cs="Calibri"/>
                <w:color w:val="000000"/>
                <w:szCs w:val="18"/>
              </w:rPr>
              <w:t xml:space="preserve"> -</w:t>
            </w:r>
            <w:r w:rsidRPr="00B275E2">
              <w:rPr>
                <w:rFonts w:cs="Calibri"/>
                <w:color w:val="000000"/>
              </w:rPr>
              <w:t xml:space="preserve"> </w:t>
            </w:r>
            <w:r w:rsidRPr="00B275E2">
              <w:t>&lt;</w:t>
            </w:r>
            <w:r w:rsidRPr="00B275E2">
              <w:rPr>
                <w:color w:val="000000"/>
              </w:rPr>
              <w:t>2000 cc</w:t>
            </w:r>
          </w:p>
        </w:tc>
        <w:tc>
          <w:tcPr>
            <w:tcW w:w="737" w:type="dxa"/>
            <w:noWrap/>
          </w:tcPr>
          <w:p w14:paraId="650925A0" w14:textId="77777777" w:rsidR="00C97C65" w:rsidRPr="00B275E2" w:rsidRDefault="00C97C65" w:rsidP="007F0B1E">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275E2">
              <w:t>km</w:t>
            </w:r>
          </w:p>
        </w:tc>
        <w:tc>
          <w:tcPr>
            <w:tcW w:w="1361" w:type="dxa"/>
            <w:shd w:val="clear" w:color="auto" w:fill="D2DDE1" w:themeFill="background2"/>
            <w:noWrap/>
          </w:tcPr>
          <w:p w14:paraId="650925A1" w14:textId="1D06130B" w:rsidR="00C97C65" w:rsidRPr="00B275E2" w:rsidRDefault="00C97C65" w:rsidP="007F0B1E">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0.217</w:t>
            </w:r>
          </w:p>
        </w:tc>
        <w:tc>
          <w:tcPr>
            <w:tcW w:w="1191" w:type="dxa"/>
            <w:shd w:val="clear" w:color="auto" w:fill="auto"/>
            <w:noWrap/>
          </w:tcPr>
          <w:p w14:paraId="650925A2" w14:textId="0D1558FA" w:rsidR="00C97C65" w:rsidRPr="00B275E2" w:rsidRDefault="00C97C65" w:rsidP="007F0B1E">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0.214</w:t>
            </w:r>
          </w:p>
        </w:tc>
        <w:tc>
          <w:tcPr>
            <w:tcW w:w="1247" w:type="dxa"/>
            <w:shd w:val="clear" w:color="auto" w:fill="auto"/>
            <w:noWrap/>
          </w:tcPr>
          <w:p w14:paraId="650925A3" w14:textId="07032958" w:rsidR="00C97C65" w:rsidRPr="00B275E2" w:rsidRDefault="00C97C65" w:rsidP="007F0B1E">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w:t>
            </w:r>
          </w:p>
        </w:tc>
        <w:tc>
          <w:tcPr>
            <w:tcW w:w="1247" w:type="dxa"/>
            <w:tcBorders>
              <w:right w:val="single" w:sz="4" w:space="0" w:color="FFFFFF" w:themeColor="background1"/>
            </w:tcBorders>
            <w:shd w:val="clear" w:color="auto" w:fill="auto"/>
            <w:noWrap/>
          </w:tcPr>
          <w:p w14:paraId="650925A4" w14:textId="1F55C320" w:rsidR="00C97C65" w:rsidRPr="00B275E2" w:rsidRDefault="00C97C65" w:rsidP="007F0B1E">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0.003</w:t>
            </w:r>
          </w:p>
        </w:tc>
      </w:tr>
      <w:tr w:rsidR="006F1A5A" w:rsidRPr="00B275E2" w14:paraId="650925AD" w14:textId="77777777" w:rsidTr="00BA09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left w:val="single" w:sz="4" w:space="0" w:color="FFFFFF" w:themeColor="background1"/>
            </w:tcBorders>
          </w:tcPr>
          <w:p w14:paraId="650925A6" w14:textId="77777777" w:rsidR="00C97C65" w:rsidRPr="00B275E2" w:rsidRDefault="00C97C65" w:rsidP="007F0B1E">
            <w:pPr>
              <w:pStyle w:val="TableText"/>
              <w:spacing w:before="40" w:after="50"/>
              <w:rPr>
                <w:b w:val="0"/>
              </w:rPr>
            </w:pPr>
          </w:p>
        </w:tc>
        <w:tc>
          <w:tcPr>
            <w:tcW w:w="1531" w:type="dxa"/>
            <w:noWrap/>
            <w:vAlign w:val="bottom"/>
          </w:tcPr>
          <w:p w14:paraId="650925A7" w14:textId="39723579" w:rsidR="00C97C65" w:rsidRPr="00B275E2" w:rsidRDefault="00C97C65" w:rsidP="007F0B1E">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275E2">
              <w:rPr>
                <w:color w:val="000000"/>
              </w:rPr>
              <w:t>2000</w:t>
            </w:r>
            <w:r w:rsidRPr="00B275E2">
              <w:rPr>
                <w:rFonts w:cs="Calibri"/>
                <w:color w:val="000000"/>
                <w:szCs w:val="18"/>
              </w:rPr>
              <w:t xml:space="preserve"> -</w:t>
            </w:r>
            <w:r w:rsidRPr="00B275E2">
              <w:rPr>
                <w:rFonts w:cs="Calibri"/>
                <w:color w:val="000000"/>
              </w:rPr>
              <w:t xml:space="preserve"> </w:t>
            </w:r>
            <w:r w:rsidRPr="00B275E2">
              <w:t>&lt;</w:t>
            </w:r>
            <w:r w:rsidRPr="00B275E2">
              <w:rPr>
                <w:color w:val="000000"/>
              </w:rPr>
              <w:t>3000 cc</w:t>
            </w:r>
          </w:p>
        </w:tc>
        <w:tc>
          <w:tcPr>
            <w:tcW w:w="737" w:type="dxa"/>
            <w:noWrap/>
          </w:tcPr>
          <w:p w14:paraId="650925A8" w14:textId="77777777" w:rsidR="00C97C65" w:rsidRPr="00B275E2" w:rsidRDefault="00C97C65" w:rsidP="007F0B1E">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275E2">
              <w:t>km</w:t>
            </w:r>
          </w:p>
        </w:tc>
        <w:tc>
          <w:tcPr>
            <w:tcW w:w="1361" w:type="dxa"/>
            <w:shd w:val="clear" w:color="auto" w:fill="D2DDE1" w:themeFill="background2"/>
            <w:noWrap/>
          </w:tcPr>
          <w:p w14:paraId="650925A9" w14:textId="382B7845" w:rsidR="00C97C65" w:rsidRPr="00B275E2" w:rsidRDefault="00C97C65" w:rsidP="007F0B1E">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0.233</w:t>
            </w:r>
          </w:p>
        </w:tc>
        <w:tc>
          <w:tcPr>
            <w:tcW w:w="1191" w:type="dxa"/>
            <w:shd w:val="clear" w:color="auto" w:fill="auto"/>
            <w:noWrap/>
          </w:tcPr>
          <w:p w14:paraId="650925AA" w14:textId="76B1BA24" w:rsidR="00C97C65" w:rsidRPr="00B275E2" w:rsidRDefault="00C97C65" w:rsidP="007F0B1E">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0.229</w:t>
            </w:r>
          </w:p>
        </w:tc>
        <w:tc>
          <w:tcPr>
            <w:tcW w:w="1247" w:type="dxa"/>
            <w:shd w:val="clear" w:color="auto" w:fill="auto"/>
            <w:noWrap/>
          </w:tcPr>
          <w:p w14:paraId="650925AB" w14:textId="1B3EF76F" w:rsidR="00C97C65" w:rsidRPr="00B275E2" w:rsidRDefault="00C97C65" w:rsidP="007F0B1E">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w:t>
            </w:r>
          </w:p>
        </w:tc>
        <w:tc>
          <w:tcPr>
            <w:tcW w:w="1247" w:type="dxa"/>
            <w:tcBorders>
              <w:right w:val="single" w:sz="4" w:space="0" w:color="FFFFFF" w:themeColor="background1"/>
            </w:tcBorders>
            <w:shd w:val="clear" w:color="auto" w:fill="auto"/>
            <w:noWrap/>
          </w:tcPr>
          <w:p w14:paraId="650925AC" w14:textId="59A716A5" w:rsidR="00C97C65" w:rsidRPr="00B275E2" w:rsidRDefault="00C97C65" w:rsidP="007F0B1E">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0.004</w:t>
            </w:r>
          </w:p>
        </w:tc>
      </w:tr>
      <w:tr w:rsidR="006F1A5A" w:rsidRPr="00B275E2" w14:paraId="650925B5" w14:textId="77777777" w:rsidTr="00BA0951">
        <w:tc>
          <w:tcPr>
            <w:cnfStyle w:val="001000000000" w:firstRow="0" w:lastRow="0" w:firstColumn="1" w:lastColumn="0" w:oddVBand="0" w:evenVBand="0" w:oddHBand="0" w:evenHBand="0" w:firstRowFirstColumn="0" w:firstRowLastColumn="0" w:lastRowFirstColumn="0" w:lastRowLastColumn="0"/>
            <w:tcW w:w="1418" w:type="dxa"/>
            <w:vMerge/>
            <w:tcBorders>
              <w:left w:val="single" w:sz="4" w:space="0" w:color="FFFFFF" w:themeColor="background1"/>
            </w:tcBorders>
          </w:tcPr>
          <w:p w14:paraId="650925AE" w14:textId="77777777" w:rsidR="00C97C65" w:rsidRPr="00B275E2" w:rsidRDefault="00C97C65" w:rsidP="007F0B1E">
            <w:pPr>
              <w:pStyle w:val="TableText"/>
              <w:spacing w:before="40" w:after="50"/>
              <w:rPr>
                <w:b w:val="0"/>
              </w:rPr>
            </w:pPr>
          </w:p>
        </w:tc>
        <w:tc>
          <w:tcPr>
            <w:tcW w:w="1531" w:type="dxa"/>
            <w:noWrap/>
            <w:vAlign w:val="bottom"/>
          </w:tcPr>
          <w:p w14:paraId="650925AF" w14:textId="77777777" w:rsidR="00C97C65" w:rsidRPr="00B275E2" w:rsidRDefault="00C97C65" w:rsidP="007F0B1E">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275E2">
              <w:rPr>
                <w:color w:val="000000"/>
              </w:rPr>
              <w:t>≥3000 cc</w:t>
            </w:r>
          </w:p>
        </w:tc>
        <w:tc>
          <w:tcPr>
            <w:tcW w:w="737" w:type="dxa"/>
            <w:noWrap/>
          </w:tcPr>
          <w:p w14:paraId="650925B0" w14:textId="77777777" w:rsidR="00C97C65" w:rsidRPr="00B275E2" w:rsidRDefault="00C97C65" w:rsidP="007F0B1E">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275E2">
              <w:t>km</w:t>
            </w:r>
          </w:p>
        </w:tc>
        <w:tc>
          <w:tcPr>
            <w:tcW w:w="1361" w:type="dxa"/>
            <w:shd w:val="clear" w:color="auto" w:fill="D2DDE1" w:themeFill="background2"/>
            <w:noWrap/>
          </w:tcPr>
          <w:p w14:paraId="650925B1" w14:textId="7A1C900E" w:rsidR="00C97C65" w:rsidRPr="00B275E2" w:rsidRDefault="00C97C65" w:rsidP="007F0B1E">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0.236</w:t>
            </w:r>
          </w:p>
        </w:tc>
        <w:tc>
          <w:tcPr>
            <w:tcW w:w="1191" w:type="dxa"/>
            <w:shd w:val="clear" w:color="auto" w:fill="auto"/>
            <w:noWrap/>
          </w:tcPr>
          <w:p w14:paraId="650925B2" w14:textId="34CF5A4E" w:rsidR="00C97C65" w:rsidRPr="00B275E2" w:rsidRDefault="00C97C65" w:rsidP="007F0B1E">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0.232</w:t>
            </w:r>
          </w:p>
        </w:tc>
        <w:tc>
          <w:tcPr>
            <w:tcW w:w="1247" w:type="dxa"/>
            <w:shd w:val="clear" w:color="auto" w:fill="auto"/>
            <w:noWrap/>
          </w:tcPr>
          <w:p w14:paraId="650925B3" w14:textId="11C8277F" w:rsidR="00C97C65" w:rsidRPr="00B275E2" w:rsidRDefault="00C97C65" w:rsidP="007F0B1E">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w:t>
            </w:r>
          </w:p>
        </w:tc>
        <w:tc>
          <w:tcPr>
            <w:tcW w:w="1247" w:type="dxa"/>
            <w:tcBorders>
              <w:right w:val="single" w:sz="4" w:space="0" w:color="FFFFFF" w:themeColor="background1"/>
            </w:tcBorders>
            <w:shd w:val="clear" w:color="auto" w:fill="auto"/>
            <w:noWrap/>
          </w:tcPr>
          <w:p w14:paraId="650925B4" w14:textId="469FFFB7" w:rsidR="00C97C65" w:rsidRPr="00B275E2" w:rsidRDefault="00C97C65" w:rsidP="007F0B1E">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0.004</w:t>
            </w:r>
          </w:p>
        </w:tc>
      </w:tr>
      <w:tr w:rsidR="006F1A5A" w:rsidRPr="00B275E2" w14:paraId="650925BD" w14:textId="77777777" w:rsidTr="00BA09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val="restart"/>
            <w:tcBorders>
              <w:left w:val="single" w:sz="4" w:space="0" w:color="FFFFFF" w:themeColor="background1"/>
            </w:tcBorders>
          </w:tcPr>
          <w:p w14:paraId="650925B6" w14:textId="666521D1" w:rsidR="00C97C65" w:rsidRPr="00B275E2" w:rsidRDefault="00C97C65" w:rsidP="007F0B1E">
            <w:pPr>
              <w:pStyle w:val="TableText"/>
              <w:keepNext/>
              <w:spacing w:before="40" w:after="50"/>
              <w:rPr>
                <w:b w:val="0"/>
              </w:rPr>
            </w:pPr>
            <w:r w:rsidRPr="00B275E2">
              <w:rPr>
                <w:b w:val="0"/>
              </w:rPr>
              <w:t>Petrol PHEV</w:t>
            </w:r>
          </w:p>
        </w:tc>
        <w:tc>
          <w:tcPr>
            <w:tcW w:w="1531" w:type="dxa"/>
            <w:noWrap/>
            <w:vAlign w:val="bottom"/>
          </w:tcPr>
          <w:p w14:paraId="650925B7" w14:textId="2DFB995F" w:rsidR="00C97C65" w:rsidRPr="00B275E2" w:rsidRDefault="00C97C65" w:rsidP="007F0B1E">
            <w:pPr>
              <w:pStyle w:val="TableText"/>
              <w:keepNext/>
              <w:spacing w:before="40" w:after="50"/>
              <w:cnfStyle w:val="000000100000" w:firstRow="0" w:lastRow="0" w:firstColumn="0" w:lastColumn="0" w:oddVBand="0" w:evenVBand="0" w:oddHBand="1" w:evenHBand="0" w:firstRowFirstColumn="0" w:firstRowLastColumn="0" w:lastRowFirstColumn="0" w:lastRowLastColumn="0"/>
            </w:pPr>
            <w:r w:rsidRPr="00B275E2">
              <w:rPr>
                <w:color w:val="000000"/>
              </w:rPr>
              <w:t>&lt;1350 cc</w:t>
            </w:r>
          </w:p>
        </w:tc>
        <w:tc>
          <w:tcPr>
            <w:tcW w:w="737" w:type="dxa"/>
            <w:noWrap/>
          </w:tcPr>
          <w:p w14:paraId="650925B8" w14:textId="77777777" w:rsidR="00C97C65" w:rsidRPr="00B275E2" w:rsidRDefault="00C97C65" w:rsidP="007F0B1E">
            <w:pPr>
              <w:pStyle w:val="TableText"/>
              <w:keepNext/>
              <w:spacing w:before="40" w:after="50"/>
              <w:cnfStyle w:val="000000100000" w:firstRow="0" w:lastRow="0" w:firstColumn="0" w:lastColumn="0" w:oddVBand="0" w:evenVBand="0" w:oddHBand="1" w:evenHBand="0" w:firstRowFirstColumn="0" w:firstRowLastColumn="0" w:lastRowFirstColumn="0" w:lastRowLastColumn="0"/>
            </w:pPr>
            <w:r w:rsidRPr="00B275E2">
              <w:t>km</w:t>
            </w:r>
          </w:p>
        </w:tc>
        <w:tc>
          <w:tcPr>
            <w:tcW w:w="1361" w:type="dxa"/>
            <w:shd w:val="clear" w:color="auto" w:fill="D2DDE1" w:themeFill="background2"/>
            <w:noWrap/>
          </w:tcPr>
          <w:p w14:paraId="650925B9" w14:textId="0321DB63" w:rsidR="00C97C65" w:rsidRPr="00B275E2" w:rsidRDefault="00C97C65" w:rsidP="007F0B1E">
            <w:pPr>
              <w:pStyle w:val="TableText"/>
              <w:keepN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0.075</w:t>
            </w:r>
          </w:p>
        </w:tc>
        <w:tc>
          <w:tcPr>
            <w:tcW w:w="1191" w:type="dxa"/>
            <w:shd w:val="clear" w:color="auto" w:fill="auto"/>
            <w:noWrap/>
          </w:tcPr>
          <w:p w14:paraId="650925BA" w14:textId="44EA1884" w:rsidR="00C97C65" w:rsidRPr="00B275E2" w:rsidRDefault="00C97C65" w:rsidP="007F0B1E">
            <w:pPr>
              <w:pStyle w:val="TableText"/>
              <w:keepN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0.072</w:t>
            </w:r>
          </w:p>
        </w:tc>
        <w:tc>
          <w:tcPr>
            <w:tcW w:w="1247" w:type="dxa"/>
            <w:shd w:val="clear" w:color="auto" w:fill="auto"/>
            <w:noWrap/>
          </w:tcPr>
          <w:p w14:paraId="650925BB" w14:textId="63BB5898" w:rsidR="00C97C65" w:rsidRPr="00B275E2" w:rsidRDefault="00C97C65" w:rsidP="007F0B1E">
            <w:pPr>
              <w:pStyle w:val="TableText"/>
              <w:keepN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0.001</w:t>
            </w:r>
          </w:p>
        </w:tc>
        <w:tc>
          <w:tcPr>
            <w:tcW w:w="1247" w:type="dxa"/>
            <w:tcBorders>
              <w:right w:val="single" w:sz="4" w:space="0" w:color="FFFFFF" w:themeColor="background1"/>
            </w:tcBorders>
            <w:shd w:val="clear" w:color="auto" w:fill="auto"/>
            <w:noWrap/>
          </w:tcPr>
          <w:p w14:paraId="650925BC" w14:textId="2542AB7E" w:rsidR="00C97C65" w:rsidRPr="00B275E2" w:rsidRDefault="00C97C65" w:rsidP="007F0B1E">
            <w:pPr>
              <w:pStyle w:val="TableText"/>
              <w:keepN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0.002</w:t>
            </w:r>
          </w:p>
        </w:tc>
      </w:tr>
      <w:tr w:rsidR="006F1A5A" w:rsidRPr="00B275E2" w14:paraId="650925C5" w14:textId="77777777" w:rsidTr="00BA0951">
        <w:tc>
          <w:tcPr>
            <w:cnfStyle w:val="001000000000" w:firstRow="0" w:lastRow="0" w:firstColumn="1" w:lastColumn="0" w:oddVBand="0" w:evenVBand="0" w:oddHBand="0" w:evenHBand="0" w:firstRowFirstColumn="0" w:firstRowLastColumn="0" w:lastRowFirstColumn="0" w:lastRowLastColumn="0"/>
            <w:tcW w:w="1418" w:type="dxa"/>
            <w:vMerge/>
            <w:tcBorders>
              <w:left w:val="single" w:sz="4" w:space="0" w:color="FFFFFF" w:themeColor="background1"/>
            </w:tcBorders>
          </w:tcPr>
          <w:p w14:paraId="650925BE" w14:textId="77777777" w:rsidR="00C97C65" w:rsidRPr="00B275E2" w:rsidRDefault="00C97C65" w:rsidP="007F0B1E">
            <w:pPr>
              <w:pStyle w:val="TableText"/>
              <w:keepNext/>
              <w:spacing w:before="40" w:after="50"/>
              <w:rPr>
                <w:b w:val="0"/>
              </w:rPr>
            </w:pPr>
          </w:p>
        </w:tc>
        <w:tc>
          <w:tcPr>
            <w:tcW w:w="1531" w:type="dxa"/>
            <w:noWrap/>
            <w:vAlign w:val="bottom"/>
          </w:tcPr>
          <w:p w14:paraId="650925BF" w14:textId="4B0EFF5C" w:rsidR="00C97C65" w:rsidRPr="00B275E2" w:rsidRDefault="00C97C65" w:rsidP="007F0B1E">
            <w:pPr>
              <w:pStyle w:val="TableText"/>
              <w:keepNext/>
              <w:spacing w:before="40" w:after="50"/>
              <w:cnfStyle w:val="000000000000" w:firstRow="0" w:lastRow="0" w:firstColumn="0" w:lastColumn="0" w:oddVBand="0" w:evenVBand="0" w:oddHBand="0" w:evenHBand="0" w:firstRowFirstColumn="0" w:firstRowLastColumn="0" w:lastRowFirstColumn="0" w:lastRowLastColumn="0"/>
            </w:pPr>
            <w:r w:rsidRPr="00B275E2">
              <w:rPr>
                <w:color w:val="000000"/>
              </w:rPr>
              <w:t>1350</w:t>
            </w:r>
            <w:r w:rsidRPr="00B275E2">
              <w:rPr>
                <w:rFonts w:cs="Calibri"/>
                <w:color w:val="000000"/>
                <w:szCs w:val="18"/>
              </w:rPr>
              <w:t xml:space="preserve"> -</w:t>
            </w:r>
            <w:r w:rsidRPr="00B275E2">
              <w:rPr>
                <w:rFonts w:cs="Calibri"/>
                <w:color w:val="000000"/>
              </w:rPr>
              <w:t xml:space="preserve"> </w:t>
            </w:r>
            <w:r w:rsidRPr="00B275E2">
              <w:t>&lt;</w:t>
            </w:r>
            <w:r w:rsidRPr="00B275E2">
              <w:rPr>
                <w:color w:val="000000"/>
              </w:rPr>
              <w:t>1600 cc</w:t>
            </w:r>
          </w:p>
        </w:tc>
        <w:tc>
          <w:tcPr>
            <w:tcW w:w="737" w:type="dxa"/>
            <w:noWrap/>
          </w:tcPr>
          <w:p w14:paraId="650925C0" w14:textId="77777777" w:rsidR="00C97C65" w:rsidRPr="00B275E2" w:rsidRDefault="00C97C65" w:rsidP="007F0B1E">
            <w:pPr>
              <w:pStyle w:val="TableText"/>
              <w:keepNext/>
              <w:spacing w:before="40" w:after="50"/>
              <w:cnfStyle w:val="000000000000" w:firstRow="0" w:lastRow="0" w:firstColumn="0" w:lastColumn="0" w:oddVBand="0" w:evenVBand="0" w:oddHBand="0" w:evenHBand="0" w:firstRowFirstColumn="0" w:firstRowLastColumn="0" w:lastRowFirstColumn="0" w:lastRowLastColumn="0"/>
            </w:pPr>
            <w:r w:rsidRPr="00B275E2">
              <w:t>km</w:t>
            </w:r>
          </w:p>
        </w:tc>
        <w:tc>
          <w:tcPr>
            <w:tcW w:w="1361" w:type="dxa"/>
            <w:shd w:val="clear" w:color="auto" w:fill="D2DDE1" w:themeFill="background2"/>
            <w:noWrap/>
          </w:tcPr>
          <w:p w14:paraId="650925C1" w14:textId="09B9C64F" w:rsidR="00C97C65" w:rsidRPr="00B275E2" w:rsidRDefault="00C97C65" w:rsidP="007F0B1E">
            <w:pPr>
              <w:pStyle w:val="TableText"/>
              <w:keepN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0.081</w:t>
            </w:r>
          </w:p>
        </w:tc>
        <w:tc>
          <w:tcPr>
            <w:tcW w:w="1191" w:type="dxa"/>
            <w:shd w:val="clear" w:color="auto" w:fill="auto"/>
            <w:noWrap/>
          </w:tcPr>
          <w:p w14:paraId="650925C2" w14:textId="36F98DC1" w:rsidR="00C97C65" w:rsidRPr="00B275E2" w:rsidRDefault="00C97C65" w:rsidP="007F0B1E">
            <w:pPr>
              <w:pStyle w:val="TableText"/>
              <w:keepN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0.077</w:t>
            </w:r>
          </w:p>
        </w:tc>
        <w:tc>
          <w:tcPr>
            <w:tcW w:w="1247" w:type="dxa"/>
            <w:shd w:val="clear" w:color="auto" w:fill="auto"/>
            <w:noWrap/>
          </w:tcPr>
          <w:p w14:paraId="650925C3" w14:textId="1EC002C7" w:rsidR="00C97C65" w:rsidRPr="00B275E2" w:rsidRDefault="00C97C65" w:rsidP="007F0B1E">
            <w:pPr>
              <w:pStyle w:val="TableText"/>
              <w:keepN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0.001</w:t>
            </w:r>
          </w:p>
        </w:tc>
        <w:tc>
          <w:tcPr>
            <w:tcW w:w="1247" w:type="dxa"/>
            <w:tcBorders>
              <w:right w:val="single" w:sz="4" w:space="0" w:color="FFFFFF" w:themeColor="background1"/>
            </w:tcBorders>
            <w:shd w:val="clear" w:color="auto" w:fill="auto"/>
            <w:noWrap/>
          </w:tcPr>
          <w:p w14:paraId="650925C4" w14:textId="473741B7" w:rsidR="00C97C65" w:rsidRPr="00B275E2" w:rsidRDefault="00C97C65" w:rsidP="007F0B1E">
            <w:pPr>
              <w:pStyle w:val="TableText"/>
              <w:keepN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0.003</w:t>
            </w:r>
          </w:p>
        </w:tc>
      </w:tr>
      <w:tr w:rsidR="006F1A5A" w:rsidRPr="00B275E2" w14:paraId="650925CD" w14:textId="77777777" w:rsidTr="00BA09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left w:val="single" w:sz="4" w:space="0" w:color="FFFFFF" w:themeColor="background1"/>
            </w:tcBorders>
          </w:tcPr>
          <w:p w14:paraId="650925C6" w14:textId="77777777" w:rsidR="00C97C65" w:rsidRPr="00B275E2" w:rsidRDefault="00C97C65" w:rsidP="007F0B1E">
            <w:pPr>
              <w:pStyle w:val="TableText"/>
              <w:keepNext/>
              <w:spacing w:before="40" w:after="50"/>
              <w:rPr>
                <w:b w:val="0"/>
              </w:rPr>
            </w:pPr>
          </w:p>
        </w:tc>
        <w:tc>
          <w:tcPr>
            <w:tcW w:w="1531" w:type="dxa"/>
            <w:noWrap/>
            <w:vAlign w:val="bottom"/>
          </w:tcPr>
          <w:p w14:paraId="650925C7" w14:textId="6AE8C1D1" w:rsidR="00C97C65" w:rsidRPr="00B275E2" w:rsidRDefault="00C97C65" w:rsidP="007F0B1E">
            <w:pPr>
              <w:pStyle w:val="TableText"/>
              <w:keepNext/>
              <w:spacing w:before="40" w:after="50"/>
              <w:cnfStyle w:val="000000100000" w:firstRow="0" w:lastRow="0" w:firstColumn="0" w:lastColumn="0" w:oddVBand="0" w:evenVBand="0" w:oddHBand="1" w:evenHBand="0" w:firstRowFirstColumn="0" w:firstRowLastColumn="0" w:lastRowFirstColumn="0" w:lastRowLastColumn="0"/>
            </w:pPr>
            <w:r w:rsidRPr="00B275E2">
              <w:rPr>
                <w:color w:val="000000"/>
              </w:rPr>
              <w:t>1600</w:t>
            </w:r>
            <w:r w:rsidRPr="00B275E2">
              <w:rPr>
                <w:rFonts w:cs="Calibri"/>
                <w:color w:val="000000"/>
                <w:szCs w:val="18"/>
              </w:rPr>
              <w:t xml:space="preserve"> -</w:t>
            </w:r>
            <w:r w:rsidRPr="00B275E2">
              <w:rPr>
                <w:rFonts w:cs="Calibri"/>
                <w:color w:val="000000"/>
              </w:rPr>
              <w:t xml:space="preserve"> </w:t>
            </w:r>
            <w:r w:rsidRPr="00B275E2">
              <w:t>&lt;</w:t>
            </w:r>
            <w:r w:rsidRPr="00B275E2">
              <w:rPr>
                <w:color w:val="000000"/>
              </w:rPr>
              <w:t>2000 cc</w:t>
            </w:r>
          </w:p>
        </w:tc>
        <w:tc>
          <w:tcPr>
            <w:tcW w:w="737" w:type="dxa"/>
            <w:noWrap/>
          </w:tcPr>
          <w:p w14:paraId="650925C8" w14:textId="77777777" w:rsidR="00C97C65" w:rsidRPr="00B275E2" w:rsidRDefault="00C97C65" w:rsidP="007F0B1E">
            <w:pPr>
              <w:pStyle w:val="TableText"/>
              <w:keepNext/>
              <w:spacing w:before="40" w:after="50"/>
              <w:cnfStyle w:val="000000100000" w:firstRow="0" w:lastRow="0" w:firstColumn="0" w:lastColumn="0" w:oddVBand="0" w:evenVBand="0" w:oddHBand="1" w:evenHBand="0" w:firstRowFirstColumn="0" w:firstRowLastColumn="0" w:lastRowFirstColumn="0" w:lastRowLastColumn="0"/>
            </w:pPr>
            <w:r w:rsidRPr="00B275E2">
              <w:t>km</w:t>
            </w:r>
          </w:p>
        </w:tc>
        <w:tc>
          <w:tcPr>
            <w:tcW w:w="1361" w:type="dxa"/>
            <w:shd w:val="clear" w:color="auto" w:fill="D2DDE1" w:themeFill="background2"/>
            <w:noWrap/>
          </w:tcPr>
          <w:p w14:paraId="650925C9" w14:textId="2DE0F6E1" w:rsidR="00C97C65" w:rsidRPr="00B275E2" w:rsidRDefault="00C97C65" w:rsidP="007F0B1E">
            <w:pPr>
              <w:pStyle w:val="TableText"/>
              <w:keepN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0.109</w:t>
            </w:r>
          </w:p>
        </w:tc>
        <w:tc>
          <w:tcPr>
            <w:tcW w:w="1191" w:type="dxa"/>
            <w:shd w:val="clear" w:color="auto" w:fill="auto"/>
            <w:noWrap/>
          </w:tcPr>
          <w:p w14:paraId="650925CA" w14:textId="2A6BD0B5" w:rsidR="00C97C65" w:rsidRPr="00B275E2" w:rsidRDefault="00C97C65" w:rsidP="007F0B1E">
            <w:pPr>
              <w:pStyle w:val="TableText"/>
              <w:keepN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0.104</w:t>
            </w:r>
          </w:p>
        </w:tc>
        <w:tc>
          <w:tcPr>
            <w:tcW w:w="1247" w:type="dxa"/>
            <w:shd w:val="clear" w:color="auto" w:fill="auto"/>
            <w:noWrap/>
          </w:tcPr>
          <w:p w14:paraId="650925CB" w14:textId="053287B9" w:rsidR="00C97C65" w:rsidRPr="00B275E2" w:rsidRDefault="00C97C65" w:rsidP="007F0B1E">
            <w:pPr>
              <w:pStyle w:val="TableText"/>
              <w:keepN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0.001</w:t>
            </w:r>
          </w:p>
        </w:tc>
        <w:tc>
          <w:tcPr>
            <w:tcW w:w="1247" w:type="dxa"/>
            <w:tcBorders>
              <w:right w:val="single" w:sz="4" w:space="0" w:color="FFFFFF" w:themeColor="background1"/>
            </w:tcBorders>
            <w:shd w:val="clear" w:color="auto" w:fill="auto"/>
            <w:noWrap/>
          </w:tcPr>
          <w:p w14:paraId="650925CC" w14:textId="7E8D811F" w:rsidR="00C97C65" w:rsidRPr="00B275E2" w:rsidRDefault="00C97C65" w:rsidP="007F0B1E">
            <w:pPr>
              <w:pStyle w:val="TableText"/>
              <w:keepN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0.004</w:t>
            </w:r>
          </w:p>
        </w:tc>
      </w:tr>
      <w:tr w:rsidR="006F1A5A" w:rsidRPr="00B275E2" w14:paraId="650925D5" w14:textId="77777777" w:rsidTr="00BA0951">
        <w:tc>
          <w:tcPr>
            <w:cnfStyle w:val="001000000000" w:firstRow="0" w:lastRow="0" w:firstColumn="1" w:lastColumn="0" w:oddVBand="0" w:evenVBand="0" w:oddHBand="0" w:evenHBand="0" w:firstRowFirstColumn="0" w:firstRowLastColumn="0" w:lastRowFirstColumn="0" w:lastRowLastColumn="0"/>
            <w:tcW w:w="1418" w:type="dxa"/>
            <w:vMerge/>
            <w:tcBorders>
              <w:left w:val="single" w:sz="4" w:space="0" w:color="FFFFFF" w:themeColor="background1"/>
            </w:tcBorders>
          </w:tcPr>
          <w:p w14:paraId="650925CE" w14:textId="77777777" w:rsidR="00C97C65" w:rsidRPr="00B275E2" w:rsidRDefault="00C97C65" w:rsidP="007F0B1E">
            <w:pPr>
              <w:pStyle w:val="TableText"/>
              <w:keepNext/>
              <w:spacing w:before="40" w:after="50"/>
              <w:rPr>
                <w:b w:val="0"/>
              </w:rPr>
            </w:pPr>
          </w:p>
        </w:tc>
        <w:tc>
          <w:tcPr>
            <w:tcW w:w="1531" w:type="dxa"/>
            <w:noWrap/>
            <w:vAlign w:val="bottom"/>
          </w:tcPr>
          <w:p w14:paraId="650925CF" w14:textId="7E41FF62" w:rsidR="00C97C65" w:rsidRPr="00B275E2" w:rsidRDefault="00C97C65" w:rsidP="007F0B1E">
            <w:pPr>
              <w:pStyle w:val="TableText"/>
              <w:keepNext/>
              <w:spacing w:before="40" w:after="50"/>
              <w:cnfStyle w:val="000000000000" w:firstRow="0" w:lastRow="0" w:firstColumn="0" w:lastColumn="0" w:oddVBand="0" w:evenVBand="0" w:oddHBand="0" w:evenHBand="0" w:firstRowFirstColumn="0" w:firstRowLastColumn="0" w:lastRowFirstColumn="0" w:lastRowLastColumn="0"/>
            </w:pPr>
            <w:r w:rsidRPr="00B275E2">
              <w:rPr>
                <w:color w:val="000000"/>
              </w:rPr>
              <w:t>2000</w:t>
            </w:r>
            <w:r w:rsidRPr="00B275E2">
              <w:rPr>
                <w:rFonts w:cs="Calibri"/>
                <w:color w:val="000000"/>
                <w:szCs w:val="18"/>
              </w:rPr>
              <w:t xml:space="preserve"> -</w:t>
            </w:r>
            <w:r w:rsidRPr="00B275E2">
              <w:rPr>
                <w:rFonts w:cs="Calibri"/>
                <w:color w:val="000000"/>
              </w:rPr>
              <w:t xml:space="preserve"> </w:t>
            </w:r>
            <w:r w:rsidRPr="00B275E2">
              <w:t>&lt;</w:t>
            </w:r>
            <w:r w:rsidRPr="00B275E2">
              <w:rPr>
                <w:color w:val="000000"/>
              </w:rPr>
              <w:t>3000 cc</w:t>
            </w:r>
          </w:p>
        </w:tc>
        <w:tc>
          <w:tcPr>
            <w:tcW w:w="737" w:type="dxa"/>
            <w:noWrap/>
          </w:tcPr>
          <w:p w14:paraId="650925D0" w14:textId="77777777" w:rsidR="00C97C65" w:rsidRPr="00B275E2" w:rsidRDefault="00C97C65" w:rsidP="007F0B1E">
            <w:pPr>
              <w:pStyle w:val="TableText"/>
              <w:keepNext/>
              <w:spacing w:before="40" w:after="50"/>
              <w:cnfStyle w:val="000000000000" w:firstRow="0" w:lastRow="0" w:firstColumn="0" w:lastColumn="0" w:oddVBand="0" w:evenVBand="0" w:oddHBand="0" w:evenHBand="0" w:firstRowFirstColumn="0" w:firstRowLastColumn="0" w:lastRowFirstColumn="0" w:lastRowLastColumn="0"/>
            </w:pPr>
            <w:r w:rsidRPr="00B275E2">
              <w:t>km</w:t>
            </w:r>
          </w:p>
        </w:tc>
        <w:tc>
          <w:tcPr>
            <w:tcW w:w="1361" w:type="dxa"/>
            <w:shd w:val="clear" w:color="auto" w:fill="D2DDE1" w:themeFill="background2"/>
            <w:noWrap/>
          </w:tcPr>
          <w:p w14:paraId="650925D1" w14:textId="159F75F4" w:rsidR="00C97C65" w:rsidRPr="00B275E2" w:rsidRDefault="00C97C65" w:rsidP="007F0B1E">
            <w:pPr>
              <w:pStyle w:val="TableText"/>
              <w:keepN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0.115</w:t>
            </w:r>
          </w:p>
        </w:tc>
        <w:tc>
          <w:tcPr>
            <w:tcW w:w="1191" w:type="dxa"/>
            <w:shd w:val="clear" w:color="auto" w:fill="auto"/>
            <w:noWrap/>
          </w:tcPr>
          <w:p w14:paraId="650925D2" w14:textId="217CD680" w:rsidR="00C97C65" w:rsidRPr="00B275E2" w:rsidRDefault="00C97C65" w:rsidP="007F0B1E">
            <w:pPr>
              <w:pStyle w:val="TableText"/>
              <w:keepN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0.110</w:t>
            </w:r>
          </w:p>
        </w:tc>
        <w:tc>
          <w:tcPr>
            <w:tcW w:w="1247" w:type="dxa"/>
            <w:shd w:val="clear" w:color="auto" w:fill="auto"/>
            <w:noWrap/>
          </w:tcPr>
          <w:p w14:paraId="650925D3" w14:textId="4D3DC391" w:rsidR="00C97C65" w:rsidRPr="00B275E2" w:rsidRDefault="00C97C65" w:rsidP="007F0B1E">
            <w:pPr>
              <w:pStyle w:val="TableText"/>
              <w:keepN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0.001</w:t>
            </w:r>
          </w:p>
        </w:tc>
        <w:tc>
          <w:tcPr>
            <w:tcW w:w="1247" w:type="dxa"/>
            <w:tcBorders>
              <w:right w:val="single" w:sz="4" w:space="0" w:color="FFFFFF" w:themeColor="background1"/>
            </w:tcBorders>
            <w:shd w:val="clear" w:color="auto" w:fill="auto"/>
            <w:noWrap/>
          </w:tcPr>
          <w:p w14:paraId="650925D4" w14:textId="55846E10" w:rsidR="00C97C65" w:rsidRPr="00B275E2" w:rsidRDefault="00C97C65" w:rsidP="007F0B1E">
            <w:pPr>
              <w:pStyle w:val="TableText"/>
              <w:keepN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0.004</w:t>
            </w:r>
          </w:p>
        </w:tc>
      </w:tr>
      <w:tr w:rsidR="006F1A5A" w:rsidRPr="00B275E2" w14:paraId="650925DD" w14:textId="77777777" w:rsidTr="00BA09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left w:val="single" w:sz="4" w:space="0" w:color="FFFFFF" w:themeColor="background1"/>
            </w:tcBorders>
          </w:tcPr>
          <w:p w14:paraId="650925D6" w14:textId="77777777" w:rsidR="00C97C65" w:rsidRPr="00B275E2" w:rsidRDefault="00C97C65" w:rsidP="007F0B1E">
            <w:pPr>
              <w:pStyle w:val="TableText"/>
              <w:keepNext/>
              <w:spacing w:before="40" w:after="50"/>
              <w:rPr>
                <w:b w:val="0"/>
              </w:rPr>
            </w:pPr>
          </w:p>
        </w:tc>
        <w:tc>
          <w:tcPr>
            <w:tcW w:w="1531" w:type="dxa"/>
            <w:noWrap/>
            <w:vAlign w:val="bottom"/>
          </w:tcPr>
          <w:p w14:paraId="650925D7" w14:textId="45ED4A88" w:rsidR="00C97C65" w:rsidRPr="00B275E2" w:rsidRDefault="00C97C65" w:rsidP="007F0B1E">
            <w:pPr>
              <w:pStyle w:val="TableText"/>
              <w:keepNext/>
              <w:spacing w:before="40" w:after="50"/>
              <w:cnfStyle w:val="000000100000" w:firstRow="0" w:lastRow="0" w:firstColumn="0" w:lastColumn="0" w:oddVBand="0" w:evenVBand="0" w:oddHBand="1" w:evenHBand="0" w:firstRowFirstColumn="0" w:firstRowLastColumn="0" w:lastRowFirstColumn="0" w:lastRowLastColumn="0"/>
            </w:pPr>
            <w:r w:rsidRPr="00B275E2">
              <w:rPr>
                <w:color w:val="000000"/>
              </w:rPr>
              <w:t>≥3000 cc</w:t>
            </w:r>
          </w:p>
        </w:tc>
        <w:tc>
          <w:tcPr>
            <w:tcW w:w="737" w:type="dxa"/>
            <w:noWrap/>
          </w:tcPr>
          <w:p w14:paraId="650925D8" w14:textId="77777777" w:rsidR="00C97C65" w:rsidRPr="00B275E2" w:rsidRDefault="00C97C65" w:rsidP="007F0B1E">
            <w:pPr>
              <w:pStyle w:val="TableText"/>
              <w:keepNext/>
              <w:spacing w:before="40" w:after="50"/>
              <w:cnfStyle w:val="000000100000" w:firstRow="0" w:lastRow="0" w:firstColumn="0" w:lastColumn="0" w:oddVBand="0" w:evenVBand="0" w:oddHBand="1" w:evenHBand="0" w:firstRowFirstColumn="0" w:firstRowLastColumn="0" w:lastRowFirstColumn="0" w:lastRowLastColumn="0"/>
            </w:pPr>
            <w:r w:rsidRPr="00B275E2">
              <w:t>km</w:t>
            </w:r>
          </w:p>
        </w:tc>
        <w:tc>
          <w:tcPr>
            <w:tcW w:w="1361" w:type="dxa"/>
            <w:shd w:val="clear" w:color="auto" w:fill="D2DDE1" w:themeFill="background2"/>
            <w:noWrap/>
          </w:tcPr>
          <w:p w14:paraId="650925D9" w14:textId="547F343A" w:rsidR="00C97C65" w:rsidRPr="00B275E2" w:rsidRDefault="00C97C65" w:rsidP="007F0B1E">
            <w:pPr>
              <w:pStyle w:val="TableText"/>
              <w:keepN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0.132</w:t>
            </w:r>
          </w:p>
        </w:tc>
        <w:tc>
          <w:tcPr>
            <w:tcW w:w="1191" w:type="dxa"/>
            <w:shd w:val="clear" w:color="auto" w:fill="auto"/>
            <w:noWrap/>
          </w:tcPr>
          <w:p w14:paraId="650925DA" w14:textId="2F037BCC" w:rsidR="00C97C65" w:rsidRPr="00B275E2" w:rsidRDefault="00C97C65" w:rsidP="007F0B1E">
            <w:pPr>
              <w:pStyle w:val="TableText"/>
              <w:keepN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0.126</w:t>
            </w:r>
          </w:p>
        </w:tc>
        <w:tc>
          <w:tcPr>
            <w:tcW w:w="1247" w:type="dxa"/>
            <w:shd w:val="clear" w:color="auto" w:fill="auto"/>
            <w:noWrap/>
          </w:tcPr>
          <w:p w14:paraId="650925DB" w14:textId="33B11C13" w:rsidR="00C97C65" w:rsidRPr="00B275E2" w:rsidRDefault="00C97C65" w:rsidP="007F0B1E">
            <w:pPr>
              <w:pStyle w:val="TableText"/>
              <w:keepN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0.001</w:t>
            </w:r>
          </w:p>
        </w:tc>
        <w:tc>
          <w:tcPr>
            <w:tcW w:w="1247" w:type="dxa"/>
            <w:tcBorders>
              <w:right w:val="single" w:sz="4" w:space="0" w:color="FFFFFF" w:themeColor="background1"/>
            </w:tcBorders>
            <w:shd w:val="clear" w:color="auto" w:fill="auto"/>
            <w:noWrap/>
          </w:tcPr>
          <w:p w14:paraId="650925DC" w14:textId="2C8ECC03" w:rsidR="00C97C65" w:rsidRPr="00B275E2" w:rsidRDefault="00C97C65" w:rsidP="007F0B1E">
            <w:pPr>
              <w:pStyle w:val="TableText"/>
              <w:keepN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0.004</w:t>
            </w:r>
          </w:p>
        </w:tc>
      </w:tr>
      <w:tr w:rsidR="006F1A5A" w:rsidRPr="00B275E2" w14:paraId="650925E5" w14:textId="77777777" w:rsidTr="00BA0951">
        <w:tc>
          <w:tcPr>
            <w:cnfStyle w:val="001000000000" w:firstRow="0" w:lastRow="0" w:firstColumn="1" w:lastColumn="0" w:oddVBand="0" w:evenVBand="0" w:oddHBand="0" w:evenHBand="0" w:firstRowFirstColumn="0" w:firstRowLastColumn="0" w:lastRowFirstColumn="0" w:lastRowLastColumn="0"/>
            <w:tcW w:w="1418" w:type="dxa"/>
            <w:vMerge w:val="restart"/>
            <w:tcBorders>
              <w:left w:val="single" w:sz="4" w:space="0" w:color="FFFFFF" w:themeColor="background1"/>
            </w:tcBorders>
          </w:tcPr>
          <w:p w14:paraId="650925DE" w14:textId="77777777" w:rsidR="00C97C65" w:rsidRPr="00B275E2" w:rsidRDefault="00C97C65" w:rsidP="007F0B1E">
            <w:pPr>
              <w:pStyle w:val="TableText"/>
              <w:spacing w:before="40" w:after="50"/>
              <w:rPr>
                <w:b w:val="0"/>
              </w:rPr>
            </w:pPr>
            <w:r w:rsidRPr="00B275E2">
              <w:rPr>
                <w:b w:val="0"/>
              </w:rPr>
              <w:t>Electricity: petrol PHEV</w:t>
            </w:r>
          </w:p>
        </w:tc>
        <w:tc>
          <w:tcPr>
            <w:tcW w:w="1531" w:type="dxa"/>
            <w:noWrap/>
            <w:vAlign w:val="bottom"/>
          </w:tcPr>
          <w:p w14:paraId="650925DF" w14:textId="0C636788" w:rsidR="00C97C65" w:rsidRPr="00B275E2" w:rsidRDefault="00C97C65" w:rsidP="007F0B1E">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275E2">
              <w:rPr>
                <w:color w:val="000000"/>
              </w:rPr>
              <w:t>&lt;1350 cc</w:t>
            </w:r>
          </w:p>
        </w:tc>
        <w:tc>
          <w:tcPr>
            <w:tcW w:w="737" w:type="dxa"/>
            <w:noWrap/>
          </w:tcPr>
          <w:p w14:paraId="650925E0" w14:textId="77777777" w:rsidR="00C97C65" w:rsidRPr="00B275E2" w:rsidRDefault="00C97C65" w:rsidP="007F0B1E">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275E2">
              <w:t>km</w:t>
            </w:r>
          </w:p>
        </w:tc>
        <w:tc>
          <w:tcPr>
            <w:tcW w:w="1361" w:type="dxa"/>
            <w:shd w:val="clear" w:color="auto" w:fill="D2DDE1" w:themeFill="background2"/>
            <w:noWrap/>
          </w:tcPr>
          <w:p w14:paraId="650925E1" w14:textId="7D355106" w:rsidR="00C97C65" w:rsidRPr="00B275E2" w:rsidRDefault="00C97C65" w:rsidP="007F0B1E">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0.010</w:t>
            </w:r>
          </w:p>
        </w:tc>
        <w:tc>
          <w:tcPr>
            <w:tcW w:w="1191" w:type="dxa"/>
            <w:shd w:val="clear" w:color="auto" w:fill="auto"/>
            <w:noWrap/>
          </w:tcPr>
          <w:p w14:paraId="650925E2" w14:textId="01724D64" w:rsidR="00C97C65" w:rsidRPr="00B275E2" w:rsidRDefault="00C97C65" w:rsidP="007F0B1E">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0.010</w:t>
            </w:r>
          </w:p>
        </w:tc>
        <w:tc>
          <w:tcPr>
            <w:tcW w:w="1247" w:type="dxa"/>
            <w:shd w:val="clear" w:color="auto" w:fill="auto"/>
            <w:noWrap/>
          </w:tcPr>
          <w:p w14:paraId="650925E3" w14:textId="190FB2B2" w:rsidR="00C97C65" w:rsidRPr="00B275E2" w:rsidRDefault="00C97C65" w:rsidP="007F0B1E">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0.0004</w:t>
            </w:r>
          </w:p>
        </w:tc>
        <w:tc>
          <w:tcPr>
            <w:tcW w:w="1247" w:type="dxa"/>
            <w:tcBorders>
              <w:right w:val="single" w:sz="4" w:space="0" w:color="FFFFFF" w:themeColor="background1"/>
            </w:tcBorders>
            <w:shd w:val="clear" w:color="auto" w:fill="auto"/>
            <w:noWrap/>
          </w:tcPr>
          <w:p w14:paraId="650925E4" w14:textId="0A472771" w:rsidR="00C97C65" w:rsidRPr="00B275E2" w:rsidRDefault="00C97C65" w:rsidP="007F0B1E">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0.00001</w:t>
            </w:r>
          </w:p>
        </w:tc>
      </w:tr>
      <w:tr w:rsidR="006F1A5A" w:rsidRPr="00B275E2" w14:paraId="650925ED" w14:textId="77777777" w:rsidTr="00BA09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left w:val="single" w:sz="4" w:space="0" w:color="FFFFFF" w:themeColor="background1"/>
            </w:tcBorders>
          </w:tcPr>
          <w:p w14:paraId="650925E6" w14:textId="77777777" w:rsidR="00C97C65" w:rsidRPr="00B275E2" w:rsidRDefault="00C97C65" w:rsidP="007F0B1E">
            <w:pPr>
              <w:pStyle w:val="TableText"/>
              <w:spacing w:before="40" w:after="50"/>
              <w:rPr>
                <w:b w:val="0"/>
              </w:rPr>
            </w:pPr>
          </w:p>
        </w:tc>
        <w:tc>
          <w:tcPr>
            <w:tcW w:w="1531" w:type="dxa"/>
            <w:noWrap/>
            <w:vAlign w:val="bottom"/>
          </w:tcPr>
          <w:p w14:paraId="650925E7" w14:textId="3C4DCF6D" w:rsidR="00C97C65" w:rsidRPr="00B275E2" w:rsidRDefault="00C97C65" w:rsidP="007F0B1E">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275E2">
              <w:rPr>
                <w:color w:val="000000"/>
              </w:rPr>
              <w:t>1350</w:t>
            </w:r>
            <w:r w:rsidRPr="00B275E2">
              <w:rPr>
                <w:rFonts w:cs="Calibri"/>
                <w:color w:val="000000"/>
                <w:szCs w:val="18"/>
              </w:rPr>
              <w:t xml:space="preserve"> -</w:t>
            </w:r>
            <w:r w:rsidRPr="00B275E2">
              <w:rPr>
                <w:rFonts w:cs="Calibri"/>
                <w:color w:val="000000"/>
              </w:rPr>
              <w:t xml:space="preserve"> </w:t>
            </w:r>
            <w:r w:rsidRPr="00B275E2">
              <w:t>&lt;</w:t>
            </w:r>
            <w:r w:rsidRPr="00B275E2">
              <w:rPr>
                <w:color w:val="000000"/>
              </w:rPr>
              <w:t>1600 cc</w:t>
            </w:r>
          </w:p>
        </w:tc>
        <w:tc>
          <w:tcPr>
            <w:tcW w:w="737" w:type="dxa"/>
            <w:noWrap/>
          </w:tcPr>
          <w:p w14:paraId="650925E8" w14:textId="77777777" w:rsidR="00C97C65" w:rsidRPr="00B275E2" w:rsidRDefault="00C97C65" w:rsidP="007F0B1E">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275E2">
              <w:t>km</w:t>
            </w:r>
          </w:p>
        </w:tc>
        <w:tc>
          <w:tcPr>
            <w:tcW w:w="1361" w:type="dxa"/>
            <w:shd w:val="clear" w:color="auto" w:fill="D2DDE1" w:themeFill="background2"/>
            <w:noWrap/>
          </w:tcPr>
          <w:p w14:paraId="650925E9" w14:textId="66C0D1AF" w:rsidR="00C97C65" w:rsidRPr="00B275E2" w:rsidRDefault="00C97C65" w:rsidP="007F0B1E">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0.011</w:t>
            </w:r>
          </w:p>
        </w:tc>
        <w:tc>
          <w:tcPr>
            <w:tcW w:w="1191" w:type="dxa"/>
            <w:shd w:val="clear" w:color="auto" w:fill="auto"/>
            <w:noWrap/>
          </w:tcPr>
          <w:p w14:paraId="650925EA" w14:textId="0E390E8A" w:rsidR="00C97C65" w:rsidRPr="00B275E2" w:rsidRDefault="00C97C65" w:rsidP="007F0B1E">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0.010</w:t>
            </w:r>
          </w:p>
        </w:tc>
        <w:tc>
          <w:tcPr>
            <w:tcW w:w="1247" w:type="dxa"/>
            <w:shd w:val="clear" w:color="auto" w:fill="auto"/>
            <w:noWrap/>
          </w:tcPr>
          <w:p w14:paraId="650925EB" w14:textId="3DEF8BC4" w:rsidR="00C97C65" w:rsidRPr="00B275E2" w:rsidRDefault="00C97C65" w:rsidP="007F0B1E">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0.0004</w:t>
            </w:r>
          </w:p>
        </w:tc>
        <w:tc>
          <w:tcPr>
            <w:tcW w:w="1247" w:type="dxa"/>
            <w:tcBorders>
              <w:right w:val="single" w:sz="4" w:space="0" w:color="FFFFFF" w:themeColor="background1"/>
            </w:tcBorders>
            <w:shd w:val="clear" w:color="auto" w:fill="auto"/>
            <w:noWrap/>
          </w:tcPr>
          <w:p w14:paraId="650925EC" w14:textId="29D1AA8F" w:rsidR="00C97C65" w:rsidRPr="00B275E2" w:rsidRDefault="00C97C65" w:rsidP="007F0B1E">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0.00001</w:t>
            </w:r>
          </w:p>
        </w:tc>
      </w:tr>
      <w:tr w:rsidR="006F1A5A" w:rsidRPr="00B275E2" w14:paraId="650925F5" w14:textId="77777777" w:rsidTr="00BA0951">
        <w:tc>
          <w:tcPr>
            <w:cnfStyle w:val="001000000000" w:firstRow="0" w:lastRow="0" w:firstColumn="1" w:lastColumn="0" w:oddVBand="0" w:evenVBand="0" w:oddHBand="0" w:evenHBand="0" w:firstRowFirstColumn="0" w:firstRowLastColumn="0" w:lastRowFirstColumn="0" w:lastRowLastColumn="0"/>
            <w:tcW w:w="1418" w:type="dxa"/>
            <w:vMerge/>
            <w:tcBorders>
              <w:left w:val="single" w:sz="4" w:space="0" w:color="FFFFFF" w:themeColor="background1"/>
            </w:tcBorders>
          </w:tcPr>
          <w:p w14:paraId="650925EE" w14:textId="77777777" w:rsidR="00C97C65" w:rsidRPr="00B275E2" w:rsidRDefault="00C97C65" w:rsidP="007F0B1E">
            <w:pPr>
              <w:pStyle w:val="TableText"/>
              <w:spacing w:before="40" w:after="50"/>
              <w:rPr>
                <w:b w:val="0"/>
              </w:rPr>
            </w:pPr>
          </w:p>
        </w:tc>
        <w:tc>
          <w:tcPr>
            <w:tcW w:w="1531" w:type="dxa"/>
            <w:noWrap/>
            <w:vAlign w:val="bottom"/>
          </w:tcPr>
          <w:p w14:paraId="650925EF" w14:textId="0B324C76" w:rsidR="00C97C65" w:rsidRPr="00B275E2" w:rsidRDefault="00C97C65" w:rsidP="007F0B1E">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275E2">
              <w:rPr>
                <w:color w:val="000000"/>
              </w:rPr>
              <w:t>1600</w:t>
            </w:r>
            <w:r w:rsidRPr="00B275E2">
              <w:rPr>
                <w:rFonts w:cs="Calibri"/>
                <w:color w:val="000000"/>
                <w:szCs w:val="18"/>
              </w:rPr>
              <w:t xml:space="preserve"> -</w:t>
            </w:r>
            <w:r w:rsidRPr="00B275E2">
              <w:rPr>
                <w:rFonts w:cs="Calibri"/>
                <w:color w:val="000000"/>
              </w:rPr>
              <w:t xml:space="preserve"> </w:t>
            </w:r>
            <w:r w:rsidRPr="00B275E2">
              <w:t>&lt;</w:t>
            </w:r>
            <w:r w:rsidRPr="00B275E2">
              <w:rPr>
                <w:color w:val="000000"/>
              </w:rPr>
              <w:t>2000 cc</w:t>
            </w:r>
          </w:p>
        </w:tc>
        <w:tc>
          <w:tcPr>
            <w:tcW w:w="737" w:type="dxa"/>
            <w:noWrap/>
          </w:tcPr>
          <w:p w14:paraId="650925F0" w14:textId="77777777" w:rsidR="00C97C65" w:rsidRPr="00B275E2" w:rsidRDefault="00C97C65" w:rsidP="007F0B1E">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275E2">
              <w:t>km</w:t>
            </w:r>
          </w:p>
        </w:tc>
        <w:tc>
          <w:tcPr>
            <w:tcW w:w="1361" w:type="dxa"/>
            <w:shd w:val="clear" w:color="auto" w:fill="D2DDE1" w:themeFill="background2"/>
            <w:noWrap/>
          </w:tcPr>
          <w:p w14:paraId="650925F1" w14:textId="6B88E6F2" w:rsidR="00C97C65" w:rsidRPr="00B275E2" w:rsidRDefault="00C97C65" w:rsidP="007F0B1E">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0.012</w:t>
            </w:r>
          </w:p>
        </w:tc>
        <w:tc>
          <w:tcPr>
            <w:tcW w:w="1191" w:type="dxa"/>
            <w:shd w:val="clear" w:color="auto" w:fill="auto"/>
            <w:noWrap/>
          </w:tcPr>
          <w:p w14:paraId="650925F2" w14:textId="7E10B830" w:rsidR="00C97C65" w:rsidRPr="00B275E2" w:rsidRDefault="00C97C65" w:rsidP="007F0B1E">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0.012</w:t>
            </w:r>
          </w:p>
        </w:tc>
        <w:tc>
          <w:tcPr>
            <w:tcW w:w="1247" w:type="dxa"/>
            <w:shd w:val="clear" w:color="auto" w:fill="auto"/>
            <w:noWrap/>
          </w:tcPr>
          <w:p w14:paraId="650925F3" w14:textId="62770764" w:rsidR="00C97C65" w:rsidRPr="00B275E2" w:rsidRDefault="00C97C65" w:rsidP="007F0B1E">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0.0005</w:t>
            </w:r>
          </w:p>
        </w:tc>
        <w:tc>
          <w:tcPr>
            <w:tcW w:w="1247" w:type="dxa"/>
            <w:tcBorders>
              <w:right w:val="single" w:sz="4" w:space="0" w:color="FFFFFF" w:themeColor="background1"/>
            </w:tcBorders>
            <w:shd w:val="clear" w:color="auto" w:fill="auto"/>
            <w:noWrap/>
          </w:tcPr>
          <w:p w14:paraId="650925F4" w14:textId="0B636E35" w:rsidR="00C97C65" w:rsidRPr="00B275E2" w:rsidRDefault="00C97C65" w:rsidP="007F0B1E">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0.00002</w:t>
            </w:r>
          </w:p>
        </w:tc>
      </w:tr>
      <w:tr w:rsidR="006F1A5A" w:rsidRPr="00B275E2" w14:paraId="650925FD" w14:textId="77777777" w:rsidTr="003552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left w:val="single" w:sz="4" w:space="0" w:color="FFFFFF" w:themeColor="background1"/>
            </w:tcBorders>
          </w:tcPr>
          <w:p w14:paraId="650925F6" w14:textId="77777777" w:rsidR="00C97C65" w:rsidRPr="00B275E2" w:rsidRDefault="00C97C65" w:rsidP="007F0B1E">
            <w:pPr>
              <w:pStyle w:val="TableText"/>
              <w:spacing w:before="40" w:after="50"/>
              <w:rPr>
                <w:b w:val="0"/>
              </w:rPr>
            </w:pPr>
          </w:p>
        </w:tc>
        <w:tc>
          <w:tcPr>
            <w:tcW w:w="1531" w:type="dxa"/>
            <w:noWrap/>
            <w:vAlign w:val="bottom"/>
          </w:tcPr>
          <w:p w14:paraId="650925F7" w14:textId="5D28E677" w:rsidR="00C97C65" w:rsidRPr="00B275E2" w:rsidRDefault="00C97C65" w:rsidP="007F0B1E">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275E2">
              <w:rPr>
                <w:color w:val="000000"/>
              </w:rPr>
              <w:t>2000</w:t>
            </w:r>
            <w:r w:rsidRPr="00B275E2">
              <w:rPr>
                <w:rFonts w:cs="Calibri"/>
                <w:color w:val="000000"/>
                <w:szCs w:val="18"/>
              </w:rPr>
              <w:t xml:space="preserve"> -</w:t>
            </w:r>
            <w:r w:rsidRPr="00B275E2">
              <w:rPr>
                <w:rFonts w:cs="Calibri"/>
                <w:color w:val="000000"/>
              </w:rPr>
              <w:t xml:space="preserve"> </w:t>
            </w:r>
            <w:r w:rsidRPr="00B275E2">
              <w:t>&lt;</w:t>
            </w:r>
            <w:r w:rsidRPr="00B275E2">
              <w:rPr>
                <w:color w:val="000000"/>
              </w:rPr>
              <w:t>3000 cc</w:t>
            </w:r>
          </w:p>
        </w:tc>
        <w:tc>
          <w:tcPr>
            <w:tcW w:w="737" w:type="dxa"/>
            <w:noWrap/>
          </w:tcPr>
          <w:p w14:paraId="650925F8" w14:textId="77777777" w:rsidR="00C97C65" w:rsidRPr="00B275E2" w:rsidRDefault="00C97C65" w:rsidP="007F0B1E">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275E2">
              <w:t>km</w:t>
            </w:r>
          </w:p>
        </w:tc>
        <w:tc>
          <w:tcPr>
            <w:tcW w:w="1361" w:type="dxa"/>
            <w:shd w:val="clear" w:color="auto" w:fill="D2DDE1" w:themeFill="background2"/>
            <w:noWrap/>
          </w:tcPr>
          <w:p w14:paraId="650925F9" w14:textId="0087A9CB" w:rsidR="00C97C65" w:rsidRPr="00B275E2" w:rsidRDefault="00C97C65" w:rsidP="007F0B1E">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0.015</w:t>
            </w:r>
          </w:p>
        </w:tc>
        <w:tc>
          <w:tcPr>
            <w:tcW w:w="1191" w:type="dxa"/>
            <w:shd w:val="clear" w:color="auto" w:fill="auto"/>
            <w:noWrap/>
          </w:tcPr>
          <w:p w14:paraId="650925FA" w14:textId="6F898F9C" w:rsidR="00C97C65" w:rsidRPr="00B275E2" w:rsidRDefault="00C97C65" w:rsidP="007F0B1E">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0.014</w:t>
            </w:r>
          </w:p>
        </w:tc>
        <w:tc>
          <w:tcPr>
            <w:tcW w:w="1247" w:type="dxa"/>
            <w:shd w:val="clear" w:color="auto" w:fill="auto"/>
            <w:noWrap/>
          </w:tcPr>
          <w:p w14:paraId="650925FB" w14:textId="0B573CBA" w:rsidR="00C97C65" w:rsidRPr="00B275E2" w:rsidRDefault="00C97C65" w:rsidP="007F0B1E">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0.0006</w:t>
            </w:r>
          </w:p>
        </w:tc>
        <w:tc>
          <w:tcPr>
            <w:tcW w:w="1247" w:type="dxa"/>
            <w:tcBorders>
              <w:right w:val="single" w:sz="4" w:space="0" w:color="FFFFFF" w:themeColor="background1"/>
            </w:tcBorders>
            <w:shd w:val="clear" w:color="auto" w:fill="auto"/>
            <w:noWrap/>
          </w:tcPr>
          <w:p w14:paraId="650925FC" w14:textId="2CC15D8D" w:rsidR="00C97C65" w:rsidRPr="00B275E2" w:rsidRDefault="00C97C65" w:rsidP="007F0B1E">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0.00002</w:t>
            </w:r>
          </w:p>
        </w:tc>
      </w:tr>
      <w:tr w:rsidR="006F1A5A" w:rsidRPr="00B275E2" w14:paraId="65092605" w14:textId="77777777" w:rsidTr="003552D5">
        <w:tc>
          <w:tcPr>
            <w:cnfStyle w:val="001000000000" w:firstRow="0" w:lastRow="0" w:firstColumn="1" w:lastColumn="0" w:oddVBand="0" w:evenVBand="0" w:oddHBand="0" w:evenHBand="0" w:firstRowFirstColumn="0" w:firstRowLastColumn="0" w:lastRowFirstColumn="0" w:lastRowLastColumn="0"/>
            <w:tcW w:w="1418" w:type="dxa"/>
            <w:vMerge/>
            <w:tcBorders>
              <w:left w:val="single" w:sz="4" w:space="0" w:color="FFFFFF" w:themeColor="background1"/>
            </w:tcBorders>
          </w:tcPr>
          <w:p w14:paraId="650925FE" w14:textId="77777777" w:rsidR="00C97C65" w:rsidRPr="00B275E2" w:rsidRDefault="00C97C65" w:rsidP="007F0B1E">
            <w:pPr>
              <w:pStyle w:val="TableText"/>
              <w:spacing w:before="40" w:after="50"/>
              <w:rPr>
                <w:b w:val="0"/>
              </w:rPr>
            </w:pPr>
          </w:p>
        </w:tc>
        <w:tc>
          <w:tcPr>
            <w:tcW w:w="1531" w:type="dxa"/>
            <w:noWrap/>
            <w:vAlign w:val="bottom"/>
          </w:tcPr>
          <w:p w14:paraId="650925FF" w14:textId="368F62E0" w:rsidR="00C97C65" w:rsidRPr="00B275E2" w:rsidRDefault="00C97C65" w:rsidP="007F0B1E">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275E2">
              <w:rPr>
                <w:color w:val="000000"/>
              </w:rPr>
              <w:t>≥3000 cc</w:t>
            </w:r>
          </w:p>
        </w:tc>
        <w:tc>
          <w:tcPr>
            <w:tcW w:w="737" w:type="dxa"/>
            <w:noWrap/>
          </w:tcPr>
          <w:p w14:paraId="65092600" w14:textId="77777777" w:rsidR="00C97C65" w:rsidRPr="00B275E2" w:rsidRDefault="00C97C65" w:rsidP="007F0B1E">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275E2">
              <w:t>km</w:t>
            </w:r>
          </w:p>
        </w:tc>
        <w:tc>
          <w:tcPr>
            <w:tcW w:w="1361" w:type="dxa"/>
            <w:shd w:val="clear" w:color="auto" w:fill="D2DDE1" w:themeFill="background2"/>
            <w:noWrap/>
          </w:tcPr>
          <w:p w14:paraId="65092601" w14:textId="112EA39F" w:rsidR="00C97C65" w:rsidRPr="00B275E2" w:rsidRDefault="00C97C65" w:rsidP="007F0B1E">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0.017</w:t>
            </w:r>
          </w:p>
        </w:tc>
        <w:tc>
          <w:tcPr>
            <w:tcW w:w="1191" w:type="dxa"/>
            <w:shd w:val="clear" w:color="auto" w:fill="auto"/>
            <w:noWrap/>
          </w:tcPr>
          <w:p w14:paraId="65092602" w14:textId="4547C37C" w:rsidR="00C97C65" w:rsidRPr="00B275E2" w:rsidRDefault="00C97C65" w:rsidP="007F0B1E">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0.017</w:t>
            </w:r>
          </w:p>
        </w:tc>
        <w:tc>
          <w:tcPr>
            <w:tcW w:w="1247" w:type="dxa"/>
            <w:shd w:val="clear" w:color="auto" w:fill="auto"/>
            <w:noWrap/>
          </w:tcPr>
          <w:p w14:paraId="65092603" w14:textId="6D2332C7" w:rsidR="00C97C65" w:rsidRPr="00B275E2" w:rsidRDefault="00C97C65" w:rsidP="007F0B1E">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0.0007</w:t>
            </w:r>
          </w:p>
        </w:tc>
        <w:tc>
          <w:tcPr>
            <w:tcW w:w="1247" w:type="dxa"/>
            <w:tcBorders>
              <w:right w:val="single" w:sz="4" w:space="0" w:color="FFFFFF" w:themeColor="background1"/>
            </w:tcBorders>
            <w:shd w:val="clear" w:color="auto" w:fill="auto"/>
            <w:noWrap/>
          </w:tcPr>
          <w:p w14:paraId="65092604" w14:textId="7A5FE81D" w:rsidR="00C97C65" w:rsidRPr="00B275E2" w:rsidRDefault="00C97C65" w:rsidP="007F0B1E">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0.00002</w:t>
            </w:r>
          </w:p>
        </w:tc>
      </w:tr>
      <w:tr w:rsidR="006F1A5A" w:rsidRPr="00B275E2" w14:paraId="6509260D" w14:textId="77777777" w:rsidTr="003552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val="restart"/>
            <w:tcBorders>
              <w:left w:val="single" w:sz="4" w:space="0" w:color="FFFFFF" w:themeColor="background1"/>
            </w:tcBorders>
          </w:tcPr>
          <w:p w14:paraId="65092606" w14:textId="77777777" w:rsidR="00C97C65" w:rsidRPr="00B275E2" w:rsidRDefault="00C97C65" w:rsidP="007F0B1E">
            <w:pPr>
              <w:pStyle w:val="TableText"/>
              <w:spacing w:before="40" w:after="50"/>
              <w:rPr>
                <w:b w:val="0"/>
              </w:rPr>
            </w:pPr>
            <w:r w:rsidRPr="00B275E2">
              <w:rPr>
                <w:b w:val="0"/>
              </w:rPr>
              <w:t>Diesel PHEV</w:t>
            </w:r>
          </w:p>
        </w:tc>
        <w:tc>
          <w:tcPr>
            <w:tcW w:w="1531" w:type="dxa"/>
            <w:noWrap/>
            <w:vAlign w:val="bottom"/>
          </w:tcPr>
          <w:p w14:paraId="65092607" w14:textId="380AE4F8" w:rsidR="00C97C65" w:rsidRPr="00B275E2" w:rsidRDefault="00C97C65" w:rsidP="007F0B1E">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275E2">
              <w:rPr>
                <w:color w:val="000000"/>
              </w:rPr>
              <w:t>&lt;1350 cc</w:t>
            </w:r>
          </w:p>
        </w:tc>
        <w:tc>
          <w:tcPr>
            <w:tcW w:w="737" w:type="dxa"/>
            <w:noWrap/>
          </w:tcPr>
          <w:p w14:paraId="65092608" w14:textId="77777777" w:rsidR="00C97C65" w:rsidRPr="00B275E2" w:rsidRDefault="00C97C65" w:rsidP="007F0B1E">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275E2">
              <w:t>km</w:t>
            </w:r>
          </w:p>
        </w:tc>
        <w:tc>
          <w:tcPr>
            <w:tcW w:w="1361" w:type="dxa"/>
            <w:shd w:val="clear" w:color="auto" w:fill="D2DDE1" w:themeFill="background2"/>
            <w:noWrap/>
          </w:tcPr>
          <w:p w14:paraId="65092609" w14:textId="4C58890F" w:rsidR="00C97C65" w:rsidRPr="00B275E2" w:rsidRDefault="00C97C65" w:rsidP="007F0B1E">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0.089</w:t>
            </w:r>
          </w:p>
        </w:tc>
        <w:tc>
          <w:tcPr>
            <w:tcW w:w="1191" w:type="dxa"/>
            <w:shd w:val="clear" w:color="auto" w:fill="auto"/>
            <w:noWrap/>
          </w:tcPr>
          <w:p w14:paraId="6509260A" w14:textId="7B8EED45" w:rsidR="00C97C65" w:rsidRPr="00B275E2" w:rsidRDefault="00C97C65" w:rsidP="007F0B1E">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0.087</w:t>
            </w:r>
          </w:p>
        </w:tc>
        <w:tc>
          <w:tcPr>
            <w:tcW w:w="1247" w:type="dxa"/>
            <w:shd w:val="clear" w:color="auto" w:fill="auto"/>
            <w:noWrap/>
          </w:tcPr>
          <w:p w14:paraId="6509260B" w14:textId="353174B1" w:rsidR="00C97C65" w:rsidRPr="00B275E2" w:rsidRDefault="00C97C65" w:rsidP="007F0B1E">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0.0001</w:t>
            </w:r>
          </w:p>
        </w:tc>
        <w:tc>
          <w:tcPr>
            <w:tcW w:w="1247" w:type="dxa"/>
            <w:tcBorders>
              <w:right w:val="single" w:sz="4" w:space="0" w:color="FFFFFF" w:themeColor="background1"/>
            </w:tcBorders>
            <w:shd w:val="clear" w:color="auto" w:fill="auto"/>
            <w:noWrap/>
          </w:tcPr>
          <w:p w14:paraId="6509260C" w14:textId="45567142" w:rsidR="00C97C65" w:rsidRPr="00B275E2" w:rsidRDefault="00C97C65" w:rsidP="007F0B1E">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0.001</w:t>
            </w:r>
          </w:p>
        </w:tc>
      </w:tr>
      <w:tr w:rsidR="006F1A5A" w:rsidRPr="00B275E2" w14:paraId="65092615" w14:textId="77777777" w:rsidTr="003552D5">
        <w:tc>
          <w:tcPr>
            <w:cnfStyle w:val="001000000000" w:firstRow="0" w:lastRow="0" w:firstColumn="1" w:lastColumn="0" w:oddVBand="0" w:evenVBand="0" w:oddHBand="0" w:evenHBand="0" w:firstRowFirstColumn="0" w:firstRowLastColumn="0" w:lastRowFirstColumn="0" w:lastRowLastColumn="0"/>
            <w:tcW w:w="1418" w:type="dxa"/>
            <w:vMerge/>
            <w:tcBorders>
              <w:left w:val="single" w:sz="4" w:space="0" w:color="FFFFFF" w:themeColor="background1"/>
            </w:tcBorders>
          </w:tcPr>
          <w:p w14:paraId="6509260E" w14:textId="77777777" w:rsidR="00C97C65" w:rsidRPr="00B275E2" w:rsidRDefault="00C97C65" w:rsidP="007F0B1E">
            <w:pPr>
              <w:pStyle w:val="TableText"/>
              <w:spacing w:before="40" w:after="50"/>
              <w:rPr>
                <w:b w:val="0"/>
              </w:rPr>
            </w:pPr>
          </w:p>
        </w:tc>
        <w:tc>
          <w:tcPr>
            <w:tcW w:w="1531" w:type="dxa"/>
            <w:noWrap/>
            <w:vAlign w:val="bottom"/>
          </w:tcPr>
          <w:p w14:paraId="6509260F" w14:textId="5496F344" w:rsidR="00C97C65" w:rsidRPr="00B275E2" w:rsidRDefault="00C97C65" w:rsidP="007F0B1E">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275E2">
              <w:rPr>
                <w:color w:val="000000"/>
              </w:rPr>
              <w:t>1350</w:t>
            </w:r>
            <w:r w:rsidRPr="00B275E2">
              <w:rPr>
                <w:rFonts w:cs="Calibri"/>
                <w:color w:val="000000"/>
                <w:szCs w:val="18"/>
              </w:rPr>
              <w:t xml:space="preserve"> -</w:t>
            </w:r>
            <w:r w:rsidRPr="00B275E2">
              <w:rPr>
                <w:rFonts w:cs="Calibri"/>
                <w:color w:val="000000"/>
              </w:rPr>
              <w:t xml:space="preserve"> </w:t>
            </w:r>
            <w:r w:rsidRPr="00B275E2">
              <w:t>&lt;</w:t>
            </w:r>
            <w:r w:rsidRPr="00B275E2">
              <w:rPr>
                <w:color w:val="000000"/>
              </w:rPr>
              <w:t>1600 cc</w:t>
            </w:r>
          </w:p>
        </w:tc>
        <w:tc>
          <w:tcPr>
            <w:tcW w:w="737" w:type="dxa"/>
            <w:noWrap/>
          </w:tcPr>
          <w:p w14:paraId="65092610" w14:textId="77777777" w:rsidR="00C97C65" w:rsidRPr="00B275E2" w:rsidRDefault="00C97C65" w:rsidP="007F0B1E">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275E2">
              <w:t>km</w:t>
            </w:r>
          </w:p>
        </w:tc>
        <w:tc>
          <w:tcPr>
            <w:tcW w:w="1361" w:type="dxa"/>
            <w:shd w:val="clear" w:color="auto" w:fill="D2DDE1" w:themeFill="background2"/>
            <w:noWrap/>
          </w:tcPr>
          <w:p w14:paraId="65092611" w14:textId="2043CB58" w:rsidR="00C97C65" w:rsidRPr="00B275E2" w:rsidRDefault="00C97C65" w:rsidP="007F0B1E">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0.085</w:t>
            </w:r>
          </w:p>
        </w:tc>
        <w:tc>
          <w:tcPr>
            <w:tcW w:w="1191" w:type="dxa"/>
            <w:shd w:val="clear" w:color="auto" w:fill="auto"/>
            <w:noWrap/>
          </w:tcPr>
          <w:p w14:paraId="65092612" w14:textId="63DCA4B1" w:rsidR="00C97C65" w:rsidRPr="00B275E2" w:rsidRDefault="00C97C65" w:rsidP="007F0B1E">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0.084</w:t>
            </w:r>
          </w:p>
        </w:tc>
        <w:tc>
          <w:tcPr>
            <w:tcW w:w="1247" w:type="dxa"/>
            <w:shd w:val="clear" w:color="auto" w:fill="auto"/>
            <w:noWrap/>
          </w:tcPr>
          <w:p w14:paraId="65092613" w14:textId="22A6FD35" w:rsidR="00C97C65" w:rsidRPr="00B275E2" w:rsidRDefault="00C97C65" w:rsidP="007F0B1E">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0.0001</w:t>
            </w:r>
          </w:p>
        </w:tc>
        <w:tc>
          <w:tcPr>
            <w:tcW w:w="1247" w:type="dxa"/>
            <w:tcBorders>
              <w:right w:val="single" w:sz="4" w:space="0" w:color="FFFFFF" w:themeColor="background1"/>
            </w:tcBorders>
            <w:shd w:val="clear" w:color="auto" w:fill="auto"/>
            <w:noWrap/>
          </w:tcPr>
          <w:p w14:paraId="65092614" w14:textId="7B4CAB19" w:rsidR="00C97C65" w:rsidRPr="00B275E2" w:rsidRDefault="00C97C65" w:rsidP="007F0B1E">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0.001</w:t>
            </w:r>
          </w:p>
        </w:tc>
      </w:tr>
      <w:tr w:rsidR="006F1A5A" w:rsidRPr="00B275E2" w14:paraId="6509261D" w14:textId="77777777" w:rsidTr="003552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left w:val="single" w:sz="4" w:space="0" w:color="FFFFFF" w:themeColor="background1"/>
            </w:tcBorders>
            <w:hideMark/>
          </w:tcPr>
          <w:p w14:paraId="65092616" w14:textId="77777777" w:rsidR="00C97C65" w:rsidRPr="00B275E2" w:rsidRDefault="00C97C65" w:rsidP="007F0B1E">
            <w:pPr>
              <w:pStyle w:val="TableText"/>
              <w:spacing w:before="40" w:after="50"/>
              <w:rPr>
                <w:b w:val="0"/>
              </w:rPr>
            </w:pPr>
          </w:p>
        </w:tc>
        <w:tc>
          <w:tcPr>
            <w:tcW w:w="1531" w:type="dxa"/>
            <w:noWrap/>
            <w:vAlign w:val="bottom"/>
          </w:tcPr>
          <w:p w14:paraId="65092617" w14:textId="5D8EA1D1" w:rsidR="00C97C65" w:rsidRPr="00B275E2" w:rsidRDefault="00C97C65" w:rsidP="007F0B1E">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275E2">
              <w:rPr>
                <w:color w:val="000000"/>
              </w:rPr>
              <w:t>1600</w:t>
            </w:r>
            <w:r w:rsidRPr="00B275E2">
              <w:rPr>
                <w:rFonts w:cs="Calibri"/>
                <w:color w:val="000000"/>
                <w:szCs w:val="18"/>
              </w:rPr>
              <w:t xml:space="preserve"> -</w:t>
            </w:r>
            <w:r w:rsidRPr="00B275E2">
              <w:rPr>
                <w:rFonts w:cs="Calibri"/>
                <w:color w:val="000000"/>
              </w:rPr>
              <w:t xml:space="preserve"> </w:t>
            </w:r>
            <w:r w:rsidRPr="00B275E2">
              <w:t>&lt;</w:t>
            </w:r>
            <w:r w:rsidRPr="00B275E2">
              <w:rPr>
                <w:color w:val="000000"/>
              </w:rPr>
              <w:t>2000 cc</w:t>
            </w:r>
          </w:p>
        </w:tc>
        <w:tc>
          <w:tcPr>
            <w:tcW w:w="737" w:type="dxa"/>
            <w:noWrap/>
          </w:tcPr>
          <w:p w14:paraId="65092618" w14:textId="77777777" w:rsidR="00C97C65" w:rsidRPr="00B275E2" w:rsidRDefault="00C97C65" w:rsidP="007F0B1E">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275E2">
              <w:t>km</w:t>
            </w:r>
          </w:p>
        </w:tc>
        <w:tc>
          <w:tcPr>
            <w:tcW w:w="1361" w:type="dxa"/>
            <w:shd w:val="clear" w:color="auto" w:fill="D2DDE1" w:themeFill="background2"/>
            <w:noWrap/>
          </w:tcPr>
          <w:p w14:paraId="65092619" w14:textId="474CDDE9" w:rsidR="00C97C65" w:rsidRPr="00B275E2" w:rsidRDefault="00C97C65" w:rsidP="007F0B1E">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0.114</w:t>
            </w:r>
          </w:p>
        </w:tc>
        <w:tc>
          <w:tcPr>
            <w:tcW w:w="1191" w:type="dxa"/>
            <w:shd w:val="clear" w:color="auto" w:fill="auto"/>
            <w:noWrap/>
          </w:tcPr>
          <w:p w14:paraId="6509261A" w14:textId="6AEA08FC" w:rsidR="00C97C65" w:rsidRPr="00B275E2" w:rsidRDefault="00C97C65" w:rsidP="007F0B1E">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0.112</w:t>
            </w:r>
          </w:p>
        </w:tc>
        <w:tc>
          <w:tcPr>
            <w:tcW w:w="1247" w:type="dxa"/>
            <w:shd w:val="clear" w:color="auto" w:fill="auto"/>
            <w:noWrap/>
          </w:tcPr>
          <w:p w14:paraId="6509261B" w14:textId="2F67A77B" w:rsidR="00C97C65" w:rsidRPr="00B275E2" w:rsidRDefault="00C97C65" w:rsidP="007F0B1E">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0.0001</w:t>
            </w:r>
          </w:p>
        </w:tc>
        <w:tc>
          <w:tcPr>
            <w:tcW w:w="1247" w:type="dxa"/>
            <w:tcBorders>
              <w:right w:val="single" w:sz="4" w:space="0" w:color="FFFFFF" w:themeColor="background1"/>
            </w:tcBorders>
            <w:shd w:val="clear" w:color="auto" w:fill="auto"/>
            <w:noWrap/>
          </w:tcPr>
          <w:p w14:paraId="6509261C" w14:textId="3690DDF2" w:rsidR="00C97C65" w:rsidRPr="00B275E2" w:rsidRDefault="00C97C65" w:rsidP="007F0B1E">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0.002</w:t>
            </w:r>
          </w:p>
        </w:tc>
      </w:tr>
      <w:tr w:rsidR="006F1A5A" w:rsidRPr="00B275E2" w14:paraId="65092625" w14:textId="77777777" w:rsidTr="003552D5">
        <w:tc>
          <w:tcPr>
            <w:cnfStyle w:val="001000000000" w:firstRow="0" w:lastRow="0" w:firstColumn="1" w:lastColumn="0" w:oddVBand="0" w:evenVBand="0" w:oddHBand="0" w:evenHBand="0" w:firstRowFirstColumn="0" w:firstRowLastColumn="0" w:lastRowFirstColumn="0" w:lastRowLastColumn="0"/>
            <w:tcW w:w="1418" w:type="dxa"/>
            <w:vMerge/>
            <w:tcBorders>
              <w:left w:val="single" w:sz="4" w:space="0" w:color="FFFFFF" w:themeColor="background1"/>
            </w:tcBorders>
            <w:hideMark/>
          </w:tcPr>
          <w:p w14:paraId="6509261E" w14:textId="77777777" w:rsidR="00C97C65" w:rsidRPr="00B275E2" w:rsidRDefault="00C97C65" w:rsidP="007F0B1E">
            <w:pPr>
              <w:pStyle w:val="TableText"/>
              <w:spacing w:before="40" w:after="50"/>
              <w:rPr>
                <w:b w:val="0"/>
              </w:rPr>
            </w:pPr>
          </w:p>
        </w:tc>
        <w:tc>
          <w:tcPr>
            <w:tcW w:w="1531" w:type="dxa"/>
            <w:noWrap/>
            <w:vAlign w:val="bottom"/>
          </w:tcPr>
          <w:p w14:paraId="6509261F" w14:textId="3479E491" w:rsidR="00C97C65" w:rsidRPr="00B275E2" w:rsidRDefault="00C97C65" w:rsidP="007F0B1E">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275E2">
              <w:rPr>
                <w:color w:val="000000"/>
              </w:rPr>
              <w:t>2000</w:t>
            </w:r>
            <w:r w:rsidRPr="00B275E2">
              <w:rPr>
                <w:rFonts w:cs="Calibri"/>
                <w:color w:val="000000"/>
                <w:szCs w:val="18"/>
              </w:rPr>
              <w:t xml:space="preserve"> -</w:t>
            </w:r>
            <w:r w:rsidRPr="00B275E2">
              <w:rPr>
                <w:rFonts w:cs="Calibri"/>
                <w:color w:val="000000"/>
              </w:rPr>
              <w:t xml:space="preserve"> </w:t>
            </w:r>
            <w:r w:rsidRPr="00B275E2">
              <w:t>&lt;</w:t>
            </w:r>
            <w:r w:rsidRPr="00B275E2">
              <w:rPr>
                <w:color w:val="000000"/>
              </w:rPr>
              <w:t>3000 cc</w:t>
            </w:r>
          </w:p>
        </w:tc>
        <w:tc>
          <w:tcPr>
            <w:tcW w:w="737" w:type="dxa"/>
            <w:noWrap/>
          </w:tcPr>
          <w:p w14:paraId="65092620" w14:textId="77777777" w:rsidR="00C97C65" w:rsidRPr="00B275E2" w:rsidRDefault="00C97C65" w:rsidP="007F0B1E">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275E2">
              <w:t>km</w:t>
            </w:r>
          </w:p>
        </w:tc>
        <w:tc>
          <w:tcPr>
            <w:tcW w:w="1361" w:type="dxa"/>
            <w:shd w:val="clear" w:color="auto" w:fill="D2DDE1" w:themeFill="background2"/>
            <w:noWrap/>
          </w:tcPr>
          <w:p w14:paraId="65092621" w14:textId="6E9F5298" w:rsidR="00C97C65" w:rsidRPr="00B275E2" w:rsidRDefault="00C97C65" w:rsidP="007F0B1E">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0.122</w:t>
            </w:r>
          </w:p>
        </w:tc>
        <w:tc>
          <w:tcPr>
            <w:tcW w:w="1191" w:type="dxa"/>
            <w:shd w:val="clear" w:color="auto" w:fill="auto"/>
            <w:noWrap/>
          </w:tcPr>
          <w:p w14:paraId="65092622" w14:textId="71308E92" w:rsidR="00C97C65" w:rsidRPr="00B275E2" w:rsidRDefault="00C97C65" w:rsidP="007F0B1E">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0.120</w:t>
            </w:r>
          </w:p>
        </w:tc>
        <w:tc>
          <w:tcPr>
            <w:tcW w:w="1247" w:type="dxa"/>
            <w:shd w:val="clear" w:color="auto" w:fill="auto"/>
            <w:noWrap/>
          </w:tcPr>
          <w:p w14:paraId="65092623" w14:textId="6EDA72E5" w:rsidR="00C97C65" w:rsidRPr="00B275E2" w:rsidRDefault="00C97C65" w:rsidP="007F0B1E">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0.0002</w:t>
            </w:r>
          </w:p>
        </w:tc>
        <w:tc>
          <w:tcPr>
            <w:tcW w:w="1247" w:type="dxa"/>
            <w:tcBorders>
              <w:right w:val="single" w:sz="4" w:space="0" w:color="FFFFFF" w:themeColor="background1"/>
            </w:tcBorders>
            <w:shd w:val="clear" w:color="auto" w:fill="auto"/>
            <w:noWrap/>
          </w:tcPr>
          <w:p w14:paraId="65092624" w14:textId="4D769EC5" w:rsidR="00C97C65" w:rsidRPr="00B275E2" w:rsidRDefault="00C97C65" w:rsidP="007F0B1E">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0.002</w:t>
            </w:r>
          </w:p>
        </w:tc>
      </w:tr>
      <w:tr w:rsidR="006F1A5A" w:rsidRPr="00B275E2" w14:paraId="6509262D" w14:textId="77777777" w:rsidTr="003552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left w:val="single" w:sz="4" w:space="0" w:color="FFFFFF" w:themeColor="background1"/>
            </w:tcBorders>
            <w:hideMark/>
          </w:tcPr>
          <w:p w14:paraId="65092626" w14:textId="77777777" w:rsidR="00C97C65" w:rsidRPr="00B275E2" w:rsidRDefault="00C97C65" w:rsidP="007F0B1E">
            <w:pPr>
              <w:pStyle w:val="TableText"/>
              <w:spacing w:before="40" w:after="50"/>
              <w:rPr>
                <w:b w:val="0"/>
              </w:rPr>
            </w:pPr>
          </w:p>
        </w:tc>
        <w:tc>
          <w:tcPr>
            <w:tcW w:w="1531" w:type="dxa"/>
            <w:noWrap/>
            <w:vAlign w:val="bottom"/>
          </w:tcPr>
          <w:p w14:paraId="65092627" w14:textId="5E4E1DB3" w:rsidR="00C97C65" w:rsidRPr="00B275E2" w:rsidRDefault="00C97C65" w:rsidP="007F0B1E">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275E2">
              <w:rPr>
                <w:color w:val="000000"/>
              </w:rPr>
              <w:t>≥3000 cc</w:t>
            </w:r>
          </w:p>
        </w:tc>
        <w:tc>
          <w:tcPr>
            <w:tcW w:w="737" w:type="dxa"/>
            <w:noWrap/>
          </w:tcPr>
          <w:p w14:paraId="65092628" w14:textId="77777777" w:rsidR="00C97C65" w:rsidRPr="00B275E2" w:rsidRDefault="00C97C65" w:rsidP="007F0B1E">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275E2">
              <w:t>km</w:t>
            </w:r>
          </w:p>
        </w:tc>
        <w:tc>
          <w:tcPr>
            <w:tcW w:w="1361" w:type="dxa"/>
            <w:shd w:val="clear" w:color="auto" w:fill="D2DDE1" w:themeFill="background2"/>
            <w:noWrap/>
          </w:tcPr>
          <w:p w14:paraId="65092629" w14:textId="5AB5D4D7" w:rsidR="00C97C65" w:rsidRPr="00B275E2" w:rsidRDefault="00C97C65" w:rsidP="007F0B1E">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0.123</w:t>
            </w:r>
          </w:p>
        </w:tc>
        <w:tc>
          <w:tcPr>
            <w:tcW w:w="1191" w:type="dxa"/>
            <w:shd w:val="clear" w:color="auto" w:fill="auto"/>
            <w:noWrap/>
          </w:tcPr>
          <w:p w14:paraId="6509262A" w14:textId="0CB31DD1" w:rsidR="00C97C65" w:rsidRPr="00B275E2" w:rsidRDefault="00C97C65" w:rsidP="007F0B1E">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0.121</w:t>
            </w:r>
          </w:p>
        </w:tc>
        <w:tc>
          <w:tcPr>
            <w:tcW w:w="1247" w:type="dxa"/>
            <w:shd w:val="clear" w:color="auto" w:fill="auto"/>
            <w:noWrap/>
          </w:tcPr>
          <w:p w14:paraId="6509262B" w14:textId="4E8B8902" w:rsidR="00C97C65" w:rsidRPr="00B275E2" w:rsidRDefault="00C97C65" w:rsidP="007F0B1E">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0.0002</w:t>
            </w:r>
          </w:p>
        </w:tc>
        <w:tc>
          <w:tcPr>
            <w:tcW w:w="1247" w:type="dxa"/>
            <w:tcBorders>
              <w:right w:val="single" w:sz="4" w:space="0" w:color="FFFFFF" w:themeColor="background1"/>
            </w:tcBorders>
            <w:shd w:val="clear" w:color="auto" w:fill="auto"/>
            <w:noWrap/>
          </w:tcPr>
          <w:p w14:paraId="6509262C" w14:textId="5A13E066" w:rsidR="00C97C65" w:rsidRPr="00B275E2" w:rsidRDefault="00C97C65" w:rsidP="007F0B1E">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0.002</w:t>
            </w:r>
          </w:p>
        </w:tc>
      </w:tr>
      <w:tr w:rsidR="006F1A5A" w:rsidRPr="00B275E2" w14:paraId="65092635" w14:textId="77777777" w:rsidTr="003552D5">
        <w:tc>
          <w:tcPr>
            <w:cnfStyle w:val="001000000000" w:firstRow="0" w:lastRow="0" w:firstColumn="1" w:lastColumn="0" w:oddVBand="0" w:evenVBand="0" w:oddHBand="0" w:evenHBand="0" w:firstRowFirstColumn="0" w:firstRowLastColumn="0" w:lastRowFirstColumn="0" w:lastRowLastColumn="0"/>
            <w:tcW w:w="1418" w:type="dxa"/>
            <w:vMerge w:val="restart"/>
            <w:tcBorders>
              <w:left w:val="single" w:sz="4" w:space="0" w:color="FFFFFF" w:themeColor="background1"/>
            </w:tcBorders>
            <w:hideMark/>
          </w:tcPr>
          <w:p w14:paraId="6509262E" w14:textId="77777777" w:rsidR="00C97C65" w:rsidRPr="00B275E2" w:rsidRDefault="00C97C65" w:rsidP="007F0B1E">
            <w:pPr>
              <w:pStyle w:val="TableText"/>
              <w:spacing w:before="40" w:after="50"/>
              <w:rPr>
                <w:b w:val="0"/>
              </w:rPr>
            </w:pPr>
            <w:r w:rsidRPr="00B275E2">
              <w:rPr>
                <w:b w:val="0"/>
              </w:rPr>
              <w:t>Electricity: diesel PHEV</w:t>
            </w:r>
          </w:p>
        </w:tc>
        <w:tc>
          <w:tcPr>
            <w:tcW w:w="1531" w:type="dxa"/>
            <w:noWrap/>
            <w:vAlign w:val="bottom"/>
          </w:tcPr>
          <w:p w14:paraId="6509262F" w14:textId="664BFB1F" w:rsidR="00C97C65" w:rsidRPr="00B275E2" w:rsidRDefault="00C97C65" w:rsidP="007F0B1E">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275E2">
              <w:rPr>
                <w:color w:val="000000"/>
              </w:rPr>
              <w:t>&lt;1350 cc</w:t>
            </w:r>
          </w:p>
        </w:tc>
        <w:tc>
          <w:tcPr>
            <w:tcW w:w="737" w:type="dxa"/>
            <w:noWrap/>
          </w:tcPr>
          <w:p w14:paraId="65092630" w14:textId="77777777" w:rsidR="00C97C65" w:rsidRPr="00B275E2" w:rsidRDefault="00C97C65" w:rsidP="007F0B1E">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275E2">
              <w:t>km</w:t>
            </w:r>
          </w:p>
        </w:tc>
        <w:tc>
          <w:tcPr>
            <w:tcW w:w="1361" w:type="dxa"/>
            <w:shd w:val="clear" w:color="auto" w:fill="D2DDE1" w:themeFill="background2"/>
            <w:noWrap/>
          </w:tcPr>
          <w:p w14:paraId="65092631" w14:textId="47949E9E" w:rsidR="00C97C65" w:rsidRPr="00B275E2" w:rsidRDefault="00C97C65" w:rsidP="007F0B1E">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0.010</w:t>
            </w:r>
          </w:p>
        </w:tc>
        <w:tc>
          <w:tcPr>
            <w:tcW w:w="1191" w:type="dxa"/>
            <w:shd w:val="clear" w:color="auto" w:fill="auto"/>
            <w:noWrap/>
          </w:tcPr>
          <w:p w14:paraId="65092632" w14:textId="2B95ED04" w:rsidR="00C97C65" w:rsidRPr="00B275E2" w:rsidRDefault="00C97C65" w:rsidP="007F0B1E">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0.010</w:t>
            </w:r>
          </w:p>
        </w:tc>
        <w:tc>
          <w:tcPr>
            <w:tcW w:w="1247" w:type="dxa"/>
            <w:shd w:val="clear" w:color="auto" w:fill="auto"/>
            <w:noWrap/>
          </w:tcPr>
          <w:p w14:paraId="65092633" w14:textId="31B26F39" w:rsidR="00C97C65" w:rsidRPr="00B275E2" w:rsidRDefault="00C97C65" w:rsidP="007F0B1E">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0.0004</w:t>
            </w:r>
          </w:p>
        </w:tc>
        <w:tc>
          <w:tcPr>
            <w:tcW w:w="1247" w:type="dxa"/>
            <w:tcBorders>
              <w:right w:val="single" w:sz="4" w:space="0" w:color="FFFFFF" w:themeColor="background1"/>
            </w:tcBorders>
            <w:shd w:val="clear" w:color="auto" w:fill="auto"/>
            <w:noWrap/>
          </w:tcPr>
          <w:p w14:paraId="65092634" w14:textId="25619D19" w:rsidR="00C97C65" w:rsidRPr="00B275E2" w:rsidRDefault="00C97C65" w:rsidP="007F0B1E">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0.00001</w:t>
            </w:r>
          </w:p>
        </w:tc>
      </w:tr>
      <w:tr w:rsidR="006F1A5A" w:rsidRPr="00B275E2" w14:paraId="6509263D" w14:textId="77777777" w:rsidTr="003552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left w:val="single" w:sz="4" w:space="0" w:color="FFFFFF" w:themeColor="background1"/>
            </w:tcBorders>
          </w:tcPr>
          <w:p w14:paraId="65092636" w14:textId="77777777" w:rsidR="00C97C65" w:rsidRPr="00B275E2" w:rsidRDefault="00C97C65" w:rsidP="007F0B1E">
            <w:pPr>
              <w:pStyle w:val="TableText"/>
              <w:spacing w:before="40" w:after="50"/>
              <w:rPr>
                <w:b w:val="0"/>
              </w:rPr>
            </w:pPr>
          </w:p>
        </w:tc>
        <w:tc>
          <w:tcPr>
            <w:tcW w:w="1531" w:type="dxa"/>
            <w:noWrap/>
            <w:vAlign w:val="bottom"/>
          </w:tcPr>
          <w:p w14:paraId="65092637" w14:textId="7AB53D5A" w:rsidR="00C97C65" w:rsidRPr="00B275E2" w:rsidRDefault="00C97C65" w:rsidP="007F0B1E">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275E2">
              <w:rPr>
                <w:color w:val="000000"/>
              </w:rPr>
              <w:t>1350</w:t>
            </w:r>
            <w:r w:rsidRPr="00B275E2">
              <w:rPr>
                <w:rFonts w:cs="Calibri"/>
                <w:color w:val="000000"/>
                <w:szCs w:val="18"/>
              </w:rPr>
              <w:t xml:space="preserve"> -</w:t>
            </w:r>
            <w:r w:rsidRPr="00B275E2">
              <w:rPr>
                <w:rFonts w:cs="Calibri"/>
                <w:color w:val="000000"/>
              </w:rPr>
              <w:t xml:space="preserve"> </w:t>
            </w:r>
            <w:r w:rsidRPr="00B275E2">
              <w:t>&lt;</w:t>
            </w:r>
            <w:r w:rsidRPr="00B275E2">
              <w:rPr>
                <w:color w:val="000000"/>
              </w:rPr>
              <w:t>1600 cc</w:t>
            </w:r>
          </w:p>
        </w:tc>
        <w:tc>
          <w:tcPr>
            <w:tcW w:w="737" w:type="dxa"/>
            <w:noWrap/>
          </w:tcPr>
          <w:p w14:paraId="65092638" w14:textId="77777777" w:rsidR="00C97C65" w:rsidRPr="00B275E2" w:rsidRDefault="00C97C65" w:rsidP="007F0B1E">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275E2">
              <w:t>km</w:t>
            </w:r>
          </w:p>
        </w:tc>
        <w:tc>
          <w:tcPr>
            <w:tcW w:w="1361" w:type="dxa"/>
            <w:shd w:val="clear" w:color="auto" w:fill="D2DDE1" w:themeFill="background2"/>
            <w:noWrap/>
          </w:tcPr>
          <w:p w14:paraId="65092639" w14:textId="2CD4952F" w:rsidR="00C97C65" w:rsidRPr="00B275E2" w:rsidRDefault="00C97C65" w:rsidP="007F0B1E">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0.010</w:t>
            </w:r>
          </w:p>
        </w:tc>
        <w:tc>
          <w:tcPr>
            <w:tcW w:w="1191" w:type="dxa"/>
            <w:shd w:val="clear" w:color="auto" w:fill="auto"/>
            <w:noWrap/>
          </w:tcPr>
          <w:p w14:paraId="6509263A" w14:textId="726C0264" w:rsidR="00C97C65" w:rsidRPr="00B275E2" w:rsidRDefault="00C97C65" w:rsidP="007F0B1E">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0.009</w:t>
            </w:r>
          </w:p>
        </w:tc>
        <w:tc>
          <w:tcPr>
            <w:tcW w:w="1247" w:type="dxa"/>
            <w:shd w:val="clear" w:color="auto" w:fill="auto"/>
            <w:noWrap/>
          </w:tcPr>
          <w:p w14:paraId="6509263B" w14:textId="34A499C2" w:rsidR="00C97C65" w:rsidRPr="00B275E2" w:rsidRDefault="00C97C65" w:rsidP="007F0B1E">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0.0004</w:t>
            </w:r>
          </w:p>
        </w:tc>
        <w:tc>
          <w:tcPr>
            <w:tcW w:w="1247" w:type="dxa"/>
            <w:tcBorders>
              <w:right w:val="single" w:sz="4" w:space="0" w:color="FFFFFF" w:themeColor="background1"/>
            </w:tcBorders>
            <w:shd w:val="clear" w:color="auto" w:fill="auto"/>
            <w:noWrap/>
          </w:tcPr>
          <w:p w14:paraId="6509263C" w14:textId="29AB82D1" w:rsidR="00C97C65" w:rsidRPr="00B275E2" w:rsidRDefault="00C97C65" w:rsidP="007F0B1E">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0.00001</w:t>
            </w:r>
          </w:p>
        </w:tc>
      </w:tr>
      <w:tr w:rsidR="006F1A5A" w:rsidRPr="00B275E2" w14:paraId="65092645" w14:textId="77777777" w:rsidTr="003552D5">
        <w:tc>
          <w:tcPr>
            <w:cnfStyle w:val="001000000000" w:firstRow="0" w:lastRow="0" w:firstColumn="1" w:lastColumn="0" w:oddVBand="0" w:evenVBand="0" w:oddHBand="0" w:evenHBand="0" w:firstRowFirstColumn="0" w:firstRowLastColumn="0" w:lastRowFirstColumn="0" w:lastRowLastColumn="0"/>
            <w:tcW w:w="1418" w:type="dxa"/>
            <w:vMerge/>
            <w:tcBorders>
              <w:left w:val="single" w:sz="4" w:space="0" w:color="FFFFFF" w:themeColor="background1"/>
            </w:tcBorders>
          </w:tcPr>
          <w:p w14:paraId="6509263E" w14:textId="77777777" w:rsidR="00C97C65" w:rsidRPr="00B275E2" w:rsidRDefault="00C97C65" w:rsidP="007F0B1E">
            <w:pPr>
              <w:pStyle w:val="TableText"/>
              <w:spacing w:before="40" w:after="50"/>
              <w:rPr>
                <w:b w:val="0"/>
              </w:rPr>
            </w:pPr>
          </w:p>
        </w:tc>
        <w:tc>
          <w:tcPr>
            <w:tcW w:w="1531" w:type="dxa"/>
            <w:noWrap/>
            <w:vAlign w:val="bottom"/>
          </w:tcPr>
          <w:p w14:paraId="6509263F" w14:textId="0A5DEFEA" w:rsidR="00C97C65" w:rsidRPr="00B275E2" w:rsidRDefault="00C97C65" w:rsidP="007F0B1E">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275E2">
              <w:rPr>
                <w:color w:val="000000"/>
              </w:rPr>
              <w:t>1600</w:t>
            </w:r>
            <w:r w:rsidRPr="00B275E2">
              <w:rPr>
                <w:rFonts w:cs="Calibri"/>
                <w:color w:val="000000"/>
                <w:szCs w:val="18"/>
              </w:rPr>
              <w:t xml:space="preserve"> -</w:t>
            </w:r>
            <w:r w:rsidRPr="00B275E2">
              <w:rPr>
                <w:rFonts w:cs="Calibri"/>
                <w:color w:val="000000"/>
              </w:rPr>
              <w:t xml:space="preserve"> </w:t>
            </w:r>
            <w:r w:rsidRPr="00B275E2">
              <w:t>&lt;</w:t>
            </w:r>
            <w:r w:rsidRPr="00B275E2">
              <w:rPr>
                <w:color w:val="000000"/>
              </w:rPr>
              <w:t>2000 cc</w:t>
            </w:r>
          </w:p>
        </w:tc>
        <w:tc>
          <w:tcPr>
            <w:tcW w:w="737" w:type="dxa"/>
            <w:noWrap/>
          </w:tcPr>
          <w:p w14:paraId="65092640" w14:textId="77777777" w:rsidR="00C97C65" w:rsidRPr="00B275E2" w:rsidRDefault="00C97C65" w:rsidP="007F0B1E">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275E2">
              <w:t>km</w:t>
            </w:r>
          </w:p>
        </w:tc>
        <w:tc>
          <w:tcPr>
            <w:tcW w:w="1361" w:type="dxa"/>
            <w:shd w:val="clear" w:color="auto" w:fill="D2DDE1" w:themeFill="background2"/>
            <w:noWrap/>
          </w:tcPr>
          <w:p w14:paraId="65092641" w14:textId="33C64F83" w:rsidR="00C97C65" w:rsidRPr="00B275E2" w:rsidRDefault="00C97C65" w:rsidP="007F0B1E">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0.011</w:t>
            </w:r>
          </w:p>
        </w:tc>
        <w:tc>
          <w:tcPr>
            <w:tcW w:w="1191" w:type="dxa"/>
            <w:shd w:val="clear" w:color="auto" w:fill="auto"/>
            <w:noWrap/>
          </w:tcPr>
          <w:p w14:paraId="65092642" w14:textId="59E52849" w:rsidR="00C97C65" w:rsidRPr="00B275E2" w:rsidRDefault="00C97C65" w:rsidP="007F0B1E">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0.010</w:t>
            </w:r>
          </w:p>
        </w:tc>
        <w:tc>
          <w:tcPr>
            <w:tcW w:w="1247" w:type="dxa"/>
            <w:shd w:val="clear" w:color="auto" w:fill="auto"/>
            <w:noWrap/>
          </w:tcPr>
          <w:p w14:paraId="65092643" w14:textId="47474E3D" w:rsidR="00C97C65" w:rsidRPr="00B275E2" w:rsidRDefault="00C97C65" w:rsidP="007F0B1E">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0.0004</w:t>
            </w:r>
          </w:p>
        </w:tc>
        <w:tc>
          <w:tcPr>
            <w:tcW w:w="1247" w:type="dxa"/>
            <w:tcBorders>
              <w:right w:val="single" w:sz="4" w:space="0" w:color="FFFFFF" w:themeColor="background1"/>
            </w:tcBorders>
            <w:shd w:val="clear" w:color="auto" w:fill="auto"/>
            <w:noWrap/>
          </w:tcPr>
          <w:p w14:paraId="65092644" w14:textId="15914C36" w:rsidR="00C97C65" w:rsidRPr="00B275E2" w:rsidRDefault="00C97C65" w:rsidP="007F0B1E">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0.00001</w:t>
            </w:r>
          </w:p>
        </w:tc>
      </w:tr>
      <w:tr w:rsidR="006F1A5A" w:rsidRPr="00B275E2" w14:paraId="6509264D" w14:textId="77777777" w:rsidTr="003552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left w:val="single" w:sz="4" w:space="0" w:color="FFFFFF" w:themeColor="background1"/>
            </w:tcBorders>
          </w:tcPr>
          <w:p w14:paraId="65092646" w14:textId="77777777" w:rsidR="00C97C65" w:rsidRPr="00B275E2" w:rsidRDefault="00C97C65" w:rsidP="007F0B1E">
            <w:pPr>
              <w:pStyle w:val="TableText"/>
              <w:spacing w:before="40" w:after="50"/>
              <w:rPr>
                <w:b w:val="0"/>
              </w:rPr>
            </w:pPr>
          </w:p>
        </w:tc>
        <w:tc>
          <w:tcPr>
            <w:tcW w:w="1531" w:type="dxa"/>
            <w:noWrap/>
            <w:vAlign w:val="bottom"/>
          </w:tcPr>
          <w:p w14:paraId="65092647" w14:textId="5A4C5F45" w:rsidR="00C97C65" w:rsidRPr="00B275E2" w:rsidRDefault="00C97C65" w:rsidP="007F0B1E">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275E2">
              <w:rPr>
                <w:color w:val="000000"/>
              </w:rPr>
              <w:t>2000</w:t>
            </w:r>
            <w:r w:rsidRPr="00B275E2">
              <w:rPr>
                <w:rFonts w:cs="Calibri"/>
                <w:color w:val="000000"/>
                <w:szCs w:val="18"/>
              </w:rPr>
              <w:t xml:space="preserve"> -</w:t>
            </w:r>
            <w:r w:rsidRPr="00B275E2">
              <w:rPr>
                <w:rFonts w:cs="Calibri"/>
                <w:color w:val="000000"/>
              </w:rPr>
              <w:t xml:space="preserve"> </w:t>
            </w:r>
            <w:r w:rsidRPr="00B275E2">
              <w:t>&lt;</w:t>
            </w:r>
            <w:r w:rsidRPr="00B275E2">
              <w:rPr>
                <w:color w:val="000000"/>
              </w:rPr>
              <w:t>3000 cc</w:t>
            </w:r>
          </w:p>
        </w:tc>
        <w:tc>
          <w:tcPr>
            <w:tcW w:w="737" w:type="dxa"/>
            <w:noWrap/>
          </w:tcPr>
          <w:p w14:paraId="65092648" w14:textId="77777777" w:rsidR="00C97C65" w:rsidRPr="00B275E2" w:rsidRDefault="00C97C65" w:rsidP="007F0B1E">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275E2">
              <w:t>km</w:t>
            </w:r>
          </w:p>
        </w:tc>
        <w:tc>
          <w:tcPr>
            <w:tcW w:w="1361" w:type="dxa"/>
            <w:shd w:val="clear" w:color="auto" w:fill="D2DDE1" w:themeFill="background2"/>
            <w:noWrap/>
          </w:tcPr>
          <w:p w14:paraId="65092649" w14:textId="02256320" w:rsidR="00C97C65" w:rsidRPr="00B275E2" w:rsidRDefault="00C97C65" w:rsidP="007F0B1E">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0.012</w:t>
            </w:r>
          </w:p>
        </w:tc>
        <w:tc>
          <w:tcPr>
            <w:tcW w:w="1191" w:type="dxa"/>
            <w:shd w:val="clear" w:color="auto" w:fill="auto"/>
            <w:noWrap/>
          </w:tcPr>
          <w:p w14:paraId="6509264A" w14:textId="6F587C3E" w:rsidR="00C97C65" w:rsidRPr="00B275E2" w:rsidRDefault="00C97C65" w:rsidP="007F0B1E">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0.011</w:t>
            </w:r>
          </w:p>
        </w:tc>
        <w:tc>
          <w:tcPr>
            <w:tcW w:w="1247" w:type="dxa"/>
            <w:shd w:val="clear" w:color="auto" w:fill="auto"/>
            <w:noWrap/>
          </w:tcPr>
          <w:p w14:paraId="6509264B" w14:textId="30A34A84" w:rsidR="00C97C65" w:rsidRPr="00B275E2" w:rsidRDefault="00C97C65" w:rsidP="007F0B1E">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0.0005</w:t>
            </w:r>
          </w:p>
        </w:tc>
        <w:tc>
          <w:tcPr>
            <w:tcW w:w="1247" w:type="dxa"/>
            <w:tcBorders>
              <w:right w:val="single" w:sz="4" w:space="0" w:color="FFFFFF" w:themeColor="background1"/>
            </w:tcBorders>
            <w:shd w:val="clear" w:color="auto" w:fill="auto"/>
            <w:noWrap/>
          </w:tcPr>
          <w:p w14:paraId="6509264C" w14:textId="036E7B67" w:rsidR="00C97C65" w:rsidRPr="00B275E2" w:rsidRDefault="00C97C65" w:rsidP="007F0B1E">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0.00002</w:t>
            </w:r>
          </w:p>
        </w:tc>
      </w:tr>
      <w:tr w:rsidR="006F1A5A" w:rsidRPr="00B275E2" w14:paraId="65092655" w14:textId="77777777" w:rsidTr="003552D5">
        <w:tc>
          <w:tcPr>
            <w:cnfStyle w:val="001000000000" w:firstRow="0" w:lastRow="0" w:firstColumn="1" w:lastColumn="0" w:oddVBand="0" w:evenVBand="0" w:oddHBand="0" w:evenHBand="0" w:firstRowFirstColumn="0" w:firstRowLastColumn="0" w:lastRowFirstColumn="0" w:lastRowLastColumn="0"/>
            <w:tcW w:w="1418" w:type="dxa"/>
            <w:vMerge/>
            <w:tcBorders>
              <w:left w:val="single" w:sz="4" w:space="0" w:color="FFFFFF" w:themeColor="background1"/>
            </w:tcBorders>
          </w:tcPr>
          <w:p w14:paraId="6509264E" w14:textId="77777777" w:rsidR="00C97C65" w:rsidRPr="00B275E2" w:rsidRDefault="00C97C65" w:rsidP="007F0B1E">
            <w:pPr>
              <w:pStyle w:val="TableText"/>
              <w:spacing w:before="50" w:after="50"/>
              <w:rPr>
                <w:b w:val="0"/>
              </w:rPr>
            </w:pPr>
          </w:p>
        </w:tc>
        <w:tc>
          <w:tcPr>
            <w:tcW w:w="1531" w:type="dxa"/>
            <w:noWrap/>
            <w:vAlign w:val="bottom"/>
          </w:tcPr>
          <w:p w14:paraId="6509264F" w14:textId="3FC6FDD2" w:rsidR="00C97C65" w:rsidRPr="00B275E2" w:rsidRDefault="00C97C65" w:rsidP="007F0B1E">
            <w:pPr>
              <w:pStyle w:val="TableText"/>
              <w:spacing w:before="50" w:after="50"/>
              <w:cnfStyle w:val="000000000000" w:firstRow="0" w:lastRow="0" w:firstColumn="0" w:lastColumn="0" w:oddVBand="0" w:evenVBand="0" w:oddHBand="0" w:evenHBand="0" w:firstRowFirstColumn="0" w:firstRowLastColumn="0" w:lastRowFirstColumn="0" w:lastRowLastColumn="0"/>
            </w:pPr>
            <w:r w:rsidRPr="00B275E2">
              <w:rPr>
                <w:color w:val="000000"/>
              </w:rPr>
              <w:t>≥3000 cc</w:t>
            </w:r>
          </w:p>
        </w:tc>
        <w:tc>
          <w:tcPr>
            <w:tcW w:w="737" w:type="dxa"/>
            <w:noWrap/>
          </w:tcPr>
          <w:p w14:paraId="65092650" w14:textId="77777777" w:rsidR="00C97C65" w:rsidRPr="00B275E2" w:rsidRDefault="00C97C65" w:rsidP="007F0B1E">
            <w:pPr>
              <w:pStyle w:val="TableText"/>
              <w:spacing w:before="50" w:after="50"/>
              <w:cnfStyle w:val="000000000000" w:firstRow="0" w:lastRow="0" w:firstColumn="0" w:lastColumn="0" w:oddVBand="0" w:evenVBand="0" w:oddHBand="0" w:evenHBand="0" w:firstRowFirstColumn="0" w:firstRowLastColumn="0" w:lastRowFirstColumn="0" w:lastRowLastColumn="0"/>
            </w:pPr>
            <w:r w:rsidRPr="00B275E2">
              <w:t>km</w:t>
            </w:r>
          </w:p>
        </w:tc>
        <w:tc>
          <w:tcPr>
            <w:tcW w:w="1361" w:type="dxa"/>
            <w:shd w:val="clear" w:color="auto" w:fill="D2DDE1" w:themeFill="background2"/>
            <w:noWrap/>
          </w:tcPr>
          <w:p w14:paraId="65092651" w14:textId="4080E2E7" w:rsidR="00C97C65" w:rsidRPr="00B275E2" w:rsidRDefault="00C97C65" w:rsidP="007F0B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0.014</w:t>
            </w:r>
          </w:p>
        </w:tc>
        <w:tc>
          <w:tcPr>
            <w:tcW w:w="1191" w:type="dxa"/>
            <w:shd w:val="clear" w:color="auto" w:fill="auto"/>
            <w:noWrap/>
          </w:tcPr>
          <w:p w14:paraId="65092652" w14:textId="2B8D9282" w:rsidR="00C97C65" w:rsidRPr="00B275E2" w:rsidRDefault="00C97C65" w:rsidP="007F0B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0.014</w:t>
            </w:r>
          </w:p>
        </w:tc>
        <w:tc>
          <w:tcPr>
            <w:tcW w:w="1247" w:type="dxa"/>
            <w:shd w:val="clear" w:color="auto" w:fill="auto"/>
            <w:noWrap/>
          </w:tcPr>
          <w:p w14:paraId="65092653" w14:textId="713A4FDA" w:rsidR="00C97C65" w:rsidRPr="00B275E2" w:rsidRDefault="00C97C65" w:rsidP="007F0B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0.001</w:t>
            </w:r>
          </w:p>
        </w:tc>
        <w:tc>
          <w:tcPr>
            <w:tcW w:w="1247" w:type="dxa"/>
            <w:tcBorders>
              <w:right w:val="single" w:sz="4" w:space="0" w:color="FFFFFF" w:themeColor="background1"/>
            </w:tcBorders>
            <w:shd w:val="clear" w:color="auto" w:fill="auto"/>
            <w:noWrap/>
          </w:tcPr>
          <w:p w14:paraId="65092654" w14:textId="65165B19" w:rsidR="00C97C65" w:rsidRPr="00B275E2" w:rsidRDefault="00C97C65" w:rsidP="007F0B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0.00002</w:t>
            </w:r>
          </w:p>
        </w:tc>
      </w:tr>
      <w:tr w:rsidR="006F1A5A" w:rsidRPr="00B275E2" w14:paraId="6509265D" w14:textId="77777777" w:rsidTr="003552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val="restart"/>
            <w:tcBorders>
              <w:left w:val="single" w:sz="4" w:space="0" w:color="FFFFFF" w:themeColor="background1"/>
            </w:tcBorders>
          </w:tcPr>
          <w:p w14:paraId="65092656" w14:textId="3AD7AD35" w:rsidR="00C97C65" w:rsidRPr="00B275E2" w:rsidRDefault="00C97C65" w:rsidP="007F0B1E">
            <w:pPr>
              <w:pStyle w:val="TableText"/>
              <w:spacing w:before="50" w:after="50"/>
              <w:rPr>
                <w:b w:val="0"/>
              </w:rPr>
            </w:pPr>
            <w:r w:rsidRPr="00B275E2">
              <w:rPr>
                <w:b w:val="0"/>
              </w:rPr>
              <w:t xml:space="preserve">Electricity: BEV </w:t>
            </w:r>
          </w:p>
        </w:tc>
        <w:tc>
          <w:tcPr>
            <w:tcW w:w="1531" w:type="dxa"/>
            <w:noWrap/>
          </w:tcPr>
          <w:p w14:paraId="65092657" w14:textId="707463E2" w:rsidR="00C97C65" w:rsidRPr="00B275E2" w:rsidRDefault="00C97C65" w:rsidP="007F0B1E">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275E2">
              <w:t>Very small</w:t>
            </w:r>
          </w:p>
        </w:tc>
        <w:tc>
          <w:tcPr>
            <w:tcW w:w="737" w:type="dxa"/>
            <w:noWrap/>
          </w:tcPr>
          <w:p w14:paraId="65092658" w14:textId="77777777" w:rsidR="00C97C65" w:rsidRPr="00B275E2" w:rsidRDefault="00C97C65" w:rsidP="007F0B1E">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275E2">
              <w:t>km</w:t>
            </w:r>
          </w:p>
        </w:tc>
        <w:tc>
          <w:tcPr>
            <w:tcW w:w="1361" w:type="dxa"/>
            <w:shd w:val="clear" w:color="auto" w:fill="D2DDE1" w:themeFill="background2"/>
            <w:noWrap/>
          </w:tcPr>
          <w:p w14:paraId="65092659" w14:textId="25B1C67E" w:rsidR="00C97C65" w:rsidRPr="00B275E2" w:rsidRDefault="00C97C65" w:rsidP="007F0B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0.021</w:t>
            </w:r>
          </w:p>
        </w:tc>
        <w:tc>
          <w:tcPr>
            <w:tcW w:w="1191" w:type="dxa"/>
            <w:shd w:val="clear" w:color="auto" w:fill="auto"/>
            <w:noWrap/>
          </w:tcPr>
          <w:p w14:paraId="6509265A" w14:textId="3018A5A4" w:rsidR="00C97C65" w:rsidRPr="00B275E2" w:rsidRDefault="00C97C65" w:rsidP="007F0B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0.020</w:t>
            </w:r>
          </w:p>
        </w:tc>
        <w:tc>
          <w:tcPr>
            <w:tcW w:w="1247" w:type="dxa"/>
            <w:shd w:val="clear" w:color="auto" w:fill="auto"/>
            <w:noWrap/>
          </w:tcPr>
          <w:p w14:paraId="6509265B" w14:textId="3C976490" w:rsidR="00C97C65" w:rsidRPr="00B275E2" w:rsidRDefault="00C97C65" w:rsidP="007F0B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0.001</w:t>
            </w:r>
          </w:p>
        </w:tc>
        <w:tc>
          <w:tcPr>
            <w:tcW w:w="1247" w:type="dxa"/>
            <w:tcBorders>
              <w:right w:val="single" w:sz="4" w:space="0" w:color="FFFFFF" w:themeColor="background1"/>
            </w:tcBorders>
            <w:shd w:val="clear" w:color="auto" w:fill="auto"/>
            <w:noWrap/>
          </w:tcPr>
          <w:p w14:paraId="6509265C" w14:textId="16F9B5F1" w:rsidR="00C97C65" w:rsidRPr="00B275E2" w:rsidRDefault="00C97C65" w:rsidP="007F0B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0.00003</w:t>
            </w:r>
          </w:p>
        </w:tc>
      </w:tr>
      <w:tr w:rsidR="006F1A5A" w:rsidRPr="00B275E2" w14:paraId="65092665" w14:textId="77777777" w:rsidTr="003552D5">
        <w:tc>
          <w:tcPr>
            <w:cnfStyle w:val="001000000000" w:firstRow="0" w:lastRow="0" w:firstColumn="1" w:lastColumn="0" w:oddVBand="0" w:evenVBand="0" w:oddHBand="0" w:evenHBand="0" w:firstRowFirstColumn="0" w:firstRowLastColumn="0" w:lastRowFirstColumn="0" w:lastRowLastColumn="0"/>
            <w:tcW w:w="1418" w:type="dxa"/>
            <w:vMerge/>
            <w:tcBorders>
              <w:left w:val="single" w:sz="4" w:space="0" w:color="FFFFFF" w:themeColor="background1"/>
            </w:tcBorders>
          </w:tcPr>
          <w:p w14:paraId="6509265E" w14:textId="77777777" w:rsidR="00C97C65" w:rsidRPr="00B275E2" w:rsidRDefault="00C97C65" w:rsidP="007F0B1E">
            <w:pPr>
              <w:pStyle w:val="TableText"/>
              <w:spacing w:before="50" w:after="50"/>
            </w:pPr>
          </w:p>
        </w:tc>
        <w:tc>
          <w:tcPr>
            <w:tcW w:w="1531" w:type="dxa"/>
            <w:noWrap/>
          </w:tcPr>
          <w:p w14:paraId="6509265F" w14:textId="511800A1" w:rsidR="00C97C65" w:rsidRPr="00B275E2" w:rsidRDefault="00C97C65" w:rsidP="007F0B1E">
            <w:pPr>
              <w:pStyle w:val="TableText"/>
              <w:spacing w:before="50" w:after="50"/>
              <w:cnfStyle w:val="000000000000" w:firstRow="0" w:lastRow="0" w:firstColumn="0" w:lastColumn="0" w:oddVBand="0" w:evenVBand="0" w:oddHBand="0" w:evenHBand="0" w:firstRowFirstColumn="0" w:firstRowLastColumn="0" w:lastRowFirstColumn="0" w:lastRowLastColumn="0"/>
            </w:pPr>
            <w:r w:rsidRPr="00B275E2">
              <w:t>Small</w:t>
            </w:r>
          </w:p>
        </w:tc>
        <w:tc>
          <w:tcPr>
            <w:tcW w:w="737" w:type="dxa"/>
            <w:noWrap/>
          </w:tcPr>
          <w:p w14:paraId="65092660" w14:textId="77777777" w:rsidR="00C97C65" w:rsidRPr="00B275E2" w:rsidRDefault="00C97C65" w:rsidP="007F0B1E">
            <w:pPr>
              <w:pStyle w:val="TableText"/>
              <w:spacing w:before="50" w:after="50"/>
              <w:cnfStyle w:val="000000000000" w:firstRow="0" w:lastRow="0" w:firstColumn="0" w:lastColumn="0" w:oddVBand="0" w:evenVBand="0" w:oddHBand="0" w:evenHBand="0" w:firstRowFirstColumn="0" w:firstRowLastColumn="0" w:lastRowFirstColumn="0" w:lastRowLastColumn="0"/>
            </w:pPr>
            <w:r w:rsidRPr="00B275E2">
              <w:t>km</w:t>
            </w:r>
          </w:p>
        </w:tc>
        <w:tc>
          <w:tcPr>
            <w:tcW w:w="1361" w:type="dxa"/>
            <w:shd w:val="clear" w:color="auto" w:fill="D2DDE1" w:themeFill="background2"/>
            <w:noWrap/>
          </w:tcPr>
          <w:p w14:paraId="65092661" w14:textId="04C598ED" w:rsidR="00C97C65" w:rsidRPr="00B275E2" w:rsidRDefault="00C97C65" w:rsidP="007F0B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0.022</w:t>
            </w:r>
          </w:p>
        </w:tc>
        <w:tc>
          <w:tcPr>
            <w:tcW w:w="1191" w:type="dxa"/>
            <w:shd w:val="clear" w:color="auto" w:fill="auto"/>
            <w:noWrap/>
          </w:tcPr>
          <w:p w14:paraId="65092662" w14:textId="2B885C52" w:rsidR="00C97C65" w:rsidRPr="00B275E2" w:rsidRDefault="00C97C65" w:rsidP="007F0B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0.021</w:t>
            </w:r>
          </w:p>
        </w:tc>
        <w:tc>
          <w:tcPr>
            <w:tcW w:w="1247" w:type="dxa"/>
            <w:shd w:val="clear" w:color="auto" w:fill="auto"/>
            <w:noWrap/>
          </w:tcPr>
          <w:p w14:paraId="65092663" w14:textId="294A6D50" w:rsidR="00C97C65" w:rsidRPr="00B275E2" w:rsidRDefault="00C97C65" w:rsidP="007F0B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0.001</w:t>
            </w:r>
          </w:p>
        </w:tc>
        <w:tc>
          <w:tcPr>
            <w:tcW w:w="1247" w:type="dxa"/>
            <w:tcBorders>
              <w:right w:val="single" w:sz="4" w:space="0" w:color="FFFFFF" w:themeColor="background1"/>
            </w:tcBorders>
            <w:shd w:val="clear" w:color="auto" w:fill="auto"/>
            <w:noWrap/>
          </w:tcPr>
          <w:p w14:paraId="65092664" w14:textId="27506065" w:rsidR="00C97C65" w:rsidRPr="00B275E2" w:rsidRDefault="00C97C65" w:rsidP="007F0B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0.00003</w:t>
            </w:r>
          </w:p>
        </w:tc>
      </w:tr>
      <w:tr w:rsidR="006F1A5A" w:rsidRPr="00B275E2" w14:paraId="6509266D" w14:textId="77777777" w:rsidTr="003552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left w:val="single" w:sz="4" w:space="0" w:color="FFFFFF" w:themeColor="background1"/>
            </w:tcBorders>
          </w:tcPr>
          <w:p w14:paraId="65092666" w14:textId="77777777" w:rsidR="00C97C65" w:rsidRPr="00B275E2" w:rsidRDefault="00C97C65" w:rsidP="007F0B1E">
            <w:pPr>
              <w:pStyle w:val="TableText"/>
              <w:spacing w:before="50" w:after="50"/>
            </w:pPr>
          </w:p>
        </w:tc>
        <w:tc>
          <w:tcPr>
            <w:tcW w:w="1531" w:type="dxa"/>
            <w:noWrap/>
          </w:tcPr>
          <w:p w14:paraId="65092667" w14:textId="7FE1CD74" w:rsidR="00C97C65" w:rsidRPr="00B275E2" w:rsidRDefault="00C97C65" w:rsidP="007F0B1E">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275E2">
              <w:t>Medium</w:t>
            </w:r>
          </w:p>
        </w:tc>
        <w:tc>
          <w:tcPr>
            <w:tcW w:w="737" w:type="dxa"/>
            <w:noWrap/>
          </w:tcPr>
          <w:p w14:paraId="65092668" w14:textId="77777777" w:rsidR="00C97C65" w:rsidRPr="00B275E2" w:rsidRDefault="00C97C65" w:rsidP="007F0B1E">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275E2">
              <w:t>km</w:t>
            </w:r>
          </w:p>
        </w:tc>
        <w:tc>
          <w:tcPr>
            <w:tcW w:w="1361" w:type="dxa"/>
            <w:shd w:val="clear" w:color="auto" w:fill="D2DDE1" w:themeFill="background2"/>
            <w:noWrap/>
          </w:tcPr>
          <w:p w14:paraId="65092669" w14:textId="518EBD5C" w:rsidR="00C97C65" w:rsidRPr="00B275E2" w:rsidRDefault="00C97C65" w:rsidP="007F0B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0.025</w:t>
            </w:r>
          </w:p>
        </w:tc>
        <w:tc>
          <w:tcPr>
            <w:tcW w:w="1191" w:type="dxa"/>
            <w:shd w:val="clear" w:color="auto" w:fill="auto"/>
            <w:noWrap/>
          </w:tcPr>
          <w:p w14:paraId="6509266A" w14:textId="6C0354E0" w:rsidR="00C97C65" w:rsidRPr="00B275E2" w:rsidRDefault="00C97C65" w:rsidP="007F0B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0.024</w:t>
            </w:r>
          </w:p>
        </w:tc>
        <w:tc>
          <w:tcPr>
            <w:tcW w:w="1247" w:type="dxa"/>
            <w:shd w:val="clear" w:color="auto" w:fill="auto"/>
            <w:noWrap/>
          </w:tcPr>
          <w:p w14:paraId="6509266B" w14:textId="56DC0923" w:rsidR="00C97C65" w:rsidRPr="00B275E2" w:rsidRDefault="00C97C65" w:rsidP="007F0B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0.001</w:t>
            </w:r>
          </w:p>
        </w:tc>
        <w:tc>
          <w:tcPr>
            <w:tcW w:w="1247" w:type="dxa"/>
            <w:tcBorders>
              <w:right w:val="single" w:sz="4" w:space="0" w:color="FFFFFF" w:themeColor="background1"/>
            </w:tcBorders>
            <w:shd w:val="clear" w:color="auto" w:fill="auto"/>
            <w:noWrap/>
          </w:tcPr>
          <w:p w14:paraId="6509266C" w14:textId="525775FB" w:rsidR="00C97C65" w:rsidRPr="00B275E2" w:rsidRDefault="00C97C65" w:rsidP="007F0B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0.00003</w:t>
            </w:r>
          </w:p>
        </w:tc>
      </w:tr>
      <w:tr w:rsidR="006F1A5A" w:rsidRPr="00B275E2" w14:paraId="65092675" w14:textId="77777777" w:rsidTr="003552D5">
        <w:tc>
          <w:tcPr>
            <w:cnfStyle w:val="001000000000" w:firstRow="0" w:lastRow="0" w:firstColumn="1" w:lastColumn="0" w:oddVBand="0" w:evenVBand="0" w:oddHBand="0" w:evenHBand="0" w:firstRowFirstColumn="0" w:firstRowLastColumn="0" w:lastRowFirstColumn="0" w:lastRowLastColumn="0"/>
            <w:tcW w:w="1418" w:type="dxa"/>
            <w:vMerge/>
            <w:tcBorders>
              <w:left w:val="single" w:sz="4" w:space="0" w:color="FFFFFF" w:themeColor="background1"/>
            </w:tcBorders>
          </w:tcPr>
          <w:p w14:paraId="6509266E" w14:textId="77777777" w:rsidR="00C97C65" w:rsidRPr="00B275E2" w:rsidRDefault="00C97C65" w:rsidP="007F0B1E">
            <w:pPr>
              <w:pStyle w:val="TableText"/>
              <w:spacing w:before="50" w:after="50"/>
            </w:pPr>
          </w:p>
        </w:tc>
        <w:tc>
          <w:tcPr>
            <w:tcW w:w="1531" w:type="dxa"/>
            <w:noWrap/>
          </w:tcPr>
          <w:p w14:paraId="6509266F" w14:textId="66F5D1E7" w:rsidR="00C97C65" w:rsidRPr="00B275E2" w:rsidRDefault="00C97C65" w:rsidP="007F0B1E">
            <w:pPr>
              <w:pStyle w:val="TableText"/>
              <w:spacing w:before="50" w:after="50"/>
              <w:cnfStyle w:val="000000000000" w:firstRow="0" w:lastRow="0" w:firstColumn="0" w:lastColumn="0" w:oddVBand="0" w:evenVBand="0" w:oddHBand="0" w:evenHBand="0" w:firstRowFirstColumn="0" w:firstRowLastColumn="0" w:lastRowFirstColumn="0" w:lastRowLastColumn="0"/>
            </w:pPr>
            <w:r w:rsidRPr="00B275E2">
              <w:t>Large</w:t>
            </w:r>
          </w:p>
        </w:tc>
        <w:tc>
          <w:tcPr>
            <w:tcW w:w="737" w:type="dxa"/>
            <w:noWrap/>
          </w:tcPr>
          <w:p w14:paraId="65092670" w14:textId="77777777" w:rsidR="00C97C65" w:rsidRPr="00B275E2" w:rsidRDefault="00C97C65" w:rsidP="007F0B1E">
            <w:pPr>
              <w:pStyle w:val="TableText"/>
              <w:spacing w:before="50" w:after="50"/>
              <w:cnfStyle w:val="000000000000" w:firstRow="0" w:lastRow="0" w:firstColumn="0" w:lastColumn="0" w:oddVBand="0" w:evenVBand="0" w:oddHBand="0" w:evenHBand="0" w:firstRowFirstColumn="0" w:firstRowLastColumn="0" w:lastRowFirstColumn="0" w:lastRowLastColumn="0"/>
            </w:pPr>
            <w:r w:rsidRPr="00B275E2">
              <w:t>km</w:t>
            </w:r>
          </w:p>
        </w:tc>
        <w:tc>
          <w:tcPr>
            <w:tcW w:w="1361" w:type="dxa"/>
            <w:shd w:val="clear" w:color="auto" w:fill="D2DDE1" w:themeFill="background2"/>
            <w:noWrap/>
          </w:tcPr>
          <w:p w14:paraId="65092671" w14:textId="0055F81A" w:rsidR="00C97C65" w:rsidRPr="00B275E2" w:rsidRDefault="00C97C65" w:rsidP="007F0B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0.031</w:t>
            </w:r>
          </w:p>
        </w:tc>
        <w:tc>
          <w:tcPr>
            <w:tcW w:w="1191" w:type="dxa"/>
            <w:shd w:val="clear" w:color="auto" w:fill="auto"/>
            <w:noWrap/>
          </w:tcPr>
          <w:p w14:paraId="65092672" w14:textId="7D1BAFB8" w:rsidR="00C97C65" w:rsidRPr="00B275E2" w:rsidRDefault="00C97C65" w:rsidP="007F0B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0.030</w:t>
            </w:r>
          </w:p>
        </w:tc>
        <w:tc>
          <w:tcPr>
            <w:tcW w:w="1247" w:type="dxa"/>
            <w:shd w:val="clear" w:color="auto" w:fill="auto"/>
            <w:noWrap/>
          </w:tcPr>
          <w:p w14:paraId="65092673" w14:textId="2A31217B" w:rsidR="00C97C65" w:rsidRPr="00B275E2" w:rsidRDefault="00C97C65" w:rsidP="007F0B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0.001</w:t>
            </w:r>
          </w:p>
        </w:tc>
        <w:tc>
          <w:tcPr>
            <w:tcW w:w="1247" w:type="dxa"/>
            <w:tcBorders>
              <w:right w:val="single" w:sz="4" w:space="0" w:color="FFFFFF" w:themeColor="background1"/>
            </w:tcBorders>
            <w:shd w:val="clear" w:color="auto" w:fill="auto"/>
            <w:noWrap/>
          </w:tcPr>
          <w:p w14:paraId="65092674" w14:textId="39DE224F" w:rsidR="00C97C65" w:rsidRPr="00B275E2" w:rsidRDefault="00C97C65" w:rsidP="007F0B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0.00004</w:t>
            </w:r>
          </w:p>
        </w:tc>
      </w:tr>
      <w:tr w:rsidR="006F1A5A" w:rsidRPr="00B275E2" w14:paraId="6509267D" w14:textId="77777777" w:rsidTr="003552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left w:val="single" w:sz="4" w:space="0" w:color="FFFFFF" w:themeColor="background1"/>
            </w:tcBorders>
          </w:tcPr>
          <w:p w14:paraId="65092676" w14:textId="77777777" w:rsidR="00C97C65" w:rsidRPr="00B275E2" w:rsidRDefault="00C97C65" w:rsidP="007F0B1E">
            <w:pPr>
              <w:pStyle w:val="TableText"/>
              <w:spacing w:before="50" w:after="50"/>
            </w:pPr>
          </w:p>
        </w:tc>
        <w:tc>
          <w:tcPr>
            <w:tcW w:w="1531" w:type="dxa"/>
            <w:noWrap/>
          </w:tcPr>
          <w:p w14:paraId="65092677" w14:textId="7081824F" w:rsidR="00C97C65" w:rsidRPr="00B275E2" w:rsidRDefault="00C97C65" w:rsidP="007F0B1E">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275E2">
              <w:t>Very large</w:t>
            </w:r>
          </w:p>
        </w:tc>
        <w:tc>
          <w:tcPr>
            <w:tcW w:w="737" w:type="dxa"/>
            <w:noWrap/>
          </w:tcPr>
          <w:p w14:paraId="65092678" w14:textId="77777777" w:rsidR="00C97C65" w:rsidRPr="00B275E2" w:rsidRDefault="00C97C65" w:rsidP="007F0B1E">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275E2">
              <w:t>km</w:t>
            </w:r>
          </w:p>
        </w:tc>
        <w:tc>
          <w:tcPr>
            <w:tcW w:w="1361" w:type="dxa"/>
            <w:shd w:val="clear" w:color="auto" w:fill="D2DDE1" w:themeFill="background2"/>
            <w:noWrap/>
          </w:tcPr>
          <w:p w14:paraId="65092679" w14:textId="19D6F423" w:rsidR="00C97C65" w:rsidRPr="00B275E2" w:rsidRDefault="00C97C65" w:rsidP="007F0B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0.036</w:t>
            </w:r>
          </w:p>
        </w:tc>
        <w:tc>
          <w:tcPr>
            <w:tcW w:w="1191" w:type="dxa"/>
            <w:shd w:val="clear" w:color="auto" w:fill="auto"/>
            <w:noWrap/>
          </w:tcPr>
          <w:p w14:paraId="6509267A" w14:textId="6660A879" w:rsidR="00C97C65" w:rsidRPr="00B275E2" w:rsidRDefault="00C97C65" w:rsidP="007F0B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0.035</w:t>
            </w:r>
          </w:p>
        </w:tc>
        <w:tc>
          <w:tcPr>
            <w:tcW w:w="1247" w:type="dxa"/>
            <w:shd w:val="clear" w:color="auto" w:fill="auto"/>
            <w:noWrap/>
          </w:tcPr>
          <w:p w14:paraId="6509267B" w14:textId="252C07EB" w:rsidR="00C97C65" w:rsidRPr="00B275E2" w:rsidRDefault="00C97C65" w:rsidP="007F0B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0.001</w:t>
            </w:r>
          </w:p>
        </w:tc>
        <w:tc>
          <w:tcPr>
            <w:tcW w:w="1247" w:type="dxa"/>
            <w:tcBorders>
              <w:right w:val="single" w:sz="4" w:space="0" w:color="FFFFFF" w:themeColor="background1"/>
            </w:tcBorders>
            <w:shd w:val="clear" w:color="auto" w:fill="auto"/>
            <w:noWrap/>
          </w:tcPr>
          <w:p w14:paraId="6509267C" w14:textId="253893AC" w:rsidR="00C97C65" w:rsidRPr="00B275E2" w:rsidRDefault="00C97C65" w:rsidP="007F0B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0.00005</w:t>
            </w:r>
          </w:p>
        </w:tc>
      </w:tr>
    </w:tbl>
    <w:p w14:paraId="2D91BF61" w14:textId="3D598044" w:rsidR="005B2EC6" w:rsidRPr="00B275E2" w:rsidRDefault="005B2EC6" w:rsidP="007F0B1E">
      <w:pPr>
        <w:pStyle w:val="Note"/>
      </w:pPr>
      <w:r w:rsidRPr="00B275E2">
        <w:t>Note</w:t>
      </w:r>
      <w:r w:rsidR="009642E8" w:rsidRPr="00B275E2">
        <w:t>: T</w:t>
      </w:r>
      <w:r w:rsidRPr="00B275E2">
        <w:t xml:space="preserve">hese numbers are rounded to three </w:t>
      </w:r>
      <w:r w:rsidR="002011A6" w:rsidRPr="00B275E2">
        <w:t xml:space="preserve">decimal places </w:t>
      </w:r>
      <w:r w:rsidRPr="00B275E2">
        <w:t xml:space="preserve">unless the number is significantly small. </w:t>
      </w:r>
    </w:p>
    <w:p w14:paraId="50329EF8" w14:textId="360E6DC3" w:rsidR="00EF0D1A" w:rsidRPr="00B275E2" w:rsidRDefault="00EB4389" w:rsidP="00F16608">
      <w:pPr>
        <w:pStyle w:val="Tableheading"/>
      </w:pPr>
      <w:bookmarkStart w:id="471" w:name="_Toc111536660"/>
      <w:r w:rsidRPr="00B275E2">
        <w:t xml:space="preserve">Table </w:t>
      </w:r>
      <w:r w:rsidRPr="00B275E2">
        <w:fldChar w:fldCharType="begin"/>
      </w:r>
      <w:r w:rsidRPr="00B275E2">
        <w:instrText>SEQ Table \* ARABIC</w:instrText>
      </w:r>
      <w:r w:rsidRPr="00B275E2">
        <w:fldChar w:fldCharType="separate"/>
      </w:r>
      <w:r>
        <w:rPr>
          <w:noProof/>
        </w:rPr>
        <w:t>55</w:t>
      </w:r>
      <w:r w:rsidRPr="00B275E2">
        <w:fldChar w:fldCharType="end"/>
      </w:r>
      <w:r w:rsidRPr="00B275E2">
        <w:t>:</w:t>
      </w:r>
      <w:r w:rsidRPr="00B275E2">
        <w:tab/>
      </w:r>
      <w:r w:rsidR="00EF0D1A" w:rsidRPr="00B275E2">
        <w:t>Default light commercial vehicle values (based on pre</w:t>
      </w:r>
      <w:r w:rsidR="005B2EC6" w:rsidRPr="00B275E2">
        <w:t>-</w:t>
      </w:r>
      <w:r w:rsidR="00EF0D1A" w:rsidRPr="00B275E2">
        <w:t>2010 fleet and a 2000</w:t>
      </w:r>
      <w:r w:rsidR="005B2EC6" w:rsidRPr="00B275E2">
        <w:t>–</w:t>
      </w:r>
      <w:r w:rsidR="00EF0D1A" w:rsidRPr="00B275E2">
        <w:t>3000</w:t>
      </w:r>
      <w:r w:rsidR="00760CDF" w:rsidRPr="00B275E2">
        <w:t xml:space="preserve"> </w:t>
      </w:r>
      <w:r w:rsidR="00EF0D1A" w:rsidRPr="00B275E2">
        <w:t>cc engine size)</w:t>
      </w:r>
      <w:bookmarkEnd w:id="471"/>
    </w:p>
    <w:tbl>
      <w:tblPr>
        <w:tblStyle w:val="LightList-Accent11"/>
        <w:tblW w:w="8505"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Look w:val="04A0" w:firstRow="1" w:lastRow="0" w:firstColumn="1" w:lastColumn="0" w:noHBand="0" w:noVBand="1"/>
      </w:tblPr>
      <w:tblGrid>
        <w:gridCol w:w="2869"/>
        <w:gridCol w:w="710"/>
        <w:gridCol w:w="1346"/>
        <w:gridCol w:w="1126"/>
        <w:gridCol w:w="1266"/>
        <w:gridCol w:w="1188"/>
      </w:tblGrid>
      <w:tr w:rsidR="00EB1724" w:rsidRPr="00B275E2" w14:paraId="185B6A97" w14:textId="77777777" w:rsidTr="006D3AF6">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892" w:type="dxa"/>
            <w:noWrap/>
            <w:vAlign w:val="bottom"/>
            <w:hideMark/>
          </w:tcPr>
          <w:p w14:paraId="3E2CFE90" w14:textId="77777777" w:rsidR="008A00C8" w:rsidRPr="00B275E2" w:rsidRDefault="008A00C8" w:rsidP="007F0B1E">
            <w:pPr>
              <w:pStyle w:val="TableText"/>
              <w:spacing w:before="40" w:after="40"/>
              <w:rPr>
                <w:szCs w:val="18"/>
              </w:rPr>
            </w:pPr>
            <w:r w:rsidRPr="00B275E2">
              <w:rPr>
                <w:szCs w:val="18"/>
              </w:rPr>
              <w:t>Emission source</w:t>
            </w:r>
          </w:p>
        </w:tc>
        <w:tc>
          <w:tcPr>
            <w:tcW w:w="714" w:type="dxa"/>
            <w:noWrap/>
            <w:vAlign w:val="bottom"/>
            <w:hideMark/>
          </w:tcPr>
          <w:p w14:paraId="5F2E9EF2" w14:textId="77777777" w:rsidR="008A00C8" w:rsidRPr="00B275E2" w:rsidRDefault="008A00C8" w:rsidP="007F0B1E">
            <w:pPr>
              <w:pStyle w:val="TableText"/>
              <w:spacing w:before="40" w:after="40"/>
              <w:cnfStyle w:val="100000000000" w:firstRow="1" w:lastRow="0" w:firstColumn="0" w:lastColumn="0" w:oddVBand="0" w:evenVBand="0" w:oddHBand="0" w:evenHBand="0" w:firstRowFirstColumn="0" w:firstRowLastColumn="0" w:lastRowFirstColumn="0" w:lastRowLastColumn="0"/>
              <w:rPr>
                <w:szCs w:val="18"/>
              </w:rPr>
            </w:pPr>
            <w:r w:rsidRPr="00B275E2">
              <w:rPr>
                <w:szCs w:val="18"/>
              </w:rPr>
              <w:t>Unit</w:t>
            </w:r>
          </w:p>
        </w:tc>
        <w:tc>
          <w:tcPr>
            <w:tcW w:w="1356" w:type="dxa"/>
            <w:shd w:val="clear" w:color="auto" w:fill="D2DDE1" w:themeFill="background2"/>
            <w:noWrap/>
            <w:vAlign w:val="bottom"/>
            <w:hideMark/>
          </w:tcPr>
          <w:p w14:paraId="1A949271" w14:textId="504E4255" w:rsidR="008A00C8" w:rsidRPr="00B275E2" w:rsidRDefault="008A00C8" w:rsidP="007F0B1E">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color w:val="auto"/>
                <w:szCs w:val="18"/>
              </w:rPr>
            </w:pPr>
            <w:r w:rsidRPr="00B275E2">
              <w:rPr>
                <w:color w:val="auto"/>
                <w:szCs w:val="18"/>
              </w:rPr>
              <w:t>kg CO</w:t>
            </w:r>
            <w:r w:rsidRPr="00B275E2">
              <w:rPr>
                <w:color w:val="auto"/>
                <w:szCs w:val="18"/>
                <w:vertAlign w:val="subscript"/>
              </w:rPr>
              <w:t>2</w:t>
            </w:r>
            <w:r w:rsidRPr="00B275E2">
              <w:rPr>
                <w:color w:val="auto"/>
                <w:szCs w:val="18"/>
              </w:rPr>
              <w:t>-e</w:t>
            </w:r>
            <w:r w:rsidR="00836D5A" w:rsidRPr="00B275E2">
              <w:rPr>
                <w:color w:val="auto"/>
                <w:szCs w:val="18"/>
              </w:rPr>
              <w:t>/unit</w:t>
            </w:r>
          </w:p>
        </w:tc>
        <w:tc>
          <w:tcPr>
            <w:tcW w:w="1134" w:type="dxa"/>
            <w:noWrap/>
            <w:vAlign w:val="bottom"/>
            <w:hideMark/>
          </w:tcPr>
          <w:p w14:paraId="50C2BB70" w14:textId="26EC7D44" w:rsidR="008A00C8" w:rsidRPr="00B275E2" w:rsidRDefault="008A00C8" w:rsidP="007F0B1E">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szCs w:val="18"/>
              </w:rPr>
            </w:pPr>
            <w:r w:rsidRPr="00B275E2">
              <w:rPr>
                <w:szCs w:val="18"/>
              </w:rPr>
              <w:t>kg CO</w:t>
            </w:r>
            <w:r w:rsidRPr="00B275E2">
              <w:rPr>
                <w:szCs w:val="18"/>
                <w:vertAlign w:val="subscript"/>
              </w:rPr>
              <w:t>2</w:t>
            </w:r>
            <w:r w:rsidR="00836D5A" w:rsidRPr="00B275E2">
              <w:rPr>
                <w:szCs w:val="18"/>
              </w:rPr>
              <w:t>/unit</w:t>
            </w:r>
            <w:r w:rsidR="00BF41E6" w:rsidRPr="00B275E2">
              <w:rPr>
                <w:szCs w:val="18"/>
              </w:rPr>
              <w:t xml:space="preserve"> (kg CO</w:t>
            </w:r>
            <w:r w:rsidR="00BF41E6" w:rsidRPr="00B275E2">
              <w:rPr>
                <w:szCs w:val="18"/>
                <w:vertAlign w:val="subscript"/>
              </w:rPr>
              <w:t>2</w:t>
            </w:r>
            <w:r w:rsidR="00BF41E6" w:rsidRPr="00B275E2">
              <w:rPr>
                <w:szCs w:val="18"/>
              </w:rPr>
              <w:t>-e)</w:t>
            </w:r>
          </w:p>
        </w:tc>
        <w:tc>
          <w:tcPr>
            <w:tcW w:w="1275" w:type="dxa"/>
            <w:noWrap/>
            <w:vAlign w:val="bottom"/>
            <w:hideMark/>
          </w:tcPr>
          <w:p w14:paraId="599D8EFA" w14:textId="2392C8E8" w:rsidR="008A00C8" w:rsidRPr="00B275E2" w:rsidRDefault="00BF41E6" w:rsidP="007F0B1E">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szCs w:val="18"/>
              </w:rPr>
            </w:pPr>
            <w:r w:rsidRPr="00B275E2">
              <w:rPr>
                <w:szCs w:val="18"/>
              </w:rPr>
              <w:t xml:space="preserve">kg </w:t>
            </w:r>
            <w:r w:rsidR="008A00C8" w:rsidRPr="00B275E2">
              <w:rPr>
                <w:szCs w:val="18"/>
              </w:rPr>
              <w:t>CH</w:t>
            </w:r>
            <w:r w:rsidR="008A00C8" w:rsidRPr="00B275E2">
              <w:rPr>
                <w:szCs w:val="18"/>
                <w:vertAlign w:val="subscript"/>
              </w:rPr>
              <w:t>4</w:t>
            </w:r>
            <w:r w:rsidRPr="00B275E2">
              <w:rPr>
                <w:szCs w:val="18"/>
              </w:rPr>
              <w:t>/unit</w:t>
            </w:r>
            <w:r w:rsidR="000306F0" w:rsidRPr="00B275E2">
              <w:rPr>
                <w:szCs w:val="18"/>
              </w:rPr>
              <w:t xml:space="preserve"> (kg CO</w:t>
            </w:r>
            <w:r w:rsidR="000306F0" w:rsidRPr="00B275E2">
              <w:rPr>
                <w:szCs w:val="18"/>
                <w:vertAlign w:val="subscript"/>
              </w:rPr>
              <w:t>2</w:t>
            </w:r>
            <w:r w:rsidR="000306F0" w:rsidRPr="00B275E2">
              <w:rPr>
                <w:szCs w:val="18"/>
              </w:rPr>
              <w:t>-e)</w:t>
            </w:r>
          </w:p>
        </w:tc>
        <w:tc>
          <w:tcPr>
            <w:tcW w:w="1196" w:type="dxa"/>
            <w:noWrap/>
            <w:vAlign w:val="bottom"/>
            <w:hideMark/>
          </w:tcPr>
          <w:p w14:paraId="0C82FE1E" w14:textId="13FD84BD" w:rsidR="008A00C8" w:rsidRPr="00B275E2" w:rsidRDefault="00BF41E6" w:rsidP="007F0B1E">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szCs w:val="18"/>
              </w:rPr>
            </w:pPr>
            <w:r w:rsidRPr="00B275E2">
              <w:rPr>
                <w:szCs w:val="18"/>
              </w:rPr>
              <w:t xml:space="preserve">kg </w:t>
            </w:r>
            <w:r w:rsidR="008A00C8" w:rsidRPr="00B275E2">
              <w:rPr>
                <w:szCs w:val="18"/>
              </w:rPr>
              <w:t>N</w:t>
            </w:r>
            <w:r w:rsidR="008A00C8" w:rsidRPr="00B275E2">
              <w:rPr>
                <w:szCs w:val="18"/>
                <w:vertAlign w:val="subscript"/>
              </w:rPr>
              <w:t>2</w:t>
            </w:r>
            <w:r w:rsidR="008A00C8" w:rsidRPr="00B275E2">
              <w:rPr>
                <w:szCs w:val="18"/>
              </w:rPr>
              <w:t>O</w:t>
            </w:r>
            <w:r w:rsidRPr="00B275E2">
              <w:rPr>
                <w:szCs w:val="18"/>
              </w:rPr>
              <w:t>/unit</w:t>
            </w:r>
            <w:r w:rsidR="00FC002A" w:rsidRPr="00B275E2">
              <w:rPr>
                <w:szCs w:val="18"/>
              </w:rPr>
              <w:t xml:space="preserve"> </w:t>
            </w:r>
            <w:r w:rsidR="000306F0" w:rsidRPr="00B275E2">
              <w:rPr>
                <w:szCs w:val="18"/>
              </w:rPr>
              <w:t>(kg CO</w:t>
            </w:r>
            <w:r w:rsidR="000306F0" w:rsidRPr="00B275E2">
              <w:rPr>
                <w:szCs w:val="18"/>
                <w:vertAlign w:val="subscript"/>
              </w:rPr>
              <w:t>2</w:t>
            </w:r>
            <w:r w:rsidR="000306F0" w:rsidRPr="00B275E2">
              <w:rPr>
                <w:szCs w:val="18"/>
              </w:rPr>
              <w:t>-e)</w:t>
            </w:r>
          </w:p>
        </w:tc>
      </w:tr>
      <w:tr w:rsidR="00EB1724" w:rsidRPr="00B275E2" w14:paraId="3052636E" w14:textId="77777777" w:rsidTr="003552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92" w:type="dxa"/>
            <w:tcBorders>
              <w:left w:val="single" w:sz="4" w:space="0" w:color="FFFFFF" w:themeColor="background1"/>
            </w:tcBorders>
          </w:tcPr>
          <w:p w14:paraId="0614E459" w14:textId="684AB475" w:rsidR="00F73CDB" w:rsidRPr="00B275E2" w:rsidRDefault="00F73CDB" w:rsidP="007F0B1E">
            <w:pPr>
              <w:pStyle w:val="TableText"/>
              <w:spacing w:before="40" w:after="40"/>
              <w:rPr>
                <w:b w:val="0"/>
                <w:szCs w:val="18"/>
              </w:rPr>
            </w:pPr>
            <w:r w:rsidRPr="00B275E2">
              <w:rPr>
                <w:b w:val="0"/>
                <w:szCs w:val="18"/>
              </w:rPr>
              <w:t>Petrol</w:t>
            </w:r>
          </w:p>
        </w:tc>
        <w:tc>
          <w:tcPr>
            <w:tcW w:w="714" w:type="dxa"/>
            <w:noWrap/>
          </w:tcPr>
          <w:p w14:paraId="6A88D45D" w14:textId="2BF7CD4D" w:rsidR="00F73CDB" w:rsidRPr="00B275E2" w:rsidRDefault="00F73CDB"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km</w:t>
            </w:r>
          </w:p>
        </w:tc>
        <w:tc>
          <w:tcPr>
            <w:tcW w:w="1356" w:type="dxa"/>
            <w:shd w:val="clear" w:color="auto" w:fill="D2DDE1" w:themeFill="background2"/>
            <w:noWrap/>
          </w:tcPr>
          <w:p w14:paraId="1E47F02B" w14:textId="75459838" w:rsidR="00F73CDB" w:rsidRPr="00B275E2" w:rsidRDefault="00F73CDB"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0.317</w:t>
            </w:r>
          </w:p>
        </w:tc>
        <w:tc>
          <w:tcPr>
            <w:tcW w:w="1134" w:type="dxa"/>
            <w:shd w:val="clear" w:color="000000" w:fill="FFFFFF"/>
            <w:noWrap/>
          </w:tcPr>
          <w:p w14:paraId="48D5692D" w14:textId="09ED95CE" w:rsidR="00F73CDB" w:rsidRPr="00B275E2" w:rsidRDefault="00F73CDB"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0.303</w:t>
            </w:r>
          </w:p>
        </w:tc>
        <w:tc>
          <w:tcPr>
            <w:tcW w:w="1275" w:type="dxa"/>
            <w:shd w:val="clear" w:color="000000" w:fill="FFFFFF"/>
            <w:noWrap/>
          </w:tcPr>
          <w:p w14:paraId="3E30CF18" w14:textId="7A98C43E" w:rsidR="00F73CDB" w:rsidRPr="00B275E2" w:rsidRDefault="00F73CDB"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0.004</w:t>
            </w:r>
          </w:p>
        </w:tc>
        <w:tc>
          <w:tcPr>
            <w:tcW w:w="1196" w:type="dxa"/>
            <w:tcBorders>
              <w:right w:val="single" w:sz="4" w:space="0" w:color="FFFFFF" w:themeColor="background1"/>
            </w:tcBorders>
            <w:shd w:val="clear" w:color="000000" w:fill="FFFFFF"/>
            <w:noWrap/>
          </w:tcPr>
          <w:p w14:paraId="7185AD33" w14:textId="51AD7882" w:rsidR="00F73CDB" w:rsidRPr="00B275E2" w:rsidRDefault="00F73CDB"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0.010</w:t>
            </w:r>
          </w:p>
        </w:tc>
      </w:tr>
      <w:tr w:rsidR="00EB1724" w:rsidRPr="00B275E2" w14:paraId="60A1F007" w14:textId="77777777" w:rsidTr="003552D5">
        <w:trPr>
          <w:trHeight w:val="300"/>
        </w:trPr>
        <w:tc>
          <w:tcPr>
            <w:cnfStyle w:val="001000000000" w:firstRow="0" w:lastRow="0" w:firstColumn="1" w:lastColumn="0" w:oddVBand="0" w:evenVBand="0" w:oddHBand="0" w:evenHBand="0" w:firstRowFirstColumn="0" w:firstRowLastColumn="0" w:lastRowFirstColumn="0" w:lastRowLastColumn="0"/>
            <w:tcW w:w="2892" w:type="dxa"/>
            <w:tcBorders>
              <w:left w:val="single" w:sz="4" w:space="0" w:color="FFFFFF" w:themeColor="background1"/>
            </w:tcBorders>
          </w:tcPr>
          <w:p w14:paraId="312DC0D1" w14:textId="72B58527" w:rsidR="00F73CDB" w:rsidRPr="00B275E2" w:rsidRDefault="00F73CDB" w:rsidP="007F0B1E">
            <w:pPr>
              <w:pStyle w:val="TableText"/>
              <w:spacing w:before="40" w:after="40"/>
              <w:rPr>
                <w:b w:val="0"/>
                <w:szCs w:val="18"/>
              </w:rPr>
            </w:pPr>
            <w:r w:rsidRPr="00B275E2">
              <w:rPr>
                <w:b w:val="0"/>
                <w:szCs w:val="18"/>
              </w:rPr>
              <w:t>Diesel</w:t>
            </w:r>
          </w:p>
        </w:tc>
        <w:tc>
          <w:tcPr>
            <w:tcW w:w="714" w:type="dxa"/>
            <w:noWrap/>
          </w:tcPr>
          <w:p w14:paraId="434AD67C" w14:textId="22E2A351" w:rsidR="00F73CDB" w:rsidRPr="00B275E2" w:rsidRDefault="00F73CDB"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km</w:t>
            </w:r>
          </w:p>
        </w:tc>
        <w:tc>
          <w:tcPr>
            <w:tcW w:w="1356" w:type="dxa"/>
            <w:shd w:val="clear" w:color="auto" w:fill="D2DDE1" w:themeFill="background2"/>
            <w:noWrap/>
          </w:tcPr>
          <w:p w14:paraId="2913349B" w14:textId="06F4E1FB" w:rsidR="00F73CDB" w:rsidRPr="00B275E2" w:rsidRDefault="00F73CDB"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0.296</w:t>
            </w:r>
          </w:p>
        </w:tc>
        <w:tc>
          <w:tcPr>
            <w:tcW w:w="1134" w:type="dxa"/>
            <w:shd w:val="clear" w:color="000000" w:fill="FFFFFF"/>
            <w:noWrap/>
          </w:tcPr>
          <w:p w14:paraId="60D5E4D0" w14:textId="7B8E09FC" w:rsidR="00F73CDB" w:rsidRPr="00B275E2" w:rsidRDefault="00F73CDB"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0.291</w:t>
            </w:r>
          </w:p>
        </w:tc>
        <w:tc>
          <w:tcPr>
            <w:tcW w:w="1275" w:type="dxa"/>
            <w:shd w:val="clear" w:color="000000" w:fill="FFFFFF"/>
            <w:noWrap/>
          </w:tcPr>
          <w:p w14:paraId="08B7FCD9" w14:textId="13220468" w:rsidR="00F73CDB" w:rsidRPr="00B275E2" w:rsidRDefault="00F73CDB"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0.0004</w:t>
            </w:r>
          </w:p>
        </w:tc>
        <w:tc>
          <w:tcPr>
            <w:tcW w:w="1196" w:type="dxa"/>
            <w:tcBorders>
              <w:right w:val="single" w:sz="4" w:space="0" w:color="FFFFFF" w:themeColor="background1"/>
            </w:tcBorders>
            <w:shd w:val="clear" w:color="000000" w:fill="FFFFFF"/>
            <w:noWrap/>
          </w:tcPr>
          <w:p w14:paraId="156BB8EC" w14:textId="1B0FC700" w:rsidR="00F73CDB" w:rsidRPr="00B275E2" w:rsidRDefault="00F73CDB"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0.005</w:t>
            </w:r>
          </w:p>
        </w:tc>
      </w:tr>
      <w:tr w:rsidR="00EB1724" w:rsidRPr="00B275E2" w14:paraId="6BCE5114" w14:textId="77777777" w:rsidTr="003552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92" w:type="dxa"/>
            <w:tcBorders>
              <w:left w:val="single" w:sz="4" w:space="0" w:color="FFFFFF" w:themeColor="background1"/>
            </w:tcBorders>
          </w:tcPr>
          <w:p w14:paraId="310EC10B" w14:textId="57A84B0A" w:rsidR="00F73CDB" w:rsidRPr="00B275E2" w:rsidRDefault="00F73CDB" w:rsidP="007F0B1E">
            <w:pPr>
              <w:pStyle w:val="TableText"/>
              <w:spacing w:before="40" w:after="40"/>
              <w:rPr>
                <w:b w:val="0"/>
                <w:szCs w:val="18"/>
              </w:rPr>
            </w:pPr>
            <w:r w:rsidRPr="00B275E2">
              <w:rPr>
                <w:b w:val="0"/>
                <w:szCs w:val="18"/>
              </w:rPr>
              <w:t>Petrol hybrid</w:t>
            </w:r>
          </w:p>
        </w:tc>
        <w:tc>
          <w:tcPr>
            <w:tcW w:w="714" w:type="dxa"/>
            <w:noWrap/>
          </w:tcPr>
          <w:p w14:paraId="1E10865C" w14:textId="79B4AC63" w:rsidR="00F73CDB" w:rsidRPr="00B275E2" w:rsidRDefault="00F73CDB"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km</w:t>
            </w:r>
          </w:p>
        </w:tc>
        <w:tc>
          <w:tcPr>
            <w:tcW w:w="1356" w:type="dxa"/>
            <w:shd w:val="clear" w:color="auto" w:fill="D2DDE1" w:themeFill="background2"/>
            <w:noWrap/>
          </w:tcPr>
          <w:p w14:paraId="7AFF3635" w14:textId="47520DD6" w:rsidR="00F73CDB" w:rsidRPr="00B275E2" w:rsidRDefault="00F73CDB"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0.250</w:t>
            </w:r>
          </w:p>
        </w:tc>
        <w:tc>
          <w:tcPr>
            <w:tcW w:w="1134" w:type="dxa"/>
            <w:shd w:val="clear" w:color="000000" w:fill="FFFFFF"/>
            <w:noWrap/>
          </w:tcPr>
          <w:p w14:paraId="2BCF97B3" w14:textId="31E9A57B" w:rsidR="00F73CDB" w:rsidRPr="00B275E2" w:rsidRDefault="00F73CDB"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0.239</w:t>
            </w:r>
          </w:p>
        </w:tc>
        <w:tc>
          <w:tcPr>
            <w:tcW w:w="1275" w:type="dxa"/>
            <w:shd w:val="clear" w:color="000000" w:fill="FFFFFF"/>
            <w:noWrap/>
          </w:tcPr>
          <w:p w14:paraId="55FB7F06" w14:textId="6B7E383F" w:rsidR="00F73CDB" w:rsidRPr="00B275E2" w:rsidRDefault="00F73CDB"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0.003</w:t>
            </w:r>
          </w:p>
        </w:tc>
        <w:tc>
          <w:tcPr>
            <w:tcW w:w="1196" w:type="dxa"/>
            <w:tcBorders>
              <w:right w:val="single" w:sz="4" w:space="0" w:color="FFFFFF" w:themeColor="background1"/>
            </w:tcBorders>
            <w:shd w:val="clear" w:color="000000" w:fill="FFFFFF"/>
            <w:noWrap/>
          </w:tcPr>
          <w:p w14:paraId="2C44F095" w14:textId="6440BD8C" w:rsidR="00F73CDB" w:rsidRPr="00B275E2" w:rsidRDefault="00F73CDB"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0.008</w:t>
            </w:r>
          </w:p>
        </w:tc>
      </w:tr>
      <w:tr w:rsidR="00EB1724" w:rsidRPr="00B275E2" w14:paraId="4F9DB8E7" w14:textId="77777777" w:rsidTr="003552D5">
        <w:trPr>
          <w:trHeight w:val="300"/>
        </w:trPr>
        <w:tc>
          <w:tcPr>
            <w:cnfStyle w:val="001000000000" w:firstRow="0" w:lastRow="0" w:firstColumn="1" w:lastColumn="0" w:oddVBand="0" w:evenVBand="0" w:oddHBand="0" w:evenHBand="0" w:firstRowFirstColumn="0" w:firstRowLastColumn="0" w:lastRowFirstColumn="0" w:lastRowLastColumn="0"/>
            <w:tcW w:w="2892" w:type="dxa"/>
            <w:tcBorders>
              <w:left w:val="single" w:sz="4" w:space="0" w:color="FFFFFF" w:themeColor="background1"/>
            </w:tcBorders>
          </w:tcPr>
          <w:p w14:paraId="3721C1DD" w14:textId="6B5FCE30" w:rsidR="00F73CDB" w:rsidRPr="00B275E2" w:rsidRDefault="00F73CDB" w:rsidP="007F0B1E">
            <w:pPr>
              <w:pStyle w:val="TableText"/>
              <w:spacing w:before="40" w:after="40"/>
              <w:rPr>
                <w:b w:val="0"/>
                <w:szCs w:val="18"/>
              </w:rPr>
            </w:pPr>
            <w:r w:rsidRPr="00B275E2">
              <w:rPr>
                <w:b w:val="0"/>
                <w:szCs w:val="18"/>
              </w:rPr>
              <w:t>Diesel hybrid</w:t>
            </w:r>
          </w:p>
        </w:tc>
        <w:tc>
          <w:tcPr>
            <w:tcW w:w="714" w:type="dxa"/>
            <w:noWrap/>
          </w:tcPr>
          <w:p w14:paraId="25171859" w14:textId="584FF575" w:rsidR="00F73CDB" w:rsidRPr="00B275E2" w:rsidRDefault="00F73CDB"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km</w:t>
            </w:r>
          </w:p>
        </w:tc>
        <w:tc>
          <w:tcPr>
            <w:tcW w:w="1356" w:type="dxa"/>
            <w:shd w:val="clear" w:color="auto" w:fill="D2DDE1" w:themeFill="background2"/>
            <w:noWrap/>
          </w:tcPr>
          <w:p w14:paraId="020DD8BD" w14:textId="22B49D05" w:rsidR="00F73CDB" w:rsidRPr="00B275E2" w:rsidRDefault="00F73CDB"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0.265</w:t>
            </w:r>
          </w:p>
        </w:tc>
        <w:tc>
          <w:tcPr>
            <w:tcW w:w="1134" w:type="dxa"/>
            <w:shd w:val="clear" w:color="000000" w:fill="FFFFFF"/>
            <w:noWrap/>
          </w:tcPr>
          <w:p w14:paraId="68408C4C" w14:textId="05F897A5" w:rsidR="00F73CDB" w:rsidRPr="00B275E2" w:rsidRDefault="00F73CDB"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0.261</w:t>
            </w:r>
          </w:p>
        </w:tc>
        <w:tc>
          <w:tcPr>
            <w:tcW w:w="1275" w:type="dxa"/>
            <w:shd w:val="clear" w:color="000000" w:fill="FFFFFF"/>
            <w:noWrap/>
          </w:tcPr>
          <w:p w14:paraId="0F531DF3" w14:textId="2CDE4BB7" w:rsidR="00F73CDB" w:rsidRPr="00B275E2" w:rsidRDefault="00F73CDB"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0.0003</w:t>
            </w:r>
          </w:p>
        </w:tc>
        <w:tc>
          <w:tcPr>
            <w:tcW w:w="1196" w:type="dxa"/>
            <w:tcBorders>
              <w:right w:val="single" w:sz="4" w:space="0" w:color="FFFFFF" w:themeColor="background1"/>
            </w:tcBorders>
            <w:shd w:val="clear" w:color="000000" w:fill="FFFFFF"/>
            <w:noWrap/>
          </w:tcPr>
          <w:p w14:paraId="02B0B1B2" w14:textId="670B7CDA" w:rsidR="00F73CDB" w:rsidRPr="00B275E2" w:rsidRDefault="00F73CDB"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0.004</w:t>
            </w:r>
          </w:p>
        </w:tc>
      </w:tr>
    </w:tbl>
    <w:p w14:paraId="27EDF476" w14:textId="3BD7BA25" w:rsidR="00DA1BB8" w:rsidRPr="00B275E2" w:rsidRDefault="005B2EC6" w:rsidP="007F0B1E">
      <w:pPr>
        <w:pStyle w:val="Note"/>
      </w:pPr>
      <w:r w:rsidRPr="00B275E2">
        <w:t>Note</w:t>
      </w:r>
      <w:r w:rsidR="009642E8" w:rsidRPr="00B275E2">
        <w:t>: T</w:t>
      </w:r>
      <w:r w:rsidRPr="00B275E2">
        <w:t xml:space="preserve">hese numbers are rounded to three </w:t>
      </w:r>
      <w:r w:rsidR="002011A6" w:rsidRPr="00B275E2">
        <w:t xml:space="preserve">decimal places </w:t>
      </w:r>
      <w:r w:rsidRPr="00B275E2">
        <w:t xml:space="preserve">unless the number is significantly small. </w:t>
      </w:r>
      <w:bookmarkStart w:id="472" w:name="_Toc532904919"/>
    </w:p>
    <w:p w14:paraId="14D7CB29" w14:textId="0F681290" w:rsidR="008A00C8" w:rsidRPr="00B275E2" w:rsidRDefault="004863A6" w:rsidP="006B7605">
      <w:pPr>
        <w:pStyle w:val="Heading3"/>
      </w:pPr>
      <w:r w:rsidRPr="00B275E2">
        <w:t>Heavy goods vehicles emission factors</w:t>
      </w:r>
      <w:bookmarkEnd w:id="472"/>
      <w:r w:rsidRPr="00B275E2">
        <w:t xml:space="preserve"> </w:t>
      </w:r>
    </w:p>
    <w:p w14:paraId="0A953F77" w14:textId="32CF5A21" w:rsidR="006F7AF9" w:rsidRPr="00B275E2" w:rsidRDefault="006F7AF9" w:rsidP="006F7AF9">
      <w:pPr>
        <w:pStyle w:val="BodyText"/>
      </w:pPr>
      <w:r w:rsidRPr="00B275E2">
        <w:t>Table 5</w:t>
      </w:r>
      <w:r w:rsidR="00521227">
        <w:t>6</w:t>
      </w:r>
      <w:r w:rsidRPr="00B275E2">
        <w:t xml:space="preserve"> contains the default emission factors for heavy goods vehicles, based on a pre-2010 fleet and a gross vehicle mass of &lt;7500 kg.</w:t>
      </w:r>
    </w:p>
    <w:p w14:paraId="6509267F" w14:textId="3ABEAFCC" w:rsidR="007B2666" w:rsidRPr="00B275E2" w:rsidRDefault="00EB4389" w:rsidP="008E713C">
      <w:pPr>
        <w:pStyle w:val="Tableheading"/>
      </w:pPr>
      <w:bookmarkStart w:id="473" w:name="_Toc111536661"/>
      <w:r w:rsidRPr="00B275E2">
        <w:t xml:space="preserve">Table </w:t>
      </w:r>
      <w:r w:rsidRPr="00B275E2">
        <w:fldChar w:fldCharType="begin"/>
      </w:r>
      <w:r w:rsidRPr="00B275E2">
        <w:instrText>SEQ Table \* ARABIC</w:instrText>
      </w:r>
      <w:r w:rsidRPr="00B275E2">
        <w:fldChar w:fldCharType="separate"/>
      </w:r>
      <w:r>
        <w:rPr>
          <w:noProof/>
        </w:rPr>
        <w:t>56</w:t>
      </w:r>
      <w:r w:rsidRPr="00B275E2">
        <w:fldChar w:fldCharType="end"/>
      </w:r>
      <w:r w:rsidRPr="00B275E2">
        <w:t>:</w:t>
      </w:r>
      <w:r w:rsidRPr="00B275E2">
        <w:tab/>
      </w:r>
      <w:r w:rsidR="007B2666" w:rsidRPr="00B275E2">
        <w:t>Emission factors for heavy goods vehicles manufactured pre</w:t>
      </w:r>
      <w:r w:rsidR="00EF2882" w:rsidRPr="00B275E2">
        <w:t>-</w:t>
      </w:r>
      <w:r w:rsidR="007B2666" w:rsidRPr="00B275E2">
        <w:t>2010</w:t>
      </w:r>
      <w:bookmarkEnd w:id="473"/>
    </w:p>
    <w:tbl>
      <w:tblPr>
        <w:tblStyle w:val="LightList-Accent11"/>
        <w:tblW w:w="8505" w:type="dxa"/>
        <w:tblBorders>
          <w:top w:val="single" w:sz="4" w:space="0" w:color="1B556B"/>
          <w:bottom w:val="single" w:sz="4" w:space="0" w:color="1B556B"/>
          <w:insideH w:val="single" w:sz="4" w:space="0" w:color="1B556B"/>
          <w:insideV w:val="single" w:sz="4" w:space="0" w:color="1B556B"/>
        </w:tblBorders>
        <w:tblLook w:val="04A0" w:firstRow="1" w:lastRow="0" w:firstColumn="1" w:lastColumn="0" w:noHBand="0" w:noVBand="1"/>
      </w:tblPr>
      <w:tblGrid>
        <w:gridCol w:w="1312"/>
        <w:gridCol w:w="1831"/>
        <w:gridCol w:w="708"/>
        <w:gridCol w:w="1276"/>
        <w:gridCol w:w="1134"/>
        <w:gridCol w:w="1134"/>
        <w:gridCol w:w="1110"/>
      </w:tblGrid>
      <w:tr w:rsidR="0037476A" w:rsidRPr="00B275E2" w14:paraId="324FC623" w14:textId="77777777" w:rsidTr="008E71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5400DD9D" w14:textId="77777777" w:rsidR="006051EF" w:rsidRPr="00B275E2" w:rsidRDefault="006051EF" w:rsidP="008E713C">
            <w:pPr>
              <w:pStyle w:val="TableText"/>
              <w:spacing w:before="40" w:after="40"/>
              <w:rPr>
                <w:rFonts w:cs="Calibri"/>
                <w:b w:val="0"/>
                <w:bCs w:val="0"/>
                <w:szCs w:val="18"/>
              </w:rPr>
            </w:pPr>
            <w:r w:rsidRPr="00B275E2">
              <w:rPr>
                <w:rFonts w:cs="Calibri"/>
                <w:szCs w:val="18"/>
              </w:rPr>
              <w:t>Emission source</w:t>
            </w:r>
          </w:p>
        </w:tc>
        <w:tc>
          <w:tcPr>
            <w:tcW w:w="1831" w:type="dxa"/>
            <w:vAlign w:val="bottom"/>
          </w:tcPr>
          <w:p w14:paraId="67B0830F" w14:textId="54942FF6" w:rsidR="006051EF" w:rsidRPr="00B275E2" w:rsidRDefault="006051EF" w:rsidP="008E713C">
            <w:pPr>
              <w:pStyle w:val="TableText"/>
              <w:spacing w:before="40" w:after="40"/>
              <w:cnfStyle w:val="100000000000" w:firstRow="1" w:lastRow="0" w:firstColumn="0" w:lastColumn="0" w:oddVBand="0" w:evenVBand="0" w:oddHBand="0" w:evenHBand="0" w:firstRowFirstColumn="0" w:firstRowLastColumn="0" w:lastRowFirstColumn="0" w:lastRowLastColumn="0"/>
              <w:rPr>
                <w:rFonts w:cs="Calibri"/>
                <w:szCs w:val="18"/>
              </w:rPr>
            </w:pPr>
          </w:p>
        </w:tc>
        <w:tc>
          <w:tcPr>
            <w:tcW w:w="708" w:type="dxa"/>
            <w:vAlign w:val="bottom"/>
          </w:tcPr>
          <w:p w14:paraId="79A0CACF" w14:textId="23521572" w:rsidR="006051EF" w:rsidRPr="00B275E2" w:rsidRDefault="006051EF" w:rsidP="008E713C">
            <w:pPr>
              <w:pStyle w:val="TableText"/>
              <w:spacing w:before="40" w:after="40"/>
              <w:cnfStyle w:val="100000000000" w:firstRow="1" w:lastRow="0" w:firstColumn="0" w:lastColumn="0" w:oddVBand="0" w:evenVBand="0" w:oddHBand="0" w:evenHBand="0" w:firstRowFirstColumn="0" w:firstRowLastColumn="0" w:lastRowFirstColumn="0" w:lastRowLastColumn="0"/>
              <w:rPr>
                <w:rFonts w:cs="Calibri"/>
                <w:szCs w:val="18"/>
              </w:rPr>
            </w:pPr>
            <w:r w:rsidRPr="00B275E2">
              <w:rPr>
                <w:rFonts w:cs="Calibri"/>
                <w:szCs w:val="18"/>
              </w:rPr>
              <w:t>Unit</w:t>
            </w:r>
          </w:p>
        </w:tc>
        <w:tc>
          <w:tcPr>
            <w:tcW w:w="1276" w:type="dxa"/>
            <w:shd w:val="clear" w:color="auto" w:fill="D2DDE1" w:themeFill="background2"/>
            <w:vAlign w:val="bottom"/>
          </w:tcPr>
          <w:p w14:paraId="28916AC6" w14:textId="7816DDD4" w:rsidR="006051EF" w:rsidRPr="00B275E2" w:rsidRDefault="006051EF" w:rsidP="008E713C">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rFonts w:cs="Calibri"/>
                <w:color w:val="auto"/>
                <w:szCs w:val="18"/>
              </w:rPr>
            </w:pPr>
            <w:r w:rsidRPr="00B275E2">
              <w:rPr>
                <w:rFonts w:cs="Calibri"/>
                <w:color w:val="auto"/>
                <w:szCs w:val="18"/>
              </w:rPr>
              <w:t>kg CO</w:t>
            </w:r>
            <w:r w:rsidRPr="00B275E2">
              <w:rPr>
                <w:rFonts w:cs="Calibri"/>
                <w:color w:val="auto"/>
                <w:szCs w:val="18"/>
                <w:vertAlign w:val="subscript"/>
              </w:rPr>
              <w:t>2</w:t>
            </w:r>
            <w:r w:rsidRPr="00B275E2">
              <w:rPr>
                <w:rFonts w:cs="Calibri"/>
                <w:color w:val="auto"/>
                <w:szCs w:val="18"/>
              </w:rPr>
              <w:t>-e/unit</w:t>
            </w:r>
          </w:p>
        </w:tc>
        <w:tc>
          <w:tcPr>
            <w:tcW w:w="1134" w:type="dxa"/>
            <w:vAlign w:val="bottom"/>
          </w:tcPr>
          <w:p w14:paraId="6DBA0645" w14:textId="7D18ADE5" w:rsidR="006051EF" w:rsidRPr="00B275E2" w:rsidRDefault="006051EF" w:rsidP="008E713C">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275E2">
              <w:rPr>
                <w:rFonts w:cs="Calibri"/>
                <w:szCs w:val="18"/>
              </w:rPr>
              <w:t>kg CO</w:t>
            </w:r>
            <w:r w:rsidRPr="00B275E2">
              <w:rPr>
                <w:rFonts w:cs="Calibri"/>
                <w:szCs w:val="18"/>
                <w:vertAlign w:val="subscript"/>
              </w:rPr>
              <w:t>2</w:t>
            </w:r>
            <w:r w:rsidRPr="00B275E2">
              <w:rPr>
                <w:rFonts w:cs="Calibri"/>
                <w:szCs w:val="18"/>
              </w:rPr>
              <w:t>/unit</w:t>
            </w:r>
            <w:r w:rsidR="009B187D" w:rsidRPr="00B275E2">
              <w:rPr>
                <w:rFonts w:cs="Calibri"/>
                <w:szCs w:val="18"/>
              </w:rPr>
              <w:br/>
              <w:t>(kg CO</w:t>
            </w:r>
            <w:r w:rsidR="009B187D" w:rsidRPr="00B275E2">
              <w:rPr>
                <w:rFonts w:cs="Calibri"/>
                <w:szCs w:val="18"/>
                <w:vertAlign w:val="subscript"/>
              </w:rPr>
              <w:t>2</w:t>
            </w:r>
            <w:r w:rsidR="009B187D" w:rsidRPr="00B275E2">
              <w:rPr>
                <w:rFonts w:cs="Calibri"/>
                <w:szCs w:val="18"/>
              </w:rPr>
              <w:noBreakHyphen/>
              <w:t>e)</w:t>
            </w:r>
          </w:p>
        </w:tc>
        <w:tc>
          <w:tcPr>
            <w:tcW w:w="1134" w:type="dxa"/>
            <w:vAlign w:val="bottom"/>
          </w:tcPr>
          <w:p w14:paraId="148F64D4" w14:textId="00CDBC10" w:rsidR="006051EF" w:rsidRPr="00B275E2" w:rsidRDefault="009B187D" w:rsidP="008E713C">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275E2">
              <w:rPr>
                <w:rFonts w:cs="Calibri"/>
                <w:szCs w:val="18"/>
              </w:rPr>
              <w:t xml:space="preserve">kg </w:t>
            </w:r>
            <w:r w:rsidR="006051EF" w:rsidRPr="00B275E2">
              <w:rPr>
                <w:rFonts w:cs="Calibri"/>
                <w:szCs w:val="18"/>
              </w:rPr>
              <w:t>CH</w:t>
            </w:r>
            <w:r w:rsidR="006051EF" w:rsidRPr="00B275E2">
              <w:rPr>
                <w:rFonts w:cs="Calibri"/>
                <w:szCs w:val="18"/>
                <w:vertAlign w:val="subscript"/>
              </w:rPr>
              <w:t>4</w:t>
            </w:r>
            <w:r w:rsidRPr="00B275E2">
              <w:rPr>
                <w:rFonts w:cs="Calibri"/>
                <w:szCs w:val="18"/>
              </w:rPr>
              <w:t>/unit</w:t>
            </w:r>
            <w:r w:rsidR="006051EF" w:rsidRPr="00B275E2">
              <w:rPr>
                <w:rFonts w:cs="Calibri"/>
                <w:szCs w:val="18"/>
              </w:rPr>
              <w:t xml:space="preserve"> </w:t>
            </w:r>
            <w:r w:rsidRPr="00B275E2">
              <w:rPr>
                <w:rFonts w:cs="Calibri"/>
                <w:szCs w:val="18"/>
              </w:rPr>
              <w:br/>
              <w:t>(kg CO</w:t>
            </w:r>
            <w:r w:rsidRPr="00B275E2">
              <w:rPr>
                <w:rFonts w:cs="Calibri"/>
                <w:szCs w:val="18"/>
                <w:vertAlign w:val="subscript"/>
              </w:rPr>
              <w:t>2</w:t>
            </w:r>
            <w:r w:rsidRPr="00B275E2">
              <w:rPr>
                <w:rFonts w:cs="Calibri"/>
                <w:szCs w:val="18"/>
              </w:rPr>
              <w:noBreakHyphen/>
              <w:t>e)</w:t>
            </w:r>
          </w:p>
        </w:tc>
        <w:tc>
          <w:tcPr>
            <w:tcW w:w="1110" w:type="dxa"/>
            <w:vAlign w:val="bottom"/>
          </w:tcPr>
          <w:p w14:paraId="5C1BD1E3" w14:textId="177A34D9" w:rsidR="006051EF" w:rsidRPr="00B275E2" w:rsidRDefault="009B187D" w:rsidP="008E713C">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275E2">
              <w:rPr>
                <w:rFonts w:cs="Calibri"/>
                <w:szCs w:val="18"/>
              </w:rPr>
              <w:t xml:space="preserve">kg </w:t>
            </w:r>
            <w:r w:rsidR="006051EF" w:rsidRPr="00B275E2">
              <w:rPr>
                <w:rFonts w:cs="Calibri"/>
                <w:szCs w:val="18"/>
              </w:rPr>
              <w:t>N</w:t>
            </w:r>
            <w:r w:rsidR="006051EF" w:rsidRPr="00B275E2">
              <w:rPr>
                <w:rFonts w:cs="Calibri"/>
                <w:szCs w:val="18"/>
                <w:vertAlign w:val="subscript"/>
              </w:rPr>
              <w:t>2</w:t>
            </w:r>
            <w:r w:rsidR="006051EF" w:rsidRPr="00B275E2">
              <w:rPr>
                <w:rFonts w:cs="Calibri"/>
                <w:szCs w:val="18"/>
              </w:rPr>
              <w:t>O</w:t>
            </w:r>
            <w:r w:rsidRPr="00B275E2">
              <w:rPr>
                <w:rFonts w:cs="Calibri"/>
                <w:szCs w:val="18"/>
              </w:rPr>
              <w:t>/unit</w:t>
            </w:r>
            <w:r w:rsidR="006051EF" w:rsidRPr="00B275E2">
              <w:rPr>
                <w:rFonts w:cs="Calibri"/>
                <w:szCs w:val="18"/>
              </w:rPr>
              <w:t xml:space="preserve"> </w:t>
            </w:r>
            <w:r w:rsidRPr="00B275E2">
              <w:rPr>
                <w:rFonts w:cs="Calibri"/>
                <w:szCs w:val="18"/>
              </w:rPr>
              <w:br/>
            </w:r>
            <w:r w:rsidR="006051EF" w:rsidRPr="00B275E2">
              <w:rPr>
                <w:rFonts w:cs="Calibri"/>
                <w:szCs w:val="18"/>
              </w:rPr>
              <w:t>(kg CO</w:t>
            </w:r>
            <w:r w:rsidR="006051EF" w:rsidRPr="00B275E2">
              <w:rPr>
                <w:rFonts w:cs="Calibri"/>
                <w:szCs w:val="18"/>
                <w:vertAlign w:val="subscript"/>
              </w:rPr>
              <w:t>2</w:t>
            </w:r>
            <w:r w:rsidR="006051EF" w:rsidRPr="00B275E2">
              <w:rPr>
                <w:rFonts w:cs="Calibri"/>
                <w:szCs w:val="18"/>
              </w:rPr>
              <w:noBreakHyphen/>
              <w:t>e)</w:t>
            </w:r>
          </w:p>
        </w:tc>
      </w:tr>
      <w:tr w:rsidR="0037476A" w:rsidRPr="00B275E2" w14:paraId="7B7020D5" w14:textId="77777777" w:rsidTr="003552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single" w:sz="4" w:space="0" w:color="FFFFFF" w:themeColor="background1"/>
            </w:tcBorders>
          </w:tcPr>
          <w:p w14:paraId="3970E9EF" w14:textId="08D7FF16" w:rsidR="00AD277B" w:rsidRPr="00B275E2" w:rsidRDefault="00AD277B" w:rsidP="008E713C">
            <w:pPr>
              <w:pStyle w:val="TableText"/>
              <w:spacing w:before="40" w:after="40"/>
              <w:rPr>
                <w:rFonts w:cs="Calibri"/>
                <w:b w:val="0"/>
                <w:szCs w:val="18"/>
              </w:rPr>
            </w:pPr>
            <w:r w:rsidRPr="00B275E2">
              <w:rPr>
                <w:rFonts w:cs="Calibri"/>
                <w:b w:val="0"/>
                <w:szCs w:val="18"/>
              </w:rPr>
              <w:t>HGV diesel</w:t>
            </w:r>
          </w:p>
        </w:tc>
        <w:tc>
          <w:tcPr>
            <w:tcW w:w="1831" w:type="dxa"/>
            <w:shd w:val="clear" w:color="auto" w:fill="auto"/>
          </w:tcPr>
          <w:p w14:paraId="3BCB38A9" w14:textId="764EA9F4" w:rsidR="00AD277B" w:rsidRPr="00B275E2" w:rsidRDefault="00AD277B" w:rsidP="008E713C">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color w:val="000000"/>
                <w:szCs w:val="18"/>
              </w:rPr>
              <w:t xml:space="preserve">&lt;5,000 kg </w:t>
            </w:r>
          </w:p>
        </w:tc>
        <w:tc>
          <w:tcPr>
            <w:tcW w:w="708" w:type="dxa"/>
          </w:tcPr>
          <w:p w14:paraId="7E498621" w14:textId="32077EB3" w:rsidR="00AD277B" w:rsidRPr="00B275E2" w:rsidRDefault="00AD277B" w:rsidP="008E713C">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km</w:t>
            </w:r>
          </w:p>
        </w:tc>
        <w:tc>
          <w:tcPr>
            <w:tcW w:w="1276" w:type="dxa"/>
            <w:shd w:val="clear" w:color="auto" w:fill="D2DDE1" w:themeFill="background2"/>
          </w:tcPr>
          <w:p w14:paraId="65AB9EEA" w14:textId="490416CB" w:rsidR="00AD277B" w:rsidRPr="00B275E2" w:rsidRDefault="001429F9" w:rsidP="008E713C">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0.446</w:t>
            </w:r>
          </w:p>
        </w:tc>
        <w:tc>
          <w:tcPr>
            <w:tcW w:w="1134" w:type="dxa"/>
            <w:shd w:val="clear" w:color="000000" w:fill="FFFFFF"/>
          </w:tcPr>
          <w:p w14:paraId="03FC6BD3" w14:textId="3CEB4DED" w:rsidR="00AD277B" w:rsidRPr="00B275E2" w:rsidRDefault="004F19A8" w:rsidP="008E713C">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0.439</w:t>
            </w:r>
          </w:p>
        </w:tc>
        <w:tc>
          <w:tcPr>
            <w:tcW w:w="1134" w:type="dxa"/>
            <w:shd w:val="clear" w:color="000000" w:fill="FFFFFF"/>
          </w:tcPr>
          <w:p w14:paraId="05C137F3" w14:textId="270CF78A" w:rsidR="00AD277B" w:rsidRPr="00B275E2" w:rsidRDefault="00AD277B" w:rsidP="008E713C">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0.001</w:t>
            </w:r>
          </w:p>
        </w:tc>
        <w:tc>
          <w:tcPr>
            <w:tcW w:w="1110" w:type="dxa"/>
            <w:tcBorders>
              <w:right w:val="single" w:sz="4" w:space="0" w:color="FFFFFF" w:themeColor="background1"/>
            </w:tcBorders>
            <w:shd w:val="clear" w:color="000000" w:fill="FFFFFF"/>
          </w:tcPr>
          <w:p w14:paraId="608C24E4" w14:textId="378126CD" w:rsidR="00AD277B" w:rsidRPr="00B275E2" w:rsidRDefault="00AD277B" w:rsidP="008E713C">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0.007</w:t>
            </w:r>
          </w:p>
        </w:tc>
      </w:tr>
      <w:tr w:rsidR="0037476A" w:rsidRPr="00B275E2" w14:paraId="477307F5" w14:textId="77777777" w:rsidTr="003552D5">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FFFFFF" w:themeColor="background1"/>
            </w:tcBorders>
          </w:tcPr>
          <w:p w14:paraId="17A87BB3" w14:textId="77777777" w:rsidR="00AD277B" w:rsidRPr="00B275E2" w:rsidRDefault="00AD277B" w:rsidP="008E713C">
            <w:pPr>
              <w:pStyle w:val="TableText"/>
              <w:spacing w:before="40" w:after="40"/>
              <w:rPr>
                <w:rFonts w:cs="Calibri"/>
                <w:b w:val="0"/>
                <w:szCs w:val="18"/>
              </w:rPr>
            </w:pPr>
          </w:p>
        </w:tc>
        <w:tc>
          <w:tcPr>
            <w:tcW w:w="1831" w:type="dxa"/>
            <w:shd w:val="clear" w:color="auto" w:fill="auto"/>
          </w:tcPr>
          <w:p w14:paraId="359E404B" w14:textId="459F9C60" w:rsidR="00AD277B" w:rsidRPr="00B275E2" w:rsidRDefault="00AD277B" w:rsidP="008E713C">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color w:val="000000"/>
                <w:szCs w:val="18"/>
              </w:rPr>
              <w:t xml:space="preserve">5,000 - </w:t>
            </w:r>
            <w:r w:rsidRPr="00B275E2">
              <w:rPr>
                <w:rFonts w:cs="Calibri"/>
                <w:szCs w:val="18"/>
              </w:rPr>
              <w:t>&lt;</w:t>
            </w:r>
            <w:r w:rsidRPr="00B275E2">
              <w:rPr>
                <w:rFonts w:cs="Calibri"/>
                <w:color w:val="000000"/>
                <w:szCs w:val="18"/>
              </w:rPr>
              <w:t xml:space="preserve">7,500 kg </w:t>
            </w:r>
          </w:p>
        </w:tc>
        <w:tc>
          <w:tcPr>
            <w:tcW w:w="708" w:type="dxa"/>
          </w:tcPr>
          <w:p w14:paraId="131554EA" w14:textId="11A26028" w:rsidR="00AD277B" w:rsidRPr="00B275E2" w:rsidRDefault="00AD277B" w:rsidP="008E713C">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km</w:t>
            </w:r>
          </w:p>
        </w:tc>
        <w:tc>
          <w:tcPr>
            <w:tcW w:w="1276" w:type="dxa"/>
            <w:shd w:val="clear" w:color="auto" w:fill="D2DDE1" w:themeFill="background2"/>
          </w:tcPr>
          <w:p w14:paraId="34675C6A" w14:textId="2A195152" w:rsidR="00AD277B" w:rsidRPr="00B275E2" w:rsidRDefault="00BD72FC" w:rsidP="008E713C">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0.510</w:t>
            </w:r>
          </w:p>
        </w:tc>
        <w:tc>
          <w:tcPr>
            <w:tcW w:w="1134" w:type="dxa"/>
            <w:shd w:val="clear" w:color="000000" w:fill="FFFFFF"/>
          </w:tcPr>
          <w:p w14:paraId="7C512C51" w14:textId="28517090" w:rsidR="00AD277B" w:rsidRPr="00B275E2" w:rsidRDefault="004F19A8" w:rsidP="008E713C">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0.503</w:t>
            </w:r>
          </w:p>
        </w:tc>
        <w:tc>
          <w:tcPr>
            <w:tcW w:w="1134" w:type="dxa"/>
            <w:shd w:val="clear" w:color="000000" w:fill="FFFFFF"/>
          </w:tcPr>
          <w:p w14:paraId="511E0926" w14:textId="6F2B464C" w:rsidR="00AD277B" w:rsidRPr="00B275E2" w:rsidRDefault="00AD277B" w:rsidP="008E713C">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0.001</w:t>
            </w:r>
          </w:p>
        </w:tc>
        <w:tc>
          <w:tcPr>
            <w:tcW w:w="1110" w:type="dxa"/>
            <w:tcBorders>
              <w:right w:val="single" w:sz="4" w:space="0" w:color="FFFFFF" w:themeColor="background1"/>
            </w:tcBorders>
            <w:shd w:val="clear" w:color="000000" w:fill="FFFFFF"/>
          </w:tcPr>
          <w:p w14:paraId="0851DC09" w14:textId="6A34B81C" w:rsidR="00AD277B" w:rsidRPr="00B275E2" w:rsidRDefault="00AD277B" w:rsidP="008E713C">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0.008</w:t>
            </w:r>
          </w:p>
        </w:tc>
      </w:tr>
      <w:tr w:rsidR="0037476A" w:rsidRPr="00B275E2" w14:paraId="4C4B9581" w14:textId="77777777" w:rsidTr="003552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FFFFFF" w:themeColor="background1"/>
            </w:tcBorders>
          </w:tcPr>
          <w:p w14:paraId="23050ECF" w14:textId="77777777" w:rsidR="00AD277B" w:rsidRPr="00B275E2" w:rsidRDefault="00AD277B" w:rsidP="008E713C">
            <w:pPr>
              <w:pStyle w:val="TableText"/>
              <w:spacing w:before="40" w:after="40"/>
              <w:rPr>
                <w:rFonts w:cs="Calibri"/>
                <w:b w:val="0"/>
                <w:szCs w:val="18"/>
              </w:rPr>
            </w:pPr>
          </w:p>
        </w:tc>
        <w:tc>
          <w:tcPr>
            <w:tcW w:w="1831" w:type="dxa"/>
            <w:shd w:val="clear" w:color="auto" w:fill="auto"/>
          </w:tcPr>
          <w:p w14:paraId="1415D5A5" w14:textId="4DEE8AD7" w:rsidR="00AD277B" w:rsidRPr="00B275E2" w:rsidRDefault="00AD277B" w:rsidP="008E713C">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color w:val="000000"/>
                <w:szCs w:val="18"/>
              </w:rPr>
              <w:t xml:space="preserve">7,500 - </w:t>
            </w:r>
            <w:r w:rsidRPr="00B275E2">
              <w:rPr>
                <w:rFonts w:cs="Calibri"/>
                <w:szCs w:val="18"/>
              </w:rPr>
              <w:t>&lt;</w:t>
            </w:r>
            <w:r w:rsidRPr="00B275E2">
              <w:rPr>
                <w:rFonts w:cs="Calibri"/>
                <w:color w:val="000000"/>
                <w:szCs w:val="18"/>
              </w:rPr>
              <w:t>10,000 kg</w:t>
            </w:r>
          </w:p>
        </w:tc>
        <w:tc>
          <w:tcPr>
            <w:tcW w:w="708" w:type="dxa"/>
          </w:tcPr>
          <w:p w14:paraId="24B1E87F" w14:textId="0C1A4CB6" w:rsidR="00AD277B" w:rsidRPr="00B275E2" w:rsidRDefault="00AD277B" w:rsidP="008E713C">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km</w:t>
            </w:r>
          </w:p>
        </w:tc>
        <w:tc>
          <w:tcPr>
            <w:tcW w:w="1276" w:type="dxa"/>
            <w:shd w:val="clear" w:color="auto" w:fill="D2DDE1" w:themeFill="background2"/>
          </w:tcPr>
          <w:p w14:paraId="58310389" w14:textId="5757F983" w:rsidR="00AD277B" w:rsidRPr="00B275E2" w:rsidRDefault="00BD72FC" w:rsidP="008E713C">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0.624</w:t>
            </w:r>
          </w:p>
        </w:tc>
        <w:tc>
          <w:tcPr>
            <w:tcW w:w="1134" w:type="dxa"/>
            <w:shd w:val="clear" w:color="000000" w:fill="FFFFFF"/>
          </w:tcPr>
          <w:p w14:paraId="6B618FD6" w14:textId="650BEF14" w:rsidR="00AD277B" w:rsidRPr="00B275E2" w:rsidRDefault="002C2DFA" w:rsidP="008E713C">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0.615</w:t>
            </w:r>
          </w:p>
        </w:tc>
        <w:tc>
          <w:tcPr>
            <w:tcW w:w="1134" w:type="dxa"/>
            <w:shd w:val="clear" w:color="000000" w:fill="FFFFFF"/>
          </w:tcPr>
          <w:p w14:paraId="18D7E241" w14:textId="70505F1C" w:rsidR="00AD277B" w:rsidRPr="00B275E2" w:rsidRDefault="00AD277B" w:rsidP="008E713C">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0.001</w:t>
            </w:r>
          </w:p>
        </w:tc>
        <w:tc>
          <w:tcPr>
            <w:tcW w:w="1110" w:type="dxa"/>
            <w:tcBorders>
              <w:right w:val="single" w:sz="4" w:space="0" w:color="FFFFFF" w:themeColor="background1"/>
            </w:tcBorders>
            <w:shd w:val="clear" w:color="000000" w:fill="FFFFFF"/>
          </w:tcPr>
          <w:p w14:paraId="2D0FA577" w14:textId="565DB9F2" w:rsidR="00AD277B" w:rsidRPr="00B275E2" w:rsidRDefault="00AD277B" w:rsidP="008E713C">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0.010</w:t>
            </w:r>
          </w:p>
        </w:tc>
      </w:tr>
      <w:tr w:rsidR="0037476A" w:rsidRPr="00B275E2" w14:paraId="10077825" w14:textId="77777777" w:rsidTr="003552D5">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FFFFFF" w:themeColor="background1"/>
            </w:tcBorders>
          </w:tcPr>
          <w:p w14:paraId="0AB35673" w14:textId="77777777" w:rsidR="00AD277B" w:rsidRPr="00B275E2" w:rsidRDefault="00AD277B" w:rsidP="008E713C">
            <w:pPr>
              <w:pStyle w:val="TableText"/>
              <w:spacing w:before="40" w:after="40"/>
              <w:rPr>
                <w:rFonts w:cs="Calibri"/>
                <w:b w:val="0"/>
                <w:szCs w:val="18"/>
              </w:rPr>
            </w:pPr>
          </w:p>
        </w:tc>
        <w:tc>
          <w:tcPr>
            <w:tcW w:w="1831" w:type="dxa"/>
            <w:shd w:val="clear" w:color="auto" w:fill="auto"/>
          </w:tcPr>
          <w:p w14:paraId="1D08326D" w14:textId="32FE9CE0" w:rsidR="00AD277B" w:rsidRPr="00B275E2" w:rsidRDefault="00AD277B" w:rsidP="008E713C">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color w:val="000000"/>
                <w:szCs w:val="18"/>
              </w:rPr>
              <w:t xml:space="preserve">10,000 - </w:t>
            </w:r>
            <w:r w:rsidRPr="00B275E2">
              <w:rPr>
                <w:rFonts w:cs="Calibri"/>
                <w:szCs w:val="18"/>
              </w:rPr>
              <w:t>&lt;</w:t>
            </w:r>
            <w:r w:rsidRPr="00B275E2">
              <w:rPr>
                <w:rFonts w:cs="Calibri"/>
                <w:color w:val="000000"/>
                <w:szCs w:val="18"/>
              </w:rPr>
              <w:t xml:space="preserve">12,000 kg </w:t>
            </w:r>
          </w:p>
        </w:tc>
        <w:tc>
          <w:tcPr>
            <w:tcW w:w="708" w:type="dxa"/>
          </w:tcPr>
          <w:p w14:paraId="5E833F5C" w14:textId="55FC1121" w:rsidR="00AD277B" w:rsidRPr="00B275E2" w:rsidRDefault="00AD277B" w:rsidP="008E713C">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km</w:t>
            </w:r>
          </w:p>
        </w:tc>
        <w:tc>
          <w:tcPr>
            <w:tcW w:w="1276" w:type="dxa"/>
            <w:shd w:val="clear" w:color="auto" w:fill="D2DDE1" w:themeFill="background2"/>
          </w:tcPr>
          <w:p w14:paraId="6C229C5D" w14:textId="15DFBFF7" w:rsidR="00AD277B" w:rsidRPr="00B275E2" w:rsidRDefault="00BD72FC" w:rsidP="008E713C">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0.740</w:t>
            </w:r>
          </w:p>
        </w:tc>
        <w:tc>
          <w:tcPr>
            <w:tcW w:w="1134" w:type="dxa"/>
            <w:shd w:val="clear" w:color="000000" w:fill="FFFFFF"/>
          </w:tcPr>
          <w:p w14:paraId="06D583DD" w14:textId="43D41736" w:rsidR="00AD277B" w:rsidRPr="00B275E2" w:rsidRDefault="002C2DFA" w:rsidP="008E713C">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0.729</w:t>
            </w:r>
          </w:p>
        </w:tc>
        <w:tc>
          <w:tcPr>
            <w:tcW w:w="1134" w:type="dxa"/>
            <w:shd w:val="clear" w:color="000000" w:fill="FFFFFF"/>
          </w:tcPr>
          <w:p w14:paraId="4830744D" w14:textId="0303E2D9" w:rsidR="00AD277B" w:rsidRPr="00B275E2" w:rsidRDefault="00AD277B" w:rsidP="008E713C">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0.001</w:t>
            </w:r>
          </w:p>
        </w:tc>
        <w:tc>
          <w:tcPr>
            <w:tcW w:w="1110" w:type="dxa"/>
            <w:tcBorders>
              <w:right w:val="single" w:sz="4" w:space="0" w:color="FFFFFF" w:themeColor="background1"/>
            </w:tcBorders>
            <w:shd w:val="clear" w:color="000000" w:fill="FFFFFF"/>
          </w:tcPr>
          <w:p w14:paraId="05EA7E99" w14:textId="47225395" w:rsidR="00AD277B" w:rsidRPr="00B275E2" w:rsidRDefault="00AD277B" w:rsidP="008E713C">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0.012</w:t>
            </w:r>
          </w:p>
        </w:tc>
      </w:tr>
      <w:tr w:rsidR="0037476A" w:rsidRPr="00B275E2" w14:paraId="199DC6A3" w14:textId="77777777" w:rsidTr="003552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FFFFFF" w:themeColor="background1"/>
            </w:tcBorders>
          </w:tcPr>
          <w:p w14:paraId="0998DEA3" w14:textId="77777777" w:rsidR="00AD277B" w:rsidRPr="00B275E2" w:rsidRDefault="00AD277B" w:rsidP="008E713C">
            <w:pPr>
              <w:pStyle w:val="TableText"/>
              <w:spacing w:before="40" w:after="40"/>
              <w:rPr>
                <w:rFonts w:cs="Calibri"/>
                <w:b w:val="0"/>
                <w:szCs w:val="18"/>
              </w:rPr>
            </w:pPr>
          </w:p>
        </w:tc>
        <w:tc>
          <w:tcPr>
            <w:tcW w:w="1831" w:type="dxa"/>
            <w:shd w:val="clear" w:color="auto" w:fill="auto"/>
          </w:tcPr>
          <w:p w14:paraId="48A1D9B9" w14:textId="2C18ED09" w:rsidR="00AD277B" w:rsidRPr="00B275E2" w:rsidRDefault="00AD277B" w:rsidP="008E713C">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color w:val="000000"/>
                <w:szCs w:val="18"/>
              </w:rPr>
              <w:t xml:space="preserve">12,000 - </w:t>
            </w:r>
            <w:r w:rsidRPr="00B275E2">
              <w:rPr>
                <w:rFonts w:cs="Calibri"/>
                <w:szCs w:val="18"/>
              </w:rPr>
              <w:t>&lt;</w:t>
            </w:r>
            <w:r w:rsidRPr="00B275E2">
              <w:rPr>
                <w:rFonts w:cs="Calibri"/>
                <w:color w:val="000000"/>
                <w:szCs w:val="18"/>
              </w:rPr>
              <w:t xml:space="preserve">15,000 kg </w:t>
            </w:r>
          </w:p>
        </w:tc>
        <w:tc>
          <w:tcPr>
            <w:tcW w:w="708" w:type="dxa"/>
          </w:tcPr>
          <w:p w14:paraId="042A6521" w14:textId="71D35E46" w:rsidR="00AD277B" w:rsidRPr="00B275E2" w:rsidRDefault="00AD277B" w:rsidP="008E713C">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km</w:t>
            </w:r>
          </w:p>
        </w:tc>
        <w:tc>
          <w:tcPr>
            <w:tcW w:w="1276" w:type="dxa"/>
            <w:shd w:val="clear" w:color="auto" w:fill="D2DDE1" w:themeFill="background2"/>
          </w:tcPr>
          <w:p w14:paraId="69764B13" w14:textId="3A8B3A19" w:rsidR="00AD277B" w:rsidRPr="00B275E2" w:rsidRDefault="00BD72FC" w:rsidP="008E713C">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0.841</w:t>
            </w:r>
          </w:p>
        </w:tc>
        <w:tc>
          <w:tcPr>
            <w:tcW w:w="1134" w:type="dxa"/>
            <w:shd w:val="clear" w:color="000000" w:fill="FFFFFF"/>
          </w:tcPr>
          <w:p w14:paraId="7A2AF88E" w14:textId="0A40B5DD" w:rsidR="00AD277B" w:rsidRPr="00B275E2" w:rsidRDefault="002C2DFA" w:rsidP="008E713C">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0.828</w:t>
            </w:r>
          </w:p>
        </w:tc>
        <w:tc>
          <w:tcPr>
            <w:tcW w:w="1134" w:type="dxa"/>
            <w:shd w:val="clear" w:color="000000" w:fill="FFFFFF"/>
          </w:tcPr>
          <w:p w14:paraId="5D8E6BED" w14:textId="50C75AE3" w:rsidR="00AD277B" w:rsidRPr="00B275E2" w:rsidRDefault="00AD277B" w:rsidP="008E713C">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0.001</w:t>
            </w:r>
          </w:p>
        </w:tc>
        <w:tc>
          <w:tcPr>
            <w:tcW w:w="1110" w:type="dxa"/>
            <w:tcBorders>
              <w:right w:val="single" w:sz="4" w:space="0" w:color="FFFFFF" w:themeColor="background1"/>
            </w:tcBorders>
            <w:shd w:val="clear" w:color="000000" w:fill="FFFFFF"/>
          </w:tcPr>
          <w:p w14:paraId="3BCF452E" w14:textId="6F8D9E86" w:rsidR="00AD277B" w:rsidRPr="00B275E2" w:rsidRDefault="00AD277B" w:rsidP="008E713C">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0.01</w:t>
            </w:r>
            <w:r w:rsidR="002C2DFA" w:rsidRPr="00B275E2">
              <w:rPr>
                <w:rFonts w:cs="Calibri"/>
                <w:szCs w:val="18"/>
              </w:rPr>
              <w:t>3</w:t>
            </w:r>
          </w:p>
        </w:tc>
      </w:tr>
      <w:tr w:rsidR="0037476A" w:rsidRPr="00B275E2" w14:paraId="193F7229" w14:textId="77777777" w:rsidTr="003552D5">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FFFFFF" w:themeColor="background1"/>
            </w:tcBorders>
          </w:tcPr>
          <w:p w14:paraId="54DA1549" w14:textId="77777777" w:rsidR="00AD277B" w:rsidRPr="00B275E2" w:rsidRDefault="00AD277B" w:rsidP="008E713C">
            <w:pPr>
              <w:pStyle w:val="TableText"/>
              <w:spacing w:before="40" w:after="40"/>
              <w:rPr>
                <w:rFonts w:cs="Calibri"/>
                <w:b w:val="0"/>
                <w:szCs w:val="18"/>
              </w:rPr>
            </w:pPr>
          </w:p>
        </w:tc>
        <w:tc>
          <w:tcPr>
            <w:tcW w:w="1831" w:type="dxa"/>
            <w:shd w:val="clear" w:color="auto" w:fill="auto"/>
          </w:tcPr>
          <w:p w14:paraId="4D6F6297" w14:textId="26D9BBB1" w:rsidR="00AD277B" w:rsidRPr="00B275E2" w:rsidRDefault="00AD277B" w:rsidP="008E713C">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color w:val="000000"/>
                <w:szCs w:val="18"/>
              </w:rPr>
              <w:t xml:space="preserve">15,000 - </w:t>
            </w:r>
            <w:r w:rsidRPr="00B275E2">
              <w:rPr>
                <w:rFonts w:cs="Calibri"/>
                <w:szCs w:val="18"/>
              </w:rPr>
              <w:t>&lt;</w:t>
            </w:r>
            <w:r w:rsidRPr="00B275E2">
              <w:rPr>
                <w:rFonts w:cs="Calibri"/>
                <w:color w:val="000000"/>
                <w:szCs w:val="18"/>
              </w:rPr>
              <w:t xml:space="preserve">20,000 kg </w:t>
            </w:r>
          </w:p>
        </w:tc>
        <w:tc>
          <w:tcPr>
            <w:tcW w:w="708" w:type="dxa"/>
          </w:tcPr>
          <w:p w14:paraId="4526293A" w14:textId="2B314784" w:rsidR="00AD277B" w:rsidRPr="00B275E2" w:rsidRDefault="00AD277B" w:rsidP="008E713C">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km</w:t>
            </w:r>
          </w:p>
        </w:tc>
        <w:tc>
          <w:tcPr>
            <w:tcW w:w="1276" w:type="dxa"/>
            <w:shd w:val="clear" w:color="auto" w:fill="D2DDE1" w:themeFill="background2"/>
          </w:tcPr>
          <w:p w14:paraId="64085EE6" w14:textId="27076036" w:rsidR="00AD277B" w:rsidRPr="00B275E2" w:rsidRDefault="00B8776F" w:rsidP="008E713C">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w:t>
            </w:r>
            <w:r w:rsidR="0018485F" w:rsidRPr="00B275E2">
              <w:rPr>
                <w:rFonts w:cs="Calibri"/>
                <w:szCs w:val="18"/>
              </w:rPr>
              <w:t>.982</w:t>
            </w:r>
          </w:p>
        </w:tc>
        <w:tc>
          <w:tcPr>
            <w:tcW w:w="1134" w:type="dxa"/>
            <w:shd w:val="clear" w:color="000000" w:fill="FFFFFF"/>
          </w:tcPr>
          <w:p w14:paraId="302D8CAD" w14:textId="6102AFE3" w:rsidR="00AD277B" w:rsidRPr="00B275E2" w:rsidRDefault="002C2DFA" w:rsidP="008E713C">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0.968</w:t>
            </w:r>
          </w:p>
        </w:tc>
        <w:tc>
          <w:tcPr>
            <w:tcW w:w="1134" w:type="dxa"/>
            <w:shd w:val="clear" w:color="000000" w:fill="FFFFFF"/>
          </w:tcPr>
          <w:p w14:paraId="5E7A8AA2" w14:textId="645406DB" w:rsidR="00AD277B" w:rsidRPr="00B275E2" w:rsidRDefault="00AD277B" w:rsidP="008E713C">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0.001</w:t>
            </w:r>
          </w:p>
        </w:tc>
        <w:tc>
          <w:tcPr>
            <w:tcW w:w="1110" w:type="dxa"/>
            <w:tcBorders>
              <w:right w:val="single" w:sz="4" w:space="0" w:color="FFFFFF" w:themeColor="background1"/>
            </w:tcBorders>
            <w:shd w:val="clear" w:color="000000" w:fill="FFFFFF"/>
          </w:tcPr>
          <w:p w14:paraId="1E255520" w14:textId="0697E218" w:rsidR="00AD277B" w:rsidRPr="00B275E2" w:rsidRDefault="00AD277B" w:rsidP="008E713C">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0.016</w:t>
            </w:r>
          </w:p>
        </w:tc>
      </w:tr>
      <w:tr w:rsidR="0037476A" w:rsidRPr="00B275E2" w14:paraId="4D1B516C" w14:textId="77777777" w:rsidTr="003552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FFFFFF" w:themeColor="background1"/>
            </w:tcBorders>
          </w:tcPr>
          <w:p w14:paraId="320B57F3" w14:textId="77777777" w:rsidR="00AD277B" w:rsidRPr="00B275E2" w:rsidRDefault="00AD277B" w:rsidP="008E713C">
            <w:pPr>
              <w:pStyle w:val="TableText"/>
              <w:spacing w:before="40" w:after="40"/>
              <w:rPr>
                <w:rFonts w:cs="Calibri"/>
                <w:b w:val="0"/>
                <w:szCs w:val="18"/>
              </w:rPr>
            </w:pPr>
          </w:p>
        </w:tc>
        <w:tc>
          <w:tcPr>
            <w:tcW w:w="1831" w:type="dxa"/>
            <w:shd w:val="clear" w:color="auto" w:fill="auto"/>
          </w:tcPr>
          <w:p w14:paraId="7839E2EF" w14:textId="10A3D629" w:rsidR="00AD277B" w:rsidRPr="00B275E2" w:rsidRDefault="00AD277B" w:rsidP="008E713C">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color w:val="000000"/>
                <w:szCs w:val="18"/>
              </w:rPr>
              <w:t xml:space="preserve">20,000 - </w:t>
            </w:r>
            <w:r w:rsidRPr="00B275E2">
              <w:rPr>
                <w:rFonts w:cs="Calibri"/>
                <w:szCs w:val="18"/>
              </w:rPr>
              <w:t>&lt;</w:t>
            </w:r>
            <w:r w:rsidRPr="00B275E2">
              <w:rPr>
                <w:rFonts w:cs="Calibri"/>
                <w:color w:val="000000"/>
                <w:szCs w:val="18"/>
              </w:rPr>
              <w:t xml:space="preserve">25,000 kg </w:t>
            </w:r>
          </w:p>
        </w:tc>
        <w:tc>
          <w:tcPr>
            <w:tcW w:w="708" w:type="dxa"/>
          </w:tcPr>
          <w:p w14:paraId="5FC3ECF9" w14:textId="1174ED87" w:rsidR="00AD277B" w:rsidRPr="00B275E2" w:rsidRDefault="00AD277B" w:rsidP="008E713C">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km</w:t>
            </w:r>
          </w:p>
        </w:tc>
        <w:tc>
          <w:tcPr>
            <w:tcW w:w="1276" w:type="dxa"/>
            <w:shd w:val="clear" w:color="auto" w:fill="D2DDE1" w:themeFill="background2"/>
          </w:tcPr>
          <w:p w14:paraId="7A66F9ED" w14:textId="3F22811D" w:rsidR="00AD277B" w:rsidRPr="00B275E2" w:rsidRDefault="0018485F" w:rsidP="008E713C">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1.308</w:t>
            </w:r>
          </w:p>
        </w:tc>
        <w:tc>
          <w:tcPr>
            <w:tcW w:w="1134" w:type="dxa"/>
            <w:shd w:val="clear" w:color="000000" w:fill="FFFFFF"/>
          </w:tcPr>
          <w:p w14:paraId="5B8EE165" w14:textId="29C013B9" w:rsidR="00AD277B" w:rsidRPr="00B275E2" w:rsidRDefault="006C6EDF" w:rsidP="008E713C">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1.288</w:t>
            </w:r>
          </w:p>
        </w:tc>
        <w:tc>
          <w:tcPr>
            <w:tcW w:w="1134" w:type="dxa"/>
            <w:shd w:val="clear" w:color="000000" w:fill="FFFFFF"/>
          </w:tcPr>
          <w:p w14:paraId="1369D9E7" w14:textId="0EA2821E" w:rsidR="00AD277B" w:rsidRPr="00B275E2" w:rsidRDefault="00AD277B" w:rsidP="008E713C">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0.002</w:t>
            </w:r>
          </w:p>
        </w:tc>
        <w:tc>
          <w:tcPr>
            <w:tcW w:w="1110" w:type="dxa"/>
            <w:tcBorders>
              <w:right w:val="single" w:sz="4" w:space="0" w:color="FFFFFF" w:themeColor="background1"/>
            </w:tcBorders>
            <w:shd w:val="clear" w:color="000000" w:fill="FFFFFF"/>
          </w:tcPr>
          <w:p w14:paraId="5ED93035" w14:textId="48C1600C" w:rsidR="00AD277B" w:rsidRPr="00B275E2" w:rsidRDefault="00AD277B" w:rsidP="008E713C">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0.02</w:t>
            </w:r>
            <w:r w:rsidR="006C6EDF" w:rsidRPr="00B275E2">
              <w:rPr>
                <w:rFonts w:cs="Calibri"/>
                <w:szCs w:val="18"/>
              </w:rPr>
              <w:t>1</w:t>
            </w:r>
          </w:p>
        </w:tc>
      </w:tr>
      <w:tr w:rsidR="0037476A" w:rsidRPr="00B275E2" w14:paraId="3582AE6C" w14:textId="77777777" w:rsidTr="003552D5">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FFFFFF" w:themeColor="background1"/>
            </w:tcBorders>
          </w:tcPr>
          <w:p w14:paraId="2C0F72DA" w14:textId="77777777" w:rsidR="00AD277B" w:rsidRPr="00B275E2" w:rsidRDefault="00AD277B" w:rsidP="008E713C">
            <w:pPr>
              <w:pStyle w:val="TableText"/>
              <w:spacing w:before="40" w:after="40"/>
              <w:rPr>
                <w:rFonts w:cs="Calibri"/>
                <w:b w:val="0"/>
                <w:szCs w:val="18"/>
              </w:rPr>
            </w:pPr>
          </w:p>
        </w:tc>
        <w:tc>
          <w:tcPr>
            <w:tcW w:w="1831" w:type="dxa"/>
            <w:shd w:val="clear" w:color="auto" w:fill="auto"/>
          </w:tcPr>
          <w:p w14:paraId="67B5EE22" w14:textId="4DC76230" w:rsidR="00AD277B" w:rsidRPr="00B275E2" w:rsidRDefault="00AD277B" w:rsidP="008E713C">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color w:val="000000"/>
                <w:szCs w:val="18"/>
              </w:rPr>
              <w:t xml:space="preserve">25,000 - </w:t>
            </w:r>
            <w:r w:rsidRPr="00B275E2">
              <w:rPr>
                <w:rFonts w:cs="Calibri"/>
                <w:szCs w:val="18"/>
              </w:rPr>
              <w:t>&lt;</w:t>
            </w:r>
            <w:r w:rsidRPr="00B275E2">
              <w:rPr>
                <w:rFonts w:cs="Calibri"/>
                <w:color w:val="000000"/>
                <w:szCs w:val="18"/>
              </w:rPr>
              <w:t xml:space="preserve">30,000 kg </w:t>
            </w:r>
          </w:p>
        </w:tc>
        <w:tc>
          <w:tcPr>
            <w:tcW w:w="708" w:type="dxa"/>
          </w:tcPr>
          <w:p w14:paraId="497D7F7E" w14:textId="213524CB" w:rsidR="00AD277B" w:rsidRPr="00B275E2" w:rsidRDefault="00AD277B" w:rsidP="008E713C">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km</w:t>
            </w:r>
          </w:p>
        </w:tc>
        <w:tc>
          <w:tcPr>
            <w:tcW w:w="1276" w:type="dxa"/>
            <w:shd w:val="clear" w:color="auto" w:fill="D2DDE1" w:themeFill="background2"/>
          </w:tcPr>
          <w:p w14:paraId="6E90E940" w14:textId="3D8E7CE8" w:rsidR="00AD277B" w:rsidRPr="00B275E2" w:rsidRDefault="0018485F" w:rsidP="008E713C">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1.460</w:t>
            </w:r>
          </w:p>
        </w:tc>
        <w:tc>
          <w:tcPr>
            <w:tcW w:w="1134" w:type="dxa"/>
            <w:shd w:val="clear" w:color="000000" w:fill="FFFFFF"/>
          </w:tcPr>
          <w:p w14:paraId="48512C58" w14:textId="1E5AB43D" w:rsidR="00AD277B" w:rsidRPr="00B275E2" w:rsidRDefault="006C6EDF" w:rsidP="008E713C">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1.438</w:t>
            </w:r>
          </w:p>
        </w:tc>
        <w:tc>
          <w:tcPr>
            <w:tcW w:w="1134" w:type="dxa"/>
            <w:shd w:val="clear" w:color="000000" w:fill="FFFFFF"/>
          </w:tcPr>
          <w:p w14:paraId="6D1EFB9D" w14:textId="4C95D7ED" w:rsidR="00AD277B" w:rsidRPr="00B275E2" w:rsidRDefault="00AD277B" w:rsidP="008E713C">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0.002</w:t>
            </w:r>
          </w:p>
        </w:tc>
        <w:tc>
          <w:tcPr>
            <w:tcW w:w="1110" w:type="dxa"/>
            <w:tcBorders>
              <w:right w:val="single" w:sz="4" w:space="0" w:color="FFFFFF" w:themeColor="background1"/>
            </w:tcBorders>
            <w:shd w:val="clear" w:color="000000" w:fill="FFFFFF"/>
          </w:tcPr>
          <w:p w14:paraId="58A7B975" w14:textId="18C1477A" w:rsidR="00AD277B" w:rsidRPr="00B275E2" w:rsidRDefault="00AD277B" w:rsidP="008E713C">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0.02</w:t>
            </w:r>
            <w:r w:rsidR="006C6EDF" w:rsidRPr="00B275E2">
              <w:rPr>
                <w:rFonts w:cs="Calibri"/>
                <w:szCs w:val="18"/>
              </w:rPr>
              <w:t>3</w:t>
            </w:r>
          </w:p>
        </w:tc>
      </w:tr>
      <w:tr w:rsidR="0037476A" w:rsidRPr="00B275E2" w14:paraId="22A0EF68" w14:textId="77777777" w:rsidTr="003552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FFFFFF" w:themeColor="background1"/>
            </w:tcBorders>
          </w:tcPr>
          <w:p w14:paraId="716A34CE" w14:textId="77777777" w:rsidR="00AD277B" w:rsidRPr="00B275E2" w:rsidRDefault="00AD277B" w:rsidP="008E713C">
            <w:pPr>
              <w:pStyle w:val="TableText"/>
              <w:spacing w:before="40" w:after="40"/>
              <w:rPr>
                <w:rFonts w:cs="Calibri"/>
                <w:b w:val="0"/>
                <w:szCs w:val="18"/>
              </w:rPr>
            </w:pPr>
          </w:p>
        </w:tc>
        <w:tc>
          <w:tcPr>
            <w:tcW w:w="1831" w:type="dxa"/>
            <w:shd w:val="clear" w:color="auto" w:fill="auto"/>
          </w:tcPr>
          <w:p w14:paraId="1278BF4C" w14:textId="2D085301" w:rsidR="00AD277B" w:rsidRPr="00B275E2" w:rsidRDefault="00AD277B" w:rsidP="008E713C">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color w:val="000000"/>
                <w:szCs w:val="18"/>
              </w:rPr>
              <w:t xml:space="preserve">≥30,000 kg </w:t>
            </w:r>
          </w:p>
        </w:tc>
        <w:tc>
          <w:tcPr>
            <w:tcW w:w="708" w:type="dxa"/>
          </w:tcPr>
          <w:p w14:paraId="3D4F6ED9" w14:textId="570AA1DB" w:rsidR="00AD277B" w:rsidRPr="00B275E2" w:rsidRDefault="00AD277B" w:rsidP="008E713C">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km</w:t>
            </w:r>
          </w:p>
        </w:tc>
        <w:tc>
          <w:tcPr>
            <w:tcW w:w="1276" w:type="dxa"/>
            <w:shd w:val="clear" w:color="auto" w:fill="D2DDE1" w:themeFill="background2"/>
          </w:tcPr>
          <w:p w14:paraId="2B5C4311" w14:textId="49DFD974" w:rsidR="00AD277B" w:rsidRPr="00B275E2" w:rsidRDefault="0018485F" w:rsidP="008E713C">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1.538</w:t>
            </w:r>
          </w:p>
        </w:tc>
        <w:tc>
          <w:tcPr>
            <w:tcW w:w="1134" w:type="dxa"/>
            <w:shd w:val="clear" w:color="000000" w:fill="FFFFFF"/>
          </w:tcPr>
          <w:p w14:paraId="0D859A8D" w14:textId="2BA61195" w:rsidR="00AD277B" w:rsidRPr="00B275E2" w:rsidRDefault="006C6EDF" w:rsidP="008E713C">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1.515</w:t>
            </w:r>
          </w:p>
        </w:tc>
        <w:tc>
          <w:tcPr>
            <w:tcW w:w="1134" w:type="dxa"/>
            <w:shd w:val="clear" w:color="000000" w:fill="FFFFFF"/>
          </w:tcPr>
          <w:p w14:paraId="5986CF9D" w14:textId="22EC2144" w:rsidR="00AD277B" w:rsidRPr="00B275E2" w:rsidRDefault="00AD277B" w:rsidP="008E713C">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0.002</w:t>
            </w:r>
          </w:p>
        </w:tc>
        <w:tc>
          <w:tcPr>
            <w:tcW w:w="1110" w:type="dxa"/>
            <w:tcBorders>
              <w:right w:val="single" w:sz="4" w:space="0" w:color="FFFFFF" w:themeColor="background1"/>
            </w:tcBorders>
            <w:shd w:val="clear" w:color="000000" w:fill="FFFFFF"/>
          </w:tcPr>
          <w:p w14:paraId="23D7A350" w14:textId="57C50166" w:rsidR="00AD277B" w:rsidRPr="00B275E2" w:rsidRDefault="00AD277B" w:rsidP="008E713C">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0.024</w:t>
            </w:r>
          </w:p>
        </w:tc>
      </w:tr>
      <w:tr w:rsidR="0037476A" w:rsidRPr="00B275E2" w14:paraId="3407268B" w14:textId="77777777" w:rsidTr="003552D5">
        <w:tc>
          <w:tcPr>
            <w:cnfStyle w:val="001000000000" w:firstRow="0" w:lastRow="0" w:firstColumn="1" w:lastColumn="0" w:oddVBand="0" w:evenVBand="0" w:oddHBand="0" w:evenHBand="0" w:firstRowFirstColumn="0" w:firstRowLastColumn="0" w:lastRowFirstColumn="0" w:lastRowLastColumn="0"/>
            <w:tcW w:w="0" w:type="auto"/>
            <w:vMerge w:val="restart"/>
            <w:tcBorders>
              <w:left w:val="single" w:sz="4" w:space="0" w:color="FFFFFF" w:themeColor="background1"/>
            </w:tcBorders>
          </w:tcPr>
          <w:p w14:paraId="130D3D3A" w14:textId="24A19159" w:rsidR="00AD277B" w:rsidRPr="00B275E2" w:rsidRDefault="00AD277B" w:rsidP="008E713C">
            <w:pPr>
              <w:pStyle w:val="TableText"/>
              <w:spacing w:before="40" w:after="40"/>
              <w:rPr>
                <w:rFonts w:cs="Calibri"/>
                <w:b w:val="0"/>
                <w:szCs w:val="18"/>
              </w:rPr>
            </w:pPr>
            <w:r w:rsidRPr="00B275E2">
              <w:rPr>
                <w:rFonts w:cs="Calibri"/>
                <w:b w:val="0"/>
                <w:szCs w:val="18"/>
              </w:rPr>
              <w:t>HGV diesel hybrid</w:t>
            </w:r>
          </w:p>
        </w:tc>
        <w:tc>
          <w:tcPr>
            <w:tcW w:w="1831" w:type="dxa"/>
            <w:shd w:val="clear" w:color="auto" w:fill="auto"/>
          </w:tcPr>
          <w:p w14:paraId="7DF2A8BE" w14:textId="1EF08792" w:rsidR="00AD277B" w:rsidRPr="00B275E2" w:rsidRDefault="00AD277B" w:rsidP="008E713C">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color w:val="000000"/>
                <w:szCs w:val="18"/>
              </w:rPr>
              <w:t xml:space="preserve">&lt;5,000 kg </w:t>
            </w:r>
          </w:p>
        </w:tc>
        <w:tc>
          <w:tcPr>
            <w:tcW w:w="708" w:type="dxa"/>
          </w:tcPr>
          <w:p w14:paraId="61407696" w14:textId="2F176561" w:rsidR="00AD277B" w:rsidRPr="00B275E2" w:rsidRDefault="00AD277B" w:rsidP="008E713C">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km</w:t>
            </w:r>
          </w:p>
        </w:tc>
        <w:tc>
          <w:tcPr>
            <w:tcW w:w="1276" w:type="dxa"/>
            <w:shd w:val="clear" w:color="auto" w:fill="D2DDE1" w:themeFill="background2"/>
          </w:tcPr>
          <w:p w14:paraId="0112322F" w14:textId="1CFD3DD3" w:rsidR="00AD277B" w:rsidRPr="00B275E2" w:rsidRDefault="0018485F" w:rsidP="008E713C">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0.359</w:t>
            </w:r>
          </w:p>
        </w:tc>
        <w:tc>
          <w:tcPr>
            <w:tcW w:w="1134" w:type="dxa"/>
            <w:shd w:val="clear" w:color="000000" w:fill="FFFFFF"/>
          </w:tcPr>
          <w:p w14:paraId="321BF8D0" w14:textId="3A398013" w:rsidR="00AD277B" w:rsidRPr="00B275E2" w:rsidRDefault="00620BE6" w:rsidP="008E713C">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0.354</w:t>
            </w:r>
          </w:p>
        </w:tc>
        <w:tc>
          <w:tcPr>
            <w:tcW w:w="1134" w:type="dxa"/>
            <w:shd w:val="clear" w:color="000000" w:fill="FFFFFF"/>
          </w:tcPr>
          <w:p w14:paraId="7624FED4" w14:textId="4AF32A20" w:rsidR="00AD277B" w:rsidRPr="00B275E2" w:rsidRDefault="00AD277B" w:rsidP="008E713C">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0.000</w:t>
            </w:r>
            <w:r w:rsidR="00620BE6" w:rsidRPr="00B275E2">
              <w:rPr>
                <w:rFonts w:cs="Calibri"/>
                <w:szCs w:val="18"/>
              </w:rPr>
              <w:t>5</w:t>
            </w:r>
          </w:p>
        </w:tc>
        <w:tc>
          <w:tcPr>
            <w:tcW w:w="1110" w:type="dxa"/>
            <w:tcBorders>
              <w:right w:val="single" w:sz="4" w:space="0" w:color="FFFFFF" w:themeColor="background1"/>
            </w:tcBorders>
            <w:shd w:val="clear" w:color="000000" w:fill="FFFFFF"/>
          </w:tcPr>
          <w:p w14:paraId="04510A5C" w14:textId="6DA3E391" w:rsidR="00AD277B" w:rsidRPr="00B275E2" w:rsidRDefault="00AD277B" w:rsidP="008E713C">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0.00</w:t>
            </w:r>
            <w:r w:rsidR="00620BE6" w:rsidRPr="00B275E2">
              <w:rPr>
                <w:rFonts w:cs="Calibri"/>
                <w:szCs w:val="18"/>
              </w:rPr>
              <w:t>6</w:t>
            </w:r>
          </w:p>
        </w:tc>
      </w:tr>
      <w:tr w:rsidR="0037476A" w:rsidRPr="00B275E2" w14:paraId="74655248" w14:textId="77777777" w:rsidTr="003552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FFFFFF" w:themeColor="background1"/>
            </w:tcBorders>
          </w:tcPr>
          <w:p w14:paraId="115E620A" w14:textId="77777777" w:rsidR="00AD277B" w:rsidRPr="00B275E2" w:rsidRDefault="00AD277B" w:rsidP="008E713C">
            <w:pPr>
              <w:pStyle w:val="TableText"/>
              <w:spacing w:before="40" w:after="40"/>
              <w:rPr>
                <w:rFonts w:cs="Calibri"/>
                <w:szCs w:val="18"/>
              </w:rPr>
            </w:pPr>
          </w:p>
        </w:tc>
        <w:tc>
          <w:tcPr>
            <w:tcW w:w="1831" w:type="dxa"/>
            <w:shd w:val="clear" w:color="auto" w:fill="auto"/>
          </w:tcPr>
          <w:p w14:paraId="6CE3CE4E" w14:textId="492E8966" w:rsidR="00AD277B" w:rsidRPr="00B275E2" w:rsidRDefault="00AD277B" w:rsidP="008E713C">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color w:val="000000"/>
                <w:szCs w:val="18"/>
              </w:rPr>
              <w:t xml:space="preserve">5,000 - </w:t>
            </w:r>
            <w:r w:rsidRPr="00B275E2">
              <w:rPr>
                <w:rFonts w:cs="Calibri"/>
                <w:szCs w:val="18"/>
              </w:rPr>
              <w:t>&lt;</w:t>
            </w:r>
            <w:r w:rsidRPr="00B275E2">
              <w:rPr>
                <w:rFonts w:cs="Calibri"/>
                <w:color w:val="000000"/>
                <w:szCs w:val="18"/>
              </w:rPr>
              <w:t xml:space="preserve">7,500 kg </w:t>
            </w:r>
          </w:p>
        </w:tc>
        <w:tc>
          <w:tcPr>
            <w:tcW w:w="708" w:type="dxa"/>
          </w:tcPr>
          <w:p w14:paraId="7A6E7AC5" w14:textId="59A07B94" w:rsidR="00AD277B" w:rsidRPr="00B275E2" w:rsidRDefault="00AD277B" w:rsidP="008E713C">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km</w:t>
            </w:r>
          </w:p>
        </w:tc>
        <w:tc>
          <w:tcPr>
            <w:tcW w:w="1276" w:type="dxa"/>
            <w:shd w:val="clear" w:color="auto" w:fill="D2DDE1" w:themeFill="background2"/>
          </w:tcPr>
          <w:p w14:paraId="7B68E241" w14:textId="435E18A1" w:rsidR="00AD277B" w:rsidRPr="00B275E2" w:rsidRDefault="0018485F" w:rsidP="008E713C">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0.411</w:t>
            </w:r>
          </w:p>
        </w:tc>
        <w:tc>
          <w:tcPr>
            <w:tcW w:w="1134" w:type="dxa"/>
            <w:shd w:val="clear" w:color="000000" w:fill="FFFFFF"/>
          </w:tcPr>
          <w:p w14:paraId="01BCE036" w14:textId="0BE3A225" w:rsidR="00AD277B" w:rsidRPr="00B275E2" w:rsidRDefault="00620BE6" w:rsidP="008E713C">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0.405</w:t>
            </w:r>
          </w:p>
        </w:tc>
        <w:tc>
          <w:tcPr>
            <w:tcW w:w="1134" w:type="dxa"/>
            <w:shd w:val="clear" w:color="000000" w:fill="FFFFFF"/>
          </w:tcPr>
          <w:p w14:paraId="45F23030" w14:textId="57E84D1D" w:rsidR="00AD277B" w:rsidRPr="00B275E2" w:rsidRDefault="00AD277B" w:rsidP="008E713C">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0.0005</w:t>
            </w:r>
          </w:p>
        </w:tc>
        <w:tc>
          <w:tcPr>
            <w:tcW w:w="1110" w:type="dxa"/>
            <w:tcBorders>
              <w:right w:val="single" w:sz="4" w:space="0" w:color="FFFFFF" w:themeColor="background1"/>
            </w:tcBorders>
            <w:shd w:val="clear" w:color="000000" w:fill="FFFFFF"/>
          </w:tcPr>
          <w:p w14:paraId="772F8099" w14:textId="05E32F6D" w:rsidR="00AD277B" w:rsidRPr="00B275E2" w:rsidRDefault="00AD277B" w:rsidP="008E713C">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0.006</w:t>
            </w:r>
          </w:p>
        </w:tc>
      </w:tr>
      <w:tr w:rsidR="0037476A" w:rsidRPr="00B275E2" w14:paraId="0EA4FB18" w14:textId="77777777" w:rsidTr="003552D5">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FFFFFF" w:themeColor="background1"/>
            </w:tcBorders>
          </w:tcPr>
          <w:p w14:paraId="6E129927" w14:textId="77777777" w:rsidR="00AD277B" w:rsidRPr="00B275E2" w:rsidRDefault="00AD277B" w:rsidP="008E713C">
            <w:pPr>
              <w:pStyle w:val="TableText"/>
              <w:spacing w:before="40" w:after="40"/>
              <w:rPr>
                <w:rFonts w:cs="Calibri"/>
                <w:szCs w:val="18"/>
              </w:rPr>
            </w:pPr>
          </w:p>
        </w:tc>
        <w:tc>
          <w:tcPr>
            <w:tcW w:w="1831" w:type="dxa"/>
            <w:shd w:val="clear" w:color="auto" w:fill="auto"/>
          </w:tcPr>
          <w:p w14:paraId="5A8A56E4" w14:textId="2A0799C2" w:rsidR="00AD277B" w:rsidRPr="00B275E2" w:rsidRDefault="00AD277B" w:rsidP="008E713C">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color w:val="000000"/>
                <w:szCs w:val="18"/>
              </w:rPr>
              <w:t xml:space="preserve">7,500 - </w:t>
            </w:r>
            <w:r w:rsidRPr="00B275E2">
              <w:rPr>
                <w:rFonts w:cs="Calibri"/>
                <w:szCs w:val="18"/>
              </w:rPr>
              <w:t>&lt;</w:t>
            </w:r>
            <w:r w:rsidRPr="00B275E2">
              <w:rPr>
                <w:rFonts w:cs="Calibri"/>
                <w:color w:val="000000"/>
                <w:szCs w:val="18"/>
              </w:rPr>
              <w:t>10,000 kg</w:t>
            </w:r>
          </w:p>
        </w:tc>
        <w:tc>
          <w:tcPr>
            <w:tcW w:w="708" w:type="dxa"/>
          </w:tcPr>
          <w:p w14:paraId="08344E0F" w14:textId="254D19AB" w:rsidR="00AD277B" w:rsidRPr="00B275E2" w:rsidRDefault="00AD277B" w:rsidP="008E713C">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km</w:t>
            </w:r>
          </w:p>
        </w:tc>
        <w:tc>
          <w:tcPr>
            <w:tcW w:w="1276" w:type="dxa"/>
            <w:shd w:val="clear" w:color="auto" w:fill="D2DDE1" w:themeFill="background2"/>
          </w:tcPr>
          <w:p w14:paraId="59A35822" w14:textId="36D02E1F" w:rsidR="00AD277B" w:rsidRPr="00B275E2" w:rsidRDefault="0018485F" w:rsidP="008E713C">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0.503</w:t>
            </w:r>
          </w:p>
        </w:tc>
        <w:tc>
          <w:tcPr>
            <w:tcW w:w="1134" w:type="dxa"/>
            <w:shd w:val="clear" w:color="000000" w:fill="FFFFFF"/>
          </w:tcPr>
          <w:p w14:paraId="6A790384" w14:textId="6B863C71" w:rsidR="00AD277B" w:rsidRPr="00B275E2" w:rsidRDefault="00620BE6" w:rsidP="008E713C">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0.496</w:t>
            </w:r>
          </w:p>
        </w:tc>
        <w:tc>
          <w:tcPr>
            <w:tcW w:w="1134" w:type="dxa"/>
            <w:shd w:val="clear" w:color="000000" w:fill="FFFFFF"/>
          </w:tcPr>
          <w:p w14:paraId="3F88BFC3" w14:textId="5FB8FF7F" w:rsidR="00AD277B" w:rsidRPr="00B275E2" w:rsidRDefault="00AD277B" w:rsidP="008E713C">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0.0007</w:t>
            </w:r>
          </w:p>
        </w:tc>
        <w:tc>
          <w:tcPr>
            <w:tcW w:w="1110" w:type="dxa"/>
            <w:tcBorders>
              <w:right w:val="single" w:sz="4" w:space="0" w:color="FFFFFF" w:themeColor="background1"/>
            </w:tcBorders>
            <w:shd w:val="clear" w:color="000000" w:fill="FFFFFF"/>
          </w:tcPr>
          <w:p w14:paraId="7C316963" w14:textId="572EA5DE" w:rsidR="00AD277B" w:rsidRPr="00B275E2" w:rsidRDefault="00AD277B" w:rsidP="008E713C">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0.008</w:t>
            </w:r>
          </w:p>
        </w:tc>
      </w:tr>
      <w:tr w:rsidR="0037476A" w:rsidRPr="00B275E2" w14:paraId="63122DD4" w14:textId="77777777" w:rsidTr="003552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FFFFFF" w:themeColor="background1"/>
            </w:tcBorders>
          </w:tcPr>
          <w:p w14:paraId="6A419292" w14:textId="77777777" w:rsidR="00AD277B" w:rsidRPr="00B275E2" w:rsidRDefault="00AD277B" w:rsidP="008E713C">
            <w:pPr>
              <w:pStyle w:val="TableText"/>
              <w:spacing w:before="40" w:after="40"/>
              <w:rPr>
                <w:rFonts w:cs="Calibri"/>
                <w:szCs w:val="18"/>
              </w:rPr>
            </w:pPr>
          </w:p>
        </w:tc>
        <w:tc>
          <w:tcPr>
            <w:tcW w:w="1831" w:type="dxa"/>
            <w:shd w:val="clear" w:color="auto" w:fill="auto"/>
          </w:tcPr>
          <w:p w14:paraId="70A0D67C" w14:textId="6E8D0343" w:rsidR="00AD277B" w:rsidRPr="00B275E2" w:rsidRDefault="00AD277B" w:rsidP="008E713C">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color w:val="000000"/>
                <w:szCs w:val="18"/>
              </w:rPr>
              <w:t xml:space="preserve">10,000 - </w:t>
            </w:r>
            <w:r w:rsidRPr="00B275E2">
              <w:rPr>
                <w:rFonts w:cs="Calibri"/>
                <w:szCs w:val="18"/>
              </w:rPr>
              <w:t>&lt;</w:t>
            </w:r>
            <w:r w:rsidRPr="00B275E2">
              <w:rPr>
                <w:rFonts w:cs="Calibri"/>
                <w:color w:val="000000"/>
                <w:szCs w:val="18"/>
              </w:rPr>
              <w:t xml:space="preserve">12,000 kg </w:t>
            </w:r>
          </w:p>
        </w:tc>
        <w:tc>
          <w:tcPr>
            <w:tcW w:w="708" w:type="dxa"/>
          </w:tcPr>
          <w:p w14:paraId="65513F04" w14:textId="6C436B78" w:rsidR="00AD277B" w:rsidRPr="00B275E2" w:rsidRDefault="00AD277B" w:rsidP="008E713C">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km</w:t>
            </w:r>
          </w:p>
        </w:tc>
        <w:tc>
          <w:tcPr>
            <w:tcW w:w="1276" w:type="dxa"/>
            <w:shd w:val="clear" w:color="auto" w:fill="D2DDE1" w:themeFill="background2"/>
          </w:tcPr>
          <w:p w14:paraId="78EB72E9" w14:textId="17C9AB72" w:rsidR="00AD277B" w:rsidRPr="00B275E2" w:rsidRDefault="004F19A8" w:rsidP="008E713C">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0.596</w:t>
            </w:r>
          </w:p>
        </w:tc>
        <w:tc>
          <w:tcPr>
            <w:tcW w:w="1134" w:type="dxa"/>
            <w:shd w:val="clear" w:color="000000" w:fill="FFFFFF"/>
          </w:tcPr>
          <w:p w14:paraId="7BA45B83" w14:textId="2EC2F993" w:rsidR="00AD277B" w:rsidRPr="00B275E2" w:rsidRDefault="00620BE6" w:rsidP="008E713C">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0.588</w:t>
            </w:r>
          </w:p>
        </w:tc>
        <w:tc>
          <w:tcPr>
            <w:tcW w:w="1134" w:type="dxa"/>
            <w:shd w:val="clear" w:color="000000" w:fill="FFFFFF"/>
          </w:tcPr>
          <w:p w14:paraId="6B57AEFE" w14:textId="5BE4AD7F" w:rsidR="00AD277B" w:rsidRPr="00B275E2" w:rsidRDefault="00AD277B" w:rsidP="008E713C">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0.0008</w:t>
            </w:r>
          </w:p>
        </w:tc>
        <w:tc>
          <w:tcPr>
            <w:tcW w:w="1110" w:type="dxa"/>
            <w:tcBorders>
              <w:right w:val="single" w:sz="4" w:space="0" w:color="FFFFFF" w:themeColor="background1"/>
            </w:tcBorders>
            <w:shd w:val="clear" w:color="000000" w:fill="FFFFFF"/>
          </w:tcPr>
          <w:p w14:paraId="1DE13099" w14:textId="08ED48FC" w:rsidR="00AD277B" w:rsidRPr="00B275E2" w:rsidRDefault="00AD277B" w:rsidP="008E713C">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w:t>
            </w:r>
            <w:r w:rsidR="00D000B1" w:rsidRPr="00B275E2">
              <w:rPr>
                <w:rFonts w:cs="Calibri"/>
                <w:szCs w:val="18"/>
              </w:rPr>
              <w:t>09</w:t>
            </w:r>
          </w:p>
        </w:tc>
      </w:tr>
      <w:tr w:rsidR="0037476A" w:rsidRPr="00B275E2" w14:paraId="455BD939" w14:textId="77777777" w:rsidTr="003552D5">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FFFFFF" w:themeColor="background1"/>
            </w:tcBorders>
          </w:tcPr>
          <w:p w14:paraId="4B750C76" w14:textId="77777777" w:rsidR="00AD277B" w:rsidRPr="00B275E2" w:rsidRDefault="00AD277B" w:rsidP="008E713C">
            <w:pPr>
              <w:pStyle w:val="TableText"/>
              <w:spacing w:before="40" w:after="40"/>
              <w:rPr>
                <w:rFonts w:cs="Calibri"/>
                <w:szCs w:val="18"/>
              </w:rPr>
            </w:pPr>
          </w:p>
        </w:tc>
        <w:tc>
          <w:tcPr>
            <w:tcW w:w="1831" w:type="dxa"/>
            <w:shd w:val="clear" w:color="auto" w:fill="auto"/>
          </w:tcPr>
          <w:p w14:paraId="646BDAAA" w14:textId="18FFC3A4" w:rsidR="00AD277B" w:rsidRPr="00B275E2" w:rsidRDefault="00AD277B" w:rsidP="008E713C">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color w:val="000000"/>
                <w:szCs w:val="18"/>
              </w:rPr>
              <w:t xml:space="preserve">12,000 - </w:t>
            </w:r>
            <w:r w:rsidRPr="00B275E2">
              <w:rPr>
                <w:rFonts w:cs="Calibri"/>
                <w:szCs w:val="18"/>
              </w:rPr>
              <w:t>&lt;</w:t>
            </w:r>
            <w:r w:rsidRPr="00B275E2">
              <w:rPr>
                <w:rFonts w:cs="Calibri"/>
                <w:color w:val="000000"/>
                <w:szCs w:val="18"/>
              </w:rPr>
              <w:t xml:space="preserve">15,000 kg </w:t>
            </w:r>
          </w:p>
        </w:tc>
        <w:tc>
          <w:tcPr>
            <w:tcW w:w="708" w:type="dxa"/>
          </w:tcPr>
          <w:p w14:paraId="18B096C2" w14:textId="77965367" w:rsidR="00AD277B" w:rsidRPr="00B275E2" w:rsidRDefault="00AD277B" w:rsidP="008E713C">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km</w:t>
            </w:r>
          </w:p>
        </w:tc>
        <w:tc>
          <w:tcPr>
            <w:tcW w:w="1276" w:type="dxa"/>
            <w:shd w:val="clear" w:color="auto" w:fill="D2DDE1" w:themeFill="background2"/>
          </w:tcPr>
          <w:p w14:paraId="499452A3" w14:textId="12159117" w:rsidR="00AD277B" w:rsidRPr="00B275E2" w:rsidRDefault="004F19A8" w:rsidP="008E713C">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0.678</w:t>
            </w:r>
          </w:p>
        </w:tc>
        <w:tc>
          <w:tcPr>
            <w:tcW w:w="1134" w:type="dxa"/>
            <w:shd w:val="clear" w:color="000000" w:fill="FFFFFF"/>
          </w:tcPr>
          <w:p w14:paraId="5A331FF7" w14:textId="606BD2E8" w:rsidR="00AD277B" w:rsidRPr="00B275E2" w:rsidRDefault="00D000B1" w:rsidP="008E713C">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0.668</w:t>
            </w:r>
          </w:p>
        </w:tc>
        <w:tc>
          <w:tcPr>
            <w:tcW w:w="1134" w:type="dxa"/>
            <w:shd w:val="clear" w:color="000000" w:fill="FFFFFF"/>
          </w:tcPr>
          <w:p w14:paraId="765E1E05" w14:textId="1AAEA507" w:rsidR="00AD277B" w:rsidRPr="00B275E2" w:rsidRDefault="00AD277B" w:rsidP="008E713C">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0.0009</w:t>
            </w:r>
          </w:p>
        </w:tc>
        <w:tc>
          <w:tcPr>
            <w:tcW w:w="1110" w:type="dxa"/>
            <w:tcBorders>
              <w:right w:val="single" w:sz="4" w:space="0" w:color="FFFFFF" w:themeColor="background1"/>
            </w:tcBorders>
            <w:shd w:val="clear" w:color="000000" w:fill="FFFFFF"/>
          </w:tcPr>
          <w:p w14:paraId="13B2971C" w14:textId="38FDD0CA" w:rsidR="00AD277B" w:rsidRPr="00B275E2" w:rsidRDefault="00AD277B" w:rsidP="008E713C">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0.011</w:t>
            </w:r>
          </w:p>
        </w:tc>
      </w:tr>
      <w:tr w:rsidR="0037476A" w:rsidRPr="00B275E2" w14:paraId="0A6DAD6C" w14:textId="77777777" w:rsidTr="003552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FFFFFF" w:themeColor="background1"/>
            </w:tcBorders>
          </w:tcPr>
          <w:p w14:paraId="6FA9478E" w14:textId="77777777" w:rsidR="00AD277B" w:rsidRPr="00B275E2" w:rsidRDefault="00AD277B" w:rsidP="008E713C">
            <w:pPr>
              <w:pStyle w:val="TableText"/>
              <w:spacing w:before="40" w:after="40"/>
              <w:rPr>
                <w:rFonts w:cs="Calibri"/>
                <w:szCs w:val="18"/>
              </w:rPr>
            </w:pPr>
          </w:p>
        </w:tc>
        <w:tc>
          <w:tcPr>
            <w:tcW w:w="1831" w:type="dxa"/>
            <w:shd w:val="clear" w:color="auto" w:fill="auto"/>
          </w:tcPr>
          <w:p w14:paraId="4C2B0959" w14:textId="5CE3151B" w:rsidR="00AD277B" w:rsidRPr="00B275E2" w:rsidRDefault="00AD277B" w:rsidP="008E713C">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color w:val="000000"/>
                <w:szCs w:val="18"/>
              </w:rPr>
              <w:t xml:space="preserve">15,000 - </w:t>
            </w:r>
            <w:r w:rsidRPr="00B275E2">
              <w:rPr>
                <w:rFonts w:cs="Calibri"/>
                <w:szCs w:val="18"/>
              </w:rPr>
              <w:t>&lt;</w:t>
            </w:r>
            <w:r w:rsidRPr="00B275E2">
              <w:rPr>
                <w:rFonts w:cs="Calibri"/>
                <w:color w:val="000000"/>
                <w:szCs w:val="18"/>
              </w:rPr>
              <w:t xml:space="preserve">20,000 kg </w:t>
            </w:r>
          </w:p>
        </w:tc>
        <w:tc>
          <w:tcPr>
            <w:tcW w:w="708" w:type="dxa"/>
          </w:tcPr>
          <w:p w14:paraId="2A12716D" w14:textId="1AA46AC1" w:rsidR="00AD277B" w:rsidRPr="00B275E2" w:rsidRDefault="00AD277B" w:rsidP="008E713C">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km</w:t>
            </w:r>
          </w:p>
        </w:tc>
        <w:tc>
          <w:tcPr>
            <w:tcW w:w="1276" w:type="dxa"/>
            <w:shd w:val="clear" w:color="auto" w:fill="D2DDE1" w:themeFill="background2"/>
          </w:tcPr>
          <w:p w14:paraId="20963120" w14:textId="2386E6EC" w:rsidR="00AD277B" w:rsidRPr="00B275E2" w:rsidRDefault="004F19A8" w:rsidP="008E713C">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0.893</w:t>
            </w:r>
          </w:p>
        </w:tc>
        <w:tc>
          <w:tcPr>
            <w:tcW w:w="1134" w:type="dxa"/>
            <w:shd w:val="clear" w:color="000000" w:fill="FFFFFF"/>
          </w:tcPr>
          <w:p w14:paraId="3CE759E3" w14:textId="0955C102" w:rsidR="00AD277B" w:rsidRPr="00B275E2" w:rsidRDefault="00D000B1" w:rsidP="008E713C">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0.879</w:t>
            </w:r>
          </w:p>
        </w:tc>
        <w:tc>
          <w:tcPr>
            <w:tcW w:w="1134" w:type="dxa"/>
            <w:shd w:val="clear" w:color="000000" w:fill="FFFFFF"/>
          </w:tcPr>
          <w:p w14:paraId="12703B53" w14:textId="3EF16EBF" w:rsidR="00AD277B" w:rsidRPr="00B275E2" w:rsidRDefault="00AD277B" w:rsidP="008E713C">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0.0012</w:t>
            </w:r>
          </w:p>
        </w:tc>
        <w:tc>
          <w:tcPr>
            <w:tcW w:w="1110" w:type="dxa"/>
            <w:tcBorders>
              <w:right w:val="single" w:sz="4" w:space="0" w:color="FFFFFF" w:themeColor="background1"/>
            </w:tcBorders>
            <w:shd w:val="clear" w:color="000000" w:fill="FFFFFF"/>
          </w:tcPr>
          <w:p w14:paraId="76A09B2B" w14:textId="4F326B1B" w:rsidR="00AD277B" w:rsidRPr="00B275E2" w:rsidRDefault="00AD277B" w:rsidP="008E713C">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0.014</w:t>
            </w:r>
          </w:p>
        </w:tc>
      </w:tr>
      <w:tr w:rsidR="0037476A" w:rsidRPr="00B275E2" w14:paraId="0EC2765C" w14:textId="77777777" w:rsidTr="003552D5">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FFFFFF" w:themeColor="background1"/>
            </w:tcBorders>
          </w:tcPr>
          <w:p w14:paraId="2CA2B1D2" w14:textId="77777777" w:rsidR="00AD277B" w:rsidRPr="00B275E2" w:rsidRDefault="00AD277B" w:rsidP="008E713C">
            <w:pPr>
              <w:pStyle w:val="TableText"/>
              <w:spacing w:before="40" w:after="40"/>
              <w:rPr>
                <w:rFonts w:cs="Calibri"/>
                <w:szCs w:val="18"/>
              </w:rPr>
            </w:pPr>
          </w:p>
        </w:tc>
        <w:tc>
          <w:tcPr>
            <w:tcW w:w="1831" w:type="dxa"/>
            <w:shd w:val="clear" w:color="auto" w:fill="auto"/>
          </w:tcPr>
          <w:p w14:paraId="788C97DB" w14:textId="107343A3" w:rsidR="00AD277B" w:rsidRPr="00B275E2" w:rsidRDefault="00AD277B" w:rsidP="008E713C">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color w:val="000000"/>
                <w:szCs w:val="18"/>
              </w:rPr>
              <w:t xml:space="preserve">20,000 - </w:t>
            </w:r>
            <w:r w:rsidRPr="00B275E2">
              <w:rPr>
                <w:rFonts w:cs="Calibri"/>
                <w:szCs w:val="18"/>
              </w:rPr>
              <w:t>&lt;</w:t>
            </w:r>
            <w:r w:rsidRPr="00B275E2">
              <w:rPr>
                <w:rFonts w:cs="Calibri"/>
                <w:color w:val="000000"/>
                <w:szCs w:val="18"/>
              </w:rPr>
              <w:t xml:space="preserve">25,000 kg </w:t>
            </w:r>
          </w:p>
        </w:tc>
        <w:tc>
          <w:tcPr>
            <w:tcW w:w="708" w:type="dxa"/>
          </w:tcPr>
          <w:p w14:paraId="44AAB334" w14:textId="17EF91F2" w:rsidR="00AD277B" w:rsidRPr="00B275E2" w:rsidRDefault="00AD277B" w:rsidP="008E713C">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km</w:t>
            </w:r>
          </w:p>
        </w:tc>
        <w:tc>
          <w:tcPr>
            <w:tcW w:w="1276" w:type="dxa"/>
            <w:shd w:val="clear" w:color="auto" w:fill="D2DDE1" w:themeFill="background2"/>
          </w:tcPr>
          <w:p w14:paraId="63A9BB76" w14:textId="39DA11F7" w:rsidR="00AD277B" w:rsidRPr="00B275E2" w:rsidRDefault="004F19A8" w:rsidP="008E713C">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1.188</w:t>
            </w:r>
          </w:p>
        </w:tc>
        <w:tc>
          <w:tcPr>
            <w:tcW w:w="1134" w:type="dxa"/>
            <w:shd w:val="clear" w:color="000000" w:fill="FFFFFF"/>
          </w:tcPr>
          <w:p w14:paraId="01899B73" w14:textId="7DEFF8F5" w:rsidR="00AD277B" w:rsidRPr="00B275E2" w:rsidRDefault="00D000B1" w:rsidP="008E713C">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1.171</w:t>
            </w:r>
          </w:p>
        </w:tc>
        <w:tc>
          <w:tcPr>
            <w:tcW w:w="1134" w:type="dxa"/>
            <w:shd w:val="clear" w:color="000000" w:fill="FFFFFF"/>
          </w:tcPr>
          <w:p w14:paraId="171D4EBD" w14:textId="7A2ED319" w:rsidR="00AD277B" w:rsidRPr="00B275E2" w:rsidRDefault="00AD277B" w:rsidP="008E713C">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0.001</w:t>
            </w:r>
            <w:r w:rsidR="00D000B1" w:rsidRPr="00B275E2">
              <w:rPr>
                <w:rFonts w:cs="Calibri"/>
                <w:szCs w:val="18"/>
              </w:rPr>
              <w:t>6</w:t>
            </w:r>
          </w:p>
        </w:tc>
        <w:tc>
          <w:tcPr>
            <w:tcW w:w="1110" w:type="dxa"/>
            <w:tcBorders>
              <w:right w:val="single" w:sz="4" w:space="0" w:color="FFFFFF" w:themeColor="background1"/>
            </w:tcBorders>
            <w:shd w:val="clear" w:color="000000" w:fill="FFFFFF"/>
          </w:tcPr>
          <w:p w14:paraId="5A6278D5" w14:textId="71656F46" w:rsidR="00AD277B" w:rsidRPr="00B275E2" w:rsidRDefault="00AD277B" w:rsidP="008E713C">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w:t>
            </w:r>
            <w:r w:rsidR="001E7E47" w:rsidRPr="00B275E2">
              <w:rPr>
                <w:rFonts w:cs="Calibri"/>
                <w:szCs w:val="18"/>
              </w:rPr>
              <w:t>19</w:t>
            </w:r>
          </w:p>
        </w:tc>
      </w:tr>
      <w:tr w:rsidR="0037476A" w:rsidRPr="00B275E2" w14:paraId="38ADA447" w14:textId="77777777" w:rsidTr="003552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FFFFFF" w:themeColor="background1"/>
            </w:tcBorders>
          </w:tcPr>
          <w:p w14:paraId="554363AA" w14:textId="77777777" w:rsidR="00AD277B" w:rsidRPr="00B275E2" w:rsidRDefault="00AD277B" w:rsidP="008E713C">
            <w:pPr>
              <w:pStyle w:val="TableText"/>
              <w:spacing w:before="40" w:after="40"/>
              <w:rPr>
                <w:rFonts w:cs="Calibri"/>
                <w:szCs w:val="18"/>
              </w:rPr>
            </w:pPr>
          </w:p>
        </w:tc>
        <w:tc>
          <w:tcPr>
            <w:tcW w:w="1831" w:type="dxa"/>
            <w:shd w:val="clear" w:color="auto" w:fill="auto"/>
          </w:tcPr>
          <w:p w14:paraId="15534C19" w14:textId="5B2663E7" w:rsidR="00AD277B" w:rsidRPr="00B275E2" w:rsidRDefault="00AD277B" w:rsidP="008E713C">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color w:val="000000"/>
                <w:szCs w:val="18"/>
              </w:rPr>
              <w:t xml:space="preserve">25,000 - </w:t>
            </w:r>
            <w:r w:rsidRPr="00B275E2">
              <w:rPr>
                <w:rFonts w:cs="Calibri"/>
                <w:szCs w:val="18"/>
              </w:rPr>
              <w:t>&lt;</w:t>
            </w:r>
            <w:r w:rsidRPr="00B275E2">
              <w:rPr>
                <w:rFonts w:cs="Calibri"/>
                <w:color w:val="000000"/>
                <w:szCs w:val="18"/>
              </w:rPr>
              <w:t xml:space="preserve">30,000 kg </w:t>
            </w:r>
          </w:p>
        </w:tc>
        <w:tc>
          <w:tcPr>
            <w:tcW w:w="708" w:type="dxa"/>
          </w:tcPr>
          <w:p w14:paraId="379B1EAB" w14:textId="40CE7DA2" w:rsidR="00AD277B" w:rsidRPr="00B275E2" w:rsidRDefault="00AD277B" w:rsidP="008E713C">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km</w:t>
            </w:r>
          </w:p>
        </w:tc>
        <w:tc>
          <w:tcPr>
            <w:tcW w:w="1276" w:type="dxa"/>
            <w:shd w:val="clear" w:color="auto" w:fill="D2DDE1" w:themeFill="background2"/>
          </w:tcPr>
          <w:p w14:paraId="54F459D1" w14:textId="5B6AC0BF" w:rsidR="00AD277B" w:rsidRPr="00B275E2" w:rsidRDefault="004F19A8" w:rsidP="008E713C">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1.372</w:t>
            </w:r>
          </w:p>
        </w:tc>
        <w:tc>
          <w:tcPr>
            <w:tcW w:w="1134" w:type="dxa"/>
            <w:shd w:val="clear" w:color="000000" w:fill="FFFFFF"/>
          </w:tcPr>
          <w:p w14:paraId="3D267CA5" w14:textId="29714404" w:rsidR="00AD277B" w:rsidRPr="00B275E2" w:rsidRDefault="001E7E47" w:rsidP="008E713C">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1.352</w:t>
            </w:r>
          </w:p>
        </w:tc>
        <w:tc>
          <w:tcPr>
            <w:tcW w:w="1134" w:type="dxa"/>
            <w:shd w:val="clear" w:color="000000" w:fill="FFFFFF"/>
          </w:tcPr>
          <w:p w14:paraId="088897FE" w14:textId="794B251E" w:rsidR="00AD277B" w:rsidRPr="00B275E2" w:rsidRDefault="00AD277B" w:rsidP="008E713C">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0.001</w:t>
            </w:r>
            <w:r w:rsidR="001E7E47" w:rsidRPr="00B275E2">
              <w:rPr>
                <w:rFonts w:cs="Calibri"/>
                <w:szCs w:val="18"/>
              </w:rPr>
              <w:t>8</w:t>
            </w:r>
          </w:p>
        </w:tc>
        <w:tc>
          <w:tcPr>
            <w:tcW w:w="1110" w:type="dxa"/>
            <w:tcBorders>
              <w:right w:val="single" w:sz="4" w:space="0" w:color="FFFFFF" w:themeColor="background1"/>
            </w:tcBorders>
            <w:shd w:val="clear" w:color="000000" w:fill="FFFFFF"/>
          </w:tcPr>
          <w:p w14:paraId="7B3B9AC6" w14:textId="52DBDDAB" w:rsidR="00AD277B" w:rsidRPr="00B275E2" w:rsidRDefault="00AD277B" w:rsidP="008E713C">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0.02</w:t>
            </w:r>
            <w:r w:rsidR="001E7E47" w:rsidRPr="00B275E2">
              <w:rPr>
                <w:rFonts w:cs="Calibri"/>
                <w:szCs w:val="18"/>
              </w:rPr>
              <w:t>2</w:t>
            </w:r>
          </w:p>
        </w:tc>
      </w:tr>
      <w:tr w:rsidR="0037476A" w:rsidRPr="00B275E2" w14:paraId="4B3857B9" w14:textId="77777777" w:rsidTr="003552D5">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FFFFFF" w:themeColor="background1"/>
            </w:tcBorders>
          </w:tcPr>
          <w:p w14:paraId="7884057E" w14:textId="77777777" w:rsidR="00AD277B" w:rsidRPr="00B275E2" w:rsidRDefault="00AD277B" w:rsidP="008E713C">
            <w:pPr>
              <w:pStyle w:val="TableText"/>
              <w:spacing w:before="40" w:after="40"/>
              <w:rPr>
                <w:rFonts w:cs="Calibri"/>
                <w:szCs w:val="18"/>
              </w:rPr>
            </w:pPr>
          </w:p>
        </w:tc>
        <w:tc>
          <w:tcPr>
            <w:tcW w:w="1831" w:type="dxa"/>
            <w:shd w:val="clear" w:color="auto" w:fill="auto"/>
          </w:tcPr>
          <w:p w14:paraId="7BD39A79" w14:textId="584556CA" w:rsidR="00AD277B" w:rsidRPr="00B275E2" w:rsidRDefault="00AD277B" w:rsidP="008E713C">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color w:val="000000"/>
                <w:szCs w:val="18"/>
              </w:rPr>
              <w:t xml:space="preserve">≥30,000 kg </w:t>
            </w:r>
          </w:p>
        </w:tc>
        <w:tc>
          <w:tcPr>
            <w:tcW w:w="708" w:type="dxa"/>
          </w:tcPr>
          <w:p w14:paraId="7FD9FCC7" w14:textId="260F1307" w:rsidR="00AD277B" w:rsidRPr="00B275E2" w:rsidRDefault="00AD277B" w:rsidP="008E713C">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km</w:t>
            </w:r>
          </w:p>
        </w:tc>
        <w:tc>
          <w:tcPr>
            <w:tcW w:w="1276" w:type="dxa"/>
            <w:shd w:val="clear" w:color="auto" w:fill="D2DDE1" w:themeFill="background2"/>
          </w:tcPr>
          <w:p w14:paraId="68C362FD" w14:textId="57D3C701" w:rsidR="00AD277B" w:rsidRPr="00B275E2" w:rsidRDefault="004F19A8" w:rsidP="008E713C">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1.446</w:t>
            </w:r>
          </w:p>
        </w:tc>
        <w:tc>
          <w:tcPr>
            <w:tcW w:w="1134" w:type="dxa"/>
            <w:shd w:val="clear" w:color="000000" w:fill="FFFFFF"/>
          </w:tcPr>
          <w:p w14:paraId="2AB97820" w14:textId="7286620D" w:rsidR="00AD277B" w:rsidRPr="00B275E2" w:rsidRDefault="001E7E47" w:rsidP="008E713C">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1.424</w:t>
            </w:r>
          </w:p>
        </w:tc>
        <w:tc>
          <w:tcPr>
            <w:tcW w:w="1134" w:type="dxa"/>
            <w:shd w:val="clear" w:color="000000" w:fill="FFFFFF"/>
          </w:tcPr>
          <w:p w14:paraId="284232E7" w14:textId="185A5B3A" w:rsidR="00AD277B" w:rsidRPr="00B275E2" w:rsidRDefault="00AD277B" w:rsidP="008E713C">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0.0019</w:t>
            </w:r>
          </w:p>
        </w:tc>
        <w:tc>
          <w:tcPr>
            <w:tcW w:w="1110" w:type="dxa"/>
            <w:tcBorders>
              <w:right w:val="single" w:sz="4" w:space="0" w:color="FFFFFF" w:themeColor="background1"/>
            </w:tcBorders>
            <w:shd w:val="clear" w:color="000000" w:fill="FFFFFF"/>
          </w:tcPr>
          <w:p w14:paraId="0EA78224" w14:textId="5D6A8587" w:rsidR="00AD277B" w:rsidRPr="00B275E2" w:rsidRDefault="00AD277B" w:rsidP="008E713C">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0.023</w:t>
            </w:r>
          </w:p>
        </w:tc>
      </w:tr>
    </w:tbl>
    <w:p w14:paraId="65092717" w14:textId="6865CCA4" w:rsidR="005A5863" w:rsidRPr="00B275E2" w:rsidRDefault="00D96201" w:rsidP="007F0B1E">
      <w:pPr>
        <w:pStyle w:val="Note"/>
      </w:pPr>
      <w:r w:rsidRPr="00B275E2">
        <w:t>Note</w:t>
      </w:r>
      <w:r w:rsidR="00DE1128" w:rsidRPr="00B275E2">
        <w:t>: T</w:t>
      </w:r>
      <w:r w:rsidRPr="00B275E2">
        <w:t xml:space="preserve">hese numbers are rounded to three </w:t>
      </w:r>
      <w:r w:rsidR="002011A6" w:rsidRPr="00B275E2">
        <w:t xml:space="preserve">decimal places </w:t>
      </w:r>
      <w:r w:rsidRPr="00B275E2">
        <w:t xml:space="preserve">unless the number is significantly small. </w:t>
      </w:r>
    </w:p>
    <w:p w14:paraId="65092718" w14:textId="491095FC" w:rsidR="00EC122D" w:rsidRPr="00B275E2" w:rsidRDefault="00EB4389" w:rsidP="008E713C">
      <w:pPr>
        <w:pStyle w:val="Tableheading"/>
      </w:pPr>
      <w:bookmarkStart w:id="474" w:name="_Toc111536662"/>
      <w:r w:rsidRPr="00B275E2">
        <w:t xml:space="preserve">Table </w:t>
      </w:r>
      <w:r w:rsidRPr="00B275E2">
        <w:fldChar w:fldCharType="begin"/>
      </w:r>
      <w:r w:rsidRPr="00B275E2">
        <w:instrText>SEQ Table \* ARABIC</w:instrText>
      </w:r>
      <w:r w:rsidRPr="00B275E2">
        <w:fldChar w:fldCharType="separate"/>
      </w:r>
      <w:r>
        <w:rPr>
          <w:noProof/>
        </w:rPr>
        <w:t>57</w:t>
      </w:r>
      <w:r w:rsidRPr="00B275E2">
        <w:fldChar w:fldCharType="end"/>
      </w:r>
      <w:r w:rsidRPr="00B275E2">
        <w:t>:</w:t>
      </w:r>
      <w:r w:rsidRPr="00B275E2">
        <w:tab/>
      </w:r>
      <w:r w:rsidR="00EC122D" w:rsidRPr="00B275E2">
        <w:t>Emission factors for heavy goods vehicles manufactured between 2010</w:t>
      </w:r>
      <w:r w:rsidR="00DD6397" w:rsidRPr="00B275E2">
        <w:t xml:space="preserve"> and</w:t>
      </w:r>
      <w:r w:rsidR="00C50F82" w:rsidRPr="00B275E2">
        <w:t> </w:t>
      </w:r>
      <w:r w:rsidR="00EC122D" w:rsidRPr="00B275E2">
        <w:t>2015</w:t>
      </w:r>
      <w:bookmarkEnd w:id="474"/>
    </w:p>
    <w:tbl>
      <w:tblPr>
        <w:tblStyle w:val="TableGrid"/>
        <w:tblW w:w="8505"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ayout w:type="fixed"/>
        <w:tblLook w:val="04A0" w:firstRow="1" w:lastRow="0" w:firstColumn="1" w:lastColumn="0" w:noHBand="0" w:noVBand="1"/>
      </w:tblPr>
      <w:tblGrid>
        <w:gridCol w:w="1464"/>
        <w:gridCol w:w="1717"/>
        <w:gridCol w:w="679"/>
        <w:gridCol w:w="1275"/>
        <w:gridCol w:w="1089"/>
        <w:gridCol w:w="1170"/>
        <w:gridCol w:w="1111"/>
      </w:tblGrid>
      <w:tr w:rsidR="006051EF" w:rsidRPr="00B275E2" w14:paraId="6509271F" w14:textId="77777777" w:rsidTr="008E713C">
        <w:trPr>
          <w:tblHeader/>
        </w:trPr>
        <w:tc>
          <w:tcPr>
            <w:tcW w:w="3184" w:type="dxa"/>
            <w:gridSpan w:val="2"/>
            <w:shd w:val="clear" w:color="auto" w:fill="1C556C" w:themeFill="accent1"/>
            <w:noWrap/>
            <w:vAlign w:val="bottom"/>
            <w:hideMark/>
          </w:tcPr>
          <w:p w14:paraId="65092719" w14:textId="77777777" w:rsidR="006051EF" w:rsidRPr="00B275E2" w:rsidRDefault="006051EF" w:rsidP="007F0B1E">
            <w:pPr>
              <w:pStyle w:val="TableText"/>
              <w:spacing w:before="50" w:after="50"/>
              <w:rPr>
                <w:rFonts w:cs="Calibri"/>
                <w:b/>
                <w:color w:val="FFFFFF" w:themeColor="background1"/>
                <w:szCs w:val="18"/>
              </w:rPr>
            </w:pPr>
            <w:r w:rsidRPr="00B275E2">
              <w:rPr>
                <w:rFonts w:cs="Calibri"/>
                <w:b/>
                <w:color w:val="FFFFFF" w:themeColor="background1"/>
                <w:szCs w:val="18"/>
              </w:rPr>
              <w:t>Emission source</w:t>
            </w:r>
          </w:p>
        </w:tc>
        <w:tc>
          <w:tcPr>
            <w:tcW w:w="680" w:type="dxa"/>
            <w:shd w:val="clear" w:color="auto" w:fill="1C556C" w:themeFill="accent1"/>
            <w:noWrap/>
            <w:vAlign w:val="bottom"/>
            <w:hideMark/>
          </w:tcPr>
          <w:p w14:paraId="6509271A" w14:textId="77777777" w:rsidR="006051EF" w:rsidRPr="00B275E2" w:rsidRDefault="006051EF" w:rsidP="007F0B1E">
            <w:pPr>
              <w:pStyle w:val="TableText"/>
              <w:spacing w:before="50" w:after="50"/>
              <w:rPr>
                <w:rFonts w:cs="Calibri"/>
                <w:b/>
                <w:color w:val="FFFFFF" w:themeColor="background1"/>
                <w:szCs w:val="18"/>
              </w:rPr>
            </w:pPr>
            <w:r w:rsidRPr="00B275E2">
              <w:rPr>
                <w:rFonts w:cs="Calibri"/>
                <w:b/>
                <w:color w:val="FFFFFF" w:themeColor="background1"/>
                <w:szCs w:val="18"/>
              </w:rPr>
              <w:t>Unit</w:t>
            </w:r>
          </w:p>
        </w:tc>
        <w:tc>
          <w:tcPr>
            <w:tcW w:w="1276" w:type="dxa"/>
            <w:shd w:val="clear" w:color="auto" w:fill="D2DDE1" w:themeFill="background2"/>
            <w:noWrap/>
            <w:vAlign w:val="bottom"/>
            <w:hideMark/>
          </w:tcPr>
          <w:p w14:paraId="6509271B" w14:textId="25CF9AB5" w:rsidR="006051EF" w:rsidRPr="00B275E2" w:rsidRDefault="006051EF" w:rsidP="007F0B1E">
            <w:pPr>
              <w:pStyle w:val="TableText"/>
              <w:spacing w:before="50" w:after="50"/>
              <w:jc w:val="right"/>
              <w:rPr>
                <w:rFonts w:cs="Calibri"/>
                <w:b/>
                <w:szCs w:val="18"/>
              </w:rPr>
            </w:pPr>
            <w:r w:rsidRPr="00B275E2">
              <w:rPr>
                <w:rFonts w:cs="Calibri"/>
                <w:b/>
                <w:szCs w:val="18"/>
              </w:rPr>
              <w:t>kg CO</w:t>
            </w:r>
            <w:r w:rsidRPr="00B275E2">
              <w:rPr>
                <w:rFonts w:cs="Calibri"/>
                <w:b/>
                <w:szCs w:val="18"/>
                <w:vertAlign w:val="subscript"/>
              </w:rPr>
              <w:t>2</w:t>
            </w:r>
            <w:r w:rsidRPr="00B275E2">
              <w:rPr>
                <w:rFonts w:cs="Calibri"/>
                <w:b/>
                <w:szCs w:val="18"/>
              </w:rPr>
              <w:t>-e/unit</w:t>
            </w:r>
          </w:p>
        </w:tc>
        <w:tc>
          <w:tcPr>
            <w:tcW w:w="1090" w:type="dxa"/>
            <w:shd w:val="clear" w:color="auto" w:fill="1C556C" w:themeFill="accent1"/>
            <w:noWrap/>
            <w:vAlign w:val="bottom"/>
            <w:hideMark/>
          </w:tcPr>
          <w:p w14:paraId="6509271C" w14:textId="6E5C797C" w:rsidR="006051EF" w:rsidRPr="00B275E2" w:rsidRDefault="006051EF" w:rsidP="007F0B1E">
            <w:pPr>
              <w:pStyle w:val="TableText"/>
              <w:spacing w:before="50" w:after="50"/>
              <w:jc w:val="right"/>
              <w:rPr>
                <w:rFonts w:cs="Calibri"/>
                <w:b/>
                <w:color w:val="FFFFFF" w:themeColor="background1"/>
                <w:szCs w:val="18"/>
              </w:rPr>
            </w:pPr>
            <w:r w:rsidRPr="00B275E2">
              <w:rPr>
                <w:rFonts w:cs="Calibri"/>
                <w:b/>
                <w:color w:val="FFFFFF" w:themeColor="background1"/>
                <w:szCs w:val="18"/>
              </w:rPr>
              <w:t>kg CO</w:t>
            </w:r>
            <w:r w:rsidRPr="00B275E2">
              <w:rPr>
                <w:rFonts w:cs="Calibri"/>
                <w:b/>
                <w:color w:val="FFFFFF" w:themeColor="background1"/>
                <w:szCs w:val="18"/>
                <w:vertAlign w:val="subscript"/>
              </w:rPr>
              <w:t>2</w:t>
            </w:r>
            <w:r w:rsidRPr="00B275E2">
              <w:rPr>
                <w:rFonts w:cs="Calibri"/>
                <w:b/>
                <w:color w:val="FFFFFF" w:themeColor="background1"/>
                <w:szCs w:val="18"/>
              </w:rPr>
              <w:t>/unit</w:t>
            </w:r>
            <w:r w:rsidR="00851C79" w:rsidRPr="00B275E2">
              <w:rPr>
                <w:rFonts w:cs="Calibri"/>
                <w:b/>
                <w:color w:val="FFFFFF" w:themeColor="background1"/>
                <w:szCs w:val="18"/>
              </w:rPr>
              <w:t xml:space="preserve"> (kg CO</w:t>
            </w:r>
            <w:r w:rsidR="00851C79" w:rsidRPr="00B275E2">
              <w:rPr>
                <w:rFonts w:cs="Calibri"/>
                <w:b/>
                <w:color w:val="FFFFFF" w:themeColor="background1"/>
                <w:szCs w:val="18"/>
                <w:vertAlign w:val="subscript"/>
              </w:rPr>
              <w:t>2</w:t>
            </w:r>
            <w:r w:rsidR="00851C79" w:rsidRPr="00B275E2">
              <w:rPr>
                <w:rFonts w:cs="Calibri"/>
                <w:b/>
                <w:color w:val="FFFFFF" w:themeColor="background1"/>
                <w:szCs w:val="18"/>
              </w:rPr>
              <w:noBreakHyphen/>
              <w:t>e)</w:t>
            </w:r>
          </w:p>
        </w:tc>
        <w:tc>
          <w:tcPr>
            <w:tcW w:w="1171" w:type="dxa"/>
            <w:shd w:val="clear" w:color="auto" w:fill="1C556C" w:themeFill="accent1"/>
            <w:noWrap/>
            <w:vAlign w:val="bottom"/>
            <w:hideMark/>
          </w:tcPr>
          <w:p w14:paraId="6509271D" w14:textId="78232079" w:rsidR="006051EF" w:rsidRPr="00B275E2" w:rsidRDefault="00851C79" w:rsidP="007F0B1E">
            <w:pPr>
              <w:pStyle w:val="TableText"/>
              <w:spacing w:before="50" w:after="50"/>
              <w:jc w:val="right"/>
              <w:rPr>
                <w:rFonts w:cs="Calibri"/>
                <w:b/>
                <w:color w:val="FFFFFF" w:themeColor="background1"/>
                <w:szCs w:val="18"/>
              </w:rPr>
            </w:pPr>
            <w:r w:rsidRPr="00B275E2">
              <w:rPr>
                <w:rFonts w:cs="Calibri"/>
                <w:b/>
                <w:color w:val="FFFFFF" w:themeColor="background1"/>
                <w:szCs w:val="18"/>
              </w:rPr>
              <w:t xml:space="preserve">kg </w:t>
            </w:r>
            <w:r w:rsidR="006051EF" w:rsidRPr="00B275E2">
              <w:rPr>
                <w:rFonts w:cs="Calibri"/>
                <w:b/>
                <w:color w:val="FFFFFF" w:themeColor="background1"/>
                <w:szCs w:val="18"/>
              </w:rPr>
              <w:t>CH</w:t>
            </w:r>
            <w:r w:rsidR="006051EF" w:rsidRPr="00B275E2">
              <w:rPr>
                <w:rFonts w:cs="Calibri"/>
                <w:b/>
                <w:color w:val="FFFFFF" w:themeColor="background1"/>
                <w:szCs w:val="18"/>
                <w:vertAlign w:val="subscript"/>
              </w:rPr>
              <w:t>4</w:t>
            </w:r>
            <w:r w:rsidRPr="00B275E2">
              <w:rPr>
                <w:rFonts w:cs="Calibri"/>
                <w:b/>
                <w:color w:val="FFFFFF" w:themeColor="background1"/>
                <w:szCs w:val="18"/>
              </w:rPr>
              <w:t>/unit</w:t>
            </w:r>
            <w:r w:rsidR="006051EF" w:rsidRPr="00B275E2">
              <w:rPr>
                <w:rFonts w:cs="Calibri"/>
                <w:b/>
                <w:color w:val="FFFFFF" w:themeColor="background1"/>
                <w:szCs w:val="18"/>
              </w:rPr>
              <w:t xml:space="preserve"> (kg CO</w:t>
            </w:r>
            <w:r w:rsidR="006051EF" w:rsidRPr="00B275E2">
              <w:rPr>
                <w:rFonts w:cs="Calibri"/>
                <w:b/>
                <w:color w:val="FFFFFF" w:themeColor="background1"/>
                <w:szCs w:val="18"/>
                <w:vertAlign w:val="subscript"/>
              </w:rPr>
              <w:t>2</w:t>
            </w:r>
            <w:r w:rsidR="006051EF" w:rsidRPr="00B275E2">
              <w:rPr>
                <w:rFonts w:cs="Calibri"/>
                <w:b/>
                <w:color w:val="FFFFFF" w:themeColor="background1"/>
                <w:szCs w:val="18"/>
              </w:rPr>
              <w:noBreakHyphen/>
              <w:t>e)</w:t>
            </w:r>
          </w:p>
        </w:tc>
        <w:tc>
          <w:tcPr>
            <w:tcW w:w="1112" w:type="dxa"/>
            <w:shd w:val="clear" w:color="auto" w:fill="1C556C" w:themeFill="accent1"/>
            <w:noWrap/>
            <w:vAlign w:val="bottom"/>
            <w:hideMark/>
          </w:tcPr>
          <w:p w14:paraId="6509271E" w14:textId="6297C524" w:rsidR="006051EF" w:rsidRPr="00B275E2" w:rsidRDefault="00851C79" w:rsidP="007F0B1E">
            <w:pPr>
              <w:pStyle w:val="TableText"/>
              <w:spacing w:before="50" w:after="50"/>
              <w:jc w:val="right"/>
              <w:rPr>
                <w:rFonts w:cs="Calibri"/>
                <w:b/>
                <w:color w:val="FFFFFF" w:themeColor="background1"/>
                <w:szCs w:val="18"/>
              </w:rPr>
            </w:pPr>
            <w:r w:rsidRPr="00B275E2">
              <w:rPr>
                <w:rFonts w:cs="Calibri"/>
                <w:b/>
                <w:color w:val="FFFFFF" w:themeColor="background1"/>
                <w:szCs w:val="18"/>
              </w:rPr>
              <w:t xml:space="preserve">kg </w:t>
            </w:r>
            <w:r w:rsidR="006051EF" w:rsidRPr="00B275E2">
              <w:rPr>
                <w:rFonts w:cs="Calibri"/>
                <w:b/>
                <w:color w:val="FFFFFF" w:themeColor="background1"/>
                <w:szCs w:val="18"/>
              </w:rPr>
              <w:t>N</w:t>
            </w:r>
            <w:r w:rsidR="006051EF" w:rsidRPr="00B275E2">
              <w:rPr>
                <w:rFonts w:cs="Calibri"/>
                <w:b/>
                <w:color w:val="FFFFFF" w:themeColor="background1"/>
                <w:szCs w:val="18"/>
                <w:vertAlign w:val="subscript"/>
              </w:rPr>
              <w:t>2</w:t>
            </w:r>
            <w:r w:rsidR="006051EF" w:rsidRPr="00B275E2">
              <w:rPr>
                <w:rFonts w:cs="Calibri"/>
                <w:b/>
                <w:color w:val="FFFFFF" w:themeColor="background1"/>
                <w:szCs w:val="18"/>
              </w:rPr>
              <w:t>O</w:t>
            </w:r>
            <w:r w:rsidRPr="00B275E2">
              <w:rPr>
                <w:rFonts w:cs="Calibri"/>
                <w:b/>
                <w:color w:val="FFFFFF" w:themeColor="background1"/>
                <w:szCs w:val="18"/>
              </w:rPr>
              <w:t>/unit</w:t>
            </w:r>
            <w:r w:rsidR="006051EF" w:rsidRPr="00B275E2">
              <w:rPr>
                <w:rFonts w:cs="Calibri"/>
                <w:b/>
                <w:color w:val="FFFFFF" w:themeColor="background1"/>
                <w:szCs w:val="18"/>
              </w:rPr>
              <w:t xml:space="preserve"> (kg CO</w:t>
            </w:r>
            <w:r w:rsidR="006051EF" w:rsidRPr="00B275E2">
              <w:rPr>
                <w:rFonts w:cs="Calibri"/>
                <w:b/>
                <w:color w:val="FFFFFF" w:themeColor="background1"/>
                <w:szCs w:val="18"/>
                <w:vertAlign w:val="subscript"/>
              </w:rPr>
              <w:t>2</w:t>
            </w:r>
            <w:r w:rsidR="006051EF" w:rsidRPr="00B275E2">
              <w:rPr>
                <w:rFonts w:cs="Calibri"/>
                <w:b/>
                <w:color w:val="FFFFFF" w:themeColor="background1"/>
                <w:szCs w:val="18"/>
              </w:rPr>
              <w:noBreakHyphen/>
            </w:r>
            <w:r w:rsidRPr="00B275E2">
              <w:rPr>
                <w:rFonts w:cs="Calibri"/>
                <w:b/>
                <w:color w:val="FFFFFF" w:themeColor="background1"/>
                <w:szCs w:val="18"/>
              </w:rPr>
              <w:t>e)</w:t>
            </w:r>
          </w:p>
        </w:tc>
      </w:tr>
      <w:tr w:rsidR="006A68C6" w:rsidRPr="00B275E2" w14:paraId="65092727" w14:textId="77777777" w:rsidTr="008E713C">
        <w:tc>
          <w:tcPr>
            <w:tcW w:w="1465" w:type="dxa"/>
            <w:vMerge w:val="restart"/>
          </w:tcPr>
          <w:p w14:paraId="65092720" w14:textId="2BBC3D46" w:rsidR="006A68C6" w:rsidRPr="00B275E2" w:rsidRDefault="006A68C6" w:rsidP="007F0B1E">
            <w:pPr>
              <w:pStyle w:val="TableText"/>
              <w:spacing w:before="50" w:after="50"/>
              <w:rPr>
                <w:rFonts w:cs="Calibri"/>
                <w:szCs w:val="18"/>
              </w:rPr>
            </w:pPr>
            <w:r w:rsidRPr="00B275E2">
              <w:rPr>
                <w:rFonts w:cs="Calibri"/>
                <w:szCs w:val="18"/>
              </w:rPr>
              <w:t>HGV diesel</w:t>
            </w:r>
          </w:p>
        </w:tc>
        <w:tc>
          <w:tcPr>
            <w:tcW w:w="1719" w:type="dxa"/>
            <w:shd w:val="clear" w:color="auto" w:fill="auto"/>
            <w:noWrap/>
          </w:tcPr>
          <w:p w14:paraId="65092721" w14:textId="5A649793" w:rsidR="006A68C6" w:rsidRPr="00B275E2" w:rsidRDefault="006A68C6" w:rsidP="007F0B1E">
            <w:pPr>
              <w:pStyle w:val="TableText"/>
              <w:spacing w:before="50" w:after="50"/>
              <w:rPr>
                <w:rFonts w:cs="Calibri"/>
                <w:szCs w:val="18"/>
              </w:rPr>
            </w:pPr>
            <w:r w:rsidRPr="00B275E2">
              <w:rPr>
                <w:rFonts w:cs="Calibri"/>
                <w:color w:val="000000"/>
                <w:szCs w:val="18"/>
              </w:rPr>
              <w:t xml:space="preserve">&lt;5,000 kg </w:t>
            </w:r>
          </w:p>
        </w:tc>
        <w:tc>
          <w:tcPr>
            <w:tcW w:w="680" w:type="dxa"/>
            <w:shd w:val="clear" w:color="auto" w:fill="auto"/>
            <w:noWrap/>
            <w:vAlign w:val="bottom"/>
          </w:tcPr>
          <w:p w14:paraId="65092722" w14:textId="77777777" w:rsidR="006A68C6" w:rsidRPr="00B275E2" w:rsidRDefault="006A68C6" w:rsidP="007F0B1E">
            <w:pPr>
              <w:pStyle w:val="TableText"/>
              <w:spacing w:before="50" w:after="50"/>
              <w:rPr>
                <w:rFonts w:cs="Calibri"/>
                <w:szCs w:val="18"/>
              </w:rPr>
            </w:pPr>
            <w:r w:rsidRPr="00B275E2">
              <w:rPr>
                <w:rFonts w:cs="Calibri"/>
                <w:szCs w:val="18"/>
              </w:rPr>
              <w:t>km</w:t>
            </w:r>
          </w:p>
        </w:tc>
        <w:tc>
          <w:tcPr>
            <w:tcW w:w="1276" w:type="dxa"/>
            <w:shd w:val="clear" w:color="auto" w:fill="D2DDE1" w:themeFill="background2"/>
            <w:noWrap/>
          </w:tcPr>
          <w:p w14:paraId="65092723" w14:textId="687B256D" w:rsidR="006A68C6" w:rsidRPr="00B275E2" w:rsidRDefault="00A76903" w:rsidP="007F0B1E">
            <w:pPr>
              <w:pStyle w:val="TableText"/>
              <w:spacing w:before="50" w:after="50"/>
              <w:jc w:val="right"/>
              <w:rPr>
                <w:rFonts w:cs="Calibri"/>
                <w:szCs w:val="18"/>
              </w:rPr>
            </w:pPr>
            <w:r w:rsidRPr="00B275E2">
              <w:rPr>
                <w:rFonts w:cs="Calibri"/>
                <w:szCs w:val="18"/>
              </w:rPr>
              <w:t>0.423</w:t>
            </w:r>
          </w:p>
        </w:tc>
        <w:tc>
          <w:tcPr>
            <w:tcW w:w="1090" w:type="dxa"/>
            <w:shd w:val="clear" w:color="000000" w:fill="FFFFFF"/>
            <w:noWrap/>
          </w:tcPr>
          <w:p w14:paraId="65092724" w14:textId="5757C154" w:rsidR="006A68C6" w:rsidRPr="00B275E2" w:rsidRDefault="00A76903" w:rsidP="007F0B1E">
            <w:pPr>
              <w:pStyle w:val="TableText"/>
              <w:spacing w:before="50" w:after="50"/>
              <w:jc w:val="right"/>
              <w:rPr>
                <w:rFonts w:cs="Calibri"/>
                <w:szCs w:val="18"/>
              </w:rPr>
            </w:pPr>
            <w:r w:rsidRPr="00B275E2">
              <w:rPr>
                <w:rFonts w:cs="Calibri"/>
                <w:szCs w:val="18"/>
              </w:rPr>
              <w:t>0.416</w:t>
            </w:r>
          </w:p>
        </w:tc>
        <w:tc>
          <w:tcPr>
            <w:tcW w:w="1171" w:type="dxa"/>
            <w:shd w:val="clear" w:color="000000" w:fill="FFFFFF"/>
            <w:noWrap/>
          </w:tcPr>
          <w:p w14:paraId="65092725" w14:textId="4A6387D4" w:rsidR="006A68C6" w:rsidRPr="00B275E2" w:rsidRDefault="006A68C6" w:rsidP="007F0B1E">
            <w:pPr>
              <w:pStyle w:val="TableText"/>
              <w:spacing w:before="50" w:after="50"/>
              <w:jc w:val="right"/>
              <w:rPr>
                <w:rFonts w:cs="Calibri"/>
                <w:szCs w:val="18"/>
              </w:rPr>
            </w:pPr>
            <w:r w:rsidRPr="00B275E2">
              <w:rPr>
                <w:rFonts w:cs="Calibri"/>
                <w:szCs w:val="18"/>
              </w:rPr>
              <w:t>0.001</w:t>
            </w:r>
          </w:p>
        </w:tc>
        <w:tc>
          <w:tcPr>
            <w:tcW w:w="1112" w:type="dxa"/>
            <w:shd w:val="clear" w:color="000000" w:fill="FFFFFF"/>
            <w:noWrap/>
          </w:tcPr>
          <w:p w14:paraId="65092726" w14:textId="5CA0A195" w:rsidR="006A68C6" w:rsidRPr="00B275E2" w:rsidRDefault="006A68C6" w:rsidP="007F0B1E">
            <w:pPr>
              <w:pStyle w:val="TableText"/>
              <w:spacing w:before="50" w:after="50"/>
              <w:jc w:val="right"/>
              <w:rPr>
                <w:rFonts w:cs="Calibri"/>
                <w:szCs w:val="18"/>
              </w:rPr>
            </w:pPr>
            <w:r w:rsidRPr="00B275E2">
              <w:rPr>
                <w:rFonts w:cs="Calibri"/>
                <w:szCs w:val="18"/>
              </w:rPr>
              <w:t>0.00</w:t>
            </w:r>
            <w:r w:rsidR="00A76903" w:rsidRPr="00B275E2">
              <w:rPr>
                <w:rFonts w:cs="Calibri"/>
                <w:szCs w:val="18"/>
              </w:rPr>
              <w:t>7</w:t>
            </w:r>
          </w:p>
        </w:tc>
      </w:tr>
      <w:tr w:rsidR="006A68C6" w:rsidRPr="00B275E2" w14:paraId="6509272F" w14:textId="77777777" w:rsidTr="008E713C">
        <w:tc>
          <w:tcPr>
            <w:tcW w:w="1465" w:type="dxa"/>
            <w:vMerge/>
          </w:tcPr>
          <w:p w14:paraId="65092728" w14:textId="77777777" w:rsidR="006A68C6" w:rsidRPr="00B275E2" w:rsidRDefault="006A68C6" w:rsidP="007F0B1E">
            <w:pPr>
              <w:pStyle w:val="TableText"/>
              <w:spacing w:before="50" w:after="50"/>
              <w:rPr>
                <w:rFonts w:cs="Calibri"/>
                <w:szCs w:val="18"/>
              </w:rPr>
            </w:pPr>
          </w:p>
        </w:tc>
        <w:tc>
          <w:tcPr>
            <w:tcW w:w="1719" w:type="dxa"/>
            <w:shd w:val="clear" w:color="auto" w:fill="auto"/>
            <w:noWrap/>
          </w:tcPr>
          <w:p w14:paraId="65092729" w14:textId="07FEFEB7" w:rsidR="006A68C6" w:rsidRPr="00B275E2" w:rsidRDefault="006A68C6" w:rsidP="007F0B1E">
            <w:pPr>
              <w:pStyle w:val="TableText"/>
              <w:spacing w:before="50" w:after="50"/>
              <w:rPr>
                <w:rFonts w:cs="Calibri"/>
                <w:szCs w:val="18"/>
              </w:rPr>
            </w:pPr>
            <w:r w:rsidRPr="00B275E2">
              <w:rPr>
                <w:rFonts w:cs="Calibri"/>
                <w:color w:val="000000"/>
                <w:szCs w:val="18"/>
              </w:rPr>
              <w:t xml:space="preserve">5,000 - </w:t>
            </w:r>
            <w:r w:rsidRPr="00B275E2">
              <w:rPr>
                <w:rFonts w:cs="Calibri"/>
                <w:szCs w:val="18"/>
              </w:rPr>
              <w:t>&lt;</w:t>
            </w:r>
            <w:r w:rsidRPr="00B275E2">
              <w:rPr>
                <w:rFonts w:cs="Calibri"/>
                <w:color w:val="000000"/>
                <w:szCs w:val="18"/>
              </w:rPr>
              <w:t xml:space="preserve">7,500 kg </w:t>
            </w:r>
          </w:p>
        </w:tc>
        <w:tc>
          <w:tcPr>
            <w:tcW w:w="680" w:type="dxa"/>
            <w:shd w:val="clear" w:color="auto" w:fill="auto"/>
            <w:noWrap/>
            <w:vAlign w:val="bottom"/>
          </w:tcPr>
          <w:p w14:paraId="6509272A" w14:textId="77777777" w:rsidR="006A68C6" w:rsidRPr="00B275E2" w:rsidRDefault="006A68C6" w:rsidP="007F0B1E">
            <w:pPr>
              <w:pStyle w:val="TableText"/>
              <w:spacing w:before="50" w:after="50"/>
              <w:rPr>
                <w:rFonts w:cs="Calibri"/>
                <w:szCs w:val="18"/>
              </w:rPr>
            </w:pPr>
            <w:r w:rsidRPr="00B275E2">
              <w:rPr>
                <w:rFonts w:cs="Calibri"/>
                <w:szCs w:val="18"/>
              </w:rPr>
              <w:t>km</w:t>
            </w:r>
          </w:p>
        </w:tc>
        <w:tc>
          <w:tcPr>
            <w:tcW w:w="1276" w:type="dxa"/>
            <w:shd w:val="clear" w:color="auto" w:fill="D2DDE1" w:themeFill="background2"/>
            <w:noWrap/>
          </w:tcPr>
          <w:p w14:paraId="6509272B" w14:textId="246866CE" w:rsidR="006A68C6" w:rsidRPr="00B275E2" w:rsidRDefault="00A76903" w:rsidP="007F0B1E">
            <w:pPr>
              <w:pStyle w:val="TableText"/>
              <w:spacing w:before="50" w:after="50"/>
              <w:jc w:val="right"/>
              <w:rPr>
                <w:rFonts w:cs="Calibri"/>
                <w:szCs w:val="18"/>
              </w:rPr>
            </w:pPr>
            <w:r w:rsidRPr="00B275E2">
              <w:rPr>
                <w:rFonts w:cs="Calibri"/>
                <w:szCs w:val="18"/>
              </w:rPr>
              <w:t>0.484</w:t>
            </w:r>
          </w:p>
        </w:tc>
        <w:tc>
          <w:tcPr>
            <w:tcW w:w="1090" w:type="dxa"/>
            <w:shd w:val="clear" w:color="000000" w:fill="FFFFFF"/>
            <w:noWrap/>
          </w:tcPr>
          <w:p w14:paraId="6509272C" w14:textId="543CAD20" w:rsidR="006A68C6" w:rsidRPr="00B275E2" w:rsidRDefault="00A76903" w:rsidP="007F0B1E">
            <w:pPr>
              <w:pStyle w:val="TableText"/>
              <w:spacing w:before="50" w:after="50"/>
              <w:jc w:val="right"/>
              <w:rPr>
                <w:rFonts w:cs="Calibri"/>
                <w:szCs w:val="18"/>
              </w:rPr>
            </w:pPr>
            <w:r w:rsidRPr="00B275E2">
              <w:rPr>
                <w:rFonts w:cs="Calibri"/>
                <w:szCs w:val="18"/>
              </w:rPr>
              <w:t>0.477</w:t>
            </w:r>
          </w:p>
        </w:tc>
        <w:tc>
          <w:tcPr>
            <w:tcW w:w="1171" w:type="dxa"/>
            <w:shd w:val="clear" w:color="000000" w:fill="FFFFFF"/>
            <w:noWrap/>
          </w:tcPr>
          <w:p w14:paraId="6509272D" w14:textId="37F7165A" w:rsidR="006A68C6" w:rsidRPr="00B275E2" w:rsidRDefault="006A68C6" w:rsidP="007F0B1E">
            <w:pPr>
              <w:pStyle w:val="TableText"/>
              <w:spacing w:before="50" w:after="50"/>
              <w:jc w:val="right"/>
              <w:rPr>
                <w:rFonts w:cs="Calibri"/>
                <w:szCs w:val="18"/>
              </w:rPr>
            </w:pPr>
            <w:r w:rsidRPr="00B275E2">
              <w:rPr>
                <w:rFonts w:cs="Calibri"/>
                <w:szCs w:val="18"/>
              </w:rPr>
              <w:t>0.001</w:t>
            </w:r>
          </w:p>
        </w:tc>
        <w:tc>
          <w:tcPr>
            <w:tcW w:w="1112" w:type="dxa"/>
            <w:shd w:val="clear" w:color="000000" w:fill="FFFFFF"/>
            <w:noWrap/>
          </w:tcPr>
          <w:p w14:paraId="6509272E" w14:textId="36CA789F" w:rsidR="006A68C6" w:rsidRPr="00B275E2" w:rsidRDefault="006A68C6" w:rsidP="007F0B1E">
            <w:pPr>
              <w:pStyle w:val="TableText"/>
              <w:spacing w:before="50" w:after="50"/>
              <w:jc w:val="right"/>
              <w:rPr>
                <w:rFonts w:cs="Calibri"/>
                <w:szCs w:val="18"/>
              </w:rPr>
            </w:pPr>
            <w:r w:rsidRPr="00B275E2">
              <w:rPr>
                <w:rFonts w:cs="Calibri"/>
                <w:szCs w:val="18"/>
              </w:rPr>
              <w:t>0.00</w:t>
            </w:r>
            <w:r w:rsidR="00A76903" w:rsidRPr="00B275E2">
              <w:rPr>
                <w:rFonts w:cs="Calibri"/>
                <w:szCs w:val="18"/>
              </w:rPr>
              <w:t>8</w:t>
            </w:r>
          </w:p>
        </w:tc>
      </w:tr>
      <w:tr w:rsidR="006A68C6" w:rsidRPr="00B275E2" w14:paraId="65092737" w14:textId="77777777" w:rsidTr="008E713C">
        <w:tc>
          <w:tcPr>
            <w:tcW w:w="1465" w:type="dxa"/>
            <w:vMerge/>
          </w:tcPr>
          <w:p w14:paraId="65092730" w14:textId="77777777" w:rsidR="006A68C6" w:rsidRPr="00B275E2" w:rsidRDefault="006A68C6" w:rsidP="007F0B1E">
            <w:pPr>
              <w:pStyle w:val="TableText"/>
              <w:spacing w:before="50" w:after="50"/>
              <w:rPr>
                <w:rFonts w:cs="Calibri"/>
                <w:szCs w:val="18"/>
              </w:rPr>
            </w:pPr>
          </w:p>
        </w:tc>
        <w:tc>
          <w:tcPr>
            <w:tcW w:w="1719" w:type="dxa"/>
            <w:shd w:val="clear" w:color="auto" w:fill="auto"/>
            <w:noWrap/>
          </w:tcPr>
          <w:p w14:paraId="65092731" w14:textId="3E9ABCAA" w:rsidR="006A68C6" w:rsidRPr="00B275E2" w:rsidRDefault="006A68C6" w:rsidP="007F0B1E">
            <w:pPr>
              <w:pStyle w:val="TableText"/>
              <w:spacing w:before="50" w:after="50"/>
              <w:rPr>
                <w:rFonts w:cs="Calibri"/>
                <w:szCs w:val="18"/>
              </w:rPr>
            </w:pPr>
            <w:r w:rsidRPr="00B275E2">
              <w:rPr>
                <w:rFonts w:cs="Calibri"/>
                <w:color w:val="000000"/>
                <w:szCs w:val="18"/>
              </w:rPr>
              <w:t xml:space="preserve">7,500 - </w:t>
            </w:r>
            <w:r w:rsidRPr="00B275E2">
              <w:rPr>
                <w:rFonts w:cs="Calibri"/>
                <w:szCs w:val="18"/>
              </w:rPr>
              <w:t>&lt;</w:t>
            </w:r>
            <w:r w:rsidRPr="00B275E2">
              <w:rPr>
                <w:rFonts w:cs="Calibri"/>
                <w:color w:val="000000"/>
                <w:szCs w:val="18"/>
              </w:rPr>
              <w:t>10,000 kg</w:t>
            </w:r>
          </w:p>
        </w:tc>
        <w:tc>
          <w:tcPr>
            <w:tcW w:w="680" w:type="dxa"/>
            <w:shd w:val="clear" w:color="auto" w:fill="auto"/>
            <w:noWrap/>
            <w:vAlign w:val="bottom"/>
          </w:tcPr>
          <w:p w14:paraId="65092732" w14:textId="77777777" w:rsidR="006A68C6" w:rsidRPr="00B275E2" w:rsidRDefault="006A68C6" w:rsidP="007F0B1E">
            <w:pPr>
              <w:pStyle w:val="TableText"/>
              <w:spacing w:before="50" w:after="50"/>
              <w:rPr>
                <w:rFonts w:cs="Calibri"/>
                <w:szCs w:val="18"/>
              </w:rPr>
            </w:pPr>
            <w:r w:rsidRPr="00B275E2">
              <w:rPr>
                <w:rFonts w:cs="Calibri"/>
                <w:szCs w:val="18"/>
              </w:rPr>
              <w:t>km</w:t>
            </w:r>
          </w:p>
        </w:tc>
        <w:tc>
          <w:tcPr>
            <w:tcW w:w="1276" w:type="dxa"/>
            <w:shd w:val="clear" w:color="auto" w:fill="D2DDE1" w:themeFill="background2"/>
            <w:noWrap/>
          </w:tcPr>
          <w:p w14:paraId="65092733" w14:textId="108236FE" w:rsidR="006A68C6" w:rsidRPr="00B275E2" w:rsidRDefault="00A76903" w:rsidP="007F0B1E">
            <w:pPr>
              <w:pStyle w:val="TableText"/>
              <w:spacing w:before="50" w:after="50"/>
              <w:jc w:val="right"/>
              <w:rPr>
                <w:rFonts w:cs="Calibri"/>
                <w:szCs w:val="18"/>
              </w:rPr>
            </w:pPr>
            <w:r w:rsidRPr="00B275E2">
              <w:rPr>
                <w:rFonts w:cs="Calibri"/>
                <w:szCs w:val="18"/>
              </w:rPr>
              <w:t>0.592</w:t>
            </w:r>
          </w:p>
        </w:tc>
        <w:tc>
          <w:tcPr>
            <w:tcW w:w="1090" w:type="dxa"/>
            <w:shd w:val="clear" w:color="000000" w:fill="FFFFFF"/>
            <w:noWrap/>
          </w:tcPr>
          <w:p w14:paraId="65092734" w14:textId="6E846FD5" w:rsidR="006A68C6" w:rsidRPr="00B275E2" w:rsidRDefault="00A76903" w:rsidP="007F0B1E">
            <w:pPr>
              <w:pStyle w:val="TableText"/>
              <w:spacing w:before="50" w:after="50"/>
              <w:jc w:val="right"/>
              <w:rPr>
                <w:rFonts w:cs="Calibri"/>
                <w:szCs w:val="18"/>
              </w:rPr>
            </w:pPr>
            <w:r w:rsidRPr="00B275E2">
              <w:rPr>
                <w:rFonts w:cs="Calibri"/>
                <w:szCs w:val="18"/>
              </w:rPr>
              <w:t>0.583</w:t>
            </w:r>
          </w:p>
        </w:tc>
        <w:tc>
          <w:tcPr>
            <w:tcW w:w="1171" w:type="dxa"/>
            <w:shd w:val="clear" w:color="000000" w:fill="FFFFFF"/>
            <w:noWrap/>
          </w:tcPr>
          <w:p w14:paraId="65092735" w14:textId="168F829C" w:rsidR="006A68C6" w:rsidRPr="00B275E2" w:rsidRDefault="006A68C6" w:rsidP="007F0B1E">
            <w:pPr>
              <w:pStyle w:val="TableText"/>
              <w:spacing w:before="50" w:after="50"/>
              <w:jc w:val="right"/>
              <w:rPr>
                <w:rFonts w:cs="Calibri"/>
                <w:szCs w:val="18"/>
              </w:rPr>
            </w:pPr>
            <w:r w:rsidRPr="00B275E2">
              <w:rPr>
                <w:rFonts w:cs="Calibri"/>
                <w:szCs w:val="18"/>
              </w:rPr>
              <w:t>0.001</w:t>
            </w:r>
          </w:p>
        </w:tc>
        <w:tc>
          <w:tcPr>
            <w:tcW w:w="1112" w:type="dxa"/>
            <w:shd w:val="clear" w:color="000000" w:fill="FFFFFF"/>
            <w:noWrap/>
          </w:tcPr>
          <w:p w14:paraId="65092736" w14:textId="69C33C1B" w:rsidR="006A68C6" w:rsidRPr="00B275E2" w:rsidRDefault="006A68C6" w:rsidP="007F0B1E">
            <w:pPr>
              <w:pStyle w:val="TableText"/>
              <w:spacing w:before="50" w:after="50"/>
              <w:jc w:val="right"/>
              <w:rPr>
                <w:rFonts w:cs="Calibri"/>
                <w:szCs w:val="18"/>
              </w:rPr>
            </w:pPr>
            <w:r w:rsidRPr="00B275E2">
              <w:rPr>
                <w:rFonts w:cs="Calibri"/>
                <w:szCs w:val="18"/>
              </w:rPr>
              <w:t>0.0</w:t>
            </w:r>
            <w:r w:rsidR="00A76903" w:rsidRPr="00B275E2">
              <w:rPr>
                <w:rFonts w:cs="Calibri"/>
                <w:szCs w:val="18"/>
              </w:rPr>
              <w:t>09</w:t>
            </w:r>
          </w:p>
        </w:tc>
      </w:tr>
      <w:tr w:rsidR="006A68C6" w:rsidRPr="00B275E2" w14:paraId="6509273F" w14:textId="77777777" w:rsidTr="008E713C">
        <w:tc>
          <w:tcPr>
            <w:tcW w:w="1465" w:type="dxa"/>
            <w:vMerge/>
          </w:tcPr>
          <w:p w14:paraId="65092738" w14:textId="77777777" w:rsidR="006A68C6" w:rsidRPr="00B275E2" w:rsidRDefault="006A68C6" w:rsidP="007F0B1E">
            <w:pPr>
              <w:pStyle w:val="TableText"/>
              <w:spacing w:before="50" w:after="50"/>
              <w:rPr>
                <w:rFonts w:cs="Calibri"/>
                <w:szCs w:val="18"/>
              </w:rPr>
            </w:pPr>
          </w:p>
        </w:tc>
        <w:tc>
          <w:tcPr>
            <w:tcW w:w="1719" w:type="dxa"/>
            <w:shd w:val="clear" w:color="auto" w:fill="auto"/>
            <w:noWrap/>
          </w:tcPr>
          <w:p w14:paraId="65092739" w14:textId="3BDE3390" w:rsidR="006A68C6" w:rsidRPr="00B275E2" w:rsidRDefault="006A68C6" w:rsidP="007F0B1E">
            <w:pPr>
              <w:pStyle w:val="TableText"/>
              <w:spacing w:before="50" w:after="50"/>
              <w:rPr>
                <w:rFonts w:cs="Calibri"/>
                <w:szCs w:val="18"/>
              </w:rPr>
            </w:pPr>
            <w:r w:rsidRPr="00B275E2">
              <w:rPr>
                <w:rFonts w:cs="Calibri"/>
                <w:color w:val="000000"/>
                <w:szCs w:val="18"/>
              </w:rPr>
              <w:t xml:space="preserve">10,000 - </w:t>
            </w:r>
            <w:r w:rsidRPr="00B275E2">
              <w:rPr>
                <w:rFonts w:cs="Calibri"/>
                <w:szCs w:val="18"/>
              </w:rPr>
              <w:t>&lt;</w:t>
            </w:r>
            <w:r w:rsidRPr="00B275E2">
              <w:rPr>
                <w:rFonts w:cs="Calibri"/>
                <w:color w:val="000000"/>
                <w:szCs w:val="18"/>
              </w:rPr>
              <w:t xml:space="preserve">12,000 kg </w:t>
            </w:r>
          </w:p>
        </w:tc>
        <w:tc>
          <w:tcPr>
            <w:tcW w:w="680" w:type="dxa"/>
            <w:shd w:val="clear" w:color="auto" w:fill="auto"/>
            <w:noWrap/>
            <w:vAlign w:val="bottom"/>
          </w:tcPr>
          <w:p w14:paraId="6509273A" w14:textId="77777777" w:rsidR="006A68C6" w:rsidRPr="00B275E2" w:rsidRDefault="006A68C6" w:rsidP="007F0B1E">
            <w:pPr>
              <w:pStyle w:val="TableText"/>
              <w:spacing w:before="50" w:after="50"/>
              <w:rPr>
                <w:rFonts w:cs="Calibri"/>
                <w:szCs w:val="18"/>
              </w:rPr>
            </w:pPr>
            <w:r w:rsidRPr="00B275E2">
              <w:rPr>
                <w:rFonts w:cs="Calibri"/>
                <w:szCs w:val="18"/>
              </w:rPr>
              <w:t>km</w:t>
            </w:r>
          </w:p>
        </w:tc>
        <w:tc>
          <w:tcPr>
            <w:tcW w:w="1276" w:type="dxa"/>
            <w:shd w:val="clear" w:color="auto" w:fill="D2DDE1" w:themeFill="background2"/>
            <w:noWrap/>
          </w:tcPr>
          <w:p w14:paraId="6509273B" w14:textId="01E5D039" w:rsidR="006A68C6" w:rsidRPr="00B275E2" w:rsidRDefault="00520F08" w:rsidP="007F0B1E">
            <w:pPr>
              <w:pStyle w:val="TableText"/>
              <w:spacing w:before="50" w:after="50"/>
              <w:jc w:val="right"/>
              <w:rPr>
                <w:rFonts w:cs="Calibri"/>
                <w:szCs w:val="18"/>
              </w:rPr>
            </w:pPr>
            <w:r w:rsidRPr="00B275E2">
              <w:rPr>
                <w:rFonts w:cs="Calibri"/>
                <w:szCs w:val="18"/>
              </w:rPr>
              <w:t>0.702</w:t>
            </w:r>
          </w:p>
        </w:tc>
        <w:tc>
          <w:tcPr>
            <w:tcW w:w="1090" w:type="dxa"/>
            <w:shd w:val="clear" w:color="000000" w:fill="FFFFFF"/>
            <w:noWrap/>
          </w:tcPr>
          <w:p w14:paraId="6509273C" w14:textId="6871CA36" w:rsidR="006A68C6" w:rsidRPr="00B275E2" w:rsidRDefault="00520F08" w:rsidP="007F0B1E">
            <w:pPr>
              <w:pStyle w:val="TableText"/>
              <w:spacing w:before="50" w:after="50"/>
              <w:jc w:val="right"/>
              <w:rPr>
                <w:rFonts w:cs="Calibri"/>
                <w:szCs w:val="18"/>
              </w:rPr>
            </w:pPr>
            <w:r w:rsidRPr="00B275E2">
              <w:rPr>
                <w:rFonts w:cs="Calibri"/>
                <w:szCs w:val="18"/>
              </w:rPr>
              <w:t>0.692</w:t>
            </w:r>
          </w:p>
        </w:tc>
        <w:tc>
          <w:tcPr>
            <w:tcW w:w="1171" w:type="dxa"/>
            <w:shd w:val="clear" w:color="000000" w:fill="FFFFFF"/>
            <w:noWrap/>
          </w:tcPr>
          <w:p w14:paraId="6509273D" w14:textId="6B9B727D" w:rsidR="006A68C6" w:rsidRPr="00B275E2" w:rsidRDefault="006A68C6" w:rsidP="007F0B1E">
            <w:pPr>
              <w:pStyle w:val="TableText"/>
              <w:spacing w:before="50" w:after="50"/>
              <w:jc w:val="right"/>
              <w:rPr>
                <w:rFonts w:cs="Calibri"/>
                <w:szCs w:val="18"/>
              </w:rPr>
            </w:pPr>
            <w:r w:rsidRPr="00B275E2">
              <w:rPr>
                <w:rFonts w:cs="Calibri"/>
                <w:szCs w:val="18"/>
              </w:rPr>
              <w:t>0.001</w:t>
            </w:r>
          </w:p>
        </w:tc>
        <w:tc>
          <w:tcPr>
            <w:tcW w:w="1112" w:type="dxa"/>
            <w:shd w:val="clear" w:color="000000" w:fill="FFFFFF"/>
            <w:noWrap/>
          </w:tcPr>
          <w:p w14:paraId="6509273E" w14:textId="45841E32" w:rsidR="006A68C6" w:rsidRPr="00B275E2" w:rsidRDefault="006A68C6" w:rsidP="007F0B1E">
            <w:pPr>
              <w:pStyle w:val="TableText"/>
              <w:spacing w:before="50" w:after="50"/>
              <w:jc w:val="right"/>
              <w:rPr>
                <w:rFonts w:cs="Calibri"/>
                <w:szCs w:val="18"/>
              </w:rPr>
            </w:pPr>
            <w:r w:rsidRPr="00B275E2">
              <w:rPr>
                <w:rFonts w:cs="Calibri"/>
                <w:szCs w:val="18"/>
              </w:rPr>
              <w:t>0.011</w:t>
            </w:r>
          </w:p>
        </w:tc>
      </w:tr>
      <w:tr w:rsidR="006A68C6" w:rsidRPr="00B275E2" w14:paraId="65092747" w14:textId="77777777" w:rsidTr="008E713C">
        <w:tc>
          <w:tcPr>
            <w:tcW w:w="1465" w:type="dxa"/>
            <w:vMerge/>
          </w:tcPr>
          <w:p w14:paraId="65092740" w14:textId="77777777" w:rsidR="006A68C6" w:rsidRPr="00B275E2" w:rsidRDefault="006A68C6" w:rsidP="007F0B1E">
            <w:pPr>
              <w:pStyle w:val="TableText"/>
              <w:spacing w:before="50" w:after="50"/>
              <w:rPr>
                <w:rFonts w:cs="Calibri"/>
                <w:szCs w:val="18"/>
              </w:rPr>
            </w:pPr>
          </w:p>
        </w:tc>
        <w:tc>
          <w:tcPr>
            <w:tcW w:w="1719" w:type="dxa"/>
            <w:shd w:val="clear" w:color="auto" w:fill="auto"/>
            <w:noWrap/>
          </w:tcPr>
          <w:p w14:paraId="65092741" w14:textId="211BDF47" w:rsidR="006A68C6" w:rsidRPr="00B275E2" w:rsidRDefault="006A68C6" w:rsidP="007F0B1E">
            <w:pPr>
              <w:pStyle w:val="TableText"/>
              <w:spacing w:before="50" w:after="50"/>
              <w:rPr>
                <w:rFonts w:cs="Calibri"/>
                <w:szCs w:val="18"/>
              </w:rPr>
            </w:pPr>
            <w:r w:rsidRPr="00B275E2">
              <w:rPr>
                <w:rFonts w:cs="Calibri"/>
                <w:color w:val="000000"/>
                <w:szCs w:val="18"/>
              </w:rPr>
              <w:t xml:space="preserve">12,000 - </w:t>
            </w:r>
            <w:r w:rsidRPr="00B275E2">
              <w:rPr>
                <w:rFonts w:cs="Calibri"/>
                <w:szCs w:val="18"/>
              </w:rPr>
              <w:t>&lt;</w:t>
            </w:r>
            <w:r w:rsidRPr="00B275E2">
              <w:rPr>
                <w:rFonts w:cs="Calibri"/>
                <w:color w:val="000000"/>
                <w:szCs w:val="18"/>
              </w:rPr>
              <w:t xml:space="preserve">15,000 kg </w:t>
            </w:r>
          </w:p>
        </w:tc>
        <w:tc>
          <w:tcPr>
            <w:tcW w:w="680" w:type="dxa"/>
            <w:shd w:val="clear" w:color="auto" w:fill="auto"/>
            <w:noWrap/>
            <w:vAlign w:val="bottom"/>
          </w:tcPr>
          <w:p w14:paraId="65092742" w14:textId="77777777" w:rsidR="006A68C6" w:rsidRPr="00B275E2" w:rsidRDefault="006A68C6" w:rsidP="007F0B1E">
            <w:pPr>
              <w:pStyle w:val="TableText"/>
              <w:spacing w:before="50" w:after="50"/>
              <w:rPr>
                <w:rFonts w:cs="Calibri"/>
                <w:szCs w:val="18"/>
              </w:rPr>
            </w:pPr>
            <w:r w:rsidRPr="00B275E2">
              <w:rPr>
                <w:rFonts w:cs="Calibri"/>
                <w:szCs w:val="18"/>
              </w:rPr>
              <w:t>km</w:t>
            </w:r>
          </w:p>
        </w:tc>
        <w:tc>
          <w:tcPr>
            <w:tcW w:w="1276" w:type="dxa"/>
            <w:shd w:val="clear" w:color="auto" w:fill="D2DDE1" w:themeFill="background2"/>
            <w:noWrap/>
          </w:tcPr>
          <w:p w14:paraId="65092743" w14:textId="7067599A" w:rsidR="006A68C6" w:rsidRPr="00B275E2" w:rsidRDefault="00520F08" w:rsidP="007F0B1E">
            <w:pPr>
              <w:pStyle w:val="TableText"/>
              <w:spacing w:before="50" w:after="50"/>
              <w:jc w:val="right"/>
              <w:rPr>
                <w:rFonts w:cs="Calibri"/>
                <w:szCs w:val="18"/>
              </w:rPr>
            </w:pPr>
            <w:r w:rsidRPr="00B275E2">
              <w:rPr>
                <w:rFonts w:cs="Calibri"/>
                <w:szCs w:val="18"/>
              </w:rPr>
              <w:t>0.798</w:t>
            </w:r>
          </w:p>
        </w:tc>
        <w:tc>
          <w:tcPr>
            <w:tcW w:w="1090" w:type="dxa"/>
            <w:shd w:val="clear" w:color="000000" w:fill="FFFFFF"/>
            <w:noWrap/>
          </w:tcPr>
          <w:p w14:paraId="65092744" w14:textId="47E54D93" w:rsidR="006A68C6" w:rsidRPr="00B275E2" w:rsidRDefault="00520F08" w:rsidP="007F0B1E">
            <w:pPr>
              <w:pStyle w:val="TableText"/>
              <w:spacing w:before="50" w:after="50"/>
              <w:jc w:val="right"/>
              <w:rPr>
                <w:rFonts w:cs="Calibri"/>
                <w:szCs w:val="18"/>
              </w:rPr>
            </w:pPr>
            <w:r w:rsidRPr="00B275E2">
              <w:rPr>
                <w:rFonts w:cs="Calibri"/>
                <w:szCs w:val="18"/>
              </w:rPr>
              <w:t>0.786</w:t>
            </w:r>
          </w:p>
        </w:tc>
        <w:tc>
          <w:tcPr>
            <w:tcW w:w="1171" w:type="dxa"/>
            <w:shd w:val="clear" w:color="000000" w:fill="FFFFFF"/>
            <w:noWrap/>
          </w:tcPr>
          <w:p w14:paraId="65092745" w14:textId="05089BBF" w:rsidR="006A68C6" w:rsidRPr="00B275E2" w:rsidRDefault="006A68C6" w:rsidP="007F0B1E">
            <w:pPr>
              <w:pStyle w:val="TableText"/>
              <w:spacing w:before="50" w:after="50"/>
              <w:jc w:val="right"/>
              <w:rPr>
                <w:rFonts w:cs="Calibri"/>
                <w:szCs w:val="18"/>
              </w:rPr>
            </w:pPr>
            <w:r w:rsidRPr="00B275E2">
              <w:rPr>
                <w:rFonts w:cs="Calibri"/>
                <w:szCs w:val="18"/>
              </w:rPr>
              <w:t>0.001</w:t>
            </w:r>
          </w:p>
        </w:tc>
        <w:tc>
          <w:tcPr>
            <w:tcW w:w="1112" w:type="dxa"/>
            <w:shd w:val="clear" w:color="000000" w:fill="FFFFFF"/>
            <w:noWrap/>
          </w:tcPr>
          <w:p w14:paraId="65092746" w14:textId="364BA529" w:rsidR="006A68C6" w:rsidRPr="00B275E2" w:rsidRDefault="006A68C6" w:rsidP="007F0B1E">
            <w:pPr>
              <w:pStyle w:val="TableText"/>
              <w:spacing w:before="50" w:after="50"/>
              <w:jc w:val="right"/>
              <w:rPr>
                <w:rFonts w:cs="Calibri"/>
                <w:szCs w:val="18"/>
              </w:rPr>
            </w:pPr>
            <w:r w:rsidRPr="00B275E2">
              <w:rPr>
                <w:rFonts w:cs="Calibri"/>
                <w:szCs w:val="18"/>
              </w:rPr>
              <w:t>0.013</w:t>
            </w:r>
          </w:p>
        </w:tc>
      </w:tr>
      <w:tr w:rsidR="006A68C6" w:rsidRPr="00B275E2" w14:paraId="6509274F" w14:textId="77777777" w:rsidTr="008E713C">
        <w:tc>
          <w:tcPr>
            <w:tcW w:w="1465" w:type="dxa"/>
            <w:vMerge/>
          </w:tcPr>
          <w:p w14:paraId="65092748" w14:textId="77777777" w:rsidR="006A68C6" w:rsidRPr="00B275E2" w:rsidRDefault="006A68C6" w:rsidP="007F0B1E">
            <w:pPr>
              <w:pStyle w:val="TableText"/>
              <w:spacing w:before="50" w:after="50"/>
              <w:rPr>
                <w:rFonts w:cs="Calibri"/>
                <w:szCs w:val="18"/>
              </w:rPr>
            </w:pPr>
          </w:p>
        </w:tc>
        <w:tc>
          <w:tcPr>
            <w:tcW w:w="1719" w:type="dxa"/>
            <w:shd w:val="clear" w:color="auto" w:fill="auto"/>
            <w:noWrap/>
          </w:tcPr>
          <w:p w14:paraId="65092749" w14:textId="055B3B6E" w:rsidR="006A68C6" w:rsidRPr="00B275E2" w:rsidRDefault="006A68C6" w:rsidP="007F0B1E">
            <w:pPr>
              <w:pStyle w:val="TableText"/>
              <w:spacing w:before="50" w:after="50"/>
              <w:rPr>
                <w:rFonts w:cs="Calibri"/>
                <w:szCs w:val="18"/>
              </w:rPr>
            </w:pPr>
            <w:r w:rsidRPr="00B275E2">
              <w:rPr>
                <w:rFonts w:cs="Calibri"/>
                <w:color w:val="000000"/>
                <w:szCs w:val="18"/>
              </w:rPr>
              <w:t xml:space="preserve">15,000 - </w:t>
            </w:r>
            <w:r w:rsidRPr="00B275E2">
              <w:rPr>
                <w:rFonts w:cs="Calibri"/>
                <w:szCs w:val="18"/>
              </w:rPr>
              <w:t>&lt;</w:t>
            </w:r>
            <w:r w:rsidRPr="00B275E2">
              <w:rPr>
                <w:rFonts w:cs="Calibri"/>
                <w:color w:val="000000"/>
                <w:szCs w:val="18"/>
              </w:rPr>
              <w:t xml:space="preserve">20,000 kg </w:t>
            </w:r>
          </w:p>
        </w:tc>
        <w:tc>
          <w:tcPr>
            <w:tcW w:w="680" w:type="dxa"/>
            <w:shd w:val="clear" w:color="auto" w:fill="auto"/>
            <w:noWrap/>
            <w:vAlign w:val="bottom"/>
          </w:tcPr>
          <w:p w14:paraId="6509274A" w14:textId="77777777" w:rsidR="006A68C6" w:rsidRPr="00B275E2" w:rsidRDefault="006A68C6" w:rsidP="007F0B1E">
            <w:pPr>
              <w:pStyle w:val="TableText"/>
              <w:spacing w:before="50" w:after="50"/>
              <w:rPr>
                <w:rFonts w:cs="Calibri"/>
                <w:szCs w:val="18"/>
              </w:rPr>
            </w:pPr>
            <w:r w:rsidRPr="00B275E2">
              <w:rPr>
                <w:rFonts w:cs="Calibri"/>
                <w:szCs w:val="18"/>
              </w:rPr>
              <w:t>km</w:t>
            </w:r>
          </w:p>
        </w:tc>
        <w:tc>
          <w:tcPr>
            <w:tcW w:w="1276" w:type="dxa"/>
            <w:shd w:val="clear" w:color="auto" w:fill="D2DDE1" w:themeFill="background2"/>
            <w:noWrap/>
          </w:tcPr>
          <w:p w14:paraId="6509274B" w14:textId="42DDD825" w:rsidR="006A68C6" w:rsidRPr="00B275E2" w:rsidRDefault="00520F08" w:rsidP="007F0B1E">
            <w:pPr>
              <w:pStyle w:val="TableText"/>
              <w:spacing w:before="50" w:after="50"/>
              <w:jc w:val="right"/>
              <w:rPr>
                <w:rFonts w:cs="Calibri"/>
                <w:szCs w:val="18"/>
              </w:rPr>
            </w:pPr>
            <w:r w:rsidRPr="00B275E2">
              <w:rPr>
                <w:rFonts w:cs="Calibri"/>
                <w:szCs w:val="18"/>
              </w:rPr>
              <w:t>0.957</w:t>
            </w:r>
          </w:p>
        </w:tc>
        <w:tc>
          <w:tcPr>
            <w:tcW w:w="1090" w:type="dxa"/>
            <w:shd w:val="clear" w:color="000000" w:fill="FFFFFF"/>
            <w:noWrap/>
          </w:tcPr>
          <w:p w14:paraId="6509274C" w14:textId="53B9D1D1" w:rsidR="006A68C6" w:rsidRPr="00B275E2" w:rsidRDefault="00E33A7D" w:rsidP="007F0B1E">
            <w:pPr>
              <w:pStyle w:val="TableText"/>
              <w:spacing w:before="50" w:after="50"/>
              <w:jc w:val="right"/>
              <w:rPr>
                <w:rFonts w:cs="Calibri"/>
                <w:szCs w:val="18"/>
              </w:rPr>
            </w:pPr>
            <w:r w:rsidRPr="00B275E2">
              <w:rPr>
                <w:rFonts w:cs="Calibri"/>
                <w:szCs w:val="18"/>
              </w:rPr>
              <w:t>0.943</w:t>
            </w:r>
          </w:p>
        </w:tc>
        <w:tc>
          <w:tcPr>
            <w:tcW w:w="1171" w:type="dxa"/>
            <w:shd w:val="clear" w:color="000000" w:fill="FFFFFF"/>
            <w:noWrap/>
          </w:tcPr>
          <w:p w14:paraId="6509274D" w14:textId="5260D5D6" w:rsidR="006A68C6" w:rsidRPr="00B275E2" w:rsidRDefault="006A68C6" w:rsidP="007F0B1E">
            <w:pPr>
              <w:pStyle w:val="TableText"/>
              <w:spacing w:before="50" w:after="50"/>
              <w:jc w:val="right"/>
              <w:rPr>
                <w:rFonts w:cs="Calibri"/>
                <w:szCs w:val="18"/>
              </w:rPr>
            </w:pPr>
            <w:r w:rsidRPr="00B275E2">
              <w:rPr>
                <w:rFonts w:cs="Calibri"/>
                <w:szCs w:val="18"/>
              </w:rPr>
              <w:t>0.001</w:t>
            </w:r>
          </w:p>
        </w:tc>
        <w:tc>
          <w:tcPr>
            <w:tcW w:w="1112" w:type="dxa"/>
            <w:shd w:val="clear" w:color="000000" w:fill="FFFFFF"/>
            <w:noWrap/>
          </w:tcPr>
          <w:p w14:paraId="6509274E" w14:textId="67F8635B" w:rsidR="006A68C6" w:rsidRPr="00B275E2" w:rsidRDefault="006A68C6" w:rsidP="007F0B1E">
            <w:pPr>
              <w:pStyle w:val="TableText"/>
              <w:spacing w:before="50" w:after="50"/>
              <w:jc w:val="right"/>
              <w:rPr>
                <w:rFonts w:cs="Calibri"/>
                <w:szCs w:val="18"/>
              </w:rPr>
            </w:pPr>
            <w:r w:rsidRPr="00B275E2">
              <w:rPr>
                <w:rFonts w:cs="Calibri"/>
                <w:szCs w:val="18"/>
              </w:rPr>
              <w:t>0.015</w:t>
            </w:r>
          </w:p>
        </w:tc>
      </w:tr>
      <w:tr w:rsidR="006A68C6" w:rsidRPr="00B275E2" w14:paraId="65092757" w14:textId="77777777" w:rsidTr="008E713C">
        <w:tc>
          <w:tcPr>
            <w:tcW w:w="1465" w:type="dxa"/>
            <w:vMerge/>
          </w:tcPr>
          <w:p w14:paraId="65092750" w14:textId="77777777" w:rsidR="006A68C6" w:rsidRPr="00B275E2" w:rsidRDefault="006A68C6" w:rsidP="007F0B1E">
            <w:pPr>
              <w:pStyle w:val="TableText"/>
              <w:spacing w:before="50" w:after="50"/>
              <w:rPr>
                <w:rFonts w:cs="Calibri"/>
                <w:szCs w:val="18"/>
              </w:rPr>
            </w:pPr>
          </w:p>
        </w:tc>
        <w:tc>
          <w:tcPr>
            <w:tcW w:w="1719" w:type="dxa"/>
            <w:shd w:val="clear" w:color="auto" w:fill="auto"/>
            <w:noWrap/>
          </w:tcPr>
          <w:p w14:paraId="65092751" w14:textId="02172E1A" w:rsidR="006A68C6" w:rsidRPr="00B275E2" w:rsidRDefault="006A68C6" w:rsidP="007F0B1E">
            <w:pPr>
              <w:pStyle w:val="TableText"/>
              <w:spacing w:before="50" w:after="50"/>
              <w:rPr>
                <w:rFonts w:cs="Calibri"/>
                <w:szCs w:val="18"/>
              </w:rPr>
            </w:pPr>
            <w:r w:rsidRPr="00B275E2">
              <w:rPr>
                <w:rFonts w:cs="Calibri"/>
                <w:color w:val="000000"/>
                <w:szCs w:val="18"/>
              </w:rPr>
              <w:t xml:space="preserve">20,000 - </w:t>
            </w:r>
            <w:r w:rsidRPr="00B275E2">
              <w:rPr>
                <w:rFonts w:cs="Calibri"/>
                <w:szCs w:val="18"/>
              </w:rPr>
              <w:t>&lt;</w:t>
            </w:r>
            <w:r w:rsidRPr="00B275E2">
              <w:rPr>
                <w:rFonts w:cs="Calibri"/>
                <w:color w:val="000000"/>
                <w:szCs w:val="18"/>
              </w:rPr>
              <w:t xml:space="preserve">25,000 kg </w:t>
            </w:r>
          </w:p>
        </w:tc>
        <w:tc>
          <w:tcPr>
            <w:tcW w:w="680" w:type="dxa"/>
            <w:shd w:val="clear" w:color="auto" w:fill="auto"/>
            <w:noWrap/>
            <w:vAlign w:val="bottom"/>
          </w:tcPr>
          <w:p w14:paraId="65092752" w14:textId="77777777" w:rsidR="006A68C6" w:rsidRPr="00B275E2" w:rsidRDefault="006A68C6" w:rsidP="007F0B1E">
            <w:pPr>
              <w:pStyle w:val="TableText"/>
              <w:spacing w:before="50" w:after="50"/>
              <w:rPr>
                <w:rFonts w:cs="Calibri"/>
                <w:szCs w:val="18"/>
              </w:rPr>
            </w:pPr>
            <w:r w:rsidRPr="00B275E2">
              <w:rPr>
                <w:rFonts w:cs="Calibri"/>
                <w:szCs w:val="18"/>
              </w:rPr>
              <w:t>km</w:t>
            </w:r>
          </w:p>
        </w:tc>
        <w:tc>
          <w:tcPr>
            <w:tcW w:w="1276" w:type="dxa"/>
            <w:shd w:val="clear" w:color="auto" w:fill="D2DDE1" w:themeFill="background2"/>
            <w:noWrap/>
          </w:tcPr>
          <w:p w14:paraId="65092753" w14:textId="1AB3189E" w:rsidR="006A68C6" w:rsidRPr="00B275E2" w:rsidRDefault="00E33A7D" w:rsidP="007F0B1E">
            <w:pPr>
              <w:pStyle w:val="TableText"/>
              <w:spacing w:before="50" w:after="50"/>
              <w:jc w:val="right"/>
              <w:rPr>
                <w:rFonts w:cs="Calibri"/>
                <w:szCs w:val="18"/>
              </w:rPr>
            </w:pPr>
            <w:r w:rsidRPr="00B275E2">
              <w:rPr>
                <w:rFonts w:cs="Calibri"/>
                <w:szCs w:val="18"/>
              </w:rPr>
              <w:t>1.274</w:t>
            </w:r>
          </w:p>
        </w:tc>
        <w:tc>
          <w:tcPr>
            <w:tcW w:w="1090" w:type="dxa"/>
            <w:shd w:val="clear" w:color="000000" w:fill="FFFFFF"/>
            <w:noWrap/>
          </w:tcPr>
          <w:p w14:paraId="65092754" w14:textId="63C42922" w:rsidR="006A68C6" w:rsidRPr="00B275E2" w:rsidRDefault="00E33A7D" w:rsidP="007F0B1E">
            <w:pPr>
              <w:pStyle w:val="TableText"/>
              <w:spacing w:before="50" w:after="50"/>
              <w:jc w:val="right"/>
              <w:rPr>
                <w:rFonts w:cs="Calibri"/>
                <w:szCs w:val="18"/>
              </w:rPr>
            </w:pPr>
            <w:r w:rsidRPr="00B275E2">
              <w:rPr>
                <w:rFonts w:cs="Calibri"/>
                <w:szCs w:val="18"/>
              </w:rPr>
              <w:t>1.255</w:t>
            </w:r>
          </w:p>
        </w:tc>
        <w:tc>
          <w:tcPr>
            <w:tcW w:w="1171" w:type="dxa"/>
            <w:shd w:val="clear" w:color="000000" w:fill="FFFFFF"/>
            <w:noWrap/>
          </w:tcPr>
          <w:p w14:paraId="65092755" w14:textId="5F496026" w:rsidR="006A68C6" w:rsidRPr="00B275E2" w:rsidRDefault="006A68C6" w:rsidP="007F0B1E">
            <w:pPr>
              <w:pStyle w:val="TableText"/>
              <w:spacing w:before="50" w:after="50"/>
              <w:jc w:val="right"/>
              <w:rPr>
                <w:rFonts w:cs="Calibri"/>
                <w:szCs w:val="18"/>
              </w:rPr>
            </w:pPr>
            <w:r w:rsidRPr="00B275E2">
              <w:rPr>
                <w:rFonts w:cs="Calibri"/>
                <w:szCs w:val="18"/>
              </w:rPr>
              <w:t>0.002</w:t>
            </w:r>
          </w:p>
        </w:tc>
        <w:tc>
          <w:tcPr>
            <w:tcW w:w="1112" w:type="dxa"/>
            <w:shd w:val="clear" w:color="000000" w:fill="FFFFFF"/>
            <w:noWrap/>
          </w:tcPr>
          <w:p w14:paraId="65092756" w14:textId="1CFA8785" w:rsidR="006A68C6" w:rsidRPr="00B275E2" w:rsidRDefault="006A68C6" w:rsidP="007F0B1E">
            <w:pPr>
              <w:pStyle w:val="TableText"/>
              <w:spacing w:before="50" w:after="50"/>
              <w:jc w:val="right"/>
              <w:rPr>
                <w:rFonts w:cs="Calibri"/>
                <w:szCs w:val="18"/>
              </w:rPr>
            </w:pPr>
            <w:r w:rsidRPr="00B275E2">
              <w:rPr>
                <w:rFonts w:cs="Calibri"/>
                <w:szCs w:val="18"/>
              </w:rPr>
              <w:t>0.020</w:t>
            </w:r>
          </w:p>
        </w:tc>
      </w:tr>
      <w:tr w:rsidR="006A68C6" w:rsidRPr="00B275E2" w14:paraId="6509275F" w14:textId="77777777" w:rsidTr="008E713C">
        <w:tc>
          <w:tcPr>
            <w:tcW w:w="1465" w:type="dxa"/>
            <w:vMerge/>
          </w:tcPr>
          <w:p w14:paraId="65092758" w14:textId="77777777" w:rsidR="006A68C6" w:rsidRPr="00B275E2" w:rsidRDefault="006A68C6" w:rsidP="007F0B1E">
            <w:pPr>
              <w:pStyle w:val="TableText"/>
              <w:spacing w:before="50" w:after="50"/>
              <w:rPr>
                <w:rFonts w:cs="Calibri"/>
                <w:szCs w:val="18"/>
              </w:rPr>
            </w:pPr>
          </w:p>
        </w:tc>
        <w:tc>
          <w:tcPr>
            <w:tcW w:w="1719" w:type="dxa"/>
            <w:shd w:val="clear" w:color="auto" w:fill="auto"/>
            <w:noWrap/>
          </w:tcPr>
          <w:p w14:paraId="65092759" w14:textId="241D092B" w:rsidR="006A68C6" w:rsidRPr="00B275E2" w:rsidRDefault="006A68C6" w:rsidP="007F0B1E">
            <w:pPr>
              <w:pStyle w:val="TableText"/>
              <w:spacing w:before="50" w:after="50"/>
              <w:rPr>
                <w:rFonts w:cs="Calibri"/>
                <w:szCs w:val="18"/>
              </w:rPr>
            </w:pPr>
            <w:r w:rsidRPr="00B275E2">
              <w:rPr>
                <w:rFonts w:cs="Calibri"/>
                <w:color w:val="000000"/>
                <w:szCs w:val="18"/>
              </w:rPr>
              <w:t xml:space="preserve">25,000 - </w:t>
            </w:r>
            <w:r w:rsidRPr="00B275E2">
              <w:rPr>
                <w:rFonts w:cs="Calibri"/>
                <w:szCs w:val="18"/>
              </w:rPr>
              <w:t>&lt;</w:t>
            </w:r>
            <w:r w:rsidRPr="00B275E2">
              <w:rPr>
                <w:rFonts w:cs="Calibri"/>
                <w:color w:val="000000"/>
                <w:szCs w:val="18"/>
              </w:rPr>
              <w:t xml:space="preserve">30,000 kg </w:t>
            </w:r>
          </w:p>
        </w:tc>
        <w:tc>
          <w:tcPr>
            <w:tcW w:w="680" w:type="dxa"/>
            <w:shd w:val="clear" w:color="auto" w:fill="auto"/>
            <w:noWrap/>
            <w:vAlign w:val="bottom"/>
          </w:tcPr>
          <w:p w14:paraId="6509275A" w14:textId="77777777" w:rsidR="006A68C6" w:rsidRPr="00B275E2" w:rsidRDefault="006A68C6" w:rsidP="007F0B1E">
            <w:pPr>
              <w:pStyle w:val="TableText"/>
              <w:spacing w:before="50" w:after="50"/>
              <w:rPr>
                <w:rFonts w:cs="Calibri"/>
                <w:szCs w:val="18"/>
              </w:rPr>
            </w:pPr>
            <w:r w:rsidRPr="00B275E2">
              <w:rPr>
                <w:rFonts w:cs="Calibri"/>
                <w:szCs w:val="18"/>
              </w:rPr>
              <w:t>km</w:t>
            </w:r>
          </w:p>
        </w:tc>
        <w:tc>
          <w:tcPr>
            <w:tcW w:w="1276" w:type="dxa"/>
            <w:shd w:val="clear" w:color="auto" w:fill="D2DDE1" w:themeFill="background2"/>
            <w:noWrap/>
          </w:tcPr>
          <w:p w14:paraId="6509275B" w14:textId="776ADEFB" w:rsidR="006A68C6" w:rsidRPr="00B275E2" w:rsidRDefault="00E33A7D" w:rsidP="007F0B1E">
            <w:pPr>
              <w:pStyle w:val="TableText"/>
              <w:spacing w:before="50" w:after="50"/>
              <w:jc w:val="right"/>
              <w:rPr>
                <w:rFonts w:cs="Calibri"/>
                <w:szCs w:val="18"/>
              </w:rPr>
            </w:pPr>
            <w:r w:rsidRPr="00B275E2">
              <w:rPr>
                <w:rFonts w:cs="Calibri"/>
                <w:szCs w:val="18"/>
              </w:rPr>
              <w:t>1.423</w:t>
            </w:r>
          </w:p>
        </w:tc>
        <w:tc>
          <w:tcPr>
            <w:tcW w:w="1090" w:type="dxa"/>
            <w:shd w:val="clear" w:color="000000" w:fill="FFFFFF"/>
            <w:noWrap/>
          </w:tcPr>
          <w:p w14:paraId="6509275C" w14:textId="59F93706" w:rsidR="006A68C6" w:rsidRPr="00B275E2" w:rsidRDefault="00A44737" w:rsidP="007F0B1E">
            <w:pPr>
              <w:pStyle w:val="TableText"/>
              <w:spacing w:before="50" w:after="50"/>
              <w:jc w:val="right"/>
              <w:rPr>
                <w:rFonts w:cs="Calibri"/>
                <w:szCs w:val="18"/>
              </w:rPr>
            </w:pPr>
            <w:r w:rsidRPr="00B275E2">
              <w:rPr>
                <w:rFonts w:cs="Calibri"/>
                <w:szCs w:val="18"/>
              </w:rPr>
              <w:t>1.402</w:t>
            </w:r>
          </w:p>
        </w:tc>
        <w:tc>
          <w:tcPr>
            <w:tcW w:w="1171" w:type="dxa"/>
            <w:shd w:val="clear" w:color="000000" w:fill="FFFFFF"/>
            <w:noWrap/>
          </w:tcPr>
          <w:p w14:paraId="6509275D" w14:textId="4B0DC940" w:rsidR="006A68C6" w:rsidRPr="00B275E2" w:rsidRDefault="006A68C6" w:rsidP="007F0B1E">
            <w:pPr>
              <w:pStyle w:val="TableText"/>
              <w:spacing w:before="50" w:after="50"/>
              <w:jc w:val="right"/>
              <w:rPr>
                <w:rFonts w:cs="Calibri"/>
                <w:szCs w:val="18"/>
              </w:rPr>
            </w:pPr>
            <w:r w:rsidRPr="00B275E2">
              <w:rPr>
                <w:rFonts w:cs="Calibri"/>
                <w:szCs w:val="18"/>
              </w:rPr>
              <w:t>0.002</w:t>
            </w:r>
          </w:p>
        </w:tc>
        <w:tc>
          <w:tcPr>
            <w:tcW w:w="1112" w:type="dxa"/>
            <w:shd w:val="clear" w:color="000000" w:fill="FFFFFF"/>
            <w:noWrap/>
          </w:tcPr>
          <w:p w14:paraId="6509275E" w14:textId="6AEE88AB" w:rsidR="006A68C6" w:rsidRPr="00B275E2" w:rsidRDefault="006A68C6" w:rsidP="007F0B1E">
            <w:pPr>
              <w:pStyle w:val="TableText"/>
              <w:spacing w:before="50" w:after="50"/>
              <w:jc w:val="right"/>
              <w:rPr>
                <w:rFonts w:cs="Calibri"/>
                <w:szCs w:val="18"/>
              </w:rPr>
            </w:pPr>
            <w:r w:rsidRPr="00B275E2">
              <w:rPr>
                <w:rFonts w:cs="Calibri"/>
                <w:szCs w:val="18"/>
              </w:rPr>
              <w:t>0.022</w:t>
            </w:r>
          </w:p>
        </w:tc>
      </w:tr>
      <w:tr w:rsidR="006A68C6" w:rsidRPr="00B275E2" w14:paraId="65092767" w14:textId="77777777" w:rsidTr="008E713C">
        <w:tc>
          <w:tcPr>
            <w:tcW w:w="1465" w:type="dxa"/>
            <w:vMerge/>
          </w:tcPr>
          <w:p w14:paraId="65092760" w14:textId="77777777" w:rsidR="006A68C6" w:rsidRPr="00B275E2" w:rsidRDefault="006A68C6" w:rsidP="007F0B1E">
            <w:pPr>
              <w:pStyle w:val="TableText"/>
              <w:spacing w:before="50" w:after="50"/>
              <w:rPr>
                <w:rFonts w:cs="Calibri"/>
                <w:szCs w:val="18"/>
              </w:rPr>
            </w:pPr>
          </w:p>
        </w:tc>
        <w:tc>
          <w:tcPr>
            <w:tcW w:w="1719" w:type="dxa"/>
            <w:shd w:val="clear" w:color="auto" w:fill="auto"/>
            <w:noWrap/>
          </w:tcPr>
          <w:p w14:paraId="65092761" w14:textId="7C356515" w:rsidR="006A68C6" w:rsidRPr="00B275E2" w:rsidRDefault="006A68C6" w:rsidP="007F0B1E">
            <w:pPr>
              <w:pStyle w:val="TableText"/>
              <w:spacing w:before="50" w:after="50"/>
              <w:rPr>
                <w:rFonts w:cs="Calibri"/>
                <w:szCs w:val="18"/>
              </w:rPr>
            </w:pPr>
            <w:r w:rsidRPr="00B275E2">
              <w:rPr>
                <w:rFonts w:cs="Calibri"/>
                <w:color w:val="000000"/>
                <w:szCs w:val="18"/>
              </w:rPr>
              <w:t xml:space="preserve">≥30,000 kg </w:t>
            </w:r>
          </w:p>
        </w:tc>
        <w:tc>
          <w:tcPr>
            <w:tcW w:w="680" w:type="dxa"/>
            <w:shd w:val="clear" w:color="auto" w:fill="auto"/>
            <w:noWrap/>
            <w:vAlign w:val="bottom"/>
          </w:tcPr>
          <w:p w14:paraId="65092762" w14:textId="77777777" w:rsidR="006A68C6" w:rsidRPr="00B275E2" w:rsidRDefault="006A68C6" w:rsidP="007F0B1E">
            <w:pPr>
              <w:pStyle w:val="TableText"/>
              <w:spacing w:before="50" w:after="50"/>
              <w:rPr>
                <w:rFonts w:cs="Calibri"/>
                <w:szCs w:val="18"/>
              </w:rPr>
            </w:pPr>
            <w:r w:rsidRPr="00B275E2">
              <w:rPr>
                <w:rFonts w:cs="Calibri"/>
                <w:szCs w:val="18"/>
              </w:rPr>
              <w:t>km</w:t>
            </w:r>
          </w:p>
        </w:tc>
        <w:tc>
          <w:tcPr>
            <w:tcW w:w="1276" w:type="dxa"/>
            <w:shd w:val="clear" w:color="auto" w:fill="D2DDE1" w:themeFill="background2"/>
            <w:noWrap/>
          </w:tcPr>
          <w:p w14:paraId="65092763" w14:textId="48C0B420" w:rsidR="006A68C6" w:rsidRPr="00B275E2" w:rsidRDefault="006A68C6" w:rsidP="007F0B1E">
            <w:pPr>
              <w:pStyle w:val="TableText"/>
              <w:spacing w:before="50" w:after="50"/>
              <w:jc w:val="right"/>
              <w:rPr>
                <w:rFonts w:cs="Calibri"/>
                <w:szCs w:val="18"/>
              </w:rPr>
            </w:pPr>
            <w:r w:rsidRPr="00B275E2">
              <w:rPr>
                <w:rFonts w:cs="Calibri"/>
                <w:szCs w:val="18"/>
              </w:rPr>
              <w:t>1.49</w:t>
            </w:r>
            <w:r w:rsidR="00A44737" w:rsidRPr="00B275E2">
              <w:rPr>
                <w:rFonts w:cs="Calibri"/>
                <w:szCs w:val="18"/>
              </w:rPr>
              <w:t>9</w:t>
            </w:r>
          </w:p>
        </w:tc>
        <w:tc>
          <w:tcPr>
            <w:tcW w:w="1090" w:type="dxa"/>
            <w:shd w:val="clear" w:color="000000" w:fill="FFFFFF"/>
            <w:noWrap/>
          </w:tcPr>
          <w:p w14:paraId="65092764" w14:textId="23CB0C63" w:rsidR="006A68C6" w:rsidRPr="00B275E2" w:rsidRDefault="006A68C6" w:rsidP="007F0B1E">
            <w:pPr>
              <w:pStyle w:val="TableText"/>
              <w:spacing w:before="50" w:after="50"/>
              <w:jc w:val="right"/>
              <w:rPr>
                <w:rFonts w:cs="Calibri"/>
                <w:szCs w:val="18"/>
              </w:rPr>
            </w:pPr>
            <w:r w:rsidRPr="00B275E2">
              <w:rPr>
                <w:rFonts w:cs="Calibri"/>
                <w:szCs w:val="18"/>
              </w:rPr>
              <w:t>1.47</w:t>
            </w:r>
            <w:r w:rsidR="00A44737" w:rsidRPr="00B275E2">
              <w:rPr>
                <w:rFonts w:cs="Calibri"/>
                <w:szCs w:val="18"/>
              </w:rPr>
              <w:t>7</w:t>
            </w:r>
          </w:p>
        </w:tc>
        <w:tc>
          <w:tcPr>
            <w:tcW w:w="1171" w:type="dxa"/>
            <w:shd w:val="clear" w:color="000000" w:fill="FFFFFF"/>
            <w:noWrap/>
          </w:tcPr>
          <w:p w14:paraId="65092765" w14:textId="53FFF413" w:rsidR="006A68C6" w:rsidRPr="00B275E2" w:rsidRDefault="006A68C6" w:rsidP="007F0B1E">
            <w:pPr>
              <w:pStyle w:val="TableText"/>
              <w:spacing w:before="50" w:after="50"/>
              <w:jc w:val="right"/>
              <w:rPr>
                <w:rFonts w:cs="Calibri"/>
                <w:szCs w:val="18"/>
              </w:rPr>
            </w:pPr>
            <w:r w:rsidRPr="00B275E2">
              <w:rPr>
                <w:rFonts w:cs="Calibri"/>
                <w:szCs w:val="18"/>
              </w:rPr>
              <w:t>0.002</w:t>
            </w:r>
          </w:p>
        </w:tc>
        <w:tc>
          <w:tcPr>
            <w:tcW w:w="1112" w:type="dxa"/>
            <w:shd w:val="clear" w:color="000000" w:fill="FFFFFF"/>
            <w:noWrap/>
          </w:tcPr>
          <w:p w14:paraId="65092766" w14:textId="3FA706DC" w:rsidR="006A68C6" w:rsidRPr="00B275E2" w:rsidRDefault="006A68C6" w:rsidP="007F0B1E">
            <w:pPr>
              <w:pStyle w:val="TableText"/>
              <w:spacing w:before="50" w:after="50"/>
              <w:jc w:val="right"/>
              <w:rPr>
                <w:rFonts w:cs="Calibri"/>
                <w:szCs w:val="18"/>
              </w:rPr>
            </w:pPr>
            <w:r w:rsidRPr="00B275E2">
              <w:rPr>
                <w:rFonts w:cs="Calibri"/>
                <w:szCs w:val="18"/>
              </w:rPr>
              <w:t>0.02</w:t>
            </w:r>
            <w:r w:rsidR="00A44737" w:rsidRPr="00B275E2">
              <w:rPr>
                <w:rFonts w:cs="Calibri"/>
                <w:szCs w:val="18"/>
              </w:rPr>
              <w:t>4</w:t>
            </w:r>
          </w:p>
        </w:tc>
      </w:tr>
      <w:tr w:rsidR="003F447A" w:rsidRPr="00B275E2" w14:paraId="6509276F" w14:textId="77777777" w:rsidTr="008E713C">
        <w:tc>
          <w:tcPr>
            <w:tcW w:w="1465" w:type="dxa"/>
            <w:vMerge w:val="restart"/>
          </w:tcPr>
          <w:p w14:paraId="65092768" w14:textId="2CFD6772" w:rsidR="003F447A" w:rsidRPr="00B275E2" w:rsidRDefault="003F447A" w:rsidP="007F0B1E">
            <w:pPr>
              <w:pStyle w:val="TableText"/>
              <w:spacing w:before="50" w:after="50"/>
              <w:rPr>
                <w:rFonts w:cs="Calibri"/>
                <w:szCs w:val="18"/>
              </w:rPr>
            </w:pPr>
            <w:r w:rsidRPr="00B275E2">
              <w:rPr>
                <w:rFonts w:cs="Calibri"/>
                <w:szCs w:val="18"/>
              </w:rPr>
              <w:t>HGV diesel hybrid</w:t>
            </w:r>
          </w:p>
        </w:tc>
        <w:tc>
          <w:tcPr>
            <w:tcW w:w="1719" w:type="dxa"/>
            <w:shd w:val="clear" w:color="auto" w:fill="auto"/>
            <w:noWrap/>
          </w:tcPr>
          <w:p w14:paraId="65092769" w14:textId="1418BEF2" w:rsidR="003F447A" w:rsidRPr="00B275E2" w:rsidRDefault="003F447A" w:rsidP="007F0B1E">
            <w:pPr>
              <w:pStyle w:val="TableText"/>
              <w:spacing w:before="50" w:after="50"/>
              <w:rPr>
                <w:rFonts w:cs="Calibri"/>
                <w:szCs w:val="18"/>
              </w:rPr>
            </w:pPr>
            <w:r w:rsidRPr="00B275E2">
              <w:rPr>
                <w:rFonts w:cs="Calibri"/>
                <w:color w:val="000000"/>
                <w:szCs w:val="18"/>
              </w:rPr>
              <w:t xml:space="preserve">&lt;5,000 kg </w:t>
            </w:r>
          </w:p>
        </w:tc>
        <w:tc>
          <w:tcPr>
            <w:tcW w:w="680" w:type="dxa"/>
            <w:shd w:val="clear" w:color="auto" w:fill="auto"/>
            <w:noWrap/>
            <w:vAlign w:val="bottom"/>
          </w:tcPr>
          <w:p w14:paraId="6509276A" w14:textId="77777777" w:rsidR="003F447A" w:rsidRPr="00B275E2" w:rsidRDefault="003F447A" w:rsidP="007F0B1E">
            <w:pPr>
              <w:pStyle w:val="TableText"/>
              <w:spacing w:before="50" w:after="50"/>
              <w:rPr>
                <w:rFonts w:cs="Calibri"/>
                <w:szCs w:val="18"/>
              </w:rPr>
            </w:pPr>
            <w:r w:rsidRPr="00B275E2">
              <w:rPr>
                <w:rFonts w:cs="Calibri"/>
                <w:szCs w:val="18"/>
              </w:rPr>
              <w:t>km</w:t>
            </w:r>
          </w:p>
        </w:tc>
        <w:tc>
          <w:tcPr>
            <w:tcW w:w="1276" w:type="dxa"/>
            <w:shd w:val="clear" w:color="auto" w:fill="D2DDE1" w:themeFill="background2"/>
            <w:noWrap/>
          </w:tcPr>
          <w:p w14:paraId="6509276B" w14:textId="05BEF80C" w:rsidR="003F447A" w:rsidRPr="00B275E2" w:rsidRDefault="00A44737" w:rsidP="007F0B1E">
            <w:pPr>
              <w:pStyle w:val="TableText"/>
              <w:spacing w:before="50" w:after="50"/>
              <w:jc w:val="right"/>
              <w:rPr>
                <w:rFonts w:cs="Calibri"/>
                <w:szCs w:val="18"/>
              </w:rPr>
            </w:pPr>
            <w:r w:rsidRPr="00B275E2">
              <w:rPr>
                <w:rFonts w:cs="Calibri"/>
                <w:szCs w:val="18"/>
              </w:rPr>
              <w:t>0.340</w:t>
            </w:r>
          </w:p>
        </w:tc>
        <w:tc>
          <w:tcPr>
            <w:tcW w:w="1090" w:type="dxa"/>
            <w:shd w:val="clear" w:color="000000" w:fill="FFFFFF"/>
            <w:noWrap/>
          </w:tcPr>
          <w:p w14:paraId="6509276C" w14:textId="0A3E9AD6" w:rsidR="003F447A" w:rsidRPr="00B275E2" w:rsidRDefault="00A44737" w:rsidP="007F0B1E">
            <w:pPr>
              <w:pStyle w:val="TableText"/>
              <w:spacing w:before="50" w:after="50"/>
              <w:jc w:val="right"/>
              <w:rPr>
                <w:rFonts w:cs="Calibri"/>
                <w:szCs w:val="18"/>
              </w:rPr>
            </w:pPr>
            <w:r w:rsidRPr="00B275E2">
              <w:rPr>
                <w:rFonts w:cs="Calibri"/>
                <w:szCs w:val="18"/>
              </w:rPr>
              <w:t>0.335</w:t>
            </w:r>
          </w:p>
        </w:tc>
        <w:tc>
          <w:tcPr>
            <w:tcW w:w="1171" w:type="dxa"/>
            <w:shd w:val="clear" w:color="000000" w:fill="FFFFFF"/>
            <w:noWrap/>
          </w:tcPr>
          <w:p w14:paraId="6509276D" w14:textId="386D0109" w:rsidR="003F447A" w:rsidRPr="00B275E2" w:rsidRDefault="003F447A" w:rsidP="007F0B1E">
            <w:pPr>
              <w:pStyle w:val="TableText"/>
              <w:spacing w:before="50" w:after="50"/>
              <w:jc w:val="right"/>
              <w:rPr>
                <w:rFonts w:cs="Calibri"/>
                <w:szCs w:val="18"/>
              </w:rPr>
            </w:pPr>
            <w:r w:rsidRPr="00B275E2">
              <w:rPr>
                <w:rFonts w:cs="Calibri"/>
                <w:szCs w:val="18"/>
              </w:rPr>
              <w:t>0.0004</w:t>
            </w:r>
          </w:p>
        </w:tc>
        <w:tc>
          <w:tcPr>
            <w:tcW w:w="1112" w:type="dxa"/>
            <w:shd w:val="clear" w:color="000000" w:fill="FFFFFF"/>
            <w:noWrap/>
          </w:tcPr>
          <w:p w14:paraId="6509276E" w14:textId="1EC6B93E" w:rsidR="003F447A" w:rsidRPr="00B275E2" w:rsidRDefault="003F447A" w:rsidP="007F0B1E">
            <w:pPr>
              <w:pStyle w:val="TableText"/>
              <w:spacing w:before="50" w:after="50"/>
              <w:jc w:val="right"/>
              <w:rPr>
                <w:rFonts w:cs="Calibri"/>
                <w:szCs w:val="18"/>
              </w:rPr>
            </w:pPr>
            <w:r w:rsidRPr="00B275E2">
              <w:rPr>
                <w:rFonts w:cs="Calibri"/>
                <w:szCs w:val="18"/>
              </w:rPr>
              <w:t>0.005</w:t>
            </w:r>
            <w:r w:rsidR="00723F4F" w:rsidRPr="00B275E2">
              <w:rPr>
                <w:rFonts w:cs="Calibri"/>
                <w:szCs w:val="18"/>
              </w:rPr>
              <w:t>3</w:t>
            </w:r>
          </w:p>
        </w:tc>
      </w:tr>
      <w:tr w:rsidR="003F447A" w:rsidRPr="00B275E2" w14:paraId="65092777" w14:textId="77777777" w:rsidTr="008E713C">
        <w:tc>
          <w:tcPr>
            <w:tcW w:w="1465" w:type="dxa"/>
            <w:vMerge/>
          </w:tcPr>
          <w:p w14:paraId="65092770" w14:textId="77777777" w:rsidR="003F447A" w:rsidRPr="00B275E2" w:rsidRDefault="003F447A" w:rsidP="007F0B1E">
            <w:pPr>
              <w:pStyle w:val="TableText"/>
              <w:spacing w:before="50" w:after="50"/>
              <w:rPr>
                <w:rFonts w:cs="Calibri"/>
                <w:szCs w:val="18"/>
              </w:rPr>
            </w:pPr>
          </w:p>
        </w:tc>
        <w:tc>
          <w:tcPr>
            <w:tcW w:w="1719" w:type="dxa"/>
            <w:shd w:val="clear" w:color="auto" w:fill="auto"/>
            <w:noWrap/>
          </w:tcPr>
          <w:p w14:paraId="65092771" w14:textId="3A8E0819" w:rsidR="003F447A" w:rsidRPr="00B275E2" w:rsidRDefault="003F447A" w:rsidP="007F0B1E">
            <w:pPr>
              <w:pStyle w:val="TableText"/>
              <w:spacing w:before="50" w:after="50"/>
              <w:rPr>
                <w:rFonts w:cs="Calibri"/>
                <w:szCs w:val="18"/>
              </w:rPr>
            </w:pPr>
            <w:r w:rsidRPr="00B275E2">
              <w:rPr>
                <w:rFonts w:cs="Calibri"/>
                <w:color w:val="000000"/>
                <w:szCs w:val="18"/>
              </w:rPr>
              <w:t xml:space="preserve">5,000 - </w:t>
            </w:r>
            <w:r w:rsidRPr="00B275E2">
              <w:rPr>
                <w:rFonts w:cs="Calibri"/>
                <w:szCs w:val="18"/>
              </w:rPr>
              <w:t>&lt;</w:t>
            </w:r>
            <w:r w:rsidRPr="00B275E2">
              <w:rPr>
                <w:rFonts w:cs="Calibri"/>
                <w:color w:val="000000"/>
                <w:szCs w:val="18"/>
              </w:rPr>
              <w:t xml:space="preserve">7,500 kg </w:t>
            </w:r>
          </w:p>
        </w:tc>
        <w:tc>
          <w:tcPr>
            <w:tcW w:w="680" w:type="dxa"/>
            <w:shd w:val="clear" w:color="auto" w:fill="auto"/>
            <w:noWrap/>
            <w:vAlign w:val="bottom"/>
          </w:tcPr>
          <w:p w14:paraId="65092772" w14:textId="77777777" w:rsidR="003F447A" w:rsidRPr="00B275E2" w:rsidRDefault="003F447A" w:rsidP="007F0B1E">
            <w:pPr>
              <w:pStyle w:val="TableText"/>
              <w:spacing w:before="50" w:after="50"/>
              <w:rPr>
                <w:rFonts w:cs="Calibri"/>
                <w:szCs w:val="18"/>
              </w:rPr>
            </w:pPr>
            <w:r w:rsidRPr="00B275E2">
              <w:rPr>
                <w:rFonts w:cs="Calibri"/>
                <w:szCs w:val="18"/>
              </w:rPr>
              <w:t>km</w:t>
            </w:r>
          </w:p>
        </w:tc>
        <w:tc>
          <w:tcPr>
            <w:tcW w:w="1276" w:type="dxa"/>
            <w:shd w:val="clear" w:color="auto" w:fill="D2DDE1" w:themeFill="background2"/>
            <w:noWrap/>
          </w:tcPr>
          <w:p w14:paraId="65092773" w14:textId="48BD4D86" w:rsidR="003F447A" w:rsidRPr="00B275E2" w:rsidRDefault="00723F4F" w:rsidP="007F0B1E">
            <w:pPr>
              <w:pStyle w:val="TableText"/>
              <w:spacing w:before="50" w:after="50"/>
              <w:jc w:val="right"/>
              <w:rPr>
                <w:rFonts w:cs="Calibri"/>
                <w:szCs w:val="18"/>
              </w:rPr>
            </w:pPr>
            <w:r w:rsidRPr="00B275E2">
              <w:rPr>
                <w:rFonts w:cs="Calibri"/>
                <w:szCs w:val="18"/>
              </w:rPr>
              <w:t>0.390</w:t>
            </w:r>
          </w:p>
        </w:tc>
        <w:tc>
          <w:tcPr>
            <w:tcW w:w="1090" w:type="dxa"/>
            <w:shd w:val="clear" w:color="000000" w:fill="FFFFFF"/>
            <w:noWrap/>
          </w:tcPr>
          <w:p w14:paraId="65092774" w14:textId="2153EAE5" w:rsidR="003F447A" w:rsidRPr="00B275E2" w:rsidRDefault="00723F4F" w:rsidP="007F0B1E">
            <w:pPr>
              <w:pStyle w:val="TableText"/>
              <w:spacing w:before="50" w:after="50"/>
              <w:jc w:val="right"/>
              <w:rPr>
                <w:rFonts w:cs="Calibri"/>
                <w:szCs w:val="18"/>
              </w:rPr>
            </w:pPr>
            <w:r w:rsidRPr="00B275E2">
              <w:rPr>
                <w:rFonts w:cs="Calibri"/>
                <w:szCs w:val="18"/>
              </w:rPr>
              <w:t>0.384</w:t>
            </w:r>
          </w:p>
        </w:tc>
        <w:tc>
          <w:tcPr>
            <w:tcW w:w="1171" w:type="dxa"/>
            <w:shd w:val="clear" w:color="000000" w:fill="FFFFFF"/>
            <w:noWrap/>
          </w:tcPr>
          <w:p w14:paraId="65092775" w14:textId="43AE894F" w:rsidR="003F447A" w:rsidRPr="00B275E2" w:rsidRDefault="003F447A" w:rsidP="007F0B1E">
            <w:pPr>
              <w:pStyle w:val="TableText"/>
              <w:spacing w:before="50" w:after="50"/>
              <w:jc w:val="right"/>
              <w:rPr>
                <w:rFonts w:cs="Calibri"/>
                <w:szCs w:val="18"/>
              </w:rPr>
            </w:pPr>
            <w:r w:rsidRPr="00B275E2">
              <w:rPr>
                <w:rFonts w:cs="Calibri"/>
                <w:szCs w:val="18"/>
              </w:rPr>
              <w:t>0.0005</w:t>
            </w:r>
          </w:p>
        </w:tc>
        <w:tc>
          <w:tcPr>
            <w:tcW w:w="1112" w:type="dxa"/>
            <w:shd w:val="clear" w:color="000000" w:fill="FFFFFF"/>
            <w:noWrap/>
          </w:tcPr>
          <w:p w14:paraId="65092776" w14:textId="2B67052C" w:rsidR="003F447A" w:rsidRPr="00B275E2" w:rsidRDefault="003F447A" w:rsidP="007F0B1E">
            <w:pPr>
              <w:pStyle w:val="TableText"/>
              <w:spacing w:before="50" w:after="50"/>
              <w:jc w:val="right"/>
              <w:rPr>
                <w:rFonts w:cs="Calibri"/>
                <w:szCs w:val="18"/>
              </w:rPr>
            </w:pPr>
            <w:r w:rsidRPr="00B275E2">
              <w:rPr>
                <w:rFonts w:cs="Calibri"/>
                <w:szCs w:val="18"/>
              </w:rPr>
              <w:t>0.00</w:t>
            </w:r>
            <w:r w:rsidR="009855C6" w:rsidRPr="00B275E2">
              <w:rPr>
                <w:rFonts w:cs="Calibri"/>
                <w:szCs w:val="18"/>
              </w:rPr>
              <w:t>61</w:t>
            </w:r>
          </w:p>
        </w:tc>
      </w:tr>
      <w:tr w:rsidR="003F447A" w:rsidRPr="00B275E2" w14:paraId="6509277F" w14:textId="77777777" w:rsidTr="008E713C">
        <w:tc>
          <w:tcPr>
            <w:tcW w:w="1465" w:type="dxa"/>
            <w:vMerge/>
          </w:tcPr>
          <w:p w14:paraId="65092778" w14:textId="77777777" w:rsidR="003F447A" w:rsidRPr="00B275E2" w:rsidRDefault="003F447A" w:rsidP="007F0B1E">
            <w:pPr>
              <w:pStyle w:val="TableText"/>
              <w:spacing w:before="50" w:after="50"/>
              <w:rPr>
                <w:rFonts w:cs="Calibri"/>
                <w:szCs w:val="18"/>
              </w:rPr>
            </w:pPr>
          </w:p>
        </w:tc>
        <w:tc>
          <w:tcPr>
            <w:tcW w:w="1719" w:type="dxa"/>
            <w:shd w:val="clear" w:color="auto" w:fill="auto"/>
            <w:noWrap/>
          </w:tcPr>
          <w:p w14:paraId="65092779" w14:textId="584D042E" w:rsidR="003F447A" w:rsidRPr="00B275E2" w:rsidRDefault="003F447A" w:rsidP="007F0B1E">
            <w:pPr>
              <w:pStyle w:val="TableText"/>
              <w:spacing w:before="50" w:after="50"/>
              <w:rPr>
                <w:rFonts w:cs="Calibri"/>
                <w:szCs w:val="18"/>
              </w:rPr>
            </w:pPr>
            <w:r w:rsidRPr="00B275E2">
              <w:rPr>
                <w:rFonts w:cs="Calibri"/>
                <w:color w:val="000000"/>
                <w:szCs w:val="18"/>
              </w:rPr>
              <w:t xml:space="preserve">7,500 - </w:t>
            </w:r>
            <w:r w:rsidRPr="00B275E2">
              <w:rPr>
                <w:rFonts w:cs="Calibri"/>
                <w:szCs w:val="18"/>
              </w:rPr>
              <w:t>&lt;</w:t>
            </w:r>
            <w:r w:rsidRPr="00B275E2">
              <w:rPr>
                <w:rFonts w:cs="Calibri"/>
                <w:color w:val="000000"/>
                <w:szCs w:val="18"/>
              </w:rPr>
              <w:t>10,000 kg</w:t>
            </w:r>
          </w:p>
        </w:tc>
        <w:tc>
          <w:tcPr>
            <w:tcW w:w="680" w:type="dxa"/>
            <w:shd w:val="clear" w:color="auto" w:fill="auto"/>
            <w:noWrap/>
            <w:vAlign w:val="bottom"/>
          </w:tcPr>
          <w:p w14:paraId="6509277A" w14:textId="77777777" w:rsidR="003F447A" w:rsidRPr="00B275E2" w:rsidRDefault="003F447A" w:rsidP="007F0B1E">
            <w:pPr>
              <w:pStyle w:val="TableText"/>
              <w:spacing w:before="50" w:after="50"/>
              <w:rPr>
                <w:rFonts w:cs="Calibri"/>
                <w:szCs w:val="18"/>
              </w:rPr>
            </w:pPr>
            <w:r w:rsidRPr="00B275E2">
              <w:rPr>
                <w:rFonts w:cs="Calibri"/>
                <w:szCs w:val="18"/>
              </w:rPr>
              <w:t>km</w:t>
            </w:r>
          </w:p>
        </w:tc>
        <w:tc>
          <w:tcPr>
            <w:tcW w:w="1276" w:type="dxa"/>
            <w:shd w:val="clear" w:color="auto" w:fill="D2DDE1" w:themeFill="background2"/>
            <w:noWrap/>
          </w:tcPr>
          <w:p w14:paraId="6509277B" w14:textId="2A3E2262" w:rsidR="003F447A" w:rsidRPr="00B275E2" w:rsidRDefault="008A624D" w:rsidP="007F0B1E">
            <w:pPr>
              <w:pStyle w:val="TableText"/>
              <w:spacing w:before="50" w:after="50"/>
              <w:jc w:val="right"/>
              <w:rPr>
                <w:rFonts w:cs="Calibri"/>
                <w:szCs w:val="18"/>
              </w:rPr>
            </w:pPr>
            <w:r w:rsidRPr="00B275E2">
              <w:rPr>
                <w:rFonts w:cs="Calibri"/>
                <w:szCs w:val="18"/>
              </w:rPr>
              <w:t>0.477</w:t>
            </w:r>
          </w:p>
        </w:tc>
        <w:tc>
          <w:tcPr>
            <w:tcW w:w="1090" w:type="dxa"/>
            <w:shd w:val="clear" w:color="000000" w:fill="FFFFFF"/>
            <w:noWrap/>
          </w:tcPr>
          <w:p w14:paraId="6509277C" w14:textId="2CB9C253" w:rsidR="003F447A" w:rsidRPr="00B275E2" w:rsidRDefault="0071751C" w:rsidP="007F0B1E">
            <w:pPr>
              <w:pStyle w:val="TableText"/>
              <w:spacing w:before="50" w:after="50"/>
              <w:jc w:val="right"/>
              <w:rPr>
                <w:rFonts w:cs="Calibri"/>
                <w:szCs w:val="18"/>
              </w:rPr>
            </w:pPr>
            <w:r w:rsidRPr="00B275E2">
              <w:rPr>
                <w:rFonts w:cs="Calibri"/>
                <w:szCs w:val="18"/>
              </w:rPr>
              <w:t>0.470</w:t>
            </w:r>
          </w:p>
        </w:tc>
        <w:tc>
          <w:tcPr>
            <w:tcW w:w="1171" w:type="dxa"/>
            <w:shd w:val="clear" w:color="000000" w:fill="FFFFFF"/>
            <w:noWrap/>
          </w:tcPr>
          <w:p w14:paraId="6509277D" w14:textId="6D60B0E2" w:rsidR="003F447A" w:rsidRPr="00B275E2" w:rsidRDefault="003F447A" w:rsidP="007F0B1E">
            <w:pPr>
              <w:pStyle w:val="TableText"/>
              <w:spacing w:before="50" w:after="50"/>
              <w:jc w:val="right"/>
              <w:rPr>
                <w:rFonts w:cs="Calibri"/>
                <w:szCs w:val="18"/>
              </w:rPr>
            </w:pPr>
            <w:r w:rsidRPr="00B275E2">
              <w:rPr>
                <w:rFonts w:cs="Calibri"/>
                <w:szCs w:val="18"/>
              </w:rPr>
              <w:t>0.000</w:t>
            </w:r>
            <w:r w:rsidR="0071751C" w:rsidRPr="00B275E2">
              <w:rPr>
                <w:rFonts w:cs="Calibri"/>
                <w:szCs w:val="18"/>
              </w:rPr>
              <w:t>6</w:t>
            </w:r>
          </w:p>
        </w:tc>
        <w:tc>
          <w:tcPr>
            <w:tcW w:w="1112" w:type="dxa"/>
            <w:shd w:val="clear" w:color="000000" w:fill="FFFFFF"/>
            <w:noWrap/>
          </w:tcPr>
          <w:p w14:paraId="6509277E" w14:textId="316EB9ED" w:rsidR="003F447A" w:rsidRPr="00B275E2" w:rsidRDefault="003F447A" w:rsidP="007F0B1E">
            <w:pPr>
              <w:pStyle w:val="TableText"/>
              <w:spacing w:before="50" w:after="50"/>
              <w:jc w:val="right"/>
              <w:rPr>
                <w:rFonts w:cs="Calibri"/>
                <w:szCs w:val="18"/>
              </w:rPr>
            </w:pPr>
            <w:r w:rsidRPr="00B275E2">
              <w:rPr>
                <w:rFonts w:cs="Calibri"/>
                <w:szCs w:val="18"/>
              </w:rPr>
              <w:t>0.007</w:t>
            </w:r>
            <w:r w:rsidR="0071751C" w:rsidRPr="00B275E2">
              <w:rPr>
                <w:rFonts w:cs="Calibri"/>
                <w:szCs w:val="18"/>
              </w:rPr>
              <w:t>5</w:t>
            </w:r>
          </w:p>
        </w:tc>
      </w:tr>
      <w:tr w:rsidR="003F447A" w:rsidRPr="00B275E2" w14:paraId="65092787" w14:textId="77777777" w:rsidTr="008E713C">
        <w:tc>
          <w:tcPr>
            <w:tcW w:w="1465" w:type="dxa"/>
            <w:vMerge/>
            <w:hideMark/>
          </w:tcPr>
          <w:p w14:paraId="65092780" w14:textId="77777777" w:rsidR="003F447A" w:rsidRPr="00B275E2" w:rsidRDefault="003F447A" w:rsidP="007F0B1E">
            <w:pPr>
              <w:pStyle w:val="TableText"/>
              <w:spacing w:before="50" w:after="50"/>
              <w:rPr>
                <w:rFonts w:cs="Calibri"/>
                <w:szCs w:val="18"/>
              </w:rPr>
            </w:pPr>
          </w:p>
        </w:tc>
        <w:tc>
          <w:tcPr>
            <w:tcW w:w="1719" w:type="dxa"/>
            <w:shd w:val="clear" w:color="auto" w:fill="auto"/>
            <w:noWrap/>
          </w:tcPr>
          <w:p w14:paraId="65092781" w14:textId="18532084" w:rsidR="003F447A" w:rsidRPr="00B275E2" w:rsidRDefault="003F447A" w:rsidP="007F0B1E">
            <w:pPr>
              <w:pStyle w:val="TableText"/>
              <w:spacing w:before="50" w:after="50"/>
              <w:rPr>
                <w:rFonts w:cs="Calibri"/>
                <w:szCs w:val="18"/>
              </w:rPr>
            </w:pPr>
            <w:r w:rsidRPr="00B275E2">
              <w:rPr>
                <w:rFonts w:cs="Calibri"/>
                <w:color w:val="000000"/>
                <w:szCs w:val="18"/>
              </w:rPr>
              <w:t xml:space="preserve">10,000 - </w:t>
            </w:r>
            <w:r w:rsidRPr="00B275E2">
              <w:rPr>
                <w:rFonts w:cs="Calibri"/>
                <w:szCs w:val="18"/>
              </w:rPr>
              <w:t>&lt;</w:t>
            </w:r>
            <w:r w:rsidRPr="00B275E2">
              <w:rPr>
                <w:rFonts w:cs="Calibri"/>
                <w:color w:val="000000"/>
                <w:szCs w:val="18"/>
              </w:rPr>
              <w:t xml:space="preserve">12,000 kg </w:t>
            </w:r>
          </w:p>
        </w:tc>
        <w:tc>
          <w:tcPr>
            <w:tcW w:w="680" w:type="dxa"/>
            <w:shd w:val="clear" w:color="auto" w:fill="auto"/>
            <w:noWrap/>
            <w:vAlign w:val="bottom"/>
          </w:tcPr>
          <w:p w14:paraId="65092782" w14:textId="77777777" w:rsidR="003F447A" w:rsidRPr="00B275E2" w:rsidRDefault="003F447A" w:rsidP="007F0B1E">
            <w:pPr>
              <w:pStyle w:val="TableText"/>
              <w:spacing w:before="50" w:after="50"/>
              <w:rPr>
                <w:rFonts w:cs="Calibri"/>
                <w:szCs w:val="18"/>
              </w:rPr>
            </w:pPr>
            <w:r w:rsidRPr="00B275E2">
              <w:rPr>
                <w:rFonts w:cs="Calibri"/>
                <w:szCs w:val="18"/>
              </w:rPr>
              <w:t>km</w:t>
            </w:r>
          </w:p>
        </w:tc>
        <w:tc>
          <w:tcPr>
            <w:tcW w:w="1276" w:type="dxa"/>
            <w:shd w:val="clear" w:color="auto" w:fill="D2DDE1" w:themeFill="background2"/>
            <w:noWrap/>
          </w:tcPr>
          <w:p w14:paraId="65092783" w14:textId="7FDF7B41" w:rsidR="003F447A" w:rsidRPr="00B275E2" w:rsidRDefault="0071751C" w:rsidP="007F0B1E">
            <w:pPr>
              <w:pStyle w:val="TableText"/>
              <w:spacing w:before="50" w:after="50"/>
              <w:jc w:val="right"/>
              <w:rPr>
                <w:rFonts w:cs="Calibri"/>
                <w:szCs w:val="18"/>
              </w:rPr>
            </w:pPr>
            <w:r w:rsidRPr="00B275E2">
              <w:rPr>
                <w:rFonts w:cs="Calibri"/>
                <w:szCs w:val="18"/>
              </w:rPr>
              <w:t>0.565</w:t>
            </w:r>
          </w:p>
        </w:tc>
        <w:tc>
          <w:tcPr>
            <w:tcW w:w="1090" w:type="dxa"/>
            <w:shd w:val="clear" w:color="000000" w:fill="FFFFFF"/>
            <w:noWrap/>
          </w:tcPr>
          <w:p w14:paraId="65092784" w14:textId="3B887BBA" w:rsidR="003F447A" w:rsidRPr="00B275E2" w:rsidRDefault="0071751C" w:rsidP="007F0B1E">
            <w:pPr>
              <w:pStyle w:val="TableText"/>
              <w:spacing w:before="50" w:after="50"/>
              <w:jc w:val="right"/>
              <w:rPr>
                <w:rFonts w:cs="Calibri"/>
                <w:szCs w:val="18"/>
              </w:rPr>
            </w:pPr>
            <w:r w:rsidRPr="00B275E2">
              <w:rPr>
                <w:rFonts w:cs="Calibri"/>
                <w:szCs w:val="18"/>
              </w:rPr>
              <w:t>0.557</w:t>
            </w:r>
          </w:p>
        </w:tc>
        <w:tc>
          <w:tcPr>
            <w:tcW w:w="1171" w:type="dxa"/>
            <w:shd w:val="clear" w:color="000000" w:fill="FFFFFF"/>
            <w:noWrap/>
          </w:tcPr>
          <w:p w14:paraId="65092785" w14:textId="7DFF6602" w:rsidR="003F447A" w:rsidRPr="00B275E2" w:rsidRDefault="003F447A" w:rsidP="007F0B1E">
            <w:pPr>
              <w:pStyle w:val="TableText"/>
              <w:spacing w:before="50" w:after="50"/>
              <w:jc w:val="right"/>
              <w:rPr>
                <w:rFonts w:cs="Calibri"/>
                <w:szCs w:val="18"/>
              </w:rPr>
            </w:pPr>
            <w:r w:rsidRPr="00B275E2">
              <w:rPr>
                <w:rFonts w:cs="Calibri"/>
                <w:szCs w:val="18"/>
              </w:rPr>
              <w:t>0.000</w:t>
            </w:r>
            <w:r w:rsidR="0071751C" w:rsidRPr="00B275E2">
              <w:rPr>
                <w:rFonts w:cs="Calibri"/>
                <w:szCs w:val="18"/>
              </w:rPr>
              <w:t>7</w:t>
            </w:r>
          </w:p>
        </w:tc>
        <w:tc>
          <w:tcPr>
            <w:tcW w:w="1112" w:type="dxa"/>
            <w:shd w:val="clear" w:color="000000" w:fill="FFFFFF"/>
            <w:noWrap/>
          </w:tcPr>
          <w:p w14:paraId="65092786" w14:textId="49F959F4" w:rsidR="003F447A" w:rsidRPr="00B275E2" w:rsidRDefault="003F447A" w:rsidP="007F0B1E">
            <w:pPr>
              <w:pStyle w:val="TableText"/>
              <w:spacing w:before="50" w:after="50"/>
              <w:jc w:val="right"/>
              <w:rPr>
                <w:rFonts w:cs="Calibri"/>
                <w:szCs w:val="18"/>
              </w:rPr>
            </w:pPr>
            <w:r w:rsidRPr="00B275E2">
              <w:rPr>
                <w:rFonts w:cs="Calibri"/>
                <w:szCs w:val="18"/>
              </w:rPr>
              <w:t>0.00</w:t>
            </w:r>
            <w:r w:rsidR="00BC30D1" w:rsidRPr="00B275E2">
              <w:rPr>
                <w:rFonts w:cs="Calibri"/>
                <w:szCs w:val="18"/>
              </w:rPr>
              <w:t>89</w:t>
            </w:r>
          </w:p>
        </w:tc>
      </w:tr>
      <w:tr w:rsidR="003F447A" w:rsidRPr="00B275E2" w14:paraId="6509278F" w14:textId="77777777" w:rsidTr="008E713C">
        <w:tc>
          <w:tcPr>
            <w:tcW w:w="1465" w:type="dxa"/>
            <w:vMerge/>
            <w:hideMark/>
          </w:tcPr>
          <w:p w14:paraId="65092788" w14:textId="77777777" w:rsidR="003F447A" w:rsidRPr="00B275E2" w:rsidRDefault="003F447A" w:rsidP="007F0B1E">
            <w:pPr>
              <w:pStyle w:val="TableText"/>
              <w:spacing w:before="50" w:after="50"/>
              <w:rPr>
                <w:rFonts w:cs="Calibri"/>
                <w:szCs w:val="18"/>
              </w:rPr>
            </w:pPr>
          </w:p>
        </w:tc>
        <w:tc>
          <w:tcPr>
            <w:tcW w:w="1719" w:type="dxa"/>
            <w:shd w:val="clear" w:color="auto" w:fill="auto"/>
            <w:noWrap/>
          </w:tcPr>
          <w:p w14:paraId="65092789" w14:textId="63F996ED" w:rsidR="003F447A" w:rsidRPr="00B275E2" w:rsidRDefault="003F447A" w:rsidP="007F0B1E">
            <w:pPr>
              <w:pStyle w:val="TableText"/>
              <w:spacing w:before="50" w:after="50"/>
              <w:rPr>
                <w:rFonts w:cs="Calibri"/>
                <w:szCs w:val="18"/>
              </w:rPr>
            </w:pPr>
            <w:r w:rsidRPr="00B275E2">
              <w:rPr>
                <w:rFonts w:cs="Calibri"/>
                <w:color w:val="000000"/>
                <w:szCs w:val="18"/>
              </w:rPr>
              <w:t xml:space="preserve">12,000 - </w:t>
            </w:r>
            <w:r w:rsidRPr="00B275E2">
              <w:rPr>
                <w:rFonts w:cs="Calibri"/>
                <w:szCs w:val="18"/>
              </w:rPr>
              <w:t>&lt;</w:t>
            </w:r>
            <w:r w:rsidRPr="00B275E2">
              <w:rPr>
                <w:rFonts w:cs="Calibri"/>
                <w:color w:val="000000"/>
                <w:szCs w:val="18"/>
              </w:rPr>
              <w:t xml:space="preserve">15,000 kg </w:t>
            </w:r>
          </w:p>
        </w:tc>
        <w:tc>
          <w:tcPr>
            <w:tcW w:w="680" w:type="dxa"/>
            <w:shd w:val="clear" w:color="auto" w:fill="auto"/>
            <w:noWrap/>
            <w:vAlign w:val="bottom"/>
          </w:tcPr>
          <w:p w14:paraId="6509278A" w14:textId="77777777" w:rsidR="003F447A" w:rsidRPr="00B275E2" w:rsidRDefault="003F447A" w:rsidP="007F0B1E">
            <w:pPr>
              <w:pStyle w:val="TableText"/>
              <w:spacing w:before="50" w:after="50"/>
              <w:rPr>
                <w:rFonts w:cs="Calibri"/>
                <w:szCs w:val="18"/>
              </w:rPr>
            </w:pPr>
            <w:r w:rsidRPr="00B275E2">
              <w:rPr>
                <w:rFonts w:cs="Calibri"/>
                <w:szCs w:val="18"/>
              </w:rPr>
              <w:t>km</w:t>
            </w:r>
          </w:p>
        </w:tc>
        <w:tc>
          <w:tcPr>
            <w:tcW w:w="1276" w:type="dxa"/>
            <w:shd w:val="clear" w:color="auto" w:fill="D2DDE1" w:themeFill="background2"/>
            <w:noWrap/>
          </w:tcPr>
          <w:p w14:paraId="6509278B" w14:textId="7DFCCFF6" w:rsidR="003F447A" w:rsidRPr="00B275E2" w:rsidRDefault="00BC30D1" w:rsidP="007F0B1E">
            <w:pPr>
              <w:pStyle w:val="TableText"/>
              <w:spacing w:before="50" w:after="50"/>
              <w:jc w:val="right"/>
              <w:rPr>
                <w:rFonts w:cs="Calibri"/>
                <w:szCs w:val="18"/>
              </w:rPr>
            </w:pPr>
            <w:r w:rsidRPr="00B275E2">
              <w:rPr>
                <w:rFonts w:cs="Calibri"/>
                <w:szCs w:val="18"/>
              </w:rPr>
              <w:t>0.642</w:t>
            </w:r>
          </w:p>
        </w:tc>
        <w:tc>
          <w:tcPr>
            <w:tcW w:w="1090" w:type="dxa"/>
            <w:shd w:val="clear" w:color="000000" w:fill="FFFFFF"/>
            <w:noWrap/>
          </w:tcPr>
          <w:p w14:paraId="6509278C" w14:textId="66C306E7" w:rsidR="003F447A" w:rsidRPr="00B275E2" w:rsidRDefault="00BC30D1" w:rsidP="007F0B1E">
            <w:pPr>
              <w:pStyle w:val="TableText"/>
              <w:spacing w:before="50" w:after="50"/>
              <w:jc w:val="right"/>
              <w:rPr>
                <w:rFonts w:cs="Calibri"/>
                <w:szCs w:val="18"/>
              </w:rPr>
            </w:pPr>
            <w:r w:rsidRPr="00B275E2">
              <w:rPr>
                <w:rFonts w:cs="Calibri"/>
                <w:szCs w:val="18"/>
              </w:rPr>
              <w:t>0.633</w:t>
            </w:r>
          </w:p>
        </w:tc>
        <w:tc>
          <w:tcPr>
            <w:tcW w:w="1171" w:type="dxa"/>
            <w:shd w:val="clear" w:color="000000" w:fill="FFFFFF"/>
            <w:noWrap/>
          </w:tcPr>
          <w:p w14:paraId="6509278D" w14:textId="62ECB38B" w:rsidR="003F447A" w:rsidRPr="00B275E2" w:rsidRDefault="003F447A" w:rsidP="007F0B1E">
            <w:pPr>
              <w:pStyle w:val="TableText"/>
              <w:spacing w:before="50" w:after="50"/>
              <w:jc w:val="right"/>
              <w:rPr>
                <w:rFonts w:cs="Calibri"/>
                <w:szCs w:val="18"/>
              </w:rPr>
            </w:pPr>
            <w:r w:rsidRPr="00B275E2">
              <w:rPr>
                <w:rFonts w:cs="Calibri"/>
                <w:szCs w:val="18"/>
              </w:rPr>
              <w:t>0.000</w:t>
            </w:r>
            <w:r w:rsidR="00BC30D1" w:rsidRPr="00B275E2">
              <w:rPr>
                <w:rFonts w:cs="Calibri"/>
                <w:szCs w:val="18"/>
              </w:rPr>
              <w:t>8</w:t>
            </w:r>
          </w:p>
        </w:tc>
        <w:tc>
          <w:tcPr>
            <w:tcW w:w="1112" w:type="dxa"/>
            <w:shd w:val="clear" w:color="000000" w:fill="FFFFFF"/>
            <w:noWrap/>
          </w:tcPr>
          <w:p w14:paraId="6509278E" w14:textId="2DB0BD5B" w:rsidR="003F447A" w:rsidRPr="00B275E2" w:rsidRDefault="003F447A" w:rsidP="007F0B1E">
            <w:pPr>
              <w:pStyle w:val="TableText"/>
              <w:spacing w:before="50" w:after="50"/>
              <w:jc w:val="right"/>
              <w:rPr>
                <w:rFonts w:cs="Calibri"/>
                <w:szCs w:val="18"/>
              </w:rPr>
            </w:pPr>
            <w:r w:rsidRPr="00B275E2">
              <w:rPr>
                <w:rFonts w:cs="Calibri"/>
                <w:szCs w:val="18"/>
              </w:rPr>
              <w:t>0.010</w:t>
            </w:r>
            <w:r w:rsidR="00BC30D1" w:rsidRPr="00B275E2">
              <w:rPr>
                <w:rFonts w:cs="Calibri"/>
                <w:szCs w:val="18"/>
              </w:rPr>
              <w:t>1</w:t>
            </w:r>
          </w:p>
        </w:tc>
      </w:tr>
      <w:tr w:rsidR="003F447A" w:rsidRPr="00B275E2" w14:paraId="65092797" w14:textId="77777777" w:rsidTr="008E713C">
        <w:tc>
          <w:tcPr>
            <w:tcW w:w="1465" w:type="dxa"/>
            <w:vMerge/>
            <w:hideMark/>
          </w:tcPr>
          <w:p w14:paraId="65092790" w14:textId="77777777" w:rsidR="003F447A" w:rsidRPr="00B275E2" w:rsidRDefault="003F447A" w:rsidP="007F0B1E">
            <w:pPr>
              <w:pStyle w:val="TableText"/>
              <w:spacing w:before="50" w:after="50"/>
              <w:rPr>
                <w:rFonts w:cs="Calibri"/>
                <w:szCs w:val="18"/>
              </w:rPr>
            </w:pPr>
          </w:p>
        </w:tc>
        <w:tc>
          <w:tcPr>
            <w:tcW w:w="1719" w:type="dxa"/>
            <w:shd w:val="clear" w:color="auto" w:fill="auto"/>
            <w:noWrap/>
          </w:tcPr>
          <w:p w14:paraId="65092791" w14:textId="704C2688" w:rsidR="003F447A" w:rsidRPr="00B275E2" w:rsidRDefault="003F447A" w:rsidP="007F0B1E">
            <w:pPr>
              <w:pStyle w:val="TableText"/>
              <w:spacing w:before="50" w:after="50"/>
              <w:rPr>
                <w:rFonts w:cs="Calibri"/>
                <w:szCs w:val="18"/>
              </w:rPr>
            </w:pPr>
            <w:r w:rsidRPr="00B275E2">
              <w:rPr>
                <w:rFonts w:cs="Calibri"/>
                <w:color w:val="000000"/>
                <w:szCs w:val="18"/>
              </w:rPr>
              <w:t xml:space="preserve">15,000 - </w:t>
            </w:r>
            <w:r w:rsidRPr="00B275E2">
              <w:rPr>
                <w:rFonts w:cs="Calibri"/>
                <w:szCs w:val="18"/>
              </w:rPr>
              <w:t>&lt;</w:t>
            </w:r>
            <w:r w:rsidRPr="00B275E2">
              <w:rPr>
                <w:rFonts w:cs="Calibri"/>
                <w:color w:val="000000"/>
                <w:szCs w:val="18"/>
              </w:rPr>
              <w:t xml:space="preserve">20,000 kg </w:t>
            </w:r>
          </w:p>
        </w:tc>
        <w:tc>
          <w:tcPr>
            <w:tcW w:w="680" w:type="dxa"/>
            <w:shd w:val="clear" w:color="auto" w:fill="auto"/>
            <w:noWrap/>
            <w:vAlign w:val="bottom"/>
          </w:tcPr>
          <w:p w14:paraId="65092792" w14:textId="77777777" w:rsidR="003F447A" w:rsidRPr="00B275E2" w:rsidRDefault="003F447A" w:rsidP="007F0B1E">
            <w:pPr>
              <w:pStyle w:val="TableText"/>
              <w:spacing w:before="50" w:after="50"/>
              <w:rPr>
                <w:rFonts w:cs="Calibri"/>
                <w:szCs w:val="18"/>
              </w:rPr>
            </w:pPr>
            <w:r w:rsidRPr="00B275E2">
              <w:rPr>
                <w:rFonts w:cs="Calibri"/>
                <w:szCs w:val="18"/>
              </w:rPr>
              <w:t>km</w:t>
            </w:r>
          </w:p>
        </w:tc>
        <w:tc>
          <w:tcPr>
            <w:tcW w:w="1276" w:type="dxa"/>
            <w:shd w:val="clear" w:color="auto" w:fill="D2DDE1" w:themeFill="background2"/>
            <w:noWrap/>
          </w:tcPr>
          <w:p w14:paraId="65092793" w14:textId="705D0813" w:rsidR="003F447A" w:rsidRPr="00B275E2" w:rsidRDefault="00BC30D1" w:rsidP="007F0B1E">
            <w:pPr>
              <w:pStyle w:val="TableText"/>
              <w:spacing w:before="50" w:after="50"/>
              <w:jc w:val="right"/>
              <w:rPr>
                <w:rFonts w:cs="Calibri"/>
                <w:szCs w:val="18"/>
              </w:rPr>
            </w:pPr>
            <w:r w:rsidRPr="00B275E2">
              <w:rPr>
                <w:rFonts w:cs="Calibri"/>
                <w:szCs w:val="18"/>
              </w:rPr>
              <w:t>0.870</w:t>
            </w:r>
          </w:p>
        </w:tc>
        <w:tc>
          <w:tcPr>
            <w:tcW w:w="1090" w:type="dxa"/>
            <w:shd w:val="clear" w:color="000000" w:fill="FFFFFF"/>
            <w:noWrap/>
          </w:tcPr>
          <w:p w14:paraId="65092794" w14:textId="3C0BADB3" w:rsidR="003F447A" w:rsidRPr="00B275E2" w:rsidRDefault="00907BF8" w:rsidP="007F0B1E">
            <w:pPr>
              <w:pStyle w:val="TableText"/>
              <w:spacing w:before="50" w:after="50"/>
              <w:jc w:val="right"/>
              <w:rPr>
                <w:rFonts w:cs="Calibri"/>
                <w:szCs w:val="18"/>
              </w:rPr>
            </w:pPr>
            <w:r w:rsidRPr="00B275E2">
              <w:rPr>
                <w:rFonts w:cs="Calibri"/>
                <w:szCs w:val="18"/>
              </w:rPr>
              <w:t>0.857</w:t>
            </w:r>
          </w:p>
        </w:tc>
        <w:tc>
          <w:tcPr>
            <w:tcW w:w="1171" w:type="dxa"/>
            <w:shd w:val="clear" w:color="000000" w:fill="FFFFFF"/>
            <w:noWrap/>
          </w:tcPr>
          <w:p w14:paraId="65092795" w14:textId="27137BFA" w:rsidR="003F447A" w:rsidRPr="00B275E2" w:rsidRDefault="003F447A" w:rsidP="007F0B1E">
            <w:pPr>
              <w:pStyle w:val="TableText"/>
              <w:spacing w:before="50" w:after="50"/>
              <w:jc w:val="right"/>
              <w:rPr>
                <w:rFonts w:cs="Calibri"/>
                <w:szCs w:val="18"/>
              </w:rPr>
            </w:pPr>
            <w:r w:rsidRPr="00B275E2">
              <w:rPr>
                <w:rFonts w:cs="Calibri"/>
                <w:szCs w:val="18"/>
              </w:rPr>
              <w:t>0.001</w:t>
            </w:r>
            <w:r w:rsidR="00907BF8" w:rsidRPr="00B275E2">
              <w:rPr>
                <w:rFonts w:cs="Calibri"/>
                <w:szCs w:val="18"/>
              </w:rPr>
              <w:t>1</w:t>
            </w:r>
          </w:p>
        </w:tc>
        <w:tc>
          <w:tcPr>
            <w:tcW w:w="1112" w:type="dxa"/>
            <w:shd w:val="clear" w:color="000000" w:fill="FFFFFF"/>
            <w:noWrap/>
          </w:tcPr>
          <w:p w14:paraId="65092796" w14:textId="3187F864" w:rsidR="003F447A" w:rsidRPr="00B275E2" w:rsidRDefault="003F447A" w:rsidP="007F0B1E">
            <w:pPr>
              <w:pStyle w:val="TableText"/>
              <w:spacing w:before="50" w:after="50"/>
              <w:jc w:val="right"/>
              <w:rPr>
                <w:rFonts w:cs="Calibri"/>
                <w:szCs w:val="18"/>
              </w:rPr>
            </w:pPr>
            <w:r w:rsidRPr="00B275E2">
              <w:rPr>
                <w:rFonts w:cs="Calibri"/>
                <w:szCs w:val="18"/>
              </w:rPr>
              <w:t>0.01</w:t>
            </w:r>
            <w:r w:rsidR="00907BF8" w:rsidRPr="00B275E2">
              <w:rPr>
                <w:rFonts w:cs="Calibri"/>
                <w:szCs w:val="18"/>
              </w:rPr>
              <w:t>36</w:t>
            </w:r>
          </w:p>
        </w:tc>
      </w:tr>
      <w:tr w:rsidR="003F447A" w:rsidRPr="00B275E2" w14:paraId="6509279F" w14:textId="77777777" w:rsidTr="008E713C">
        <w:tc>
          <w:tcPr>
            <w:tcW w:w="1465" w:type="dxa"/>
            <w:vMerge/>
            <w:hideMark/>
          </w:tcPr>
          <w:p w14:paraId="65092798" w14:textId="77777777" w:rsidR="003F447A" w:rsidRPr="00B275E2" w:rsidRDefault="003F447A" w:rsidP="007F0B1E">
            <w:pPr>
              <w:pStyle w:val="TableText"/>
              <w:spacing w:before="50" w:after="50"/>
              <w:rPr>
                <w:rFonts w:cs="Calibri"/>
                <w:szCs w:val="18"/>
              </w:rPr>
            </w:pPr>
          </w:p>
        </w:tc>
        <w:tc>
          <w:tcPr>
            <w:tcW w:w="1719" w:type="dxa"/>
            <w:shd w:val="clear" w:color="auto" w:fill="auto"/>
            <w:noWrap/>
          </w:tcPr>
          <w:p w14:paraId="65092799" w14:textId="32956393" w:rsidR="003F447A" w:rsidRPr="00B275E2" w:rsidRDefault="003F447A" w:rsidP="007F0B1E">
            <w:pPr>
              <w:pStyle w:val="TableText"/>
              <w:spacing w:before="50" w:after="50"/>
              <w:rPr>
                <w:rFonts w:cs="Calibri"/>
                <w:szCs w:val="18"/>
              </w:rPr>
            </w:pPr>
            <w:r w:rsidRPr="00B275E2">
              <w:rPr>
                <w:rFonts w:cs="Calibri"/>
                <w:color w:val="000000"/>
                <w:szCs w:val="18"/>
              </w:rPr>
              <w:t xml:space="preserve">20,000 - </w:t>
            </w:r>
            <w:r w:rsidRPr="00B275E2">
              <w:rPr>
                <w:rFonts w:cs="Calibri"/>
                <w:szCs w:val="18"/>
              </w:rPr>
              <w:t>&lt;</w:t>
            </w:r>
            <w:r w:rsidRPr="00B275E2">
              <w:rPr>
                <w:rFonts w:cs="Calibri"/>
                <w:color w:val="000000"/>
                <w:szCs w:val="18"/>
              </w:rPr>
              <w:t xml:space="preserve">25,000 kg </w:t>
            </w:r>
          </w:p>
        </w:tc>
        <w:tc>
          <w:tcPr>
            <w:tcW w:w="680" w:type="dxa"/>
            <w:shd w:val="clear" w:color="auto" w:fill="auto"/>
            <w:noWrap/>
            <w:vAlign w:val="bottom"/>
          </w:tcPr>
          <w:p w14:paraId="6509279A" w14:textId="77777777" w:rsidR="003F447A" w:rsidRPr="00B275E2" w:rsidRDefault="003F447A" w:rsidP="007F0B1E">
            <w:pPr>
              <w:pStyle w:val="TableText"/>
              <w:spacing w:before="50" w:after="50"/>
              <w:rPr>
                <w:rFonts w:cs="Calibri"/>
                <w:szCs w:val="18"/>
              </w:rPr>
            </w:pPr>
            <w:r w:rsidRPr="00B275E2">
              <w:rPr>
                <w:rFonts w:cs="Calibri"/>
                <w:szCs w:val="18"/>
              </w:rPr>
              <w:t>km</w:t>
            </w:r>
          </w:p>
        </w:tc>
        <w:tc>
          <w:tcPr>
            <w:tcW w:w="1276" w:type="dxa"/>
            <w:shd w:val="clear" w:color="auto" w:fill="D2DDE1" w:themeFill="background2"/>
            <w:noWrap/>
          </w:tcPr>
          <w:p w14:paraId="6509279B" w14:textId="4850F49C" w:rsidR="003F447A" w:rsidRPr="00B275E2" w:rsidRDefault="00907BF8" w:rsidP="007F0B1E">
            <w:pPr>
              <w:pStyle w:val="TableText"/>
              <w:spacing w:before="50" w:after="50"/>
              <w:jc w:val="right"/>
              <w:rPr>
                <w:rFonts w:cs="Calibri"/>
                <w:szCs w:val="18"/>
              </w:rPr>
            </w:pPr>
            <w:r w:rsidRPr="00B275E2">
              <w:rPr>
                <w:rFonts w:cs="Calibri"/>
                <w:szCs w:val="18"/>
              </w:rPr>
              <w:t>1.158</w:t>
            </w:r>
          </w:p>
        </w:tc>
        <w:tc>
          <w:tcPr>
            <w:tcW w:w="1090" w:type="dxa"/>
            <w:shd w:val="clear" w:color="000000" w:fill="FFFFFF"/>
            <w:noWrap/>
          </w:tcPr>
          <w:p w14:paraId="6509279C" w14:textId="64C4EE2B" w:rsidR="003F447A" w:rsidRPr="00B275E2" w:rsidRDefault="00C64305" w:rsidP="007F0B1E">
            <w:pPr>
              <w:pStyle w:val="TableText"/>
              <w:spacing w:before="50" w:after="50"/>
              <w:jc w:val="right"/>
              <w:rPr>
                <w:rFonts w:cs="Calibri"/>
                <w:szCs w:val="18"/>
              </w:rPr>
            </w:pPr>
            <w:r w:rsidRPr="00B275E2">
              <w:rPr>
                <w:rFonts w:cs="Calibri"/>
                <w:szCs w:val="18"/>
              </w:rPr>
              <w:t>1.141</w:t>
            </w:r>
          </w:p>
        </w:tc>
        <w:tc>
          <w:tcPr>
            <w:tcW w:w="1171" w:type="dxa"/>
            <w:shd w:val="clear" w:color="000000" w:fill="FFFFFF"/>
            <w:noWrap/>
          </w:tcPr>
          <w:p w14:paraId="6509279D" w14:textId="5CB64710" w:rsidR="003F447A" w:rsidRPr="00B275E2" w:rsidRDefault="003F447A" w:rsidP="007F0B1E">
            <w:pPr>
              <w:pStyle w:val="TableText"/>
              <w:spacing w:before="50" w:after="50"/>
              <w:jc w:val="right"/>
              <w:rPr>
                <w:rFonts w:cs="Calibri"/>
                <w:szCs w:val="18"/>
              </w:rPr>
            </w:pPr>
            <w:r w:rsidRPr="00B275E2">
              <w:rPr>
                <w:rFonts w:cs="Calibri"/>
                <w:szCs w:val="18"/>
              </w:rPr>
              <w:t>0.0015</w:t>
            </w:r>
          </w:p>
        </w:tc>
        <w:tc>
          <w:tcPr>
            <w:tcW w:w="1112" w:type="dxa"/>
            <w:shd w:val="clear" w:color="000000" w:fill="FFFFFF"/>
            <w:noWrap/>
          </w:tcPr>
          <w:p w14:paraId="6509279E" w14:textId="71F1DE3B" w:rsidR="003F447A" w:rsidRPr="00B275E2" w:rsidRDefault="003F447A" w:rsidP="007F0B1E">
            <w:pPr>
              <w:pStyle w:val="TableText"/>
              <w:spacing w:before="50" w:after="50"/>
              <w:jc w:val="right"/>
              <w:rPr>
                <w:rFonts w:cs="Calibri"/>
                <w:szCs w:val="18"/>
              </w:rPr>
            </w:pPr>
            <w:r w:rsidRPr="00B275E2">
              <w:rPr>
                <w:rFonts w:cs="Calibri"/>
                <w:szCs w:val="18"/>
              </w:rPr>
              <w:t>0.01</w:t>
            </w:r>
            <w:r w:rsidR="00C64305" w:rsidRPr="00B275E2">
              <w:rPr>
                <w:rFonts w:cs="Calibri"/>
                <w:szCs w:val="18"/>
              </w:rPr>
              <w:t>82</w:t>
            </w:r>
          </w:p>
        </w:tc>
      </w:tr>
      <w:tr w:rsidR="003F447A" w:rsidRPr="00B275E2" w14:paraId="650927A7" w14:textId="77777777" w:rsidTr="008E713C">
        <w:tc>
          <w:tcPr>
            <w:tcW w:w="1465" w:type="dxa"/>
            <w:vMerge/>
          </w:tcPr>
          <w:p w14:paraId="650927A0" w14:textId="77777777" w:rsidR="003F447A" w:rsidRPr="00B275E2" w:rsidRDefault="003F447A" w:rsidP="007F0B1E">
            <w:pPr>
              <w:pStyle w:val="TableText"/>
              <w:spacing w:before="50" w:after="50"/>
              <w:rPr>
                <w:rFonts w:cs="Calibri"/>
                <w:szCs w:val="18"/>
              </w:rPr>
            </w:pPr>
          </w:p>
        </w:tc>
        <w:tc>
          <w:tcPr>
            <w:tcW w:w="1719" w:type="dxa"/>
            <w:shd w:val="clear" w:color="auto" w:fill="auto"/>
            <w:noWrap/>
          </w:tcPr>
          <w:p w14:paraId="650927A1" w14:textId="44FA0FB7" w:rsidR="003F447A" w:rsidRPr="00B275E2" w:rsidRDefault="003F447A" w:rsidP="007F0B1E">
            <w:pPr>
              <w:pStyle w:val="TableText"/>
              <w:spacing w:before="50" w:after="50"/>
              <w:rPr>
                <w:rFonts w:cs="Calibri"/>
                <w:szCs w:val="18"/>
              </w:rPr>
            </w:pPr>
            <w:r w:rsidRPr="00B275E2">
              <w:rPr>
                <w:rFonts w:cs="Calibri"/>
                <w:color w:val="000000"/>
                <w:szCs w:val="18"/>
              </w:rPr>
              <w:t xml:space="preserve">25,000 - </w:t>
            </w:r>
            <w:r w:rsidRPr="00B275E2">
              <w:rPr>
                <w:rFonts w:cs="Calibri"/>
                <w:szCs w:val="18"/>
              </w:rPr>
              <w:t>&lt;</w:t>
            </w:r>
            <w:r w:rsidRPr="00B275E2">
              <w:rPr>
                <w:rFonts w:cs="Calibri"/>
                <w:color w:val="000000"/>
                <w:szCs w:val="18"/>
              </w:rPr>
              <w:t xml:space="preserve">30,000 kg </w:t>
            </w:r>
          </w:p>
        </w:tc>
        <w:tc>
          <w:tcPr>
            <w:tcW w:w="680" w:type="dxa"/>
            <w:shd w:val="clear" w:color="auto" w:fill="auto"/>
            <w:noWrap/>
            <w:vAlign w:val="bottom"/>
          </w:tcPr>
          <w:p w14:paraId="650927A2" w14:textId="77777777" w:rsidR="003F447A" w:rsidRPr="00B275E2" w:rsidRDefault="003F447A" w:rsidP="007F0B1E">
            <w:pPr>
              <w:pStyle w:val="TableText"/>
              <w:spacing w:before="50" w:after="50"/>
              <w:rPr>
                <w:rFonts w:cs="Calibri"/>
                <w:szCs w:val="18"/>
              </w:rPr>
            </w:pPr>
            <w:r w:rsidRPr="00B275E2">
              <w:rPr>
                <w:rFonts w:cs="Calibri"/>
                <w:szCs w:val="18"/>
              </w:rPr>
              <w:t>km</w:t>
            </w:r>
          </w:p>
        </w:tc>
        <w:tc>
          <w:tcPr>
            <w:tcW w:w="1276" w:type="dxa"/>
            <w:shd w:val="clear" w:color="auto" w:fill="D2DDE1" w:themeFill="background2"/>
            <w:noWrap/>
          </w:tcPr>
          <w:p w14:paraId="650927A3" w14:textId="66E76BE0" w:rsidR="003F447A" w:rsidRPr="00B275E2" w:rsidRDefault="00C64305" w:rsidP="007F0B1E">
            <w:pPr>
              <w:pStyle w:val="TableText"/>
              <w:spacing w:before="50" w:after="50"/>
              <w:jc w:val="right"/>
              <w:rPr>
                <w:rFonts w:cs="Calibri"/>
                <w:szCs w:val="18"/>
              </w:rPr>
            </w:pPr>
            <w:r w:rsidRPr="00B275E2">
              <w:rPr>
                <w:rFonts w:cs="Calibri"/>
                <w:szCs w:val="18"/>
              </w:rPr>
              <w:t>1.338</w:t>
            </w:r>
          </w:p>
        </w:tc>
        <w:tc>
          <w:tcPr>
            <w:tcW w:w="1090" w:type="dxa"/>
            <w:shd w:val="clear" w:color="000000" w:fill="FFFFFF"/>
            <w:noWrap/>
          </w:tcPr>
          <w:p w14:paraId="650927A4" w14:textId="572266B0" w:rsidR="003F447A" w:rsidRPr="00B275E2" w:rsidRDefault="00C64305" w:rsidP="007F0B1E">
            <w:pPr>
              <w:pStyle w:val="TableText"/>
              <w:spacing w:before="50" w:after="50"/>
              <w:jc w:val="right"/>
              <w:rPr>
                <w:rFonts w:cs="Calibri"/>
                <w:szCs w:val="18"/>
              </w:rPr>
            </w:pPr>
            <w:r w:rsidRPr="00B275E2">
              <w:rPr>
                <w:rFonts w:cs="Calibri"/>
                <w:szCs w:val="18"/>
              </w:rPr>
              <w:t>1.318</w:t>
            </w:r>
          </w:p>
        </w:tc>
        <w:tc>
          <w:tcPr>
            <w:tcW w:w="1171" w:type="dxa"/>
            <w:shd w:val="clear" w:color="000000" w:fill="FFFFFF"/>
            <w:noWrap/>
          </w:tcPr>
          <w:p w14:paraId="650927A5" w14:textId="5DCA4082" w:rsidR="003F447A" w:rsidRPr="00B275E2" w:rsidRDefault="003F447A" w:rsidP="007F0B1E">
            <w:pPr>
              <w:pStyle w:val="TableText"/>
              <w:spacing w:before="50" w:after="50"/>
              <w:jc w:val="right"/>
              <w:rPr>
                <w:rFonts w:cs="Calibri"/>
                <w:szCs w:val="18"/>
              </w:rPr>
            </w:pPr>
            <w:r w:rsidRPr="00B275E2">
              <w:rPr>
                <w:rFonts w:cs="Calibri"/>
                <w:szCs w:val="18"/>
              </w:rPr>
              <w:t>0.001</w:t>
            </w:r>
            <w:r w:rsidR="00C64305" w:rsidRPr="00B275E2">
              <w:rPr>
                <w:rFonts w:cs="Calibri"/>
                <w:szCs w:val="18"/>
              </w:rPr>
              <w:t>8</w:t>
            </w:r>
          </w:p>
        </w:tc>
        <w:tc>
          <w:tcPr>
            <w:tcW w:w="1112" w:type="dxa"/>
            <w:shd w:val="clear" w:color="000000" w:fill="FFFFFF"/>
            <w:noWrap/>
          </w:tcPr>
          <w:p w14:paraId="650927A6" w14:textId="33199B83" w:rsidR="003F447A" w:rsidRPr="00B275E2" w:rsidRDefault="003F447A" w:rsidP="007F0B1E">
            <w:pPr>
              <w:pStyle w:val="TableText"/>
              <w:spacing w:before="50" w:after="50"/>
              <w:jc w:val="right"/>
              <w:rPr>
                <w:rFonts w:cs="Calibri"/>
                <w:szCs w:val="18"/>
              </w:rPr>
            </w:pPr>
            <w:r w:rsidRPr="00B275E2">
              <w:rPr>
                <w:rFonts w:cs="Calibri"/>
                <w:szCs w:val="18"/>
              </w:rPr>
              <w:t>0.02</w:t>
            </w:r>
            <w:r w:rsidR="00161A2F" w:rsidRPr="00B275E2">
              <w:rPr>
                <w:rFonts w:cs="Calibri"/>
                <w:szCs w:val="18"/>
              </w:rPr>
              <w:t>10</w:t>
            </w:r>
          </w:p>
        </w:tc>
      </w:tr>
      <w:tr w:rsidR="003F447A" w:rsidRPr="00B275E2" w14:paraId="650927AF" w14:textId="77777777" w:rsidTr="008E713C">
        <w:tc>
          <w:tcPr>
            <w:tcW w:w="1465" w:type="dxa"/>
            <w:vMerge/>
          </w:tcPr>
          <w:p w14:paraId="650927A8" w14:textId="77777777" w:rsidR="003F447A" w:rsidRPr="00B275E2" w:rsidRDefault="003F447A" w:rsidP="007F0B1E">
            <w:pPr>
              <w:pStyle w:val="TableText"/>
              <w:spacing w:before="50" w:after="50"/>
              <w:rPr>
                <w:rFonts w:cs="Calibri"/>
                <w:szCs w:val="18"/>
              </w:rPr>
            </w:pPr>
          </w:p>
        </w:tc>
        <w:tc>
          <w:tcPr>
            <w:tcW w:w="1719" w:type="dxa"/>
            <w:shd w:val="clear" w:color="auto" w:fill="auto"/>
            <w:noWrap/>
          </w:tcPr>
          <w:p w14:paraId="650927A9" w14:textId="7C2CC158" w:rsidR="003F447A" w:rsidRPr="00B275E2" w:rsidRDefault="003F447A" w:rsidP="007F0B1E">
            <w:pPr>
              <w:pStyle w:val="TableText"/>
              <w:spacing w:before="50" w:after="50"/>
              <w:rPr>
                <w:rFonts w:cs="Calibri"/>
                <w:szCs w:val="18"/>
              </w:rPr>
            </w:pPr>
            <w:r w:rsidRPr="00B275E2">
              <w:rPr>
                <w:rFonts w:cs="Calibri"/>
                <w:color w:val="000000"/>
                <w:szCs w:val="18"/>
              </w:rPr>
              <w:t xml:space="preserve">≥30,000 kg </w:t>
            </w:r>
          </w:p>
        </w:tc>
        <w:tc>
          <w:tcPr>
            <w:tcW w:w="680" w:type="dxa"/>
            <w:shd w:val="clear" w:color="auto" w:fill="auto"/>
            <w:noWrap/>
            <w:vAlign w:val="bottom"/>
          </w:tcPr>
          <w:p w14:paraId="650927AA" w14:textId="77777777" w:rsidR="003F447A" w:rsidRPr="00B275E2" w:rsidRDefault="003F447A" w:rsidP="007F0B1E">
            <w:pPr>
              <w:pStyle w:val="TableText"/>
              <w:spacing w:before="50" w:after="50"/>
              <w:rPr>
                <w:rFonts w:cs="Calibri"/>
                <w:szCs w:val="18"/>
              </w:rPr>
            </w:pPr>
            <w:r w:rsidRPr="00B275E2">
              <w:rPr>
                <w:rFonts w:cs="Calibri"/>
                <w:szCs w:val="18"/>
              </w:rPr>
              <w:t>km</w:t>
            </w:r>
          </w:p>
        </w:tc>
        <w:tc>
          <w:tcPr>
            <w:tcW w:w="1276" w:type="dxa"/>
            <w:shd w:val="clear" w:color="auto" w:fill="D2DDE1" w:themeFill="background2"/>
            <w:noWrap/>
          </w:tcPr>
          <w:p w14:paraId="650927AB" w14:textId="786FB3B9" w:rsidR="003F447A" w:rsidRPr="00B275E2" w:rsidRDefault="00161A2F" w:rsidP="007F0B1E">
            <w:pPr>
              <w:pStyle w:val="TableText"/>
              <w:spacing w:before="50" w:after="50"/>
              <w:jc w:val="right"/>
              <w:rPr>
                <w:rFonts w:cs="Calibri"/>
                <w:szCs w:val="18"/>
              </w:rPr>
            </w:pPr>
            <w:r w:rsidRPr="00B275E2">
              <w:rPr>
                <w:rFonts w:cs="Calibri"/>
                <w:szCs w:val="18"/>
              </w:rPr>
              <w:t>1.409</w:t>
            </w:r>
          </w:p>
        </w:tc>
        <w:tc>
          <w:tcPr>
            <w:tcW w:w="1090" w:type="dxa"/>
            <w:shd w:val="clear" w:color="000000" w:fill="FFFFFF"/>
            <w:noWrap/>
          </w:tcPr>
          <w:p w14:paraId="650927AC" w14:textId="704EB6D1" w:rsidR="003F447A" w:rsidRPr="00B275E2" w:rsidRDefault="00161A2F" w:rsidP="007F0B1E">
            <w:pPr>
              <w:pStyle w:val="TableText"/>
              <w:spacing w:before="50" w:after="50"/>
              <w:jc w:val="right"/>
              <w:rPr>
                <w:rFonts w:cs="Calibri"/>
                <w:szCs w:val="18"/>
              </w:rPr>
            </w:pPr>
            <w:r w:rsidRPr="00B275E2">
              <w:rPr>
                <w:rFonts w:cs="Calibri"/>
                <w:szCs w:val="18"/>
              </w:rPr>
              <w:t>1.388</w:t>
            </w:r>
          </w:p>
        </w:tc>
        <w:tc>
          <w:tcPr>
            <w:tcW w:w="1171" w:type="dxa"/>
            <w:shd w:val="clear" w:color="000000" w:fill="FFFFFF"/>
            <w:noWrap/>
          </w:tcPr>
          <w:p w14:paraId="650927AD" w14:textId="16C85E73" w:rsidR="003F447A" w:rsidRPr="00B275E2" w:rsidRDefault="003F447A" w:rsidP="007F0B1E">
            <w:pPr>
              <w:pStyle w:val="TableText"/>
              <w:spacing w:before="50" w:after="50"/>
              <w:jc w:val="right"/>
              <w:rPr>
                <w:rFonts w:cs="Calibri"/>
                <w:szCs w:val="18"/>
              </w:rPr>
            </w:pPr>
            <w:r w:rsidRPr="00B275E2">
              <w:rPr>
                <w:rFonts w:cs="Calibri"/>
                <w:szCs w:val="18"/>
              </w:rPr>
              <w:t>0.001</w:t>
            </w:r>
            <w:r w:rsidR="00161A2F" w:rsidRPr="00B275E2">
              <w:rPr>
                <w:rFonts w:cs="Calibri"/>
                <w:szCs w:val="18"/>
              </w:rPr>
              <w:t>9</w:t>
            </w:r>
          </w:p>
        </w:tc>
        <w:tc>
          <w:tcPr>
            <w:tcW w:w="1112" w:type="dxa"/>
            <w:shd w:val="clear" w:color="000000" w:fill="FFFFFF"/>
            <w:noWrap/>
          </w:tcPr>
          <w:p w14:paraId="650927AE" w14:textId="1FDC1242" w:rsidR="003F447A" w:rsidRPr="00B275E2" w:rsidRDefault="003F447A" w:rsidP="007F0B1E">
            <w:pPr>
              <w:pStyle w:val="TableText"/>
              <w:spacing w:before="50" w:after="50"/>
              <w:jc w:val="right"/>
              <w:rPr>
                <w:rFonts w:cs="Calibri"/>
                <w:szCs w:val="18"/>
              </w:rPr>
            </w:pPr>
            <w:r w:rsidRPr="00B275E2">
              <w:rPr>
                <w:rFonts w:cs="Calibri"/>
                <w:szCs w:val="18"/>
              </w:rPr>
              <w:t>0.022</w:t>
            </w:r>
            <w:r w:rsidR="00161A2F" w:rsidRPr="00B275E2">
              <w:rPr>
                <w:rFonts w:cs="Calibri"/>
                <w:szCs w:val="18"/>
              </w:rPr>
              <w:t>1</w:t>
            </w:r>
          </w:p>
        </w:tc>
      </w:tr>
      <w:tr w:rsidR="006A68C6" w:rsidRPr="00B275E2" w14:paraId="650927B7" w14:textId="77777777" w:rsidTr="008E713C">
        <w:tc>
          <w:tcPr>
            <w:tcW w:w="1465" w:type="dxa"/>
            <w:vMerge w:val="restart"/>
          </w:tcPr>
          <w:p w14:paraId="650927B0" w14:textId="3139386A" w:rsidR="006A68C6" w:rsidRPr="00B275E2" w:rsidRDefault="006A68C6" w:rsidP="007F0B1E">
            <w:pPr>
              <w:pStyle w:val="TableText"/>
              <w:spacing w:before="50" w:after="50"/>
              <w:rPr>
                <w:rFonts w:cs="Calibri"/>
                <w:szCs w:val="18"/>
              </w:rPr>
            </w:pPr>
            <w:r w:rsidRPr="00B275E2">
              <w:rPr>
                <w:rFonts w:cs="Calibri"/>
                <w:szCs w:val="18"/>
              </w:rPr>
              <w:t>HGV BEV (battery electric vehicle)</w:t>
            </w:r>
          </w:p>
        </w:tc>
        <w:tc>
          <w:tcPr>
            <w:tcW w:w="1719" w:type="dxa"/>
            <w:shd w:val="clear" w:color="auto" w:fill="auto"/>
            <w:noWrap/>
          </w:tcPr>
          <w:p w14:paraId="650927B1" w14:textId="13E5F1B3" w:rsidR="006A68C6" w:rsidRPr="00B275E2" w:rsidRDefault="006A68C6" w:rsidP="007F0B1E">
            <w:pPr>
              <w:pStyle w:val="TableText"/>
              <w:spacing w:before="50" w:after="50"/>
              <w:rPr>
                <w:rFonts w:cs="Calibri"/>
                <w:szCs w:val="18"/>
              </w:rPr>
            </w:pPr>
            <w:r w:rsidRPr="00B275E2">
              <w:rPr>
                <w:rFonts w:cs="Calibri"/>
                <w:color w:val="000000"/>
                <w:szCs w:val="18"/>
              </w:rPr>
              <w:t xml:space="preserve">&lt;5,000 kg </w:t>
            </w:r>
          </w:p>
        </w:tc>
        <w:tc>
          <w:tcPr>
            <w:tcW w:w="680" w:type="dxa"/>
            <w:shd w:val="clear" w:color="auto" w:fill="auto"/>
            <w:noWrap/>
            <w:vAlign w:val="bottom"/>
          </w:tcPr>
          <w:p w14:paraId="650927B2" w14:textId="77777777" w:rsidR="006A68C6" w:rsidRPr="00B275E2" w:rsidRDefault="006A68C6" w:rsidP="007F0B1E">
            <w:pPr>
              <w:pStyle w:val="TableText"/>
              <w:spacing w:before="50" w:after="50"/>
              <w:rPr>
                <w:rFonts w:cs="Calibri"/>
                <w:szCs w:val="18"/>
              </w:rPr>
            </w:pPr>
            <w:r w:rsidRPr="00B275E2">
              <w:rPr>
                <w:rFonts w:cs="Calibri"/>
                <w:szCs w:val="18"/>
              </w:rPr>
              <w:t>km</w:t>
            </w:r>
          </w:p>
        </w:tc>
        <w:tc>
          <w:tcPr>
            <w:tcW w:w="1276" w:type="dxa"/>
            <w:shd w:val="clear" w:color="auto" w:fill="D2DDE1" w:themeFill="background2"/>
            <w:noWrap/>
          </w:tcPr>
          <w:p w14:paraId="650927B3" w14:textId="58B53575" w:rsidR="006A68C6" w:rsidRPr="00B275E2" w:rsidRDefault="006A68C6" w:rsidP="007F0B1E">
            <w:pPr>
              <w:pStyle w:val="TableText"/>
              <w:spacing w:before="50" w:after="50"/>
              <w:jc w:val="right"/>
              <w:rPr>
                <w:rFonts w:cs="Calibri"/>
                <w:szCs w:val="18"/>
              </w:rPr>
            </w:pPr>
            <w:r w:rsidRPr="00B275E2">
              <w:rPr>
                <w:rFonts w:cs="Calibri"/>
                <w:szCs w:val="18"/>
              </w:rPr>
              <w:t>0.04</w:t>
            </w:r>
            <w:r w:rsidR="00161A2F" w:rsidRPr="00B275E2">
              <w:rPr>
                <w:rFonts w:cs="Calibri"/>
                <w:szCs w:val="18"/>
              </w:rPr>
              <w:t>5</w:t>
            </w:r>
          </w:p>
        </w:tc>
        <w:tc>
          <w:tcPr>
            <w:tcW w:w="1090" w:type="dxa"/>
            <w:shd w:val="clear" w:color="000000" w:fill="FFFFFF"/>
            <w:noWrap/>
          </w:tcPr>
          <w:p w14:paraId="650927B4" w14:textId="3AD0AE48" w:rsidR="006A68C6" w:rsidRPr="00B275E2" w:rsidRDefault="006A68C6" w:rsidP="007F0B1E">
            <w:pPr>
              <w:pStyle w:val="TableText"/>
              <w:spacing w:before="50" w:after="50"/>
              <w:jc w:val="right"/>
              <w:rPr>
                <w:rFonts w:cs="Calibri"/>
                <w:szCs w:val="18"/>
              </w:rPr>
            </w:pPr>
            <w:r w:rsidRPr="00B275E2">
              <w:rPr>
                <w:rFonts w:cs="Calibri"/>
                <w:szCs w:val="18"/>
              </w:rPr>
              <w:t>0.04</w:t>
            </w:r>
            <w:r w:rsidR="00161A2F" w:rsidRPr="00B275E2">
              <w:rPr>
                <w:rFonts w:cs="Calibri"/>
                <w:szCs w:val="18"/>
              </w:rPr>
              <w:t>3</w:t>
            </w:r>
          </w:p>
        </w:tc>
        <w:tc>
          <w:tcPr>
            <w:tcW w:w="1171" w:type="dxa"/>
            <w:shd w:val="clear" w:color="000000" w:fill="FFFFFF"/>
            <w:noWrap/>
          </w:tcPr>
          <w:p w14:paraId="650927B5" w14:textId="0A372674" w:rsidR="006A68C6" w:rsidRPr="00B275E2" w:rsidRDefault="006A68C6" w:rsidP="007F0B1E">
            <w:pPr>
              <w:pStyle w:val="TableText"/>
              <w:spacing w:before="50" w:after="50"/>
              <w:jc w:val="right"/>
              <w:rPr>
                <w:rFonts w:cs="Calibri"/>
                <w:szCs w:val="18"/>
              </w:rPr>
            </w:pPr>
            <w:r w:rsidRPr="00B275E2">
              <w:rPr>
                <w:rFonts w:cs="Calibri"/>
                <w:szCs w:val="18"/>
              </w:rPr>
              <w:t>0.002</w:t>
            </w:r>
          </w:p>
        </w:tc>
        <w:tc>
          <w:tcPr>
            <w:tcW w:w="1112" w:type="dxa"/>
            <w:shd w:val="clear" w:color="000000" w:fill="FFFFFF"/>
            <w:noWrap/>
          </w:tcPr>
          <w:p w14:paraId="650927B6" w14:textId="00CAE352" w:rsidR="006A68C6" w:rsidRPr="00B275E2" w:rsidRDefault="006A68C6" w:rsidP="007F0B1E">
            <w:pPr>
              <w:pStyle w:val="TableText"/>
              <w:spacing w:before="50" w:after="50"/>
              <w:jc w:val="right"/>
              <w:rPr>
                <w:rFonts w:cs="Calibri"/>
                <w:szCs w:val="18"/>
              </w:rPr>
            </w:pPr>
            <w:r w:rsidRPr="00B275E2">
              <w:rPr>
                <w:rFonts w:cs="Calibri"/>
                <w:szCs w:val="18"/>
              </w:rPr>
              <w:t>0.0001</w:t>
            </w:r>
          </w:p>
        </w:tc>
      </w:tr>
      <w:tr w:rsidR="006A68C6" w:rsidRPr="00B275E2" w14:paraId="650927BF" w14:textId="77777777" w:rsidTr="008E713C">
        <w:tc>
          <w:tcPr>
            <w:tcW w:w="1465" w:type="dxa"/>
            <w:vMerge/>
          </w:tcPr>
          <w:p w14:paraId="650927B8" w14:textId="77777777" w:rsidR="006A68C6" w:rsidRPr="00B275E2" w:rsidRDefault="006A68C6" w:rsidP="007F0B1E">
            <w:pPr>
              <w:pStyle w:val="TableText"/>
              <w:spacing w:before="50" w:after="50"/>
              <w:rPr>
                <w:rFonts w:cs="Calibri"/>
                <w:szCs w:val="18"/>
              </w:rPr>
            </w:pPr>
          </w:p>
        </w:tc>
        <w:tc>
          <w:tcPr>
            <w:tcW w:w="1719" w:type="dxa"/>
            <w:shd w:val="clear" w:color="auto" w:fill="auto"/>
            <w:noWrap/>
          </w:tcPr>
          <w:p w14:paraId="650927B9" w14:textId="1CFD0FA6" w:rsidR="006A68C6" w:rsidRPr="00B275E2" w:rsidRDefault="006A68C6" w:rsidP="007F0B1E">
            <w:pPr>
              <w:pStyle w:val="TableText"/>
              <w:spacing w:before="50" w:after="50"/>
              <w:rPr>
                <w:rFonts w:cs="Calibri"/>
                <w:szCs w:val="18"/>
              </w:rPr>
            </w:pPr>
            <w:r w:rsidRPr="00B275E2">
              <w:rPr>
                <w:rFonts w:cs="Calibri"/>
                <w:color w:val="000000"/>
                <w:szCs w:val="18"/>
              </w:rPr>
              <w:t xml:space="preserve">5,000 - </w:t>
            </w:r>
            <w:r w:rsidRPr="00B275E2">
              <w:rPr>
                <w:rFonts w:cs="Calibri"/>
                <w:szCs w:val="18"/>
              </w:rPr>
              <w:t>&lt;</w:t>
            </w:r>
            <w:r w:rsidRPr="00B275E2">
              <w:rPr>
                <w:rFonts w:cs="Calibri"/>
                <w:color w:val="000000"/>
                <w:szCs w:val="18"/>
              </w:rPr>
              <w:t xml:space="preserve">7,500 kg </w:t>
            </w:r>
          </w:p>
        </w:tc>
        <w:tc>
          <w:tcPr>
            <w:tcW w:w="680" w:type="dxa"/>
            <w:shd w:val="clear" w:color="auto" w:fill="auto"/>
            <w:noWrap/>
            <w:vAlign w:val="bottom"/>
          </w:tcPr>
          <w:p w14:paraId="650927BA" w14:textId="77777777" w:rsidR="006A68C6" w:rsidRPr="00B275E2" w:rsidRDefault="006A68C6" w:rsidP="007F0B1E">
            <w:pPr>
              <w:pStyle w:val="TableText"/>
              <w:spacing w:before="50" w:after="50"/>
              <w:rPr>
                <w:rFonts w:cs="Calibri"/>
                <w:szCs w:val="18"/>
              </w:rPr>
            </w:pPr>
            <w:r w:rsidRPr="00B275E2">
              <w:rPr>
                <w:rFonts w:cs="Calibri"/>
                <w:szCs w:val="18"/>
              </w:rPr>
              <w:t>km</w:t>
            </w:r>
          </w:p>
        </w:tc>
        <w:tc>
          <w:tcPr>
            <w:tcW w:w="1276" w:type="dxa"/>
            <w:shd w:val="clear" w:color="auto" w:fill="D2DDE1" w:themeFill="background2"/>
            <w:noWrap/>
          </w:tcPr>
          <w:p w14:paraId="650927BB" w14:textId="72BAE5C2" w:rsidR="006A68C6" w:rsidRPr="00B275E2" w:rsidRDefault="006A68C6" w:rsidP="007F0B1E">
            <w:pPr>
              <w:pStyle w:val="TableText"/>
              <w:spacing w:before="50" w:after="50"/>
              <w:jc w:val="right"/>
              <w:rPr>
                <w:rFonts w:cs="Calibri"/>
                <w:szCs w:val="18"/>
              </w:rPr>
            </w:pPr>
            <w:r w:rsidRPr="00B275E2">
              <w:rPr>
                <w:rFonts w:cs="Calibri"/>
                <w:szCs w:val="18"/>
              </w:rPr>
              <w:t>0.0</w:t>
            </w:r>
            <w:r w:rsidR="00161A2F" w:rsidRPr="00B275E2">
              <w:rPr>
                <w:rFonts w:cs="Calibri"/>
                <w:szCs w:val="18"/>
              </w:rPr>
              <w:t>52</w:t>
            </w:r>
          </w:p>
        </w:tc>
        <w:tc>
          <w:tcPr>
            <w:tcW w:w="1090" w:type="dxa"/>
            <w:shd w:val="clear" w:color="000000" w:fill="FFFFFF"/>
            <w:noWrap/>
          </w:tcPr>
          <w:p w14:paraId="650927BC" w14:textId="070D2902" w:rsidR="006A68C6" w:rsidRPr="00B275E2" w:rsidRDefault="006A68C6" w:rsidP="007F0B1E">
            <w:pPr>
              <w:pStyle w:val="TableText"/>
              <w:spacing w:before="50" w:after="50"/>
              <w:jc w:val="right"/>
              <w:rPr>
                <w:rFonts w:cs="Calibri"/>
                <w:szCs w:val="18"/>
              </w:rPr>
            </w:pPr>
            <w:r w:rsidRPr="00B275E2">
              <w:rPr>
                <w:rFonts w:cs="Calibri"/>
                <w:szCs w:val="18"/>
              </w:rPr>
              <w:t>0.0</w:t>
            </w:r>
            <w:r w:rsidR="00237315" w:rsidRPr="00B275E2">
              <w:rPr>
                <w:rFonts w:cs="Calibri"/>
                <w:szCs w:val="18"/>
              </w:rPr>
              <w:t>50</w:t>
            </w:r>
          </w:p>
        </w:tc>
        <w:tc>
          <w:tcPr>
            <w:tcW w:w="1171" w:type="dxa"/>
            <w:shd w:val="clear" w:color="000000" w:fill="FFFFFF"/>
            <w:noWrap/>
          </w:tcPr>
          <w:p w14:paraId="650927BD" w14:textId="51FFE860" w:rsidR="006A68C6" w:rsidRPr="00B275E2" w:rsidRDefault="006A68C6" w:rsidP="007F0B1E">
            <w:pPr>
              <w:pStyle w:val="TableText"/>
              <w:spacing w:before="50" w:after="50"/>
              <w:jc w:val="right"/>
              <w:rPr>
                <w:rFonts w:cs="Calibri"/>
                <w:szCs w:val="18"/>
              </w:rPr>
            </w:pPr>
            <w:r w:rsidRPr="00B275E2">
              <w:rPr>
                <w:rFonts w:cs="Calibri"/>
                <w:szCs w:val="18"/>
              </w:rPr>
              <w:t>0.002</w:t>
            </w:r>
          </w:p>
        </w:tc>
        <w:tc>
          <w:tcPr>
            <w:tcW w:w="1112" w:type="dxa"/>
            <w:shd w:val="clear" w:color="000000" w:fill="FFFFFF"/>
            <w:noWrap/>
          </w:tcPr>
          <w:p w14:paraId="650927BE" w14:textId="61827C78" w:rsidR="006A68C6" w:rsidRPr="00B275E2" w:rsidRDefault="006A68C6" w:rsidP="007F0B1E">
            <w:pPr>
              <w:pStyle w:val="TableText"/>
              <w:spacing w:before="50" w:after="50"/>
              <w:jc w:val="right"/>
              <w:rPr>
                <w:rFonts w:cs="Calibri"/>
                <w:szCs w:val="18"/>
              </w:rPr>
            </w:pPr>
            <w:r w:rsidRPr="00B275E2">
              <w:rPr>
                <w:rFonts w:cs="Calibri"/>
                <w:szCs w:val="18"/>
              </w:rPr>
              <w:t>0.0001</w:t>
            </w:r>
          </w:p>
        </w:tc>
      </w:tr>
      <w:tr w:rsidR="006A68C6" w:rsidRPr="00B275E2" w14:paraId="650927C7" w14:textId="77777777" w:rsidTr="008E713C">
        <w:tc>
          <w:tcPr>
            <w:tcW w:w="1465" w:type="dxa"/>
            <w:vMerge/>
          </w:tcPr>
          <w:p w14:paraId="650927C0" w14:textId="77777777" w:rsidR="006A68C6" w:rsidRPr="00B275E2" w:rsidRDefault="006A68C6" w:rsidP="007F0B1E">
            <w:pPr>
              <w:pStyle w:val="TableText"/>
              <w:spacing w:before="50" w:after="50"/>
              <w:rPr>
                <w:rFonts w:cs="Calibri"/>
                <w:szCs w:val="18"/>
              </w:rPr>
            </w:pPr>
          </w:p>
        </w:tc>
        <w:tc>
          <w:tcPr>
            <w:tcW w:w="1719" w:type="dxa"/>
            <w:shd w:val="clear" w:color="auto" w:fill="auto"/>
            <w:noWrap/>
          </w:tcPr>
          <w:p w14:paraId="650927C1" w14:textId="0D264DD8" w:rsidR="006A68C6" w:rsidRPr="00B275E2" w:rsidRDefault="006A68C6" w:rsidP="007F0B1E">
            <w:pPr>
              <w:pStyle w:val="TableText"/>
              <w:spacing w:before="50" w:after="50"/>
              <w:rPr>
                <w:rFonts w:cs="Calibri"/>
                <w:szCs w:val="18"/>
              </w:rPr>
            </w:pPr>
            <w:r w:rsidRPr="00B275E2">
              <w:rPr>
                <w:rFonts w:cs="Calibri"/>
                <w:color w:val="000000"/>
                <w:szCs w:val="18"/>
              </w:rPr>
              <w:t xml:space="preserve">7,500 - </w:t>
            </w:r>
            <w:r w:rsidRPr="00B275E2">
              <w:rPr>
                <w:rFonts w:cs="Calibri"/>
                <w:szCs w:val="18"/>
              </w:rPr>
              <w:t>&lt;</w:t>
            </w:r>
            <w:r w:rsidRPr="00B275E2">
              <w:rPr>
                <w:rFonts w:cs="Calibri"/>
                <w:color w:val="000000"/>
                <w:szCs w:val="18"/>
              </w:rPr>
              <w:t>10,000 kg</w:t>
            </w:r>
          </w:p>
        </w:tc>
        <w:tc>
          <w:tcPr>
            <w:tcW w:w="680" w:type="dxa"/>
            <w:shd w:val="clear" w:color="auto" w:fill="auto"/>
            <w:noWrap/>
            <w:vAlign w:val="bottom"/>
          </w:tcPr>
          <w:p w14:paraId="650927C2" w14:textId="77777777" w:rsidR="006A68C6" w:rsidRPr="00B275E2" w:rsidRDefault="006A68C6" w:rsidP="007F0B1E">
            <w:pPr>
              <w:pStyle w:val="TableText"/>
              <w:spacing w:before="50" w:after="50"/>
              <w:rPr>
                <w:rFonts w:cs="Calibri"/>
                <w:szCs w:val="18"/>
              </w:rPr>
            </w:pPr>
            <w:r w:rsidRPr="00B275E2">
              <w:rPr>
                <w:rFonts w:cs="Calibri"/>
                <w:szCs w:val="18"/>
              </w:rPr>
              <w:t>km</w:t>
            </w:r>
          </w:p>
        </w:tc>
        <w:tc>
          <w:tcPr>
            <w:tcW w:w="1276" w:type="dxa"/>
            <w:shd w:val="clear" w:color="auto" w:fill="D2DDE1" w:themeFill="background2"/>
            <w:noWrap/>
          </w:tcPr>
          <w:p w14:paraId="650927C3" w14:textId="1EEAEA00" w:rsidR="006A68C6" w:rsidRPr="00B275E2" w:rsidRDefault="006A68C6" w:rsidP="007F0B1E">
            <w:pPr>
              <w:pStyle w:val="TableText"/>
              <w:spacing w:before="50" w:after="50"/>
              <w:jc w:val="right"/>
              <w:rPr>
                <w:rFonts w:cs="Calibri"/>
                <w:szCs w:val="18"/>
              </w:rPr>
            </w:pPr>
            <w:r w:rsidRPr="00B275E2">
              <w:rPr>
                <w:rFonts w:cs="Calibri"/>
                <w:szCs w:val="18"/>
              </w:rPr>
              <w:t>0.06</w:t>
            </w:r>
            <w:r w:rsidR="00237315" w:rsidRPr="00B275E2">
              <w:rPr>
                <w:rFonts w:cs="Calibri"/>
                <w:szCs w:val="18"/>
              </w:rPr>
              <w:t>3</w:t>
            </w:r>
          </w:p>
        </w:tc>
        <w:tc>
          <w:tcPr>
            <w:tcW w:w="1090" w:type="dxa"/>
            <w:shd w:val="clear" w:color="000000" w:fill="FFFFFF"/>
            <w:noWrap/>
          </w:tcPr>
          <w:p w14:paraId="650927C4" w14:textId="351FC549" w:rsidR="006A68C6" w:rsidRPr="00B275E2" w:rsidRDefault="006A68C6" w:rsidP="007F0B1E">
            <w:pPr>
              <w:pStyle w:val="TableText"/>
              <w:spacing w:before="50" w:after="50"/>
              <w:jc w:val="right"/>
              <w:rPr>
                <w:rFonts w:cs="Calibri"/>
                <w:szCs w:val="18"/>
              </w:rPr>
            </w:pPr>
            <w:r w:rsidRPr="00B275E2">
              <w:rPr>
                <w:rFonts w:cs="Calibri"/>
                <w:szCs w:val="18"/>
              </w:rPr>
              <w:t>0.06</w:t>
            </w:r>
            <w:r w:rsidR="00237315" w:rsidRPr="00B275E2">
              <w:rPr>
                <w:rFonts w:cs="Calibri"/>
                <w:szCs w:val="18"/>
              </w:rPr>
              <w:t>1</w:t>
            </w:r>
          </w:p>
        </w:tc>
        <w:tc>
          <w:tcPr>
            <w:tcW w:w="1171" w:type="dxa"/>
            <w:shd w:val="clear" w:color="000000" w:fill="FFFFFF"/>
            <w:noWrap/>
          </w:tcPr>
          <w:p w14:paraId="650927C5" w14:textId="417354DF" w:rsidR="006A68C6" w:rsidRPr="00B275E2" w:rsidRDefault="006A68C6" w:rsidP="007F0B1E">
            <w:pPr>
              <w:pStyle w:val="TableText"/>
              <w:spacing w:before="50" w:after="50"/>
              <w:jc w:val="right"/>
              <w:rPr>
                <w:rFonts w:cs="Calibri"/>
                <w:szCs w:val="18"/>
              </w:rPr>
            </w:pPr>
            <w:r w:rsidRPr="00B275E2">
              <w:rPr>
                <w:rFonts w:cs="Calibri"/>
                <w:szCs w:val="18"/>
              </w:rPr>
              <w:t>0.003</w:t>
            </w:r>
          </w:p>
        </w:tc>
        <w:tc>
          <w:tcPr>
            <w:tcW w:w="1112" w:type="dxa"/>
            <w:shd w:val="clear" w:color="000000" w:fill="FFFFFF"/>
            <w:noWrap/>
          </w:tcPr>
          <w:p w14:paraId="650927C6" w14:textId="008BBEAA" w:rsidR="006A68C6" w:rsidRPr="00B275E2" w:rsidRDefault="006A68C6" w:rsidP="007F0B1E">
            <w:pPr>
              <w:pStyle w:val="TableText"/>
              <w:spacing w:before="50" w:after="50"/>
              <w:jc w:val="right"/>
              <w:rPr>
                <w:rFonts w:cs="Calibri"/>
                <w:szCs w:val="18"/>
              </w:rPr>
            </w:pPr>
            <w:r w:rsidRPr="00B275E2">
              <w:rPr>
                <w:rFonts w:cs="Calibri"/>
                <w:szCs w:val="18"/>
              </w:rPr>
              <w:t>0.0001</w:t>
            </w:r>
          </w:p>
        </w:tc>
      </w:tr>
      <w:tr w:rsidR="006A68C6" w:rsidRPr="00B275E2" w14:paraId="650927CF" w14:textId="77777777" w:rsidTr="008E713C">
        <w:tc>
          <w:tcPr>
            <w:tcW w:w="1465" w:type="dxa"/>
            <w:vMerge/>
          </w:tcPr>
          <w:p w14:paraId="650927C8" w14:textId="77777777" w:rsidR="006A68C6" w:rsidRPr="00B275E2" w:rsidRDefault="006A68C6" w:rsidP="007F0B1E">
            <w:pPr>
              <w:pStyle w:val="TableText"/>
              <w:spacing w:before="50" w:after="50"/>
              <w:rPr>
                <w:rFonts w:cs="Calibri"/>
                <w:szCs w:val="18"/>
              </w:rPr>
            </w:pPr>
          </w:p>
        </w:tc>
        <w:tc>
          <w:tcPr>
            <w:tcW w:w="1719" w:type="dxa"/>
            <w:shd w:val="clear" w:color="auto" w:fill="auto"/>
            <w:noWrap/>
          </w:tcPr>
          <w:p w14:paraId="650927C9" w14:textId="07C45FDB" w:rsidR="006A68C6" w:rsidRPr="00B275E2" w:rsidRDefault="006A68C6" w:rsidP="007F0B1E">
            <w:pPr>
              <w:pStyle w:val="TableText"/>
              <w:spacing w:before="50" w:after="50"/>
              <w:rPr>
                <w:rFonts w:cs="Calibri"/>
                <w:szCs w:val="18"/>
              </w:rPr>
            </w:pPr>
            <w:r w:rsidRPr="00B275E2">
              <w:rPr>
                <w:rFonts w:cs="Calibri"/>
                <w:color w:val="000000"/>
                <w:szCs w:val="18"/>
              </w:rPr>
              <w:t xml:space="preserve">10,000 - </w:t>
            </w:r>
            <w:r w:rsidRPr="00B275E2">
              <w:rPr>
                <w:rFonts w:cs="Calibri"/>
                <w:szCs w:val="18"/>
              </w:rPr>
              <w:t>&lt;</w:t>
            </w:r>
            <w:r w:rsidRPr="00B275E2">
              <w:rPr>
                <w:rFonts w:cs="Calibri"/>
                <w:color w:val="000000"/>
                <w:szCs w:val="18"/>
              </w:rPr>
              <w:t xml:space="preserve">12,000 kg </w:t>
            </w:r>
          </w:p>
        </w:tc>
        <w:tc>
          <w:tcPr>
            <w:tcW w:w="680" w:type="dxa"/>
            <w:shd w:val="clear" w:color="auto" w:fill="auto"/>
            <w:noWrap/>
            <w:vAlign w:val="bottom"/>
          </w:tcPr>
          <w:p w14:paraId="650927CA" w14:textId="77777777" w:rsidR="006A68C6" w:rsidRPr="00B275E2" w:rsidRDefault="006A68C6" w:rsidP="007F0B1E">
            <w:pPr>
              <w:pStyle w:val="TableText"/>
              <w:spacing w:before="50" w:after="50"/>
              <w:rPr>
                <w:rFonts w:cs="Calibri"/>
                <w:szCs w:val="18"/>
              </w:rPr>
            </w:pPr>
            <w:r w:rsidRPr="00B275E2">
              <w:rPr>
                <w:rFonts w:cs="Calibri"/>
                <w:szCs w:val="18"/>
              </w:rPr>
              <w:t>km</w:t>
            </w:r>
          </w:p>
        </w:tc>
        <w:tc>
          <w:tcPr>
            <w:tcW w:w="1276" w:type="dxa"/>
            <w:shd w:val="clear" w:color="auto" w:fill="D2DDE1" w:themeFill="background2"/>
            <w:noWrap/>
          </w:tcPr>
          <w:p w14:paraId="650927CB" w14:textId="1EE05FB5" w:rsidR="006A68C6" w:rsidRPr="00B275E2" w:rsidRDefault="006A68C6" w:rsidP="007F0B1E">
            <w:pPr>
              <w:pStyle w:val="TableText"/>
              <w:spacing w:before="50" w:after="50"/>
              <w:jc w:val="right"/>
              <w:rPr>
                <w:rFonts w:cs="Calibri"/>
                <w:szCs w:val="18"/>
              </w:rPr>
            </w:pPr>
            <w:r w:rsidRPr="00B275E2">
              <w:rPr>
                <w:rFonts w:cs="Calibri"/>
                <w:szCs w:val="18"/>
              </w:rPr>
              <w:t>0.07</w:t>
            </w:r>
            <w:r w:rsidR="00237315" w:rsidRPr="00B275E2">
              <w:rPr>
                <w:rFonts w:cs="Calibri"/>
                <w:szCs w:val="18"/>
              </w:rPr>
              <w:t>5</w:t>
            </w:r>
          </w:p>
        </w:tc>
        <w:tc>
          <w:tcPr>
            <w:tcW w:w="1090" w:type="dxa"/>
            <w:shd w:val="clear" w:color="000000" w:fill="FFFFFF"/>
            <w:noWrap/>
          </w:tcPr>
          <w:p w14:paraId="650927CC" w14:textId="20C46298" w:rsidR="006A68C6" w:rsidRPr="00B275E2" w:rsidRDefault="006A68C6" w:rsidP="007F0B1E">
            <w:pPr>
              <w:pStyle w:val="TableText"/>
              <w:spacing w:before="50" w:after="50"/>
              <w:jc w:val="right"/>
              <w:rPr>
                <w:rFonts w:cs="Calibri"/>
                <w:szCs w:val="18"/>
              </w:rPr>
            </w:pPr>
            <w:r w:rsidRPr="00B275E2">
              <w:rPr>
                <w:rFonts w:cs="Calibri"/>
                <w:szCs w:val="18"/>
              </w:rPr>
              <w:t>0.07</w:t>
            </w:r>
            <w:r w:rsidR="00237315" w:rsidRPr="00B275E2">
              <w:rPr>
                <w:rFonts w:cs="Calibri"/>
                <w:szCs w:val="18"/>
              </w:rPr>
              <w:t>2</w:t>
            </w:r>
          </w:p>
        </w:tc>
        <w:tc>
          <w:tcPr>
            <w:tcW w:w="1171" w:type="dxa"/>
            <w:shd w:val="clear" w:color="000000" w:fill="FFFFFF"/>
            <w:noWrap/>
          </w:tcPr>
          <w:p w14:paraId="650927CD" w14:textId="10F5E7C9" w:rsidR="006A68C6" w:rsidRPr="00B275E2" w:rsidRDefault="006A68C6" w:rsidP="007F0B1E">
            <w:pPr>
              <w:pStyle w:val="TableText"/>
              <w:spacing w:before="50" w:after="50"/>
              <w:jc w:val="right"/>
              <w:rPr>
                <w:rFonts w:cs="Calibri"/>
                <w:szCs w:val="18"/>
              </w:rPr>
            </w:pPr>
            <w:r w:rsidRPr="00B275E2">
              <w:rPr>
                <w:rFonts w:cs="Calibri"/>
                <w:szCs w:val="18"/>
              </w:rPr>
              <w:t>0.003</w:t>
            </w:r>
          </w:p>
        </w:tc>
        <w:tc>
          <w:tcPr>
            <w:tcW w:w="1112" w:type="dxa"/>
            <w:shd w:val="clear" w:color="000000" w:fill="FFFFFF"/>
            <w:noWrap/>
          </w:tcPr>
          <w:p w14:paraId="650927CE" w14:textId="44C9D0AD" w:rsidR="006A68C6" w:rsidRPr="00B275E2" w:rsidRDefault="006A68C6" w:rsidP="007F0B1E">
            <w:pPr>
              <w:pStyle w:val="TableText"/>
              <w:spacing w:before="50" w:after="50"/>
              <w:jc w:val="right"/>
              <w:rPr>
                <w:rFonts w:cs="Calibri"/>
                <w:szCs w:val="18"/>
              </w:rPr>
            </w:pPr>
            <w:r w:rsidRPr="00B275E2">
              <w:rPr>
                <w:rFonts w:cs="Calibri"/>
                <w:szCs w:val="18"/>
              </w:rPr>
              <w:t>0.0001</w:t>
            </w:r>
          </w:p>
        </w:tc>
      </w:tr>
      <w:tr w:rsidR="006A68C6" w:rsidRPr="00B275E2" w14:paraId="650927D7" w14:textId="77777777" w:rsidTr="008E713C">
        <w:tc>
          <w:tcPr>
            <w:tcW w:w="1465" w:type="dxa"/>
            <w:vMerge/>
          </w:tcPr>
          <w:p w14:paraId="650927D0" w14:textId="77777777" w:rsidR="006A68C6" w:rsidRPr="00B275E2" w:rsidRDefault="006A68C6" w:rsidP="007F0B1E">
            <w:pPr>
              <w:pStyle w:val="TableText"/>
              <w:spacing w:before="50" w:after="50"/>
              <w:rPr>
                <w:rFonts w:cs="Calibri"/>
                <w:szCs w:val="18"/>
              </w:rPr>
            </w:pPr>
          </w:p>
        </w:tc>
        <w:tc>
          <w:tcPr>
            <w:tcW w:w="1719" w:type="dxa"/>
            <w:shd w:val="clear" w:color="auto" w:fill="auto"/>
            <w:noWrap/>
          </w:tcPr>
          <w:p w14:paraId="650927D1" w14:textId="108971C8" w:rsidR="006A68C6" w:rsidRPr="00B275E2" w:rsidRDefault="006A68C6" w:rsidP="007F0B1E">
            <w:pPr>
              <w:pStyle w:val="TableText"/>
              <w:spacing w:before="50" w:after="50"/>
              <w:rPr>
                <w:rFonts w:cs="Calibri"/>
                <w:szCs w:val="18"/>
              </w:rPr>
            </w:pPr>
            <w:r w:rsidRPr="00B275E2">
              <w:rPr>
                <w:rFonts w:cs="Calibri"/>
                <w:color w:val="000000"/>
                <w:szCs w:val="18"/>
              </w:rPr>
              <w:t>12,000</w:t>
            </w:r>
            <w:r w:rsidR="00724C42" w:rsidRPr="00B275E2">
              <w:rPr>
                <w:rFonts w:cs="Calibri"/>
                <w:color w:val="000000"/>
                <w:szCs w:val="18"/>
              </w:rPr>
              <w:t xml:space="preserve"> </w:t>
            </w:r>
            <w:r w:rsidRPr="00B275E2">
              <w:rPr>
                <w:rFonts w:cs="Calibri"/>
                <w:color w:val="000000"/>
                <w:szCs w:val="18"/>
              </w:rPr>
              <w:t xml:space="preserve">- </w:t>
            </w:r>
            <w:r w:rsidRPr="00B275E2">
              <w:rPr>
                <w:rFonts w:cs="Calibri"/>
                <w:szCs w:val="18"/>
              </w:rPr>
              <w:t>&lt;</w:t>
            </w:r>
            <w:r w:rsidRPr="00B275E2">
              <w:rPr>
                <w:rFonts w:cs="Calibri"/>
                <w:color w:val="000000"/>
                <w:szCs w:val="18"/>
              </w:rPr>
              <w:t xml:space="preserve">15,000 kg </w:t>
            </w:r>
          </w:p>
        </w:tc>
        <w:tc>
          <w:tcPr>
            <w:tcW w:w="680" w:type="dxa"/>
            <w:shd w:val="clear" w:color="auto" w:fill="auto"/>
            <w:noWrap/>
            <w:vAlign w:val="bottom"/>
          </w:tcPr>
          <w:p w14:paraId="650927D2" w14:textId="77777777" w:rsidR="006A68C6" w:rsidRPr="00B275E2" w:rsidRDefault="006A68C6" w:rsidP="007F0B1E">
            <w:pPr>
              <w:pStyle w:val="TableText"/>
              <w:spacing w:before="50" w:after="50"/>
              <w:rPr>
                <w:rFonts w:cs="Calibri"/>
                <w:szCs w:val="18"/>
              </w:rPr>
            </w:pPr>
            <w:r w:rsidRPr="00B275E2">
              <w:rPr>
                <w:rFonts w:cs="Calibri"/>
                <w:szCs w:val="18"/>
              </w:rPr>
              <w:t>km</w:t>
            </w:r>
          </w:p>
        </w:tc>
        <w:tc>
          <w:tcPr>
            <w:tcW w:w="1276" w:type="dxa"/>
            <w:shd w:val="clear" w:color="auto" w:fill="D2DDE1" w:themeFill="background2"/>
            <w:noWrap/>
          </w:tcPr>
          <w:p w14:paraId="650927D3" w14:textId="290731C5" w:rsidR="006A68C6" w:rsidRPr="00B275E2" w:rsidRDefault="006A68C6" w:rsidP="007F0B1E">
            <w:pPr>
              <w:pStyle w:val="TableText"/>
              <w:spacing w:before="50" w:after="50"/>
              <w:jc w:val="right"/>
              <w:rPr>
                <w:rFonts w:cs="Calibri"/>
                <w:szCs w:val="18"/>
              </w:rPr>
            </w:pPr>
            <w:r w:rsidRPr="00B275E2">
              <w:rPr>
                <w:rFonts w:cs="Calibri"/>
                <w:szCs w:val="18"/>
              </w:rPr>
              <w:t>0.0</w:t>
            </w:r>
            <w:r w:rsidR="00237315" w:rsidRPr="00B275E2">
              <w:rPr>
                <w:rFonts w:cs="Calibri"/>
                <w:szCs w:val="18"/>
              </w:rPr>
              <w:t>85</w:t>
            </w:r>
          </w:p>
        </w:tc>
        <w:tc>
          <w:tcPr>
            <w:tcW w:w="1090" w:type="dxa"/>
            <w:shd w:val="clear" w:color="000000" w:fill="FFFFFF"/>
            <w:noWrap/>
          </w:tcPr>
          <w:p w14:paraId="650927D4" w14:textId="140D1029" w:rsidR="006A68C6" w:rsidRPr="00B275E2" w:rsidRDefault="006A68C6" w:rsidP="007F0B1E">
            <w:pPr>
              <w:pStyle w:val="TableText"/>
              <w:spacing w:before="50" w:after="50"/>
              <w:jc w:val="right"/>
              <w:rPr>
                <w:rFonts w:cs="Calibri"/>
                <w:szCs w:val="18"/>
              </w:rPr>
            </w:pPr>
            <w:r w:rsidRPr="00B275E2">
              <w:rPr>
                <w:rFonts w:cs="Calibri"/>
                <w:szCs w:val="18"/>
              </w:rPr>
              <w:t>0.08</w:t>
            </w:r>
            <w:r w:rsidR="00237315" w:rsidRPr="00B275E2">
              <w:rPr>
                <w:rFonts w:cs="Calibri"/>
                <w:szCs w:val="18"/>
              </w:rPr>
              <w:t>2</w:t>
            </w:r>
          </w:p>
        </w:tc>
        <w:tc>
          <w:tcPr>
            <w:tcW w:w="1171" w:type="dxa"/>
            <w:shd w:val="clear" w:color="000000" w:fill="FFFFFF"/>
            <w:noWrap/>
          </w:tcPr>
          <w:p w14:paraId="650927D5" w14:textId="3A265AFD" w:rsidR="006A68C6" w:rsidRPr="00B275E2" w:rsidRDefault="006A68C6" w:rsidP="007F0B1E">
            <w:pPr>
              <w:pStyle w:val="TableText"/>
              <w:spacing w:before="50" w:after="50"/>
              <w:jc w:val="right"/>
              <w:rPr>
                <w:rFonts w:cs="Calibri"/>
                <w:szCs w:val="18"/>
              </w:rPr>
            </w:pPr>
            <w:r w:rsidRPr="00B275E2">
              <w:rPr>
                <w:rFonts w:cs="Calibri"/>
                <w:szCs w:val="18"/>
              </w:rPr>
              <w:t>0.003</w:t>
            </w:r>
          </w:p>
        </w:tc>
        <w:tc>
          <w:tcPr>
            <w:tcW w:w="1112" w:type="dxa"/>
            <w:shd w:val="clear" w:color="000000" w:fill="FFFFFF"/>
            <w:noWrap/>
          </w:tcPr>
          <w:p w14:paraId="650927D6" w14:textId="6C7D7AD8" w:rsidR="006A68C6" w:rsidRPr="00B275E2" w:rsidRDefault="006A68C6" w:rsidP="007F0B1E">
            <w:pPr>
              <w:pStyle w:val="TableText"/>
              <w:spacing w:before="50" w:after="50"/>
              <w:jc w:val="right"/>
              <w:rPr>
                <w:rFonts w:cs="Calibri"/>
                <w:szCs w:val="18"/>
              </w:rPr>
            </w:pPr>
            <w:r w:rsidRPr="00B275E2">
              <w:rPr>
                <w:rFonts w:cs="Calibri"/>
                <w:szCs w:val="18"/>
              </w:rPr>
              <w:t>0.0001</w:t>
            </w:r>
          </w:p>
        </w:tc>
      </w:tr>
    </w:tbl>
    <w:p w14:paraId="2C9BA387" w14:textId="318637D3" w:rsidR="001569F5" w:rsidRPr="00B275E2" w:rsidRDefault="001569F5" w:rsidP="007F0B1E">
      <w:pPr>
        <w:pStyle w:val="Note"/>
      </w:pPr>
      <w:r w:rsidRPr="00B275E2">
        <w:t>Note</w:t>
      </w:r>
      <w:r w:rsidR="00A843FB" w:rsidRPr="00B275E2">
        <w:t>: T</w:t>
      </w:r>
      <w:r w:rsidRPr="00B275E2">
        <w:t xml:space="preserve">hese numbers are rounded to three </w:t>
      </w:r>
      <w:r w:rsidR="002011A6" w:rsidRPr="00B275E2">
        <w:t xml:space="preserve">decimal places </w:t>
      </w:r>
      <w:r w:rsidRPr="00B275E2">
        <w:t xml:space="preserve">unless the number is significantly small. </w:t>
      </w:r>
    </w:p>
    <w:p w14:paraId="650927D9" w14:textId="6A252272" w:rsidR="00EC122D" w:rsidRPr="00B275E2" w:rsidRDefault="00EB4389" w:rsidP="008E713C">
      <w:pPr>
        <w:pStyle w:val="Tableheading"/>
      </w:pPr>
      <w:bookmarkStart w:id="475" w:name="_Toc111536663"/>
      <w:r w:rsidRPr="00B275E2">
        <w:t xml:space="preserve">Table </w:t>
      </w:r>
      <w:r w:rsidRPr="00B275E2">
        <w:fldChar w:fldCharType="begin"/>
      </w:r>
      <w:r w:rsidRPr="00B275E2">
        <w:instrText>SEQ Table \* ARABIC</w:instrText>
      </w:r>
      <w:r w:rsidRPr="00B275E2">
        <w:fldChar w:fldCharType="separate"/>
      </w:r>
      <w:r>
        <w:rPr>
          <w:noProof/>
        </w:rPr>
        <w:t>58</w:t>
      </w:r>
      <w:r w:rsidRPr="00B275E2">
        <w:fldChar w:fldCharType="end"/>
      </w:r>
      <w:r w:rsidRPr="00B275E2">
        <w:t>:</w:t>
      </w:r>
      <w:r w:rsidRPr="00B275E2">
        <w:tab/>
      </w:r>
      <w:r w:rsidR="00EC122D" w:rsidRPr="00B275E2">
        <w:t>Emission factors for heavy goods vehicles manufactured post</w:t>
      </w:r>
      <w:r w:rsidR="001569F5" w:rsidRPr="00B275E2">
        <w:t>-</w:t>
      </w:r>
      <w:r w:rsidR="00EC122D" w:rsidRPr="00B275E2">
        <w:t>2015</w:t>
      </w:r>
      <w:bookmarkEnd w:id="475"/>
    </w:p>
    <w:tbl>
      <w:tblPr>
        <w:tblStyle w:val="TableGrid"/>
        <w:tblW w:w="8621"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ayout w:type="fixed"/>
        <w:tblLook w:val="04A0" w:firstRow="1" w:lastRow="0" w:firstColumn="1" w:lastColumn="0" w:noHBand="0" w:noVBand="1"/>
      </w:tblPr>
      <w:tblGrid>
        <w:gridCol w:w="1518"/>
        <w:gridCol w:w="1674"/>
        <w:gridCol w:w="692"/>
        <w:gridCol w:w="1299"/>
        <w:gridCol w:w="1155"/>
        <w:gridCol w:w="1155"/>
        <w:gridCol w:w="1128"/>
      </w:tblGrid>
      <w:tr w:rsidR="003A36FF" w:rsidRPr="00B275E2" w14:paraId="650927E0" w14:textId="77777777" w:rsidTr="006D3AF6">
        <w:trPr>
          <w:tblHeader/>
        </w:trPr>
        <w:tc>
          <w:tcPr>
            <w:tcW w:w="1490" w:type="dxa"/>
            <w:shd w:val="clear" w:color="auto" w:fill="1C556C" w:themeFill="accent1"/>
            <w:noWrap/>
            <w:vAlign w:val="bottom"/>
            <w:hideMark/>
          </w:tcPr>
          <w:p w14:paraId="650927DA" w14:textId="77777777" w:rsidR="003A36FF" w:rsidRPr="00B275E2" w:rsidRDefault="003A36FF" w:rsidP="007F0B1E">
            <w:pPr>
              <w:pStyle w:val="TableText"/>
              <w:spacing w:before="50" w:after="50"/>
              <w:rPr>
                <w:rFonts w:cs="Calibri"/>
                <w:b/>
                <w:color w:val="FFFFFF" w:themeColor="background1"/>
                <w:szCs w:val="18"/>
              </w:rPr>
            </w:pPr>
            <w:r w:rsidRPr="00B275E2">
              <w:rPr>
                <w:rFonts w:cs="Calibri"/>
                <w:b/>
                <w:color w:val="FFFFFF" w:themeColor="background1"/>
                <w:szCs w:val="18"/>
              </w:rPr>
              <w:t>Emission source</w:t>
            </w:r>
          </w:p>
        </w:tc>
        <w:tc>
          <w:tcPr>
            <w:tcW w:w="1644" w:type="dxa"/>
            <w:shd w:val="clear" w:color="auto" w:fill="1C556C" w:themeFill="accent1"/>
            <w:vAlign w:val="bottom"/>
          </w:tcPr>
          <w:p w14:paraId="1610693A" w14:textId="77777777" w:rsidR="003A36FF" w:rsidRPr="00B275E2" w:rsidRDefault="003A36FF" w:rsidP="007F0B1E">
            <w:pPr>
              <w:pStyle w:val="TableText"/>
              <w:spacing w:before="50" w:after="50"/>
              <w:rPr>
                <w:rFonts w:cs="Calibri"/>
                <w:b/>
                <w:color w:val="FFFFFF" w:themeColor="background1"/>
                <w:szCs w:val="18"/>
              </w:rPr>
            </w:pPr>
          </w:p>
        </w:tc>
        <w:tc>
          <w:tcPr>
            <w:tcW w:w="680" w:type="dxa"/>
            <w:shd w:val="clear" w:color="auto" w:fill="1C556C" w:themeFill="accent1"/>
            <w:noWrap/>
            <w:vAlign w:val="bottom"/>
            <w:hideMark/>
          </w:tcPr>
          <w:p w14:paraId="650927DB" w14:textId="6F471C2A" w:rsidR="003A36FF" w:rsidRPr="00B275E2" w:rsidRDefault="003A36FF" w:rsidP="007F0B1E">
            <w:pPr>
              <w:pStyle w:val="TableText"/>
              <w:spacing w:before="50" w:after="50"/>
              <w:rPr>
                <w:rFonts w:cs="Calibri"/>
                <w:b/>
                <w:color w:val="FFFFFF" w:themeColor="background1"/>
                <w:szCs w:val="18"/>
              </w:rPr>
            </w:pPr>
            <w:r w:rsidRPr="00B275E2">
              <w:rPr>
                <w:rFonts w:cs="Calibri"/>
                <w:b/>
                <w:color w:val="FFFFFF" w:themeColor="background1"/>
                <w:szCs w:val="18"/>
              </w:rPr>
              <w:t>Unit</w:t>
            </w:r>
          </w:p>
        </w:tc>
        <w:tc>
          <w:tcPr>
            <w:tcW w:w="1276" w:type="dxa"/>
            <w:shd w:val="clear" w:color="auto" w:fill="D2DDE1" w:themeFill="background2"/>
            <w:noWrap/>
            <w:vAlign w:val="bottom"/>
            <w:hideMark/>
          </w:tcPr>
          <w:p w14:paraId="650927DC" w14:textId="79563511" w:rsidR="003A36FF" w:rsidRPr="00B275E2" w:rsidRDefault="003A36FF" w:rsidP="007F0B1E">
            <w:pPr>
              <w:pStyle w:val="TableText"/>
              <w:spacing w:before="50" w:after="50"/>
              <w:jc w:val="right"/>
              <w:rPr>
                <w:rFonts w:cs="Calibri"/>
                <w:b/>
                <w:szCs w:val="18"/>
              </w:rPr>
            </w:pPr>
            <w:r w:rsidRPr="00B275E2">
              <w:rPr>
                <w:rFonts w:cs="Calibri"/>
                <w:b/>
                <w:szCs w:val="18"/>
              </w:rPr>
              <w:t>kg CO</w:t>
            </w:r>
            <w:r w:rsidRPr="00B275E2">
              <w:rPr>
                <w:rFonts w:cs="Calibri"/>
                <w:b/>
                <w:szCs w:val="18"/>
                <w:vertAlign w:val="subscript"/>
              </w:rPr>
              <w:t>2</w:t>
            </w:r>
            <w:r w:rsidRPr="00B275E2">
              <w:rPr>
                <w:rFonts w:cs="Calibri"/>
                <w:b/>
                <w:szCs w:val="18"/>
              </w:rPr>
              <w:t>-e/unit</w:t>
            </w:r>
          </w:p>
        </w:tc>
        <w:tc>
          <w:tcPr>
            <w:tcW w:w="1134" w:type="dxa"/>
            <w:shd w:val="clear" w:color="auto" w:fill="1C556C" w:themeFill="accent1"/>
            <w:noWrap/>
            <w:vAlign w:val="bottom"/>
            <w:hideMark/>
          </w:tcPr>
          <w:p w14:paraId="650927DD" w14:textId="2721E430" w:rsidR="003A36FF" w:rsidRPr="00B275E2" w:rsidRDefault="003A36FF" w:rsidP="007F0B1E">
            <w:pPr>
              <w:pStyle w:val="TableText"/>
              <w:spacing w:before="50" w:after="50"/>
              <w:jc w:val="right"/>
              <w:rPr>
                <w:rFonts w:cs="Calibri"/>
                <w:b/>
                <w:color w:val="FFFFFF" w:themeColor="background1"/>
                <w:szCs w:val="18"/>
              </w:rPr>
            </w:pPr>
            <w:r w:rsidRPr="00B275E2">
              <w:rPr>
                <w:rFonts w:cs="Calibri"/>
                <w:b/>
                <w:color w:val="FFFFFF" w:themeColor="background1"/>
                <w:szCs w:val="18"/>
              </w:rPr>
              <w:t>kg CO</w:t>
            </w:r>
            <w:r w:rsidRPr="00B275E2">
              <w:rPr>
                <w:rFonts w:cs="Calibri"/>
                <w:b/>
                <w:color w:val="FFFFFF" w:themeColor="background1"/>
                <w:szCs w:val="18"/>
                <w:vertAlign w:val="subscript"/>
              </w:rPr>
              <w:t>2</w:t>
            </w:r>
            <w:r w:rsidRPr="00B275E2">
              <w:rPr>
                <w:rFonts w:cs="Calibri"/>
                <w:b/>
                <w:color w:val="FFFFFF" w:themeColor="background1"/>
                <w:szCs w:val="18"/>
              </w:rPr>
              <w:t xml:space="preserve">/unit </w:t>
            </w:r>
            <w:r w:rsidRPr="00B275E2">
              <w:rPr>
                <w:rFonts w:cs="Calibri"/>
                <w:b/>
                <w:color w:val="FFFFFF" w:themeColor="background1"/>
                <w:szCs w:val="18"/>
              </w:rPr>
              <w:br/>
              <w:t>(kg CO</w:t>
            </w:r>
            <w:r w:rsidRPr="00B275E2">
              <w:rPr>
                <w:rFonts w:cs="Calibri"/>
                <w:b/>
                <w:color w:val="FFFFFF" w:themeColor="background1"/>
                <w:szCs w:val="18"/>
                <w:vertAlign w:val="subscript"/>
              </w:rPr>
              <w:t>2</w:t>
            </w:r>
            <w:r w:rsidRPr="00B275E2">
              <w:rPr>
                <w:rFonts w:cs="Calibri"/>
                <w:b/>
                <w:color w:val="FFFFFF" w:themeColor="background1"/>
                <w:szCs w:val="18"/>
              </w:rPr>
              <w:noBreakHyphen/>
              <w:t>e)</w:t>
            </w:r>
          </w:p>
        </w:tc>
        <w:tc>
          <w:tcPr>
            <w:tcW w:w="1134" w:type="dxa"/>
            <w:shd w:val="clear" w:color="auto" w:fill="1C556C" w:themeFill="accent1"/>
            <w:noWrap/>
            <w:vAlign w:val="bottom"/>
            <w:hideMark/>
          </w:tcPr>
          <w:p w14:paraId="650927DE" w14:textId="76E23301" w:rsidR="003A36FF" w:rsidRPr="00B275E2" w:rsidRDefault="003A36FF" w:rsidP="007F0B1E">
            <w:pPr>
              <w:pStyle w:val="TableText"/>
              <w:spacing w:before="50" w:after="50"/>
              <w:jc w:val="right"/>
              <w:rPr>
                <w:rFonts w:cs="Calibri"/>
                <w:b/>
                <w:color w:val="FFFFFF" w:themeColor="background1"/>
                <w:szCs w:val="18"/>
              </w:rPr>
            </w:pPr>
            <w:r w:rsidRPr="00B275E2">
              <w:rPr>
                <w:rFonts w:cs="Calibri"/>
                <w:b/>
                <w:color w:val="FFFFFF" w:themeColor="background1"/>
                <w:szCs w:val="18"/>
              </w:rPr>
              <w:t>kg CH</w:t>
            </w:r>
            <w:r w:rsidRPr="00B275E2">
              <w:rPr>
                <w:rFonts w:cs="Calibri"/>
                <w:b/>
                <w:color w:val="FFFFFF" w:themeColor="background1"/>
                <w:szCs w:val="18"/>
                <w:vertAlign w:val="subscript"/>
              </w:rPr>
              <w:t>4</w:t>
            </w:r>
            <w:r w:rsidRPr="00B275E2">
              <w:rPr>
                <w:rFonts w:cs="Calibri"/>
                <w:b/>
                <w:color w:val="FFFFFF" w:themeColor="background1"/>
                <w:szCs w:val="18"/>
              </w:rPr>
              <w:t xml:space="preserve">/unit </w:t>
            </w:r>
            <w:r w:rsidRPr="00B275E2">
              <w:rPr>
                <w:rFonts w:cs="Calibri"/>
                <w:b/>
                <w:color w:val="FFFFFF" w:themeColor="background1"/>
                <w:szCs w:val="18"/>
              </w:rPr>
              <w:br/>
              <w:t>(kg CO</w:t>
            </w:r>
            <w:r w:rsidRPr="00B275E2">
              <w:rPr>
                <w:rFonts w:cs="Calibri"/>
                <w:b/>
                <w:color w:val="FFFFFF" w:themeColor="background1"/>
                <w:szCs w:val="18"/>
                <w:vertAlign w:val="subscript"/>
              </w:rPr>
              <w:t>2</w:t>
            </w:r>
            <w:r w:rsidRPr="00B275E2">
              <w:rPr>
                <w:rFonts w:cs="Calibri"/>
                <w:b/>
                <w:color w:val="FFFFFF" w:themeColor="background1"/>
                <w:szCs w:val="18"/>
              </w:rPr>
              <w:noBreakHyphen/>
              <w:t>e)</w:t>
            </w:r>
          </w:p>
        </w:tc>
        <w:tc>
          <w:tcPr>
            <w:tcW w:w="1108" w:type="dxa"/>
            <w:shd w:val="clear" w:color="auto" w:fill="1C556C" w:themeFill="accent1"/>
            <w:noWrap/>
            <w:vAlign w:val="bottom"/>
            <w:hideMark/>
          </w:tcPr>
          <w:p w14:paraId="650927DF" w14:textId="5742B401" w:rsidR="003A36FF" w:rsidRPr="00B275E2" w:rsidRDefault="003A36FF" w:rsidP="007F0B1E">
            <w:pPr>
              <w:pStyle w:val="TableText"/>
              <w:spacing w:before="50" w:after="50"/>
              <w:jc w:val="right"/>
              <w:rPr>
                <w:rFonts w:cs="Calibri"/>
                <w:b/>
                <w:color w:val="FFFFFF" w:themeColor="background1"/>
                <w:szCs w:val="18"/>
              </w:rPr>
            </w:pPr>
            <w:r w:rsidRPr="00B275E2">
              <w:rPr>
                <w:rFonts w:cs="Calibri"/>
                <w:b/>
                <w:color w:val="FFFFFF" w:themeColor="background1"/>
                <w:szCs w:val="18"/>
              </w:rPr>
              <w:t>kg N</w:t>
            </w:r>
            <w:r w:rsidRPr="00B275E2">
              <w:rPr>
                <w:rFonts w:cs="Calibri"/>
                <w:b/>
                <w:color w:val="FFFFFF" w:themeColor="background1"/>
                <w:szCs w:val="18"/>
                <w:vertAlign w:val="subscript"/>
              </w:rPr>
              <w:t>2</w:t>
            </w:r>
            <w:r w:rsidRPr="00B275E2">
              <w:rPr>
                <w:rFonts w:cs="Calibri"/>
                <w:b/>
                <w:color w:val="FFFFFF" w:themeColor="background1"/>
                <w:szCs w:val="18"/>
              </w:rPr>
              <w:t xml:space="preserve">O/unit </w:t>
            </w:r>
            <w:r w:rsidRPr="00B275E2">
              <w:rPr>
                <w:rFonts w:cs="Calibri"/>
                <w:b/>
                <w:color w:val="FFFFFF" w:themeColor="background1"/>
                <w:szCs w:val="18"/>
              </w:rPr>
              <w:br/>
              <w:t>(kg CO</w:t>
            </w:r>
            <w:r w:rsidRPr="00B275E2">
              <w:rPr>
                <w:rFonts w:cs="Calibri"/>
                <w:b/>
                <w:color w:val="FFFFFF" w:themeColor="background1"/>
                <w:szCs w:val="18"/>
                <w:vertAlign w:val="subscript"/>
              </w:rPr>
              <w:t>2</w:t>
            </w:r>
            <w:r w:rsidRPr="00B275E2">
              <w:rPr>
                <w:rFonts w:cs="Calibri"/>
                <w:b/>
                <w:color w:val="FFFFFF" w:themeColor="background1"/>
                <w:szCs w:val="18"/>
              </w:rPr>
              <w:noBreakHyphen/>
              <w:t>e)</w:t>
            </w:r>
          </w:p>
        </w:tc>
      </w:tr>
      <w:tr w:rsidR="00940C55" w:rsidRPr="00B275E2" w14:paraId="650927E8" w14:textId="77777777" w:rsidTr="006D3AF6">
        <w:tc>
          <w:tcPr>
            <w:tcW w:w="1490" w:type="dxa"/>
            <w:vMerge w:val="restart"/>
          </w:tcPr>
          <w:p w14:paraId="650927E1" w14:textId="38E4C806" w:rsidR="001C477F" w:rsidRPr="00B275E2" w:rsidRDefault="001C477F" w:rsidP="007F0B1E">
            <w:pPr>
              <w:pStyle w:val="TableText"/>
              <w:spacing w:before="50" w:after="50"/>
              <w:rPr>
                <w:rFonts w:cs="Calibri"/>
                <w:szCs w:val="18"/>
              </w:rPr>
            </w:pPr>
            <w:r w:rsidRPr="00B275E2">
              <w:rPr>
                <w:rFonts w:cs="Calibri"/>
                <w:szCs w:val="18"/>
              </w:rPr>
              <w:t>HGV diesel</w:t>
            </w:r>
          </w:p>
        </w:tc>
        <w:tc>
          <w:tcPr>
            <w:tcW w:w="1644" w:type="dxa"/>
            <w:shd w:val="clear" w:color="auto" w:fill="auto"/>
            <w:noWrap/>
          </w:tcPr>
          <w:p w14:paraId="650927E2" w14:textId="493998E3" w:rsidR="001C477F" w:rsidRPr="00B275E2" w:rsidRDefault="001C477F" w:rsidP="007F0B1E">
            <w:pPr>
              <w:pStyle w:val="TableText"/>
              <w:spacing w:before="50" w:after="50"/>
              <w:rPr>
                <w:rFonts w:cs="Calibri"/>
                <w:szCs w:val="18"/>
              </w:rPr>
            </w:pPr>
            <w:r w:rsidRPr="00B275E2">
              <w:rPr>
                <w:rFonts w:cs="Calibri"/>
                <w:color w:val="000000"/>
                <w:szCs w:val="18"/>
              </w:rPr>
              <w:t xml:space="preserve">&lt;5,000 kg </w:t>
            </w:r>
          </w:p>
        </w:tc>
        <w:tc>
          <w:tcPr>
            <w:tcW w:w="680" w:type="dxa"/>
            <w:shd w:val="clear" w:color="auto" w:fill="auto"/>
            <w:noWrap/>
            <w:vAlign w:val="bottom"/>
          </w:tcPr>
          <w:p w14:paraId="650927E3" w14:textId="77777777" w:rsidR="001C477F" w:rsidRPr="00B275E2" w:rsidRDefault="001C477F" w:rsidP="007F0B1E">
            <w:pPr>
              <w:pStyle w:val="TableText"/>
              <w:spacing w:before="50" w:after="50"/>
              <w:rPr>
                <w:rFonts w:cs="Calibri"/>
                <w:szCs w:val="18"/>
              </w:rPr>
            </w:pPr>
            <w:r w:rsidRPr="00B275E2">
              <w:rPr>
                <w:rFonts w:cs="Calibri"/>
                <w:szCs w:val="18"/>
              </w:rPr>
              <w:t>km</w:t>
            </w:r>
          </w:p>
        </w:tc>
        <w:tc>
          <w:tcPr>
            <w:tcW w:w="1276" w:type="dxa"/>
            <w:shd w:val="clear" w:color="auto" w:fill="D2DDE1" w:themeFill="background2"/>
            <w:noWrap/>
          </w:tcPr>
          <w:p w14:paraId="650927E4" w14:textId="11DB41C1" w:rsidR="001C477F" w:rsidRPr="00B275E2" w:rsidRDefault="000A7C99" w:rsidP="007F0B1E">
            <w:pPr>
              <w:pStyle w:val="TableText"/>
              <w:spacing w:before="50" w:after="50"/>
              <w:jc w:val="right"/>
              <w:rPr>
                <w:rFonts w:cs="Calibri"/>
                <w:szCs w:val="18"/>
              </w:rPr>
            </w:pPr>
            <w:r w:rsidRPr="00B275E2">
              <w:rPr>
                <w:rFonts w:cs="Calibri"/>
                <w:szCs w:val="18"/>
              </w:rPr>
              <w:t>0.421</w:t>
            </w:r>
          </w:p>
        </w:tc>
        <w:tc>
          <w:tcPr>
            <w:tcW w:w="1134" w:type="dxa"/>
            <w:shd w:val="clear" w:color="000000" w:fill="FFFFFF"/>
            <w:noWrap/>
          </w:tcPr>
          <w:p w14:paraId="650927E5" w14:textId="23763D31" w:rsidR="001C477F" w:rsidRPr="00B275E2" w:rsidRDefault="000A7C99" w:rsidP="007F0B1E">
            <w:pPr>
              <w:pStyle w:val="TableText"/>
              <w:spacing w:before="50" w:after="50"/>
              <w:jc w:val="right"/>
              <w:rPr>
                <w:rFonts w:cs="Calibri"/>
                <w:szCs w:val="18"/>
              </w:rPr>
            </w:pPr>
            <w:r w:rsidRPr="00B275E2">
              <w:rPr>
                <w:rFonts w:cs="Calibri"/>
                <w:szCs w:val="18"/>
              </w:rPr>
              <w:t>0.415</w:t>
            </w:r>
          </w:p>
        </w:tc>
        <w:tc>
          <w:tcPr>
            <w:tcW w:w="1134" w:type="dxa"/>
            <w:shd w:val="clear" w:color="000000" w:fill="FFFFFF"/>
            <w:noWrap/>
          </w:tcPr>
          <w:p w14:paraId="650927E6" w14:textId="0A163D7F" w:rsidR="001C477F" w:rsidRPr="00B275E2" w:rsidRDefault="001C477F" w:rsidP="007F0B1E">
            <w:pPr>
              <w:pStyle w:val="TableText"/>
              <w:spacing w:before="50" w:after="50"/>
              <w:jc w:val="right"/>
              <w:rPr>
                <w:rFonts w:cs="Calibri"/>
                <w:szCs w:val="18"/>
              </w:rPr>
            </w:pPr>
            <w:r w:rsidRPr="00B275E2">
              <w:rPr>
                <w:rFonts w:cs="Calibri"/>
                <w:szCs w:val="18"/>
              </w:rPr>
              <w:t>0.000</w:t>
            </w:r>
            <w:r w:rsidR="000A7C99" w:rsidRPr="00B275E2">
              <w:rPr>
                <w:rFonts w:cs="Calibri"/>
                <w:szCs w:val="18"/>
              </w:rPr>
              <w:t>6</w:t>
            </w:r>
          </w:p>
        </w:tc>
        <w:tc>
          <w:tcPr>
            <w:tcW w:w="1108" w:type="dxa"/>
            <w:shd w:val="clear" w:color="000000" w:fill="FFFFFF"/>
            <w:noWrap/>
          </w:tcPr>
          <w:p w14:paraId="650927E7" w14:textId="1241E990" w:rsidR="001C477F" w:rsidRPr="00B275E2" w:rsidRDefault="001C477F" w:rsidP="007F0B1E">
            <w:pPr>
              <w:pStyle w:val="TableText"/>
              <w:spacing w:before="50" w:after="50"/>
              <w:jc w:val="right"/>
              <w:rPr>
                <w:rFonts w:cs="Calibri"/>
                <w:szCs w:val="18"/>
              </w:rPr>
            </w:pPr>
            <w:r w:rsidRPr="00B275E2">
              <w:rPr>
                <w:rFonts w:cs="Calibri"/>
                <w:szCs w:val="18"/>
              </w:rPr>
              <w:t>0.006</w:t>
            </w:r>
            <w:r w:rsidR="000A7C99" w:rsidRPr="00B275E2">
              <w:rPr>
                <w:rFonts w:cs="Calibri"/>
                <w:szCs w:val="18"/>
              </w:rPr>
              <w:t>6</w:t>
            </w:r>
          </w:p>
        </w:tc>
      </w:tr>
      <w:tr w:rsidR="00940C55" w:rsidRPr="00B275E2" w14:paraId="650927F0" w14:textId="77777777" w:rsidTr="006D3AF6">
        <w:tc>
          <w:tcPr>
            <w:tcW w:w="1490" w:type="dxa"/>
            <w:vMerge/>
          </w:tcPr>
          <w:p w14:paraId="650927E9" w14:textId="77777777" w:rsidR="001C477F" w:rsidRPr="00B275E2" w:rsidRDefault="001C477F" w:rsidP="007F0B1E">
            <w:pPr>
              <w:pStyle w:val="TableText"/>
              <w:spacing w:before="50" w:after="50"/>
              <w:rPr>
                <w:rFonts w:cs="Calibri"/>
                <w:szCs w:val="18"/>
              </w:rPr>
            </w:pPr>
          </w:p>
        </w:tc>
        <w:tc>
          <w:tcPr>
            <w:tcW w:w="1644" w:type="dxa"/>
            <w:shd w:val="clear" w:color="auto" w:fill="auto"/>
            <w:noWrap/>
          </w:tcPr>
          <w:p w14:paraId="650927EA" w14:textId="429EB046" w:rsidR="001C477F" w:rsidRPr="00B275E2" w:rsidRDefault="001C477F" w:rsidP="007F0B1E">
            <w:pPr>
              <w:pStyle w:val="TableText"/>
              <w:spacing w:before="50" w:after="50"/>
              <w:rPr>
                <w:rFonts w:cs="Calibri"/>
                <w:szCs w:val="18"/>
              </w:rPr>
            </w:pPr>
            <w:r w:rsidRPr="00B275E2">
              <w:rPr>
                <w:rFonts w:cs="Calibri"/>
                <w:color w:val="000000"/>
                <w:szCs w:val="18"/>
              </w:rPr>
              <w:t xml:space="preserve">5,000 - </w:t>
            </w:r>
            <w:r w:rsidRPr="00B275E2">
              <w:rPr>
                <w:rFonts w:cs="Calibri"/>
                <w:szCs w:val="18"/>
              </w:rPr>
              <w:t>&lt;</w:t>
            </w:r>
            <w:r w:rsidRPr="00B275E2">
              <w:rPr>
                <w:rFonts w:cs="Calibri"/>
                <w:color w:val="000000"/>
                <w:szCs w:val="18"/>
              </w:rPr>
              <w:t xml:space="preserve">7,500 kg </w:t>
            </w:r>
          </w:p>
        </w:tc>
        <w:tc>
          <w:tcPr>
            <w:tcW w:w="680" w:type="dxa"/>
            <w:shd w:val="clear" w:color="auto" w:fill="auto"/>
            <w:noWrap/>
            <w:vAlign w:val="bottom"/>
          </w:tcPr>
          <w:p w14:paraId="650927EB" w14:textId="77777777" w:rsidR="001C477F" w:rsidRPr="00B275E2" w:rsidRDefault="001C477F" w:rsidP="007F0B1E">
            <w:pPr>
              <w:pStyle w:val="TableText"/>
              <w:spacing w:before="50" w:after="50"/>
              <w:rPr>
                <w:rFonts w:cs="Calibri"/>
                <w:szCs w:val="18"/>
              </w:rPr>
            </w:pPr>
            <w:r w:rsidRPr="00B275E2">
              <w:rPr>
                <w:rFonts w:cs="Calibri"/>
                <w:szCs w:val="18"/>
              </w:rPr>
              <w:t>km</w:t>
            </w:r>
          </w:p>
        </w:tc>
        <w:tc>
          <w:tcPr>
            <w:tcW w:w="1276" w:type="dxa"/>
            <w:shd w:val="clear" w:color="auto" w:fill="D2DDE1" w:themeFill="background2"/>
            <w:noWrap/>
          </w:tcPr>
          <w:p w14:paraId="650927EC" w14:textId="05A9E42D" w:rsidR="001C477F" w:rsidRPr="00B275E2" w:rsidRDefault="000A7C99" w:rsidP="007F0B1E">
            <w:pPr>
              <w:pStyle w:val="TableText"/>
              <w:spacing w:before="50" w:after="50"/>
              <w:jc w:val="right"/>
              <w:rPr>
                <w:rFonts w:cs="Calibri"/>
                <w:szCs w:val="18"/>
              </w:rPr>
            </w:pPr>
            <w:r w:rsidRPr="00B275E2">
              <w:rPr>
                <w:rFonts w:cs="Calibri"/>
                <w:szCs w:val="18"/>
              </w:rPr>
              <w:t>0.477</w:t>
            </w:r>
          </w:p>
        </w:tc>
        <w:tc>
          <w:tcPr>
            <w:tcW w:w="1134" w:type="dxa"/>
            <w:shd w:val="clear" w:color="000000" w:fill="FFFFFF"/>
            <w:noWrap/>
          </w:tcPr>
          <w:p w14:paraId="650927ED" w14:textId="61A341ED" w:rsidR="001C477F" w:rsidRPr="00B275E2" w:rsidRDefault="00A02E8C" w:rsidP="007F0B1E">
            <w:pPr>
              <w:pStyle w:val="TableText"/>
              <w:spacing w:before="50" w:after="50"/>
              <w:jc w:val="right"/>
              <w:rPr>
                <w:rFonts w:cs="Calibri"/>
                <w:szCs w:val="18"/>
              </w:rPr>
            </w:pPr>
            <w:r w:rsidRPr="00B275E2">
              <w:rPr>
                <w:rFonts w:cs="Calibri"/>
                <w:szCs w:val="18"/>
              </w:rPr>
              <w:t>0.470</w:t>
            </w:r>
          </w:p>
        </w:tc>
        <w:tc>
          <w:tcPr>
            <w:tcW w:w="1134" w:type="dxa"/>
            <w:shd w:val="clear" w:color="000000" w:fill="FFFFFF"/>
            <w:noWrap/>
          </w:tcPr>
          <w:p w14:paraId="650927EE" w14:textId="02D03749" w:rsidR="001C477F" w:rsidRPr="00B275E2" w:rsidRDefault="001C477F" w:rsidP="007F0B1E">
            <w:pPr>
              <w:pStyle w:val="TableText"/>
              <w:spacing w:before="50" w:after="50"/>
              <w:jc w:val="right"/>
              <w:rPr>
                <w:rFonts w:cs="Calibri"/>
                <w:szCs w:val="18"/>
              </w:rPr>
            </w:pPr>
            <w:r w:rsidRPr="00B275E2">
              <w:rPr>
                <w:rFonts w:cs="Calibri"/>
                <w:szCs w:val="18"/>
              </w:rPr>
              <w:t>0.0006</w:t>
            </w:r>
          </w:p>
        </w:tc>
        <w:tc>
          <w:tcPr>
            <w:tcW w:w="1108" w:type="dxa"/>
            <w:shd w:val="clear" w:color="000000" w:fill="FFFFFF"/>
            <w:noWrap/>
          </w:tcPr>
          <w:p w14:paraId="650927EF" w14:textId="4F25080C" w:rsidR="001C477F" w:rsidRPr="00B275E2" w:rsidRDefault="001C477F" w:rsidP="007F0B1E">
            <w:pPr>
              <w:pStyle w:val="TableText"/>
              <w:spacing w:before="50" w:after="50"/>
              <w:jc w:val="right"/>
              <w:rPr>
                <w:rFonts w:cs="Calibri"/>
                <w:szCs w:val="18"/>
              </w:rPr>
            </w:pPr>
            <w:r w:rsidRPr="00B275E2">
              <w:rPr>
                <w:rFonts w:cs="Calibri"/>
                <w:szCs w:val="18"/>
              </w:rPr>
              <w:t>0.007</w:t>
            </w:r>
            <w:r w:rsidR="00A02E8C" w:rsidRPr="00B275E2">
              <w:rPr>
                <w:rFonts w:cs="Calibri"/>
                <w:szCs w:val="18"/>
              </w:rPr>
              <w:t>5</w:t>
            </w:r>
          </w:p>
        </w:tc>
      </w:tr>
      <w:tr w:rsidR="00940C55" w:rsidRPr="00B275E2" w14:paraId="650927F8" w14:textId="77777777" w:rsidTr="006D3AF6">
        <w:tc>
          <w:tcPr>
            <w:tcW w:w="1490" w:type="dxa"/>
            <w:vMerge/>
          </w:tcPr>
          <w:p w14:paraId="650927F1" w14:textId="77777777" w:rsidR="001C477F" w:rsidRPr="00B275E2" w:rsidRDefault="001C477F" w:rsidP="007F0B1E">
            <w:pPr>
              <w:pStyle w:val="TableText"/>
              <w:spacing w:before="50" w:after="50"/>
              <w:rPr>
                <w:rFonts w:cs="Calibri"/>
                <w:szCs w:val="18"/>
              </w:rPr>
            </w:pPr>
          </w:p>
        </w:tc>
        <w:tc>
          <w:tcPr>
            <w:tcW w:w="1644" w:type="dxa"/>
            <w:shd w:val="clear" w:color="auto" w:fill="auto"/>
            <w:noWrap/>
          </w:tcPr>
          <w:p w14:paraId="650927F2" w14:textId="5E223F46" w:rsidR="001C477F" w:rsidRPr="00B275E2" w:rsidRDefault="001C477F" w:rsidP="007F0B1E">
            <w:pPr>
              <w:pStyle w:val="TableText"/>
              <w:spacing w:before="50" w:after="50"/>
              <w:rPr>
                <w:rFonts w:cs="Calibri"/>
                <w:szCs w:val="18"/>
              </w:rPr>
            </w:pPr>
            <w:r w:rsidRPr="00B275E2">
              <w:rPr>
                <w:rFonts w:cs="Calibri"/>
                <w:color w:val="000000"/>
                <w:szCs w:val="18"/>
              </w:rPr>
              <w:t xml:space="preserve">7,500 - </w:t>
            </w:r>
            <w:r w:rsidRPr="00B275E2">
              <w:rPr>
                <w:rFonts w:cs="Calibri"/>
                <w:szCs w:val="18"/>
              </w:rPr>
              <w:t>&lt;</w:t>
            </w:r>
            <w:r w:rsidRPr="00B275E2">
              <w:rPr>
                <w:rFonts w:cs="Calibri"/>
                <w:color w:val="000000"/>
                <w:szCs w:val="18"/>
              </w:rPr>
              <w:t>10,000 kg</w:t>
            </w:r>
          </w:p>
        </w:tc>
        <w:tc>
          <w:tcPr>
            <w:tcW w:w="680" w:type="dxa"/>
            <w:shd w:val="clear" w:color="auto" w:fill="auto"/>
            <w:noWrap/>
            <w:vAlign w:val="bottom"/>
          </w:tcPr>
          <w:p w14:paraId="650927F3" w14:textId="77777777" w:rsidR="001C477F" w:rsidRPr="00B275E2" w:rsidRDefault="001C477F" w:rsidP="007F0B1E">
            <w:pPr>
              <w:pStyle w:val="TableText"/>
              <w:spacing w:before="50" w:after="50"/>
              <w:rPr>
                <w:rFonts w:cs="Calibri"/>
                <w:szCs w:val="18"/>
              </w:rPr>
            </w:pPr>
            <w:r w:rsidRPr="00B275E2">
              <w:rPr>
                <w:rFonts w:cs="Calibri"/>
                <w:szCs w:val="18"/>
              </w:rPr>
              <w:t>km</w:t>
            </w:r>
          </w:p>
        </w:tc>
        <w:tc>
          <w:tcPr>
            <w:tcW w:w="1276" w:type="dxa"/>
            <w:shd w:val="clear" w:color="auto" w:fill="D2DDE1" w:themeFill="background2"/>
            <w:noWrap/>
          </w:tcPr>
          <w:p w14:paraId="650927F4" w14:textId="5AB2A43A" w:rsidR="001C477F" w:rsidRPr="00B275E2" w:rsidRDefault="00A02E8C" w:rsidP="007F0B1E">
            <w:pPr>
              <w:pStyle w:val="TableText"/>
              <w:spacing w:before="50" w:after="50"/>
              <w:jc w:val="right"/>
              <w:rPr>
                <w:rFonts w:cs="Calibri"/>
                <w:szCs w:val="18"/>
              </w:rPr>
            </w:pPr>
            <w:r w:rsidRPr="00B275E2">
              <w:rPr>
                <w:rFonts w:cs="Calibri"/>
                <w:szCs w:val="18"/>
              </w:rPr>
              <w:t>0.583</w:t>
            </w:r>
          </w:p>
        </w:tc>
        <w:tc>
          <w:tcPr>
            <w:tcW w:w="1134" w:type="dxa"/>
            <w:shd w:val="clear" w:color="000000" w:fill="FFFFFF"/>
            <w:noWrap/>
          </w:tcPr>
          <w:p w14:paraId="650927F5" w14:textId="1253262E" w:rsidR="001C477F" w:rsidRPr="00B275E2" w:rsidRDefault="00A02E8C" w:rsidP="007F0B1E">
            <w:pPr>
              <w:pStyle w:val="TableText"/>
              <w:spacing w:before="50" w:after="50"/>
              <w:jc w:val="right"/>
              <w:rPr>
                <w:rFonts w:cs="Calibri"/>
                <w:szCs w:val="18"/>
              </w:rPr>
            </w:pPr>
            <w:r w:rsidRPr="00B275E2">
              <w:rPr>
                <w:rFonts w:cs="Calibri"/>
                <w:szCs w:val="18"/>
              </w:rPr>
              <w:t>0.575</w:t>
            </w:r>
          </w:p>
        </w:tc>
        <w:tc>
          <w:tcPr>
            <w:tcW w:w="1134" w:type="dxa"/>
            <w:shd w:val="clear" w:color="000000" w:fill="FFFFFF"/>
            <w:noWrap/>
          </w:tcPr>
          <w:p w14:paraId="650927F6" w14:textId="498488FD" w:rsidR="001C477F" w:rsidRPr="00B275E2" w:rsidRDefault="001C477F" w:rsidP="007F0B1E">
            <w:pPr>
              <w:pStyle w:val="TableText"/>
              <w:spacing w:before="50" w:after="50"/>
              <w:jc w:val="right"/>
              <w:rPr>
                <w:rFonts w:cs="Calibri"/>
                <w:szCs w:val="18"/>
              </w:rPr>
            </w:pPr>
            <w:r w:rsidRPr="00B275E2">
              <w:rPr>
                <w:rFonts w:cs="Calibri"/>
                <w:szCs w:val="18"/>
              </w:rPr>
              <w:t>0.0008</w:t>
            </w:r>
          </w:p>
        </w:tc>
        <w:tc>
          <w:tcPr>
            <w:tcW w:w="1108" w:type="dxa"/>
            <w:shd w:val="clear" w:color="000000" w:fill="FFFFFF"/>
            <w:noWrap/>
          </w:tcPr>
          <w:p w14:paraId="650927F7" w14:textId="1AEC75C6" w:rsidR="001C477F" w:rsidRPr="00B275E2" w:rsidRDefault="001C477F" w:rsidP="007F0B1E">
            <w:pPr>
              <w:pStyle w:val="TableText"/>
              <w:spacing w:before="50" w:after="50"/>
              <w:jc w:val="right"/>
              <w:rPr>
                <w:rFonts w:cs="Calibri"/>
                <w:szCs w:val="18"/>
              </w:rPr>
            </w:pPr>
            <w:r w:rsidRPr="00B275E2">
              <w:rPr>
                <w:rFonts w:cs="Calibri"/>
                <w:szCs w:val="18"/>
              </w:rPr>
              <w:t>0.009</w:t>
            </w:r>
            <w:r w:rsidR="00A02E8C" w:rsidRPr="00B275E2">
              <w:rPr>
                <w:rFonts w:cs="Calibri"/>
                <w:szCs w:val="18"/>
              </w:rPr>
              <w:t>2</w:t>
            </w:r>
          </w:p>
        </w:tc>
      </w:tr>
      <w:tr w:rsidR="00940C55" w:rsidRPr="00B275E2" w14:paraId="65092800" w14:textId="77777777" w:rsidTr="006D3AF6">
        <w:tc>
          <w:tcPr>
            <w:tcW w:w="1490" w:type="dxa"/>
            <w:vMerge/>
          </w:tcPr>
          <w:p w14:paraId="650927F9" w14:textId="77777777" w:rsidR="001C477F" w:rsidRPr="00B275E2" w:rsidRDefault="001C477F" w:rsidP="007F0B1E">
            <w:pPr>
              <w:pStyle w:val="TableText"/>
              <w:spacing w:before="50" w:after="50"/>
              <w:rPr>
                <w:rFonts w:cs="Calibri"/>
                <w:szCs w:val="18"/>
              </w:rPr>
            </w:pPr>
          </w:p>
        </w:tc>
        <w:tc>
          <w:tcPr>
            <w:tcW w:w="1644" w:type="dxa"/>
            <w:shd w:val="clear" w:color="auto" w:fill="auto"/>
            <w:noWrap/>
          </w:tcPr>
          <w:p w14:paraId="650927FA" w14:textId="0C678F14" w:rsidR="001C477F" w:rsidRPr="00B275E2" w:rsidRDefault="001C477F" w:rsidP="007F0B1E">
            <w:pPr>
              <w:pStyle w:val="TableText"/>
              <w:spacing w:before="50" w:after="50"/>
              <w:rPr>
                <w:rFonts w:cs="Calibri"/>
                <w:szCs w:val="18"/>
              </w:rPr>
            </w:pPr>
            <w:r w:rsidRPr="00B275E2">
              <w:rPr>
                <w:rFonts w:cs="Calibri"/>
                <w:color w:val="000000"/>
                <w:szCs w:val="18"/>
              </w:rPr>
              <w:t xml:space="preserve">10,000 - </w:t>
            </w:r>
            <w:r w:rsidRPr="00B275E2">
              <w:rPr>
                <w:rFonts w:cs="Calibri"/>
                <w:szCs w:val="18"/>
              </w:rPr>
              <w:t>&lt;</w:t>
            </w:r>
            <w:r w:rsidRPr="00B275E2">
              <w:rPr>
                <w:rFonts w:cs="Calibri"/>
                <w:color w:val="000000"/>
                <w:szCs w:val="18"/>
              </w:rPr>
              <w:t xml:space="preserve">12,000 kg </w:t>
            </w:r>
          </w:p>
        </w:tc>
        <w:tc>
          <w:tcPr>
            <w:tcW w:w="680" w:type="dxa"/>
            <w:shd w:val="clear" w:color="auto" w:fill="auto"/>
            <w:noWrap/>
            <w:vAlign w:val="bottom"/>
          </w:tcPr>
          <w:p w14:paraId="650927FB" w14:textId="77777777" w:rsidR="001C477F" w:rsidRPr="00B275E2" w:rsidRDefault="001C477F" w:rsidP="007F0B1E">
            <w:pPr>
              <w:pStyle w:val="TableText"/>
              <w:spacing w:before="50" w:after="50"/>
              <w:rPr>
                <w:rFonts w:cs="Calibri"/>
                <w:szCs w:val="18"/>
              </w:rPr>
            </w:pPr>
            <w:r w:rsidRPr="00B275E2">
              <w:rPr>
                <w:rFonts w:cs="Calibri"/>
                <w:szCs w:val="18"/>
              </w:rPr>
              <w:t>km</w:t>
            </w:r>
          </w:p>
        </w:tc>
        <w:tc>
          <w:tcPr>
            <w:tcW w:w="1276" w:type="dxa"/>
            <w:shd w:val="clear" w:color="auto" w:fill="D2DDE1" w:themeFill="background2"/>
            <w:noWrap/>
          </w:tcPr>
          <w:p w14:paraId="650927FC" w14:textId="7C6EF635" w:rsidR="001C477F" w:rsidRPr="00B275E2" w:rsidRDefault="00F666D7" w:rsidP="007F0B1E">
            <w:pPr>
              <w:pStyle w:val="TableText"/>
              <w:spacing w:before="50" w:after="50"/>
              <w:jc w:val="right"/>
              <w:rPr>
                <w:rFonts w:cs="Calibri"/>
                <w:szCs w:val="18"/>
              </w:rPr>
            </w:pPr>
            <w:r w:rsidRPr="00B275E2">
              <w:rPr>
                <w:rFonts w:cs="Calibri"/>
                <w:szCs w:val="18"/>
              </w:rPr>
              <w:t>0.692</w:t>
            </w:r>
          </w:p>
        </w:tc>
        <w:tc>
          <w:tcPr>
            <w:tcW w:w="1134" w:type="dxa"/>
            <w:shd w:val="clear" w:color="000000" w:fill="FFFFFF"/>
            <w:noWrap/>
          </w:tcPr>
          <w:p w14:paraId="650927FD" w14:textId="47E841D2" w:rsidR="001C477F" w:rsidRPr="00B275E2" w:rsidRDefault="00F666D7" w:rsidP="007F0B1E">
            <w:pPr>
              <w:pStyle w:val="TableText"/>
              <w:spacing w:before="50" w:after="50"/>
              <w:jc w:val="right"/>
              <w:rPr>
                <w:rFonts w:cs="Calibri"/>
                <w:szCs w:val="18"/>
              </w:rPr>
            </w:pPr>
            <w:r w:rsidRPr="00B275E2">
              <w:rPr>
                <w:rFonts w:cs="Calibri"/>
                <w:szCs w:val="18"/>
              </w:rPr>
              <w:t>0.681</w:t>
            </w:r>
          </w:p>
        </w:tc>
        <w:tc>
          <w:tcPr>
            <w:tcW w:w="1134" w:type="dxa"/>
            <w:shd w:val="clear" w:color="000000" w:fill="FFFFFF"/>
            <w:noWrap/>
          </w:tcPr>
          <w:p w14:paraId="650927FE" w14:textId="6D17D9DA" w:rsidR="001C477F" w:rsidRPr="00B275E2" w:rsidRDefault="001C477F" w:rsidP="007F0B1E">
            <w:pPr>
              <w:pStyle w:val="TableText"/>
              <w:spacing w:before="50" w:after="50"/>
              <w:jc w:val="right"/>
              <w:rPr>
                <w:rFonts w:cs="Calibri"/>
                <w:szCs w:val="18"/>
              </w:rPr>
            </w:pPr>
            <w:r w:rsidRPr="00B275E2">
              <w:rPr>
                <w:rFonts w:cs="Calibri"/>
                <w:szCs w:val="18"/>
              </w:rPr>
              <w:t>0.0009</w:t>
            </w:r>
          </w:p>
        </w:tc>
        <w:tc>
          <w:tcPr>
            <w:tcW w:w="1108" w:type="dxa"/>
            <w:shd w:val="clear" w:color="000000" w:fill="FFFFFF"/>
            <w:noWrap/>
          </w:tcPr>
          <w:p w14:paraId="650927FF" w14:textId="3431E4CA" w:rsidR="001C477F" w:rsidRPr="00B275E2" w:rsidRDefault="001C477F" w:rsidP="007F0B1E">
            <w:pPr>
              <w:pStyle w:val="TableText"/>
              <w:spacing w:before="50" w:after="50"/>
              <w:jc w:val="right"/>
              <w:rPr>
                <w:rFonts w:cs="Calibri"/>
                <w:szCs w:val="18"/>
              </w:rPr>
            </w:pPr>
            <w:r w:rsidRPr="00B275E2">
              <w:rPr>
                <w:rFonts w:cs="Calibri"/>
                <w:szCs w:val="18"/>
              </w:rPr>
              <w:t>0.01</w:t>
            </w:r>
            <w:r w:rsidR="00F666D7" w:rsidRPr="00B275E2">
              <w:rPr>
                <w:rFonts w:cs="Calibri"/>
                <w:szCs w:val="18"/>
              </w:rPr>
              <w:t>08</w:t>
            </w:r>
          </w:p>
        </w:tc>
      </w:tr>
      <w:tr w:rsidR="00940C55" w:rsidRPr="00B275E2" w14:paraId="65092808" w14:textId="77777777" w:rsidTr="006D3AF6">
        <w:tc>
          <w:tcPr>
            <w:tcW w:w="1490" w:type="dxa"/>
            <w:vMerge/>
          </w:tcPr>
          <w:p w14:paraId="65092801" w14:textId="77777777" w:rsidR="001C477F" w:rsidRPr="00B275E2" w:rsidRDefault="001C477F" w:rsidP="007F0B1E">
            <w:pPr>
              <w:pStyle w:val="TableText"/>
              <w:spacing w:before="50" w:after="50"/>
              <w:rPr>
                <w:rFonts w:cs="Calibri"/>
                <w:szCs w:val="18"/>
              </w:rPr>
            </w:pPr>
          </w:p>
        </w:tc>
        <w:tc>
          <w:tcPr>
            <w:tcW w:w="1644" w:type="dxa"/>
            <w:shd w:val="clear" w:color="auto" w:fill="auto"/>
            <w:noWrap/>
          </w:tcPr>
          <w:p w14:paraId="65092802" w14:textId="7A6D01C4" w:rsidR="001C477F" w:rsidRPr="00B275E2" w:rsidRDefault="001C477F" w:rsidP="007F0B1E">
            <w:pPr>
              <w:pStyle w:val="TableText"/>
              <w:spacing w:before="50" w:after="50"/>
              <w:rPr>
                <w:rFonts w:cs="Calibri"/>
                <w:szCs w:val="18"/>
              </w:rPr>
            </w:pPr>
            <w:r w:rsidRPr="00B275E2">
              <w:rPr>
                <w:rFonts w:cs="Calibri"/>
                <w:color w:val="000000"/>
                <w:szCs w:val="18"/>
              </w:rPr>
              <w:t xml:space="preserve">12,000 - </w:t>
            </w:r>
            <w:r w:rsidRPr="00B275E2">
              <w:rPr>
                <w:rFonts w:cs="Calibri"/>
                <w:szCs w:val="18"/>
              </w:rPr>
              <w:t>&lt;</w:t>
            </w:r>
            <w:r w:rsidRPr="00B275E2">
              <w:rPr>
                <w:rFonts w:cs="Calibri"/>
                <w:color w:val="000000"/>
                <w:szCs w:val="18"/>
              </w:rPr>
              <w:t xml:space="preserve">15,000 kg </w:t>
            </w:r>
          </w:p>
        </w:tc>
        <w:tc>
          <w:tcPr>
            <w:tcW w:w="680" w:type="dxa"/>
            <w:shd w:val="clear" w:color="auto" w:fill="auto"/>
            <w:noWrap/>
            <w:vAlign w:val="bottom"/>
          </w:tcPr>
          <w:p w14:paraId="65092803" w14:textId="77777777" w:rsidR="001C477F" w:rsidRPr="00B275E2" w:rsidRDefault="001C477F" w:rsidP="007F0B1E">
            <w:pPr>
              <w:pStyle w:val="TableText"/>
              <w:spacing w:before="50" w:after="50"/>
              <w:rPr>
                <w:rFonts w:cs="Calibri"/>
                <w:szCs w:val="18"/>
              </w:rPr>
            </w:pPr>
            <w:r w:rsidRPr="00B275E2">
              <w:rPr>
                <w:rFonts w:cs="Calibri"/>
                <w:szCs w:val="18"/>
              </w:rPr>
              <w:t>km</w:t>
            </w:r>
          </w:p>
        </w:tc>
        <w:tc>
          <w:tcPr>
            <w:tcW w:w="1276" w:type="dxa"/>
            <w:shd w:val="clear" w:color="auto" w:fill="D2DDE1" w:themeFill="background2"/>
            <w:noWrap/>
          </w:tcPr>
          <w:p w14:paraId="65092804" w14:textId="7922E881" w:rsidR="001C477F" w:rsidRPr="00B275E2" w:rsidRDefault="00F666D7" w:rsidP="007F0B1E">
            <w:pPr>
              <w:pStyle w:val="TableText"/>
              <w:spacing w:before="50" w:after="50"/>
              <w:jc w:val="right"/>
              <w:rPr>
                <w:rFonts w:cs="Calibri"/>
                <w:szCs w:val="18"/>
              </w:rPr>
            </w:pPr>
            <w:r w:rsidRPr="00B275E2">
              <w:rPr>
                <w:rFonts w:cs="Calibri"/>
                <w:szCs w:val="18"/>
              </w:rPr>
              <w:t>0.786</w:t>
            </w:r>
          </w:p>
        </w:tc>
        <w:tc>
          <w:tcPr>
            <w:tcW w:w="1134" w:type="dxa"/>
            <w:shd w:val="clear" w:color="000000" w:fill="FFFFFF"/>
            <w:noWrap/>
          </w:tcPr>
          <w:p w14:paraId="65092805" w14:textId="4B3E95DF" w:rsidR="001C477F" w:rsidRPr="00B275E2" w:rsidRDefault="00E72DD6" w:rsidP="007F0B1E">
            <w:pPr>
              <w:pStyle w:val="TableText"/>
              <w:spacing w:before="50" w:after="50"/>
              <w:jc w:val="right"/>
              <w:rPr>
                <w:rFonts w:cs="Calibri"/>
                <w:szCs w:val="18"/>
              </w:rPr>
            </w:pPr>
            <w:r w:rsidRPr="00B275E2">
              <w:rPr>
                <w:rFonts w:cs="Calibri"/>
                <w:szCs w:val="18"/>
              </w:rPr>
              <w:t>0.774</w:t>
            </w:r>
          </w:p>
        </w:tc>
        <w:tc>
          <w:tcPr>
            <w:tcW w:w="1134" w:type="dxa"/>
            <w:shd w:val="clear" w:color="000000" w:fill="FFFFFF"/>
            <w:noWrap/>
          </w:tcPr>
          <w:p w14:paraId="65092806" w14:textId="3B087357" w:rsidR="001C477F" w:rsidRPr="00B275E2" w:rsidRDefault="001C477F" w:rsidP="007F0B1E">
            <w:pPr>
              <w:pStyle w:val="TableText"/>
              <w:spacing w:before="50" w:after="50"/>
              <w:jc w:val="right"/>
              <w:rPr>
                <w:rFonts w:cs="Calibri"/>
                <w:szCs w:val="18"/>
              </w:rPr>
            </w:pPr>
            <w:r w:rsidRPr="00B275E2">
              <w:rPr>
                <w:rFonts w:cs="Calibri"/>
                <w:szCs w:val="18"/>
              </w:rPr>
              <w:t>0.001</w:t>
            </w:r>
            <w:r w:rsidR="00E72DD6" w:rsidRPr="00B275E2">
              <w:rPr>
                <w:rFonts w:cs="Calibri"/>
                <w:szCs w:val="18"/>
              </w:rPr>
              <w:t>0</w:t>
            </w:r>
          </w:p>
        </w:tc>
        <w:tc>
          <w:tcPr>
            <w:tcW w:w="1108" w:type="dxa"/>
            <w:shd w:val="clear" w:color="000000" w:fill="FFFFFF"/>
            <w:noWrap/>
          </w:tcPr>
          <w:p w14:paraId="65092807" w14:textId="4E3D9697" w:rsidR="001C477F" w:rsidRPr="00B275E2" w:rsidRDefault="001C477F" w:rsidP="007F0B1E">
            <w:pPr>
              <w:pStyle w:val="TableText"/>
              <w:spacing w:before="50" w:after="50"/>
              <w:jc w:val="right"/>
              <w:rPr>
                <w:rFonts w:cs="Calibri"/>
                <w:szCs w:val="18"/>
              </w:rPr>
            </w:pPr>
            <w:r w:rsidRPr="00B275E2">
              <w:rPr>
                <w:rFonts w:cs="Calibri"/>
                <w:szCs w:val="18"/>
              </w:rPr>
              <w:t>0.01</w:t>
            </w:r>
            <w:r w:rsidR="00E72DD6" w:rsidRPr="00B275E2">
              <w:rPr>
                <w:rFonts w:cs="Calibri"/>
                <w:szCs w:val="18"/>
              </w:rPr>
              <w:t>23</w:t>
            </w:r>
          </w:p>
        </w:tc>
      </w:tr>
      <w:tr w:rsidR="00940C55" w:rsidRPr="00B275E2" w14:paraId="65092810" w14:textId="77777777" w:rsidTr="006D3AF6">
        <w:tc>
          <w:tcPr>
            <w:tcW w:w="1490" w:type="dxa"/>
            <w:vMerge/>
          </w:tcPr>
          <w:p w14:paraId="65092809" w14:textId="77777777" w:rsidR="001C477F" w:rsidRPr="00B275E2" w:rsidRDefault="001C477F" w:rsidP="007F0B1E">
            <w:pPr>
              <w:pStyle w:val="TableText"/>
              <w:spacing w:before="50" w:after="50"/>
              <w:rPr>
                <w:rFonts w:cs="Calibri"/>
                <w:szCs w:val="18"/>
              </w:rPr>
            </w:pPr>
          </w:p>
        </w:tc>
        <w:tc>
          <w:tcPr>
            <w:tcW w:w="1644" w:type="dxa"/>
            <w:shd w:val="clear" w:color="auto" w:fill="auto"/>
            <w:noWrap/>
          </w:tcPr>
          <w:p w14:paraId="6509280A" w14:textId="0096FBE7" w:rsidR="001C477F" w:rsidRPr="00B275E2" w:rsidRDefault="001C477F" w:rsidP="007F0B1E">
            <w:pPr>
              <w:pStyle w:val="TableText"/>
              <w:spacing w:before="50" w:after="50"/>
              <w:rPr>
                <w:rFonts w:cs="Calibri"/>
                <w:szCs w:val="18"/>
              </w:rPr>
            </w:pPr>
            <w:r w:rsidRPr="00B275E2">
              <w:rPr>
                <w:rFonts w:cs="Calibri"/>
                <w:color w:val="000000"/>
                <w:szCs w:val="18"/>
              </w:rPr>
              <w:t xml:space="preserve">15,000 - </w:t>
            </w:r>
            <w:r w:rsidRPr="00B275E2">
              <w:rPr>
                <w:rFonts w:cs="Calibri"/>
                <w:szCs w:val="18"/>
              </w:rPr>
              <w:t>&lt;</w:t>
            </w:r>
            <w:r w:rsidRPr="00B275E2">
              <w:rPr>
                <w:rFonts w:cs="Calibri"/>
                <w:color w:val="000000"/>
                <w:szCs w:val="18"/>
              </w:rPr>
              <w:t xml:space="preserve">20,000 kg </w:t>
            </w:r>
          </w:p>
        </w:tc>
        <w:tc>
          <w:tcPr>
            <w:tcW w:w="680" w:type="dxa"/>
            <w:shd w:val="clear" w:color="auto" w:fill="auto"/>
            <w:noWrap/>
            <w:vAlign w:val="bottom"/>
          </w:tcPr>
          <w:p w14:paraId="6509280B" w14:textId="77777777" w:rsidR="001C477F" w:rsidRPr="00B275E2" w:rsidRDefault="001C477F" w:rsidP="007F0B1E">
            <w:pPr>
              <w:pStyle w:val="TableText"/>
              <w:spacing w:before="50" w:after="50"/>
              <w:rPr>
                <w:rFonts w:cs="Calibri"/>
                <w:szCs w:val="18"/>
              </w:rPr>
            </w:pPr>
            <w:r w:rsidRPr="00B275E2">
              <w:rPr>
                <w:rFonts w:cs="Calibri"/>
                <w:szCs w:val="18"/>
              </w:rPr>
              <w:t>km</w:t>
            </w:r>
          </w:p>
        </w:tc>
        <w:tc>
          <w:tcPr>
            <w:tcW w:w="1276" w:type="dxa"/>
            <w:shd w:val="clear" w:color="auto" w:fill="D2DDE1" w:themeFill="background2"/>
            <w:noWrap/>
          </w:tcPr>
          <w:p w14:paraId="6509280C" w14:textId="2BC6EB5C" w:rsidR="001C477F" w:rsidRPr="00B275E2" w:rsidRDefault="0075104B" w:rsidP="007F0B1E">
            <w:pPr>
              <w:pStyle w:val="TableText"/>
              <w:spacing w:before="50" w:after="50"/>
              <w:jc w:val="right"/>
              <w:rPr>
                <w:rFonts w:cs="Calibri"/>
                <w:szCs w:val="18"/>
              </w:rPr>
            </w:pPr>
            <w:r w:rsidRPr="00B275E2">
              <w:rPr>
                <w:rFonts w:cs="Calibri"/>
                <w:szCs w:val="18"/>
              </w:rPr>
              <w:t>0.955</w:t>
            </w:r>
          </w:p>
        </w:tc>
        <w:tc>
          <w:tcPr>
            <w:tcW w:w="1134" w:type="dxa"/>
            <w:shd w:val="clear" w:color="000000" w:fill="FFFFFF"/>
            <w:noWrap/>
          </w:tcPr>
          <w:p w14:paraId="6509280D" w14:textId="093FED5C" w:rsidR="001C477F" w:rsidRPr="00B275E2" w:rsidRDefault="0075104B" w:rsidP="007F0B1E">
            <w:pPr>
              <w:pStyle w:val="TableText"/>
              <w:spacing w:before="50" w:after="50"/>
              <w:jc w:val="right"/>
              <w:rPr>
                <w:rFonts w:cs="Calibri"/>
                <w:szCs w:val="18"/>
              </w:rPr>
            </w:pPr>
            <w:r w:rsidRPr="00B275E2">
              <w:rPr>
                <w:rFonts w:cs="Calibri"/>
                <w:szCs w:val="18"/>
              </w:rPr>
              <w:t>0.</w:t>
            </w:r>
            <w:r w:rsidR="00662FBE" w:rsidRPr="00B275E2">
              <w:rPr>
                <w:rFonts w:cs="Calibri"/>
                <w:szCs w:val="18"/>
              </w:rPr>
              <w:t>941</w:t>
            </w:r>
          </w:p>
        </w:tc>
        <w:tc>
          <w:tcPr>
            <w:tcW w:w="1134" w:type="dxa"/>
            <w:shd w:val="clear" w:color="000000" w:fill="FFFFFF"/>
            <w:noWrap/>
          </w:tcPr>
          <w:p w14:paraId="6509280E" w14:textId="01515262" w:rsidR="001C477F" w:rsidRPr="00B275E2" w:rsidRDefault="001C477F" w:rsidP="007F0B1E">
            <w:pPr>
              <w:pStyle w:val="TableText"/>
              <w:spacing w:before="50" w:after="50"/>
              <w:jc w:val="right"/>
              <w:rPr>
                <w:rFonts w:cs="Calibri"/>
                <w:szCs w:val="18"/>
              </w:rPr>
            </w:pPr>
            <w:r w:rsidRPr="00B275E2">
              <w:rPr>
                <w:rFonts w:cs="Calibri"/>
                <w:szCs w:val="18"/>
              </w:rPr>
              <w:t>0.0013</w:t>
            </w:r>
          </w:p>
        </w:tc>
        <w:tc>
          <w:tcPr>
            <w:tcW w:w="1108" w:type="dxa"/>
            <w:shd w:val="clear" w:color="000000" w:fill="FFFFFF"/>
            <w:noWrap/>
          </w:tcPr>
          <w:p w14:paraId="6509280F" w14:textId="74819A17" w:rsidR="001C477F" w:rsidRPr="00B275E2" w:rsidRDefault="001C477F" w:rsidP="007F0B1E">
            <w:pPr>
              <w:pStyle w:val="TableText"/>
              <w:spacing w:before="50" w:after="50"/>
              <w:jc w:val="right"/>
              <w:rPr>
                <w:rFonts w:cs="Calibri"/>
                <w:szCs w:val="18"/>
              </w:rPr>
            </w:pPr>
            <w:r w:rsidRPr="00B275E2">
              <w:rPr>
                <w:rFonts w:cs="Calibri"/>
                <w:szCs w:val="18"/>
              </w:rPr>
              <w:t>0.015</w:t>
            </w:r>
            <w:r w:rsidR="00662FBE" w:rsidRPr="00B275E2">
              <w:rPr>
                <w:rFonts w:cs="Calibri"/>
                <w:szCs w:val="18"/>
              </w:rPr>
              <w:t>0</w:t>
            </w:r>
          </w:p>
        </w:tc>
      </w:tr>
      <w:tr w:rsidR="00940C55" w:rsidRPr="00B275E2" w14:paraId="65092818" w14:textId="77777777" w:rsidTr="006D3AF6">
        <w:tc>
          <w:tcPr>
            <w:tcW w:w="1490" w:type="dxa"/>
            <w:vMerge/>
          </w:tcPr>
          <w:p w14:paraId="65092811" w14:textId="77777777" w:rsidR="001C477F" w:rsidRPr="00B275E2" w:rsidRDefault="001C477F" w:rsidP="007F0B1E">
            <w:pPr>
              <w:pStyle w:val="TableText"/>
              <w:spacing w:before="50" w:after="50"/>
              <w:rPr>
                <w:rFonts w:cs="Calibri"/>
                <w:szCs w:val="18"/>
              </w:rPr>
            </w:pPr>
          </w:p>
        </w:tc>
        <w:tc>
          <w:tcPr>
            <w:tcW w:w="1644" w:type="dxa"/>
            <w:shd w:val="clear" w:color="auto" w:fill="auto"/>
            <w:noWrap/>
          </w:tcPr>
          <w:p w14:paraId="65092812" w14:textId="3AB0D339" w:rsidR="001C477F" w:rsidRPr="00B275E2" w:rsidRDefault="001C477F" w:rsidP="007F0B1E">
            <w:pPr>
              <w:pStyle w:val="TableText"/>
              <w:spacing w:before="50" w:after="50"/>
              <w:rPr>
                <w:rFonts w:cs="Calibri"/>
                <w:szCs w:val="18"/>
              </w:rPr>
            </w:pPr>
            <w:r w:rsidRPr="00B275E2">
              <w:rPr>
                <w:rFonts w:cs="Calibri"/>
                <w:color w:val="000000"/>
                <w:szCs w:val="18"/>
              </w:rPr>
              <w:t xml:space="preserve">20,000 - </w:t>
            </w:r>
            <w:r w:rsidRPr="00B275E2">
              <w:rPr>
                <w:rFonts w:cs="Calibri"/>
                <w:szCs w:val="18"/>
              </w:rPr>
              <w:t>&lt;</w:t>
            </w:r>
            <w:r w:rsidRPr="00B275E2">
              <w:rPr>
                <w:rFonts w:cs="Calibri"/>
                <w:color w:val="000000"/>
                <w:szCs w:val="18"/>
              </w:rPr>
              <w:t xml:space="preserve">25,000 kg </w:t>
            </w:r>
          </w:p>
        </w:tc>
        <w:tc>
          <w:tcPr>
            <w:tcW w:w="680" w:type="dxa"/>
            <w:shd w:val="clear" w:color="auto" w:fill="auto"/>
            <w:noWrap/>
            <w:vAlign w:val="bottom"/>
          </w:tcPr>
          <w:p w14:paraId="65092813" w14:textId="77777777" w:rsidR="001C477F" w:rsidRPr="00B275E2" w:rsidRDefault="001C477F" w:rsidP="007F0B1E">
            <w:pPr>
              <w:pStyle w:val="TableText"/>
              <w:spacing w:before="50" w:after="50"/>
              <w:rPr>
                <w:rFonts w:cs="Calibri"/>
                <w:szCs w:val="18"/>
              </w:rPr>
            </w:pPr>
            <w:r w:rsidRPr="00B275E2">
              <w:rPr>
                <w:rFonts w:cs="Calibri"/>
                <w:szCs w:val="18"/>
              </w:rPr>
              <w:t>km</w:t>
            </w:r>
          </w:p>
        </w:tc>
        <w:tc>
          <w:tcPr>
            <w:tcW w:w="1276" w:type="dxa"/>
            <w:shd w:val="clear" w:color="auto" w:fill="D2DDE1" w:themeFill="background2"/>
            <w:noWrap/>
          </w:tcPr>
          <w:p w14:paraId="65092814" w14:textId="2B0162FC" w:rsidR="001C477F" w:rsidRPr="00B275E2" w:rsidRDefault="00662FBE" w:rsidP="007F0B1E">
            <w:pPr>
              <w:pStyle w:val="TableText"/>
              <w:spacing w:before="50" w:after="50"/>
              <w:jc w:val="right"/>
              <w:rPr>
                <w:rFonts w:cs="Calibri"/>
                <w:szCs w:val="18"/>
              </w:rPr>
            </w:pPr>
            <w:r w:rsidRPr="00B275E2">
              <w:rPr>
                <w:rFonts w:cs="Calibri"/>
                <w:szCs w:val="18"/>
              </w:rPr>
              <w:t>1.271</w:t>
            </w:r>
          </w:p>
        </w:tc>
        <w:tc>
          <w:tcPr>
            <w:tcW w:w="1134" w:type="dxa"/>
            <w:shd w:val="clear" w:color="000000" w:fill="FFFFFF"/>
            <w:noWrap/>
          </w:tcPr>
          <w:p w14:paraId="65092815" w14:textId="6F3F367C" w:rsidR="001C477F" w:rsidRPr="00B275E2" w:rsidRDefault="00662FBE" w:rsidP="007F0B1E">
            <w:pPr>
              <w:pStyle w:val="TableText"/>
              <w:spacing w:before="50" w:after="50"/>
              <w:jc w:val="right"/>
              <w:rPr>
                <w:rFonts w:cs="Calibri"/>
                <w:szCs w:val="18"/>
              </w:rPr>
            </w:pPr>
            <w:r w:rsidRPr="00B275E2">
              <w:rPr>
                <w:rFonts w:cs="Calibri"/>
                <w:szCs w:val="18"/>
              </w:rPr>
              <w:t>1.252</w:t>
            </w:r>
          </w:p>
        </w:tc>
        <w:tc>
          <w:tcPr>
            <w:tcW w:w="1134" w:type="dxa"/>
            <w:shd w:val="clear" w:color="000000" w:fill="FFFFFF"/>
            <w:noWrap/>
          </w:tcPr>
          <w:p w14:paraId="65092816" w14:textId="00562B5B" w:rsidR="001C477F" w:rsidRPr="00B275E2" w:rsidRDefault="001C477F" w:rsidP="007F0B1E">
            <w:pPr>
              <w:pStyle w:val="TableText"/>
              <w:spacing w:before="50" w:after="50"/>
              <w:jc w:val="right"/>
              <w:rPr>
                <w:rFonts w:cs="Calibri"/>
                <w:szCs w:val="18"/>
              </w:rPr>
            </w:pPr>
            <w:r w:rsidRPr="00B275E2">
              <w:rPr>
                <w:rFonts w:cs="Calibri"/>
                <w:szCs w:val="18"/>
              </w:rPr>
              <w:t>0.0017</w:t>
            </w:r>
          </w:p>
        </w:tc>
        <w:tc>
          <w:tcPr>
            <w:tcW w:w="1108" w:type="dxa"/>
            <w:shd w:val="clear" w:color="000000" w:fill="FFFFFF"/>
            <w:noWrap/>
          </w:tcPr>
          <w:p w14:paraId="65092817" w14:textId="671A2430" w:rsidR="001C477F" w:rsidRPr="00B275E2" w:rsidRDefault="001C477F" w:rsidP="007F0B1E">
            <w:pPr>
              <w:pStyle w:val="TableText"/>
              <w:spacing w:before="50" w:after="50"/>
              <w:jc w:val="right"/>
              <w:rPr>
                <w:rFonts w:cs="Calibri"/>
                <w:szCs w:val="18"/>
              </w:rPr>
            </w:pPr>
            <w:r w:rsidRPr="00B275E2">
              <w:rPr>
                <w:rFonts w:cs="Calibri"/>
                <w:szCs w:val="18"/>
              </w:rPr>
              <w:t>0.019</w:t>
            </w:r>
            <w:r w:rsidR="00662FBE" w:rsidRPr="00B275E2">
              <w:rPr>
                <w:rFonts w:cs="Calibri"/>
                <w:szCs w:val="18"/>
              </w:rPr>
              <w:t>9</w:t>
            </w:r>
          </w:p>
        </w:tc>
      </w:tr>
      <w:tr w:rsidR="00940C55" w:rsidRPr="00B275E2" w14:paraId="65092820" w14:textId="77777777" w:rsidTr="006D3AF6">
        <w:tc>
          <w:tcPr>
            <w:tcW w:w="1490" w:type="dxa"/>
            <w:vMerge/>
          </w:tcPr>
          <w:p w14:paraId="65092819" w14:textId="77777777" w:rsidR="001C477F" w:rsidRPr="00B275E2" w:rsidRDefault="001C477F" w:rsidP="007F0B1E">
            <w:pPr>
              <w:pStyle w:val="TableText"/>
              <w:spacing w:before="50" w:after="50"/>
              <w:rPr>
                <w:rFonts w:cs="Calibri"/>
                <w:szCs w:val="18"/>
              </w:rPr>
            </w:pPr>
          </w:p>
        </w:tc>
        <w:tc>
          <w:tcPr>
            <w:tcW w:w="1644" w:type="dxa"/>
            <w:shd w:val="clear" w:color="auto" w:fill="auto"/>
            <w:noWrap/>
          </w:tcPr>
          <w:p w14:paraId="6509281A" w14:textId="74D3D1D0" w:rsidR="001C477F" w:rsidRPr="00B275E2" w:rsidRDefault="001C477F" w:rsidP="007F0B1E">
            <w:pPr>
              <w:pStyle w:val="TableText"/>
              <w:spacing w:before="50" w:after="50"/>
              <w:rPr>
                <w:rFonts w:cs="Calibri"/>
                <w:szCs w:val="18"/>
              </w:rPr>
            </w:pPr>
            <w:r w:rsidRPr="00B275E2">
              <w:rPr>
                <w:rFonts w:cs="Calibri"/>
                <w:color w:val="000000"/>
                <w:szCs w:val="18"/>
              </w:rPr>
              <w:t xml:space="preserve">25,000 - </w:t>
            </w:r>
            <w:r w:rsidRPr="00B275E2">
              <w:rPr>
                <w:rFonts w:cs="Calibri"/>
                <w:szCs w:val="18"/>
              </w:rPr>
              <w:t>&lt;</w:t>
            </w:r>
            <w:r w:rsidRPr="00B275E2">
              <w:rPr>
                <w:rFonts w:cs="Calibri"/>
                <w:color w:val="000000"/>
                <w:szCs w:val="18"/>
              </w:rPr>
              <w:t xml:space="preserve">30,000 kg </w:t>
            </w:r>
          </w:p>
        </w:tc>
        <w:tc>
          <w:tcPr>
            <w:tcW w:w="680" w:type="dxa"/>
            <w:shd w:val="clear" w:color="auto" w:fill="auto"/>
            <w:noWrap/>
            <w:vAlign w:val="bottom"/>
          </w:tcPr>
          <w:p w14:paraId="6509281B" w14:textId="77777777" w:rsidR="001C477F" w:rsidRPr="00B275E2" w:rsidRDefault="001C477F" w:rsidP="007F0B1E">
            <w:pPr>
              <w:pStyle w:val="TableText"/>
              <w:spacing w:before="50" w:after="50"/>
              <w:rPr>
                <w:rFonts w:cs="Calibri"/>
                <w:szCs w:val="18"/>
              </w:rPr>
            </w:pPr>
            <w:r w:rsidRPr="00B275E2">
              <w:rPr>
                <w:rFonts w:cs="Calibri"/>
                <w:szCs w:val="18"/>
              </w:rPr>
              <w:t>km</w:t>
            </w:r>
          </w:p>
        </w:tc>
        <w:tc>
          <w:tcPr>
            <w:tcW w:w="1276" w:type="dxa"/>
            <w:shd w:val="clear" w:color="auto" w:fill="D2DDE1" w:themeFill="background2"/>
            <w:noWrap/>
          </w:tcPr>
          <w:p w14:paraId="6509281C" w14:textId="70EB2A10" w:rsidR="001C477F" w:rsidRPr="00B275E2" w:rsidRDefault="00662FBE" w:rsidP="007F0B1E">
            <w:pPr>
              <w:pStyle w:val="TableText"/>
              <w:spacing w:before="50" w:after="50"/>
              <w:jc w:val="right"/>
              <w:rPr>
                <w:rFonts w:cs="Calibri"/>
                <w:szCs w:val="18"/>
              </w:rPr>
            </w:pPr>
            <w:r w:rsidRPr="00B275E2">
              <w:rPr>
                <w:rFonts w:cs="Calibri"/>
                <w:szCs w:val="18"/>
              </w:rPr>
              <w:t>1</w:t>
            </w:r>
            <w:r w:rsidR="0087144C" w:rsidRPr="00B275E2">
              <w:rPr>
                <w:rFonts w:cs="Calibri"/>
                <w:szCs w:val="18"/>
              </w:rPr>
              <w:t>.420</w:t>
            </w:r>
          </w:p>
        </w:tc>
        <w:tc>
          <w:tcPr>
            <w:tcW w:w="1134" w:type="dxa"/>
            <w:shd w:val="clear" w:color="000000" w:fill="FFFFFF"/>
            <w:noWrap/>
          </w:tcPr>
          <w:p w14:paraId="6509281D" w14:textId="08B9A5D8" w:rsidR="001C477F" w:rsidRPr="00B275E2" w:rsidRDefault="0087144C" w:rsidP="007F0B1E">
            <w:pPr>
              <w:pStyle w:val="TableText"/>
              <w:spacing w:before="50" w:after="50"/>
              <w:jc w:val="right"/>
              <w:rPr>
                <w:rFonts w:cs="Calibri"/>
                <w:szCs w:val="18"/>
              </w:rPr>
            </w:pPr>
            <w:r w:rsidRPr="00B275E2">
              <w:rPr>
                <w:rFonts w:cs="Calibri"/>
                <w:szCs w:val="18"/>
              </w:rPr>
              <w:t>1.398</w:t>
            </w:r>
          </w:p>
        </w:tc>
        <w:tc>
          <w:tcPr>
            <w:tcW w:w="1134" w:type="dxa"/>
            <w:shd w:val="clear" w:color="000000" w:fill="FFFFFF"/>
            <w:noWrap/>
          </w:tcPr>
          <w:p w14:paraId="6509281E" w14:textId="551C1706" w:rsidR="001C477F" w:rsidRPr="00B275E2" w:rsidRDefault="001C477F" w:rsidP="007F0B1E">
            <w:pPr>
              <w:pStyle w:val="TableText"/>
              <w:spacing w:before="50" w:after="50"/>
              <w:jc w:val="right"/>
              <w:rPr>
                <w:rFonts w:cs="Calibri"/>
                <w:szCs w:val="18"/>
              </w:rPr>
            </w:pPr>
            <w:r w:rsidRPr="00B275E2">
              <w:rPr>
                <w:rFonts w:cs="Calibri"/>
                <w:szCs w:val="18"/>
              </w:rPr>
              <w:t>0.001</w:t>
            </w:r>
            <w:r w:rsidR="0087144C" w:rsidRPr="00B275E2">
              <w:rPr>
                <w:rFonts w:cs="Calibri"/>
                <w:szCs w:val="18"/>
              </w:rPr>
              <w:t>9</w:t>
            </w:r>
          </w:p>
        </w:tc>
        <w:tc>
          <w:tcPr>
            <w:tcW w:w="1108" w:type="dxa"/>
            <w:shd w:val="clear" w:color="000000" w:fill="FFFFFF"/>
            <w:noWrap/>
          </w:tcPr>
          <w:p w14:paraId="6509281F" w14:textId="31AC2CEE" w:rsidR="001C477F" w:rsidRPr="00B275E2" w:rsidRDefault="001C477F" w:rsidP="007F0B1E">
            <w:pPr>
              <w:pStyle w:val="TableText"/>
              <w:spacing w:before="50" w:after="50"/>
              <w:jc w:val="right"/>
              <w:rPr>
                <w:rFonts w:cs="Calibri"/>
                <w:szCs w:val="18"/>
              </w:rPr>
            </w:pPr>
            <w:r w:rsidRPr="00B275E2">
              <w:rPr>
                <w:rFonts w:cs="Calibri"/>
                <w:szCs w:val="18"/>
              </w:rPr>
              <w:t>0.02</w:t>
            </w:r>
            <w:r w:rsidR="0087144C" w:rsidRPr="00B275E2">
              <w:rPr>
                <w:rFonts w:cs="Calibri"/>
                <w:szCs w:val="18"/>
              </w:rPr>
              <w:t>23</w:t>
            </w:r>
          </w:p>
        </w:tc>
      </w:tr>
      <w:tr w:rsidR="00940C55" w:rsidRPr="00B275E2" w14:paraId="65092828" w14:textId="77777777" w:rsidTr="006D3AF6">
        <w:tc>
          <w:tcPr>
            <w:tcW w:w="1490" w:type="dxa"/>
            <w:vMerge/>
          </w:tcPr>
          <w:p w14:paraId="65092821" w14:textId="77777777" w:rsidR="001C477F" w:rsidRPr="00B275E2" w:rsidRDefault="001C477F" w:rsidP="007F0B1E">
            <w:pPr>
              <w:pStyle w:val="TableText"/>
              <w:spacing w:before="50" w:after="50"/>
              <w:rPr>
                <w:rFonts w:cs="Calibri"/>
                <w:szCs w:val="18"/>
              </w:rPr>
            </w:pPr>
          </w:p>
        </w:tc>
        <w:tc>
          <w:tcPr>
            <w:tcW w:w="1644" w:type="dxa"/>
            <w:shd w:val="clear" w:color="auto" w:fill="auto"/>
            <w:noWrap/>
          </w:tcPr>
          <w:p w14:paraId="65092822" w14:textId="69386678" w:rsidR="001C477F" w:rsidRPr="00B275E2" w:rsidRDefault="001C477F" w:rsidP="007F0B1E">
            <w:pPr>
              <w:pStyle w:val="TableText"/>
              <w:spacing w:before="50" w:after="50"/>
              <w:rPr>
                <w:rFonts w:cs="Calibri"/>
                <w:szCs w:val="18"/>
              </w:rPr>
            </w:pPr>
            <w:r w:rsidRPr="00B275E2">
              <w:rPr>
                <w:rFonts w:cs="Calibri"/>
                <w:color w:val="000000"/>
                <w:szCs w:val="18"/>
              </w:rPr>
              <w:t xml:space="preserve">≥30,000 kg </w:t>
            </w:r>
          </w:p>
        </w:tc>
        <w:tc>
          <w:tcPr>
            <w:tcW w:w="680" w:type="dxa"/>
            <w:shd w:val="clear" w:color="auto" w:fill="auto"/>
            <w:noWrap/>
            <w:vAlign w:val="bottom"/>
          </w:tcPr>
          <w:p w14:paraId="65092823" w14:textId="77777777" w:rsidR="001C477F" w:rsidRPr="00B275E2" w:rsidRDefault="001C477F" w:rsidP="007F0B1E">
            <w:pPr>
              <w:pStyle w:val="TableText"/>
              <w:spacing w:before="50" w:after="50"/>
              <w:rPr>
                <w:rFonts w:cs="Calibri"/>
                <w:szCs w:val="18"/>
              </w:rPr>
            </w:pPr>
            <w:r w:rsidRPr="00B275E2">
              <w:rPr>
                <w:rFonts w:cs="Calibri"/>
                <w:szCs w:val="18"/>
              </w:rPr>
              <w:t>km</w:t>
            </w:r>
          </w:p>
        </w:tc>
        <w:tc>
          <w:tcPr>
            <w:tcW w:w="1276" w:type="dxa"/>
            <w:shd w:val="clear" w:color="auto" w:fill="D2DDE1" w:themeFill="background2"/>
            <w:noWrap/>
          </w:tcPr>
          <w:p w14:paraId="65092824" w14:textId="35446195" w:rsidR="001C477F" w:rsidRPr="00B275E2" w:rsidRDefault="0087144C" w:rsidP="007F0B1E">
            <w:pPr>
              <w:pStyle w:val="TableText"/>
              <w:spacing w:before="50" w:after="50"/>
              <w:jc w:val="right"/>
              <w:rPr>
                <w:rFonts w:cs="Calibri"/>
                <w:szCs w:val="18"/>
              </w:rPr>
            </w:pPr>
            <w:r w:rsidRPr="00B275E2">
              <w:rPr>
                <w:rFonts w:cs="Calibri"/>
                <w:szCs w:val="18"/>
              </w:rPr>
              <w:t>1.496</w:t>
            </w:r>
          </w:p>
        </w:tc>
        <w:tc>
          <w:tcPr>
            <w:tcW w:w="1134" w:type="dxa"/>
            <w:shd w:val="clear" w:color="000000" w:fill="FFFFFF"/>
            <w:noWrap/>
          </w:tcPr>
          <w:p w14:paraId="65092825" w14:textId="1B6050AC" w:rsidR="001C477F" w:rsidRPr="00B275E2" w:rsidRDefault="0087144C" w:rsidP="007F0B1E">
            <w:pPr>
              <w:pStyle w:val="TableText"/>
              <w:spacing w:before="50" w:after="50"/>
              <w:jc w:val="right"/>
              <w:rPr>
                <w:rFonts w:cs="Calibri"/>
                <w:szCs w:val="18"/>
              </w:rPr>
            </w:pPr>
            <w:r w:rsidRPr="00B275E2">
              <w:rPr>
                <w:rFonts w:cs="Calibri"/>
                <w:szCs w:val="18"/>
              </w:rPr>
              <w:t>1.4</w:t>
            </w:r>
            <w:r w:rsidR="00657C5F" w:rsidRPr="00B275E2">
              <w:rPr>
                <w:rFonts w:cs="Calibri"/>
                <w:szCs w:val="18"/>
              </w:rPr>
              <w:t>73</w:t>
            </w:r>
          </w:p>
        </w:tc>
        <w:tc>
          <w:tcPr>
            <w:tcW w:w="1134" w:type="dxa"/>
            <w:shd w:val="clear" w:color="000000" w:fill="FFFFFF"/>
            <w:noWrap/>
          </w:tcPr>
          <w:p w14:paraId="65092826" w14:textId="104E90FA" w:rsidR="001C477F" w:rsidRPr="00B275E2" w:rsidRDefault="001C477F" w:rsidP="007F0B1E">
            <w:pPr>
              <w:pStyle w:val="TableText"/>
              <w:spacing w:before="50" w:after="50"/>
              <w:jc w:val="right"/>
              <w:rPr>
                <w:rFonts w:cs="Calibri"/>
                <w:szCs w:val="18"/>
              </w:rPr>
            </w:pPr>
            <w:r w:rsidRPr="00B275E2">
              <w:rPr>
                <w:rFonts w:cs="Calibri"/>
                <w:szCs w:val="18"/>
              </w:rPr>
              <w:t>0.0020</w:t>
            </w:r>
          </w:p>
        </w:tc>
        <w:tc>
          <w:tcPr>
            <w:tcW w:w="1108" w:type="dxa"/>
            <w:shd w:val="clear" w:color="000000" w:fill="FFFFFF"/>
            <w:noWrap/>
          </w:tcPr>
          <w:p w14:paraId="65092827" w14:textId="59038B28" w:rsidR="001C477F" w:rsidRPr="00B275E2" w:rsidRDefault="001C477F" w:rsidP="007F0B1E">
            <w:pPr>
              <w:pStyle w:val="TableText"/>
              <w:spacing w:before="50" w:after="50"/>
              <w:jc w:val="right"/>
              <w:rPr>
                <w:rFonts w:cs="Calibri"/>
                <w:szCs w:val="18"/>
              </w:rPr>
            </w:pPr>
            <w:r w:rsidRPr="00B275E2">
              <w:rPr>
                <w:rFonts w:cs="Calibri"/>
                <w:szCs w:val="18"/>
              </w:rPr>
              <w:t>0.023</w:t>
            </w:r>
            <w:r w:rsidR="00657C5F" w:rsidRPr="00B275E2">
              <w:rPr>
                <w:rFonts w:cs="Calibri"/>
                <w:szCs w:val="18"/>
              </w:rPr>
              <w:t>5</w:t>
            </w:r>
          </w:p>
        </w:tc>
      </w:tr>
      <w:tr w:rsidR="00940C55" w:rsidRPr="00B275E2" w14:paraId="65092830" w14:textId="77777777" w:rsidTr="006D3AF6">
        <w:tc>
          <w:tcPr>
            <w:tcW w:w="1490" w:type="dxa"/>
            <w:vMerge w:val="restart"/>
          </w:tcPr>
          <w:p w14:paraId="65092829" w14:textId="75681BDF" w:rsidR="000714DC" w:rsidRPr="00B275E2" w:rsidRDefault="000714DC" w:rsidP="007F0B1E">
            <w:pPr>
              <w:pStyle w:val="TableText"/>
              <w:spacing w:before="50" w:after="50"/>
              <w:rPr>
                <w:rFonts w:cs="Calibri"/>
                <w:szCs w:val="18"/>
              </w:rPr>
            </w:pPr>
            <w:r w:rsidRPr="00B275E2">
              <w:rPr>
                <w:rFonts w:cs="Calibri"/>
                <w:szCs w:val="18"/>
              </w:rPr>
              <w:t>HGV diesel hybrid</w:t>
            </w:r>
          </w:p>
        </w:tc>
        <w:tc>
          <w:tcPr>
            <w:tcW w:w="1644" w:type="dxa"/>
            <w:shd w:val="clear" w:color="auto" w:fill="auto"/>
            <w:noWrap/>
          </w:tcPr>
          <w:p w14:paraId="6509282A" w14:textId="4379FB34" w:rsidR="000714DC" w:rsidRPr="00B275E2" w:rsidRDefault="000714DC" w:rsidP="007F0B1E">
            <w:pPr>
              <w:pStyle w:val="TableText"/>
              <w:spacing w:before="50" w:after="50"/>
              <w:rPr>
                <w:rFonts w:cs="Calibri"/>
                <w:szCs w:val="18"/>
              </w:rPr>
            </w:pPr>
            <w:r w:rsidRPr="00B275E2">
              <w:rPr>
                <w:rFonts w:cs="Calibri"/>
                <w:color w:val="000000"/>
                <w:szCs w:val="18"/>
              </w:rPr>
              <w:t xml:space="preserve">&lt;5,000 kg </w:t>
            </w:r>
          </w:p>
        </w:tc>
        <w:tc>
          <w:tcPr>
            <w:tcW w:w="680" w:type="dxa"/>
            <w:shd w:val="clear" w:color="auto" w:fill="auto"/>
            <w:noWrap/>
            <w:vAlign w:val="bottom"/>
          </w:tcPr>
          <w:p w14:paraId="6509282B" w14:textId="77777777" w:rsidR="000714DC" w:rsidRPr="00B275E2" w:rsidRDefault="000714DC" w:rsidP="007F0B1E">
            <w:pPr>
              <w:pStyle w:val="TableText"/>
              <w:spacing w:before="50" w:after="50"/>
              <w:rPr>
                <w:rFonts w:cs="Calibri"/>
                <w:szCs w:val="18"/>
              </w:rPr>
            </w:pPr>
            <w:r w:rsidRPr="00B275E2">
              <w:rPr>
                <w:rFonts w:cs="Calibri"/>
                <w:szCs w:val="18"/>
              </w:rPr>
              <w:t>km</w:t>
            </w:r>
          </w:p>
        </w:tc>
        <w:tc>
          <w:tcPr>
            <w:tcW w:w="1276" w:type="dxa"/>
            <w:shd w:val="clear" w:color="auto" w:fill="D2DDE1" w:themeFill="background2"/>
            <w:noWrap/>
          </w:tcPr>
          <w:p w14:paraId="6509282C" w14:textId="77FE71F7" w:rsidR="000714DC" w:rsidRPr="00B275E2" w:rsidRDefault="00657C5F" w:rsidP="007F0B1E">
            <w:pPr>
              <w:pStyle w:val="TableText"/>
              <w:spacing w:before="50" w:after="50"/>
              <w:jc w:val="right"/>
              <w:rPr>
                <w:rFonts w:cs="Calibri"/>
                <w:szCs w:val="18"/>
              </w:rPr>
            </w:pPr>
            <w:r w:rsidRPr="00B275E2">
              <w:rPr>
                <w:rFonts w:cs="Calibri"/>
                <w:szCs w:val="18"/>
              </w:rPr>
              <w:t>0.332</w:t>
            </w:r>
          </w:p>
        </w:tc>
        <w:tc>
          <w:tcPr>
            <w:tcW w:w="1134" w:type="dxa"/>
            <w:shd w:val="clear" w:color="000000" w:fill="FFFFFF"/>
            <w:noWrap/>
          </w:tcPr>
          <w:p w14:paraId="6509282D" w14:textId="77671B45" w:rsidR="000714DC" w:rsidRPr="00B275E2" w:rsidRDefault="00657C5F" w:rsidP="007F0B1E">
            <w:pPr>
              <w:pStyle w:val="TableText"/>
              <w:spacing w:before="50" w:after="50"/>
              <w:jc w:val="right"/>
              <w:rPr>
                <w:rFonts w:cs="Calibri"/>
                <w:szCs w:val="18"/>
              </w:rPr>
            </w:pPr>
            <w:r w:rsidRPr="00B275E2">
              <w:rPr>
                <w:rFonts w:cs="Calibri"/>
                <w:szCs w:val="18"/>
              </w:rPr>
              <w:t>0.327</w:t>
            </w:r>
          </w:p>
        </w:tc>
        <w:tc>
          <w:tcPr>
            <w:tcW w:w="1134" w:type="dxa"/>
            <w:shd w:val="clear" w:color="000000" w:fill="FFFFFF"/>
            <w:noWrap/>
          </w:tcPr>
          <w:p w14:paraId="6509282E" w14:textId="27AA2A17" w:rsidR="000714DC" w:rsidRPr="00B275E2" w:rsidRDefault="000714DC" w:rsidP="007F0B1E">
            <w:pPr>
              <w:pStyle w:val="TableText"/>
              <w:spacing w:before="50" w:after="50"/>
              <w:jc w:val="right"/>
              <w:rPr>
                <w:rFonts w:cs="Calibri"/>
                <w:szCs w:val="18"/>
              </w:rPr>
            </w:pPr>
            <w:r w:rsidRPr="00B275E2">
              <w:rPr>
                <w:rFonts w:cs="Calibri"/>
                <w:szCs w:val="18"/>
              </w:rPr>
              <w:t>0.0004</w:t>
            </w:r>
          </w:p>
        </w:tc>
        <w:tc>
          <w:tcPr>
            <w:tcW w:w="1108" w:type="dxa"/>
            <w:shd w:val="clear" w:color="000000" w:fill="FFFFFF"/>
            <w:noWrap/>
          </w:tcPr>
          <w:p w14:paraId="6509282F" w14:textId="498E20B9" w:rsidR="000714DC" w:rsidRPr="00B275E2" w:rsidRDefault="000714DC" w:rsidP="007F0B1E">
            <w:pPr>
              <w:pStyle w:val="TableText"/>
              <w:spacing w:before="50" w:after="50"/>
              <w:jc w:val="right"/>
              <w:rPr>
                <w:rFonts w:cs="Calibri"/>
                <w:szCs w:val="18"/>
              </w:rPr>
            </w:pPr>
            <w:r w:rsidRPr="00B275E2">
              <w:rPr>
                <w:rFonts w:cs="Calibri"/>
                <w:szCs w:val="18"/>
              </w:rPr>
              <w:t>0.00</w:t>
            </w:r>
            <w:r w:rsidR="00657C5F" w:rsidRPr="00B275E2">
              <w:rPr>
                <w:rFonts w:cs="Calibri"/>
                <w:szCs w:val="18"/>
              </w:rPr>
              <w:t>52</w:t>
            </w:r>
          </w:p>
        </w:tc>
      </w:tr>
      <w:tr w:rsidR="00940C55" w:rsidRPr="00B275E2" w14:paraId="65092838" w14:textId="77777777" w:rsidTr="006D3AF6">
        <w:tc>
          <w:tcPr>
            <w:tcW w:w="1490" w:type="dxa"/>
            <w:vMerge/>
          </w:tcPr>
          <w:p w14:paraId="65092831" w14:textId="77777777" w:rsidR="000714DC" w:rsidRPr="00B275E2" w:rsidRDefault="000714DC" w:rsidP="007F0B1E">
            <w:pPr>
              <w:pStyle w:val="TableText"/>
              <w:spacing w:before="50" w:after="50"/>
              <w:rPr>
                <w:rFonts w:cs="Calibri"/>
                <w:szCs w:val="18"/>
              </w:rPr>
            </w:pPr>
          </w:p>
        </w:tc>
        <w:tc>
          <w:tcPr>
            <w:tcW w:w="1644" w:type="dxa"/>
            <w:shd w:val="clear" w:color="auto" w:fill="auto"/>
            <w:noWrap/>
          </w:tcPr>
          <w:p w14:paraId="65092832" w14:textId="21F5B852" w:rsidR="000714DC" w:rsidRPr="00B275E2" w:rsidRDefault="000714DC" w:rsidP="007F0B1E">
            <w:pPr>
              <w:pStyle w:val="TableText"/>
              <w:spacing w:before="50" w:after="50"/>
              <w:rPr>
                <w:rFonts w:cs="Calibri"/>
                <w:szCs w:val="18"/>
              </w:rPr>
            </w:pPr>
            <w:r w:rsidRPr="00B275E2">
              <w:rPr>
                <w:rFonts w:cs="Calibri"/>
                <w:color w:val="000000"/>
                <w:szCs w:val="18"/>
              </w:rPr>
              <w:t xml:space="preserve">5,000 - </w:t>
            </w:r>
            <w:r w:rsidRPr="00B275E2">
              <w:rPr>
                <w:rFonts w:cs="Calibri"/>
                <w:szCs w:val="18"/>
              </w:rPr>
              <w:t>&lt;</w:t>
            </w:r>
            <w:r w:rsidRPr="00B275E2">
              <w:rPr>
                <w:rFonts w:cs="Calibri"/>
                <w:color w:val="000000"/>
                <w:szCs w:val="18"/>
              </w:rPr>
              <w:t xml:space="preserve">7,500 kg </w:t>
            </w:r>
          </w:p>
        </w:tc>
        <w:tc>
          <w:tcPr>
            <w:tcW w:w="680" w:type="dxa"/>
            <w:shd w:val="clear" w:color="auto" w:fill="auto"/>
            <w:noWrap/>
            <w:vAlign w:val="bottom"/>
          </w:tcPr>
          <w:p w14:paraId="65092833" w14:textId="77777777" w:rsidR="000714DC" w:rsidRPr="00B275E2" w:rsidRDefault="000714DC" w:rsidP="007F0B1E">
            <w:pPr>
              <w:pStyle w:val="TableText"/>
              <w:spacing w:before="50" w:after="50"/>
              <w:rPr>
                <w:rFonts w:cs="Calibri"/>
                <w:szCs w:val="18"/>
              </w:rPr>
            </w:pPr>
            <w:r w:rsidRPr="00B275E2">
              <w:rPr>
                <w:rFonts w:cs="Calibri"/>
                <w:szCs w:val="18"/>
              </w:rPr>
              <w:t>km</w:t>
            </w:r>
          </w:p>
        </w:tc>
        <w:tc>
          <w:tcPr>
            <w:tcW w:w="1276" w:type="dxa"/>
            <w:shd w:val="clear" w:color="auto" w:fill="D2DDE1" w:themeFill="background2"/>
            <w:noWrap/>
          </w:tcPr>
          <w:p w14:paraId="65092834" w14:textId="6C8A4062" w:rsidR="000714DC" w:rsidRPr="00B275E2" w:rsidRDefault="00B110FA" w:rsidP="007F0B1E">
            <w:pPr>
              <w:pStyle w:val="TableText"/>
              <w:spacing w:before="50" w:after="50"/>
              <w:jc w:val="right"/>
              <w:rPr>
                <w:rFonts w:cs="Calibri"/>
                <w:szCs w:val="18"/>
              </w:rPr>
            </w:pPr>
            <w:r w:rsidRPr="00B275E2">
              <w:rPr>
                <w:rFonts w:cs="Calibri"/>
                <w:szCs w:val="18"/>
              </w:rPr>
              <w:t>0.380</w:t>
            </w:r>
          </w:p>
        </w:tc>
        <w:tc>
          <w:tcPr>
            <w:tcW w:w="1134" w:type="dxa"/>
            <w:shd w:val="clear" w:color="000000" w:fill="FFFFFF"/>
            <w:noWrap/>
          </w:tcPr>
          <w:p w14:paraId="65092835" w14:textId="0ED4CE04" w:rsidR="000714DC" w:rsidRPr="00B275E2" w:rsidRDefault="00B110FA" w:rsidP="007F0B1E">
            <w:pPr>
              <w:pStyle w:val="TableText"/>
              <w:spacing w:before="50" w:after="50"/>
              <w:jc w:val="right"/>
              <w:rPr>
                <w:rFonts w:cs="Calibri"/>
                <w:szCs w:val="18"/>
              </w:rPr>
            </w:pPr>
            <w:r w:rsidRPr="00B275E2">
              <w:rPr>
                <w:rFonts w:cs="Calibri"/>
                <w:szCs w:val="18"/>
              </w:rPr>
              <w:t>0.375</w:t>
            </w:r>
          </w:p>
        </w:tc>
        <w:tc>
          <w:tcPr>
            <w:tcW w:w="1134" w:type="dxa"/>
            <w:shd w:val="clear" w:color="000000" w:fill="FFFFFF"/>
            <w:noWrap/>
          </w:tcPr>
          <w:p w14:paraId="65092836" w14:textId="04A4A546" w:rsidR="000714DC" w:rsidRPr="00B275E2" w:rsidRDefault="000714DC" w:rsidP="007F0B1E">
            <w:pPr>
              <w:pStyle w:val="TableText"/>
              <w:spacing w:before="50" w:after="50"/>
              <w:jc w:val="right"/>
              <w:rPr>
                <w:rFonts w:cs="Calibri"/>
                <w:szCs w:val="18"/>
              </w:rPr>
            </w:pPr>
            <w:r w:rsidRPr="00B275E2">
              <w:rPr>
                <w:rFonts w:cs="Calibri"/>
                <w:szCs w:val="18"/>
              </w:rPr>
              <w:t>0.0005</w:t>
            </w:r>
          </w:p>
        </w:tc>
        <w:tc>
          <w:tcPr>
            <w:tcW w:w="1108" w:type="dxa"/>
            <w:shd w:val="clear" w:color="000000" w:fill="FFFFFF"/>
            <w:noWrap/>
          </w:tcPr>
          <w:p w14:paraId="65092837" w14:textId="14F01DD6" w:rsidR="000714DC" w:rsidRPr="00B275E2" w:rsidRDefault="000714DC" w:rsidP="007F0B1E">
            <w:pPr>
              <w:pStyle w:val="TableText"/>
              <w:spacing w:before="50" w:after="50"/>
              <w:jc w:val="right"/>
              <w:rPr>
                <w:rFonts w:cs="Calibri"/>
                <w:szCs w:val="18"/>
              </w:rPr>
            </w:pPr>
            <w:r w:rsidRPr="00B275E2">
              <w:rPr>
                <w:rFonts w:cs="Calibri"/>
                <w:szCs w:val="18"/>
              </w:rPr>
              <w:t>0.00</w:t>
            </w:r>
            <w:r w:rsidR="00B110FA" w:rsidRPr="00B275E2">
              <w:rPr>
                <w:rFonts w:cs="Calibri"/>
                <w:szCs w:val="18"/>
              </w:rPr>
              <w:t>60</w:t>
            </w:r>
          </w:p>
        </w:tc>
      </w:tr>
      <w:tr w:rsidR="00940C55" w:rsidRPr="00B275E2" w14:paraId="65092840" w14:textId="77777777" w:rsidTr="006D3AF6">
        <w:tc>
          <w:tcPr>
            <w:tcW w:w="1490" w:type="dxa"/>
            <w:vMerge/>
          </w:tcPr>
          <w:p w14:paraId="65092839" w14:textId="77777777" w:rsidR="000714DC" w:rsidRPr="00B275E2" w:rsidRDefault="000714DC" w:rsidP="007F0B1E">
            <w:pPr>
              <w:pStyle w:val="TableText"/>
              <w:spacing w:before="50" w:after="50"/>
              <w:rPr>
                <w:rFonts w:cs="Calibri"/>
                <w:szCs w:val="18"/>
              </w:rPr>
            </w:pPr>
          </w:p>
        </w:tc>
        <w:tc>
          <w:tcPr>
            <w:tcW w:w="1644" w:type="dxa"/>
            <w:shd w:val="clear" w:color="auto" w:fill="auto"/>
            <w:noWrap/>
          </w:tcPr>
          <w:p w14:paraId="6509283A" w14:textId="633B9EBB" w:rsidR="000714DC" w:rsidRPr="00B275E2" w:rsidRDefault="000714DC" w:rsidP="007F0B1E">
            <w:pPr>
              <w:pStyle w:val="TableText"/>
              <w:spacing w:before="50" w:after="50"/>
              <w:rPr>
                <w:rFonts w:cs="Calibri"/>
                <w:szCs w:val="18"/>
              </w:rPr>
            </w:pPr>
            <w:r w:rsidRPr="00B275E2">
              <w:rPr>
                <w:rFonts w:cs="Calibri"/>
                <w:color w:val="000000"/>
                <w:szCs w:val="18"/>
              </w:rPr>
              <w:t xml:space="preserve">7,500 - </w:t>
            </w:r>
            <w:r w:rsidRPr="00B275E2">
              <w:rPr>
                <w:rFonts w:cs="Calibri"/>
                <w:szCs w:val="18"/>
              </w:rPr>
              <w:t>&lt;</w:t>
            </w:r>
            <w:r w:rsidRPr="00B275E2">
              <w:rPr>
                <w:rFonts w:cs="Calibri"/>
                <w:color w:val="000000"/>
                <w:szCs w:val="18"/>
              </w:rPr>
              <w:t>10,000 kg</w:t>
            </w:r>
          </w:p>
        </w:tc>
        <w:tc>
          <w:tcPr>
            <w:tcW w:w="680" w:type="dxa"/>
            <w:shd w:val="clear" w:color="auto" w:fill="auto"/>
            <w:noWrap/>
            <w:vAlign w:val="bottom"/>
          </w:tcPr>
          <w:p w14:paraId="6509283B" w14:textId="77777777" w:rsidR="000714DC" w:rsidRPr="00B275E2" w:rsidRDefault="000714DC" w:rsidP="007F0B1E">
            <w:pPr>
              <w:pStyle w:val="TableText"/>
              <w:spacing w:before="50" w:after="50"/>
              <w:rPr>
                <w:rFonts w:cs="Calibri"/>
                <w:szCs w:val="18"/>
              </w:rPr>
            </w:pPr>
            <w:r w:rsidRPr="00B275E2">
              <w:rPr>
                <w:rFonts w:cs="Calibri"/>
                <w:szCs w:val="18"/>
              </w:rPr>
              <w:t>km</w:t>
            </w:r>
          </w:p>
        </w:tc>
        <w:tc>
          <w:tcPr>
            <w:tcW w:w="1276" w:type="dxa"/>
            <w:shd w:val="clear" w:color="auto" w:fill="D2DDE1" w:themeFill="background2"/>
            <w:noWrap/>
          </w:tcPr>
          <w:p w14:paraId="6509283C" w14:textId="5AB55EED" w:rsidR="000714DC" w:rsidRPr="00B275E2" w:rsidRDefault="00B110FA" w:rsidP="007F0B1E">
            <w:pPr>
              <w:pStyle w:val="TableText"/>
              <w:spacing w:before="50" w:after="50"/>
              <w:jc w:val="right"/>
              <w:rPr>
                <w:rFonts w:cs="Calibri"/>
                <w:szCs w:val="18"/>
              </w:rPr>
            </w:pPr>
            <w:r w:rsidRPr="00B275E2">
              <w:rPr>
                <w:rFonts w:cs="Calibri"/>
                <w:szCs w:val="18"/>
              </w:rPr>
              <w:t>0.4</w:t>
            </w:r>
            <w:r w:rsidR="00372E4C" w:rsidRPr="00B275E2">
              <w:rPr>
                <w:rFonts w:cs="Calibri"/>
                <w:szCs w:val="18"/>
              </w:rPr>
              <w:t>65</w:t>
            </w:r>
          </w:p>
        </w:tc>
        <w:tc>
          <w:tcPr>
            <w:tcW w:w="1134" w:type="dxa"/>
            <w:shd w:val="clear" w:color="000000" w:fill="FFFFFF"/>
            <w:noWrap/>
          </w:tcPr>
          <w:p w14:paraId="6509283D" w14:textId="7B078F2C" w:rsidR="000714DC" w:rsidRPr="00B275E2" w:rsidRDefault="00372E4C" w:rsidP="007F0B1E">
            <w:pPr>
              <w:pStyle w:val="TableText"/>
              <w:spacing w:before="50" w:after="50"/>
              <w:jc w:val="right"/>
              <w:rPr>
                <w:rFonts w:cs="Calibri"/>
                <w:szCs w:val="18"/>
              </w:rPr>
            </w:pPr>
            <w:r w:rsidRPr="00B275E2">
              <w:rPr>
                <w:rFonts w:cs="Calibri"/>
                <w:szCs w:val="18"/>
              </w:rPr>
              <w:t>0.458</w:t>
            </w:r>
          </w:p>
        </w:tc>
        <w:tc>
          <w:tcPr>
            <w:tcW w:w="1134" w:type="dxa"/>
            <w:shd w:val="clear" w:color="000000" w:fill="FFFFFF"/>
            <w:noWrap/>
          </w:tcPr>
          <w:p w14:paraId="6509283E" w14:textId="1E4BB151" w:rsidR="000714DC" w:rsidRPr="00B275E2" w:rsidRDefault="000714DC" w:rsidP="007F0B1E">
            <w:pPr>
              <w:pStyle w:val="TableText"/>
              <w:spacing w:before="50" w:after="50"/>
              <w:jc w:val="right"/>
              <w:rPr>
                <w:rFonts w:cs="Calibri"/>
                <w:szCs w:val="18"/>
              </w:rPr>
            </w:pPr>
            <w:r w:rsidRPr="00B275E2">
              <w:rPr>
                <w:rFonts w:cs="Calibri"/>
                <w:szCs w:val="18"/>
              </w:rPr>
              <w:t>0.0006</w:t>
            </w:r>
          </w:p>
        </w:tc>
        <w:tc>
          <w:tcPr>
            <w:tcW w:w="1108" w:type="dxa"/>
            <w:shd w:val="clear" w:color="000000" w:fill="FFFFFF"/>
            <w:noWrap/>
          </w:tcPr>
          <w:p w14:paraId="6509283F" w14:textId="6C0C8C75" w:rsidR="000714DC" w:rsidRPr="00B275E2" w:rsidRDefault="000714DC" w:rsidP="007F0B1E">
            <w:pPr>
              <w:pStyle w:val="TableText"/>
              <w:spacing w:before="50" w:after="50"/>
              <w:jc w:val="right"/>
              <w:rPr>
                <w:rFonts w:cs="Calibri"/>
                <w:szCs w:val="18"/>
              </w:rPr>
            </w:pPr>
            <w:r w:rsidRPr="00B275E2">
              <w:rPr>
                <w:rFonts w:cs="Calibri"/>
                <w:szCs w:val="18"/>
              </w:rPr>
              <w:t>0.007</w:t>
            </w:r>
            <w:r w:rsidR="00372E4C" w:rsidRPr="00B275E2">
              <w:rPr>
                <w:rFonts w:cs="Calibri"/>
                <w:szCs w:val="18"/>
              </w:rPr>
              <w:t>3</w:t>
            </w:r>
          </w:p>
        </w:tc>
      </w:tr>
      <w:tr w:rsidR="00940C55" w:rsidRPr="00B275E2" w14:paraId="65092848" w14:textId="77777777" w:rsidTr="006D3AF6">
        <w:tc>
          <w:tcPr>
            <w:tcW w:w="1490" w:type="dxa"/>
            <w:vMerge/>
            <w:hideMark/>
          </w:tcPr>
          <w:p w14:paraId="65092841" w14:textId="77777777" w:rsidR="000714DC" w:rsidRPr="00B275E2" w:rsidRDefault="000714DC" w:rsidP="007F0B1E">
            <w:pPr>
              <w:pStyle w:val="TableText"/>
              <w:spacing w:before="50" w:after="50"/>
              <w:rPr>
                <w:rFonts w:cs="Calibri"/>
                <w:szCs w:val="18"/>
              </w:rPr>
            </w:pPr>
          </w:p>
        </w:tc>
        <w:tc>
          <w:tcPr>
            <w:tcW w:w="1644" w:type="dxa"/>
            <w:shd w:val="clear" w:color="auto" w:fill="auto"/>
            <w:noWrap/>
          </w:tcPr>
          <w:p w14:paraId="65092842" w14:textId="40C4647C" w:rsidR="000714DC" w:rsidRPr="00B275E2" w:rsidRDefault="000714DC" w:rsidP="007F0B1E">
            <w:pPr>
              <w:pStyle w:val="TableText"/>
              <w:spacing w:before="50" w:after="50"/>
              <w:rPr>
                <w:rFonts w:cs="Calibri"/>
                <w:szCs w:val="18"/>
              </w:rPr>
            </w:pPr>
            <w:r w:rsidRPr="00B275E2">
              <w:rPr>
                <w:rFonts w:cs="Calibri"/>
                <w:color w:val="000000"/>
                <w:szCs w:val="18"/>
              </w:rPr>
              <w:t xml:space="preserve">10,000 - </w:t>
            </w:r>
            <w:r w:rsidRPr="00B275E2">
              <w:rPr>
                <w:rFonts w:cs="Calibri"/>
                <w:szCs w:val="18"/>
              </w:rPr>
              <w:t>&lt;</w:t>
            </w:r>
            <w:r w:rsidRPr="00B275E2">
              <w:rPr>
                <w:rFonts w:cs="Calibri"/>
                <w:color w:val="000000"/>
                <w:szCs w:val="18"/>
              </w:rPr>
              <w:t xml:space="preserve">12,000 kg </w:t>
            </w:r>
          </w:p>
        </w:tc>
        <w:tc>
          <w:tcPr>
            <w:tcW w:w="680" w:type="dxa"/>
            <w:shd w:val="clear" w:color="auto" w:fill="auto"/>
            <w:noWrap/>
            <w:vAlign w:val="bottom"/>
          </w:tcPr>
          <w:p w14:paraId="65092843" w14:textId="77777777" w:rsidR="000714DC" w:rsidRPr="00B275E2" w:rsidRDefault="000714DC" w:rsidP="007F0B1E">
            <w:pPr>
              <w:pStyle w:val="TableText"/>
              <w:spacing w:before="50" w:after="50"/>
              <w:rPr>
                <w:rFonts w:cs="Calibri"/>
                <w:szCs w:val="18"/>
              </w:rPr>
            </w:pPr>
            <w:r w:rsidRPr="00B275E2">
              <w:rPr>
                <w:rFonts w:cs="Calibri"/>
                <w:szCs w:val="18"/>
              </w:rPr>
              <w:t>km</w:t>
            </w:r>
          </w:p>
        </w:tc>
        <w:tc>
          <w:tcPr>
            <w:tcW w:w="1276" w:type="dxa"/>
            <w:shd w:val="clear" w:color="auto" w:fill="D2DDE1" w:themeFill="background2"/>
            <w:noWrap/>
          </w:tcPr>
          <w:p w14:paraId="65092844" w14:textId="38755FE9" w:rsidR="000714DC" w:rsidRPr="00B275E2" w:rsidRDefault="00372E4C" w:rsidP="007F0B1E">
            <w:pPr>
              <w:pStyle w:val="TableText"/>
              <w:spacing w:before="50" w:after="50"/>
              <w:jc w:val="right"/>
              <w:rPr>
                <w:rFonts w:cs="Calibri"/>
                <w:szCs w:val="18"/>
              </w:rPr>
            </w:pPr>
            <w:r w:rsidRPr="00B275E2">
              <w:rPr>
                <w:rFonts w:cs="Calibri"/>
                <w:szCs w:val="18"/>
              </w:rPr>
              <w:t>0.551</w:t>
            </w:r>
          </w:p>
        </w:tc>
        <w:tc>
          <w:tcPr>
            <w:tcW w:w="1134" w:type="dxa"/>
            <w:shd w:val="clear" w:color="000000" w:fill="FFFFFF"/>
            <w:noWrap/>
          </w:tcPr>
          <w:p w14:paraId="65092845" w14:textId="09ED4DC8" w:rsidR="000714DC" w:rsidRPr="00B275E2" w:rsidRDefault="00372E4C" w:rsidP="007F0B1E">
            <w:pPr>
              <w:pStyle w:val="TableText"/>
              <w:spacing w:before="50" w:after="50"/>
              <w:jc w:val="right"/>
              <w:rPr>
                <w:rFonts w:cs="Calibri"/>
                <w:szCs w:val="18"/>
              </w:rPr>
            </w:pPr>
            <w:r w:rsidRPr="00B275E2">
              <w:rPr>
                <w:rFonts w:cs="Calibri"/>
                <w:szCs w:val="18"/>
              </w:rPr>
              <w:t>0.543</w:t>
            </w:r>
          </w:p>
        </w:tc>
        <w:tc>
          <w:tcPr>
            <w:tcW w:w="1134" w:type="dxa"/>
            <w:shd w:val="clear" w:color="000000" w:fill="FFFFFF"/>
            <w:noWrap/>
          </w:tcPr>
          <w:p w14:paraId="65092846" w14:textId="4C3571BF" w:rsidR="000714DC" w:rsidRPr="00B275E2" w:rsidRDefault="000714DC" w:rsidP="007F0B1E">
            <w:pPr>
              <w:pStyle w:val="TableText"/>
              <w:spacing w:before="50" w:after="50"/>
              <w:jc w:val="right"/>
              <w:rPr>
                <w:rFonts w:cs="Calibri"/>
                <w:szCs w:val="18"/>
              </w:rPr>
            </w:pPr>
            <w:r w:rsidRPr="00B275E2">
              <w:rPr>
                <w:rFonts w:cs="Calibri"/>
                <w:szCs w:val="18"/>
              </w:rPr>
              <w:t>0.0007</w:t>
            </w:r>
          </w:p>
        </w:tc>
        <w:tc>
          <w:tcPr>
            <w:tcW w:w="1108" w:type="dxa"/>
            <w:shd w:val="clear" w:color="000000" w:fill="FFFFFF"/>
            <w:noWrap/>
          </w:tcPr>
          <w:p w14:paraId="65092847" w14:textId="6FCDA6DA" w:rsidR="000714DC" w:rsidRPr="00B275E2" w:rsidRDefault="000714DC" w:rsidP="007F0B1E">
            <w:pPr>
              <w:pStyle w:val="TableText"/>
              <w:spacing w:before="50" w:after="50"/>
              <w:jc w:val="right"/>
              <w:rPr>
                <w:rFonts w:cs="Calibri"/>
                <w:szCs w:val="18"/>
              </w:rPr>
            </w:pPr>
            <w:r w:rsidRPr="00B275E2">
              <w:rPr>
                <w:rFonts w:cs="Calibri"/>
                <w:szCs w:val="18"/>
              </w:rPr>
              <w:t>0.008</w:t>
            </w:r>
            <w:r w:rsidR="00372E4C" w:rsidRPr="00B275E2">
              <w:rPr>
                <w:rFonts w:cs="Calibri"/>
                <w:szCs w:val="18"/>
              </w:rPr>
              <w:t>7</w:t>
            </w:r>
          </w:p>
        </w:tc>
      </w:tr>
      <w:tr w:rsidR="00940C55" w:rsidRPr="00B275E2" w14:paraId="65092850" w14:textId="77777777" w:rsidTr="006D3AF6">
        <w:tc>
          <w:tcPr>
            <w:tcW w:w="1490" w:type="dxa"/>
            <w:vMerge/>
            <w:hideMark/>
          </w:tcPr>
          <w:p w14:paraId="65092849" w14:textId="77777777" w:rsidR="000714DC" w:rsidRPr="00B275E2" w:rsidRDefault="000714DC" w:rsidP="007F0B1E">
            <w:pPr>
              <w:pStyle w:val="TableText"/>
              <w:spacing w:before="50" w:after="50"/>
              <w:rPr>
                <w:rFonts w:cs="Calibri"/>
                <w:szCs w:val="18"/>
              </w:rPr>
            </w:pPr>
          </w:p>
        </w:tc>
        <w:tc>
          <w:tcPr>
            <w:tcW w:w="1644" w:type="dxa"/>
            <w:shd w:val="clear" w:color="auto" w:fill="auto"/>
            <w:noWrap/>
          </w:tcPr>
          <w:p w14:paraId="6509284A" w14:textId="47BDA4DA" w:rsidR="000714DC" w:rsidRPr="00B275E2" w:rsidRDefault="000714DC" w:rsidP="007F0B1E">
            <w:pPr>
              <w:pStyle w:val="TableText"/>
              <w:spacing w:before="50" w:after="50"/>
              <w:rPr>
                <w:rFonts w:cs="Calibri"/>
                <w:szCs w:val="18"/>
              </w:rPr>
            </w:pPr>
            <w:r w:rsidRPr="00B275E2">
              <w:rPr>
                <w:rFonts w:cs="Calibri"/>
                <w:color w:val="000000"/>
                <w:szCs w:val="18"/>
              </w:rPr>
              <w:t xml:space="preserve">12,000 - </w:t>
            </w:r>
            <w:r w:rsidRPr="00B275E2">
              <w:rPr>
                <w:rFonts w:cs="Calibri"/>
                <w:szCs w:val="18"/>
              </w:rPr>
              <w:t>&lt;</w:t>
            </w:r>
            <w:r w:rsidRPr="00B275E2">
              <w:rPr>
                <w:rFonts w:cs="Calibri"/>
                <w:color w:val="000000"/>
                <w:szCs w:val="18"/>
              </w:rPr>
              <w:t xml:space="preserve">15,000 kg </w:t>
            </w:r>
          </w:p>
        </w:tc>
        <w:tc>
          <w:tcPr>
            <w:tcW w:w="680" w:type="dxa"/>
            <w:shd w:val="clear" w:color="auto" w:fill="auto"/>
            <w:noWrap/>
            <w:vAlign w:val="bottom"/>
          </w:tcPr>
          <w:p w14:paraId="6509284B" w14:textId="77777777" w:rsidR="000714DC" w:rsidRPr="00B275E2" w:rsidRDefault="000714DC" w:rsidP="007F0B1E">
            <w:pPr>
              <w:pStyle w:val="TableText"/>
              <w:spacing w:before="50" w:after="50"/>
              <w:rPr>
                <w:rFonts w:cs="Calibri"/>
                <w:szCs w:val="18"/>
              </w:rPr>
            </w:pPr>
            <w:r w:rsidRPr="00B275E2">
              <w:rPr>
                <w:rFonts w:cs="Calibri"/>
                <w:szCs w:val="18"/>
              </w:rPr>
              <w:t>km</w:t>
            </w:r>
          </w:p>
        </w:tc>
        <w:tc>
          <w:tcPr>
            <w:tcW w:w="1276" w:type="dxa"/>
            <w:shd w:val="clear" w:color="auto" w:fill="D2DDE1" w:themeFill="background2"/>
            <w:noWrap/>
          </w:tcPr>
          <w:p w14:paraId="6509284C" w14:textId="3F86F80D" w:rsidR="000714DC" w:rsidRPr="00B275E2" w:rsidRDefault="00B70715" w:rsidP="007F0B1E">
            <w:pPr>
              <w:pStyle w:val="TableText"/>
              <w:spacing w:before="50" w:after="50"/>
              <w:jc w:val="right"/>
              <w:rPr>
                <w:rFonts w:cs="Calibri"/>
                <w:szCs w:val="18"/>
              </w:rPr>
            </w:pPr>
            <w:r w:rsidRPr="00B275E2">
              <w:rPr>
                <w:rFonts w:cs="Calibri"/>
                <w:szCs w:val="18"/>
              </w:rPr>
              <w:t>0.627</w:t>
            </w:r>
          </w:p>
        </w:tc>
        <w:tc>
          <w:tcPr>
            <w:tcW w:w="1134" w:type="dxa"/>
            <w:shd w:val="clear" w:color="000000" w:fill="FFFFFF"/>
            <w:noWrap/>
          </w:tcPr>
          <w:p w14:paraId="6509284D" w14:textId="37E6D221" w:rsidR="000714DC" w:rsidRPr="00B275E2" w:rsidRDefault="00B70715" w:rsidP="007F0B1E">
            <w:pPr>
              <w:pStyle w:val="TableText"/>
              <w:spacing w:before="50" w:after="50"/>
              <w:jc w:val="right"/>
              <w:rPr>
                <w:rFonts w:cs="Calibri"/>
                <w:szCs w:val="18"/>
              </w:rPr>
            </w:pPr>
            <w:r w:rsidRPr="00B275E2">
              <w:rPr>
                <w:rFonts w:cs="Calibri"/>
                <w:szCs w:val="18"/>
              </w:rPr>
              <w:t>0.617</w:t>
            </w:r>
          </w:p>
        </w:tc>
        <w:tc>
          <w:tcPr>
            <w:tcW w:w="1134" w:type="dxa"/>
            <w:shd w:val="clear" w:color="000000" w:fill="FFFFFF"/>
            <w:noWrap/>
          </w:tcPr>
          <w:p w14:paraId="6509284E" w14:textId="2D1819CD" w:rsidR="000714DC" w:rsidRPr="00B275E2" w:rsidRDefault="000714DC" w:rsidP="007F0B1E">
            <w:pPr>
              <w:pStyle w:val="TableText"/>
              <w:spacing w:before="50" w:after="50"/>
              <w:jc w:val="right"/>
              <w:rPr>
                <w:rFonts w:cs="Calibri"/>
                <w:szCs w:val="18"/>
              </w:rPr>
            </w:pPr>
            <w:r w:rsidRPr="00B275E2">
              <w:rPr>
                <w:rFonts w:cs="Calibri"/>
                <w:szCs w:val="18"/>
              </w:rPr>
              <w:t>0.000</w:t>
            </w:r>
            <w:r w:rsidR="00B70715" w:rsidRPr="00B275E2">
              <w:rPr>
                <w:rFonts w:cs="Calibri"/>
                <w:szCs w:val="18"/>
              </w:rPr>
              <w:t>8</w:t>
            </w:r>
          </w:p>
        </w:tc>
        <w:tc>
          <w:tcPr>
            <w:tcW w:w="1108" w:type="dxa"/>
            <w:shd w:val="clear" w:color="000000" w:fill="FFFFFF"/>
            <w:noWrap/>
          </w:tcPr>
          <w:p w14:paraId="6509284F" w14:textId="10A290D6" w:rsidR="000714DC" w:rsidRPr="00B275E2" w:rsidRDefault="000714DC" w:rsidP="007F0B1E">
            <w:pPr>
              <w:pStyle w:val="TableText"/>
              <w:spacing w:before="50" w:after="50"/>
              <w:jc w:val="right"/>
              <w:rPr>
                <w:rFonts w:cs="Calibri"/>
                <w:szCs w:val="18"/>
              </w:rPr>
            </w:pPr>
            <w:r w:rsidRPr="00B275E2">
              <w:rPr>
                <w:rFonts w:cs="Calibri"/>
                <w:szCs w:val="18"/>
              </w:rPr>
              <w:t>0.0</w:t>
            </w:r>
            <w:r w:rsidR="00B70715" w:rsidRPr="00B275E2">
              <w:rPr>
                <w:rFonts w:cs="Calibri"/>
                <w:szCs w:val="18"/>
              </w:rPr>
              <w:t>098</w:t>
            </w:r>
          </w:p>
        </w:tc>
      </w:tr>
      <w:tr w:rsidR="00940C55" w:rsidRPr="00B275E2" w14:paraId="65092858" w14:textId="77777777" w:rsidTr="006D3AF6">
        <w:tc>
          <w:tcPr>
            <w:tcW w:w="1490" w:type="dxa"/>
            <w:vMerge/>
            <w:hideMark/>
          </w:tcPr>
          <w:p w14:paraId="65092851" w14:textId="77777777" w:rsidR="000714DC" w:rsidRPr="00B275E2" w:rsidRDefault="000714DC" w:rsidP="007F0B1E">
            <w:pPr>
              <w:pStyle w:val="TableText"/>
              <w:spacing w:before="50" w:after="50"/>
              <w:rPr>
                <w:rFonts w:cs="Calibri"/>
                <w:szCs w:val="18"/>
              </w:rPr>
            </w:pPr>
          </w:p>
        </w:tc>
        <w:tc>
          <w:tcPr>
            <w:tcW w:w="1644" w:type="dxa"/>
            <w:shd w:val="clear" w:color="auto" w:fill="auto"/>
            <w:noWrap/>
          </w:tcPr>
          <w:p w14:paraId="65092852" w14:textId="6D72D35D" w:rsidR="000714DC" w:rsidRPr="00B275E2" w:rsidRDefault="000714DC" w:rsidP="007F0B1E">
            <w:pPr>
              <w:pStyle w:val="TableText"/>
              <w:spacing w:before="50" w:after="50"/>
              <w:rPr>
                <w:rFonts w:cs="Calibri"/>
                <w:szCs w:val="18"/>
              </w:rPr>
            </w:pPr>
            <w:r w:rsidRPr="00B275E2">
              <w:rPr>
                <w:rFonts w:cs="Calibri"/>
                <w:color w:val="000000"/>
                <w:szCs w:val="18"/>
              </w:rPr>
              <w:t xml:space="preserve">15,000 - </w:t>
            </w:r>
            <w:r w:rsidRPr="00B275E2">
              <w:rPr>
                <w:rFonts w:cs="Calibri"/>
                <w:szCs w:val="18"/>
              </w:rPr>
              <w:t>&lt;</w:t>
            </w:r>
            <w:r w:rsidRPr="00B275E2">
              <w:rPr>
                <w:rFonts w:cs="Calibri"/>
                <w:color w:val="000000"/>
                <w:szCs w:val="18"/>
              </w:rPr>
              <w:t xml:space="preserve">20,000 kg </w:t>
            </w:r>
          </w:p>
        </w:tc>
        <w:tc>
          <w:tcPr>
            <w:tcW w:w="680" w:type="dxa"/>
            <w:shd w:val="clear" w:color="auto" w:fill="auto"/>
            <w:noWrap/>
            <w:vAlign w:val="bottom"/>
          </w:tcPr>
          <w:p w14:paraId="65092853" w14:textId="77777777" w:rsidR="000714DC" w:rsidRPr="00B275E2" w:rsidRDefault="000714DC" w:rsidP="007F0B1E">
            <w:pPr>
              <w:pStyle w:val="TableText"/>
              <w:spacing w:before="50" w:after="50"/>
              <w:rPr>
                <w:rFonts w:cs="Calibri"/>
                <w:szCs w:val="18"/>
              </w:rPr>
            </w:pPr>
            <w:r w:rsidRPr="00B275E2">
              <w:rPr>
                <w:rFonts w:cs="Calibri"/>
                <w:szCs w:val="18"/>
              </w:rPr>
              <w:t>km</w:t>
            </w:r>
          </w:p>
        </w:tc>
        <w:tc>
          <w:tcPr>
            <w:tcW w:w="1276" w:type="dxa"/>
            <w:shd w:val="clear" w:color="auto" w:fill="D2DDE1" w:themeFill="background2"/>
            <w:noWrap/>
          </w:tcPr>
          <w:p w14:paraId="65092854" w14:textId="479B2088" w:rsidR="000714DC" w:rsidRPr="00B275E2" w:rsidRDefault="00B70715" w:rsidP="007F0B1E">
            <w:pPr>
              <w:pStyle w:val="TableText"/>
              <w:spacing w:before="50" w:after="50"/>
              <w:jc w:val="right"/>
              <w:rPr>
                <w:rFonts w:cs="Calibri"/>
                <w:szCs w:val="18"/>
              </w:rPr>
            </w:pPr>
            <w:r w:rsidRPr="00B275E2">
              <w:rPr>
                <w:rFonts w:cs="Calibri"/>
                <w:szCs w:val="18"/>
              </w:rPr>
              <w:t>0.8</w:t>
            </w:r>
            <w:r w:rsidR="00645420" w:rsidRPr="00B275E2">
              <w:rPr>
                <w:rFonts w:cs="Calibri"/>
                <w:szCs w:val="18"/>
              </w:rPr>
              <w:t>68</w:t>
            </w:r>
          </w:p>
        </w:tc>
        <w:tc>
          <w:tcPr>
            <w:tcW w:w="1134" w:type="dxa"/>
            <w:shd w:val="clear" w:color="000000" w:fill="FFFFFF"/>
            <w:noWrap/>
          </w:tcPr>
          <w:p w14:paraId="65092855" w14:textId="253BE37D" w:rsidR="000714DC" w:rsidRPr="00B275E2" w:rsidRDefault="00645420" w:rsidP="007F0B1E">
            <w:pPr>
              <w:pStyle w:val="TableText"/>
              <w:spacing w:before="50" w:after="50"/>
              <w:jc w:val="right"/>
              <w:rPr>
                <w:rFonts w:cs="Calibri"/>
                <w:szCs w:val="18"/>
              </w:rPr>
            </w:pPr>
            <w:r w:rsidRPr="00B275E2">
              <w:rPr>
                <w:rFonts w:cs="Calibri"/>
                <w:szCs w:val="18"/>
              </w:rPr>
              <w:t>0.855</w:t>
            </w:r>
          </w:p>
        </w:tc>
        <w:tc>
          <w:tcPr>
            <w:tcW w:w="1134" w:type="dxa"/>
            <w:shd w:val="clear" w:color="000000" w:fill="FFFFFF"/>
            <w:noWrap/>
          </w:tcPr>
          <w:p w14:paraId="65092856" w14:textId="05930356" w:rsidR="000714DC" w:rsidRPr="00B275E2" w:rsidRDefault="000714DC" w:rsidP="007F0B1E">
            <w:pPr>
              <w:pStyle w:val="TableText"/>
              <w:spacing w:before="50" w:after="50"/>
              <w:jc w:val="right"/>
              <w:rPr>
                <w:rFonts w:cs="Calibri"/>
                <w:szCs w:val="18"/>
              </w:rPr>
            </w:pPr>
            <w:r w:rsidRPr="00B275E2">
              <w:rPr>
                <w:rFonts w:cs="Calibri"/>
                <w:szCs w:val="18"/>
              </w:rPr>
              <w:t>0.001</w:t>
            </w:r>
            <w:r w:rsidR="00645420" w:rsidRPr="00B275E2">
              <w:rPr>
                <w:rFonts w:cs="Calibri"/>
                <w:szCs w:val="18"/>
              </w:rPr>
              <w:t>1</w:t>
            </w:r>
          </w:p>
        </w:tc>
        <w:tc>
          <w:tcPr>
            <w:tcW w:w="1108" w:type="dxa"/>
            <w:shd w:val="clear" w:color="000000" w:fill="FFFFFF"/>
            <w:noWrap/>
          </w:tcPr>
          <w:p w14:paraId="65092857" w14:textId="73F3B44F" w:rsidR="000714DC" w:rsidRPr="00B275E2" w:rsidRDefault="000714DC" w:rsidP="007F0B1E">
            <w:pPr>
              <w:pStyle w:val="TableText"/>
              <w:spacing w:before="50" w:after="50"/>
              <w:jc w:val="right"/>
              <w:rPr>
                <w:rFonts w:cs="Calibri"/>
                <w:szCs w:val="18"/>
              </w:rPr>
            </w:pPr>
            <w:r w:rsidRPr="00B275E2">
              <w:rPr>
                <w:rFonts w:cs="Calibri"/>
                <w:szCs w:val="18"/>
              </w:rPr>
              <w:t>0.01</w:t>
            </w:r>
            <w:r w:rsidR="00645420" w:rsidRPr="00B275E2">
              <w:rPr>
                <w:rFonts w:cs="Calibri"/>
                <w:szCs w:val="18"/>
              </w:rPr>
              <w:t>36</w:t>
            </w:r>
          </w:p>
        </w:tc>
      </w:tr>
      <w:tr w:rsidR="00940C55" w:rsidRPr="00B275E2" w14:paraId="65092860" w14:textId="77777777" w:rsidTr="006D3AF6">
        <w:tc>
          <w:tcPr>
            <w:tcW w:w="1490" w:type="dxa"/>
            <w:vMerge/>
            <w:hideMark/>
          </w:tcPr>
          <w:p w14:paraId="65092859" w14:textId="77777777" w:rsidR="000714DC" w:rsidRPr="00B275E2" w:rsidRDefault="000714DC" w:rsidP="007F0B1E">
            <w:pPr>
              <w:pStyle w:val="TableText"/>
              <w:spacing w:before="50" w:after="50"/>
              <w:rPr>
                <w:rFonts w:cs="Calibri"/>
                <w:szCs w:val="18"/>
              </w:rPr>
            </w:pPr>
          </w:p>
        </w:tc>
        <w:tc>
          <w:tcPr>
            <w:tcW w:w="1644" w:type="dxa"/>
            <w:shd w:val="clear" w:color="auto" w:fill="auto"/>
            <w:noWrap/>
          </w:tcPr>
          <w:p w14:paraId="6509285A" w14:textId="26807CF6" w:rsidR="000714DC" w:rsidRPr="00B275E2" w:rsidRDefault="000714DC" w:rsidP="007F0B1E">
            <w:pPr>
              <w:pStyle w:val="TableText"/>
              <w:spacing w:before="50" w:after="50"/>
              <w:rPr>
                <w:rFonts w:cs="Calibri"/>
                <w:szCs w:val="18"/>
              </w:rPr>
            </w:pPr>
            <w:r w:rsidRPr="00B275E2">
              <w:rPr>
                <w:rFonts w:cs="Calibri"/>
                <w:color w:val="000000"/>
                <w:szCs w:val="18"/>
              </w:rPr>
              <w:t xml:space="preserve">20,000 - </w:t>
            </w:r>
            <w:r w:rsidRPr="00B275E2">
              <w:rPr>
                <w:rFonts w:cs="Calibri"/>
                <w:szCs w:val="18"/>
              </w:rPr>
              <w:t>&lt;</w:t>
            </w:r>
            <w:r w:rsidRPr="00B275E2">
              <w:rPr>
                <w:rFonts w:cs="Calibri"/>
                <w:color w:val="000000"/>
                <w:szCs w:val="18"/>
              </w:rPr>
              <w:t xml:space="preserve">25,000 kg </w:t>
            </w:r>
          </w:p>
        </w:tc>
        <w:tc>
          <w:tcPr>
            <w:tcW w:w="680" w:type="dxa"/>
            <w:shd w:val="clear" w:color="auto" w:fill="auto"/>
            <w:noWrap/>
            <w:vAlign w:val="bottom"/>
          </w:tcPr>
          <w:p w14:paraId="6509285B" w14:textId="77777777" w:rsidR="000714DC" w:rsidRPr="00B275E2" w:rsidRDefault="000714DC" w:rsidP="007F0B1E">
            <w:pPr>
              <w:pStyle w:val="TableText"/>
              <w:spacing w:before="50" w:after="50"/>
              <w:rPr>
                <w:rFonts w:cs="Calibri"/>
                <w:szCs w:val="18"/>
              </w:rPr>
            </w:pPr>
            <w:r w:rsidRPr="00B275E2">
              <w:rPr>
                <w:rFonts w:cs="Calibri"/>
                <w:szCs w:val="18"/>
              </w:rPr>
              <w:t>km</w:t>
            </w:r>
          </w:p>
        </w:tc>
        <w:tc>
          <w:tcPr>
            <w:tcW w:w="1276" w:type="dxa"/>
            <w:shd w:val="clear" w:color="auto" w:fill="D2DDE1" w:themeFill="background2"/>
            <w:noWrap/>
          </w:tcPr>
          <w:p w14:paraId="6509285C" w14:textId="67593222" w:rsidR="000714DC" w:rsidRPr="00B275E2" w:rsidRDefault="00645420" w:rsidP="007F0B1E">
            <w:pPr>
              <w:pStyle w:val="TableText"/>
              <w:spacing w:before="50" w:after="50"/>
              <w:jc w:val="right"/>
              <w:rPr>
                <w:rFonts w:cs="Calibri"/>
                <w:szCs w:val="18"/>
              </w:rPr>
            </w:pPr>
            <w:r w:rsidRPr="00B275E2">
              <w:rPr>
                <w:rFonts w:cs="Calibri"/>
                <w:szCs w:val="18"/>
              </w:rPr>
              <w:t>1.156</w:t>
            </w:r>
          </w:p>
        </w:tc>
        <w:tc>
          <w:tcPr>
            <w:tcW w:w="1134" w:type="dxa"/>
            <w:shd w:val="clear" w:color="000000" w:fill="FFFFFF"/>
            <w:noWrap/>
          </w:tcPr>
          <w:p w14:paraId="6509285D" w14:textId="63E530DE" w:rsidR="000714DC" w:rsidRPr="00B275E2" w:rsidRDefault="00645420" w:rsidP="007F0B1E">
            <w:pPr>
              <w:pStyle w:val="TableText"/>
              <w:spacing w:before="50" w:after="50"/>
              <w:jc w:val="right"/>
              <w:rPr>
                <w:rFonts w:cs="Calibri"/>
                <w:szCs w:val="18"/>
              </w:rPr>
            </w:pPr>
            <w:r w:rsidRPr="00B275E2">
              <w:rPr>
                <w:rFonts w:cs="Calibri"/>
                <w:szCs w:val="18"/>
              </w:rPr>
              <w:t>1.</w:t>
            </w:r>
            <w:r w:rsidR="00F579FF" w:rsidRPr="00B275E2">
              <w:rPr>
                <w:rFonts w:cs="Calibri"/>
                <w:szCs w:val="18"/>
              </w:rPr>
              <w:t>138</w:t>
            </w:r>
          </w:p>
        </w:tc>
        <w:tc>
          <w:tcPr>
            <w:tcW w:w="1134" w:type="dxa"/>
            <w:shd w:val="clear" w:color="000000" w:fill="FFFFFF"/>
            <w:noWrap/>
          </w:tcPr>
          <w:p w14:paraId="6509285E" w14:textId="00E4BD75" w:rsidR="000714DC" w:rsidRPr="00B275E2" w:rsidRDefault="000714DC" w:rsidP="007F0B1E">
            <w:pPr>
              <w:pStyle w:val="TableText"/>
              <w:spacing w:before="50" w:after="50"/>
              <w:jc w:val="right"/>
              <w:rPr>
                <w:rFonts w:cs="Calibri"/>
                <w:szCs w:val="18"/>
              </w:rPr>
            </w:pPr>
            <w:r w:rsidRPr="00B275E2">
              <w:rPr>
                <w:rFonts w:cs="Calibri"/>
                <w:szCs w:val="18"/>
              </w:rPr>
              <w:t>0.0015</w:t>
            </w:r>
          </w:p>
        </w:tc>
        <w:tc>
          <w:tcPr>
            <w:tcW w:w="1108" w:type="dxa"/>
            <w:shd w:val="clear" w:color="000000" w:fill="FFFFFF"/>
            <w:noWrap/>
          </w:tcPr>
          <w:p w14:paraId="6509285F" w14:textId="6A90B1C7" w:rsidR="000714DC" w:rsidRPr="00B275E2" w:rsidRDefault="000714DC" w:rsidP="007F0B1E">
            <w:pPr>
              <w:pStyle w:val="TableText"/>
              <w:spacing w:before="50" w:after="50"/>
              <w:jc w:val="right"/>
              <w:rPr>
                <w:rFonts w:cs="Calibri"/>
                <w:szCs w:val="18"/>
              </w:rPr>
            </w:pPr>
            <w:r w:rsidRPr="00B275E2">
              <w:rPr>
                <w:rFonts w:cs="Calibri"/>
                <w:szCs w:val="18"/>
              </w:rPr>
              <w:t>0.01</w:t>
            </w:r>
            <w:r w:rsidR="00F579FF" w:rsidRPr="00B275E2">
              <w:rPr>
                <w:rFonts w:cs="Calibri"/>
                <w:szCs w:val="18"/>
              </w:rPr>
              <w:t>81</w:t>
            </w:r>
          </w:p>
        </w:tc>
      </w:tr>
      <w:tr w:rsidR="00940C55" w:rsidRPr="00B275E2" w14:paraId="65092868" w14:textId="77777777" w:rsidTr="006D3AF6">
        <w:tc>
          <w:tcPr>
            <w:tcW w:w="1490" w:type="dxa"/>
            <w:vMerge/>
          </w:tcPr>
          <w:p w14:paraId="65092861" w14:textId="77777777" w:rsidR="000714DC" w:rsidRPr="00B275E2" w:rsidRDefault="000714DC" w:rsidP="007F0B1E">
            <w:pPr>
              <w:pStyle w:val="TableText"/>
              <w:spacing w:before="50" w:after="50"/>
              <w:rPr>
                <w:rFonts w:cs="Calibri"/>
                <w:szCs w:val="18"/>
              </w:rPr>
            </w:pPr>
          </w:p>
        </w:tc>
        <w:tc>
          <w:tcPr>
            <w:tcW w:w="1644" w:type="dxa"/>
            <w:shd w:val="clear" w:color="auto" w:fill="auto"/>
            <w:noWrap/>
          </w:tcPr>
          <w:p w14:paraId="65092862" w14:textId="4A16F853" w:rsidR="000714DC" w:rsidRPr="00B275E2" w:rsidRDefault="000714DC" w:rsidP="007F0B1E">
            <w:pPr>
              <w:pStyle w:val="TableText"/>
              <w:spacing w:before="50" w:after="50"/>
              <w:rPr>
                <w:rFonts w:cs="Calibri"/>
                <w:szCs w:val="18"/>
              </w:rPr>
            </w:pPr>
            <w:r w:rsidRPr="00B275E2">
              <w:rPr>
                <w:rFonts w:cs="Calibri"/>
                <w:color w:val="000000"/>
                <w:szCs w:val="18"/>
              </w:rPr>
              <w:t xml:space="preserve">25,000 - </w:t>
            </w:r>
            <w:r w:rsidRPr="00B275E2">
              <w:rPr>
                <w:rFonts w:cs="Calibri"/>
                <w:szCs w:val="18"/>
              </w:rPr>
              <w:t>&lt;</w:t>
            </w:r>
            <w:r w:rsidRPr="00B275E2">
              <w:rPr>
                <w:rFonts w:cs="Calibri"/>
                <w:color w:val="000000"/>
                <w:szCs w:val="18"/>
              </w:rPr>
              <w:t xml:space="preserve">30,000 kg </w:t>
            </w:r>
          </w:p>
        </w:tc>
        <w:tc>
          <w:tcPr>
            <w:tcW w:w="680" w:type="dxa"/>
            <w:shd w:val="clear" w:color="auto" w:fill="auto"/>
            <w:noWrap/>
            <w:vAlign w:val="bottom"/>
          </w:tcPr>
          <w:p w14:paraId="65092863" w14:textId="77777777" w:rsidR="000714DC" w:rsidRPr="00B275E2" w:rsidRDefault="000714DC" w:rsidP="007F0B1E">
            <w:pPr>
              <w:pStyle w:val="TableText"/>
              <w:spacing w:before="50" w:after="50"/>
              <w:rPr>
                <w:rFonts w:cs="Calibri"/>
                <w:szCs w:val="18"/>
              </w:rPr>
            </w:pPr>
            <w:r w:rsidRPr="00B275E2">
              <w:rPr>
                <w:rFonts w:cs="Calibri"/>
                <w:szCs w:val="18"/>
              </w:rPr>
              <w:t>km</w:t>
            </w:r>
          </w:p>
        </w:tc>
        <w:tc>
          <w:tcPr>
            <w:tcW w:w="1276" w:type="dxa"/>
            <w:shd w:val="clear" w:color="auto" w:fill="D2DDE1" w:themeFill="background2"/>
            <w:noWrap/>
          </w:tcPr>
          <w:p w14:paraId="65092864" w14:textId="4C01062B" w:rsidR="000714DC" w:rsidRPr="00B275E2" w:rsidRDefault="00F579FF" w:rsidP="007F0B1E">
            <w:pPr>
              <w:pStyle w:val="TableText"/>
              <w:spacing w:before="50" w:after="50"/>
              <w:jc w:val="right"/>
              <w:rPr>
                <w:rFonts w:cs="Calibri"/>
                <w:szCs w:val="18"/>
              </w:rPr>
            </w:pPr>
            <w:r w:rsidRPr="00B275E2">
              <w:rPr>
                <w:rFonts w:cs="Calibri"/>
                <w:szCs w:val="18"/>
              </w:rPr>
              <w:t>1.334</w:t>
            </w:r>
          </w:p>
        </w:tc>
        <w:tc>
          <w:tcPr>
            <w:tcW w:w="1134" w:type="dxa"/>
            <w:shd w:val="clear" w:color="000000" w:fill="FFFFFF"/>
            <w:noWrap/>
          </w:tcPr>
          <w:p w14:paraId="65092865" w14:textId="5E568885" w:rsidR="000714DC" w:rsidRPr="00B275E2" w:rsidRDefault="00F579FF" w:rsidP="007F0B1E">
            <w:pPr>
              <w:pStyle w:val="TableText"/>
              <w:spacing w:before="50" w:after="50"/>
              <w:jc w:val="right"/>
              <w:rPr>
                <w:rFonts w:cs="Calibri"/>
                <w:szCs w:val="18"/>
              </w:rPr>
            </w:pPr>
            <w:r w:rsidRPr="00B275E2">
              <w:rPr>
                <w:rFonts w:cs="Calibri"/>
                <w:szCs w:val="18"/>
              </w:rPr>
              <w:t>1.314</w:t>
            </w:r>
          </w:p>
        </w:tc>
        <w:tc>
          <w:tcPr>
            <w:tcW w:w="1134" w:type="dxa"/>
            <w:shd w:val="clear" w:color="000000" w:fill="FFFFFF"/>
            <w:noWrap/>
          </w:tcPr>
          <w:p w14:paraId="65092866" w14:textId="38C03B8C" w:rsidR="000714DC" w:rsidRPr="00B275E2" w:rsidRDefault="000714DC" w:rsidP="007F0B1E">
            <w:pPr>
              <w:pStyle w:val="TableText"/>
              <w:spacing w:before="50" w:after="50"/>
              <w:jc w:val="right"/>
              <w:rPr>
                <w:rFonts w:cs="Calibri"/>
                <w:szCs w:val="18"/>
              </w:rPr>
            </w:pPr>
            <w:r w:rsidRPr="00B275E2">
              <w:rPr>
                <w:rFonts w:cs="Calibri"/>
                <w:szCs w:val="18"/>
              </w:rPr>
              <w:t>0.001</w:t>
            </w:r>
            <w:r w:rsidR="00F579FF" w:rsidRPr="00B275E2">
              <w:rPr>
                <w:rFonts w:cs="Calibri"/>
                <w:szCs w:val="18"/>
              </w:rPr>
              <w:t>8</w:t>
            </w:r>
          </w:p>
        </w:tc>
        <w:tc>
          <w:tcPr>
            <w:tcW w:w="1108" w:type="dxa"/>
            <w:shd w:val="clear" w:color="000000" w:fill="FFFFFF"/>
            <w:noWrap/>
          </w:tcPr>
          <w:p w14:paraId="65092867" w14:textId="41B92C8C" w:rsidR="000714DC" w:rsidRPr="00B275E2" w:rsidRDefault="000714DC" w:rsidP="007F0B1E">
            <w:pPr>
              <w:pStyle w:val="TableText"/>
              <w:spacing w:before="50" w:after="50"/>
              <w:jc w:val="right"/>
              <w:rPr>
                <w:rFonts w:cs="Calibri"/>
                <w:szCs w:val="18"/>
              </w:rPr>
            </w:pPr>
            <w:r w:rsidRPr="00B275E2">
              <w:rPr>
                <w:rFonts w:cs="Calibri"/>
                <w:szCs w:val="18"/>
              </w:rPr>
              <w:t>0.020</w:t>
            </w:r>
            <w:r w:rsidR="009279B7" w:rsidRPr="00B275E2">
              <w:rPr>
                <w:rFonts w:cs="Calibri"/>
                <w:szCs w:val="18"/>
              </w:rPr>
              <w:t>9</w:t>
            </w:r>
          </w:p>
        </w:tc>
      </w:tr>
      <w:tr w:rsidR="00940C55" w:rsidRPr="00B275E2" w14:paraId="65092870" w14:textId="77777777" w:rsidTr="006D3AF6">
        <w:tc>
          <w:tcPr>
            <w:tcW w:w="1490" w:type="dxa"/>
            <w:vMerge/>
          </w:tcPr>
          <w:p w14:paraId="65092869" w14:textId="77777777" w:rsidR="000714DC" w:rsidRPr="00B275E2" w:rsidRDefault="000714DC" w:rsidP="007F0B1E">
            <w:pPr>
              <w:pStyle w:val="TableText"/>
              <w:spacing w:before="50" w:after="50"/>
              <w:rPr>
                <w:rFonts w:cs="Calibri"/>
                <w:szCs w:val="18"/>
              </w:rPr>
            </w:pPr>
          </w:p>
        </w:tc>
        <w:tc>
          <w:tcPr>
            <w:tcW w:w="1644" w:type="dxa"/>
            <w:shd w:val="clear" w:color="auto" w:fill="auto"/>
            <w:noWrap/>
          </w:tcPr>
          <w:p w14:paraId="6509286A" w14:textId="7474D3E4" w:rsidR="000714DC" w:rsidRPr="00B275E2" w:rsidRDefault="000714DC" w:rsidP="007F0B1E">
            <w:pPr>
              <w:pStyle w:val="TableText"/>
              <w:spacing w:before="50" w:after="50"/>
              <w:rPr>
                <w:rFonts w:cs="Calibri"/>
                <w:szCs w:val="18"/>
              </w:rPr>
            </w:pPr>
            <w:r w:rsidRPr="00B275E2">
              <w:rPr>
                <w:rFonts w:cs="Calibri"/>
                <w:color w:val="000000"/>
                <w:szCs w:val="18"/>
              </w:rPr>
              <w:t xml:space="preserve">≥30,000 kg </w:t>
            </w:r>
          </w:p>
        </w:tc>
        <w:tc>
          <w:tcPr>
            <w:tcW w:w="680" w:type="dxa"/>
            <w:shd w:val="clear" w:color="auto" w:fill="auto"/>
            <w:noWrap/>
            <w:vAlign w:val="bottom"/>
          </w:tcPr>
          <w:p w14:paraId="6509286B" w14:textId="77777777" w:rsidR="000714DC" w:rsidRPr="00B275E2" w:rsidRDefault="000714DC" w:rsidP="007F0B1E">
            <w:pPr>
              <w:pStyle w:val="TableText"/>
              <w:spacing w:before="50" w:after="50"/>
              <w:rPr>
                <w:rFonts w:cs="Calibri"/>
                <w:szCs w:val="18"/>
              </w:rPr>
            </w:pPr>
            <w:r w:rsidRPr="00B275E2">
              <w:rPr>
                <w:rFonts w:cs="Calibri"/>
                <w:szCs w:val="18"/>
              </w:rPr>
              <w:t>km</w:t>
            </w:r>
          </w:p>
        </w:tc>
        <w:tc>
          <w:tcPr>
            <w:tcW w:w="1276" w:type="dxa"/>
            <w:shd w:val="clear" w:color="auto" w:fill="D2DDE1" w:themeFill="background2"/>
            <w:noWrap/>
          </w:tcPr>
          <w:p w14:paraId="6509286C" w14:textId="77EEC3A8" w:rsidR="000714DC" w:rsidRPr="00B275E2" w:rsidRDefault="009279B7" w:rsidP="007F0B1E">
            <w:pPr>
              <w:pStyle w:val="TableText"/>
              <w:spacing w:before="50" w:after="50"/>
              <w:jc w:val="right"/>
              <w:rPr>
                <w:rFonts w:cs="Calibri"/>
                <w:szCs w:val="18"/>
              </w:rPr>
            </w:pPr>
            <w:r w:rsidRPr="00B275E2">
              <w:rPr>
                <w:rFonts w:cs="Calibri"/>
                <w:szCs w:val="18"/>
              </w:rPr>
              <w:t>1.406</w:t>
            </w:r>
          </w:p>
        </w:tc>
        <w:tc>
          <w:tcPr>
            <w:tcW w:w="1134" w:type="dxa"/>
            <w:shd w:val="clear" w:color="000000" w:fill="FFFFFF"/>
            <w:noWrap/>
          </w:tcPr>
          <w:p w14:paraId="6509286D" w14:textId="1DD50B34" w:rsidR="000714DC" w:rsidRPr="00B275E2" w:rsidRDefault="009279B7" w:rsidP="007F0B1E">
            <w:pPr>
              <w:pStyle w:val="TableText"/>
              <w:spacing w:before="50" w:after="50"/>
              <w:jc w:val="right"/>
              <w:rPr>
                <w:rFonts w:cs="Calibri"/>
                <w:szCs w:val="18"/>
              </w:rPr>
            </w:pPr>
            <w:r w:rsidRPr="00B275E2">
              <w:rPr>
                <w:rFonts w:cs="Calibri"/>
                <w:szCs w:val="18"/>
              </w:rPr>
              <w:t>1.385</w:t>
            </w:r>
          </w:p>
        </w:tc>
        <w:tc>
          <w:tcPr>
            <w:tcW w:w="1134" w:type="dxa"/>
            <w:shd w:val="clear" w:color="000000" w:fill="FFFFFF"/>
            <w:noWrap/>
          </w:tcPr>
          <w:p w14:paraId="6509286E" w14:textId="0B9AAB9F" w:rsidR="000714DC" w:rsidRPr="00B275E2" w:rsidRDefault="000714DC" w:rsidP="007F0B1E">
            <w:pPr>
              <w:pStyle w:val="TableText"/>
              <w:spacing w:before="50" w:after="50"/>
              <w:jc w:val="right"/>
              <w:rPr>
                <w:rFonts w:cs="Calibri"/>
                <w:szCs w:val="18"/>
              </w:rPr>
            </w:pPr>
            <w:r w:rsidRPr="00B275E2">
              <w:rPr>
                <w:rFonts w:cs="Calibri"/>
                <w:szCs w:val="18"/>
              </w:rPr>
              <w:t>0.0018</w:t>
            </w:r>
          </w:p>
        </w:tc>
        <w:tc>
          <w:tcPr>
            <w:tcW w:w="1108" w:type="dxa"/>
            <w:shd w:val="clear" w:color="000000" w:fill="FFFFFF"/>
            <w:noWrap/>
          </w:tcPr>
          <w:p w14:paraId="6509286F" w14:textId="111B9772" w:rsidR="000714DC" w:rsidRPr="00B275E2" w:rsidRDefault="000714DC" w:rsidP="007F0B1E">
            <w:pPr>
              <w:pStyle w:val="TableText"/>
              <w:spacing w:before="50" w:after="50"/>
              <w:jc w:val="right"/>
              <w:rPr>
                <w:rFonts w:cs="Calibri"/>
                <w:szCs w:val="18"/>
              </w:rPr>
            </w:pPr>
            <w:r w:rsidRPr="00B275E2">
              <w:rPr>
                <w:rFonts w:cs="Calibri"/>
                <w:szCs w:val="18"/>
              </w:rPr>
              <w:t>0.022</w:t>
            </w:r>
            <w:r w:rsidR="009279B7" w:rsidRPr="00B275E2">
              <w:rPr>
                <w:rFonts w:cs="Calibri"/>
                <w:szCs w:val="18"/>
              </w:rPr>
              <w:t>1</w:t>
            </w:r>
          </w:p>
        </w:tc>
      </w:tr>
      <w:tr w:rsidR="00940C55" w:rsidRPr="00B275E2" w14:paraId="65092878" w14:textId="77777777" w:rsidTr="006D3AF6">
        <w:tc>
          <w:tcPr>
            <w:tcW w:w="1490" w:type="dxa"/>
            <w:vMerge w:val="restart"/>
          </w:tcPr>
          <w:p w14:paraId="65092871" w14:textId="36021DE4" w:rsidR="00AC3ACF" w:rsidRPr="00B275E2" w:rsidRDefault="00AC3ACF" w:rsidP="007F0B1E">
            <w:pPr>
              <w:pStyle w:val="TableText"/>
              <w:spacing w:before="50" w:after="50"/>
              <w:rPr>
                <w:rFonts w:cs="Calibri"/>
                <w:szCs w:val="18"/>
              </w:rPr>
            </w:pPr>
            <w:r w:rsidRPr="00B275E2">
              <w:rPr>
                <w:rFonts w:cs="Calibri"/>
                <w:szCs w:val="18"/>
              </w:rPr>
              <w:t>HGV BEV</w:t>
            </w:r>
          </w:p>
        </w:tc>
        <w:tc>
          <w:tcPr>
            <w:tcW w:w="1644" w:type="dxa"/>
            <w:shd w:val="clear" w:color="auto" w:fill="auto"/>
            <w:noWrap/>
          </w:tcPr>
          <w:p w14:paraId="65092872" w14:textId="02C0AF71" w:rsidR="00AC3ACF" w:rsidRPr="00B275E2" w:rsidRDefault="00AC3ACF" w:rsidP="007F0B1E">
            <w:pPr>
              <w:pStyle w:val="TableText"/>
              <w:spacing w:before="50" w:after="50"/>
              <w:rPr>
                <w:rFonts w:cs="Calibri"/>
                <w:szCs w:val="18"/>
              </w:rPr>
            </w:pPr>
            <w:r w:rsidRPr="00B275E2">
              <w:rPr>
                <w:rFonts w:cs="Calibri"/>
                <w:color w:val="000000"/>
                <w:szCs w:val="18"/>
              </w:rPr>
              <w:t xml:space="preserve">&lt;5,000 kg </w:t>
            </w:r>
          </w:p>
        </w:tc>
        <w:tc>
          <w:tcPr>
            <w:tcW w:w="680" w:type="dxa"/>
            <w:shd w:val="clear" w:color="auto" w:fill="auto"/>
            <w:noWrap/>
            <w:vAlign w:val="bottom"/>
          </w:tcPr>
          <w:p w14:paraId="65092873" w14:textId="77777777" w:rsidR="00AC3ACF" w:rsidRPr="00B275E2" w:rsidRDefault="00AC3ACF" w:rsidP="007F0B1E">
            <w:pPr>
              <w:pStyle w:val="TableText"/>
              <w:spacing w:before="50" w:after="50"/>
              <w:rPr>
                <w:rFonts w:cs="Calibri"/>
                <w:szCs w:val="18"/>
              </w:rPr>
            </w:pPr>
            <w:r w:rsidRPr="00B275E2">
              <w:rPr>
                <w:rFonts w:cs="Calibri"/>
                <w:szCs w:val="18"/>
              </w:rPr>
              <w:t>km</w:t>
            </w:r>
          </w:p>
        </w:tc>
        <w:tc>
          <w:tcPr>
            <w:tcW w:w="1276" w:type="dxa"/>
            <w:shd w:val="clear" w:color="auto" w:fill="D2DDE1" w:themeFill="background2"/>
            <w:noWrap/>
          </w:tcPr>
          <w:p w14:paraId="65092874" w14:textId="6A8DA3D0" w:rsidR="00AC3ACF" w:rsidRPr="00B275E2" w:rsidRDefault="00AC3ACF" w:rsidP="007F0B1E">
            <w:pPr>
              <w:pStyle w:val="TableText"/>
              <w:spacing w:before="50" w:after="50"/>
              <w:jc w:val="right"/>
              <w:rPr>
                <w:rFonts w:cs="Calibri"/>
                <w:szCs w:val="18"/>
              </w:rPr>
            </w:pPr>
            <w:r w:rsidRPr="00B275E2">
              <w:rPr>
                <w:rFonts w:cs="Calibri"/>
                <w:szCs w:val="18"/>
              </w:rPr>
              <w:t>0.04</w:t>
            </w:r>
            <w:r w:rsidR="00325DC4" w:rsidRPr="00B275E2">
              <w:rPr>
                <w:rFonts w:cs="Calibri"/>
                <w:szCs w:val="18"/>
              </w:rPr>
              <w:t>4</w:t>
            </w:r>
          </w:p>
        </w:tc>
        <w:tc>
          <w:tcPr>
            <w:tcW w:w="1134" w:type="dxa"/>
            <w:shd w:val="clear" w:color="000000" w:fill="FFFFFF"/>
            <w:noWrap/>
          </w:tcPr>
          <w:p w14:paraId="65092875" w14:textId="56D253A1" w:rsidR="00AC3ACF" w:rsidRPr="00B275E2" w:rsidRDefault="00AC3ACF" w:rsidP="007F0B1E">
            <w:pPr>
              <w:pStyle w:val="TableText"/>
              <w:spacing w:before="50" w:after="50"/>
              <w:jc w:val="right"/>
              <w:rPr>
                <w:rFonts w:cs="Calibri"/>
                <w:szCs w:val="18"/>
              </w:rPr>
            </w:pPr>
            <w:r w:rsidRPr="00B275E2">
              <w:rPr>
                <w:rFonts w:cs="Calibri"/>
                <w:szCs w:val="18"/>
              </w:rPr>
              <w:t>0.04</w:t>
            </w:r>
            <w:r w:rsidR="00325DC4" w:rsidRPr="00B275E2">
              <w:rPr>
                <w:rFonts w:cs="Calibri"/>
                <w:szCs w:val="18"/>
              </w:rPr>
              <w:t>2</w:t>
            </w:r>
          </w:p>
        </w:tc>
        <w:tc>
          <w:tcPr>
            <w:tcW w:w="1134" w:type="dxa"/>
            <w:shd w:val="clear" w:color="000000" w:fill="FFFFFF"/>
            <w:noWrap/>
          </w:tcPr>
          <w:p w14:paraId="65092876" w14:textId="005DD5D6" w:rsidR="00AC3ACF" w:rsidRPr="00B275E2" w:rsidRDefault="00AC3ACF" w:rsidP="007F0B1E">
            <w:pPr>
              <w:pStyle w:val="TableText"/>
              <w:spacing w:before="50" w:after="50"/>
              <w:jc w:val="right"/>
              <w:rPr>
                <w:rFonts w:cs="Calibri"/>
                <w:szCs w:val="18"/>
              </w:rPr>
            </w:pPr>
            <w:r w:rsidRPr="00B275E2">
              <w:rPr>
                <w:rFonts w:cs="Calibri"/>
                <w:szCs w:val="18"/>
              </w:rPr>
              <w:t>0.002</w:t>
            </w:r>
          </w:p>
        </w:tc>
        <w:tc>
          <w:tcPr>
            <w:tcW w:w="1108" w:type="dxa"/>
            <w:shd w:val="clear" w:color="000000" w:fill="FFFFFF"/>
            <w:noWrap/>
          </w:tcPr>
          <w:p w14:paraId="65092877" w14:textId="2AE13009" w:rsidR="00AC3ACF" w:rsidRPr="00B275E2" w:rsidRDefault="00AC3ACF" w:rsidP="007F0B1E">
            <w:pPr>
              <w:pStyle w:val="TableText"/>
              <w:spacing w:before="50" w:after="50"/>
              <w:jc w:val="right"/>
              <w:rPr>
                <w:rFonts w:cs="Calibri"/>
                <w:szCs w:val="18"/>
              </w:rPr>
            </w:pPr>
            <w:r w:rsidRPr="00B275E2">
              <w:rPr>
                <w:rFonts w:cs="Calibri"/>
                <w:szCs w:val="18"/>
              </w:rPr>
              <w:t>0.0001</w:t>
            </w:r>
          </w:p>
        </w:tc>
      </w:tr>
      <w:tr w:rsidR="00940C55" w:rsidRPr="00B275E2" w14:paraId="65092880" w14:textId="77777777" w:rsidTr="006D3AF6">
        <w:tc>
          <w:tcPr>
            <w:tcW w:w="1490" w:type="dxa"/>
            <w:vMerge/>
          </w:tcPr>
          <w:p w14:paraId="65092879" w14:textId="77777777" w:rsidR="00AC3ACF" w:rsidRPr="00B275E2" w:rsidRDefault="00AC3ACF" w:rsidP="007F0B1E">
            <w:pPr>
              <w:pStyle w:val="TableText"/>
              <w:spacing w:before="50" w:after="50"/>
              <w:rPr>
                <w:rFonts w:cs="Calibri"/>
                <w:szCs w:val="18"/>
              </w:rPr>
            </w:pPr>
          </w:p>
        </w:tc>
        <w:tc>
          <w:tcPr>
            <w:tcW w:w="1644" w:type="dxa"/>
            <w:shd w:val="clear" w:color="auto" w:fill="auto"/>
            <w:noWrap/>
          </w:tcPr>
          <w:p w14:paraId="6509287A" w14:textId="57F9E1B9" w:rsidR="00AC3ACF" w:rsidRPr="00B275E2" w:rsidRDefault="00AC3ACF" w:rsidP="007F0B1E">
            <w:pPr>
              <w:pStyle w:val="TableText"/>
              <w:spacing w:before="50" w:after="50"/>
              <w:rPr>
                <w:rFonts w:cs="Calibri"/>
                <w:szCs w:val="18"/>
              </w:rPr>
            </w:pPr>
            <w:r w:rsidRPr="00B275E2">
              <w:rPr>
                <w:rFonts w:cs="Calibri"/>
                <w:color w:val="000000"/>
                <w:szCs w:val="18"/>
              </w:rPr>
              <w:t xml:space="preserve">5,000 - </w:t>
            </w:r>
            <w:r w:rsidRPr="00B275E2">
              <w:rPr>
                <w:rFonts w:cs="Calibri"/>
                <w:szCs w:val="18"/>
              </w:rPr>
              <w:t>&lt;</w:t>
            </w:r>
            <w:r w:rsidRPr="00B275E2">
              <w:rPr>
                <w:rFonts w:cs="Calibri"/>
                <w:color w:val="000000"/>
                <w:szCs w:val="18"/>
              </w:rPr>
              <w:t xml:space="preserve">7,500 kg </w:t>
            </w:r>
          </w:p>
        </w:tc>
        <w:tc>
          <w:tcPr>
            <w:tcW w:w="680" w:type="dxa"/>
            <w:shd w:val="clear" w:color="auto" w:fill="auto"/>
            <w:noWrap/>
            <w:vAlign w:val="bottom"/>
          </w:tcPr>
          <w:p w14:paraId="6509287B" w14:textId="77777777" w:rsidR="00AC3ACF" w:rsidRPr="00B275E2" w:rsidRDefault="00AC3ACF" w:rsidP="007F0B1E">
            <w:pPr>
              <w:pStyle w:val="TableText"/>
              <w:spacing w:before="50" w:after="50"/>
              <w:rPr>
                <w:rFonts w:cs="Calibri"/>
                <w:szCs w:val="18"/>
              </w:rPr>
            </w:pPr>
            <w:r w:rsidRPr="00B275E2">
              <w:rPr>
                <w:rFonts w:cs="Calibri"/>
                <w:szCs w:val="18"/>
              </w:rPr>
              <w:t>km</w:t>
            </w:r>
          </w:p>
        </w:tc>
        <w:tc>
          <w:tcPr>
            <w:tcW w:w="1276" w:type="dxa"/>
            <w:shd w:val="clear" w:color="auto" w:fill="D2DDE1" w:themeFill="background2"/>
            <w:noWrap/>
          </w:tcPr>
          <w:p w14:paraId="6509287C" w14:textId="5DDF24FF" w:rsidR="00AC3ACF" w:rsidRPr="00B275E2" w:rsidRDefault="00AC3ACF" w:rsidP="007F0B1E">
            <w:pPr>
              <w:pStyle w:val="TableText"/>
              <w:spacing w:before="50" w:after="50"/>
              <w:jc w:val="right"/>
              <w:rPr>
                <w:rFonts w:cs="Calibri"/>
                <w:szCs w:val="18"/>
              </w:rPr>
            </w:pPr>
            <w:r w:rsidRPr="00B275E2">
              <w:rPr>
                <w:rFonts w:cs="Calibri"/>
                <w:szCs w:val="18"/>
              </w:rPr>
              <w:t>0.0</w:t>
            </w:r>
            <w:r w:rsidR="00325DC4" w:rsidRPr="00B275E2">
              <w:rPr>
                <w:rFonts w:cs="Calibri"/>
                <w:szCs w:val="18"/>
              </w:rPr>
              <w:t>50</w:t>
            </w:r>
          </w:p>
        </w:tc>
        <w:tc>
          <w:tcPr>
            <w:tcW w:w="1134" w:type="dxa"/>
            <w:shd w:val="clear" w:color="000000" w:fill="FFFFFF"/>
            <w:noWrap/>
          </w:tcPr>
          <w:p w14:paraId="6509287D" w14:textId="549B3ED9" w:rsidR="00AC3ACF" w:rsidRPr="00B275E2" w:rsidRDefault="00AC3ACF" w:rsidP="007F0B1E">
            <w:pPr>
              <w:pStyle w:val="TableText"/>
              <w:spacing w:before="50" w:after="50"/>
              <w:jc w:val="right"/>
              <w:rPr>
                <w:rFonts w:cs="Calibri"/>
                <w:szCs w:val="18"/>
              </w:rPr>
            </w:pPr>
            <w:r w:rsidRPr="00B275E2">
              <w:rPr>
                <w:rFonts w:cs="Calibri"/>
                <w:szCs w:val="18"/>
              </w:rPr>
              <w:t>0.04</w:t>
            </w:r>
            <w:r w:rsidR="00325DC4" w:rsidRPr="00B275E2">
              <w:rPr>
                <w:rFonts w:cs="Calibri"/>
                <w:szCs w:val="18"/>
              </w:rPr>
              <w:t>8</w:t>
            </w:r>
          </w:p>
        </w:tc>
        <w:tc>
          <w:tcPr>
            <w:tcW w:w="1134" w:type="dxa"/>
            <w:shd w:val="clear" w:color="000000" w:fill="FFFFFF"/>
            <w:noWrap/>
          </w:tcPr>
          <w:p w14:paraId="6509287E" w14:textId="64CBAC6C" w:rsidR="00AC3ACF" w:rsidRPr="00B275E2" w:rsidRDefault="00AC3ACF" w:rsidP="007F0B1E">
            <w:pPr>
              <w:pStyle w:val="TableText"/>
              <w:spacing w:before="50" w:after="50"/>
              <w:jc w:val="right"/>
              <w:rPr>
                <w:rFonts w:cs="Calibri"/>
                <w:szCs w:val="18"/>
              </w:rPr>
            </w:pPr>
            <w:r w:rsidRPr="00B275E2">
              <w:rPr>
                <w:rFonts w:cs="Calibri"/>
                <w:szCs w:val="18"/>
              </w:rPr>
              <w:t>0.002</w:t>
            </w:r>
          </w:p>
        </w:tc>
        <w:tc>
          <w:tcPr>
            <w:tcW w:w="1108" w:type="dxa"/>
            <w:shd w:val="clear" w:color="000000" w:fill="FFFFFF"/>
            <w:noWrap/>
          </w:tcPr>
          <w:p w14:paraId="6509287F" w14:textId="74A2AAC2" w:rsidR="00AC3ACF" w:rsidRPr="00B275E2" w:rsidRDefault="00AC3ACF" w:rsidP="007F0B1E">
            <w:pPr>
              <w:pStyle w:val="TableText"/>
              <w:spacing w:before="50" w:after="50"/>
              <w:jc w:val="right"/>
              <w:rPr>
                <w:rFonts w:cs="Calibri"/>
                <w:szCs w:val="18"/>
              </w:rPr>
            </w:pPr>
            <w:r w:rsidRPr="00B275E2">
              <w:rPr>
                <w:rFonts w:cs="Calibri"/>
                <w:szCs w:val="18"/>
              </w:rPr>
              <w:t>0.0001</w:t>
            </w:r>
          </w:p>
        </w:tc>
      </w:tr>
      <w:tr w:rsidR="00940C55" w:rsidRPr="00B275E2" w14:paraId="65092888" w14:textId="77777777" w:rsidTr="006D3AF6">
        <w:tc>
          <w:tcPr>
            <w:tcW w:w="1490" w:type="dxa"/>
            <w:vMerge/>
          </w:tcPr>
          <w:p w14:paraId="65092881" w14:textId="77777777" w:rsidR="00AC3ACF" w:rsidRPr="00B275E2" w:rsidRDefault="00AC3ACF" w:rsidP="007F0B1E">
            <w:pPr>
              <w:pStyle w:val="TableText"/>
              <w:spacing w:before="50" w:after="50"/>
              <w:rPr>
                <w:rFonts w:cs="Calibri"/>
                <w:szCs w:val="18"/>
              </w:rPr>
            </w:pPr>
          </w:p>
        </w:tc>
        <w:tc>
          <w:tcPr>
            <w:tcW w:w="1644" w:type="dxa"/>
            <w:shd w:val="clear" w:color="auto" w:fill="auto"/>
            <w:noWrap/>
          </w:tcPr>
          <w:p w14:paraId="65092882" w14:textId="4AC51451" w:rsidR="00AC3ACF" w:rsidRPr="00B275E2" w:rsidRDefault="00AC3ACF" w:rsidP="007F0B1E">
            <w:pPr>
              <w:pStyle w:val="TableText"/>
              <w:spacing w:before="50" w:after="50"/>
              <w:rPr>
                <w:rFonts w:cs="Calibri"/>
                <w:szCs w:val="18"/>
              </w:rPr>
            </w:pPr>
            <w:r w:rsidRPr="00B275E2">
              <w:rPr>
                <w:rFonts w:cs="Calibri"/>
                <w:color w:val="000000"/>
                <w:szCs w:val="18"/>
              </w:rPr>
              <w:t xml:space="preserve">7,500 - </w:t>
            </w:r>
            <w:r w:rsidRPr="00B275E2">
              <w:rPr>
                <w:rFonts w:cs="Calibri"/>
                <w:szCs w:val="18"/>
              </w:rPr>
              <w:t>&lt;</w:t>
            </w:r>
            <w:r w:rsidRPr="00B275E2">
              <w:rPr>
                <w:rFonts w:cs="Calibri"/>
                <w:color w:val="000000"/>
                <w:szCs w:val="18"/>
              </w:rPr>
              <w:t>10,000 kg</w:t>
            </w:r>
          </w:p>
        </w:tc>
        <w:tc>
          <w:tcPr>
            <w:tcW w:w="680" w:type="dxa"/>
            <w:shd w:val="clear" w:color="auto" w:fill="auto"/>
            <w:noWrap/>
            <w:vAlign w:val="bottom"/>
          </w:tcPr>
          <w:p w14:paraId="65092883" w14:textId="77777777" w:rsidR="00AC3ACF" w:rsidRPr="00B275E2" w:rsidRDefault="00AC3ACF" w:rsidP="007F0B1E">
            <w:pPr>
              <w:pStyle w:val="TableText"/>
              <w:spacing w:before="50" w:after="50"/>
              <w:rPr>
                <w:rFonts w:cs="Calibri"/>
                <w:szCs w:val="18"/>
              </w:rPr>
            </w:pPr>
            <w:r w:rsidRPr="00B275E2">
              <w:rPr>
                <w:rFonts w:cs="Calibri"/>
                <w:szCs w:val="18"/>
              </w:rPr>
              <w:t>km</w:t>
            </w:r>
          </w:p>
        </w:tc>
        <w:tc>
          <w:tcPr>
            <w:tcW w:w="1276" w:type="dxa"/>
            <w:shd w:val="clear" w:color="auto" w:fill="D2DDE1" w:themeFill="background2"/>
            <w:noWrap/>
          </w:tcPr>
          <w:p w14:paraId="65092884" w14:textId="62C70078" w:rsidR="00AC3ACF" w:rsidRPr="00B275E2" w:rsidRDefault="00AC3ACF" w:rsidP="007F0B1E">
            <w:pPr>
              <w:pStyle w:val="TableText"/>
              <w:spacing w:before="50" w:after="50"/>
              <w:jc w:val="right"/>
              <w:rPr>
                <w:rFonts w:cs="Calibri"/>
                <w:szCs w:val="18"/>
              </w:rPr>
            </w:pPr>
            <w:r w:rsidRPr="00B275E2">
              <w:rPr>
                <w:rFonts w:cs="Calibri"/>
                <w:szCs w:val="18"/>
              </w:rPr>
              <w:t>0.06</w:t>
            </w:r>
            <w:r w:rsidR="00325DC4" w:rsidRPr="00B275E2">
              <w:rPr>
                <w:rFonts w:cs="Calibri"/>
                <w:szCs w:val="18"/>
              </w:rPr>
              <w:t>2</w:t>
            </w:r>
          </w:p>
        </w:tc>
        <w:tc>
          <w:tcPr>
            <w:tcW w:w="1134" w:type="dxa"/>
            <w:shd w:val="clear" w:color="000000" w:fill="FFFFFF"/>
            <w:noWrap/>
          </w:tcPr>
          <w:p w14:paraId="65092885" w14:textId="0769DC2E" w:rsidR="00AC3ACF" w:rsidRPr="00B275E2" w:rsidRDefault="00AC3ACF" w:rsidP="007F0B1E">
            <w:pPr>
              <w:pStyle w:val="TableText"/>
              <w:spacing w:before="50" w:after="50"/>
              <w:jc w:val="right"/>
              <w:rPr>
                <w:rFonts w:cs="Calibri"/>
                <w:szCs w:val="18"/>
              </w:rPr>
            </w:pPr>
            <w:r w:rsidRPr="00B275E2">
              <w:rPr>
                <w:rFonts w:cs="Calibri"/>
                <w:szCs w:val="18"/>
              </w:rPr>
              <w:t>0.0</w:t>
            </w:r>
            <w:r w:rsidR="00325DC4" w:rsidRPr="00B275E2">
              <w:rPr>
                <w:rFonts w:cs="Calibri"/>
                <w:szCs w:val="18"/>
              </w:rPr>
              <w:t>59</w:t>
            </w:r>
          </w:p>
        </w:tc>
        <w:tc>
          <w:tcPr>
            <w:tcW w:w="1134" w:type="dxa"/>
            <w:shd w:val="clear" w:color="000000" w:fill="FFFFFF"/>
            <w:noWrap/>
          </w:tcPr>
          <w:p w14:paraId="65092886" w14:textId="22EE22D6" w:rsidR="00AC3ACF" w:rsidRPr="00B275E2" w:rsidRDefault="00AC3ACF" w:rsidP="007F0B1E">
            <w:pPr>
              <w:pStyle w:val="TableText"/>
              <w:spacing w:before="50" w:after="50"/>
              <w:jc w:val="right"/>
              <w:rPr>
                <w:rFonts w:cs="Calibri"/>
                <w:szCs w:val="18"/>
              </w:rPr>
            </w:pPr>
            <w:r w:rsidRPr="00B275E2">
              <w:rPr>
                <w:rFonts w:cs="Calibri"/>
                <w:szCs w:val="18"/>
              </w:rPr>
              <w:t>0.002</w:t>
            </w:r>
          </w:p>
        </w:tc>
        <w:tc>
          <w:tcPr>
            <w:tcW w:w="1108" w:type="dxa"/>
            <w:shd w:val="clear" w:color="000000" w:fill="FFFFFF"/>
            <w:noWrap/>
          </w:tcPr>
          <w:p w14:paraId="65092887" w14:textId="24BB2CB5" w:rsidR="00AC3ACF" w:rsidRPr="00B275E2" w:rsidRDefault="00AC3ACF" w:rsidP="007F0B1E">
            <w:pPr>
              <w:pStyle w:val="TableText"/>
              <w:spacing w:before="50" w:after="50"/>
              <w:jc w:val="right"/>
              <w:rPr>
                <w:rFonts w:cs="Calibri"/>
                <w:szCs w:val="18"/>
              </w:rPr>
            </w:pPr>
            <w:r w:rsidRPr="00B275E2">
              <w:rPr>
                <w:rFonts w:cs="Calibri"/>
                <w:szCs w:val="18"/>
              </w:rPr>
              <w:t>0.0001</w:t>
            </w:r>
          </w:p>
        </w:tc>
      </w:tr>
      <w:tr w:rsidR="00940C55" w:rsidRPr="00B275E2" w14:paraId="65092890" w14:textId="77777777" w:rsidTr="006D3AF6">
        <w:tc>
          <w:tcPr>
            <w:tcW w:w="1490" w:type="dxa"/>
            <w:vMerge/>
          </w:tcPr>
          <w:p w14:paraId="65092889" w14:textId="77777777" w:rsidR="00AC3ACF" w:rsidRPr="00B275E2" w:rsidRDefault="00AC3ACF" w:rsidP="007F0B1E">
            <w:pPr>
              <w:pStyle w:val="TableText"/>
              <w:spacing w:before="50" w:after="50"/>
              <w:rPr>
                <w:rFonts w:cs="Calibri"/>
                <w:szCs w:val="18"/>
              </w:rPr>
            </w:pPr>
          </w:p>
        </w:tc>
        <w:tc>
          <w:tcPr>
            <w:tcW w:w="1644" w:type="dxa"/>
            <w:shd w:val="clear" w:color="auto" w:fill="auto"/>
            <w:noWrap/>
          </w:tcPr>
          <w:p w14:paraId="6509288A" w14:textId="33491D96" w:rsidR="00AC3ACF" w:rsidRPr="00B275E2" w:rsidRDefault="00AC3ACF" w:rsidP="007F0B1E">
            <w:pPr>
              <w:pStyle w:val="TableText"/>
              <w:spacing w:before="50" w:after="50"/>
              <w:rPr>
                <w:rFonts w:cs="Calibri"/>
                <w:szCs w:val="18"/>
              </w:rPr>
            </w:pPr>
            <w:r w:rsidRPr="00B275E2">
              <w:rPr>
                <w:rFonts w:cs="Calibri"/>
                <w:color w:val="000000"/>
                <w:szCs w:val="18"/>
              </w:rPr>
              <w:t xml:space="preserve">10,000 - </w:t>
            </w:r>
            <w:r w:rsidRPr="00B275E2">
              <w:rPr>
                <w:rFonts w:cs="Calibri"/>
                <w:szCs w:val="18"/>
              </w:rPr>
              <w:t>&lt;</w:t>
            </w:r>
            <w:r w:rsidRPr="00B275E2">
              <w:rPr>
                <w:rFonts w:cs="Calibri"/>
                <w:color w:val="000000"/>
                <w:szCs w:val="18"/>
              </w:rPr>
              <w:t xml:space="preserve">12,000 kg </w:t>
            </w:r>
          </w:p>
        </w:tc>
        <w:tc>
          <w:tcPr>
            <w:tcW w:w="680" w:type="dxa"/>
            <w:shd w:val="clear" w:color="auto" w:fill="auto"/>
            <w:noWrap/>
            <w:vAlign w:val="bottom"/>
          </w:tcPr>
          <w:p w14:paraId="6509288B" w14:textId="77777777" w:rsidR="00AC3ACF" w:rsidRPr="00B275E2" w:rsidRDefault="00AC3ACF" w:rsidP="007F0B1E">
            <w:pPr>
              <w:pStyle w:val="TableText"/>
              <w:spacing w:before="50" w:after="50"/>
              <w:rPr>
                <w:rFonts w:cs="Calibri"/>
                <w:szCs w:val="18"/>
              </w:rPr>
            </w:pPr>
            <w:r w:rsidRPr="00B275E2">
              <w:rPr>
                <w:rFonts w:cs="Calibri"/>
                <w:szCs w:val="18"/>
              </w:rPr>
              <w:t>km</w:t>
            </w:r>
          </w:p>
        </w:tc>
        <w:tc>
          <w:tcPr>
            <w:tcW w:w="1276" w:type="dxa"/>
            <w:shd w:val="clear" w:color="auto" w:fill="D2DDE1" w:themeFill="background2"/>
            <w:noWrap/>
          </w:tcPr>
          <w:p w14:paraId="6509288C" w14:textId="0330895C" w:rsidR="00AC3ACF" w:rsidRPr="00B275E2" w:rsidRDefault="00AC3ACF" w:rsidP="007F0B1E">
            <w:pPr>
              <w:pStyle w:val="TableText"/>
              <w:spacing w:before="50" w:after="50"/>
              <w:jc w:val="right"/>
              <w:rPr>
                <w:rFonts w:cs="Calibri"/>
                <w:szCs w:val="18"/>
              </w:rPr>
            </w:pPr>
            <w:r w:rsidRPr="00B275E2">
              <w:rPr>
                <w:rFonts w:cs="Calibri"/>
                <w:szCs w:val="18"/>
              </w:rPr>
              <w:t>0.0</w:t>
            </w:r>
            <w:r w:rsidR="00E3604C" w:rsidRPr="00B275E2">
              <w:rPr>
                <w:rFonts w:cs="Calibri"/>
                <w:szCs w:val="18"/>
              </w:rPr>
              <w:t>83</w:t>
            </w:r>
          </w:p>
        </w:tc>
        <w:tc>
          <w:tcPr>
            <w:tcW w:w="1134" w:type="dxa"/>
            <w:shd w:val="clear" w:color="000000" w:fill="FFFFFF"/>
            <w:noWrap/>
          </w:tcPr>
          <w:p w14:paraId="6509288D" w14:textId="78124E2F" w:rsidR="00AC3ACF" w:rsidRPr="00B275E2" w:rsidRDefault="00AC3ACF" w:rsidP="007F0B1E">
            <w:pPr>
              <w:pStyle w:val="TableText"/>
              <w:spacing w:before="50" w:after="50"/>
              <w:jc w:val="right"/>
              <w:rPr>
                <w:rFonts w:cs="Calibri"/>
                <w:szCs w:val="18"/>
              </w:rPr>
            </w:pPr>
            <w:r w:rsidRPr="00B275E2">
              <w:rPr>
                <w:rFonts w:cs="Calibri"/>
                <w:szCs w:val="18"/>
              </w:rPr>
              <w:t>0.0</w:t>
            </w:r>
            <w:r w:rsidR="00E3604C" w:rsidRPr="00B275E2">
              <w:rPr>
                <w:rFonts w:cs="Calibri"/>
                <w:szCs w:val="18"/>
              </w:rPr>
              <w:t>80</w:t>
            </w:r>
          </w:p>
        </w:tc>
        <w:tc>
          <w:tcPr>
            <w:tcW w:w="1134" w:type="dxa"/>
            <w:shd w:val="clear" w:color="000000" w:fill="FFFFFF"/>
            <w:noWrap/>
          </w:tcPr>
          <w:p w14:paraId="6509288E" w14:textId="6B08FC31" w:rsidR="00AC3ACF" w:rsidRPr="00B275E2" w:rsidRDefault="00AC3ACF" w:rsidP="007F0B1E">
            <w:pPr>
              <w:pStyle w:val="TableText"/>
              <w:spacing w:before="50" w:after="50"/>
              <w:jc w:val="right"/>
              <w:rPr>
                <w:rFonts w:cs="Calibri"/>
                <w:szCs w:val="18"/>
              </w:rPr>
            </w:pPr>
            <w:r w:rsidRPr="00B275E2">
              <w:rPr>
                <w:rFonts w:cs="Calibri"/>
                <w:szCs w:val="18"/>
              </w:rPr>
              <w:t>0.003</w:t>
            </w:r>
          </w:p>
        </w:tc>
        <w:tc>
          <w:tcPr>
            <w:tcW w:w="1108" w:type="dxa"/>
            <w:shd w:val="clear" w:color="000000" w:fill="FFFFFF"/>
            <w:noWrap/>
          </w:tcPr>
          <w:p w14:paraId="6509288F" w14:textId="52BFC1D6" w:rsidR="00AC3ACF" w:rsidRPr="00B275E2" w:rsidRDefault="00AC3ACF" w:rsidP="007F0B1E">
            <w:pPr>
              <w:pStyle w:val="TableText"/>
              <w:spacing w:before="50" w:after="50"/>
              <w:jc w:val="right"/>
              <w:rPr>
                <w:rFonts w:cs="Calibri"/>
                <w:szCs w:val="18"/>
              </w:rPr>
            </w:pPr>
            <w:r w:rsidRPr="00B275E2">
              <w:rPr>
                <w:rFonts w:cs="Calibri"/>
                <w:szCs w:val="18"/>
              </w:rPr>
              <w:t>0.0001</w:t>
            </w:r>
          </w:p>
        </w:tc>
      </w:tr>
      <w:tr w:rsidR="00940C55" w:rsidRPr="00B275E2" w14:paraId="65092898" w14:textId="77777777" w:rsidTr="006D3AF6">
        <w:tc>
          <w:tcPr>
            <w:tcW w:w="1490" w:type="dxa"/>
            <w:vMerge/>
          </w:tcPr>
          <w:p w14:paraId="65092891" w14:textId="77777777" w:rsidR="00AC3ACF" w:rsidRPr="00B275E2" w:rsidRDefault="00AC3ACF" w:rsidP="007F0B1E">
            <w:pPr>
              <w:pStyle w:val="TableText"/>
              <w:spacing w:before="50" w:after="50"/>
              <w:rPr>
                <w:rFonts w:cs="Calibri"/>
                <w:szCs w:val="18"/>
              </w:rPr>
            </w:pPr>
          </w:p>
        </w:tc>
        <w:tc>
          <w:tcPr>
            <w:tcW w:w="1644" w:type="dxa"/>
            <w:shd w:val="clear" w:color="auto" w:fill="auto"/>
            <w:noWrap/>
          </w:tcPr>
          <w:p w14:paraId="65092892" w14:textId="4B1E8D32" w:rsidR="00AC3ACF" w:rsidRPr="00B275E2" w:rsidRDefault="00AC3ACF" w:rsidP="007F0B1E">
            <w:pPr>
              <w:pStyle w:val="TableText"/>
              <w:spacing w:before="50" w:after="50"/>
              <w:rPr>
                <w:rFonts w:cs="Calibri"/>
                <w:szCs w:val="18"/>
              </w:rPr>
            </w:pPr>
            <w:r w:rsidRPr="00B275E2">
              <w:rPr>
                <w:rFonts w:cs="Calibri"/>
                <w:color w:val="000000"/>
                <w:szCs w:val="18"/>
              </w:rPr>
              <w:t xml:space="preserve">12,000 - </w:t>
            </w:r>
            <w:r w:rsidRPr="00B275E2">
              <w:rPr>
                <w:rFonts w:cs="Calibri"/>
                <w:szCs w:val="18"/>
              </w:rPr>
              <w:t>&lt;</w:t>
            </w:r>
            <w:r w:rsidRPr="00B275E2">
              <w:rPr>
                <w:rFonts w:cs="Calibri"/>
                <w:color w:val="000000"/>
                <w:szCs w:val="18"/>
              </w:rPr>
              <w:t xml:space="preserve">15,000 kg </w:t>
            </w:r>
          </w:p>
        </w:tc>
        <w:tc>
          <w:tcPr>
            <w:tcW w:w="680" w:type="dxa"/>
            <w:shd w:val="clear" w:color="auto" w:fill="auto"/>
            <w:noWrap/>
            <w:vAlign w:val="bottom"/>
          </w:tcPr>
          <w:p w14:paraId="65092893" w14:textId="77777777" w:rsidR="00AC3ACF" w:rsidRPr="00B275E2" w:rsidRDefault="00AC3ACF" w:rsidP="007F0B1E">
            <w:pPr>
              <w:pStyle w:val="TableText"/>
              <w:spacing w:before="50" w:after="50"/>
              <w:rPr>
                <w:rFonts w:cs="Calibri"/>
                <w:szCs w:val="18"/>
              </w:rPr>
            </w:pPr>
            <w:r w:rsidRPr="00B275E2">
              <w:rPr>
                <w:rFonts w:cs="Calibri"/>
                <w:szCs w:val="18"/>
              </w:rPr>
              <w:t>km</w:t>
            </w:r>
          </w:p>
        </w:tc>
        <w:tc>
          <w:tcPr>
            <w:tcW w:w="1276" w:type="dxa"/>
            <w:shd w:val="clear" w:color="auto" w:fill="D2DDE1" w:themeFill="background2"/>
            <w:noWrap/>
          </w:tcPr>
          <w:p w14:paraId="65092894" w14:textId="714E5104" w:rsidR="00AC3ACF" w:rsidRPr="00B275E2" w:rsidRDefault="00AC3ACF" w:rsidP="007F0B1E">
            <w:pPr>
              <w:pStyle w:val="TableText"/>
              <w:spacing w:before="50" w:after="50"/>
              <w:jc w:val="right"/>
              <w:rPr>
                <w:rFonts w:cs="Calibri"/>
                <w:szCs w:val="18"/>
              </w:rPr>
            </w:pPr>
            <w:r w:rsidRPr="00B275E2">
              <w:rPr>
                <w:rFonts w:cs="Calibri"/>
                <w:szCs w:val="18"/>
              </w:rPr>
              <w:t>0.08</w:t>
            </w:r>
            <w:r w:rsidR="00E3604C" w:rsidRPr="00B275E2">
              <w:rPr>
                <w:rFonts w:cs="Calibri"/>
                <w:szCs w:val="18"/>
              </w:rPr>
              <w:t>3</w:t>
            </w:r>
          </w:p>
        </w:tc>
        <w:tc>
          <w:tcPr>
            <w:tcW w:w="1134" w:type="dxa"/>
            <w:shd w:val="clear" w:color="000000" w:fill="FFFFFF"/>
            <w:noWrap/>
          </w:tcPr>
          <w:p w14:paraId="65092895" w14:textId="6487059B" w:rsidR="00AC3ACF" w:rsidRPr="00B275E2" w:rsidRDefault="00AC3ACF" w:rsidP="007F0B1E">
            <w:pPr>
              <w:pStyle w:val="TableText"/>
              <w:spacing w:before="50" w:after="50"/>
              <w:jc w:val="right"/>
              <w:rPr>
                <w:rFonts w:cs="Calibri"/>
                <w:szCs w:val="18"/>
              </w:rPr>
            </w:pPr>
            <w:r w:rsidRPr="00B275E2">
              <w:rPr>
                <w:rFonts w:cs="Calibri"/>
                <w:szCs w:val="18"/>
              </w:rPr>
              <w:t>0.08</w:t>
            </w:r>
            <w:r w:rsidR="00E3604C" w:rsidRPr="00B275E2">
              <w:rPr>
                <w:rFonts w:cs="Calibri"/>
                <w:szCs w:val="18"/>
              </w:rPr>
              <w:t>0</w:t>
            </w:r>
          </w:p>
        </w:tc>
        <w:tc>
          <w:tcPr>
            <w:tcW w:w="1134" w:type="dxa"/>
            <w:shd w:val="clear" w:color="000000" w:fill="FFFFFF"/>
            <w:noWrap/>
          </w:tcPr>
          <w:p w14:paraId="65092896" w14:textId="6538050C" w:rsidR="00AC3ACF" w:rsidRPr="00B275E2" w:rsidRDefault="00AC3ACF" w:rsidP="007F0B1E">
            <w:pPr>
              <w:pStyle w:val="TableText"/>
              <w:spacing w:before="50" w:after="50"/>
              <w:jc w:val="right"/>
              <w:rPr>
                <w:rFonts w:cs="Calibri"/>
                <w:szCs w:val="18"/>
              </w:rPr>
            </w:pPr>
            <w:r w:rsidRPr="00B275E2">
              <w:rPr>
                <w:rFonts w:cs="Calibri"/>
                <w:szCs w:val="18"/>
              </w:rPr>
              <w:t>0.003</w:t>
            </w:r>
          </w:p>
        </w:tc>
        <w:tc>
          <w:tcPr>
            <w:tcW w:w="1108" w:type="dxa"/>
            <w:shd w:val="clear" w:color="000000" w:fill="FFFFFF"/>
            <w:noWrap/>
          </w:tcPr>
          <w:p w14:paraId="65092897" w14:textId="31268A75" w:rsidR="00AC3ACF" w:rsidRPr="00B275E2" w:rsidRDefault="00AC3ACF" w:rsidP="007F0B1E">
            <w:pPr>
              <w:pStyle w:val="TableText"/>
              <w:spacing w:before="50" w:after="50"/>
              <w:jc w:val="right"/>
              <w:rPr>
                <w:rFonts w:cs="Calibri"/>
                <w:szCs w:val="18"/>
              </w:rPr>
            </w:pPr>
            <w:r w:rsidRPr="00B275E2">
              <w:rPr>
                <w:rFonts w:cs="Calibri"/>
                <w:szCs w:val="18"/>
              </w:rPr>
              <w:t>0.0001</w:t>
            </w:r>
          </w:p>
        </w:tc>
      </w:tr>
    </w:tbl>
    <w:p w14:paraId="2109394A" w14:textId="5D737F45" w:rsidR="00DA1BB8" w:rsidRDefault="001569F5" w:rsidP="00C83928">
      <w:pPr>
        <w:pStyle w:val="Note"/>
      </w:pPr>
      <w:r w:rsidRPr="00B275E2">
        <w:t>Note</w:t>
      </w:r>
      <w:r w:rsidR="00542171" w:rsidRPr="00B275E2">
        <w:t>:</w:t>
      </w:r>
      <w:r w:rsidRPr="00B275E2">
        <w:t xml:space="preserve"> </w:t>
      </w:r>
      <w:r w:rsidR="00542171" w:rsidRPr="00B275E2">
        <w:t xml:space="preserve">These </w:t>
      </w:r>
      <w:r w:rsidRPr="00B275E2">
        <w:t xml:space="preserve">numbers are rounded to three </w:t>
      </w:r>
      <w:r w:rsidR="002011A6" w:rsidRPr="00B275E2">
        <w:t xml:space="preserve">decimal places </w:t>
      </w:r>
      <w:r w:rsidRPr="00B275E2">
        <w:t xml:space="preserve">unless the number is significantly small. </w:t>
      </w:r>
      <w:bookmarkStart w:id="476" w:name="_Ref532762895"/>
    </w:p>
    <w:p w14:paraId="0F34C508" w14:textId="392F660E" w:rsidR="00321271" w:rsidRPr="00321271" w:rsidRDefault="00321271" w:rsidP="007C3BFC">
      <w:pPr>
        <w:pStyle w:val="BodyText"/>
        <w:keepNext/>
      </w:pPr>
      <w:r w:rsidRPr="00B34BB5">
        <w:t xml:space="preserve">Table </w:t>
      </w:r>
      <w:r w:rsidR="00521227">
        <w:t>59</w:t>
      </w:r>
      <w:r w:rsidRPr="00B34BB5">
        <w:t xml:space="preserve"> contains the default emission factors for heavy goods vehicles, based on a pre-2010 fleet and a gross vehicle mass of &lt;7500 kg. </w:t>
      </w:r>
    </w:p>
    <w:p w14:paraId="07C81BFB" w14:textId="32F41489" w:rsidR="00A55149" w:rsidRPr="00B275E2" w:rsidRDefault="00EB4389" w:rsidP="008E713C">
      <w:pPr>
        <w:pStyle w:val="Tableheading"/>
      </w:pPr>
      <w:bookmarkStart w:id="477" w:name="_Toc111536664"/>
      <w:bookmarkEnd w:id="476"/>
      <w:r w:rsidRPr="00B275E2">
        <w:t xml:space="preserve">Table </w:t>
      </w:r>
      <w:r w:rsidRPr="00B275E2">
        <w:fldChar w:fldCharType="begin"/>
      </w:r>
      <w:r w:rsidRPr="00B275E2">
        <w:instrText>SEQ Table \* ARABIC</w:instrText>
      </w:r>
      <w:r w:rsidRPr="00B275E2">
        <w:fldChar w:fldCharType="separate"/>
      </w:r>
      <w:r>
        <w:rPr>
          <w:noProof/>
        </w:rPr>
        <w:t>59</w:t>
      </w:r>
      <w:r w:rsidRPr="00B275E2">
        <w:fldChar w:fldCharType="end"/>
      </w:r>
      <w:r w:rsidRPr="00B275E2">
        <w:t>:</w:t>
      </w:r>
      <w:r w:rsidRPr="00B275E2">
        <w:tab/>
      </w:r>
      <w:r w:rsidR="00A55149" w:rsidRPr="00B275E2">
        <w:t>Default emission factors for heavy goods vehicles</w:t>
      </w:r>
      <w:bookmarkEnd w:id="477"/>
    </w:p>
    <w:tbl>
      <w:tblPr>
        <w:tblStyle w:val="LightList-Accent11"/>
        <w:tblW w:w="8618" w:type="dxa"/>
        <w:tblBorders>
          <w:top w:val="single" w:sz="4" w:space="0" w:color="1B556B"/>
          <w:bottom w:val="single" w:sz="4" w:space="0" w:color="1B556B"/>
          <w:insideH w:val="single" w:sz="4" w:space="0" w:color="1B556B"/>
          <w:insideV w:val="single" w:sz="4" w:space="0" w:color="1B556B"/>
        </w:tblBorders>
        <w:tblLook w:val="04A0" w:firstRow="1" w:lastRow="0" w:firstColumn="1" w:lastColumn="0" w:noHBand="0" w:noVBand="1"/>
      </w:tblPr>
      <w:tblGrid>
        <w:gridCol w:w="3175"/>
        <w:gridCol w:w="737"/>
        <w:gridCol w:w="1275"/>
        <w:gridCol w:w="1134"/>
        <w:gridCol w:w="1134"/>
        <w:gridCol w:w="1247"/>
      </w:tblGrid>
      <w:tr w:rsidR="00A67995" w:rsidRPr="00B275E2" w14:paraId="24AD1E18" w14:textId="77777777" w:rsidTr="00081567">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175" w:type="dxa"/>
            <w:noWrap/>
            <w:vAlign w:val="bottom"/>
            <w:hideMark/>
          </w:tcPr>
          <w:p w14:paraId="55C62D18" w14:textId="77777777" w:rsidR="00946B6F" w:rsidRPr="00B275E2" w:rsidRDefault="00946B6F" w:rsidP="007F0B1E">
            <w:pPr>
              <w:pStyle w:val="TableText"/>
            </w:pPr>
            <w:r w:rsidRPr="00B275E2">
              <w:t>Emission source</w:t>
            </w:r>
          </w:p>
        </w:tc>
        <w:tc>
          <w:tcPr>
            <w:tcW w:w="737" w:type="dxa"/>
            <w:noWrap/>
            <w:vAlign w:val="bottom"/>
            <w:hideMark/>
          </w:tcPr>
          <w:p w14:paraId="2EBCC497" w14:textId="77777777" w:rsidR="00946B6F" w:rsidRPr="00B275E2" w:rsidRDefault="00946B6F" w:rsidP="007F0B1E">
            <w:pPr>
              <w:pStyle w:val="TableText"/>
              <w:cnfStyle w:val="100000000000" w:firstRow="1" w:lastRow="0" w:firstColumn="0" w:lastColumn="0" w:oddVBand="0" w:evenVBand="0" w:oddHBand="0" w:evenHBand="0" w:firstRowFirstColumn="0" w:firstRowLastColumn="0" w:lastRowFirstColumn="0" w:lastRowLastColumn="0"/>
            </w:pPr>
            <w:r w:rsidRPr="00B275E2">
              <w:t>Unit</w:t>
            </w:r>
          </w:p>
        </w:tc>
        <w:tc>
          <w:tcPr>
            <w:tcW w:w="1275" w:type="dxa"/>
            <w:shd w:val="clear" w:color="auto" w:fill="D2DDE1" w:themeFill="background2"/>
            <w:noWrap/>
            <w:vAlign w:val="bottom"/>
            <w:hideMark/>
          </w:tcPr>
          <w:p w14:paraId="1ACEAAA7" w14:textId="12D269DF" w:rsidR="00946B6F" w:rsidRPr="00B275E2" w:rsidRDefault="00946B6F" w:rsidP="007F0B1E">
            <w:pPr>
              <w:pStyle w:val="TableText"/>
              <w:jc w:val="right"/>
              <w:cnfStyle w:val="100000000000" w:firstRow="1" w:lastRow="0" w:firstColumn="0" w:lastColumn="0" w:oddVBand="0" w:evenVBand="0" w:oddHBand="0" w:evenHBand="0" w:firstRowFirstColumn="0" w:firstRowLastColumn="0" w:lastRowFirstColumn="0" w:lastRowLastColumn="0"/>
              <w:rPr>
                <w:color w:val="auto"/>
              </w:rPr>
            </w:pPr>
            <w:r w:rsidRPr="00B275E2">
              <w:rPr>
                <w:color w:val="auto"/>
              </w:rPr>
              <w:t>kg CO</w:t>
            </w:r>
            <w:r w:rsidRPr="00B275E2">
              <w:rPr>
                <w:color w:val="auto"/>
                <w:vertAlign w:val="subscript"/>
              </w:rPr>
              <w:t>2</w:t>
            </w:r>
            <w:r w:rsidRPr="00B275E2">
              <w:rPr>
                <w:color w:val="auto"/>
              </w:rPr>
              <w:t>-e/unit</w:t>
            </w:r>
          </w:p>
        </w:tc>
        <w:tc>
          <w:tcPr>
            <w:tcW w:w="1134" w:type="dxa"/>
            <w:noWrap/>
            <w:vAlign w:val="bottom"/>
            <w:hideMark/>
          </w:tcPr>
          <w:p w14:paraId="05757B53" w14:textId="51C536BD" w:rsidR="00946B6F" w:rsidRPr="00B275E2" w:rsidRDefault="00946B6F" w:rsidP="007F0B1E">
            <w:pPr>
              <w:pStyle w:val="TableText"/>
              <w:jc w:val="right"/>
              <w:cnfStyle w:val="100000000000" w:firstRow="1" w:lastRow="0" w:firstColumn="0" w:lastColumn="0" w:oddVBand="0" w:evenVBand="0" w:oddHBand="0" w:evenHBand="0" w:firstRowFirstColumn="0" w:firstRowLastColumn="0" w:lastRowFirstColumn="0" w:lastRowLastColumn="0"/>
            </w:pPr>
            <w:r w:rsidRPr="00B275E2">
              <w:t>kg CO</w:t>
            </w:r>
            <w:r w:rsidRPr="00B275E2">
              <w:rPr>
                <w:vertAlign w:val="subscript"/>
              </w:rPr>
              <w:t>2</w:t>
            </w:r>
            <w:r w:rsidRPr="00B275E2">
              <w:t>/unit</w:t>
            </w:r>
            <w:r w:rsidR="00A67995" w:rsidRPr="00B275E2">
              <w:t xml:space="preserve"> </w:t>
            </w:r>
            <w:r w:rsidR="00A67995" w:rsidRPr="00B275E2">
              <w:br/>
              <w:t>(kg CO</w:t>
            </w:r>
            <w:r w:rsidR="00A67995" w:rsidRPr="00B275E2">
              <w:rPr>
                <w:vertAlign w:val="subscript"/>
              </w:rPr>
              <w:t>2</w:t>
            </w:r>
            <w:r w:rsidR="00A67995" w:rsidRPr="00B275E2">
              <w:noBreakHyphen/>
              <w:t>e)</w:t>
            </w:r>
          </w:p>
        </w:tc>
        <w:tc>
          <w:tcPr>
            <w:tcW w:w="1134" w:type="dxa"/>
            <w:noWrap/>
            <w:vAlign w:val="bottom"/>
            <w:hideMark/>
          </w:tcPr>
          <w:p w14:paraId="0708CA8A" w14:textId="4141F1EF" w:rsidR="00946B6F" w:rsidRPr="00B275E2" w:rsidRDefault="00A67995" w:rsidP="007F0B1E">
            <w:pPr>
              <w:pStyle w:val="TableText"/>
              <w:jc w:val="right"/>
              <w:cnfStyle w:val="100000000000" w:firstRow="1" w:lastRow="0" w:firstColumn="0" w:lastColumn="0" w:oddVBand="0" w:evenVBand="0" w:oddHBand="0" w:evenHBand="0" w:firstRowFirstColumn="0" w:firstRowLastColumn="0" w:lastRowFirstColumn="0" w:lastRowLastColumn="0"/>
            </w:pPr>
            <w:r w:rsidRPr="00B275E2">
              <w:t xml:space="preserve">kg </w:t>
            </w:r>
            <w:r w:rsidR="00946B6F" w:rsidRPr="00B275E2">
              <w:t>CH</w:t>
            </w:r>
            <w:r w:rsidR="00946B6F" w:rsidRPr="00B275E2">
              <w:rPr>
                <w:vertAlign w:val="subscript"/>
              </w:rPr>
              <w:t>4</w:t>
            </w:r>
            <w:r w:rsidRPr="00B275E2">
              <w:t>/unit</w:t>
            </w:r>
            <w:r w:rsidR="00946B6F" w:rsidRPr="00B275E2">
              <w:t xml:space="preserve"> </w:t>
            </w:r>
            <w:r w:rsidRPr="00B275E2">
              <w:br/>
            </w:r>
            <w:r w:rsidR="00946B6F" w:rsidRPr="00B275E2">
              <w:t>(kg CO</w:t>
            </w:r>
            <w:r w:rsidR="00946B6F" w:rsidRPr="00B275E2">
              <w:rPr>
                <w:vertAlign w:val="subscript"/>
              </w:rPr>
              <w:t>2</w:t>
            </w:r>
            <w:r w:rsidR="00946B6F" w:rsidRPr="00B275E2">
              <w:noBreakHyphen/>
              <w:t>e)</w:t>
            </w:r>
          </w:p>
        </w:tc>
        <w:tc>
          <w:tcPr>
            <w:tcW w:w="1247" w:type="dxa"/>
            <w:noWrap/>
            <w:vAlign w:val="bottom"/>
            <w:hideMark/>
          </w:tcPr>
          <w:p w14:paraId="774ECA20" w14:textId="313F6D85" w:rsidR="00946B6F" w:rsidRPr="00B275E2" w:rsidRDefault="00A67995" w:rsidP="007F0B1E">
            <w:pPr>
              <w:pStyle w:val="TableText"/>
              <w:jc w:val="right"/>
              <w:cnfStyle w:val="100000000000" w:firstRow="1" w:lastRow="0" w:firstColumn="0" w:lastColumn="0" w:oddVBand="0" w:evenVBand="0" w:oddHBand="0" w:evenHBand="0" w:firstRowFirstColumn="0" w:firstRowLastColumn="0" w:lastRowFirstColumn="0" w:lastRowLastColumn="0"/>
            </w:pPr>
            <w:r w:rsidRPr="00B275E2">
              <w:t xml:space="preserve">kg </w:t>
            </w:r>
            <w:r w:rsidR="00946B6F" w:rsidRPr="00B275E2">
              <w:t>N</w:t>
            </w:r>
            <w:r w:rsidR="00946B6F" w:rsidRPr="00B275E2">
              <w:rPr>
                <w:vertAlign w:val="subscript"/>
              </w:rPr>
              <w:t>2</w:t>
            </w:r>
            <w:r w:rsidR="00946B6F" w:rsidRPr="00B275E2">
              <w:t>O</w:t>
            </w:r>
            <w:r w:rsidRPr="00B275E2">
              <w:t>/unit</w:t>
            </w:r>
            <w:r w:rsidR="00946B6F" w:rsidRPr="00B275E2">
              <w:t xml:space="preserve"> </w:t>
            </w:r>
            <w:r w:rsidRPr="00B275E2">
              <w:br/>
            </w:r>
            <w:r w:rsidR="00946B6F" w:rsidRPr="00B275E2">
              <w:t>(kg CO</w:t>
            </w:r>
            <w:r w:rsidR="00946B6F" w:rsidRPr="00B275E2">
              <w:rPr>
                <w:vertAlign w:val="subscript"/>
              </w:rPr>
              <w:t>2</w:t>
            </w:r>
            <w:r w:rsidRPr="00B275E2">
              <w:noBreakHyphen/>
              <w:t>e)</w:t>
            </w:r>
          </w:p>
        </w:tc>
      </w:tr>
      <w:tr w:rsidR="00A67995" w:rsidRPr="00B275E2" w14:paraId="1382421A" w14:textId="77777777" w:rsidTr="009739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75" w:type="dxa"/>
            <w:tcBorders>
              <w:left w:val="single" w:sz="4" w:space="0" w:color="FFFFFF" w:themeColor="background1"/>
            </w:tcBorders>
          </w:tcPr>
          <w:p w14:paraId="20684AEC" w14:textId="79BDEB2E" w:rsidR="00D2137A" w:rsidRPr="00B275E2" w:rsidRDefault="00D2137A" w:rsidP="007F0B1E">
            <w:pPr>
              <w:pStyle w:val="TableText"/>
              <w:rPr>
                <w:b w:val="0"/>
              </w:rPr>
            </w:pPr>
            <w:r w:rsidRPr="00B275E2">
              <w:rPr>
                <w:b w:val="0"/>
              </w:rPr>
              <w:t>HGV diesel</w:t>
            </w:r>
          </w:p>
        </w:tc>
        <w:tc>
          <w:tcPr>
            <w:tcW w:w="737" w:type="dxa"/>
            <w:noWrap/>
          </w:tcPr>
          <w:p w14:paraId="5C0F0F28" w14:textId="0342F909" w:rsidR="00D2137A" w:rsidRPr="00B275E2" w:rsidRDefault="00D2137A" w:rsidP="007F0B1E">
            <w:pPr>
              <w:pStyle w:val="TableText"/>
              <w:cnfStyle w:val="000000100000" w:firstRow="0" w:lastRow="0" w:firstColumn="0" w:lastColumn="0" w:oddVBand="0" w:evenVBand="0" w:oddHBand="1" w:evenHBand="0" w:firstRowFirstColumn="0" w:firstRowLastColumn="0" w:lastRowFirstColumn="0" w:lastRowLastColumn="0"/>
            </w:pPr>
            <w:r w:rsidRPr="00B275E2">
              <w:t>km</w:t>
            </w:r>
          </w:p>
        </w:tc>
        <w:tc>
          <w:tcPr>
            <w:tcW w:w="1275" w:type="dxa"/>
            <w:shd w:val="clear" w:color="auto" w:fill="D2DDE1" w:themeFill="background2"/>
            <w:noWrap/>
          </w:tcPr>
          <w:p w14:paraId="48C5600D" w14:textId="1B6F1C60" w:rsidR="00D2137A" w:rsidRPr="00B275E2" w:rsidRDefault="00D2137A" w:rsidP="007F0B1E">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0.480</w:t>
            </w:r>
          </w:p>
        </w:tc>
        <w:tc>
          <w:tcPr>
            <w:tcW w:w="1134" w:type="dxa"/>
            <w:shd w:val="clear" w:color="auto" w:fill="auto"/>
            <w:noWrap/>
          </w:tcPr>
          <w:p w14:paraId="5702A97D" w14:textId="10A05D07" w:rsidR="00D2137A" w:rsidRPr="00B275E2" w:rsidRDefault="00D2137A" w:rsidP="007F0B1E">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0.472</w:t>
            </w:r>
          </w:p>
        </w:tc>
        <w:tc>
          <w:tcPr>
            <w:tcW w:w="1134" w:type="dxa"/>
            <w:shd w:val="clear" w:color="auto" w:fill="auto"/>
            <w:noWrap/>
          </w:tcPr>
          <w:p w14:paraId="1C2D074A" w14:textId="731D9A53" w:rsidR="00D2137A" w:rsidRPr="00B275E2" w:rsidRDefault="00D2137A" w:rsidP="007F0B1E">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0.001</w:t>
            </w:r>
          </w:p>
        </w:tc>
        <w:tc>
          <w:tcPr>
            <w:tcW w:w="1247" w:type="dxa"/>
            <w:tcBorders>
              <w:right w:val="single" w:sz="4" w:space="0" w:color="FFFFFF" w:themeColor="background1"/>
            </w:tcBorders>
            <w:shd w:val="clear" w:color="auto" w:fill="auto"/>
            <w:noWrap/>
          </w:tcPr>
          <w:p w14:paraId="067D646C" w14:textId="51B6589D" w:rsidR="00D2137A" w:rsidRPr="00B275E2" w:rsidRDefault="00D2137A" w:rsidP="007F0B1E">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0.008</w:t>
            </w:r>
          </w:p>
        </w:tc>
      </w:tr>
      <w:tr w:rsidR="00A67995" w:rsidRPr="00B275E2" w14:paraId="07FAB34F" w14:textId="77777777" w:rsidTr="0097399D">
        <w:trPr>
          <w:trHeight w:val="300"/>
        </w:trPr>
        <w:tc>
          <w:tcPr>
            <w:cnfStyle w:val="001000000000" w:firstRow="0" w:lastRow="0" w:firstColumn="1" w:lastColumn="0" w:oddVBand="0" w:evenVBand="0" w:oddHBand="0" w:evenHBand="0" w:firstRowFirstColumn="0" w:firstRowLastColumn="0" w:lastRowFirstColumn="0" w:lastRowLastColumn="0"/>
            <w:tcW w:w="3175" w:type="dxa"/>
            <w:tcBorders>
              <w:left w:val="single" w:sz="4" w:space="0" w:color="FFFFFF" w:themeColor="background1"/>
            </w:tcBorders>
          </w:tcPr>
          <w:p w14:paraId="053AFAFF" w14:textId="559BF9B8" w:rsidR="00D2137A" w:rsidRPr="00B275E2" w:rsidRDefault="00D2137A" w:rsidP="007F0B1E">
            <w:pPr>
              <w:pStyle w:val="TableText"/>
              <w:rPr>
                <w:b w:val="0"/>
              </w:rPr>
            </w:pPr>
            <w:r w:rsidRPr="00B275E2">
              <w:rPr>
                <w:b w:val="0"/>
              </w:rPr>
              <w:t>HGV diesel hybrid</w:t>
            </w:r>
          </w:p>
        </w:tc>
        <w:tc>
          <w:tcPr>
            <w:tcW w:w="737" w:type="dxa"/>
            <w:noWrap/>
          </w:tcPr>
          <w:p w14:paraId="42BBC15C" w14:textId="4FE05241" w:rsidR="00D2137A" w:rsidRPr="00B275E2" w:rsidRDefault="00D2137A" w:rsidP="007F0B1E">
            <w:pPr>
              <w:pStyle w:val="TableText"/>
              <w:cnfStyle w:val="000000000000" w:firstRow="0" w:lastRow="0" w:firstColumn="0" w:lastColumn="0" w:oddVBand="0" w:evenVBand="0" w:oddHBand="0" w:evenHBand="0" w:firstRowFirstColumn="0" w:firstRowLastColumn="0" w:lastRowFirstColumn="0" w:lastRowLastColumn="0"/>
            </w:pPr>
            <w:r w:rsidRPr="00B275E2">
              <w:t>km</w:t>
            </w:r>
          </w:p>
        </w:tc>
        <w:tc>
          <w:tcPr>
            <w:tcW w:w="1275" w:type="dxa"/>
            <w:shd w:val="clear" w:color="auto" w:fill="D2DDE1" w:themeFill="background2"/>
            <w:noWrap/>
          </w:tcPr>
          <w:p w14:paraId="37F5AD28" w14:textId="5B725F9E" w:rsidR="00D2137A" w:rsidRPr="00B275E2" w:rsidRDefault="00D2137A" w:rsidP="007F0B1E">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0.387</w:t>
            </w:r>
          </w:p>
        </w:tc>
        <w:tc>
          <w:tcPr>
            <w:tcW w:w="1134" w:type="dxa"/>
            <w:shd w:val="clear" w:color="auto" w:fill="auto"/>
            <w:noWrap/>
          </w:tcPr>
          <w:p w14:paraId="67009CFD" w14:textId="4DCB0F68" w:rsidR="00D2137A" w:rsidRPr="00B275E2" w:rsidRDefault="00D2137A" w:rsidP="007F0B1E">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0.380</w:t>
            </w:r>
          </w:p>
        </w:tc>
        <w:tc>
          <w:tcPr>
            <w:tcW w:w="1134" w:type="dxa"/>
            <w:shd w:val="clear" w:color="auto" w:fill="auto"/>
            <w:noWrap/>
          </w:tcPr>
          <w:p w14:paraId="1D937E5D" w14:textId="021AEEEA" w:rsidR="00D2137A" w:rsidRPr="00B275E2" w:rsidRDefault="00D2137A" w:rsidP="007F0B1E">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0.0005</w:t>
            </w:r>
          </w:p>
        </w:tc>
        <w:tc>
          <w:tcPr>
            <w:tcW w:w="1247" w:type="dxa"/>
            <w:tcBorders>
              <w:right w:val="single" w:sz="4" w:space="0" w:color="FFFFFF" w:themeColor="background1"/>
            </w:tcBorders>
            <w:shd w:val="clear" w:color="auto" w:fill="auto"/>
            <w:noWrap/>
          </w:tcPr>
          <w:p w14:paraId="3E637134" w14:textId="5E4C2A39" w:rsidR="00D2137A" w:rsidRPr="00B275E2" w:rsidRDefault="00D2137A" w:rsidP="007F0B1E">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0.006</w:t>
            </w:r>
          </w:p>
        </w:tc>
      </w:tr>
    </w:tbl>
    <w:p w14:paraId="6103D32B" w14:textId="2D2946EE" w:rsidR="007D475D" w:rsidRPr="00B275E2" w:rsidRDefault="007D475D" w:rsidP="007F0B1E">
      <w:pPr>
        <w:pStyle w:val="Note"/>
      </w:pPr>
      <w:r w:rsidRPr="00B275E2">
        <w:t>Note</w:t>
      </w:r>
      <w:r w:rsidR="00542171" w:rsidRPr="00B275E2">
        <w:t>: T</w:t>
      </w:r>
      <w:r w:rsidRPr="00B275E2">
        <w:t xml:space="preserve">hese numbers are rounded to three </w:t>
      </w:r>
      <w:r w:rsidR="002011A6" w:rsidRPr="00B275E2">
        <w:t xml:space="preserve">decimal places </w:t>
      </w:r>
      <w:r w:rsidRPr="00B275E2">
        <w:t xml:space="preserve">unless the number is significantly small. </w:t>
      </w:r>
    </w:p>
    <w:p w14:paraId="4E622FE0" w14:textId="7B4ACB3C" w:rsidR="0083579E" w:rsidRPr="00B275E2" w:rsidRDefault="00B54FF5" w:rsidP="007F0B1E">
      <w:pPr>
        <w:pStyle w:val="BodyText"/>
      </w:pPr>
      <w:r w:rsidRPr="00B275E2">
        <w:t xml:space="preserve">Table </w:t>
      </w:r>
      <w:r w:rsidR="00C83928" w:rsidRPr="00B275E2">
        <w:t>6</w:t>
      </w:r>
      <w:r w:rsidR="00521227">
        <w:t>0</w:t>
      </w:r>
      <w:r w:rsidR="00404486" w:rsidRPr="00B275E2">
        <w:t xml:space="preserve"> contains emission factors for freighting goods.</w:t>
      </w:r>
    </w:p>
    <w:p w14:paraId="69181A27" w14:textId="27D38855" w:rsidR="004C3735" w:rsidRPr="00B275E2" w:rsidRDefault="004C3735" w:rsidP="007F0B1E">
      <w:pPr>
        <w:pStyle w:val="BodyText"/>
      </w:pPr>
      <w:r w:rsidRPr="00B275E2">
        <w:rPr>
          <w:rFonts w:cs="Calibri"/>
          <w:shd w:val="clear" w:color="auto" w:fill="FFFFFF"/>
        </w:rPr>
        <w:t>The tkm emission factor should be used where there is a mixed consignment on the same truck.</w:t>
      </w:r>
    </w:p>
    <w:p w14:paraId="6509289A" w14:textId="1B27FC8C" w:rsidR="00EC122D" w:rsidRPr="00B275E2" w:rsidRDefault="00EB4389" w:rsidP="008E713C">
      <w:pPr>
        <w:pStyle w:val="Tableheading"/>
      </w:pPr>
      <w:bookmarkStart w:id="478" w:name="_Toc111536665"/>
      <w:r w:rsidRPr="00B275E2">
        <w:t xml:space="preserve">Table </w:t>
      </w:r>
      <w:r w:rsidRPr="00B275E2">
        <w:fldChar w:fldCharType="begin"/>
      </w:r>
      <w:r w:rsidRPr="00B275E2">
        <w:instrText>SEQ Table \* ARABIC</w:instrText>
      </w:r>
      <w:r w:rsidRPr="00B275E2">
        <w:fldChar w:fldCharType="separate"/>
      </w:r>
      <w:r>
        <w:rPr>
          <w:noProof/>
        </w:rPr>
        <w:t>60</w:t>
      </w:r>
      <w:r w:rsidRPr="00B275E2">
        <w:fldChar w:fldCharType="end"/>
      </w:r>
      <w:r w:rsidRPr="00B275E2">
        <w:t>:</w:t>
      </w:r>
      <w:r w:rsidRPr="00B275E2">
        <w:tab/>
      </w:r>
      <w:r w:rsidR="00EC122D" w:rsidRPr="00B275E2">
        <w:t>Emission factors for freighting goods</w:t>
      </w:r>
      <w:r w:rsidR="00660F9F" w:rsidRPr="00B275E2">
        <w:t xml:space="preserve"> by road</w:t>
      </w:r>
      <w:bookmarkEnd w:id="478"/>
    </w:p>
    <w:tbl>
      <w:tblPr>
        <w:tblStyle w:val="LightList-Accent11"/>
        <w:tblW w:w="8674" w:type="dxa"/>
        <w:tblBorders>
          <w:top w:val="single" w:sz="4" w:space="0" w:color="1B556B"/>
          <w:bottom w:val="single" w:sz="4" w:space="0" w:color="1B556B"/>
          <w:insideH w:val="single" w:sz="4" w:space="0" w:color="1B556B"/>
          <w:insideV w:val="single" w:sz="4" w:space="0" w:color="1B556B"/>
        </w:tblBorders>
        <w:tblLook w:val="04A0" w:firstRow="1" w:lastRow="0" w:firstColumn="1" w:lastColumn="0" w:noHBand="0" w:noVBand="1"/>
      </w:tblPr>
      <w:tblGrid>
        <w:gridCol w:w="3193"/>
        <w:gridCol w:w="684"/>
        <w:gridCol w:w="1255"/>
        <w:gridCol w:w="1141"/>
        <w:gridCol w:w="1141"/>
        <w:gridCol w:w="1260"/>
      </w:tblGrid>
      <w:tr w:rsidR="00946B6F" w:rsidRPr="00B275E2" w14:paraId="650928A1" w14:textId="77777777" w:rsidTr="00A555D9">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175" w:type="dxa"/>
            <w:noWrap/>
            <w:vAlign w:val="bottom"/>
            <w:hideMark/>
          </w:tcPr>
          <w:p w14:paraId="6509289B" w14:textId="77777777" w:rsidR="00946B6F" w:rsidRPr="00B275E2" w:rsidRDefault="00946B6F" w:rsidP="007F0B1E">
            <w:pPr>
              <w:pStyle w:val="TableText"/>
            </w:pPr>
            <w:r w:rsidRPr="00B275E2">
              <w:t>Emission source</w:t>
            </w:r>
          </w:p>
        </w:tc>
        <w:tc>
          <w:tcPr>
            <w:tcW w:w="680" w:type="dxa"/>
            <w:noWrap/>
            <w:vAlign w:val="bottom"/>
            <w:hideMark/>
          </w:tcPr>
          <w:p w14:paraId="6509289C" w14:textId="77777777" w:rsidR="00946B6F" w:rsidRPr="00B275E2" w:rsidRDefault="00946B6F" w:rsidP="007F0B1E">
            <w:pPr>
              <w:pStyle w:val="TableText"/>
              <w:cnfStyle w:val="100000000000" w:firstRow="1" w:lastRow="0" w:firstColumn="0" w:lastColumn="0" w:oddVBand="0" w:evenVBand="0" w:oddHBand="0" w:evenHBand="0" w:firstRowFirstColumn="0" w:firstRowLastColumn="0" w:lastRowFirstColumn="0" w:lastRowLastColumn="0"/>
            </w:pPr>
            <w:r w:rsidRPr="00B275E2">
              <w:t>Unit</w:t>
            </w:r>
          </w:p>
        </w:tc>
        <w:tc>
          <w:tcPr>
            <w:tcW w:w="1247" w:type="dxa"/>
            <w:shd w:val="clear" w:color="auto" w:fill="D2DDE1" w:themeFill="background2"/>
            <w:noWrap/>
            <w:vAlign w:val="bottom"/>
            <w:hideMark/>
          </w:tcPr>
          <w:p w14:paraId="6509289D" w14:textId="76DEC2E2" w:rsidR="00946B6F" w:rsidRPr="00B275E2" w:rsidRDefault="00946B6F" w:rsidP="007F0B1E">
            <w:pPr>
              <w:pStyle w:val="TableText"/>
              <w:jc w:val="right"/>
              <w:cnfStyle w:val="100000000000" w:firstRow="1" w:lastRow="0" w:firstColumn="0" w:lastColumn="0" w:oddVBand="0" w:evenVBand="0" w:oddHBand="0" w:evenHBand="0" w:firstRowFirstColumn="0" w:firstRowLastColumn="0" w:lastRowFirstColumn="0" w:lastRowLastColumn="0"/>
              <w:rPr>
                <w:color w:val="auto"/>
              </w:rPr>
            </w:pPr>
            <w:r w:rsidRPr="00B275E2">
              <w:rPr>
                <w:color w:val="auto"/>
              </w:rPr>
              <w:t>kg CO</w:t>
            </w:r>
            <w:r w:rsidRPr="00B275E2">
              <w:rPr>
                <w:color w:val="auto"/>
                <w:vertAlign w:val="subscript"/>
              </w:rPr>
              <w:t>2</w:t>
            </w:r>
            <w:r w:rsidRPr="00B275E2">
              <w:rPr>
                <w:color w:val="auto"/>
              </w:rPr>
              <w:t>-e/unit</w:t>
            </w:r>
          </w:p>
        </w:tc>
        <w:tc>
          <w:tcPr>
            <w:tcW w:w="1134" w:type="dxa"/>
            <w:noWrap/>
            <w:vAlign w:val="bottom"/>
            <w:hideMark/>
          </w:tcPr>
          <w:p w14:paraId="6509289E" w14:textId="6B26F777" w:rsidR="00946B6F" w:rsidRPr="00B275E2" w:rsidRDefault="00A67995" w:rsidP="007F0B1E">
            <w:pPr>
              <w:pStyle w:val="TableText"/>
              <w:jc w:val="right"/>
              <w:cnfStyle w:val="100000000000" w:firstRow="1" w:lastRow="0" w:firstColumn="0" w:lastColumn="0" w:oddVBand="0" w:evenVBand="0" w:oddHBand="0" w:evenHBand="0" w:firstRowFirstColumn="0" w:firstRowLastColumn="0" w:lastRowFirstColumn="0" w:lastRowLastColumn="0"/>
            </w:pPr>
            <w:r w:rsidRPr="00B275E2">
              <w:t>kg CO</w:t>
            </w:r>
            <w:r w:rsidRPr="00B275E2">
              <w:rPr>
                <w:vertAlign w:val="subscript"/>
              </w:rPr>
              <w:t>2</w:t>
            </w:r>
            <w:r w:rsidRPr="00B275E2">
              <w:t xml:space="preserve">/unit </w:t>
            </w:r>
            <w:r w:rsidRPr="00B275E2">
              <w:br/>
              <w:t>(kg CO</w:t>
            </w:r>
            <w:r w:rsidRPr="00B275E2">
              <w:rPr>
                <w:vertAlign w:val="subscript"/>
              </w:rPr>
              <w:t>2</w:t>
            </w:r>
            <w:r w:rsidRPr="00B275E2">
              <w:noBreakHyphen/>
              <w:t>e)</w:t>
            </w:r>
          </w:p>
        </w:tc>
        <w:tc>
          <w:tcPr>
            <w:tcW w:w="1134" w:type="dxa"/>
            <w:noWrap/>
            <w:vAlign w:val="bottom"/>
            <w:hideMark/>
          </w:tcPr>
          <w:p w14:paraId="6509289F" w14:textId="24E5D014" w:rsidR="00946B6F" w:rsidRPr="00B275E2" w:rsidRDefault="00A67995" w:rsidP="007F0B1E">
            <w:pPr>
              <w:pStyle w:val="TableText"/>
              <w:jc w:val="right"/>
              <w:cnfStyle w:val="100000000000" w:firstRow="1" w:lastRow="0" w:firstColumn="0" w:lastColumn="0" w:oddVBand="0" w:evenVBand="0" w:oddHBand="0" w:evenHBand="0" w:firstRowFirstColumn="0" w:firstRowLastColumn="0" w:lastRowFirstColumn="0" w:lastRowLastColumn="0"/>
            </w:pPr>
            <w:r w:rsidRPr="00B275E2">
              <w:t>kg CH</w:t>
            </w:r>
            <w:r w:rsidRPr="00B275E2">
              <w:rPr>
                <w:vertAlign w:val="subscript"/>
              </w:rPr>
              <w:t>4</w:t>
            </w:r>
            <w:r w:rsidRPr="00B275E2">
              <w:t xml:space="preserve">/unit </w:t>
            </w:r>
            <w:r w:rsidRPr="00B275E2">
              <w:br/>
              <w:t>(kg CO</w:t>
            </w:r>
            <w:r w:rsidRPr="00B275E2">
              <w:rPr>
                <w:vertAlign w:val="subscript"/>
              </w:rPr>
              <w:t>2</w:t>
            </w:r>
            <w:r w:rsidRPr="00B275E2">
              <w:noBreakHyphen/>
              <w:t>e)</w:t>
            </w:r>
          </w:p>
        </w:tc>
        <w:tc>
          <w:tcPr>
            <w:tcW w:w="1252" w:type="dxa"/>
            <w:noWrap/>
            <w:vAlign w:val="bottom"/>
            <w:hideMark/>
          </w:tcPr>
          <w:p w14:paraId="650928A0" w14:textId="6A276E3E" w:rsidR="00946B6F" w:rsidRPr="00B275E2" w:rsidRDefault="00A67995" w:rsidP="007F0B1E">
            <w:pPr>
              <w:pStyle w:val="TableText"/>
              <w:jc w:val="right"/>
              <w:cnfStyle w:val="100000000000" w:firstRow="1" w:lastRow="0" w:firstColumn="0" w:lastColumn="0" w:oddVBand="0" w:evenVBand="0" w:oddHBand="0" w:evenHBand="0" w:firstRowFirstColumn="0" w:firstRowLastColumn="0" w:lastRowFirstColumn="0" w:lastRowLastColumn="0"/>
            </w:pPr>
            <w:r w:rsidRPr="00B275E2">
              <w:t>kg N</w:t>
            </w:r>
            <w:r w:rsidRPr="00B275E2">
              <w:rPr>
                <w:vertAlign w:val="subscript"/>
              </w:rPr>
              <w:t>2</w:t>
            </w:r>
            <w:r w:rsidRPr="00B275E2">
              <w:t xml:space="preserve">O/unit </w:t>
            </w:r>
            <w:r w:rsidRPr="00B275E2">
              <w:br/>
              <w:t>(kg CO</w:t>
            </w:r>
            <w:r w:rsidRPr="00B275E2">
              <w:rPr>
                <w:vertAlign w:val="subscript"/>
              </w:rPr>
              <w:t>2</w:t>
            </w:r>
            <w:r w:rsidRPr="00B275E2">
              <w:noBreakHyphen/>
              <w:t>e)</w:t>
            </w:r>
          </w:p>
        </w:tc>
      </w:tr>
      <w:tr w:rsidR="00832CD0" w:rsidRPr="00B275E2" w14:paraId="650928A8" w14:textId="77777777" w:rsidTr="009739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75" w:type="dxa"/>
            <w:tcBorders>
              <w:left w:val="single" w:sz="4" w:space="0" w:color="FFFFFF" w:themeColor="background1"/>
            </w:tcBorders>
            <w:shd w:val="clear" w:color="auto" w:fill="auto"/>
            <w:vAlign w:val="bottom"/>
          </w:tcPr>
          <w:p w14:paraId="650928A2" w14:textId="7360F64E" w:rsidR="00832CD0" w:rsidRPr="00B275E2" w:rsidRDefault="00832CD0" w:rsidP="007F0B1E">
            <w:pPr>
              <w:pStyle w:val="TableText"/>
              <w:rPr>
                <w:b w:val="0"/>
                <w:bCs w:val="0"/>
                <w:szCs w:val="18"/>
              </w:rPr>
            </w:pPr>
            <w:r w:rsidRPr="00B275E2">
              <w:rPr>
                <w:rFonts w:cs="Calibri"/>
                <w:b w:val="0"/>
                <w:bCs w:val="0"/>
                <w:color w:val="000000"/>
                <w:szCs w:val="18"/>
              </w:rPr>
              <w:t>Long-haul heavy truck</w:t>
            </w:r>
          </w:p>
        </w:tc>
        <w:tc>
          <w:tcPr>
            <w:tcW w:w="680" w:type="dxa"/>
            <w:noWrap/>
          </w:tcPr>
          <w:p w14:paraId="650928A3" w14:textId="49058AD9" w:rsidR="00832CD0" w:rsidRPr="00B275E2" w:rsidRDefault="00832CD0" w:rsidP="007F0B1E">
            <w:pPr>
              <w:pStyle w:val="TableText"/>
              <w:cnfStyle w:val="000000100000" w:firstRow="0" w:lastRow="0" w:firstColumn="0" w:lastColumn="0" w:oddVBand="0" w:evenVBand="0" w:oddHBand="1" w:evenHBand="0" w:firstRowFirstColumn="0" w:firstRowLastColumn="0" w:lastRowFirstColumn="0" w:lastRowLastColumn="0"/>
            </w:pPr>
            <w:r w:rsidRPr="00B275E2">
              <w:t>tkm</w:t>
            </w:r>
          </w:p>
        </w:tc>
        <w:tc>
          <w:tcPr>
            <w:tcW w:w="1247" w:type="dxa"/>
            <w:shd w:val="clear" w:color="auto" w:fill="D2DDE1" w:themeFill="background2"/>
            <w:noWrap/>
          </w:tcPr>
          <w:p w14:paraId="650928A4" w14:textId="69D5F549" w:rsidR="00832CD0" w:rsidRPr="00B275E2" w:rsidRDefault="00832CD0" w:rsidP="007F0B1E">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0.105</w:t>
            </w:r>
          </w:p>
        </w:tc>
        <w:tc>
          <w:tcPr>
            <w:tcW w:w="1134" w:type="dxa"/>
            <w:shd w:val="clear" w:color="auto" w:fill="auto"/>
            <w:noWrap/>
          </w:tcPr>
          <w:p w14:paraId="650928A5" w14:textId="502FE189" w:rsidR="00832CD0" w:rsidRPr="00B275E2" w:rsidRDefault="00832CD0" w:rsidP="007F0B1E">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0.103</w:t>
            </w:r>
          </w:p>
        </w:tc>
        <w:tc>
          <w:tcPr>
            <w:tcW w:w="1134" w:type="dxa"/>
            <w:shd w:val="clear" w:color="auto" w:fill="auto"/>
            <w:noWrap/>
          </w:tcPr>
          <w:p w14:paraId="650928A6" w14:textId="57EC33D0" w:rsidR="00832CD0" w:rsidRPr="00B275E2" w:rsidRDefault="00832CD0" w:rsidP="007F0B1E">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0.0001</w:t>
            </w:r>
          </w:p>
        </w:tc>
        <w:tc>
          <w:tcPr>
            <w:tcW w:w="1252" w:type="dxa"/>
            <w:tcBorders>
              <w:right w:val="single" w:sz="4" w:space="0" w:color="FFFFFF" w:themeColor="background1"/>
            </w:tcBorders>
            <w:shd w:val="clear" w:color="auto" w:fill="auto"/>
            <w:noWrap/>
          </w:tcPr>
          <w:p w14:paraId="650928A7" w14:textId="1B8C93BF" w:rsidR="00832CD0" w:rsidRPr="00B275E2" w:rsidRDefault="00832CD0" w:rsidP="007F0B1E">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0.002</w:t>
            </w:r>
          </w:p>
        </w:tc>
      </w:tr>
      <w:tr w:rsidR="00940C43" w:rsidRPr="00B275E2" w14:paraId="72488401" w14:textId="77777777" w:rsidTr="0097399D">
        <w:trPr>
          <w:trHeight w:val="300"/>
        </w:trPr>
        <w:tc>
          <w:tcPr>
            <w:cnfStyle w:val="001000000000" w:firstRow="0" w:lastRow="0" w:firstColumn="1" w:lastColumn="0" w:oddVBand="0" w:evenVBand="0" w:oddHBand="0" w:evenHBand="0" w:firstRowFirstColumn="0" w:firstRowLastColumn="0" w:lastRowFirstColumn="0" w:lastRowLastColumn="0"/>
            <w:tcW w:w="3175" w:type="dxa"/>
            <w:tcBorders>
              <w:left w:val="single" w:sz="4" w:space="0" w:color="FFFFFF" w:themeColor="background1"/>
            </w:tcBorders>
            <w:shd w:val="clear" w:color="auto" w:fill="auto"/>
            <w:vAlign w:val="bottom"/>
          </w:tcPr>
          <w:p w14:paraId="28787D35" w14:textId="1E01CEB9" w:rsidR="00832CD0" w:rsidRPr="00B275E2" w:rsidRDefault="00832CD0" w:rsidP="007F0B1E">
            <w:pPr>
              <w:pStyle w:val="TableText"/>
              <w:rPr>
                <w:b w:val="0"/>
                <w:bCs w:val="0"/>
                <w:szCs w:val="18"/>
              </w:rPr>
            </w:pPr>
            <w:r w:rsidRPr="00B275E2">
              <w:rPr>
                <w:rFonts w:cs="Calibri"/>
                <w:b w:val="0"/>
                <w:bCs w:val="0"/>
                <w:color w:val="000000"/>
                <w:szCs w:val="18"/>
              </w:rPr>
              <w:t>Urban delivery heavy truck</w:t>
            </w:r>
          </w:p>
        </w:tc>
        <w:tc>
          <w:tcPr>
            <w:tcW w:w="680" w:type="dxa"/>
            <w:noWrap/>
          </w:tcPr>
          <w:p w14:paraId="31682841" w14:textId="065B4007" w:rsidR="00832CD0" w:rsidRPr="00B275E2" w:rsidRDefault="00832CD0" w:rsidP="007F0B1E">
            <w:pPr>
              <w:pStyle w:val="TableText"/>
              <w:cnfStyle w:val="000000000000" w:firstRow="0" w:lastRow="0" w:firstColumn="0" w:lastColumn="0" w:oddVBand="0" w:evenVBand="0" w:oddHBand="0" w:evenHBand="0" w:firstRowFirstColumn="0" w:firstRowLastColumn="0" w:lastRowFirstColumn="0" w:lastRowLastColumn="0"/>
            </w:pPr>
            <w:r w:rsidRPr="00B275E2">
              <w:t>tkm</w:t>
            </w:r>
          </w:p>
        </w:tc>
        <w:tc>
          <w:tcPr>
            <w:tcW w:w="1247" w:type="dxa"/>
            <w:shd w:val="clear" w:color="auto" w:fill="D2DDE1" w:themeFill="background2"/>
            <w:noWrap/>
          </w:tcPr>
          <w:p w14:paraId="03DD22D4" w14:textId="4F08A534" w:rsidR="00832CD0" w:rsidRPr="00B275E2" w:rsidRDefault="00832CD0" w:rsidP="007F0B1E">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0.390</w:t>
            </w:r>
          </w:p>
        </w:tc>
        <w:tc>
          <w:tcPr>
            <w:tcW w:w="1134" w:type="dxa"/>
            <w:shd w:val="clear" w:color="auto" w:fill="auto"/>
            <w:noWrap/>
          </w:tcPr>
          <w:p w14:paraId="558DD0FE" w14:textId="19B6A3D2" w:rsidR="00832CD0" w:rsidRPr="00B275E2" w:rsidRDefault="00832CD0" w:rsidP="007F0B1E">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0.383</w:t>
            </w:r>
          </w:p>
        </w:tc>
        <w:tc>
          <w:tcPr>
            <w:tcW w:w="1134" w:type="dxa"/>
            <w:shd w:val="clear" w:color="auto" w:fill="auto"/>
            <w:noWrap/>
          </w:tcPr>
          <w:p w14:paraId="3C978008" w14:textId="0EB7604C" w:rsidR="00832CD0" w:rsidRPr="00B275E2" w:rsidRDefault="00832CD0" w:rsidP="007F0B1E">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0.0005</w:t>
            </w:r>
          </w:p>
        </w:tc>
        <w:tc>
          <w:tcPr>
            <w:tcW w:w="1252" w:type="dxa"/>
            <w:tcBorders>
              <w:right w:val="single" w:sz="4" w:space="0" w:color="FFFFFF" w:themeColor="background1"/>
            </w:tcBorders>
            <w:shd w:val="clear" w:color="auto" w:fill="auto"/>
            <w:noWrap/>
          </w:tcPr>
          <w:p w14:paraId="1B1791FE" w14:textId="2BF5EF25" w:rsidR="00832CD0" w:rsidRPr="00B275E2" w:rsidRDefault="00832CD0" w:rsidP="007F0B1E">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0.006</w:t>
            </w:r>
          </w:p>
        </w:tc>
      </w:tr>
      <w:tr w:rsidR="00940C43" w:rsidRPr="00B275E2" w14:paraId="3BF14F83" w14:textId="77777777" w:rsidTr="009739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75" w:type="dxa"/>
            <w:tcBorders>
              <w:left w:val="single" w:sz="4" w:space="0" w:color="FFFFFF" w:themeColor="background1"/>
            </w:tcBorders>
            <w:shd w:val="clear" w:color="auto" w:fill="auto"/>
            <w:vAlign w:val="bottom"/>
          </w:tcPr>
          <w:p w14:paraId="57CF8960" w14:textId="466459E9" w:rsidR="00832CD0" w:rsidRPr="00B275E2" w:rsidRDefault="00832CD0" w:rsidP="007F0B1E">
            <w:pPr>
              <w:pStyle w:val="TableText"/>
              <w:rPr>
                <w:b w:val="0"/>
                <w:bCs w:val="0"/>
                <w:szCs w:val="18"/>
              </w:rPr>
            </w:pPr>
            <w:r w:rsidRPr="00B275E2">
              <w:rPr>
                <w:rFonts w:cs="Calibri"/>
                <w:b w:val="0"/>
                <w:bCs w:val="0"/>
                <w:color w:val="000000"/>
                <w:szCs w:val="18"/>
              </w:rPr>
              <w:t>All trucks</w:t>
            </w:r>
          </w:p>
        </w:tc>
        <w:tc>
          <w:tcPr>
            <w:tcW w:w="680" w:type="dxa"/>
            <w:noWrap/>
          </w:tcPr>
          <w:p w14:paraId="4FD5FF3E" w14:textId="36E85934" w:rsidR="00832CD0" w:rsidRPr="00B275E2" w:rsidRDefault="00832CD0" w:rsidP="007F0B1E">
            <w:pPr>
              <w:pStyle w:val="TableText"/>
              <w:cnfStyle w:val="000000100000" w:firstRow="0" w:lastRow="0" w:firstColumn="0" w:lastColumn="0" w:oddVBand="0" w:evenVBand="0" w:oddHBand="1" w:evenHBand="0" w:firstRowFirstColumn="0" w:firstRowLastColumn="0" w:lastRowFirstColumn="0" w:lastRowLastColumn="0"/>
            </w:pPr>
            <w:r w:rsidRPr="00B275E2">
              <w:t>tkm</w:t>
            </w:r>
          </w:p>
        </w:tc>
        <w:tc>
          <w:tcPr>
            <w:tcW w:w="1247" w:type="dxa"/>
            <w:shd w:val="clear" w:color="auto" w:fill="D2DDE1" w:themeFill="background2"/>
            <w:noWrap/>
          </w:tcPr>
          <w:p w14:paraId="5FADBF6B" w14:textId="14E42660" w:rsidR="00832CD0" w:rsidRPr="00B275E2" w:rsidRDefault="00832CD0" w:rsidP="007F0B1E">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0.135</w:t>
            </w:r>
          </w:p>
        </w:tc>
        <w:tc>
          <w:tcPr>
            <w:tcW w:w="1134" w:type="dxa"/>
            <w:shd w:val="clear" w:color="auto" w:fill="auto"/>
            <w:noWrap/>
          </w:tcPr>
          <w:p w14:paraId="27955A2B" w14:textId="0FA0F2BE" w:rsidR="00832CD0" w:rsidRPr="00B275E2" w:rsidRDefault="00832CD0" w:rsidP="007F0B1E">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0.133</w:t>
            </w:r>
          </w:p>
        </w:tc>
        <w:tc>
          <w:tcPr>
            <w:tcW w:w="1134" w:type="dxa"/>
            <w:shd w:val="clear" w:color="auto" w:fill="auto"/>
            <w:noWrap/>
          </w:tcPr>
          <w:p w14:paraId="27B0E57C" w14:textId="2C8D098A" w:rsidR="00832CD0" w:rsidRPr="00B275E2" w:rsidRDefault="00832CD0" w:rsidP="007F0B1E">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0.0002</w:t>
            </w:r>
          </w:p>
        </w:tc>
        <w:tc>
          <w:tcPr>
            <w:tcW w:w="1252" w:type="dxa"/>
            <w:tcBorders>
              <w:right w:val="single" w:sz="4" w:space="0" w:color="FFFFFF" w:themeColor="background1"/>
            </w:tcBorders>
            <w:shd w:val="clear" w:color="auto" w:fill="auto"/>
            <w:noWrap/>
          </w:tcPr>
          <w:p w14:paraId="486092EC" w14:textId="39B3B48C" w:rsidR="00832CD0" w:rsidRPr="00B275E2" w:rsidRDefault="00832CD0" w:rsidP="007F0B1E">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0.002</w:t>
            </w:r>
          </w:p>
        </w:tc>
      </w:tr>
    </w:tbl>
    <w:p w14:paraId="67385191" w14:textId="7489A90A" w:rsidR="007D475D" w:rsidRPr="00B275E2" w:rsidRDefault="007D475D" w:rsidP="007F0B1E">
      <w:pPr>
        <w:pStyle w:val="Note"/>
      </w:pPr>
      <w:r w:rsidRPr="00B275E2">
        <w:t>Note</w:t>
      </w:r>
      <w:r w:rsidR="00542171" w:rsidRPr="00B275E2">
        <w:t>:</w:t>
      </w:r>
      <w:r w:rsidRPr="00B275E2">
        <w:t xml:space="preserve"> </w:t>
      </w:r>
      <w:r w:rsidR="00542171" w:rsidRPr="00B275E2">
        <w:t xml:space="preserve">These </w:t>
      </w:r>
      <w:r w:rsidRPr="00B275E2">
        <w:t xml:space="preserve">numbers are rounded to three </w:t>
      </w:r>
      <w:r w:rsidR="002011A6" w:rsidRPr="00B275E2">
        <w:t xml:space="preserve">decimal places </w:t>
      </w:r>
      <w:r w:rsidRPr="00B275E2">
        <w:t xml:space="preserve">unless the number is significantly small. </w:t>
      </w:r>
    </w:p>
    <w:p w14:paraId="22DDADD8" w14:textId="6995C375" w:rsidR="00405B35" w:rsidRPr="00B275E2" w:rsidRDefault="00301928" w:rsidP="006B7605">
      <w:pPr>
        <w:pStyle w:val="Heading3"/>
      </w:pPr>
      <w:bookmarkStart w:id="479" w:name="_Toc532904920"/>
      <w:r w:rsidRPr="00B275E2">
        <w:lastRenderedPageBreak/>
        <w:t xml:space="preserve">GHG </w:t>
      </w:r>
      <w:r w:rsidR="00405B35" w:rsidRPr="00B275E2">
        <w:t>inventory development</w:t>
      </w:r>
      <w:bookmarkEnd w:id="479"/>
    </w:p>
    <w:p w14:paraId="49FA989E" w14:textId="31C38A66" w:rsidR="006E187B" w:rsidRPr="00B275E2" w:rsidRDefault="00405B35" w:rsidP="007F0B1E">
      <w:pPr>
        <w:pStyle w:val="BodyText"/>
      </w:pPr>
      <w:r w:rsidRPr="00B275E2">
        <w:t>If an organisation uses freight vehicles, they can calculate the emissions from the k</w:t>
      </w:r>
      <w:r w:rsidR="005C184D" w:rsidRPr="00B275E2">
        <w:t>ilo</w:t>
      </w:r>
      <w:r w:rsidRPr="00B275E2">
        <w:t>m</w:t>
      </w:r>
      <w:r w:rsidR="005C184D" w:rsidRPr="00B275E2">
        <w:t>etres</w:t>
      </w:r>
      <w:r w:rsidRPr="00B275E2">
        <w:t xml:space="preserve"> travelled. </w:t>
      </w:r>
      <w:r w:rsidR="007D475D" w:rsidRPr="00B275E2">
        <w:t>Multiply t</w:t>
      </w:r>
      <w:r w:rsidRPr="00B275E2">
        <w:t>he distances b</w:t>
      </w:r>
      <w:r w:rsidR="00064006" w:rsidRPr="00B275E2">
        <w:t xml:space="preserve">y the emission factors in </w:t>
      </w:r>
      <w:r w:rsidR="006F707B" w:rsidRPr="00B275E2">
        <w:t>table 5</w:t>
      </w:r>
      <w:r w:rsidR="00521227">
        <w:t>2</w:t>
      </w:r>
      <w:r w:rsidR="006F707B" w:rsidRPr="00B275E2">
        <w:t xml:space="preserve"> </w:t>
      </w:r>
      <w:r w:rsidR="007D475D" w:rsidRPr="00B275E2">
        <w:t xml:space="preserve">to </w:t>
      </w:r>
      <w:r w:rsidR="00F22210" w:rsidRPr="00B275E2">
        <w:t xml:space="preserve">table </w:t>
      </w:r>
      <w:r w:rsidR="006F707B" w:rsidRPr="00B275E2">
        <w:t>6</w:t>
      </w:r>
      <w:r w:rsidR="00521227">
        <w:t>0</w:t>
      </w:r>
      <w:r w:rsidR="006F707B" w:rsidRPr="00B275E2">
        <w:t>.</w:t>
      </w:r>
      <w:r w:rsidR="00064006" w:rsidRPr="00B275E2">
        <w:t xml:space="preserve"> </w:t>
      </w:r>
      <w:r w:rsidR="007D475D" w:rsidRPr="00B275E2">
        <w:t xml:space="preserve">Applying the equation </w:t>
      </w:r>
      <w:r w:rsidR="00E71782" w:rsidRPr="00B275E2">
        <w:t>E= Q x F</w:t>
      </w:r>
      <w:r w:rsidR="0083579E" w:rsidRPr="00B275E2">
        <w:t xml:space="preserve"> </w:t>
      </w:r>
      <w:r w:rsidR="00E71782" w:rsidRPr="00B275E2">
        <w:t>(</w:t>
      </w:r>
      <w:hyperlink w:anchor="_How_to_quantify" w:history="1">
        <w:r w:rsidR="00542171" w:rsidRPr="00B275E2">
          <w:rPr>
            <w:rStyle w:val="Hyperlink"/>
          </w:rPr>
          <w:t>s</w:t>
        </w:r>
        <w:r w:rsidR="006D445E" w:rsidRPr="00B275E2">
          <w:rPr>
            <w:rStyle w:val="Hyperlink"/>
          </w:rPr>
          <w:t>ection</w:t>
        </w:r>
        <w:r w:rsidR="005F525D" w:rsidRPr="00B275E2">
          <w:rPr>
            <w:rStyle w:val="Hyperlink"/>
          </w:rPr>
          <w:t xml:space="preserve"> 2</w:t>
        </w:r>
      </w:hyperlink>
      <w:r w:rsidR="00E71782" w:rsidRPr="00B275E2">
        <w:rPr>
          <w:rStyle w:val="Hyperlink"/>
          <w:color w:val="auto"/>
        </w:rPr>
        <w:t>)</w:t>
      </w:r>
      <w:r w:rsidR="007D475D" w:rsidRPr="00B275E2">
        <w:t>, this means</w:t>
      </w:r>
      <w:r w:rsidR="006E187B" w:rsidRPr="00B275E2">
        <w:t>:</w:t>
      </w:r>
    </w:p>
    <w:p w14:paraId="4F091D7E" w14:textId="7CCCEFB6" w:rsidR="00E71782" w:rsidRPr="00B275E2" w:rsidRDefault="00E71782" w:rsidP="008E713C">
      <w:pPr>
        <w:pStyle w:val="BodyText"/>
        <w:tabs>
          <w:tab w:val="left" w:pos="680"/>
          <w:tab w:val="left" w:pos="1134"/>
        </w:tabs>
        <w:contextualSpacing/>
      </w:pPr>
      <w:r w:rsidRPr="00B275E2">
        <w:t>E</w:t>
      </w:r>
      <w:r w:rsidRPr="00B275E2">
        <w:tab/>
        <w:t>=</w:t>
      </w:r>
      <w:r w:rsidRPr="00B275E2">
        <w:tab/>
        <w:t>emissions from the emissions source in kg CO</w:t>
      </w:r>
      <w:r w:rsidRPr="00B275E2">
        <w:rPr>
          <w:vertAlign w:val="subscript"/>
        </w:rPr>
        <w:t>2</w:t>
      </w:r>
      <w:r w:rsidRPr="00B275E2">
        <w:t>-e per year</w:t>
      </w:r>
    </w:p>
    <w:p w14:paraId="2DBDB5DF" w14:textId="10FBC193" w:rsidR="006E187B" w:rsidRPr="00B275E2" w:rsidRDefault="00C23F2D" w:rsidP="008E713C">
      <w:pPr>
        <w:pStyle w:val="BodyText"/>
        <w:tabs>
          <w:tab w:val="left" w:pos="680"/>
          <w:tab w:val="left" w:pos="1134"/>
        </w:tabs>
        <w:contextualSpacing/>
      </w:pPr>
      <w:r w:rsidRPr="00B275E2">
        <w:t>Q</w:t>
      </w:r>
      <w:r w:rsidRPr="00B275E2">
        <w:tab/>
        <w:t>=</w:t>
      </w:r>
      <w:r w:rsidRPr="00B275E2">
        <w:tab/>
      </w:r>
      <w:r w:rsidR="006E187B" w:rsidRPr="00B275E2">
        <w:t>km travelled by specific freight vehicle</w:t>
      </w:r>
      <w:r w:rsidR="00306679" w:rsidRPr="00B275E2">
        <w:t xml:space="preserve"> one way</w:t>
      </w:r>
    </w:p>
    <w:p w14:paraId="2D63095E" w14:textId="05336A02" w:rsidR="00405B35" w:rsidRPr="00B275E2" w:rsidRDefault="00C23F2D" w:rsidP="008E713C">
      <w:pPr>
        <w:pStyle w:val="BodyText"/>
        <w:tabs>
          <w:tab w:val="left" w:pos="680"/>
          <w:tab w:val="left" w:pos="1134"/>
        </w:tabs>
        <w:contextualSpacing/>
      </w:pPr>
      <w:r w:rsidRPr="00B275E2">
        <w:t>F</w:t>
      </w:r>
      <w:r w:rsidRPr="00B275E2">
        <w:tab/>
      </w:r>
      <w:r w:rsidR="006E187B" w:rsidRPr="00B275E2">
        <w:t>=</w:t>
      </w:r>
      <w:r w:rsidRPr="00B275E2">
        <w:tab/>
      </w:r>
      <w:r w:rsidR="006E187B" w:rsidRPr="00B275E2">
        <w:t xml:space="preserve">appropriate emission factors from </w:t>
      </w:r>
      <w:r w:rsidR="006F707B" w:rsidRPr="00B275E2">
        <w:t>table 5</w:t>
      </w:r>
      <w:r w:rsidR="00521227">
        <w:t>2</w:t>
      </w:r>
      <w:r w:rsidR="006F707B" w:rsidRPr="00B275E2">
        <w:t xml:space="preserve"> </w:t>
      </w:r>
      <w:r w:rsidR="007D475D" w:rsidRPr="00B275E2">
        <w:t xml:space="preserve">to </w:t>
      </w:r>
      <w:r w:rsidR="00F22210" w:rsidRPr="00B275E2">
        <w:t xml:space="preserve">table </w:t>
      </w:r>
      <w:r w:rsidR="006F707B" w:rsidRPr="00B275E2">
        <w:t>6</w:t>
      </w:r>
      <w:r w:rsidR="00521227">
        <w:t>0</w:t>
      </w:r>
    </w:p>
    <w:p w14:paraId="43B21B0F" w14:textId="20767DDC" w:rsidR="006E187B" w:rsidRPr="00B275E2" w:rsidRDefault="00405B35" w:rsidP="007F0B1E">
      <w:pPr>
        <w:pStyle w:val="BodyText"/>
      </w:pPr>
      <w:r w:rsidRPr="00B275E2">
        <w:t xml:space="preserve">For </w:t>
      </w:r>
      <w:r w:rsidR="007D475D" w:rsidRPr="00B275E2">
        <w:t xml:space="preserve">emissions from </w:t>
      </w:r>
      <w:r w:rsidRPr="00B275E2">
        <w:t>freight</w:t>
      </w:r>
      <w:r w:rsidR="007D475D" w:rsidRPr="00B275E2">
        <w:t>ing</w:t>
      </w:r>
      <w:r w:rsidRPr="00B275E2">
        <w:t xml:space="preserve"> good</w:t>
      </w:r>
      <w:r w:rsidR="007D475D" w:rsidRPr="00B275E2">
        <w:t>s</w:t>
      </w:r>
      <w:r w:rsidRPr="00B275E2">
        <w:t xml:space="preserve">, users need to know the weight in tonnes of the goods freighted as well as the </w:t>
      </w:r>
      <w:r w:rsidR="005C184D" w:rsidRPr="00B275E2">
        <w:t>kilometres</w:t>
      </w:r>
      <w:r w:rsidRPr="00B275E2">
        <w:t xml:space="preserve"> travelled. These two numbers multiplied together is the </w:t>
      </w:r>
      <w:r w:rsidR="0081566C" w:rsidRPr="00B275E2">
        <w:t>t</w:t>
      </w:r>
      <w:r w:rsidRPr="00B275E2">
        <w:t>km.</w:t>
      </w:r>
      <w:r w:rsidR="008D13EB" w:rsidRPr="00B275E2">
        <w:t> </w:t>
      </w:r>
      <w:r w:rsidR="007D475D" w:rsidRPr="00B275E2">
        <w:t>Multiply t</w:t>
      </w:r>
      <w:r w:rsidRPr="00B275E2">
        <w:t>he tkm by the emission factors</w:t>
      </w:r>
      <w:r w:rsidR="009F1DC5" w:rsidRPr="00B275E2">
        <w:t xml:space="preserve"> in</w:t>
      </w:r>
      <w:r w:rsidR="00F22210" w:rsidRPr="00B275E2">
        <w:t xml:space="preserve"> table </w:t>
      </w:r>
      <w:r w:rsidR="00105F59">
        <w:t>6</w:t>
      </w:r>
      <w:r w:rsidR="00521227">
        <w:t>0</w:t>
      </w:r>
      <w:r w:rsidRPr="00B275E2">
        <w:t>.</w:t>
      </w:r>
      <w:r w:rsidR="006E187B" w:rsidRPr="00B275E2">
        <w:t xml:space="preserve"> </w:t>
      </w:r>
      <w:r w:rsidR="007D475D" w:rsidRPr="00B275E2">
        <w:t xml:space="preserve">Applying the equation </w:t>
      </w:r>
      <w:r w:rsidR="00E71782" w:rsidRPr="00B275E2">
        <w:t>E</w:t>
      </w:r>
      <w:r w:rsidR="00A555D9" w:rsidRPr="00B275E2">
        <w:t xml:space="preserve"> </w:t>
      </w:r>
      <w:r w:rsidR="00E71782" w:rsidRPr="00B275E2">
        <w:t>= Q x F</w:t>
      </w:r>
      <w:r w:rsidR="0083579E" w:rsidRPr="00B275E2">
        <w:t xml:space="preserve"> </w:t>
      </w:r>
      <w:r w:rsidR="00E71782" w:rsidRPr="00B275E2">
        <w:t>(</w:t>
      </w:r>
      <w:hyperlink w:anchor="_How_to_quantify" w:history="1">
        <w:r w:rsidR="008D13EB" w:rsidRPr="00B275E2">
          <w:rPr>
            <w:rStyle w:val="Hyperlink"/>
          </w:rPr>
          <w:t>section 2</w:t>
        </w:r>
      </w:hyperlink>
      <w:r w:rsidR="00E71782" w:rsidRPr="00B275E2">
        <w:rPr>
          <w:rStyle w:val="Hyperlink"/>
          <w:color w:val="auto"/>
        </w:rPr>
        <w:t>)</w:t>
      </w:r>
      <w:r w:rsidR="007D475D" w:rsidRPr="00B275E2">
        <w:t>, this</w:t>
      </w:r>
      <w:r w:rsidR="008D13EB" w:rsidRPr="00B275E2">
        <w:t> </w:t>
      </w:r>
      <w:r w:rsidR="007D475D" w:rsidRPr="00B275E2">
        <w:t>means</w:t>
      </w:r>
      <w:r w:rsidR="006E187B" w:rsidRPr="00B275E2">
        <w:t>:</w:t>
      </w:r>
    </w:p>
    <w:p w14:paraId="720AB925" w14:textId="26C584AC" w:rsidR="00E71782" w:rsidRPr="00B275E2" w:rsidRDefault="00E71782" w:rsidP="008E713C">
      <w:pPr>
        <w:pStyle w:val="BodyText"/>
        <w:tabs>
          <w:tab w:val="left" w:pos="680"/>
          <w:tab w:val="left" w:pos="1134"/>
        </w:tabs>
        <w:contextualSpacing/>
      </w:pPr>
      <w:r w:rsidRPr="00B275E2">
        <w:t>E</w:t>
      </w:r>
      <w:r w:rsidRPr="00B275E2">
        <w:tab/>
        <w:t>=</w:t>
      </w:r>
      <w:r w:rsidRPr="00B275E2">
        <w:tab/>
        <w:t>emissions from the emissions source in kg CO</w:t>
      </w:r>
      <w:r w:rsidRPr="00B275E2">
        <w:rPr>
          <w:vertAlign w:val="subscript"/>
        </w:rPr>
        <w:t>2</w:t>
      </w:r>
      <w:r w:rsidRPr="00B275E2">
        <w:t>-e per year</w:t>
      </w:r>
    </w:p>
    <w:p w14:paraId="22C4E1EC" w14:textId="5AFB05E1" w:rsidR="006E187B" w:rsidRPr="00B275E2" w:rsidRDefault="00C23F2D" w:rsidP="008E713C">
      <w:pPr>
        <w:pStyle w:val="BodyText"/>
        <w:tabs>
          <w:tab w:val="left" w:pos="680"/>
          <w:tab w:val="left" w:pos="1134"/>
        </w:tabs>
        <w:contextualSpacing/>
      </w:pPr>
      <w:r w:rsidRPr="00B275E2">
        <w:t>Q</w:t>
      </w:r>
      <w:r w:rsidRPr="00B275E2">
        <w:tab/>
      </w:r>
      <w:r w:rsidR="006E187B" w:rsidRPr="00B275E2">
        <w:t>=</w:t>
      </w:r>
      <w:r w:rsidRPr="00B275E2">
        <w:tab/>
      </w:r>
      <w:r w:rsidR="006E187B" w:rsidRPr="00B275E2">
        <w:t xml:space="preserve">tonne × </w:t>
      </w:r>
      <w:r w:rsidR="00A625ED" w:rsidRPr="00B275E2">
        <w:t>kilometres travelled</w:t>
      </w:r>
      <w:r w:rsidR="00306679" w:rsidRPr="00B275E2">
        <w:t xml:space="preserve"> one way</w:t>
      </w:r>
    </w:p>
    <w:p w14:paraId="240CB97A" w14:textId="7CC71E0F" w:rsidR="00EF0D1A" w:rsidRPr="00B275E2" w:rsidRDefault="00C23F2D" w:rsidP="008E713C">
      <w:pPr>
        <w:pStyle w:val="BodyText"/>
        <w:tabs>
          <w:tab w:val="left" w:pos="680"/>
          <w:tab w:val="left" w:pos="1134"/>
        </w:tabs>
        <w:spacing w:after="240"/>
        <w:contextualSpacing/>
      </w:pPr>
      <w:r w:rsidRPr="00B275E2">
        <w:t>F</w:t>
      </w:r>
      <w:r w:rsidRPr="00B275E2">
        <w:tab/>
        <w:t>=</w:t>
      </w:r>
      <w:r w:rsidRPr="00B275E2">
        <w:tab/>
      </w:r>
      <w:r w:rsidR="006E187B" w:rsidRPr="00B275E2">
        <w:t>appropriate emission factors from</w:t>
      </w:r>
      <w:r w:rsidR="00064006" w:rsidRPr="00B275E2">
        <w:t xml:space="preserve"> </w:t>
      </w:r>
      <w:r w:rsidR="00F5281A" w:rsidRPr="00B275E2">
        <w:t xml:space="preserve">table </w:t>
      </w:r>
      <w:r w:rsidR="00105F59">
        <w:t>6</w:t>
      </w:r>
      <w:r w:rsidR="00521227">
        <w:t>0</w:t>
      </w:r>
    </w:p>
    <w:tbl>
      <w:tblPr>
        <w:tblW w:w="86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618"/>
      </w:tblGrid>
      <w:tr w:rsidR="00714E65" w:rsidRPr="00B275E2" w:rsidDel="00D5390D" w14:paraId="1056A75A" w14:textId="77777777" w:rsidTr="008E713C">
        <w:tc>
          <w:tcPr>
            <w:tcW w:w="8618" w:type="dxa"/>
            <w:tcBorders>
              <w:top w:val="single" w:sz="4" w:space="0" w:color="0F7B7D"/>
              <w:left w:val="single" w:sz="4" w:space="0" w:color="0F7B7D"/>
              <w:bottom w:val="nil"/>
              <w:right w:val="single" w:sz="4" w:space="0" w:color="0F7B7D"/>
            </w:tcBorders>
            <w:shd w:val="clear" w:color="auto" w:fill="0F7B7D"/>
            <w:vAlign w:val="center"/>
          </w:tcPr>
          <w:p w14:paraId="4D7804A2" w14:textId="7ADC2090" w:rsidR="004D150E" w:rsidRPr="00B275E2" w:rsidDel="00D5390D" w:rsidRDefault="0047779A" w:rsidP="00A555D9">
            <w:pPr>
              <w:pStyle w:val="Casestudyheading"/>
            </w:pPr>
            <w:r w:rsidRPr="00B275E2">
              <w:t xml:space="preserve">Road freight: </w:t>
            </w:r>
            <w:r w:rsidR="004D150E" w:rsidRPr="00B275E2">
              <w:t>Example Calculation</w:t>
            </w:r>
          </w:p>
        </w:tc>
      </w:tr>
      <w:tr w:rsidR="00A85917" w:rsidRPr="00B275E2" w14:paraId="7113150F" w14:textId="77777777" w:rsidTr="008E713C">
        <w:trPr>
          <w:trHeight w:val="2248"/>
        </w:trPr>
        <w:tc>
          <w:tcPr>
            <w:tcW w:w="8618" w:type="dxa"/>
            <w:tcBorders>
              <w:top w:val="nil"/>
              <w:left w:val="single" w:sz="4" w:space="0" w:color="D5EBE8" w:themeColor="accent3"/>
              <w:bottom w:val="nil"/>
              <w:right w:val="single" w:sz="4" w:space="0" w:color="D5EBE8" w:themeColor="accent3"/>
            </w:tcBorders>
            <w:shd w:val="clear" w:color="auto" w:fill="D5EBE8" w:themeFill="accent3"/>
          </w:tcPr>
          <w:p w14:paraId="132C8D92" w14:textId="59BCE6EF" w:rsidR="004D150E" w:rsidRPr="00B275E2" w:rsidRDefault="004D150E" w:rsidP="00B92E81">
            <w:pPr>
              <w:pStyle w:val="Boxtext"/>
              <w:spacing w:after="80"/>
            </w:pPr>
            <w:r w:rsidRPr="00B275E2">
              <w:t xml:space="preserve">During the reporting period, an organisation moves 10 tonnes </w:t>
            </w:r>
            <w:r w:rsidR="00FA2670" w:rsidRPr="00B275E2">
              <w:t xml:space="preserve">of goods </w:t>
            </w:r>
            <w:r w:rsidRPr="00B275E2">
              <w:t xml:space="preserve">by truck 100 km. They also hire a van (a light commercial vehicle) with a two-litre petrol engine, manufactured in 2012. This is used to drive 800 km. The weight of the goods </w:t>
            </w:r>
            <w:r w:rsidR="00FA2670" w:rsidRPr="00B275E2">
              <w:t xml:space="preserve">moved by van </w:t>
            </w:r>
            <w:r w:rsidRPr="00B275E2">
              <w:t>is unknown.</w:t>
            </w:r>
          </w:p>
          <w:p w14:paraId="7E4E7BAE" w14:textId="77777777" w:rsidR="004D150E" w:rsidRPr="00B275E2" w:rsidRDefault="004D150E" w:rsidP="00B92E81">
            <w:pPr>
              <w:pStyle w:val="Boxtext"/>
              <w:spacing w:after="80"/>
            </w:pPr>
            <w:r w:rsidRPr="00B275E2">
              <w:t>For the 10 tonnes moved by truck:</w:t>
            </w:r>
          </w:p>
          <w:p w14:paraId="268B85D3" w14:textId="20638786" w:rsidR="004D150E" w:rsidRPr="00B275E2" w:rsidRDefault="004D150E" w:rsidP="00B92E81">
            <w:pPr>
              <w:pStyle w:val="Boxtext"/>
              <w:tabs>
                <w:tab w:val="left" w:pos="2881"/>
                <w:tab w:val="left" w:pos="4681"/>
              </w:tabs>
              <w:spacing w:before="20" w:after="20"/>
              <w:ind w:left="851"/>
            </w:pPr>
            <w:r w:rsidRPr="00B275E2">
              <w:t>CO</w:t>
            </w:r>
            <w:r w:rsidRPr="00B275E2">
              <w:rPr>
                <w:vertAlign w:val="subscript"/>
              </w:rPr>
              <w:t>2</w:t>
            </w:r>
            <w:r w:rsidRPr="00B275E2">
              <w:t xml:space="preserve"> emissions </w:t>
            </w:r>
            <w:r w:rsidRPr="00B275E2">
              <w:tab/>
              <w:t xml:space="preserve">= 10 </w:t>
            </w:r>
            <w:r w:rsidR="002749F4" w:rsidRPr="00B275E2">
              <w:t>×</w:t>
            </w:r>
            <w:r w:rsidRPr="00B275E2">
              <w:t xml:space="preserve"> 100 × 0.13</w:t>
            </w:r>
            <w:r w:rsidR="00B8484D" w:rsidRPr="00B275E2">
              <w:t>3</w:t>
            </w:r>
            <w:r w:rsidR="002749F4" w:rsidRPr="00B275E2">
              <w:tab/>
            </w:r>
            <w:r w:rsidR="005A7577" w:rsidRPr="00B275E2">
              <w:t xml:space="preserve">= </w:t>
            </w:r>
            <w:r w:rsidR="00A242E4" w:rsidRPr="00B275E2">
              <w:t>133</w:t>
            </w:r>
            <w:r w:rsidRPr="00B275E2">
              <w:t xml:space="preserve"> kg CO</w:t>
            </w:r>
            <w:r w:rsidRPr="00B275E2">
              <w:rPr>
                <w:vertAlign w:val="subscript"/>
              </w:rPr>
              <w:t>2</w:t>
            </w:r>
          </w:p>
          <w:p w14:paraId="5199ABBE" w14:textId="52D4B520" w:rsidR="004D150E" w:rsidRPr="00B275E2" w:rsidRDefault="004D150E" w:rsidP="00B92E81">
            <w:pPr>
              <w:pStyle w:val="Boxtext"/>
              <w:tabs>
                <w:tab w:val="left" w:pos="2881"/>
                <w:tab w:val="left" w:pos="4681"/>
              </w:tabs>
              <w:spacing w:before="20" w:after="20"/>
              <w:ind w:left="851"/>
            </w:pPr>
            <w:r w:rsidRPr="00B275E2">
              <w:t>CH</w:t>
            </w:r>
            <w:r w:rsidRPr="00B275E2">
              <w:rPr>
                <w:vertAlign w:val="subscript"/>
              </w:rPr>
              <w:t>4</w:t>
            </w:r>
            <w:r w:rsidRPr="00B275E2">
              <w:t xml:space="preserve"> emissions </w:t>
            </w:r>
            <w:r w:rsidR="002749F4" w:rsidRPr="00B275E2">
              <w:tab/>
            </w:r>
            <w:r w:rsidRPr="00B275E2">
              <w:t>= 10 × 100 × 0.0002</w:t>
            </w:r>
            <w:r w:rsidR="002749F4" w:rsidRPr="00B275E2">
              <w:tab/>
            </w:r>
            <w:r w:rsidR="005A7577" w:rsidRPr="00B275E2">
              <w:t>= 0.2</w:t>
            </w:r>
            <w:r w:rsidRPr="00B275E2">
              <w:t xml:space="preserve"> kg CO</w:t>
            </w:r>
            <w:r w:rsidRPr="00B275E2">
              <w:rPr>
                <w:vertAlign w:val="subscript"/>
              </w:rPr>
              <w:t>2</w:t>
            </w:r>
            <w:r w:rsidRPr="00B275E2">
              <w:t xml:space="preserve">-e </w:t>
            </w:r>
          </w:p>
          <w:p w14:paraId="0F5E8BCA" w14:textId="56F7EEAF" w:rsidR="004D150E" w:rsidRPr="00B275E2" w:rsidRDefault="004D150E" w:rsidP="00B92E81">
            <w:pPr>
              <w:pStyle w:val="Boxtext"/>
              <w:tabs>
                <w:tab w:val="left" w:pos="2881"/>
                <w:tab w:val="left" w:pos="4681"/>
              </w:tabs>
              <w:spacing w:before="20" w:after="20"/>
              <w:ind w:left="851"/>
            </w:pPr>
            <w:r w:rsidRPr="00B275E2">
              <w:t>N</w:t>
            </w:r>
            <w:r w:rsidRPr="00B275E2">
              <w:rPr>
                <w:vertAlign w:val="subscript"/>
              </w:rPr>
              <w:t>2</w:t>
            </w:r>
            <w:r w:rsidRPr="00B275E2">
              <w:t>O emissions</w:t>
            </w:r>
            <w:r w:rsidRPr="00B275E2">
              <w:tab/>
              <w:t xml:space="preserve">= 10 × 100 </w:t>
            </w:r>
            <w:r w:rsidR="002749F4" w:rsidRPr="00B275E2">
              <w:t>×</w:t>
            </w:r>
            <w:r w:rsidRPr="00B275E2">
              <w:t xml:space="preserve"> 0.002</w:t>
            </w:r>
            <w:r w:rsidR="002749F4" w:rsidRPr="00B275E2">
              <w:tab/>
            </w:r>
            <w:r w:rsidR="005A7577" w:rsidRPr="00B275E2">
              <w:t>= 2</w:t>
            </w:r>
            <w:r w:rsidRPr="00B275E2">
              <w:t xml:space="preserve"> kg CO</w:t>
            </w:r>
            <w:r w:rsidRPr="00B275E2">
              <w:rPr>
                <w:vertAlign w:val="subscript"/>
              </w:rPr>
              <w:t>2</w:t>
            </w:r>
            <w:r w:rsidRPr="00B275E2">
              <w:t xml:space="preserve">-e </w:t>
            </w:r>
          </w:p>
          <w:p w14:paraId="29926AAC" w14:textId="3B736E52" w:rsidR="00D9313E" w:rsidRPr="00B275E2" w:rsidRDefault="004D150E" w:rsidP="00B92E81">
            <w:pPr>
              <w:pStyle w:val="Boxtext"/>
              <w:tabs>
                <w:tab w:val="left" w:pos="2881"/>
                <w:tab w:val="left" w:pos="4681"/>
              </w:tabs>
              <w:spacing w:before="20" w:after="80"/>
              <w:ind w:left="851"/>
            </w:pPr>
            <w:r w:rsidRPr="00B275E2">
              <w:t>Total CO</w:t>
            </w:r>
            <w:r w:rsidRPr="00B275E2">
              <w:rPr>
                <w:vertAlign w:val="subscript"/>
              </w:rPr>
              <w:t>2</w:t>
            </w:r>
            <w:r w:rsidRPr="00B275E2">
              <w:t>-e emissions</w:t>
            </w:r>
            <w:r w:rsidRPr="00B275E2">
              <w:tab/>
              <w:t xml:space="preserve">= 10 × 100 </w:t>
            </w:r>
            <w:r w:rsidR="002749F4" w:rsidRPr="00B275E2">
              <w:t>×</w:t>
            </w:r>
            <w:r w:rsidRPr="00B275E2">
              <w:t xml:space="preserve"> 0.13</w:t>
            </w:r>
            <w:r w:rsidR="006B3724" w:rsidRPr="00B275E2">
              <w:t>5</w:t>
            </w:r>
            <w:r w:rsidR="002749F4" w:rsidRPr="00B275E2">
              <w:tab/>
            </w:r>
            <w:r w:rsidR="005A7577" w:rsidRPr="00B275E2">
              <w:t>= 13</w:t>
            </w:r>
            <w:r w:rsidR="00F70216" w:rsidRPr="00B275E2">
              <w:t>5</w:t>
            </w:r>
            <w:r w:rsidRPr="00B275E2">
              <w:t xml:space="preserve"> kg CO</w:t>
            </w:r>
            <w:r w:rsidRPr="00B275E2">
              <w:rPr>
                <w:vertAlign w:val="subscript"/>
              </w:rPr>
              <w:t>2</w:t>
            </w:r>
            <w:r w:rsidRPr="00B275E2">
              <w:t xml:space="preserve">-e </w:t>
            </w:r>
          </w:p>
        </w:tc>
      </w:tr>
      <w:tr w:rsidR="00A85917" w:rsidRPr="00B275E2" w14:paraId="2B3EB36E" w14:textId="77777777" w:rsidTr="008E713C">
        <w:trPr>
          <w:trHeight w:val="712"/>
        </w:trPr>
        <w:tc>
          <w:tcPr>
            <w:tcW w:w="8618" w:type="dxa"/>
            <w:tcBorders>
              <w:top w:val="nil"/>
              <w:left w:val="single" w:sz="4" w:space="0" w:color="D5EBE8" w:themeColor="accent3"/>
              <w:bottom w:val="single" w:sz="4" w:space="0" w:color="D5EBE8" w:themeColor="accent3"/>
              <w:right w:val="single" w:sz="4" w:space="0" w:color="D5EBE8" w:themeColor="accent3"/>
            </w:tcBorders>
            <w:shd w:val="clear" w:color="auto" w:fill="D5EBE8" w:themeFill="accent3"/>
          </w:tcPr>
          <w:p w14:paraId="27049746" w14:textId="77777777" w:rsidR="00F5281A" w:rsidRPr="00B275E2" w:rsidRDefault="00F5281A" w:rsidP="00B92E81">
            <w:pPr>
              <w:pStyle w:val="Boxtext"/>
              <w:spacing w:after="80"/>
              <w:rPr>
                <w:spacing w:val="-2"/>
              </w:rPr>
            </w:pPr>
            <w:r w:rsidRPr="00B275E2">
              <w:rPr>
                <w:spacing w:val="-2"/>
              </w:rPr>
              <w:t>For the hired van, use the emission factors for the 2010–2015 fleet, petrol 1600-2000 cc. (Note: if the quantity of fuel used is known, users can more accurately calculate emissions using the litres of fuel used rather than distance.) In this example the fuel usage is unknown, so the organisation applies the emission factors for km travelled to calculate the total CO</w:t>
            </w:r>
            <w:r w:rsidRPr="00B275E2">
              <w:rPr>
                <w:spacing w:val="-2"/>
                <w:vertAlign w:val="subscript"/>
              </w:rPr>
              <w:t>2</w:t>
            </w:r>
            <w:r w:rsidRPr="00B275E2">
              <w:rPr>
                <w:spacing w:val="-2"/>
              </w:rPr>
              <w:t>-e emissions.</w:t>
            </w:r>
          </w:p>
          <w:p w14:paraId="762C0F20" w14:textId="77777777" w:rsidR="00F5281A" w:rsidRPr="00B275E2" w:rsidRDefault="00F5281A" w:rsidP="00B92E81">
            <w:pPr>
              <w:pStyle w:val="Boxtext"/>
              <w:spacing w:after="80"/>
            </w:pPr>
            <w:r w:rsidRPr="00B275E2">
              <w:t>For the goods moved by van:</w:t>
            </w:r>
          </w:p>
          <w:p w14:paraId="134D2F65" w14:textId="77777777" w:rsidR="00F5281A" w:rsidRPr="00B275E2" w:rsidRDefault="00F5281A" w:rsidP="00B92E81">
            <w:pPr>
              <w:pStyle w:val="Boxtext"/>
              <w:tabs>
                <w:tab w:val="left" w:pos="2881"/>
                <w:tab w:val="left" w:pos="4681"/>
              </w:tabs>
              <w:spacing w:before="20" w:after="20"/>
              <w:ind w:left="851"/>
            </w:pPr>
            <w:r w:rsidRPr="00B275E2">
              <w:t>CO</w:t>
            </w:r>
            <w:r w:rsidRPr="00B275E2">
              <w:rPr>
                <w:vertAlign w:val="subscript"/>
              </w:rPr>
              <w:t>2</w:t>
            </w:r>
            <w:r w:rsidRPr="00B275E2">
              <w:t xml:space="preserve"> emissions </w:t>
            </w:r>
            <w:r w:rsidRPr="00B275E2">
              <w:tab/>
              <w:t xml:space="preserve">= 800 × 0.270 </w:t>
            </w:r>
            <w:r w:rsidRPr="00B275E2">
              <w:tab/>
              <w:t>= 216 kg CO</w:t>
            </w:r>
            <w:r w:rsidRPr="00B275E2">
              <w:rPr>
                <w:vertAlign w:val="subscript"/>
              </w:rPr>
              <w:t>2</w:t>
            </w:r>
          </w:p>
          <w:p w14:paraId="131FF768" w14:textId="77777777" w:rsidR="00F5281A" w:rsidRPr="00B275E2" w:rsidRDefault="00F5281A" w:rsidP="00B92E81">
            <w:pPr>
              <w:pStyle w:val="Boxtext"/>
              <w:tabs>
                <w:tab w:val="left" w:pos="2881"/>
                <w:tab w:val="left" w:pos="4681"/>
              </w:tabs>
              <w:spacing w:before="20" w:after="20"/>
              <w:ind w:left="851"/>
            </w:pPr>
            <w:r w:rsidRPr="00B275E2">
              <w:t>CH</w:t>
            </w:r>
            <w:r w:rsidRPr="00B275E2">
              <w:rPr>
                <w:vertAlign w:val="subscript"/>
              </w:rPr>
              <w:t>4</w:t>
            </w:r>
            <w:r w:rsidRPr="00B275E2">
              <w:t xml:space="preserve"> emissions </w:t>
            </w:r>
            <w:r w:rsidRPr="00B275E2">
              <w:tab/>
              <w:t>= 800 × 0.003</w:t>
            </w:r>
            <w:r w:rsidRPr="00B275E2">
              <w:tab/>
              <w:t>= 2.4 kg CO</w:t>
            </w:r>
            <w:r w:rsidRPr="00B275E2">
              <w:rPr>
                <w:vertAlign w:val="subscript"/>
              </w:rPr>
              <w:t>2</w:t>
            </w:r>
            <w:r w:rsidRPr="00B275E2">
              <w:t xml:space="preserve">-e </w:t>
            </w:r>
          </w:p>
          <w:p w14:paraId="4C630FB8" w14:textId="77777777" w:rsidR="00F5281A" w:rsidRPr="00B275E2" w:rsidRDefault="00F5281A" w:rsidP="00B92E81">
            <w:pPr>
              <w:pStyle w:val="Boxtext"/>
              <w:tabs>
                <w:tab w:val="left" w:pos="2881"/>
                <w:tab w:val="left" w:pos="4681"/>
              </w:tabs>
              <w:spacing w:before="20" w:after="20"/>
              <w:ind w:left="851"/>
            </w:pPr>
            <w:r w:rsidRPr="00B275E2">
              <w:t>N</w:t>
            </w:r>
            <w:r w:rsidRPr="00B275E2">
              <w:rPr>
                <w:vertAlign w:val="subscript"/>
              </w:rPr>
              <w:t>2</w:t>
            </w:r>
            <w:r w:rsidRPr="00B275E2">
              <w:t>O emissions</w:t>
            </w:r>
            <w:r w:rsidRPr="00B275E2">
              <w:tab/>
              <w:t xml:space="preserve">= 800 × 0.009 </w:t>
            </w:r>
            <w:r w:rsidRPr="00B275E2">
              <w:tab/>
              <w:t>= 7.2 kg CO</w:t>
            </w:r>
            <w:r w:rsidRPr="00B275E2">
              <w:rPr>
                <w:vertAlign w:val="subscript"/>
              </w:rPr>
              <w:t>2</w:t>
            </w:r>
            <w:r w:rsidRPr="00B275E2">
              <w:t xml:space="preserve">-e </w:t>
            </w:r>
          </w:p>
          <w:p w14:paraId="0F5EF5DD" w14:textId="77777777" w:rsidR="00F5281A" w:rsidRPr="00B275E2" w:rsidRDefault="00F5281A" w:rsidP="00B92E81">
            <w:pPr>
              <w:pStyle w:val="Boxtext"/>
              <w:tabs>
                <w:tab w:val="left" w:pos="2881"/>
                <w:tab w:val="left" w:pos="4681"/>
              </w:tabs>
              <w:spacing w:before="20" w:after="20"/>
              <w:ind w:left="851"/>
            </w:pPr>
            <w:r w:rsidRPr="00B275E2">
              <w:t>Total CO</w:t>
            </w:r>
            <w:r w:rsidRPr="00B275E2">
              <w:rPr>
                <w:vertAlign w:val="subscript"/>
              </w:rPr>
              <w:t>2</w:t>
            </w:r>
            <w:r w:rsidRPr="00B275E2">
              <w:t>-e emissions</w:t>
            </w:r>
            <w:r w:rsidRPr="00B275E2">
              <w:tab/>
              <w:t>= 800 × 0.282</w:t>
            </w:r>
            <w:r w:rsidRPr="00B275E2">
              <w:tab/>
              <w:t>= 225.6 kg CO</w:t>
            </w:r>
            <w:r w:rsidRPr="00B275E2">
              <w:rPr>
                <w:vertAlign w:val="subscript"/>
              </w:rPr>
              <w:t>2</w:t>
            </w:r>
            <w:r w:rsidRPr="00B275E2">
              <w:t xml:space="preserve">-e </w:t>
            </w:r>
          </w:p>
          <w:p w14:paraId="490AE7F7" w14:textId="77777777" w:rsidR="00F5281A" w:rsidRPr="00B275E2" w:rsidRDefault="00F5281A" w:rsidP="00B92E81">
            <w:pPr>
              <w:pStyle w:val="Boxtext"/>
              <w:tabs>
                <w:tab w:val="left" w:pos="2881"/>
                <w:tab w:val="left" w:pos="4681"/>
              </w:tabs>
              <w:spacing w:before="20" w:after="20"/>
              <w:ind w:left="851"/>
            </w:pPr>
            <w:r w:rsidRPr="00B275E2">
              <w:t>Total CO</w:t>
            </w:r>
            <w:r w:rsidRPr="00B275E2">
              <w:rPr>
                <w:vertAlign w:val="subscript"/>
              </w:rPr>
              <w:t>2</w:t>
            </w:r>
            <w:r w:rsidRPr="00B275E2">
              <w:t>-e emission from freighted goods = 135 + 225.6 = 360.6 kg CO</w:t>
            </w:r>
            <w:r w:rsidRPr="00B275E2">
              <w:rPr>
                <w:vertAlign w:val="subscript"/>
              </w:rPr>
              <w:t>2</w:t>
            </w:r>
            <w:r w:rsidRPr="00B275E2">
              <w:t>-e</w:t>
            </w:r>
          </w:p>
          <w:p w14:paraId="627E8845" w14:textId="4271CFEA" w:rsidR="00F5281A" w:rsidRPr="00B275E2" w:rsidRDefault="00F5281A" w:rsidP="00B92E81">
            <w:pPr>
              <w:pStyle w:val="Boxtext"/>
              <w:spacing w:after="160"/>
            </w:pPr>
            <w:r w:rsidRPr="00B275E2">
              <w:rPr>
                <w:sz w:val="18"/>
              </w:rPr>
              <w:t>Note: Numbers may not add due to rounding.</w:t>
            </w:r>
          </w:p>
        </w:tc>
      </w:tr>
    </w:tbl>
    <w:p w14:paraId="1E47DE27" w14:textId="65561A6C" w:rsidR="00B36DA6" w:rsidRPr="00B275E2" w:rsidRDefault="00B36DA6" w:rsidP="00B92E81">
      <w:pPr>
        <w:pStyle w:val="BodyText"/>
        <w:spacing w:before="240"/>
        <w:rPr>
          <w:b/>
          <w:bCs/>
        </w:rPr>
      </w:pPr>
      <w:bookmarkStart w:id="480" w:name="_Toc532904921"/>
      <w:r w:rsidRPr="00B275E2">
        <w:rPr>
          <w:rFonts w:cs="Calibri"/>
          <w:shd w:val="clear" w:color="auto" w:fill="FFFFFF"/>
        </w:rPr>
        <w:t>For vehicles that run on electricity, care should be taken not to double-count emissions from electricity use that is already captured from reporting of an organisations on-site electricity consumption</w:t>
      </w:r>
      <w:r w:rsidR="00B92E81" w:rsidRPr="00B275E2">
        <w:rPr>
          <w:rFonts w:cs="Calibri"/>
          <w:shd w:val="clear" w:color="auto" w:fill="FFFFFF"/>
        </w:rPr>
        <w:t>.</w:t>
      </w:r>
      <w:r w:rsidRPr="00B275E2">
        <w:rPr>
          <w:rStyle w:val="FootnoteReference"/>
          <w:rFonts w:cs="Calibri"/>
          <w:color w:val="auto"/>
          <w:shd w:val="clear" w:color="auto" w:fill="FFFFFF"/>
        </w:rPr>
        <w:footnoteReference w:id="48"/>
      </w:r>
    </w:p>
    <w:p w14:paraId="650928A9" w14:textId="44E19CC4" w:rsidR="00645D01" w:rsidRPr="00B275E2" w:rsidRDefault="00645D01" w:rsidP="006B7605">
      <w:pPr>
        <w:pStyle w:val="Heading3"/>
      </w:pPr>
      <w:r w:rsidRPr="00B275E2">
        <w:lastRenderedPageBreak/>
        <w:t>Emission factor derivation methodology</w:t>
      </w:r>
      <w:bookmarkEnd w:id="480"/>
    </w:p>
    <w:p w14:paraId="650928AA" w14:textId="0FC83AEF" w:rsidR="008B2AF1" w:rsidRPr="00B275E2" w:rsidRDefault="00A13318" w:rsidP="007F0B1E">
      <w:pPr>
        <w:pStyle w:val="BodyText"/>
      </w:pPr>
      <w:r w:rsidRPr="00B275E2">
        <w:t>Th</w:t>
      </w:r>
      <w:r w:rsidR="00EF2882" w:rsidRPr="00B275E2">
        <w:t xml:space="preserve">e </w:t>
      </w:r>
      <w:hyperlink r:id="rId87" w:history="1">
        <w:r w:rsidR="00171E23" w:rsidRPr="00B275E2">
          <w:rPr>
            <w:rStyle w:val="Hyperlink"/>
          </w:rPr>
          <w:t>E</w:t>
        </w:r>
        <w:r w:rsidR="00284EC1" w:rsidRPr="00B275E2">
          <w:rPr>
            <w:rStyle w:val="Hyperlink"/>
          </w:rPr>
          <w:t>I</w:t>
        </w:r>
        <w:r w:rsidRPr="00B275E2">
          <w:rPr>
            <w:rStyle w:val="Hyperlink"/>
          </w:rPr>
          <w:t xml:space="preserve"> report</w:t>
        </w:r>
      </w:hyperlink>
      <w:r w:rsidR="00EF2882" w:rsidRPr="00B275E2">
        <w:rPr>
          <w:rStyle w:val="FootnoteReference"/>
        </w:rPr>
        <w:footnoteReference w:id="49"/>
      </w:r>
      <w:r w:rsidRPr="00B275E2">
        <w:t xml:space="preserve"> supports a dataset of projected </w:t>
      </w:r>
      <w:r w:rsidR="00EF2882" w:rsidRPr="00B275E2">
        <w:t>real-world</w:t>
      </w:r>
      <w:r w:rsidRPr="00B275E2">
        <w:t xml:space="preserve"> fuel consumption rates</w:t>
      </w:r>
      <w:r w:rsidR="00284EC1" w:rsidRPr="00B275E2">
        <w:t xml:space="preserve"> in MoT’s Vehicle Fleet Emission Model</w:t>
      </w:r>
      <w:r w:rsidRPr="00B275E2">
        <w:t xml:space="preserve">. </w:t>
      </w:r>
      <w:r w:rsidR="008B2AF1" w:rsidRPr="00B275E2">
        <w:t xml:space="preserve">The </w:t>
      </w:r>
      <w:r w:rsidR="0013422C" w:rsidRPr="00B275E2">
        <w:t xml:space="preserve">EI report categorises </w:t>
      </w:r>
      <w:r w:rsidR="008B2AF1" w:rsidRPr="00B275E2">
        <w:t>freight as light commercial and heavy goods vehicles. The litres of fuel (or kWh of electricity) consumed per 100</w:t>
      </w:r>
      <w:r w:rsidR="00E6157A" w:rsidRPr="00B275E2">
        <w:t xml:space="preserve"> </w:t>
      </w:r>
      <w:r w:rsidR="008B2AF1" w:rsidRPr="00B275E2">
        <w:t>km are provided i</w:t>
      </w:r>
      <w:r w:rsidR="00DA4F00" w:rsidRPr="00B275E2">
        <w:t xml:space="preserve">n </w:t>
      </w:r>
      <w:r w:rsidR="00F5281A" w:rsidRPr="00B275E2">
        <w:t xml:space="preserve">table </w:t>
      </w:r>
      <w:r w:rsidR="00A355CD" w:rsidRPr="00B275E2">
        <w:t>6</w:t>
      </w:r>
      <w:r w:rsidR="00521227">
        <w:t>1</w:t>
      </w:r>
      <w:r w:rsidR="00DA4F00" w:rsidRPr="00B275E2">
        <w:t xml:space="preserve"> and</w:t>
      </w:r>
      <w:r w:rsidR="00972689" w:rsidRPr="00B275E2">
        <w:t xml:space="preserve"> </w:t>
      </w:r>
      <w:r w:rsidR="004B591E" w:rsidRPr="00B275E2">
        <w:t xml:space="preserve">table </w:t>
      </w:r>
      <w:r w:rsidR="00A355CD" w:rsidRPr="00B275E2">
        <w:t>6</w:t>
      </w:r>
      <w:r w:rsidR="00521227">
        <w:t>3</w:t>
      </w:r>
      <w:r w:rsidR="00F7505C" w:rsidRPr="00B275E2">
        <w:rPr>
          <w:color w:val="32809C" w:themeColor="accent2"/>
        </w:rPr>
        <w:t>.</w:t>
      </w:r>
    </w:p>
    <w:p w14:paraId="650928AB" w14:textId="76E46345" w:rsidR="008B2AF1" w:rsidRPr="00B275E2" w:rsidRDefault="00EB4389" w:rsidP="00DE6137">
      <w:pPr>
        <w:pStyle w:val="Tableheading"/>
      </w:pPr>
      <w:bookmarkStart w:id="481" w:name="_Toc111536666"/>
      <w:r w:rsidRPr="00B275E2">
        <w:t xml:space="preserve">Table </w:t>
      </w:r>
      <w:r w:rsidRPr="00B275E2">
        <w:fldChar w:fldCharType="begin"/>
      </w:r>
      <w:r w:rsidRPr="00B275E2">
        <w:instrText>SEQ Table \* ARABIC</w:instrText>
      </w:r>
      <w:r w:rsidRPr="00B275E2">
        <w:fldChar w:fldCharType="separate"/>
      </w:r>
      <w:r>
        <w:rPr>
          <w:noProof/>
        </w:rPr>
        <w:t>61</w:t>
      </w:r>
      <w:r w:rsidRPr="00B275E2">
        <w:fldChar w:fldCharType="end"/>
      </w:r>
      <w:r w:rsidRPr="00B275E2">
        <w:t>:</w:t>
      </w:r>
      <w:r w:rsidRPr="00B275E2">
        <w:tab/>
      </w:r>
      <w:r w:rsidR="00F7178D" w:rsidRPr="00B275E2">
        <w:t xml:space="preserve">Light commercial vehicles </w:t>
      </w:r>
      <w:r w:rsidR="00836D5A" w:rsidRPr="00B275E2">
        <w:t>(</w:t>
      </w:r>
      <w:r w:rsidR="00F7178D" w:rsidRPr="00B275E2">
        <w:t>energy consumption per 100</w:t>
      </w:r>
      <w:r w:rsidR="00836D5A" w:rsidRPr="00B275E2">
        <w:t xml:space="preserve"> </w:t>
      </w:r>
      <w:r w:rsidR="00F7178D" w:rsidRPr="00B275E2">
        <w:t>km</w:t>
      </w:r>
      <w:r w:rsidR="00836D5A" w:rsidRPr="00B275E2">
        <w:t>)</w:t>
      </w:r>
      <w:bookmarkEnd w:id="481"/>
    </w:p>
    <w:tbl>
      <w:tblPr>
        <w:tblStyle w:val="LightList-Accent11"/>
        <w:tblW w:w="8505" w:type="dxa"/>
        <w:tblBorders>
          <w:top w:val="single" w:sz="4" w:space="0" w:color="1B556B"/>
          <w:bottom w:val="single" w:sz="4" w:space="0" w:color="1B556B"/>
          <w:insideH w:val="single" w:sz="4" w:space="0" w:color="1B556B"/>
          <w:insideV w:val="single" w:sz="4" w:space="0" w:color="1B556B"/>
        </w:tblBorders>
        <w:tblLook w:val="04A0" w:firstRow="1" w:lastRow="0" w:firstColumn="1" w:lastColumn="0" w:noHBand="0" w:noVBand="1"/>
      </w:tblPr>
      <w:tblGrid>
        <w:gridCol w:w="2830"/>
        <w:gridCol w:w="1791"/>
        <w:gridCol w:w="669"/>
        <w:gridCol w:w="1106"/>
        <w:gridCol w:w="1051"/>
        <w:gridCol w:w="1058"/>
      </w:tblGrid>
      <w:tr w:rsidR="00AA04C5" w:rsidRPr="00B275E2" w14:paraId="650928B0" w14:textId="77777777" w:rsidTr="00F03FA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gridSpan w:val="2"/>
            <w:vMerge w:val="restart"/>
            <w:tcBorders>
              <w:bottom w:val="nil"/>
            </w:tcBorders>
            <w:shd w:val="clear" w:color="auto" w:fill="1B556B"/>
            <w:noWrap/>
            <w:vAlign w:val="bottom"/>
            <w:hideMark/>
          </w:tcPr>
          <w:p w14:paraId="650928AC" w14:textId="77777777" w:rsidR="00AA04C5" w:rsidRPr="00B275E2" w:rsidRDefault="00AA04C5" w:rsidP="00DE6137">
            <w:pPr>
              <w:pStyle w:val="TableText"/>
              <w:spacing w:before="0" w:after="40"/>
              <w:rPr>
                <w:rFonts w:cs="Calibri"/>
                <w:szCs w:val="18"/>
              </w:rPr>
            </w:pPr>
            <w:r w:rsidRPr="00B275E2">
              <w:rPr>
                <w:rFonts w:cs="Calibri"/>
                <w:szCs w:val="18"/>
              </w:rPr>
              <w:t>Emission source</w:t>
            </w:r>
          </w:p>
        </w:tc>
        <w:tc>
          <w:tcPr>
            <w:tcW w:w="0" w:type="auto"/>
            <w:vMerge w:val="restart"/>
            <w:tcBorders>
              <w:bottom w:val="nil"/>
            </w:tcBorders>
            <w:shd w:val="clear" w:color="auto" w:fill="1B556B"/>
            <w:vAlign w:val="bottom"/>
          </w:tcPr>
          <w:p w14:paraId="6805EF6B" w14:textId="15D02D18" w:rsidR="00AA04C5" w:rsidRPr="00B275E2" w:rsidRDefault="00AA04C5" w:rsidP="00DE6137">
            <w:pPr>
              <w:pStyle w:val="TableText"/>
              <w:spacing w:before="0" w:after="40"/>
              <w:cnfStyle w:val="100000000000" w:firstRow="1" w:lastRow="0" w:firstColumn="0" w:lastColumn="0" w:oddVBand="0" w:evenVBand="0" w:oddHBand="0" w:evenHBand="0" w:firstRowFirstColumn="0" w:firstRowLastColumn="0" w:lastRowFirstColumn="0" w:lastRowLastColumn="0"/>
              <w:rPr>
                <w:rFonts w:cs="Calibri"/>
                <w:szCs w:val="18"/>
              </w:rPr>
            </w:pPr>
            <w:r w:rsidRPr="00B275E2">
              <w:rPr>
                <w:rFonts w:cs="Calibri"/>
                <w:szCs w:val="18"/>
              </w:rPr>
              <w:t>Units</w:t>
            </w:r>
          </w:p>
        </w:tc>
        <w:tc>
          <w:tcPr>
            <w:tcW w:w="0" w:type="auto"/>
            <w:gridSpan w:val="3"/>
            <w:tcBorders>
              <w:bottom w:val="nil"/>
            </w:tcBorders>
            <w:shd w:val="clear" w:color="auto" w:fill="1B556B"/>
            <w:noWrap/>
            <w:vAlign w:val="bottom"/>
            <w:hideMark/>
          </w:tcPr>
          <w:p w14:paraId="650928AF" w14:textId="0869BB16" w:rsidR="00AA04C5" w:rsidRPr="00B275E2" w:rsidRDefault="00AA04C5" w:rsidP="00DE6137">
            <w:pPr>
              <w:pStyle w:val="TableText"/>
              <w:spacing w:after="40"/>
              <w:cnfStyle w:val="100000000000" w:firstRow="1" w:lastRow="0" w:firstColumn="0" w:lastColumn="0" w:oddVBand="0" w:evenVBand="0" w:oddHBand="0" w:evenHBand="0" w:firstRowFirstColumn="0" w:firstRowLastColumn="0" w:lastRowFirstColumn="0" w:lastRowLastColumn="0"/>
              <w:rPr>
                <w:rFonts w:cs="Calibri"/>
                <w:szCs w:val="18"/>
              </w:rPr>
            </w:pPr>
            <w:r w:rsidRPr="00B275E2">
              <w:rPr>
                <w:rFonts w:cs="Calibri"/>
                <w:szCs w:val="18"/>
              </w:rPr>
              <w:t>Units of energy consumed per 100 km</w:t>
            </w:r>
          </w:p>
        </w:tc>
      </w:tr>
      <w:tr w:rsidR="0013422C" w:rsidRPr="00B275E2" w14:paraId="4EAEA9B3" w14:textId="77777777" w:rsidTr="00213E7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gridSpan w:val="2"/>
            <w:vMerge/>
            <w:tcBorders>
              <w:top w:val="nil"/>
            </w:tcBorders>
            <w:shd w:val="clear" w:color="auto" w:fill="1B556B"/>
            <w:noWrap/>
            <w:vAlign w:val="bottom"/>
          </w:tcPr>
          <w:p w14:paraId="50DA050B" w14:textId="77777777" w:rsidR="00AA04C5" w:rsidRPr="00B275E2" w:rsidRDefault="00AA04C5" w:rsidP="00DE6137">
            <w:pPr>
              <w:pStyle w:val="TableText"/>
              <w:spacing w:before="40" w:after="40"/>
              <w:rPr>
                <w:rFonts w:cs="Calibri"/>
                <w:szCs w:val="18"/>
              </w:rPr>
            </w:pPr>
          </w:p>
        </w:tc>
        <w:tc>
          <w:tcPr>
            <w:tcW w:w="0" w:type="auto"/>
            <w:vMerge/>
            <w:tcBorders>
              <w:top w:val="nil"/>
            </w:tcBorders>
            <w:shd w:val="clear" w:color="auto" w:fill="1B556B"/>
            <w:vAlign w:val="bottom"/>
          </w:tcPr>
          <w:p w14:paraId="57006943" w14:textId="77777777" w:rsidR="00AA04C5" w:rsidRPr="00B275E2" w:rsidRDefault="00AA04C5" w:rsidP="00DE6137">
            <w:pPr>
              <w:pStyle w:val="TableText"/>
              <w:spacing w:before="0" w:after="40"/>
              <w:cnfStyle w:val="100000000000" w:firstRow="1" w:lastRow="0" w:firstColumn="0" w:lastColumn="0" w:oddVBand="0" w:evenVBand="0" w:oddHBand="0" w:evenHBand="0" w:firstRowFirstColumn="0" w:firstRowLastColumn="0" w:lastRowFirstColumn="0" w:lastRowLastColumn="0"/>
              <w:rPr>
                <w:rFonts w:cs="Calibri"/>
                <w:szCs w:val="18"/>
              </w:rPr>
            </w:pPr>
          </w:p>
        </w:tc>
        <w:tc>
          <w:tcPr>
            <w:tcW w:w="1106" w:type="dxa"/>
            <w:tcBorders>
              <w:top w:val="nil"/>
            </w:tcBorders>
            <w:shd w:val="clear" w:color="auto" w:fill="1B556B"/>
            <w:noWrap/>
            <w:vAlign w:val="bottom"/>
          </w:tcPr>
          <w:p w14:paraId="45D30941" w14:textId="33B29B4B" w:rsidR="00AA04C5" w:rsidRPr="00B275E2" w:rsidRDefault="00AA04C5" w:rsidP="00DE6137">
            <w:pPr>
              <w:pStyle w:val="TableText"/>
              <w:spacing w:before="0" w:after="40"/>
              <w:cnfStyle w:val="100000000000" w:firstRow="1" w:lastRow="0" w:firstColumn="0" w:lastColumn="0" w:oddVBand="0" w:evenVBand="0" w:oddHBand="0" w:evenHBand="0" w:firstRowFirstColumn="0" w:firstRowLastColumn="0" w:lastRowFirstColumn="0" w:lastRowLastColumn="0"/>
              <w:rPr>
                <w:rFonts w:cs="Calibri"/>
                <w:szCs w:val="18"/>
              </w:rPr>
            </w:pPr>
            <w:r w:rsidRPr="00B275E2">
              <w:rPr>
                <w:rFonts w:cs="Calibri"/>
                <w:szCs w:val="18"/>
              </w:rPr>
              <w:t>Pre</w:t>
            </w:r>
            <w:r w:rsidR="0013422C" w:rsidRPr="00B275E2">
              <w:rPr>
                <w:rFonts w:cs="Calibri"/>
                <w:szCs w:val="18"/>
              </w:rPr>
              <w:t>-</w:t>
            </w:r>
            <w:r w:rsidRPr="00B275E2">
              <w:rPr>
                <w:rFonts w:cs="Calibri"/>
                <w:szCs w:val="18"/>
              </w:rPr>
              <w:t>2010</w:t>
            </w:r>
          </w:p>
        </w:tc>
        <w:tc>
          <w:tcPr>
            <w:tcW w:w="1051" w:type="dxa"/>
            <w:tcBorders>
              <w:top w:val="nil"/>
            </w:tcBorders>
            <w:shd w:val="clear" w:color="auto" w:fill="1B556B"/>
            <w:noWrap/>
            <w:vAlign w:val="bottom"/>
          </w:tcPr>
          <w:p w14:paraId="4C16DB41" w14:textId="22516C78" w:rsidR="00AA04C5" w:rsidRPr="00B275E2" w:rsidRDefault="00AA04C5" w:rsidP="00DE6137">
            <w:pPr>
              <w:pStyle w:val="TableText"/>
              <w:spacing w:before="0" w:after="40"/>
              <w:cnfStyle w:val="100000000000" w:firstRow="1" w:lastRow="0" w:firstColumn="0" w:lastColumn="0" w:oddVBand="0" w:evenVBand="0" w:oddHBand="0" w:evenHBand="0" w:firstRowFirstColumn="0" w:firstRowLastColumn="0" w:lastRowFirstColumn="0" w:lastRowLastColumn="0"/>
              <w:rPr>
                <w:rFonts w:cs="Calibri"/>
                <w:szCs w:val="18"/>
              </w:rPr>
            </w:pPr>
            <w:r w:rsidRPr="00B275E2">
              <w:rPr>
                <w:rFonts w:cs="Calibri"/>
                <w:szCs w:val="18"/>
              </w:rPr>
              <w:t>2010</w:t>
            </w:r>
            <w:r w:rsidR="0013422C" w:rsidRPr="00B275E2">
              <w:rPr>
                <w:rFonts w:cs="Calibri"/>
                <w:szCs w:val="18"/>
              </w:rPr>
              <w:t>–</w:t>
            </w:r>
            <w:r w:rsidRPr="00B275E2">
              <w:rPr>
                <w:rFonts w:cs="Calibri"/>
                <w:szCs w:val="18"/>
              </w:rPr>
              <w:t>2015</w:t>
            </w:r>
          </w:p>
        </w:tc>
        <w:tc>
          <w:tcPr>
            <w:tcW w:w="0" w:type="auto"/>
            <w:tcBorders>
              <w:top w:val="nil"/>
            </w:tcBorders>
            <w:shd w:val="clear" w:color="auto" w:fill="1B556B"/>
            <w:noWrap/>
            <w:vAlign w:val="bottom"/>
          </w:tcPr>
          <w:p w14:paraId="23E621E2" w14:textId="1F412787" w:rsidR="00AA04C5" w:rsidRPr="00B275E2" w:rsidRDefault="00AA04C5" w:rsidP="00DE6137">
            <w:pPr>
              <w:pStyle w:val="TableText"/>
              <w:spacing w:before="0" w:after="40"/>
              <w:cnfStyle w:val="100000000000" w:firstRow="1" w:lastRow="0" w:firstColumn="0" w:lastColumn="0" w:oddVBand="0" w:evenVBand="0" w:oddHBand="0" w:evenHBand="0" w:firstRowFirstColumn="0" w:firstRowLastColumn="0" w:lastRowFirstColumn="0" w:lastRowLastColumn="0"/>
              <w:rPr>
                <w:rFonts w:cs="Calibri"/>
                <w:szCs w:val="18"/>
              </w:rPr>
            </w:pPr>
            <w:r w:rsidRPr="00B275E2">
              <w:rPr>
                <w:rFonts w:cs="Calibri"/>
                <w:szCs w:val="18"/>
              </w:rPr>
              <w:t>Post</w:t>
            </w:r>
            <w:r w:rsidR="0013422C" w:rsidRPr="00B275E2">
              <w:rPr>
                <w:rFonts w:cs="Calibri"/>
                <w:szCs w:val="18"/>
              </w:rPr>
              <w:t>-</w:t>
            </w:r>
            <w:r w:rsidRPr="00B275E2">
              <w:rPr>
                <w:rFonts w:cs="Calibri"/>
                <w:szCs w:val="18"/>
              </w:rPr>
              <w:t>2015</w:t>
            </w:r>
          </w:p>
        </w:tc>
      </w:tr>
      <w:tr w:rsidR="00416418" w:rsidRPr="00B275E2" w14:paraId="650928B6" w14:textId="77777777" w:rsidTr="00310A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vMerge w:val="restart"/>
            <w:tcBorders>
              <w:left w:val="single" w:sz="4" w:space="0" w:color="FFFFFF" w:themeColor="background1"/>
            </w:tcBorders>
          </w:tcPr>
          <w:p w14:paraId="650928B1" w14:textId="77777777" w:rsidR="00416418" w:rsidRPr="00B275E2" w:rsidRDefault="00416418" w:rsidP="00DE6137">
            <w:pPr>
              <w:pStyle w:val="TableText"/>
              <w:spacing w:before="40" w:after="40"/>
              <w:rPr>
                <w:rFonts w:cs="Calibri"/>
                <w:b w:val="0"/>
                <w:szCs w:val="18"/>
              </w:rPr>
            </w:pPr>
            <w:r w:rsidRPr="00B275E2">
              <w:rPr>
                <w:rFonts w:cs="Calibri"/>
                <w:b w:val="0"/>
                <w:szCs w:val="18"/>
              </w:rPr>
              <w:t>Petrol</w:t>
            </w:r>
          </w:p>
        </w:tc>
        <w:tc>
          <w:tcPr>
            <w:tcW w:w="1791" w:type="dxa"/>
            <w:noWrap/>
          </w:tcPr>
          <w:p w14:paraId="650928B2" w14:textId="77777777" w:rsidR="00416418" w:rsidRPr="00B275E2" w:rsidRDefault="00416418" w:rsidP="00DE6137">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color w:val="000000"/>
                <w:szCs w:val="18"/>
              </w:rPr>
              <w:t>&lt;1350 cc</w:t>
            </w:r>
          </w:p>
        </w:tc>
        <w:tc>
          <w:tcPr>
            <w:tcW w:w="0" w:type="auto"/>
          </w:tcPr>
          <w:p w14:paraId="1F0884E0" w14:textId="7D16F79A" w:rsidR="00416418" w:rsidRPr="00B275E2" w:rsidRDefault="00416418" w:rsidP="00DE6137">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litres</w:t>
            </w:r>
          </w:p>
        </w:tc>
        <w:tc>
          <w:tcPr>
            <w:tcW w:w="1106" w:type="dxa"/>
            <w:shd w:val="clear" w:color="auto" w:fill="auto"/>
            <w:noWrap/>
            <w:vAlign w:val="bottom"/>
          </w:tcPr>
          <w:p w14:paraId="650928B3" w14:textId="76728645" w:rsidR="00416418" w:rsidRPr="00B275E2" w:rsidRDefault="00416418" w:rsidP="00DE6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0.08</w:t>
            </w:r>
          </w:p>
        </w:tc>
        <w:tc>
          <w:tcPr>
            <w:tcW w:w="1051" w:type="dxa"/>
            <w:shd w:val="clear" w:color="auto" w:fill="auto"/>
            <w:noWrap/>
            <w:vAlign w:val="bottom"/>
          </w:tcPr>
          <w:p w14:paraId="650928B4" w14:textId="2295F683" w:rsidR="00416418" w:rsidRPr="00B275E2" w:rsidRDefault="00416418" w:rsidP="00DE6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0.08</w:t>
            </w:r>
          </w:p>
        </w:tc>
        <w:tc>
          <w:tcPr>
            <w:tcW w:w="0" w:type="auto"/>
            <w:tcBorders>
              <w:right w:val="single" w:sz="4" w:space="0" w:color="FFFFFF" w:themeColor="background1"/>
            </w:tcBorders>
            <w:shd w:val="clear" w:color="auto" w:fill="auto"/>
            <w:noWrap/>
            <w:vAlign w:val="bottom"/>
          </w:tcPr>
          <w:p w14:paraId="650928B5" w14:textId="6E1EB35D" w:rsidR="00416418" w:rsidRPr="00B275E2" w:rsidRDefault="00416418" w:rsidP="00DE6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0.07</w:t>
            </w:r>
          </w:p>
        </w:tc>
      </w:tr>
      <w:tr w:rsidR="00416418" w:rsidRPr="00B275E2" w14:paraId="650928BC" w14:textId="77777777" w:rsidTr="00310AB0">
        <w:trPr>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left w:val="single" w:sz="4" w:space="0" w:color="FFFFFF" w:themeColor="background1"/>
            </w:tcBorders>
          </w:tcPr>
          <w:p w14:paraId="650928B7" w14:textId="77777777" w:rsidR="00416418" w:rsidRPr="00B275E2" w:rsidRDefault="00416418" w:rsidP="00DE6137">
            <w:pPr>
              <w:pStyle w:val="TableText"/>
              <w:spacing w:before="40" w:after="40"/>
              <w:rPr>
                <w:rFonts w:cs="Calibri"/>
                <w:b w:val="0"/>
                <w:szCs w:val="18"/>
              </w:rPr>
            </w:pPr>
          </w:p>
        </w:tc>
        <w:tc>
          <w:tcPr>
            <w:tcW w:w="1791" w:type="dxa"/>
            <w:noWrap/>
          </w:tcPr>
          <w:p w14:paraId="650928B8" w14:textId="7E56F164" w:rsidR="00416418" w:rsidRPr="00B275E2" w:rsidRDefault="00416418" w:rsidP="00DE6137">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color w:val="000000"/>
                <w:szCs w:val="18"/>
              </w:rPr>
              <w:t xml:space="preserve">1350 - </w:t>
            </w:r>
            <w:r w:rsidRPr="00B275E2">
              <w:rPr>
                <w:rFonts w:cs="Calibri"/>
                <w:szCs w:val="18"/>
              </w:rPr>
              <w:t>&lt;</w:t>
            </w:r>
            <w:r w:rsidRPr="00B275E2">
              <w:rPr>
                <w:rFonts w:cs="Calibri"/>
                <w:color w:val="000000"/>
                <w:szCs w:val="18"/>
              </w:rPr>
              <w:t>1600 cc</w:t>
            </w:r>
          </w:p>
        </w:tc>
        <w:tc>
          <w:tcPr>
            <w:tcW w:w="0" w:type="auto"/>
          </w:tcPr>
          <w:p w14:paraId="7EC73761" w14:textId="4474EE8D" w:rsidR="00416418" w:rsidRPr="00B275E2" w:rsidRDefault="00416418" w:rsidP="00DE6137">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litres</w:t>
            </w:r>
          </w:p>
        </w:tc>
        <w:tc>
          <w:tcPr>
            <w:tcW w:w="1106" w:type="dxa"/>
            <w:shd w:val="clear" w:color="auto" w:fill="auto"/>
            <w:noWrap/>
            <w:vAlign w:val="bottom"/>
          </w:tcPr>
          <w:p w14:paraId="650928B9" w14:textId="2AD3E455" w:rsidR="00416418" w:rsidRPr="00B275E2" w:rsidRDefault="00416418" w:rsidP="00DE6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0.09</w:t>
            </w:r>
          </w:p>
        </w:tc>
        <w:tc>
          <w:tcPr>
            <w:tcW w:w="1051" w:type="dxa"/>
            <w:shd w:val="clear" w:color="auto" w:fill="auto"/>
            <w:noWrap/>
            <w:vAlign w:val="bottom"/>
          </w:tcPr>
          <w:p w14:paraId="650928BA" w14:textId="1DEB59F0" w:rsidR="00416418" w:rsidRPr="00B275E2" w:rsidRDefault="00416418" w:rsidP="00DE6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0.09</w:t>
            </w:r>
          </w:p>
        </w:tc>
        <w:tc>
          <w:tcPr>
            <w:tcW w:w="0" w:type="auto"/>
            <w:tcBorders>
              <w:right w:val="single" w:sz="4" w:space="0" w:color="FFFFFF" w:themeColor="background1"/>
            </w:tcBorders>
            <w:shd w:val="clear" w:color="auto" w:fill="auto"/>
            <w:noWrap/>
            <w:vAlign w:val="bottom"/>
          </w:tcPr>
          <w:p w14:paraId="650928BB" w14:textId="68E6037B" w:rsidR="00416418" w:rsidRPr="00B275E2" w:rsidRDefault="00416418" w:rsidP="00DE6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0.08</w:t>
            </w:r>
          </w:p>
        </w:tc>
      </w:tr>
      <w:tr w:rsidR="00416418" w:rsidRPr="00B275E2" w14:paraId="650928C2" w14:textId="77777777" w:rsidTr="00310A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left w:val="single" w:sz="4" w:space="0" w:color="FFFFFF" w:themeColor="background1"/>
            </w:tcBorders>
          </w:tcPr>
          <w:p w14:paraId="650928BD" w14:textId="77777777" w:rsidR="00416418" w:rsidRPr="00B275E2" w:rsidRDefault="00416418" w:rsidP="00DE6137">
            <w:pPr>
              <w:pStyle w:val="TableText"/>
              <w:spacing w:before="40" w:after="40"/>
              <w:rPr>
                <w:rFonts w:cs="Calibri"/>
                <w:b w:val="0"/>
                <w:szCs w:val="18"/>
              </w:rPr>
            </w:pPr>
          </w:p>
        </w:tc>
        <w:tc>
          <w:tcPr>
            <w:tcW w:w="1791" w:type="dxa"/>
            <w:noWrap/>
          </w:tcPr>
          <w:p w14:paraId="650928BE" w14:textId="25B8ADFB" w:rsidR="00416418" w:rsidRPr="00B275E2" w:rsidRDefault="00416418" w:rsidP="00DE6137">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color w:val="000000"/>
                <w:szCs w:val="18"/>
              </w:rPr>
              <w:t xml:space="preserve">1600 - </w:t>
            </w:r>
            <w:r w:rsidRPr="00B275E2">
              <w:rPr>
                <w:rFonts w:cs="Calibri"/>
                <w:szCs w:val="18"/>
              </w:rPr>
              <w:t>&lt;</w:t>
            </w:r>
            <w:r w:rsidRPr="00B275E2">
              <w:rPr>
                <w:rFonts w:cs="Calibri"/>
                <w:color w:val="000000"/>
                <w:szCs w:val="18"/>
              </w:rPr>
              <w:t>2000 cc</w:t>
            </w:r>
          </w:p>
        </w:tc>
        <w:tc>
          <w:tcPr>
            <w:tcW w:w="0" w:type="auto"/>
          </w:tcPr>
          <w:p w14:paraId="2E94162A" w14:textId="54F079C1" w:rsidR="00416418" w:rsidRPr="00B275E2" w:rsidRDefault="00416418" w:rsidP="00DE6137">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litres</w:t>
            </w:r>
          </w:p>
        </w:tc>
        <w:tc>
          <w:tcPr>
            <w:tcW w:w="1106" w:type="dxa"/>
            <w:shd w:val="clear" w:color="auto" w:fill="auto"/>
            <w:noWrap/>
            <w:vAlign w:val="bottom"/>
          </w:tcPr>
          <w:p w14:paraId="650928BF" w14:textId="5B2087D5" w:rsidR="00416418" w:rsidRPr="00B275E2" w:rsidRDefault="00416418" w:rsidP="00DE6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0.12</w:t>
            </w:r>
          </w:p>
        </w:tc>
        <w:tc>
          <w:tcPr>
            <w:tcW w:w="1051" w:type="dxa"/>
            <w:shd w:val="clear" w:color="auto" w:fill="auto"/>
            <w:noWrap/>
            <w:vAlign w:val="bottom"/>
          </w:tcPr>
          <w:p w14:paraId="650928C0" w14:textId="0A07E3C7" w:rsidR="00416418" w:rsidRPr="00B275E2" w:rsidRDefault="00416418" w:rsidP="00DE6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0.12</w:t>
            </w:r>
          </w:p>
        </w:tc>
        <w:tc>
          <w:tcPr>
            <w:tcW w:w="0" w:type="auto"/>
            <w:tcBorders>
              <w:right w:val="single" w:sz="4" w:space="0" w:color="FFFFFF" w:themeColor="background1"/>
            </w:tcBorders>
            <w:shd w:val="clear" w:color="auto" w:fill="auto"/>
            <w:noWrap/>
            <w:vAlign w:val="bottom"/>
          </w:tcPr>
          <w:p w14:paraId="650928C1" w14:textId="6BBA0442" w:rsidR="00416418" w:rsidRPr="00B275E2" w:rsidRDefault="00416418" w:rsidP="00DE6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0.11</w:t>
            </w:r>
          </w:p>
        </w:tc>
      </w:tr>
      <w:tr w:rsidR="00416418" w:rsidRPr="00B275E2" w14:paraId="650928C8" w14:textId="77777777" w:rsidTr="00310AB0">
        <w:trPr>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left w:val="single" w:sz="4" w:space="0" w:color="FFFFFF" w:themeColor="background1"/>
            </w:tcBorders>
          </w:tcPr>
          <w:p w14:paraId="650928C3" w14:textId="77777777" w:rsidR="00416418" w:rsidRPr="00B275E2" w:rsidRDefault="00416418" w:rsidP="00DE6137">
            <w:pPr>
              <w:pStyle w:val="TableText"/>
              <w:spacing w:before="40" w:after="40"/>
              <w:rPr>
                <w:rFonts w:cs="Calibri"/>
                <w:b w:val="0"/>
                <w:szCs w:val="18"/>
              </w:rPr>
            </w:pPr>
          </w:p>
        </w:tc>
        <w:tc>
          <w:tcPr>
            <w:tcW w:w="1791" w:type="dxa"/>
            <w:noWrap/>
          </w:tcPr>
          <w:p w14:paraId="650928C4" w14:textId="0342A2B0" w:rsidR="00416418" w:rsidRPr="00B275E2" w:rsidRDefault="00416418" w:rsidP="00DE6137">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color w:val="000000"/>
                <w:szCs w:val="18"/>
              </w:rPr>
              <w:t xml:space="preserve">2000 - </w:t>
            </w:r>
            <w:r w:rsidRPr="00B275E2">
              <w:rPr>
                <w:rFonts w:cs="Calibri"/>
                <w:szCs w:val="18"/>
              </w:rPr>
              <w:t>&lt;</w:t>
            </w:r>
            <w:r w:rsidRPr="00B275E2">
              <w:rPr>
                <w:rFonts w:cs="Calibri"/>
                <w:color w:val="000000"/>
                <w:szCs w:val="18"/>
              </w:rPr>
              <w:t>3000 cc</w:t>
            </w:r>
          </w:p>
        </w:tc>
        <w:tc>
          <w:tcPr>
            <w:tcW w:w="0" w:type="auto"/>
          </w:tcPr>
          <w:p w14:paraId="185CAF63" w14:textId="287BB57C" w:rsidR="00416418" w:rsidRPr="00B275E2" w:rsidRDefault="00416418" w:rsidP="00DE6137">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litres</w:t>
            </w:r>
          </w:p>
        </w:tc>
        <w:tc>
          <w:tcPr>
            <w:tcW w:w="1106" w:type="dxa"/>
            <w:shd w:val="clear" w:color="auto" w:fill="auto"/>
            <w:noWrap/>
            <w:vAlign w:val="bottom"/>
          </w:tcPr>
          <w:p w14:paraId="650928C5" w14:textId="5A42564E" w:rsidR="00416418" w:rsidRPr="00B275E2" w:rsidRDefault="00416418" w:rsidP="00DE6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0.13</w:t>
            </w:r>
          </w:p>
        </w:tc>
        <w:tc>
          <w:tcPr>
            <w:tcW w:w="1051" w:type="dxa"/>
            <w:shd w:val="clear" w:color="auto" w:fill="auto"/>
            <w:noWrap/>
            <w:vAlign w:val="bottom"/>
          </w:tcPr>
          <w:p w14:paraId="650928C6" w14:textId="3DF5D1C4" w:rsidR="00416418" w:rsidRPr="00B275E2" w:rsidRDefault="00416418" w:rsidP="00DE6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0.12</w:t>
            </w:r>
          </w:p>
        </w:tc>
        <w:tc>
          <w:tcPr>
            <w:tcW w:w="0" w:type="auto"/>
            <w:tcBorders>
              <w:right w:val="single" w:sz="4" w:space="0" w:color="FFFFFF" w:themeColor="background1"/>
            </w:tcBorders>
            <w:shd w:val="clear" w:color="auto" w:fill="auto"/>
            <w:noWrap/>
            <w:vAlign w:val="bottom"/>
          </w:tcPr>
          <w:p w14:paraId="650928C7" w14:textId="1A7D2778" w:rsidR="00416418" w:rsidRPr="00B275E2" w:rsidRDefault="00416418" w:rsidP="00DE6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0.11</w:t>
            </w:r>
          </w:p>
        </w:tc>
      </w:tr>
      <w:tr w:rsidR="00416418" w:rsidRPr="00B275E2" w14:paraId="650928CE" w14:textId="77777777" w:rsidTr="00310A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left w:val="single" w:sz="4" w:space="0" w:color="FFFFFF" w:themeColor="background1"/>
            </w:tcBorders>
          </w:tcPr>
          <w:p w14:paraId="650928C9" w14:textId="77777777" w:rsidR="00416418" w:rsidRPr="00B275E2" w:rsidRDefault="00416418" w:rsidP="00DE6137">
            <w:pPr>
              <w:pStyle w:val="TableText"/>
              <w:spacing w:before="40" w:after="40"/>
              <w:rPr>
                <w:rFonts w:cs="Calibri"/>
                <w:b w:val="0"/>
                <w:szCs w:val="18"/>
              </w:rPr>
            </w:pPr>
          </w:p>
        </w:tc>
        <w:tc>
          <w:tcPr>
            <w:tcW w:w="1791" w:type="dxa"/>
            <w:noWrap/>
          </w:tcPr>
          <w:p w14:paraId="650928CA" w14:textId="77777777" w:rsidR="00416418" w:rsidRPr="00B275E2" w:rsidRDefault="00416418" w:rsidP="00DE6137">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color w:val="000000"/>
                <w:szCs w:val="18"/>
              </w:rPr>
              <w:t>≥3000 cc</w:t>
            </w:r>
          </w:p>
        </w:tc>
        <w:tc>
          <w:tcPr>
            <w:tcW w:w="0" w:type="auto"/>
          </w:tcPr>
          <w:p w14:paraId="2B4D0E21" w14:textId="60FFA390" w:rsidR="00416418" w:rsidRPr="00B275E2" w:rsidRDefault="00416418" w:rsidP="00DE6137">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litres</w:t>
            </w:r>
          </w:p>
        </w:tc>
        <w:tc>
          <w:tcPr>
            <w:tcW w:w="1106" w:type="dxa"/>
            <w:shd w:val="clear" w:color="auto" w:fill="auto"/>
            <w:noWrap/>
            <w:vAlign w:val="bottom"/>
          </w:tcPr>
          <w:p w14:paraId="650928CB" w14:textId="4E5FE336" w:rsidR="00416418" w:rsidRPr="00B275E2" w:rsidRDefault="00416418" w:rsidP="00DE6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0.15</w:t>
            </w:r>
          </w:p>
        </w:tc>
        <w:tc>
          <w:tcPr>
            <w:tcW w:w="1051" w:type="dxa"/>
            <w:shd w:val="clear" w:color="auto" w:fill="auto"/>
            <w:noWrap/>
            <w:vAlign w:val="bottom"/>
          </w:tcPr>
          <w:p w14:paraId="650928CC" w14:textId="4F9C666F" w:rsidR="00416418" w:rsidRPr="00B275E2" w:rsidRDefault="00416418" w:rsidP="00DE6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0.14</w:t>
            </w:r>
          </w:p>
        </w:tc>
        <w:tc>
          <w:tcPr>
            <w:tcW w:w="0" w:type="auto"/>
            <w:tcBorders>
              <w:right w:val="single" w:sz="4" w:space="0" w:color="FFFFFF" w:themeColor="background1"/>
            </w:tcBorders>
            <w:shd w:val="clear" w:color="auto" w:fill="auto"/>
            <w:noWrap/>
            <w:vAlign w:val="bottom"/>
          </w:tcPr>
          <w:p w14:paraId="650928CD" w14:textId="3E1285AB" w:rsidR="00416418" w:rsidRPr="00B275E2" w:rsidRDefault="00416418" w:rsidP="00DE6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0.13</w:t>
            </w:r>
          </w:p>
        </w:tc>
      </w:tr>
      <w:tr w:rsidR="00416418" w:rsidRPr="00B275E2" w14:paraId="650928D4" w14:textId="77777777" w:rsidTr="00310AB0">
        <w:trPr>
          <w:trHeight w:val="300"/>
        </w:trPr>
        <w:tc>
          <w:tcPr>
            <w:cnfStyle w:val="001000000000" w:firstRow="0" w:lastRow="0" w:firstColumn="1" w:lastColumn="0" w:oddVBand="0" w:evenVBand="0" w:oddHBand="0" w:evenHBand="0" w:firstRowFirstColumn="0" w:firstRowLastColumn="0" w:lastRowFirstColumn="0" w:lastRowLastColumn="0"/>
            <w:tcW w:w="2830" w:type="dxa"/>
            <w:vMerge w:val="restart"/>
            <w:tcBorders>
              <w:left w:val="single" w:sz="4" w:space="0" w:color="FFFFFF" w:themeColor="background1"/>
            </w:tcBorders>
          </w:tcPr>
          <w:p w14:paraId="650928CF" w14:textId="77777777" w:rsidR="00416418" w:rsidRPr="00B275E2" w:rsidRDefault="00416418" w:rsidP="00DE6137">
            <w:pPr>
              <w:pStyle w:val="TableText"/>
              <w:spacing w:before="40" w:after="40"/>
              <w:rPr>
                <w:rFonts w:cs="Calibri"/>
                <w:b w:val="0"/>
                <w:szCs w:val="18"/>
              </w:rPr>
            </w:pPr>
            <w:r w:rsidRPr="00B275E2">
              <w:rPr>
                <w:rFonts w:cs="Calibri"/>
                <w:b w:val="0"/>
                <w:szCs w:val="18"/>
              </w:rPr>
              <w:t>Diesel</w:t>
            </w:r>
          </w:p>
        </w:tc>
        <w:tc>
          <w:tcPr>
            <w:tcW w:w="1791" w:type="dxa"/>
            <w:noWrap/>
          </w:tcPr>
          <w:p w14:paraId="650928D0" w14:textId="77777777" w:rsidR="00416418" w:rsidRPr="00B275E2" w:rsidRDefault="00416418" w:rsidP="00DE6137">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color w:val="000000"/>
                <w:szCs w:val="18"/>
              </w:rPr>
              <w:t>&lt;1350 cc</w:t>
            </w:r>
          </w:p>
        </w:tc>
        <w:tc>
          <w:tcPr>
            <w:tcW w:w="0" w:type="auto"/>
          </w:tcPr>
          <w:p w14:paraId="6887601A" w14:textId="4A32B1F7" w:rsidR="00416418" w:rsidRPr="00B275E2" w:rsidRDefault="00416418" w:rsidP="00DE6137">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litres</w:t>
            </w:r>
          </w:p>
        </w:tc>
        <w:tc>
          <w:tcPr>
            <w:tcW w:w="1106" w:type="dxa"/>
            <w:shd w:val="clear" w:color="auto" w:fill="auto"/>
            <w:noWrap/>
            <w:vAlign w:val="bottom"/>
          </w:tcPr>
          <w:p w14:paraId="650928D1" w14:textId="679EC6B0" w:rsidR="00416418" w:rsidRPr="00B275E2" w:rsidRDefault="00416418" w:rsidP="00DE6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0.08</w:t>
            </w:r>
          </w:p>
        </w:tc>
        <w:tc>
          <w:tcPr>
            <w:tcW w:w="1051" w:type="dxa"/>
            <w:shd w:val="clear" w:color="auto" w:fill="auto"/>
            <w:noWrap/>
            <w:vAlign w:val="bottom"/>
          </w:tcPr>
          <w:p w14:paraId="650928D2" w14:textId="51393869" w:rsidR="00416418" w:rsidRPr="00B275E2" w:rsidRDefault="00416418" w:rsidP="00DE6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0.07</w:t>
            </w:r>
          </w:p>
        </w:tc>
        <w:tc>
          <w:tcPr>
            <w:tcW w:w="0" w:type="auto"/>
            <w:tcBorders>
              <w:right w:val="single" w:sz="4" w:space="0" w:color="FFFFFF" w:themeColor="background1"/>
            </w:tcBorders>
            <w:shd w:val="clear" w:color="auto" w:fill="auto"/>
            <w:noWrap/>
            <w:vAlign w:val="bottom"/>
          </w:tcPr>
          <w:p w14:paraId="650928D3" w14:textId="1B35F242" w:rsidR="00416418" w:rsidRPr="00B275E2" w:rsidRDefault="00416418" w:rsidP="00DE6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0.07</w:t>
            </w:r>
          </w:p>
        </w:tc>
      </w:tr>
      <w:tr w:rsidR="00416418" w:rsidRPr="00B275E2" w14:paraId="650928DA" w14:textId="77777777" w:rsidTr="00310A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left w:val="single" w:sz="4" w:space="0" w:color="FFFFFF" w:themeColor="background1"/>
            </w:tcBorders>
          </w:tcPr>
          <w:p w14:paraId="650928D5" w14:textId="77777777" w:rsidR="00416418" w:rsidRPr="00B275E2" w:rsidRDefault="00416418" w:rsidP="00DE6137">
            <w:pPr>
              <w:pStyle w:val="TableText"/>
              <w:spacing w:before="40" w:after="40"/>
              <w:rPr>
                <w:rFonts w:cs="Calibri"/>
                <w:b w:val="0"/>
                <w:szCs w:val="18"/>
              </w:rPr>
            </w:pPr>
          </w:p>
        </w:tc>
        <w:tc>
          <w:tcPr>
            <w:tcW w:w="1791" w:type="dxa"/>
            <w:noWrap/>
          </w:tcPr>
          <w:p w14:paraId="650928D6" w14:textId="24BACDC0" w:rsidR="00416418" w:rsidRPr="00B275E2" w:rsidRDefault="00416418" w:rsidP="00DE6137">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color w:val="000000"/>
                <w:szCs w:val="18"/>
              </w:rPr>
              <w:t xml:space="preserve">1350 - </w:t>
            </w:r>
            <w:r w:rsidRPr="00B275E2">
              <w:rPr>
                <w:rFonts w:cs="Calibri"/>
                <w:szCs w:val="18"/>
              </w:rPr>
              <w:t>&lt;</w:t>
            </w:r>
            <w:r w:rsidRPr="00B275E2">
              <w:rPr>
                <w:rFonts w:cs="Calibri"/>
                <w:color w:val="000000"/>
                <w:szCs w:val="18"/>
              </w:rPr>
              <w:t>1600 cc</w:t>
            </w:r>
          </w:p>
        </w:tc>
        <w:tc>
          <w:tcPr>
            <w:tcW w:w="0" w:type="auto"/>
          </w:tcPr>
          <w:p w14:paraId="126C3147" w14:textId="15E224BA" w:rsidR="00416418" w:rsidRPr="00B275E2" w:rsidRDefault="00416418" w:rsidP="00DE6137">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litres</w:t>
            </w:r>
          </w:p>
        </w:tc>
        <w:tc>
          <w:tcPr>
            <w:tcW w:w="1106" w:type="dxa"/>
            <w:shd w:val="clear" w:color="auto" w:fill="auto"/>
            <w:noWrap/>
            <w:vAlign w:val="bottom"/>
          </w:tcPr>
          <w:p w14:paraId="650928D7" w14:textId="7F9B86D8" w:rsidR="00416418" w:rsidRPr="00B275E2" w:rsidRDefault="00416418" w:rsidP="00DE6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0.08</w:t>
            </w:r>
          </w:p>
        </w:tc>
        <w:tc>
          <w:tcPr>
            <w:tcW w:w="1051" w:type="dxa"/>
            <w:shd w:val="clear" w:color="auto" w:fill="auto"/>
            <w:noWrap/>
            <w:vAlign w:val="bottom"/>
          </w:tcPr>
          <w:p w14:paraId="650928D8" w14:textId="0C910781" w:rsidR="00416418" w:rsidRPr="00B275E2" w:rsidRDefault="00416418" w:rsidP="00DE6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0.07</w:t>
            </w:r>
          </w:p>
        </w:tc>
        <w:tc>
          <w:tcPr>
            <w:tcW w:w="0" w:type="auto"/>
            <w:tcBorders>
              <w:right w:val="single" w:sz="4" w:space="0" w:color="FFFFFF" w:themeColor="background1"/>
            </w:tcBorders>
            <w:shd w:val="clear" w:color="auto" w:fill="auto"/>
            <w:noWrap/>
            <w:vAlign w:val="bottom"/>
          </w:tcPr>
          <w:p w14:paraId="650928D9" w14:textId="32D99D3B" w:rsidR="00416418" w:rsidRPr="00B275E2" w:rsidRDefault="00416418" w:rsidP="00DE6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0.07</w:t>
            </w:r>
          </w:p>
        </w:tc>
      </w:tr>
      <w:tr w:rsidR="00416418" w:rsidRPr="00B275E2" w14:paraId="650928E0" w14:textId="77777777" w:rsidTr="00310AB0">
        <w:trPr>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left w:val="single" w:sz="4" w:space="0" w:color="FFFFFF" w:themeColor="background1"/>
            </w:tcBorders>
          </w:tcPr>
          <w:p w14:paraId="650928DB" w14:textId="77777777" w:rsidR="00416418" w:rsidRPr="00B275E2" w:rsidRDefault="00416418" w:rsidP="00DE6137">
            <w:pPr>
              <w:pStyle w:val="TableText"/>
              <w:spacing w:before="40" w:after="40"/>
              <w:rPr>
                <w:rFonts w:cs="Calibri"/>
                <w:b w:val="0"/>
                <w:szCs w:val="18"/>
              </w:rPr>
            </w:pPr>
          </w:p>
        </w:tc>
        <w:tc>
          <w:tcPr>
            <w:tcW w:w="1791" w:type="dxa"/>
            <w:noWrap/>
          </w:tcPr>
          <w:p w14:paraId="650928DC" w14:textId="1E8A8FF5" w:rsidR="00416418" w:rsidRPr="00B275E2" w:rsidRDefault="00416418" w:rsidP="00DE6137">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color w:val="000000"/>
                <w:szCs w:val="18"/>
              </w:rPr>
              <w:t xml:space="preserve">1600 - </w:t>
            </w:r>
            <w:r w:rsidRPr="00B275E2">
              <w:rPr>
                <w:rFonts w:cs="Calibri"/>
                <w:szCs w:val="18"/>
              </w:rPr>
              <w:t>&lt;</w:t>
            </w:r>
            <w:r w:rsidRPr="00B275E2">
              <w:rPr>
                <w:rFonts w:cs="Calibri"/>
                <w:color w:val="000000"/>
                <w:szCs w:val="18"/>
              </w:rPr>
              <w:t>2000 cc</w:t>
            </w:r>
          </w:p>
        </w:tc>
        <w:tc>
          <w:tcPr>
            <w:tcW w:w="0" w:type="auto"/>
          </w:tcPr>
          <w:p w14:paraId="522A9F40" w14:textId="1FA7BECD" w:rsidR="00416418" w:rsidRPr="00B275E2" w:rsidRDefault="00416418" w:rsidP="00DE6137">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litres</w:t>
            </w:r>
          </w:p>
        </w:tc>
        <w:tc>
          <w:tcPr>
            <w:tcW w:w="1106" w:type="dxa"/>
            <w:shd w:val="clear" w:color="auto" w:fill="auto"/>
            <w:noWrap/>
            <w:vAlign w:val="bottom"/>
          </w:tcPr>
          <w:p w14:paraId="650928DD" w14:textId="6171B134" w:rsidR="00416418" w:rsidRPr="00B275E2" w:rsidRDefault="00416418" w:rsidP="00DE6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0.10</w:t>
            </w:r>
          </w:p>
        </w:tc>
        <w:tc>
          <w:tcPr>
            <w:tcW w:w="1051" w:type="dxa"/>
            <w:shd w:val="clear" w:color="auto" w:fill="auto"/>
            <w:noWrap/>
            <w:vAlign w:val="bottom"/>
          </w:tcPr>
          <w:p w14:paraId="650928DE" w14:textId="61A810C0" w:rsidR="00416418" w:rsidRPr="00B275E2" w:rsidRDefault="00416418" w:rsidP="00DE6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0.09</w:t>
            </w:r>
          </w:p>
        </w:tc>
        <w:tc>
          <w:tcPr>
            <w:tcW w:w="0" w:type="auto"/>
            <w:tcBorders>
              <w:right w:val="single" w:sz="4" w:space="0" w:color="FFFFFF" w:themeColor="background1"/>
            </w:tcBorders>
            <w:shd w:val="clear" w:color="auto" w:fill="auto"/>
            <w:noWrap/>
            <w:vAlign w:val="bottom"/>
          </w:tcPr>
          <w:p w14:paraId="650928DF" w14:textId="07976F11" w:rsidR="00416418" w:rsidRPr="00B275E2" w:rsidRDefault="00416418" w:rsidP="00DE6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0.09</w:t>
            </w:r>
          </w:p>
        </w:tc>
      </w:tr>
      <w:tr w:rsidR="00416418" w:rsidRPr="00B275E2" w14:paraId="650928E6" w14:textId="77777777" w:rsidTr="00310A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left w:val="single" w:sz="4" w:space="0" w:color="FFFFFF" w:themeColor="background1"/>
            </w:tcBorders>
          </w:tcPr>
          <w:p w14:paraId="650928E1" w14:textId="77777777" w:rsidR="00416418" w:rsidRPr="00B275E2" w:rsidRDefault="00416418" w:rsidP="00DE6137">
            <w:pPr>
              <w:pStyle w:val="TableText"/>
              <w:spacing w:before="40" w:after="40"/>
              <w:rPr>
                <w:rFonts w:cs="Calibri"/>
                <w:b w:val="0"/>
                <w:szCs w:val="18"/>
              </w:rPr>
            </w:pPr>
          </w:p>
        </w:tc>
        <w:tc>
          <w:tcPr>
            <w:tcW w:w="1791" w:type="dxa"/>
            <w:noWrap/>
          </w:tcPr>
          <w:p w14:paraId="650928E2" w14:textId="12BF95FA" w:rsidR="00416418" w:rsidRPr="00B275E2" w:rsidRDefault="00416418" w:rsidP="00DE6137">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color w:val="000000"/>
                <w:szCs w:val="18"/>
              </w:rPr>
              <w:t xml:space="preserve">2000 - </w:t>
            </w:r>
            <w:r w:rsidRPr="00B275E2">
              <w:rPr>
                <w:rFonts w:cs="Calibri"/>
                <w:szCs w:val="18"/>
              </w:rPr>
              <w:t>&lt;</w:t>
            </w:r>
            <w:r w:rsidRPr="00B275E2">
              <w:rPr>
                <w:rFonts w:cs="Calibri"/>
                <w:color w:val="000000"/>
                <w:szCs w:val="18"/>
              </w:rPr>
              <w:t>3000 cc</w:t>
            </w:r>
          </w:p>
        </w:tc>
        <w:tc>
          <w:tcPr>
            <w:tcW w:w="0" w:type="auto"/>
          </w:tcPr>
          <w:p w14:paraId="65B1472D" w14:textId="014F800A" w:rsidR="00416418" w:rsidRPr="00B275E2" w:rsidRDefault="00416418" w:rsidP="00DE6137">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litres</w:t>
            </w:r>
          </w:p>
        </w:tc>
        <w:tc>
          <w:tcPr>
            <w:tcW w:w="1106" w:type="dxa"/>
            <w:shd w:val="clear" w:color="auto" w:fill="auto"/>
            <w:noWrap/>
            <w:vAlign w:val="bottom"/>
          </w:tcPr>
          <w:p w14:paraId="650928E3" w14:textId="578CA66E" w:rsidR="00416418" w:rsidRPr="00B275E2" w:rsidRDefault="00416418" w:rsidP="00DE6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0.11</w:t>
            </w:r>
          </w:p>
        </w:tc>
        <w:tc>
          <w:tcPr>
            <w:tcW w:w="1051" w:type="dxa"/>
            <w:shd w:val="clear" w:color="auto" w:fill="auto"/>
            <w:noWrap/>
            <w:vAlign w:val="bottom"/>
          </w:tcPr>
          <w:p w14:paraId="650928E4" w14:textId="49D9C033" w:rsidR="00416418" w:rsidRPr="00B275E2" w:rsidRDefault="00416418" w:rsidP="00DE6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0.10</w:t>
            </w:r>
          </w:p>
        </w:tc>
        <w:tc>
          <w:tcPr>
            <w:tcW w:w="0" w:type="auto"/>
            <w:tcBorders>
              <w:right w:val="single" w:sz="4" w:space="0" w:color="FFFFFF" w:themeColor="background1"/>
            </w:tcBorders>
            <w:shd w:val="clear" w:color="auto" w:fill="auto"/>
            <w:noWrap/>
            <w:vAlign w:val="bottom"/>
          </w:tcPr>
          <w:p w14:paraId="650928E5" w14:textId="41AF3021" w:rsidR="00416418" w:rsidRPr="00B275E2" w:rsidRDefault="00416418" w:rsidP="00DE6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0.10</w:t>
            </w:r>
          </w:p>
        </w:tc>
      </w:tr>
      <w:tr w:rsidR="00416418" w:rsidRPr="00B275E2" w14:paraId="650928EC" w14:textId="77777777" w:rsidTr="00310AB0">
        <w:trPr>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left w:val="single" w:sz="4" w:space="0" w:color="FFFFFF" w:themeColor="background1"/>
            </w:tcBorders>
          </w:tcPr>
          <w:p w14:paraId="650928E7" w14:textId="77777777" w:rsidR="00416418" w:rsidRPr="00B275E2" w:rsidRDefault="00416418" w:rsidP="00DE6137">
            <w:pPr>
              <w:pStyle w:val="TableText"/>
              <w:spacing w:before="40" w:after="40"/>
              <w:rPr>
                <w:rFonts w:cs="Calibri"/>
                <w:b w:val="0"/>
                <w:szCs w:val="18"/>
              </w:rPr>
            </w:pPr>
          </w:p>
        </w:tc>
        <w:tc>
          <w:tcPr>
            <w:tcW w:w="1791" w:type="dxa"/>
            <w:noWrap/>
          </w:tcPr>
          <w:p w14:paraId="650928E8" w14:textId="77777777" w:rsidR="00416418" w:rsidRPr="00B275E2" w:rsidRDefault="00416418" w:rsidP="00DE6137">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color w:val="000000"/>
                <w:szCs w:val="18"/>
              </w:rPr>
              <w:t>≥3000 cc</w:t>
            </w:r>
          </w:p>
        </w:tc>
        <w:tc>
          <w:tcPr>
            <w:tcW w:w="0" w:type="auto"/>
          </w:tcPr>
          <w:p w14:paraId="1068CB8E" w14:textId="61EFB0A2" w:rsidR="00416418" w:rsidRPr="00B275E2" w:rsidRDefault="00416418" w:rsidP="00DE6137">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litres</w:t>
            </w:r>
          </w:p>
        </w:tc>
        <w:tc>
          <w:tcPr>
            <w:tcW w:w="1106" w:type="dxa"/>
            <w:shd w:val="clear" w:color="auto" w:fill="auto"/>
            <w:noWrap/>
            <w:vAlign w:val="bottom"/>
          </w:tcPr>
          <w:p w14:paraId="650928E9" w14:textId="78D64664" w:rsidR="00416418" w:rsidRPr="00B275E2" w:rsidRDefault="00416418" w:rsidP="00DE6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0.11</w:t>
            </w:r>
          </w:p>
        </w:tc>
        <w:tc>
          <w:tcPr>
            <w:tcW w:w="1051" w:type="dxa"/>
            <w:shd w:val="clear" w:color="auto" w:fill="auto"/>
            <w:noWrap/>
            <w:vAlign w:val="bottom"/>
          </w:tcPr>
          <w:p w14:paraId="650928EA" w14:textId="4F575374" w:rsidR="00416418" w:rsidRPr="00B275E2" w:rsidRDefault="00416418" w:rsidP="00DE6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0.10</w:t>
            </w:r>
          </w:p>
        </w:tc>
        <w:tc>
          <w:tcPr>
            <w:tcW w:w="0" w:type="auto"/>
            <w:tcBorders>
              <w:right w:val="single" w:sz="4" w:space="0" w:color="FFFFFF" w:themeColor="background1"/>
            </w:tcBorders>
            <w:shd w:val="clear" w:color="auto" w:fill="auto"/>
            <w:noWrap/>
            <w:vAlign w:val="bottom"/>
          </w:tcPr>
          <w:p w14:paraId="650928EB" w14:textId="64295CFC" w:rsidR="00416418" w:rsidRPr="00B275E2" w:rsidRDefault="00416418" w:rsidP="00DE6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0.10</w:t>
            </w:r>
          </w:p>
        </w:tc>
      </w:tr>
      <w:tr w:rsidR="00416418" w:rsidRPr="00B275E2" w14:paraId="650928F2" w14:textId="77777777" w:rsidTr="00310AB0">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830" w:type="dxa"/>
            <w:vMerge w:val="restart"/>
            <w:tcBorders>
              <w:left w:val="single" w:sz="4" w:space="0" w:color="FFFFFF" w:themeColor="background1"/>
            </w:tcBorders>
          </w:tcPr>
          <w:p w14:paraId="650928ED" w14:textId="551F8772" w:rsidR="00416418" w:rsidRPr="00B275E2" w:rsidRDefault="00416418" w:rsidP="00DE6137">
            <w:pPr>
              <w:pStyle w:val="TableText"/>
              <w:spacing w:before="40" w:after="40"/>
              <w:rPr>
                <w:rFonts w:cs="Calibri"/>
                <w:b w:val="0"/>
                <w:szCs w:val="18"/>
              </w:rPr>
            </w:pPr>
            <w:r w:rsidRPr="00B275E2">
              <w:rPr>
                <w:rFonts w:cs="Calibri"/>
                <w:b w:val="0"/>
                <w:szCs w:val="18"/>
              </w:rPr>
              <w:t>Petrol hybrid</w:t>
            </w:r>
          </w:p>
        </w:tc>
        <w:tc>
          <w:tcPr>
            <w:tcW w:w="1791" w:type="dxa"/>
            <w:noWrap/>
          </w:tcPr>
          <w:p w14:paraId="650928EE" w14:textId="77777777" w:rsidR="00416418" w:rsidRPr="00B275E2" w:rsidRDefault="00416418" w:rsidP="00DE6137">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color w:val="000000"/>
                <w:szCs w:val="18"/>
              </w:rPr>
              <w:t>&lt;1350 cc</w:t>
            </w:r>
          </w:p>
        </w:tc>
        <w:tc>
          <w:tcPr>
            <w:tcW w:w="0" w:type="auto"/>
          </w:tcPr>
          <w:p w14:paraId="38A17489" w14:textId="43582F1D" w:rsidR="00416418" w:rsidRPr="00B275E2" w:rsidRDefault="00416418" w:rsidP="00DE6137">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litres</w:t>
            </w:r>
          </w:p>
        </w:tc>
        <w:tc>
          <w:tcPr>
            <w:tcW w:w="1106" w:type="dxa"/>
            <w:shd w:val="clear" w:color="auto" w:fill="auto"/>
            <w:noWrap/>
            <w:vAlign w:val="bottom"/>
          </w:tcPr>
          <w:p w14:paraId="650928EF" w14:textId="21E11334" w:rsidR="00416418" w:rsidRPr="00B275E2" w:rsidRDefault="00416418" w:rsidP="00DE6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0.07</w:t>
            </w:r>
          </w:p>
        </w:tc>
        <w:tc>
          <w:tcPr>
            <w:tcW w:w="1051" w:type="dxa"/>
            <w:shd w:val="clear" w:color="auto" w:fill="auto"/>
            <w:noWrap/>
            <w:vAlign w:val="bottom"/>
          </w:tcPr>
          <w:p w14:paraId="650928F0" w14:textId="52AA7BB2" w:rsidR="00416418" w:rsidRPr="00B275E2" w:rsidRDefault="00416418" w:rsidP="00DE6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0.06</w:t>
            </w:r>
          </w:p>
        </w:tc>
        <w:tc>
          <w:tcPr>
            <w:tcW w:w="0" w:type="auto"/>
            <w:tcBorders>
              <w:right w:val="single" w:sz="4" w:space="0" w:color="FFFFFF" w:themeColor="background1"/>
            </w:tcBorders>
            <w:shd w:val="clear" w:color="auto" w:fill="auto"/>
            <w:noWrap/>
            <w:vAlign w:val="bottom"/>
          </w:tcPr>
          <w:p w14:paraId="650928F1" w14:textId="71583247" w:rsidR="00416418" w:rsidRPr="00B275E2" w:rsidRDefault="00416418" w:rsidP="00DE6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0.06</w:t>
            </w:r>
          </w:p>
        </w:tc>
      </w:tr>
      <w:tr w:rsidR="00416418" w:rsidRPr="00B275E2" w14:paraId="650928F8" w14:textId="77777777" w:rsidTr="00310AB0">
        <w:trPr>
          <w:trHeight w:val="345"/>
        </w:trPr>
        <w:tc>
          <w:tcPr>
            <w:cnfStyle w:val="001000000000" w:firstRow="0" w:lastRow="0" w:firstColumn="1" w:lastColumn="0" w:oddVBand="0" w:evenVBand="0" w:oddHBand="0" w:evenHBand="0" w:firstRowFirstColumn="0" w:firstRowLastColumn="0" w:lastRowFirstColumn="0" w:lastRowLastColumn="0"/>
            <w:tcW w:w="2830" w:type="dxa"/>
            <w:vMerge/>
            <w:tcBorders>
              <w:left w:val="single" w:sz="4" w:space="0" w:color="FFFFFF" w:themeColor="background1"/>
            </w:tcBorders>
          </w:tcPr>
          <w:p w14:paraId="650928F3" w14:textId="77777777" w:rsidR="00416418" w:rsidRPr="00B275E2" w:rsidRDefault="00416418" w:rsidP="00DE6137">
            <w:pPr>
              <w:pStyle w:val="TableText"/>
              <w:spacing w:before="40" w:after="40"/>
              <w:rPr>
                <w:rFonts w:cs="Calibri"/>
                <w:b w:val="0"/>
                <w:szCs w:val="18"/>
              </w:rPr>
            </w:pPr>
          </w:p>
        </w:tc>
        <w:tc>
          <w:tcPr>
            <w:tcW w:w="1791" w:type="dxa"/>
            <w:noWrap/>
          </w:tcPr>
          <w:p w14:paraId="650928F4" w14:textId="4141D44B" w:rsidR="00416418" w:rsidRPr="00B275E2" w:rsidRDefault="00416418" w:rsidP="00DE6137">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color w:val="000000"/>
                <w:szCs w:val="18"/>
              </w:rPr>
              <w:t xml:space="preserve">1350 - </w:t>
            </w:r>
            <w:r w:rsidRPr="00B275E2">
              <w:rPr>
                <w:rFonts w:cs="Calibri"/>
                <w:szCs w:val="18"/>
              </w:rPr>
              <w:t>&lt;</w:t>
            </w:r>
            <w:r w:rsidRPr="00B275E2">
              <w:rPr>
                <w:rFonts w:cs="Calibri"/>
                <w:color w:val="000000"/>
                <w:szCs w:val="18"/>
              </w:rPr>
              <w:t>1600 cc</w:t>
            </w:r>
          </w:p>
        </w:tc>
        <w:tc>
          <w:tcPr>
            <w:tcW w:w="0" w:type="auto"/>
          </w:tcPr>
          <w:p w14:paraId="1DB11EC3" w14:textId="29143EEF" w:rsidR="00416418" w:rsidRPr="00B275E2" w:rsidRDefault="00416418" w:rsidP="00DE6137">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litres</w:t>
            </w:r>
          </w:p>
        </w:tc>
        <w:tc>
          <w:tcPr>
            <w:tcW w:w="1106" w:type="dxa"/>
            <w:shd w:val="clear" w:color="auto" w:fill="auto"/>
            <w:noWrap/>
            <w:vAlign w:val="bottom"/>
          </w:tcPr>
          <w:p w14:paraId="650928F5" w14:textId="5F8DCD18" w:rsidR="00416418" w:rsidRPr="00B275E2" w:rsidRDefault="00416418" w:rsidP="00DE6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0.07</w:t>
            </w:r>
          </w:p>
        </w:tc>
        <w:tc>
          <w:tcPr>
            <w:tcW w:w="1051" w:type="dxa"/>
            <w:shd w:val="clear" w:color="auto" w:fill="auto"/>
            <w:noWrap/>
            <w:vAlign w:val="bottom"/>
          </w:tcPr>
          <w:p w14:paraId="650928F6" w14:textId="5E0202EF" w:rsidR="00416418" w:rsidRPr="00B275E2" w:rsidRDefault="00416418" w:rsidP="00DE6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0.07</w:t>
            </w:r>
          </w:p>
        </w:tc>
        <w:tc>
          <w:tcPr>
            <w:tcW w:w="0" w:type="auto"/>
            <w:tcBorders>
              <w:right w:val="single" w:sz="4" w:space="0" w:color="FFFFFF" w:themeColor="background1"/>
            </w:tcBorders>
            <w:shd w:val="clear" w:color="auto" w:fill="auto"/>
            <w:noWrap/>
            <w:vAlign w:val="bottom"/>
          </w:tcPr>
          <w:p w14:paraId="650928F7" w14:textId="0E377646" w:rsidR="00416418" w:rsidRPr="00B275E2" w:rsidRDefault="00416418" w:rsidP="00DE6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0.06</w:t>
            </w:r>
          </w:p>
        </w:tc>
      </w:tr>
      <w:tr w:rsidR="00416418" w:rsidRPr="00B275E2" w14:paraId="650928FE" w14:textId="77777777" w:rsidTr="00310A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left w:val="single" w:sz="4" w:space="0" w:color="FFFFFF" w:themeColor="background1"/>
            </w:tcBorders>
            <w:hideMark/>
          </w:tcPr>
          <w:p w14:paraId="650928F9" w14:textId="77777777" w:rsidR="00416418" w:rsidRPr="00B275E2" w:rsidRDefault="00416418" w:rsidP="00DE6137">
            <w:pPr>
              <w:pStyle w:val="TableText"/>
              <w:spacing w:before="40" w:after="40"/>
              <w:rPr>
                <w:rFonts w:cs="Calibri"/>
                <w:b w:val="0"/>
                <w:szCs w:val="18"/>
              </w:rPr>
            </w:pPr>
          </w:p>
        </w:tc>
        <w:tc>
          <w:tcPr>
            <w:tcW w:w="1791" w:type="dxa"/>
            <w:noWrap/>
          </w:tcPr>
          <w:p w14:paraId="650928FA" w14:textId="4AA8CD72" w:rsidR="00416418" w:rsidRPr="00B275E2" w:rsidRDefault="00416418" w:rsidP="00DE6137">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color w:val="000000"/>
                <w:szCs w:val="18"/>
              </w:rPr>
              <w:t xml:space="preserve">1600 - </w:t>
            </w:r>
            <w:r w:rsidRPr="00B275E2">
              <w:rPr>
                <w:rFonts w:cs="Calibri"/>
                <w:szCs w:val="18"/>
              </w:rPr>
              <w:t>&lt;</w:t>
            </w:r>
            <w:r w:rsidRPr="00B275E2">
              <w:rPr>
                <w:rFonts w:cs="Calibri"/>
                <w:color w:val="000000"/>
                <w:szCs w:val="18"/>
              </w:rPr>
              <w:t>2000 cc</w:t>
            </w:r>
          </w:p>
        </w:tc>
        <w:tc>
          <w:tcPr>
            <w:tcW w:w="0" w:type="auto"/>
          </w:tcPr>
          <w:p w14:paraId="2BF34CA9" w14:textId="08BF10AC" w:rsidR="00416418" w:rsidRPr="00B275E2" w:rsidRDefault="00416418" w:rsidP="00DE6137">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litres</w:t>
            </w:r>
          </w:p>
        </w:tc>
        <w:tc>
          <w:tcPr>
            <w:tcW w:w="1106" w:type="dxa"/>
            <w:shd w:val="clear" w:color="auto" w:fill="auto"/>
            <w:noWrap/>
            <w:vAlign w:val="bottom"/>
          </w:tcPr>
          <w:p w14:paraId="650928FB" w14:textId="00C1210B" w:rsidR="00416418" w:rsidRPr="00B275E2" w:rsidRDefault="00416418" w:rsidP="00DE6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0.10</w:t>
            </w:r>
          </w:p>
        </w:tc>
        <w:tc>
          <w:tcPr>
            <w:tcW w:w="1051" w:type="dxa"/>
            <w:shd w:val="clear" w:color="auto" w:fill="auto"/>
            <w:noWrap/>
            <w:vAlign w:val="bottom"/>
          </w:tcPr>
          <w:p w14:paraId="650928FC" w14:textId="0C1D4CA9" w:rsidR="00416418" w:rsidRPr="00B275E2" w:rsidRDefault="00416418" w:rsidP="00DE6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0.09</w:t>
            </w:r>
          </w:p>
        </w:tc>
        <w:tc>
          <w:tcPr>
            <w:tcW w:w="0" w:type="auto"/>
            <w:tcBorders>
              <w:right w:val="single" w:sz="4" w:space="0" w:color="FFFFFF" w:themeColor="background1"/>
            </w:tcBorders>
            <w:shd w:val="clear" w:color="auto" w:fill="auto"/>
            <w:noWrap/>
            <w:vAlign w:val="bottom"/>
          </w:tcPr>
          <w:p w14:paraId="650928FD" w14:textId="5B12A292" w:rsidR="00416418" w:rsidRPr="00B275E2" w:rsidRDefault="00416418" w:rsidP="00DE6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0.09</w:t>
            </w:r>
          </w:p>
        </w:tc>
      </w:tr>
      <w:tr w:rsidR="00416418" w:rsidRPr="00B275E2" w14:paraId="65092904" w14:textId="77777777" w:rsidTr="00310AB0">
        <w:trPr>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left w:val="single" w:sz="4" w:space="0" w:color="FFFFFF" w:themeColor="background1"/>
            </w:tcBorders>
            <w:hideMark/>
          </w:tcPr>
          <w:p w14:paraId="650928FF" w14:textId="77777777" w:rsidR="00416418" w:rsidRPr="00B275E2" w:rsidRDefault="00416418" w:rsidP="00DE6137">
            <w:pPr>
              <w:pStyle w:val="TableText"/>
              <w:spacing w:before="40" w:after="40"/>
              <w:rPr>
                <w:rFonts w:cs="Calibri"/>
                <w:b w:val="0"/>
                <w:szCs w:val="18"/>
              </w:rPr>
            </w:pPr>
          </w:p>
        </w:tc>
        <w:tc>
          <w:tcPr>
            <w:tcW w:w="1791" w:type="dxa"/>
            <w:noWrap/>
          </w:tcPr>
          <w:p w14:paraId="65092900" w14:textId="094C7492" w:rsidR="00416418" w:rsidRPr="00B275E2" w:rsidRDefault="00416418" w:rsidP="00DE6137">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color w:val="000000"/>
                <w:szCs w:val="18"/>
              </w:rPr>
              <w:t xml:space="preserve">2000 - </w:t>
            </w:r>
            <w:r w:rsidRPr="00B275E2">
              <w:rPr>
                <w:rFonts w:cs="Calibri"/>
                <w:szCs w:val="18"/>
              </w:rPr>
              <w:t>&lt;</w:t>
            </w:r>
            <w:r w:rsidRPr="00B275E2">
              <w:rPr>
                <w:rFonts w:cs="Calibri"/>
                <w:color w:val="000000"/>
                <w:szCs w:val="18"/>
              </w:rPr>
              <w:t>3000 cc</w:t>
            </w:r>
          </w:p>
        </w:tc>
        <w:tc>
          <w:tcPr>
            <w:tcW w:w="0" w:type="auto"/>
          </w:tcPr>
          <w:p w14:paraId="784ECE42" w14:textId="24EF52A7" w:rsidR="00416418" w:rsidRPr="00B275E2" w:rsidRDefault="00416418" w:rsidP="00DE6137">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litres</w:t>
            </w:r>
          </w:p>
        </w:tc>
        <w:tc>
          <w:tcPr>
            <w:tcW w:w="1106" w:type="dxa"/>
            <w:shd w:val="clear" w:color="auto" w:fill="auto"/>
            <w:noWrap/>
            <w:vAlign w:val="bottom"/>
          </w:tcPr>
          <w:p w14:paraId="65092901" w14:textId="74F3A2B3" w:rsidR="00416418" w:rsidRPr="00B275E2" w:rsidRDefault="00416418" w:rsidP="00DE6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0.10</w:t>
            </w:r>
          </w:p>
        </w:tc>
        <w:tc>
          <w:tcPr>
            <w:tcW w:w="1051" w:type="dxa"/>
            <w:shd w:val="clear" w:color="auto" w:fill="auto"/>
            <w:noWrap/>
            <w:vAlign w:val="bottom"/>
          </w:tcPr>
          <w:p w14:paraId="65092902" w14:textId="41B5A583" w:rsidR="00416418" w:rsidRPr="00B275E2" w:rsidRDefault="00416418" w:rsidP="00DE6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0.10</w:t>
            </w:r>
          </w:p>
        </w:tc>
        <w:tc>
          <w:tcPr>
            <w:tcW w:w="0" w:type="auto"/>
            <w:tcBorders>
              <w:right w:val="single" w:sz="4" w:space="0" w:color="FFFFFF" w:themeColor="background1"/>
            </w:tcBorders>
            <w:shd w:val="clear" w:color="auto" w:fill="auto"/>
            <w:noWrap/>
            <w:vAlign w:val="bottom"/>
          </w:tcPr>
          <w:p w14:paraId="65092903" w14:textId="709B6F6C" w:rsidR="00416418" w:rsidRPr="00B275E2" w:rsidRDefault="00416418" w:rsidP="00DE6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0.09</w:t>
            </w:r>
          </w:p>
        </w:tc>
      </w:tr>
      <w:tr w:rsidR="00416418" w:rsidRPr="00B275E2" w14:paraId="6509290A" w14:textId="77777777" w:rsidTr="00310A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left w:val="single" w:sz="4" w:space="0" w:color="FFFFFF" w:themeColor="background1"/>
            </w:tcBorders>
            <w:hideMark/>
          </w:tcPr>
          <w:p w14:paraId="65092905" w14:textId="77777777" w:rsidR="00416418" w:rsidRPr="00B275E2" w:rsidRDefault="00416418" w:rsidP="00DE6137">
            <w:pPr>
              <w:pStyle w:val="TableText"/>
              <w:spacing w:before="40" w:after="40"/>
              <w:rPr>
                <w:rFonts w:cs="Calibri"/>
                <w:b w:val="0"/>
                <w:szCs w:val="18"/>
              </w:rPr>
            </w:pPr>
          </w:p>
        </w:tc>
        <w:tc>
          <w:tcPr>
            <w:tcW w:w="1791" w:type="dxa"/>
            <w:noWrap/>
          </w:tcPr>
          <w:p w14:paraId="65092906" w14:textId="77777777" w:rsidR="00416418" w:rsidRPr="00B275E2" w:rsidRDefault="00416418" w:rsidP="00DE6137">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color w:val="000000"/>
                <w:szCs w:val="18"/>
              </w:rPr>
              <w:t>≥3000 cc</w:t>
            </w:r>
          </w:p>
        </w:tc>
        <w:tc>
          <w:tcPr>
            <w:tcW w:w="0" w:type="auto"/>
          </w:tcPr>
          <w:p w14:paraId="2D3B1395" w14:textId="0C42A50A" w:rsidR="00416418" w:rsidRPr="00B275E2" w:rsidRDefault="00416418" w:rsidP="00DE6137">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litres</w:t>
            </w:r>
          </w:p>
        </w:tc>
        <w:tc>
          <w:tcPr>
            <w:tcW w:w="1106" w:type="dxa"/>
            <w:shd w:val="clear" w:color="auto" w:fill="auto"/>
            <w:noWrap/>
            <w:vAlign w:val="bottom"/>
          </w:tcPr>
          <w:p w14:paraId="65092907" w14:textId="160E8476" w:rsidR="00416418" w:rsidRPr="00B275E2" w:rsidRDefault="00416418" w:rsidP="00DE6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0.12</w:t>
            </w:r>
          </w:p>
        </w:tc>
        <w:tc>
          <w:tcPr>
            <w:tcW w:w="1051" w:type="dxa"/>
            <w:shd w:val="clear" w:color="auto" w:fill="auto"/>
            <w:noWrap/>
            <w:vAlign w:val="bottom"/>
          </w:tcPr>
          <w:p w14:paraId="65092908" w14:textId="45FC7104" w:rsidR="00416418" w:rsidRPr="00B275E2" w:rsidRDefault="00416418" w:rsidP="00DE6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0.11</w:t>
            </w:r>
          </w:p>
        </w:tc>
        <w:tc>
          <w:tcPr>
            <w:tcW w:w="0" w:type="auto"/>
            <w:tcBorders>
              <w:right w:val="single" w:sz="4" w:space="0" w:color="FFFFFF" w:themeColor="background1"/>
            </w:tcBorders>
            <w:shd w:val="clear" w:color="auto" w:fill="auto"/>
            <w:noWrap/>
            <w:vAlign w:val="bottom"/>
          </w:tcPr>
          <w:p w14:paraId="65092909" w14:textId="0088919B" w:rsidR="00416418" w:rsidRPr="00B275E2" w:rsidRDefault="00416418" w:rsidP="00DE6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0.10</w:t>
            </w:r>
          </w:p>
        </w:tc>
      </w:tr>
      <w:tr w:rsidR="00416418" w:rsidRPr="00B275E2" w14:paraId="65092910" w14:textId="77777777" w:rsidTr="00310AB0">
        <w:trPr>
          <w:trHeight w:val="300"/>
        </w:trPr>
        <w:tc>
          <w:tcPr>
            <w:cnfStyle w:val="001000000000" w:firstRow="0" w:lastRow="0" w:firstColumn="1" w:lastColumn="0" w:oddVBand="0" w:evenVBand="0" w:oddHBand="0" w:evenHBand="0" w:firstRowFirstColumn="0" w:firstRowLastColumn="0" w:lastRowFirstColumn="0" w:lastRowLastColumn="0"/>
            <w:tcW w:w="2830" w:type="dxa"/>
            <w:vMerge w:val="restart"/>
            <w:tcBorders>
              <w:left w:val="single" w:sz="4" w:space="0" w:color="FFFFFF" w:themeColor="background1"/>
            </w:tcBorders>
            <w:hideMark/>
          </w:tcPr>
          <w:p w14:paraId="6509290B" w14:textId="15DB183B" w:rsidR="00416418" w:rsidRPr="00B275E2" w:rsidRDefault="00416418" w:rsidP="00DE6137">
            <w:pPr>
              <w:pStyle w:val="TableText"/>
              <w:spacing w:before="40" w:after="40"/>
              <w:rPr>
                <w:rFonts w:cs="Calibri"/>
                <w:b w:val="0"/>
                <w:szCs w:val="18"/>
              </w:rPr>
            </w:pPr>
            <w:r w:rsidRPr="00B275E2">
              <w:rPr>
                <w:rFonts w:cs="Calibri"/>
                <w:b w:val="0"/>
                <w:szCs w:val="18"/>
              </w:rPr>
              <w:t>Diesel hybrid</w:t>
            </w:r>
          </w:p>
        </w:tc>
        <w:tc>
          <w:tcPr>
            <w:tcW w:w="1791" w:type="dxa"/>
            <w:noWrap/>
          </w:tcPr>
          <w:p w14:paraId="6509290C" w14:textId="77777777" w:rsidR="00416418" w:rsidRPr="00B275E2" w:rsidRDefault="00416418" w:rsidP="00DE6137">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color w:val="000000"/>
                <w:szCs w:val="18"/>
              </w:rPr>
              <w:t>&lt;1350 cc</w:t>
            </w:r>
          </w:p>
        </w:tc>
        <w:tc>
          <w:tcPr>
            <w:tcW w:w="0" w:type="auto"/>
          </w:tcPr>
          <w:p w14:paraId="79A95DF3" w14:textId="73C23856" w:rsidR="00416418" w:rsidRPr="00B275E2" w:rsidRDefault="00416418" w:rsidP="00DE6137">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litres</w:t>
            </w:r>
          </w:p>
        </w:tc>
        <w:tc>
          <w:tcPr>
            <w:tcW w:w="1106" w:type="dxa"/>
            <w:shd w:val="clear" w:color="auto" w:fill="auto"/>
            <w:noWrap/>
            <w:vAlign w:val="bottom"/>
          </w:tcPr>
          <w:p w14:paraId="6509290D" w14:textId="1246910C" w:rsidR="00416418" w:rsidRPr="00B275E2" w:rsidRDefault="00416418" w:rsidP="00DE6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0.07</w:t>
            </w:r>
          </w:p>
        </w:tc>
        <w:tc>
          <w:tcPr>
            <w:tcW w:w="1051" w:type="dxa"/>
            <w:shd w:val="clear" w:color="auto" w:fill="auto"/>
            <w:noWrap/>
            <w:vAlign w:val="bottom"/>
          </w:tcPr>
          <w:p w14:paraId="6509290E" w14:textId="38373381" w:rsidR="00416418" w:rsidRPr="00B275E2" w:rsidRDefault="00416418" w:rsidP="00DE6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0.07</w:t>
            </w:r>
          </w:p>
        </w:tc>
        <w:tc>
          <w:tcPr>
            <w:tcW w:w="0" w:type="auto"/>
            <w:tcBorders>
              <w:right w:val="single" w:sz="4" w:space="0" w:color="FFFFFF" w:themeColor="background1"/>
            </w:tcBorders>
            <w:shd w:val="clear" w:color="auto" w:fill="auto"/>
            <w:noWrap/>
            <w:vAlign w:val="bottom"/>
          </w:tcPr>
          <w:p w14:paraId="6509290F" w14:textId="38BFBF68" w:rsidR="00416418" w:rsidRPr="00B275E2" w:rsidRDefault="00416418" w:rsidP="00DE6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0.06</w:t>
            </w:r>
          </w:p>
        </w:tc>
      </w:tr>
      <w:tr w:rsidR="00416418" w:rsidRPr="00B275E2" w14:paraId="65092916" w14:textId="77777777" w:rsidTr="00310A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left w:val="single" w:sz="4" w:space="0" w:color="FFFFFF" w:themeColor="background1"/>
            </w:tcBorders>
          </w:tcPr>
          <w:p w14:paraId="65092911" w14:textId="77777777" w:rsidR="00416418" w:rsidRPr="00B275E2" w:rsidRDefault="00416418" w:rsidP="00DE6137">
            <w:pPr>
              <w:pStyle w:val="TableText"/>
              <w:spacing w:before="40" w:after="40"/>
              <w:rPr>
                <w:rFonts w:cs="Calibri"/>
                <w:b w:val="0"/>
                <w:szCs w:val="18"/>
              </w:rPr>
            </w:pPr>
          </w:p>
        </w:tc>
        <w:tc>
          <w:tcPr>
            <w:tcW w:w="1791" w:type="dxa"/>
            <w:noWrap/>
          </w:tcPr>
          <w:p w14:paraId="65092912" w14:textId="6384A330" w:rsidR="00416418" w:rsidRPr="00B275E2" w:rsidRDefault="00416418" w:rsidP="00DE6137">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color w:val="000000"/>
                <w:szCs w:val="18"/>
              </w:rPr>
              <w:t xml:space="preserve">1350 - </w:t>
            </w:r>
            <w:r w:rsidRPr="00B275E2">
              <w:rPr>
                <w:rFonts w:cs="Calibri"/>
                <w:szCs w:val="18"/>
              </w:rPr>
              <w:t>&lt;</w:t>
            </w:r>
            <w:r w:rsidRPr="00B275E2">
              <w:rPr>
                <w:rFonts w:cs="Calibri"/>
                <w:color w:val="000000"/>
                <w:szCs w:val="18"/>
              </w:rPr>
              <w:t>1600 cc</w:t>
            </w:r>
          </w:p>
        </w:tc>
        <w:tc>
          <w:tcPr>
            <w:tcW w:w="0" w:type="auto"/>
          </w:tcPr>
          <w:p w14:paraId="462C7384" w14:textId="7CF834EC" w:rsidR="00416418" w:rsidRPr="00B275E2" w:rsidRDefault="00416418" w:rsidP="00DE6137">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litres</w:t>
            </w:r>
          </w:p>
        </w:tc>
        <w:tc>
          <w:tcPr>
            <w:tcW w:w="1106" w:type="dxa"/>
            <w:shd w:val="clear" w:color="auto" w:fill="auto"/>
            <w:noWrap/>
            <w:vAlign w:val="bottom"/>
          </w:tcPr>
          <w:p w14:paraId="65092913" w14:textId="2F1ECB5B" w:rsidR="00416418" w:rsidRPr="00B275E2" w:rsidRDefault="00416418" w:rsidP="00DE6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0.07</w:t>
            </w:r>
          </w:p>
        </w:tc>
        <w:tc>
          <w:tcPr>
            <w:tcW w:w="1051" w:type="dxa"/>
            <w:shd w:val="clear" w:color="auto" w:fill="auto"/>
            <w:noWrap/>
            <w:vAlign w:val="bottom"/>
          </w:tcPr>
          <w:p w14:paraId="65092914" w14:textId="4B6C1BFA" w:rsidR="00416418" w:rsidRPr="00B275E2" w:rsidRDefault="00416418" w:rsidP="00DE6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0.06</w:t>
            </w:r>
          </w:p>
        </w:tc>
        <w:tc>
          <w:tcPr>
            <w:tcW w:w="0" w:type="auto"/>
            <w:tcBorders>
              <w:right w:val="single" w:sz="4" w:space="0" w:color="FFFFFF" w:themeColor="background1"/>
            </w:tcBorders>
            <w:shd w:val="clear" w:color="auto" w:fill="auto"/>
            <w:noWrap/>
            <w:vAlign w:val="bottom"/>
          </w:tcPr>
          <w:p w14:paraId="65092915" w14:textId="0D7A2F53" w:rsidR="00416418" w:rsidRPr="00B275E2" w:rsidRDefault="00416418" w:rsidP="00DE6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0.06</w:t>
            </w:r>
          </w:p>
        </w:tc>
      </w:tr>
      <w:tr w:rsidR="00416418" w:rsidRPr="00B275E2" w14:paraId="6509291C" w14:textId="77777777" w:rsidTr="00310AB0">
        <w:trPr>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left w:val="single" w:sz="4" w:space="0" w:color="FFFFFF" w:themeColor="background1"/>
            </w:tcBorders>
          </w:tcPr>
          <w:p w14:paraId="65092917" w14:textId="77777777" w:rsidR="00416418" w:rsidRPr="00B275E2" w:rsidRDefault="00416418" w:rsidP="00DE6137">
            <w:pPr>
              <w:pStyle w:val="TableText"/>
              <w:spacing w:before="40" w:after="40"/>
              <w:rPr>
                <w:rFonts w:cs="Calibri"/>
                <w:b w:val="0"/>
                <w:szCs w:val="18"/>
              </w:rPr>
            </w:pPr>
          </w:p>
        </w:tc>
        <w:tc>
          <w:tcPr>
            <w:tcW w:w="1791" w:type="dxa"/>
            <w:noWrap/>
          </w:tcPr>
          <w:p w14:paraId="65092918" w14:textId="4CD27DD8" w:rsidR="00416418" w:rsidRPr="00B275E2" w:rsidRDefault="00416418" w:rsidP="00DE6137">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color w:val="000000"/>
                <w:szCs w:val="18"/>
              </w:rPr>
              <w:t xml:space="preserve">1600 - </w:t>
            </w:r>
            <w:r w:rsidRPr="00B275E2">
              <w:rPr>
                <w:rFonts w:cs="Calibri"/>
                <w:szCs w:val="18"/>
              </w:rPr>
              <w:t>&lt;</w:t>
            </w:r>
            <w:r w:rsidRPr="00B275E2">
              <w:rPr>
                <w:rFonts w:cs="Calibri"/>
                <w:color w:val="000000"/>
                <w:szCs w:val="18"/>
              </w:rPr>
              <w:t>2000 cc</w:t>
            </w:r>
          </w:p>
        </w:tc>
        <w:tc>
          <w:tcPr>
            <w:tcW w:w="0" w:type="auto"/>
          </w:tcPr>
          <w:p w14:paraId="0296DDFE" w14:textId="59134156" w:rsidR="00416418" w:rsidRPr="00B275E2" w:rsidRDefault="00416418" w:rsidP="00DE6137">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litres</w:t>
            </w:r>
          </w:p>
        </w:tc>
        <w:tc>
          <w:tcPr>
            <w:tcW w:w="1106" w:type="dxa"/>
            <w:shd w:val="clear" w:color="auto" w:fill="auto"/>
            <w:noWrap/>
            <w:vAlign w:val="bottom"/>
          </w:tcPr>
          <w:p w14:paraId="65092919" w14:textId="23762D0A" w:rsidR="00416418" w:rsidRPr="00B275E2" w:rsidRDefault="00416418" w:rsidP="00DE6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0.09</w:t>
            </w:r>
          </w:p>
        </w:tc>
        <w:tc>
          <w:tcPr>
            <w:tcW w:w="1051" w:type="dxa"/>
            <w:shd w:val="clear" w:color="auto" w:fill="auto"/>
            <w:noWrap/>
            <w:vAlign w:val="bottom"/>
          </w:tcPr>
          <w:p w14:paraId="6509291A" w14:textId="07AAA0B8" w:rsidR="00416418" w:rsidRPr="00B275E2" w:rsidRDefault="00416418" w:rsidP="00DE6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0.08</w:t>
            </w:r>
          </w:p>
        </w:tc>
        <w:tc>
          <w:tcPr>
            <w:tcW w:w="0" w:type="auto"/>
            <w:tcBorders>
              <w:right w:val="single" w:sz="4" w:space="0" w:color="FFFFFF" w:themeColor="background1"/>
            </w:tcBorders>
            <w:shd w:val="clear" w:color="auto" w:fill="auto"/>
            <w:noWrap/>
            <w:vAlign w:val="bottom"/>
          </w:tcPr>
          <w:p w14:paraId="6509291B" w14:textId="37E45C48" w:rsidR="00416418" w:rsidRPr="00B275E2" w:rsidRDefault="00416418" w:rsidP="00DE6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0.08</w:t>
            </w:r>
          </w:p>
        </w:tc>
      </w:tr>
      <w:tr w:rsidR="00416418" w:rsidRPr="00B275E2" w14:paraId="65092922" w14:textId="77777777" w:rsidTr="00310A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left w:val="single" w:sz="4" w:space="0" w:color="FFFFFF" w:themeColor="background1"/>
            </w:tcBorders>
          </w:tcPr>
          <w:p w14:paraId="6509291D" w14:textId="77777777" w:rsidR="00416418" w:rsidRPr="00B275E2" w:rsidRDefault="00416418" w:rsidP="00DE6137">
            <w:pPr>
              <w:pStyle w:val="TableText"/>
              <w:spacing w:before="40" w:after="40"/>
              <w:rPr>
                <w:rFonts w:cs="Calibri"/>
                <w:b w:val="0"/>
                <w:szCs w:val="18"/>
              </w:rPr>
            </w:pPr>
          </w:p>
        </w:tc>
        <w:tc>
          <w:tcPr>
            <w:tcW w:w="1791" w:type="dxa"/>
            <w:noWrap/>
          </w:tcPr>
          <w:p w14:paraId="6509291E" w14:textId="0FDF31B9" w:rsidR="00416418" w:rsidRPr="00B275E2" w:rsidRDefault="00416418" w:rsidP="00DE6137">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color w:val="000000"/>
                <w:szCs w:val="18"/>
              </w:rPr>
              <w:t xml:space="preserve">2000 - </w:t>
            </w:r>
            <w:r w:rsidRPr="00B275E2">
              <w:rPr>
                <w:rFonts w:cs="Calibri"/>
                <w:szCs w:val="18"/>
              </w:rPr>
              <w:t>&lt;</w:t>
            </w:r>
            <w:r w:rsidRPr="00B275E2">
              <w:rPr>
                <w:rFonts w:cs="Calibri"/>
                <w:color w:val="000000"/>
                <w:szCs w:val="18"/>
              </w:rPr>
              <w:t>3000 cc</w:t>
            </w:r>
          </w:p>
        </w:tc>
        <w:tc>
          <w:tcPr>
            <w:tcW w:w="0" w:type="auto"/>
          </w:tcPr>
          <w:p w14:paraId="5473590A" w14:textId="52BE66F8" w:rsidR="00416418" w:rsidRPr="00B275E2" w:rsidRDefault="00416418" w:rsidP="00DE6137">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litres</w:t>
            </w:r>
          </w:p>
        </w:tc>
        <w:tc>
          <w:tcPr>
            <w:tcW w:w="1106" w:type="dxa"/>
            <w:shd w:val="clear" w:color="auto" w:fill="auto"/>
            <w:noWrap/>
            <w:vAlign w:val="bottom"/>
          </w:tcPr>
          <w:p w14:paraId="6509291F" w14:textId="4EB4FACA" w:rsidR="00416418" w:rsidRPr="00B275E2" w:rsidRDefault="00416418" w:rsidP="00DE6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0.10</w:t>
            </w:r>
          </w:p>
        </w:tc>
        <w:tc>
          <w:tcPr>
            <w:tcW w:w="1051" w:type="dxa"/>
            <w:shd w:val="clear" w:color="auto" w:fill="auto"/>
            <w:noWrap/>
            <w:vAlign w:val="bottom"/>
          </w:tcPr>
          <w:p w14:paraId="65092920" w14:textId="1005FFE9" w:rsidR="00416418" w:rsidRPr="00B275E2" w:rsidRDefault="00416418" w:rsidP="00DE6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0.09</w:t>
            </w:r>
          </w:p>
        </w:tc>
        <w:tc>
          <w:tcPr>
            <w:tcW w:w="0" w:type="auto"/>
            <w:tcBorders>
              <w:right w:val="single" w:sz="4" w:space="0" w:color="FFFFFF" w:themeColor="background1"/>
            </w:tcBorders>
            <w:shd w:val="clear" w:color="auto" w:fill="auto"/>
            <w:noWrap/>
            <w:vAlign w:val="bottom"/>
          </w:tcPr>
          <w:p w14:paraId="65092921" w14:textId="51375008" w:rsidR="00416418" w:rsidRPr="00B275E2" w:rsidRDefault="00416418" w:rsidP="00DE6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0.09</w:t>
            </w:r>
          </w:p>
        </w:tc>
      </w:tr>
      <w:tr w:rsidR="00416418" w:rsidRPr="00B275E2" w14:paraId="65092928" w14:textId="77777777" w:rsidTr="00310AB0">
        <w:trPr>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left w:val="single" w:sz="4" w:space="0" w:color="FFFFFF" w:themeColor="background1"/>
            </w:tcBorders>
          </w:tcPr>
          <w:p w14:paraId="65092923" w14:textId="77777777" w:rsidR="00416418" w:rsidRPr="00B275E2" w:rsidRDefault="00416418" w:rsidP="00DE6137">
            <w:pPr>
              <w:pStyle w:val="TableText"/>
              <w:spacing w:before="40" w:after="40"/>
              <w:rPr>
                <w:rFonts w:cs="Calibri"/>
                <w:b w:val="0"/>
                <w:szCs w:val="18"/>
              </w:rPr>
            </w:pPr>
          </w:p>
        </w:tc>
        <w:tc>
          <w:tcPr>
            <w:tcW w:w="1791" w:type="dxa"/>
            <w:noWrap/>
          </w:tcPr>
          <w:p w14:paraId="65092924" w14:textId="77777777" w:rsidR="00416418" w:rsidRPr="00B275E2" w:rsidRDefault="00416418" w:rsidP="00DE6137">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color w:val="000000"/>
                <w:szCs w:val="18"/>
              </w:rPr>
              <w:t>≥3000 cc</w:t>
            </w:r>
          </w:p>
        </w:tc>
        <w:tc>
          <w:tcPr>
            <w:tcW w:w="0" w:type="auto"/>
          </w:tcPr>
          <w:p w14:paraId="72B3BCE1" w14:textId="6D81130E" w:rsidR="00416418" w:rsidRPr="00B275E2" w:rsidRDefault="00416418" w:rsidP="00DE6137">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litres</w:t>
            </w:r>
          </w:p>
        </w:tc>
        <w:tc>
          <w:tcPr>
            <w:tcW w:w="1106" w:type="dxa"/>
            <w:shd w:val="clear" w:color="auto" w:fill="auto"/>
            <w:noWrap/>
            <w:vAlign w:val="bottom"/>
          </w:tcPr>
          <w:p w14:paraId="65092925" w14:textId="52061A32" w:rsidR="00416418" w:rsidRPr="00B275E2" w:rsidRDefault="00416418" w:rsidP="00DE6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0.10</w:t>
            </w:r>
          </w:p>
        </w:tc>
        <w:tc>
          <w:tcPr>
            <w:tcW w:w="1051" w:type="dxa"/>
            <w:shd w:val="clear" w:color="auto" w:fill="auto"/>
            <w:noWrap/>
            <w:vAlign w:val="bottom"/>
          </w:tcPr>
          <w:p w14:paraId="65092926" w14:textId="4F27E174" w:rsidR="00416418" w:rsidRPr="00B275E2" w:rsidRDefault="00416418" w:rsidP="00DE6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0.09</w:t>
            </w:r>
          </w:p>
        </w:tc>
        <w:tc>
          <w:tcPr>
            <w:tcW w:w="0" w:type="auto"/>
            <w:tcBorders>
              <w:right w:val="single" w:sz="4" w:space="0" w:color="FFFFFF" w:themeColor="background1"/>
            </w:tcBorders>
            <w:shd w:val="clear" w:color="auto" w:fill="auto"/>
            <w:noWrap/>
            <w:vAlign w:val="bottom"/>
          </w:tcPr>
          <w:p w14:paraId="65092927" w14:textId="4801118E" w:rsidR="00416418" w:rsidRPr="00B275E2" w:rsidRDefault="00416418" w:rsidP="00DE6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0.09</w:t>
            </w:r>
          </w:p>
        </w:tc>
      </w:tr>
      <w:tr w:rsidR="00416418" w:rsidRPr="00B275E2" w14:paraId="6509292E" w14:textId="77777777" w:rsidTr="00310A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vMerge w:val="restart"/>
            <w:tcBorders>
              <w:left w:val="single" w:sz="4" w:space="0" w:color="FFFFFF" w:themeColor="background1"/>
            </w:tcBorders>
          </w:tcPr>
          <w:p w14:paraId="65092929" w14:textId="422C48FE" w:rsidR="00416418" w:rsidRPr="00B275E2" w:rsidRDefault="00416418" w:rsidP="00DE6137">
            <w:pPr>
              <w:pStyle w:val="TableText"/>
              <w:spacing w:before="40" w:after="40"/>
              <w:rPr>
                <w:rFonts w:cs="Calibri"/>
                <w:b w:val="0"/>
                <w:szCs w:val="18"/>
              </w:rPr>
            </w:pPr>
            <w:r w:rsidRPr="00B275E2">
              <w:rPr>
                <w:rFonts w:cs="Calibri"/>
                <w:b w:val="0"/>
                <w:szCs w:val="18"/>
              </w:rPr>
              <w:t>Petrol PHEV – petrol consumption</w:t>
            </w:r>
          </w:p>
        </w:tc>
        <w:tc>
          <w:tcPr>
            <w:tcW w:w="1791" w:type="dxa"/>
            <w:noWrap/>
          </w:tcPr>
          <w:p w14:paraId="6509292A" w14:textId="77777777" w:rsidR="00416418" w:rsidRPr="00B275E2" w:rsidRDefault="00416418" w:rsidP="00DE6137">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color w:val="000000"/>
                <w:szCs w:val="18"/>
              </w:rPr>
              <w:t>&lt;1350 cc</w:t>
            </w:r>
          </w:p>
        </w:tc>
        <w:tc>
          <w:tcPr>
            <w:tcW w:w="0" w:type="auto"/>
          </w:tcPr>
          <w:p w14:paraId="6E359231" w14:textId="55FD0EAA" w:rsidR="00416418" w:rsidRPr="00B275E2" w:rsidRDefault="00416418" w:rsidP="00DE6137">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litres</w:t>
            </w:r>
          </w:p>
        </w:tc>
        <w:tc>
          <w:tcPr>
            <w:tcW w:w="1106" w:type="dxa"/>
            <w:shd w:val="clear" w:color="auto" w:fill="auto"/>
            <w:noWrap/>
            <w:vAlign w:val="bottom"/>
          </w:tcPr>
          <w:p w14:paraId="6509292B" w14:textId="6C0B5C6F" w:rsidR="00416418" w:rsidRPr="00B275E2" w:rsidRDefault="00416418" w:rsidP="00DE6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0.03</w:t>
            </w:r>
          </w:p>
        </w:tc>
        <w:tc>
          <w:tcPr>
            <w:tcW w:w="1051" w:type="dxa"/>
            <w:shd w:val="clear" w:color="auto" w:fill="auto"/>
            <w:noWrap/>
            <w:vAlign w:val="bottom"/>
          </w:tcPr>
          <w:p w14:paraId="6509292C" w14:textId="0AE60517" w:rsidR="00416418" w:rsidRPr="00B275E2" w:rsidRDefault="00416418" w:rsidP="00DE6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0.03</w:t>
            </w:r>
          </w:p>
        </w:tc>
        <w:tc>
          <w:tcPr>
            <w:tcW w:w="0" w:type="auto"/>
            <w:tcBorders>
              <w:right w:val="single" w:sz="4" w:space="0" w:color="FFFFFF" w:themeColor="background1"/>
            </w:tcBorders>
            <w:shd w:val="clear" w:color="auto" w:fill="auto"/>
            <w:noWrap/>
            <w:vAlign w:val="bottom"/>
          </w:tcPr>
          <w:p w14:paraId="6509292D" w14:textId="355DF316" w:rsidR="00416418" w:rsidRPr="00B275E2" w:rsidRDefault="00416418" w:rsidP="00DE6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0.03</w:t>
            </w:r>
          </w:p>
        </w:tc>
      </w:tr>
      <w:tr w:rsidR="00416418" w:rsidRPr="00B275E2" w14:paraId="65092934" w14:textId="77777777" w:rsidTr="00310AB0">
        <w:trPr>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left w:val="single" w:sz="4" w:space="0" w:color="FFFFFF" w:themeColor="background1"/>
            </w:tcBorders>
          </w:tcPr>
          <w:p w14:paraId="6509292F" w14:textId="77777777" w:rsidR="00416418" w:rsidRPr="00B275E2" w:rsidRDefault="00416418" w:rsidP="00DE6137">
            <w:pPr>
              <w:pStyle w:val="TableText"/>
              <w:spacing w:before="40" w:after="40"/>
              <w:rPr>
                <w:rFonts w:cs="Calibri"/>
                <w:b w:val="0"/>
                <w:szCs w:val="18"/>
              </w:rPr>
            </w:pPr>
          </w:p>
        </w:tc>
        <w:tc>
          <w:tcPr>
            <w:tcW w:w="1791" w:type="dxa"/>
            <w:noWrap/>
          </w:tcPr>
          <w:p w14:paraId="65092930" w14:textId="3FDF147E" w:rsidR="00416418" w:rsidRPr="00B275E2" w:rsidRDefault="00416418" w:rsidP="00DE6137">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color w:val="000000"/>
                <w:szCs w:val="18"/>
              </w:rPr>
              <w:t xml:space="preserve">1350 - </w:t>
            </w:r>
            <w:r w:rsidRPr="00B275E2">
              <w:rPr>
                <w:rFonts w:cs="Calibri"/>
                <w:szCs w:val="18"/>
              </w:rPr>
              <w:t>&lt;</w:t>
            </w:r>
            <w:r w:rsidRPr="00B275E2">
              <w:rPr>
                <w:rFonts w:cs="Calibri"/>
                <w:color w:val="000000"/>
                <w:szCs w:val="18"/>
              </w:rPr>
              <w:t>1600 cc</w:t>
            </w:r>
          </w:p>
        </w:tc>
        <w:tc>
          <w:tcPr>
            <w:tcW w:w="0" w:type="auto"/>
          </w:tcPr>
          <w:p w14:paraId="79AB0E7C" w14:textId="68286D0B" w:rsidR="00416418" w:rsidRPr="00B275E2" w:rsidRDefault="00416418" w:rsidP="00DE6137">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litres</w:t>
            </w:r>
          </w:p>
        </w:tc>
        <w:tc>
          <w:tcPr>
            <w:tcW w:w="1106" w:type="dxa"/>
            <w:shd w:val="clear" w:color="auto" w:fill="auto"/>
            <w:noWrap/>
            <w:vAlign w:val="bottom"/>
          </w:tcPr>
          <w:p w14:paraId="65092931" w14:textId="70436184" w:rsidR="00416418" w:rsidRPr="00B275E2" w:rsidRDefault="00416418" w:rsidP="00DE6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0.04</w:t>
            </w:r>
          </w:p>
        </w:tc>
        <w:tc>
          <w:tcPr>
            <w:tcW w:w="1051" w:type="dxa"/>
            <w:shd w:val="clear" w:color="auto" w:fill="auto"/>
            <w:noWrap/>
            <w:vAlign w:val="bottom"/>
          </w:tcPr>
          <w:p w14:paraId="65092932" w14:textId="6400EC94" w:rsidR="00416418" w:rsidRPr="00B275E2" w:rsidRDefault="00416418" w:rsidP="00DE6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0.04</w:t>
            </w:r>
          </w:p>
        </w:tc>
        <w:tc>
          <w:tcPr>
            <w:tcW w:w="0" w:type="auto"/>
            <w:tcBorders>
              <w:right w:val="single" w:sz="4" w:space="0" w:color="FFFFFF" w:themeColor="background1"/>
            </w:tcBorders>
            <w:shd w:val="clear" w:color="auto" w:fill="auto"/>
            <w:noWrap/>
            <w:vAlign w:val="bottom"/>
          </w:tcPr>
          <w:p w14:paraId="65092933" w14:textId="1280CBB3" w:rsidR="00416418" w:rsidRPr="00B275E2" w:rsidRDefault="00416418" w:rsidP="00DE6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0.03</w:t>
            </w:r>
          </w:p>
        </w:tc>
      </w:tr>
      <w:tr w:rsidR="00416418" w:rsidRPr="00B275E2" w14:paraId="6509293A" w14:textId="77777777" w:rsidTr="00310A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left w:val="single" w:sz="4" w:space="0" w:color="FFFFFF" w:themeColor="background1"/>
            </w:tcBorders>
          </w:tcPr>
          <w:p w14:paraId="65092935" w14:textId="77777777" w:rsidR="00416418" w:rsidRPr="00B275E2" w:rsidRDefault="00416418" w:rsidP="00DE6137">
            <w:pPr>
              <w:pStyle w:val="TableText"/>
              <w:spacing w:before="40" w:after="40"/>
              <w:rPr>
                <w:rFonts w:cs="Calibri"/>
                <w:b w:val="0"/>
                <w:szCs w:val="18"/>
              </w:rPr>
            </w:pPr>
          </w:p>
        </w:tc>
        <w:tc>
          <w:tcPr>
            <w:tcW w:w="1791" w:type="dxa"/>
            <w:noWrap/>
          </w:tcPr>
          <w:p w14:paraId="65092936" w14:textId="1F8D978B" w:rsidR="00416418" w:rsidRPr="00B275E2" w:rsidRDefault="00416418" w:rsidP="00DE6137">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color w:val="000000"/>
                <w:szCs w:val="18"/>
              </w:rPr>
              <w:t xml:space="preserve">1600 - </w:t>
            </w:r>
            <w:r w:rsidRPr="00B275E2">
              <w:rPr>
                <w:rFonts w:cs="Calibri"/>
                <w:szCs w:val="18"/>
              </w:rPr>
              <w:t>&lt;</w:t>
            </w:r>
            <w:r w:rsidRPr="00B275E2">
              <w:rPr>
                <w:rFonts w:cs="Calibri"/>
                <w:color w:val="000000"/>
                <w:szCs w:val="18"/>
              </w:rPr>
              <w:t>2000 cc</w:t>
            </w:r>
          </w:p>
        </w:tc>
        <w:tc>
          <w:tcPr>
            <w:tcW w:w="0" w:type="auto"/>
          </w:tcPr>
          <w:p w14:paraId="69401D56" w14:textId="71EC1E4D" w:rsidR="00416418" w:rsidRPr="00B275E2" w:rsidRDefault="00416418" w:rsidP="00DE6137">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litres</w:t>
            </w:r>
          </w:p>
        </w:tc>
        <w:tc>
          <w:tcPr>
            <w:tcW w:w="1106" w:type="dxa"/>
            <w:shd w:val="clear" w:color="auto" w:fill="auto"/>
            <w:noWrap/>
            <w:vAlign w:val="bottom"/>
          </w:tcPr>
          <w:p w14:paraId="65092937" w14:textId="72135503" w:rsidR="00416418" w:rsidRPr="00B275E2" w:rsidRDefault="00416418" w:rsidP="00DE6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0.05</w:t>
            </w:r>
          </w:p>
        </w:tc>
        <w:tc>
          <w:tcPr>
            <w:tcW w:w="1051" w:type="dxa"/>
            <w:shd w:val="clear" w:color="auto" w:fill="auto"/>
            <w:noWrap/>
            <w:vAlign w:val="bottom"/>
          </w:tcPr>
          <w:p w14:paraId="65092938" w14:textId="6AB13CC3" w:rsidR="00416418" w:rsidRPr="00B275E2" w:rsidRDefault="00416418" w:rsidP="00DE6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0.05</w:t>
            </w:r>
          </w:p>
        </w:tc>
        <w:tc>
          <w:tcPr>
            <w:tcW w:w="0" w:type="auto"/>
            <w:tcBorders>
              <w:right w:val="single" w:sz="4" w:space="0" w:color="FFFFFF" w:themeColor="background1"/>
            </w:tcBorders>
            <w:shd w:val="clear" w:color="auto" w:fill="auto"/>
            <w:noWrap/>
            <w:vAlign w:val="bottom"/>
          </w:tcPr>
          <w:p w14:paraId="65092939" w14:textId="2C74FB9A" w:rsidR="00416418" w:rsidRPr="00B275E2" w:rsidRDefault="00416418" w:rsidP="00DE6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0.04</w:t>
            </w:r>
          </w:p>
        </w:tc>
      </w:tr>
      <w:tr w:rsidR="00416418" w:rsidRPr="00B275E2" w14:paraId="65092940" w14:textId="77777777" w:rsidTr="00310AB0">
        <w:trPr>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left w:val="single" w:sz="4" w:space="0" w:color="FFFFFF" w:themeColor="background1"/>
            </w:tcBorders>
          </w:tcPr>
          <w:p w14:paraId="6509293B" w14:textId="77777777" w:rsidR="00416418" w:rsidRPr="00B275E2" w:rsidRDefault="00416418" w:rsidP="00DE6137">
            <w:pPr>
              <w:pStyle w:val="TableText"/>
              <w:spacing w:before="40" w:after="40"/>
              <w:rPr>
                <w:rFonts w:cs="Calibri"/>
                <w:b w:val="0"/>
                <w:szCs w:val="18"/>
              </w:rPr>
            </w:pPr>
          </w:p>
        </w:tc>
        <w:tc>
          <w:tcPr>
            <w:tcW w:w="1791" w:type="dxa"/>
            <w:noWrap/>
          </w:tcPr>
          <w:p w14:paraId="6509293C" w14:textId="55B9E3D9" w:rsidR="00416418" w:rsidRPr="00B275E2" w:rsidRDefault="00416418" w:rsidP="00DE6137">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color w:val="000000"/>
                <w:szCs w:val="18"/>
              </w:rPr>
              <w:t xml:space="preserve">2000 - </w:t>
            </w:r>
            <w:r w:rsidRPr="00B275E2">
              <w:rPr>
                <w:rFonts w:cs="Calibri"/>
                <w:szCs w:val="18"/>
              </w:rPr>
              <w:t>&lt;</w:t>
            </w:r>
            <w:r w:rsidRPr="00B275E2">
              <w:rPr>
                <w:rFonts w:cs="Calibri"/>
                <w:color w:val="000000"/>
                <w:szCs w:val="18"/>
              </w:rPr>
              <w:t>3000 cc</w:t>
            </w:r>
          </w:p>
        </w:tc>
        <w:tc>
          <w:tcPr>
            <w:tcW w:w="0" w:type="auto"/>
          </w:tcPr>
          <w:p w14:paraId="63B86876" w14:textId="0A5371FA" w:rsidR="00416418" w:rsidRPr="00B275E2" w:rsidRDefault="00416418" w:rsidP="00DE6137">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litres</w:t>
            </w:r>
          </w:p>
        </w:tc>
        <w:tc>
          <w:tcPr>
            <w:tcW w:w="1106" w:type="dxa"/>
            <w:shd w:val="clear" w:color="auto" w:fill="auto"/>
            <w:noWrap/>
            <w:vAlign w:val="bottom"/>
          </w:tcPr>
          <w:p w14:paraId="6509293D" w14:textId="1EE518F7" w:rsidR="00416418" w:rsidRPr="00B275E2" w:rsidRDefault="00416418" w:rsidP="00DE6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0.05</w:t>
            </w:r>
          </w:p>
        </w:tc>
        <w:tc>
          <w:tcPr>
            <w:tcW w:w="1051" w:type="dxa"/>
            <w:shd w:val="clear" w:color="auto" w:fill="auto"/>
            <w:noWrap/>
            <w:vAlign w:val="bottom"/>
          </w:tcPr>
          <w:p w14:paraId="6509293E" w14:textId="55FB8349" w:rsidR="00416418" w:rsidRPr="00B275E2" w:rsidRDefault="00416418" w:rsidP="00DE6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0.05</w:t>
            </w:r>
          </w:p>
        </w:tc>
        <w:tc>
          <w:tcPr>
            <w:tcW w:w="0" w:type="auto"/>
            <w:tcBorders>
              <w:right w:val="single" w:sz="4" w:space="0" w:color="FFFFFF" w:themeColor="background1"/>
            </w:tcBorders>
            <w:shd w:val="clear" w:color="auto" w:fill="auto"/>
            <w:noWrap/>
            <w:vAlign w:val="bottom"/>
          </w:tcPr>
          <w:p w14:paraId="6509293F" w14:textId="2CE87345" w:rsidR="00416418" w:rsidRPr="00B275E2" w:rsidRDefault="00416418" w:rsidP="00DE6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0.05</w:t>
            </w:r>
          </w:p>
        </w:tc>
      </w:tr>
      <w:tr w:rsidR="00416418" w:rsidRPr="00B275E2" w14:paraId="65092946" w14:textId="77777777" w:rsidTr="00310A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left w:val="single" w:sz="4" w:space="0" w:color="FFFFFF" w:themeColor="background1"/>
            </w:tcBorders>
          </w:tcPr>
          <w:p w14:paraId="65092941" w14:textId="77777777" w:rsidR="00416418" w:rsidRPr="00B275E2" w:rsidRDefault="00416418" w:rsidP="00DE6137">
            <w:pPr>
              <w:pStyle w:val="TableText"/>
              <w:spacing w:before="40" w:after="40"/>
              <w:rPr>
                <w:rFonts w:cs="Calibri"/>
                <w:b w:val="0"/>
                <w:szCs w:val="18"/>
              </w:rPr>
            </w:pPr>
          </w:p>
        </w:tc>
        <w:tc>
          <w:tcPr>
            <w:tcW w:w="1791" w:type="dxa"/>
            <w:noWrap/>
          </w:tcPr>
          <w:p w14:paraId="65092942" w14:textId="77777777" w:rsidR="00416418" w:rsidRPr="00B275E2" w:rsidRDefault="00416418" w:rsidP="00DE6137">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color w:val="000000"/>
                <w:szCs w:val="18"/>
              </w:rPr>
              <w:t>≥3000 cc</w:t>
            </w:r>
          </w:p>
        </w:tc>
        <w:tc>
          <w:tcPr>
            <w:tcW w:w="0" w:type="auto"/>
          </w:tcPr>
          <w:p w14:paraId="0631DF3B" w14:textId="3E483CFE" w:rsidR="00416418" w:rsidRPr="00B275E2" w:rsidRDefault="00416418" w:rsidP="00DE6137">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litres</w:t>
            </w:r>
          </w:p>
        </w:tc>
        <w:tc>
          <w:tcPr>
            <w:tcW w:w="1106" w:type="dxa"/>
            <w:shd w:val="clear" w:color="auto" w:fill="auto"/>
            <w:noWrap/>
            <w:vAlign w:val="bottom"/>
          </w:tcPr>
          <w:p w14:paraId="65092943" w14:textId="6C9AD92F" w:rsidR="00416418" w:rsidRPr="00B275E2" w:rsidRDefault="00416418" w:rsidP="00DE6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0.06</w:t>
            </w:r>
          </w:p>
        </w:tc>
        <w:tc>
          <w:tcPr>
            <w:tcW w:w="1051" w:type="dxa"/>
            <w:shd w:val="clear" w:color="auto" w:fill="auto"/>
            <w:noWrap/>
            <w:vAlign w:val="bottom"/>
          </w:tcPr>
          <w:p w14:paraId="65092944" w14:textId="0B8AC5FB" w:rsidR="00416418" w:rsidRPr="00B275E2" w:rsidRDefault="00416418" w:rsidP="00DE6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0.06</w:t>
            </w:r>
          </w:p>
        </w:tc>
        <w:tc>
          <w:tcPr>
            <w:tcW w:w="0" w:type="auto"/>
            <w:tcBorders>
              <w:right w:val="single" w:sz="4" w:space="0" w:color="FFFFFF" w:themeColor="background1"/>
            </w:tcBorders>
            <w:shd w:val="clear" w:color="auto" w:fill="auto"/>
            <w:noWrap/>
            <w:vAlign w:val="bottom"/>
          </w:tcPr>
          <w:p w14:paraId="65092945" w14:textId="65D9E2DB" w:rsidR="00416418" w:rsidRPr="00B275E2" w:rsidRDefault="00416418" w:rsidP="00DE6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0.05</w:t>
            </w:r>
          </w:p>
        </w:tc>
      </w:tr>
      <w:tr w:rsidR="00416418" w:rsidRPr="00B275E2" w14:paraId="6509294C" w14:textId="77777777" w:rsidTr="000750BF">
        <w:trPr>
          <w:trHeight w:val="300"/>
        </w:trPr>
        <w:tc>
          <w:tcPr>
            <w:cnfStyle w:val="001000000000" w:firstRow="0" w:lastRow="0" w:firstColumn="1" w:lastColumn="0" w:oddVBand="0" w:evenVBand="0" w:oddHBand="0" w:evenHBand="0" w:firstRowFirstColumn="0" w:firstRowLastColumn="0" w:lastRowFirstColumn="0" w:lastRowLastColumn="0"/>
            <w:tcW w:w="2830" w:type="dxa"/>
            <w:vMerge w:val="restart"/>
            <w:tcBorders>
              <w:left w:val="single" w:sz="4" w:space="0" w:color="FFFFFF" w:themeColor="background1"/>
            </w:tcBorders>
          </w:tcPr>
          <w:p w14:paraId="65092947" w14:textId="252036DC" w:rsidR="00416418" w:rsidRPr="00B275E2" w:rsidRDefault="00416418" w:rsidP="00DE6137">
            <w:pPr>
              <w:pStyle w:val="TableText"/>
              <w:keepNext/>
              <w:spacing w:before="40" w:after="40"/>
              <w:rPr>
                <w:rFonts w:cs="Calibri"/>
                <w:b w:val="0"/>
                <w:szCs w:val="18"/>
              </w:rPr>
            </w:pPr>
            <w:r w:rsidRPr="00B275E2">
              <w:rPr>
                <w:rFonts w:cs="Calibri"/>
                <w:b w:val="0"/>
                <w:szCs w:val="18"/>
              </w:rPr>
              <w:lastRenderedPageBreak/>
              <w:t>Petrol PHEV – electricity consumption</w:t>
            </w:r>
          </w:p>
        </w:tc>
        <w:tc>
          <w:tcPr>
            <w:tcW w:w="1791" w:type="dxa"/>
            <w:noWrap/>
          </w:tcPr>
          <w:p w14:paraId="65092948" w14:textId="77777777" w:rsidR="00416418" w:rsidRPr="00B275E2" w:rsidRDefault="00416418" w:rsidP="00DE6137">
            <w:pPr>
              <w:pStyle w:val="TableText"/>
              <w:keepN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color w:val="000000"/>
                <w:szCs w:val="18"/>
              </w:rPr>
              <w:t>&lt;1350 cc</w:t>
            </w:r>
          </w:p>
        </w:tc>
        <w:tc>
          <w:tcPr>
            <w:tcW w:w="0" w:type="auto"/>
          </w:tcPr>
          <w:p w14:paraId="35388A95" w14:textId="17157F93" w:rsidR="00416418" w:rsidRPr="00B275E2" w:rsidRDefault="00416418" w:rsidP="00DE6137">
            <w:pPr>
              <w:pStyle w:val="TableText"/>
              <w:keepN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kWh</w:t>
            </w:r>
          </w:p>
        </w:tc>
        <w:tc>
          <w:tcPr>
            <w:tcW w:w="1106" w:type="dxa"/>
            <w:shd w:val="clear" w:color="auto" w:fill="auto"/>
            <w:noWrap/>
            <w:vAlign w:val="bottom"/>
          </w:tcPr>
          <w:p w14:paraId="65092949" w14:textId="72E0DFFF" w:rsidR="00416418" w:rsidRPr="00B275E2" w:rsidRDefault="00416418" w:rsidP="00DE6137">
            <w:pPr>
              <w:pStyle w:val="TableText"/>
              <w:keepN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0.11</w:t>
            </w:r>
          </w:p>
        </w:tc>
        <w:tc>
          <w:tcPr>
            <w:tcW w:w="1051" w:type="dxa"/>
            <w:shd w:val="clear" w:color="auto" w:fill="auto"/>
            <w:noWrap/>
            <w:vAlign w:val="bottom"/>
          </w:tcPr>
          <w:p w14:paraId="6509294A" w14:textId="37FE1DD1" w:rsidR="00416418" w:rsidRPr="00B275E2" w:rsidRDefault="00416418" w:rsidP="00DE6137">
            <w:pPr>
              <w:pStyle w:val="TableText"/>
              <w:keepN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0.10</w:t>
            </w:r>
          </w:p>
        </w:tc>
        <w:tc>
          <w:tcPr>
            <w:tcW w:w="0" w:type="auto"/>
            <w:tcBorders>
              <w:right w:val="single" w:sz="4" w:space="0" w:color="FFFFFF" w:themeColor="background1"/>
            </w:tcBorders>
            <w:shd w:val="clear" w:color="auto" w:fill="auto"/>
            <w:noWrap/>
            <w:vAlign w:val="bottom"/>
          </w:tcPr>
          <w:p w14:paraId="6509294B" w14:textId="2ACAAF39" w:rsidR="00416418" w:rsidRPr="00B275E2" w:rsidRDefault="00416418" w:rsidP="00DE6137">
            <w:pPr>
              <w:pStyle w:val="TableText"/>
              <w:keepN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0.10</w:t>
            </w:r>
          </w:p>
        </w:tc>
      </w:tr>
      <w:tr w:rsidR="00416418" w:rsidRPr="00B275E2" w14:paraId="65092952" w14:textId="77777777" w:rsidTr="000750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left w:val="single" w:sz="4" w:space="0" w:color="FFFFFF" w:themeColor="background1"/>
            </w:tcBorders>
          </w:tcPr>
          <w:p w14:paraId="6509294D" w14:textId="77777777" w:rsidR="00416418" w:rsidRPr="00B275E2" w:rsidRDefault="00416418" w:rsidP="00DE6137">
            <w:pPr>
              <w:pStyle w:val="TableText"/>
              <w:keepNext/>
              <w:spacing w:before="40" w:after="40"/>
              <w:rPr>
                <w:rFonts w:cs="Calibri"/>
                <w:szCs w:val="18"/>
              </w:rPr>
            </w:pPr>
          </w:p>
        </w:tc>
        <w:tc>
          <w:tcPr>
            <w:tcW w:w="1791" w:type="dxa"/>
            <w:noWrap/>
          </w:tcPr>
          <w:p w14:paraId="6509294E" w14:textId="2734EBAD" w:rsidR="00416418" w:rsidRPr="00B275E2" w:rsidRDefault="00416418" w:rsidP="00DE6137">
            <w:pPr>
              <w:pStyle w:val="TableText"/>
              <w:keepN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color w:val="000000"/>
                <w:szCs w:val="18"/>
              </w:rPr>
              <w:t xml:space="preserve">1350 - </w:t>
            </w:r>
            <w:r w:rsidRPr="00B275E2">
              <w:rPr>
                <w:rFonts w:cs="Calibri"/>
                <w:szCs w:val="18"/>
              </w:rPr>
              <w:t>&lt;</w:t>
            </w:r>
            <w:r w:rsidRPr="00B275E2">
              <w:rPr>
                <w:rFonts w:cs="Calibri"/>
                <w:color w:val="000000"/>
                <w:szCs w:val="18"/>
              </w:rPr>
              <w:t>1600 cc</w:t>
            </w:r>
          </w:p>
        </w:tc>
        <w:tc>
          <w:tcPr>
            <w:tcW w:w="0" w:type="auto"/>
          </w:tcPr>
          <w:p w14:paraId="2D5809FB" w14:textId="45BF8A9C" w:rsidR="00416418" w:rsidRPr="00B275E2" w:rsidRDefault="00416418" w:rsidP="00DE6137">
            <w:pPr>
              <w:pStyle w:val="TableText"/>
              <w:keepN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kWh</w:t>
            </w:r>
          </w:p>
        </w:tc>
        <w:tc>
          <w:tcPr>
            <w:tcW w:w="1106" w:type="dxa"/>
            <w:shd w:val="clear" w:color="auto" w:fill="auto"/>
            <w:noWrap/>
            <w:vAlign w:val="bottom"/>
          </w:tcPr>
          <w:p w14:paraId="6509294F" w14:textId="3CB0DE72" w:rsidR="00416418" w:rsidRPr="00B275E2" w:rsidRDefault="00416418" w:rsidP="00DE6137">
            <w:pPr>
              <w:pStyle w:val="TableText"/>
              <w:keepN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0.11</w:t>
            </w:r>
          </w:p>
        </w:tc>
        <w:tc>
          <w:tcPr>
            <w:tcW w:w="1051" w:type="dxa"/>
            <w:shd w:val="clear" w:color="auto" w:fill="auto"/>
            <w:noWrap/>
            <w:vAlign w:val="bottom"/>
          </w:tcPr>
          <w:p w14:paraId="65092950" w14:textId="685292DA" w:rsidR="00416418" w:rsidRPr="00B275E2" w:rsidRDefault="00416418" w:rsidP="00DE6137">
            <w:pPr>
              <w:pStyle w:val="TableText"/>
              <w:keepN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0.11</w:t>
            </w:r>
          </w:p>
        </w:tc>
        <w:tc>
          <w:tcPr>
            <w:tcW w:w="0" w:type="auto"/>
            <w:tcBorders>
              <w:right w:val="single" w:sz="4" w:space="0" w:color="FFFFFF" w:themeColor="background1"/>
            </w:tcBorders>
            <w:shd w:val="clear" w:color="auto" w:fill="auto"/>
            <w:noWrap/>
            <w:vAlign w:val="bottom"/>
          </w:tcPr>
          <w:p w14:paraId="65092951" w14:textId="42D8B46C" w:rsidR="00416418" w:rsidRPr="00B275E2" w:rsidRDefault="00416418" w:rsidP="00DE6137">
            <w:pPr>
              <w:pStyle w:val="TableText"/>
              <w:keepN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0.10</w:t>
            </w:r>
          </w:p>
        </w:tc>
      </w:tr>
      <w:tr w:rsidR="00416418" w:rsidRPr="00B275E2" w14:paraId="65092958" w14:textId="77777777" w:rsidTr="000750BF">
        <w:trPr>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left w:val="single" w:sz="4" w:space="0" w:color="FFFFFF" w:themeColor="background1"/>
            </w:tcBorders>
          </w:tcPr>
          <w:p w14:paraId="65092953" w14:textId="77777777" w:rsidR="00416418" w:rsidRPr="00B275E2" w:rsidRDefault="00416418" w:rsidP="00DE6137">
            <w:pPr>
              <w:pStyle w:val="TableText"/>
              <w:keepNext/>
              <w:spacing w:before="40" w:after="40"/>
              <w:rPr>
                <w:rFonts w:cs="Calibri"/>
                <w:szCs w:val="18"/>
              </w:rPr>
            </w:pPr>
          </w:p>
        </w:tc>
        <w:tc>
          <w:tcPr>
            <w:tcW w:w="1791" w:type="dxa"/>
            <w:noWrap/>
          </w:tcPr>
          <w:p w14:paraId="65092954" w14:textId="44C81811" w:rsidR="00416418" w:rsidRPr="00B275E2" w:rsidRDefault="00416418" w:rsidP="00DE6137">
            <w:pPr>
              <w:pStyle w:val="TableText"/>
              <w:keepN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color w:val="000000"/>
                <w:szCs w:val="18"/>
              </w:rPr>
              <w:t xml:space="preserve">1600 - </w:t>
            </w:r>
            <w:r w:rsidRPr="00B275E2">
              <w:rPr>
                <w:rFonts w:cs="Calibri"/>
                <w:szCs w:val="18"/>
              </w:rPr>
              <w:t>&lt;</w:t>
            </w:r>
            <w:r w:rsidRPr="00B275E2">
              <w:rPr>
                <w:rFonts w:cs="Calibri"/>
                <w:color w:val="000000"/>
                <w:szCs w:val="18"/>
              </w:rPr>
              <w:t>2000 cc</w:t>
            </w:r>
          </w:p>
        </w:tc>
        <w:tc>
          <w:tcPr>
            <w:tcW w:w="0" w:type="auto"/>
          </w:tcPr>
          <w:p w14:paraId="49E522F2" w14:textId="5DCFE912" w:rsidR="00416418" w:rsidRPr="00B275E2" w:rsidRDefault="00416418" w:rsidP="00DE6137">
            <w:pPr>
              <w:pStyle w:val="TableText"/>
              <w:keepN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kWh</w:t>
            </w:r>
          </w:p>
        </w:tc>
        <w:tc>
          <w:tcPr>
            <w:tcW w:w="1106" w:type="dxa"/>
            <w:shd w:val="clear" w:color="auto" w:fill="auto"/>
            <w:noWrap/>
            <w:vAlign w:val="bottom"/>
          </w:tcPr>
          <w:p w14:paraId="65092955" w14:textId="0E8E7D69" w:rsidR="00416418" w:rsidRPr="00B275E2" w:rsidRDefault="00416418" w:rsidP="00DE6137">
            <w:pPr>
              <w:pStyle w:val="TableText"/>
              <w:keepN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0.13</w:t>
            </w:r>
          </w:p>
        </w:tc>
        <w:tc>
          <w:tcPr>
            <w:tcW w:w="1051" w:type="dxa"/>
            <w:shd w:val="clear" w:color="auto" w:fill="auto"/>
            <w:noWrap/>
            <w:vAlign w:val="bottom"/>
          </w:tcPr>
          <w:p w14:paraId="65092956" w14:textId="0B6DE762" w:rsidR="00416418" w:rsidRPr="00B275E2" w:rsidRDefault="00416418" w:rsidP="00DE6137">
            <w:pPr>
              <w:pStyle w:val="TableText"/>
              <w:keepN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0.12</w:t>
            </w:r>
          </w:p>
        </w:tc>
        <w:tc>
          <w:tcPr>
            <w:tcW w:w="0" w:type="auto"/>
            <w:tcBorders>
              <w:right w:val="single" w:sz="4" w:space="0" w:color="FFFFFF" w:themeColor="background1"/>
            </w:tcBorders>
            <w:shd w:val="clear" w:color="auto" w:fill="auto"/>
            <w:noWrap/>
            <w:vAlign w:val="bottom"/>
          </w:tcPr>
          <w:p w14:paraId="65092957" w14:textId="125263F6" w:rsidR="00416418" w:rsidRPr="00B275E2" w:rsidRDefault="00416418" w:rsidP="00DE6137">
            <w:pPr>
              <w:pStyle w:val="TableText"/>
              <w:keepN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0.12</w:t>
            </w:r>
          </w:p>
        </w:tc>
      </w:tr>
      <w:tr w:rsidR="00416418" w:rsidRPr="00B275E2" w14:paraId="6509295E" w14:textId="77777777" w:rsidTr="000750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left w:val="single" w:sz="4" w:space="0" w:color="FFFFFF" w:themeColor="background1"/>
            </w:tcBorders>
          </w:tcPr>
          <w:p w14:paraId="65092959" w14:textId="77777777" w:rsidR="00416418" w:rsidRPr="00B275E2" w:rsidRDefault="00416418" w:rsidP="00DE6137">
            <w:pPr>
              <w:pStyle w:val="TableText"/>
              <w:keepNext/>
              <w:spacing w:before="40" w:after="40"/>
              <w:rPr>
                <w:rFonts w:cs="Calibri"/>
                <w:szCs w:val="18"/>
              </w:rPr>
            </w:pPr>
          </w:p>
        </w:tc>
        <w:tc>
          <w:tcPr>
            <w:tcW w:w="1791" w:type="dxa"/>
            <w:noWrap/>
          </w:tcPr>
          <w:p w14:paraId="6509295A" w14:textId="24F923B9" w:rsidR="00416418" w:rsidRPr="00B275E2" w:rsidRDefault="00416418" w:rsidP="00DE6137">
            <w:pPr>
              <w:pStyle w:val="TableText"/>
              <w:keepN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color w:val="000000"/>
                <w:szCs w:val="18"/>
              </w:rPr>
              <w:t xml:space="preserve">2000 - </w:t>
            </w:r>
            <w:r w:rsidRPr="00B275E2">
              <w:rPr>
                <w:rFonts w:cs="Calibri"/>
                <w:szCs w:val="18"/>
              </w:rPr>
              <w:t>&lt;</w:t>
            </w:r>
            <w:r w:rsidRPr="00B275E2">
              <w:rPr>
                <w:rFonts w:cs="Calibri"/>
                <w:color w:val="000000"/>
                <w:szCs w:val="18"/>
              </w:rPr>
              <w:t>3000 cc</w:t>
            </w:r>
          </w:p>
        </w:tc>
        <w:tc>
          <w:tcPr>
            <w:tcW w:w="0" w:type="auto"/>
          </w:tcPr>
          <w:p w14:paraId="54ACC923" w14:textId="49D80F99" w:rsidR="00416418" w:rsidRPr="00B275E2" w:rsidRDefault="00416418" w:rsidP="00DE6137">
            <w:pPr>
              <w:pStyle w:val="TableText"/>
              <w:keepN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kWh</w:t>
            </w:r>
          </w:p>
        </w:tc>
        <w:tc>
          <w:tcPr>
            <w:tcW w:w="1106" w:type="dxa"/>
            <w:shd w:val="clear" w:color="auto" w:fill="auto"/>
            <w:noWrap/>
            <w:vAlign w:val="bottom"/>
          </w:tcPr>
          <w:p w14:paraId="6509295B" w14:textId="7DD1812C" w:rsidR="00416418" w:rsidRPr="00B275E2" w:rsidRDefault="00416418" w:rsidP="00DE6137">
            <w:pPr>
              <w:pStyle w:val="TableText"/>
              <w:keepN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0.16</w:t>
            </w:r>
          </w:p>
        </w:tc>
        <w:tc>
          <w:tcPr>
            <w:tcW w:w="1051" w:type="dxa"/>
            <w:shd w:val="clear" w:color="auto" w:fill="auto"/>
            <w:noWrap/>
            <w:vAlign w:val="bottom"/>
          </w:tcPr>
          <w:p w14:paraId="6509295C" w14:textId="695566A6" w:rsidR="00416418" w:rsidRPr="00B275E2" w:rsidRDefault="00416418" w:rsidP="00DE6137">
            <w:pPr>
              <w:pStyle w:val="TableText"/>
              <w:keepN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0.15</w:t>
            </w:r>
          </w:p>
        </w:tc>
        <w:tc>
          <w:tcPr>
            <w:tcW w:w="0" w:type="auto"/>
            <w:tcBorders>
              <w:right w:val="single" w:sz="4" w:space="0" w:color="FFFFFF" w:themeColor="background1"/>
            </w:tcBorders>
            <w:shd w:val="clear" w:color="auto" w:fill="auto"/>
            <w:noWrap/>
            <w:vAlign w:val="bottom"/>
          </w:tcPr>
          <w:p w14:paraId="6509295D" w14:textId="0C4FDD47" w:rsidR="00416418" w:rsidRPr="00B275E2" w:rsidRDefault="00416418" w:rsidP="00DE6137">
            <w:pPr>
              <w:pStyle w:val="TableText"/>
              <w:keepN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0.15</w:t>
            </w:r>
          </w:p>
        </w:tc>
      </w:tr>
      <w:tr w:rsidR="00416418" w:rsidRPr="00B275E2" w14:paraId="65092964" w14:textId="77777777" w:rsidTr="000750BF">
        <w:trPr>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left w:val="single" w:sz="4" w:space="0" w:color="FFFFFF" w:themeColor="background1"/>
            </w:tcBorders>
          </w:tcPr>
          <w:p w14:paraId="6509295F" w14:textId="77777777" w:rsidR="00416418" w:rsidRPr="00B275E2" w:rsidRDefault="00416418" w:rsidP="00DE6137">
            <w:pPr>
              <w:pStyle w:val="TableText"/>
              <w:keepNext/>
              <w:spacing w:before="40" w:after="40"/>
              <w:rPr>
                <w:rFonts w:cs="Calibri"/>
                <w:szCs w:val="18"/>
              </w:rPr>
            </w:pPr>
          </w:p>
        </w:tc>
        <w:tc>
          <w:tcPr>
            <w:tcW w:w="1791" w:type="dxa"/>
            <w:noWrap/>
          </w:tcPr>
          <w:p w14:paraId="65092960" w14:textId="77777777" w:rsidR="00416418" w:rsidRPr="00B275E2" w:rsidRDefault="00416418" w:rsidP="00DE6137">
            <w:pPr>
              <w:pStyle w:val="TableText"/>
              <w:keepN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color w:val="000000"/>
                <w:szCs w:val="18"/>
              </w:rPr>
              <w:t>≥3000 cc</w:t>
            </w:r>
          </w:p>
        </w:tc>
        <w:tc>
          <w:tcPr>
            <w:tcW w:w="0" w:type="auto"/>
          </w:tcPr>
          <w:p w14:paraId="234822C7" w14:textId="3F8DAD72" w:rsidR="00416418" w:rsidRPr="00B275E2" w:rsidRDefault="00416418" w:rsidP="00DE6137">
            <w:pPr>
              <w:pStyle w:val="TableText"/>
              <w:keepN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kWh</w:t>
            </w:r>
          </w:p>
        </w:tc>
        <w:tc>
          <w:tcPr>
            <w:tcW w:w="1106" w:type="dxa"/>
            <w:shd w:val="clear" w:color="auto" w:fill="auto"/>
            <w:noWrap/>
            <w:vAlign w:val="bottom"/>
          </w:tcPr>
          <w:p w14:paraId="65092961" w14:textId="6EE8A0A4" w:rsidR="00416418" w:rsidRPr="00B275E2" w:rsidRDefault="00416418" w:rsidP="00DE6137">
            <w:pPr>
              <w:pStyle w:val="TableText"/>
              <w:keepN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0.19</w:t>
            </w:r>
          </w:p>
        </w:tc>
        <w:tc>
          <w:tcPr>
            <w:tcW w:w="1051" w:type="dxa"/>
            <w:shd w:val="clear" w:color="auto" w:fill="auto"/>
            <w:noWrap/>
            <w:vAlign w:val="bottom"/>
          </w:tcPr>
          <w:p w14:paraId="65092962" w14:textId="6D67A817" w:rsidR="00416418" w:rsidRPr="00B275E2" w:rsidRDefault="00416418" w:rsidP="00DE6137">
            <w:pPr>
              <w:pStyle w:val="TableText"/>
              <w:keepN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0.18</w:t>
            </w:r>
          </w:p>
        </w:tc>
        <w:tc>
          <w:tcPr>
            <w:tcW w:w="0" w:type="auto"/>
            <w:tcBorders>
              <w:right w:val="single" w:sz="4" w:space="0" w:color="FFFFFF" w:themeColor="background1"/>
            </w:tcBorders>
            <w:shd w:val="clear" w:color="auto" w:fill="auto"/>
            <w:noWrap/>
            <w:vAlign w:val="bottom"/>
          </w:tcPr>
          <w:p w14:paraId="65092963" w14:textId="3CA86594" w:rsidR="00416418" w:rsidRPr="00B275E2" w:rsidRDefault="00416418" w:rsidP="00DE6137">
            <w:pPr>
              <w:pStyle w:val="TableText"/>
              <w:keepN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0.17</w:t>
            </w:r>
          </w:p>
        </w:tc>
      </w:tr>
      <w:tr w:rsidR="00416418" w:rsidRPr="00B275E2" w14:paraId="6509296A" w14:textId="77777777" w:rsidTr="000750B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830" w:type="dxa"/>
            <w:vMerge w:val="restart"/>
            <w:tcBorders>
              <w:left w:val="single" w:sz="4" w:space="0" w:color="FFFFFF" w:themeColor="background1"/>
            </w:tcBorders>
          </w:tcPr>
          <w:p w14:paraId="65092965" w14:textId="17F9F714" w:rsidR="00416418" w:rsidRPr="00B275E2" w:rsidRDefault="00416418" w:rsidP="00DE6137">
            <w:pPr>
              <w:pStyle w:val="TableText"/>
              <w:spacing w:before="40" w:after="40"/>
              <w:rPr>
                <w:rFonts w:cs="Calibri"/>
                <w:b w:val="0"/>
                <w:szCs w:val="18"/>
              </w:rPr>
            </w:pPr>
            <w:r w:rsidRPr="00B275E2">
              <w:rPr>
                <w:rFonts w:cs="Calibri"/>
                <w:b w:val="0"/>
                <w:szCs w:val="18"/>
              </w:rPr>
              <w:t>Diesel PHEV – diesel consumption</w:t>
            </w:r>
          </w:p>
        </w:tc>
        <w:tc>
          <w:tcPr>
            <w:tcW w:w="1791" w:type="dxa"/>
            <w:noWrap/>
          </w:tcPr>
          <w:p w14:paraId="65092966" w14:textId="77777777" w:rsidR="00416418" w:rsidRPr="00B275E2" w:rsidRDefault="00416418" w:rsidP="00DE6137">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color w:val="000000"/>
                <w:szCs w:val="18"/>
              </w:rPr>
              <w:t>&lt;1350 cc</w:t>
            </w:r>
          </w:p>
        </w:tc>
        <w:tc>
          <w:tcPr>
            <w:tcW w:w="0" w:type="auto"/>
          </w:tcPr>
          <w:p w14:paraId="1E7E7E91" w14:textId="0916AB8C" w:rsidR="00416418" w:rsidRPr="00B275E2" w:rsidRDefault="00416418" w:rsidP="00DE6137">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litres</w:t>
            </w:r>
          </w:p>
        </w:tc>
        <w:tc>
          <w:tcPr>
            <w:tcW w:w="1106" w:type="dxa"/>
            <w:shd w:val="clear" w:color="auto" w:fill="auto"/>
            <w:noWrap/>
            <w:vAlign w:val="bottom"/>
          </w:tcPr>
          <w:p w14:paraId="65092967" w14:textId="234DB5E9" w:rsidR="00416418" w:rsidRPr="00B275E2" w:rsidRDefault="00416418" w:rsidP="00DE6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0.04</w:t>
            </w:r>
          </w:p>
        </w:tc>
        <w:tc>
          <w:tcPr>
            <w:tcW w:w="1051" w:type="dxa"/>
            <w:shd w:val="clear" w:color="auto" w:fill="auto"/>
            <w:noWrap/>
            <w:vAlign w:val="bottom"/>
          </w:tcPr>
          <w:p w14:paraId="65092968" w14:textId="774868A2" w:rsidR="00416418" w:rsidRPr="00B275E2" w:rsidRDefault="00416418" w:rsidP="00DE6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0.03</w:t>
            </w:r>
          </w:p>
        </w:tc>
        <w:tc>
          <w:tcPr>
            <w:tcW w:w="0" w:type="auto"/>
            <w:tcBorders>
              <w:right w:val="single" w:sz="4" w:space="0" w:color="FFFFFF" w:themeColor="background1"/>
            </w:tcBorders>
            <w:shd w:val="clear" w:color="auto" w:fill="auto"/>
            <w:noWrap/>
            <w:vAlign w:val="bottom"/>
          </w:tcPr>
          <w:p w14:paraId="65092969" w14:textId="2FE30983" w:rsidR="00416418" w:rsidRPr="00B275E2" w:rsidRDefault="00416418" w:rsidP="00DE6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0.03</w:t>
            </w:r>
          </w:p>
        </w:tc>
      </w:tr>
      <w:tr w:rsidR="00416418" w:rsidRPr="00B275E2" w14:paraId="65092970" w14:textId="77777777" w:rsidTr="000750BF">
        <w:trPr>
          <w:trHeight w:val="345"/>
        </w:trPr>
        <w:tc>
          <w:tcPr>
            <w:cnfStyle w:val="001000000000" w:firstRow="0" w:lastRow="0" w:firstColumn="1" w:lastColumn="0" w:oddVBand="0" w:evenVBand="0" w:oddHBand="0" w:evenHBand="0" w:firstRowFirstColumn="0" w:firstRowLastColumn="0" w:lastRowFirstColumn="0" w:lastRowLastColumn="0"/>
            <w:tcW w:w="2830" w:type="dxa"/>
            <w:vMerge/>
            <w:tcBorders>
              <w:left w:val="single" w:sz="4" w:space="0" w:color="FFFFFF" w:themeColor="background1"/>
            </w:tcBorders>
          </w:tcPr>
          <w:p w14:paraId="6509296B" w14:textId="77777777" w:rsidR="00416418" w:rsidRPr="00B275E2" w:rsidRDefault="00416418" w:rsidP="00DE6137">
            <w:pPr>
              <w:pStyle w:val="TableText"/>
              <w:spacing w:before="40" w:after="40"/>
              <w:rPr>
                <w:rFonts w:cs="Calibri"/>
                <w:b w:val="0"/>
                <w:szCs w:val="18"/>
              </w:rPr>
            </w:pPr>
          </w:p>
        </w:tc>
        <w:tc>
          <w:tcPr>
            <w:tcW w:w="1791" w:type="dxa"/>
            <w:noWrap/>
          </w:tcPr>
          <w:p w14:paraId="6509296C" w14:textId="0D68681D" w:rsidR="00416418" w:rsidRPr="00B275E2" w:rsidRDefault="00416418" w:rsidP="00DE6137">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color w:val="000000"/>
                <w:szCs w:val="18"/>
              </w:rPr>
              <w:t xml:space="preserve">1350 - </w:t>
            </w:r>
            <w:r w:rsidRPr="00B275E2">
              <w:rPr>
                <w:rFonts w:cs="Calibri"/>
                <w:szCs w:val="18"/>
              </w:rPr>
              <w:t>&lt;</w:t>
            </w:r>
            <w:r w:rsidRPr="00B275E2">
              <w:rPr>
                <w:rFonts w:cs="Calibri"/>
                <w:color w:val="000000"/>
                <w:szCs w:val="18"/>
              </w:rPr>
              <w:t>1600 cc</w:t>
            </w:r>
          </w:p>
        </w:tc>
        <w:tc>
          <w:tcPr>
            <w:tcW w:w="0" w:type="auto"/>
          </w:tcPr>
          <w:p w14:paraId="693F8DD6" w14:textId="45BFBEB9" w:rsidR="00416418" w:rsidRPr="00B275E2" w:rsidRDefault="00416418" w:rsidP="00DE6137">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litres</w:t>
            </w:r>
          </w:p>
        </w:tc>
        <w:tc>
          <w:tcPr>
            <w:tcW w:w="1106" w:type="dxa"/>
            <w:shd w:val="clear" w:color="auto" w:fill="auto"/>
            <w:noWrap/>
            <w:vAlign w:val="bottom"/>
          </w:tcPr>
          <w:p w14:paraId="6509296D" w14:textId="33F0A767" w:rsidR="00416418" w:rsidRPr="00B275E2" w:rsidRDefault="00416418" w:rsidP="00DE6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0.04</w:t>
            </w:r>
          </w:p>
        </w:tc>
        <w:tc>
          <w:tcPr>
            <w:tcW w:w="1051" w:type="dxa"/>
            <w:shd w:val="clear" w:color="auto" w:fill="auto"/>
            <w:noWrap/>
            <w:vAlign w:val="bottom"/>
          </w:tcPr>
          <w:p w14:paraId="6509296E" w14:textId="3252F8D4" w:rsidR="00416418" w:rsidRPr="00B275E2" w:rsidRDefault="00416418" w:rsidP="00DE6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0.03</w:t>
            </w:r>
          </w:p>
        </w:tc>
        <w:tc>
          <w:tcPr>
            <w:tcW w:w="0" w:type="auto"/>
            <w:tcBorders>
              <w:right w:val="single" w:sz="4" w:space="0" w:color="FFFFFF" w:themeColor="background1"/>
            </w:tcBorders>
            <w:shd w:val="clear" w:color="auto" w:fill="auto"/>
            <w:noWrap/>
            <w:vAlign w:val="bottom"/>
          </w:tcPr>
          <w:p w14:paraId="6509296F" w14:textId="3420B1C3" w:rsidR="00416418" w:rsidRPr="00B275E2" w:rsidRDefault="00416418" w:rsidP="00DE6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0.03</w:t>
            </w:r>
          </w:p>
        </w:tc>
      </w:tr>
      <w:tr w:rsidR="00416418" w:rsidRPr="00B275E2" w14:paraId="65092976" w14:textId="77777777" w:rsidTr="000750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left w:val="single" w:sz="4" w:space="0" w:color="FFFFFF" w:themeColor="background1"/>
            </w:tcBorders>
            <w:hideMark/>
          </w:tcPr>
          <w:p w14:paraId="65092971" w14:textId="77777777" w:rsidR="00416418" w:rsidRPr="00B275E2" w:rsidRDefault="00416418" w:rsidP="00DE6137">
            <w:pPr>
              <w:pStyle w:val="TableText"/>
              <w:spacing w:before="40" w:after="40"/>
              <w:rPr>
                <w:rFonts w:cs="Calibri"/>
                <w:b w:val="0"/>
                <w:szCs w:val="18"/>
              </w:rPr>
            </w:pPr>
          </w:p>
        </w:tc>
        <w:tc>
          <w:tcPr>
            <w:tcW w:w="1791" w:type="dxa"/>
            <w:noWrap/>
          </w:tcPr>
          <w:p w14:paraId="65092972" w14:textId="03D67392" w:rsidR="00416418" w:rsidRPr="00B275E2" w:rsidRDefault="00416418" w:rsidP="00DE6137">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color w:val="000000"/>
                <w:szCs w:val="18"/>
              </w:rPr>
              <w:t xml:space="preserve">1600 - </w:t>
            </w:r>
            <w:r w:rsidRPr="00B275E2">
              <w:rPr>
                <w:rFonts w:cs="Calibri"/>
                <w:szCs w:val="18"/>
              </w:rPr>
              <w:t>&lt;</w:t>
            </w:r>
            <w:r w:rsidRPr="00B275E2">
              <w:rPr>
                <w:rFonts w:cs="Calibri"/>
                <w:color w:val="000000"/>
                <w:szCs w:val="18"/>
              </w:rPr>
              <w:t>2000 cc</w:t>
            </w:r>
          </w:p>
        </w:tc>
        <w:tc>
          <w:tcPr>
            <w:tcW w:w="0" w:type="auto"/>
          </w:tcPr>
          <w:p w14:paraId="6C09781A" w14:textId="6804A721" w:rsidR="00416418" w:rsidRPr="00B275E2" w:rsidRDefault="00416418" w:rsidP="00DE6137">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litres</w:t>
            </w:r>
          </w:p>
        </w:tc>
        <w:tc>
          <w:tcPr>
            <w:tcW w:w="1106" w:type="dxa"/>
            <w:shd w:val="clear" w:color="auto" w:fill="auto"/>
            <w:noWrap/>
            <w:vAlign w:val="bottom"/>
          </w:tcPr>
          <w:p w14:paraId="65092973" w14:textId="65504A06" w:rsidR="00416418" w:rsidRPr="00B275E2" w:rsidRDefault="00416418" w:rsidP="00DE6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0.05</w:t>
            </w:r>
          </w:p>
        </w:tc>
        <w:tc>
          <w:tcPr>
            <w:tcW w:w="1051" w:type="dxa"/>
            <w:shd w:val="clear" w:color="auto" w:fill="auto"/>
            <w:noWrap/>
            <w:vAlign w:val="bottom"/>
          </w:tcPr>
          <w:p w14:paraId="65092974" w14:textId="5434AD42" w:rsidR="00416418" w:rsidRPr="00B275E2" w:rsidRDefault="00416418" w:rsidP="00DE6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0.04</w:t>
            </w:r>
          </w:p>
        </w:tc>
        <w:tc>
          <w:tcPr>
            <w:tcW w:w="0" w:type="auto"/>
            <w:tcBorders>
              <w:right w:val="single" w:sz="4" w:space="0" w:color="FFFFFF" w:themeColor="background1"/>
            </w:tcBorders>
            <w:shd w:val="clear" w:color="auto" w:fill="auto"/>
            <w:noWrap/>
            <w:vAlign w:val="bottom"/>
          </w:tcPr>
          <w:p w14:paraId="65092975" w14:textId="03E79818" w:rsidR="00416418" w:rsidRPr="00B275E2" w:rsidRDefault="00416418" w:rsidP="00DE6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0.04</w:t>
            </w:r>
          </w:p>
        </w:tc>
      </w:tr>
      <w:tr w:rsidR="00416418" w:rsidRPr="00B275E2" w14:paraId="6509297C" w14:textId="77777777" w:rsidTr="000750BF">
        <w:trPr>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left w:val="single" w:sz="4" w:space="0" w:color="FFFFFF" w:themeColor="background1"/>
            </w:tcBorders>
            <w:hideMark/>
          </w:tcPr>
          <w:p w14:paraId="65092977" w14:textId="77777777" w:rsidR="00416418" w:rsidRPr="00B275E2" w:rsidRDefault="00416418" w:rsidP="00DE6137">
            <w:pPr>
              <w:pStyle w:val="TableText"/>
              <w:spacing w:before="40" w:after="40"/>
              <w:rPr>
                <w:rFonts w:cs="Calibri"/>
                <w:b w:val="0"/>
                <w:szCs w:val="18"/>
              </w:rPr>
            </w:pPr>
          </w:p>
        </w:tc>
        <w:tc>
          <w:tcPr>
            <w:tcW w:w="1791" w:type="dxa"/>
            <w:noWrap/>
          </w:tcPr>
          <w:p w14:paraId="65092978" w14:textId="011B0E52" w:rsidR="00416418" w:rsidRPr="00B275E2" w:rsidRDefault="00416418" w:rsidP="00DE6137">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color w:val="000000"/>
                <w:szCs w:val="18"/>
              </w:rPr>
              <w:t xml:space="preserve">2000 - </w:t>
            </w:r>
            <w:r w:rsidRPr="00B275E2">
              <w:rPr>
                <w:rFonts w:cs="Calibri"/>
                <w:szCs w:val="18"/>
              </w:rPr>
              <w:t>&lt;</w:t>
            </w:r>
            <w:r w:rsidRPr="00B275E2">
              <w:rPr>
                <w:rFonts w:cs="Calibri"/>
                <w:color w:val="000000"/>
                <w:szCs w:val="18"/>
              </w:rPr>
              <w:t>3000 cc</w:t>
            </w:r>
          </w:p>
        </w:tc>
        <w:tc>
          <w:tcPr>
            <w:tcW w:w="0" w:type="auto"/>
          </w:tcPr>
          <w:p w14:paraId="47F58197" w14:textId="158C9AB9" w:rsidR="00416418" w:rsidRPr="00B275E2" w:rsidRDefault="00416418" w:rsidP="00DE6137">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litres</w:t>
            </w:r>
          </w:p>
        </w:tc>
        <w:tc>
          <w:tcPr>
            <w:tcW w:w="1106" w:type="dxa"/>
            <w:shd w:val="clear" w:color="auto" w:fill="auto"/>
            <w:noWrap/>
            <w:vAlign w:val="bottom"/>
          </w:tcPr>
          <w:p w14:paraId="65092979" w14:textId="66C27F66" w:rsidR="00416418" w:rsidRPr="00B275E2" w:rsidRDefault="00416418" w:rsidP="00DE6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0.05</w:t>
            </w:r>
          </w:p>
        </w:tc>
        <w:tc>
          <w:tcPr>
            <w:tcW w:w="1051" w:type="dxa"/>
            <w:shd w:val="clear" w:color="auto" w:fill="auto"/>
            <w:noWrap/>
            <w:vAlign w:val="bottom"/>
          </w:tcPr>
          <w:p w14:paraId="6509297A" w14:textId="4E9E4C1D" w:rsidR="00416418" w:rsidRPr="00B275E2" w:rsidRDefault="00416418" w:rsidP="00DE6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0.05</w:t>
            </w:r>
          </w:p>
        </w:tc>
        <w:tc>
          <w:tcPr>
            <w:tcW w:w="0" w:type="auto"/>
            <w:tcBorders>
              <w:right w:val="single" w:sz="4" w:space="0" w:color="FFFFFF" w:themeColor="background1"/>
            </w:tcBorders>
            <w:shd w:val="clear" w:color="auto" w:fill="auto"/>
            <w:noWrap/>
            <w:vAlign w:val="bottom"/>
          </w:tcPr>
          <w:p w14:paraId="6509297B" w14:textId="29DAC922" w:rsidR="00416418" w:rsidRPr="00B275E2" w:rsidRDefault="00416418" w:rsidP="00DE6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0.05</w:t>
            </w:r>
          </w:p>
        </w:tc>
      </w:tr>
      <w:tr w:rsidR="00416418" w:rsidRPr="00B275E2" w14:paraId="65092982" w14:textId="77777777" w:rsidTr="000750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left w:val="single" w:sz="4" w:space="0" w:color="FFFFFF" w:themeColor="background1"/>
            </w:tcBorders>
            <w:hideMark/>
          </w:tcPr>
          <w:p w14:paraId="6509297D" w14:textId="77777777" w:rsidR="00416418" w:rsidRPr="00B275E2" w:rsidRDefault="00416418" w:rsidP="00DE6137">
            <w:pPr>
              <w:pStyle w:val="TableText"/>
              <w:spacing w:before="40" w:after="40"/>
              <w:rPr>
                <w:rFonts w:cs="Calibri"/>
                <w:b w:val="0"/>
                <w:szCs w:val="18"/>
              </w:rPr>
            </w:pPr>
          </w:p>
        </w:tc>
        <w:tc>
          <w:tcPr>
            <w:tcW w:w="1791" w:type="dxa"/>
            <w:noWrap/>
          </w:tcPr>
          <w:p w14:paraId="6509297E" w14:textId="77777777" w:rsidR="00416418" w:rsidRPr="00B275E2" w:rsidRDefault="00416418" w:rsidP="00DE6137">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color w:val="000000"/>
                <w:szCs w:val="18"/>
              </w:rPr>
              <w:t>≥3000 cc</w:t>
            </w:r>
          </w:p>
        </w:tc>
        <w:tc>
          <w:tcPr>
            <w:tcW w:w="0" w:type="auto"/>
          </w:tcPr>
          <w:p w14:paraId="3B316D4F" w14:textId="4E1856BD" w:rsidR="00416418" w:rsidRPr="00B275E2" w:rsidRDefault="00416418" w:rsidP="00DE6137">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litres</w:t>
            </w:r>
          </w:p>
        </w:tc>
        <w:tc>
          <w:tcPr>
            <w:tcW w:w="1106" w:type="dxa"/>
            <w:shd w:val="clear" w:color="auto" w:fill="auto"/>
            <w:noWrap/>
            <w:vAlign w:val="bottom"/>
          </w:tcPr>
          <w:p w14:paraId="6509297F" w14:textId="4962D399" w:rsidR="00416418" w:rsidRPr="00B275E2" w:rsidRDefault="00416418" w:rsidP="00DE6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0.05</w:t>
            </w:r>
          </w:p>
        </w:tc>
        <w:tc>
          <w:tcPr>
            <w:tcW w:w="1051" w:type="dxa"/>
            <w:shd w:val="clear" w:color="auto" w:fill="auto"/>
            <w:noWrap/>
            <w:vAlign w:val="bottom"/>
          </w:tcPr>
          <w:p w14:paraId="65092980" w14:textId="6F5C81E6" w:rsidR="00416418" w:rsidRPr="00B275E2" w:rsidRDefault="00416418" w:rsidP="00DE6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0.05</w:t>
            </w:r>
          </w:p>
        </w:tc>
        <w:tc>
          <w:tcPr>
            <w:tcW w:w="0" w:type="auto"/>
            <w:tcBorders>
              <w:right w:val="single" w:sz="4" w:space="0" w:color="FFFFFF" w:themeColor="background1"/>
            </w:tcBorders>
            <w:shd w:val="clear" w:color="auto" w:fill="auto"/>
            <w:noWrap/>
            <w:vAlign w:val="bottom"/>
          </w:tcPr>
          <w:p w14:paraId="65092981" w14:textId="4AF05548" w:rsidR="00416418" w:rsidRPr="00B275E2" w:rsidRDefault="00416418" w:rsidP="00DE6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0.05</w:t>
            </w:r>
          </w:p>
        </w:tc>
      </w:tr>
      <w:tr w:rsidR="00416418" w:rsidRPr="00B275E2" w14:paraId="65092988" w14:textId="77777777" w:rsidTr="000750BF">
        <w:trPr>
          <w:trHeight w:val="300"/>
        </w:trPr>
        <w:tc>
          <w:tcPr>
            <w:cnfStyle w:val="001000000000" w:firstRow="0" w:lastRow="0" w:firstColumn="1" w:lastColumn="0" w:oddVBand="0" w:evenVBand="0" w:oddHBand="0" w:evenHBand="0" w:firstRowFirstColumn="0" w:firstRowLastColumn="0" w:lastRowFirstColumn="0" w:lastRowLastColumn="0"/>
            <w:tcW w:w="2830" w:type="dxa"/>
            <w:vMerge w:val="restart"/>
            <w:tcBorders>
              <w:left w:val="single" w:sz="4" w:space="0" w:color="FFFFFF" w:themeColor="background1"/>
            </w:tcBorders>
            <w:hideMark/>
          </w:tcPr>
          <w:p w14:paraId="65092983" w14:textId="45C016CD" w:rsidR="00416418" w:rsidRPr="00B275E2" w:rsidRDefault="00416418" w:rsidP="00DE6137">
            <w:pPr>
              <w:pStyle w:val="TableText"/>
              <w:spacing w:before="40" w:after="40"/>
              <w:rPr>
                <w:rFonts w:cs="Calibri"/>
                <w:b w:val="0"/>
                <w:szCs w:val="18"/>
              </w:rPr>
            </w:pPr>
            <w:r w:rsidRPr="00B275E2">
              <w:rPr>
                <w:rFonts w:cs="Calibri"/>
                <w:b w:val="0"/>
                <w:szCs w:val="18"/>
              </w:rPr>
              <w:t>Diesel PHEV – electricity consumption</w:t>
            </w:r>
          </w:p>
        </w:tc>
        <w:tc>
          <w:tcPr>
            <w:tcW w:w="1791" w:type="dxa"/>
            <w:noWrap/>
          </w:tcPr>
          <w:p w14:paraId="65092984" w14:textId="77777777" w:rsidR="00416418" w:rsidRPr="00B275E2" w:rsidRDefault="00416418" w:rsidP="00DE6137">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color w:val="000000"/>
                <w:szCs w:val="18"/>
              </w:rPr>
              <w:t>&lt;1350 cc</w:t>
            </w:r>
          </w:p>
        </w:tc>
        <w:tc>
          <w:tcPr>
            <w:tcW w:w="0" w:type="auto"/>
          </w:tcPr>
          <w:p w14:paraId="677E24EF" w14:textId="6C82EEF4" w:rsidR="00416418" w:rsidRPr="00B275E2" w:rsidRDefault="00416418" w:rsidP="00DE6137">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kWh</w:t>
            </w:r>
          </w:p>
        </w:tc>
        <w:tc>
          <w:tcPr>
            <w:tcW w:w="1106" w:type="dxa"/>
            <w:shd w:val="clear" w:color="auto" w:fill="auto"/>
            <w:noWrap/>
            <w:vAlign w:val="bottom"/>
          </w:tcPr>
          <w:p w14:paraId="65092985" w14:textId="01048766" w:rsidR="00416418" w:rsidRPr="00B275E2" w:rsidRDefault="00416418" w:rsidP="00DE6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0.11</w:t>
            </w:r>
          </w:p>
        </w:tc>
        <w:tc>
          <w:tcPr>
            <w:tcW w:w="1051" w:type="dxa"/>
            <w:shd w:val="clear" w:color="auto" w:fill="auto"/>
            <w:noWrap/>
            <w:vAlign w:val="bottom"/>
          </w:tcPr>
          <w:p w14:paraId="65092986" w14:textId="25CAF82C" w:rsidR="00416418" w:rsidRPr="00B275E2" w:rsidRDefault="00416418" w:rsidP="00DE6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0.10</w:t>
            </w:r>
          </w:p>
        </w:tc>
        <w:tc>
          <w:tcPr>
            <w:tcW w:w="0" w:type="auto"/>
            <w:tcBorders>
              <w:right w:val="single" w:sz="4" w:space="0" w:color="FFFFFF" w:themeColor="background1"/>
            </w:tcBorders>
            <w:shd w:val="clear" w:color="auto" w:fill="auto"/>
            <w:noWrap/>
            <w:vAlign w:val="bottom"/>
          </w:tcPr>
          <w:p w14:paraId="65092987" w14:textId="769F7897" w:rsidR="00416418" w:rsidRPr="00B275E2" w:rsidRDefault="00416418" w:rsidP="00DE6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0.10</w:t>
            </w:r>
          </w:p>
        </w:tc>
      </w:tr>
      <w:tr w:rsidR="00416418" w:rsidRPr="00B275E2" w14:paraId="6509298E" w14:textId="77777777" w:rsidTr="000750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left w:val="single" w:sz="4" w:space="0" w:color="FFFFFF" w:themeColor="background1"/>
            </w:tcBorders>
          </w:tcPr>
          <w:p w14:paraId="65092989" w14:textId="77777777" w:rsidR="00416418" w:rsidRPr="00B275E2" w:rsidRDefault="00416418" w:rsidP="00DE6137">
            <w:pPr>
              <w:pStyle w:val="TableText"/>
              <w:spacing w:before="40" w:after="40"/>
              <w:rPr>
                <w:rFonts w:cs="Calibri"/>
                <w:b w:val="0"/>
                <w:szCs w:val="18"/>
              </w:rPr>
            </w:pPr>
          </w:p>
        </w:tc>
        <w:tc>
          <w:tcPr>
            <w:tcW w:w="1791" w:type="dxa"/>
            <w:noWrap/>
          </w:tcPr>
          <w:p w14:paraId="6509298A" w14:textId="11C0DC3B" w:rsidR="00416418" w:rsidRPr="00B275E2" w:rsidRDefault="00416418" w:rsidP="00DE6137">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color w:val="000000"/>
                <w:szCs w:val="18"/>
              </w:rPr>
              <w:t xml:space="preserve">1350 - </w:t>
            </w:r>
            <w:r w:rsidRPr="00B275E2">
              <w:rPr>
                <w:rFonts w:cs="Calibri"/>
                <w:szCs w:val="18"/>
              </w:rPr>
              <w:t>&lt;</w:t>
            </w:r>
            <w:r w:rsidRPr="00B275E2">
              <w:rPr>
                <w:rFonts w:cs="Calibri"/>
                <w:color w:val="000000"/>
                <w:szCs w:val="18"/>
              </w:rPr>
              <w:t>1600 cc</w:t>
            </w:r>
          </w:p>
        </w:tc>
        <w:tc>
          <w:tcPr>
            <w:tcW w:w="0" w:type="auto"/>
          </w:tcPr>
          <w:p w14:paraId="743E0AF6" w14:textId="7615EB7E" w:rsidR="00416418" w:rsidRPr="00B275E2" w:rsidRDefault="00416418" w:rsidP="00DE6137">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kWh</w:t>
            </w:r>
          </w:p>
        </w:tc>
        <w:tc>
          <w:tcPr>
            <w:tcW w:w="1106" w:type="dxa"/>
            <w:shd w:val="clear" w:color="auto" w:fill="auto"/>
            <w:noWrap/>
            <w:vAlign w:val="bottom"/>
          </w:tcPr>
          <w:p w14:paraId="6509298B" w14:textId="5EE21E92" w:rsidR="00416418" w:rsidRPr="00B275E2" w:rsidRDefault="00416418" w:rsidP="00DE6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0.11</w:t>
            </w:r>
          </w:p>
        </w:tc>
        <w:tc>
          <w:tcPr>
            <w:tcW w:w="1051" w:type="dxa"/>
            <w:shd w:val="clear" w:color="auto" w:fill="auto"/>
            <w:noWrap/>
            <w:vAlign w:val="bottom"/>
          </w:tcPr>
          <w:p w14:paraId="6509298C" w14:textId="23BBA3E1" w:rsidR="00416418" w:rsidRPr="00B275E2" w:rsidRDefault="00416418" w:rsidP="00DE6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0.10</w:t>
            </w:r>
          </w:p>
        </w:tc>
        <w:tc>
          <w:tcPr>
            <w:tcW w:w="0" w:type="auto"/>
            <w:tcBorders>
              <w:right w:val="single" w:sz="4" w:space="0" w:color="FFFFFF" w:themeColor="background1"/>
            </w:tcBorders>
            <w:shd w:val="clear" w:color="auto" w:fill="auto"/>
            <w:noWrap/>
            <w:vAlign w:val="bottom"/>
          </w:tcPr>
          <w:p w14:paraId="6509298D" w14:textId="708AA43C" w:rsidR="00416418" w:rsidRPr="00B275E2" w:rsidRDefault="00416418" w:rsidP="00DE6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0.10</w:t>
            </w:r>
          </w:p>
        </w:tc>
      </w:tr>
      <w:tr w:rsidR="00416418" w:rsidRPr="00B275E2" w14:paraId="65092994" w14:textId="77777777" w:rsidTr="000750BF">
        <w:trPr>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left w:val="single" w:sz="4" w:space="0" w:color="FFFFFF" w:themeColor="background1"/>
            </w:tcBorders>
          </w:tcPr>
          <w:p w14:paraId="6509298F" w14:textId="77777777" w:rsidR="00416418" w:rsidRPr="00B275E2" w:rsidRDefault="00416418" w:rsidP="00DE6137">
            <w:pPr>
              <w:pStyle w:val="TableText"/>
              <w:spacing w:before="40" w:after="40"/>
              <w:rPr>
                <w:rFonts w:cs="Calibri"/>
                <w:b w:val="0"/>
                <w:szCs w:val="18"/>
              </w:rPr>
            </w:pPr>
          </w:p>
        </w:tc>
        <w:tc>
          <w:tcPr>
            <w:tcW w:w="1791" w:type="dxa"/>
            <w:noWrap/>
          </w:tcPr>
          <w:p w14:paraId="65092990" w14:textId="619066A7" w:rsidR="00416418" w:rsidRPr="00B275E2" w:rsidRDefault="00416418" w:rsidP="00DE6137">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color w:val="000000"/>
                <w:szCs w:val="18"/>
              </w:rPr>
              <w:t xml:space="preserve">1600 - </w:t>
            </w:r>
            <w:r w:rsidRPr="00B275E2">
              <w:rPr>
                <w:rFonts w:cs="Calibri"/>
                <w:szCs w:val="18"/>
              </w:rPr>
              <w:t>&lt;</w:t>
            </w:r>
            <w:r w:rsidRPr="00B275E2">
              <w:rPr>
                <w:rFonts w:cs="Calibri"/>
                <w:color w:val="000000"/>
                <w:szCs w:val="18"/>
              </w:rPr>
              <w:t>2000 cc</w:t>
            </w:r>
          </w:p>
        </w:tc>
        <w:tc>
          <w:tcPr>
            <w:tcW w:w="0" w:type="auto"/>
          </w:tcPr>
          <w:p w14:paraId="68F26F22" w14:textId="41F82D7F" w:rsidR="00416418" w:rsidRPr="00B275E2" w:rsidRDefault="00416418" w:rsidP="00DE6137">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kWh</w:t>
            </w:r>
          </w:p>
        </w:tc>
        <w:tc>
          <w:tcPr>
            <w:tcW w:w="1106" w:type="dxa"/>
            <w:shd w:val="clear" w:color="auto" w:fill="auto"/>
            <w:noWrap/>
            <w:vAlign w:val="bottom"/>
          </w:tcPr>
          <w:p w14:paraId="65092991" w14:textId="11CB862A" w:rsidR="00416418" w:rsidRPr="00B275E2" w:rsidRDefault="00416418" w:rsidP="00DE6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0.12</w:t>
            </w:r>
          </w:p>
        </w:tc>
        <w:tc>
          <w:tcPr>
            <w:tcW w:w="1051" w:type="dxa"/>
            <w:shd w:val="clear" w:color="auto" w:fill="auto"/>
            <w:noWrap/>
            <w:vAlign w:val="bottom"/>
          </w:tcPr>
          <w:p w14:paraId="65092992" w14:textId="47E6B02E" w:rsidR="00416418" w:rsidRPr="00B275E2" w:rsidRDefault="00416418" w:rsidP="00DE6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0.11</w:t>
            </w:r>
          </w:p>
        </w:tc>
        <w:tc>
          <w:tcPr>
            <w:tcW w:w="0" w:type="auto"/>
            <w:tcBorders>
              <w:right w:val="single" w:sz="4" w:space="0" w:color="FFFFFF" w:themeColor="background1"/>
            </w:tcBorders>
            <w:shd w:val="clear" w:color="auto" w:fill="auto"/>
            <w:noWrap/>
            <w:vAlign w:val="bottom"/>
          </w:tcPr>
          <w:p w14:paraId="65092993" w14:textId="7801B404" w:rsidR="00416418" w:rsidRPr="00B275E2" w:rsidRDefault="00416418" w:rsidP="00DE6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0.10</w:t>
            </w:r>
          </w:p>
        </w:tc>
      </w:tr>
      <w:tr w:rsidR="00416418" w:rsidRPr="00B275E2" w14:paraId="6509299A" w14:textId="77777777" w:rsidTr="000750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left w:val="single" w:sz="4" w:space="0" w:color="FFFFFF" w:themeColor="background1"/>
            </w:tcBorders>
          </w:tcPr>
          <w:p w14:paraId="65092995" w14:textId="77777777" w:rsidR="00416418" w:rsidRPr="00B275E2" w:rsidRDefault="00416418" w:rsidP="00DE6137">
            <w:pPr>
              <w:pStyle w:val="TableText"/>
              <w:spacing w:before="40" w:after="40"/>
              <w:rPr>
                <w:rFonts w:cs="Calibri"/>
                <w:b w:val="0"/>
                <w:szCs w:val="18"/>
              </w:rPr>
            </w:pPr>
          </w:p>
        </w:tc>
        <w:tc>
          <w:tcPr>
            <w:tcW w:w="1791" w:type="dxa"/>
            <w:noWrap/>
          </w:tcPr>
          <w:p w14:paraId="65092996" w14:textId="36D9BFE5" w:rsidR="00416418" w:rsidRPr="00B275E2" w:rsidRDefault="00416418" w:rsidP="00DE6137">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color w:val="000000"/>
                <w:szCs w:val="18"/>
              </w:rPr>
              <w:t xml:space="preserve">2000 - </w:t>
            </w:r>
            <w:r w:rsidRPr="00B275E2">
              <w:rPr>
                <w:rFonts w:cs="Calibri"/>
                <w:szCs w:val="18"/>
              </w:rPr>
              <w:t>&lt;</w:t>
            </w:r>
            <w:r w:rsidRPr="00B275E2">
              <w:rPr>
                <w:rFonts w:cs="Calibri"/>
                <w:color w:val="000000"/>
                <w:szCs w:val="18"/>
              </w:rPr>
              <w:t>3000 cc</w:t>
            </w:r>
          </w:p>
        </w:tc>
        <w:tc>
          <w:tcPr>
            <w:tcW w:w="0" w:type="auto"/>
          </w:tcPr>
          <w:p w14:paraId="4F1BCB99" w14:textId="68F62A31" w:rsidR="00416418" w:rsidRPr="00B275E2" w:rsidRDefault="00416418" w:rsidP="00DE6137">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kWh</w:t>
            </w:r>
          </w:p>
        </w:tc>
        <w:tc>
          <w:tcPr>
            <w:tcW w:w="1106" w:type="dxa"/>
            <w:shd w:val="clear" w:color="auto" w:fill="auto"/>
            <w:noWrap/>
            <w:vAlign w:val="bottom"/>
          </w:tcPr>
          <w:p w14:paraId="65092997" w14:textId="7463FF73" w:rsidR="00416418" w:rsidRPr="00B275E2" w:rsidRDefault="00416418" w:rsidP="00DE6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0.13</w:t>
            </w:r>
          </w:p>
        </w:tc>
        <w:tc>
          <w:tcPr>
            <w:tcW w:w="1051" w:type="dxa"/>
            <w:shd w:val="clear" w:color="auto" w:fill="auto"/>
            <w:noWrap/>
            <w:vAlign w:val="bottom"/>
          </w:tcPr>
          <w:p w14:paraId="65092998" w14:textId="3B4BE4AD" w:rsidR="00416418" w:rsidRPr="00B275E2" w:rsidRDefault="00416418" w:rsidP="00DE6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0.12</w:t>
            </w:r>
          </w:p>
        </w:tc>
        <w:tc>
          <w:tcPr>
            <w:tcW w:w="0" w:type="auto"/>
            <w:tcBorders>
              <w:right w:val="single" w:sz="4" w:space="0" w:color="FFFFFF" w:themeColor="background1"/>
            </w:tcBorders>
            <w:shd w:val="clear" w:color="auto" w:fill="auto"/>
            <w:noWrap/>
            <w:vAlign w:val="bottom"/>
          </w:tcPr>
          <w:p w14:paraId="65092999" w14:textId="69908B19" w:rsidR="00416418" w:rsidRPr="00B275E2" w:rsidRDefault="00416418" w:rsidP="00DE6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0.12</w:t>
            </w:r>
          </w:p>
        </w:tc>
      </w:tr>
      <w:tr w:rsidR="00416418" w:rsidRPr="00B275E2" w14:paraId="650929A0" w14:textId="77777777" w:rsidTr="000750BF">
        <w:trPr>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left w:val="single" w:sz="4" w:space="0" w:color="FFFFFF" w:themeColor="background1"/>
              <w:bottom w:val="single" w:sz="4" w:space="0" w:color="1B556B"/>
            </w:tcBorders>
          </w:tcPr>
          <w:p w14:paraId="6509299B" w14:textId="77777777" w:rsidR="00416418" w:rsidRPr="00B275E2" w:rsidRDefault="00416418" w:rsidP="00DE6137">
            <w:pPr>
              <w:pStyle w:val="TableText"/>
              <w:spacing w:before="40" w:after="40"/>
              <w:rPr>
                <w:rFonts w:cs="Calibri"/>
                <w:b w:val="0"/>
                <w:szCs w:val="18"/>
              </w:rPr>
            </w:pPr>
          </w:p>
        </w:tc>
        <w:tc>
          <w:tcPr>
            <w:tcW w:w="1791" w:type="dxa"/>
            <w:tcBorders>
              <w:bottom w:val="single" w:sz="4" w:space="0" w:color="1B556B"/>
            </w:tcBorders>
            <w:noWrap/>
          </w:tcPr>
          <w:p w14:paraId="6509299C" w14:textId="77777777" w:rsidR="00416418" w:rsidRPr="00B275E2" w:rsidRDefault="00416418" w:rsidP="00DE6137">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color w:val="000000"/>
                <w:szCs w:val="18"/>
              </w:rPr>
              <w:t>≥3000 cc</w:t>
            </w:r>
          </w:p>
        </w:tc>
        <w:tc>
          <w:tcPr>
            <w:tcW w:w="0" w:type="auto"/>
            <w:tcBorders>
              <w:bottom w:val="single" w:sz="4" w:space="0" w:color="1B556B"/>
            </w:tcBorders>
          </w:tcPr>
          <w:p w14:paraId="60FDE4E0" w14:textId="46BD7776" w:rsidR="00416418" w:rsidRPr="00B275E2" w:rsidRDefault="00416418" w:rsidP="00DE6137">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kWh</w:t>
            </w:r>
          </w:p>
        </w:tc>
        <w:tc>
          <w:tcPr>
            <w:tcW w:w="1106" w:type="dxa"/>
            <w:tcBorders>
              <w:bottom w:val="single" w:sz="4" w:space="0" w:color="1B556B"/>
            </w:tcBorders>
            <w:shd w:val="clear" w:color="auto" w:fill="auto"/>
            <w:noWrap/>
            <w:vAlign w:val="bottom"/>
          </w:tcPr>
          <w:p w14:paraId="6509299D" w14:textId="69353E82" w:rsidR="00416418" w:rsidRPr="00B275E2" w:rsidRDefault="00416418" w:rsidP="00DE6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0.16</w:t>
            </w:r>
          </w:p>
        </w:tc>
        <w:tc>
          <w:tcPr>
            <w:tcW w:w="1051" w:type="dxa"/>
            <w:tcBorders>
              <w:bottom w:val="single" w:sz="4" w:space="0" w:color="1B556B"/>
            </w:tcBorders>
            <w:shd w:val="clear" w:color="auto" w:fill="auto"/>
            <w:noWrap/>
            <w:vAlign w:val="bottom"/>
          </w:tcPr>
          <w:p w14:paraId="6509299E" w14:textId="3AABE7CE" w:rsidR="00416418" w:rsidRPr="00B275E2" w:rsidRDefault="00416418" w:rsidP="00DE6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0.14</w:t>
            </w:r>
          </w:p>
        </w:tc>
        <w:tc>
          <w:tcPr>
            <w:tcW w:w="0" w:type="auto"/>
            <w:tcBorders>
              <w:bottom w:val="single" w:sz="4" w:space="0" w:color="1B556B"/>
              <w:right w:val="single" w:sz="4" w:space="0" w:color="FFFFFF" w:themeColor="background1"/>
            </w:tcBorders>
            <w:shd w:val="clear" w:color="auto" w:fill="auto"/>
            <w:noWrap/>
            <w:vAlign w:val="bottom"/>
          </w:tcPr>
          <w:p w14:paraId="6509299F" w14:textId="6FE896DC" w:rsidR="00416418" w:rsidRPr="00B275E2" w:rsidRDefault="00416418" w:rsidP="00DE6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0.14</w:t>
            </w:r>
          </w:p>
        </w:tc>
      </w:tr>
      <w:tr w:rsidR="00416418" w:rsidRPr="00B275E2" w14:paraId="650929A6" w14:textId="77777777" w:rsidTr="000750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vMerge w:val="restart"/>
            <w:tcBorders>
              <w:left w:val="single" w:sz="4" w:space="0" w:color="FFFFFF" w:themeColor="background1"/>
            </w:tcBorders>
          </w:tcPr>
          <w:p w14:paraId="650929A1" w14:textId="6B89DDB8" w:rsidR="00416418" w:rsidRPr="00B275E2" w:rsidRDefault="00416418" w:rsidP="00DE6137">
            <w:pPr>
              <w:pStyle w:val="TableText"/>
              <w:spacing w:before="40" w:after="40"/>
              <w:rPr>
                <w:rFonts w:cs="Calibri"/>
                <w:b w:val="0"/>
                <w:szCs w:val="18"/>
              </w:rPr>
            </w:pPr>
            <w:r w:rsidRPr="00B275E2">
              <w:rPr>
                <w:rFonts w:cs="Calibri"/>
                <w:b w:val="0"/>
                <w:szCs w:val="18"/>
              </w:rPr>
              <w:t>BEV – electricity consumption</w:t>
            </w:r>
          </w:p>
        </w:tc>
        <w:tc>
          <w:tcPr>
            <w:tcW w:w="1791" w:type="dxa"/>
            <w:noWrap/>
          </w:tcPr>
          <w:p w14:paraId="650929A2" w14:textId="77777777" w:rsidR="00416418" w:rsidRPr="00B275E2" w:rsidRDefault="00416418" w:rsidP="00DE6137">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color w:val="000000"/>
                <w:szCs w:val="18"/>
              </w:rPr>
              <w:t>&lt;1350 cc</w:t>
            </w:r>
          </w:p>
        </w:tc>
        <w:tc>
          <w:tcPr>
            <w:tcW w:w="0" w:type="auto"/>
          </w:tcPr>
          <w:p w14:paraId="13F2ED7B" w14:textId="65FE7286" w:rsidR="00416418" w:rsidRPr="00B275E2" w:rsidRDefault="00416418" w:rsidP="00DE6137">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kWh</w:t>
            </w:r>
          </w:p>
        </w:tc>
        <w:tc>
          <w:tcPr>
            <w:tcW w:w="1106" w:type="dxa"/>
            <w:shd w:val="clear" w:color="auto" w:fill="auto"/>
            <w:noWrap/>
            <w:vAlign w:val="bottom"/>
          </w:tcPr>
          <w:p w14:paraId="650929A3" w14:textId="48F06BA2" w:rsidR="00416418" w:rsidRPr="00B275E2" w:rsidRDefault="00416418" w:rsidP="00DE6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0.22</w:t>
            </w:r>
          </w:p>
        </w:tc>
        <w:tc>
          <w:tcPr>
            <w:tcW w:w="1051" w:type="dxa"/>
            <w:shd w:val="clear" w:color="auto" w:fill="auto"/>
            <w:noWrap/>
            <w:vAlign w:val="bottom"/>
          </w:tcPr>
          <w:p w14:paraId="650929A4" w14:textId="4A5E0D7A" w:rsidR="00416418" w:rsidRPr="00B275E2" w:rsidRDefault="00416418" w:rsidP="00DE6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0.21</w:t>
            </w:r>
          </w:p>
        </w:tc>
        <w:tc>
          <w:tcPr>
            <w:tcW w:w="0" w:type="auto"/>
            <w:tcBorders>
              <w:right w:val="single" w:sz="4" w:space="0" w:color="FFFFFF" w:themeColor="background1"/>
            </w:tcBorders>
            <w:shd w:val="clear" w:color="auto" w:fill="auto"/>
            <w:noWrap/>
            <w:vAlign w:val="bottom"/>
          </w:tcPr>
          <w:p w14:paraId="650929A5" w14:textId="1537E32E" w:rsidR="00416418" w:rsidRPr="00B275E2" w:rsidRDefault="00416418" w:rsidP="00DE6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0.20</w:t>
            </w:r>
          </w:p>
        </w:tc>
      </w:tr>
      <w:tr w:rsidR="00416418" w:rsidRPr="00B275E2" w14:paraId="650929AC" w14:textId="77777777" w:rsidTr="000750BF">
        <w:trPr>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left w:val="single" w:sz="4" w:space="0" w:color="FFFFFF" w:themeColor="background1"/>
            </w:tcBorders>
          </w:tcPr>
          <w:p w14:paraId="650929A7" w14:textId="77777777" w:rsidR="00416418" w:rsidRPr="00B275E2" w:rsidRDefault="00416418" w:rsidP="00DE6137">
            <w:pPr>
              <w:pStyle w:val="TableText"/>
              <w:spacing w:before="40" w:after="40"/>
              <w:rPr>
                <w:rFonts w:cs="Calibri"/>
                <w:szCs w:val="18"/>
              </w:rPr>
            </w:pPr>
          </w:p>
        </w:tc>
        <w:tc>
          <w:tcPr>
            <w:tcW w:w="1791" w:type="dxa"/>
            <w:noWrap/>
          </w:tcPr>
          <w:p w14:paraId="650929A8" w14:textId="1A6B0B30" w:rsidR="00416418" w:rsidRPr="00B275E2" w:rsidRDefault="00416418" w:rsidP="00DE6137">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color w:val="000000"/>
                <w:szCs w:val="18"/>
              </w:rPr>
              <w:t xml:space="preserve">1350 - </w:t>
            </w:r>
            <w:r w:rsidRPr="00B275E2">
              <w:rPr>
                <w:rFonts w:cs="Calibri"/>
                <w:szCs w:val="18"/>
              </w:rPr>
              <w:t>&lt;</w:t>
            </w:r>
            <w:r w:rsidRPr="00B275E2">
              <w:rPr>
                <w:rFonts w:cs="Calibri"/>
                <w:color w:val="000000"/>
                <w:szCs w:val="18"/>
              </w:rPr>
              <w:t>1600 cc</w:t>
            </w:r>
          </w:p>
        </w:tc>
        <w:tc>
          <w:tcPr>
            <w:tcW w:w="0" w:type="auto"/>
          </w:tcPr>
          <w:p w14:paraId="6E1CF7C8" w14:textId="2E196F26" w:rsidR="00416418" w:rsidRPr="00B275E2" w:rsidRDefault="00416418" w:rsidP="00DE6137">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kWh</w:t>
            </w:r>
          </w:p>
        </w:tc>
        <w:tc>
          <w:tcPr>
            <w:tcW w:w="1106" w:type="dxa"/>
            <w:shd w:val="clear" w:color="auto" w:fill="auto"/>
            <w:noWrap/>
            <w:vAlign w:val="bottom"/>
          </w:tcPr>
          <w:p w14:paraId="650929A9" w14:textId="1C1317BB" w:rsidR="00416418" w:rsidRPr="00B275E2" w:rsidRDefault="00416418" w:rsidP="00DE6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0.24</w:t>
            </w:r>
          </w:p>
        </w:tc>
        <w:tc>
          <w:tcPr>
            <w:tcW w:w="1051" w:type="dxa"/>
            <w:shd w:val="clear" w:color="auto" w:fill="auto"/>
            <w:noWrap/>
            <w:vAlign w:val="bottom"/>
          </w:tcPr>
          <w:p w14:paraId="650929AA" w14:textId="2382275E" w:rsidR="00416418" w:rsidRPr="00B275E2" w:rsidRDefault="00416418" w:rsidP="00DE6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0.23</w:t>
            </w:r>
          </w:p>
        </w:tc>
        <w:tc>
          <w:tcPr>
            <w:tcW w:w="0" w:type="auto"/>
            <w:tcBorders>
              <w:right w:val="single" w:sz="4" w:space="0" w:color="FFFFFF" w:themeColor="background1"/>
            </w:tcBorders>
            <w:shd w:val="clear" w:color="auto" w:fill="auto"/>
            <w:noWrap/>
            <w:vAlign w:val="bottom"/>
          </w:tcPr>
          <w:p w14:paraId="650929AB" w14:textId="532D1119" w:rsidR="00416418" w:rsidRPr="00B275E2" w:rsidRDefault="00416418" w:rsidP="00DE6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0.22</w:t>
            </w:r>
          </w:p>
        </w:tc>
      </w:tr>
      <w:tr w:rsidR="00416418" w:rsidRPr="00B275E2" w14:paraId="650929B2" w14:textId="77777777" w:rsidTr="000750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left w:val="single" w:sz="4" w:space="0" w:color="FFFFFF" w:themeColor="background1"/>
            </w:tcBorders>
          </w:tcPr>
          <w:p w14:paraId="650929AD" w14:textId="77777777" w:rsidR="00416418" w:rsidRPr="00B275E2" w:rsidRDefault="00416418" w:rsidP="00DE6137">
            <w:pPr>
              <w:pStyle w:val="TableText"/>
              <w:spacing w:before="40" w:after="40"/>
              <w:rPr>
                <w:rFonts w:cs="Calibri"/>
                <w:szCs w:val="18"/>
              </w:rPr>
            </w:pPr>
          </w:p>
        </w:tc>
        <w:tc>
          <w:tcPr>
            <w:tcW w:w="1791" w:type="dxa"/>
            <w:noWrap/>
          </w:tcPr>
          <w:p w14:paraId="650929AE" w14:textId="35AE9206" w:rsidR="00416418" w:rsidRPr="00B275E2" w:rsidRDefault="00416418" w:rsidP="00DE6137">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color w:val="000000"/>
                <w:szCs w:val="18"/>
              </w:rPr>
              <w:t xml:space="preserve">1600 - </w:t>
            </w:r>
            <w:r w:rsidRPr="00B275E2">
              <w:rPr>
                <w:rFonts w:cs="Calibri"/>
                <w:szCs w:val="18"/>
              </w:rPr>
              <w:t>&lt;</w:t>
            </w:r>
            <w:r w:rsidRPr="00B275E2">
              <w:rPr>
                <w:rFonts w:cs="Calibri"/>
                <w:color w:val="000000"/>
                <w:szCs w:val="18"/>
              </w:rPr>
              <w:t>2000 cc</w:t>
            </w:r>
          </w:p>
        </w:tc>
        <w:tc>
          <w:tcPr>
            <w:tcW w:w="0" w:type="auto"/>
          </w:tcPr>
          <w:p w14:paraId="7A795340" w14:textId="20C9D2E2" w:rsidR="00416418" w:rsidRPr="00B275E2" w:rsidRDefault="00416418" w:rsidP="00DE6137">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kWh</w:t>
            </w:r>
          </w:p>
        </w:tc>
        <w:tc>
          <w:tcPr>
            <w:tcW w:w="1106" w:type="dxa"/>
            <w:shd w:val="clear" w:color="auto" w:fill="auto"/>
            <w:noWrap/>
            <w:vAlign w:val="bottom"/>
          </w:tcPr>
          <w:p w14:paraId="650929AF" w14:textId="02F5BEA8" w:rsidR="00416418" w:rsidRPr="00B275E2" w:rsidRDefault="00416418" w:rsidP="00DE6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0.27</w:t>
            </w:r>
          </w:p>
        </w:tc>
        <w:tc>
          <w:tcPr>
            <w:tcW w:w="1051" w:type="dxa"/>
            <w:shd w:val="clear" w:color="auto" w:fill="auto"/>
            <w:noWrap/>
            <w:vAlign w:val="bottom"/>
          </w:tcPr>
          <w:p w14:paraId="650929B0" w14:textId="289FECF4" w:rsidR="00416418" w:rsidRPr="00B275E2" w:rsidRDefault="00416418" w:rsidP="00DE6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0.26</w:t>
            </w:r>
          </w:p>
        </w:tc>
        <w:tc>
          <w:tcPr>
            <w:tcW w:w="0" w:type="auto"/>
            <w:tcBorders>
              <w:right w:val="single" w:sz="4" w:space="0" w:color="FFFFFF" w:themeColor="background1"/>
            </w:tcBorders>
            <w:shd w:val="clear" w:color="auto" w:fill="auto"/>
            <w:noWrap/>
            <w:vAlign w:val="bottom"/>
          </w:tcPr>
          <w:p w14:paraId="650929B1" w14:textId="1A520FC8" w:rsidR="00416418" w:rsidRPr="00B275E2" w:rsidRDefault="00416418" w:rsidP="00DE6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0.25</w:t>
            </w:r>
          </w:p>
        </w:tc>
      </w:tr>
      <w:tr w:rsidR="00416418" w:rsidRPr="00B275E2" w14:paraId="650929B8" w14:textId="77777777" w:rsidTr="000750BF">
        <w:trPr>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left w:val="single" w:sz="4" w:space="0" w:color="FFFFFF" w:themeColor="background1"/>
            </w:tcBorders>
          </w:tcPr>
          <w:p w14:paraId="650929B3" w14:textId="77777777" w:rsidR="00416418" w:rsidRPr="00B275E2" w:rsidRDefault="00416418" w:rsidP="00DE6137">
            <w:pPr>
              <w:pStyle w:val="TableText"/>
              <w:spacing w:before="40" w:after="40"/>
              <w:rPr>
                <w:rFonts w:cs="Calibri"/>
                <w:szCs w:val="18"/>
              </w:rPr>
            </w:pPr>
          </w:p>
        </w:tc>
        <w:tc>
          <w:tcPr>
            <w:tcW w:w="1791" w:type="dxa"/>
            <w:noWrap/>
          </w:tcPr>
          <w:p w14:paraId="650929B4" w14:textId="5AE7E28C" w:rsidR="00416418" w:rsidRPr="00B275E2" w:rsidRDefault="00416418" w:rsidP="00DE6137">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color w:val="000000"/>
                <w:szCs w:val="18"/>
              </w:rPr>
              <w:t xml:space="preserve">2000 - </w:t>
            </w:r>
            <w:r w:rsidRPr="00B275E2">
              <w:rPr>
                <w:rFonts w:cs="Calibri"/>
                <w:szCs w:val="18"/>
              </w:rPr>
              <w:t>&lt;</w:t>
            </w:r>
            <w:r w:rsidRPr="00B275E2">
              <w:rPr>
                <w:rFonts w:cs="Calibri"/>
                <w:color w:val="000000"/>
                <w:szCs w:val="18"/>
              </w:rPr>
              <w:t>3000 cc</w:t>
            </w:r>
          </w:p>
        </w:tc>
        <w:tc>
          <w:tcPr>
            <w:tcW w:w="0" w:type="auto"/>
          </w:tcPr>
          <w:p w14:paraId="771AC4E1" w14:textId="79ABE5EA" w:rsidR="00416418" w:rsidRPr="00B275E2" w:rsidRDefault="00416418" w:rsidP="00DE6137">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kWh</w:t>
            </w:r>
          </w:p>
        </w:tc>
        <w:tc>
          <w:tcPr>
            <w:tcW w:w="1106" w:type="dxa"/>
            <w:shd w:val="clear" w:color="auto" w:fill="auto"/>
            <w:noWrap/>
            <w:vAlign w:val="bottom"/>
          </w:tcPr>
          <w:p w14:paraId="650929B5" w14:textId="59342C8B" w:rsidR="00416418" w:rsidRPr="00B275E2" w:rsidRDefault="00416418" w:rsidP="00DE6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0.33</w:t>
            </w:r>
          </w:p>
        </w:tc>
        <w:tc>
          <w:tcPr>
            <w:tcW w:w="1051" w:type="dxa"/>
            <w:shd w:val="clear" w:color="auto" w:fill="auto"/>
            <w:noWrap/>
            <w:vAlign w:val="bottom"/>
          </w:tcPr>
          <w:p w14:paraId="650929B6" w14:textId="419DB5E0" w:rsidR="00416418" w:rsidRPr="00B275E2" w:rsidRDefault="00416418" w:rsidP="00DE6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0.32</w:t>
            </w:r>
          </w:p>
        </w:tc>
        <w:tc>
          <w:tcPr>
            <w:tcW w:w="0" w:type="auto"/>
            <w:tcBorders>
              <w:right w:val="single" w:sz="4" w:space="0" w:color="FFFFFF" w:themeColor="background1"/>
            </w:tcBorders>
            <w:shd w:val="clear" w:color="auto" w:fill="auto"/>
            <w:noWrap/>
            <w:vAlign w:val="bottom"/>
          </w:tcPr>
          <w:p w14:paraId="650929B7" w14:textId="5A5722FF" w:rsidR="00416418" w:rsidRPr="00B275E2" w:rsidRDefault="00416418" w:rsidP="00DE6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0.31</w:t>
            </w:r>
          </w:p>
        </w:tc>
      </w:tr>
      <w:tr w:rsidR="00416418" w:rsidRPr="00B275E2" w14:paraId="650929BE" w14:textId="77777777" w:rsidTr="000750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left w:val="single" w:sz="4" w:space="0" w:color="FFFFFF" w:themeColor="background1"/>
            </w:tcBorders>
          </w:tcPr>
          <w:p w14:paraId="650929B9" w14:textId="77777777" w:rsidR="00416418" w:rsidRPr="00B275E2" w:rsidRDefault="00416418" w:rsidP="00DE6137">
            <w:pPr>
              <w:pStyle w:val="TableText"/>
              <w:spacing w:before="40" w:after="40"/>
              <w:rPr>
                <w:rFonts w:cs="Calibri"/>
                <w:szCs w:val="18"/>
              </w:rPr>
            </w:pPr>
          </w:p>
        </w:tc>
        <w:tc>
          <w:tcPr>
            <w:tcW w:w="1791" w:type="dxa"/>
            <w:noWrap/>
          </w:tcPr>
          <w:p w14:paraId="650929BA" w14:textId="77777777" w:rsidR="00416418" w:rsidRPr="00B275E2" w:rsidRDefault="00416418" w:rsidP="00DE6137">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color w:val="000000"/>
                <w:szCs w:val="18"/>
              </w:rPr>
              <w:t>≥3000 cc</w:t>
            </w:r>
          </w:p>
        </w:tc>
        <w:tc>
          <w:tcPr>
            <w:tcW w:w="0" w:type="auto"/>
          </w:tcPr>
          <w:p w14:paraId="6C2278D8" w14:textId="52A03C97" w:rsidR="00416418" w:rsidRPr="00B275E2" w:rsidRDefault="00416418" w:rsidP="00DE6137">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kWh</w:t>
            </w:r>
          </w:p>
        </w:tc>
        <w:tc>
          <w:tcPr>
            <w:tcW w:w="1106" w:type="dxa"/>
            <w:shd w:val="clear" w:color="auto" w:fill="auto"/>
            <w:noWrap/>
            <w:vAlign w:val="bottom"/>
          </w:tcPr>
          <w:p w14:paraId="650929BB" w14:textId="5BE67B8F" w:rsidR="00416418" w:rsidRPr="00B275E2" w:rsidRDefault="00416418" w:rsidP="00DE6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0.39</w:t>
            </w:r>
          </w:p>
        </w:tc>
        <w:tc>
          <w:tcPr>
            <w:tcW w:w="1051" w:type="dxa"/>
            <w:shd w:val="clear" w:color="auto" w:fill="auto"/>
            <w:noWrap/>
            <w:vAlign w:val="bottom"/>
          </w:tcPr>
          <w:p w14:paraId="650929BC" w14:textId="341EFE82" w:rsidR="00416418" w:rsidRPr="00B275E2" w:rsidRDefault="00416418" w:rsidP="00DE6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0.37</w:t>
            </w:r>
          </w:p>
        </w:tc>
        <w:tc>
          <w:tcPr>
            <w:tcW w:w="0" w:type="auto"/>
            <w:tcBorders>
              <w:right w:val="single" w:sz="4" w:space="0" w:color="FFFFFF" w:themeColor="background1"/>
            </w:tcBorders>
            <w:shd w:val="clear" w:color="auto" w:fill="auto"/>
            <w:noWrap/>
            <w:vAlign w:val="bottom"/>
          </w:tcPr>
          <w:p w14:paraId="650929BD" w14:textId="241687BC" w:rsidR="00416418" w:rsidRPr="00B275E2" w:rsidRDefault="00416418" w:rsidP="00DE6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0.36</w:t>
            </w:r>
          </w:p>
        </w:tc>
      </w:tr>
    </w:tbl>
    <w:p w14:paraId="650929C0" w14:textId="6DC55811" w:rsidR="00DA4F00" w:rsidRPr="00B275E2" w:rsidRDefault="00EB4389" w:rsidP="00DE6137">
      <w:pPr>
        <w:pStyle w:val="Tableheading"/>
      </w:pPr>
      <w:bookmarkStart w:id="482" w:name="_Toc111536667"/>
      <w:r w:rsidRPr="00B275E2">
        <w:t xml:space="preserve">Table </w:t>
      </w:r>
      <w:r w:rsidRPr="00B275E2">
        <w:fldChar w:fldCharType="begin"/>
      </w:r>
      <w:r w:rsidRPr="00B275E2">
        <w:instrText>SEQ Table \* ARABIC</w:instrText>
      </w:r>
      <w:r w:rsidRPr="00B275E2">
        <w:fldChar w:fldCharType="separate"/>
      </w:r>
      <w:r>
        <w:rPr>
          <w:noProof/>
        </w:rPr>
        <w:t>62</w:t>
      </w:r>
      <w:r w:rsidRPr="00B275E2">
        <w:fldChar w:fldCharType="end"/>
      </w:r>
      <w:r w:rsidRPr="00B275E2">
        <w:t>:</w:t>
      </w:r>
      <w:r w:rsidRPr="00B275E2">
        <w:tab/>
      </w:r>
      <w:r w:rsidR="00F7178D" w:rsidRPr="00B275E2">
        <w:t xml:space="preserve">Heavy goods vehicles </w:t>
      </w:r>
      <w:r w:rsidR="00836D5A" w:rsidRPr="00B275E2">
        <w:t>(</w:t>
      </w:r>
      <w:r w:rsidR="00F7178D" w:rsidRPr="00B275E2">
        <w:t>energy consumption per 100</w:t>
      </w:r>
      <w:r w:rsidR="00836D5A" w:rsidRPr="00B275E2">
        <w:t xml:space="preserve"> </w:t>
      </w:r>
      <w:r w:rsidR="00F7178D" w:rsidRPr="00B275E2">
        <w:t>km</w:t>
      </w:r>
      <w:r w:rsidR="00836D5A" w:rsidRPr="00B275E2">
        <w:t>)</w:t>
      </w:r>
      <w:bookmarkEnd w:id="482"/>
    </w:p>
    <w:tbl>
      <w:tblPr>
        <w:tblStyle w:val="LightList-Accent11"/>
        <w:tblW w:w="8505" w:type="dxa"/>
        <w:tblBorders>
          <w:top w:val="single" w:sz="4" w:space="0" w:color="1B556B"/>
          <w:bottom w:val="single" w:sz="4" w:space="0" w:color="1B556B"/>
          <w:insideH w:val="single" w:sz="4" w:space="0" w:color="1B556B"/>
          <w:insideV w:val="single" w:sz="4" w:space="0" w:color="1B556B"/>
        </w:tblBorders>
        <w:tblLook w:val="04A0" w:firstRow="1" w:lastRow="0" w:firstColumn="1" w:lastColumn="0" w:noHBand="0" w:noVBand="1"/>
      </w:tblPr>
      <w:tblGrid>
        <w:gridCol w:w="2859"/>
        <w:gridCol w:w="1756"/>
        <w:gridCol w:w="647"/>
        <w:gridCol w:w="1125"/>
        <w:gridCol w:w="1094"/>
        <w:gridCol w:w="1024"/>
      </w:tblGrid>
      <w:tr w:rsidR="00AA04C5" w:rsidRPr="00B275E2" w14:paraId="2ABAFE9F" w14:textId="77777777" w:rsidTr="00DE61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gridSpan w:val="2"/>
            <w:vMerge w:val="restart"/>
            <w:shd w:val="clear" w:color="auto" w:fill="1B556B"/>
            <w:noWrap/>
            <w:vAlign w:val="bottom"/>
          </w:tcPr>
          <w:p w14:paraId="69B57DA1" w14:textId="7A26D22C" w:rsidR="00AA04C5" w:rsidRPr="00B275E2" w:rsidRDefault="00AA04C5" w:rsidP="00872E19">
            <w:pPr>
              <w:pStyle w:val="TableText"/>
              <w:spacing w:before="0"/>
              <w:rPr>
                <w:rFonts w:cs="Calibri"/>
                <w:szCs w:val="18"/>
              </w:rPr>
            </w:pPr>
            <w:r w:rsidRPr="00B275E2">
              <w:rPr>
                <w:rFonts w:cs="Calibri"/>
                <w:szCs w:val="18"/>
              </w:rPr>
              <w:t>Emission source</w:t>
            </w:r>
          </w:p>
        </w:tc>
        <w:tc>
          <w:tcPr>
            <w:tcW w:w="0" w:type="auto"/>
            <w:vMerge w:val="restart"/>
            <w:shd w:val="clear" w:color="auto" w:fill="1B556B"/>
            <w:vAlign w:val="bottom"/>
          </w:tcPr>
          <w:p w14:paraId="72A17515" w14:textId="71EA3CAB" w:rsidR="00AA04C5" w:rsidRPr="00B275E2" w:rsidRDefault="00AA04C5" w:rsidP="00872E19">
            <w:pPr>
              <w:pStyle w:val="TableText"/>
              <w:spacing w:before="0"/>
              <w:cnfStyle w:val="100000000000" w:firstRow="1" w:lastRow="0" w:firstColumn="0" w:lastColumn="0" w:oddVBand="0" w:evenVBand="0" w:oddHBand="0" w:evenHBand="0" w:firstRowFirstColumn="0" w:firstRowLastColumn="0" w:lastRowFirstColumn="0" w:lastRowLastColumn="0"/>
              <w:rPr>
                <w:rFonts w:cs="Calibri"/>
                <w:szCs w:val="18"/>
              </w:rPr>
            </w:pPr>
            <w:r w:rsidRPr="00B275E2">
              <w:rPr>
                <w:rFonts w:cs="Calibri"/>
                <w:szCs w:val="18"/>
              </w:rPr>
              <w:t>Units</w:t>
            </w:r>
          </w:p>
        </w:tc>
        <w:tc>
          <w:tcPr>
            <w:tcW w:w="0" w:type="auto"/>
            <w:gridSpan w:val="3"/>
            <w:shd w:val="clear" w:color="auto" w:fill="1B556B"/>
            <w:noWrap/>
            <w:vAlign w:val="bottom"/>
          </w:tcPr>
          <w:p w14:paraId="04D2EC2C" w14:textId="02B37648" w:rsidR="00AA04C5" w:rsidRPr="00B275E2" w:rsidRDefault="00AA04C5" w:rsidP="007F0B1E">
            <w:pPr>
              <w:pStyle w:val="TableText"/>
              <w:spacing w:after="0"/>
              <w:jc w:val="center"/>
              <w:cnfStyle w:val="100000000000" w:firstRow="1" w:lastRow="0" w:firstColumn="0" w:lastColumn="0" w:oddVBand="0" w:evenVBand="0" w:oddHBand="0" w:evenHBand="0" w:firstRowFirstColumn="0" w:firstRowLastColumn="0" w:lastRowFirstColumn="0" w:lastRowLastColumn="0"/>
              <w:rPr>
                <w:rFonts w:cs="Calibri"/>
                <w:szCs w:val="18"/>
              </w:rPr>
            </w:pPr>
            <w:r w:rsidRPr="00B275E2">
              <w:rPr>
                <w:rFonts w:cs="Calibri"/>
                <w:szCs w:val="18"/>
              </w:rPr>
              <w:t>Units of energy consumed per 100 km</w:t>
            </w:r>
          </w:p>
        </w:tc>
      </w:tr>
      <w:tr w:rsidR="00AA04C5" w:rsidRPr="00B275E2" w14:paraId="5EC9F4C2" w14:textId="77777777" w:rsidTr="00DE61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gridSpan w:val="2"/>
            <w:vMerge/>
            <w:shd w:val="clear" w:color="auto" w:fill="1B556B"/>
            <w:noWrap/>
            <w:vAlign w:val="bottom"/>
          </w:tcPr>
          <w:p w14:paraId="00523BDC" w14:textId="77777777" w:rsidR="00AA04C5" w:rsidRPr="00B275E2" w:rsidRDefault="00AA04C5" w:rsidP="007F0B1E">
            <w:pPr>
              <w:pStyle w:val="TableText"/>
              <w:rPr>
                <w:rFonts w:cs="Calibri"/>
                <w:b w:val="0"/>
                <w:szCs w:val="18"/>
              </w:rPr>
            </w:pPr>
          </w:p>
        </w:tc>
        <w:tc>
          <w:tcPr>
            <w:tcW w:w="0" w:type="auto"/>
            <w:vMerge/>
            <w:shd w:val="clear" w:color="auto" w:fill="1B556B"/>
          </w:tcPr>
          <w:p w14:paraId="6DCF2722" w14:textId="77777777" w:rsidR="00AA04C5" w:rsidRPr="00B275E2" w:rsidRDefault="00AA04C5" w:rsidP="007F0B1E">
            <w:pPr>
              <w:pStyle w:val="TableText"/>
              <w:cnfStyle w:val="100000000000" w:firstRow="1" w:lastRow="0" w:firstColumn="0" w:lastColumn="0" w:oddVBand="0" w:evenVBand="0" w:oddHBand="0" w:evenHBand="0" w:firstRowFirstColumn="0" w:firstRowLastColumn="0" w:lastRowFirstColumn="0" w:lastRowLastColumn="0"/>
              <w:rPr>
                <w:rFonts w:cs="Calibri"/>
                <w:b w:val="0"/>
                <w:szCs w:val="18"/>
              </w:rPr>
            </w:pPr>
          </w:p>
        </w:tc>
        <w:tc>
          <w:tcPr>
            <w:tcW w:w="1125" w:type="dxa"/>
            <w:shd w:val="clear" w:color="auto" w:fill="1B556B"/>
            <w:noWrap/>
          </w:tcPr>
          <w:p w14:paraId="40473CDD" w14:textId="753EF15E" w:rsidR="00AA04C5" w:rsidRPr="00B275E2" w:rsidRDefault="00AA04C5" w:rsidP="00872E19">
            <w:pPr>
              <w:pStyle w:val="TableText"/>
              <w:spacing w:before="0"/>
              <w:jc w:val="center"/>
              <w:cnfStyle w:val="100000000000" w:firstRow="1" w:lastRow="0" w:firstColumn="0" w:lastColumn="0" w:oddVBand="0" w:evenVBand="0" w:oddHBand="0" w:evenHBand="0" w:firstRowFirstColumn="0" w:firstRowLastColumn="0" w:lastRowFirstColumn="0" w:lastRowLastColumn="0"/>
              <w:rPr>
                <w:rFonts w:cs="Calibri"/>
                <w:szCs w:val="18"/>
              </w:rPr>
            </w:pPr>
            <w:r w:rsidRPr="00B275E2">
              <w:rPr>
                <w:rFonts w:cs="Calibri"/>
                <w:szCs w:val="18"/>
              </w:rPr>
              <w:t>Pre-2010</w:t>
            </w:r>
          </w:p>
        </w:tc>
        <w:tc>
          <w:tcPr>
            <w:tcW w:w="1094" w:type="dxa"/>
            <w:shd w:val="clear" w:color="auto" w:fill="1B556B"/>
          </w:tcPr>
          <w:p w14:paraId="07F6BAD6" w14:textId="0ABEA826" w:rsidR="00AA04C5" w:rsidRPr="00B275E2" w:rsidRDefault="00AA04C5" w:rsidP="00872E19">
            <w:pPr>
              <w:pStyle w:val="TableText"/>
              <w:spacing w:before="0"/>
              <w:jc w:val="center"/>
              <w:cnfStyle w:val="100000000000" w:firstRow="1" w:lastRow="0" w:firstColumn="0" w:lastColumn="0" w:oddVBand="0" w:evenVBand="0" w:oddHBand="0" w:evenHBand="0" w:firstRowFirstColumn="0" w:firstRowLastColumn="0" w:lastRowFirstColumn="0" w:lastRowLastColumn="0"/>
              <w:rPr>
                <w:rFonts w:cs="Calibri"/>
                <w:szCs w:val="18"/>
              </w:rPr>
            </w:pPr>
            <w:r w:rsidRPr="00B275E2">
              <w:rPr>
                <w:rFonts w:cs="Calibri"/>
                <w:szCs w:val="18"/>
              </w:rPr>
              <w:t>2010–2015</w:t>
            </w:r>
          </w:p>
        </w:tc>
        <w:tc>
          <w:tcPr>
            <w:tcW w:w="0" w:type="auto"/>
            <w:shd w:val="clear" w:color="auto" w:fill="1B556B"/>
          </w:tcPr>
          <w:p w14:paraId="3F1D36BE" w14:textId="4F457D2A" w:rsidR="00AA04C5" w:rsidRPr="00B275E2" w:rsidRDefault="00AA04C5" w:rsidP="00872E19">
            <w:pPr>
              <w:pStyle w:val="TableText"/>
              <w:spacing w:before="0"/>
              <w:jc w:val="center"/>
              <w:cnfStyle w:val="100000000000" w:firstRow="1" w:lastRow="0" w:firstColumn="0" w:lastColumn="0" w:oddVBand="0" w:evenVBand="0" w:oddHBand="0" w:evenHBand="0" w:firstRowFirstColumn="0" w:firstRowLastColumn="0" w:lastRowFirstColumn="0" w:lastRowLastColumn="0"/>
              <w:rPr>
                <w:rFonts w:cs="Calibri"/>
                <w:szCs w:val="18"/>
              </w:rPr>
            </w:pPr>
            <w:r w:rsidRPr="00B275E2">
              <w:rPr>
                <w:rFonts w:cs="Calibri"/>
                <w:szCs w:val="18"/>
              </w:rPr>
              <w:t>Post-2015</w:t>
            </w:r>
          </w:p>
        </w:tc>
      </w:tr>
      <w:tr w:rsidR="004F6139" w:rsidRPr="00B275E2" w14:paraId="650929CB" w14:textId="77777777" w:rsidTr="000750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single" w:sz="4" w:space="0" w:color="FFFFFF" w:themeColor="background1"/>
            </w:tcBorders>
          </w:tcPr>
          <w:p w14:paraId="650929C6" w14:textId="1565AE0D" w:rsidR="00B9331D" w:rsidRPr="00B275E2" w:rsidRDefault="00B9331D" w:rsidP="007F0B1E">
            <w:pPr>
              <w:pStyle w:val="TableText"/>
              <w:spacing w:before="50" w:after="50"/>
              <w:rPr>
                <w:rFonts w:cs="Calibri"/>
                <w:b w:val="0"/>
                <w:szCs w:val="18"/>
              </w:rPr>
            </w:pPr>
            <w:r w:rsidRPr="00B275E2">
              <w:rPr>
                <w:rFonts w:cs="Calibri"/>
                <w:b w:val="0"/>
                <w:szCs w:val="18"/>
              </w:rPr>
              <w:t>HGV diesel</w:t>
            </w:r>
          </w:p>
        </w:tc>
        <w:tc>
          <w:tcPr>
            <w:tcW w:w="0" w:type="auto"/>
            <w:noWrap/>
          </w:tcPr>
          <w:p w14:paraId="650929C7" w14:textId="15B65E62" w:rsidR="00B9331D" w:rsidRPr="00B275E2" w:rsidRDefault="00B9331D" w:rsidP="007F0B1E">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color w:val="000000"/>
                <w:szCs w:val="18"/>
              </w:rPr>
              <w:t xml:space="preserve">&lt;5,000 kg </w:t>
            </w:r>
          </w:p>
        </w:tc>
        <w:tc>
          <w:tcPr>
            <w:tcW w:w="0" w:type="auto"/>
          </w:tcPr>
          <w:p w14:paraId="094DFF92" w14:textId="4352A050" w:rsidR="00B9331D" w:rsidRPr="00B275E2" w:rsidRDefault="00B9331D" w:rsidP="007F0B1E">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litres</w:t>
            </w:r>
          </w:p>
        </w:tc>
        <w:tc>
          <w:tcPr>
            <w:tcW w:w="1125" w:type="dxa"/>
            <w:shd w:val="clear" w:color="auto" w:fill="auto"/>
            <w:noWrap/>
            <w:vAlign w:val="bottom"/>
          </w:tcPr>
          <w:p w14:paraId="650929C8" w14:textId="05F6494D" w:rsidR="00B9331D" w:rsidRPr="00B275E2" w:rsidRDefault="00842E09" w:rsidP="007F0B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1</w:t>
            </w:r>
            <w:r w:rsidRPr="00B275E2">
              <w:rPr>
                <w:szCs w:val="18"/>
              </w:rPr>
              <w:t>6.56</w:t>
            </w:r>
          </w:p>
        </w:tc>
        <w:tc>
          <w:tcPr>
            <w:tcW w:w="1094" w:type="dxa"/>
            <w:shd w:val="clear" w:color="auto" w:fill="auto"/>
            <w:noWrap/>
            <w:vAlign w:val="bottom"/>
          </w:tcPr>
          <w:p w14:paraId="650929C9" w14:textId="5466B988" w:rsidR="00B9331D" w:rsidRPr="00B275E2" w:rsidRDefault="00842E09" w:rsidP="007F0B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1</w:t>
            </w:r>
            <w:r w:rsidRPr="00B275E2">
              <w:rPr>
                <w:szCs w:val="18"/>
              </w:rPr>
              <w:t>5.72</w:t>
            </w:r>
          </w:p>
        </w:tc>
        <w:tc>
          <w:tcPr>
            <w:tcW w:w="0" w:type="auto"/>
            <w:tcBorders>
              <w:right w:val="single" w:sz="4" w:space="0" w:color="FFFFFF" w:themeColor="background1"/>
            </w:tcBorders>
            <w:shd w:val="clear" w:color="auto" w:fill="auto"/>
            <w:noWrap/>
            <w:vAlign w:val="bottom"/>
          </w:tcPr>
          <w:p w14:paraId="650929CA" w14:textId="03E876D8" w:rsidR="00B9331D" w:rsidRPr="00B275E2" w:rsidRDefault="00842E09" w:rsidP="007F0B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1</w:t>
            </w:r>
            <w:r w:rsidRPr="00B275E2">
              <w:rPr>
                <w:szCs w:val="18"/>
              </w:rPr>
              <w:t>5.66</w:t>
            </w:r>
          </w:p>
        </w:tc>
      </w:tr>
      <w:tr w:rsidR="004F6139" w:rsidRPr="00B275E2" w14:paraId="650929D1" w14:textId="77777777" w:rsidTr="000750BF">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FFFFFF" w:themeColor="background1"/>
            </w:tcBorders>
          </w:tcPr>
          <w:p w14:paraId="650929CC" w14:textId="77777777" w:rsidR="00B9331D" w:rsidRPr="00B275E2" w:rsidRDefault="00B9331D" w:rsidP="007F0B1E">
            <w:pPr>
              <w:pStyle w:val="TableText"/>
              <w:spacing w:before="50" w:after="50"/>
              <w:rPr>
                <w:rFonts w:cs="Calibri"/>
                <w:b w:val="0"/>
                <w:szCs w:val="18"/>
              </w:rPr>
            </w:pPr>
          </w:p>
        </w:tc>
        <w:tc>
          <w:tcPr>
            <w:tcW w:w="0" w:type="auto"/>
            <w:noWrap/>
          </w:tcPr>
          <w:p w14:paraId="650929CD" w14:textId="188070FE" w:rsidR="00B9331D" w:rsidRPr="00B275E2" w:rsidRDefault="00B9331D" w:rsidP="007F0B1E">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color w:val="000000"/>
                <w:szCs w:val="18"/>
              </w:rPr>
              <w:t xml:space="preserve">5,000 - </w:t>
            </w:r>
            <w:r w:rsidRPr="00B275E2">
              <w:rPr>
                <w:rFonts w:cs="Calibri"/>
                <w:szCs w:val="18"/>
              </w:rPr>
              <w:t>&lt;</w:t>
            </w:r>
            <w:r w:rsidRPr="00B275E2">
              <w:rPr>
                <w:rFonts w:cs="Calibri"/>
                <w:color w:val="000000"/>
                <w:szCs w:val="18"/>
              </w:rPr>
              <w:t xml:space="preserve">7,500 kg </w:t>
            </w:r>
          </w:p>
        </w:tc>
        <w:tc>
          <w:tcPr>
            <w:tcW w:w="0" w:type="auto"/>
          </w:tcPr>
          <w:p w14:paraId="3E7605A0" w14:textId="5FED2298" w:rsidR="00B9331D" w:rsidRPr="00B275E2" w:rsidRDefault="00B9331D" w:rsidP="007F0B1E">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litres</w:t>
            </w:r>
          </w:p>
        </w:tc>
        <w:tc>
          <w:tcPr>
            <w:tcW w:w="1125" w:type="dxa"/>
            <w:shd w:val="clear" w:color="auto" w:fill="auto"/>
            <w:noWrap/>
            <w:vAlign w:val="bottom"/>
          </w:tcPr>
          <w:p w14:paraId="650929CE" w14:textId="0823E72E" w:rsidR="00B9331D" w:rsidRPr="00B275E2" w:rsidRDefault="00842E09" w:rsidP="007F0B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1</w:t>
            </w:r>
            <w:r w:rsidRPr="00B275E2">
              <w:rPr>
                <w:szCs w:val="18"/>
              </w:rPr>
              <w:t>8.97</w:t>
            </w:r>
          </w:p>
        </w:tc>
        <w:tc>
          <w:tcPr>
            <w:tcW w:w="1094" w:type="dxa"/>
            <w:shd w:val="clear" w:color="auto" w:fill="auto"/>
            <w:noWrap/>
            <w:vAlign w:val="bottom"/>
          </w:tcPr>
          <w:p w14:paraId="650929CF" w14:textId="646897B7" w:rsidR="00B9331D" w:rsidRPr="00B275E2" w:rsidRDefault="00842E09" w:rsidP="007F0B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1</w:t>
            </w:r>
            <w:r w:rsidRPr="00B275E2">
              <w:rPr>
                <w:szCs w:val="18"/>
              </w:rPr>
              <w:t>8.01</w:t>
            </w:r>
          </w:p>
        </w:tc>
        <w:tc>
          <w:tcPr>
            <w:tcW w:w="0" w:type="auto"/>
            <w:tcBorders>
              <w:right w:val="single" w:sz="4" w:space="0" w:color="FFFFFF" w:themeColor="background1"/>
            </w:tcBorders>
            <w:shd w:val="clear" w:color="auto" w:fill="auto"/>
            <w:noWrap/>
            <w:vAlign w:val="bottom"/>
          </w:tcPr>
          <w:p w14:paraId="650929D0" w14:textId="1B9136AD" w:rsidR="00B9331D" w:rsidRPr="00B275E2" w:rsidRDefault="00842E09" w:rsidP="007F0B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1</w:t>
            </w:r>
            <w:r w:rsidRPr="00B275E2">
              <w:rPr>
                <w:szCs w:val="18"/>
              </w:rPr>
              <w:t>7.73</w:t>
            </w:r>
          </w:p>
        </w:tc>
      </w:tr>
      <w:tr w:rsidR="004F6139" w:rsidRPr="00B275E2" w14:paraId="650929D7" w14:textId="77777777" w:rsidTr="000750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FFFFFF" w:themeColor="background1"/>
            </w:tcBorders>
          </w:tcPr>
          <w:p w14:paraId="650929D2" w14:textId="77777777" w:rsidR="00B9331D" w:rsidRPr="00B275E2" w:rsidRDefault="00B9331D" w:rsidP="007F0B1E">
            <w:pPr>
              <w:pStyle w:val="TableText"/>
              <w:spacing w:before="50" w:after="50"/>
              <w:rPr>
                <w:rFonts w:cs="Calibri"/>
                <w:b w:val="0"/>
                <w:szCs w:val="18"/>
              </w:rPr>
            </w:pPr>
          </w:p>
        </w:tc>
        <w:tc>
          <w:tcPr>
            <w:tcW w:w="0" w:type="auto"/>
            <w:noWrap/>
          </w:tcPr>
          <w:p w14:paraId="650929D3" w14:textId="51AC3829" w:rsidR="00B9331D" w:rsidRPr="00B275E2" w:rsidRDefault="00B9331D" w:rsidP="007F0B1E">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color w:val="000000"/>
                <w:szCs w:val="18"/>
              </w:rPr>
              <w:t xml:space="preserve">7,500 - </w:t>
            </w:r>
            <w:r w:rsidRPr="00B275E2">
              <w:rPr>
                <w:rFonts w:cs="Calibri"/>
                <w:szCs w:val="18"/>
              </w:rPr>
              <w:t>&lt;</w:t>
            </w:r>
            <w:r w:rsidRPr="00B275E2">
              <w:rPr>
                <w:rFonts w:cs="Calibri"/>
                <w:color w:val="000000"/>
                <w:szCs w:val="18"/>
              </w:rPr>
              <w:t>10,000 kg</w:t>
            </w:r>
          </w:p>
        </w:tc>
        <w:tc>
          <w:tcPr>
            <w:tcW w:w="0" w:type="auto"/>
          </w:tcPr>
          <w:p w14:paraId="5387C8B3" w14:textId="071E275A" w:rsidR="00B9331D" w:rsidRPr="00B275E2" w:rsidRDefault="00B9331D" w:rsidP="007F0B1E">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litres</w:t>
            </w:r>
          </w:p>
        </w:tc>
        <w:tc>
          <w:tcPr>
            <w:tcW w:w="1125" w:type="dxa"/>
            <w:shd w:val="clear" w:color="auto" w:fill="auto"/>
            <w:noWrap/>
            <w:vAlign w:val="bottom"/>
          </w:tcPr>
          <w:p w14:paraId="650929D4" w14:textId="2CEB539B" w:rsidR="00B9331D" w:rsidRPr="00B275E2" w:rsidRDefault="00842E09" w:rsidP="007F0B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2</w:t>
            </w:r>
            <w:r w:rsidRPr="00B275E2">
              <w:rPr>
                <w:szCs w:val="18"/>
              </w:rPr>
              <w:t>3.20</w:t>
            </w:r>
          </w:p>
        </w:tc>
        <w:tc>
          <w:tcPr>
            <w:tcW w:w="1094" w:type="dxa"/>
            <w:shd w:val="clear" w:color="auto" w:fill="auto"/>
            <w:noWrap/>
            <w:vAlign w:val="bottom"/>
          </w:tcPr>
          <w:p w14:paraId="650929D5" w14:textId="5AF32318" w:rsidR="00B9331D" w:rsidRPr="00B275E2" w:rsidRDefault="00C112CE" w:rsidP="007F0B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2</w:t>
            </w:r>
            <w:r w:rsidRPr="00B275E2">
              <w:rPr>
                <w:szCs w:val="18"/>
              </w:rPr>
              <w:t>2.01</w:t>
            </w:r>
          </w:p>
        </w:tc>
        <w:tc>
          <w:tcPr>
            <w:tcW w:w="0" w:type="auto"/>
            <w:tcBorders>
              <w:right w:val="single" w:sz="4" w:space="0" w:color="FFFFFF" w:themeColor="background1"/>
            </w:tcBorders>
            <w:shd w:val="clear" w:color="auto" w:fill="auto"/>
            <w:noWrap/>
            <w:vAlign w:val="bottom"/>
          </w:tcPr>
          <w:p w14:paraId="650929D6" w14:textId="3C963BFE" w:rsidR="00B9331D" w:rsidRPr="00B275E2" w:rsidRDefault="00C112CE" w:rsidP="007F0B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2</w:t>
            </w:r>
            <w:r w:rsidRPr="00B275E2">
              <w:rPr>
                <w:szCs w:val="18"/>
              </w:rPr>
              <w:t>1.68</w:t>
            </w:r>
          </w:p>
        </w:tc>
      </w:tr>
      <w:tr w:rsidR="004F6139" w:rsidRPr="00B275E2" w14:paraId="650929DD" w14:textId="77777777" w:rsidTr="000750BF">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FFFFFF" w:themeColor="background1"/>
            </w:tcBorders>
          </w:tcPr>
          <w:p w14:paraId="650929D8" w14:textId="77777777" w:rsidR="00B9331D" w:rsidRPr="00B275E2" w:rsidRDefault="00B9331D" w:rsidP="007F0B1E">
            <w:pPr>
              <w:pStyle w:val="TableText"/>
              <w:spacing w:before="50" w:after="50"/>
              <w:rPr>
                <w:rFonts w:cs="Calibri"/>
                <w:b w:val="0"/>
                <w:szCs w:val="18"/>
              </w:rPr>
            </w:pPr>
          </w:p>
        </w:tc>
        <w:tc>
          <w:tcPr>
            <w:tcW w:w="0" w:type="auto"/>
            <w:noWrap/>
          </w:tcPr>
          <w:p w14:paraId="650929D9" w14:textId="72A63000" w:rsidR="00B9331D" w:rsidRPr="00B275E2" w:rsidRDefault="00B9331D" w:rsidP="007F0B1E">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color w:val="000000"/>
                <w:szCs w:val="18"/>
              </w:rPr>
              <w:t xml:space="preserve">10,000 - </w:t>
            </w:r>
            <w:r w:rsidRPr="00B275E2">
              <w:rPr>
                <w:rFonts w:cs="Calibri"/>
                <w:szCs w:val="18"/>
              </w:rPr>
              <w:t>&lt;</w:t>
            </w:r>
            <w:r w:rsidRPr="00B275E2">
              <w:rPr>
                <w:rFonts w:cs="Calibri"/>
                <w:color w:val="000000"/>
                <w:szCs w:val="18"/>
              </w:rPr>
              <w:t xml:space="preserve">12,000 kg </w:t>
            </w:r>
          </w:p>
        </w:tc>
        <w:tc>
          <w:tcPr>
            <w:tcW w:w="0" w:type="auto"/>
          </w:tcPr>
          <w:p w14:paraId="684C9B5A" w14:textId="483463E8" w:rsidR="00B9331D" w:rsidRPr="00B275E2" w:rsidRDefault="00B9331D" w:rsidP="007F0B1E">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litres</w:t>
            </w:r>
          </w:p>
        </w:tc>
        <w:tc>
          <w:tcPr>
            <w:tcW w:w="1125" w:type="dxa"/>
            <w:shd w:val="clear" w:color="auto" w:fill="auto"/>
            <w:noWrap/>
            <w:vAlign w:val="bottom"/>
          </w:tcPr>
          <w:p w14:paraId="650929DA" w14:textId="6A8844CE" w:rsidR="00B9331D" w:rsidRPr="00B275E2" w:rsidRDefault="00C112CE" w:rsidP="007F0B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2</w:t>
            </w:r>
            <w:r w:rsidRPr="00B275E2">
              <w:rPr>
                <w:szCs w:val="18"/>
              </w:rPr>
              <w:t>7.51</w:t>
            </w:r>
          </w:p>
        </w:tc>
        <w:tc>
          <w:tcPr>
            <w:tcW w:w="1094" w:type="dxa"/>
            <w:shd w:val="clear" w:color="auto" w:fill="auto"/>
            <w:noWrap/>
            <w:vAlign w:val="bottom"/>
          </w:tcPr>
          <w:p w14:paraId="650929DB" w14:textId="08C48242" w:rsidR="00B9331D" w:rsidRPr="00B275E2" w:rsidRDefault="00C112CE" w:rsidP="007F0B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2</w:t>
            </w:r>
            <w:r w:rsidRPr="00B275E2">
              <w:rPr>
                <w:szCs w:val="18"/>
              </w:rPr>
              <w:t>6.01</w:t>
            </w:r>
          </w:p>
        </w:tc>
        <w:tc>
          <w:tcPr>
            <w:tcW w:w="0" w:type="auto"/>
            <w:tcBorders>
              <w:right w:val="single" w:sz="4" w:space="0" w:color="FFFFFF" w:themeColor="background1"/>
            </w:tcBorders>
            <w:shd w:val="clear" w:color="auto" w:fill="auto"/>
            <w:noWrap/>
            <w:vAlign w:val="bottom"/>
          </w:tcPr>
          <w:p w14:paraId="650929DC" w14:textId="75C5D545" w:rsidR="00B9331D" w:rsidRPr="00B275E2" w:rsidRDefault="00C112CE" w:rsidP="007F0B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2</w:t>
            </w:r>
            <w:r w:rsidRPr="00B275E2">
              <w:rPr>
                <w:szCs w:val="18"/>
              </w:rPr>
              <w:t>5.71</w:t>
            </w:r>
          </w:p>
        </w:tc>
      </w:tr>
      <w:tr w:rsidR="004F6139" w:rsidRPr="00B275E2" w14:paraId="650929E3" w14:textId="77777777" w:rsidTr="000750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FFFFFF" w:themeColor="background1"/>
            </w:tcBorders>
          </w:tcPr>
          <w:p w14:paraId="650929DE" w14:textId="77777777" w:rsidR="00B9331D" w:rsidRPr="00B275E2" w:rsidRDefault="00B9331D" w:rsidP="007F0B1E">
            <w:pPr>
              <w:pStyle w:val="TableText"/>
              <w:spacing w:before="50" w:after="50"/>
              <w:rPr>
                <w:rFonts w:cs="Calibri"/>
                <w:b w:val="0"/>
                <w:szCs w:val="18"/>
              </w:rPr>
            </w:pPr>
          </w:p>
        </w:tc>
        <w:tc>
          <w:tcPr>
            <w:tcW w:w="0" w:type="auto"/>
            <w:noWrap/>
          </w:tcPr>
          <w:p w14:paraId="650929DF" w14:textId="7AB8F834" w:rsidR="00B9331D" w:rsidRPr="00B275E2" w:rsidRDefault="00B9331D" w:rsidP="007F0B1E">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color w:val="000000"/>
                <w:szCs w:val="18"/>
              </w:rPr>
              <w:t xml:space="preserve">12,000 - </w:t>
            </w:r>
            <w:r w:rsidRPr="00B275E2">
              <w:rPr>
                <w:rFonts w:cs="Calibri"/>
                <w:szCs w:val="18"/>
              </w:rPr>
              <w:t>&lt;</w:t>
            </w:r>
            <w:r w:rsidRPr="00B275E2">
              <w:rPr>
                <w:rFonts w:cs="Calibri"/>
                <w:color w:val="000000"/>
                <w:szCs w:val="18"/>
              </w:rPr>
              <w:t xml:space="preserve">15,000 kg </w:t>
            </w:r>
          </w:p>
        </w:tc>
        <w:tc>
          <w:tcPr>
            <w:tcW w:w="0" w:type="auto"/>
          </w:tcPr>
          <w:p w14:paraId="78EAD250" w14:textId="49F621D2" w:rsidR="00B9331D" w:rsidRPr="00B275E2" w:rsidRDefault="00B9331D" w:rsidP="007F0B1E">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litres</w:t>
            </w:r>
          </w:p>
        </w:tc>
        <w:tc>
          <w:tcPr>
            <w:tcW w:w="1125" w:type="dxa"/>
            <w:shd w:val="clear" w:color="auto" w:fill="auto"/>
            <w:noWrap/>
            <w:vAlign w:val="bottom"/>
          </w:tcPr>
          <w:p w14:paraId="650929E0" w14:textId="4193BA38" w:rsidR="00B9331D" w:rsidRPr="00B275E2" w:rsidRDefault="00C112CE" w:rsidP="007F0B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3</w:t>
            </w:r>
            <w:r w:rsidRPr="00B275E2">
              <w:rPr>
                <w:szCs w:val="18"/>
              </w:rPr>
              <w:t>1.26</w:t>
            </w:r>
          </w:p>
        </w:tc>
        <w:tc>
          <w:tcPr>
            <w:tcW w:w="1094" w:type="dxa"/>
            <w:shd w:val="clear" w:color="auto" w:fill="auto"/>
            <w:noWrap/>
            <w:vAlign w:val="bottom"/>
          </w:tcPr>
          <w:p w14:paraId="650929E1" w14:textId="5B5BBD73" w:rsidR="00B9331D" w:rsidRPr="00B275E2" w:rsidRDefault="00C112CE" w:rsidP="007F0B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2</w:t>
            </w:r>
            <w:r w:rsidRPr="00B275E2">
              <w:rPr>
                <w:szCs w:val="18"/>
              </w:rPr>
              <w:t>9.66</w:t>
            </w:r>
          </w:p>
        </w:tc>
        <w:tc>
          <w:tcPr>
            <w:tcW w:w="0" w:type="auto"/>
            <w:tcBorders>
              <w:right w:val="single" w:sz="4" w:space="0" w:color="FFFFFF" w:themeColor="background1"/>
            </w:tcBorders>
            <w:shd w:val="clear" w:color="auto" w:fill="auto"/>
            <w:noWrap/>
            <w:vAlign w:val="bottom"/>
          </w:tcPr>
          <w:p w14:paraId="650929E2" w14:textId="697FCD13" w:rsidR="00B9331D" w:rsidRPr="00B275E2" w:rsidRDefault="00C112CE" w:rsidP="007F0B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2</w:t>
            </w:r>
            <w:r w:rsidRPr="00B275E2">
              <w:rPr>
                <w:szCs w:val="18"/>
              </w:rPr>
              <w:t>9.22</w:t>
            </w:r>
          </w:p>
        </w:tc>
      </w:tr>
      <w:tr w:rsidR="004F6139" w:rsidRPr="00B275E2" w14:paraId="650929E9" w14:textId="77777777" w:rsidTr="000750BF">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FFFFFF" w:themeColor="background1"/>
            </w:tcBorders>
          </w:tcPr>
          <w:p w14:paraId="650929E4" w14:textId="77777777" w:rsidR="00B9331D" w:rsidRPr="00B275E2" w:rsidRDefault="00B9331D" w:rsidP="007F0B1E">
            <w:pPr>
              <w:pStyle w:val="TableText"/>
              <w:spacing w:before="50" w:after="50"/>
              <w:rPr>
                <w:rFonts w:cs="Calibri"/>
                <w:b w:val="0"/>
                <w:szCs w:val="18"/>
              </w:rPr>
            </w:pPr>
          </w:p>
        </w:tc>
        <w:tc>
          <w:tcPr>
            <w:tcW w:w="0" w:type="auto"/>
            <w:noWrap/>
          </w:tcPr>
          <w:p w14:paraId="650929E5" w14:textId="4C48B2A9" w:rsidR="00B9331D" w:rsidRPr="00B275E2" w:rsidRDefault="00B9331D" w:rsidP="007F0B1E">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color w:val="000000"/>
                <w:szCs w:val="18"/>
              </w:rPr>
              <w:t xml:space="preserve">15,000 - </w:t>
            </w:r>
            <w:r w:rsidRPr="00B275E2">
              <w:rPr>
                <w:rFonts w:cs="Calibri"/>
                <w:szCs w:val="18"/>
              </w:rPr>
              <w:t>&lt;</w:t>
            </w:r>
            <w:r w:rsidRPr="00B275E2">
              <w:rPr>
                <w:rFonts w:cs="Calibri"/>
                <w:color w:val="000000"/>
                <w:szCs w:val="18"/>
              </w:rPr>
              <w:t xml:space="preserve">20,000 kg </w:t>
            </w:r>
          </w:p>
        </w:tc>
        <w:tc>
          <w:tcPr>
            <w:tcW w:w="0" w:type="auto"/>
          </w:tcPr>
          <w:p w14:paraId="207E775B" w14:textId="73C3EFE0" w:rsidR="00B9331D" w:rsidRPr="00B275E2" w:rsidRDefault="00B9331D" w:rsidP="007F0B1E">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litres</w:t>
            </w:r>
          </w:p>
        </w:tc>
        <w:tc>
          <w:tcPr>
            <w:tcW w:w="1125" w:type="dxa"/>
            <w:shd w:val="clear" w:color="auto" w:fill="auto"/>
            <w:noWrap/>
            <w:vAlign w:val="bottom"/>
          </w:tcPr>
          <w:p w14:paraId="650929E6" w14:textId="66EB4C1C" w:rsidR="00B9331D" w:rsidRPr="00B275E2" w:rsidRDefault="0098370A" w:rsidP="007F0B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3</w:t>
            </w:r>
            <w:r w:rsidRPr="00B275E2">
              <w:rPr>
                <w:szCs w:val="18"/>
              </w:rPr>
              <w:t>6.51</w:t>
            </w:r>
          </w:p>
        </w:tc>
        <w:tc>
          <w:tcPr>
            <w:tcW w:w="1094" w:type="dxa"/>
            <w:shd w:val="clear" w:color="auto" w:fill="auto"/>
            <w:noWrap/>
            <w:vAlign w:val="bottom"/>
          </w:tcPr>
          <w:p w14:paraId="650929E7" w14:textId="6BD3B1D3" w:rsidR="00B9331D" w:rsidRPr="00B275E2" w:rsidRDefault="0098370A" w:rsidP="007F0B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3</w:t>
            </w:r>
            <w:r w:rsidRPr="00B275E2">
              <w:rPr>
                <w:szCs w:val="18"/>
              </w:rPr>
              <w:t>5.59</w:t>
            </w:r>
          </w:p>
        </w:tc>
        <w:tc>
          <w:tcPr>
            <w:tcW w:w="0" w:type="auto"/>
            <w:tcBorders>
              <w:right w:val="single" w:sz="4" w:space="0" w:color="FFFFFF" w:themeColor="background1"/>
            </w:tcBorders>
            <w:shd w:val="clear" w:color="auto" w:fill="auto"/>
            <w:noWrap/>
            <w:vAlign w:val="bottom"/>
          </w:tcPr>
          <w:p w14:paraId="650929E8" w14:textId="3359DBD2" w:rsidR="00B9331D" w:rsidRPr="00B275E2" w:rsidRDefault="0098370A" w:rsidP="007F0B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3</w:t>
            </w:r>
            <w:r w:rsidRPr="00B275E2">
              <w:rPr>
                <w:szCs w:val="18"/>
              </w:rPr>
              <w:t>5.50</w:t>
            </w:r>
          </w:p>
        </w:tc>
      </w:tr>
      <w:tr w:rsidR="004F6139" w:rsidRPr="00B275E2" w14:paraId="650929EF" w14:textId="77777777" w:rsidTr="000750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FFFFFF" w:themeColor="background1"/>
            </w:tcBorders>
          </w:tcPr>
          <w:p w14:paraId="650929EA" w14:textId="77777777" w:rsidR="00B9331D" w:rsidRPr="00B275E2" w:rsidRDefault="00B9331D" w:rsidP="007F0B1E">
            <w:pPr>
              <w:pStyle w:val="TableText"/>
              <w:spacing w:before="50" w:after="50"/>
              <w:rPr>
                <w:rFonts w:cs="Calibri"/>
                <w:b w:val="0"/>
                <w:szCs w:val="18"/>
              </w:rPr>
            </w:pPr>
          </w:p>
        </w:tc>
        <w:tc>
          <w:tcPr>
            <w:tcW w:w="0" w:type="auto"/>
            <w:noWrap/>
          </w:tcPr>
          <w:p w14:paraId="650929EB" w14:textId="35E43367" w:rsidR="00B9331D" w:rsidRPr="00B275E2" w:rsidRDefault="00B9331D" w:rsidP="007F0B1E">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color w:val="000000"/>
                <w:szCs w:val="18"/>
              </w:rPr>
              <w:t xml:space="preserve">20,000 - </w:t>
            </w:r>
            <w:r w:rsidRPr="00B275E2">
              <w:rPr>
                <w:rFonts w:cs="Calibri"/>
                <w:szCs w:val="18"/>
              </w:rPr>
              <w:t>&lt;</w:t>
            </w:r>
            <w:r w:rsidRPr="00B275E2">
              <w:rPr>
                <w:rFonts w:cs="Calibri"/>
                <w:color w:val="000000"/>
                <w:szCs w:val="18"/>
              </w:rPr>
              <w:t xml:space="preserve">25,000 kg </w:t>
            </w:r>
          </w:p>
        </w:tc>
        <w:tc>
          <w:tcPr>
            <w:tcW w:w="0" w:type="auto"/>
          </w:tcPr>
          <w:p w14:paraId="0677A820" w14:textId="417E8EC9" w:rsidR="00B9331D" w:rsidRPr="00B275E2" w:rsidRDefault="00B9331D" w:rsidP="007F0B1E">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litres</w:t>
            </w:r>
          </w:p>
        </w:tc>
        <w:tc>
          <w:tcPr>
            <w:tcW w:w="1125" w:type="dxa"/>
            <w:shd w:val="clear" w:color="auto" w:fill="auto"/>
            <w:noWrap/>
            <w:vAlign w:val="bottom"/>
          </w:tcPr>
          <w:p w14:paraId="650929EC" w14:textId="1952DDFC" w:rsidR="00B9331D" w:rsidRPr="00B275E2" w:rsidRDefault="0098370A" w:rsidP="007F0B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4</w:t>
            </w:r>
            <w:r w:rsidRPr="00B275E2">
              <w:rPr>
                <w:szCs w:val="18"/>
              </w:rPr>
              <w:t>8.61</w:t>
            </w:r>
          </w:p>
        </w:tc>
        <w:tc>
          <w:tcPr>
            <w:tcW w:w="1094" w:type="dxa"/>
            <w:shd w:val="clear" w:color="auto" w:fill="auto"/>
            <w:noWrap/>
            <w:vAlign w:val="bottom"/>
          </w:tcPr>
          <w:p w14:paraId="650929ED" w14:textId="1B1AC618" w:rsidR="00B9331D" w:rsidRPr="00B275E2" w:rsidRDefault="009903B6" w:rsidP="007F0B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4</w:t>
            </w:r>
            <w:r w:rsidRPr="00B275E2">
              <w:rPr>
                <w:szCs w:val="18"/>
              </w:rPr>
              <w:t>7.37</w:t>
            </w:r>
          </w:p>
        </w:tc>
        <w:tc>
          <w:tcPr>
            <w:tcW w:w="0" w:type="auto"/>
            <w:tcBorders>
              <w:right w:val="single" w:sz="4" w:space="0" w:color="FFFFFF" w:themeColor="background1"/>
            </w:tcBorders>
            <w:shd w:val="clear" w:color="auto" w:fill="auto"/>
            <w:noWrap/>
            <w:vAlign w:val="bottom"/>
          </w:tcPr>
          <w:p w14:paraId="650929EE" w14:textId="6D2E4D60" w:rsidR="00B9331D" w:rsidRPr="00B275E2" w:rsidRDefault="009903B6" w:rsidP="007F0B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4</w:t>
            </w:r>
            <w:r w:rsidRPr="00B275E2">
              <w:rPr>
                <w:szCs w:val="18"/>
              </w:rPr>
              <w:t>7.26</w:t>
            </w:r>
          </w:p>
        </w:tc>
      </w:tr>
      <w:tr w:rsidR="004F6139" w:rsidRPr="00B275E2" w14:paraId="650929F5" w14:textId="77777777" w:rsidTr="000750BF">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FFFFFF" w:themeColor="background1"/>
            </w:tcBorders>
          </w:tcPr>
          <w:p w14:paraId="650929F0" w14:textId="77777777" w:rsidR="00B9331D" w:rsidRPr="00B275E2" w:rsidRDefault="00B9331D" w:rsidP="007F0B1E">
            <w:pPr>
              <w:pStyle w:val="TableText"/>
              <w:spacing w:before="50" w:after="50"/>
              <w:rPr>
                <w:rFonts w:cs="Calibri"/>
                <w:b w:val="0"/>
                <w:szCs w:val="18"/>
              </w:rPr>
            </w:pPr>
          </w:p>
        </w:tc>
        <w:tc>
          <w:tcPr>
            <w:tcW w:w="0" w:type="auto"/>
            <w:noWrap/>
          </w:tcPr>
          <w:p w14:paraId="650929F1" w14:textId="1553DDCA" w:rsidR="00B9331D" w:rsidRPr="00B275E2" w:rsidRDefault="00B9331D" w:rsidP="007F0B1E">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color w:val="000000"/>
                <w:szCs w:val="18"/>
              </w:rPr>
              <w:t>25,000</w:t>
            </w:r>
            <w:r w:rsidR="00724C42" w:rsidRPr="00B275E2">
              <w:rPr>
                <w:rFonts w:cs="Calibri"/>
                <w:color w:val="000000"/>
                <w:szCs w:val="18"/>
              </w:rPr>
              <w:t xml:space="preserve"> </w:t>
            </w:r>
            <w:r w:rsidRPr="00B275E2">
              <w:rPr>
                <w:rFonts w:cs="Calibri"/>
                <w:color w:val="000000"/>
                <w:szCs w:val="18"/>
              </w:rPr>
              <w:t xml:space="preserve">- </w:t>
            </w:r>
            <w:r w:rsidRPr="00B275E2">
              <w:rPr>
                <w:rFonts w:cs="Calibri"/>
                <w:szCs w:val="18"/>
              </w:rPr>
              <w:t>&lt;</w:t>
            </w:r>
            <w:r w:rsidRPr="00B275E2">
              <w:rPr>
                <w:rFonts w:cs="Calibri"/>
                <w:color w:val="000000"/>
                <w:szCs w:val="18"/>
              </w:rPr>
              <w:t xml:space="preserve">30,000 kg </w:t>
            </w:r>
          </w:p>
        </w:tc>
        <w:tc>
          <w:tcPr>
            <w:tcW w:w="0" w:type="auto"/>
          </w:tcPr>
          <w:p w14:paraId="4E7708A4" w14:textId="24CDE220" w:rsidR="00B9331D" w:rsidRPr="00B275E2" w:rsidRDefault="00B9331D" w:rsidP="007F0B1E">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litres</w:t>
            </w:r>
          </w:p>
        </w:tc>
        <w:tc>
          <w:tcPr>
            <w:tcW w:w="1125" w:type="dxa"/>
            <w:shd w:val="clear" w:color="auto" w:fill="auto"/>
            <w:noWrap/>
            <w:vAlign w:val="bottom"/>
          </w:tcPr>
          <w:p w14:paraId="650929F2" w14:textId="245B40BB" w:rsidR="00B9331D" w:rsidRPr="00B275E2" w:rsidRDefault="009903B6" w:rsidP="007F0B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5</w:t>
            </w:r>
            <w:r w:rsidRPr="00B275E2">
              <w:rPr>
                <w:szCs w:val="18"/>
              </w:rPr>
              <w:t>7.28</w:t>
            </w:r>
          </w:p>
        </w:tc>
        <w:tc>
          <w:tcPr>
            <w:tcW w:w="1094" w:type="dxa"/>
            <w:shd w:val="clear" w:color="auto" w:fill="auto"/>
            <w:noWrap/>
            <w:vAlign w:val="bottom"/>
          </w:tcPr>
          <w:p w14:paraId="650929F3" w14:textId="5BCF0C4A" w:rsidR="00B9331D" w:rsidRPr="00B275E2" w:rsidRDefault="009903B6" w:rsidP="007F0B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5</w:t>
            </w:r>
            <w:r w:rsidRPr="00B275E2">
              <w:rPr>
                <w:szCs w:val="18"/>
              </w:rPr>
              <w:t>2.90</w:t>
            </w:r>
          </w:p>
        </w:tc>
        <w:tc>
          <w:tcPr>
            <w:tcW w:w="0" w:type="auto"/>
            <w:tcBorders>
              <w:right w:val="single" w:sz="4" w:space="0" w:color="FFFFFF" w:themeColor="background1"/>
            </w:tcBorders>
            <w:shd w:val="clear" w:color="auto" w:fill="auto"/>
            <w:noWrap/>
            <w:vAlign w:val="bottom"/>
          </w:tcPr>
          <w:p w14:paraId="650929F4" w14:textId="3117623A" w:rsidR="00B9331D" w:rsidRPr="00B275E2" w:rsidRDefault="009903B6" w:rsidP="007F0B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5</w:t>
            </w:r>
            <w:r w:rsidRPr="00B275E2">
              <w:rPr>
                <w:szCs w:val="18"/>
              </w:rPr>
              <w:t>2.77</w:t>
            </w:r>
          </w:p>
        </w:tc>
      </w:tr>
      <w:tr w:rsidR="004F6139" w:rsidRPr="00B275E2" w14:paraId="650929FB" w14:textId="77777777" w:rsidTr="000750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FFFFFF" w:themeColor="background1"/>
            </w:tcBorders>
          </w:tcPr>
          <w:p w14:paraId="650929F6" w14:textId="77777777" w:rsidR="00B9331D" w:rsidRPr="00B275E2" w:rsidRDefault="00B9331D" w:rsidP="007F0B1E">
            <w:pPr>
              <w:pStyle w:val="TableText"/>
              <w:spacing w:before="50" w:after="50"/>
              <w:rPr>
                <w:rFonts w:cs="Calibri"/>
                <w:b w:val="0"/>
                <w:szCs w:val="18"/>
              </w:rPr>
            </w:pPr>
          </w:p>
        </w:tc>
        <w:tc>
          <w:tcPr>
            <w:tcW w:w="0" w:type="auto"/>
            <w:noWrap/>
          </w:tcPr>
          <w:p w14:paraId="650929F7" w14:textId="1E61AA8B" w:rsidR="00B9331D" w:rsidRPr="00B275E2" w:rsidRDefault="00B9331D" w:rsidP="007F0B1E">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color w:val="000000"/>
                <w:szCs w:val="18"/>
              </w:rPr>
              <w:t xml:space="preserve">≥30,000 kg </w:t>
            </w:r>
          </w:p>
        </w:tc>
        <w:tc>
          <w:tcPr>
            <w:tcW w:w="0" w:type="auto"/>
          </w:tcPr>
          <w:p w14:paraId="7940E70D" w14:textId="10A03FC3" w:rsidR="00B9331D" w:rsidRPr="00B275E2" w:rsidRDefault="00B9331D" w:rsidP="007F0B1E">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litres</w:t>
            </w:r>
          </w:p>
        </w:tc>
        <w:tc>
          <w:tcPr>
            <w:tcW w:w="1125" w:type="dxa"/>
            <w:shd w:val="clear" w:color="auto" w:fill="auto"/>
            <w:noWrap/>
            <w:vAlign w:val="bottom"/>
          </w:tcPr>
          <w:p w14:paraId="650929F8" w14:textId="692021C3" w:rsidR="00B9331D" w:rsidRPr="00B275E2" w:rsidRDefault="00E41B81" w:rsidP="007F0B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5</w:t>
            </w:r>
            <w:r w:rsidRPr="00B275E2">
              <w:rPr>
                <w:szCs w:val="18"/>
              </w:rPr>
              <w:t>7.28</w:t>
            </w:r>
          </w:p>
        </w:tc>
        <w:tc>
          <w:tcPr>
            <w:tcW w:w="1094" w:type="dxa"/>
            <w:shd w:val="clear" w:color="auto" w:fill="auto"/>
            <w:noWrap/>
            <w:vAlign w:val="bottom"/>
          </w:tcPr>
          <w:p w14:paraId="650929F9" w14:textId="10BC15C0" w:rsidR="00B9331D" w:rsidRPr="00B275E2" w:rsidRDefault="00E41B81" w:rsidP="007F0B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5</w:t>
            </w:r>
            <w:r w:rsidRPr="00B275E2">
              <w:rPr>
                <w:szCs w:val="18"/>
              </w:rPr>
              <w:t>5.73</w:t>
            </w:r>
          </w:p>
        </w:tc>
        <w:tc>
          <w:tcPr>
            <w:tcW w:w="0" w:type="auto"/>
            <w:tcBorders>
              <w:right w:val="single" w:sz="4" w:space="0" w:color="FFFFFF" w:themeColor="background1"/>
            </w:tcBorders>
            <w:shd w:val="clear" w:color="auto" w:fill="auto"/>
            <w:noWrap/>
            <w:vAlign w:val="bottom"/>
          </w:tcPr>
          <w:p w14:paraId="650929FA" w14:textId="1A9B2D69" w:rsidR="00B9331D" w:rsidRPr="00B275E2" w:rsidRDefault="00E41B81" w:rsidP="007F0B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5</w:t>
            </w:r>
            <w:r w:rsidRPr="00B275E2">
              <w:rPr>
                <w:szCs w:val="18"/>
              </w:rPr>
              <w:t>5.60</w:t>
            </w:r>
          </w:p>
        </w:tc>
      </w:tr>
      <w:tr w:rsidR="004F6139" w:rsidRPr="00B275E2" w14:paraId="65092A01" w14:textId="77777777" w:rsidTr="000750BF">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single" w:sz="4" w:space="0" w:color="FFFFFF" w:themeColor="background1"/>
            </w:tcBorders>
          </w:tcPr>
          <w:p w14:paraId="650929FC" w14:textId="77777777" w:rsidR="00B9331D" w:rsidRPr="00B275E2" w:rsidRDefault="00B9331D" w:rsidP="007F0B1E">
            <w:pPr>
              <w:pStyle w:val="TableText"/>
              <w:keepNext/>
              <w:spacing w:before="40" w:after="40"/>
              <w:rPr>
                <w:rFonts w:cs="Calibri"/>
                <w:b w:val="0"/>
                <w:szCs w:val="18"/>
              </w:rPr>
            </w:pPr>
            <w:r w:rsidRPr="00B275E2">
              <w:rPr>
                <w:rFonts w:cs="Calibri"/>
                <w:b w:val="0"/>
                <w:szCs w:val="18"/>
              </w:rPr>
              <w:t>HGV diesel hybrid</w:t>
            </w:r>
          </w:p>
        </w:tc>
        <w:tc>
          <w:tcPr>
            <w:tcW w:w="0" w:type="auto"/>
            <w:noWrap/>
          </w:tcPr>
          <w:p w14:paraId="650929FD" w14:textId="6CA9634F" w:rsidR="00B9331D" w:rsidRPr="00B275E2" w:rsidRDefault="00B9331D"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color w:val="000000"/>
                <w:szCs w:val="18"/>
              </w:rPr>
              <w:t xml:space="preserve">&lt;5,000 kg </w:t>
            </w:r>
          </w:p>
        </w:tc>
        <w:tc>
          <w:tcPr>
            <w:tcW w:w="0" w:type="auto"/>
          </w:tcPr>
          <w:p w14:paraId="1C729CA5" w14:textId="2D04FAA8" w:rsidR="00B9331D" w:rsidRPr="00B275E2" w:rsidRDefault="00B9331D"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litres</w:t>
            </w:r>
          </w:p>
        </w:tc>
        <w:tc>
          <w:tcPr>
            <w:tcW w:w="1125" w:type="dxa"/>
            <w:shd w:val="clear" w:color="auto" w:fill="auto"/>
            <w:noWrap/>
            <w:vAlign w:val="bottom"/>
          </w:tcPr>
          <w:p w14:paraId="650929FE" w14:textId="4E29D3A2" w:rsidR="00B9331D" w:rsidRPr="00B275E2" w:rsidRDefault="00E41B81"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1</w:t>
            </w:r>
            <w:r w:rsidRPr="00B275E2">
              <w:rPr>
                <w:szCs w:val="18"/>
              </w:rPr>
              <w:t>3.35</w:t>
            </w:r>
          </w:p>
        </w:tc>
        <w:tc>
          <w:tcPr>
            <w:tcW w:w="1094" w:type="dxa"/>
            <w:shd w:val="clear" w:color="auto" w:fill="auto"/>
            <w:noWrap/>
            <w:vAlign w:val="bottom"/>
          </w:tcPr>
          <w:p w14:paraId="650929FF" w14:textId="35A8DA6C" w:rsidR="00B9331D" w:rsidRPr="00B275E2" w:rsidRDefault="00E41B81"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1</w:t>
            </w:r>
            <w:r w:rsidRPr="00B275E2">
              <w:rPr>
                <w:szCs w:val="18"/>
              </w:rPr>
              <w:t>2.65</w:t>
            </w:r>
          </w:p>
        </w:tc>
        <w:tc>
          <w:tcPr>
            <w:tcW w:w="0" w:type="auto"/>
            <w:tcBorders>
              <w:right w:val="single" w:sz="4" w:space="0" w:color="FFFFFF" w:themeColor="background1"/>
            </w:tcBorders>
            <w:shd w:val="clear" w:color="auto" w:fill="auto"/>
            <w:noWrap/>
            <w:vAlign w:val="bottom"/>
          </w:tcPr>
          <w:p w14:paraId="65092A00" w14:textId="29D042A5" w:rsidR="00B9331D" w:rsidRPr="00B275E2" w:rsidRDefault="009637DC"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1</w:t>
            </w:r>
            <w:r w:rsidRPr="00B275E2">
              <w:rPr>
                <w:szCs w:val="18"/>
              </w:rPr>
              <w:t>2.34</w:t>
            </w:r>
          </w:p>
        </w:tc>
      </w:tr>
      <w:tr w:rsidR="004F6139" w:rsidRPr="00B275E2" w14:paraId="65092A07" w14:textId="77777777" w:rsidTr="000750B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FFFFFF" w:themeColor="background1"/>
            </w:tcBorders>
          </w:tcPr>
          <w:p w14:paraId="65092A02" w14:textId="77777777" w:rsidR="00B9331D" w:rsidRPr="00B275E2" w:rsidRDefault="00B9331D" w:rsidP="007F0B1E">
            <w:pPr>
              <w:pStyle w:val="TableText"/>
              <w:spacing w:before="40" w:after="40"/>
              <w:rPr>
                <w:rFonts w:cs="Calibri"/>
                <w:b w:val="0"/>
                <w:szCs w:val="18"/>
              </w:rPr>
            </w:pPr>
          </w:p>
        </w:tc>
        <w:tc>
          <w:tcPr>
            <w:tcW w:w="0" w:type="auto"/>
            <w:noWrap/>
          </w:tcPr>
          <w:p w14:paraId="65092A03" w14:textId="4F68FFFC" w:rsidR="00B9331D" w:rsidRPr="00B275E2" w:rsidRDefault="00B9331D"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color w:val="000000"/>
                <w:szCs w:val="18"/>
              </w:rPr>
              <w:t xml:space="preserve">5,000 - </w:t>
            </w:r>
            <w:r w:rsidRPr="00B275E2">
              <w:rPr>
                <w:rFonts w:cs="Calibri"/>
                <w:szCs w:val="18"/>
              </w:rPr>
              <w:t>&lt;</w:t>
            </w:r>
            <w:r w:rsidRPr="00B275E2">
              <w:rPr>
                <w:rFonts w:cs="Calibri"/>
                <w:color w:val="000000"/>
                <w:szCs w:val="18"/>
              </w:rPr>
              <w:t xml:space="preserve">7,500 kg </w:t>
            </w:r>
          </w:p>
        </w:tc>
        <w:tc>
          <w:tcPr>
            <w:tcW w:w="0" w:type="auto"/>
          </w:tcPr>
          <w:p w14:paraId="61A95A63" w14:textId="3310C35E" w:rsidR="00B9331D" w:rsidRPr="00B275E2" w:rsidRDefault="00B9331D"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litres</w:t>
            </w:r>
          </w:p>
        </w:tc>
        <w:tc>
          <w:tcPr>
            <w:tcW w:w="1125" w:type="dxa"/>
            <w:shd w:val="clear" w:color="auto" w:fill="auto"/>
            <w:noWrap/>
            <w:vAlign w:val="bottom"/>
          </w:tcPr>
          <w:p w14:paraId="65092A04" w14:textId="35996C83" w:rsidR="00B9331D" w:rsidRPr="00B275E2" w:rsidRDefault="009637DC"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1</w:t>
            </w:r>
            <w:r w:rsidRPr="00B275E2">
              <w:rPr>
                <w:szCs w:val="18"/>
              </w:rPr>
              <w:t>5.29</w:t>
            </w:r>
          </w:p>
        </w:tc>
        <w:tc>
          <w:tcPr>
            <w:tcW w:w="1094" w:type="dxa"/>
            <w:shd w:val="clear" w:color="auto" w:fill="auto"/>
            <w:noWrap/>
            <w:vAlign w:val="bottom"/>
          </w:tcPr>
          <w:p w14:paraId="65092A05" w14:textId="59E4BCBF" w:rsidR="00B9331D" w:rsidRPr="00B275E2" w:rsidRDefault="009637DC"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1</w:t>
            </w:r>
            <w:r w:rsidRPr="00B275E2">
              <w:rPr>
                <w:szCs w:val="18"/>
              </w:rPr>
              <w:t>4.50</w:t>
            </w:r>
          </w:p>
        </w:tc>
        <w:tc>
          <w:tcPr>
            <w:tcW w:w="0" w:type="auto"/>
            <w:tcBorders>
              <w:right w:val="single" w:sz="4" w:space="0" w:color="FFFFFF" w:themeColor="background1"/>
            </w:tcBorders>
            <w:shd w:val="clear" w:color="auto" w:fill="auto"/>
            <w:noWrap/>
            <w:vAlign w:val="bottom"/>
          </w:tcPr>
          <w:p w14:paraId="65092A06" w14:textId="3729DF74" w:rsidR="00B9331D" w:rsidRPr="00B275E2" w:rsidRDefault="009637DC"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1</w:t>
            </w:r>
            <w:r w:rsidRPr="00B275E2">
              <w:rPr>
                <w:szCs w:val="18"/>
              </w:rPr>
              <w:t>4.14</w:t>
            </w:r>
          </w:p>
        </w:tc>
      </w:tr>
      <w:tr w:rsidR="004F6139" w:rsidRPr="00B275E2" w14:paraId="65092A0D" w14:textId="77777777" w:rsidTr="000750BF">
        <w:trPr>
          <w:trHeight w:val="345"/>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FFFFFF" w:themeColor="background1"/>
            </w:tcBorders>
          </w:tcPr>
          <w:p w14:paraId="65092A08" w14:textId="77777777" w:rsidR="00B9331D" w:rsidRPr="00B275E2" w:rsidRDefault="00B9331D" w:rsidP="007F0B1E">
            <w:pPr>
              <w:pStyle w:val="TableText"/>
              <w:spacing w:before="40" w:after="40"/>
              <w:rPr>
                <w:rFonts w:cs="Calibri"/>
                <w:b w:val="0"/>
                <w:szCs w:val="18"/>
              </w:rPr>
            </w:pPr>
          </w:p>
        </w:tc>
        <w:tc>
          <w:tcPr>
            <w:tcW w:w="0" w:type="auto"/>
            <w:noWrap/>
          </w:tcPr>
          <w:p w14:paraId="65092A09" w14:textId="4791A86F" w:rsidR="00B9331D" w:rsidRPr="00B275E2" w:rsidRDefault="00B9331D"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color w:val="000000"/>
                <w:szCs w:val="18"/>
              </w:rPr>
              <w:t xml:space="preserve">7,500 - </w:t>
            </w:r>
            <w:r w:rsidRPr="00B275E2">
              <w:rPr>
                <w:rFonts w:cs="Calibri"/>
                <w:szCs w:val="18"/>
              </w:rPr>
              <w:t>&lt;</w:t>
            </w:r>
            <w:r w:rsidRPr="00B275E2">
              <w:rPr>
                <w:rFonts w:cs="Calibri"/>
                <w:color w:val="000000"/>
                <w:szCs w:val="18"/>
              </w:rPr>
              <w:t>10,000 kg</w:t>
            </w:r>
          </w:p>
        </w:tc>
        <w:tc>
          <w:tcPr>
            <w:tcW w:w="0" w:type="auto"/>
          </w:tcPr>
          <w:p w14:paraId="7071F5E5" w14:textId="2523B9CD" w:rsidR="00B9331D" w:rsidRPr="00B275E2" w:rsidRDefault="00B9331D"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litres</w:t>
            </w:r>
          </w:p>
        </w:tc>
        <w:tc>
          <w:tcPr>
            <w:tcW w:w="1125" w:type="dxa"/>
            <w:shd w:val="clear" w:color="auto" w:fill="auto"/>
            <w:noWrap/>
            <w:vAlign w:val="bottom"/>
          </w:tcPr>
          <w:p w14:paraId="65092A0A" w14:textId="5C6E267A" w:rsidR="00B9331D" w:rsidRPr="00B275E2" w:rsidRDefault="009637DC"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1</w:t>
            </w:r>
            <w:r w:rsidRPr="00B275E2">
              <w:rPr>
                <w:szCs w:val="18"/>
              </w:rPr>
              <w:t>8.70</w:t>
            </w:r>
          </w:p>
        </w:tc>
        <w:tc>
          <w:tcPr>
            <w:tcW w:w="1094" w:type="dxa"/>
            <w:shd w:val="clear" w:color="auto" w:fill="auto"/>
            <w:noWrap/>
            <w:vAlign w:val="bottom"/>
          </w:tcPr>
          <w:p w14:paraId="65092A0B" w14:textId="08C6FF26" w:rsidR="00B9331D" w:rsidRPr="00B275E2" w:rsidRDefault="009637DC"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1</w:t>
            </w:r>
            <w:r w:rsidRPr="00B275E2">
              <w:rPr>
                <w:szCs w:val="18"/>
              </w:rPr>
              <w:t>7.72</w:t>
            </w:r>
          </w:p>
        </w:tc>
        <w:tc>
          <w:tcPr>
            <w:tcW w:w="0" w:type="auto"/>
            <w:tcBorders>
              <w:right w:val="single" w:sz="4" w:space="0" w:color="FFFFFF" w:themeColor="background1"/>
            </w:tcBorders>
            <w:shd w:val="clear" w:color="auto" w:fill="auto"/>
            <w:noWrap/>
            <w:vAlign w:val="bottom"/>
          </w:tcPr>
          <w:p w14:paraId="65092A0C" w14:textId="55370CB3" w:rsidR="00B9331D" w:rsidRPr="00B275E2" w:rsidRDefault="00CA655F"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1</w:t>
            </w:r>
            <w:r w:rsidRPr="00B275E2">
              <w:rPr>
                <w:szCs w:val="18"/>
              </w:rPr>
              <w:t>7.29</w:t>
            </w:r>
          </w:p>
        </w:tc>
      </w:tr>
      <w:tr w:rsidR="004F6139" w:rsidRPr="00B275E2" w14:paraId="65092A13" w14:textId="77777777" w:rsidTr="000750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FFFFFF" w:themeColor="background1"/>
            </w:tcBorders>
            <w:hideMark/>
          </w:tcPr>
          <w:p w14:paraId="65092A0E" w14:textId="77777777" w:rsidR="00B9331D" w:rsidRPr="00B275E2" w:rsidRDefault="00B9331D" w:rsidP="007F0B1E">
            <w:pPr>
              <w:pStyle w:val="TableText"/>
              <w:spacing w:before="40" w:after="40"/>
              <w:rPr>
                <w:rFonts w:cs="Calibri"/>
                <w:b w:val="0"/>
                <w:szCs w:val="18"/>
              </w:rPr>
            </w:pPr>
          </w:p>
        </w:tc>
        <w:tc>
          <w:tcPr>
            <w:tcW w:w="0" w:type="auto"/>
            <w:noWrap/>
          </w:tcPr>
          <w:p w14:paraId="65092A0F" w14:textId="59CFCACC" w:rsidR="00B9331D" w:rsidRPr="00B275E2" w:rsidRDefault="00B9331D"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color w:val="000000"/>
                <w:szCs w:val="18"/>
              </w:rPr>
              <w:t xml:space="preserve">10,000 - </w:t>
            </w:r>
            <w:r w:rsidRPr="00B275E2">
              <w:rPr>
                <w:rFonts w:cs="Calibri"/>
                <w:szCs w:val="18"/>
              </w:rPr>
              <w:t>&lt;</w:t>
            </w:r>
            <w:r w:rsidRPr="00B275E2">
              <w:rPr>
                <w:rFonts w:cs="Calibri"/>
                <w:color w:val="000000"/>
                <w:szCs w:val="18"/>
              </w:rPr>
              <w:t xml:space="preserve">12,000 kg </w:t>
            </w:r>
          </w:p>
        </w:tc>
        <w:tc>
          <w:tcPr>
            <w:tcW w:w="0" w:type="auto"/>
          </w:tcPr>
          <w:p w14:paraId="3681CBE4" w14:textId="669BC057" w:rsidR="00B9331D" w:rsidRPr="00B275E2" w:rsidRDefault="00B9331D"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litres</w:t>
            </w:r>
          </w:p>
        </w:tc>
        <w:tc>
          <w:tcPr>
            <w:tcW w:w="1125" w:type="dxa"/>
            <w:shd w:val="clear" w:color="auto" w:fill="auto"/>
            <w:noWrap/>
            <w:vAlign w:val="bottom"/>
          </w:tcPr>
          <w:p w14:paraId="65092A10" w14:textId="3BEF1C33" w:rsidR="00B9331D" w:rsidRPr="00B275E2" w:rsidRDefault="00CA655F"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2</w:t>
            </w:r>
            <w:r w:rsidRPr="00B275E2">
              <w:rPr>
                <w:szCs w:val="18"/>
              </w:rPr>
              <w:t>2.17</w:t>
            </w:r>
          </w:p>
        </w:tc>
        <w:tc>
          <w:tcPr>
            <w:tcW w:w="1094" w:type="dxa"/>
            <w:shd w:val="clear" w:color="auto" w:fill="auto"/>
            <w:noWrap/>
            <w:vAlign w:val="bottom"/>
          </w:tcPr>
          <w:p w14:paraId="65092A11" w14:textId="5F199CF4" w:rsidR="00B9331D" w:rsidRPr="00B275E2" w:rsidRDefault="00CA655F"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2</w:t>
            </w:r>
            <w:r w:rsidRPr="00B275E2">
              <w:rPr>
                <w:szCs w:val="18"/>
              </w:rPr>
              <w:t>1.01</w:t>
            </w:r>
          </w:p>
        </w:tc>
        <w:tc>
          <w:tcPr>
            <w:tcW w:w="0" w:type="auto"/>
            <w:tcBorders>
              <w:right w:val="single" w:sz="4" w:space="0" w:color="FFFFFF" w:themeColor="background1"/>
            </w:tcBorders>
            <w:shd w:val="clear" w:color="auto" w:fill="auto"/>
            <w:noWrap/>
            <w:vAlign w:val="bottom"/>
          </w:tcPr>
          <w:p w14:paraId="65092A12" w14:textId="74A720F7" w:rsidR="00B9331D" w:rsidRPr="00B275E2" w:rsidRDefault="00CA655F"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20.50</w:t>
            </w:r>
          </w:p>
        </w:tc>
      </w:tr>
      <w:tr w:rsidR="004F6139" w:rsidRPr="00B275E2" w14:paraId="65092A19" w14:textId="77777777" w:rsidTr="000750BF">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FFFFFF" w:themeColor="background1"/>
            </w:tcBorders>
            <w:hideMark/>
          </w:tcPr>
          <w:p w14:paraId="65092A14" w14:textId="77777777" w:rsidR="00B9331D" w:rsidRPr="00B275E2" w:rsidRDefault="00B9331D" w:rsidP="007F0B1E">
            <w:pPr>
              <w:pStyle w:val="TableText"/>
              <w:spacing w:before="40" w:after="40"/>
              <w:rPr>
                <w:rFonts w:cs="Calibri"/>
                <w:b w:val="0"/>
                <w:szCs w:val="18"/>
              </w:rPr>
            </w:pPr>
          </w:p>
        </w:tc>
        <w:tc>
          <w:tcPr>
            <w:tcW w:w="0" w:type="auto"/>
            <w:noWrap/>
          </w:tcPr>
          <w:p w14:paraId="65092A15" w14:textId="27DD7EBE" w:rsidR="00B9331D" w:rsidRPr="00B275E2" w:rsidRDefault="00B9331D"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color w:val="000000"/>
                <w:szCs w:val="18"/>
              </w:rPr>
              <w:t xml:space="preserve">12,000 - </w:t>
            </w:r>
            <w:r w:rsidRPr="00B275E2">
              <w:rPr>
                <w:rFonts w:cs="Calibri"/>
                <w:szCs w:val="18"/>
              </w:rPr>
              <w:t>&lt;</w:t>
            </w:r>
            <w:r w:rsidRPr="00B275E2">
              <w:rPr>
                <w:rFonts w:cs="Calibri"/>
                <w:color w:val="000000"/>
                <w:szCs w:val="18"/>
              </w:rPr>
              <w:t xml:space="preserve">15,000 kg </w:t>
            </w:r>
          </w:p>
        </w:tc>
        <w:tc>
          <w:tcPr>
            <w:tcW w:w="0" w:type="auto"/>
          </w:tcPr>
          <w:p w14:paraId="05D19461" w14:textId="002EC5C4" w:rsidR="00B9331D" w:rsidRPr="00B275E2" w:rsidRDefault="00B9331D"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litres</w:t>
            </w:r>
          </w:p>
        </w:tc>
        <w:tc>
          <w:tcPr>
            <w:tcW w:w="1125" w:type="dxa"/>
            <w:shd w:val="clear" w:color="auto" w:fill="auto"/>
            <w:noWrap/>
            <w:vAlign w:val="bottom"/>
          </w:tcPr>
          <w:p w14:paraId="65092A16" w14:textId="4AA8AC40" w:rsidR="00B9331D" w:rsidRPr="00B275E2" w:rsidRDefault="00254D5C"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25.19</w:t>
            </w:r>
          </w:p>
        </w:tc>
        <w:tc>
          <w:tcPr>
            <w:tcW w:w="1094" w:type="dxa"/>
            <w:shd w:val="clear" w:color="auto" w:fill="auto"/>
            <w:noWrap/>
            <w:vAlign w:val="bottom"/>
          </w:tcPr>
          <w:p w14:paraId="65092A17" w14:textId="43E4EB4A" w:rsidR="00B9331D" w:rsidRPr="00B275E2" w:rsidRDefault="00254D5C"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23.88</w:t>
            </w:r>
          </w:p>
        </w:tc>
        <w:tc>
          <w:tcPr>
            <w:tcW w:w="0" w:type="auto"/>
            <w:tcBorders>
              <w:right w:val="single" w:sz="4" w:space="0" w:color="FFFFFF" w:themeColor="background1"/>
            </w:tcBorders>
            <w:shd w:val="clear" w:color="auto" w:fill="auto"/>
            <w:noWrap/>
            <w:vAlign w:val="bottom"/>
          </w:tcPr>
          <w:p w14:paraId="65092A18" w14:textId="40236022" w:rsidR="00B9331D" w:rsidRPr="00B275E2" w:rsidRDefault="00254D5C"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23.30</w:t>
            </w:r>
          </w:p>
        </w:tc>
      </w:tr>
      <w:tr w:rsidR="004F6139" w:rsidRPr="00B275E2" w14:paraId="65092A1F" w14:textId="77777777" w:rsidTr="000750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FFFFFF" w:themeColor="background1"/>
            </w:tcBorders>
            <w:hideMark/>
          </w:tcPr>
          <w:p w14:paraId="65092A1A" w14:textId="77777777" w:rsidR="00B9331D" w:rsidRPr="00B275E2" w:rsidRDefault="00B9331D" w:rsidP="007F0B1E">
            <w:pPr>
              <w:pStyle w:val="TableText"/>
              <w:spacing w:before="40" w:after="40"/>
              <w:rPr>
                <w:rFonts w:cs="Calibri"/>
                <w:b w:val="0"/>
                <w:szCs w:val="18"/>
              </w:rPr>
            </w:pPr>
          </w:p>
        </w:tc>
        <w:tc>
          <w:tcPr>
            <w:tcW w:w="0" w:type="auto"/>
            <w:noWrap/>
          </w:tcPr>
          <w:p w14:paraId="65092A1B" w14:textId="49681B8E" w:rsidR="00B9331D" w:rsidRPr="00B275E2" w:rsidRDefault="00B9331D"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color w:val="000000"/>
                <w:szCs w:val="18"/>
              </w:rPr>
              <w:t xml:space="preserve">15,000 - </w:t>
            </w:r>
            <w:r w:rsidRPr="00B275E2">
              <w:rPr>
                <w:rFonts w:cs="Calibri"/>
                <w:szCs w:val="18"/>
              </w:rPr>
              <w:t>&lt;</w:t>
            </w:r>
            <w:r w:rsidRPr="00B275E2">
              <w:rPr>
                <w:rFonts w:cs="Calibri"/>
                <w:color w:val="000000"/>
                <w:szCs w:val="18"/>
              </w:rPr>
              <w:t xml:space="preserve">20,000 kg </w:t>
            </w:r>
          </w:p>
        </w:tc>
        <w:tc>
          <w:tcPr>
            <w:tcW w:w="0" w:type="auto"/>
          </w:tcPr>
          <w:p w14:paraId="37DD119C" w14:textId="1D65A2DB" w:rsidR="00B9331D" w:rsidRPr="00B275E2" w:rsidRDefault="00B9331D"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litres</w:t>
            </w:r>
          </w:p>
        </w:tc>
        <w:tc>
          <w:tcPr>
            <w:tcW w:w="1125" w:type="dxa"/>
            <w:shd w:val="clear" w:color="auto" w:fill="auto"/>
            <w:noWrap/>
            <w:vAlign w:val="bottom"/>
          </w:tcPr>
          <w:p w14:paraId="65092A1C" w14:textId="282BC18F" w:rsidR="00B9331D" w:rsidRPr="00B275E2" w:rsidRDefault="00254D5C"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33.19</w:t>
            </w:r>
          </w:p>
        </w:tc>
        <w:tc>
          <w:tcPr>
            <w:tcW w:w="1094" w:type="dxa"/>
            <w:shd w:val="clear" w:color="auto" w:fill="auto"/>
            <w:noWrap/>
            <w:vAlign w:val="bottom"/>
          </w:tcPr>
          <w:p w14:paraId="65092A1D" w14:textId="31AD502F" w:rsidR="00B9331D" w:rsidRPr="00B275E2" w:rsidRDefault="008B0F31"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32.35</w:t>
            </w:r>
          </w:p>
        </w:tc>
        <w:tc>
          <w:tcPr>
            <w:tcW w:w="0" w:type="auto"/>
            <w:tcBorders>
              <w:right w:val="single" w:sz="4" w:space="0" w:color="FFFFFF" w:themeColor="background1"/>
            </w:tcBorders>
            <w:shd w:val="clear" w:color="auto" w:fill="auto"/>
            <w:noWrap/>
            <w:vAlign w:val="bottom"/>
          </w:tcPr>
          <w:p w14:paraId="65092A1E" w14:textId="60E9EE9E" w:rsidR="00B9331D" w:rsidRPr="00B275E2" w:rsidRDefault="008B0F31"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32.27</w:t>
            </w:r>
          </w:p>
        </w:tc>
      </w:tr>
      <w:tr w:rsidR="004F6139" w:rsidRPr="00B275E2" w14:paraId="65092A25" w14:textId="77777777" w:rsidTr="000750BF">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FFFFFF" w:themeColor="background1"/>
            </w:tcBorders>
            <w:hideMark/>
          </w:tcPr>
          <w:p w14:paraId="65092A20" w14:textId="77777777" w:rsidR="00B9331D" w:rsidRPr="00B275E2" w:rsidRDefault="00B9331D" w:rsidP="007F0B1E">
            <w:pPr>
              <w:pStyle w:val="TableText"/>
              <w:spacing w:before="40" w:after="40"/>
              <w:rPr>
                <w:rFonts w:cs="Calibri"/>
                <w:b w:val="0"/>
                <w:szCs w:val="18"/>
              </w:rPr>
            </w:pPr>
          </w:p>
        </w:tc>
        <w:tc>
          <w:tcPr>
            <w:tcW w:w="0" w:type="auto"/>
            <w:noWrap/>
          </w:tcPr>
          <w:p w14:paraId="65092A21" w14:textId="3A7684ED" w:rsidR="00B9331D" w:rsidRPr="00B275E2" w:rsidRDefault="00B9331D"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color w:val="000000"/>
                <w:szCs w:val="18"/>
              </w:rPr>
              <w:t xml:space="preserve">20,000 - </w:t>
            </w:r>
            <w:r w:rsidRPr="00B275E2">
              <w:rPr>
                <w:rFonts w:cs="Calibri"/>
                <w:szCs w:val="18"/>
              </w:rPr>
              <w:t>&lt;</w:t>
            </w:r>
            <w:r w:rsidRPr="00B275E2">
              <w:rPr>
                <w:rFonts w:cs="Calibri"/>
                <w:color w:val="000000"/>
                <w:szCs w:val="18"/>
              </w:rPr>
              <w:t xml:space="preserve">25,000 kg </w:t>
            </w:r>
          </w:p>
        </w:tc>
        <w:tc>
          <w:tcPr>
            <w:tcW w:w="0" w:type="auto"/>
          </w:tcPr>
          <w:p w14:paraId="16899AD8" w14:textId="5F257D4E" w:rsidR="00B9331D" w:rsidRPr="00B275E2" w:rsidRDefault="00B9331D"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litres</w:t>
            </w:r>
          </w:p>
        </w:tc>
        <w:tc>
          <w:tcPr>
            <w:tcW w:w="1125" w:type="dxa"/>
            <w:shd w:val="clear" w:color="auto" w:fill="auto"/>
            <w:noWrap/>
            <w:vAlign w:val="bottom"/>
          </w:tcPr>
          <w:p w14:paraId="65092A22" w14:textId="0974118C" w:rsidR="00B9331D" w:rsidRPr="00B275E2" w:rsidRDefault="008B0F31"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44.18</w:t>
            </w:r>
          </w:p>
        </w:tc>
        <w:tc>
          <w:tcPr>
            <w:tcW w:w="1094" w:type="dxa"/>
            <w:shd w:val="clear" w:color="auto" w:fill="auto"/>
            <w:noWrap/>
            <w:vAlign w:val="bottom"/>
          </w:tcPr>
          <w:p w14:paraId="65092A23" w14:textId="44D1DBC9" w:rsidR="00B9331D" w:rsidRPr="00B275E2" w:rsidRDefault="008B0F31"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43.06</w:t>
            </w:r>
          </w:p>
        </w:tc>
        <w:tc>
          <w:tcPr>
            <w:tcW w:w="0" w:type="auto"/>
            <w:tcBorders>
              <w:right w:val="single" w:sz="4" w:space="0" w:color="FFFFFF" w:themeColor="background1"/>
            </w:tcBorders>
            <w:shd w:val="clear" w:color="auto" w:fill="auto"/>
            <w:noWrap/>
            <w:vAlign w:val="bottom"/>
          </w:tcPr>
          <w:p w14:paraId="65092A24" w14:textId="41E98323" w:rsidR="00B9331D" w:rsidRPr="00B275E2" w:rsidRDefault="00AD1B23"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42.96</w:t>
            </w:r>
          </w:p>
        </w:tc>
      </w:tr>
      <w:tr w:rsidR="004F6139" w:rsidRPr="00B275E2" w14:paraId="65092A2B" w14:textId="77777777" w:rsidTr="000750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FFFFFF" w:themeColor="background1"/>
            </w:tcBorders>
          </w:tcPr>
          <w:p w14:paraId="65092A26" w14:textId="77777777" w:rsidR="00B9331D" w:rsidRPr="00B275E2" w:rsidRDefault="00B9331D" w:rsidP="007F0B1E">
            <w:pPr>
              <w:pStyle w:val="TableText"/>
              <w:spacing w:before="40" w:after="40"/>
              <w:rPr>
                <w:rFonts w:cs="Calibri"/>
                <w:b w:val="0"/>
                <w:szCs w:val="18"/>
              </w:rPr>
            </w:pPr>
          </w:p>
        </w:tc>
        <w:tc>
          <w:tcPr>
            <w:tcW w:w="0" w:type="auto"/>
            <w:noWrap/>
          </w:tcPr>
          <w:p w14:paraId="65092A27" w14:textId="011E5634" w:rsidR="00B9331D" w:rsidRPr="00B275E2" w:rsidRDefault="00B9331D"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color w:val="000000"/>
                <w:szCs w:val="18"/>
              </w:rPr>
              <w:t xml:space="preserve">25,000 - </w:t>
            </w:r>
            <w:r w:rsidRPr="00B275E2">
              <w:rPr>
                <w:rFonts w:cs="Calibri"/>
                <w:szCs w:val="18"/>
              </w:rPr>
              <w:t>&lt;</w:t>
            </w:r>
            <w:r w:rsidRPr="00B275E2">
              <w:rPr>
                <w:rFonts w:cs="Calibri"/>
                <w:color w:val="000000"/>
                <w:szCs w:val="18"/>
              </w:rPr>
              <w:t xml:space="preserve">30,000 kg </w:t>
            </w:r>
          </w:p>
        </w:tc>
        <w:tc>
          <w:tcPr>
            <w:tcW w:w="0" w:type="auto"/>
          </w:tcPr>
          <w:p w14:paraId="5E025C59" w14:textId="3C450815" w:rsidR="00B9331D" w:rsidRPr="00B275E2" w:rsidRDefault="00B9331D"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litres</w:t>
            </w:r>
          </w:p>
        </w:tc>
        <w:tc>
          <w:tcPr>
            <w:tcW w:w="1125" w:type="dxa"/>
            <w:shd w:val="clear" w:color="auto" w:fill="auto"/>
            <w:noWrap/>
            <w:vAlign w:val="bottom"/>
          </w:tcPr>
          <w:p w14:paraId="65092A28" w14:textId="3658BCBE" w:rsidR="00B9331D" w:rsidRPr="00B275E2" w:rsidRDefault="00AD1B23"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51.02</w:t>
            </w:r>
          </w:p>
        </w:tc>
        <w:tc>
          <w:tcPr>
            <w:tcW w:w="1094" w:type="dxa"/>
            <w:shd w:val="clear" w:color="auto" w:fill="auto"/>
            <w:noWrap/>
            <w:vAlign w:val="bottom"/>
          </w:tcPr>
          <w:p w14:paraId="65092A29" w14:textId="054D9580" w:rsidR="00B9331D" w:rsidRPr="00B275E2" w:rsidRDefault="00AD1B23"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49.72</w:t>
            </w:r>
          </w:p>
        </w:tc>
        <w:tc>
          <w:tcPr>
            <w:tcW w:w="0" w:type="auto"/>
            <w:tcBorders>
              <w:right w:val="single" w:sz="4" w:space="0" w:color="FFFFFF" w:themeColor="background1"/>
            </w:tcBorders>
            <w:shd w:val="clear" w:color="auto" w:fill="auto"/>
            <w:noWrap/>
            <w:vAlign w:val="bottom"/>
          </w:tcPr>
          <w:p w14:paraId="65092A2A" w14:textId="0C6D0620" w:rsidR="00B9331D" w:rsidRPr="00B275E2" w:rsidRDefault="00AD1B23"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49.60</w:t>
            </w:r>
          </w:p>
        </w:tc>
      </w:tr>
      <w:tr w:rsidR="004F6139" w:rsidRPr="00B275E2" w14:paraId="65092A31" w14:textId="77777777" w:rsidTr="000750BF">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FFFFFF" w:themeColor="background1"/>
            </w:tcBorders>
          </w:tcPr>
          <w:p w14:paraId="65092A2C" w14:textId="77777777" w:rsidR="00B9331D" w:rsidRPr="00B275E2" w:rsidRDefault="00B9331D" w:rsidP="007F0B1E">
            <w:pPr>
              <w:pStyle w:val="TableText"/>
              <w:spacing w:before="40" w:after="40"/>
              <w:rPr>
                <w:rFonts w:cs="Calibri"/>
                <w:b w:val="0"/>
                <w:szCs w:val="18"/>
              </w:rPr>
            </w:pPr>
          </w:p>
        </w:tc>
        <w:tc>
          <w:tcPr>
            <w:tcW w:w="0" w:type="auto"/>
            <w:noWrap/>
          </w:tcPr>
          <w:p w14:paraId="65092A2D" w14:textId="0A95E82A" w:rsidR="00B9331D" w:rsidRPr="00B275E2" w:rsidRDefault="00B9331D"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color w:val="000000"/>
                <w:szCs w:val="18"/>
              </w:rPr>
              <w:t xml:space="preserve">≥30,000 kg </w:t>
            </w:r>
          </w:p>
        </w:tc>
        <w:tc>
          <w:tcPr>
            <w:tcW w:w="0" w:type="auto"/>
          </w:tcPr>
          <w:p w14:paraId="08073AF6" w14:textId="3F53D2F0" w:rsidR="00B9331D" w:rsidRPr="00B275E2" w:rsidRDefault="00B9331D"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litres</w:t>
            </w:r>
          </w:p>
        </w:tc>
        <w:tc>
          <w:tcPr>
            <w:tcW w:w="1125" w:type="dxa"/>
            <w:shd w:val="clear" w:color="auto" w:fill="auto"/>
            <w:noWrap/>
            <w:vAlign w:val="bottom"/>
          </w:tcPr>
          <w:p w14:paraId="65092A2E" w14:textId="4D90BD0F" w:rsidR="00B9331D" w:rsidRPr="00B275E2" w:rsidRDefault="00AD1B23"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53.75</w:t>
            </w:r>
          </w:p>
        </w:tc>
        <w:tc>
          <w:tcPr>
            <w:tcW w:w="1094" w:type="dxa"/>
            <w:shd w:val="clear" w:color="auto" w:fill="auto"/>
            <w:noWrap/>
            <w:vAlign w:val="bottom"/>
          </w:tcPr>
          <w:p w14:paraId="65092A2F" w14:textId="44B1D492" w:rsidR="00B9331D" w:rsidRPr="00B275E2" w:rsidRDefault="00AD1B23"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52.38</w:t>
            </w:r>
          </w:p>
        </w:tc>
        <w:tc>
          <w:tcPr>
            <w:tcW w:w="0" w:type="auto"/>
            <w:tcBorders>
              <w:right w:val="single" w:sz="4" w:space="0" w:color="FFFFFF" w:themeColor="background1"/>
            </w:tcBorders>
            <w:shd w:val="clear" w:color="auto" w:fill="auto"/>
            <w:noWrap/>
            <w:vAlign w:val="bottom"/>
          </w:tcPr>
          <w:p w14:paraId="65092A30" w14:textId="7534C2FF" w:rsidR="00B9331D" w:rsidRPr="00B275E2" w:rsidRDefault="00C70985"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52.26</w:t>
            </w:r>
          </w:p>
        </w:tc>
      </w:tr>
      <w:tr w:rsidR="004F6139" w:rsidRPr="00B275E2" w14:paraId="65092A37" w14:textId="77777777" w:rsidTr="000750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single" w:sz="4" w:space="0" w:color="FFFFFF" w:themeColor="background1"/>
            </w:tcBorders>
          </w:tcPr>
          <w:p w14:paraId="65092A32" w14:textId="15117C0E" w:rsidR="004F6139" w:rsidRPr="00B275E2" w:rsidRDefault="004F6139" w:rsidP="007F0B1E">
            <w:pPr>
              <w:pStyle w:val="TableText"/>
              <w:spacing w:before="40" w:after="40"/>
              <w:rPr>
                <w:rFonts w:cs="Calibri"/>
                <w:b w:val="0"/>
                <w:szCs w:val="18"/>
              </w:rPr>
            </w:pPr>
            <w:r w:rsidRPr="00B275E2">
              <w:rPr>
                <w:rFonts w:cs="Calibri"/>
                <w:b w:val="0"/>
                <w:szCs w:val="18"/>
              </w:rPr>
              <w:t>HGV BEV (battery electric vehicle)</w:t>
            </w:r>
          </w:p>
        </w:tc>
        <w:tc>
          <w:tcPr>
            <w:tcW w:w="0" w:type="auto"/>
            <w:noWrap/>
          </w:tcPr>
          <w:p w14:paraId="65092A33" w14:textId="01D0E09D" w:rsidR="004F6139" w:rsidRPr="00B275E2" w:rsidRDefault="004F6139"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color w:val="000000"/>
                <w:szCs w:val="18"/>
              </w:rPr>
              <w:t xml:space="preserve">&lt;5,000 kg </w:t>
            </w:r>
          </w:p>
        </w:tc>
        <w:tc>
          <w:tcPr>
            <w:tcW w:w="0" w:type="auto"/>
          </w:tcPr>
          <w:p w14:paraId="434ED025" w14:textId="7FE0A962" w:rsidR="004F6139" w:rsidRPr="00B275E2" w:rsidRDefault="004F6139"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kWh</w:t>
            </w:r>
          </w:p>
        </w:tc>
        <w:tc>
          <w:tcPr>
            <w:tcW w:w="1125" w:type="dxa"/>
            <w:shd w:val="clear" w:color="auto" w:fill="auto"/>
            <w:noWrap/>
            <w:vAlign w:val="bottom"/>
          </w:tcPr>
          <w:p w14:paraId="65092A34" w14:textId="0429A84D" w:rsidR="004F6139" w:rsidRPr="00B275E2" w:rsidRDefault="00C70985"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46.81</w:t>
            </w:r>
          </w:p>
        </w:tc>
        <w:tc>
          <w:tcPr>
            <w:tcW w:w="1094" w:type="dxa"/>
            <w:shd w:val="clear" w:color="auto" w:fill="auto"/>
            <w:noWrap/>
            <w:vAlign w:val="bottom"/>
          </w:tcPr>
          <w:p w14:paraId="65092A35" w14:textId="4D2A4898" w:rsidR="004F6139" w:rsidRPr="00B275E2" w:rsidRDefault="00C70985"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44.38</w:t>
            </w:r>
          </w:p>
        </w:tc>
        <w:tc>
          <w:tcPr>
            <w:tcW w:w="0" w:type="auto"/>
            <w:tcBorders>
              <w:right w:val="single" w:sz="4" w:space="0" w:color="FFFFFF" w:themeColor="background1"/>
            </w:tcBorders>
            <w:shd w:val="clear" w:color="auto" w:fill="auto"/>
            <w:noWrap/>
            <w:vAlign w:val="bottom"/>
          </w:tcPr>
          <w:p w14:paraId="65092A36" w14:textId="6A2FD904" w:rsidR="004F6139" w:rsidRPr="00B275E2" w:rsidRDefault="00C70985"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43.42</w:t>
            </w:r>
          </w:p>
        </w:tc>
      </w:tr>
      <w:tr w:rsidR="004F6139" w:rsidRPr="00B275E2" w14:paraId="65092A3D" w14:textId="77777777" w:rsidTr="000750BF">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FFFFFF" w:themeColor="background1"/>
            </w:tcBorders>
          </w:tcPr>
          <w:p w14:paraId="65092A38" w14:textId="77777777" w:rsidR="004F6139" w:rsidRPr="00B275E2" w:rsidRDefault="004F6139" w:rsidP="007F0B1E">
            <w:pPr>
              <w:pStyle w:val="TableText"/>
              <w:spacing w:before="40" w:after="40"/>
              <w:rPr>
                <w:rFonts w:cs="Calibri"/>
                <w:b w:val="0"/>
                <w:szCs w:val="18"/>
              </w:rPr>
            </w:pPr>
          </w:p>
        </w:tc>
        <w:tc>
          <w:tcPr>
            <w:tcW w:w="0" w:type="auto"/>
            <w:noWrap/>
          </w:tcPr>
          <w:p w14:paraId="65092A39" w14:textId="30354488" w:rsidR="004F6139" w:rsidRPr="00B275E2" w:rsidRDefault="004F6139"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color w:val="000000"/>
                <w:szCs w:val="18"/>
              </w:rPr>
              <w:t xml:space="preserve">5,000 - </w:t>
            </w:r>
            <w:r w:rsidRPr="00B275E2">
              <w:rPr>
                <w:rFonts w:cs="Calibri"/>
                <w:szCs w:val="18"/>
              </w:rPr>
              <w:t>&lt;</w:t>
            </w:r>
            <w:r w:rsidRPr="00B275E2">
              <w:rPr>
                <w:rFonts w:cs="Calibri"/>
                <w:color w:val="000000"/>
                <w:szCs w:val="18"/>
              </w:rPr>
              <w:t xml:space="preserve">7,500 kg </w:t>
            </w:r>
          </w:p>
        </w:tc>
        <w:tc>
          <w:tcPr>
            <w:tcW w:w="0" w:type="auto"/>
          </w:tcPr>
          <w:p w14:paraId="667D2293" w14:textId="6A21C2CE" w:rsidR="004F6139" w:rsidRPr="00B275E2" w:rsidRDefault="004F6139"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kWh</w:t>
            </w:r>
          </w:p>
        </w:tc>
        <w:tc>
          <w:tcPr>
            <w:tcW w:w="1125" w:type="dxa"/>
            <w:shd w:val="clear" w:color="auto" w:fill="auto"/>
            <w:noWrap/>
            <w:vAlign w:val="bottom"/>
          </w:tcPr>
          <w:p w14:paraId="65092A3A" w14:textId="48A55A93" w:rsidR="004F6139" w:rsidRPr="00B275E2" w:rsidRDefault="004D0CE5"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53.63</w:t>
            </w:r>
          </w:p>
        </w:tc>
        <w:tc>
          <w:tcPr>
            <w:tcW w:w="1094" w:type="dxa"/>
            <w:shd w:val="clear" w:color="auto" w:fill="auto"/>
            <w:noWrap/>
            <w:vAlign w:val="bottom"/>
          </w:tcPr>
          <w:p w14:paraId="65092A3B" w14:textId="0A90975E" w:rsidR="004F6139" w:rsidRPr="00B275E2" w:rsidRDefault="00062286"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50.85</w:t>
            </w:r>
          </w:p>
        </w:tc>
        <w:tc>
          <w:tcPr>
            <w:tcW w:w="0" w:type="auto"/>
            <w:tcBorders>
              <w:right w:val="single" w:sz="4" w:space="0" w:color="FFFFFF" w:themeColor="background1"/>
            </w:tcBorders>
            <w:shd w:val="clear" w:color="auto" w:fill="auto"/>
            <w:noWrap/>
            <w:vAlign w:val="bottom"/>
          </w:tcPr>
          <w:p w14:paraId="65092A3C" w14:textId="680B9C15" w:rsidR="004F6139" w:rsidRPr="00B275E2" w:rsidRDefault="00062286"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49.74</w:t>
            </w:r>
          </w:p>
        </w:tc>
      </w:tr>
      <w:tr w:rsidR="004F6139" w:rsidRPr="00B275E2" w14:paraId="65092A43" w14:textId="77777777" w:rsidTr="000750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FFFFFF" w:themeColor="background1"/>
            </w:tcBorders>
          </w:tcPr>
          <w:p w14:paraId="65092A3E" w14:textId="77777777" w:rsidR="004F6139" w:rsidRPr="00B275E2" w:rsidRDefault="004F6139" w:rsidP="007F0B1E">
            <w:pPr>
              <w:pStyle w:val="TableText"/>
              <w:spacing w:before="40" w:after="40"/>
              <w:rPr>
                <w:rFonts w:cs="Calibri"/>
                <w:b w:val="0"/>
                <w:szCs w:val="18"/>
              </w:rPr>
            </w:pPr>
          </w:p>
        </w:tc>
        <w:tc>
          <w:tcPr>
            <w:tcW w:w="0" w:type="auto"/>
            <w:noWrap/>
          </w:tcPr>
          <w:p w14:paraId="65092A3F" w14:textId="38DA76B0" w:rsidR="004F6139" w:rsidRPr="00B275E2" w:rsidRDefault="004F6139"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color w:val="000000"/>
                <w:szCs w:val="18"/>
              </w:rPr>
              <w:t xml:space="preserve">7,500 - </w:t>
            </w:r>
            <w:r w:rsidRPr="00B275E2">
              <w:rPr>
                <w:rFonts w:cs="Calibri"/>
                <w:szCs w:val="18"/>
              </w:rPr>
              <w:t>&lt;</w:t>
            </w:r>
            <w:r w:rsidRPr="00B275E2">
              <w:rPr>
                <w:rFonts w:cs="Calibri"/>
                <w:color w:val="000000"/>
                <w:szCs w:val="18"/>
              </w:rPr>
              <w:t>10,000 kg</w:t>
            </w:r>
          </w:p>
        </w:tc>
        <w:tc>
          <w:tcPr>
            <w:tcW w:w="0" w:type="auto"/>
          </w:tcPr>
          <w:p w14:paraId="5D8CDF2B" w14:textId="2C3B5884" w:rsidR="004F6139" w:rsidRPr="00B275E2" w:rsidRDefault="004F6139"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kWh</w:t>
            </w:r>
          </w:p>
        </w:tc>
        <w:tc>
          <w:tcPr>
            <w:tcW w:w="1125" w:type="dxa"/>
            <w:shd w:val="clear" w:color="auto" w:fill="auto"/>
            <w:noWrap/>
            <w:vAlign w:val="bottom"/>
          </w:tcPr>
          <w:p w14:paraId="65092A40" w14:textId="206FAE8B" w:rsidR="004F6139" w:rsidRPr="00B275E2" w:rsidRDefault="00062286"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65.57</w:t>
            </w:r>
          </w:p>
        </w:tc>
        <w:tc>
          <w:tcPr>
            <w:tcW w:w="1094" w:type="dxa"/>
            <w:shd w:val="clear" w:color="auto" w:fill="auto"/>
            <w:noWrap/>
            <w:vAlign w:val="bottom"/>
          </w:tcPr>
          <w:p w14:paraId="65092A41" w14:textId="7787C6F6" w:rsidR="004F6139" w:rsidRPr="00B275E2" w:rsidRDefault="00705662"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62.17</w:t>
            </w:r>
          </w:p>
        </w:tc>
        <w:tc>
          <w:tcPr>
            <w:tcW w:w="0" w:type="auto"/>
            <w:tcBorders>
              <w:right w:val="single" w:sz="4" w:space="0" w:color="FFFFFF" w:themeColor="background1"/>
            </w:tcBorders>
            <w:shd w:val="clear" w:color="auto" w:fill="auto"/>
            <w:noWrap/>
            <w:vAlign w:val="bottom"/>
          </w:tcPr>
          <w:p w14:paraId="65092A42" w14:textId="2EE8BB9C" w:rsidR="004F6139" w:rsidRPr="00B275E2" w:rsidRDefault="00705662"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60.82</w:t>
            </w:r>
          </w:p>
        </w:tc>
      </w:tr>
      <w:tr w:rsidR="004F6139" w:rsidRPr="00B275E2" w14:paraId="65092A49" w14:textId="77777777" w:rsidTr="000750BF">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FFFFFF" w:themeColor="background1"/>
            </w:tcBorders>
          </w:tcPr>
          <w:p w14:paraId="65092A44" w14:textId="77777777" w:rsidR="004F6139" w:rsidRPr="00B275E2" w:rsidRDefault="004F6139" w:rsidP="007F0B1E">
            <w:pPr>
              <w:pStyle w:val="TableText"/>
              <w:spacing w:before="40" w:after="40"/>
              <w:rPr>
                <w:rFonts w:cs="Calibri"/>
                <w:b w:val="0"/>
                <w:szCs w:val="18"/>
              </w:rPr>
            </w:pPr>
          </w:p>
        </w:tc>
        <w:tc>
          <w:tcPr>
            <w:tcW w:w="0" w:type="auto"/>
            <w:noWrap/>
          </w:tcPr>
          <w:p w14:paraId="65092A45" w14:textId="79D044C6" w:rsidR="004F6139" w:rsidRPr="00B275E2" w:rsidRDefault="004F6139"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color w:val="000000"/>
                <w:szCs w:val="18"/>
              </w:rPr>
              <w:t xml:space="preserve">10,000 - </w:t>
            </w:r>
            <w:r w:rsidRPr="00B275E2">
              <w:rPr>
                <w:rFonts w:cs="Calibri"/>
                <w:szCs w:val="18"/>
              </w:rPr>
              <w:t>&lt;</w:t>
            </w:r>
            <w:r w:rsidRPr="00B275E2">
              <w:rPr>
                <w:rFonts w:cs="Calibri"/>
                <w:color w:val="000000"/>
                <w:szCs w:val="18"/>
              </w:rPr>
              <w:t xml:space="preserve">12,000 kg </w:t>
            </w:r>
          </w:p>
        </w:tc>
        <w:tc>
          <w:tcPr>
            <w:tcW w:w="0" w:type="auto"/>
          </w:tcPr>
          <w:p w14:paraId="237DF6AC" w14:textId="7BBF8735" w:rsidR="004F6139" w:rsidRPr="00B275E2" w:rsidRDefault="004F6139"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kWh</w:t>
            </w:r>
          </w:p>
        </w:tc>
        <w:tc>
          <w:tcPr>
            <w:tcW w:w="1125" w:type="dxa"/>
            <w:shd w:val="clear" w:color="auto" w:fill="auto"/>
            <w:noWrap/>
            <w:vAlign w:val="bottom"/>
          </w:tcPr>
          <w:p w14:paraId="65092A46" w14:textId="31722D69" w:rsidR="004F6139" w:rsidRPr="00B275E2" w:rsidRDefault="00705662"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77.75</w:t>
            </w:r>
          </w:p>
        </w:tc>
        <w:tc>
          <w:tcPr>
            <w:tcW w:w="1094" w:type="dxa"/>
            <w:shd w:val="clear" w:color="auto" w:fill="auto"/>
            <w:noWrap/>
            <w:vAlign w:val="bottom"/>
          </w:tcPr>
          <w:p w14:paraId="65092A47" w14:textId="0444D18A" w:rsidR="004F6139" w:rsidRPr="00B275E2" w:rsidRDefault="00705662"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73.72</w:t>
            </w:r>
          </w:p>
        </w:tc>
        <w:tc>
          <w:tcPr>
            <w:tcW w:w="0" w:type="auto"/>
            <w:tcBorders>
              <w:right w:val="single" w:sz="4" w:space="0" w:color="FFFFFF" w:themeColor="background1"/>
            </w:tcBorders>
            <w:shd w:val="clear" w:color="auto" w:fill="auto"/>
            <w:noWrap/>
            <w:vAlign w:val="bottom"/>
          </w:tcPr>
          <w:p w14:paraId="65092A48" w14:textId="5F275E0B" w:rsidR="004F6139" w:rsidRPr="00B275E2" w:rsidRDefault="00705662"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81.94</w:t>
            </w:r>
          </w:p>
        </w:tc>
      </w:tr>
      <w:tr w:rsidR="004F6139" w:rsidRPr="00B275E2" w14:paraId="65092A4F" w14:textId="77777777" w:rsidTr="000750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FFFFFF" w:themeColor="background1"/>
            </w:tcBorders>
          </w:tcPr>
          <w:p w14:paraId="65092A4A" w14:textId="77777777" w:rsidR="004F6139" w:rsidRPr="00B275E2" w:rsidRDefault="004F6139" w:rsidP="007F0B1E">
            <w:pPr>
              <w:pStyle w:val="TableText"/>
              <w:spacing w:before="40" w:after="40"/>
              <w:rPr>
                <w:rFonts w:cs="Calibri"/>
                <w:b w:val="0"/>
                <w:szCs w:val="18"/>
              </w:rPr>
            </w:pPr>
          </w:p>
        </w:tc>
        <w:tc>
          <w:tcPr>
            <w:tcW w:w="0" w:type="auto"/>
            <w:noWrap/>
          </w:tcPr>
          <w:p w14:paraId="65092A4B" w14:textId="3D29809A" w:rsidR="004F6139" w:rsidRPr="00B275E2" w:rsidRDefault="004F6139"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color w:val="000000"/>
                <w:szCs w:val="18"/>
              </w:rPr>
              <w:t xml:space="preserve">12,000 - </w:t>
            </w:r>
            <w:r w:rsidRPr="00B275E2">
              <w:rPr>
                <w:rFonts w:cs="Calibri"/>
                <w:szCs w:val="18"/>
              </w:rPr>
              <w:t>&lt;</w:t>
            </w:r>
            <w:r w:rsidRPr="00B275E2">
              <w:rPr>
                <w:rFonts w:cs="Calibri"/>
                <w:color w:val="000000"/>
                <w:szCs w:val="18"/>
              </w:rPr>
              <w:t xml:space="preserve">15,000 kg </w:t>
            </w:r>
          </w:p>
        </w:tc>
        <w:tc>
          <w:tcPr>
            <w:tcW w:w="0" w:type="auto"/>
          </w:tcPr>
          <w:p w14:paraId="1532B217" w14:textId="7DB2F27D" w:rsidR="004F6139" w:rsidRPr="00B275E2" w:rsidRDefault="004F6139"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kWh</w:t>
            </w:r>
          </w:p>
        </w:tc>
        <w:tc>
          <w:tcPr>
            <w:tcW w:w="1125" w:type="dxa"/>
            <w:shd w:val="clear" w:color="auto" w:fill="auto"/>
            <w:noWrap/>
            <w:vAlign w:val="bottom"/>
          </w:tcPr>
          <w:p w14:paraId="65092A4C" w14:textId="044FADB5" w:rsidR="004F6139" w:rsidRPr="00B275E2" w:rsidRDefault="00FF0409"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88.35</w:t>
            </w:r>
          </w:p>
        </w:tc>
        <w:tc>
          <w:tcPr>
            <w:tcW w:w="1094" w:type="dxa"/>
            <w:shd w:val="clear" w:color="auto" w:fill="auto"/>
            <w:noWrap/>
            <w:vAlign w:val="bottom"/>
          </w:tcPr>
          <w:p w14:paraId="65092A4D" w14:textId="7FC7A6D5" w:rsidR="004F6139" w:rsidRPr="00B275E2" w:rsidRDefault="00FF0409"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83.77</w:t>
            </w:r>
          </w:p>
        </w:tc>
        <w:tc>
          <w:tcPr>
            <w:tcW w:w="0" w:type="auto"/>
            <w:tcBorders>
              <w:right w:val="single" w:sz="4" w:space="0" w:color="FFFFFF" w:themeColor="background1"/>
            </w:tcBorders>
            <w:shd w:val="clear" w:color="auto" w:fill="auto"/>
            <w:noWrap/>
            <w:vAlign w:val="bottom"/>
          </w:tcPr>
          <w:p w14:paraId="65092A4E" w14:textId="29582E6B" w:rsidR="004F6139" w:rsidRPr="00B275E2" w:rsidRDefault="00FF0409"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91.94</w:t>
            </w:r>
          </w:p>
        </w:tc>
      </w:tr>
    </w:tbl>
    <w:p w14:paraId="65092A51" w14:textId="28304AA9" w:rsidR="008B2AF1" w:rsidRPr="00B275E2" w:rsidRDefault="008B2AF1" w:rsidP="007F0B1E">
      <w:pPr>
        <w:pStyle w:val="BodyText"/>
        <w:spacing w:before="280" w:after="160"/>
      </w:pPr>
      <w:r w:rsidRPr="00B275E2">
        <w:t xml:space="preserve">The equation used to calculate the emission factor for each </w:t>
      </w:r>
      <w:r w:rsidR="00AE5DF1" w:rsidRPr="00B275E2">
        <w:t>GHG</w:t>
      </w:r>
      <w:r w:rsidRPr="00B275E2">
        <w:t xml:space="preserve"> is:</w:t>
      </w:r>
    </w:p>
    <w:tbl>
      <w:tblPr>
        <w:tblStyle w:val="mfebox"/>
        <w:tblW w:w="0" w:type="auto"/>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1" w:themeFill="background2"/>
        <w:tblLook w:val="04A0" w:firstRow="1" w:lastRow="0" w:firstColumn="1" w:lastColumn="0" w:noHBand="0" w:noVBand="1"/>
      </w:tblPr>
      <w:tblGrid>
        <w:gridCol w:w="8495"/>
      </w:tblGrid>
      <w:tr w:rsidR="00F919E2" w:rsidRPr="00B275E2" w14:paraId="65092A53" w14:textId="77777777" w:rsidTr="00DE6137">
        <w:tc>
          <w:tcPr>
            <w:tcW w:w="8720" w:type="dxa"/>
            <w:shd w:val="clear" w:color="auto" w:fill="D2DDE1" w:themeFill="background2"/>
          </w:tcPr>
          <w:p w14:paraId="65092A52" w14:textId="67746589" w:rsidR="00F919E2" w:rsidRPr="00B275E2" w:rsidRDefault="00954B9C" w:rsidP="007F0B1E">
            <w:pPr>
              <w:pStyle w:val="Box"/>
              <w:spacing w:before="0" w:after="0"/>
              <w:ind w:left="0"/>
            </w:pPr>
            <m:oMathPara>
              <m:oMath>
                <m:f>
                  <m:fPr>
                    <m:ctrlPr>
                      <w:rPr>
                        <w:rFonts w:ascii="Cambria Math" w:hAnsi="Cambria Math"/>
                      </w:rPr>
                    </m:ctrlPr>
                  </m:fPr>
                  <m:num>
                    <m:r>
                      <w:rPr>
                        <w:rFonts w:ascii="Cambria Math" w:hAnsi="Cambria Math"/>
                      </w:rPr>
                      <m:t>real˗world</m:t>
                    </m:r>
                    <m:r>
                      <m:rPr>
                        <m:sty m:val="p"/>
                      </m:rPr>
                      <w:rPr>
                        <w:rFonts w:ascii="Cambria Math" w:hAnsi="Cambria Math"/>
                      </w:rPr>
                      <m:t xml:space="preserve"> </m:t>
                    </m:r>
                    <m:r>
                      <w:rPr>
                        <w:rFonts w:ascii="Cambria Math" w:hAnsi="Cambria Math"/>
                      </w:rPr>
                      <m:t>fuel</m:t>
                    </m:r>
                    <m:r>
                      <m:rPr>
                        <m:sty m:val="p"/>
                      </m:rPr>
                      <w:rPr>
                        <w:rFonts w:ascii="Cambria Math" w:hAnsi="Cambria Math"/>
                      </w:rPr>
                      <m:t xml:space="preserve"> </m:t>
                    </m:r>
                    <m:r>
                      <w:rPr>
                        <w:rFonts w:ascii="Cambria Math" w:hAnsi="Cambria Math"/>
                      </w:rPr>
                      <m:t xml:space="preserve">consumption </m:t>
                    </m:r>
                    <m:r>
                      <m:rPr>
                        <m:sty m:val="p"/>
                      </m:rPr>
                      <w:rPr>
                        <w:rFonts w:ascii="Cambria Math" w:hAnsi="Cambria Math"/>
                      </w:rPr>
                      <m:t xml:space="preserve">× </m:t>
                    </m:r>
                    <m:r>
                      <w:rPr>
                        <w:rFonts w:ascii="Cambria Math" w:hAnsi="Cambria Math"/>
                      </w:rPr>
                      <m:t>emission</m:t>
                    </m:r>
                    <m:r>
                      <m:rPr>
                        <m:sty m:val="p"/>
                      </m:rPr>
                      <w:rPr>
                        <w:rFonts w:ascii="Cambria Math" w:hAnsi="Cambria Math"/>
                      </w:rPr>
                      <m:t xml:space="preserve"> </m:t>
                    </m:r>
                    <m:r>
                      <w:rPr>
                        <w:rFonts w:ascii="Cambria Math" w:hAnsi="Cambria Math"/>
                      </w:rPr>
                      <m:t>conversion</m:t>
                    </m:r>
                    <m:r>
                      <m:rPr>
                        <m:sty m:val="p"/>
                      </m:rPr>
                      <w:rPr>
                        <w:rFonts w:ascii="Cambria Math" w:hAnsi="Cambria Math"/>
                      </w:rPr>
                      <m:t xml:space="preserve"> </m:t>
                    </m:r>
                    <m:r>
                      <w:rPr>
                        <w:rFonts w:ascii="Cambria Math" w:hAnsi="Cambria Math"/>
                      </w:rPr>
                      <m:t>factor</m:t>
                    </m:r>
                  </m:num>
                  <m:den>
                    <m:r>
                      <m:rPr>
                        <m:sty m:val="p"/>
                      </m:rPr>
                      <w:rPr>
                        <w:rFonts w:ascii="Cambria Math" w:hAnsi="Cambria Math"/>
                      </w:rPr>
                      <m:t>100 km</m:t>
                    </m:r>
                  </m:den>
                </m:f>
              </m:oMath>
            </m:oMathPara>
          </w:p>
        </w:tc>
      </w:tr>
    </w:tbl>
    <w:p w14:paraId="65092A54" w14:textId="23B56EE9" w:rsidR="008B2AF1" w:rsidRPr="00B275E2" w:rsidRDefault="008B2AF1" w:rsidP="007F0B1E">
      <w:pPr>
        <w:pStyle w:val="BodyText"/>
        <w:spacing w:before="240" w:after="100"/>
      </w:pPr>
      <w:r w:rsidRPr="00B275E2">
        <w:t>Dividing by 100 gives a factor for litres (or kWh) per fuel per km</w:t>
      </w:r>
      <w:r w:rsidR="00AE5DF1" w:rsidRPr="00B275E2">
        <w:t>. Use this</w:t>
      </w:r>
      <w:r w:rsidRPr="00B275E2">
        <w:t xml:space="preserve"> with the fuel emission factors to calculate emission</w:t>
      </w:r>
      <w:r w:rsidR="0047779A" w:rsidRPr="00B275E2">
        <w:t>s</w:t>
      </w:r>
      <w:r w:rsidRPr="00B275E2">
        <w:t xml:space="preserve"> per km.</w:t>
      </w:r>
    </w:p>
    <w:p w14:paraId="65092A55" w14:textId="701D8D82" w:rsidR="008B2AF1" w:rsidRPr="00B275E2" w:rsidRDefault="00AE5DF1" w:rsidP="007F0B1E">
      <w:pPr>
        <w:pStyle w:val="BodyText"/>
        <w:spacing w:before="100" w:after="100"/>
      </w:pPr>
      <w:r w:rsidRPr="00B275E2">
        <w:t>We multiplied t</w:t>
      </w:r>
      <w:r w:rsidR="008B2AF1" w:rsidRPr="00B275E2">
        <w:t>he values for fuel consumption by the emission conversion factors provided in</w:t>
      </w:r>
      <w:r w:rsidR="004B591E" w:rsidRPr="00B275E2">
        <w:t> </w:t>
      </w:r>
      <w:hyperlink w:anchor="table4" w:history="1">
        <w:r w:rsidR="004B591E" w:rsidRPr="00B275E2">
          <w:rPr>
            <w:rStyle w:val="Hyperlink"/>
          </w:rPr>
          <w:t>table 4</w:t>
        </w:r>
      </w:hyperlink>
      <w:r w:rsidR="008B2AF1" w:rsidRPr="00B275E2">
        <w:t>.</w:t>
      </w:r>
    </w:p>
    <w:p w14:paraId="26CFC935" w14:textId="36F98E39" w:rsidR="00914819" w:rsidRPr="00B275E2" w:rsidRDefault="00AE5DF1" w:rsidP="007F0B1E">
      <w:pPr>
        <w:pStyle w:val="BodyText"/>
        <w:spacing w:before="100" w:after="100"/>
      </w:pPr>
      <w:r w:rsidRPr="00B275E2">
        <w:t>The default emission factors for freighting vehicles include the following assumptions b</w:t>
      </w:r>
      <w:r w:rsidR="00914819" w:rsidRPr="00B275E2">
        <w:t xml:space="preserve">ased on the MoT NZ Vehicle Fleet </w:t>
      </w:r>
      <w:r w:rsidR="00A93F78" w:rsidRPr="00B275E2">
        <w:t>20</w:t>
      </w:r>
      <w:r w:rsidR="00FF0409" w:rsidRPr="00B275E2">
        <w:t>20</w:t>
      </w:r>
      <w:r w:rsidR="009E1FFB" w:rsidRPr="00B275E2">
        <w:t>:</w:t>
      </w:r>
      <w:r w:rsidR="00914819" w:rsidRPr="00B275E2">
        <w:rPr>
          <w:rStyle w:val="FootnoteReference"/>
        </w:rPr>
        <w:footnoteReference w:id="50"/>
      </w:r>
    </w:p>
    <w:p w14:paraId="0C66C36F" w14:textId="73911FF1" w:rsidR="00914819" w:rsidRPr="00B275E2" w:rsidRDefault="00914819" w:rsidP="00DE6137">
      <w:pPr>
        <w:pStyle w:val="Bullet"/>
      </w:pPr>
      <w:r w:rsidRPr="00B275E2">
        <w:t xml:space="preserve">Light commercial vehicles are on average </w:t>
      </w:r>
      <w:r w:rsidR="00FF0409" w:rsidRPr="00B275E2">
        <w:t xml:space="preserve">around </w:t>
      </w:r>
      <w:r w:rsidRPr="00B275E2">
        <w:t>12 years old</w:t>
      </w:r>
      <w:r w:rsidRPr="00B275E2">
        <w:rPr>
          <w:rStyle w:val="FootnoteReference"/>
          <w:color w:val="auto"/>
        </w:rPr>
        <w:footnoteReference w:id="51"/>
      </w:r>
      <w:r w:rsidRPr="00B275E2">
        <w:t xml:space="preserve"> and the most common engine size is 2000</w:t>
      </w:r>
      <w:r w:rsidR="0066103F" w:rsidRPr="00B275E2">
        <w:t>-</w:t>
      </w:r>
      <w:r w:rsidR="006F7D0E" w:rsidRPr="00B275E2">
        <w:t>3000</w:t>
      </w:r>
      <w:r w:rsidR="00AF2926" w:rsidRPr="00B275E2">
        <w:t xml:space="preserve"> </w:t>
      </w:r>
      <w:r w:rsidRPr="00B275E2">
        <w:t>cc</w:t>
      </w:r>
      <w:r w:rsidR="00AE5DF1" w:rsidRPr="00B275E2">
        <w:t>,</w:t>
      </w:r>
      <w:r w:rsidRPr="00B275E2">
        <w:t xml:space="preserve"> therefore</w:t>
      </w:r>
      <w:r w:rsidR="00AE5DF1" w:rsidRPr="00B275E2">
        <w:t xml:space="preserve"> we used</w:t>
      </w:r>
      <w:r w:rsidRPr="00B275E2">
        <w:t xml:space="preserve"> a pre-2010 fleet and a 2000</w:t>
      </w:r>
      <w:r w:rsidR="0066103F" w:rsidRPr="00B275E2">
        <w:t>-</w:t>
      </w:r>
      <w:r w:rsidR="006F7D0E" w:rsidRPr="00B275E2">
        <w:t>3000</w:t>
      </w:r>
      <w:r w:rsidR="00AF2926" w:rsidRPr="00B275E2">
        <w:t xml:space="preserve"> </w:t>
      </w:r>
      <w:r w:rsidRPr="00B275E2">
        <w:t>cc engine size for the default values.</w:t>
      </w:r>
    </w:p>
    <w:p w14:paraId="5D64303F" w14:textId="1ED1E1E6" w:rsidR="00914819" w:rsidRPr="00B275E2" w:rsidRDefault="0A891D74" w:rsidP="00DE6137">
      <w:pPr>
        <w:pStyle w:val="Bullet"/>
      </w:pPr>
      <w:r>
        <w:t>Heavy trucks are on average 1</w:t>
      </w:r>
      <w:r w:rsidR="3B5755C9">
        <w:t>8</w:t>
      </w:r>
      <w:r w:rsidR="6EB4F180">
        <w:t xml:space="preserve"> </w:t>
      </w:r>
      <w:r>
        <w:t xml:space="preserve">years old and </w:t>
      </w:r>
      <w:r w:rsidR="6D236A48">
        <w:t xml:space="preserve">the </w:t>
      </w:r>
      <w:r>
        <w:t>most common gross vehicle mass is &lt;7500</w:t>
      </w:r>
      <w:r w:rsidR="4D96AACA">
        <w:t> </w:t>
      </w:r>
      <w:r>
        <w:t>km</w:t>
      </w:r>
      <w:r w:rsidR="6D236A48">
        <w:t>,</w:t>
      </w:r>
      <w:r>
        <w:t xml:space="preserve"> therefore </w:t>
      </w:r>
      <w:r w:rsidR="6D236A48">
        <w:t xml:space="preserve">we selected </w:t>
      </w:r>
      <w:r>
        <w:t>a pre</w:t>
      </w:r>
      <w:r w:rsidR="6D236A48">
        <w:t>-</w:t>
      </w:r>
      <w:r>
        <w:t>2010</w:t>
      </w:r>
      <w:r w:rsidR="6D236A48">
        <w:t xml:space="preserve"> </w:t>
      </w:r>
      <w:r>
        <w:t>vehicle fleet with a gross vehicle mass of &lt;7500</w:t>
      </w:r>
      <w:r w:rsidR="4D96AACA">
        <w:t> </w:t>
      </w:r>
      <w:r>
        <w:t xml:space="preserve">kg. </w:t>
      </w:r>
    </w:p>
    <w:p w14:paraId="65092A56" w14:textId="3CBF9011" w:rsidR="00083837" w:rsidRPr="00B275E2" w:rsidRDefault="00645D01" w:rsidP="007F0B1E">
      <w:pPr>
        <w:pStyle w:val="BodyText"/>
        <w:spacing w:before="100" w:after="100"/>
      </w:pPr>
      <w:r w:rsidRPr="00B275E2">
        <w:t>Emission facto</w:t>
      </w:r>
      <w:r w:rsidR="00DF345D" w:rsidRPr="00B275E2">
        <w:t>r</w:t>
      </w:r>
      <w:r w:rsidRPr="00B275E2">
        <w:t xml:space="preserve">s for freighting goods </w:t>
      </w:r>
      <w:r w:rsidR="00914819" w:rsidRPr="00B275E2">
        <w:t>(</w:t>
      </w:r>
      <w:r w:rsidR="00AF2926" w:rsidRPr="00B275E2">
        <w:t>t</w:t>
      </w:r>
      <w:r w:rsidR="00914819" w:rsidRPr="00B275E2">
        <w:t xml:space="preserve">km) </w:t>
      </w:r>
      <w:r w:rsidRPr="00B275E2">
        <w:t>are from</w:t>
      </w:r>
      <w:r w:rsidR="00AE3639" w:rsidRPr="00B275E2">
        <w:t xml:space="preserve"> the MoT presentation </w:t>
      </w:r>
      <w:r w:rsidR="00225A14" w:rsidRPr="00B275E2">
        <w:t>’Real-world fuel economy of heavy trucks’</w:t>
      </w:r>
      <w:r w:rsidR="00DE6137" w:rsidRPr="00B275E2">
        <w:t>.</w:t>
      </w:r>
      <w:r w:rsidR="00146CA4" w:rsidRPr="00B275E2">
        <w:rPr>
          <w:rStyle w:val="FootnoteReference"/>
        </w:rPr>
        <w:footnoteReference w:id="52"/>
      </w:r>
    </w:p>
    <w:p w14:paraId="65092A58" w14:textId="2A61E607" w:rsidR="00CA1E67" w:rsidRPr="00B275E2" w:rsidRDefault="00EB4389" w:rsidP="00153D76">
      <w:pPr>
        <w:pStyle w:val="Tableheading"/>
      </w:pPr>
      <w:bookmarkStart w:id="483" w:name="_Toc111536668"/>
      <w:r w:rsidRPr="00B275E2">
        <w:t xml:space="preserve">Table </w:t>
      </w:r>
      <w:r w:rsidRPr="00B275E2">
        <w:fldChar w:fldCharType="begin"/>
      </w:r>
      <w:r w:rsidRPr="00B275E2">
        <w:instrText>SEQ Table \* ARABIC</w:instrText>
      </w:r>
      <w:r w:rsidRPr="00B275E2">
        <w:fldChar w:fldCharType="separate"/>
      </w:r>
      <w:r>
        <w:rPr>
          <w:noProof/>
        </w:rPr>
        <w:t>63</w:t>
      </w:r>
      <w:r w:rsidRPr="00B275E2">
        <w:fldChar w:fldCharType="end"/>
      </w:r>
      <w:r w:rsidRPr="00B275E2">
        <w:t>:</w:t>
      </w:r>
      <w:r w:rsidRPr="00B275E2">
        <w:tab/>
      </w:r>
      <w:r w:rsidR="00CA1E67" w:rsidRPr="00B275E2">
        <w:t>Data used to calculate the road freight (tkm) emission factor</w:t>
      </w:r>
      <w:bookmarkEnd w:id="483"/>
    </w:p>
    <w:tbl>
      <w:tblPr>
        <w:tblStyle w:val="TableGrid"/>
        <w:tblW w:w="8505"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ayout w:type="fixed"/>
        <w:tblLook w:val="04A0" w:firstRow="1" w:lastRow="0" w:firstColumn="1" w:lastColumn="0" w:noHBand="0" w:noVBand="1"/>
      </w:tblPr>
      <w:tblGrid>
        <w:gridCol w:w="2677"/>
        <w:gridCol w:w="1571"/>
        <w:gridCol w:w="4257"/>
      </w:tblGrid>
      <w:tr w:rsidR="00C11FE3" w:rsidRPr="00B275E2" w14:paraId="65092A5C" w14:textId="77777777" w:rsidTr="00153D76">
        <w:tc>
          <w:tcPr>
            <w:tcW w:w="2677" w:type="dxa"/>
            <w:shd w:val="clear" w:color="auto" w:fill="1B556B" w:themeFill="text2"/>
            <w:vAlign w:val="center"/>
          </w:tcPr>
          <w:p w14:paraId="65092A59" w14:textId="34927661" w:rsidR="00C11FE3" w:rsidRPr="00B275E2" w:rsidRDefault="00276910" w:rsidP="007F0B1E">
            <w:pPr>
              <w:pStyle w:val="TableText"/>
              <w:spacing w:before="50" w:after="50"/>
              <w:rPr>
                <w:b/>
                <w:color w:val="FFFFFF" w:themeColor="background1"/>
              </w:rPr>
            </w:pPr>
            <w:r w:rsidRPr="00B275E2">
              <w:rPr>
                <w:b/>
                <w:color w:val="FFFFFF" w:themeColor="background1"/>
              </w:rPr>
              <w:t>Truck type</w:t>
            </w:r>
          </w:p>
        </w:tc>
        <w:tc>
          <w:tcPr>
            <w:tcW w:w="1571" w:type="dxa"/>
            <w:shd w:val="clear" w:color="auto" w:fill="1B556B" w:themeFill="text2"/>
            <w:vAlign w:val="center"/>
          </w:tcPr>
          <w:p w14:paraId="65092A5A" w14:textId="718038F5" w:rsidR="00C11FE3" w:rsidRPr="00B275E2" w:rsidRDefault="00276910" w:rsidP="007F0B1E">
            <w:pPr>
              <w:pStyle w:val="TableText"/>
              <w:spacing w:before="50" w:after="50"/>
              <w:rPr>
                <w:b/>
                <w:color w:val="FFFFFF" w:themeColor="background1"/>
              </w:rPr>
            </w:pPr>
            <w:r w:rsidRPr="00B275E2">
              <w:rPr>
                <w:b/>
                <w:color w:val="FFFFFF" w:themeColor="background1"/>
              </w:rPr>
              <w:t>Typical gCO</w:t>
            </w:r>
            <w:r w:rsidRPr="00B275E2">
              <w:rPr>
                <w:b/>
                <w:color w:val="FFFFFF" w:themeColor="background1"/>
                <w:vertAlign w:val="subscript"/>
              </w:rPr>
              <w:t>2</w:t>
            </w:r>
            <w:r w:rsidRPr="00B275E2">
              <w:rPr>
                <w:b/>
                <w:color w:val="FFFFFF" w:themeColor="background1"/>
              </w:rPr>
              <w:t>/tkm</w:t>
            </w:r>
          </w:p>
        </w:tc>
        <w:tc>
          <w:tcPr>
            <w:tcW w:w="4257" w:type="dxa"/>
            <w:shd w:val="clear" w:color="auto" w:fill="1B556B" w:themeFill="text2"/>
            <w:vAlign w:val="center"/>
          </w:tcPr>
          <w:p w14:paraId="65092A5B" w14:textId="77777777" w:rsidR="00C11FE3" w:rsidRPr="00B275E2" w:rsidRDefault="00C11FE3" w:rsidP="007F0B1E">
            <w:pPr>
              <w:pStyle w:val="TableText"/>
              <w:spacing w:before="50" w:after="50"/>
              <w:rPr>
                <w:b/>
                <w:color w:val="FFFFFF" w:themeColor="background1"/>
              </w:rPr>
            </w:pPr>
            <w:r w:rsidRPr="00B275E2">
              <w:rPr>
                <w:b/>
                <w:color w:val="FFFFFF" w:themeColor="background1"/>
              </w:rPr>
              <w:t>Source</w:t>
            </w:r>
          </w:p>
        </w:tc>
      </w:tr>
      <w:tr w:rsidR="00C11FE3" w:rsidRPr="00B275E2" w14:paraId="65092A60" w14:textId="77777777" w:rsidTr="00153D76">
        <w:tc>
          <w:tcPr>
            <w:tcW w:w="2677" w:type="dxa"/>
            <w:shd w:val="clear" w:color="auto" w:fill="auto"/>
            <w:vAlign w:val="center"/>
          </w:tcPr>
          <w:p w14:paraId="65092A5D" w14:textId="565D065B" w:rsidR="00C11FE3" w:rsidRPr="00B275E2" w:rsidRDefault="00F97DBC" w:rsidP="007F0B1E">
            <w:pPr>
              <w:pStyle w:val="TableText"/>
              <w:spacing w:before="50" w:after="50"/>
              <w:rPr>
                <w:color w:val="000000" w:themeColor="text1"/>
              </w:rPr>
            </w:pPr>
            <w:r w:rsidRPr="00B275E2">
              <w:rPr>
                <w:rFonts w:cs="Calibri"/>
                <w:color w:val="000000" w:themeColor="text1"/>
              </w:rPr>
              <w:t>Long-haul heavy truck</w:t>
            </w:r>
          </w:p>
        </w:tc>
        <w:tc>
          <w:tcPr>
            <w:tcW w:w="1571" w:type="dxa"/>
            <w:shd w:val="clear" w:color="auto" w:fill="auto"/>
            <w:vAlign w:val="center"/>
          </w:tcPr>
          <w:p w14:paraId="65092A5E" w14:textId="49C9C546" w:rsidR="00C11FE3" w:rsidRPr="00B275E2" w:rsidRDefault="00F97DBC" w:rsidP="007F0B1E">
            <w:pPr>
              <w:pStyle w:val="TableText"/>
              <w:spacing w:before="50" w:after="50"/>
              <w:jc w:val="center"/>
              <w:rPr>
                <w:color w:val="000000" w:themeColor="text1"/>
              </w:rPr>
            </w:pPr>
            <w:r w:rsidRPr="00B275E2">
              <w:rPr>
                <w:rFonts w:cs="Calibri"/>
                <w:color w:val="000000" w:themeColor="text1"/>
              </w:rPr>
              <w:t>105</w:t>
            </w:r>
          </w:p>
        </w:tc>
        <w:tc>
          <w:tcPr>
            <w:tcW w:w="4257" w:type="dxa"/>
            <w:vAlign w:val="center"/>
          </w:tcPr>
          <w:p w14:paraId="65092A5F" w14:textId="5F48182C" w:rsidR="00C11FE3" w:rsidRPr="00B275E2" w:rsidRDefault="00410F2A" w:rsidP="007F0B1E">
            <w:pPr>
              <w:pStyle w:val="TableText"/>
              <w:spacing w:before="50" w:after="50"/>
              <w:rPr>
                <w:color w:val="000000" w:themeColor="text1"/>
              </w:rPr>
            </w:pPr>
            <w:r w:rsidRPr="00B275E2">
              <w:rPr>
                <w:color w:val="000000" w:themeColor="text1"/>
              </w:rPr>
              <w:t>MoT</w:t>
            </w:r>
          </w:p>
        </w:tc>
      </w:tr>
      <w:tr w:rsidR="00C11FE3" w:rsidRPr="00B275E2" w14:paraId="65092A64" w14:textId="77777777" w:rsidTr="00153D76">
        <w:tc>
          <w:tcPr>
            <w:tcW w:w="2677" w:type="dxa"/>
            <w:shd w:val="clear" w:color="auto" w:fill="auto"/>
            <w:vAlign w:val="center"/>
          </w:tcPr>
          <w:p w14:paraId="65092A61" w14:textId="5CA1DDB4" w:rsidR="00C11FE3" w:rsidRPr="00B275E2" w:rsidRDefault="00F97DBC" w:rsidP="007F0B1E">
            <w:pPr>
              <w:pStyle w:val="TableText"/>
              <w:spacing w:before="50" w:after="50"/>
              <w:rPr>
                <w:color w:val="000000" w:themeColor="text1"/>
              </w:rPr>
            </w:pPr>
            <w:r w:rsidRPr="00B275E2">
              <w:rPr>
                <w:rFonts w:cs="Calibri"/>
                <w:color w:val="000000" w:themeColor="text1"/>
              </w:rPr>
              <w:t>Urban delivery heavy truck</w:t>
            </w:r>
          </w:p>
        </w:tc>
        <w:tc>
          <w:tcPr>
            <w:tcW w:w="1571" w:type="dxa"/>
            <w:shd w:val="clear" w:color="auto" w:fill="auto"/>
            <w:vAlign w:val="center"/>
          </w:tcPr>
          <w:p w14:paraId="65092A62" w14:textId="48C322F9" w:rsidR="00C11FE3" w:rsidRPr="00B275E2" w:rsidRDefault="00F97DBC" w:rsidP="007F0B1E">
            <w:pPr>
              <w:pStyle w:val="TableText"/>
              <w:spacing w:before="50" w:after="50"/>
              <w:jc w:val="center"/>
              <w:rPr>
                <w:color w:val="000000" w:themeColor="text1"/>
              </w:rPr>
            </w:pPr>
            <w:r w:rsidRPr="00B275E2">
              <w:rPr>
                <w:rFonts w:cs="Calibri"/>
                <w:color w:val="000000" w:themeColor="text1"/>
              </w:rPr>
              <w:t>390</w:t>
            </w:r>
          </w:p>
        </w:tc>
        <w:tc>
          <w:tcPr>
            <w:tcW w:w="4257" w:type="dxa"/>
            <w:vAlign w:val="center"/>
          </w:tcPr>
          <w:p w14:paraId="65092A63" w14:textId="3919FC88" w:rsidR="00C11FE3" w:rsidRPr="00B275E2" w:rsidRDefault="0018663B" w:rsidP="007F0B1E">
            <w:pPr>
              <w:pStyle w:val="TableText"/>
              <w:spacing w:before="50" w:after="50"/>
              <w:rPr>
                <w:color w:val="000000" w:themeColor="text1"/>
              </w:rPr>
            </w:pPr>
            <w:r w:rsidRPr="00B275E2">
              <w:rPr>
                <w:color w:val="000000" w:themeColor="text1"/>
              </w:rPr>
              <w:t>MoT</w:t>
            </w:r>
          </w:p>
        </w:tc>
      </w:tr>
      <w:tr w:rsidR="00C11FE3" w:rsidRPr="00B275E2" w14:paraId="65092A68" w14:textId="77777777" w:rsidTr="00153D76">
        <w:trPr>
          <w:trHeight w:val="339"/>
        </w:trPr>
        <w:tc>
          <w:tcPr>
            <w:tcW w:w="2677" w:type="dxa"/>
            <w:shd w:val="clear" w:color="auto" w:fill="auto"/>
            <w:vAlign w:val="center"/>
          </w:tcPr>
          <w:p w14:paraId="65092A65" w14:textId="01218978" w:rsidR="00C11FE3" w:rsidRPr="00B275E2" w:rsidRDefault="00F97DBC" w:rsidP="007F0B1E">
            <w:pPr>
              <w:pStyle w:val="TableText"/>
              <w:spacing w:before="50" w:after="50"/>
              <w:rPr>
                <w:color w:val="000000" w:themeColor="text1"/>
              </w:rPr>
            </w:pPr>
            <w:r w:rsidRPr="00B275E2">
              <w:rPr>
                <w:rFonts w:cs="Calibri"/>
                <w:color w:val="000000" w:themeColor="text1"/>
              </w:rPr>
              <w:t>All trucks</w:t>
            </w:r>
          </w:p>
        </w:tc>
        <w:tc>
          <w:tcPr>
            <w:tcW w:w="1571" w:type="dxa"/>
            <w:shd w:val="clear" w:color="auto" w:fill="auto"/>
            <w:vAlign w:val="center"/>
          </w:tcPr>
          <w:p w14:paraId="65092A66" w14:textId="7EA3805B" w:rsidR="00C11FE3" w:rsidRPr="00B275E2" w:rsidRDefault="00F97DBC" w:rsidP="007F0B1E">
            <w:pPr>
              <w:pStyle w:val="TableText"/>
              <w:spacing w:before="50" w:after="50"/>
              <w:jc w:val="center"/>
              <w:rPr>
                <w:color w:val="000000" w:themeColor="text1"/>
              </w:rPr>
            </w:pPr>
            <w:r w:rsidRPr="00B275E2">
              <w:rPr>
                <w:rFonts w:cs="Calibri"/>
                <w:color w:val="000000" w:themeColor="text1"/>
              </w:rPr>
              <w:t>135</w:t>
            </w:r>
          </w:p>
        </w:tc>
        <w:tc>
          <w:tcPr>
            <w:tcW w:w="4257" w:type="dxa"/>
            <w:vAlign w:val="center"/>
          </w:tcPr>
          <w:p w14:paraId="65092A67" w14:textId="52BEFE06" w:rsidR="003079FA" w:rsidRPr="00B275E2" w:rsidRDefault="0018663B" w:rsidP="007F0B1E">
            <w:pPr>
              <w:pStyle w:val="TableText"/>
              <w:spacing w:before="50" w:after="50"/>
              <w:rPr>
                <w:color w:val="000000" w:themeColor="text1"/>
              </w:rPr>
            </w:pPr>
            <w:r w:rsidRPr="00B275E2">
              <w:rPr>
                <w:color w:val="000000" w:themeColor="text1"/>
              </w:rPr>
              <w:t>MoT</w:t>
            </w:r>
          </w:p>
        </w:tc>
      </w:tr>
    </w:tbl>
    <w:p w14:paraId="65092A6A" w14:textId="0F899BB3" w:rsidR="00E1750F" w:rsidRPr="00B275E2" w:rsidRDefault="00C7626B" w:rsidP="007F0B1E">
      <w:pPr>
        <w:pStyle w:val="BodyText"/>
        <w:spacing w:before="240"/>
      </w:pPr>
      <w:r w:rsidRPr="00B275E2">
        <w:t>As m</w:t>
      </w:r>
      <w:r w:rsidR="00F919E2" w:rsidRPr="00B275E2">
        <w:t>ost</w:t>
      </w:r>
      <w:r w:rsidR="00E1750F" w:rsidRPr="00B275E2">
        <w:t xml:space="preserve"> heavy goods vehicles are diesel</w:t>
      </w:r>
      <w:r w:rsidR="00176139" w:rsidRPr="00B275E2">
        <w:t>,</w:t>
      </w:r>
      <w:r w:rsidR="00E1750F" w:rsidRPr="00B275E2">
        <w:t xml:space="preserve"> </w:t>
      </w:r>
      <w:r w:rsidR="00404C14" w:rsidRPr="00B275E2">
        <w:t xml:space="preserve">we used </w:t>
      </w:r>
      <w:r w:rsidR="00E1750F" w:rsidRPr="00B275E2">
        <w:t xml:space="preserve">the information </w:t>
      </w:r>
      <w:r w:rsidR="00434DCE" w:rsidRPr="00B275E2">
        <w:t>in</w:t>
      </w:r>
      <w:r w:rsidR="00AD608A" w:rsidRPr="00B275E2">
        <w:t xml:space="preserve"> table </w:t>
      </w:r>
      <w:r w:rsidR="00196097" w:rsidRPr="00B275E2">
        <w:t>6</w:t>
      </w:r>
      <w:r w:rsidR="00521227">
        <w:t>4</w:t>
      </w:r>
      <w:r w:rsidR="00434DCE" w:rsidRPr="00B275E2">
        <w:rPr>
          <w:color w:val="32809C" w:themeColor="accent2"/>
        </w:rPr>
        <w:t xml:space="preserve"> </w:t>
      </w:r>
      <w:r w:rsidR="00E1750F" w:rsidRPr="00B275E2">
        <w:t>to calculate the ratio of carbon</w:t>
      </w:r>
      <w:r w:rsidR="00F919E2" w:rsidRPr="00B275E2">
        <w:t xml:space="preserve"> dioxide,</w:t>
      </w:r>
      <w:r w:rsidR="00E1750F" w:rsidRPr="00B275E2">
        <w:t xml:space="preserve"> methane</w:t>
      </w:r>
      <w:r w:rsidR="00F919E2" w:rsidRPr="00B275E2">
        <w:t xml:space="preserve"> and</w:t>
      </w:r>
      <w:r w:rsidR="00E1750F" w:rsidRPr="00B275E2">
        <w:t xml:space="preserve"> nitrous oxide.</w:t>
      </w:r>
    </w:p>
    <w:p w14:paraId="65092A6B" w14:textId="4EC76FE2" w:rsidR="00434DCE" w:rsidRPr="00B275E2" w:rsidRDefault="00EB4389" w:rsidP="00153D76">
      <w:pPr>
        <w:pStyle w:val="Tableheading"/>
      </w:pPr>
      <w:bookmarkStart w:id="484" w:name="_Ref57106701"/>
      <w:bookmarkStart w:id="485" w:name="_Toc111536669"/>
      <w:r w:rsidRPr="00B275E2">
        <w:lastRenderedPageBreak/>
        <w:t xml:space="preserve">Table </w:t>
      </w:r>
      <w:r w:rsidRPr="00B275E2">
        <w:fldChar w:fldCharType="begin"/>
      </w:r>
      <w:r w:rsidRPr="00B275E2">
        <w:instrText>SEQ Table \* ARABIC</w:instrText>
      </w:r>
      <w:r w:rsidRPr="00B275E2">
        <w:fldChar w:fldCharType="separate"/>
      </w:r>
      <w:r>
        <w:rPr>
          <w:noProof/>
        </w:rPr>
        <w:t>64</w:t>
      </w:r>
      <w:r w:rsidRPr="00B275E2">
        <w:fldChar w:fldCharType="end"/>
      </w:r>
      <w:r w:rsidRPr="00B275E2">
        <w:t>:</w:t>
      </w:r>
      <w:r w:rsidRPr="00B275E2">
        <w:tab/>
      </w:r>
      <w:r w:rsidR="00434DCE" w:rsidRPr="00B275E2">
        <w:t>Calculating the ratio of gases in diesel</w:t>
      </w:r>
      <w:bookmarkEnd w:id="484"/>
      <w:bookmarkEnd w:id="485"/>
    </w:p>
    <w:tbl>
      <w:tblPr>
        <w:tblStyle w:val="TableGrid"/>
        <w:tblW w:w="8505" w:type="dxa"/>
        <w:tblInd w:w="20"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ayout w:type="fixed"/>
        <w:tblLook w:val="04A0" w:firstRow="1" w:lastRow="0" w:firstColumn="1" w:lastColumn="0" w:noHBand="0" w:noVBand="1"/>
      </w:tblPr>
      <w:tblGrid>
        <w:gridCol w:w="2685"/>
        <w:gridCol w:w="1455"/>
        <w:gridCol w:w="1455"/>
        <w:gridCol w:w="1455"/>
        <w:gridCol w:w="1455"/>
      </w:tblGrid>
      <w:tr w:rsidR="001C726B" w:rsidRPr="00B275E2" w14:paraId="65092A71" w14:textId="77777777" w:rsidTr="00153D76">
        <w:trPr>
          <w:trHeight w:val="20"/>
        </w:trPr>
        <w:tc>
          <w:tcPr>
            <w:tcW w:w="2722" w:type="dxa"/>
            <w:shd w:val="clear" w:color="auto" w:fill="1B556B" w:themeFill="text2"/>
            <w:vAlign w:val="bottom"/>
          </w:tcPr>
          <w:p w14:paraId="65092A6C" w14:textId="77777777" w:rsidR="00D02A49" w:rsidRPr="00B275E2" w:rsidRDefault="00D02A49" w:rsidP="007F0B1E">
            <w:pPr>
              <w:pStyle w:val="TableText"/>
              <w:spacing w:before="50" w:after="50"/>
              <w:rPr>
                <w:b/>
                <w:color w:val="FFFFFF" w:themeColor="background1"/>
              </w:rPr>
            </w:pPr>
            <w:r w:rsidRPr="00B275E2">
              <w:rPr>
                <w:b/>
                <w:color w:val="FFFFFF" w:themeColor="background1"/>
              </w:rPr>
              <w:t>Information</w:t>
            </w:r>
          </w:p>
        </w:tc>
        <w:tc>
          <w:tcPr>
            <w:tcW w:w="1474" w:type="dxa"/>
            <w:shd w:val="clear" w:color="auto" w:fill="1B556B" w:themeFill="text2"/>
            <w:vAlign w:val="bottom"/>
          </w:tcPr>
          <w:p w14:paraId="65092A6D" w14:textId="77C7423B" w:rsidR="00D02A49" w:rsidRPr="00B275E2" w:rsidRDefault="00D02A49" w:rsidP="007F0B1E">
            <w:pPr>
              <w:pStyle w:val="TableText"/>
              <w:spacing w:before="50" w:after="50"/>
              <w:jc w:val="right"/>
              <w:rPr>
                <w:b/>
                <w:color w:val="FFFFFF" w:themeColor="background1"/>
              </w:rPr>
            </w:pPr>
            <w:r w:rsidRPr="00B275E2">
              <w:rPr>
                <w:b/>
                <w:color w:val="FFFFFF" w:themeColor="background1"/>
              </w:rPr>
              <w:t>kg CO</w:t>
            </w:r>
            <w:r w:rsidRPr="00B275E2">
              <w:rPr>
                <w:b/>
                <w:color w:val="FFFFFF" w:themeColor="background1"/>
                <w:vertAlign w:val="subscript"/>
              </w:rPr>
              <w:t>2</w:t>
            </w:r>
            <w:r w:rsidRPr="00B275E2">
              <w:rPr>
                <w:b/>
                <w:color w:val="FFFFFF" w:themeColor="background1"/>
              </w:rPr>
              <w:t>-e</w:t>
            </w:r>
            <w:r w:rsidR="00AF162E" w:rsidRPr="00B275E2">
              <w:rPr>
                <w:b/>
                <w:color w:val="FFFFFF" w:themeColor="background1"/>
              </w:rPr>
              <w:t>/litre</w:t>
            </w:r>
          </w:p>
        </w:tc>
        <w:tc>
          <w:tcPr>
            <w:tcW w:w="1474" w:type="dxa"/>
            <w:shd w:val="clear" w:color="auto" w:fill="1B556B" w:themeFill="text2"/>
            <w:vAlign w:val="bottom"/>
          </w:tcPr>
          <w:p w14:paraId="65092A6E" w14:textId="0745FD61" w:rsidR="00D02A49" w:rsidRPr="00B275E2" w:rsidRDefault="00D02A49" w:rsidP="007F0B1E">
            <w:pPr>
              <w:pStyle w:val="TableText"/>
              <w:spacing w:before="50" w:after="50"/>
              <w:jc w:val="right"/>
              <w:rPr>
                <w:b/>
                <w:color w:val="FFFFFF" w:themeColor="background1"/>
              </w:rPr>
            </w:pPr>
            <w:r w:rsidRPr="00B275E2">
              <w:rPr>
                <w:b/>
                <w:color w:val="FFFFFF" w:themeColor="background1"/>
              </w:rPr>
              <w:t>kg CO</w:t>
            </w:r>
            <w:r w:rsidRPr="00B275E2">
              <w:rPr>
                <w:b/>
                <w:color w:val="FFFFFF" w:themeColor="background1"/>
                <w:vertAlign w:val="subscript"/>
              </w:rPr>
              <w:t>2</w:t>
            </w:r>
            <w:r w:rsidR="00AF162E" w:rsidRPr="00B275E2">
              <w:rPr>
                <w:b/>
                <w:color w:val="FFFFFF" w:themeColor="background1"/>
              </w:rPr>
              <w:t>/litre</w:t>
            </w:r>
          </w:p>
        </w:tc>
        <w:tc>
          <w:tcPr>
            <w:tcW w:w="1474" w:type="dxa"/>
            <w:shd w:val="clear" w:color="auto" w:fill="1B556B" w:themeFill="text2"/>
            <w:vAlign w:val="bottom"/>
          </w:tcPr>
          <w:p w14:paraId="65092A6F" w14:textId="68CBED5F" w:rsidR="00D02A49" w:rsidRPr="00B275E2" w:rsidRDefault="00D02A49" w:rsidP="007F0B1E">
            <w:pPr>
              <w:pStyle w:val="TableText"/>
              <w:spacing w:before="50" w:after="50"/>
              <w:jc w:val="right"/>
              <w:rPr>
                <w:b/>
                <w:color w:val="FFFFFF" w:themeColor="background1"/>
              </w:rPr>
            </w:pPr>
            <w:r w:rsidRPr="00B275E2">
              <w:rPr>
                <w:b/>
                <w:color w:val="FFFFFF" w:themeColor="background1"/>
              </w:rPr>
              <w:t>kg CH</w:t>
            </w:r>
            <w:r w:rsidRPr="00B275E2">
              <w:rPr>
                <w:b/>
                <w:color w:val="FFFFFF" w:themeColor="background1"/>
                <w:vertAlign w:val="subscript"/>
              </w:rPr>
              <w:t>4</w:t>
            </w:r>
            <w:r w:rsidR="00724C42" w:rsidRPr="00B275E2">
              <w:rPr>
                <w:b/>
                <w:color w:val="FFFFFF" w:themeColor="background1"/>
                <w:vertAlign w:val="subscript"/>
              </w:rPr>
              <w:t xml:space="preserve"> </w:t>
            </w:r>
            <w:r w:rsidR="00D65119" w:rsidRPr="00B275E2">
              <w:rPr>
                <w:b/>
                <w:color w:val="FFFFFF" w:themeColor="background1"/>
                <w:vertAlign w:val="subscript"/>
              </w:rPr>
              <w:br/>
            </w:r>
            <w:r w:rsidR="00915529" w:rsidRPr="00B275E2">
              <w:rPr>
                <w:b/>
                <w:color w:val="FFFFFF" w:themeColor="background1"/>
              </w:rPr>
              <w:t>(</w:t>
            </w:r>
            <w:r w:rsidR="00546F2A" w:rsidRPr="00B275E2">
              <w:rPr>
                <w:b/>
                <w:color w:val="FFFFFF" w:themeColor="background1"/>
              </w:rPr>
              <w:t>kg</w:t>
            </w:r>
            <w:r w:rsidR="00915529" w:rsidRPr="00B275E2">
              <w:rPr>
                <w:b/>
                <w:color w:val="FFFFFF" w:themeColor="background1"/>
              </w:rPr>
              <w:t xml:space="preserve"> CO</w:t>
            </w:r>
            <w:r w:rsidR="00915529" w:rsidRPr="00B275E2">
              <w:rPr>
                <w:b/>
                <w:color w:val="FFFFFF" w:themeColor="background1"/>
                <w:vertAlign w:val="subscript"/>
              </w:rPr>
              <w:t>2</w:t>
            </w:r>
            <w:r w:rsidR="00AF162E" w:rsidRPr="00B275E2">
              <w:rPr>
                <w:b/>
                <w:color w:val="FFFFFF" w:themeColor="background1"/>
              </w:rPr>
              <w:t>-</w:t>
            </w:r>
            <w:r w:rsidR="00915529" w:rsidRPr="00B275E2">
              <w:rPr>
                <w:b/>
                <w:color w:val="FFFFFF" w:themeColor="background1"/>
              </w:rPr>
              <w:t>e)</w:t>
            </w:r>
            <w:r w:rsidR="00AF162E" w:rsidRPr="00B275E2">
              <w:rPr>
                <w:b/>
                <w:color w:val="FFFFFF" w:themeColor="background1"/>
              </w:rPr>
              <w:t xml:space="preserve"> / litre</w:t>
            </w:r>
          </w:p>
        </w:tc>
        <w:tc>
          <w:tcPr>
            <w:tcW w:w="1474" w:type="dxa"/>
            <w:shd w:val="clear" w:color="auto" w:fill="1B556B" w:themeFill="text2"/>
            <w:vAlign w:val="bottom"/>
          </w:tcPr>
          <w:p w14:paraId="65092A70" w14:textId="2B2EF133" w:rsidR="00D02A49" w:rsidRPr="00B275E2" w:rsidRDefault="00D02A49" w:rsidP="007F0B1E">
            <w:pPr>
              <w:pStyle w:val="TableText"/>
              <w:spacing w:before="50" w:after="50"/>
              <w:jc w:val="right"/>
              <w:rPr>
                <w:b/>
                <w:color w:val="FFFFFF" w:themeColor="background1"/>
              </w:rPr>
            </w:pPr>
            <w:r w:rsidRPr="00B275E2">
              <w:rPr>
                <w:b/>
                <w:color w:val="FFFFFF" w:themeColor="background1"/>
              </w:rPr>
              <w:t xml:space="preserve">kg </w:t>
            </w:r>
            <w:r w:rsidR="00035F53" w:rsidRPr="00B275E2">
              <w:rPr>
                <w:b/>
                <w:color w:val="FFFFFF" w:themeColor="background1"/>
              </w:rPr>
              <w:t>N</w:t>
            </w:r>
            <w:r w:rsidR="00035F53" w:rsidRPr="00B275E2">
              <w:rPr>
                <w:b/>
                <w:color w:val="FFFFFF" w:themeColor="background1"/>
                <w:vertAlign w:val="subscript"/>
              </w:rPr>
              <w:t>2</w:t>
            </w:r>
            <w:r w:rsidR="00035F53" w:rsidRPr="00B275E2">
              <w:rPr>
                <w:b/>
                <w:color w:val="FFFFFF" w:themeColor="background1"/>
              </w:rPr>
              <w:t>O</w:t>
            </w:r>
            <w:r w:rsidR="00301510" w:rsidRPr="00B275E2">
              <w:rPr>
                <w:b/>
                <w:color w:val="FFFFFF" w:themeColor="background1"/>
              </w:rPr>
              <w:t xml:space="preserve"> </w:t>
            </w:r>
            <w:r w:rsidR="00D65119" w:rsidRPr="00B275E2">
              <w:rPr>
                <w:b/>
                <w:color w:val="FFFFFF" w:themeColor="background1"/>
              </w:rPr>
              <w:br/>
            </w:r>
            <w:r w:rsidR="00915529" w:rsidRPr="00B275E2">
              <w:rPr>
                <w:b/>
                <w:color w:val="FFFFFF" w:themeColor="background1"/>
              </w:rPr>
              <w:t>(</w:t>
            </w:r>
            <w:r w:rsidR="00546F2A" w:rsidRPr="00B275E2">
              <w:rPr>
                <w:b/>
                <w:color w:val="FFFFFF" w:themeColor="background1"/>
              </w:rPr>
              <w:t>kg</w:t>
            </w:r>
            <w:r w:rsidR="00915529" w:rsidRPr="00B275E2">
              <w:rPr>
                <w:b/>
                <w:color w:val="FFFFFF" w:themeColor="background1"/>
              </w:rPr>
              <w:t xml:space="preserve"> CO</w:t>
            </w:r>
            <w:r w:rsidR="00915529" w:rsidRPr="00B275E2">
              <w:rPr>
                <w:b/>
                <w:color w:val="FFFFFF" w:themeColor="background1"/>
                <w:vertAlign w:val="subscript"/>
              </w:rPr>
              <w:t>2</w:t>
            </w:r>
            <w:r w:rsidR="00AF162E" w:rsidRPr="00B275E2">
              <w:rPr>
                <w:b/>
                <w:color w:val="FFFFFF" w:themeColor="background1"/>
              </w:rPr>
              <w:t>-</w:t>
            </w:r>
            <w:r w:rsidR="00915529" w:rsidRPr="00B275E2">
              <w:rPr>
                <w:b/>
                <w:color w:val="FFFFFF" w:themeColor="background1"/>
              </w:rPr>
              <w:t>e)</w:t>
            </w:r>
            <w:r w:rsidR="00AF162E" w:rsidRPr="00B275E2">
              <w:rPr>
                <w:b/>
                <w:color w:val="FFFFFF" w:themeColor="background1"/>
              </w:rPr>
              <w:t xml:space="preserve"> / litre</w:t>
            </w:r>
          </w:p>
        </w:tc>
      </w:tr>
      <w:tr w:rsidR="001C726B" w:rsidRPr="00B275E2" w14:paraId="65092A77" w14:textId="77777777" w:rsidTr="00153D76">
        <w:trPr>
          <w:trHeight w:val="20"/>
        </w:trPr>
        <w:tc>
          <w:tcPr>
            <w:tcW w:w="2722" w:type="dxa"/>
          </w:tcPr>
          <w:p w14:paraId="65092A72" w14:textId="2D896A8A" w:rsidR="00D02A49" w:rsidRPr="00B275E2" w:rsidRDefault="00D02A49" w:rsidP="007F0B1E">
            <w:pPr>
              <w:pStyle w:val="TableText"/>
              <w:spacing w:before="50" w:after="50"/>
            </w:pPr>
            <w:r w:rsidRPr="00B275E2">
              <w:t>Diesel emission factors</w:t>
            </w:r>
          </w:p>
        </w:tc>
        <w:tc>
          <w:tcPr>
            <w:tcW w:w="1474" w:type="dxa"/>
            <w:shd w:val="clear" w:color="auto" w:fill="auto"/>
            <w:vAlign w:val="bottom"/>
          </w:tcPr>
          <w:p w14:paraId="65092A73" w14:textId="77777777" w:rsidR="00D02A49" w:rsidRPr="00B275E2" w:rsidRDefault="00D02A49" w:rsidP="007F0B1E">
            <w:pPr>
              <w:pStyle w:val="TableText"/>
              <w:spacing w:before="50" w:after="50"/>
              <w:jc w:val="right"/>
            </w:pPr>
            <w:r w:rsidRPr="00B275E2">
              <w:t>2.6939</w:t>
            </w:r>
          </w:p>
        </w:tc>
        <w:tc>
          <w:tcPr>
            <w:tcW w:w="1474" w:type="dxa"/>
            <w:shd w:val="clear" w:color="auto" w:fill="auto"/>
            <w:vAlign w:val="bottom"/>
          </w:tcPr>
          <w:p w14:paraId="65092A74" w14:textId="77777777" w:rsidR="00D02A49" w:rsidRPr="00B275E2" w:rsidRDefault="00D02A49" w:rsidP="007F0B1E">
            <w:pPr>
              <w:pStyle w:val="TableText"/>
              <w:spacing w:before="50" w:after="50"/>
              <w:jc w:val="right"/>
            </w:pPr>
            <w:r w:rsidRPr="00B275E2">
              <w:t>2.6482</w:t>
            </w:r>
          </w:p>
        </w:tc>
        <w:tc>
          <w:tcPr>
            <w:tcW w:w="1474" w:type="dxa"/>
            <w:shd w:val="clear" w:color="auto" w:fill="auto"/>
            <w:vAlign w:val="bottom"/>
          </w:tcPr>
          <w:p w14:paraId="65092A75" w14:textId="77777777" w:rsidR="00D02A49" w:rsidRPr="00B275E2" w:rsidRDefault="00D02A49" w:rsidP="007F0B1E">
            <w:pPr>
              <w:pStyle w:val="TableText"/>
              <w:spacing w:before="50" w:after="50"/>
              <w:jc w:val="right"/>
            </w:pPr>
            <w:r w:rsidRPr="00B275E2">
              <w:t>0.0035</w:t>
            </w:r>
          </w:p>
        </w:tc>
        <w:tc>
          <w:tcPr>
            <w:tcW w:w="1474" w:type="dxa"/>
            <w:shd w:val="clear" w:color="auto" w:fill="auto"/>
            <w:vAlign w:val="bottom"/>
          </w:tcPr>
          <w:p w14:paraId="65092A76" w14:textId="77777777" w:rsidR="00D02A49" w:rsidRPr="00B275E2" w:rsidRDefault="00D02A49" w:rsidP="007F0B1E">
            <w:pPr>
              <w:pStyle w:val="TableText"/>
              <w:spacing w:before="50" w:after="50"/>
              <w:jc w:val="right"/>
            </w:pPr>
            <w:r w:rsidRPr="00B275E2">
              <w:t>0.0422</w:t>
            </w:r>
          </w:p>
        </w:tc>
      </w:tr>
      <w:tr w:rsidR="001C726B" w:rsidRPr="00B275E2" w14:paraId="65092A86" w14:textId="77777777" w:rsidTr="00153D76">
        <w:trPr>
          <w:trHeight w:val="20"/>
        </w:trPr>
        <w:tc>
          <w:tcPr>
            <w:tcW w:w="2722" w:type="dxa"/>
          </w:tcPr>
          <w:p w14:paraId="65092A7E" w14:textId="3CEC875F" w:rsidR="00D02A49" w:rsidRPr="00B275E2" w:rsidRDefault="000F59BC" w:rsidP="007F0B1E">
            <w:pPr>
              <w:pStyle w:val="TableText"/>
              <w:spacing w:before="50" w:after="50"/>
            </w:pPr>
            <w:r w:rsidRPr="00B275E2">
              <w:t>% of gas type</w:t>
            </w:r>
            <w:r w:rsidR="00D02A49" w:rsidRPr="00B275E2">
              <w:t xml:space="preserve"> to calculate losses</w:t>
            </w:r>
          </w:p>
        </w:tc>
        <w:tc>
          <w:tcPr>
            <w:tcW w:w="1474" w:type="dxa"/>
          </w:tcPr>
          <w:p w14:paraId="65092A7F" w14:textId="5DC6C324" w:rsidR="00D02A49" w:rsidRPr="00B275E2" w:rsidRDefault="003B27A7" w:rsidP="007F0B1E">
            <w:pPr>
              <w:pStyle w:val="TableText"/>
              <w:spacing w:before="50" w:after="50"/>
              <w:jc w:val="right"/>
            </w:pPr>
            <w:r w:rsidRPr="00B275E2">
              <w:t>–</w:t>
            </w:r>
          </w:p>
        </w:tc>
        <w:tc>
          <w:tcPr>
            <w:tcW w:w="1474" w:type="dxa"/>
          </w:tcPr>
          <w:p w14:paraId="65092A81" w14:textId="55D41766" w:rsidR="00D02A49" w:rsidRPr="00B275E2" w:rsidRDefault="000F59BC" w:rsidP="007F0B1E">
            <w:pPr>
              <w:pStyle w:val="TableText"/>
              <w:spacing w:before="50" w:after="50"/>
              <w:jc w:val="right"/>
            </w:pPr>
            <w:r w:rsidRPr="00B275E2">
              <w:t>98.3%</w:t>
            </w:r>
          </w:p>
        </w:tc>
        <w:tc>
          <w:tcPr>
            <w:tcW w:w="1474" w:type="dxa"/>
          </w:tcPr>
          <w:p w14:paraId="65092A83" w14:textId="019FC4F2" w:rsidR="00D02A49" w:rsidRPr="00B275E2" w:rsidRDefault="00D02A49" w:rsidP="007F0B1E">
            <w:pPr>
              <w:pStyle w:val="TableText"/>
              <w:spacing w:before="50" w:after="50"/>
              <w:jc w:val="right"/>
            </w:pPr>
            <w:r w:rsidRPr="00B275E2">
              <w:t>0.</w:t>
            </w:r>
            <w:r w:rsidR="000F59BC" w:rsidRPr="00B275E2">
              <w:t>13%</w:t>
            </w:r>
          </w:p>
        </w:tc>
        <w:tc>
          <w:tcPr>
            <w:tcW w:w="1474" w:type="dxa"/>
          </w:tcPr>
          <w:p w14:paraId="65092A85" w14:textId="6D7CEA16" w:rsidR="00D02A49" w:rsidRPr="00B275E2" w:rsidRDefault="000F59BC" w:rsidP="007F0B1E">
            <w:pPr>
              <w:pStyle w:val="TableText"/>
              <w:spacing w:before="50" w:after="50"/>
              <w:jc w:val="right"/>
            </w:pPr>
            <w:r w:rsidRPr="00B275E2">
              <w:t>1.57%</w:t>
            </w:r>
          </w:p>
        </w:tc>
      </w:tr>
    </w:tbl>
    <w:p w14:paraId="60D5A208" w14:textId="28477C70" w:rsidR="00746EEA" w:rsidRPr="00B275E2" w:rsidRDefault="00746EEA" w:rsidP="007F0B1E">
      <w:pPr>
        <w:pStyle w:val="Note"/>
      </w:pPr>
      <w:r w:rsidRPr="00B275E2">
        <w:t>Note</w:t>
      </w:r>
      <w:r w:rsidR="00E97D2C" w:rsidRPr="00B275E2">
        <w:t>:</w:t>
      </w:r>
      <w:r w:rsidRPr="00B275E2">
        <w:t xml:space="preserve"> </w:t>
      </w:r>
      <w:r w:rsidR="00E97D2C" w:rsidRPr="00B275E2">
        <w:t xml:space="preserve">These </w:t>
      </w:r>
      <w:r w:rsidRPr="00B275E2">
        <w:t xml:space="preserve">numbers are rounded to three </w:t>
      </w:r>
      <w:r w:rsidR="00915529" w:rsidRPr="00B275E2">
        <w:t>significant</w:t>
      </w:r>
      <w:r w:rsidRPr="00B275E2">
        <w:t xml:space="preserve"> figures.</w:t>
      </w:r>
      <w:r w:rsidR="00724C42" w:rsidRPr="00B275E2">
        <w:t xml:space="preserve"> </w:t>
      </w:r>
    </w:p>
    <w:p w14:paraId="65092A87" w14:textId="38E971CE" w:rsidR="00E1750F" w:rsidRPr="00B275E2" w:rsidRDefault="00AE5DF1" w:rsidP="007F0B1E">
      <w:pPr>
        <w:pStyle w:val="BodyText"/>
      </w:pPr>
      <w:r w:rsidRPr="00B275E2">
        <w:t>We multiplied t</w:t>
      </w:r>
      <w:r w:rsidR="00F919E2" w:rsidRPr="00B275E2">
        <w:t xml:space="preserve">he </w:t>
      </w:r>
      <w:r w:rsidR="00914819" w:rsidRPr="00B275E2">
        <w:t>0.13</w:t>
      </w:r>
      <w:r w:rsidR="005464BF" w:rsidRPr="00B275E2">
        <w:t>5</w:t>
      </w:r>
      <w:r w:rsidR="00F919E2" w:rsidRPr="00B275E2">
        <w:t xml:space="preserve"> </w:t>
      </w:r>
      <w:r w:rsidR="00CA1E67" w:rsidRPr="00B275E2">
        <w:t>kg</w:t>
      </w:r>
      <w:r w:rsidR="00F919E2" w:rsidRPr="00B275E2">
        <w:t xml:space="preserve"> </w:t>
      </w:r>
      <w:r w:rsidR="00CA1E67" w:rsidRPr="00B275E2">
        <w:t>CO</w:t>
      </w:r>
      <w:r w:rsidR="00CA1E67" w:rsidRPr="00B275E2">
        <w:rPr>
          <w:vertAlign w:val="subscript"/>
        </w:rPr>
        <w:t>2</w:t>
      </w:r>
      <w:r w:rsidR="00F919E2" w:rsidRPr="00B275E2">
        <w:t>-</w:t>
      </w:r>
      <w:r w:rsidR="00CA1E67" w:rsidRPr="00B275E2">
        <w:t>e</w:t>
      </w:r>
      <w:r w:rsidR="00F919E2" w:rsidRPr="00B275E2">
        <w:t xml:space="preserve"> </w:t>
      </w:r>
      <w:r w:rsidR="00B249BA" w:rsidRPr="00B275E2">
        <w:rPr>
          <w:rFonts w:cs="Calibri"/>
          <w:shd w:val="clear" w:color="auto" w:fill="FFFFFF"/>
        </w:rPr>
        <w:t xml:space="preserve">(Road Freight: Example Calculation box) </w:t>
      </w:r>
      <w:r w:rsidR="00F919E2" w:rsidRPr="00B275E2">
        <w:t>result</w:t>
      </w:r>
      <w:r w:rsidR="00CA1E67" w:rsidRPr="00B275E2">
        <w:t xml:space="preserve"> by the calculated factor to provide emission factors broken down by gas type.</w:t>
      </w:r>
    </w:p>
    <w:p w14:paraId="65092A88" w14:textId="6E9643F1" w:rsidR="0054105F" w:rsidRPr="00B275E2" w:rsidRDefault="500DFA64" w:rsidP="006B7605">
      <w:pPr>
        <w:pStyle w:val="Heading3"/>
      </w:pPr>
      <w:bookmarkStart w:id="486" w:name="_Toc532904922"/>
      <w:r>
        <w:t>Assumptions, limitations and uncertainties</w:t>
      </w:r>
      <w:bookmarkEnd w:id="486"/>
    </w:p>
    <w:p w14:paraId="2851D48C" w14:textId="45D19E64" w:rsidR="000C15EB" w:rsidRPr="00B275E2" w:rsidRDefault="000C15EB" w:rsidP="007F0B1E">
      <w:pPr>
        <w:pStyle w:val="BodyText"/>
      </w:pPr>
      <w:r w:rsidRPr="00B275E2">
        <w:t xml:space="preserve">The </w:t>
      </w:r>
      <w:r w:rsidR="00FF0409" w:rsidRPr="00B275E2">
        <w:t>Vehicle Fleet Emissions Model (</w:t>
      </w:r>
      <w:r w:rsidRPr="00B275E2">
        <w:t>VFEM</w:t>
      </w:r>
      <w:r w:rsidR="00FF0409" w:rsidRPr="00B275E2">
        <w:t>)</w:t>
      </w:r>
      <w:r w:rsidRPr="00B275E2">
        <w:t xml:space="preserve"> historical year results have been carefully calibrated to give a total road fuel use </w:t>
      </w:r>
      <w:r w:rsidR="00E50234" w:rsidRPr="00B275E2">
        <w:t>that</w:t>
      </w:r>
      <w:r w:rsidRPr="00B275E2">
        <w:t xml:space="preserve"> matches MBIE’s road fuel sales figures. </w:t>
      </w:r>
      <w:r w:rsidR="00E50234" w:rsidRPr="00B275E2">
        <w:t>T</w:t>
      </w:r>
      <w:r w:rsidRPr="00B275E2">
        <w:t>he major source of uncertainty</w:t>
      </w:r>
      <w:r w:rsidR="00E50234" w:rsidRPr="00B275E2">
        <w:t xml:space="preserve"> for the freighting goods emission factor </w:t>
      </w:r>
      <w:r w:rsidRPr="00B275E2">
        <w:t xml:space="preserve">is that net tonne-kilometres must be inferred from truck road user charge </w:t>
      </w:r>
      <w:r w:rsidR="001F3BCC">
        <w:t xml:space="preserve">(RUC) </w:t>
      </w:r>
      <w:r w:rsidRPr="00B275E2">
        <w:t xml:space="preserve">returns and the NZTA’s truck weigh-in-motion statistics. </w:t>
      </w:r>
    </w:p>
    <w:p w14:paraId="603A5F13" w14:textId="593DDC05" w:rsidR="00FB003E" w:rsidRPr="00B275E2" w:rsidRDefault="00FB003E" w:rsidP="007F0B1E">
      <w:pPr>
        <w:pStyle w:val="BodyText"/>
      </w:pPr>
      <w:r w:rsidRPr="00B275E2">
        <w:t>The sources used to develop these emission factors will have inbuilt assumptions, limitations and uncertainties</w:t>
      </w:r>
      <w:r w:rsidR="00C7626B" w:rsidRPr="00B275E2">
        <w:t>. To investigate these, see</w:t>
      </w:r>
      <w:r w:rsidRPr="00B275E2">
        <w:t xml:space="preserve"> the documents referenced.</w:t>
      </w:r>
    </w:p>
    <w:p w14:paraId="65092A8E" w14:textId="5FBDDBF0" w:rsidR="00321918" w:rsidRPr="00B275E2" w:rsidRDefault="00321918" w:rsidP="00C24B73">
      <w:pPr>
        <w:pStyle w:val="Heading2"/>
        <w:numPr>
          <w:ilvl w:val="0"/>
          <w:numId w:val="29"/>
        </w:numPr>
      </w:pPr>
      <w:bookmarkStart w:id="487" w:name="_Toc532904923"/>
      <w:bookmarkStart w:id="488" w:name="_Toc600590"/>
      <w:bookmarkStart w:id="489" w:name="_Toc111536803"/>
      <w:r w:rsidRPr="00B275E2">
        <w:t xml:space="preserve">Rail </w:t>
      </w:r>
      <w:bookmarkEnd w:id="487"/>
      <w:r w:rsidR="00322289" w:rsidRPr="00B275E2">
        <w:t>freight</w:t>
      </w:r>
      <w:bookmarkEnd w:id="488"/>
      <w:bookmarkEnd w:id="489"/>
      <w:r w:rsidR="00322289" w:rsidRPr="00B275E2">
        <w:t xml:space="preserve"> </w:t>
      </w:r>
    </w:p>
    <w:p w14:paraId="65092A8F" w14:textId="2D26D056" w:rsidR="003079FA" w:rsidRPr="00B275E2" w:rsidRDefault="003079FA" w:rsidP="007F0B1E">
      <w:pPr>
        <w:pStyle w:val="BodyText"/>
      </w:pPr>
      <w:r w:rsidRPr="00B275E2">
        <w:t>In New Zealand</w:t>
      </w:r>
      <w:r w:rsidR="00C7626B" w:rsidRPr="00B275E2">
        <w:t>,</w:t>
      </w:r>
      <w:r w:rsidRPr="00B275E2">
        <w:t xml:space="preserve"> </w:t>
      </w:r>
      <w:r w:rsidR="003E38BD" w:rsidRPr="00B275E2">
        <w:t xml:space="preserve">KiwiRail owns </w:t>
      </w:r>
      <w:r w:rsidRPr="00B275E2">
        <w:t>th</w:t>
      </w:r>
      <w:r w:rsidR="003E38BD" w:rsidRPr="00B275E2">
        <w:t>e rail</w:t>
      </w:r>
      <w:r w:rsidRPr="00B275E2">
        <w:t xml:space="preserve"> infrastructure </w:t>
      </w:r>
      <w:r w:rsidR="003E38BD" w:rsidRPr="00B275E2">
        <w:t xml:space="preserve">and </w:t>
      </w:r>
      <w:r w:rsidRPr="00B275E2">
        <w:t>ha</w:t>
      </w:r>
      <w:r w:rsidR="00C7626B" w:rsidRPr="00B275E2">
        <w:t>s</w:t>
      </w:r>
      <w:r w:rsidRPr="00B275E2">
        <w:t xml:space="preserve"> </w:t>
      </w:r>
      <w:r w:rsidR="003E38BD" w:rsidRPr="00B275E2">
        <w:t>provided the information to calculate</w:t>
      </w:r>
      <w:r w:rsidRPr="00B275E2">
        <w:t xml:space="preserve"> the emission factor. </w:t>
      </w:r>
      <w:r w:rsidR="00434DCE" w:rsidRPr="00B275E2">
        <w:t>The emission factor for freighting goods by rail is in</w:t>
      </w:r>
      <w:r w:rsidR="00011447" w:rsidRPr="00B275E2">
        <w:t xml:space="preserve"> table </w:t>
      </w:r>
      <w:r w:rsidR="00FA3FC2" w:rsidRPr="00B275E2">
        <w:t>6</w:t>
      </w:r>
      <w:r w:rsidR="00521227">
        <w:t>5</w:t>
      </w:r>
      <w:r w:rsidR="001F219F" w:rsidRPr="00B275E2">
        <w:t>.</w:t>
      </w:r>
    </w:p>
    <w:p w14:paraId="65092A90" w14:textId="0938EC76" w:rsidR="003079FA" w:rsidRPr="00B275E2" w:rsidRDefault="00EB4389" w:rsidP="008F4775">
      <w:pPr>
        <w:pStyle w:val="Tableheading"/>
      </w:pPr>
      <w:bookmarkStart w:id="490" w:name="_Ref529908811"/>
      <w:bookmarkStart w:id="491" w:name="_Toc111536670"/>
      <w:r w:rsidRPr="00B275E2">
        <w:t xml:space="preserve">Table </w:t>
      </w:r>
      <w:r w:rsidRPr="00B275E2">
        <w:fldChar w:fldCharType="begin"/>
      </w:r>
      <w:r w:rsidRPr="00B275E2">
        <w:instrText>SEQ Table \* ARABIC</w:instrText>
      </w:r>
      <w:r w:rsidRPr="00B275E2">
        <w:fldChar w:fldCharType="separate"/>
      </w:r>
      <w:r>
        <w:rPr>
          <w:noProof/>
        </w:rPr>
        <w:t>65</w:t>
      </w:r>
      <w:r w:rsidRPr="00B275E2">
        <w:fldChar w:fldCharType="end"/>
      </w:r>
      <w:r w:rsidRPr="00B275E2">
        <w:t>:</w:t>
      </w:r>
      <w:r w:rsidRPr="00B275E2">
        <w:tab/>
      </w:r>
      <w:r w:rsidR="003079FA" w:rsidRPr="00B275E2">
        <w:t>Emission factor</w:t>
      </w:r>
      <w:r w:rsidR="001F219F" w:rsidRPr="00B275E2">
        <w:t>s</w:t>
      </w:r>
      <w:r w:rsidR="003079FA" w:rsidRPr="00B275E2">
        <w:t xml:space="preserve"> for rail freight</w:t>
      </w:r>
      <w:bookmarkEnd w:id="490"/>
      <w:bookmarkEnd w:id="491"/>
    </w:p>
    <w:tbl>
      <w:tblPr>
        <w:tblStyle w:val="LightList-Accent11"/>
        <w:tblW w:w="8505" w:type="dxa"/>
        <w:tblInd w:w="20"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Look w:val="04A0" w:firstRow="1" w:lastRow="0" w:firstColumn="1" w:lastColumn="0" w:noHBand="0" w:noVBand="1"/>
      </w:tblPr>
      <w:tblGrid>
        <w:gridCol w:w="1916"/>
        <w:gridCol w:w="833"/>
        <w:gridCol w:w="1439"/>
        <w:gridCol w:w="1439"/>
        <w:gridCol w:w="1439"/>
        <w:gridCol w:w="1439"/>
      </w:tblGrid>
      <w:tr w:rsidR="003B27A7" w:rsidRPr="00B275E2" w14:paraId="65092A97" w14:textId="77777777" w:rsidTr="008F4775">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65" w:type="dxa"/>
            <w:shd w:val="clear" w:color="auto" w:fill="1B556B" w:themeFill="text2"/>
            <w:noWrap/>
            <w:vAlign w:val="bottom"/>
            <w:hideMark/>
          </w:tcPr>
          <w:p w14:paraId="65092A91" w14:textId="77777777" w:rsidR="0090091F" w:rsidRPr="00B275E2" w:rsidRDefault="0090091F" w:rsidP="00D3757A">
            <w:pPr>
              <w:pStyle w:val="TableText"/>
              <w:spacing w:before="40" w:after="40"/>
            </w:pPr>
            <w:r w:rsidRPr="00B275E2">
              <w:t>Emission source</w:t>
            </w:r>
          </w:p>
        </w:tc>
        <w:tc>
          <w:tcPr>
            <w:tcW w:w="850" w:type="dxa"/>
            <w:shd w:val="clear" w:color="auto" w:fill="1B556B" w:themeFill="text2"/>
            <w:noWrap/>
            <w:vAlign w:val="bottom"/>
            <w:hideMark/>
          </w:tcPr>
          <w:p w14:paraId="65092A92" w14:textId="77777777" w:rsidR="0090091F" w:rsidRPr="00B275E2" w:rsidRDefault="0090091F" w:rsidP="00D3757A">
            <w:pPr>
              <w:pStyle w:val="TableText"/>
              <w:spacing w:before="40" w:after="40"/>
              <w:cnfStyle w:val="100000000000" w:firstRow="1" w:lastRow="0" w:firstColumn="0" w:lastColumn="0" w:oddVBand="0" w:evenVBand="0" w:oddHBand="0" w:evenHBand="0" w:firstRowFirstColumn="0" w:firstRowLastColumn="0" w:lastRowFirstColumn="0" w:lastRowLastColumn="0"/>
            </w:pPr>
            <w:r w:rsidRPr="00B275E2">
              <w:t>Unit</w:t>
            </w:r>
          </w:p>
        </w:tc>
        <w:tc>
          <w:tcPr>
            <w:tcW w:w="1474" w:type="dxa"/>
            <w:shd w:val="clear" w:color="auto" w:fill="D2DDE1" w:themeFill="background2"/>
            <w:noWrap/>
            <w:vAlign w:val="bottom"/>
            <w:hideMark/>
          </w:tcPr>
          <w:p w14:paraId="65092A93" w14:textId="132F29C9" w:rsidR="0090091F" w:rsidRPr="00B275E2" w:rsidRDefault="0090091F" w:rsidP="00D3757A">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color w:val="000000" w:themeColor="text1"/>
              </w:rPr>
            </w:pPr>
            <w:r w:rsidRPr="00B275E2">
              <w:rPr>
                <w:color w:val="000000" w:themeColor="text1"/>
              </w:rPr>
              <w:t>kg CO</w:t>
            </w:r>
            <w:r w:rsidRPr="00B275E2">
              <w:rPr>
                <w:color w:val="000000" w:themeColor="text1"/>
                <w:vertAlign w:val="subscript"/>
              </w:rPr>
              <w:t>2</w:t>
            </w:r>
            <w:r w:rsidRPr="00B275E2">
              <w:rPr>
                <w:color w:val="000000" w:themeColor="text1"/>
              </w:rPr>
              <w:t>-e/unit</w:t>
            </w:r>
          </w:p>
        </w:tc>
        <w:tc>
          <w:tcPr>
            <w:tcW w:w="1474" w:type="dxa"/>
            <w:shd w:val="clear" w:color="auto" w:fill="1B556B" w:themeFill="text2"/>
            <w:noWrap/>
            <w:vAlign w:val="bottom"/>
            <w:hideMark/>
          </w:tcPr>
          <w:p w14:paraId="65092A94" w14:textId="773DC767" w:rsidR="0090091F" w:rsidRPr="00B275E2" w:rsidRDefault="0090091F" w:rsidP="00D3757A">
            <w:pPr>
              <w:pStyle w:val="TableText"/>
              <w:spacing w:before="40" w:after="40"/>
              <w:jc w:val="right"/>
              <w:cnfStyle w:val="100000000000" w:firstRow="1" w:lastRow="0" w:firstColumn="0" w:lastColumn="0" w:oddVBand="0" w:evenVBand="0" w:oddHBand="0" w:evenHBand="0" w:firstRowFirstColumn="0" w:firstRowLastColumn="0" w:lastRowFirstColumn="0" w:lastRowLastColumn="0"/>
            </w:pPr>
            <w:r w:rsidRPr="00B275E2">
              <w:t>kg CO</w:t>
            </w:r>
            <w:r w:rsidRPr="00B275E2">
              <w:rPr>
                <w:vertAlign w:val="subscript"/>
              </w:rPr>
              <w:t>2</w:t>
            </w:r>
            <w:r w:rsidRPr="00B275E2">
              <w:t>/unit</w:t>
            </w:r>
            <w:r w:rsidR="00A67995" w:rsidRPr="00B275E2">
              <w:t xml:space="preserve"> </w:t>
            </w:r>
            <w:r w:rsidR="003B27A7" w:rsidRPr="00B275E2">
              <w:br/>
            </w:r>
            <w:r w:rsidR="00A67995" w:rsidRPr="00B275E2">
              <w:t>(kg CO</w:t>
            </w:r>
            <w:r w:rsidR="00A67995" w:rsidRPr="00B275E2">
              <w:rPr>
                <w:vertAlign w:val="subscript"/>
              </w:rPr>
              <w:t>2</w:t>
            </w:r>
            <w:r w:rsidR="00A67995" w:rsidRPr="00B275E2">
              <w:noBreakHyphen/>
              <w:t>e)</w:t>
            </w:r>
          </w:p>
        </w:tc>
        <w:tc>
          <w:tcPr>
            <w:tcW w:w="1474" w:type="dxa"/>
            <w:shd w:val="clear" w:color="auto" w:fill="1B556B" w:themeFill="text2"/>
            <w:noWrap/>
            <w:vAlign w:val="bottom"/>
            <w:hideMark/>
          </w:tcPr>
          <w:p w14:paraId="65092A95" w14:textId="1817B142" w:rsidR="0090091F" w:rsidRPr="00B275E2" w:rsidRDefault="00A67995" w:rsidP="00D3757A">
            <w:pPr>
              <w:pStyle w:val="TableText"/>
              <w:spacing w:before="40" w:after="40"/>
              <w:jc w:val="right"/>
              <w:cnfStyle w:val="100000000000" w:firstRow="1" w:lastRow="0" w:firstColumn="0" w:lastColumn="0" w:oddVBand="0" w:evenVBand="0" w:oddHBand="0" w:evenHBand="0" w:firstRowFirstColumn="0" w:firstRowLastColumn="0" w:lastRowFirstColumn="0" w:lastRowLastColumn="0"/>
            </w:pPr>
            <w:r w:rsidRPr="00B275E2">
              <w:t xml:space="preserve">kg </w:t>
            </w:r>
            <w:r w:rsidR="0090091F" w:rsidRPr="00B275E2">
              <w:t>CH</w:t>
            </w:r>
            <w:r w:rsidR="0090091F" w:rsidRPr="00B275E2">
              <w:rPr>
                <w:vertAlign w:val="subscript"/>
              </w:rPr>
              <w:t>4</w:t>
            </w:r>
            <w:r w:rsidRPr="00B275E2">
              <w:t>/unit</w:t>
            </w:r>
            <w:r w:rsidR="0090091F" w:rsidRPr="00B275E2">
              <w:t xml:space="preserve"> </w:t>
            </w:r>
            <w:r w:rsidR="003B27A7" w:rsidRPr="00B275E2">
              <w:br/>
            </w:r>
            <w:r w:rsidR="0090091F" w:rsidRPr="00B275E2">
              <w:t>(kg CO</w:t>
            </w:r>
            <w:r w:rsidR="0090091F" w:rsidRPr="00B275E2">
              <w:rPr>
                <w:vertAlign w:val="subscript"/>
              </w:rPr>
              <w:t>2</w:t>
            </w:r>
            <w:r w:rsidR="0090091F" w:rsidRPr="00B275E2">
              <w:noBreakHyphen/>
              <w:t>e)</w:t>
            </w:r>
          </w:p>
        </w:tc>
        <w:tc>
          <w:tcPr>
            <w:tcW w:w="1474" w:type="dxa"/>
            <w:shd w:val="clear" w:color="auto" w:fill="1B556B" w:themeFill="text2"/>
            <w:noWrap/>
            <w:vAlign w:val="bottom"/>
            <w:hideMark/>
          </w:tcPr>
          <w:p w14:paraId="65092A96" w14:textId="5FF7E7BF" w:rsidR="0090091F" w:rsidRPr="00B275E2" w:rsidRDefault="00A67995" w:rsidP="00D3757A">
            <w:pPr>
              <w:pStyle w:val="TableText"/>
              <w:spacing w:before="40" w:after="40"/>
              <w:jc w:val="right"/>
              <w:cnfStyle w:val="100000000000" w:firstRow="1" w:lastRow="0" w:firstColumn="0" w:lastColumn="0" w:oddVBand="0" w:evenVBand="0" w:oddHBand="0" w:evenHBand="0" w:firstRowFirstColumn="0" w:firstRowLastColumn="0" w:lastRowFirstColumn="0" w:lastRowLastColumn="0"/>
            </w:pPr>
            <w:r w:rsidRPr="00B275E2">
              <w:t xml:space="preserve">kg </w:t>
            </w:r>
            <w:r w:rsidR="0090091F" w:rsidRPr="00B275E2">
              <w:t>N</w:t>
            </w:r>
            <w:r w:rsidR="0090091F" w:rsidRPr="00B275E2">
              <w:rPr>
                <w:vertAlign w:val="subscript"/>
              </w:rPr>
              <w:t>2</w:t>
            </w:r>
            <w:r w:rsidR="0090091F" w:rsidRPr="00B275E2">
              <w:t>O</w:t>
            </w:r>
            <w:r w:rsidRPr="00B275E2">
              <w:t>/unit</w:t>
            </w:r>
            <w:r w:rsidR="0090091F" w:rsidRPr="00B275E2">
              <w:t xml:space="preserve"> </w:t>
            </w:r>
            <w:r w:rsidR="003B27A7" w:rsidRPr="00B275E2">
              <w:br/>
            </w:r>
            <w:r w:rsidR="0090091F" w:rsidRPr="00B275E2">
              <w:t>(kg CO</w:t>
            </w:r>
            <w:r w:rsidR="0090091F" w:rsidRPr="00B275E2">
              <w:rPr>
                <w:vertAlign w:val="subscript"/>
              </w:rPr>
              <w:t>2</w:t>
            </w:r>
            <w:r w:rsidR="0090091F" w:rsidRPr="00B275E2">
              <w:noBreakHyphen/>
              <w:t>e)</w:t>
            </w:r>
          </w:p>
        </w:tc>
      </w:tr>
      <w:tr w:rsidR="003B27A7" w:rsidRPr="00B275E2" w14:paraId="65092A9E" w14:textId="77777777" w:rsidTr="00B422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65" w:type="dxa"/>
            <w:tcBorders>
              <w:left w:val="single" w:sz="4" w:space="0" w:color="FFFFFF" w:themeColor="background1"/>
            </w:tcBorders>
          </w:tcPr>
          <w:p w14:paraId="65092A98" w14:textId="77777777" w:rsidR="002B73AC" w:rsidRPr="00B275E2" w:rsidRDefault="002B73AC" w:rsidP="00D3757A">
            <w:pPr>
              <w:pStyle w:val="TableText"/>
              <w:spacing w:before="40" w:after="40"/>
              <w:rPr>
                <w:b w:val="0"/>
              </w:rPr>
            </w:pPr>
            <w:r w:rsidRPr="00B275E2">
              <w:rPr>
                <w:b w:val="0"/>
              </w:rPr>
              <w:t>Rail freight</w:t>
            </w:r>
          </w:p>
        </w:tc>
        <w:tc>
          <w:tcPr>
            <w:tcW w:w="850" w:type="dxa"/>
            <w:noWrap/>
          </w:tcPr>
          <w:p w14:paraId="65092A99" w14:textId="1AC2AC34" w:rsidR="002B73AC" w:rsidRPr="00B275E2" w:rsidRDefault="002B73AC" w:rsidP="00D3757A">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275E2">
              <w:t>tkm</w:t>
            </w:r>
          </w:p>
        </w:tc>
        <w:tc>
          <w:tcPr>
            <w:tcW w:w="1474" w:type="dxa"/>
            <w:shd w:val="clear" w:color="auto" w:fill="D2DDE1" w:themeFill="background2"/>
            <w:noWrap/>
          </w:tcPr>
          <w:p w14:paraId="65092A9A" w14:textId="25BADF4B" w:rsidR="002B73AC" w:rsidRPr="00B275E2" w:rsidRDefault="002B73AC" w:rsidP="00D3757A">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B275E2">
              <w:rPr>
                <w:rFonts w:cs="Calibri"/>
                <w:color w:val="000000" w:themeColor="text1"/>
                <w:szCs w:val="18"/>
              </w:rPr>
              <w:t>0.02</w:t>
            </w:r>
            <w:r w:rsidR="00CF66FC" w:rsidRPr="00B275E2">
              <w:rPr>
                <w:rFonts w:cs="Calibri"/>
                <w:color w:val="000000" w:themeColor="text1"/>
                <w:szCs w:val="18"/>
              </w:rPr>
              <w:t>7</w:t>
            </w:r>
          </w:p>
        </w:tc>
        <w:tc>
          <w:tcPr>
            <w:tcW w:w="1474" w:type="dxa"/>
            <w:shd w:val="clear" w:color="auto" w:fill="auto"/>
            <w:noWrap/>
          </w:tcPr>
          <w:p w14:paraId="65092A9B" w14:textId="0D1509D4" w:rsidR="002B73AC" w:rsidRPr="00B275E2" w:rsidRDefault="002B73AC" w:rsidP="00D3757A">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B275E2">
              <w:rPr>
                <w:rFonts w:cs="Calibri"/>
                <w:color w:val="000000" w:themeColor="text1"/>
                <w:szCs w:val="18"/>
              </w:rPr>
              <w:t>0.02</w:t>
            </w:r>
            <w:r w:rsidR="00CF66FC" w:rsidRPr="00B275E2">
              <w:rPr>
                <w:rFonts w:cs="Calibri"/>
                <w:color w:val="000000" w:themeColor="text1"/>
                <w:szCs w:val="18"/>
              </w:rPr>
              <w:t>7</w:t>
            </w:r>
          </w:p>
        </w:tc>
        <w:tc>
          <w:tcPr>
            <w:tcW w:w="1474" w:type="dxa"/>
            <w:shd w:val="clear" w:color="auto" w:fill="auto"/>
            <w:noWrap/>
          </w:tcPr>
          <w:p w14:paraId="65092A9C" w14:textId="7B26CBB9" w:rsidR="002B73AC" w:rsidRPr="00B275E2" w:rsidRDefault="002B73AC" w:rsidP="00D3757A">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B275E2">
              <w:rPr>
                <w:rFonts w:cs="Calibri"/>
                <w:color w:val="000000" w:themeColor="text1"/>
                <w:szCs w:val="18"/>
              </w:rPr>
              <w:t>0.0000</w:t>
            </w:r>
            <w:r w:rsidR="00CF66FC" w:rsidRPr="00B275E2">
              <w:rPr>
                <w:rFonts w:cs="Calibri"/>
                <w:color w:val="000000" w:themeColor="text1"/>
                <w:szCs w:val="18"/>
              </w:rPr>
              <w:t>9</w:t>
            </w:r>
          </w:p>
        </w:tc>
        <w:tc>
          <w:tcPr>
            <w:tcW w:w="1474" w:type="dxa"/>
            <w:tcBorders>
              <w:right w:val="single" w:sz="4" w:space="0" w:color="FFFFFF" w:themeColor="background1"/>
            </w:tcBorders>
            <w:shd w:val="clear" w:color="auto" w:fill="auto"/>
            <w:noWrap/>
          </w:tcPr>
          <w:p w14:paraId="65092A9D" w14:textId="1A6283E0" w:rsidR="002B73AC" w:rsidRPr="00B275E2" w:rsidRDefault="002B73AC" w:rsidP="00D3757A">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B275E2">
              <w:rPr>
                <w:rFonts w:cs="Calibri"/>
                <w:color w:val="000000" w:themeColor="text1"/>
                <w:szCs w:val="18"/>
              </w:rPr>
              <w:t>0.000</w:t>
            </w:r>
            <w:r w:rsidR="00CF66FC" w:rsidRPr="00B275E2">
              <w:rPr>
                <w:rFonts w:cs="Calibri"/>
                <w:color w:val="000000" w:themeColor="text1"/>
                <w:szCs w:val="18"/>
              </w:rPr>
              <w:t>1</w:t>
            </w:r>
          </w:p>
        </w:tc>
      </w:tr>
    </w:tbl>
    <w:p w14:paraId="1CDF57F4" w14:textId="2A1132F8" w:rsidR="003E38BD" w:rsidRPr="00B275E2" w:rsidRDefault="003E38BD" w:rsidP="007F0B1E">
      <w:pPr>
        <w:pStyle w:val="Note"/>
      </w:pPr>
      <w:r w:rsidRPr="00B275E2">
        <w:t>Note</w:t>
      </w:r>
      <w:r w:rsidR="00E97D2C" w:rsidRPr="00B275E2">
        <w:t>:</w:t>
      </w:r>
      <w:r w:rsidRPr="00B275E2">
        <w:t xml:space="preserve"> </w:t>
      </w:r>
      <w:r w:rsidR="00E97D2C" w:rsidRPr="00B275E2">
        <w:t xml:space="preserve">These </w:t>
      </w:r>
      <w:r w:rsidRPr="00B275E2">
        <w:t xml:space="preserve">numbers are rounded to three </w:t>
      </w:r>
      <w:r w:rsidR="002011A6" w:rsidRPr="00B275E2">
        <w:t xml:space="preserve">decimal places </w:t>
      </w:r>
      <w:r w:rsidRPr="00B275E2">
        <w:t xml:space="preserve">unless the number is significantly small. </w:t>
      </w:r>
    </w:p>
    <w:p w14:paraId="1232BDC6" w14:textId="1BB700F6" w:rsidR="001A021C" w:rsidRPr="00B275E2" w:rsidRDefault="00301928" w:rsidP="006B7605">
      <w:pPr>
        <w:pStyle w:val="Heading3"/>
      </w:pPr>
      <w:bookmarkStart w:id="492" w:name="_Toc532904924"/>
      <w:r w:rsidRPr="00B275E2">
        <w:t xml:space="preserve">GHG </w:t>
      </w:r>
      <w:r w:rsidR="001A021C" w:rsidRPr="00B275E2">
        <w:t>inventory development</w:t>
      </w:r>
      <w:bookmarkEnd w:id="492"/>
    </w:p>
    <w:p w14:paraId="3FA70482" w14:textId="17D0621F" w:rsidR="001A021C" w:rsidRPr="00B275E2" w:rsidRDefault="001A021C" w:rsidP="007F0B1E">
      <w:pPr>
        <w:pStyle w:val="BodyText"/>
      </w:pPr>
      <w:r w:rsidRPr="00B275E2">
        <w:t>Users should collect data on the weight of goods freighted</w:t>
      </w:r>
      <w:r w:rsidR="007170FA" w:rsidRPr="00B275E2">
        <w:t xml:space="preserve"> (tonnes)</w:t>
      </w:r>
      <w:r w:rsidR="00422BDE" w:rsidRPr="00B275E2">
        <w:t>, and</w:t>
      </w:r>
      <w:r w:rsidRPr="00B275E2">
        <w:t xml:space="preserve"> the distance travelled</w:t>
      </w:r>
      <w:r w:rsidR="007170FA" w:rsidRPr="00B275E2">
        <w:t xml:space="preserve"> (kilometres)</w:t>
      </w:r>
      <w:r w:rsidRPr="00B275E2">
        <w:t>. For each journey</w:t>
      </w:r>
      <w:r w:rsidR="00422BDE" w:rsidRPr="00B275E2">
        <w:t>,</w:t>
      </w:r>
      <w:r w:rsidRPr="00B275E2">
        <w:t xml:space="preserve"> </w:t>
      </w:r>
      <w:r w:rsidR="003E38BD" w:rsidRPr="00B275E2">
        <w:t xml:space="preserve">multiply </w:t>
      </w:r>
      <w:r w:rsidRPr="00B275E2">
        <w:t xml:space="preserve">the total tonnes by the total km travelled. </w:t>
      </w:r>
    </w:p>
    <w:p w14:paraId="4307582B" w14:textId="0B76E597" w:rsidR="003E38BD" w:rsidRPr="00B275E2" w:rsidRDefault="003E38BD" w:rsidP="007F0B1E">
      <w:pPr>
        <w:pStyle w:val="BodyText"/>
        <w:keepNext/>
      </w:pPr>
      <w:r w:rsidRPr="00B275E2">
        <w:t xml:space="preserve">Applying the equation </w:t>
      </w:r>
      <w:r w:rsidR="00E71782" w:rsidRPr="00B275E2">
        <w:t>E= Q x F</w:t>
      </w:r>
      <w:r w:rsidR="005C1BD3" w:rsidRPr="00B275E2">
        <w:t xml:space="preserve"> </w:t>
      </w:r>
      <w:r w:rsidR="00E71782" w:rsidRPr="00B275E2">
        <w:t>(</w:t>
      </w:r>
      <w:hyperlink w:anchor="_How_to_calculate" w:history="1">
        <w:r w:rsidR="00E97D2C" w:rsidRPr="00B275E2">
          <w:rPr>
            <w:rStyle w:val="Hyperlink"/>
          </w:rPr>
          <w:t>section 2</w:t>
        </w:r>
      </w:hyperlink>
      <w:r w:rsidR="00E71782" w:rsidRPr="00B275E2">
        <w:rPr>
          <w:rStyle w:val="Hyperlink"/>
          <w:color w:val="auto"/>
        </w:rPr>
        <w:t>)</w:t>
      </w:r>
      <w:r w:rsidRPr="00B275E2">
        <w:t xml:space="preserve">, this means: </w:t>
      </w:r>
    </w:p>
    <w:p w14:paraId="0B9CE2F9" w14:textId="07A6F2AB" w:rsidR="00E71782" w:rsidRPr="00B275E2" w:rsidRDefault="00E71782" w:rsidP="007F0B1E">
      <w:pPr>
        <w:pStyle w:val="BodyText"/>
        <w:tabs>
          <w:tab w:val="left" w:pos="680"/>
          <w:tab w:val="left" w:pos="851"/>
        </w:tabs>
        <w:contextualSpacing/>
      </w:pPr>
      <w:r w:rsidRPr="00B275E2">
        <w:t>E</w:t>
      </w:r>
      <w:r w:rsidRPr="00B275E2">
        <w:tab/>
        <w:t>=</w:t>
      </w:r>
      <w:r w:rsidRPr="00B275E2">
        <w:tab/>
        <w:t>emissions from the emissions source in kg CO</w:t>
      </w:r>
      <w:r w:rsidRPr="00B275E2">
        <w:rPr>
          <w:vertAlign w:val="subscript"/>
        </w:rPr>
        <w:t>2</w:t>
      </w:r>
      <w:r w:rsidRPr="00B275E2">
        <w:t>-e per year</w:t>
      </w:r>
    </w:p>
    <w:p w14:paraId="08796C38" w14:textId="55933674" w:rsidR="001A021C" w:rsidRPr="00B275E2" w:rsidRDefault="001A021C" w:rsidP="007F0B1E">
      <w:pPr>
        <w:pStyle w:val="BodyText"/>
        <w:tabs>
          <w:tab w:val="left" w:pos="680"/>
          <w:tab w:val="left" w:pos="851"/>
        </w:tabs>
        <w:contextualSpacing/>
      </w:pPr>
      <w:r w:rsidRPr="00B275E2">
        <w:t>Q</w:t>
      </w:r>
      <w:r w:rsidR="00E97D2C" w:rsidRPr="00B275E2">
        <w:tab/>
      </w:r>
      <w:r w:rsidRPr="00B275E2">
        <w:t>=</w:t>
      </w:r>
      <w:r w:rsidR="00E97D2C" w:rsidRPr="00B275E2">
        <w:tab/>
      </w:r>
      <w:r w:rsidRPr="00B275E2">
        <w:t>tonnes of freight</w:t>
      </w:r>
      <w:r w:rsidR="00771E24" w:rsidRPr="00B275E2">
        <w:t xml:space="preserve"> </w:t>
      </w:r>
      <w:r w:rsidR="00771E24" w:rsidRPr="00B275E2">
        <w:rPr>
          <w:rFonts w:cs="Calibri"/>
        </w:rPr>
        <w:t>×</w:t>
      </w:r>
      <w:r w:rsidR="00771E24" w:rsidRPr="00B275E2">
        <w:t xml:space="preserve"> </w:t>
      </w:r>
      <w:r w:rsidRPr="00B275E2">
        <w:t>km travelled</w:t>
      </w:r>
    </w:p>
    <w:p w14:paraId="35395B17" w14:textId="45133075" w:rsidR="001A021C" w:rsidRPr="00B275E2" w:rsidRDefault="00E97D2C" w:rsidP="007F0B1E">
      <w:pPr>
        <w:pStyle w:val="BodyText"/>
        <w:tabs>
          <w:tab w:val="left" w:pos="680"/>
          <w:tab w:val="left" w:pos="851"/>
        </w:tabs>
        <w:spacing w:after="240"/>
        <w:contextualSpacing/>
      </w:pPr>
      <w:r w:rsidRPr="00B275E2">
        <w:t>F</w:t>
      </w:r>
      <w:r w:rsidRPr="00B275E2">
        <w:tab/>
        <w:t>=</w:t>
      </w:r>
      <w:r w:rsidRPr="00B275E2">
        <w:tab/>
      </w:r>
      <w:r w:rsidR="001A021C" w:rsidRPr="00B275E2">
        <w:t xml:space="preserve">emission factors in </w:t>
      </w:r>
      <w:r w:rsidR="007D29CD" w:rsidRPr="00B275E2">
        <w:t xml:space="preserve">table </w:t>
      </w:r>
      <w:r w:rsidR="00105F59">
        <w:t>6</w:t>
      </w:r>
      <w:r w:rsidR="00521227">
        <w:t>5</w:t>
      </w:r>
    </w:p>
    <w:tbl>
      <w:tblPr>
        <w:tblW w:w="86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618"/>
      </w:tblGrid>
      <w:tr w:rsidR="00714E65" w:rsidRPr="00B275E2" w:rsidDel="00D5390D" w14:paraId="17DEE204" w14:textId="77777777" w:rsidTr="008F4775">
        <w:tc>
          <w:tcPr>
            <w:tcW w:w="8500" w:type="dxa"/>
            <w:tcBorders>
              <w:top w:val="single" w:sz="4" w:space="0" w:color="0F7B7D"/>
              <w:left w:val="single" w:sz="4" w:space="0" w:color="0F7B7D"/>
              <w:bottom w:val="nil"/>
              <w:right w:val="single" w:sz="4" w:space="0" w:color="0F7B7D"/>
            </w:tcBorders>
            <w:shd w:val="clear" w:color="auto" w:fill="0F7B7D"/>
            <w:vAlign w:val="center"/>
          </w:tcPr>
          <w:p w14:paraId="318008D0" w14:textId="3E95810C" w:rsidR="000733CF" w:rsidRPr="00B275E2" w:rsidDel="00D5390D" w:rsidRDefault="00081569" w:rsidP="008F4775">
            <w:pPr>
              <w:pStyle w:val="Casestudyheading"/>
            </w:pPr>
            <w:r w:rsidRPr="00B275E2">
              <w:t xml:space="preserve">RAIL Freight: </w:t>
            </w:r>
            <w:r w:rsidR="000733CF" w:rsidRPr="00B275E2">
              <w:t>Example Calculation</w:t>
            </w:r>
          </w:p>
        </w:tc>
      </w:tr>
      <w:tr w:rsidR="00A85917" w:rsidRPr="00B275E2" w14:paraId="3D658FC2" w14:textId="77777777" w:rsidTr="008F4775">
        <w:tc>
          <w:tcPr>
            <w:tcW w:w="8500" w:type="dxa"/>
            <w:tcBorders>
              <w:top w:val="nil"/>
              <w:left w:val="single" w:sz="4" w:space="0" w:color="D5EBE8" w:themeColor="accent3"/>
              <w:bottom w:val="single" w:sz="4" w:space="0" w:color="D5EBE8" w:themeColor="accent3"/>
              <w:right w:val="single" w:sz="4" w:space="0" w:color="D5EBE8" w:themeColor="accent3"/>
            </w:tcBorders>
            <w:shd w:val="clear" w:color="auto" w:fill="D5EBE8" w:themeFill="accent3"/>
          </w:tcPr>
          <w:p w14:paraId="1A2EC859" w14:textId="1C993A2D" w:rsidR="000733CF" w:rsidRPr="00B275E2" w:rsidRDefault="000733CF" w:rsidP="00D3757A">
            <w:pPr>
              <w:pStyle w:val="Boxtext"/>
              <w:spacing w:after="0"/>
            </w:pPr>
            <w:r w:rsidRPr="00B275E2">
              <w:t xml:space="preserve">During the reporting period, an organisation freights </w:t>
            </w:r>
            <w:r w:rsidR="00081569" w:rsidRPr="00B275E2">
              <w:t xml:space="preserve">8 </w:t>
            </w:r>
            <w:r w:rsidRPr="00B275E2">
              <w:t>tonnes of materials 150 km</w:t>
            </w:r>
            <w:r w:rsidR="00081569" w:rsidRPr="00B275E2">
              <w:t xml:space="preserve"> by rail.</w:t>
            </w:r>
            <w:r w:rsidR="00771E24" w:rsidRPr="00B275E2">
              <w:t xml:space="preserve"> </w:t>
            </w:r>
            <w:r w:rsidR="00081569" w:rsidRPr="00B275E2">
              <w:t>T</w:t>
            </w:r>
            <w:r w:rsidRPr="00B275E2">
              <w:t xml:space="preserve">his </w:t>
            </w:r>
            <w:r w:rsidR="00F84B66" w:rsidRPr="00B275E2">
              <w:t>occurs</w:t>
            </w:r>
            <w:r w:rsidRPr="00B275E2">
              <w:t xml:space="preserve"> four times in the reporting year.</w:t>
            </w:r>
          </w:p>
          <w:p w14:paraId="0FC8BE66" w14:textId="70DE8FFE" w:rsidR="000733CF" w:rsidRPr="00B275E2" w:rsidRDefault="000733CF" w:rsidP="00D3757A">
            <w:pPr>
              <w:pStyle w:val="Boxtext"/>
              <w:spacing w:after="0"/>
            </w:pPr>
            <w:r w:rsidRPr="00B275E2">
              <w:t>To calculate tkm: 8 × 150 × 4 = 4,800 tkm</w:t>
            </w:r>
          </w:p>
          <w:p w14:paraId="233D0E25" w14:textId="6F8D1055" w:rsidR="000733CF" w:rsidRPr="00B275E2" w:rsidRDefault="000733CF" w:rsidP="008F4775">
            <w:pPr>
              <w:pStyle w:val="Boxtext"/>
              <w:spacing w:after="80"/>
            </w:pPr>
            <w:r w:rsidRPr="00B275E2">
              <w:lastRenderedPageBreak/>
              <w:t xml:space="preserve">For the </w:t>
            </w:r>
            <w:r w:rsidR="00081569" w:rsidRPr="00B275E2">
              <w:t xml:space="preserve">8 </w:t>
            </w:r>
            <w:r w:rsidRPr="00B275E2">
              <w:t>tonnes moved 150</w:t>
            </w:r>
            <w:r w:rsidR="00771E24" w:rsidRPr="00B275E2">
              <w:t xml:space="preserve"> </w:t>
            </w:r>
            <w:r w:rsidRPr="00B275E2">
              <w:t xml:space="preserve">km by rail </w:t>
            </w:r>
            <w:r w:rsidR="00771E24" w:rsidRPr="00B275E2">
              <w:t xml:space="preserve">four </w:t>
            </w:r>
            <w:r w:rsidRPr="00B275E2">
              <w:t>times:</w:t>
            </w:r>
          </w:p>
          <w:p w14:paraId="78547908" w14:textId="10BBDE42" w:rsidR="000733CF" w:rsidRPr="00B275E2" w:rsidRDefault="000733CF" w:rsidP="008F4775">
            <w:pPr>
              <w:pStyle w:val="Boxtext"/>
              <w:tabs>
                <w:tab w:val="left" w:pos="2832"/>
                <w:tab w:val="left" w:pos="4664"/>
              </w:tabs>
              <w:spacing w:before="20" w:after="20"/>
              <w:ind w:left="850"/>
            </w:pPr>
            <w:r w:rsidRPr="00B275E2">
              <w:t>CO</w:t>
            </w:r>
            <w:r w:rsidRPr="00B275E2">
              <w:rPr>
                <w:vertAlign w:val="subscript"/>
              </w:rPr>
              <w:t>2</w:t>
            </w:r>
            <w:r w:rsidRPr="00B275E2">
              <w:t xml:space="preserve"> emissions </w:t>
            </w:r>
            <w:r w:rsidRPr="00B275E2">
              <w:tab/>
              <w:t>= 4,800 × 0.02</w:t>
            </w:r>
            <w:r w:rsidR="00CF66FC" w:rsidRPr="00B275E2">
              <w:t>7</w:t>
            </w:r>
            <w:r w:rsidRPr="00B275E2">
              <w:t xml:space="preserve"> </w:t>
            </w:r>
            <w:r w:rsidR="00771E24" w:rsidRPr="00B275E2">
              <w:tab/>
            </w:r>
            <w:r w:rsidRPr="00B275E2">
              <w:t xml:space="preserve">= </w:t>
            </w:r>
            <w:r w:rsidR="00CF66FC" w:rsidRPr="00B275E2">
              <w:t>129.6</w:t>
            </w:r>
            <w:r w:rsidR="00C5078F" w:rsidRPr="00B275E2">
              <w:t xml:space="preserve"> </w:t>
            </w:r>
            <w:r w:rsidRPr="00B275E2">
              <w:t>kg CO</w:t>
            </w:r>
            <w:r w:rsidRPr="00B275E2">
              <w:rPr>
                <w:vertAlign w:val="subscript"/>
              </w:rPr>
              <w:t>2</w:t>
            </w:r>
          </w:p>
          <w:p w14:paraId="5BB40EB5" w14:textId="0D4FDAD9" w:rsidR="000733CF" w:rsidRPr="00B275E2" w:rsidRDefault="000733CF" w:rsidP="008F4775">
            <w:pPr>
              <w:pStyle w:val="Boxtext"/>
              <w:tabs>
                <w:tab w:val="left" w:pos="2832"/>
                <w:tab w:val="left" w:pos="4664"/>
              </w:tabs>
              <w:spacing w:before="20" w:after="20"/>
              <w:ind w:left="850"/>
            </w:pPr>
            <w:r w:rsidRPr="00B275E2">
              <w:t>CH</w:t>
            </w:r>
            <w:r w:rsidRPr="00B275E2">
              <w:rPr>
                <w:vertAlign w:val="subscript"/>
              </w:rPr>
              <w:t>4</w:t>
            </w:r>
            <w:r w:rsidRPr="00B275E2">
              <w:t xml:space="preserve"> emissions </w:t>
            </w:r>
            <w:r w:rsidR="00771E24" w:rsidRPr="00B275E2">
              <w:tab/>
            </w:r>
            <w:r w:rsidRPr="00B275E2">
              <w:t>= 4,800 × 0.0000</w:t>
            </w:r>
            <w:r w:rsidR="00111C46" w:rsidRPr="00B275E2">
              <w:t>9</w:t>
            </w:r>
            <w:r w:rsidRPr="00B275E2">
              <w:t xml:space="preserve"> </w:t>
            </w:r>
            <w:r w:rsidR="00771E24" w:rsidRPr="00B275E2">
              <w:tab/>
            </w:r>
            <w:r w:rsidR="005A7BFC" w:rsidRPr="00B275E2">
              <w:t>= 0.</w:t>
            </w:r>
            <w:r w:rsidR="00111C46" w:rsidRPr="00B275E2">
              <w:t>4</w:t>
            </w:r>
            <w:r w:rsidR="00CE7042" w:rsidRPr="00B275E2">
              <w:t xml:space="preserve"> </w:t>
            </w:r>
            <w:r w:rsidRPr="00B275E2">
              <w:t>kg CO</w:t>
            </w:r>
            <w:r w:rsidRPr="00B275E2">
              <w:rPr>
                <w:vertAlign w:val="subscript"/>
              </w:rPr>
              <w:t>2</w:t>
            </w:r>
            <w:r w:rsidRPr="00B275E2">
              <w:t xml:space="preserve">-e </w:t>
            </w:r>
          </w:p>
          <w:p w14:paraId="25A517B0" w14:textId="1F5A08BB" w:rsidR="000733CF" w:rsidRPr="00B275E2" w:rsidRDefault="000733CF" w:rsidP="008F4775">
            <w:pPr>
              <w:pStyle w:val="Boxtext"/>
              <w:tabs>
                <w:tab w:val="left" w:pos="2832"/>
                <w:tab w:val="left" w:pos="4664"/>
              </w:tabs>
              <w:spacing w:before="20" w:after="20"/>
              <w:ind w:left="850"/>
            </w:pPr>
            <w:r w:rsidRPr="00B275E2">
              <w:t>N</w:t>
            </w:r>
            <w:r w:rsidRPr="00B275E2">
              <w:rPr>
                <w:vertAlign w:val="subscript"/>
              </w:rPr>
              <w:t>2</w:t>
            </w:r>
            <w:r w:rsidRPr="00B275E2">
              <w:t>O emissions</w:t>
            </w:r>
            <w:r w:rsidR="00771E24" w:rsidRPr="00B275E2">
              <w:tab/>
            </w:r>
            <w:r w:rsidRPr="00B275E2">
              <w:t>= 4,800 × 0.00</w:t>
            </w:r>
            <w:r w:rsidR="00FA21C9" w:rsidRPr="00B275E2">
              <w:t>0</w:t>
            </w:r>
            <w:r w:rsidR="00111C46" w:rsidRPr="00B275E2">
              <w:t>1</w:t>
            </w:r>
            <w:r w:rsidRPr="00B275E2">
              <w:t xml:space="preserve"> </w:t>
            </w:r>
            <w:r w:rsidR="00771E24" w:rsidRPr="00B275E2">
              <w:tab/>
            </w:r>
            <w:r w:rsidRPr="00B275E2">
              <w:t xml:space="preserve">= </w:t>
            </w:r>
            <w:r w:rsidR="00111C46" w:rsidRPr="00B275E2">
              <w:t>0.</w:t>
            </w:r>
            <w:r w:rsidR="003A27A0" w:rsidRPr="00B275E2">
              <w:t>5</w:t>
            </w:r>
            <w:r w:rsidRPr="00B275E2">
              <w:t xml:space="preserve"> kg CO</w:t>
            </w:r>
            <w:r w:rsidRPr="00B275E2">
              <w:rPr>
                <w:vertAlign w:val="subscript"/>
              </w:rPr>
              <w:t>2</w:t>
            </w:r>
            <w:r w:rsidRPr="00B275E2">
              <w:t xml:space="preserve">-e </w:t>
            </w:r>
          </w:p>
          <w:p w14:paraId="498A7DEC" w14:textId="657EF46B" w:rsidR="000733CF" w:rsidRPr="00B275E2" w:rsidRDefault="000733CF" w:rsidP="008F4775">
            <w:pPr>
              <w:pStyle w:val="Boxtext"/>
              <w:tabs>
                <w:tab w:val="left" w:pos="2832"/>
                <w:tab w:val="left" w:pos="4664"/>
              </w:tabs>
              <w:spacing w:before="20" w:after="0"/>
              <w:ind w:left="850"/>
            </w:pPr>
            <w:r w:rsidRPr="00B275E2">
              <w:t>Total CO</w:t>
            </w:r>
            <w:r w:rsidRPr="00B275E2">
              <w:rPr>
                <w:vertAlign w:val="subscript"/>
              </w:rPr>
              <w:t>2</w:t>
            </w:r>
            <w:r w:rsidRPr="00B275E2">
              <w:t>-e emissions</w:t>
            </w:r>
            <w:r w:rsidRPr="00B275E2">
              <w:tab/>
              <w:t>= 4,800 × 0.02</w:t>
            </w:r>
            <w:r w:rsidR="00111C46" w:rsidRPr="00B275E2">
              <w:t>7</w:t>
            </w:r>
            <w:r w:rsidRPr="00B275E2">
              <w:t xml:space="preserve"> </w:t>
            </w:r>
            <w:r w:rsidR="00771E24" w:rsidRPr="00B275E2">
              <w:tab/>
            </w:r>
            <w:r w:rsidRPr="00B275E2">
              <w:t xml:space="preserve">= </w:t>
            </w:r>
            <w:r w:rsidR="00111C46" w:rsidRPr="00B275E2">
              <w:t>129.6</w:t>
            </w:r>
            <w:r w:rsidRPr="00B275E2">
              <w:t xml:space="preserve"> kg CO</w:t>
            </w:r>
            <w:r w:rsidRPr="00B275E2">
              <w:rPr>
                <w:vertAlign w:val="subscript"/>
              </w:rPr>
              <w:t>2</w:t>
            </w:r>
            <w:r w:rsidRPr="00B275E2">
              <w:t xml:space="preserve">-e </w:t>
            </w:r>
          </w:p>
          <w:p w14:paraId="77ACDB4A" w14:textId="3F71810C" w:rsidR="000733CF" w:rsidRPr="00B275E2" w:rsidRDefault="00771E24" w:rsidP="008F4775">
            <w:pPr>
              <w:pStyle w:val="Boxtext"/>
              <w:spacing w:after="180"/>
            </w:pPr>
            <w:r w:rsidRPr="00B275E2">
              <w:rPr>
                <w:sz w:val="18"/>
              </w:rPr>
              <w:t>N</w:t>
            </w:r>
            <w:r w:rsidR="000733CF" w:rsidRPr="00B275E2">
              <w:rPr>
                <w:sz w:val="18"/>
              </w:rPr>
              <w:t>ote</w:t>
            </w:r>
            <w:r w:rsidR="00422BDE" w:rsidRPr="00B275E2">
              <w:rPr>
                <w:sz w:val="18"/>
              </w:rPr>
              <w:t>: N</w:t>
            </w:r>
            <w:r w:rsidR="000733CF" w:rsidRPr="00B275E2">
              <w:rPr>
                <w:sz w:val="18"/>
              </w:rPr>
              <w:t>umbers may not add due to rounding</w:t>
            </w:r>
            <w:r w:rsidR="009E1FFB" w:rsidRPr="00B275E2">
              <w:rPr>
                <w:sz w:val="18"/>
              </w:rPr>
              <w:t>.</w:t>
            </w:r>
          </w:p>
        </w:tc>
      </w:tr>
    </w:tbl>
    <w:p w14:paraId="65092A9F" w14:textId="4098D1D1" w:rsidR="0054105F" w:rsidRPr="00B275E2" w:rsidRDefault="0054105F" w:rsidP="006B7605">
      <w:pPr>
        <w:pStyle w:val="Heading3"/>
      </w:pPr>
      <w:bookmarkStart w:id="493" w:name="_Toc532904925"/>
      <w:r w:rsidRPr="00B275E2">
        <w:lastRenderedPageBreak/>
        <w:t>Emission factor derivation methodology</w:t>
      </w:r>
      <w:bookmarkEnd w:id="493"/>
    </w:p>
    <w:p w14:paraId="65092AA0" w14:textId="530B028C" w:rsidR="005B4652" w:rsidRPr="00B275E2" w:rsidRDefault="005B4652" w:rsidP="007F0B1E">
      <w:pPr>
        <w:pStyle w:val="BodyText"/>
      </w:pPr>
      <w:r w:rsidRPr="00B275E2">
        <w:t>KiwiRail provided the following information used to calculate the emission factors</w:t>
      </w:r>
      <w:r w:rsidR="00771E24" w:rsidRPr="00B275E2">
        <w:t>.</w:t>
      </w:r>
    </w:p>
    <w:p w14:paraId="65092AA1" w14:textId="166516A1" w:rsidR="00D918F2" w:rsidRPr="00B275E2" w:rsidRDefault="00EB4389" w:rsidP="008F4775">
      <w:pPr>
        <w:pStyle w:val="Tableheading"/>
      </w:pPr>
      <w:bookmarkStart w:id="494" w:name="_Toc111536671"/>
      <w:r w:rsidRPr="00B275E2">
        <w:t xml:space="preserve">Table </w:t>
      </w:r>
      <w:r w:rsidRPr="00B275E2">
        <w:fldChar w:fldCharType="begin"/>
      </w:r>
      <w:r w:rsidRPr="00B275E2">
        <w:instrText>SEQ Table \* ARABIC</w:instrText>
      </w:r>
      <w:r w:rsidRPr="00B275E2">
        <w:fldChar w:fldCharType="separate"/>
      </w:r>
      <w:r>
        <w:rPr>
          <w:noProof/>
        </w:rPr>
        <w:t>66</w:t>
      </w:r>
      <w:r w:rsidRPr="00B275E2">
        <w:fldChar w:fldCharType="end"/>
      </w:r>
      <w:r w:rsidRPr="00B275E2">
        <w:t>:</w:t>
      </w:r>
      <w:r w:rsidRPr="00B275E2">
        <w:tab/>
      </w:r>
      <w:r w:rsidR="00D918F2" w:rsidRPr="00B275E2">
        <w:t>Information provided by KiwiRail</w:t>
      </w:r>
      <w:bookmarkEnd w:id="494"/>
    </w:p>
    <w:tbl>
      <w:tblPr>
        <w:tblStyle w:val="LightList-Accent11"/>
        <w:tblW w:w="8505" w:type="dxa"/>
        <w:tblBorders>
          <w:top w:val="single" w:sz="4" w:space="0" w:color="1B556B"/>
          <w:bottom w:val="single" w:sz="4" w:space="0" w:color="1B556B"/>
          <w:insideH w:val="single" w:sz="4" w:space="0" w:color="1B556B"/>
          <w:insideV w:val="single" w:sz="4" w:space="0" w:color="1B556B"/>
        </w:tblBorders>
        <w:tblLook w:val="04A0" w:firstRow="1" w:lastRow="0" w:firstColumn="1" w:lastColumn="0" w:noHBand="0" w:noVBand="1"/>
      </w:tblPr>
      <w:tblGrid>
        <w:gridCol w:w="5087"/>
        <w:gridCol w:w="1480"/>
        <w:gridCol w:w="1938"/>
      </w:tblGrid>
      <w:tr w:rsidR="00C35E14" w:rsidRPr="00B275E2" w14:paraId="65092AA5" w14:textId="77777777" w:rsidTr="00317E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1B556B" w:themeFill="text2"/>
          </w:tcPr>
          <w:p w14:paraId="65092AA2" w14:textId="77777777" w:rsidR="005B4652" w:rsidRPr="00B275E2" w:rsidRDefault="005B4652" w:rsidP="00D3757A">
            <w:pPr>
              <w:pStyle w:val="TableText"/>
              <w:spacing w:before="40" w:after="40"/>
            </w:pPr>
            <w:r w:rsidRPr="00B275E2">
              <w:t>Calculation component</w:t>
            </w:r>
          </w:p>
        </w:tc>
        <w:tc>
          <w:tcPr>
            <w:tcW w:w="0" w:type="auto"/>
            <w:shd w:val="clear" w:color="auto" w:fill="1B556B" w:themeFill="text2"/>
          </w:tcPr>
          <w:p w14:paraId="65092AA3" w14:textId="77777777" w:rsidR="005B4652" w:rsidRPr="00B275E2" w:rsidRDefault="005B4652" w:rsidP="00D3757A">
            <w:pPr>
              <w:pStyle w:val="TableText"/>
              <w:spacing w:before="40" w:after="40"/>
              <w:cnfStyle w:val="100000000000" w:firstRow="1" w:lastRow="0" w:firstColumn="0" w:lastColumn="0" w:oddVBand="0" w:evenVBand="0" w:oddHBand="0" w:evenHBand="0" w:firstRowFirstColumn="0" w:firstRowLastColumn="0" w:lastRowFirstColumn="0" w:lastRowLastColumn="0"/>
            </w:pPr>
            <w:r w:rsidRPr="00B275E2">
              <w:t>Unit</w:t>
            </w:r>
          </w:p>
        </w:tc>
        <w:tc>
          <w:tcPr>
            <w:tcW w:w="0" w:type="auto"/>
            <w:shd w:val="clear" w:color="auto" w:fill="1B556B" w:themeFill="text2"/>
          </w:tcPr>
          <w:p w14:paraId="65092AA4" w14:textId="5273A26F" w:rsidR="005B4652" w:rsidRPr="00B275E2" w:rsidRDefault="005B4652" w:rsidP="00D3757A">
            <w:pPr>
              <w:pStyle w:val="TableText"/>
              <w:spacing w:before="40" w:after="40"/>
              <w:jc w:val="right"/>
              <w:cnfStyle w:val="100000000000" w:firstRow="1" w:lastRow="0" w:firstColumn="0" w:lastColumn="0" w:oddVBand="0" w:evenVBand="0" w:oddHBand="0" w:evenHBand="0" w:firstRowFirstColumn="0" w:firstRowLastColumn="0" w:lastRowFirstColumn="0" w:lastRowLastColumn="0"/>
            </w:pPr>
            <w:r w:rsidRPr="00B275E2">
              <w:t>Amount in 20</w:t>
            </w:r>
            <w:r w:rsidR="00111C46" w:rsidRPr="00B275E2">
              <w:t>20</w:t>
            </w:r>
          </w:p>
        </w:tc>
      </w:tr>
      <w:tr w:rsidR="005B4652" w:rsidRPr="00B275E2" w14:paraId="65092AA9" w14:textId="77777777" w:rsidTr="00B42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FFFFFF" w:themeColor="background1"/>
            </w:tcBorders>
          </w:tcPr>
          <w:p w14:paraId="65092AA6" w14:textId="6A70416A" w:rsidR="005B4652" w:rsidRPr="00B275E2" w:rsidRDefault="005B4652" w:rsidP="00D3757A">
            <w:pPr>
              <w:pStyle w:val="TableText"/>
              <w:spacing w:before="40" w:after="40"/>
              <w:rPr>
                <w:b w:val="0"/>
              </w:rPr>
            </w:pPr>
            <w:r w:rsidRPr="00B275E2">
              <w:rPr>
                <w:b w:val="0"/>
              </w:rPr>
              <w:t>Freight</w:t>
            </w:r>
            <w:r w:rsidR="00081569" w:rsidRPr="00B275E2">
              <w:rPr>
                <w:b w:val="0"/>
              </w:rPr>
              <w:t>-</w:t>
            </w:r>
            <w:r w:rsidRPr="00B275E2">
              <w:rPr>
                <w:b w:val="0"/>
              </w:rPr>
              <w:t>only fuel</w:t>
            </w:r>
          </w:p>
        </w:tc>
        <w:tc>
          <w:tcPr>
            <w:tcW w:w="0" w:type="auto"/>
          </w:tcPr>
          <w:p w14:paraId="65092AA7" w14:textId="77777777" w:rsidR="005B4652" w:rsidRPr="00B275E2" w:rsidRDefault="005B4652" w:rsidP="00D3757A">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275E2">
              <w:t>litres</w:t>
            </w:r>
          </w:p>
        </w:tc>
        <w:tc>
          <w:tcPr>
            <w:tcW w:w="0" w:type="auto"/>
            <w:tcBorders>
              <w:right w:val="single" w:sz="4" w:space="0" w:color="FFFFFF" w:themeColor="background1"/>
            </w:tcBorders>
          </w:tcPr>
          <w:p w14:paraId="65092AA8" w14:textId="392B55F0" w:rsidR="005B4652" w:rsidRPr="00B275E2" w:rsidRDefault="00111C46" w:rsidP="00D3757A">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B275E2">
              <w:t>39,996,846</w:t>
            </w:r>
          </w:p>
        </w:tc>
      </w:tr>
      <w:tr w:rsidR="005B4652" w:rsidRPr="00B275E2" w14:paraId="65092AAD" w14:textId="77777777" w:rsidTr="00B42293">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FFFFFF" w:themeColor="background1"/>
            </w:tcBorders>
          </w:tcPr>
          <w:p w14:paraId="65092AAA" w14:textId="77777777" w:rsidR="005B4652" w:rsidRPr="00B275E2" w:rsidRDefault="005B4652" w:rsidP="00D3757A">
            <w:pPr>
              <w:pStyle w:val="TableText"/>
              <w:spacing w:before="40" w:after="40"/>
              <w:rPr>
                <w:b w:val="0"/>
              </w:rPr>
            </w:pPr>
            <w:r w:rsidRPr="00B275E2">
              <w:rPr>
                <w:b w:val="0"/>
              </w:rPr>
              <w:t>Freight volumes (net)</w:t>
            </w:r>
          </w:p>
        </w:tc>
        <w:tc>
          <w:tcPr>
            <w:tcW w:w="0" w:type="auto"/>
          </w:tcPr>
          <w:p w14:paraId="65092AAB" w14:textId="01F92E9D" w:rsidR="005B4652" w:rsidRPr="00B275E2" w:rsidRDefault="005B4652" w:rsidP="00D3757A">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275E2">
              <w:t>NTKs (000s)</w:t>
            </w:r>
          </w:p>
        </w:tc>
        <w:tc>
          <w:tcPr>
            <w:tcW w:w="0" w:type="auto"/>
            <w:tcBorders>
              <w:right w:val="single" w:sz="4" w:space="0" w:color="FFFFFF" w:themeColor="background1"/>
            </w:tcBorders>
          </w:tcPr>
          <w:p w14:paraId="65092AAC" w14:textId="4E8CBB51" w:rsidR="005B4652" w:rsidRPr="00B275E2" w:rsidRDefault="00111C46" w:rsidP="00D3757A">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B275E2">
              <w:t>3,961,904</w:t>
            </w:r>
          </w:p>
        </w:tc>
      </w:tr>
      <w:tr w:rsidR="005B4652" w:rsidRPr="00B275E2" w14:paraId="65092AB1" w14:textId="77777777" w:rsidTr="00B42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FFFFFF" w:themeColor="background1"/>
            </w:tcBorders>
          </w:tcPr>
          <w:p w14:paraId="65092AAE" w14:textId="18FC5A3E" w:rsidR="005B4652" w:rsidRPr="00B275E2" w:rsidRDefault="005B4652" w:rsidP="00D3757A">
            <w:pPr>
              <w:pStyle w:val="TableText"/>
              <w:spacing w:before="40" w:after="40"/>
              <w:rPr>
                <w:b w:val="0"/>
              </w:rPr>
            </w:pPr>
            <w:r w:rsidRPr="00B275E2">
              <w:rPr>
                <w:b w:val="0"/>
              </w:rPr>
              <w:t>Electricity (net)</w:t>
            </w:r>
            <w:r w:rsidR="00E813F5" w:rsidRPr="00B275E2">
              <w:rPr>
                <w:b w:val="0"/>
              </w:rPr>
              <w:t xml:space="preserve"> North Island Main Trunk</w:t>
            </w:r>
            <w:r w:rsidR="007B2CCA" w:rsidRPr="00B275E2">
              <w:rPr>
                <w:b w:val="0"/>
              </w:rPr>
              <w:t xml:space="preserve"> (NIMT)</w:t>
            </w:r>
          </w:p>
        </w:tc>
        <w:tc>
          <w:tcPr>
            <w:tcW w:w="0" w:type="auto"/>
          </w:tcPr>
          <w:p w14:paraId="65092AAF" w14:textId="77777777" w:rsidR="005B4652" w:rsidRPr="00B275E2" w:rsidRDefault="005B4652" w:rsidP="00D3757A">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275E2">
              <w:t>k</w:t>
            </w:r>
            <w:r w:rsidR="00D918F2" w:rsidRPr="00B275E2">
              <w:t>W</w:t>
            </w:r>
            <w:r w:rsidRPr="00B275E2">
              <w:t>h</w:t>
            </w:r>
          </w:p>
        </w:tc>
        <w:tc>
          <w:tcPr>
            <w:tcW w:w="0" w:type="auto"/>
            <w:tcBorders>
              <w:right w:val="single" w:sz="4" w:space="0" w:color="FFFFFF" w:themeColor="background1"/>
            </w:tcBorders>
          </w:tcPr>
          <w:p w14:paraId="65092AB0" w14:textId="07FAF82F" w:rsidR="005B4652" w:rsidRPr="00B275E2" w:rsidRDefault="00111C46" w:rsidP="00D3757A">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B275E2">
              <w:t>6,373,312</w:t>
            </w:r>
          </w:p>
        </w:tc>
      </w:tr>
    </w:tbl>
    <w:p w14:paraId="65092AB2" w14:textId="5F4F653B" w:rsidR="005B4652" w:rsidRPr="00B275E2" w:rsidRDefault="001F219F" w:rsidP="007F0B1E">
      <w:pPr>
        <w:pStyle w:val="Note"/>
      </w:pPr>
      <w:r w:rsidRPr="00B275E2">
        <w:t>Note</w:t>
      </w:r>
      <w:r w:rsidR="00081569" w:rsidRPr="00B275E2">
        <w:t>:</w:t>
      </w:r>
      <w:r w:rsidRPr="00B275E2">
        <w:t xml:space="preserve"> </w:t>
      </w:r>
      <w:r w:rsidR="005B4652" w:rsidRPr="00B275E2">
        <w:t xml:space="preserve">NTK </w:t>
      </w:r>
      <w:r w:rsidR="008B06A8" w:rsidRPr="00B275E2">
        <w:t xml:space="preserve">(Net tonne km) </w:t>
      </w:r>
      <w:r w:rsidR="005B4652" w:rsidRPr="00B275E2">
        <w:t xml:space="preserve">is </w:t>
      </w:r>
      <w:r w:rsidR="00C400EA" w:rsidRPr="00B275E2">
        <w:t>the sum of the tonnes carried multiplied by the distance travelled.</w:t>
      </w:r>
    </w:p>
    <w:p w14:paraId="65092AB3" w14:textId="15E71EFF" w:rsidR="00D918F2" w:rsidRPr="00B275E2" w:rsidRDefault="00D918F2" w:rsidP="005E54CD">
      <w:pPr>
        <w:pStyle w:val="BodyText"/>
      </w:pPr>
      <w:r w:rsidRPr="00B275E2">
        <w:t>To calculate emissions from freight</w:t>
      </w:r>
      <w:r w:rsidR="00081569" w:rsidRPr="00B275E2">
        <w:t>-</w:t>
      </w:r>
      <w:r w:rsidRPr="00B275E2">
        <w:t>only fuel</w:t>
      </w:r>
      <w:r w:rsidR="00771E24" w:rsidRPr="00B275E2">
        <w:t>,</w:t>
      </w:r>
      <w:r w:rsidRPr="00B275E2">
        <w:t xml:space="preserve"> </w:t>
      </w:r>
      <w:r w:rsidR="00771E24" w:rsidRPr="00B275E2">
        <w:t xml:space="preserve">multiply </w:t>
      </w:r>
      <w:r w:rsidRPr="00B275E2">
        <w:t>the litres by the diesel emission factor in</w:t>
      </w:r>
      <w:r w:rsidR="007D29CD" w:rsidRPr="00B275E2">
        <w:t> </w:t>
      </w:r>
      <w:hyperlink w:anchor="table4" w:history="1">
        <w:r w:rsidR="007D29CD" w:rsidRPr="00B275E2">
          <w:rPr>
            <w:rStyle w:val="Hyperlink"/>
          </w:rPr>
          <w:t>table 4</w:t>
        </w:r>
      </w:hyperlink>
      <w:r w:rsidR="00771E24" w:rsidRPr="00B275E2">
        <w:t>:</w:t>
      </w:r>
    </w:p>
    <w:tbl>
      <w:tblPr>
        <w:tblStyle w:val="mfebox"/>
        <w:tblW w:w="0" w:type="auto"/>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1" w:themeFill="background2"/>
        <w:tblLook w:val="04A0" w:firstRow="1" w:lastRow="0" w:firstColumn="1" w:lastColumn="0" w:noHBand="0" w:noVBand="1"/>
      </w:tblPr>
      <w:tblGrid>
        <w:gridCol w:w="8495"/>
      </w:tblGrid>
      <w:tr w:rsidR="00F919E2" w:rsidRPr="00B275E2" w14:paraId="65092AB5" w14:textId="77777777" w:rsidTr="00317ED4">
        <w:tc>
          <w:tcPr>
            <w:tcW w:w="8720" w:type="dxa"/>
            <w:shd w:val="clear" w:color="auto" w:fill="D2DDE1" w:themeFill="background2"/>
          </w:tcPr>
          <w:p w14:paraId="65092AB4" w14:textId="78487CEA" w:rsidR="00F919E2" w:rsidRPr="00B275E2" w:rsidRDefault="00E97D2C" w:rsidP="007F0B1E">
            <w:pPr>
              <w:pStyle w:val="Box"/>
              <w:spacing w:before="0" w:after="0"/>
              <w:ind w:left="0"/>
            </w:pPr>
            <m:oMathPara>
              <m:oMath>
                <m:r>
                  <w:rPr>
                    <w:rFonts w:ascii="Cambria Math" w:hAnsi="Cambria Math"/>
                  </w:rPr>
                  <m:t>emissions</m:t>
                </m:r>
                <m:r>
                  <m:rPr>
                    <m:sty m:val="p"/>
                  </m:rPr>
                  <w:rPr>
                    <w:rFonts w:ascii="Cambria Math" w:hAnsi="Cambria Math"/>
                  </w:rPr>
                  <m:t xml:space="preserve"> </m:t>
                </m:r>
                <m:r>
                  <w:rPr>
                    <w:rFonts w:ascii="Cambria Math" w:hAnsi="Cambria Math"/>
                  </w:rPr>
                  <m:t>from</m:t>
                </m:r>
                <m:r>
                  <m:rPr>
                    <m:sty m:val="p"/>
                  </m:rPr>
                  <w:rPr>
                    <w:rFonts w:ascii="Cambria Math" w:hAnsi="Cambria Math"/>
                  </w:rPr>
                  <m:t xml:space="preserve"> </m:t>
                </m:r>
                <m:r>
                  <w:rPr>
                    <w:rFonts w:ascii="Cambria Math" w:hAnsi="Cambria Math"/>
                  </w:rPr>
                  <m:t>fuel=freight˗only</m:t>
                </m:r>
                <m:r>
                  <m:rPr>
                    <m:sty m:val="p"/>
                  </m:rPr>
                  <w:rPr>
                    <w:rFonts w:ascii="Cambria Math" w:hAnsi="Cambria Math"/>
                  </w:rPr>
                  <m:t xml:space="preserve"> </m:t>
                </m:r>
                <m:r>
                  <w:rPr>
                    <w:rFonts w:ascii="Cambria Math" w:hAnsi="Cambria Math"/>
                  </w:rPr>
                  <m:t>fuel</m:t>
                </m:r>
                <m:r>
                  <m:rPr>
                    <m:sty m:val="p"/>
                  </m:rPr>
                  <w:rPr>
                    <w:rFonts w:ascii="Cambria Math" w:hAnsi="Cambria Math"/>
                  </w:rPr>
                  <m:t xml:space="preserve"> × </m:t>
                </m:r>
                <m:r>
                  <w:rPr>
                    <w:rFonts w:ascii="Cambria Math" w:hAnsi="Cambria Math"/>
                  </w:rPr>
                  <m:t>diesel</m:t>
                </m:r>
                <m:r>
                  <m:rPr>
                    <m:sty m:val="p"/>
                  </m:rPr>
                  <w:rPr>
                    <w:rFonts w:ascii="Cambria Math" w:hAnsi="Cambria Math"/>
                  </w:rPr>
                  <m:t xml:space="preserve"> </m:t>
                </m:r>
                <m:r>
                  <w:rPr>
                    <w:rFonts w:ascii="Cambria Math" w:hAnsi="Cambria Math"/>
                  </w:rPr>
                  <m:t>emission</m:t>
                </m:r>
                <m:r>
                  <m:rPr>
                    <m:sty m:val="p"/>
                  </m:rPr>
                  <w:rPr>
                    <w:rFonts w:ascii="Cambria Math" w:hAnsi="Cambria Math"/>
                  </w:rPr>
                  <m:t xml:space="preserve"> </m:t>
                </m:r>
                <m:r>
                  <w:rPr>
                    <w:rFonts w:ascii="Cambria Math" w:hAnsi="Cambria Math"/>
                  </w:rPr>
                  <m:t>factors</m:t>
                </m:r>
              </m:oMath>
            </m:oMathPara>
          </w:p>
        </w:tc>
      </w:tr>
    </w:tbl>
    <w:p w14:paraId="65092AB6" w14:textId="15DBC5E1" w:rsidR="00D918F2" w:rsidRPr="00B275E2" w:rsidRDefault="00D918F2" w:rsidP="00BC65F9">
      <w:pPr>
        <w:pStyle w:val="BodyText"/>
        <w:spacing w:before="240" w:after="160"/>
      </w:pPr>
      <w:r w:rsidRPr="00B275E2">
        <w:t xml:space="preserve">To calculate emissions from </w:t>
      </w:r>
      <w:r w:rsidR="00771E24" w:rsidRPr="00B275E2">
        <w:t>electricity,</w:t>
      </w:r>
      <w:r w:rsidRPr="00B275E2">
        <w:t xml:space="preserve"> </w:t>
      </w:r>
      <w:r w:rsidR="00771E24" w:rsidRPr="00B275E2">
        <w:t xml:space="preserve">multiply </w:t>
      </w:r>
      <w:r w:rsidRPr="00B275E2">
        <w:t xml:space="preserve">the </w:t>
      </w:r>
      <w:r w:rsidR="00E813F5" w:rsidRPr="00B275E2">
        <w:t xml:space="preserve">net </w:t>
      </w:r>
      <w:r w:rsidRPr="00B275E2">
        <w:t>kWh by the emission factors in</w:t>
      </w:r>
      <w:r w:rsidR="00317A99" w:rsidRPr="00B275E2">
        <w:t xml:space="preserve"> </w:t>
      </w:r>
      <w:r w:rsidR="00514754" w:rsidRPr="00B275E2">
        <w:t>table</w:t>
      </w:r>
      <w:r w:rsidR="00514754" w:rsidRPr="00B275E2">
        <w:rPr>
          <w:rStyle w:val="Hyperlink"/>
        </w:rPr>
        <w:t xml:space="preserve"> </w:t>
      </w:r>
      <w:r w:rsidR="00E770A9" w:rsidRPr="00B275E2">
        <w:rPr>
          <w:rStyle w:val="Hyperlink"/>
          <w:color w:val="auto"/>
        </w:rPr>
        <w:t>9 or table 10</w:t>
      </w:r>
      <w:r w:rsidR="00771E24" w:rsidRPr="00B275E2">
        <w:t>:</w:t>
      </w:r>
    </w:p>
    <w:tbl>
      <w:tblPr>
        <w:tblStyle w:val="mfebox"/>
        <w:tblW w:w="0" w:type="auto"/>
        <w:tblBorders>
          <w:top w:val="single" w:sz="4" w:space="0" w:color="D2DDE1"/>
          <w:left w:val="single" w:sz="4" w:space="0" w:color="D2DDE1"/>
          <w:bottom w:val="single" w:sz="4" w:space="0" w:color="D2DDE1"/>
          <w:right w:val="single" w:sz="4" w:space="0" w:color="D2DDE1"/>
        </w:tblBorders>
        <w:shd w:val="clear" w:color="auto" w:fill="D2DDE1" w:themeFill="background2"/>
        <w:tblLook w:val="04A0" w:firstRow="1" w:lastRow="0" w:firstColumn="1" w:lastColumn="0" w:noHBand="0" w:noVBand="1"/>
      </w:tblPr>
      <w:tblGrid>
        <w:gridCol w:w="8495"/>
      </w:tblGrid>
      <w:tr w:rsidR="00F919E2" w:rsidRPr="00B275E2" w14:paraId="65092AB8" w14:textId="77777777" w:rsidTr="00317ED4">
        <w:tc>
          <w:tcPr>
            <w:tcW w:w="8720" w:type="dxa"/>
            <w:shd w:val="clear" w:color="auto" w:fill="D2DDE1" w:themeFill="background2"/>
          </w:tcPr>
          <w:p w14:paraId="65092AB7" w14:textId="234AD101" w:rsidR="00F919E2" w:rsidRPr="00B275E2" w:rsidRDefault="00E97D2C" w:rsidP="007F0B1E">
            <w:pPr>
              <w:pStyle w:val="Box"/>
              <w:spacing w:before="0" w:after="0"/>
              <w:ind w:left="0"/>
            </w:pPr>
            <m:oMathPara>
              <m:oMath>
                <m:r>
                  <w:rPr>
                    <w:rFonts w:ascii="Cambria Math" w:hAnsi="Cambria Math"/>
                  </w:rPr>
                  <m:t>emissions</m:t>
                </m:r>
                <m:r>
                  <m:rPr>
                    <m:sty m:val="p"/>
                  </m:rPr>
                  <w:rPr>
                    <w:rFonts w:ascii="Cambria Math" w:hAnsi="Cambria Math"/>
                  </w:rPr>
                  <m:t xml:space="preserve"> </m:t>
                </m:r>
                <m:r>
                  <w:rPr>
                    <w:rFonts w:ascii="Cambria Math" w:hAnsi="Cambria Math"/>
                  </w:rPr>
                  <m:t>from</m:t>
                </m:r>
                <m:r>
                  <m:rPr>
                    <m:sty m:val="p"/>
                  </m:rPr>
                  <w:rPr>
                    <w:rFonts w:ascii="Cambria Math" w:hAnsi="Cambria Math"/>
                  </w:rPr>
                  <m:t xml:space="preserve"> </m:t>
                </m:r>
                <m:r>
                  <w:rPr>
                    <w:rFonts w:ascii="Cambria Math" w:hAnsi="Cambria Math"/>
                  </w:rPr>
                  <m:t>electricity= electricity</m:t>
                </m:r>
                <m:r>
                  <m:rPr>
                    <m:sty m:val="p"/>
                  </m:rPr>
                  <w:rPr>
                    <w:rFonts w:ascii="Cambria Math" w:hAnsi="Cambria Math"/>
                  </w:rPr>
                  <m:t xml:space="preserve"> </m:t>
                </m:r>
                <m:r>
                  <w:rPr>
                    <w:rFonts w:ascii="Cambria Math" w:hAnsi="Cambria Math"/>
                  </w:rPr>
                  <m:t>NIMT</m:t>
                </m:r>
                <m:r>
                  <m:rPr>
                    <m:sty m:val="p"/>
                  </m:rPr>
                  <w:rPr>
                    <w:rFonts w:ascii="Cambria Math" w:hAnsi="Cambria Math"/>
                  </w:rPr>
                  <m:t xml:space="preserve"> × </m:t>
                </m:r>
                <m:r>
                  <w:rPr>
                    <w:rFonts w:ascii="Cambria Math" w:hAnsi="Cambria Math"/>
                  </w:rPr>
                  <m:t>purchased</m:t>
                </m:r>
                <m:r>
                  <m:rPr>
                    <m:sty m:val="p"/>
                  </m:rPr>
                  <w:rPr>
                    <w:rFonts w:ascii="Cambria Math" w:hAnsi="Cambria Math"/>
                  </w:rPr>
                  <m:t xml:space="preserve"> </m:t>
                </m:r>
                <m:r>
                  <w:rPr>
                    <w:rFonts w:ascii="Cambria Math" w:hAnsi="Cambria Math"/>
                  </w:rPr>
                  <m:t>electricity</m:t>
                </m:r>
                <m:r>
                  <m:rPr>
                    <m:sty m:val="p"/>
                  </m:rPr>
                  <w:rPr>
                    <w:rFonts w:ascii="Cambria Math" w:hAnsi="Cambria Math"/>
                  </w:rPr>
                  <m:t xml:space="preserve"> </m:t>
                </m:r>
                <m:r>
                  <w:rPr>
                    <w:rFonts w:ascii="Cambria Math" w:hAnsi="Cambria Math"/>
                  </w:rPr>
                  <m:t>emission</m:t>
                </m:r>
                <m:r>
                  <m:rPr>
                    <m:sty m:val="p"/>
                  </m:rPr>
                  <w:rPr>
                    <w:rFonts w:ascii="Cambria Math" w:hAnsi="Cambria Math"/>
                  </w:rPr>
                  <m:t xml:space="preserve"> </m:t>
                </m:r>
                <m:r>
                  <w:rPr>
                    <w:rFonts w:ascii="Cambria Math" w:hAnsi="Cambria Math"/>
                  </w:rPr>
                  <m:t>factors</m:t>
                </m:r>
              </m:oMath>
            </m:oMathPara>
          </w:p>
        </w:tc>
      </w:tr>
    </w:tbl>
    <w:p w14:paraId="65092AB9" w14:textId="2AA68322" w:rsidR="00D918F2" w:rsidRPr="00B275E2" w:rsidRDefault="00D918F2" w:rsidP="00BC65F9">
      <w:pPr>
        <w:pStyle w:val="BodyText"/>
        <w:spacing w:before="240" w:after="160"/>
      </w:pPr>
      <w:r w:rsidRPr="00B275E2">
        <w:t>To calculate emissions from transmission and distribution losses from the purchased electricity</w:t>
      </w:r>
      <w:r w:rsidR="00771E24" w:rsidRPr="00B275E2">
        <w:t xml:space="preserve">, multiply </w:t>
      </w:r>
      <w:r w:rsidRPr="00B275E2">
        <w:t>the kWh by the emission factors in</w:t>
      </w:r>
      <w:r w:rsidR="00E770A9" w:rsidRPr="00B275E2">
        <w:t xml:space="preserve"> table 12</w:t>
      </w:r>
      <w:r w:rsidR="00771E24" w:rsidRPr="00B275E2">
        <w:t>:</w:t>
      </w:r>
    </w:p>
    <w:tbl>
      <w:tblPr>
        <w:tblStyle w:val="mfebox"/>
        <w:tblW w:w="0" w:type="auto"/>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495"/>
      </w:tblGrid>
      <w:tr w:rsidR="00F919E2" w:rsidRPr="00B275E2" w14:paraId="65092ABB" w14:textId="77777777" w:rsidTr="00317ED4">
        <w:tc>
          <w:tcPr>
            <w:tcW w:w="8629" w:type="dxa"/>
            <w:shd w:val="clear" w:color="auto" w:fill="D2DDE1" w:themeFill="background2"/>
            <w:vAlign w:val="center"/>
          </w:tcPr>
          <w:p w14:paraId="65092ABA" w14:textId="70CDA816" w:rsidR="00F919E2" w:rsidRPr="00B275E2" w:rsidRDefault="00E97D2C" w:rsidP="00FA3FC2">
            <w:pPr>
              <w:pStyle w:val="Box"/>
              <w:spacing w:before="0" w:after="0"/>
              <w:ind w:left="0"/>
              <w:jc w:val="center"/>
            </w:pPr>
            <m:oMathPara>
              <m:oMathParaPr>
                <m:jc m:val="center"/>
              </m:oMathParaPr>
              <m:oMath>
                <m:r>
                  <w:rPr>
                    <w:rFonts w:ascii="Cambria Math" w:hAnsi="Cambria Math"/>
                  </w:rPr>
                  <m:t>emissions</m:t>
                </m:r>
                <m:r>
                  <m:rPr>
                    <m:sty m:val="p"/>
                  </m:rPr>
                  <w:rPr>
                    <w:rFonts w:ascii="Cambria Math" w:hAnsi="Cambria Math"/>
                  </w:rPr>
                  <m:t xml:space="preserve"> </m:t>
                </m:r>
                <m:r>
                  <w:rPr>
                    <w:rFonts w:ascii="Cambria Math" w:hAnsi="Cambria Math"/>
                  </w:rPr>
                  <m:t>from</m:t>
                </m:r>
                <m:r>
                  <m:rPr>
                    <m:sty m:val="p"/>
                  </m:rPr>
                  <w:rPr>
                    <w:rFonts w:ascii="Cambria Math" w:hAnsi="Cambria Math"/>
                  </w:rPr>
                  <m:t xml:space="preserve"> </m:t>
                </m:r>
                <m:r>
                  <w:rPr>
                    <w:rFonts w:ascii="Cambria Math" w:hAnsi="Cambria Math"/>
                  </w:rPr>
                  <m:t>T</m:t>
                </m:r>
                <m:r>
                  <m:rPr>
                    <m:sty m:val="p"/>
                  </m:rPr>
                  <w:rPr>
                    <w:rFonts w:ascii="Cambria Math" w:hAnsi="Cambria Math"/>
                  </w:rPr>
                  <m:t>&amp;</m:t>
                </m:r>
                <m:r>
                  <w:rPr>
                    <w:rFonts w:ascii="Cambria Math" w:hAnsi="Cambria Math"/>
                  </w:rPr>
                  <m:t>D</m:t>
                </m:r>
                <m:r>
                  <m:rPr>
                    <m:sty m:val="p"/>
                  </m:rPr>
                  <w:rPr>
                    <w:rFonts w:ascii="Cambria Math" w:hAnsi="Cambria Math"/>
                  </w:rPr>
                  <m:t xml:space="preserve"> </m:t>
                </m:r>
                <m:r>
                  <w:rPr>
                    <w:rFonts w:ascii="Cambria Math" w:hAnsi="Cambria Math"/>
                  </w:rPr>
                  <m:t xml:space="preserve">losses </m:t>
                </m:r>
                <m:r>
                  <m:rPr>
                    <m:sty m:val="p"/>
                  </m:rPr>
                  <w:rPr>
                    <w:rFonts w:ascii="Cambria Math" w:hAnsi="Cambria Math"/>
                  </w:rPr>
                  <w:br/>
                </m:r>
              </m:oMath>
              <m:oMath>
                <m:r>
                  <w:rPr>
                    <w:rFonts w:ascii="Cambria Math" w:hAnsi="Cambria Math"/>
                  </w:rPr>
                  <m:t>=electricity</m:t>
                </m:r>
                <m:r>
                  <m:rPr>
                    <m:sty m:val="p"/>
                  </m:rPr>
                  <w:rPr>
                    <w:rFonts w:ascii="Cambria Math" w:hAnsi="Cambria Math"/>
                  </w:rPr>
                  <m:t xml:space="preserve"> </m:t>
                </m:r>
                <m:r>
                  <w:rPr>
                    <w:rFonts w:ascii="Cambria Math" w:hAnsi="Cambria Math"/>
                  </w:rPr>
                  <m:t>NIMT</m:t>
                </m:r>
                <m:r>
                  <m:rPr>
                    <m:sty m:val="p"/>
                  </m:rPr>
                  <w:rPr>
                    <w:rFonts w:ascii="Cambria Math" w:hAnsi="Cambria Math"/>
                  </w:rPr>
                  <m:t>×</m:t>
                </m:r>
                <m:r>
                  <w:rPr>
                    <w:rFonts w:ascii="Cambria Math" w:hAnsi="Cambria Math"/>
                  </w:rPr>
                  <m:t>T</m:t>
                </m:r>
                <m:r>
                  <m:rPr>
                    <m:sty m:val="p"/>
                  </m:rPr>
                  <w:rPr>
                    <w:rFonts w:ascii="Cambria Math" w:hAnsi="Cambria Math"/>
                  </w:rPr>
                  <m:t xml:space="preserve">&amp; </m:t>
                </m:r>
                <m:r>
                  <w:rPr>
                    <w:rFonts w:ascii="Cambria Math" w:hAnsi="Cambria Math"/>
                  </w:rPr>
                  <m:t>D</m:t>
                </m:r>
                <m:r>
                  <m:rPr>
                    <m:sty m:val="p"/>
                  </m:rPr>
                  <w:rPr>
                    <w:rFonts w:ascii="Cambria Math" w:hAnsi="Cambria Math"/>
                  </w:rPr>
                  <m:t xml:space="preserve"> </m:t>
                </m:r>
                <m:r>
                  <w:rPr>
                    <w:rFonts w:ascii="Cambria Math" w:hAnsi="Cambria Math"/>
                  </w:rPr>
                  <m:t>losses</m:t>
                </m:r>
                <m:r>
                  <m:rPr>
                    <m:sty m:val="p"/>
                  </m:rPr>
                  <w:rPr>
                    <w:rFonts w:ascii="Cambria Math" w:hAnsi="Cambria Math"/>
                  </w:rPr>
                  <m:t xml:space="preserve"> </m:t>
                </m:r>
                <m:r>
                  <w:rPr>
                    <w:rFonts w:ascii="Cambria Math" w:hAnsi="Cambria Math"/>
                  </w:rPr>
                  <m:t>for</m:t>
                </m:r>
                <m:r>
                  <m:rPr>
                    <m:sty m:val="p"/>
                  </m:rPr>
                  <w:rPr>
                    <w:rFonts w:ascii="Cambria Math" w:hAnsi="Cambria Math"/>
                  </w:rPr>
                  <m:t xml:space="preserve"> </m:t>
                </m:r>
                <m:r>
                  <w:rPr>
                    <w:rFonts w:ascii="Cambria Math" w:hAnsi="Cambria Math"/>
                  </w:rPr>
                  <m:t>purchased</m:t>
                </m:r>
                <m:r>
                  <m:rPr>
                    <m:sty m:val="p"/>
                  </m:rPr>
                  <w:rPr>
                    <w:rFonts w:ascii="Cambria Math" w:hAnsi="Cambria Math"/>
                  </w:rPr>
                  <m:t xml:space="preserve"> </m:t>
                </m:r>
                <m:r>
                  <w:rPr>
                    <w:rFonts w:ascii="Cambria Math" w:hAnsi="Cambria Math"/>
                  </w:rPr>
                  <m:t>electricity</m:t>
                </m:r>
                <m:r>
                  <m:rPr>
                    <m:sty m:val="p"/>
                  </m:rPr>
                  <w:rPr>
                    <w:rFonts w:ascii="Cambria Math" w:hAnsi="Cambria Math"/>
                  </w:rPr>
                  <m:t xml:space="preserve"> </m:t>
                </m:r>
                <m:r>
                  <w:rPr>
                    <w:rFonts w:ascii="Cambria Math" w:hAnsi="Cambria Math"/>
                  </w:rPr>
                  <m:t>emission</m:t>
                </m:r>
                <m:r>
                  <m:rPr>
                    <m:sty m:val="p"/>
                  </m:rPr>
                  <w:rPr>
                    <w:rFonts w:ascii="Cambria Math" w:hAnsi="Cambria Math"/>
                  </w:rPr>
                  <m:t xml:space="preserve"> </m:t>
                </m:r>
                <m:r>
                  <w:rPr>
                    <w:rFonts w:ascii="Cambria Math" w:hAnsi="Cambria Math"/>
                  </w:rPr>
                  <m:t>factors</m:t>
                </m:r>
              </m:oMath>
            </m:oMathPara>
          </w:p>
        </w:tc>
      </w:tr>
    </w:tbl>
    <w:p w14:paraId="65092ABC" w14:textId="3A6EF639" w:rsidR="004C47E8" w:rsidRPr="00B275E2" w:rsidRDefault="00771E24" w:rsidP="00BC65F9">
      <w:pPr>
        <w:pStyle w:val="BodyText"/>
        <w:keepNext/>
        <w:spacing w:before="240" w:after="160"/>
      </w:pPr>
      <w:r w:rsidRPr="00B275E2">
        <w:t>Divide t</w:t>
      </w:r>
      <w:r w:rsidR="004C47E8" w:rsidRPr="00B275E2">
        <w:t>hese total emissions by the freight volumes in tonnes to give emissions per tkm</w:t>
      </w:r>
      <w:r w:rsidRPr="00B275E2">
        <w:t>:</w:t>
      </w:r>
    </w:p>
    <w:tbl>
      <w:tblPr>
        <w:tblStyle w:val="mfebox"/>
        <w:tblW w:w="0" w:type="auto"/>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1" w:themeFill="background2"/>
        <w:tblLook w:val="04A0" w:firstRow="1" w:lastRow="0" w:firstColumn="1" w:lastColumn="0" w:noHBand="0" w:noVBand="1"/>
      </w:tblPr>
      <w:tblGrid>
        <w:gridCol w:w="8495"/>
      </w:tblGrid>
      <w:tr w:rsidR="009E41DD" w:rsidRPr="00B275E2" w14:paraId="65092ABE" w14:textId="77777777" w:rsidTr="00317ED4">
        <w:tc>
          <w:tcPr>
            <w:tcW w:w="8720" w:type="dxa"/>
            <w:shd w:val="clear" w:color="auto" w:fill="D2DDE1" w:themeFill="background2"/>
          </w:tcPr>
          <w:p w14:paraId="65092ABD" w14:textId="18C6900B" w:rsidR="009E41DD" w:rsidRPr="00B275E2" w:rsidRDefault="00E97D2C" w:rsidP="00D3757A">
            <w:pPr>
              <w:pStyle w:val="Box"/>
              <w:spacing w:before="0" w:after="0"/>
              <w:ind w:left="0"/>
            </w:pPr>
            <m:oMathPara>
              <m:oMathParaPr>
                <m:jc m:val="center"/>
              </m:oMathParaPr>
              <m:oMath>
                <m:r>
                  <w:rPr>
                    <w:rFonts w:ascii="Cambria Math" w:hAnsi="Cambria Math"/>
                  </w:rPr>
                  <m:t>emission per tkm</m:t>
                </m:r>
                <m:r>
                  <m:rPr>
                    <m:sty m:val="p"/>
                  </m:rPr>
                  <w:rPr>
                    <w:rFonts w:ascii="Cambria Math" w:hAnsi="Cambria Math"/>
                  </w:rPr>
                  <w:br/>
                </m:r>
              </m:oMath>
              <m:oMath>
                <m:r>
                  <w:rPr>
                    <w:rFonts w:ascii="Cambria Math" w:hAnsi="Cambria Math"/>
                  </w:rPr>
                  <m:t xml:space="preserve">= </m:t>
                </m:r>
                <m:f>
                  <m:fPr>
                    <m:ctrlPr>
                      <w:rPr>
                        <w:rFonts w:ascii="Cambria Math" w:hAnsi="Cambria Math"/>
                      </w:rPr>
                    </m:ctrlPr>
                  </m:fPr>
                  <m:num>
                    <m:r>
                      <w:rPr>
                        <w:rFonts w:ascii="Cambria Math" w:hAnsi="Cambria Math"/>
                      </w:rPr>
                      <m:t>emissions</m:t>
                    </m:r>
                    <m:r>
                      <m:rPr>
                        <m:sty m:val="p"/>
                      </m:rPr>
                      <w:rPr>
                        <w:rFonts w:ascii="Cambria Math" w:hAnsi="Cambria Math"/>
                      </w:rPr>
                      <m:t xml:space="preserve"> </m:t>
                    </m:r>
                    <m:r>
                      <w:rPr>
                        <w:rFonts w:ascii="Cambria Math" w:hAnsi="Cambria Math"/>
                      </w:rPr>
                      <m:t>from</m:t>
                    </m:r>
                    <m:r>
                      <m:rPr>
                        <m:sty m:val="p"/>
                      </m:rPr>
                      <w:rPr>
                        <w:rFonts w:ascii="Cambria Math" w:hAnsi="Cambria Math"/>
                      </w:rPr>
                      <m:t xml:space="preserve"> </m:t>
                    </m:r>
                    <m:r>
                      <w:rPr>
                        <w:rFonts w:ascii="Cambria Math" w:hAnsi="Cambria Math"/>
                      </w:rPr>
                      <m:t>fuel</m:t>
                    </m:r>
                    <m:r>
                      <m:rPr>
                        <m:sty m:val="p"/>
                      </m:rPr>
                      <w:rPr>
                        <w:rFonts w:ascii="Cambria Math" w:hAnsi="Cambria Math"/>
                      </w:rPr>
                      <m:t>+</m:t>
                    </m:r>
                    <m:r>
                      <w:rPr>
                        <w:rFonts w:ascii="Cambria Math" w:hAnsi="Cambria Math"/>
                      </w:rPr>
                      <m:t>emissions</m:t>
                    </m:r>
                    <m:r>
                      <m:rPr>
                        <m:sty m:val="p"/>
                      </m:rPr>
                      <w:rPr>
                        <w:rFonts w:ascii="Cambria Math" w:hAnsi="Cambria Math"/>
                      </w:rPr>
                      <m:t xml:space="preserve"> </m:t>
                    </m:r>
                    <m:r>
                      <w:rPr>
                        <w:rFonts w:ascii="Cambria Math" w:hAnsi="Cambria Math"/>
                      </w:rPr>
                      <m:t>from</m:t>
                    </m:r>
                    <m:r>
                      <m:rPr>
                        <m:sty m:val="p"/>
                      </m:rPr>
                      <w:rPr>
                        <w:rFonts w:ascii="Cambria Math" w:hAnsi="Cambria Math"/>
                      </w:rPr>
                      <m:t xml:space="preserve"> </m:t>
                    </m:r>
                    <m:r>
                      <w:rPr>
                        <w:rFonts w:ascii="Cambria Math" w:hAnsi="Cambria Math"/>
                      </w:rPr>
                      <m:t>electricity</m:t>
                    </m:r>
                    <m:r>
                      <m:rPr>
                        <m:sty m:val="p"/>
                      </m:rPr>
                      <w:rPr>
                        <w:rFonts w:ascii="Cambria Math" w:hAnsi="Cambria Math"/>
                      </w:rPr>
                      <m:t>+</m:t>
                    </m:r>
                    <m:r>
                      <w:rPr>
                        <w:rFonts w:ascii="Cambria Math" w:hAnsi="Cambria Math"/>
                      </w:rPr>
                      <m:t>emissions</m:t>
                    </m:r>
                    <m:r>
                      <m:rPr>
                        <m:sty m:val="p"/>
                      </m:rPr>
                      <w:rPr>
                        <w:rFonts w:ascii="Cambria Math" w:hAnsi="Cambria Math"/>
                      </w:rPr>
                      <m:t xml:space="preserve"> </m:t>
                    </m:r>
                    <m:r>
                      <w:rPr>
                        <w:rFonts w:ascii="Cambria Math" w:hAnsi="Cambria Math"/>
                      </w:rPr>
                      <m:t>from</m:t>
                    </m:r>
                    <m:r>
                      <m:rPr>
                        <m:sty m:val="p"/>
                      </m:rPr>
                      <w:rPr>
                        <w:rFonts w:ascii="Cambria Math" w:hAnsi="Cambria Math"/>
                      </w:rPr>
                      <m:t xml:space="preserve"> </m:t>
                    </m:r>
                    <m:r>
                      <w:rPr>
                        <w:rFonts w:ascii="Cambria Math" w:hAnsi="Cambria Math"/>
                      </w:rPr>
                      <m:t>T</m:t>
                    </m:r>
                    <m:r>
                      <m:rPr>
                        <m:sty m:val="p"/>
                      </m:rPr>
                      <w:rPr>
                        <w:rFonts w:ascii="Cambria Math" w:hAnsi="Cambria Math"/>
                      </w:rPr>
                      <m:t>&amp;</m:t>
                    </m:r>
                    <m:r>
                      <w:rPr>
                        <w:rFonts w:ascii="Cambria Math" w:hAnsi="Cambria Math"/>
                      </w:rPr>
                      <m:t>D</m:t>
                    </m:r>
                    <m:r>
                      <m:rPr>
                        <m:sty m:val="p"/>
                      </m:rPr>
                      <w:rPr>
                        <w:rFonts w:ascii="Cambria Math" w:hAnsi="Cambria Math"/>
                      </w:rPr>
                      <m:t xml:space="preserve"> </m:t>
                    </m:r>
                    <m:r>
                      <w:rPr>
                        <w:rFonts w:ascii="Cambria Math" w:hAnsi="Cambria Math"/>
                      </w:rPr>
                      <m:t>losses</m:t>
                    </m:r>
                  </m:num>
                  <m:den>
                    <m:r>
                      <w:rPr>
                        <w:rFonts w:ascii="Cambria Math" w:hAnsi="Cambria Math"/>
                      </w:rPr>
                      <m:t>freight</m:t>
                    </m:r>
                    <m:r>
                      <m:rPr>
                        <m:sty m:val="p"/>
                      </m:rPr>
                      <w:rPr>
                        <w:rFonts w:ascii="Cambria Math" w:hAnsi="Cambria Math"/>
                      </w:rPr>
                      <m:t xml:space="preserve"> </m:t>
                    </m:r>
                    <m:r>
                      <w:rPr>
                        <w:rFonts w:ascii="Cambria Math" w:hAnsi="Cambria Math"/>
                      </w:rPr>
                      <m:t>volumes</m:t>
                    </m:r>
                    <m:r>
                      <m:rPr>
                        <m:sty m:val="p"/>
                      </m:rPr>
                      <w:rPr>
                        <w:rFonts w:ascii="Cambria Math" w:hAnsi="Cambria Math"/>
                      </w:rPr>
                      <m:t xml:space="preserve"> </m:t>
                    </m:r>
                    <m:d>
                      <m:dPr>
                        <m:ctrlPr>
                          <w:rPr>
                            <w:rFonts w:ascii="Cambria Math" w:hAnsi="Cambria Math"/>
                          </w:rPr>
                        </m:ctrlPr>
                      </m:dPr>
                      <m:e>
                        <m:r>
                          <w:rPr>
                            <w:rFonts w:ascii="Cambria Math" w:hAnsi="Cambria Math"/>
                          </w:rPr>
                          <m:t>net</m:t>
                        </m:r>
                      </m:e>
                    </m:d>
                    <m:r>
                      <m:rPr>
                        <m:sty m:val="p"/>
                      </m:rPr>
                      <w:rPr>
                        <w:rFonts w:ascii="Cambria Math" w:hAnsi="Cambria Math"/>
                      </w:rPr>
                      <m:t>×1000</m:t>
                    </m:r>
                  </m:den>
                </m:f>
              </m:oMath>
            </m:oMathPara>
          </w:p>
        </w:tc>
      </w:tr>
    </w:tbl>
    <w:p w14:paraId="65092ABF" w14:textId="6F51CF23" w:rsidR="0054105F" w:rsidRPr="00B275E2" w:rsidRDefault="500DFA64" w:rsidP="006B7605">
      <w:pPr>
        <w:pStyle w:val="Heading3"/>
      </w:pPr>
      <w:bookmarkStart w:id="495" w:name="_Toc532904926"/>
      <w:r>
        <w:lastRenderedPageBreak/>
        <w:t>Assumptions, limitations and uncertainties</w:t>
      </w:r>
      <w:bookmarkEnd w:id="495"/>
    </w:p>
    <w:p w14:paraId="65092AC0" w14:textId="41769AD7" w:rsidR="00D34AB8" w:rsidRPr="00B275E2" w:rsidRDefault="004C47E8" w:rsidP="007F0B1E">
      <w:pPr>
        <w:pStyle w:val="BodyText"/>
      </w:pPr>
      <w:r w:rsidRPr="00B275E2">
        <w:t xml:space="preserve">The figure for </w:t>
      </w:r>
      <w:r w:rsidR="009E41DD" w:rsidRPr="00B275E2">
        <w:t>n</w:t>
      </w:r>
      <w:r w:rsidRPr="00B275E2">
        <w:t xml:space="preserve">et </w:t>
      </w:r>
      <w:r w:rsidR="009E41DD" w:rsidRPr="00B275E2">
        <w:t>tk</w:t>
      </w:r>
      <w:r w:rsidRPr="00B275E2">
        <w:t>m includes the weight for third</w:t>
      </w:r>
      <w:r w:rsidR="00771E24" w:rsidRPr="00B275E2">
        <w:t>-</w:t>
      </w:r>
      <w:r w:rsidRPr="00B275E2">
        <w:t xml:space="preserve">party tare weight containers. </w:t>
      </w:r>
      <w:r w:rsidR="00771E24" w:rsidRPr="00B275E2">
        <w:t>KiwiRail does not own or control t</w:t>
      </w:r>
      <w:r w:rsidR="00D34AB8" w:rsidRPr="00B275E2">
        <w:t xml:space="preserve">hose containers </w:t>
      </w:r>
      <w:r w:rsidR="00771E24" w:rsidRPr="00B275E2">
        <w:t xml:space="preserve">and </w:t>
      </w:r>
      <w:r w:rsidR="00D34AB8" w:rsidRPr="00B275E2">
        <w:t>it is the responsibility of the customer to load and unload the</w:t>
      </w:r>
      <w:r w:rsidR="00081569" w:rsidRPr="00B275E2">
        <w:t>m</w:t>
      </w:r>
      <w:r w:rsidR="00D34AB8" w:rsidRPr="00B275E2">
        <w:t xml:space="preserve">. The alternative for these customers would be to </w:t>
      </w:r>
      <w:r w:rsidR="00A67995" w:rsidRPr="00B275E2">
        <w:t>transport freight</w:t>
      </w:r>
      <w:r w:rsidR="00D34AB8" w:rsidRPr="00B275E2">
        <w:t xml:space="preserve"> by road</w:t>
      </w:r>
      <w:r w:rsidR="00771E24" w:rsidRPr="00B275E2">
        <w:t>.</w:t>
      </w:r>
      <w:r w:rsidR="00D34AB8" w:rsidRPr="00B275E2">
        <w:t xml:space="preserve"> </w:t>
      </w:r>
      <w:r w:rsidR="00771E24" w:rsidRPr="00B275E2">
        <w:t>Therefore,</w:t>
      </w:r>
      <w:r w:rsidR="00D34AB8" w:rsidRPr="00B275E2">
        <w:t xml:space="preserve"> these figures reflect the actual freight (including the weight of empty and loaded containers) </w:t>
      </w:r>
      <w:r w:rsidR="00081569" w:rsidRPr="00B275E2">
        <w:t xml:space="preserve">that </w:t>
      </w:r>
      <w:r w:rsidR="00771E24" w:rsidRPr="00B275E2">
        <w:t xml:space="preserve">KiwiRail </w:t>
      </w:r>
      <w:r w:rsidR="00D34AB8" w:rsidRPr="00B275E2">
        <w:t xml:space="preserve">moved. </w:t>
      </w:r>
    </w:p>
    <w:p w14:paraId="65092AC6" w14:textId="24184A5D" w:rsidR="00321918" w:rsidRPr="00B275E2" w:rsidRDefault="00321918" w:rsidP="00C24B73">
      <w:pPr>
        <w:pStyle w:val="Heading2"/>
        <w:numPr>
          <w:ilvl w:val="0"/>
          <w:numId w:val="29"/>
        </w:numPr>
      </w:pPr>
      <w:bookmarkStart w:id="496" w:name="_Toc532904927"/>
      <w:bookmarkStart w:id="497" w:name="_Toc600591"/>
      <w:bookmarkStart w:id="498" w:name="_Toc111536804"/>
      <w:r w:rsidRPr="00B275E2">
        <w:t xml:space="preserve">Air </w:t>
      </w:r>
      <w:bookmarkEnd w:id="496"/>
      <w:r w:rsidR="00322289" w:rsidRPr="00B275E2">
        <w:t>freight</w:t>
      </w:r>
      <w:bookmarkEnd w:id="497"/>
      <w:bookmarkEnd w:id="498"/>
    </w:p>
    <w:p w14:paraId="1AE357BE" w14:textId="0C36E1B5" w:rsidR="000929AE" w:rsidRPr="00B275E2" w:rsidRDefault="00F86CDC" w:rsidP="007F0B1E">
      <w:pPr>
        <w:pStyle w:val="BodyText"/>
        <w:rPr>
          <w:spacing w:val="-2"/>
        </w:rPr>
      </w:pPr>
      <w:r w:rsidRPr="00B275E2">
        <w:rPr>
          <w:spacing w:val="-2"/>
        </w:rPr>
        <w:t>In the absence of N</w:t>
      </w:r>
      <w:r w:rsidR="00081569" w:rsidRPr="00B275E2">
        <w:rPr>
          <w:spacing w:val="-2"/>
        </w:rPr>
        <w:t xml:space="preserve">ew </w:t>
      </w:r>
      <w:r w:rsidRPr="00B275E2">
        <w:rPr>
          <w:spacing w:val="-2"/>
        </w:rPr>
        <w:t>Z</w:t>
      </w:r>
      <w:r w:rsidR="00081569" w:rsidRPr="00B275E2">
        <w:rPr>
          <w:spacing w:val="-2"/>
        </w:rPr>
        <w:t>ealand</w:t>
      </w:r>
      <w:r w:rsidRPr="00B275E2">
        <w:rPr>
          <w:spacing w:val="-2"/>
        </w:rPr>
        <w:t xml:space="preserve"> data, w</w:t>
      </w:r>
      <w:r w:rsidR="00181039" w:rsidRPr="00B275E2">
        <w:rPr>
          <w:spacing w:val="-2"/>
        </w:rPr>
        <w:t>e</w:t>
      </w:r>
      <w:r w:rsidRPr="00B275E2">
        <w:rPr>
          <w:spacing w:val="-2"/>
        </w:rPr>
        <w:t xml:space="preserve"> have</w:t>
      </w:r>
      <w:r w:rsidR="00181039" w:rsidRPr="00B275E2">
        <w:rPr>
          <w:spacing w:val="-2"/>
        </w:rPr>
        <w:t xml:space="preserve"> adopted the air freight e</w:t>
      </w:r>
      <w:r w:rsidR="005C11BF" w:rsidRPr="00B275E2">
        <w:rPr>
          <w:spacing w:val="-2"/>
        </w:rPr>
        <w:t xml:space="preserve">mission factors from the </w:t>
      </w:r>
      <w:hyperlink r:id="rId88" w:history="1">
        <w:r w:rsidR="00181039" w:rsidRPr="00B275E2">
          <w:rPr>
            <w:rStyle w:val="Hyperlink"/>
            <w:rFonts w:eastAsia="Times New Roman" w:cs="Times New Roman"/>
            <w:spacing w:val="-2"/>
          </w:rPr>
          <w:t>UK</w:t>
        </w:r>
        <w:r w:rsidR="00990AF9" w:rsidRPr="00B275E2">
          <w:rPr>
            <w:rStyle w:val="Hyperlink"/>
            <w:rFonts w:eastAsia="Times New Roman" w:cs="Times New Roman"/>
            <w:spacing w:val="-2"/>
          </w:rPr>
          <w:t> </w:t>
        </w:r>
        <w:r w:rsidR="00181039" w:rsidRPr="00B275E2">
          <w:rPr>
            <w:rStyle w:val="Hyperlink"/>
            <w:rFonts w:eastAsia="Times New Roman" w:cs="Times New Roman"/>
            <w:spacing w:val="-2"/>
          </w:rPr>
          <w:t>BEIS publication</w:t>
        </w:r>
      </w:hyperlink>
      <w:r w:rsidR="005C11BF" w:rsidRPr="00B275E2">
        <w:rPr>
          <w:spacing w:val="-2"/>
        </w:rPr>
        <w:t xml:space="preserve">. </w:t>
      </w:r>
      <w:r w:rsidR="00FD051F" w:rsidRPr="00B275E2">
        <w:rPr>
          <w:spacing w:val="-2"/>
        </w:rPr>
        <w:t>These emission factors are Scope 3.</w:t>
      </w:r>
      <w:r w:rsidR="00F01599" w:rsidRPr="00B275E2">
        <w:rPr>
          <w:spacing w:val="-2"/>
        </w:rPr>
        <w:t xml:space="preserve"> </w:t>
      </w:r>
      <w:r w:rsidR="00B5320A">
        <w:rPr>
          <w:spacing w:val="-2"/>
        </w:rPr>
        <w:t>R</w:t>
      </w:r>
      <w:r w:rsidR="00B46895" w:rsidRPr="00B275E2">
        <w:rPr>
          <w:spacing w:val="-2"/>
        </w:rPr>
        <w:t xml:space="preserve">efer to </w:t>
      </w:r>
      <w:r w:rsidR="00181039" w:rsidRPr="00B275E2">
        <w:rPr>
          <w:color w:val="32809C" w:themeColor="accent2"/>
          <w:spacing w:val="-2"/>
        </w:rPr>
        <w:t xml:space="preserve">section </w:t>
      </w:r>
      <w:r w:rsidR="00DC619F" w:rsidRPr="00B275E2">
        <w:rPr>
          <w:color w:val="32809C" w:themeColor="accent2"/>
          <w:spacing w:val="-2"/>
        </w:rPr>
        <w:fldChar w:fldCharType="begin"/>
      </w:r>
      <w:r w:rsidR="00DC619F" w:rsidRPr="00B275E2">
        <w:rPr>
          <w:color w:val="32809C" w:themeColor="accent2"/>
          <w:spacing w:val="-2"/>
        </w:rPr>
        <w:instrText xml:space="preserve"> REF _Ref529971822 \r \h </w:instrText>
      </w:r>
      <w:r w:rsidR="00AB4783" w:rsidRPr="00B275E2">
        <w:rPr>
          <w:color w:val="32809C" w:themeColor="accent2"/>
          <w:spacing w:val="-2"/>
        </w:rPr>
        <w:instrText xml:space="preserve"> \* MERGEFORMAT </w:instrText>
      </w:r>
      <w:r w:rsidR="00DC619F" w:rsidRPr="00B275E2">
        <w:rPr>
          <w:color w:val="32809C" w:themeColor="accent2"/>
          <w:spacing w:val="-2"/>
        </w:rPr>
      </w:r>
      <w:r w:rsidR="00DC619F" w:rsidRPr="00B275E2">
        <w:rPr>
          <w:color w:val="32809C" w:themeColor="accent2"/>
          <w:spacing w:val="-2"/>
        </w:rPr>
        <w:fldChar w:fldCharType="separate"/>
      </w:r>
      <w:r w:rsidR="003E141C" w:rsidRPr="00B275E2">
        <w:rPr>
          <w:color w:val="32809C" w:themeColor="accent2"/>
          <w:spacing w:val="-2"/>
        </w:rPr>
        <w:t>7.5</w:t>
      </w:r>
      <w:r w:rsidR="00DC619F" w:rsidRPr="00B275E2">
        <w:rPr>
          <w:color w:val="32809C" w:themeColor="accent2"/>
          <w:spacing w:val="-2"/>
        </w:rPr>
        <w:fldChar w:fldCharType="end"/>
      </w:r>
      <w:r w:rsidR="00DC619F" w:rsidRPr="00B275E2">
        <w:rPr>
          <w:color w:val="32809C" w:themeColor="accent2"/>
          <w:spacing w:val="-2"/>
        </w:rPr>
        <w:t xml:space="preserve"> </w:t>
      </w:r>
      <w:r w:rsidR="00A474CF" w:rsidRPr="00B275E2">
        <w:rPr>
          <w:spacing w:val="-2"/>
        </w:rPr>
        <w:t>for further guidance</w:t>
      </w:r>
      <w:r w:rsidR="00181039" w:rsidRPr="00B275E2">
        <w:rPr>
          <w:spacing w:val="-2"/>
        </w:rPr>
        <w:t xml:space="preserve"> on radiative forcing</w:t>
      </w:r>
      <w:r w:rsidR="00A474CF" w:rsidRPr="00B275E2">
        <w:rPr>
          <w:spacing w:val="-2"/>
        </w:rPr>
        <w:t xml:space="preserve"> to </w:t>
      </w:r>
      <w:r w:rsidR="00181039" w:rsidRPr="00B275E2">
        <w:rPr>
          <w:spacing w:val="-2"/>
        </w:rPr>
        <w:t>inform</w:t>
      </w:r>
      <w:r w:rsidR="00A474CF" w:rsidRPr="00B275E2">
        <w:rPr>
          <w:spacing w:val="-2"/>
        </w:rPr>
        <w:t xml:space="preserve"> your </w:t>
      </w:r>
      <w:r w:rsidR="00181039" w:rsidRPr="00B275E2">
        <w:rPr>
          <w:spacing w:val="-2"/>
        </w:rPr>
        <w:t>choice of</w:t>
      </w:r>
      <w:r w:rsidR="00A474CF" w:rsidRPr="00B275E2">
        <w:rPr>
          <w:spacing w:val="-2"/>
        </w:rPr>
        <w:t xml:space="preserve"> emission factor.</w:t>
      </w:r>
      <w:r w:rsidR="00AE2534" w:rsidRPr="00B275E2">
        <w:rPr>
          <w:spacing w:val="-2"/>
        </w:rPr>
        <w:t xml:space="preserve"> </w:t>
      </w:r>
      <w:r w:rsidR="00AE2534" w:rsidRPr="00B275E2">
        <w:t>While the radiative forcing multiplier of 1.9 used in this guidance is based on current scientific evidence and research, this figure is subject to significant uncertainty.</w:t>
      </w:r>
      <w:r w:rsidR="00AE2534" w:rsidRPr="00B275E2">
        <w:rPr>
          <w:rStyle w:val="FootnoteReference"/>
        </w:rPr>
        <w:footnoteReference w:id="53"/>
      </w:r>
      <w:r w:rsidR="00AE2534" w:rsidRPr="00B275E2">
        <w:rPr>
          <w:vertAlign w:val="superscript"/>
        </w:rPr>
        <w:t xml:space="preserve">, </w:t>
      </w:r>
      <w:r w:rsidR="00AE2534" w:rsidRPr="00B275E2">
        <w:rPr>
          <w:rStyle w:val="FootnoteReference"/>
        </w:rPr>
        <w:footnoteReference w:id="54"/>
      </w:r>
    </w:p>
    <w:p w14:paraId="7868B2A8" w14:textId="232685F4" w:rsidR="0059293C" w:rsidRPr="00B275E2" w:rsidRDefault="0059293C" w:rsidP="00121854">
      <w:pPr>
        <w:pStyle w:val="BodyText"/>
        <w:spacing w:before="100" w:after="100"/>
        <w:rPr>
          <w:spacing w:val="-2"/>
        </w:rPr>
      </w:pPr>
      <w:r w:rsidRPr="00B275E2">
        <w:rPr>
          <w:spacing w:val="-2"/>
        </w:rPr>
        <w:t>Emissions from aviation have both direct (CO</w:t>
      </w:r>
      <w:r w:rsidRPr="00B275E2">
        <w:rPr>
          <w:spacing w:val="-2"/>
          <w:vertAlign w:val="subscript"/>
        </w:rPr>
        <w:t>2</w:t>
      </w:r>
      <w:r w:rsidRPr="00B275E2">
        <w:rPr>
          <w:spacing w:val="-2"/>
        </w:rPr>
        <w:t>, CH</w:t>
      </w:r>
      <w:r w:rsidRPr="00B275E2">
        <w:rPr>
          <w:spacing w:val="-2"/>
          <w:vertAlign w:val="subscript"/>
        </w:rPr>
        <w:t>4</w:t>
      </w:r>
      <w:r w:rsidRPr="00B275E2">
        <w:rPr>
          <w:spacing w:val="-2"/>
        </w:rPr>
        <w:t xml:space="preserve"> and N</w:t>
      </w:r>
      <w:r w:rsidRPr="00B275E2">
        <w:rPr>
          <w:spacing w:val="-2"/>
          <w:vertAlign w:val="subscript"/>
        </w:rPr>
        <w:t>2</w:t>
      </w:r>
      <w:r w:rsidRPr="00B275E2">
        <w:rPr>
          <w:spacing w:val="-2"/>
        </w:rPr>
        <w:t>O) and indirect (non-CO</w:t>
      </w:r>
      <w:r w:rsidRPr="00B275E2">
        <w:rPr>
          <w:spacing w:val="-2"/>
          <w:vertAlign w:val="subscript"/>
        </w:rPr>
        <w:t>2</w:t>
      </w:r>
      <w:r w:rsidRPr="00B275E2">
        <w:rPr>
          <w:spacing w:val="-2"/>
        </w:rPr>
        <w:t xml:space="preserve"> emissions </w:t>
      </w:r>
      <w:r w:rsidR="005C1BD3" w:rsidRPr="00B275E2">
        <w:rPr>
          <w:spacing w:val="-2"/>
        </w:rPr>
        <w:t>eg,</w:t>
      </w:r>
      <w:r w:rsidRPr="00B275E2">
        <w:rPr>
          <w:spacing w:val="-2"/>
        </w:rPr>
        <w:t xml:space="preserve"> water vapour, contrails, NOx) climate change effects. Two sets of emission factors for air freight are presented here; one that includes the indirect effects of non-CO</w:t>
      </w:r>
      <w:r w:rsidRPr="00B275E2">
        <w:rPr>
          <w:spacing w:val="-2"/>
          <w:vertAlign w:val="subscript"/>
        </w:rPr>
        <w:t>2</w:t>
      </w:r>
      <w:r w:rsidRPr="00B275E2">
        <w:rPr>
          <w:spacing w:val="-2"/>
        </w:rPr>
        <w:t xml:space="preserve"> emissions and one that represents direct effects only.</w:t>
      </w:r>
      <w:r w:rsidR="00A42624" w:rsidRPr="00B275E2">
        <w:rPr>
          <w:spacing w:val="-2"/>
        </w:rPr>
        <w:t xml:space="preserve"> </w:t>
      </w:r>
    </w:p>
    <w:p w14:paraId="1E93AB74" w14:textId="22254D0C" w:rsidR="007A208A" w:rsidRPr="00B275E2" w:rsidRDefault="007A208A" w:rsidP="00121854">
      <w:pPr>
        <w:pStyle w:val="BodyText"/>
        <w:spacing w:before="100" w:after="100"/>
        <w:rPr>
          <w:spacing w:val="-2"/>
        </w:rPr>
      </w:pPr>
      <w:r w:rsidRPr="00B275E2">
        <w:t>The short-haul emission factor applies to international flights of less than 3,700 km. The long-haul factor applies to flights of more than 3,700 km.</w:t>
      </w:r>
    </w:p>
    <w:p w14:paraId="3886E5AB" w14:textId="4B5BB36C" w:rsidR="00041430" w:rsidRPr="00B275E2" w:rsidRDefault="00440C4C" w:rsidP="00121854">
      <w:pPr>
        <w:pStyle w:val="BodyText"/>
        <w:spacing w:before="100" w:after="100"/>
        <w:rPr>
          <w:spacing w:val="-2"/>
        </w:rPr>
      </w:pPr>
      <w:r w:rsidRPr="00B275E2">
        <w:rPr>
          <w:spacing w:val="-2"/>
        </w:rPr>
        <w:t xml:space="preserve">Organisations should include </w:t>
      </w:r>
      <w:r w:rsidR="00041430" w:rsidRPr="00B275E2">
        <w:rPr>
          <w:spacing w:val="-2"/>
        </w:rPr>
        <w:t>the indirect effects of non-CO</w:t>
      </w:r>
      <w:r w:rsidR="00041430" w:rsidRPr="00B275E2">
        <w:rPr>
          <w:spacing w:val="-2"/>
          <w:vertAlign w:val="subscript"/>
        </w:rPr>
        <w:t>2</w:t>
      </w:r>
      <w:r w:rsidR="00041430" w:rsidRPr="00B275E2">
        <w:rPr>
          <w:spacing w:val="-2"/>
        </w:rPr>
        <w:t xml:space="preserve"> emissions when reporting air freight emissions to capture the full climate impact of their travel. However, it should be noted that there is significant scientific uncertainty around the magnitude of the indirect effect of non-CO</w:t>
      </w:r>
      <w:r w:rsidR="00041430" w:rsidRPr="00B275E2">
        <w:rPr>
          <w:spacing w:val="-2"/>
          <w:vertAlign w:val="subscript"/>
        </w:rPr>
        <w:t>2</w:t>
      </w:r>
      <w:r w:rsidR="00041430" w:rsidRPr="00B275E2">
        <w:rPr>
          <w:spacing w:val="-2"/>
        </w:rPr>
        <w:t xml:space="preserve"> aviation emissions and it is an active area of research. Further information can be found in paragraphs 8.37-8.41 in the </w:t>
      </w:r>
      <w:hyperlink r:id="rId89" w:history="1">
        <w:r w:rsidR="00041430" w:rsidRPr="00B275E2">
          <w:rPr>
            <w:rStyle w:val="Hyperlink"/>
            <w:spacing w:val="-2"/>
          </w:rPr>
          <w:t>UK BEIS Methodology Paper</w:t>
        </w:r>
        <w:r w:rsidR="00041430" w:rsidRPr="00B275E2">
          <w:rPr>
            <w:rStyle w:val="Hyperlink"/>
            <w:color w:val="auto"/>
            <w:spacing w:val="-2"/>
          </w:rPr>
          <w:t>.</w:t>
        </w:r>
      </w:hyperlink>
    </w:p>
    <w:p w14:paraId="5EC0FBCF" w14:textId="2E38585F" w:rsidR="00F30127" w:rsidRPr="00B275E2" w:rsidRDefault="00EB4389" w:rsidP="00FA0C7B">
      <w:pPr>
        <w:pStyle w:val="Tableheading"/>
      </w:pPr>
      <w:bookmarkStart w:id="499" w:name="_Toc111536672"/>
      <w:r w:rsidRPr="00B275E2">
        <w:t xml:space="preserve">Table </w:t>
      </w:r>
      <w:r w:rsidRPr="00B275E2">
        <w:fldChar w:fldCharType="begin"/>
      </w:r>
      <w:r w:rsidRPr="00B275E2">
        <w:instrText>SEQ Table \* ARABIC</w:instrText>
      </w:r>
      <w:r w:rsidRPr="00B275E2">
        <w:fldChar w:fldCharType="separate"/>
      </w:r>
      <w:r>
        <w:rPr>
          <w:noProof/>
        </w:rPr>
        <w:t>67</w:t>
      </w:r>
      <w:r w:rsidRPr="00B275E2">
        <w:fldChar w:fldCharType="end"/>
      </w:r>
      <w:r w:rsidRPr="00B275E2">
        <w:t>:</w:t>
      </w:r>
      <w:r w:rsidRPr="00B275E2">
        <w:tab/>
      </w:r>
      <w:r w:rsidR="00F30127" w:rsidRPr="00B275E2">
        <w:t>Air freight emission factors</w:t>
      </w:r>
      <w:r w:rsidR="00D06C46" w:rsidRPr="00B275E2">
        <w:t xml:space="preserve"> </w:t>
      </w:r>
      <w:r w:rsidR="00303DF3">
        <w:t>with radiative forcing multiplier</w:t>
      </w:r>
      <w:bookmarkEnd w:id="499"/>
    </w:p>
    <w:tbl>
      <w:tblPr>
        <w:tblStyle w:val="LightList-Accent11"/>
        <w:tblW w:w="8505" w:type="dxa"/>
        <w:tblInd w:w="20" w:type="dxa"/>
        <w:tblBorders>
          <w:top w:val="single" w:sz="4" w:space="0" w:color="1B556B"/>
          <w:bottom w:val="single" w:sz="4" w:space="0" w:color="1B556B"/>
          <w:insideH w:val="single" w:sz="4" w:space="0" w:color="1B556B"/>
          <w:insideV w:val="single" w:sz="4" w:space="0" w:color="1B556B"/>
        </w:tblBorders>
        <w:tblLook w:val="04A0" w:firstRow="1" w:lastRow="0" w:firstColumn="1" w:lastColumn="0" w:noHBand="0" w:noVBand="1"/>
      </w:tblPr>
      <w:tblGrid>
        <w:gridCol w:w="1801"/>
        <w:gridCol w:w="582"/>
        <w:gridCol w:w="1333"/>
        <w:gridCol w:w="1174"/>
        <w:gridCol w:w="1790"/>
        <w:gridCol w:w="1825"/>
      </w:tblGrid>
      <w:tr w:rsidR="006357FF" w:rsidRPr="00B275E2" w14:paraId="14525D87" w14:textId="77777777" w:rsidTr="00FA0C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1EA9CC26" w14:textId="77777777" w:rsidR="006357FF" w:rsidRPr="00B275E2" w:rsidRDefault="006357FF" w:rsidP="00121854">
            <w:pPr>
              <w:pStyle w:val="TableText"/>
              <w:spacing w:before="40" w:after="40"/>
            </w:pPr>
            <w:r w:rsidRPr="00B275E2">
              <w:t>Emission source</w:t>
            </w:r>
          </w:p>
        </w:tc>
        <w:tc>
          <w:tcPr>
            <w:tcW w:w="0" w:type="auto"/>
            <w:noWrap/>
            <w:hideMark/>
          </w:tcPr>
          <w:p w14:paraId="73098327" w14:textId="77777777" w:rsidR="006357FF" w:rsidRPr="00B275E2" w:rsidRDefault="006357FF" w:rsidP="00121854">
            <w:pPr>
              <w:pStyle w:val="TableText"/>
              <w:spacing w:before="40" w:after="40"/>
              <w:cnfStyle w:val="100000000000" w:firstRow="1" w:lastRow="0" w:firstColumn="0" w:lastColumn="0" w:oddVBand="0" w:evenVBand="0" w:oddHBand="0" w:evenHBand="0" w:firstRowFirstColumn="0" w:firstRowLastColumn="0" w:lastRowFirstColumn="0" w:lastRowLastColumn="0"/>
            </w:pPr>
            <w:r w:rsidRPr="00B275E2">
              <w:t>Unit</w:t>
            </w:r>
          </w:p>
        </w:tc>
        <w:tc>
          <w:tcPr>
            <w:tcW w:w="0" w:type="auto"/>
            <w:shd w:val="clear" w:color="auto" w:fill="D2DDE1" w:themeFill="background2"/>
            <w:noWrap/>
            <w:hideMark/>
          </w:tcPr>
          <w:p w14:paraId="4EF95598" w14:textId="1BE6EBE1" w:rsidR="006357FF" w:rsidRPr="00B275E2" w:rsidRDefault="006357FF" w:rsidP="00121854">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color w:val="000000" w:themeColor="text1"/>
              </w:rPr>
            </w:pPr>
            <w:r w:rsidRPr="00B275E2">
              <w:rPr>
                <w:color w:val="000000" w:themeColor="text1"/>
              </w:rPr>
              <w:t>kg CO</w:t>
            </w:r>
            <w:r w:rsidRPr="00B275E2">
              <w:rPr>
                <w:color w:val="000000" w:themeColor="text1"/>
                <w:vertAlign w:val="subscript"/>
              </w:rPr>
              <w:t>2</w:t>
            </w:r>
            <w:r w:rsidRPr="00B275E2">
              <w:rPr>
                <w:color w:val="000000" w:themeColor="text1"/>
              </w:rPr>
              <w:t>-e/unit</w:t>
            </w:r>
          </w:p>
        </w:tc>
        <w:tc>
          <w:tcPr>
            <w:tcW w:w="0" w:type="auto"/>
            <w:noWrap/>
            <w:hideMark/>
          </w:tcPr>
          <w:p w14:paraId="4E558DBF" w14:textId="271578A2" w:rsidR="006357FF" w:rsidRPr="00B275E2" w:rsidRDefault="006357FF" w:rsidP="00121854">
            <w:pPr>
              <w:pStyle w:val="TableText"/>
              <w:spacing w:before="40" w:after="40"/>
              <w:jc w:val="right"/>
              <w:cnfStyle w:val="100000000000" w:firstRow="1" w:lastRow="0" w:firstColumn="0" w:lastColumn="0" w:oddVBand="0" w:evenVBand="0" w:oddHBand="0" w:evenHBand="0" w:firstRowFirstColumn="0" w:firstRowLastColumn="0" w:lastRowFirstColumn="0" w:lastRowLastColumn="0"/>
            </w:pPr>
            <w:r w:rsidRPr="00B275E2">
              <w:t>kg CO</w:t>
            </w:r>
            <w:r w:rsidRPr="00B275E2">
              <w:rPr>
                <w:vertAlign w:val="subscript"/>
              </w:rPr>
              <w:t>2</w:t>
            </w:r>
            <w:r w:rsidRPr="00B275E2">
              <w:t>/unit</w:t>
            </w:r>
          </w:p>
        </w:tc>
        <w:tc>
          <w:tcPr>
            <w:tcW w:w="0" w:type="auto"/>
            <w:noWrap/>
            <w:hideMark/>
          </w:tcPr>
          <w:p w14:paraId="432BB6F2" w14:textId="7DE13304" w:rsidR="006357FF" w:rsidRPr="00B275E2" w:rsidRDefault="006357FF" w:rsidP="00121854">
            <w:pPr>
              <w:pStyle w:val="TableText"/>
              <w:spacing w:before="40" w:after="40"/>
              <w:jc w:val="right"/>
              <w:cnfStyle w:val="100000000000" w:firstRow="1" w:lastRow="0" w:firstColumn="0" w:lastColumn="0" w:oddVBand="0" w:evenVBand="0" w:oddHBand="0" w:evenHBand="0" w:firstRowFirstColumn="0" w:firstRowLastColumn="0" w:lastRowFirstColumn="0" w:lastRowLastColumn="0"/>
            </w:pPr>
            <w:r w:rsidRPr="00B275E2">
              <w:t>CH</w:t>
            </w:r>
            <w:r w:rsidRPr="00B275E2">
              <w:rPr>
                <w:vertAlign w:val="subscript"/>
              </w:rPr>
              <w:t>4</w:t>
            </w:r>
            <w:r w:rsidRPr="00B275E2">
              <w:t xml:space="preserve"> (kg CO</w:t>
            </w:r>
            <w:r w:rsidRPr="00B275E2">
              <w:rPr>
                <w:vertAlign w:val="subscript"/>
              </w:rPr>
              <w:t>2</w:t>
            </w:r>
            <w:r w:rsidRPr="00B275E2">
              <w:noBreakHyphen/>
              <w:t>e)/unit</w:t>
            </w:r>
          </w:p>
        </w:tc>
        <w:tc>
          <w:tcPr>
            <w:tcW w:w="0" w:type="auto"/>
            <w:noWrap/>
            <w:hideMark/>
          </w:tcPr>
          <w:p w14:paraId="7F164497" w14:textId="16748F37" w:rsidR="006357FF" w:rsidRPr="00B275E2" w:rsidRDefault="006357FF" w:rsidP="00121854">
            <w:pPr>
              <w:pStyle w:val="TableText"/>
              <w:spacing w:before="40" w:after="40"/>
              <w:jc w:val="right"/>
              <w:cnfStyle w:val="100000000000" w:firstRow="1" w:lastRow="0" w:firstColumn="0" w:lastColumn="0" w:oddVBand="0" w:evenVBand="0" w:oddHBand="0" w:evenHBand="0" w:firstRowFirstColumn="0" w:firstRowLastColumn="0" w:lastRowFirstColumn="0" w:lastRowLastColumn="0"/>
            </w:pPr>
            <w:r w:rsidRPr="00B275E2">
              <w:t>N</w:t>
            </w:r>
            <w:r w:rsidRPr="00B275E2">
              <w:rPr>
                <w:vertAlign w:val="subscript"/>
              </w:rPr>
              <w:t>2</w:t>
            </w:r>
            <w:r w:rsidRPr="00B275E2">
              <w:t>O (kg CO</w:t>
            </w:r>
            <w:r w:rsidRPr="00B275E2">
              <w:rPr>
                <w:vertAlign w:val="subscript"/>
              </w:rPr>
              <w:t>2</w:t>
            </w:r>
            <w:r w:rsidRPr="00B275E2">
              <w:noBreakHyphen/>
              <w:t>e)/unit</w:t>
            </w:r>
          </w:p>
        </w:tc>
      </w:tr>
      <w:tr w:rsidR="00E352A9" w:rsidRPr="00B275E2" w14:paraId="65716637" w14:textId="77777777" w:rsidTr="00B42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FFFFFF" w:themeColor="background1"/>
            </w:tcBorders>
          </w:tcPr>
          <w:p w14:paraId="36DAC382" w14:textId="6F96FB11" w:rsidR="00E352A9" w:rsidRPr="00B275E2" w:rsidRDefault="00E352A9" w:rsidP="00121854">
            <w:pPr>
              <w:pStyle w:val="TableText"/>
              <w:spacing w:before="40" w:after="40"/>
              <w:rPr>
                <w:b w:val="0"/>
              </w:rPr>
            </w:pPr>
            <w:r w:rsidRPr="00B275E2">
              <w:rPr>
                <w:b w:val="0"/>
              </w:rPr>
              <w:t>Domestic air freight</w:t>
            </w:r>
          </w:p>
        </w:tc>
        <w:tc>
          <w:tcPr>
            <w:tcW w:w="0" w:type="auto"/>
            <w:noWrap/>
          </w:tcPr>
          <w:p w14:paraId="018B264D" w14:textId="61B8BB1F" w:rsidR="00E352A9" w:rsidRPr="00B275E2" w:rsidRDefault="00E352A9" w:rsidP="00121854">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275E2">
              <w:t>tkm</w:t>
            </w:r>
          </w:p>
        </w:tc>
        <w:tc>
          <w:tcPr>
            <w:tcW w:w="0" w:type="auto"/>
            <w:shd w:val="clear" w:color="auto" w:fill="D2DDE1" w:themeFill="background2"/>
            <w:noWrap/>
          </w:tcPr>
          <w:p w14:paraId="524903CE" w14:textId="2019BCB7" w:rsidR="00E352A9" w:rsidRPr="00B275E2" w:rsidRDefault="005005BA" w:rsidP="00121854">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B275E2">
              <w:rPr>
                <w:rFonts w:cs="Calibri"/>
                <w:color w:val="000000" w:themeColor="text1"/>
                <w:szCs w:val="18"/>
              </w:rPr>
              <w:t>4.494</w:t>
            </w:r>
          </w:p>
        </w:tc>
        <w:tc>
          <w:tcPr>
            <w:tcW w:w="0" w:type="auto"/>
            <w:shd w:val="clear" w:color="auto" w:fill="auto"/>
            <w:noWrap/>
          </w:tcPr>
          <w:p w14:paraId="5623D9A4" w14:textId="166970AE" w:rsidR="00E352A9" w:rsidRPr="00B275E2" w:rsidRDefault="004D3666" w:rsidP="00121854">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4.469</w:t>
            </w:r>
          </w:p>
        </w:tc>
        <w:tc>
          <w:tcPr>
            <w:tcW w:w="0" w:type="auto"/>
            <w:shd w:val="clear" w:color="auto" w:fill="auto"/>
            <w:noWrap/>
          </w:tcPr>
          <w:p w14:paraId="38614BC9" w14:textId="66147F87" w:rsidR="00E352A9" w:rsidRPr="00B275E2" w:rsidRDefault="00E352A9" w:rsidP="00121854">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w:t>
            </w:r>
            <w:r w:rsidR="004D3666" w:rsidRPr="00B275E2">
              <w:rPr>
                <w:rFonts w:cs="Calibri"/>
                <w:szCs w:val="18"/>
              </w:rPr>
              <w:t>19</w:t>
            </w:r>
          </w:p>
        </w:tc>
        <w:tc>
          <w:tcPr>
            <w:tcW w:w="0" w:type="auto"/>
            <w:tcBorders>
              <w:right w:val="single" w:sz="4" w:space="0" w:color="FFFFFF" w:themeColor="background1"/>
            </w:tcBorders>
            <w:shd w:val="clear" w:color="auto" w:fill="auto"/>
            <w:noWrap/>
          </w:tcPr>
          <w:p w14:paraId="07A52462" w14:textId="3B6D4059" w:rsidR="00E352A9" w:rsidRPr="00B275E2" w:rsidRDefault="00E352A9" w:rsidP="00121854">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0.02</w:t>
            </w:r>
            <w:r w:rsidR="004D3666" w:rsidRPr="00B275E2">
              <w:rPr>
                <w:rFonts w:cs="Calibri"/>
                <w:szCs w:val="18"/>
              </w:rPr>
              <w:t>2</w:t>
            </w:r>
          </w:p>
        </w:tc>
      </w:tr>
      <w:tr w:rsidR="00E352A9" w:rsidRPr="00B275E2" w14:paraId="5DF1E08A" w14:textId="77777777" w:rsidTr="00B42293">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FFFFFF" w:themeColor="background1"/>
            </w:tcBorders>
          </w:tcPr>
          <w:p w14:paraId="1C3E0620" w14:textId="6579E429" w:rsidR="00E352A9" w:rsidRPr="00B275E2" w:rsidRDefault="00E352A9" w:rsidP="00121854">
            <w:pPr>
              <w:pStyle w:val="TableText"/>
              <w:spacing w:before="40" w:after="40"/>
              <w:rPr>
                <w:b w:val="0"/>
              </w:rPr>
            </w:pPr>
            <w:r w:rsidRPr="00B275E2">
              <w:rPr>
                <w:b w:val="0"/>
              </w:rPr>
              <w:t>Short haul</w:t>
            </w:r>
          </w:p>
        </w:tc>
        <w:tc>
          <w:tcPr>
            <w:tcW w:w="0" w:type="auto"/>
            <w:noWrap/>
          </w:tcPr>
          <w:p w14:paraId="127DB173" w14:textId="35675C52" w:rsidR="00E352A9" w:rsidRPr="00B275E2" w:rsidRDefault="00E352A9" w:rsidP="00121854">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275E2">
              <w:t>tkm</w:t>
            </w:r>
          </w:p>
        </w:tc>
        <w:tc>
          <w:tcPr>
            <w:tcW w:w="0" w:type="auto"/>
            <w:shd w:val="clear" w:color="auto" w:fill="D2DDE1" w:themeFill="background2"/>
            <w:noWrap/>
          </w:tcPr>
          <w:p w14:paraId="7B0D489D" w14:textId="694A7C28" w:rsidR="00E352A9" w:rsidRPr="00B275E2" w:rsidRDefault="005005BA" w:rsidP="00121854">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B275E2">
              <w:rPr>
                <w:rFonts w:cs="Calibri"/>
                <w:color w:val="000000" w:themeColor="text1"/>
                <w:szCs w:val="18"/>
              </w:rPr>
              <w:t>2.302</w:t>
            </w:r>
          </w:p>
        </w:tc>
        <w:tc>
          <w:tcPr>
            <w:tcW w:w="0" w:type="auto"/>
            <w:shd w:val="clear" w:color="auto" w:fill="auto"/>
            <w:noWrap/>
          </w:tcPr>
          <w:p w14:paraId="47A7A5F2" w14:textId="698A04F6" w:rsidR="00E352A9" w:rsidRPr="00B275E2" w:rsidRDefault="004D3666" w:rsidP="00121854">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2.291</w:t>
            </w:r>
          </w:p>
        </w:tc>
        <w:tc>
          <w:tcPr>
            <w:tcW w:w="0" w:type="auto"/>
            <w:shd w:val="clear" w:color="auto" w:fill="auto"/>
            <w:noWrap/>
          </w:tcPr>
          <w:p w14:paraId="059618F2" w14:textId="1FFBC527" w:rsidR="00E352A9" w:rsidRPr="00B275E2" w:rsidRDefault="00E352A9" w:rsidP="00121854">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w:t>
            </w:r>
            <w:r w:rsidR="004D3666" w:rsidRPr="00B275E2">
              <w:rPr>
                <w:rFonts w:cs="Calibri"/>
                <w:szCs w:val="18"/>
              </w:rPr>
              <w:t>1</w:t>
            </w:r>
          </w:p>
        </w:tc>
        <w:tc>
          <w:tcPr>
            <w:tcW w:w="0" w:type="auto"/>
            <w:tcBorders>
              <w:right w:val="single" w:sz="4" w:space="0" w:color="FFFFFF" w:themeColor="background1"/>
            </w:tcBorders>
            <w:shd w:val="clear" w:color="auto" w:fill="auto"/>
            <w:noWrap/>
          </w:tcPr>
          <w:p w14:paraId="6A47C232" w14:textId="53E7917B" w:rsidR="00E352A9" w:rsidRPr="00B275E2" w:rsidRDefault="00E352A9" w:rsidP="00121854">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0.011</w:t>
            </w:r>
          </w:p>
        </w:tc>
      </w:tr>
      <w:tr w:rsidR="00E352A9" w:rsidRPr="00B275E2" w14:paraId="384144CF" w14:textId="77777777" w:rsidTr="00B42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FFFFFF" w:themeColor="background1"/>
            </w:tcBorders>
          </w:tcPr>
          <w:p w14:paraId="23049E58" w14:textId="37CAAB73" w:rsidR="00E352A9" w:rsidRPr="00B275E2" w:rsidRDefault="00E352A9" w:rsidP="00121854">
            <w:pPr>
              <w:pStyle w:val="TableText"/>
              <w:spacing w:before="40" w:after="40"/>
              <w:rPr>
                <w:b w:val="0"/>
              </w:rPr>
            </w:pPr>
            <w:r w:rsidRPr="00B275E2">
              <w:rPr>
                <w:b w:val="0"/>
              </w:rPr>
              <w:t>Long haul</w:t>
            </w:r>
          </w:p>
        </w:tc>
        <w:tc>
          <w:tcPr>
            <w:tcW w:w="0" w:type="auto"/>
            <w:noWrap/>
          </w:tcPr>
          <w:p w14:paraId="033B50CB" w14:textId="55F77565" w:rsidR="00E352A9" w:rsidRPr="00B275E2" w:rsidRDefault="00E352A9" w:rsidP="00121854">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275E2">
              <w:t xml:space="preserve">tkm </w:t>
            </w:r>
          </w:p>
        </w:tc>
        <w:tc>
          <w:tcPr>
            <w:tcW w:w="0" w:type="auto"/>
            <w:shd w:val="clear" w:color="auto" w:fill="D2DDE1" w:themeFill="background2"/>
            <w:noWrap/>
          </w:tcPr>
          <w:p w14:paraId="15971F6A" w14:textId="6EED49ED" w:rsidR="00E352A9" w:rsidRPr="00B275E2" w:rsidRDefault="005005BA" w:rsidP="00121854">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B275E2">
              <w:rPr>
                <w:rFonts w:cs="Calibri"/>
                <w:color w:val="000000" w:themeColor="text1"/>
                <w:szCs w:val="18"/>
              </w:rPr>
              <w:t>1.019</w:t>
            </w:r>
          </w:p>
        </w:tc>
        <w:tc>
          <w:tcPr>
            <w:tcW w:w="0" w:type="auto"/>
            <w:shd w:val="clear" w:color="auto" w:fill="auto"/>
            <w:noWrap/>
          </w:tcPr>
          <w:p w14:paraId="619CEAAB" w14:textId="2039ECE8" w:rsidR="00E352A9" w:rsidRPr="00B275E2" w:rsidRDefault="004D3666" w:rsidP="00121854">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1.014</w:t>
            </w:r>
          </w:p>
        </w:tc>
        <w:tc>
          <w:tcPr>
            <w:tcW w:w="0" w:type="auto"/>
            <w:shd w:val="clear" w:color="auto" w:fill="auto"/>
            <w:noWrap/>
          </w:tcPr>
          <w:p w14:paraId="5BE385B3" w14:textId="73B196B7" w:rsidR="00E352A9" w:rsidRPr="00B275E2" w:rsidRDefault="00E352A9" w:rsidP="00121854">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w:t>
            </w:r>
            <w:r w:rsidR="004D3666" w:rsidRPr="00B275E2">
              <w:rPr>
                <w:rFonts w:cs="Calibri"/>
                <w:szCs w:val="18"/>
              </w:rPr>
              <w:t>04</w:t>
            </w:r>
          </w:p>
        </w:tc>
        <w:tc>
          <w:tcPr>
            <w:tcW w:w="0" w:type="auto"/>
            <w:tcBorders>
              <w:right w:val="single" w:sz="4" w:space="0" w:color="FFFFFF" w:themeColor="background1"/>
            </w:tcBorders>
            <w:shd w:val="clear" w:color="auto" w:fill="auto"/>
            <w:noWrap/>
          </w:tcPr>
          <w:p w14:paraId="428D0D3A" w14:textId="694231A8" w:rsidR="00E352A9" w:rsidRPr="00B275E2" w:rsidRDefault="00E352A9" w:rsidP="00121854">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w:t>
            </w:r>
            <w:r w:rsidR="004D3666" w:rsidRPr="00B275E2">
              <w:rPr>
                <w:rFonts w:cs="Calibri"/>
                <w:szCs w:val="18"/>
              </w:rPr>
              <w:t>5</w:t>
            </w:r>
          </w:p>
        </w:tc>
      </w:tr>
    </w:tbl>
    <w:p w14:paraId="4C6BAAA9" w14:textId="32138A45" w:rsidR="00181039" w:rsidRPr="00B275E2" w:rsidRDefault="00181039" w:rsidP="007F0B1E">
      <w:pPr>
        <w:pStyle w:val="Note"/>
      </w:pPr>
      <w:bookmarkStart w:id="500" w:name="_Ref532482365"/>
      <w:r w:rsidRPr="00B275E2">
        <w:t>Note</w:t>
      </w:r>
      <w:r w:rsidR="00E97D2C" w:rsidRPr="00B275E2">
        <w:t>: T</w:t>
      </w:r>
      <w:r w:rsidRPr="00B275E2">
        <w:t xml:space="preserve">hese numbers are rounded to three </w:t>
      </w:r>
      <w:r w:rsidR="002011A6" w:rsidRPr="00B275E2">
        <w:t xml:space="preserve">decimal places </w:t>
      </w:r>
      <w:r w:rsidRPr="00B275E2">
        <w:t xml:space="preserve">unless the number is significantly small. </w:t>
      </w:r>
    </w:p>
    <w:p w14:paraId="63FE034C" w14:textId="77C4B71E" w:rsidR="00B46895" w:rsidRPr="00B275E2" w:rsidRDefault="00EB4389" w:rsidP="00FA0C7B">
      <w:pPr>
        <w:pStyle w:val="Tableheading"/>
      </w:pPr>
      <w:bookmarkStart w:id="501" w:name="_Toc111536673"/>
      <w:bookmarkEnd w:id="500"/>
      <w:r w:rsidRPr="00B275E2">
        <w:t xml:space="preserve">Table </w:t>
      </w:r>
      <w:r w:rsidRPr="00B275E2">
        <w:fldChar w:fldCharType="begin"/>
      </w:r>
      <w:r w:rsidRPr="00B275E2">
        <w:instrText>SEQ Table \* ARABIC</w:instrText>
      </w:r>
      <w:r w:rsidRPr="00B275E2">
        <w:fldChar w:fldCharType="separate"/>
      </w:r>
      <w:r>
        <w:rPr>
          <w:noProof/>
        </w:rPr>
        <w:t>68</w:t>
      </w:r>
      <w:r w:rsidRPr="00B275E2">
        <w:fldChar w:fldCharType="end"/>
      </w:r>
      <w:r w:rsidRPr="00B275E2">
        <w:t>:</w:t>
      </w:r>
      <w:r w:rsidRPr="00B275E2">
        <w:tab/>
      </w:r>
      <w:r w:rsidR="00B46895" w:rsidRPr="00B275E2">
        <w:t>Air freight emissions</w:t>
      </w:r>
      <w:r w:rsidR="00303DF3">
        <w:t xml:space="preserve"> without radiative forcing multiplier</w:t>
      </w:r>
      <w:bookmarkEnd w:id="501"/>
      <w:r w:rsidR="00F27EB4" w:rsidRPr="00B275E2">
        <w:t xml:space="preserve"> </w:t>
      </w:r>
    </w:p>
    <w:tbl>
      <w:tblPr>
        <w:tblStyle w:val="LightList-Accent11"/>
        <w:tblW w:w="8505" w:type="dxa"/>
        <w:tblInd w:w="20" w:type="dxa"/>
        <w:tblBorders>
          <w:top w:val="single" w:sz="4" w:space="0" w:color="1B556B"/>
          <w:bottom w:val="single" w:sz="4" w:space="0" w:color="1B556B"/>
          <w:insideH w:val="single" w:sz="4" w:space="0" w:color="1B556B"/>
          <w:insideV w:val="single" w:sz="4" w:space="0" w:color="1B556B"/>
        </w:tblBorders>
        <w:tblLook w:val="04A0" w:firstRow="1" w:lastRow="0" w:firstColumn="1" w:lastColumn="0" w:noHBand="0" w:noVBand="1"/>
      </w:tblPr>
      <w:tblGrid>
        <w:gridCol w:w="1830"/>
        <w:gridCol w:w="579"/>
        <w:gridCol w:w="1327"/>
        <w:gridCol w:w="1170"/>
        <w:gridCol w:w="1782"/>
        <w:gridCol w:w="1817"/>
      </w:tblGrid>
      <w:tr w:rsidR="006357FF" w:rsidRPr="00B275E2" w14:paraId="72966614" w14:textId="77777777" w:rsidTr="00FA0C7B">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0" w:type="auto"/>
            <w:noWrap/>
            <w:hideMark/>
          </w:tcPr>
          <w:p w14:paraId="3D4D53EC" w14:textId="77777777" w:rsidR="006357FF" w:rsidRPr="00B275E2" w:rsidRDefault="006357FF" w:rsidP="00121854">
            <w:pPr>
              <w:pStyle w:val="TableText"/>
              <w:spacing w:before="40" w:after="40"/>
            </w:pPr>
            <w:r w:rsidRPr="00B275E2">
              <w:t>Emission source</w:t>
            </w:r>
          </w:p>
        </w:tc>
        <w:tc>
          <w:tcPr>
            <w:tcW w:w="0" w:type="auto"/>
            <w:noWrap/>
            <w:hideMark/>
          </w:tcPr>
          <w:p w14:paraId="5A99543B" w14:textId="77777777" w:rsidR="006357FF" w:rsidRPr="00B275E2" w:rsidRDefault="006357FF" w:rsidP="00121854">
            <w:pPr>
              <w:pStyle w:val="TableText"/>
              <w:spacing w:before="40" w:after="40"/>
              <w:cnfStyle w:val="100000000000" w:firstRow="1" w:lastRow="0" w:firstColumn="0" w:lastColumn="0" w:oddVBand="0" w:evenVBand="0" w:oddHBand="0" w:evenHBand="0" w:firstRowFirstColumn="0" w:firstRowLastColumn="0" w:lastRowFirstColumn="0" w:lastRowLastColumn="0"/>
            </w:pPr>
            <w:r w:rsidRPr="00B275E2">
              <w:t>Unit</w:t>
            </w:r>
          </w:p>
        </w:tc>
        <w:tc>
          <w:tcPr>
            <w:tcW w:w="0" w:type="auto"/>
            <w:shd w:val="clear" w:color="auto" w:fill="D2DDE1" w:themeFill="background2"/>
            <w:noWrap/>
            <w:hideMark/>
          </w:tcPr>
          <w:p w14:paraId="474150EC" w14:textId="6BCC81AB" w:rsidR="006357FF" w:rsidRPr="00B275E2" w:rsidRDefault="006357FF" w:rsidP="00121854">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color w:val="000000" w:themeColor="text1"/>
              </w:rPr>
            </w:pPr>
            <w:r w:rsidRPr="00B275E2">
              <w:rPr>
                <w:color w:val="000000" w:themeColor="text1"/>
              </w:rPr>
              <w:t>kg CO</w:t>
            </w:r>
            <w:r w:rsidRPr="00B275E2">
              <w:rPr>
                <w:color w:val="000000" w:themeColor="text1"/>
                <w:vertAlign w:val="subscript"/>
              </w:rPr>
              <w:t>2</w:t>
            </w:r>
            <w:r w:rsidRPr="00B275E2">
              <w:rPr>
                <w:color w:val="000000" w:themeColor="text1"/>
              </w:rPr>
              <w:t>-e/unit</w:t>
            </w:r>
          </w:p>
        </w:tc>
        <w:tc>
          <w:tcPr>
            <w:tcW w:w="0" w:type="auto"/>
            <w:noWrap/>
            <w:hideMark/>
          </w:tcPr>
          <w:p w14:paraId="2FCA4062" w14:textId="1F977FA6" w:rsidR="006357FF" w:rsidRPr="00B275E2" w:rsidRDefault="006357FF" w:rsidP="00121854">
            <w:pPr>
              <w:pStyle w:val="TableText"/>
              <w:spacing w:before="40" w:after="40"/>
              <w:jc w:val="right"/>
              <w:cnfStyle w:val="100000000000" w:firstRow="1" w:lastRow="0" w:firstColumn="0" w:lastColumn="0" w:oddVBand="0" w:evenVBand="0" w:oddHBand="0" w:evenHBand="0" w:firstRowFirstColumn="0" w:firstRowLastColumn="0" w:lastRowFirstColumn="0" w:lastRowLastColumn="0"/>
            </w:pPr>
            <w:r w:rsidRPr="00B275E2">
              <w:t>kg CO</w:t>
            </w:r>
            <w:r w:rsidRPr="00B275E2">
              <w:rPr>
                <w:vertAlign w:val="subscript"/>
              </w:rPr>
              <w:t>2</w:t>
            </w:r>
            <w:r w:rsidRPr="00B275E2">
              <w:t>/unit</w:t>
            </w:r>
          </w:p>
        </w:tc>
        <w:tc>
          <w:tcPr>
            <w:tcW w:w="0" w:type="auto"/>
            <w:noWrap/>
            <w:hideMark/>
          </w:tcPr>
          <w:p w14:paraId="7D14B07C" w14:textId="633FF515" w:rsidR="006357FF" w:rsidRPr="00B275E2" w:rsidRDefault="006357FF" w:rsidP="00121854">
            <w:pPr>
              <w:pStyle w:val="TableText"/>
              <w:spacing w:before="40" w:after="40"/>
              <w:jc w:val="right"/>
              <w:cnfStyle w:val="100000000000" w:firstRow="1" w:lastRow="0" w:firstColumn="0" w:lastColumn="0" w:oddVBand="0" w:evenVBand="0" w:oddHBand="0" w:evenHBand="0" w:firstRowFirstColumn="0" w:firstRowLastColumn="0" w:lastRowFirstColumn="0" w:lastRowLastColumn="0"/>
            </w:pPr>
            <w:r w:rsidRPr="00B275E2">
              <w:t>CH</w:t>
            </w:r>
            <w:r w:rsidRPr="00B275E2">
              <w:rPr>
                <w:vertAlign w:val="subscript"/>
              </w:rPr>
              <w:t>4</w:t>
            </w:r>
            <w:r w:rsidRPr="00B275E2">
              <w:t xml:space="preserve"> (kg CO</w:t>
            </w:r>
            <w:r w:rsidRPr="00B275E2">
              <w:rPr>
                <w:vertAlign w:val="subscript"/>
              </w:rPr>
              <w:t>2</w:t>
            </w:r>
            <w:r w:rsidRPr="00B275E2">
              <w:noBreakHyphen/>
              <w:t>e)/unit</w:t>
            </w:r>
          </w:p>
        </w:tc>
        <w:tc>
          <w:tcPr>
            <w:tcW w:w="0" w:type="auto"/>
            <w:noWrap/>
            <w:hideMark/>
          </w:tcPr>
          <w:p w14:paraId="1DC390CA" w14:textId="45307018" w:rsidR="006357FF" w:rsidRPr="00B275E2" w:rsidRDefault="006357FF" w:rsidP="00121854">
            <w:pPr>
              <w:pStyle w:val="TableText"/>
              <w:spacing w:before="40" w:after="40"/>
              <w:jc w:val="right"/>
              <w:cnfStyle w:val="100000000000" w:firstRow="1" w:lastRow="0" w:firstColumn="0" w:lastColumn="0" w:oddVBand="0" w:evenVBand="0" w:oddHBand="0" w:evenHBand="0" w:firstRowFirstColumn="0" w:firstRowLastColumn="0" w:lastRowFirstColumn="0" w:lastRowLastColumn="0"/>
            </w:pPr>
            <w:r w:rsidRPr="00B275E2">
              <w:t>N</w:t>
            </w:r>
            <w:r w:rsidRPr="00B275E2">
              <w:rPr>
                <w:vertAlign w:val="subscript"/>
              </w:rPr>
              <w:t>2</w:t>
            </w:r>
            <w:r w:rsidRPr="00B275E2">
              <w:t>O (kg CO</w:t>
            </w:r>
            <w:r w:rsidRPr="00B275E2">
              <w:rPr>
                <w:vertAlign w:val="subscript"/>
              </w:rPr>
              <w:t>2</w:t>
            </w:r>
            <w:r w:rsidRPr="00B275E2">
              <w:noBreakHyphen/>
              <w:t>e)/unit</w:t>
            </w:r>
          </w:p>
        </w:tc>
      </w:tr>
      <w:tr w:rsidR="00E352A9" w:rsidRPr="00B275E2" w14:paraId="24A17B8A" w14:textId="77777777" w:rsidTr="00B422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FFFFFF" w:themeColor="background1"/>
            </w:tcBorders>
          </w:tcPr>
          <w:p w14:paraId="0ED6FF29" w14:textId="5EEF50FF" w:rsidR="00E352A9" w:rsidRPr="00B275E2" w:rsidRDefault="00E352A9" w:rsidP="00121854">
            <w:pPr>
              <w:pStyle w:val="TableText"/>
              <w:spacing w:before="40" w:after="40"/>
            </w:pPr>
            <w:r w:rsidRPr="00B275E2">
              <w:t>Domestic air freight</w:t>
            </w:r>
          </w:p>
        </w:tc>
        <w:tc>
          <w:tcPr>
            <w:tcW w:w="0" w:type="auto"/>
            <w:noWrap/>
          </w:tcPr>
          <w:p w14:paraId="69077EF7" w14:textId="16195D8E" w:rsidR="00E352A9" w:rsidRPr="00B275E2" w:rsidRDefault="00E352A9" w:rsidP="00121854">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275E2">
              <w:t>tkm</w:t>
            </w:r>
          </w:p>
        </w:tc>
        <w:tc>
          <w:tcPr>
            <w:tcW w:w="0" w:type="auto"/>
            <w:shd w:val="clear" w:color="auto" w:fill="D2DDE1" w:themeFill="background2"/>
            <w:noWrap/>
          </w:tcPr>
          <w:p w14:paraId="5F9EB6F9" w14:textId="4E9B1DB6" w:rsidR="00E352A9" w:rsidRPr="00B275E2" w:rsidRDefault="00187FAE" w:rsidP="00121854">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E3E7069">
              <w:rPr>
                <w:rFonts w:cs="Calibri"/>
                <w:color w:val="000000" w:themeColor="text1"/>
              </w:rPr>
              <w:t>2.</w:t>
            </w:r>
            <w:r w:rsidR="74813FFE" w:rsidRPr="0E3E7069">
              <w:rPr>
                <w:rFonts w:cs="Calibri"/>
                <w:color w:val="000000" w:themeColor="text1"/>
              </w:rPr>
              <w:t>377</w:t>
            </w:r>
          </w:p>
        </w:tc>
        <w:tc>
          <w:tcPr>
            <w:tcW w:w="0" w:type="auto"/>
            <w:shd w:val="clear" w:color="auto" w:fill="auto"/>
            <w:noWrap/>
          </w:tcPr>
          <w:p w14:paraId="66DE6837" w14:textId="295985A8" w:rsidR="00E352A9" w:rsidRPr="00B275E2" w:rsidRDefault="00187FAE" w:rsidP="00121854">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2.352</w:t>
            </w:r>
          </w:p>
        </w:tc>
        <w:tc>
          <w:tcPr>
            <w:tcW w:w="0" w:type="auto"/>
            <w:shd w:val="clear" w:color="auto" w:fill="auto"/>
            <w:noWrap/>
          </w:tcPr>
          <w:p w14:paraId="7D50E62F" w14:textId="6A6954F2" w:rsidR="00E352A9" w:rsidRPr="00B275E2" w:rsidRDefault="00E352A9" w:rsidP="00121854">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w:t>
            </w:r>
            <w:r w:rsidR="00187FAE" w:rsidRPr="00B275E2">
              <w:rPr>
                <w:rFonts w:cs="Calibri"/>
                <w:szCs w:val="18"/>
              </w:rPr>
              <w:t>19</w:t>
            </w:r>
          </w:p>
        </w:tc>
        <w:tc>
          <w:tcPr>
            <w:tcW w:w="0" w:type="auto"/>
            <w:tcBorders>
              <w:right w:val="single" w:sz="4" w:space="0" w:color="FFFFFF" w:themeColor="background1"/>
            </w:tcBorders>
            <w:shd w:val="clear" w:color="auto" w:fill="auto"/>
            <w:noWrap/>
          </w:tcPr>
          <w:p w14:paraId="239BA1F8" w14:textId="65ECBCBA" w:rsidR="00E352A9" w:rsidRPr="00B275E2" w:rsidRDefault="00E352A9" w:rsidP="00121854">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0.02</w:t>
            </w:r>
            <w:r w:rsidR="00187FAE" w:rsidRPr="00B275E2">
              <w:rPr>
                <w:rFonts w:cs="Calibri"/>
                <w:szCs w:val="18"/>
              </w:rPr>
              <w:t>2</w:t>
            </w:r>
          </w:p>
        </w:tc>
      </w:tr>
      <w:tr w:rsidR="00E352A9" w:rsidRPr="00B275E2" w14:paraId="5410DF8C" w14:textId="77777777" w:rsidTr="00B42293">
        <w:trPr>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FFFFFF" w:themeColor="background1"/>
            </w:tcBorders>
          </w:tcPr>
          <w:p w14:paraId="620D2BCE" w14:textId="28CE0E7E" w:rsidR="00E352A9" w:rsidRPr="00B275E2" w:rsidRDefault="00E352A9" w:rsidP="00121854">
            <w:pPr>
              <w:pStyle w:val="TableText"/>
              <w:spacing w:before="40" w:after="40"/>
            </w:pPr>
            <w:r w:rsidRPr="00B275E2">
              <w:t>Short haul</w:t>
            </w:r>
          </w:p>
        </w:tc>
        <w:tc>
          <w:tcPr>
            <w:tcW w:w="0" w:type="auto"/>
            <w:noWrap/>
          </w:tcPr>
          <w:p w14:paraId="2E567366" w14:textId="76E09B21" w:rsidR="00E352A9" w:rsidRPr="00B275E2" w:rsidRDefault="00E352A9" w:rsidP="00121854">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275E2">
              <w:t>tkm</w:t>
            </w:r>
          </w:p>
        </w:tc>
        <w:tc>
          <w:tcPr>
            <w:tcW w:w="0" w:type="auto"/>
            <w:shd w:val="clear" w:color="auto" w:fill="D2DDE1" w:themeFill="background2"/>
            <w:noWrap/>
          </w:tcPr>
          <w:p w14:paraId="4595E9AB" w14:textId="73EB6A6F" w:rsidR="00E352A9" w:rsidRPr="00B275E2" w:rsidRDefault="00187FAE" w:rsidP="00121854">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E3E7069">
              <w:rPr>
                <w:rFonts w:cs="Calibri"/>
                <w:color w:val="000000" w:themeColor="text1"/>
              </w:rPr>
              <w:t>1.</w:t>
            </w:r>
            <w:r w:rsidR="74813FFE" w:rsidRPr="0E3E7069">
              <w:rPr>
                <w:rFonts w:cs="Calibri"/>
                <w:color w:val="000000" w:themeColor="text1"/>
              </w:rPr>
              <w:t>217</w:t>
            </w:r>
          </w:p>
        </w:tc>
        <w:tc>
          <w:tcPr>
            <w:tcW w:w="0" w:type="auto"/>
            <w:shd w:val="clear" w:color="auto" w:fill="auto"/>
            <w:noWrap/>
          </w:tcPr>
          <w:p w14:paraId="23322841" w14:textId="170EF30D" w:rsidR="00E352A9" w:rsidRPr="00B275E2" w:rsidRDefault="00187FAE" w:rsidP="00121854">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1.206</w:t>
            </w:r>
          </w:p>
        </w:tc>
        <w:tc>
          <w:tcPr>
            <w:tcW w:w="0" w:type="auto"/>
            <w:shd w:val="clear" w:color="auto" w:fill="auto"/>
            <w:noWrap/>
          </w:tcPr>
          <w:p w14:paraId="563F0500" w14:textId="6077E22F" w:rsidR="00E352A9" w:rsidRPr="00B275E2" w:rsidRDefault="00E352A9" w:rsidP="00121854">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w:t>
            </w:r>
            <w:r w:rsidR="00187FAE" w:rsidRPr="00B275E2">
              <w:rPr>
                <w:rFonts w:cs="Calibri"/>
                <w:szCs w:val="18"/>
              </w:rPr>
              <w:t>1</w:t>
            </w:r>
          </w:p>
        </w:tc>
        <w:tc>
          <w:tcPr>
            <w:tcW w:w="0" w:type="auto"/>
            <w:tcBorders>
              <w:right w:val="single" w:sz="4" w:space="0" w:color="FFFFFF" w:themeColor="background1"/>
            </w:tcBorders>
            <w:shd w:val="clear" w:color="auto" w:fill="auto"/>
            <w:noWrap/>
          </w:tcPr>
          <w:p w14:paraId="4AAFC477" w14:textId="054B6E29" w:rsidR="00E352A9" w:rsidRPr="00B275E2" w:rsidRDefault="00E352A9" w:rsidP="00121854">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0.011</w:t>
            </w:r>
          </w:p>
        </w:tc>
      </w:tr>
      <w:tr w:rsidR="00E352A9" w:rsidRPr="00B275E2" w14:paraId="18877C5F" w14:textId="77777777" w:rsidTr="00B422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FFFFFF" w:themeColor="background1"/>
            </w:tcBorders>
          </w:tcPr>
          <w:p w14:paraId="265CE14B" w14:textId="77777777" w:rsidR="00E352A9" w:rsidRPr="00B275E2" w:rsidRDefault="00E352A9" w:rsidP="00121854">
            <w:pPr>
              <w:pStyle w:val="TableText"/>
              <w:spacing w:before="40" w:after="40"/>
            </w:pPr>
            <w:r w:rsidRPr="00B275E2">
              <w:t>Long haul</w:t>
            </w:r>
          </w:p>
        </w:tc>
        <w:tc>
          <w:tcPr>
            <w:tcW w:w="0" w:type="auto"/>
            <w:noWrap/>
          </w:tcPr>
          <w:p w14:paraId="543BAF25" w14:textId="6839A760" w:rsidR="00E352A9" w:rsidRPr="00B275E2" w:rsidRDefault="00E352A9" w:rsidP="00121854">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275E2">
              <w:t>tkm</w:t>
            </w:r>
          </w:p>
        </w:tc>
        <w:tc>
          <w:tcPr>
            <w:tcW w:w="0" w:type="auto"/>
            <w:shd w:val="clear" w:color="auto" w:fill="D2DDE1" w:themeFill="background2"/>
            <w:noWrap/>
          </w:tcPr>
          <w:p w14:paraId="10BB016D" w14:textId="338EF55E" w:rsidR="00E352A9" w:rsidRPr="00B275E2" w:rsidRDefault="00187FAE" w:rsidP="00121854">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B275E2">
              <w:rPr>
                <w:rFonts w:cs="Calibri"/>
                <w:color w:val="000000" w:themeColor="text1"/>
                <w:szCs w:val="18"/>
              </w:rPr>
              <w:t>0.539</w:t>
            </w:r>
          </w:p>
        </w:tc>
        <w:tc>
          <w:tcPr>
            <w:tcW w:w="0" w:type="auto"/>
            <w:shd w:val="clear" w:color="auto" w:fill="auto"/>
            <w:noWrap/>
          </w:tcPr>
          <w:p w14:paraId="7132640C" w14:textId="0E67E11B" w:rsidR="00E352A9" w:rsidRPr="00B275E2" w:rsidRDefault="00187FAE" w:rsidP="00121854">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0.534</w:t>
            </w:r>
          </w:p>
        </w:tc>
        <w:tc>
          <w:tcPr>
            <w:tcW w:w="0" w:type="auto"/>
            <w:shd w:val="clear" w:color="auto" w:fill="auto"/>
            <w:noWrap/>
          </w:tcPr>
          <w:p w14:paraId="35351C11" w14:textId="56CD38CE" w:rsidR="00E352A9" w:rsidRPr="00B275E2" w:rsidRDefault="00E352A9" w:rsidP="00121854">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w:t>
            </w:r>
            <w:r w:rsidR="00187FAE" w:rsidRPr="00B275E2">
              <w:rPr>
                <w:rFonts w:cs="Calibri"/>
                <w:szCs w:val="18"/>
              </w:rPr>
              <w:t>04</w:t>
            </w:r>
          </w:p>
        </w:tc>
        <w:tc>
          <w:tcPr>
            <w:tcW w:w="0" w:type="auto"/>
            <w:tcBorders>
              <w:right w:val="single" w:sz="4" w:space="0" w:color="FFFFFF" w:themeColor="background1"/>
            </w:tcBorders>
            <w:shd w:val="clear" w:color="auto" w:fill="auto"/>
            <w:noWrap/>
          </w:tcPr>
          <w:p w14:paraId="51828DD1" w14:textId="42338700" w:rsidR="00E352A9" w:rsidRPr="00B275E2" w:rsidRDefault="00E352A9" w:rsidP="00121854">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w:t>
            </w:r>
            <w:r w:rsidR="00187FAE" w:rsidRPr="00B275E2">
              <w:rPr>
                <w:rFonts w:cs="Calibri"/>
                <w:szCs w:val="18"/>
              </w:rPr>
              <w:t>5</w:t>
            </w:r>
          </w:p>
        </w:tc>
      </w:tr>
    </w:tbl>
    <w:p w14:paraId="0AC24E13" w14:textId="571E3302" w:rsidR="00181039" w:rsidRPr="00B275E2" w:rsidRDefault="00181039" w:rsidP="007F0B1E">
      <w:pPr>
        <w:pStyle w:val="Note"/>
      </w:pPr>
      <w:r w:rsidRPr="00B275E2">
        <w:t>Note</w:t>
      </w:r>
      <w:r w:rsidR="00E97D2C" w:rsidRPr="00B275E2">
        <w:t>: T</w:t>
      </w:r>
      <w:r w:rsidRPr="00B275E2">
        <w:t xml:space="preserve">hese numbers are rounded to three </w:t>
      </w:r>
      <w:r w:rsidR="002011A6" w:rsidRPr="00B275E2">
        <w:t xml:space="preserve">decimal places </w:t>
      </w:r>
      <w:r w:rsidRPr="00B275E2">
        <w:t xml:space="preserve">unless the number is significantly small. </w:t>
      </w:r>
    </w:p>
    <w:p w14:paraId="20448E4E" w14:textId="527A43CF" w:rsidR="001A021C" w:rsidRPr="00B275E2" w:rsidRDefault="00301928" w:rsidP="006B7605">
      <w:pPr>
        <w:pStyle w:val="Heading3"/>
      </w:pPr>
      <w:bookmarkStart w:id="502" w:name="_Toc532904928"/>
      <w:r w:rsidRPr="00B275E2">
        <w:lastRenderedPageBreak/>
        <w:t xml:space="preserve">GHG </w:t>
      </w:r>
      <w:r w:rsidR="001A021C" w:rsidRPr="00B275E2">
        <w:t>inventory development</w:t>
      </w:r>
      <w:bookmarkEnd w:id="502"/>
    </w:p>
    <w:p w14:paraId="6FC14CB5" w14:textId="4998A090" w:rsidR="001A021C" w:rsidRPr="00B275E2" w:rsidRDefault="001A021C" w:rsidP="007F0B1E">
      <w:pPr>
        <w:pStyle w:val="BodyText"/>
      </w:pPr>
      <w:r w:rsidRPr="00B275E2">
        <w:t>Users should collect data on the weight in tonnes of goods freighted</w:t>
      </w:r>
      <w:r w:rsidR="00B46895" w:rsidRPr="00B275E2">
        <w:t xml:space="preserve"> by air and </w:t>
      </w:r>
      <w:r w:rsidRPr="00B275E2">
        <w:t>the distance travelled. For each journey</w:t>
      </w:r>
      <w:r w:rsidR="00522B0E" w:rsidRPr="00B275E2">
        <w:t>, multiply</w:t>
      </w:r>
      <w:r w:rsidRPr="00B275E2">
        <w:t xml:space="preserve"> the total tonnes by the total km travelled. </w:t>
      </w:r>
    </w:p>
    <w:p w14:paraId="3826D200" w14:textId="4DCEDBB2" w:rsidR="00522B0E" w:rsidRPr="00B275E2" w:rsidRDefault="00522B0E" w:rsidP="007F0B1E">
      <w:pPr>
        <w:pStyle w:val="BodyText"/>
      </w:pPr>
      <w:r w:rsidRPr="00B275E2">
        <w:t xml:space="preserve">Applying the equation </w:t>
      </w:r>
      <w:r w:rsidR="00E71782" w:rsidRPr="00B275E2">
        <w:t>E= Q x F</w:t>
      </w:r>
      <w:r w:rsidR="00DD7BD6" w:rsidRPr="00B275E2">
        <w:t xml:space="preserve"> </w:t>
      </w:r>
      <w:r w:rsidR="00E71782" w:rsidRPr="00B275E2">
        <w:t>(</w:t>
      </w:r>
      <w:hyperlink w:anchor="_How_to_quantify" w:history="1">
        <w:r w:rsidR="00DD7BD6" w:rsidRPr="00B275E2">
          <w:rPr>
            <w:rStyle w:val="Hyperlink"/>
          </w:rPr>
          <w:t>section 2</w:t>
        </w:r>
      </w:hyperlink>
      <w:r w:rsidR="00E71782" w:rsidRPr="00B275E2">
        <w:rPr>
          <w:rStyle w:val="Hyperlink"/>
          <w:color w:val="auto"/>
        </w:rPr>
        <w:t>)</w:t>
      </w:r>
      <w:r w:rsidRPr="00B275E2">
        <w:t>, this means:</w:t>
      </w:r>
    </w:p>
    <w:p w14:paraId="3A71B823" w14:textId="63494900" w:rsidR="00E71782" w:rsidRPr="00B275E2" w:rsidRDefault="00E71782" w:rsidP="00FA0C7B">
      <w:pPr>
        <w:pStyle w:val="BodyText"/>
        <w:tabs>
          <w:tab w:val="left" w:pos="680"/>
          <w:tab w:val="left" w:pos="1134"/>
        </w:tabs>
        <w:contextualSpacing/>
      </w:pPr>
      <w:r w:rsidRPr="00B275E2">
        <w:t>E</w:t>
      </w:r>
      <w:r w:rsidRPr="00B275E2">
        <w:tab/>
        <w:t>=</w:t>
      </w:r>
      <w:r w:rsidRPr="00B275E2">
        <w:tab/>
        <w:t>emissions from the emissions source in kg CO</w:t>
      </w:r>
      <w:r w:rsidRPr="00B275E2">
        <w:rPr>
          <w:vertAlign w:val="subscript"/>
        </w:rPr>
        <w:t>2</w:t>
      </w:r>
      <w:r w:rsidRPr="00B275E2">
        <w:t>-e per year</w:t>
      </w:r>
    </w:p>
    <w:p w14:paraId="15E91033" w14:textId="432696BD" w:rsidR="001A021C" w:rsidRPr="00B275E2" w:rsidRDefault="001A021C" w:rsidP="00FA0C7B">
      <w:pPr>
        <w:pStyle w:val="BodyText"/>
        <w:tabs>
          <w:tab w:val="left" w:pos="680"/>
          <w:tab w:val="left" w:pos="1134"/>
        </w:tabs>
        <w:contextualSpacing/>
      </w:pPr>
      <w:r w:rsidRPr="00B275E2">
        <w:t>Q</w:t>
      </w:r>
      <w:r w:rsidR="004A7BFA" w:rsidRPr="00B275E2">
        <w:tab/>
      </w:r>
      <w:r w:rsidRPr="00B275E2">
        <w:t>=</w:t>
      </w:r>
      <w:r w:rsidR="004A7BFA" w:rsidRPr="00B275E2">
        <w:tab/>
      </w:r>
      <w:r w:rsidRPr="00B275E2">
        <w:t>tonnes of freight</w:t>
      </w:r>
      <w:r w:rsidR="00522B0E" w:rsidRPr="00B275E2">
        <w:t xml:space="preserve"> × </w:t>
      </w:r>
      <w:r w:rsidRPr="00B275E2">
        <w:t>km travelled</w:t>
      </w:r>
    </w:p>
    <w:p w14:paraId="614B89B0" w14:textId="5467A520" w:rsidR="00FC4007" w:rsidRPr="00B275E2" w:rsidRDefault="004A7BFA" w:rsidP="00FA0C7B">
      <w:pPr>
        <w:pStyle w:val="BodyText"/>
        <w:tabs>
          <w:tab w:val="left" w:pos="680"/>
          <w:tab w:val="left" w:pos="1134"/>
        </w:tabs>
        <w:spacing w:after="240"/>
        <w:contextualSpacing/>
      </w:pPr>
      <w:r w:rsidRPr="00B275E2">
        <w:t>F</w:t>
      </w:r>
      <w:r w:rsidRPr="00B275E2">
        <w:tab/>
        <w:t>=</w:t>
      </w:r>
      <w:r w:rsidRPr="00B275E2">
        <w:tab/>
      </w:r>
      <w:r w:rsidR="009F1DC5" w:rsidRPr="00B275E2">
        <w:t>appropriate emission factors in</w:t>
      </w:r>
      <w:r w:rsidR="002352C4" w:rsidRPr="00B275E2">
        <w:t xml:space="preserve"> table 6</w:t>
      </w:r>
      <w:r w:rsidR="00521227">
        <w:t>7</w:t>
      </w:r>
      <w:r w:rsidR="002352C4" w:rsidRPr="00B275E2">
        <w:t xml:space="preserve"> or table </w:t>
      </w:r>
      <w:r w:rsidR="00521227">
        <w:t>68</w:t>
      </w: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5"/>
      </w:tblGrid>
      <w:tr w:rsidR="00714E65" w:rsidRPr="00B275E2" w:rsidDel="00D5390D" w14:paraId="7B1014D4" w14:textId="77777777" w:rsidTr="00D72245">
        <w:tc>
          <w:tcPr>
            <w:tcW w:w="8500" w:type="dxa"/>
            <w:tcBorders>
              <w:top w:val="single" w:sz="4" w:space="0" w:color="0F7B7D"/>
              <w:left w:val="single" w:sz="4" w:space="0" w:color="0F7B7D"/>
              <w:bottom w:val="nil"/>
              <w:right w:val="single" w:sz="4" w:space="0" w:color="0F7B7D"/>
            </w:tcBorders>
            <w:shd w:val="clear" w:color="auto" w:fill="0F7B7D"/>
            <w:vAlign w:val="center"/>
          </w:tcPr>
          <w:p w14:paraId="0A4B051E" w14:textId="3ED4DE32" w:rsidR="00522B0E" w:rsidRPr="00B275E2" w:rsidDel="00D5390D" w:rsidRDefault="00F84B66" w:rsidP="00D72245">
            <w:pPr>
              <w:pStyle w:val="Casestudyheading"/>
            </w:pPr>
            <w:r w:rsidRPr="00B275E2">
              <w:t xml:space="preserve">AIR FREIGHT: </w:t>
            </w:r>
            <w:r w:rsidR="00522B0E" w:rsidRPr="00B275E2">
              <w:t>Example Calculation</w:t>
            </w:r>
          </w:p>
        </w:tc>
      </w:tr>
      <w:tr w:rsidR="00A85917" w:rsidRPr="00B275E2" w14:paraId="0CF5BA46" w14:textId="77777777" w:rsidTr="00D72245">
        <w:tc>
          <w:tcPr>
            <w:tcW w:w="8500" w:type="dxa"/>
            <w:tcBorders>
              <w:top w:val="nil"/>
              <w:left w:val="single" w:sz="4" w:space="0" w:color="D5EBE8" w:themeColor="accent3"/>
              <w:bottom w:val="single" w:sz="4" w:space="0" w:color="D5EBE8" w:themeColor="accent3"/>
              <w:right w:val="single" w:sz="4" w:space="0" w:color="D5EBE8" w:themeColor="accent3"/>
            </w:tcBorders>
            <w:shd w:val="clear" w:color="auto" w:fill="D5EBE8" w:themeFill="accent3"/>
          </w:tcPr>
          <w:p w14:paraId="0286FBE6" w14:textId="3ECFB654" w:rsidR="00522B0E" w:rsidRPr="00B275E2" w:rsidRDefault="00522B0E" w:rsidP="00121854">
            <w:pPr>
              <w:pStyle w:val="Boxtext"/>
              <w:spacing w:after="0"/>
            </w:pPr>
            <w:r w:rsidRPr="00B275E2">
              <w:t xml:space="preserve">During the reporting period, an organisation </w:t>
            </w:r>
            <w:r w:rsidR="00F84B66" w:rsidRPr="00B275E2">
              <w:t xml:space="preserve">air </w:t>
            </w:r>
            <w:r w:rsidRPr="00B275E2">
              <w:t>freights 0.5 tonnes of materials 10,000 km</w:t>
            </w:r>
            <w:r w:rsidR="00F84B66" w:rsidRPr="00B275E2">
              <w:t>. T</w:t>
            </w:r>
            <w:r w:rsidRPr="00B275E2">
              <w:t xml:space="preserve">his </w:t>
            </w:r>
            <w:r w:rsidR="00F84B66" w:rsidRPr="00B275E2">
              <w:t>occurs</w:t>
            </w:r>
            <w:r w:rsidRPr="00B275E2">
              <w:t xml:space="preserve"> six times in the reporting year. The organisation decides to use emission factors </w:t>
            </w:r>
            <w:r w:rsidR="00303DF3">
              <w:t>with the radiative forcing multiplier applied.</w:t>
            </w:r>
          </w:p>
          <w:p w14:paraId="0F7A6785" w14:textId="47C46EC6" w:rsidR="00522B0E" w:rsidRPr="00B275E2" w:rsidRDefault="00522B0E" w:rsidP="00121854">
            <w:pPr>
              <w:pStyle w:val="Boxtext"/>
              <w:spacing w:after="0"/>
            </w:pPr>
            <w:r w:rsidRPr="00B275E2">
              <w:t>To calculate tkm: 0.5</w:t>
            </w:r>
            <w:r w:rsidR="004D105B" w:rsidRPr="00B275E2">
              <w:t xml:space="preserve"> tonnes</w:t>
            </w:r>
            <w:r w:rsidRPr="00B275E2">
              <w:t xml:space="preserve"> × 10,000 </w:t>
            </w:r>
            <w:r w:rsidR="004D105B" w:rsidRPr="00B275E2">
              <w:t xml:space="preserve">km </w:t>
            </w:r>
            <w:r w:rsidRPr="00B275E2">
              <w:t>× 6</w:t>
            </w:r>
            <w:r w:rsidR="005D0D5E" w:rsidRPr="00B275E2">
              <w:t xml:space="preserve"> times</w:t>
            </w:r>
            <w:r w:rsidRPr="00B275E2">
              <w:t xml:space="preserve"> = 30,000 tkm</w:t>
            </w:r>
          </w:p>
          <w:p w14:paraId="65E21F4D" w14:textId="6357A3B1" w:rsidR="00522B0E" w:rsidRPr="00B275E2" w:rsidRDefault="00522B0E" w:rsidP="00121854">
            <w:pPr>
              <w:pStyle w:val="Boxtext"/>
            </w:pPr>
            <w:r w:rsidRPr="00B275E2">
              <w:t>Use long</w:t>
            </w:r>
            <w:r w:rsidR="00F84B66" w:rsidRPr="00B275E2">
              <w:t>-</w:t>
            </w:r>
            <w:r w:rsidRPr="00B275E2">
              <w:t>haul emission factors because the journey is more than 3,700 km:</w:t>
            </w:r>
          </w:p>
          <w:p w14:paraId="2ED7B07B" w14:textId="602D88AB" w:rsidR="00522B0E" w:rsidRPr="00B275E2" w:rsidRDefault="00522B0E" w:rsidP="00121854">
            <w:pPr>
              <w:pStyle w:val="Boxtext"/>
              <w:tabs>
                <w:tab w:val="left" w:pos="2865"/>
                <w:tab w:val="left" w:pos="4560"/>
              </w:tabs>
              <w:spacing w:before="20" w:after="20"/>
              <w:ind w:left="850"/>
            </w:pPr>
            <w:r w:rsidRPr="00B275E2">
              <w:t>CO</w:t>
            </w:r>
            <w:r w:rsidRPr="00B275E2">
              <w:rPr>
                <w:vertAlign w:val="subscript"/>
              </w:rPr>
              <w:t>2</w:t>
            </w:r>
            <w:r w:rsidRPr="00B275E2">
              <w:t xml:space="preserve"> emissions </w:t>
            </w:r>
            <w:r w:rsidRPr="00B275E2">
              <w:tab/>
              <w:t>= 30,000 × 1.</w:t>
            </w:r>
            <w:r w:rsidR="004563D8" w:rsidRPr="00B275E2">
              <w:t>014</w:t>
            </w:r>
            <w:r w:rsidRPr="00B275E2">
              <w:t xml:space="preserve"> </w:t>
            </w:r>
            <w:r w:rsidRPr="00B275E2">
              <w:tab/>
              <w:t xml:space="preserve">= </w:t>
            </w:r>
            <w:r w:rsidR="00544AB6" w:rsidRPr="00B275E2">
              <w:t>30,420</w:t>
            </w:r>
            <w:r w:rsidR="00431E85" w:rsidRPr="00B275E2">
              <w:t xml:space="preserve"> </w:t>
            </w:r>
            <w:r w:rsidRPr="00B275E2">
              <w:t>kg CO</w:t>
            </w:r>
            <w:r w:rsidRPr="00B275E2">
              <w:rPr>
                <w:vertAlign w:val="subscript"/>
              </w:rPr>
              <w:t>2</w:t>
            </w:r>
          </w:p>
          <w:p w14:paraId="239A1A8E" w14:textId="43AB4F12" w:rsidR="00522B0E" w:rsidRPr="00B275E2" w:rsidRDefault="00522B0E" w:rsidP="00121854">
            <w:pPr>
              <w:pStyle w:val="Boxtext"/>
              <w:tabs>
                <w:tab w:val="left" w:pos="2865"/>
                <w:tab w:val="left" w:pos="4560"/>
              </w:tabs>
              <w:spacing w:before="20" w:after="20"/>
              <w:ind w:left="850"/>
            </w:pPr>
            <w:r w:rsidRPr="00B275E2">
              <w:t>CH</w:t>
            </w:r>
            <w:r w:rsidRPr="00B275E2">
              <w:rPr>
                <w:vertAlign w:val="subscript"/>
              </w:rPr>
              <w:t>4</w:t>
            </w:r>
            <w:r w:rsidRPr="00B275E2">
              <w:t xml:space="preserve"> emissions </w:t>
            </w:r>
            <w:r w:rsidRPr="00B275E2">
              <w:tab/>
            </w:r>
            <w:r w:rsidR="00AB4783" w:rsidRPr="00B275E2">
              <w:t>= 30,000 × 0.0000</w:t>
            </w:r>
            <w:r w:rsidR="00212370" w:rsidRPr="00B275E2">
              <w:t>4</w:t>
            </w:r>
            <w:r w:rsidR="00AB4783" w:rsidRPr="00B275E2">
              <w:tab/>
            </w:r>
            <w:r w:rsidRPr="00B275E2">
              <w:t>= 1.2 kg CO</w:t>
            </w:r>
            <w:r w:rsidRPr="00B275E2">
              <w:rPr>
                <w:vertAlign w:val="subscript"/>
              </w:rPr>
              <w:t>2</w:t>
            </w:r>
            <w:r w:rsidRPr="00B275E2">
              <w:t xml:space="preserve">-e </w:t>
            </w:r>
          </w:p>
          <w:p w14:paraId="69F97214" w14:textId="49715335" w:rsidR="00522B0E" w:rsidRPr="00B275E2" w:rsidRDefault="00522B0E" w:rsidP="00121854">
            <w:pPr>
              <w:pStyle w:val="Boxtext"/>
              <w:tabs>
                <w:tab w:val="left" w:pos="2865"/>
                <w:tab w:val="left" w:pos="4560"/>
              </w:tabs>
              <w:spacing w:before="20" w:after="20"/>
              <w:ind w:left="850"/>
            </w:pPr>
            <w:r w:rsidRPr="00B275E2">
              <w:t>N</w:t>
            </w:r>
            <w:r w:rsidRPr="00B275E2">
              <w:rPr>
                <w:vertAlign w:val="subscript"/>
              </w:rPr>
              <w:t>2</w:t>
            </w:r>
            <w:r w:rsidRPr="00B275E2">
              <w:t>O emissions</w:t>
            </w:r>
            <w:r w:rsidRPr="00B275E2">
              <w:tab/>
              <w:t>= 30,000 × 0.00</w:t>
            </w:r>
            <w:r w:rsidR="000941D3" w:rsidRPr="00B275E2">
              <w:t>5</w:t>
            </w:r>
            <w:r w:rsidRPr="00B275E2">
              <w:t xml:space="preserve"> </w:t>
            </w:r>
            <w:r w:rsidRPr="00B275E2">
              <w:tab/>
              <w:t>=</w:t>
            </w:r>
            <w:r w:rsidR="00431E85" w:rsidRPr="00B275E2">
              <w:t xml:space="preserve"> </w:t>
            </w:r>
            <w:r w:rsidR="002D30C0" w:rsidRPr="00B275E2">
              <w:t>150</w:t>
            </w:r>
            <w:r w:rsidRPr="00B275E2">
              <w:t xml:space="preserve"> kg CO</w:t>
            </w:r>
            <w:r w:rsidRPr="00B275E2">
              <w:rPr>
                <w:vertAlign w:val="subscript"/>
              </w:rPr>
              <w:t>2</w:t>
            </w:r>
            <w:r w:rsidRPr="00B275E2">
              <w:t xml:space="preserve">-e </w:t>
            </w:r>
          </w:p>
          <w:p w14:paraId="219A67D2" w14:textId="72384961" w:rsidR="00522B0E" w:rsidRPr="00B275E2" w:rsidRDefault="00522B0E" w:rsidP="00121854">
            <w:pPr>
              <w:pStyle w:val="Boxtext"/>
              <w:tabs>
                <w:tab w:val="left" w:pos="2865"/>
                <w:tab w:val="left" w:pos="4560"/>
              </w:tabs>
              <w:spacing w:before="20" w:after="20"/>
              <w:ind w:left="850"/>
            </w:pPr>
            <w:r w:rsidRPr="00B275E2">
              <w:t>Total CO</w:t>
            </w:r>
            <w:r w:rsidRPr="00B275E2">
              <w:rPr>
                <w:vertAlign w:val="subscript"/>
              </w:rPr>
              <w:t>2</w:t>
            </w:r>
            <w:r w:rsidRPr="00B275E2">
              <w:t>-e emissions</w:t>
            </w:r>
            <w:r w:rsidRPr="00B275E2">
              <w:tab/>
              <w:t xml:space="preserve">= 30,000 × </w:t>
            </w:r>
            <w:r w:rsidR="002D30C0" w:rsidRPr="00B275E2">
              <w:t>1.019</w:t>
            </w:r>
            <w:r w:rsidRPr="00B275E2">
              <w:t xml:space="preserve"> </w:t>
            </w:r>
            <w:r w:rsidRPr="00B275E2">
              <w:tab/>
              <w:t>=</w:t>
            </w:r>
            <w:r w:rsidR="0035388A" w:rsidRPr="00B275E2">
              <w:t xml:space="preserve"> </w:t>
            </w:r>
            <w:r w:rsidR="002D30C0" w:rsidRPr="00B275E2">
              <w:t>30,570</w:t>
            </w:r>
            <w:r w:rsidRPr="00B275E2">
              <w:t xml:space="preserve"> kg CO</w:t>
            </w:r>
            <w:r w:rsidRPr="00B275E2">
              <w:rPr>
                <w:vertAlign w:val="subscript"/>
              </w:rPr>
              <w:t>2</w:t>
            </w:r>
            <w:r w:rsidRPr="00B275E2">
              <w:t xml:space="preserve">-e </w:t>
            </w:r>
          </w:p>
          <w:p w14:paraId="008517FB" w14:textId="6D23B797" w:rsidR="00522B0E" w:rsidRPr="00B275E2" w:rsidRDefault="00522B0E" w:rsidP="00D3757A">
            <w:pPr>
              <w:pStyle w:val="Boxtext"/>
              <w:spacing w:before="60" w:after="180"/>
            </w:pPr>
            <w:r w:rsidRPr="00B275E2">
              <w:rPr>
                <w:sz w:val="18"/>
              </w:rPr>
              <w:t>Note</w:t>
            </w:r>
            <w:r w:rsidR="00F84B66" w:rsidRPr="00B275E2">
              <w:rPr>
                <w:sz w:val="18"/>
              </w:rPr>
              <w:t>: N</w:t>
            </w:r>
            <w:r w:rsidRPr="00B275E2">
              <w:rPr>
                <w:sz w:val="18"/>
              </w:rPr>
              <w:t>umbers may not add due to rounding</w:t>
            </w:r>
            <w:r w:rsidR="009E1FFB" w:rsidRPr="00B275E2">
              <w:rPr>
                <w:sz w:val="18"/>
              </w:rPr>
              <w:t>.</w:t>
            </w:r>
          </w:p>
        </w:tc>
      </w:tr>
    </w:tbl>
    <w:p w14:paraId="65092AC8" w14:textId="39554D90" w:rsidR="0054105F" w:rsidRPr="00B275E2" w:rsidRDefault="0054105F" w:rsidP="006B7605">
      <w:pPr>
        <w:pStyle w:val="Heading3"/>
      </w:pPr>
      <w:bookmarkStart w:id="503" w:name="_Toc532904929"/>
      <w:r w:rsidRPr="00B275E2">
        <w:t>Emission factor derivation methodology</w:t>
      </w:r>
      <w:bookmarkEnd w:id="503"/>
    </w:p>
    <w:p w14:paraId="6D3EE8E2" w14:textId="602FE9E8" w:rsidR="000929AE" w:rsidRPr="00B275E2" w:rsidRDefault="00522B0E" w:rsidP="007F0B1E">
      <w:pPr>
        <w:pStyle w:val="BodyText"/>
        <w:spacing w:before="100" w:after="100"/>
      </w:pPr>
      <w:r w:rsidRPr="00B275E2">
        <w:t xml:space="preserve">The methodology paper for the </w:t>
      </w:r>
      <w:hyperlink r:id="rId90" w:history="1">
        <w:r w:rsidRPr="00B275E2">
          <w:rPr>
            <w:rStyle w:val="Hyperlink"/>
            <w:rFonts w:eastAsia="Times New Roman" w:cs="Times New Roman"/>
          </w:rPr>
          <w:t xml:space="preserve">UK BEIS emission factors </w:t>
        </w:r>
      </w:hyperlink>
      <w:r w:rsidRPr="00B275E2">
        <w:t>contains f</w:t>
      </w:r>
      <w:r w:rsidR="000929AE" w:rsidRPr="00B275E2">
        <w:t>ull details on the derivation of these emission factors</w:t>
      </w:r>
      <w:r w:rsidR="00766F65" w:rsidRPr="00B275E2">
        <w:t>.</w:t>
      </w:r>
    </w:p>
    <w:p w14:paraId="4DFD649A" w14:textId="024012DA" w:rsidR="003E73AA" w:rsidRPr="00B275E2" w:rsidRDefault="500DFA64" w:rsidP="006B7605">
      <w:pPr>
        <w:pStyle w:val="Heading3"/>
      </w:pPr>
      <w:bookmarkStart w:id="504" w:name="_Toc532904930"/>
      <w:r>
        <w:t>Assumptions, limitations and uncertaintie</w:t>
      </w:r>
      <w:r w:rsidR="4FBF015C">
        <w:t>s</w:t>
      </w:r>
      <w:bookmarkEnd w:id="504"/>
    </w:p>
    <w:p w14:paraId="68EB2E48" w14:textId="4AB7874F" w:rsidR="003E73AA" w:rsidRPr="00B275E2" w:rsidRDefault="000929AE" w:rsidP="007F0B1E">
      <w:pPr>
        <w:pStyle w:val="BodyText"/>
        <w:spacing w:before="100" w:after="100"/>
      </w:pPr>
      <w:r w:rsidRPr="00B275E2">
        <w:t>As</w:t>
      </w:r>
      <w:r w:rsidR="00E26CFB" w:rsidRPr="00B275E2">
        <w:t xml:space="preserve"> we adopted</w:t>
      </w:r>
      <w:r w:rsidRPr="00B275E2">
        <w:t xml:space="preserve"> these emission factors from the UK BEIS emissions for air freight to and from the UK, </w:t>
      </w:r>
      <w:r w:rsidR="00E26CFB" w:rsidRPr="00B275E2">
        <w:t>we</w:t>
      </w:r>
      <w:r w:rsidRPr="00B275E2">
        <w:t xml:space="preserve"> assume the same factors apply to New Zealand. </w:t>
      </w:r>
      <w:r w:rsidR="00384469" w:rsidRPr="00B275E2">
        <w:t>We have not considered t</w:t>
      </w:r>
      <w:r w:rsidRPr="00B275E2">
        <w:t>he difference in the size of aircraft transporting domestic air freight</w:t>
      </w:r>
      <w:r w:rsidR="00F84B66" w:rsidRPr="00B275E2">
        <w:t xml:space="preserve"> – </w:t>
      </w:r>
      <w:r w:rsidR="00384469" w:rsidRPr="00B275E2">
        <w:t>this</w:t>
      </w:r>
      <w:r w:rsidRPr="00B275E2">
        <w:t xml:space="preserve"> </w:t>
      </w:r>
      <w:r w:rsidR="00384469" w:rsidRPr="00B275E2">
        <w:t xml:space="preserve">limits the </w:t>
      </w:r>
      <w:r w:rsidRPr="00B275E2">
        <w:t>accuracy of</w:t>
      </w:r>
      <w:r w:rsidR="00D3757A" w:rsidRPr="00B275E2">
        <w:t> </w:t>
      </w:r>
      <w:r w:rsidRPr="00B275E2">
        <w:t xml:space="preserve">these emission factors to </w:t>
      </w:r>
      <w:r w:rsidR="00163F41" w:rsidRPr="00B275E2">
        <w:t xml:space="preserve">better </w:t>
      </w:r>
      <w:r w:rsidRPr="00B275E2">
        <w:t>reflect N</w:t>
      </w:r>
      <w:r w:rsidR="00766F65" w:rsidRPr="00B275E2">
        <w:t xml:space="preserve">ew Zealand </w:t>
      </w:r>
      <w:r w:rsidR="00E26CFB" w:rsidRPr="00B275E2">
        <w:t xml:space="preserve">domestic </w:t>
      </w:r>
      <w:r w:rsidR="00766F65" w:rsidRPr="00B275E2">
        <w:t>air freight.</w:t>
      </w:r>
      <w:r w:rsidR="00DC1038" w:rsidRPr="00B275E2">
        <w:t xml:space="preserve"> The </w:t>
      </w:r>
      <w:hyperlink r:id="rId91" w:history="1">
        <w:r w:rsidR="00DC1038" w:rsidRPr="00B275E2">
          <w:rPr>
            <w:rStyle w:val="Hyperlink"/>
          </w:rPr>
          <w:t>UK BEIS Methodology Paper</w:t>
        </w:r>
      </w:hyperlink>
      <w:r w:rsidR="00DC1038" w:rsidRPr="00B275E2">
        <w:t xml:space="preserve"> goes into more detail behind the GHG conversion factors.</w:t>
      </w:r>
    </w:p>
    <w:p w14:paraId="0FC0792B" w14:textId="52197697" w:rsidR="00766F65" w:rsidRPr="00B275E2" w:rsidRDefault="00E26CFB" w:rsidP="007F0B1E">
      <w:pPr>
        <w:pStyle w:val="BodyText"/>
        <w:spacing w:before="100" w:after="100"/>
      </w:pPr>
      <w:r w:rsidRPr="00B275E2">
        <w:t>We included t</w:t>
      </w:r>
      <w:r w:rsidR="00766F65" w:rsidRPr="00B275E2">
        <w:t xml:space="preserve">he emission factors with radiative forcing </w:t>
      </w:r>
      <w:r w:rsidR="00A474CF" w:rsidRPr="00B275E2">
        <w:t xml:space="preserve">to </w:t>
      </w:r>
      <w:r w:rsidR="00E7560A" w:rsidRPr="00B275E2">
        <w:rPr>
          <w:spacing w:val="-2"/>
        </w:rPr>
        <w:t xml:space="preserve">account for </w:t>
      </w:r>
      <w:r w:rsidR="00CF721D" w:rsidRPr="00B275E2">
        <w:rPr>
          <w:spacing w:val="-2"/>
        </w:rPr>
        <w:t>additional radiative forcing from</w:t>
      </w:r>
      <w:r w:rsidR="00E7560A" w:rsidRPr="00B275E2">
        <w:rPr>
          <w:spacing w:val="-2"/>
        </w:rPr>
        <w:t xml:space="preserve"> emissions arising from aircraft transport at altitude (jet aircraft)</w:t>
      </w:r>
      <w:r w:rsidR="00766F65" w:rsidRPr="00B275E2">
        <w:t xml:space="preserve">. </w:t>
      </w:r>
    </w:p>
    <w:p w14:paraId="65092ACB" w14:textId="49D25C31" w:rsidR="00321918" w:rsidRPr="00B275E2" w:rsidRDefault="00083837" w:rsidP="00C24B73">
      <w:pPr>
        <w:pStyle w:val="Heading2"/>
        <w:numPr>
          <w:ilvl w:val="0"/>
          <w:numId w:val="29"/>
        </w:numPr>
      </w:pPr>
      <w:bookmarkStart w:id="505" w:name="_Toc532904931"/>
      <w:bookmarkStart w:id="506" w:name="_Toc600592"/>
      <w:bookmarkStart w:id="507" w:name="_Toc111536805"/>
      <w:r w:rsidRPr="00B275E2">
        <w:t xml:space="preserve">Coastal </w:t>
      </w:r>
      <w:r w:rsidR="00420B61" w:rsidRPr="00B275E2">
        <w:t xml:space="preserve">and </w:t>
      </w:r>
      <w:r w:rsidR="00322289" w:rsidRPr="00B275E2">
        <w:t>international shipping</w:t>
      </w:r>
      <w:bookmarkEnd w:id="505"/>
      <w:r w:rsidR="00CC65A4" w:rsidRPr="00B275E2">
        <w:t> </w:t>
      </w:r>
      <w:r w:rsidR="00322289" w:rsidRPr="00B275E2">
        <w:t>freight</w:t>
      </w:r>
      <w:bookmarkEnd w:id="506"/>
      <w:bookmarkEnd w:id="507"/>
    </w:p>
    <w:p w14:paraId="0F515F16" w14:textId="0C0240A7" w:rsidR="00CF0668" w:rsidRPr="00B275E2" w:rsidRDefault="00B84F69" w:rsidP="007F0B1E">
      <w:pPr>
        <w:pStyle w:val="BodyText"/>
        <w:spacing w:before="100" w:after="100"/>
      </w:pPr>
      <w:r w:rsidRPr="00B275E2">
        <w:t>We calculated t</w:t>
      </w:r>
      <w:r w:rsidR="0082354E" w:rsidRPr="00B275E2">
        <w:t>he domestic coastal shipping emission factor,</w:t>
      </w:r>
      <w:r w:rsidR="006A1FCE" w:rsidRPr="00B275E2">
        <w:t xml:space="preserve"> table </w:t>
      </w:r>
      <w:r w:rsidR="006E1FA8">
        <w:t>69</w:t>
      </w:r>
      <w:r w:rsidR="0082354E" w:rsidRPr="00B275E2">
        <w:t xml:space="preserve"> based on the findings </w:t>
      </w:r>
      <w:r w:rsidR="00C45F80" w:rsidRPr="00B275E2">
        <w:t xml:space="preserve">from the MoT presentation </w:t>
      </w:r>
      <w:r w:rsidR="00BD2E63" w:rsidRPr="00B275E2">
        <w:t>‘</w:t>
      </w:r>
      <w:r w:rsidR="00C45F80" w:rsidRPr="00B275E2">
        <w:t>Real-world fuel economy of heavy trucks’</w:t>
      </w:r>
      <w:r w:rsidR="006A1FCE" w:rsidRPr="00B275E2">
        <w:t>,</w:t>
      </w:r>
      <w:r w:rsidR="003167D0" w:rsidRPr="00B275E2">
        <w:rPr>
          <w:rStyle w:val="FootnoteReference"/>
          <w:color w:val="auto"/>
        </w:rPr>
        <w:footnoteReference w:id="55"/>
      </w:r>
      <w:r w:rsidR="0098024D" w:rsidRPr="00B275E2">
        <w:t xml:space="preserve"> prepared for the 2019 Transport Knowledge Conference.</w:t>
      </w:r>
      <w:r w:rsidR="00724C42" w:rsidRPr="00B275E2">
        <w:t xml:space="preserve"> </w:t>
      </w:r>
      <w:r w:rsidRPr="00B275E2">
        <w:t>We adopted t</w:t>
      </w:r>
      <w:r w:rsidR="0082354E" w:rsidRPr="00B275E2">
        <w:t>he international shipping emission factors</w:t>
      </w:r>
      <w:r w:rsidR="00AB3F6F" w:rsidRPr="00B275E2">
        <w:t xml:space="preserve"> </w:t>
      </w:r>
      <w:r w:rsidR="0082354E" w:rsidRPr="00B275E2">
        <w:t xml:space="preserve">from the </w:t>
      </w:r>
      <w:hyperlink r:id="rId92" w:history="1">
        <w:r w:rsidRPr="00B275E2">
          <w:rPr>
            <w:rStyle w:val="Hyperlink"/>
            <w:rFonts w:eastAsia="Times New Roman" w:cs="Times New Roman"/>
          </w:rPr>
          <w:t>UK BEIS emission factors</w:t>
        </w:r>
      </w:hyperlink>
      <w:r w:rsidR="009E5828" w:rsidRPr="00B275E2">
        <w:t>.</w:t>
      </w:r>
      <w:bookmarkStart w:id="508" w:name="_Ref529914460"/>
      <w:bookmarkStart w:id="509" w:name="_Ref529914438"/>
    </w:p>
    <w:p w14:paraId="65092ACD" w14:textId="5F9C9672" w:rsidR="0082354E" w:rsidRPr="00B275E2" w:rsidRDefault="00EB4389" w:rsidP="00217B81">
      <w:pPr>
        <w:pStyle w:val="Tableheading"/>
      </w:pPr>
      <w:bookmarkStart w:id="510" w:name="_Toc111536674"/>
      <w:bookmarkEnd w:id="508"/>
      <w:r w:rsidRPr="00B275E2">
        <w:lastRenderedPageBreak/>
        <w:t xml:space="preserve">Table </w:t>
      </w:r>
      <w:r w:rsidRPr="00B275E2">
        <w:fldChar w:fldCharType="begin"/>
      </w:r>
      <w:r w:rsidRPr="00B275E2">
        <w:instrText>SEQ Table \* ARABIC</w:instrText>
      </w:r>
      <w:r w:rsidRPr="00B275E2">
        <w:fldChar w:fldCharType="separate"/>
      </w:r>
      <w:r>
        <w:rPr>
          <w:noProof/>
        </w:rPr>
        <w:t>69</w:t>
      </w:r>
      <w:r w:rsidRPr="00B275E2">
        <w:fldChar w:fldCharType="end"/>
      </w:r>
      <w:r w:rsidRPr="00B275E2">
        <w:t>:</w:t>
      </w:r>
      <w:r w:rsidRPr="00B275E2">
        <w:tab/>
      </w:r>
      <w:r w:rsidR="0082354E" w:rsidRPr="00B275E2">
        <w:t>Coastal shipping emission factors</w:t>
      </w:r>
      <w:bookmarkEnd w:id="509"/>
      <w:bookmarkEnd w:id="510"/>
    </w:p>
    <w:tbl>
      <w:tblPr>
        <w:tblStyle w:val="LightList-Accent11"/>
        <w:tblW w:w="8505" w:type="dxa"/>
        <w:tblBorders>
          <w:top w:val="single" w:sz="4" w:space="0" w:color="1B556B"/>
          <w:bottom w:val="single" w:sz="4" w:space="0" w:color="1B556B"/>
          <w:insideH w:val="single" w:sz="4" w:space="0" w:color="1B556B"/>
          <w:insideV w:val="single" w:sz="4" w:space="0" w:color="1B556B"/>
        </w:tblBorders>
        <w:tblLayout w:type="fixed"/>
        <w:tblLook w:val="04A0" w:firstRow="1" w:lastRow="0" w:firstColumn="1" w:lastColumn="0" w:noHBand="0" w:noVBand="1"/>
      </w:tblPr>
      <w:tblGrid>
        <w:gridCol w:w="3311"/>
        <w:gridCol w:w="571"/>
        <w:gridCol w:w="1255"/>
        <w:gridCol w:w="1084"/>
        <w:gridCol w:w="1142"/>
        <w:gridCol w:w="1142"/>
      </w:tblGrid>
      <w:tr w:rsidR="00DE37D2" w:rsidRPr="00B275E2" w14:paraId="65092AD4" w14:textId="77777777" w:rsidTr="00DE37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9" w:type="dxa"/>
            <w:shd w:val="clear" w:color="auto" w:fill="1B556B"/>
            <w:noWrap/>
            <w:vAlign w:val="bottom"/>
            <w:hideMark/>
          </w:tcPr>
          <w:p w14:paraId="65092ACE" w14:textId="77777777" w:rsidR="008E6B89" w:rsidRPr="00B275E2" w:rsidRDefault="008E6B89" w:rsidP="007F0B1E">
            <w:pPr>
              <w:pStyle w:val="TableTextbold"/>
              <w:spacing w:before="40" w:after="40"/>
              <w:rPr>
                <w:b/>
              </w:rPr>
            </w:pPr>
            <w:r w:rsidRPr="00B275E2">
              <w:rPr>
                <w:b/>
              </w:rPr>
              <w:t>Emission source</w:t>
            </w:r>
          </w:p>
        </w:tc>
        <w:tc>
          <w:tcPr>
            <w:tcW w:w="567" w:type="dxa"/>
            <w:shd w:val="clear" w:color="auto" w:fill="1B556B"/>
            <w:noWrap/>
            <w:vAlign w:val="bottom"/>
            <w:hideMark/>
          </w:tcPr>
          <w:p w14:paraId="65092ACF" w14:textId="77777777" w:rsidR="008E6B89" w:rsidRPr="00B275E2" w:rsidRDefault="008E6B89" w:rsidP="007F0B1E">
            <w:pPr>
              <w:pStyle w:val="TableTextbold"/>
              <w:spacing w:before="40" w:after="40"/>
              <w:cnfStyle w:val="100000000000" w:firstRow="1" w:lastRow="0" w:firstColumn="0" w:lastColumn="0" w:oddVBand="0" w:evenVBand="0" w:oddHBand="0" w:evenHBand="0" w:firstRowFirstColumn="0" w:firstRowLastColumn="0" w:lastRowFirstColumn="0" w:lastRowLastColumn="0"/>
              <w:rPr>
                <w:b/>
              </w:rPr>
            </w:pPr>
            <w:r w:rsidRPr="00B275E2">
              <w:rPr>
                <w:b/>
              </w:rPr>
              <w:t>Unit</w:t>
            </w:r>
          </w:p>
        </w:tc>
        <w:tc>
          <w:tcPr>
            <w:tcW w:w="1247" w:type="dxa"/>
            <w:shd w:val="clear" w:color="auto" w:fill="D2DDE1" w:themeFill="background2"/>
            <w:noWrap/>
            <w:vAlign w:val="bottom"/>
            <w:hideMark/>
          </w:tcPr>
          <w:p w14:paraId="65092AD0" w14:textId="403F104A" w:rsidR="008E6B89" w:rsidRPr="00B275E2" w:rsidRDefault="008E6B89" w:rsidP="007F0B1E">
            <w:pPr>
              <w:pStyle w:val="TableTextbold"/>
              <w:spacing w:before="40" w:after="40"/>
              <w:jc w:val="right"/>
              <w:cnfStyle w:val="100000000000" w:firstRow="1" w:lastRow="0" w:firstColumn="0" w:lastColumn="0" w:oddVBand="0" w:evenVBand="0" w:oddHBand="0" w:evenHBand="0" w:firstRowFirstColumn="0" w:firstRowLastColumn="0" w:lastRowFirstColumn="0" w:lastRowLastColumn="0"/>
              <w:rPr>
                <w:b/>
                <w:color w:val="000000" w:themeColor="text1"/>
              </w:rPr>
            </w:pPr>
            <w:r w:rsidRPr="00B275E2">
              <w:rPr>
                <w:b/>
                <w:color w:val="000000" w:themeColor="text1"/>
              </w:rPr>
              <w:t>kg CO</w:t>
            </w:r>
            <w:r w:rsidRPr="00B275E2">
              <w:rPr>
                <w:b/>
                <w:color w:val="000000" w:themeColor="text1"/>
                <w:vertAlign w:val="subscript"/>
              </w:rPr>
              <w:t>2</w:t>
            </w:r>
            <w:r w:rsidRPr="00B275E2">
              <w:rPr>
                <w:b/>
                <w:color w:val="000000" w:themeColor="text1"/>
              </w:rPr>
              <w:t>-e/unit</w:t>
            </w:r>
          </w:p>
        </w:tc>
        <w:tc>
          <w:tcPr>
            <w:tcW w:w="1077" w:type="dxa"/>
            <w:shd w:val="clear" w:color="auto" w:fill="1B556B"/>
            <w:noWrap/>
            <w:vAlign w:val="bottom"/>
            <w:hideMark/>
          </w:tcPr>
          <w:p w14:paraId="65092AD1" w14:textId="7301C516" w:rsidR="008E6B89" w:rsidRPr="00B275E2" w:rsidRDefault="008E6B89" w:rsidP="007F0B1E">
            <w:pPr>
              <w:pStyle w:val="TableTextbold"/>
              <w:spacing w:before="40" w:after="40"/>
              <w:jc w:val="right"/>
              <w:cnfStyle w:val="100000000000" w:firstRow="1" w:lastRow="0" w:firstColumn="0" w:lastColumn="0" w:oddVBand="0" w:evenVBand="0" w:oddHBand="0" w:evenHBand="0" w:firstRowFirstColumn="0" w:firstRowLastColumn="0" w:lastRowFirstColumn="0" w:lastRowLastColumn="0"/>
              <w:rPr>
                <w:b/>
              </w:rPr>
            </w:pPr>
            <w:r w:rsidRPr="00B275E2">
              <w:rPr>
                <w:b/>
              </w:rPr>
              <w:t>kg CO</w:t>
            </w:r>
            <w:r w:rsidRPr="00B275E2">
              <w:rPr>
                <w:b/>
                <w:vertAlign w:val="subscript"/>
              </w:rPr>
              <w:t>2</w:t>
            </w:r>
            <w:r w:rsidRPr="00B275E2">
              <w:rPr>
                <w:b/>
              </w:rPr>
              <w:t>/unit</w:t>
            </w:r>
            <w:r w:rsidR="00A67995" w:rsidRPr="00B275E2">
              <w:rPr>
                <w:b/>
              </w:rPr>
              <w:t xml:space="preserve"> </w:t>
            </w:r>
            <w:r w:rsidR="00A67995" w:rsidRPr="00B275E2">
              <w:rPr>
                <w:b/>
              </w:rPr>
              <w:br/>
              <w:t>(kg CO</w:t>
            </w:r>
            <w:r w:rsidR="00A67995" w:rsidRPr="00B275E2">
              <w:rPr>
                <w:b/>
                <w:vertAlign w:val="subscript"/>
              </w:rPr>
              <w:t>2</w:t>
            </w:r>
            <w:r w:rsidR="00A67995" w:rsidRPr="00B275E2">
              <w:rPr>
                <w:b/>
              </w:rPr>
              <w:noBreakHyphen/>
              <w:t>e)</w:t>
            </w:r>
          </w:p>
        </w:tc>
        <w:tc>
          <w:tcPr>
            <w:tcW w:w="1134" w:type="dxa"/>
            <w:shd w:val="clear" w:color="auto" w:fill="1B556B"/>
            <w:noWrap/>
            <w:vAlign w:val="bottom"/>
            <w:hideMark/>
          </w:tcPr>
          <w:p w14:paraId="65092AD2" w14:textId="63C975D7" w:rsidR="008E6B89" w:rsidRPr="00B275E2" w:rsidRDefault="00A67995" w:rsidP="007F0B1E">
            <w:pPr>
              <w:pStyle w:val="TableTextbold"/>
              <w:spacing w:before="40" w:after="40"/>
              <w:jc w:val="right"/>
              <w:cnfStyle w:val="100000000000" w:firstRow="1" w:lastRow="0" w:firstColumn="0" w:lastColumn="0" w:oddVBand="0" w:evenVBand="0" w:oddHBand="0" w:evenHBand="0" w:firstRowFirstColumn="0" w:firstRowLastColumn="0" w:lastRowFirstColumn="0" w:lastRowLastColumn="0"/>
              <w:rPr>
                <w:b/>
              </w:rPr>
            </w:pPr>
            <w:r w:rsidRPr="00B275E2">
              <w:rPr>
                <w:b/>
              </w:rPr>
              <w:t xml:space="preserve">kg </w:t>
            </w:r>
            <w:r w:rsidR="008E6B89" w:rsidRPr="00B275E2">
              <w:rPr>
                <w:b/>
              </w:rPr>
              <w:t>CH</w:t>
            </w:r>
            <w:r w:rsidR="008E6B89" w:rsidRPr="00B275E2">
              <w:rPr>
                <w:b/>
                <w:vertAlign w:val="subscript"/>
              </w:rPr>
              <w:t>4</w:t>
            </w:r>
            <w:r w:rsidRPr="00B275E2">
              <w:rPr>
                <w:b/>
              </w:rPr>
              <w:t>/unit</w:t>
            </w:r>
            <w:r w:rsidR="008E6B89" w:rsidRPr="00B275E2">
              <w:rPr>
                <w:b/>
              </w:rPr>
              <w:t xml:space="preserve"> (kg CO</w:t>
            </w:r>
            <w:r w:rsidR="008E6B89" w:rsidRPr="00B275E2">
              <w:rPr>
                <w:b/>
                <w:vertAlign w:val="subscript"/>
              </w:rPr>
              <w:t>2</w:t>
            </w:r>
            <w:r w:rsidR="008E6B89" w:rsidRPr="00B275E2">
              <w:rPr>
                <w:b/>
              </w:rPr>
              <w:noBreakHyphen/>
              <w:t>e)</w:t>
            </w:r>
          </w:p>
        </w:tc>
        <w:tc>
          <w:tcPr>
            <w:tcW w:w="1134" w:type="dxa"/>
            <w:shd w:val="clear" w:color="auto" w:fill="1B556B"/>
            <w:noWrap/>
            <w:vAlign w:val="bottom"/>
            <w:hideMark/>
          </w:tcPr>
          <w:p w14:paraId="65092AD3" w14:textId="146D0B22" w:rsidR="008E6B89" w:rsidRPr="00B275E2" w:rsidRDefault="00A67995" w:rsidP="007F0B1E">
            <w:pPr>
              <w:pStyle w:val="TableTextbold"/>
              <w:spacing w:before="40" w:after="40"/>
              <w:jc w:val="right"/>
              <w:cnfStyle w:val="100000000000" w:firstRow="1" w:lastRow="0" w:firstColumn="0" w:lastColumn="0" w:oddVBand="0" w:evenVBand="0" w:oddHBand="0" w:evenHBand="0" w:firstRowFirstColumn="0" w:firstRowLastColumn="0" w:lastRowFirstColumn="0" w:lastRowLastColumn="0"/>
              <w:rPr>
                <w:b/>
              </w:rPr>
            </w:pPr>
            <w:r w:rsidRPr="00B275E2">
              <w:rPr>
                <w:b/>
              </w:rPr>
              <w:t xml:space="preserve">kg </w:t>
            </w:r>
            <w:r w:rsidR="008E6B89" w:rsidRPr="00B275E2">
              <w:rPr>
                <w:b/>
              </w:rPr>
              <w:t>N</w:t>
            </w:r>
            <w:r w:rsidR="008E6B89" w:rsidRPr="00B275E2">
              <w:rPr>
                <w:b/>
                <w:vertAlign w:val="subscript"/>
              </w:rPr>
              <w:t>2</w:t>
            </w:r>
            <w:r w:rsidR="008E6B89" w:rsidRPr="00B275E2">
              <w:rPr>
                <w:b/>
              </w:rPr>
              <w:t>O</w:t>
            </w:r>
            <w:r w:rsidRPr="00B275E2">
              <w:rPr>
                <w:b/>
              </w:rPr>
              <w:t>/unit</w:t>
            </w:r>
            <w:r w:rsidR="008E6B89" w:rsidRPr="00B275E2">
              <w:rPr>
                <w:b/>
              </w:rPr>
              <w:t xml:space="preserve"> (kg CO</w:t>
            </w:r>
            <w:r w:rsidR="008E6B89" w:rsidRPr="00B275E2">
              <w:rPr>
                <w:b/>
                <w:vertAlign w:val="subscript"/>
              </w:rPr>
              <w:t>2</w:t>
            </w:r>
            <w:r w:rsidR="008E6B89" w:rsidRPr="00B275E2">
              <w:rPr>
                <w:b/>
              </w:rPr>
              <w:noBreakHyphen/>
            </w:r>
            <w:r w:rsidRPr="00B275E2">
              <w:rPr>
                <w:b/>
              </w:rPr>
              <w:t>e)</w:t>
            </w:r>
          </w:p>
        </w:tc>
      </w:tr>
      <w:tr w:rsidR="00DE37D2" w:rsidRPr="00B275E2" w14:paraId="65092AE2" w14:textId="77777777" w:rsidTr="00730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9" w:type="dxa"/>
            <w:tcBorders>
              <w:left w:val="single" w:sz="4" w:space="0" w:color="FFFFFF" w:themeColor="background1"/>
            </w:tcBorders>
          </w:tcPr>
          <w:p w14:paraId="65092ADC" w14:textId="28AE9899" w:rsidR="00BC7784" w:rsidRPr="00B275E2" w:rsidRDefault="00BC7784" w:rsidP="007F0B1E">
            <w:pPr>
              <w:pStyle w:val="TableText"/>
              <w:spacing w:before="40" w:after="40"/>
              <w:rPr>
                <w:b w:val="0"/>
              </w:rPr>
            </w:pPr>
            <w:r w:rsidRPr="00B275E2">
              <w:rPr>
                <w:b w:val="0"/>
              </w:rPr>
              <w:t>Oil products</w:t>
            </w:r>
          </w:p>
        </w:tc>
        <w:tc>
          <w:tcPr>
            <w:tcW w:w="567" w:type="dxa"/>
            <w:noWrap/>
          </w:tcPr>
          <w:p w14:paraId="65092ADD" w14:textId="594D7B5D" w:rsidR="00BC7784" w:rsidRPr="00B275E2" w:rsidRDefault="00BC7784" w:rsidP="007F0B1E">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275E2">
              <w:t>tkm</w:t>
            </w:r>
          </w:p>
        </w:tc>
        <w:tc>
          <w:tcPr>
            <w:tcW w:w="1247" w:type="dxa"/>
            <w:shd w:val="clear" w:color="auto" w:fill="D2DDE1" w:themeFill="background2"/>
            <w:noWrap/>
          </w:tcPr>
          <w:p w14:paraId="65092ADE" w14:textId="2E270F0A" w:rsidR="00BC7784" w:rsidRPr="00B275E2" w:rsidRDefault="00BC7784"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B275E2">
              <w:rPr>
                <w:rFonts w:cs="Calibri"/>
                <w:color w:val="000000" w:themeColor="text1"/>
                <w:szCs w:val="18"/>
              </w:rPr>
              <w:t>0.016</w:t>
            </w:r>
          </w:p>
        </w:tc>
        <w:tc>
          <w:tcPr>
            <w:tcW w:w="1077" w:type="dxa"/>
            <w:shd w:val="clear" w:color="auto" w:fill="auto"/>
            <w:noWrap/>
          </w:tcPr>
          <w:p w14:paraId="65092ADF" w14:textId="509A3A0C" w:rsidR="00BC7784" w:rsidRPr="00B275E2" w:rsidRDefault="00BC7784"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0.016</w:t>
            </w:r>
          </w:p>
        </w:tc>
        <w:tc>
          <w:tcPr>
            <w:tcW w:w="1134" w:type="dxa"/>
            <w:shd w:val="clear" w:color="auto" w:fill="auto"/>
            <w:noWrap/>
          </w:tcPr>
          <w:p w14:paraId="65092AE0" w14:textId="093BFF76" w:rsidR="00BC7784" w:rsidRPr="00B275E2" w:rsidRDefault="00BC7784"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0.00004</w:t>
            </w:r>
          </w:p>
        </w:tc>
        <w:tc>
          <w:tcPr>
            <w:tcW w:w="1134" w:type="dxa"/>
            <w:tcBorders>
              <w:right w:val="single" w:sz="4" w:space="0" w:color="FFFFFF" w:themeColor="background1"/>
            </w:tcBorders>
            <w:shd w:val="clear" w:color="auto" w:fill="auto"/>
            <w:noWrap/>
          </w:tcPr>
          <w:p w14:paraId="65092AE1" w14:textId="429263B6" w:rsidR="00BC7784" w:rsidRPr="00B275E2" w:rsidRDefault="00BC7784"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0.0001</w:t>
            </w:r>
          </w:p>
        </w:tc>
      </w:tr>
      <w:tr w:rsidR="00DE37D2" w:rsidRPr="00B275E2" w14:paraId="65092AE9" w14:textId="77777777" w:rsidTr="0073061B">
        <w:tc>
          <w:tcPr>
            <w:cnfStyle w:val="001000000000" w:firstRow="0" w:lastRow="0" w:firstColumn="1" w:lastColumn="0" w:oddVBand="0" w:evenVBand="0" w:oddHBand="0" w:evenHBand="0" w:firstRowFirstColumn="0" w:firstRowLastColumn="0" w:lastRowFirstColumn="0" w:lastRowLastColumn="0"/>
            <w:tcW w:w="3289" w:type="dxa"/>
            <w:tcBorders>
              <w:left w:val="single" w:sz="4" w:space="0" w:color="FFFFFF" w:themeColor="background1"/>
            </w:tcBorders>
          </w:tcPr>
          <w:p w14:paraId="65092AE3" w14:textId="6C892089" w:rsidR="00BC7784" w:rsidRPr="00B275E2" w:rsidRDefault="00BC7784" w:rsidP="007F0B1E">
            <w:pPr>
              <w:pStyle w:val="TableText"/>
              <w:spacing w:before="40" w:after="40"/>
              <w:rPr>
                <w:b w:val="0"/>
              </w:rPr>
            </w:pPr>
            <w:r w:rsidRPr="00B275E2">
              <w:rPr>
                <w:b w:val="0"/>
              </w:rPr>
              <w:t>Other bulk shipping</w:t>
            </w:r>
          </w:p>
        </w:tc>
        <w:tc>
          <w:tcPr>
            <w:tcW w:w="567" w:type="dxa"/>
            <w:noWrap/>
          </w:tcPr>
          <w:p w14:paraId="65092AE4" w14:textId="0631CE97" w:rsidR="00BC7784" w:rsidRPr="00B275E2" w:rsidRDefault="00BC7784" w:rsidP="007F0B1E">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275E2">
              <w:t>tkm</w:t>
            </w:r>
          </w:p>
        </w:tc>
        <w:tc>
          <w:tcPr>
            <w:tcW w:w="1247" w:type="dxa"/>
            <w:shd w:val="clear" w:color="auto" w:fill="D2DDE1" w:themeFill="background2"/>
            <w:noWrap/>
          </w:tcPr>
          <w:p w14:paraId="65092AE5" w14:textId="235CBB8E" w:rsidR="00BC7784" w:rsidRPr="00B275E2" w:rsidRDefault="00BC7784"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B275E2">
              <w:rPr>
                <w:rFonts w:cs="Calibri"/>
                <w:color w:val="000000" w:themeColor="text1"/>
                <w:szCs w:val="18"/>
              </w:rPr>
              <w:t>0.030</w:t>
            </w:r>
          </w:p>
        </w:tc>
        <w:tc>
          <w:tcPr>
            <w:tcW w:w="1077" w:type="dxa"/>
            <w:shd w:val="clear" w:color="auto" w:fill="auto"/>
            <w:noWrap/>
          </w:tcPr>
          <w:p w14:paraId="65092AE6" w14:textId="44D707D3" w:rsidR="00BC7784" w:rsidRPr="00B275E2" w:rsidRDefault="00BC7784"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0.030</w:t>
            </w:r>
          </w:p>
        </w:tc>
        <w:tc>
          <w:tcPr>
            <w:tcW w:w="1134" w:type="dxa"/>
            <w:shd w:val="clear" w:color="auto" w:fill="auto"/>
            <w:noWrap/>
          </w:tcPr>
          <w:p w14:paraId="65092AE7" w14:textId="18959BC7" w:rsidR="00BC7784" w:rsidRPr="00B275E2" w:rsidRDefault="00BC7784"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0.00007</w:t>
            </w:r>
          </w:p>
        </w:tc>
        <w:tc>
          <w:tcPr>
            <w:tcW w:w="1134" w:type="dxa"/>
            <w:tcBorders>
              <w:right w:val="single" w:sz="4" w:space="0" w:color="FFFFFF" w:themeColor="background1"/>
            </w:tcBorders>
            <w:shd w:val="clear" w:color="auto" w:fill="auto"/>
            <w:noWrap/>
          </w:tcPr>
          <w:p w14:paraId="65092AE8" w14:textId="3173C1E4" w:rsidR="00BC7784" w:rsidRPr="00B275E2" w:rsidRDefault="00BC7784"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0.0002</w:t>
            </w:r>
          </w:p>
        </w:tc>
      </w:tr>
      <w:tr w:rsidR="00DE37D2" w:rsidRPr="00B275E2" w14:paraId="19537EBE" w14:textId="77777777" w:rsidTr="00730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9" w:type="dxa"/>
            <w:tcBorders>
              <w:left w:val="single" w:sz="4" w:space="0" w:color="FFFFFF" w:themeColor="background1"/>
            </w:tcBorders>
          </w:tcPr>
          <w:p w14:paraId="4CA0DD7D" w14:textId="6B01AA63" w:rsidR="00BC7784" w:rsidRPr="00B275E2" w:rsidRDefault="00BC7784" w:rsidP="007F0B1E">
            <w:pPr>
              <w:pStyle w:val="TableText"/>
              <w:rPr>
                <w:b w:val="0"/>
                <w:bCs w:val="0"/>
              </w:rPr>
            </w:pPr>
            <w:r w:rsidRPr="00B275E2">
              <w:rPr>
                <w:b w:val="0"/>
                <w:bCs w:val="0"/>
              </w:rPr>
              <w:t>Container freight</w:t>
            </w:r>
          </w:p>
        </w:tc>
        <w:tc>
          <w:tcPr>
            <w:tcW w:w="567" w:type="dxa"/>
            <w:noWrap/>
          </w:tcPr>
          <w:p w14:paraId="525DE511" w14:textId="39F29A57" w:rsidR="00BC7784" w:rsidRPr="00B275E2" w:rsidRDefault="00BC7784" w:rsidP="007F0B1E">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275E2">
              <w:t>tkm</w:t>
            </w:r>
          </w:p>
        </w:tc>
        <w:tc>
          <w:tcPr>
            <w:tcW w:w="1247" w:type="dxa"/>
            <w:shd w:val="clear" w:color="auto" w:fill="D2DDE1" w:themeFill="background2"/>
            <w:noWrap/>
          </w:tcPr>
          <w:p w14:paraId="7729A326" w14:textId="3DD0B331" w:rsidR="00BC7784" w:rsidRPr="00B275E2" w:rsidRDefault="00BC7784"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color w:val="000000" w:themeColor="text1"/>
                <w:szCs w:val="18"/>
              </w:rPr>
            </w:pPr>
            <w:r w:rsidRPr="00B275E2">
              <w:rPr>
                <w:rFonts w:cs="Calibri"/>
                <w:color w:val="000000" w:themeColor="text1"/>
                <w:szCs w:val="18"/>
              </w:rPr>
              <w:t>0.046</w:t>
            </w:r>
          </w:p>
        </w:tc>
        <w:tc>
          <w:tcPr>
            <w:tcW w:w="1077" w:type="dxa"/>
            <w:shd w:val="clear" w:color="auto" w:fill="auto"/>
            <w:noWrap/>
          </w:tcPr>
          <w:p w14:paraId="1364F12D" w14:textId="18B3D50C" w:rsidR="00BC7784" w:rsidRPr="00B275E2" w:rsidRDefault="00BC7784"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0.046</w:t>
            </w:r>
          </w:p>
        </w:tc>
        <w:tc>
          <w:tcPr>
            <w:tcW w:w="1134" w:type="dxa"/>
            <w:shd w:val="clear" w:color="auto" w:fill="auto"/>
            <w:noWrap/>
          </w:tcPr>
          <w:p w14:paraId="2285154E" w14:textId="2F13D17F" w:rsidR="00BC7784" w:rsidRPr="00B275E2" w:rsidRDefault="00BC7784"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0.0001</w:t>
            </w:r>
          </w:p>
        </w:tc>
        <w:tc>
          <w:tcPr>
            <w:tcW w:w="1134" w:type="dxa"/>
            <w:tcBorders>
              <w:right w:val="single" w:sz="4" w:space="0" w:color="FFFFFF" w:themeColor="background1"/>
            </w:tcBorders>
            <w:shd w:val="clear" w:color="auto" w:fill="auto"/>
            <w:noWrap/>
          </w:tcPr>
          <w:p w14:paraId="668F0F86" w14:textId="354BBE0C" w:rsidR="00BC7784" w:rsidRPr="00B275E2" w:rsidRDefault="00BC7784"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0.0004</w:t>
            </w:r>
          </w:p>
        </w:tc>
      </w:tr>
    </w:tbl>
    <w:p w14:paraId="2932228C" w14:textId="1E944187" w:rsidR="00B84F69" w:rsidRPr="00B275E2" w:rsidRDefault="00B84F69" w:rsidP="00363A59">
      <w:pPr>
        <w:pStyle w:val="Note"/>
      </w:pPr>
      <w:bookmarkStart w:id="511" w:name="_Hlk532819507"/>
      <w:bookmarkStart w:id="512" w:name="_Ref529919506"/>
      <w:r w:rsidRPr="00B275E2">
        <w:t>Note</w:t>
      </w:r>
      <w:r w:rsidR="004A7BFA" w:rsidRPr="00B275E2">
        <w:t>: T</w:t>
      </w:r>
      <w:r w:rsidRPr="00B275E2">
        <w:t xml:space="preserve">hese numbers are rounded to three decimal places unless the number is significantly small. </w:t>
      </w:r>
    </w:p>
    <w:p w14:paraId="65092AEB" w14:textId="1563FEE9" w:rsidR="00DB53B1" w:rsidRPr="00B275E2" w:rsidRDefault="00EB4389" w:rsidP="00363A59">
      <w:pPr>
        <w:pStyle w:val="Tableheading"/>
      </w:pPr>
      <w:bookmarkStart w:id="513" w:name="_Toc111536675"/>
      <w:bookmarkEnd w:id="511"/>
      <w:bookmarkEnd w:id="512"/>
      <w:r w:rsidRPr="00B275E2">
        <w:t xml:space="preserve">Table </w:t>
      </w:r>
      <w:r w:rsidRPr="00B275E2">
        <w:fldChar w:fldCharType="begin"/>
      </w:r>
      <w:r w:rsidRPr="00B275E2">
        <w:instrText>SEQ Table \* ARABIC</w:instrText>
      </w:r>
      <w:r w:rsidRPr="00B275E2">
        <w:fldChar w:fldCharType="separate"/>
      </w:r>
      <w:r>
        <w:rPr>
          <w:noProof/>
        </w:rPr>
        <w:t>70</w:t>
      </w:r>
      <w:r w:rsidRPr="00B275E2">
        <w:fldChar w:fldCharType="end"/>
      </w:r>
      <w:r w:rsidRPr="00B275E2">
        <w:t>:</w:t>
      </w:r>
      <w:r w:rsidRPr="00B275E2">
        <w:tab/>
      </w:r>
      <w:r w:rsidR="00DB53B1" w:rsidRPr="00B275E2">
        <w:t>International shipping emission factors</w:t>
      </w:r>
      <w:bookmarkEnd w:id="513"/>
    </w:p>
    <w:tbl>
      <w:tblPr>
        <w:tblStyle w:val="LightList-Accent11"/>
        <w:tblW w:w="8505"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CellMar>
          <w:left w:w="85" w:type="dxa"/>
          <w:right w:w="85" w:type="dxa"/>
        </w:tblCellMar>
        <w:tblLook w:val="04A0" w:firstRow="1" w:lastRow="0" w:firstColumn="1" w:lastColumn="0" w:noHBand="0" w:noVBand="1"/>
      </w:tblPr>
      <w:tblGrid>
        <w:gridCol w:w="1447"/>
        <w:gridCol w:w="1846"/>
        <w:gridCol w:w="630"/>
        <w:gridCol w:w="1288"/>
        <w:gridCol w:w="1098"/>
        <w:gridCol w:w="1098"/>
        <w:gridCol w:w="1098"/>
      </w:tblGrid>
      <w:tr w:rsidR="00A44BB4" w:rsidRPr="00B275E2" w14:paraId="4B17AEE0" w14:textId="77777777" w:rsidTr="00DE37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61" w:type="dxa"/>
            <w:gridSpan w:val="2"/>
            <w:shd w:val="clear" w:color="auto" w:fill="1B556B" w:themeFill="text2"/>
            <w:noWrap/>
            <w:vAlign w:val="bottom"/>
            <w:hideMark/>
          </w:tcPr>
          <w:p w14:paraId="0C97DC26" w14:textId="77777777" w:rsidR="008E6B89" w:rsidRPr="00B275E2" w:rsidRDefault="008E6B89" w:rsidP="007F0B1E">
            <w:pPr>
              <w:pStyle w:val="TableTextbold"/>
              <w:spacing w:before="40" w:after="40"/>
              <w:rPr>
                <w:b/>
              </w:rPr>
            </w:pPr>
            <w:r w:rsidRPr="00B275E2">
              <w:rPr>
                <w:b/>
              </w:rPr>
              <w:t>Emission source</w:t>
            </w:r>
          </w:p>
        </w:tc>
        <w:tc>
          <w:tcPr>
            <w:tcW w:w="624" w:type="dxa"/>
            <w:shd w:val="clear" w:color="auto" w:fill="1B556B" w:themeFill="text2"/>
            <w:noWrap/>
            <w:vAlign w:val="bottom"/>
            <w:hideMark/>
          </w:tcPr>
          <w:p w14:paraId="38E5504F" w14:textId="77777777" w:rsidR="008E6B89" w:rsidRPr="00B275E2" w:rsidRDefault="008E6B89" w:rsidP="007F0B1E">
            <w:pPr>
              <w:pStyle w:val="TableText"/>
              <w:spacing w:before="40" w:after="40"/>
              <w:cnfStyle w:val="100000000000" w:firstRow="1" w:lastRow="0" w:firstColumn="0" w:lastColumn="0" w:oddVBand="0" w:evenVBand="0" w:oddHBand="0" w:evenHBand="0" w:firstRowFirstColumn="0" w:firstRowLastColumn="0" w:lastRowFirstColumn="0" w:lastRowLastColumn="0"/>
              <w:rPr>
                <w:szCs w:val="18"/>
              </w:rPr>
            </w:pPr>
            <w:r w:rsidRPr="00B275E2">
              <w:rPr>
                <w:szCs w:val="18"/>
              </w:rPr>
              <w:t>Unit</w:t>
            </w:r>
          </w:p>
        </w:tc>
        <w:tc>
          <w:tcPr>
            <w:tcW w:w="1275" w:type="dxa"/>
            <w:shd w:val="clear" w:color="auto" w:fill="D2DDE1" w:themeFill="background2"/>
            <w:noWrap/>
            <w:vAlign w:val="bottom"/>
            <w:hideMark/>
          </w:tcPr>
          <w:p w14:paraId="5046AA82" w14:textId="77777777" w:rsidR="008E6B89" w:rsidRPr="00B275E2" w:rsidRDefault="008E6B89" w:rsidP="007F0B1E">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color w:val="000000" w:themeColor="text1"/>
                <w:szCs w:val="18"/>
              </w:rPr>
            </w:pPr>
            <w:r w:rsidRPr="00B275E2">
              <w:rPr>
                <w:color w:val="000000" w:themeColor="text1"/>
                <w:szCs w:val="18"/>
              </w:rPr>
              <w:t>kg CO</w:t>
            </w:r>
            <w:r w:rsidRPr="00B275E2">
              <w:rPr>
                <w:color w:val="000000" w:themeColor="text1"/>
                <w:szCs w:val="18"/>
                <w:vertAlign w:val="subscript"/>
              </w:rPr>
              <w:t>2</w:t>
            </w:r>
            <w:r w:rsidRPr="00B275E2">
              <w:rPr>
                <w:color w:val="000000" w:themeColor="text1"/>
                <w:szCs w:val="18"/>
              </w:rPr>
              <w:t>-e/unit</w:t>
            </w:r>
          </w:p>
        </w:tc>
        <w:tc>
          <w:tcPr>
            <w:tcW w:w="1087" w:type="dxa"/>
            <w:shd w:val="clear" w:color="auto" w:fill="1B556B" w:themeFill="text2"/>
            <w:noWrap/>
            <w:vAlign w:val="bottom"/>
            <w:hideMark/>
          </w:tcPr>
          <w:p w14:paraId="420825D4" w14:textId="7F96697D" w:rsidR="008E6B89" w:rsidRPr="00B275E2" w:rsidRDefault="00A67995" w:rsidP="007F0B1E">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szCs w:val="18"/>
              </w:rPr>
            </w:pPr>
            <w:r w:rsidRPr="00B275E2">
              <w:t>kg CO</w:t>
            </w:r>
            <w:r w:rsidRPr="00B275E2">
              <w:rPr>
                <w:vertAlign w:val="subscript"/>
              </w:rPr>
              <w:t>2</w:t>
            </w:r>
            <w:r w:rsidRPr="00B275E2">
              <w:t xml:space="preserve">/unit </w:t>
            </w:r>
            <w:r w:rsidRPr="00B275E2">
              <w:br/>
              <w:t>(kg CO</w:t>
            </w:r>
            <w:r w:rsidRPr="00B275E2">
              <w:rPr>
                <w:vertAlign w:val="subscript"/>
              </w:rPr>
              <w:t>2</w:t>
            </w:r>
            <w:r w:rsidRPr="00B275E2">
              <w:noBreakHyphen/>
              <w:t>e)</w:t>
            </w:r>
          </w:p>
        </w:tc>
        <w:tc>
          <w:tcPr>
            <w:tcW w:w="1087" w:type="dxa"/>
            <w:shd w:val="clear" w:color="auto" w:fill="1B556B" w:themeFill="text2"/>
            <w:vAlign w:val="bottom"/>
          </w:tcPr>
          <w:p w14:paraId="4D9FFF5F" w14:textId="536E4322" w:rsidR="008E6B89" w:rsidRPr="00B275E2" w:rsidRDefault="00A67995" w:rsidP="007F0B1E">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szCs w:val="18"/>
              </w:rPr>
            </w:pPr>
            <w:r w:rsidRPr="00B275E2">
              <w:t>kg CH</w:t>
            </w:r>
            <w:r w:rsidRPr="00B275E2">
              <w:rPr>
                <w:vertAlign w:val="subscript"/>
              </w:rPr>
              <w:t>4</w:t>
            </w:r>
            <w:r w:rsidRPr="00B275E2">
              <w:t>/unit (kg CO</w:t>
            </w:r>
            <w:r w:rsidRPr="00B275E2">
              <w:rPr>
                <w:vertAlign w:val="subscript"/>
              </w:rPr>
              <w:t>2</w:t>
            </w:r>
            <w:r w:rsidRPr="00B275E2">
              <w:noBreakHyphen/>
              <w:t>e)</w:t>
            </w:r>
          </w:p>
        </w:tc>
        <w:tc>
          <w:tcPr>
            <w:tcW w:w="1087" w:type="dxa"/>
            <w:shd w:val="clear" w:color="auto" w:fill="1B556B" w:themeFill="text2"/>
            <w:vAlign w:val="bottom"/>
          </w:tcPr>
          <w:p w14:paraId="0E14B2AF" w14:textId="3DD28EFA" w:rsidR="008E6B89" w:rsidRPr="00B275E2" w:rsidRDefault="00A67995" w:rsidP="007F0B1E">
            <w:pPr>
              <w:pStyle w:val="TableText"/>
              <w:spacing w:before="40" w:after="40"/>
              <w:jc w:val="right"/>
              <w:cnfStyle w:val="100000000000" w:firstRow="1" w:lastRow="0" w:firstColumn="0" w:lastColumn="0" w:oddVBand="0" w:evenVBand="0" w:oddHBand="0" w:evenHBand="0" w:firstRowFirstColumn="0" w:firstRowLastColumn="0" w:lastRowFirstColumn="0" w:lastRowLastColumn="0"/>
            </w:pPr>
            <w:r w:rsidRPr="00B275E2">
              <w:t>kg N</w:t>
            </w:r>
            <w:r w:rsidRPr="00B275E2">
              <w:rPr>
                <w:vertAlign w:val="subscript"/>
              </w:rPr>
              <w:t>2</w:t>
            </w:r>
            <w:r w:rsidRPr="00B275E2">
              <w:t>O/unit (kg CO</w:t>
            </w:r>
            <w:r w:rsidRPr="00B275E2">
              <w:rPr>
                <w:vertAlign w:val="subscript"/>
              </w:rPr>
              <w:t>2</w:t>
            </w:r>
            <w:r w:rsidRPr="00B275E2">
              <w:noBreakHyphen/>
              <w:t>e)</w:t>
            </w:r>
          </w:p>
        </w:tc>
      </w:tr>
      <w:tr w:rsidR="00A44BB4" w:rsidRPr="00B275E2" w14:paraId="6C8A7F83" w14:textId="77777777" w:rsidTr="00730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vMerge w:val="restart"/>
            <w:tcBorders>
              <w:left w:val="single" w:sz="4" w:space="0" w:color="FFFFFF" w:themeColor="background1"/>
            </w:tcBorders>
          </w:tcPr>
          <w:p w14:paraId="669CB644" w14:textId="77777777" w:rsidR="00632F67" w:rsidRPr="00B275E2" w:rsidRDefault="00632F67" w:rsidP="007F0B1E">
            <w:pPr>
              <w:pStyle w:val="TableText"/>
              <w:spacing w:before="40" w:after="40"/>
              <w:rPr>
                <w:b w:val="0"/>
                <w:szCs w:val="18"/>
              </w:rPr>
            </w:pPr>
            <w:r w:rsidRPr="00B275E2">
              <w:rPr>
                <w:b w:val="0"/>
                <w:szCs w:val="18"/>
              </w:rPr>
              <w:t>Bulk carrier</w:t>
            </w:r>
          </w:p>
        </w:tc>
        <w:tc>
          <w:tcPr>
            <w:tcW w:w="1828" w:type="dxa"/>
            <w:noWrap/>
          </w:tcPr>
          <w:p w14:paraId="25094850" w14:textId="77777777" w:rsidR="00632F67" w:rsidRPr="00B275E2" w:rsidRDefault="00632F67"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200,000+ dwt</w:t>
            </w:r>
          </w:p>
        </w:tc>
        <w:tc>
          <w:tcPr>
            <w:tcW w:w="624" w:type="dxa"/>
            <w:noWrap/>
          </w:tcPr>
          <w:p w14:paraId="7027F755" w14:textId="77777777" w:rsidR="00632F67" w:rsidRPr="00B275E2" w:rsidRDefault="00632F67"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tkm</w:t>
            </w:r>
          </w:p>
        </w:tc>
        <w:tc>
          <w:tcPr>
            <w:tcW w:w="1275" w:type="dxa"/>
            <w:shd w:val="clear" w:color="auto" w:fill="D2DDE1" w:themeFill="background2"/>
            <w:noWrap/>
          </w:tcPr>
          <w:p w14:paraId="484862A7" w14:textId="4E936DDA" w:rsidR="00632F67" w:rsidRPr="00B275E2" w:rsidRDefault="00632F67"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B275E2">
              <w:rPr>
                <w:rFonts w:cs="Calibri"/>
                <w:color w:val="000000" w:themeColor="text1"/>
                <w:szCs w:val="18"/>
              </w:rPr>
              <w:t>0.003</w:t>
            </w:r>
          </w:p>
        </w:tc>
        <w:tc>
          <w:tcPr>
            <w:tcW w:w="1087" w:type="dxa"/>
            <w:shd w:val="clear" w:color="auto" w:fill="auto"/>
            <w:noWrap/>
          </w:tcPr>
          <w:p w14:paraId="1BFD745E" w14:textId="08EA3557" w:rsidR="00632F67" w:rsidRPr="00B275E2" w:rsidRDefault="00632F67"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0.003</w:t>
            </w:r>
          </w:p>
        </w:tc>
        <w:tc>
          <w:tcPr>
            <w:tcW w:w="1087" w:type="dxa"/>
            <w:shd w:val="clear" w:color="auto" w:fill="auto"/>
          </w:tcPr>
          <w:p w14:paraId="6565E980" w14:textId="61077BDC" w:rsidR="00632F67" w:rsidRPr="00B275E2" w:rsidRDefault="00632F67"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0.00000</w:t>
            </w:r>
            <w:r w:rsidR="00AA454C" w:rsidRPr="00B275E2">
              <w:rPr>
                <w:rFonts w:cs="Calibri"/>
                <w:szCs w:val="18"/>
              </w:rPr>
              <w:t>0</w:t>
            </w:r>
          </w:p>
        </w:tc>
        <w:tc>
          <w:tcPr>
            <w:tcW w:w="1087" w:type="dxa"/>
            <w:tcBorders>
              <w:right w:val="single" w:sz="4" w:space="0" w:color="FFFFFF" w:themeColor="background1"/>
            </w:tcBorders>
            <w:shd w:val="clear" w:color="auto" w:fill="auto"/>
          </w:tcPr>
          <w:p w14:paraId="11BBCBEA" w14:textId="3B146AF0" w:rsidR="00632F67" w:rsidRPr="00B275E2" w:rsidRDefault="00632F67"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0.00003</w:t>
            </w:r>
          </w:p>
        </w:tc>
      </w:tr>
      <w:tr w:rsidR="00A44BB4" w:rsidRPr="00B275E2" w14:paraId="2E91709B" w14:textId="77777777" w:rsidTr="0073061B">
        <w:tc>
          <w:tcPr>
            <w:cnfStyle w:val="001000000000" w:firstRow="0" w:lastRow="0" w:firstColumn="1" w:lastColumn="0" w:oddVBand="0" w:evenVBand="0" w:oddHBand="0" w:evenHBand="0" w:firstRowFirstColumn="0" w:firstRowLastColumn="0" w:lastRowFirstColumn="0" w:lastRowLastColumn="0"/>
            <w:tcW w:w="1433" w:type="dxa"/>
            <w:vMerge/>
            <w:tcBorders>
              <w:left w:val="single" w:sz="4" w:space="0" w:color="FFFFFF" w:themeColor="background1"/>
            </w:tcBorders>
          </w:tcPr>
          <w:p w14:paraId="184AA493" w14:textId="77777777" w:rsidR="00632F67" w:rsidRPr="00B275E2" w:rsidRDefault="00632F67" w:rsidP="007F0B1E">
            <w:pPr>
              <w:pStyle w:val="TableText"/>
              <w:spacing w:before="40" w:after="40"/>
              <w:rPr>
                <w:b w:val="0"/>
                <w:szCs w:val="18"/>
              </w:rPr>
            </w:pPr>
          </w:p>
        </w:tc>
        <w:tc>
          <w:tcPr>
            <w:tcW w:w="1828" w:type="dxa"/>
            <w:noWrap/>
          </w:tcPr>
          <w:p w14:paraId="0298691B" w14:textId="77777777" w:rsidR="00632F67" w:rsidRPr="00B275E2" w:rsidRDefault="00632F67"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100,000–199,999 dwt</w:t>
            </w:r>
          </w:p>
        </w:tc>
        <w:tc>
          <w:tcPr>
            <w:tcW w:w="624" w:type="dxa"/>
            <w:noWrap/>
          </w:tcPr>
          <w:p w14:paraId="2C04F226" w14:textId="77777777" w:rsidR="00632F67" w:rsidRPr="00B275E2" w:rsidRDefault="00632F67"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tkm</w:t>
            </w:r>
          </w:p>
        </w:tc>
        <w:tc>
          <w:tcPr>
            <w:tcW w:w="1275" w:type="dxa"/>
            <w:shd w:val="clear" w:color="auto" w:fill="D2DDE1" w:themeFill="background2"/>
            <w:noWrap/>
          </w:tcPr>
          <w:p w14:paraId="54CA5E44" w14:textId="195748D7" w:rsidR="00632F67" w:rsidRPr="00B275E2" w:rsidRDefault="00632F67"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B275E2">
              <w:rPr>
                <w:rFonts w:cs="Calibri"/>
                <w:color w:val="000000" w:themeColor="text1"/>
                <w:szCs w:val="18"/>
              </w:rPr>
              <w:t>0.003</w:t>
            </w:r>
          </w:p>
        </w:tc>
        <w:tc>
          <w:tcPr>
            <w:tcW w:w="1087" w:type="dxa"/>
            <w:shd w:val="clear" w:color="auto" w:fill="auto"/>
            <w:noWrap/>
          </w:tcPr>
          <w:p w14:paraId="728F4BF7" w14:textId="449216CE" w:rsidR="00632F67" w:rsidRPr="00B275E2" w:rsidRDefault="00632F67"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0.003</w:t>
            </w:r>
          </w:p>
        </w:tc>
        <w:tc>
          <w:tcPr>
            <w:tcW w:w="1087" w:type="dxa"/>
            <w:shd w:val="clear" w:color="auto" w:fill="auto"/>
          </w:tcPr>
          <w:p w14:paraId="7E6226D5" w14:textId="77278721" w:rsidR="00632F67" w:rsidRPr="00B275E2" w:rsidRDefault="00632F67"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0.00000</w:t>
            </w:r>
            <w:r w:rsidR="00AA454C" w:rsidRPr="00B275E2">
              <w:rPr>
                <w:rFonts w:cs="Calibri"/>
                <w:szCs w:val="18"/>
              </w:rPr>
              <w:t>0</w:t>
            </w:r>
          </w:p>
        </w:tc>
        <w:tc>
          <w:tcPr>
            <w:tcW w:w="1087" w:type="dxa"/>
            <w:tcBorders>
              <w:right w:val="single" w:sz="4" w:space="0" w:color="FFFFFF" w:themeColor="background1"/>
            </w:tcBorders>
            <w:shd w:val="clear" w:color="auto" w:fill="auto"/>
          </w:tcPr>
          <w:p w14:paraId="1678ACFF" w14:textId="0FF9B72A" w:rsidR="00632F67" w:rsidRPr="00B275E2" w:rsidRDefault="00632F67"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0.00004</w:t>
            </w:r>
          </w:p>
        </w:tc>
      </w:tr>
      <w:tr w:rsidR="00A44BB4" w:rsidRPr="00B275E2" w14:paraId="3B87205C" w14:textId="77777777" w:rsidTr="00730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vMerge/>
            <w:tcBorders>
              <w:left w:val="single" w:sz="4" w:space="0" w:color="FFFFFF" w:themeColor="background1"/>
            </w:tcBorders>
          </w:tcPr>
          <w:p w14:paraId="1C99A61B" w14:textId="77777777" w:rsidR="00632F67" w:rsidRPr="00B275E2" w:rsidRDefault="00632F67" w:rsidP="007F0B1E">
            <w:pPr>
              <w:pStyle w:val="TableText"/>
              <w:spacing w:before="40" w:after="40"/>
              <w:rPr>
                <w:b w:val="0"/>
                <w:szCs w:val="18"/>
              </w:rPr>
            </w:pPr>
          </w:p>
        </w:tc>
        <w:tc>
          <w:tcPr>
            <w:tcW w:w="1828" w:type="dxa"/>
            <w:noWrap/>
          </w:tcPr>
          <w:p w14:paraId="4D860B56" w14:textId="77777777" w:rsidR="00632F67" w:rsidRPr="00B275E2" w:rsidRDefault="00632F67"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60,000–99,999 dwt</w:t>
            </w:r>
          </w:p>
        </w:tc>
        <w:tc>
          <w:tcPr>
            <w:tcW w:w="624" w:type="dxa"/>
            <w:noWrap/>
          </w:tcPr>
          <w:p w14:paraId="2A6DBE8E" w14:textId="77777777" w:rsidR="00632F67" w:rsidRPr="00B275E2" w:rsidRDefault="00632F67"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tkm</w:t>
            </w:r>
          </w:p>
        </w:tc>
        <w:tc>
          <w:tcPr>
            <w:tcW w:w="1275" w:type="dxa"/>
            <w:shd w:val="clear" w:color="auto" w:fill="D2DDE1" w:themeFill="background2"/>
            <w:noWrap/>
          </w:tcPr>
          <w:p w14:paraId="4F341F08" w14:textId="79F47E3A" w:rsidR="00632F67" w:rsidRPr="00B275E2" w:rsidRDefault="00632F67"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B275E2">
              <w:rPr>
                <w:rFonts w:cs="Calibri"/>
                <w:color w:val="000000" w:themeColor="text1"/>
                <w:szCs w:val="18"/>
              </w:rPr>
              <w:t>0.004</w:t>
            </w:r>
          </w:p>
        </w:tc>
        <w:tc>
          <w:tcPr>
            <w:tcW w:w="1087" w:type="dxa"/>
            <w:shd w:val="clear" w:color="auto" w:fill="auto"/>
            <w:noWrap/>
          </w:tcPr>
          <w:p w14:paraId="1D9760C2" w14:textId="339B6B36" w:rsidR="00632F67" w:rsidRPr="00B275E2" w:rsidRDefault="00632F67"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0.004</w:t>
            </w:r>
          </w:p>
        </w:tc>
        <w:tc>
          <w:tcPr>
            <w:tcW w:w="1087" w:type="dxa"/>
            <w:shd w:val="clear" w:color="auto" w:fill="auto"/>
          </w:tcPr>
          <w:p w14:paraId="5367A6B3" w14:textId="4277F686" w:rsidR="00632F67" w:rsidRPr="00B275E2" w:rsidRDefault="00632F67"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0.00000</w:t>
            </w:r>
            <w:r w:rsidR="00C93259" w:rsidRPr="00B275E2">
              <w:rPr>
                <w:rFonts w:cs="Calibri"/>
                <w:szCs w:val="18"/>
              </w:rPr>
              <w:t>0</w:t>
            </w:r>
          </w:p>
        </w:tc>
        <w:tc>
          <w:tcPr>
            <w:tcW w:w="1087" w:type="dxa"/>
            <w:tcBorders>
              <w:right w:val="single" w:sz="4" w:space="0" w:color="FFFFFF" w:themeColor="background1"/>
            </w:tcBorders>
            <w:shd w:val="clear" w:color="auto" w:fill="auto"/>
          </w:tcPr>
          <w:p w14:paraId="4A731205" w14:textId="22EB082E" w:rsidR="00632F67" w:rsidRPr="00B275E2" w:rsidRDefault="00632F67"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0.00006</w:t>
            </w:r>
          </w:p>
        </w:tc>
      </w:tr>
      <w:tr w:rsidR="00A44BB4" w:rsidRPr="00B275E2" w14:paraId="4E1B45C2" w14:textId="77777777" w:rsidTr="0073061B">
        <w:tc>
          <w:tcPr>
            <w:cnfStyle w:val="001000000000" w:firstRow="0" w:lastRow="0" w:firstColumn="1" w:lastColumn="0" w:oddVBand="0" w:evenVBand="0" w:oddHBand="0" w:evenHBand="0" w:firstRowFirstColumn="0" w:firstRowLastColumn="0" w:lastRowFirstColumn="0" w:lastRowLastColumn="0"/>
            <w:tcW w:w="1433" w:type="dxa"/>
            <w:vMerge/>
            <w:tcBorders>
              <w:left w:val="single" w:sz="4" w:space="0" w:color="FFFFFF" w:themeColor="background1"/>
            </w:tcBorders>
          </w:tcPr>
          <w:p w14:paraId="49F13B65" w14:textId="77777777" w:rsidR="00632F67" w:rsidRPr="00B275E2" w:rsidRDefault="00632F67" w:rsidP="007F0B1E">
            <w:pPr>
              <w:pStyle w:val="TableText"/>
              <w:spacing w:before="40" w:after="40"/>
              <w:rPr>
                <w:b w:val="0"/>
                <w:szCs w:val="18"/>
              </w:rPr>
            </w:pPr>
          </w:p>
        </w:tc>
        <w:tc>
          <w:tcPr>
            <w:tcW w:w="1828" w:type="dxa"/>
            <w:noWrap/>
          </w:tcPr>
          <w:p w14:paraId="46806097" w14:textId="77777777" w:rsidR="00632F67" w:rsidRPr="00B275E2" w:rsidRDefault="00632F67"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35,000–59,999 dwt</w:t>
            </w:r>
          </w:p>
        </w:tc>
        <w:tc>
          <w:tcPr>
            <w:tcW w:w="624" w:type="dxa"/>
            <w:noWrap/>
          </w:tcPr>
          <w:p w14:paraId="460664F6" w14:textId="77777777" w:rsidR="00632F67" w:rsidRPr="00B275E2" w:rsidRDefault="00632F67"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tkm</w:t>
            </w:r>
          </w:p>
        </w:tc>
        <w:tc>
          <w:tcPr>
            <w:tcW w:w="1275" w:type="dxa"/>
            <w:shd w:val="clear" w:color="auto" w:fill="D2DDE1" w:themeFill="background2"/>
            <w:noWrap/>
          </w:tcPr>
          <w:p w14:paraId="7E5BFE9D" w14:textId="2DA5A341" w:rsidR="00632F67" w:rsidRPr="00B275E2" w:rsidRDefault="00632F67"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B275E2">
              <w:rPr>
                <w:rFonts w:cs="Calibri"/>
                <w:color w:val="000000" w:themeColor="text1"/>
                <w:szCs w:val="18"/>
              </w:rPr>
              <w:t>0.006</w:t>
            </w:r>
          </w:p>
        </w:tc>
        <w:tc>
          <w:tcPr>
            <w:tcW w:w="1087" w:type="dxa"/>
            <w:shd w:val="clear" w:color="auto" w:fill="auto"/>
            <w:noWrap/>
          </w:tcPr>
          <w:p w14:paraId="2A43D7A7" w14:textId="4674C696" w:rsidR="00632F67" w:rsidRPr="00B275E2" w:rsidRDefault="00632F67"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0.006</w:t>
            </w:r>
          </w:p>
        </w:tc>
        <w:tc>
          <w:tcPr>
            <w:tcW w:w="1087" w:type="dxa"/>
            <w:shd w:val="clear" w:color="auto" w:fill="auto"/>
          </w:tcPr>
          <w:p w14:paraId="07B4FD02" w14:textId="0F393E23" w:rsidR="00632F67" w:rsidRPr="00B275E2" w:rsidRDefault="00632F67"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0.00000</w:t>
            </w:r>
            <w:r w:rsidR="00C93259" w:rsidRPr="00B275E2">
              <w:rPr>
                <w:rFonts w:cs="Calibri"/>
                <w:szCs w:val="18"/>
              </w:rPr>
              <w:t>0</w:t>
            </w:r>
          </w:p>
        </w:tc>
        <w:tc>
          <w:tcPr>
            <w:tcW w:w="1087" w:type="dxa"/>
            <w:tcBorders>
              <w:right w:val="single" w:sz="4" w:space="0" w:color="FFFFFF" w:themeColor="background1"/>
            </w:tcBorders>
            <w:shd w:val="clear" w:color="auto" w:fill="auto"/>
          </w:tcPr>
          <w:p w14:paraId="455AF950" w14:textId="75A0DB6E" w:rsidR="00632F67" w:rsidRPr="00B275E2" w:rsidRDefault="00632F67"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0.00008</w:t>
            </w:r>
          </w:p>
        </w:tc>
      </w:tr>
      <w:tr w:rsidR="00A44BB4" w:rsidRPr="00B275E2" w14:paraId="23CDCD48" w14:textId="77777777" w:rsidTr="00730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vMerge/>
            <w:tcBorders>
              <w:left w:val="single" w:sz="4" w:space="0" w:color="FFFFFF" w:themeColor="background1"/>
            </w:tcBorders>
          </w:tcPr>
          <w:p w14:paraId="074FF933" w14:textId="77777777" w:rsidR="00632F67" w:rsidRPr="00B275E2" w:rsidRDefault="00632F67" w:rsidP="007F0B1E">
            <w:pPr>
              <w:pStyle w:val="TableText"/>
              <w:spacing w:before="40" w:after="40"/>
              <w:rPr>
                <w:b w:val="0"/>
                <w:szCs w:val="18"/>
              </w:rPr>
            </w:pPr>
          </w:p>
        </w:tc>
        <w:tc>
          <w:tcPr>
            <w:tcW w:w="1828" w:type="dxa"/>
            <w:noWrap/>
          </w:tcPr>
          <w:p w14:paraId="2217C536" w14:textId="77777777" w:rsidR="00632F67" w:rsidRPr="00B275E2" w:rsidRDefault="00632F67"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10,000–34,999 dwt</w:t>
            </w:r>
          </w:p>
        </w:tc>
        <w:tc>
          <w:tcPr>
            <w:tcW w:w="624" w:type="dxa"/>
            <w:noWrap/>
          </w:tcPr>
          <w:p w14:paraId="04F57E7D" w14:textId="77777777" w:rsidR="00632F67" w:rsidRPr="00B275E2" w:rsidRDefault="00632F67"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tkm</w:t>
            </w:r>
          </w:p>
        </w:tc>
        <w:tc>
          <w:tcPr>
            <w:tcW w:w="1275" w:type="dxa"/>
            <w:shd w:val="clear" w:color="auto" w:fill="D2DDE1" w:themeFill="background2"/>
            <w:noWrap/>
          </w:tcPr>
          <w:p w14:paraId="59023B07" w14:textId="370EFE93" w:rsidR="00632F67" w:rsidRPr="00B275E2" w:rsidRDefault="00632F67"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B275E2">
              <w:rPr>
                <w:rFonts w:cs="Calibri"/>
                <w:color w:val="000000" w:themeColor="text1"/>
                <w:szCs w:val="18"/>
              </w:rPr>
              <w:t>0.008</w:t>
            </w:r>
          </w:p>
        </w:tc>
        <w:tc>
          <w:tcPr>
            <w:tcW w:w="1087" w:type="dxa"/>
            <w:shd w:val="clear" w:color="auto" w:fill="auto"/>
            <w:noWrap/>
          </w:tcPr>
          <w:p w14:paraId="459F6F88" w14:textId="554931BB" w:rsidR="00632F67" w:rsidRPr="00B275E2" w:rsidRDefault="00632F67"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0.008</w:t>
            </w:r>
          </w:p>
        </w:tc>
        <w:tc>
          <w:tcPr>
            <w:tcW w:w="1087" w:type="dxa"/>
            <w:shd w:val="clear" w:color="auto" w:fill="auto"/>
          </w:tcPr>
          <w:p w14:paraId="10869524" w14:textId="221174D2" w:rsidR="00632F67" w:rsidRPr="00B275E2" w:rsidRDefault="00632F67"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0.00000</w:t>
            </w:r>
            <w:r w:rsidR="00C93259" w:rsidRPr="00B275E2">
              <w:rPr>
                <w:rFonts w:cs="Calibri"/>
                <w:szCs w:val="18"/>
              </w:rPr>
              <w:t>0</w:t>
            </w:r>
          </w:p>
        </w:tc>
        <w:tc>
          <w:tcPr>
            <w:tcW w:w="1087" w:type="dxa"/>
            <w:tcBorders>
              <w:right w:val="single" w:sz="4" w:space="0" w:color="FFFFFF" w:themeColor="background1"/>
            </w:tcBorders>
            <w:shd w:val="clear" w:color="auto" w:fill="auto"/>
          </w:tcPr>
          <w:p w14:paraId="16144CAA" w14:textId="1A010B40" w:rsidR="00632F67" w:rsidRPr="00B275E2" w:rsidRDefault="00632F67"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0.00011</w:t>
            </w:r>
          </w:p>
        </w:tc>
      </w:tr>
      <w:tr w:rsidR="00A44BB4" w:rsidRPr="00B275E2" w14:paraId="5B86CEA1" w14:textId="77777777" w:rsidTr="0073061B">
        <w:tc>
          <w:tcPr>
            <w:cnfStyle w:val="001000000000" w:firstRow="0" w:lastRow="0" w:firstColumn="1" w:lastColumn="0" w:oddVBand="0" w:evenVBand="0" w:oddHBand="0" w:evenHBand="0" w:firstRowFirstColumn="0" w:firstRowLastColumn="0" w:lastRowFirstColumn="0" w:lastRowLastColumn="0"/>
            <w:tcW w:w="1433" w:type="dxa"/>
            <w:vMerge/>
            <w:tcBorders>
              <w:left w:val="single" w:sz="4" w:space="0" w:color="FFFFFF" w:themeColor="background1"/>
            </w:tcBorders>
          </w:tcPr>
          <w:p w14:paraId="29490D7D" w14:textId="77777777" w:rsidR="00632F67" w:rsidRPr="00B275E2" w:rsidRDefault="00632F67" w:rsidP="007F0B1E">
            <w:pPr>
              <w:pStyle w:val="TableText"/>
              <w:spacing w:before="40" w:after="40"/>
              <w:rPr>
                <w:b w:val="0"/>
                <w:szCs w:val="18"/>
              </w:rPr>
            </w:pPr>
          </w:p>
        </w:tc>
        <w:tc>
          <w:tcPr>
            <w:tcW w:w="1828" w:type="dxa"/>
            <w:noWrap/>
          </w:tcPr>
          <w:p w14:paraId="72972F14" w14:textId="77777777" w:rsidR="00632F67" w:rsidRPr="00B275E2" w:rsidRDefault="00632F67"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0–9,999 dwt</w:t>
            </w:r>
          </w:p>
        </w:tc>
        <w:tc>
          <w:tcPr>
            <w:tcW w:w="624" w:type="dxa"/>
            <w:noWrap/>
          </w:tcPr>
          <w:p w14:paraId="2CF5F4B9" w14:textId="77777777" w:rsidR="00632F67" w:rsidRPr="00B275E2" w:rsidRDefault="00632F67"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tkm</w:t>
            </w:r>
          </w:p>
        </w:tc>
        <w:tc>
          <w:tcPr>
            <w:tcW w:w="1275" w:type="dxa"/>
            <w:shd w:val="clear" w:color="auto" w:fill="D2DDE1" w:themeFill="background2"/>
            <w:noWrap/>
          </w:tcPr>
          <w:p w14:paraId="72BA2AC1" w14:textId="35194C46" w:rsidR="00632F67" w:rsidRPr="00B275E2" w:rsidRDefault="00632F67"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B275E2">
              <w:rPr>
                <w:rFonts w:cs="Calibri"/>
                <w:color w:val="000000" w:themeColor="text1"/>
                <w:szCs w:val="18"/>
              </w:rPr>
              <w:t>0.030</w:t>
            </w:r>
          </w:p>
        </w:tc>
        <w:tc>
          <w:tcPr>
            <w:tcW w:w="1087" w:type="dxa"/>
            <w:shd w:val="clear" w:color="auto" w:fill="auto"/>
            <w:noWrap/>
          </w:tcPr>
          <w:p w14:paraId="6B072E3D" w14:textId="268FF1D9" w:rsidR="00632F67" w:rsidRPr="00B275E2" w:rsidRDefault="00632F67"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0.029</w:t>
            </w:r>
          </w:p>
        </w:tc>
        <w:tc>
          <w:tcPr>
            <w:tcW w:w="1087" w:type="dxa"/>
            <w:shd w:val="clear" w:color="auto" w:fill="auto"/>
          </w:tcPr>
          <w:p w14:paraId="0D85CB61" w14:textId="12BB674C" w:rsidR="00632F67" w:rsidRPr="00B275E2" w:rsidRDefault="00632F67"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0.0000</w:t>
            </w:r>
            <w:r w:rsidR="00C93259" w:rsidRPr="00B275E2">
              <w:rPr>
                <w:rFonts w:cs="Calibri"/>
                <w:szCs w:val="18"/>
              </w:rPr>
              <w:t>1</w:t>
            </w:r>
            <w:r w:rsidRPr="00B275E2">
              <w:rPr>
                <w:rFonts w:cs="Calibri"/>
                <w:szCs w:val="18"/>
              </w:rPr>
              <w:t>0</w:t>
            </w:r>
          </w:p>
        </w:tc>
        <w:tc>
          <w:tcPr>
            <w:tcW w:w="1087" w:type="dxa"/>
            <w:tcBorders>
              <w:right w:val="single" w:sz="4" w:space="0" w:color="FFFFFF" w:themeColor="background1"/>
            </w:tcBorders>
            <w:shd w:val="clear" w:color="auto" w:fill="auto"/>
          </w:tcPr>
          <w:p w14:paraId="60D80D65" w14:textId="0DB5A321" w:rsidR="00632F67" w:rsidRPr="00B275E2" w:rsidRDefault="00632F67"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0.00040</w:t>
            </w:r>
          </w:p>
        </w:tc>
      </w:tr>
      <w:tr w:rsidR="00A44BB4" w:rsidRPr="00B275E2" w14:paraId="0B0CCF1F" w14:textId="77777777" w:rsidTr="00730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vMerge/>
            <w:tcBorders>
              <w:left w:val="single" w:sz="4" w:space="0" w:color="FFFFFF" w:themeColor="background1"/>
            </w:tcBorders>
          </w:tcPr>
          <w:p w14:paraId="5DB1E8C1" w14:textId="77777777" w:rsidR="00632F67" w:rsidRPr="00B275E2" w:rsidRDefault="00632F67" w:rsidP="007F0B1E">
            <w:pPr>
              <w:pStyle w:val="TableText"/>
              <w:spacing w:before="40" w:after="40"/>
              <w:rPr>
                <w:b w:val="0"/>
                <w:szCs w:val="18"/>
              </w:rPr>
            </w:pPr>
          </w:p>
        </w:tc>
        <w:tc>
          <w:tcPr>
            <w:tcW w:w="1828" w:type="dxa"/>
            <w:noWrap/>
          </w:tcPr>
          <w:p w14:paraId="0D3B0E08" w14:textId="77777777" w:rsidR="00632F67" w:rsidRPr="00B275E2" w:rsidRDefault="00632F67"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Average</w:t>
            </w:r>
          </w:p>
        </w:tc>
        <w:tc>
          <w:tcPr>
            <w:tcW w:w="624" w:type="dxa"/>
            <w:noWrap/>
          </w:tcPr>
          <w:p w14:paraId="2D95FB2F" w14:textId="77777777" w:rsidR="00632F67" w:rsidRPr="00B275E2" w:rsidRDefault="00632F67"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tkm</w:t>
            </w:r>
          </w:p>
        </w:tc>
        <w:tc>
          <w:tcPr>
            <w:tcW w:w="1275" w:type="dxa"/>
            <w:shd w:val="clear" w:color="auto" w:fill="D2DDE1" w:themeFill="background2"/>
            <w:noWrap/>
          </w:tcPr>
          <w:p w14:paraId="6DD20F57" w14:textId="3A767B44" w:rsidR="00632F67" w:rsidRPr="00B275E2" w:rsidRDefault="00632F67"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B275E2">
              <w:rPr>
                <w:rFonts w:cs="Calibri"/>
                <w:color w:val="000000" w:themeColor="text1"/>
                <w:szCs w:val="18"/>
              </w:rPr>
              <w:t>0.00</w:t>
            </w:r>
            <w:r w:rsidR="00EC6721" w:rsidRPr="00B275E2">
              <w:rPr>
                <w:rFonts w:cs="Calibri"/>
                <w:color w:val="000000" w:themeColor="text1"/>
                <w:szCs w:val="18"/>
              </w:rPr>
              <w:t>4</w:t>
            </w:r>
          </w:p>
        </w:tc>
        <w:tc>
          <w:tcPr>
            <w:tcW w:w="1087" w:type="dxa"/>
            <w:shd w:val="clear" w:color="auto" w:fill="auto"/>
            <w:noWrap/>
          </w:tcPr>
          <w:p w14:paraId="2EA37192" w14:textId="6E63C36E" w:rsidR="00632F67" w:rsidRPr="00B275E2" w:rsidRDefault="00632F67"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w:t>
            </w:r>
            <w:r w:rsidR="00EC6721" w:rsidRPr="00B275E2">
              <w:rPr>
                <w:rFonts w:cs="Calibri"/>
                <w:szCs w:val="18"/>
              </w:rPr>
              <w:t>3</w:t>
            </w:r>
          </w:p>
        </w:tc>
        <w:tc>
          <w:tcPr>
            <w:tcW w:w="1087" w:type="dxa"/>
            <w:shd w:val="clear" w:color="auto" w:fill="auto"/>
          </w:tcPr>
          <w:p w14:paraId="4F48B658" w14:textId="044D4A1A" w:rsidR="00632F67" w:rsidRPr="00B275E2" w:rsidRDefault="00632F67"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0.00000</w:t>
            </w:r>
            <w:r w:rsidR="00EC6721" w:rsidRPr="00B275E2">
              <w:rPr>
                <w:rFonts w:cs="Calibri"/>
                <w:szCs w:val="18"/>
              </w:rPr>
              <w:t>0</w:t>
            </w:r>
          </w:p>
        </w:tc>
        <w:tc>
          <w:tcPr>
            <w:tcW w:w="1087" w:type="dxa"/>
            <w:tcBorders>
              <w:right w:val="single" w:sz="4" w:space="0" w:color="FFFFFF" w:themeColor="background1"/>
            </w:tcBorders>
            <w:shd w:val="clear" w:color="auto" w:fill="auto"/>
          </w:tcPr>
          <w:p w14:paraId="338832AC" w14:textId="242073BB" w:rsidR="00632F67" w:rsidRPr="00B275E2" w:rsidRDefault="00632F67"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0.0000</w:t>
            </w:r>
            <w:r w:rsidR="00EC6721" w:rsidRPr="00B275E2">
              <w:rPr>
                <w:rFonts w:cs="Calibri"/>
                <w:szCs w:val="18"/>
              </w:rPr>
              <w:t>5</w:t>
            </w:r>
          </w:p>
        </w:tc>
      </w:tr>
      <w:tr w:rsidR="00A44BB4" w:rsidRPr="00B275E2" w14:paraId="26E07DB0" w14:textId="77777777" w:rsidTr="0073061B">
        <w:tc>
          <w:tcPr>
            <w:cnfStyle w:val="001000000000" w:firstRow="0" w:lastRow="0" w:firstColumn="1" w:lastColumn="0" w:oddVBand="0" w:evenVBand="0" w:oddHBand="0" w:evenHBand="0" w:firstRowFirstColumn="0" w:firstRowLastColumn="0" w:lastRowFirstColumn="0" w:lastRowLastColumn="0"/>
            <w:tcW w:w="1433" w:type="dxa"/>
            <w:vMerge w:val="restart"/>
            <w:tcBorders>
              <w:left w:val="single" w:sz="4" w:space="0" w:color="FFFFFF" w:themeColor="background1"/>
            </w:tcBorders>
          </w:tcPr>
          <w:p w14:paraId="05729B8D" w14:textId="77777777" w:rsidR="00632F67" w:rsidRPr="00B275E2" w:rsidRDefault="00632F67" w:rsidP="007F0B1E">
            <w:pPr>
              <w:pStyle w:val="TableText"/>
              <w:spacing w:before="40" w:after="40"/>
              <w:rPr>
                <w:b w:val="0"/>
                <w:szCs w:val="18"/>
              </w:rPr>
            </w:pPr>
            <w:r w:rsidRPr="00B275E2">
              <w:rPr>
                <w:b w:val="0"/>
                <w:szCs w:val="18"/>
              </w:rPr>
              <w:t>General cargo</w:t>
            </w:r>
          </w:p>
        </w:tc>
        <w:tc>
          <w:tcPr>
            <w:tcW w:w="1828" w:type="dxa"/>
            <w:noWrap/>
          </w:tcPr>
          <w:p w14:paraId="18C6280C" w14:textId="77777777" w:rsidR="00632F67" w:rsidRPr="00B275E2" w:rsidRDefault="00632F67"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10,000+ dwt</w:t>
            </w:r>
          </w:p>
        </w:tc>
        <w:tc>
          <w:tcPr>
            <w:tcW w:w="624" w:type="dxa"/>
            <w:noWrap/>
          </w:tcPr>
          <w:p w14:paraId="04FB1434" w14:textId="77777777" w:rsidR="00632F67" w:rsidRPr="00B275E2" w:rsidRDefault="00632F67"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tkm</w:t>
            </w:r>
          </w:p>
        </w:tc>
        <w:tc>
          <w:tcPr>
            <w:tcW w:w="1275" w:type="dxa"/>
            <w:shd w:val="clear" w:color="auto" w:fill="D2DDE1" w:themeFill="background2"/>
            <w:noWrap/>
          </w:tcPr>
          <w:p w14:paraId="2F42B914" w14:textId="1A694645" w:rsidR="00632F67" w:rsidRPr="00B275E2" w:rsidRDefault="00632F67"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B275E2">
              <w:rPr>
                <w:rFonts w:cs="Calibri"/>
                <w:color w:val="000000" w:themeColor="text1"/>
                <w:szCs w:val="18"/>
              </w:rPr>
              <w:t>0.012</w:t>
            </w:r>
          </w:p>
        </w:tc>
        <w:tc>
          <w:tcPr>
            <w:tcW w:w="1087" w:type="dxa"/>
            <w:shd w:val="clear" w:color="auto" w:fill="auto"/>
            <w:noWrap/>
          </w:tcPr>
          <w:p w14:paraId="2DC2F1DC" w14:textId="53B97279" w:rsidR="00632F67" w:rsidRPr="00B275E2" w:rsidRDefault="00632F67"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0.012</w:t>
            </w:r>
          </w:p>
        </w:tc>
        <w:tc>
          <w:tcPr>
            <w:tcW w:w="1087" w:type="dxa"/>
            <w:shd w:val="clear" w:color="auto" w:fill="auto"/>
          </w:tcPr>
          <w:p w14:paraId="2AC5443D" w14:textId="0C048DD3" w:rsidR="00632F67" w:rsidRPr="00B275E2" w:rsidRDefault="00632F67"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0.00000</w:t>
            </w:r>
            <w:r w:rsidR="00F31620" w:rsidRPr="00B275E2">
              <w:rPr>
                <w:rFonts w:cs="Calibri"/>
                <w:szCs w:val="18"/>
              </w:rPr>
              <w:t>0</w:t>
            </w:r>
          </w:p>
        </w:tc>
        <w:tc>
          <w:tcPr>
            <w:tcW w:w="1087" w:type="dxa"/>
            <w:tcBorders>
              <w:right w:val="single" w:sz="4" w:space="0" w:color="FFFFFF" w:themeColor="background1"/>
            </w:tcBorders>
            <w:shd w:val="clear" w:color="auto" w:fill="auto"/>
          </w:tcPr>
          <w:p w14:paraId="6CD79E4A" w14:textId="42E04FDE" w:rsidR="00632F67" w:rsidRPr="00B275E2" w:rsidRDefault="00632F67"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0.00016</w:t>
            </w:r>
          </w:p>
        </w:tc>
      </w:tr>
      <w:tr w:rsidR="00A44BB4" w:rsidRPr="00B275E2" w14:paraId="7F60DA91" w14:textId="77777777" w:rsidTr="00730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vMerge/>
            <w:tcBorders>
              <w:left w:val="single" w:sz="4" w:space="0" w:color="FFFFFF" w:themeColor="background1"/>
            </w:tcBorders>
          </w:tcPr>
          <w:p w14:paraId="0D4285B5" w14:textId="77777777" w:rsidR="00632F67" w:rsidRPr="00B275E2" w:rsidRDefault="00632F67" w:rsidP="007F0B1E">
            <w:pPr>
              <w:pStyle w:val="TableText"/>
              <w:spacing w:before="40" w:after="40"/>
              <w:rPr>
                <w:b w:val="0"/>
                <w:szCs w:val="18"/>
              </w:rPr>
            </w:pPr>
          </w:p>
        </w:tc>
        <w:tc>
          <w:tcPr>
            <w:tcW w:w="1828" w:type="dxa"/>
            <w:noWrap/>
          </w:tcPr>
          <w:p w14:paraId="4C103025" w14:textId="77777777" w:rsidR="00632F67" w:rsidRPr="00B275E2" w:rsidRDefault="00632F67"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5,000–9,999 dwt</w:t>
            </w:r>
          </w:p>
        </w:tc>
        <w:tc>
          <w:tcPr>
            <w:tcW w:w="624" w:type="dxa"/>
            <w:noWrap/>
          </w:tcPr>
          <w:p w14:paraId="2413C88B" w14:textId="77777777" w:rsidR="00632F67" w:rsidRPr="00B275E2" w:rsidRDefault="00632F67"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tkm</w:t>
            </w:r>
          </w:p>
        </w:tc>
        <w:tc>
          <w:tcPr>
            <w:tcW w:w="1275" w:type="dxa"/>
            <w:shd w:val="clear" w:color="auto" w:fill="D2DDE1" w:themeFill="background2"/>
            <w:noWrap/>
          </w:tcPr>
          <w:p w14:paraId="260152D1" w14:textId="3264CDE4" w:rsidR="00632F67" w:rsidRPr="00B275E2" w:rsidRDefault="00632F67"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B275E2">
              <w:rPr>
                <w:rFonts w:cs="Calibri"/>
                <w:color w:val="000000" w:themeColor="text1"/>
                <w:szCs w:val="18"/>
              </w:rPr>
              <w:t>0.016</w:t>
            </w:r>
          </w:p>
        </w:tc>
        <w:tc>
          <w:tcPr>
            <w:tcW w:w="1087" w:type="dxa"/>
            <w:shd w:val="clear" w:color="auto" w:fill="auto"/>
            <w:noWrap/>
          </w:tcPr>
          <w:p w14:paraId="1BD2D8FF" w14:textId="603B804A" w:rsidR="00632F67" w:rsidRPr="00B275E2" w:rsidRDefault="00632F67"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0.016</w:t>
            </w:r>
          </w:p>
        </w:tc>
        <w:tc>
          <w:tcPr>
            <w:tcW w:w="1087" w:type="dxa"/>
            <w:shd w:val="clear" w:color="auto" w:fill="auto"/>
          </w:tcPr>
          <w:p w14:paraId="02DB638A" w14:textId="25C196AB" w:rsidR="00632F67" w:rsidRPr="00B275E2" w:rsidRDefault="00632F67"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0.0000</w:t>
            </w:r>
            <w:r w:rsidR="00F31620" w:rsidRPr="00B275E2">
              <w:rPr>
                <w:rFonts w:cs="Calibri"/>
                <w:szCs w:val="18"/>
              </w:rPr>
              <w:t>1</w:t>
            </w:r>
            <w:r w:rsidRPr="00B275E2">
              <w:rPr>
                <w:rFonts w:cs="Calibri"/>
                <w:szCs w:val="18"/>
              </w:rPr>
              <w:t>0</w:t>
            </w:r>
          </w:p>
        </w:tc>
        <w:tc>
          <w:tcPr>
            <w:tcW w:w="1087" w:type="dxa"/>
            <w:tcBorders>
              <w:right w:val="single" w:sz="4" w:space="0" w:color="FFFFFF" w:themeColor="background1"/>
            </w:tcBorders>
            <w:shd w:val="clear" w:color="auto" w:fill="auto"/>
          </w:tcPr>
          <w:p w14:paraId="358661C0" w14:textId="7D86F14E" w:rsidR="00632F67" w:rsidRPr="00B275E2" w:rsidRDefault="00632F67"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0.00022</w:t>
            </w:r>
          </w:p>
        </w:tc>
      </w:tr>
      <w:tr w:rsidR="00A44BB4" w:rsidRPr="00B275E2" w14:paraId="25BD8A8D" w14:textId="77777777" w:rsidTr="0073061B">
        <w:tc>
          <w:tcPr>
            <w:cnfStyle w:val="001000000000" w:firstRow="0" w:lastRow="0" w:firstColumn="1" w:lastColumn="0" w:oddVBand="0" w:evenVBand="0" w:oddHBand="0" w:evenHBand="0" w:firstRowFirstColumn="0" w:firstRowLastColumn="0" w:lastRowFirstColumn="0" w:lastRowLastColumn="0"/>
            <w:tcW w:w="1433" w:type="dxa"/>
            <w:vMerge/>
            <w:tcBorders>
              <w:left w:val="single" w:sz="4" w:space="0" w:color="FFFFFF" w:themeColor="background1"/>
            </w:tcBorders>
          </w:tcPr>
          <w:p w14:paraId="41ADD906" w14:textId="77777777" w:rsidR="00632F67" w:rsidRPr="00B275E2" w:rsidRDefault="00632F67" w:rsidP="007F0B1E">
            <w:pPr>
              <w:pStyle w:val="TableText"/>
              <w:spacing w:before="40" w:after="40"/>
              <w:rPr>
                <w:b w:val="0"/>
                <w:szCs w:val="18"/>
              </w:rPr>
            </w:pPr>
          </w:p>
        </w:tc>
        <w:tc>
          <w:tcPr>
            <w:tcW w:w="1828" w:type="dxa"/>
            <w:noWrap/>
          </w:tcPr>
          <w:p w14:paraId="456B87D5" w14:textId="77777777" w:rsidR="00632F67" w:rsidRPr="00B275E2" w:rsidRDefault="00632F67"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0–4,999 dwt</w:t>
            </w:r>
          </w:p>
        </w:tc>
        <w:tc>
          <w:tcPr>
            <w:tcW w:w="624" w:type="dxa"/>
            <w:noWrap/>
          </w:tcPr>
          <w:p w14:paraId="4946C940" w14:textId="77777777" w:rsidR="00632F67" w:rsidRPr="00B275E2" w:rsidRDefault="00632F67"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tkm</w:t>
            </w:r>
          </w:p>
        </w:tc>
        <w:tc>
          <w:tcPr>
            <w:tcW w:w="1275" w:type="dxa"/>
            <w:shd w:val="clear" w:color="auto" w:fill="D2DDE1" w:themeFill="background2"/>
            <w:noWrap/>
          </w:tcPr>
          <w:p w14:paraId="3BA3720B" w14:textId="3CE43F0A" w:rsidR="00632F67" w:rsidRPr="00B275E2" w:rsidRDefault="00632F67"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B275E2">
              <w:rPr>
                <w:rFonts w:cs="Calibri"/>
                <w:color w:val="000000" w:themeColor="text1"/>
                <w:szCs w:val="18"/>
              </w:rPr>
              <w:t>0.014</w:t>
            </w:r>
          </w:p>
        </w:tc>
        <w:tc>
          <w:tcPr>
            <w:tcW w:w="1087" w:type="dxa"/>
            <w:shd w:val="clear" w:color="auto" w:fill="auto"/>
            <w:noWrap/>
          </w:tcPr>
          <w:p w14:paraId="085AE904" w14:textId="1B53264C" w:rsidR="00632F67" w:rsidRPr="00B275E2" w:rsidRDefault="00632F67"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0.014</w:t>
            </w:r>
          </w:p>
        </w:tc>
        <w:tc>
          <w:tcPr>
            <w:tcW w:w="1087" w:type="dxa"/>
            <w:shd w:val="clear" w:color="auto" w:fill="auto"/>
          </w:tcPr>
          <w:p w14:paraId="22A9E9D7" w14:textId="0EBDEEBF" w:rsidR="00632F67" w:rsidRPr="00B275E2" w:rsidRDefault="00632F67"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0.00000</w:t>
            </w:r>
            <w:r w:rsidR="00F31620" w:rsidRPr="00B275E2">
              <w:rPr>
                <w:rFonts w:cs="Calibri"/>
                <w:szCs w:val="18"/>
              </w:rPr>
              <w:t>0</w:t>
            </w:r>
          </w:p>
        </w:tc>
        <w:tc>
          <w:tcPr>
            <w:tcW w:w="1087" w:type="dxa"/>
            <w:tcBorders>
              <w:right w:val="single" w:sz="4" w:space="0" w:color="FFFFFF" w:themeColor="background1"/>
            </w:tcBorders>
            <w:shd w:val="clear" w:color="auto" w:fill="auto"/>
          </w:tcPr>
          <w:p w14:paraId="6B7C9719" w14:textId="37B0ED3E" w:rsidR="00632F67" w:rsidRPr="00B275E2" w:rsidRDefault="00632F67"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0.00019</w:t>
            </w:r>
          </w:p>
        </w:tc>
      </w:tr>
      <w:tr w:rsidR="00A44BB4" w:rsidRPr="00B275E2" w14:paraId="2C238C26" w14:textId="77777777" w:rsidTr="00730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vMerge/>
            <w:tcBorders>
              <w:left w:val="single" w:sz="4" w:space="0" w:color="FFFFFF" w:themeColor="background1"/>
            </w:tcBorders>
          </w:tcPr>
          <w:p w14:paraId="73790F6C" w14:textId="77777777" w:rsidR="00632F67" w:rsidRPr="00B275E2" w:rsidRDefault="00632F67" w:rsidP="007F0B1E">
            <w:pPr>
              <w:pStyle w:val="TableText"/>
              <w:spacing w:before="40" w:after="40"/>
              <w:rPr>
                <w:b w:val="0"/>
                <w:szCs w:val="18"/>
              </w:rPr>
            </w:pPr>
          </w:p>
        </w:tc>
        <w:tc>
          <w:tcPr>
            <w:tcW w:w="1828" w:type="dxa"/>
            <w:noWrap/>
          </w:tcPr>
          <w:p w14:paraId="06519807" w14:textId="77777777" w:rsidR="00632F67" w:rsidRPr="00B275E2" w:rsidRDefault="00632F67"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10,000+ dwt 100+ TEU</w:t>
            </w:r>
          </w:p>
        </w:tc>
        <w:tc>
          <w:tcPr>
            <w:tcW w:w="624" w:type="dxa"/>
            <w:noWrap/>
          </w:tcPr>
          <w:p w14:paraId="0341E657" w14:textId="77777777" w:rsidR="00632F67" w:rsidRPr="00B275E2" w:rsidRDefault="00632F67"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tkm</w:t>
            </w:r>
          </w:p>
        </w:tc>
        <w:tc>
          <w:tcPr>
            <w:tcW w:w="1275" w:type="dxa"/>
            <w:shd w:val="clear" w:color="auto" w:fill="D2DDE1" w:themeFill="background2"/>
            <w:noWrap/>
          </w:tcPr>
          <w:p w14:paraId="122E4803" w14:textId="198A35F2" w:rsidR="00632F67" w:rsidRPr="00B275E2" w:rsidRDefault="00632F67"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B275E2">
              <w:rPr>
                <w:rFonts w:cs="Calibri"/>
                <w:color w:val="000000" w:themeColor="text1"/>
                <w:szCs w:val="18"/>
              </w:rPr>
              <w:t>0.011</w:t>
            </w:r>
          </w:p>
        </w:tc>
        <w:tc>
          <w:tcPr>
            <w:tcW w:w="1087" w:type="dxa"/>
            <w:shd w:val="clear" w:color="auto" w:fill="auto"/>
            <w:noWrap/>
          </w:tcPr>
          <w:p w14:paraId="148D5B9C" w14:textId="66445742" w:rsidR="00632F67" w:rsidRPr="00B275E2" w:rsidRDefault="00632F67"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0.011</w:t>
            </w:r>
          </w:p>
        </w:tc>
        <w:tc>
          <w:tcPr>
            <w:tcW w:w="1087" w:type="dxa"/>
            <w:shd w:val="clear" w:color="auto" w:fill="auto"/>
          </w:tcPr>
          <w:p w14:paraId="0E0022DA" w14:textId="277CD9F3" w:rsidR="00632F67" w:rsidRPr="00B275E2" w:rsidRDefault="00632F67"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0.00000</w:t>
            </w:r>
            <w:r w:rsidR="00F31620" w:rsidRPr="00B275E2">
              <w:rPr>
                <w:rFonts w:cs="Calibri"/>
                <w:szCs w:val="18"/>
              </w:rPr>
              <w:t>0</w:t>
            </w:r>
          </w:p>
        </w:tc>
        <w:tc>
          <w:tcPr>
            <w:tcW w:w="1087" w:type="dxa"/>
            <w:tcBorders>
              <w:right w:val="single" w:sz="4" w:space="0" w:color="FFFFFF" w:themeColor="background1"/>
            </w:tcBorders>
            <w:shd w:val="clear" w:color="auto" w:fill="auto"/>
          </w:tcPr>
          <w:p w14:paraId="3645BAFF" w14:textId="7EF51257" w:rsidR="00632F67" w:rsidRPr="00B275E2" w:rsidRDefault="00632F67"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0.00015</w:t>
            </w:r>
          </w:p>
        </w:tc>
      </w:tr>
      <w:tr w:rsidR="00A44BB4" w:rsidRPr="00B275E2" w14:paraId="7037A64D" w14:textId="77777777" w:rsidTr="0073061B">
        <w:tc>
          <w:tcPr>
            <w:cnfStyle w:val="001000000000" w:firstRow="0" w:lastRow="0" w:firstColumn="1" w:lastColumn="0" w:oddVBand="0" w:evenVBand="0" w:oddHBand="0" w:evenHBand="0" w:firstRowFirstColumn="0" w:firstRowLastColumn="0" w:lastRowFirstColumn="0" w:lastRowLastColumn="0"/>
            <w:tcW w:w="1433" w:type="dxa"/>
            <w:vMerge/>
            <w:tcBorders>
              <w:left w:val="single" w:sz="4" w:space="0" w:color="FFFFFF" w:themeColor="background1"/>
            </w:tcBorders>
          </w:tcPr>
          <w:p w14:paraId="6AC45A87" w14:textId="77777777" w:rsidR="00632F67" w:rsidRPr="00B275E2" w:rsidRDefault="00632F67" w:rsidP="007F0B1E">
            <w:pPr>
              <w:pStyle w:val="TableText"/>
              <w:spacing w:before="40" w:after="40"/>
              <w:rPr>
                <w:b w:val="0"/>
                <w:szCs w:val="18"/>
              </w:rPr>
            </w:pPr>
          </w:p>
        </w:tc>
        <w:tc>
          <w:tcPr>
            <w:tcW w:w="1828" w:type="dxa"/>
            <w:noWrap/>
          </w:tcPr>
          <w:p w14:paraId="09D1ED40" w14:textId="77777777" w:rsidR="00632F67" w:rsidRPr="00B275E2" w:rsidRDefault="00632F67"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5,000–9,999 dwt 100+ TEU</w:t>
            </w:r>
          </w:p>
        </w:tc>
        <w:tc>
          <w:tcPr>
            <w:tcW w:w="624" w:type="dxa"/>
            <w:noWrap/>
          </w:tcPr>
          <w:p w14:paraId="55875BA2" w14:textId="77777777" w:rsidR="00632F67" w:rsidRPr="00B275E2" w:rsidRDefault="00632F67"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tkm</w:t>
            </w:r>
          </w:p>
        </w:tc>
        <w:tc>
          <w:tcPr>
            <w:tcW w:w="1275" w:type="dxa"/>
            <w:shd w:val="clear" w:color="auto" w:fill="D2DDE1" w:themeFill="background2"/>
            <w:noWrap/>
          </w:tcPr>
          <w:p w14:paraId="44D33636" w14:textId="1ACD8918" w:rsidR="00632F67" w:rsidRPr="00B275E2" w:rsidRDefault="00632F67"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B275E2">
              <w:rPr>
                <w:rFonts w:cs="Calibri"/>
                <w:color w:val="000000" w:themeColor="text1"/>
                <w:szCs w:val="18"/>
              </w:rPr>
              <w:t>0.018</w:t>
            </w:r>
          </w:p>
        </w:tc>
        <w:tc>
          <w:tcPr>
            <w:tcW w:w="1087" w:type="dxa"/>
            <w:shd w:val="clear" w:color="auto" w:fill="auto"/>
            <w:noWrap/>
          </w:tcPr>
          <w:p w14:paraId="75D37FB8" w14:textId="5A11305D" w:rsidR="00632F67" w:rsidRPr="00B275E2" w:rsidRDefault="00632F67"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0.018</w:t>
            </w:r>
          </w:p>
        </w:tc>
        <w:tc>
          <w:tcPr>
            <w:tcW w:w="1087" w:type="dxa"/>
            <w:shd w:val="clear" w:color="auto" w:fill="auto"/>
          </w:tcPr>
          <w:p w14:paraId="4DD7A855" w14:textId="7BC1FA78" w:rsidR="00632F67" w:rsidRPr="00B275E2" w:rsidRDefault="00632F67"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0.0000</w:t>
            </w:r>
            <w:r w:rsidR="00F31620" w:rsidRPr="00B275E2">
              <w:rPr>
                <w:rFonts w:cs="Calibri"/>
                <w:szCs w:val="18"/>
              </w:rPr>
              <w:t>1</w:t>
            </w:r>
            <w:r w:rsidRPr="00B275E2">
              <w:rPr>
                <w:rFonts w:cs="Calibri"/>
                <w:szCs w:val="18"/>
              </w:rPr>
              <w:t>0</w:t>
            </w:r>
          </w:p>
        </w:tc>
        <w:tc>
          <w:tcPr>
            <w:tcW w:w="1087" w:type="dxa"/>
            <w:tcBorders>
              <w:right w:val="single" w:sz="4" w:space="0" w:color="FFFFFF" w:themeColor="background1"/>
            </w:tcBorders>
            <w:shd w:val="clear" w:color="auto" w:fill="auto"/>
          </w:tcPr>
          <w:p w14:paraId="6561B3B2" w14:textId="27A709A6" w:rsidR="00632F67" w:rsidRPr="00B275E2" w:rsidRDefault="00632F67"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0.00024</w:t>
            </w:r>
          </w:p>
        </w:tc>
      </w:tr>
      <w:tr w:rsidR="00A44BB4" w:rsidRPr="00B275E2" w14:paraId="2C6A79CA" w14:textId="77777777" w:rsidTr="00730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vMerge/>
            <w:tcBorders>
              <w:left w:val="single" w:sz="4" w:space="0" w:color="FFFFFF" w:themeColor="background1"/>
            </w:tcBorders>
          </w:tcPr>
          <w:p w14:paraId="21F3D4BB" w14:textId="77777777" w:rsidR="00632F67" w:rsidRPr="00B275E2" w:rsidRDefault="00632F67" w:rsidP="007F0B1E">
            <w:pPr>
              <w:pStyle w:val="TableText"/>
              <w:spacing w:before="40" w:after="40"/>
              <w:rPr>
                <w:b w:val="0"/>
                <w:szCs w:val="18"/>
              </w:rPr>
            </w:pPr>
          </w:p>
        </w:tc>
        <w:tc>
          <w:tcPr>
            <w:tcW w:w="1828" w:type="dxa"/>
            <w:noWrap/>
          </w:tcPr>
          <w:p w14:paraId="2234CE0C" w14:textId="77777777" w:rsidR="00632F67" w:rsidRPr="00B275E2" w:rsidRDefault="00632F67"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0–4,999 dwt 100+ TEU</w:t>
            </w:r>
          </w:p>
        </w:tc>
        <w:tc>
          <w:tcPr>
            <w:tcW w:w="624" w:type="dxa"/>
            <w:noWrap/>
          </w:tcPr>
          <w:p w14:paraId="5ED15A1B" w14:textId="77777777" w:rsidR="00632F67" w:rsidRPr="00B275E2" w:rsidRDefault="00632F67"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tkm</w:t>
            </w:r>
          </w:p>
        </w:tc>
        <w:tc>
          <w:tcPr>
            <w:tcW w:w="1275" w:type="dxa"/>
            <w:shd w:val="clear" w:color="auto" w:fill="D2DDE1" w:themeFill="background2"/>
            <w:noWrap/>
          </w:tcPr>
          <w:p w14:paraId="207A9D0B" w14:textId="4E29F5ED" w:rsidR="00632F67" w:rsidRPr="00B275E2" w:rsidRDefault="00632F67"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B275E2">
              <w:rPr>
                <w:rFonts w:cs="Calibri"/>
                <w:color w:val="000000" w:themeColor="text1"/>
                <w:szCs w:val="18"/>
              </w:rPr>
              <w:t>0.020</w:t>
            </w:r>
          </w:p>
        </w:tc>
        <w:tc>
          <w:tcPr>
            <w:tcW w:w="1087" w:type="dxa"/>
            <w:shd w:val="clear" w:color="auto" w:fill="auto"/>
            <w:noWrap/>
          </w:tcPr>
          <w:p w14:paraId="1AE783AB" w14:textId="3ACC7005" w:rsidR="00632F67" w:rsidRPr="00B275E2" w:rsidRDefault="00632F67"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0.020</w:t>
            </w:r>
          </w:p>
        </w:tc>
        <w:tc>
          <w:tcPr>
            <w:tcW w:w="1087" w:type="dxa"/>
            <w:shd w:val="clear" w:color="auto" w:fill="auto"/>
          </w:tcPr>
          <w:p w14:paraId="3EB2F457" w14:textId="5BB2BA77" w:rsidR="00632F67" w:rsidRPr="00B275E2" w:rsidRDefault="00632F67"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0.0000</w:t>
            </w:r>
            <w:r w:rsidR="001B52AD" w:rsidRPr="00B275E2">
              <w:rPr>
                <w:rFonts w:cs="Calibri"/>
                <w:szCs w:val="18"/>
              </w:rPr>
              <w:t>1</w:t>
            </w:r>
            <w:r w:rsidRPr="00B275E2">
              <w:rPr>
                <w:rFonts w:cs="Calibri"/>
                <w:szCs w:val="18"/>
              </w:rPr>
              <w:t>0</w:t>
            </w:r>
          </w:p>
        </w:tc>
        <w:tc>
          <w:tcPr>
            <w:tcW w:w="1087" w:type="dxa"/>
            <w:tcBorders>
              <w:right w:val="single" w:sz="4" w:space="0" w:color="FFFFFF" w:themeColor="background1"/>
            </w:tcBorders>
            <w:shd w:val="clear" w:color="auto" w:fill="auto"/>
          </w:tcPr>
          <w:p w14:paraId="72547070" w14:textId="1E289663" w:rsidR="00632F67" w:rsidRPr="00B275E2" w:rsidRDefault="00632F67"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0.00027</w:t>
            </w:r>
          </w:p>
        </w:tc>
      </w:tr>
      <w:tr w:rsidR="00A44BB4" w:rsidRPr="00B275E2" w14:paraId="33F60834" w14:textId="77777777" w:rsidTr="0073061B">
        <w:tc>
          <w:tcPr>
            <w:cnfStyle w:val="001000000000" w:firstRow="0" w:lastRow="0" w:firstColumn="1" w:lastColumn="0" w:oddVBand="0" w:evenVBand="0" w:oddHBand="0" w:evenHBand="0" w:firstRowFirstColumn="0" w:firstRowLastColumn="0" w:lastRowFirstColumn="0" w:lastRowLastColumn="0"/>
            <w:tcW w:w="1433" w:type="dxa"/>
            <w:vMerge/>
            <w:tcBorders>
              <w:left w:val="single" w:sz="4" w:space="0" w:color="FFFFFF" w:themeColor="background1"/>
            </w:tcBorders>
          </w:tcPr>
          <w:p w14:paraId="0BCF1307" w14:textId="77777777" w:rsidR="00632F67" w:rsidRPr="00B275E2" w:rsidRDefault="00632F67" w:rsidP="007F0B1E">
            <w:pPr>
              <w:pStyle w:val="TableText"/>
              <w:spacing w:before="40" w:after="40"/>
              <w:rPr>
                <w:b w:val="0"/>
                <w:szCs w:val="18"/>
              </w:rPr>
            </w:pPr>
          </w:p>
        </w:tc>
        <w:tc>
          <w:tcPr>
            <w:tcW w:w="1828" w:type="dxa"/>
            <w:noWrap/>
          </w:tcPr>
          <w:p w14:paraId="2219A273" w14:textId="77777777" w:rsidR="00632F67" w:rsidRPr="00B275E2" w:rsidRDefault="00632F67"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Average</w:t>
            </w:r>
          </w:p>
        </w:tc>
        <w:tc>
          <w:tcPr>
            <w:tcW w:w="624" w:type="dxa"/>
            <w:noWrap/>
          </w:tcPr>
          <w:p w14:paraId="4C79E460" w14:textId="77777777" w:rsidR="00632F67" w:rsidRPr="00B275E2" w:rsidRDefault="00632F67"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tkm</w:t>
            </w:r>
          </w:p>
        </w:tc>
        <w:tc>
          <w:tcPr>
            <w:tcW w:w="1275" w:type="dxa"/>
            <w:shd w:val="clear" w:color="auto" w:fill="D2DDE1" w:themeFill="background2"/>
            <w:noWrap/>
          </w:tcPr>
          <w:p w14:paraId="7B3B2577" w14:textId="161E0485" w:rsidR="00632F67" w:rsidRPr="00B275E2" w:rsidRDefault="00632F67"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B275E2">
              <w:rPr>
                <w:rFonts w:cs="Calibri"/>
                <w:color w:val="000000" w:themeColor="text1"/>
                <w:szCs w:val="18"/>
              </w:rPr>
              <w:t>0.012</w:t>
            </w:r>
          </w:p>
        </w:tc>
        <w:tc>
          <w:tcPr>
            <w:tcW w:w="1087" w:type="dxa"/>
            <w:shd w:val="clear" w:color="auto" w:fill="auto"/>
            <w:noWrap/>
          </w:tcPr>
          <w:p w14:paraId="27194A55" w14:textId="72A83E38" w:rsidR="00632F67" w:rsidRPr="00B275E2" w:rsidRDefault="00632F67"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0.01</w:t>
            </w:r>
            <w:r w:rsidR="001B52AD" w:rsidRPr="00B275E2">
              <w:rPr>
                <w:rFonts w:cs="Calibri"/>
                <w:szCs w:val="18"/>
              </w:rPr>
              <w:t>3</w:t>
            </w:r>
          </w:p>
        </w:tc>
        <w:tc>
          <w:tcPr>
            <w:tcW w:w="1087" w:type="dxa"/>
            <w:shd w:val="clear" w:color="auto" w:fill="auto"/>
          </w:tcPr>
          <w:p w14:paraId="10455B59" w14:textId="3B67E620" w:rsidR="00632F67" w:rsidRPr="00B275E2" w:rsidRDefault="00632F67"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0.00000</w:t>
            </w:r>
            <w:r w:rsidR="001B52AD" w:rsidRPr="00B275E2">
              <w:rPr>
                <w:rFonts w:cs="Calibri"/>
                <w:szCs w:val="18"/>
              </w:rPr>
              <w:t>0</w:t>
            </w:r>
          </w:p>
        </w:tc>
        <w:tc>
          <w:tcPr>
            <w:tcW w:w="1087" w:type="dxa"/>
            <w:tcBorders>
              <w:right w:val="single" w:sz="4" w:space="0" w:color="FFFFFF" w:themeColor="background1"/>
            </w:tcBorders>
            <w:shd w:val="clear" w:color="auto" w:fill="auto"/>
          </w:tcPr>
          <w:p w14:paraId="4FCE2F36" w14:textId="1BF4362A" w:rsidR="00632F67" w:rsidRPr="00B275E2" w:rsidRDefault="00632F67"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0.0001</w:t>
            </w:r>
            <w:r w:rsidR="001B52AD" w:rsidRPr="00B275E2">
              <w:rPr>
                <w:rFonts w:cs="Calibri"/>
                <w:szCs w:val="18"/>
              </w:rPr>
              <w:t>8</w:t>
            </w:r>
          </w:p>
        </w:tc>
      </w:tr>
      <w:tr w:rsidR="00A44BB4" w:rsidRPr="00B275E2" w14:paraId="1F78E35B" w14:textId="77777777" w:rsidTr="00730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vMerge w:val="restart"/>
            <w:tcBorders>
              <w:left w:val="single" w:sz="4" w:space="0" w:color="FFFFFF" w:themeColor="background1"/>
            </w:tcBorders>
          </w:tcPr>
          <w:p w14:paraId="00A587B7" w14:textId="77777777" w:rsidR="00632F67" w:rsidRPr="00B275E2" w:rsidRDefault="00632F67" w:rsidP="007F0B1E">
            <w:pPr>
              <w:pStyle w:val="TableText"/>
              <w:spacing w:before="40" w:after="40"/>
              <w:rPr>
                <w:b w:val="0"/>
                <w:szCs w:val="18"/>
              </w:rPr>
            </w:pPr>
            <w:r w:rsidRPr="00B275E2">
              <w:rPr>
                <w:b w:val="0"/>
                <w:szCs w:val="18"/>
              </w:rPr>
              <w:t>Container ship</w:t>
            </w:r>
          </w:p>
        </w:tc>
        <w:tc>
          <w:tcPr>
            <w:tcW w:w="1828" w:type="dxa"/>
            <w:noWrap/>
          </w:tcPr>
          <w:p w14:paraId="69541C45" w14:textId="77777777" w:rsidR="00632F67" w:rsidRPr="00B275E2" w:rsidRDefault="00632F67"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8,000+ TEU</w:t>
            </w:r>
          </w:p>
        </w:tc>
        <w:tc>
          <w:tcPr>
            <w:tcW w:w="624" w:type="dxa"/>
            <w:noWrap/>
          </w:tcPr>
          <w:p w14:paraId="5ACD6406" w14:textId="77777777" w:rsidR="00632F67" w:rsidRPr="00B275E2" w:rsidRDefault="00632F67"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tkm</w:t>
            </w:r>
          </w:p>
        </w:tc>
        <w:tc>
          <w:tcPr>
            <w:tcW w:w="1275" w:type="dxa"/>
            <w:shd w:val="clear" w:color="auto" w:fill="D2DDE1" w:themeFill="background2"/>
            <w:noWrap/>
          </w:tcPr>
          <w:p w14:paraId="14832122" w14:textId="7FF6098F" w:rsidR="00632F67" w:rsidRPr="00B275E2" w:rsidRDefault="00632F67"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B275E2">
              <w:rPr>
                <w:rFonts w:cs="Calibri"/>
                <w:color w:val="000000" w:themeColor="text1"/>
                <w:szCs w:val="18"/>
              </w:rPr>
              <w:t>0.013</w:t>
            </w:r>
          </w:p>
        </w:tc>
        <w:tc>
          <w:tcPr>
            <w:tcW w:w="1087" w:type="dxa"/>
            <w:shd w:val="clear" w:color="auto" w:fill="auto"/>
            <w:noWrap/>
          </w:tcPr>
          <w:p w14:paraId="059ADEDC" w14:textId="1CD9A345" w:rsidR="00632F67" w:rsidRPr="00B275E2" w:rsidRDefault="00632F67"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0.013</w:t>
            </w:r>
          </w:p>
        </w:tc>
        <w:tc>
          <w:tcPr>
            <w:tcW w:w="1087" w:type="dxa"/>
            <w:shd w:val="clear" w:color="auto" w:fill="auto"/>
          </w:tcPr>
          <w:p w14:paraId="216458AB" w14:textId="02CEA940" w:rsidR="00632F67" w:rsidRPr="00B275E2" w:rsidRDefault="00632F67"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0.0000</w:t>
            </w:r>
            <w:r w:rsidR="001B52AD" w:rsidRPr="00B275E2">
              <w:rPr>
                <w:rFonts w:cs="Calibri"/>
                <w:szCs w:val="18"/>
              </w:rPr>
              <w:t>1</w:t>
            </w:r>
            <w:r w:rsidRPr="00B275E2">
              <w:rPr>
                <w:rFonts w:cs="Calibri"/>
                <w:szCs w:val="18"/>
              </w:rPr>
              <w:t>0</w:t>
            </w:r>
          </w:p>
        </w:tc>
        <w:tc>
          <w:tcPr>
            <w:tcW w:w="1087" w:type="dxa"/>
            <w:tcBorders>
              <w:right w:val="single" w:sz="4" w:space="0" w:color="FFFFFF" w:themeColor="background1"/>
            </w:tcBorders>
            <w:shd w:val="clear" w:color="auto" w:fill="auto"/>
          </w:tcPr>
          <w:p w14:paraId="21AA5B2F" w14:textId="50D2308B" w:rsidR="00632F67" w:rsidRPr="00B275E2" w:rsidRDefault="00632F67"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0.00017</w:t>
            </w:r>
          </w:p>
        </w:tc>
      </w:tr>
      <w:tr w:rsidR="00A44BB4" w:rsidRPr="00B275E2" w14:paraId="61113957" w14:textId="77777777" w:rsidTr="0073061B">
        <w:tc>
          <w:tcPr>
            <w:cnfStyle w:val="001000000000" w:firstRow="0" w:lastRow="0" w:firstColumn="1" w:lastColumn="0" w:oddVBand="0" w:evenVBand="0" w:oddHBand="0" w:evenHBand="0" w:firstRowFirstColumn="0" w:firstRowLastColumn="0" w:lastRowFirstColumn="0" w:lastRowLastColumn="0"/>
            <w:tcW w:w="1433" w:type="dxa"/>
            <w:vMerge/>
            <w:tcBorders>
              <w:left w:val="single" w:sz="4" w:space="0" w:color="FFFFFF" w:themeColor="background1"/>
            </w:tcBorders>
          </w:tcPr>
          <w:p w14:paraId="7BB6E642" w14:textId="77777777" w:rsidR="00632F67" w:rsidRPr="00B275E2" w:rsidRDefault="00632F67" w:rsidP="007F0B1E">
            <w:pPr>
              <w:pStyle w:val="TableText"/>
              <w:spacing w:before="40" w:after="40"/>
              <w:rPr>
                <w:szCs w:val="18"/>
              </w:rPr>
            </w:pPr>
          </w:p>
        </w:tc>
        <w:tc>
          <w:tcPr>
            <w:tcW w:w="1828" w:type="dxa"/>
            <w:noWrap/>
          </w:tcPr>
          <w:p w14:paraId="32AC67C4" w14:textId="77777777" w:rsidR="00632F67" w:rsidRPr="00B275E2" w:rsidRDefault="00632F67"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5,000–7,999 TEU</w:t>
            </w:r>
          </w:p>
        </w:tc>
        <w:tc>
          <w:tcPr>
            <w:tcW w:w="624" w:type="dxa"/>
            <w:noWrap/>
          </w:tcPr>
          <w:p w14:paraId="1B15925D" w14:textId="77777777" w:rsidR="00632F67" w:rsidRPr="00B275E2" w:rsidRDefault="00632F67"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tkm</w:t>
            </w:r>
          </w:p>
        </w:tc>
        <w:tc>
          <w:tcPr>
            <w:tcW w:w="1275" w:type="dxa"/>
            <w:shd w:val="clear" w:color="auto" w:fill="D2DDE1" w:themeFill="background2"/>
            <w:noWrap/>
          </w:tcPr>
          <w:p w14:paraId="259CAA31" w14:textId="2A9D3245" w:rsidR="00632F67" w:rsidRPr="00B275E2" w:rsidRDefault="00632F67"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B275E2">
              <w:rPr>
                <w:rFonts w:cs="Calibri"/>
                <w:color w:val="000000" w:themeColor="text1"/>
                <w:szCs w:val="18"/>
              </w:rPr>
              <w:t>0.017</w:t>
            </w:r>
          </w:p>
        </w:tc>
        <w:tc>
          <w:tcPr>
            <w:tcW w:w="1087" w:type="dxa"/>
            <w:shd w:val="clear" w:color="auto" w:fill="auto"/>
            <w:noWrap/>
          </w:tcPr>
          <w:p w14:paraId="0639DA51" w14:textId="6B9E3883" w:rsidR="00632F67" w:rsidRPr="00B275E2" w:rsidRDefault="00632F67"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0.017</w:t>
            </w:r>
          </w:p>
        </w:tc>
        <w:tc>
          <w:tcPr>
            <w:tcW w:w="1087" w:type="dxa"/>
            <w:shd w:val="clear" w:color="auto" w:fill="auto"/>
          </w:tcPr>
          <w:p w14:paraId="747917F6" w14:textId="4D3FB45F" w:rsidR="00632F67" w:rsidRPr="00B275E2" w:rsidRDefault="00632F67"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0.0000</w:t>
            </w:r>
            <w:r w:rsidR="0039356F" w:rsidRPr="00B275E2">
              <w:rPr>
                <w:rFonts w:cs="Calibri"/>
                <w:szCs w:val="18"/>
              </w:rPr>
              <w:t>1</w:t>
            </w:r>
            <w:r w:rsidRPr="00B275E2">
              <w:rPr>
                <w:rFonts w:cs="Calibri"/>
                <w:szCs w:val="18"/>
              </w:rPr>
              <w:t>0</w:t>
            </w:r>
          </w:p>
        </w:tc>
        <w:tc>
          <w:tcPr>
            <w:tcW w:w="1087" w:type="dxa"/>
            <w:tcBorders>
              <w:right w:val="single" w:sz="4" w:space="0" w:color="FFFFFF" w:themeColor="background1"/>
            </w:tcBorders>
            <w:shd w:val="clear" w:color="auto" w:fill="auto"/>
          </w:tcPr>
          <w:p w14:paraId="64991D98" w14:textId="611F594A" w:rsidR="00632F67" w:rsidRPr="00B275E2" w:rsidRDefault="00632F67"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0.00023</w:t>
            </w:r>
          </w:p>
        </w:tc>
      </w:tr>
      <w:tr w:rsidR="00A44BB4" w:rsidRPr="00B275E2" w14:paraId="17F74199" w14:textId="77777777" w:rsidTr="00730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vMerge/>
            <w:tcBorders>
              <w:left w:val="single" w:sz="4" w:space="0" w:color="FFFFFF" w:themeColor="background1"/>
            </w:tcBorders>
          </w:tcPr>
          <w:p w14:paraId="6CD1B8BC" w14:textId="77777777" w:rsidR="00632F67" w:rsidRPr="00B275E2" w:rsidRDefault="00632F67" w:rsidP="007F0B1E">
            <w:pPr>
              <w:pStyle w:val="TableText"/>
              <w:spacing w:before="40" w:after="40"/>
              <w:rPr>
                <w:szCs w:val="18"/>
              </w:rPr>
            </w:pPr>
          </w:p>
        </w:tc>
        <w:tc>
          <w:tcPr>
            <w:tcW w:w="1828" w:type="dxa"/>
            <w:noWrap/>
          </w:tcPr>
          <w:p w14:paraId="44A90759" w14:textId="77777777" w:rsidR="00632F67" w:rsidRPr="00B275E2" w:rsidRDefault="00632F67"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3,000–4,999 TEU</w:t>
            </w:r>
          </w:p>
        </w:tc>
        <w:tc>
          <w:tcPr>
            <w:tcW w:w="624" w:type="dxa"/>
            <w:noWrap/>
          </w:tcPr>
          <w:p w14:paraId="238BAF56" w14:textId="77777777" w:rsidR="00632F67" w:rsidRPr="00B275E2" w:rsidRDefault="00632F67"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tkm</w:t>
            </w:r>
          </w:p>
        </w:tc>
        <w:tc>
          <w:tcPr>
            <w:tcW w:w="1275" w:type="dxa"/>
            <w:shd w:val="clear" w:color="auto" w:fill="D2DDE1" w:themeFill="background2"/>
            <w:noWrap/>
          </w:tcPr>
          <w:p w14:paraId="40D22D17" w14:textId="0AB154F0" w:rsidR="00632F67" w:rsidRPr="00B275E2" w:rsidRDefault="00632F67"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B275E2">
              <w:rPr>
                <w:rFonts w:cs="Calibri"/>
                <w:color w:val="000000" w:themeColor="text1"/>
                <w:szCs w:val="18"/>
              </w:rPr>
              <w:t>0.017</w:t>
            </w:r>
          </w:p>
        </w:tc>
        <w:tc>
          <w:tcPr>
            <w:tcW w:w="1087" w:type="dxa"/>
            <w:shd w:val="clear" w:color="auto" w:fill="auto"/>
            <w:noWrap/>
          </w:tcPr>
          <w:p w14:paraId="5A18A3B2" w14:textId="501421A0" w:rsidR="00632F67" w:rsidRPr="00B275E2" w:rsidRDefault="00632F67"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0.017</w:t>
            </w:r>
          </w:p>
        </w:tc>
        <w:tc>
          <w:tcPr>
            <w:tcW w:w="1087" w:type="dxa"/>
            <w:shd w:val="clear" w:color="auto" w:fill="auto"/>
          </w:tcPr>
          <w:p w14:paraId="7E4CC36B" w14:textId="1FF77C3B" w:rsidR="00632F67" w:rsidRPr="00B275E2" w:rsidRDefault="00632F67"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0.0000</w:t>
            </w:r>
            <w:r w:rsidR="0039356F" w:rsidRPr="00B275E2">
              <w:rPr>
                <w:rFonts w:cs="Calibri"/>
                <w:szCs w:val="18"/>
              </w:rPr>
              <w:t>1</w:t>
            </w:r>
            <w:r w:rsidRPr="00B275E2">
              <w:rPr>
                <w:rFonts w:cs="Calibri"/>
                <w:szCs w:val="18"/>
              </w:rPr>
              <w:t>0</w:t>
            </w:r>
          </w:p>
        </w:tc>
        <w:tc>
          <w:tcPr>
            <w:tcW w:w="1087" w:type="dxa"/>
            <w:tcBorders>
              <w:right w:val="single" w:sz="4" w:space="0" w:color="FFFFFF" w:themeColor="background1"/>
            </w:tcBorders>
            <w:shd w:val="clear" w:color="auto" w:fill="auto"/>
          </w:tcPr>
          <w:p w14:paraId="61F1E551" w14:textId="4B1AB960" w:rsidR="00632F67" w:rsidRPr="00B275E2" w:rsidRDefault="00632F67"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0.00023</w:t>
            </w:r>
          </w:p>
        </w:tc>
      </w:tr>
      <w:tr w:rsidR="00A44BB4" w:rsidRPr="00B275E2" w14:paraId="6ECBD507" w14:textId="77777777" w:rsidTr="0073061B">
        <w:tc>
          <w:tcPr>
            <w:cnfStyle w:val="001000000000" w:firstRow="0" w:lastRow="0" w:firstColumn="1" w:lastColumn="0" w:oddVBand="0" w:evenVBand="0" w:oddHBand="0" w:evenHBand="0" w:firstRowFirstColumn="0" w:firstRowLastColumn="0" w:lastRowFirstColumn="0" w:lastRowLastColumn="0"/>
            <w:tcW w:w="1433" w:type="dxa"/>
            <w:vMerge/>
            <w:tcBorders>
              <w:left w:val="single" w:sz="4" w:space="0" w:color="FFFFFF" w:themeColor="background1"/>
            </w:tcBorders>
          </w:tcPr>
          <w:p w14:paraId="039C5703" w14:textId="77777777" w:rsidR="00632F67" w:rsidRPr="00B275E2" w:rsidRDefault="00632F67" w:rsidP="007F0B1E">
            <w:pPr>
              <w:pStyle w:val="TableText"/>
              <w:spacing w:before="40" w:after="40"/>
              <w:rPr>
                <w:szCs w:val="18"/>
              </w:rPr>
            </w:pPr>
          </w:p>
        </w:tc>
        <w:tc>
          <w:tcPr>
            <w:tcW w:w="1828" w:type="dxa"/>
            <w:noWrap/>
          </w:tcPr>
          <w:p w14:paraId="1FC2CC0F" w14:textId="77777777" w:rsidR="00632F67" w:rsidRPr="00B275E2" w:rsidRDefault="00632F67"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2,000–2,999 TEU</w:t>
            </w:r>
          </w:p>
        </w:tc>
        <w:tc>
          <w:tcPr>
            <w:tcW w:w="624" w:type="dxa"/>
            <w:noWrap/>
          </w:tcPr>
          <w:p w14:paraId="0F1B173F" w14:textId="77777777" w:rsidR="00632F67" w:rsidRPr="00B275E2" w:rsidRDefault="00632F67"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tkm</w:t>
            </w:r>
          </w:p>
        </w:tc>
        <w:tc>
          <w:tcPr>
            <w:tcW w:w="1275" w:type="dxa"/>
            <w:shd w:val="clear" w:color="auto" w:fill="D2DDE1" w:themeFill="background2"/>
            <w:noWrap/>
          </w:tcPr>
          <w:p w14:paraId="1D577D6B" w14:textId="5B4671A3" w:rsidR="00632F67" w:rsidRPr="00B275E2" w:rsidRDefault="00632F67"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B275E2">
              <w:rPr>
                <w:rFonts w:cs="Calibri"/>
                <w:color w:val="000000" w:themeColor="text1"/>
                <w:szCs w:val="18"/>
              </w:rPr>
              <w:t>0.020</w:t>
            </w:r>
          </w:p>
        </w:tc>
        <w:tc>
          <w:tcPr>
            <w:tcW w:w="1087" w:type="dxa"/>
            <w:shd w:val="clear" w:color="auto" w:fill="auto"/>
            <w:noWrap/>
          </w:tcPr>
          <w:p w14:paraId="407327D2" w14:textId="38826B48" w:rsidR="00632F67" w:rsidRPr="00B275E2" w:rsidRDefault="00632F67"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0.020</w:t>
            </w:r>
          </w:p>
        </w:tc>
        <w:tc>
          <w:tcPr>
            <w:tcW w:w="1087" w:type="dxa"/>
            <w:shd w:val="clear" w:color="auto" w:fill="auto"/>
          </w:tcPr>
          <w:p w14:paraId="1CCB74BD" w14:textId="74659422" w:rsidR="00632F67" w:rsidRPr="00B275E2" w:rsidRDefault="00632F67"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0.0000</w:t>
            </w:r>
            <w:r w:rsidR="0039356F" w:rsidRPr="00B275E2">
              <w:rPr>
                <w:rFonts w:cs="Calibri"/>
                <w:szCs w:val="18"/>
              </w:rPr>
              <w:t>1</w:t>
            </w:r>
            <w:r w:rsidRPr="00B275E2">
              <w:rPr>
                <w:rFonts w:cs="Calibri"/>
                <w:szCs w:val="18"/>
              </w:rPr>
              <w:t>0</w:t>
            </w:r>
          </w:p>
        </w:tc>
        <w:tc>
          <w:tcPr>
            <w:tcW w:w="1087" w:type="dxa"/>
            <w:tcBorders>
              <w:right w:val="single" w:sz="4" w:space="0" w:color="FFFFFF" w:themeColor="background1"/>
            </w:tcBorders>
            <w:shd w:val="clear" w:color="auto" w:fill="auto"/>
          </w:tcPr>
          <w:p w14:paraId="444A3B25" w14:textId="71ED1BF8" w:rsidR="00632F67" w:rsidRPr="00B275E2" w:rsidRDefault="00632F67"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0.00027</w:t>
            </w:r>
          </w:p>
        </w:tc>
      </w:tr>
      <w:tr w:rsidR="00A44BB4" w:rsidRPr="00B275E2" w14:paraId="1000FFB0" w14:textId="77777777" w:rsidTr="00730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vMerge/>
            <w:tcBorders>
              <w:left w:val="single" w:sz="4" w:space="0" w:color="FFFFFF" w:themeColor="background1"/>
            </w:tcBorders>
          </w:tcPr>
          <w:p w14:paraId="1CB85E8A" w14:textId="77777777" w:rsidR="00632F67" w:rsidRPr="00B275E2" w:rsidRDefault="00632F67" w:rsidP="007F0B1E">
            <w:pPr>
              <w:pStyle w:val="TableText"/>
              <w:spacing w:before="40" w:after="40"/>
              <w:rPr>
                <w:szCs w:val="18"/>
              </w:rPr>
            </w:pPr>
          </w:p>
        </w:tc>
        <w:tc>
          <w:tcPr>
            <w:tcW w:w="1828" w:type="dxa"/>
            <w:noWrap/>
          </w:tcPr>
          <w:p w14:paraId="680F844F" w14:textId="77777777" w:rsidR="00632F67" w:rsidRPr="00B275E2" w:rsidRDefault="00632F67"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1,000–1,999 TEU</w:t>
            </w:r>
          </w:p>
        </w:tc>
        <w:tc>
          <w:tcPr>
            <w:tcW w:w="624" w:type="dxa"/>
            <w:noWrap/>
          </w:tcPr>
          <w:p w14:paraId="3653C309" w14:textId="77777777" w:rsidR="00632F67" w:rsidRPr="00B275E2" w:rsidRDefault="00632F67"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tkm</w:t>
            </w:r>
          </w:p>
        </w:tc>
        <w:tc>
          <w:tcPr>
            <w:tcW w:w="1275" w:type="dxa"/>
            <w:shd w:val="clear" w:color="auto" w:fill="D2DDE1" w:themeFill="background2"/>
            <w:noWrap/>
          </w:tcPr>
          <w:p w14:paraId="466DFF2B" w14:textId="3056EECF" w:rsidR="00632F67" w:rsidRPr="00B275E2" w:rsidRDefault="00632F67"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B275E2">
              <w:rPr>
                <w:rFonts w:cs="Calibri"/>
                <w:color w:val="000000" w:themeColor="text1"/>
                <w:szCs w:val="18"/>
              </w:rPr>
              <w:t>0.033</w:t>
            </w:r>
          </w:p>
        </w:tc>
        <w:tc>
          <w:tcPr>
            <w:tcW w:w="1087" w:type="dxa"/>
            <w:shd w:val="clear" w:color="auto" w:fill="auto"/>
            <w:noWrap/>
          </w:tcPr>
          <w:p w14:paraId="04E2F8BB" w14:textId="12143C77" w:rsidR="00632F67" w:rsidRPr="00B275E2" w:rsidRDefault="00632F67"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0.032</w:t>
            </w:r>
          </w:p>
        </w:tc>
        <w:tc>
          <w:tcPr>
            <w:tcW w:w="1087" w:type="dxa"/>
            <w:shd w:val="clear" w:color="auto" w:fill="auto"/>
          </w:tcPr>
          <w:p w14:paraId="126CC4D3" w14:textId="2D605CBA" w:rsidR="00632F67" w:rsidRPr="00B275E2" w:rsidRDefault="00632F67"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0.000010</w:t>
            </w:r>
          </w:p>
        </w:tc>
        <w:tc>
          <w:tcPr>
            <w:tcW w:w="1087" w:type="dxa"/>
            <w:tcBorders>
              <w:right w:val="single" w:sz="4" w:space="0" w:color="FFFFFF" w:themeColor="background1"/>
            </w:tcBorders>
            <w:shd w:val="clear" w:color="auto" w:fill="auto"/>
          </w:tcPr>
          <w:p w14:paraId="71C7908A" w14:textId="64D20796" w:rsidR="00632F67" w:rsidRPr="00B275E2" w:rsidRDefault="00632F67"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0.00044</w:t>
            </w:r>
          </w:p>
        </w:tc>
      </w:tr>
      <w:tr w:rsidR="00A44BB4" w:rsidRPr="00B275E2" w14:paraId="2CC11DCC" w14:textId="77777777" w:rsidTr="0073061B">
        <w:tc>
          <w:tcPr>
            <w:cnfStyle w:val="001000000000" w:firstRow="0" w:lastRow="0" w:firstColumn="1" w:lastColumn="0" w:oddVBand="0" w:evenVBand="0" w:oddHBand="0" w:evenHBand="0" w:firstRowFirstColumn="0" w:firstRowLastColumn="0" w:lastRowFirstColumn="0" w:lastRowLastColumn="0"/>
            <w:tcW w:w="1433" w:type="dxa"/>
            <w:vMerge/>
            <w:tcBorders>
              <w:left w:val="single" w:sz="4" w:space="0" w:color="FFFFFF" w:themeColor="background1"/>
            </w:tcBorders>
          </w:tcPr>
          <w:p w14:paraId="115DB8AA" w14:textId="77777777" w:rsidR="00632F67" w:rsidRPr="00B275E2" w:rsidRDefault="00632F67" w:rsidP="007F0B1E">
            <w:pPr>
              <w:pStyle w:val="TableText"/>
              <w:spacing w:before="40" w:after="40"/>
              <w:rPr>
                <w:szCs w:val="18"/>
              </w:rPr>
            </w:pPr>
          </w:p>
        </w:tc>
        <w:tc>
          <w:tcPr>
            <w:tcW w:w="1828" w:type="dxa"/>
            <w:noWrap/>
          </w:tcPr>
          <w:p w14:paraId="53820E4D" w14:textId="77777777" w:rsidR="00632F67" w:rsidRPr="00B275E2" w:rsidRDefault="00632F67"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0–999 TEU</w:t>
            </w:r>
          </w:p>
        </w:tc>
        <w:tc>
          <w:tcPr>
            <w:tcW w:w="624" w:type="dxa"/>
            <w:noWrap/>
          </w:tcPr>
          <w:p w14:paraId="3F6B70D2" w14:textId="77777777" w:rsidR="00632F67" w:rsidRPr="00B275E2" w:rsidRDefault="00632F67"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tkm</w:t>
            </w:r>
          </w:p>
        </w:tc>
        <w:tc>
          <w:tcPr>
            <w:tcW w:w="1275" w:type="dxa"/>
            <w:shd w:val="clear" w:color="auto" w:fill="D2DDE1" w:themeFill="background2"/>
            <w:noWrap/>
          </w:tcPr>
          <w:p w14:paraId="17D401C2" w14:textId="6879F249" w:rsidR="00632F67" w:rsidRPr="00B275E2" w:rsidRDefault="00632F67"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B275E2">
              <w:rPr>
                <w:rFonts w:cs="Calibri"/>
                <w:color w:val="000000" w:themeColor="text1"/>
                <w:szCs w:val="18"/>
              </w:rPr>
              <w:t>0.037</w:t>
            </w:r>
          </w:p>
        </w:tc>
        <w:tc>
          <w:tcPr>
            <w:tcW w:w="1087" w:type="dxa"/>
            <w:shd w:val="clear" w:color="auto" w:fill="auto"/>
            <w:noWrap/>
          </w:tcPr>
          <w:p w14:paraId="3B541E4F" w14:textId="2950D0D5" w:rsidR="00632F67" w:rsidRPr="00B275E2" w:rsidRDefault="00632F67"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0.036</w:t>
            </w:r>
          </w:p>
        </w:tc>
        <w:tc>
          <w:tcPr>
            <w:tcW w:w="1087" w:type="dxa"/>
            <w:shd w:val="clear" w:color="auto" w:fill="auto"/>
          </w:tcPr>
          <w:p w14:paraId="251B8455" w14:textId="77F0DF19" w:rsidR="00632F67" w:rsidRPr="00B275E2" w:rsidRDefault="00632F67"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0.00001</w:t>
            </w:r>
            <w:r w:rsidR="0039356F" w:rsidRPr="00B275E2">
              <w:rPr>
                <w:rFonts w:cs="Calibri"/>
                <w:szCs w:val="18"/>
              </w:rPr>
              <w:t>0</w:t>
            </w:r>
          </w:p>
        </w:tc>
        <w:tc>
          <w:tcPr>
            <w:tcW w:w="1087" w:type="dxa"/>
            <w:tcBorders>
              <w:right w:val="single" w:sz="4" w:space="0" w:color="FFFFFF" w:themeColor="background1"/>
            </w:tcBorders>
            <w:shd w:val="clear" w:color="auto" w:fill="auto"/>
          </w:tcPr>
          <w:p w14:paraId="2BB07D3B" w14:textId="6EABC0EF" w:rsidR="00632F67" w:rsidRPr="00B275E2" w:rsidRDefault="00632F67"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w:t>
            </w:r>
            <w:r w:rsidR="0039356F" w:rsidRPr="00B275E2">
              <w:rPr>
                <w:rFonts w:cs="Calibri"/>
                <w:szCs w:val="18"/>
              </w:rPr>
              <w:t>49</w:t>
            </w:r>
          </w:p>
        </w:tc>
      </w:tr>
      <w:tr w:rsidR="00A44BB4" w:rsidRPr="00B275E2" w14:paraId="170B8B06" w14:textId="77777777" w:rsidTr="00730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vMerge/>
            <w:tcBorders>
              <w:left w:val="single" w:sz="4" w:space="0" w:color="FFFFFF" w:themeColor="background1"/>
            </w:tcBorders>
          </w:tcPr>
          <w:p w14:paraId="07A0DB07" w14:textId="77777777" w:rsidR="00632F67" w:rsidRPr="00B275E2" w:rsidRDefault="00632F67" w:rsidP="007F0B1E">
            <w:pPr>
              <w:pStyle w:val="TableText"/>
              <w:spacing w:before="40" w:after="40"/>
              <w:rPr>
                <w:szCs w:val="18"/>
              </w:rPr>
            </w:pPr>
          </w:p>
        </w:tc>
        <w:tc>
          <w:tcPr>
            <w:tcW w:w="1828" w:type="dxa"/>
            <w:noWrap/>
          </w:tcPr>
          <w:p w14:paraId="40FF4CB2" w14:textId="77777777" w:rsidR="00632F67" w:rsidRPr="00B275E2" w:rsidRDefault="00632F67"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Average</w:t>
            </w:r>
          </w:p>
        </w:tc>
        <w:tc>
          <w:tcPr>
            <w:tcW w:w="624" w:type="dxa"/>
            <w:noWrap/>
          </w:tcPr>
          <w:p w14:paraId="1D2E2880" w14:textId="77777777" w:rsidR="00632F67" w:rsidRPr="00B275E2" w:rsidRDefault="00632F67"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tkm</w:t>
            </w:r>
          </w:p>
        </w:tc>
        <w:tc>
          <w:tcPr>
            <w:tcW w:w="1275" w:type="dxa"/>
            <w:shd w:val="clear" w:color="auto" w:fill="D2DDE1" w:themeFill="background2"/>
            <w:noWrap/>
          </w:tcPr>
          <w:p w14:paraId="0ED47631" w14:textId="4E157E98" w:rsidR="00632F67" w:rsidRPr="00B275E2" w:rsidRDefault="00632F67"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B275E2">
              <w:rPr>
                <w:rFonts w:cs="Calibri"/>
                <w:color w:val="000000" w:themeColor="text1"/>
                <w:szCs w:val="18"/>
              </w:rPr>
              <w:t>0.0</w:t>
            </w:r>
            <w:r w:rsidR="006523A5" w:rsidRPr="00B275E2">
              <w:rPr>
                <w:rFonts w:cs="Calibri"/>
                <w:color w:val="000000" w:themeColor="text1"/>
                <w:szCs w:val="18"/>
              </w:rPr>
              <w:t>16</w:t>
            </w:r>
          </w:p>
        </w:tc>
        <w:tc>
          <w:tcPr>
            <w:tcW w:w="1087" w:type="dxa"/>
            <w:shd w:val="clear" w:color="auto" w:fill="auto"/>
            <w:noWrap/>
          </w:tcPr>
          <w:p w14:paraId="07C6F86A" w14:textId="29A66B1B" w:rsidR="00632F67" w:rsidRPr="00B275E2" w:rsidRDefault="00632F67"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w:t>
            </w:r>
            <w:r w:rsidR="006523A5" w:rsidRPr="00B275E2">
              <w:rPr>
                <w:rFonts w:cs="Calibri"/>
                <w:szCs w:val="18"/>
              </w:rPr>
              <w:t>16</w:t>
            </w:r>
          </w:p>
        </w:tc>
        <w:tc>
          <w:tcPr>
            <w:tcW w:w="1087" w:type="dxa"/>
            <w:shd w:val="clear" w:color="auto" w:fill="auto"/>
          </w:tcPr>
          <w:p w14:paraId="7734C057" w14:textId="7067B523" w:rsidR="00632F67" w:rsidRPr="00B275E2" w:rsidRDefault="00632F67"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0.0000</w:t>
            </w:r>
            <w:r w:rsidR="006523A5" w:rsidRPr="00B275E2">
              <w:rPr>
                <w:rFonts w:cs="Calibri"/>
                <w:szCs w:val="18"/>
              </w:rPr>
              <w:t>1</w:t>
            </w:r>
            <w:r w:rsidRPr="00B275E2">
              <w:rPr>
                <w:rFonts w:cs="Calibri"/>
                <w:szCs w:val="18"/>
              </w:rPr>
              <w:t>0</w:t>
            </w:r>
          </w:p>
        </w:tc>
        <w:tc>
          <w:tcPr>
            <w:tcW w:w="1087" w:type="dxa"/>
            <w:tcBorders>
              <w:right w:val="single" w:sz="4" w:space="0" w:color="FFFFFF" w:themeColor="background1"/>
            </w:tcBorders>
            <w:shd w:val="clear" w:color="auto" w:fill="auto"/>
          </w:tcPr>
          <w:p w14:paraId="3DC3AE89" w14:textId="559CE0BF" w:rsidR="00632F67" w:rsidRPr="00B275E2" w:rsidRDefault="00632F67"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0.0002</w:t>
            </w:r>
            <w:r w:rsidR="006523A5" w:rsidRPr="00B275E2">
              <w:rPr>
                <w:rFonts w:cs="Calibri"/>
                <w:szCs w:val="18"/>
              </w:rPr>
              <w:t>2</w:t>
            </w:r>
          </w:p>
        </w:tc>
      </w:tr>
      <w:tr w:rsidR="00A44BB4" w:rsidRPr="00B275E2" w14:paraId="53D23FB3" w14:textId="77777777" w:rsidTr="0073061B">
        <w:tc>
          <w:tcPr>
            <w:cnfStyle w:val="001000000000" w:firstRow="0" w:lastRow="0" w:firstColumn="1" w:lastColumn="0" w:oddVBand="0" w:evenVBand="0" w:oddHBand="0" w:evenHBand="0" w:firstRowFirstColumn="0" w:firstRowLastColumn="0" w:lastRowFirstColumn="0" w:lastRowLastColumn="0"/>
            <w:tcW w:w="1433" w:type="dxa"/>
            <w:vMerge w:val="restart"/>
            <w:tcBorders>
              <w:left w:val="single" w:sz="4" w:space="0" w:color="FFFFFF" w:themeColor="background1"/>
            </w:tcBorders>
          </w:tcPr>
          <w:p w14:paraId="30E12312" w14:textId="77777777" w:rsidR="00632F67" w:rsidRPr="00B275E2" w:rsidRDefault="00632F67" w:rsidP="007F0B1E">
            <w:pPr>
              <w:pStyle w:val="TableText"/>
              <w:spacing w:before="40" w:after="40"/>
              <w:rPr>
                <w:b w:val="0"/>
                <w:szCs w:val="18"/>
              </w:rPr>
            </w:pPr>
            <w:r w:rsidRPr="00B275E2">
              <w:rPr>
                <w:b w:val="0"/>
                <w:szCs w:val="18"/>
              </w:rPr>
              <w:t>Vehicle transport</w:t>
            </w:r>
          </w:p>
        </w:tc>
        <w:tc>
          <w:tcPr>
            <w:tcW w:w="1828" w:type="dxa"/>
            <w:noWrap/>
          </w:tcPr>
          <w:p w14:paraId="480B44BA" w14:textId="77777777" w:rsidR="00632F67" w:rsidRPr="00B275E2" w:rsidRDefault="00632F67"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4,000+ CEU</w:t>
            </w:r>
          </w:p>
        </w:tc>
        <w:tc>
          <w:tcPr>
            <w:tcW w:w="624" w:type="dxa"/>
            <w:noWrap/>
          </w:tcPr>
          <w:p w14:paraId="73586F94" w14:textId="77777777" w:rsidR="00632F67" w:rsidRPr="00B275E2" w:rsidRDefault="00632F67"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tkm</w:t>
            </w:r>
          </w:p>
        </w:tc>
        <w:tc>
          <w:tcPr>
            <w:tcW w:w="1275" w:type="dxa"/>
            <w:shd w:val="clear" w:color="auto" w:fill="D2DDE1" w:themeFill="background2"/>
            <w:noWrap/>
          </w:tcPr>
          <w:p w14:paraId="22BD8311" w14:textId="7A7C0BBB" w:rsidR="00632F67" w:rsidRPr="00B275E2" w:rsidRDefault="00632F67"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B275E2">
              <w:rPr>
                <w:rFonts w:cs="Calibri"/>
                <w:color w:val="000000" w:themeColor="text1"/>
                <w:szCs w:val="18"/>
              </w:rPr>
              <w:t>0.032</w:t>
            </w:r>
          </w:p>
        </w:tc>
        <w:tc>
          <w:tcPr>
            <w:tcW w:w="1087" w:type="dxa"/>
            <w:shd w:val="clear" w:color="auto" w:fill="auto"/>
            <w:noWrap/>
          </w:tcPr>
          <w:p w14:paraId="5B59F838" w14:textId="03DAED76" w:rsidR="00632F67" w:rsidRPr="00B275E2" w:rsidRDefault="00632F67"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0.032</w:t>
            </w:r>
          </w:p>
        </w:tc>
        <w:tc>
          <w:tcPr>
            <w:tcW w:w="1087" w:type="dxa"/>
            <w:shd w:val="clear" w:color="auto" w:fill="auto"/>
          </w:tcPr>
          <w:p w14:paraId="25945C67" w14:textId="00D48A55" w:rsidR="00632F67" w:rsidRPr="00B275E2" w:rsidRDefault="00632F67"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0.000010</w:t>
            </w:r>
          </w:p>
        </w:tc>
        <w:tc>
          <w:tcPr>
            <w:tcW w:w="1087" w:type="dxa"/>
            <w:tcBorders>
              <w:right w:val="single" w:sz="4" w:space="0" w:color="FFFFFF" w:themeColor="background1"/>
            </w:tcBorders>
            <w:shd w:val="clear" w:color="auto" w:fill="auto"/>
          </w:tcPr>
          <w:p w14:paraId="47A9B003" w14:textId="74CB96C6" w:rsidR="00632F67" w:rsidRPr="00B275E2" w:rsidRDefault="00632F67"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0.00044</w:t>
            </w:r>
          </w:p>
        </w:tc>
      </w:tr>
      <w:tr w:rsidR="00A44BB4" w:rsidRPr="00B275E2" w14:paraId="7D1D8683" w14:textId="77777777" w:rsidTr="00730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vMerge/>
            <w:tcBorders>
              <w:left w:val="single" w:sz="4" w:space="0" w:color="FFFFFF" w:themeColor="background1"/>
            </w:tcBorders>
          </w:tcPr>
          <w:p w14:paraId="43E2A359" w14:textId="77777777" w:rsidR="00632F67" w:rsidRPr="00B275E2" w:rsidRDefault="00632F67" w:rsidP="007F0B1E">
            <w:pPr>
              <w:pStyle w:val="TableText"/>
              <w:spacing w:before="40" w:after="40"/>
              <w:rPr>
                <w:b w:val="0"/>
                <w:szCs w:val="18"/>
              </w:rPr>
            </w:pPr>
          </w:p>
        </w:tc>
        <w:tc>
          <w:tcPr>
            <w:tcW w:w="1828" w:type="dxa"/>
            <w:noWrap/>
          </w:tcPr>
          <w:p w14:paraId="68A167B2" w14:textId="77777777" w:rsidR="00632F67" w:rsidRPr="00B275E2" w:rsidRDefault="00632F67"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0–3,999 CEU</w:t>
            </w:r>
          </w:p>
        </w:tc>
        <w:tc>
          <w:tcPr>
            <w:tcW w:w="624" w:type="dxa"/>
            <w:noWrap/>
          </w:tcPr>
          <w:p w14:paraId="1313F3C1" w14:textId="77777777" w:rsidR="00632F67" w:rsidRPr="00B275E2" w:rsidRDefault="00632F67"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tkm</w:t>
            </w:r>
          </w:p>
        </w:tc>
        <w:tc>
          <w:tcPr>
            <w:tcW w:w="1275" w:type="dxa"/>
            <w:shd w:val="clear" w:color="auto" w:fill="D2DDE1" w:themeFill="background2"/>
            <w:noWrap/>
          </w:tcPr>
          <w:p w14:paraId="7F7AEFA7" w14:textId="4164171A" w:rsidR="00632F67" w:rsidRPr="00B275E2" w:rsidRDefault="00632F67"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B275E2">
              <w:rPr>
                <w:rFonts w:cs="Calibri"/>
                <w:color w:val="000000" w:themeColor="text1"/>
                <w:szCs w:val="18"/>
              </w:rPr>
              <w:t>0.058</w:t>
            </w:r>
          </w:p>
        </w:tc>
        <w:tc>
          <w:tcPr>
            <w:tcW w:w="1087" w:type="dxa"/>
            <w:shd w:val="clear" w:color="auto" w:fill="auto"/>
            <w:noWrap/>
          </w:tcPr>
          <w:p w14:paraId="2A48D0E1" w14:textId="37D7187D" w:rsidR="00632F67" w:rsidRPr="00B275E2" w:rsidRDefault="00632F67"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0.058</w:t>
            </w:r>
          </w:p>
        </w:tc>
        <w:tc>
          <w:tcPr>
            <w:tcW w:w="1087" w:type="dxa"/>
            <w:shd w:val="clear" w:color="auto" w:fill="auto"/>
          </w:tcPr>
          <w:p w14:paraId="46822147" w14:textId="22D5FA54" w:rsidR="00632F67" w:rsidRPr="00B275E2" w:rsidRDefault="00632F67"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0.0000</w:t>
            </w:r>
            <w:r w:rsidR="006523A5" w:rsidRPr="00B275E2">
              <w:rPr>
                <w:rFonts w:cs="Calibri"/>
                <w:szCs w:val="18"/>
              </w:rPr>
              <w:t>20</w:t>
            </w:r>
          </w:p>
        </w:tc>
        <w:tc>
          <w:tcPr>
            <w:tcW w:w="1087" w:type="dxa"/>
            <w:tcBorders>
              <w:right w:val="single" w:sz="4" w:space="0" w:color="FFFFFF" w:themeColor="background1"/>
            </w:tcBorders>
            <w:shd w:val="clear" w:color="auto" w:fill="auto"/>
          </w:tcPr>
          <w:p w14:paraId="09437CF5" w14:textId="05F1242A" w:rsidR="00632F67" w:rsidRPr="00B275E2" w:rsidRDefault="00632F67"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0.0007</w:t>
            </w:r>
            <w:r w:rsidR="00062709" w:rsidRPr="00B275E2">
              <w:rPr>
                <w:rFonts w:cs="Calibri"/>
                <w:szCs w:val="18"/>
              </w:rPr>
              <w:t>8</w:t>
            </w:r>
          </w:p>
        </w:tc>
      </w:tr>
      <w:tr w:rsidR="00A44BB4" w:rsidRPr="00B275E2" w14:paraId="3BF40BD4" w14:textId="77777777" w:rsidTr="0073061B">
        <w:tc>
          <w:tcPr>
            <w:cnfStyle w:val="001000000000" w:firstRow="0" w:lastRow="0" w:firstColumn="1" w:lastColumn="0" w:oddVBand="0" w:evenVBand="0" w:oddHBand="0" w:evenHBand="0" w:firstRowFirstColumn="0" w:firstRowLastColumn="0" w:lastRowFirstColumn="0" w:lastRowLastColumn="0"/>
            <w:tcW w:w="1433" w:type="dxa"/>
            <w:vMerge/>
            <w:tcBorders>
              <w:left w:val="single" w:sz="4" w:space="0" w:color="FFFFFF" w:themeColor="background1"/>
            </w:tcBorders>
          </w:tcPr>
          <w:p w14:paraId="70BE42AD" w14:textId="77777777" w:rsidR="00632F67" w:rsidRPr="00B275E2" w:rsidRDefault="00632F67" w:rsidP="007F0B1E">
            <w:pPr>
              <w:pStyle w:val="TableText"/>
              <w:spacing w:before="40" w:after="40"/>
              <w:rPr>
                <w:b w:val="0"/>
                <w:szCs w:val="18"/>
              </w:rPr>
            </w:pPr>
          </w:p>
        </w:tc>
        <w:tc>
          <w:tcPr>
            <w:tcW w:w="1828" w:type="dxa"/>
            <w:noWrap/>
          </w:tcPr>
          <w:p w14:paraId="4E10E70D" w14:textId="77777777" w:rsidR="00632F67" w:rsidRPr="00B275E2" w:rsidRDefault="00632F67"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Average</w:t>
            </w:r>
          </w:p>
        </w:tc>
        <w:tc>
          <w:tcPr>
            <w:tcW w:w="624" w:type="dxa"/>
            <w:noWrap/>
          </w:tcPr>
          <w:p w14:paraId="797CAF77" w14:textId="77777777" w:rsidR="00632F67" w:rsidRPr="00B275E2" w:rsidRDefault="00632F67"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tkm</w:t>
            </w:r>
          </w:p>
        </w:tc>
        <w:tc>
          <w:tcPr>
            <w:tcW w:w="1275" w:type="dxa"/>
            <w:shd w:val="clear" w:color="auto" w:fill="D2DDE1" w:themeFill="background2"/>
            <w:noWrap/>
          </w:tcPr>
          <w:p w14:paraId="3F646EF4" w14:textId="40ED4229" w:rsidR="00632F67" w:rsidRPr="00B275E2" w:rsidRDefault="00632F67"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B275E2">
              <w:rPr>
                <w:rFonts w:cs="Calibri"/>
                <w:color w:val="000000" w:themeColor="text1"/>
                <w:szCs w:val="18"/>
              </w:rPr>
              <w:t>0.039</w:t>
            </w:r>
          </w:p>
        </w:tc>
        <w:tc>
          <w:tcPr>
            <w:tcW w:w="1087" w:type="dxa"/>
            <w:shd w:val="clear" w:color="auto" w:fill="auto"/>
            <w:noWrap/>
          </w:tcPr>
          <w:p w14:paraId="0B0150E6" w14:textId="690FF270" w:rsidR="00632F67" w:rsidRPr="00B275E2" w:rsidRDefault="00632F67"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0.038</w:t>
            </w:r>
          </w:p>
        </w:tc>
        <w:tc>
          <w:tcPr>
            <w:tcW w:w="1087" w:type="dxa"/>
            <w:shd w:val="clear" w:color="auto" w:fill="auto"/>
          </w:tcPr>
          <w:p w14:paraId="4C893B41" w14:textId="0F0502DA" w:rsidR="00632F67" w:rsidRPr="00B275E2" w:rsidRDefault="00632F67"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0.00001</w:t>
            </w:r>
            <w:r w:rsidR="00062709" w:rsidRPr="00B275E2">
              <w:rPr>
                <w:rFonts w:cs="Calibri"/>
                <w:szCs w:val="18"/>
              </w:rPr>
              <w:t>0</w:t>
            </w:r>
          </w:p>
        </w:tc>
        <w:tc>
          <w:tcPr>
            <w:tcW w:w="1087" w:type="dxa"/>
            <w:tcBorders>
              <w:right w:val="single" w:sz="4" w:space="0" w:color="FFFFFF" w:themeColor="background1"/>
            </w:tcBorders>
            <w:shd w:val="clear" w:color="auto" w:fill="auto"/>
          </w:tcPr>
          <w:p w14:paraId="47B31331" w14:textId="2F2AE5AB" w:rsidR="00632F67" w:rsidRPr="00B275E2" w:rsidRDefault="00632F67"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0.00052</w:t>
            </w:r>
          </w:p>
        </w:tc>
      </w:tr>
      <w:tr w:rsidR="00A44BB4" w:rsidRPr="00B275E2" w14:paraId="731E8F24" w14:textId="77777777" w:rsidTr="00730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vMerge w:val="restart"/>
            <w:tcBorders>
              <w:left w:val="single" w:sz="4" w:space="0" w:color="FFFFFF" w:themeColor="background1"/>
            </w:tcBorders>
          </w:tcPr>
          <w:p w14:paraId="1C76935E" w14:textId="77777777" w:rsidR="00632F67" w:rsidRPr="00B275E2" w:rsidRDefault="00632F67" w:rsidP="007F0B1E">
            <w:pPr>
              <w:pStyle w:val="TableText"/>
              <w:spacing w:before="40" w:after="40"/>
              <w:rPr>
                <w:b w:val="0"/>
                <w:szCs w:val="18"/>
              </w:rPr>
            </w:pPr>
            <w:r w:rsidRPr="00B275E2">
              <w:rPr>
                <w:b w:val="0"/>
                <w:szCs w:val="18"/>
              </w:rPr>
              <w:t>RoRo (roll-on, roll-off) ferry</w:t>
            </w:r>
          </w:p>
        </w:tc>
        <w:tc>
          <w:tcPr>
            <w:tcW w:w="1828" w:type="dxa"/>
            <w:noWrap/>
          </w:tcPr>
          <w:p w14:paraId="0C003E57" w14:textId="77777777" w:rsidR="00632F67" w:rsidRPr="00B275E2" w:rsidRDefault="00632F67"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2,000+ LM</w:t>
            </w:r>
          </w:p>
        </w:tc>
        <w:tc>
          <w:tcPr>
            <w:tcW w:w="624" w:type="dxa"/>
            <w:noWrap/>
          </w:tcPr>
          <w:p w14:paraId="00644422" w14:textId="77777777" w:rsidR="00632F67" w:rsidRPr="00B275E2" w:rsidRDefault="00632F67"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tkm</w:t>
            </w:r>
          </w:p>
        </w:tc>
        <w:tc>
          <w:tcPr>
            <w:tcW w:w="1275" w:type="dxa"/>
            <w:shd w:val="clear" w:color="auto" w:fill="D2DDE1" w:themeFill="background2"/>
            <w:noWrap/>
          </w:tcPr>
          <w:p w14:paraId="21968C7E" w14:textId="1BB9A63E" w:rsidR="00632F67" w:rsidRPr="00B275E2" w:rsidRDefault="00632F67"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B275E2">
              <w:rPr>
                <w:rFonts w:cs="Calibri"/>
                <w:color w:val="000000" w:themeColor="text1"/>
                <w:szCs w:val="18"/>
              </w:rPr>
              <w:t>0.050</w:t>
            </w:r>
          </w:p>
        </w:tc>
        <w:tc>
          <w:tcPr>
            <w:tcW w:w="1087" w:type="dxa"/>
            <w:shd w:val="clear" w:color="auto" w:fill="auto"/>
            <w:noWrap/>
          </w:tcPr>
          <w:p w14:paraId="279883D6" w14:textId="3C2B5930" w:rsidR="00632F67" w:rsidRPr="00B275E2" w:rsidRDefault="00632F67"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0.050</w:t>
            </w:r>
          </w:p>
        </w:tc>
        <w:tc>
          <w:tcPr>
            <w:tcW w:w="1087" w:type="dxa"/>
            <w:shd w:val="clear" w:color="auto" w:fill="auto"/>
          </w:tcPr>
          <w:p w14:paraId="2106643D" w14:textId="4E4B2363" w:rsidR="00632F67" w:rsidRPr="00B275E2" w:rsidRDefault="00632F67"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0.0000</w:t>
            </w:r>
            <w:r w:rsidR="00062709" w:rsidRPr="00B275E2">
              <w:rPr>
                <w:rFonts w:cs="Calibri"/>
                <w:szCs w:val="18"/>
              </w:rPr>
              <w:t>20</w:t>
            </w:r>
          </w:p>
        </w:tc>
        <w:tc>
          <w:tcPr>
            <w:tcW w:w="1087" w:type="dxa"/>
            <w:tcBorders>
              <w:right w:val="single" w:sz="4" w:space="0" w:color="FFFFFF" w:themeColor="background1"/>
            </w:tcBorders>
            <w:shd w:val="clear" w:color="auto" w:fill="auto"/>
          </w:tcPr>
          <w:p w14:paraId="0D40342E" w14:textId="33995DAA" w:rsidR="00632F67" w:rsidRPr="00B275E2" w:rsidRDefault="00632F67"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0.0006</w:t>
            </w:r>
            <w:r w:rsidR="00062709" w:rsidRPr="00B275E2">
              <w:rPr>
                <w:rFonts w:cs="Calibri"/>
                <w:szCs w:val="18"/>
              </w:rPr>
              <w:t>7</w:t>
            </w:r>
          </w:p>
        </w:tc>
      </w:tr>
      <w:tr w:rsidR="00A44BB4" w:rsidRPr="00B275E2" w14:paraId="4F42C649" w14:textId="77777777" w:rsidTr="0073061B">
        <w:tc>
          <w:tcPr>
            <w:cnfStyle w:val="001000000000" w:firstRow="0" w:lastRow="0" w:firstColumn="1" w:lastColumn="0" w:oddVBand="0" w:evenVBand="0" w:oddHBand="0" w:evenHBand="0" w:firstRowFirstColumn="0" w:firstRowLastColumn="0" w:lastRowFirstColumn="0" w:lastRowLastColumn="0"/>
            <w:tcW w:w="1433" w:type="dxa"/>
            <w:vMerge/>
            <w:tcBorders>
              <w:left w:val="single" w:sz="4" w:space="0" w:color="FFFFFF" w:themeColor="background1"/>
            </w:tcBorders>
          </w:tcPr>
          <w:p w14:paraId="76664E63" w14:textId="77777777" w:rsidR="00632F67" w:rsidRPr="00B275E2" w:rsidRDefault="00632F67" w:rsidP="007F0B1E">
            <w:pPr>
              <w:pStyle w:val="TableText"/>
              <w:spacing w:before="40" w:after="40"/>
              <w:rPr>
                <w:b w:val="0"/>
                <w:szCs w:val="18"/>
              </w:rPr>
            </w:pPr>
          </w:p>
        </w:tc>
        <w:tc>
          <w:tcPr>
            <w:tcW w:w="1828" w:type="dxa"/>
            <w:noWrap/>
          </w:tcPr>
          <w:p w14:paraId="4DDA24F9" w14:textId="77777777" w:rsidR="00632F67" w:rsidRPr="00B275E2" w:rsidRDefault="00632F67"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0–1,999 LM</w:t>
            </w:r>
          </w:p>
        </w:tc>
        <w:tc>
          <w:tcPr>
            <w:tcW w:w="624" w:type="dxa"/>
            <w:noWrap/>
          </w:tcPr>
          <w:p w14:paraId="44C94BC8" w14:textId="77777777" w:rsidR="00632F67" w:rsidRPr="00B275E2" w:rsidRDefault="00632F67"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tkm</w:t>
            </w:r>
          </w:p>
        </w:tc>
        <w:tc>
          <w:tcPr>
            <w:tcW w:w="1275" w:type="dxa"/>
            <w:shd w:val="clear" w:color="auto" w:fill="D2DDE1" w:themeFill="background2"/>
            <w:noWrap/>
          </w:tcPr>
          <w:p w14:paraId="796D2400" w14:textId="3EDCDB4A" w:rsidR="00632F67" w:rsidRPr="00B275E2" w:rsidRDefault="00632F67"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B275E2">
              <w:rPr>
                <w:rFonts w:cs="Calibri"/>
                <w:color w:val="000000" w:themeColor="text1"/>
                <w:szCs w:val="18"/>
              </w:rPr>
              <w:t>0.061</w:t>
            </w:r>
          </w:p>
        </w:tc>
        <w:tc>
          <w:tcPr>
            <w:tcW w:w="1087" w:type="dxa"/>
            <w:shd w:val="clear" w:color="auto" w:fill="auto"/>
            <w:noWrap/>
          </w:tcPr>
          <w:p w14:paraId="6B0B06DD" w14:textId="39D56BA4" w:rsidR="00632F67" w:rsidRPr="00B275E2" w:rsidRDefault="00632F67"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0.060</w:t>
            </w:r>
          </w:p>
        </w:tc>
        <w:tc>
          <w:tcPr>
            <w:tcW w:w="1087" w:type="dxa"/>
            <w:shd w:val="clear" w:color="auto" w:fill="auto"/>
          </w:tcPr>
          <w:p w14:paraId="211337A9" w14:textId="1DAB0E4A" w:rsidR="00632F67" w:rsidRPr="00B275E2" w:rsidRDefault="00632F67"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0.0000</w:t>
            </w:r>
            <w:r w:rsidR="00062709" w:rsidRPr="00B275E2">
              <w:rPr>
                <w:rFonts w:cs="Calibri"/>
                <w:szCs w:val="18"/>
              </w:rPr>
              <w:t>20</w:t>
            </w:r>
          </w:p>
        </w:tc>
        <w:tc>
          <w:tcPr>
            <w:tcW w:w="1087" w:type="dxa"/>
            <w:tcBorders>
              <w:right w:val="single" w:sz="4" w:space="0" w:color="FFFFFF" w:themeColor="background1"/>
            </w:tcBorders>
            <w:shd w:val="clear" w:color="auto" w:fill="auto"/>
          </w:tcPr>
          <w:p w14:paraId="794B0D1B" w14:textId="54118F6E" w:rsidR="00632F67" w:rsidRPr="00B275E2" w:rsidRDefault="00632F67"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0.00082</w:t>
            </w:r>
          </w:p>
        </w:tc>
      </w:tr>
      <w:tr w:rsidR="00A44BB4" w:rsidRPr="00B275E2" w14:paraId="167975E1" w14:textId="77777777" w:rsidTr="00730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vMerge/>
            <w:tcBorders>
              <w:left w:val="single" w:sz="4" w:space="0" w:color="FFFFFF" w:themeColor="background1"/>
            </w:tcBorders>
          </w:tcPr>
          <w:p w14:paraId="4FBDB390" w14:textId="77777777" w:rsidR="00632F67" w:rsidRPr="00B275E2" w:rsidRDefault="00632F67" w:rsidP="007F0B1E">
            <w:pPr>
              <w:pStyle w:val="TableText"/>
              <w:spacing w:before="40" w:after="40"/>
              <w:rPr>
                <w:b w:val="0"/>
                <w:szCs w:val="18"/>
              </w:rPr>
            </w:pPr>
          </w:p>
        </w:tc>
        <w:tc>
          <w:tcPr>
            <w:tcW w:w="1828" w:type="dxa"/>
            <w:noWrap/>
          </w:tcPr>
          <w:p w14:paraId="3B9E7B5F" w14:textId="77777777" w:rsidR="00632F67" w:rsidRPr="00B275E2" w:rsidRDefault="00632F67"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Average</w:t>
            </w:r>
          </w:p>
        </w:tc>
        <w:tc>
          <w:tcPr>
            <w:tcW w:w="624" w:type="dxa"/>
            <w:noWrap/>
          </w:tcPr>
          <w:p w14:paraId="49EFC01B" w14:textId="77777777" w:rsidR="00632F67" w:rsidRPr="00B275E2" w:rsidRDefault="00632F67"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tkm</w:t>
            </w:r>
          </w:p>
        </w:tc>
        <w:tc>
          <w:tcPr>
            <w:tcW w:w="1275" w:type="dxa"/>
            <w:shd w:val="clear" w:color="auto" w:fill="D2DDE1" w:themeFill="background2"/>
            <w:noWrap/>
          </w:tcPr>
          <w:p w14:paraId="0DA9A86C" w14:textId="40B84BDF" w:rsidR="00632F67" w:rsidRPr="00B275E2" w:rsidRDefault="00632F67"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B275E2">
              <w:rPr>
                <w:rFonts w:cs="Calibri"/>
                <w:color w:val="000000" w:themeColor="text1"/>
                <w:szCs w:val="18"/>
              </w:rPr>
              <w:t>0.052</w:t>
            </w:r>
          </w:p>
        </w:tc>
        <w:tc>
          <w:tcPr>
            <w:tcW w:w="1087" w:type="dxa"/>
            <w:shd w:val="clear" w:color="auto" w:fill="auto"/>
            <w:noWrap/>
          </w:tcPr>
          <w:p w14:paraId="40AEFE31" w14:textId="79438CD7" w:rsidR="00632F67" w:rsidRPr="00B275E2" w:rsidRDefault="00632F67"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0.051</w:t>
            </w:r>
          </w:p>
        </w:tc>
        <w:tc>
          <w:tcPr>
            <w:tcW w:w="1087" w:type="dxa"/>
            <w:shd w:val="clear" w:color="auto" w:fill="auto"/>
          </w:tcPr>
          <w:p w14:paraId="145A782B" w14:textId="464FE3F4" w:rsidR="00632F67" w:rsidRPr="00B275E2" w:rsidRDefault="00632F67"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0.0000</w:t>
            </w:r>
            <w:r w:rsidR="00062709" w:rsidRPr="00B275E2">
              <w:rPr>
                <w:rFonts w:cs="Calibri"/>
                <w:szCs w:val="18"/>
              </w:rPr>
              <w:t>20</w:t>
            </w:r>
          </w:p>
        </w:tc>
        <w:tc>
          <w:tcPr>
            <w:tcW w:w="1087" w:type="dxa"/>
            <w:tcBorders>
              <w:right w:val="single" w:sz="4" w:space="0" w:color="FFFFFF" w:themeColor="background1"/>
            </w:tcBorders>
            <w:shd w:val="clear" w:color="auto" w:fill="auto"/>
          </w:tcPr>
          <w:p w14:paraId="6DC0BF58" w14:textId="36D6A811" w:rsidR="00632F67" w:rsidRPr="00B275E2" w:rsidRDefault="00632F67"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0.00069</w:t>
            </w:r>
          </w:p>
        </w:tc>
      </w:tr>
      <w:tr w:rsidR="00A44BB4" w:rsidRPr="00B275E2" w14:paraId="5506F9EF" w14:textId="77777777" w:rsidTr="0073061B">
        <w:tc>
          <w:tcPr>
            <w:cnfStyle w:val="001000000000" w:firstRow="0" w:lastRow="0" w:firstColumn="1" w:lastColumn="0" w:oddVBand="0" w:evenVBand="0" w:oddHBand="0" w:evenHBand="0" w:firstRowFirstColumn="0" w:firstRowLastColumn="0" w:lastRowFirstColumn="0" w:lastRowLastColumn="0"/>
            <w:tcW w:w="1433" w:type="dxa"/>
            <w:tcBorders>
              <w:left w:val="single" w:sz="4" w:space="0" w:color="FFFFFF" w:themeColor="background1"/>
            </w:tcBorders>
          </w:tcPr>
          <w:p w14:paraId="2858A0A7" w14:textId="77777777" w:rsidR="006B7EF6" w:rsidRPr="00B275E2" w:rsidRDefault="006B7EF6" w:rsidP="007F0B1E">
            <w:pPr>
              <w:pStyle w:val="TableText"/>
              <w:spacing w:before="40" w:after="40"/>
              <w:rPr>
                <w:szCs w:val="18"/>
              </w:rPr>
            </w:pPr>
          </w:p>
        </w:tc>
        <w:tc>
          <w:tcPr>
            <w:tcW w:w="1828" w:type="dxa"/>
            <w:noWrap/>
          </w:tcPr>
          <w:p w14:paraId="6B17F378" w14:textId="34D0FCFE" w:rsidR="006B7EF6" w:rsidRPr="00B275E2" w:rsidRDefault="006B7EF6"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Large ROPax ferry</w:t>
            </w:r>
          </w:p>
        </w:tc>
        <w:tc>
          <w:tcPr>
            <w:tcW w:w="624" w:type="dxa"/>
            <w:noWrap/>
          </w:tcPr>
          <w:p w14:paraId="10E42368" w14:textId="59AE6056" w:rsidR="006B7EF6" w:rsidRPr="00B275E2" w:rsidRDefault="006B7EF6"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275E2">
              <w:rPr>
                <w:szCs w:val="18"/>
              </w:rPr>
              <w:t>tkm</w:t>
            </w:r>
          </w:p>
        </w:tc>
        <w:tc>
          <w:tcPr>
            <w:tcW w:w="1275" w:type="dxa"/>
            <w:shd w:val="clear" w:color="auto" w:fill="D2DDE1" w:themeFill="background2"/>
            <w:noWrap/>
          </w:tcPr>
          <w:p w14:paraId="1B2EF3F9" w14:textId="0CC76F82" w:rsidR="006B7EF6" w:rsidRPr="00B275E2" w:rsidRDefault="00A00AD5"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szCs w:val="18"/>
              </w:rPr>
            </w:pPr>
            <w:r w:rsidRPr="00B275E2">
              <w:rPr>
                <w:rFonts w:cs="Calibri"/>
                <w:color w:val="000000" w:themeColor="text1"/>
                <w:szCs w:val="18"/>
              </w:rPr>
              <w:t>0.377</w:t>
            </w:r>
          </w:p>
        </w:tc>
        <w:tc>
          <w:tcPr>
            <w:tcW w:w="1087" w:type="dxa"/>
            <w:shd w:val="clear" w:color="auto" w:fill="auto"/>
            <w:noWrap/>
          </w:tcPr>
          <w:p w14:paraId="73524ADB" w14:textId="154798EE" w:rsidR="006B7EF6" w:rsidRPr="00B275E2" w:rsidRDefault="00A00AD5"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0.372</w:t>
            </w:r>
          </w:p>
        </w:tc>
        <w:tc>
          <w:tcPr>
            <w:tcW w:w="1087" w:type="dxa"/>
            <w:shd w:val="clear" w:color="auto" w:fill="auto"/>
          </w:tcPr>
          <w:p w14:paraId="370EA4A0" w14:textId="748976A9" w:rsidR="006B7EF6" w:rsidRPr="00B275E2" w:rsidRDefault="00A00AD5"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0.000110</w:t>
            </w:r>
          </w:p>
        </w:tc>
        <w:tc>
          <w:tcPr>
            <w:tcW w:w="1087" w:type="dxa"/>
            <w:tcBorders>
              <w:right w:val="single" w:sz="4" w:space="0" w:color="FFFFFF" w:themeColor="background1"/>
            </w:tcBorders>
            <w:shd w:val="clear" w:color="auto" w:fill="auto"/>
          </w:tcPr>
          <w:p w14:paraId="47CE6BB6" w14:textId="7F0BE0BB" w:rsidR="006B7EF6" w:rsidRPr="00B275E2" w:rsidRDefault="00A00AD5"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0.00506</w:t>
            </w:r>
          </w:p>
        </w:tc>
      </w:tr>
      <w:tr w:rsidR="00A44BB4" w:rsidRPr="00B275E2" w14:paraId="73B74F83" w14:textId="77777777" w:rsidTr="00730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tcBorders>
              <w:left w:val="single" w:sz="4" w:space="0" w:color="FFFFFF" w:themeColor="background1"/>
            </w:tcBorders>
          </w:tcPr>
          <w:p w14:paraId="4CABE339" w14:textId="77777777" w:rsidR="00632F67" w:rsidRPr="00B275E2" w:rsidRDefault="00632F67" w:rsidP="007F0B1E">
            <w:pPr>
              <w:pStyle w:val="TableText"/>
              <w:spacing w:before="40" w:after="40"/>
              <w:rPr>
                <w:b w:val="0"/>
                <w:szCs w:val="18"/>
              </w:rPr>
            </w:pPr>
            <w:r w:rsidRPr="00B275E2">
              <w:rPr>
                <w:b w:val="0"/>
                <w:szCs w:val="18"/>
              </w:rPr>
              <w:t>Refrigerated cargo</w:t>
            </w:r>
          </w:p>
        </w:tc>
        <w:tc>
          <w:tcPr>
            <w:tcW w:w="1828" w:type="dxa"/>
            <w:noWrap/>
          </w:tcPr>
          <w:p w14:paraId="7938DB2B" w14:textId="77777777" w:rsidR="00632F67" w:rsidRPr="00B275E2" w:rsidRDefault="00632F67"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All dwt</w:t>
            </w:r>
          </w:p>
        </w:tc>
        <w:tc>
          <w:tcPr>
            <w:tcW w:w="624" w:type="dxa"/>
            <w:noWrap/>
          </w:tcPr>
          <w:p w14:paraId="153CFC2E" w14:textId="77777777" w:rsidR="00632F67" w:rsidRPr="00B275E2" w:rsidRDefault="00632F67"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275E2">
              <w:rPr>
                <w:szCs w:val="18"/>
              </w:rPr>
              <w:t>tkm</w:t>
            </w:r>
          </w:p>
        </w:tc>
        <w:tc>
          <w:tcPr>
            <w:tcW w:w="1275" w:type="dxa"/>
            <w:shd w:val="clear" w:color="auto" w:fill="D2DDE1" w:themeFill="background2"/>
            <w:noWrap/>
          </w:tcPr>
          <w:p w14:paraId="5FA3386A" w14:textId="63FA76EE" w:rsidR="00632F67" w:rsidRPr="00B275E2" w:rsidRDefault="00632F67"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B275E2">
              <w:rPr>
                <w:rFonts w:cs="Calibri"/>
                <w:color w:val="000000" w:themeColor="text1"/>
                <w:szCs w:val="18"/>
              </w:rPr>
              <w:t>0.013</w:t>
            </w:r>
          </w:p>
        </w:tc>
        <w:tc>
          <w:tcPr>
            <w:tcW w:w="1087" w:type="dxa"/>
            <w:shd w:val="clear" w:color="auto" w:fill="auto"/>
            <w:noWrap/>
          </w:tcPr>
          <w:p w14:paraId="13B83432" w14:textId="1AB171BD" w:rsidR="00632F67" w:rsidRPr="00B275E2" w:rsidRDefault="00632F67"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0.013</w:t>
            </w:r>
          </w:p>
        </w:tc>
        <w:tc>
          <w:tcPr>
            <w:tcW w:w="1087" w:type="dxa"/>
            <w:shd w:val="clear" w:color="auto" w:fill="auto"/>
          </w:tcPr>
          <w:p w14:paraId="1CB7150B" w14:textId="01E8F4E4" w:rsidR="00632F67" w:rsidRPr="00B275E2" w:rsidRDefault="00632F67"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0.00000</w:t>
            </w:r>
            <w:r w:rsidR="006B7EF6" w:rsidRPr="00B275E2">
              <w:rPr>
                <w:rFonts w:cs="Calibri"/>
                <w:szCs w:val="18"/>
              </w:rPr>
              <w:t>0</w:t>
            </w:r>
          </w:p>
        </w:tc>
        <w:tc>
          <w:tcPr>
            <w:tcW w:w="1087" w:type="dxa"/>
            <w:tcBorders>
              <w:right w:val="single" w:sz="4" w:space="0" w:color="FFFFFF" w:themeColor="background1"/>
            </w:tcBorders>
            <w:shd w:val="clear" w:color="auto" w:fill="auto"/>
          </w:tcPr>
          <w:p w14:paraId="36AF0749" w14:textId="55C9C9CE" w:rsidR="00632F67" w:rsidRPr="00B275E2" w:rsidRDefault="00632F67"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0.00018</w:t>
            </w:r>
          </w:p>
        </w:tc>
      </w:tr>
    </w:tbl>
    <w:p w14:paraId="36B0A30B" w14:textId="4D770396" w:rsidR="00B84F69" w:rsidRPr="00B275E2" w:rsidRDefault="00B84F69" w:rsidP="00A44BB4">
      <w:pPr>
        <w:pStyle w:val="Note"/>
      </w:pPr>
      <w:bookmarkStart w:id="514" w:name="_Hlk532820350"/>
      <w:r w:rsidRPr="00B275E2">
        <w:t>Note</w:t>
      </w:r>
      <w:r w:rsidR="004A7BFA" w:rsidRPr="00B275E2">
        <w:t>: T</w:t>
      </w:r>
      <w:r w:rsidRPr="00B275E2">
        <w:t xml:space="preserve">hese numbers are rounded to three decimal places unless the number is significantly small. </w:t>
      </w:r>
      <w:r w:rsidR="00303DF3">
        <w:t>d</w:t>
      </w:r>
      <w:r w:rsidR="00C50DC9" w:rsidRPr="00B275E2">
        <w:t>wt</w:t>
      </w:r>
      <w:r w:rsidR="00DF7205" w:rsidRPr="00B275E2">
        <w:t> </w:t>
      </w:r>
      <w:r w:rsidR="00E20736" w:rsidRPr="00B275E2">
        <w:t>=</w:t>
      </w:r>
      <w:r w:rsidR="00DF7205" w:rsidRPr="00B275E2">
        <w:t> </w:t>
      </w:r>
      <w:r w:rsidR="00842E6A" w:rsidRPr="00B275E2">
        <w:t>deadweight tonnes.</w:t>
      </w:r>
      <w:r w:rsidRPr="00B275E2">
        <w:t xml:space="preserve"> </w:t>
      </w:r>
      <w:r w:rsidR="00842E6A" w:rsidRPr="00B275E2">
        <w:t xml:space="preserve">TEU </w:t>
      </w:r>
      <w:r w:rsidR="00E20736" w:rsidRPr="00B275E2">
        <w:t xml:space="preserve">= </w:t>
      </w:r>
      <w:r w:rsidR="00534350" w:rsidRPr="00B275E2">
        <w:t>twenty-foot equivalent unit.</w:t>
      </w:r>
      <w:r w:rsidR="00842E6A" w:rsidRPr="00B275E2">
        <w:t xml:space="preserve"> CEU</w:t>
      </w:r>
      <w:r w:rsidR="00E20736" w:rsidRPr="00B275E2">
        <w:t xml:space="preserve"> =</w:t>
      </w:r>
      <w:r w:rsidR="00842E6A" w:rsidRPr="00B275E2">
        <w:t xml:space="preserve"> </w:t>
      </w:r>
      <w:r w:rsidR="00534350" w:rsidRPr="00B275E2">
        <w:t>car equivalent unit.</w:t>
      </w:r>
      <w:r w:rsidR="00842E6A" w:rsidRPr="00B275E2">
        <w:t xml:space="preserve"> LM </w:t>
      </w:r>
      <w:r w:rsidR="00E20736" w:rsidRPr="00B275E2">
        <w:t>=</w:t>
      </w:r>
      <w:r w:rsidR="00BD685C" w:rsidRPr="00B275E2">
        <w:t xml:space="preserve"> </w:t>
      </w:r>
      <w:r w:rsidR="00534350" w:rsidRPr="00B275E2">
        <w:t>lanemetre</w:t>
      </w:r>
      <w:r w:rsidR="00A625ED" w:rsidRPr="00B275E2">
        <w:t>.</w:t>
      </w:r>
    </w:p>
    <w:p w14:paraId="47DF198F" w14:textId="50FCF8F3" w:rsidR="001320EE" w:rsidRPr="00B275E2" w:rsidRDefault="00301928" w:rsidP="006B7605">
      <w:pPr>
        <w:pStyle w:val="Heading3"/>
      </w:pPr>
      <w:bookmarkStart w:id="515" w:name="_Toc532904932"/>
      <w:bookmarkEnd w:id="514"/>
      <w:r w:rsidRPr="00B275E2">
        <w:lastRenderedPageBreak/>
        <w:t xml:space="preserve">GHG </w:t>
      </w:r>
      <w:r w:rsidR="001320EE" w:rsidRPr="00B275E2">
        <w:t>inventory development</w:t>
      </w:r>
      <w:bookmarkEnd w:id="515"/>
    </w:p>
    <w:p w14:paraId="54E467CD" w14:textId="7754D549" w:rsidR="001320EE" w:rsidRPr="00B275E2" w:rsidRDefault="001320EE" w:rsidP="00A44BB4">
      <w:pPr>
        <w:pStyle w:val="BodyText"/>
      </w:pPr>
      <w:r w:rsidRPr="00B275E2">
        <w:t>Users should collect data on the weight in tonnes of goods freighted</w:t>
      </w:r>
      <w:r w:rsidR="00FD32F5" w:rsidRPr="00B275E2">
        <w:t>, and</w:t>
      </w:r>
      <w:r w:rsidRPr="00B275E2">
        <w:t xml:space="preserve"> the distance travelled. </w:t>
      </w:r>
      <w:bookmarkStart w:id="516" w:name="_Hlk532894251"/>
      <w:r w:rsidRPr="00B275E2">
        <w:t>For each journey</w:t>
      </w:r>
      <w:r w:rsidR="001E65F3" w:rsidRPr="00B275E2">
        <w:t>, multiply</w:t>
      </w:r>
      <w:r w:rsidRPr="00B275E2">
        <w:t xml:space="preserve"> the total tonnes by the total km travelled</w:t>
      </w:r>
      <w:bookmarkEnd w:id="516"/>
      <w:r w:rsidRPr="00B275E2">
        <w:t xml:space="preserve">. </w:t>
      </w:r>
    </w:p>
    <w:p w14:paraId="24B5261C" w14:textId="67E860CD" w:rsidR="00AF2926" w:rsidRPr="00B275E2" w:rsidRDefault="00AF2926" w:rsidP="007F0B1E">
      <w:pPr>
        <w:pStyle w:val="BodyText"/>
        <w:keepNext/>
      </w:pPr>
      <w:bookmarkStart w:id="517" w:name="_Hlk532819631"/>
      <w:r w:rsidRPr="00B275E2">
        <w:t xml:space="preserve">Applying the equation </w:t>
      </w:r>
      <w:r w:rsidR="00E71782" w:rsidRPr="00B275E2">
        <w:t>E= Q x F</w:t>
      </w:r>
      <w:r w:rsidRPr="00B275E2">
        <w:t xml:space="preserve"> </w:t>
      </w:r>
      <w:r w:rsidR="00E71782" w:rsidRPr="00B275E2">
        <w:t>(</w:t>
      </w:r>
      <w:hyperlink w:anchor="_How_to_quantify" w:history="1">
        <w:r w:rsidR="00FE2A90" w:rsidRPr="00B275E2">
          <w:rPr>
            <w:rStyle w:val="Hyperlink"/>
          </w:rPr>
          <w:t>section 2</w:t>
        </w:r>
      </w:hyperlink>
      <w:r w:rsidR="00E71782" w:rsidRPr="00B275E2">
        <w:rPr>
          <w:rStyle w:val="Hyperlink"/>
          <w:color w:val="auto"/>
        </w:rPr>
        <w:t>)</w:t>
      </w:r>
      <w:r w:rsidRPr="00B275E2">
        <w:t>, this means:</w:t>
      </w:r>
    </w:p>
    <w:bookmarkEnd w:id="517"/>
    <w:p w14:paraId="765AF00B" w14:textId="2B5DB764" w:rsidR="00E71782" w:rsidRPr="00B275E2" w:rsidRDefault="00E71782" w:rsidP="00A44BB4">
      <w:pPr>
        <w:pStyle w:val="BodyText"/>
        <w:tabs>
          <w:tab w:val="left" w:pos="680"/>
          <w:tab w:val="left" w:pos="1134"/>
        </w:tabs>
        <w:contextualSpacing/>
      </w:pPr>
      <w:r w:rsidRPr="00B275E2">
        <w:t>E</w:t>
      </w:r>
      <w:r w:rsidRPr="00B275E2">
        <w:tab/>
        <w:t>=</w:t>
      </w:r>
      <w:r w:rsidRPr="00B275E2">
        <w:tab/>
        <w:t>emissions from the emissions source in kg CO</w:t>
      </w:r>
      <w:r w:rsidRPr="00B275E2">
        <w:rPr>
          <w:vertAlign w:val="subscript"/>
        </w:rPr>
        <w:t>2</w:t>
      </w:r>
      <w:r w:rsidRPr="00B275E2">
        <w:t>-e per year</w:t>
      </w:r>
    </w:p>
    <w:p w14:paraId="14C75768" w14:textId="02A45B9B" w:rsidR="001320EE" w:rsidRPr="00B275E2" w:rsidRDefault="001320EE" w:rsidP="00A44BB4">
      <w:pPr>
        <w:pStyle w:val="BodyText"/>
        <w:tabs>
          <w:tab w:val="left" w:pos="680"/>
          <w:tab w:val="left" w:pos="1134"/>
        </w:tabs>
        <w:contextualSpacing/>
      </w:pPr>
      <w:r w:rsidRPr="00B275E2">
        <w:t>Q</w:t>
      </w:r>
      <w:r w:rsidR="004A7BFA" w:rsidRPr="00B275E2">
        <w:tab/>
      </w:r>
      <w:r w:rsidRPr="00B275E2">
        <w:t>=</w:t>
      </w:r>
      <w:r w:rsidR="004A7BFA" w:rsidRPr="00B275E2">
        <w:tab/>
      </w:r>
      <w:r w:rsidRPr="00B275E2">
        <w:t xml:space="preserve">tonnes of freight </w:t>
      </w:r>
      <w:r w:rsidR="00AF2926" w:rsidRPr="00B275E2">
        <w:rPr>
          <w:rFonts w:cs="Calibri"/>
        </w:rPr>
        <w:t>×</w:t>
      </w:r>
      <w:r w:rsidR="00AF2926" w:rsidRPr="00B275E2">
        <w:t xml:space="preserve"> </w:t>
      </w:r>
      <w:r w:rsidRPr="00B275E2">
        <w:t>km travelled</w:t>
      </w:r>
    </w:p>
    <w:p w14:paraId="3E70E95A" w14:textId="202F6327" w:rsidR="001320EE" w:rsidRPr="00B275E2" w:rsidRDefault="004A7BFA" w:rsidP="00A44BB4">
      <w:pPr>
        <w:pStyle w:val="BodyText"/>
        <w:tabs>
          <w:tab w:val="left" w:pos="680"/>
          <w:tab w:val="left" w:pos="1134"/>
        </w:tabs>
        <w:spacing w:after="240"/>
        <w:contextualSpacing/>
      </w:pPr>
      <w:r w:rsidRPr="00B275E2">
        <w:t>F</w:t>
      </w:r>
      <w:r w:rsidRPr="00B275E2">
        <w:tab/>
        <w:t>=</w:t>
      </w:r>
      <w:r w:rsidRPr="00B275E2">
        <w:tab/>
      </w:r>
      <w:r w:rsidR="001320EE" w:rsidRPr="00B275E2">
        <w:t>appropri</w:t>
      </w:r>
      <w:r w:rsidR="001C4341" w:rsidRPr="00B275E2">
        <w:t xml:space="preserve">ate emission factors from </w:t>
      </w:r>
      <w:r w:rsidR="00307B03" w:rsidRPr="00A204F7">
        <w:t xml:space="preserve">table </w:t>
      </w:r>
      <w:r w:rsidR="006E1FA8">
        <w:t>69</w:t>
      </w:r>
      <w:r w:rsidR="001C4341" w:rsidRPr="00B275E2">
        <w:t xml:space="preserve"> or </w:t>
      </w:r>
      <w:r w:rsidR="00307B03" w:rsidRPr="00A204F7">
        <w:t xml:space="preserve">table </w:t>
      </w:r>
      <w:r w:rsidR="006E1FA8">
        <w:t>70</w:t>
      </w:r>
      <w:r w:rsidR="008B3A2D" w:rsidRPr="00B275E2">
        <w:t xml:space="preserve"> </w:t>
      </w:r>
    </w:p>
    <w:tbl>
      <w:tblPr>
        <w:tblW w:w="8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618"/>
      </w:tblGrid>
      <w:tr w:rsidR="00D9613F" w:rsidRPr="00B275E2" w:rsidDel="00D5390D" w14:paraId="737A5C1B" w14:textId="77777777" w:rsidTr="7A15BFB1">
        <w:trPr>
          <w:tblHeader/>
        </w:trPr>
        <w:tc>
          <w:tcPr>
            <w:tcW w:w="8358" w:type="dxa"/>
            <w:tcBorders>
              <w:top w:val="single" w:sz="4" w:space="0" w:color="0F7B7D"/>
              <w:left w:val="single" w:sz="4" w:space="0" w:color="0F7B7D"/>
              <w:bottom w:val="nil"/>
              <w:right w:val="single" w:sz="4" w:space="0" w:color="0F7B7D"/>
            </w:tcBorders>
            <w:shd w:val="clear" w:color="auto" w:fill="0F7B7D"/>
            <w:vAlign w:val="center"/>
          </w:tcPr>
          <w:p w14:paraId="1CE0B487" w14:textId="6897FF0F" w:rsidR="001E65F3" w:rsidRPr="00B275E2" w:rsidDel="00D5390D" w:rsidRDefault="00FD32F5" w:rsidP="00DE37D2">
            <w:pPr>
              <w:pStyle w:val="Casestudyheading"/>
            </w:pPr>
            <w:bookmarkStart w:id="518" w:name="_Hlk532819675"/>
            <w:r w:rsidRPr="00B275E2">
              <w:t xml:space="preserve">MULTIPLE FREIGHT MODES: </w:t>
            </w:r>
            <w:r w:rsidR="001E65F3" w:rsidRPr="00B275E2">
              <w:t xml:space="preserve">Example Calculation </w:t>
            </w:r>
          </w:p>
        </w:tc>
      </w:tr>
      <w:tr w:rsidR="000B7D63" w:rsidRPr="00B275E2" w14:paraId="3A92F949" w14:textId="77777777" w:rsidTr="7A15BFB1">
        <w:tc>
          <w:tcPr>
            <w:tcW w:w="8358" w:type="dxa"/>
            <w:tcBorders>
              <w:top w:val="nil"/>
              <w:left w:val="single" w:sz="4" w:space="0" w:color="D5EBE8" w:themeColor="accent3"/>
              <w:bottom w:val="single" w:sz="4" w:space="0" w:color="D5EBE8" w:themeColor="accent3"/>
              <w:right w:val="single" w:sz="4" w:space="0" w:color="D5EBE8" w:themeColor="accent3"/>
            </w:tcBorders>
            <w:shd w:val="clear" w:color="auto" w:fill="D5EBE8" w:themeFill="accent3"/>
          </w:tcPr>
          <w:p w14:paraId="797439E6" w14:textId="31C12EDC" w:rsidR="001E65F3" w:rsidRPr="00B275E2" w:rsidRDefault="001E65F3" w:rsidP="007E7513">
            <w:pPr>
              <w:pStyle w:val="Boxtext"/>
              <w:spacing w:after="80"/>
            </w:pPr>
            <w:r w:rsidRPr="00B275E2">
              <w:t xml:space="preserve">A company sends 300 kg of its product to a customer. It travels by road freight </w:t>
            </w:r>
            <w:r w:rsidR="00FC2A70" w:rsidRPr="00B275E2">
              <w:t xml:space="preserve">(All </w:t>
            </w:r>
            <w:r w:rsidR="00EA4680" w:rsidRPr="00B275E2">
              <w:t xml:space="preserve">trucks) </w:t>
            </w:r>
            <w:r w:rsidRPr="00B275E2">
              <w:t>50 km to the port, then 500 km by coastal shipping</w:t>
            </w:r>
            <w:r w:rsidR="00301510" w:rsidRPr="00B275E2">
              <w:t xml:space="preserve"> (container freight)</w:t>
            </w:r>
            <w:r w:rsidRPr="00B275E2">
              <w:t xml:space="preserve"> to another domestic port</w:t>
            </w:r>
            <w:r w:rsidR="00FD32F5" w:rsidRPr="00B275E2">
              <w:t xml:space="preserve">. It is then </w:t>
            </w:r>
            <w:r w:rsidRPr="00B275E2">
              <w:t>loaded onto rail to its destination 250 km from the port.</w:t>
            </w:r>
          </w:p>
          <w:p w14:paraId="7ADE2A5B" w14:textId="77777777" w:rsidR="001E65F3" w:rsidRPr="00B275E2" w:rsidRDefault="001E65F3" w:rsidP="007E7513">
            <w:pPr>
              <w:pStyle w:val="Boxtext"/>
              <w:spacing w:after="80"/>
            </w:pPr>
            <w:r w:rsidRPr="00B275E2">
              <w:t>Road freight emissions:</w:t>
            </w:r>
          </w:p>
          <w:p w14:paraId="380BE45D" w14:textId="54A9E566" w:rsidR="001E65F3" w:rsidRPr="00B275E2" w:rsidRDefault="001E65F3" w:rsidP="007E7513">
            <w:pPr>
              <w:pStyle w:val="Boxtext"/>
              <w:spacing w:before="20" w:after="20"/>
              <w:ind w:left="850"/>
            </w:pPr>
            <w:r w:rsidRPr="00B275E2">
              <w:t>0.3 tonnes × 50 km = 15 tkm</w:t>
            </w:r>
          </w:p>
          <w:p w14:paraId="488BE9BE" w14:textId="0FFF55A1" w:rsidR="00D9313E" w:rsidRPr="00B275E2" w:rsidRDefault="001E65F3" w:rsidP="005068FA">
            <w:pPr>
              <w:pStyle w:val="Boxtext"/>
              <w:spacing w:before="20" w:after="180"/>
              <w:ind w:left="850"/>
            </w:pPr>
            <w:r w:rsidRPr="00B275E2">
              <w:t>15 tkm × 0</w:t>
            </w:r>
            <w:r w:rsidR="00DB640A" w:rsidRPr="00B275E2">
              <w:t>.</w:t>
            </w:r>
            <w:r w:rsidR="00301510" w:rsidRPr="00B275E2">
              <w:t>13</w:t>
            </w:r>
            <w:r w:rsidR="00EA4680" w:rsidRPr="00B275E2">
              <w:t>5</w:t>
            </w:r>
            <w:r w:rsidRPr="00B275E2">
              <w:t xml:space="preserve"> =</w:t>
            </w:r>
            <w:r w:rsidR="002917F4" w:rsidRPr="00B275E2">
              <w:t xml:space="preserve"> </w:t>
            </w:r>
            <w:r w:rsidRPr="00B275E2">
              <w:t>2.</w:t>
            </w:r>
            <w:r w:rsidR="00301510" w:rsidRPr="00B275E2">
              <w:t>0</w:t>
            </w:r>
            <w:r w:rsidR="00EA4680" w:rsidRPr="00B275E2">
              <w:t>3</w:t>
            </w:r>
            <w:r w:rsidRPr="00B275E2">
              <w:t xml:space="preserve"> kg CO</w:t>
            </w:r>
            <w:r w:rsidRPr="00B275E2">
              <w:rPr>
                <w:vertAlign w:val="subscript"/>
              </w:rPr>
              <w:t>2</w:t>
            </w:r>
            <w:r w:rsidRPr="00B275E2">
              <w:t>-e</w:t>
            </w:r>
          </w:p>
        </w:tc>
      </w:tr>
      <w:tr w:rsidR="007E7513" w:rsidRPr="00B275E2" w14:paraId="2F3203BB" w14:textId="77777777" w:rsidTr="00D637BC">
        <w:tc>
          <w:tcPr>
            <w:tcW w:w="8358" w:type="dxa"/>
            <w:tcBorders>
              <w:top w:val="single" w:sz="4" w:space="0" w:color="D5EBE8" w:themeColor="accent3"/>
              <w:left w:val="single" w:sz="4" w:space="0" w:color="CFE5E5"/>
              <w:bottom w:val="single" w:sz="4" w:space="0" w:color="CFE5E5"/>
              <w:right w:val="single" w:sz="4" w:space="0" w:color="CFE5E5"/>
            </w:tcBorders>
            <w:shd w:val="clear" w:color="auto" w:fill="D5EBE8" w:themeFill="accent3"/>
          </w:tcPr>
          <w:p w14:paraId="3EFBD630" w14:textId="77777777" w:rsidR="007E7513" w:rsidRPr="00B275E2" w:rsidRDefault="007E7513" w:rsidP="005068FA">
            <w:pPr>
              <w:pStyle w:val="Boxtext"/>
              <w:keepNext/>
              <w:spacing w:after="80"/>
            </w:pPr>
            <w:r w:rsidRPr="00B275E2">
              <w:t>Coastal shipping emissions:</w:t>
            </w:r>
          </w:p>
          <w:p w14:paraId="5E54C395" w14:textId="77777777" w:rsidR="007E7513" w:rsidRPr="00B275E2" w:rsidRDefault="007E7513" w:rsidP="005068FA">
            <w:pPr>
              <w:pStyle w:val="Boxtext"/>
              <w:spacing w:before="20" w:after="20"/>
              <w:ind w:left="850"/>
            </w:pPr>
            <w:r w:rsidRPr="00B275E2">
              <w:t>0.3 tonnes × 500km = 150 tkm</w:t>
            </w:r>
          </w:p>
          <w:p w14:paraId="74E0044A" w14:textId="77777777" w:rsidR="007E7513" w:rsidRPr="00B275E2" w:rsidRDefault="007E7513" w:rsidP="005068FA">
            <w:pPr>
              <w:pStyle w:val="Boxtext"/>
              <w:spacing w:before="20" w:after="20"/>
              <w:ind w:left="850"/>
            </w:pPr>
            <w:r w:rsidRPr="00B275E2">
              <w:t xml:space="preserve">150 tkm × 0.046 = </w:t>
            </w:r>
            <w:r w:rsidRPr="00B275E2" w:rsidDel="00E53A06">
              <w:t>6.</w:t>
            </w:r>
            <w:r w:rsidRPr="00B275E2">
              <w:t>90 kg CO</w:t>
            </w:r>
            <w:r w:rsidRPr="00B275E2">
              <w:rPr>
                <w:vertAlign w:val="subscript"/>
              </w:rPr>
              <w:t>2</w:t>
            </w:r>
            <w:r w:rsidRPr="00B275E2">
              <w:t>-e</w:t>
            </w:r>
          </w:p>
          <w:p w14:paraId="511190EE" w14:textId="77777777" w:rsidR="007E7513" w:rsidRPr="00B275E2" w:rsidRDefault="007E7513" w:rsidP="005068FA">
            <w:pPr>
              <w:pStyle w:val="Boxtext"/>
              <w:spacing w:after="80"/>
            </w:pPr>
            <w:r w:rsidRPr="00B275E2">
              <w:t>Rail freight emissions:</w:t>
            </w:r>
          </w:p>
          <w:p w14:paraId="29F1D2A7" w14:textId="77777777" w:rsidR="007E7513" w:rsidRPr="00B275E2" w:rsidRDefault="007E7513" w:rsidP="005068FA">
            <w:pPr>
              <w:pStyle w:val="Boxtext"/>
              <w:spacing w:before="20" w:after="20"/>
              <w:ind w:left="850"/>
            </w:pPr>
            <w:r w:rsidRPr="00B275E2">
              <w:t xml:space="preserve">0.3 tonnes × 250km = 75 tkm </w:t>
            </w:r>
          </w:p>
          <w:p w14:paraId="3D2B227D" w14:textId="77777777" w:rsidR="007E7513" w:rsidRPr="00B275E2" w:rsidRDefault="007E7513" w:rsidP="005068FA">
            <w:pPr>
              <w:pStyle w:val="Boxtext"/>
              <w:spacing w:before="20" w:after="20"/>
              <w:ind w:left="850"/>
            </w:pPr>
            <w:r w:rsidRPr="00B275E2">
              <w:t>75 tkm × 0.027 = 2.03 kg CO</w:t>
            </w:r>
            <w:r w:rsidRPr="00B275E2">
              <w:rPr>
                <w:vertAlign w:val="subscript"/>
              </w:rPr>
              <w:t>2</w:t>
            </w:r>
            <w:r w:rsidRPr="00B275E2">
              <w:t>-e</w:t>
            </w:r>
          </w:p>
          <w:p w14:paraId="3AD6FCBD" w14:textId="77777777" w:rsidR="007E7513" w:rsidRPr="00B275E2" w:rsidRDefault="007E7513" w:rsidP="005068FA">
            <w:pPr>
              <w:pStyle w:val="Boxtext"/>
              <w:spacing w:after="80"/>
            </w:pPr>
            <w:r w:rsidRPr="00B275E2">
              <w:t>Total freight emissions:</w:t>
            </w:r>
          </w:p>
          <w:p w14:paraId="64AAA4A4" w14:textId="77777777" w:rsidR="007E7513" w:rsidRPr="00B275E2" w:rsidRDefault="007E7513" w:rsidP="005068FA">
            <w:pPr>
              <w:pStyle w:val="Boxtext"/>
              <w:spacing w:before="20" w:after="20"/>
              <w:ind w:left="850"/>
            </w:pPr>
            <w:r w:rsidRPr="00B275E2">
              <w:t>2.03 + 6.9 + 2.3 = 10.96kg CO</w:t>
            </w:r>
            <w:r w:rsidRPr="00B275E2">
              <w:rPr>
                <w:vertAlign w:val="subscript"/>
              </w:rPr>
              <w:t>2</w:t>
            </w:r>
            <w:r w:rsidRPr="00B275E2">
              <w:t>-e</w:t>
            </w:r>
          </w:p>
          <w:p w14:paraId="53E26463" w14:textId="017B1A73" w:rsidR="007E7513" w:rsidRPr="00B275E2" w:rsidRDefault="007E7513" w:rsidP="00D12F07">
            <w:pPr>
              <w:pStyle w:val="Boxtext"/>
              <w:spacing w:before="80" w:after="180"/>
            </w:pPr>
            <w:r w:rsidRPr="00B275E2">
              <w:rPr>
                <w:sz w:val="18"/>
              </w:rPr>
              <w:t>Note: Numbers may not add due to rounding.</w:t>
            </w:r>
          </w:p>
        </w:tc>
      </w:tr>
    </w:tbl>
    <w:p w14:paraId="65092BD3" w14:textId="50D01460" w:rsidR="008D3BC6" w:rsidRPr="00B275E2" w:rsidRDefault="008D3BC6" w:rsidP="006B7605">
      <w:pPr>
        <w:pStyle w:val="Heading3"/>
      </w:pPr>
      <w:bookmarkStart w:id="519" w:name="_Toc532904933"/>
      <w:bookmarkEnd w:id="518"/>
      <w:r w:rsidRPr="00B275E2">
        <w:t>Emission factor derivation methodology</w:t>
      </w:r>
      <w:bookmarkEnd w:id="519"/>
    </w:p>
    <w:p w14:paraId="5B2FC05F" w14:textId="2AC09E07" w:rsidR="00DF1402" w:rsidRDefault="00842E6A" w:rsidP="00D12F07">
      <w:pPr>
        <w:pStyle w:val="BodyText"/>
        <w:spacing w:before="100" w:after="100"/>
      </w:pPr>
      <w:r w:rsidRPr="00B275E2">
        <w:t>We based t</w:t>
      </w:r>
      <w:r w:rsidR="009274E6" w:rsidRPr="00B275E2">
        <w:t>he emission factor</w:t>
      </w:r>
      <w:r w:rsidR="0073185C" w:rsidRPr="00B275E2">
        <w:t>s</w:t>
      </w:r>
      <w:r w:rsidR="009274E6" w:rsidRPr="00B275E2">
        <w:t xml:space="preserve"> for coastal shipping on </w:t>
      </w:r>
      <w:r w:rsidR="00311F10" w:rsidRPr="00B275E2">
        <w:t xml:space="preserve">figures included in the </w:t>
      </w:r>
      <w:r w:rsidR="008B3A2D" w:rsidRPr="00B275E2">
        <w:t>MoT</w:t>
      </w:r>
      <w:r w:rsidR="009F6B37" w:rsidRPr="00B275E2">
        <w:t xml:space="preserve"> </w:t>
      </w:r>
      <w:r w:rsidR="00311F10" w:rsidRPr="00B275E2">
        <w:t>presentation</w:t>
      </w:r>
      <w:r w:rsidR="003C7D8D" w:rsidRPr="00B275E2">
        <w:t xml:space="preserve"> </w:t>
      </w:r>
      <w:r w:rsidR="00557716" w:rsidRPr="00B275E2">
        <w:t xml:space="preserve">‘Real world </w:t>
      </w:r>
      <w:r w:rsidR="001E7492" w:rsidRPr="00B275E2">
        <w:t xml:space="preserve">fuel </w:t>
      </w:r>
      <w:r w:rsidR="00557716" w:rsidRPr="00B275E2">
        <w:t>economy of heavy trucks’</w:t>
      </w:r>
      <w:r w:rsidR="000B7D63" w:rsidRPr="00B275E2">
        <w:t>,</w:t>
      </w:r>
      <w:r w:rsidR="00557716" w:rsidRPr="00B275E2">
        <w:rPr>
          <w:rStyle w:val="FootnoteReference"/>
        </w:rPr>
        <w:footnoteReference w:id="56"/>
      </w:r>
      <w:r w:rsidR="00557716" w:rsidRPr="00B275E2">
        <w:t xml:space="preserve"> </w:t>
      </w:r>
      <w:r w:rsidR="003C7D8D" w:rsidRPr="00B275E2">
        <w:t>prepared for the 2019 Transport Knowledge Conference</w:t>
      </w:r>
      <w:r w:rsidR="00557716" w:rsidRPr="00B275E2">
        <w:t>.</w:t>
      </w:r>
    </w:p>
    <w:p w14:paraId="69775214" w14:textId="7FF00606" w:rsidR="00DF1402" w:rsidRPr="00B275E2" w:rsidRDefault="00EB4389" w:rsidP="005068FA">
      <w:pPr>
        <w:pStyle w:val="Tableheading"/>
      </w:pPr>
      <w:bookmarkStart w:id="520" w:name="_Toc111536676"/>
      <w:r w:rsidRPr="00B275E2">
        <w:t xml:space="preserve">Table </w:t>
      </w:r>
      <w:r w:rsidRPr="00B275E2">
        <w:fldChar w:fldCharType="begin"/>
      </w:r>
      <w:r w:rsidRPr="00B275E2">
        <w:instrText>SEQ Table \* ARABIC</w:instrText>
      </w:r>
      <w:r w:rsidRPr="00B275E2">
        <w:fldChar w:fldCharType="separate"/>
      </w:r>
      <w:r>
        <w:rPr>
          <w:noProof/>
        </w:rPr>
        <w:t>71</w:t>
      </w:r>
      <w:r w:rsidRPr="00B275E2">
        <w:fldChar w:fldCharType="end"/>
      </w:r>
      <w:r w:rsidRPr="00B275E2">
        <w:t>:</w:t>
      </w:r>
      <w:r w:rsidRPr="00B275E2">
        <w:tab/>
      </w:r>
      <w:r w:rsidR="00DF1402" w:rsidRPr="00B275E2">
        <w:t>Coastal shipping data</w:t>
      </w:r>
      <w:bookmarkEnd w:id="520"/>
    </w:p>
    <w:tbl>
      <w:tblPr>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ook w:val="04A0" w:firstRow="1" w:lastRow="0" w:firstColumn="1" w:lastColumn="0" w:noHBand="0" w:noVBand="1"/>
      </w:tblPr>
      <w:tblGrid>
        <w:gridCol w:w="3155"/>
        <w:gridCol w:w="5350"/>
      </w:tblGrid>
      <w:tr w:rsidR="00327F9E" w:rsidRPr="00B275E2" w14:paraId="044BBFA9" w14:textId="77777777" w:rsidTr="00A86654">
        <w:tc>
          <w:tcPr>
            <w:tcW w:w="3153" w:type="dxa"/>
            <w:shd w:val="clear" w:color="auto" w:fill="1B556B" w:themeFill="text2"/>
            <w:noWrap/>
            <w:vAlign w:val="bottom"/>
            <w:hideMark/>
          </w:tcPr>
          <w:p w14:paraId="4AAF85FF" w14:textId="1C69A01A" w:rsidR="00327F9E" w:rsidRPr="00B275E2" w:rsidRDefault="00327F9E" w:rsidP="00D12F07">
            <w:pPr>
              <w:pStyle w:val="TableTextbold"/>
              <w:spacing w:before="30" w:after="30"/>
            </w:pPr>
            <w:r w:rsidRPr="00B275E2">
              <w:t>Mode</w:t>
            </w:r>
          </w:p>
        </w:tc>
        <w:tc>
          <w:tcPr>
            <w:tcW w:w="5347" w:type="dxa"/>
            <w:shd w:val="clear" w:color="auto" w:fill="1B556B" w:themeFill="text2"/>
            <w:noWrap/>
            <w:vAlign w:val="bottom"/>
            <w:hideMark/>
          </w:tcPr>
          <w:p w14:paraId="4AB45C75" w14:textId="62575FA8" w:rsidR="00327F9E" w:rsidRPr="00B275E2" w:rsidRDefault="00327F9E" w:rsidP="00D12F07">
            <w:pPr>
              <w:pStyle w:val="TableTextbold"/>
              <w:spacing w:before="30" w:after="30"/>
            </w:pPr>
            <w:r w:rsidRPr="00B275E2">
              <w:t xml:space="preserve">Typical </w:t>
            </w:r>
            <w:r w:rsidR="004C4BD6" w:rsidRPr="00B275E2">
              <w:t xml:space="preserve">kg </w:t>
            </w:r>
            <w:r w:rsidRPr="00B275E2">
              <w:t>CO</w:t>
            </w:r>
            <w:r w:rsidRPr="00B275E2">
              <w:rPr>
                <w:vertAlign w:val="subscript"/>
              </w:rPr>
              <w:t>2</w:t>
            </w:r>
            <w:r w:rsidRPr="00B275E2">
              <w:t>/tkm</w:t>
            </w:r>
          </w:p>
        </w:tc>
      </w:tr>
      <w:tr w:rsidR="00327F9E" w:rsidRPr="00B275E2" w14:paraId="50F79B93" w14:textId="77777777" w:rsidTr="00D12F07">
        <w:trPr>
          <w:trHeight w:val="300"/>
        </w:trPr>
        <w:tc>
          <w:tcPr>
            <w:tcW w:w="3153" w:type="dxa"/>
            <w:shd w:val="clear" w:color="auto" w:fill="auto"/>
            <w:noWrap/>
            <w:vAlign w:val="bottom"/>
            <w:hideMark/>
          </w:tcPr>
          <w:p w14:paraId="690470FC" w14:textId="77777777" w:rsidR="00327F9E" w:rsidRPr="00B275E2" w:rsidRDefault="00327F9E" w:rsidP="00D12F07">
            <w:pPr>
              <w:pStyle w:val="TableText"/>
              <w:spacing w:before="30" w:after="30"/>
            </w:pPr>
            <w:r w:rsidRPr="00B275E2">
              <w:t>Coastal shipping (oil products)</w:t>
            </w:r>
          </w:p>
        </w:tc>
        <w:tc>
          <w:tcPr>
            <w:tcW w:w="5347" w:type="dxa"/>
            <w:shd w:val="clear" w:color="auto" w:fill="auto"/>
            <w:noWrap/>
            <w:vAlign w:val="bottom"/>
            <w:hideMark/>
          </w:tcPr>
          <w:p w14:paraId="6A6F7565" w14:textId="1C85EBB8" w:rsidR="00327F9E" w:rsidRPr="00B275E2" w:rsidRDefault="004C4BD6" w:rsidP="00D12F07">
            <w:pPr>
              <w:pStyle w:val="TableText"/>
              <w:spacing w:before="30" w:after="30"/>
            </w:pPr>
            <w:r w:rsidRPr="00B275E2">
              <w:t>0.0</w:t>
            </w:r>
            <w:r w:rsidR="00327F9E" w:rsidRPr="00B275E2">
              <w:t>16</w:t>
            </w:r>
          </w:p>
        </w:tc>
      </w:tr>
      <w:tr w:rsidR="00327F9E" w:rsidRPr="00B275E2" w14:paraId="46B69091" w14:textId="77777777" w:rsidTr="00D12F07">
        <w:trPr>
          <w:trHeight w:val="300"/>
        </w:trPr>
        <w:tc>
          <w:tcPr>
            <w:tcW w:w="3153" w:type="dxa"/>
            <w:shd w:val="clear" w:color="auto" w:fill="auto"/>
            <w:noWrap/>
            <w:vAlign w:val="bottom"/>
            <w:hideMark/>
          </w:tcPr>
          <w:p w14:paraId="46184838" w14:textId="77777777" w:rsidR="00327F9E" w:rsidRPr="00B275E2" w:rsidRDefault="00327F9E" w:rsidP="00D12F07">
            <w:pPr>
              <w:pStyle w:val="TableText"/>
              <w:spacing w:before="30" w:after="30"/>
            </w:pPr>
            <w:r w:rsidRPr="00B275E2">
              <w:t>Coastal shipping (other bulk)</w:t>
            </w:r>
          </w:p>
        </w:tc>
        <w:tc>
          <w:tcPr>
            <w:tcW w:w="5347" w:type="dxa"/>
            <w:shd w:val="clear" w:color="auto" w:fill="auto"/>
            <w:noWrap/>
            <w:vAlign w:val="bottom"/>
            <w:hideMark/>
          </w:tcPr>
          <w:p w14:paraId="2C9762D0" w14:textId="26A1442F" w:rsidR="00327F9E" w:rsidRPr="00B275E2" w:rsidRDefault="004C4BD6" w:rsidP="00D12F07">
            <w:pPr>
              <w:pStyle w:val="TableText"/>
              <w:spacing w:before="30" w:after="30"/>
            </w:pPr>
            <w:r w:rsidRPr="00B275E2">
              <w:t>0.0</w:t>
            </w:r>
            <w:r w:rsidR="00327F9E" w:rsidRPr="00B275E2">
              <w:t>30</w:t>
            </w:r>
          </w:p>
        </w:tc>
      </w:tr>
      <w:tr w:rsidR="00327F9E" w:rsidRPr="00B275E2" w14:paraId="0D25C878" w14:textId="77777777" w:rsidTr="00D12F07">
        <w:trPr>
          <w:trHeight w:val="300"/>
        </w:trPr>
        <w:tc>
          <w:tcPr>
            <w:tcW w:w="3153" w:type="dxa"/>
            <w:shd w:val="clear" w:color="auto" w:fill="auto"/>
            <w:noWrap/>
            <w:vAlign w:val="bottom"/>
            <w:hideMark/>
          </w:tcPr>
          <w:p w14:paraId="64D4DDB2" w14:textId="77777777" w:rsidR="00327F9E" w:rsidRPr="00B275E2" w:rsidRDefault="00327F9E" w:rsidP="00D12F07">
            <w:pPr>
              <w:pStyle w:val="TableText"/>
              <w:spacing w:before="30" w:after="30"/>
            </w:pPr>
            <w:r w:rsidRPr="00B275E2">
              <w:t>Coastal shipping (container freight)</w:t>
            </w:r>
          </w:p>
        </w:tc>
        <w:tc>
          <w:tcPr>
            <w:tcW w:w="5347" w:type="dxa"/>
            <w:shd w:val="clear" w:color="auto" w:fill="auto"/>
            <w:noWrap/>
            <w:vAlign w:val="bottom"/>
            <w:hideMark/>
          </w:tcPr>
          <w:p w14:paraId="5549D965" w14:textId="1325E388" w:rsidR="00327F9E" w:rsidRPr="00B275E2" w:rsidRDefault="004C4BD6" w:rsidP="00D12F07">
            <w:pPr>
              <w:pStyle w:val="TableText"/>
              <w:spacing w:before="30" w:after="30"/>
            </w:pPr>
            <w:r w:rsidRPr="00B275E2">
              <w:t>0.0</w:t>
            </w:r>
            <w:r w:rsidR="00327F9E" w:rsidRPr="00B275E2">
              <w:t>46</w:t>
            </w:r>
          </w:p>
        </w:tc>
      </w:tr>
    </w:tbl>
    <w:p w14:paraId="65092BDB" w14:textId="4E0A4CDD" w:rsidR="00937F15" w:rsidRPr="00B275E2" w:rsidRDefault="00842E6A" w:rsidP="00D12F07">
      <w:pPr>
        <w:pStyle w:val="BodyText"/>
        <w:spacing w:before="240" w:after="100"/>
      </w:pPr>
      <w:r w:rsidRPr="00B275E2">
        <w:t>We assumed t</w:t>
      </w:r>
      <w:r w:rsidR="00937F15" w:rsidRPr="00B275E2">
        <w:t xml:space="preserve">ransport fuel for coastal shipping is </w:t>
      </w:r>
      <w:r w:rsidR="0073185C" w:rsidRPr="00B275E2">
        <w:t>heavy fuel oil</w:t>
      </w:r>
      <w:r w:rsidR="00FD32F5" w:rsidRPr="00B275E2">
        <w:t>,</w:t>
      </w:r>
      <w:r w:rsidR="0073185C" w:rsidRPr="00B275E2">
        <w:t xml:space="preserve"> </w:t>
      </w:r>
      <w:r w:rsidR="00937F15" w:rsidRPr="00B275E2">
        <w:t>and therefore</w:t>
      </w:r>
      <w:r w:rsidRPr="00B275E2">
        <w:t xml:space="preserve"> applied</w:t>
      </w:r>
      <w:r w:rsidR="00937F15" w:rsidRPr="00B275E2">
        <w:t xml:space="preserve"> the ratio of </w:t>
      </w:r>
      <w:r w:rsidR="008D6410" w:rsidRPr="00B275E2">
        <w:t>carbon dioxide</w:t>
      </w:r>
      <w:r w:rsidR="009E41DD" w:rsidRPr="00B275E2">
        <w:t>,</w:t>
      </w:r>
      <w:r w:rsidR="00937F15" w:rsidRPr="00B275E2">
        <w:t xml:space="preserve"> </w:t>
      </w:r>
      <w:r w:rsidR="008D6410" w:rsidRPr="00B275E2">
        <w:t>methane</w:t>
      </w:r>
      <w:r w:rsidR="009E41DD" w:rsidRPr="00B275E2">
        <w:t xml:space="preserve"> and</w:t>
      </w:r>
      <w:r w:rsidR="00937F15" w:rsidRPr="00B275E2">
        <w:t xml:space="preserve"> </w:t>
      </w:r>
      <w:r w:rsidR="008D6410" w:rsidRPr="00B275E2">
        <w:t>nitrous oxide</w:t>
      </w:r>
      <w:r w:rsidR="00937F15" w:rsidRPr="00B275E2">
        <w:t xml:space="preserve"> to provide a breakdown by gas</w:t>
      </w:r>
      <w:r w:rsidR="0005038E" w:rsidRPr="00B275E2">
        <w:t>. Table 7</w:t>
      </w:r>
      <w:r w:rsidR="006E1FA8">
        <w:t>1</w:t>
      </w:r>
      <w:r w:rsidR="0005038E" w:rsidRPr="00B275E2">
        <w:t xml:space="preserve"> con</w:t>
      </w:r>
      <w:r w:rsidRPr="00B275E2">
        <w:rPr>
          <w:rStyle w:val="BodyTextChar"/>
        </w:rPr>
        <w:t>tains t</w:t>
      </w:r>
      <w:r w:rsidR="00937F15" w:rsidRPr="00B275E2">
        <w:rPr>
          <w:rStyle w:val="BodyTextChar"/>
        </w:rPr>
        <w:t>he</w:t>
      </w:r>
      <w:r w:rsidR="00937F15" w:rsidRPr="00B275E2">
        <w:t xml:space="preserve"> ratio.</w:t>
      </w:r>
    </w:p>
    <w:p w14:paraId="65092BDC" w14:textId="5C8F71C1" w:rsidR="00BB14F4" w:rsidRPr="00B275E2" w:rsidRDefault="009274E6" w:rsidP="00D12F07">
      <w:pPr>
        <w:pStyle w:val="BodyText"/>
        <w:spacing w:after="100"/>
      </w:pPr>
      <w:r w:rsidRPr="00B275E2">
        <w:lastRenderedPageBreak/>
        <w:t xml:space="preserve">For </w:t>
      </w:r>
      <w:r w:rsidR="00FD32F5" w:rsidRPr="00B275E2">
        <w:t>i</w:t>
      </w:r>
      <w:r w:rsidRPr="00B275E2">
        <w:t>nternational shipping</w:t>
      </w:r>
      <w:r w:rsidR="00842E6A" w:rsidRPr="00B275E2">
        <w:t>, we used</w:t>
      </w:r>
      <w:r w:rsidRPr="00B275E2">
        <w:t xml:space="preserve"> </w:t>
      </w:r>
      <w:r w:rsidR="00BB14F4" w:rsidRPr="00B275E2">
        <w:t>the Freight Information Gathering System</w:t>
      </w:r>
      <w:r w:rsidR="000D0FE2" w:rsidRPr="00B275E2">
        <w:t xml:space="preserve"> (FIGS)</w:t>
      </w:r>
      <w:r w:rsidR="00BB14F4" w:rsidRPr="00B275E2">
        <w:rPr>
          <w:rStyle w:val="FootnoteReference"/>
        </w:rPr>
        <w:footnoteReference w:id="57"/>
      </w:r>
      <w:r w:rsidR="00BB14F4" w:rsidRPr="00B275E2">
        <w:t xml:space="preserve"> </w:t>
      </w:r>
      <w:r w:rsidR="00DC0A6D" w:rsidRPr="00B275E2">
        <w:t xml:space="preserve">to identify which </w:t>
      </w:r>
      <w:r w:rsidR="00420B61" w:rsidRPr="00B275E2">
        <w:t xml:space="preserve">types of </w:t>
      </w:r>
      <w:r w:rsidR="00DC0A6D" w:rsidRPr="00B275E2">
        <w:t>ships visit New Zealand</w:t>
      </w:r>
      <w:r w:rsidR="00FD32F5" w:rsidRPr="00B275E2">
        <w:t>,</w:t>
      </w:r>
      <w:r w:rsidR="00DC0A6D" w:rsidRPr="00B275E2">
        <w:t xml:space="preserve"> and </w:t>
      </w:r>
      <w:r w:rsidR="00BB14F4" w:rsidRPr="00B275E2">
        <w:t>the</w:t>
      </w:r>
      <w:r w:rsidR="00420B61" w:rsidRPr="00B275E2">
        <w:t>i</w:t>
      </w:r>
      <w:r w:rsidR="00BB14F4" w:rsidRPr="00B275E2">
        <w:t xml:space="preserve">r average sizes. </w:t>
      </w:r>
      <w:r w:rsidR="00842E6A" w:rsidRPr="00B275E2">
        <w:t>We then adopted t</w:t>
      </w:r>
      <w:r w:rsidR="00BB14F4" w:rsidRPr="00B275E2">
        <w:t xml:space="preserve">he </w:t>
      </w:r>
      <w:hyperlink r:id="rId93" w:history="1">
        <w:r w:rsidR="00842E6A" w:rsidRPr="00B275E2">
          <w:rPr>
            <w:rStyle w:val="Hyperlink"/>
            <w:rFonts w:eastAsia="Times New Roman" w:cs="Times New Roman"/>
          </w:rPr>
          <w:t>UK BEIS emission factors</w:t>
        </w:r>
      </w:hyperlink>
      <w:r w:rsidR="00BB14F4" w:rsidRPr="00B275E2">
        <w:t xml:space="preserve"> for the relevant ships and </w:t>
      </w:r>
      <w:r w:rsidR="00842E6A" w:rsidRPr="00B275E2">
        <w:t xml:space="preserve">adapted </w:t>
      </w:r>
      <w:r w:rsidR="00BB14F4" w:rsidRPr="00B275E2">
        <w:t xml:space="preserve">the average emission factors to reflect ship </w:t>
      </w:r>
      <w:r w:rsidRPr="00B275E2">
        <w:t xml:space="preserve">sizes </w:t>
      </w:r>
      <w:r w:rsidR="00BB14F4" w:rsidRPr="00B275E2">
        <w:t>visiting New Zealand.</w:t>
      </w:r>
    </w:p>
    <w:p w14:paraId="65092BDD" w14:textId="5FC92672" w:rsidR="00BF353D" w:rsidRPr="00B275E2" w:rsidRDefault="00842E6A" w:rsidP="00D12F07">
      <w:pPr>
        <w:pStyle w:val="BodyText"/>
        <w:keepNext/>
        <w:spacing w:after="100"/>
      </w:pPr>
      <w:r w:rsidRPr="00B275E2">
        <w:t>We identified t</w:t>
      </w:r>
      <w:r w:rsidR="00564255" w:rsidRPr="00B275E2">
        <w:t>he following shipping types as visiting New Zealand:</w:t>
      </w:r>
    </w:p>
    <w:p w14:paraId="65092BDE" w14:textId="23530799" w:rsidR="00564255" w:rsidRPr="00B275E2" w:rsidRDefault="009E1FFB" w:rsidP="00C24B73">
      <w:pPr>
        <w:pStyle w:val="Bullet"/>
        <w:numPr>
          <w:ilvl w:val="0"/>
          <w:numId w:val="49"/>
        </w:numPr>
        <w:spacing w:after="100"/>
      </w:pPr>
      <w:r w:rsidRPr="00B275E2">
        <w:t>c</w:t>
      </w:r>
      <w:r w:rsidR="00564255" w:rsidRPr="00B275E2">
        <w:t>ontainer ships</w:t>
      </w:r>
    </w:p>
    <w:p w14:paraId="65092BDF" w14:textId="7F2FA71A" w:rsidR="00564255" w:rsidRPr="00B275E2" w:rsidRDefault="009E1FFB" w:rsidP="00C24B73">
      <w:pPr>
        <w:pStyle w:val="Bullet"/>
        <w:numPr>
          <w:ilvl w:val="0"/>
          <w:numId w:val="49"/>
        </w:numPr>
        <w:spacing w:after="100"/>
      </w:pPr>
      <w:r w:rsidRPr="00B275E2">
        <w:t>r</w:t>
      </w:r>
      <w:r w:rsidR="00564255" w:rsidRPr="00B275E2">
        <w:t>eefer</w:t>
      </w:r>
      <w:r w:rsidR="00BE6C79" w:rsidRPr="00B275E2">
        <w:t xml:space="preserve"> (</w:t>
      </w:r>
      <w:r w:rsidR="00FD32F5" w:rsidRPr="00B275E2">
        <w:t>r</w:t>
      </w:r>
      <w:r w:rsidR="00BE6C79" w:rsidRPr="00B275E2">
        <w:t>efrigerated cargo ship)</w:t>
      </w:r>
    </w:p>
    <w:p w14:paraId="65092BE0" w14:textId="54DA34E3" w:rsidR="00564255" w:rsidRPr="00B275E2" w:rsidRDefault="009E1FFB" w:rsidP="00C24B73">
      <w:pPr>
        <w:pStyle w:val="Bullet"/>
        <w:numPr>
          <w:ilvl w:val="0"/>
          <w:numId w:val="49"/>
        </w:numPr>
        <w:spacing w:after="100"/>
      </w:pPr>
      <w:r w:rsidRPr="00B275E2">
        <w:t>b</w:t>
      </w:r>
      <w:r w:rsidR="00564255" w:rsidRPr="00B275E2">
        <w:t>ulk carrier</w:t>
      </w:r>
    </w:p>
    <w:p w14:paraId="65092BE1" w14:textId="3BB67E59" w:rsidR="00564255" w:rsidRPr="00B275E2" w:rsidRDefault="2836268F" w:rsidP="00C24B73">
      <w:pPr>
        <w:pStyle w:val="Bullet"/>
        <w:numPr>
          <w:ilvl w:val="0"/>
          <w:numId w:val="49"/>
        </w:numPr>
        <w:spacing w:after="100"/>
      </w:pPr>
      <w:r>
        <w:t>Ro</w:t>
      </w:r>
      <w:r w:rsidR="33AC75DA">
        <w:t>Ro (roll-on, roll-off)</w:t>
      </w:r>
    </w:p>
    <w:p w14:paraId="65092BE2" w14:textId="296BF34A" w:rsidR="00564255" w:rsidRPr="00B275E2" w:rsidRDefault="009E1FFB" w:rsidP="00C24B73">
      <w:pPr>
        <w:pStyle w:val="Bullet"/>
        <w:numPr>
          <w:ilvl w:val="0"/>
          <w:numId w:val="49"/>
        </w:numPr>
        <w:spacing w:after="100"/>
      </w:pPr>
      <w:r w:rsidRPr="00B275E2">
        <w:t>o</w:t>
      </w:r>
      <w:r w:rsidR="00564255" w:rsidRPr="00B275E2">
        <w:t>il/gas tanker</w:t>
      </w:r>
    </w:p>
    <w:p w14:paraId="65092BE3" w14:textId="17938F4C" w:rsidR="00564255" w:rsidRPr="00B275E2" w:rsidRDefault="009E1FFB" w:rsidP="00C24B73">
      <w:pPr>
        <w:pStyle w:val="Bullet"/>
        <w:numPr>
          <w:ilvl w:val="0"/>
          <w:numId w:val="49"/>
        </w:numPr>
        <w:spacing w:after="100"/>
      </w:pPr>
      <w:r w:rsidRPr="00B275E2">
        <w:t>v</w:t>
      </w:r>
      <w:r w:rsidR="00564255" w:rsidRPr="00B275E2">
        <w:t>ehicle carrier</w:t>
      </w:r>
    </w:p>
    <w:p w14:paraId="65092BE4" w14:textId="3C564637" w:rsidR="00564255" w:rsidRPr="00B275E2" w:rsidRDefault="009E1FFB" w:rsidP="00C24B73">
      <w:pPr>
        <w:pStyle w:val="Bullet"/>
        <w:numPr>
          <w:ilvl w:val="0"/>
          <w:numId w:val="49"/>
        </w:numPr>
      </w:pPr>
      <w:r w:rsidRPr="00B275E2">
        <w:t>g</w:t>
      </w:r>
      <w:r w:rsidR="00564255" w:rsidRPr="00B275E2">
        <w:t>eneral cargo</w:t>
      </w:r>
      <w:r w:rsidRPr="00B275E2">
        <w:t>.</w:t>
      </w:r>
    </w:p>
    <w:p w14:paraId="65092BE5" w14:textId="668884D2" w:rsidR="00101FB7" w:rsidRPr="00B275E2" w:rsidRDefault="00842E6A" w:rsidP="007F0B1E">
      <w:pPr>
        <w:pStyle w:val="BodyText"/>
      </w:pPr>
      <w:r w:rsidRPr="00B275E2">
        <w:t>We used</w:t>
      </w:r>
      <w:r w:rsidR="00101FB7" w:rsidRPr="00B275E2">
        <w:t xml:space="preserve"> </w:t>
      </w:r>
      <w:r w:rsidR="00D837FF" w:rsidRPr="00B275E2">
        <w:t>MoT’s</w:t>
      </w:r>
      <w:r w:rsidR="0017606D" w:rsidRPr="00B275E2">
        <w:t xml:space="preserve"> </w:t>
      </w:r>
      <w:r w:rsidR="00101FB7" w:rsidRPr="00B275E2">
        <w:t>FIGS</w:t>
      </w:r>
      <w:r w:rsidR="00101FB7" w:rsidRPr="00B275E2">
        <w:rPr>
          <w:rStyle w:val="FootnoteReference"/>
        </w:rPr>
        <w:footnoteReference w:id="58"/>
      </w:r>
      <w:r w:rsidR="00101FB7" w:rsidRPr="00B275E2">
        <w:t xml:space="preserve"> to find out the average sizes of ships visiting New Zealand. </w:t>
      </w:r>
      <w:r w:rsidR="00534350" w:rsidRPr="00B275E2">
        <w:t>Ships are measured in deadweight tonnes (dwt), twenty-foot equivalent unit (TEU), car equivalent unit (CEU) or lanemetre (LM).</w:t>
      </w:r>
    </w:p>
    <w:p w14:paraId="65092BE6" w14:textId="229C7823" w:rsidR="00101FB7" w:rsidRPr="00B275E2" w:rsidRDefault="00101FB7" w:rsidP="00C24B73">
      <w:pPr>
        <w:pStyle w:val="Bullet"/>
        <w:numPr>
          <w:ilvl w:val="0"/>
          <w:numId w:val="50"/>
        </w:numPr>
      </w:pPr>
      <w:r w:rsidRPr="00B275E2">
        <w:t>Bulk carrier is 36,900 dwt and therefore in the 35,000–59,999 dwt category</w:t>
      </w:r>
      <w:r w:rsidR="00FD32F5" w:rsidRPr="00B275E2">
        <w:t>.</w:t>
      </w:r>
    </w:p>
    <w:p w14:paraId="65092BE7" w14:textId="67B9A83C" w:rsidR="00101FB7" w:rsidRPr="00B275E2" w:rsidRDefault="00101FB7" w:rsidP="00C24B73">
      <w:pPr>
        <w:pStyle w:val="Bullet"/>
        <w:numPr>
          <w:ilvl w:val="0"/>
          <w:numId w:val="50"/>
        </w:numPr>
      </w:pPr>
      <w:r w:rsidRPr="00B275E2">
        <w:t>General cargo is 15,800 dwt and therefore in the 10,000+ dwt category</w:t>
      </w:r>
      <w:r w:rsidR="00FD32F5" w:rsidRPr="00B275E2">
        <w:t>.</w:t>
      </w:r>
    </w:p>
    <w:p w14:paraId="65092BE8" w14:textId="247A6652" w:rsidR="00101FB7" w:rsidRPr="00B275E2" w:rsidRDefault="00101FB7" w:rsidP="00C24B73">
      <w:pPr>
        <w:pStyle w:val="Bullet"/>
        <w:numPr>
          <w:ilvl w:val="0"/>
          <w:numId w:val="50"/>
        </w:numPr>
      </w:pPr>
      <w:r w:rsidRPr="00B275E2">
        <w:t>Container ship is</w:t>
      </w:r>
      <w:r w:rsidR="00565826" w:rsidRPr="00B275E2">
        <w:t>3194</w:t>
      </w:r>
      <w:r w:rsidR="00150BEF" w:rsidRPr="00B275E2">
        <w:t xml:space="preserve"> TEU</w:t>
      </w:r>
      <w:r w:rsidR="00534350" w:rsidRPr="00B275E2">
        <w:t xml:space="preserve"> </w:t>
      </w:r>
      <w:r w:rsidRPr="00B275E2">
        <w:t xml:space="preserve">and therefore in the </w:t>
      </w:r>
      <w:r w:rsidR="00DC2005" w:rsidRPr="00B275E2">
        <w:t>3</w:t>
      </w:r>
      <w:r w:rsidR="00150BEF" w:rsidRPr="00B275E2">
        <w:t>000–</w:t>
      </w:r>
      <w:r w:rsidR="00DC2005" w:rsidRPr="00B275E2">
        <w:t>4</w:t>
      </w:r>
      <w:r w:rsidR="00150BEF" w:rsidRPr="00B275E2">
        <w:t>999 TEU category</w:t>
      </w:r>
      <w:r w:rsidR="00FD32F5" w:rsidRPr="00B275E2">
        <w:t>.</w:t>
      </w:r>
    </w:p>
    <w:p w14:paraId="65092BE9" w14:textId="0D631881" w:rsidR="00150BEF" w:rsidRPr="00B275E2" w:rsidRDefault="00150BEF" w:rsidP="00C24B73">
      <w:pPr>
        <w:pStyle w:val="Bullet"/>
        <w:numPr>
          <w:ilvl w:val="0"/>
          <w:numId w:val="50"/>
        </w:numPr>
      </w:pPr>
      <w:r w:rsidRPr="00B275E2">
        <w:t xml:space="preserve">Vehicle </w:t>
      </w:r>
      <w:r w:rsidR="00BB14F4" w:rsidRPr="00B275E2">
        <w:t>carrier (transport)</w:t>
      </w:r>
      <w:r w:rsidRPr="00B275E2">
        <w:t xml:space="preserve"> </w:t>
      </w:r>
      <w:r w:rsidR="00BB14F4" w:rsidRPr="00B275E2">
        <w:t>is unknown and therefore the same as the UK average</w:t>
      </w:r>
      <w:r w:rsidR="00FD32F5" w:rsidRPr="00B275E2">
        <w:t>.</w:t>
      </w:r>
    </w:p>
    <w:p w14:paraId="65092BEA" w14:textId="6E4027A2" w:rsidR="00BB14F4" w:rsidRPr="00B275E2" w:rsidRDefault="0A37BE76" w:rsidP="00C24B73">
      <w:pPr>
        <w:pStyle w:val="Bullet"/>
        <w:numPr>
          <w:ilvl w:val="0"/>
          <w:numId w:val="50"/>
        </w:numPr>
      </w:pPr>
      <w:r>
        <w:t>RoRo ferry is unknown and therefore the same as the UK average</w:t>
      </w:r>
      <w:r w:rsidR="173F7FBF">
        <w:t>.</w:t>
      </w:r>
    </w:p>
    <w:p w14:paraId="65092BEB" w14:textId="4DF932AB" w:rsidR="00BB14F4" w:rsidRPr="00B275E2" w:rsidRDefault="00BB14F4" w:rsidP="00C24B73">
      <w:pPr>
        <w:pStyle w:val="Bullet"/>
        <w:numPr>
          <w:ilvl w:val="0"/>
          <w:numId w:val="50"/>
        </w:numPr>
      </w:pPr>
      <w:r w:rsidRPr="00B275E2">
        <w:t>As there is only one emission factor for all refrigerated cargo an average was not necessary</w:t>
      </w:r>
      <w:r w:rsidR="00FD32F5" w:rsidRPr="00B275E2">
        <w:t>.</w:t>
      </w:r>
    </w:p>
    <w:p w14:paraId="65092BEC" w14:textId="7C339D30" w:rsidR="00101FB7" w:rsidRPr="00B275E2" w:rsidRDefault="009274E6" w:rsidP="007F0B1E">
      <w:pPr>
        <w:pStyle w:val="BodyText"/>
      </w:pPr>
      <w:r w:rsidRPr="00B275E2">
        <w:t xml:space="preserve">Emission factors for these have been adopted from the </w:t>
      </w:r>
      <w:hyperlink r:id="rId94" w:history="1">
        <w:r w:rsidRPr="00B275E2">
          <w:rPr>
            <w:rStyle w:val="Hyperlink"/>
          </w:rPr>
          <w:t>UK BEIS 20</w:t>
        </w:r>
        <w:r w:rsidR="004A7B4C" w:rsidRPr="00B275E2">
          <w:rPr>
            <w:rStyle w:val="Hyperlink"/>
          </w:rPr>
          <w:t>2</w:t>
        </w:r>
        <w:r w:rsidR="00083DC3" w:rsidRPr="00B275E2">
          <w:rPr>
            <w:rStyle w:val="Hyperlink"/>
          </w:rPr>
          <w:t>1</w:t>
        </w:r>
        <w:r w:rsidRPr="00B275E2">
          <w:rPr>
            <w:rStyle w:val="Hyperlink"/>
          </w:rPr>
          <w:t xml:space="preserve"> Guidance</w:t>
        </w:r>
      </w:hyperlink>
      <w:r w:rsidR="00D837FF" w:rsidRPr="00B275E2">
        <w:rPr>
          <w:color w:val="000000" w:themeColor="text1"/>
        </w:rPr>
        <w:t>.</w:t>
      </w:r>
      <w:r w:rsidRPr="00B275E2">
        <w:rPr>
          <w:rStyle w:val="FootnoteReference"/>
          <w:color w:val="000000" w:themeColor="text1"/>
        </w:rPr>
        <w:footnoteReference w:id="59"/>
      </w:r>
      <w:r w:rsidRPr="00B275E2">
        <w:rPr>
          <w:color w:val="000000" w:themeColor="text1"/>
        </w:rPr>
        <w:t xml:space="preserve"> </w:t>
      </w:r>
      <w:r w:rsidR="00371807">
        <w:t>R</w:t>
      </w:r>
      <w:r w:rsidRPr="00B275E2">
        <w:t>efer to that document for details on the methodology.</w:t>
      </w:r>
    </w:p>
    <w:p w14:paraId="65092BED" w14:textId="5BC80FE7" w:rsidR="0054105F" w:rsidRPr="00B275E2" w:rsidRDefault="500DFA64" w:rsidP="006B7605">
      <w:pPr>
        <w:pStyle w:val="Heading3"/>
      </w:pPr>
      <w:bookmarkStart w:id="521" w:name="_Toc532904934"/>
      <w:r>
        <w:t>Assumptions, limitations and uncertainties</w:t>
      </w:r>
      <w:bookmarkEnd w:id="521"/>
    </w:p>
    <w:p w14:paraId="65092BEE" w14:textId="5E345702" w:rsidR="0054105F" w:rsidRPr="00B275E2" w:rsidRDefault="00534350" w:rsidP="007F0B1E">
      <w:pPr>
        <w:pStyle w:val="BodyText"/>
      </w:pPr>
      <w:r w:rsidRPr="00B275E2">
        <w:t>We assumed</w:t>
      </w:r>
      <w:r w:rsidR="00937F15" w:rsidRPr="00B275E2">
        <w:t xml:space="preserve"> the New Zealand coastal shipping fleet is similar to that in the </w:t>
      </w:r>
      <w:hyperlink r:id="rId95" w:history="1">
        <w:r w:rsidR="00937F15" w:rsidRPr="00B275E2">
          <w:rPr>
            <w:rStyle w:val="Hyperlink"/>
            <w:iCs/>
          </w:rPr>
          <w:t>STREAM Freight Handbook</w:t>
        </w:r>
      </w:hyperlink>
      <w:r w:rsidR="00937F15" w:rsidRPr="00B275E2">
        <w:t>.</w:t>
      </w:r>
      <w:r w:rsidR="00283C69" w:rsidRPr="00B275E2">
        <w:t xml:space="preserve"> </w:t>
      </w:r>
      <w:r w:rsidR="003A535C" w:rsidRPr="00B275E2">
        <w:t>These figures have a high degree of uncertainty as they are based on international data for costal shipping</w:t>
      </w:r>
      <w:r w:rsidR="00284EC1" w:rsidRPr="00B275E2">
        <w:t>.</w:t>
      </w:r>
    </w:p>
    <w:p w14:paraId="2A625F55" w14:textId="2ABFDDA5" w:rsidR="0073567F" w:rsidRPr="00B275E2" w:rsidRDefault="00534350" w:rsidP="007F0B1E">
      <w:pPr>
        <w:pStyle w:val="BodyText"/>
      </w:pPr>
      <w:r w:rsidRPr="00B275E2">
        <w:t>We carried over t</w:t>
      </w:r>
      <w:r w:rsidR="00937F15" w:rsidRPr="00B275E2">
        <w:t xml:space="preserve">he assumptions for the international shipping emission factors </w:t>
      </w:r>
      <w:r w:rsidRPr="00B275E2">
        <w:t>from</w:t>
      </w:r>
      <w:r w:rsidR="00937F15" w:rsidRPr="00B275E2">
        <w:t xml:space="preserve"> the </w:t>
      </w:r>
      <w:hyperlink r:id="rId96" w:tgtFrame="_blank" w:history="1">
        <w:r w:rsidR="00E17533" w:rsidRPr="00B275E2">
          <w:rPr>
            <w:rStyle w:val="Hyperlink"/>
            <w:iCs/>
          </w:rPr>
          <w:t>2021 UK BEIS Methodology Paper</w:t>
        </w:r>
      </w:hyperlink>
      <w:r w:rsidR="00371807">
        <w:rPr>
          <w:rStyle w:val="Hyperlink"/>
          <w:iCs/>
        </w:rPr>
        <w:t xml:space="preserve"> emission factors</w:t>
      </w:r>
      <w:r w:rsidR="0005038E" w:rsidRPr="00B275E2">
        <w:t>.</w:t>
      </w:r>
      <w:bookmarkStart w:id="522" w:name="_Toc529960715"/>
      <w:bookmarkStart w:id="523" w:name="_Toc532904935"/>
      <w:bookmarkStart w:id="524" w:name="_Toc600593"/>
      <w:bookmarkStart w:id="525" w:name="_Ref55220099"/>
    </w:p>
    <w:p w14:paraId="2581A705" w14:textId="77777777" w:rsidR="00C129AC" w:rsidRPr="00B275E2" w:rsidRDefault="00C129AC" w:rsidP="007F0B1E">
      <w:pPr>
        <w:pStyle w:val="BodyText"/>
      </w:pPr>
      <w:bookmarkStart w:id="526" w:name="_Water_supply_and"/>
      <w:bookmarkEnd w:id="526"/>
      <w:r w:rsidRPr="00B275E2">
        <w:br w:type="page"/>
      </w:r>
    </w:p>
    <w:p w14:paraId="72C34970" w14:textId="7A518C56" w:rsidR="002177EC" w:rsidRPr="00B275E2" w:rsidRDefault="002177EC" w:rsidP="00C24B73">
      <w:pPr>
        <w:pStyle w:val="Heading1"/>
        <w:numPr>
          <w:ilvl w:val="0"/>
          <w:numId w:val="15"/>
        </w:numPr>
      </w:pPr>
      <w:bookmarkStart w:id="527" w:name="_Toc111536806"/>
      <w:r w:rsidRPr="00B275E2">
        <w:lastRenderedPageBreak/>
        <w:t>Water supply and wastewater treatment emission factors</w:t>
      </w:r>
      <w:bookmarkEnd w:id="522"/>
      <w:bookmarkEnd w:id="523"/>
      <w:bookmarkEnd w:id="524"/>
      <w:bookmarkEnd w:id="525"/>
      <w:bookmarkEnd w:id="527"/>
    </w:p>
    <w:p w14:paraId="1E303FD6" w14:textId="632231A6" w:rsidR="00F066FA" w:rsidRPr="00B275E2" w:rsidRDefault="00F066FA" w:rsidP="007F0B1E">
      <w:pPr>
        <w:pStyle w:val="BodyText"/>
      </w:pPr>
      <w:bookmarkStart w:id="528" w:name="_Hlk532894303"/>
      <w:r w:rsidRPr="00B275E2">
        <w:t xml:space="preserve">Emissions result from energy use in water supply and wastewater treatment </w:t>
      </w:r>
      <w:r w:rsidR="004A2473" w:rsidRPr="00B275E2">
        <w:t xml:space="preserve">plants. </w:t>
      </w:r>
      <w:r w:rsidRPr="00B275E2">
        <w:t xml:space="preserve">Some treatment plants also generate emissions from the treatment of organic matter. </w:t>
      </w:r>
      <w:bookmarkEnd w:id="528"/>
      <w:r w:rsidRPr="00B275E2">
        <w:t>We calculated the emission factors using data from Water NZ</w:t>
      </w:r>
      <w:r w:rsidR="00430A44" w:rsidRPr="00B275E2">
        <w:t xml:space="preserve"> and </w:t>
      </w:r>
      <w:hyperlink r:id="rId97" w:history="1">
        <w:r w:rsidR="00FA5382" w:rsidRPr="00B275E2">
          <w:rPr>
            <w:rStyle w:val="Hyperlink"/>
            <w:i/>
            <w:iCs/>
          </w:rPr>
          <w:t>New Zealand</w:t>
        </w:r>
        <w:r w:rsidR="00F127FD" w:rsidRPr="00B275E2">
          <w:rPr>
            <w:rStyle w:val="Hyperlink"/>
            <w:i/>
            <w:iCs/>
          </w:rPr>
          <w:t>’s</w:t>
        </w:r>
        <w:r w:rsidR="00FA5382" w:rsidRPr="00B275E2">
          <w:rPr>
            <w:rStyle w:val="Hyperlink"/>
            <w:i/>
            <w:iCs/>
          </w:rPr>
          <w:t xml:space="preserve"> Greenhouse Gas Inventory 1990</w:t>
        </w:r>
        <w:r w:rsidR="009E2C7E" w:rsidRPr="00B275E2">
          <w:rPr>
            <w:rStyle w:val="Hyperlink"/>
            <w:i/>
            <w:iCs/>
          </w:rPr>
          <w:t>–</w:t>
        </w:r>
        <w:r w:rsidR="00FA5382" w:rsidRPr="00B275E2">
          <w:rPr>
            <w:rStyle w:val="Hyperlink"/>
            <w:i/>
            <w:iCs/>
          </w:rPr>
          <w:t>2020</w:t>
        </w:r>
      </w:hyperlink>
      <w:r w:rsidR="00FA5382" w:rsidRPr="00B275E2">
        <w:t>.</w:t>
      </w:r>
    </w:p>
    <w:p w14:paraId="17C4B08D" w14:textId="46A34490" w:rsidR="00A959E4" w:rsidRPr="00B275E2" w:rsidRDefault="00A959E4" w:rsidP="00C24B73">
      <w:pPr>
        <w:pStyle w:val="Heading2"/>
        <w:numPr>
          <w:ilvl w:val="0"/>
          <w:numId w:val="30"/>
        </w:numPr>
      </w:pPr>
      <w:bookmarkStart w:id="529" w:name="_Toc532904936"/>
      <w:bookmarkStart w:id="530" w:name="_Toc600594"/>
      <w:bookmarkStart w:id="531" w:name="_Toc111536807"/>
      <w:r w:rsidRPr="00B275E2">
        <w:t>Overview of changes since previous</w:t>
      </w:r>
      <w:r w:rsidR="00844F4F" w:rsidRPr="00B275E2">
        <w:t xml:space="preserve"> </w:t>
      </w:r>
      <w:r w:rsidRPr="00B275E2">
        <w:t>update</w:t>
      </w:r>
      <w:bookmarkEnd w:id="529"/>
      <w:bookmarkEnd w:id="530"/>
      <w:bookmarkEnd w:id="531"/>
    </w:p>
    <w:p w14:paraId="61CBFFEA" w14:textId="3B7648DE" w:rsidR="0075166B" w:rsidRPr="00B275E2" w:rsidRDefault="0075166B" w:rsidP="007F0B1E">
      <w:pPr>
        <w:pStyle w:val="BodyText"/>
      </w:pPr>
      <w:r w:rsidRPr="00B275E2">
        <w:t xml:space="preserve">There are several changes to wastewater emission factors, notably due to the publication of </w:t>
      </w:r>
      <w:r w:rsidRPr="00B275E2">
        <w:rPr>
          <w:i/>
          <w:iCs/>
        </w:rPr>
        <w:t>Carbon Accounting Guidelines for Wastewater Treatment: CH</w:t>
      </w:r>
      <w:r w:rsidRPr="00B275E2">
        <w:rPr>
          <w:i/>
          <w:iCs/>
          <w:vertAlign w:val="subscript"/>
        </w:rPr>
        <w:t>4</w:t>
      </w:r>
      <w:r w:rsidRPr="00B275E2">
        <w:rPr>
          <w:i/>
          <w:iCs/>
        </w:rPr>
        <w:t xml:space="preserve"> and N</w:t>
      </w:r>
      <w:r w:rsidRPr="00B275E2">
        <w:rPr>
          <w:i/>
          <w:iCs/>
          <w:vertAlign w:val="subscript"/>
        </w:rPr>
        <w:t>2</w:t>
      </w:r>
      <w:r w:rsidRPr="00B275E2">
        <w:rPr>
          <w:i/>
          <w:iCs/>
        </w:rPr>
        <w:t>O</w:t>
      </w:r>
      <w:r w:rsidRPr="00B275E2">
        <w:t xml:space="preserve"> (WaterNZ, 2021)</w:t>
      </w:r>
      <w:r w:rsidR="009E2C7E" w:rsidRPr="00B275E2">
        <w:t>.</w:t>
      </w:r>
      <w:r w:rsidRPr="00B275E2">
        <w:rPr>
          <w:rStyle w:val="FootnoteReference"/>
        </w:rPr>
        <w:footnoteReference w:id="60"/>
      </w:r>
      <w:r w:rsidRPr="00B275E2">
        <w:t xml:space="preserve"> The emissions factor for septic tanks has been updated </w:t>
      </w:r>
      <w:r w:rsidR="006C746A">
        <w:t>to align</w:t>
      </w:r>
      <w:r w:rsidRPr="00B275E2">
        <w:t xml:space="preserve"> with these new guidelines. Additionally, the emissions factors for specific types of wastewater treatment plants have been removed from these guidelines, and </w:t>
      </w:r>
      <w:r w:rsidR="00C129AC" w:rsidRPr="00B275E2">
        <w:t xml:space="preserve">we </w:t>
      </w:r>
      <w:r w:rsidRPr="00B275E2">
        <w:t xml:space="preserve">advise users seeking this information to use WaterNZ’s guidelines instead for much better accuracy. Average factors remain in </w:t>
      </w:r>
      <w:r w:rsidR="006C746A">
        <w:t>this</w:t>
      </w:r>
      <w:r w:rsidRPr="00B275E2">
        <w:t xml:space="preserve"> guide for general use.</w:t>
      </w:r>
      <w:r w:rsidR="00A42624" w:rsidRPr="00B275E2">
        <w:t xml:space="preserve"> </w:t>
      </w:r>
    </w:p>
    <w:p w14:paraId="0FD82103" w14:textId="6A259DA8" w:rsidR="0075166B" w:rsidRPr="00B275E2" w:rsidRDefault="0075166B" w:rsidP="007F0B1E">
      <w:pPr>
        <w:pStyle w:val="BodyText"/>
      </w:pPr>
      <w:r w:rsidRPr="00B275E2">
        <w:t>There are minor changes to water supply and domestic wastewater emission factors, due to the use of the latest population data.</w:t>
      </w:r>
    </w:p>
    <w:p w14:paraId="2E10B8A1" w14:textId="1D2112B2" w:rsidR="00A959E4" w:rsidRPr="00B275E2" w:rsidRDefault="00A959E4" w:rsidP="00C24B73">
      <w:pPr>
        <w:pStyle w:val="Heading2"/>
        <w:numPr>
          <w:ilvl w:val="0"/>
          <w:numId w:val="30"/>
        </w:numPr>
      </w:pPr>
      <w:bookmarkStart w:id="532" w:name="_Toc532904937"/>
      <w:bookmarkStart w:id="533" w:name="_Toc600595"/>
      <w:bookmarkStart w:id="534" w:name="_Toc111536808"/>
      <w:r w:rsidRPr="00B275E2">
        <w:t>Water supply</w:t>
      </w:r>
      <w:bookmarkEnd w:id="534"/>
      <w:r w:rsidRPr="00B275E2">
        <w:t xml:space="preserve"> </w:t>
      </w:r>
      <w:bookmarkEnd w:id="532"/>
      <w:bookmarkEnd w:id="533"/>
    </w:p>
    <w:p w14:paraId="5287B973" w14:textId="43D63C86" w:rsidR="00A959E4" w:rsidRPr="00B275E2" w:rsidRDefault="00607D76" w:rsidP="007F0B1E">
      <w:pPr>
        <w:pStyle w:val="BodyText"/>
        <w:rPr>
          <w:spacing w:val="-2"/>
        </w:rPr>
      </w:pPr>
      <w:r w:rsidRPr="00B275E2">
        <w:t xml:space="preserve">Table </w:t>
      </w:r>
      <w:r w:rsidR="0041361A" w:rsidRPr="00B275E2">
        <w:t>7</w:t>
      </w:r>
      <w:r w:rsidR="006E1FA8">
        <w:t>2</w:t>
      </w:r>
      <w:r w:rsidR="00F066FA" w:rsidRPr="00B275E2">
        <w:rPr>
          <w:spacing w:val="-2"/>
        </w:rPr>
        <w:t xml:space="preserve"> provides w</w:t>
      </w:r>
      <w:r w:rsidR="00A959E4" w:rsidRPr="00B275E2">
        <w:rPr>
          <w:spacing w:val="-2"/>
        </w:rPr>
        <w:t>ater supply emission factors</w:t>
      </w:r>
      <w:r w:rsidR="003B5F6D" w:rsidRPr="00B275E2">
        <w:rPr>
          <w:spacing w:val="-2"/>
        </w:rPr>
        <w:t xml:space="preserve">. </w:t>
      </w:r>
      <w:r w:rsidR="00F066FA" w:rsidRPr="00B275E2">
        <w:rPr>
          <w:spacing w:val="-2"/>
        </w:rPr>
        <w:t xml:space="preserve">We calculated the factors using Water NZ </w:t>
      </w:r>
      <w:r w:rsidR="00A959E4" w:rsidRPr="00B275E2">
        <w:rPr>
          <w:spacing w:val="-2"/>
        </w:rPr>
        <w:t xml:space="preserve">data. </w:t>
      </w:r>
    </w:p>
    <w:p w14:paraId="3BE25D20" w14:textId="77113AB1" w:rsidR="00A959E4" w:rsidRPr="00B275E2" w:rsidRDefault="00EB4389" w:rsidP="009E2C7E">
      <w:pPr>
        <w:pStyle w:val="Tableheading"/>
      </w:pPr>
      <w:bookmarkStart w:id="535" w:name="_Toc111536677"/>
      <w:r w:rsidRPr="00B275E2">
        <w:t xml:space="preserve">Table </w:t>
      </w:r>
      <w:r w:rsidRPr="00B275E2">
        <w:fldChar w:fldCharType="begin"/>
      </w:r>
      <w:r w:rsidRPr="00B275E2">
        <w:instrText>SEQ Table \* ARABIC</w:instrText>
      </w:r>
      <w:r w:rsidRPr="00B275E2">
        <w:fldChar w:fldCharType="separate"/>
      </w:r>
      <w:r>
        <w:rPr>
          <w:noProof/>
        </w:rPr>
        <w:t>72</w:t>
      </w:r>
      <w:r w:rsidRPr="00B275E2">
        <w:fldChar w:fldCharType="end"/>
      </w:r>
      <w:r w:rsidRPr="00B275E2">
        <w:t>:</w:t>
      </w:r>
      <w:r w:rsidRPr="00B275E2">
        <w:tab/>
      </w:r>
      <w:r w:rsidR="00A959E4" w:rsidRPr="00B275E2">
        <w:t>Water supply emission factors</w:t>
      </w:r>
      <w:bookmarkEnd w:id="535"/>
    </w:p>
    <w:tbl>
      <w:tblPr>
        <w:tblStyle w:val="LightList-Accent11"/>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ook w:val="04A0" w:firstRow="1" w:lastRow="0" w:firstColumn="1" w:lastColumn="0" w:noHBand="0" w:noVBand="1"/>
      </w:tblPr>
      <w:tblGrid>
        <w:gridCol w:w="1500"/>
        <w:gridCol w:w="1006"/>
        <w:gridCol w:w="1306"/>
        <w:gridCol w:w="1151"/>
        <w:gridCol w:w="1754"/>
        <w:gridCol w:w="1788"/>
      </w:tblGrid>
      <w:tr w:rsidR="008E6B89" w:rsidRPr="00B275E2" w14:paraId="21A6E660" w14:textId="77777777" w:rsidTr="009E2C7E">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0" w:type="auto"/>
            <w:shd w:val="clear" w:color="auto" w:fill="1B556B" w:themeFill="text2"/>
            <w:noWrap/>
            <w:hideMark/>
          </w:tcPr>
          <w:p w14:paraId="761B6120" w14:textId="77777777" w:rsidR="008E6B89" w:rsidRPr="00B275E2" w:rsidRDefault="008E6B89" w:rsidP="007F0B1E">
            <w:pPr>
              <w:pStyle w:val="TableTextbold"/>
              <w:rPr>
                <w:b/>
                <w:szCs w:val="18"/>
              </w:rPr>
            </w:pPr>
            <w:r w:rsidRPr="00B275E2">
              <w:rPr>
                <w:b/>
                <w:szCs w:val="18"/>
              </w:rPr>
              <w:t>Emission source</w:t>
            </w:r>
          </w:p>
        </w:tc>
        <w:tc>
          <w:tcPr>
            <w:tcW w:w="0" w:type="auto"/>
            <w:shd w:val="clear" w:color="auto" w:fill="1B556B" w:themeFill="text2"/>
            <w:noWrap/>
            <w:hideMark/>
          </w:tcPr>
          <w:p w14:paraId="1369F3ED" w14:textId="77777777" w:rsidR="008E6B89" w:rsidRPr="00B275E2" w:rsidRDefault="008E6B89" w:rsidP="007F0B1E">
            <w:pPr>
              <w:pStyle w:val="TableTextbold"/>
              <w:cnfStyle w:val="100000000000" w:firstRow="1" w:lastRow="0" w:firstColumn="0" w:lastColumn="0" w:oddVBand="0" w:evenVBand="0" w:oddHBand="0" w:evenHBand="0" w:firstRowFirstColumn="0" w:firstRowLastColumn="0" w:lastRowFirstColumn="0" w:lastRowLastColumn="0"/>
              <w:rPr>
                <w:b/>
                <w:szCs w:val="18"/>
              </w:rPr>
            </w:pPr>
            <w:r w:rsidRPr="00B275E2">
              <w:rPr>
                <w:b/>
                <w:szCs w:val="18"/>
              </w:rPr>
              <w:t>Unit</w:t>
            </w:r>
          </w:p>
        </w:tc>
        <w:tc>
          <w:tcPr>
            <w:tcW w:w="0" w:type="auto"/>
            <w:shd w:val="clear" w:color="auto" w:fill="D2DDE1" w:themeFill="background2"/>
            <w:noWrap/>
            <w:hideMark/>
          </w:tcPr>
          <w:p w14:paraId="62BF82C5" w14:textId="77777777" w:rsidR="008E6B89" w:rsidRPr="00B275E2" w:rsidRDefault="008E6B89" w:rsidP="00DF2E82">
            <w:pPr>
              <w:pStyle w:val="TableTextbold"/>
              <w:jc w:val="right"/>
              <w:cnfStyle w:val="100000000000" w:firstRow="1" w:lastRow="0" w:firstColumn="0" w:lastColumn="0" w:oddVBand="0" w:evenVBand="0" w:oddHBand="0" w:evenHBand="0" w:firstRowFirstColumn="0" w:firstRowLastColumn="0" w:lastRowFirstColumn="0" w:lastRowLastColumn="0"/>
              <w:rPr>
                <w:b/>
                <w:color w:val="auto"/>
                <w:szCs w:val="18"/>
              </w:rPr>
            </w:pPr>
            <w:r w:rsidRPr="00B275E2">
              <w:rPr>
                <w:b/>
                <w:color w:val="auto"/>
                <w:szCs w:val="18"/>
              </w:rPr>
              <w:t>kg CO</w:t>
            </w:r>
            <w:r w:rsidRPr="00B275E2">
              <w:rPr>
                <w:b/>
                <w:color w:val="auto"/>
                <w:szCs w:val="18"/>
                <w:vertAlign w:val="subscript"/>
              </w:rPr>
              <w:t>2</w:t>
            </w:r>
            <w:r w:rsidRPr="00B275E2">
              <w:rPr>
                <w:b/>
                <w:color w:val="auto"/>
                <w:szCs w:val="18"/>
              </w:rPr>
              <w:t>-e/unit</w:t>
            </w:r>
          </w:p>
        </w:tc>
        <w:tc>
          <w:tcPr>
            <w:tcW w:w="0" w:type="auto"/>
            <w:shd w:val="clear" w:color="auto" w:fill="1B556B" w:themeFill="text2"/>
            <w:noWrap/>
            <w:hideMark/>
          </w:tcPr>
          <w:p w14:paraId="680897D4" w14:textId="77777777" w:rsidR="008E6B89" w:rsidRPr="00B275E2" w:rsidRDefault="008E6B89" w:rsidP="00DF2E82">
            <w:pPr>
              <w:pStyle w:val="TableTextbold"/>
              <w:jc w:val="right"/>
              <w:cnfStyle w:val="100000000000" w:firstRow="1" w:lastRow="0" w:firstColumn="0" w:lastColumn="0" w:oddVBand="0" w:evenVBand="0" w:oddHBand="0" w:evenHBand="0" w:firstRowFirstColumn="0" w:firstRowLastColumn="0" w:lastRowFirstColumn="0" w:lastRowLastColumn="0"/>
              <w:rPr>
                <w:b/>
                <w:szCs w:val="18"/>
              </w:rPr>
            </w:pPr>
            <w:r w:rsidRPr="00B275E2">
              <w:rPr>
                <w:b/>
                <w:szCs w:val="18"/>
              </w:rPr>
              <w:t>kg CO</w:t>
            </w:r>
            <w:r w:rsidRPr="00B275E2">
              <w:rPr>
                <w:b/>
                <w:szCs w:val="18"/>
                <w:vertAlign w:val="subscript"/>
              </w:rPr>
              <w:t>2</w:t>
            </w:r>
            <w:r w:rsidRPr="00B275E2">
              <w:rPr>
                <w:b/>
                <w:szCs w:val="18"/>
              </w:rPr>
              <w:t>/unit</w:t>
            </w:r>
          </w:p>
        </w:tc>
        <w:tc>
          <w:tcPr>
            <w:tcW w:w="0" w:type="auto"/>
            <w:shd w:val="clear" w:color="auto" w:fill="1B556B" w:themeFill="text2"/>
            <w:noWrap/>
            <w:hideMark/>
          </w:tcPr>
          <w:p w14:paraId="2CB59F2C" w14:textId="66810676" w:rsidR="008E6B89" w:rsidRPr="00B275E2" w:rsidRDefault="008E6B89" w:rsidP="00DF2E82">
            <w:pPr>
              <w:pStyle w:val="TableTextbold"/>
              <w:jc w:val="right"/>
              <w:cnfStyle w:val="100000000000" w:firstRow="1" w:lastRow="0" w:firstColumn="0" w:lastColumn="0" w:oddVBand="0" w:evenVBand="0" w:oddHBand="0" w:evenHBand="0" w:firstRowFirstColumn="0" w:firstRowLastColumn="0" w:lastRowFirstColumn="0" w:lastRowLastColumn="0"/>
              <w:rPr>
                <w:b/>
                <w:szCs w:val="18"/>
              </w:rPr>
            </w:pPr>
            <w:r w:rsidRPr="00B275E2">
              <w:rPr>
                <w:b/>
              </w:rPr>
              <w:t>CH</w:t>
            </w:r>
            <w:r w:rsidRPr="00B275E2">
              <w:rPr>
                <w:b/>
                <w:vertAlign w:val="subscript"/>
              </w:rPr>
              <w:t>4</w:t>
            </w:r>
            <w:r w:rsidRPr="00B275E2">
              <w:rPr>
                <w:b/>
              </w:rPr>
              <w:t xml:space="preserve"> (kg CO</w:t>
            </w:r>
            <w:r w:rsidRPr="00B275E2">
              <w:rPr>
                <w:b/>
                <w:vertAlign w:val="subscript"/>
              </w:rPr>
              <w:t>2</w:t>
            </w:r>
            <w:r w:rsidRPr="00B275E2">
              <w:rPr>
                <w:b/>
              </w:rPr>
              <w:noBreakHyphen/>
              <w:t>e)/unit</w:t>
            </w:r>
          </w:p>
        </w:tc>
        <w:tc>
          <w:tcPr>
            <w:tcW w:w="0" w:type="auto"/>
            <w:shd w:val="clear" w:color="auto" w:fill="1B556B" w:themeFill="text2"/>
            <w:noWrap/>
            <w:hideMark/>
          </w:tcPr>
          <w:p w14:paraId="4EA817D3" w14:textId="37332C82" w:rsidR="008E6B89" w:rsidRPr="00B275E2" w:rsidRDefault="008E6B89" w:rsidP="00DF2E82">
            <w:pPr>
              <w:pStyle w:val="TableTextbold"/>
              <w:jc w:val="right"/>
              <w:cnfStyle w:val="100000000000" w:firstRow="1" w:lastRow="0" w:firstColumn="0" w:lastColumn="0" w:oddVBand="0" w:evenVBand="0" w:oddHBand="0" w:evenHBand="0" w:firstRowFirstColumn="0" w:firstRowLastColumn="0" w:lastRowFirstColumn="0" w:lastRowLastColumn="0"/>
              <w:rPr>
                <w:b/>
                <w:szCs w:val="18"/>
              </w:rPr>
            </w:pPr>
            <w:r w:rsidRPr="00B275E2">
              <w:rPr>
                <w:b/>
              </w:rPr>
              <w:t>N</w:t>
            </w:r>
            <w:r w:rsidRPr="00B275E2">
              <w:rPr>
                <w:b/>
                <w:vertAlign w:val="subscript"/>
              </w:rPr>
              <w:t>2</w:t>
            </w:r>
            <w:r w:rsidRPr="00B275E2">
              <w:rPr>
                <w:b/>
              </w:rPr>
              <w:t>O (kg CO</w:t>
            </w:r>
            <w:r w:rsidRPr="00B275E2">
              <w:rPr>
                <w:b/>
                <w:vertAlign w:val="subscript"/>
              </w:rPr>
              <w:t>2</w:t>
            </w:r>
            <w:r w:rsidRPr="00B275E2">
              <w:rPr>
                <w:b/>
              </w:rPr>
              <w:noBreakHyphen/>
              <w:t>e)/unit</w:t>
            </w:r>
          </w:p>
        </w:tc>
      </w:tr>
      <w:tr w:rsidR="00A243C9" w:rsidRPr="00B275E2" w14:paraId="6851A15D" w14:textId="77777777" w:rsidTr="008F75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single" w:sz="4" w:space="0" w:color="FFFFFF" w:themeColor="background1"/>
            </w:tcBorders>
          </w:tcPr>
          <w:p w14:paraId="1AE0B9DC" w14:textId="77777777" w:rsidR="00A243C9" w:rsidRPr="00B275E2" w:rsidRDefault="00A243C9" w:rsidP="007F0B1E">
            <w:pPr>
              <w:pStyle w:val="TableText"/>
              <w:rPr>
                <w:b w:val="0"/>
                <w:szCs w:val="18"/>
              </w:rPr>
            </w:pPr>
            <w:r w:rsidRPr="00B275E2">
              <w:rPr>
                <w:b w:val="0"/>
                <w:szCs w:val="18"/>
              </w:rPr>
              <w:t>Water supply</w:t>
            </w:r>
          </w:p>
        </w:tc>
        <w:tc>
          <w:tcPr>
            <w:tcW w:w="0" w:type="auto"/>
            <w:noWrap/>
          </w:tcPr>
          <w:p w14:paraId="3A46DD40" w14:textId="77777777" w:rsidR="00A243C9" w:rsidRPr="00B275E2" w:rsidRDefault="00A243C9" w:rsidP="007F0B1E">
            <w:pPr>
              <w:pStyle w:val="TableText"/>
              <w:cnfStyle w:val="000000100000" w:firstRow="0" w:lastRow="0" w:firstColumn="0" w:lastColumn="0" w:oddVBand="0" w:evenVBand="0" w:oddHBand="1" w:evenHBand="0" w:firstRowFirstColumn="0" w:firstRowLastColumn="0" w:lastRowFirstColumn="0" w:lastRowLastColumn="0"/>
              <w:rPr>
                <w:szCs w:val="18"/>
              </w:rPr>
            </w:pPr>
            <w:r w:rsidRPr="00B275E2">
              <w:rPr>
                <w:szCs w:val="18"/>
              </w:rPr>
              <w:t>m</w:t>
            </w:r>
            <w:r w:rsidRPr="00B275E2">
              <w:rPr>
                <w:szCs w:val="18"/>
                <w:vertAlign w:val="superscript"/>
              </w:rPr>
              <w:t>3</w:t>
            </w:r>
          </w:p>
        </w:tc>
        <w:tc>
          <w:tcPr>
            <w:tcW w:w="0" w:type="auto"/>
            <w:shd w:val="clear" w:color="auto" w:fill="D2DDE1" w:themeFill="background2"/>
            <w:noWrap/>
          </w:tcPr>
          <w:p w14:paraId="4BA2C028" w14:textId="7732001E" w:rsidR="00A243C9" w:rsidRPr="00B275E2" w:rsidRDefault="00537260" w:rsidP="007F0B1E">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0.031</w:t>
            </w:r>
          </w:p>
        </w:tc>
        <w:tc>
          <w:tcPr>
            <w:tcW w:w="0" w:type="auto"/>
            <w:shd w:val="clear" w:color="auto" w:fill="auto"/>
            <w:noWrap/>
          </w:tcPr>
          <w:p w14:paraId="3DB2AB8D" w14:textId="7A63E0C0" w:rsidR="00A243C9" w:rsidRPr="00B275E2" w:rsidRDefault="00DD57C0" w:rsidP="007F0B1E">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0.030</w:t>
            </w:r>
          </w:p>
        </w:tc>
        <w:tc>
          <w:tcPr>
            <w:tcW w:w="0" w:type="auto"/>
            <w:shd w:val="clear" w:color="auto" w:fill="auto"/>
            <w:noWrap/>
          </w:tcPr>
          <w:p w14:paraId="0A6C2514" w14:textId="4898F776" w:rsidR="00A243C9" w:rsidRPr="00B275E2" w:rsidRDefault="00DD57C0" w:rsidP="007F0B1E">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0.0014</w:t>
            </w:r>
          </w:p>
        </w:tc>
        <w:tc>
          <w:tcPr>
            <w:tcW w:w="0" w:type="auto"/>
            <w:tcBorders>
              <w:right w:val="single" w:sz="4" w:space="0" w:color="FFFFFF" w:themeColor="background1"/>
            </w:tcBorders>
            <w:shd w:val="clear" w:color="auto" w:fill="auto"/>
            <w:noWrap/>
          </w:tcPr>
          <w:p w14:paraId="71D73679" w14:textId="4D27DAAF" w:rsidR="00A243C9" w:rsidRPr="00B275E2" w:rsidRDefault="0009098B" w:rsidP="007F0B1E">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0.00003</w:t>
            </w:r>
          </w:p>
        </w:tc>
      </w:tr>
      <w:tr w:rsidR="00A243C9" w:rsidRPr="00B275E2" w14:paraId="4649D83F" w14:textId="77777777" w:rsidTr="008F758A">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FFFFFF" w:themeColor="background1"/>
            </w:tcBorders>
          </w:tcPr>
          <w:p w14:paraId="1EA84BB9" w14:textId="77777777" w:rsidR="00A243C9" w:rsidRPr="00B275E2" w:rsidRDefault="00A243C9" w:rsidP="007F0B1E">
            <w:pPr>
              <w:pStyle w:val="TableText"/>
              <w:rPr>
                <w:szCs w:val="18"/>
              </w:rPr>
            </w:pPr>
          </w:p>
        </w:tc>
        <w:tc>
          <w:tcPr>
            <w:tcW w:w="0" w:type="auto"/>
            <w:noWrap/>
          </w:tcPr>
          <w:p w14:paraId="396DB101" w14:textId="77777777" w:rsidR="00A243C9" w:rsidRPr="00B275E2" w:rsidRDefault="00A243C9" w:rsidP="007F0B1E">
            <w:pPr>
              <w:pStyle w:val="TableText"/>
              <w:cnfStyle w:val="000000000000" w:firstRow="0" w:lastRow="0" w:firstColumn="0" w:lastColumn="0" w:oddVBand="0" w:evenVBand="0" w:oddHBand="0" w:evenHBand="0" w:firstRowFirstColumn="0" w:firstRowLastColumn="0" w:lastRowFirstColumn="0" w:lastRowLastColumn="0"/>
              <w:rPr>
                <w:szCs w:val="18"/>
              </w:rPr>
            </w:pPr>
            <w:r w:rsidRPr="00B275E2">
              <w:rPr>
                <w:szCs w:val="18"/>
              </w:rPr>
              <w:t>Per capita</w:t>
            </w:r>
          </w:p>
        </w:tc>
        <w:tc>
          <w:tcPr>
            <w:tcW w:w="0" w:type="auto"/>
            <w:shd w:val="clear" w:color="auto" w:fill="D2DDE1" w:themeFill="background2"/>
            <w:noWrap/>
          </w:tcPr>
          <w:p w14:paraId="402C4110" w14:textId="175754A0" w:rsidR="00A243C9" w:rsidRPr="00B275E2" w:rsidRDefault="00523938" w:rsidP="007F0B1E">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3.785</w:t>
            </w:r>
          </w:p>
        </w:tc>
        <w:tc>
          <w:tcPr>
            <w:tcW w:w="0" w:type="auto"/>
            <w:shd w:val="clear" w:color="auto" w:fill="auto"/>
            <w:noWrap/>
          </w:tcPr>
          <w:p w14:paraId="7CC8EA83" w14:textId="0C563174" w:rsidR="00A243C9" w:rsidRPr="00B275E2" w:rsidRDefault="00523938" w:rsidP="007F0B1E">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3.611</w:t>
            </w:r>
          </w:p>
        </w:tc>
        <w:tc>
          <w:tcPr>
            <w:tcW w:w="0" w:type="auto"/>
            <w:shd w:val="clear" w:color="auto" w:fill="auto"/>
            <w:noWrap/>
          </w:tcPr>
          <w:p w14:paraId="42D98C6A" w14:textId="61B3F2E0" w:rsidR="00A243C9" w:rsidRPr="00B275E2" w:rsidRDefault="00523938" w:rsidP="007F0B1E">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0.170</w:t>
            </w:r>
          </w:p>
        </w:tc>
        <w:tc>
          <w:tcPr>
            <w:tcW w:w="0" w:type="auto"/>
            <w:shd w:val="clear" w:color="auto" w:fill="auto"/>
            <w:noWrap/>
          </w:tcPr>
          <w:p w14:paraId="2EEC9CD8" w14:textId="7DF1E333" w:rsidR="00A243C9" w:rsidRPr="00B275E2" w:rsidRDefault="00523938" w:rsidP="007F0B1E">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0.0033</w:t>
            </w:r>
          </w:p>
        </w:tc>
      </w:tr>
    </w:tbl>
    <w:p w14:paraId="11BE96F2" w14:textId="6F5861D5" w:rsidR="00F066FA" w:rsidRPr="00B275E2" w:rsidRDefault="00F066FA" w:rsidP="007F0B1E">
      <w:pPr>
        <w:pStyle w:val="Note"/>
      </w:pPr>
      <w:r w:rsidRPr="00B275E2">
        <w:t>Note</w:t>
      </w:r>
      <w:r w:rsidR="00ED3F75" w:rsidRPr="00B275E2">
        <w:t>:</w:t>
      </w:r>
      <w:r w:rsidRPr="00B275E2">
        <w:t xml:space="preserve"> </w:t>
      </w:r>
      <w:r w:rsidR="00ED3F75" w:rsidRPr="00B275E2">
        <w:t xml:space="preserve">These </w:t>
      </w:r>
      <w:r w:rsidRPr="00B275E2">
        <w:t xml:space="preserve">numbers are rounded to three </w:t>
      </w:r>
      <w:r w:rsidR="007C241D" w:rsidRPr="00B275E2">
        <w:t>decimal places</w:t>
      </w:r>
      <w:r w:rsidRPr="00B275E2">
        <w:t xml:space="preserve"> unless the number is significantly small. </w:t>
      </w:r>
    </w:p>
    <w:p w14:paraId="1B0F8982" w14:textId="60BD7EBB" w:rsidR="00A959E4" w:rsidRPr="00B275E2" w:rsidRDefault="00301928" w:rsidP="006B7605">
      <w:pPr>
        <w:pStyle w:val="Heading3"/>
      </w:pPr>
      <w:bookmarkStart w:id="536" w:name="_Toc532904938"/>
      <w:r w:rsidRPr="00B275E2">
        <w:t xml:space="preserve">GHG </w:t>
      </w:r>
      <w:r w:rsidR="00A959E4" w:rsidRPr="00B275E2">
        <w:t>inventory development</w:t>
      </w:r>
      <w:bookmarkEnd w:id="536"/>
    </w:p>
    <w:p w14:paraId="3E1AF880" w14:textId="1953DF43" w:rsidR="00A959E4" w:rsidRPr="00B275E2" w:rsidRDefault="00A959E4" w:rsidP="007F0B1E">
      <w:pPr>
        <w:pStyle w:val="BodyText"/>
      </w:pPr>
      <w:bookmarkStart w:id="537" w:name="_Hlk532894327"/>
      <w:r w:rsidRPr="00B275E2">
        <w:t xml:space="preserve">Users should collect data on </w:t>
      </w:r>
      <w:r w:rsidR="007824F5" w:rsidRPr="00B275E2">
        <w:t>cubic metres (</w:t>
      </w:r>
      <w:r w:rsidRPr="00B275E2">
        <w:t>m</w:t>
      </w:r>
      <w:r w:rsidRPr="00B275E2">
        <w:rPr>
          <w:vertAlign w:val="superscript"/>
        </w:rPr>
        <w:t>3</w:t>
      </w:r>
      <w:r w:rsidR="007824F5" w:rsidRPr="00B275E2">
        <w:t>)</w:t>
      </w:r>
      <w:r w:rsidRPr="00B275E2">
        <w:t xml:space="preserve"> of water used</w:t>
      </w:r>
      <w:r w:rsidR="007824F5" w:rsidRPr="00B275E2">
        <w:t>, if</w:t>
      </w:r>
      <w:r w:rsidRPr="00B275E2">
        <w:t xml:space="preserve"> available. In the absence of this information</w:t>
      </w:r>
      <w:r w:rsidR="007824F5" w:rsidRPr="00B275E2">
        <w:t xml:space="preserve">, apply </w:t>
      </w:r>
      <w:r w:rsidRPr="00B275E2">
        <w:t>the per capita emission factor.</w:t>
      </w:r>
    </w:p>
    <w:bookmarkEnd w:id="537"/>
    <w:p w14:paraId="74E575BC" w14:textId="557472D6" w:rsidR="007824F5" w:rsidRPr="00B275E2" w:rsidRDefault="007824F5" w:rsidP="007F0B1E">
      <w:pPr>
        <w:pStyle w:val="BodyText"/>
      </w:pPr>
      <w:r w:rsidRPr="00B275E2">
        <w:t xml:space="preserve">Applying the equation </w:t>
      </w:r>
      <w:r w:rsidR="00E71782" w:rsidRPr="00B275E2">
        <w:t>E= Q x F</w:t>
      </w:r>
      <w:r w:rsidR="00C129AC" w:rsidRPr="00B275E2">
        <w:t xml:space="preserve"> </w:t>
      </w:r>
      <w:r w:rsidR="00E71782" w:rsidRPr="00B275E2">
        <w:t>(</w:t>
      </w:r>
      <w:hyperlink w:anchor="_How_to_quantify" w:history="1">
        <w:r w:rsidR="00FE2A90" w:rsidRPr="00B275E2">
          <w:rPr>
            <w:rStyle w:val="Hyperlink"/>
          </w:rPr>
          <w:t>section 2</w:t>
        </w:r>
      </w:hyperlink>
      <w:r w:rsidR="00E71782" w:rsidRPr="00B275E2">
        <w:rPr>
          <w:rStyle w:val="Hyperlink"/>
          <w:color w:val="auto"/>
        </w:rPr>
        <w:t>)</w:t>
      </w:r>
      <w:r w:rsidRPr="00B275E2">
        <w:t>, this means:</w:t>
      </w:r>
    </w:p>
    <w:p w14:paraId="6A058A74" w14:textId="37AB7BE7" w:rsidR="00E71782" w:rsidRPr="00B275E2" w:rsidRDefault="00E71782" w:rsidP="009E2C7E">
      <w:pPr>
        <w:pStyle w:val="BodyText"/>
        <w:tabs>
          <w:tab w:val="left" w:pos="680"/>
          <w:tab w:val="left" w:pos="1134"/>
        </w:tabs>
        <w:contextualSpacing/>
      </w:pPr>
      <w:r w:rsidRPr="00B275E2">
        <w:t>E</w:t>
      </w:r>
      <w:r w:rsidRPr="00B275E2">
        <w:tab/>
        <w:t>=</w:t>
      </w:r>
      <w:r w:rsidRPr="00B275E2">
        <w:tab/>
        <w:t>emissions from the emissions source in kg CO</w:t>
      </w:r>
      <w:r w:rsidRPr="00B275E2">
        <w:rPr>
          <w:vertAlign w:val="subscript"/>
        </w:rPr>
        <w:t>2</w:t>
      </w:r>
      <w:r w:rsidRPr="00B275E2">
        <w:t>-e per year</w:t>
      </w:r>
    </w:p>
    <w:p w14:paraId="67D04234" w14:textId="011DA9BE" w:rsidR="00A959E4" w:rsidRPr="00B275E2" w:rsidRDefault="00A959E4" w:rsidP="009E2C7E">
      <w:pPr>
        <w:pStyle w:val="BodyText"/>
        <w:tabs>
          <w:tab w:val="left" w:pos="680"/>
          <w:tab w:val="left" w:pos="1134"/>
        </w:tabs>
        <w:contextualSpacing/>
      </w:pPr>
      <w:r w:rsidRPr="00B275E2">
        <w:t>Q</w:t>
      </w:r>
      <w:r w:rsidR="00ED3F75" w:rsidRPr="00B275E2">
        <w:tab/>
      </w:r>
      <w:r w:rsidRPr="00B275E2">
        <w:t>=</w:t>
      </w:r>
      <w:r w:rsidR="00ED3F75" w:rsidRPr="00B275E2">
        <w:tab/>
      </w:r>
      <w:r w:rsidRPr="00B275E2">
        <w:t>quantity of water used (m</w:t>
      </w:r>
      <w:r w:rsidRPr="00B275E2">
        <w:rPr>
          <w:vertAlign w:val="superscript"/>
        </w:rPr>
        <w:t>3</w:t>
      </w:r>
      <w:r w:rsidRPr="00B275E2">
        <w:t>) or persons using water supply (per capita)</w:t>
      </w:r>
    </w:p>
    <w:p w14:paraId="3B88AB18" w14:textId="0CDCAC49" w:rsidR="00D837FF" w:rsidRPr="00B275E2" w:rsidRDefault="00ED3F75" w:rsidP="009E2C7E">
      <w:pPr>
        <w:pStyle w:val="BodyText"/>
        <w:tabs>
          <w:tab w:val="left" w:pos="680"/>
          <w:tab w:val="left" w:pos="1134"/>
        </w:tabs>
        <w:spacing w:after="240"/>
        <w:contextualSpacing/>
      </w:pPr>
      <w:r w:rsidRPr="00B275E2">
        <w:t>F</w:t>
      </w:r>
      <w:r w:rsidRPr="00B275E2">
        <w:tab/>
        <w:t>=</w:t>
      </w:r>
      <w:r w:rsidRPr="00B275E2">
        <w:tab/>
      </w:r>
      <w:r w:rsidR="00A959E4" w:rsidRPr="00B275E2">
        <w:t xml:space="preserve">appropriate emission factors from </w:t>
      </w:r>
      <w:r w:rsidR="00E22BA7" w:rsidRPr="00B275E2">
        <w:t xml:space="preserve">table </w:t>
      </w:r>
      <w:r w:rsidR="0041361A" w:rsidRPr="00B275E2">
        <w:t>7</w:t>
      </w:r>
      <w:r w:rsidR="006E1FA8">
        <w:t>2</w:t>
      </w:r>
    </w:p>
    <w:tbl>
      <w:tblPr>
        <w:tblW w:w="85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0"/>
      </w:tblGrid>
      <w:tr w:rsidR="00DA7183" w:rsidRPr="00B275E2" w:rsidDel="00D5390D" w14:paraId="3D277606" w14:textId="77777777" w:rsidTr="00A86654">
        <w:tc>
          <w:tcPr>
            <w:tcW w:w="8500" w:type="dxa"/>
            <w:tcBorders>
              <w:top w:val="single" w:sz="4" w:space="0" w:color="0F7B7D"/>
              <w:left w:val="single" w:sz="4" w:space="0" w:color="0F7B7D"/>
              <w:bottom w:val="nil"/>
              <w:right w:val="single" w:sz="4" w:space="0" w:color="0F7B7D"/>
            </w:tcBorders>
            <w:shd w:val="clear" w:color="auto" w:fill="0F7B7D"/>
            <w:vAlign w:val="center"/>
          </w:tcPr>
          <w:p w14:paraId="66614881" w14:textId="18456001" w:rsidR="007824F5" w:rsidRPr="00B275E2" w:rsidDel="00D5390D" w:rsidRDefault="0019141A" w:rsidP="00A86654">
            <w:pPr>
              <w:pStyle w:val="Casestudyheading"/>
            </w:pPr>
            <w:bookmarkStart w:id="538" w:name="_Hlk532894342"/>
            <w:r w:rsidRPr="00B275E2">
              <w:lastRenderedPageBreak/>
              <w:t xml:space="preserve">WATER SUPPLY: </w:t>
            </w:r>
            <w:r w:rsidR="007824F5" w:rsidRPr="00B275E2">
              <w:t>Example Calculation</w:t>
            </w:r>
          </w:p>
        </w:tc>
      </w:tr>
      <w:tr w:rsidR="00F21DC0" w:rsidRPr="00B275E2" w14:paraId="3F843007" w14:textId="77777777" w:rsidTr="00A86654">
        <w:tc>
          <w:tcPr>
            <w:tcW w:w="8500" w:type="dxa"/>
            <w:tcBorders>
              <w:top w:val="nil"/>
              <w:left w:val="single" w:sz="4" w:space="0" w:color="D5EBE8" w:themeColor="accent3"/>
              <w:bottom w:val="single" w:sz="4" w:space="0" w:color="D5EBE8" w:themeColor="accent3"/>
              <w:right w:val="single" w:sz="4" w:space="0" w:color="D5EBE8" w:themeColor="accent3"/>
            </w:tcBorders>
            <w:shd w:val="clear" w:color="auto" w:fill="D5EBE8" w:themeFill="accent3"/>
          </w:tcPr>
          <w:p w14:paraId="233D9E79" w14:textId="1470D7B5" w:rsidR="007824F5" w:rsidRPr="00B275E2" w:rsidRDefault="007824F5" w:rsidP="00DF7205">
            <w:pPr>
              <w:pStyle w:val="Boxtext"/>
              <w:spacing w:after="80"/>
            </w:pPr>
            <w:r w:rsidRPr="00B275E2">
              <w:t>An organisation’s assets have water met</w:t>
            </w:r>
            <w:r w:rsidR="0017606D" w:rsidRPr="00B275E2">
              <w:t>e</w:t>
            </w:r>
            <w:r w:rsidRPr="00B275E2">
              <w:t>rs. Throughout the reporting year they use 1000 m</w:t>
            </w:r>
            <w:r w:rsidRPr="00B275E2">
              <w:rPr>
                <w:vertAlign w:val="superscript"/>
              </w:rPr>
              <w:t>3</w:t>
            </w:r>
            <w:r w:rsidRPr="00B275E2">
              <w:t xml:space="preserve"> of water. </w:t>
            </w:r>
          </w:p>
          <w:p w14:paraId="117B85A1" w14:textId="2C2FA259" w:rsidR="00A73976" w:rsidRPr="00B275E2" w:rsidRDefault="00A73976" w:rsidP="00E87F22">
            <w:pPr>
              <w:pStyle w:val="Boxtext"/>
              <w:tabs>
                <w:tab w:val="left" w:pos="2866"/>
                <w:tab w:val="left" w:pos="4567"/>
              </w:tabs>
              <w:spacing w:before="20" w:after="20"/>
              <w:ind w:left="850"/>
            </w:pPr>
            <w:r w:rsidRPr="00B275E2">
              <w:t>CO</w:t>
            </w:r>
            <w:r w:rsidRPr="00B275E2">
              <w:rPr>
                <w:vertAlign w:val="subscript"/>
              </w:rPr>
              <w:t>2</w:t>
            </w:r>
            <w:r w:rsidRPr="00B275E2">
              <w:t xml:space="preserve"> emissions</w:t>
            </w:r>
            <w:r w:rsidRPr="00B275E2">
              <w:tab/>
              <w:t>= 1,000 × 0.030</w:t>
            </w:r>
            <w:r w:rsidRPr="00B275E2">
              <w:tab/>
              <w:t>= 30 kg CO</w:t>
            </w:r>
            <w:r w:rsidRPr="00B275E2">
              <w:rPr>
                <w:vertAlign w:val="subscript"/>
              </w:rPr>
              <w:t>2</w:t>
            </w:r>
            <w:r w:rsidRPr="00B275E2">
              <w:t xml:space="preserve"> </w:t>
            </w:r>
          </w:p>
          <w:p w14:paraId="4AC2293C" w14:textId="3A7403E1" w:rsidR="00A73976" w:rsidRPr="00B275E2" w:rsidRDefault="00A73976" w:rsidP="00E87F22">
            <w:pPr>
              <w:pStyle w:val="Boxtext"/>
              <w:tabs>
                <w:tab w:val="left" w:pos="2866"/>
                <w:tab w:val="left" w:pos="4567"/>
              </w:tabs>
              <w:spacing w:before="20" w:after="20"/>
              <w:ind w:left="850"/>
            </w:pPr>
            <w:r w:rsidRPr="00B275E2">
              <w:t>CH</w:t>
            </w:r>
            <w:r w:rsidRPr="00B275E2">
              <w:rPr>
                <w:vertAlign w:val="subscript"/>
              </w:rPr>
              <w:t>4</w:t>
            </w:r>
            <w:r w:rsidRPr="00B275E2">
              <w:t xml:space="preserve"> emissions</w:t>
            </w:r>
            <w:r w:rsidRPr="00B275E2">
              <w:tab/>
              <w:t>= 1,000 × 0.0014</w:t>
            </w:r>
            <w:r w:rsidRPr="00B275E2">
              <w:tab/>
              <w:t>= 1.4 kg CO</w:t>
            </w:r>
            <w:r w:rsidRPr="00B275E2">
              <w:rPr>
                <w:vertAlign w:val="subscript"/>
              </w:rPr>
              <w:t>2</w:t>
            </w:r>
            <w:r w:rsidRPr="00B275E2">
              <w:t xml:space="preserve">-e </w:t>
            </w:r>
          </w:p>
          <w:p w14:paraId="15B4C209" w14:textId="0FC59686" w:rsidR="00A73976" w:rsidRPr="00B275E2" w:rsidRDefault="00A73976" w:rsidP="00E87F22">
            <w:pPr>
              <w:pStyle w:val="Boxtext"/>
              <w:tabs>
                <w:tab w:val="left" w:pos="2866"/>
                <w:tab w:val="left" w:pos="4567"/>
              </w:tabs>
              <w:spacing w:before="20" w:after="20"/>
              <w:ind w:left="850"/>
            </w:pPr>
            <w:r w:rsidRPr="00B275E2">
              <w:t>N</w:t>
            </w:r>
            <w:r w:rsidRPr="00B275E2">
              <w:rPr>
                <w:vertAlign w:val="subscript"/>
              </w:rPr>
              <w:t>2</w:t>
            </w:r>
            <w:r w:rsidRPr="00B275E2">
              <w:t>O emissions</w:t>
            </w:r>
            <w:r w:rsidRPr="00B275E2">
              <w:tab/>
              <w:t>= 1,000 × 0.00003</w:t>
            </w:r>
            <w:r w:rsidRPr="00B275E2">
              <w:tab/>
              <w:t>= 0.03 kg CO</w:t>
            </w:r>
            <w:r w:rsidRPr="00B275E2">
              <w:rPr>
                <w:vertAlign w:val="subscript"/>
              </w:rPr>
              <w:t>2</w:t>
            </w:r>
            <w:r w:rsidRPr="00B275E2">
              <w:t xml:space="preserve">-e </w:t>
            </w:r>
          </w:p>
          <w:p w14:paraId="52848193" w14:textId="77777777" w:rsidR="00A73976" w:rsidRPr="00B275E2" w:rsidRDefault="00A73976" w:rsidP="00E87F22">
            <w:pPr>
              <w:pStyle w:val="Boxtext"/>
              <w:tabs>
                <w:tab w:val="left" w:pos="2866"/>
                <w:tab w:val="left" w:pos="4567"/>
              </w:tabs>
              <w:spacing w:before="20" w:after="20"/>
              <w:ind w:left="850"/>
            </w:pPr>
            <w:r w:rsidRPr="00B275E2">
              <w:t>Total CO</w:t>
            </w:r>
            <w:r w:rsidRPr="00B275E2">
              <w:rPr>
                <w:vertAlign w:val="subscript"/>
              </w:rPr>
              <w:t>2</w:t>
            </w:r>
            <w:r w:rsidRPr="00B275E2">
              <w:t>-e emissions</w:t>
            </w:r>
            <w:r w:rsidRPr="00B275E2">
              <w:tab/>
              <w:t>= 1,000 × 0.031</w:t>
            </w:r>
            <w:r w:rsidRPr="00B275E2">
              <w:tab/>
              <w:t>= 31 kg CO</w:t>
            </w:r>
            <w:r w:rsidRPr="00B275E2">
              <w:rPr>
                <w:vertAlign w:val="subscript"/>
              </w:rPr>
              <w:t>2</w:t>
            </w:r>
            <w:r w:rsidRPr="00B275E2">
              <w:t xml:space="preserve">-e </w:t>
            </w:r>
          </w:p>
          <w:p w14:paraId="0E828064" w14:textId="19133E6A" w:rsidR="007824F5" w:rsidRPr="00B275E2" w:rsidRDefault="007824F5" w:rsidP="00E87F22">
            <w:pPr>
              <w:pStyle w:val="Boxtext"/>
              <w:spacing w:after="180"/>
            </w:pPr>
            <w:r w:rsidRPr="00B275E2">
              <w:rPr>
                <w:sz w:val="18"/>
              </w:rPr>
              <w:t>Note</w:t>
            </w:r>
            <w:r w:rsidR="0019141A" w:rsidRPr="00B275E2">
              <w:rPr>
                <w:sz w:val="18"/>
              </w:rPr>
              <w:t>: N</w:t>
            </w:r>
            <w:r w:rsidRPr="00B275E2">
              <w:rPr>
                <w:sz w:val="18"/>
              </w:rPr>
              <w:t>umbers may not add due to rounding</w:t>
            </w:r>
            <w:r w:rsidR="00D837FF" w:rsidRPr="00B275E2">
              <w:rPr>
                <w:sz w:val="18"/>
              </w:rPr>
              <w:t>.</w:t>
            </w:r>
          </w:p>
        </w:tc>
      </w:tr>
    </w:tbl>
    <w:p w14:paraId="2CC77CAC" w14:textId="40E0AF47" w:rsidR="00A959E4" w:rsidRPr="00B275E2" w:rsidRDefault="00A959E4" w:rsidP="006B7605">
      <w:pPr>
        <w:pStyle w:val="Heading3"/>
      </w:pPr>
      <w:bookmarkStart w:id="539" w:name="_Toc532904939"/>
      <w:bookmarkEnd w:id="538"/>
      <w:r w:rsidRPr="00B275E2">
        <w:t>Emission factor derivation methodology</w:t>
      </w:r>
      <w:bookmarkEnd w:id="539"/>
    </w:p>
    <w:p w14:paraId="0E84546A" w14:textId="05B66EA2" w:rsidR="00434227" w:rsidRPr="00B275E2" w:rsidRDefault="007824F5" w:rsidP="007F0B1E">
      <w:pPr>
        <w:pStyle w:val="BodyText"/>
      </w:pPr>
      <w:r w:rsidRPr="00B275E2">
        <w:t>We adopted the Water NZ 2016/17 National Performance Review</w:t>
      </w:r>
      <w:r w:rsidRPr="00B275E2">
        <w:rPr>
          <w:rStyle w:val="FootnoteReference"/>
        </w:rPr>
        <w:footnoteReference w:id="61"/>
      </w:r>
      <w:r w:rsidRPr="00B275E2">
        <w:t xml:space="preserve"> methodology t</w:t>
      </w:r>
      <w:r w:rsidR="00434227" w:rsidRPr="00B275E2">
        <w:t xml:space="preserve">o calculate the </w:t>
      </w:r>
      <w:r w:rsidRPr="00B275E2">
        <w:t xml:space="preserve">water supply </w:t>
      </w:r>
      <w:r w:rsidR="00434227" w:rsidRPr="00B275E2">
        <w:t>emission factors. The Water NZ review gathered data from participating water</w:t>
      </w:r>
      <w:r w:rsidR="00E87F22" w:rsidRPr="00B275E2">
        <w:t xml:space="preserve"> </w:t>
      </w:r>
      <w:r w:rsidR="00434227" w:rsidRPr="00B275E2">
        <w:t>industry bodies, which represent approximately 86 per cent of New Zealand’s population. Thirty participants in the survey provided reliable information on the energy use</w:t>
      </w:r>
      <w:r w:rsidR="000D1DBE" w:rsidRPr="00B275E2">
        <w:t> </w:t>
      </w:r>
      <w:r w:rsidR="00434227" w:rsidRPr="00B275E2">
        <w:t>of</w:t>
      </w:r>
      <w:r w:rsidR="0021315E" w:rsidRPr="00B275E2">
        <w:t> </w:t>
      </w:r>
      <w:r w:rsidR="00434227" w:rsidRPr="00B275E2">
        <w:t>their water systems</w:t>
      </w:r>
      <w:r w:rsidRPr="00B275E2">
        <w:t>,</w:t>
      </w:r>
      <w:r w:rsidR="00434227" w:rsidRPr="00B275E2">
        <w:t xml:space="preserve"> which was used to calculate national averages. In the 2016/17 </w:t>
      </w:r>
      <w:r w:rsidRPr="00B275E2">
        <w:t>period</w:t>
      </w:r>
      <w:r w:rsidR="00434227" w:rsidRPr="00B275E2">
        <w:t xml:space="preserve">, </w:t>
      </w:r>
      <w:r w:rsidRPr="00B275E2">
        <w:t xml:space="preserve">the operation of water supply pumps used </w:t>
      </w:r>
      <w:r w:rsidR="00434227" w:rsidRPr="00B275E2">
        <w:t>579 TJ of energy to supply 501</w:t>
      </w:r>
      <w:r w:rsidR="000D1DBE" w:rsidRPr="00B275E2">
        <w:t> </w:t>
      </w:r>
      <w:r w:rsidR="00434227" w:rsidRPr="00B275E2">
        <w:t>million m</w:t>
      </w:r>
      <w:r w:rsidR="00434227" w:rsidRPr="00B275E2">
        <w:rPr>
          <w:vertAlign w:val="superscript"/>
        </w:rPr>
        <w:t>3</w:t>
      </w:r>
      <w:r w:rsidR="00434227" w:rsidRPr="00B275E2">
        <w:t xml:space="preserve"> of</w:t>
      </w:r>
      <w:r w:rsidR="000D1DBE" w:rsidRPr="00B275E2">
        <w:t> </w:t>
      </w:r>
      <w:r w:rsidR="00434227" w:rsidRPr="00B275E2">
        <w:t>water</w:t>
      </w:r>
      <w:r w:rsidR="00273B9C" w:rsidRPr="00B275E2">
        <w:t>,</w:t>
      </w:r>
      <w:r w:rsidR="00434227" w:rsidRPr="00B275E2">
        <w:t xml:space="preserve"> and </w:t>
      </w:r>
      <w:r w:rsidRPr="00B275E2">
        <w:t xml:space="preserve">treatment plants used </w:t>
      </w:r>
      <w:r w:rsidR="00434227" w:rsidRPr="00B275E2">
        <w:t>an estimated 1094 TJ of energy in the treatment of about 366</w:t>
      </w:r>
      <w:r w:rsidR="000D1DBE" w:rsidRPr="00B275E2">
        <w:t> </w:t>
      </w:r>
      <w:r w:rsidR="00434227" w:rsidRPr="00B275E2">
        <w:t>million m</w:t>
      </w:r>
      <w:r w:rsidR="00434227" w:rsidRPr="00B275E2">
        <w:rPr>
          <w:vertAlign w:val="superscript"/>
        </w:rPr>
        <w:t>3</w:t>
      </w:r>
      <w:r w:rsidR="00434227" w:rsidRPr="00B275E2">
        <w:t xml:space="preserve"> of water. </w:t>
      </w:r>
      <w:r w:rsidR="00A625ED" w:rsidRPr="00B275E2">
        <w:t>This equates to a</w:t>
      </w:r>
      <w:r w:rsidR="00434227" w:rsidRPr="00B275E2">
        <w:t xml:space="preserve"> median energy intensity of 1.2 MJ of energy per cubic metre of water supplied and 3.0 MJ of energy per cubic metre of water treated.</w:t>
      </w:r>
    </w:p>
    <w:p w14:paraId="2678448D" w14:textId="3B7BDFDC" w:rsidR="00A959E4" w:rsidRPr="00B275E2" w:rsidRDefault="00D72EFE" w:rsidP="007F0B1E">
      <w:pPr>
        <w:pStyle w:val="BodyText"/>
      </w:pPr>
      <w:r w:rsidRPr="00B275E2">
        <w:t>We used a</w:t>
      </w:r>
      <w:r w:rsidR="00A959E4" w:rsidRPr="00B275E2">
        <w:t xml:space="preserve"> weighted average of participant energy use and water supply data to calculate the emission factors.</w:t>
      </w:r>
    </w:p>
    <w:p w14:paraId="6EEA9EE0" w14:textId="473E6F67" w:rsidR="00A959E4" w:rsidRPr="00B275E2" w:rsidRDefault="00D72EFE" w:rsidP="007F0B1E">
      <w:pPr>
        <w:pStyle w:val="BodyText"/>
        <w:spacing w:after="240"/>
      </w:pPr>
      <w:r w:rsidRPr="00B275E2">
        <w:t>We calculated t</w:t>
      </w:r>
      <w:r w:rsidR="00A959E4" w:rsidRPr="00B275E2">
        <w:t>he emission factors for each gas by summing the weighted averages from each participant</w:t>
      </w:r>
      <w:r w:rsidR="00273B9C" w:rsidRPr="00B275E2">
        <w:t>’</w:t>
      </w:r>
      <w:r w:rsidR="00A959E4" w:rsidRPr="00B275E2">
        <w:t>s data. The basic equation for each gas is as follows:</w:t>
      </w:r>
    </w:p>
    <w:tbl>
      <w:tblPr>
        <w:tblStyle w:val="mfebox"/>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1" w:themeFill="background2"/>
        <w:tblLook w:val="04A0" w:firstRow="1" w:lastRow="0" w:firstColumn="1" w:lastColumn="0" w:noHBand="0" w:noVBand="1"/>
      </w:tblPr>
      <w:tblGrid>
        <w:gridCol w:w="8505"/>
      </w:tblGrid>
      <w:tr w:rsidR="00A959E4" w:rsidRPr="00B275E2" w14:paraId="10DD7835" w14:textId="77777777" w:rsidTr="000D1DBE">
        <w:tc>
          <w:tcPr>
            <w:tcW w:w="8720" w:type="dxa"/>
            <w:shd w:val="clear" w:color="auto" w:fill="D2DDE1" w:themeFill="background2"/>
          </w:tcPr>
          <w:p w14:paraId="39DDE66B" w14:textId="66E5DD0E" w:rsidR="00A959E4" w:rsidRPr="00B275E2" w:rsidRDefault="00954B9C" w:rsidP="007F0B1E">
            <w:pPr>
              <w:pStyle w:val="Box"/>
              <w:spacing w:before="0" w:after="0"/>
              <w:ind w:left="0"/>
            </w:pPr>
            <m:oMathPara>
              <m:oMath>
                <m:f>
                  <m:fPr>
                    <m:ctrlPr>
                      <w:rPr>
                        <w:rFonts w:ascii="Cambria Math" w:hAnsi="Cambria Math"/>
                      </w:rPr>
                    </m:ctrlPr>
                  </m:fPr>
                  <m:num>
                    <m:r>
                      <w:rPr>
                        <w:rFonts w:ascii="Cambria Math" w:hAnsi="Cambria Math"/>
                      </w:rPr>
                      <m:t>energy</m:t>
                    </m:r>
                    <m:r>
                      <m:rPr>
                        <m:sty m:val="p"/>
                      </m:rPr>
                      <w:rPr>
                        <w:rFonts w:ascii="Cambria Math" w:hAnsi="Cambria Math"/>
                      </w:rPr>
                      <m:t xml:space="preserve"> </m:t>
                    </m:r>
                    <m:r>
                      <w:rPr>
                        <w:rFonts w:ascii="Cambria Math" w:hAnsi="Cambria Math"/>
                      </w:rPr>
                      <m:t>use</m:t>
                    </m:r>
                  </m:num>
                  <m:den>
                    <m:r>
                      <w:rPr>
                        <w:rFonts w:ascii="Cambria Math" w:hAnsi="Cambria Math"/>
                      </w:rPr>
                      <m:t>water</m:t>
                    </m:r>
                    <m:r>
                      <m:rPr>
                        <m:sty m:val="p"/>
                      </m:rPr>
                      <w:rPr>
                        <w:rFonts w:ascii="Cambria Math" w:hAnsi="Cambria Math"/>
                      </w:rPr>
                      <m:t xml:space="preserve"> </m:t>
                    </m:r>
                    <m:r>
                      <w:rPr>
                        <w:rFonts w:ascii="Cambria Math" w:hAnsi="Cambria Math"/>
                      </w:rPr>
                      <m:t>supply</m:t>
                    </m:r>
                  </m:den>
                </m:f>
                <m:r>
                  <m:rPr>
                    <m:sty m:val="p"/>
                  </m:rPr>
                  <w:rPr>
                    <w:rFonts w:ascii="Cambria Math" w:hAnsi="Cambria Math"/>
                  </w:rPr>
                  <m:t>×</m:t>
                </m:r>
                <m:r>
                  <w:rPr>
                    <w:rFonts w:ascii="Cambria Math" w:hAnsi="Cambria Math"/>
                  </w:rPr>
                  <m:t>electricity</m:t>
                </m:r>
                <m:r>
                  <m:rPr>
                    <m:sty m:val="p"/>
                  </m:rPr>
                  <w:rPr>
                    <w:rFonts w:ascii="Cambria Math" w:hAnsi="Cambria Math"/>
                  </w:rPr>
                  <m:t xml:space="preserve"> </m:t>
                </m:r>
                <m:r>
                  <w:rPr>
                    <w:rFonts w:ascii="Cambria Math" w:hAnsi="Cambria Math"/>
                  </w:rPr>
                  <m:t>emission</m:t>
                </m:r>
                <m:r>
                  <m:rPr>
                    <m:sty m:val="p"/>
                  </m:rPr>
                  <w:rPr>
                    <w:rFonts w:ascii="Cambria Math" w:hAnsi="Cambria Math"/>
                  </w:rPr>
                  <m:t xml:space="preserve"> </m:t>
                </m:r>
                <m:r>
                  <w:rPr>
                    <w:rFonts w:ascii="Cambria Math" w:hAnsi="Cambria Math"/>
                  </w:rPr>
                  <m:t>factor</m:t>
                </m:r>
                <m:r>
                  <m:rPr>
                    <m:sty m:val="p"/>
                  </m:rPr>
                  <w:rPr>
                    <w:rFonts w:ascii="Cambria Math" w:hAnsi="Cambria Math"/>
                  </w:rPr>
                  <m:t xml:space="preserve"> ×</m:t>
                </m:r>
                <m:r>
                  <w:rPr>
                    <w:rFonts w:ascii="Cambria Math" w:hAnsi="Cambria Math"/>
                  </w:rPr>
                  <m:t>unit</m:t>
                </m:r>
                <m:r>
                  <m:rPr>
                    <m:sty m:val="p"/>
                  </m:rPr>
                  <w:rPr>
                    <w:rFonts w:ascii="Cambria Math" w:hAnsi="Cambria Math"/>
                  </w:rPr>
                  <m:t xml:space="preserve"> </m:t>
                </m:r>
                <m:r>
                  <w:rPr>
                    <w:rFonts w:ascii="Cambria Math" w:hAnsi="Cambria Math"/>
                  </w:rPr>
                  <m:t>conversion</m:t>
                </m:r>
                <m:r>
                  <m:rPr>
                    <m:sty m:val="p"/>
                  </m:rPr>
                  <w:rPr>
                    <w:rFonts w:ascii="Cambria Math" w:hAnsi="Cambria Math"/>
                  </w:rPr>
                  <m:t xml:space="preserve"> </m:t>
                </m:r>
                <m:r>
                  <w:rPr>
                    <w:rFonts w:ascii="Cambria Math" w:hAnsi="Cambria Math"/>
                  </w:rPr>
                  <m:t>factor</m:t>
                </m:r>
              </m:oMath>
            </m:oMathPara>
          </w:p>
        </w:tc>
      </w:tr>
    </w:tbl>
    <w:p w14:paraId="1B593ADC" w14:textId="77777777" w:rsidR="00A959E4" w:rsidRPr="00B275E2" w:rsidRDefault="00A959E4" w:rsidP="007F0B1E">
      <w:pPr>
        <w:pStyle w:val="BodyText"/>
        <w:spacing w:before="240"/>
      </w:pPr>
      <w:r w:rsidRPr="00B275E2">
        <w:t>Where:</w:t>
      </w:r>
    </w:p>
    <w:p w14:paraId="4933C6D7" w14:textId="200FF3B7" w:rsidR="00A959E4" w:rsidRPr="00B275E2" w:rsidRDefault="00224DEE" w:rsidP="00C24B73">
      <w:pPr>
        <w:pStyle w:val="Bullet"/>
        <w:numPr>
          <w:ilvl w:val="0"/>
          <w:numId w:val="52"/>
        </w:numPr>
      </w:pPr>
      <w:r w:rsidRPr="00B275E2">
        <w:t>en</w:t>
      </w:r>
      <w:r w:rsidR="00A959E4" w:rsidRPr="00B275E2">
        <w:t xml:space="preserve">ergy use = </w:t>
      </w:r>
      <w:r w:rsidR="00273B9C" w:rsidRPr="00B275E2">
        <w:t>t</w:t>
      </w:r>
      <w:r w:rsidR="00A959E4" w:rsidRPr="00B275E2">
        <w:t>he GJ of energy used by the water system that year</w:t>
      </w:r>
    </w:p>
    <w:p w14:paraId="625FF36E" w14:textId="23AF2786" w:rsidR="00A959E4" w:rsidRPr="00B275E2" w:rsidRDefault="00224DEE" w:rsidP="00C24B73">
      <w:pPr>
        <w:pStyle w:val="Bullet"/>
        <w:numPr>
          <w:ilvl w:val="0"/>
          <w:numId w:val="52"/>
        </w:numPr>
      </w:pPr>
      <w:r w:rsidRPr="00B275E2">
        <w:t>w</w:t>
      </w:r>
      <w:r w:rsidR="00A959E4" w:rsidRPr="00B275E2">
        <w:t>ater supply = m</w:t>
      </w:r>
      <w:r w:rsidR="00A959E4" w:rsidRPr="00B275E2">
        <w:rPr>
          <w:vertAlign w:val="superscript"/>
        </w:rPr>
        <w:t>3</w:t>
      </w:r>
      <w:r w:rsidR="00D72EFE" w:rsidRPr="00B275E2">
        <w:t xml:space="preserve"> </w:t>
      </w:r>
      <w:r w:rsidR="00A959E4" w:rsidRPr="00B275E2">
        <w:t>of water supplied that year</w:t>
      </w:r>
    </w:p>
    <w:p w14:paraId="160AAE30" w14:textId="67316FB3" w:rsidR="00A959E4" w:rsidRPr="00B275E2" w:rsidRDefault="76B8698B" w:rsidP="00C24B73">
      <w:pPr>
        <w:pStyle w:val="Bullet"/>
        <w:numPr>
          <w:ilvl w:val="0"/>
          <w:numId w:val="52"/>
        </w:numPr>
      </w:pPr>
      <w:r>
        <w:t>el</w:t>
      </w:r>
      <w:r w:rsidR="14FAB11F">
        <w:t xml:space="preserve">ectricity emission factor = the </w:t>
      </w:r>
      <w:r w:rsidR="247AD579">
        <w:t xml:space="preserve">relevant gas </w:t>
      </w:r>
      <w:r w:rsidR="14FAB11F">
        <w:t>emission conversion factor (</w:t>
      </w:r>
      <w:r w:rsidR="247AD579">
        <w:t xml:space="preserve">ie, </w:t>
      </w:r>
      <w:r w:rsidR="14FAB11F">
        <w:t>CO</w:t>
      </w:r>
      <w:r w:rsidR="14FAB11F" w:rsidRPr="793BFC44">
        <w:rPr>
          <w:vertAlign w:val="subscript"/>
        </w:rPr>
        <w:t>2</w:t>
      </w:r>
      <w:r w:rsidR="14FAB11F">
        <w:t>, N</w:t>
      </w:r>
      <w:r w:rsidR="14FAB11F" w:rsidRPr="793BFC44">
        <w:rPr>
          <w:vertAlign w:val="subscript"/>
        </w:rPr>
        <w:t>2</w:t>
      </w:r>
      <w:r w:rsidR="14FAB11F">
        <w:t>O, CH</w:t>
      </w:r>
      <w:r w:rsidR="14FAB11F" w:rsidRPr="793BFC44">
        <w:rPr>
          <w:vertAlign w:val="subscript"/>
        </w:rPr>
        <w:t>4</w:t>
      </w:r>
      <w:r w:rsidR="14FAB11F">
        <w:t>)</w:t>
      </w:r>
    </w:p>
    <w:p w14:paraId="32C91824" w14:textId="0EC3F7BC" w:rsidR="00A959E4" w:rsidRPr="00B275E2" w:rsidRDefault="00224DEE" w:rsidP="00C24B73">
      <w:pPr>
        <w:pStyle w:val="Bullet"/>
        <w:numPr>
          <w:ilvl w:val="0"/>
          <w:numId w:val="52"/>
        </w:numPr>
      </w:pPr>
      <w:r w:rsidRPr="00B275E2">
        <w:t>u</w:t>
      </w:r>
      <w:r w:rsidR="00A959E4" w:rsidRPr="00B275E2">
        <w:t>nit conversion factor = 277.778 (converting GJ to kWh).</w:t>
      </w:r>
    </w:p>
    <w:p w14:paraId="67AFF976" w14:textId="77777777" w:rsidR="00A959E4" w:rsidRPr="00B275E2" w:rsidRDefault="00A959E4" w:rsidP="007F0B1E">
      <w:pPr>
        <w:pStyle w:val="BodyText"/>
      </w:pPr>
      <w:r w:rsidRPr="00B275E2">
        <w:t>This equation gives the emissions per m</w:t>
      </w:r>
      <w:r w:rsidRPr="00B275E2">
        <w:rPr>
          <w:vertAlign w:val="superscript"/>
        </w:rPr>
        <w:t>3</w:t>
      </w:r>
      <w:r w:rsidRPr="00B275E2">
        <w:t xml:space="preserve"> of water supplied.</w:t>
      </w:r>
    </w:p>
    <w:p w14:paraId="2B678D54" w14:textId="2244A763" w:rsidR="00434227" w:rsidRPr="00B275E2" w:rsidRDefault="00273B9C" w:rsidP="007F0B1E">
      <w:pPr>
        <w:pStyle w:val="BodyText"/>
        <w:spacing w:before="100" w:after="100"/>
      </w:pPr>
      <w:r w:rsidRPr="00B275E2">
        <w:rPr>
          <w:spacing w:val="-2"/>
        </w:rPr>
        <w:t xml:space="preserve">If </w:t>
      </w:r>
      <w:r w:rsidR="00D72EFE" w:rsidRPr="00B275E2">
        <w:rPr>
          <w:spacing w:val="-2"/>
        </w:rPr>
        <w:t xml:space="preserve">organisations don’t know </w:t>
      </w:r>
      <w:r w:rsidR="00434227" w:rsidRPr="00B275E2">
        <w:rPr>
          <w:spacing w:val="-2"/>
        </w:rPr>
        <w:t>the volume of water used</w:t>
      </w:r>
      <w:r w:rsidR="00D72EFE" w:rsidRPr="00B275E2">
        <w:rPr>
          <w:spacing w:val="-2"/>
        </w:rPr>
        <w:t>,</w:t>
      </w:r>
      <w:r w:rsidR="00434227" w:rsidRPr="00B275E2">
        <w:rPr>
          <w:spacing w:val="-2"/>
        </w:rPr>
        <w:t xml:space="preserve"> </w:t>
      </w:r>
      <w:r w:rsidR="00D72EFE" w:rsidRPr="00B275E2">
        <w:rPr>
          <w:spacing w:val="-2"/>
        </w:rPr>
        <w:t>they</w:t>
      </w:r>
      <w:r w:rsidR="00434227" w:rsidRPr="00B275E2">
        <w:rPr>
          <w:spacing w:val="-2"/>
        </w:rPr>
        <w:t xml:space="preserve"> can estimate </w:t>
      </w:r>
      <w:r w:rsidRPr="00B275E2">
        <w:rPr>
          <w:spacing w:val="-2"/>
        </w:rPr>
        <w:t>it</w:t>
      </w:r>
      <w:r w:rsidR="00434227" w:rsidRPr="00B275E2">
        <w:rPr>
          <w:spacing w:val="-2"/>
        </w:rPr>
        <w:t xml:space="preserve"> based on a calculated</w:t>
      </w:r>
      <w:r w:rsidR="00434227" w:rsidRPr="00B275E2">
        <w:t xml:space="preserve"> per capita (per person) emission factor. To </w:t>
      </w:r>
      <w:r w:rsidR="00D72EFE" w:rsidRPr="00B275E2">
        <w:t>develop</w:t>
      </w:r>
      <w:r w:rsidR="00434227" w:rsidRPr="00B275E2">
        <w:t xml:space="preserve"> a</w:t>
      </w:r>
      <w:r w:rsidR="00D72EFE" w:rsidRPr="00B275E2">
        <w:t xml:space="preserve"> per capita</w:t>
      </w:r>
      <w:r w:rsidR="00434227" w:rsidRPr="00B275E2">
        <w:t xml:space="preserve"> emission factor, </w:t>
      </w:r>
      <w:r w:rsidR="00D72EFE" w:rsidRPr="00B275E2">
        <w:t xml:space="preserve">we used </w:t>
      </w:r>
      <w:r w:rsidR="00434227" w:rsidRPr="00B275E2">
        <w:t xml:space="preserve">an average of 130 </w:t>
      </w:r>
      <w:r w:rsidR="00D72EFE" w:rsidRPr="00B275E2">
        <w:t>m</w:t>
      </w:r>
      <w:r w:rsidR="00D72EFE" w:rsidRPr="00B275E2">
        <w:rPr>
          <w:vertAlign w:val="superscript"/>
        </w:rPr>
        <w:t>3</w:t>
      </w:r>
      <w:r w:rsidR="00D72EFE" w:rsidRPr="00B275E2">
        <w:t xml:space="preserve"> </w:t>
      </w:r>
      <w:r w:rsidR="00434227" w:rsidRPr="00B275E2">
        <w:t>of water per person per year</w:t>
      </w:r>
      <w:r w:rsidR="00D72EFE" w:rsidRPr="00B275E2">
        <w:t>,</w:t>
      </w:r>
      <w:r w:rsidR="00434227" w:rsidRPr="00B275E2">
        <w:t xml:space="preserve"> which is calculated from the following equations and information:</w:t>
      </w:r>
    </w:p>
    <w:p w14:paraId="1DF7FAAC" w14:textId="065DE8E3" w:rsidR="00A959E4" w:rsidRPr="00B275E2" w:rsidRDefault="00A959E4" w:rsidP="000D1DBE">
      <w:pPr>
        <w:pStyle w:val="BodyText"/>
        <w:keepNext/>
        <w:spacing w:after="160"/>
      </w:pPr>
      <w:r w:rsidRPr="00B275E2">
        <w:lastRenderedPageBreak/>
        <w:t>Equation 1:</w:t>
      </w:r>
    </w:p>
    <w:tbl>
      <w:tblPr>
        <w:tblStyle w:val="mfebox"/>
        <w:tblW w:w="0" w:type="auto"/>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1" w:themeFill="background2"/>
        <w:tblLook w:val="04A0" w:firstRow="1" w:lastRow="0" w:firstColumn="1" w:lastColumn="0" w:noHBand="0" w:noVBand="1"/>
      </w:tblPr>
      <w:tblGrid>
        <w:gridCol w:w="8495"/>
      </w:tblGrid>
      <w:tr w:rsidR="00A959E4" w:rsidRPr="00B275E2" w14:paraId="4F920C19" w14:textId="77777777" w:rsidTr="000D1DBE">
        <w:tc>
          <w:tcPr>
            <w:tcW w:w="8720" w:type="dxa"/>
            <w:shd w:val="clear" w:color="auto" w:fill="D2DDE1" w:themeFill="background2"/>
          </w:tcPr>
          <w:p w14:paraId="4D584D15" w14:textId="1832D530" w:rsidR="00A959E4" w:rsidRPr="00B275E2" w:rsidRDefault="00434227" w:rsidP="00D64687">
            <w:pPr>
              <w:pStyle w:val="Box"/>
              <w:spacing w:before="0" w:after="0" w:line="240" w:lineRule="auto"/>
              <w:ind w:left="0"/>
              <w:rPr>
                <w:sz w:val="19"/>
                <w:szCs w:val="19"/>
              </w:rPr>
            </w:pPr>
            <m:oMathPara>
              <m:oMath>
                <m:r>
                  <w:rPr>
                    <w:rFonts w:ascii="Cambria Math" w:hAnsi="Cambria Math"/>
                    <w:sz w:val="19"/>
                    <w:szCs w:val="19"/>
                  </w:rPr>
                  <m:t>average</m:t>
                </m:r>
                <m:r>
                  <m:rPr>
                    <m:sty m:val="p"/>
                  </m:rPr>
                  <w:rPr>
                    <w:rFonts w:ascii="Cambria Math" w:hAnsi="Cambria Math"/>
                    <w:sz w:val="19"/>
                    <w:szCs w:val="19"/>
                  </w:rPr>
                  <m:t xml:space="preserve"> </m:t>
                </m:r>
                <m:r>
                  <w:rPr>
                    <w:rFonts w:ascii="Cambria Math" w:hAnsi="Cambria Math"/>
                    <w:sz w:val="19"/>
                    <w:szCs w:val="19"/>
                  </w:rPr>
                  <m:t>volume of water supplied per person=</m:t>
                </m:r>
                <m:f>
                  <m:fPr>
                    <m:ctrlPr>
                      <w:rPr>
                        <w:rFonts w:ascii="Cambria Math" w:hAnsi="Cambria Math"/>
                        <w:i/>
                        <w:sz w:val="19"/>
                        <w:szCs w:val="19"/>
                      </w:rPr>
                    </m:ctrlPr>
                  </m:fPr>
                  <m:num>
                    <m:r>
                      <w:rPr>
                        <w:rFonts w:ascii="Cambria Math" w:hAnsi="Cambria Math"/>
                        <w:sz w:val="19"/>
                        <w:szCs w:val="19"/>
                      </w:rPr>
                      <m:t>water supplied</m:t>
                    </m:r>
                  </m:num>
                  <m:den>
                    <m:r>
                      <w:rPr>
                        <w:rFonts w:ascii="Cambria Math" w:hAnsi="Cambria Math"/>
                        <w:sz w:val="19"/>
                        <w:szCs w:val="19"/>
                      </w:rPr>
                      <m:t>population served by WWTP</m:t>
                    </m:r>
                  </m:den>
                </m:f>
                <m:r>
                  <m:rPr>
                    <m:sty m:val="p"/>
                  </m:rPr>
                  <w:rPr>
                    <w:rFonts w:ascii="Cambria Math" w:hAnsi="Cambria Math"/>
                    <w:sz w:val="19"/>
                    <w:szCs w:val="19"/>
                  </w:rPr>
                  <m:t xml:space="preserve"> </m:t>
                </m:r>
              </m:oMath>
            </m:oMathPara>
          </w:p>
        </w:tc>
      </w:tr>
    </w:tbl>
    <w:p w14:paraId="1B9BB954" w14:textId="73F6B49A" w:rsidR="00D72EFE" w:rsidRPr="00B275E2" w:rsidRDefault="00A959E4" w:rsidP="000D1DBE">
      <w:pPr>
        <w:pStyle w:val="BodyText"/>
        <w:spacing w:before="240" w:after="160"/>
      </w:pPr>
      <w:r w:rsidRPr="00B275E2">
        <w:t xml:space="preserve">Equation 2: </w:t>
      </w:r>
    </w:p>
    <w:tbl>
      <w:tblPr>
        <w:tblStyle w:val="mfebox"/>
        <w:tblW w:w="0" w:type="auto"/>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495"/>
      </w:tblGrid>
      <w:tr w:rsidR="00A959E4" w:rsidRPr="00B275E2" w14:paraId="3926EB12" w14:textId="77777777" w:rsidTr="000D1DBE">
        <w:tc>
          <w:tcPr>
            <w:tcW w:w="8720" w:type="dxa"/>
            <w:shd w:val="clear" w:color="auto" w:fill="D2DDE1" w:themeFill="background2"/>
          </w:tcPr>
          <w:p w14:paraId="29799A73" w14:textId="6B0AD672" w:rsidR="00A959E4" w:rsidRPr="00B275E2" w:rsidRDefault="00ED3F75" w:rsidP="007F0B1E">
            <w:pPr>
              <w:pStyle w:val="Box"/>
              <w:spacing w:before="0" w:after="0"/>
              <w:ind w:left="0"/>
              <w:rPr>
                <w:sz w:val="19"/>
                <w:szCs w:val="19"/>
              </w:rPr>
            </w:pPr>
            <m:oMath>
              <m:r>
                <w:rPr>
                  <w:rFonts w:ascii="Cambria Math" w:hAnsi="Cambria Math"/>
                  <w:sz w:val="19"/>
                  <w:szCs w:val="19"/>
                </w:rPr>
                <m:t xml:space="preserve">average volume of water supplied per person ×emission factors for water supplied in </m:t>
              </m:r>
              <m:sSup>
                <m:sSupPr>
                  <m:ctrlPr>
                    <w:rPr>
                      <w:rFonts w:ascii="Cambria Math" w:hAnsi="Cambria Math"/>
                      <w:i/>
                      <w:sz w:val="19"/>
                      <w:szCs w:val="19"/>
                    </w:rPr>
                  </m:ctrlPr>
                </m:sSupPr>
                <m:e>
                  <m:r>
                    <w:rPr>
                      <w:rFonts w:ascii="Cambria Math" w:hAnsi="Cambria Math"/>
                      <w:sz w:val="19"/>
                      <w:szCs w:val="19"/>
                    </w:rPr>
                    <m:t>m</m:t>
                  </m:r>
                </m:e>
                <m:sup>
                  <m:r>
                    <w:rPr>
                      <w:rFonts w:ascii="Cambria Math" w:hAnsi="Cambria Math"/>
                      <w:sz w:val="19"/>
                      <w:szCs w:val="19"/>
                    </w:rPr>
                    <m:t>3</m:t>
                  </m:r>
                </m:sup>
              </m:sSup>
              <m:r>
                <w:rPr>
                  <w:rFonts w:ascii="Cambria Math" w:hAnsi="Cambria Math"/>
                  <w:sz w:val="19"/>
                  <w:szCs w:val="19"/>
                </w:rPr>
                <m:t>=</m:t>
              </m:r>
            </m:oMath>
            <w:r w:rsidR="00D72EFE" w:rsidRPr="00B275E2">
              <w:rPr>
                <w:i/>
                <w:sz w:val="19"/>
                <w:szCs w:val="19"/>
              </w:rPr>
              <w:t xml:space="preserve"> </w:t>
            </w:r>
            <w:r w:rsidR="00A959E4" w:rsidRPr="00B275E2">
              <w:rPr>
                <w:rFonts w:asciiTheme="majorHAnsi" w:hAnsiTheme="majorHAnsi"/>
                <w:i/>
                <w:sz w:val="19"/>
                <w:szCs w:val="19"/>
              </w:rPr>
              <w:t>emission factors for water supplied per capita</w:t>
            </w:r>
          </w:p>
        </w:tc>
      </w:tr>
    </w:tbl>
    <w:p w14:paraId="2514DB58" w14:textId="77777777" w:rsidR="00434227" w:rsidRPr="00B275E2" w:rsidRDefault="00434227" w:rsidP="00D64687">
      <w:pPr>
        <w:pStyle w:val="BodyText"/>
        <w:spacing w:before="240" w:after="100" w:line="260" w:lineRule="atLeast"/>
      </w:pPr>
      <w:r w:rsidRPr="00B275E2">
        <w:t>Where:</w:t>
      </w:r>
    </w:p>
    <w:p w14:paraId="1AE2B336" w14:textId="77777777" w:rsidR="00434227" w:rsidRPr="00B275E2" w:rsidRDefault="00434227" w:rsidP="00C24B73">
      <w:pPr>
        <w:pStyle w:val="Bullet"/>
        <w:numPr>
          <w:ilvl w:val="0"/>
          <w:numId w:val="51"/>
        </w:numPr>
        <w:spacing w:after="100"/>
      </w:pPr>
      <w:r w:rsidRPr="00B275E2">
        <w:t>m</w:t>
      </w:r>
      <w:r w:rsidRPr="00B275E2">
        <w:rPr>
          <w:vertAlign w:val="superscript"/>
        </w:rPr>
        <w:t>3</w:t>
      </w:r>
      <w:r w:rsidRPr="00B275E2">
        <w:t xml:space="preserve"> of water supplied nationwide is 550,000,000</w:t>
      </w:r>
      <w:r w:rsidRPr="00B275E2">
        <w:rPr>
          <w:rStyle w:val="FootnoteReference"/>
        </w:rPr>
        <w:footnoteReference w:id="62"/>
      </w:r>
    </w:p>
    <w:p w14:paraId="0601DB03" w14:textId="37E4A8A8" w:rsidR="00434227" w:rsidRPr="00B275E2" w:rsidRDefault="002B7ED1" w:rsidP="00C24B73">
      <w:pPr>
        <w:pStyle w:val="Bullet"/>
        <w:numPr>
          <w:ilvl w:val="0"/>
          <w:numId w:val="51"/>
        </w:numPr>
        <w:spacing w:after="100"/>
      </w:pPr>
      <w:r w:rsidRPr="00B275E2">
        <w:t>p</w:t>
      </w:r>
      <w:r w:rsidR="00434227" w:rsidRPr="00B275E2">
        <w:t>opulation served by WWTP is approximately 4.</w:t>
      </w:r>
      <w:r w:rsidR="0019257E" w:rsidRPr="00B275E2">
        <w:t>55</w:t>
      </w:r>
      <w:r w:rsidR="00434227" w:rsidRPr="00B275E2">
        <w:t xml:space="preserve"> million</w:t>
      </w:r>
      <w:r w:rsidR="0071351B" w:rsidRPr="00B275E2">
        <w:t>.</w:t>
      </w:r>
      <w:r w:rsidR="00434227" w:rsidRPr="00B275E2">
        <w:rPr>
          <w:rStyle w:val="FootnoteReference"/>
        </w:rPr>
        <w:footnoteReference w:id="63"/>
      </w:r>
    </w:p>
    <w:p w14:paraId="7B4876EC" w14:textId="2E8B727C" w:rsidR="00A959E4" w:rsidRPr="00B275E2" w:rsidRDefault="14FAB11F" w:rsidP="006B7605">
      <w:pPr>
        <w:pStyle w:val="Heading3"/>
      </w:pPr>
      <w:bookmarkStart w:id="540" w:name="_Toc532904940"/>
      <w:r>
        <w:t>Assumptions, limitations and uncertainties</w:t>
      </w:r>
      <w:bookmarkEnd w:id="540"/>
    </w:p>
    <w:p w14:paraId="26072BD4" w14:textId="05F4846D" w:rsidR="00A959E4" w:rsidRPr="00B275E2" w:rsidRDefault="00A959E4" w:rsidP="00D64687">
      <w:pPr>
        <w:pStyle w:val="BodyText"/>
        <w:spacing w:before="100" w:after="100" w:line="270" w:lineRule="atLeast"/>
      </w:pPr>
      <w:r w:rsidRPr="00B275E2">
        <w:t>The data adopted from Water NZ do not account for emission</w:t>
      </w:r>
      <w:r w:rsidR="00D72EFE" w:rsidRPr="00B275E2">
        <w:t>s</w:t>
      </w:r>
      <w:r w:rsidRPr="00B275E2">
        <w:t xml:space="preserve"> outside those associated with</w:t>
      </w:r>
      <w:r w:rsidR="000D1DBE" w:rsidRPr="00B275E2">
        <w:t> </w:t>
      </w:r>
      <w:r w:rsidRPr="00B275E2">
        <w:t xml:space="preserve">the national electricity grid and therefore </w:t>
      </w:r>
      <w:r w:rsidR="00D72EFE" w:rsidRPr="00B275E2">
        <w:t>may</w:t>
      </w:r>
      <w:r w:rsidRPr="00B275E2">
        <w:t xml:space="preserve"> underestimate the total </w:t>
      </w:r>
      <w:r w:rsidR="00D72EFE" w:rsidRPr="00B275E2">
        <w:t>GHG</w:t>
      </w:r>
      <w:r w:rsidRPr="00B275E2">
        <w:t xml:space="preserve"> emissions</w:t>
      </w:r>
      <w:r w:rsidR="00E971D5" w:rsidRPr="00B275E2">
        <w:t>,</w:t>
      </w:r>
      <w:r w:rsidRPr="00B275E2">
        <w:t xml:space="preserve"> depending on the </w:t>
      </w:r>
      <w:r w:rsidR="00E971D5" w:rsidRPr="00B275E2">
        <w:t xml:space="preserve">water supplier’s </w:t>
      </w:r>
      <w:r w:rsidRPr="00B275E2">
        <w:t>facilities and processes.</w:t>
      </w:r>
    </w:p>
    <w:p w14:paraId="7C2933A9" w14:textId="568B473F" w:rsidR="00A959E4" w:rsidRPr="00B275E2" w:rsidRDefault="00A959E4" w:rsidP="00D64687">
      <w:pPr>
        <w:pStyle w:val="BodyText"/>
        <w:spacing w:before="100" w:after="100" w:line="270" w:lineRule="atLeast"/>
      </w:pPr>
      <w:r w:rsidRPr="00B275E2">
        <w:rPr>
          <w:spacing w:val="2"/>
        </w:rPr>
        <w:t xml:space="preserve">The assumptions used for water supply per person are inherently uncertain and </w:t>
      </w:r>
      <w:r w:rsidR="00D72EFE" w:rsidRPr="00B275E2">
        <w:rPr>
          <w:spacing w:val="2"/>
        </w:rPr>
        <w:t xml:space="preserve">organisations </w:t>
      </w:r>
      <w:r w:rsidRPr="00B275E2">
        <w:rPr>
          <w:spacing w:val="2"/>
        </w:rPr>
        <w:t>should only use</w:t>
      </w:r>
      <w:r w:rsidR="00D72EFE" w:rsidRPr="00B275E2">
        <w:rPr>
          <w:spacing w:val="2"/>
        </w:rPr>
        <w:t xml:space="preserve"> </w:t>
      </w:r>
      <w:r w:rsidR="0071351B" w:rsidRPr="00B275E2">
        <w:rPr>
          <w:spacing w:val="2"/>
        </w:rPr>
        <w:t xml:space="preserve">them </w:t>
      </w:r>
      <w:r w:rsidRPr="00B275E2">
        <w:rPr>
          <w:spacing w:val="2"/>
        </w:rPr>
        <w:t>in the absence of water volume</w:t>
      </w:r>
      <w:r w:rsidR="00D72EFE" w:rsidRPr="00B275E2">
        <w:rPr>
          <w:spacing w:val="2"/>
        </w:rPr>
        <w:t xml:space="preserve"> data</w:t>
      </w:r>
      <w:r w:rsidRPr="00B275E2">
        <w:rPr>
          <w:spacing w:val="2"/>
        </w:rPr>
        <w:t xml:space="preserve">. </w:t>
      </w:r>
      <w:r w:rsidR="00E971D5" w:rsidRPr="00B275E2">
        <w:rPr>
          <w:spacing w:val="2"/>
        </w:rPr>
        <w:t>They do</w:t>
      </w:r>
      <w:r w:rsidR="00D72EFE" w:rsidRPr="00B275E2">
        <w:rPr>
          <w:spacing w:val="2"/>
        </w:rPr>
        <w:t xml:space="preserve"> not account for f</w:t>
      </w:r>
      <w:r w:rsidRPr="00B275E2">
        <w:rPr>
          <w:spacing w:val="2"/>
        </w:rPr>
        <w:t>actors such as seasonal use of water, water</w:t>
      </w:r>
      <w:r w:rsidR="0071351B" w:rsidRPr="00B275E2">
        <w:rPr>
          <w:spacing w:val="2"/>
        </w:rPr>
        <w:t>-</w:t>
      </w:r>
      <w:r w:rsidRPr="00B275E2">
        <w:rPr>
          <w:spacing w:val="2"/>
        </w:rPr>
        <w:t>intensive activities such as gardening, lifestyle choices and geography</w:t>
      </w:r>
      <w:r w:rsidR="00E971D5" w:rsidRPr="00B275E2">
        <w:rPr>
          <w:spacing w:val="2"/>
        </w:rPr>
        <w:t>,</w:t>
      </w:r>
      <w:r w:rsidRPr="00B275E2">
        <w:rPr>
          <w:spacing w:val="2"/>
        </w:rPr>
        <w:t xml:space="preserve"> and therefore per person water supply reflects only an average.</w:t>
      </w:r>
      <w:r w:rsidR="00661EA7" w:rsidRPr="00B275E2">
        <w:rPr>
          <w:spacing w:val="2"/>
        </w:rPr>
        <w:t xml:space="preserve"> </w:t>
      </w:r>
      <w:r w:rsidR="00130596" w:rsidRPr="00B275E2">
        <w:rPr>
          <w:spacing w:val="2"/>
        </w:rPr>
        <w:t>Furthermore, t</w:t>
      </w:r>
      <w:r w:rsidR="00661EA7" w:rsidRPr="00B275E2">
        <w:rPr>
          <w:spacing w:val="2"/>
        </w:rPr>
        <w:t xml:space="preserve">he figure is based on a national average of water usage throughout the year and will overestimate emissions from office use </w:t>
      </w:r>
      <w:r w:rsidR="00130596" w:rsidRPr="00B275E2">
        <w:rPr>
          <w:spacing w:val="2"/>
        </w:rPr>
        <w:t>per capita</w:t>
      </w:r>
      <w:r w:rsidR="00E971D5" w:rsidRPr="00B275E2">
        <w:rPr>
          <w:spacing w:val="2"/>
        </w:rPr>
        <w:t>. This is</w:t>
      </w:r>
      <w:r w:rsidR="00130596" w:rsidRPr="00B275E2">
        <w:rPr>
          <w:spacing w:val="2"/>
        </w:rPr>
        <w:t xml:space="preserve"> because employees do not spend 100</w:t>
      </w:r>
      <w:r w:rsidR="00AB3F6F" w:rsidRPr="00B275E2">
        <w:rPr>
          <w:spacing w:val="2"/>
        </w:rPr>
        <w:t xml:space="preserve"> per cent</w:t>
      </w:r>
      <w:r w:rsidR="00130596" w:rsidRPr="00B275E2">
        <w:rPr>
          <w:spacing w:val="2"/>
        </w:rPr>
        <w:t xml:space="preserve"> of their time in the office</w:t>
      </w:r>
      <w:r w:rsidR="00E971D5" w:rsidRPr="00B275E2">
        <w:rPr>
          <w:spacing w:val="2"/>
        </w:rPr>
        <w:t>,</w:t>
      </w:r>
      <w:r w:rsidR="00130596" w:rsidRPr="00B275E2">
        <w:rPr>
          <w:spacing w:val="2"/>
        </w:rPr>
        <w:t xml:space="preserve"> and it is likely that</w:t>
      </w:r>
      <w:r w:rsidR="00E949FF">
        <w:rPr>
          <w:spacing w:val="2"/>
        </w:rPr>
        <w:t> </w:t>
      </w:r>
      <w:r w:rsidR="00130596" w:rsidRPr="00B275E2">
        <w:rPr>
          <w:spacing w:val="2"/>
        </w:rPr>
        <w:t xml:space="preserve"> </w:t>
      </w:r>
      <w:r w:rsidR="00E971D5" w:rsidRPr="00B275E2">
        <w:rPr>
          <w:spacing w:val="2"/>
        </w:rPr>
        <w:t>most</w:t>
      </w:r>
      <w:r w:rsidR="00130596" w:rsidRPr="00B275E2">
        <w:rPr>
          <w:spacing w:val="2"/>
        </w:rPr>
        <w:t xml:space="preserve"> of their water usage will be outside working hours.</w:t>
      </w:r>
    </w:p>
    <w:p w14:paraId="53AFDDD1" w14:textId="24C85056" w:rsidR="00A959E4" w:rsidRPr="00B275E2" w:rsidRDefault="00A959E4" w:rsidP="00C24B73">
      <w:pPr>
        <w:pStyle w:val="Heading2"/>
        <w:numPr>
          <w:ilvl w:val="0"/>
          <w:numId w:val="30"/>
        </w:numPr>
        <w:spacing w:before="240"/>
      </w:pPr>
      <w:bookmarkStart w:id="541" w:name="_Toc532904941"/>
      <w:bookmarkStart w:id="542" w:name="_Toc600596"/>
      <w:bookmarkStart w:id="543" w:name="_Toc111536809"/>
      <w:r w:rsidRPr="00B275E2">
        <w:t>Wastewater treatment</w:t>
      </w:r>
      <w:bookmarkEnd w:id="543"/>
      <w:r w:rsidRPr="00B275E2">
        <w:t xml:space="preserve"> </w:t>
      </w:r>
      <w:bookmarkEnd w:id="541"/>
      <w:bookmarkEnd w:id="542"/>
    </w:p>
    <w:p w14:paraId="4762DC9E" w14:textId="05CA1F92" w:rsidR="00A21C76" w:rsidRPr="00B275E2" w:rsidRDefault="00E36932" w:rsidP="00D64687">
      <w:pPr>
        <w:pStyle w:val="BodyText"/>
        <w:spacing w:before="100" w:after="100" w:line="270" w:lineRule="atLeast"/>
      </w:pPr>
      <w:bookmarkStart w:id="544" w:name="_Hlk532894375"/>
      <w:r w:rsidRPr="00B275E2">
        <w:t xml:space="preserve">The emissions factors for specific types of wastewater treatment plants have been removed from these guidelines, and </w:t>
      </w:r>
      <w:r w:rsidR="00AC4F57" w:rsidRPr="00B275E2">
        <w:t>we advise</w:t>
      </w:r>
      <w:r w:rsidRPr="00B275E2">
        <w:t xml:space="preserve"> users seeking this information to use WaterNZ’s guidelines instead for much better accuracy. Average factors remain in the measuring emissions guide for general use.</w:t>
      </w:r>
    </w:p>
    <w:p w14:paraId="5466CF34" w14:textId="0B654709" w:rsidR="00D72EFE" w:rsidRPr="00B275E2" w:rsidRDefault="00D72EFE" w:rsidP="00D64687">
      <w:pPr>
        <w:pStyle w:val="BodyText"/>
        <w:spacing w:before="100" w:after="100" w:line="270" w:lineRule="atLeast"/>
      </w:pPr>
      <w:r w:rsidRPr="00B275E2">
        <w:t>We converted e</w:t>
      </w:r>
      <w:r w:rsidR="00F066FA" w:rsidRPr="00B275E2">
        <w:t xml:space="preserve">nergy use (kWh) to GHG emissions and </w:t>
      </w:r>
      <w:r w:rsidRPr="00B275E2">
        <w:t xml:space="preserve">added </w:t>
      </w:r>
      <w:r w:rsidR="00F066FA" w:rsidRPr="00B275E2">
        <w:t xml:space="preserve">these to the treatment process emissions to give the total emissions from wastewater treatment in New </w:t>
      </w:r>
      <w:r w:rsidR="00191A66" w:rsidRPr="00B275E2">
        <w:t>Zealand.</w:t>
      </w:r>
    </w:p>
    <w:bookmarkEnd w:id="544"/>
    <w:p w14:paraId="1CDD8BD8" w14:textId="4ECF9913" w:rsidR="00A959E4" w:rsidRPr="00B275E2" w:rsidRDefault="00A959E4" w:rsidP="00D64687">
      <w:pPr>
        <w:pStyle w:val="BodyText"/>
        <w:spacing w:before="100" w:after="100" w:line="270" w:lineRule="atLeast"/>
        <w:rPr>
          <w:rFonts w:eastAsia="Times New Roman"/>
        </w:rPr>
      </w:pPr>
      <w:r w:rsidRPr="00B275E2">
        <w:t>W</w:t>
      </w:r>
      <w:r w:rsidR="00D72EFE" w:rsidRPr="00B275E2">
        <w:t>e provide w</w:t>
      </w:r>
      <w:r w:rsidRPr="00B275E2">
        <w:t>astewater treatment emission factors</w:t>
      </w:r>
      <w:r w:rsidR="003B5F6D" w:rsidRPr="00B275E2">
        <w:t xml:space="preserve"> in </w:t>
      </w:r>
      <w:r w:rsidR="002838DD" w:rsidRPr="00B275E2">
        <w:t xml:space="preserve">table </w:t>
      </w:r>
      <w:r w:rsidR="0041361A" w:rsidRPr="00B275E2">
        <w:t>7</w:t>
      </w:r>
      <w:r w:rsidR="006E1FA8">
        <w:t>3</w:t>
      </w:r>
      <w:r w:rsidR="003B5F6D" w:rsidRPr="00B275E2">
        <w:rPr>
          <w:color w:val="32809C" w:themeColor="accent2"/>
        </w:rPr>
        <w:t xml:space="preserve"> </w:t>
      </w:r>
      <w:r w:rsidR="003B5F6D" w:rsidRPr="00B275E2">
        <w:t>and</w:t>
      </w:r>
      <w:r w:rsidR="003B5F6D" w:rsidRPr="00B275E2">
        <w:rPr>
          <w:color w:val="32809C" w:themeColor="accent2"/>
        </w:rPr>
        <w:t xml:space="preserve"> </w:t>
      </w:r>
      <w:r w:rsidR="007D2D78" w:rsidRPr="00B275E2">
        <w:t xml:space="preserve">table </w:t>
      </w:r>
      <w:r w:rsidR="0041361A" w:rsidRPr="00B275E2">
        <w:rPr>
          <w:rStyle w:val="Hyperlink"/>
          <w:color w:val="auto"/>
        </w:rPr>
        <w:t>7</w:t>
      </w:r>
      <w:r w:rsidR="006E1FA8">
        <w:rPr>
          <w:rStyle w:val="Hyperlink"/>
          <w:color w:val="auto"/>
        </w:rPr>
        <w:t>4</w:t>
      </w:r>
      <w:r w:rsidR="003B5F6D" w:rsidRPr="00B275E2">
        <w:t xml:space="preserve">. </w:t>
      </w:r>
      <w:bookmarkStart w:id="545" w:name="_Hlk532894475"/>
      <w:r w:rsidR="006A47D1" w:rsidRPr="00B275E2">
        <w:t>Some industries produce wastewater that is particularly high in biological oxygen demand (BOD)</w:t>
      </w:r>
      <w:bookmarkEnd w:id="545"/>
      <w:r w:rsidR="006A47D1" w:rsidRPr="00B275E2">
        <w:t xml:space="preserve">. For this reason, we developed industrial wastewater emission factors for the </w:t>
      </w:r>
      <w:bookmarkStart w:id="546" w:name="_Hlk532894491"/>
      <w:r w:rsidR="00A625ED" w:rsidRPr="00B275E2">
        <w:t>m</w:t>
      </w:r>
      <w:r w:rsidR="006A47D1" w:rsidRPr="00B275E2">
        <w:t xml:space="preserve">eat, </w:t>
      </w:r>
      <w:r w:rsidR="00A625ED" w:rsidRPr="00B275E2">
        <w:t>p</w:t>
      </w:r>
      <w:r w:rsidR="006A47D1" w:rsidRPr="00B275E2">
        <w:t xml:space="preserve">oultry, </w:t>
      </w:r>
      <w:r w:rsidR="00A625ED" w:rsidRPr="00B275E2">
        <w:t>p</w:t>
      </w:r>
      <w:r w:rsidR="006A47D1" w:rsidRPr="00B275E2">
        <w:t xml:space="preserve">ulp </w:t>
      </w:r>
      <w:r w:rsidR="00E971D5" w:rsidRPr="00B275E2">
        <w:t xml:space="preserve">and </w:t>
      </w:r>
      <w:r w:rsidR="00A625ED" w:rsidRPr="00B275E2">
        <w:t>paper, w</w:t>
      </w:r>
      <w:r w:rsidR="006A47D1" w:rsidRPr="00B275E2">
        <w:t xml:space="preserve">ine and </w:t>
      </w:r>
      <w:r w:rsidR="00A625ED" w:rsidRPr="00B275E2">
        <w:t>d</w:t>
      </w:r>
      <w:r w:rsidR="006A47D1" w:rsidRPr="00B275E2">
        <w:t xml:space="preserve">airy sectors. </w:t>
      </w:r>
      <w:bookmarkEnd w:id="546"/>
      <w:r w:rsidR="006A47D1" w:rsidRPr="00B275E2">
        <w:t xml:space="preserve">Manufacturing organisations in these sectors should use the specific industrial wastewater factors. All other organisations should use the domestic </w:t>
      </w:r>
      <w:r w:rsidR="006A47D1" w:rsidRPr="00B275E2">
        <w:lastRenderedPageBreak/>
        <w:t>wastewater factor</w:t>
      </w:r>
      <w:r w:rsidR="004C0D3A" w:rsidRPr="00B275E2">
        <w:t>s</w:t>
      </w:r>
      <w:r w:rsidR="006A47D1" w:rsidRPr="00B275E2">
        <w:t>.</w:t>
      </w:r>
      <w:r w:rsidR="00BD3421" w:rsidRPr="00B275E2">
        <w:t xml:space="preserve"> Where the do</w:t>
      </w:r>
      <w:r w:rsidR="00D562F1" w:rsidRPr="00B275E2">
        <w:t xml:space="preserve">mestic wastewater treatment type is unknown use the </w:t>
      </w:r>
      <w:r w:rsidR="00E514B8" w:rsidRPr="00B275E2">
        <w:t>a</w:t>
      </w:r>
      <w:r w:rsidR="00D562F1" w:rsidRPr="00B275E2">
        <w:t>verage for wastewater treatment plants</w:t>
      </w:r>
      <w:r w:rsidR="00F82AA2" w:rsidRPr="00B275E2">
        <w:t xml:space="preserve"> in </w:t>
      </w:r>
      <w:r w:rsidR="00D539F6" w:rsidRPr="00B275E2">
        <w:t>the table below.</w:t>
      </w:r>
      <w:r w:rsidR="00904391" w:rsidRPr="00B275E2">
        <w:t xml:space="preserve"> </w:t>
      </w:r>
    </w:p>
    <w:p w14:paraId="7A4AAD0A" w14:textId="145BBE69" w:rsidR="00A959E4" w:rsidRPr="00B275E2" w:rsidRDefault="00EB4389" w:rsidP="00517C20">
      <w:pPr>
        <w:pStyle w:val="Tableheading"/>
      </w:pPr>
      <w:bookmarkStart w:id="547" w:name="_Ref55207744"/>
      <w:bookmarkStart w:id="548" w:name="_Toc111536678"/>
      <w:r w:rsidRPr="00B275E2">
        <w:t xml:space="preserve">Table </w:t>
      </w:r>
      <w:r w:rsidRPr="00B275E2">
        <w:fldChar w:fldCharType="begin"/>
      </w:r>
      <w:r w:rsidRPr="00B275E2">
        <w:instrText>SEQ Table \* ARABIC</w:instrText>
      </w:r>
      <w:r w:rsidRPr="00B275E2">
        <w:fldChar w:fldCharType="separate"/>
      </w:r>
      <w:r>
        <w:rPr>
          <w:noProof/>
        </w:rPr>
        <w:t>73</w:t>
      </w:r>
      <w:r w:rsidRPr="00B275E2">
        <w:fldChar w:fldCharType="end"/>
      </w:r>
      <w:r w:rsidRPr="00B275E2">
        <w:t>:</w:t>
      </w:r>
      <w:r w:rsidRPr="00B275E2">
        <w:tab/>
      </w:r>
      <w:r w:rsidR="00A959E4" w:rsidRPr="00B275E2">
        <w:t>Domestic wastewater treatment emission factors</w:t>
      </w:r>
      <w:bookmarkEnd w:id="547"/>
      <w:bookmarkEnd w:id="548"/>
    </w:p>
    <w:tbl>
      <w:tblPr>
        <w:tblStyle w:val="LightList-Accent11"/>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ook w:val="04A0" w:firstRow="1" w:lastRow="0" w:firstColumn="1" w:lastColumn="0" w:noHBand="0" w:noVBand="1"/>
      </w:tblPr>
      <w:tblGrid>
        <w:gridCol w:w="2122"/>
        <w:gridCol w:w="1559"/>
        <w:gridCol w:w="1276"/>
        <w:gridCol w:w="1208"/>
        <w:gridCol w:w="1153"/>
        <w:gridCol w:w="1187"/>
      </w:tblGrid>
      <w:tr w:rsidR="00744A59" w:rsidRPr="00B275E2" w14:paraId="5C255054" w14:textId="77777777" w:rsidTr="00517C2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2" w:type="dxa"/>
            <w:shd w:val="clear" w:color="auto" w:fill="1B556B" w:themeFill="text2"/>
            <w:noWrap/>
            <w:vAlign w:val="bottom"/>
            <w:hideMark/>
          </w:tcPr>
          <w:p w14:paraId="1DDD5517" w14:textId="77777777" w:rsidR="00744A59" w:rsidRPr="00B275E2" w:rsidRDefault="00744A59" w:rsidP="00771FEB">
            <w:pPr>
              <w:pStyle w:val="TableText"/>
              <w:spacing w:before="20" w:after="20"/>
              <w:rPr>
                <w:rFonts w:cs="Calibri"/>
                <w:szCs w:val="18"/>
              </w:rPr>
            </w:pPr>
            <w:r w:rsidRPr="00B275E2">
              <w:rPr>
                <w:rFonts w:cs="Calibri"/>
                <w:szCs w:val="18"/>
              </w:rPr>
              <w:t>Emission source</w:t>
            </w:r>
          </w:p>
        </w:tc>
        <w:tc>
          <w:tcPr>
            <w:tcW w:w="1559" w:type="dxa"/>
            <w:shd w:val="clear" w:color="auto" w:fill="1B556B" w:themeFill="text2"/>
            <w:noWrap/>
            <w:vAlign w:val="bottom"/>
            <w:hideMark/>
          </w:tcPr>
          <w:p w14:paraId="4F1621F4" w14:textId="77777777" w:rsidR="00744A59" w:rsidRPr="00B275E2" w:rsidRDefault="00744A59" w:rsidP="00771FEB">
            <w:pPr>
              <w:pStyle w:val="TableText"/>
              <w:spacing w:before="20" w:after="20"/>
              <w:cnfStyle w:val="100000000000" w:firstRow="1" w:lastRow="0" w:firstColumn="0" w:lastColumn="0" w:oddVBand="0" w:evenVBand="0" w:oddHBand="0" w:evenHBand="0" w:firstRowFirstColumn="0" w:firstRowLastColumn="0" w:lastRowFirstColumn="0" w:lastRowLastColumn="0"/>
              <w:rPr>
                <w:rFonts w:cs="Calibri"/>
                <w:szCs w:val="18"/>
              </w:rPr>
            </w:pPr>
            <w:r w:rsidRPr="00B275E2">
              <w:rPr>
                <w:rFonts w:cs="Calibri"/>
                <w:szCs w:val="18"/>
              </w:rPr>
              <w:t>Unit</w:t>
            </w:r>
          </w:p>
        </w:tc>
        <w:tc>
          <w:tcPr>
            <w:tcW w:w="1276" w:type="dxa"/>
            <w:shd w:val="clear" w:color="auto" w:fill="D2DDE1" w:themeFill="background2"/>
            <w:noWrap/>
            <w:vAlign w:val="bottom"/>
            <w:hideMark/>
          </w:tcPr>
          <w:p w14:paraId="1F217C3D" w14:textId="77777777" w:rsidR="00744A59" w:rsidRPr="00B275E2" w:rsidRDefault="00744A59" w:rsidP="00771FEB">
            <w:pPr>
              <w:pStyle w:val="TableText"/>
              <w:spacing w:before="20" w:after="20"/>
              <w:jc w:val="right"/>
              <w:cnfStyle w:val="100000000000" w:firstRow="1" w:lastRow="0" w:firstColumn="0" w:lastColumn="0" w:oddVBand="0" w:evenVBand="0" w:oddHBand="0" w:evenHBand="0" w:firstRowFirstColumn="0" w:firstRowLastColumn="0" w:lastRowFirstColumn="0" w:lastRowLastColumn="0"/>
              <w:rPr>
                <w:rFonts w:cs="Calibri"/>
                <w:color w:val="auto"/>
                <w:szCs w:val="18"/>
              </w:rPr>
            </w:pPr>
            <w:r w:rsidRPr="00B275E2">
              <w:rPr>
                <w:rFonts w:cs="Calibri"/>
                <w:color w:val="auto"/>
                <w:szCs w:val="18"/>
              </w:rPr>
              <w:t>kg CO</w:t>
            </w:r>
            <w:r w:rsidRPr="00B275E2">
              <w:rPr>
                <w:rFonts w:cs="Calibri"/>
                <w:color w:val="auto"/>
                <w:szCs w:val="18"/>
                <w:vertAlign w:val="subscript"/>
              </w:rPr>
              <w:t>2</w:t>
            </w:r>
            <w:r w:rsidRPr="00B275E2">
              <w:rPr>
                <w:rFonts w:cs="Calibri"/>
                <w:color w:val="auto"/>
                <w:szCs w:val="18"/>
              </w:rPr>
              <w:t>-e/unit</w:t>
            </w:r>
          </w:p>
        </w:tc>
        <w:tc>
          <w:tcPr>
            <w:tcW w:w="1208" w:type="dxa"/>
            <w:shd w:val="clear" w:color="auto" w:fill="1B556B" w:themeFill="text2"/>
            <w:noWrap/>
            <w:vAlign w:val="bottom"/>
            <w:hideMark/>
          </w:tcPr>
          <w:p w14:paraId="62A7E788" w14:textId="06484E27" w:rsidR="00744A59" w:rsidRPr="00B275E2" w:rsidRDefault="00744A59" w:rsidP="00771FEB">
            <w:pPr>
              <w:pStyle w:val="TableText"/>
              <w:spacing w:before="20" w:after="2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275E2">
              <w:rPr>
                <w:rFonts w:cs="Calibri"/>
                <w:szCs w:val="18"/>
              </w:rPr>
              <w:t>kg CO</w:t>
            </w:r>
            <w:r w:rsidRPr="00B275E2">
              <w:rPr>
                <w:rFonts w:cs="Calibri"/>
                <w:szCs w:val="18"/>
                <w:vertAlign w:val="subscript"/>
              </w:rPr>
              <w:t>2</w:t>
            </w:r>
            <w:r w:rsidRPr="00B275E2">
              <w:rPr>
                <w:rFonts w:cs="Calibri"/>
                <w:szCs w:val="18"/>
              </w:rPr>
              <w:t>/unit</w:t>
            </w:r>
            <w:r w:rsidR="00515B77" w:rsidRPr="00B275E2">
              <w:rPr>
                <w:rFonts w:cs="Calibri"/>
                <w:szCs w:val="18"/>
              </w:rPr>
              <w:t xml:space="preserve"> </w:t>
            </w:r>
            <w:r w:rsidR="00515B77" w:rsidRPr="00B275E2">
              <w:rPr>
                <w:rFonts w:cs="Calibri"/>
                <w:szCs w:val="18"/>
              </w:rPr>
              <w:br/>
              <w:t>(kg CO</w:t>
            </w:r>
            <w:r w:rsidR="00515B77" w:rsidRPr="00B275E2">
              <w:rPr>
                <w:rFonts w:cs="Calibri"/>
                <w:szCs w:val="18"/>
                <w:vertAlign w:val="subscript"/>
              </w:rPr>
              <w:t>2</w:t>
            </w:r>
            <w:r w:rsidR="00515B77" w:rsidRPr="00B275E2">
              <w:rPr>
                <w:rFonts w:cs="Calibri"/>
                <w:szCs w:val="18"/>
              </w:rPr>
              <w:noBreakHyphen/>
              <w:t>e)</w:t>
            </w:r>
          </w:p>
        </w:tc>
        <w:tc>
          <w:tcPr>
            <w:tcW w:w="0" w:type="auto"/>
            <w:shd w:val="clear" w:color="auto" w:fill="1B556B" w:themeFill="text2"/>
            <w:noWrap/>
            <w:vAlign w:val="bottom"/>
            <w:hideMark/>
          </w:tcPr>
          <w:p w14:paraId="5E6A2F29" w14:textId="06044085" w:rsidR="00744A59" w:rsidRPr="00B275E2" w:rsidRDefault="00515B77" w:rsidP="00771FEB">
            <w:pPr>
              <w:pStyle w:val="TableText"/>
              <w:spacing w:before="20" w:after="2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275E2">
              <w:rPr>
                <w:rFonts w:cs="Calibri"/>
                <w:szCs w:val="18"/>
              </w:rPr>
              <w:t xml:space="preserve">kg </w:t>
            </w:r>
            <w:r w:rsidR="00744A59" w:rsidRPr="00B275E2">
              <w:rPr>
                <w:rFonts w:cs="Calibri"/>
                <w:szCs w:val="18"/>
              </w:rPr>
              <w:t>CH</w:t>
            </w:r>
            <w:r w:rsidR="00744A59" w:rsidRPr="00B275E2">
              <w:rPr>
                <w:rFonts w:cs="Calibri"/>
                <w:szCs w:val="18"/>
                <w:vertAlign w:val="subscript"/>
              </w:rPr>
              <w:t>4</w:t>
            </w:r>
            <w:r w:rsidRPr="00B275E2">
              <w:rPr>
                <w:rFonts w:cs="Calibri"/>
                <w:szCs w:val="18"/>
              </w:rPr>
              <w:t>/unit</w:t>
            </w:r>
            <w:r w:rsidR="00744A59" w:rsidRPr="00B275E2">
              <w:rPr>
                <w:rFonts w:cs="Calibri"/>
                <w:szCs w:val="18"/>
              </w:rPr>
              <w:t xml:space="preserve"> </w:t>
            </w:r>
            <w:r w:rsidRPr="00B275E2">
              <w:rPr>
                <w:rFonts w:cs="Calibri"/>
                <w:szCs w:val="18"/>
              </w:rPr>
              <w:br/>
            </w:r>
            <w:r w:rsidR="00744A59" w:rsidRPr="00B275E2">
              <w:rPr>
                <w:rFonts w:cs="Calibri"/>
                <w:szCs w:val="18"/>
              </w:rPr>
              <w:t>(kg CO</w:t>
            </w:r>
            <w:r w:rsidR="00744A59" w:rsidRPr="00B275E2">
              <w:rPr>
                <w:rFonts w:cs="Calibri"/>
                <w:szCs w:val="18"/>
                <w:vertAlign w:val="subscript"/>
              </w:rPr>
              <w:t>2</w:t>
            </w:r>
            <w:r w:rsidR="00744A59" w:rsidRPr="00B275E2">
              <w:rPr>
                <w:rFonts w:cs="Calibri"/>
                <w:szCs w:val="18"/>
              </w:rPr>
              <w:noBreakHyphen/>
              <w:t>e)</w:t>
            </w:r>
          </w:p>
        </w:tc>
        <w:tc>
          <w:tcPr>
            <w:tcW w:w="0" w:type="auto"/>
            <w:shd w:val="clear" w:color="auto" w:fill="1B556B" w:themeFill="text2"/>
            <w:noWrap/>
            <w:vAlign w:val="bottom"/>
            <w:hideMark/>
          </w:tcPr>
          <w:p w14:paraId="2AA0212C" w14:textId="25F20AB1" w:rsidR="00744A59" w:rsidRPr="00B275E2" w:rsidRDefault="00515B77" w:rsidP="00771FEB">
            <w:pPr>
              <w:pStyle w:val="TableText"/>
              <w:spacing w:before="20" w:after="2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275E2">
              <w:rPr>
                <w:rFonts w:cs="Calibri"/>
                <w:szCs w:val="18"/>
              </w:rPr>
              <w:t xml:space="preserve">kg </w:t>
            </w:r>
            <w:r w:rsidR="00744A59" w:rsidRPr="00B275E2">
              <w:rPr>
                <w:rFonts w:cs="Calibri"/>
                <w:szCs w:val="18"/>
              </w:rPr>
              <w:t>N</w:t>
            </w:r>
            <w:r w:rsidR="00744A59" w:rsidRPr="00B275E2">
              <w:rPr>
                <w:rFonts w:cs="Calibri"/>
                <w:szCs w:val="18"/>
                <w:vertAlign w:val="subscript"/>
              </w:rPr>
              <w:t>2</w:t>
            </w:r>
            <w:r w:rsidR="00744A59" w:rsidRPr="00B275E2">
              <w:rPr>
                <w:rFonts w:cs="Calibri"/>
                <w:szCs w:val="18"/>
              </w:rPr>
              <w:t>O</w:t>
            </w:r>
            <w:r w:rsidRPr="00B275E2">
              <w:rPr>
                <w:rFonts w:cs="Calibri"/>
                <w:szCs w:val="18"/>
              </w:rPr>
              <w:t>/unit</w:t>
            </w:r>
            <w:r w:rsidR="00744A59" w:rsidRPr="00B275E2">
              <w:rPr>
                <w:rFonts w:cs="Calibri"/>
                <w:szCs w:val="18"/>
              </w:rPr>
              <w:t xml:space="preserve"> </w:t>
            </w:r>
            <w:r w:rsidRPr="00B275E2">
              <w:rPr>
                <w:rFonts w:cs="Calibri"/>
                <w:szCs w:val="18"/>
              </w:rPr>
              <w:br/>
            </w:r>
            <w:r w:rsidR="00744A59" w:rsidRPr="00B275E2">
              <w:rPr>
                <w:rFonts w:cs="Calibri"/>
                <w:szCs w:val="18"/>
              </w:rPr>
              <w:t>(kg CO</w:t>
            </w:r>
            <w:r w:rsidR="00744A59" w:rsidRPr="00B275E2">
              <w:rPr>
                <w:rFonts w:cs="Calibri"/>
                <w:szCs w:val="18"/>
                <w:vertAlign w:val="subscript"/>
              </w:rPr>
              <w:t>2</w:t>
            </w:r>
            <w:r w:rsidR="00744A59" w:rsidRPr="00B275E2">
              <w:rPr>
                <w:rFonts w:cs="Calibri"/>
                <w:szCs w:val="18"/>
              </w:rPr>
              <w:noBreakHyphen/>
              <w:t>e)</w:t>
            </w:r>
          </w:p>
        </w:tc>
      </w:tr>
      <w:tr w:rsidR="0094416F" w:rsidRPr="00B275E2" w14:paraId="54CC55F5" w14:textId="77777777" w:rsidTr="008F7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restart"/>
            <w:tcBorders>
              <w:left w:val="single" w:sz="4" w:space="0" w:color="FFFFFF" w:themeColor="background1"/>
            </w:tcBorders>
          </w:tcPr>
          <w:p w14:paraId="1E877AF6" w14:textId="735020B5" w:rsidR="008704A5" w:rsidRPr="00B275E2" w:rsidRDefault="003A565E" w:rsidP="00771FEB">
            <w:pPr>
              <w:pStyle w:val="TableText"/>
              <w:spacing w:before="20" w:after="20"/>
              <w:rPr>
                <w:rFonts w:cs="Calibri"/>
                <w:b w:val="0"/>
                <w:szCs w:val="18"/>
              </w:rPr>
            </w:pPr>
            <w:r w:rsidRPr="00B275E2">
              <w:rPr>
                <w:rFonts w:cs="Calibri"/>
                <w:b w:val="0"/>
                <w:szCs w:val="18"/>
              </w:rPr>
              <w:t>Average for</w:t>
            </w:r>
            <w:r w:rsidR="00724C42" w:rsidRPr="00B275E2">
              <w:rPr>
                <w:rFonts w:cs="Calibri"/>
                <w:b w:val="0"/>
                <w:szCs w:val="18"/>
              </w:rPr>
              <w:t xml:space="preserve"> </w:t>
            </w:r>
            <w:r w:rsidRPr="00B275E2">
              <w:rPr>
                <w:rFonts w:cs="Calibri"/>
                <w:b w:val="0"/>
                <w:szCs w:val="18"/>
              </w:rPr>
              <w:t>w</w:t>
            </w:r>
            <w:r w:rsidR="008704A5" w:rsidRPr="00B275E2">
              <w:rPr>
                <w:rFonts w:cs="Calibri"/>
                <w:b w:val="0"/>
                <w:szCs w:val="18"/>
              </w:rPr>
              <w:t>astewater treatment plants</w:t>
            </w:r>
            <w:r w:rsidR="00310880" w:rsidRPr="00B275E2">
              <w:rPr>
                <w:rFonts w:cs="Calibri"/>
                <w:b w:val="0"/>
                <w:szCs w:val="18"/>
              </w:rPr>
              <w:t xml:space="preserve"> </w:t>
            </w:r>
          </w:p>
        </w:tc>
        <w:tc>
          <w:tcPr>
            <w:tcW w:w="1559" w:type="dxa"/>
            <w:noWrap/>
          </w:tcPr>
          <w:p w14:paraId="4E84FE0B" w14:textId="6E32FE0C" w:rsidR="008704A5" w:rsidRPr="00B275E2" w:rsidRDefault="008704A5" w:rsidP="00771FEB">
            <w:pPr>
              <w:pStyle w:val="TableText"/>
              <w:spacing w:before="20" w:after="2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m</w:t>
            </w:r>
            <w:r w:rsidRPr="00B275E2">
              <w:rPr>
                <w:rFonts w:cs="Calibri"/>
                <w:szCs w:val="18"/>
                <w:vertAlign w:val="superscript"/>
              </w:rPr>
              <w:t xml:space="preserve">3 </w:t>
            </w:r>
            <w:r w:rsidRPr="00B275E2">
              <w:rPr>
                <w:rFonts w:cs="Calibri"/>
                <w:szCs w:val="18"/>
              </w:rPr>
              <w:t>water supplied</w:t>
            </w:r>
          </w:p>
        </w:tc>
        <w:tc>
          <w:tcPr>
            <w:tcW w:w="1276" w:type="dxa"/>
            <w:shd w:val="clear" w:color="auto" w:fill="D2DDE1" w:themeFill="background2"/>
            <w:noWrap/>
          </w:tcPr>
          <w:p w14:paraId="5F12BB32" w14:textId="25520C24" w:rsidR="008704A5" w:rsidRPr="00B275E2" w:rsidRDefault="000A1954" w:rsidP="00771FEB">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0.480</w:t>
            </w:r>
          </w:p>
        </w:tc>
        <w:tc>
          <w:tcPr>
            <w:tcW w:w="1208" w:type="dxa"/>
            <w:shd w:val="clear" w:color="auto" w:fill="auto"/>
            <w:noWrap/>
          </w:tcPr>
          <w:p w14:paraId="6CA446C7" w14:textId="1E4B4417" w:rsidR="008704A5" w:rsidRPr="00B275E2" w:rsidRDefault="008704A5" w:rsidP="00771FEB">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0.077</w:t>
            </w:r>
          </w:p>
        </w:tc>
        <w:tc>
          <w:tcPr>
            <w:tcW w:w="0" w:type="auto"/>
            <w:shd w:val="clear" w:color="auto" w:fill="auto"/>
            <w:noWrap/>
          </w:tcPr>
          <w:p w14:paraId="753C236C" w14:textId="57A8790C" w:rsidR="008704A5" w:rsidRPr="00B275E2" w:rsidRDefault="000A1954" w:rsidP="00771FEB">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w:t>
            </w:r>
            <w:r w:rsidR="00C40761" w:rsidRPr="00B275E2">
              <w:rPr>
                <w:rFonts w:cs="Calibri"/>
                <w:szCs w:val="18"/>
              </w:rPr>
              <w:t>167</w:t>
            </w:r>
          </w:p>
        </w:tc>
        <w:tc>
          <w:tcPr>
            <w:tcW w:w="0" w:type="auto"/>
            <w:tcBorders>
              <w:right w:val="single" w:sz="4" w:space="0" w:color="FFFFFF" w:themeColor="background1"/>
            </w:tcBorders>
            <w:shd w:val="clear" w:color="auto" w:fill="auto"/>
            <w:noWrap/>
          </w:tcPr>
          <w:p w14:paraId="1F27CC10" w14:textId="7538B57F" w:rsidR="008704A5" w:rsidRPr="00B275E2" w:rsidRDefault="00C40761" w:rsidP="00771FEB">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0.2350</w:t>
            </w:r>
          </w:p>
        </w:tc>
      </w:tr>
      <w:tr w:rsidR="0094416F" w:rsidRPr="00B275E2" w14:paraId="28D4E4F3" w14:textId="77777777" w:rsidTr="008F758A">
        <w:tc>
          <w:tcPr>
            <w:cnfStyle w:val="001000000000" w:firstRow="0" w:lastRow="0" w:firstColumn="1" w:lastColumn="0" w:oddVBand="0" w:evenVBand="0" w:oddHBand="0" w:evenHBand="0" w:firstRowFirstColumn="0" w:firstRowLastColumn="0" w:lastRowFirstColumn="0" w:lastRowLastColumn="0"/>
            <w:tcW w:w="2122" w:type="dxa"/>
            <w:vMerge/>
            <w:tcBorders>
              <w:left w:val="single" w:sz="4" w:space="0" w:color="FFFFFF" w:themeColor="background1"/>
            </w:tcBorders>
          </w:tcPr>
          <w:p w14:paraId="3E0A712B" w14:textId="77777777" w:rsidR="008704A5" w:rsidRPr="00B275E2" w:rsidRDefault="008704A5" w:rsidP="00771FEB">
            <w:pPr>
              <w:pStyle w:val="TableText"/>
              <w:spacing w:before="20" w:after="20"/>
              <w:rPr>
                <w:rFonts w:cs="Calibri"/>
                <w:b w:val="0"/>
                <w:szCs w:val="18"/>
              </w:rPr>
            </w:pPr>
          </w:p>
        </w:tc>
        <w:tc>
          <w:tcPr>
            <w:tcW w:w="1559" w:type="dxa"/>
            <w:noWrap/>
          </w:tcPr>
          <w:p w14:paraId="31A45E4E" w14:textId="50394083" w:rsidR="008704A5" w:rsidRPr="00B275E2" w:rsidRDefault="008704A5" w:rsidP="00771FEB">
            <w:pPr>
              <w:pStyle w:val="TableText"/>
              <w:spacing w:before="20" w:after="2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per capita</w:t>
            </w:r>
          </w:p>
        </w:tc>
        <w:tc>
          <w:tcPr>
            <w:tcW w:w="1276" w:type="dxa"/>
            <w:shd w:val="clear" w:color="auto" w:fill="D2DDE1" w:themeFill="background2"/>
            <w:noWrap/>
          </w:tcPr>
          <w:p w14:paraId="09C2AE75" w14:textId="1B97B7CF" w:rsidR="008704A5" w:rsidRPr="00B275E2" w:rsidRDefault="008704A5" w:rsidP="00771FEB">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48.</w:t>
            </w:r>
            <w:r w:rsidR="00C40761" w:rsidRPr="00B275E2">
              <w:rPr>
                <w:rFonts w:cs="Calibri"/>
                <w:szCs w:val="18"/>
              </w:rPr>
              <w:t>360</w:t>
            </w:r>
          </w:p>
        </w:tc>
        <w:tc>
          <w:tcPr>
            <w:tcW w:w="1208" w:type="dxa"/>
            <w:shd w:val="clear" w:color="auto" w:fill="auto"/>
            <w:noWrap/>
          </w:tcPr>
          <w:p w14:paraId="0CAB62FF" w14:textId="26733E9E" w:rsidR="008704A5" w:rsidRPr="00B275E2" w:rsidRDefault="00C40761" w:rsidP="00771FEB">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7.812</w:t>
            </w:r>
          </w:p>
        </w:tc>
        <w:tc>
          <w:tcPr>
            <w:tcW w:w="0" w:type="auto"/>
            <w:shd w:val="clear" w:color="auto" w:fill="auto"/>
            <w:noWrap/>
          </w:tcPr>
          <w:p w14:paraId="260195B9" w14:textId="2E35F2A4" w:rsidR="008704A5" w:rsidRPr="00B275E2" w:rsidRDefault="008704A5" w:rsidP="00771FEB">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16.</w:t>
            </w:r>
            <w:r w:rsidR="001A77AA" w:rsidRPr="00B275E2">
              <w:rPr>
                <w:rFonts w:cs="Calibri"/>
                <w:szCs w:val="18"/>
              </w:rPr>
              <w:t>861</w:t>
            </w:r>
          </w:p>
        </w:tc>
        <w:tc>
          <w:tcPr>
            <w:tcW w:w="0" w:type="auto"/>
            <w:tcBorders>
              <w:right w:val="single" w:sz="4" w:space="0" w:color="FFFFFF" w:themeColor="background1"/>
            </w:tcBorders>
            <w:shd w:val="clear" w:color="auto" w:fill="auto"/>
            <w:noWrap/>
          </w:tcPr>
          <w:p w14:paraId="25D99FD1" w14:textId="66AA3CBE" w:rsidR="008704A5" w:rsidRPr="00B275E2" w:rsidRDefault="008704A5" w:rsidP="00771FEB">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23.69</w:t>
            </w:r>
            <w:r w:rsidR="001A77AA" w:rsidRPr="00B275E2">
              <w:rPr>
                <w:rFonts w:cs="Calibri"/>
                <w:szCs w:val="18"/>
              </w:rPr>
              <w:t>7</w:t>
            </w:r>
          </w:p>
        </w:tc>
      </w:tr>
      <w:tr w:rsidR="003122A6" w:rsidRPr="00B275E2" w14:paraId="4610C28F" w14:textId="77777777" w:rsidTr="008F7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left w:val="single" w:sz="4" w:space="0" w:color="FFFFFF" w:themeColor="background1"/>
            </w:tcBorders>
          </w:tcPr>
          <w:p w14:paraId="0A6017D2" w14:textId="77777777" w:rsidR="001D3138" w:rsidRPr="00B275E2" w:rsidRDefault="001D3138" w:rsidP="00771FEB">
            <w:pPr>
              <w:pStyle w:val="TableText"/>
              <w:spacing w:before="20" w:after="20"/>
              <w:rPr>
                <w:rFonts w:cs="Calibri"/>
                <w:b w:val="0"/>
                <w:szCs w:val="18"/>
              </w:rPr>
            </w:pPr>
            <w:r w:rsidRPr="00B275E2">
              <w:rPr>
                <w:rFonts w:cs="Calibri"/>
                <w:b w:val="0"/>
                <w:szCs w:val="18"/>
              </w:rPr>
              <w:t>Septic tanks</w:t>
            </w:r>
          </w:p>
        </w:tc>
        <w:tc>
          <w:tcPr>
            <w:tcW w:w="1559" w:type="dxa"/>
            <w:noWrap/>
          </w:tcPr>
          <w:p w14:paraId="237E8917" w14:textId="7977BE87" w:rsidR="001D3138" w:rsidRPr="00B275E2" w:rsidRDefault="001D3138" w:rsidP="00771FEB">
            <w:pPr>
              <w:pStyle w:val="TableText"/>
              <w:spacing w:before="20" w:after="2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per capita</w:t>
            </w:r>
          </w:p>
        </w:tc>
        <w:tc>
          <w:tcPr>
            <w:tcW w:w="1276" w:type="dxa"/>
            <w:shd w:val="clear" w:color="auto" w:fill="D2DDE1" w:themeFill="background2"/>
            <w:noWrap/>
          </w:tcPr>
          <w:p w14:paraId="485DFADE" w14:textId="2BE92396" w:rsidR="001D3138" w:rsidRPr="00B275E2" w:rsidRDefault="001A77AA" w:rsidP="00771FEB">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175.2</w:t>
            </w:r>
          </w:p>
        </w:tc>
        <w:tc>
          <w:tcPr>
            <w:tcW w:w="1208" w:type="dxa"/>
            <w:shd w:val="clear" w:color="auto" w:fill="auto"/>
            <w:noWrap/>
          </w:tcPr>
          <w:p w14:paraId="586DE360" w14:textId="2A06EDD0" w:rsidR="001D3138" w:rsidRPr="00B275E2" w:rsidRDefault="001A77AA" w:rsidP="00771FEB">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c>
          <w:tcPr>
            <w:tcW w:w="0" w:type="auto"/>
            <w:shd w:val="clear" w:color="auto" w:fill="auto"/>
            <w:noWrap/>
          </w:tcPr>
          <w:p w14:paraId="0AB8B3B8" w14:textId="1F384ADC" w:rsidR="001D3138" w:rsidRPr="00B275E2" w:rsidRDefault="001A77AA" w:rsidP="00771FEB">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1</w:t>
            </w:r>
            <w:r w:rsidR="00572748" w:rsidRPr="00B275E2">
              <w:rPr>
                <w:rFonts w:cs="Calibri"/>
                <w:szCs w:val="18"/>
              </w:rPr>
              <w:t>49.9</w:t>
            </w:r>
          </w:p>
        </w:tc>
        <w:tc>
          <w:tcPr>
            <w:tcW w:w="0" w:type="auto"/>
            <w:tcBorders>
              <w:right w:val="single" w:sz="4" w:space="0" w:color="FFFFFF" w:themeColor="background1"/>
            </w:tcBorders>
            <w:shd w:val="clear" w:color="auto" w:fill="auto"/>
            <w:noWrap/>
          </w:tcPr>
          <w:p w14:paraId="6AD34526" w14:textId="0D7E4A7A" w:rsidR="001D3138" w:rsidRPr="00B275E2" w:rsidRDefault="00572748" w:rsidP="00771FEB">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25.3</w:t>
            </w:r>
          </w:p>
        </w:tc>
      </w:tr>
    </w:tbl>
    <w:p w14:paraId="6E36AC1B" w14:textId="55A207A6" w:rsidR="00D72EFE" w:rsidRPr="00B275E2" w:rsidRDefault="00D72EFE" w:rsidP="00771FEB">
      <w:pPr>
        <w:pStyle w:val="Note"/>
        <w:spacing w:after="80"/>
      </w:pPr>
      <w:bookmarkStart w:id="549" w:name="_Hlk532824661"/>
      <w:bookmarkStart w:id="550" w:name="_Ref532482762"/>
      <w:r w:rsidRPr="00B275E2">
        <w:t>Note</w:t>
      </w:r>
      <w:r w:rsidR="0020582D" w:rsidRPr="00B275E2">
        <w:t>:</w:t>
      </w:r>
      <w:r w:rsidRPr="00B275E2">
        <w:t xml:space="preserve"> </w:t>
      </w:r>
      <w:r w:rsidR="0020582D" w:rsidRPr="00B275E2">
        <w:t xml:space="preserve">These </w:t>
      </w:r>
      <w:r w:rsidRPr="00B275E2">
        <w:t xml:space="preserve">numbers are rounded to three </w:t>
      </w:r>
      <w:r w:rsidR="00EB4430" w:rsidRPr="00B275E2">
        <w:t>significant figures</w:t>
      </w:r>
      <w:r w:rsidRPr="00B275E2">
        <w:t xml:space="preserve"> unless the number is significantly small. </w:t>
      </w:r>
    </w:p>
    <w:p w14:paraId="2BD087F9" w14:textId="7631E5CA" w:rsidR="00A959E4" w:rsidRPr="00B275E2" w:rsidRDefault="00EB4389" w:rsidP="00517C20">
      <w:pPr>
        <w:pStyle w:val="Tableheading"/>
      </w:pPr>
      <w:bookmarkStart w:id="551" w:name="_Toc111536679"/>
      <w:bookmarkEnd w:id="549"/>
      <w:bookmarkEnd w:id="550"/>
      <w:r w:rsidRPr="00B275E2">
        <w:t xml:space="preserve">Table </w:t>
      </w:r>
      <w:r w:rsidRPr="00B275E2">
        <w:fldChar w:fldCharType="begin"/>
      </w:r>
      <w:r w:rsidRPr="00B275E2">
        <w:instrText>SEQ Table \* ARABIC</w:instrText>
      </w:r>
      <w:r w:rsidRPr="00B275E2">
        <w:fldChar w:fldCharType="separate"/>
      </w:r>
      <w:r>
        <w:rPr>
          <w:noProof/>
        </w:rPr>
        <w:t>74</w:t>
      </w:r>
      <w:r w:rsidRPr="00B275E2">
        <w:fldChar w:fldCharType="end"/>
      </w:r>
      <w:r w:rsidRPr="00B275E2">
        <w:t>:</w:t>
      </w:r>
      <w:r w:rsidRPr="00B275E2">
        <w:tab/>
      </w:r>
      <w:r w:rsidR="00A959E4" w:rsidRPr="00B275E2">
        <w:t>Industrial wastewater treatment emission factors</w:t>
      </w:r>
      <w:bookmarkEnd w:id="551"/>
    </w:p>
    <w:tbl>
      <w:tblPr>
        <w:tblStyle w:val="LightList-Accent11"/>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Look w:val="04A0" w:firstRow="1" w:lastRow="0" w:firstColumn="1" w:lastColumn="0" w:noHBand="0" w:noVBand="1"/>
      </w:tblPr>
      <w:tblGrid>
        <w:gridCol w:w="2127"/>
        <w:gridCol w:w="1559"/>
        <w:gridCol w:w="1276"/>
        <w:gridCol w:w="1129"/>
        <w:gridCol w:w="1134"/>
        <w:gridCol w:w="1280"/>
      </w:tblGrid>
      <w:tr w:rsidR="00D4253C" w:rsidRPr="00B275E2" w14:paraId="2CBA204D" w14:textId="77777777" w:rsidTr="003E17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1B556B" w:themeFill="text2"/>
            <w:noWrap/>
            <w:vAlign w:val="bottom"/>
            <w:hideMark/>
          </w:tcPr>
          <w:p w14:paraId="79FD234F" w14:textId="77777777" w:rsidR="00744A59" w:rsidRPr="00B275E2" w:rsidRDefault="00744A59" w:rsidP="003E7AEC">
            <w:pPr>
              <w:pStyle w:val="TableText"/>
              <w:spacing w:before="20" w:after="20"/>
            </w:pPr>
            <w:r w:rsidRPr="00B275E2">
              <w:t>Emission source</w:t>
            </w:r>
          </w:p>
        </w:tc>
        <w:tc>
          <w:tcPr>
            <w:tcW w:w="1559" w:type="dxa"/>
            <w:shd w:val="clear" w:color="auto" w:fill="1B556B" w:themeFill="text2"/>
            <w:noWrap/>
            <w:vAlign w:val="bottom"/>
            <w:hideMark/>
          </w:tcPr>
          <w:p w14:paraId="7F409551" w14:textId="77777777" w:rsidR="00744A59" w:rsidRPr="00B275E2" w:rsidRDefault="00744A59" w:rsidP="003E7AEC">
            <w:pPr>
              <w:pStyle w:val="TableText"/>
              <w:spacing w:before="20" w:after="20"/>
              <w:cnfStyle w:val="100000000000" w:firstRow="1" w:lastRow="0" w:firstColumn="0" w:lastColumn="0" w:oddVBand="0" w:evenVBand="0" w:oddHBand="0" w:evenHBand="0" w:firstRowFirstColumn="0" w:firstRowLastColumn="0" w:lastRowFirstColumn="0" w:lastRowLastColumn="0"/>
            </w:pPr>
            <w:r w:rsidRPr="00B275E2">
              <w:t>Unit</w:t>
            </w:r>
          </w:p>
        </w:tc>
        <w:tc>
          <w:tcPr>
            <w:tcW w:w="1276" w:type="dxa"/>
            <w:shd w:val="clear" w:color="auto" w:fill="D2DDE1" w:themeFill="background2"/>
            <w:noWrap/>
            <w:vAlign w:val="bottom"/>
            <w:hideMark/>
          </w:tcPr>
          <w:p w14:paraId="6BAD3BEF" w14:textId="77777777" w:rsidR="00744A59" w:rsidRPr="00B275E2" w:rsidRDefault="00744A59" w:rsidP="003E7AEC">
            <w:pPr>
              <w:pStyle w:val="TableText"/>
              <w:spacing w:before="20" w:after="20"/>
              <w:jc w:val="right"/>
              <w:cnfStyle w:val="100000000000" w:firstRow="1" w:lastRow="0" w:firstColumn="0" w:lastColumn="0" w:oddVBand="0" w:evenVBand="0" w:oddHBand="0" w:evenHBand="0" w:firstRowFirstColumn="0" w:firstRowLastColumn="0" w:lastRowFirstColumn="0" w:lastRowLastColumn="0"/>
              <w:rPr>
                <w:color w:val="auto"/>
              </w:rPr>
            </w:pPr>
            <w:r w:rsidRPr="00B275E2">
              <w:rPr>
                <w:color w:val="auto"/>
              </w:rPr>
              <w:t>kg CO</w:t>
            </w:r>
            <w:r w:rsidRPr="00B275E2">
              <w:rPr>
                <w:color w:val="auto"/>
                <w:vertAlign w:val="subscript"/>
              </w:rPr>
              <w:t>2</w:t>
            </w:r>
            <w:r w:rsidRPr="00B275E2">
              <w:rPr>
                <w:color w:val="auto"/>
              </w:rPr>
              <w:t>-e/unit</w:t>
            </w:r>
          </w:p>
        </w:tc>
        <w:tc>
          <w:tcPr>
            <w:tcW w:w="1129" w:type="dxa"/>
            <w:shd w:val="clear" w:color="auto" w:fill="1B556B" w:themeFill="text2"/>
            <w:noWrap/>
            <w:vAlign w:val="bottom"/>
            <w:hideMark/>
          </w:tcPr>
          <w:p w14:paraId="6FE1353C" w14:textId="60D29A84" w:rsidR="00744A59" w:rsidRPr="00B275E2" w:rsidRDefault="00744A59" w:rsidP="003E7AEC">
            <w:pPr>
              <w:pStyle w:val="TableText"/>
              <w:spacing w:before="20" w:after="20"/>
              <w:jc w:val="right"/>
              <w:cnfStyle w:val="100000000000" w:firstRow="1" w:lastRow="0" w:firstColumn="0" w:lastColumn="0" w:oddVBand="0" w:evenVBand="0" w:oddHBand="0" w:evenHBand="0" w:firstRowFirstColumn="0" w:firstRowLastColumn="0" w:lastRowFirstColumn="0" w:lastRowLastColumn="0"/>
            </w:pPr>
            <w:r w:rsidRPr="00B275E2">
              <w:t>kg CO</w:t>
            </w:r>
            <w:r w:rsidRPr="00B275E2">
              <w:rPr>
                <w:vertAlign w:val="subscript"/>
              </w:rPr>
              <w:t>2</w:t>
            </w:r>
            <w:r w:rsidRPr="00B275E2">
              <w:t>/unit</w:t>
            </w:r>
            <w:r w:rsidR="003C2708" w:rsidRPr="00B275E2">
              <w:br/>
              <w:t>(kg CO</w:t>
            </w:r>
            <w:r w:rsidR="003C2708" w:rsidRPr="00B275E2">
              <w:rPr>
                <w:vertAlign w:val="subscript"/>
              </w:rPr>
              <w:t>2</w:t>
            </w:r>
            <w:r w:rsidR="003C2708" w:rsidRPr="00B275E2">
              <w:noBreakHyphen/>
              <w:t>e)</w:t>
            </w:r>
          </w:p>
        </w:tc>
        <w:tc>
          <w:tcPr>
            <w:tcW w:w="1134" w:type="dxa"/>
            <w:shd w:val="clear" w:color="auto" w:fill="1B556B" w:themeFill="text2"/>
            <w:noWrap/>
            <w:vAlign w:val="bottom"/>
            <w:hideMark/>
          </w:tcPr>
          <w:p w14:paraId="2DC430EA" w14:textId="71324953" w:rsidR="00744A59" w:rsidRPr="00B275E2" w:rsidRDefault="003C2708" w:rsidP="003E7AEC">
            <w:pPr>
              <w:pStyle w:val="TableText"/>
              <w:spacing w:before="20" w:after="20"/>
              <w:jc w:val="right"/>
              <w:cnfStyle w:val="100000000000" w:firstRow="1" w:lastRow="0" w:firstColumn="0" w:lastColumn="0" w:oddVBand="0" w:evenVBand="0" w:oddHBand="0" w:evenHBand="0" w:firstRowFirstColumn="0" w:firstRowLastColumn="0" w:lastRowFirstColumn="0" w:lastRowLastColumn="0"/>
            </w:pPr>
            <w:r w:rsidRPr="00B275E2">
              <w:t>kg CH</w:t>
            </w:r>
            <w:r w:rsidRPr="00B275E2">
              <w:rPr>
                <w:vertAlign w:val="subscript"/>
              </w:rPr>
              <w:t>4</w:t>
            </w:r>
            <w:r w:rsidRPr="00B275E2">
              <w:t xml:space="preserve">/unit </w:t>
            </w:r>
            <w:r w:rsidRPr="00B275E2">
              <w:br/>
              <w:t>(kg CO</w:t>
            </w:r>
            <w:r w:rsidRPr="00B275E2">
              <w:rPr>
                <w:vertAlign w:val="subscript"/>
              </w:rPr>
              <w:t>2</w:t>
            </w:r>
            <w:r w:rsidRPr="00B275E2">
              <w:noBreakHyphen/>
              <w:t>e)</w:t>
            </w:r>
          </w:p>
        </w:tc>
        <w:tc>
          <w:tcPr>
            <w:tcW w:w="1280" w:type="dxa"/>
            <w:shd w:val="clear" w:color="auto" w:fill="1B556B" w:themeFill="text2"/>
            <w:noWrap/>
            <w:vAlign w:val="bottom"/>
            <w:hideMark/>
          </w:tcPr>
          <w:p w14:paraId="5A954D0F" w14:textId="3E55395D" w:rsidR="00744A59" w:rsidRPr="00B275E2" w:rsidRDefault="00FB2E5D" w:rsidP="003E7AEC">
            <w:pPr>
              <w:pStyle w:val="TableText"/>
              <w:spacing w:before="20" w:after="20"/>
              <w:jc w:val="right"/>
              <w:cnfStyle w:val="100000000000" w:firstRow="1" w:lastRow="0" w:firstColumn="0" w:lastColumn="0" w:oddVBand="0" w:evenVBand="0" w:oddHBand="0" w:evenHBand="0" w:firstRowFirstColumn="0" w:firstRowLastColumn="0" w:lastRowFirstColumn="0" w:lastRowLastColumn="0"/>
            </w:pPr>
            <w:r w:rsidRPr="00B275E2">
              <w:t>kg N</w:t>
            </w:r>
            <w:r w:rsidRPr="00B275E2">
              <w:rPr>
                <w:vertAlign w:val="subscript"/>
              </w:rPr>
              <w:t>2</w:t>
            </w:r>
            <w:r w:rsidRPr="00B275E2">
              <w:t xml:space="preserve">O/unit </w:t>
            </w:r>
            <w:r w:rsidRPr="00B275E2">
              <w:br/>
              <w:t>(kg CO</w:t>
            </w:r>
            <w:r w:rsidRPr="00B275E2">
              <w:rPr>
                <w:vertAlign w:val="subscript"/>
              </w:rPr>
              <w:t>2</w:t>
            </w:r>
            <w:r w:rsidRPr="00B275E2">
              <w:noBreakHyphen/>
              <w:t>e)</w:t>
            </w:r>
          </w:p>
        </w:tc>
      </w:tr>
      <w:tr w:rsidR="00D4253C" w:rsidRPr="00B275E2" w14:paraId="4798244D" w14:textId="77777777" w:rsidTr="008F7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left w:val="single" w:sz="4" w:space="0" w:color="FFFFFF" w:themeColor="background1"/>
            </w:tcBorders>
          </w:tcPr>
          <w:p w14:paraId="7B75FA5E" w14:textId="5AC6BEE1" w:rsidR="00D1692B" w:rsidRPr="00B275E2" w:rsidRDefault="00D1692B" w:rsidP="003E7AEC">
            <w:pPr>
              <w:pStyle w:val="TableText"/>
              <w:spacing w:before="20" w:after="20"/>
              <w:rPr>
                <w:b w:val="0"/>
              </w:rPr>
            </w:pPr>
            <w:r w:rsidRPr="00B275E2">
              <w:rPr>
                <w:b w:val="0"/>
                <w:bCs w:val="0"/>
                <w:color w:val="000000"/>
              </w:rPr>
              <w:t>Meat (excluding poultry)</w:t>
            </w:r>
          </w:p>
        </w:tc>
        <w:tc>
          <w:tcPr>
            <w:tcW w:w="1559" w:type="dxa"/>
            <w:noWrap/>
          </w:tcPr>
          <w:p w14:paraId="7812E487" w14:textId="77777777" w:rsidR="00D1692B" w:rsidRPr="00B275E2" w:rsidRDefault="00D1692B" w:rsidP="003E7AEC">
            <w:pPr>
              <w:pStyle w:val="TableText"/>
              <w:spacing w:before="20" w:after="20"/>
              <w:cnfStyle w:val="000000100000" w:firstRow="0" w:lastRow="0" w:firstColumn="0" w:lastColumn="0" w:oddVBand="0" w:evenVBand="0" w:oddHBand="1" w:evenHBand="0" w:firstRowFirstColumn="0" w:firstRowLastColumn="0" w:lastRowFirstColumn="0" w:lastRowLastColumn="0"/>
            </w:pPr>
            <w:r w:rsidRPr="00B275E2">
              <w:rPr>
                <w:color w:val="000000"/>
              </w:rPr>
              <w:t>tonne of kills</w:t>
            </w:r>
          </w:p>
        </w:tc>
        <w:tc>
          <w:tcPr>
            <w:tcW w:w="1276" w:type="dxa"/>
            <w:shd w:val="clear" w:color="auto" w:fill="D2DDE1" w:themeFill="background2"/>
            <w:noWrap/>
          </w:tcPr>
          <w:p w14:paraId="07D5FCF7" w14:textId="193818C3" w:rsidR="00D1692B" w:rsidRPr="00B275E2" w:rsidRDefault="00D1692B" w:rsidP="003E7AEC">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47.528</w:t>
            </w:r>
          </w:p>
        </w:tc>
        <w:tc>
          <w:tcPr>
            <w:tcW w:w="1129" w:type="dxa"/>
            <w:shd w:val="clear" w:color="auto" w:fill="auto"/>
            <w:noWrap/>
            <w:vAlign w:val="bottom"/>
          </w:tcPr>
          <w:p w14:paraId="37565531" w14:textId="47D0CC3D" w:rsidR="00D1692B" w:rsidRPr="00B275E2" w:rsidRDefault="00297E4B" w:rsidP="003E7AEC">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n/a</w:t>
            </w:r>
          </w:p>
        </w:tc>
        <w:tc>
          <w:tcPr>
            <w:tcW w:w="1134" w:type="dxa"/>
            <w:shd w:val="clear" w:color="auto" w:fill="auto"/>
            <w:noWrap/>
            <w:vAlign w:val="bottom"/>
          </w:tcPr>
          <w:p w14:paraId="060EFAE4" w14:textId="5149A728" w:rsidR="00D1692B" w:rsidRPr="00B275E2" w:rsidRDefault="00D1692B" w:rsidP="003E7AEC">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44.688</w:t>
            </w:r>
          </w:p>
        </w:tc>
        <w:tc>
          <w:tcPr>
            <w:tcW w:w="1280" w:type="dxa"/>
            <w:tcBorders>
              <w:right w:val="single" w:sz="4" w:space="0" w:color="FFFFFF" w:themeColor="background1"/>
            </w:tcBorders>
            <w:shd w:val="clear" w:color="auto" w:fill="auto"/>
            <w:noWrap/>
            <w:vAlign w:val="bottom"/>
          </w:tcPr>
          <w:p w14:paraId="07BBB840" w14:textId="119E91D6" w:rsidR="00D1692B" w:rsidRPr="00B275E2" w:rsidRDefault="00D1692B" w:rsidP="003E7AEC">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2.841</w:t>
            </w:r>
          </w:p>
        </w:tc>
      </w:tr>
      <w:tr w:rsidR="00D4253C" w:rsidRPr="00B275E2" w14:paraId="7EB7EC40" w14:textId="77777777" w:rsidTr="008F758A">
        <w:tc>
          <w:tcPr>
            <w:cnfStyle w:val="001000000000" w:firstRow="0" w:lastRow="0" w:firstColumn="1" w:lastColumn="0" w:oddVBand="0" w:evenVBand="0" w:oddHBand="0" w:evenHBand="0" w:firstRowFirstColumn="0" w:firstRowLastColumn="0" w:lastRowFirstColumn="0" w:lastRowLastColumn="0"/>
            <w:tcW w:w="2127" w:type="dxa"/>
            <w:tcBorders>
              <w:left w:val="single" w:sz="4" w:space="0" w:color="FFFFFF" w:themeColor="background1"/>
            </w:tcBorders>
          </w:tcPr>
          <w:p w14:paraId="32B56887" w14:textId="77777777" w:rsidR="00D1692B" w:rsidRPr="00B275E2" w:rsidRDefault="00D1692B" w:rsidP="003E7AEC">
            <w:pPr>
              <w:pStyle w:val="TableText"/>
              <w:spacing w:before="20" w:after="20"/>
              <w:rPr>
                <w:b w:val="0"/>
              </w:rPr>
            </w:pPr>
            <w:r w:rsidRPr="00B275E2">
              <w:rPr>
                <w:b w:val="0"/>
                <w:bCs w:val="0"/>
                <w:color w:val="000000"/>
              </w:rPr>
              <w:t>Poultry</w:t>
            </w:r>
          </w:p>
        </w:tc>
        <w:tc>
          <w:tcPr>
            <w:tcW w:w="1559" w:type="dxa"/>
            <w:noWrap/>
          </w:tcPr>
          <w:p w14:paraId="7477D29D" w14:textId="77777777" w:rsidR="00D1692B" w:rsidRPr="00B275E2" w:rsidRDefault="00D1692B" w:rsidP="003E7AE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B275E2">
              <w:rPr>
                <w:color w:val="000000"/>
              </w:rPr>
              <w:t>tonne of kills</w:t>
            </w:r>
          </w:p>
        </w:tc>
        <w:tc>
          <w:tcPr>
            <w:tcW w:w="1276" w:type="dxa"/>
            <w:shd w:val="clear" w:color="auto" w:fill="D2DDE1" w:themeFill="background2"/>
            <w:noWrap/>
          </w:tcPr>
          <w:p w14:paraId="33D7CD7E" w14:textId="0B4D6C3A" w:rsidR="00D1692B" w:rsidRPr="00B275E2" w:rsidRDefault="00D1692B" w:rsidP="003E7AEC">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47.025</w:t>
            </w:r>
          </w:p>
        </w:tc>
        <w:tc>
          <w:tcPr>
            <w:tcW w:w="1129" w:type="dxa"/>
            <w:shd w:val="clear" w:color="auto" w:fill="auto"/>
            <w:noWrap/>
            <w:vAlign w:val="bottom"/>
          </w:tcPr>
          <w:p w14:paraId="78F3295F" w14:textId="30380A1E" w:rsidR="00D1692B" w:rsidRPr="00B275E2" w:rsidRDefault="00297E4B" w:rsidP="003E7AEC">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n/a</w:t>
            </w:r>
          </w:p>
        </w:tc>
        <w:tc>
          <w:tcPr>
            <w:tcW w:w="1134" w:type="dxa"/>
            <w:shd w:val="clear" w:color="auto" w:fill="auto"/>
            <w:noWrap/>
            <w:vAlign w:val="bottom"/>
          </w:tcPr>
          <w:p w14:paraId="2387101C" w14:textId="3CBD7B97" w:rsidR="00D1692B" w:rsidRPr="00B275E2" w:rsidRDefault="00D1692B" w:rsidP="003E7AEC">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42.969</w:t>
            </w:r>
          </w:p>
        </w:tc>
        <w:tc>
          <w:tcPr>
            <w:tcW w:w="1280" w:type="dxa"/>
            <w:tcBorders>
              <w:right w:val="single" w:sz="4" w:space="0" w:color="FFFFFF" w:themeColor="background1"/>
            </w:tcBorders>
            <w:shd w:val="clear" w:color="auto" w:fill="auto"/>
            <w:noWrap/>
            <w:vAlign w:val="bottom"/>
          </w:tcPr>
          <w:p w14:paraId="0F81B98C" w14:textId="4C3B2679" w:rsidR="00D1692B" w:rsidRPr="00B275E2" w:rsidRDefault="00D1692B" w:rsidP="003E7AEC">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4.057</w:t>
            </w:r>
          </w:p>
        </w:tc>
      </w:tr>
      <w:tr w:rsidR="00D4253C" w:rsidRPr="00B275E2" w14:paraId="227DD996" w14:textId="77777777" w:rsidTr="008F7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left w:val="single" w:sz="4" w:space="0" w:color="FFFFFF" w:themeColor="background1"/>
            </w:tcBorders>
          </w:tcPr>
          <w:p w14:paraId="70EF3C86" w14:textId="0C8C00FC" w:rsidR="00D1692B" w:rsidRPr="00B275E2" w:rsidRDefault="00D1692B" w:rsidP="003E7AEC">
            <w:pPr>
              <w:pStyle w:val="TableText"/>
              <w:spacing w:before="20" w:after="20"/>
              <w:rPr>
                <w:b w:val="0"/>
              </w:rPr>
            </w:pPr>
            <w:r w:rsidRPr="00B275E2">
              <w:rPr>
                <w:b w:val="0"/>
                <w:bCs w:val="0"/>
                <w:color w:val="000000"/>
              </w:rPr>
              <w:t>Pulp and paper</w:t>
            </w:r>
          </w:p>
        </w:tc>
        <w:tc>
          <w:tcPr>
            <w:tcW w:w="1559" w:type="dxa"/>
            <w:noWrap/>
          </w:tcPr>
          <w:p w14:paraId="24F1C277" w14:textId="77777777" w:rsidR="00D1692B" w:rsidRPr="00B275E2" w:rsidRDefault="00D1692B" w:rsidP="003E7AEC">
            <w:pPr>
              <w:pStyle w:val="TableText"/>
              <w:spacing w:before="20" w:after="20"/>
              <w:cnfStyle w:val="000000100000" w:firstRow="0" w:lastRow="0" w:firstColumn="0" w:lastColumn="0" w:oddVBand="0" w:evenVBand="0" w:oddHBand="1" w:evenHBand="0" w:firstRowFirstColumn="0" w:firstRowLastColumn="0" w:lastRowFirstColumn="0" w:lastRowLastColumn="0"/>
            </w:pPr>
            <w:r w:rsidRPr="00B275E2">
              <w:rPr>
                <w:color w:val="000000"/>
              </w:rPr>
              <w:t>tonne of product</w:t>
            </w:r>
          </w:p>
        </w:tc>
        <w:tc>
          <w:tcPr>
            <w:tcW w:w="1276" w:type="dxa"/>
            <w:shd w:val="clear" w:color="auto" w:fill="D2DDE1" w:themeFill="background2"/>
            <w:noWrap/>
          </w:tcPr>
          <w:p w14:paraId="69BE045A" w14:textId="143FC8E6" w:rsidR="00D1692B" w:rsidRPr="00B275E2" w:rsidRDefault="00D1692B" w:rsidP="003E7AEC">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10.530</w:t>
            </w:r>
          </w:p>
        </w:tc>
        <w:tc>
          <w:tcPr>
            <w:tcW w:w="1129" w:type="dxa"/>
            <w:shd w:val="clear" w:color="auto" w:fill="auto"/>
            <w:noWrap/>
            <w:vAlign w:val="bottom"/>
          </w:tcPr>
          <w:p w14:paraId="39B9E895" w14:textId="70E8DF16" w:rsidR="00D1692B" w:rsidRPr="00B275E2" w:rsidRDefault="00297E4B" w:rsidP="003E7AEC">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n/a</w:t>
            </w:r>
          </w:p>
        </w:tc>
        <w:tc>
          <w:tcPr>
            <w:tcW w:w="1134" w:type="dxa"/>
            <w:shd w:val="clear" w:color="auto" w:fill="auto"/>
            <w:noWrap/>
            <w:vAlign w:val="bottom"/>
          </w:tcPr>
          <w:p w14:paraId="2C1C6795" w14:textId="33CCA35C" w:rsidR="00D1692B" w:rsidRPr="00B275E2" w:rsidRDefault="00D1692B" w:rsidP="003E7AEC">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10.530</w:t>
            </w:r>
          </w:p>
        </w:tc>
        <w:tc>
          <w:tcPr>
            <w:tcW w:w="1280" w:type="dxa"/>
            <w:tcBorders>
              <w:right w:val="single" w:sz="4" w:space="0" w:color="FFFFFF" w:themeColor="background1"/>
            </w:tcBorders>
            <w:shd w:val="clear" w:color="auto" w:fill="auto"/>
            <w:noWrap/>
            <w:vAlign w:val="bottom"/>
          </w:tcPr>
          <w:p w14:paraId="58BE9598" w14:textId="30C3460E" w:rsidR="00D1692B" w:rsidRPr="00B275E2" w:rsidRDefault="00297E4B" w:rsidP="003E7AEC">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n/a</w:t>
            </w:r>
          </w:p>
        </w:tc>
      </w:tr>
      <w:tr w:rsidR="00D4253C" w:rsidRPr="00B275E2" w14:paraId="6B243D61" w14:textId="77777777" w:rsidTr="008F758A">
        <w:tc>
          <w:tcPr>
            <w:cnfStyle w:val="001000000000" w:firstRow="0" w:lastRow="0" w:firstColumn="1" w:lastColumn="0" w:oddVBand="0" w:evenVBand="0" w:oddHBand="0" w:evenHBand="0" w:firstRowFirstColumn="0" w:firstRowLastColumn="0" w:lastRowFirstColumn="0" w:lastRowLastColumn="0"/>
            <w:tcW w:w="2127" w:type="dxa"/>
            <w:tcBorders>
              <w:left w:val="single" w:sz="4" w:space="0" w:color="FFFFFF" w:themeColor="background1"/>
            </w:tcBorders>
          </w:tcPr>
          <w:p w14:paraId="51112283" w14:textId="77777777" w:rsidR="00D1692B" w:rsidRPr="00B275E2" w:rsidRDefault="00D1692B" w:rsidP="003E7AEC">
            <w:pPr>
              <w:pStyle w:val="TableText"/>
              <w:spacing w:before="20" w:after="20"/>
              <w:rPr>
                <w:b w:val="0"/>
              </w:rPr>
            </w:pPr>
            <w:r w:rsidRPr="00B275E2">
              <w:rPr>
                <w:b w:val="0"/>
                <w:bCs w:val="0"/>
                <w:color w:val="000000"/>
              </w:rPr>
              <w:t>Wine</w:t>
            </w:r>
          </w:p>
        </w:tc>
        <w:tc>
          <w:tcPr>
            <w:tcW w:w="1559" w:type="dxa"/>
            <w:noWrap/>
          </w:tcPr>
          <w:p w14:paraId="1965DF52" w14:textId="77777777" w:rsidR="00D1692B" w:rsidRPr="00B275E2" w:rsidRDefault="00D1692B" w:rsidP="003E7AE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B275E2">
              <w:rPr>
                <w:color w:val="000000"/>
              </w:rPr>
              <w:t>tonne of crushed grapes</w:t>
            </w:r>
          </w:p>
        </w:tc>
        <w:tc>
          <w:tcPr>
            <w:tcW w:w="1276" w:type="dxa"/>
            <w:shd w:val="clear" w:color="auto" w:fill="D2DDE1" w:themeFill="background2"/>
            <w:noWrap/>
          </w:tcPr>
          <w:p w14:paraId="74351D8F" w14:textId="4291E9B0" w:rsidR="00D1692B" w:rsidRPr="00B275E2" w:rsidRDefault="00D1692B" w:rsidP="003E7AEC">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5.173</w:t>
            </w:r>
          </w:p>
        </w:tc>
        <w:tc>
          <w:tcPr>
            <w:tcW w:w="1129" w:type="dxa"/>
            <w:shd w:val="clear" w:color="auto" w:fill="auto"/>
            <w:noWrap/>
            <w:vAlign w:val="bottom"/>
          </w:tcPr>
          <w:p w14:paraId="34BBEFCF" w14:textId="4E6352B0" w:rsidR="00D1692B" w:rsidRPr="00B275E2" w:rsidRDefault="00297E4B" w:rsidP="003E7AEC">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n/a</w:t>
            </w:r>
          </w:p>
        </w:tc>
        <w:tc>
          <w:tcPr>
            <w:tcW w:w="1134" w:type="dxa"/>
            <w:shd w:val="clear" w:color="auto" w:fill="auto"/>
            <w:noWrap/>
            <w:vAlign w:val="bottom"/>
          </w:tcPr>
          <w:p w14:paraId="28EBB197" w14:textId="1F52CB85" w:rsidR="00D1692B" w:rsidRPr="00B275E2" w:rsidRDefault="00D1692B" w:rsidP="003E7AEC">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5.173</w:t>
            </w:r>
          </w:p>
        </w:tc>
        <w:tc>
          <w:tcPr>
            <w:tcW w:w="1280" w:type="dxa"/>
            <w:tcBorders>
              <w:right w:val="single" w:sz="4" w:space="0" w:color="FFFFFF" w:themeColor="background1"/>
            </w:tcBorders>
            <w:shd w:val="clear" w:color="auto" w:fill="auto"/>
            <w:noWrap/>
            <w:vAlign w:val="bottom"/>
          </w:tcPr>
          <w:p w14:paraId="7508BC14" w14:textId="53680E57" w:rsidR="00D1692B" w:rsidRPr="00B275E2" w:rsidRDefault="00297E4B" w:rsidP="003E7AEC">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n/a</w:t>
            </w:r>
          </w:p>
        </w:tc>
      </w:tr>
      <w:tr w:rsidR="00D4253C" w:rsidRPr="00B275E2" w14:paraId="75C50C2B" w14:textId="77777777" w:rsidTr="008F7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left w:val="single" w:sz="4" w:space="0" w:color="FFFFFF" w:themeColor="background1"/>
            </w:tcBorders>
          </w:tcPr>
          <w:p w14:paraId="6853A4A7" w14:textId="77777777" w:rsidR="00D1692B" w:rsidRPr="00B275E2" w:rsidRDefault="00D1692B" w:rsidP="003E7AEC">
            <w:pPr>
              <w:pStyle w:val="TableText"/>
              <w:spacing w:before="20" w:after="20"/>
              <w:rPr>
                <w:b w:val="0"/>
              </w:rPr>
            </w:pPr>
            <w:r w:rsidRPr="00B275E2">
              <w:rPr>
                <w:b w:val="0"/>
                <w:bCs w:val="0"/>
                <w:color w:val="000000"/>
              </w:rPr>
              <w:t>Dairy processing</w:t>
            </w:r>
          </w:p>
        </w:tc>
        <w:tc>
          <w:tcPr>
            <w:tcW w:w="1559" w:type="dxa"/>
            <w:noWrap/>
          </w:tcPr>
          <w:p w14:paraId="6BE08297" w14:textId="77777777" w:rsidR="00D1692B" w:rsidRPr="00B275E2" w:rsidRDefault="00D1692B" w:rsidP="003E7AEC">
            <w:pPr>
              <w:pStyle w:val="TableText"/>
              <w:spacing w:before="20" w:after="20"/>
              <w:cnfStyle w:val="000000100000" w:firstRow="0" w:lastRow="0" w:firstColumn="0" w:lastColumn="0" w:oddVBand="0" w:evenVBand="0" w:oddHBand="1" w:evenHBand="0" w:firstRowFirstColumn="0" w:firstRowLastColumn="0" w:lastRowFirstColumn="0" w:lastRowLastColumn="0"/>
            </w:pPr>
            <w:r w:rsidRPr="00B275E2">
              <w:rPr>
                <w:color w:val="000000"/>
              </w:rPr>
              <w:t>m</w:t>
            </w:r>
            <w:r w:rsidRPr="00B275E2">
              <w:rPr>
                <w:color w:val="000000"/>
                <w:vertAlign w:val="superscript"/>
              </w:rPr>
              <w:t>3</w:t>
            </w:r>
            <w:r w:rsidRPr="00B275E2">
              <w:rPr>
                <w:color w:val="000000"/>
              </w:rPr>
              <w:t xml:space="preserve"> of milk</w:t>
            </w:r>
          </w:p>
        </w:tc>
        <w:tc>
          <w:tcPr>
            <w:tcW w:w="1276" w:type="dxa"/>
            <w:shd w:val="clear" w:color="auto" w:fill="D2DDE1" w:themeFill="background2"/>
            <w:noWrap/>
          </w:tcPr>
          <w:p w14:paraId="1EFED896" w14:textId="7C6A0ACB" w:rsidR="00D1692B" w:rsidRPr="00B275E2" w:rsidRDefault="00D1692B" w:rsidP="003E7AEC">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0.115</w:t>
            </w:r>
          </w:p>
        </w:tc>
        <w:tc>
          <w:tcPr>
            <w:tcW w:w="1129" w:type="dxa"/>
            <w:shd w:val="clear" w:color="auto" w:fill="auto"/>
            <w:noWrap/>
            <w:vAlign w:val="bottom"/>
          </w:tcPr>
          <w:p w14:paraId="31C7C48A" w14:textId="59FB08BB" w:rsidR="00D1692B" w:rsidRPr="00B275E2" w:rsidRDefault="00297E4B" w:rsidP="003E7AEC">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n/a</w:t>
            </w:r>
          </w:p>
        </w:tc>
        <w:tc>
          <w:tcPr>
            <w:tcW w:w="1134" w:type="dxa"/>
            <w:shd w:val="clear" w:color="auto" w:fill="auto"/>
            <w:noWrap/>
            <w:vAlign w:val="bottom"/>
          </w:tcPr>
          <w:p w14:paraId="57CBB800" w14:textId="0E8AC1B5" w:rsidR="00D1692B" w:rsidRPr="00B275E2" w:rsidRDefault="00297E4B" w:rsidP="003E7AEC">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n/a</w:t>
            </w:r>
          </w:p>
        </w:tc>
        <w:tc>
          <w:tcPr>
            <w:tcW w:w="1280" w:type="dxa"/>
            <w:tcBorders>
              <w:right w:val="single" w:sz="4" w:space="0" w:color="FFFFFF" w:themeColor="background1"/>
            </w:tcBorders>
            <w:shd w:val="clear" w:color="auto" w:fill="auto"/>
            <w:noWrap/>
            <w:vAlign w:val="bottom"/>
          </w:tcPr>
          <w:p w14:paraId="3D5EB7FC" w14:textId="0F270670" w:rsidR="00D1692B" w:rsidRPr="00B275E2" w:rsidRDefault="00D1692B" w:rsidP="003E7AEC">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0.115</w:t>
            </w:r>
          </w:p>
        </w:tc>
      </w:tr>
    </w:tbl>
    <w:p w14:paraId="3D27230A" w14:textId="3EB22577" w:rsidR="00D72EFE" w:rsidRPr="00B275E2" w:rsidRDefault="00D72EFE" w:rsidP="00771FEB">
      <w:pPr>
        <w:pStyle w:val="Note"/>
        <w:spacing w:after="80"/>
      </w:pPr>
      <w:r w:rsidRPr="00B275E2">
        <w:t>Note</w:t>
      </w:r>
      <w:r w:rsidR="0020582D" w:rsidRPr="00B275E2">
        <w:t>:</w:t>
      </w:r>
      <w:r w:rsidRPr="00B275E2">
        <w:t xml:space="preserve"> </w:t>
      </w:r>
      <w:r w:rsidR="0020582D" w:rsidRPr="00B275E2">
        <w:t xml:space="preserve">These </w:t>
      </w:r>
      <w:r w:rsidRPr="00B275E2">
        <w:t xml:space="preserve">numbers are rounded to three </w:t>
      </w:r>
      <w:r w:rsidR="006F72E0" w:rsidRPr="00B275E2">
        <w:t>significant figures</w:t>
      </w:r>
      <w:r w:rsidRPr="00B275E2">
        <w:t xml:space="preserve"> unless the number is significantly small. </w:t>
      </w:r>
    </w:p>
    <w:p w14:paraId="3A9D5D80" w14:textId="232D0435" w:rsidR="00A959E4" w:rsidRPr="00B275E2" w:rsidRDefault="00301928" w:rsidP="00C24B73">
      <w:pPr>
        <w:pStyle w:val="Heading3"/>
        <w:numPr>
          <w:ilvl w:val="0"/>
          <w:numId w:val="31"/>
        </w:numPr>
      </w:pPr>
      <w:bookmarkStart w:id="552" w:name="_Toc532904942"/>
      <w:r w:rsidRPr="00B275E2">
        <w:t xml:space="preserve">GHG </w:t>
      </w:r>
      <w:r w:rsidR="00A959E4" w:rsidRPr="00B275E2">
        <w:t>inventory development</w:t>
      </w:r>
      <w:bookmarkEnd w:id="552"/>
    </w:p>
    <w:p w14:paraId="4218DC5B" w14:textId="6719BAAA" w:rsidR="00434227" w:rsidRPr="00B275E2" w:rsidRDefault="00B10617" w:rsidP="007F0B1E">
      <w:pPr>
        <w:pStyle w:val="BodyText"/>
        <w:spacing w:before="100" w:after="100"/>
      </w:pPr>
      <w:r w:rsidRPr="00B275E2">
        <w:t>Domestic water u</w:t>
      </w:r>
      <w:r w:rsidR="00434227" w:rsidRPr="00B275E2">
        <w:t>sers should collect data on m</w:t>
      </w:r>
      <w:r w:rsidR="00434227" w:rsidRPr="00B275E2">
        <w:rPr>
          <w:vertAlign w:val="superscript"/>
        </w:rPr>
        <w:t>3</w:t>
      </w:r>
      <w:r w:rsidR="00434227" w:rsidRPr="00B275E2">
        <w:t xml:space="preserve"> of water sent to treatment</w:t>
      </w:r>
      <w:r w:rsidR="00F20545" w:rsidRPr="00B275E2">
        <w:t>.</w:t>
      </w:r>
      <w:r w:rsidR="00434227" w:rsidRPr="00B275E2">
        <w:t xml:space="preserve"> </w:t>
      </w:r>
      <w:r w:rsidR="00F20545" w:rsidRPr="00B275E2">
        <w:t>I</w:t>
      </w:r>
      <w:r w:rsidR="00434227" w:rsidRPr="00B275E2">
        <w:t>n the absence of this information</w:t>
      </w:r>
      <w:r w:rsidR="00F20545" w:rsidRPr="00B275E2">
        <w:t>,</w:t>
      </w:r>
      <w:r w:rsidR="00434227" w:rsidRPr="00B275E2">
        <w:t xml:space="preserve"> </w:t>
      </w:r>
      <w:r w:rsidR="00F20545" w:rsidRPr="00B275E2">
        <w:t xml:space="preserve">apply </w:t>
      </w:r>
      <w:r w:rsidR="00434227" w:rsidRPr="00B275E2">
        <w:t xml:space="preserve">the per capita emission factor. </w:t>
      </w:r>
      <w:r w:rsidR="00F20545" w:rsidRPr="00B275E2">
        <w:t>I</w:t>
      </w:r>
      <w:r w:rsidR="00434227" w:rsidRPr="00B275E2">
        <w:t xml:space="preserve">ndustrial organisations </w:t>
      </w:r>
      <w:r w:rsidR="00F20545" w:rsidRPr="00B275E2">
        <w:t xml:space="preserve">can </w:t>
      </w:r>
      <w:r w:rsidR="00434227" w:rsidRPr="00B275E2">
        <w:t xml:space="preserve">calculate the emissions using </w:t>
      </w:r>
      <w:r w:rsidR="00F20545" w:rsidRPr="00B275E2">
        <w:t xml:space="preserve">appropriate activity data and </w:t>
      </w:r>
      <w:r w:rsidR="00434227" w:rsidRPr="00B275E2">
        <w:t>the correlating emission factors.</w:t>
      </w:r>
    </w:p>
    <w:p w14:paraId="7CA95DD4" w14:textId="7002720A" w:rsidR="00F20545" w:rsidRPr="00B275E2" w:rsidRDefault="00F20545" w:rsidP="007F0B1E">
      <w:pPr>
        <w:pStyle w:val="BodyText"/>
        <w:spacing w:before="100" w:after="80"/>
      </w:pPr>
      <w:r w:rsidRPr="00B275E2">
        <w:t xml:space="preserve">Applying the equation </w:t>
      </w:r>
      <w:r w:rsidR="00E71782" w:rsidRPr="00B275E2">
        <w:t>E= Q x F</w:t>
      </w:r>
      <w:r w:rsidR="00A87CF5" w:rsidRPr="00B275E2">
        <w:t xml:space="preserve"> </w:t>
      </w:r>
      <w:r w:rsidR="00E71782" w:rsidRPr="00B275E2">
        <w:t>(</w:t>
      </w:r>
      <w:hyperlink w:anchor="_How_to_quantify" w:history="1">
        <w:r w:rsidR="009F094B" w:rsidRPr="00B275E2">
          <w:rPr>
            <w:rStyle w:val="Hyperlink"/>
          </w:rPr>
          <w:t>section 2</w:t>
        </w:r>
      </w:hyperlink>
      <w:r w:rsidR="00E71782" w:rsidRPr="00B275E2">
        <w:rPr>
          <w:rStyle w:val="Hyperlink"/>
          <w:color w:val="auto"/>
        </w:rPr>
        <w:t>)</w:t>
      </w:r>
      <w:r w:rsidRPr="00B275E2">
        <w:t>, this means:</w:t>
      </w:r>
    </w:p>
    <w:p w14:paraId="697A09E3" w14:textId="14089B48" w:rsidR="00E71782" w:rsidRPr="00B275E2" w:rsidRDefault="00E71782" w:rsidP="00771FEB">
      <w:pPr>
        <w:pStyle w:val="BodyText"/>
        <w:tabs>
          <w:tab w:val="left" w:pos="680"/>
          <w:tab w:val="left" w:pos="1134"/>
        </w:tabs>
        <w:contextualSpacing/>
      </w:pPr>
      <w:r w:rsidRPr="00B275E2">
        <w:t>E</w:t>
      </w:r>
      <w:r w:rsidRPr="00B275E2">
        <w:tab/>
        <w:t>=</w:t>
      </w:r>
      <w:r w:rsidRPr="00B275E2">
        <w:tab/>
        <w:t>emissions from the emissions source in kg CO</w:t>
      </w:r>
      <w:r w:rsidRPr="00B275E2">
        <w:rPr>
          <w:vertAlign w:val="subscript"/>
        </w:rPr>
        <w:t>2</w:t>
      </w:r>
      <w:r w:rsidRPr="00B275E2">
        <w:t>-e per year</w:t>
      </w:r>
    </w:p>
    <w:p w14:paraId="4335F31C" w14:textId="1C5AFBC9" w:rsidR="00A959E4" w:rsidRPr="00B275E2" w:rsidRDefault="0020582D" w:rsidP="00771FEB">
      <w:pPr>
        <w:pStyle w:val="BodyText"/>
        <w:tabs>
          <w:tab w:val="left" w:pos="680"/>
          <w:tab w:val="left" w:pos="1134"/>
        </w:tabs>
        <w:contextualSpacing/>
      </w:pPr>
      <w:r w:rsidRPr="00B275E2">
        <w:t>Q</w:t>
      </w:r>
      <w:r w:rsidRPr="00B275E2">
        <w:tab/>
      </w:r>
      <w:r w:rsidR="00A959E4" w:rsidRPr="00B275E2">
        <w:t>=</w:t>
      </w:r>
      <w:r w:rsidRPr="00B275E2">
        <w:tab/>
      </w:r>
      <w:r w:rsidR="00A959E4" w:rsidRPr="00B275E2">
        <w:t>quantity of water treated (m</w:t>
      </w:r>
      <w:r w:rsidR="00A959E4" w:rsidRPr="00B275E2">
        <w:rPr>
          <w:vertAlign w:val="superscript"/>
        </w:rPr>
        <w:t>3</w:t>
      </w:r>
      <w:r w:rsidR="00A959E4" w:rsidRPr="00B275E2">
        <w:t>) or persons using water facilities (per capita)</w:t>
      </w:r>
    </w:p>
    <w:p w14:paraId="07BC581C" w14:textId="0F54402D" w:rsidR="00A959E4" w:rsidRPr="00B275E2" w:rsidRDefault="0020582D" w:rsidP="00771FEB">
      <w:pPr>
        <w:pStyle w:val="BodyText"/>
        <w:tabs>
          <w:tab w:val="left" w:pos="680"/>
          <w:tab w:val="left" w:pos="1134"/>
        </w:tabs>
        <w:spacing w:after="240"/>
        <w:contextualSpacing/>
      </w:pPr>
      <w:r w:rsidRPr="00B275E2">
        <w:t>F</w:t>
      </w:r>
      <w:r w:rsidRPr="00B275E2">
        <w:tab/>
        <w:t>=</w:t>
      </w:r>
      <w:r w:rsidRPr="00B275E2">
        <w:tab/>
      </w:r>
      <w:r w:rsidR="00A959E4" w:rsidRPr="00B275E2">
        <w:t xml:space="preserve">appropriate emission factors from </w:t>
      </w:r>
      <w:r w:rsidR="00A55754" w:rsidRPr="00B275E2">
        <w:t xml:space="preserve">table </w:t>
      </w:r>
      <w:r w:rsidR="0041361A" w:rsidRPr="00B275E2">
        <w:t>7</w:t>
      </w:r>
      <w:r w:rsidR="006E1FA8">
        <w:t>3</w:t>
      </w:r>
      <w:r w:rsidR="00A55754" w:rsidRPr="00B275E2">
        <w:t xml:space="preserve"> </w:t>
      </w:r>
      <w:r w:rsidR="003B5F6D" w:rsidRPr="00B275E2">
        <w:t>and</w:t>
      </w:r>
      <w:r w:rsidR="00A55754" w:rsidRPr="00B275E2">
        <w:t xml:space="preserve"> table </w:t>
      </w:r>
      <w:r w:rsidR="0041361A" w:rsidRPr="00B275E2">
        <w:t>7</w:t>
      </w:r>
      <w:r w:rsidR="006E1FA8">
        <w:t>4</w:t>
      </w:r>
      <w:r w:rsidR="008B78E0" w:rsidRPr="00B275E2">
        <w:rPr>
          <w:color w:val="32809C" w:themeColor="accent2"/>
        </w:rPr>
        <w:t>.</w:t>
      </w:r>
    </w:p>
    <w:tbl>
      <w:tblPr>
        <w:tblW w:w="8500"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0"/>
      </w:tblGrid>
      <w:tr w:rsidR="00F20545" w:rsidRPr="00B275E2" w:rsidDel="00D5390D" w14:paraId="1BCBF005" w14:textId="77777777" w:rsidTr="003E7AEC">
        <w:tc>
          <w:tcPr>
            <w:tcW w:w="8500" w:type="dxa"/>
            <w:tcBorders>
              <w:top w:val="single" w:sz="4" w:space="0" w:color="0F7B7D"/>
              <w:left w:val="single" w:sz="4" w:space="0" w:color="0F7B7D"/>
              <w:bottom w:val="nil"/>
              <w:right w:val="single" w:sz="4" w:space="0" w:color="0F7B7D"/>
            </w:tcBorders>
            <w:shd w:val="clear" w:color="auto" w:fill="0F7B7D"/>
            <w:vAlign w:val="center"/>
          </w:tcPr>
          <w:p w14:paraId="38E3F21C" w14:textId="3C3813CF" w:rsidR="00F20545" w:rsidRPr="00B275E2" w:rsidDel="00D5390D" w:rsidRDefault="00A625ED" w:rsidP="003E7AEC">
            <w:pPr>
              <w:pStyle w:val="Casestudyheading"/>
            </w:pPr>
            <w:bookmarkStart w:id="553" w:name="_Hlk532894538"/>
            <w:r w:rsidRPr="00B275E2">
              <w:t xml:space="preserve">Wastewater: </w:t>
            </w:r>
            <w:r w:rsidR="00F20545" w:rsidRPr="00B275E2">
              <w:t>Example Calculation</w:t>
            </w:r>
          </w:p>
        </w:tc>
      </w:tr>
      <w:tr w:rsidR="00045537" w:rsidRPr="00B275E2" w14:paraId="20D1162D" w14:textId="77777777" w:rsidTr="003E7AEC">
        <w:tc>
          <w:tcPr>
            <w:tcW w:w="8500" w:type="dxa"/>
            <w:tcBorders>
              <w:top w:val="nil"/>
              <w:left w:val="single" w:sz="4" w:space="0" w:color="D5EBE8" w:themeColor="accent3"/>
              <w:bottom w:val="single" w:sz="4" w:space="0" w:color="D5EBE8" w:themeColor="accent3"/>
              <w:right w:val="single" w:sz="4" w:space="0" w:color="D5EBE8" w:themeColor="accent3"/>
            </w:tcBorders>
            <w:shd w:val="clear" w:color="auto" w:fill="D5EBE8" w:themeFill="accent3"/>
          </w:tcPr>
          <w:p w14:paraId="24BF3399" w14:textId="31E55A7C" w:rsidR="00F20545" w:rsidRPr="00B275E2" w:rsidRDefault="00F20545" w:rsidP="003E7AEC">
            <w:pPr>
              <w:pStyle w:val="Boxtext"/>
              <w:spacing w:after="60"/>
            </w:pPr>
            <w:r w:rsidRPr="00B275E2">
              <w:t>During the reporting period an organisation uses 100 m</w:t>
            </w:r>
            <w:r w:rsidRPr="00B275E2">
              <w:rPr>
                <w:vertAlign w:val="superscript"/>
              </w:rPr>
              <w:t>3</w:t>
            </w:r>
            <w:r w:rsidRPr="00B275E2">
              <w:t xml:space="preserve"> of water in its offices</w:t>
            </w:r>
            <w:r w:rsidR="00E504C3" w:rsidRPr="00B275E2">
              <w:t>. T</w:t>
            </w:r>
            <w:r w:rsidRPr="00B275E2">
              <w:t>hey assume that all water is also sent to be treated. This organisation also owns a winery that crushed 10</w:t>
            </w:r>
            <w:r w:rsidR="00E61BB8" w:rsidRPr="00B275E2">
              <w:t> </w:t>
            </w:r>
            <w:r w:rsidRPr="00B275E2">
              <w:t>tonnes of grapes during the reporting period.</w:t>
            </w:r>
          </w:p>
          <w:p w14:paraId="562B32EC" w14:textId="2C39F5A7" w:rsidR="00F20545" w:rsidRPr="00B275E2" w:rsidRDefault="00F20545" w:rsidP="003E7AEC">
            <w:pPr>
              <w:pStyle w:val="Boxtext"/>
              <w:spacing w:before="80" w:after="60"/>
            </w:pPr>
            <w:r w:rsidRPr="00B275E2">
              <w:t>The office wastewater is domestic, therefore:</w:t>
            </w:r>
          </w:p>
          <w:p w14:paraId="62D4D4F9" w14:textId="537A51A8" w:rsidR="00F20545" w:rsidRPr="00B275E2" w:rsidRDefault="00F20545" w:rsidP="003E7AEC">
            <w:pPr>
              <w:pStyle w:val="Boxtext"/>
              <w:tabs>
                <w:tab w:val="left" w:pos="2847"/>
                <w:tab w:val="left" w:pos="4265"/>
              </w:tabs>
              <w:spacing w:before="20" w:after="20"/>
              <w:ind w:left="850"/>
            </w:pPr>
            <w:r w:rsidRPr="00B275E2">
              <w:t>CO</w:t>
            </w:r>
            <w:r w:rsidRPr="00B275E2">
              <w:rPr>
                <w:vertAlign w:val="subscript"/>
              </w:rPr>
              <w:t>2</w:t>
            </w:r>
            <w:r w:rsidRPr="00B275E2">
              <w:t xml:space="preserve"> emissions</w:t>
            </w:r>
            <w:r w:rsidRPr="00B275E2">
              <w:tab/>
              <w:t xml:space="preserve">= 100 </w:t>
            </w:r>
            <w:r w:rsidRPr="00B275E2">
              <w:rPr>
                <w:rFonts w:cs="Calibri"/>
              </w:rPr>
              <w:t xml:space="preserve">× </w:t>
            </w:r>
            <w:r w:rsidRPr="00B275E2">
              <w:t>0.077</w:t>
            </w:r>
            <w:r w:rsidRPr="00B275E2">
              <w:tab/>
              <w:t>= 7.7 kg CO</w:t>
            </w:r>
            <w:r w:rsidRPr="00B275E2">
              <w:rPr>
                <w:vertAlign w:val="subscript"/>
              </w:rPr>
              <w:t>2</w:t>
            </w:r>
            <w:r w:rsidRPr="00B275E2">
              <w:t xml:space="preserve"> </w:t>
            </w:r>
          </w:p>
          <w:p w14:paraId="19FB5184" w14:textId="019DD61D" w:rsidR="00F20545" w:rsidRPr="00B275E2" w:rsidRDefault="00F20545" w:rsidP="003E7AEC">
            <w:pPr>
              <w:pStyle w:val="Boxtext"/>
              <w:tabs>
                <w:tab w:val="left" w:pos="2847"/>
                <w:tab w:val="left" w:pos="4265"/>
              </w:tabs>
              <w:spacing w:before="20" w:after="20"/>
              <w:ind w:left="850"/>
            </w:pPr>
            <w:r w:rsidRPr="00B275E2">
              <w:t>CH</w:t>
            </w:r>
            <w:r w:rsidRPr="00B275E2">
              <w:rPr>
                <w:vertAlign w:val="subscript"/>
              </w:rPr>
              <w:t>4</w:t>
            </w:r>
            <w:r w:rsidRPr="00B275E2">
              <w:t xml:space="preserve"> emissions</w:t>
            </w:r>
            <w:r w:rsidRPr="00B275E2">
              <w:tab/>
              <w:t xml:space="preserve">= 100 </w:t>
            </w:r>
            <w:r w:rsidRPr="00B275E2">
              <w:rPr>
                <w:rFonts w:cs="Calibri"/>
              </w:rPr>
              <w:t xml:space="preserve">× </w:t>
            </w:r>
            <w:r w:rsidR="004505EC" w:rsidRPr="00B275E2">
              <w:t>0.</w:t>
            </w:r>
            <w:r w:rsidR="00A5197F" w:rsidRPr="00B275E2">
              <w:t>167</w:t>
            </w:r>
            <w:r w:rsidR="004505EC" w:rsidRPr="00B275E2">
              <w:tab/>
            </w:r>
            <w:r w:rsidRPr="00B275E2">
              <w:t xml:space="preserve">= </w:t>
            </w:r>
            <w:r w:rsidR="00A5197F" w:rsidRPr="00B275E2">
              <w:t>16.7</w:t>
            </w:r>
            <w:r w:rsidRPr="00B275E2">
              <w:t xml:space="preserve"> kg CO</w:t>
            </w:r>
            <w:r w:rsidRPr="00B275E2">
              <w:rPr>
                <w:vertAlign w:val="subscript"/>
              </w:rPr>
              <w:t>2</w:t>
            </w:r>
            <w:r w:rsidRPr="00B275E2">
              <w:t xml:space="preserve">-e </w:t>
            </w:r>
          </w:p>
          <w:p w14:paraId="5972EE7F" w14:textId="6F65E603" w:rsidR="00F20545" w:rsidRPr="00B275E2" w:rsidRDefault="00F20545" w:rsidP="003E7AEC">
            <w:pPr>
              <w:pStyle w:val="Boxtext"/>
              <w:tabs>
                <w:tab w:val="left" w:pos="2847"/>
                <w:tab w:val="left" w:pos="4265"/>
              </w:tabs>
              <w:spacing w:before="20" w:after="20"/>
              <w:ind w:left="850"/>
            </w:pPr>
            <w:r w:rsidRPr="00B275E2">
              <w:t>N</w:t>
            </w:r>
            <w:r w:rsidRPr="00B275E2">
              <w:rPr>
                <w:vertAlign w:val="subscript"/>
              </w:rPr>
              <w:t>2</w:t>
            </w:r>
            <w:r w:rsidRPr="00B275E2">
              <w:t>O emissions</w:t>
            </w:r>
            <w:r w:rsidRPr="00B275E2">
              <w:tab/>
              <w:t xml:space="preserve">= 100 </w:t>
            </w:r>
            <w:r w:rsidRPr="00B275E2">
              <w:rPr>
                <w:rFonts w:cs="Calibri"/>
              </w:rPr>
              <w:t xml:space="preserve">× </w:t>
            </w:r>
            <w:r w:rsidRPr="00B275E2">
              <w:t>0.</w:t>
            </w:r>
            <w:r w:rsidR="00A5197F" w:rsidRPr="00B275E2">
              <w:t>235</w:t>
            </w:r>
            <w:r w:rsidRPr="00B275E2">
              <w:tab/>
              <w:t>=</w:t>
            </w:r>
            <w:r w:rsidR="00724C42" w:rsidRPr="00B275E2">
              <w:t xml:space="preserve"> </w:t>
            </w:r>
            <w:r w:rsidR="00A5197F" w:rsidRPr="00B275E2">
              <w:t>23.5</w:t>
            </w:r>
            <w:r w:rsidR="00066018" w:rsidRPr="00B275E2">
              <w:t xml:space="preserve"> </w:t>
            </w:r>
            <w:r w:rsidRPr="00B275E2">
              <w:t>kg CO</w:t>
            </w:r>
            <w:r w:rsidRPr="00B275E2">
              <w:rPr>
                <w:vertAlign w:val="subscript"/>
              </w:rPr>
              <w:t>2</w:t>
            </w:r>
            <w:r w:rsidRPr="00B275E2">
              <w:t xml:space="preserve">-e </w:t>
            </w:r>
          </w:p>
          <w:p w14:paraId="29346B29" w14:textId="4C471D4A" w:rsidR="00F20545" w:rsidRPr="00B275E2" w:rsidRDefault="00F20545" w:rsidP="003E7AEC">
            <w:pPr>
              <w:pStyle w:val="Boxtext"/>
              <w:tabs>
                <w:tab w:val="left" w:pos="2847"/>
                <w:tab w:val="left" w:pos="4265"/>
              </w:tabs>
              <w:spacing w:before="20" w:after="20"/>
              <w:ind w:left="850"/>
            </w:pPr>
            <w:r w:rsidRPr="00B275E2">
              <w:t>Total CO</w:t>
            </w:r>
            <w:r w:rsidRPr="00B275E2">
              <w:rPr>
                <w:vertAlign w:val="subscript"/>
              </w:rPr>
              <w:t>2</w:t>
            </w:r>
            <w:r w:rsidRPr="00B275E2">
              <w:t>-e emissions</w:t>
            </w:r>
            <w:r w:rsidRPr="00B275E2">
              <w:tab/>
              <w:t xml:space="preserve">= 100 </w:t>
            </w:r>
            <w:r w:rsidRPr="00B275E2">
              <w:rPr>
                <w:rFonts w:cs="Calibri"/>
              </w:rPr>
              <w:t>× 0.</w:t>
            </w:r>
            <w:r w:rsidR="00C2482E" w:rsidRPr="00B275E2">
              <w:rPr>
                <w:rFonts w:cs="Calibri"/>
              </w:rPr>
              <w:t>480</w:t>
            </w:r>
            <w:r w:rsidRPr="00B275E2">
              <w:tab/>
              <w:t xml:space="preserve">= </w:t>
            </w:r>
            <w:r w:rsidR="00C2482E" w:rsidRPr="00B275E2">
              <w:t>48.0</w:t>
            </w:r>
            <w:r w:rsidR="008F4945" w:rsidRPr="00B275E2">
              <w:t xml:space="preserve"> </w:t>
            </w:r>
            <w:r w:rsidRPr="00B275E2">
              <w:t>kg CO</w:t>
            </w:r>
            <w:r w:rsidRPr="00B275E2">
              <w:rPr>
                <w:vertAlign w:val="subscript"/>
              </w:rPr>
              <w:t>2</w:t>
            </w:r>
            <w:r w:rsidRPr="00B275E2">
              <w:t xml:space="preserve">-e </w:t>
            </w:r>
          </w:p>
          <w:p w14:paraId="3A494FB9" w14:textId="15F9D3AB" w:rsidR="00F20545" w:rsidRPr="00B275E2" w:rsidRDefault="00F20545" w:rsidP="003E7AEC">
            <w:pPr>
              <w:pStyle w:val="Boxtext"/>
              <w:spacing w:after="80"/>
            </w:pPr>
            <w:r w:rsidRPr="00B275E2">
              <w:t>The winery wastewater is industrial wastewater (wine), therefore:</w:t>
            </w:r>
          </w:p>
          <w:p w14:paraId="4996FCEA" w14:textId="273E4831" w:rsidR="00F20545" w:rsidRPr="00B275E2" w:rsidRDefault="00F20545" w:rsidP="0009288B">
            <w:pPr>
              <w:pStyle w:val="Boxtext"/>
              <w:tabs>
                <w:tab w:val="left" w:pos="2847"/>
                <w:tab w:val="left" w:pos="4265"/>
              </w:tabs>
              <w:spacing w:before="20" w:after="20"/>
              <w:ind w:left="850"/>
            </w:pPr>
            <w:r w:rsidRPr="00B275E2">
              <w:t>CO</w:t>
            </w:r>
            <w:r w:rsidRPr="00B275E2">
              <w:rPr>
                <w:vertAlign w:val="subscript"/>
              </w:rPr>
              <w:t>2</w:t>
            </w:r>
            <w:r w:rsidRPr="00B275E2">
              <w:t xml:space="preserve"> emissions</w:t>
            </w:r>
            <w:r w:rsidRPr="00B275E2">
              <w:tab/>
              <w:t xml:space="preserve">= </w:t>
            </w:r>
            <w:r w:rsidR="000F226B" w:rsidRPr="00B275E2">
              <w:t>n/a</w:t>
            </w:r>
            <w:r w:rsidRPr="00B275E2">
              <w:t xml:space="preserve"> </w:t>
            </w:r>
          </w:p>
          <w:p w14:paraId="407174F9" w14:textId="0FBC4931" w:rsidR="00F20545" w:rsidRPr="00B275E2" w:rsidRDefault="00F20545" w:rsidP="0009288B">
            <w:pPr>
              <w:pStyle w:val="Boxtext"/>
              <w:tabs>
                <w:tab w:val="left" w:pos="2847"/>
                <w:tab w:val="left" w:pos="4265"/>
              </w:tabs>
              <w:spacing w:before="20" w:after="20"/>
              <w:ind w:left="850"/>
            </w:pPr>
            <w:r w:rsidRPr="00B275E2">
              <w:t>CH</w:t>
            </w:r>
            <w:r w:rsidRPr="00B275E2">
              <w:rPr>
                <w:vertAlign w:val="subscript"/>
              </w:rPr>
              <w:t>4</w:t>
            </w:r>
            <w:r w:rsidRPr="00B275E2">
              <w:t xml:space="preserve"> emissions</w:t>
            </w:r>
            <w:r w:rsidRPr="00B275E2">
              <w:tab/>
              <w:t xml:space="preserve">= 10 </w:t>
            </w:r>
            <w:r w:rsidRPr="00B275E2">
              <w:rPr>
                <w:rFonts w:cs="Calibri"/>
              </w:rPr>
              <w:t>× 5.17</w:t>
            </w:r>
            <w:r w:rsidR="002528D2" w:rsidRPr="00B275E2">
              <w:rPr>
                <w:rFonts w:cs="Calibri"/>
              </w:rPr>
              <w:t>3</w:t>
            </w:r>
            <w:r w:rsidRPr="00B275E2">
              <w:tab/>
              <w:t>= 51.7</w:t>
            </w:r>
            <w:r w:rsidR="005D6DA8" w:rsidRPr="00B275E2">
              <w:t>3</w:t>
            </w:r>
            <w:r w:rsidRPr="00B275E2">
              <w:t xml:space="preserve"> kg CO</w:t>
            </w:r>
            <w:r w:rsidRPr="00B275E2">
              <w:rPr>
                <w:vertAlign w:val="subscript"/>
              </w:rPr>
              <w:t>2</w:t>
            </w:r>
            <w:r w:rsidRPr="00B275E2">
              <w:t xml:space="preserve">-e </w:t>
            </w:r>
          </w:p>
          <w:p w14:paraId="5BA157BC" w14:textId="71CD3166" w:rsidR="00F20545" w:rsidRPr="00B275E2" w:rsidRDefault="00F20545" w:rsidP="0009288B">
            <w:pPr>
              <w:pStyle w:val="Boxtext"/>
              <w:tabs>
                <w:tab w:val="left" w:pos="2847"/>
                <w:tab w:val="left" w:pos="4265"/>
              </w:tabs>
              <w:spacing w:before="20" w:after="20"/>
              <w:ind w:left="850"/>
            </w:pPr>
            <w:r w:rsidRPr="00B275E2">
              <w:t>N</w:t>
            </w:r>
            <w:r w:rsidRPr="00B275E2">
              <w:rPr>
                <w:vertAlign w:val="subscript"/>
              </w:rPr>
              <w:t>2</w:t>
            </w:r>
            <w:r w:rsidRPr="00B275E2">
              <w:t>O emissions</w:t>
            </w:r>
            <w:r w:rsidRPr="00B275E2">
              <w:tab/>
              <w:t xml:space="preserve">= </w:t>
            </w:r>
            <w:r w:rsidR="000F226B" w:rsidRPr="00B275E2">
              <w:t>n/a</w:t>
            </w:r>
          </w:p>
          <w:p w14:paraId="57AFBAFC" w14:textId="45508EC7" w:rsidR="00F20545" w:rsidRPr="00B275E2" w:rsidRDefault="00F20545" w:rsidP="0009288B">
            <w:pPr>
              <w:pStyle w:val="Boxtext"/>
              <w:tabs>
                <w:tab w:val="left" w:pos="2847"/>
                <w:tab w:val="left" w:pos="4265"/>
              </w:tabs>
              <w:spacing w:before="20" w:after="20"/>
              <w:ind w:left="850"/>
            </w:pPr>
            <w:r w:rsidRPr="00B275E2">
              <w:t>Total CO</w:t>
            </w:r>
            <w:r w:rsidRPr="00B275E2">
              <w:rPr>
                <w:vertAlign w:val="subscript"/>
              </w:rPr>
              <w:t>2</w:t>
            </w:r>
            <w:r w:rsidRPr="00B275E2">
              <w:t>-e emissions</w:t>
            </w:r>
            <w:r w:rsidRPr="00B275E2">
              <w:tab/>
              <w:t xml:space="preserve">= 10 </w:t>
            </w:r>
            <w:r w:rsidRPr="00B275E2">
              <w:rPr>
                <w:rFonts w:cs="Calibri"/>
              </w:rPr>
              <w:t>× 5.17</w:t>
            </w:r>
            <w:r w:rsidR="002528D2" w:rsidRPr="00B275E2">
              <w:rPr>
                <w:rFonts w:cs="Calibri"/>
              </w:rPr>
              <w:t>3</w:t>
            </w:r>
            <w:r w:rsidRPr="00B275E2">
              <w:tab/>
              <w:t>= 51.7</w:t>
            </w:r>
            <w:r w:rsidR="005D6DA8" w:rsidRPr="00B275E2">
              <w:t>3</w:t>
            </w:r>
            <w:r w:rsidRPr="00B275E2">
              <w:t xml:space="preserve"> kg CO</w:t>
            </w:r>
            <w:r w:rsidRPr="00B275E2">
              <w:rPr>
                <w:vertAlign w:val="subscript"/>
              </w:rPr>
              <w:t>2</w:t>
            </w:r>
            <w:r w:rsidRPr="00B275E2">
              <w:t xml:space="preserve">-e </w:t>
            </w:r>
          </w:p>
          <w:p w14:paraId="00FDB3DC" w14:textId="2FB4A48E" w:rsidR="00F20545" w:rsidRPr="00B275E2" w:rsidRDefault="00F20545" w:rsidP="003E7AEC">
            <w:pPr>
              <w:pStyle w:val="Boxtext"/>
              <w:spacing w:after="80"/>
            </w:pPr>
            <w:r w:rsidRPr="00B275E2">
              <w:lastRenderedPageBreak/>
              <w:t xml:space="preserve">The total wastewater emissions are: </w:t>
            </w:r>
          </w:p>
          <w:p w14:paraId="62ECA604" w14:textId="5CE91C36" w:rsidR="00F20545" w:rsidRPr="00B275E2" w:rsidRDefault="00494B5B" w:rsidP="003E17EC">
            <w:pPr>
              <w:pStyle w:val="Boxtext"/>
              <w:tabs>
                <w:tab w:val="left" w:pos="2847"/>
                <w:tab w:val="left" w:pos="4265"/>
              </w:tabs>
              <w:spacing w:before="20" w:after="0"/>
              <w:ind w:left="850"/>
            </w:pPr>
            <w:r w:rsidRPr="00B275E2">
              <w:tab/>
            </w:r>
            <w:r w:rsidR="00934C99" w:rsidRPr="00B275E2">
              <w:t>=</w:t>
            </w:r>
            <w:r w:rsidR="00724C42" w:rsidRPr="00B275E2">
              <w:t xml:space="preserve"> </w:t>
            </w:r>
            <w:r w:rsidR="00C2482E" w:rsidRPr="00B275E2">
              <w:t>48.0</w:t>
            </w:r>
            <w:r w:rsidR="00BD685C" w:rsidRPr="00B275E2">
              <w:t xml:space="preserve"> </w:t>
            </w:r>
            <w:r w:rsidR="00F20545" w:rsidRPr="00B275E2">
              <w:t>+ 51.7</w:t>
            </w:r>
            <w:r w:rsidR="00243581" w:rsidRPr="00B275E2">
              <w:t>3</w:t>
            </w:r>
            <w:r w:rsidR="00724C42" w:rsidRPr="00B275E2">
              <w:t xml:space="preserve"> </w:t>
            </w:r>
            <w:r w:rsidR="00724C42" w:rsidRPr="00B275E2">
              <w:tab/>
            </w:r>
            <w:r w:rsidR="00F20545" w:rsidRPr="00B275E2">
              <w:t xml:space="preserve">= </w:t>
            </w:r>
            <w:r w:rsidR="00C2482E" w:rsidRPr="00B275E2">
              <w:t>99.73</w:t>
            </w:r>
            <w:r w:rsidR="00F20545" w:rsidRPr="00B275E2">
              <w:t xml:space="preserve"> kg CO</w:t>
            </w:r>
            <w:r w:rsidR="00F20545" w:rsidRPr="00B275E2">
              <w:rPr>
                <w:vertAlign w:val="subscript"/>
              </w:rPr>
              <w:t>2</w:t>
            </w:r>
            <w:r w:rsidR="00F20545" w:rsidRPr="00B275E2">
              <w:t>-e</w:t>
            </w:r>
          </w:p>
          <w:p w14:paraId="5AFFC262" w14:textId="2841D232" w:rsidR="00166895" w:rsidRPr="00B275E2" w:rsidRDefault="00166895" w:rsidP="003E7AEC">
            <w:pPr>
              <w:pStyle w:val="Boxtext"/>
              <w:spacing w:before="0"/>
            </w:pPr>
            <w:r w:rsidRPr="00B275E2">
              <w:rPr>
                <w:sz w:val="18"/>
              </w:rPr>
              <w:t>Note</w:t>
            </w:r>
            <w:r w:rsidR="00E504C3" w:rsidRPr="00B275E2">
              <w:rPr>
                <w:sz w:val="18"/>
              </w:rPr>
              <w:t>: N</w:t>
            </w:r>
            <w:r w:rsidRPr="00B275E2">
              <w:rPr>
                <w:sz w:val="18"/>
              </w:rPr>
              <w:t>umbers may not add due to rounding</w:t>
            </w:r>
            <w:r w:rsidR="0071351B" w:rsidRPr="00B275E2">
              <w:rPr>
                <w:sz w:val="18"/>
              </w:rPr>
              <w:t>.</w:t>
            </w:r>
          </w:p>
        </w:tc>
      </w:tr>
    </w:tbl>
    <w:p w14:paraId="19E8F1F1" w14:textId="39549564" w:rsidR="00A959E4" w:rsidRPr="00B275E2" w:rsidRDefault="00A959E4" w:rsidP="00C24B73">
      <w:pPr>
        <w:pStyle w:val="Heading3"/>
        <w:numPr>
          <w:ilvl w:val="0"/>
          <w:numId w:val="31"/>
        </w:numPr>
      </w:pPr>
      <w:bookmarkStart w:id="554" w:name="_Toc532904943"/>
      <w:bookmarkEnd w:id="553"/>
      <w:r w:rsidRPr="00B275E2">
        <w:lastRenderedPageBreak/>
        <w:t>Emission factor derivation methodology</w:t>
      </w:r>
      <w:bookmarkEnd w:id="554"/>
    </w:p>
    <w:p w14:paraId="189678DB" w14:textId="3F0EC008" w:rsidR="00A959E4" w:rsidRPr="00B275E2" w:rsidRDefault="00A959E4" w:rsidP="002234D0">
      <w:pPr>
        <w:pStyle w:val="Heading3"/>
      </w:pPr>
      <w:r w:rsidRPr="00B275E2">
        <w:t xml:space="preserve">Domestic </w:t>
      </w:r>
      <w:r w:rsidR="00E504C3" w:rsidRPr="00B275E2">
        <w:t>w</w:t>
      </w:r>
      <w:r w:rsidRPr="00B275E2">
        <w:t>astewater treatment</w:t>
      </w:r>
    </w:p>
    <w:p w14:paraId="5FA715EA" w14:textId="0421090B" w:rsidR="00A959E4" w:rsidRPr="00B275E2" w:rsidRDefault="006A47D1" w:rsidP="00751C9D">
      <w:pPr>
        <w:pStyle w:val="BodyText"/>
        <w:spacing w:before="100" w:after="100"/>
        <w:rPr>
          <w:spacing w:val="2"/>
        </w:rPr>
      </w:pPr>
      <w:r w:rsidRPr="00B275E2">
        <w:rPr>
          <w:spacing w:val="2"/>
        </w:rPr>
        <w:t>We derived t</w:t>
      </w:r>
      <w:r w:rsidR="00A959E4" w:rsidRPr="00B275E2">
        <w:rPr>
          <w:spacing w:val="2"/>
        </w:rPr>
        <w:t xml:space="preserve">he </w:t>
      </w:r>
      <w:r w:rsidRPr="00B275E2">
        <w:rPr>
          <w:spacing w:val="2"/>
        </w:rPr>
        <w:t xml:space="preserve">domestic wastewater treatment plant </w:t>
      </w:r>
      <w:r w:rsidR="00A959E4" w:rsidRPr="00B275E2">
        <w:rPr>
          <w:spacing w:val="2"/>
        </w:rPr>
        <w:t>emission factor</w:t>
      </w:r>
      <w:r w:rsidR="00E504C3" w:rsidRPr="00B275E2">
        <w:rPr>
          <w:spacing w:val="2"/>
        </w:rPr>
        <w:t>s</w:t>
      </w:r>
      <w:r w:rsidR="00A959E4" w:rsidRPr="00B275E2">
        <w:rPr>
          <w:spacing w:val="2"/>
        </w:rPr>
        <w:t xml:space="preserve"> from the total </w:t>
      </w:r>
      <w:r w:rsidRPr="00B275E2">
        <w:rPr>
          <w:spacing w:val="2"/>
        </w:rPr>
        <w:t>energy</w:t>
      </w:r>
      <w:r w:rsidR="003E17EC" w:rsidRPr="00B275E2">
        <w:rPr>
          <w:spacing w:val="2"/>
        </w:rPr>
        <w:t> </w:t>
      </w:r>
      <w:r w:rsidRPr="00B275E2">
        <w:rPr>
          <w:spacing w:val="2"/>
        </w:rPr>
        <w:t xml:space="preserve">use </w:t>
      </w:r>
      <w:r w:rsidR="00A959E4" w:rsidRPr="00B275E2">
        <w:rPr>
          <w:spacing w:val="2"/>
        </w:rPr>
        <w:t>emissions in the wastewater treatment plants</w:t>
      </w:r>
      <w:r w:rsidR="00E504C3" w:rsidRPr="00B275E2">
        <w:rPr>
          <w:spacing w:val="2"/>
        </w:rPr>
        <w:t>,</w:t>
      </w:r>
      <w:r w:rsidR="00A959E4" w:rsidRPr="00B275E2">
        <w:rPr>
          <w:spacing w:val="2"/>
        </w:rPr>
        <w:t xml:space="preserve"> and the gases emitted during the</w:t>
      </w:r>
      <w:r w:rsidR="003E17EC" w:rsidRPr="00B275E2">
        <w:rPr>
          <w:spacing w:val="2"/>
        </w:rPr>
        <w:t> </w:t>
      </w:r>
      <w:r w:rsidR="00A959E4" w:rsidRPr="00B275E2">
        <w:rPr>
          <w:spacing w:val="2"/>
        </w:rPr>
        <w:t xml:space="preserve">treatment </w:t>
      </w:r>
      <w:r w:rsidR="00BA2317" w:rsidRPr="00B275E2">
        <w:rPr>
          <w:spacing w:val="2"/>
        </w:rPr>
        <w:t>process.</w:t>
      </w:r>
    </w:p>
    <w:p w14:paraId="2800A03B" w14:textId="691E1450" w:rsidR="00A959E4" w:rsidRPr="00B275E2" w:rsidRDefault="00C9619A" w:rsidP="00751C9D">
      <w:pPr>
        <w:pStyle w:val="BodyText"/>
        <w:spacing w:before="100" w:after="100" w:line="270" w:lineRule="atLeast"/>
        <w:rPr>
          <w:iCs/>
        </w:rPr>
      </w:pPr>
      <w:r w:rsidRPr="00B275E2">
        <w:t>D</w:t>
      </w:r>
      <w:r w:rsidR="00A959E4" w:rsidRPr="00B275E2">
        <w:t xml:space="preserve">irect </w:t>
      </w:r>
      <w:r w:rsidR="008D6410" w:rsidRPr="00B275E2">
        <w:t>carbon dioxide</w:t>
      </w:r>
      <w:r w:rsidR="00A959E4" w:rsidRPr="00B275E2">
        <w:t xml:space="preserve"> emissions from wastewater treatment</w:t>
      </w:r>
      <w:r w:rsidRPr="00B275E2">
        <w:t xml:space="preserve"> are biogenic</w:t>
      </w:r>
      <w:r w:rsidR="00A959E4" w:rsidRPr="00B275E2">
        <w:t xml:space="preserve">, </w:t>
      </w:r>
      <w:r w:rsidR="000C410B" w:rsidRPr="00B275E2">
        <w:t>methodologies</w:t>
      </w:r>
      <w:r w:rsidR="00B04346" w:rsidRPr="00B275E2">
        <w:t xml:space="preserve"> described </w:t>
      </w:r>
      <w:r w:rsidR="00F55656" w:rsidRPr="00B275E2">
        <w:t>here are</w:t>
      </w:r>
      <w:r w:rsidR="000773FC" w:rsidRPr="00B275E2">
        <w:t xml:space="preserve"> only</w:t>
      </w:r>
      <w:r w:rsidR="008C3092" w:rsidRPr="00B275E2">
        <w:t xml:space="preserve"> for</w:t>
      </w:r>
      <w:r w:rsidR="00A959E4" w:rsidRPr="00B275E2">
        <w:t xml:space="preserve"> </w:t>
      </w:r>
      <w:r w:rsidR="008D6410" w:rsidRPr="00B275E2">
        <w:t>methane</w:t>
      </w:r>
      <w:r w:rsidR="00A959E4" w:rsidRPr="00B275E2">
        <w:t xml:space="preserve"> and </w:t>
      </w:r>
      <w:r w:rsidR="008D6410" w:rsidRPr="00B275E2">
        <w:t>nitrous oxide</w:t>
      </w:r>
      <w:r w:rsidR="00A959E4" w:rsidRPr="00B275E2">
        <w:t xml:space="preserve">. </w:t>
      </w:r>
      <w:r w:rsidR="006A47D1" w:rsidRPr="00B275E2">
        <w:t>We calculated t</w:t>
      </w:r>
      <w:r w:rsidR="00A959E4" w:rsidRPr="00B275E2">
        <w:t xml:space="preserve">hese using equations in the </w:t>
      </w:r>
      <w:r w:rsidR="00A959E4" w:rsidRPr="00B275E2">
        <w:rPr>
          <w:i/>
        </w:rPr>
        <w:t>2006 IPCC Guidelines for National Greenhouse Gas Inventories</w:t>
      </w:r>
      <w:r w:rsidR="003E17EC" w:rsidRPr="00B275E2">
        <w:rPr>
          <w:iCs/>
        </w:rPr>
        <w:t>.</w:t>
      </w:r>
      <w:r w:rsidR="00A959E4" w:rsidRPr="00B275E2">
        <w:rPr>
          <w:rStyle w:val="FootnoteReference"/>
          <w:color w:val="auto"/>
        </w:rPr>
        <w:footnoteReference w:id="64"/>
      </w:r>
      <w:r w:rsidR="00F07ED8" w:rsidRPr="00B275E2">
        <w:rPr>
          <w:iCs/>
        </w:rPr>
        <w:t xml:space="preserve"> </w:t>
      </w:r>
      <w:r w:rsidR="007A60A7" w:rsidRPr="00B275E2">
        <w:rPr>
          <w:iCs/>
        </w:rPr>
        <w:t xml:space="preserve">An updated methodology </w:t>
      </w:r>
      <w:r w:rsidR="00860A4C" w:rsidRPr="00B275E2">
        <w:rPr>
          <w:iCs/>
        </w:rPr>
        <w:t xml:space="preserve">is available in the </w:t>
      </w:r>
      <w:r w:rsidR="00860A4C" w:rsidRPr="00B275E2">
        <w:rPr>
          <w:i/>
        </w:rPr>
        <w:t>2019</w:t>
      </w:r>
      <w:r w:rsidR="00E70453" w:rsidRPr="00B275E2">
        <w:rPr>
          <w:i/>
        </w:rPr>
        <w:t xml:space="preserve"> Refinement </w:t>
      </w:r>
      <w:r w:rsidR="0034347C" w:rsidRPr="00B275E2">
        <w:rPr>
          <w:i/>
        </w:rPr>
        <w:t>to the 2006 IPCC Guidelines for National G</w:t>
      </w:r>
      <w:r w:rsidR="002956F5" w:rsidRPr="00B275E2">
        <w:rPr>
          <w:i/>
        </w:rPr>
        <w:t>reenhouse Gas Inventories</w:t>
      </w:r>
      <w:r w:rsidR="00E55D98" w:rsidRPr="00B275E2">
        <w:rPr>
          <w:iCs/>
        </w:rPr>
        <w:t>.</w:t>
      </w:r>
      <w:r w:rsidR="00885449" w:rsidRPr="00B275E2">
        <w:rPr>
          <w:rStyle w:val="FootnoteReference"/>
          <w:iCs/>
          <w:color w:val="auto"/>
        </w:rPr>
        <w:footnoteReference w:id="65"/>
      </w:r>
      <w:r w:rsidR="001B16CA" w:rsidRPr="00B275E2">
        <w:rPr>
          <w:i/>
        </w:rPr>
        <w:t xml:space="preserve"> </w:t>
      </w:r>
      <w:r w:rsidR="003C2708" w:rsidRPr="00B275E2">
        <w:t xml:space="preserve">Using updated methodologies in the 2019 Refinement would be inconsistent with </w:t>
      </w:r>
      <w:hyperlink r:id="rId98" w:history="1">
        <w:r w:rsidR="0045202B" w:rsidRPr="00B275E2">
          <w:rPr>
            <w:rStyle w:val="Hyperlink"/>
            <w:i/>
            <w:iCs/>
          </w:rPr>
          <w:t>New Zealand Greenhouse Gas Inventory 1990</w:t>
        </w:r>
        <w:r w:rsidR="003E17EC" w:rsidRPr="00B275E2">
          <w:rPr>
            <w:rStyle w:val="Hyperlink"/>
            <w:i/>
            <w:iCs/>
          </w:rPr>
          <w:t>–</w:t>
        </w:r>
        <w:r w:rsidR="0045202B" w:rsidRPr="00B275E2">
          <w:rPr>
            <w:rStyle w:val="Hyperlink"/>
            <w:i/>
            <w:iCs/>
          </w:rPr>
          <w:t>2020</w:t>
        </w:r>
      </w:hyperlink>
      <w:r w:rsidR="003C2708" w:rsidRPr="00B275E2">
        <w:t xml:space="preserve"> reporting at the time of publication of this guide.</w:t>
      </w:r>
      <w:r w:rsidR="003C2708" w:rsidRPr="00B275E2">
        <w:rPr>
          <w:i/>
        </w:rPr>
        <w:t xml:space="preserve"> </w:t>
      </w:r>
      <w:r w:rsidR="00C2482E" w:rsidRPr="00B275E2">
        <w:t>The u</w:t>
      </w:r>
      <w:r w:rsidR="001B16CA" w:rsidRPr="00B275E2">
        <w:t xml:space="preserve">se of the 2019 Refinement </w:t>
      </w:r>
      <w:r w:rsidR="0018472A" w:rsidRPr="00B275E2">
        <w:t xml:space="preserve">will be considered for future inventories, and the guide will be revised after the </w:t>
      </w:r>
      <w:r w:rsidR="00643BDB" w:rsidRPr="00B275E2">
        <w:t>NIR</w:t>
      </w:r>
      <w:r w:rsidR="0018472A" w:rsidRPr="00B275E2">
        <w:t xml:space="preserve"> has been updated. The example calculations are done using AR4 GWPs.</w:t>
      </w:r>
      <w:r w:rsidR="00724C42" w:rsidRPr="00B275E2">
        <w:t xml:space="preserve"> </w:t>
      </w:r>
    </w:p>
    <w:p w14:paraId="3B0FB254" w14:textId="362EDA3A" w:rsidR="00A959E4" w:rsidRPr="00B275E2" w:rsidRDefault="00A959E4" w:rsidP="00751C9D">
      <w:pPr>
        <w:pStyle w:val="BodyText"/>
        <w:spacing w:before="100" w:after="180" w:line="270" w:lineRule="atLeast"/>
      </w:pPr>
      <w:r w:rsidRPr="00B275E2">
        <w:t xml:space="preserve">To calculate </w:t>
      </w:r>
      <w:r w:rsidR="008D6410" w:rsidRPr="00B275E2">
        <w:t>methane</w:t>
      </w:r>
      <w:r w:rsidR="00766DA1" w:rsidRPr="00B275E2">
        <w:t xml:space="preserve"> </w:t>
      </w:r>
      <w:r w:rsidRPr="00B275E2">
        <w:t>emissions, first calculate the total organic product in</w:t>
      </w:r>
      <w:r w:rsidR="00434227" w:rsidRPr="00B275E2">
        <w:t xml:space="preserve"> domestic</w:t>
      </w:r>
      <w:r w:rsidRPr="00B275E2">
        <w:t xml:space="preserve"> wastewater</w:t>
      </w:r>
      <w:r w:rsidR="00766DA1" w:rsidRPr="00B275E2">
        <w:t xml:space="preserve"> (TOW)</w:t>
      </w:r>
      <w:r w:rsidR="006A47D1" w:rsidRPr="00B275E2">
        <w:t>:</w:t>
      </w:r>
    </w:p>
    <w:tbl>
      <w:tblPr>
        <w:tblStyle w:val="mfebox"/>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1" w:themeFill="background2"/>
        <w:tblLook w:val="04A0" w:firstRow="1" w:lastRow="0" w:firstColumn="1" w:lastColumn="0" w:noHBand="0" w:noVBand="1"/>
      </w:tblPr>
      <w:tblGrid>
        <w:gridCol w:w="8613"/>
      </w:tblGrid>
      <w:tr w:rsidR="00A959E4" w:rsidRPr="00B275E2" w14:paraId="4B8F9E39" w14:textId="77777777" w:rsidTr="003E17EC">
        <w:tc>
          <w:tcPr>
            <w:tcW w:w="8613" w:type="dxa"/>
            <w:shd w:val="clear" w:color="auto" w:fill="D2DDE1" w:themeFill="background2"/>
            <w:noWrap/>
            <w:hideMark/>
          </w:tcPr>
          <w:p w14:paraId="7C61B5FD" w14:textId="0C1D8168" w:rsidR="00A959E4" w:rsidRPr="00B275E2" w:rsidRDefault="00954B9C" w:rsidP="00010E54">
            <w:pPr>
              <w:pStyle w:val="Box"/>
              <w:spacing w:before="0" w:after="0" w:line="240" w:lineRule="auto"/>
              <w:ind w:left="0" w:right="0"/>
              <w:rPr>
                <w:rFonts w:eastAsia="Times New Roman"/>
              </w:rPr>
            </w:pPr>
            <m:oMathPara>
              <m:oMath>
                <m:nary>
                  <m:naryPr>
                    <m:chr m:val="∑"/>
                    <m:limLoc m:val="undOvr"/>
                    <m:supHide m:val="1"/>
                    <m:ctrlPr>
                      <w:rPr>
                        <w:rFonts w:ascii="Cambria Math" w:eastAsia="Times New Roman" w:hAnsi="Cambria Math"/>
                        <w:i/>
                      </w:rPr>
                    </m:ctrlPr>
                  </m:naryPr>
                  <m:sub>
                    <m:r>
                      <w:rPr>
                        <w:rFonts w:ascii="Cambria Math" w:eastAsia="Times New Roman" w:hAnsi="Cambria Math"/>
                      </w:rPr>
                      <m:t>i</m:t>
                    </m:r>
                  </m:sub>
                  <m:sup>
                    <m:ctrlPr>
                      <w:rPr>
                        <w:rStyle w:val="CommentReference"/>
                        <w:rFonts w:ascii="Cambria Math" w:hAnsi="Cambria Math"/>
                        <w:color w:val="auto"/>
                      </w:rPr>
                    </m:ctrlPr>
                  </m:sup>
                  <m:e>
                    <m:sSub>
                      <m:sSubPr>
                        <m:ctrlPr>
                          <w:rPr>
                            <w:rFonts w:ascii="Cambria Math" w:eastAsia="Times New Roman" w:hAnsi="Cambria Math"/>
                            <w:i/>
                          </w:rPr>
                        </m:ctrlPr>
                      </m:sSubPr>
                      <m:e>
                        <m:r>
                          <w:rPr>
                            <w:rFonts w:ascii="Cambria Math" w:eastAsia="Times New Roman" w:hAnsi="Cambria Math"/>
                          </w:rPr>
                          <m:t>P</m:t>
                        </m:r>
                      </m:e>
                      <m:sub>
                        <m:r>
                          <w:rPr>
                            <w:rFonts w:ascii="Cambria Math" w:eastAsia="Times New Roman" w:hAnsi="Cambria Math"/>
                          </w:rPr>
                          <m:t>i</m:t>
                        </m:r>
                      </m:sub>
                    </m:sSub>
                    <m:r>
                      <w:rPr>
                        <w:rFonts w:ascii="Cambria Math" w:eastAsia="Times New Roman" w:hAnsi="Cambria Math"/>
                      </w:rPr>
                      <m:t>× BOD× I</m:t>
                    </m:r>
                    <m:ctrlPr>
                      <w:rPr>
                        <w:rStyle w:val="CommentReference"/>
                        <w:rFonts w:ascii="Cambria Math" w:hAnsi="Cambria Math"/>
                        <w:color w:val="auto"/>
                      </w:rPr>
                    </m:ctrlPr>
                  </m:e>
                </m:nary>
                <m:r>
                  <m:rPr>
                    <m:sty m:val="p"/>
                  </m:rPr>
                  <w:rPr>
                    <w:rStyle w:val="CommentReference"/>
                    <w:rFonts w:ascii="Cambria Math" w:hAnsi="Cambria Math"/>
                    <w:color w:val="auto"/>
                  </w:rPr>
                  <m:t xml:space="preserve"> </m:t>
                </m:r>
                <m:r>
                  <m:rPr>
                    <m:sty m:val="p"/>
                  </m:rPr>
                  <w:rPr>
                    <w:rFonts w:ascii="Cambria Math" w:hAnsi="Cambria Math"/>
                  </w:rPr>
                  <m:t>=</m:t>
                </m:r>
                <m:r>
                  <w:rPr>
                    <w:rFonts w:ascii="Cambria Math" w:hAnsi="Cambria Math"/>
                  </w:rPr>
                  <m:t>total</m:t>
                </m:r>
                <m:r>
                  <m:rPr>
                    <m:sty m:val="p"/>
                  </m:rPr>
                  <w:rPr>
                    <w:rFonts w:ascii="Cambria Math" w:hAnsi="Cambria Math"/>
                  </w:rPr>
                  <m:t xml:space="preserve"> </m:t>
                </m:r>
                <m:r>
                  <w:rPr>
                    <w:rFonts w:ascii="Cambria Math" w:hAnsi="Cambria Math"/>
                  </w:rPr>
                  <m:t>organic product in domestic wastewater</m:t>
                </m:r>
              </m:oMath>
            </m:oMathPara>
          </w:p>
        </w:tc>
      </w:tr>
    </w:tbl>
    <w:p w14:paraId="5FB5DF86" w14:textId="45171557" w:rsidR="00B93232" w:rsidRPr="00B275E2" w:rsidRDefault="0020582D" w:rsidP="00010E54">
      <w:pPr>
        <w:pStyle w:val="BodyText"/>
        <w:spacing w:before="240" w:after="100"/>
      </w:pPr>
      <w:r w:rsidRPr="00B275E2">
        <w:t>Where:</w:t>
      </w:r>
    </w:p>
    <w:p w14:paraId="58145219" w14:textId="2C359D5D" w:rsidR="006A47D1" w:rsidRPr="00B275E2" w:rsidRDefault="00B93232" w:rsidP="00C24B73">
      <w:pPr>
        <w:pStyle w:val="Bullet"/>
        <w:numPr>
          <w:ilvl w:val="0"/>
          <w:numId w:val="55"/>
        </w:numPr>
        <w:spacing w:after="100"/>
      </w:pPr>
      <w:r w:rsidRPr="00B275E2">
        <w:t>P</w:t>
      </w:r>
      <w:r w:rsidR="006A47D1" w:rsidRPr="00B275E2">
        <w:t xml:space="preserve"> =</w:t>
      </w:r>
      <w:r w:rsidRPr="00B275E2">
        <w:t xml:space="preserve"> the population for wastewater treatment plant </w:t>
      </w:r>
      <w:r w:rsidR="00766DA1" w:rsidRPr="00B275E2">
        <w:rPr>
          <w:i/>
        </w:rPr>
        <w:t>i</w:t>
      </w:r>
    </w:p>
    <w:p w14:paraId="4F100A2F" w14:textId="67316FB3" w:rsidR="00B93232" w:rsidRPr="00B275E2" w:rsidRDefault="47017826" w:rsidP="00C24B73">
      <w:pPr>
        <w:pStyle w:val="Bullet"/>
        <w:numPr>
          <w:ilvl w:val="0"/>
          <w:numId w:val="55"/>
        </w:numPr>
        <w:spacing w:after="100"/>
      </w:pPr>
      <w:r w:rsidRPr="3DC7A884">
        <w:rPr>
          <w:i/>
          <w:iCs/>
        </w:rPr>
        <w:t xml:space="preserve">i </w:t>
      </w:r>
      <w:r>
        <w:t xml:space="preserve">= </w:t>
      </w:r>
      <w:r w:rsidR="7CE62E2D">
        <w:t>type of treatment plant</w:t>
      </w:r>
    </w:p>
    <w:p w14:paraId="35638065" w14:textId="39EFF5BB" w:rsidR="00B93232" w:rsidRPr="00B275E2" w:rsidRDefault="00B93232" w:rsidP="00C24B73">
      <w:pPr>
        <w:pStyle w:val="Bullet"/>
        <w:numPr>
          <w:ilvl w:val="0"/>
          <w:numId w:val="55"/>
        </w:numPr>
        <w:spacing w:after="100"/>
      </w:pPr>
      <w:r w:rsidRPr="00B275E2">
        <w:t xml:space="preserve">BOD </w:t>
      </w:r>
      <w:r w:rsidR="006A47D1" w:rsidRPr="00B275E2">
        <w:t>=</w:t>
      </w:r>
      <w:r w:rsidRPr="00B275E2">
        <w:t xml:space="preserve"> 26</w:t>
      </w:r>
      <w:r w:rsidR="006A47D1" w:rsidRPr="00B275E2">
        <w:t xml:space="preserve"> </w:t>
      </w:r>
      <w:r w:rsidRPr="00B275E2">
        <w:t>(kg/capita/year) country-specific</w:t>
      </w:r>
      <w:r w:rsidR="0071351B" w:rsidRPr="00B275E2">
        <w:t>,</w:t>
      </w:r>
      <w:r w:rsidRPr="00B275E2">
        <w:t xml:space="preserve"> per-capita Biological Oxygen Demand</w:t>
      </w:r>
    </w:p>
    <w:p w14:paraId="7C3C401C" w14:textId="580FD02B" w:rsidR="00B93232" w:rsidRPr="00B275E2" w:rsidRDefault="34D893E8" w:rsidP="00C24B73">
      <w:pPr>
        <w:pStyle w:val="Bullet"/>
        <w:numPr>
          <w:ilvl w:val="0"/>
          <w:numId w:val="55"/>
        </w:numPr>
        <w:spacing w:after="100"/>
      </w:pPr>
      <w:r>
        <w:t xml:space="preserve">I </w:t>
      </w:r>
      <w:r w:rsidR="2BE3EAE0">
        <w:t>=</w:t>
      </w:r>
      <w:r>
        <w:t xml:space="preserve"> the correction factor for additional industrial and commercial BOD (default 1.25 or 1.0 for septic tanks,</w:t>
      </w:r>
      <w:r w:rsidR="2BE3EAE0">
        <w:t xml:space="preserve"> </w:t>
      </w:r>
      <w:r>
        <w:t>but varies for several sites).</w:t>
      </w:r>
    </w:p>
    <w:p w14:paraId="71B1D3BE" w14:textId="74100AD2" w:rsidR="00766DA1" w:rsidRPr="00B275E2" w:rsidRDefault="00766DA1" w:rsidP="003E17EC">
      <w:pPr>
        <w:pStyle w:val="BodyText"/>
        <w:spacing w:after="180"/>
      </w:pPr>
      <w:r w:rsidRPr="00B275E2">
        <w:t xml:space="preserve">Then calculate </w:t>
      </w:r>
      <w:r w:rsidR="00303AA0" w:rsidRPr="00B275E2">
        <w:t>methane</w:t>
      </w:r>
      <w:r w:rsidRPr="00B275E2">
        <w:t xml:space="preserve"> emissions per capita:</w:t>
      </w:r>
    </w:p>
    <w:tbl>
      <w:tblPr>
        <w:tblStyle w:val="mfebox"/>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1" w:themeFill="background2"/>
        <w:tblLook w:val="04A0" w:firstRow="1" w:lastRow="0" w:firstColumn="1" w:lastColumn="0" w:noHBand="0" w:noVBand="1"/>
      </w:tblPr>
      <w:tblGrid>
        <w:gridCol w:w="8505"/>
      </w:tblGrid>
      <w:tr w:rsidR="00B93232" w:rsidRPr="00B275E2" w14:paraId="63E1D6A5" w14:textId="77777777" w:rsidTr="003E17EC">
        <w:tc>
          <w:tcPr>
            <w:tcW w:w="8720" w:type="dxa"/>
            <w:shd w:val="clear" w:color="auto" w:fill="D2DDE1" w:themeFill="background2"/>
          </w:tcPr>
          <w:p w14:paraId="437468B6" w14:textId="46B01A31" w:rsidR="00B93232" w:rsidRPr="00B275E2" w:rsidRDefault="00954B9C" w:rsidP="003E17EC">
            <w:pPr>
              <w:pStyle w:val="Box"/>
              <w:spacing w:before="0" w:after="0"/>
              <w:ind w:left="0"/>
              <w:jc w:val="left"/>
            </w:pPr>
            <m:oMathPara>
              <m:oMath>
                <m:f>
                  <m:fPr>
                    <m:ctrlPr>
                      <w:rPr>
                        <w:rFonts w:ascii="Cambria Math" w:hAnsi="Cambria Math"/>
                        <w:i/>
                      </w:rPr>
                    </m:ctrlPr>
                  </m:fPr>
                  <m:num>
                    <m:r>
                      <w:rPr>
                        <w:rFonts w:ascii="Cambria Math" w:hAnsi="Cambria Math"/>
                      </w:rPr>
                      <m:t>MCF</m:t>
                    </m:r>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0</m:t>
                        </m:r>
                      </m:sub>
                    </m:sSub>
                    <m:r>
                      <m:rPr>
                        <m:sty m:val="p"/>
                      </m:rPr>
                      <w:rPr>
                        <w:rFonts w:ascii="Cambria Math" w:hAnsi="Cambria Math"/>
                      </w:rPr>
                      <m:t>×</m:t>
                    </m:r>
                    <m:r>
                      <w:rPr>
                        <w:rFonts w:ascii="Cambria Math" w:hAnsi="Cambria Math"/>
                      </w:rPr>
                      <m:t>TOW</m:t>
                    </m:r>
                    <m:r>
                      <m:rPr>
                        <m:sty m:val="p"/>
                      </m:rPr>
                      <w:rPr>
                        <w:rFonts w:ascii="Cambria Math" w:hAnsi="Cambria Math"/>
                      </w:rPr>
                      <m:t>×GWP</m:t>
                    </m:r>
                  </m:num>
                  <m:den>
                    <m:r>
                      <w:rPr>
                        <w:rFonts w:ascii="Cambria Math" w:hAnsi="Cambria Math"/>
                      </w:rPr>
                      <m:t>population served</m:t>
                    </m:r>
                  </m:den>
                </m:f>
                <m:r>
                  <m:rPr>
                    <m:sty m:val="p"/>
                  </m:rPr>
                  <w:rPr>
                    <w:rFonts w:ascii="Cambria Math" w:hAnsi="Cambria Math"/>
                  </w:rPr>
                  <m:t>=</m:t>
                </m:r>
                <m:r>
                  <w:rPr>
                    <w:rFonts w:ascii="Cambria Math" w:hAnsi="Cambria Math"/>
                  </w:rPr>
                  <m:t>methane</m:t>
                </m:r>
                <m:r>
                  <m:rPr>
                    <m:sty m:val="p"/>
                  </m:rPr>
                  <w:rPr>
                    <w:rFonts w:ascii="Cambria Math" w:hAnsi="Cambria Math"/>
                  </w:rPr>
                  <m:t xml:space="preserve"> </m:t>
                </m:r>
                <m:r>
                  <w:rPr>
                    <w:rFonts w:ascii="Cambria Math" w:hAnsi="Cambria Math"/>
                  </w:rPr>
                  <m:t>emissions</m:t>
                </m:r>
                <m:r>
                  <m:rPr>
                    <m:sty m:val="p"/>
                  </m:rPr>
                  <w:rPr>
                    <w:rFonts w:ascii="Cambria Math" w:hAnsi="Cambria Math"/>
                  </w:rPr>
                  <m:t xml:space="preserve"> </m:t>
                </m:r>
                <m:d>
                  <m:dPr>
                    <m:ctrlPr>
                      <w:rPr>
                        <w:rFonts w:ascii="Cambria Math" w:hAnsi="Cambria Math"/>
                      </w:rPr>
                    </m:ctrlPr>
                  </m:dPr>
                  <m:e>
                    <m:r>
                      <w:rPr>
                        <w:rFonts w:ascii="Cambria Math" w:hAnsi="Cambria Math"/>
                      </w:rPr>
                      <m:t>kg C</m:t>
                    </m:r>
                    <m:sSub>
                      <m:sSubPr>
                        <m:ctrlPr>
                          <w:rPr>
                            <w:rFonts w:ascii="Cambria Math" w:hAnsi="Cambria Math"/>
                            <w:i/>
                          </w:rPr>
                        </m:ctrlPr>
                      </m:sSubPr>
                      <m:e>
                        <m:r>
                          <w:rPr>
                            <w:rFonts w:ascii="Cambria Math" w:hAnsi="Cambria Math"/>
                          </w:rPr>
                          <m:t>H</m:t>
                        </m:r>
                      </m:e>
                      <m:sub>
                        <m:r>
                          <w:rPr>
                            <w:rFonts w:ascii="Cambria Math" w:hAnsi="Cambria Math"/>
                          </w:rPr>
                          <m:t>4</m:t>
                        </m:r>
                      </m:sub>
                    </m:sSub>
                    <m:r>
                      <w:rPr>
                        <w:rFonts w:ascii="Cambria Math" w:hAnsi="Cambria Math"/>
                      </w:rPr>
                      <m:t xml:space="preserve"> per</m:t>
                    </m:r>
                    <m:r>
                      <m:rPr>
                        <m:sty m:val="p"/>
                      </m:rPr>
                      <w:rPr>
                        <w:rFonts w:ascii="Cambria Math" w:hAnsi="Cambria Math"/>
                      </w:rPr>
                      <m:t xml:space="preserve"> </m:t>
                    </m:r>
                    <m:r>
                      <w:rPr>
                        <w:rFonts w:ascii="Cambria Math" w:hAnsi="Cambria Math"/>
                      </w:rPr>
                      <m:t>capita</m:t>
                    </m:r>
                  </m:e>
                </m:d>
              </m:oMath>
            </m:oMathPara>
          </w:p>
        </w:tc>
      </w:tr>
    </w:tbl>
    <w:p w14:paraId="56FF5B1A" w14:textId="77777777" w:rsidR="00954B9C" w:rsidRDefault="00954B9C" w:rsidP="00010E54">
      <w:pPr>
        <w:pStyle w:val="BodyText"/>
        <w:spacing w:before="240" w:after="100"/>
      </w:pPr>
    </w:p>
    <w:p w14:paraId="1880215D" w14:textId="6B632E98" w:rsidR="00B93232" w:rsidRPr="00B275E2" w:rsidRDefault="00B93232" w:rsidP="00010E54">
      <w:pPr>
        <w:pStyle w:val="BodyText"/>
        <w:spacing w:before="240" w:after="100"/>
      </w:pPr>
      <w:r w:rsidRPr="00B275E2">
        <w:lastRenderedPageBreak/>
        <w:t>Where</w:t>
      </w:r>
      <w:r w:rsidR="00E504C3" w:rsidRPr="00B275E2">
        <w:t>:</w:t>
      </w:r>
    </w:p>
    <w:p w14:paraId="76ACA2F4" w14:textId="4CFE1528" w:rsidR="00766DA1" w:rsidRPr="00B275E2" w:rsidRDefault="00766DA1" w:rsidP="00C24B73">
      <w:pPr>
        <w:pStyle w:val="Bullet"/>
        <w:numPr>
          <w:ilvl w:val="0"/>
          <w:numId w:val="53"/>
        </w:numPr>
        <w:spacing w:after="100"/>
      </w:pPr>
      <w:r w:rsidRPr="00B275E2">
        <w:t>MCF = 0.02</w:t>
      </w:r>
      <w:r w:rsidR="007758DA" w:rsidRPr="00B275E2">
        <w:t>4</w:t>
      </w:r>
      <w:r w:rsidR="00F35229" w:rsidRPr="00B275E2">
        <w:t>95</w:t>
      </w:r>
      <w:r w:rsidRPr="00B275E2">
        <w:t>, the weighted-average methane correction factor (MCF) for wastewater treatment plants in 20</w:t>
      </w:r>
      <w:r w:rsidR="00F35229" w:rsidRPr="00B275E2">
        <w:t>20</w:t>
      </w:r>
      <w:r w:rsidRPr="00B275E2">
        <w:t xml:space="preserve"> </w:t>
      </w:r>
    </w:p>
    <w:p w14:paraId="068C9DDE" w14:textId="77777777" w:rsidR="00B93232" w:rsidRPr="00B275E2" w:rsidRDefault="00B93232" w:rsidP="00C24B73">
      <w:pPr>
        <w:pStyle w:val="Bullet"/>
        <w:numPr>
          <w:ilvl w:val="0"/>
          <w:numId w:val="53"/>
        </w:numPr>
        <w:spacing w:after="100"/>
      </w:pPr>
      <w:r w:rsidRPr="00B275E2">
        <w:t>B</w:t>
      </w:r>
      <w:r w:rsidRPr="00B275E2">
        <w:rPr>
          <w:vertAlign w:val="subscript"/>
        </w:rPr>
        <w:t>0</w:t>
      </w:r>
      <w:r w:rsidRPr="00B275E2">
        <w:t xml:space="preserve"> = 0.625, converts the BOD to maximum potential methane emissions</w:t>
      </w:r>
    </w:p>
    <w:p w14:paraId="0613EA7C" w14:textId="77777777" w:rsidR="00B93232" w:rsidRPr="00B275E2" w:rsidRDefault="00B93232" w:rsidP="00C24B73">
      <w:pPr>
        <w:pStyle w:val="Bullet"/>
        <w:numPr>
          <w:ilvl w:val="0"/>
          <w:numId w:val="53"/>
        </w:numPr>
        <w:spacing w:after="100"/>
      </w:pPr>
      <w:r w:rsidRPr="00B275E2">
        <w:t>TOW = the total organic product in wastewater from the equation above</w:t>
      </w:r>
    </w:p>
    <w:p w14:paraId="64BF9BFA" w14:textId="2EB8E459" w:rsidR="00B93232" w:rsidRPr="00B275E2" w:rsidRDefault="00B93232" w:rsidP="00C24B73">
      <w:pPr>
        <w:pStyle w:val="Bullet"/>
        <w:numPr>
          <w:ilvl w:val="0"/>
          <w:numId w:val="53"/>
        </w:numPr>
        <w:spacing w:after="100"/>
      </w:pPr>
      <w:r w:rsidRPr="00B275E2">
        <w:t>GWP = 25</w:t>
      </w:r>
      <w:r w:rsidR="00F35229" w:rsidRPr="00B275E2">
        <w:t xml:space="preserve"> (IPCC AR4)</w:t>
      </w:r>
      <w:r w:rsidRPr="00B275E2">
        <w:t>, converts methane into CO</w:t>
      </w:r>
      <w:r w:rsidRPr="00B275E2">
        <w:rPr>
          <w:vertAlign w:val="subscript"/>
        </w:rPr>
        <w:t>2</w:t>
      </w:r>
      <w:r w:rsidRPr="00B275E2">
        <w:t>-e</w:t>
      </w:r>
    </w:p>
    <w:p w14:paraId="27E95B7E" w14:textId="05AC8194" w:rsidR="00B93232" w:rsidRPr="00B275E2" w:rsidRDefault="008A60C4" w:rsidP="00C24B73">
      <w:pPr>
        <w:pStyle w:val="Bullet"/>
        <w:numPr>
          <w:ilvl w:val="0"/>
          <w:numId w:val="53"/>
        </w:numPr>
      </w:pPr>
      <w:r w:rsidRPr="00B275E2">
        <w:t>p</w:t>
      </w:r>
      <w:r w:rsidR="00B93232" w:rsidRPr="00B275E2">
        <w:t>opulation served = the population served by all wastewater treatment plants</w:t>
      </w:r>
      <w:r w:rsidRPr="00B275E2">
        <w:t>.</w:t>
      </w:r>
    </w:p>
    <w:p w14:paraId="3E67C644" w14:textId="42156469" w:rsidR="00B93232" w:rsidRPr="00B275E2" w:rsidRDefault="00B93232" w:rsidP="00E949FF">
      <w:pPr>
        <w:pStyle w:val="BodyText"/>
        <w:spacing w:before="100"/>
      </w:pPr>
      <w:r w:rsidRPr="00B275E2">
        <w:t xml:space="preserve">To calculate </w:t>
      </w:r>
      <w:r w:rsidR="008D6410" w:rsidRPr="00B275E2">
        <w:t>methane</w:t>
      </w:r>
      <w:r w:rsidR="00766DA1" w:rsidRPr="00B275E2">
        <w:t xml:space="preserve"> </w:t>
      </w:r>
      <w:r w:rsidRPr="00B275E2">
        <w:t>emissions per water volume</w:t>
      </w:r>
      <w:r w:rsidR="00766DA1" w:rsidRPr="00B275E2">
        <w:t>, divide</w:t>
      </w:r>
      <w:r w:rsidRPr="00B275E2">
        <w:t xml:space="preserve"> </w:t>
      </w:r>
      <w:r w:rsidR="008D6410" w:rsidRPr="00B275E2">
        <w:t>methane</w:t>
      </w:r>
      <w:r w:rsidR="00766DA1" w:rsidRPr="00B275E2">
        <w:t xml:space="preserve"> </w:t>
      </w:r>
      <w:r w:rsidRPr="00B275E2">
        <w:t>emissions per capita by the average water volume (m</w:t>
      </w:r>
      <w:r w:rsidRPr="00B275E2">
        <w:rPr>
          <w:vertAlign w:val="superscript"/>
        </w:rPr>
        <w:t>3</w:t>
      </w:r>
      <w:r w:rsidRPr="00B275E2">
        <w:t>) treated per capita (10</w:t>
      </w:r>
      <w:r w:rsidR="00F35229" w:rsidRPr="00B275E2">
        <w:t>1</w:t>
      </w:r>
      <w:r w:rsidRPr="00B275E2">
        <w:t xml:space="preserve"> m</w:t>
      </w:r>
      <w:r w:rsidRPr="00B275E2">
        <w:rPr>
          <w:vertAlign w:val="superscript"/>
        </w:rPr>
        <w:t>3</w:t>
      </w:r>
      <w:r w:rsidRPr="00B275E2">
        <w:t>).</w:t>
      </w:r>
    </w:p>
    <w:p w14:paraId="2B632E97" w14:textId="2120A403" w:rsidR="00B93232" w:rsidRPr="00B275E2" w:rsidRDefault="00766DA1" w:rsidP="00E949FF">
      <w:pPr>
        <w:pStyle w:val="BodyText"/>
        <w:spacing w:before="100"/>
      </w:pPr>
      <w:r w:rsidRPr="00B275E2">
        <w:t>Use</w:t>
      </w:r>
      <w:r w:rsidR="00B93232" w:rsidRPr="00B275E2">
        <w:t xml:space="preserve"> the same equation to calculate the </w:t>
      </w:r>
      <w:r w:rsidR="008D6410" w:rsidRPr="00B275E2">
        <w:t>methane</w:t>
      </w:r>
      <w:r w:rsidRPr="00B275E2">
        <w:t xml:space="preserve"> </w:t>
      </w:r>
      <w:r w:rsidR="00B93232" w:rsidRPr="00B275E2">
        <w:t>emissions from septic tanks, except that the MCF for septic tanks is 0.4</w:t>
      </w:r>
      <w:r w:rsidR="004260A8" w:rsidRPr="00B275E2">
        <w:t>313</w:t>
      </w:r>
      <w:r w:rsidR="00B93232" w:rsidRPr="00B275E2">
        <w:t xml:space="preserve">. There are no </w:t>
      </w:r>
      <w:r w:rsidR="008D6410" w:rsidRPr="00B275E2">
        <w:t>nitrous oxide</w:t>
      </w:r>
      <w:r w:rsidRPr="00B275E2">
        <w:t xml:space="preserve"> </w:t>
      </w:r>
      <w:r w:rsidR="00B93232" w:rsidRPr="00B275E2">
        <w:t>emissions from septic tanks due to the treatment process, if managed properly.</w:t>
      </w:r>
    </w:p>
    <w:p w14:paraId="16FF2A07" w14:textId="6D6043F7" w:rsidR="00B93232" w:rsidRPr="00B275E2" w:rsidRDefault="00B93232" w:rsidP="00E949FF">
      <w:pPr>
        <w:pStyle w:val="BodyText"/>
        <w:spacing w:before="100" w:after="160"/>
        <w:rPr>
          <w:spacing w:val="2"/>
        </w:rPr>
      </w:pPr>
      <w:r w:rsidRPr="00B275E2">
        <w:rPr>
          <w:spacing w:val="2"/>
        </w:rPr>
        <w:t xml:space="preserve">To calculate </w:t>
      </w:r>
      <w:r w:rsidR="008D6410" w:rsidRPr="00B275E2">
        <w:rPr>
          <w:spacing w:val="2"/>
        </w:rPr>
        <w:t>nitrous oxide</w:t>
      </w:r>
      <w:r w:rsidR="00766DA1" w:rsidRPr="00B275E2">
        <w:rPr>
          <w:spacing w:val="2"/>
        </w:rPr>
        <w:t xml:space="preserve"> </w:t>
      </w:r>
      <w:r w:rsidRPr="00B275E2">
        <w:rPr>
          <w:spacing w:val="2"/>
        </w:rPr>
        <w:t xml:space="preserve">emissions from wastewater treatment plants </w:t>
      </w:r>
      <w:r w:rsidR="00766DA1" w:rsidRPr="00B275E2">
        <w:rPr>
          <w:spacing w:val="2"/>
        </w:rPr>
        <w:t xml:space="preserve">we used </w:t>
      </w:r>
      <w:r w:rsidRPr="00B275E2">
        <w:rPr>
          <w:spacing w:val="2"/>
        </w:rPr>
        <w:t>the following equations:</w:t>
      </w:r>
    </w:p>
    <w:tbl>
      <w:tblPr>
        <w:tblStyle w:val="mfebox"/>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1" w:themeFill="background2"/>
        <w:tblLook w:val="04A0" w:firstRow="1" w:lastRow="0" w:firstColumn="1" w:lastColumn="0" w:noHBand="0" w:noVBand="1"/>
      </w:tblPr>
      <w:tblGrid>
        <w:gridCol w:w="8505"/>
      </w:tblGrid>
      <w:tr w:rsidR="00766DA1" w:rsidRPr="00B275E2" w14:paraId="5BE16C81" w14:textId="77777777" w:rsidTr="00751C9D">
        <w:tc>
          <w:tcPr>
            <w:tcW w:w="8720" w:type="dxa"/>
            <w:shd w:val="clear" w:color="auto" w:fill="D2DDE1" w:themeFill="background2"/>
          </w:tcPr>
          <w:p w14:paraId="71A82D5E" w14:textId="43E3608B" w:rsidR="00766DA1" w:rsidRPr="00B275E2" w:rsidRDefault="000A26B7" w:rsidP="007F0B1E">
            <w:pPr>
              <w:pStyle w:val="Box"/>
              <w:spacing w:before="0" w:after="0"/>
              <w:ind w:left="0"/>
            </w:pPr>
            <m:oMathPara>
              <m:oMath>
                <m:r>
                  <w:rPr>
                    <w:rFonts w:ascii="Cambria Math" w:hAnsi="Cambria Math"/>
                  </w:rPr>
                  <m:t>per</m:t>
                </m:r>
                <m:r>
                  <m:rPr>
                    <m:sty m:val="p"/>
                  </m:rPr>
                  <w:rPr>
                    <w:rFonts w:ascii="Cambria Math" w:hAnsi="Cambria Math"/>
                  </w:rPr>
                  <m:t xml:space="preserve"> </m:t>
                </m:r>
                <m:r>
                  <w:rPr>
                    <w:rFonts w:ascii="Cambria Math" w:hAnsi="Cambria Math"/>
                  </w:rPr>
                  <m:t>capita</m:t>
                </m:r>
                <m:r>
                  <m:rPr>
                    <m:sty m:val="p"/>
                  </m:rPr>
                  <w:rPr>
                    <w:rFonts w:ascii="Cambria Math" w:hAnsi="Cambria Math"/>
                  </w:rPr>
                  <m:t xml:space="preserve"> </m:t>
                </m:r>
                <m:r>
                  <w:rPr>
                    <w:rFonts w:ascii="Cambria Math" w:hAnsi="Cambria Math"/>
                  </w:rPr>
                  <m:t>nitrogen</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effluent</m:t>
                </m:r>
                <m:r>
                  <m:rPr>
                    <m:sty m:val="p"/>
                  </m:rPr>
                  <w:rPr>
                    <w:rFonts w:ascii="Cambria Math" w:hAnsi="Cambria Math"/>
                  </w:rPr>
                  <m:t xml:space="preserve"> (</m:t>
                </m:r>
                <m:r>
                  <w:rPr>
                    <w:rFonts w:ascii="Cambria Math" w:hAnsi="Cambria Math"/>
                  </w:rPr>
                  <m:t>kg</m:t>
                </m:r>
                <m:r>
                  <m:rPr>
                    <m:sty m:val="p"/>
                  </m:rPr>
                  <w:rPr>
                    <w:rFonts w:ascii="Cambria Math" w:hAnsi="Cambria Math"/>
                  </w:rPr>
                  <m:t xml:space="preserve"> </m:t>
                </m:r>
                <m:r>
                  <w:rPr>
                    <w:rFonts w:ascii="Cambria Math" w:hAnsi="Cambria Math"/>
                  </w:rPr>
                  <m:t>N</m:t>
                </m:r>
                <m:r>
                  <m:rPr>
                    <m:sty m:val="p"/>
                  </m:rPr>
                  <w:rPr>
                    <w:rFonts w:ascii="Cambria Math" w:hAnsi="Cambria Math"/>
                  </w:rPr>
                  <m:t xml:space="preserve"> </m:t>
                </m:r>
                <m:r>
                  <w:rPr>
                    <w:rFonts w:ascii="Cambria Math" w:hAnsi="Cambria Math"/>
                  </w:rPr>
                  <m:t>per</m:t>
                </m:r>
                <m:r>
                  <m:rPr>
                    <m:sty m:val="p"/>
                  </m:rPr>
                  <w:rPr>
                    <w:rFonts w:ascii="Cambria Math" w:hAnsi="Cambria Math"/>
                  </w:rPr>
                  <m:t xml:space="preserve"> </m:t>
                </m:r>
                <m:r>
                  <w:rPr>
                    <w:rFonts w:ascii="Cambria Math" w:hAnsi="Cambria Math"/>
                  </w:rPr>
                  <m:t>year</m:t>
                </m:r>
                <m:r>
                  <m:rPr>
                    <m:sty m:val="p"/>
                  </m:rPr>
                  <w:rPr>
                    <w:rFonts w:ascii="Cambria Math" w:hAnsi="Cambria Math"/>
                  </w:rPr>
                  <m:t>)=</m:t>
                </m:r>
                <m:r>
                  <w:rPr>
                    <w:rFonts w:ascii="Cambria Math" w:hAnsi="Cambria Math"/>
                  </w:rPr>
                  <m:t>protein</m:t>
                </m:r>
                <m:r>
                  <m:rPr>
                    <m:sty m:val="p"/>
                  </m:rPr>
                  <w:rPr>
                    <w:rFonts w:ascii="Cambria Math" w:hAnsi="Cambria Math"/>
                  </w:rPr>
                  <m:t xml:space="preserve"> </m:t>
                </m:r>
                <m:r>
                  <m:rPr>
                    <m:sty m:val="p"/>
                  </m:rPr>
                  <w:rPr>
                    <w:rFonts w:ascii="Cambria Math" w:eastAsia="Times New Roman" w:hAnsi="Cambria Math"/>
                  </w:rPr>
                  <m:t>×</m:t>
                </m:r>
                <m:r>
                  <m:rPr>
                    <m:sty m:val="p"/>
                  </m:rPr>
                  <w:rPr>
                    <w:rFonts w:ascii="Cambria Math" w:hAnsi="Cambria Math"/>
                  </w:rPr>
                  <m:t xml:space="preserve"> </m:t>
                </m:r>
                <m:sSub>
                  <m:sSubPr>
                    <m:ctrlPr>
                      <w:rPr>
                        <w:rFonts w:ascii="Cambria Math" w:hAnsi="Cambria Math"/>
                      </w:rPr>
                    </m:ctrlPr>
                  </m:sSubPr>
                  <m:e>
                    <m:r>
                      <w:rPr>
                        <w:rFonts w:ascii="Cambria Math" w:hAnsi="Cambria Math"/>
                      </w:rPr>
                      <m:t>F</m:t>
                    </m:r>
                  </m:e>
                  <m:sub>
                    <m:r>
                      <w:rPr>
                        <w:rFonts w:ascii="Cambria Math" w:hAnsi="Cambria Math"/>
                      </w:rPr>
                      <m:t>NPR</m:t>
                    </m:r>
                  </m:sub>
                </m:sSub>
                <m:r>
                  <m:rPr>
                    <m:sty m:val="p"/>
                  </m:rPr>
                  <w:rPr>
                    <w:rFonts w:ascii="Cambria Math" w:eastAsia="Times New Roman" w:hAnsi="Cambria Math"/>
                  </w:rPr>
                  <m:t>×</m:t>
                </m:r>
                <m:r>
                  <m:rPr>
                    <m:sty m:val="p"/>
                  </m:rPr>
                  <w:rPr>
                    <w:rFonts w:ascii="Cambria Math" w:hAnsi="Cambria Math"/>
                  </w:rPr>
                  <m:t xml:space="preserve"> </m:t>
                </m:r>
                <m:sSub>
                  <m:sSubPr>
                    <m:ctrlPr>
                      <w:rPr>
                        <w:rFonts w:ascii="Cambria Math" w:hAnsi="Cambria Math"/>
                      </w:rPr>
                    </m:ctrlPr>
                  </m:sSubPr>
                  <m:e>
                    <m:r>
                      <w:rPr>
                        <w:rFonts w:ascii="Cambria Math" w:hAnsi="Cambria Math"/>
                      </w:rPr>
                      <m:t>F</m:t>
                    </m:r>
                  </m:e>
                  <m:sub>
                    <m:r>
                      <w:rPr>
                        <w:rFonts w:ascii="Cambria Math" w:hAnsi="Cambria Math"/>
                      </w:rPr>
                      <m:t>NON</m:t>
                    </m:r>
                    <m:r>
                      <m:rPr>
                        <m:sty m:val="p"/>
                      </m:rPr>
                      <w:rPr>
                        <w:rFonts w:ascii="Cambria Math" w:hAnsi="Cambria Math"/>
                      </w:rPr>
                      <m:t>-</m:t>
                    </m:r>
                    <m:r>
                      <w:rPr>
                        <w:rFonts w:ascii="Cambria Math" w:hAnsi="Cambria Math"/>
                      </w:rPr>
                      <m:t>CON</m:t>
                    </m:r>
                  </m:sub>
                </m:sSub>
                <m:r>
                  <m:rPr>
                    <m:sty m:val="p"/>
                  </m:rPr>
                  <w:rPr>
                    <w:rFonts w:ascii="Cambria Math" w:eastAsia="Times New Roman" w:hAnsi="Cambria Math"/>
                  </w:rPr>
                  <m:t>×</m:t>
                </m:r>
                <m:sSub>
                  <m:sSubPr>
                    <m:ctrlPr>
                      <w:rPr>
                        <w:rFonts w:ascii="Cambria Math" w:hAnsi="Cambria Math"/>
                      </w:rPr>
                    </m:ctrlPr>
                  </m:sSubPr>
                  <m:e>
                    <m:r>
                      <w:rPr>
                        <w:rFonts w:ascii="Cambria Math" w:hAnsi="Cambria Math"/>
                      </w:rPr>
                      <m:t>F</m:t>
                    </m:r>
                  </m:e>
                  <m:sub>
                    <m:r>
                      <w:rPr>
                        <w:rFonts w:ascii="Cambria Math" w:hAnsi="Cambria Math"/>
                      </w:rPr>
                      <m:t>IND</m:t>
                    </m:r>
                    <m:r>
                      <m:rPr>
                        <m:sty m:val="p"/>
                      </m:rPr>
                      <w:rPr>
                        <w:rFonts w:ascii="Cambria Math" w:hAnsi="Cambria Math"/>
                      </w:rPr>
                      <m:t>-</m:t>
                    </m:r>
                    <m:r>
                      <w:rPr>
                        <w:rFonts w:ascii="Cambria Math" w:hAnsi="Cambria Math"/>
                      </w:rPr>
                      <m:t>COM</m:t>
                    </m:r>
                  </m:sub>
                </m:sSub>
              </m:oMath>
            </m:oMathPara>
          </w:p>
        </w:tc>
      </w:tr>
    </w:tbl>
    <w:p w14:paraId="4378625D" w14:textId="77777777" w:rsidR="00B93232" w:rsidRPr="00B275E2" w:rsidRDefault="00B93232" w:rsidP="00E949FF">
      <w:pPr>
        <w:pStyle w:val="BodyText"/>
        <w:spacing w:before="240" w:after="100"/>
      </w:pPr>
      <w:r w:rsidRPr="00B275E2">
        <w:t>Where:</w:t>
      </w:r>
    </w:p>
    <w:p w14:paraId="08C8ABC8" w14:textId="5A9BE2D6" w:rsidR="00B93232" w:rsidRPr="00B275E2" w:rsidRDefault="008A60C4" w:rsidP="00C24B73">
      <w:pPr>
        <w:pStyle w:val="Bullet"/>
        <w:numPr>
          <w:ilvl w:val="0"/>
          <w:numId w:val="54"/>
        </w:numPr>
        <w:spacing w:after="100"/>
      </w:pPr>
      <w:r w:rsidRPr="00B275E2">
        <w:t>p</w:t>
      </w:r>
      <w:r w:rsidR="00766DA1" w:rsidRPr="00B275E2">
        <w:t>rotein</w:t>
      </w:r>
      <w:r w:rsidR="00B93232" w:rsidRPr="00B275E2">
        <w:t xml:space="preserve"> = annual per capita protein consumption (36.135 kg per year from Beca, 2007)</w:t>
      </w:r>
    </w:p>
    <w:p w14:paraId="1572D89F" w14:textId="2E2EA5E9" w:rsidR="00B93232" w:rsidRPr="00B275E2" w:rsidRDefault="00B93232" w:rsidP="00C24B73">
      <w:pPr>
        <w:pStyle w:val="Bullet"/>
        <w:numPr>
          <w:ilvl w:val="0"/>
          <w:numId w:val="54"/>
        </w:numPr>
        <w:spacing w:after="100"/>
      </w:pPr>
      <w:r w:rsidRPr="00B275E2">
        <w:t>F</w:t>
      </w:r>
      <w:r w:rsidRPr="00B275E2">
        <w:rPr>
          <w:vertAlign w:val="subscript"/>
        </w:rPr>
        <w:t>NPR</w:t>
      </w:r>
      <w:r w:rsidRPr="00B275E2">
        <w:t xml:space="preserve"> = fraction of nitrogen in protein (0.16, IPCC </w:t>
      </w:r>
      <w:r w:rsidR="00FB4AD6">
        <w:t>AR4</w:t>
      </w:r>
      <w:r w:rsidRPr="00B275E2">
        <w:t>)</w:t>
      </w:r>
    </w:p>
    <w:p w14:paraId="71ED11BE" w14:textId="4E9FB1E3" w:rsidR="00B93232" w:rsidRPr="00B275E2" w:rsidRDefault="00B93232" w:rsidP="00C24B73">
      <w:pPr>
        <w:pStyle w:val="Bullet"/>
        <w:numPr>
          <w:ilvl w:val="0"/>
          <w:numId w:val="54"/>
        </w:numPr>
        <w:spacing w:after="100"/>
      </w:pPr>
      <w:r w:rsidRPr="00B275E2">
        <w:t>F</w:t>
      </w:r>
      <w:r w:rsidRPr="00B275E2">
        <w:rPr>
          <w:vertAlign w:val="subscript"/>
        </w:rPr>
        <w:t>NON-CON</w:t>
      </w:r>
      <w:r w:rsidRPr="00B275E2">
        <w:t xml:space="preserve"> = factor for non-consumed protein added to the wastewater (1.4, IPCC </w:t>
      </w:r>
      <w:r w:rsidR="00FB4AD6">
        <w:t>AR4</w:t>
      </w:r>
      <w:r w:rsidRPr="00B275E2">
        <w:t>)</w:t>
      </w:r>
    </w:p>
    <w:p w14:paraId="2ECE98E4" w14:textId="1BB3E0AB" w:rsidR="00B93232" w:rsidRPr="00B275E2" w:rsidRDefault="00B93232" w:rsidP="00C24B73">
      <w:pPr>
        <w:pStyle w:val="Bullet"/>
        <w:numPr>
          <w:ilvl w:val="0"/>
          <w:numId w:val="54"/>
        </w:numPr>
        <w:spacing w:after="100"/>
      </w:pPr>
      <w:r w:rsidRPr="00B275E2">
        <w:t>F</w:t>
      </w:r>
      <w:r w:rsidRPr="00B275E2">
        <w:rPr>
          <w:vertAlign w:val="subscript"/>
        </w:rPr>
        <w:t>IND-COM</w:t>
      </w:r>
      <w:r w:rsidRPr="00B275E2">
        <w:t xml:space="preserve"> = factor for industrial and commercial co-discharged protein into the sewer system (1.25, IPCC </w:t>
      </w:r>
      <w:r w:rsidR="004260A8" w:rsidRPr="00B275E2">
        <w:t>AR4</w:t>
      </w:r>
      <w:r w:rsidRPr="00B275E2">
        <w:t>)</w:t>
      </w:r>
      <w:r w:rsidR="008A60C4" w:rsidRPr="00B275E2">
        <w:t>.</w:t>
      </w:r>
    </w:p>
    <w:p w14:paraId="7FB7B103" w14:textId="23B1665D" w:rsidR="003F32A6" w:rsidRPr="00B275E2" w:rsidRDefault="00EB4389" w:rsidP="00751C9D">
      <w:pPr>
        <w:pStyle w:val="Tableheading"/>
      </w:pPr>
      <w:bookmarkStart w:id="555" w:name="_Toc111536680"/>
      <w:r w:rsidRPr="00B275E2">
        <w:t xml:space="preserve">Table </w:t>
      </w:r>
      <w:r w:rsidRPr="00B275E2">
        <w:fldChar w:fldCharType="begin"/>
      </w:r>
      <w:r w:rsidRPr="00B275E2">
        <w:instrText>SEQ Table \* ARABIC</w:instrText>
      </w:r>
      <w:r w:rsidRPr="00B275E2">
        <w:fldChar w:fldCharType="separate"/>
      </w:r>
      <w:r>
        <w:rPr>
          <w:noProof/>
        </w:rPr>
        <w:t>75</w:t>
      </w:r>
      <w:r w:rsidRPr="00B275E2">
        <w:fldChar w:fldCharType="end"/>
      </w:r>
      <w:r w:rsidRPr="00B275E2">
        <w:t>:</w:t>
      </w:r>
      <w:r w:rsidRPr="00B275E2">
        <w:tab/>
      </w:r>
      <w:r w:rsidR="003F32A6" w:rsidRPr="00B275E2">
        <w:t>Domestic wastewater treatment emissions calculation components</w:t>
      </w:r>
      <w:bookmarkEnd w:id="555"/>
    </w:p>
    <w:tbl>
      <w:tblPr>
        <w:tblStyle w:val="LightList-Accent11"/>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Look w:val="04A0" w:firstRow="1" w:lastRow="0" w:firstColumn="1" w:lastColumn="0" w:noHBand="0" w:noVBand="1"/>
      </w:tblPr>
      <w:tblGrid>
        <w:gridCol w:w="3220"/>
        <w:gridCol w:w="980"/>
        <w:gridCol w:w="2521"/>
        <w:gridCol w:w="1784"/>
      </w:tblGrid>
      <w:tr w:rsidR="003F32A6" w:rsidRPr="00B275E2" w14:paraId="42A06404" w14:textId="77777777" w:rsidTr="00751C9D">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93" w:type="pct"/>
            <w:shd w:val="clear" w:color="auto" w:fill="1B556B" w:themeFill="text2"/>
            <w:noWrap/>
            <w:hideMark/>
          </w:tcPr>
          <w:p w14:paraId="6497CE2D" w14:textId="537A6874" w:rsidR="003F32A6" w:rsidRPr="00B275E2" w:rsidRDefault="003F32A6" w:rsidP="007C30DD">
            <w:pPr>
              <w:pStyle w:val="TableText"/>
              <w:spacing w:before="40" w:after="40"/>
              <w:rPr>
                <w:rFonts w:eastAsia="Times New Roman"/>
                <w:szCs w:val="18"/>
              </w:rPr>
            </w:pPr>
            <w:r w:rsidRPr="00B275E2">
              <w:rPr>
                <w:rFonts w:eastAsia="Times New Roman"/>
                <w:szCs w:val="18"/>
              </w:rPr>
              <w:t>Calculation component </w:t>
            </w:r>
          </w:p>
        </w:tc>
        <w:tc>
          <w:tcPr>
            <w:tcW w:w="576" w:type="pct"/>
            <w:shd w:val="clear" w:color="auto" w:fill="1B556B" w:themeFill="text2"/>
            <w:noWrap/>
            <w:hideMark/>
          </w:tcPr>
          <w:p w14:paraId="2ECD7F46" w14:textId="77777777" w:rsidR="003F32A6" w:rsidRPr="00B275E2" w:rsidRDefault="003F32A6" w:rsidP="007C30DD">
            <w:pPr>
              <w:pStyle w:val="TableText"/>
              <w:spacing w:before="40" w:after="40"/>
              <w:cnfStyle w:val="100000000000" w:firstRow="1" w:lastRow="0" w:firstColumn="0" w:lastColumn="0" w:oddVBand="0" w:evenVBand="0" w:oddHBand="0" w:evenHBand="0" w:firstRowFirstColumn="0" w:firstRowLastColumn="0" w:lastRowFirstColumn="0" w:lastRowLastColumn="0"/>
              <w:rPr>
                <w:rFonts w:eastAsia="Times New Roman"/>
                <w:szCs w:val="18"/>
              </w:rPr>
            </w:pPr>
            <w:r w:rsidRPr="00B275E2">
              <w:rPr>
                <w:rFonts w:eastAsia="Times New Roman"/>
                <w:szCs w:val="18"/>
              </w:rPr>
              <w:t>Number</w:t>
            </w:r>
          </w:p>
        </w:tc>
        <w:tc>
          <w:tcPr>
            <w:tcW w:w="1482" w:type="pct"/>
            <w:shd w:val="clear" w:color="auto" w:fill="1B556B" w:themeFill="text2"/>
            <w:noWrap/>
            <w:hideMark/>
          </w:tcPr>
          <w:p w14:paraId="1C985BA0" w14:textId="531A954E" w:rsidR="003F32A6" w:rsidRPr="00B275E2" w:rsidRDefault="00130596" w:rsidP="007C30DD">
            <w:pPr>
              <w:pStyle w:val="TableText"/>
              <w:spacing w:before="40" w:after="40"/>
              <w:cnfStyle w:val="100000000000" w:firstRow="1" w:lastRow="0" w:firstColumn="0" w:lastColumn="0" w:oddVBand="0" w:evenVBand="0" w:oddHBand="0" w:evenHBand="0" w:firstRowFirstColumn="0" w:firstRowLastColumn="0" w:lastRowFirstColumn="0" w:lastRowLastColumn="0"/>
              <w:rPr>
                <w:rFonts w:eastAsia="Times New Roman"/>
                <w:szCs w:val="18"/>
              </w:rPr>
            </w:pPr>
            <w:r w:rsidRPr="00B275E2">
              <w:rPr>
                <w:rFonts w:eastAsia="Times New Roman"/>
                <w:szCs w:val="18"/>
              </w:rPr>
              <w:t>Additional information</w:t>
            </w:r>
          </w:p>
        </w:tc>
        <w:tc>
          <w:tcPr>
            <w:tcW w:w="1049" w:type="pct"/>
            <w:shd w:val="clear" w:color="auto" w:fill="1B556B" w:themeFill="text2"/>
            <w:noWrap/>
            <w:hideMark/>
          </w:tcPr>
          <w:p w14:paraId="3FCD50C5" w14:textId="45BBCA16" w:rsidR="003F32A6" w:rsidRPr="00B275E2" w:rsidRDefault="003F32A6" w:rsidP="007C30DD">
            <w:pPr>
              <w:pStyle w:val="TableText"/>
              <w:spacing w:before="40" w:after="40"/>
              <w:cnfStyle w:val="100000000000" w:firstRow="1" w:lastRow="0" w:firstColumn="0" w:lastColumn="0" w:oddVBand="0" w:evenVBand="0" w:oddHBand="0" w:evenHBand="0" w:firstRowFirstColumn="0" w:firstRowLastColumn="0" w:lastRowFirstColumn="0" w:lastRowLastColumn="0"/>
              <w:rPr>
                <w:rFonts w:eastAsia="Times New Roman"/>
                <w:szCs w:val="18"/>
              </w:rPr>
            </w:pPr>
            <w:r w:rsidRPr="00B275E2">
              <w:rPr>
                <w:rFonts w:eastAsia="Times New Roman"/>
                <w:szCs w:val="18"/>
              </w:rPr>
              <w:t> Source</w:t>
            </w:r>
          </w:p>
        </w:tc>
      </w:tr>
      <w:tr w:rsidR="003F32A6" w:rsidRPr="00B275E2" w14:paraId="34B851ED" w14:textId="77777777" w:rsidTr="00EC0FF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93" w:type="pct"/>
            <w:tcBorders>
              <w:left w:val="single" w:sz="4" w:space="0" w:color="FFFFFF" w:themeColor="background1"/>
            </w:tcBorders>
            <w:noWrap/>
            <w:hideMark/>
          </w:tcPr>
          <w:p w14:paraId="44D4EE26" w14:textId="55248BB6" w:rsidR="003F32A6" w:rsidRPr="00B275E2" w:rsidRDefault="003F32A6" w:rsidP="007C30DD">
            <w:pPr>
              <w:pStyle w:val="TableText"/>
              <w:spacing w:before="40" w:after="40"/>
              <w:rPr>
                <w:rFonts w:eastAsia="Times New Roman"/>
                <w:b w:val="0"/>
                <w:szCs w:val="18"/>
              </w:rPr>
            </w:pPr>
            <w:r w:rsidRPr="00B275E2">
              <w:rPr>
                <w:rFonts w:eastAsia="Times New Roman"/>
                <w:b w:val="0"/>
                <w:szCs w:val="18"/>
              </w:rPr>
              <w:t>Population </w:t>
            </w:r>
          </w:p>
        </w:tc>
        <w:tc>
          <w:tcPr>
            <w:tcW w:w="576" w:type="pct"/>
            <w:noWrap/>
            <w:hideMark/>
          </w:tcPr>
          <w:p w14:paraId="37C109D0" w14:textId="77777777" w:rsidR="003F32A6" w:rsidRPr="00B275E2" w:rsidRDefault="003F32A6" w:rsidP="007C30D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275E2">
              <w:rPr>
                <w:rFonts w:eastAsia="Times New Roman"/>
                <w:szCs w:val="18"/>
              </w:rPr>
              <w:t>1</w:t>
            </w:r>
          </w:p>
        </w:tc>
        <w:tc>
          <w:tcPr>
            <w:tcW w:w="1482" w:type="pct"/>
            <w:noWrap/>
            <w:hideMark/>
          </w:tcPr>
          <w:p w14:paraId="3CD120E9" w14:textId="283A22C6" w:rsidR="003F32A6" w:rsidRPr="00B275E2" w:rsidRDefault="003F32A6" w:rsidP="007C30DD">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275E2">
              <w:rPr>
                <w:rFonts w:eastAsia="Times New Roman"/>
                <w:szCs w:val="18"/>
              </w:rPr>
              <w:t>This is a per</w:t>
            </w:r>
            <w:r w:rsidR="008F4945" w:rsidRPr="00B275E2">
              <w:rPr>
                <w:rFonts w:eastAsia="Times New Roman"/>
                <w:szCs w:val="18"/>
              </w:rPr>
              <w:t xml:space="preserve"> </w:t>
            </w:r>
            <w:r w:rsidRPr="00B275E2">
              <w:rPr>
                <w:rFonts w:eastAsia="Times New Roman"/>
                <w:szCs w:val="18"/>
              </w:rPr>
              <w:t>person calculation</w:t>
            </w:r>
          </w:p>
        </w:tc>
        <w:tc>
          <w:tcPr>
            <w:tcW w:w="1049" w:type="pct"/>
            <w:tcBorders>
              <w:right w:val="single" w:sz="4" w:space="0" w:color="FFFFFF" w:themeColor="background1"/>
            </w:tcBorders>
            <w:noWrap/>
            <w:hideMark/>
          </w:tcPr>
          <w:p w14:paraId="01ABBE83" w14:textId="77777777" w:rsidR="003F32A6" w:rsidRPr="00B275E2" w:rsidRDefault="003F32A6" w:rsidP="007C30DD">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275E2">
              <w:rPr>
                <w:rFonts w:eastAsia="Times New Roman"/>
                <w:szCs w:val="18"/>
              </w:rPr>
              <w:t> </w:t>
            </w:r>
          </w:p>
        </w:tc>
      </w:tr>
      <w:tr w:rsidR="003F32A6" w:rsidRPr="00B275E2" w14:paraId="42A5706B" w14:textId="77777777" w:rsidTr="00EC0FF5">
        <w:trPr>
          <w:trHeight w:val="285"/>
        </w:trPr>
        <w:tc>
          <w:tcPr>
            <w:cnfStyle w:val="001000000000" w:firstRow="0" w:lastRow="0" w:firstColumn="1" w:lastColumn="0" w:oddVBand="0" w:evenVBand="0" w:oddHBand="0" w:evenHBand="0" w:firstRowFirstColumn="0" w:firstRowLastColumn="0" w:lastRowFirstColumn="0" w:lastRowLastColumn="0"/>
            <w:tcW w:w="1893" w:type="pct"/>
            <w:tcBorders>
              <w:left w:val="single" w:sz="4" w:space="0" w:color="FFFFFF" w:themeColor="background1"/>
            </w:tcBorders>
            <w:noWrap/>
            <w:hideMark/>
          </w:tcPr>
          <w:p w14:paraId="1E2BBCA1" w14:textId="60FC00AA" w:rsidR="003F32A6" w:rsidRPr="00B275E2" w:rsidRDefault="003F32A6" w:rsidP="007C30DD">
            <w:pPr>
              <w:pStyle w:val="TableText"/>
              <w:spacing w:before="40" w:after="40"/>
              <w:rPr>
                <w:rFonts w:eastAsia="Times New Roman"/>
                <w:b w:val="0"/>
                <w:szCs w:val="18"/>
              </w:rPr>
            </w:pPr>
            <w:r w:rsidRPr="00B275E2">
              <w:rPr>
                <w:rFonts w:eastAsia="Times New Roman"/>
                <w:b w:val="0"/>
                <w:szCs w:val="18"/>
              </w:rPr>
              <w:t>Per capita protein consumption</w:t>
            </w:r>
          </w:p>
        </w:tc>
        <w:tc>
          <w:tcPr>
            <w:tcW w:w="576" w:type="pct"/>
            <w:noWrap/>
            <w:hideMark/>
          </w:tcPr>
          <w:p w14:paraId="0EF03A91" w14:textId="77777777" w:rsidR="003F32A6" w:rsidRPr="00B275E2" w:rsidRDefault="003F32A6" w:rsidP="007C30D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275E2">
              <w:rPr>
                <w:rFonts w:eastAsia="Times New Roman"/>
                <w:szCs w:val="18"/>
              </w:rPr>
              <w:t>36.135</w:t>
            </w:r>
          </w:p>
        </w:tc>
        <w:tc>
          <w:tcPr>
            <w:tcW w:w="1482" w:type="pct"/>
            <w:noWrap/>
            <w:hideMark/>
          </w:tcPr>
          <w:p w14:paraId="31038A7E" w14:textId="77777777" w:rsidR="003F32A6" w:rsidRPr="00B275E2" w:rsidRDefault="003F32A6" w:rsidP="007C30DD">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275E2">
              <w:rPr>
                <w:rFonts w:eastAsia="Times New Roman"/>
                <w:szCs w:val="18"/>
              </w:rPr>
              <w:t>kg/year</w:t>
            </w:r>
          </w:p>
        </w:tc>
        <w:tc>
          <w:tcPr>
            <w:tcW w:w="1049" w:type="pct"/>
            <w:tcBorders>
              <w:right w:val="single" w:sz="4" w:space="0" w:color="FFFFFF" w:themeColor="background1"/>
            </w:tcBorders>
            <w:noWrap/>
            <w:hideMark/>
          </w:tcPr>
          <w:p w14:paraId="393F0B68" w14:textId="2E090C5A" w:rsidR="003F32A6" w:rsidRPr="00B275E2" w:rsidRDefault="003F32A6" w:rsidP="007C30DD">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275E2">
              <w:rPr>
                <w:rFonts w:eastAsia="Times New Roman"/>
                <w:szCs w:val="18"/>
              </w:rPr>
              <w:t>Beca 2007,</w:t>
            </w:r>
            <w:r w:rsidR="007D559B" w:rsidRPr="00B275E2">
              <w:rPr>
                <w:rStyle w:val="FootnoteReference"/>
                <w:rFonts w:eastAsia="Times New Roman"/>
                <w:sz w:val="18"/>
                <w:szCs w:val="18"/>
              </w:rPr>
              <w:footnoteReference w:id="66"/>
            </w:r>
            <w:r w:rsidRPr="00B275E2">
              <w:rPr>
                <w:rFonts w:eastAsia="Times New Roman"/>
                <w:szCs w:val="18"/>
              </w:rPr>
              <w:t xml:space="preserve"> 99g/day</w:t>
            </w:r>
          </w:p>
        </w:tc>
      </w:tr>
      <w:tr w:rsidR="003F32A6" w:rsidRPr="00B275E2" w14:paraId="4E69097B" w14:textId="77777777" w:rsidTr="00EC0FF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93" w:type="pct"/>
            <w:tcBorders>
              <w:left w:val="single" w:sz="4" w:space="0" w:color="FFFFFF" w:themeColor="background1"/>
            </w:tcBorders>
            <w:noWrap/>
            <w:hideMark/>
          </w:tcPr>
          <w:p w14:paraId="5FD69854" w14:textId="5C434EF9" w:rsidR="003F32A6" w:rsidRPr="00B275E2" w:rsidRDefault="003F32A6" w:rsidP="007C30DD">
            <w:pPr>
              <w:pStyle w:val="TableText"/>
              <w:spacing w:before="40" w:after="40"/>
              <w:rPr>
                <w:rFonts w:eastAsia="Times New Roman"/>
                <w:b w:val="0"/>
                <w:szCs w:val="18"/>
              </w:rPr>
            </w:pPr>
            <w:r w:rsidRPr="00B275E2">
              <w:rPr>
                <w:rFonts w:eastAsia="Times New Roman"/>
                <w:b w:val="0"/>
                <w:szCs w:val="18"/>
              </w:rPr>
              <w:t>Fraction of N in protein</w:t>
            </w:r>
          </w:p>
        </w:tc>
        <w:tc>
          <w:tcPr>
            <w:tcW w:w="576" w:type="pct"/>
            <w:noWrap/>
            <w:hideMark/>
          </w:tcPr>
          <w:p w14:paraId="469EB817" w14:textId="77777777" w:rsidR="003F32A6" w:rsidRPr="00B275E2" w:rsidRDefault="003F32A6" w:rsidP="007C30D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275E2">
              <w:rPr>
                <w:rFonts w:eastAsia="Times New Roman"/>
                <w:szCs w:val="18"/>
              </w:rPr>
              <w:t>0.16</w:t>
            </w:r>
          </w:p>
        </w:tc>
        <w:tc>
          <w:tcPr>
            <w:tcW w:w="1482" w:type="pct"/>
            <w:noWrap/>
            <w:hideMark/>
          </w:tcPr>
          <w:p w14:paraId="52092192" w14:textId="77777777" w:rsidR="003F32A6" w:rsidRPr="00B275E2" w:rsidRDefault="003F32A6" w:rsidP="007C30DD">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275E2">
              <w:rPr>
                <w:rFonts w:eastAsia="Times New Roman"/>
                <w:szCs w:val="18"/>
              </w:rPr>
              <w:t> </w:t>
            </w:r>
          </w:p>
        </w:tc>
        <w:tc>
          <w:tcPr>
            <w:tcW w:w="1049" w:type="pct"/>
            <w:tcBorders>
              <w:right w:val="single" w:sz="4" w:space="0" w:color="FFFFFF" w:themeColor="background1"/>
            </w:tcBorders>
            <w:noWrap/>
            <w:hideMark/>
          </w:tcPr>
          <w:p w14:paraId="666867F5" w14:textId="77777777" w:rsidR="003F32A6" w:rsidRPr="00B275E2" w:rsidRDefault="003F32A6" w:rsidP="007C30DD">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275E2">
              <w:rPr>
                <w:rFonts w:eastAsia="Times New Roman"/>
                <w:szCs w:val="18"/>
              </w:rPr>
              <w:t>IPCC default</w:t>
            </w:r>
          </w:p>
        </w:tc>
      </w:tr>
      <w:tr w:rsidR="003F32A6" w:rsidRPr="00B275E2" w14:paraId="753B7019" w14:textId="77777777" w:rsidTr="00EC0FF5">
        <w:trPr>
          <w:trHeight w:val="285"/>
        </w:trPr>
        <w:tc>
          <w:tcPr>
            <w:cnfStyle w:val="001000000000" w:firstRow="0" w:lastRow="0" w:firstColumn="1" w:lastColumn="0" w:oddVBand="0" w:evenVBand="0" w:oddHBand="0" w:evenHBand="0" w:firstRowFirstColumn="0" w:firstRowLastColumn="0" w:lastRowFirstColumn="0" w:lastRowLastColumn="0"/>
            <w:tcW w:w="1893" w:type="pct"/>
            <w:tcBorders>
              <w:left w:val="single" w:sz="4" w:space="0" w:color="FFFFFF" w:themeColor="background1"/>
            </w:tcBorders>
            <w:noWrap/>
            <w:hideMark/>
          </w:tcPr>
          <w:p w14:paraId="2E9D879B" w14:textId="77777777" w:rsidR="003F32A6" w:rsidRPr="00B275E2" w:rsidRDefault="003F32A6" w:rsidP="007C30DD">
            <w:pPr>
              <w:pStyle w:val="TableText"/>
              <w:spacing w:before="40" w:after="40"/>
              <w:rPr>
                <w:rFonts w:eastAsia="Times New Roman"/>
                <w:b w:val="0"/>
                <w:szCs w:val="18"/>
              </w:rPr>
            </w:pPr>
            <w:r w:rsidRPr="00B275E2">
              <w:rPr>
                <w:rFonts w:eastAsia="Times New Roman"/>
                <w:b w:val="0"/>
                <w:szCs w:val="18"/>
              </w:rPr>
              <w:t>Fraction of non-consumption protein</w:t>
            </w:r>
          </w:p>
        </w:tc>
        <w:tc>
          <w:tcPr>
            <w:tcW w:w="576" w:type="pct"/>
            <w:noWrap/>
            <w:hideMark/>
          </w:tcPr>
          <w:p w14:paraId="6C680991" w14:textId="77777777" w:rsidR="003F32A6" w:rsidRPr="00B275E2" w:rsidRDefault="003F32A6" w:rsidP="007C30D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275E2">
              <w:rPr>
                <w:rFonts w:eastAsia="Times New Roman"/>
                <w:szCs w:val="18"/>
              </w:rPr>
              <w:t>1.4</w:t>
            </w:r>
          </w:p>
        </w:tc>
        <w:tc>
          <w:tcPr>
            <w:tcW w:w="1482" w:type="pct"/>
            <w:noWrap/>
            <w:hideMark/>
          </w:tcPr>
          <w:p w14:paraId="6E43EBB8" w14:textId="77777777" w:rsidR="003F32A6" w:rsidRPr="00B275E2" w:rsidRDefault="003F32A6" w:rsidP="007C30DD">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275E2">
              <w:rPr>
                <w:rFonts w:eastAsia="Times New Roman"/>
                <w:szCs w:val="18"/>
              </w:rPr>
              <w:t> </w:t>
            </w:r>
          </w:p>
        </w:tc>
        <w:tc>
          <w:tcPr>
            <w:tcW w:w="1049" w:type="pct"/>
            <w:tcBorders>
              <w:right w:val="single" w:sz="4" w:space="0" w:color="FFFFFF" w:themeColor="background1"/>
            </w:tcBorders>
            <w:noWrap/>
            <w:hideMark/>
          </w:tcPr>
          <w:p w14:paraId="0B090CC4" w14:textId="77777777" w:rsidR="003F32A6" w:rsidRPr="00B275E2" w:rsidRDefault="003F32A6" w:rsidP="007C30DD">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275E2">
              <w:rPr>
                <w:rFonts w:eastAsia="Times New Roman"/>
                <w:szCs w:val="18"/>
              </w:rPr>
              <w:t>IPCC default</w:t>
            </w:r>
          </w:p>
        </w:tc>
      </w:tr>
      <w:tr w:rsidR="003F32A6" w:rsidRPr="00B275E2" w14:paraId="3A1F518B" w14:textId="77777777" w:rsidTr="00EC0FF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93" w:type="pct"/>
            <w:tcBorders>
              <w:left w:val="single" w:sz="4" w:space="0" w:color="FFFFFF" w:themeColor="background1"/>
            </w:tcBorders>
            <w:noWrap/>
            <w:hideMark/>
          </w:tcPr>
          <w:p w14:paraId="0448786E" w14:textId="77777777" w:rsidR="003F32A6" w:rsidRPr="00B275E2" w:rsidRDefault="003F32A6" w:rsidP="007C30DD">
            <w:pPr>
              <w:pStyle w:val="TableText"/>
              <w:spacing w:before="40" w:after="40" w:line="200" w:lineRule="atLeast"/>
              <w:rPr>
                <w:rFonts w:eastAsia="Times New Roman"/>
                <w:b w:val="0"/>
                <w:szCs w:val="18"/>
              </w:rPr>
            </w:pPr>
            <w:r w:rsidRPr="00B275E2">
              <w:rPr>
                <w:rFonts w:eastAsia="Times New Roman"/>
                <w:b w:val="0"/>
                <w:szCs w:val="18"/>
              </w:rPr>
              <w:t>Fraction of industrial and commercial co-discharged protein</w:t>
            </w:r>
          </w:p>
        </w:tc>
        <w:tc>
          <w:tcPr>
            <w:tcW w:w="576" w:type="pct"/>
            <w:noWrap/>
            <w:hideMark/>
          </w:tcPr>
          <w:p w14:paraId="6B40C57C" w14:textId="77777777" w:rsidR="003F32A6" w:rsidRPr="00B275E2" w:rsidRDefault="003F32A6" w:rsidP="007C30D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275E2">
              <w:rPr>
                <w:rFonts w:eastAsia="Times New Roman"/>
                <w:szCs w:val="18"/>
              </w:rPr>
              <w:t>1.25</w:t>
            </w:r>
          </w:p>
        </w:tc>
        <w:tc>
          <w:tcPr>
            <w:tcW w:w="1482" w:type="pct"/>
            <w:noWrap/>
            <w:hideMark/>
          </w:tcPr>
          <w:p w14:paraId="2EE528B9" w14:textId="77777777" w:rsidR="003F32A6" w:rsidRPr="00B275E2" w:rsidRDefault="003F32A6" w:rsidP="007C30DD">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275E2">
              <w:rPr>
                <w:rFonts w:eastAsia="Times New Roman"/>
                <w:szCs w:val="18"/>
              </w:rPr>
              <w:t> </w:t>
            </w:r>
          </w:p>
        </w:tc>
        <w:tc>
          <w:tcPr>
            <w:tcW w:w="1049" w:type="pct"/>
            <w:tcBorders>
              <w:right w:val="single" w:sz="4" w:space="0" w:color="FFFFFF" w:themeColor="background1"/>
            </w:tcBorders>
            <w:noWrap/>
            <w:hideMark/>
          </w:tcPr>
          <w:p w14:paraId="55D07B84" w14:textId="77777777" w:rsidR="003F32A6" w:rsidRPr="00B275E2" w:rsidRDefault="003F32A6" w:rsidP="007C30DD">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275E2">
              <w:rPr>
                <w:rFonts w:eastAsia="Times New Roman"/>
                <w:szCs w:val="18"/>
              </w:rPr>
              <w:t>IPCC default</w:t>
            </w:r>
          </w:p>
        </w:tc>
      </w:tr>
      <w:tr w:rsidR="003F32A6" w:rsidRPr="00B275E2" w14:paraId="74A77200" w14:textId="77777777" w:rsidTr="00EC0FF5">
        <w:trPr>
          <w:trHeight w:val="285"/>
        </w:trPr>
        <w:tc>
          <w:tcPr>
            <w:cnfStyle w:val="001000000000" w:firstRow="0" w:lastRow="0" w:firstColumn="1" w:lastColumn="0" w:oddVBand="0" w:evenVBand="0" w:oddHBand="0" w:evenHBand="0" w:firstRowFirstColumn="0" w:firstRowLastColumn="0" w:lastRowFirstColumn="0" w:lastRowLastColumn="0"/>
            <w:tcW w:w="1893" w:type="pct"/>
            <w:tcBorders>
              <w:left w:val="single" w:sz="4" w:space="0" w:color="FFFFFF" w:themeColor="background1"/>
            </w:tcBorders>
            <w:noWrap/>
            <w:hideMark/>
          </w:tcPr>
          <w:p w14:paraId="5E880C20" w14:textId="77777777" w:rsidR="003F32A6" w:rsidRPr="00B275E2" w:rsidRDefault="003F32A6" w:rsidP="007C30DD">
            <w:pPr>
              <w:pStyle w:val="TableText"/>
              <w:spacing w:before="40" w:after="40"/>
              <w:rPr>
                <w:rFonts w:eastAsia="Times New Roman"/>
                <w:b w:val="0"/>
                <w:szCs w:val="18"/>
              </w:rPr>
            </w:pPr>
            <w:r w:rsidRPr="00B275E2">
              <w:rPr>
                <w:rFonts w:eastAsia="Times New Roman"/>
                <w:b w:val="0"/>
                <w:szCs w:val="18"/>
              </w:rPr>
              <w:t>N removed with sludge</w:t>
            </w:r>
          </w:p>
        </w:tc>
        <w:tc>
          <w:tcPr>
            <w:tcW w:w="576" w:type="pct"/>
            <w:noWrap/>
            <w:hideMark/>
          </w:tcPr>
          <w:p w14:paraId="2445FE2B" w14:textId="77777777" w:rsidR="003F32A6" w:rsidRPr="00B275E2" w:rsidRDefault="003F32A6" w:rsidP="007C30D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275E2">
              <w:rPr>
                <w:rFonts w:eastAsia="Times New Roman"/>
                <w:szCs w:val="18"/>
              </w:rPr>
              <w:t>0</w:t>
            </w:r>
          </w:p>
        </w:tc>
        <w:tc>
          <w:tcPr>
            <w:tcW w:w="1482" w:type="pct"/>
            <w:noWrap/>
            <w:hideMark/>
          </w:tcPr>
          <w:p w14:paraId="3284B0CD" w14:textId="77777777" w:rsidR="003F32A6" w:rsidRPr="00B275E2" w:rsidRDefault="003F32A6" w:rsidP="007C30DD">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275E2">
              <w:rPr>
                <w:rFonts w:eastAsia="Times New Roman"/>
                <w:szCs w:val="18"/>
              </w:rPr>
              <w:t>Default is zero</w:t>
            </w:r>
          </w:p>
        </w:tc>
        <w:tc>
          <w:tcPr>
            <w:tcW w:w="1049" w:type="pct"/>
            <w:tcBorders>
              <w:right w:val="single" w:sz="4" w:space="0" w:color="FFFFFF" w:themeColor="background1"/>
            </w:tcBorders>
            <w:noWrap/>
            <w:hideMark/>
          </w:tcPr>
          <w:p w14:paraId="768F5B1E" w14:textId="77777777" w:rsidR="003F32A6" w:rsidRPr="00B275E2" w:rsidRDefault="003F32A6" w:rsidP="007C30DD">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275E2">
              <w:rPr>
                <w:rFonts w:eastAsia="Times New Roman"/>
                <w:szCs w:val="18"/>
              </w:rPr>
              <w:t>IPCC default</w:t>
            </w:r>
          </w:p>
        </w:tc>
      </w:tr>
    </w:tbl>
    <w:p w14:paraId="1F8D345E" w14:textId="7990A309" w:rsidR="00B93232" w:rsidRPr="00B275E2" w:rsidRDefault="00B93232" w:rsidP="007F0B1E">
      <w:pPr>
        <w:pStyle w:val="BodyText"/>
        <w:spacing w:before="240" w:after="160"/>
      </w:pPr>
      <w:r w:rsidRPr="00B275E2">
        <w:t>Then</w:t>
      </w:r>
      <w:r w:rsidR="00766DA1" w:rsidRPr="00B275E2">
        <w:t>:</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505"/>
      </w:tblGrid>
      <w:tr w:rsidR="005D44A7" w:rsidRPr="00B275E2" w14:paraId="1B6E815B" w14:textId="77777777" w:rsidTr="007C30DD">
        <w:tc>
          <w:tcPr>
            <w:tcW w:w="0" w:type="auto"/>
            <w:shd w:val="clear" w:color="auto" w:fill="D2DDE1" w:themeFill="background2"/>
          </w:tcPr>
          <w:p w14:paraId="72E6CDB5" w14:textId="44800224" w:rsidR="005D44A7" w:rsidRPr="00B275E2" w:rsidRDefault="00954B9C" w:rsidP="00E949FF">
            <w:pPr>
              <w:pStyle w:val="Blueboxtext"/>
              <w:ind w:left="0"/>
            </w:pPr>
            <m:oMathPara>
              <m:oMath>
                <m:sSub>
                  <m:sSubPr>
                    <m:ctrlPr>
                      <w:rPr>
                        <w:rFonts w:ascii="Cambria Math" w:eastAsia="Times New Roman" w:hAnsi="Cambria Math"/>
                      </w:rPr>
                    </m:ctrlPr>
                  </m:sSubPr>
                  <m:e>
                    <m:r>
                      <w:rPr>
                        <w:rFonts w:ascii="Cambria Math" w:eastAsia="Times New Roman" w:hAnsi="Cambria Math"/>
                      </w:rPr>
                      <m:t>N</m:t>
                    </m:r>
                  </m:e>
                  <m:sub>
                    <m:r>
                      <m:rPr>
                        <m:sty m:val="p"/>
                      </m:rPr>
                      <w:rPr>
                        <w:rFonts w:ascii="Cambria Math" w:eastAsia="Times New Roman" w:hAnsi="Cambria Math"/>
                      </w:rPr>
                      <m:t>2</m:t>
                    </m:r>
                  </m:sub>
                </m:sSub>
                <m:r>
                  <w:rPr>
                    <w:rFonts w:ascii="Cambria Math" w:eastAsia="Times New Roman" w:hAnsi="Cambria Math"/>
                  </w:rPr>
                  <m:t>O</m:t>
                </m:r>
                <m:r>
                  <m:rPr>
                    <m:sty m:val="p"/>
                  </m:rPr>
                  <w:rPr>
                    <w:rFonts w:ascii="Cambria Math" w:eastAsia="Times New Roman" w:hAnsi="Cambria Math"/>
                  </w:rPr>
                  <m:t xml:space="preserve"> </m:t>
                </m:r>
                <m:r>
                  <w:rPr>
                    <w:rFonts w:ascii="Cambria Math" w:eastAsia="Times New Roman" w:hAnsi="Cambria Math"/>
                  </w:rPr>
                  <m:t>emissions</m:t>
                </m:r>
                <m:r>
                  <m:rPr>
                    <m:sty m:val="p"/>
                  </m:rPr>
                  <w:rPr>
                    <w:rFonts w:ascii="Cambria Math" w:eastAsia="Times New Roman" w:hAnsi="Cambria Math"/>
                  </w:rPr>
                  <m:t xml:space="preserve"> </m:t>
                </m:r>
                <m:d>
                  <m:dPr>
                    <m:ctrlPr>
                      <w:rPr>
                        <w:rFonts w:ascii="Cambria Math" w:eastAsia="Times New Roman" w:hAnsi="Cambria Math"/>
                      </w:rPr>
                    </m:ctrlPr>
                  </m:dPr>
                  <m:e>
                    <m:r>
                      <w:rPr>
                        <w:rFonts w:ascii="Cambria Math" w:eastAsia="Times New Roman" w:hAnsi="Cambria Math"/>
                      </w:rPr>
                      <m:t>kg</m:t>
                    </m:r>
                    <m:sSub>
                      <m:sSubPr>
                        <m:ctrlPr>
                          <w:rPr>
                            <w:rFonts w:ascii="Cambria Math" w:eastAsia="Times New Roman" w:hAnsi="Cambria Math"/>
                          </w:rPr>
                        </m:ctrlPr>
                      </m:sSubPr>
                      <m:e>
                        <m:r>
                          <w:rPr>
                            <w:rFonts w:ascii="Cambria Math" w:eastAsia="Times New Roman" w:hAnsi="Cambria Math"/>
                          </w:rPr>
                          <m:t xml:space="preserve"> CO</m:t>
                        </m:r>
                      </m:e>
                      <m:sub>
                        <m:r>
                          <m:rPr>
                            <m:sty m:val="p"/>
                          </m:rPr>
                          <w:rPr>
                            <w:rFonts w:ascii="Cambria Math" w:eastAsia="Times New Roman" w:hAnsi="Cambria Math"/>
                          </w:rPr>
                          <m:t xml:space="preserve">2 </m:t>
                        </m:r>
                      </m:sub>
                    </m:sSub>
                    <m:r>
                      <w:rPr>
                        <w:rFonts w:ascii="Cambria Math" w:eastAsia="Times New Roman" w:hAnsi="Cambria Math"/>
                      </w:rPr>
                      <m:t>e</m:t>
                    </m:r>
                    <m:r>
                      <m:rPr>
                        <m:sty m:val="p"/>
                      </m:rPr>
                      <w:rPr>
                        <w:rFonts w:ascii="Cambria Math" w:eastAsia="Times New Roman" w:hAnsi="Cambria Math"/>
                      </w:rPr>
                      <m:t xml:space="preserve"> </m:t>
                    </m:r>
                    <m:r>
                      <w:rPr>
                        <w:rFonts w:ascii="Cambria Math" w:eastAsia="Times New Roman" w:hAnsi="Cambria Math"/>
                      </w:rPr>
                      <m:t>per</m:t>
                    </m:r>
                    <m:r>
                      <m:rPr>
                        <m:sty m:val="p"/>
                      </m:rPr>
                      <w:rPr>
                        <w:rFonts w:ascii="Cambria Math" w:eastAsia="Times New Roman" w:hAnsi="Cambria Math"/>
                      </w:rPr>
                      <m:t xml:space="preserve"> </m:t>
                    </m:r>
                    <m:r>
                      <w:rPr>
                        <w:rFonts w:ascii="Cambria Math" w:eastAsia="Times New Roman" w:hAnsi="Cambria Math"/>
                      </w:rPr>
                      <m:t>capita</m:t>
                    </m:r>
                  </m:e>
                </m:d>
                <m:r>
                  <m:rPr>
                    <m:sty m:val="p"/>
                  </m:rPr>
                  <w:rPr>
                    <w:rFonts w:ascii="Cambria Math" w:eastAsia="Times New Roman" w:hAnsi="Cambria Math"/>
                  </w:rPr>
                  <m:t>=</m:t>
                </m:r>
                <m:r>
                  <w:rPr>
                    <w:rFonts w:ascii="Cambria Math" w:eastAsia="Times New Roman" w:hAnsi="Cambria Math"/>
                  </w:rPr>
                  <m:t>per</m:t>
                </m:r>
                <m:r>
                  <m:rPr>
                    <m:sty m:val="p"/>
                  </m:rPr>
                  <w:rPr>
                    <w:rFonts w:ascii="Cambria Math" w:eastAsia="Times New Roman" w:hAnsi="Cambria Math"/>
                  </w:rPr>
                  <m:t xml:space="preserve"> </m:t>
                </m:r>
                <m:r>
                  <w:rPr>
                    <w:rFonts w:ascii="Cambria Math" w:eastAsia="Times New Roman" w:hAnsi="Cambria Math"/>
                  </w:rPr>
                  <m:t>capita</m:t>
                </m:r>
                <m:r>
                  <m:rPr>
                    <m:sty m:val="p"/>
                  </m:rPr>
                  <w:rPr>
                    <w:rFonts w:ascii="Cambria Math" w:eastAsia="Times New Roman" w:hAnsi="Cambria Math"/>
                  </w:rPr>
                  <m:t xml:space="preserve"> </m:t>
                </m:r>
                <m:r>
                  <w:rPr>
                    <w:rFonts w:ascii="Cambria Math" w:eastAsia="Times New Roman" w:hAnsi="Cambria Math"/>
                  </w:rPr>
                  <m:t>nitrogen</m:t>
                </m:r>
                <m:r>
                  <m:rPr>
                    <m:sty m:val="p"/>
                  </m:rPr>
                  <w:rPr>
                    <w:rFonts w:ascii="Cambria Math" w:eastAsia="Times New Roman" w:hAnsi="Cambria Math"/>
                  </w:rPr>
                  <m:t xml:space="preserve"> </m:t>
                </m:r>
                <m:r>
                  <w:rPr>
                    <w:rFonts w:ascii="Cambria Math" w:eastAsia="Times New Roman" w:hAnsi="Cambria Math"/>
                  </w:rPr>
                  <m:t>in</m:t>
                </m:r>
                <m:r>
                  <m:rPr>
                    <m:sty m:val="p"/>
                  </m:rPr>
                  <w:rPr>
                    <w:rFonts w:ascii="Cambria Math" w:eastAsia="Times New Roman" w:hAnsi="Cambria Math"/>
                  </w:rPr>
                  <m:t xml:space="preserve"> </m:t>
                </m:r>
                <m:r>
                  <w:rPr>
                    <w:rFonts w:ascii="Cambria Math" w:eastAsia="Times New Roman" w:hAnsi="Cambria Math"/>
                  </w:rPr>
                  <m:t>effluent</m:t>
                </m:r>
                <m:r>
                  <m:rPr>
                    <m:sty m:val="p"/>
                  </m:rPr>
                  <w:rPr>
                    <w:rFonts w:ascii="Cambria Math" w:eastAsia="Times New Roman" w:hAnsi="Cambria Math"/>
                  </w:rPr>
                  <m:t xml:space="preserve"> ×</m:t>
                </m:r>
                <m:r>
                  <w:rPr>
                    <w:rFonts w:ascii="Cambria Math" w:eastAsia="Times New Roman" w:hAnsi="Cambria Math"/>
                  </w:rPr>
                  <m:t>E</m:t>
                </m:r>
                <m:sSub>
                  <m:sSubPr>
                    <m:ctrlPr>
                      <w:rPr>
                        <w:rFonts w:ascii="Cambria Math" w:eastAsia="Times New Roman" w:hAnsi="Cambria Math"/>
                      </w:rPr>
                    </m:ctrlPr>
                  </m:sSubPr>
                  <m:e>
                    <m:r>
                      <w:rPr>
                        <w:rFonts w:ascii="Cambria Math" w:eastAsia="Times New Roman" w:hAnsi="Cambria Math"/>
                      </w:rPr>
                      <m:t>F</m:t>
                    </m:r>
                  </m:e>
                  <m:sub>
                    <m:r>
                      <w:rPr>
                        <w:rFonts w:ascii="Cambria Math" w:eastAsia="Times New Roman" w:hAnsi="Cambria Math"/>
                      </w:rPr>
                      <m:t>effluent</m:t>
                    </m:r>
                  </m:sub>
                </m:sSub>
                <m:r>
                  <m:rPr>
                    <m:sty m:val="p"/>
                  </m:rPr>
                  <w:rPr>
                    <w:rFonts w:ascii="Cambria Math" w:eastAsia="Times New Roman" w:hAnsi="Cambria Math"/>
                  </w:rPr>
                  <m:t>×</m:t>
                </m:r>
                <m:f>
                  <m:fPr>
                    <m:ctrlPr>
                      <w:rPr>
                        <w:rFonts w:ascii="Cambria Math" w:eastAsia="Times New Roman" w:hAnsi="Cambria Math"/>
                      </w:rPr>
                    </m:ctrlPr>
                  </m:fPr>
                  <m:num>
                    <m:r>
                      <m:rPr>
                        <m:sty m:val="p"/>
                      </m:rPr>
                      <w:rPr>
                        <w:rFonts w:ascii="Cambria Math" w:eastAsia="Times New Roman" w:hAnsi="Cambria Math"/>
                      </w:rPr>
                      <m:t>44</m:t>
                    </m:r>
                  </m:num>
                  <m:den>
                    <m:r>
                      <m:rPr>
                        <m:sty m:val="p"/>
                      </m:rPr>
                      <w:rPr>
                        <w:rFonts w:ascii="Cambria Math" w:eastAsia="Times New Roman" w:hAnsi="Cambria Math"/>
                      </w:rPr>
                      <m:t>28</m:t>
                    </m:r>
                  </m:den>
                </m:f>
                <m:r>
                  <m:rPr>
                    <m:sty m:val="p"/>
                  </m:rPr>
                  <w:rPr>
                    <w:rFonts w:ascii="Cambria Math" w:eastAsia="Times New Roman" w:hAnsi="Cambria Math"/>
                  </w:rPr>
                  <m:t xml:space="preserve"> ×</m:t>
                </m:r>
                <m:r>
                  <w:rPr>
                    <w:rFonts w:ascii="Cambria Math" w:eastAsia="Times New Roman" w:hAnsi="Cambria Math"/>
                  </w:rPr>
                  <m:t>GWP</m:t>
                </m:r>
              </m:oMath>
            </m:oMathPara>
          </w:p>
        </w:tc>
      </w:tr>
    </w:tbl>
    <w:p w14:paraId="59B0C2B9" w14:textId="77777777" w:rsidR="00B93232" w:rsidRPr="00B275E2" w:rsidRDefault="00B93232" w:rsidP="00E949FF">
      <w:pPr>
        <w:pStyle w:val="BodyText"/>
        <w:spacing w:before="240" w:after="100"/>
      </w:pPr>
      <w:r w:rsidRPr="00B275E2">
        <w:lastRenderedPageBreak/>
        <w:t>Where:</w:t>
      </w:r>
    </w:p>
    <w:p w14:paraId="6D2B0B52" w14:textId="0532200B" w:rsidR="00B93232" w:rsidRPr="00B275E2" w:rsidRDefault="0071351B" w:rsidP="00C24B73">
      <w:pPr>
        <w:pStyle w:val="Bullet"/>
        <w:numPr>
          <w:ilvl w:val="0"/>
          <w:numId w:val="56"/>
        </w:numPr>
        <w:spacing w:after="100"/>
      </w:pPr>
      <w:r w:rsidRPr="00B275E2">
        <w:t>p</w:t>
      </w:r>
      <w:r w:rsidR="00B93232" w:rsidRPr="00B275E2">
        <w:t>er capita nitrogen in effluent = from equation above</w:t>
      </w:r>
    </w:p>
    <w:p w14:paraId="275E3A02" w14:textId="5F782DED" w:rsidR="00B93232" w:rsidRPr="00B275E2" w:rsidRDefault="0071351B" w:rsidP="00C24B73">
      <w:pPr>
        <w:pStyle w:val="Bullet"/>
        <w:numPr>
          <w:ilvl w:val="0"/>
          <w:numId w:val="56"/>
        </w:numPr>
        <w:spacing w:after="100"/>
      </w:pPr>
      <w:r w:rsidRPr="00B275E2">
        <w:t>e</w:t>
      </w:r>
      <w:r w:rsidR="00B93232" w:rsidRPr="00B275E2">
        <w:t>ffluent = emission factor of 0.005 kg N</w:t>
      </w:r>
      <w:r w:rsidR="00B93232" w:rsidRPr="00B275E2">
        <w:rPr>
          <w:vertAlign w:val="subscript"/>
        </w:rPr>
        <w:t>2</w:t>
      </w:r>
      <w:r w:rsidR="00B93232" w:rsidRPr="00B275E2">
        <w:t xml:space="preserve">O-N/kg N (IPCC </w:t>
      </w:r>
      <w:r w:rsidR="00FB4AD6">
        <w:t>AR4</w:t>
      </w:r>
      <w:r w:rsidR="00B93232" w:rsidRPr="00B275E2">
        <w:t>)</w:t>
      </w:r>
    </w:p>
    <w:p w14:paraId="64E423E2" w14:textId="77777777" w:rsidR="00B93232" w:rsidRPr="00B275E2" w:rsidRDefault="00B93232" w:rsidP="00C24B73">
      <w:pPr>
        <w:pStyle w:val="Bullet"/>
        <w:numPr>
          <w:ilvl w:val="0"/>
          <w:numId w:val="56"/>
        </w:numPr>
        <w:spacing w:after="100"/>
      </w:pPr>
      <w:r w:rsidRPr="00B275E2">
        <w:t>44/28 ratio of N</w:t>
      </w:r>
      <w:r w:rsidRPr="00B275E2">
        <w:rPr>
          <w:vertAlign w:val="subscript"/>
        </w:rPr>
        <w:t>2</w:t>
      </w:r>
      <w:r w:rsidRPr="00B275E2">
        <w:t>O to N</w:t>
      </w:r>
      <w:r w:rsidRPr="00B275E2">
        <w:rPr>
          <w:vertAlign w:val="subscript"/>
        </w:rPr>
        <w:t>2</w:t>
      </w:r>
    </w:p>
    <w:p w14:paraId="1F41880B" w14:textId="1C8C284C" w:rsidR="00B93232" w:rsidRPr="00B275E2" w:rsidRDefault="00B93232" w:rsidP="00C24B73">
      <w:pPr>
        <w:pStyle w:val="Bullet"/>
        <w:numPr>
          <w:ilvl w:val="0"/>
          <w:numId w:val="56"/>
        </w:numPr>
        <w:spacing w:after="100"/>
      </w:pPr>
      <w:r w:rsidRPr="00B275E2">
        <w:t>GWP = 298 (IPCC</w:t>
      </w:r>
      <w:r w:rsidR="004260A8" w:rsidRPr="00B275E2">
        <w:t xml:space="preserve"> </w:t>
      </w:r>
      <w:r w:rsidRPr="00B275E2">
        <w:t>AR4)</w:t>
      </w:r>
      <w:r w:rsidR="003E54D5" w:rsidRPr="00B275E2">
        <w:t>.</w:t>
      </w:r>
    </w:p>
    <w:p w14:paraId="78102677" w14:textId="36D20BA0" w:rsidR="00B93232" w:rsidRPr="00B275E2" w:rsidRDefault="00766DA1" w:rsidP="00E949FF">
      <w:pPr>
        <w:pStyle w:val="BodyText"/>
      </w:pPr>
      <w:r w:rsidRPr="00B275E2">
        <w:t>Divide t</w:t>
      </w:r>
      <w:r w:rsidR="00B93232" w:rsidRPr="00B275E2">
        <w:t>hese emissions per capita by the average volume of water treated (10</w:t>
      </w:r>
      <w:r w:rsidR="004260A8" w:rsidRPr="00B275E2">
        <w:t>1</w:t>
      </w:r>
      <w:r w:rsidR="00B93232" w:rsidRPr="00B275E2">
        <w:t xml:space="preserve"> m</w:t>
      </w:r>
      <w:r w:rsidR="00B93232" w:rsidRPr="00B275E2">
        <w:rPr>
          <w:vertAlign w:val="superscript"/>
        </w:rPr>
        <w:t>3</w:t>
      </w:r>
      <w:r w:rsidR="00B93232" w:rsidRPr="00B275E2">
        <w:t>) per person to give the emissions per m</w:t>
      </w:r>
      <w:r w:rsidR="00B93232" w:rsidRPr="00B275E2">
        <w:rPr>
          <w:vertAlign w:val="superscript"/>
        </w:rPr>
        <w:t>3</w:t>
      </w:r>
      <w:r w:rsidR="00B93232" w:rsidRPr="00B275E2">
        <w:t>.</w:t>
      </w:r>
    </w:p>
    <w:p w14:paraId="1DD61903" w14:textId="177A8B77" w:rsidR="00A959E4" w:rsidRPr="00B275E2" w:rsidRDefault="00A959E4" w:rsidP="002234D0">
      <w:pPr>
        <w:pStyle w:val="Heading3"/>
      </w:pPr>
      <w:r w:rsidRPr="00B275E2">
        <w:t xml:space="preserve">Industrial </w:t>
      </w:r>
      <w:r w:rsidR="00E504C3" w:rsidRPr="00B275E2">
        <w:t>w</w:t>
      </w:r>
      <w:r w:rsidRPr="00B275E2">
        <w:t xml:space="preserve">astewater </w:t>
      </w:r>
      <w:r w:rsidR="004D1A6E" w:rsidRPr="00B275E2">
        <w:t>treatment</w:t>
      </w:r>
    </w:p>
    <w:p w14:paraId="398A4E4C" w14:textId="50FECCD1" w:rsidR="00A959E4" w:rsidRPr="00B275E2" w:rsidRDefault="00E504C3" w:rsidP="00E949FF">
      <w:pPr>
        <w:pStyle w:val="BodyText"/>
        <w:spacing w:before="100" w:after="100"/>
      </w:pPr>
      <w:r w:rsidRPr="00B275E2">
        <w:t xml:space="preserve">As with </w:t>
      </w:r>
      <w:r w:rsidR="00A959E4" w:rsidRPr="00B275E2">
        <w:t xml:space="preserve">domestic wastewater, </w:t>
      </w:r>
      <w:r w:rsidR="003F32A6" w:rsidRPr="00B275E2">
        <w:t xml:space="preserve">we derived </w:t>
      </w:r>
      <w:r w:rsidR="00A959E4" w:rsidRPr="00B275E2">
        <w:t xml:space="preserve">the emission factors for industrial wastewater treatment from the total </w:t>
      </w:r>
      <w:r w:rsidR="003F32A6" w:rsidRPr="00B275E2">
        <w:t>energy</w:t>
      </w:r>
      <w:r w:rsidR="00FF78E6" w:rsidRPr="00B275E2">
        <w:t>-</w:t>
      </w:r>
      <w:r w:rsidR="003F32A6" w:rsidRPr="00B275E2">
        <w:t xml:space="preserve">use </w:t>
      </w:r>
      <w:r w:rsidR="00A959E4" w:rsidRPr="00B275E2">
        <w:t>emissions in the wastewater treatment plants and the gases emitted during the treatment process.</w:t>
      </w:r>
    </w:p>
    <w:p w14:paraId="09EA9B05" w14:textId="47F2B15E" w:rsidR="00A959E4" w:rsidRPr="00B275E2" w:rsidRDefault="00F90A3F" w:rsidP="00E949FF">
      <w:pPr>
        <w:pStyle w:val="BodyText"/>
        <w:spacing w:before="100" w:after="100"/>
      </w:pPr>
      <w:r w:rsidRPr="00B275E2">
        <w:t>For the purpose of this guide, it is assumed t</w:t>
      </w:r>
      <w:r w:rsidR="00A959E4" w:rsidRPr="00B275E2">
        <w:t xml:space="preserve">here are no direct </w:t>
      </w:r>
      <w:r w:rsidR="008D6410" w:rsidRPr="00B275E2">
        <w:t>carbon dioxide</w:t>
      </w:r>
      <w:r w:rsidR="00A959E4" w:rsidRPr="00B275E2">
        <w:t xml:space="preserve"> emissions from the treatment of wastewater</w:t>
      </w:r>
      <w:r w:rsidR="001049CA" w:rsidRPr="00B275E2">
        <w:t xml:space="preserve">, as all </w:t>
      </w:r>
      <w:r w:rsidR="00AB3F6F" w:rsidRPr="00B275E2">
        <w:t>carbon dioxide</w:t>
      </w:r>
      <w:r w:rsidR="001049CA" w:rsidRPr="00B275E2">
        <w:t xml:space="preserve"> emissions are biogenic</w:t>
      </w:r>
      <w:r w:rsidR="00E504C3" w:rsidRPr="00B275E2">
        <w:t>. T</w:t>
      </w:r>
      <w:r w:rsidR="00A959E4" w:rsidRPr="00B275E2">
        <w:t>herefore</w:t>
      </w:r>
      <w:r w:rsidR="00D411B3" w:rsidRPr="00B275E2">
        <w:t>,</w:t>
      </w:r>
      <w:r w:rsidR="00A959E4" w:rsidRPr="00B275E2">
        <w:t xml:space="preserve"> </w:t>
      </w:r>
      <w:r w:rsidR="003F32A6" w:rsidRPr="00B275E2">
        <w:t xml:space="preserve">we have calculated </w:t>
      </w:r>
      <w:r w:rsidR="00A959E4" w:rsidRPr="00B275E2">
        <w:t xml:space="preserve">only </w:t>
      </w:r>
      <w:r w:rsidR="008D6410" w:rsidRPr="00B275E2">
        <w:t>methane</w:t>
      </w:r>
      <w:r w:rsidR="00A959E4" w:rsidRPr="00B275E2">
        <w:t xml:space="preserve"> and </w:t>
      </w:r>
      <w:r w:rsidR="008D6410" w:rsidRPr="00B275E2">
        <w:t>nitrous oxide</w:t>
      </w:r>
      <w:r w:rsidR="00A959E4" w:rsidRPr="00B275E2">
        <w:t xml:space="preserve"> emissions. </w:t>
      </w:r>
    </w:p>
    <w:p w14:paraId="0849C764" w14:textId="79333710" w:rsidR="00A959E4" w:rsidRPr="00B275E2" w:rsidRDefault="00A959E4" w:rsidP="00E949FF">
      <w:pPr>
        <w:pStyle w:val="BodyText"/>
        <w:spacing w:before="100" w:after="160"/>
      </w:pPr>
      <w:r w:rsidRPr="00B275E2">
        <w:t xml:space="preserve">The equation followed to calculate </w:t>
      </w:r>
      <w:r w:rsidR="008D6410" w:rsidRPr="00B275E2">
        <w:t>methane</w:t>
      </w:r>
      <w:r w:rsidR="003F32A6" w:rsidRPr="00B275E2">
        <w:rPr>
          <w:vertAlign w:val="subscript"/>
        </w:rPr>
        <w:t xml:space="preserve"> </w:t>
      </w:r>
      <w:r w:rsidRPr="00B275E2">
        <w:t>emissions is</w:t>
      </w:r>
      <w:r w:rsidR="00AB3F6F" w:rsidRPr="00B275E2">
        <w:t>:</w:t>
      </w:r>
    </w:p>
    <w:tbl>
      <w:tblPr>
        <w:tblStyle w:val="TableGrid"/>
        <w:tblW w:w="861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618"/>
      </w:tblGrid>
      <w:tr w:rsidR="000174CA" w:rsidRPr="00B275E2" w14:paraId="1FF9C3B4" w14:textId="77777777" w:rsidTr="001A61DF">
        <w:tc>
          <w:tcPr>
            <w:tcW w:w="0" w:type="auto"/>
            <w:shd w:val="clear" w:color="auto" w:fill="D2DDE1" w:themeFill="background2"/>
          </w:tcPr>
          <w:p w14:paraId="7FF2C844" w14:textId="4D4F36C7" w:rsidR="000174CA" w:rsidRPr="00B275E2" w:rsidRDefault="000174CA" w:rsidP="00E949FF">
            <w:pPr>
              <w:pStyle w:val="Blueboxtext"/>
              <w:spacing w:before="180" w:after="180"/>
              <w:ind w:left="0"/>
            </w:pPr>
            <m:oMathPara>
              <m:oMath>
                <m:r>
                  <w:rPr>
                    <w:rFonts w:ascii="Cambria Math" w:hAnsi="Cambria Math"/>
                  </w:rPr>
                  <m:t>mbCOD</m:t>
                </m:r>
                <m:r>
                  <m:rPr>
                    <m:sty m:val="p"/>
                  </m:rPr>
                  <w:rPr>
                    <w:rFonts w:ascii="Cambria Math" w:hAnsi="Cambria Math"/>
                  </w:rPr>
                  <m:t xml:space="preserve"> ×</m:t>
                </m:r>
                <m:r>
                  <w:rPr>
                    <w:rFonts w:ascii="Cambria Math" w:hAnsi="Cambria Math"/>
                  </w:rPr>
                  <m:t>EF</m:t>
                </m:r>
                <m:r>
                  <m:rPr>
                    <m:sty m:val="p"/>
                  </m:rPr>
                  <w:rPr>
                    <w:rFonts w:ascii="Cambria Math" w:hAnsi="Cambria Math"/>
                  </w:rPr>
                  <m:t xml:space="preserve"> ×</m:t>
                </m:r>
                <m:r>
                  <w:rPr>
                    <w:rFonts w:ascii="Cambria Math" w:hAnsi="Cambria Math"/>
                  </w:rPr>
                  <m:t>GWP</m:t>
                </m:r>
                <m:r>
                  <m:rPr>
                    <m:sty m:val="p"/>
                  </m:rPr>
                  <w:rPr>
                    <w:rFonts w:ascii="Cambria Math" w:hAnsi="Cambria Math"/>
                  </w:rPr>
                  <m:t>=</m:t>
                </m:r>
                <m:r>
                  <w:rPr>
                    <w:rFonts w:ascii="Cambria Math" w:hAnsi="Cambria Math"/>
                  </w:rPr>
                  <m:t>methane</m:t>
                </m:r>
                <m:r>
                  <m:rPr>
                    <m:sty m:val="p"/>
                  </m:rPr>
                  <w:rPr>
                    <w:rFonts w:ascii="Cambria Math" w:hAnsi="Cambria Math"/>
                  </w:rPr>
                  <m:t xml:space="preserve"> </m:t>
                </m:r>
                <m:r>
                  <w:rPr>
                    <w:rFonts w:ascii="Cambria Math" w:hAnsi="Cambria Math"/>
                  </w:rPr>
                  <m:t>emission</m:t>
                </m:r>
                <m:r>
                  <m:rPr>
                    <m:sty m:val="p"/>
                  </m:rPr>
                  <w:rPr>
                    <w:rFonts w:ascii="Cambria Math" w:hAnsi="Cambria Math"/>
                  </w:rPr>
                  <m:t xml:space="preserve"> </m:t>
                </m:r>
                <m:r>
                  <w:rPr>
                    <w:rFonts w:ascii="Cambria Math" w:hAnsi="Cambria Math"/>
                  </w:rPr>
                  <m:t>factor</m:t>
                </m:r>
                <m:r>
                  <m:rPr>
                    <m:sty m:val="p"/>
                  </m:rPr>
                  <w:rPr>
                    <w:rFonts w:ascii="Cambria Math" w:hAnsi="Cambria Math"/>
                  </w:rPr>
                  <m:t xml:space="preserve"> (</m:t>
                </m:r>
                <m:r>
                  <w:rPr>
                    <w:rFonts w:ascii="Cambria Math" w:hAnsi="Cambria Math"/>
                  </w:rPr>
                  <m:t>kg</m:t>
                </m:r>
                <m:r>
                  <m:rPr>
                    <m:sty m:val="p"/>
                  </m:rPr>
                  <w:rPr>
                    <w:rFonts w:ascii="Cambria Math" w:hAnsi="Cambria Math"/>
                  </w:rPr>
                  <m:t>/</m:t>
                </m:r>
                <m:r>
                  <w:rPr>
                    <w:rFonts w:ascii="Cambria Math" w:hAnsi="Cambria Math"/>
                  </w:rPr>
                  <m:t>unit</m:t>
                </m:r>
                <m:r>
                  <m:rPr>
                    <m:sty m:val="p"/>
                  </m:rPr>
                  <w:rPr>
                    <w:rFonts w:ascii="Cambria Math" w:hAnsi="Cambria Math"/>
                  </w:rPr>
                  <m:t>)</m:t>
                </m:r>
              </m:oMath>
            </m:oMathPara>
          </w:p>
        </w:tc>
      </w:tr>
    </w:tbl>
    <w:p w14:paraId="277EECDB" w14:textId="5B353848" w:rsidR="00A959E4" w:rsidRPr="00B275E2" w:rsidRDefault="00A959E4" w:rsidP="00E949FF">
      <w:pPr>
        <w:pStyle w:val="BodyText"/>
        <w:spacing w:before="240" w:after="100"/>
      </w:pPr>
      <w:r w:rsidRPr="00B275E2">
        <w:t>Where</w:t>
      </w:r>
      <w:r w:rsidR="00AB3F6F" w:rsidRPr="00B275E2">
        <w:t>:</w:t>
      </w:r>
    </w:p>
    <w:p w14:paraId="4B515005" w14:textId="67316FB3" w:rsidR="00A959E4" w:rsidRPr="00B275E2" w:rsidRDefault="484C2F2D" w:rsidP="00E949FF">
      <w:pPr>
        <w:pStyle w:val="Bullet"/>
        <w:spacing w:after="100"/>
      </w:pPr>
      <w:r>
        <w:t>mbCOD</w:t>
      </w:r>
      <w:r w:rsidR="14FAB11F">
        <w:tab/>
      </w:r>
      <w:r>
        <w:t xml:space="preserve">= the unit biodegradable chemical oxygen demand load in kg per tonne of </w:t>
      </w:r>
      <w:r w:rsidR="1CB22AD9">
        <w:t xml:space="preserve">material </w:t>
      </w:r>
      <w:r w:rsidR="3F82BEA9">
        <w:t>processed</w:t>
      </w:r>
      <w:r w:rsidR="5BF31C21">
        <w:t xml:space="preserve"> (specified by industry type in </w:t>
      </w:r>
      <w:r w:rsidR="6F719FD8">
        <w:t xml:space="preserve">table </w:t>
      </w:r>
      <w:r w:rsidR="5BD3297B">
        <w:t>6</w:t>
      </w:r>
      <w:r w:rsidR="24153C69">
        <w:t>4</w:t>
      </w:r>
      <w:r w:rsidR="6F719FD8">
        <w:t>: Calculating the ratio of gases in</w:t>
      </w:r>
      <w:r w:rsidR="519D9007">
        <w:t> </w:t>
      </w:r>
      <w:r w:rsidR="6F719FD8">
        <w:t>diesel</w:t>
      </w:r>
      <w:r w:rsidR="5BF31C21">
        <w:t>)</w:t>
      </w:r>
      <w:r>
        <w:t xml:space="preserve"> (kg</w:t>
      </w:r>
      <w:r w:rsidR="354497A6">
        <w:t> </w:t>
      </w:r>
      <w:r>
        <w:t>CODb)/t</w:t>
      </w:r>
    </w:p>
    <w:p w14:paraId="0977AE14" w14:textId="77777777" w:rsidR="00A959E4" w:rsidRPr="00B275E2" w:rsidRDefault="00A959E4" w:rsidP="00E949FF">
      <w:pPr>
        <w:pStyle w:val="Bullet"/>
        <w:spacing w:after="100"/>
      </w:pPr>
      <w:r w:rsidRPr="00B275E2">
        <w:t>EF = emission factor in kg methane/kg COD</w:t>
      </w:r>
    </w:p>
    <w:p w14:paraId="4F5DFC12" w14:textId="1E0318F2" w:rsidR="00A959E4" w:rsidRPr="00B275E2" w:rsidRDefault="00A959E4" w:rsidP="00E949FF">
      <w:pPr>
        <w:pStyle w:val="Bullet"/>
        <w:spacing w:after="100"/>
      </w:pPr>
      <w:r w:rsidRPr="00B275E2">
        <w:t xml:space="preserve">GWP = </w:t>
      </w:r>
      <w:r w:rsidR="00E376C3" w:rsidRPr="00B275E2">
        <w:t>g</w:t>
      </w:r>
      <w:r w:rsidRPr="00B275E2">
        <w:t xml:space="preserve">lobal </w:t>
      </w:r>
      <w:r w:rsidR="00E376C3" w:rsidRPr="00B275E2">
        <w:t>w</w:t>
      </w:r>
      <w:r w:rsidRPr="00B275E2">
        <w:t xml:space="preserve">arming </w:t>
      </w:r>
      <w:r w:rsidR="00E376C3" w:rsidRPr="00B275E2">
        <w:t>p</w:t>
      </w:r>
      <w:r w:rsidRPr="00B275E2">
        <w:t>otential</w:t>
      </w:r>
      <w:r w:rsidR="008A60C4" w:rsidRPr="00B275E2">
        <w:t>.</w:t>
      </w:r>
    </w:p>
    <w:p w14:paraId="6714CD2B" w14:textId="2F99C151" w:rsidR="005A1428" w:rsidRPr="00B275E2" w:rsidRDefault="00A959E4" w:rsidP="00E949FF">
      <w:pPr>
        <w:pStyle w:val="BodyText"/>
        <w:spacing w:after="100"/>
      </w:pPr>
      <w:r w:rsidRPr="00B275E2">
        <w:t xml:space="preserve">The following </w:t>
      </w:r>
      <w:r w:rsidR="003F32A6" w:rsidRPr="00B275E2">
        <w:t>table</w:t>
      </w:r>
      <w:r w:rsidR="00F90A3F" w:rsidRPr="00B275E2">
        <w:t>s</w:t>
      </w:r>
      <w:r w:rsidR="002508F2">
        <w:t xml:space="preserve"> </w:t>
      </w:r>
      <w:r w:rsidRPr="00B275E2">
        <w:t>detail the information used in the calculations to provide the industrial wastewa</w:t>
      </w:r>
      <w:bookmarkStart w:id="556" w:name="_Ref532907815"/>
      <w:r w:rsidR="009E5828" w:rsidRPr="00B275E2">
        <w:t>ter treatment emission factors.</w:t>
      </w:r>
    </w:p>
    <w:p w14:paraId="67AF1A88" w14:textId="4C62E196" w:rsidR="003F32A6" w:rsidRPr="00B275E2" w:rsidRDefault="00EB4389" w:rsidP="001A61DF">
      <w:pPr>
        <w:pStyle w:val="Tableheading"/>
      </w:pPr>
      <w:bookmarkStart w:id="557" w:name="_Toc111536681"/>
      <w:bookmarkEnd w:id="556"/>
      <w:r w:rsidRPr="00B275E2">
        <w:t xml:space="preserve">Table </w:t>
      </w:r>
      <w:r w:rsidRPr="00B275E2">
        <w:fldChar w:fldCharType="begin"/>
      </w:r>
      <w:r w:rsidRPr="00B275E2">
        <w:instrText>SEQ Table \* ARABIC</w:instrText>
      </w:r>
      <w:r w:rsidRPr="00B275E2">
        <w:fldChar w:fldCharType="separate"/>
      </w:r>
      <w:r>
        <w:rPr>
          <w:noProof/>
        </w:rPr>
        <w:t>76</w:t>
      </w:r>
      <w:r w:rsidRPr="00B275E2">
        <w:fldChar w:fldCharType="end"/>
      </w:r>
      <w:r w:rsidRPr="00B275E2">
        <w:t>:</w:t>
      </w:r>
      <w:r w:rsidRPr="00B275E2">
        <w:tab/>
      </w:r>
      <w:r w:rsidR="003F32A6" w:rsidRPr="00B275E2">
        <w:t xml:space="preserve">Industrial wastewater treatment </w:t>
      </w:r>
      <w:r w:rsidR="00303AA0" w:rsidRPr="00B275E2">
        <w:t>methane</w:t>
      </w:r>
      <w:r w:rsidR="0015092E" w:rsidRPr="00B275E2">
        <w:t xml:space="preserve"> </w:t>
      </w:r>
      <w:r w:rsidR="003F32A6" w:rsidRPr="00B275E2">
        <w:t>emissions calculation information</w:t>
      </w:r>
      <w:bookmarkEnd w:id="557"/>
    </w:p>
    <w:tbl>
      <w:tblPr>
        <w:tblStyle w:val="LightList-Accent11"/>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ook w:val="04A0" w:firstRow="1" w:lastRow="0" w:firstColumn="1" w:lastColumn="0" w:noHBand="0" w:noVBand="1"/>
      </w:tblPr>
      <w:tblGrid>
        <w:gridCol w:w="2533"/>
        <w:gridCol w:w="1153"/>
        <w:gridCol w:w="1701"/>
        <w:gridCol w:w="951"/>
        <w:gridCol w:w="901"/>
        <w:gridCol w:w="1266"/>
      </w:tblGrid>
      <w:tr w:rsidR="00B93232" w:rsidRPr="00B275E2" w14:paraId="7D2CD84B" w14:textId="77777777" w:rsidTr="00E949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3" w:type="dxa"/>
            <w:vMerge w:val="restart"/>
            <w:shd w:val="clear" w:color="auto" w:fill="1B556B" w:themeFill="text2"/>
            <w:vAlign w:val="bottom"/>
          </w:tcPr>
          <w:p w14:paraId="7EA16910" w14:textId="7A09CE9A" w:rsidR="00B93232" w:rsidRPr="00B275E2" w:rsidRDefault="00B93232" w:rsidP="00E949FF">
            <w:pPr>
              <w:pStyle w:val="TableText"/>
              <w:spacing w:before="40" w:after="40"/>
            </w:pPr>
            <w:r w:rsidRPr="00B275E2">
              <w:t>Factor</w:t>
            </w:r>
          </w:p>
        </w:tc>
        <w:tc>
          <w:tcPr>
            <w:tcW w:w="4706" w:type="dxa"/>
            <w:gridSpan w:val="4"/>
            <w:tcBorders>
              <w:bottom w:val="single" w:sz="4" w:space="0" w:color="1B556B" w:themeColor="text2"/>
            </w:tcBorders>
            <w:shd w:val="clear" w:color="auto" w:fill="1B556B" w:themeFill="text2"/>
            <w:vAlign w:val="bottom"/>
          </w:tcPr>
          <w:p w14:paraId="114897C1" w14:textId="77777777" w:rsidR="00B93232" w:rsidRPr="00B275E2" w:rsidRDefault="00B93232" w:rsidP="00E949FF">
            <w:pPr>
              <w:pStyle w:val="TableText"/>
              <w:spacing w:before="40" w:after="40"/>
              <w:jc w:val="center"/>
              <w:cnfStyle w:val="100000000000" w:firstRow="1" w:lastRow="0" w:firstColumn="0" w:lastColumn="0" w:oddVBand="0" w:evenVBand="0" w:oddHBand="0" w:evenHBand="0" w:firstRowFirstColumn="0" w:firstRowLastColumn="0" w:lastRowFirstColumn="0" w:lastRowLastColumn="0"/>
            </w:pPr>
            <w:r w:rsidRPr="00B275E2">
              <w:t>Industry</w:t>
            </w:r>
          </w:p>
        </w:tc>
        <w:tc>
          <w:tcPr>
            <w:tcW w:w="1266" w:type="dxa"/>
            <w:vMerge w:val="restart"/>
            <w:shd w:val="clear" w:color="auto" w:fill="1B556B" w:themeFill="text2"/>
            <w:vAlign w:val="bottom"/>
          </w:tcPr>
          <w:p w14:paraId="28F29437" w14:textId="77777777" w:rsidR="00B93232" w:rsidRPr="00B275E2" w:rsidRDefault="00B93232" w:rsidP="00E949FF">
            <w:pPr>
              <w:pStyle w:val="TableText"/>
              <w:spacing w:before="40" w:after="40"/>
              <w:cnfStyle w:val="100000000000" w:firstRow="1" w:lastRow="0" w:firstColumn="0" w:lastColumn="0" w:oddVBand="0" w:evenVBand="0" w:oddHBand="0" w:evenHBand="0" w:firstRowFirstColumn="0" w:firstRowLastColumn="0" w:lastRowFirstColumn="0" w:lastRowLastColumn="0"/>
            </w:pPr>
            <w:r w:rsidRPr="00B275E2">
              <w:t>Source</w:t>
            </w:r>
          </w:p>
        </w:tc>
      </w:tr>
      <w:tr w:rsidR="00E949FF" w:rsidRPr="00B275E2" w14:paraId="01F98728" w14:textId="77777777" w:rsidTr="00E94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3" w:type="dxa"/>
            <w:vMerge/>
            <w:vAlign w:val="bottom"/>
          </w:tcPr>
          <w:p w14:paraId="3C72BF0A" w14:textId="77777777" w:rsidR="00B93232" w:rsidRPr="00B275E2" w:rsidRDefault="00B93232" w:rsidP="00E949FF">
            <w:pPr>
              <w:pStyle w:val="TableText"/>
              <w:spacing w:before="40" w:after="40"/>
            </w:pPr>
          </w:p>
        </w:tc>
        <w:tc>
          <w:tcPr>
            <w:tcW w:w="1153" w:type="dxa"/>
            <w:shd w:val="clear" w:color="auto" w:fill="1B556B" w:themeFill="text2"/>
            <w:vAlign w:val="bottom"/>
          </w:tcPr>
          <w:p w14:paraId="1917BDF9" w14:textId="77777777" w:rsidR="00B93232" w:rsidRPr="00B275E2" w:rsidRDefault="00B93232" w:rsidP="00E949FF">
            <w:pPr>
              <w:pStyle w:val="TableTextbold"/>
              <w:spacing w:before="0" w:after="40"/>
              <w:jc w:val="right"/>
              <w:cnfStyle w:val="000000100000" w:firstRow="0" w:lastRow="0" w:firstColumn="0" w:lastColumn="0" w:oddVBand="0" w:evenVBand="0" w:oddHBand="1" w:evenHBand="0" w:firstRowFirstColumn="0" w:firstRowLastColumn="0" w:lastRowFirstColumn="0" w:lastRowLastColumn="0"/>
            </w:pPr>
            <w:r w:rsidRPr="00B275E2">
              <w:t>Pulp and paper</w:t>
            </w:r>
          </w:p>
        </w:tc>
        <w:tc>
          <w:tcPr>
            <w:tcW w:w="1701" w:type="dxa"/>
            <w:shd w:val="clear" w:color="auto" w:fill="1B556B" w:themeFill="text2"/>
            <w:vAlign w:val="bottom"/>
          </w:tcPr>
          <w:p w14:paraId="3EDFBD0B" w14:textId="6B1EF311" w:rsidR="00B93232" w:rsidRPr="00B275E2" w:rsidRDefault="00B93232" w:rsidP="00E949FF">
            <w:pPr>
              <w:pStyle w:val="TableTextbold"/>
              <w:spacing w:before="0" w:after="40"/>
              <w:jc w:val="right"/>
              <w:cnfStyle w:val="000000100000" w:firstRow="0" w:lastRow="0" w:firstColumn="0" w:lastColumn="0" w:oddVBand="0" w:evenVBand="0" w:oddHBand="1" w:evenHBand="0" w:firstRowFirstColumn="0" w:firstRowLastColumn="0" w:lastRowFirstColumn="0" w:lastRowLastColumn="0"/>
            </w:pPr>
            <w:r w:rsidRPr="00B275E2">
              <w:t>Meat</w:t>
            </w:r>
            <w:r w:rsidR="00E949FF">
              <w:br/>
            </w:r>
            <w:r w:rsidRPr="00B275E2">
              <w:t xml:space="preserve"> (excluding poultry)</w:t>
            </w:r>
          </w:p>
        </w:tc>
        <w:tc>
          <w:tcPr>
            <w:tcW w:w="951" w:type="dxa"/>
            <w:shd w:val="clear" w:color="auto" w:fill="1B556B" w:themeFill="text2"/>
            <w:vAlign w:val="bottom"/>
          </w:tcPr>
          <w:p w14:paraId="286422B1" w14:textId="77777777" w:rsidR="00B93232" w:rsidRPr="00B275E2" w:rsidRDefault="00B93232" w:rsidP="00E949FF">
            <w:pPr>
              <w:pStyle w:val="TableTextbold"/>
              <w:spacing w:before="0" w:after="40"/>
              <w:jc w:val="right"/>
              <w:cnfStyle w:val="000000100000" w:firstRow="0" w:lastRow="0" w:firstColumn="0" w:lastColumn="0" w:oddVBand="0" w:evenVBand="0" w:oddHBand="1" w:evenHBand="0" w:firstRowFirstColumn="0" w:firstRowLastColumn="0" w:lastRowFirstColumn="0" w:lastRowLastColumn="0"/>
            </w:pPr>
            <w:r w:rsidRPr="00B275E2">
              <w:t>Poultry</w:t>
            </w:r>
          </w:p>
        </w:tc>
        <w:tc>
          <w:tcPr>
            <w:tcW w:w="901" w:type="dxa"/>
            <w:shd w:val="clear" w:color="auto" w:fill="1B556B" w:themeFill="text2"/>
            <w:vAlign w:val="bottom"/>
          </w:tcPr>
          <w:p w14:paraId="2493B605" w14:textId="77777777" w:rsidR="00B93232" w:rsidRPr="00B275E2" w:rsidRDefault="00B93232" w:rsidP="00E949FF">
            <w:pPr>
              <w:pStyle w:val="TableTextbold"/>
              <w:spacing w:before="40" w:after="40"/>
              <w:jc w:val="right"/>
              <w:cnfStyle w:val="000000100000" w:firstRow="0" w:lastRow="0" w:firstColumn="0" w:lastColumn="0" w:oddVBand="0" w:evenVBand="0" w:oddHBand="1" w:evenHBand="0" w:firstRowFirstColumn="0" w:firstRowLastColumn="0" w:lastRowFirstColumn="0" w:lastRowLastColumn="0"/>
            </w:pPr>
            <w:r w:rsidRPr="00B275E2">
              <w:t>Wine</w:t>
            </w:r>
          </w:p>
        </w:tc>
        <w:tc>
          <w:tcPr>
            <w:tcW w:w="1266" w:type="dxa"/>
            <w:vMerge/>
            <w:vAlign w:val="bottom"/>
          </w:tcPr>
          <w:p w14:paraId="51BAAFDD" w14:textId="77777777" w:rsidR="00B93232" w:rsidRPr="00B275E2" w:rsidRDefault="00B93232" w:rsidP="00E949FF">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p>
        </w:tc>
      </w:tr>
      <w:tr w:rsidR="00B93232" w:rsidRPr="00B275E2" w14:paraId="1DFAF064" w14:textId="77777777" w:rsidTr="00EC0FF5">
        <w:tc>
          <w:tcPr>
            <w:cnfStyle w:val="001000000000" w:firstRow="0" w:lastRow="0" w:firstColumn="1" w:lastColumn="0" w:oddVBand="0" w:evenVBand="0" w:oddHBand="0" w:evenHBand="0" w:firstRowFirstColumn="0" w:firstRowLastColumn="0" w:lastRowFirstColumn="0" w:lastRowLastColumn="0"/>
            <w:tcW w:w="2533" w:type="dxa"/>
            <w:tcBorders>
              <w:left w:val="single" w:sz="4" w:space="0" w:color="FFFFFF" w:themeColor="background1"/>
            </w:tcBorders>
          </w:tcPr>
          <w:p w14:paraId="5CC2C326" w14:textId="7376224C" w:rsidR="00B93232" w:rsidRPr="00B275E2" w:rsidRDefault="003F32A6" w:rsidP="00E949FF">
            <w:pPr>
              <w:pStyle w:val="TableText"/>
              <w:spacing w:before="40" w:after="40"/>
              <w:rPr>
                <w:b w:val="0"/>
              </w:rPr>
            </w:pPr>
            <w:r w:rsidRPr="00B275E2">
              <w:rPr>
                <w:b w:val="0"/>
              </w:rPr>
              <w:t>B</w:t>
            </w:r>
            <w:r w:rsidR="00B93232" w:rsidRPr="00B275E2">
              <w:rPr>
                <w:b w:val="0"/>
              </w:rPr>
              <w:t>iodegradable chemical oxygen demand load (kg</w:t>
            </w:r>
            <w:r w:rsidR="007D559B" w:rsidRPr="00B275E2">
              <w:rPr>
                <w:b w:val="0"/>
              </w:rPr>
              <w:t> </w:t>
            </w:r>
            <w:r w:rsidR="00B93232" w:rsidRPr="00B275E2">
              <w:rPr>
                <w:b w:val="0"/>
              </w:rPr>
              <w:t>CODb/tonne)</w:t>
            </w:r>
          </w:p>
        </w:tc>
        <w:tc>
          <w:tcPr>
            <w:tcW w:w="1153" w:type="dxa"/>
          </w:tcPr>
          <w:p w14:paraId="36C57CCC" w14:textId="77777777" w:rsidR="00B93232" w:rsidRPr="00B275E2" w:rsidRDefault="00B93232" w:rsidP="00E949FF">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275E2">
              <w:t>36</w:t>
            </w:r>
          </w:p>
        </w:tc>
        <w:tc>
          <w:tcPr>
            <w:tcW w:w="1701" w:type="dxa"/>
          </w:tcPr>
          <w:p w14:paraId="51516F7B" w14:textId="77777777" w:rsidR="00B93232" w:rsidRPr="00B275E2" w:rsidRDefault="00B93232" w:rsidP="00E949FF">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275E2">
              <w:t>50</w:t>
            </w:r>
          </w:p>
        </w:tc>
        <w:tc>
          <w:tcPr>
            <w:tcW w:w="951" w:type="dxa"/>
          </w:tcPr>
          <w:p w14:paraId="3C2EA590" w14:textId="77777777" w:rsidR="00B93232" w:rsidRPr="00B275E2" w:rsidRDefault="00B93232" w:rsidP="00E949FF">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275E2">
              <w:t>50</w:t>
            </w:r>
          </w:p>
        </w:tc>
        <w:tc>
          <w:tcPr>
            <w:tcW w:w="901" w:type="dxa"/>
          </w:tcPr>
          <w:p w14:paraId="64926405" w14:textId="77777777" w:rsidR="00B93232" w:rsidRPr="00B275E2" w:rsidRDefault="00B93232" w:rsidP="00E949FF">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275E2">
              <w:t>12.42</w:t>
            </w:r>
          </w:p>
        </w:tc>
        <w:tc>
          <w:tcPr>
            <w:tcW w:w="1266" w:type="dxa"/>
            <w:tcBorders>
              <w:right w:val="single" w:sz="4" w:space="0" w:color="FFFFFF" w:themeColor="background1"/>
            </w:tcBorders>
          </w:tcPr>
          <w:p w14:paraId="5F14046F" w14:textId="4D3EDFB7" w:rsidR="00B93232" w:rsidRPr="00B275E2" w:rsidRDefault="00954B9C" w:rsidP="00E949FF">
            <w:pPr>
              <w:pStyle w:val="TableText"/>
              <w:spacing w:before="40" w:after="40"/>
              <w:cnfStyle w:val="000000000000" w:firstRow="0" w:lastRow="0" w:firstColumn="0" w:lastColumn="0" w:oddVBand="0" w:evenVBand="0" w:oddHBand="0" w:evenHBand="0" w:firstRowFirstColumn="0" w:firstRowLastColumn="0" w:lastRowFirstColumn="0" w:lastRowLastColumn="0"/>
            </w:pPr>
            <w:hyperlink r:id="rId99" w:history="1">
              <w:r w:rsidR="00B93232" w:rsidRPr="00FA5EE7">
                <w:rPr>
                  <w:rStyle w:val="Hyperlink"/>
                </w:rPr>
                <w:t>Cardno (2015)</w:t>
              </w:r>
            </w:hyperlink>
          </w:p>
        </w:tc>
      </w:tr>
      <w:tr w:rsidR="00B93232" w:rsidRPr="00B275E2" w14:paraId="616497B6" w14:textId="77777777" w:rsidTr="00EC0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3" w:type="dxa"/>
            <w:tcBorders>
              <w:left w:val="single" w:sz="4" w:space="0" w:color="FFFFFF" w:themeColor="background1"/>
            </w:tcBorders>
          </w:tcPr>
          <w:p w14:paraId="3EE4EC8B" w14:textId="1FD2A734" w:rsidR="00B93232" w:rsidRPr="00B275E2" w:rsidRDefault="003F32A6" w:rsidP="00E949FF">
            <w:pPr>
              <w:pStyle w:val="TableText"/>
              <w:spacing w:before="40" w:after="40"/>
              <w:rPr>
                <w:b w:val="0"/>
              </w:rPr>
            </w:pPr>
            <w:r w:rsidRPr="00B275E2">
              <w:rPr>
                <w:b w:val="0"/>
              </w:rPr>
              <w:t>CH</w:t>
            </w:r>
            <w:r w:rsidRPr="00B275E2">
              <w:rPr>
                <w:b w:val="0"/>
                <w:vertAlign w:val="subscript"/>
              </w:rPr>
              <w:t xml:space="preserve">4 </w:t>
            </w:r>
            <w:r w:rsidR="007D559B" w:rsidRPr="00B275E2">
              <w:rPr>
                <w:b w:val="0"/>
              </w:rPr>
              <w:t>emission factor (kg </w:t>
            </w:r>
            <w:r w:rsidR="00B93232" w:rsidRPr="00B275E2">
              <w:rPr>
                <w:b w:val="0"/>
              </w:rPr>
              <w:t>CH</w:t>
            </w:r>
            <w:r w:rsidR="00B93232" w:rsidRPr="00B275E2">
              <w:rPr>
                <w:b w:val="0"/>
                <w:vertAlign w:val="subscript"/>
              </w:rPr>
              <w:t>4</w:t>
            </w:r>
            <w:r w:rsidR="00B93232" w:rsidRPr="00B275E2">
              <w:rPr>
                <w:b w:val="0"/>
              </w:rPr>
              <w:t>/kg</w:t>
            </w:r>
            <w:r w:rsidR="007D559B" w:rsidRPr="00B275E2">
              <w:rPr>
                <w:b w:val="0"/>
              </w:rPr>
              <w:t> </w:t>
            </w:r>
            <w:r w:rsidR="00B93232" w:rsidRPr="00B275E2">
              <w:rPr>
                <w:b w:val="0"/>
              </w:rPr>
              <w:t>CODb)</w:t>
            </w:r>
          </w:p>
        </w:tc>
        <w:tc>
          <w:tcPr>
            <w:tcW w:w="1153" w:type="dxa"/>
          </w:tcPr>
          <w:p w14:paraId="6F535D85" w14:textId="77777777" w:rsidR="00B93232" w:rsidRPr="00B275E2" w:rsidRDefault="00B93232" w:rsidP="00E949FF">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275E2">
              <w:t>0.0117</w:t>
            </w:r>
          </w:p>
        </w:tc>
        <w:tc>
          <w:tcPr>
            <w:tcW w:w="1701" w:type="dxa"/>
          </w:tcPr>
          <w:p w14:paraId="6C37AD07" w14:textId="77777777" w:rsidR="00B93232" w:rsidRPr="00B275E2" w:rsidRDefault="00B93232" w:rsidP="00E949FF">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275E2">
              <w:t>0.03575</w:t>
            </w:r>
          </w:p>
        </w:tc>
        <w:tc>
          <w:tcPr>
            <w:tcW w:w="951" w:type="dxa"/>
          </w:tcPr>
          <w:p w14:paraId="2EF5CD2C" w14:textId="77777777" w:rsidR="00B93232" w:rsidRPr="00B275E2" w:rsidRDefault="00B93232" w:rsidP="00E949FF">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275E2">
              <w:t>0.034375</w:t>
            </w:r>
          </w:p>
        </w:tc>
        <w:tc>
          <w:tcPr>
            <w:tcW w:w="901" w:type="dxa"/>
          </w:tcPr>
          <w:p w14:paraId="26CCCC8E" w14:textId="77777777" w:rsidR="00B93232" w:rsidRPr="00B275E2" w:rsidRDefault="00B93232" w:rsidP="00E949FF">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275E2">
              <w:t>0.016661</w:t>
            </w:r>
          </w:p>
        </w:tc>
        <w:tc>
          <w:tcPr>
            <w:tcW w:w="1266" w:type="dxa"/>
            <w:tcBorders>
              <w:right w:val="single" w:sz="4" w:space="0" w:color="FFFFFF" w:themeColor="background1"/>
            </w:tcBorders>
          </w:tcPr>
          <w:p w14:paraId="19D02693" w14:textId="34A73875" w:rsidR="00B93232" w:rsidRPr="00B275E2" w:rsidRDefault="00954B9C" w:rsidP="00E949FF">
            <w:pPr>
              <w:pStyle w:val="TableText"/>
              <w:spacing w:before="40" w:after="40"/>
              <w:cnfStyle w:val="000000100000" w:firstRow="0" w:lastRow="0" w:firstColumn="0" w:lastColumn="0" w:oddVBand="0" w:evenVBand="0" w:oddHBand="1" w:evenHBand="0" w:firstRowFirstColumn="0" w:firstRowLastColumn="0" w:lastRowFirstColumn="0" w:lastRowLastColumn="0"/>
            </w:pPr>
            <w:hyperlink r:id="rId100" w:history="1">
              <w:r w:rsidR="00B93232" w:rsidRPr="00FA5EE7">
                <w:rPr>
                  <w:rStyle w:val="Hyperlink"/>
                </w:rPr>
                <w:t>Cardno (2015)</w:t>
              </w:r>
            </w:hyperlink>
          </w:p>
        </w:tc>
      </w:tr>
      <w:tr w:rsidR="00B93232" w:rsidRPr="00B275E2" w14:paraId="6BAD6D01" w14:textId="77777777" w:rsidTr="00EC0FF5">
        <w:tc>
          <w:tcPr>
            <w:cnfStyle w:val="001000000000" w:firstRow="0" w:lastRow="0" w:firstColumn="1" w:lastColumn="0" w:oddVBand="0" w:evenVBand="0" w:oddHBand="0" w:evenHBand="0" w:firstRowFirstColumn="0" w:firstRowLastColumn="0" w:lastRowFirstColumn="0" w:lastRowLastColumn="0"/>
            <w:tcW w:w="2533" w:type="dxa"/>
            <w:tcBorders>
              <w:left w:val="single" w:sz="4" w:space="0" w:color="FFFFFF" w:themeColor="background1"/>
            </w:tcBorders>
          </w:tcPr>
          <w:p w14:paraId="6B1D17CD" w14:textId="77777777" w:rsidR="00B93232" w:rsidRPr="00B275E2" w:rsidRDefault="00B93232" w:rsidP="00E949FF">
            <w:pPr>
              <w:pStyle w:val="TableText"/>
              <w:spacing w:before="40" w:after="40"/>
              <w:rPr>
                <w:b w:val="0"/>
              </w:rPr>
            </w:pPr>
            <w:r w:rsidRPr="00B275E2">
              <w:rPr>
                <w:b w:val="0"/>
              </w:rPr>
              <w:t>GWP</w:t>
            </w:r>
          </w:p>
        </w:tc>
        <w:tc>
          <w:tcPr>
            <w:tcW w:w="1153" w:type="dxa"/>
          </w:tcPr>
          <w:p w14:paraId="562708E2" w14:textId="77777777" w:rsidR="00B93232" w:rsidRPr="00B275E2" w:rsidRDefault="00B93232" w:rsidP="00E949FF">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275E2">
              <w:t>25</w:t>
            </w:r>
          </w:p>
        </w:tc>
        <w:tc>
          <w:tcPr>
            <w:tcW w:w="1701" w:type="dxa"/>
          </w:tcPr>
          <w:p w14:paraId="328CB838" w14:textId="77777777" w:rsidR="00B93232" w:rsidRPr="00B275E2" w:rsidRDefault="00B93232" w:rsidP="00E949FF">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275E2">
              <w:t>25</w:t>
            </w:r>
          </w:p>
        </w:tc>
        <w:tc>
          <w:tcPr>
            <w:tcW w:w="951" w:type="dxa"/>
          </w:tcPr>
          <w:p w14:paraId="5B840852" w14:textId="77777777" w:rsidR="00B93232" w:rsidRPr="00B275E2" w:rsidRDefault="00B93232" w:rsidP="00E949FF">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275E2">
              <w:t>25</w:t>
            </w:r>
          </w:p>
        </w:tc>
        <w:tc>
          <w:tcPr>
            <w:tcW w:w="901" w:type="dxa"/>
          </w:tcPr>
          <w:p w14:paraId="734012AB" w14:textId="77777777" w:rsidR="00B93232" w:rsidRPr="00B275E2" w:rsidRDefault="00B93232" w:rsidP="00E949FF">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275E2">
              <w:t>25</w:t>
            </w:r>
          </w:p>
        </w:tc>
        <w:tc>
          <w:tcPr>
            <w:tcW w:w="1266" w:type="dxa"/>
            <w:tcBorders>
              <w:right w:val="single" w:sz="4" w:space="0" w:color="FFFFFF" w:themeColor="background1"/>
            </w:tcBorders>
          </w:tcPr>
          <w:p w14:paraId="7C192500" w14:textId="448B411C" w:rsidR="00B93232" w:rsidRPr="00B275E2" w:rsidRDefault="00B93232" w:rsidP="00E949FF">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275E2">
              <w:t>IPCC AR4</w:t>
            </w:r>
          </w:p>
        </w:tc>
      </w:tr>
    </w:tbl>
    <w:p w14:paraId="6E37D488" w14:textId="1623630E" w:rsidR="00A959E4" w:rsidRPr="00B275E2" w:rsidRDefault="00A959E4" w:rsidP="00E949FF">
      <w:pPr>
        <w:pStyle w:val="BodyText"/>
        <w:spacing w:before="200" w:after="200"/>
      </w:pPr>
      <w:r w:rsidRPr="00B275E2">
        <w:t xml:space="preserve">It is </w:t>
      </w:r>
      <w:r w:rsidR="002F3D2A" w:rsidRPr="00B275E2">
        <w:t xml:space="preserve">assumed </w:t>
      </w:r>
      <w:r w:rsidRPr="00B275E2">
        <w:t xml:space="preserve">that the methods used to treat wastewater from dairy processing do not result in </w:t>
      </w:r>
      <w:r w:rsidR="008D6410" w:rsidRPr="00B275E2">
        <w:t>methane</w:t>
      </w:r>
      <w:r w:rsidR="003F32A6" w:rsidRPr="00B275E2">
        <w:t xml:space="preserve"> </w:t>
      </w:r>
      <w:r w:rsidRPr="00B275E2">
        <w:t>emissions.</w:t>
      </w:r>
    </w:p>
    <w:p w14:paraId="564C1748" w14:textId="5269AFF7" w:rsidR="00A959E4" w:rsidRPr="00B275E2" w:rsidRDefault="00A959E4" w:rsidP="00E949FF">
      <w:pPr>
        <w:pStyle w:val="BodyText"/>
        <w:spacing w:before="200" w:after="200"/>
      </w:pPr>
      <w:r w:rsidRPr="00B275E2">
        <w:t xml:space="preserve">The equation used to calculate </w:t>
      </w:r>
      <w:r w:rsidR="008D6410" w:rsidRPr="00B275E2">
        <w:t>nitrous oxide</w:t>
      </w:r>
      <w:r w:rsidR="003F32A6" w:rsidRPr="00B275E2">
        <w:t xml:space="preserve"> emissions</w:t>
      </w:r>
      <w:r w:rsidRPr="00B275E2">
        <w:t xml:space="preserve"> is</w:t>
      </w:r>
      <w:r w:rsidR="003F32A6" w:rsidRPr="00B275E2">
        <w:t>:</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3C5214" w:rsidRPr="00B275E2" w14:paraId="35844BE0" w14:textId="77777777" w:rsidTr="00F638B4">
        <w:tc>
          <w:tcPr>
            <w:tcW w:w="0" w:type="auto"/>
            <w:shd w:val="clear" w:color="auto" w:fill="D2DDE1" w:themeFill="background2"/>
          </w:tcPr>
          <w:p w14:paraId="3E434394" w14:textId="72085C37" w:rsidR="003C5214" w:rsidRPr="00B275E2" w:rsidRDefault="003C5214" w:rsidP="00E949FF">
            <w:pPr>
              <w:pStyle w:val="Blueboxtext"/>
              <w:spacing w:before="180" w:after="180"/>
              <w:ind w:left="0"/>
            </w:pPr>
            <m:oMathPara>
              <m:oMath>
                <m:r>
                  <w:rPr>
                    <w:rFonts w:ascii="Cambria Math" w:hAnsi="Cambria Math"/>
                  </w:rPr>
                  <w:lastRenderedPageBreak/>
                  <m:t>mbCOD ×N:COD ×EF ×</m:t>
                </m:r>
                <m:d>
                  <m:dPr>
                    <m:ctrlPr>
                      <w:rPr>
                        <w:rFonts w:ascii="Cambria Math" w:hAnsi="Cambria Math"/>
                        <w:i/>
                      </w:rPr>
                    </m:ctrlPr>
                  </m:dPr>
                  <m:e>
                    <m:f>
                      <m:fPr>
                        <m:ctrlPr>
                          <w:rPr>
                            <w:rFonts w:ascii="Cambria Math" w:hAnsi="Cambria Math"/>
                            <w:i/>
                          </w:rPr>
                        </m:ctrlPr>
                      </m:fPr>
                      <m:num>
                        <m:r>
                          <w:rPr>
                            <w:rFonts w:ascii="Cambria Math" w:hAnsi="Cambria Math"/>
                          </w:rPr>
                          <m:t>44</m:t>
                        </m:r>
                      </m:num>
                      <m:den>
                        <m:r>
                          <w:rPr>
                            <w:rFonts w:ascii="Cambria Math" w:hAnsi="Cambria Math"/>
                          </w:rPr>
                          <m:t>28</m:t>
                        </m:r>
                      </m:den>
                    </m:f>
                  </m:e>
                </m:d>
                <m:r>
                  <w:rPr>
                    <w:rFonts w:ascii="Cambria Math" w:hAnsi="Cambria Math"/>
                  </w:rPr>
                  <m:t>×GWP=N=nitrous oxide emission factor (</m:t>
                </m:r>
                <m:f>
                  <m:fPr>
                    <m:ctrlPr>
                      <w:rPr>
                        <w:rFonts w:ascii="Cambria Math" w:hAnsi="Cambria Math"/>
                        <w:i/>
                      </w:rPr>
                    </m:ctrlPr>
                  </m:fPr>
                  <m:num>
                    <m:r>
                      <w:rPr>
                        <w:rFonts w:ascii="Cambria Math" w:hAnsi="Cambria Math"/>
                      </w:rPr>
                      <m:t>kg</m:t>
                    </m:r>
                  </m:num>
                  <m:den>
                    <m:r>
                      <w:rPr>
                        <w:rFonts w:ascii="Cambria Math" w:hAnsi="Cambria Math"/>
                      </w:rPr>
                      <m:t>tonnes</m:t>
                    </m:r>
                  </m:den>
                </m:f>
                <m:r>
                  <w:rPr>
                    <w:rFonts w:ascii="Cambria Math" w:hAnsi="Cambria Math"/>
                  </w:rPr>
                  <m:t>)</m:t>
                </m:r>
              </m:oMath>
            </m:oMathPara>
          </w:p>
        </w:tc>
      </w:tr>
    </w:tbl>
    <w:p w14:paraId="0B7DDC47" w14:textId="77777777" w:rsidR="00A959E4" w:rsidRPr="00B275E2" w:rsidRDefault="00A959E4" w:rsidP="00E949FF">
      <w:pPr>
        <w:pStyle w:val="BodyText"/>
        <w:keepNext/>
        <w:spacing w:before="240" w:after="100"/>
      </w:pPr>
      <w:r w:rsidRPr="00B275E2">
        <w:t>Where:</w:t>
      </w:r>
    </w:p>
    <w:p w14:paraId="767859E5" w14:textId="67316FB3" w:rsidR="00A959E4" w:rsidRPr="00B275E2" w:rsidRDefault="484C2F2D" w:rsidP="00E949FF">
      <w:pPr>
        <w:pStyle w:val="Bullet"/>
        <w:keepNext/>
        <w:spacing w:after="100"/>
      </w:pPr>
      <w:r>
        <w:t>mbCOD = unit biodegradable COD load (kg</w:t>
      </w:r>
      <w:r w:rsidR="7D2EBF0E">
        <w:t xml:space="preserve"> </w:t>
      </w:r>
      <w:r>
        <w:t>CODb/t)</w:t>
      </w:r>
    </w:p>
    <w:p w14:paraId="021D98B0" w14:textId="4B588432" w:rsidR="00A959E4" w:rsidRPr="00B275E2" w:rsidRDefault="14FAB11F" w:rsidP="00E949FF">
      <w:pPr>
        <w:pStyle w:val="Bullet"/>
        <w:spacing w:after="100"/>
      </w:pPr>
      <w:r>
        <w:t xml:space="preserve">N:COD = </w:t>
      </w:r>
      <w:r w:rsidR="4EF13EB2">
        <w:t>t</w:t>
      </w:r>
      <w:r>
        <w:t>otal nitrogen to biodegradable COD ratio</w:t>
      </w:r>
    </w:p>
    <w:p w14:paraId="44773A08" w14:textId="05134EEF" w:rsidR="00A959E4" w:rsidRPr="00B275E2" w:rsidRDefault="00A959E4" w:rsidP="00E949FF">
      <w:pPr>
        <w:pStyle w:val="Bullet"/>
        <w:spacing w:after="100"/>
      </w:pPr>
      <w:r w:rsidRPr="00B275E2">
        <w:t xml:space="preserve">EF = </w:t>
      </w:r>
      <w:r w:rsidR="00E376C3" w:rsidRPr="00B275E2">
        <w:t>e</w:t>
      </w:r>
      <w:r w:rsidRPr="00B275E2">
        <w:t xml:space="preserve">mission </w:t>
      </w:r>
      <w:r w:rsidR="00E376C3" w:rsidRPr="00B275E2">
        <w:t>f</w:t>
      </w:r>
      <w:r w:rsidRPr="00B275E2">
        <w:t>actor</w:t>
      </w:r>
    </w:p>
    <w:p w14:paraId="2CFA1130" w14:textId="413B09B5" w:rsidR="00A959E4" w:rsidRPr="00B275E2" w:rsidRDefault="00A959E4" w:rsidP="00E949FF">
      <w:pPr>
        <w:pStyle w:val="Bullet"/>
        <w:spacing w:after="100"/>
      </w:pPr>
      <w:r w:rsidRPr="00B275E2">
        <w:t xml:space="preserve">44/28 = </w:t>
      </w:r>
      <w:r w:rsidR="00FF78E6" w:rsidRPr="00B275E2">
        <w:t>r</w:t>
      </w:r>
      <w:r w:rsidRPr="00B275E2">
        <w:t>atio of N</w:t>
      </w:r>
      <w:r w:rsidRPr="00B275E2">
        <w:rPr>
          <w:vertAlign w:val="subscript"/>
        </w:rPr>
        <w:t>2</w:t>
      </w:r>
      <w:r w:rsidR="0015092E" w:rsidRPr="00B275E2">
        <w:t>O</w:t>
      </w:r>
      <w:r w:rsidRPr="00B275E2">
        <w:t xml:space="preserve"> to N</w:t>
      </w:r>
      <w:r w:rsidRPr="00B275E2">
        <w:rPr>
          <w:vertAlign w:val="subscript"/>
        </w:rPr>
        <w:t>2</w:t>
      </w:r>
    </w:p>
    <w:p w14:paraId="10722579" w14:textId="00405C99" w:rsidR="00A959E4" w:rsidRPr="00B275E2" w:rsidRDefault="00A959E4" w:rsidP="00E949FF">
      <w:pPr>
        <w:pStyle w:val="Bullet"/>
        <w:spacing w:after="100"/>
      </w:pPr>
      <w:r w:rsidRPr="00B275E2">
        <w:t xml:space="preserve">GWP = </w:t>
      </w:r>
      <w:r w:rsidR="00E376C3" w:rsidRPr="00B275E2">
        <w:t>g</w:t>
      </w:r>
      <w:r w:rsidRPr="00B275E2">
        <w:t xml:space="preserve">lobal </w:t>
      </w:r>
      <w:r w:rsidR="00E376C3" w:rsidRPr="00B275E2">
        <w:t>w</w:t>
      </w:r>
      <w:r w:rsidRPr="00B275E2">
        <w:t xml:space="preserve">arming </w:t>
      </w:r>
      <w:r w:rsidR="00E376C3" w:rsidRPr="00B275E2">
        <w:t>p</w:t>
      </w:r>
      <w:r w:rsidRPr="00B275E2">
        <w:t>otential</w:t>
      </w:r>
      <w:r w:rsidR="008A60C4" w:rsidRPr="00B275E2">
        <w:t>.</w:t>
      </w:r>
    </w:p>
    <w:p w14:paraId="4D368F38" w14:textId="4398CA13" w:rsidR="00B93232" w:rsidRPr="00B275E2" w:rsidRDefault="00B93232" w:rsidP="007F0B1E">
      <w:pPr>
        <w:pStyle w:val="BodyText"/>
      </w:pPr>
      <w:r w:rsidRPr="00B275E2">
        <w:t>The following</w:t>
      </w:r>
      <w:r w:rsidR="003F32A6" w:rsidRPr="00B275E2">
        <w:t xml:space="preserve"> table</w:t>
      </w:r>
      <w:r w:rsidRPr="00B275E2">
        <w:t xml:space="preserve"> details the information used in the calculations to provide the industrial wastewater treatment emission factors. Note that for dairy processing</w:t>
      </w:r>
      <w:r w:rsidR="00E376C3" w:rsidRPr="00B275E2">
        <w:t>,</w:t>
      </w:r>
      <w:r w:rsidRPr="00B275E2">
        <w:t xml:space="preserve"> </w:t>
      </w:r>
      <w:r w:rsidR="0015092E" w:rsidRPr="00B275E2">
        <w:t xml:space="preserve">users should first convert </w:t>
      </w:r>
      <w:r w:rsidRPr="00B275E2">
        <w:t>the quantity of milk to tonnes using a</w:t>
      </w:r>
      <w:r w:rsidR="002F3D2A" w:rsidRPr="00B275E2">
        <w:t xml:space="preserve"> density</w:t>
      </w:r>
      <w:r w:rsidRPr="00B275E2">
        <w:t xml:space="preserve"> factor of 1.031 tonnes per m</w:t>
      </w:r>
      <w:r w:rsidRPr="00B275E2">
        <w:rPr>
          <w:vertAlign w:val="superscript"/>
        </w:rPr>
        <w:t>3</w:t>
      </w:r>
      <w:r w:rsidRPr="00B275E2">
        <w:t>.</w:t>
      </w:r>
    </w:p>
    <w:p w14:paraId="6D351232" w14:textId="0F196060" w:rsidR="0015092E" w:rsidRPr="00B275E2" w:rsidRDefault="00EB4389" w:rsidP="00F638B4">
      <w:pPr>
        <w:pStyle w:val="Tableheading"/>
      </w:pPr>
      <w:bookmarkStart w:id="558" w:name="_Toc111536682"/>
      <w:r w:rsidRPr="00B275E2">
        <w:t xml:space="preserve">Table </w:t>
      </w:r>
      <w:r w:rsidRPr="00B275E2">
        <w:fldChar w:fldCharType="begin"/>
      </w:r>
      <w:r w:rsidRPr="00B275E2">
        <w:instrText>SEQ Table \* ARABIC</w:instrText>
      </w:r>
      <w:r w:rsidRPr="00B275E2">
        <w:fldChar w:fldCharType="separate"/>
      </w:r>
      <w:r>
        <w:rPr>
          <w:noProof/>
        </w:rPr>
        <w:t>77</w:t>
      </w:r>
      <w:r w:rsidRPr="00B275E2">
        <w:fldChar w:fldCharType="end"/>
      </w:r>
      <w:r w:rsidRPr="00B275E2">
        <w:t>:</w:t>
      </w:r>
      <w:r w:rsidRPr="00B275E2">
        <w:tab/>
      </w:r>
      <w:r w:rsidR="0015092E" w:rsidRPr="00B275E2">
        <w:t xml:space="preserve">Industrial wastewater treatment </w:t>
      </w:r>
      <w:r w:rsidR="00303AA0" w:rsidRPr="00B275E2">
        <w:t>nitrous oxide</w:t>
      </w:r>
      <w:r w:rsidR="0015092E" w:rsidRPr="00B275E2">
        <w:t xml:space="preserve"> emissions calculation information</w:t>
      </w:r>
      <w:bookmarkEnd w:id="558"/>
    </w:p>
    <w:tbl>
      <w:tblPr>
        <w:tblStyle w:val="LightList-Accent11"/>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ook w:val="04A0" w:firstRow="1" w:lastRow="0" w:firstColumn="1" w:lastColumn="0" w:noHBand="0" w:noVBand="1"/>
      </w:tblPr>
      <w:tblGrid>
        <w:gridCol w:w="2835"/>
        <w:gridCol w:w="1276"/>
        <w:gridCol w:w="1762"/>
        <w:gridCol w:w="1127"/>
        <w:gridCol w:w="1505"/>
      </w:tblGrid>
      <w:tr w:rsidR="00B93232" w:rsidRPr="00B275E2" w14:paraId="489D216D" w14:textId="77777777" w:rsidTr="00E949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Merge w:val="restart"/>
            <w:shd w:val="clear" w:color="auto" w:fill="1B556B" w:themeFill="text2"/>
            <w:vAlign w:val="bottom"/>
          </w:tcPr>
          <w:p w14:paraId="4121341B" w14:textId="77777777" w:rsidR="00B93232" w:rsidRPr="00B275E2" w:rsidRDefault="00B93232" w:rsidP="007F0B1E">
            <w:pPr>
              <w:pStyle w:val="TableTextbold"/>
              <w:rPr>
                <w:b/>
                <w:bCs w:val="0"/>
              </w:rPr>
            </w:pPr>
            <w:r w:rsidRPr="00B275E2">
              <w:rPr>
                <w:b/>
                <w:bCs w:val="0"/>
              </w:rPr>
              <w:t>Factor</w:t>
            </w:r>
          </w:p>
        </w:tc>
        <w:tc>
          <w:tcPr>
            <w:tcW w:w="4165" w:type="dxa"/>
            <w:gridSpan w:val="3"/>
            <w:tcBorders>
              <w:bottom w:val="single" w:sz="4" w:space="0" w:color="1B556B" w:themeColor="text2"/>
            </w:tcBorders>
            <w:shd w:val="clear" w:color="auto" w:fill="1B556B" w:themeFill="text2"/>
            <w:vAlign w:val="bottom"/>
          </w:tcPr>
          <w:p w14:paraId="31D8C4B4" w14:textId="77777777" w:rsidR="00B93232" w:rsidRPr="00B275E2" w:rsidRDefault="00B93232" w:rsidP="007F0B1E">
            <w:pPr>
              <w:pStyle w:val="TableTextbold"/>
              <w:spacing w:after="0"/>
              <w:jc w:val="center"/>
              <w:cnfStyle w:val="100000000000" w:firstRow="1" w:lastRow="0" w:firstColumn="0" w:lastColumn="0" w:oddVBand="0" w:evenVBand="0" w:oddHBand="0" w:evenHBand="0" w:firstRowFirstColumn="0" w:firstRowLastColumn="0" w:lastRowFirstColumn="0" w:lastRowLastColumn="0"/>
              <w:rPr>
                <w:b/>
                <w:bCs w:val="0"/>
              </w:rPr>
            </w:pPr>
            <w:r w:rsidRPr="00B275E2">
              <w:rPr>
                <w:b/>
                <w:bCs w:val="0"/>
              </w:rPr>
              <w:t>Industry</w:t>
            </w:r>
          </w:p>
        </w:tc>
        <w:tc>
          <w:tcPr>
            <w:tcW w:w="1505" w:type="dxa"/>
            <w:vMerge w:val="restart"/>
            <w:shd w:val="clear" w:color="auto" w:fill="1B556B" w:themeFill="text2"/>
            <w:vAlign w:val="bottom"/>
          </w:tcPr>
          <w:p w14:paraId="63FEFF83" w14:textId="77777777" w:rsidR="00B93232" w:rsidRPr="00B275E2" w:rsidRDefault="00B93232" w:rsidP="00F638B4">
            <w:pPr>
              <w:pStyle w:val="TableTextbold"/>
              <w:cnfStyle w:val="100000000000" w:firstRow="1" w:lastRow="0" w:firstColumn="0" w:lastColumn="0" w:oddVBand="0" w:evenVBand="0" w:oddHBand="0" w:evenHBand="0" w:firstRowFirstColumn="0" w:firstRowLastColumn="0" w:lastRowFirstColumn="0" w:lastRowLastColumn="0"/>
              <w:rPr>
                <w:b/>
                <w:bCs w:val="0"/>
              </w:rPr>
            </w:pPr>
            <w:r w:rsidRPr="00B275E2">
              <w:rPr>
                <w:b/>
                <w:bCs w:val="0"/>
              </w:rPr>
              <w:t>Source</w:t>
            </w:r>
          </w:p>
        </w:tc>
      </w:tr>
      <w:tr w:rsidR="002167D9" w:rsidRPr="00B275E2" w14:paraId="1E486751" w14:textId="77777777" w:rsidTr="00E94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Merge/>
            <w:vAlign w:val="bottom"/>
          </w:tcPr>
          <w:p w14:paraId="4F182E76" w14:textId="77777777" w:rsidR="00B93232" w:rsidRPr="00B275E2" w:rsidRDefault="00B93232" w:rsidP="007F0B1E">
            <w:pPr>
              <w:pStyle w:val="TableTextbold"/>
              <w:rPr>
                <w:b/>
                <w:bCs w:val="0"/>
              </w:rPr>
            </w:pPr>
          </w:p>
        </w:tc>
        <w:tc>
          <w:tcPr>
            <w:tcW w:w="1276" w:type="dxa"/>
            <w:shd w:val="clear" w:color="auto" w:fill="1B556B" w:themeFill="text2"/>
            <w:vAlign w:val="bottom"/>
          </w:tcPr>
          <w:p w14:paraId="6DBB32DD" w14:textId="77777777" w:rsidR="00B93232" w:rsidRPr="00B275E2" w:rsidRDefault="00B93232" w:rsidP="006722F7">
            <w:pPr>
              <w:pStyle w:val="TableTextbold"/>
              <w:spacing w:before="0"/>
              <w:jc w:val="right"/>
              <w:cnfStyle w:val="000000100000" w:firstRow="0" w:lastRow="0" w:firstColumn="0" w:lastColumn="0" w:oddVBand="0" w:evenVBand="0" w:oddHBand="1" w:evenHBand="0" w:firstRowFirstColumn="0" w:firstRowLastColumn="0" w:lastRowFirstColumn="0" w:lastRowLastColumn="0"/>
            </w:pPr>
            <w:r w:rsidRPr="00B275E2">
              <w:t>Dairy product processing</w:t>
            </w:r>
          </w:p>
        </w:tc>
        <w:tc>
          <w:tcPr>
            <w:tcW w:w="1762" w:type="dxa"/>
            <w:shd w:val="clear" w:color="auto" w:fill="1B556B" w:themeFill="text2"/>
            <w:vAlign w:val="bottom"/>
          </w:tcPr>
          <w:p w14:paraId="419B4BDC" w14:textId="5F7A9716" w:rsidR="00B93232" w:rsidRPr="00B275E2" w:rsidRDefault="00B93232" w:rsidP="006722F7">
            <w:pPr>
              <w:pStyle w:val="TableTextbold"/>
              <w:spacing w:before="0"/>
              <w:jc w:val="right"/>
              <w:cnfStyle w:val="000000100000" w:firstRow="0" w:lastRow="0" w:firstColumn="0" w:lastColumn="0" w:oddVBand="0" w:evenVBand="0" w:oddHBand="1" w:evenHBand="0" w:firstRowFirstColumn="0" w:firstRowLastColumn="0" w:lastRowFirstColumn="0" w:lastRowLastColumn="0"/>
            </w:pPr>
            <w:r w:rsidRPr="00B275E2">
              <w:t xml:space="preserve">Meat </w:t>
            </w:r>
            <w:r w:rsidR="00E949FF">
              <w:br/>
            </w:r>
            <w:r w:rsidRPr="00B275E2">
              <w:t>(excluding poultry)</w:t>
            </w:r>
          </w:p>
        </w:tc>
        <w:tc>
          <w:tcPr>
            <w:tcW w:w="1127" w:type="dxa"/>
            <w:shd w:val="clear" w:color="auto" w:fill="1B556B" w:themeFill="text2"/>
            <w:vAlign w:val="bottom"/>
          </w:tcPr>
          <w:p w14:paraId="7DBA0F42" w14:textId="77777777" w:rsidR="00B93232" w:rsidRPr="00B275E2" w:rsidRDefault="00B93232" w:rsidP="006722F7">
            <w:pPr>
              <w:pStyle w:val="TableTextbold"/>
              <w:spacing w:before="0"/>
              <w:jc w:val="right"/>
              <w:cnfStyle w:val="000000100000" w:firstRow="0" w:lastRow="0" w:firstColumn="0" w:lastColumn="0" w:oddVBand="0" w:evenVBand="0" w:oddHBand="1" w:evenHBand="0" w:firstRowFirstColumn="0" w:firstRowLastColumn="0" w:lastRowFirstColumn="0" w:lastRowLastColumn="0"/>
            </w:pPr>
            <w:r w:rsidRPr="00B275E2">
              <w:t>Poultry</w:t>
            </w:r>
          </w:p>
        </w:tc>
        <w:tc>
          <w:tcPr>
            <w:tcW w:w="1505" w:type="dxa"/>
            <w:vMerge/>
            <w:vAlign w:val="bottom"/>
          </w:tcPr>
          <w:p w14:paraId="65E85D19" w14:textId="77777777" w:rsidR="00B93232" w:rsidRPr="00B275E2" w:rsidRDefault="00B93232" w:rsidP="007F0B1E">
            <w:pPr>
              <w:pStyle w:val="TableTextbold"/>
              <w:cnfStyle w:val="000000100000" w:firstRow="0" w:lastRow="0" w:firstColumn="0" w:lastColumn="0" w:oddVBand="0" w:evenVBand="0" w:oddHBand="1" w:evenHBand="0" w:firstRowFirstColumn="0" w:firstRowLastColumn="0" w:lastRowFirstColumn="0" w:lastRowLastColumn="0"/>
            </w:pPr>
          </w:p>
        </w:tc>
      </w:tr>
      <w:tr w:rsidR="00B93232" w:rsidRPr="00B275E2" w14:paraId="7DE66369" w14:textId="77777777" w:rsidTr="00EC0FF5">
        <w:tc>
          <w:tcPr>
            <w:cnfStyle w:val="001000000000" w:firstRow="0" w:lastRow="0" w:firstColumn="1" w:lastColumn="0" w:oddVBand="0" w:evenVBand="0" w:oddHBand="0" w:evenHBand="0" w:firstRowFirstColumn="0" w:firstRowLastColumn="0" w:lastRowFirstColumn="0" w:lastRowLastColumn="0"/>
            <w:tcW w:w="2835" w:type="dxa"/>
            <w:tcBorders>
              <w:left w:val="single" w:sz="4" w:space="0" w:color="FFFFFF" w:themeColor="background1"/>
            </w:tcBorders>
          </w:tcPr>
          <w:p w14:paraId="5AB06318" w14:textId="677AE9DB" w:rsidR="00B93232" w:rsidRPr="00B275E2" w:rsidRDefault="0015092E" w:rsidP="007F0B1E">
            <w:pPr>
              <w:pStyle w:val="TableText"/>
              <w:rPr>
                <w:b w:val="0"/>
              </w:rPr>
            </w:pPr>
            <w:r w:rsidRPr="00B275E2">
              <w:rPr>
                <w:b w:val="0"/>
              </w:rPr>
              <w:t>B</w:t>
            </w:r>
            <w:r w:rsidR="00B93232" w:rsidRPr="00B275E2">
              <w:rPr>
                <w:b w:val="0"/>
              </w:rPr>
              <w:t>iodegradable chemical oxygen demand load (kg</w:t>
            </w:r>
            <w:r w:rsidR="007D559B" w:rsidRPr="00B275E2">
              <w:rPr>
                <w:b w:val="0"/>
              </w:rPr>
              <w:t> </w:t>
            </w:r>
            <w:r w:rsidR="00B93232" w:rsidRPr="00B275E2">
              <w:rPr>
                <w:b w:val="0"/>
              </w:rPr>
              <w:t>CODb/tonne)</w:t>
            </w:r>
          </w:p>
        </w:tc>
        <w:tc>
          <w:tcPr>
            <w:tcW w:w="1276" w:type="dxa"/>
          </w:tcPr>
          <w:p w14:paraId="3BD6734D" w14:textId="77777777" w:rsidR="00B93232" w:rsidRPr="00B275E2" w:rsidRDefault="00B93232" w:rsidP="007F0B1E">
            <w:pPr>
              <w:pStyle w:val="TableText"/>
              <w:jc w:val="right"/>
              <w:cnfStyle w:val="000000000000" w:firstRow="0" w:lastRow="0" w:firstColumn="0" w:lastColumn="0" w:oddVBand="0" w:evenVBand="0" w:oddHBand="0" w:evenHBand="0" w:firstRowFirstColumn="0" w:firstRowLastColumn="0" w:lastRowFirstColumn="0" w:lastRowLastColumn="0"/>
            </w:pPr>
            <w:r w:rsidRPr="00B275E2">
              <w:t>2</w:t>
            </w:r>
          </w:p>
        </w:tc>
        <w:tc>
          <w:tcPr>
            <w:tcW w:w="1762" w:type="dxa"/>
          </w:tcPr>
          <w:p w14:paraId="2D1213CF" w14:textId="77777777" w:rsidR="00B93232" w:rsidRPr="00B275E2" w:rsidRDefault="00B93232" w:rsidP="007F0B1E">
            <w:pPr>
              <w:pStyle w:val="TableText"/>
              <w:jc w:val="right"/>
              <w:cnfStyle w:val="000000000000" w:firstRow="0" w:lastRow="0" w:firstColumn="0" w:lastColumn="0" w:oddVBand="0" w:evenVBand="0" w:oddHBand="0" w:evenHBand="0" w:firstRowFirstColumn="0" w:firstRowLastColumn="0" w:lastRowFirstColumn="0" w:lastRowLastColumn="0"/>
            </w:pPr>
            <w:r w:rsidRPr="00B275E2">
              <w:t>50</w:t>
            </w:r>
          </w:p>
        </w:tc>
        <w:tc>
          <w:tcPr>
            <w:tcW w:w="1127" w:type="dxa"/>
          </w:tcPr>
          <w:p w14:paraId="298EC6F0" w14:textId="77777777" w:rsidR="00B93232" w:rsidRPr="00B275E2" w:rsidRDefault="00B93232" w:rsidP="007F0B1E">
            <w:pPr>
              <w:pStyle w:val="TableText"/>
              <w:jc w:val="right"/>
              <w:cnfStyle w:val="000000000000" w:firstRow="0" w:lastRow="0" w:firstColumn="0" w:lastColumn="0" w:oddVBand="0" w:evenVBand="0" w:oddHBand="0" w:evenHBand="0" w:firstRowFirstColumn="0" w:firstRowLastColumn="0" w:lastRowFirstColumn="0" w:lastRowLastColumn="0"/>
            </w:pPr>
            <w:r w:rsidRPr="00B275E2">
              <w:t>50</w:t>
            </w:r>
          </w:p>
        </w:tc>
        <w:tc>
          <w:tcPr>
            <w:tcW w:w="1505" w:type="dxa"/>
            <w:tcBorders>
              <w:right w:val="single" w:sz="4" w:space="0" w:color="FFFFFF" w:themeColor="background1"/>
            </w:tcBorders>
          </w:tcPr>
          <w:p w14:paraId="6572BDC0" w14:textId="2B6AEC6B" w:rsidR="00B93232" w:rsidRPr="00B275E2" w:rsidRDefault="00954B9C" w:rsidP="007F0B1E">
            <w:pPr>
              <w:pStyle w:val="TableText"/>
              <w:cnfStyle w:val="000000000000" w:firstRow="0" w:lastRow="0" w:firstColumn="0" w:lastColumn="0" w:oddVBand="0" w:evenVBand="0" w:oddHBand="0" w:evenHBand="0" w:firstRowFirstColumn="0" w:firstRowLastColumn="0" w:lastRowFirstColumn="0" w:lastRowLastColumn="0"/>
            </w:pPr>
            <w:hyperlink r:id="rId101" w:history="1">
              <w:r w:rsidR="00B93232" w:rsidRPr="008A6135">
                <w:rPr>
                  <w:rStyle w:val="Hyperlink"/>
                </w:rPr>
                <w:t>Cardno (2015)</w:t>
              </w:r>
            </w:hyperlink>
          </w:p>
        </w:tc>
      </w:tr>
      <w:tr w:rsidR="00B93232" w:rsidRPr="00B275E2" w14:paraId="3BC2864A" w14:textId="77777777" w:rsidTr="00EC0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left w:val="single" w:sz="4" w:space="0" w:color="FFFFFF" w:themeColor="background1"/>
            </w:tcBorders>
          </w:tcPr>
          <w:p w14:paraId="0A80AC3B" w14:textId="21BA83B2" w:rsidR="00B93232" w:rsidRPr="00B275E2" w:rsidRDefault="00B93232" w:rsidP="007F0B1E">
            <w:pPr>
              <w:pStyle w:val="TableText"/>
              <w:rPr>
                <w:b w:val="0"/>
              </w:rPr>
            </w:pPr>
            <w:r w:rsidRPr="00B275E2">
              <w:rPr>
                <w:b w:val="0"/>
              </w:rPr>
              <w:t>Total N:</w:t>
            </w:r>
            <w:r w:rsidR="000D293E" w:rsidRPr="00B275E2">
              <w:rPr>
                <w:b w:val="0"/>
              </w:rPr>
              <w:t xml:space="preserve"> </w:t>
            </w:r>
            <w:r w:rsidRPr="00B275E2">
              <w:rPr>
                <w:b w:val="0"/>
              </w:rPr>
              <w:t>biodegradable COD ratio</w:t>
            </w:r>
          </w:p>
        </w:tc>
        <w:tc>
          <w:tcPr>
            <w:tcW w:w="1276" w:type="dxa"/>
          </w:tcPr>
          <w:p w14:paraId="055C1B4B" w14:textId="77777777" w:rsidR="00B93232" w:rsidRPr="00B275E2" w:rsidRDefault="00B93232" w:rsidP="007F0B1E">
            <w:pPr>
              <w:pStyle w:val="TableText"/>
              <w:jc w:val="right"/>
              <w:cnfStyle w:val="000000100000" w:firstRow="0" w:lastRow="0" w:firstColumn="0" w:lastColumn="0" w:oddVBand="0" w:evenVBand="0" w:oddHBand="1" w:evenHBand="0" w:firstRowFirstColumn="0" w:firstRowLastColumn="0" w:lastRowFirstColumn="0" w:lastRowLastColumn="0"/>
            </w:pPr>
            <w:r w:rsidRPr="00B275E2">
              <w:t>0.044</w:t>
            </w:r>
          </w:p>
        </w:tc>
        <w:tc>
          <w:tcPr>
            <w:tcW w:w="1762" w:type="dxa"/>
          </w:tcPr>
          <w:p w14:paraId="398FC724" w14:textId="77777777" w:rsidR="00B93232" w:rsidRPr="00B275E2" w:rsidRDefault="00B93232" w:rsidP="007F0B1E">
            <w:pPr>
              <w:pStyle w:val="TableText"/>
              <w:jc w:val="right"/>
              <w:cnfStyle w:val="000000100000" w:firstRow="0" w:lastRow="0" w:firstColumn="0" w:lastColumn="0" w:oddVBand="0" w:evenVBand="0" w:oddHBand="1" w:evenHBand="0" w:firstRowFirstColumn="0" w:firstRowLastColumn="0" w:lastRowFirstColumn="0" w:lastRowLastColumn="0"/>
            </w:pPr>
            <w:r w:rsidRPr="00B275E2">
              <w:t>0.09</w:t>
            </w:r>
          </w:p>
        </w:tc>
        <w:tc>
          <w:tcPr>
            <w:tcW w:w="1127" w:type="dxa"/>
          </w:tcPr>
          <w:p w14:paraId="5BD78113" w14:textId="77777777" w:rsidR="00B93232" w:rsidRPr="00B275E2" w:rsidRDefault="00B93232" w:rsidP="007F0B1E">
            <w:pPr>
              <w:pStyle w:val="TableText"/>
              <w:jc w:val="right"/>
              <w:cnfStyle w:val="000000100000" w:firstRow="0" w:lastRow="0" w:firstColumn="0" w:lastColumn="0" w:oddVBand="0" w:evenVBand="0" w:oddHBand="1" w:evenHBand="0" w:firstRowFirstColumn="0" w:firstRowLastColumn="0" w:lastRowFirstColumn="0" w:lastRowLastColumn="0"/>
            </w:pPr>
            <w:r w:rsidRPr="00B275E2">
              <w:t>0.09</w:t>
            </w:r>
          </w:p>
        </w:tc>
        <w:tc>
          <w:tcPr>
            <w:tcW w:w="1505" w:type="dxa"/>
            <w:tcBorders>
              <w:right w:val="single" w:sz="4" w:space="0" w:color="FFFFFF" w:themeColor="background1"/>
            </w:tcBorders>
          </w:tcPr>
          <w:p w14:paraId="757F9D4D" w14:textId="3F3A227B" w:rsidR="00B93232" w:rsidRPr="00B275E2" w:rsidRDefault="00954B9C" w:rsidP="007F0B1E">
            <w:pPr>
              <w:pStyle w:val="TableText"/>
              <w:cnfStyle w:val="000000100000" w:firstRow="0" w:lastRow="0" w:firstColumn="0" w:lastColumn="0" w:oddVBand="0" w:evenVBand="0" w:oddHBand="1" w:evenHBand="0" w:firstRowFirstColumn="0" w:firstRowLastColumn="0" w:lastRowFirstColumn="0" w:lastRowLastColumn="0"/>
            </w:pPr>
            <w:hyperlink r:id="rId102" w:history="1">
              <w:r w:rsidR="00B93232" w:rsidRPr="008A6135">
                <w:rPr>
                  <w:rStyle w:val="Hyperlink"/>
                </w:rPr>
                <w:t>Cardno (2015)</w:t>
              </w:r>
            </w:hyperlink>
          </w:p>
        </w:tc>
      </w:tr>
      <w:tr w:rsidR="00B93232" w:rsidRPr="00B275E2" w14:paraId="03F75C3F" w14:textId="77777777" w:rsidTr="00EC0FF5">
        <w:tc>
          <w:tcPr>
            <w:cnfStyle w:val="001000000000" w:firstRow="0" w:lastRow="0" w:firstColumn="1" w:lastColumn="0" w:oddVBand="0" w:evenVBand="0" w:oddHBand="0" w:evenHBand="0" w:firstRowFirstColumn="0" w:firstRowLastColumn="0" w:lastRowFirstColumn="0" w:lastRowLastColumn="0"/>
            <w:tcW w:w="2835" w:type="dxa"/>
            <w:tcBorders>
              <w:left w:val="single" w:sz="4" w:space="0" w:color="FFFFFF" w:themeColor="background1"/>
            </w:tcBorders>
          </w:tcPr>
          <w:p w14:paraId="30A68D57" w14:textId="7A9FC981" w:rsidR="00B93232" w:rsidRPr="00B275E2" w:rsidRDefault="00B93232" w:rsidP="007F0B1E">
            <w:pPr>
              <w:pStyle w:val="TableText"/>
              <w:rPr>
                <w:b w:val="0"/>
              </w:rPr>
            </w:pPr>
            <w:r w:rsidRPr="00B275E2">
              <w:rPr>
                <w:b w:val="0"/>
              </w:rPr>
              <w:t xml:space="preserve">Nitrous oxide emission factor </w:t>
            </w:r>
            <w:r w:rsidR="00E949FF">
              <w:rPr>
                <w:b w:val="0"/>
              </w:rPr>
              <w:br/>
            </w:r>
            <w:r w:rsidRPr="00B275E2">
              <w:rPr>
                <w:b w:val="0"/>
              </w:rPr>
              <w:t>(kg N</w:t>
            </w:r>
            <w:r w:rsidRPr="00B275E2">
              <w:rPr>
                <w:b w:val="0"/>
                <w:vertAlign w:val="subscript"/>
              </w:rPr>
              <w:t>2</w:t>
            </w:r>
            <w:r w:rsidRPr="00B275E2">
              <w:rPr>
                <w:b w:val="0"/>
              </w:rPr>
              <w:t>O/kg</w:t>
            </w:r>
            <w:r w:rsidR="007D559B" w:rsidRPr="00B275E2">
              <w:rPr>
                <w:b w:val="0"/>
              </w:rPr>
              <w:t> </w:t>
            </w:r>
            <w:r w:rsidRPr="00B275E2">
              <w:rPr>
                <w:b w:val="0"/>
              </w:rPr>
              <w:t>CODb)</w:t>
            </w:r>
          </w:p>
        </w:tc>
        <w:tc>
          <w:tcPr>
            <w:tcW w:w="1276" w:type="dxa"/>
          </w:tcPr>
          <w:p w14:paraId="00890EE3" w14:textId="77777777" w:rsidR="00B93232" w:rsidRPr="00B275E2" w:rsidRDefault="00B93232" w:rsidP="007F0B1E">
            <w:pPr>
              <w:pStyle w:val="TableText"/>
              <w:jc w:val="right"/>
              <w:cnfStyle w:val="000000000000" w:firstRow="0" w:lastRow="0" w:firstColumn="0" w:lastColumn="0" w:oddVBand="0" w:evenVBand="0" w:oddHBand="0" w:evenHBand="0" w:firstRowFirstColumn="0" w:firstRowLastColumn="0" w:lastRowFirstColumn="0" w:lastRowLastColumn="0"/>
            </w:pPr>
            <w:r w:rsidRPr="00B275E2">
              <w:t>0.00279</w:t>
            </w:r>
          </w:p>
        </w:tc>
        <w:tc>
          <w:tcPr>
            <w:tcW w:w="1762" w:type="dxa"/>
          </w:tcPr>
          <w:p w14:paraId="250CCA7F" w14:textId="77777777" w:rsidR="00B93232" w:rsidRPr="00B275E2" w:rsidRDefault="00B93232" w:rsidP="007F0B1E">
            <w:pPr>
              <w:pStyle w:val="TableText"/>
              <w:jc w:val="right"/>
              <w:cnfStyle w:val="000000000000" w:firstRow="0" w:lastRow="0" w:firstColumn="0" w:lastColumn="0" w:oddVBand="0" w:evenVBand="0" w:oddHBand="0" w:evenHBand="0" w:firstRowFirstColumn="0" w:firstRowLastColumn="0" w:lastRowFirstColumn="0" w:lastRowLastColumn="0"/>
            </w:pPr>
            <w:r w:rsidRPr="00B275E2">
              <w:t>0.001348</w:t>
            </w:r>
          </w:p>
        </w:tc>
        <w:tc>
          <w:tcPr>
            <w:tcW w:w="1127" w:type="dxa"/>
          </w:tcPr>
          <w:p w14:paraId="76C12E2B" w14:textId="77777777" w:rsidR="00B93232" w:rsidRPr="00B275E2" w:rsidRDefault="00B93232" w:rsidP="007F0B1E">
            <w:pPr>
              <w:pStyle w:val="TableText"/>
              <w:jc w:val="right"/>
              <w:cnfStyle w:val="000000000000" w:firstRow="0" w:lastRow="0" w:firstColumn="0" w:lastColumn="0" w:oddVBand="0" w:evenVBand="0" w:oddHBand="0" w:evenHBand="0" w:firstRowFirstColumn="0" w:firstRowLastColumn="0" w:lastRowFirstColumn="0" w:lastRowLastColumn="0"/>
            </w:pPr>
            <w:r w:rsidRPr="00B275E2">
              <w:t>0.001925</w:t>
            </w:r>
          </w:p>
        </w:tc>
        <w:tc>
          <w:tcPr>
            <w:tcW w:w="1505" w:type="dxa"/>
            <w:tcBorders>
              <w:right w:val="single" w:sz="4" w:space="0" w:color="FFFFFF" w:themeColor="background1"/>
            </w:tcBorders>
          </w:tcPr>
          <w:p w14:paraId="6C1530A0" w14:textId="2DE2F651" w:rsidR="00B93232" w:rsidRPr="00B275E2" w:rsidRDefault="00954B9C" w:rsidP="007F0B1E">
            <w:pPr>
              <w:pStyle w:val="TableText"/>
              <w:cnfStyle w:val="000000000000" w:firstRow="0" w:lastRow="0" w:firstColumn="0" w:lastColumn="0" w:oddVBand="0" w:evenVBand="0" w:oddHBand="0" w:evenHBand="0" w:firstRowFirstColumn="0" w:firstRowLastColumn="0" w:lastRowFirstColumn="0" w:lastRowLastColumn="0"/>
            </w:pPr>
            <w:hyperlink r:id="rId103" w:history="1">
              <w:r w:rsidR="00B93232" w:rsidRPr="008A6135">
                <w:rPr>
                  <w:rStyle w:val="Hyperlink"/>
                </w:rPr>
                <w:t>Cardno (2015)</w:t>
              </w:r>
            </w:hyperlink>
          </w:p>
        </w:tc>
      </w:tr>
      <w:tr w:rsidR="00B93232" w:rsidRPr="00B275E2" w14:paraId="282DD052" w14:textId="77777777" w:rsidTr="00EC0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left w:val="single" w:sz="4" w:space="0" w:color="FFFFFF" w:themeColor="background1"/>
            </w:tcBorders>
          </w:tcPr>
          <w:p w14:paraId="439A8293" w14:textId="77777777" w:rsidR="00B93232" w:rsidRPr="00B275E2" w:rsidRDefault="00B93232" w:rsidP="007F0B1E">
            <w:pPr>
              <w:pStyle w:val="TableText"/>
              <w:rPr>
                <w:b w:val="0"/>
              </w:rPr>
            </w:pPr>
            <w:r w:rsidRPr="00B275E2">
              <w:rPr>
                <w:b w:val="0"/>
              </w:rPr>
              <w:t>GWP</w:t>
            </w:r>
          </w:p>
        </w:tc>
        <w:tc>
          <w:tcPr>
            <w:tcW w:w="1276" w:type="dxa"/>
          </w:tcPr>
          <w:p w14:paraId="19902941" w14:textId="77777777" w:rsidR="00B93232" w:rsidRPr="00B275E2" w:rsidRDefault="00B93232" w:rsidP="007F0B1E">
            <w:pPr>
              <w:pStyle w:val="TableText"/>
              <w:jc w:val="right"/>
              <w:cnfStyle w:val="000000100000" w:firstRow="0" w:lastRow="0" w:firstColumn="0" w:lastColumn="0" w:oddVBand="0" w:evenVBand="0" w:oddHBand="1" w:evenHBand="0" w:firstRowFirstColumn="0" w:firstRowLastColumn="0" w:lastRowFirstColumn="0" w:lastRowLastColumn="0"/>
            </w:pPr>
            <w:r w:rsidRPr="00B275E2">
              <w:t>298</w:t>
            </w:r>
          </w:p>
        </w:tc>
        <w:tc>
          <w:tcPr>
            <w:tcW w:w="1762" w:type="dxa"/>
          </w:tcPr>
          <w:p w14:paraId="4A8B7303" w14:textId="77777777" w:rsidR="00B93232" w:rsidRPr="00B275E2" w:rsidRDefault="00B93232" w:rsidP="007F0B1E">
            <w:pPr>
              <w:pStyle w:val="TableText"/>
              <w:jc w:val="right"/>
              <w:cnfStyle w:val="000000100000" w:firstRow="0" w:lastRow="0" w:firstColumn="0" w:lastColumn="0" w:oddVBand="0" w:evenVBand="0" w:oddHBand="1" w:evenHBand="0" w:firstRowFirstColumn="0" w:firstRowLastColumn="0" w:lastRowFirstColumn="0" w:lastRowLastColumn="0"/>
            </w:pPr>
            <w:r w:rsidRPr="00B275E2">
              <w:t>298</w:t>
            </w:r>
          </w:p>
        </w:tc>
        <w:tc>
          <w:tcPr>
            <w:tcW w:w="1127" w:type="dxa"/>
          </w:tcPr>
          <w:p w14:paraId="62C8101B" w14:textId="77777777" w:rsidR="00B93232" w:rsidRPr="00B275E2" w:rsidRDefault="00B93232" w:rsidP="007F0B1E">
            <w:pPr>
              <w:pStyle w:val="TableText"/>
              <w:jc w:val="right"/>
              <w:cnfStyle w:val="000000100000" w:firstRow="0" w:lastRow="0" w:firstColumn="0" w:lastColumn="0" w:oddVBand="0" w:evenVBand="0" w:oddHBand="1" w:evenHBand="0" w:firstRowFirstColumn="0" w:firstRowLastColumn="0" w:lastRowFirstColumn="0" w:lastRowLastColumn="0"/>
            </w:pPr>
            <w:r w:rsidRPr="00B275E2">
              <w:t>298</w:t>
            </w:r>
          </w:p>
        </w:tc>
        <w:tc>
          <w:tcPr>
            <w:tcW w:w="1505" w:type="dxa"/>
            <w:tcBorders>
              <w:right w:val="single" w:sz="4" w:space="0" w:color="FFFFFF" w:themeColor="background1"/>
            </w:tcBorders>
          </w:tcPr>
          <w:p w14:paraId="301EC9BB" w14:textId="131B33F7" w:rsidR="00B93232" w:rsidRPr="00B275E2" w:rsidRDefault="00B93232" w:rsidP="007F0B1E">
            <w:pPr>
              <w:pStyle w:val="TableText"/>
              <w:cnfStyle w:val="000000100000" w:firstRow="0" w:lastRow="0" w:firstColumn="0" w:lastColumn="0" w:oddVBand="0" w:evenVBand="0" w:oddHBand="1" w:evenHBand="0" w:firstRowFirstColumn="0" w:firstRowLastColumn="0" w:lastRowFirstColumn="0" w:lastRowLastColumn="0"/>
            </w:pPr>
            <w:r w:rsidRPr="00B275E2">
              <w:t>IPCC AR4</w:t>
            </w:r>
          </w:p>
        </w:tc>
      </w:tr>
    </w:tbl>
    <w:p w14:paraId="278640BA" w14:textId="7A1D33C9" w:rsidR="00A959E4" w:rsidRPr="00B275E2" w:rsidRDefault="00A959E4" w:rsidP="007F0B1E">
      <w:pPr>
        <w:pStyle w:val="BodyText"/>
        <w:spacing w:before="240"/>
      </w:pPr>
      <w:r w:rsidRPr="00B275E2">
        <w:t>Ba</w:t>
      </w:r>
      <w:r w:rsidR="00B93232" w:rsidRPr="00B275E2">
        <w:t>sed</w:t>
      </w:r>
      <w:r w:rsidRPr="00B275E2">
        <w:t xml:space="preserve"> on the Cardno report</w:t>
      </w:r>
      <w:r w:rsidR="008A6135">
        <w:rPr>
          <w:rStyle w:val="FootnoteReference"/>
        </w:rPr>
        <w:footnoteReference w:id="67"/>
      </w:r>
      <w:r w:rsidRPr="00B275E2">
        <w:t xml:space="preserve"> </w:t>
      </w:r>
      <w:r w:rsidR="0015092E" w:rsidRPr="00B275E2">
        <w:t>we</w:t>
      </w:r>
      <w:r w:rsidRPr="00B275E2">
        <w:t xml:space="preserve"> assume that there are no </w:t>
      </w:r>
      <w:r w:rsidR="00303AA0" w:rsidRPr="00B275E2">
        <w:t>nitrous oxide</w:t>
      </w:r>
      <w:r w:rsidR="0015092E" w:rsidRPr="00B275E2">
        <w:t xml:space="preserve"> </w:t>
      </w:r>
      <w:r w:rsidRPr="00B275E2">
        <w:t xml:space="preserve">emissions from the methods used to process wastewater from the wine and pulp </w:t>
      </w:r>
      <w:r w:rsidR="00E376C3" w:rsidRPr="00B275E2">
        <w:t xml:space="preserve">and </w:t>
      </w:r>
      <w:r w:rsidRPr="00B275E2">
        <w:t>paper industries</w:t>
      </w:r>
      <w:r w:rsidR="00B93232" w:rsidRPr="00B275E2">
        <w:t>.</w:t>
      </w:r>
    </w:p>
    <w:p w14:paraId="69A44736" w14:textId="43A9C721" w:rsidR="00A959E4" w:rsidRPr="00B275E2" w:rsidRDefault="14FAB11F" w:rsidP="00C24B73">
      <w:pPr>
        <w:pStyle w:val="Heading3"/>
        <w:numPr>
          <w:ilvl w:val="0"/>
          <w:numId w:val="31"/>
        </w:numPr>
      </w:pPr>
      <w:bookmarkStart w:id="559" w:name="_Toc532904944"/>
      <w:r>
        <w:t>Assumptions, limitations and uncertainties</w:t>
      </w:r>
      <w:bookmarkEnd w:id="559"/>
    </w:p>
    <w:p w14:paraId="02196D7A" w14:textId="0BAB03C5" w:rsidR="005A1428" w:rsidRPr="00B275E2" w:rsidRDefault="0015092E" w:rsidP="007F0B1E">
      <w:pPr>
        <w:pStyle w:val="BodyText"/>
      </w:pPr>
      <w:r w:rsidRPr="00B275E2">
        <w:t>We calculated t</w:t>
      </w:r>
      <w:r w:rsidR="00A959E4" w:rsidRPr="00B275E2">
        <w:t>hese emission factors on the best available data using industry</w:t>
      </w:r>
      <w:r w:rsidR="00E376C3" w:rsidRPr="00B275E2">
        <w:t>-</w:t>
      </w:r>
      <w:r w:rsidR="00A959E4" w:rsidRPr="00B275E2">
        <w:t>wide sources and international default factors w</w:t>
      </w:r>
      <w:r w:rsidR="00E376C3" w:rsidRPr="00B275E2">
        <w:t>h</w:t>
      </w:r>
      <w:r w:rsidR="00A959E4" w:rsidRPr="00B275E2">
        <w:t xml:space="preserve">ere appropriate. As </w:t>
      </w:r>
      <w:r w:rsidRPr="00B275E2">
        <w:t xml:space="preserve">the wastewater </w:t>
      </w:r>
      <w:r w:rsidR="00A959E4" w:rsidRPr="00B275E2">
        <w:t xml:space="preserve">emissions </w:t>
      </w:r>
      <w:r w:rsidRPr="00B275E2">
        <w:t xml:space="preserve">include </w:t>
      </w:r>
      <w:r w:rsidR="00A959E4" w:rsidRPr="00B275E2">
        <w:t xml:space="preserve">electricity </w:t>
      </w:r>
      <w:r w:rsidRPr="00B275E2">
        <w:t xml:space="preserve">emissions, </w:t>
      </w:r>
      <w:r w:rsidR="00A959E4" w:rsidRPr="00B275E2">
        <w:t>the same</w:t>
      </w:r>
      <w:r w:rsidRPr="00B275E2">
        <w:t xml:space="preserve"> electricity emissions</w:t>
      </w:r>
      <w:r w:rsidR="00A959E4" w:rsidRPr="00B275E2">
        <w:t xml:space="preserve"> uncertainties </w:t>
      </w:r>
      <w:r w:rsidRPr="00B275E2">
        <w:t>carry</w:t>
      </w:r>
      <w:r w:rsidR="003B5F6D" w:rsidRPr="00B275E2">
        <w:t xml:space="preserve"> through.</w:t>
      </w:r>
      <w:r w:rsidR="002167D9" w:rsidRPr="00B275E2">
        <w:t xml:space="preserve"> Table </w:t>
      </w:r>
      <w:r w:rsidR="00F23341">
        <w:t>78</w:t>
      </w:r>
      <w:r w:rsidR="00A959E4" w:rsidRPr="00B275E2">
        <w:t xml:space="preserve"> details the uncertain</w:t>
      </w:r>
      <w:bookmarkStart w:id="560" w:name="_Ref532482900"/>
      <w:r w:rsidR="005A1428" w:rsidRPr="00B275E2">
        <w:t>ties with this source category.</w:t>
      </w:r>
    </w:p>
    <w:p w14:paraId="44957BC2" w14:textId="53BBEA20" w:rsidR="00A959E4" w:rsidRPr="00B275E2" w:rsidRDefault="00EB4389" w:rsidP="00F638B4">
      <w:pPr>
        <w:pStyle w:val="Tableheading"/>
      </w:pPr>
      <w:bookmarkStart w:id="561" w:name="_Toc111536683"/>
      <w:bookmarkEnd w:id="560"/>
      <w:r w:rsidRPr="00B275E2">
        <w:t xml:space="preserve">Table </w:t>
      </w:r>
      <w:r w:rsidRPr="00B275E2">
        <w:fldChar w:fldCharType="begin"/>
      </w:r>
      <w:r w:rsidRPr="00B275E2">
        <w:instrText>SEQ Table \* ARABIC</w:instrText>
      </w:r>
      <w:r w:rsidRPr="00B275E2">
        <w:fldChar w:fldCharType="separate"/>
      </w:r>
      <w:r>
        <w:rPr>
          <w:noProof/>
        </w:rPr>
        <w:t>78</w:t>
      </w:r>
      <w:r w:rsidRPr="00B275E2">
        <w:fldChar w:fldCharType="end"/>
      </w:r>
      <w:r w:rsidRPr="00B275E2">
        <w:t>:</w:t>
      </w:r>
      <w:r w:rsidRPr="00B275E2">
        <w:tab/>
      </w:r>
      <w:r w:rsidR="00A959E4" w:rsidRPr="00B275E2">
        <w:t>Uncertainties with wastewater treatment emission source category</w:t>
      </w:r>
      <w:bookmarkEnd w:id="561"/>
    </w:p>
    <w:tbl>
      <w:tblPr>
        <w:tblStyle w:val="LightList-Accent11"/>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ook w:val="04A0" w:firstRow="1" w:lastRow="0" w:firstColumn="1" w:lastColumn="0" w:noHBand="0" w:noVBand="1"/>
      </w:tblPr>
      <w:tblGrid>
        <w:gridCol w:w="2835"/>
        <w:gridCol w:w="2835"/>
        <w:gridCol w:w="2835"/>
      </w:tblGrid>
      <w:tr w:rsidR="00A959E4" w:rsidRPr="00B275E2" w14:paraId="145812A3" w14:textId="77777777" w:rsidTr="00F638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shd w:val="clear" w:color="auto" w:fill="1B556B" w:themeFill="text2"/>
          </w:tcPr>
          <w:p w14:paraId="35B991E0" w14:textId="77777777" w:rsidR="00A959E4" w:rsidRPr="00B275E2" w:rsidRDefault="00A959E4" w:rsidP="007F0B1E">
            <w:pPr>
              <w:pStyle w:val="TableText"/>
            </w:pPr>
          </w:p>
        </w:tc>
        <w:tc>
          <w:tcPr>
            <w:tcW w:w="2835" w:type="dxa"/>
            <w:shd w:val="clear" w:color="auto" w:fill="1B556B" w:themeFill="text2"/>
          </w:tcPr>
          <w:p w14:paraId="2B1E1465" w14:textId="10C34F00" w:rsidR="00A959E4" w:rsidRPr="00B275E2" w:rsidRDefault="0015092E" w:rsidP="007F0B1E">
            <w:pPr>
              <w:pStyle w:val="TableText"/>
              <w:jc w:val="right"/>
              <w:cnfStyle w:val="100000000000" w:firstRow="1" w:lastRow="0" w:firstColumn="0" w:lastColumn="0" w:oddVBand="0" w:evenVBand="0" w:oddHBand="0" w:evenHBand="0" w:firstRowFirstColumn="0" w:firstRowLastColumn="0" w:lastRowFirstColumn="0" w:lastRowLastColumn="0"/>
            </w:pPr>
            <w:r w:rsidRPr="00B275E2">
              <w:t>U</w:t>
            </w:r>
            <w:r w:rsidR="00A959E4" w:rsidRPr="00B275E2">
              <w:t>ncertainty in activity data</w:t>
            </w:r>
          </w:p>
        </w:tc>
        <w:tc>
          <w:tcPr>
            <w:tcW w:w="2835" w:type="dxa"/>
            <w:shd w:val="clear" w:color="auto" w:fill="1B556B" w:themeFill="text2"/>
          </w:tcPr>
          <w:p w14:paraId="3C012E40" w14:textId="5A1E4B1C" w:rsidR="00A959E4" w:rsidRPr="00B275E2" w:rsidRDefault="0015092E" w:rsidP="007F0B1E">
            <w:pPr>
              <w:pStyle w:val="TableText"/>
              <w:jc w:val="right"/>
              <w:cnfStyle w:val="100000000000" w:firstRow="1" w:lastRow="0" w:firstColumn="0" w:lastColumn="0" w:oddVBand="0" w:evenVBand="0" w:oddHBand="0" w:evenHBand="0" w:firstRowFirstColumn="0" w:firstRowLastColumn="0" w:lastRowFirstColumn="0" w:lastRowLastColumn="0"/>
            </w:pPr>
            <w:r w:rsidRPr="00B275E2">
              <w:t>U</w:t>
            </w:r>
            <w:r w:rsidR="00A959E4" w:rsidRPr="00B275E2">
              <w:t>ncertainty in emission factors</w:t>
            </w:r>
          </w:p>
        </w:tc>
      </w:tr>
      <w:tr w:rsidR="00A959E4" w:rsidRPr="00B275E2" w14:paraId="38E0CDBD" w14:textId="77777777" w:rsidTr="00EC0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left w:val="single" w:sz="4" w:space="0" w:color="FFFFFF" w:themeColor="background1"/>
            </w:tcBorders>
          </w:tcPr>
          <w:p w14:paraId="11CFB256" w14:textId="77777777" w:rsidR="00A959E4" w:rsidRPr="00B275E2" w:rsidRDefault="00A959E4" w:rsidP="007F0B1E">
            <w:pPr>
              <w:pStyle w:val="TableText"/>
              <w:rPr>
                <w:b w:val="0"/>
              </w:rPr>
            </w:pPr>
            <w:r w:rsidRPr="00B275E2">
              <w:rPr>
                <w:b w:val="0"/>
              </w:rPr>
              <w:t>Domestic and industrial CH</w:t>
            </w:r>
            <w:r w:rsidRPr="00B275E2">
              <w:rPr>
                <w:b w:val="0"/>
                <w:vertAlign w:val="subscript"/>
              </w:rPr>
              <w:t>4</w:t>
            </w:r>
          </w:p>
        </w:tc>
        <w:tc>
          <w:tcPr>
            <w:tcW w:w="2835" w:type="dxa"/>
          </w:tcPr>
          <w:p w14:paraId="67F94CC7" w14:textId="77777777" w:rsidR="00A959E4" w:rsidRPr="00B275E2" w:rsidRDefault="00A959E4" w:rsidP="007F0B1E">
            <w:pPr>
              <w:pStyle w:val="TableText"/>
              <w:jc w:val="right"/>
              <w:cnfStyle w:val="000000100000" w:firstRow="0" w:lastRow="0" w:firstColumn="0" w:lastColumn="0" w:oddVBand="0" w:evenVBand="0" w:oddHBand="1" w:evenHBand="0" w:firstRowFirstColumn="0" w:firstRowLastColumn="0" w:lastRowFirstColumn="0" w:lastRowLastColumn="0"/>
            </w:pPr>
            <w:r w:rsidRPr="00B275E2">
              <w:rPr>
                <w:rFonts w:cs="Calibri"/>
              </w:rPr>
              <w:t>±</w:t>
            </w:r>
            <w:r w:rsidRPr="00B275E2">
              <w:t>10%</w:t>
            </w:r>
          </w:p>
        </w:tc>
        <w:tc>
          <w:tcPr>
            <w:tcW w:w="2835" w:type="dxa"/>
            <w:tcBorders>
              <w:right w:val="single" w:sz="4" w:space="0" w:color="FFFFFF" w:themeColor="background1"/>
            </w:tcBorders>
          </w:tcPr>
          <w:p w14:paraId="62036FB1" w14:textId="77777777" w:rsidR="00A959E4" w:rsidRPr="00B275E2" w:rsidRDefault="00A959E4" w:rsidP="007F0B1E">
            <w:pPr>
              <w:pStyle w:val="TableText"/>
              <w:jc w:val="right"/>
              <w:cnfStyle w:val="000000100000" w:firstRow="0" w:lastRow="0" w:firstColumn="0" w:lastColumn="0" w:oddVBand="0" w:evenVBand="0" w:oddHBand="1" w:evenHBand="0" w:firstRowFirstColumn="0" w:firstRowLastColumn="0" w:lastRowFirstColumn="0" w:lastRowLastColumn="0"/>
            </w:pPr>
            <w:r w:rsidRPr="00B275E2">
              <w:rPr>
                <w:rFonts w:cs="Calibri"/>
              </w:rPr>
              <w:t>±</w:t>
            </w:r>
            <w:r w:rsidRPr="00B275E2">
              <w:t>40%</w:t>
            </w:r>
          </w:p>
        </w:tc>
      </w:tr>
      <w:tr w:rsidR="00A959E4" w:rsidRPr="00B275E2" w14:paraId="7F64B314" w14:textId="77777777" w:rsidTr="00F638B4">
        <w:tc>
          <w:tcPr>
            <w:cnfStyle w:val="001000000000" w:firstRow="0" w:lastRow="0" w:firstColumn="1" w:lastColumn="0" w:oddVBand="0" w:evenVBand="0" w:oddHBand="0" w:evenHBand="0" w:firstRowFirstColumn="0" w:firstRowLastColumn="0" w:lastRowFirstColumn="0" w:lastRowLastColumn="0"/>
            <w:tcW w:w="2835" w:type="dxa"/>
          </w:tcPr>
          <w:p w14:paraId="2341AFD7" w14:textId="77777777" w:rsidR="00A959E4" w:rsidRPr="00B275E2" w:rsidRDefault="00A959E4" w:rsidP="007F0B1E">
            <w:pPr>
              <w:pStyle w:val="TableText"/>
              <w:rPr>
                <w:b w:val="0"/>
              </w:rPr>
            </w:pPr>
            <w:r w:rsidRPr="00B275E2">
              <w:rPr>
                <w:b w:val="0"/>
              </w:rPr>
              <w:t>Domestic and industrial N</w:t>
            </w:r>
            <w:r w:rsidRPr="00B275E2">
              <w:rPr>
                <w:b w:val="0"/>
                <w:vertAlign w:val="subscript"/>
              </w:rPr>
              <w:t>2</w:t>
            </w:r>
            <w:r w:rsidRPr="00B275E2">
              <w:rPr>
                <w:b w:val="0"/>
              </w:rPr>
              <w:t>O</w:t>
            </w:r>
          </w:p>
        </w:tc>
        <w:tc>
          <w:tcPr>
            <w:tcW w:w="2835" w:type="dxa"/>
          </w:tcPr>
          <w:p w14:paraId="2A039F54" w14:textId="77777777" w:rsidR="00A959E4" w:rsidRPr="00B275E2" w:rsidRDefault="00A959E4" w:rsidP="007F0B1E">
            <w:pPr>
              <w:pStyle w:val="TableText"/>
              <w:jc w:val="right"/>
              <w:cnfStyle w:val="000000000000" w:firstRow="0" w:lastRow="0" w:firstColumn="0" w:lastColumn="0" w:oddVBand="0" w:evenVBand="0" w:oddHBand="0" w:evenHBand="0" w:firstRowFirstColumn="0" w:firstRowLastColumn="0" w:lastRowFirstColumn="0" w:lastRowLastColumn="0"/>
            </w:pPr>
            <w:r w:rsidRPr="00B275E2">
              <w:rPr>
                <w:rFonts w:cs="Calibri"/>
              </w:rPr>
              <w:t>±</w:t>
            </w:r>
            <w:r w:rsidRPr="00B275E2">
              <w:t>10%</w:t>
            </w:r>
          </w:p>
        </w:tc>
        <w:tc>
          <w:tcPr>
            <w:tcW w:w="2835" w:type="dxa"/>
          </w:tcPr>
          <w:p w14:paraId="68041349" w14:textId="77777777" w:rsidR="00A959E4" w:rsidRPr="00B275E2" w:rsidRDefault="00A959E4" w:rsidP="007F0B1E">
            <w:pPr>
              <w:pStyle w:val="TableText"/>
              <w:jc w:val="right"/>
              <w:cnfStyle w:val="000000000000" w:firstRow="0" w:lastRow="0" w:firstColumn="0" w:lastColumn="0" w:oddVBand="0" w:evenVBand="0" w:oddHBand="0" w:evenHBand="0" w:firstRowFirstColumn="0" w:firstRowLastColumn="0" w:lastRowFirstColumn="0" w:lastRowLastColumn="0"/>
            </w:pPr>
            <w:r w:rsidRPr="00B275E2">
              <w:rPr>
                <w:rFonts w:cs="Calibri"/>
              </w:rPr>
              <w:t>±</w:t>
            </w:r>
            <w:r w:rsidRPr="00B275E2">
              <w:t>90%</w:t>
            </w:r>
          </w:p>
        </w:tc>
      </w:tr>
    </w:tbl>
    <w:p w14:paraId="1CA0E3F8" w14:textId="72889185" w:rsidR="00BC2003" w:rsidRPr="00B275E2" w:rsidRDefault="00BC2003" w:rsidP="00F638B4">
      <w:pPr>
        <w:pStyle w:val="BodyText"/>
      </w:pPr>
      <w:bookmarkStart w:id="562" w:name="_Toc529960719"/>
      <w:bookmarkStart w:id="563" w:name="_Toc532904945"/>
    </w:p>
    <w:p w14:paraId="575CCB2A" w14:textId="77777777" w:rsidR="00607D76" w:rsidRPr="00B275E2" w:rsidRDefault="00607D76" w:rsidP="007F0B1E">
      <w:pPr>
        <w:pStyle w:val="BodyText"/>
      </w:pPr>
      <w:bookmarkStart w:id="564" w:name="_Toc600597"/>
      <w:r w:rsidRPr="00B275E2">
        <w:br w:type="page"/>
      </w:r>
    </w:p>
    <w:p w14:paraId="2259A729" w14:textId="771C0F04" w:rsidR="002177EC" w:rsidRPr="00B275E2" w:rsidRDefault="002177EC" w:rsidP="00C24B73">
      <w:pPr>
        <w:pStyle w:val="Heading1"/>
        <w:numPr>
          <w:ilvl w:val="0"/>
          <w:numId w:val="15"/>
        </w:numPr>
      </w:pPr>
      <w:bookmarkStart w:id="565" w:name="_Toc111536810"/>
      <w:r w:rsidRPr="00B275E2">
        <w:lastRenderedPageBreak/>
        <w:t>Materials and waste</w:t>
      </w:r>
      <w:bookmarkEnd w:id="562"/>
      <w:bookmarkEnd w:id="563"/>
      <w:bookmarkEnd w:id="564"/>
      <w:r w:rsidR="00662070" w:rsidRPr="00B275E2">
        <w:t xml:space="preserve"> emission factors</w:t>
      </w:r>
      <w:bookmarkEnd w:id="565"/>
    </w:p>
    <w:p w14:paraId="2F467455" w14:textId="086798E3" w:rsidR="00A959E4" w:rsidRPr="00B275E2" w:rsidRDefault="00A959E4" w:rsidP="00C24B73">
      <w:pPr>
        <w:pStyle w:val="Heading2"/>
        <w:numPr>
          <w:ilvl w:val="0"/>
          <w:numId w:val="32"/>
        </w:numPr>
        <w:spacing w:before="240"/>
      </w:pPr>
      <w:bookmarkStart w:id="566" w:name="_Toc532904946"/>
      <w:bookmarkStart w:id="567" w:name="_Toc600598"/>
      <w:bookmarkStart w:id="568" w:name="_Toc111536811"/>
      <w:r w:rsidRPr="00B275E2">
        <w:t>Overview of changes since previous update</w:t>
      </w:r>
      <w:bookmarkEnd w:id="566"/>
      <w:bookmarkEnd w:id="567"/>
      <w:bookmarkEnd w:id="568"/>
    </w:p>
    <w:p w14:paraId="3CE9A6B6" w14:textId="60C06B52" w:rsidR="00A959E4" w:rsidRPr="00B275E2" w:rsidRDefault="00A959E4" w:rsidP="007F0B1E">
      <w:pPr>
        <w:pStyle w:val="BodyText"/>
      </w:pPr>
      <w:r w:rsidRPr="00B275E2">
        <w:t xml:space="preserve">There have been several changes </w:t>
      </w:r>
      <w:r w:rsidR="004F0BE4" w:rsidRPr="00B275E2">
        <w:t xml:space="preserve">in </w:t>
      </w:r>
      <w:r w:rsidR="00970E78" w:rsidRPr="00B275E2">
        <w:t xml:space="preserve">this </w:t>
      </w:r>
      <w:r w:rsidR="004F0BE4" w:rsidRPr="00B275E2">
        <w:t>version of the guide</w:t>
      </w:r>
      <w:r w:rsidR="00FF78E6" w:rsidRPr="00B275E2">
        <w:t>:</w:t>
      </w:r>
    </w:p>
    <w:p w14:paraId="792D91D0" w14:textId="67A1FBA9" w:rsidR="00626961" w:rsidRPr="00B275E2" w:rsidRDefault="00626961" w:rsidP="008B279A">
      <w:pPr>
        <w:pStyle w:val="Bullet"/>
      </w:pPr>
      <w:r w:rsidRPr="00B275E2">
        <w:t xml:space="preserve">emission factors for municipal landfills have been updated with the latest data </w:t>
      </w:r>
      <w:r w:rsidR="0022200C">
        <w:t>to align</w:t>
      </w:r>
      <w:r w:rsidRPr="00B275E2">
        <w:t xml:space="preserve"> with </w:t>
      </w:r>
      <w:r w:rsidR="000D293E" w:rsidRPr="00B275E2">
        <w:t>New Zealand’s Greenhouse Gas Inventory</w:t>
      </w:r>
      <w:r w:rsidR="00255325" w:rsidRPr="00B275E2">
        <w:t xml:space="preserve">, </w:t>
      </w:r>
      <w:r w:rsidRPr="00B275E2">
        <w:t>both with and without landfill</w:t>
      </w:r>
      <w:r w:rsidR="008B279A" w:rsidRPr="00B275E2">
        <w:t> </w:t>
      </w:r>
      <w:r w:rsidRPr="00B275E2">
        <w:t>gas</w:t>
      </w:r>
    </w:p>
    <w:p w14:paraId="643FC73B" w14:textId="35479209" w:rsidR="00626961" w:rsidRPr="00B275E2" w:rsidRDefault="00626961" w:rsidP="008B279A">
      <w:pPr>
        <w:pStyle w:val="Bullet"/>
      </w:pPr>
      <w:r w:rsidRPr="00B275E2">
        <w:t>the wood and average emission factors for non-municipal landfills have been revised to account for wood processing waste which has lower emissions</w:t>
      </w:r>
    </w:p>
    <w:p w14:paraId="248A4DD5" w14:textId="22E418A2" w:rsidR="00A41935" w:rsidRPr="00B275E2" w:rsidRDefault="00626961" w:rsidP="008B279A">
      <w:pPr>
        <w:pStyle w:val="Bullet"/>
      </w:pPr>
      <w:r w:rsidRPr="00B275E2">
        <w:t>the emission factors for construction materials have been removed from this version of the guidance to instead refer users directly to the source data and tools developed by Building Research Association of New Zealand (BRANZ). </w:t>
      </w:r>
    </w:p>
    <w:p w14:paraId="6E852764" w14:textId="0960EBD3" w:rsidR="00A959E4" w:rsidRPr="00B275E2" w:rsidRDefault="00A959E4" w:rsidP="00C24B73">
      <w:pPr>
        <w:pStyle w:val="Heading2"/>
        <w:numPr>
          <w:ilvl w:val="0"/>
          <w:numId w:val="32"/>
        </w:numPr>
      </w:pPr>
      <w:bookmarkStart w:id="569" w:name="_Toc532904947"/>
      <w:bookmarkStart w:id="570" w:name="_Toc600599"/>
      <w:bookmarkStart w:id="571" w:name="_Toc111536812"/>
      <w:r w:rsidRPr="00B275E2">
        <w:t>Construction materials</w:t>
      </w:r>
      <w:bookmarkEnd w:id="569"/>
      <w:bookmarkEnd w:id="570"/>
      <w:bookmarkEnd w:id="571"/>
    </w:p>
    <w:p w14:paraId="05452955" w14:textId="27369450" w:rsidR="00A959E4" w:rsidRPr="00B275E2" w:rsidRDefault="00CE77B3" w:rsidP="007F0B1E">
      <w:pPr>
        <w:pStyle w:val="BodyText"/>
      </w:pPr>
      <w:r w:rsidRPr="00B275E2">
        <w:t>BRANZ</w:t>
      </w:r>
      <w:r w:rsidR="00A959E4" w:rsidRPr="00B275E2">
        <w:rPr>
          <w:rStyle w:val="FootnoteReference"/>
          <w:color w:val="auto"/>
        </w:rPr>
        <w:footnoteReference w:id="68"/>
      </w:r>
      <w:r w:rsidR="00A959E4" w:rsidRPr="00B275E2">
        <w:t xml:space="preserve"> provide the emission conversion factors for the </w:t>
      </w:r>
      <w:r w:rsidR="00A90D22" w:rsidRPr="00B275E2">
        <w:t>emission sources</w:t>
      </w:r>
      <w:r w:rsidR="00A959E4" w:rsidRPr="00B275E2">
        <w:t xml:space="preserve">, </w:t>
      </w:r>
      <w:r w:rsidR="00706AC9" w:rsidRPr="00B275E2">
        <w:t>in their 2021 CO</w:t>
      </w:r>
      <w:r w:rsidR="00C90F68" w:rsidRPr="00B275E2">
        <w:rPr>
          <w:vertAlign w:val="subscript"/>
        </w:rPr>
        <w:t>2</w:t>
      </w:r>
      <w:r w:rsidR="00706AC9" w:rsidRPr="00B275E2">
        <w:t xml:space="preserve">NSTRUCT </w:t>
      </w:r>
      <w:r w:rsidR="00183931" w:rsidRPr="00B275E2">
        <w:t>dataset</w:t>
      </w:r>
      <w:r w:rsidR="00D01071" w:rsidRPr="00B275E2">
        <w:t>.</w:t>
      </w:r>
      <w:r w:rsidR="00092DFD" w:rsidRPr="00B275E2">
        <w:rPr>
          <w:rStyle w:val="FootnoteReference"/>
          <w:color w:val="auto"/>
        </w:rPr>
        <w:footnoteReference w:id="69"/>
      </w:r>
      <w:r w:rsidR="008F4945" w:rsidRPr="00B275E2">
        <w:t xml:space="preserve"> These emissions are indirect (Scope 3) if the organisation does not own</w:t>
      </w:r>
      <w:r w:rsidR="00D01071" w:rsidRPr="00B275E2">
        <w:t> </w:t>
      </w:r>
      <w:r w:rsidR="008F4945" w:rsidRPr="00B275E2">
        <w:t>or control the facilities making the materials.</w:t>
      </w:r>
    </w:p>
    <w:p w14:paraId="19C004CE" w14:textId="465841FB" w:rsidR="00CD42C8" w:rsidRPr="00B275E2" w:rsidRDefault="0052179E" w:rsidP="007F0B1E">
      <w:pPr>
        <w:pStyle w:val="BodyText"/>
      </w:pPr>
      <w:r w:rsidRPr="00B275E2">
        <w:t>We recommend that users</w:t>
      </w:r>
      <w:r w:rsidR="00144FA4" w:rsidRPr="00B275E2">
        <w:t xml:space="preserve"> refer directly to the </w:t>
      </w:r>
      <w:r w:rsidR="00A61556" w:rsidRPr="00B275E2">
        <w:t>free</w:t>
      </w:r>
      <w:r w:rsidR="00144FA4" w:rsidRPr="00B275E2">
        <w:t xml:space="preserve"> CO</w:t>
      </w:r>
      <w:r w:rsidR="00CD42C8" w:rsidRPr="00B275E2">
        <w:rPr>
          <w:vertAlign w:val="subscript"/>
        </w:rPr>
        <w:t>2</w:t>
      </w:r>
      <w:r w:rsidR="00144FA4" w:rsidRPr="00B275E2">
        <w:t xml:space="preserve">NSTRUCT tool for emission factors </w:t>
      </w:r>
      <w:r w:rsidR="00E9293D" w:rsidRPr="00B275E2">
        <w:t xml:space="preserve">for construction materials. </w:t>
      </w:r>
      <w:r w:rsidR="00CD42C8" w:rsidRPr="00B275E2">
        <w:t>The tool provides embodied carbon and energy values for building materials including concrete, glass, timber</w:t>
      </w:r>
      <w:r w:rsidR="00D00328" w:rsidRPr="00B275E2">
        <w:t>,</w:t>
      </w:r>
      <w:r w:rsidR="00CD42C8" w:rsidRPr="00B275E2">
        <w:t xml:space="preserve"> and metals, as well as products such a</w:t>
      </w:r>
      <w:r w:rsidR="008610CF" w:rsidRPr="00B275E2">
        <w:t>s</w:t>
      </w:r>
      <w:r w:rsidR="00CD42C8" w:rsidRPr="00B275E2">
        <w:t xml:space="preserve"> bathroom and kitchen fittings.</w:t>
      </w:r>
    </w:p>
    <w:p w14:paraId="5C3EA843" w14:textId="16DBB745" w:rsidR="0052179E" w:rsidRPr="00B275E2" w:rsidRDefault="00E9293D" w:rsidP="007F0B1E">
      <w:pPr>
        <w:pStyle w:val="BodyText"/>
      </w:pPr>
      <w:r w:rsidRPr="00B275E2">
        <w:t xml:space="preserve">Users should also check </w:t>
      </w:r>
      <w:r w:rsidR="008610CF" w:rsidRPr="00B275E2">
        <w:t>EPD</w:t>
      </w:r>
      <w:r w:rsidRPr="00B275E2">
        <w:t xml:space="preserve"> </w:t>
      </w:r>
      <w:r w:rsidR="005A1387" w:rsidRPr="00B275E2">
        <w:t>Australasia</w:t>
      </w:r>
      <w:r w:rsidR="00021386" w:rsidRPr="00B275E2">
        <w:rPr>
          <w:rStyle w:val="FootnoteReference"/>
        </w:rPr>
        <w:footnoteReference w:id="70"/>
      </w:r>
      <w:r w:rsidRPr="00B275E2">
        <w:t xml:space="preserve"> for any i</w:t>
      </w:r>
      <w:r w:rsidR="00D00328" w:rsidRPr="00B275E2">
        <w:t>nterim</w:t>
      </w:r>
      <w:r w:rsidR="001552B7" w:rsidRPr="00B275E2">
        <w:t xml:space="preserve"> updates to emission factors.</w:t>
      </w:r>
    </w:p>
    <w:p w14:paraId="29530D0F" w14:textId="541D9767" w:rsidR="001552B7" w:rsidRPr="00B275E2" w:rsidRDefault="00255325" w:rsidP="007F0B1E">
      <w:pPr>
        <w:pStyle w:val="BodyText"/>
      </w:pPr>
      <w:r w:rsidRPr="00B275E2">
        <w:rPr>
          <w:spacing w:val="-2"/>
        </w:rPr>
        <w:t xml:space="preserve">The </w:t>
      </w:r>
      <w:r w:rsidR="001552B7" w:rsidRPr="00B275E2">
        <w:rPr>
          <w:spacing w:val="-2"/>
        </w:rPr>
        <w:t>M</w:t>
      </w:r>
      <w:r w:rsidRPr="00B275E2">
        <w:rPr>
          <w:spacing w:val="-2"/>
        </w:rPr>
        <w:t xml:space="preserve">inistry of </w:t>
      </w:r>
      <w:r w:rsidR="00E40764" w:rsidRPr="00B275E2">
        <w:rPr>
          <w:spacing w:val="-2"/>
        </w:rPr>
        <w:t>B</w:t>
      </w:r>
      <w:r w:rsidRPr="00B275E2">
        <w:rPr>
          <w:spacing w:val="-2"/>
        </w:rPr>
        <w:t xml:space="preserve">usiness, </w:t>
      </w:r>
      <w:r w:rsidR="00E40764" w:rsidRPr="00B275E2">
        <w:rPr>
          <w:spacing w:val="-2"/>
        </w:rPr>
        <w:t>I</w:t>
      </w:r>
      <w:r w:rsidRPr="00B275E2">
        <w:rPr>
          <w:spacing w:val="-2"/>
        </w:rPr>
        <w:t xml:space="preserve">nnovation and </w:t>
      </w:r>
      <w:r w:rsidR="00E40764" w:rsidRPr="00B275E2">
        <w:rPr>
          <w:spacing w:val="-2"/>
        </w:rPr>
        <w:t>E</w:t>
      </w:r>
      <w:r w:rsidRPr="00B275E2">
        <w:rPr>
          <w:spacing w:val="-2"/>
        </w:rPr>
        <w:t>mployment</w:t>
      </w:r>
      <w:r w:rsidR="00E40764" w:rsidRPr="00B275E2">
        <w:rPr>
          <w:spacing w:val="-2"/>
        </w:rPr>
        <w:t xml:space="preserve">’s </w:t>
      </w:r>
      <w:hyperlink r:id="rId104" w:history="1">
        <w:r w:rsidR="00E40764" w:rsidRPr="00B275E2">
          <w:rPr>
            <w:rStyle w:val="Hyperlink"/>
            <w:spacing w:val="-2"/>
          </w:rPr>
          <w:t>Building for Climate Change Programme</w:t>
        </w:r>
      </w:hyperlink>
      <w:r w:rsidR="00E40764" w:rsidRPr="00B275E2">
        <w:t xml:space="preserve"> (BFCC)</w:t>
      </w:r>
      <w:r w:rsidR="0080286D" w:rsidRPr="00B275E2">
        <w:t xml:space="preserve"> </w:t>
      </w:r>
      <w:r w:rsidR="00B07104" w:rsidRPr="00B275E2">
        <w:t>is</w:t>
      </w:r>
      <w:r w:rsidR="001552B7" w:rsidRPr="00B275E2">
        <w:t xml:space="preserve"> set up</w:t>
      </w:r>
      <w:r w:rsidR="00B07104" w:rsidRPr="00B275E2">
        <w:t xml:space="preserve"> to </w:t>
      </w:r>
      <w:r w:rsidR="007B2424" w:rsidRPr="00B275E2">
        <w:t xml:space="preserve">reduce emissions from constructing and operating buildings, and to make sure buildings are prepared for the future effects of climate change. The BFCC </w:t>
      </w:r>
      <w:r w:rsidR="005E19A2" w:rsidRPr="00B275E2">
        <w:t xml:space="preserve">Programme are contributing to the development of New Zealand’s </w:t>
      </w:r>
      <w:r w:rsidR="00837C60" w:rsidRPr="00B275E2">
        <w:t xml:space="preserve">Emissions Reduction Plan and </w:t>
      </w:r>
      <w:r w:rsidR="005E19A2" w:rsidRPr="00B275E2">
        <w:t xml:space="preserve">National Adaptation Plan, which </w:t>
      </w:r>
      <w:r w:rsidR="00837C60" w:rsidRPr="00B275E2">
        <w:t>are</w:t>
      </w:r>
      <w:r w:rsidR="005E19A2" w:rsidRPr="00B275E2">
        <w:t xml:space="preserve"> due to be published in </w:t>
      </w:r>
      <w:r w:rsidR="005D4802" w:rsidRPr="00B275E2">
        <w:t xml:space="preserve">May 2022 and </w:t>
      </w:r>
      <w:r w:rsidR="005E19A2" w:rsidRPr="00B275E2">
        <w:t>August 2022</w:t>
      </w:r>
      <w:r w:rsidR="005D4802" w:rsidRPr="00B275E2">
        <w:t xml:space="preserve"> respectively</w:t>
      </w:r>
      <w:r w:rsidR="005E19A2" w:rsidRPr="00B275E2">
        <w:t xml:space="preserve">. </w:t>
      </w:r>
    </w:p>
    <w:p w14:paraId="65310F6C" w14:textId="7F03964D" w:rsidR="002A499E" w:rsidRPr="00B275E2" w:rsidRDefault="002A499E" w:rsidP="007F0B1E">
      <w:pPr>
        <w:pStyle w:val="BodyText"/>
      </w:pPr>
      <w:r w:rsidRPr="00B275E2">
        <w:t xml:space="preserve">Users should note that </w:t>
      </w:r>
      <w:r w:rsidR="00C412A5" w:rsidRPr="00B275E2">
        <w:t xml:space="preserve">in the </w:t>
      </w:r>
      <w:hyperlink r:id="rId105" w:history="1">
        <w:r w:rsidR="00C412A5" w:rsidRPr="00B275E2">
          <w:rPr>
            <w:i/>
            <w:color w:val="32809C"/>
          </w:rPr>
          <w:t>GHG Protocol</w:t>
        </w:r>
      </w:hyperlink>
      <w:r w:rsidR="00C412A5" w:rsidRPr="00B275E2">
        <w:rPr>
          <w:i/>
          <w:color w:val="32809C"/>
        </w:rPr>
        <w:t xml:space="preserve"> Corporate Accounting and Reporting Standard</w:t>
      </w:r>
      <w:r w:rsidR="00EE3C1C" w:rsidRPr="00B275E2">
        <w:t>, construction materials are classified as</w:t>
      </w:r>
      <w:r w:rsidRPr="00B275E2">
        <w:t xml:space="preserve"> Scope 3 Category 1 (emissions from purchased goods and services)</w:t>
      </w:r>
      <w:r w:rsidR="00EE3C1C" w:rsidRPr="00B275E2">
        <w:t>. These</w:t>
      </w:r>
      <w:r w:rsidRPr="00B275E2">
        <w:t xml:space="preserve"> can form a large proportion of an </w:t>
      </w:r>
      <w:r w:rsidR="00EE3C1C" w:rsidRPr="00B275E2">
        <w:t>organisation’s</w:t>
      </w:r>
      <w:r w:rsidRPr="00B275E2">
        <w:t xml:space="preserve"> </w:t>
      </w:r>
      <w:r w:rsidR="003818D3" w:rsidRPr="00B275E2">
        <w:t>GHG</w:t>
      </w:r>
      <w:r w:rsidRPr="00B275E2">
        <w:t xml:space="preserve"> inventory. </w:t>
      </w:r>
      <w:r w:rsidR="003818D3" w:rsidRPr="00B275E2">
        <w:t>T</w:t>
      </w:r>
      <w:r w:rsidRPr="00B275E2">
        <w:t>he guidance in this chapter relates to Scope 3 emissions from waste disposal only.</w:t>
      </w:r>
    </w:p>
    <w:p w14:paraId="3B0EF4A5" w14:textId="421B21D6" w:rsidR="00A959E4" w:rsidRPr="00B275E2" w:rsidRDefault="00A959E4" w:rsidP="00C24B73">
      <w:pPr>
        <w:pStyle w:val="Heading2"/>
        <w:numPr>
          <w:ilvl w:val="0"/>
          <w:numId w:val="32"/>
        </w:numPr>
      </w:pPr>
      <w:bookmarkStart w:id="572" w:name="_Toc532904951"/>
      <w:bookmarkStart w:id="573" w:name="_Toc600600"/>
      <w:bookmarkStart w:id="574" w:name="_Toc111536813"/>
      <w:r w:rsidRPr="00B275E2">
        <w:t>Waste disposal</w:t>
      </w:r>
      <w:bookmarkEnd w:id="572"/>
      <w:bookmarkEnd w:id="573"/>
      <w:bookmarkEnd w:id="574"/>
    </w:p>
    <w:p w14:paraId="47CC34B5" w14:textId="336B7C31" w:rsidR="00A959E4" w:rsidRPr="00B275E2" w:rsidRDefault="00126671" w:rsidP="007F0B1E">
      <w:pPr>
        <w:pStyle w:val="BodyText"/>
      </w:pPr>
      <w:r w:rsidRPr="00B275E2">
        <w:t>W</w:t>
      </w:r>
      <w:r w:rsidR="00664A0B" w:rsidRPr="00B275E2">
        <w:t xml:space="preserve">aste disposal </w:t>
      </w:r>
      <w:r w:rsidR="00A959E4" w:rsidRPr="00B275E2">
        <w:t xml:space="preserve">emissions account only for the </w:t>
      </w:r>
      <w:r w:rsidR="00664A0B" w:rsidRPr="00B275E2">
        <w:t>GHG</w:t>
      </w:r>
      <w:r w:rsidR="00A959E4" w:rsidRPr="00B275E2">
        <w:t xml:space="preserve"> emitted from </w:t>
      </w:r>
      <w:r w:rsidR="00C1231D" w:rsidRPr="00B275E2">
        <w:t xml:space="preserve">end-of-life </w:t>
      </w:r>
      <w:r w:rsidR="00A959E4" w:rsidRPr="00B275E2">
        <w:t xml:space="preserve">waste </w:t>
      </w:r>
      <w:r w:rsidR="00C1231D" w:rsidRPr="00B275E2">
        <w:t>disposal</w:t>
      </w:r>
      <w:r w:rsidR="00A959E4" w:rsidRPr="00B275E2">
        <w:t>. Currently</w:t>
      </w:r>
      <w:r w:rsidR="009953FD" w:rsidRPr="00B275E2">
        <w:t>,</w:t>
      </w:r>
      <w:r w:rsidR="00A959E4" w:rsidRPr="00B275E2">
        <w:t xml:space="preserve"> </w:t>
      </w:r>
      <w:r w:rsidR="00C1231D" w:rsidRPr="00B275E2">
        <w:t xml:space="preserve">this guide covers emissions from </w:t>
      </w:r>
      <w:r w:rsidR="00664A0B" w:rsidRPr="00B275E2">
        <w:t>waste-to-landfill</w:t>
      </w:r>
      <w:r w:rsidR="00C1231D" w:rsidRPr="00B275E2">
        <w:t xml:space="preserve"> for municipal </w:t>
      </w:r>
      <w:r w:rsidR="00A72CE8" w:rsidRPr="00B275E2">
        <w:t>a</w:t>
      </w:r>
      <w:r w:rsidR="00C1231D" w:rsidRPr="00B275E2">
        <w:t xml:space="preserve">nd non-municipal </w:t>
      </w:r>
      <w:r w:rsidR="00C1231D" w:rsidRPr="00B275E2">
        <w:lastRenderedPageBreak/>
        <w:t>landfills</w:t>
      </w:r>
      <w:r w:rsidR="00AD05A7" w:rsidRPr="00B275E2">
        <w:t>, as well as biological treatment (composting and anaerobic digestion).</w:t>
      </w:r>
      <w:r w:rsidR="00A959E4" w:rsidRPr="00B275E2">
        <w:t xml:space="preserve"> If users are seeking whole</w:t>
      </w:r>
      <w:r w:rsidRPr="00B275E2">
        <w:t>-</w:t>
      </w:r>
      <w:r w:rsidR="00A959E4" w:rsidRPr="00B275E2">
        <w:t>life assessment of waste streams</w:t>
      </w:r>
      <w:r w:rsidRPr="00B275E2">
        <w:t>,</w:t>
      </w:r>
      <w:r w:rsidR="00A959E4" w:rsidRPr="00B275E2">
        <w:t xml:space="preserve"> </w:t>
      </w:r>
      <w:r w:rsidR="00664A0B" w:rsidRPr="00B275E2">
        <w:t>we</w:t>
      </w:r>
      <w:r w:rsidR="00A959E4" w:rsidRPr="00B275E2">
        <w:t xml:space="preserve"> direct</w:t>
      </w:r>
      <w:r w:rsidR="00664A0B" w:rsidRPr="00B275E2">
        <w:t xml:space="preserve"> them</w:t>
      </w:r>
      <w:r w:rsidR="00A959E4" w:rsidRPr="00B275E2">
        <w:t xml:space="preserve"> to the </w:t>
      </w:r>
      <w:hyperlink r:id="rId106" w:history="1">
        <w:r w:rsidR="00A959E4" w:rsidRPr="00B275E2">
          <w:rPr>
            <w:rStyle w:val="Hyperlink"/>
          </w:rPr>
          <w:t>UK BEIS emission factors</w:t>
        </w:r>
      </w:hyperlink>
      <w:r w:rsidR="00A959E4" w:rsidRPr="00B275E2">
        <w:t xml:space="preserve"> for </w:t>
      </w:r>
      <w:r w:rsidR="00624544" w:rsidRPr="00B275E2">
        <w:t>company</w:t>
      </w:r>
      <w:r w:rsidR="00A959E4" w:rsidRPr="00B275E2">
        <w:t xml:space="preserve"> reporting.</w:t>
      </w:r>
    </w:p>
    <w:p w14:paraId="000EEAA2" w14:textId="0C442166" w:rsidR="00A959E4" w:rsidRPr="00B275E2" w:rsidRDefault="00C67917" w:rsidP="007F0B1E">
      <w:pPr>
        <w:pStyle w:val="BodyText"/>
      </w:pPr>
      <w:r w:rsidRPr="00B275E2">
        <w:t>The guide does not cover m</w:t>
      </w:r>
      <w:r w:rsidR="00A959E4" w:rsidRPr="00B275E2">
        <w:t xml:space="preserve">ethodologies to determine emissions from solid waste incineration, as </w:t>
      </w:r>
      <w:r w:rsidRPr="00B275E2">
        <w:t xml:space="preserve">we assume </w:t>
      </w:r>
      <w:r w:rsidR="00A959E4" w:rsidRPr="00B275E2">
        <w:t>emissions are negligible at the individual organisation level.</w:t>
      </w:r>
      <w:r w:rsidR="00703529" w:rsidRPr="00B275E2">
        <w:t xml:space="preserve"> </w:t>
      </w:r>
    </w:p>
    <w:p w14:paraId="574C0B63" w14:textId="3246E3F7" w:rsidR="00A959E4" w:rsidRPr="00B275E2" w:rsidRDefault="00A959E4" w:rsidP="00D01071">
      <w:pPr>
        <w:pStyle w:val="BodyText"/>
      </w:pPr>
      <w:r w:rsidRPr="00B275E2">
        <w:t xml:space="preserve">The units of emissions are </w:t>
      </w:r>
      <w:r w:rsidR="00C67917" w:rsidRPr="00B275E2">
        <w:t>kg</w:t>
      </w:r>
      <w:r w:rsidRPr="00B275E2">
        <w:t xml:space="preserve"> CO</w:t>
      </w:r>
      <w:r w:rsidRPr="00B275E2">
        <w:rPr>
          <w:vertAlign w:val="subscript"/>
        </w:rPr>
        <w:t>2</w:t>
      </w:r>
      <w:r w:rsidRPr="00B275E2">
        <w:t xml:space="preserve">-e per </w:t>
      </w:r>
      <w:r w:rsidR="00C67917" w:rsidRPr="00B275E2">
        <w:t>kg</w:t>
      </w:r>
      <w:r w:rsidRPr="00B275E2">
        <w:t xml:space="preserve"> of material. The anaerobic decomposition of organic waste in landfills generates </w:t>
      </w:r>
      <w:r w:rsidR="00303AA0" w:rsidRPr="00B275E2">
        <w:t>methane</w:t>
      </w:r>
      <w:r w:rsidRPr="00B275E2">
        <w:t>.</w:t>
      </w:r>
      <w:r w:rsidR="00A26926" w:rsidRPr="00B275E2">
        <w:t xml:space="preserve"> </w:t>
      </w:r>
      <w:r w:rsidR="00C67917" w:rsidRPr="00B275E2">
        <w:t>Organisations should adjust i</w:t>
      </w:r>
      <w:r w:rsidRPr="00B275E2">
        <w:t xml:space="preserve">nventories to account for </w:t>
      </w:r>
      <w:r w:rsidRPr="00B275E2">
        <w:rPr>
          <w:spacing w:val="-2"/>
        </w:rPr>
        <w:t>the landfill</w:t>
      </w:r>
      <w:r w:rsidR="00D24054" w:rsidRPr="00B275E2">
        <w:rPr>
          <w:spacing w:val="-2"/>
        </w:rPr>
        <w:t>s that collected and destroyed landfill</w:t>
      </w:r>
      <w:r w:rsidRPr="00B275E2">
        <w:rPr>
          <w:spacing w:val="-2"/>
        </w:rPr>
        <w:t xml:space="preserve"> </w:t>
      </w:r>
      <w:r w:rsidR="007D66F9" w:rsidRPr="00B275E2">
        <w:rPr>
          <w:spacing w:val="-2"/>
        </w:rPr>
        <w:t xml:space="preserve">gas. </w:t>
      </w:r>
      <w:r w:rsidRPr="00B275E2">
        <w:rPr>
          <w:spacing w:val="-2"/>
        </w:rPr>
        <w:t xml:space="preserve">Where </w:t>
      </w:r>
      <w:r w:rsidR="00303AA0" w:rsidRPr="00B275E2">
        <w:rPr>
          <w:spacing w:val="-2"/>
        </w:rPr>
        <w:t>methane</w:t>
      </w:r>
      <w:r w:rsidRPr="00B275E2">
        <w:rPr>
          <w:spacing w:val="-2"/>
        </w:rPr>
        <w:t xml:space="preserve"> is </w:t>
      </w:r>
      <w:r w:rsidR="00D24054" w:rsidRPr="00B275E2">
        <w:rPr>
          <w:spacing w:val="-2"/>
        </w:rPr>
        <w:t>collected and destroyed</w:t>
      </w:r>
      <w:r w:rsidR="00D24054" w:rsidRPr="00B275E2">
        <w:t xml:space="preserve"> by flaring</w:t>
      </w:r>
      <w:r w:rsidR="00A72CE8" w:rsidRPr="00B275E2">
        <w:t xml:space="preserve"> </w:t>
      </w:r>
      <w:r w:rsidRPr="00B275E2">
        <w:t>or combust</w:t>
      </w:r>
      <w:r w:rsidR="00D24054" w:rsidRPr="00B275E2">
        <w:t>ion</w:t>
      </w:r>
      <w:r w:rsidRPr="00B275E2">
        <w:t xml:space="preserve"> </w:t>
      </w:r>
      <w:r w:rsidR="00C81DA8" w:rsidRPr="00B275E2">
        <w:t>to generate</w:t>
      </w:r>
      <w:r w:rsidRPr="00B275E2">
        <w:t xml:space="preserve"> energy, the </w:t>
      </w:r>
      <w:r w:rsidR="00303AA0" w:rsidRPr="00B275E2">
        <w:t>carbon dioxide</w:t>
      </w:r>
      <w:r w:rsidRPr="00B275E2">
        <w:t xml:space="preserve"> emitted from the combustion process is</w:t>
      </w:r>
      <w:r w:rsidR="00A72CE8" w:rsidRPr="00B275E2">
        <w:t xml:space="preserve"> </w:t>
      </w:r>
      <w:r w:rsidRPr="00B275E2">
        <w:t xml:space="preserve">regarded as part of the natural carbon cycle. Biogenic </w:t>
      </w:r>
      <w:r w:rsidR="00303AA0" w:rsidRPr="00B275E2">
        <w:t>carbon dioxide</w:t>
      </w:r>
      <w:r w:rsidRPr="00B275E2">
        <w:rPr>
          <w:vertAlign w:val="subscript"/>
        </w:rPr>
        <w:t xml:space="preserve">, </w:t>
      </w:r>
      <w:r w:rsidRPr="00B275E2">
        <w:t xml:space="preserve">being part of the natural cycle, is absorbed by living organic matter and released at the end of its </w:t>
      </w:r>
      <w:r w:rsidR="00C67917" w:rsidRPr="00B275E2">
        <w:t>life and</w:t>
      </w:r>
      <w:r w:rsidRPr="00B275E2">
        <w:t xml:space="preserve"> is not</w:t>
      </w:r>
      <w:r w:rsidR="00F0029C" w:rsidRPr="00B275E2">
        <w:t xml:space="preserve"> </w:t>
      </w:r>
      <w:r w:rsidRPr="00B275E2">
        <w:t>included in these emission factors</w:t>
      </w:r>
      <w:r w:rsidR="006C07FA" w:rsidRPr="00B275E2">
        <w:t xml:space="preserve"> since it has no net effect on greenhouse gases.</w:t>
      </w:r>
    </w:p>
    <w:p w14:paraId="67EC3CC9" w14:textId="184EF0CC" w:rsidR="009343E3" w:rsidRPr="00B275E2" w:rsidRDefault="006C07FA" w:rsidP="007F0B1E">
      <w:pPr>
        <w:pStyle w:val="BodyText"/>
        <w:rPr>
          <w:spacing w:val="2"/>
        </w:rPr>
      </w:pPr>
      <w:r w:rsidRPr="00B275E2">
        <w:rPr>
          <w:spacing w:val="2"/>
        </w:rPr>
        <w:t>E</w:t>
      </w:r>
      <w:r w:rsidR="00220181" w:rsidRPr="00B275E2">
        <w:rPr>
          <w:spacing w:val="2"/>
        </w:rPr>
        <w:t>mission factor</w:t>
      </w:r>
      <w:r w:rsidRPr="00B275E2">
        <w:rPr>
          <w:spacing w:val="2"/>
        </w:rPr>
        <w:t>s</w:t>
      </w:r>
      <w:r w:rsidR="00220181" w:rsidRPr="00B275E2">
        <w:rPr>
          <w:spacing w:val="2"/>
        </w:rPr>
        <w:t xml:space="preserve"> for anaerobic digestion</w:t>
      </w:r>
      <w:r w:rsidRPr="00B275E2">
        <w:rPr>
          <w:spacing w:val="2"/>
        </w:rPr>
        <w:t xml:space="preserve"> and composting are reported as</w:t>
      </w:r>
      <w:r w:rsidR="00220181" w:rsidRPr="00B275E2">
        <w:rPr>
          <w:spacing w:val="2"/>
        </w:rPr>
        <w:t xml:space="preserve"> form</w:t>
      </w:r>
      <w:r w:rsidR="00E97DA9" w:rsidRPr="00B275E2">
        <w:rPr>
          <w:spacing w:val="2"/>
        </w:rPr>
        <w:t>s</w:t>
      </w:r>
      <w:r w:rsidR="00220181" w:rsidRPr="00B275E2">
        <w:rPr>
          <w:spacing w:val="2"/>
        </w:rPr>
        <w:t xml:space="preserve"> of biological treatment of waste.</w:t>
      </w:r>
    </w:p>
    <w:p w14:paraId="1B5DBA32" w14:textId="5F7570E8" w:rsidR="00A959E4" w:rsidRPr="00B275E2" w:rsidRDefault="00A959E4" w:rsidP="007F0B1E">
      <w:pPr>
        <w:pStyle w:val="BodyText"/>
      </w:pPr>
      <w:r w:rsidRPr="00B275E2">
        <w:t xml:space="preserve">The </w:t>
      </w:r>
      <w:r w:rsidR="00FB5314" w:rsidRPr="00B275E2">
        <w:t>type</w:t>
      </w:r>
      <w:r w:rsidR="005D4802" w:rsidRPr="00B275E2">
        <w:t>, age, design, engineering, and management practices</w:t>
      </w:r>
      <w:r w:rsidRPr="00B275E2">
        <w:t xml:space="preserve"> of</w:t>
      </w:r>
      <w:r w:rsidR="005D4802" w:rsidRPr="00B275E2">
        <w:t xml:space="preserve"> the</w:t>
      </w:r>
      <w:r w:rsidRPr="00B275E2">
        <w:t xml:space="preserve"> landfill influences the </w:t>
      </w:r>
      <w:r w:rsidR="00C67917" w:rsidRPr="00B275E2">
        <w:t>GHG</w:t>
      </w:r>
      <w:r w:rsidRPr="00B275E2">
        <w:t xml:space="preserve"> conversion factor</w:t>
      </w:r>
      <w:r w:rsidR="00126671" w:rsidRPr="00B275E2">
        <w:t>,</w:t>
      </w:r>
      <w:r w:rsidRPr="00B275E2">
        <w:t xml:space="preserve"> based on </w:t>
      </w:r>
      <w:r w:rsidR="00C67917" w:rsidRPr="00B275E2">
        <w:t>whether</w:t>
      </w:r>
      <w:r w:rsidRPr="00B275E2">
        <w:t xml:space="preserve"> there is a </w:t>
      </w:r>
      <w:r w:rsidR="00303AA0" w:rsidRPr="00B275E2">
        <w:t>methane</w:t>
      </w:r>
      <w:r w:rsidR="00C67917" w:rsidRPr="00B275E2">
        <w:t xml:space="preserve"> </w:t>
      </w:r>
      <w:r w:rsidRPr="00B275E2">
        <w:t xml:space="preserve">gas collection system. </w:t>
      </w:r>
      <w:r w:rsidR="00E97DA9" w:rsidRPr="00B275E2">
        <w:t>In 2020, 97</w:t>
      </w:r>
      <w:r w:rsidR="00D01071" w:rsidRPr="00B275E2">
        <w:t> </w:t>
      </w:r>
      <w:r w:rsidR="00F0029C" w:rsidRPr="00B275E2">
        <w:t xml:space="preserve">per cent </w:t>
      </w:r>
      <w:r w:rsidR="00E97DA9" w:rsidRPr="00B275E2">
        <w:t>of municipal waste was disposed to landfills with gas collection.</w:t>
      </w:r>
    </w:p>
    <w:p w14:paraId="75BCE07C" w14:textId="4E5B553C" w:rsidR="00A959E4" w:rsidRPr="00B275E2" w:rsidRDefault="00EB4389" w:rsidP="00D01071">
      <w:pPr>
        <w:pStyle w:val="Tableheading"/>
      </w:pPr>
      <w:bookmarkStart w:id="575" w:name="_Ref532845214"/>
      <w:bookmarkStart w:id="576" w:name="_Toc111536684"/>
      <w:r w:rsidRPr="00B275E2">
        <w:t xml:space="preserve">Table </w:t>
      </w:r>
      <w:r w:rsidRPr="00B275E2">
        <w:fldChar w:fldCharType="begin"/>
      </w:r>
      <w:r w:rsidRPr="00B275E2">
        <w:instrText>SEQ Table \* ARABIC</w:instrText>
      </w:r>
      <w:r w:rsidRPr="00B275E2">
        <w:fldChar w:fldCharType="separate"/>
      </w:r>
      <w:r>
        <w:rPr>
          <w:noProof/>
        </w:rPr>
        <w:t>79</w:t>
      </w:r>
      <w:r w:rsidRPr="00B275E2">
        <w:fldChar w:fldCharType="end"/>
      </w:r>
      <w:r w:rsidRPr="00B275E2">
        <w:t>:</w:t>
      </w:r>
      <w:r w:rsidRPr="00B275E2">
        <w:tab/>
      </w:r>
      <w:r w:rsidR="00A959E4" w:rsidRPr="00B275E2">
        <w:t>Description of landfill types</w:t>
      </w:r>
      <w:bookmarkEnd w:id="575"/>
      <w:bookmarkEnd w:id="576"/>
    </w:p>
    <w:tbl>
      <w:tblPr>
        <w:tblStyle w:val="LightList-Accent2"/>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2440"/>
        <w:gridCol w:w="6065"/>
      </w:tblGrid>
      <w:tr w:rsidR="00A959E4" w:rsidRPr="00B275E2" w14:paraId="01A8ABBE" w14:textId="77777777" w:rsidTr="00D010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0" w:type="dxa"/>
            <w:shd w:val="clear" w:color="auto" w:fill="1B556B" w:themeFill="text2"/>
          </w:tcPr>
          <w:p w14:paraId="69FCEA75" w14:textId="77777777" w:rsidR="00A959E4" w:rsidRPr="00B275E2" w:rsidRDefault="00A959E4" w:rsidP="007F0B1E">
            <w:pPr>
              <w:pStyle w:val="TableText"/>
              <w:keepNext/>
            </w:pPr>
            <w:r w:rsidRPr="00B275E2">
              <w:t>Landfill type</w:t>
            </w:r>
          </w:p>
        </w:tc>
        <w:tc>
          <w:tcPr>
            <w:tcW w:w="6065" w:type="dxa"/>
            <w:shd w:val="clear" w:color="auto" w:fill="1B556B" w:themeFill="text2"/>
          </w:tcPr>
          <w:p w14:paraId="26BB7C9F" w14:textId="77777777" w:rsidR="00A959E4" w:rsidRPr="00B275E2" w:rsidRDefault="00A959E4" w:rsidP="007F0B1E">
            <w:pPr>
              <w:pStyle w:val="TableText"/>
              <w:keepNext/>
              <w:cnfStyle w:val="100000000000" w:firstRow="1" w:lastRow="0" w:firstColumn="0" w:lastColumn="0" w:oddVBand="0" w:evenVBand="0" w:oddHBand="0" w:evenHBand="0" w:firstRowFirstColumn="0" w:firstRowLastColumn="0" w:lastRowFirstColumn="0" w:lastRowLastColumn="0"/>
            </w:pPr>
            <w:r w:rsidRPr="00B275E2">
              <w:t>Description</w:t>
            </w:r>
          </w:p>
        </w:tc>
      </w:tr>
      <w:tr w:rsidR="00CA577B" w:rsidRPr="00B275E2" w14:paraId="7F41418F" w14:textId="77777777" w:rsidTr="00EC0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0" w:type="dxa"/>
            <w:tcBorders>
              <w:left w:val="single" w:sz="4" w:space="0" w:color="FFFFFF" w:themeColor="background1"/>
            </w:tcBorders>
          </w:tcPr>
          <w:p w14:paraId="3ED1528B" w14:textId="0AAAC861" w:rsidR="00CA577B" w:rsidRPr="00B275E2" w:rsidRDefault="00CA577B" w:rsidP="007F0B1E">
            <w:pPr>
              <w:pStyle w:val="TableText"/>
              <w:rPr>
                <w:b w:val="0"/>
              </w:rPr>
            </w:pPr>
            <w:r w:rsidRPr="00B275E2">
              <w:rPr>
                <w:b w:val="0"/>
              </w:rPr>
              <w:t xml:space="preserve">Municipal (class 1) landfills </w:t>
            </w:r>
            <w:r w:rsidR="00E97DA9" w:rsidRPr="00B275E2">
              <w:rPr>
                <w:b w:val="0"/>
              </w:rPr>
              <w:t>w</w:t>
            </w:r>
            <w:r w:rsidRPr="00B275E2">
              <w:rPr>
                <w:b w:val="0"/>
              </w:rPr>
              <w:t>ith gas recovery</w:t>
            </w:r>
          </w:p>
        </w:tc>
        <w:tc>
          <w:tcPr>
            <w:tcW w:w="6065" w:type="dxa"/>
            <w:tcBorders>
              <w:right w:val="single" w:sz="4" w:space="0" w:color="FFFFFF" w:themeColor="background1"/>
            </w:tcBorders>
          </w:tcPr>
          <w:p w14:paraId="7F587303" w14:textId="6D71D3F4" w:rsidR="00CA577B" w:rsidRPr="00B275E2" w:rsidRDefault="00CA577B" w:rsidP="007F0B1E">
            <w:pPr>
              <w:pStyle w:val="TableText"/>
              <w:cnfStyle w:val="000000100000" w:firstRow="0" w:lastRow="0" w:firstColumn="0" w:lastColumn="0" w:oddVBand="0" w:evenVBand="0" w:oddHBand="1" w:evenHBand="0" w:firstRowFirstColumn="0" w:firstRowLastColumn="0" w:lastRowFirstColumn="0" w:lastRowLastColumn="0"/>
            </w:pPr>
            <w:r w:rsidRPr="00B275E2">
              <w:t xml:space="preserve">Municipal, well-managed </w:t>
            </w:r>
            <w:r w:rsidR="00E97DA9" w:rsidRPr="00B275E2">
              <w:t>l</w:t>
            </w:r>
            <w:r w:rsidRPr="00B275E2">
              <w:t xml:space="preserve">andfill where </w:t>
            </w:r>
            <w:r w:rsidR="00D577D5" w:rsidRPr="00B275E2">
              <w:t>a landfill gas recovery system is installed. S</w:t>
            </w:r>
            <w:r w:rsidRPr="00B275E2">
              <w:t>ome of the CH</w:t>
            </w:r>
            <w:r w:rsidRPr="00B275E2">
              <w:rPr>
                <w:vertAlign w:val="subscript"/>
              </w:rPr>
              <w:t>4</w:t>
            </w:r>
            <w:r w:rsidRPr="00B275E2">
              <w:t xml:space="preserve"> produced during the organic decomposition of waste is captured</w:t>
            </w:r>
            <w:r w:rsidR="00D577D5" w:rsidRPr="00B275E2">
              <w:t xml:space="preserve"> and destroyed.</w:t>
            </w:r>
          </w:p>
        </w:tc>
      </w:tr>
      <w:tr w:rsidR="00CA577B" w:rsidRPr="00B275E2" w14:paraId="17BC3A9B" w14:textId="77777777" w:rsidTr="00EC0FF5">
        <w:tc>
          <w:tcPr>
            <w:cnfStyle w:val="001000000000" w:firstRow="0" w:lastRow="0" w:firstColumn="1" w:lastColumn="0" w:oddVBand="0" w:evenVBand="0" w:oddHBand="0" w:evenHBand="0" w:firstRowFirstColumn="0" w:firstRowLastColumn="0" w:lastRowFirstColumn="0" w:lastRowLastColumn="0"/>
            <w:tcW w:w="2440" w:type="dxa"/>
            <w:tcBorders>
              <w:left w:val="single" w:sz="4" w:space="0" w:color="FFFFFF" w:themeColor="background1"/>
            </w:tcBorders>
          </w:tcPr>
          <w:p w14:paraId="057CF461" w14:textId="42DD1BD2" w:rsidR="00CA577B" w:rsidRPr="00B275E2" w:rsidRDefault="00CA577B" w:rsidP="007F0B1E">
            <w:pPr>
              <w:pStyle w:val="TableText"/>
              <w:rPr>
                <w:b w:val="0"/>
              </w:rPr>
            </w:pPr>
            <w:r w:rsidRPr="00B275E2">
              <w:rPr>
                <w:b w:val="0"/>
              </w:rPr>
              <w:t xml:space="preserve">Municipal (class 1) landfills </w:t>
            </w:r>
            <w:r w:rsidR="00E97DA9" w:rsidRPr="00B275E2">
              <w:rPr>
                <w:b w:val="0"/>
              </w:rPr>
              <w:t>w</w:t>
            </w:r>
            <w:r w:rsidRPr="00B275E2">
              <w:rPr>
                <w:b w:val="0"/>
              </w:rPr>
              <w:t>ithout gas recovery</w:t>
            </w:r>
          </w:p>
        </w:tc>
        <w:tc>
          <w:tcPr>
            <w:tcW w:w="6065" w:type="dxa"/>
            <w:tcBorders>
              <w:right w:val="single" w:sz="4" w:space="0" w:color="FFFFFF" w:themeColor="background1"/>
            </w:tcBorders>
          </w:tcPr>
          <w:p w14:paraId="25B7D03B" w14:textId="45DE273C" w:rsidR="00CA577B" w:rsidRPr="00B275E2" w:rsidRDefault="00CA577B" w:rsidP="007F0B1E">
            <w:pPr>
              <w:pStyle w:val="TableText"/>
              <w:cnfStyle w:val="000000000000" w:firstRow="0" w:lastRow="0" w:firstColumn="0" w:lastColumn="0" w:oddVBand="0" w:evenVBand="0" w:oddHBand="0" w:evenHBand="0" w:firstRowFirstColumn="0" w:firstRowLastColumn="0" w:lastRowFirstColumn="0" w:lastRowLastColumn="0"/>
            </w:pPr>
            <w:r w:rsidRPr="00B275E2">
              <w:t xml:space="preserve">Municipal, well-managed </w:t>
            </w:r>
            <w:r w:rsidR="00D577D5" w:rsidRPr="00B275E2">
              <w:t>l</w:t>
            </w:r>
            <w:r w:rsidRPr="00B275E2">
              <w:t>andfill where</w:t>
            </w:r>
            <w:r w:rsidR="00D577D5" w:rsidRPr="00B275E2">
              <w:t xml:space="preserve"> all</w:t>
            </w:r>
            <w:r w:rsidRPr="00B275E2">
              <w:t xml:space="preserve"> the CH</w:t>
            </w:r>
            <w:r w:rsidRPr="00B275E2">
              <w:rPr>
                <w:vertAlign w:val="subscript"/>
              </w:rPr>
              <w:t>4</w:t>
            </w:r>
            <w:r w:rsidRPr="00B275E2">
              <w:t xml:space="preserve"> produced during organic decomposition of waste escapes into the atmosphere</w:t>
            </w:r>
            <w:r w:rsidR="00D577D5" w:rsidRPr="00B275E2">
              <w:t>, apart from that which is oxidised inside the landfill.</w:t>
            </w:r>
          </w:p>
        </w:tc>
      </w:tr>
      <w:tr w:rsidR="00CA577B" w:rsidRPr="00B275E2" w14:paraId="4ECB65A7" w14:textId="77777777" w:rsidTr="00EC0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0" w:type="dxa"/>
            <w:tcBorders>
              <w:left w:val="single" w:sz="4" w:space="0" w:color="FFFFFF" w:themeColor="background1"/>
            </w:tcBorders>
          </w:tcPr>
          <w:p w14:paraId="3BB997F0" w14:textId="566BDC53" w:rsidR="00CA577B" w:rsidRPr="00B275E2" w:rsidRDefault="00CA577B" w:rsidP="007F0B1E">
            <w:pPr>
              <w:pStyle w:val="TableText"/>
              <w:rPr>
                <w:b w:val="0"/>
              </w:rPr>
            </w:pPr>
            <w:r w:rsidRPr="00B275E2">
              <w:rPr>
                <w:b w:val="0"/>
              </w:rPr>
              <w:t>Non-municipal (class 2-</w:t>
            </w:r>
            <w:r w:rsidR="0077180E" w:rsidRPr="00B275E2">
              <w:rPr>
                <w:b w:val="0"/>
              </w:rPr>
              <w:t>4</w:t>
            </w:r>
            <w:r w:rsidRPr="00B275E2">
              <w:rPr>
                <w:b w:val="0"/>
              </w:rPr>
              <w:t>) landfills</w:t>
            </w:r>
          </w:p>
        </w:tc>
        <w:tc>
          <w:tcPr>
            <w:tcW w:w="6065" w:type="dxa"/>
            <w:tcBorders>
              <w:right w:val="single" w:sz="4" w:space="0" w:color="FFFFFF" w:themeColor="background1"/>
            </w:tcBorders>
          </w:tcPr>
          <w:p w14:paraId="5A06B7F0" w14:textId="07D2B852" w:rsidR="00CA577B" w:rsidRPr="00B275E2" w:rsidRDefault="00CA577B" w:rsidP="007F0B1E">
            <w:pPr>
              <w:pStyle w:val="TableText"/>
              <w:cnfStyle w:val="000000100000" w:firstRow="0" w:lastRow="0" w:firstColumn="0" w:lastColumn="0" w:oddVBand="0" w:evenVBand="0" w:oddHBand="1" w:evenHBand="0" w:firstRowFirstColumn="0" w:firstRowLastColumn="0" w:lastRowFirstColumn="0" w:lastRowLastColumn="0"/>
            </w:pPr>
            <w:r w:rsidRPr="00B275E2">
              <w:t>Non-municipal landfills that accept a broader range of wastes where the CH</w:t>
            </w:r>
            <w:r w:rsidRPr="00B275E2">
              <w:rPr>
                <w:vertAlign w:val="subscript"/>
              </w:rPr>
              <w:t>4</w:t>
            </w:r>
            <w:r w:rsidRPr="00B275E2">
              <w:t xml:space="preserve"> produced during organic decomposition of waste escapes into the </w:t>
            </w:r>
            <w:r w:rsidR="00AD1386" w:rsidRPr="00B275E2">
              <w:t>atmosphere.</w:t>
            </w:r>
          </w:p>
        </w:tc>
      </w:tr>
    </w:tbl>
    <w:p w14:paraId="461CB5EB" w14:textId="59BE238A" w:rsidR="00C67917" w:rsidRPr="00B275E2" w:rsidRDefault="00954B9C" w:rsidP="007F0B1E">
      <w:pPr>
        <w:pStyle w:val="BodyText"/>
        <w:spacing w:before="240"/>
      </w:pPr>
      <w:hyperlink w:anchor="_Appendix_C:_Landfills" w:history="1">
        <w:r w:rsidR="009657E3" w:rsidRPr="00B275E2">
          <w:rPr>
            <w:rStyle w:val="Hyperlink"/>
          </w:rPr>
          <w:t>Appendix C: Landfills with and without landfill gas recovery</w:t>
        </w:r>
      </w:hyperlink>
      <w:r w:rsidR="009657E3" w:rsidRPr="00B275E2">
        <w:rPr>
          <w:color w:val="32809C" w:themeColor="accent2"/>
        </w:rPr>
        <w:t xml:space="preserve"> </w:t>
      </w:r>
      <w:r w:rsidR="00C67917" w:rsidRPr="00B275E2">
        <w:t>includes a</w:t>
      </w:r>
      <w:r w:rsidR="00A959E4" w:rsidRPr="00B275E2">
        <w:t xml:space="preserve"> list of</w:t>
      </w:r>
      <w:r w:rsidR="00C004C7" w:rsidRPr="00B275E2">
        <w:t xml:space="preserve"> class 1</w:t>
      </w:r>
      <w:r w:rsidR="00A959E4" w:rsidRPr="00B275E2">
        <w:t xml:space="preserve"> landfills with gas recovery.</w:t>
      </w:r>
    </w:p>
    <w:p w14:paraId="4F034FEC" w14:textId="25E5A805" w:rsidR="00A959E4" w:rsidRPr="00B275E2" w:rsidRDefault="00A959E4" w:rsidP="007F0B1E">
      <w:pPr>
        <w:pStyle w:val="BodyText"/>
      </w:pPr>
      <w:r w:rsidRPr="00B275E2">
        <w:t xml:space="preserve">If organisations are interested in calculating the emissions from </w:t>
      </w:r>
      <w:r w:rsidR="009E1098" w:rsidRPr="00B275E2">
        <w:t>transporting waste</w:t>
      </w:r>
      <w:r w:rsidRPr="00B275E2">
        <w:t xml:space="preserve"> materials</w:t>
      </w:r>
      <w:r w:rsidR="00176139" w:rsidRPr="00B275E2">
        <w:t>,</w:t>
      </w:r>
      <w:r w:rsidRPr="00B275E2">
        <w:t xml:space="preserve"> they could do so by independently accounting for the distance travelled, </w:t>
      </w:r>
      <w:r w:rsidR="00C67917" w:rsidRPr="00B275E2">
        <w:t>using</w:t>
      </w:r>
      <w:r w:rsidRPr="00B275E2">
        <w:t xml:space="preserve"> freight</w:t>
      </w:r>
      <w:r w:rsidR="00C67917" w:rsidRPr="00B275E2">
        <w:t xml:space="preserve"> emission factors</w:t>
      </w:r>
      <w:r w:rsidR="00632416" w:rsidRPr="00B275E2">
        <w:t xml:space="preserve"> (see </w:t>
      </w:r>
      <w:hyperlink w:anchor="_Freight_transport_emission" w:history="1">
        <w:r w:rsidR="00632416" w:rsidRPr="00B275E2">
          <w:rPr>
            <w:rStyle w:val="Hyperlink"/>
          </w:rPr>
          <w:t>section</w:t>
        </w:r>
        <w:r w:rsidR="000E3643" w:rsidRPr="00B275E2">
          <w:rPr>
            <w:rStyle w:val="Hyperlink"/>
          </w:rPr>
          <w:t xml:space="preserve"> </w:t>
        </w:r>
        <w:r w:rsidR="007C7CE1" w:rsidRPr="00B275E2">
          <w:rPr>
            <w:rStyle w:val="Hyperlink"/>
          </w:rPr>
          <w:t>8</w:t>
        </w:r>
      </w:hyperlink>
      <w:r w:rsidR="00632416" w:rsidRPr="00B275E2">
        <w:t>)</w:t>
      </w:r>
      <w:r w:rsidR="003B5F6D" w:rsidRPr="00B275E2">
        <w:t>.</w:t>
      </w:r>
    </w:p>
    <w:p w14:paraId="4D1DE301" w14:textId="5F49D6FF" w:rsidR="00A959E4" w:rsidRPr="00B275E2" w:rsidRDefault="00C67917" w:rsidP="007F0B1E">
      <w:pPr>
        <w:pStyle w:val="BodyText"/>
      </w:pPr>
      <w:r w:rsidRPr="00B275E2">
        <w:t>We</w:t>
      </w:r>
      <w:r w:rsidR="00A959E4" w:rsidRPr="00B275E2">
        <w:t xml:space="preserve"> calculate</w:t>
      </w:r>
      <w:r w:rsidRPr="00B275E2">
        <w:t>d the</w:t>
      </w:r>
      <w:r w:rsidR="00A959E4" w:rsidRPr="00B275E2">
        <w:t xml:space="preserve"> </w:t>
      </w:r>
      <w:r w:rsidRPr="00B275E2">
        <w:t xml:space="preserve">waste-to-landfill </w:t>
      </w:r>
      <w:r w:rsidR="00A959E4" w:rsidRPr="00B275E2">
        <w:t xml:space="preserve">emission conversion factors </w:t>
      </w:r>
      <w:r w:rsidRPr="00B275E2">
        <w:t>based on</w:t>
      </w:r>
      <w:r w:rsidR="00A959E4" w:rsidRPr="00B275E2">
        <w:t xml:space="preserve"> the </w:t>
      </w:r>
      <w:r w:rsidR="000E0830" w:rsidRPr="00B275E2">
        <w:rPr>
          <w:rFonts w:eastAsia="Times New Roman"/>
          <w:i/>
          <w:iCs/>
        </w:rPr>
        <w:t>New Zealand Greenhouse Gas Inventory 1990-2020</w:t>
      </w:r>
      <w:r w:rsidR="00A959E4" w:rsidRPr="00B275E2">
        <w:t>.</w:t>
      </w:r>
      <w:r w:rsidR="00632416" w:rsidRPr="00B275E2">
        <w:t xml:space="preserve"> </w:t>
      </w:r>
      <w:r w:rsidR="00E36A89" w:rsidRPr="00B275E2">
        <w:t xml:space="preserve">Table </w:t>
      </w:r>
      <w:r w:rsidR="00C57282" w:rsidRPr="00B275E2">
        <w:t>8</w:t>
      </w:r>
      <w:r w:rsidR="00F23341">
        <w:t>0</w:t>
      </w:r>
      <w:r w:rsidR="00C57282" w:rsidRPr="00B275E2">
        <w:t xml:space="preserve"> to </w:t>
      </w:r>
      <w:r w:rsidR="00246A55" w:rsidRPr="00B275E2">
        <w:t>table 8</w:t>
      </w:r>
      <w:r w:rsidR="00F23341">
        <w:t>3</w:t>
      </w:r>
      <w:r w:rsidR="00246A55" w:rsidRPr="00B275E2">
        <w:t xml:space="preserve"> </w:t>
      </w:r>
      <w:r w:rsidR="00386BD8" w:rsidRPr="00B275E2">
        <w:rPr>
          <w:rStyle w:val="BodyTextChar"/>
          <w:rFonts w:asciiTheme="minorHAnsi" w:hAnsiTheme="minorHAnsi"/>
        </w:rPr>
        <w:t xml:space="preserve">show </w:t>
      </w:r>
      <w:r w:rsidR="00632416" w:rsidRPr="00B275E2">
        <w:rPr>
          <w:rStyle w:val="BodyTextChar"/>
          <w:rFonts w:asciiTheme="minorHAnsi" w:hAnsiTheme="minorHAnsi"/>
        </w:rPr>
        <w:t xml:space="preserve">the </w:t>
      </w:r>
      <w:r w:rsidR="007B647A" w:rsidRPr="00B275E2">
        <w:rPr>
          <w:rStyle w:val="BodyTextChar"/>
          <w:rFonts w:asciiTheme="minorHAnsi" w:hAnsiTheme="minorHAnsi"/>
        </w:rPr>
        <w:t>factors.</w:t>
      </w:r>
    </w:p>
    <w:p w14:paraId="0E9A8824" w14:textId="18EF04B5" w:rsidR="00A959E4" w:rsidRPr="00B275E2" w:rsidRDefault="00EB4389" w:rsidP="00D01071">
      <w:pPr>
        <w:pStyle w:val="Tableheading"/>
      </w:pPr>
      <w:bookmarkStart w:id="577" w:name="_Ref532845768"/>
      <w:bookmarkStart w:id="578" w:name="_Toc111536685"/>
      <w:r w:rsidRPr="00B275E2">
        <w:t xml:space="preserve">Table </w:t>
      </w:r>
      <w:r w:rsidRPr="00B275E2">
        <w:fldChar w:fldCharType="begin"/>
      </w:r>
      <w:r w:rsidRPr="00B275E2">
        <w:instrText>SEQ Table \* ARABIC</w:instrText>
      </w:r>
      <w:r w:rsidRPr="00B275E2">
        <w:fldChar w:fldCharType="separate"/>
      </w:r>
      <w:r>
        <w:rPr>
          <w:noProof/>
        </w:rPr>
        <w:t>80</w:t>
      </w:r>
      <w:r w:rsidRPr="00B275E2">
        <w:fldChar w:fldCharType="end"/>
      </w:r>
      <w:r w:rsidRPr="00B275E2">
        <w:t>:</w:t>
      </w:r>
      <w:r w:rsidRPr="00B275E2">
        <w:tab/>
      </w:r>
      <w:r w:rsidR="00A959E4" w:rsidRPr="00B275E2">
        <w:t xml:space="preserve">Waste disposal </w:t>
      </w:r>
      <w:r w:rsidR="00CA577B" w:rsidRPr="00B275E2">
        <w:t>to</w:t>
      </w:r>
      <w:r w:rsidR="00D336C7" w:rsidRPr="00B275E2">
        <w:t xml:space="preserve"> municipal</w:t>
      </w:r>
      <w:r w:rsidR="00CA577B" w:rsidRPr="00B275E2">
        <w:t xml:space="preserve"> (class 1)</w:t>
      </w:r>
      <w:r w:rsidR="00A959E4" w:rsidRPr="00B275E2">
        <w:t xml:space="preserve"> landfill</w:t>
      </w:r>
      <w:r w:rsidR="00D336C7" w:rsidRPr="00B275E2">
        <w:t>s with</w:t>
      </w:r>
      <w:r w:rsidR="00A959E4" w:rsidRPr="00B275E2">
        <w:t xml:space="preserve"> gas recovery</w:t>
      </w:r>
      <w:bookmarkEnd w:id="577"/>
      <w:bookmarkEnd w:id="578"/>
    </w:p>
    <w:tbl>
      <w:tblPr>
        <w:tblStyle w:val="LightList-Accent11"/>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Look w:val="04A0" w:firstRow="1" w:lastRow="0" w:firstColumn="1" w:lastColumn="0" w:noHBand="0" w:noVBand="1"/>
      </w:tblPr>
      <w:tblGrid>
        <w:gridCol w:w="1506"/>
        <w:gridCol w:w="1399"/>
        <w:gridCol w:w="612"/>
        <w:gridCol w:w="1247"/>
        <w:gridCol w:w="1247"/>
        <w:gridCol w:w="1247"/>
        <w:gridCol w:w="1247"/>
      </w:tblGrid>
      <w:tr w:rsidR="007211A7" w:rsidRPr="00B275E2" w14:paraId="693BA95E" w14:textId="77777777" w:rsidTr="00D010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5" w:type="dxa"/>
            <w:gridSpan w:val="2"/>
            <w:shd w:val="clear" w:color="auto" w:fill="1B556B" w:themeFill="text2"/>
            <w:noWrap/>
            <w:vAlign w:val="bottom"/>
            <w:hideMark/>
          </w:tcPr>
          <w:p w14:paraId="59657A55" w14:textId="77777777" w:rsidR="007211A7" w:rsidRPr="00B275E2" w:rsidRDefault="007211A7" w:rsidP="00D01071">
            <w:pPr>
              <w:pStyle w:val="TableText"/>
              <w:keepNext/>
              <w:spacing w:before="40" w:after="40"/>
            </w:pPr>
            <w:r w:rsidRPr="00B275E2">
              <w:t>Emission source</w:t>
            </w:r>
          </w:p>
        </w:tc>
        <w:tc>
          <w:tcPr>
            <w:tcW w:w="612" w:type="dxa"/>
            <w:shd w:val="clear" w:color="auto" w:fill="1B556B" w:themeFill="text2"/>
            <w:noWrap/>
            <w:vAlign w:val="bottom"/>
            <w:hideMark/>
          </w:tcPr>
          <w:p w14:paraId="251303FE" w14:textId="77777777" w:rsidR="007211A7" w:rsidRPr="00B275E2" w:rsidRDefault="007211A7" w:rsidP="00D01071">
            <w:pPr>
              <w:pStyle w:val="TableText"/>
              <w:keepNext/>
              <w:spacing w:before="40" w:after="40"/>
              <w:cnfStyle w:val="100000000000" w:firstRow="1" w:lastRow="0" w:firstColumn="0" w:lastColumn="0" w:oddVBand="0" w:evenVBand="0" w:oddHBand="0" w:evenHBand="0" w:firstRowFirstColumn="0" w:firstRowLastColumn="0" w:lastRowFirstColumn="0" w:lastRowLastColumn="0"/>
            </w:pPr>
            <w:r w:rsidRPr="00B275E2">
              <w:t>Unit</w:t>
            </w:r>
          </w:p>
        </w:tc>
        <w:tc>
          <w:tcPr>
            <w:tcW w:w="1247" w:type="dxa"/>
            <w:shd w:val="clear" w:color="auto" w:fill="D2DDE1" w:themeFill="background2"/>
            <w:noWrap/>
            <w:vAlign w:val="bottom"/>
            <w:hideMark/>
          </w:tcPr>
          <w:p w14:paraId="658CFD70" w14:textId="77777777" w:rsidR="007211A7" w:rsidRPr="00B275E2" w:rsidRDefault="007211A7" w:rsidP="00D01071">
            <w:pPr>
              <w:pStyle w:val="TableText"/>
              <w:keepNext/>
              <w:spacing w:before="40" w:after="40"/>
              <w:jc w:val="right"/>
              <w:cnfStyle w:val="100000000000" w:firstRow="1" w:lastRow="0" w:firstColumn="0" w:lastColumn="0" w:oddVBand="0" w:evenVBand="0" w:oddHBand="0" w:evenHBand="0" w:firstRowFirstColumn="0" w:firstRowLastColumn="0" w:lastRowFirstColumn="0" w:lastRowLastColumn="0"/>
              <w:rPr>
                <w:color w:val="auto"/>
              </w:rPr>
            </w:pPr>
            <w:r w:rsidRPr="00B275E2">
              <w:rPr>
                <w:color w:val="auto"/>
              </w:rPr>
              <w:t>kg CO</w:t>
            </w:r>
            <w:r w:rsidRPr="00B275E2">
              <w:rPr>
                <w:color w:val="auto"/>
                <w:vertAlign w:val="subscript"/>
              </w:rPr>
              <w:t>2</w:t>
            </w:r>
            <w:r w:rsidRPr="00B275E2">
              <w:rPr>
                <w:color w:val="auto"/>
              </w:rPr>
              <w:t>-e/unit</w:t>
            </w:r>
          </w:p>
        </w:tc>
        <w:tc>
          <w:tcPr>
            <w:tcW w:w="1247" w:type="dxa"/>
            <w:shd w:val="clear" w:color="auto" w:fill="1B556B" w:themeFill="text2"/>
            <w:noWrap/>
            <w:vAlign w:val="bottom"/>
            <w:hideMark/>
          </w:tcPr>
          <w:p w14:paraId="6CE3AD8B" w14:textId="072135E1" w:rsidR="00D16A6F" w:rsidRPr="00B275E2" w:rsidRDefault="007211A7" w:rsidP="00D01071">
            <w:pPr>
              <w:pStyle w:val="TableText"/>
              <w:keepNext/>
              <w:spacing w:before="40" w:after="40"/>
              <w:jc w:val="right"/>
              <w:cnfStyle w:val="100000000000" w:firstRow="1" w:lastRow="0" w:firstColumn="0" w:lastColumn="0" w:oddVBand="0" w:evenVBand="0" w:oddHBand="0" w:evenHBand="0" w:firstRowFirstColumn="0" w:firstRowLastColumn="0" w:lastRowFirstColumn="0" w:lastRowLastColumn="0"/>
            </w:pPr>
            <w:r w:rsidRPr="00B275E2">
              <w:t>kg CO</w:t>
            </w:r>
            <w:r w:rsidRPr="00B275E2">
              <w:rPr>
                <w:vertAlign w:val="subscript"/>
              </w:rPr>
              <w:t>2</w:t>
            </w:r>
            <w:r w:rsidRPr="00B275E2">
              <w:t>/unit</w:t>
            </w:r>
            <w:r w:rsidR="00D16A6F" w:rsidRPr="00B275E2">
              <w:br/>
              <w:t>(kg CO</w:t>
            </w:r>
            <w:r w:rsidR="00D16A6F" w:rsidRPr="00B275E2">
              <w:rPr>
                <w:vertAlign w:val="subscript"/>
              </w:rPr>
              <w:t>2</w:t>
            </w:r>
            <w:r w:rsidR="00D16A6F" w:rsidRPr="00B275E2">
              <w:noBreakHyphen/>
              <w:t>e)</w:t>
            </w:r>
          </w:p>
        </w:tc>
        <w:tc>
          <w:tcPr>
            <w:tcW w:w="1247" w:type="dxa"/>
            <w:shd w:val="clear" w:color="auto" w:fill="1B556B" w:themeFill="text2"/>
            <w:noWrap/>
            <w:vAlign w:val="bottom"/>
            <w:hideMark/>
          </w:tcPr>
          <w:p w14:paraId="758590FF" w14:textId="06266E0C" w:rsidR="007211A7" w:rsidRPr="00B275E2" w:rsidRDefault="00D16A6F" w:rsidP="00D01071">
            <w:pPr>
              <w:pStyle w:val="TableText"/>
              <w:keepNext/>
              <w:spacing w:before="40" w:after="40"/>
              <w:jc w:val="right"/>
              <w:cnfStyle w:val="100000000000" w:firstRow="1" w:lastRow="0" w:firstColumn="0" w:lastColumn="0" w:oddVBand="0" w:evenVBand="0" w:oddHBand="0" w:evenHBand="0" w:firstRowFirstColumn="0" w:firstRowLastColumn="0" w:lastRowFirstColumn="0" w:lastRowLastColumn="0"/>
            </w:pPr>
            <w:r w:rsidRPr="00B275E2">
              <w:t xml:space="preserve">kg </w:t>
            </w:r>
            <w:r w:rsidR="007211A7" w:rsidRPr="00B275E2">
              <w:t>CH</w:t>
            </w:r>
            <w:r w:rsidR="007211A7" w:rsidRPr="00B275E2">
              <w:rPr>
                <w:vertAlign w:val="subscript"/>
              </w:rPr>
              <w:t>4</w:t>
            </w:r>
            <w:r w:rsidRPr="00B275E2">
              <w:t>/unit</w:t>
            </w:r>
            <w:r w:rsidR="007211A7" w:rsidRPr="00B275E2">
              <w:t xml:space="preserve"> (kg CO</w:t>
            </w:r>
            <w:r w:rsidR="007211A7" w:rsidRPr="00B275E2">
              <w:rPr>
                <w:vertAlign w:val="subscript"/>
              </w:rPr>
              <w:t>2</w:t>
            </w:r>
            <w:r w:rsidR="007211A7" w:rsidRPr="00B275E2">
              <w:noBreakHyphen/>
              <w:t>e)</w:t>
            </w:r>
          </w:p>
        </w:tc>
        <w:tc>
          <w:tcPr>
            <w:tcW w:w="1247" w:type="dxa"/>
            <w:shd w:val="clear" w:color="auto" w:fill="1B556B" w:themeFill="text2"/>
            <w:noWrap/>
            <w:vAlign w:val="bottom"/>
            <w:hideMark/>
          </w:tcPr>
          <w:p w14:paraId="20188F3C" w14:textId="172BA20E" w:rsidR="007211A7" w:rsidRPr="00B275E2" w:rsidRDefault="00D16A6F" w:rsidP="00D01071">
            <w:pPr>
              <w:pStyle w:val="TableText"/>
              <w:keepNext/>
              <w:spacing w:before="40" w:after="40"/>
              <w:jc w:val="right"/>
              <w:cnfStyle w:val="100000000000" w:firstRow="1" w:lastRow="0" w:firstColumn="0" w:lastColumn="0" w:oddVBand="0" w:evenVBand="0" w:oddHBand="0" w:evenHBand="0" w:firstRowFirstColumn="0" w:firstRowLastColumn="0" w:lastRowFirstColumn="0" w:lastRowLastColumn="0"/>
            </w:pPr>
            <w:r w:rsidRPr="00B275E2">
              <w:t xml:space="preserve">kg </w:t>
            </w:r>
            <w:r w:rsidR="007211A7" w:rsidRPr="00B275E2">
              <w:t>N</w:t>
            </w:r>
            <w:r w:rsidR="007211A7" w:rsidRPr="00B275E2">
              <w:rPr>
                <w:vertAlign w:val="subscript"/>
              </w:rPr>
              <w:t>2</w:t>
            </w:r>
            <w:r w:rsidR="007211A7" w:rsidRPr="00B275E2">
              <w:t>O</w:t>
            </w:r>
            <w:r w:rsidRPr="00B275E2">
              <w:t>/unit</w:t>
            </w:r>
            <w:r w:rsidR="007211A7" w:rsidRPr="00B275E2">
              <w:t xml:space="preserve"> (kg CO</w:t>
            </w:r>
            <w:r w:rsidR="007211A7" w:rsidRPr="00B275E2">
              <w:rPr>
                <w:vertAlign w:val="subscript"/>
              </w:rPr>
              <w:t>2</w:t>
            </w:r>
            <w:r w:rsidR="007211A7" w:rsidRPr="00B275E2">
              <w:noBreakHyphen/>
              <w:t>e)</w:t>
            </w:r>
          </w:p>
        </w:tc>
      </w:tr>
      <w:tr w:rsidR="007002E0" w:rsidRPr="00B275E2" w14:paraId="7E2B2EB2" w14:textId="77777777" w:rsidTr="00EC0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vMerge w:val="restart"/>
            <w:tcBorders>
              <w:left w:val="single" w:sz="4" w:space="0" w:color="FFFFFF" w:themeColor="background1"/>
            </w:tcBorders>
          </w:tcPr>
          <w:p w14:paraId="30DD5A4F" w14:textId="46295D6D" w:rsidR="007002E0" w:rsidRPr="00B275E2" w:rsidRDefault="007002E0" w:rsidP="00D01071">
            <w:pPr>
              <w:pStyle w:val="TableText"/>
              <w:keepNext/>
              <w:spacing w:before="40" w:after="40"/>
              <w:rPr>
                <w:b w:val="0"/>
              </w:rPr>
            </w:pPr>
            <w:r w:rsidRPr="00B275E2">
              <w:rPr>
                <w:b w:val="0"/>
              </w:rPr>
              <w:t>Waste (known composition)</w:t>
            </w:r>
          </w:p>
        </w:tc>
        <w:tc>
          <w:tcPr>
            <w:tcW w:w="1399" w:type="dxa"/>
          </w:tcPr>
          <w:p w14:paraId="36DE5667" w14:textId="77777777" w:rsidR="007002E0" w:rsidRPr="00B275E2" w:rsidRDefault="007002E0" w:rsidP="00D01071">
            <w:pPr>
              <w:pStyle w:val="TableText"/>
              <w:keepNext/>
              <w:spacing w:before="40" w:after="40"/>
              <w:cnfStyle w:val="000000100000" w:firstRow="0" w:lastRow="0" w:firstColumn="0" w:lastColumn="0" w:oddVBand="0" w:evenVBand="0" w:oddHBand="1" w:evenHBand="0" w:firstRowFirstColumn="0" w:firstRowLastColumn="0" w:lastRowFirstColumn="0" w:lastRowLastColumn="0"/>
            </w:pPr>
            <w:r w:rsidRPr="00B275E2">
              <w:t>Food</w:t>
            </w:r>
          </w:p>
        </w:tc>
        <w:tc>
          <w:tcPr>
            <w:tcW w:w="612" w:type="dxa"/>
            <w:noWrap/>
          </w:tcPr>
          <w:p w14:paraId="0AA56EC2" w14:textId="71EAF79B" w:rsidR="007002E0" w:rsidRPr="00B275E2" w:rsidRDefault="007002E0" w:rsidP="00D01071">
            <w:pPr>
              <w:pStyle w:val="TableText"/>
              <w:keepNext/>
              <w:spacing w:before="40" w:after="40"/>
              <w:cnfStyle w:val="000000100000" w:firstRow="0" w:lastRow="0" w:firstColumn="0" w:lastColumn="0" w:oddVBand="0" w:evenVBand="0" w:oddHBand="1" w:evenHBand="0" w:firstRowFirstColumn="0" w:firstRowLastColumn="0" w:lastRowFirstColumn="0" w:lastRowLastColumn="0"/>
            </w:pPr>
            <w:r w:rsidRPr="00B275E2">
              <w:t>kg</w:t>
            </w:r>
          </w:p>
        </w:tc>
        <w:tc>
          <w:tcPr>
            <w:tcW w:w="1247" w:type="dxa"/>
            <w:shd w:val="clear" w:color="auto" w:fill="D2DDE1" w:themeFill="background2"/>
            <w:noWrap/>
          </w:tcPr>
          <w:p w14:paraId="0796CAF1" w14:textId="0B3FBF77" w:rsidR="007002E0" w:rsidRPr="00B275E2" w:rsidRDefault="009E1098" w:rsidP="00D01071">
            <w:pPr>
              <w:pStyle w:val="TableText"/>
              <w:keepNext/>
              <w:tabs>
                <w:tab w:val="right" w:pos="1046"/>
              </w:tabs>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0.602</w:t>
            </w:r>
          </w:p>
        </w:tc>
        <w:tc>
          <w:tcPr>
            <w:tcW w:w="1247" w:type="dxa"/>
            <w:shd w:val="clear" w:color="auto" w:fill="auto"/>
            <w:noWrap/>
          </w:tcPr>
          <w:p w14:paraId="3EF43773" w14:textId="0D645456" w:rsidR="007002E0" w:rsidRPr="00B275E2" w:rsidRDefault="007002E0" w:rsidP="00D01071">
            <w:pPr>
              <w:pStyle w:val="TableText"/>
              <w:keepN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n/a</w:t>
            </w:r>
          </w:p>
        </w:tc>
        <w:tc>
          <w:tcPr>
            <w:tcW w:w="1247" w:type="dxa"/>
            <w:shd w:val="clear" w:color="auto" w:fill="auto"/>
            <w:noWrap/>
          </w:tcPr>
          <w:p w14:paraId="39FFFD96" w14:textId="27A0ECC2" w:rsidR="007002E0" w:rsidRPr="00B275E2" w:rsidRDefault="009E1098" w:rsidP="00D01071">
            <w:pPr>
              <w:pStyle w:val="TableText"/>
              <w:keepN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0.602</w:t>
            </w:r>
          </w:p>
        </w:tc>
        <w:tc>
          <w:tcPr>
            <w:tcW w:w="1247" w:type="dxa"/>
            <w:tcBorders>
              <w:right w:val="single" w:sz="4" w:space="0" w:color="FFFFFF" w:themeColor="background1"/>
            </w:tcBorders>
            <w:shd w:val="clear" w:color="auto" w:fill="auto"/>
            <w:noWrap/>
          </w:tcPr>
          <w:p w14:paraId="2CB02FEC" w14:textId="197FEA87" w:rsidR="007002E0" w:rsidRPr="00B275E2" w:rsidRDefault="007002E0" w:rsidP="00D01071">
            <w:pPr>
              <w:pStyle w:val="TableText"/>
              <w:keepN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n/a</w:t>
            </w:r>
          </w:p>
        </w:tc>
      </w:tr>
      <w:tr w:rsidR="007002E0" w:rsidRPr="00B275E2" w14:paraId="17774665" w14:textId="77777777" w:rsidTr="00EC0FF5">
        <w:tc>
          <w:tcPr>
            <w:cnfStyle w:val="001000000000" w:firstRow="0" w:lastRow="0" w:firstColumn="1" w:lastColumn="0" w:oddVBand="0" w:evenVBand="0" w:oddHBand="0" w:evenHBand="0" w:firstRowFirstColumn="0" w:firstRowLastColumn="0" w:lastRowFirstColumn="0" w:lastRowLastColumn="0"/>
            <w:tcW w:w="1506" w:type="dxa"/>
            <w:vMerge/>
            <w:tcBorders>
              <w:left w:val="single" w:sz="4" w:space="0" w:color="FFFFFF" w:themeColor="background1"/>
            </w:tcBorders>
          </w:tcPr>
          <w:p w14:paraId="59AB6B2F" w14:textId="77777777" w:rsidR="007002E0" w:rsidRPr="00B275E2" w:rsidRDefault="007002E0" w:rsidP="007F0B1E">
            <w:pPr>
              <w:pStyle w:val="TableText"/>
              <w:spacing w:before="40" w:after="40"/>
              <w:rPr>
                <w:b w:val="0"/>
              </w:rPr>
            </w:pPr>
          </w:p>
        </w:tc>
        <w:tc>
          <w:tcPr>
            <w:tcW w:w="1399" w:type="dxa"/>
          </w:tcPr>
          <w:p w14:paraId="203BC21E" w14:textId="77777777" w:rsidR="007002E0" w:rsidRPr="00B275E2" w:rsidRDefault="007002E0" w:rsidP="007F0B1E">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275E2">
              <w:t>Garden</w:t>
            </w:r>
          </w:p>
        </w:tc>
        <w:tc>
          <w:tcPr>
            <w:tcW w:w="612" w:type="dxa"/>
            <w:noWrap/>
          </w:tcPr>
          <w:p w14:paraId="2F92BCC9" w14:textId="5E29F7E8" w:rsidR="007002E0" w:rsidRPr="00B275E2" w:rsidRDefault="007002E0" w:rsidP="007F0B1E">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275E2">
              <w:t>kg</w:t>
            </w:r>
          </w:p>
        </w:tc>
        <w:tc>
          <w:tcPr>
            <w:tcW w:w="1247" w:type="dxa"/>
            <w:shd w:val="clear" w:color="auto" w:fill="D2DDE1" w:themeFill="background2"/>
            <w:noWrap/>
          </w:tcPr>
          <w:p w14:paraId="2B61343A" w14:textId="63A78E9D" w:rsidR="007002E0" w:rsidRPr="00B275E2" w:rsidRDefault="009E1098"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0.492</w:t>
            </w:r>
          </w:p>
        </w:tc>
        <w:tc>
          <w:tcPr>
            <w:tcW w:w="1247" w:type="dxa"/>
            <w:shd w:val="clear" w:color="auto" w:fill="auto"/>
            <w:noWrap/>
          </w:tcPr>
          <w:p w14:paraId="4B1D5A4E" w14:textId="04DA6737" w:rsidR="007002E0" w:rsidRPr="00B275E2" w:rsidRDefault="007002E0"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n/a</w:t>
            </w:r>
          </w:p>
        </w:tc>
        <w:tc>
          <w:tcPr>
            <w:tcW w:w="1247" w:type="dxa"/>
            <w:shd w:val="clear" w:color="auto" w:fill="auto"/>
            <w:noWrap/>
          </w:tcPr>
          <w:p w14:paraId="401E35E2" w14:textId="2E170975" w:rsidR="007002E0" w:rsidRPr="00B275E2" w:rsidRDefault="00CF363E"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0.492</w:t>
            </w:r>
          </w:p>
        </w:tc>
        <w:tc>
          <w:tcPr>
            <w:tcW w:w="1247" w:type="dxa"/>
            <w:tcBorders>
              <w:right w:val="single" w:sz="4" w:space="0" w:color="FFFFFF" w:themeColor="background1"/>
            </w:tcBorders>
            <w:shd w:val="clear" w:color="auto" w:fill="auto"/>
            <w:noWrap/>
          </w:tcPr>
          <w:p w14:paraId="6205E6E2" w14:textId="183BA436" w:rsidR="007002E0" w:rsidRPr="00B275E2" w:rsidRDefault="007002E0"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n/a</w:t>
            </w:r>
          </w:p>
        </w:tc>
      </w:tr>
      <w:tr w:rsidR="007002E0" w:rsidRPr="00B275E2" w14:paraId="6853CBFA" w14:textId="77777777" w:rsidTr="00EC0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vMerge/>
            <w:tcBorders>
              <w:left w:val="single" w:sz="4" w:space="0" w:color="FFFFFF" w:themeColor="background1"/>
            </w:tcBorders>
          </w:tcPr>
          <w:p w14:paraId="55D43F72" w14:textId="77777777" w:rsidR="007002E0" w:rsidRPr="00B275E2" w:rsidRDefault="007002E0" w:rsidP="007F0B1E">
            <w:pPr>
              <w:pStyle w:val="TableText"/>
              <w:spacing w:before="40" w:after="40"/>
              <w:rPr>
                <w:b w:val="0"/>
              </w:rPr>
            </w:pPr>
          </w:p>
        </w:tc>
        <w:tc>
          <w:tcPr>
            <w:tcW w:w="1399" w:type="dxa"/>
          </w:tcPr>
          <w:p w14:paraId="4A92DF71" w14:textId="77777777" w:rsidR="007002E0" w:rsidRPr="00B275E2" w:rsidRDefault="007002E0" w:rsidP="007F0B1E">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275E2">
              <w:t>Paper</w:t>
            </w:r>
          </w:p>
        </w:tc>
        <w:tc>
          <w:tcPr>
            <w:tcW w:w="612" w:type="dxa"/>
            <w:noWrap/>
          </w:tcPr>
          <w:p w14:paraId="7F92C285" w14:textId="0B187034" w:rsidR="007002E0" w:rsidRPr="00B275E2" w:rsidRDefault="007002E0" w:rsidP="007F0B1E">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275E2">
              <w:t>kg</w:t>
            </w:r>
          </w:p>
        </w:tc>
        <w:tc>
          <w:tcPr>
            <w:tcW w:w="1247" w:type="dxa"/>
            <w:shd w:val="clear" w:color="auto" w:fill="D2DDE1" w:themeFill="background2"/>
            <w:noWrap/>
          </w:tcPr>
          <w:p w14:paraId="3C3D6BAB" w14:textId="44D2A0F9" w:rsidR="007002E0" w:rsidRPr="00B275E2" w:rsidRDefault="00CF363E"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0.876</w:t>
            </w:r>
          </w:p>
        </w:tc>
        <w:tc>
          <w:tcPr>
            <w:tcW w:w="1247" w:type="dxa"/>
            <w:shd w:val="clear" w:color="auto" w:fill="auto"/>
            <w:noWrap/>
          </w:tcPr>
          <w:p w14:paraId="1B5842A2" w14:textId="0E118075" w:rsidR="007002E0" w:rsidRPr="00B275E2" w:rsidRDefault="007002E0"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n/a</w:t>
            </w:r>
          </w:p>
        </w:tc>
        <w:tc>
          <w:tcPr>
            <w:tcW w:w="1247" w:type="dxa"/>
            <w:shd w:val="clear" w:color="auto" w:fill="auto"/>
            <w:noWrap/>
          </w:tcPr>
          <w:p w14:paraId="24010D95" w14:textId="5F7657A2" w:rsidR="007002E0" w:rsidRPr="00B275E2" w:rsidRDefault="00CF363E"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0.876</w:t>
            </w:r>
          </w:p>
        </w:tc>
        <w:tc>
          <w:tcPr>
            <w:tcW w:w="1247" w:type="dxa"/>
            <w:tcBorders>
              <w:right w:val="single" w:sz="4" w:space="0" w:color="FFFFFF" w:themeColor="background1"/>
            </w:tcBorders>
            <w:shd w:val="clear" w:color="auto" w:fill="auto"/>
            <w:noWrap/>
          </w:tcPr>
          <w:p w14:paraId="5772C09B" w14:textId="6F878B9C" w:rsidR="007002E0" w:rsidRPr="00B275E2" w:rsidRDefault="007002E0"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n/a</w:t>
            </w:r>
          </w:p>
        </w:tc>
      </w:tr>
      <w:tr w:rsidR="007002E0" w:rsidRPr="00B275E2" w14:paraId="416B685C" w14:textId="77777777" w:rsidTr="00EC0FF5">
        <w:tc>
          <w:tcPr>
            <w:cnfStyle w:val="001000000000" w:firstRow="0" w:lastRow="0" w:firstColumn="1" w:lastColumn="0" w:oddVBand="0" w:evenVBand="0" w:oddHBand="0" w:evenHBand="0" w:firstRowFirstColumn="0" w:firstRowLastColumn="0" w:lastRowFirstColumn="0" w:lastRowLastColumn="0"/>
            <w:tcW w:w="1506" w:type="dxa"/>
            <w:vMerge/>
            <w:tcBorders>
              <w:left w:val="single" w:sz="4" w:space="0" w:color="FFFFFF" w:themeColor="background1"/>
            </w:tcBorders>
          </w:tcPr>
          <w:p w14:paraId="71C53592" w14:textId="77777777" w:rsidR="007002E0" w:rsidRPr="00B275E2" w:rsidRDefault="007002E0" w:rsidP="007F0B1E">
            <w:pPr>
              <w:pStyle w:val="TableText"/>
              <w:spacing w:before="40" w:after="40"/>
              <w:rPr>
                <w:b w:val="0"/>
              </w:rPr>
            </w:pPr>
          </w:p>
        </w:tc>
        <w:tc>
          <w:tcPr>
            <w:tcW w:w="1399" w:type="dxa"/>
          </w:tcPr>
          <w:p w14:paraId="35A516A1" w14:textId="77777777" w:rsidR="007002E0" w:rsidRPr="00B275E2" w:rsidRDefault="007002E0" w:rsidP="007F0B1E">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275E2">
              <w:t>Wood</w:t>
            </w:r>
          </w:p>
        </w:tc>
        <w:tc>
          <w:tcPr>
            <w:tcW w:w="612" w:type="dxa"/>
            <w:noWrap/>
          </w:tcPr>
          <w:p w14:paraId="1961EA3E" w14:textId="4395241A" w:rsidR="007002E0" w:rsidRPr="00B275E2" w:rsidRDefault="007002E0" w:rsidP="007F0B1E">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275E2">
              <w:t>kg</w:t>
            </w:r>
          </w:p>
        </w:tc>
        <w:tc>
          <w:tcPr>
            <w:tcW w:w="1247" w:type="dxa"/>
            <w:shd w:val="clear" w:color="auto" w:fill="D2DDE1" w:themeFill="background2"/>
            <w:noWrap/>
          </w:tcPr>
          <w:p w14:paraId="5C641880" w14:textId="5A0CC043" w:rsidR="007002E0" w:rsidRPr="00B275E2" w:rsidRDefault="00CF363E"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0.339</w:t>
            </w:r>
          </w:p>
        </w:tc>
        <w:tc>
          <w:tcPr>
            <w:tcW w:w="1247" w:type="dxa"/>
            <w:shd w:val="clear" w:color="auto" w:fill="auto"/>
            <w:noWrap/>
          </w:tcPr>
          <w:p w14:paraId="070CC763" w14:textId="2C255264" w:rsidR="007002E0" w:rsidRPr="00B275E2" w:rsidRDefault="007002E0"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n/a</w:t>
            </w:r>
          </w:p>
        </w:tc>
        <w:tc>
          <w:tcPr>
            <w:tcW w:w="1247" w:type="dxa"/>
            <w:shd w:val="clear" w:color="auto" w:fill="auto"/>
            <w:noWrap/>
          </w:tcPr>
          <w:p w14:paraId="1049CF20" w14:textId="36389F16" w:rsidR="007002E0" w:rsidRPr="00B275E2" w:rsidRDefault="00CF363E"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0.339</w:t>
            </w:r>
          </w:p>
        </w:tc>
        <w:tc>
          <w:tcPr>
            <w:tcW w:w="1247" w:type="dxa"/>
            <w:tcBorders>
              <w:right w:val="single" w:sz="4" w:space="0" w:color="FFFFFF" w:themeColor="background1"/>
            </w:tcBorders>
            <w:shd w:val="clear" w:color="auto" w:fill="auto"/>
            <w:noWrap/>
          </w:tcPr>
          <w:p w14:paraId="7A9BADE7" w14:textId="05C4F6EF" w:rsidR="007002E0" w:rsidRPr="00B275E2" w:rsidRDefault="007002E0"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n/a</w:t>
            </w:r>
          </w:p>
        </w:tc>
      </w:tr>
      <w:tr w:rsidR="007002E0" w:rsidRPr="00B275E2" w14:paraId="408C5A98" w14:textId="77777777" w:rsidTr="00EC0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vMerge/>
            <w:tcBorders>
              <w:left w:val="single" w:sz="4" w:space="0" w:color="FFFFFF" w:themeColor="background1"/>
            </w:tcBorders>
          </w:tcPr>
          <w:p w14:paraId="508F6B8F" w14:textId="77777777" w:rsidR="007002E0" w:rsidRPr="00B275E2" w:rsidRDefault="007002E0" w:rsidP="007F0B1E">
            <w:pPr>
              <w:pStyle w:val="TableText"/>
              <w:spacing w:before="40" w:after="40"/>
              <w:rPr>
                <w:b w:val="0"/>
              </w:rPr>
            </w:pPr>
          </w:p>
        </w:tc>
        <w:tc>
          <w:tcPr>
            <w:tcW w:w="1399" w:type="dxa"/>
          </w:tcPr>
          <w:p w14:paraId="291E3A7F" w14:textId="77777777" w:rsidR="007002E0" w:rsidRPr="00B275E2" w:rsidRDefault="007002E0" w:rsidP="007F0B1E">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275E2">
              <w:t>Textile</w:t>
            </w:r>
          </w:p>
        </w:tc>
        <w:tc>
          <w:tcPr>
            <w:tcW w:w="612" w:type="dxa"/>
            <w:noWrap/>
          </w:tcPr>
          <w:p w14:paraId="07B6E30C" w14:textId="4B96CF8A" w:rsidR="007002E0" w:rsidRPr="00B275E2" w:rsidRDefault="007002E0" w:rsidP="007F0B1E">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275E2">
              <w:t>kg</w:t>
            </w:r>
          </w:p>
        </w:tc>
        <w:tc>
          <w:tcPr>
            <w:tcW w:w="1247" w:type="dxa"/>
            <w:shd w:val="clear" w:color="auto" w:fill="D2DDE1" w:themeFill="background2"/>
            <w:noWrap/>
          </w:tcPr>
          <w:p w14:paraId="0E30ECB9" w14:textId="353BD32E" w:rsidR="007002E0" w:rsidRPr="00B275E2" w:rsidRDefault="00CF363E"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0.438</w:t>
            </w:r>
          </w:p>
        </w:tc>
        <w:tc>
          <w:tcPr>
            <w:tcW w:w="1247" w:type="dxa"/>
            <w:shd w:val="clear" w:color="auto" w:fill="auto"/>
            <w:noWrap/>
          </w:tcPr>
          <w:p w14:paraId="05F632E0" w14:textId="29989F12" w:rsidR="007002E0" w:rsidRPr="00B275E2" w:rsidRDefault="007002E0"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n/a</w:t>
            </w:r>
          </w:p>
        </w:tc>
        <w:tc>
          <w:tcPr>
            <w:tcW w:w="1247" w:type="dxa"/>
            <w:shd w:val="clear" w:color="auto" w:fill="auto"/>
            <w:noWrap/>
          </w:tcPr>
          <w:p w14:paraId="510A81A8" w14:textId="53214A6D" w:rsidR="007002E0" w:rsidRPr="00B275E2" w:rsidRDefault="00CF363E"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0.438</w:t>
            </w:r>
          </w:p>
        </w:tc>
        <w:tc>
          <w:tcPr>
            <w:tcW w:w="1247" w:type="dxa"/>
            <w:tcBorders>
              <w:right w:val="single" w:sz="4" w:space="0" w:color="FFFFFF" w:themeColor="background1"/>
            </w:tcBorders>
            <w:shd w:val="clear" w:color="auto" w:fill="auto"/>
            <w:noWrap/>
          </w:tcPr>
          <w:p w14:paraId="1B1CF269" w14:textId="6BF8B0C9" w:rsidR="007002E0" w:rsidRPr="00B275E2" w:rsidRDefault="007002E0"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n/a</w:t>
            </w:r>
          </w:p>
        </w:tc>
      </w:tr>
      <w:tr w:rsidR="007002E0" w:rsidRPr="00B275E2" w14:paraId="17EBF4CC" w14:textId="77777777" w:rsidTr="00EC0FF5">
        <w:tc>
          <w:tcPr>
            <w:cnfStyle w:val="001000000000" w:firstRow="0" w:lastRow="0" w:firstColumn="1" w:lastColumn="0" w:oddVBand="0" w:evenVBand="0" w:oddHBand="0" w:evenHBand="0" w:firstRowFirstColumn="0" w:firstRowLastColumn="0" w:lastRowFirstColumn="0" w:lastRowLastColumn="0"/>
            <w:tcW w:w="1506" w:type="dxa"/>
            <w:vMerge/>
            <w:tcBorders>
              <w:left w:val="single" w:sz="4" w:space="0" w:color="FFFFFF" w:themeColor="background1"/>
            </w:tcBorders>
          </w:tcPr>
          <w:p w14:paraId="637C58C0" w14:textId="77777777" w:rsidR="007002E0" w:rsidRPr="00B275E2" w:rsidRDefault="007002E0" w:rsidP="007F0B1E">
            <w:pPr>
              <w:pStyle w:val="TableText"/>
              <w:spacing w:before="40" w:after="40"/>
              <w:rPr>
                <w:b w:val="0"/>
              </w:rPr>
            </w:pPr>
          </w:p>
        </w:tc>
        <w:tc>
          <w:tcPr>
            <w:tcW w:w="1399" w:type="dxa"/>
          </w:tcPr>
          <w:p w14:paraId="3465AE4B" w14:textId="77777777" w:rsidR="007002E0" w:rsidRPr="00B275E2" w:rsidRDefault="007002E0" w:rsidP="007F0B1E">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275E2">
              <w:t>Nappies</w:t>
            </w:r>
          </w:p>
        </w:tc>
        <w:tc>
          <w:tcPr>
            <w:tcW w:w="612" w:type="dxa"/>
            <w:noWrap/>
          </w:tcPr>
          <w:p w14:paraId="3BDC4658" w14:textId="73A4AFA8" w:rsidR="007002E0" w:rsidRPr="00B275E2" w:rsidRDefault="007002E0" w:rsidP="007F0B1E">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275E2">
              <w:t>kg</w:t>
            </w:r>
          </w:p>
        </w:tc>
        <w:tc>
          <w:tcPr>
            <w:tcW w:w="1247" w:type="dxa"/>
            <w:shd w:val="clear" w:color="auto" w:fill="D2DDE1" w:themeFill="background2"/>
            <w:noWrap/>
          </w:tcPr>
          <w:p w14:paraId="0C83624F" w14:textId="3F3112B6" w:rsidR="007002E0" w:rsidRPr="00B275E2" w:rsidRDefault="00CF363E"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0.219</w:t>
            </w:r>
          </w:p>
        </w:tc>
        <w:tc>
          <w:tcPr>
            <w:tcW w:w="1247" w:type="dxa"/>
            <w:shd w:val="clear" w:color="auto" w:fill="auto"/>
            <w:noWrap/>
          </w:tcPr>
          <w:p w14:paraId="275F16FD" w14:textId="578C358C" w:rsidR="007002E0" w:rsidRPr="00B275E2" w:rsidRDefault="007002E0"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n/a</w:t>
            </w:r>
          </w:p>
        </w:tc>
        <w:tc>
          <w:tcPr>
            <w:tcW w:w="1247" w:type="dxa"/>
            <w:shd w:val="clear" w:color="auto" w:fill="auto"/>
            <w:noWrap/>
          </w:tcPr>
          <w:p w14:paraId="0601BAC9" w14:textId="58A7A529" w:rsidR="007002E0" w:rsidRPr="00B275E2" w:rsidRDefault="00CF363E"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0.219</w:t>
            </w:r>
          </w:p>
        </w:tc>
        <w:tc>
          <w:tcPr>
            <w:tcW w:w="1247" w:type="dxa"/>
            <w:tcBorders>
              <w:right w:val="single" w:sz="4" w:space="0" w:color="FFFFFF" w:themeColor="background1"/>
            </w:tcBorders>
            <w:shd w:val="clear" w:color="auto" w:fill="auto"/>
            <w:noWrap/>
          </w:tcPr>
          <w:p w14:paraId="0B676074" w14:textId="2A5E41C7" w:rsidR="007002E0" w:rsidRPr="00B275E2" w:rsidRDefault="007002E0"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n/a</w:t>
            </w:r>
          </w:p>
        </w:tc>
      </w:tr>
      <w:tr w:rsidR="00316503" w:rsidRPr="00B275E2" w14:paraId="2BAF004F" w14:textId="77777777" w:rsidTr="00EC0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Borders>
              <w:left w:val="single" w:sz="4" w:space="0" w:color="FFFFFF" w:themeColor="background1"/>
            </w:tcBorders>
          </w:tcPr>
          <w:p w14:paraId="42CE36AE" w14:textId="77777777" w:rsidR="00CF363E" w:rsidRPr="00B275E2" w:rsidRDefault="00CF363E" w:rsidP="007F0B1E">
            <w:pPr>
              <w:pStyle w:val="TableText"/>
              <w:spacing w:before="40" w:after="40"/>
              <w:rPr>
                <w:b w:val="0"/>
              </w:rPr>
            </w:pPr>
          </w:p>
        </w:tc>
        <w:tc>
          <w:tcPr>
            <w:tcW w:w="1399" w:type="dxa"/>
          </w:tcPr>
          <w:p w14:paraId="7C148DAB" w14:textId="599BC928" w:rsidR="00CF363E" w:rsidRPr="00B275E2" w:rsidRDefault="00CF363E" w:rsidP="007F0B1E">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275E2">
              <w:t>Sludge</w:t>
            </w:r>
          </w:p>
        </w:tc>
        <w:tc>
          <w:tcPr>
            <w:tcW w:w="612" w:type="dxa"/>
            <w:noWrap/>
          </w:tcPr>
          <w:p w14:paraId="3B8BDEDE" w14:textId="5E018E73" w:rsidR="00CF363E" w:rsidRPr="00B275E2" w:rsidRDefault="00CF363E" w:rsidP="007F0B1E">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275E2">
              <w:t>kg</w:t>
            </w:r>
          </w:p>
        </w:tc>
        <w:tc>
          <w:tcPr>
            <w:tcW w:w="1247" w:type="dxa"/>
            <w:shd w:val="clear" w:color="auto" w:fill="D2DDE1" w:themeFill="background2"/>
            <w:noWrap/>
          </w:tcPr>
          <w:p w14:paraId="7FF1CD53" w14:textId="65E42E0C" w:rsidR="00CF363E" w:rsidRPr="00B275E2" w:rsidRDefault="00CF363E"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0.137</w:t>
            </w:r>
          </w:p>
        </w:tc>
        <w:tc>
          <w:tcPr>
            <w:tcW w:w="1247" w:type="dxa"/>
            <w:shd w:val="clear" w:color="auto" w:fill="auto"/>
            <w:noWrap/>
          </w:tcPr>
          <w:p w14:paraId="7A5EF1D1" w14:textId="7F3381BD" w:rsidR="00CF363E" w:rsidRPr="00B275E2" w:rsidRDefault="00CF363E"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c>
          <w:tcPr>
            <w:tcW w:w="1247" w:type="dxa"/>
            <w:shd w:val="clear" w:color="auto" w:fill="auto"/>
            <w:noWrap/>
          </w:tcPr>
          <w:p w14:paraId="276FEB1E" w14:textId="0877E0B2" w:rsidR="00CF363E" w:rsidRPr="00B275E2" w:rsidRDefault="00CF363E"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0.137</w:t>
            </w:r>
          </w:p>
        </w:tc>
        <w:tc>
          <w:tcPr>
            <w:tcW w:w="1247" w:type="dxa"/>
            <w:tcBorders>
              <w:right w:val="single" w:sz="4" w:space="0" w:color="FFFFFF" w:themeColor="background1"/>
            </w:tcBorders>
            <w:shd w:val="clear" w:color="auto" w:fill="auto"/>
            <w:noWrap/>
          </w:tcPr>
          <w:p w14:paraId="0B9BB20C" w14:textId="07986BFA" w:rsidR="00CF363E" w:rsidRPr="00B275E2" w:rsidRDefault="00CF363E"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r>
      <w:tr w:rsidR="007002E0" w:rsidRPr="00B275E2" w14:paraId="113E8463" w14:textId="77777777" w:rsidTr="00EC0FF5">
        <w:tc>
          <w:tcPr>
            <w:cnfStyle w:val="001000000000" w:firstRow="0" w:lastRow="0" w:firstColumn="1" w:lastColumn="0" w:oddVBand="0" w:evenVBand="0" w:oddHBand="0" w:evenHBand="0" w:firstRowFirstColumn="0" w:firstRowLastColumn="0" w:lastRowFirstColumn="0" w:lastRowLastColumn="0"/>
            <w:tcW w:w="1506" w:type="dxa"/>
            <w:tcBorders>
              <w:left w:val="single" w:sz="4" w:space="0" w:color="FFFFFF" w:themeColor="background1"/>
            </w:tcBorders>
          </w:tcPr>
          <w:p w14:paraId="521AE17E" w14:textId="77777777" w:rsidR="007002E0" w:rsidRPr="00B275E2" w:rsidRDefault="007002E0" w:rsidP="007F0B1E">
            <w:pPr>
              <w:pStyle w:val="TableText"/>
              <w:spacing w:before="40" w:after="40"/>
              <w:rPr>
                <w:b w:val="0"/>
              </w:rPr>
            </w:pPr>
          </w:p>
        </w:tc>
        <w:tc>
          <w:tcPr>
            <w:tcW w:w="1399" w:type="dxa"/>
          </w:tcPr>
          <w:p w14:paraId="6C497F21" w14:textId="6FF2FFD3" w:rsidR="007002E0" w:rsidRPr="00B275E2" w:rsidRDefault="007002E0" w:rsidP="007F0B1E">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275E2">
              <w:t>Other (inert)</w:t>
            </w:r>
          </w:p>
        </w:tc>
        <w:tc>
          <w:tcPr>
            <w:tcW w:w="612" w:type="dxa"/>
            <w:noWrap/>
          </w:tcPr>
          <w:p w14:paraId="5A9F0574" w14:textId="0FF3A7A9" w:rsidR="007002E0" w:rsidRPr="00B275E2" w:rsidRDefault="007002E0" w:rsidP="007F0B1E">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275E2">
              <w:t>kg</w:t>
            </w:r>
          </w:p>
        </w:tc>
        <w:tc>
          <w:tcPr>
            <w:tcW w:w="1247" w:type="dxa"/>
            <w:shd w:val="clear" w:color="auto" w:fill="D2DDE1" w:themeFill="background2"/>
            <w:noWrap/>
          </w:tcPr>
          <w:p w14:paraId="21A125B5" w14:textId="232A87CD" w:rsidR="007002E0" w:rsidRPr="00B275E2" w:rsidRDefault="007002E0"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n/a</w:t>
            </w:r>
          </w:p>
        </w:tc>
        <w:tc>
          <w:tcPr>
            <w:tcW w:w="1247" w:type="dxa"/>
            <w:shd w:val="clear" w:color="auto" w:fill="auto"/>
            <w:noWrap/>
          </w:tcPr>
          <w:p w14:paraId="3E30602E" w14:textId="27C2901F" w:rsidR="007002E0" w:rsidRPr="00B275E2" w:rsidRDefault="007002E0"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n/a</w:t>
            </w:r>
          </w:p>
        </w:tc>
        <w:tc>
          <w:tcPr>
            <w:tcW w:w="1247" w:type="dxa"/>
            <w:shd w:val="clear" w:color="auto" w:fill="auto"/>
            <w:noWrap/>
          </w:tcPr>
          <w:p w14:paraId="60E68CDD" w14:textId="545635C1" w:rsidR="007002E0" w:rsidRPr="00B275E2" w:rsidRDefault="007002E0"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n/a</w:t>
            </w:r>
          </w:p>
        </w:tc>
        <w:tc>
          <w:tcPr>
            <w:tcW w:w="1247" w:type="dxa"/>
            <w:tcBorders>
              <w:right w:val="single" w:sz="4" w:space="0" w:color="FFFFFF" w:themeColor="background1"/>
            </w:tcBorders>
            <w:shd w:val="clear" w:color="auto" w:fill="auto"/>
            <w:noWrap/>
          </w:tcPr>
          <w:p w14:paraId="07B6F76B" w14:textId="183264DD" w:rsidR="007002E0" w:rsidRPr="00B275E2" w:rsidRDefault="007002E0"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n/a</w:t>
            </w:r>
          </w:p>
        </w:tc>
      </w:tr>
      <w:tr w:rsidR="007002E0" w:rsidRPr="00B275E2" w14:paraId="4F1C1C38" w14:textId="77777777" w:rsidTr="00EC0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vMerge w:val="restart"/>
            <w:tcBorders>
              <w:left w:val="single" w:sz="4" w:space="0" w:color="FFFFFF" w:themeColor="background1"/>
            </w:tcBorders>
          </w:tcPr>
          <w:p w14:paraId="26698C81" w14:textId="3BF1FAFC" w:rsidR="007002E0" w:rsidRPr="00B275E2" w:rsidRDefault="007002E0" w:rsidP="007F0B1E">
            <w:pPr>
              <w:pStyle w:val="TableText"/>
              <w:spacing w:before="40" w:after="40"/>
              <w:rPr>
                <w:b w:val="0"/>
              </w:rPr>
            </w:pPr>
            <w:r w:rsidRPr="00B275E2">
              <w:rPr>
                <w:b w:val="0"/>
              </w:rPr>
              <w:t>Waste (unknown composition)</w:t>
            </w:r>
          </w:p>
        </w:tc>
        <w:tc>
          <w:tcPr>
            <w:tcW w:w="1399" w:type="dxa"/>
          </w:tcPr>
          <w:p w14:paraId="3A3FEFBB" w14:textId="77777777" w:rsidR="007002E0" w:rsidRPr="00B275E2" w:rsidRDefault="007002E0" w:rsidP="007F0B1E">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275E2">
              <w:t>General waste</w:t>
            </w:r>
          </w:p>
        </w:tc>
        <w:tc>
          <w:tcPr>
            <w:tcW w:w="612" w:type="dxa"/>
            <w:noWrap/>
          </w:tcPr>
          <w:p w14:paraId="41DC9B9F" w14:textId="1173B9F7" w:rsidR="007002E0" w:rsidRPr="00B275E2" w:rsidRDefault="007002E0" w:rsidP="007F0B1E">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275E2">
              <w:t>kg</w:t>
            </w:r>
          </w:p>
        </w:tc>
        <w:tc>
          <w:tcPr>
            <w:tcW w:w="1247" w:type="dxa"/>
            <w:shd w:val="clear" w:color="auto" w:fill="D2DDE1" w:themeFill="background2"/>
            <w:noWrap/>
          </w:tcPr>
          <w:p w14:paraId="474AEF90" w14:textId="3277F5F4" w:rsidR="007002E0" w:rsidRPr="00B275E2" w:rsidRDefault="00CF363E"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0.207</w:t>
            </w:r>
          </w:p>
        </w:tc>
        <w:tc>
          <w:tcPr>
            <w:tcW w:w="1247" w:type="dxa"/>
            <w:shd w:val="clear" w:color="auto" w:fill="auto"/>
            <w:noWrap/>
          </w:tcPr>
          <w:p w14:paraId="20D5481F" w14:textId="06F26577" w:rsidR="007002E0" w:rsidRPr="00B275E2" w:rsidRDefault="007002E0"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n/a</w:t>
            </w:r>
          </w:p>
        </w:tc>
        <w:tc>
          <w:tcPr>
            <w:tcW w:w="1247" w:type="dxa"/>
            <w:shd w:val="clear" w:color="auto" w:fill="auto"/>
            <w:noWrap/>
          </w:tcPr>
          <w:p w14:paraId="313C9AD0" w14:textId="3F23663C" w:rsidR="007002E0" w:rsidRPr="00B275E2" w:rsidRDefault="00CF363E"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0.207</w:t>
            </w:r>
          </w:p>
        </w:tc>
        <w:tc>
          <w:tcPr>
            <w:tcW w:w="1247" w:type="dxa"/>
            <w:tcBorders>
              <w:right w:val="single" w:sz="4" w:space="0" w:color="FFFFFF" w:themeColor="background1"/>
            </w:tcBorders>
            <w:shd w:val="clear" w:color="auto" w:fill="auto"/>
            <w:noWrap/>
          </w:tcPr>
          <w:p w14:paraId="7D0BF753" w14:textId="7FAFF98D" w:rsidR="007002E0" w:rsidRPr="00B275E2" w:rsidRDefault="007002E0"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n/a</w:t>
            </w:r>
          </w:p>
        </w:tc>
      </w:tr>
      <w:tr w:rsidR="007002E0" w:rsidRPr="00B275E2" w14:paraId="0B029450" w14:textId="77777777" w:rsidTr="00EC0FF5">
        <w:tc>
          <w:tcPr>
            <w:cnfStyle w:val="001000000000" w:firstRow="0" w:lastRow="0" w:firstColumn="1" w:lastColumn="0" w:oddVBand="0" w:evenVBand="0" w:oddHBand="0" w:evenHBand="0" w:firstRowFirstColumn="0" w:firstRowLastColumn="0" w:lastRowFirstColumn="0" w:lastRowLastColumn="0"/>
            <w:tcW w:w="1506" w:type="dxa"/>
            <w:vMerge/>
            <w:tcBorders>
              <w:left w:val="single" w:sz="4" w:space="0" w:color="FFFFFF" w:themeColor="background1"/>
            </w:tcBorders>
          </w:tcPr>
          <w:p w14:paraId="04736DEF" w14:textId="77777777" w:rsidR="007002E0" w:rsidRPr="00B275E2" w:rsidRDefault="007002E0" w:rsidP="007F0B1E">
            <w:pPr>
              <w:pStyle w:val="TableText"/>
              <w:spacing w:before="40" w:after="40"/>
            </w:pPr>
          </w:p>
        </w:tc>
        <w:tc>
          <w:tcPr>
            <w:tcW w:w="1399" w:type="dxa"/>
          </w:tcPr>
          <w:p w14:paraId="5B4D1847" w14:textId="77777777" w:rsidR="007002E0" w:rsidRPr="00B275E2" w:rsidRDefault="007002E0" w:rsidP="007F0B1E">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275E2">
              <w:t>Office waste</w:t>
            </w:r>
          </w:p>
        </w:tc>
        <w:tc>
          <w:tcPr>
            <w:tcW w:w="612" w:type="dxa"/>
            <w:noWrap/>
          </w:tcPr>
          <w:p w14:paraId="37A94D4F" w14:textId="0A128429" w:rsidR="007002E0" w:rsidRPr="00B275E2" w:rsidRDefault="007002E0" w:rsidP="007F0B1E">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275E2">
              <w:t>kg</w:t>
            </w:r>
          </w:p>
        </w:tc>
        <w:tc>
          <w:tcPr>
            <w:tcW w:w="1247" w:type="dxa"/>
            <w:shd w:val="clear" w:color="auto" w:fill="D2DDE1" w:themeFill="background2"/>
            <w:noWrap/>
          </w:tcPr>
          <w:p w14:paraId="7507B0A7" w14:textId="4C15E868" w:rsidR="007002E0" w:rsidRPr="00B275E2" w:rsidRDefault="00CF363E"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0.594</w:t>
            </w:r>
          </w:p>
        </w:tc>
        <w:tc>
          <w:tcPr>
            <w:tcW w:w="1247" w:type="dxa"/>
            <w:shd w:val="clear" w:color="auto" w:fill="auto"/>
            <w:noWrap/>
          </w:tcPr>
          <w:p w14:paraId="4310F885" w14:textId="39CDF4D9" w:rsidR="007002E0" w:rsidRPr="00B275E2" w:rsidRDefault="007002E0"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n/a</w:t>
            </w:r>
          </w:p>
        </w:tc>
        <w:tc>
          <w:tcPr>
            <w:tcW w:w="1247" w:type="dxa"/>
            <w:shd w:val="clear" w:color="auto" w:fill="auto"/>
            <w:noWrap/>
          </w:tcPr>
          <w:p w14:paraId="7D1AD7E9" w14:textId="31597ECF" w:rsidR="007002E0" w:rsidRPr="00B275E2" w:rsidRDefault="00CF363E"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0.594</w:t>
            </w:r>
          </w:p>
        </w:tc>
        <w:tc>
          <w:tcPr>
            <w:tcW w:w="1247" w:type="dxa"/>
            <w:tcBorders>
              <w:right w:val="single" w:sz="4" w:space="0" w:color="FFFFFF" w:themeColor="background1"/>
            </w:tcBorders>
            <w:shd w:val="clear" w:color="auto" w:fill="auto"/>
            <w:noWrap/>
          </w:tcPr>
          <w:p w14:paraId="09D9FE6F" w14:textId="41F5DDA0" w:rsidR="007002E0" w:rsidRPr="00B275E2" w:rsidRDefault="007002E0"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n/a</w:t>
            </w:r>
          </w:p>
        </w:tc>
      </w:tr>
    </w:tbl>
    <w:p w14:paraId="0BC8C393" w14:textId="04B03DF7" w:rsidR="00C67917" w:rsidRPr="00B275E2" w:rsidRDefault="00C67917" w:rsidP="007F0B1E">
      <w:pPr>
        <w:pStyle w:val="Note"/>
      </w:pPr>
      <w:bookmarkStart w:id="579" w:name="_Hlk532843952"/>
      <w:r w:rsidRPr="00B275E2">
        <w:t>Note</w:t>
      </w:r>
      <w:r w:rsidR="00A429BD" w:rsidRPr="00B275E2">
        <w:t>:</w:t>
      </w:r>
      <w:r w:rsidRPr="00B275E2">
        <w:t xml:space="preserve"> </w:t>
      </w:r>
      <w:r w:rsidR="00A429BD" w:rsidRPr="00B275E2">
        <w:t xml:space="preserve">These </w:t>
      </w:r>
      <w:r w:rsidRPr="00B275E2">
        <w:t xml:space="preserve">numbers are rounded to </w:t>
      </w:r>
      <w:r w:rsidR="002C26F5" w:rsidRPr="00B275E2">
        <w:t>three</w:t>
      </w:r>
      <w:r w:rsidRPr="00B275E2">
        <w:t xml:space="preserve"> </w:t>
      </w:r>
      <w:r w:rsidR="002C26F5" w:rsidRPr="00B275E2">
        <w:t>significant figures.</w:t>
      </w:r>
      <w:r w:rsidRPr="00B275E2">
        <w:t xml:space="preserve"> </w:t>
      </w:r>
      <w:bookmarkEnd w:id="579"/>
    </w:p>
    <w:p w14:paraId="531A1A67" w14:textId="40FE41A3" w:rsidR="00A959E4" w:rsidRPr="00B275E2" w:rsidRDefault="00EB4389" w:rsidP="00D01071">
      <w:pPr>
        <w:pStyle w:val="Tableheading"/>
      </w:pPr>
      <w:bookmarkStart w:id="580" w:name="_Ref532845771"/>
      <w:bookmarkStart w:id="581" w:name="_Toc111536686"/>
      <w:r w:rsidRPr="00B275E2">
        <w:t xml:space="preserve">Table </w:t>
      </w:r>
      <w:r w:rsidRPr="00B275E2">
        <w:fldChar w:fldCharType="begin"/>
      </w:r>
      <w:r w:rsidRPr="00B275E2">
        <w:instrText>SEQ Table \* ARABIC</w:instrText>
      </w:r>
      <w:r w:rsidRPr="00B275E2">
        <w:fldChar w:fldCharType="separate"/>
      </w:r>
      <w:r>
        <w:rPr>
          <w:noProof/>
        </w:rPr>
        <w:t>81</w:t>
      </w:r>
      <w:r w:rsidRPr="00B275E2">
        <w:fldChar w:fldCharType="end"/>
      </w:r>
      <w:r w:rsidRPr="00B275E2">
        <w:t>:</w:t>
      </w:r>
      <w:r w:rsidRPr="00B275E2">
        <w:tab/>
      </w:r>
      <w:r w:rsidR="00A959E4" w:rsidRPr="00B275E2">
        <w:t xml:space="preserve">Waste </w:t>
      </w:r>
      <w:r w:rsidR="000D1F64" w:rsidRPr="00B275E2">
        <w:t>disposal to municipal (class 1</w:t>
      </w:r>
      <w:r w:rsidR="00FE2D37" w:rsidRPr="00B275E2">
        <w:t>) landfills without</w:t>
      </w:r>
      <w:r w:rsidR="000C3EF0" w:rsidRPr="00B275E2">
        <w:t xml:space="preserve"> </w:t>
      </w:r>
      <w:r w:rsidR="00A959E4" w:rsidRPr="00B275E2">
        <w:t>gas recovery</w:t>
      </w:r>
      <w:bookmarkEnd w:id="580"/>
      <w:bookmarkEnd w:id="581"/>
    </w:p>
    <w:tbl>
      <w:tblPr>
        <w:tblStyle w:val="LightList-Accent11"/>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Look w:val="04A0" w:firstRow="1" w:lastRow="0" w:firstColumn="1" w:lastColumn="0" w:noHBand="0" w:noVBand="1"/>
      </w:tblPr>
      <w:tblGrid>
        <w:gridCol w:w="1505"/>
        <w:gridCol w:w="1399"/>
        <w:gridCol w:w="562"/>
        <w:gridCol w:w="1259"/>
        <w:gridCol w:w="1260"/>
        <w:gridCol w:w="1260"/>
        <w:gridCol w:w="1260"/>
      </w:tblGrid>
      <w:tr w:rsidR="00393DD0" w:rsidRPr="00B275E2" w14:paraId="6251B13A" w14:textId="77777777" w:rsidTr="00D0107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04" w:type="dxa"/>
            <w:gridSpan w:val="2"/>
            <w:shd w:val="clear" w:color="auto" w:fill="1B556B" w:themeFill="text2"/>
            <w:noWrap/>
            <w:vAlign w:val="bottom"/>
            <w:hideMark/>
          </w:tcPr>
          <w:p w14:paraId="2B73BB09" w14:textId="77777777" w:rsidR="00393DD0" w:rsidRPr="00B275E2" w:rsidRDefault="00393DD0" w:rsidP="007F0B1E">
            <w:pPr>
              <w:pStyle w:val="TableText"/>
              <w:keepNext/>
              <w:spacing w:before="40" w:after="40"/>
              <w:rPr>
                <w:rFonts w:cs="Calibri"/>
                <w:szCs w:val="18"/>
              </w:rPr>
            </w:pPr>
            <w:r w:rsidRPr="00B275E2">
              <w:rPr>
                <w:rFonts w:cs="Calibri"/>
                <w:szCs w:val="18"/>
              </w:rPr>
              <w:t>Emission source</w:t>
            </w:r>
          </w:p>
        </w:tc>
        <w:tc>
          <w:tcPr>
            <w:tcW w:w="562" w:type="dxa"/>
            <w:shd w:val="clear" w:color="auto" w:fill="1B556B" w:themeFill="text2"/>
            <w:noWrap/>
            <w:vAlign w:val="bottom"/>
            <w:hideMark/>
          </w:tcPr>
          <w:p w14:paraId="11DB050A" w14:textId="77777777" w:rsidR="00393DD0" w:rsidRPr="00B275E2" w:rsidRDefault="00393DD0" w:rsidP="007F0B1E">
            <w:pPr>
              <w:pStyle w:val="TableText"/>
              <w:keepNext/>
              <w:spacing w:before="40" w:after="40"/>
              <w:cnfStyle w:val="100000000000" w:firstRow="1" w:lastRow="0" w:firstColumn="0" w:lastColumn="0" w:oddVBand="0" w:evenVBand="0" w:oddHBand="0" w:evenHBand="0" w:firstRowFirstColumn="0" w:firstRowLastColumn="0" w:lastRowFirstColumn="0" w:lastRowLastColumn="0"/>
              <w:rPr>
                <w:rFonts w:cs="Calibri"/>
                <w:szCs w:val="18"/>
              </w:rPr>
            </w:pPr>
            <w:r w:rsidRPr="00B275E2">
              <w:rPr>
                <w:rFonts w:cs="Calibri"/>
                <w:szCs w:val="18"/>
              </w:rPr>
              <w:t>Unit</w:t>
            </w:r>
          </w:p>
        </w:tc>
        <w:tc>
          <w:tcPr>
            <w:tcW w:w="1259" w:type="dxa"/>
            <w:shd w:val="clear" w:color="auto" w:fill="D2DDE1" w:themeFill="background2"/>
            <w:noWrap/>
            <w:vAlign w:val="bottom"/>
            <w:hideMark/>
          </w:tcPr>
          <w:p w14:paraId="1A5D1006" w14:textId="77777777" w:rsidR="00393DD0" w:rsidRPr="00B275E2" w:rsidRDefault="00393DD0" w:rsidP="007F0B1E">
            <w:pPr>
              <w:pStyle w:val="TableText"/>
              <w:keepNext/>
              <w:spacing w:before="40" w:after="40"/>
              <w:jc w:val="right"/>
              <w:cnfStyle w:val="100000000000" w:firstRow="1" w:lastRow="0" w:firstColumn="0" w:lastColumn="0" w:oddVBand="0" w:evenVBand="0" w:oddHBand="0" w:evenHBand="0" w:firstRowFirstColumn="0" w:firstRowLastColumn="0" w:lastRowFirstColumn="0" w:lastRowLastColumn="0"/>
              <w:rPr>
                <w:rFonts w:cs="Calibri"/>
                <w:color w:val="auto"/>
                <w:szCs w:val="18"/>
              </w:rPr>
            </w:pPr>
            <w:r w:rsidRPr="00B275E2">
              <w:rPr>
                <w:rFonts w:cs="Calibri"/>
                <w:color w:val="auto"/>
                <w:szCs w:val="18"/>
              </w:rPr>
              <w:t>kg CO</w:t>
            </w:r>
            <w:r w:rsidRPr="00B275E2">
              <w:rPr>
                <w:rFonts w:cs="Calibri"/>
                <w:color w:val="auto"/>
                <w:szCs w:val="18"/>
                <w:vertAlign w:val="subscript"/>
              </w:rPr>
              <w:t>2</w:t>
            </w:r>
            <w:r w:rsidRPr="00B275E2">
              <w:rPr>
                <w:rFonts w:cs="Calibri"/>
                <w:color w:val="auto"/>
                <w:szCs w:val="18"/>
              </w:rPr>
              <w:t>-e/unit</w:t>
            </w:r>
          </w:p>
        </w:tc>
        <w:tc>
          <w:tcPr>
            <w:tcW w:w="1260" w:type="dxa"/>
            <w:shd w:val="clear" w:color="auto" w:fill="1B556B" w:themeFill="text2"/>
            <w:noWrap/>
            <w:vAlign w:val="bottom"/>
            <w:hideMark/>
          </w:tcPr>
          <w:p w14:paraId="7F3C8347" w14:textId="52D46AB1" w:rsidR="00393DD0" w:rsidRPr="00B275E2" w:rsidRDefault="00393DD0" w:rsidP="007F0B1E">
            <w:pPr>
              <w:pStyle w:val="TableText"/>
              <w:keepNext/>
              <w:spacing w:before="40" w:after="4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275E2">
              <w:rPr>
                <w:rFonts w:cs="Calibri"/>
                <w:szCs w:val="18"/>
              </w:rPr>
              <w:t>kg CO</w:t>
            </w:r>
            <w:r w:rsidRPr="00B275E2">
              <w:rPr>
                <w:rFonts w:cs="Calibri"/>
                <w:szCs w:val="18"/>
                <w:vertAlign w:val="subscript"/>
              </w:rPr>
              <w:t>2</w:t>
            </w:r>
            <w:r w:rsidRPr="00B275E2">
              <w:rPr>
                <w:rFonts w:cs="Calibri"/>
                <w:szCs w:val="18"/>
              </w:rPr>
              <w:t>/unit</w:t>
            </w:r>
            <w:r w:rsidR="00E835BD" w:rsidRPr="00B275E2">
              <w:rPr>
                <w:rFonts w:cs="Calibri"/>
                <w:szCs w:val="18"/>
              </w:rPr>
              <w:t xml:space="preserve"> (kg CO</w:t>
            </w:r>
            <w:r w:rsidR="00E835BD" w:rsidRPr="00B275E2">
              <w:rPr>
                <w:rFonts w:cs="Calibri"/>
                <w:szCs w:val="18"/>
                <w:vertAlign w:val="subscript"/>
              </w:rPr>
              <w:t>2</w:t>
            </w:r>
            <w:r w:rsidR="00E835BD" w:rsidRPr="00B275E2">
              <w:rPr>
                <w:rFonts w:cs="Calibri"/>
                <w:szCs w:val="18"/>
              </w:rPr>
              <w:noBreakHyphen/>
              <w:t>e)</w:t>
            </w:r>
          </w:p>
        </w:tc>
        <w:tc>
          <w:tcPr>
            <w:tcW w:w="1260" w:type="dxa"/>
            <w:shd w:val="clear" w:color="auto" w:fill="1B556B" w:themeFill="text2"/>
            <w:noWrap/>
            <w:vAlign w:val="bottom"/>
            <w:hideMark/>
          </w:tcPr>
          <w:p w14:paraId="4F853779" w14:textId="4FC71FF9" w:rsidR="00393DD0" w:rsidRPr="00B275E2" w:rsidRDefault="00E835BD" w:rsidP="007F0B1E">
            <w:pPr>
              <w:pStyle w:val="TableText"/>
              <w:keepNext/>
              <w:spacing w:before="40" w:after="4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275E2">
              <w:rPr>
                <w:rFonts w:cs="Calibri"/>
                <w:szCs w:val="18"/>
              </w:rPr>
              <w:t>kg CH</w:t>
            </w:r>
            <w:r w:rsidRPr="00B275E2">
              <w:rPr>
                <w:rFonts w:cs="Calibri"/>
                <w:szCs w:val="18"/>
                <w:vertAlign w:val="subscript"/>
              </w:rPr>
              <w:t>4</w:t>
            </w:r>
            <w:r w:rsidRPr="00B275E2">
              <w:rPr>
                <w:rFonts w:cs="Calibri"/>
                <w:szCs w:val="18"/>
              </w:rPr>
              <w:t>/unit (kg CO</w:t>
            </w:r>
            <w:r w:rsidRPr="00B275E2">
              <w:rPr>
                <w:rFonts w:cs="Calibri"/>
                <w:szCs w:val="18"/>
                <w:vertAlign w:val="subscript"/>
              </w:rPr>
              <w:t>2</w:t>
            </w:r>
            <w:r w:rsidRPr="00B275E2">
              <w:rPr>
                <w:rFonts w:cs="Calibri"/>
                <w:szCs w:val="18"/>
              </w:rPr>
              <w:noBreakHyphen/>
              <w:t>e)</w:t>
            </w:r>
          </w:p>
        </w:tc>
        <w:tc>
          <w:tcPr>
            <w:tcW w:w="1260" w:type="dxa"/>
            <w:shd w:val="clear" w:color="auto" w:fill="1B556B" w:themeFill="text2"/>
            <w:noWrap/>
            <w:vAlign w:val="bottom"/>
            <w:hideMark/>
          </w:tcPr>
          <w:p w14:paraId="44AE0063" w14:textId="3A6D4560" w:rsidR="00393DD0" w:rsidRPr="00B275E2" w:rsidRDefault="00E835BD" w:rsidP="007F0B1E">
            <w:pPr>
              <w:pStyle w:val="TableText"/>
              <w:keepNext/>
              <w:spacing w:before="40" w:after="4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275E2">
              <w:rPr>
                <w:rFonts w:cs="Calibri"/>
                <w:szCs w:val="18"/>
              </w:rPr>
              <w:t>kg N</w:t>
            </w:r>
            <w:r w:rsidRPr="00B275E2">
              <w:rPr>
                <w:rFonts w:cs="Calibri"/>
                <w:szCs w:val="18"/>
                <w:vertAlign w:val="subscript"/>
              </w:rPr>
              <w:t>2</w:t>
            </w:r>
            <w:r w:rsidRPr="00B275E2">
              <w:rPr>
                <w:rFonts w:cs="Calibri"/>
                <w:szCs w:val="18"/>
              </w:rPr>
              <w:t>O/unit (kg CO</w:t>
            </w:r>
            <w:r w:rsidRPr="00B275E2">
              <w:rPr>
                <w:rFonts w:cs="Calibri"/>
                <w:szCs w:val="18"/>
                <w:vertAlign w:val="subscript"/>
              </w:rPr>
              <w:t>2</w:t>
            </w:r>
            <w:r w:rsidRPr="00B275E2">
              <w:rPr>
                <w:rFonts w:cs="Calibri"/>
                <w:szCs w:val="18"/>
              </w:rPr>
              <w:noBreakHyphen/>
              <w:t>e)</w:t>
            </w:r>
          </w:p>
        </w:tc>
      </w:tr>
      <w:tr w:rsidR="009343E3" w:rsidRPr="00B275E2" w14:paraId="7D899D06" w14:textId="77777777" w:rsidTr="00EC0F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5" w:type="dxa"/>
            <w:vMerge w:val="restart"/>
            <w:tcBorders>
              <w:left w:val="single" w:sz="4" w:space="0" w:color="FFFFFF" w:themeColor="background1"/>
            </w:tcBorders>
          </w:tcPr>
          <w:p w14:paraId="7308E10C" w14:textId="77777777" w:rsidR="009343E3" w:rsidRPr="00B275E2" w:rsidRDefault="009343E3" w:rsidP="007F0B1E">
            <w:pPr>
              <w:pStyle w:val="TableText"/>
              <w:keepNext/>
              <w:spacing w:before="40" w:after="40"/>
              <w:rPr>
                <w:rFonts w:cs="Calibri"/>
                <w:b w:val="0"/>
                <w:bCs w:val="0"/>
                <w:szCs w:val="18"/>
              </w:rPr>
            </w:pPr>
            <w:r w:rsidRPr="00B275E2">
              <w:rPr>
                <w:rFonts w:cs="Calibri"/>
                <w:b w:val="0"/>
                <w:bCs w:val="0"/>
                <w:szCs w:val="18"/>
              </w:rPr>
              <w:t>Waste (known composition)</w:t>
            </w:r>
          </w:p>
        </w:tc>
        <w:tc>
          <w:tcPr>
            <w:tcW w:w="1399" w:type="dxa"/>
          </w:tcPr>
          <w:p w14:paraId="36AE878A" w14:textId="77777777" w:rsidR="009343E3" w:rsidRPr="00B275E2" w:rsidRDefault="009343E3" w:rsidP="007F0B1E">
            <w:pPr>
              <w:pStyle w:val="TableText"/>
              <w:keepN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Food</w:t>
            </w:r>
          </w:p>
        </w:tc>
        <w:tc>
          <w:tcPr>
            <w:tcW w:w="562" w:type="dxa"/>
            <w:noWrap/>
          </w:tcPr>
          <w:p w14:paraId="60928E79" w14:textId="0364C2DC" w:rsidR="009343E3" w:rsidRPr="00B275E2" w:rsidRDefault="009343E3" w:rsidP="007F0B1E">
            <w:pPr>
              <w:pStyle w:val="TableText"/>
              <w:keepN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kg</w:t>
            </w:r>
          </w:p>
        </w:tc>
        <w:tc>
          <w:tcPr>
            <w:tcW w:w="1259" w:type="dxa"/>
            <w:shd w:val="clear" w:color="auto" w:fill="D2DDE1" w:themeFill="background2"/>
            <w:noWrap/>
          </w:tcPr>
          <w:p w14:paraId="7170B3E3" w14:textId="5162A76F" w:rsidR="009343E3" w:rsidRPr="00B275E2" w:rsidRDefault="00CF363E" w:rsidP="007F0B1E">
            <w:pPr>
              <w:pStyle w:val="TableText"/>
              <w:keepN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1.881</w:t>
            </w:r>
          </w:p>
        </w:tc>
        <w:tc>
          <w:tcPr>
            <w:tcW w:w="1260" w:type="dxa"/>
            <w:shd w:val="clear" w:color="auto" w:fill="auto"/>
            <w:noWrap/>
          </w:tcPr>
          <w:p w14:paraId="0BB1F5F1" w14:textId="6667D122" w:rsidR="009343E3" w:rsidRPr="00B275E2" w:rsidRDefault="009343E3" w:rsidP="007F0B1E">
            <w:pPr>
              <w:pStyle w:val="TableText"/>
              <w:keepN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c>
          <w:tcPr>
            <w:tcW w:w="1260" w:type="dxa"/>
            <w:shd w:val="clear" w:color="auto" w:fill="auto"/>
            <w:noWrap/>
          </w:tcPr>
          <w:p w14:paraId="4534D65F" w14:textId="50BE3E2A" w:rsidR="009343E3" w:rsidRPr="00B275E2" w:rsidRDefault="00CF363E" w:rsidP="007F0B1E">
            <w:pPr>
              <w:pStyle w:val="TableText"/>
              <w:keepN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1.881</w:t>
            </w:r>
          </w:p>
        </w:tc>
        <w:tc>
          <w:tcPr>
            <w:tcW w:w="1260" w:type="dxa"/>
            <w:tcBorders>
              <w:right w:val="single" w:sz="4" w:space="0" w:color="FFFFFF" w:themeColor="background1"/>
            </w:tcBorders>
            <w:shd w:val="clear" w:color="auto" w:fill="auto"/>
            <w:noWrap/>
          </w:tcPr>
          <w:p w14:paraId="1710E0B7" w14:textId="668FF09B" w:rsidR="009343E3" w:rsidRPr="00B275E2" w:rsidRDefault="009343E3" w:rsidP="007F0B1E">
            <w:pPr>
              <w:pStyle w:val="TableText"/>
              <w:keepN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r>
      <w:tr w:rsidR="009343E3" w:rsidRPr="00B275E2" w14:paraId="6FA09F51" w14:textId="77777777" w:rsidTr="00EC0FF5">
        <w:trPr>
          <w:trHeight w:val="300"/>
        </w:trPr>
        <w:tc>
          <w:tcPr>
            <w:cnfStyle w:val="001000000000" w:firstRow="0" w:lastRow="0" w:firstColumn="1" w:lastColumn="0" w:oddVBand="0" w:evenVBand="0" w:oddHBand="0" w:evenHBand="0" w:firstRowFirstColumn="0" w:firstRowLastColumn="0" w:lastRowFirstColumn="0" w:lastRowLastColumn="0"/>
            <w:tcW w:w="1505" w:type="dxa"/>
            <w:vMerge/>
            <w:tcBorders>
              <w:left w:val="single" w:sz="4" w:space="0" w:color="FFFFFF" w:themeColor="background1"/>
            </w:tcBorders>
          </w:tcPr>
          <w:p w14:paraId="2359F980" w14:textId="77777777" w:rsidR="009343E3" w:rsidRPr="00B275E2" w:rsidRDefault="009343E3" w:rsidP="007F0B1E">
            <w:pPr>
              <w:pStyle w:val="TableText"/>
              <w:keepNext/>
              <w:spacing w:before="40" w:after="40"/>
              <w:rPr>
                <w:rFonts w:cs="Calibri"/>
                <w:b w:val="0"/>
                <w:bCs w:val="0"/>
                <w:szCs w:val="18"/>
              </w:rPr>
            </w:pPr>
          </w:p>
        </w:tc>
        <w:tc>
          <w:tcPr>
            <w:tcW w:w="1399" w:type="dxa"/>
          </w:tcPr>
          <w:p w14:paraId="4DC562F7" w14:textId="77777777" w:rsidR="009343E3" w:rsidRPr="00B275E2" w:rsidRDefault="009343E3" w:rsidP="007F0B1E">
            <w:pPr>
              <w:pStyle w:val="TableText"/>
              <w:keepN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Garden</w:t>
            </w:r>
          </w:p>
        </w:tc>
        <w:tc>
          <w:tcPr>
            <w:tcW w:w="562" w:type="dxa"/>
            <w:noWrap/>
          </w:tcPr>
          <w:p w14:paraId="287271CD" w14:textId="4B941A9C" w:rsidR="009343E3" w:rsidRPr="00B275E2" w:rsidRDefault="009343E3" w:rsidP="007F0B1E">
            <w:pPr>
              <w:pStyle w:val="TableText"/>
              <w:keepN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kg</w:t>
            </w:r>
          </w:p>
        </w:tc>
        <w:tc>
          <w:tcPr>
            <w:tcW w:w="1259" w:type="dxa"/>
            <w:shd w:val="clear" w:color="auto" w:fill="D2DDE1" w:themeFill="background2"/>
            <w:noWrap/>
          </w:tcPr>
          <w:p w14:paraId="498497AB" w14:textId="2D63C03A" w:rsidR="009343E3" w:rsidRPr="00B275E2" w:rsidRDefault="00CF363E" w:rsidP="007F0B1E">
            <w:pPr>
              <w:pStyle w:val="TableText"/>
              <w:keepN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1.539</w:t>
            </w:r>
          </w:p>
        </w:tc>
        <w:tc>
          <w:tcPr>
            <w:tcW w:w="1260" w:type="dxa"/>
            <w:shd w:val="clear" w:color="auto" w:fill="auto"/>
            <w:noWrap/>
          </w:tcPr>
          <w:p w14:paraId="7EBB5EEC" w14:textId="0143B5E5" w:rsidR="009343E3" w:rsidRPr="00B275E2" w:rsidRDefault="009343E3" w:rsidP="007F0B1E">
            <w:pPr>
              <w:pStyle w:val="TableText"/>
              <w:keepN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n/a</w:t>
            </w:r>
          </w:p>
        </w:tc>
        <w:tc>
          <w:tcPr>
            <w:tcW w:w="1260" w:type="dxa"/>
            <w:shd w:val="clear" w:color="auto" w:fill="auto"/>
            <w:noWrap/>
          </w:tcPr>
          <w:p w14:paraId="753581D6" w14:textId="66D24B48" w:rsidR="009343E3" w:rsidRPr="00B275E2" w:rsidRDefault="00CF363E" w:rsidP="007F0B1E">
            <w:pPr>
              <w:pStyle w:val="TableText"/>
              <w:keepN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1.539</w:t>
            </w:r>
          </w:p>
        </w:tc>
        <w:tc>
          <w:tcPr>
            <w:tcW w:w="1260" w:type="dxa"/>
            <w:tcBorders>
              <w:right w:val="single" w:sz="4" w:space="0" w:color="FFFFFF" w:themeColor="background1"/>
            </w:tcBorders>
            <w:shd w:val="clear" w:color="auto" w:fill="auto"/>
            <w:noWrap/>
          </w:tcPr>
          <w:p w14:paraId="20C2E38F" w14:textId="55DD6B55" w:rsidR="009343E3" w:rsidRPr="00B275E2" w:rsidRDefault="009343E3" w:rsidP="007F0B1E">
            <w:pPr>
              <w:pStyle w:val="TableText"/>
              <w:keepN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n/a</w:t>
            </w:r>
          </w:p>
        </w:tc>
      </w:tr>
      <w:tr w:rsidR="009343E3" w:rsidRPr="00B275E2" w14:paraId="6245EDA2" w14:textId="77777777" w:rsidTr="00EC0F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5" w:type="dxa"/>
            <w:vMerge/>
            <w:tcBorders>
              <w:left w:val="single" w:sz="4" w:space="0" w:color="FFFFFF" w:themeColor="background1"/>
            </w:tcBorders>
          </w:tcPr>
          <w:p w14:paraId="000CD360" w14:textId="77777777" w:rsidR="009343E3" w:rsidRPr="00B275E2" w:rsidRDefault="009343E3" w:rsidP="007F0B1E">
            <w:pPr>
              <w:pStyle w:val="TableText"/>
              <w:keepNext/>
              <w:spacing w:before="40" w:after="40"/>
              <w:rPr>
                <w:rFonts w:cs="Calibri"/>
                <w:b w:val="0"/>
                <w:bCs w:val="0"/>
                <w:szCs w:val="18"/>
              </w:rPr>
            </w:pPr>
          </w:p>
        </w:tc>
        <w:tc>
          <w:tcPr>
            <w:tcW w:w="1399" w:type="dxa"/>
          </w:tcPr>
          <w:p w14:paraId="0715C18D" w14:textId="77777777" w:rsidR="009343E3" w:rsidRPr="00B275E2" w:rsidRDefault="009343E3" w:rsidP="007F0B1E">
            <w:pPr>
              <w:pStyle w:val="TableText"/>
              <w:keepN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Paper</w:t>
            </w:r>
          </w:p>
        </w:tc>
        <w:tc>
          <w:tcPr>
            <w:tcW w:w="562" w:type="dxa"/>
            <w:noWrap/>
          </w:tcPr>
          <w:p w14:paraId="68AEF020" w14:textId="77777777" w:rsidR="009343E3" w:rsidRPr="00B275E2" w:rsidRDefault="009343E3" w:rsidP="007F0B1E">
            <w:pPr>
              <w:pStyle w:val="TableText"/>
              <w:keepN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kg</w:t>
            </w:r>
          </w:p>
        </w:tc>
        <w:tc>
          <w:tcPr>
            <w:tcW w:w="1259" w:type="dxa"/>
            <w:shd w:val="clear" w:color="auto" w:fill="D2DDE1" w:themeFill="background2"/>
            <w:noWrap/>
          </w:tcPr>
          <w:p w14:paraId="1A3EE213" w14:textId="2C9EFDAC" w:rsidR="009343E3" w:rsidRPr="00B275E2" w:rsidRDefault="00754872" w:rsidP="007F0B1E">
            <w:pPr>
              <w:pStyle w:val="TableText"/>
              <w:keepN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2.736</w:t>
            </w:r>
          </w:p>
        </w:tc>
        <w:tc>
          <w:tcPr>
            <w:tcW w:w="1260" w:type="dxa"/>
            <w:shd w:val="clear" w:color="auto" w:fill="auto"/>
            <w:noWrap/>
          </w:tcPr>
          <w:p w14:paraId="7973AA1F" w14:textId="13425C7E" w:rsidR="009343E3" w:rsidRPr="00B275E2" w:rsidRDefault="009343E3" w:rsidP="007F0B1E">
            <w:pPr>
              <w:pStyle w:val="TableText"/>
              <w:keepN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c>
          <w:tcPr>
            <w:tcW w:w="1260" w:type="dxa"/>
            <w:shd w:val="clear" w:color="auto" w:fill="auto"/>
            <w:noWrap/>
          </w:tcPr>
          <w:p w14:paraId="65526271" w14:textId="6A767444" w:rsidR="009343E3" w:rsidRPr="00B275E2" w:rsidRDefault="00754872" w:rsidP="007F0B1E">
            <w:pPr>
              <w:pStyle w:val="TableText"/>
              <w:keepN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2.736</w:t>
            </w:r>
          </w:p>
        </w:tc>
        <w:tc>
          <w:tcPr>
            <w:tcW w:w="1260" w:type="dxa"/>
            <w:tcBorders>
              <w:right w:val="single" w:sz="4" w:space="0" w:color="FFFFFF" w:themeColor="background1"/>
            </w:tcBorders>
            <w:shd w:val="clear" w:color="auto" w:fill="auto"/>
            <w:noWrap/>
          </w:tcPr>
          <w:p w14:paraId="24977A92" w14:textId="6D4754C1" w:rsidR="009343E3" w:rsidRPr="00B275E2" w:rsidRDefault="009343E3" w:rsidP="007F0B1E">
            <w:pPr>
              <w:pStyle w:val="TableText"/>
              <w:keepN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r>
      <w:tr w:rsidR="009343E3" w:rsidRPr="00B275E2" w14:paraId="60DD643B" w14:textId="77777777" w:rsidTr="00EC0FF5">
        <w:trPr>
          <w:trHeight w:val="300"/>
        </w:trPr>
        <w:tc>
          <w:tcPr>
            <w:cnfStyle w:val="001000000000" w:firstRow="0" w:lastRow="0" w:firstColumn="1" w:lastColumn="0" w:oddVBand="0" w:evenVBand="0" w:oddHBand="0" w:evenHBand="0" w:firstRowFirstColumn="0" w:firstRowLastColumn="0" w:lastRowFirstColumn="0" w:lastRowLastColumn="0"/>
            <w:tcW w:w="1505" w:type="dxa"/>
            <w:vMerge/>
            <w:tcBorders>
              <w:left w:val="single" w:sz="4" w:space="0" w:color="FFFFFF" w:themeColor="background1"/>
            </w:tcBorders>
          </w:tcPr>
          <w:p w14:paraId="2FBA3B57" w14:textId="77777777" w:rsidR="009343E3" w:rsidRPr="00B275E2" w:rsidRDefault="009343E3" w:rsidP="007F0B1E">
            <w:pPr>
              <w:pStyle w:val="TableText"/>
              <w:spacing w:before="40" w:after="40"/>
              <w:rPr>
                <w:rFonts w:cs="Calibri"/>
                <w:b w:val="0"/>
                <w:bCs w:val="0"/>
                <w:szCs w:val="18"/>
              </w:rPr>
            </w:pPr>
          </w:p>
        </w:tc>
        <w:tc>
          <w:tcPr>
            <w:tcW w:w="1399" w:type="dxa"/>
          </w:tcPr>
          <w:p w14:paraId="16834A21" w14:textId="77777777" w:rsidR="009343E3" w:rsidRPr="00B275E2" w:rsidRDefault="009343E3"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Wood</w:t>
            </w:r>
          </w:p>
        </w:tc>
        <w:tc>
          <w:tcPr>
            <w:tcW w:w="562" w:type="dxa"/>
            <w:noWrap/>
          </w:tcPr>
          <w:p w14:paraId="45BF9F71" w14:textId="77777777" w:rsidR="009343E3" w:rsidRPr="00B275E2" w:rsidRDefault="009343E3"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kg</w:t>
            </w:r>
          </w:p>
        </w:tc>
        <w:tc>
          <w:tcPr>
            <w:tcW w:w="1259" w:type="dxa"/>
            <w:shd w:val="clear" w:color="auto" w:fill="D2DDE1" w:themeFill="background2"/>
            <w:noWrap/>
          </w:tcPr>
          <w:p w14:paraId="63548884" w14:textId="5D574B2A" w:rsidR="009343E3" w:rsidRPr="00B275E2" w:rsidRDefault="00754872"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1.060</w:t>
            </w:r>
          </w:p>
        </w:tc>
        <w:tc>
          <w:tcPr>
            <w:tcW w:w="1260" w:type="dxa"/>
            <w:shd w:val="clear" w:color="auto" w:fill="auto"/>
            <w:noWrap/>
          </w:tcPr>
          <w:p w14:paraId="3D062152" w14:textId="2411A0B2" w:rsidR="009343E3" w:rsidRPr="00B275E2" w:rsidRDefault="009343E3"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n/a</w:t>
            </w:r>
          </w:p>
        </w:tc>
        <w:tc>
          <w:tcPr>
            <w:tcW w:w="1260" w:type="dxa"/>
            <w:shd w:val="clear" w:color="auto" w:fill="auto"/>
            <w:noWrap/>
          </w:tcPr>
          <w:p w14:paraId="2F3919D0" w14:textId="78EB6AC3" w:rsidR="009343E3" w:rsidRPr="00B275E2" w:rsidRDefault="00754872"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1.060</w:t>
            </w:r>
          </w:p>
        </w:tc>
        <w:tc>
          <w:tcPr>
            <w:tcW w:w="1260" w:type="dxa"/>
            <w:tcBorders>
              <w:right w:val="single" w:sz="4" w:space="0" w:color="FFFFFF" w:themeColor="background1"/>
            </w:tcBorders>
            <w:shd w:val="clear" w:color="auto" w:fill="auto"/>
            <w:noWrap/>
          </w:tcPr>
          <w:p w14:paraId="3C9FFDEE" w14:textId="161B8A98" w:rsidR="009343E3" w:rsidRPr="00B275E2" w:rsidRDefault="009343E3"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n/a</w:t>
            </w:r>
          </w:p>
        </w:tc>
      </w:tr>
      <w:tr w:rsidR="009343E3" w:rsidRPr="00B275E2" w14:paraId="7C61DC50" w14:textId="77777777" w:rsidTr="00EC0F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5" w:type="dxa"/>
            <w:vMerge/>
            <w:tcBorders>
              <w:left w:val="single" w:sz="4" w:space="0" w:color="FFFFFF" w:themeColor="background1"/>
            </w:tcBorders>
          </w:tcPr>
          <w:p w14:paraId="285B244B" w14:textId="77777777" w:rsidR="009343E3" w:rsidRPr="00B275E2" w:rsidRDefault="009343E3" w:rsidP="007F0B1E">
            <w:pPr>
              <w:pStyle w:val="TableText"/>
              <w:spacing w:before="40" w:after="40"/>
              <w:rPr>
                <w:rFonts w:cs="Calibri"/>
                <w:b w:val="0"/>
                <w:bCs w:val="0"/>
                <w:szCs w:val="18"/>
              </w:rPr>
            </w:pPr>
          </w:p>
        </w:tc>
        <w:tc>
          <w:tcPr>
            <w:tcW w:w="1399" w:type="dxa"/>
          </w:tcPr>
          <w:p w14:paraId="4B8C2A8F" w14:textId="77777777" w:rsidR="009343E3" w:rsidRPr="00B275E2" w:rsidRDefault="009343E3"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Textile</w:t>
            </w:r>
          </w:p>
        </w:tc>
        <w:tc>
          <w:tcPr>
            <w:tcW w:w="562" w:type="dxa"/>
            <w:noWrap/>
          </w:tcPr>
          <w:p w14:paraId="5B499D91" w14:textId="77777777" w:rsidR="009343E3" w:rsidRPr="00B275E2" w:rsidRDefault="009343E3"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kg</w:t>
            </w:r>
          </w:p>
        </w:tc>
        <w:tc>
          <w:tcPr>
            <w:tcW w:w="1259" w:type="dxa"/>
            <w:shd w:val="clear" w:color="auto" w:fill="D2DDE1" w:themeFill="background2"/>
            <w:noWrap/>
          </w:tcPr>
          <w:p w14:paraId="322EB9EA" w14:textId="7A6BB93E" w:rsidR="009343E3" w:rsidRPr="00B275E2" w:rsidRDefault="00754872"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1.368</w:t>
            </w:r>
          </w:p>
        </w:tc>
        <w:tc>
          <w:tcPr>
            <w:tcW w:w="1260" w:type="dxa"/>
            <w:shd w:val="clear" w:color="auto" w:fill="auto"/>
            <w:noWrap/>
          </w:tcPr>
          <w:p w14:paraId="459F119C" w14:textId="1664E59B" w:rsidR="009343E3" w:rsidRPr="00B275E2" w:rsidRDefault="009343E3"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c>
          <w:tcPr>
            <w:tcW w:w="1260" w:type="dxa"/>
            <w:shd w:val="clear" w:color="auto" w:fill="auto"/>
            <w:noWrap/>
          </w:tcPr>
          <w:p w14:paraId="02737214" w14:textId="11AE69DA" w:rsidR="009343E3" w:rsidRPr="00B275E2" w:rsidRDefault="00754872"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1.</w:t>
            </w:r>
            <w:r w:rsidR="00FE3A4D" w:rsidRPr="00B275E2">
              <w:rPr>
                <w:rFonts w:cs="Calibri"/>
                <w:szCs w:val="18"/>
              </w:rPr>
              <w:t>368</w:t>
            </w:r>
          </w:p>
        </w:tc>
        <w:tc>
          <w:tcPr>
            <w:tcW w:w="1260" w:type="dxa"/>
            <w:tcBorders>
              <w:right w:val="single" w:sz="4" w:space="0" w:color="FFFFFF" w:themeColor="background1"/>
            </w:tcBorders>
            <w:shd w:val="clear" w:color="auto" w:fill="auto"/>
            <w:noWrap/>
          </w:tcPr>
          <w:p w14:paraId="21EC2C07" w14:textId="14D0B916" w:rsidR="009343E3" w:rsidRPr="00B275E2" w:rsidRDefault="009343E3"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r>
      <w:tr w:rsidR="009343E3" w:rsidRPr="00B275E2" w14:paraId="1F167DFA" w14:textId="77777777" w:rsidTr="00EC0FF5">
        <w:trPr>
          <w:trHeight w:val="300"/>
        </w:trPr>
        <w:tc>
          <w:tcPr>
            <w:cnfStyle w:val="001000000000" w:firstRow="0" w:lastRow="0" w:firstColumn="1" w:lastColumn="0" w:oddVBand="0" w:evenVBand="0" w:oddHBand="0" w:evenHBand="0" w:firstRowFirstColumn="0" w:firstRowLastColumn="0" w:lastRowFirstColumn="0" w:lastRowLastColumn="0"/>
            <w:tcW w:w="1505" w:type="dxa"/>
            <w:vMerge/>
            <w:tcBorders>
              <w:left w:val="single" w:sz="4" w:space="0" w:color="FFFFFF" w:themeColor="background1"/>
              <w:bottom w:val="nil"/>
            </w:tcBorders>
          </w:tcPr>
          <w:p w14:paraId="514DDCC0" w14:textId="77777777" w:rsidR="009343E3" w:rsidRPr="00B275E2" w:rsidRDefault="009343E3" w:rsidP="007F0B1E">
            <w:pPr>
              <w:pStyle w:val="TableText"/>
              <w:spacing w:before="40" w:after="40"/>
              <w:rPr>
                <w:rFonts w:cs="Calibri"/>
                <w:b w:val="0"/>
                <w:bCs w:val="0"/>
                <w:szCs w:val="18"/>
              </w:rPr>
            </w:pPr>
          </w:p>
        </w:tc>
        <w:tc>
          <w:tcPr>
            <w:tcW w:w="1399" w:type="dxa"/>
          </w:tcPr>
          <w:p w14:paraId="331A9CF9" w14:textId="77777777" w:rsidR="009343E3" w:rsidRPr="00B275E2" w:rsidRDefault="009343E3"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Nappies</w:t>
            </w:r>
          </w:p>
        </w:tc>
        <w:tc>
          <w:tcPr>
            <w:tcW w:w="562" w:type="dxa"/>
            <w:noWrap/>
          </w:tcPr>
          <w:p w14:paraId="1F04D387" w14:textId="77777777" w:rsidR="009343E3" w:rsidRPr="00B275E2" w:rsidRDefault="009343E3"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kg</w:t>
            </w:r>
          </w:p>
        </w:tc>
        <w:tc>
          <w:tcPr>
            <w:tcW w:w="1259" w:type="dxa"/>
            <w:shd w:val="clear" w:color="auto" w:fill="D2DDE1" w:themeFill="background2"/>
            <w:noWrap/>
          </w:tcPr>
          <w:p w14:paraId="17339812" w14:textId="6B1F7A14" w:rsidR="009343E3" w:rsidRPr="00B275E2" w:rsidRDefault="00FE3A4D"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0.684</w:t>
            </w:r>
          </w:p>
        </w:tc>
        <w:tc>
          <w:tcPr>
            <w:tcW w:w="1260" w:type="dxa"/>
            <w:shd w:val="clear" w:color="auto" w:fill="auto"/>
            <w:noWrap/>
          </w:tcPr>
          <w:p w14:paraId="315D9C98" w14:textId="49ED3B83" w:rsidR="009343E3" w:rsidRPr="00B275E2" w:rsidRDefault="009343E3"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n/a</w:t>
            </w:r>
          </w:p>
        </w:tc>
        <w:tc>
          <w:tcPr>
            <w:tcW w:w="1260" w:type="dxa"/>
            <w:shd w:val="clear" w:color="auto" w:fill="auto"/>
            <w:noWrap/>
          </w:tcPr>
          <w:p w14:paraId="6F4D3394" w14:textId="319B3FB6" w:rsidR="009343E3" w:rsidRPr="00B275E2" w:rsidRDefault="00FE3A4D"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0.684</w:t>
            </w:r>
          </w:p>
        </w:tc>
        <w:tc>
          <w:tcPr>
            <w:tcW w:w="1260" w:type="dxa"/>
            <w:tcBorders>
              <w:right w:val="single" w:sz="4" w:space="0" w:color="FFFFFF" w:themeColor="background1"/>
            </w:tcBorders>
            <w:shd w:val="clear" w:color="auto" w:fill="auto"/>
            <w:noWrap/>
          </w:tcPr>
          <w:p w14:paraId="7FC0B617" w14:textId="15FFFCA3" w:rsidR="009343E3" w:rsidRPr="00B275E2" w:rsidRDefault="009343E3"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n/a</w:t>
            </w:r>
          </w:p>
        </w:tc>
      </w:tr>
      <w:tr w:rsidR="00316503" w:rsidRPr="00B275E2" w14:paraId="65992C48" w14:textId="77777777" w:rsidTr="00EC0F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5" w:type="dxa"/>
            <w:tcBorders>
              <w:top w:val="nil"/>
              <w:left w:val="single" w:sz="4" w:space="0" w:color="FFFFFF" w:themeColor="background1"/>
              <w:bottom w:val="nil"/>
            </w:tcBorders>
          </w:tcPr>
          <w:p w14:paraId="2ACF098E" w14:textId="77777777" w:rsidR="00FE3A4D" w:rsidRPr="00B275E2" w:rsidRDefault="00FE3A4D" w:rsidP="007F0B1E">
            <w:pPr>
              <w:pStyle w:val="TableText"/>
              <w:spacing w:before="40" w:after="40"/>
              <w:rPr>
                <w:rFonts w:cs="Calibri"/>
                <w:b w:val="0"/>
                <w:bCs w:val="0"/>
                <w:szCs w:val="18"/>
              </w:rPr>
            </w:pPr>
          </w:p>
        </w:tc>
        <w:tc>
          <w:tcPr>
            <w:tcW w:w="1399" w:type="dxa"/>
          </w:tcPr>
          <w:p w14:paraId="63AE4860" w14:textId="675B42B4" w:rsidR="00FE3A4D" w:rsidRPr="00B275E2" w:rsidRDefault="00FE3A4D"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Sludge</w:t>
            </w:r>
          </w:p>
        </w:tc>
        <w:tc>
          <w:tcPr>
            <w:tcW w:w="562" w:type="dxa"/>
            <w:noWrap/>
          </w:tcPr>
          <w:p w14:paraId="301B8921" w14:textId="21D95756" w:rsidR="00FE3A4D" w:rsidRPr="00B275E2" w:rsidRDefault="00FE3A4D"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kg</w:t>
            </w:r>
          </w:p>
        </w:tc>
        <w:tc>
          <w:tcPr>
            <w:tcW w:w="1259" w:type="dxa"/>
            <w:shd w:val="clear" w:color="auto" w:fill="D2DDE1" w:themeFill="background2"/>
            <w:noWrap/>
          </w:tcPr>
          <w:p w14:paraId="2B68934D" w14:textId="66EC9679" w:rsidR="00FE3A4D" w:rsidRPr="00B275E2" w:rsidRDefault="00FE3A4D"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0.428</w:t>
            </w:r>
          </w:p>
        </w:tc>
        <w:tc>
          <w:tcPr>
            <w:tcW w:w="1260" w:type="dxa"/>
            <w:shd w:val="clear" w:color="auto" w:fill="auto"/>
            <w:noWrap/>
          </w:tcPr>
          <w:p w14:paraId="65E7C26B" w14:textId="771AC49E" w:rsidR="00FE3A4D" w:rsidRPr="00B275E2" w:rsidRDefault="00FE3A4D"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c>
          <w:tcPr>
            <w:tcW w:w="1260" w:type="dxa"/>
            <w:shd w:val="clear" w:color="auto" w:fill="auto"/>
            <w:noWrap/>
          </w:tcPr>
          <w:p w14:paraId="071A6DB9" w14:textId="3D0907A5" w:rsidR="00FE3A4D" w:rsidRPr="00B275E2" w:rsidRDefault="00FE3A4D"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0.428</w:t>
            </w:r>
          </w:p>
        </w:tc>
        <w:tc>
          <w:tcPr>
            <w:tcW w:w="1260" w:type="dxa"/>
            <w:tcBorders>
              <w:right w:val="single" w:sz="4" w:space="0" w:color="FFFFFF" w:themeColor="background1"/>
            </w:tcBorders>
            <w:shd w:val="clear" w:color="auto" w:fill="auto"/>
            <w:noWrap/>
          </w:tcPr>
          <w:p w14:paraId="1BF0066F" w14:textId="4B55DF7E" w:rsidR="00FE3A4D" w:rsidRPr="00B275E2" w:rsidRDefault="00FE3A4D"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r>
      <w:tr w:rsidR="009343E3" w:rsidRPr="00B275E2" w14:paraId="3742CF50" w14:textId="77777777" w:rsidTr="00EC0FF5">
        <w:trPr>
          <w:trHeight w:val="300"/>
        </w:trPr>
        <w:tc>
          <w:tcPr>
            <w:cnfStyle w:val="001000000000" w:firstRow="0" w:lastRow="0" w:firstColumn="1" w:lastColumn="0" w:oddVBand="0" w:evenVBand="0" w:oddHBand="0" w:evenHBand="0" w:firstRowFirstColumn="0" w:firstRowLastColumn="0" w:lastRowFirstColumn="0" w:lastRowLastColumn="0"/>
            <w:tcW w:w="1505" w:type="dxa"/>
            <w:tcBorders>
              <w:top w:val="nil"/>
              <w:left w:val="single" w:sz="4" w:space="0" w:color="FFFFFF" w:themeColor="background1"/>
            </w:tcBorders>
          </w:tcPr>
          <w:p w14:paraId="3CEBAFC5" w14:textId="77777777" w:rsidR="009343E3" w:rsidRPr="00B275E2" w:rsidRDefault="009343E3" w:rsidP="007F0B1E">
            <w:pPr>
              <w:pStyle w:val="TableText"/>
              <w:spacing w:before="40" w:after="40"/>
              <w:rPr>
                <w:rFonts w:cs="Calibri"/>
                <w:b w:val="0"/>
                <w:bCs w:val="0"/>
                <w:szCs w:val="18"/>
              </w:rPr>
            </w:pPr>
          </w:p>
        </w:tc>
        <w:tc>
          <w:tcPr>
            <w:tcW w:w="1399" w:type="dxa"/>
          </w:tcPr>
          <w:p w14:paraId="38C2EB23" w14:textId="09532F53" w:rsidR="009343E3" w:rsidRPr="00B275E2" w:rsidRDefault="009343E3"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Other (inert)</w:t>
            </w:r>
          </w:p>
        </w:tc>
        <w:tc>
          <w:tcPr>
            <w:tcW w:w="562" w:type="dxa"/>
            <w:noWrap/>
          </w:tcPr>
          <w:p w14:paraId="28C37E00" w14:textId="77777777" w:rsidR="009343E3" w:rsidRPr="00B275E2" w:rsidRDefault="009343E3"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kg</w:t>
            </w:r>
          </w:p>
        </w:tc>
        <w:tc>
          <w:tcPr>
            <w:tcW w:w="1259" w:type="dxa"/>
            <w:shd w:val="clear" w:color="auto" w:fill="D2DDE1" w:themeFill="background2"/>
            <w:noWrap/>
          </w:tcPr>
          <w:p w14:paraId="6EC58922" w14:textId="458BC483" w:rsidR="009343E3" w:rsidRPr="00B275E2" w:rsidRDefault="009343E3"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n/a</w:t>
            </w:r>
          </w:p>
        </w:tc>
        <w:tc>
          <w:tcPr>
            <w:tcW w:w="1260" w:type="dxa"/>
            <w:shd w:val="clear" w:color="auto" w:fill="auto"/>
            <w:noWrap/>
          </w:tcPr>
          <w:p w14:paraId="2B2AD3F7" w14:textId="4C1BDD79" w:rsidR="009343E3" w:rsidRPr="00B275E2" w:rsidRDefault="009343E3"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n/a</w:t>
            </w:r>
          </w:p>
        </w:tc>
        <w:tc>
          <w:tcPr>
            <w:tcW w:w="1260" w:type="dxa"/>
            <w:shd w:val="clear" w:color="auto" w:fill="auto"/>
            <w:noWrap/>
          </w:tcPr>
          <w:p w14:paraId="251272E3" w14:textId="4564BB88" w:rsidR="009343E3" w:rsidRPr="00B275E2" w:rsidRDefault="009343E3"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n/a</w:t>
            </w:r>
          </w:p>
        </w:tc>
        <w:tc>
          <w:tcPr>
            <w:tcW w:w="1260" w:type="dxa"/>
            <w:tcBorders>
              <w:right w:val="single" w:sz="4" w:space="0" w:color="FFFFFF" w:themeColor="background1"/>
            </w:tcBorders>
            <w:shd w:val="clear" w:color="auto" w:fill="auto"/>
            <w:noWrap/>
          </w:tcPr>
          <w:p w14:paraId="4FCE453B" w14:textId="44A8DDB4" w:rsidR="009343E3" w:rsidRPr="00B275E2" w:rsidRDefault="009343E3"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n/a</w:t>
            </w:r>
          </w:p>
        </w:tc>
      </w:tr>
      <w:tr w:rsidR="009343E3" w:rsidRPr="00B275E2" w14:paraId="166C3346" w14:textId="77777777" w:rsidTr="00EC0F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5" w:type="dxa"/>
            <w:vMerge w:val="restart"/>
            <w:tcBorders>
              <w:left w:val="single" w:sz="4" w:space="0" w:color="FFFFFF" w:themeColor="background1"/>
            </w:tcBorders>
          </w:tcPr>
          <w:p w14:paraId="1917F29A" w14:textId="77777777" w:rsidR="009343E3" w:rsidRPr="00B275E2" w:rsidRDefault="009343E3" w:rsidP="007F0B1E">
            <w:pPr>
              <w:pStyle w:val="TableText"/>
              <w:spacing w:before="40" w:after="40"/>
              <w:rPr>
                <w:rFonts w:cs="Calibri"/>
                <w:b w:val="0"/>
                <w:bCs w:val="0"/>
                <w:szCs w:val="18"/>
              </w:rPr>
            </w:pPr>
            <w:r w:rsidRPr="00B275E2">
              <w:rPr>
                <w:rFonts w:cs="Calibri"/>
                <w:b w:val="0"/>
                <w:bCs w:val="0"/>
                <w:szCs w:val="18"/>
              </w:rPr>
              <w:t>Waste (unknown composition)</w:t>
            </w:r>
          </w:p>
        </w:tc>
        <w:tc>
          <w:tcPr>
            <w:tcW w:w="1399" w:type="dxa"/>
          </w:tcPr>
          <w:p w14:paraId="46C2BCCF" w14:textId="77777777" w:rsidR="009343E3" w:rsidRPr="00B275E2" w:rsidRDefault="009343E3"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General waste</w:t>
            </w:r>
          </w:p>
        </w:tc>
        <w:tc>
          <w:tcPr>
            <w:tcW w:w="562" w:type="dxa"/>
            <w:noWrap/>
          </w:tcPr>
          <w:p w14:paraId="37D23A40" w14:textId="77777777" w:rsidR="009343E3" w:rsidRPr="00B275E2" w:rsidRDefault="009343E3"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kg</w:t>
            </w:r>
          </w:p>
        </w:tc>
        <w:tc>
          <w:tcPr>
            <w:tcW w:w="1259" w:type="dxa"/>
            <w:shd w:val="clear" w:color="auto" w:fill="D2DDE1" w:themeFill="background2"/>
            <w:noWrap/>
          </w:tcPr>
          <w:p w14:paraId="1711760E" w14:textId="2BE7F911" w:rsidR="009343E3" w:rsidRPr="00B275E2" w:rsidRDefault="00FE3A4D"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w:t>
            </w:r>
            <w:r w:rsidR="00735DB0" w:rsidRPr="00B275E2">
              <w:rPr>
                <w:rFonts w:cs="Calibri"/>
                <w:szCs w:val="18"/>
              </w:rPr>
              <w:t>647</w:t>
            </w:r>
          </w:p>
        </w:tc>
        <w:tc>
          <w:tcPr>
            <w:tcW w:w="1260" w:type="dxa"/>
            <w:shd w:val="clear" w:color="auto" w:fill="auto"/>
            <w:noWrap/>
          </w:tcPr>
          <w:p w14:paraId="13EAB188" w14:textId="69662F5E" w:rsidR="009343E3" w:rsidRPr="00B275E2" w:rsidRDefault="009343E3"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c>
          <w:tcPr>
            <w:tcW w:w="1260" w:type="dxa"/>
            <w:shd w:val="clear" w:color="auto" w:fill="auto"/>
            <w:noWrap/>
          </w:tcPr>
          <w:p w14:paraId="2DA97BF5" w14:textId="7D4AD3BE" w:rsidR="009343E3" w:rsidRPr="00B275E2" w:rsidRDefault="00735DB0"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0.647</w:t>
            </w:r>
          </w:p>
        </w:tc>
        <w:tc>
          <w:tcPr>
            <w:tcW w:w="1260" w:type="dxa"/>
            <w:tcBorders>
              <w:right w:val="single" w:sz="4" w:space="0" w:color="FFFFFF" w:themeColor="background1"/>
            </w:tcBorders>
            <w:shd w:val="clear" w:color="auto" w:fill="auto"/>
            <w:noWrap/>
          </w:tcPr>
          <w:p w14:paraId="5A053FC4" w14:textId="32CDB2A3" w:rsidR="009343E3" w:rsidRPr="00B275E2" w:rsidRDefault="009343E3"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r>
      <w:tr w:rsidR="009343E3" w:rsidRPr="00B275E2" w14:paraId="6244A368" w14:textId="77777777" w:rsidTr="00EC0FF5">
        <w:trPr>
          <w:trHeight w:val="300"/>
        </w:trPr>
        <w:tc>
          <w:tcPr>
            <w:cnfStyle w:val="001000000000" w:firstRow="0" w:lastRow="0" w:firstColumn="1" w:lastColumn="0" w:oddVBand="0" w:evenVBand="0" w:oddHBand="0" w:evenHBand="0" w:firstRowFirstColumn="0" w:firstRowLastColumn="0" w:lastRowFirstColumn="0" w:lastRowLastColumn="0"/>
            <w:tcW w:w="1505" w:type="dxa"/>
            <w:vMerge/>
            <w:tcBorders>
              <w:left w:val="single" w:sz="4" w:space="0" w:color="FFFFFF" w:themeColor="background1"/>
            </w:tcBorders>
          </w:tcPr>
          <w:p w14:paraId="4FF7BB94" w14:textId="77777777" w:rsidR="009343E3" w:rsidRPr="00B275E2" w:rsidRDefault="009343E3" w:rsidP="007F0B1E">
            <w:pPr>
              <w:pStyle w:val="TableText"/>
              <w:spacing w:before="40" w:after="40"/>
              <w:rPr>
                <w:rFonts w:cs="Calibri"/>
                <w:szCs w:val="18"/>
              </w:rPr>
            </w:pPr>
          </w:p>
        </w:tc>
        <w:tc>
          <w:tcPr>
            <w:tcW w:w="1399" w:type="dxa"/>
          </w:tcPr>
          <w:p w14:paraId="6DE3EA9D" w14:textId="77777777" w:rsidR="009343E3" w:rsidRPr="00B275E2" w:rsidRDefault="009343E3"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Office waste</w:t>
            </w:r>
          </w:p>
        </w:tc>
        <w:tc>
          <w:tcPr>
            <w:tcW w:w="562" w:type="dxa"/>
            <w:noWrap/>
          </w:tcPr>
          <w:p w14:paraId="5BAC7EAC" w14:textId="77777777" w:rsidR="009343E3" w:rsidRPr="00B275E2" w:rsidRDefault="009343E3"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kg</w:t>
            </w:r>
          </w:p>
        </w:tc>
        <w:tc>
          <w:tcPr>
            <w:tcW w:w="1259" w:type="dxa"/>
            <w:shd w:val="clear" w:color="auto" w:fill="D2DDE1" w:themeFill="background2"/>
            <w:noWrap/>
          </w:tcPr>
          <w:p w14:paraId="03846D39" w14:textId="3AAA26AC" w:rsidR="009343E3" w:rsidRPr="00B275E2" w:rsidRDefault="00735DB0"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1.858</w:t>
            </w:r>
          </w:p>
        </w:tc>
        <w:tc>
          <w:tcPr>
            <w:tcW w:w="1260" w:type="dxa"/>
            <w:shd w:val="clear" w:color="auto" w:fill="auto"/>
            <w:noWrap/>
          </w:tcPr>
          <w:p w14:paraId="0A5EC3EE" w14:textId="0FD04FCA" w:rsidR="009343E3" w:rsidRPr="00B275E2" w:rsidRDefault="009343E3"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n/a</w:t>
            </w:r>
          </w:p>
        </w:tc>
        <w:tc>
          <w:tcPr>
            <w:tcW w:w="1260" w:type="dxa"/>
            <w:shd w:val="clear" w:color="auto" w:fill="auto"/>
            <w:noWrap/>
          </w:tcPr>
          <w:p w14:paraId="708F38FB" w14:textId="2C9A57B2" w:rsidR="009343E3" w:rsidRPr="00B275E2" w:rsidRDefault="00735DB0"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1.858</w:t>
            </w:r>
          </w:p>
        </w:tc>
        <w:tc>
          <w:tcPr>
            <w:tcW w:w="1260" w:type="dxa"/>
            <w:tcBorders>
              <w:right w:val="single" w:sz="4" w:space="0" w:color="FFFFFF" w:themeColor="background1"/>
            </w:tcBorders>
            <w:shd w:val="clear" w:color="auto" w:fill="auto"/>
            <w:noWrap/>
          </w:tcPr>
          <w:p w14:paraId="4189E5E0" w14:textId="1ED1713E" w:rsidR="009343E3" w:rsidRPr="00B275E2" w:rsidRDefault="009343E3"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n/a</w:t>
            </w:r>
          </w:p>
        </w:tc>
      </w:tr>
    </w:tbl>
    <w:p w14:paraId="0D67F54F" w14:textId="310357DB" w:rsidR="00632416" w:rsidRPr="00B275E2" w:rsidRDefault="00632416" w:rsidP="007F0B1E">
      <w:pPr>
        <w:pStyle w:val="Note"/>
      </w:pPr>
      <w:r w:rsidRPr="00B275E2">
        <w:t>Note</w:t>
      </w:r>
      <w:r w:rsidR="005B503B" w:rsidRPr="00B275E2">
        <w:t>: T</w:t>
      </w:r>
      <w:r w:rsidRPr="00B275E2">
        <w:t xml:space="preserve">hese numbers are rounded to </w:t>
      </w:r>
      <w:r w:rsidR="002C26F5" w:rsidRPr="00B275E2">
        <w:t>three</w:t>
      </w:r>
      <w:r w:rsidRPr="00B275E2">
        <w:t xml:space="preserve"> </w:t>
      </w:r>
      <w:r w:rsidR="002C26F5" w:rsidRPr="00B275E2">
        <w:t>significant figures</w:t>
      </w:r>
      <w:r w:rsidRPr="00B275E2">
        <w:t xml:space="preserve">. </w:t>
      </w:r>
    </w:p>
    <w:p w14:paraId="5EACD507" w14:textId="0B9C77E9" w:rsidR="00660321" w:rsidRPr="00B275E2" w:rsidRDefault="00EB4389" w:rsidP="00AC22FB">
      <w:pPr>
        <w:pStyle w:val="Tableheading"/>
      </w:pPr>
      <w:bookmarkStart w:id="582" w:name="_Toc111536687"/>
      <w:r w:rsidRPr="00B275E2">
        <w:t xml:space="preserve">Table </w:t>
      </w:r>
      <w:r w:rsidRPr="00B275E2">
        <w:fldChar w:fldCharType="begin"/>
      </w:r>
      <w:r w:rsidRPr="00B275E2">
        <w:instrText>SEQ Table \* ARABIC</w:instrText>
      </w:r>
      <w:r w:rsidRPr="00B275E2">
        <w:fldChar w:fldCharType="separate"/>
      </w:r>
      <w:r>
        <w:rPr>
          <w:noProof/>
        </w:rPr>
        <w:t>82</w:t>
      </w:r>
      <w:r w:rsidRPr="00B275E2">
        <w:fldChar w:fldCharType="end"/>
      </w:r>
      <w:r w:rsidRPr="00B275E2">
        <w:t>:</w:t>
      </w:r>
      <w:r w:rsidRPr="00B275E2">
        <w:tab/>
      </w:r>
      <w:r w:rsidR="00A618B3" w:rsidRPr="00B275E2">
        <w:t>Waste disposal to non-municipal (class 2-5) landfills</w:t>
      </w:r>
      <w:bookmarkEnd w:id="582"/>
    </w:p>
    <w:tbl>
      <w:tblPr>
        <w:tblStyle w:val="LightList-Accent11"/>
        <w:tblW w:w="8505" w:type="dxa"/>
        <w:tblInd w:w="2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Look w:val="04A0" w:firstRow="1" w:lastRow="0" w:firstColumn="1" w:lastColumn="0" w:noHBand="0" w:noVBand="1"/>
      </w:tblPr>
      <w:tblGrid>
        <w:gridCol w:w="1393"/>
        <w:gridCol w:w="1417"/>
        <w:gridCol w:w="567"/>
        <w:gridCol w:w="1276"/>
        <w:gridCol w:w="1276"/>
        <w:gridCol w:w="1276"/>
        <w:gridCol w:w="1300"/>
      </w:tblGrid>
      <w:tr w:rsidR="00393DD0" w:rsidRPr="00B275E2" w14:paraId="5F64B345" w14:textId="77777777" w:rsidTr="00AC22FB">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810" w:type="dxa"/>
            <w:gridSpan w:val="2"/>
            <w:shd w:val="clear" w:color="auto" w:fill="1B556B" w:themeFill="text2"/>
            <w:noWrap/>
            <w:vAlign w:val="bottom"/>
            <w:hideMark/>
          </w:tcPr>
          <w:p w14:paraId="0BA00713" w14:textId="77777777" w:rsidR="00393DD0" w:rsidRPr="00B275E2" w:rsidRDefault="00393DD0" w:rsidP="007F0B1E">
            <w:pPr>
              <w:pStyle w:val="TableText"/>
              <w:spacing w:before="40" w:after="40"/>
              <w:rPr>
                <w:rFonts w:cs="Calibri"/>
                <w:szCs w:val="18"/>
              </w:rPr>
            </w:pPr>
            <w:r w:rsidRPr="00B275E2">
              <w:rPr>
                <w:rFonts w:cs="Calibri"/>
                <w:szCs w:val="18"/>
              </w:rPr>
              <w:t>Emission source</w:t>
            </w:r>
          </w:p>
        </w:tc>
        <w:tc>
          <w:tcPr>
            <w:tcW w:w="567" w:type="dxa"/>
            <w:shd w:val="clear" w:color="auto" w:fill="1B556B" w:themeFill="text2"/>
            <w:noWrap/>
            <w:vAlign w:val="bottom"/>
            <w:hideMark/>
          </w:tcPr>
          <w:p w14:paraId="153C08FF" w14:textId="77777777" w:rsidR="00393DD0" w:rsidRPr="00B275E2" w:rsidRDefault="00393DD0" w:rsidP="007F0B1E">
            <w:pPr>
              <w:pStyle w:val="TableText"/>
              <w:spacing w:before="40" w:after="40"/>
              <w:cnfStyle w:val="100000000000" w:firstRow="1" w:lastRow="0" w:firstColumn="0" w:lastColumn="0" w:oddVBand="0" w:evenVBand="0" w:oddHBand="0" w:evenHBand="0" w:firstRowFirstColumn="0" w:firstRowLastColumn="0" w:lastRowFirstColumn="0" w:lastRowLastColumn="0"/>
              <w:rPr>
                <w:rFonts w:cs="Calibri"/>
                <w:szCs w:val="18"/>
              </w:rPr>
            </w:pPr>
            <w:r w:rsidRPr="00B275E2">
              <w:rPr>
                <w:rFonts w:cs="Calibri"/>
                <w:szCs w:val="18"/>
              </w:rPr>
              <w:t>Unit</w:t>
            </w:r>
          </w:p>
        </w:tc>
        <w:tc>
          <w:tcPr>
            <w:tcW w:w="1276" w:type="dxa"/>
            <w:shd w:val="clear" w:color="auto" w:fill="D2DDE1" w:themeFill="background2"/>
            <w:noWrap/>
            <w:vAlign w:val="bottom"/>
            <w:hideMark/>
          </w:tcPr>
          <w:p w14:paraId="3B31CEBE" w14:textId="77777777" w:rsidR="00393DD0" w:rsidRPr="00B275E2" w:rsidRDefault="00393DD0" w:rsidP="007F0B1E">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rFonts w:cs="Calibri"/>
                <w:color w:val="auto"/>
                <w:szCs w:val="18"/>
              </w:rPr>
            </w:pPr>
            <w:r w:rsidRPr="00B275E2">
              <w:rPr>
                <w:rFonts w:cs="Calibri"/>
                <w:color w:val="auto"/>
                <w:szCs w:val="18"/>
              </w:rPr>
              <w:t>kg CO</w:t>
            </w:r>
            <w:r w:rsidRPr="00B275E2">
              <w:rPr>
                <w:rFonts w:cs="Calibri"/>
                <w:color w:val="auto"/>
                <w:szCs w:val="18"/>
                <w:vertAlign w:val="subscript"/>
              </w:rPr>
              <w:t>2</w:t>
            </w:r>
            <w:r w:rsidRPr="00B275E2">
              <w:rPr>
                <w:rFonts w:cs="Calibri"/>
                <w:color w:val="auto"/>
                <w:szCs w:val="18"/>
              </w:rPr>
              <w:t>-e/unit</w:t>
            </w:r>
          </w:p>
        </w:tc>
        <w:tc>
          <w:tcPr>
            <w:tcW w:w="1276" w:type="dxa"/>
            <w:shd w:val="clear" w:color="auto" w:fill="1B556B" w:themeFill="text2"/>
            <w:noWrap/>
            <w:vAlign w:val="bottom"/>
            <w:hideMark/>
          </w:tcPr>
          <w:p w14:paraId="00D51A08" w14:textId="6CDE2019" w:rsidR="00393DD0" w:rsidRPr="00B275E2" w:rsidRDefault="00393DD0" w:rsidP="007F0B1E">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275E2">
              <w:rPr>
                <w:rFonts w:cs="Calibri"/>
                <w:szCs w:val="18"/>
              </w:rPr>
              <w:t>kg CO</w:t>
            </w:r>
            <w:r w:rsidRPr="00B275E2">
              <w:rPr>
                <w:rFonts w:cs="Calibri"/>
                <w:szCs w:val="18"/>
                <w:vertAlign w:val="subscript"/>
              </w:rPr>
              <w:t>2</w:t>
            </w:r>
            <w:r w:rsidRPr="00B275E2">
              <w:rPr>
                <w:rFonts w:cs="Calibri"/>
                <w:szCs w:val="18"/>
              </w:rPr>
              <w:t>/unit</w:t>
            </w:r>
            <w:r w:rsidR="00E835BD" w:rsidRPr="00B275E2">
              <w:rPr>
                <w:rFonts w:cs="Calibri"/>
                <w:szCs w:val="18"/>
              </w:rPr>
              <w:t xml:space="preserve"> (kg CO</w:t>
            </w:r>
            <w:r w:rsidR="00E835BD" w:rsidRPr="00B275E2">
              <w:rPr>
                <w:rFonts w:cs="Calibri"/>
                <w:szCs w:val="18"/>
                <w:vertAlign w:val="subscript"/>
              </w:rPr>
              <w:t>2</w:t>
            </w:r>
            <w:r w:rsidR="00E835BD" w:rsidRPr="00B275E2">
              <w:rPr>
                <w:rFonts w:cs="Calibri"/>
                <w:szCs w:val="18"/>
              </w:rPr>
              <w:noBreakHyphen/>
              <w:t>e)</w:t>
            </w:r>
          </w:p>
        </w:tc>
        <w:tc>
          <w:tcPr>
            <w:tcW w:w="1276" w:type="dxa"/>
            <w:shd w:val="clear" w:color="auto" w:fill="1B556B" w:themeFill="text2"/>
            <w:noWrap/>
            <w:vAlign w:val="bottom"/>
            <w:hideMark/>
          </w:tcPr>
          <w:p w14:paraId="0A545191" w14:textId="4C9BC630" w:rsidR="00393DD0" w:rsidRPr="00B275E2" w:rsidRDefault="00E835BD" w:rsidP="007F0B1E">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275E2">
              <w:rPr>
                <w:rFonts w:cs="Calibri"/>
                <w:szCs w:val="18"/>
              </w:rPr>
              <w:t>kg CH</w:t>
            </w:r>
            <w:r w:rsidRPr="00B275E2">
              <w:rPr>
                <w:rFonts w:cs="Calibri"/>
                <w:szCs w:val="18"/>
                <w:vertAlign w:val="subscript"/>
              </w:rPr>
              <w:t>4</w:t>
            </w:r>
            <w:r w:rsidRPr="00B275E2">
              <w:rPr>
                <w:rFonts w:cs="Calibri"/>
                <w:szCs w:val="18"/>
              </w:rPr>
              <w:t xml:space="preserve">/unit </w:t>
            </w:r>
            <w:r w:rsidR="00C970E5" w:rsidRPr="00B275E2">
              <w:rPr>
                <w:rFonts w:cs="Calibri"/>
                <w:szCs w:val="18"/>
              </w:rPr>
              <w:br/>
            </w:r>
            <w:r w:rsidRPr="00B275E2">
              <w:rPr>
                <w:rFonts w:cs="Calibri"/>
                <w:szCs w:val="18"/>
              </w:rPr>
              <w:t>(kg CO</w:t>
            </w:r>
            <w:r w:rsidRPr="00B275E2">
              <w:rPr>
                <w:rFonts w:cs="Calibri"/>
                <w:szCs w:val="18"/>
                <w:vertAlign w:val="subscript"/>
              </w:rPr>
              <w:t>2</w:t>
            </w:r>
            <w:r w:rsidRPr="00B275E2">
              <w:rPr>
                <w:rFonts w:cs="Calibri"/>
                <w:szCs w:val="18"/>
              </w:rPr>
              <w:noBreakHyphen/>
              <w:t>e)</w:t>
            </w:r>
          </w:p>
        </w:tc>
        <w:tc>
          <w:tcPr>
            <w:tcW w:w="1300" w:type="dxa"/>
            <w:shd w:val="clear" w:color="auto" w:fill="1B556B" w:themeFill="text2"/>
            <w:noWrap/>
            <w:vAlign w:val="bottom"/>
            <w:hideMark/>
          </w:tcPr>
          <w:p w14:paraId="5FC9E50B" w14:textId="30BE6317" w:rsidR="00393DD0" w:rsidRPr="00B275E2" w:rsidRDefault="00E835BD" w:rsidP="007F0B1E">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275E2">
              <w:rPr>
                <w:rFonts w:cs="Calibri"/>
                <w:szCs w:val="18"/>
              </w:rPr>
              <w:t>kg N</w:t>
            </w:r>
            <w:r w:rsidRPr="00B275E2">
              <w:rPr>
                <w:rFonts w:cs="Calibri"/>
                <w:szCs w:val="18"/>
                <w:vertAlign w:val="subscript"/>
              </w:rPr>
              <w:t>2</w:t>
            </w:r>
            <w:r w:rsidRPr="00B275E2">
              <w:rPr>
                <w:rFonts w:cs="Calibri"/>
                <w:szCs w:val="18"/>
              </w:rPr>
              <w:t>O/unit (kg CO</w:t>
            </w:r>
            <w:r w:rsidRPr="00B275E2">
              <w:rPr>
                <w:rFonts w:cs="Calibri"/>
                <w:szCs w:val="18"/>
                <w:vertAlign w:val="subscript"/>
              </w:rPr>
              <w:t>2</w:t>
            </w:r>
            <w:r w:rsidRPr="00B275E2">
              <w:rPr>
                <w:rFonts w:cs="Calibri"/>
                <w:szCs w:val="18"/>
              </w:rPr>
              <w:noBreakHyphen/>
              <w:t>e)</w:t>
            </w:r>
          </w:p>
        </w:tc>
      </w:tr>
      <w:tr w:rsidR="008128C0" w:rsidRPr="00B275E2" w14:paraId="783BE0FA" w14:textId="77777777" w:rsidTr="00EC0F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3" w:type="dxa"/>
            <w:vMerge w:val="restart"/>
            <w:tcBorders>
              <w:left w:val="single" w:sz="4" w:space="0" w:color="FFFFFF" w:themeColor="background1"/>
            </w:tcBorders>
          </w:tcPr>
          <w:p w14:paraId="353E3F2D" w14:textId="77777777" w:rsidR="008128C0" w:rsidRPr="00B275E2" w:rsidRDefault="008128C0" w:rsidP="007F0B1E">
            <w:pPr>
              <w:pStyle w:val="TableText"/>
              <w:spacing w:before="40" w:after="40"/>
              <w:rPr>
                <w:rFonts w:cs="Calibri"/>
                <w:b w:val="0"/>
                <w:szCs w:val="18"/>
              </w:rPr>
            </w:pPr>
            <w:r w:rsidRPr="00B275E2">
              <w:rPr>
                <w:rFonts w:cs="Calibri"/>
                <w:b w:val="0"/>
                <w:szCs w:val="18"/>
              </w:rPr>
              <w:t>Waste (known composition)</w:t>
            </w:r>
          </w:p>
        </w:tc>
        <w:tc>
          <w:tcPr>
            <w:tcW w:w="1417" w:type="dxa"/>
            <w:shd w:val="clear" w:color="auto" w:fill="auto"/>
            <w:vAlign w:val="bottom"/>
          </w:tcPr>
          <w:p w14:paraId="300A6469" w14:textId="06F16BF7" w:rsidR="008128C0" w:rsidRPr="00B275E2" w:rsidRDefault="004B66B2"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Sludge</w:t>
            </w:r>
          </w:p>
        </w:tc>
        <w:tc>
          <w:tcPr>
            <w:tcW w:w="567" w:type="dxa"/>
            <w:noWrap/>
          </w:tcPr>
          <w:p w14:paraId="19BAD96D" w14:textId="77777777" w:rsidR="008128C0" w:rsidRPr="00B275E2" w:rsidRDefault="008128C0"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kg</w:t>
            </w:r>
          </w:p>
        </w:tc>
        <w:tc>
          <w:tcPr>
            <w:tcW w:w="1276" w:type="dxa"/>
            <w:shd w:val="clear" w:color="auto" w:fill="D2DDE1" w:themeFill="background2"/>
            <w:noWrap/>
            <w:vAlign w:val="bottom"/>
          </w:tcPr>
          <w:p w14:paraId="3033F6CD" w14:textId="5392A2EB" w:rsidR="008128C0" w:rsidRPr="00B275E2" w:rsidRDefault="008128C0" w:rsidP="007F0B1E">
            <w:pPr>
              <w:pStyle w:val="TableText"/>
              <w:tabs>
                <w:tab w:val="center" w:pos="521"/>
                <w:tab w:val="right" w:pos="1043"/>
              </w:tabs>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0.175</w:t>
            </w:r>
          </w:p>
        </w:tc>
        <w:tc>
          <w:tcPr>
            <w:tcW w:w="1276" w:type="dxa"/>
            <w:noWrap/>
          </w:tcPr>
          <w:p w14:paraId="548FE5E5" w14:textId="77777777" w:rsidR="008128C0" w:rsidRPr="00B275E2" w:rsidRDefault="008128C0"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c>
          <w:tcPr>
            <w:tcW w:w="1276" w:type="dxa"/>
            <w:shd w:val="clear" w:color="auto" w:fill="auto"/>
            <w:noWrap/>
            <w:vAlign w:val="bottom"/>
          </w:tcPr>
          <w:p w14:paraId="2F7370B6" w14:textId="035306B4" w:rsidR="008128C0" w:rsidRPr="00B275E2" w:rsidRDefault="008128C0"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0.175</w:t>
            </w:r>
          </w:p>
        </w:tc>
        <w:tc>
          <w:tcPr>
            <w:tcW w:w="1300" w:type="dxa"/>
            <w:tcBorders>
              <w:right w:val="single" w:sz="4" w:space="0" w:color="FFFFFF" w:themeColor="background1"/>
            </w:tcBorders>
            <w:noWrap/>
          </w:tcPr>
          <w:p w14:paraId="7AB7CCE2" w14:textId="77777777" w:rsidR="008128C0" w:rsidRPr="00B275E2" w:rsidRDefault="008128C0"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r>
      <w:tr w:rsidR="008128C0" w:rsidRPr="00B275E2" w14:paraId="399004E4" w14:textId="77777777" w:rsidTr="00EC0FF5">
        <w:trPr>
          <w:trHeight w:val="300"/>
        </w:trPr>
        <w:tc>
          <w:tcPr>
            <w:cnfStyle w:val="001000000000" w:firstRow="0" w:lastRow="0" w:firstColumn="1" w:lastColumn="0" w:oddVBand="0" w:evenVBand="0" w:oddHBand="0" w:evenHBand="0" w:firstRowFirstColumn="0" w:firstRowLastColumn="0" w:lastRowFirstColumn="0" w:lastRowLastColumn="0"/>
            <w:tcW w:w="1393" w:type="dxa"/>
            <w:vMerge/>
            <w:tcBorders>
              <w:left w:val="single" w:sz="4" w:space="0" w:color="FFFFFF" w:themeColor="background1"/>
            </w:tcBorders>
          </w:tcPr>
          <w:p w14:paraId="2C32BFCC" w14:textId="77777777" w:rsidR="008128C0" w:rsidRPr="00B275E2" w:rsidRDefault="008128C0" w:rsidP="007F0B1E">
            <w:pPr>
              <w:pStyle w:val="TableText"/>
              <w:spacing w:before="40" w:after="40"/>
              <w:rPr>
                <w:rFonts w:cs="Calibri"/>
                <w:b w:val="0"/>
                <w:szCs w:val="18"/>
              </w:rPr>
            </w:pPr>
          </w:p>
        </w:tc>
        <w:tc>
          <w:tcPr>
            <w:tcW w:w="1417" w:type="dxa"/>
            <w:shd w:val="clear" w:color="auto" w:fill="auto"/>
            <w:vAlign w:val="bottom"/>
          </w:tcPr>
          <w:p w14:paraId="31F4BB05" w14:textId="1C702F3B" w:rsidR="008128C0" w:rsidRPr="00B275E2" w:rsidRDefault="008128C0"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Construction &amp; Demolition</w:t>
            </w:r>
          </w:p>
        </w:tc>
        <w:tc>
          <w:tcPr>
            <w:tcW w:w="567" w:type="dxa"/>
            <w:noWrap/>
          </w:tcPr>
          <w:p w14:paraId="14B7745A" w14:textId="77777777" w:rsidR="008128C0" w:rsidRPr="00B275E2" w:rsidRDefault="008128C0"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kg</w:t>
            </w:r>
          </w:p>
        </w:tc>
        <w:tc>
          <w:tcPr>
            <w:tcW w:w="1276" w:type="dxa"/>
            <w:shd w:val="clear" w:color="auto" w:fill="D2DDE1" w:themeFill="background2"/>
            <w:noWrap/>
            <w:vAlign w:val="bottom"/>
          </w:tcPr>
          <w:p w14:paraId="5CF769C0" w14:textId="5DEB8FD8" w:rsidR="008128C0" w:rsidRPr="00B275E2" w:rsidRDefault="008128C0"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0.140</w:t>
            </w:r>
          </w:p>
        </w:tc>
        <w:tc>
          <w:tcPr>
            <w:tcW w:w="1276" w:type="dxa"/>
            <w:noWrap/>
          </w:tcPr>
          <w:p w14:paraId="1AA0C86A" w14:textId="77777777" w:rsidR="008128C0" w:rsidRPr="00B275E2" w:rsidRDefault="008128C0"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n/a</w:t>
            </w:r>
          </w:p>
        </w:tc>
        <w:tc>
          <w:tcPr>
            <w:tcW w:w="1276" w:type="dxa"/>
            <w:shd w:val="clear" w:color="auto" w:fill="auto"/>
            <w:noWrap/>
            <w:vAlign w:val="bottom"/>
          </w:tcPr>
          <w:p w14:paraId="25353FEF" w14:textId="3E6F804E" w:rsidR="008128C0" w:rsidRPr="00B275E2" w:rsidRDefault="008128C0"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0.140</w:t>
            </w:r>
          </w:p>
        </w:tc>
        <w:tc>
          <w:tcPr>
            <w:tcW w:w="1300" w:type="dxa"/>
            <w:tcBorders>
              <w:right w:val="single" w:sz="4" w:space="0" w:color="FFFFFF" w:themeColor="background1"/>
            </w:tcBorders>
            <w:noWrap/>
          </w:tcPr>
          <w:p w14:paraId="06E27ADC" w14:textId="77777777" w:rsidR="008128C0" w:rsidRPr="00B275E2" w:rsidRDefault="008128C0"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n/a</w:t>
            </w:r>
          </w:p>
        </w:tc>
      </w:tr>
      <w:tr w:rsidR="008128C0" w:rsidRPr="00B275E2" w14:paraId="1626F55C" w14:textId="77777777" w:rsidTr="00EC0F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3" w:type="dxa"/>
            <w:vMerge/>
            <w:tcBorders>
              <w:left w:val="single" w:sz="4" w:space="0" w:color="FFFFFF" w:themeColor="background1"/>
            </w:tcBorders>
          </w:tcPr>
          <w:p w14:paraId="651876CB" w14:textId="77777777" w:rsidR="008128C0" w:rsidRPr="00B275E2" w:rsidRDefault="008128C0" w:rsidP="007F0B1E">
            <w:pPr>
              <w:pStyle w:val="TableText"/>
              <w:spacing w:before="40" w:after="40"/>
              <w:rPr>
                <w:rFonts w:cs="Calibri"/>
                <w:b w:val="0"/>
                <w:szCs w:val="18"/>
              </w:rPr>
            </w:pPr>
          </w:p>
        </w:tc>
        <w:tc>
          <w:tcPr>
            <w:tcW w:w="1417" w:type="dxa"/>
            <w:shd w:val="clear" w:color="auto" w:fill="auto"/>
            <w:vAlign w:val="bottom"/>
          </w:tcPr>
          <w:p w14:paraId="76922D06" w14:textId="5B890DDA" w:rsidR="008128C0" w:rsidRPr="00B275E2" w:rsidRDefault="008128C0"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Bulk Waste</w:t>
            </w:r>
          </w:p>
        </w:tc>
        <w:tc>
          <w:tcPr>
            <w:tcW w:w="567" w:type="dxa"/>
            <w:noWrap/>
          </w:tcPr>
          <w:p w14:paraId="60D632DE" w14:textId="77777777" w:rsidR="008128C0" w:rsidRPr="00B275E2" w:rsidRDefault="008128C0"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kg</w:t>
            </w:r>
          </w:p>
        </w:tc>
        <w:tc>
          <w:tcPr>
            <w:tcW w:w="1276" w:type="dxa"/>
            <w:shd w:val="clear" w:color="auto" w:fill="D2DDE1" w:themeFill="background2"/>
            <w:noWrap/>
            <w:vAlign w:val="bottom"/>
          </w:tcPr>
          <w:p w14:paraId="146A59E0" w14:textId="0C4D39FB" w:rsidR="008128C0" w:rsidRPr="00B275E2" w:rsidRDefault="008128C0"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0.980</w:t>
            </w:r>
          </w:p>
        </w:tc>
        <w:tc>
          <w:tcPr>
            <w:tcW w:w="1276" w:type="dxa"/>
            <w:noWrap/>
          </w:tcPr>
          <w:p w14:paraId="4F069714" w14:textId="77777777" w:rsidR="008128C0" w:rsidRPr="00B275E2" w:rsidRDefault="008128C0"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c>
          <w:tcPr>
            <w:tcW w:w="1276" w:type="dxa"/>
            <w:shd w:val="clear" w:color="auto" w:fill="auto"/>
            <w:noWrap/>
            <w:vAlign w:val="bottom"/>
          </w:tcPr>
          <w:p w14:paraId="4ADEB6A7" w14:textId="6E1AD6CD" w:rsidR="008128C0" w:rsidRPr="00B275E2" w:rsidRDefault="008128C0"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0.980</w:t>
            </w:r>
          </w:p>
        </w:tc>
        <w:tc>
          <w:tcPr>
            <w:tcW w:w="1300" w:type="dxa"/>
            <w:tcBorders>
              <w:right w:val="single" w:sz="4" w:space="0" w:color="FFFFFF" w:themeColor="background1"/>
            </w:tcBorders>
            <w:noWrap/>
          </w:tcPr>
          <w:p w14:paraId="5D11FD15" w14:textId="77777777" w:rsidR="008128C0" w:rsidRPr="00B275E2" w:rsidRDefault="008128C0"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r>
      <w:tr w:rsidR="008128C0" w:rsidRPr="00B275E2" w14:paraId="31369FC5" w14:textId="77777777" w:rsidTr="00EC0FF5">
        <w:trPr>
          <w:trHeight w:val="300"/>
        </w:trPr>
        <w:tc>
          <w:tcPr>
            <w:cnfStyle w:val="001000000000" w:firstRow="0" w:lastRow="0" w:firstColumn="1" w:lastColumn="0" w:oddVBand="0" w:evenVBand="0" w:oddHBand="0" w:evenHBand="0" w:firstRowFirstColumn="0" w:firstRowLastColumn="0" w:lastRowFirstColumn="0" w:lastRowLastColumn="0"/>
            <w:tcW w:w="1393" w:type="dxa"/>
            <w:vMerge/>
            <w:tcBorders>
              <w:left w:val="single" w:sz="4" w:space="0" w:color="FFFFFF" w:themeColor="background1"/>
            </w:tcBorders>
          </w:tcPr>
          <w:p w14:paraId="6F9F7F05" w14:textId="77777777" w:rsidR="008128C0" w:rsidRPr="00B275E2" w:rsidRDefault="008128C0" w:rsidP="007F0B1E">
            <w:pPr>
              <w:pStyle w:val="TableText"/>
              <w:spacing w:before="40" w:after="40"/>
              <w:rPr>
                <w:rFonts w:cs="Calibri"/>
                <w:b w:val="0"/>
                <w:szCs w:val="18"/>
              </w:rPr>
            </w:pPr>
          </w:p>
        </w:tc>
        <w:tc>
          <w:tcPr>
            <w:tcW w:w="1417" w:type="dxa"/>
            <w:shd w:val="clear" w:color="auto" w:fill="auto"/>
            <w:vAlign w:val="bottom"/>
          </w:tcPr>
          <w:p w14:paraId="54D8D049" w14:textId="7CFCABC4" w:rsidR="008128C0" w:rsidRPr="00B275E2" w:rsidRDefault="008128C0"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Food</w:t>
            </w:r>
          </w:p>
        </w:tc>
        <w:tc>
          <w:tcPr>
            <w:tcW w:w="567" w:type="dxa"/>
            <w:noWrap/>
          </w:tcPr>
          <w:p w14:paraId="1CBB68E6" w14:textId="77777777" w:rsidR="008128C0" w:rsidRPr="00B275E2" w:rsidRDefault="008128C0"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kg</w:t>
            </w:r>
          </w:p>
        </w:tc>
        <w:tc>
          <w:tcPr>
            <w:tcW w:w="1276" w:type="dxa"/>
            <w:shd w:val="clear" w:color="auto" w:fill="D2DDE1" w:themeFill="background2"/>
            <w:noWrap/>
            <w:vAlign w:val="bottom"/>
          </w:tcPr>
          <w:p w14:paraId="5CB3F401" w14:textId="28A4C351" w:rsidR="008128C0" w:rsidRPr="00B275E2" w:rsidRDefault="008128C0"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0.525</w:t>
            </w:r>
          </w:p>
        </w:tc>
        <w:tc>
          <w:tcPr>
            <w:tcW w:w="1276" w:type="dxa"/>
            <w:noWrap/>
          </w:tcPr>
          <w:p w14:paraId="7EA4A9E5" w14:textId="77777777" w:rsidR="008128C0" w:rsidRPr="00B275E2" w:rsidRDefault="008128C0"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n/a</w:t>
            </w:r>
          </w:p>
        </w:tc>
        <w:tc>
          <w:tcPr>
            <w:tcW w:w="1276" w:type="dxa"/>
            <w:shd w:val="clear" w:color="auto" w:fill="auto"/>
            <w:noWrap/>
            <w:vAlign w:val="bottom"/>
          </w:tcPr>
          <w:p w14:paraId="0E16A6BD" w14:textId="6431FEFA" w:rsidR="008128C0" w:rsidRPr="00B275E2" w:rsidRDefault="008128C0"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0.525</w:t>
            </w:r>
          </w:p>
        </w:tc>
        <w:tc>
          <w:tcPr>
            <w:tcW w:w="1300" w:type="dxa"/>
            <w:tcBorders>
              <w:right w:val="single" w:sz="4" w:space="0" w:color="FFFFFF" w:themeColor="background1"/>
            </w:tcBorders>
            <w:noWrap/>
          </w:tcPr>
          <w:p w14:paraId="16074D8C" w14:textId="77777777" w:rsidR="008128C0" w:rsidRPr="00B275E2" w:rsidRDefault="008128C0"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n/a</w:t>
            </w:r>
          </w:p>
        </w:tc>
      </w:tr>
      <w:tr w:rsidR="008128C0" w:rsidRPr="00B275E2" w14:paraId="78D9E7ED" w14:textId="77777777" w:rsidTr="00EC0F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3" w:type="dxa"/>
            <w:vMerge/>
            <w:tcBorders>
              <w:left w:val="single" w:sz="4" w:space="0" w:color="FFFFFF" w:themeColor="background1"/>
            </w:tcBorders>
          </w:tcPr>
          <w:p w14:paraId="179C0CFB" w14:textId="77777777" w:rsidR="008128C0" w:rsidRPr="00B275E2" w:rsidRDefault="008128C0" w:rsidP="007F0B1E">
            <w:pPr>
              <w:pStyle w:val="TableText"/>
              <w:spacing w:before="40" w:after="40"/>
              <w:rPr>
                <w:rFonts w:cs="Calibri"/>
                <w:b w:val="0"/>
                <w:szCs w:val="18"/>
              </w:rPr>
            </w:pPr>
          </w:p>
        </w:tc>
        <w:tc>
          <w:tcPr>
            <w:tcW w:w="1417" w:type="dxa"/>
            <w:shd w:val="clear" w:color="auto" w:fill="auto"/>
            <w:vAlign w:val="bottom"/>
          </w:tcPr>
          <w:p w14:paraId="58AAA670" w14:textId="037601F7" w:rsidR="008128C0" w:rsidRPr="00B275E2" w:rsidRDefault="008128C0"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Garden</w:t>
            </w:r>
          </w:p>
        </w:tc>
        <w:tc>
          <w:tcPr>
            <w:tcW w:w="567" w:type="dxa"/>
            <w:noWrap/>
          </w:tcPr>
          <w:p w14:paraId="25C00BCD" w14:textId="77777777" w:rsidR="008128C0" w:rsidRPr="00B275E2" w:rsidRDefault="008128C0"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kg</w:t>
            </w:r>
          </w:p>
        </w:tc>
        <w:tc>
          <w:tcPr>
            <w:tcW w:w="1276" w:type="dxa"/>
            <w:shd w:val="clear" w:color="auto" w:fill="D2DDE1" w:themeFill="background2"/>
            <w:noWrap/>
            <w:vAlign w:val="bottom"/>
          </w:tcPr>
          <w:p w14:paraId="53918DA4" w14:textId="2FABCD4E" w:rsidR="008128C0" w:rsidRPr="00B275E2" w:rsidRDefault="008128C0"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0.700</w:t>
            </w:r>
          </w:p>
        </w:tc>
        <w:tc>
          <w:tcPr>
            <w:tcW w:w="1276" w:type="dxa"/>
            <w:noWrap/>
          </w:tcPr>
          <w:p w14:paraId="11F3A213" w14:textId="77777777" w:rsidR="008128C0" w:rsidRPr="00B275E2" w:rsidRDefault="008128C0"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c>
          <w:tcPr>
            <w:tcW w:w="1276" w:type="dxa"/>
            <w:shd w:val="clear" w:color="auto" w:fill="auto"/>
            <w:noWrap/>
            <w:vAlign w:val="bottom"/>
          </w:tcPr>
          <w:p w14:paraId="4A9D700B" w14:textId="0A3EC121" w:rsidR="008128C0" w:rsidRPr="00B275E2" w:rsidRDefault="008128C0"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0.700</w:t>
            </w:r>
          </w:p>
        </w:tc>
        <w:tc>
          <w:tcPr>
            <w:tcW w:w="1300" w:type="dxa"/>
            <w:tcBorders>
              <w:right w:val="single" w:sz="4" w:space="0" w:color="FFFFFF" w:themeColor="background1"/>
            </w:tcBorders>
            <w:noWrap/>
          </w:tcPr>
          <w:p w14:paraId="14E0383B" w14:textId="77777777" w:rsidR="008128C0" w:rsidRPr="00B275E2" w:rsidRDefault="008128C0"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r>
      <w:tr w:rsidR="008128C0" w:rsidRPr="00B275E2" w14:paraId="627D9208" w14:textId="77777777" w:rsidTr="00EC0FF5">
        <w:trPr>
          <w:trHeight w:val="300"/>
        </w:trPr>
        <w:tc>
          <w:tcPr>
            <w:cnfStyle w:val="001000000000" w:firstRow="0" w:lastRow="0" w:firstColumn="1" w:lastColumn="0" w:oddVBand="0" w:evenVBand="0" w:oddHBand="0" w:evenHBand="0" w:firstRowFirstColumn="0" w:firstRowLastColumn="0" w:lastRowFirstColumn="0" w:lastRowLastColumn="0"/>
            <w:tcW w:w="1393" w:type="dxa"/>
            <w:vMerge/>
            <w:tcBorders>
              <w:left w:val="single" w:sz="4" w:space="0" w:color="FFFFFF" w:themeColor="background1"/>
            </w:tcBorders>
          </w:tcPr>
          <w:p w14:paraId="1FABD5C0" w14:textId="77777777" w:rsidR="008128C0" w:rsidRPr="00B275E2" w:rsidRDefault="008128C0" w:rsidP="007F0B1E">
            <w:pPr>
              <w:pStyle w:val="TableText"/>
              <w:spacing w:before="40" w:after="40"/>
              <w:rPr>
                <w:rFonts w:cs="Calibri"/>
                <w:b w:val="0"/>
                <w:szCs w:val="18"/>
              </w:rPr>
            </w:pPr>
          </w:p>
        </w:tc>
        <w:tc>
          <w:tcPr>
            <w:tcW w:w="1417" w:type="dxa"/>
            <w:shd w:val="clear" w:color="auto" w:fill="auto"/>
            <w:vAlign w:val="bottom"/>
          </w:tcPr>
          <w:p w14:paraId="1E33DFEC" w14:textId="613619AD" w:rsidR="008128C0" w:rsidRPr="00B275E2" w:rsidRDefault="008128C0"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Industrial</w:t>
            </w:r>
          </w:p>
        </w:tc>
        <w:tc>
          <w:tcPr>
            <w:tcW w:w="567" w:type="dxa"/>
            <w:noWrap/>
          </w:tcPr>
          <w:p w14:paraId="47222AEA" w14:textId="028F0158" w:rsidR="008128C0" w:rsidRPr="00B275E2" w:rsidRDefault="00934C99"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kg</w:t>
            </w:r>
          </w:p>
        </w:tc>
        <w:tc>
          <w:tcPr>
            <w:tcW w:w="1276" w:type="dxa"/>
            <w:shd w:val="clear" w:color="auto" w:fill="D2DDE1" w:themeFill="background2"/>
            <w:noWrap/>
            <w:vAlign w:val="bottom"/>
          </w:tcPr>
          <w:p w14:paraId="04D5261B" w14:textId="6CEFE92C" w:rsidR="008128C0" w:rsidRPr="00B275E2" w:rsidRDefault="008128C0"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0.525</w:t>
            </w:r>
          </w:p>
        </w:tc>
        <w:tc>
          <w:tcPr>
            <w:tcW w:w="1276" w:type="dxa"/>
            <w:noWrap/>
          </w:tcPr>
          <w:p w14:paraId="00239E26" w14:textId="530503E0" w:rsidR="008128C0" w:rsidRPr="00B275E2" w:rsidRDefault="008128C0"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n/a</w:t>
            </w:r>
          </w:p>
        </w:tc>
        <w:tc>
          <w:tcPr>
            <w:tcW w:w="1276" w:type="dxa"/>
            <w:shd w:val="clear" w:color="auto" w:fill="auto"/>
            <w:noWrap/>
            <w:vAlign w:val="bottom"/>
          </w:tcPr>
          <w:p w14:paraId="7176BE17" w14:textId="2483D101" w:rsidR="008128C0" w:rsidRPr="00B275E2" w:rsidRDefault="008128C0"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0.525</w:t>
            </w:r>
          </w:p>
        </w:tc>
        <w:tc>
          <w:tcPr>
            <w:tcW w:w="1300" w:type="dxa"/>
            <w:tcBorders>
              <w:right w:val="single" w:sz="4" w:space="0" w:color="FFFFFF" w:themeColor="background1"/>
            </w:tcBorders>
            <w:noWrap/>
          </w:tcPr>
          <w:p w14:paraId="73677197" w14:textId="698379F7" w:rsidR="008128C0" w:rsidRPr="00B275E2" w:rsidRDefault="00934C99"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n/a</w:t>
            </w:r>
          </w:p>
        </w:tc>
      </w:tr>
      <w:tr w:rsidR="008128C0" w:rsidRPr="00B275E2" w14:paraId="3BECF592" w14:textId="77777777" w:rsidTr="00EC0F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3" w:type="dxa"/>
            <w:vMerge/>
            <w:tcBorders>
              <w:left w:val="single" w:sz="4" w:space="0" w:color="FFFFFF" w:themeColor="background1"/>
            </w:tcBorders>
          </w:tcPr>
          <w:p w14:paraId="5AA36DA6" w14:textId="77777777" w:rsidR="008128C0" w:rsidRPr="00B275E2" w:rsidRDefault="008128C0" w:rsidP="007F0B1E">
            <w:pPr>
              <w:pStyle w:val="TableText"/>
              <w:spacing w:before="40" w:after="40"/>
              <w:rPr>
                <w:rFonts w:cs="Calibri"/>
                <w:b w:val="0"/>
                <w:szCs w:val="18"/>
              </w:rPr>
            </w:pPr>
          </w:p>
        </w:tc>
        <w:tc>
          <w:tcPr>
            <w:tcW w:w="1417" w:type="dxa"/>
            <w:shd w:val="clear" w:color="auto" w:fill="auto"/>
            <w:vAlign w:val="bottom"/>
          </w:tcPr>
          <w:p w14:paraId="4AB27190" w14:textId="24D4BD82" w:rsidR="008128C0" w:rsidRPr="00B275E2" w:rsidRDefault="008128C0"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Wood</w:t>
            </w:r>
          </w:p>
        </w:tc>
        <w:tc>
          <w:tcPr>
            <w:tcW w:w="567" w:type="dxa"/>
            <w:noWrap/>
          </w:tcPr>
          <w:p w14:paraId="3ABB8F9C" w14:textId="77777777" w:rsidR="008128C0" w:rsidRPr="00B275E2" w:rsidRDefault="008128C0"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kg</w:t>
            </w:r>
          </w:p>
        </w:tc>
        <w:tc>
          <w:tcPr>
            <w:tcW w:w="1276" w:type="dxa"/>
            <w:shd w:val="clear" w:color="auto" w:fill="D2DDE1" w:themeFill="background2"/>
            <w:noWrap/>
            <w:vAlign w:val="bottom"/>
          </w:tcPr>
          <w:p w14:paraId="48811589" w14:textId="6172C594" w:rsidR="008128C0" w:rsidRPr="00B275E2" w:rsidRDefault="006C7ED5"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1.190</w:t>
            </w:r>
          </w:p>
        </w:tc>
        <w:tc>
          <w:tcPr>
            <w:tcW w:w="1276" w:type="dxa"/>
            <w:noWrap/>
          </w:tcPr>
          <w:p w14:paraId="1B23F5A6" w14:textId="77777777" w:rsidR="008128C0" w:rsidRPr="00B275E2" w:rsidRDefault="008128C0"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c>
          <w:tcPr>
            <w:tcW w:w="1276" w:type="dxa"/>
            <w:shd w:val="clear" w:color="auto" w:fill="auto"/>
            <w:noWrap/>
            <w:vAlign w:val="bottom"/>
          </w:tcPr>
          <w:p w14:paraId="4D93A2B7" w14:textId="0B12B994" w:rsidR="008128C0" w:rsidRPr="00B275E2" w:rsidRDefault="006C7ED5"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1.190</w:t>
            </w:r>
          </w:p>
        </w:tc>
        <w:tc>
          <w:tcPr>
            <w:tcW w:w="1300" w:type="dxa"/>
            <w:tcBorders>
              <w:right w:val="single" w:sz="4" w:space="0" w:color="FFFFFF" w:themeColor="background1"/>
            </w:tcBorders>
            <w:noWrap/>
          </w:tcPr>
          <w:p w14:paraId="33D63646" w14:textId="77777777" w:rsidR="008128C0" w:rsidRPr="00B275E2" w:rsidRDefault="008128C0"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r>
      <w:tr w:rsidR="008128C0" w:rsidRPr="00B275E2" w14:paraId="0E73D403" w14:textId="77777777" w:rsidTr="00EC0FF5">
        <w:trPr>
          <w:trHeight w:val="300"/>
        </w:trPr>
        <w:tc>
          <w:tcPr>
            <w:cnfStyle w:val="001000000000" w:firstRow="0" w:lastRow="0" w:firstColumn="1" w:lastColumn="0" w:oddVBand="0" w:evenVBand="0" w:oddHBand="0" w:evenHBand="0" w:firstRowFirstColumn="0" w:firstRowLastColumn="0" w:lastRowFirstColumn="0" w:lastRowLastColumn="0"/>
            <w:tcW w:w="1393" w:type="dxa"/>
            <w:vMerge/>
            <w:tcBorders>
              <w:left w:val="single" w:sz="4" w:space="0" w:color="FFFFFF" w:themeColor="background1"/>
            </w:tcBorders>
          </w:tcPr>
          <w:p w14:paraId="0C95A939" w14:textId="77777777" w:rsidR="008128C0" w:rsidRPr="00B275E2" w:rsidRDefault="008128C0" w:rsidP="007F0B1E">
            <w:pPr>
              <w:pStyle w:val="TableText"/>
              <w:spacing w:before="40" w:after="40"/>
              <w:rPr>
                <w:rFonts w:cs="Calibri"/>
                <w:b w:val="0"/>
                <w:szCs w:val="18"/>
              </w:rPr>
            </w:pPr>
          </w:p>
        </w:tc>
        <w:tc>
          <w:tcPr>
            <w:tcW w:w="1417" w:type="dxa"/>
            <w:shd w:val="clear" w:color="auto" w:fill="auto"/>
            <w:vAlign w:val="bottom"/>
          </w:tcPr>
          <w:p w14:paraId="6489B89C" w14:textId="3C9F4AA5" w:rsidR="008128C0" w:rsidRPr="00B275E2" w:rsidRDefault="008128C0"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Inert</w:t>
            </w:r>
          </w:p>
        </w:tc>
        <w:tc>
          <w:tcPr>
            <w:tcW w:w="567" w:type="dxa"/>
            <w:noWrap/>
          </w:tcPr>
          <w:p w14:paraId="127C2EC3" w14:textId="77777777" w:rsidR="008128C0" w:rsidRPr="00B275E2" w:rsidRDefault="008128C0"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kg</w:t>
            </w:r>
          </w:p>
        </w:tc>
        <w:tc>
          <w:tcPr>
            <w:tcW w:w="1276" w:type="dxa"/>
            <w:shd w:val="clear" w:color="auto" w:fill="D2DDE1" w:themeFill="background2"/>
            <w:noWrap/>
            <w:vAlign w:val="bottom"/>
          </w:tcPr>
          <w:p w14:paraId="411AAC82" w14:textId="47F07E49" w:rsidR="008128C0" w:rsidRPr="00B275E2" w:rsidRDefault="008128C0"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n/a</w:t>
            </w:r>
          </w:p>
        </w:tc>
        <w:tc>
          <w:tcPr>
            <w:tcW w:w="1276" w:type="dxa"/>
            <w:noWrap/>
          </w:tcPr>
          <w:p w14:paraId="3758BD83" w14:textId="77777777" w:rsidR="008128C0" w:rsidRPr="00B275E2" w:rsidRDefault="008128C0"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n/a</w:t>
            </w:r>
          </w:p>
        </w:tc>
        <w:tc>
          <w:tcPr>
            <w:tcW w:w="1276" w:type="dxa"/>
            <w:shd w:val="clear" w:color="auto" w:fill="auto"/>
            <w:noWrap/>
            <w:vAlign w:val="bottom"/>
          </w:tcPr>
          <w:p w14:paraId="626B0C9A" w14:textId="2B6A084F" w:rsidR="008128C0" w:rsidRPr="00B275E2" w:rsidRDefault="008128C0"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n/a</w:t>
            </w:r>
          </w:p>
        </w:tc>
        <w:tc>
          <w:tcPr>
            <w:tcW w:w="1300" w:type="dxa"/>
            <w:tcBorders>
              <w:right w:val="single" w:sz="4" w:space="0" w:color="FFFFFF" w:themeColor="background1"/>
            </w:tcBorders>
            <w:noWrap/>
          </w:tcPr>
          <w:p w14:paraId="3FCF4AC2" w14:textId="77777777" w:rsidR="008128C0" w:rsidRPr="00B275E2" w:rsidRDefault="008128C0"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n/a</w:t>
            </w:r>
          </w:p>
        </w:tc>
      </w:tr>
      <w:tr w:rsidR="008128C0" w:rsidRPr="00B275E2" w14:paraId="02FD6648" w14:textId="77777777" w:rsidTr="00EC0F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0" w:type="dxa"/>
            <w:gridSpan w:val="2"/>
            <w:tcBorders>
              <w:left w:val="single" w:sz="4" w:space="0" w:color="FFFFFF" w:themeColor="background1"/>
            </w:tcBorders>
          </w:tcPr>
          <w:p w14:paraId="6E69C729" w14:textId="11A2A153" w:rsidR="008128C0" w:rsidRPr="00B275E2" w:rsidRDefault="008128C0" w:rsidP="007F0B1E">
            <w:pPr>
              <w:pStyle w:val="TableText"/>
              <w:spacing w:before="40" w:after="40"/>
              <w:rPr>
                <w:b w:val="0"/>
                <w:bCs w:val="0"/>
              </w:rPr>
            </w:pPr>
            <w:r w:rsidRPr="00B275E2">
              <w:rPr>
                <w:b w:val="0"/>
                <w:bCs w:val="0"/>
              </w:rPr>
              <w:t>Average for non-municipal solid waste</w:t>
            </w:r>
          </w:p>
        </w:tc>
        <w:tc>
          <w:tcPr>
            <w:tcW w:w="567" w:type="dxa"/>
            <w:noWrap/>
          </w:tcPr>
          <w:p w14:paraId="6B0A5A97" w14:textId="77777777" w:rsidR="008128C0" w:rsidRPr="00B275E2" w:rsidRDefault="008128C0"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kg</w:t>
            </w:r>
          </w:p>
        </w:tc>
        <w:tc>
          <w:tcPr>
            <w:tcW w:w="1276" w:type="dxa"/>
            <w:shd w:val="clear" w:color="auto" w:fill="D2DDE1" w:themeFill="background2"/>
            <w:noWrap/>
          </w:tcPr>
          <w:p w14:paraId="074245E0" w14:textId="68660B13" w:rsidR="008128C0" w:rsidRPr="00B275E2" w:rsidRDefault="004762B9"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0.176</w:t>
            </w:r>
          </w:p>
        </w:tc>
        <w:tc>
          <w:tcPr>
            <w:tcW w:w="1276" w:type="dxa"/>
            <w:noWrap/>
          </w:tcPr>
          <w:p w14:paraId="147F4EF6" w14:textId="77777777" w:rsidR="008128C0" w:rsidRPr="00B275E2" w:rsidRDefault="008128C0"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c>
          <w:tcPr>
            <w:tcW w:w="1276" w:type="dxa"/>
            <w:shd w:val="clear" w:color="auto" w:fill="auto"/>
            <w:noWrap/>
          </w:tcPr>
          <w:p w14:paraId="7304E9C3" w14:textId="2DC3CD77" w:rsidR="008128C0" w:rsidRPr="00B275E2" w:rsidRDefault="004762B9"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0.176</w:t>
            </w:r>
          </w:p>
        </w:tc>
        <w:tc>
          <w:tcPr>
            <w:tcW w:w="1300" w:type="dxa"/>
            <w:tcBorders>
              <w:right w:val="single" w:sz="4" w:space="0" w:color="FFFFFF" w:themeColor="background1"/>
            </w:tcBorders>
            <w:noWrap/>
          </w:tcPr>
          <w:p w14:paraId="1E88D919" w14:textId="77777777" w:rsidR="008128C0" w:rsidRPr="00B275E2" w:rsidRDefault="008128C0"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r>
    </w:tbl>
    <w:p w14:paraId="1F788490" w14:textId="6B308B7A" w:rsidR="00A959E4" w:rsidRPr="00B275E2" w:rsidRDefault="00EB4389" w:rsidP="00894C26">
      <w:pPr>
        <w:pStyle w:val="Tableheading"/>
      </w:pPr>
      <w:bookmarkStart w:id="583" w:name="_Toc111536688"/>
      <w:r w:rsidRPr="00B275E2">
        <w:t xml:space="preserve">Table </w:t>
      </w:r>
      <w:r w:rsidRPr="00B275E2">
        <w:fldChar w:fldCharType="begin"/>
      </w:r>
      <w:r w:rsidRPr="00B275E2">
        <w:instrText>SEQ Table \* ARABIC</w:instrText>
      </w:r>
      <w:r w:rsidRPr="00B275E2">
        <w:fldChar w:fldCharType="separate"/>
      </w:r>
      <w:r>
        <w:rPr>
          <w:noProof/>
        </w:rPr>
        <w:t>83</w:t>
      </w:r>
      <w:r w:rsidRPr="00B275E2">
        <w:fldChar w:fldCharType="end"/>
      </w:r>
      <w:r w:rsidRPr="00B275E2">
        <w:t>:</w:t>
      </w:r>
      <w:r w:rsidRPr="00B275E2">
        <w:tab/>
      </w:r>
      <w:r w:rsidR="00C60CA6" w:rsidRPr="00B275E2">
        <w:t xml:space="preserve">Biological treatment of waste </w:t>
      </w:r>
      <w:r w:rsidR="00A959E4" w:rsidRPr="00B275E2">
        <w:t>emission factors</w:t>
      </w:r>
      <w:bookmarkEnd w:id="583"/>
    </w:p>
    <w:tbl>
      <w:tblPr>
        <w:tblStyle w:val="LightList-Accent11"/>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Look w:val="04A0" w:firstRow="1" w:lastRow="0" w:firstColumn="1" w:lastColumn="0" w:noHBand="0" w:noVBand="1"/>
      </w:tblPr>
      <w:tblGrid>
        <w:gridCol w:w="2788"/>
        <w:gridCol w:w="562"/>
        <w:gridCol w:w="1260"/>
        <w:gridCol w:w="1260"/>
        <w:gridCol w:w="1260"/>
        <w:gridCol w:w="1375"/>
      </w:tblGrid>
      <w:tr w:rsidR="001B4A1A" w:rsidRPr="00B275E2" w14:paraId="4F0A851B" w14:textId="77777777" w:rsidTr="00894C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1B556B" w:themeFill="text2"/>
            <w:noWrap/>
            <w:vAlign w:val="bottom"/>
            <w:hideMark/>
          </w:tcPr>
          <w:p w14:paraId="6D825436" w14:textId="77777777" w:rsidR="001B4A1A" w:rsidRPr="00B275E2" w:rsidRDefault="001B4A1A" w:rsidP="007F0B1E">
            <w:pPr>
              <w:pStyle w:val="TableText"/>
              <w:spacing w:before="40" w:after="40"/>
            </w:pPr>
            <w:r w:rsidRPr="00B275E2">
              <w:t>Emission source</w:t>
            </w:r>
          </w:p>
        </w:tc>
        <w:tc>
          <w:tcPr>
            <w:tcW w:w="567" w:type="dxa"/>
            <w:shd w:val="clear" w:color="auto" w:fill="1B556B" w:themeFill="text2"/>
            <w:noWrap/>
            <w:vAlign w:val="bottom"/>
            <w:hideMark/>
          </w:tcPr>
          <w:p w14:paraId="3BE59BE5" w14:textId="77777777" w:rsidR="001B4A1A" w:rsidRPr="00B275E2" w:rsidRDefault="001B4A1A" w:rsidP="007F0B1E">
            <w:pPr>
              <w:pStyle w:val="TableText"/>
              <w:spacing w:before="40" w:after="40"/>
              <w:cnfStyle w:val="100000000000" w:firstRow="1" w:lastRow="0" w:firstColumn="0" w:lastColumn="0" w:oddVBand="0" w:evenVBand="0" w:oddHBand="0" w:evenHBand="0" w:firstRowFirstColumn="0" w:firstRowLastColumn="0" w:lastRowFirstColumn="0" w:lastRowLastColumn="0"/>
            </w:pPr>
            <w:r w:rsidRPr="00B275E2">
              <w:t>Unit</w:t>
            </w:r>
          </w:p>
        </w:tc>
        <w:tc>
          <w:tcPr>
            <w:tcW w:w="1276" w:type="dxa"/>
            <w:shd w:val="clear" w:color="auto" w:fill="D2DDE1" w:themeFill="background2"/>
            <w:noWrap/>
            <w:vAlign w:val="bottom"/>
            <w:hideMark/>
          </w:tcPr>
          <w:p w14:paraId="729A78D4" w14:textId="77777777" w:rsidR="001B4A1A" w:rsidRPr="00B275E2" w:rsidRDefault="001B4A1A" w:rsidP="007F0B1E">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color w:val="auto"/>
              </w:rPr>
            </w:pPr>
            <w:r w:rsidRPr="00B275E2">
              <w:rPr>
                <w:color w:val="auto"/>
              </w:rPr>
              <w:t>kg CO</w:t>
            </w:r>
            <w:r w:rsidRPr="00B275E2">
              <w:rPr>
                <w:color w:val="auto"/>
                <w:vertAlign w:val="subscript"/>
              </w:rPr>
              <w:t>2</w:t>
            </w:r>
            <w:r w:rsidRPr="00B275E2">
              <w:rPr>
                <w:color w:val="auto"/>
              </w:rPr>
              <w:t>-e/unit</w:t>
            </w:r>
          </w:p>
        </w:tc>
        <w:tc>
          <w:tcPr>
            <w:tcW w:w="1276" w:type="dxa"/>
            <w:shd w:val="clear" w:color="auto" w:fill="1B556B" w:themeFill="text2"/>
            <w:noWrap/>
            <w:vAlign w:val="bottom"/>
            <w:hideMark/>
          </w:tcPr>
          <w:p w14:paraId="2B1A58A6" w14:textId="2FBE79A9" w:rsidR="001B4A1A" w:rsidRPr="00B275E2" w:rsidRDefault="001B4A1A" w:rsidP="007F0B1E">
            <w:pPr>
              <w:pStyle w:val="TableText"/>
              <w:spacing w:before="40" w:after="40"/>
              <w:jc w:val="right"/>
              <w:cnfStyle w:val="100000000000" w:firstRow="1" w:lastRow="0" w:firstColumn="0" w:lastColumn="0" w:oddVBand="0" w:evenVBand="0" w:oddHBand="0" w:evenHBand="0" w:firstRowFirstColumn="0" w:firstRowLastColumn="0" w:lastRowFirstColumn="0" w:lastRowLastColumn="0"/>
            </w:pPr>
            <w:r w:rsidRPr="00B275E2">
              <w:t>kg CO</w:t>
            </w:r>
            <w:r w:rsidRPr="00B275E2">
              <w:rPr>
                <w:vertAlign w:val="subscript"/>
              </w:rPr>
              <w:t>2</w:t>
            </w:r>
            <w:r w:rsidRPr="00B275E2">
              <w:t>/unit</w:t>
            </w:r>
            <w:r w:rsidR="00E835BD" w:rsidRPr="00B275E2">
              <w:t xml:space="preserve"> </w:t>
            </w:r>
            <w:r w:rsidR="00E835BD" w:rsidRPr="00B275E2">
              <w:br/>
              <w:t>(kg CO</w:t>
            </w:r>
            <w:r w:rsidR="00E835BD" w:rsidRPr="00B275E2">
              <w:rPr>
                <w:vertAlign w:val="subscript"/>
              </w:rPr>
              <w:t>2</w:t>
            </w:r>
            <w:r w:rsidR="00E835BD" w:rsidRPr="00B275E2">
              <w:noBreakHyphen/>
              <w:t>e)</w:t>
            </w:r>
          </w:p>
        </w:tc>
        <w:tc>
          <w:tcPr>
            <w:tcW w:w="1276" w:type="dxa"/>
            <w:shd w:val="clear" w:color="auto" w:fill="1B556B" w:themeFill="text2"/>
            <w:noWrap/>
            <w:vAlign w:val="bottom"/>
            <w:hideMark/>
          </w:tcPr>
          <w:p w14:paraId="2CC7A70E" w14:textId="0156CFE0" w:rsidR="001B4A1A" w:rsidRPr="00B275E2" w:rsidRDefault="00E835BD" w:rsidP="007F0B1E">
            <w:pPr>
              <w:pStyle w:val="TableText"/>
              <w:spacing w:before="40" w:after="40"/>
              <w:jc w:val="right"/>
              <w:cnfStyle w:val="100000000000" w:firstRow="1" w:lastRow="0" w:firstColumn="0" w:lastColumn="0" w:oddVBand="0" w:evenVBand="0" w:oddHBand="0" w:evenHBand="0" w:firstRowFirstColumn="0" w:firstRowLastColumn="0" w:lastRowFirstColumn="0" w:lastRowLastColumn="0"/>
            </w:pPr>
            <w:r w:rsidRPr="00B275E2">
              <w:t>kg CH</w:t>
            </w:r>
            <w:r w:rsidRPr="00B275E2">
              <w:rPr>
                <w:vertAlign w:val="subscript"/>
              </w:rPr>
              <w:t>4</w:t>
            </w:r>
            <w:r w:rsidRPr="00B275E2">
              <w:t>/unit (kg CO</w:t>
            </w:r>
            <w:r w:rsidRPr="00B275E2">
              <w:rPr>
                <w:vertAlign w:val="subscript"/>
              </w:rPr>
              <w:t>2</w:t>
            </w:r>
            <w:r w:rsidRPr="00B275E2">
              <w:noBreakHyphen/>
              <w:t>e)</w:t>
            </w:r>
          </w:p>
        </w:tc>
        <w:tc>
          <w:tcPr>
            <w:tcW w:w="1393" w:type="dxa"/>
            <w:shd w:val="clear" w:color="auto" w:fill="1B556B" w:themeFill="text2"/>
            <w:noWrap/>
            <w:vAlign w:val="bottom"/>
            <w:hideMark/>
          </w:tcPr>
          <w:p w14:paraId="02609A42" w14:textId="395D3A9B" w:rsidR="001B4A1A" w:rsidRPr="00B275E2" w:rsidRDefault="00E835BD" w:rsidP="007F0B1E">
            <w:pPr>
              <w:pStyle w:val="TableText"/>
              <w:spacing w:before="40" w:after="40"/>
              <w:jc w:val="right"/>
              <w:cnfStyle w:val="100000000000" w:firstRow="1" w:lastRow="0" w:firstColumn="0" w:lastColumn="0" w:oddVBand="0" w:evenVBand="0" w:oddHBand="0" w:evenHBand="0" w:firstRowFirstColumn="0" w:firstRowLastColumn="0" w:lastRowFirstColumn="0" w:lastRowLastColumn="0"/>
            </w:pPr>
            <w:r w:rsidRPr="00B275E2">
              <w:t>kg N</w:t>
            </w:r>
            <w:r w:rsidRPr="00B275E2">
              <w:rPr>
                <w:vertAlign w:val="subscript"/>
              </w:rPr>
              <w:t>2</w:t>
            </w:r>
            <w:r w:rsidRPr="00B275E2">
              <w:t xml:space="preserve">O/unit </w:t>
            </w:r>
            <w:r w:rsidR="00C970E5" w:rsidRPr="00B275E2">
              <w:br/>
            </w:r>
            <w:r w:rsidRPr="00B275E2">
              <w:t>(kg CO</w:t>
            </w:r>
            <w:r w:rsidRPr="00B275E2">
              <w:rPr>
                <w:vertAlign w:val="subscript"/>
              </w:rPr>
              <w:t>2</w:t>
            </w:r>
            <w:r w:rsidRPr="00B275E2">
              <w:noBreakHyphen/>
              <w:t>e)</w:t>
            </w:r>
          </w:p>
        </w:tc>
      </w:tr>
      <w:tr w:rsidR="00AF6CBA" w:rsidRPr="00B275E2" w14:paraId="73C40AD5" w14:textId="77777777" w:rsidTr="00EC0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left w:val="single" w:sz="4" w:space="0" w:color="FFFFFF" w:themeColor="background1"/>
            </w:tcBorders>
          </w:tcPr>
          <w:p w14:paraId="61A14050" w14:textId="36E87F6D" w:rsidR="00AF6CBA" w:rsidRPr="00B275E2" w:rsidRDefault="00AF6CBA" w:rsidP="007F0B1E">
            <w:pPr>
              <w:pStyle w:val="TableText"/>
              <w:spacing w:before="40" w:after="40"/>
              <w:rPr>
                <w:b w:val="0"/>
              </w:rPr>
            </w:pPr>
            <w:r w:rsidRPr="00B275E2">
              <w:rPr>
                <w:b w:val="0"/>
              </w:rPr>
              <w:t>Composting</w:t>
            </w:r>
          </w:p>
        </w:tc>
        <w:tc>
          <w:tcPr>
            <w:tcW w:w="567" w:type="dxa"/>
            <w:noWrap/>
          </w:tcPr>
          <w:p w14:paraId="022D364D" w14:textId="77777777" w:rsidR="00AF6CBA" w:rsidRPr="00B275E2" w:rsidRDefault="00AF6CBA" w:rsidP="007F0B1E">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275E2">
              <w:t>kg</w:t>
            </w:r>
          </w:p>
        </w:tc>
        <w:tc>
          <w:tcPr>
            <w:tcW w:w="1276" w:type="dxa"/>
            <w:shd w:val="clear" w:color="auto" w:fill="D2DDE1" w:themeFill="background2"/>
            <w:noWrap/>
          </w:tcPr>
          <w:p w14:paraId="1B88D768" w14:textId="3849F830" w:rsidR="00AF6CBA" w:rsidRPr="00B275E2" w:rsidRDefault="00AF6CBA"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 w:val="16"/>
                <w:szCs w:val="16"/>
              </w:rPr>
            </w:pPr>
            <w:r w:rsidRPr="00B275E2">
              <w:rPr>
                <w:rFonts w:cs="Calibri"/>
                <w:sz w:val="16"/>
                <w:szCs w:val="16"/>
              </w:rPr>
              <w:t>0.17</w:t>
            </w:r>
            <w:r w:rsidR="009953F5" w:rsidRPr="00B275E2">
              <w:rPr>
                <w:rFonts w:cs="Calibri"/>
                <w:sz w:val="16"/>
                <w:szCs w:val="16"/>
              </w:rPr>
              <w:t>2</w:t>
            </w:r>
          </w:p>
        </w:tc>
        <w:tc>
          <w:tcPr>
            <w:tcW w:w="1276" w:type="dxa"/>
            <w:shd w:val="clear" w:color="auto" w:fill="auto"/>
            <w:noWrap/>
          </w:tcPr>
          <w:p w14:paraId="6BBC636F" w14:textId="148B1D61" w:rsidR="00AF6CBA" w:rsidRPr="00B275E2" w:rsidRDefault="00AF6CBA"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 w:val="16"/>
                <w:szCs w:val="16"/>
              </w:rPr>
            </w:pPr>
            <w:r w:rsidRPr="00B275E2">
              <w:rPr>
                <w:rFonts w:cs="Calibri"/>
                <w:sz w:val="16"/>
                <w:szCs w:val="16"/>
              </w:rPr>
              <w:t>n/a</w:t>
            </w:r>
          </w:p>
        </w:tc>
        <w:tc>
          <w:tcPr>
            <w:tcW w:w="1276" w:type="dxa"/>
            <w:shd w:val="clear" w:color="auto" w:fill="auto"/>
            <w:noWrap/>
          </w:tcPr>
          <w:p w14:paraId="353F8213" w14:textId="5093CF35" w:rsidR="00AF6CBA" w:rsidRPr="00B275E2" w:rsidRDefault="00AF6CBA"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 w:val="16"/>
                <w:szCs w:val="16"/>
              </w:rPr>
            </w:pPr>
            <w:r w:rsidRPr="00B275E2">
              <w:rPr>
                <w:rFonts w:cs="Calibri"/>
                <w:sz w:val="16"/>
                <w:szCs w:val="16"/>
              </w:rPr>
              <w:t>0.10</w:t>
            </w:r>
            <w:r w:rsidR="004762B9" w:rsidRPr="00B275E2">
              <w:rPr>
                <w:rFonts w:cs="Calibri"/>
                <w:sz w:val="16"/>
                <w:szCs w:val="16"/>
              </w:rPr>
              <w:t>0</w:t>
            </w:r>
          </w:p>
        </w:tc>
        <w:tc>
          <w:tcPr>
            <w:tcW w:w="1393" w:type="dxa"/>
            <w:tcBorders>
              <w:right w:val="single" w:sz="4" w:space="0" w:color="FFFFFF" w:themeColor="background1"/>
            </w:tcBorders>
            <w:shd w:val="clear" w:color="auto" w:fill="auto"/>
            <w:noWrap/>
          </w:tcPr>
          <w:p w14:paraId="606DEA58" w14:textId="2F685110" w:rsidR="00AF6CBA" w:rsidRPr="00B275E2" w:rsidRDefault="00AF6CBA"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 w:val="16"/>
                <w:szCs w:val="16"/>
              </w:rPr>
            </w:pPr>
            <w:r w:rsidRPr="00B275E2">
              <w:rPr>
                <w:rFonts w:cs="Calibri"/>
                <w:sz w:val="16"/>
                <w:szCs w:val="16"/>
              </w:rPr>
              <w:t>0.072</w:t>
            </w:r>
          </w:p>
        </w:tc>
      </w:tr>
      <w:tr w:rsidR="00AF6CBA" w:rsidRPr="00B275E2" w14:paraId="3908CACB" w14:textId="77777777" w:rsidTr="00EC0FF5">
        <w:tc>
          <w:tcPr>
            <w:cnfStyle w:val="001000000000" w:firstRow="0" w:lastRow="0" w:firstColumn="1" w:lastColumn="0" w:oddVBand="0" w:evenVBand="0" w:oddHBand="0" w:evenHBand="0" w:firstRowFirstColumn="0" w:firstRowLastColumn="0" w:lastRowFirstColumn="0" w:lastRowLastColumn="0"/>
            <w:tcW w:w="2830" w:type="dxa"/>
            <w:tcBorders>
              <w:left w:val="single" w:sz="4" w:space="0" w:color="FFFFFF" w:themeColor="background1"/>
            </w:tcBorders>
          </w:tcPr>
          <w:p w14:paraId="697A32DC" w14:textId="55D2F9C0" w:rsidR="00AF6CBA" w:rsidRPr="00B275E2" w:rsidRDefault="00AF6CBA" w:rsidP="007F0B1E">
            <w:pPr>
              <w:pStyle w:val="TableText"/>
              <w:spacing w:before="40" w:after="40"/>
              <w:rPr>
                <w:b w:val="0"/>
                <w:bCs w:val="0"/>
              </w:rPr>
            </w:pPr>
            <w:r w:rsidRPr="00B275E2">
              <w:rPr>
                <w:b w:val="0"/>
                <w:bCs w:val="0"/>
              </w:rPr>
              <w:t>Anaerobic digestion</w:t>
            </w:r>
          </w:p>
        </w:tc>
        <w:tc>
          <w:tcPr>
            <w:tcW w:w="567" w:type="dxa"/>
            <w:noWrap/>
          </w:tcPr>
          <w:p w14:paraId="0FFE1312" w14:textId="12BB5201" w:rsidR="00AF6CBA" w:rsidRPr="00B275E2" w:rsidRDefault="00AF6CBA" w:rsidP="007F0B1E">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275E2">
              <w:t>kg</w:t>
            </w:r>
          </w:p>
        </w:tc>
        <w:tc>
          <w:tcPr>
            <w:tcW w:w="1276" w:type="dxa"/>
            <w:shd w:val="clear" w:color="auto" w:fill="D2DDE1" w:themeFill="background2"/>
            <w:noWrap/>
            <w:vAlign w:val="bottom"/>
          </w:tcPr>
          <w:p w14:paraId="212E484C" w14:textId="15707497" w:rsidR="00AF6CBA" w:rsidRPr="00B275E2" w:rsidRDefault="00AF6CBA"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 w:val="16"/>
                <w:szCs w:val="16"/>
              </w:rPr>
            </w:pPr>
            <w:r w:rsidRPr="00B275E2">
              <w:rPr>
                <w:rFonts w:cs="Calibri"/>
                <w:sz w:val="16"/>
                <w:szCs w:val="16"/>
              </w:rPr>
              <w:t>0.02</w:t>
            </w:r>
            <w:r w:rsidR="004762B9" w:rsidRPr="00B275E2">
              <w:rPr>
                <w:rFonts w:cs="Calibri"/>
                <w:sz w:val="16"/>
                <w:szCs w:val="16"/>
              </w:rPr>
              <w:t>0</w:t>
            </w:r>
          </w:p>
        </w:tc>
        <w:tc>
          <w:tcPr>
            <w:tcW w:w="1276" w:type="dxa"/>
            <w:shd w:val="clear" w:color="auto" w:fill="auto"/>
            <w:noWrap/>
            <w:vAlign w:val="bottom"/>
          </w:tcPr>
          <w:p w14:paraId="07984C47" w14:textId="5B90D8F0" w:rsidR="00AF6CBA" w:rsidRPr="00B275E2" w:rsidRDefault="00AF6CBA"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 w:val="16"/>
                <w:szCs w:val="16"/>
              </w:rPr>
            </w:pPr>
            <w:r w:rsidRPr="00B275E2">
              <w:rPr>
                <w:rFonts w:cs="Calibri"/>
                <w:sz w:val="16"/>
                <w:szCs w:val="16"/>
              </w:rPr>
              <w:t>n/a</w:t>
            </w:r>
          </w:p>
        </w:tc>
        <w:tc>
          <w:tcPr>
            <w:tcW w:w="1276" w:type="dxa"/>
            <w:shd w:val="clear" w:color="auto" w:fill="auto"/>
            <w:noWrap/>
            <w:vAlign w:val="bottom"/>
          </w:tcPr>
          <w:p w14:paraId="78B2E9E6" w14:textId="3B3F5E34" w:rsidR="00AF6CBA" w:rsidRPr="00B275E2" w:rsidRDefault="00AF6CBA"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 w:val="16"/>
                <w:szCs w:val="16"/>
              </w:rPr>
            </w:pPr>
            <w:r w:rsidRPr="00B275E2">
              <w:rPr>
                <w:rFonts w:cs="Calibri"/>
                <w:sz w:val="16"/>
                <w:szCs w:val="16"/>
              </w:rPr>
              <w:t>0.02</w:t>
            </w:r>
            <w:r w:rsidR="004762B9" w:rsidRPr="00B275E2">
              <w:rPr>
                <w:rFonts w:cs="Calibri"/>
                <w:sz w:val="16"/>
                <w:szCs w:val="16"/>
              </w:rPr>
              <w:t>0</w:t>
            </w:r>
          </w:p>
        </w:tc>
        <w:tc>
          <w:tcPr>
            <w:tcW w:w="1393" w:type="dxa"/>
            <w:tcBorders>
              <w:right w:val="single" w:sz="4" w:space="0" w:color="FFFFFF" w:themeColor="background1"/>
            </w:tcBorders>
            <w:shd w:val="clear" w:color="auto" w:fill="auto"/>
            <w:noWrap/>
            <w:vAlign w:val="bottom"/>
          </w:tcPr>
          <w:p w14:paraId="02C41FE8" w14:textId="393D697B" w:rsidR="00AF6CBA" w:rsidRPr="00B275E2" w:rsidRDefault="00AF6CBA"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 w:val="16"/>
                <w:szCs w:val="16"/>
              </w:rPr>
            </w:pPr>
            <w:r w:rsidRPr="00B275E2">
              <w:rPr>
                <w:rFonts w:cs="Calibri"/>
                <w:sz w:val="16"/>
                <w:szCs w:val="16"/>
              </w:rPr>
              <w:t>n/a</w:t>
            </w:r>
          </w:p>
        </w:tc>
      </w:tr>
    </w:tbl>
    <w:p w14:paraId="329C5486" w14:textId="64D06256" w:rsidR="00632416" w:rsidRPr="00B275E2" w:rsidRDefault="00632416" w:rsidP="007F0B1E">
      <w:pPr>
        <w:pStyle w:val="Note"/>
      </w:pPr>
      <w:r w:rsidRPr="00B275E2">
        <w:t>Note</w:t>
      </w:r>
      <w:r w:rsidR="005B503B" w:rsidRPr="00B275E2">
        <w:t>: T</w:t>
      </w:r>
      <w:r w:rsidRPr="00B275E2">
        <w:t xml:space="preserve">hese numbers are rounded to </w:t>
      </w:r>
      <w:r w:rsidR="002C26F5" w:rsidRPr="00B275E2">
        <w:t>three</w:t>
      </w:r>
      <w:r w:rsidRPr="00B275E2">
        <w:t xml:space="preserve"> </w:t>
      </w:r>
      <w:r w:rsidR="002C26F5" w:rsidRPr="00B275E2">
        <w:t>significant figures</w:t>
      </w:r>
      <w:r w:rsidRPr="00B275E2">
        <w:t xml:space="preserve"> unless the number is significantly small. </w:t>
      </w:r>
    </w:p>
    <w:p w14:paraId="385744E6" w14:textId="01465109" w:rsidR="00A959E4" w:rsidRPr="00B275E2" w:rsidRDefault="00301928" w:rsidP="00D53238">
      <w:pPr>
        <w:pStyle w:val="Heading3"/>
      </w:pPr>
      <w:bookmarkStart w:id="584" w:name="_Toc532904952"/>
      <w:r w:rsidRPr="00B275E2">
        <w:lastRenderedPageBreak/>
        <w:t xml:space="preserve">GHG </w:t>
      </w:r>
      <w:r w:rsidR="00A959E4" w:rsidRPr="00B275E2">
        <w:t>inventory development</w:t>
      </w:r>
      <w:bookmarkEnd w:id="584"/>
    </w:p>
    <w:p w14:paraId="7B4FFB2B" w14:textId="51AB2D70" w:rsidR="00C04F05" w:rsidRPr="00B275E2" w:rsidRDefault="00C04F05" w:rsidP="007F0B1E">
      <w:pPr>
        <w:pStyle w:val="BodyText"/>
      </w:pPr>
      <w:r w:rsidRPr="00B275E2">
        <w:t xml:space="preserve">There are two methodologies </w:t>
      </w:r>
      <w:r w:rsidR="000C3EF0" w:rsidRPr="00B275E2">
        <w:t xml:space="preserve">that </w:t>
      </w:r>
      <w:r w:rsidRPr="00B275E2">
        <w:t>organisations can follow for calculating waste emissions</w:t>
      </w:r>
      <w:r w:rsidR="000C3EF0" w:rsidRPr="00B275E2">
        <w:t>.</w:t>
      </w:r>
    </w:p>
    <w:p w14:paraId="46638AF2" w14:textId="09AAB520" w:rsidR="00C04F05" w:rsidRPr="00B275E2" w:rsidRDefault="00C04F05" w:rsidP="00D411C0">
      <w:pPr>
        <w:pStyle w:val="Bullet"/>
      </w:pPr>
      <w:r w:rsidRPr="00B275E2">
        <w:t>Where composition of waste is known</w:t>
      </w:r>
      <w:r w:rsidR="000C3EF0" w:rsidRPr="00B275E2">
        <w:t>.</w:t>
      </w:r>
    </w:p>
    <w:p w14:paraId="73D63629" w14:textId="74F3390E" w:rsidR="00C04F05" w:rsidRPr="00B275E2" w:rsidRDefault="00C04F05" w:rsidP="00D411C0">
      <w:pPr>
        <w:pStyle w:val="Bullet"/>
      </w:pPr>
      <w:r w:rsidRPr="00B275E2">
        <w:t>Where composition of waste is unknown</w:t>
      </w:r>
      <w:r w:rsidR="000C3EF0" w:rsidRPr="00B275E2">
        <w:t>.</w:t>
      </w:r>
    </w:p>
    <w:p w14:paraId="7BE8B156" w14:textId="75082C4F" w:rsidR="00C04F05" w:rsidRPr="00B275E2" w:rsidRDefault="00C04F05" w:rsidP="007F0B1E">
      <w:pPr>
        <w:pStyle w:val="BodyText"/>
        <w:rPr>
          <w:spacing w:val="-2"/>
        </w:rPr>
      </w:pPr>
      <w:r w:rsidRPr="00B275E2">
        <w:rPr>
          <w:spacing w:val="-2"/>
        </w:rPr>
        <w:t xml:space="preserve">The choice of methodology depends on organisational knowledge of waste composition. It is preferable to know the composition of waste as it allows </w:t>
      </w:r>
      <w:r w:rsidR="000C3EF0" w:rsidRPr="00B275E2">
        <w:rPr>
          <w:spacing w:val="-2"/>
        </w:rPr>
        <w:t xml:space="preserve">more accurate calculation of </w:t>
      </w:r>
      <w:r w:rsidRPr="00B275E2">
        <w:rPr>
          <w:spacing w:val="-2"/>
        </w:rPr>
        <w:t xml:space="preserve">emissions. </w:t>
      </w:r>
      <w:r w:rsidR="004762B9" w:rsidRPr="00B275E2">
        <w:rPr>
          <w:spacing w:val="-2"/>
        </w:rPr>
        <w:t>The example calculations are done using IPCC AR4 GWPs.</w:t>
      </w:r>
    </w:p>
    <w:p w14:paraId="06FAFBE2" w14:textId="361AC894" w:rsidR="00A959E4" w:rsidRPr="00B275E2" w:rsidRDefault="00A959E4" w:rsidP="007F0B1E">
      <w:pPr>
        <w:pStyle w:val="BodyText"/>
      </w:pPr>
      <w:r w:rsidRPr="00B275E2">
        <w:t>Users should collect data on</w:t>
      </w:r>
      <w:r w:rsidR="00632416" w:rsidRPr="00B275E2">
        <w:t xml:space="preserve"> the</w:t>
      </w:r>
      <w:r w:rsidRPr="00B275E2">
        <w:t xml:space="preserve"> quantity (kg)</w:t>
      </w:r>
      <w:r w:rsidR="00BB736D" w:rsidRPr="00B275E2">
        <w:t xml:space="preserve"> and type</w:t>
      </w:r>
      <w:r w:rsidRPr="00B275E2">
        <w:t xml:space="preserve"> of waste disposed</w:t>
      </w:r>
      <w:r w:rsidR="00BB736D" w:rsidRPr="00B275E2">
        <w:t xml:space="preserve">. </w:t>
      </w:r>
    </w:p>
    <w:p w14:paraId="3EE80A83" w14:textId="46BF2327" w:rsidR="00632416" w:rsidRPr="00B275E2" w:rsidRDefault="00632416" w:rsidP="007F0B1E">
      <w:pPr>
        <w:pStyle w:val="BodyText"/>
      </w:pPr>
      <w:r w:rsidRPr="00B275E2">
        <w:t xml:space="preserve">Applying the equation </w:t>
      </w:r>
      <w:r w:rsidR="00D34302" w:rsidRPr="00B275E2">
        <w:t>E= Q x F</w:t>
      </w:r>
      <w:r w:rsidR="005C6DDF" w:rsidRPr="00B275E2">
        <w:t xml:space="preserve"> </w:t>
      </w:r>
      <w:r w:rsidR="00D34302" w:rsidRPr="00B275E2">
        <w:t>(</w:t>
      </w:r>
      <w:hyperlink w:anchor="_How_to_quantify" w:history="1">
        <w:r w:rsidR="005C6DDF" w:rsidRPr="00B275E2">
          <w:rPr>
            <w:rStyle w:val="Hyperlink"/>
          </w:rPr>
          <w:t>section 2</w:t>
        </w:r>
      </w:hyperlink>
      <w:r w:rsidR="00D34302" w:rsidRPr="00B275E2">
        <w:rPr>
          <w:rStyle w:val="Hyperlink"/>
          <w:color w:val="auto"/>
        </w:rPr>
        <w:t>)</w:t>
      </w:r>
      <w:r w:rsidRPr="00B275E2">
        <w:t>, this means:</w:t>
      </w:r>
    </w:p>
    <w:p w14:paraId="4DF6C328" w14:textId="4AA405F1" w:rsidR="00D34302" w:rsidRPr="00B275E2" w:rsidRDefault="00D34302" w:rsidP="00894C26">
      <w:pPr>
        <w:pStyle w:val="BodyText"/>
        <w:tabs>
          <w:tab w:val="left" w:pos="680"/>
          <w:tab w:val="left" w:pos="993"/>
        </w:tabs>
        <w:contextualSpacing/>
      </w:pPr>
      <w:r w:rsidRPr="00B275E2">
        <w:t>E</w:t>
      </w:r>
      <w:r w:rsidRPr="00B275E2">
        <w:tab/>
        <w:t>=</w:t>
      </w:r>
      <w:r w:rsidRPr="00B275E2">
        <w:tab/>
        <w:t>emissions from the emissions source in kg CO</w:t>
      </w:r>
      <w:r w:rsidRPr="00B275E2">
        <w:rPr>
          <w:vertAlign w:val="subscript"/>
        </w:rPr>
        <w:t>2</w:t>
      </w:r>
      <w:r w:rsidRPr="00B275E2">
        <w:t>-e per year</w:t>
      </w:r>
    </w:p>
    <w:p w14:paraId="6E53D20F" w14:textId="30FBFBC7" w:rsidR="00A959E4" w:rsidRPr="00B275E2" w:rsidRDefault="005B503B" w:rsidP="00894C26">
      <w:pPr>
        <w:pStyle w:val="BodyText"/>
        <w:tabs>
          <w:tab w:val="left" w:pos="680"/>
          <w:tab w:val="left" w:pos="993"/>
        </w:tabs>
        <w:contextualSpacing/>
      </w:pPr>
      <w:r w:rsidRPr="00B275E2">
        <w:t>Q</w:t>
      </w:r>
      <w:r w:rsidRPr="00B275E2">
        <w:tab/>
        <w:t>=</w:t>
      </w:r>
      <w:r w:rsidRPr="00B275E2">
        <w:tab/>
      </w:r>
      <w:r w:rsidR="00A959E4" w:rsidRPr="00B275E2">
        <w:t>quantity of waste disposed (kg)</w:t>
      </w:r>
    </w:p>
    <w:p w14:paraId="5FC4815E" w14:textId="130241F5" w:rsidR="00A959E4" w:rsidRPr="00B275E2" w:rsidRDefault="005B503B" w:rsidP="00894C26">
      <w:pPr>
        <w:pStyle w:val="BodyText"/>
        <w:tabs>
          <w:tab w:val="left" w:pos="680"/>
          <w:tab w:val="left" w:pos="993"/>
        </w:tabs>
        <w:spacing w:after="240"/>
        <w:contextualSpacing/>
        <w:jc w:val="both"/>
      </w:pPr>
      <w:r w:rsidRPr="00B275E2">
        <w:t>F</w:t>
      </w:r>
      <w:r w:rsidRPr="00B275E2">
        <w:tab/>
        <w:t>=</w:t>
      </w:r>
      <w:r w:rsidRPr="00B275E2">
        <w:tab/>
      </w:r>
      <w:r w:rsidR="00A959E4" w:rsidRPr="00B275E2">
        <w:t xml:space="preserve">appropriate emission factors from </w:t>
      </w:r>
      <w:r w:rsidR="00C57282" w:rsidRPr="00B275E2">
        <w:t>table 8</w:t>
      </w:r>
      <w:r w:rsidR="00F23341">
        <w:t>0</w:t>
      </w:r>
      <w:r w:rsidR="00C57282" w:rsidRPr="00B275E2">
        <w:t xml:space="preserve"> to table 8</w:t>
      </w:r>
      <w:r w:rsidR="00F23341">
        <w:t>3</w:t>
      </w: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5"/>
      </w:tblGrid>
      <w:tr w:rsidR="00DA7183" w:rsidRPr="00B275E2" w:rsidDel="00D5390D" w14:paraId="4E7BE643" w14:textId="77777777" w:rsidTr="00A953DC">
        <w:tc>
          <w:tcPr>
            <w:tcW w:w="8500" w:type="dxa"/>
            <w:tcBorders>
              <w:top w:val="single" w:sz="4" w:space="0" w:color="0F7B7D"/>
              <w:left w:val="single" w:sz="4" w:space="0" w:color="0F7B7D"/>
              <w:bottom w:val="nil"/>
              <w:right w:val="single" w:sz="4" w:space="0" w:color="0F7B7D"/>
            </w:tcBorders>
            <w:shd w:val="clear" w:color="auto" w:fill="0F7B7D"/>
            <w:vAlign w:val="center"/>
          </w:tcPr>
          <w:p w14:paraId="10C41C3C" w14:textId="554391EE" w:rsidR="00632416" w:rsidRPr="00B275E2" w:rsidDel="00D5390D" w:rsidRDefault="000C3EF0" w:rsidP="00894C26">
            <w:pPr>
              <w:pStyle w:val="Casestudyheading"/>
            </w:pPr>
            <w:bookmarkStart w:id="585" w:name="_Hlk532894926"/>
            <w:r w:rsidRPr="00B275E2">
              <w:t xml:space="preserve">WASTE DISPOSAL: </w:t>
            </w:r>
            <w:r w:rsidR="00632416" w:rsidRPr="00B275E2">
              <w:t>Example Calculation</w:t>
            </w:r>
          </w:p>
        </w:tc>
      </w:tr>
      <w:tr w:rsidR="00F21DC0" w:rsidRPr="00B275E2" w14:paraId="003F36AD" w14:textId="77777777" w:rsidTr="00A953DC">
        <w:tc>
          <w:tcPr>
            <w:tcW w:w="8500" w:type="dxa"/>
            <w:tcBorders>
              <w:top w:val="nil"/>
              <w:left w:val="single" w:sz="4" w:space="0" w:color="D5EBE8" w:themeColor="accent3"/>
              <w:bottom w:val="single" w:sz="4" w:space="0" w:color="D5EBE8" w:themeColor="accent3"/>
              <w:right w:val="single" w:sz="4" w:space="0" w:color="D5EBE8" w:themeColor="accent3"/>
            </w:tcBorders>
            <w:shd w:val="clear" w:color="auto" w:fill="D5EBE8" w:themeFill="accent3"/>
          </w:tcPr>
          <w:p w14:paraId="295F4EEF" w14:textId="27356F81" w:rsidR="00632416" w:rsidRPr="00B275E2" w:rsidRDefault="00632416" w:rsidP="00894C26">
            <w:pPr>
              <w:pStyle w:val="Boxtext"/>
              <w:spacing w:after="80"/>
            </w:pPr>
            <w:r w:rsidRPr="00B275E2">
              <w:t>A hotel produces waste in its kitchen, guest rooms and garden. Th</w:t>
            </w:r>
            <w:r w:rsidR="00C04F05" w:rsidRPr="00B275E2">
              <w:t xml:space="preserve">ey send </w:t>
            </w:r>
            <w:r w:rsidR="000C3EF0" w:rsidRPr="00B275E2">
              <w:t>it</w:t>
            </w:r>
            <w:r w:rsidRPr="00B275E2">
              <w:t xml:space="preserve"> to the regional landfill, which is known to have landfill gas recovery. </w:t>
            </w:r>
          </w:p>
          <w:p w14:paraId="023D8896" w14:textId="48E49DCE" w:rsidR="00632416" w:rsidRPr="00B275E2" w:rsidRDefault="00632416" w:rsidP="00894C26">
            <w:pPr>
              <w:pStyle w:val="Boxtext"/>
              <w:spacing w:after="80"/>
            </w:pPr>
            <w:r w:rsidRPr="00B275E2">
              <w:t xml:space="preserve">If the waste comprises 150 kg food waste, 50 kg general waste from guest rooms and 60 kg of garden waste, the hotel calculates emissions as follows: </w:t>
            </w:r>
          </w:p>
          <w:p w14:paraId="0DAD99B8" w14:textId="3CCBE482" w:rsidR="00632416" w:rsidRPr="00B275E2" w:rsidRDefault="00632416" w:rsidP="00894C26">
            <w:pPr>
              <w:pStyle w:val="Boxtext"/>
              <w:tabs>
                <w:tab w:val="left" w:pos="3056"/>
                <w:tab w:val="left" w:pos="4992"/>
              </w:tabs>
              <w:spacing w:before="20" w:after="20"/>
              <w:ind w:left="850"/>
            </w:pPr>
            <w:r w:rsidRPr="00B275E2">
              <w:t>Food waste</w:t>
            </w:r>
            <w:r w:rsidRPr="00B275E2">
              <w:tab/>
              <w:t xml:space="preserve">= 150 </w:t>
            </w:r>
            <w:r w:rsidRPr="00B275E2">
              <w:rPr>
                <w:rFonts w:cs="Calibri"/>
              </w:rPr>
              <w:t>×</w:t>
            </w:r>
            <w:r w:rsidRPr="00B275E2">
              <w:t xml:space="preserve"> 0.</w:t>
            </w:r>
            <w:r w:rsidR="004762B9" w:rsidRPr="00B275E2">
              <w:t>602</w:t>
            </w:r>
            <w:r w:rsidRPr="00B275E2">
              <w:tab/>
              <w:t xml:space="preserve">= </w:t>
            </w:r>
            <w:r w:rsidR="004762B9" w:rsidRPr="00B275E2">
              <w:t>90.3</w:t>
            </w:r>
            <w:r w:rsidRPr="00B275E2">
              <w:t xml:space="preserve"> kg CO</w:t>
            </w:r>
            <w:r w:rsidRPr="00B275E2">
              <w:rPr>
                <w:vertAlign w:val="subscript"/>
              </w:rPr>
              <w:t>2</w:t>
            </w:r>
            <w:r w:rsidRPr="00B275E2">
              <w:t xml:space="preserve">-e </w:t>
            </w:r>
          </w:p>
          <w:p w14:paraId="57EED64D" w14:textId="1E8928DF" w:rsidR="00632416" w:rsidRPr="00B275E2" w:rsidRDefault="00632416" w:rsidP="00894C26">
            <w:pPr>
              <w:pStyle w:val="Boxtext"/>
              <w:tabs>
                <w:tab w:val="left" w:pos="3056"/>
                <w:tab w:val="left" w:pos="4992"/>
              </w:tabs>
              <w:spacing w:before="20" w:after="20"/>
              <w:ind w:left="850"/>
            </w:pPr>
            <w:r w:rsidRPr="00B275E2">
              <w:t>General waste</w:t>
            </w:r>
            <w:r w:rsidRPr="00B275E2">
              <w:tab/>
              <w:t xml:space="preserve">= 50 </w:t>
            </w:r>
            <w:r w:rsidRPr="00B275E2">
              <w:rPr>
                <w:rFonts w:cs="Calibri"/>
              </w:rPr>
              <w:t>×</w:t>
            </w:r>
            <w:r w:rsidRPr="00B275E2">
              <w:t xml:space="preserve"> 0.</w:t>
            </w:r>
            <w:r w:rsidR="004762B9" w:rsidRPr="00B275E2">
              <w:t>207</w:t>
            </w:r>
            <w:r w:rsidR="00724C42" w:rsidRPr="00B275E2">
              <w:t xml:space="preserve"> </w:t>
            </w:r>
            <w:r w:rsidRPr="00B275E2">
              <w:tab/>
              <w:t xml:space="preserve">= </w:t>
            </w:r>
            <w:r w:rsidR="004762B9" w:rsidRPr="00B275E2">
              <w:t>10.3</w:t>
            </w:r>
            <w:r w:rsidRPr="00B275E2">
              <w:t xml:space="preserve"> kg CO</w:t>
            </w:r>
            <w:r w:rsidRPr="00B275E2">
              <w:rPr>
                <w:vertAlign w:val="subscript"/>
              </w:rPr>
              <w:t>2</w:t>
            </w:r>
            <w:r w:rsidRPr="00B275E2">
              <w:t xml:space="preserve">-e </w:t>
            </w:r>
          </w:p>
          <w:p w14:paraId="00A02A22" w14:textId="6A0E5617" w:rsidR="00632416" w:rsidRPr="00B275E2" w:rsidRDefault="00632416" w:rsidP="00894C26">
            <w:pPr>
              <w:pStyle w:val="Boxtext"/>
              <w:tabs>
                <w:tab w:val="left" w:pos="3056"/>
                <w:tab w:val="left" w:pos="4992"/>
              </w:tabs>
              <w:spacing w:before="20" w:after="20"/>
              <w:ind w:left="850"/>
            </w:pPr>
            <w:r w:rsidRPr="00B275E2">
              <w:t>Garden waste</w:t>
            </w:r>
            <w:r w:rsidRPr="00B275E2">
              <w:tab/>
              <w:t xml:space="preserve">= 60 </w:t>
            </w:r>
            <w:r w:rsidRPr="00B275E2">
              <w:rPr>
                <w:rFonts w:cs="Calibri"/>
              </w:rPr>
              <w:t>×</w:t>
            </w:r>
            <w:r w:rsidRPr="00B275E2">
              <w:t xml:space="preserve"> 0.</w:t>
            </w:r>
            <w:r w:rsidR="007B5D71" w:rsidRPr="00B275E2">
              <w:t>492</w:t>
            </w:r>
            <w:r w:rsidR="00724C42" w:rsidRPr="00B275E2">
              <w:t xml:space="preserve"> </w:t>
            </w:r>
            <w:r w:rsidRPr="00B275E2">
              <w:tab/>
              <w:t xml:space="preserve">= </w:t>
            </w:r>
            <w:r w:rsidR="007B5D71" w:rsidRPr="00B275E2">
              <w:t>29.5</w:t>
            </w:r>
            <w:r w:rsidRPr="00B275E2">
              <w:t xml:space="preserve"> kg CO</w:t>
            </w:r>
            <w:r w:rsidRPr="00B275E2">
              <w:rPr>
                <w:vertAlign w:val="subscript"/>
              </w:rPr>
              <w:t>2</w:t>
            </w:r>
            <w:r w:rsidRPr="00B275E2">
              <w:t xml:space="preserve">-e </w:t>
            </w:r>
          </w:p>
          <w:p w14:paraId="079289A3" w14:textId="7A9A57C1" w:rsidR="00632416" w:rsidRPr="00B275E2" w:rsidRDefault="00632416" w:rsidP="00894C26">
            <w:pPr>
              <w:pStyle w:val="Boxtext"/>
              <w:tabs>
                <w:tab w:val="left" w:pos="3056"/>
                <w:tab w:val="left" w:pos="4992"/>
              </w:tabs>
              <w:spacing w:before="20" w:after="20"/>
              <w:ind w:left="850"/>
            </w:pPr>
            <w:r w:rsidRPr="00B275E2">
              <w:t xml:space="preserve">Total waste emissions </w:t>
            </w:r>
            <w:r w:rsidR="00B11878" w:rsidRPr="00B275E2">
              <w:tab/>
            </w:r>
            <w:r w:rsidRPr="00B275E2">
              <w:t xml:space="preserve">= </w:t>
            </w:r>
            <w:r w:rsidR="007B5D71" w:rsidRPr="00B275E2">
              <w:t>90.3</w:t>
            </w:r>
            <w:r w:rsidR="00BF2874" w:rsidRPr="00B275E2">
              <w:t xml:space="preserve"> + </w:t>
            </w:r>
            <w:r w:rsidR="007B5D71" w:rsidRPr="00B275E2">
              <w:t>10.3</w:t>
            </w:r>
            <w:r w:rsidR="002330AC" w:rsidRPr="00B275E2">
              <w:t xml:space="preserve"> </w:t>
            </w:r>
            <w:r w:rsidR="00BF2874" w:rsidRPr="00B275E2">
              <w:t xml:space="preserve">+ </w:t>
            </w:r>
            <w:r w:rsidR="007B5D71" w:rsidRPr="00B275E2">
              <w:t>29.5</w:t>
            </w:r>
            <w:r w:rsidR="00724C42" w:rsidRPr="00B275E2">
              <w:tab/>
            </w:r>
            <w:r w:rsidRPr="00B275E2">
              <w:t xml:space="preserve">= </w:t>
            </w:r>
            <w:r w:rsidR="007B5D71" w:rsidRPr="00B275E2">
              <w:t>130.2</w:t>
            </w:r>
            <w:r w:rsidRPr="00B275E2">
              <w:t xml:space="preserve"> kg CO</w:t>
            </w:r>
            <w:r w:rsidRPr="00B275E2">
              <w:rPr>
                <w:vertAlign w:val="subscript"/>
              </w:rPr>
              <w:t>2</w:t>
            </w:r>
            <w:r w:rsidRPr="00B275E2">
              <w:t xml:space="preserve">-e </w:t>
            </w:r>
          </w:p>
          <w:p w14:paraId="273D930E" w14:textId="59CAEF5C" w:rsidR="00166895" w:rsidRPr="00B275E2" w:rsidRDefault="00166895" w:rsidP="00894C26">
            <w:pPr>
              <w:pStyle w:val="Boxtext"/>
              <w:spacing w:after="180"/>
            </w:pPr>
            <w:r w:rsidRPr="00B275E2">
              <w:rPr>
                <w:sz w:val="18"/>
              </w:rPr>
              <w:t>Note</w:t>
            </w:r>
            <w:r w:rsidR="000C3EF0" w:rsidRPr="00B275E2">
              <w:rPr>
                <w:sz w:val="18"/>
              </w:rPr>
              <w:t>: N</w:t>
            </w:r>
            <w:r w:rsidRPr="00B275E2">
              <w:rPr>
                <w:sz w:val="18"/>
              </w:rPr>
              <w:t>umbers may not add due to rounding</w:t>
            </w:r>
          </w:p>
        </w:tc>
      </w:tr>
    </w:tbl>
    <w:p w14:paraId="30C9FFFC" w14:textId="7844B6B1" w:rsidR="00A959E4" w:rsidRPr="00B275E2" w:rsidRDefault="00A959E4" w:rsidP="00D411C0">
      <w:pPr>
        <w:pStyle w:val="Heading3"/>
      </w:pPr>
      <w:bookmarkStart w:id="586" w:name="_Toc532904953"/>
      <w:bookmarkEnd w:id="585"/>
      <w:r w:rsidRPr="00B275E2">
        <w:t>Emission factor derivation methodologies</w:t>
      </w:r>
      <w:bookmarkEnd w:id="586"/>
    </w:p>
    <w:p w14:paraId="03E8DCE9" w14:textId="58A8FDBD" w:rsidR="00A959E4" w:rsidRPr="00B275E2" w:rsidRDefault="00A80972" w:rsidP="00BF5F39">
      <w:pPr>
        <w:pStyle w:val="BodyText"/>
        <w:keepNext/>
      </w:pPr>
      <w:r w:rsidRPr="00B275E2">
        <w:t>We broke down data</w:t>
      </w:r>
      <w:r w:rsidR="00A959E4" w:rsidRPr="00B275E2">
        <w:t xml:space="preserve"> derived from the </w:t>
      </w:r>
      <w:r w:rsidR="00855F98" w:rsidRPr="00B275E2">
        <w:t>N</w:t>
      </w:r>
      <w:r w:rsidR="00F542B2" w:rsidRPr="00B275E2">
        <w:t xml:space="preserve">ational </w:t>
      </w:r>
      <w:r w:rsidR="00855F98" w:rsidRPr="00B275E2">
        <w:t>I</w:t>
      </w:r>
      <w:r w:rsidR="00F542B2" w:rsidRPr="00B275E2">
        <w:t>nventory</w:t>
      </w:r>
      <w:r w:rsidR="00855F98" w:rsidRPr="00B275E2">
        <w:t xml:space="preserve"> Report</w:t>
      </w:r>
      <w:r w:rsidR="00F542B2" w:rsidRPr="00B275E2">
        <w:t xml:space="preserve"> </w:t>
      </w:r>
      <w:r w:rsidR="00A959E4" w:rsidRPr="00B275E2">
        <w:t xml:space="preserve">into </w:t>
      </w:r>
      <w:r w:rsidR="000C3EF0" w:rsidRPr="00B275E2">
        <w:t>seven</w:t>
      </w:r>
      <w:r w:rsidR="00A959E4" w:rsidRPr="00B275E2">
        <w:t xml:space="preserve"> categories.</w:t>
      </w:r>
      <w:r w:rsidR="006C1D76" w:rsidRPr="00B275E2">
        <w:t xml:space="preserve"> Table 8</w:t>
      </w:r>
      <w:r w:rsidR="00F23341">
        <w:t>4</w:t>
      </w:r>
      <w:r w:rsidR="00A959E4" w:rsidRPr="00B275E2">
        <w:t xml:space="preserve"> identifies these alongside their proportion of the waste to municipal landfills in 20</w:t>
      </w:r>
      <w:r w:rsidR="007B5D71" w:rsidRPr="00B275E2">
        <w:t>20</w:t>
      </w:r>
      <w:r w:rsidR="00A959E4" w:rsidRPr="00B275E2">
        <w:t xml:space="preserve">. </w:t>
      </w:r>
    </w:p>
    <w:p w14:paraId="176F8AB9" w14:textId="4C483220" w:rsidR="00A959E4" w:rsidRPr="00B275E2" w:rsidRDefault="00EB4389" w:rsidP="00BF5F39">
      <w:pPr>
        <w:pStyle w:val="Tableheading"/>
      </w:pPr>
      <w:bookmarkStart w:id="587" w:name="_Toc111536689"/>
      <w:r w:rsidRPr="00B275E2">
        <w:t xml:space="preserve">Table </w:t>
      </w:r>
      <w:r w:rsidRPr="00B275E2">
        <w:fldChar w:fldCharType="begin"/>
      </w:r>
      <w:r w:rsidRPr="00B275E2">
        <w:instrText>SEQ Table \* ARABIC</w:instrText>
      </w:r>
      <w:r w:rsidRPr="00B275E2">
        <w:fldChar w:fldCharType="separate"/>
      </w:r>
      <w:r>
        <w:rPr>
          <w:noProof/>
        </w:rPr>
        <w:t>84</w:t>
      </w:r>
      <w:r w:rsidRPr="00B275E2">
        <w:fldChar w:fldCharType="end"/>
      </w:r>
      <w:r w:rsidRPr="00B275E2">
        <w:t>:</w:t>
      </w:r>
      <w:r w:rsidRPr="00B275E2">
        <w:tab/>
      </w:r>
      <w:r w:rsidR="00A959E4" w:rsidRPr="00B275E2">
        <w:t>Composition of waste sent to NZ landfills in 20</w:t>
      </w:r>
      <w:r w:rsidR="007B5D71" w:rsidRPr="00B275E2">
        <w:t>20</w:t>
      </w:r>
      <w:bookmarkEnd w:id="587"/>
    </w:p>
    <w:tbl>
      <w:tblPr>
        <w:tblStyle w:val="LightList-Accent1"/>
        <w:tblW w:w="8505" w:type="dxa"/>
        <w:tblBorders>
          <w:top w:val="single" w:sz="4" w:space="0" w:color="1C556C" w:themeColor="accent1"/>
          <w:bottom w:val="single" w:sz="4" w:space="0" w:color="1C556C" w:themeColor="accent1"/>
        </w:tblBorders>
        <w:tblCellMar>
          <w:left w:w="85" w:type="dxa"/>
          <w:right w:w="85" w:type="dxa"/>
        </w:tblCellMar>
        <w:tblLook w:val="04A0" w:firstRow="1" w:lastRow="0" w:firstColumn="1" w:lastColumn="0" w:noHBand="0" w:noVBand="1"/>
      </w:tblPr>
      <w:tblGrid>
        <w:gridCol w:w="1432"/>
        <w:gridCol w:w="3494"/>
        <w:gridCol w:w="1713"/>
        <w:gridCol w:w="1866"/>
      </w:tblGrid>
      <w:tr w:rsidR="007E1411" w:rsidRPr="00B275E2" w14:paraId="135D45F6" w14:textId="6FED3073" w:rsidTr="00BF5F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auto" w:fill="1B556B" w:themeFill="text2"/>
            <w:vAlign w:val="bottom"/>
          </w:tcPr>
          <w:p w14:paraId="2D2997E7" w14:textId="77777777" w:rsidR="007E1411" w:rsidRPr="00B275E2" w:rsidRDefault="007E1411" w:rsidP="00BF5F39">
            <w:pPr>
              <w:pStyle w:val="TableText"/>
              <w:keepNext/>
              <w:spacing w:before="40" w:after="40"/>
              <w:rPr>
                <w:rFonts w:cs="Calibri"/>
                <w:szCs w:val="18"/>
              </w:rPr>
            </w:pPr>
            <w:r w:rsidRPr="00B275E2">
              <w:rPr>
                <w:rFonts w:cs="Calibri"/>
                <w:szCs w:val="18"/>
              </w:rPr>
              <w:t>Waste category</w:t>
            </w:r>
          </w:p>
        </w:tc>
        <w:tc>
          <w:tcPr>
            <w:tcW w:w="3459" w:type="dxa"/>
            <w:shd w:val="clear" w:color="auto" w:fill="1B556B" w:themeFill="text2"/>
            <w:vAlign w:val="bottom"/>
          </w:tcPr>
          <w:p w14:paraId="2FB53157" w14:textId="77777777" w:rsidR="007E1411" w:rsidRPr="00B275E2" w:rsidRDefault="007E1411" w:rsidP="00BF5F39">
            <w:pPr>
              <w:pStyle w:val="TableText"/>
              <w:keepNext/>
              <w:spacing w:before="40" w:after="40"/>
              <w:cnfStyle w:val="100000000000" w:firstRow="1" w:lastRow="0" w:firstColumn="0" w:lastColumn="0" w:oddVBand="0" w:evenVBand="0" w:oddHBand="0" w:evenHBand="0" w:firstRowFirstColumn="0" w:firstRowLastColumn="0" w:lastRowFirstColumn="0" w:lastRowLastColumn="0"/>
              <w:rPr>
                <w:rFonts w:cs="Calibri"/>
                <w:szCs w:val="18"/>
              </w:rPr>
            </w:pPr>
            <w:r w:rsidRPr="00B275E2">
              <w:rPr>
                <w:rFonts w:cs="Calibri"/>
                <w:szCs w:val="18"/>
              </w:rPr>
              <w:t>Description</w:t>
            </w:r>
          </w:p>
        </w:tc>
        <w:tc>
          <w:tcPr>
            <w:tcW w:w="1696" w:type="dxa"/>
            <w:shd w:val="clear" w:color="auto" w:fill="1B556B" w:themeFill="text2"/>
            <w:vAlign w:val="bottom"/>
          </w:tcPr>
          <w:p w14:paraId="5532A7D4" w14:textId="5CD05EDD" w:rsidR="007E1411" w:rsidRPr="00B275E2" w:rsidRDefault="007E1411" w:rsidP="00BF5F39">
            <w:pPr>
              <w:pStyle w:val="TableText"/>
              <w:keepNext/>
              <w:spacing w:before="40" w:after="4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275E2">
              <w:rPr>
                <w:rFonts w:cs="Calibri"/>
                <w:szCs w:val="18"/>
              </w:rPr>
              <w:t>Estimated composition of waste to municipal landfills</w:t>
            </w:r>
          </w:p>
        </w:tc>
        <w:tc>
          <w:tcPr>
            <w:tcW w:w="1847" w:type="dxa"/>
            <w:shd w:val="clear" w:color="auto" w:fill="1B556B" w:themeFill="text2"/>
            <w:vAlign w:val="bottom"/>
          </w:tcPr>
          <w:p w14:paraId="7968AED3" w14:textId="567EE2D1" w:rsidR="007E1411" w:rsidRPr="00B275E2" w:rsidRDefault="007E1411" w:rsidP="00BF5F39">
            <w:pPr>
              <w:pStyle w:val="TableText"/>
              <w:keepNext/>
              <w:spacing w:before="40" w:after="4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275E2">
              <w:rPr>
                <w:rFonts w:cs="Calibri"/>
                <w:szCs w:val="18"/>
              </w:rPr>
              <w:t>Estimated composition of waste to non-municipal landfills</w:t>
            </w:r>
          </w:p>
        </w:tc>
      </w:tr>
      <w:tr w:rsidR="007E1411" w:rsidRPr="00B275E2" w14:paraId="506BD82C" w14:textId="6B12E0F7" w:rsidTr="00EC0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left w:val="single" w:sz="4" w:space="0" w:color="FFFFFF" w:themeColor="background1"/>
            </w:tcBorders>
          </w:tcPr>
          <w:p w14:paraId="7C51AEF4" w14:textId="0BCD9E5A" w:rsidR="007E1411" w:rsidRPr="00B275E2" w:rsidRDefault="007E1411" w:rsidP="00BF5F39">
            <w:pPr>
              <w:pStyle w:val="TableText"/>
              <w:keepNext/>
              <w:spacing w:before="40" w:after="40"/>
              <w:rPr>
                <w:rFonts w:cs="Calibri"/>
                <w:b w:val="0"/>
                <w:szCs w:val="18"/>
              </w:rPr>
            </w:pPr>
            <w:r w:rsidRPr="00B275E2">
              <w:rPr>
                <w:rFonts w:cs="Calibri"/>
                <w:b w:val="0"/>
                <w:szCs w:val="18"/>
              </w:rPr>
              <w:t>Food</w:t>
            </w:r>
          </w:p>
        </w:tc>
        <w:tc>
          <w:tcPr>
            <w:tcW w:w="3459" w:type="dxa"/>
          </w:tcPr>
          <w:p w14:paraId="64B1B682" w14:textId="77777777" w:rsidR="007E1411" w:rsidRPr="00B275E2" w:rsidRDefault="007E1411" w:rsidP="00BF5F39">
            <w:pPr>
              <w:pStyle w:val="TableText"/>
              <w:keepN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Food waste</w:t>
            </w:r>
          </w:p>
        </w:tc>
        <w:tc>
          <w:tcPr>
            <w:tcW w:w="1696" w:type="dxa"/>
          </w:tcPr>
          <w:p w14:paraId="10B37A69" w14:textId="40D4368D" w:rsidR="007E1411" w:rsidRPr="00B275E2" w:rsidRDefault="007B5D71" w:rsidP="00BF5F39">
            <w:pPr>
              <w:pStyle w:val="TableText"/>
              <w:keepN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9.0</w:t>
            </w:r>
            <w:r w:rsidR="007E1411" w:rsidRPr="00B275E2">
              <w:rPr>
                <w:rFonts w:cs="Calibri"/>
                <w:szCs w:val="18"/>
              </w:rPr>
              <w:t>%</w:t>
            </w:r>
          </w:p>
        </w:tc>
        <w:tc>
          <w:tcPr>
            <w:tcW w:w="1847" w:type="dxa"/>
            <w:tcBorders>
              <w:right w:val="single" w:sz="4" w:space="0" w:color="FFFFFF" w:themeColor="background1"/>
            </w:tcBorders>
          </w:tcPr>
          <w:p w14:paraId="4E4D65BB" w14:textId="75FCE7B3" w:rsidR="007E1411" w:rsidRPr="00B275E2" w:rsidRDefault="007E1411" w:rsidP="00BF5F39">
            <w:pPr>
              <w:pStyle w:val="TableText"/>
              <w:keepN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0.01%</w:t>
            </w:r>
          </w:p>
        </w:tc>
      </w:tr>
      <w:tr w:rsidR="007E1411" w:rsidRPr="00B275E2" w14:paraId="59B19493" w14:textId="232DD607" w:rsidTr="00EC0FF5">
        <w:tc>
          <w:tcPr>
            <w:cnfStyle w:val="001000000000" w:firstRow="0" w:lastRow="0" w:firstColumn="1" w:lastColumn="0" w:oddVBand="0" w:evenVBand="0" w:oddHBand="0" w:evenHBand="0" w:firstRowFirstColumn="0" w:firstRowLastColumn="0" w:lastRowFirstColumn="0" w:lastRowLastColumn="0"/>
            <w:tcW w:w="1418" w:type="dxa"/>
            <w:tcBorders>
              <w:left w:val="single" w:sz="4" w:space="0" w:color="FFFFFF" w:themeColor="background1"/>
            </w:tcBorders>
          </w:tcPr>
          <w:p w14:paraId="5450FB81" w14:textId="6A40A7B4" w:rsidR="007E1411" w:rsidRPr="00B275E2" w:rsidRDefault="007E1411" w:rsidP="007F0B1E">
            <w:pPr>
              <w:pStyle w:val="TableText"/>
              <w:spacing w:before="40" w:after="40"/>
              <w:rPr>
                <w:rFonts w:cs="Calibri"/>
                <w:b w:val="0"/>
                <w:szCs w:val="18"/>
              </w:rPr>
            </w:pPr>
            <w:r w:rsidRPr="00B275E2">
              <w:rPr>
                <w:rFonts w:cs="Calibri"/>
                <w:b w:val="0"/>
                <w:szCs w:val="18"/>
              </w:rPr>
              <w:t>Garden</w:t>
            </w:r>
          </w:p>
        </w:tc>
        <w:tc>
          <w:tcPr>
            <w:tcW w:w="3459" w:type="dxa"/>
          </w:tcPr>
          <w:p w14:paraId="41CD76CE" w14:textId="77777777" w:rsidR="007E1411" w:rsidRPr="00B275E2" w:rsidRDefault="007E1411"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Organic material</w:t>
            </w:r>
          </w:p>
        </w:tc>
        <w:tc>
          <w:tcPr>
            <w:tcW w:w="1696" w:type="dxa"/>
          </w:tcPr>
          <w:p w14:paraId="025388BE" w14:textId="283D9923" w:rsidR="007E1411" w:rsidRPr="00B275E2" w:rsidRDefault="003C1E68"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5.7</w:t>
            </w:r>
            <w:r w:rsidR="007E1411" w:rsidRPr="00B275E2">
              <w:rPr>
                <w:rFonts w:cs="Calibri"/>
                <w:szCs w:val="18"/>
              </w:rPr>
              <w:t>%</w:t>
            </w:r>
          </w:p>
        </w:tc>
        <w:tc>
          <w:tcPr>
            <w:tcW w:w="1847" w:type="dxa"/>
            <w:tcBorders>
              <w:right w:val="single" w:sz="4" w:space="0" w:color="FFFFFF" w:themeColor="background1"/>
            </w:tcBorders>
          </w:tcPr>
          <w:p w14:paraId="30788EE1" w14:textId="0251A7E8" w:rsidR="007E1411" w:rsidRPr="00B275E2" w:rsidRDefault="007E1411"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11.0%</w:t>
            </w:r>
          </w:p>
        </w:tc>
      </w:tr>
      <w:tr w:rsidR="007E1411" w:rsidRPr="00B275E2" w14:paraId="621FDF00" w14:textId="6B2D1751" w:rsidTr="00EC0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left w:val="single" w:sz="4" w:space="0" w:color="FFFFFF" w:themeColor="background1"/>
            </w:tcBorders>
          </w:tcPr>
          <w:p w14:paraId="0C9DA40C" w14:textId="4D6E8965" w:rsidR="007E1411" w:rsidRPr="00B275E2" w:rsidRDefault="007E1411" w:rsidP="007F0B1E">
            <w:pPr>
              <w:pStyle w:val="TableText"/>
              <w:spacing w:before="40" w:after="40"/>
              <w:rPr>
                <w:rFonts w:cs="Calibri"/>
                <w:b w:val="0"/>
                <w:szCs w:val="18"/>
              </w:rPr>
            </w:pPr>
            <w:r w:rsidRPr="00B275E2">
              <w:rPr>
                <w:rFonts w:cs="Calibri"/>
                <w:b w:val="0"/>
                <w:szCs w:val="18"/>
              </w:rPr>
              <w:t>Paper</w:t>
            </w:r>
          </w:p>
        </w:tc>
        <w:tc>
          <w:tcPr>
            <w:tcW w:w="3459" w:type="dxa"/>
          </w:tcPr>
          <w:p w14:paraId="16AB2645" w14:textId="77777777" w:rsidR="007E1411" w:rsidRPr="00B275E2" w:rsidRDefault="007E1411"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Paper and cardboard waste</w:t>
            </w:r>
          </w:p>
        </w:tc>
        <w:tc>
          <w:tcPr>
            <w:tcW w:w="1696" w:type="dxa"/>
          </w:tcPr>
          <w:p w14:paraId="3EE7EA9A" w14:textId="5E28AC5A" w:rsidR="007E1411" w:rsidRPr="00B275E2" w:rsidRDefault="003C1E68"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5.9</w:t>
            </w:r>
            <w:r w:rsidR="007E1411" w:rsidRPr="00B275E2">
              <w:rPr>
                <w:rFonts w:cs="Calibri"/>
                <w:szCs w:val="18"/>
              </w:rPr>
              <w:t>%</w:t>
            </w:r>
          </w:p>
        </w:tc>
        <w:tc>
          <w:tcPr>
            <w:tcW w:w="1847" w:type="dxa"/>
            <w:tcBorders>
              <w:right w:val="single" w:sz="4" w:space="0" w:color="FFFFFF" w:themeColor="background1"/>
            </w:tcBorders>
          </w:tcPr>
          <w:p w14:paraId="3BE47DCE" w14:textId="11A315B9" w:rsidR="007E1411" w:rsidRPr="00B275E2" w:rsidRDefault="007E1411"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r>
      <w:tr w:rsidR="007E1411" w:rsidRPr="00B275E2" w14:paraId="7EC75E02" w14:textId="4AFD0A84" w:rsidTr="00EC0FF5">
        <w:tc>
          <w:tcPr>
            <w:cnfStyle w:val="001000000000" w:firstRow="0" w:lastRow="0" w:firstColumn="1" w:lastColumn="0" w:oddVBand="0" w:evenVBand="0" w:oddHBand="0" w:evenHBand="0" w:firstRowFirstColumn="0" w:firstRowLastColumn="0" w:lastRowFirstColumn="0" w:lastRowLastColumn="0"/>
            <w:tcW w:w="1418" w:type="dxa"/>
            <w:tcBorders>
              <w:left w:val="single" w:sz="4" w:space="0" w:color="FFFFFF" w:themeColor="background1"/>
            </w:tcBorders>
          </w:tcPr>
          <w:p w14:paraId="7BBAE0A8" w14:textId="2499BBD6" w:rsidR="007E1411" w:rsidRPr="00B275E2" w:rsidRDefault="007E1411" w:rsidP="007F0B1E">
            <w:pPr>
              <w:pStyle w:val="TableText"/>
              <w:spacing w:before="40" w:after="40"/>
              <w:rPr>
                <w:rFonts w:cs="Calibri"/>
                <w:b w:val="0"/>
                <w:szCs w:val="18"/>
              </w:rPr>
            </w:pPr>
            <w:r w:rsidRPr="00B275E2">
              <w:rPr>
                <w:rFonts w:cs="Calibri"/>
                <w:b w:val="0"/>
                <w:szCs w:val="18"/>
              </w:rPr>
              <w:t>Wood</w:t>
            </w:r>
          </w:p>
        </w:tc>
        <w:tc>
          <w:tcPr>
            <w:tcW w:w="3459" w:type="dxa"/>
          </w:tcPr>
          <w:p w14:paraId="4B498F2E" w14:textId="77777777" w:rsidR="007E1411" w:rsidRPr="00B275E2" w:rsidRDefault="007E1411"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Wood waste</w:t>
            </w:r>
          </w:p>
        </w:tc>
        <w:tc>
          <w:tcPr>
            <w:tcW w:w="1696" w:type="dxa"/>
          </w:tcPr>
          <w:p w14:paraId="6006C52E" w14:textId="5968F453" w:rsidR="007E1411" w:rsidRPr="00B275E2" w:rsidRDefault="003C1E68"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12.6</w:t>
            </w:r>
            <w:r w:rsidR="007E1411" w:rsidRPr="00B275E2">
              <w:rPr>
                <w:rFonts w:cs="Calibri"/>
                <w:szCs w:val="18"/>
              </w:rPr>
              <w:t>%</w:t>
            </w:r>
          </w:p>
        </w:tc>
        <w:tc>
          <w:tcPr>
            <w:tcW w:w="1847" w:type="dxa"/>
            <w:tcBorders>
              <w:right w:val="single" w:sz="4" w:space="0" w:color="FFFFFF" w:themeColor="background1"/>
            </w:tcBorders>
          </w:tcPr>
          <w:p w14:paraId="68893627" w14:textId="2A72091E" w:rsidR="007E1411" w:rsidRPr="00B275E2" w:rsidRDefault="003C1E68"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6.1</w:t>
            </w:r>
            <w:r w:rsidR="007E1411" w:rsidRPr="00B275E2">
              <w:rPr>
                <w:rFonts w:cs="Calibri"/>
                <w:szCs w:val="18"/>
              </w:rPr>
              <w:t>%</w:t>
            </w:r>
          </w:p>
        </w:tc>
      </w:tr>
      <w:tr w:rsidR="007E1411" w:rsidRPr="00B275E2" w14:paraId="2FB6C3EB" w14:textId="29E221BD" w:rsidTr="00EC0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left w:val="single" w:sz="4" w:space="0" w:color="FFFFFF" w:themeColor="background1"/>
            </w:tcBorders>
          </w:tcPr>
          <w:p w14:paraId="416E6CEF" w14:textId="38C7D9E8" w:rsidR="007E1411" w:rsidRPr="00B275E2" w:rsidRDefault="007E1411" w:rsidP="007F0B1E">
            <w:pPr>
              <w:pStyle w:val="TableText"/>
              <w:spacing w:before="40" w:after="40"/>
              <w:rPr>
                <w:rFonts w:cs="Calibri"/>
                <w:b w:val="0"/>
                <w:szCs w:val="18"/>
              </w:rPr>
            </w:pPr>
            <w:r w:rsidRPr="00B275E2">
              <w:rPr>
                <w:rFonts w:cs="Calibri"/>
                <w:b w:val="0"/>
                <w:szCs w:val="18"/>
              </w:rPr>
              <w:t>Textile</w:t>
            </w:r>
          </w:p>
        </w:tc>
        <w:tc>
          <w:tcPr>
            <w:tcW w:w="3459" w:type="dxa"/>
          </w:tcPr>
          <w:p w14:paraId="4455F08E" w14:textId="77777777" w:rsidR="007E1411" w:rsidRPr="00B275E2" w:rsidRDefault="007E1411"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Fabrics and other textiles</w:t>
            </w:r>
          </w:p>
        </w:tc>
        <w:tc>
          <w:tcPr>
            <w:tcW w:w="1696" w:type="dxa"/>
          </w:tcPr>
          <w:p w14:paraId="2FFA485C" w14:textId="73D48C20" w:rsidR="007E1411" w:rsidRPr="00B275E2" w:rsidRDefault="001D3E15"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5.0</w:t>
            </w:r>
            <w:r w:rsidR="007E1411" w:rsidRPr="00B275E2">
              <w:rPr>
                <w:rFonts w:cs="Calibri"/>
                <w:szCs w:val="18"/>
              </w:rPr>
              <w:t>%</w:t>
            </w:r>
          </w:p>
        </w:tc>
        <w:tc>
          <w:tcPr>
            <w:tcW w:w="1847" w:type="dxa"/>
            <w:tcBorders>
              <w:right w:val="single" w:sz="4" w:space="0" w:color="FFFFFF" w:themeColor="background1"/>
            </w:tcBorders>
          </w:tcPr>
          <w:p w14:paraId="63351724" w14:textId="64762F38" w:rsidR="007E1411" w:rsidRPr="00B275E2" w:rsidRDefault="007E1411"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r>
      <w:tr w:rsidR="007E1411" w:rsidRPr="00B275E2" w14:paraId="68A5C362" w14:textId="5B1A496C" w:rsidTr="00EC0FF5">
        <w:tc>
          <w:tcPr>
            <w:cnfStyle w:val="001000000000" w:firstRow="0" w:lastRow="0" w:firstColumn="1" w:lastColumn="0" w:oddVBand="0" w:evenVBand="0" w:oddHBand="0" w:evenHBand="0" w:firstRowFirstColumn="0" w:firstRowLastColumn="0" w:lastRowFirstColumn="0" w:lastRowLastColumn="0"/>
            <w:tcW w:w="1418" w:type="dxa"/>
            <w:tcBorders>
              <w:left w:val="single" w:sz="4" w:space="0" w:color="FFFFFF" w:themeColor="background1"/>
            </w:tcBorders>
          </w:tcPr>
          <w:p w14:paraId="1186E7B0" w14:textId="65FF78F6" w:rsidR="007E1411" w:rsidRPr="00B275E2" w:rsidRDefault="007E1411" w:rsidP="007F0B1E">
            <w:pPr>
              <w:pStyle w:val="TableText"/>
              <w:spacing w:before="40" w:after="40"/>
              <w:rPr>
                <w:rFonts w:cs="Calibri"/>
                <w:b w:val="0"/>
                <w:szCs w:val="18"/>
              </w:rPr>
            </w:pPr>
            <w:r w:rsidRPr="00B275E2">
              <w:rPr>
                <w:rFonts w:cs="Calibri"/>
                <w:b w:val="0"/>
                <w:szCs w:val="18"/>
              </w:rPr>
              <w:t>Nappies</w:t>
            </w:r>
          </w:p>
        </w:tc>
        <w:tc>
          <w:tcPr>
            <w:tcW w:w="3459" w:type="dxa"/>
          </w:tcPr>
          <w:p w14:paraId="7F731231" w14:textId="77777777" w:rsidR="007E1411" w:rsidRPr="00B275E2" w:rsidRDefault="007E1411"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Nappies and similar sanitary waste</w:t>
            </w:r>
          </w:p>
        </w:tc>
        <w:tc>
          <w:tcPr>
            <w:tcW w:w="1696" w:type="dxa"/>
          </w:tcPr>
          <w:p w14:paraId="7C8DD809" w14:textId="3C10ABB9" w:rsidR="007E1411" w:rsidRPr="00B275E2" w:rsidRDefault="001D3E15"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2.5</w:t>
            </w:r>
            <w:r w:rsidR="007E1411" w:rsidRPr="00B275E2">
              <w:rPr>
                <w:rFonts w:cs="Calibri"/>
                <w:szCs w:val="18"/>
              </w:rPr>
              <w:t>%</w:t>
            </w:r>
          </w:p>
        </w:tc>
        <w:tc>
          <w:tcPr>
            <w:tcW w:w="1847" w:type="dxa"/>
            <w:tcBorders>
              <w:right w:val="single" w:sz="4" w:space="0" w:color="FFFFFF" w:themeColor="background1"/>
            </w:tcBorders>
          </w:tcPr>
          <w:p w14:paraId="1A7F92CC" w14:textId="24FE6E68" w:rsidR="007E1411" w:rsidRPr="00B275E2" w:rsidRDefault="007E1411"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n/a</w:t>
            </w:r>
          </w:p>
        </w:tc>
      </w:tr>
      <w:tr w:rsidR="001D3E15" w:rsidRPr="00B275E2" w14:paraId="6BB95EF1" w14:textId="77777777" w:rsidTr="00EC0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left w:val="single" w:sz="4" w:space="0" w:color="FFFFFF" w:themeColor="background1"/>
            </w:tcBorders>
          </w:tcPr>
          <w:p w14:paraId="251ACB2A" w14:textId="273463F8" w:rsidR="001D3E15" w:rsidRPr="00B275E2" w:rsidRDefault="001D3E15" w:rsidP="007F0B1E">
            <w:pPr>
              <w:pStyle w:val="TableText"/>
              <w:spacing w:before="40" w:after="40"/>
              <w:rPr>
                <w:rFonts w:cs="Calibri"/>
                <w:b w:val="0"/>
                <w:bCs w:val="0"/>
                <w:szCs w:val="18"/>
              </w:rPr>
            </w:pPr>
            <w:r w:rsidRPr="00B275E2">
              <w:rPr>
                <w:rFonts w:cs="Calibri"/>
                <w:b w:val="0"/>
                <w:bCs w:val="0"/>
                <w:szCs w:val="18"/>
              </w:rPr>
              <w:t>Sludge</w:t>
            </w:r>
          </w:p>
        </w:tc>
        <w:tc>
          <w:tcPr>
            <w:tcW w:w="3459" w:type="dxa"/>
          </w:tcPr>
          <w:p w14:paraId="0FF0DACF" w14:textId="16982A01" w:rsidR="001D3E15" w:rsidRPr="00B275E2" w:rsidRDefault="001D3E15"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Sludges from sewer/septic tanks and offal and meat</w:t>
            </w:r>
            <w:r w:rsidR="00067518" w:rsidRPr="00B275E2">
              <w:rPr>
                <w:rFonts w:cs="Calibri"/>
                <w:szCs w:val="18"/>
              </w:rPr>
              <w:t>-</w:t>
            </w:r>
            <w:r w:rsidRPr="00B275E2">
              <w:rPr>
                <w:rFonts w:cs="Calibri"/>
                <w:szCs w:val="18"/>
              </w:rPr>
              <w:t>based waste</w:t>
            </w:r>
          </w:p>
        </w:tc>
        <w:tc>
          <w:tcPr>
            <w:tcW w:w="1696" w:type="dxa"/>
          </w:tcPr>
          <w:p w14:paraId="2606F4CB" w14:textId="4A373B39" w:rsidR="001D3E15" w:rsidRPr="00B275E2" w:rsidRDefault="001D3E15"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1.9%</w:t>
            </w:r>
          </w:p>
        </w:tc>
        <w:tc>
          <w:tcPr>
            <w:tcW w:w="1847" w:type="dxa"/>
            <w:tcBorders>
              <w:right w:val="single" w:sz="4" w:space="0" w:color="FFFFFF" w:themeColor="background1"/>
            </w:tcBorders>
          </w:tcPr>
          <w:p w14:paraId="73E9CF0F" w14:textId="52D54528" w:rsidR="001D3E15" w:rsidRPr="00B275E2" w:rsidRDefault="00A67D40"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5.0%</w:t>
            </w:r>
          </w:p>
        </w:tc>
      </w:tr>
      <w:tr w:rsidR="007E1411" w:rsidRPr="00B275E2" w14:paraId="2FCA2851" w14:textId="4F1A96BF" w:rsidTr="00EC0FF5">
        <w:tc>
          <w:tcPr>
            <w:cnfStyle w:val="001000000000" w:firstRow="0" w:lastRow="0" w:firstColumn="1" w:lastColumn="0" w:oddVBand="0" w:evenVBand="0" w:oddHBand="0" w:evenHBand="0" w:firstRowFirstColumn="0" w:firstRowLastColumn="0" w:lastRowFirstColumn="0" w:lastRowLastColumn="0"/>
            <w:tcW w:w="1418" w:type="dxa"/>
            <w:tcBorders>
              <w:left w:val="single" w:sz="4" w:space="0" w:color="FFFFFF" w:themeColor="background1"/>
            </w:tcBorders>
          </w:tcPr>
          <w:p w14:paraId="3A457905" w14:textId="14D073D9" w:rsidR="007E1411" w:rsidRPr="00B275E2" w:rsidRDefault="007E1411" w:rsidP="007F0B1E">
            <w:pPr>
              <w:pStyle w:val="TableText"/>
              <w:spacing w:before="40" w:after="40"/>
              <w:rPr>
                <w:rFonts w:cs="Calibri"/>
                <w:b w:val="0"/>
                <w:szCs w:val="18"/>
              </w:rPr>
            </w:pPr>
            <w:r w:rsidRPr="00B275E2">
              <w:rPr>
                <w:rFonts w:cs="Calibri"/>
                <w:b w:val="0"/>
                <w:szCs w:val="18"/>
              </w:rPr>
              <w:t>Inert</w:t>
            </w:r>
          </w:p>
        </w:tc>
        <w:tc>
          <w:tcPr>
            <w:tcW w:w="3459" w:type="dxa"/>
          </w:tcPr>
          <w:p w14:paraId="1640764E" w14:textId="109DDAAE" w:rsidR="007E1411" w:rsidRPr="00B275E2" w:rsidRDefault="007E1411"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 xml:space="preserve">Waste that does not produce </w:t>
            </w:r>
            <w:r w:rsidR="00831325" w:rsidRPr="00B275E2">
              <w:rPr>
                <w:rFonts w:cs="Calibri"/>
                <w:szCs w:val="18"/>
              </w:rPr>
              <w:t>GHG</w:t>
            </w:r>
            <w:r w:rsidRPr="00B275E2">
              <w:rPr>
                <w:rFonts w:cs="Calibri"/>
                <w:szCs w:val="18"/>
              </w:rPr>
              <w:t xml:space="preserve"> emissions </w:t>
            </w:r>
          </w:p>
        </w:tc>
        <w:tc>
          <w:tcPr>
            <w:tcW w:w="1696" w:type="dxa"/>
          </w:tcPr>
          <w:p w14:paraId="42075EBC" w14:textId="4CC7E734" w:rsidR="007E1411" w:rsidRPr="00B275E2" w:rsidRDefault="00A67D40"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57.3</w:t>
            </w:r>
            <w:r w:rsidR="007E1411" w:rsidRPr="00B275E2">
              <w:rPr>
                <w:rFonts w:cs="Calibri"/>
                <w:szCs w:val="18"/>
              </w:rPr>
              <w:t>%</w:t>
            </w:r>
          </w:p>
        </w:tc>
        <w:tc>
          <w:tcPr>
            <w:tcW w:w="1847" w:type="dxa"/>
            <w:tcBorders>
              <w:right w:val="single" w:sz="4" w:space="0" w:color="FFFFFF" w:themeColor="background1"/>
            </w:tcBorders>
          </w:tcPr>
          <w:p w14:paraId="4A15F175" w14:textId="2BFDA2EA" w:rsidR="007E1411" w:rsidRPr="00B275E2" w:rsidRDefault="00A67D40"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67.4</w:t>
            </w:r>
            <w:r w:rsidR="007E1411" w:rsidRPr="00B275E2">
              <w:rPr>
                <w:rFonts w:cs="Calibri"/>
                <w:szCs w:val="18"/>
              </w:rPr>
              <w:t>%</w:t>
            </w:r>
          </w:p>
        </w:tc>
      </w:tr>
      <w:tr w:rsidR="00963959" w:rsidRPr="00B275E2" w14:paraId="2EDB5F12" w14:textId="77777777" w:rsidTr="00EC0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left w:val="single" w:sz="4" w:space="0" w:color="FFFFFF" w:themeColor="background1"/>
            </w:tcBorders>
          </w:tcPr>
          <w:p w14:paraId="5B111275" w14:textId="0EF5DD03" w:rsidR="00963959" w:rsidRPr="00B275E2" w:rsidRDefault="00963959" w:rsidP="007F0B1E">
            <w:pPr>
              <w:pStyle w:val="TableText"/>
              <w:spacing w:before="40" w:after="40"/>
              <w:rPr>
                <w:rFonts w:cs="Calibri"/>
                <w:b w:val="0"/>
                <w:bCs w:val="0"/>
                <w:szCs w:val="18"/>
              </w:rPr>
            </w:pPr>
            <w:r w:rsidRPr="00B275E2">
              <w:rPr>
                <w:rFonts w:cs="Calibri"/>
                <w:b w:val="0"/>
                <w:bCs w:val="0"/>
                <w:szCs w:val="18"/>
              </w:rPr>
              <w:lastRenderedPageBreak/>
              <w:t>C &amp; D</w:t>
            </w:r>
          </w:p>
        </w:tc>
        <w:tc>
          <w:tcPr>
            <w:tcW w:w="3459" w:type="dxa"/>
          </w:tcPr>
          <w:p w14:paraId="38FE061E" w14:textId="092C81B4" w:rsidR="00963959" w:rsidRPr="00B275E2" w:rsidRDefault="00963959"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Construction and demolition waste</w:t>
            </w:r>
          </w:p>
        </w:tc>
        <w:tc>
          <w:tcPr>
            <w:tcW w:w="1696" w:type="dxa"/>
          </w:tcPr>
          <w:p w14:paraId="043D9128" w14:textId="0B78800E" w:rsidR="00963959" w:rsidRPr="00B275E2" w:rsidRDefault="00963959"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c>
          <w:tcPr>
            <w:tcW w:w="1847" w:type="dxa"/>
            <w:tcBorders>
              <w:right w:val="single" w:sz="4" w:space="0" w:color="FFFFFF" w:themeColor="background1"/>
            </w:tcBorders>
          </w:tcPr>
          <w:p w14:paraId="48F6605B" w14:textId="3D05CC6E" w:rsidR="00963959" w:rsidRPr="00B275E2" w:rsidRDefault="00A67D40"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9.9</w:t>
            </w:r>
            <w:r w:rsidR="00963959" w:rsidRPr="00B275E2">
              <w:rPr>
                <w:rFonts w:cs="Calibri"/>
                <w:szCs w:val="18"/>
              </w:rPr>
              <w:t>%</w:t>
            </w:r>
          </w:p>
        </w:tc>
      </w:tr>
      <w:tr w:rsidR="00963959" w:rsidRPr="00B275E2" w14:paraId="3EAE4AA3" w14:textId="77777777" w:rsidTr="00EC0FF5">
        <w:tc>
          <w:tcPr>
            <w:cnfStyle w:val="001000000000" w:firstRow="0" w:lastRow="0" w:firstColumn="1" w:lastColumn="0" w:oddVBand="0" w:evenVBand="0" w:oddHBand="0" w:evenHBand="0" w:firstRowFirstColumn="0" w:firstRowLastColumn="0" w:lastRowFirstColumn="0" w:lastRowLastColumn="0"/>
            <w:tcW w:w="1418" w:type="dxa"/>
            <w:tcBorders>
              <w:left w:val="single" w:sz="4" w:space="0" w:color="FFFFFF" w:themeColor="background1"/>
            </w:tcBorders>
          </w:tcPr>
          <w:p w14:paraId="14937239" w14:textId="19DB8281" w:rsidR="00963959" w:rsidRPr="00B275E2" w:rsidRDefault="00963959" w:rsidP="007F0B1E">
            <w:pPr>
              <w:pStyle w:val="TableText"/>
              <w:spacing w:before="40" w:after="40"/>
              <w:rPr>
                <w:rFonts w:cs="Calibri"/>
                <w:b w:val="0"/>
                <w:bCs w:val="0"/>
                <w:szCs w:val="18"/>
              </w:rPr>
            </w:pPr>
            <w:r w:rsidRPr="00B275E2">
              <w:rPr>
                <w:rFonts w:cs="Calibri"/>
                <w:b w:val="0"/>
                <w:bCs w:val="0"/>
                <w:szCs w:val="18"/>
              </w:rPr>
              <w:t>Industrial</w:t>
            </w:r>
          </w:p>
        </w:tc>
        <w:tc>
          <w:tcPr>
            <w:tcW w:w="3459" w:type="dxa"/>
          </w:tcPr>
          <w:p w14:paraId="7791BF2F" w14:textId="152A5260" w:rsidR="00963959" w:rsidRPr="00B275E2" w:rsidRDefault="00963959"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Where specific type of industrial is unknown</w:t>
            </w:r>
          </w:p>
        </w:tc>
        <w:tc>
          <w:tcPr>
            <w:tcW w:w="1696" w:type="dxa"/>
          </w:tcPr>
          <w:p w14:paraId="2D605D0B" w14:textId="13A6F99B" w:rsidR="00963959" w:rsidRPr="00B275E2" w:rsidRDefault="00963959"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n/a</w:t>
            </w:r>
          </w:p>
        </w:tc>
        <w:tc>
          <w:tcPr>
            <w:tcW w:w="1847" w:type="dxa"/>
            <w:tcBorders>
              <w:right w:val="single" w:sz="4" w:space="0" w:color="FFFFFF" w:themeColor="background1"/>
            </w:tcBorders>
          </w:tcPr>
          <w:p w14:paraId="64DE4948" w14:textId="22806CB5" w:rsidR="00963959" w:rsidRPr="00B275E2" w:rsidRDefault="00CF79A0"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0.7</w:t>
            </w:r>
            <w:r w:rsidR="00963959" w:rsidRPr="00B275E2">
              <w:rPr>
                <w:rFonts w:cs="Calibri"/>
                <w:szCs w:val="18"/>
              </w:rPr>
              <w:t>%</w:t>
            </w:r>
          </w:p>
        </w:tc>
      </w:tr>
      <w:tr w:rsidR="00963959" w:rsidRPr="00B275E2" w14:paraId="5F3662A5" w14:textId="77777777" w:rsidTr="00EC0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left w:val="single" w:sz="4" w:space="0" w:color="FFFFFF" w:themeColor="background1"/>
            </w:tcBorders>
          </w:tcPr>
          <w:p w14:paraId="62608612" w14:textId="47548AB1" w:rsidR="00963959" w:rsidRPr="00B275E2" w:rsidRDefault="00963959" w:rsidP="007F0B1E">
            <w:pPr>
              <w:pStyle w:val="TableText"/>
              <w:spacing w:before="40" w:after="40"/>
              <w:rPr>
                <w:rFonts w:cs="Calibri"/>
                <w:b w:val="0"/>
                <w:bCs w:val="0"/>
                <w:szCs w:val="18"/>
              </w:rPr>
            </w:pPr>
            <w:r w:rsidRPr="00B275E2">
              <w:rPr>
                <w:rFonts w:cs="Calibri"/>
                <w:b w:val="0"/>
                <w:bCs w:val="0"/>
                <w:szCs w:val="18"/>
              </w:rPr>
              <w:t>Bulk waste</w:t>
            </w:r>
          </w:p>
        </w:tc>
        <w:tc>
          <w:tcPr>
            <w:tcW w:w="3459" w:type="dxa"/>
          </w:tcPr>
          <w:p w14:paraId="2C043E80" w14:textId="115981B2" w:rsidR="00963959" w:rsidRPr="00B275E2" w:rsidRDefault="00963959"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General domestic and farm waste</w:t>
            </w:r>
          </w:p>
        </w:tc>
        <w:tc>
          <w:tcPr>
            <w:tcW w:w="1696" w:type="dxa"/>
          </w:tcPr>
          <w:p w14:paraId="39DE85CC" w14:textId="31D13187" w:rsidR="00963959" w:rsidRPr="00B275E2" w:rsidRDefault="00963959"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c>
          <w:tcPr>
            <w:tcW w:w="1847" w:type="dxa"/>
            <w:tcBorders>
              <w:right w:val="single" w:sz="4" w:space="0" w:color="FFFFFF" w:themeColor="background1"/>
            </w:tcBorders>
          </w:tcPr>
          <w:p w14:paraId="28BFC006" w14:textId="33D71FF1" w:rsidR="00963959" w:rsidRPr="00B275E2" w:rsidRDefault="00CF79A0"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0.1</w:t>
            </w:r>
            <w:r w:rsidR="00963959" w:rsidRPr="00B275E2">
              <w:rPr>
                <w:rFonts w:cs="Calibri"/>
                <w:szCs w:val="18"/>
              </w:rPr>
              <w:t>%</w:t>
            </w:r>
          </w:p>
        </w:tc>
      </w:tr>
    </w:tbl>
    <w:p w14:paraId="2E1A6ED8" w14:textId="1089CFCB" w:rsidR="006612CE" w:rsidRPr="00B275E2" w:rsidRDefault="006612CE" w:rsidP="007F0B1E">
      <w:pPr>
        <w:pStyle w:val="Note"/>
      </w:pPr>
      <w:bookmarkStart w:id="588" w:name="_Toc532904954"/>
      <w:r w:rsidRPr="00B275E2">
        <w:t>Note: The composition for municipal landfills was based on a survey of 2018 data, and the composition for non-municipal landfills is held constant since 2015.</w:t>
      </w:r>
      <w:r w:rsidR="00C96964" w:rsidRPr="00B275E2">
        <w:t xml:space="preserve"> Columns ma</w:t>
      </w:r>
      <w:r w:rsidR="00854787" w:rsidRPr="00B275E2">
        <w:t>y</w:t>
      </w:r>
      <w:r w:rsidR="00C96964" w:rsidRPr="00B275E2">
        <w:t xml:space="preserve"> not total to 100% due to rounding.</w:t>
      </w:r>
    </w:p>
    <w:p w14:paraId="78DEB328" w14:textId="25271CE5" w:rsidR="00427631" w:rsidRPr="00B275E2" w:rsidRDefault="00427631" w:rsidP="00BF5F39">
      <w:pPr>
        <w:pStyle w:val="BodyText"/>
      </w:pPr>
      <w:r w:rsidRPr="00B275E2">
        <w:t xml:space="preserve">Substances such as plastics, metals and glass are inert because their decomposition </w:t>
      </w:r>
      <w:r w:rsidR="00CF79A0" w:rsidRPr="00B275E2">
        <w:t xml:space="preserve">in landfill </w:t>
      </w:r>
      <w:r w:rsidRPr="00B275E2">
        <w:t>does not directly produce GHG emissions. Only waste that contains degradable organic carbon produces methane as it breaks down.</w:t>
      </w:r>
    </w:p>
    <w:p w14:paraId="128BEEE2" w14:textId="77777777" w:rsidR="00427631" w:rsidRPr="00B275E2" w:rsidRDefault="00427631" w:rsidP="007F0B1E">
      <w:pPr>
        <w:pStyle w:val="BodyText"/>
      </w:pPr>
      <w:r w:rsidRPr="00B275E2">
        <w:t>We provide no methodology for nitrous oxide emissions from waste disposal because the IPCC</w:t>
      </w:r>
      <w:r w:rsidRPr="00B275E2">
        <w:rPr>
          <w:rStyle w:val="FootnoteReference"/>
          <w:color w:val="auto"/>
        </w:rPr>
        <w:footnoteReference w:id="71"/>
      </w:r>
      <w:r w:rsidRPr="00B275E2">
        <w:t xml:space="preserve"> has found them to be insignificant. </w:t>
      </w:r>
    </w:p>
    <w:p w14:paraId="14407618" w14:textId="5E731F3C" w:rsidR="00A959E4" w:rsidRPr="00B275E2" w:rsidRDefault="00A959E4" w:rsidP="00D411C0">
      <w:pPr>
        <w:pStyle w:val="Heading3"/>
      </w:pPr>
      <w:r w:rsidRPr="00B275E2">
        <w:t>Whe</w:t>
      </w:r>
      <w:r w:rsidR="000C3EF0" w:rsidRPr="00B275E2">
        <w:t>n</w:t>
      </w:r>
      <w:r w:rsidRPr="00B275E2">
        <w:t xml:space="preserve"> composition of waste is known</w:t>
      </w:r>
      <w:bookmarkEnd w:id="588"/>
      <w:r w:rsidRPr="00B275E2">
        <w:t xml:space="preserve"> </w:t>
      </w:r>
    </w:p>
    <w:p w14:paraId="07FF4433" w14:textId="19A8B424" w:rsidR="00A959E4" w:rsidRPr="00B275E2" w:rsidRDefault="000C3EF0" w:rsidP="007F0B1E">
      <w:pPr>
        <w:pStyle w:val="BodyText"/>
      </w:pPr>
      <w:r w:rsidRPr="00B275E2">
        <w:t xml:space="preserve">If </w:t>
      </w:r>
      <w:r w:rsidR="00A959E4" w:rsidRPr="00B275E2">
        <w:t>the composition of waste is known</w:t>
      </w:r>
      <w:r w:rsidRPr="00B275E2">
        <w:t>,</w:t>
      </w:r>
      <w:r w:rsidR="00A959E4" w:rsidRPr="00B275E2">
        <w:t xml:space="preserve"> use the specific emission factors for each waste stream based on k</w:t>
      </w:r>
      <w:r w:rsidR="00624544" w:rsidRPr="00B275E2">
        <w:t>ilo</w:t>
      </w:r>
      <w:r w:rsidR="00A959E4" w:rsidRPr="00B275E2">
        <w:t>g</w:t>
      </w:r>
      <w:r w:rsidR="00624544" w:rsidRPr="00B275E2">
        <w:t>rams</w:t>
      </w:r>
      <w:r w:rsidR="00A959E4" w:rsidRPr="00B275E2">
        <w:t xml:space="preserve"> of waste produced. </w:t>
      </w:r>
    </w:p>
    <w:p w14:paraId="66E804F5" w14:textId="065F4F3C" w:rsidR="00A959E4" w:rsidRPr="00B275E2" w:rsidRDefault="00A959E4" w:rsidP="007F0B1E">
      <w:pPr>
        <w:pStyle w:val="BodyText"/>
      </w:pPr>
      <w:bookmarkStart w:id="589" w:name="_Hlk532894824"/>
      <w:r w:rsidRPr="00B275E2">
        <w:t xml:space="preserve">If </w:t>
      </w:r>
      <w:r w:rsidR="000C3EF0" w:rsidRPr="00B275E2">
        <w:t xml:space="preserve">an </w:t>
      </w:r>
      <w:r w:rsidRPr="00B275E2">
        <w:t>organisation does not know what type of landfill the</w:t>
      </w:r>
      <w:r w:rsidR="00A80972" w:rsidRPr="00B275E2">
        <w:t>y send</w:t>
      </w:r>
      <w:r w:rsidRPr="00B275E2">
        <w:t xml:space="preserve"> waste to</w:t>
      </w:r>
      <w:r w:rsidR="00A80972" w:rsidRPr="00B275E2">
        <w:t>,</w:t>
      </w:r>
      <w:r w:rsidRPr="00B275E2">
        <w:t xml:space="preserve"> they should use the emission factor for without </w:t>
      </w:r>
      <w:r w:rsidR="00A80972" w:rsidRPr="00B275E2">
        <w:t xml:space="preserve">gas </w:t>
      </w:r>
      <w:r w:rsidRPr="00B275E2">
        <w:t>recovery</w:t>
      </w:r>
      <w:r w:rsidR="000C3EF0" w:rsidRPr="00B275E2">
        <w:t>,</w:t>
      </w:r>
      <w:r w:rsidRPr="00B275E2">
        <w:t xml:space="preserve"> which will give a more conservative estimate</w:t>
      </w:r>
      <w:bookmarkEnd w:id="589"/>
      <w:r w:rsidRPr="00B275E2">
        <w:t xml:space="preserve">. </w:t>
      </w:r>
    </w:p>
    <w:p w14:paraId="6E132030" w14:textId="2B3EDEF4" w:rsidR="00A959E4" w:rsidRPr="00B275E2" w:rsidRDefault="00A80972" w:rsidP="00BF5F39">
      <w:pPr>
        <w:pStyle w:val="BodyText"/>
        <w:spacing w:after="240"/>
      </w:pPr>
      <w:r w:rsidRPr="00B275E2">
        <w:t>We generated e</w:t>
      </w:r>
      <w:r w:rsidR="00A959E4" w:rsidRPr="00B275E2">
        <w:t>mission factors for each waste category</w:t>
      </w:r>
      <w:r w:rsidR="000C3EF0" w:rsidRPr="00B275E2">
        <w:t>,</w:t>
      </w:r>
      <w:r w:rsidR="00A959E4" w:rsidRPr="00B275E2">
        <w:t xml:space="preserve"> following a simplification of the IPCC First Order Decay model.</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505"/>
      </w:tblGrid>
      <w:tr w:rsidR="00B6727F" w:rsidRPr="00B275E2" w14:paraId="36901E18" w14:textId="77777777" w:rsidTr="00BF5F39">
        <w:tc>
          <w:tcPr>
            <w:tcW w:w="0" w:type="auto"/>
            <w:shd w:val="clear" w:color="auto" w:fill="D2DDE1" w:themeFill="background2"/>
          </w:tcPr>
          <w:p w14:paraId="572160EC" w14:textId="70AF2F6C" w:rsidR="00B6727F" w:rsidRPr="00B275E2" w:rsidRDefault="00A403E2" w:rsidP="007F0B1E">
            <w:pPr>
              <w:pStyle w:val="Blueboxtext"/>
              <w:ind w:left="0"/>
            </w:pPr>
            <m:oMathPara>
              <m:oMathParaPr>
                <m:jc m:val="left"/>
              </m:oMathParaPr>
              <m:oMath>
                <m:r>
                  <w:rPr>
                    <w:rFonts w:ascii="Cambria Math" w:hAnsi="Cambria Math"/>
                  </w:rPr>
                  <m:t>emission</m:t>
                </m:r>
                <m:r>
                  <m:rPr>
                    <m:sty m:val="p"/>
                  </m:rPr>
                  <w:rPr>
                    <w:rFonts w:ascii="Cambria Math" w:hAnsi="Cambria Math"/>
                  </w:rPr>
                  <m:t xml:space="preserve"> </m:t>
                </m:r>
                <m:r>
                  <w:rPr>
                    <w:rFonts w:ascii="Cambria Math" w:hAnsi="Cambria Math"/>
                  </w:rPr>
                  <m:t>factor</m:t>
                </m:r>
                <m:r>
                  <m:rPr>
                    <m:sty m:val="p"/>
                  </m:rPr>
                  <w:rPr>
                    <w:rFonts w:ascii="Cambria Math" w:hAnsi="Cambria Math"/>
                  </w:rPr>
                  <m:t xml:space="preserve">= </m:t>
                </m:r>
                <m:r>
                  <w:rPr>
                    <w:rFonts w:ascii="Cambria Math" w:hAnsi="Cambria Math"/>
                  </w:rPr>
                  <m:t>DOC</m:t>
                </m:r>
                <m:r>
                  <m:rPr>
                    <m:sty m:val="p"/>
                  </m:rPr>
                  <w:rPr>
                    <w:rFonts w:ascii="Cambria Math" w:hAnsi="Cambria Math"/>
                  </w:rPr>
                  <m:t xml:space="preserve"> × </m:t>
                </m:r>
                <m:r>
                  <w:rPr>
                    <w:rFonts w:ascii="Cambria Math" w:hAnsi="Cambria Math"/>
                  </w:rPr>
                  <m:t>DOCf</m:t>
                </m:r>
                <m:r>
                  <m:rPr>
                    <m:sty m:val="p"/>
                  </m:rPr>
                  <w:rPr>
                    <w:rFonts w:ascii="Cambria Math" w:hAnsi="Cambria Math"/>
                  </w:rPr>
                  <m:t xml:space="preserve"> × </m:t>
                </m:r>
                <m:r>
                  <w:rPr>
                    <w:rFonts w:ascii="Cambria Math" w:hAnsi="Cambria Math"/>
                  </w:rPr>
                  <m:t>F</m:t>
                </m:r>
                <m:r>
                  <m:rPr>
                    <m:sty m:val="p"/>
                  </m:rPr>
                  <w:rPr>
                    <w:rFonts w:ascii="Cambria Math" w:hAnsi="Cambria Math"/>
                  </w:rPr>
                  <m:t xml:space="preserve"> × </m:t>
                </m:r>
                <m:r>
                  <w:rPr>
                    <w:rFonts w:ascii="Cambria Math" w:hAnsi="Cambria Math"/>
                  </w:rPr>
                  <m:t>MCF</m:t>
                </m:r>
                <m:r>
                  <m:rPr>
                    <m:sty m:val="p"/>
                  </m:rPr>
                  <w:rPr>
                    <w:rFonts w:ascii="Cambria Math" w:hAnsi="Cambria Math"/>
                  </w:rPr>
                  <m:t xml:space="preserve"> × </m:t>
                </m:r>
                <m:r>
                  <w:rPr>
                    <w:rFonts w:ascii="Cambria Math" w:hAnsi="Cambria Math"/>
                  </w:rPr>
                  <m:t>conversion</m:t>
                </m:r>
                <m:r>
                  <m:rPr>
                    <m:sty m:val="p"/>
                  </m:rPr>
                  <w:rPr>
                    <w:rFonts w:ascii="Cambria Math" w:hAnsi="Cambria Math"/>
                  </w:rPr>
                  <m:t xml:space="preserve"> × </m:t>
                </m:r>
                <m:d>
                  <m:dPr>
                    <m:ctrlPr>
                      <w:rPr>
                        <w:rFonts w:ascii="Cambria Math" w:hAnsi="Cambria Math"/>
                      </w:rPr>
                    </m:ctrlPr>
                  </m:dPr>
                  <m:e>
                    <m:r>
                      <m:rPr>
                        <m:sty m:val="p"/>
                      </m:rPr>
                      <w:rPr>
                        <w:rFonts w:ascii="Cambria Math" w:hAnsi="Cambria Math"/>
                      </w:rPr>
                      <m:t>1-</m:t>
                    </m:r>
                    <m:r>
                      <w:rPr>
                        <w:rFonts w:ascii="Cambria Math" w:hAnsi="Cambria Math"/>
                      </w:rPr>
                      <m:t>oxidation</m:t>
                    </m:r>
                  </m:e>
                </m:d>
                <m:r>
                  <m:rPr>
                    <m:sty m:val="p"/>
                  </m:rPr>
                  <w:rPr>
                    <w:rFonts w:ascii="Cambria Math" w:hAnsi="Cambria Math"/>
                  </w:rPr>
                  <m:t>× (1-</m:t>
                </m:r>
                <m:r>
                  <w:rPr>
                    <w:rFonts w:ascii="Cambria Math" w:hAnsi="Cambria Math"/>
                  </w:rPr>
                  <m:t>recovery</m:t>
                </m:r>
                <m:r>
                  <m:rPr>
                    <m:sty m:val="p"/>
                  </m:rPr>
                  <w:rPr>
                    <w:rFonts w:ascii="Cambria Math" w:hAnsi="Cambria Math"/>
                  </w:rPr>
                  <m:t>) ×</m:t>
                </m:r>
                <m:r>
                  <w:rPr>
                    <w:rFonts w:ascii="Cambria Math" w:hAnsi="Cambria Math"/>
                  </w:rPr>
                  <m:t>GWP</m:t>
                </m:r>
              </m:oMath>
            </m:oMathPara>
          </w:p>
        </w:tc>
      </w:tr>
    </w:tbl>
    <w:p w14:paraId="4D6A867C" w14:textId="77777777" w:rsidR="00A959E4" w:rsidRPr="00B275E2" w:rsidRDefault="00A959E4" w:rsidP="00E27A32">
      <w:pPr>
        <w:pStyle w:val="BodyText"/>
        <w:keepNext/>
        <w:spacing w:before="240" w:after="100"/>
      </w:pPr>
      <w:r w:rsidRPr="00B275E2">
        <w:t xml:space="preserve">Where: </w:t>
      </w:r>
    </w:p>
    <w:p w14:paraId="0AB62FEC" w14:textId="54ED72B1" w:rsidR="00A959E4" w:rsidRPr="00B275E2" w:rsidRDefault="00A959E4" w:rsidP="00E27A32">
      <w:pPr>
        <w:pStyle w:val="Bullet"/>
        <w:spacing w:after="100"/>
      </w:pPr>
      <w:r w:rsidRPr="00B275E2">
        <w:t xml:space="preserve">DOC = </w:t>
      </w:r>
      <w:r w:rsidR="00CF79A0" w:rsidRPr="00B275E2">
        <w:t xml:space="preserve">amount of </w:t>
      </w:r>
      <w:r w:rsidRPr="00B275E2">
        <w:t>degradable organic carbon</w:t>
      </w:r>
      <w:r w:rsidR="00CF79A0" w:rsidRPr="00B275E2">
        <w:t xml:space="preserve"> in the material</w:t>
      </w:r>
    </w:p>
    <w:p w14:paraId="0A59214B" w14:textId="1DEF7AAB" w:rsidR="00A959E4" w:rsidRPr="00B275E2" w:rsidRDefault="00A959E4" w:rsidP="00E27A32">
      <w:pPr>
        <w:pStyle w:val="Bullet"/>
        <w:spacing w:after="100"/>
      </w:pPr>
      <w:r w:rsidRPr="00B275E2">
        <w:t>DOC</w:t>
      </w:r>
      <w:r w:rsidR="00CF79A0" w:rsidRPr="00B275E2">
        <w:t>f</w:t>
      </w:r>
      <w:r w:rsidRPr="00B275E2">
        <w:t xml:space="preserve"> = fraction of DOC </w:t>
      </w:r>
      <w:r w:rsidR="00CF79A0" w:rsidRPr="00B275E2">
        <w:t>that degrades in landfill</w:t>
      </w:r>
    </w:p>
    <w:p w14:paraId="185EE256" w14:textId="0741A214" w:rsidR="00A959E4" w:rsidRPr="00B275E2" w:rsidRDefault="00A959E4" w:rsidP="00E27A32">
      <w:pPr>
        <w:pStyle w:val="Bullet"/>
        <w:spacing w:after="100"/>
      </w:pPr>
      <w:r w:rsidRPr="00B275E2">
        <w:t xml:space="preserve">F = fraction of CH4 in </w:t>
      </w:r>
      <w:r w:rsidR="00CF79A0" w:rsidRPr="00B275E2">
        <w:t xml:space="preserve">the gas that is generated inside the </w:t>
      </w:r>
      <w:r w:rsidRPr="00B275E2">
        <w:t xml:space="preserve">landfill </w:t>
      </w:r>
    </w:p>
    <w:p w14:paraId="0B1DB78A" w14:textId="4C3266B3" w:rsidR="00A959E4" w:rsidRPr="00B275E2" w:rsidRDefault="00A959E4" w:rsidP="00E27A32">
      <w:pPr>
        <w:pStyle w:val="Bullet"/>
        <w:spacing w:after="100"/>
      </w:pPr>
      <w:r w:rsidRPr="00B275E2">
        <w:t>MC</w:t>
      </w:r>
      <w:r w:rsidR="00F34C31" w:rsidRPr="00B275E2">
        <w:t>F</w:t>
      </w:r>
      <w:r w:rsidRPr="00B275E2">
        <w:t xml:space="preserve"> = methane correction factor</w:t>
      </w:r>
      <w:r w:rsidR="00CF79A0" w:rsidRPr="00B275E2">
        <w:t xml:space="preserve"> (the extent that the landfill is anaerobic)</w:t>
      </w:r>
    </w:p>
    <w:p w14:paraId="0E16E8C0" w14:textId="2344E5A0" w:rsidR="00A959E4" w:rsidRPr="00B275E2" w:rsidRDefault="00386BD8" w:rsidP="00E27A32">
      <w:pPr>
        <w:pStyle w:val="Bullet"/>
        <w:spacing w:after="100"/>
      </w:pPr>
      <w:r w:rsidRPr="00B275E2">
        <w:t>c</w:t>
      </w:r>
      <w:r w:rsidR="00A959E4" w:rsidRPr="00B275E2">
        <w:t>onversion = conversion of carbon to methane (molecular weight ratio CH</w:t>
      </w:r>
      <w:r w:rsidR="00A959E4" w:rsidRPr="00B275E2">
        <w:rPr>
          <w:vertAlign w:val="subscript"/>
        </w:rPr>
        <w:t>4</w:t>
      </w:r>
      <w:r w:rsidR="00A959E4" w:rsidRPr="00B275E2">
        <w:t>/C)</w:t>
      </w:r>
    </w:p>
    <w:p w14:paraId="1FEBC965" w14:textId="27BA3827" w:rsidR="00A959E4" w:rsidRPr="00B275E2" w:rsidRDefault="00386BD8" w:rsidP="00E27A32">
      <w:pPr>
        <w:pStyle w:val="Bullet"/>
        <w:spacing w:after="100"/>
      </w:pPr>
      <w:r w:rsidRPr="00B275E2">
        <w:t>r</w:t>
      </w:r>
      <w:r w:rsidR="005870B0" w:rsidRPr="00B275E2">
        <w:t xml:space="preserve">ecovery </w:t>
      </w:r>
      <w:r w:rsidR="00A959E4" w:rsidRPr="00B275E2">
        <w:t>= fraction of methane recovered where landf</w:t>
      </w:r>
      <w:r w:rsidR="006F1206" w:rsidRPr="00B275E2">
        <w:t>ill gas systems are in place, 0 </w:t>
      </w:r>
      <w:r w:rsidR="00A959E4" w:rsidRPr="00B275E2">
        <w:t>otherwise</w:t>
      </w:r>
    </w:p>
    <w:p w14:paraId="3399F1A6" w14:textId="1D48DD67" w:rsidR="00A959E4" w:rsidRPr="00B275E2" w:rsidRDefault="00386BD8" w:rsidP="00E27A32">
      <w:pPr>
        <w:pStyle w:val="Bullet"/>
        <w:spacing w:after="100"/>
      </w:pPr>
      <w:r w:rsidRPr="00B275E2">
        <w:t>o</w:t>
      </w:r>
      <w:r w:rsidR="005870B0" w:rsidRPr="00B275E2">
        <w:t xml:space="preserve">xidation </w:t>
      </w:r>
      <w:r w:rsidR="00A959E4" w:rsidRPr="00B275E2">
        <w:t xml:space="preserve">= oxidation factor </w:t>
      </w:r>
      <w:r w:rsidR="00CF79A0" w:rsidRPr="00B275E2">
        <w:t>of methane that degrades before being emitted</w:t>
      </w:r>
    </w:p>
    <w:p w14:paraId="33D82B7F" w14:textId="39D817D9" w:rsidR="00A959E4" w:rsidRPr="00B275E2" w:rsidRDefault="00535F0B" w:rsidP="00E27A32">
      <w:pPr>
        <w:pStyle w:val="Bullet"/>
        <w:spacing w:after="100"/>
      </w:pPr>
      <w:r w:rsidRPr="00B275E2">
        <w:t>GWP =</w:t>
      </w:r>
      <w:r w:rsidR="00A959E4" w:rsidRPr="00B275E2">
        <w:t xml:space="preserve"> </w:t>
      </w:r>
      <w:r w:rsidR="00386BD8" w:rsidRPr="00B275E2">
        <w:t>g</w:t>
      </w:r>
      <w:r w:rsidR="00A959E4" w:rsidRPr="00B275E2">
        <w:t>lobal warming potential of methane</w:t>
      </w:r>
      <w:r w:rsidR="00386BD8" w:rsidRPr="00B275E2">
        <w:t>.</w:t>
      </w:r>
    </w:p>
    <w:p w14:paraId="777EEB79" w14:textId="3F3ABA11" w:rsidR="00C57282" w:rsidRPr="00B275E2" w:rsidRDefault="00535F0B" w:rsidP="00E27A32">
      <w:pPr>
        <w:pStyle w:val="BodyText"/>
        <w:spacing w:before="100" w:after="100"/>
      </w:pPr>
      <w:r w:rsidRPr="00B275E2">
        <w:t xml:space="preserve">We used the waste information from </w:t>
      </w:r>
      <w:r w:rsidR="006264E4" w:rsidRPr="00B275E2">
        <w:t xml:space="preserve">the </w:t>
      </w:r>
      <w:r w:rsidR="00855F98" w:rsidRPr="00B275E2">
        <w:rPr>
          <w:rFonts w:eastAsia="Times New Roman" w:cs="Times New Roman"/>
        </w:rPr>
        <w:t>N</w:t>
      </w:r>
      <w:r w:rsidR="006264E4" w:rsidRPr="00B275E2">
        <w:rPr>
          <w:rFonts w:eastAsia="Times New Roman" w:cs="Times New Roman"/>
        </w:rPr>
        <w:t xml:space="preserve">ational </w:t>
      </w:r>
      <w:r w:rsidR="00855F98" w:rsidRPr="00B275E2">
        <w:rPr>
          <w:rFonts w:eastAsia="Times New Roman" w:cs="Times New Roman"/>
        </w:rPr>
        <w:t>I</w:t>
      </w:r>
      <w:r w:rsidR="006264E4" w:rsidRPr="00B275E2">
        <w:rPr>
          <w:rFonts w:eastAsia="Times New Roman" w:cs="Times New Roman"/>
        </w:rPr>
        <w:t>nventory</w:t>
      </w:r>
      <w:r w:rsidR="00855F98" w:rsidRPr="00B275E2">
        <w:rPr>
          <w:rFonts w:eastAsia="Times New Roman" w:cs="Times New Roman"/>
        </w:rPr>
        <w:t xml:space="preserve"> Report</w:t>
      </w:r>
      <w:r w:rsidR="006264E4" w:rsidRPr="00B275E2">
        <w:rPr>
          <w:rFonts w:eastAsia="Times New Roman" w:cs="Times New Roman"/>
        </w:rPr>
        <w:t xml:space="preserve"> </w:t>
      </w:r>
      <w:r w:rsidRPr="00B275E2">
        <w:t>to develop</w:t>
      </w:r>
      <w:r w:rsidR="00A959E4" w:rsidRPr="00B275E2">
        <w:t xml:space="preserve"> </w:t>
      </w:r>
      <w:r w:rsidR="006264E4" w:rsidRPr="00B275E2">
        <w:t xml:space="preserve">solid waste </w:t>
      </w:r>
      <w:r w:rsidR="00A959E4" w:rsidRPr="00B275E2">
        <w:t xml:space="preserve">emission factors for voluntary reporting. </w:t>
      </w:r>
    </w:p>
    <w:p w14:paraId="11471846" w14:textId="004F006B" w:rsidR="00A959E4" w:rsidRPr="00B275E2" w:rsidRDefault="00EB4389" w:rsidP="00BF5F39">
      <w:pPr>
        <w:pStyle w:val="Tableheading"/>
      </w:pPr>
      <w:bookmarkStart w:id="590" w:name="_Toc111536690"/>
      <w:r w:rsidRPr="00B275E2">
        <w:t xml:space="preserve">Table </w:t>
      </w:r>
      <w:r w:rsidRPr="00B275E2">
        <w:fldChar w:fldCharType="begin"/>
      </w:r>
      <w:r w:rsidRPr="00B275E2">
        <w:instrText>SEQ Table \* ARABIC</w:instrText>
      </w:r>
      <w:r w:rsidRPr="00B275E2">
        <w:fldChar w:fldCharType="separate"/>
      </w:r>
      <w:r>
        <w:rPr>
          <w:noProof/>
        </w:rPr>
        <w:t>85</w:t>
      </w:r>
      <w:r w:rsidRPr="00B275E2">
        <w:fldChar w:fldCharType="end"/>
      </w:r>
      <w:r w:rsidRPr="00B275E2">
        <w:t>:</w:t>
      </w:r>
      <w:r w:rsidRPr="00B275E2">
        <w:tab/>
      </w:r>
      <w:r w:rsidR="00A959E4" w:rsidRPr="00B275E2">
        <w:t>Information on managed solid waste in 20</w:t>
      </w:r>
      <w:r w:rsidR="00CF79A0" w:rsidRPr="00B275E2">
        <w:t>20</w:t>
      </w:r>
      <w:bookmarkEnd w:id="590"/>
    </w:p>
    <w:tbl>
      <w:tblPr>
        <w:tblStyle w:val="LightList-Accent1"/>
        <w:tblW w:w="8551"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CellMar>
          <w:left w:w="57" w:type="dxa"/>
          <w:right w:w="57" w:type="dxa"/>
        </w:tblCellMar>
        <w:tblLook w:val="04A0" w:firstRow="1" w:lastRow="0" w:firstColumn="1" w:lastColumn="0" w:noHBand="0" w:noVBand="1"/>
      </w:tblPr>
      <w:tblGrid>
        <w:gridCol w:w="1021"/>
        <w:gridCol w:w="1161"/>
        <w:gridCol w:w="1330"/>
        <w:gridCol w:w="1161"/>
        <w:gridCol w:w="881"/>
        <w:gridCol w:w="955"/>
        <w:gridCol w:w="881"/>
        <w:gridCol w:w="1161"/>
      </w:tblGrid>
      <w:tr w:rsidR="00E27A32" w:rsidRPr="00B275E2" w14:paraId="5DD65D95" w14:textId="77777777" w:rsidTr="00E27A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1B556B" w:themeFill="text2"/>
          </w:tcPr>
          <w:p w14:paraId="6F7AEC80" w14:textId="77777777" w:rsidR="00A959E4" w:rsidRPr="00B275E2" w:rsidRDefault="00A959E4" w:rsidP="00E27A32">
            <w:pPr>
              <w:pStyle w:val="TableText"/>
              <w:spacing w:before="20" w:after="20"/>
              <w:rPr>
                <w:rFonts w:cs="Calibri"/>
                <w:szCs w:val="18"/>
              </w:rPr>
            </w:pPr>
            <w:r w:rsidRPr="00B275E2">
              <w:rPr>
                <w:rFonts w:cs="Calibri"/>
                <w:szCs w:val="18"/>
              </w:rPr>
              <w:t>Category</w:t>
            </w:r>
          </w:p>
        </w:tc>
        <w:tc>
          <w:tcPr>
            <w:tcW w:w="0" w:type="auto"/>
            <w:shd w:val="clear" w:color="auto" w:fill="1B556B" w:themeFill="text2"/>
          </w:tcPr>
          <w:p w14:paraId="59CFD7BF" w14:textId="77777777" w:rsidR="00A959E4" w:rsidRPr="00B275E2" w:rsidRDefault="00A959E4" w:rsidP="00E27A32">
            <w:pPr>
              <w:pStyle w:val="TableText"/>
              <w:spacing w:before="20" w:after="2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275E2">
              <w:rPr>
                <w:rFonts w:cs="Calibri"/>
                <w:szCs w:val="18"/>
              </w:rPr>
              <w:t>DOC</w:t>
            </w:r>
          </w:p>
        </w:tc>
        <w:tc>
          <w:tcPr>
            <w:tcW w:w="0" w:type="auto"/>
            <w:shd w:val="clear" w:color="auto" w:fill="1B556B" w:themeFill="text2"/>
          </w:tcPr>
          <w:p w14:paraId="15948DEF" w14:textId="3C4A7426" w:rsidR="00A959E4" w:rsidRPr="00B275E2" w:rsidRDefault="00A959E4" w:rsidP="00E27A32">
            <w:pPr>
              <w:pStyle w:val="TableText"/>
              <w:spacing w:before="20" w:after="2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275E2">
              <w:rPr>
                <w:rFonts w:cs="Calibri"/>
                <w:szCs w:val="18"/>
              </w:rPr>
              <w:t>DOC</w:t>
            </w:r>
            <w:r w:rsidR="00CF79A0" w:rsidRPr="00B275E2">
              <w:rPr>
                <w:rFonts w:cs="Calibri"/>
                <w:szCs w:val="18"/>
              </w:rPr>
              <w:t>f</w:t>
            </w:r>
          </w:p>
        </w:tc>
        <w:tc>
          <w:tcPr>
            <w:tcW w:w="0" w:type="auto"/>
            <w:shd w:val="clear" w:color="auto" w:fill="1B556B" w:themeFill="text2"/>
          </w:tcPr>
          <w:p w14:paraId="7F15D19A" w14:textId="77777777" w:rsidR="00A959E4" w:rsidRPr="00B275E2" w:rsidRDefault="00A959E4" w:rsidP="00E27A32">
            <w:pPr>
              <w:pStyle w:val="TableText"/>
              <w:spacing w:before="20" w:after="2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275E2">
              <w:rPr>
                <w:rFonts w:cs="Calibri"/>
                <w:szCs w:val="18"/>
              </w:rPr>
              <w:t>F</w:t>
            </w:r>
          </w:p>
        </w:tc>
        <w:tc>
          <w:tcPr>
            <w:tcW w:w="0" w:type="auto"/>
            <w:shd w:val="clear" w:color="auto" w:fill="1B556B" w:themeFill="text2"/>
          </w:tcPr>
          <w:p w14:paraId="0317019A" w14:textId="77777777" w:rsidR="00A959E4" w:rsidRPr="00B275E2" w:rsidRDefault="00A959E4" w:rsidP="00E27A32">
            <w:pPr>
              <w:pStyle w:val="TableText"/>
              <w:spacing w:before="20" w:after="2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275E2">
              <w:rPr>
                <w:rFonts w:cs="Calibri"/>
                <w:szCs w:val="18"/>
              </w:rPr>
              <w:t>MCF</w:t>
            </w:r>
          </w:p>
        </w:tc>
        <w:tc>
          <w:tcPr>
            <w:tcW w:w="735" w:type="dxa"/>
            <w:shd w:val="clear" w:color="auto" w:fill="1B556B" w:themeFill="text2"/>
          </w:tcPr>
          <w:p w14:paraId="24A51FC7" w14:textId="77777777" w:rsidR="00A959E4" w:rsidRPr="00B275E2" w:rsidRDefault="00A959E4" w:rsidP="00E27A32">
            <w:pPr>
              <w:pStyle w:val="TableText"/>
              <w:spacing w:before="20" w:after="2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275E2">
              <w:rPr>
                <w:rFonts w:cs="Calibri"/>
                <w:szCs w:val="18"/>
              </w:rPr>
              <w:t>Conversion</w:t>
            </w:r>
          </w:p>
        </w:tc>
        <w:tc>
          <w:tcPr>
            <w:tcW w:w="1139" w:type="dxa"/>
            <w:shd w:val="clear" w:color="auto" w:fill="1B556B" w:themeFill="text2"/>
          </w:tcPr>
          <w:p w14:paraId="6DC0DCED" w14:textId="77777777" w:rsidR="00A959E4" w:rsidRPr="00B275E2" w:rsidRDefault="00A959E4" w:rsidP="00E27A32">
            <w:pPr>
              <w:pStyle w:val="TableText"/>
              <w:spacing w:before="20" w:after="2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275E2">
              <w:rPr>
                <w:rFonts w:cs="Calibri"/>
                <w:szCs w:val="18"/>
              </w:rPr>
              <w:t>Ox</w:t>
            </w:r>
          </w:p>
        </w:tc>
        <w:tc>
          <w:tcPr>
            <w:tcW w:w="0" w:type="auto"/>
            <w:shd w:val="clear" w:color="auto" w:fill="1B556B" w:themeFill="text2"/>
          </w:tcPr>
          <w:p w14:paraId="1AE85375" w14:textId="0D5E21AE" w:rsidR="00A959E4" w:rsidRPr="00B275E2" w:rsidRDefault="00A959E4" w:rsidP="00E27A32">
            <w:pPr>
              <w:pStyle w:val="TableText"/>
              <w:spacing w:before="20" w:after="2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275E2">
              <w:rPr>
                <w:rFonts w:cs="Calibri"/>
                <w:szCs w:val="18"/>
              </w:rPr>
              <w:t>R</w:t>
            </w:r>
          </w:p>
        </w:tc>
      </w:tr>
      <w:tr w:rsidR="00FD6696" w:rsidRPr="00B275E2" w14:paraId="14C92F02" w14:textId="77777777" w:rsidTr="00EC0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FFFFFF" w:themeColor="background1"/>
            </w:tcBorders>
          </w:tcPr>
          <w:p w14:paraId="03D1122C" w14:textId="77777777" w:rsidR="00E402A9" w:rsidRPr="00B275E2" w:rsidRDefault="00E402A9" w:rsidP="00E27A32">
            <w:pPr>
              <w:pStyle w:val="TableText"/>
              <w:spacing w:before="20" w:after="20"/>
              <w:rPr>
                <w:rFonts w:cs="Calibri"/>
                <w:b w:val="0"/>
                <w:szCs w:val="18"/>
              </w:rPr>
            </w:pPr>
            <w:r w:rsidRPr="00B275E2">
              <w:rPr>
                <w:rFonts w:cs="Calibri"/>
                <w:b w:val="0"/>
                <w:szCs w:val="18"/>
              </w:rPr>
              <w:t>Food</w:t>
            </w:r>
          </w:p>
        </w:tc>
        <w:tc>
          <w:tcPr>
            <w:tcW w:w="0" w:type="auto"/>
          </w:tcPr>
          <w:p w14:paraId="06B2CAD3" w14:textId="797D04BE" w:rsidR="00E402A9" w:rsidRPr="00B275E2" w:rsidRDefault="00E402A9" w:rsidP="00E27A32">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0.15</w:t>
            </w:r>
            <w:r w:rsidR="00CF79A0" w:rsidRPr="00B275E2">
              <w:rPr>
                <w:rFonts w:cs="Calibri"/>
                <w:szCs w:val="18"/>
              </w:rPr>
              <w:t>7</w:t>
            </w:r>
          </w:p>
        </w:tc>
        <w:tc>
          <w:tcPr>
            <w:tcW w:w="0" w:type="auto"/>
          </w:tcPr>
          <w:p w14:paraId="141BB3E8" w14:textId="0F56AB27" w:rsidR="00E402A9" w:rsidRPr="00B275E2" w:rsidRDefault="00E402A9" w:rsidP="00E27A32">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w:t>
            </w:r>
            <w:r w:rsidR="00CF79A0" w:rsidRPr="00B275E2">
              <w:rPr>
                <w:rFonts w:cs="Calibri"/>
                <w:szCs w:val="18"/>
              </w:rPr>
              <w:t>70</w:t>
            </w:r>
          </w:p>
        </w:tc>
        <w:tc>
          <w:tcPr>
            <w:tcW w:w="0" w:type="auto"/>
          </w:tcPr>
          <w:p w14:paraId="05D1880D" w14:textId="7C9436EE" w:rsidR="00E402A9" w:rsidRPr="00B275E2" w:rsidRDefault="00E402A9" w:rsidP="00E27A32">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0.5</w:t>
            </w:r>
            <w:r w:rsidR="00CF79A0" w:rsidRPr="00B275E2">
              <w:rPr>
                <w:rFonts w:cs="Calibri"/>
                <w:szCs w:val="18"/>
              </w:rPr>
              <w:t>7</w:t>
            </w:r>
          </w:p>
        </w:tc>
        <w:tc>
          <w:tcPr>
            <w:tcW w:w="0" w:type="auto"/>
          </w:tcPr>
          <w:p w14:paraId="525D1A1C" w14:textId="77777777" w:rsidR="00E402A9" w:rsidRPr="00B275E2" w:rsidRDefault="00E402A9" w:rsidP="00E27A32">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1</w:t>
            </w:r>
          </w:p>
        </w:tc>
        <w:tc>
          <w:tcPr>
            <w:tcW w:w="0" w:type="auto"/>
          </w:tcPr>
          <w:p w14:paraId="58BF97A3" w14:textId="77777777" w:rsidR="00E402A9" w:rsidRPr="00B275E2" w:rsidRDefault="00E402A9" w:rsidP="00E27A32">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16/12</w:t>
            </w:r>
          </w:p>
        </w:tc>
        <w:tc>
          <w:tcPr>
            <w:tcW w:w="0" w:type="auto"/>
          </w:tcPr>
          <w:p w14:paraId="49291E88" w14:textId="77777777" w:rsidR="00E402A9" w:rsidRPr="00B275E2" w:rsidRDefault="00E402A9" w:rsidP="00E27A32">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0.1</w:t>
            </w:r>
          </w:p>
        </w:tc>
        <w:tc>
          <w:tcPr>
            <w:tcW w:w="0" w:type="auto"/>
            <w:tcBorders>
              <w:right w:val="single" w:sz="4" w:space="0" w:color="FFFFFF" w:themeColor="background1"/>
            </w:tcBorders>
          </w:tcPr>
          <w:p w14:paraId="49852AD6" w14:textId="0AF0A660" w:rsidR="00E402A9" w:rsidRPr="00B275E2" w:rsidRDefault="00E402A9" w:rsidP="00E27A32">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w:t>
            </w:r>
            <w:r w:rsidR="00CF79A0" w:rsidRPr="00B275E2">
              <w:rPr>
                <w:rFonts w:cs="Calibri"/>
                <w:szCs w:val="18"/>
              </w:rPr>
              <w:t>68</w:t>
            </w:r>
          </w:p>
        </w:tc>
      </w:tr>
      <w:tr w:rsidR="00FD6696" w:rsidRPr="00B275E2" w14:paraId="462D8BAA" w14:textId="77777777" w:rsidTr="00EC0FF5">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FFFFFF" w:themeColor="background1"/>
            </w:tcBorders>
          </w:tcPr>
          <w:p w14:paraId="051D1C59" w14:textId="77777777" w:rsidR="00E402A9" w:rsidRPr="00B275E2" w:rsidRDefault="00E402A9" w:rsidP="00E27A32">
            <w:pPr>
              <w:pStyle w:val="TableText"/>
              <w:spacing w:before="20" w:after="20"/>
              <w:rPr>
                <w:rFonts w:cs="Calibri"/>
                <w:b w:val="0"/>
                <w:szCs w:val="18"/>
              </w:rPr>
            </w:pPr>
            <w:r w:rsidRPr="00B275E2">
              <w:rPr>
                <w:rFonts w:cs="Calibri"/>
                <w:b w:val="0"/>
                <w:szCs w:val="18"/>
              </w:rPr>
              <w:lastRenderedPageBreak/>
              <w:t>Garden</w:t>
            </w:r>
          </w:p>
        </w:tc>
        <w:tc>
          <w:tcPr>
            <w:tcW w:w="0" w:type="auto"/>
          </w:tcPr>
          <w:p w14:paraId="48D533C9" w14:textId="4D2B74FC" w:rsidR="00E402A9" w:rsidRPr="00B275E2" w:rsidRDefault="00E402A9" w:rsidP="00E27A32">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w:t>
            </w:r>
            <w:r w:rsidR="00C27944" w:rsidRPr="00B275E2">
              <w:rPr>
                <w:rFonts w:cs="Calibri"/>
                <w:szCs w:val="18"/>
              </w:rPr>
              <w:t>161</w:t>
            </w:r>
          </w:p>
        </w:tc>
        <w:tc>
          <w:tcPr>
            <w:tcW w:w="0" w:type="auto"/>
          </w:tcPr>
          <w:p w14:paraId="36307B5D" w14:textId="339DEA86" w:rsidR="00E402A9" w:rsidRPr="00B275E2" w:rsidRDefault="00E402A9" w:rsidP="00E27A32">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0.5</w:t>
            </w:r>
            <w:r w:rsidR="00C27944" w:rsidRPr="00B275E2">
              <w:rPr>
                <w:rFonts w:cs="Calibri"/>
                <w:szCs w:val="18"/>
              </w:rPr>
              <w:t>6</w:t>
            </w:r>
          </w:p>
        </w:tc>
        <w:tc>
          <w:tcPr>
            <w:tcW w:w="0" w:type="auto"/>
          </w:tcPr>
          <w:p w14:paraId="7CF9745A" w14:textId="5E588871" w:rsidR="00E402A9" w:rsidRPr="00B275E2" w:rsidRDefault="00E402A9" w:rsidP="00E27A32">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0.5</w:t>
            </w:r>
            <w:r w:rsidR="00C27944" w:rsidRPr="00B275E2">
              <w:rPr>
                <w:rFonts w:cs="Calibri"/>
                <w:szCs w:val="18"/>
              </w:rPr>
              <w:t>7</w:t>
            </w:r>
          </w:p>
        </w:tc>
        <w:tc>
          <w:tcPr>
            <w:tcW w:w="0" w:type="auto"/>
          </w:tcPr>
          <w:p w14:paraId="08F18B2C" w14:textId="77777777" w:rsidR="00E402A9" w:rsidRPr="00B275E2" w:rsidRDefault="00E402A9" w:rsidP="00E27A32">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1</w:t>
            </w:r>
          </w:p>
        </w:tc>
        <w:tc>
          <w:tcPr>
            <w:tcW w:w="0" w:type="auto"/>
          </w:tcPr>
          <w:p w14:paraId="3574CECF" w14:textId="77777777" w:rsidR="00E402A9" w:rsidRPr="00B275E2" w:rsidRDefault="00E402A9" w:rsidP="00E27A32">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16/12</w:t>
            </w:r>
          </w:p>
        </w:tc>
        <w:tc>
          <w:tcPr>
            <w:tcW w:w="0" w:type="auto"/>
          </w:tcPr>
          <w:p w14:paraId="5D2E9B09" w14:textId="77777777" w:rsidR="00E402A9" w:rsidRPr="00B275E2" w:rsidRDefault="00E402A9" w:rsidP="00E27A32">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0.1</w:t>
            </w:r>
          </w:p>
        </w:tc>
        <w:tc>
          <w:tcPr>
            <w:tcW w:w="0" w:type="auto"/>
            <w:tcBorders>
              <w:right w:val="single" w:sz="4" w:space="0" w:color="FFFFFF" w:themeColor="background1"/>
            </w:tcBorders>
          </w:tcPr>
          <w:p w14:paraId="5FFE9F2E" w14:textId="1733C5A9" w:rsidR="00E402A9" w:rsidRPr="00B275E2" w:rsidRDefault="00E402A9" w:rsidP="00E27A32">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w:t>
            </w:r>
            <w:r w:rsidR="00C27944" w:rsidRPr="00B275E2">
              <w:rPr>
                <w:rFonts w:cs="Calibri"/>
                <w:szCs w:val="18"/>
              </w:rPr>
              <w:t>68</w:t>
            </w:r>
          </w:p>
        </w:tc>
      </w:tr>
      <w:tr w:rsidR="00FD6696" w:rsidRPr="00B275E2" w14:paraId="7FFA22B3" w14:textId="77777777" w:rsidTr="00EC0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FFFFFF" w:themeColor="background1"/>
            </w:tcBorders>
          </w:tcPr>
          <w:p w14:paraId="5C53DE6F" w14:textId="77777777" w:rsidR="00E402A9" w:rsidRPr="00B275E2" w:rsidRDefault="00E402A9" w:rsidP="00E27A32">
            <w:pPr>
              <w:pStyle w:val="TableText"/>
              <w:spacing w:before="20" w:after="20"/>
              <w:rPr>
                <w:rFonts w:cs="Calibri"/>
                <w:b w:val="0"/>
                <w:szCs w:val="18"/>
              </w:rPr>
            </w:pPr>
            <w:r w:rsidRPr="00B275E2">
              <w:rPr>
                <w:rFonts w:cs="Calibri"/>
                <w:b w:val="0"/>
                <w:szCs w:val="18"/>
              </w:rPr>
              <w:t>Paper</w:t>
            </w:r>
          </w:p>
        </w:tc>
        <w:tc>
          <w:tcPr>
            <w:tcW w:w="0" w:type="auto"/>
          </w:tcPr>
          <w:p w14:paraId="188934D3" w14:textId="38329D44" w:rsidR="00E402A9" w:rsidRPr="00B275E2" w:rsidRDefault="00E402A9" w:rsidP="00E27A32">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w:t>
            </w:r>
            <w:r w:rsidR="00C27944" w:rsidRPr="00B275E2">
              <w:rPr>
                <w:rFonts w:cs="Calibri"/>
                <w:szCs w:val="18"/>
              </w:rPr>
              <w:t>32</w:t>
            </w:r>
          </w:p>
        </w:tc>
        <w:tc>
          <w:tcPr>
            <w:tcW w:w="0" w:type="auto"/>
          </w:tcPr>
          <w:p w14:paraId="62BC36BA" w14:textId="77777777" w:rsidR="00E402A9" w:rsidRPr="00B275E2" w:rsidRDefault="00E402A9" w:rsidP="00E27A32">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0.5</w:t>
            </w:r>
          </w:p>
        </w:tc>
        <w:tc>
          <w:tcPr>
            <w:tcW w:w="0" w:type="auto"/>
          </w:tcPr>
          <w:p w14:paraId="698C60A0" w14:textId="0842683A" w:rsidR="00E402A9" w:rsidRPr="00B275E2" w:rsidRDefault="00E402A9" w:rsidP="00E27A32">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0.5</w:t>
            </w:r>
            <w:r w:rsidR="00C27944" w:rsidRPr="00B275E2">
              <w:rPr>
                <w:rFonts w:cs="Calibri"/>
                <w:szCs w:val="18"/>
              </w:rPr>
              <w:t>7</w:t>
            </w:r>
          </w:p>
        </w:tc>
        <w:tc>
          <w:tcPr>
            <w:tcW w:w="0" w:type="auto"/>
          </w:tcPr>
          <w:p w14:paraId="4963B8E9" w14:textId="77777777" w:rsidR="00E402A9" w:rsidRPr="00B275E2" w:rsidRDefault="00E402A9" w:rsidP="00E27A32">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1</w:t>
            </w:r>
          </w:p>
        </w:tc>
        <w:tc>
          <w:tcPr>
            <w:tcW w:w="0" w:type="auto"/>
          </w:tcPr>
          <w:p w14:paraId="11B993DF" w14:textId="77777777" w:rsidR="00E402A9" w:rsidRPr="00B275E2" w:rsidRDefault="00E402A9" w:rsidP="00E27A32">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16/12</w:t>
            </w:r>
          </w:p>
        </w:tc>
        <w:tc>
          <w:tcPr>
            <w:tcW w:w="0" w:type="auto"/>
          </w:tcPr>
          <w:p w14:paraId="176A8198" w14:textId="77777777" w:rsidR="00E402A9" w:rsidRPr="00B275E2" w:rsidRDefault="00E402A9" w:rsidP="00E27A32">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0.1</w:t>
            </w:r>
          </w:p>
        </w:tc>
        <w:tc>
          <w:tcPr>
            <w:tcW w:w="0" w:type="auto"/>
            <w:tcBorders>
              <w:right w:val="single" w:sz="4" w:space="0" w:color="FFFFFF" w:themeColor="background1"/>
            </w:tcBorders>
          </w:tcPr>
          <w:p w14:paraId="6BFA64CE" w14:textId="08C80E60" w:rsidR="00E402A9" w:rsidRPr="00B275E2" w:rsidRDefault="00E402A9" w:rsidP="00E27A32">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w:t>
            </w:r>
            <w:r w:rsidR="00C27944" w:rsidRPr="00B275E2">
              <w:rPr>
                <w:rFonts w:cs="Calibri"/>
                <w:szCs w:val="18"/>
              </w:rPr>
              <w:t>68</w:t>
            </w:r>
          </w:p>
        </w:tc>
      </w:tr>
      <w:tr w:rsidR="00FD6696" w:rsidRPr="00B275E2" w14:paraId="4D695AF4" w14:textId="77777777" w:rsidTr="00EC0FF5">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FFFFFF" w:themeColor="background1"/>
            </w:tcBorders>
          </w:tcPr>
          <w:p w14:paraId="3A123493" w14:textId="77777777" w:rsidR="00E402A9" w:rsidRPr="00B275E2" w:rsidRDefault="00E402A9" w:rsidP="00E27A32">
            <w:pPr>
              <w:pStyle w:val="TableText"/>
              <w:spacing w:before="20" w:after="20"/>
              <w:rPr>
                <w:rFonts w:cs="Calibri"/>
                <w:b w:val="0"/>
                <w:szCs w:val="18"/>
              </w:rPr>
            </w:pPr>
            <w:r w:rsidRPr="00B275E2">
              <w:rPr>
                <w:rFonts w:cs="Calibri"/>
                <w:b w:val="0"/>
                <w:szCs w:val="18"/>
              </w:rPr>
              <w:t>Wood</w:t>
            </w:r>
          </w:p>
        </w:tc>
        <w:tc>
          <w:tcPr>
            <w:tcW w:w="0" w:type="auto"/>
          </w:tcPr>
          <w:p w14:paraId="6777B581" w14:textId="77777777" w:rsidR="00E402A9" w:rsidRPr="00B275E2" w:rsidRDefault="00E402A9" w:rsidP="00E27A32">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0.43</w:t>
            </w:r>
          </w:p>
        </w:tc>
        <w:tc>
          <w:tcPr>
            <w:tcW w:w="0" w:type="auto"/>
          </w:tcPr>
          <w:p w14:paraId="767B085A" w14:textId="7DDC3617" w:rsidR="00E402A9" w:rsidRPr="00B275E2" w:rsidRDefault="00E402A9" w:rsidP="00E27A32">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w:t>
            </w:r>
            <w:r w:rsidR="00C27944" w:rsidRPr="00B275E2">
              <w:rPr>
                <w:rFonts w:cs="Calibri"/>
                <w:szCs w:val="18"/>
              </w:rPr>
              <w:t>14</w:t>
            </w:r>
          </w:p>
        </w:tc>
        <w:tc>
          <w:tcPr>
            <w:tcW w:w="0" w:type="auto"/>
          </w:tcPr>
          <w:p w14:paraId="68FC5383" w14:textId="5A97FC77" w:rsidR="00E402A9" w:rsidRPr="00B275E2" w:rsidRDefault="00E402A9" w:rsidP="00E27A32">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0.5</w:t>
            </w:r>
            <w:r w:rsidR="00C27944" w:rsidRPr="00B275E2">
              <w:rPr>
                <w:rFonts w:cs="Calibri"/>
                <w:szCs w:val="18"/>
              </w:rPr>
              <w:t>7</w:t>
            </w:r>
          </w:p>
        </w:tc>
        <w:tc>
          <w:tcPr>
            <w:tcW w:w="0" w:type="auto"/>
          </w:tcPr>
          <w:p w14:paraId="331CBB4E" w14:textId="77777777" w:rsidR="00E402A9" w:rsidRPr="00B275E2" w:rsidRDefault="00E402A9" w:rsidP="00E27A32">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1</w:t>
            </w:r>
          </w:p>
        </w:tc>
        <w:tc>
          <w:tcPr>
            <w:tcW w:w="0" w:type="auto"/>
          </w:tcPr>
          <w:p w14:paraId="704A7CB2" w14:textId="77777777" w:rsidR="00E402A9" w:rsidRPr="00B275E2" w:rsidRDefault="00E402A9" w:rsidP="00E27A32">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16/12</w:t>
            </w:r>
          </w:p>
        </w:tc>
        <w:tc>
          <w:tcPr>
            <w:tcW w:w="0" w:type="auto"/>
          </w:tcPr>
          <w:p w14:paraId="749E9EF0" w14:textId="77777777" w:rsidR="00E402A9" w:rsidRPr="00B275E2" w:rsidRDefault="00E402A9" w:rsidP="00E27A32">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0.1</w:t>
            </w:r>
          </w:p>
        </w:tc>
        <w:tc>
          <w:tcPr>
            <w:tcW w:w="0" w:type="auto"/>
            <w:tcBorders>
              <w:right w:val="single" w:sz="4" w:space="0" w:color="FFFFFF" w:themeColor="background1"/>
            </w:tcBorders>
          </w:tcPr>
          <w:p w14:paraId="04445B25" w14:textId="0413F98F" w:rsidR="00E402A9" w:rsidRPr="00B275E2" w:rsidRDefault="00E402A9" w:rsidP="00E27A32">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w:t>
            </w:r>
            <w:r w:rsidR="00C27944" w:rsidRPr="00B275E2">
              <w:rPr>
                <w:rFonts w:cs="Calibri"/>
                <w:szCs w:val="18"/>
              </w:rPr>
              <w:t>68</w:t>
            </w:r>
          </w:p>
        </w:tc>
      </w:tr>
      <w:tr w:rsidR="00FD6696" w:rsidRPr="00B275E2" w14:paraId="7C8AE324" w14:textId="77777777" w:rsidTr="00EC0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FFFFFF" w:themeColor="background1"/>
            </w:tcBorders>
          </w:tcPr>
          <w:p w14:paraId="5DD32B8A" w14:textId="77777777" w:rsidR="00E402A9" w:rsidRPr="00B275E2" w:rsidRDefault="00E402A9" w:rsidP="00E27A32">
            <w:pPr>
              <w:pStyle w:val="TableText"/>
              <w:spacing w:before="20" w:after="20"/>
              <w:rPr>
                <w:rFonts w:cs="Calibri"/>
                <w:b w:val="0"/>
                <w:szCs w:val="18"/>
              </w:rPr>
            </w:pPr>
            <w:r w:rsidRPr="00B275E2">
              <w:rPr>
                <w:rFonts w:cs="Calibri"/>
                <w:b w:val="0"/>
                <w:szCs w:val="18"/>
              </w:rPr>
              <w:t>Textiles</w:t>
            </w:r>
          </w:p>
        </w:tc>
        <w:tc>
          <w:tcPr>
            <w:tcW w:w="0" w:type="auto"/>
          </w:tcPr>
          <w:p w14:paraId="093A325D" w14:textId="0D599754" w:rsidR="00E402A9" w:rsidRPr="00B275E2" w:rsidRDefault="00E402A9" w:rsidP="00E27A32">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w:t>
            </w:r>
            <w:r w:rsidR="00C27944" w:rsidRPr="00B275E2">
              <w:rPr>
                <w:rFonts w:cs="Calibri"/>
                <w:szCs w:val="18"/>
              </w:rPr>
              <w:t>16</w:t>
            </w:r>
          </w:p>
        </w:tc>
        <w:tc>
          <w:tcPr>
            <w:tcW w:w="0" w:type="auto"/>
          </w:tcPr>
          <w:p w14:paraId="18AADC79" w14:textId="77777777" w:rsidR="00E402A9" w:rsidRPr="00B275E2" w:rsidRDefault="00E402A9" w:rsidP="00E27A32">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0.5</w:t>
            </w:r>
          </w:p>
        </w:tc>
        <w:tc>
          <w:tcPr>
            <w:tcW w:w="0" w:type="auto"/>
          </w:tcPr>
          <w:p w14:paraId="6DD8DAC2" w14:textId="386E85C8" w:rsidR="00E402A9" w:rsidRPr="00B275E2" w:rsidRDefault="00E402A9" w:rsidP="00E27A32">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0.5</w:t>
            </w:r>
            <w:r w:rsidR="00C27944" w:rsidRPr="00B275E2">
              <w:rPr>
                <w:rFonts w:cs="Calibri"/>
                <w:szCs w:val="18"/>
              </w:rPr>
              <w:t>7</w:t>
            </w:r>
          </w:p>
        </w:tc>
        <w:tc>
          <w:tcPr>
            <w:tcW w:w="0" w:type="auto"/>
          </w:tcPr>
          <w:p w14:paraId="334D2549" w14:textId="77777777" w:rsidR="00E402A9" w:rsidRPr="00B275E2" w:rsidRDefault="00E402A9" w:rsidP="00E27A32">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1</w:t>
            </w:r>
          </w:p>
        </w:tc>
        <w:tc>
          <w:tcPr>
            <w:tcW w:w="0" w:type="auto"/>
          </w:tcPr>
          <w:p w14:paraId="319C2F12" w14:textId="77777777" w:rsidR="00E402A9" w:rsidRPr="00B275E2" w:rsidRDefault="00E402A9" w:rsidP="00E27A32">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16/12</w:t>
            </w:r>
          </w:p>
        </w:tc>
        <w:tc>
          <w:tcPr>
            <w:tcW w:w="0" w:type="auto"/>
          </w:tcPr>
          <w:p w14:paraId="4FC69F4D" w14:textId="77777777" w:rsidR="00E402A9" w:rsidRPr="00B275E2" w:rsidRDefault="00E402A9" w:rsidP="00E27A32">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0.1</w:t>
            </w:r>
          </w:p>
        </w:tc>
        <w:tc>
          <w:tcPr>
            <w:tcW w:w="0" w:type="auto"/>
            <w:tcBorders>
              <w:right w:val="single" w:sz="4" w:space="0" w:color="FFFFFF" w:themeColor="background1"/>
            </w:tcBorders>
          </w:tcPr>
          <w:p w14:paraId="11DA3E0B" w14:textId="410F23B8" w:rsidR="00E402A9" w:rsidRPr="00B275E2" w:rsidRDefault="00E402A9" w:rsidP="00E27A32">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w:t>
            </w:r>
            <w:r w:rsidR="00C27944" w:rsidRPr="00B275E2">
              <w:rPr>
                <w:rFonts w:cs="Calibri"/>
                <w:szCs w:val="18"/>
              </w:rPr>
              <w:t>68</w:t>
            </w:r>
          </w:p>
        </w:tc>
      </w:tr>
      <w:tr w:rsidR="00FD6696" w:rsidRPr="00B275E2" w14:paraId="3BC6DB22" w14:textId="77777777" w:rsidTr="00EC0FF5">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FFFFFF" w:themeColor="background1"/>
            </w:tcBorders>
          </w:tcPr>
          <w:p w14:paraId="7738D04A" w14:textId="77777777" w:rsidR="00E402A9" w:rsidRPr="00B275E2" w:rsidRDefault="00E402A9" w:rsidP="00E27A32">
            <w:pPr>
              <w:pStyle w:val="TableText"/>
              <w:spacing w:before="20" w:after="20"/>
              <w:rPr>
                <w:rFonts w:cs="Calibri"/>
                <w:b w:val="0"/>
                <w:szCs w:val="18"/>
              </w:rPr>
            </w:pPr>
            <w:r w:rsidRPr="00B275E2">
              <w:rPr>
                <w:rFonts w:cs="Calibri"/>
                <w:b w:val="0"/>
                <w:szCs w:val="18"/>
              </w:rPr>
              <w:t>Nappies</w:t>
            </w:r>
          </w:p>
        </w:tc>
        <w:tc>
          <w:tcPr>
            <w:tcW w:w="0" w:type="auto"/>
          </w:tcPr>
          <w:p w14:paraId="599B9C98" w14:textId="7CDA1824" w:rsidR="00E402A9" w:rsidRPr="00B275E2" w:rsidRDefault="00E402A9" w:rsidP="00E27A32">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w:t>
            </w:r>
            <w:r w:rsidR="00C27944" w:rsidRPr="00B275E2">
              <w:rPr>
                <w:rFonts w:cs="Calibri"/>
                <w:szCs w:val="18"/>
              </w:rPr>
              <w:t>08</w:t>
            </w:r>
          </w:p>
        </w:tc>
        <w:tc>
          <w:tcPr>
            <w:tcW w:w="0" w:type="auto"/>
          </w:tcPr>
          <w:p w14:paraId="41D35AD8" w14:textId="77777777" w:rsidR="00E402A9" w:rsidRPr="00B275E2" w:rsidRDefault="00E402A9" w:rsidP="00E27A32">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0.5</w:t>
            </w:r>
          </w:p>
        </w:tc>
        <w:tc>
          <w:tcPr>
            <w:tcW w:w="0" w:type="auto"/>
          </w:tcPr>
          <w:p w14:paraId="6450F253" w14:textId="495E0966" w:rsidR="00E402A9" w:rsidRPr="00B275E2" w:rsidRDefault="00E402A9" w:rsidP="00E27A32">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0.5</w:t>
            </w:r>
            <w:r w:rsidR="00C27944" w:rsidRPr="00B275E2">
              <w:rPr>
                <w:rFonts w:cs="Calibri"/>
                <w:szCs w:val="18"/>
              </w:rPr>
              <w:t>7</w:t>
            </w:r>
          </w:p>
        </w:tc>
        <w:tc>
          <w:tcPr>
            <w:tcW w:w="0" w:type="auto"/>
          </w:tcPr>
          <w:p w14:paraId="106D3C89" w14:textId="77777777" w:rsidR="00E402A9" w:rsidRPr="00B275E2" w:rsidRDefault="00E402A9" w:rsidP="00E27A32">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1</w:t>
            </w:r>
          </w:p>
        </w:tc>
        <w:tc>
          <w:tcPr>
            <w:tcW w:w="0" w:type="auto"/>
          </w:tcPr>
          <w:p w14:paraId="49B81A34" w14:textId="77777777" w:rsidR="00E402A9" w:rsidRPr="00B275E2" w:rsidRDefault="00E402A9" w:rsidP="00E27A32">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16/12</w:t>
            </w:r>
          </w:p>
        </w:tc>
        <w:tc>
          <w:tcPr>
            <w:tcW w:w="0" w:type="auto"/>
          </w:tcPr>
          <w:p w14:paraId="36D20CD7" w14:textId="77777777" w:rsidR="00E402A9" w:rsidRPr="00B275E2" w:rsidRDefault="00E402A9" w:rsidP="00E27A32">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0.1</w:t>
            </w:r>
          </w:p>
        </w:tc>
        <w:tc>
          <w:tcPr>
            <w:tcW w:w="0" w:type="auto"/>
            <w:tcBorders>
              <w:right w:val="single" w:sz="4" w:space="0" w:color="FFFFFF" w:themeColor="background1"/>
            </w:tcBorders>
          </w:tcPr>
          <w:p w14:paraId="334366AD" w14:textId="55DD1629" w:rsidR="00E402A9" w:rsidRPr="00B275E2" w:rsidRDefault="00E402A9" w:rsidP="00E27A32">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w:t>
            </w:r>
            <w:r w:rsidR="00C27944" w:rsidRPr="00B275E2">
              <w:rPr>
                <w:rFonts w:cs="Calibri"/>
                <w:szCs w:val="18"/>
              </w:rPr>
              <w:t>68</w:t>
            </w:r>
          </w:p>
        </w:tc>
      </w:tr>
      <w:tr w:rsidR="00C57282" w:rsidRPr="00B275E2" w14:paraId="67917092" w14:textId="77777777" w:rsidTr="00EC0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 w:type="dxa"/>
            <w:tcBorders>
              <w:left w:val="single" w:sz="4" w:space="0" w:color="FFFFFF" w:themeColor="background1"/>
            </w:tcBorders>
          </w:tcPr>
          <w:p w14:paraId="041ACBC7" w14:textId="5F75FBDB" w:rsidR="00C27944" w:rsidRPr="00B275E2" w:rsidRDefault="00C27944" w:rsidP="00E27A32">
            <w:pPr>
              <w:pStyle w:val="TableText"/>
              <w:spacing w:before="20" w:after="20"/>
              <w:rPr>
                <w:rFonts w:cs="Calibri"/>
                <w:b w:val="0"/>
                <w:bCs w:val="0"/>
                <w:szCs w:val="18"/>
              </w:rPr>
            </w:pPr>
            <w:r w:rsidRPr="00B275E2">
              <w:rPr>
                <w:rFonts w:cs="Calibri"/>
                <w:b w:val="0"/>
                <w:bCs w:val="0"/>
                <w:szCs w:val="18"/>
              </w:rPr>
              <w:t>Sludge</w:t>
            </w:r>
          </w:p>
        </w:tc>
        <w:tc>
          <w:tcPr>
            <w:tcW w:w="1180" w:type="dxa"/>
          </w:tcPr>
          <w:p w14:paraId="13084CA4" w14:textId="1726678D" w:rsidR="00C27944" w:rsidRPr="00B275E2" w:rsidRDefault="00C27944" w:rsidP="00E27A32">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0.05</w:t>
            </w:r>
          </w:p>
        </w:tc>
        <w:tc>
          <w:tcPr>
            <w:tcW w:w="1222" w:type="dxa"/>
          </w:tcPr>
          <w:p w14:paraId="4070DDA9" w14:textId="52B35AFD" w:rsidR="00C27944" w:rsidRPr="00B275E2" w:rsidRDefault="00C27944" w:rsidP="00E27A32">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0.5</w:t>
            </w:r>
          </w:p>
        </w:tc>
        <w:tc>
          <w:tcPr>
            <w:tcW w:w="1180" w:type="dxa"/>
          </w:tcPr>
          <w:p w14:paraId="44F46B12" w14:textId="4945D4E9" w:rsidR="00C27944" w:rsidRPr="00B275E2" w:rsidRDefault="00C27944" w:rsidP="00E27A32">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0.57</w:t>
            </w:r>
          </w:p>
        </w:tc>
        <w:tc>
          <w:tcPr>
            <w:tcW w:w="862" w:type="dxa"/>
          </w:tcPr>
          <w:p w14:paraId="6FBC60BC" w14:textId="2A1DD144" w:rsidR="00C27944" w:rsidRPr="00B275E2" w:rsidRDefault="00C27944" w:rsidP="00E27A32">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1</w:t>
            </w:r>
          </w:p>
        </w:tc>
        <w:tc>
          <w:tcPr>
            <w:tcW w:w="1023" w:type="dxa"/>
          </w:tcPr>
          <w:p w14:paraId="28D80C47" w14:textId="2E0BFA76" w:rsidR="00C27944" w:rsidRPr="00B275E2" w:rsidRDefault="00C27944" w:rsidP="00E27A32">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16/12</w:t>
            </w:r>
          </w:p>
        </w:tc>
        <w:tc>
          <w:tcPr>
            <w:tcW w:w="862" w:type="dxa"/>
          </w:tcPr>
          <w:p w14:paraId="035BBC90" w14:textId="4B113D0D" w:rsidR="00C27944" w:rsidRPr="00B275E2" w:rsidRDefault="00C27944" w:rsidP="00E27A32">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0.1</w:t>
            </w:r>
          </w:p>
        </w:tc>
        <w:tc>
          <w:tcPr>
            <w:tcW w:w="1180" w:type="dxa"/>
            <w:tcBorders>
              <w:right w:val="single" w:sz="4" w:space="0" w:color="FFFFFF" w:themeColor="background1"/>
            </w:tcBorders>
          </w:tcPr>
          <w:p w14:paraId="715D9FB3" w14:textId="7AA9AEA3" w:rsidR="00C27944" w:rsidRPr="00B275E2" w:rsidRDefault="00C27944" w:rsidP="00E27A32">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0.68</w:t>
            </w:r>
          </w:p>
        </w:tc>
      </w:tr>
      <w:tr w:rsidR="00FD6696" w:rsidRPr="00B275E2" w14:paraId="568436DE" w14:textId="77777777" w:rsidTr="00EC0FF5">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FFFFFF" w:themeColor="background1"/>
            </w:tcBorders>
          </w:tcPr>
          <w:p w14:paraId="56D16A7C" w14:textId="77777777" w:rsidR="00E402A9" w:rsidRPr="00B275E2" w:rsidRDefault="00E402A9" w:rsidP="00E27A32">
            <w:pPr>
              <w:pStyle w:val="TableText"/>
              <w:spacing w:before="20" w:after="20"/>
              <w:rPr>
                <w:rFonts w:cs="Calibri"/>
                <w:b w:val="0"/>
                <w:szCs w:val="18"/>
              </w:rPr>
            </w:pPr>
            <w:r w:rsidRPr="00B275E2">
              <w:rPr>
                <w:rFonts w:cs="Calibri"/>
                <w:b w:val="0"/>
                <w:szCs w:val="18"/>
              </w:rPr>
              <w:t>Inert</w:t>
            </w:r>
          </w:p>
        </w:tc>
        <w:tc>
          <w:tcPr>
            <w:tcW w:w="0" w:type="auto"/>
          </w:tcPr>
          <w:p w14:paraId="3AEF0DA9" w14:textId="77777777" w:rsidR="00E402A9" w:rsidRPr="00B275E2" w:rsidRDefault="00E402A9" w:rsidP="00E27A32">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w:t>
            </w:r>
          </w:p>
        </w:tc>
        <w:tc>
          <w:tcPr>
            <w:tcW w:w="0" w:type="auto"/>
          </w:tcPr>
          <w:p w14:paraId="7FEBD479" w14:textId="77777777" w:rsidR="00E402A9" w:rsidRPr="00B275E2" w:rsidRDefault="00E402A9" w:rsidP="00E27A32">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0.5</w:t>
            </w:r>
          </w:p>
        </w:tc>
        <w:tc>
          <w:tcPr>
            <w:tcW w:w="0" w:type="auto"/>
          </w:tcPr>
          <w:p w14:paraId="15431C1F" w14:textId="070F3221" w:rsidR="00E402A9" w:rsidRPr="00B275E2" w:rsidRDefault="00E402A9" w:rsidP="00E27A32">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0.5</w:t>
            </w:r>
            <w:r w:rsidR="00C27944" w:rsidRPr="00B275E2">
              <w:rPr>
                <w:rFonts w:cs="Calibri"/>
                <w:szCs w:val="18"/>
              </w:rPr>
              <w:t>7</w:t>
            </w:r>
          </w:p>
        </w:tc>
        <w:tc>
          <w:tcPr>
            <w:tcW w:w="0" w:type="auto"/>
          </w:tcPr>
          <w:p w14:paraId="4A9A95F8" w14:textId="77777777" w:rsidR="00E402A9" w:rsidRPr="00B275E2" w:rsidRDefault="00E402A9" w:rsidP="00E27A32">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1</w:t>
            </w:r>
          </w:p>
        </w:tc>
        <w:tc>
          <w:tcPr>
            <w:tcW w:w="0" w:type="auto"/>
          </w:tcPr>
          <w:p w14:paraId="27783A97" w14:textId="77777777" w:rsidR="00E402A9" w:rsidRPr="00B275E2" w:rsidRDefault="00E402A9" w:rsidP="00E27A32">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16/12</w:t>
            </w:r>
          </w:p>
        </w:tc>
        <w:tc>
          <w:tcPr>
            <w:tcW w:w="0" w:type="auto"/>
          </w:tcPr>
          <w:p w14:paraId="4A6C711F" w14:textId="77777777" w:rsidR="00E402A9" w:rsidRPr="00B275E2" w:rsidRDefault="00E402A9" w:rsidP="00E27A32">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0.1</w:t>
            </w:r>
          </w:p>
        </w:tc>
        <w:tc>
          <w:tcPr>
            <w:tcW w:w="0" w:type="auto"/>
            <w:tcBorders>
              <w:right w:val="single" w:sz="4" w:space="0" w:color="FFFFFF" w:themeColor="background1"/>
            </w:tcBorders>
          </w:tcPr>
          <w:p w14:paraId="3D3C89EE" w14:textId="1DA8111E" w:rsidR="00E402A9" w:rsidRPr="00B275E2" w:rsidRDefault="00E402A9" w:rsidP="00E27A32">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w:t>
            </w:r>
            <w:r w:rsidR="00C27944" w:rsidRPr="00B275E2">
              <w:rPr>
                <w:rFonts w:cs="Calibri"/>
                <w:szCs w:val="18"/>
              </w:rPr>
              <w:t>68</w:t>
            </w:r>
          </w:p>
        </w:tc>
      </w:tr>
      <w:tr w:rsidR="00FD6696" w:rsidRPr="00B275E2" w14:paraId="48145A53" w14:textId="77777777" w:rsidTr="00EC0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FFFFFF" w:themeColor="background1"/>
            </w:tcBorders>
          </w:tcPr>
          <w:p w14:paraId="2939C076" w14:textId="77777777" w:rsidR="00A959E4" w:rsidRPr="00B275E2" w:rsidRDefault="00A959E4" w:rsidP="00E27A32">
            <w:pPr>
              <w:pStyle w:val="TableText"/>
              <w:spacing w:before="20" w:after="20"/>
              <w:rPr>
                <w:rFonts w:cs="Calibri"/>
                <w:b w:val="0"/>
                <w:szCs w:val="18"/>
              </w:rPr>
            </w:pPr>
            <w:r w:rsidRPr="00B275E2">
              <w:rPr>
                <w:rFonts w:cs="Calibri"/>
                <w:b w:val="0"/>
                <w:szCs w:val="18"/>
              </w:rPr>
              <w:t>Source of information</w:t>
            </w:r>
          </w:p>
        </w:tc>
        <w:tc>
          <w:tcPr>
            <w:tcW w:w="0" w:type="auto"/>
          </w:tcPr>
          <w:p w14:paraId="2799323B" w14:textId="53A566CB" w:rsidR="00A959E4" w:rsidRPr="00B275E2" w:rsidRDefault="00C27944" w:rsidP="00E27A32">
            <w:pPr>
              <w:pStyle w:val="TableText"/>
              <w:spacing w:before="20" w:after="2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Eunomia (unpublished)</w:t>
            </w:r>
          </w:p>
        </w:tc>
        <w:tc>
          <w:tcPr>
            <w:tcW w:w="0" w:type="auto"/>
          </w:tcPr>
          <w:p w14:paraId="3B28C039" w14:textId="6C30C535" w:rsidR="00A959E4" w:rsidRPr="00B275E2" w:rsidRDefault="00C27944" w:rsidP="00E27A32">
            <w:pPr>
              <w:pStyle w:val="TableText"/>
              <w:spacing w:before="20" w:after="2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Eunomia (unpublished)</w:t>
            </w:r>
            <w:r w:rsidR="00F103C2" w:rsidRPr="00B275E2">
              <w:rPr>
                <w:rFonts w:cs="Calibri"/>
                <w:szCs w:val="18"/>
              </w:rPr>
              <w:t xml:space="preserve"> except 0.5 is </w:t>
            </w:r>
            <w:r w:rsidR="00A959E4" w:rsidRPr="00B275E2">
              <w:rPr>
                <w:rFonts w:cs="Calibri"/>
                <w:szCs w:val="18"/>
              </w:rPr>
              <w:t>IPCC default for managed landfills</w:t>
            </w:r>
          </w:p>
        </w:tc>
        <w:tc>
          <w:tcPr>
            <w:tcW w:w="0" w:type="auto"/>
          </w:tcPr>
          <w:p w14:paraId="25632CCA" w14:textId="40DE4CD8" w:rsidR="00A959E4" w:rsidRPr="00B275E2" w:rsidRDefault="00F103C2" w:rsidP="00E27A32">
            <w:pPr>
              <w:pStyle w:val="TableText"/>
              <w:spacing w:before="20" w:after="2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 xml:space="preserve">Eunomia (unpublished) </w:t>
            </w:r>
          </w:p>
        </w:tc>
        <w:tc>
          <w:tcPr>
            <w:tcW w:w="0" w:type="auto"/>
          </w:tcPr>
          <w:p w14:paraId="68BA124E" w14:textId="77777777" w:rsidR="00A959E4" w:rsidRPr="00B275E2" w:rsidRDefault="00A959E4" w:rsidP="00E27A32">
            <w:pPr>
              <w:pStyle w:val="TableText"/>
              <w:spacing w:before="20" w:after="2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IPCC default for managed landfills</w:t>
            </w:r>
          </w:p>
        </w:tc>
        <w:tc>
          <w:tcPr>
            <w:tcW w:w="0" w:type="auto"/>
          </w:tcPr>
          <w:p w14:paraId="455D1AC5" w14:textId="77777777" w:rsidR="00A959E4" w:rsidRPr="00B275E2" w:rsidRDefault="00A959E4" w:rsidP="00E27A32">
            <w:pPr>
              <w:pStyle w:val="TableText"/>
              <w:spacing w:before="20" w:after="20"/>
              <w:cnfStyle w:val="000000100000" w:firstRow="0" w:lastRow="0" w:firstColumn="0" w:lastColumn="0" w:oddVBand="0" w:evenVBand="0" w:oddHBand="1" w:evenHBand="0" w:firstRowFirstColumn="0" w:firstRowLastColumn="0" w:lastRowFirstColumn="0" w:lastRowLastColumn="0"/>
              <w:rPr>
                <w:rFonts w:cs="Calibri"/>
                <w:szCs w:val="18"/>
              </w:rPr>
            </w:pPr>
          </w:p>
        </w:tc>
        <w:tc>
          <w:tcPr>
            <w:tcW w:w="0" w:type="auto"/>
          </w:tcPr>
          <w:p w14:paraId="1FD8C8A4" w14:textId="77777777" w:rsidR="00A959E4" w:rsidRPr="00B275E2" w:rsidRDefault="00A959E4" w:rsidP="00E27A32">
            <w:pPr>
              <w:pStyle w:val="TableText"/>
              <w:spacing w:before="20" w:after="2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IPCC default for managed landfills</w:t>
            </w:r>
          </w:p>
        </w:tc>
        <w:tc>
          <w:tcPr>
            <w:tcW w:w="0" w:type="auto"/>
            <w:tcBorders>
              <w:right w:val="single" w:sz="4" w:space="0" w:color="FFFFFF" w:themeColor="background1"/>
            </w:tcBorders>
          </w:tcPr>
          <w:p w14:paraId="5A960395" w14:textId="2B36D01D" w:rsidR="00A959E4" w:rsidRPr="00B275E2" w:rsidRDefault="00F103C2" w:rsidP="00E27A32">
            <w:pPr>
              <w:pStyle w:val="TableText"/>
              <w:spacing w:before="20" w:after="2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Eunomia (unpublished)</w:t>
            </w:r>
          </w:p>
        </w:tc>
      </w:tr>
    </w:tbl>
    <w:p w14:paraId="4FD9EAE8" w14:textId="229F6612" w:rsidR="00A959E4" w:rsidRPr="00B275E2" w:rsidRDefault="00535F0B" w:rsidP="00E27A32">
      <w:pPr>
        <w:pStyle w:val="Note"/>
        <w:spacing w:after="80"/>
      </w:pPr>
      <w:r w:rsidRPr="00B275E2">
        <w:t>Note</w:t>
      </w:r>
      <w:r w:rsidR="000C3EF0" w:rsidRPr="00B275E2">
        <w:t>:</w:t>
      </w:r>
      <w:r w:rsidRPr="00B275E2">
        <w:t xml:space="preserve"> </w:t>
      </w:r>
      <w:r w:rsidR="00A959E4" w:rsidRPr="00B275E2">
        <w:t>R only applies for landfills with gas recovery</w:t>
      </w:r>
      <w:r w:rsidR="009953FD" w:rsidRPr="00B275E2">
        <w:t>.</w:t>
      </w:r>
    </w:p>
    <w:p w14:paraId="3523FC7E" w14:textId="31BA9E63" w:rsidR="00E006C4" w:rsidRPr="00B275E2" w:rsidRDefault="00725A06" w:rsidP="00E27A32">
      <w:pPr>
        <w:pStyle w:val="Tableheading"/>
      </w:pPr>
      <w:bookmarkStart w:id="591" w:name="_Toc111536691"/>
      <w:r w:rsidRPr="00B275E2">
        <w:t xml:space="preserve">Table </w:t>
      </w:r>
      <w:r w:rsidRPr="00B275E2">
        <w:fldChar w:fldCharType="begin"/>
      </w:r>
      <w:r w:rsidRPr="00B275E2">
        <w:instrText>SEQ Table \* ARABIC</w:instrText>
      </w:r>
      <w:r w:rsidRPr="00B275E2">
        <w:fldChar w:fldCharType="separate"/>
      </w:r>
      <w:r>
        <w:rPr>
          <w:noProof/>
        </w:rPr>
        <w:t>86</w:t>
      </w:r>
      <w:r w:rsidRPr="00B275E2">
        <w:fldChar w:fldCharType="end"/>
      </w:r>
      <w:r w:rsidRPr="00B275E2">
        <w:t>:</w:t>
      </w:r>
      <w:r w:rsidRPr="00B275E2">
        <w:tab/>
      </w:r>
      <w:r w:rsidR="00E006C4" w:rsidRPr="00B275E2">
        <w:t>Information on non-municipal solid waste in 20</w:t>
      </w:r>
      <w:r w:rsidR="00A62EE5" w:rsidRPr="00B275E2">
        <w:t>20</w:t>
      </w:r>
      <w:bookmarkEnd w:id="591"/>
      <w:r w:rsidR="00E006C4" w:rsidRPr="00B275E2">
        <w:t xml:space="preserve"> </w:t>
      </w:r>
    </w:p>
    <w:tbl>
      <w:tblPr>
        <w:tblStyle w:val="LightList-Accent1"/>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CellMar>
          <w:left w:w="85" w:type="dxa"/>
          <w:right w:w="57" w:type="dxa"/>
        </w:tblCellMar>
        <w:tblLook w:val="04A0" w:firstRow="1" w:lastRow="0" w:firstColumn="1" w:lastColumn="0" w:noHBand="0" w:noVBand="1"/>
      </w:tblPr>
      <w:tblGrid>
        <w:gridCol w:w="1060"/>
        <w:gridCol w:w="1412"/>
        <w:gridCol w:w="1127"/>
        <w:gridCol w:w="1127"/>
        <w:gridCol w:w="1233"/>
        <w:gridCol w:w="980"/>
        <w:gridCol w:w="1127"/>
        <w:gridCol w:w="439"/>
      </w:tblGrid>
      <w:tr w:rsidR="00FB0FFD" w:rsidRPr="00B275E2" w14:paraId="14324FEB" w14:textId="77777777" w:rsidTr="00E27A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1B556B" w:themeFill="text2"/>
          </w:tcPr>
          <w:p w14:paraId="260C8A9D" w14:textId="77777777" w:rsidR="00730D20" w:rsidRPr="00B275E2" w:rsidRDefault="00730D20" w:rsidP="00E27A32">
            <w:pPr>
              <w:pStyle w:val="TableText"/>
              <w:keepNext/>
              <w:spacing w:before="20" w:after="20"/>
              <w:rPr>
                <w:rFonts w:cs="Calibri"/>
                <w:szCs w:val="18"/>
              </w:rPr>
            </w:pPr>
          </w:p>
        </w:tc>
        <w:tc>
          <w:tcPr>
            <w:tcW w:w="0" w:type="auto"/>
            <w:shd w:val="clear" w:color="auto" w:fill="1B556B" w:themeFill="text2"/>
          </w:tcPr>
          <w:p w14:paraId="4A2E7862" w14:textId="77777777" w:rsidR="00730D20" w:rsidRPr="00B275E2" w:rsidRDefault="00730D20" w:rsidP="00E27A32">
            <w:pPr>
              <w:pStyle w:val="TableText"/>
              <w:keepNext/>
              <w:spacing w:before="20" w:after="2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275E2">
              <w:rPr>
                <w:rFonts w:cs="Calibri"/>
                <w:szCs w:val="18"/>
              </w:rPr>
              <w:t>DOC</w:t>
            </w:r>
          </w:p>
        </w:tc>
        <w:tc>
          <w:tcPr>
            <w:tcW w:w="0" w:type="auto"/>
            <w:shd w:val="clear" w:color="auto" w:fill="1B556B" w:themeFill="text2"/>
          </w:tcPr>
          <w:p w14:paraId="73CD2F26" w14:textId="6FBE8221" w:rsidR="00730D20" w:rsidRPr="00B275E2" w:rsidRDefault="00730D20" w:rsidP="00E27A32">
            <w:pPr>
              <w:pStyle w:val="TableText"/>
              <w:keepNext/>
              <w:spacing w:before="20" w:after="2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275E2">
              <w:rPr>
                <w:rFonts w:cs="Calibri"/>
                <w:szCs w:val="18"/>
              </w:rPr>
              <w:t>DOC</w:t>
            </w:r>
            <w:r w:rsidR="00A62EE5" w:rsidRPr="00B275E2">
              <w:rPr>
                <w:rFonts w:cs="Calibri"/>
                <w:szCs w:val="18"/>
              </w:rPr>
              <w:t>f</w:t>
            </w:r>
          </w:p>
        </w:tc>
        <w:tc>
          <w:tcPr>
            <w:tcW w:w="0" w:type="auto"/>
            <w:shd w:val="clear" w:color="auto" w:fill="1B556B" w:themeFill="text2"/>
          </w:tcPr>
          <w:p w14:paraId="2196C60F" w14:textId="77777777" w:rsidR="00730D20" w:rsidRPr="00B275E2" w:rsidRDefault="00730D20" w:rsidP="00E27A32">
            <w:pPr>
              <w:pStyle w:val="TableText"/>
              <w:keepNext/>
              <w:spacing w:before="20" w:after="2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275E2">
              <w:rPr>
                <w:rFonts w:cs="Calibri"/>
                <w:szCs w:val="18"/>
              </w:rPr>
              <w:t>F</w:t>
            </w:r>
          </w:p>
        </w:tc>
        <w:tc>
          <w:tcPr>
            <w:tcW w:w="0" w:type="auto"/>
            <w:shd w:val="clear" w:color="auto" w:fill="1B556B" w:themeFill="text2"/>
          </w:tcPr>
          <w:p w14:paraId="3038EDAA" w14:textId="77777777" w:rsidR="00730D20" w:rsidRPr="00B275E2" w:rsidRDefault="00730D20" w:rsidP="00E27A32">
            <w:pPr>
              <w:pStyle w:val="TableText"/>
              <w:keepNext/>
              <w:spacing w:before="20" w:after="2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275E2">
              <w:rPr>
                <w:rFonts w:cs="Calibri"/>
                <w:szCs w:val="18"/>
              </w:rPr>
              <w:t>MCF</w:t>
            </w:r>
          </w:p>
        </w:tc>
        <w:tc>
          <w:tcPr>
            <w:tcW w:w="0" w:type="auto"/>
            <w:shd w:val="clear" w:color="auto" w:fill="1B556B" w:themeFill="text2"/>
          </w:tcPr>
          <w:p w14:paraId="13025FCA" w14:textId="77777777" w:rsidR="00730D20" w:rsidRPr="00B275E2" w:rsidRDefault="00730D20" w:rsidP="00E27A32">
            <w:pPr>
              <w:pStyle w:val="TableText"/>
              <w:keepNext/>
              <w:spacing w:before="20" w:after="2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275E2">
              <w:rPr>
                <w:rFonts w:cs="Calibri"/>
                <w:szCs w:val="18"/>
              </w:rPr>
              <w:t>Conversion</w:t>
            </w:r>
          </w:p>
        </w:tc>
        <w:tc>
          <w:tcPr>
            <w:tcW w:w="0" w:type="auto"/>
            <w:shd w:val="clear" w:color="auto" w:fill="1B556B" w:themeFill="text2"/>
          </w:tcPr>
          <w:p w14:paraId="5D21715E" w14:textId="77777777" w:rsidR="00730D20" w:rsidRPr="00B275E2" w:rsidRDefault="00730D20" w:rsidP="00E27A32">
            <w:pPr>
              <w:pStyle w:val="TableText"/>
              <w:keepNext/>
              <w:spacing w:before="20" w:after="2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275E2">
              <w:rPr>
                <w:rFonts w:cs="Calibri"/>
                <w:szCs w:val="18"/>
              </w:rPr>
              <w:t>Ox</w:t>
            </w:r>
          </w:p>
        </w:tc>
        <w:tc>
          <w:tcPr>
            <w:tcW w:w="0" w:type="auto"/>
            <w:shd w:val="clear" w:color="auto" w:fill="1B556B" w:themeFill="text2"/>
          </w:tcPr>
          <w:p w14:paraId="67070AB3" w14:textId="77777777" w:rsidR="00730D20" w:rsidRPr="00B275E2" w:rsidRDefault="00730D20" w:rsidP="00E27A32">
            <w:pPr>
              <w:pStyle w:val="TableText"/>
              <w:keepNext/>
              <w:spacing w:before="20" w:after="2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275E2">
              <w:rPr>
                <w:rFonts w:cs="Calibri"/>
                <w:szCs w:val="18"/>
              </w:rPr>
              <w:t>R</w:t>
            </w:r>
          </w:p>
        </w:tc>
      </w:tr>
      <w:tr w:rsidR="00FB0FFD" w:rsidRPr="00B275E2" w14:paraId="45D83F9F" w14:textId="77777777" w:rsidTr="00EC0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FFFFFF" w:themeColor="background1"/>
            </w:tcBorders>
          </w:tcPr>
          <w:p w14:paraId="6930AA82" w14:textId="7A0D913D" w:rsidR="00730D20" w:rsidRPr="00B275E2" w:rsidRDefault="00970F12" w:rsidP="00E27A32">
            <w:pPr>
              <w:pStyle w:val="TableText"/>
              <w:keepNext/>
              <w:spacing w:before="20" w:after="20"/>
              <w:rPr>
                <w:rFonts w:cs="Calibri"/>
                <w:b w:val="0"/>
                <w:szCs w:val="18"/>
              </w:rPr>
            </w:pPr>
            <w:r w:rsidRPr="00B275E2">
              <w:rPr>
                <w:rFonts w:cs="Calibri"/>
                <w:b w:val="0"/>
                <w:szCs w:val="18"/>
              </w:rPr>
              <w:t>Sludge</w:t>
            </w:r>
          </w:p>
        </w:tc>
        <w:tc>
          <w:tcPr>
            <w:tcW w:w="0" w:type="auto"/>
          </w:tcPr>
          <w:p w14:paraId="0B0A29A7" w14:textId="77777777" w:rsidR="00730D20" w:rsidRPr="00B275E2" w:rsidRDefault="00730D20" w:rsidP="00E27A32">
            <w:pPr>
              <w:pStyle w:val="TableText"/>
              <w:keepN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0.05</w:t>
            </w:r>
          </w:p>
        </w:tc>
        <w:tc>
          <w:tcPr>
            <w:tcW w:w="0" w:type="auto"/>
          </w:tcPr>
          <w:p w14:paraId="1FEC98C7" w14:textId="77777777" w:rsidR="00730D20" w:rsidRPr="00B275E2" w:rsidRDefault="00730D20" w:rsidP="00E27A32">
            <w:pPr>
              <w:pStyle w:val="TableText"/>
              <w:keepN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0.5</w:t>
            </w:r>
          </w:p>
        </w:tc>
        <w:tc>
          <w:tcPr>
            <w:tcW w:w="0" w:type="auto"/>
          </w:tcPr>
          <w:p w14:paraId="52ADCB1B" w14:textId="77777777" w:rsidR="00730D20" w:rsidRPr="00B275E2" w:rsidRDefault="00730D20" w:rsidP="00E27A32">
            <w:pPr>
              <w:pStyle w:val="TableText"/>
              <w:keepN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0.5</w:t>
            </w:r>
          </w:p>
        </w:tc>
        <w:tc>
          <w:tcPr>
            <w:tcW w:w="0" w:type="auto"/>
          </w:tcPr>
          <w:p w14:paraId="7055A937" w14:textId="77777777" w:rsidR="00730D20" w:rsidRPr="00B275E2" w:rsidRDefault="00730D20" w:rsidP="00E27A32">
            <w:pPr>
              <w:pStyle w:val="TableText"/>
              <w:keepN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0.42</w:t>
            </w:r>
          </w:p>
        </w:tc>
        <w:tc>
          <w:tcPr>
            <w:tcW w:w="0" w:type="auto"/>
          </w:tcPr>
          <w:p w14:paraId="21499E17" w14:textId="77777777" w:rsidR="00730D20" w:rsidRPr="00B275E2" w:rsidRDefault="00730D20" w:rsidP="00E27A32">
            <w:pPr>
              <w:pStyle w:val="TableText"/>
              <w:keepN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16/12</w:t>
            </w:r>
          </w:p>
        </w:tc>
        <w:tc>
          <w:tcPr>
            <w:tcW w:w="0" w:type="auto"/>
          </w:tcPr>
          <w:p w14:paraId="20429C9E" w14:textId="77777777" w:rsidR="00730D20" w:rsidRPr="00B275E2" w:rsidRDefault="00730D20" w:rsidP="00E27A32">
            <w:pPr>
              <w:pStyle w:val="TableText"/>
              <w:keepN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w:t>
            </w:r>
          </w:p>
        </w:tc>
        <w:tc>
          <w:tcPr>
            <w:tcW w:w="0" w:type="auto"/>
            <w:tcBorders>
              <w:right w:val="single" w:sz="4" w:space="0" w:color="FFFFFF" w:themeColor="background1"/>
            </w:tcBorders>
          </w:tcPr>
          <w:p w14:paraId="367F1F15" w14:textId="77777777" w:rsidR="00730D20" w:rsidRPr="00B275E2" w:rsidRDefault="00730D20" w:rsidP="00E27A32">
            <w:pPr>
              <w:pStyle w:val="TableText"/>
              <w:keepN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w:t>
            </w:r>
          </w:p>
        </w:tc>
      </w:tr>
      <w:tr w:rsidR="00FB0FFD" w:rsidRPr="00B275E2" w14:paraId="4AB5AF34" w14:textId="77777777" w:rsidTr="00EC0FF5">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FFFFFF" w:themeColor="background1"/>
            </w:tcBorders>
          </w:tcPr>
          <w:p w14:paraId="140D8C2F" w14:textId="77777777" w:rsidR="00730D20" w:rsidRPr="00B275E2" w:rsidRDefault="00730D20" w:rsidP="00E27A32">
            <w:pPr>
              <w:pStyle w:val="TableText"/>
              <w:spacing w:before="20" w:after="20"/>
              <w:rPr>
                <w:rFonts w:cs="Calibri"/>
                <w:b w:val="0"/>
                <w:szCs w:val="18"/>
              </w:rPr>
            </w:pPr>
            <w:r w:rsidRPr="00B275E2">
              <w:rPr>
                <w:rFonts w:cs="Calibri"/>
                <w:b w:val="0"/>
                <w:szCs w:val="18"/>
              </w:rPr>
              <w:t>C&amp;D</w:t>
            </w:r>
          </w:p>
        </w:tc>
        <w:tc>
          <w:tcPr>
            <w:tcW w:w="0" w:type="auto"/>
          </w:tcPr>
          <w:p w14:paraId="66C79D3F" w14:textId="77777777" w:rsidR="00730D20" w:rsidRPr="00B275E2" w:rsidRDefault="00730D20" w:rsidP="00E27A32">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0.04</w:t>
            </w:r>
          </w:p>
        </w:tc>
        <w:tc>
          <w:tcPr>
            <w:tcW w:w="0" w:type="auto"/>
          </w:tcPr>
          <w:p w14:paraId="12E8603E" w14:textId="77777777" w:rsidR="00730D20" w:rsidRPr="00B275E2" w:rsidRDefault="00730D20" w:rsidP="00E27A32">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0.5</w:t>
            </w:r>
          </w:p>
        </w:tc>
        <w:tc>
          <w:tcPr>
            <w:tcW w:w="0" w:type="auto"/>
          </w:tcPr>
          <w:p w14:paraId="77C0E2A4" w14:textId="77777777" w:rsidR="00730D20" w:rsidRPr="00B275E2" w:rsidRDefault="00730D20" w:rsidP="00E27A32">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0.5</w:t>
            </w:r>
          </w:p>
        </w:tc>
        <w:tc>
          <w:tcPr>
            <w:tcW w:w="0" w:type="auto"/>
          </w:tcPr>
          <w:p w14:paraId="3DC3AFA7" w14:textId="77777777" w:rsidR="00730D20" w:rsidRPr="00B275E2" w:rsidRDefault="00730D20" w:rsidP="00E27A32">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0.42</w:t>
            </w:r>
          </w:p>
        </w:tc>
        <w:tc>
          <w:tcPr>
            <w:tcW w:w="0" w:type="auto"/>
          </w:tcPr>
          <w:p w14:paraId="17368019" w14:textId="77777777" w:rsidR="00730D20" w:rsidRPr="00B275E2" w:rsidRDefault="00730D20" w:rsidP="00E27A32">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16/12</w:t>
            </w:r>
          </w:p>
        </w:tc>
        <w:tc>
          <w:tcPr>
            <w:tcW w:w="0" w:type="auto"/>
          </w:tcPr>
          <w:p w14:paraId="20DCFE2D" w14:textId="77777777" w:rsidR="00730D20" w:rsidRPr="00B275E2" w:rsidRDefault="00730D20" w:rsidP="00E27A32">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w:t>
            </w:r>
          </w:p>
        </w:tc>
        <w:tc>
          <w:tcPr>
            <w:tcW w:w="0" w:type="auto"/>
            <w:tcBorders>
              <w:right w:val="single" w:sz="4" w:space="0" w:color="FFFFFF" w:themeColor="background1"/>
            </w:tcBorders>
          </w:tcPr>
          <w:p w14:paraId="590FB593" w14:textId="77777777" w:rsidR="00730D20" w:rsidRPr="00B275E2" w:rsidRDefault="00730D20" w:rsidP="00E27A32">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w:t>
            </w:r>
          </w:p>
        </w:tc>
      </w:tr>
      <w:tr w:rsidR="00FB0FFD" w:rsidRPr="00B275E2" w14:paraId="31D68B32" w14:textId="77777777" w:rsidTr="00EC0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FFFFFF" w:themeColor="background1"/>
            </w:tcBorders>
          </w:tcPr>
          <w:p w14:paraId="370F3FD3" w14:textId="77777777" w:rsidR="00730D20" w:rsidRPr="00B275E2" w:rsidRDefault="00730D20" w:rsidP="00E27A32">
            <w:pPr>
              <w:pStyle w:val="TableText"/>
              <w:spacing w:before="20" w:after="20"/>
              <w:rPr>
                <w:rFonts w:cs="Calibri"/>
                <w:b w:val="0"/>
                <w:szCs w:val="18"/>
              </w:rPr>
            </w:pPr>
            <w:r w:rsidRPr="00B275E2">
              <w:rPr>
                <w:rFonts w:cs="Calibri"/>
                <w:b w:val="0"/>
                <w:szCs w:val="18"/>
              </w:rPr>
              <w:t>Bulk waste</w:t>
            </w:r>
          </w:p>
        </w:tc>
        <w:tc>
          <w:tcPr>
            <w:tcW w:w="0" w:type="auto"/>
          </w:tcPr>
          <w:p w14:paraId="5F1044A3" w14:textId="77777777" w:rsidR="00730D20" w:rsidRPr="00B275E2" w:rsidRDefault="00730D20" w:rsidP="00E27A32">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0.28</w:t>
            </w:r>
          </w:p>
        </w:tc>
        <w:tc>
          <w:tcPr>
            <w:tcW w:w="0" w:type="auto"/>
          </w:tcPr>
          <w:p w14:paraId="0E2609E5" w14:textId="77777777" w:rsidR="00730D20" w:rsidRPr="00B275E2" w:rsidRDefault="00730D20" w:rsidP="00E27A32">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0.5</w:t>
            </w:r>
          </w:p>
        </w:tc>
        <w:tc>
          <w:tcPr>
            <w:tcW w:w="0" w:type="auto"/>
          </w:tcPr>
          <w:p w14:paraId="64564026" w14:textId="77777777" w:rsidR="00730D20" w:rsidRPr="00B275E2" w:rsidRDefault="00730D20" w:rsidP="00E27A32">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0.5</w:t>
            </w:r>
          </w:p>
        </w:tc>
        <w:tc>
          <w:tcPr>
            <w:tcW w:w="0" w:type="auto"/>
          </w:tcPr>
          <w:p w14:paraId="5BE7E737" w14:textId="77777777" w:rsidR="00730D20" w:rsidRPr="00B275E2" w:rsidRDefault="00730D20" w:rsidP="00E27A32">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0.42</w:t>
            </w:r>
          </w:p>
        </w:tc>
        <w:tc>
          <w:tcPr>
            <w:tcW w:w="0" w:type="auto"/>
          </w:tcPr>
          <w:p w14:paraId="6A9E1B05" w14:textId="77777777" w:rsidR="00730D20" w:rsidRPr="00B275E2" w:rsidRDefault="00730D20" w:rsidP="00E27A32">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16/12</w:t>
            </w:r>
          </w:p>
        </w:tc>
        <w:tc>
          <w:tcPr>
            <w:tcW w:w="0" w:type="auto"/>
          </w:tcPr>
          <w:p w14:paraId="4E7F7A30" w14:textId="77777777" w:rsidR="00730D20" w:rsidRPr="00B275E2" w:rsidRDefault="00730D20" w:rsidP="00E27A32">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w:t>
            </w:r>
          </w:p>
        </w:tc>
        <w:tc>
          <w:tcPr>
            <w:tcW w:w="0" w:type="auto"/>
            <w:tcBorders>
              <w:right w:val="single" w:sz="4" w:space="0" w:color="FFFFFF" w:themeColor="background1"/>
            </w:tcBorders>
          </w:tcPr>
          <w:p w14:paraId="0B7F6872" w14:textId="77777777" w:rsidR="00730D20" w:rsidRPr="00B275E2" w:rsidRDefault="00730D20" w:rsidP="00E27A32">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w:t>
            </w:r>
          </w:p>
        </w:tc>
      </w:tr>
      <w:tr w:rsidR="00FB0FFD" w:rsidRPr="00B275E2" w14:paraId="5BBC29C3" w14:textId="77777777" w:rsidTr="00EC0FF5">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FFFFFF" w:themeColor="background1"/>
            </w:tcBorders>
          </w:tcPr>
          <w:p w14:paraId="0EA6D655" w14:textId="77777777" w:rsidR="00730D20" w:rsidRPr="00B275E2" w:rsidRDefault="00730D20" w:rsidP="00E27A32">
            <w:pPr>
              <w:pStyle w:val="TableText"/>
              <w:spacing w:before="20" w:after="20"/>
              <w:rPr>
                <w:rFonts w:cs="Calibri"/>
                <w:b w:val="0"/>
                <w:szCs w:val="18"/>
              </w:rPr>
            </w:pPr>
            <w:r w:rsidRPr="00B275E2">
              <w:rPr>
                <w:rFonts w:cs="Calibri"/>
                <w:b w:val="0"/>
                <w:szCs w:val="18"/>
              </w:rPr>
              <w:t>Food</w:t>
            </w:r>
          </w:p>
        </w:tc>
        <w:tc>
          <w:tcPr>
            <w:tcW w:w="0" w:type="auto"/>
          </w:tcPr>
          <w:p w14:paraId="31793433" w14:textId="77777777" w:rsidR="00730D20" w:rsidRPr="00B275E2" w:rsidRDefault="00730D20" w:rsidP="00E27A32">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0.15</w:t>
            </w:r>
          </w:p>
        </w:tc>
        <w:tc>
          <w:tcPr>
            <w:tcW w:w="0" w:type="auto"/>
          </w:tcPr>
          <w:p w14:paraId="11D460A5" w14:textId="77777777" w:rsidR="00730D20" w:rsidRPr="00B275E2" w:rsidRDefault="00730D20" w:rsidP="00E27A32">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0.5</w:t>
            </w:r>
          </w:p>
        </w:tc>
        <w:tc>
          <w:tcPr>
            <w:tcW w:w="0" w:type="auto"/>
          </w:tcPr>
          <w:p w14:paraId="1B8C64CC" w14:textId="77777777" w:rsidR="00730D20" w:rsidRPr="00B275E2" w:rsidRDefault="00730D20" w:rsidP="00E27A32">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0.5</w:t>
            </w:r>
          </w:p>
        </w:tc>
        <w:tc>
          <w:tcPr>
            <w:tcW w:w="0" w:type="auto"/>
          </w:tcPr>
          <w:p w14:paraId="7403AB31" w14:textId="77777777" w:rsidR="00730D20" w:rsidRPr="00B275E2" w:rsidRDefault="00730D20" w:rsidP="00E27A32">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0.42</w:t>
            </w:r>
          </w:p>
        </w:tc>
        <w:tc>
          <w:tcPr>
            <w:tcW w:w="0" w:type="auto"/>
          </w:tcPr>
          <w:p w14:paraId="4BCB62C6" w14:textId="77777777" w:rsidR="00730D20" w:rsidRPr="00B275E2" w:rsidRDefault="00730D20" w:rsidP="00E27A32">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16/12</w:t>
            </w:r>
          </w:p>
        </w:tc>
        <w:tc>
          <w:tcPr>
            <w:tcW w:w="0" w:type="auto"/>
          </w:tcPr>
          <w:p w14:paraId="54991607" w14:textId="77777777" w:rsidR="00730D20" w:rsidRPr="00B275E2" w:rsidRDefault="00730D20" w:rsidP="00E27A32">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w:t>
            </w:r>
          </w:p>
        </w:tc>
        <w:tc>
          <w:tcPr>
            <w:tcW w:w="0" w:type="auto"/>
            <w:tcBorders>
              <w:right w:val="single" w:sz="4" w:space="0" w:color="FFFFFF" w:themeColor="background1"/>
            </w:tcBorders>
          </w:tcPr>
          <w:p w14:paraId="0FEEEB0E" w14:textId="77777777" w:rsidR="00730D20" w:rsidRPr="00B275E2" w:rsidRDefault="00730D20" w:rsidP="00E27A32">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w:t>
            </w:r>
          </w:p>
        </w:tc>
      </w:tr>
      <w:tr w:rsidR="00FB0FFD" w:rsidRPr="00B275E2" w14:paraId="7812C5F2" w14:textId="77777777" w:rsidTr="00EC0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FFFFFF" w:themeColor="background1"/>
            </w:tcBorders>
          </w:tcPr>
          <w:p w14:paraId="5C9B0816" w14:textId="77777777" w:rsidR="00730D20" w:rsidRPr="00B275E2" w:rsidRDefault="00730D20" w:rsidP="00E27A32">
            <w:pPr>
              <w:pStyle w:val="TableText"/>
              <w:spacing w:before="20" w:after="20"/>
              <w:rPr>
                <w:rFonts w:cs="Calibri"/>
                <w:b w:val="0"/>
                <w:szCs w:val="18"/>
              </w:rPr>
            </w:pPr>
            <w:r w:rsidRPr="00B275E2">
              <w:rPr>
                <w:rFonts w:cs="Calibri"/>
                <w:b w:val="0"/>
                <w:szCs w:val="18"/>
              </w:rPr>
              <w:t>Garden</w:t>
            </w:r>
          </w:p>
        </w:tc>
        <w:tc>
          <w:tcPr>
            <w:tcW w:w="0" w:type="auto"/>
          </w:tcPr>
          <w:p w14:paraId="42922390" w14:textId="77777777" w:rsidR="00730D20" w:rsidRPr="00B275E2" w:rsidRDefault="00730D20" w:rsidP="00E27A32">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0.2</w:t>
            </w:r>
          </w:p>
        </w:tc>
        <w:tc>
          <w:tcPr>
            <w:tcW w:w="0" w:type="auto"/>
          </w:tcPr>
          <w:p w14:paraId="7B6B108B" w14:textId="77777777" w:rsidR="00730D20" w:rsidRPr="00B275E2" w:rsidRDefault="00730D20" w:rsidP="00E27A32">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0.5</w:t>
            </w:r>
          </w:p>
        </w:tc>
        <w:tc>
          <w:tcPr>
            <w:tcW w:w="0" w:type="auto"/>
          </w:tcPr>
          <w:p w14:paraId="55669E67" w14:textId="77777777" w:rsidR="00730D20" w:rsidRPr="00B275E2" w:rsidRDefault="00730D20" w:rsidP="00E27A32">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0.5</w:t>
            </w:r>
          </w:p>
        </w:tc>
        <w:tc>
          <w:tcPr>
            <w:tcW w:w="0" w:type="auto"/>
          </w:tcPr>
          <w:p w14:paraId="5CD7C3A3" w14:textId="77777777" w:rsidR="00730D20" w:rsidRPr="00B275E2" w:rsidRDefault="00730D20" w:rsidP="00E27A32">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0.42</w:t>
            </w:r>
          </w:p>
        </w:tc>
        <w:tc>
          <w:tcPr>
            <w:tcW w:w="0" w:type="auto"/>
          </w:tcPr>
          <w:p w14:paraId="5C792578" w14:textId="77777777" w:rsidR="00730D20" w:rsidRPr="00B275E2" w:rsidRDefault="00730D20" w:rsidP="00E27A32">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16/12</w:t>
            </w:r>
          </w:p>
        </w:tc>
        <w:tc>
          <w:tcPr>
            <w:tcW w:w="0" w:type="auto"/>
          </w:tcPr>
          <w:p w14:paraId="2E9F63F5" w14:textId="77777777" w:rsidR="00730D20" w:rsidRPr="00B275E2" w:rsidRDefault="00730D20" w:rsidP="00E27A32">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w:t>
            </w:r>
          </w:p>
        </w:tc>
        <w:tc>
          <w:tcPr>
            <w:tcW w:w="0" w:type="auto"/>
            <w:tcBorders>
              <w:right w:val="single" w:sz="4" w:space="0" w:color="FFFFFF" w:themeColor="background1"/>
            </w:tcBorders>
          </w:tcPr>
          <w:p w14:paraId="33CA6F0B" w14:textId="77777777" w:rsidR="00730D20" w:rsidRPr="00B275E2" w:rsidRDefault="00730D20" w:rsidP="00E27A32">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w:t>
            </w:r>
          </w:p>
        </w:tc>
      </w:tr>
      <w:tr w:rsidR="00FB0FFD" w:rsidRPr="00B275E2" w14:paraId="2690DBBA" w14:textId="77777777" w:rsidTr="00EC0FF5">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FFFFFF" w:themeColor="background1"/>
            </w:tcBorders>
          </w:tcPr>
          <w:p w14:paraId="0340C3AA" w14:textId="77777777" w:rsidR="00730D20" w:rsidRPr="00B275E2" w:rsidRDefault="00730D20" w:rsidP="00E27A32">
            <w:pPr>
              <w:pStyle w:val="TableText"/>
              <w:spacing w:before="20" w:after="20"/>
              <w:rPr>
                <w:rFonts w:cs="Calibri"/>
                <w:b w:val="0"/>
                <w:szCs w:val="18"/>
              </w:rPr>
            </w:pPr>
            <w:r w:rsidRPr="00B275E2">
              <w:rPr>
                <w:rFonts w:cs="Calibri"/>
                <w:b w:val="0"/>
                <w:szCs w:val="18"/>
              </w:rPr>
              <w:t>Industrial</w:t>
            </w:r>
          </w:p>
        </w:tc>
        <w:tc>
          <w:tcPr>
            <w:tcW w:w="0" w:type="auto"/>
          </w:tcPr>
          <w:p w14:paraId="669EEFDA" w14:textId="77777777" w:rsidR="00730D20" w:rsidRPr="00B275E2" w:rsidRDefault="00730D20" w:rsidP="00E27A32">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0.15</w:t>
            </w:r>
          </w:p>
        </w:tc>
        <w:tc>
          <w:tcPr>
            <w:tcW w:w="0" w:type="auto"/>
          </w:tcPr>
          <w:p w14:paraId="7A6466A5" w14:textId="77777777" w:rsidR="00730D20" w:rsidRPr="00B275E2" w:rsidRDefault="00730D20" w:rsidP="00E27A32">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0.5</w:t>
            </w:r>
          </w:p>
        </w:tc>
        <w:tc>
          <w:tcPr>
            <w:tcW w:w="0" w:type="auto"/>
          </w:tcPr>
          <w:p w14:paraId="78C2C0B9" w14:textId="77777777" w:rsidR="00730D20" w:rsidRPr="00B275E2" w:rsidRDefault="00730D20" w:rsidP="00E27A32">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0.5</w:t>
            </w:r>
          </w:p>
        </w:tc>
        <w:tc>
          <w:tcPr>
            <w:tcW w:w="0" w:type="auto"/>
          </w:tcPr>
          <w:p w14:paraId="626871EA" w14:textId="77777777" w:rsidR="00730D20" w:rsidRPr="00B275E2" w:rsidRDefault="00730D20" w:rsidP="00E27A32">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0.42</w:t>
            </w:r>
          </w:p>
        </w:tc>
        <w:tc>
          <w:tcPr>
            <w:tcW w:w="0" w:type="auto"/>
          </w:tcPr>
          <w:p w14:paraId="5BE70FD3" w14:textId="77777777" w:rsidR="00730D20" w:rsidRPr="00B275E2" w:rsidRDefault="00730D20" w:rsidP="00E27A32">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16/12</w:t>
            </w:r>
          </w:p>
        </w:tc>
        <w:tc>
          <w:tcPr>
            <w:tcW w:w="0" w:type="auto"/>
          </w:tcPr>
          <w:p w14:paraId="4A56E81F" w14:textId="77777777" w:rsidR="00730D20" w:rsidRPr="00B275E2" w:rsidRDefault="00730D20" w:rsidP="00E27A32">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w:t>
            </w:r>
          </w:p>
        </w:tc>
        <w:tc>
          <w:tcPr>
            <w:tcW w:w="0" w:type="auto"/>
            <w:tcBorders>
              <w:right w:val="single" w:sz="4" w:space="0" w:color="FFFFFF" w:themeColor="background1"/>
            </w:tcBorders>
          </w:tcPr>
          <w:p w14:paraId="0313B845" w14:textId="77777777" w:rsidR="00730D20" w:rsidRPr="00B275E2" w:rsidRDefault="00730D20" w:rsidP="00E27A32">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w:t>
            </w:r>
          </w:p>
        </w:tc>
      </w:tr>
      <w:tr w:rsidR="00FB0FFD" w:rsidRPr="00B275E2" w14:paraId="53899491" w14:textId="77777777" w:rsidTr="00EC0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FFFFFF" w:themeColor="background1"/>
            </w:tcBorders>
          </w:tcPr>
          <w:p w14:paraId="1E4A2BF1" w14:textId="77777777" w:rsidR="00730D20" w:rsidRPr="00B275E2" w:rsidRDefault="00730D20" w:rsidP="00E27A32">
            <w:pPr>
              <w:pStyle w:val="TableText"/>
              <w:spacing w:before="20" w:after="20"/>
              <w:rPr>
                <w:rFonts w:cs="Calibri"/>
                <w:b w:val="0"/>
                <w:szCs w:val="18"/>
              </w:rPr>
            </w:pPr>
            <w:r w:rsidRPr="00B275E2">
              <w:rPr>
                <w:rFonts w:cs="Calibri"/>
                <w:b w:val="0"/>
                <w:szCs w:val="18"/>
              </w:rPr>
              <w:t>Wood</w:t>
            </w:r>
          </w:p>
        </w:tc>
        <w:tc>
          <w:tcPr>
            <w:tcW w:w="0" w:type="auto"/>
          </w:tcPr>
          <w:p w14:paraId="1E847DF7" w14:textId="7589C85E" w:rsidR="00730D20" w:rsidRPr="00B275E2" w:rsidRDefault="00730D20" w:rsidP="00E27A32">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w:t>
            </w:r>
            <w:r w:rsidR="00A62EE5" w:rsidRPr="00B275E2">
              <w:rPr>
                <w:rFonts w:cs="Calibri"/>
                <w:szCs w:val="18"/>
              </w:rPr>
              <w:t>34</w:t>
            </w:r>
          </w:p>
        </w:tc>
        <w:tc>
          <w:tcPr>
            <w:tcW w:w="0" w:type="auto"/>
          </w:tcPr>
          <w:p w14:paraId="5BE13629" w14:textId="77777777" w:rsidR="00730D20" w:rsidRPr="00B275E2" w:rsidRDefault="00730D20" w:rsidP="00E27A32">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0.5</w:t>
            </w:r>
          </w:p>
        </w:tc>
        <w:tc>
          <w:tcPr>
            <w:tcW w:w="0" w:type="auto"/>
          </w:tcPr>
          <w:p w14:paraId="69E79D08" w14:textId="77777777" w:rsidR="00730D20" w:rsidRPr="00B275E2" w:rsidRDefault="00730D20" w:rsidP="00E27A32">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0.5</w:t>
            </w:r>
          </w:p>
        </w:tc>
        <w:tc>
          <w:tcPr>
            <w:tcW w:w="0" w:type="auto"/>
          </w:tcPr>
          <w:p w14:paraId="75802973" w14:textId="77777777" w:rsidR="00730D20" w:rsidRPr="00B275E2" w:rsidRDefault="00730D20" w:rsidP="00E27A32">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0.42</w:t>
            </w:r>
          </w:p>
        </w:tc>
        <w:tc>
          <w:tcPr>
            <w:tcW w:w="0" w:type="auto"/>
          </w:tcPr>
          <w:p w14:paraId="50C3100C" w14:textId="77777777" w:rsidR="00730D20" w:rsidRPr="00B275E2" w:rsidRDefault="00730D20" w:rsidP="00E27A32">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16/12</w:t>
            </w:r>
          </w:p>
        </w:tc>
        <w:tc>
          <w:tcPr>
            <w:tcW w:w="0" w:type="auto"/>
          </w:tcPr>
          <w:p w14:paraId="664B6C28" w14:textId="77777777" w:rsidR="00730D20" w:rsidRPr="00B275E2" w:rsidRDefault="00730D20" w:rsidP="00E27A32">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w:t>
            </w:r>
          </w:p>
        </w:tc>
        <w:tc>
          <w:tcPr>
            <w:tcW w:w="0" w:type="auto"/>
            <w:tcBorders>
              <w:right w:val="single" w:sz="4" w:space="0" w:color="FFFFFF" w:themeColor="background1"/>
            </w:tcBorders>
          </w:tcPr>
          <w:p w14:paraId="76812587" w14:textId="77777777" w:rsidR="00730D20" w:rsidRPr="00B275E2" w:rsidRDefault="00730D20" w:rsidP="00E27A32">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w:t>
            </w:r>
          </w:p>
        </w:tc>
      </w:tr>
      <w:tr w:rsidR="00FB0FFD" w:rsidRPr="00B275E2" w14:paraId="289E5702" w14:textId="77777777" w:rsidTr="00EC0FF5">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FFFFFF" w:themeColor="background1"/>
            </w:tcBorders>
          </w:tcPr>
          <w:p w14:paraId="60156780" w14:textId="77777777" w:rsidR="00730D20" w:rsidRPr="00B275E2" w:rsidRDefault="00730D20" w:rsidP="00E27A32">
            <w:pPr>
              <w:pStyle w:val="TableText"/>
              <w:spacing w:before="20" w:after="20"/>
              <w:rPr>
                <w:rFonts w:cs="Calibri"/>
                <w:b w:val="0"/>
                <w:szCs w:val="18"/>
              </w:rPr>
            </w:pPr>
            <w:r w:rsidRPr="00B275E2">
              <w:rPr>
                <w:rFonts w:cs="Calibri"/>
                <w:b w:val="0"/>
                <w:szCs w:val="18"/>
              </w:rPr>
              <w:t>Source of information</w:t>
            </w:r>
          </w:p>
        </w:tc>
        <w:tc>
          <w:tcPr>
            <w:tcW w:w="0" w:type="auto"/>
          </w:tcPr>
          <w:p w14:paraId="303077C3" w14:textId="71626C6F" w:rsidR="00730D20" w:rsidRPr="00B275E2" w:rsidRDefault="00730D20" w:rsidP="00E27A32">
            <w:pPr>
              <w:pStyle w:val="TableText"/>
              <w:spacing w:before="20" w:after="2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Tonkin &amp; Taylor (</w:t>
            </w:r>
            <w:r w:rsidR="00A62EE5" w:rsidRPr="00B275E2">
              <w:rPr>
                <w:rFonts w:cs="Calibri"/>
                <w:szCs w:val="18"/>
              </w:rPr>
              <w:t>unpublished</w:t>
            </w:r>
            <w:r w:rsidR="00F829FF" w:rsidRPr="00B275E2">
              <w:rPr>
                <w:rFonts w:cs="Calibri"/>
                <w:szCs w:val="18"/>
              </w:rPr>
              <w:t>) based on IPCC 2006 vol. 5, table 3.1</w:t>
            </w:r>
            <w:r w:rsidR="00F829FF" w:rsidRPr="00B275E2">
              <w:rPr>
                <w:rStyle w:val="FootnoteReference"/>
                <w:rFonts w:cs="Calibri"/>
                <w:sz w:val="18"/>
                <w:szCs w:val="18"/>
              </w:rPr>
              <w:footnoteReference w:id="72"/>
            </w:r>
            <w:r w:rsidR="00F829FF" w:rsidRPr="00B275E2">
              <w:rPr>
                <w:rFonts w:cs="Calibri"/>
                <w:szCs w:val="18"/>
              </w:rPr>
              <w:t xml:space="preserve"> </w:t>
            </w:r>
          </w:p>
        </w:tc>
        <w:tc>
          <w:tcPr>
            <w:tcW w:w="0" w:type="auto"/>
          </w:tcPr>
          <w:p w14:paraId="4E6F3AA6" w14:textId="77777777" w:rsidR="00730D20" w:rsidRPr="00B275E2" w:rsidRDefault="00730D20" w:rsidP="00E27A32">
            <w:pPr>
              <w:pStyle w:val="TableText"/>
              <w:spacing w:before="20" w:after="2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IPCC default for unmanaged landfills</w:t>
            </w:r>
          </w:p>
        </w:tc>
        <w:tc>
          <w:tcPr>
            <w:tcW w:w="0" w:type="auto"/>
          </w:tcPr>
          <w:p w14:paraId="1C29BEBC" w14:textId="77777777" w:rsidR="00730D20" w:rsidRPr="00B275E2" w:rsidRDefault="00730D20" w:rsidP="00E27A32">
            <w:pPr>
              <w:pStyle w:val="TableText"/>
              <w:spacing w:before="20" w:after="2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IPCC default for unmanaged landfills</w:t>
            </w:r>
          </w:p>
        </w:tc>
        <w:tc>
          <w:tcPr>
            <w:tcW w:w="0" w:type="auto"/>
          </w:tcPr>
          <w:p w14:paraId="0886F044" w14:textId="67E6DEE6" w:rsidR="00730D20" w:rsidRPr="00B275E2" w:rsidRDefault="00730D20" w:rsidP="00E27A32">
            <w:pPr>
              <w:pStyle w:val="TableText"/>
              <w:spacing w:before="20" w:after="2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Tonkin &amp; Taylor (</w:t>
            </w:r>
            <w:r w:rsidR="00FB0FFD" w:rsidRPr="00B275E2">
              <w:rPr>
                <w:rFonts w:cs="Calibri"/>
                <w:szCs w:val="18"/>
              </w:rPr>
              <w:t>unpublished</w:t>
            </w:r>
            <w:r w:rsidRPr="00B275E2">
              <w:rPr>
                <w:rFonts w:cs="Calibri"/>
                <w:szCs w:val="18"/>
              </w:rPr>
              <w:t>)</w:t>
            </w:r>
          </w:p>
        </w:tc>
        <w:tc>
          <w:tcPr>
            <w:tcW w:w="0" w:type="auto"/>
          </w:tcPr>
          <w:p w14:paraId="3BBC1C7F" w14:textId="77777777" w:rsidR="00730D20" w:rsidRPr="00B275E2" w:rsidRDefault="00730D20" w:rsidP="00E27A32">
            <w:pPr>
              <w:pStyle w:val="TableText"/>
              <w:spacing w:before="20" w:after="20"/>
              <w:cnfStyle w:val="000000000000" w:firstRow="0" w:lastRow="0" w:firstColumn="0" w:lastColumn="0" w:oddVBand="0" w:evenVBand="0" w:oddHBand="0" w:evenHBand="0" w:firstRowFirstColumn="0" w:firstRowLastColumn="0" w:lastRowFirstColumn="0" w:lastRowLastColumn="0"/>
              <w:rPr>
                <w:rFonts w:cs="Calibri"/>
                <w:szCs w:val="18"/>
              </w:rPr>
            </w:pPr>
          </w:p>
        </w:tc>
        <w:tc>
          <w:tcPr>
            <w:tcW w:w="0" w:type="auto"/>
          </w:tcPr>
          <w:p w14:paraId="3A9E0C07" w14:textId="77777777" w:rsidR="00730D20" w:rsidRPr="00B275E2" w:rsidRDefault="00730D20" w:rsidP="00E27A32">
            <w:pPr>
              <w:pStyle w:val="TableText"/>
              <w:spacing w:before="20" w:after="2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IPCC default for unmanaged landfills</w:t>
            </w:r>
          </w:p>
        </w:tc>
        <w:tc>
          <w:tcPr>
            <w:tcW w:w="0" w:type="auto"/>
            <w:tcBorders>
              <w:right w:val="single" w:sz="4" w:space="0" w:color="FFFFFF" w:themeColor="background1"/>
            </w:tcBorders>
          </w:tcPr>
          <w:p w14:paraId="5C4044DA" w14:textId="77777777" w:rsidR="00730D20" w:rsidRPr="00B275E2" w:rsidRDefault="00730D20" w:rsidP="00E27A32">
            <w:pPr>
              <w:pStyle w:val="TableText"/>
              <w:spacing w:before="20" w:after="2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MfE</w:t>
            </w:r>
          </w:p>
        </w:tc>
      </w:tr>
    </w:tbl>
    <w:p w14:paraId="7615AE6E" w14:textId="7DCAFA40" w:rsidR="00A959E4" w:rsidRPr="00B275E2" w:rsidRDefault="00A959E4" w:rsidP="00D411C0">
      <w:pPr>
        <w:pStyle w:val="Heading3"/>
      </w:pPr>
      <w:bookmarkStart w:id="592" w:name="_Toc532904955"/>
      <w:r w:rsidRPr="00B275E2">
        <w:t>Whe</w:t>
      </w:r>
      <w:r w:rsidR="000C3EF0" w:rsidRPr="00B275E2">
        <w:t>n</w:t>
      </w:r>
      <w:r w:rsidRPr="00B275E2">
        <w:t xml:space="preserve"> composition of waste is unknown</w:t>
      </w:r>
      <w:bookmarkEnd w:id="592"/>
      <w:r w:rsidRPr="00B275E2">
        <w:t xml:space="preserve"> </w:t>
      </w:r>
    </w:p>
    <w:p w14:paraId="38D19E3C" w14:textId="0AD7ECB7" w:rsidR="00A959E4" w:rsidRPr="00B275E2" w:rsidRDefault="000C3EF0" w:rsidP="007F0B1E">
      <w:pPr>
        <w:pStyle w:val="BodyText"/>
        <w:rPr>
          <w:spacing w:val="-2"/>
        </w:rPr>
      </w:pPr>
      <w:r w:rsidRPr="00B275E2">
        <w:rPr>
          <w:spacing w:val="-2"/>
        </w:rPr>
        <w:t xml:space="preserve">If the </w:t>
      </w:r>
      <w:r w:rsidR="00A959E4" w:rsidRPr="00B275E2">
        <w:rPr>
          <w:spacing w:val="-2"/>
        </w:rPr>
        <w:t xml:space="preserve">composition is </w:t>
      </w:r>
      <w:r w:rsidR="00535F0B" w:rsidRPr="00B275E2">
        <w:rPr>
          <w:spacing w:val="-2"/>
        </w:rPr>
        <w:t>un</w:t>
      </w:r>
      <w:r w:rsidR="00A959E4" w:rsidRPr="00B275E2">
        <w:rPr>
          <w:spacing w:val="-2"/>
        </w:rPr>
        <w:t>known</w:t>
      </w:r>
      <w:r w:rsidRPr="00B275E2">
        <w:rPr>
          <w:spacing w:val="-2"/>
        </w:rPr>
        <w:t>,</w:t>
      </w:r>
      <w:r w:rsidR="00A959E4" w:rsidRPr="00B275E2">
        <w:rPr>
          <w:spacing w:val="-2"/>
        </w:rPr>
        <w:t xml:space="preserve"> select a general waste or an office waste default emission factor.</w:t>
      </w:r>
    </w:p>
    <w:p w14:paraId="5CB02967" w14:textId="661B1C2A" w:rsidR="00A959E4" w:rsidRPr="00B275E2" w:rsidRDefault="00535F0B" w:rsidP="007F0B1E">
      <w:pPr>
        <w:pStyle w:val="BodyText"/>
      </w:pPr>
      <w:r w:rsidRPr="00B275E2">
        <w:t>We based t</w:t>
      </w:r>
      <w:r w:rsidR="00A959E4" w:rsidRPr="00B275E2">
        <w:t>he default emission factor fo</w:t>
      </w:r>
      <w:r w:rsidR="000F67DB" w:rsidRPr="00B275E2">
        <w:t>r general</w:t>
      </w:r>
      <w:r w:rsidR="00A959E4" w:rsidRPr="00B275E2" w:rsidDel="000F67DB">
        <w:t xml:space="preserve"> </w:t>
      </w:r>
      <w:r w:rsidR="00A959E4" w:rsidRPr="00B275E2">
        <w:t xml:space="preserve">waste on national average composition data from </w:t>
      </w:r>
      <w:r w:rsidR="006264E4" w:rsidRPr="00B275E2">
        <w:rPr>
          <w:rFonts w:eastAsia="Times New Roman" w:cs="Times New Roman"/>
        </w:rPr>
        <w:t xml:space="preserve">the </w:t>
      </w:r>
      <w:r w:rsidR="008F13DC" w:rsidRPr="00B275E2">
        <w:rPr>
          <w:rFonts w:eastAsia="Times New Roman" w:cs="Times New Roman"/>
          <w:i/>
          <w:iCs/>
        </w:rPr>
        <w:t>New Zealand Greenhouse Gas Inventory 1990-2020</w:t>
      </w:r>
      <w:r w:rsidR="002B49F1" w:rsidRPr="00B275E2">
        <w:rPr>
          <w:rFonts w:eastAsia="Times New Roman" w:cs="Times New Roman"/>
        </w:rPr>
        <w:t xml:space="preserve">, </w:t>
      </w:r>
      <w:r w:rsidR="00A959E4" w:rsidRPr="00B275E2">
        <w:t xml:space="preserve">as </w:t>
      </w:r>
      <w:r w:rsidR="000C3EF0" w:rsidRPr="00B275E2">
        <w:t>in</w:t>
      </w:r>
      <w:r w:rsidR="00A959E4" w:rsidRPr="00B275E2">
        <w:t xml:space="preserve"> </w:t>
      </w:r>
      <w:r w:rsidR="007B3778" w:rsidRPr="00B275E2">
        <w:t>table 8</w:t>
      </w:r>
      <w:r w:rsidR="00F23341">
        <w:t>6</w:t>
      </w:r>
      <w:r w:rsidR="007B3778" w:rsidRPr="00B275E2">
        <w:t xml:space="preserve"> </w:t>
      </w:r>
      <w:r w:rsidR="00A959E4" w:rsidRPr="00B275E2">
        <w:t xml:space="preserve">above. </w:t>
      </w:r>
    </w:p>
    <w:p w14:paraId="6D314ACD" w14:textId="5DA57EEE" w:rsidR="00A959E4" w:rsidRPr="00B275E2" w:rsidRDefault="00A959E4" w:rsidP="007F0B1E">
      <w:pPr>
        <w:pStyle w:val="BodyText"/>
      </w:pPr>
      <w:r w:rsidRPr="00B275E2">
        <w:t>The following is the composition used to calculate office waste data.</w:t>
      </w:r>
    </w:p>
    <w:p w14:paraId="170F9A61" w14:textId="376AC390" w:rsidR="00A959E4" w:rsidRPr="00B275E2" w:rsidRDefault="00730FF9" w:rsidP="00E27A32">
      <w:pPr>
        <w:pStyle w:val="Tableheading"/>
      </w:pPr>
      <w:bookmarkStart w:id="593" w:name="_Toc111536692"/>
      <w:r w:rsidRPr="00B275E2">
        <w:t xml:space="preserve">Table </w:t>
      </w:r>
      <w:r w:rsidRPr="00B275E2">
        <w:fldChar w:fldCharType="begin"/>
      </w:r>
      <w:r w:rsidRPr="00B275E2">
        <w:instrText>SEQ Table \* ARABIC</w:instrText>
      </w:r>
      <w:r w:rsidRPr="00B275E2">
        <w:fldChar w:fldCharType="separate"/>
      </w:r>
      <w:r>
        <w:rPr>
          <w:noProof/>
        </w:rPr>
        <w:t>87</w:t>
      </w:r>
      <w:r w:rsidRPr="00B275E2">
        <w:fldChar w:fldCharType="end"/>
      </w:r>
      <w:r w:rsidRPr="00B275E2">
        <w:t>:</w:t>
      </w:r>
      <w:r w:rsidRPr="00B275E2">
        <w:tab/>
      </w:r>
      <w:r w:rsidR="00A959E4" w:rsidRPr="00B275E2">
        <w:t>Composition of typical office waste</w:t>
      </w:r>
      <w:bookmarkEnd w:id="593"/>
    </w:p>
    <w:tbl>
      <w:tblPr>
        <w:tblStyle w:val="LightList-Accent2"/>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4022"/>
        <w:gridCol w:w="4483"/>
      </w:tblGrid>
      <w:tr w:rsidR="00A959E4" w:rsidRPr="00B275E2" w14:paraId="0542F005" w14:textId="77777777" w:rsidTr="00E27A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gridSpan w:val="2"/>
            <w:shd w:val="clear" w:color="auto" w:fill="1B556B" w:themeFill="text2"/>
          </w:tcPr>
          <w:p w14:paraId="4CA2311C" w14:textId="77777777" w:rsidR="00A959E4" w:rsidRPr="00B275E2" w:rsidRDefault="00A959E4" w:rsidP="007F0B1E">
            <w:pPr>
              <w:pStyle w:val="TableText"/>
              <w:spacing w:before="50" w:after="50"/>
            </w:pPr>
            <w:r w:rsidRPr="00B275E2">
              <w:t>Composition of office waste</w:t>
            </w:r>
          </w:p>
        </w:tc>
      </w:tr>
      <w:tr w:rsidR="00A959E4" w:rsidRPr="00B275E2" w14:paraId="2002FEE9" w14:textId="77777777" w:rsidTr="00EC0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2" w:type="dxa"/>
            <w:tcBorders>
              <w:left w:val="single" w:sz="4" w:space="0" w:color="FFFFFF" w:themeColor="background1"/>
            </w:tcBorders>
          </w:tcPr>
          <w:p w14:paraId="73FE920E" w14:textId="77777777" w:rsidR="00A959E4" w:rsidRPr="00B275E2" w:rsidRDefault="00A959E4" w:rsidP="007F0B1E">
            <w:pPr>
              <w:pStyle w:val="TableText"/>
              <w:spacing w:before="50" w:after="50"/>
              <w:rPr>
                <w:b w:val="0"/>
              </w:rPr>
            </w:pPr>
            <w:r w:rsidRPr="00B275E2">
              <w:rPr>
                <w:b w:val="0"/>
              </w:rPr>
              <w:t>Paper</w:t>
            </w:r>
          </w:p>
        </w:tc>
        <w:tc>
          <w:tcPr>
            <w:tcW w:w="4483" w:type="dxa"/>
            <w:tcBorders>
              <w:right w:val="single" w:sz="4" w:space="0" w:color="FFFFFF" w:themeColor="background1"/>
            </w:tcBorders>
          </w:tcPr>
          <w:p w14:paraId="083623AB" w14:textId="77777777" w:rsidR="00A959E4" w:rsidRPr="00B275E2" w:rsidRDefault="00A959E4" w:rsidP="007F0B1E">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275E2">
              <w:t>53.6%</w:t>
            </w:r>
          </w:p>
        </w:tc>
      </w:tr>
      <w:tr w:rsidR="00A959E4" w:rsidRPr="00B275E2" w14:paraId="3C1E18F5" w14:textId="77777777" w:rsidTr="00EC0FF5">
        <w:tc>
          <w:tcPr>
            <w:cnfStyle w:val="001000000000" w:firstRow="0" w:lastRow="0" w:firstColumn="1" w:lastColumn="0" w:oddVBand="0" w:evenVBand="0" w:oddHBand="0" w:evenHBand="0" w:firstRowFirstColumn="0" w:firstRowLastColumn="0" w:lastRowFirstColumn="0" w:lastRowLastColumn="0"/>
            <w:tcW w:w="4022" w:type="dxa"/>
            <w:tcBorders>
              <w:left w:val="single" w:sz="4" w:space="0" w:color="FFFFFF" w:themeColor="background1"/>
            </w:tcBorders>
          </w:tcPr>
          <w:p w14:paraId="2DF9F56E" w14:textId="77777777" w:rsidR="00A959E4" w:rsidRPr="00B275E2" w:rsidRDefault="00A959E4" w:rsidP="007F0B1E">
            <w:pPr>
              <w:pStyle w:val="TableText"/>
              <w:spacing w:before="50" w:after="50"/>
              <w:rPr>
                <w:b w:val="0"/>
              </w:rPr>
            </w:pPr>
            <w:r w:rsidRPr="00B275E2">
              <w:rPr>
                <w:b w:val="0"/>
              </w:rPr>
              <w:t>Food</w:t>
            </w:r>
          </w:p>
        </w:tc>
        <w:tc>
          <w:tcPr>
            <w:tcW w:w="4483" w:type="dxa"/>
            <w:tcBorders>
              <w:right w:val="single" w:sz="4" w:space="0" w:color="FFFFFF" w:themeColor="background1"/>
            </w:tcBorders>
          </w:tcPr>
          <w:p w14:paraId="69494D0F" w14:textId="77777777" w:rsidR="00A959E4" w:rsidRPr="00B275E2" w:rsidRDefault="00A959E4" w:rsidP="007F0B1E">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275E2">
              <w:t>20.8%</w:t>
            </w:r>
          </w:p>
        </w:tc>
      </w:tr>
      <w:tr w:rsidR="00A959E4" w:rsidRPr="00B275E2" w14:paraId="31934918" w14:textId="77777777" w:rsidTr="00EC0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2" w:type="dxa"/>
            <w:tcBorders>
              <w:left w:val="single" w:sz="4" w:space="0" w:color="FFFFFF" w:themeColor="background1"/>
            </w:tcBorders>
          </w:tcPr>
          <w:p w14:paraId="69B0470B" w14:textId="77777777" w:rsidR="00A959E4" w:rsidRPr="00B275E2" w:rsidRDefault="00A959E4" w:rsidP="007F0B1E">
            <w:pPr>
              <w:pStyle w:val="TableText"/>
              <w:spacing w:before="50" w:after="50"/>
              <w:rPr>
                <w:b w:val="0"/>
              </w:rPr>
            </w:pPr>
            <w:r w:rsidRPr="00B275E2">
              <w:rPr>
                <w:b w:val="0"/>
              </w:rPr>
              <w:t>Inert</w:t>
            </w:r>
          </w:p>
        </w:tc>
        <w:tc>
          <w:tcPr>
            <w:tcW w:w="4483" w:type="dxa"/>
            <w:tcBorders>
              <w:right w:val="single" w:sz="4" w:space="0" w:color="FFFFFF" w:themeColor="background1"/>
            </w:tcBorders>
          </w:tcPr>
          <w:p w14:paraId="2AA25B3F" w14:textId="77777777" w:rsidR="00A959E4" w:rsidRPr="00B275E2" w:rsidRDefault="00A959E4" w:rsidP="007F0B1E">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275E2">
              <w:t>25.6%</w:t>
            </w:r>
          </w:p>
        </w:tc>
      </w:tr>
    </w:tbl>
    <w:p w14:paraId="7A67E2F3" w14:textId="1A02E6F0" w:rsidR="00A959E4" w:rsidRPr="00B275E2" w:rsidRDefault="00A959E4" w:rsidP="00D411C0">
      <w:pPr>
        <w:pStyle w:val="Heading3"/>
      </w:pPr>
      <w:bookmarkStart w:id="594" w:name="_Toc532904956"/>
      <w:r w:rsidRPr="00B275E2">
        <w:lastRenderedPageBreak/>
        <w:t>Composting</w:t>
      </w:r>
      <w:bookmarkEnd w:id="594"/>
      <w:r w:rsidRPr="00B275E2">
        <w:t xml:space="preserve"> </w:t>
      </w:r>
      <w:r w:rsidR="004E7637" w:rsidRPr="00B275E2">
        <w:t>and Anaerobic digestion</w:t>
      </w:r>
    </w:p>
    <w:p w14:paraId="3C47BF4B" w14:textId="391475AA" w:rsidR="00A959E4" w:rsidRPr="00B275E2" w:rsidRDefault="00535F0B" w:rsidP="007F0B1E">
      <w:pPr>
        <w:pStyle w:val="BodyText"/>
      </w:pPr>
      <w:r w:rsidRPr="00B275E2">
        <w:t>We calculated e</w:t>
      </w:r>
      <w:r w:rsidR="00A959E4" w:rsidRPr="00B275E2">
        <w:t xml:space="preserve">mission factors for composting </w:t>
      </w:r>
      <w:r w:rsidR="004E7637" w:rsidRPr="00B275E2">
        <w:t xml:space="preserve">and anaerobic digestion </w:t>
      </w:r>
      <w:r w:rsidR="00A959E4" w:rsidRPr="00B275E2">
        <w:t>using IPCC default emission factors as shown in</w:t>
      </w:r>
      <w:r w:rsidR="002B681D" w:rsidRPr="00B275E2">
        <w:t xml:space="preserve"> table </w:t>
      </w:r>
      <w:r w:rsidR="00F23341">
        <w:t>88</w:t>
      </w:r>
      <w:r w:rsidR="00EC464E" w:rsidRPr="00B275E2">
        <w:t>.</w:t>
      </w:r>
    </w:p>
    <w:p w14:paraId="27828194" w14:textId="026C05B9" w:rsidR="00A959E4" w:rsidRPr="00B275E2" w:rsidRDefault="00730FF9" w:rsidP="00A903F8">
      <w:pPr>
        <w:pStyle w:val="Tableheading"/>
      </w:pPr>
      <w:bookmarkStart w:id="595" w:name="_Toc111536693"/>
      <w:r w:rsidRPr="00B275E2">
        <w:t xml:space="preserve">Table </w:t>
      </w:r>
      <w:r w:rsidRPr="00B275E2">
        <w:fldChar w:fldCharType="begin"/>
      </w:r>
      <w:r w:rsidRPr="00B275E2">
        <w:instrText>SEQ Table \* ARABIC</w:instrText>
      </w:r>
      <w:r w:rsidRPr="00B275E2">
        <w:fldChar w:fldCharType="separate"/>
      </w:r>
      <w:r>
        <w:rPr>
          <w:noProof/>
        </w:rPr>
        <w:t>88</w:t>
      </w:r>
      <w:r w:rsidRPr="00B275E2">
        <w:fldChar w:fldCharType="end"/>
      </w:r>
      <w:r w:rsidRPr="00B275E2">
        <w:t>:</w:t>
      </w:r>
      <w:r w:rsidRPr="00B275E2">
        <w:tab/>
      </w:r>
      <w:r w:rsidR="00A959E4" w:rsidRPr="00B275E2">
        <w:t>IPCC default data used to calculate composting</w:t>
      </w:r>
      <w:r w:rsidR="00390BCA" w:rsidRPr="00B275E2">
        <w:t xml:space="preserve"> and anaerobic digestion</w:t>
      </w:r>
      <w:bookmarkEnd w:id="595"/>
    </w:p>
    <w:tbl>
      <w:tblPr>
        <w:tblStyle w:val="LightList-Accent11"/>
        <w:tblW w:w="8551"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CellMar>
          <w:right w:w="57" w:type="dxa"/>
        </w:tblCellMar>
        <w:tblLook w:val="04A0" w:firstRow="1" w:lastRow="0" w:firstColumn="1" w:lastColumn="0" w:noHBand="0" w:noVBand="1"/>
      </w:tblPr>
      <w:tblGrid>
        <w:gridCol w:w="2830"/>
        <w:gridCol w:w="709"/>
        <w:gridCol w:w="851"/>
        <w:gridCol w:w="1984"/>
        <w:gridCol w:w="2148"/>
        <w:gridCol w:w="29"/>
      </w:tblGrid>
      <w:tr w:rsidR="0093625B" w:rsidRPr="00B275E2" w14:paraId="558CF58F" w14:textId="4ABECD97" w:rsidTr="00A903F8">
        <w:trPr>
          <w:gridAfter w:val="1"/>
          <w:cnfStyle w:val="100000000000" w:firstRow="1" w:lastRow="0" w:firstColumn="0" w:lastColumn="0" w:oddVBand="0" w:evenVBand="0" w:oddHBand="0" w:evenHBand="0" w:firstRowFirstColumn="0" w:firstRowLastColumn="0" w:lastRowFirstColumn="0" w:lastRowLastColumn="0"/>
          <w:wAfter w:w="29" w:type="dxa"/>
          <w:trHeight w:val="285"/>
        </w:trPr>
        <w:tc>
          <w:tcPr>
            <w:cnfStyle w:val="001000000000" w:firstRow="0" w:lastRow="0" w:firstColumn="1" w:lastColumn="0" w:oddVBand="0" w:evenVBand="0" w:oddHBand="0" w:evenHBand="0" w:firstRowFirstColumn="0" w:firstRowLastColumn="0" w:lastRowFirstColumn="0" w:lastRowLastColumn="0"/>
            <w:tcW w:w="2830" w:type="dxa"/>
            <w:shd w:val="clear" w:color="auto" w:fill="1B556B" w:themeFill="text2"/>
            <w:noWrap/>
            <w:vAlign w:val="bottom"/>
            <w:hideMark/>
          </w:tcPr>
          <w:p w14:paraId="54B1E2BB" w14:textId="77777777" w:rsidR="0093625B" w:rsidRPr="00B275E2" w:rsidRDefault="0093625B" w:rsidP="007F0B1E">
            <w:pPr>
              <w:pStyle w:val="TableText"/>
              <w:rPr>
                <w:rFonts w:eastAsia="Times New Roman"/>
              </w:rPr>
            </w:pPr>
            <w:r w:rsidRPr="00B275E2">
              <w:rPr>
                <w:rFonts w:eastAsia="Times New Roman"/>
              </w:rPr>
              <w:t>Calculation component</w:t>
            </w:r>
          </w:p>
        </w:tc>
        <w:tc>
          <w:tcPr>
            <w:tcW w:w="709" w:type="dxa"/>
            <w:shd w:val="clear" w:color="auto" w:fill="1B556B" w:themeFill="text2"/>
            <w:noWrap/>
            <w:vAlign w:val="bottom"/>
            <w:hideMark/>
          </w:tcPr>
          <w:p w14:paraId="47540337" w14:textId="606E71A9" w:rsidR="0093625B" w:rsidRPr="00B275E2" w:rsidRDefault="0093625B" w:rsidP="007F0B1E">
            <w:pPr>
              <w:pStyle w:val="TableText"/>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B275E2">
              <w:rPr>
                <w:rFonts w:eastAsia="Times New Roman"/>
              </w:rPr>
              <w:t>CH</w:t>
            </w:r>
            <w:r w:rsidRPr="00B275E2">
              <w:rPr>
                <w:rFonts w:eastAsia="Times New Roman"/>
                <w:vertAlign w:val="subscript"/>
              </w:rPr>
              <w:t>4</w:t>
            </w:r>
            <w:r w:rsidR="00724C42" w:rsidRPr="00B275E2">
              <w:rPr>
                <w:rFonts w:eastAsia="Times New Roman"/>
                <w:vertAlign w:val="subscript"/>
              </w:rPr>
              <w:t xml:space="preserve"> </w:t>
            </w:r>
          </w:p>
        </w:tc>
        <w:tc>
          <w:tcPr>
            <w:tcW w:w="851" w:type="dxa"/>
            <w:shd w:val="clear" w:color="auto" w:fill="1B556B" w:themeFill="text2"/>
            <w:noWrap/>
            <w:vAlign w:val="bottom"/>
            <w:hideMark/>
          </w:tcPr>
          <w:p w14:paraId="7D0C224E" w14:textId="77777777" w:rsidR="0093625B" w:rsidRPr="00B275E2" w:rsidRDefault="0093625B" w:rsidP="007F0B1E">
            <w:pPr>
              <w:pStyle w:val="TableText"/>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B275E2">
              <w:rPr>
                <w:rFonts w:eastAsia="Times New Roman"/>
              </w:rPr>
              <w:t>N</w:t>
            </w:r>
            <w:r w:rsidRPr="00B275E2">
              <w:rPr>
                <w:rFonts w:eastAsia="Times New Roman"/>
                <w:vertAlign w:val="subscript"/>
              </w:rPr>
              <w:t>2</w:t>
            </w:r>
            <w:r w:rsidRPr="00B275E2">
              <w:rPr>
                <w:rFonts w:eastAsia="Times New Roman"/>
              </w:rPr>
              <w:t>O</w:t>
            </w:r>
          </w:p>
        </w:tc>
        <w:tc>
          <w:tcPr>
            <w:tcW w:w="1984" w:type="dxa"/>
            <w:shd w:val="clear" w:color="auto" w:fill="1B556B" w:themeFill="text2"/>
            <w:vAlign w:val="bottom"/>
          </w:tcPr>
          <w:p w14:paraId="66205337" w14:textId="29B98597" w:rsidR="0093625B" w:rsidRPr="00B275E2" w:rsidRDefault="0093625B" w:rsidP="007F0B1E">
            <w:pPr>
              <w:pStyle w:val="TableText"/>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B275E2">
              <w:rPr>
                <w:rFonts w:eastAsia="Times New Roman"/>
              </w:rPr>
              <w:t>Anaerobic digestion CH</w:t>
            </w:r>
            <w:r w:rsidRPr="00B275E2">
              <w:rPr>
                <w:rFonts w:eastAsia="Times New Roman"/>
                <w:vertAlign w:val="subscript"/>
              </w:rPr>
              <w:t>4</w:t>
            </w:r>
          </w:p>
        </w:tc>
        <w:tc>
          <w:tcPr>
            <w:tcW w:w="2148" w:type="dxa"/>
            <w:shd w:val="clear" w:color="auto" w:fill="1B556B" w:themeFill="text2"/>
            <w:vAlign w:val="bottom"/>
          </w:tcPr>
          <w:p w14:paraId="14E205FB" w14:textId="4D46CACB" w:rsidR="0093625B" w:rsidRPr="00B275E2" w:rsidRDefault="0093625B" w:rsidP="007F0B1E">
            <w:pPr>
              <w:pStyle w:val="TableText"/>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B275E2">
              <w:rPr>
                <w:rFonts w:eastAsia="Times New Roman"/>
              </w:rPr>
              <w:t>Anaerobic digestion N</w:t>
            </w:r>
            <w:r w:rsidRPr="00B275E2">
              <w:rPr>
                <w:rFonts w:eastAsia="Times New Roman"/>
                <w:vertAlign w:val="subscript"/>
              </w:rPr>
              <w:t>2</w:t>
            </w:r>
            <w:r w:rsidRPr="00B275E2">
              <w:rPr>
                <w:rFonts w:eastAsia="Times New Roman"/>
              </w:rPr>
              <w:t>O</w:t>
            </w:r>
          </w:p>
        </w:tc>
      </w:tr>
      <w:tr w:rsidR="003D1AE4" w:rsidRPr="00B275E2" w14:paraId="01583040" w14:textId="1D6C7F8E" w:rsidTr="00EC0FF5">
        <w:trPr>
          <w:gridAfter w:val="1"/>
          <w:cnfStyle w:val="000000100000" w:firstRow="0" w:lastRow="0" w:firstColumn="0" w:lastColumn="0" w:oddVBand="0" w:evenVBand="0" w:oddHBand="1" w:evenHBand="0" w:firstRowFirstColumn="0" w:firstRowLastColumn="0" w:lastRowFirstColumn="0" w:lastRowLastColumn="0"/>
          <w:wAfter w:w="29" w:type="dxa"/>
          <w:trHeight w:val="285"/>
        </w:trPr>
        <w:tc>
          <w:tcPr>
            <w:cnfStyle w:val="001000000000" w:firstRow="0" w:lastRow="0" w:firstColumn="1" w:lastColumn="0" w:oddVBand="0" w:evenVBand="0" w:oddHBand="0" w:evenHBand="0" w:firstRowFirstColumn="0" w:firstRowLastColumn="0" w:lastRowFirstColumn="0" w:lastRowLastColumn="0"/>
            <w:tcW w:w="2830" w:type="dxa"/>
            <w:tcBorders>
              <w:left w:val="single" w:sz="4" w:space="0" w:color="FFFFFF" w:themeColor="background1"/>
            </w:tcBorders>
            <w:noWrap/>
            <w:hideMark/>
          </w:tcPr>
          <w:p w14:paraId="1BB54618" w14:textId="77777777" w:rsidR="003D1AE4" w:rsidRPr="00B275E2" w:rsidRDefault="003D1AE4" w:rsidP="007F0B1E">
            <w:pPr>
              <w:pStyle w:val="TableText"/>
              <w:rPr>
                <w:b w:val="0"/>
                <w:bCs w:val="0"/>
              </w:rPr>
            </w:pPr>
            <w:r w:rsidRPr="00B275E2">
              <w:rPr>
                <w:b w:val="0"/>
                <w:bCs w:val="0"/>
              </w:rPr>
              <w:t>EF (</w:t>
            </w:r>
            <w:r w:rsidRPr="00B275E2">
              <w:rPr>
                <w:rFonts w:eastAsia="Times New Roman" w:cs="Calibri"/>
                <w:b w:val="0"/>
                <w:bCs w:val="0"/>
              </w:rPr>
              <w:t>kg</w:t>
            </w:r>
            <w:r w:rsidRPr="00B275E2">
              <w:rPr>
                <w:b w:val="0"/>
                <w:bCs w:val="0"/>
              </w:rPr>
              <w:t xml:space="preserve"> gas/</w:t>
            </w:r>
            <w:r w:rsidRPr="00B275E2">
              <w:rPr>
                <w:rFonts w:eastAsia="Times New Roman" w:cs="Calibri"/>
                <w:b w:val="0"/>
                <w:bCs w:val="0"/>
              </w:rPr>
              <w:t>kg</w:t>
            </w:r>
            <w:r w:rsidRPr="00B275E2">
              <w:rPr>
                <w:b w:val="0"/>
                <w:bCs w:val="0"/>
              </w:rPr>
              <w:t>)</w:t>
            </w:r>
          </w:p>
        </w:tc>
        <w:tc>
          <w:tcPr>
            <w:tcW w:w="709" w:type="dxa"/>
            <w:noWrap/>
            <w:hideMark/>
          </w:tcPr>
          <w:p w14:paraId="144EC3B7" w14:textId="77777777" w:rsidR="003D1AE4" w:rsidRPr="00B275E2" w:rsidRDefault="003D1AE4" w:rsidP="007F0B1E">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cs="Calibri"/>
              </w:rPr>
            </w:pPr>
            <w:r w:rsidRPr="00B275E2">
              <w:rPr>
                <w:rFonts w:eastAsia="Times New Roman" w:cs="Calibri"/>
              </w:rPr>
              <w:t>0.004</w:t>
            </w:r>
          </w:p>
        </w:tc>
        <w:tc>
          <w:tcPr>
            <w:tcW w:w="851" w:type="dxa"/>
            <w:noWrap/>
            <w:hideMark/>
          </w:tcPr>
          <w:p w14:paraId="2CB6F16A" w14:textId="77777777" w:rsidR="003D1AE4" w:rsidRPr="00B275E2" w:rsidRDefault="003D1AE4" w:rsidP="007F0B1E">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cs="Calibri"/>
              </w:rPr>
            </w:pPr>
            <w:r w:rsidRPr="00B275E2">
              <w:rPr>
                <w:rFonts w:eastAsia="Times New Roman" w:cs="Calibri"/>
              </w:rPr>
              <w:t>0.00024</w:t>
            </w:r>
          </w:p>
        </w:tc>
        <w:tc>
          <w:tcPr>
            <w:tcW w:w="1984" w:type="dxa"/>
          </w:tcPr>
          <w:p w14:paraId="0614DFD3" w14:textId="71C7B101" w:rsidR="003D1AE4" w:rsidRPr="00B275E2" w:rsidRDefault="003D1AE4" w:rsidP="007F0B1E">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cs="Calibri"/>
              </w:rPr>
            </w:pPr>
            <w:r w:rsidRPr="00B275E2">
              <w:rPr>
                <w:rFonts w:eastAsia="Times New Roman" w:cs="Calibri"/>
              </w:rPr>
              <w:t>0.0008</w:t>
            </w:r>
          </w:p>
        </w:tc>
        <w:tc>
          <w:tcPr>
            <w:tcW w:w="2148" w:type="dxa"/>
            <w:tcBorders>
              <w:right w:val="single" w:sz="4" w:space="0" w:color="FFFFFF" w:themeColor="background1"/>
            </w:tcBorders>
          </w:tcPr>
          <w:p w14:paraId="6666270D" w14:textId="14DE7824" w:rsidR="003D1AE4" w:rsidRPr="00B275E2" w:rsidRDefault="003D1AE4" w:rsidP="007F0B1E">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cs="Calibri"/>
              </w:rPr>
            </w:pPr>
            <w:r w:rsidRPr="00B275E2">
              <w:rPr>
                <w:rFonts w:eastAsia="Times New Roman" w:cs="Calibri"/>
              </w:rPr>
              <w:t>Assumed negligible</w:t>
            </w:r>
          </w:p>
        </w:tc>
      </w:tr>
      <w:tr w:rsidR="003D1AE4" w:rsidRPr="00B275E2" w14:paraId="43CA66EE" w14:textId="309DEA52" w:rsidTr="00EC0FF5">
        <w:trPr>
          <w:gridAfter w:val="1"/>
          <w:wAfter w:w="29" w:type="dxa"/>
          <w:trHeight w:val="285"/>
        </w:trPr>
        <w:tc>
          <w:tcPr>
            <w:cnfStyle w:val="001000000000" w:firstRow="0" w:lastRow="0" w:firstColumn="1" w:lastColumn="0" w:oddVBand="0" w:evenVBand="0" w:oddHBand="0" w:evenHBand="0" w:firstRowFirstColumn="0" w:firstRowLastColumn="0" w:lastRowFirstColumn="0" w:lastRowLastColumn="0"/>
            <w:tcW w:w="2830" w:type="dxa"/>
            <w:tcBorders>
              <w:left w:val="single" w:sz="4" w:space="0" w:color="FFFFFF" w:themeColor="background1"/>
            </w:tcBorders>
            <w:noWrap/>
            <w:hideMark/>
          </w:tcPr>
          <w:p w14:paraId="2F3FB854" w14:textId="6B4CF520" w:rsidR="003D1AE4" w:rsidRPr="00B275E2" w:rsidRDefault="003D1AE4" w:rsidP="007F0B1E">
            <w:pPr>
              <w:pStyle w:val="TableText"/>
              <w:rPr>
                <w:rFonts w:eastAsia="Times New Roman" w:cs="Calibri"/>
                <w:b w:val="0"/>
                <w:bCs w:val="0"/>
              </w:rPr>
            </w:pPr>
            <w:r w:rsidRPr="00B275E2">
              <w:rPr>
                <w:rFonts w:eastAsia="Times New Roman" w:cs="Calibri"/>
                <w:b w:val="0"/>
                <w:bCs w:val="0"/>
              </w:rPr>
              <w:t>GWP</w:t>
            </w:r>
            <w:r w:rsidR="00FB0FFD" w:rsidRPr="00B275E2">
              <w:rPr>
                <w:rFonts w:eastAsia="Times New Roman" w:cs="Calibri"/>
                <w:b w:val="0"/>
                <w:bCs w:val="0"/>
              </w:rPr>
              <w:t xml:space="preserve"> (IPCC AR4)</w:t>
            </w:r>
          </w:p>
        </w:tc>
        <w:tc>
          <w:tcPr>
            <w:tcW w:w="709" w:type="dxa"/>
            <w:noWrap/>
            <w:hideMark/>
          </w:tcPr>
          <w:p w14:paraId="3A8F4762" w14:textId="77777777" w:rsidR="003D1AE4" w:rsidRPr="00B275E2" w:rsidRDefault="003D1AE4" w:rsidP="007F0B1E">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B275E2">
              <w:rPr>
                <w:rFonts w:eastAsia="Times New Roman" w:cs="Calibri"/>
              </w:rPr>
              <w:t>25</w:t>
            </w:r>
          </w:p>
        </w:tc>
        <w:tc>
          <w:tcPr>
            <w:tcW w:w="851" w:type="dxa"/>
            <w:noWrap/>
            <w:hideMark/>
          </w:tcPr>
          <w:p w14:paraId="25B249EA" w14:textId="77777777" w:rsidR="003D1AE4" w:rsidRPr="00B275E2" w:rsidRDefault="003D1AE4" w:rsidP="007F0B1E">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B275E2">
              <w:rPr>
                <w:rFonts w:eastAsia="Times New Roman" w:cs="Calibri"/>
              </w:rPr>
              <w:t>298</w:t>
            </w:r>
          </w:p>
        </w:tc>
        <w:tc>
          <w:tcPr>
            <w:tcW w:w="1984" w:type="dxa"/>
          </w:tcPr>
          <w:p w14:paraId="7CB76D43" w14:textId="35B3AB76" w:rsidR="003D1AE4" w:rsidRPr="00B275E2" w:rsidRDefault="003D1AE4" w:rsidP="007F0B1E">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B275E2">
              <w:rPr>
                <w:rFonts w:eastAsia="Times New Roman" w:cs="Calibri"/>
              </w:rPr>
              <w:t>25</w:t>
            </w:r>
          </w:p>
        </w:tc>
        <w:tc>
          <w:tcPr>
            <w:tcW w:w="2148" w:type="dxa"/>
            <w:tcBorders>
              <w:right w:val="single" w:sz="4" w:space="0" w:color="FFFFFF" w:themeColor="background1"/>
            </w:tcBorders>
          </w:tcPr>
          <w:p w14:paraId="35331DE9" w14:textId="48C5920D" w:rsidR="003D1AE4" w:rsidRPr="00B275E2" w:rsidRDefault="003D1AE4" w:rsidP="007F0B1E">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B275E2">
              <w:rPr>
                <w:rFonts w:eastAsia="Times New Roman" w:cs="Calibri"/>
              </w:rPr>
              <w:t>298</w:t>
            </w:r>
          </w:p>
        </w:tc>
      </w:tr>
      <w:tr w:rsidR="003D1AE4" w:rsidRPr="00B275E2" w14:paraId="1675D106" w14:textId="11917ADD" w:rsidTr="00EC0FF5">
        <w:trPr>
          <w:gridAfter w:val="1"/>
          <w:cnfStyle w:val="000000100000" w:firstRow="0" w:lastRow="0" w:firstColumn="0" w:lastColumn="0" w:oddVBand="0" w:evenVBand="0" w:oddHBand="1" w:evenHBand="0" w:firstRowFirstColumn="0" w:firstRowLastColumn="0" w:lastRowFirstColumn="0" w:lastRowLastColumn="0"/>
          <w:wAfter w:w="29" w:type="dxa"/>
          <w:trHeight w:val="285"/>
        </w:trPr>
        <w:tc>
          <w:tcPr>
            <w:cnfStyle w:val="001000000000" w:firstRow="0" w:lastRow="0" w:firstColumn="1" w:lastColumn="0" w:oddVBand="0" w:evenVBand="0" w:oddHBand="0" w:evenHBand="0" w:firstRowFirstColumn="0" w:firstRowLastColumn="0" w:lastRowFirstColumn="0" w:lastRowLastColumn="0"/>
            <w:tcW w:w="2830" w:type="dxa"/>
            <w:tcBorders>
              <w:left w:val="single" w:sz="4" w:space="0" w:color="FFFFFF" w:themeColor="background1"/>
            </w:tcBorders>
            <w:noWrap/>
            <w:hideMark/>
          </w:tcPr>
          <w:p w14:paraId="46DB98E5" w14:textId="77777777" w:rsidR="003D1AE4" w:rsidRPr="00B275E2" w:rsidRDefault="003D1AE4" w:rsidP="007F0B1E">
            <w:pPr>
              <w:pStyle w:val="TableText"/>
              <w:rPr>
                <w:rFonts w:eastAsia="Times New Roman" w:cs="Calibri"/>
                <w:b w:val="0"/>
                <w:bCs w:val="0"/>
              </w:rPr>
            </w:pPr>
            <w:r w:rsidRPr="00B275E2">
              <w:rPr>
                <w:rFonts w:eastAsia="Times New Roman" w:cs="Calibri"/>
                <w:b w:val="0"/>
                <w:bCs w:val="0"/>
              </w:rPr>
              <w:t>EF (CO</w:t>
            </w:r>
            <w:r w:rsidRPr="00B275E2">
              <w:rPr>
                <w:rFonts w:eastAsia="Times New Roman" w:cs="Calibri"/>
                <w:b w:val="0"/>
                <w:bCs w:val="0"/>
                <w:vertAlign w:val="subscript"/>
              </w:rPr>
              <w:t>2</w:t>
            </w:r>
            <w:r w:rsidRPr="00B275E2">
              <w:rPr>
                <w:rFonts w:eastAsia="Times New Roman" w:cs="Calibri"/>
                <w:b w:val="0"/>
                <w:bCs w:val="0"/>
              </w:rPr>
              <w:t>-e) (kg CO</w:t>
            </w:r>
            <w:r w:rsidRPr="00B275E2">
              <w:rPr>
                <w:rFonts w:eastAsia="Times New Roman" w:cs="Calibri"/>
                <w:b w:val="0"/>
                <w:bCs w:val="0"/>
                <w:vertAlign w:val="subscript"/>
              </w:rPr>
              <w:t>2</w:t>
            </w:r>
            <w:r w:rsidRPr="00B275E2">
              <w:rPr>
                <w:rFonts w:eastAsia="Times New Roman" w:cs="Calibri"/>
                <w:b w:val="0"/>
                <w:bCs w:val="0"/>
              </w:rPr>
              <w:t>-e/ kg waste)</w:t>
            </w:r>
          </w:p>
        </w:tc>
        <w:tc>
          <w:tcPr>
            <w:tcW w:w="709" w:type="dxa"/>
            <w:noWrap/>
            <w:hideMark/>
          </w:tcPr>
          <w:p w14:paraId="71855A43" w14:textId="77777777" w:rsidR="003D1AE4" w:rsidRPr="00B275E2" w:rsidRDefault="003D1AE4" w:rsidP="007F0B1E">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cs="Calibri"/>
              </w:rPr>
            </w:pPr>
            <w:r w:rsidRPr="00B275E2">
              <w:rPr>
                <w:rFonts w:eastAsia="Times New Roman" w:cs="Calibri"/>
              </w:rPr>
              <w:t>0.10</w:t>
            </w:r>
          </w:p>
        </w:tc>
        <w:tc>
          <w:tcPr>
            <w:tcW w:w="851" w:type="dxa"/>
            <w:noWrap/>
            <w:hideMark/>
          </w:tcPr>
          <w:p w14:paraId="23E4AAB6" w14:textId="77777777" w:rsidR="003D1AE4" w:rsidRPr="00B275E2" w:rsidRDefault="003D1AE4" w:rsidP="007F0B1E">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cs="Calibri"/>
              </w:rPr>
            </w:pPr>
            <w:r w:rsidRPr="00B275E2">
              <w:rPr>
                <w:rFonts w:eastAsia="Times New Roman" w:cs="Calibri"/>
              </w:rPr>
              <w:t>0.07152</w:t>
            </w:r>
          </w:p>
        </w:tc>
        <w:tc>
          <w:tcPr>
            <w:tcW w:w="1984" w:type="dxa"/>
          </w:tcPr>
          <w:p w14:paraId="181688D2" w14:textId="5E80E1CD" w:rsidR="003D1AE4" w:rsidRPr="00B275E2" w:rsidRDefault="003D1AE4" w:rsidP="007F0B1E">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cs="Calibri"/>
              </w:rPr>
            </w:pPr>
            <w:r w:rsidRPr="00B275E2">
              <w:rPr>
                <w:rFonts w:eastAsia="Times New Roman" w:cs="Calibri"/>
              </w:rPr>
              <w:t>0.020</w:t>
            </w:r>
          </w:p>
        </w:tc>
        <w:tc>
          <w:tcPr>
            <w:tcW w:w="2148" w:type="dxa"/>
            <w:tcBorders>
              <w:right w:val="single" w:sz="4" w:space="0" w:color="FFFFFF" w:themeColor="background1"/>
            </w:tcBorders>
          </w:tcPr>
          <w:p w14:paraId="15232723" w14:textId="11635097" w:rsidR="003D1AE4" w:rsidRPr="00B275E2" w:rsidRDefault="003D1AE4" w:rsidP="007F0B1E">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cs="Calibri"/>
              </w:rPr>
            </w:pPr>
            <w:r w:rsidRPr="00B275E2">
              <w:rPr>
                <w:rFonts w:eastAsia="Times New Roman" w:cs="Calibri"/>
              </w:rPr>
              <w:t>0</w:t>
            </w:r>
          </w:p>
        </w:tc>
      </w:tr>
      <w:tr w:rsidR="002B681D" w:rsidRPr="00B275E2" w14:paraId="2E923F90" w14:textId="77777777" w:rsidTr="00A903F8">
        <w:trPr>
          <w:trHeight w:val="285"/>
        </w:trPr>
        <w:tc>
          <w:tcPr>
            <w:cnfStyle w:val="001000000000" w:firstRow="0" w:lastRow="0" w:firstColumn="1" w:lastColumn="0" w:oddVBand="0" w:evenVBand="0" w:oddHBand="0" w:evenHBand="0" w:firstRowFirstColumn="0" w:firstRowLastColumn="0" w:lastRowFirstColumn="0" w:lastRowLastColumn="0"/>
            <w:tcW w:w="2830" w:type="dxa"/>
            <w:shd w:val="clear" w:color="auto" w:fill="D2DDE1" w:themeFill="background2"/>
            <w:noWrap/>
            <w:hideMark/>
          </w:tcPr>
          <w:p w14:paraId="40E0A2E7" w14:textId="24A909D3" w:rsidR="0093625B" w:rsidRPr="00B275E2" w:rsidRDefault="0093625B" w:rsidP="007F0B1E">
            <w:pPr>
              <w:pStyle w:val="TableText"/>
              <w:rPr>
                <w:rFonts w:eastAsia="Times New Roman" w:cs="Calibri"/>
                <w:b w:val="0"/>
              </w:rPr>
            </w:pPr>
            <w:r w:rsidRPr="00B275E2">
              <w:rPr>
                <w:rFonts w:eastAsia="Times New Roman" w:cs="Calibri"/>
              </w:rPr>
              <w:t>Combined EF (kg CO</w:t>
            </w:r>
            <w:r w:rsidRPr="00B275E2">
              <w:rPr>
                <w:rFonts w:eastAsia="Times New Roman" w:cs="Calibri"/>
                <w:vertAlign w:val="subscript"/>
              </w:rPr>
              <w:t>2</w:t>
            </w:r>
            <w:r w:rsidRPr="00B275E2">
              <w:rPr>
                <w:rFonts w:eastAsia="Times New Roman" w:cs="Calibri"/>
              </w:rPr>
              <w:t>-e/ kg waste)</w:t>
            </w:r>
          </w:p>
        </w:tc>
        <w:tc>
          <w:tcPr>
            <w:tcW w:w="1560" w:type="dxa"/>
            <w:gridSpan w:val="2"/>
            <w:shd w:val="clear" w:color="auto" w:fill="D2DDE1" w:themeFill="background2"/>
          </w:tcPr>
          <w:p w14:paraId="518DDCF7" w14:textId="3C0A0B6D" w:rsidR="0093625B" w:rsidRPr="00B275E2" w:rsidRDefault="0093625B" w:rsidP="00A903F8">
            <w:pPr>
              <w:pStyle w:val="TableText"/>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B275E2">
              <w:rPr>
                <w:rFonts w:eastAsia="Times New Roman" w:cs="Calibri"/>
              </w:rPr>
              <w:t>0.172</w:t>
            </w:r>
          </w:p>
        </w:tc>
        <w:tc>
          <w:tcPr>
            <w:tcW w:w="4161" w:type="dxa"/>
            <w:gridSpan w:val="3"/>
            <w:shd w:val="clear" w:color="auto" w:fill="D2DDE1" w:themeFill="background2"/>
            <w:noWrap/>
          </w:tcPr>
          <w:p w14:paraId="04D65BF4" w14:textId="06B8F590" w:rsidR="0093625B" w:rsidRPr="00B275E2" w:rsidRDefault="0093625B" w:rsidP="00A903F8">
            <w:pPr>
              <w:pStyle w:val="TableText"/>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B275E2">
              <w:rPr>
                <w:rFonts w:eastAsia="Times New Roman" w:cs="Calibri"/>
              </w:rPr>
              <w:t>0.020</w:t>
            </w:r>
          </w:p>
        </w:tc>
      </w:tr>
    </w:tbl>
    <w:p w14:paraId="3B9D3953" w14:textId="4B956809" w:rsidR="00A959E4" w:rsidRPr="00B275E2" w:rsidRDefault="14FAB11F" w:rsidP="00D411C0">
      <w:pPr>
        <w:pStyle w:val="Heading3"/>
      </w:pPr>
      <w:bookmarkStart w:id="596" w:name="_Toc532904957"/>
      <w:r>
        <w:t>Assumptions, limitations and uncertainties</w:t>
      </w:r>
      <w:bookmarkEnd w:id="596"/>
    </w:p>
    <w:p w14:paraId="19ACFFF8" w14:textId="0EBD0E4D" w:rsidR="00A959E4" w:rsidRPr="00B275E2" w:rsidRDefault="00A959E4" w:rsidP="00A903F8">
      <w:pPr>
        <w:pStyle w:val="BodyText"/>
      </w:pPr>
      <w:bookmarkStart w:id="597" w:name="_Toc529960720"/>
      <w:r w:rsidRPr="00B275E2">
        <w:t xml:space="preserve">The uncertainties for emission factors used in </w:t>
      </w:r>
      <w:r w:rsidR="00303AA0" w:rsidRPr="00B275E2">
        <w:t>methane</w:t>
      </w:r>
      <w:r w:rsidRPr="00B275E2">
        <w:t xml:space="preserve"> emissions from managed municipal landfills is ±40 per cent. This is consistent with the estimates in the IPCC Guidelines (IPCC, 2006a). </w:t>
      </w:r>
      <w:r w:rsidR="00F437BA" w:rsidRPr="00B275E2">
        <w:rPr>
          <w:rFonts w:eastAsia="Times New Roman" w:cs="Times New Roman"/>
        </w:rPr>
        <w:t>New Zealand</w:t>
      </w:r>
      <w:r w:rsidR="00056C56" w:rsidRPr="00B275E2">
        <w:rPr>
          <w:rFonts w:eastAsia="Times New Roman" w:cs="Times New Roman"/>
        </w:rPr>
        <w:t>’s</w:t>
      </w:r>
      <w:r w:rsidR="00F437BA" w:rsidRPr="00B275E2">
        <w:rPr>
          <w:rFonts w:eastAsia="Times New Roman" w:cs="Times New Roman"/>
        </w:rPr>
        <w:t xml:space="preserve"> </w:t>
      </w:r>
      <w:r w:rsidR="00F437BA" w:rsidRPr="00B275E2">
        <w:t>Greenhouse</w:t>
      </w:r>
      <w:r w:rsidR="00F437BA" w:rsidRPr="00B275E2">
        <w:rPr>
          <w:rFonts w:eastAsia="Times New Roman" w:cs="Times New Roman"/>
        </w:rPr>
        <w:t xml:space="preserve"> Gas In</w:t>
      </w:r>
      <w:r w:rsidR="00F72DE0" w:rsidRPr="00B275E2">
        <w:rPr>
          <w:rFonts w:eastAsia="Times New Roman" w:cs="Times New Roman"/>
        </w:rPr>
        <w:t>ventory</w:t>
      </w:r>
      <w:r w:rsidR="001B45B8" w:rsidRPr="00B275E2">
        <w:t xml:space="preserve"> </w:t>
      </w:r>
      <w:r w:rsidRPr="00B275E2">
        <w:t>states that “</w:t>
      </w:r>
      <w:r w:rsidR="00FB0FFD" w:rsidRPr="00B275E2">
        <w:t>the emission factor uncertainty is set at this level, while better-quality parameters are used in this category, most of the parameters are based on international data and are not site specific”.</w:t>
      </w:r>
    </w:p>
    <w:p w14:paraId="1CE48644" w14:textId="2A293E2C" w:rsidR="00A959E4" w:rsidRPr="00B275E2" w:rsidRDefault="00A959E4" w:rsidP="007F0B1E">
      <w:pPr>
        <w:pStyle w:val="BodyText"/>
      </w:pPr>
      <w:r w:rsidRPr="00B275E2">
        <w:t>If an organisation has an advanced diversion system (to recycling and composting) then using</w:t>
      </w:r>
      <w:r w:rsidR="00A903F8" w:rsidRPr="00B275E2">
        <w:t> </w:t>
      </w:r>
      <w:r w:rsidRPr="00B275E2">
        <w:t xml:space="preserve">the </w:t>
      </w:r>
      <w:r w:rsidR="003A3596" w:rsidRPr="00B275E2">
        <w:t>‘</w:t>
      </w:r>
      <w:r w:rsidR="000E7774" w:rsidRPr="00B275E2">
        <w:t>average</w:t>
      </w:r>
      <w:r w:rsidRPr="00B275E2">
        <w:t xml:space="preserve"> waste</w:t>
      </w:r>
      <w:r w:rsidR="003A3596" w:rsidRPr="00B275E2">
        <w:t>’</w:t>
      </w:r>
      <w:r w:rsidRPr="00B275E2">
        <w:t xml:space="preserve"> category in the methodology will overestimate emissions. If an organisation has no diversion system, then it could underestimate emissions. </w:t>
      </w:r>
    </w:p>
    <w:p w14:paraId="3BFEB933" w14:textId="3C31CF3C" w:rsidR="00A959E4" w:rsidRPr="00B275E2" w:rsidRDefault="00A959E4" w:rsidP="007F0B1E">
      <w:pPr>
        <w:pStyle w:val="BodyText"/>
      </w:pPr>
      <w:r w:rsidRPr="00B275E2">
        <w:t xml:space="preserve">The default emission factor for </w:t>
      </w:r>
      <w:r w:rsidR="000E7774" w:rsidRPr="00B275E2">
        <w:t>average</w:t>
      </w:r>
      <w:r w:rsidRPr="00B275E2">
        <w:t xml:space="preserve"> waste is based on national average composition data</w:t>
      </w:r>
      <w:r w:rsidR="00505A74" w:rsidRPr="00B275E2">
        <w:t> </w:t>
      </w:r>
      <w:r w:rsidRPr="00B275E2">
        <w:t>from</w:t>
      </w:r>
      <w:r w:rsidR="006264E4" w:rsidRPr="00B275E2">
        <w:rPr>
          <w:rFonts w:eastAsia="Times New Roman" w:cs="Times New Roman"/>
          <w:i/>
        </w:rPr>
        <w:t xml:space="preserve"> </w:t>
      </w:r>
      <w:hyperlink r:id="rId107" w:history="1">
        <w:r w:rsidR="0045202B" w:rsidRPr="00B275E2">
          <w:rPr>
            <w:rStyle w:val="Hyperlink"/>
            <w:i/>
            <w:iCs/>
          </w:rPr>
          <w:t>New Zealand</w:t>
        </w:r>
        <w:r w:rsidR="00056C56" w:rsidRPr="00B275E2">
          <w:rPr>
            <w:rStyle w:val="Hyperlink"/>
            <w:i/>
            <w:iCs/>
          </w:rPr>
          <w:t>’s</w:t>
        </w:r>
        <w:r w:rsidR="0045202B" w:rsidRPr="00B275E2">
          <w:rPr>
            <w:rStyle w:val="Hyperlink"/>
            <w:i/>
            <w:iCs/>
          </w:rPr>
          <w:t xml:space="preserve"> Greenhouse Gas Inventory 1990</w:t>
        </w:r>
        <w:r w:rsidR="00A903F8" w:rsidRPr="00B275E2">
          <w:rPr>
            <w:rStyle w:val="Hyperlink"/>
            <w:i/>
            <w:iCs/>
          </w:rPr>
          <w:t>–</w:t>
        </w:r>
        <w:r w:rsidR="0045202B" w:rsidRPr="00B275E2">
          <w:rPr>
            <w:rStyle w:val="Hyperlink"/>
            <w:i/>
            <w:iCs/>
          </w:rPr>
          <w:t>2020</w:t>
        </w:r>
      </w:hyperlink>
      <w:r w:rsidRPr="00B275E2">
        <w:t xml:space="preserve">. Only waste to municipal </w:t>
      </w:r>
      <w:r w:rsidR="00D2339A" w:rsidRPr="00B275E2">
        <w:t xml:space="preserve">and non-municipal </w:t>
      </w:r>
      <w:r w:rsidRPr="00B275E2">
        <w:t xml:space="preserve">landfills </w:t>
      </w:r>
      <w:r w:rsidR="00D2339A" w:rsidRPr="00B275E2">
        <w:t>are</w:t>
      </w:r>
      <w:r w:rsidR="00F72DE0" w:rsidRPr="00B275E2">
        <w:t xml:space="preserve"> </w:t>
      </w:r>
      <w:r w:rsidRPr="00B275E2">
        <w:t>considered</w:t>
      </w:r>
      <w:r w:rsidR="00EC464E" w:rsidRPr="00B275E2">
        <w:t>.</w:t>
      </w:r>
    </w:p>
    <w:p w14:paraId="46C56212" w14:textId="3ABCB272" w:rsidR="0013174E" w:rsidRPr="00B275E2" w:rsidRDefault="00A959E4" w:rsidP="00536F41">
      <w:pPr>
        <w:pStyle w:val="BodyText"/>
      </w:pPr>
      <w:r w:rsidRPr="00B275E2">
        <w:t>Previously, the emission factors for office waste represent</w:t>
      </w:r>
      <w:r w:rsidR="003A3596" w:rsidRPr="00B275E2">
        <w:t>ed</w:t>
      </w:r>
      <w:r w:rsidRPr="00B275E2">
        <w:t xml:space="preserve"> an assumed default composition (paper 53.6 per cent, garden and food 20.8 per cent and 0 per cent</w:t>
      </w:r>
      <w:r w:rsidR="009E6B01" w:rsidRPr="00B275E2">
        <w:t xml:space="preserve"> for other waste types</w:t>
      </w:r>
      <w:r w:rsidRPr="00B275E2">
        <w:t xml:space="preserve">) for office waste, based on waste data from government buildings. </w:t>
      </w:r>
      <w:r w:rsidR="000A2FDA" w:rsidRPr="00B275E2">
        <w:t>We separated g</w:t>
      </w:r>
      <w:r w:rsidRPr="00B275E2">
        <w:t xml:space="preserve">arden and food waste </w:t>
      </w:r>
      <w:r w:rsidR="000A2FDA" w:rsidRPr="00B275E2">
        <w:t xml:space="preserve">in </w:t>
      </w:r>
      <w:r w:rsidRPr="00B275E2">
        <w:t>th</w:t>
      </w:r>
      <w:r w:rsidR="000A2FDA" w:rsidRPr="00B275E2">
        <w:t>is</w:t>
      </w:r>
      <w:r w:rsidRPr="00B275E2">
        <w:t xml:space="preserve"> </w:t>
      </w:r>
      <w:r w:rsidR="000A2FDA" w:rsidRPr="00B275E2">
        <w:t>version of</w:t>
      </w:r>
      <w:r w:rsidRPr="00B275E2">
        <w:t xml:space="preserve"> the guide</w:t>
      </w:r>
      <w:r w:rsidR="00691FFB" w:rsidRPr="00B275E2">
        <w:t>,</w:t>
      </w:r>
      <w:r w:rsidRPr="00B275E2">
        <w:t xml:space="preserve"> and assume that food represents all waste previously allocated to that category. </w:t>
      </w:r>
      <w:r w:rsidR="000A2FDA" w:rsidRPr="00B275E2">
        <w:t>We</w:t>
      </w:r>
      <w:r w:rsidRPr="00B275E2">
        <w:t xml:space="preserve"> assume the remaining 25.6 per cent is inert material.</w:t>
      </w:r>
      <w:bookmarkStart w:id="598" w:name="_Toc532904958"/>
      <w:bookmarkStart w:id="599" w:name="_Toc600601"/>
      <w:bookmarkEnd w:id="597"/>
    </w:p>
    <w:p w14:paraId="6ACF57ED" w14:textId="77777777" w:rsidR="0068533B" w:rsidRDefault="0068533B">
      <w:pPr>
        <w:spacing w:after="200" w:line="276" w:lineRule="auto"/>
        <w:jc w:val="left"/>
        <w:rPr>
          <w:rFonts w:ascii="Georgia" w:eastAsiaTheme="majorEastAsia" w:hAnsi="Georgia" w:cstheme="majorBidi"/>
          <w:b/>
          <w:bCs/>
          <w:color w:val="1B556B"/>
          <w:sz w:val="48"/>
          <w:szCs w:val="28"/>
          <w:lang w:val="en-NZ" w:eastAsia="en-NZ"/>
        </w:rPr>
      </w:pPr>
      <w:r>
        <w:br w:type="page"/>
      </w:r>
    </w:p>
    <w:p w14:paraId="4448BA79" w14:textId="0A86A75D" w:rsidR="003A7B65" w:rsidRPr="00B275E2" w:rsidRDefault="0599868A" w:rsidP="00C24B73">
      <w:pPr>
        <w:pStyle w:val="Heading1"/>
        <w:numPr>
          <w:ilvl w:val="0"/>
          <w:numId w:val="15"/>
        </w:numPr>
      </w:pPr>
      <w:bookmarkStart w:id="600" w:name="_Toc111536814"/>
      <w:r>
        <w:lastRenderedPageBreak/>
        <w:t xml:space="preserve">Agriculture, </w:t>
      </w:r>
      <w:r w:rsidR="3E7D28C0">
        <w:t xml:space="preserve">forestry </w:t>
      </w:r>
      <w:r>
        <w:t xml:space="preserve">and </w:t>
      </w:r>
      <w:r w:rsidR="3E7D28C0">
        <w:t>other land</w:t>
      </w:r>
      <w:r w:rsidR="43944160">
        <w:t> </w:t>
      </w:r>
      <w:r w:rsidR="3E7D28C0">
        <w:t xml:space="preserve">use </w:t>
      </w:r>
      <w:r>
        <w:t>emission factors</w:t>
      </w:r>
      <w:bookmarkEnd w:id="598"/>
      <w:bookmarkEnd w:id="599"/>
      <w:bookmarkEnd w:id="600"/>
    </w:p>
    <w:p w14:paraId="0E948B8C" w14:textId="799C4FF3" w:rsidR="002B4AE9" w:rsidRPr="00B275E2" w:rsidRDefault="002B4AE9" w:rsidP="007F0B1E">
      <w:pPr>
        <w:pStyle w:val="BodyText"/>
        <w:spacing w:after="100"/>
        <w:rPr>
          <w:rStyle w:val="BodyTextChar"/>
        </w:rPr>
      </w:pPr>
      <w:r w:rsidRPr="00B275E2">
        <w:t>This category covers emissions produced by land use, land-use change and forestry (LULUCF),</w:t>
      </w:r>
      <w:r w:rsidR="003B236D" w:rsidRPr="00B275E2">
        <w:t> </w:t>
      </w:r>
      <w:r w:rsidR="003C5295" w:rsidRPr="00B275E2">
        <w:t xml:space="preserve">livestock </w:t>
      </w:r>
      <w:r w:rsidRPr="00B275E2">
        <w:t xml:space="preserve">enteric fermentation, manure management and fertiliser use. </w:t>
      </w:r>
      <w:r w:rsidRPr="00B275E2">
        <w:rPr>
          <w:rStyle w:val="BodyTextChar"/>
        </w:rPr>
        <w:t xml:space="preserve">Including these sources is in line with </w:t>
      </w:r>
      <w:hyperlink r:id="rId108" w:history="1">
        <w:r w:rsidR="000C33DB" w:rsidRPr="00B275E2">
          <w:rPr>
            <w:rStyle w:val="Hyperlink"/>
            <w:i/>
            <w:iCs/>
          </w:rPr>
          <w:t>New Zealand</w:t>
        </w:r>
        <w:r w:rsidR="001B331A" w:rsidRPr="00B275E2">
          <w:rPr>
            <w:rStyle w:val="Hyperlink"/>
            <w:i/>
            <w:iCs/>
          </w:rPr>
          <w:t>’s</w:t>
        </w:r>
        <w:r w:rsidR="000C33DB" w:rsidRPr="00B275E2">
          <w:rPr>
            <w:rStyle w:val="Hyperlink"/>
            <w:i/>
            <w:iCs/>
          </w:rPr>
          <w:t xml:space="preserve"> Greenhouse Gas Inventory 1990-2020</w:t>
        </w:r>
      </w:hyperlink>
      <w:r w:rsidR="000C33DB" w:rsidRPr="00B275E2">
        <w:t>.</w:t>
      </w:r>
    </w:p>
    <w:p w14:paraId="73BA3BDE" w14:textId="6F229FD9" w:rsidR="002B4AE9" w:rsidRPr="00B275E2" w:rsidRDefault="002B4AE9" w:rsidP="007F0B1E">
      <w:pPr>
        <w:pStyle w:val="BodyText"/>
        <w:spacing w:after="100"/>
        <w:rPr>
          <w:spacing w:val="-4"/>
        </w:rPr>
      </w:pPr>
      <w:r w:rsidRPr="00B275E2">
        <w:t>We selected the emission factors below, based on appropriate available</w:t>
      </w:r>
      <w:r w:rsidRPr="00B275E2">
        <w:rPr>
          <w:spacing w:val="-4"/>
        </w:rPr>
        <w:t xml:space="preserve"> data and the professional opinions of the Ministry for Primary Industries (MPI) and the Ministry for the</w:t>
      </w:r>
      <w:r w:rsidR="003B236D" w:rsidRPr="00B275E2">
        <w:rPr>
          <w:spacing w:val="-4"/>
        </w:rPr>
        <w:t> </w:t>
      </w:r>
      <w:r w:rsidRPr="00B275E2">
        <w:rPr>
          <w:spacing w:val="-4"/>
        </w:rPr>
        <w:t>Environment.</w:t>
      </w:r>
    </w:p>
    <w:p w14:paraId="4A97B4D3" w14:textId="1C5AC1DB" w:rsidR="002B4AE9" w:rsidRPr="00B275E2" w:rsidRDefault="002B4AE9" w:rsidP="00D411C0">
      <w:pPr>
        <w:pStyle w:val="Bullet"/>
      </w:pPr>
      <w:r w:rsidRPr="00B275E2">
        <w:t>Land use, land-use change and forestry</w:t>
      </w:r>
      <w:r w:rsidR="00D411C0">
        <w:t xml:space="preserve"> </w:t>
      </w:r>
    </w:p>
    <w:p w14:paraId="3900E230" w14:textId="77777777" w:rsidR="002B4AE9" w:rsidRPr="00B275E2" w:rsidRDefault="002B4AE9" w:rsidP="00D411C0">
      <w:pPr>
        <w:pStyle w:val="Bullet"/>
      </w:pPr>
      <w:r w:rsidRPr="00B275E2">
        <w:t>forest growth</w:t>
      </w:r>
    </w:p>
    <w:p w14:paraId="71F2159D" w14:textId="77777777" w:rsidR="002B4AE9" w:rsidRPr="00B275E2" w:rsidRDefault="002B4AE9" w:rsidP="00D411C0">
      <w:pPr>
        <w:pStyle w:val="Bullet"/>
      </w:pPr>
      <w:r w:rsidRPr="00B275E2">
        <w:t>forest harvest and deforestation</w:t>
      </w:r>
    </w:p>
    <w:p w14:paraId="6F34217E" w14:textId="77777777" w:rsidR="002B4AE9" w:rsidRPr="00B275E2" w:rsidRDefault="002B4AE9" w:rsidP="00D411C0">
      <w:pPr>
        <w:pStyle w:val="Bullet"/>
      </w:pPr>
      <w:r w:rsidRPr="00B275E2">
        <w:t>Agriculture</w:t>
      </w:r>
    </w:p>
    <w:p w14:paraId="3DF5C98C" w14:textId="77777777" w:rsidR="002B4AE9" w:rsidRPr="00B275E2" w:rsidRDefault="002B4AE9" w:rsidP="00D411C0">
      <w:pPr>
        <w:pStyle w:val="Bullet"/>
      </w:pPr>
      <w:r w:rsidRPr="00B275E2">
        <w:t>enteric fermentation</w:t>
      </w:r>
    </w:p>
    <w:p w14:paraId="1941D38F" w14:textId="77777777" w:rsidR="002B4AE9" w:rsidRPr="00B275E2" w:rsidRDefault="002B4AE9" w:rsidP="00D411C0">
      <w:pPr>
        <w:pStyle w:val="Bullet"/>
      </w:pPr>
      <w:r w:rsidRPr="00B275E2">
        <w:t>manure management</w:t>
      </w:r>
    </w:p>
    <w:p w14:paraId="0D5DC44F" w14:textId="77777777" w:rsidR="002B4AE9" w:rsidRPr="00B275E2" w:rsidRDefault="002B4AE9" w:rsidP="00D411C0">
      <w:pPr>
        <w:pStyle w:val="Bullet"/>
      </w:pPr>
      <w:r w:rsidRPr="00B275E2">
        <w:t>fertiliser use</w:t>
      </w:r>
    </w:p>
    <w:p w14:paraId="6140B661" w14:textId="02AF504D" w:rsidR="002B4AE9" w:rsidRPr="00B275E2" w:rsidRDefault="002B4AE9" w:rsidP="00D411C0">
      <w:pPr>
        <w:pStyle w:val="Bullet"/>
      </w:pPr>
      <w:r w:rsidRPr="00B275E2">
        <w:t>agricultural soils (</w:t>
      </w:r>
      <w:r w:rsidR="003A4A1C" w:rsidRPr="00B275E2">
        <w:t>l</w:t>
      </w:r>
      <w:r w:rsidRPr="00B275E2">
        <w:t>ivestock).</w:t>
      </w:r>
    </w:p>
    <w:p w14:paraId="0AA1A379" w14:textId="77777777" w:rsidR="002B4AE9" w:rsidRPr="00B275E2" w:rsidRDefault="002B4AE9" w:rsidP="007F0B1E">
      <w:pPr>
        <w:pStyle w:val="BodyText"/>
        <w:spacing w:after="100"/>
      </w:pPr>
      <w:r w:rsidRPr="00B275E2">
        <w:t>Users should disclose in their inventories if they include animals grazing on land not owned by the organisation.</w:t>
      </w:r>
    </w:p>
    <w:p w14:paraId="5380E2AE" w14:textId="73DE6B24" w:rsidR="00FC7DC7" w:rsidRPr="00B275E2" w:rsidRDefault="00FC7DC7" w:rsidP="007F0B1E">
      <w:pPr>
        <w:pStyle w:val="BodyText"/>
        <w:spacing w:after="100"/>
      </w:pPr>
      <w:r w:rsidRPr="00B275E2">
        <w:rPr>
          <w:rFonts w:eastAsia="Times New Roman"/>
        </w:rPr>
        <w:t xml:space="preserve">Users also have the option of estimating farm biological emissions and sequestration with the </w:t>
      </w:r>
      <w:r w:rsidR="00F35A30" w:rsidRPr="00B275E2">
        <w:rPr>
          <w:rFonts w:eastAsia="Times New Roman"/>
        </w:rPr>
        <w:t xml:space="preserve">Ministry’s </w:t>
      </w:r>
      <w:hyperlink r:id="rId109" w:history="1">
        <w:r w:rsidRPr="00B275E2">
          <w:rPr>
            <w:rStyle w:val="Hyperlink"/>
            <w:rFonts w:eastAsia="Times New Roman"/>
          </w:rPr>
          <w:t>Agricultural Emissions Calculator</w:t>
        </w:r>
      </w:hyperlink>
      <w:r w:rsidRPr="00B275E2">
        <w:rPr>
          <w:rFonts w:eastAsia="Times New Roman"/>
        </w:rPr>
        <w:t xml:space="preserve"> which uses the same methods and emissions factors as the guidance.</w:t>
      </w:r>
    </w:p>
    <w:p w14:paraId="6509304F" w14:textId="6E9D1AB9" w:rsidR="003449B6" w:rsidRPr="00B275E2" w:rsidRDefault="003449B6" w:rsidP="00C24B73">
      <w:pPr>
        <w:pStyle w:val="Heading2"/>
        <w:numPr>
          <w:ilvl w:val="0"/>
          <w:numId w:val="34"/>
        </w:numPr>
      </w:pPr>
      <w:bookmarkStart w:id="601" w:name="_Toc532904959"/>
      <w:bookmarkStart w:id="602" w:name="_Toc600602"/>
      <w:bookmarkStart w:id="603" w:name="_Toc111536815"/>
      <w:r w:rsidRPr="00B275E2">
        <w:t>Overview of changes since previous update</w:t>
      </w:r>
      <w:bookmarkEnd w:id="601"/>
      <w:bookmarkEnd w:id="602"/>
      <w:bookmarkEnd w:id="603"/>
    </w:p>
    <w:p w14:paraId="7BAF7B71" w14:textId="00FEEA12" w:rsidR="00445AC7" w:rsidRPr="00B275E2" w:rsidRDefault="00A271EA" w:rsidP="007F0B1E">
      <w:pPr>
        <w:pStyle w:val="BodyText"/>
      </w:pPr>
      <w:r w:rsidRPr="00B275E2">
        <w:t xml:space="preserve">This version of the guide includes additional </w:t>
      </w:r>
      <w:r w:rsidR="00056BED" w:rsidRPr="00B275E2">
        <w:t xml:space="preserve">emission factors for </w:t>
      </w:r>
      <w:r w:rsidRPr="00B275E2">
        <w:t xml:space="preserve">animal species </w:t>
      </w:r>
      <w:r w:rsidR="00E953F4" w:rsidRPr="00B275E2">
        <w:t>including</w:t>
      </w:r>
      <w:r w:rsidR="00056BED" w:rsidRPr="00B275E2">
        <w:t xml:space="preserve"> </w:t>
      </w:r>
      <w:r w:rsidR="00717159" w:rsidRPr="00B275E2">
        <w:t>swine, goats, horses, alpaca</w:t>
      </w:r>
      <w:r w:rsidR="000953A9" w:rsidRPr="00B275E2">
        <w:t xml:space="preserve"> and llama</w:t>
      </w:r>
      <w:r w:rsidR="00717159" w:rsidRPr="00B275E2">
        <w:t>, mules, asses and poultry.</w:t>
      </w:r>
      <w:r w:rsidR="00E953F4" w:rsidRPr="00B275E2">
        <w:t xml:space="preserve"> </w:t>
      </w:r>
      <w:r w:rsidR="00285C3D" w:rsidRPr="00B275E2">
        <w:t xml:space="preserve">This guide uses </w:t>
      </w:r>
      <w:r w:rsidR="00222D62" w:rsidRPr="00B275E2">
        <w:t>data from</w:t>
      </w:r>
      <w:r w:rsidR="00511BE6" w:rsidRPr="00B275E2">
        <w:t> </w:t>
      </w:r>
      <w:r w:rsidR="003D03BD" w:rsidRPr="00B275E2">
        <w:t>New</w:t>
      </w:r>
      <w:r w:rsidR="00505A74" w:rsidRPr="00B275E2">
        <w:t> </w:t>
      </w:r>
      <w:r w:rsidR="003D03BD" w:rsidRPr="00B275E2">
        <w:t>Zealand</w:t>
      </w:r>
      <w:r w:rsidR="00070700">
        <w:t>’s</w:t>
      </w:r>
      <w:r w:rsidR="003D03BD" w:rsidRPr="00B275E2">
        <w:t xml:space="preserve"> Greenhouse </w:t>
      </w:r>
      <w:r w:rsidR="00BA084A" w:rsidRPr="00B275E2">
        <w:t xml:space="preserve">Inventory which has </w:t>
      </w:r>
      <w:r w:rsidR="005E0964" w:rsidRPr="00B275E2">
        <w:t>revised</w:t>
      </w:r>
      <w:r w:rsidR="00BA084A" w:rsidRPr="00B275E2">
        <w:t xml:space="preserve"> methodolog</w:t>
      </w:r>
      <w:r w:rsidR="002D12F9" w:rsidRPr="00B275E2">
        <w:t>ies and emissions factors</w:t>
      </w:r>
      <w:r w:rsidR="00505A74" w:rsidRPr="00B275E2">
        <w:t> </w:t>
      </w:r>
      <w:r w:rsidR="002A579F" w:rsidRPr="00B275E2">
        <w:t xml:space="preserve">from the previous edition. </w:t>
      </w:r>
      <w:r w:rsidR="00A61DA7" w:rsidRPr="00B275E2">
        <w:t>The</w:t>
      </w:r>
      <w:r w:rsidR="000953A9" w:rsidRPr="00B275E2">
        <w:t xml:space="preserve"> change</w:t>
      </w:r>
      <w:r w:rsidR="00070700">
        <w:t>s</w:t>
      </w:r>
      <w:r w:rsidR="000953A9" w:rsidRPr="00B275E2">
        <w:t xml:space="preserve"> relevant to the updated emission factors included in this versio</w:t>
      </w:r>
      <w:r w:rsidR="00A700F0" w:rsidRPr="00B275E2">
        <w:t>n</w:t>
      </w:r>
      <w:r w:rsidR="00A61DA7" w:rsidRPr="00B275E2">
        <w:t xml:space="preserve"> are </w:t>
      </w:r>
      <w:r w:rsidR="006E66CE" w:rsidRPr="00B275E2">
        <w:t>summarised as:</w:t>
      </w:r>
    </w:p>
    <w:p w14:paraId="705F95E9" w14:textId="67316FB3" w:rsidR="00A700F0" w:rsidRPr="00B275E2" w:rsidRDefault="171FD018" w:rsidP="00511BE6">
      <w:pPr>
        <w:pStyle w:val="Bullet"/>
      </w:pPr>
      <w:r>
        <w:t xml:space="preserve">use of new pasture quality values of metabolisable energy, organic matter digestibility, and nitrogen content for dairy cattle, non-dairy cattle, sheep and deer livestock categories in the Tier 2 methodology </w:t>
      </w:r>
    </w:p>
    <w:p w14:paraId="1E0711D8" w14:textId="77777777" w:rsidR="00A700F0" w:rsidRPr="00B275E2" w:rsidRDefault="00A700F0" w:rsidP="00511BE6">
      <w:pPr>
        <w:pStyle w:val="Bullet"/>
      </w:pPr>
      <w:r w:rsidRPr="00B275E2">
        <w:t xml:space="preserve">minor correction to the sheep nitrogen excretion calculations </w:t>
      </w:r>
    </w:p>
    <w:p w14:paraId="1044599F" w14:textId="67316FB3" w:rsidR="00A700F0" w:rsidRPr="00B275E2" w:rsidRDefault="171FD018" w:rsidP="00511BE6">
      <w:pPr>
        <w:pStyle w:val="Bullet"/>
      </w:pPr>
      <w:r>
        <w:t xml:space="preserve">adoption of a new FracLEACH value for nitrogen applied to cropland </w:t>
      </w:r>
      <w:bookmarkStart w:id="604" w:name="_Hlk98829137"/>
      <w:r w:rsidR="70FF3FE9">
        <w:t>(arable and vegetable). All other operations (</w:t>
      </w:r>
      <w:r w:rsidR="068DD3A0">
        <w:t>eg,</w:t>
      </w:r>
      <w:r w:rsidR="70FF3FE9">
        <w:t xml:space="preserve"> pastoral and permanent horticulture) use the Grasslands FracLEACH.</w:t>
      </w:r>
      <w:bookmarkEnd w:id="604"/>
    </w:p>
    <w:p w14:paraId="292EED8C" w14:textId="00AB0ED3" w:rsidR="00A700F0" w:rsidRPr="00B275E2" w:rsidRDefault="00A700F0" w:rsidP="00511BE6">
      <w:pPr>
        <w:pStyle w:val="Bullet"/>
      </w:pPr>
      <w:r w:rsidRPr="00B275E2">
        <w:t>an updated assumption to the purity of agricultural lime (previously assumed to be 100</w:t>
      </w:r>
      <w:r w:rsidR="00511BE6" w:rsidRPr="00B275E2">
        <w:t> </w:t>
      </w:r>
      <w:r w:rsidRPr="00B275E2">
        <w:t xml:space="preserve">per cent) </w:t>
      </w:r>
    </w:p>
    <w:p w14:paraId="39DA9C88" w14:textId="5229DB4E" w:rsidR="00A700F0" w:rsidRPr="00B275E2" w:rsidRDefault="003C2B28" w:rsidP="00511BE6">
      <w:pPr>
        <w:pStyle w:val="Bullet"/>
      </w:pPr>
      <w:r w:rsidRPr="00B275E2">
        <w:t>t</w:t>
      </w:r>
      <w:r w:rsidR="00230CB0" w:rsidRPr="00B275E2">
        <w:t xml:space="preserve">he addition of the option to use </w:t>
      </w:r>
      <w:r w:rsidR="000F36CC" w:rsidRPr="00B275E2">
        <w:t>Approach One- S</w:t>
      </w:r>
      <w:r w:rsidR="00230CB0" w:rsidRPr="00B275E2">
        <w:t xml:space="preserve">tock </w:t>
      </w:r>
      <w:r w:rsidR="000F36CC" w:rsidRPr="00B275E2">
        <w:t>C</w:t>
      </w:r>
      <w:r w:rsidR="00230CB0" w:rsidRPr="00B275E2">
        <w:t xml:space="preserve">hange </w:t>
      </w:r>
      <w:r w:rsidR="000F36CC" w:rsidRPr="00B275E2">
        <w:t xml:space="preserve">Accounting or </w:t>
      </w:r>
      <w:r w:rsidR="000F36CC" w:rsidRPr="00B275E2">
        <w:rPr>
          <w:i/>
          <w:iCs/>
        </w:rPr>
        <w:t xml:space="preserve">Approach Two- Averaging Accounting. </w:t>
      </w:r>
      <w:r w:rsidR="00682ECA" w:rsidRPr="00B275E2">
        <w:t xml:space="preserve">This allows users who do not have </w:t>
      </w:r>
      <w:r w:rsidR="004E368A" w:rsidRPr="00B275E2">
        <w:t>access to harvest</w:t>
      </w:r>
      <w:r w:rsidR="00682ECA" w:rsidRPr="00B275E2">
        <w:t xml:space="preserve"> data </w:t>
      </w:r>
      <w:r w:rsidR="004E368A" w:rsidRPr="00B275E2">
        <w:t xml:space="preserve">to estimate emissions and removals. It also supports users who are aligning with New Zealand’s International emissions reduction targets. </w:t>
      </w:r>
    </w:p>
    <w:p w14:paraId="1C1729D7" w14:textId="4FB3AEE5" w:rsidR="002B4AE9" w:rsidRPr="00B275E2" w:rsidRDefault="0085397D" w:rsidP="007F0B1E">
      <w:pPr>
        <w:pStyle w:val="BodyText"/>
        <w:spacing w:before="100"/>
      </w:pPr>
      <w:r w:rsidRPr="00B275E2">
        <w:lastRenderedPageBreak/>
        <w:t xml:space="preserve">Please refer </w:t>
      </w:r>
      <w:r w:rsidR="00A41979" w:rsidRPr="00B275E2">
        <w:t xml:space="preserve">to </w:t>
      </w:r>
      <w:r w:rsidR="00A37FE9" w:rsidRPr="00B275E2">
        <w:t>section 5.1.5</w:t>
      </w:r>
      <w:r w:rsidR="00E96801" w:rsidRPr="00B275E2">
        <w:t xml:space="preserve"> (and other relevant sections) </w:t>
      </w:r>
      <w:hyperlink r:id="rId110" w:history="1">
        <w:r w:rsidR="000C33DB" w:rsidRPr="00B275E2">
          <w:rPr>
            <w:rStyle w:val="Hyperlink"/>
            <w:i/>
            <w:iCs/>
          </w:rPr>
          <w:t>New Zealand</w:t>
        </w:r>
        <w:r w:rsidR="001B331A" w:rsidRPr="00B275E2">
          <w:rPr>
            <w:rStyle w:val="Hyperlink"/>
            <w:i/>
            <w:iCs/>
          </w:rPr>
          <w:t>’s</w:t>
        </w:r>
        <w:r w:rsidR="000C33DB" w:rsidRPr="00B275E2">
          <w:rPr>
            <w:rStyle w:val="Hyperlink"/>
            <w:i/>
            <w:iCs/>
          </w:rPr>
          <w:t xml:space="preserve"> Greenhouse Gas Inventory 1990</w:t>
        </w:r>
        <w:r w:rsidR="00511BE6" w:rsidRPr="00B275E2">
          <w:rPr>
            <w:rStyle w:val="Hyperlink"/>
            <w:i/>
            <w:iCs/>
          </w:rPr>
          <w:t>–</w:t>
        </w:r>
        <w:r w:rsidR="000C33DB" w:rsidRPr="00B275E2">
          <w:rPr>
            <w:rStyle w:val="Hyperlink"/>
            <w:i/>
            <w:iCs/>
          </w:rPr>
          <w:t>2020</w:t>
        </w:r>
      </w:hyperlink>
      <w:r w:rsidR="000C33DB" w:rsidRPr="00B275E2">
        <w:t>.</w:t>
      </w:r>
      <w:r w:rsidR="00307D69" w:rsidRPr="00B275E2">
        <w:t xml:space="preserve"> for </w:t>
      </w:r>
      <w:r w:rsidR="00296952" w:rsidRPr="00B275E2">
        <w:t>further</w:t>
      </w:r>
      <w:r w:rsidR="00307D69" w:rsidRPr="00B275E2">
        <w:t xml:space="preserve"> details</w:t>
      </w:r>
      <w:r w:rsidR="003B236D" w:rsidRPr="00B275E2">
        <w:t>.</w:t>
      </w:r>
    </w:p>
    <w:p w14:paraId="6535DC6C" w14:textId="4DADE9E2" w:rsidR="002C7317" w:rsidRPr="00D411C0" w:rsidRDefault="002C7317" w:rsidP="00D411C0">
      <w:pPr>
        <w:pStyle w:val="Heading2"/>
      </w:pPr>
      <w:bookmarkStart w:id="605" w:name="_Toc532904960"/>
      <w:bookmarkStart w:id="606" w:name="_Toc600603"/>
      <w:bookmarkStart w:id="607" w:name="_Toc111536816"/>
      <w:r w:rsidRPr="00D411C0">
        <w:t xml:space="preserve">Land </w:t>
      </w:r>
      <w:r w:rsidR="00436C6A" w:rsidRPr="00D411C0">
        <w:t>u</w:t>
      </w:r>
      <w:r w:rsidRPr="00D411C0">
        <w:t xml:space="preserve">se, </w:t>
      </w:r>
      <w:r w:rsidR="009953FD" w:rsidRPr="00D411C0">
        <w:t>land-use change</w:t>
      </w:r>
      <w:r w:rsidRPr="00D411C0">
        <w:t xml:space="preserve"> and </w:t>
      </w:r>
      <w:r w:rsidR="00436C6A" w:rsidRPr="00D411C0">
        <w:t>f</w:t>
      </w:r>
      <w:r w:rsidRPr="00D411C0">
        <w:t>orestry (LULUCF)</w:t>
      </w:r>
      <w:bookmarkEnd w:id="605"/>
      <w:bookmarkEnd w:id="606"/>
      <w:bookmarkEnd w:id="607"/>
    </w:p>
    <w:p w14:paraId="68696BE9" w14:textId="438083C3" w:rsidR="00BF2495" w:rsidRPr="00B275E2" w:rsidRDefault="00E4151C" w:rsidP="00C24B73">
      <w:pPr>
        <w:pStyle w:val="Heading3"/>
        <w:numPr>
          <w:ilvl w:val="0"/>
          <w:numId w:val="35"/>
        </w:numPr>
      </w:pPr>
      <w:r w:rsidRPr="00B275E2">
        <w:t>O</w:t>
      </w:r>
      <w:r w:rsidR="00BF2495" w:rsidRPr="00B275E2">
        <w:t>verview of the sector</w:t>
      </w:r>
    </w:p>
    <w:p w14:paraId="4BDC18D1" w14:textId="612B3F98" w:rsidR="00854916" w:rsidRPr="00B275E2" w:rsidRDefault="001C02C7" w:rsidP="007F0B1E">
      <w:pPr>
        <w:pStyle w:val="BodyText"/>
      </w:pPr>
      <w:bookmarkStart w:id="608" w:name="_Hlk535486838"/>
      <w:bookmarkStart w:id="609" w:name="_Hlk534709198"/>
      <w:r w:rsidRPr="00B275E2">
        <w:t>GHG</w:t>
      </w:r>
      <w:r w:rsidR="00BF2495" w:rsidRPr="00B275E2">
        <w:t xml:space="preserve"> emissions </w:t>
      </w:r>
      <w:r w:rsidR="003F57EF" w:rsidRPr="00B275E2">
        <w:t xml:space="preserve">from </w:t>
      </w:r>
      <w:r w:rsidR="00BF2495" w:rsidRPr="00B275E2">
        <w:t>vegetation and soil</w:t>
      </w:r>
      <w:r w:rsidR="00385254" w:rsidRPr="00B275E2">
        <w:t xml:space="preserve">s due to human activities are reported </w:t>
      </w:r>
      <w:r w:rsidR="00A03680" w:rsidRPr="00B275E2">
        <w:t>in the</w:t>
      </w:r>
      <w:r w:rsidR="00385254" w:rsidRPr="00B275E2">
        <w:t xml:space="preserve"> land use, land-use change and forestry (LULUCF)</w:t>
      </w:r>
      <w:r w:rsidR="00A03680" w:rsidRPr="00B275E2">
        <w:t xml:space="preserve"> sector</w:t>
      </w:r>
      <w:r w:rsidR="003F57EF" w:rsidRPr="00B275E2">
        <w:t xml:space="preserve">. </w:t>
      </w:r>
      <w:r w:rsidR="00854916" w:rsidRPr="00B275E2">
        <w:t xml:space="preserve">This guide </w:t>
      </w:r>
      <w:r w:rsidR="00385254" w:rsidRPr="00B275E2">
        <w:t xml:space="preserve">provides </w:t>
      </w:r>
      <w:r w:rsidR="00854916" w:rsidRPr="00B275E2">
        <w:t xml:space="preserve">emission factors related to forest growth, forest harvest </w:t>
      </w:r>
      <w:r w:rsidR="00867074" w:rsidRPr="00B275E2">
        <w:t>and</w:t>
      </w:r>
      <w:r w:rsidR="00854916" w:rsidRPr="00B275E2">
        <w:t xml:space="preserve"> deforestation</w:t>
      </w:r>
      <w:r w:rsidR="00867074" w:rsidRPr="00B275E2">
        <w:t xml:space="preserve"> only</w:t>
      </w:r>
      <w:r w:rsidR="00854916" w:rsidRPr="00B275E2">
        <w:t xml:space="preserve">. </w:t>
      </w:r>
      <w:r w:rsidR="00A833BD" w:rsidRPr="00B275E2">
        <w:t xml:space="preserve">The term LULUCF is used for consistency with </w:t>
      </w:r>
      <w:hyperlink r:id="rId111" w:history="1">
        <w:r w:rsidR="000C33DB" w:rsidRPr="00B275E2">
          <w:rPr>
            <w:rStyle w:val="Hyperlink"/>
            <w:i/>
            <w:iCs/>
          </w:rPr>
          <w:t>New Zealand</w:t>
        </w:r>
        <w:r w:rsidR="001B331A" w:rsidRPr="00B275E2">
          <w:rPr>
            <w:rStyle w:val="Hyperlink"/>
            <w:i/>
            <w:iCs/>
          </w:rPr>
          <w:t>’s</w:t>
        </w:r>
        <w:r w:rsidR="000C33DB" w:rsidRPr="00B275E2">
          <w:rPr>
            <w:rStyle w:val="Hyperlink"/>
            <w:i/>
            <w:iCs/>
          </w:rPr>
          <w:t xml:space="preserve"> Greenhouse Gas Inventory 1990</w:t>
        </w:r>
        <w:r w:rsidR="00FF31DC" w:rsidRPr="00B275E2">
          <w:rPr>
            <w:rStyle w:val="Hyperlink"/>
            <w:i/>
            <w:iCs/>
          </w:rPr>
          <w:t>–</w:t>
        </w:r>
        <w:r w:rsidR="000C33DB" w:rsidRPr="00B275E2">
          <w:rPr>
            <w:rStyle w:val="Hyperlink"/>
            <w:i/>
            <w:iCs/>
          </w:rPr>
          <w:t>2020</w:t>
        </w:r>
      </w:hyperlink>
      <w:r w:rsidR="000C33DB" w:rsidRPr="00B275E2">
        <w:t>.</w:t>
      </w:r>
    </w:p>
    <w:p w14:paraId="37DF7DF1" w14:textId="3D896A3B" w:rsidR="00A03680" w:rsidRPr="00B275E2" w:rsidRDefault="00E9625E" w:rsidP="007F0B1E">
      <w:pPr>
        <w:pStyle w:val="BodyText"/>
      </w:pPr>
      <w:bookmarkStart w:id="610" w:name="_Hlk535486883"/>
      <w:bookmarkEnd w:id="608"/>
      <w:r w:rsidRPr="00B275E2">
        <w:t>The LULUCF sector is responsible for both emitting GHG to the atmosphere (emissions</w:t>
      </w:r>
      <w:r w:rsidR="003F57EF" w:rsidRPr="00B275E2">
        <w:t xml:space="preserve"> ie, through </w:t>
      </w:r>
      <w:r w:rsidR="00221FAD" w:rsidRPr="00B275E2">
        <w:t xml:space="preserve">harvesting and </w:t>
      </w:r>
      <w:r w:rsidR="003F57EF" w:rsidRPr="00B275E2">
        <w:t>deforestation</w:t>
      </w:r>
      <w:r w:rsidRPr="00B275E2">
        <w:t>) and removing GHG from the atmosphere (removals</w:t>
      </w:r>
      <w:r w:rsidR="003F57EF" w:rsidRPr="00B275E2">
        <w:t xml:space="preserve"> ie,</w:t>
      </w:r>
      <w:r w:rsidR="0073689E" w:rsidRPr="00B275E2">
        <w:t> </w:t>
      </w:r>
      <w:r w:rsidR="003F57EF" w:rsidRPr="00B275E2">
        <w:t xml:space="preserve">through </w:t>
      </w:r>
      <w:r w:rsidR="00221FAD" w:rsidRPr="00B275E2">
        <w:t>vegetation</w:t>
      </w:r>
      <w:r w:rsidR="007171BF" w:rsidRPr="00B275E2">
        <w:t xml:space="preserve"> </w:t>
      </w:r>
      <w:r w:rsidR="00221FAD" w:rsidRPr="00B275E2">
        <w:t>growth and increasing organic carbon stored in soils</w:t>
      </w:r>
      <w:r w:rsidRPr="00B275E2">
        <w:t xml:space="preserve">). </w:t>
      </w:r>
      <w:r w:rsidR="00221FAD" w:rsidRPr="00B275E2">
        <w:t xml:space="preserve">Most </w:t>
      </w:r>
      <w:r w:rsidR="003F57EF" w:rsidRPr="00B275E2">
        <w:t xml:space="preserve">emissions </w:t>
      </w:r>
      <w:r w:rsidR="00221FAD" w:rsidRPr="00B275E2">
        <w:t xml:space="preserve">reported in this sector </w:t>
      </w:r>
      <w:r w:rsidR="003F57EF" w:rsidRPr="00B275E2">
        <w:t xml:space="preserve">are due </w:t>
      </w:r>
      <w:r w:rsidR="00A03680" w:rsidRPr="00B275E2">
        <w:t>to forestry activities such as</w:t>
      </w:r>
      <w:r w:rsidR="003F57EF" w:rsidRPr="00B275E2">
        <w:t xml:space="preserve"> harvest </w:t>
      </w:r>
      <w:r w:rsidR="00221FAD" w:rsidRPr="00B275E2">
        <w:t>operations in</w:t>
      </w:r>
      <w:r w:rsidR="003F57EF" w:rsidRPr="00B275E2">
        <w:t xml:space="preserve"> production forests</w:t>
      </w:r>
      <w:r w:rsidR="00745106" w:rsidRPr="00B275E2">
        <w:t>,</w:t>
      </w:r>
      <w:r w:rsidR="00482025" w:rsidRPr="00B275E2">
        <w:t xml:space="preserve"> and m</w:t>
      </w:r>
      <w:r w:rsidR="00221FAD" w:rsidRPr="00B275E2">
        <w:t>ost r</w:t>
      </w:r>
      <w:r w:rsidR="003F57EF" w:rsidRPr="00B275E2">
        <w:t xml:space="preserve">emovals are due to </w:t>
      </w:r>
      <w:r w:rsidR="00A03680" w:rsidRPr="00B275E2">
        <w:t>forest</w:t>
      </w:r>
      <w:r w:rsidR="00221FAD" w:rsidRPr="00B275E2">
        <w:t xml:space="preserve"> </w:t>
      </w:r>
      <w:r w:rsidR="003F57EF" w:rsidRPr="00B275E2">
        <w:t xml:space="preserve">growth. </w:t>
      </w:r>
    </w:p>
    <w:p w14:paraId="147B9BCB" w14:textId="44FA0A05" w:rsidR="00E9625E" w:rsidRPr="00B275E2" w:rsidRDefault="00A03680" w:rsidP="007F0B1E">
      <w:pPr>
        <w:pStyle w:val="BodyText"/>
      </w:pPr>
      <w:r w:rsidRPr="00B275E2">
        <w:t xml:space="preserve">The basis for the methods given here is that the flux of carbon dioxide to and from the atmosphere is due to the changes in carbon stocks in vegetation and soils. </w:t>
      </w:r>
      <w:r w:rsidR="00E9625E" w:rsidRPr="00B275E2">
        <w:t xml:space="preserve">When emissions exceed removals, LULUCF is a </w:t>
      </w:r>
      <w:r w:rsidR="00482025" w:rsidRPr="00B275E2">
        <w:t>‘</w:t>
      </w:r>
      <w:r w:rsidR="00E9625E" w:rsidRPr="00B275E2">
        <w:t>net source</w:t>
      </w:r>
      <w:r w:rsidR="00482025" w:rsidRPr="00B275E2">
        <w:t>’</w:t>
      </w:r>
      <w:r w:rsidR="00E9625E" w:rsidRPr="00B275E2">
        <w:t xml:space="preserve"> and emissions are positive. When removals exceed emissions, LULUCF is a </w:t>
      </w:r>
      <w:r w:rsidR="00482025" w:rsidRPr="00B275E2">
        <w:t>‘</w:t>
      </w:r>
      <w:r w:rsidR="00E9625E" w:rsidRPr="00B275E2">
        <w:t>net sink</w:t>
      </w:r>
      <w:r w:rsidR="00482025" w:rsidRPr="00B275E2">
        <w:t>’</w:t>
      </w:r>
      <w:r w:rsidR="00E9625E" w:rsidRPr="00B275E2">
        <w:t xml:space="preserve"> and emissions are negative. </w:t>
      </w:r>
    </w:p>
    <w:p w14:paraId="747BF127" w14:textId="36FB0ED0" w:rsidR="00482025" w:rsidRPr="00B275E2" w:rsidRDefault="00482025" w:rsidP="007F0B1E">
      <w:pPr>
        <w:pStyle w:val="BodyText"/>
      </w:pPr>
      <w:r w:rsidRPr="00B275E2">
        <w:t xml:space="preserve">The guide provides methods to estimate the carbon stock change (or flux) </w:t>
      </w:r>
      <w:r w:rsidR="00A03680" w:rsidRPr="00B275E2">
        <w:t xml:space="preserve">that occurs from forestry activities </w:t>
      </w:r>
      <w:r w:rsidRPr="00B275E2">
        <w:t>during the applicable measurement period. We do not provide methods here</w:t>
      </w:r>
      <w:r w:rsidR="0009173C" w:rsidRPr="00B275E2">
        <w:t> </w:t>
      </w:r>
      <w:r w:rsidRPr="00B275E2">
        <w:t>to estimate carbon stock changes in non-forest vegetation, soils, harvested wood products</w:t>
      </w:r>
      <w:r w:rsidR="0048121F" w:rsidRPr="00B275E2">
        <w:t>,</w:t>
      </w:r>
      <w:r w:rsidR="0009173C" w:rsidRPr="00B275E2">
        <w:t> </w:t>
      </w:r>
      <w:r w:rsidRPr="00B275E2">
        <w:t xml:space="preserve">or for the associated nitrous oxide and methane emissions. For more detail, see </w:t>
      </w:r>
      <w:hyperlink r:id="rId112" w:history="1">
        <w:r w:rsidR="000C33DB" w:rsidRPr="00B275E2">
          <w:rPr>
            <w:rStyle w:val="Hyperlink"/>
            <w:i/>
            <w:iCs/>
          </w:rPr>
          <w:t>New Zealand Greenhouse Gas Inventory 1990-2020</w:t>
        </w:r>
      </w:hyperlink>
      <w:r w:rsidR="000C33DB" w:rsidRPr="00B275E2">
        <w:t>.</w:t>
      </w:r>
    </w:p>
    <w:p w14:paraId="3E5F98F6" w14:textId="2ED50ED9" w:rsidR="00482025" w:rsidRPr="00B275E2" w:rsidRDefault="005C418B" w:rsidP="007F0B1E">
      <w:pPr>
        <w:pStyle w:val="BodyText"/>
        <w:spacing w:after="240"/>
      </w:pPr>
      <w:r w:rsidRPr="00B275E2">
        <w:t xml:space="preserve">In line with </w:t>
      </w:r>
      <w:hyperlink r:id="rId113" w:history="1">
        <w:r w:rsidRPr="00B275E2">
          <w:rPr>
            <w:rStyle w:val="Hyperlink"/>
          </w:rPr>
          <w:t>ISO 14064-1</w:t>
        </w:r>
        <w:r w:rsidR="00A8360E" w:rsidRPr="00B275E2">
          <w:rPr>
            <w:rStyle w:val="Hyperlink"/>
          </w:rPr>
          <w:t>:2018</w:t>
        </w:r>
      </w:hyperlink>
      <w:r w:rsidRPr="00B275E2">
        <w:t xml:space="preserve"> and the </w:t>
      </w:r>
      <w:hyperlink r:id="rId114" w:history="1">
        <w:r w:rsidRPr="00B275E2">
          <w:rPr>
            <w:rStyle w:val="Hyperlink"/>
          </w:rPr>
          <w:t>GHG Protocol</w:t>
        </w:r>
      </w:hyperlink>
      <w:r w:rsidRPr="00B275E2">
        <w:t>, organisations should consider LULUCF emissions if they have forest land within their measurement boundary, or own land that has been deforested during the measurement period.</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505"/>
      </w:tblGrid>
      <w:tr w:rsidR="004E3A53" w:rsidRPr="00B275E2" w14:paraId="1B9B7716" w14:textId="77777777" w:rsidTr="00FF31DC">
        <w:tc>
          <w:tcPr>
            <w:tcW w:w="0" w:type="auto"/>
            <w:shd w:val="clear" w:color="auto" w:fill="D2DDE1" w:themeFill="background2"/>
          </w:tcPr>
          <w:p w14:paraId="7E79A427" w14:textId="3A366D20" w:rsidR="004E3A53" w:rsidRPr="00B275E2" w:rsidRDefault="004E3A53" w:rsidP="00FF31DC">
            <w:pPr>
              <w:pStyle w:val="Boxtext"/>
              <w:spacing w:before="240" w:after="240"/>
            </w:pPr>
            <w:r w:rsidRPr="00B275E2">
              <w:t>Organisations with LULUCF emissions should calculate and report these separately from direct and indirect (Scope 1, 2 and 3) emissions.</w:t>
            </w:r>
          </w:p>
        </w:tc>
      </w:tr>
    </w:tbl>
    <w:bookmarkEnd w:id="609"/>
    <w:bookmarkEnd w:id="610"/>
    <w:p w14:paraId="02EF798C" w14:textId="572BB434" w:rsidR="00D644AE" w:rsidRPr="00B275E2" w:rsidRDefault="00BF2495" w:rsidP="007F0B1E">
      <w:pPr>
        <w:pStyle w:val="BodyText"/>
        <w:spacing w:before="240"/>
      </w:pPr>
      <w:r w:rsidRPr="00B275E2">
        <w:t xml:space="preserve">The </w:t>
      </w:r>
      <w:r w:rsidR="00D644AE" w:rsidRPr="00B275E2">
        <w:t xml:space="preserve">emission factors in </w:t>
      </w:r>
      <w:r w:rsidRPr="00B275E2" w:rsidDel="005E1876">
        <w:t xml:space="preserve">this </w:t>
      </w:r>
      <w:r w:rsidR="00D644AE" w:rsidRPr="00B275E2">
        <w:t>guide are New Zealand</w:t>
      </w:r>
      <w:r w:rsidR="00EC335A" w:rsidRPr="00B275E2">
        <w:t>-</w:t>
      </w:r>
      <w:r w:rsidR="00D644AE" w:rsidRPr="00B275E2">
        <w:t xml:space="preserve">specific, derived from national averages. </w:t>
      </w:r>
    </w:p>
    <w:p w14:paraId="324EE4F9" w14:textId="5BEC9335" w:rsidR="00BF2495" w:rsidRPr="00B275E2" w:rsidRDefault="006B6910" w:rsidP="007F0B1E">
      <w:pPr>
        <w:pStyle w:val="BodyText"/>
      </w:pPr>
      <w:r w:rsidRPr="00B275E2">
        <w:t>Although</w:t>
      </w:r>
      <w:r w:rsidR="00BF2495" w:rsidRPr="00B275E2">
        <w:t xml:space="preserve"> the </w:t>
      </w:r>
      <w:r w:rsidR="0048121F" w:rsidRPr="00B275E2">
        <w:t>main aim</w:t>
      </w:r>
      <w:r w:rsidR="00BF2495" w:rsidRPr="00B275E2">
        <w:t xml:space="preserve"> of this </w:t>
      </w:r>
      <w:r w:rsidR="004D0FA8" w:rsidRPr="00B275E2">
        <w:t xml:space="preserve">section of the </w:t>
      </w:r>
      <w:r w:rsidR="00BF2495" w:rsidRPr="00B275E2">
        <w:t xml:space="preserve">guide is to </w:t>
      </w:r>
      <w:r w:rsidR="00D96C43" w:rsidRPr="00B275E2">
        <w:t xml:space="preserve">estimate </w:t>
      </w:r>
      <w:r w:rsidR="00BF2495" w:rsidRPr="00B275E2">
        <w:t>stock change</w:t>
      </w:r>
      <w:r w:rsidR="00D96C43" w:rsidRPr="00B275E2">
        <w:t>s</w:t>
      </w:r>
      <w:r w:rsidR="00440A92" w:rsidRPr="00B275E2">
        <w:t xml:space="preserve"> from forestry activities</w:t>
      </w:r>
      <w:r w:rsidR="00BF2495" w:rsidRPr="00B275E2">
        <w:t>, it can also be used to estimate</w:t>
      </w:r>
      <w:r w:rsidR="00B7258E" w:rsidRPr="00B275E2">
        <w:t xml:space="preserve"> the</w:t>
      </w:r>
      <w:r w:rsidR="00BF2495" w:rsidRPr="00B275E2">
        <w:t xml:space="preserve"> </w:t>
      </w:r>
      <w:r w:rsidR="003E623D" w:rsidRPr="00B275E2" w:rsidDel="00936634">
        <w:t xml:space="preserve">total carbon </w:t>
      </w:r>
      <w:r w:rsidR="003E623D" w:rsidRPr="00B275E2">
        <w:t xml:space="preserve">stored for a given </w:t>
      </w:r>
      <w:r w:rsidR="00440A92" w:rsidRPr="00B275E2">
        <w:t xml:space="preserve">forest type in a given </w:t>
      </w:r>
      <w:r w:rsidR="003E623D" w:rsidRPr="00B275E2">
        <w:t>area</w:t>
      </w:r>
      <w:r w:rsidR="0048121F" w:rsidRPr="00B275E2">
        <w:t xml:space="preserve">. This can help organisations understand </w:t>
      </w:r>
      <w:r w:rsidR="003E623D" w:rsidRPr="00B275E2">
        <w:t xml:space="preserve">the potential </w:t>
      </w:r>
      <w:r w:rsidR="00440A92" w:rsidRPr="00B275E2">
        <w:t xml:space="preserve">impact of </w:t>
      </w:r>
      <w:r w:rsidR="0048121F" w:rsidRPr="00B275E2">
        <w:t>some</w:t>
      </w:r>
      <w:r w:rsidR="00440A92" w:rsidRPr="00B275E2">
        <w:t xml:space="preserve"> forestry activities on emissions, and how to manage land use for carbon.</w:t>
      </w:r>
    </w:p>
    <w:p w14:paraId="53F4AD67" w14:textId="1067DE4B" w:rsidR="00BF2495" w:rsidRPr="00B275E2" w:rsidRDefault="0036564F" w:rsidP="00C24B73">
      <w:pPr>
        <w:pStyle w:val="Heading3"/>
        <w:numPr>
          <w:ilvl w:val="0"/>
          <w:numId w:val="35"/>
        </w:numPr>
      </w:pPr>
      <w:bookmarkStart w:id="611" w:name="_Ref532483459"/>
      <w:r w:rsidRPr="00B275E2">
        <w:lastRenderedPageBreak/>
        <w:t xml:space="preserve">LULUCF </w:t>
      </w:r>
      <w:r w:rsidR="00322289" w:rsidRPr="00B275E2">
        <w:t>emission factors</w:t>
      </w:r>
    </w:p>
    <w:p w14:paraId="4D26AC43" w14:textId="7674540E" w:rsidR="0061783B" w:rsidRPr="00B275E2" w:rsidRDefault="0061783B" w:rsidP="002234D0">
      <w:pPr>
        <w:pStyle w:val="Heading3"/>
      </w:pPr>
      <w:r w:rsidRPr="00B275E2">
        <w:t>Planted forests</w:t>
      </w:r>
      <w:r w:rsidRPr="00B275E2">
        <w:rPr>
          <w:rFonts w:ascii="Times New Roman" w:hAnsi="Times New Roman" w:cs="Times New Roman"/>
        </w:rPr>
        <w:t> </w:t>
      </w:r>
    </w:p>
    <w:p w14:paraId="5FAB5430" w14:textId="0FEAB005" w:rsidR="0061783B" w:rsidRPr="00B275E2" w:rsidRDefault="0061783B" w:rsidP="00FF31DC">
      <w:pPr>
        <w:pStyle w:val="BodyText"/>
      </w:pPr>
      <w:r w:rsidRPr="00B275E2">
        <w:t>Two approaches are provided to calculate emissions and removals from planted forests. Only one approach can be used</w:t>
      </w:r>
      <w:r w:rsidR="008B2A4E" w:rsidRPr="00B275E2">
        <w:t>, a mixture of approaches is not permitted.</w:t>
      </w:r>
    </w:p>
    <w:p w14:paraId="4AC9AB13" w14:textId="3D78DB32" w:rsidR="0061783B" w:rsidRPr="00B275E2" w:rsidRDefault="0061783B" w:rsidP="00FF31DC">
      <w:pPr>
        <w:pStyle w:val="Heading5"/>
      </w:pPr>
      <w:r w:rsidRPr="00B275E2">
        <w:t xml:space="preserve">Approach </w:t>
      </w:r>
      <w:r w:rsidR="00B215C7" w:rsidRPr="00B275E2">
        <w:t>o</w:t>
      </w:r>
      <w:r w:rsidRPr="00B275E2">
        <w:t>ne – Carbon stock change accounting</w:t>
      </w:r>
    </w:p>
    <w:p w14:paraId="41543BFB" w14:textId="77777777" w:rsidR="00B215C7" w:rsidRPr="00B275E2" w:rsidRDefault="0061783B" w:rsidP="007F0B1E">
      <w:pPr>
        <w:pStyle w:val="BodyText"/>
      </w:pPr>
      <w:r w:rsidRPr="00B275E2">
        <w:t>This approach estimates the net emissions and removals from forest growth and harvesting each year. The emission factors are based on the Land Use and Carbon Analysis System (LUCAS) national sample. </w:t>
      </w:r>
    </w:p>
    <w:p w14:paraId="75E1EC0E" w14:textId="4F6FD45B" w:rsidR="0061783B" w:rsidRPr="00B275E2" w:rsidRDefault="0061783B" w:rsidP="007F0B1E">
      <w:pPr>
        <w:pStyle w:val="BodyText"/>
      </w:pPr>
      <w:r>
        <w:t>Annual removals from forest growth (</w:t>
      </w:r>
      <w:r w:rsidR="00B215C7">
        <w:t xml:space="preserve">table </w:t>
      </w:r>
      <w:r w:rsidR="00F23341">
        <w:t>89</w:t>
      </w:r>
      <w:r>
        <w:t>) are estimated as an average annual increment over</w:t>
      </w:r>
      <w:r w:rsidR="002A2EFD">
        <w:t xml:space="preserve"> th</w:t>
      </w:r>
      <w:r w:rsidR="00BE2CE0">
        <w:t>e</w:t>
      </w:r>
      <w:r w:rsidR="002A2EFD">
        <w:t xml:space="preserve"> average</w:t>
      </w:r>
      <w:r w:rsidR="00BE2CE0">
        <w:t xml:space="preserve"> duration of their</w:t>
      </w:r>
      <w:r w:rsidR="002A2EFD">
        <w:t xml:space="preserve"> harvesting cycle</w:t>
      </w:r>
      <w:r>
        <w:t>.</w:t>
      </w:r>
      <w:r w:rsidR="00BE2CE0">
        <w:t xml:space="preserve"> Emission factors are provided for three species groups (</w:t>
      </w:r>
      <w:r w:rsidR="00BE2CE0" w:rsidRPr="7A15BFB1">
        <w:rPr>
          <w:i/>
          <w:iCs/>
        </w:rPr>
        <w:t>Pinus radiata</w:t>
      </w:r>
      <w:r w:rsidR="00BE2CE0">
        <w:t>, other softwoods</w:t>
      </w:r>
      <w:r w:rsidR="00B215C7">
        <w:t>,</w:t>
      </w:r>
      <w:r w:rsidR="00BE2CE0">
        <w:t xml:space="preserve"> and all hardwoods) a</w:t>
      </w:r>
      <w:r w:rsidR="006E1140">
        <w:t>nd</w:t>
      </w:r>
      <w:r w:rsidR="00BE2CE0">
        <w:t xml:space="preserve"> </w:t>
      </w:r>
      <w:r w:rsidR="00ED70FE">
        <w:t xml:space="preserve">an ‘all planted forest category’ (this represents an average emission factor for New Zealand’s planted forest estate, regardless of species). </w:t>
      </w:r>
      <w:r w:rsidR="00EA45E5">
        <w:t>If a species breakdown is not available</w:t>
      </w:r>
      <w:r w:rsidR="00B215C7">
        <w:t>,</w:t>
      </w:r>
      <w:r w:rsidR="00EA45E5">
        <w:t xml:space="preserve"> then the ‘all planted forest’ category can be used. </w:t>
      </w:r>
      <w:r>
        <w:t>The emission factor</w:t>
      </w:r>
      <w:r w:rsidR="00BE2CE0">
        <w:t>s</w:t>
      </w:r>
      <w:r>
        <w:t xml:space="preserve"> for forest harvesting and deforestation </w:t>
      </w:r>
      <w:r w:rsidR="00ED70FE">
        <w:t>are</w:t>
      </w:r>
      <w:r>
        <w:t xml:space="preserve"> provided as the entire loss of carbon on the clearing of planted forest at </w:t>
      </w:r>
      <w:r w:rsidR="00ED70FE">
        <w:t>the</w:t>
      </w:r>
      <w:r>
        <w:t xml:space="preserve"> average harvest (</w:t>
      </w:r>
      <w:r w:rsidR="00B215C7">
        <w:t>t</w:t>
      </w:r>
      <w:r>
        <w:t xml:space="preserve">able </w:t>
      </w:r>
      <w:r w:rsidR="00F23341">
        <w:t>90</w:t>
      </w:r>
      <w:r>
        <w:t>).</w:t>
      </w:r>
    </w:p>
    <w:p w14:paraId="7729BB36" w14:textId="1BC47A56" w:rsidR="0061783B" w:rsidRPr="00B275E2" w:rsidRDefault="00ED70FE" w:rsidP="007F0B1E">
      <w:pPr>
        <w:pStyle w:val="BodyText"/>
        <w:rPr>
          <w:rFonts w:ascii="Segoe UI" w:hAnsi="Segoe UI" w:cs="Segoe UI"/>
          <w:sz w:val="18"/>
          <w:szCs w:val="18"/>
        </w:rPr>
      </w:pPr>
      <w:r w:rsidRPr="00B275E2">
        <w:t>Note, i</w:t>
      </w:r>
      <w:r w:rsidR="001A30E9" w:rsidRPr="00B275E2">
        <w:t>f species-specific emission factors for forest growth are used, the corresponding species-</w:t>
      </w:r>
      <w:r w:rsidR="007D3E6B" w:rsidRPr="00B275E2">
        <w:t>specific</w:t>
      </w:r>
      <w:r w:rsidR="001A30E9" w:rsidRPr="00B275E2">
        <w:t xml:space="preserve"> values </w:t>
      </w:r>
      <w:r w:rsidR="007D3E6B" w:rsidRPr="00B275E2">
        <w:t>must</w:t>
      </w:r>
      <w:r w:rsidR="001A30E9" w:rsidRPr="00B275E2">
        <w:t xml:space="preserve"> be used to </w:t>
      </w:r>
      <w:r w:rsidR="007D3E6B" w:rsidRPr="00B275E2">
        <w:t>account for land-use change emissions. Likewise, if the</w:t>
      </w:r>
      <w:r w:rsidR="00585F3B">
        <w:t> </w:t>
      </w:r>
      <w:r w:rsidR="007D3E6B" w:rsidRPr="00B275E2">
        <w:t>‘all panted forest’</w:t>
      </w:r>
      <w:r w:rsidR="00B04D69" w:rsidRPr="00B275E2">
        <w:t xml:space="preserve"> emission factor is used for forest growth, then it must also be used to account for land-use change emissions.</w:t>
      </w:r>
    </w:p>
    <w:p w14:paraId="16FFF6A3" w14:textId="50754221" w:rsidR="0061783B" w:rsidRPr="00B275E2" w:rsidRDefault="0061783B" w:rsidP="00572E87">
      <w:pPr>
        <w:pStyle w:val="Heading5"/>
      </w:pPr>
      <w:r w:rsidRPr="00B275E2">
        <w:t xml:space="preserve">Approach </w:t>
      </w:r>
      <w:r w:rsidR="00B215C7" w:rsidRPr="00B275E2">
        <w:t>t</w:t>
      </w:r>
      <w:r w:rsidRPr="00B275E2">
        <w:t>wo – Averaging accounting </w:t>
      </w:r>
    </w:p>
    <w:p w14:paraId="74A593F8" w14:textId="31F1DB92" w:rsidR="0061783B" w:rsidRPr="00B275E2" w:rsidRDefault="0061783B" w:rsidP="007F0B1E">
      <w:pPr>
        <w:pStyle w:val="BodyText"/>
      </w:pPr>
      <w:r w:rsidRPr="00B275E2">
        <w:t xml:space="preserve">The </w:t>
      </w:r>
      <w:r w:rsidRPr="00B275E2">
        <w:rPr>
          <w:i/>
          <w:iCs/>
        </w:rPr>
        <w:t>averaging</w:t>
      </w:r>
      <w:r w:rsidRPr="00B275E2">
        <w:t xml:space="preserve"> approach estimates carbon dioxide removals from the planting of new forests (afforestation) up to the age when they reach their average long-term carbon</w:t>
      </w:r>
      <w:r w:rsidR="003B1276" w:rsidRPr="00B275E2">
        <w:t xml:space="preserve"> stock</w:t>
      </w:r>
      <w:r w:rsidRPr="00B275E2">
        <w:t>. The long-term average carbon stock represents the average carbon that is estimated to be stored over successive rotations. </w:t>
      </w:r>
    </w:p>
    <w:p w14:paraId="6B7A2BF1" w14:textId="0E0AA9B9" w:rsidR="0061783B" w:rsidRPr="00B275E2" w:rsidRDefault="0061783B" w:rsidP="007F0B1E">
      <w:pPr>
        <w:pStyle w:val="BodyText"/>
      </w:pPr>
      <w:r w:rsidRPr="00B275E2">
        <w:t>Once carbon dioxide removals have been measured up to the long-term average carbon stock, there are assumed to be no further emissions or removals (</w:t>
      </w:r>
      <w:r w:rsidR="00A01AA0" w:rsidRPr="00B275E2">
        <w:t>ie</w:t>
      </w:r>
      <w:r w:rsidRPr="00B275E2">
        <w:t>, no additional removals from growth nor emissions from harvest). </w:t>
      </w:r>
      <w:r w:rsidR="00B215C7" w:rsidRPr="00B275E2">
        <w:t xml:space="preserve"> </w:t>
      </w:r>
      <w:r w:rsidRPr="00B275E2">
        <w:t xml:space="preserve">The averaging approach requires information on forest plant date, so the age can be determined, and for the forest to be </w:t>
      </w:r>
      <w:r w:rsidR="00A637D4" w:rsidRPr="00B275E2">
        <w:t>in its</w:t>
      </w:r>
      <w:r w:rsidRPr="00B275E2">
        <w:t xml:space="preserve"> first rotation. </w:t>
      </w:r>
    </w:p>
    <w:p w14:paraId="48F4B662" w14:textId="2890D309" w:rsidR="0061783B" w:rsidRPr="00B275E2" w:rsidRDefault="0061783B" w:rsidP="005F46F1">
      <w:pPr>
        <w:pStyle w:val="BodyText"/>
      </w:pPr>
      <w:r w:rsidRPr="00B275E2">
        <w:t>The age that the long-term average carbon stock is reached varies depending on species (</w:t>
      </w:r>
      <w:r w:rsidRPr="00B275E2">
        <w:rPr>
          <w:i/>
          <w:iCs/>
        </w:rPr>
        <w:t>Pinus radiata</w:t>
      </w:r>
      <w:r w:rsidRPr="00B275E2">
        <w:t xml:space="preserve"> = 2</w:t>
      </w:r>
      <w:r w:rsidR="00676D73" w:rsidRPr="00B275E2">
        <w:t>2</w:t>
      </w:r>
      <w:r w:rsidRPr="00B275E2">
        <w:t xml:space="preserve"> years, other softwoods = 2</w:t>
      </w:r>
      <w:r w:rsidR="00DC2B0E" w:rsidRPr="00B275E2">
        <w:t>8</w:t>
      </w:r>
      <w:r w:rsidRPr="00B275E2">
        <w:t xml:space="preserve"> years</w:t>
      </w:r>
      <w:r w:rsidR="0090036F" w:rsidRPr="00B275E2">
        <w:t>,</w:t>
      </w:r>
      <w:r w:rsidRPr="00B275E2">
        <w:t xml:space="preserve"> and all hardwoods = 1</w:t>
      </w:r>
      <w:r w:rsidR="00DC2B0E" w:rsidRPr="00B275E2">
        <w:t>3</w:t>
      </w:r>
      <w:r w:rsidRPr="00B275E2">
        <w:t xml:space="preserve"> years</w:t>
      </w:r>
      <w:r w:rsidR="000240DC" w:rsidRPr="00B275E2">
        <w:t>, or for all planted forest = 22 years</w:t>
      </w:r>
      <w:r w:rsidRPr="00B275E2">
        <w:t>). Any forest that is over the age of the long-term average carbon stock is considered to have an emission factor of zero. </w:t>
      </w:r>
      <w:r w:rsidR="00085607" w:rsidRPr="00B275E2">
        <w:t>I</w:t>
      </w:r>
      <w:r w:rsidR="00104E2C" w:rsidRPr="00B275E2">
        <w:t>f</w:t>
      </w:r>
      <w:r w:rsidR="00085607" w:rsidRPr="00B275E2">
        <w:t xml:space="preserve"> a species breakdown is not available then the</w:t>
      </w:r>
      <w:r w:rsidR="005F46F1" w:rsidRPr="00B275E2">
        <w:t> </w:t>
      </w:r>
      <w:r w:rsidR="00085607" w:rsidRPr="00B275E2">
        <w:t>‘all planted forest’ category can be used</w:t>
      </w:r>
      <w:r w:rsidR="00104E2C" w:rsidRPr="00B275E2">
        <w:t xml:space="preserve"> (this represents an average </w:t>
      </w:r>
      <w:r w:rsidR="00BA312F" w:rsidRPr="00B275E2">
        <w:t xml:space="preserve">emission factor for New Zealand’s planted forest estate, regardless of species). </w:t>
      </w:r>
    </w:p>
    <w:p w14:paraId="0BEAED0D" w14:textId="7F5AB99F" w:rsidR="0061783B" w:rsidRPr="00B275E2" w:rsidRDefault="0061783B" w:rsidP="007F0B1E">
      <w:pPr>
        <w:pStyle w:val="BodyText"/>
      </w:pPr>
      <w:r w:rsidRPr="00B275E2">
        <w:t>This approach aligns with the approach that New Zealand will take to account for emissions and removals in first rotation post-1989 planted forest under the Paris Agreement. The averaging approach can be appropriate for participants who can identify the plant date of their forests (and if it is</w:t>
      </w:r>
      <w:r w:rsidR="00563C85" w:rsidRPr="00B275E2">
        <w:t xml:space="preserve"> in </w:t>
      </w:r>
      <w:r w:rsidR="00F97FFE" w:rsidRPr="00B275E2">
        <w:t>its</w:t>
      </w:r>
      <w:r w:rsidRPr="00B275E2">
        <w:t xml:space="preserve"> first rotation), or do not have data available on harvesting activity. </w:t>
      </w:r>
    </w:p>
    <w:p w14:paraId="59CC0AF8" w14:textId="6926EF04" w:rsidR="00FC539C" w:rsidRPr="00B275E2" w:rsidRDefault="00B04D69" w:rsidP="005F46F1">
      <w:pPr>
        <w:pStyle w:val="BodyText"/>
        <w:keepLines/>
        <w:spacing w:after="240"/>
      </w:pPr>
      <w:r w:rsidRPr="00B275E2">
        <w:lastRenderedPageBreak/>
        <w:t xml:space="preserve">Deforestation emissions are still accounted in full, as in approach one (table </w:t>
      </w:r>
      <w:r w:rsidR="00F23341">
        <w:t>90</w:t>
      </w:r>
      <w:r w:rsidRPr="00B275E2">
        <w:t>).</w:t>
      </w:r>
      <w:r w:rsidR="00F403A6" w:rsidRPr="00B275E2">
        <w:t xml:space="preserve"> </w:t>
      </w:r>
      <w:r w:rsidRPr="00B275E2">
        <w:t>If species-specific emission factors for forest growth are used, the corresponding species-specific values must be used to account for land-use change emissions. Likewise, if the ‘all panted forest’ emission factor is used for forest growth, then it must also be used to account for land-use change emissions.</w:t>
      </w:r>
    </w:p>
    <w:tbl>
      <w:tblPr>
        <w:tblW w:w="8500"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0"/>
      </w:tblGrid>
      <w:tr w:rsidR="00FC539C" w:rsidRPr="00B275E2" w:rsidDel="00D5390D" w14:paraId="06910EE7" w14:textId="77777777" w:rsidTr="005F46F1">
        <w:tc>
          <w:tcPr>
            <w:tcW w:w="8500" w:type="dxa"/>
            <w:tcBorders>
              <w:top w:val="single" w:sz="4" w:space="0" w:color="0F7B7D"/>
              <w:left w:val="single" w:sz="4" w:space="0" w:color="0F7B7D"/>
              <w:bottom w:val="nil"/>
              <w:right w:val="single" w:sz="4" w:space="0" w:color="0F7B7D"/>
            </w:tcBorders>
            <w:shd w:val="clear" w:color="auto" w:fill="0F7B7D"/>
            <w:vAlign w:val="center"/>
          </w:tcPr>
          <w:p w14:paraId="03CDBB24" w14:textId="2631F7E4" w:rsidR="00FC539C" w:rsidRPr="00B275E2" w:rsidDel="00D5390D" w:rsidRDefault="00FC539C" w:rsidP="005F46F1">
            <w:pPr>
              <w:pStyle w:val="Casestudyheading"/>
            </w:pPr>
            <w:r w:rsidRPr="00B275E2">
              <w:t>HARVESTING AND DEFORESTATION</w:t>
            </w:r>
          </w:p>
        </w:tc>
      </w:tr>
      <w:tr w:rsidR="00FC539C" w:rsidRPr="00B275E2" w14:paraId="62A26E38" w14:textId="77777777" w:rsidTr="005F46F1">
        <w:tc>
          <w:tcPr>
            <w:tcW w:w="8500" w:type="dxa"/>
            <w:tcBorders>
              <w:top w:val="nil"/>
              <w:left w:val="single" w:sz="4" w:space="0" w:color="D5EBE8" w:themeColor="accent3"/>
              <w:bottom w:val="single" w:sz="4" w:space="0" w:color="D5EBE8" w:themeColor="accent3"/>
              <w:right w:val="single" w:sz="4" w:space="0" w:color="D5EBE8" w:themeColor="accent3"/>
            </w:tcBorders>
            <w:shd w:val="clear" w:color="auto" w:fill="D5EBE8" w:themeFill="accent3"/>
          </w:tcPr>
          <w:p w14:paraId="7DA757EB" w14:textId="77777777" w:rsidR="00FC539C" w:rsidRPr="00B275E2" w:rsidRDefault="00FC539C" w:rsidP="005F46F1">
            <w:pPr>
              <w:pStyle w:val="Boxtext"/>
              <w:spacing w:before="180" w:after="0"/>
            </w:pPr>
            <w:r w:rsidRPr="00B275E2">
              <w:t>Deforestation occurs when forest land is cleared for another land use. </w:t>
            </w:r>
          </w:p>
          <w:p w14:paraId="4AF98CFC" w14:textId="17E4CB4F" w:rsidR="00FC539C" w:rsidRPr="00B275E2" w:rsidRDefault="00FC539C" w:rsidP="005F46F1">
            <w:pPr>
              <w:pStyle w:val="Boxtext"/>
              <w:spacing w:after="180"/>
            </w:pPr>
            <w:r w:rsidRPr="00B275E2">
              <w:t>Harvesting refers to the harvest of planted production forests for timber, which are then replanted.</w:t>
            </w:r>
          </w:p>
        </w:tc>
      </w:tr>
    </w:tbl>
    <w:p w14:paraId="48D86E44" w14:textId="27C7476F" w:rsidR="00F824B9" w:rsidRPr="00B275E2" w:rsidRDefault="008F46F9" w:rsidP="002234D0">
      <w:pPr>
        <w:pStyle w:val="Heading3"/>
      </w:pPr>
      <w:r w:rsidRPr="00B275E2">
        <w:t>Natural forests</w:t>
      </w:r>
    </w:p>
    <w:p w14:paraId="7E816CA8" w14:textId="15AC6ADC" w:rsidR="00DB26A6" w:rsidRPr="00B275E2" w:rsidRDefault="008F46F9" w:rsidP="007F0B1E">
      <w:pPr>
        <w:pStyle w:val="BodyText"/>
        <w:rPr>
          <w:rFonts w:cs="Calibri"/>
          <w:shd w:val="clear" w:color="auto" w:fill="FFFFFF"/>
        </w:rPr>
      </w:pPr>
      <w:r w:rsidRPr="00B275E2">
        <w:t>The emission factors for</w:t>
      </w:r>
      <w:r w:rsidR="00EC341C" w:rsidRPr="00B275E2">
        <w:t xml:space="preserve"> natural</w:t>
      </w:r>
      <w:r w:rsidRPr="00B275E2">
        <w:t xml:space="preserve"> forest growth </w:t>
      </w:r>
      <w:r w:rsidR="00CF7330" w:rsidRPr="00B275E2">
        <w:t>(shown in</w:t>
      </w:r>
      <w:r w:rsidR="00677866" w:rsidRPr="00B275E2">
        <w:t xml:space="preserve"> table </w:t>
      </w:r>
      <w:r w:rsidR="00F23341">
        <w:t>89</w:t>
      </w:r>
      <w:r w:rsidR="00FC539C" w:rsidRPr="00B275E2">
        <w:t>)</w:t>
      </w:r>
      <w:r w:rsidR="00CF7330" w:rsidRPr="00B275E2">
        <w:t xml:space="preserve"> </w:t>
      </w:r>
      <w:r w:rsidRPr="00B275E2">
        <w:t xml:space="preserve">are based on the LUCAS national sample. </w:t>
      </w:r>
      <w:r w:rsidR="00EC341C" w:rsidRPr="00B275E2">
        <w:t xml:space="preserve">We provide separate </w:t>
      </w:r>
      <w:r w:rsidRPr="00B275E2">
        <w:t xml:space="preserve">emission factors </w:t>
      </w:r>
      <w:r w:rsidR="00EC341C" w:rsidRPr="00B275E2">
        <w:t>if the</w:t>
      </w:r>
      <w:r w:rsidRPr="00B275E2">
        <w:t xml:space="preserve"> forest is</w:t>
      </w:r>
      <w:r w:rsidR="00962036" w:rsidRPr="00B275E2">
        <w:rPr>
          <w:rFonts w:cs="Calibri"/>
          <w:shd w:val="clear" w:color="auto" w:fill="FFFFFF"/>
        </w:rPr>
        <w:t xml:space="preserve"> pre-1990 or post</w:t>
      </w:r>
      <w:r w:rsidR="00D92A71" w:rsidRPr="00B275E2">
        <w:rPr>
          <w:rFonts w:cs="Calibri"/>
          <w:shd w:val="clear" w:color="auto" w:fill="FFFFFF"/>
        </w:rPr>
        <w:t>-</w:t>
      </w:r>
      <w:r w:rsidR="00962036" w:rsidRPr="00B275E2">
        <w:rPr>
          <w:rFonts w:cs="Calibri"/>
          <w:shd w:val="clear" w:color="auto" w:fill="FFFFFF"/>
        </w:rPr>
        <w:t>1989. Post-1989 regenerating natural forest is regenerating natural forest that was established from 1 January 1990 onwards. Pre-1990 natural forest is natural forest that was established before 1</w:t>
      </w:r>
      <w:r w:rsidR="00BF33B5" w:rsidRPr="00B275E2">
        <w:rPr>
          <w:rFonts w:cs="Calibri"/>
          <w:shd w:val="clear" w:color="auto" w:fill="FFFFFF"/>
        </w:rPr>
        <w:t> </w:t>
      </w:r>
      <w:r w:rsidR="00962036" w:rsidRPr="00B275E2">
        <w:rPr>
          <w:rFonts w:cs="Calibri"/>
          <w:shd w:val="clear" w:color="auto" w:fill="FFFFFF"/>
        </w:rPr>
        <w:t>January 1990. Within pre-1990 natural forest we provide separate emission factors if the forest is tall or regenerating ie, recovering from conversion from another land use, logging</w:t>
      </w:r>
      <w:r w:rsidR="00E31D33" w:rsidRPr="00B275E2">
        <w:rPr>
          <w:rFonts w:cs="Calibri"/>
          <w:shd w:val="clear" w:color="auto" w:fill="FFFFFF"/>
        </w:rPr>
        <w:t>,</w:t>
      </w:r>
      <w:r w:rsidR="00962036" w:rsidRPr="00B275E2">
        <w:rPr>
          <w:rFonts w:cs="Calibri"/>
          <w:shd w:val="clear" w:color="auto" w:fill="FFFFFF"/>
        </w:rPr>
        <w:t xml:space="preserve"> or other anthropogenic disturbance.</w:t>
      </w:r>
    </w:p>
    <w:p w14:paraId="230C2B4B" w14:textId="128C3DCF" w:rsidR="008F46F9" w:rsidRPr="00B275E2" w:rsidRDefault="008F46F9" w:rsidP="007F0B1E">
      <w:pPr>
        <w:pStyle w:val="BodyText"/>
      </w:pPr>
      <w:r w:rsidRPr="00B275E2">
        <w:t xml:space="preserve">The emission factor for natural forest deforestation </w:t>
      </w:r>
      <w:r w:rsidR="00E22327" w:rsidRPr="00B275E2">
        <w:t>(shown in</w:t>
      </w:r>
      <w:r w:rsidR="0059023A" w:rsidRPr="00B275E2">
        <w:t xml:space="preserve"> table </w:t>
      </w:r>
      <w:r w:rsidR="00F23341">
        <w:t>90</w:t>
      </w:r>
      <w:r w:rsidR="00FC539C" w:rsidRPr="00B275E2">
        <w:t>)</w:t>
      </w:r>
      <w:r w:rsidRPr="00B275E2">
        <w:t xml:space="preserve"> is based on the average stock at the national leve</w:t>
      </w:r>
      <w:r w:rsidR="00EF4165" w:rsidRPr="00B275E2">
        <w:t>l</w:t>
      </w:r>
      <w:r w:rsidR="00317615" w:rsidRPr="00B275E2">
        <w:t xml:space="preserve">, </w:t>
      </w:r>
      <w:r w:rsidR="00C12DFA" w:rsidRPr="00B275E2">
        <w:t>calculated</w:t>
      </w:r>
      <w:r w:rsidR="00317615" w:rsidRPr="00B275E2">
        <w:t xml:space="preserve"> </w:t>
      </w:r>
      <w:r w:rsidR="00C12DFA" w:rsidRPr="00B275E2">
        <w:t>from</w:t>
      </w:r>
      <w:r w:rsidR="00317615" w:rsidRPr="00B275E2">
        <w:t xml:space="preserve"> the LUCAS national sample</w:t>
      </w:r>
      <w:r w:rsidRPr="00B275E2">
        <w:t>.</w:t>
      </w:r>
    </w:p>
    <w:p w14:paraId="11ADC755" w14:textId="0100CA70" w:rsidR="00962036" w:rsidRPr="00B275E2" w:rsidRDefault="00730FF9" w:rsidP="005F46F1">
      <w:pPr>
        <w:pStyle w:val="Tableheading"/>
        <w:rPr>
          <w:rFonts w:ascii="Segoe UI" w:hAnsi="Segoe UI" w:cs="Segoe UI"/>
        </w:rPr>
      </w:pPr>
      <w:bookmarkStart w:id="612" w:name="_Toc111536694"/>
      <w:r w:rsidRPr="00B275E2">
        <w:t xml:space="preserve">Table </w:t>
      </w:r>
      <w:r w:rsidRPr="00B275E2">
        <w:fldChar w:fldCharType="begin"/>
      </w:r>
      <w:r w:rsidRPr="00B275E2">
        <w:instrText>SEQ Table \* ARABIC</w:instrText>
      </w:r>
      <w:r w:rsidRPr="00B275E2">
        <w:fldChar w:fldCharType="separate"/>
      </w:r>
      <w:r>
        <w:rPr>
          <w:noProof/>
        </w:rPr>
        <w:t>89</w:t>
      </w:r>
      <w:r w:rsidRPr="00B275E2">
        <w:fldChar w:fldCharType="end"/>
      </w:r>
      <w:r w:rsidRPr="00B275E2">
        <w:t>:</w:t>
      </w:r>
      <w:r w:rsidRPr="00B275E2">
        <w:tab/>
      </w:r>
      <w:r w:rsidR="00962036" w:rsidRPr="00B275E2">
        <w:t>LULUCF forest growth emission factors</w:t>
      </w:r>
      <w:bookmarkEnd w:id="612"/>
    </w:p>
    <w:tbl>
      <w:tblPr>
        <w:tblStyle w:val="LightList-Accent11"/>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CellMar>
          <w:left w:w="85" w:type="dxa"/>
          <w:right w:w="85" w:type="dxa"/>
        </w:tblCellMar>
        <w:tblLook w:val="04A0" w:firstRow="1" w:lastRow="0" w:firstColumn="1" w:lastColumn="0" w:noHBand="0" w:noVBand="1"/>
      </w:tblPr>
      <w:tblGrid>
        <w:gridCol w:w="3237"/>
        <w:gridCol w:w="564"/>
        <w:gridCol w:w="1267"/>
        <w:gridCol w:w="1127"/>
        <w:gridCol w:w="1127"/>
        <w:gridCol w:w="1175"/>
        <w:gridCol w:w="8"/>
      </w:tblGrid>
      <w:tr w:rsidR="00BF33B5" w:rsidRPr="00B275E2" w14:paraId="6CA64CD7" w14:textId="77777777" w:rsidTr="0060570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61" w:type="dxa"/>
            <w:shd w:val="clear" w:color="auto" w:fill="1B556B" w:themeFill="text2"/>
            <w:vAlign w:val="bottom"/>
            <w:hideMark/>
          </w:tcPr>
          <w:p w14:paraId="52C4C10C" w14:textId="62F19CD1" w:rsidR="00962036" w:rsidRPr="00B275E2" w:rsidRDefault="00962036" w:rsidP="009E67AD">
            <w:pPr>
              <w:pStyle w:val="TableText"/>
              <w:spacing w:before="30" w:after="30"/>
              <w:rPr>
                <w:rFonts w:eastAsia="Times New Roman" w:cs="Calibri"/>
                <w:b w:val="0"/>
                <w:bCs w:val="0"/>
                <w:szCs w:val="18"/>
              </w:rPr>
            </w:pPr>
            <w:r w:rsidRPr="00B275E2">
              <w:rPr>
                <w:rFonts w:eastAsia="Times New Roman" w:cs="Calibri"/>
                <w:bCs w:val="0"/>
                <w:szCs w:val="18"/>
              </w:rPr>
              <w:t>Forest growth removal source</w:t>
            </w:r>
          </w:p>
        </w:tc>
        <w:tc>
          <w:tcPr>
            <w:tcW w:w="567" w:type="dxa"/>
            <w:shd w:val="clear" w:color="auto" w:fill="1B556B" w:themeFill="text2"/>
            <w:vAlign w:val="bottom"/>
            <w:hideMark/>
          </w:tcPr>
          <w:p w14:paraId="612ED9E6" w14:textId="24AA7B27" w:rsidR="00962036" w:rsidRPr="00B275E2" w:rsidRDefault="00962036" w:rsidP="009E67AD">
            <w:pPr>
              <w:pStyle w:val="TableText"/>
              <w:spacing w:before="30" w:after="30"/>
              <w:cnfStyle w:val="100000000000" w:firstRow="1" w:lastRow="0" w:firstColumn="0" w:lastColumn="0" w:oddVBand="0" w:evenVBand="0" w:oddHBand="0" w:evenHBand="0" w:firstRowFirstColumn="0" w:firstRowLastColumn="0" w:lastRowFirstColumn="0" w:lastRowLastColumn="0"/>
              <w:rPr>
                <w:rFonts w:eastAsia="Times New Roman" w:cs="Calibri"/>
                <w:b w:val="0"/>
                <w:bCs w:val="0"/>
                <w:szCs w:val="18"/>
              </w:rPr>
            </w:pPr>
            <w:r w:rsidRPr="00B275E2">
              <w:rPr>
                <w:rFonts w:eastAsia="Times New Roman" w:cs="Calibri"/>
                <w:bCs w:val="0"/>
                <w:szCs w:val="18"/>
              </w:rPr>
              <w:t>Unit</w:t>
            </w:r>
          </w:p>
        </w:tc>
        <w:tc>
          <w:tcPr>
            <w:tcW w:w="1275" w:type="dxa"/>
            <w:shd w:val="clear" w:color="auto" w:fill="1B556B" w:themeFill="text2"/>
            <w:vAlign w:val="bottom"/>
            <w:hideMark/>
          </w:tcPr>
          <w:p w14:paraId="5D6A4603" w14:textId="56F21E3A" w:rsidR="00962036" w:rsidRPr="00B275E2" w:rsidRDefault="00962036" w:rsidP="009E67AD">
            <w:pPr>
              <w:pStyle w:val="TableText"/>
              <w:spacing w:before="30" w:after="3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275E2">
              <w:rPr>
                <w:rFonts w:cs="Calibri"/>
                <w:szCs w:val="18"/>
              </w:rPr>
              <w:t>kg CO</w:t>
            </w:r>
            <w:r w:rsidRPr="00B275E2">
              <w:rPr>
                <w:rFonts w:cs="Calibri"/>
                <w:szCs w:val="18"/>
                <w:vertAlign w:val="subscript"/>
              </w:rPr>
              <w:t>2</w:t>
            </w:r>
            <w:r w:rsidRPr="00B275E2">
              <w:rPr>
                <w:rFonts w:cs="Calibri"/>
                <w:szCs w:val="18"/>
              </w:rPr>
              <w:t>-e/unit</w:t>
            </w:r>
          </w:p>
        </w:tc>
        <w:tc>
          <w:tcPr>
            <w:tcW w:w="1134" w:type="dxa"/>
            <w:shd w:val="clear" w:color="auto" w:fill="1B556B" w:themeFill="text2"/>
            <w:vAlign w:val="bottom"/>
            <w:hideMark/>
          </w:tcPr>
          <w:p w14:paraId="510CCBC9" w14:textId="1B143D28" w:rsidR="00962036" w:rsidRPr="00B275E2" w:rsidRDefault="00962036" w:rsidP="009E67AD">
            <w:pPr>
              <w:pStyle w:val="TableText"/>
              <w:spacing w:before="30" w:after="30"/>
              <w:jc w:val="right"/>
              <w:cnfStyle w:val="100000000000" w:firstRow="1" w:lastRow="0" w:firstColumn="0" w:lastColumn="0" w:oddVBand="0" w:evenVBand="0" w:oddHBand="0" w:evenHBand="0" w:firstRowFirstColumn="0" w:firstRowLastColumn="0" w:lastRowFirstColumn="0" w:lastRowLastColumn="0"/>
              <w:rPr>
                <w:rFonts w:eastAsia="Times New Roman" w:cs="Calibri"/>
                <w:b w:val="0"/>
                <w:bCs w:val="0"/>
                <w:szCs w:val="18"/>
              </w:rPr>
            </w:pPr>
            <w:r w:rsidRPr="00B275E2">
              <w:rPr>
                <w:rFonts w:eastAsia="Times New Roman" w:cs="Calibri"/>
                <w:bCs w:val="0"/>
                <w:szCs w:val="18"/>
              </w:rPr>
              <w:t>Uncertainty (95% CI)</w:t>
            </w:r>
          </w:p>
        </w:tc>
        <w:tc>
          <w:tcPr>
            <w:tcW w:w="1134" w:type="dxa"/>
            <w:shd w:val="clear" w:color="auto" w:fill="1B556B" w:themeFill="text2"/>
            <w:vAlign w:val="bottom"/>
            <w:hideMark/>
          </w:tcPr>
          <w:p w14:paraId="72F2D108" w14:textId="217E8C69" w:rsidR="00962036" w:rsidRPr="00B275E2" w:rsidRDefault="00962036" w:rsidP="009E67AD">
            <w:pPr>
              <w:pStyle w:val="TableText"/>
              <w:spacing w:before="30" w:after="30"/>
              <w:jc w:val="right"/>
              <w:cnfStyle w:val="100000000000" w:firstRow="1" w:lastRow="0" w:firstColumn="0" w:lastColumn="0" w:oddVBand="0" w:evenVBand="0" w:oddHBand="0" w:evenHBand="0" w:firstRowFirstColumn="0" w:firstRowLastColumn="0" w:lastRowFirstColumn="0" w:lastRowLastColumn="0"/>
              <w:rPr>
                <w:rFonts w:eastAsia="Times New Roman" w:cs="Calibri"/>
                <w:b w:val="0"/>
                <w:bCs w:val="0"/>
                <w:szCs w:val="18"/>
              </w:rPr>
            </w:pPr>
            <w:r w:rsidRPr="00B275E2">
              <w:rPr>
                <w:rFonts w:eastAsia="Times New Roman" w:cs="Calibri"/>
                <w:bCs w:val="0"/>
                <w:szCs w:val="18"/>
              </w:rPr>
              <w:t>kg CH</w:t>
            </w:r>
            <w:r w:rsidRPr="00B275E2">
              <w:rPr>
                <w:rFonts w:eastAsia="Times New Roman" w:cs="Calibri"/>
                <w:bCs w:val="0"/>
                <w:szCs w:val="18"/>
                <w:vertAlign w:val="subscript"/>
              </w:rPr>
              <w:t>4</w:t>
            </w:r>
            <w:r w:rsidRPr="00B275E2">
              <w:rPr>
                <w:rFonts w:eastAsia="Times New Roman" w:cs="Calibri"/>
                <w:bCs w:val="0"/>
                <w:szCs w:val="18"/>
              </w:rPr>
              <w:t xml:space="preserve">/unit </w:t>
            </w:r>
            <w:r w:rsidR="00BF33B5" w:rsidRPr="00B275E2">
              <w:rPr>
                <w:rFonts w:eastAsia="Times New Roman" w:cs="Calibri"/>
                <w:bCs w:val="0"/>
                <w:szCs w:val="18"/>
              </w:rPr>
              <w:br/>
            </w:r>
            <w:r w:rsidRPr="00B275E2">
              <w:rPr>
                <w:rFonts w:eastAsia="Times New Roman" w:cs="Calibri"/>
                <w:bCs w:val="0"/>
                <w:szCs w:val="18"/>
              </w:rPr>
              <w:t>(kg CO</w:t>
            </w:r>
            <w:r w:rsidRPr="00B275E2">
              <w:rPr>
                <w:rFonts w:eastAsia="Times New Roman" w:cs="Calibri"/>
                <w:bCs w:val="0"/>
                <w:szCs w:val="18"/>
                <w:vertAlign w:val="subscript"/>
              </w:rPr>
              <w:t>2</w:t>
            </w:r>
            <w:r w:rsidRPr="00B275E2">
              <w:rPr>
                <w:rFonts w:eastAsia="Times New Roman" w:cs="Calibri"/>
                <w:bCs w:val="0"/>
                <w:szCs w:val="18"/>
              </w:rPr>
              <w:t>e)</w:t>
            </w:r>
          </w:p>
        </w:tc>
        <w:tc>
          <w:tcPr>
            <w:tcW w:w="1190" w:type="dxa"/>
            <w:gridSpan w:val="2"/>
            <w:shd w:val="clear" w:color="auto" w:fill="1B556B" w:themeFill="text2"/>
            <w:vAlign w:val="bottom"/>
            <w:hideMark/>
          </w:tcPr>
          <w:p w14:paraId="684A1923" w14:textId="266E4DDE" w:rsidR="00962036" w:rsidRPr="00B275E2" w:rsidRDefault="00962036" w:rsidP="009E67AD">
            <w:pPr>
              <w:pStyle w:val="TableText"/>
              <w:spacing w:before="30" w:after="30"/>
              <w:jc w:val="right"/>
              <w:cnfStyle w:val="100000000000" w:firstRow="1" w:lastRow="0" w:firstColumn="0" w:lastColumn="0" w:oddVBand="0" w:evenVBand="0" w:oddHBand="0" w:evenHBand="0" w:firstRowFirstColumn="0" w:firstRowLastColumn="0" w:lastRowFirstColumn="0" w:lastRowLastColumn="0"/>
              <w:rPr>
                <w:rFonts w:eastAsia="Times New Roman" w:cs="Calibri"/>
                <w:b w:val="0"/>
                <w:bCs w:val="0"/>
                <w:szCs w:val="18"/>
              </w:rPr>
            </w:pPr>
            <w:r w:rsidRPr="00B275E2">
              <w:rPr>
                <w:rFonts w:eastAsia="Times New Roman" w:cs="Calibri"/>
                <w:bCs w:val="0"/>
                <w:szCs w:val="18"/>
              </w:rPr>
              <w:t>kg N</w:t>
            </w:r>
            <w:r w:rsidRPr="00B275E2">
              <w:rPr>
                <w:rFonts w:eastAsia="Times New Roman" w:cs="Calibri"/>
                <w:bCs w:val="0"/>
                <w:szCs w:val="18"/>
                <w:vertAlign w:val="subscript"/>
              </w:rPr>
              <w:t>2</w:t>
            </w:r>
            <w:r w:rsidRPr="00B275E2">
              <w:rPr>
                <w:rFonts w:eastAsia="Times New Roman" w:cs="Calibri"/>
                <w:bCs w:val="0"/>
                <w:szCs w:val="18"/>
              </w:rPr>
              <w:t xml:space="preserve">O/unit </w:t>
            </w:r>
            <w:r w:rsidR="00F0191D" w:rsidRPr="00B275E2">
              <w:rPr>
                <w:rFonts w:eastAsia="Times New Roman" w:cs="Calibri"/>
                <w:bCs w:val="0"/>
                <w:szCs w:val="18"/>
              </w:rPr>
              <w:br/>
            </w:r>
            <w:r w:rsidRPr="00B275E2">
              <w:rPr>
                <w:rFonts w:eastAsia="Times New Roman" w:cs="Calibri"/>
                <w:bCs w:val="0"/>
                <w:szCs w:val="18"/>
              </w:rPr>
              <w:t>(kg CO</w:t>
            </w:r>
            <w:r w:rsidRPr="00B275E2">
              <w:rPr>
                <w:rFonts w:eastAsia="Times New Roman" w:cs="Calibri"/>
                <w:bCs w:val="0"/>
                <w:szCs w:val="18"/>
                <w:vertAlign w:val="subscript"/>
              </w:rPr>
              <w:t>2</w:t>
            </w:r>
            <w:r w:rsidRPr="00B275E2">
              <w:rPr>
                <w:rFonts w:eastAsia="Times New Roman" w:cs="Calibri"/>
                <w:bCs w:val="0"/>
                <w:szCs w:val="18"/>
              </w:rPr>
              <w:t>e)</w:t>
            </w:r>
          </w:p>
        </w:tc>
      </w:tr>
      <w:tr w:rsidR="00732576" w:rsidRPr="00B275E2" w14:paraId="399D6D39" w14:textId="77777777" w:rsidTr="00536F41">
        <w:trPr>
          <w:gridAfter w:val="1"/>
          <w:cnfStyle w:val="000000100000" w:firstRow="0" w:lastRow="0" w:firstColumn="0" w:lastColumn="0" w:oddVBand="0" w:evenVBand="0" w:oddHBand="1" w:evenHBand="0" w:firstRowFirstColumn="0" w:firstRowLastColumn="0" w:lastRowFirstColumn="0" w:lastRowLastColumn="0"/>
          <w:wAfter w:w="8" w:type="dxa"/>
        </w:trPr>
        <w:tc>
          <w:tcPr>
            <w:cnfStyle w:val="001000000000" w:firstRow="0" w:lastRow="0" w:firstColumn="1" w:lastColumn="0" w:oddVBand="0" w:evenVBand="0" w:oddHBand="0" w:evenHBand="0" w:firstRowFirstColumn="0" w:firstRowLastColumn="0" w:lastRowFirstColumn="0" w:lastRowLastColumn="0"/>
            <w:tcW w:w="8553" w:type="dxa"/>
            <w:gridSpan w:val="6"/>
            <w:tcBorders>
              <w:left w:val="single" w:sz="4" w:space="0" w:color="FFFFFF" w:themeColor="background1"/>
              <w:right w:val="single" w:sz="4" w:space="0" w:color="FFFFFF" w:themeColor="background1"/>
            </w:tcBorders>
            <w:shd w:val="clear" w:color="auto" w:fill="D2DDE1" w:themeFill="background2"/>
            <w:hideMark/>
          </w:tcPr>
          <w:p w14:paraId="6311B6C4" w14:textId="164C1FEC" w:rsidR="00962036" w:rsidRPr="00B275E2" w:rsidRDefault="00962036" w:rsidP="009E67AD">
            <w:pPr>
              <w:pStyle w:val="TableTextbold"/>
              <w:spacing w:before="30" w:after="30"/>
              <w:rPr>
                <w:rFonts w:cs="Calibri"/>
                <w:b/>
                <w:bCs w:val="0"/>
                <w:color w:val="auto"/>
                <w:szCs w:val="18"/>
              </w:rPr>
            </w:pPr>
            <w:r w:rsidRPr="00B275E2">
              <w:rPr>
                <w:rFonts w:cs="Calibri"/>
                <w:b/>
                <w:bCs w:val="0"/>
                <w:color w:val="auto"/>
                <w:szCs w:val="18"/>
              </w:rPr>
              <w:t xml:space="preserve">Planted </w:t>
            </w:r>
            <w:r w:rsidR="00E31D33" w:rsidRPr="00B275E2">
              <w:rPr>
                <w:rFonts w:cs="Calibri"/>
                <w:b/>
                <w:bCs w:val="0"/>
                <w:color w:val="auto"/>
                <w:szCs w:val="18"/>
              </w:rPr>
              <w:t>f</w:t>
            </w:r>
            <w:r w:rsidRPr="00B275E2">
              <w:rPr>
                <w:rFonts w:cs="Calibri"/>
                <w:b/>
                <w:bCs w:val="0"/>
                <w:color w:val="auto"/>
                <w:szCs w:val="18"/>
              </w:rPr>
              <w:t>orests: Approach one – Stock change accounting</w:t>
            </w:r>
            <w:r w:rsidR="00FA45ED" w:rsidRPr="00B275E2">
              <w:rPr>
                <w:rStyle w:val="FootnoteReference"/>
                <w:rFonts w:eastAsia="Times New Roman" w:cs="Calibri"/>
                <w:b/>
                <w:bCs w:val="0"/>
                <w:color w:val="auto"/>
                <w:sz w:val="18"/>
                <w:szCs w:val="18"/>
              </w:rPr>
              <w:footnoteReference w:id="73"/>
            </w:r>
            <w:r w:rsidRPr="00B275E2">
              <w:rPr>
                <w:rFonts w:cs="Calibri"/>
                <w:b/>
                <w:bCs w:val="0"/>
                <w:color w:val="auto"/>
                <w:szCs w:val="18"/>
              </w:rPr>
              <w:t> </w:t>
            </w:r>
          </w:p>
        </w:tc>
      </w:tr>
      <w:tr w:rsidR="00016E20" w:rsidRPr="00B275E2" w14:paraId="4B3CD619" w14:textId="77777777" w:rsidTr="00536F41">
        <w:tc>
          <w:tcPr>
            <w:cnfStyle w:val="001000000000" w:firstRow="0" w:lastRow="0" w:firstColumn="1" w:lastColumn="0" w:oddVBand="0" w:evenVBand="0" w:oddHBand="0" w:evenHBand="0" w:firstRowFirstColumn="0" w:firstRowLastColumn="0" w:lastRowFirstColumn="0" w:lastRowLastColumn="0"/>
            <w:tcW w:w="3261" w:type="dxa"/>
            <w:tcBorders>
              <w:left w:val="single" w:sz="4" w:space="0" w:color="FFFFFF" w:themeColor="background1"/>
            </w:tcBorders>
            <w:hideMark/>
          </w:tcPr>
          <w:p w14:paraId="6773EC63" w14:textId="2BFD4377" w:rsidR="00962036" w:rsidRPr="00B275E2" w:rsidRDefault="00962036" w:rsidP="009E67AD">
            <w:pPr>
              <w:pStyle w:val="TableText"/>
              <w:spacing w:before="30" w:after="30"/>
              <w:rPr>
                <w:b w:val="0"/>
                <w:bCs w:val="0"/>
              </w:rPr>
            </w:pPr>
            <w:r w:rsidRPr="00B275E2">
              <w:rPr>
                <w:b w:val="0"/>
                <w:bCs w:val="0"/>
              </w:rPr>
              <w:t xml:space="preserve">All </w:t>
            </w:r>
            <w:r w:rsidR="00600C22" w:rsidRPr="00B275E2">
              <w:rPr>
                <w:b w:val="0"/>
                <w:bCs w:val="0"/>
              </w:rPr>
              <w:t>p</w:t>
            </w:r>
            <w:r w:rsidRPr="00B275E2">
              <w:rPr>
                <w:b w:val="0"/>
                <w:bCs w:val="0"/>
              </w:rPr>
              <w:t>lanted forests </w:t>
            </w:r>
          </w:p>
        </w:tc>
        <w:tc>
          <w:tcPr>
            <w:tcW w:w="567" w:type="dxa"/>
            <w:hideMark/>
          </w:tcPr>
          <w:p w14:paraId="65407325" w14:textId="7F4585EA" w:rsidR="00962036" w:rsidRPr="00B275E2" w:rsidRDefault="00962036" w:rsidP="009E67AD">
            <w:pPr>
              <w:pStyle w:val="TableText"/>
              <w:spacing w:before="30" w:after="30"/>
              <w:cnfStyle w:val="000000000000" w:firstRow="0" w:lastRow="0" w:firstColumn="0" w:lastColumn="0" w:oddVBand="0" w:evenVBand="0" w:oddHBand="0" w:evenHBand="0" w:firstRowFirstColumn="0" w:firstRowLastColumn="0" w:lastRowFirstColumn="0" w:lastRowLastColumn="0"/>
            </w:pPr>
            <w:r w:rsidRPr="00B275E2">
              <w:t>ha</w:t>
            </w:r>
          </w:p>
        </w:tc>
        <w:tc>
          <w:tcPr>
            <w:tcW w:w="1275" w:type="dxa"/>
            <w:hideMark/>
          </w:tcPr>
          <w:p w14:paraId="748E42D5" w14:textId="19928678" w:rsidR="00962036" w:rsidRPr="00B275E2" w:rsidRDefault="00962036" w:rsidP="009E67AD">
            <w:pPr>
              <w:pStyle w:val="TableText"/>
              <w:spacing w:before="30" w:after="30"/>
              <w:jc w:val="right"/>
              <w:cnfStyle w:val="000000000000" w:firstRow="0" w:lastRow="0" w:firstColumn="0" w:lastColumn="0" w:oddVBand="0" w:evenVBand="0" w:oddHBand="0" w:evenHBand="0" w:firstRowFirstColumn="0" w:firstRowLastColumn="0" w:lastRowFirstColumn="0" w:lastRowLastColumn="0"/>
            </w:pPr>
            <w:r w:rsidRPr="00B275E2">
              <w:t>-3</w:t>
            </w:r>
            <w:r w:rsidR="00F35DD8" w:rsidRPr="00B275E2">
              <w:t>5</w:t>
            </w:r>
            <w:r w:rsidRPr="00B275E2">
              <w:t>,</w:t>
            </w:r>
            <w:r w:rsidR="0009064F" w:rsidRPr="00B275E2">
              <w:t>561</w:t>
            </w:r>
          </w:p>
        </w:tc>
        <w:tc>
          <w:tcPr>
            <w:tcW w:w="1134" w:type="dxa"/>
            <w:hideMark/>
          </w:tcPr>
          <w:p w14:paraId="10A6D0E7" w14:textId="16E097E2" w:rsidR="00962036" w:rsidRPr="00B275E2" w:rsidRDefault="00962036" w:rsidP="009E67AD">
            <w:pPr>
              <w:pStyle w:val="TableText"/>
              <w:spacing w:before="30" w:after="30"/>
              <w:jc w:val="right"/>
              <w:cnfStyle w:val="000000000000" w:firstRow="0" w:lastRow="0" w:firstColumn="0" w:lastColumn="0" w:oddVBand="0" w:evenVBand="0" w:oddHBand="0" w:evenHBand="0" w:firstRowFirstColumn="0" w:firstRowLastColumn="0" w:lastRowFirstColumn="0" w:lastRowLastColumn="0"/>
            </w:pPr>
            <w:r w:rsidRPr="00B275E2">
              <w:t>±</w:t>
            </w:r>
            <w:r w:rsidR="009F5A11" w:rsidRPr="00B275E2">
              <w:t>13</w:t>
            </w:r>
            <w:r w:rsidRPr="00B275E2">
              <w:t>.</w:t>
            </w:r>
            <w:r w:rsidR="00422423" w:rsidRPr="00B275E2">
              <w:t>3</w:t>
            </w:r>
            <w:r w:rsidRPr="00B275E2">
              <w:t>%</w:t>
            </w:r>
          </w:p>
        </w:tc>
        <w:tc>
          <w:tcPr>
            <w:tcW w:w="1134" w:type="dxa"/>
            <w:hideMark/>
          </w:tcPr>
          <w:p w14:paraId="6AA8FA91" w14:textId="1146539D" w:rsidR="00962036" w:rsidRPr="00B275E2" w:rsidRDefault="00962036" w:rsidP="009E67AD">
            <w:pPr>
              <w:pStyle w:val="TableText"/>
              <w:spacing w:before="30" w:after="30"/>
              <w:jc w:val="right"/>
              <w:cnfStyle w:val="000000000000" w:firstRow="0" w:lastRow="0" w:firstColumn="0" w:lastColumn="0" w:oddVBand="0" w:evenVBand="0" w:oddHBand="0" w:evenHBand="0" w:firstRowFirstColumn="0" w:firstRowLastColumn="0" w:lastRowFirstColumn="0" w:lastRowLastColumn="0"/>
            </w:pPr>
            <w:r w:rsidRPr="00B275E2">
              <w:t>n/a</w:t>
            </w:r>
          </w:p>
        </w:tc>
        <w:tc>
          <w:tcPr>
            <w:tcW w:w="1190" w:type="dxa"/>
            <w:gridSpan w:val="2"/>
            <w:tcBorders>
              <w:right w:val="single" w:sz="4" w:space="0" w:color="FFFFFF" w:themeColor="background1"/>
            </w:tcBorders>
            <w:hideMark/>
          </w:tcPr>
          <w:p w14:paraId="6FA185E8" w14:textId="4D5D5558" w:rsidR="00962036" w:rsidRPr="00B275E2" w:rsidRDefault="00962036" w:rsidP="009E67AD">
            <w:pPr>
              <w:pStyle w:val="TableText"/>
              <w:spacing w:before="30" w:after="30"/>
              <w:jc w:val="right"/>
              <w:cnfStyle w:val="000000000000" w:firstRow="0" w:lastRow="0" w:firstColumn="0" w:lastColumn="0" w:oddVBand="0" w:evenVBand="0" w:oddHBand="0" w:evenHBand="0" w:firstRowFirstColumn="0" w:firstRowLastColumn="0" w:lastRowFirstColumn="0" w:lastRowLastColumn="0"/>
            </w:pPr>
            <w:r w:rsidRPr="00B275E2">
              <w:t>n/a</w:t>
            </w:r>
          </w:p>
        </w:tc>
      </w:tr>
      <w:tr w:rsidR="00016E20" w:rsidRPr="00B275E2" w14:paraId="786B6D40" w14:textId="77777777" w:rsidTr="00536F41">
        <w:trPr>
          <w:gridAfter w:val="1"/>
          <w:cnfStyle w:val="000000100000" w:firstRow="0" w:lastRow="0" w:firstColumn="0" w:lastColumn="0" w:oddVBand="0" w:evenVBand="0" w:oddHBand="1" w:evenHBand="0" w:firstRowFirstColumn="0" w:firstRowLastColumn="0" w:lastRowFirstColumn="0" w:lastRowLastColumn="0"/>
          <w:wAfter w:w="8" w:type="dxa"/>
        </w:trPr>
        <w:tc>
          <w:tcPr>
            <w:cnfStyle w:val="001000000000" w:firstRow="0" w:lastRow="0" w:firstColumn="1" w:lastColumn="0" w:oddVBand="0" w:evenVBand="0" w:oddHBand="0" w:evenHBand="0" w:firstRowFirstColumn="0" w:firstRowLastColumn="0" w:lastRowFirstColumn="0" w:lastRowLastColumn="0"/>
            <w:tcW w:w="3261" w:type="dxa"/>
            <w:tcBorders>
              <w:left w:val="single" w:sz="4" w:space="0" w:color="FFFFFF" w:themeColor="background1"/>
            </w:tcBorders>
          </w:tcPr>
          <w:p w14:paraId="5DEB2C7D" w14:textId="2DCCACAD" w:rsidR="00DC6124" w:rsidRPr="00B275E2" w:rsidRDefault="00DC6124" w:rsidP="009E67AD">
            <w:pPr>
              <w:pStyle w:val="TableText"/>
              <w:spacing w:before="30" w:after="30"/>
              <w:rPr>
                <w:b w:val="0"/>
                <w:bCs w:val="0"/>
              </w:rPr>
            </w:pPr>
            <w:r w:rsidRPr="00B275E2">
              <w:rPr>
                <w:b w:val="0"/>
                <w:bCs w:val="0"/>
                <w:i/>
                <w:iCs/>
              </w:rPr>
              <w:t>Pinus radiata</w:t>
            </w:r>
          </w:p>
        </w:tc>
        <w:tc>
          <w:tcPr>
            <w:tcW w:w="567" w:type="dxa"/>
          </w:tcPr>
          <w:p w14:paraId="22169140" w14:textId="5D9D76DB" w:rsidR="00DC6124" w:rsidRPr="00B275E2" w:rsidRDefault="00DC6124" w:rsidP="009E67AD">
            <w:pPr>
              <w:pStyle w:val="TableText"/>
              <w:spacing w:before="30" w:after="30"/>
              <w:cnfStyle w:val="000000100000" w:firstRow="0" w:lastRow="0" w:firstColumn="0" w:lastColumn="0" w:oddVBand="0" w:evenVBand="0" w:oddHBand="1" w:evenHBand="0" w:firstRowFirstColumn="0" w:firstRowLastColumn="0" w:lastRowFirstColumn="0" w:lastRowLastColumn="0"/>
            </w:pPr>
            <w:r w:rsidRPr="00B275E2">
              <w:t>ha</w:t>
            </w:r>
          </w:p>
        </w:tc>
        <w:tc>
          <w:tcPr>
            <w:tcW w:w="1275" w:type="dxa"/>
          </w:tcPr>
          <w:p w14:paraId="56CF15EC" w14:textId="107BA85F" w:rsidR="00DC6124" w:rsidRPr="00B275E2" w:rsidRDefault="00DC6124" w:rsidP="009E67AD">
            <w:pPr>
              <w:pStyle w:val="TableText"/>
              <w:spacing w:before="30" w:after="30"/>
              <w:jc w:val="right"/>
              <w:cnfStyle w:val="000000100000" w:firstRow="0" w:lastRow="0" w:firstColumn="0" w:lastColumn="0" w:oddVBand="0" w:evenVBand="0" w:oddHBand="1" w:evenHBand="0" w:firstRowFirstColumn="0" w:firstRowLastColumn="0" w:lastRowFirstColumn="0" w:lastRowLastColumn="0"/>
            </w:pPr>
            <w:r w:rsidRPr="00B275E2">
              <w:t>-36,</w:t>
            </w:r>
            <w:r w:rsidR="00631B88" w:rsidRPr="00B275E2">
              <w:t>689</w:t>
            </w:r>
          </w:p>
        </w:tc>
        <w:tc>
          <w:tcPr>
            <w:tcW w:w="1134" w:type="dxa"/>
          </w:tcPr>
          <w:p w14:paraId="6188D81F" w14:textId="412F7EDC" w:rsidR="00DC6124" w:rsidRPr="00B275E2" w:rsidRDefault="00DC6124" w:rsidP="009E67AD">
            <w:pPr>
              <w:pStyle w:val="TableText"/>
              <w:spacing w:before="30" w:after="30"/>
              <w:jc w:val="right"/>
              <w:cnfStyle w:val="000000100000" w:firstRow="0" w:lastRow="0" w:firstColumn="0" w:lastColumn="0" w:oddVBand="0" w:evenVBand="0" w:oddHBand="1" w:evenHBand="0" w:firstRowFirstColumn="0" w:firstRowLastColumn="0" w:lastRowFirstColumn="0" w:lastRowLastColumn="0"/>
            </w:pPr>
            <w:r w:rsidRPr="00B275E2">
              <w:t>±</w:t>
            </w:r>
            <w:r w:rsidR="00422423" w:rsidRPr="00B275E2">
              <w:t>13</w:t>
            </w:r>
            <w:r w:rsidRPr="00B275E2">
              <w:t>.</w:t>
            </w:r>
            <w:r w:rsidR="00422423" w:rsidRPr="00B275E2">
              <w:t>2</w:t>
            </w:r>
            <w:r w:rsidRPr="00B275E2">
              <w:t>%</w:t>
            </w:r>
          </w:p>
        </w:tc>
        <w:tc>
          <w:tcPr>
            <w:tcW w:w="1134" w:type="dxa"/>
          </w:tcPr>
          <w:p w14:paraId="59D811D9" w14:textId="6EA2C5BB" w:rsidR="00DC6124" w:rsidRPr="00B275E2" w:rsidRDefault="00DC6124" w:rsidP="009E67AD">
            <w:pPr>
              <w:pStyle w:val="TableText"/>
              <w:spacing w:before="30" w:after="30"/>
              <w:jc w:val="right"/>
              <w:cnfStyle w:val="000000100000" w:firstRow="0" w:lastRow="0" w:firstColumn="0" w:lastColumn="0" w:oddVBand="0" w:evenVBand="0" w:oddHBand="1" w:evenHBand="0" w:firstRowFirstColumn="0" w:firstRowLastColumn="0" w:lastRowFirstColumn="0" w:lastRowLastColumn="0"/>
            </w:pPr>
            <w:r w:rsidRPr="00B275E2">
              <w:t>n/a</w:t>
            </w:r>
          </w:p>
        </w:tc>
        <w:tc>
          <w:tcPr>
            <w:tcW w:w="1182" w:type="dxa"/>
            <w:tcBorders>
              <w:right w:val="single" w:sz="4" w:space="0" w:color="FFFFFF" w:themeColor="background1"/>
            </w:tcBorders>
          </w:tcPr>
          <w:p w14:paraId="5131A3F2" w14:textId="69B3D399" w:rsidR="00DC6124" w:rsidRPr="00B275E2" w:rsidRDefault="00DC6124" w:rsidP="009E67AD">
            <w:pPr>
              <w:pStyle w:val="TableText"/>
              <w:spacing w:before="30" w:after="30"/>
              <w:jc w:val="right"/>
              <w:cnfStyle w:val="000000100000" w:firstRow="0" w:lastRow="0" w:firstColumn="0" w:lastColumn="0" w:oddVBand="0" w:evenVBand="0" w:oddHBand="1" w:evenHBand="0" w:firstRowFirstColumn="0" w:firstRowLastColumn="0" w:lastRowFirstColumn="0" w:lastRowLastColumn="0"/>
            </w:pPr>
            <w:r w:rsidRPr="00B275E2">
              <w:t>n/a</w:t>
            </w:r>
          </w:p>
        </w:tc>
      </w:tr>
      <w:tr w:rsidR="00016E20" w:rsidRPr="00B275E2" w14:paraId="13AB9F85" w14:textId="77777777" w:rsidTr="00536F41">
        <w:trPr>
          <w:gridAfter w:val="1"/>
          <w:wAfter w:w="8" w:type="dxa"/>
        </w:trPr>
        <w:tc>
          <w:tcPr>
            <w:cnfStyle w:val="001000000000" w:firstRow="0" w:lastRow="0" w:firstColumn="1" w:lastColumn="0" w:oddVBand="0" w:evenVBand="0" w:oddHBand="0" w:evenHBand="0" w:firstRowFirstColumn="0" w:firstRowLastColumn="0" w:lastRowFirstColumn="0" w:lastRowLastColumn="0"/>
            <w:tcW w:w="3261" w:type="dxa"/>
            <w:tcBorders>
              <w:left w:val="single" w:sz="4" w:space="0" w:color="FFFFFF" w:themeColor="background1"/>
            </w:tcBorders>
          </w:tcPr>
          <w:p w14:paraId="18A1D177" w14:textId="2E11E434" w:rsidR="00DC6124" w:rsidRPr="00B275E2" w:rsidRDefault="00DC6124" w:rsidP="009E67AD">
            <w:pPr>
              <w:pStyle w:val="TableText"/>
              <w:spacing w:before="30" w:after="30"/>
              <w:rPr>
                <w:b w:val="0"/>
                <w:bCs w:val="0"/>
              </w:rPr>
            </w:pPr>
            <w:r w:rsidRPr="00B275E2">
              <w:rPr>
                <w:b w:val="0"/>
                <w:bCs w:val="0"/>
              </w:rPr>
              <w:t xml:space="preserve">Other </w:t>
            </w:r>
            <w:r w:rsidR="00600C22" w:rsidRPr="00B275E2">
              <w:rPr>
                <w:b w:val="0"/>
                <w:bCs w:val="0"/>
              </w:rPr>
              <w:t>s</w:t>
            </w:r>
            <w:r w:rsidRPr="00B275E2">
              <w:rPr>
                <w:b w:val="0"/>
                <w:bCs w:val="0"/>
              </w:rPr>
              <w:t>oftwoods</w:t>
            </w:r>
          </w:p>
        </w:tc>
        <w:tc>
          <w:tcPr>
            <w:tcW w:w="567" w:type="dxa"/>
          </w:tcPr>
          <w:p w14:paraId="12ED7436" w14:textId="2AEBB6CD" w:rsidR="00DC6124" w:rsidRPr="00B275E2" w:rsidRDefault="00DC6124" w:rsidP="009E67AD">
            <w:pPr>
              <w:pStyle w:val="TableText"/>
              <w:spacing w:before="30" w:after="30"/>
              <w:cnfStyle w:val="000000000000" w:firstRow="0" w:lastRow="0" w:firstColumn="0" w:lastColumn="0" w:oddVBand="0" w:evenVBand="0" w:oddHBand="0" w:evenHBand="0" w:firstRowFirstColumn="0" w:firstRowLastColumn="0" w:lastRowFirstColumn="0" w:lastRowLastColumn="0"/>
            </w:pPr>
            <w:r w:rsidRPr="00B275E2">
              <w:t>ha</w:t>
            </w:r>
          </w:p>
        </w:tc>
        <w:tc>
          <w:tcPr>
            <w:tcW w:w="1275" w:type="dxa"/>
          </w:tcPr>
          <w:p w14:paraId="3A8FF503" w14:textId="42753BAE" w:rsidR="00DC6124" w:rsidRPr="00B275E2" w:rsidRDefault="00DC6124" w:rsidP="009E67AD">
            <w:pPr>
              <w:pStyle w:val="TableText"/>
              <w:spacing w:before="30" w:after="30"/>
              <w:jc w:val="right"/>
              <w:cnfStyle w:val="000000000000" w:firstRow="0" w:lastRow="0" w:firstColumn="0" w:lastColumn="0" w:oddVBand="0" w:evenVBand="0" w:oddHBand="0" w:evenHBand="0" w:firstRowFirstColumn="0" w:firstRowLastColumn="0" w:lastRowFirstColumn="0" w:lastRowLastColumn="0"/>
            </w:pPr>
            <w:r w:rsidRPr="00B275E2">
              <w:t>-29,</w:t>
            </w:r>
            <w:r w:rsidR="008A5CDE" w:rsidRPr="00B275E2">
              <w:t>453</w:t>
            </w:r>
          </w:p>
        </w:tc>
        <w:tc>
          <w:tcPr>
            <w:tcW w:w="1134" w:type="dxa"/>
          </w:tcPr>
          <w:p w14:paraId="3FB7532D" w14:textId="56229BE2" w:rsidR="00DC6124" w:rsidRPr="00B275E2" w:rsidRDefault="00DC6124" w:rsidP="009E67AD">
            <w:pPr>
              <w:pStyle w:val="TableText"/>
              <w:spacing w:before="30" w:after="30"/>
              <w:jc w:val="right"/>
              <w:cnfStyle w:val="000000000000" w:firstRow="0" w:lastRow="0" w:firstColumn="0" w:lastColumn="0" w:oddVBand="0" w:evenVBand="0" w:oddHBand="0" w:evenHBand="0" w:firstRowFirstColumn="0" w:firstRowLastColumn="0" w:lastRowFirstColumn="0" w:lastRowLastColumn="0"/>
            </w:pPr>
            <w:r w:rsidRPr="00B275E2">
              <w:t>±2</w:t>
            </w:r>
            <w:r w:rsidR="006906D7" w:rsidRPr="00B275E2">
              <w:t>2</w:t>
            </w:r>
            <w:r w:rsidRPr="00B275E2">
              <w:t>.</w:t>
            </w:r>
            <w:r w:rsidR="006906D7" w:rsidRPr="00B275E2">
              <w:t>6</w:t>
            </w:r>
            <w:r w:rsidRPr="00B275E2">
              <w:t>%</w:t>
            </w:r>
          </w:p>
        </w:tc>
        <w:tc>
          <w:tcPr>
            <w:tcW w:w="1134" w:type="dxa"/>
          </w:tcPr>
          <w:p w14:paraId="76FEAC14" w14:textId="4657E362" w:rsidR="00DC6124" w:rsidRPr="00B275E2" w:rsidRDefault="00DC6124" w:rsidP="009E67AD">
            <w:pPr>
              <w:pStyle w:val="TableText"/>
              <w:spacing w:before="30" w:after="30"/>
              <w:jc w:val="right"/>
              <w:cnfStyle w:val="000000000000" w:firstRow="0" w:lastRow="0" w:firstColumn="0" w:lastColumn="0" w:oddVBand="0" w:evenVBand="0" w:oddHBand="0" w:evenHBand="0" w:firstRowFirstColumn="0" w:firstRowLastColumn="0" w:lastRowFirstColumn="0" w:lastRowLastColumn="0"/>
            </w:pPr>
            <w:r w:rsidRPr="00B275E2">
              <w:t>n/a</w:t>
            </w:r>
          </w:p>
        </w:tc>
        <w:tc>
          <w:tcPr>
            <w:tcW w:w="1182" w:type="dxa"/>
            <w:tcBorders>
              <w:right w:val="single" w:sz="4" w:space="0" w:color="FFFFFF" w:themeColor="background1"/>
            </w:tcBorders>
          </w:tcPr>
          <w:p w14:paraId="231C6717" w14:textId="3160C293" w:rsidR="00DC6124" w:rsidRPr="00B275E2" w:rsidRDefault="00DC6124" w:rsidP="009E67AD">
            <w:pPr>
              <w:pStyle w:val="TableText"/>
              <w:spacing w:before="30" w:after="30"/>
              <w:jc w:val="right"/>
              <w:cnfStyle w:val="000000000000" w:firstRow="0" w:lastRow="0" w:firstColumn="0" w:lastColumn="0" w:oddVBand="0" w:evenVBand="0" w:oddHBand="0" w:evenHBand="0" w:firstRowFirstColumn="0" w:firstRowLastColumn="0" w:lastRowFirstColumn="0" w:lastRowLastColumn="0"/>
            </w:pPr>
            <w:r w:rsidRPr="00B275E2">
              <w:t>n/a</w:t>
            </w:r>
          </w:p>
        </w:tc>
      </w:tr>
      <w:tr w:rsidR="00016E20" w:rsidRPr="00B275E2" w14:paraId="13DE277D" w14:textId="77777777" w:rsidTr="00536F41">
        <w:trPr>
          <w:gridAfter w:val="1"/>
          <w:cnfStyle w:val="000000100000" w:firstRow="0" w:lastRow="0" w:firstColumn="0" w:lastColumn="0" w:oddVBand="0" w:evenVBand="0" w:oddHBand="1" w:evenHBand="0" w:firstRowFirstColumn="0" w:firstRowLastColumn="0" w:lastRowFirstColumn="0" w:lastRowLastColumn="0"/>
          <w:wAfter w:w="8" w:type="dxa"/>
        </w:trPr>
        <w:tc>
          <w:tcPr>
            <w:cnfStyle w:val="001000000000" w:firstRow="0" w:lastRow="0" w:firstColumn="1" w:lastColumn="0" w:oddVBand="0" w:evenVBand="0" w:oddHBand="0" w:evenHBand="0" w:firstRowFirstColumn="0" w:firstRowLastColumn="0" w:lastRowFirstColumn="0" w:lastRowLastColumn="0"/>
            <w:tcW w:w="3261" w:type="dxa"/>
            <w:tcBorders>
              <w:left w:val="single" w:sz="4" w:space="0" w:color="FFFFFF" w:themeColor="background1"/>
            </w:tcBorders>
          </w:tcPr>
          <w:p w14:paraId="7FBEE0BE" w14:textId="71F2979B" w:rsidR="00DC6124" w:rsidRPr="00B275E2" w:rsidRDefault="00DC6124" w:rsidP="009E67AD">
            <w:pPr>
              <w:pStyle w:val="TableText"/>
              <w:spacing w:before="30" w:after="30"/>
              <w:rPr>
                <w:b w:val="0"/>
                <w:bCs w:val="0"/>
              </w:rPr>
            </w:pPr>
            <w:r w:rsidRPr="00B275E2">
              <w:rPr>
                <w:b w:val="0"/>
                <w:bCs w:val="0"/>
              </w:rPr>
              <w:t>All hardwoods</w:t>
            </w:r>
          </w:p>
        </w:tc>
        <w:tc>
          <w:tcPr>
            <w:tcW w:w="567" w:type="dxa"/>
          </w:tcPr>
          <w:p w14:paraId="58C0CECF" w14:textId="03C59A54" w:rsidR="00DC6124" w:rsidRPr="00B275E2" w:rsidRDefault="00DC6124" w:rsidP="009E67AD">
            <w:pPr>
              <w:pStyle w:val="TableText"/>
              <w:spacing w:before="30" w:after="30"/>
              <w:cnfStyle w:val="000000100000" w:firstRow="0" w:lastRow="0" w:firstColumn="0" w:lastColumn="0" w:oddVBand="0" w:evenVBand="0" w:oddHBand="1" w:evenHBand="0" w:firstRowFirstColumn="0" w:firstRowLastColumn="0" w:lastRowFirstColumn="0" w:lastRowLastColumn="0"/>
            </w:pPr>
            <w:r w:rsidRPr="00B275E2">
              <w:t>ha</w:t>
            </w:r>
          </w:p>
        </w:tc>
        <w:tc>
          <w:tcPr>
            <w:tcW w:w="1275" w:type="dxa"/>
          </w:tcPr>
          <w:p w14:paraId="77CAC9B7" w14:textId="7E181A9C" w:rsidR="00DC6124" w:rsidRPr="00B275E2" w:rsidRDefault="00DC6124" w:rsidP="009E67AD">
            <w:pPr>
              <w:pStyle w:val="TableText"/>
              <w:spacing w:before="30" w:after="30"/>
              <w:jc w:val="right"/>
              <w:cnfStyle w:val="000000100000" w:firstRow="0" w:lastRow="0" w:firstColumn="0" w:lastColumn="0" w:oddVBand="0" w:evenVBand="0" w:oddHBand="1" w:evenHBand="0" w:firstRowFirstColumn="0" w:firstRowLastColumn="0" w:lastRowFirstColumn="0" w:lastRowLastColumn="0"/>
            </w:pPr>
            <w:r w:rsidRPr="00B275E2">
              <w:t>-1</w:t>
            </w:r>
            <w:r w:rsidR="00213D7D" w:rsidRPr="00B275E2">
              <w:t>5</w:t>
            </w:r>
            <w:r w:rsidRPr="00B275E2">
              <w:t>,</w:t>
            </w:r>
            <w:r w:rsidR="00213D7D" w:rsidRPr="00B275E2">
              <w:t>957</w:t>
            </w:r>
          </w:p>
        </w:tc>
        <w:tc>
          <w:tcPr>
            <w:tcW w:w="1134" w:type="dxa"/>
          </w:tcPr>
          <w:p w14:paraId="39A96E9D" w14:textId="08C2FE67" w:rsidR="00DC6124" w:rsidRPr="00B275E2" w:rsidRDefault="004B3913" w:rsidP="009E67AD">
            <w:pPr>
              <w:pStyle w:val="TableText"/>
              <w:spacing w:before="30" w:after="30"/>
              <w:jc w:val="right"/>
              <w:cnfStyle w:val="000000100000" w:firstRow="0" w:lastRow="0" w:firstColumn="0" w:lastColumn="0" w:oddVBand="0" w:evenVBand="0" w:oddHBand="1" w:evenHBand="0" w:firstRowFirstColumn="0" w:firstRowLastColumn="0" w:lastRowFirstColumn="0" w:lastRowLastColumn="0"/>
            </w:pPr>
            <w:r w:rsidRPr="00B275E2">
              <w:t>±6</w:t>
            </w:r>
            <w:r w:rsidR="006906D7" w:rsidRPr="00B275E2">
              <w:t>5</w:t>
            </w:r>
            <w:r w:rsidRPr="00B275E2">
              <w:t>.</w:t>
            </w:r>
            <w:r w:rsidR="006906D7" w:rsidRPr="00B275E2">
              <w:t>2</w:t>
            </w:r>
            <w:r w:rsidR="00DC6124" w:rsidRPr="00B275E2">
              <w:t>%</w:t>
            </w:r>
          </w:p>
        </w:tc>
        <w:tc>
          <w:tcPr>
            <w:tcW w:w="1134" w:type="dxa"/>
          </w:tcPr>
          <w:p w14:paraId="34053DB3" w14:textId="791AD622" w:rsidR="00DC6124" w:rsidRPr="00B275E2" w:rsidRDefault="00DC6124" w:rsidP="009E67AD">
            <w:pPr>
              <w:pStyle w:val="TableText"/>
              <w:spacing w:before="30" w:after="30"/>
              <w:jc w:val="right"/>
              <w:cnfStyle w:val="000000100000" w:firstRow="0" w:lastRow="0" w:firstColumn="0" w:lastColumn="0" w:oddVBand="0" w:evenVBand="0" w:oddHBand="1" w:evenHBand="0" w:firstRowFirstColumn="0" w:firstRowLastColumn="0" w:lastRowFirstColumn="0" w:lastRowLastColumn="0"/>
            </w:pPr>
            <w:r w:rsidRPr="00B275E2">
              <w:t>n/a</w:t>
            </w:r>
          </w:p>
        </w:tc>
        <w:tc>
          <w:tcPr>
            <w:tcW w:w="1182" w:type="dxa"/>
            <w:tcBorders>
              <w:right w:val="single" w:sz="4" w:space="0" w:color="FFFFFF" w:themeColor="background1"/>
            </w:tcBorders>
          </w:tcPr>
          <w:p w14:paraId="481CCC80" w14:textId="6D1D37BC" w:rsidR="00DC6124" w:rsidRPr="00B275E2" w:rsidRDefault="00DC6124" w:rsidP="009E67AD">
            <w:pPr>
              <w:pStyle w:val="TableText"/>
              <w:spacing w:before="30" w:after="30"/>
              <w:jc w:val="right"/>
              <w:cnfStyle w:val="000000100000" w:firstRow="0" w:lastRow="0" w:firstColumn="0" w:lastColumn="0" w:oddVBand="0" w:evenVBand="0" w:oddHBand="1" w:evenHBand="0" w:firstRowFirstColumn="0" w:firstRowLastColumn="0" w:lastRowFirstColumn="0" w:lastRowLastColumn="0"/>
            </w:pPr>
            <w:r w:rsidRPr="00B275E2">
              <w:t>n/a</w:t>
            </w:r>
          </w:p>
        </w:tc>
      </w:tr>
      <w:tr w:rsidR="00732576" w:rsidRPr="00B275E2" w14:paraId="31218102" w14:textId="77777777" w:rsidTr="00536F41">
        <w:trPr>
          <w:gridAfter w:val="1"/>
          <w:wAfter w:w="8" w:type="dxa"/>
        </w:trPr>
        <w:tc>
          <w:tcPr>
            <w:cnfStyle w:val="001000000000" w:firstRow="0" w:lastRow="0" w:firstColumn="1" w:lastColumn="0" w:oddVBand="0" w:evenVBand="0" w:oddHBand="0" w:evenHBand="0" w:firstRowFirstColumn="0" w:firstRowLastColumn="0" w:lastRowFirstColumn="0" w:lastRowLastColumn="0"/>
            <w:tcW w:w="8553" w:type="dxa"/>
            <w:gridSpan w:val="6"/>
            <w:tcBorders>
              <w:left w:val="single" w:sz="4" w:space="0" w:color="FFFFFF" w:themeColor="background1"/>
              <w:right w:val="single" w:sz="4" w:space="0" w:color="FFFFFF" w:themeColor="background1"/>
            </w:tcBorders>
            <w:shd w:val="clear" w:color="auto" w:fill="D2DDE1" w:themeFill="background2"/>
            <w:hideMark/>
          </w:tcPr>
          <w:p w14:paraId="31F8CEC7" w14:textId="3351B826" w:rsidR="00DC6124" w:rsidRPr="00B275E2" w:rsidRDefault="00DC6124" w:rsidP="009E67AD">
            <w:pPr>
              <w:pStyle w:val="TableTextbold"/>
              <w:spacing w:before="30" w:after="30"/>
              <w:rPr>
                <w:rFonts w:cs="Calibri"/>
                <w:b/>
                <w:bCs w:val="0"/>
                <w:color w:val="auto"/>
                <w:szCs w:val="18"/>
              </w:rPr>
            </w:pPr>
            <w:r w:rsidRPr="00B275E2">
              <w:rPr>
                <w:rFonts w:cs="Calibri"/>
                <w:b/>
                <w:bCs w:val="0"/>
                <w:color w:val="auto"/>
                <w:szCs w:val="18"/>
              </w:rPr>
              <w:t xml:space="preserve">Planted </w:t>
            </w:r>
            <w:r w:rsidR="00600C22" w:rsidRPr="00B275E2">
              <w:rPr>
                <w:rFonts w:cs="Calibri"/>
                <w:b/>
                <w:bCs w:val="0"/>
                <w:color w:val="auto"/>
                <w:szCs w:val="18"/>
              </w:rPr>
              <w:t>f</w:t>
            </w:r>
            <w:r w:rsidRPr="00B275E2">
              <w:rPr>
                <w:rFonts w:cs="Calibri"/>
                <w:b/>
                <w:bCs w:val="0"/>
                <w:color w:val="auto"/>
                <w:szCs w:val="18"/>
              </w:rPr>
              <w:t>orests: Approach two – Averaging accounting</w:t>
            </w:r>
            <w:r w:rsidRPr="00B275E2">
              <w:rPr>
                <w:rStyle w:val="FootnoteReference"/>
                <w:rFonts w:eastAsia="Times New Roman" w:cs="Calibri"/>
                <w:b/>
                <w:bCs w:val="0"/>
                <w:color w:val="auto"/>
                <w:sz w:val="18"/>
                <w:szCs w:val="18"/>
              </w:rPr>
              <w:footnoteReference w:id="74"/>
            </w:r>
            <w:r w:rsidRPr="00B275E2">
              <w:rPr>
                <w:rFonts w:cs="Calibri"/>
                <w:b/>
                <w:bCs w:val="0"/>
                <w:color w:val="auto"/>
                <w:szCs w:val="18"/>
              </w:rPr>
              <w:t>  </w:t>
            </w:r>
          </w:p>
        </w:tc>
      </w:tr>
      <w:tr w:rsidR="00016E20" w:rsidRPr="00B275E2" w14:paraId="667B3549" w14:textId="77777777" w:rsidTr="00536F41">
        <w:trPr>
          <w:gridAfter w:val="1"/>
          <w:cnfStyle w:val="000000100000" w:firstRow="0" w:lastRow="0" w:firstColumn="0" w:lastColumn="0" w:oddVBand="0" w:evenVBand="0" w:oddHBand="1" w:evenHBand="0" w:firstRowFirstColumn="0" w:firstRowLastColumn="0" w:lastRowFirstColumn="0" w:lastRowLastColumn="0"/>
          <w:wAfter w:w="8" w:type="dxa"/>
        </w:trPr>
        <w:tc>
          <w:tcPr>
            <w:cnfStyle w:val="001000000000" w:firstRow="0" w:lastRow="0" w:firstColumn="1" w:lastColumn="0" w:oddVBand="0" w:evenVBand="0" w:oddHBand="0" w:evenHBand="0" w:firstRowFirstColumn="0" w:firstRowLastColumn="0" w:lastRowFirstColumn="0" w:lastRowLastColumn="0"/>
            <w:tcW w:w="3261" w:type="dxa"/>
            <w:tcBorders>
              <w:left w:val="single" w:sz="4" w:space="0" w:color="FFFFFF" w:themeColor="background1"/>
            </w:tcBorders>
            <w:hideMark/>
          </w:tcPr>
          <w:p w14:paraId="6D5F05F6" w14:textId="5CE6479E" w:rsidR="004C3833" w:rsidRPr="00B275E2" w:rsidRDefault="004C3833" w:rsidP="009E67AD">
            <w:pPr>
              <w:pStyle w:val="TableText"/>
              <w:spacing w:before="30" w:after="30"/>
              <w:rPr>
                <w:b w:val="0"/>
                <w:bCs w:val="0"/>
              </w:rPr>
            </w:pPr>
            <w:r w:rsidRPr="00B275E2">
              <w:rPr>
                <w:b w:val="0"/>
                <w:bCs w:val="0"/>
              </w:rPr>
              <w:t xml:space="preserve">All planted forests – First rotation </w:t>
            </w:r>
            <w:r w:rsidR="00386319" w:rsidRPr="00B275E2">
              <w:rPr>
                <w:b w:val="0"/>
                <w:bCs w:val="0"/>
              </w:rPr>
              <w:br/>
            </w:r>
            <w:r w:rsidRPr="00B275E2">
              <w:rPr>
                <w:b w:val="0"/>
                <w:bCs w:val="0"/>
              </w:rPr>
              <w:t>(Age</w:t>
            </w:r>
            <w:r w:rsidR="00BF33B5" w:rsidRPr="00B275E2">
              <w:rPr>
                <w:b w:val="0"/>
                <w:bCs w:val="0"/>
              </w:rPr>
              <w:t> </w:t>
            </w:r>
            <w:r w:rsidRPr="00B275E2">
              <w:rPr>
                <w:b w:val="0"/>
                <w:bCs w:val="0"/>
              </w:rPr>
              <w:t>23 years and under)</w:t>
            </w:r>
          </w:p>
        </w:tc>
        <w:tc>
          <w:tcPr>
            <w:tcW w:w="567" w:type="dxa"/>
            <w:hideMark/>
          </w:tcPr>
          <w:p w14:paraId="71749F35" w14:textId="7E3E4C39" w:rsidR="004C3833" w:rsidRPr="00B275E2" w:rsidRDefault="004C3833" w:rsidP="009E67AD">
            <w:pPr>
              <w:pStyle w:val="TableText"/>
              <w:spacing w:before="30" w:after="30"/>
              <w:cnfStyle w:val="000000100000" w:firstRow="0" w:lastRow="0" w:firstColumn="0" w:lastColumn="0" w:oddVBand="0" w:evenVBand="0" w:oddHBand="1" w:evenHBand="0" w:firstRowFirstColumn="0" w:firstRowLastColumn="0" w:lastRowFirstColumn="0" w:lastRowLastColumn="0"/>
            </w:pPr>
            <w:r w:rsidRPr="00B275E2">
              <w:t>ha</w:t>
            </w:r>
          </w:p>
        </w:tc>
        <w:tc>
          <w:tcPr>
            <w:tcW w:w="1275" w:type="dxa"/>
            <w:hideMark/>
          </w:tcPr>
          <w:p w14:paraId="220CA360" w14:textId="0CBE6FFD" w:rsidR="004C3833" w:rsidRPr="00B275E2" w:rsidRDefault="004C3833" w:rsidP="009E67AD">
            <w:pPr>
              <w:pStyle w:val="TableText"/>
              <w:spacing w:before="30" w:after="30"/>
              <w:jc w:val="right"/>
              <w:cnfStyle w:val="000000100000" w:firstRow="0" w:lastRow="0" w:firstColumn="0" w:lastColumn="0" w:oddVBand="0" w:evenVBand="0" w:oddHBand="1" w:evenHBand="0" w:firstRowFirstColumn="0" w:firstRowLastColumn="0" w:lastRowFirstColumn="0" w:lastRowLastColumn="0"/>
            </w:pPr>
            <w:r w:rsidRPr="00B275E2">
              <w:t>-35,</w:t>
            </w:r>
            <w:r w:rsidR="00136DD7" w:rsidRPr="00B275E2">
              <w:t>561</w:t>
            </w:r>
          </w:p>
        </w:tc>
        <w:tc>
          <w:tcPr>
            <w:tcW w:w="1134" w:type="dxa"/>
            <w:hideMark/>
          </w:tcPr>
          <w:p w14:paraId="59E45BBC" w14:textId="3BA66BF7" w:rsidR="004C3833" w:rsidRPr="00B275E2" w:rsidRDefault="004C3833" w:rsidP="009E67AD">
            <w:pPr>
              <w:pStyle w:val="TableText"/>
              <w:spacing w:before="30" w:after="30"/>
              <w:jc w:val="right"/>
              <w:cnfStyle w:val="000000100000" w:firstRow="0" w:lastRow="0" w:firstColumn="0" w:lastColumn="0" w:oddVBand="0" w:evenVBand="0" w:oddHBand="1" w:evenHBand="0" w:firstRowFirstColumn="0" w:firstRowLastColumn="0" w:lastRowFirstColumn="0" w:lastRowLastColumn="0"/>
            </w:pPr>
            <w:r w:rsidRPr="00B275E2">
              <w:t>±13.3%</w:t>
            </w:r>
          </w:p>
        </w:tc>
        <w:tc>
          <w:tcPr>
            <w:tcW w:w="1134" w:type="dxa"/>
            <w:hideMark/>
          </w:tcPr>
          <w:p w14:paraId="28A02E8A" w14:textId="74F85CBF" w:rsidR="004C3833" w:rsidRPr="00B275E2" w:rsidRDefault="004C3833" w:rsidP="009E67AD">
            <w:pPr>
              <w:pStyle w:val="TableText"/>
              <w:spacing w:before="30" w:after="30"/>
              <w:jc w:val="right"/>
              <w:cnfStyle w:val="000000100000" w:firstRow="0" w:lastRow="0" w:firstColumn="0" w:lastColumn="0" w:oddVBand="0" w:evenVBand="0" w:oddHBand="1" w:evenHBand="0" w:firstRowFirstColumn="0" w:firstRowLastColumn="0" w:lastRowFirstColumn="0" w:lastRowLastColumn="0"/>
            </w:pPr>
            <w:r w:rsidRPr="00B275E2">
              <w:t>n/a</w:t>
            </w:r>
          </w:p>
        </w:tc>
        <w:tc>
          <w:tcPr>
            <w:tcW w:w="1182" w:type="dxa"/>
            <w:tcBorders>
              <w:right w:val="single" w:sz="4" w:space="0" w:color="FFFFFF" w:themeColor="background1"/>
            </w:tcBorders>
            <w:hideMark/>
          </w:tcPr>
          <w:p w14:paraId="2426258C" w14:textId="5B731351" w:rsidR="004C3833" w:rsidRPr="00B275E2" w:rsidRDefault="004C3833" w:rsidP="009E67AD">
            <w:pPr>
              <w:pStyle w:val="TableText"/>
              <w:spacing w:before="30" w:after="30"/>
              <w:jc w:val="right"/>
              <w:cnfStyle w:val="000000100000" w:firstRow="0" w:lastRow="0" w:firstColumn="0" w:lastColumn="0" w:oddVBand="0" w:evenVBand="0" w:oddHBand="1" w:evenHBand="0" w:firstRowFirstColumn="0" w:firstRowLastColumn="0" w:lastRowFirstColumn="0" w:lastRowLastColumn="0"/>
            </w:pPr>
            <w:r w:rsidRPr="00B275E2">
              <w:t>n/a</w:t>
            </w:r>
          </w:p>
        </w:tc>
      </w:tr>
      <w:tr w:rsidR="00016E20" w:rsidRPr="00B275E2" w14:paraId="038EB54D" w14:textId="77777777" w:rsidTr="00536F41">
        <w:tc>
          <w:tcPr>
            <w:cnfStyle w:val="001000000000" w:firstRow="0" w:lastRow="0" w:firstColumn="1" w:lastColumn="0" w:oddVBand="0" w:evenVBand="0" w:oddHBand="0" w:evenHBand="0" w:firstRowFirstColumn="0" w:firstRowLastColumn="0" w:lastRowFirstColumn="0" w:lastRowLastColumn="0"/>
            <w:tcW w:w="3261" w:type="dxa"/>
            <w:tcBorders>
              <w:left w:val="single" w:sz="4" w:space="0" w:color="FFFFFF" w:themeColor="background1"/>
            </w:tcBorders>
            <w:hideMark/>
          </w:tcPr>
          <w:p w14:paraId="7863D75C" w14:textId="14DF7DB5" w:rsidR="00136DD7" w:rsidRPr="00B275E2" w:rsidRDefault="00136DD7" w:rsidP="009E67AD">
            <w:pPr>
              <w:pStyle w:val="TableText"/>
              <w:spacing w:before="30" w:after="30"/>
              <w:rPr>
                <w:b w:val="0"/>
                <w:bCs w:val="0"/>
              </w:rPr>
            </w:pPr>
            <w:r w:rsidRPr="00B275E2">
              <w:rPr>
                <w:b w:val="0"/>
                <w:bCs w:val="0"/>
                <w:i/>
                <w:iCs/>
              </w:rPr>
              <w:t xml:space="preserve">Pinus radiata </w:t>
            </w:r>
            <w:r w:rsidRPr="00B275E2">
              <w:rPr>
                <w:b w:val="0"/>
                <w:bCs w:val="0"/>
              </w:rPr>
              <w:t>– First rotation</w:t>
            </w:r>
            <w:r w:rsidR="00386319" w:rsidRPr="00B275E2">
              <w:rPr>
                <w:b w:val="0"/>
                <w:bCs w:val="0"/>
              </w:rPr>
              <w:t xml:space="preserve"> </w:t>
            </w:r>
            <w:r w:rsidRPr="00B275E2">
              <w:rPr>
                <w:b w:val="0"/>
                <w:bCs w:val="0"/>
              </w:rPr>
              <w:t>(Age</w:t>
            </w:r>
            <w:r w:rsidR="00BF33B5" w:rsidRPr="00B275E2">
              <w:rPr>
                <w:b w:val="0"/>
                <w:bCs w:val="0"/>
              </w:rPr>
              <w:t> </w:t>
            </w:r>
            <w:r w:rsidRPr="00B275E2">
              <w:rPr>
                <w:b w:val="0"/>
                <w:bCs w:val="0"/>
              </w:rPr>
              <w:t>22</w:t>
            </w:r>
            <w:r w:rsidR="00BF33B5" w:rsidRPr="00B275E2">
              <w:rPr>
                <w:b w:val="0"/>
                <w:bCs w:val="0"/>
              </w:rPr>
              <w:t> </w:t>
            </w:r>
            <w:r w:rsidRPr="00B275E2">
              <w:rPr>
                <w:b w:val="0"/>
                <w:bCs w:val="0"/>
              </w:rPr>
              <w:t>years and under)</w:t>
            </w:r>
          </w:p>
        </w:tc>
        <w:tc>
          <w:tcPr>
            <w:tcW w:w="567" w:type="dxa"/>
            <w:hideMark/>
          </w:tcPr>
          <w:p w14:paraId="2949D3B1" w14:textId="732325CE" w:rsidR="00136DD7" w:rsidRPr="00B275E2" w:rsidRDefault="00136DD7" w:rsidP="009E67AD">
            <w:pPr>
              <w:pStyle w:val="TableText"/>
              <w:spacing w:before="30" w:after="30"/>
              <w:cnfStyle w:val="000000000000" w:firstRow="0" w:lastRow="0" w:firstColumn="0" w:lastColumn="0" w:oddVBand="0" w:evenVBand="0" w:oddHBand="0" w:evenHBand="0" w:firstRowFirstColumn="0" w:firstRowLastColumn="0" w:lastRowFirstColumn="0" w:lastRowLastColumn="0"/>
            </w:pPr>
            <w:r w:rsidRPr="00B275E2">
              <w:t>ha</w:t>
            </w:r>
          </w:p>
        </w:tc>
        <w:tc>
          <w:tcPr>
            <w:tcW w:w="1275" w:type="dxa"/>
            <w:hideMark/>
          </w:tcPr>
          <w:p w14:paraId="104AFD1A" w14:textId="672F224E" w:rsidR="00136DD7" w:rsidRPr="00B275E2" w:rsidRDefault="00136DD7" w:rsidP="009E67AD">
            <w:pPr>
              <w:pStyle w:val="TableText"/>
              <w:spacing w:before="30" w:after="30"/>
              <w:jc w:val="right"/>
              <w:cnfStyle w:val="000000000000" w:firstRow="0" w:lastRow="0" w:firstColumn="0" w:lastColumn="0" w:oddVBand="0" w:evenVBand="0" w:oddHBand="0" w:evenHBand="0" w:firstRowFirstColumn="0" w:firstRowLastColumn="0" w:lastRowFirstColumn="0" w:lastRowLastColumn="0"/>
            </w:pPr>
            <w:r w:rsidRPr="00B275E2">
              <w:t>-36,689</w:t>
            </w:r>
          </w:p>
        </w:tc>
        <w:tc>
          <w:tcPr>
            <w:tcW w:w="1134" w:type="dxa"/>
            <w:hideMark/>
          </w:tcPr>
          <w:p w14:paraId="27DC9315" w14:textId="7A88C58F" w:rsidR="00136DD7" w:rsidRPr="00B275E2" w:rsidRDefault="00136DD7" w:rsidP="009E67AD">
            <w:pPr>
              <w:pStyle w:val="TableText"/>
              <w:spacing w:before="30" w:after="30"/>
              <w:jc w:val="right"/>
              <w:cnfStyle w:val="000000000000" w:firstRow="0" w:lastRow="0" w:firstColumn="0" w:lastColumn="0" w:oddVBand="0" w:evenVBand="0" w:oddHBand="0" w:evenHBand="0" w:firstRowFirstColumn="0" w:firstRowLastColumn="0" w:lastRowFirstColumn="0" w:lastRowLastColumn="0"/>
            </w:pPr>
            <w:r w:rsidRPr="00B275E2">
              <w:t>±13.2%</w:t>
            </w:r>
          </w:p>
        </w:tc>
        <w:tc>
          <w:tcPr>
            <w:tcW w:w="1134" w:type="dxa"/>
            <w:hideMark/>
          </w:tcPr>
          <w:p w14:paraId="54034ECA" w14:textId="24880F67" w:rsidR="00136DD7" w:rsidRPr="00B275E2" w:rsidRDefault="00136DD7" w:rsidP="009E67AD">
            <w:pPr>
              <w:pStyle w:val="TableText"/>
              <w:spacing w:before="30" w:after="30"/>
              <w:jc w:val="right"/>
              <w:cnfStyle w:val="000000000000" w:firstRow="0" w:lastRow="0" w:firstColumn="0" w:lastColumn="0" w:oddVBand="0" w:evenVBand="0" w:oddHBand="0" w:evenHBand="0" w:firstRowFirstColumn="0" w:firstRowLastColumn="0" w:lastRowFirstColumn="0" w:lastRowLastColumn="0"/>
            </w:pPr>
            <w:r w:rsidRPr="00B275E2">
              <w:t>n/a</w:t>
            </w:r>
          </w:p>
        </w:tc>
        <w:tc>
          <w:tcPr>
            <w:tcW w:w="1190" w:type="dxa"/>
            <w:gridSpan w:val="2"/>
            <w:tcBorders>
              <w:right w:val="single" w:sz="4" w:space="0" w:color="FFFFFF" w:themeColor="background1"/>
            </w:tcBorders>
            <w:hideMark/>
          </w:tcPr>
          <w:p w14:paraId="1DF28423" w14:textId="1C724454" w:rsidR="00136DD7" w:rsidRPr="00B275E2" w:rsidRDefault="00136DD7" w:rsidP="009E67AD">
            <w:pPr>
              <w:pStyle w:val="TableText"/>
              <w:spacing w:before="30" w:after="30"/>
              <w:jc w:val="right"/>
              <w:cnfStyle w:val="000000000000" w:firstRow="0" w:lastRow="0" w:firstColumn="0" w:lastColumn="0" w:oddVBand="0" w:evenVBand="0" w:oddHBand="0" w:evenHBand="0" w:firstRowFirstColumn="0" w:firstRowLastColumn="0" w:lastRowFirstColumn="0" w:lastRowLastColumn="0"/>
            </w:pPr>
            <w:r w:rsidRPr="00B275E2">
              <w:t>n/a</w:t>
            </w:r>
          </w:p>
        </w:tc>
      </w:tr>
      <w:tr w:rsidR="00016E20" w:rsidRPr="00B275E2" w14:paraId="6E76370A" w14:textId="77777777" w:rsidTr="00536F41">
        <w:trPr>
          <w:gridAfter w:val="1"/>
          <w:cnfStyle w:val="000000100000" w:firstRow="0" w:lastRow="0" w:firstColumn="0" w:lastColumn="0" w:oddVBand="0" w:evenVBand="0" w:oddHBand="1" w:evenHBand="0" w:firstRowFirstColumn="0" w:firstRowLastColumn="0" w:lastRowFirstColumn="0" w:lastRowLastColumn="0"/>
          <w:wAfter w:w="8" w:type="dxa"/>
        </w:trPr>
        <w:tc>
          <w:tcPr>
            <w:cnfStyle w:val="001000000000" w:firstRow="0" w:lastRow="0" w:firstColumn="1" w:lastColumn="0" w:oddVBand="0" w:evenVBand="0" w:oddHBand="0" w:evenHBand="0" w:firstRowFirstColumn="0" w:firstRowLastColumn="0" w:lastRowFirstColumn="0" w:lastRowLastColumn="0"/>
            <w:tcW w:w="3261" w:type="dxa"/>
            <w:tcBorders>
              <w:left w:val="single" w:sz="4" w:space="0" w:color="FFFFFF" w:themeColor="background1"/>
            </w:tcBorders>
            <w:hideMark/>
          </w:tcPr>
          <w:p w14:paraId="2500FBDF" w14:textId="007E9207" w:rsidR="00136DD7" w:rsidRPr="00B275E2" w:rsidRDefault="00136DD7" w:rsidP="009E67AD">
            <w:pPr>
              <w:pStyle w:val="TableText"/>
              <w:spacing w:before="30" w:after="30"/>
              <w:rPr>
                <w:b w:val="0"/>
                <w:bCs w:val="0"/>
              </w:rPr>
            </w:pPr>
            <w:r w:rsidRPr="00B275E2">
              <w:rPr>
                <w:b w:val="0"/>
                <w:bCs w:val="0"/>
              </w:rPr>
              <w:lastRenderedPageBreak/>
              <w:t xml:space="preserve">Other </w:t>
            </w:r>
            <w:r w:rsidR="00600C22" w:rsidRPr="00B275E2">
              <w:rPr>
                <w:b w:val="0"/>
                <w:bCs w:val="0"/>
              </w:rPr>
              <w:t>s</w:t>
            </w:r>
            <w:r w:rsidRPr="00B275E2">
              <w:rPr>
                <w:b w:val="0"/>
                <w:bCs w:val="0"/>
              </w:rPr>
              <w:t xml:space="preserve">oftwoods – First rotation </w:t>
            </w:r>
            <w:r w:rsidR="00BF33B5" w:rsidRPr="00B275E2">
              <w:rPr>
                <w:b w:val="0"/>
                <w:bCs w:val="0"/>
              </w:rPr>
              <w:br/>
            </w:r>
            <w:r w:rsidRPr="00B275E2">
              <w:rPr>
                <w:b w:val="0"/>
                <w:bCs w:val="0"/>
              </w:rPr>
              <w:t>(Age 28 years and under)  </w:t>
            </w:r>
          </w:p>
        </w:tc>
        <w:tc>
          <w:tcPr>
            <w:tcW w:w="567" w:type="dxa"/>
            <w:hideMark/>
          </w:tcPr>
          <w:p w14:paraId="31CB6611" w14:textId="7893EE1A" w:rsidR="00136DD7" w:rsidRPr="00B275E2" w:rsidRDefault="00136DD7" w:rsidP="009E67AD">
            <w:pPr>
              <w:pStyle w:val="TableText"/>
              <w:spacing w:before="30" w:after="30"/>
              <w:cnfStyle w:val="000000100000" w:firstRow="0" w:lastRow="0" w:firstColumn="0" w:lastColumn="0" w:oddVBand="0" w:evenVBand="0" w:oddHBand="1" w:evenHBand="0" w:firstRowFirstColumn="0" w:firstRowLastColumn="0" w:lastRowFirstColumn="0" w:lastRowLastColumn="0"/>
            </w:pPr>
            <w:r w:rsidRPr="00B275E2">
              <w:t>ha</w:t>
            </w:r>
          </w:p>
        </w:tc>
        <w:tc>
          <w:tcPr>
            <w:tcW w:w="1275" w:type="dxa"/>
            <w:hideMark/>
          </w:tcPr>
          <w:p w14:paraId="63175BA9" w14:textId="571E5295" w:rsidR="00136DD7" w:rsidRPr="00B275E2" w:rsidRDefault="00136DD7" w:rsidP="009E67AD">
            <w:pPr>
              <w:pStyle w:val="TableText"/>
              <w:spacing w:before="30" w:after="30"/>
              <w:jc w:val="right"/>
              <w:cnfStyle w:val="000000100000" w:firstRow="0" w:lastRow="0" w:firstColumn="0" w:lastColumn="0" w:oddVBand="0" w:evenVBand="0" w:oddHBand="1" w:evenHBand="0" w:firstRowFirstColumn="0" w:firstRowLastColumn="0" w:lastRowFirstColumn="0" w:lastRowLastColumn="0"/>
            </w:pPr>
            <w:r w:rsidRPr="00B275E2">
              <w:t>-29,453 </w:t>
            </w:r>
          </w:p>
        </w:tc>
        <w:tc>
          <w:tcPr>
            <w:tcW w:w="1134" w:type="dxa"/>
            <w:hideMark/>
          </w:tcPr>
          <w:p w14:paraId="12245929" w14:textId="41531364" w:rsidR="00136DD7" w:rsidRPr="00B275E2" w:rsidRDefault="00136DD7" w:rsidP="009E67AD">
            <w:pPr>
              <w:pStyle w:val="TableText"/>
              <w:spacing w:before="30" w:after="30"/>
              <w:jc w:val="right"/>
              <w:cnfStyle w:val="000000100000" w:firstRow="0" w:lastRow="0" w:firstColumn="0" w:lastColumn="0" w:oddVBand="0" w:evenVBand="0" w:oddHBand="1" w:evenHBand="0" w:firstRowFirstColumn="0" w:firstRowLastColumn="0" w:lastRowFirstColumn="0" w:lastRowLastColumn="0"/>
            </w:pPr>
            <w:r w:rsidRPr="00B275E2">
              <w:t>±22.6%</w:t>
            </w:r>
          </w:p>
        </w:tc>
        <w:tc>
          <w:tcPr>
            <w:tcW w:w="1134" w:type="dxa"/>
            <w:hideMark/>
          </w:tcPr>
          <w:p w14:paraId="177D298D" w14:textId="2B1BC76F" w:rsidR="00136DD7" w:rsidRPr="00B275E2" w:rsidRDefault="00136DD7" w:rsidP="009E67AD">
            <w:pPr>
              <w:pStyle w:val="TableText"/>
              <w:spacing w:before="30" w:after="30"/>
              <w:jc w:val="right"/>
              <w:cnfStyle w:val="000000100000" w:firstRow="0" w:lastRow="0" w:firstColumn="0" w:lastColumn="0" w:oddVBand="0" w:evenVBand="0" w:oddHBand="1" w:evenHBand="0" w:firstRowFirstColumn="0" w:firstRowLastColumn="0" w:lastRowFirstColumn="0" w:lastRowLastColumn="0"/>
            </w:pPr>
            <w:r w:rsidRPr="00B275E2">
              <w:t>n/a </w:t>
            </w:r>
          </w:p>
        </w:tc>
        <w:tc>
          <w:tcPr>
            <w:tcW w:w="1182" w:type="dxa"/>
            <w:tcBorders>
              <w:right w:val="single" w:sz="4" w:space="0" w:color="FFFFFF" w:themeColor="background1"/>
            </w:tcBorders>
            <w:hideMark/>
          </w:tcPr>
          <w:p w14:paraId="37AFCDC8" w14:textId="63BEBA93" w:rsidR="00136DD7" w:rsidRPr="00B275E2" w:rsidRDefault="00136DD7" w:rsidP="009E67AD">
            <w:pPr>
              <w:pStyle w:val="TableText"/>
              <w:spacing w:before="30" w:after="30"/>
              <w:jc w:val="right"/>
              <w:cnfStyle w:val="000000100000" w:firstRow="0" w:lastRow="0" w:firstColumn="0" w:lastColumn="0" w:oddVBand="0" w:evenVBand="0" w:oddHBand="1" w:evenHBand="0" w:firstRowFirstColumn="0" w:firstRowLastColumn="0" w:lastRowFirstColumn="0" w:lastRowLastColumn="0"/>
            </w:pPr>
            <w:r w:rsidRPr="00B275E2">
              <w:t>n/a </w:t>
            </w:r>
          </w:p>
        </w:tc>
      </w:tr>
      <w:tr w:rsidR="00016E20" w:rsidRPr="00B275E2" w14:paraId="564E18A4" w14:textId="77777777" w:rsidTr="00536F41">
        <w:trPr>
          <w:gridAfter w:val="1"/>
          <w:wAfter w:w="8" w:type="dxa"/>
        </w:trPr>
        <w:tc>
          <w:tcPr>
            <w:cnfStyle w:val="001000000000" w:firstRow="0" w:lastRow="0" w:firstColumn="1" w:lastColumn="0" w:oddVBand="0" w:evenVBand="0" w:oddHBand="0" w:evenHBand="0" w:firstRowFirstColumn="0" w:firstRowLastColumn="0" w:lastRowFirstColumn="0" w:lastRowLastColumn="0"/>
            <w:tcW w:w="3261" w:type="dxa"/>
            <w:tcBorders>
              <w:left w:val="single" w:sz="4" w:space="0" w:color="FFFFFF" w:themeColor="background1"/>
            </w:tcBorders>
            <w:hideMark/>
          </w:tcPr>
          <w:p w14:paraId="1C1CAA84" w14:textId="01C51335" w:rsidR="00136DD7" w:rsidRPr="00B275E2" w:rsidRDefault="00136DD7" w:rsidP="009E67AD">
            <w:pPr>
              <w:pStyle w:val="TableText"/>
              <w:spacing w:before="30" w:after="30"/>
              <w:rPr>
                <w:b w:val="0"/>
                <w:bCs w:val="0"/>
              </w:rPr>
            </w:pPr>
            <w:r w:rsidRPr="00B275E2">
              <w:rPr>
                <w:b w:val="0"/>
                <w:bCs w:val="0"/>
              </w:rPr>
              <w:t>All hardwoods – First rotation </w:t>
            </w:r>
            <w:r w:rsidR="00BF33B5" w:rsidRPr="00B275E2">
              <w:rPr>
                <w:b w:val="0"/>
                <w:bCs w:val="0"/>
              </w:rPr>
              <w:br/>
            </w:r>
            <w:r w:rsidRPr="00B275E2">
              <w:rPr>
                <w:b w:val="0"/>
                <w:bCs w:val="0"/>
              </w:rPr>
              <w:t>(Age 13 years and under)  </w:t>
            </w:r>
          </w:p>
        </w:tc>
        <w:tc>
          <w:tcPr>
            <w:tcW w:w="567" w:type="dxa"/>
            <w:hideMark/>
          </w:tcPr>
          <w:p w14:paraId="12C64599" w14:textId="65B5BCF0" w:rsidR="00136DD7" w:rsidRPr="00B275E2" w:rsidRDefault="00136DD7" w:rsidP="009E67AD">
            <w:pPr>
              <w:pStyle w:val="TableText"/>
              <w:spacing w:before="30" w:after="30"/>
              <w:cnfStyle w:val="000000000000" w:firstRow="0" w:lastRow="0" w:firstColumn="0" w:lastColumn="0" w:oddVBand="0" w:evenVBand="0" w:oddHBand="0" w:evenHBand="0" w:firstRowFirstColumn="0" w:firstRowLastColumn="0" w:lastRowFirstColumn="0" w:lastRowLastColumn="0"/>
            </w:pPr>
            <w:r w:rsidRPr="00B275E2">
              <w:t>ha</w:t>
            </w:r>
          </w:p>
        </w:tc>
        <w:tc>
          <w:tcPr>
            <w:tcW w:w="1275" w:type="dxa"/>
            <w:hideMark/>
          </w:tcPr>
          <w:p w14:paraId="5B68C889" w14:textId="27087DA9" w:rsidR="00136DD7" w:rsidRPr="00B275E2" w:rsidRDefault="00136DD7" w:rsidP="009E67AD">
            <w:pPr>
              <w:pStyle w:val="TableText"/>
              <w:spacing w:before="30" w:after="30"/>
              <w:jc w:val="right"/>
              <w:cnfStyle w:val="000000000000" w:firstRow="0" w:lastRow="0" w:firstColumn="0" w:lastColumn="0" w:oddVBand="0" w:evenVBand="0" w:oddHBand="0" w:evenHBand="0" w:firstRowFirstColumn="0" w:firstRowLastColumn="0" w:lastRowFirstColumn="0" w:lastRowLastColumn="0"/>
            </w:pPr>
            <w:r w:rsidRPr="00B275E2">
              <w:t>-15,957 </w:t>
            </w:r>
          </w:p>
        </w:tc>
        <w:tc>
          <w:tcPr>
            <w:tcW w:w="1134" w:type="dxa"/>
            <w:hideMark/>
          </w:tcPr>
          <w:p w14:paraId="5DE21452" w14:textId="0BC97139" w:rsidR="00136DD7" w:rsidRPr="00B275E2" w:rsidRDefault="00136DD7" w:rsidP="009E67AD">
            <w:pPr>
              <w:pStyle w:val="TableText"/>
              <w:spacing w:before="30" w:after="30"/>
              <w:jc w:val="right"/>
              <w:cnfStyle w:val="000000000000" w:firstRow="0" w:lastRow="0" w:firstColumn="0" w:lastColumn="0" w:oddVBand="0" w:evenVBand="0" w:oddHBand="0" w:evenHBand="0" w:firstRowFirstColumn="0" w:firstRowLastColumn="0" w:lastRowFirstColumn="0" w:lastRowLastColumn="0"/>
            </w:pPr>
            <w:r w:rsidRPr="00B275E2">
              <w:t>±65.2%</w:t>
            </w:r>
          </w:p>
        </w:tc>
        <w:tc>
          <w:tcPr>
            <w:tcW w:w="1134" w:type="dxa"/>
            <w:hideMark/>
          </w:tcPr>
          <w:p w14:paraId="453284DA" w14:textId="4A094D5B" w:rsidR="00136DD7" w:rsidRPr="00B275E2" w:rsidRDefault="00136DD7" w:rsidP="009E67AD">
            <w:pPr>
              <w:pStyle w:val="TableText"/>
              <w:spacing w:before="30" w:after="30"/>
              <w:jc w:val="right"/>
              <w:cnfStyle w:val="000000000000" w:firstRow="0" w:lastRow="0" w:firstColumn="0" w:lastColumn="0" w:oddVBand="0" w:evenVBand="0" w:oddHBand="0" w:evenHBand="0" w:firstRowFirstColumn="0" w:firstRowLastColumn="0" w:lastRowFirstColumn="0" w:lastRowLastColumn="0"/>
            </w:pPr>
            <w:r w:rsidRPr="00B275E2">
              <w:t>n/a </w:t>
            </w:r>
          </w:p>
        </w:tc>
        <w:tc>
          <w:tcPr>
            <w:tcW w:w="1182" w:type="dxa"/>
            <w:tcBorders>
              <w:right w:val="single" w:sz="4" w:space="0" w:color="FFFFFF" w:themeColor="background1"/>
            </w:tcBorders>
            <w:hideMark/>
          </w:tcPr>
          <w:p w14:paraId="3E1F6AB9" w14:textId="61E977FE" w:rsidR="00136DD7" w:rsidRPr="00B275E2" w:rsidRDefault="00136DD7" w:rsidP="009E67AD">
            <w:pPr>
              <w:pStyle w:val="TableText"/>
              <w:spacing w:before="30" w:after="30"/>
              <w:jc w:val="right"/>
              <w:cnfStyle w:val="000000000000" w:firstRow="0" w:lastRow="0" w:firstColumn="0" w:lastColumn="0" w:oddVBand="0" w:evenVBand="0" w:oddHBand="0" w:evenHBand="0" w:firstRowFirstColumn="0" w:firstRowLastColumn="0" w:lastRowFirstColumn="0" w:lastRowLastColumn="0"/>
            </w:pPr>
            <w:r w:rsidRPr="00B275E2">
              <w:t>n/a </w:t>
            </w:r>
          </w:p>
        </w:tc>
      </w:tr>
      <w:tr w:rsidR="00016E20" w:rsidRPr="00B275E2" w14:paraId="0BC707B4" w14:textId="77777777" w:rsidTr="00536F41">
        <w:trPr>
          <w:gridAfter w:val="1"/>
          <w:cnfStyle w:val="000000100000" w:firstRow="0" w:lastRow="0" w:firstColumn="0" w:lastColumn="0" w:oddVBand="0" w:evenVBand="0" w:oddHBand="1" w:evenHBand="0" w:firstRowFirstColumn="0" w:firstRowLastColumn="0" w:lastRowFirstColumn="0" w:lastRowLastColumn="0"/>
          <w:wAfter w:w="8" w:type="dxa"/>
        </w:trPr>
        <w:tc>
          <w:tcPr>
            <w:cnfStyle w:val="001000000000" w:firstRow="0" w:lastRow="0" w:firstColumn="1" w:lastColumn="0" w:oddVBand="0" w:evenVBand="0" w:oddHBand="0" w:evenHBand="0" w:firstRowFirstColumn="0" w:firstRowLastColumn="0" w:lastRowFirstColumn="0" w:lastRowLastColumn="0"/>
            <w:tcW w:w="3261" w:type="dxa"/>
            <w:tcBorders>
              <w:left w:val="single" w:sz="4" w:space="0" w:color="FFFFFF" w:themeColor="background1"/>
            </w:tcBorders>
            <w:hideMark/>
          </w:tcPr>
          <w:p w14:paraId="0D1438D4" w14:textId="6F07EBD1" w:rsidR="00DC6124" w:rsidRPr="00B275E2" w:rsidRDefault="00DC6124" w:rsidP="009E67AD">
            <w:pPr>
              <w:pStyle w:val="TableText"/>
              <w:spacing w:before="30" w:after="30"/>
              <w:rPr>
                <w:b w:val="0"/>
                <w:bCs w:val="0"/>
              </w:rPr>
            </w:pPr>
            <w:r w:rsidRPr="00B275E2">
              <w:rPr>
                <w:b w:val="0"/>
                <w:bCs w:val="0"/>
              </w:rPr>
              <w:t>All planted forest above the long-term average age</w:t>
            </w:r>
          </w:p>
        </w:tc>
        <w:tc>
          <w:tcPr>
            <w:tcW w:w="567" w:type="dxa"/>
            <w:hideMark/>
          </w:tcPr>
          <w:p w14:paraId="5BD4CA0C" w14:textId="09C49F42" w:rsidR="00DC6124" w:rsidRPr="00B275E2" w:rsidRDefault="00DC6124" w:rsidP="009E67AD">
            <w:pPr>
              <w:pStyle w:val="TableText"/>
              <w:spacing w:before="30" w:after="30"/>
              <w:cnfStyle w:val="000000100000" w:firstRow="0" w:lastRow="0" w:firstColumn="0" w:lastColumn="0" w:oddVBand="0" w:evenVBand="0" w:oddHBand="1" w:evenHBand="0" w:firstRowFirstColumn="0" w:firstRowLastColumn="0" w:lastRowFirstColumn="0" w:lastRowLastColumn="0"/>
            </w:pPr>
            <w:r w:rsidRPr="00B275E2">
              <w:t>ha</w:t>
            </w:r>
          </w:p>
        </w:tc>
        <w:tc>
          <w:tcPr>
            <w:tcW w:w="1275" w:type="dxa"/>
            <w:hideMark/>
          </w:tcPr>
          <w:p w14:paraId="0D580E92" w14:textId="54AD469B" w:rsidR="00DC6124" w:rsidRPr="00B275E2" w:rsidRDefault="00DC6124" w:rsidP="009E67AD">
            <w:pPr>
              <w:pStyle w:val="TableText"/>
              <w:spacing w:before="30" w:after="30"/>
              <w:jc w:val="right"/>
              <w:cnfStyle w:val="000000100000" w:firstRow="0" w:lastRow="0" w:firstColumn="0" w:lastColumn="0" w:oddVBand="0" w:evenVBand="0" w:oddHBand="1" w:evenHBand="0" w:firstRowFirstColumn="0" w:firstRowLastColumn="0" w:lastRowFirstColumn="0" w:lastRowLastColumn="0"/>
            </w:pPr>
            <w:r w:rsidRPr="00B275E2">
              <w:t>0 </w:t>
            </w:r>
          </w:p>
        </w:tc>
        <w:tc>
          <w:tcPr>
            <w:tcW w:w="1134" w:type="dxa"/>
            <w:hideMark/>
          </w:tcPr>
          <w:p w14:paraId="0633B336" w14:textId="167A8167" w:rsidR="00DC6124" w:rsidRPr="00B275E2" w:rsidRDefault="00DC6124" w:rsidP="009E67AD">
            <w:pPr>
              <w:pStyle w:val="TableText"/>
              <w:spacing w:before="30" w:after="30"/>
              <w:jc w:val="right"/>
              <w:cnfStyle w:val="000000100000" w:firstRow="0" w:lastRow="0" w:firstColumn="0" w:lastColumn="0" w:oddVBand="0" w:evenVBand="0" w:oddHBand="1" w:evenHBand="0" w:firstRowFirstColumn="0" w:firstRowLastColumn="0" w:lastRowFirstColumn="0" w:lastRowLastColumn="0"/>
            </w:pPr>
            <w:r w:rsidRPr="00B275E2">
              <w:t>n/a </w:t>
            </w:r>
          </w:p>
        </w:tc>
        <w:tc>
          <w:tcPr>
            <w:tcW w:w="1134" w:type="dxa"/>
            <w:hideMark/>
          </w:tcPr>
          <w:p w14:paraId="086ECCA0" w14:textId="74C2FEC4" w:rsidR="00DC6124" w:rsidRPr="00B275E2" w:rsidRDefault="00DC6124" w:rsidP="009E67AD">
            <w:pPr>
              <w:pStyle w:val="TableText"/>
              <w:spacing w:before="30" w:after="30"/>
              <w:jc w:val="right"/>
              <w:cnfStyle w:val="000000100000" w:firstRow="0" w:lastRow="0" w:firstColumn="0" w:lastColumn="0" w:oddVBand="0" w:evenVBand="0" w:oddHBand="1" w:evenHBand="0" w:firstRowFirstColumn="0" w:firstRowLastColumn="0" w:lastRowFirstColumn="0" w:lastRowLastColumn="0"/>
            </w:pPr>
            <w:r w:rsidRPr="00B275E2">
              <w:t>n/a </w:t>
            </w:r>
          </w:p>
        </w:tc>
        <w:tc>
          <w:tcPr>
            <w:tcW w:w="1182" w:type="dxa"/>
            <w:tcBorders>
              <w:right w:val="single" w:sz="4" w:space="0" w:color="FFFFFF" w:themeColor="background1"/>
            </w:tcBorders>
            <w:hideMark/>
          </w:tcPr>
          <w:p w14:paraId="1DACDDD5" w14:textId="77B4A7CD" w:rsidR="00DC6124" w:rsidRPr="00B275E2" w:rsidRDefault="00DC6124" w:rsidP="009E67AD">
            <w:pPr>
              <w:pStyle w:val="TableText"/>
              <w:spacing w:before="30" w:after="30"/>
              <w:jc w:val="right"/>
              <w:cnfStyle w:val="000000100000" w:firstRow="0" w:lastRow="0" w:firstColumn="0" w:lastColumn="0" w:oddVBand="0" w:evenVBand="0" w:oddHBand="1" w:evenHBand="0" w:firstRowFirstColumn="0" w:firstRowLastColumn="0" w:lastRowFirstColumn="0" w:lastRowLastColumn="0"/>
            </w:pPr>
            <w:r w:rsidRPr="00B275E2">
              <w:t>n/a </w:t>
            </w:r>
          </w:p>
        </w:tc>
      </w:tr>
      <w:tr w:rsidR="00732576" w:rsidRPr="00B275E2" w14:paraId="4478125B" w14:textId="77777777" w:rsidTr="00536F41">
        <w:trPr>
          <w:gridAfter w:val="1"/>
          <w:wAfter w:w="8" w:type="dxa"/>
        </w:trPr>
        <w:tc>
          <w:tcPr>
            <w:cnfStyle w:val="001000000000" w:firstRow="0" w:lastRow="0" w:firstColumn="1" w:lastColumn="0" w:oddVBand="0" w:evenVBand="0" w:oddHBand="0" w:evenHBand="0" w:firstRowFirstColumn="0" w:firstRowLastColumn="0" w:lastRowFirstColumn="0" w:lastRowLastColumn="0"/>
            <w:tcW w:w="8553" w:type="dxa"/>
            <w:gridSpan w:val="6"/>
            <w:tcBorders>
              <w:left w:val="single" w:sz="4" w:space="0" w:color="FFFFFF" w:themeColor="background1"/>
              <w:right w:val="single" w:sz="4" w:space="0" w:color="FFFFFF" w:themeColor="background1"/>
            </w:tcBorders>
            <w:shd w:val="clear" w:color="auto" w:fill="D2DDE1" w:themeFill="background2"/>
            <w:hideMark/>
          </w:tcPr>
          <w:p w14:paraId="6D7F3744" w14:textId="575DCE60" w:rsidR="00DC6124" w:rsidRPr="00B275E2" w:rsidRDefault="00DC6124" w:rsidP="009E67AD">
            <w:pPr>
              <w:pStyle w:val="TableTextbold"/>
              <w:spacing w:before="30" w:after="30"/>
              <w:rPr>
                <w:rFonts w:cs="Calibri"/>
                <w:b/>
                <w:bCs w:val="0"/>
                <w:color w:val="auto"/>
                <w:szCs w:val="18"/>
              </w:rPr>
            </w:pPr>
            <w:r w:rsidRPr="00B275E2">
              <w:rPr>
                <w:rFonts w:cs="Calibri"/>
                <w:b/>
                <w:bCs w:val="0"/>
                <w:color w:val="auto"/>
                <w:szCs w:val="18"/>
              </w:rPr>
              <w:t xml:space="preserve">Natural </w:t>
            </w:r>
            <w:r w:rsidR="002C3A8E" w:rsidRPr="00B275E2">
              <w:rPr>
                <w:rFonts w:cs="Calibri"/>
                <w:b/>
                <w:bCs w:val="0"/>
                <w:color w:val="auto"/>
                <w:szCs w:val="18"/>
              </w:rPr>
              <w:t>f</w:t>
            </w:r>
            <w:r w:rsidRPr="00B275E2">
              <w:rPr>
                <w:rFonts w:cs="Calibri"/>
                <w:b/>
                <w:bCs w:val="0"/>
                <w:color w:val="auto"/>
                <w:szCs w:val="18"/>
              </w:rPr>
              <w:t>orests  </w:t>
            </w:r>
          </w:p>
        </w:tc>
      </w:tr>
      <w:tr w:rsidR="00016E20" w:rsidRPr="00B275E2" w14:paraId="23A088F8" w14:textId="77777777" w:rsidTr="00536F41">
        <w:trPr>
          <w:gridAfter w:val="1"/>
          <w:cnfStyle w:val="000000100000" w:firstRow="0" w:lastRow="0" w:firstColumn="0" w:lastColumn="0" w:oddVBand="0" w:evenVBand="0" w:oddHBand="1" w:evenHBand="0" w:firstRowFirstColumn="0" w:firstRowLastColumn="0" w:lastRowFirstColumn="0" w:lastRowLastColumn="0"/>
          <w:wAfter w:w="8" w:type="dxa"/>
        </w:trPr>
        <w:tc>
          <w:tcPr>
            <w:cnfStyle w:val="001000000000" w:firstRow="0" w:lastRow="0" w:firstColumn="1" w:lastColumn="0" w:oddVBand="0" w:evenVBand="0" w:oddHBand="0" w:evenHBand="0" w:firstRowFirstColumn="0" w:firstRowLastColumn="0" w:lastRowFirstColumn="0" w:lastRowLastColumn="0"/>
            <w:tcW w:w="3261" w:type="dxa"/>
            <w:tcBorders>
              <w:left w:val="single" w:sz="4" w:space="0" w:color="FFFFFF" w:themeColor="background1"/>
            </w:tcBorders>
            <w:hideMark/>
          </w:tcPr>
          <w:p w14:paraId="4D650134" w14:textId="7738C303" w:rsidR="00DC6124" w:rsidRPr="00B275E2" w:rsidRDefault="00DC6124" w:rsidP="009E67AD">
            <w:pPr>
              <w:pStyle w:val="TableText"/>
              <w:spacing w:before="30" w:after="30"/>
              <w:rPr>
                <w:b w:val="0"/>
                <w:bCs w:val="0"/>
              </w:rPr>
            </w:pPr>
            <w:r w:rsidRPr="00B275E2">
              <w:rPr>
                <w:b w:val="0"/>
                <w:bCs w:val="0"/>
              </w:rPr>
              <w:t>Post-1989 Regenerating Natural Forest</w:t>
            </w:r>
            <w:r w:rsidRPr="00B275E2">
              <w:rPr>
                <w:rStyle w:val="FootnoteReference"/>
                <w:rFonts w:eastAsia="Times New Roman" w:cs="Calibri"/>
                <w:b w:val="0"/>
                <w:bCs w:val="0"/>
                <w:color w:val="000000" w:themeColor="text1"/>
                <w:sz w:val="18"/>
                <w:szCs w:val="18"/>
              </w:rPr>
              <w:footnoteReference w:id="75"/>
            </w:r>
          </w:p>
        </w:tc>
        <w:tc>
          <w:tcPr>
            <w:tcW w:w="567" w:type="dxa"/>
            <w:hideMark/>
          </w:tcPr>
          <w:p w14:paraId="36EC010E" w14:textId="6A304FFA" w:rsidR="00DC6124" w:rsidRPr="00B275E2" w:rsidRDefault="00DC6124" w:rsidP="009E67AD">
            <w:pPr>
              <w:pStyle w:val="TableText"/>
              <w:spacing w:before="30" w:after="30"/>
              <w:cnfStyle w:val="000000100000" w:firstRow="0" w:lastRow="0" w:firstColumn="0" w:lastColumn="0" w:oddVBand="0" w:evenVBand="0" w:oddHBand="1" w:evenHBand="0" w:firstRowFirstColumn="0" w:firstRowLastColumn="0" w:lastRowFirstColumn="0" w:lastRowLastColumn="0"/>
            </w:pPr>
            <w:r w:rsidRPr="00B275E2">
              <w:t>ha</w:t>
            </w:r>
          </w:p>
        </w:tc>
        <w:tc>
          <w:tcPr>
            <w:tcW w:w="1275" w:type="dxa"/>
            <w:hideMark/>
          </w:tcPr>
          <w:p w14:paraId="16F155C6" w14:textId="7686CED1" w:rsidR="00DC6124" w:rsidRPr="00B275E2" w:rsidRDefault="00DC6124" w:rsidP="009E67AD">
            <w:pPr>
              <w:pStyle w:val="TableText"/>
              <w:spacing w:before="30" w:after="30"/>
              <w:jc w:val="right"/>
              <w:cnfStyle w:val="000000100000" w:firstRow="0" w:lastRow="0" w:firstColumn="0" w:lastColumn="0" w:oddVBand="0" w:evenVBand="0" w:oddHBand="1" w:evenHBand="0" w:firstRowFirstColumn="0" w:firstRowLastColumn="0" w:lastRowFirstColumn="0" w:lastRowLastColumn="0"/>
            </w:pPr>
            <w:r w:rsidRPr="00B275E2">
              <w:t>-</w:t>
            </w:r>
            <w:r w:rsidR="00376D62" w:rsidRPr="00B275E2">
              <w:t>7,973</w:t>
            </w:r>
            <w:r w:rsidRPr="00B275E2">
              <w:t> </w:t>
            </w:r>
          </w:p>
        </w:tc>
        <w:tc>
          <w:tcPr>
            <w:tcW w:w="1134" w:type="dxa"/>
            <w:hideMark/>
          </w:tcPr>
          <w:p w14:paraId="43743EAF" w14:textId="2CB924C2" w:rsidR="00DC6124" w:rsidRPr="00B275E2" w:rsidRDefault="00DC6124" w:rsidP="009E67AD">
            <w:pPr>
              <w:pStyle w:val="TableText"/>
              <w:spacing w:before="30" w:after="30"/>
              <w:jc w:val="right"/>
              <w:cnfStyle w:val="000000100000" w:firstRow="0" w:lastRow="0" w:firstColumn="0" w:lastColumn="0" w:oddVBand="0" w:evenVBand="0" w:oddHBand="1" w:evenHBand="0" w:firstRowFirstColumn="0" w:firstRowLastColumn="0" w:lastRowFirstColumn="0" w:lastRowLastColumn="0"/>
            </w:pPr>
            <w:r w:rsidRPr="00B275E2">
              <w:t>±44.8% </w:t>
            </w:r>
          </w:p>
        </w:tc>
        <w:tc>
          <w:tcPr>
            <w:tcW w:w="1134" w:type="dxa"/>
            <w:hideMark/>
          </w:tcPr>
          <w:p w14:paraId="5D958A6D" w14:textId="55C3F1A1" w:rsidR="00DC6124" w:rsidRPr="00B275E2" w:rsidRDefault="00DC6124" w:rsidP="009E67AD">
            <w:pPr>
              <w:pStyle w:val="TableText"/>
              <w:spacing w:before="30" w:after="30"/>
              <w:jc w:val="right"/>
              <w:cnfStyle w:val="000000100000" w:firstRow="0" w:lastRow="0" w:firstColumn="0" w:lastColumn="0" w:oddVBand="0" w:evenVBand="0" w:oddHBand="1" w:evenHBand="0" w:firstRowFirstColumn="0" w:firstRowLastColumn="0" w:lastRowFirstColumn="0" w:lastRowLastColumn="0"/>
            </w:pPr>
            <w:r w:rsidRPr="00B275E2">
              <w:t>n/a </w:t>
            </w:r>
          </w:p>
        </w:tc>
        <w:tc>
          <w:tcPr>
            <w:tcW w:w="1182" w:type="dxa"/>
            <w:tcBorders>
              <w:right w:val="single" w:sz="4" w:space="0" w:color="FFFFFF" w:themeColor="background1"/>
            </w:tcBorders>
            <w:hideMark/>
          </w:tcPr>
          <w:p w14:paraId="4CEC630B" w14:textId="59198E72" w:rsidR="00DC6124" w:rsidRPr="00B275E2" w:rsidRDefault="00DC6124" w:rsidP="009E67AD">
            <w:pPr>
              <w:pStyle w:val="TableText"/>
              <w:spacing w:before="30" w:after="30"/>
              <w:jc w:val="right"/>
              <w:cnfStyle w:val="000000100000" w:firstRow="0" w:lastRow="0" w:firstColumn="0" w:lastColumn="0" w:oddVBand="0" w:evenVBand="0" w:oddHBand="1" w:evenHBand="0" w:firstRowFirstColumn="0" w:firstRowLastColumn="0" w:lastRowFirstColumn="0" w:lastRowLastColumn="0"/>
            </w:pPr>
            <w:r w:rsidRPr="00B275E2">
              <w:t>n/a </w:t>
            </w:r>
          </w:p>
        </w:tc>
      </w:tr>
      <w:tr w:rsidR="00016E20" w:rsidRPr="00B275E2" w14:paraId="5EDDD83E" w14:textId="77777777" w:rsidTr="00536F41">
        <w:trPr>
          <w:gridAfter w:val="1"/>
          <w:wAfter w:w="8" w:type="dxa"/>
        </w:trPr>
        <w:tc>
          <w:tcPr>
            <w:cnfStyle w:val="001000000000" w:firstRow="0" w:lastRow="0" w:firstColumn="1" w:lastColumn="0" w:oddVBand="0" w:evenVBand="0" w:oddHBand="0" w:evenHBand="0" w:firstRowFirstColumn="0" w:firstRowLastColumn="0" w:lastRowFirstColumn="0" w:lastRowLastColumn="0"/>
            <w:tcW w:w="3261" w:type="dxa"/>
            <w:tcBorders>
              <w:left w:val="single" w:sz="4" w:space="0" w:color="FFFFFF" w:themeColor="background1"/>
            </w:tcBorders>
            <w:hideMark/>
          </w:tcPr>
          <w:p w14:paraId="60B3621E" w14:textId="7E3609AE" w:rsidR="00DC6124" w:rsidRPr="00B275E2" w:rsidRDefault="00DC6124" w:rsidP="009E67AD">
            <w:pPr>
              <w:pStyle w:val="TableText"/>
              <w:spacing w:before="30" w:after="30"/>
              <w:rPr>
                <w:b w:val="0"/>
                <w:bCs w:val="0"/>
              </w:rPr>
            </w:pPr>
            <w:r w:rsidRPr="00B275E2">
              <w:rPr>
                <w:b w:val="0"/>
                <w:bCs w:val="0"/>
              </w:rPr>
              <w:t>Pre-1990 Regenerating Natural Forest</w:t>
            </w:r>
            <w:r w:rsidRPr="00B275E2">
              <w:rPr>
                <w:rStyle w:val="FootnoteReference"/>
                <w:rFonts w:eastAsia="Times New Roman" w:cs="Calibri"/>
                <w:b w:val="0"/>
                <w:bCs w:val="0"/>
                <w:color w:val="000000" w:themeColor="text1"/>
                <w:sz w:val="18"/>
                <w:szCs w:val="18"/>
              </w:rPr>
              <w:footnoteReference w:id="76"/>
            </w:r>
          </w:p>
        </w:tc>
        <w:tc>
          <w:tcPr>
            <w:tcW w:w="567" w:type="dxa"/>
            <w:hideMark/>
          </w:tcPr>
          <w:p w14:paraId="5CC7F270" w14:textId="4476FADD" w:rsidR="00DC6124" w:rsidRPr="00B275E2" w:rsidRDefault="00DC6124" w:rsidP="009E67AD">
            <w:pPr>
              <w:pStyle w:val="TableText"/>
              <w:spacing w:before="30" w:after="30"/>
              <w:cnfStyle w:val="000000000000" w:firstRow="0" w:lastRow="0" w:firstColumn="0" w:lastColumn="0" w:oddVBand="0" w:evenVBand="0" w:oddHBand="0" w:evenHBand="0" w:firstRowFirstColumn="0" w:firstRowLastColumn="0" w:lastRowFirstColumn="0" w:lastRowLastColumn="0"/>
            </w:pPr>
            <w:r w:rsidRPr="00B275E2">
              <w:t>ha</w:t>
            </w:r>
          </w:p>
        </w:tc>
        <w:tc>
          <w:tcPr>
            <w:tcW w:w="1275" w:type="dxa"/>
            <w:hideMark/>
          </w:tcPr>
          <w:p w14:paraId="7DAC8ED9" w14:textId="447A86E7" w:rsidR="00DC6124" w:rsidRPr="00B275E2" w:rsidRDefault="00DC6124" w:rsidP="009E67AD">
            <w:pPr>
              <w:pStyle w:val="TableText"/>
              <w:spacing w:before="30" w:after="30"/>
              <w:jc w:val="right"/>
              <w:cnfStyle w:val="000000000000" w:firstRow="0" w:lastRow="0" w:firstColumn="0" w:lastColumn="0" w:oddVBand="0" w:evenVBand="0" w:oddHBand="0" w:evenHBand="0" w:firstRowFirstColumn="0" w:firstRowLastColumn="0" w:lastRowFirstColumn="0" w:lastRowLastColumn="0"/>
            </w:pPr>
            <w:r w:rsidRPr="00B275E2">
              <w:t>-1,567 </w:t>
            </w:r>
          </w:p>
        </w:tc>
        <w:tc>
          <w:tcPr>
            <w:tcW w:w="1134" w:type="dxa"/>
            <w:hideMark/>
          </w:tcPr>
          <w:p w14:paraId="5FF104B4" w14:textId="2B961D71" w:rsidR="00DC6124" w:rsidRPr="00B275E2" w:rsidRDefault="00DC6124" w:rsidP="009E67AD">
            <w:pPr>
              <w:pStyle w:val="TableText"/>
              <w:spacing w:before="30" w:after="30"/>
              <w:jc w:val="right"/>
              <w:cnfStyle w:val="000000000000" w:firstRow="0" w:lastRow="0" w:firstColumn="0" w:lastColumn="0" w:oddVBand="0" w:evenVBand="0" w:oddHBand="0" w:evenHBand="0" w:firstRowFirstColumn="0" w:firstRowLastColumn="0" w:lastRowFirstColumn="0" w:lastRowLastColumn="0"/>
            </w:pPr>
            <w:r w:rsidRPr="00B275E2">
              <w:t>±119.6% </w:t>
            </w:r>
          </w:p>
        </w:tc>
        <w:tc>
          <w:tcPr>
            <w:tcW w:w="1134" w:type="dxa"/>
            <w:hideMark/>
          </w:tcPr>
          <w:p w14:paraId="3C4E608E" w14:textId="38F44381" w:rsidR="00DC6124" w:rsidRPr="00B275E2" w:rsidRDefault="00DC6124" w:rsidP="009E67AD">
            <w:pPr>
              <w:pStyle w:val="TableText"/>
              <w:spacing w:before="30" w:after="30"/>
              <w:jc w:val="right"/>
              <w:cnfStyle w:val="000000000000" w:firstRow="0" w:lastRow="0" w:firstColumn="0" w:lastColumn="0" w:oddVBand="0" w:evenVBand="0" w:oddHBand="0" w:evenHBand="0" w:firstRowFirstColumn="0" w:firstRowLastColumn="0" w:lastRowFirstColumn="0" w:lastRowLastColumn="0"/>
            </w:pPr>
            <w:r w:rsidRPr="00B275E2">
              <w:t>n/a  </w:t>
            </w:r>
          </w:p>
        </w:tc>
        <w:tc>
          <w:tcPr>
            <w:tcW w:w="1182" w:type="dxa"/>
            <w:tcBorders>
              <w:right w:val="single" w:sz="4" w:space="0" w:color="FFFFFF" w:themeColor="background1"/>
            </w:tcBorders>
            <w:hideMark/>
          </w:tcPr>
          <w:p w14:paraId="25DB0865" w14:textId="0DCE8255" w:rsidR="00DC6124" w:rsidRPr="00B275E2" w:rsidRDefault="00DC6124" w:rsidP="009E67AD">
            <w:pPr>
              <w:pStyle w:val="TableText"/>
              <w:spacing w:before="30" w:after="30"/>
              <w:jc w:val="right"/>
              <w:cnfStyle w:val="000000000000" w:firstRow="0" w:lastRow="0" w:firstColumn="0" w:lastColumn="0" w:oddVBand="0" w:evenVBand="0" w:oddHBand="0" w:evenHBand="0" w:firstRowFirstColumn="0" w:firstRowLastColumn="0" w:lastRowFirstColumn="0" w:lastRowLastColumn="0"/>
            </w:pPr>
            <w:r w:rsidRPr="00B275E2">
              <w:t>n/a  </w:t>
            </w:r>
          </w:p>
        </w:tc>
      </w:tr>
      <w:tr w:rsidR="00016E20" w:rsidRPr="00B275E2" w14:paraId="183FF48B" w14:textId="77777777" w:rsidTr="00536F41">
        <w:trPr>
          <w:gridAfter w:val="1"/>
          <w:cnfStyle w:val="000000100000" w:firstRow="0" w:lastRow="0" w:firstColumn="0" w:lastColumn="0" w:oddVBand="0" w:evenVBand="0" w:oddHBand="1" w:evenHBand="0" w:firstRowFirstColumn="0" w:firstRowLastColumn="0" w:lastRowFirstColumn="0" w:lastRowLastColumn="0"/>
          <w:wAfter w:w="8" w:type="dxa"/>
        </w:trPr>
        <w:tc>
          <w:tcPr>
            <w:cnfStyle w:val="001000000000" w:firstRow="0" w:lastRow="0" w:firstColumn="1" w:lastColumn="0" w:oddVBand="0" w:evenVBand="0" w:oddHBand="0" w:evenHBand="0" w:firstRowFirstColumn="0" w:firstRowLastColumn="0" w:lastRowFirstColumn="0" w:lastRowLastColumn="0"/>
            <w:tcW w:w="3261" w:type="dxa"/>
            <w:tcBorders>
              <w:left w:val="single" w:sz="4" w:space="0" w:color="FFFFFF" w:themeColor="background1"/>
            </w:tcBorders>
            <w:hideMark/>
          </w:tcPr>
          <w:p w14:paraId="7FBD9C49" w14:textId="7A1E4B39" w:rsidR="00DC6124" w:rsidRPr="00B275E2" w:rsidRDefault="00DC6124" w:rsidP="009E67AD">
            <w:pPr>
              <w:pStyle w:val="TableText"/>
              <w:spacing w:before="30" w:after="30"/>
              <w:rPr>
                <w:b w:val="0"/>
                <w:bCs w:val="0"/>
              </w:rPr>
            </w:pPr>
            <w:r w:rsidRPr="00B275E2">
              <w:rPr>
                <w:b w:val="0"/>
                <w:bCs w:val="0"/>
              </w:rPr>
              <w:t xml:space="preserve">Pre-1990 Tall </w:t>
            </w:r>
            <w:r w:rsidR="00CE69DF" w:rsidRPr="00B275E2">
              <w:rPr>
                <w:b w:val="0"/>
                <w:bCs w:val="0"/>
              </w:rPr>
              <w:t>N</w:t>
            </w:r>
            <w:r w:rsidRPr="00B275E2">
              <w:rPr>
                <w:b w:val="0"/>
                <w:bCs w:val="0"/>
              </w:rPr>
              <w:t xml:space="preserve">atural </w:t>
            </w:r>
            <w:r w:rsidR="00CE69DF" w:rsidRPr="00B275E2">
              <w:rPr>
                <w:b w:val="0"/>
                <w:bCs w:val="0"/>
              </w:rPr>
              <w:t>F</w:t>
            </w:r>
            <w:r w:rsidRPr="00B275E2">
              <w:rPr>
                <w:b w:val="0"/>
                <w:bCs w:val="0"/>
              </w:rPr>
              <w:t>orest</w:t>
            </w:r>
            <w:r w:rsidRPr="00B275E2">
              <w:rPr>
                <w:rStyle w:val="FootnoteReference"/>
                <w:rFonts w:eastAsia="Times New Roman" w:cs="Calibri"/>
                <w:b w:val="0"/>
                <w:bCs w:val="0"/>
                <w:color w:val="000000" w:themeColor="text1"/>
                <w:sz w:val="18"/>
                <w:szCs w:val="18"/>
              </w:rPr>
              <w:footnoteReference w:id="77"/>
            </w:r>
          </w:p>
        </w:tc>
        <w:tc>
          <w:tcPr>
            <w:tcW w:w="567" w:type="dxa"/>
            <w:hideMark/>
          </w:tcPr>
          <w:p w14:paraId="28218D97" w14:textId="0D1FB171" w:rsidR="00DC6124" w:rsidRPr="00B275E2" w:rsidRDefault="00DC6124" w:rsidP="009E67AD">
            <w:pPr>
              <w:pStyle w:val="TableText"/>
              <w:spacing w:before="30" w:after="30"/>
              <w:cnfStyle w:val="000000100000" w:firstRow="0" w:lastRow="0" w:firstColumn="0" w:lastColumn="0" w:oddVBand="0" w:evenVBand="0" w:oddHBand="1" w:evenHBand="0" w:firstRowFirstColumn="0" w:firstRowLastColumn="0" w:lastRowFirstColumn="0" w:lastRowLastColumn="0"/>
            </w:pPr>
            <w:r w:rsidRPr="00B275E2">
              <w:t>ha</w:t>
            </w:r>
          </w:p>
        </w:tc>
        <w:tc>
          <w:tcPr>
            <w:tcW w:w="1275" w:type="dxa"/>
            <w:hideMark/>
          </w:tcPr>
          <w:p w14:paraId="2A419114" w14:textId="31DEACE8" w:rsidR="00DC6124" w:rsidRPr="00B275E2" w:rsidRDefault="00DC6124" w:rsidP="009E67AD">
            <w:pPr>
              <w:pStyle w:val="TableText"/>
              <w:spacing w:before="30" w:after="30"/>
              <w:jc w:val="right"/>
              <w:cnfStyle w:val="000000100000" w:firstRow="0" w:lastRow="0" w:firstColumn="0" w:lastColumn="0" w:oddVBand="0" w:evenVBand="0" w:oddHBand="1" w:evenHBand="0" w:firstRowFirstColumn="0" w:firstRowLastColumn="0" w:lastRowFirstColumn="0" w:lastRowLastColumn="0"/>
            </w:pPr>
            <w:r w:rsidRPr="00B275E2">
              <w:t>0</w:t>
            </w:r>
          </w:p>
        </w:tc>
        <w:tc>
          <w:tcPr>
            <w:tcW w:w="1134" w:type="dxa"/>
            <w:hideMark/>
          </w:tcPr>
          <w:p w14:paraId="30678116" w14:textId="6E5800C9" w:rsidR="00DC6124" w:rsidRPr="00B275E2" w:rsidRDefault="00DC6124" w:rsidP="009E67AD">
            <w:pPr>
              <w:pStyle w:val="TableText"/>
              <w:spacing w:before="30" w:after="30"/>
              <w:jc w:val="right"/>
              <w:cnfStyle w:val="000000100000" w:firstRow="0" w:lastRow="0" w:firstColumn="0" w:lastColumn="0" w:oddVBand="0" w:evenVBand="0" w:oddHBand="1" w:evenHBand="0" w:firstRowFirstColumn="0" w:firstRowLastColumn="0" w:lastRowFirstColumn="0" w:lastRowLastColumn="0"/>
            </w:pPr>
            <w:r w:rsidRPr="00B275E2">
              <w:t>n/a</w:t>
            </w:r>
          </w:p>
        </w:tc>
        <w:tc>
          <w:tcPr>
            <w:tcW w:w="1134" w:type="dxa"/>
            <w:hideMark/>
          </w:tcPr>
          <w:p w14:paraId="0DCFF426" w14:textId="76F6B2FA" w:rsidR="00DC6124" w:rsidRPr="00B275E2" w:rsidRDefault="00DC6124" w:rsidP="009E67AD">
            <w:pPr>
              <w:pStyle w:val="TableText"/>
              <w:spacing w:before="30" w:after="30"/>
              <w:jc w:val="right"/>
              <w:cnfStyle w:val="000000100000" w:firstRow="0" w:lastRow="0" w:firstColumn="0" w:lastColumn="0" w:oddVBand="0" w:evenVBand="0" w:oddHBand="1" w:evenHBand="0" w:firstRowFirstColumn="0" w:firstRowLastColumn="0" w:lastRowFirstColumn="0" w:lastRowLastColumn="0"/>
            </w:pPr>
            <w:r w:rsidRPr="00B275E2">
              <w:t>n/a </w:t>
            </w:r>
          </w:p>
        </w:tc>
        <w:tc>
          <w:tcPr>
            <w:tcW w:w="1182" w:type="dxa"/>
            <w:tcBorders>
              <w:right w:val="single" w:sz="4" w:space="0" w:color="FFFFFF" w:themeColor="background1"/>
            </w:tcBorders>
            <w:hideMark/>
          </w:tcPr>
          <w:p w14:paraId="7DD61065" w14:textId="504B5EF5" w:rsidR="00DC6124" w:rsidRPr="00B275E2" w:rsidRDefault="00DC6124" w:rsidP="009E67AD">
            <w:pPr>
              <w:pStyle w:val="TableText"/>
              <w:spacing w:before="30" w:after="30"/>
              <w:jc w:val="right"/>
              <w:cnfStyle w:val="000000100000" w:firstRow="0" w:lastRow="0" w:firstColumn="0" w:lastColumn="0" w:oddVBand="0" w:evenVBand="0" w:oddHBand="1" w:evenHBand="0" w:firstRowFirstColumn="0" w:firstRowLastColumn="0" w:lastRowFirstColumn="0" w:lastRowLastColumn="0"/>
            </w:pPr>
            <w:r w:rsidRPr="00B275E2">
              <w:t>n/a </w:t>
            </w:r>
          </w:p>
        </w:tc>
      </w:tr>
    </w:tbl>
    <w:p w14:paraId="68954A17" w14:textId="23C6A8F6" w:rsidR="00962036" w:rsidRPr="00B275E2" w:rsidRDefault="00962036" w:rsidP="00BF33B5">
      <w:pPr>
        <w:pStyle w:val="Source"/>
        <w:rPr>
          <w:rFonts w:ascii="Segoe UI" w:hAnsi="Segoe UI" w:cs="Segoe UI"/>
        </w:rPr>
      </w:pPr>
      <w:r w:rsidRPr="00B275E2">
        <w:t>Source: New Zealand’s LUCAS national forest inventory data April 2022 </w:t>
      </w:r>
    </w:p>
    <w:p w14:paraId="1D2F8A53" w14:textId="6F20B178" w:rsidR="00456D02" w:rsidRPr="00B275E2" w:rsidRDefault="00730FF9" w:rsidP="002061D6">
      <w:pPr>
        <w:pStyle w:val="Tableheading"/>
      </w:pPr>
      <w:bookmarkStart w:id="613" w:name="_Ref532483460"/>
      <w:bookmarkStart w:id="614" w:name="Table88"/>
      <w:bookmarkStart w:id="615" w:name="_Toc111536695"/>
      <w:bookmarkEnd w:id="611"/>
      <w:r w:rsidRPr="00B275E2">
        <w:t xml:space="preserve">Table </w:t>
      </w:r>
      <w:r w:rsidRPr="00B275E2">
        <w:fldChar w:fldCharType="begin"/>
      </w:r>
      <w:r w:rsidRPr="00B275E2">
        <w:instrText>SEQ Table \* ARABIC</w:instrText>
      </w:r>
      <w:r w:rsidRPr="00B275E2">
        <w:fldChar w:fldCharType="separate"/>
      </w:r>
      <w:r>
        <w:rPr>
          <w:noProof/>
        </w:rPr>
        <w:t>90</w:t>
      </w:r>
      <w:r w:rsidRPr="00B275E2">
        <w:fldChar w:fldCharType="end"/>
      </w:r>
      <w:r w:rsidRPr="00B275E2">
        <w:t>:</w:t>
      </w:r>
      <w:r w:rsidRPr="00B275E2">
        <w:tab/>
      </w:r>
      <w:r w:rsidR="002C7317" w:rsidRPr="00B275E2">
        <w:t xml:space="preserve">LULUCF </w:t>
      </w:r>
      <w:r w:rsidR="009953FD" w:rsidRPr="00B275E2">
        <w:t>land-use change</w:t>
      </w:r>
      <w:r w:rsidR="002C7317" w:rsidRPr="00B275E2">
        <w:t xml:space="preserve"> emission factors</w:t>
      </w:r>
      <w:bookmarkEnd w:id="615"/>
    </w:p>
    <w:tbl>
      <w:tblPr>
        <w:tblStyle w:val="LightList-Accent11"/>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CellMar>
          <w:left w:w="57" w:type="dxa"/>
          <w:right w:w="57" w:type="dxa"/>
        </w:tblCellMar>
        <w:tblLook w:val="04A0" w:firstRow="1" w:lastRow="0" w:firstColumn="1" w:lastColumn="0" w:noHBand="0" w:noVBand="1"/>
      </w:tblPr>
      <w:tblGrid>
        <w:gridCol w:w="1505"/>
        <w:gridCol w:w="1211"/>
        <w:gridCol w:w="474"/>
        <w:gridCol w:w="1166"/>
        <w:gridCol w:w="986"/>
        <w:gridCol w:w="1089"/>
        <w:gridCol w:w="1037"/>
        <w:gridCol w:w="1037"/>
      </w:tblGrid>
      <w:tr w:rsidR="002C1C15" w:rsidRPr="00B275E2" w14:paraId="7DAE1C55" w14:textId="77777777" w:rsidTr="009E67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51" w:type="dxa"/>
            <w:shd w:val="clear" w:color="auto" w:fill="1B556B" w:themeFill="text2"/>
            <w:noWrap/>
            <w:vAlign w:val="bottom"/>
          </w:tcPr>
          <w:bookmarkEnd w:id="613"/>
          <w:bookmarkEnd w:id="614"/>
          <w:p w14:paraId="43DA4481" w14:textId="0C32EEDB" w:rsidR="00456D02" w:rsidRPr="00B275E2" w:rsidRDefault="00456D02" w:rsidP="007F0B1E">
            <w:pPr>
              <w:pStyle w:val="TableText"/>
              <w:spacing w:before="40" w:after="40"/>
              <w:rPr>
                <w:rFonts w:cs="Calibri"/>
                <w:szCs w:val="18"/>
              </w:rPr>
            </w:pPr>
            <w:r w:rsidRPr="00B275E2">
              <w:rPr>
                <w:rFonts w:cs="Calibri"/>
                <w:szCs w:val="18"/>
              </w:rPr>
              <w:t xml:space="preserve">Land-use change emission source </w:t>
            </w:r>
          </w:p>
        </w:tc>
        <w:tc>
          <w:tcPr>
            <w:tcW w:w="1326" w:type="dxa"/>
            <w:shd w:val="clear" w:color="auto" w:fill="1B556B" w:themeFill="text2"/>
            <w:noWrap/>
            <w:vAlign w:val="bottom"/>
          </w:tcPr>
          <w:p w14:paraId="2782E51A" w14:textId="77777777" w:rsidR="00456D02" w:rsidRPr="00B275E2" w:rsidDel="008F609E" w:rsidRDefault="00456D02" w:rsidP="007F0B1E">
            <w:pPr>
              <w:pStyle w:val="TableText"/>
              <w:spacing w:before="40" w:after="40"/>
              <w:cnfStyle w:val="100000000000" w:firstRow="1" w:lastRow="0" w:firstColumn="0" w:lastColumn="0" w:oddVBand="0" w:evenVBand="0" w:oddHBand="0" w:evenHBand="0" w:firstRowFirstColumn="0" w:firstRowLastColumn="0" w:lastRowFirstColumn="0" w:lastRowLastColumn="0"/>
              <w:rPr>
                <w:rFonts w:cs="Calibri"/>
                <w:szCs w:val="18"/>
              </w:rPr>
            </w:pPr>
          </w:p>
        </w:tc>
        <w:tc>
          <w:tcPr>
            <w:tcW w:w="510" w:type="dxa"/>
            <w:shd w:val="clear" w:color="auto" w:fill="1B556B" w:themeFill="text2"/>
            <w:noWrap/>
            <w:vAlign w:val="bottom"/>
          </w:tcPr>
          <w:p w14:paraId="639BE0EC" w14:textId="77777777" w:rsidR="00456D02" w:rsidRPr="00B275E2" w:rsidRDefault="00456D02" w:rsidP="005A5FF1">
            <w:pPr>
              <w:pStyle w:val="TableText"/>
              <w:spacing w:before="40" w:after="40"/>
              <w:cnfStyle w:val="100000000000" w:firstRow="1" w:lastRow="0" w:firstColumn="0" w:lastColumn="0" w:oddVBand="0" w:evenVBand="0" w:oddHBand="0" w:evenHBand="0" w:firstRowFirstColumn="0" w:firstRowLastColumn="0" w:lastRowFirstColumn="0" w:lastRowLastColumn="0"/>
              <w:rPr>
                <w:rFonts w:cs="Calibri"/>
                <w:szCs w:val="18"/>
              </w:rPr>
            </w:pPr>
            <w:r w:rsidRPr="00B275E2">
              <w:rPr>
                <w:rFonts w:cs="Calibri"/>
                <w:szCs w:val="18"/>
              </w:rPr>
              <w:t>Unit</w:t>
            </w:r>
          </w:p>
        </w:tc>
        <w:tc>
          <w:tcPr>
            <w:tcW w:w="1276" w:type="dxa"/>
            <w:shd w:val="clear" w:color="auto" w:fill="1B556B" w:themeFill="text2"/>
            <w:vAlign w:val="bottom"/>
          </w:tcPr>
          <w:p w14:paraId="6E10ACB3" w14:textId="4B282328" w:rsidR="00456D02" w:rsidRPr="00B275E2" w:rsidRDefault="00456D02" w:rsidP="007F0B1E">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275E2">
              <w:rPr>
                <w:rFonts w:cs="Calibri"/>
                <w:szCs w:val="18"/>
              </w:rPr>
              <w:t>kg CO</w:t>
            </w:r>
            <w:r w:rsidRPr="00B275E2">
              <w:rPr>
                <w:rFonts w:cs="Calibri"/>
                <w:szCs w:val="18"/>
                <w:vertAlign w:val="subscript"/>
              </w:rPr>
              <w:t>2</w:t>
            </w:r>
            <w:r w:rsidRPr="00B275E2">
              <w:rPr>
                <w:rFonts w:cs="Calibri"/>
                <w:szCs w:val="18"/>
              </w:rPr>
              <w:t>-e/</w:t>
            </w:r>
            <w:r w:rsidR="004C00A8" w:rsidRPr="00B275E2">
              <w:rPr>
                <w:rFonts w:cs="Calibri"/>
                <w:szCs w:val="18"/>
              </w:rPr>
              <w:t xml:space="preserve"> </w:t>
            </w:r>
            <w:r w:rsidRPr="00B275E2">
              <w:rPr>
                <w:rFonts w:cs="Calibri"/>
                <w:szCs w:val="18"/>
              </w:rPr>
              <w:t>unit</w:t>
            </w:r>
          </w:p>
        </w:tc>
        <w:tc>
          <w:tcPr>
            <w:tcW w:w="1077" w:type="dxa"/>
            <w:shd w:val="clear" w:color="auto" w:fill="1B556B" w:themeFill="text2"/>
            <w:noWrap/>
            <w:vAlign w:val="bottom"/>
          </w:tcPr>
          <w:p w14:paraId="10BE4F9C" w14:textId="77777777" w:rsidR="00456D02" w:rsidRPr="00B275E2" w:rsidRDefault="00456D02" w:rsidP="007F0B1E">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275E2">
              <w:rPr>
                <w:rFonts w:eastAsia="Times New Roman" w:cs="Calibri"/>
                <w:szCs w:val="18"/>
              </w:rPr>
              <w:t xml:space="preserve">kg </w:t>
            </w:r>
            <w:r w:rsidRPr="00B275E2">
              <w:rPr>
                <w:rFonts w:cs="Calibri"/>
                <w:szCs w:val="18"/>
              </w:rPr>
              <w:t>CO</w:t>
            </w:r>
            <w:r w:rsidRPr="00B275E2">
              <w:rPr>
                <w:rFonts w:cs="Calibri"/>
                <w:szCs w:val="18"/>
                <w:vertAlign w:val="subscript"/>
              </w:rPr>
              <w:t>2</w:t>
            </w:r>
            <w:r w:rsidRPr="00B275E2">
              <w:rPr>
                <w:rFonts w:eastAsia="Times New Roman" w:cs="Calibri"/>
                <w:szCs w:val="18"/>
              </w:rPr>
              <w:t>/unit</w:t>
            </w:r>
            <w:r w:rsidRPr="00B275E2">
              <w:rPr>
                <w:rFonts w:cs="Calibri"/>
                <w:szCs w:val="18"/>
              </w:rPr>
              <w:t xml:space="preserve"> (kg CO</w:t>
            </w:r>
            <w:r w:rsidRPr="00B275E2">
              <w:rPr>
                <w:rFonts w:cs="Calibri"/>
                <w:szCs w:val="18"/>
                <w:vertAlign w:val="subscript"/>
              </w:rPr>
              <w:t>2</w:t>
            </w:r>
            <w:r w:rsidRPr="00B275E2">
              <w:rPr>
                <w:rFonts w:cs="Calibri"/>
                <w:szCs w:val="18"/>
              </w:rPr>
              <w:noBreakHyphen/>
              <w:t>e)</w:t>
            </w:r>
          </w:p>
        </w:tc>
        <w:tc>
          <w:tcPr>
            <w:tcW w:w="1191" w:type="dxa"/>
            <w:shd w:val="clear" w:color="auto" w:fill="1B556B" w:themeFill="text2"/>
            <w:noWrap/>
            <w:vAlign w:val="bottom"/>
          </w:tcPr>
          <w:p w14:paraId="7000BB75" w14:textId="77777777" w:rsidR="00456D02" w:rsidRPr="00B275E2" w:rsidRDefault="00456D02" w:rsidP="007F0B1E">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275E2">
              <w:rPr>
                <w:rFonts w:cs="Calibri"/>
                <w:szCs w:val="18"/>
              </w:rPr>
              <w:t>Uncertainty (95% CI)</w:t>
            </w:r>
          </w:p>
        </w:tc>
        <w:tc>
          <w:tcPr>
            <w:tcW w:w="1134" w:type="dxa"/>
            <w:shd w:val="clear" w:color="auto" w:fill="1B556B" w:themeFill="text2"/>
            <w:vAlign w:val="bottom"/>
          </w:tcPr>
          <w:p w14:paraId="672462A6" w14:textId="77777777" w:rsidR="00456D02" w:rsidRPr="00B275E2" w:rsidRDefault="00456D02" w:rsidP="007F0B1E">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rFonts w:cs="Calibri"/>
                <w:b w:val="0"/>
                <w:bCs w:val="0"/>
                <w:szCs w:val="18"/>
              </w:rPr>
            </w:pPr>
            <w:r w:rsidRPr="00B275E2">
              <w:rPr>
                <w:rFonts w:cs="Calibri"/>
                <w:szCs w:val="18"/>
              </w:rPr>
              <w:t>kg CH</w:t>
            </w:r>
            <w:r w:rsidRPr="00B275E2">
              <w:rPr>
                <w:rFonts w:cs="Calibri"/>
                <w:szCs w:val="18"/>
                <w:vertAlign w:val="subscript"/>
              </w:rPr>
              <w:t>4</w:t>
            </w:r>
            <w:r w:rsidRPr="00B275E2">
              <w:rPr>
                <w:rFonts w:cs="Calibri"/>
                <w:szCs w:val="18"/>
              </w:rPr>
              <w:t>/unit (kg CO</w:t>
            </w:r>
            <w:r w:rsidRPr="00B275E2">
              <w:rPr>
                <w:rFonts w:cs="Calibri"/>
                <w:szCs w:val="18"/>
                <w:vertAlign w:val="subscript"/>
              </w:rPr>
              <w:t>2</w:t>
            </w:r>
            <w:r w:rsidRPr="00B275E2">
              <w:rPr>
                <w:rFonts w:cs="Calibri"/>
                <w:szCs w:val="18"/>
              </w:rPr>
              <w:noBreakHyphen/>
              <w:t>e)</w:t>
            </w:r>
          </w:p>
        </w:tc>
        <w:tc>
          <w:tcPr>
            <w:tcW w:w="1134" w:type="dxa"/>
            <w:shd w:val="clear" w:color="auto" w:fill="1B556B" w:themeFill="text2"/>
            <w:vAlign w:val="bottom"/>
          </w:tcPr>
          <w:p w14:paraId="79E970EA" w14:textId="77777777" w:rsidR="00456D02" w:rsidRPr="00B275E2" w:rsidRDefault="00456D02" w:rsidP="007F0B1E">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275E2">
              <w:rPr>
                <w:rFonts w:cs="Calibri"/>
                <w:szCs w:val="18"/>
              </w:rPr>
              <w:t>kg N</w:t>
            </w:r>
            <w:r w:rsidRPr="00B275E2">
              <w:rPr>
                <w:rFonts w:cs="Calibri"/>
                <w:szCs w:val="18"/>
                <w:vertAlign w:val="subscript"/>
              </w:rPr>
              <w:t>2</w:t>
            </w:r>
            <w:r w:rsidRPr="00B275E2">
              <w:rPr>
                <w:rFonts w:cs="Calibri"/>
                <w:szCs w:val="18"/>
              </w:rPr>
              <w:t>O/unit (kg CO</w:t>
            </w:r>
            <w:r w:rsidRPr="00B275E2">
              <w:rPr>
                <w:rFonts w:cs="Calibri"/>
                <w:szCs w:val="18"/>
                <w:vertAlign w:val="subscript"/>
              </w:rPr>
              <w:t>2</w:t>
            </w:r>
            <w:r w:rsidRPr="00B275E2">
              <w:rPr>
                <w:rFonts w:cs="Calibri"/>
                <w:szCs w:val="18"/>
              </w:rPr>
              <w:noBreakHyphen/>
              <w:t>e)</w:t>
            </w:r>
          </w:p>
        </w:tc>
      </w:tr>
      <w:tr w:rsidR="00FC4D58" w:rsidRPr="00B275E2" w14:paraId="0A75D5EE" w14:textId="77777777" w:rsidTr="00536F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gridSpan w:val="8"/>
            <w:tcBorders>
              <w:left w:val="single" w:sz="4" w:space="0" w:color="FFFFFF" w:themeColor="background1"/>
              <w:right w:val="single" w:sz="4" w:space="0" w:color="FFFFFF" w:themeColor="background1"/>
            </w:tcBorders>
            <w:shd w:val="clear" w:color="auto" w:fill="D2DDE1" w:themeFill="background2"/>
            <w:noWrap/>
          </w:tcPr>
          <w:p w14:paraId="3B60C517" w14:textId="3A12CD16" w:rsidR="00456D02" w:rsidRPr="00B275E2" w:rsidRDefault="00456D02" w:rsidP="007F0B1E">
            <w:pPr>
              <w:pStyle w:val="TableText"/>
              <w:spacing w:before="40" w:after="40"/>
              <w:rPr>
                <w:rFonts w:cs="Calibri"/>
                <w:szCs w:val="18"/>
              </w:rPr>
            </w:pPr>
            <w:r w:rsidRPr="00B275E2">
              <w:rPr>
                <w:rFonts w:cs="Calibri"/>
                <w:szCs w:val="18"/>
              </w:rPr>
              <w:t xml:space="preserve">Planted </w:t>
            </w:r>
            <w:r w:rsidR="002C3A8E" w:rsidRPr="00B275E2">
              <w:rPr>
                <w:rFonts w:cs="Calibri"/>
                <w:szCs w:val="18"/>
              </w:rPr>
              <w:t>f</w:t>
            </w:r>
            <w:r w:rsidRPr="00B275E2">
              <w:rPr>
                <w:rFonts w:cs="Calibri"/>
                <w:szCs w:val="18"/>
              </w:rPr>
              <w:t>orests: Approach one – Stock change accounting</w:t>
            </w:r>
            <w:r w:rsidR="00A33C69" w:rsidRPr="00B275E2">
              <w:rPr>
                <w:rStyle w:val="FootnoteReference"/>
                <w:rFonts w:cs="Calibri"/>
                <w:color w:val="auto"/>
                <w:sz w:val="18"/>
                <w:szCs w:val="18"/>
              </w:rPr>
              <w:footnoteReference w:id="78"/>
            </w:r>
          </w:p>
        </w:tc>
      </w:tr>
      <w:tr w:rsidR="004C00A8" w:rsidRPr="00B275E2" w14:paraId="06FB619D" w14:textId="77777777" w:rsidTr="00536F41">
        <w:tc>
          <w:tcPr>
            <w:cnfStyle w:val="001000000000" w:firstRow="0" w:lastRow="0" w:firstColumn="1" w:lastColumn="0" w:oddVBand="0" w:evenVBand="0" w:oddHBand="0" w:evenHBand="0" w:firstRowFirstColumn="0" w:firstRowLastColumn="0" w:lastRowFirstColumn="0" w:lastRowLastColumn="0"/>
            <w:tcW w:w="1651" w:type="dxa"/>
            <w:tcBorders>
              <w:left w:val="single" w:sz="4" w:space="0" w:color="FFFFFF" w:themeColor="background1"/>
            </w:tcBorders>
            <w:noWrap/>
          </w:tcPr>
          <w:p w14:paraId="659CC561" w14:textId="4225A8BE" w:rsidR="00456D02" w:rsidRPr="00B275E2" w:rsidRDefault="00456D02" w:rsidP="007F0B1E">
            <w:pPr>
              <w:pStyle w:val="TableText"/>
              <w:spacing w:before="40" w:after="40"/>
              <w:rPr>
                <w:rFonts w:cs="Calibri"/>
                <w:b w:val="0"/>
                <w:szCs w:val="18"/>
              </w:rPr>
            </w:pPr>
            <w:r w:rsidRPr="00B275E2">
              <w:rPr>
                <w:rFonts w:cs="Calibri"/>
                <w:b w:val="0"/>
                <w:szCs w:val="18"/>
              </w:rPr>
              <w:t xml:space="preserve">All </w:t>
            </w:r>
            <w:r w:rsidR="002C3A8E" w:rsidRPr="00B275E2">
              <w:rPr>
                <w:rFonts w:cs="Calibri"/>
                <w:b w:val="0"/>
                <w:szCs w:val="18"/>
              </w:rPr>
              <w:t>p</w:t>
            </w:r>
            <w:r w:rsidRPr="00B275E2">
              <w:rPr>
                <w:rFonts w:cs="Calibri"/>
                <w:b w:val="0"/>
                <w:szCs w:val="18"/>
              </w:rPr>
              <w:t xml:space="preserve">lanted </w:t>
            </w:r>
            <w:r w:rsidR="002C3A8E" w:rsidRPr="00B275E2">
              <w:rPr>
                <w:rFonts w:cs="Calibri"/>
                <w:b w:val="0"/>
                <w:szCs w:val="18"/>
              </w:rPr>
              <w:t>f</w:t>
            </w:r>
            <w:r w:rsidRPr="00B275E2">
              <w:rPr>
                <w:rFonts w:cs="Calibri"/>
                <w:b w:val="0"/>
                <w:szCs w:val="18"/>
              </w:rPr>
              <w:t xml:space="preserve">orests </w:t>
            </w:r>
          </w:p>
        </w:tc>
        <w:tc>
          <w:tcPr>
            <w:tcW w:w="1326" w:type="dxa"/>
          </w:tcPr>
          <w:p w14:paraId="4A4D03BD" w14:textId="08FDA9B2" w:rsidR="00456D02" w:rsidRPr="00B275E2" w:rsidRDefault="00456D02"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 xml:space="preserve">Harvest </w:t>
            </w:r>
            <w:r w:rsidR="00E47289" w:rsidRPr="00B275E2">
              <w:rPr>
                <w:rFonts w:cs="Calibri"/>
                <w:szCs w:val="18"/>
              </w:rPr>
              <w:t>or</w:t>
            </w:r>
            <w:r w:rsidRPr="00B275E2">
              <w:rPr>
                <w:rFonts w:cs="Calibri"/>
                <w:szCs w:val="18"/>
              </w:rPr>
              <w:t xml:space="preserve"> deforestation </w:t>
            </w:r>
          </w:p>
        </w:tc>
        <w:tc>
          <w:tcPr>
            <w:tcW w:w="510" w:type="dxa"/>
            <w:noWrap/>
          </w:tcPr>
          <w:p w14:paraId="079539EA" w14:textId="77777777" w:rsidR="00456D02" w:rsidRPr="00B275E2" w:rsidRDefault="00456D02"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 xml:space="preserve">ha </w:t>
            </w:r>
          </w:p>
        </w:tc>
        <w:tc>
          <w:tcPr>
            <w:tcW w:w="1276" w:type="dxa"/>
            <w:noWrap/>
          </w:tcPr>
          <w:p w14:paraId="02DB67BB" w14:textId="2A07F9F0" w:rsidR="00456D02" w:rsidRPr="00B275E2" w:rsidRDefault="00A707E3"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995</w:t>
            </w:r>
            <w:r w:rsidR="00456D02" w:rsidRPr="00B275E2">
              <w:rPr>
                <w:rFonts w:cs="Calibri"/>
                <w:szCs w:val="18"/>
              </w:rPr>
              <w:t>,</w:t>
            </w:r>
            <w:r w:rsidR="00531C90" w:rsidRPr="00B275E2">
              <w:rPr>
                <w:rFonts w:cs="Calibri"/>
                <w:szCs w:val="18"/>
              </w:rPr>
              <w:t>7</w:t>
            </w:r>
            <w:r w:rsidRPr="00B275E2">
              <w:rPr>
                <w:rFonts w:cs="Calibri"/>
                <w:szCs w:val="18"/>
              </w:rPr>
              <w:t>00</w:t>
            </w:r>
            <w:r w:rsidR="00456D02" w:rsidRPr="00B275E2">
              <w:rPr>
                <w:rFonts w:cs="Calibri"/>
                <w:szCs w:val="18"/>
              </w:rPr>
              <w:t xml:space="preserve"> </w:t>
            </w:r>
          </w:p>
        </w:tc>
        <w:tc>
          <w:tcPr>
            <w:tcW w:w="1077" w:type="dxa"/>
          </w:tcPr>
          <w:p w14:paraId="36271A5F" w14:textId="0F0C261C" w:rsidR="00456D02" w:rsidRPr="00B275E2" w:rsidRDefault="00E86CF0"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995,700</w:t>
            </w:r>
          </w:p>
        </w:tc>
        <w:tc>
          <w:tcPr>
            <w:tcW w:w="1191" w:type="dxa"/>
            <w:noWrap/>
          </w:tcPr>
          <w:p w14:paraId="152B7327" w14:textId="7C42BE42" w:rsidR="00456D02" w:rsidRPr="00B275E2" w:rsidRDefault="00456D02"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w:t>
            </w:r>
            <w:r w:rsidR="00662D3E" w:rsidRPr="00B275E2">
              <w:rPr>
                <w:rFonts w:cs="Calibri"/>
                <w:szCs w:val="18"/>
              </w:rPr>
              <w:t>2</w:t>
            </w:r>
            <w:r w:rsidR="00531C90" w:rsidRPr="00B275E2">
              <w:rPr>
                <w:rFonts w:cs="Calibri"/>
                <w:szCs w:val="18"/>
              </w:rPr>
              <w:t>1</w:t>
            </w:r>
            <w:r w:rsidRPr="00B275E2">
              <w:rPr>
                <w:rFonts w:cs="Calibri"/>
                <w:szCs w:val="18"/>
              </w:rPr>
              <w:t>.</w:t>
            </w:r>
            <w:r w:rsidR="00E86CF0" w:rsidRPr="00B275E2">
              <w:rPr>
                <w:rFonts w:cs="Calibri"/>
                <w:szCs w:val="18"/>
              </w:rPr>
              <w:t>9</w:t>
            </w:r>
            <w:r w:rsidRPr="00B275E2">
              <w:rPr>
                <w:rFonts w:cs="Calibri"/>
                <w:szCs w:val="18"/>
              </w:rPr>
              <w:t xml:space="preserve">% </w:t>
            </w:r>
          </w:p>
        </w:tc>
        <w:tc>
          <w:tcPr>
            <w:tcW w:w="1134" w:type="dxa"/>
            <w:noWrap/>
          </w:tcPr>
          <w:p w14:paraId="3EED51F8" w14:textId="77777777" w:rsidR="00456D02" w:rsidRPr="00B275E2" w:rsidRDefault="00456D02"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 xml:space="preserve">n/a </w:t>
            </w:r>
          </w:p>
        </w:tc>
        <w:tc>
          <w:tcPr>
            <w:tcW w:w="1134" w:type="dxa"/>
            <w:tcBorders>
              <w:right w:val="single" w:sz="4" w:space="0" w:color="FFFFFF" w:themeColor="background1"/>
            </w:tcBorders>
          </w:tcPr>
          <w:p w14:paraId="316E76C7" w14:textId="77777777" w:rsidR="00456D02" w:rsidRPr="00B275E2" w:rsidRDefault="00456D02"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B275E2">
              <w:rPr>
                <w:rFonts w:cs="Calibri"/>
                <w:szCs w:val="18"/>
              </w:rPr>
              <w:t xml:space="preserve">n/a </w:t>
            </w:r>
          </w:p>
        </w:tc>
      </w:tr>
      <w:tr w:rsidR="004C00A8" w:rsidRPr="00B275E2" w14:paraId="14D80372" w14:textId="77777777" w:rsidTr="00536F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1" w:type="dxa"/>
            <w:tcBorders>
              <w:left w:val="single" w:sz="4" w:space="0" w:color="FFFFFF" w:themeColor="background1"/>
            </w:tcBorders>
            <w:noWrap/>
          </w:tcPr>
          <w:p w14:paraId="60A8EE6C" w14:textId="05B9B602" w:rsidR="001620E7" w:rsidRPr="00B275E2" w:rsidRDefault="001620E7" w:rsidP="007F0B1E">
            <w:pPr>
              <w:pStyle w:val="TableText"/>
              <w:spacing w:before="40" w:after="40"/>
              <w:rPr>
                <w:rFonts w:cs="Calibri"/>
                <w:b w:val="0"/>
                <w:bCs w:val="0"/>
                <w:color w:val="000000" w:themeColor="text1"/>
                <w:szCs w:val="18"/>
              </w:rPr>
            </w:pPr>
            <w:r w:rsidRPr="00B275E2">
              <w:rPr>
                <w:rFonts w:eastAsia="Times New Roman" w:cs="Calibri"/>
                <w:b w:val="0"/>
                <w:bCs w:val="0"/>
                <w:i/>
                <w:iCs/>
                <w:color w:val="000000" w:themeColor="text1"/>
                <w:szCs w:val="18"/>
              </w:rPr>
              <w:t>Pinus radiata</w:t>
            </w:r>
          </w:p>
        </w:tc>
        <w:tc>
          <w:tcPr>
            <w:tcW w:w="1326" w:type="dxa"/>
          </w:tcPr>
          <w:p w14:paraId="4BCF96E6" w14:textId="01D234DD" w:rsidR="001620E7" w:rsidRPr="00B275E2" w:rsidRDefault="001620E7"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 xml:space="preserve">Harvest </w:t>
            </w:r>
            <w:r w:rsidR="00E47289" w:rsidRPr="00B275E2">
              <w:rPr>
                <w:rFonts w:cs="Calibri"/>
                <w:szCs w:val="18"/>
              </w:rPr>
              <w:t>or</w:t>
            </w:r>
            <w:r w:rsidRPr="00B275E2">
              <w:rPr>
                <w:rFonts w:cs="Calibri"/>
                <w:szCs w:val="18"/>
              </w:rPr>
              <w:t xml:space="preserve"> deforestation </w:t>
            </w:r>
          </w:p>
        </w:tc>
        <w:tc>
          <w:tcPr>
            <w:tcW w:w="510" w:type="dxa"/>
            <w:noWrap/>
          </w:tcPr>
          <w:p w14:paraId="75DCE472" w14:textId="091EE22C" w:rsidR="001620E7" w:rsidRPr="00B275E2" w:rsidRDefault="001620E7"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ha</w:t>
            </w:r>
          </w:p>
        </w:tc>
        <w:tc>
          <w:tcPr>
            <w:tcW w:w="1276" w:type="dxa"/>
            <w:noWrap/>
          </w:tcPr>
          <w:p w14:paraId="3634E306" w14:textId="17377DF3" w:rsidR="001620E7" w:rsidRPr="00B275E2" w:rsidRDefault="00531C90"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1,</w:t>
            </w:r>
            <w:r w:rsidR="00E86CF0" w:rsidRPr="00B275E2">
              <w:rPr>
                <w:rFonts w:cs="Calibri"/>
                <w:szCs w:val="18"/>
              </w:rPr>
              <w:t>027</w:t>
            </w:r>
            <w:r w:rsidRPr="00B275E2">
              <w:rPr>
                <w:rFonts w:cs="Calibri"/>
                <w:szCs w:val="18"/>
              </w:rPr>
              <w:t>,</w:t>
            </w:r>
            <w:r w:rsidR="00E86CF0" w:rsidRPr="00B275E2">
              <w:rPr>
                <w:rFonts w:cs="Calibri"/>
                <w:szCs w:val="18"/>
              </w:rPr>
              <w:t>286</w:t>
            </w:r>
          </w:p>
        </w:tc>
        <w:tc>
          <w:tcPr>
            <w:tcW w:w="1077" w:type="dxa"/>
          </w:tcPr>
          <w:p w14:paraId="25F62F87" w14:textId="46E79B5C" w:rsidR="001620E7" w:rsidRPr="00B275E2" w:rsidRDefault="00E86CF0"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1,027,286</w:t>
            </w:r>
          </w:p>
        </w:tc>
        <w:tc>
          <w:tcPr>
            <w:tcW w:w="1191" w:type="dxa"/>
            <w:noWrap/>
          </w:tcPr>
          <w:p w14:paraId="708A196B" w14:textId="6DC4DC6F" w:rsidR="001620E7" w:rsidRPr="00B275E2" w:rsidRDefault="00531C90"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±2</w:t>
            </w:r>
            <w:r w:rsidR="003B01B4" w:rsidRPr="00B275E2">
              <w:rPr>
                <w:rFonts w:cs="Calibri"/>
                <w:szCs w:val="18"/>
              </w:rPr>
              <w:t>1</w:t>
            </w:r>
            <w:r w:rsidRPr="00B275E2">
              <w:rPr>
                <w:rFonts w:cs="Calibri"/>
                <w:szCs w:val="18"/>
              </w:rPr>
              <w:t>.8%</w:t>
            </w:r>
          </w:p>
        </w:tc>
        <w:tc>
          <w:tcPr>
            <w:tcW w:w="1134" w:type="dxa"/>
            <w:noWrap/>
          </w:tcPr>
          <w:p w14:paraId="7CFE13BB" w14:textId="41FA033E" w:rsidR="001620E7" w:rsidRPr="00B275E2" w:rsidRDefault="003B01B4"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c>
          <w:tcPr>
            <w:tcW w:w="1134" w:type="dxa"/>
            <w:tcBorders>
              <w:right w:val="single" w:sz="4" w:space="0" w:color="FFFFFF" w:themeColor="background1"/>
            </w:tcBorders>
          </w:tcPr>
          <w:p w14:paraId="3A47E27F" w14:textId="6D2748CD" w:rsidR="001620E7" w:rsidRPr="00B275E2" w:rsidRDefault="003B01B4"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r>
      <w:tr w:rsidR="004C00A8" w:rsidRPr="00B275E2" w14:paraId="65285D07" w14:textId="77777777" w:rsidTr="00536F41">
        <w:tc>
          <w:tcPr>
            <w:cnfStyle w:val="001000000000" w:firstRow="0" w:lastRow="0" w:firstColumn="1" w:lastColumn="0" w:oddVBand="0" w:evenVBand="0" w:oddHBand="0" w:evenHBand="0" w:firstRowFirstColumn="0" w:firstRowLastColumn="0" w:lastRowFirstColumn="0" w:lastRowLastColumn="0"/>
            <w:tcW w:w="1651" w:type="dxa"/>
            <w:tcBorders>
              <w:left w:val="single" w:sz="4" w:space="0" w:color="FFFFFF" w:themeColor="background1"/>
            </w:tcBorders>
            <w:noWrap/>
          </w:tcPr>
          <w:p w14:paraId="575458F0" w14:textId="39C75013" w:rsidR="001620E7" w:rsidRPr="00B275E2" w:rsidRDefault="001620E7" w:rsidP="007F0B1E">
            <w:pPr>
              <w:pStyle w:val="TableText"/>
              <w:spacing w:before="40" w:after="40"/>
              <w:rPr>
                <w:rFonts w:cs="Calibri"/>
                <w:b w:val="0"/>
                <w:bCs w:val="0"/>
                <w:color w:val="000000" w:themeColor="text1"/>
                <w:szCs w:val="18"/>
              </w:rPr>
            </w:pPr>
            <w:r w:rsidRPr="00B275E2">
              <w:rPr>
                <w:rFonts w:eastAsia="Times New Roman" w:cs="Calibri"/>
                <w:b w:val="0"/>
                <w:bCs w:val="0"/>
                <w:color w:val="000000" w:themeColor="text1"/>
                <w:szCs w:val="18"/>
              </w:rPr>
              <w:t xml:space="preserve">Other </w:t>
            </w:r>
            <w:r w:rsidR="002C3A8E" w:rsidRPr="00B275E2">
              <w:rPr>
                <w:rFonts w:eastAsia="Times New Roman" w:cs="Calibri"/>
                <w:b w:val="0"/>
                <w:bCs w:val="0"/>
                <w:color w:val="000000" w:themeColor="text1"/>
                <w:szCs w:val="18"/>
              </w:rPr>
              <w:t>s</w:t>
            </w:r>
            <w:r w:rsidRPr="00B275E2">
              <w:rPr>
                <w:rFonts w:eastAsia="Times New Roman" w:cs="Calibri"/>
                <w:b w:val="0"/>
                <w:bCs w:val="0"/>
                <w:color w:val="000000" w:themeColor="text1"/>
                <w:szCs w:val="18"/>
              </w:rPr>
              <w:t>oftwoods</w:t>
            </w:r>
          </w:p>
        </w:tc>
        <w:tc>
          <w:tcPr>
            <w:tcW w:w="1326" w:type="dxa"/>
          </w:tcPr>
          <w:p w14:paraId="59E4E32D" w14:textId="67F68F81" w:rsidR="001620E7" w:rsidRPr="00B275E2" w:rsidRDefault="001620E7"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 xml:space="preserve">Harvest </w:t>
            </w:r>
            <w:r w:rsidR="00566ED7" w:rsidRPr="00B275E2">
              <w:rPr>
                <w:rFonts w:cs="Calibri"/>
                <w:szCs w:val="18"/>
              </w:rPr>
              <w:t>or</w:t>
            </w:r>
            <w:r w:rsidRPr="00B275E2">
              <w:rPr>
                <w:rFonts w:cs="Calibri"/>
                <w:szCs w:val="18"/>
              </w:rPr>
              <w:t xml:space="preserve"> deforestation </w:t>
            </w:r>
          </w:p>
        </w:tc>
        <w:tc>
          <w:tcPr>
            <w:tcW w:w="510" w:type="dxa"/>
            <w:noWrap/>
          </w:tcPr>
          <w:p w14:paraId="3CEC1615" w14:textId="49C5DD86" w:rsidR="001620E7" w:rsidRPr="00B275E2" w:rsidRDefault="001620E7"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ha</w:t>
            </w:r>
          </w:p>
        </w:tc>
        <w:tc>
          <w:tcPr>
            <w:tcW w:w="1276" w:type="dxa"/>
            <w:noWrap/>
          </w:tcPr>
          <w:p w14:paraId="4817EA36" w14:textId="3E3FE839" w:rsidR="001620E7" w:rsidRPr="00B275E2" w:rsidRDefault="00EC58AC"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1,178,113</w:t>
            </w:r>
          </w:p>
        </w:tc>
        <w:tc>
          <w:tcPr>
            <w:tcW w:w="1077" w:type="dxa"/>
          </w:tcPr>
          <w:p w14:paraId="5880F780" w14:textId="34BC9758" w:rsidR="001620E7" w:rsidRPr="00B275E2" w:rsidRDefault="00A22844"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1,178,113</w:t>
            </w:r>
          </w:p>
        </w:tc>
        <w:tc>
          <w:tcPr>
            <w:tcW w:w="1191" w:type="dxa"/>
            <w:noWrap/>
          </w:tcPr>
          <w:p w14:paraId="66A3DA31" w14:textId="1A013BEE" w:rsidR="001620E7" w:rsidRPr="00B275E2" w:rsidRDefault="00531C90"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±2</w:t>
            </w:r>
            <w:r w:rsidR="003B01B4" w:rsidRPr="00B275E2">
              <w:rPr>
                <w:rFonts w:cs="Calibri"/>
                <w:szCs w:val="18"/>
              </w:rPr>
              <w:t>8</w:t>
            </w:r>
            <w:r w:rsidRPr="00B275E2">
              <w:rPr>
                <w:rFonts w:cs="Calibri"/>
                <w:szCs w:val="18"/>
              </w:rPr>
              <w:t>.</w:t>
            </w:r>
            <w:r w:rsidR="002169B1" w:rsidRPr="00B275E2">
              <w:rPr>
                <w:rFonts w:cs="Calibri"/>
                <w:szCs w:val="18"/>
              </w:rPr>
              <w:t>5</w:t>
            </w:r>
            <w:r w:rsidRPr="00B275E2">
              <w:rPr>
                <w:rFonts w:cs="Calibri"/>
                <w:szCs w:val="18"/>
              </w:rPr>
              <w:t>%</w:t>
            </w:r>
          </w:p>
        </w:tc>
        <w:tc>
          <w:tcPr>
            <w:tcW w:w="1134" w:type="dxa"/>
            <w:noWrap/>
          </w:tcPr>
          <w:p w14:paraId="36F66AD5" w14:textId="2BE36D63" w:rsidR="001620E7" w:rsidRPr="00B275E2" w:rsidRDefault="003B01B4"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n/a</w:t>
            </w:r>
          </w:p>
        </w:tc>
        <w:tc>
          <w:tcPr>
            <w:tcW w:w="1134" w:type="dxa"/>
            <w:tcBorders>
              <w:right w:val="single" w:sz="4" w:space="0" w:color="FFFFFF" w:themeColor="background1"/>
            </w:tcBorders>
          </w:tcPr>
          <w:p w14:paraId="266D4FD6" w14:textId="33683268" w:rsidR="001620E7" w:rsidRPr="00B275E2" w:rsidRDefault="003B01B4"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n/a</w:t>
            </w:r>
          </w:p>
        </w:tc>
      </w:tr>
      <w:tr w:rsidR="004C00A8" w:rsidRPr="00B275E2" w14:paraId="09E608D4" w14:textId="77777777" w:rsidTr="00536F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1" w:type="dxa"/>
            <w:tcBorders>
              <w:left w:val="single" w:sz="4" w:space="0" w:color="FFFFFF" w:themeColor="background1"/>
            </w:tcBorders>
            <w:noWrap/>
          </w:tcPr>
          <w:p w14:paraId="3BE17D43" w14:textId="3E216369" w:rsidR="001620E7" w:rsidRPr="00B275E2" w:rsidRDefault="001620E7" w:rsidP="007F0B1E">
            <w:pPr>
              <w:pStyle w:val="TableText"/>
              <w:spacing w:before="40" w:after="40"/>
              <w:rPr>
                <w:rFonts w:cs="Calibri"/>
                <w:b w:val="0"/>
                <w:bCs w:val="0"/>
                <w:color w:val="000000" w:themeColor="text1"/>
                <w:szCs w:val="18"/>
              </w:rPr>
            </w:pPr>
            <w:r w:rsidRPr="00B275E2">
              <w:rPr>
                <w:rFonts w:eastAsia="Times New Roman" w:cs="Calibri"/>
                <w:b w:val="0"/>
                <w:bCs w:val="0"/>
                <w:color w:val="000000" w:themeColor="text1"/>
                <w:szCs w:val="18"/>
              </w:rPr>
              <w:t>All hardwoods</w:t>
            </w:r>
          </w:p>
        </w:tc>
        <w:tc>
          <w:tcPr>
            <w:tcW w:w="1326" w:type="dxa"/>
          </w:tcPr>
          <w:p w14:paraId="548F5712" w14:textId="0C2A3CCB" w:rsidR="001620E7" w:rsidRPr="00B275E2" w:rsidRDefault="001620E7"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 xml:space="preserve">Harvest </w:t>
            </w:r>
            <w:r w:rsidR="00566ED7" w:rsidRPr="00B275E2">
              <w:rPr>
                <w:rFonts w:cs="Calibri"/>
                <w:szCs w:val="18"/>
              </w:rPr>
              <w:t>or</w:t>
            </w:r>
            <w:r w:rsidRPr="00B275E2">
              <w:rPr>
                <w:rFonts w:cs="Calibri"/>
                <w:szCs w:val="18"/>
              </w:rPr>
              <w:t xml:space="preserve"> deforestation </w:t>
            </w:r>
          </w:p>
        </w:tc>
        <w:tc>
          <w:tcPr>
            <w:tcW w:w="510" w:type="dxa"/>
            <w:noWrap/>
          </w:tcPr>
          <w:p w14:paraId="1A0C1E50" w14:textId="522D7A59" w:rsidR="001620E7" w:rsidRPr="00B275E2" w:rsidRDefault="001620E7"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ha</w:t>
            </w:r>
          </w:p>
        </w:tc>
        <w:tc>
          <w:tcPr>
            <w:tcW w:w="1276" w:type="dxa"/>
            <w:noWrap/>
          </w:tcPr>
          <w:p w14:paraId="5DF3B58F" w14:textId="4206CD21" w:rsidR="001620E7" w:rsidRPr="00B275E2" w:rsidRDefault="00075804"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239,354</w:t>
            </w:r>
          </w:p>
        </w:tc>
        <w:tc>
          <w:tcPr>
            <w:tcW w:w="1077" w:type="dxa"/>
          </w:tcPr>
          <w:p w14:paraId="69890843" w14:textId="19F853BE" w:rsidR="001620E7" w:rsidRPr="00B275E2" w:rsidRDefault="00075804"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239,354</w:t>
            </w:r>
          </w:p>
        </w:tc>
        <w:tc>
          <w:tcPr>
            <w:tcW w:w="1191" w:type="dxa"/>
            <w:noWrap/>
          </w:tcPr>
          <w:p w14:paraId="490EDFF6" w14:textId="3B7B6B92" w:rsidR="001620E7" w:rsidRPr="00B275E2" w:rsidRDefault="003B01B4"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w:t>
            </w:r>
            <w:r w:rsidR="00075804" w:rsidRPr="00B275E2">
              <w:rPr>
                <w:rFonts w:cs="Calibri"/>
                <w:szCs w:val="18"/>
              </w:rPr>
              <w:t>67</w:t>
            </w:r>
            <w:r w:rsidRPr="00B275E2">
              <w:rPr>
                <w:rFonts w:cs="Calibri"/>
                <w:szCs w:val="18"/>
              </w:rPr>
              <w:t>.</w:t>
            </w:r>
            <w:r w:rsidR="00075804" w:rsidRPr="00B275E2">
              <w:rPr>
                <w:rFonts w:cs="Calibri"/>
                <w:szCs w:val="18"/>
              </w:rPr>
              <w:t>4</w:t>
            </w:r>
            <w:r w:rsidRPr="00B275E2">
              <w:rPr>
                <w:rFonts w:cs="Calibri"/>
                <w:szCs w:val="18"/>
              </w:rPr>
              <w:t>%</w:t>
            </w:r>
          </w:p>
        </w:tc>
        <w:tc>
          <w:tcPr>
            <w:tcW w:w="1134" w:type="dxa"/>
            <w:noWrap/>
          </w:tcPr>
          <w:p w14:paraId="5AB2B03D" w14:textId="478D76C5" w:rsidR="001620E7" w:rsidRPr="00B275E2" w:rsidRDefault="003B01B4"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c>
          <w:tcPr>
            <w:tcW w:w="1134" w:type="dxa"/>
            <w:tcBorders>
              <w:right w:val="single" w:sz="4" w:space="0" w:color="FFFFFF" w:themeColor="background1"/>
            </w:tcBorders>
          </w:tcPr>
          <w:p w14:paraId="14200621" w14:textId="7F0C7695" w:rsidR="001620E7" w:rsidRPr="00B275E2" w:rsidRDefault="003B01B4"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r>
      <w:tr w:rsidR="00FC4D58" w:rsidRPr="00B275E2" w14:paraId="5FCD9828" w14:textId="77777777" w:rsidTr="00536F41">
        <w:tc>
          <w:tcPr>
            <w:cnfStyle w:val="001000000000" w:firstRow="0" w:lastRow="0" w:firstColumn="1" w:lastColumn="0" w:oddVBand="0" w:evenVBand="0" w:oddHBand="0" w:evenHBand="0" w:firstRowFirstColumn="0" w:firstRowLastColumn="0" w:lastRowFirstColumn="0" w:lastRowLastColumn="0"/>
            <w:tcW w:w="510" w:type="dxa"/>
            <w:gridSpan w:val="8"/>
            <w:tcBorders>
              <w:left w:val="single" w:sz="4" w:space="0" w:color="FFFFFF" w:themeColor="background1"/>
              <w:right w:val="single" w:sz="4" w:space="0" w:color="FFFFFF" w:themeColor="background1"/>
            </w:tcBorders>
            <w:shd w:val="clear" w:color="auto" w:fill="D2DDE1" w:themeFill="background2"/>
            <w:noWrap/>
          </w:tcPr>
          <w:p w14:paraId="35B0EF00" w14:textId="567AFD3E" w:rsidR="001620E7" w:rsidRPr="00B275E2" w:rsidRDefault="001620E7" w:rsidP="007F0B1E">
            <w:pPr>
              <w:pStyle w:val="TableText"/>
              <w:spacing w:before="40" w:after="40"/>
              <w:rPr>
                <w:rFonts w:cs="Calibri"/>
                <w:szCs w:val="18"/>
              </w:rPr>
            </w:pPr>
            <w:r w:rsidRPr="00B275E2">
              <w:rPr>
                <w:rFonts w:cs="Calibri"/>
                <w:szCs w:val="18"/>
              </w:rPr>
              <w:t>Planted Forests: Approach two – Averaging accounting</w:t>
            </w:r>
          </w:p>
        </w:tc>
      </w:tr>
      <w:tr w:rsidR="004C00A8" w:rsidRPr="00B275E2" w14:paraId="52D3F102" w14:textId="77777777" w:rsidTr="00536F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1" w:type="dxa"/>
            <w:tcBorders>
              <w:left w:val="single" w:sz="4" w:space="0" w:color="FFFFFF" w:themeColor="background1"/>
            </w:tcBorders>
            <w:noWrap/>
          </w:tcPr>
          <w:p w14:paraId="6D532978" w14:textId="75B77D23" w:rsidR="001620E7" w:rsidRPr="00B275E2" w:rsidRDefault="001620E7" w:rsidP="007F0B1E">
            <w:pPr>
              <w:pStyle w:val="TableText"/>
              <w:spacing w:before="40" w:after="40"/>
              <w:rPr>
                <w:rFonts w:cs="Calibri"/>
                <w:b w:val="0"/>
                <w:bCs w:val="0"/>
                <w:szCs w:val="18"/>
              </w:rPr>
            </w:pPr>
            <w:r w:rsidRPr="00B275E2">
              <w:rPr>
                <w:rFonts w:cs="Calibri"/>
                <w:b w:val="0"/>
                <w:bCs w:val="0"/>
                <w:szCs w:val="18"/>
              </w:rPr>
              <w:t xml:space="preserve">All </w:t>
            </w:r>
            <w:r w:rsidR="002C3A8E" w:rsidRPr="00B275E2">
              <w:rPr>
                <w:rFonts w:cs="Calibri"/>
                <w:b w:val="0"/>
                <w:bCs w:val="0"/>
                <w:szCs w:val="18"/>
              </w:rPr>
              <w:t>p</w:t>
            </w:r>
            <w:r w:rsidRPr="00B275E2">
              <w:rPr>
                <w:rFonts w:cs="Calibri"/>
                <w:b w:val="0"/>
                <w:bCs w:val="0"/>
                <w:szCs w:val="18"/>
              </w:rPr>
              <w:t xml:space="preserve">lanted </w:t>
            </w:r>
            <w:r w:rsidR="002C3A8E" w:rsidRPr="00B275E2">
              <w:rPr>
                <w:rFonts w:cs="Calibri"/>
                <w:b w:val="0"/>
                <w:bCs w:val="0"/>
                <w:szCs w:val="18"/>
              </w:rPr>
              <w:t>f</w:t>
            </w:r>
            <w:r w:rsidRPr="00B275E2">
              <w:rPr>
                <w:rFonts w:cs="Calibri"/>
                <w:b w:val="0"/>
                <w:bCs w:val="0"/>
                <w:szCs w:val="18"/>
              </w:rPr>
              <w:t xml:space="preserve">orests </w:t>
            </w:r>
          </w:p>
        </w:tc>
        <w:tc>
          <w:tcPr>
            <w:tcW w:w="1326" w:type="dxa"/>
          </w:tcPr>
          <w:p w14:paraId="2A6AD2DC" w14:textId="77777777" w:rsidR="001620E7" w:rsidRPr="00B275E2" w:rsidRDefault="001620E7"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Harvest</w:t>
            </w:r>
          </w:p>
        </w:tc>
        <w:tc>
          <w:tcPr>
            <w:tcW w:w="510" w:type="dxa"/>
            <w:noWrap/>
          </w:tcPr>
          <w:p w14:paraId="5F281BE9" w14:textId="77777777" w:rsidR="001620E7" w:rsidRPr="00B275E2" w:rsidRDefault="001620E7"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c>
          <w:tcPr>
            <w:tcW w:w="1276" w:type="dxa"/>
            <w:noWrap/>
          </w:tcPr>
          <w:p w14:paraId="20C39941" w14:textId="77777777" w:rsidR="001620E7" w:rsidRPr="00B275E2" w:rsidRDefault="001620E7"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c>
          <w:tcPr>
            <w:tcW w:w="1077" w:type="dxa"/>
          </w:tcPr>
          <w:p w14:paraId="0ADB23C4" w14:textId="77777777" w:rsidR="001620E7" w:rsidRPr="00B275E2" w:rsidRDefault="001620E7"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c>
          <w:tcPr>
            <w:tcW w:w="1191" w:type="dxa"/>
            <w:noWrap/>
          </w:tcPr>
          <w:p w14:paraId="13F7BED1" w14:textId="77777777" w:rsidR="001620E7" w:rsidRPr="00B275E2" w:rsidRDefault="001620E7"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c>
          <w:tcPr>
            <w:tcW w:w="1134" w:type="dxa"/>
            <w:noWrap/>
          </w:tcPr>
          <w:p w14:paraId="22601CA3" w14:textId="77777777" w:rsidR="001620E7" w:rsidRPr="00B275E2" w:rsidRDefault="001620E7"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c>
          <w:tcPr>
            <w:tcW w:w="1134" w:type="dxa"/>
            <w:tcBorders>
              <w:right w:val="single" w:sz="4" w:space="0" w:color="FFFFFF" w:themeColor="background1"/>
            </w:tcBorders>
          </w:tcPr>
          <w:p w14:paraId="5C376258" w14:textId="77777777" w:rsidR="001620E7" w:rsidRPr="00B275E2" w:rsidRDefault="001620E7"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r>
      <w:tr w:rsidR="004C00A8" w:rsidRPr="00B275E2" w14:paraId="3ACC076F" w14:textId="77777777" w:rsidTr="00536F41">
        <w:tc>
          <w:tcPr>
            <w:cnfStyle w:val="001000000000" w:firstRow="0" w:lastRow="0" w:firstColumn="1" w:lastColumn="0" w:oddVBand="0" w:evenVBand="0" w:oddHBand="0" w:evenHBand="0" w:firstRowFirstColumn="0" w:firstRowLastColumn="0" w:lastRowFirstColumn="0" w:lastRowLastColumn="0"/>
            <w:tcW w:w="1651" w:type="dxa"/>
            <w:tcBorders>
              <w:left w:val="single" w:sz="4" w:space="0" w:color="FFFFFF" w:themeColor="background1"/>
            </w:tcBorders>
            <w:noWrap/>
          </w:tcPr>
          <w:p w14:paraId="3B6AFB40" w14:textId="494B42FD" w:rsidR="007951F9" w:rsidRPr="00B275E2" w:rsidRDefault="007951F9" w:rsidP="007F0B1E">
            <w:pPr>
              <w:pStyle w:val="TableText"/>
              <w:spacing w:before="40" w:after="40"/>
              <w:rPr>
                <w:rFonts w:cs="Calibri"/>
                <w:b w:val="0"/>
                <w:bCs w:val="0"/>
                <w:szCs w:val="18"/>
              </w:rPr>
            </w:pPr>
            <w:r w:rsidRPr="00B275E2">
              <w:rPr>
                <w:rFonts w:cs="Calibri"/>
                <w:b w:val="0"/>
                <w:bCs w:val="0"/>
                <w:szCs w:val="18"/>
              </w:rPr>
              <w:t xml:space="preserve">All </w:t>
            </w:r>
            <w:r w:rsidR="002C3A8E" w:rsidRPr="00B275E2">
              <w:rPr>
                <w:rFonts w:cs="Calibri"/>
                <w:b w:val="0"/>
                <w:bCs w:val="0"/>
                <w:szCs w:val="18"/>
              </w:rPr>
              <w:t>p</w:t>
            </w:r>
            <w:r w:rsidRPr="00B275E2">
              <w:rPr>
                <w:rFonts w:cs="Calibri"/>
                <w:b w:val="0"/>
                <w:bCs w:val="0"/>
                <w:szCs w:val="18"/>
              </w:rPr>
              <w:t xml:space="preserve">lanted </w:t>
            </w:r>
            <w:r w:rsidR="002C3A8E" w:rsidRPr="00B275E2">
              <w:rPr>
                <w:rFonts w:cs="Calibri"/>
                <w:b w:val="0"/>
                <w:bCs w:val="0"/>
                <w:szCs w:val="18"/>
              </w:rPr>
              <w:t>f</w:t>
            </w:r>
            <w:r w:rsidRPr="00B275E2">
              <w:rPr>
                <w:rFonts w:cs="Calibri"/>
                <w:b w:val="0"/>
                <w:bCs w:val="0"/>
                <w:szCs w:val="18"/>
              </w:rPr>
              <w:t>orests</w:t>
            </w:r>
          </w:p>
        </w:tc>
        <w:tc>
          <w:tcPr>
            <w:tcW w:w="1326" w:type="dxa"/>
          </w:tcPr>
          <w:p w14:paraId="12358DA9" w14:textId="77777777" w:rsidR="007951F9" w:rsidRPr="00B275E2" w:rsidRDefault="007951F9"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Deforestation</w:t>
            </w:r>
          </w:p>
        </w:tc>
        <w:tc>
          <w:tcPr>
            <w:tcW w:w="510" w:type="dxa"/>
            <w:noWrap/>
          </w:tcPr>
          <w:p w14:paraId="2B8843D8" w14:textId="77777777" w:rsidR="007951F9" w:rsidRPr="00B275E2" w:rsidRDefault="007951F9"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ha</w:t>
            </w:r>
          </w:p>
        </w:tc>
        <w:tc>
          <w:tcPr>
            <w:tcW w:w="1276" w:type="dxa"/>
            <w:noWrap/>
          </w:tcPr>
          <w:p w14:paraId="259F78D5" w14:textId="08DA8C18" w:rsidR="007951F9" w:rsidRPr="00B275E2" w:rsidRDefault="007951F9"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 xml:space="preserve">995,700 </w:t>
            </w:r>
          </w:p>
        </w:tc>
        <w:tc>
          <w:tcPr>
            <w:tcW w:w="1077" w:type="dxa"/>
          </w:tcPr>
          <w:p w14:paraId="71EB422B" w14:textId="433D3635" w:rsidR="007951F9" w:rsidRPr="00B275E2" w:rsidRDefault="007951F9"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995,700</w:t>
            </w:r>
          </w:p>
        </w:tc>
        <w:tc>
          <w:tcPr>
            <w:tcW w:w="1191" w:type="dxa"/>
            <w:noWrap/>
          </w:tcPr>
          <w:p w14:paraId="69564DB3" w14:textId="1E555FA8" w:rsidR="007951F9" w:rsidRPr="00B275E2" w:rsidRDefault="007951F9"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 xml:space="preserve">±21.9% </w:t>
            </w:r>
          </w:p>
        </w:tc>
        <w:tc>
          <w:tcPr>
            <w:tcW w:w="1134" w:type="dxa"/>
            <w:noWrap/>
          </w:tcPr>
          <w:p w14:paraId="2EEFC364" w14:textId="77777777" w:rsidR="007951F9" w:rsidRPr="00B275E2" w:rsidRDefault="007951F9"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 xml:space="preserve">n/a </w:t>
            </w:r>
          </w:p>
        </w:tc>
        <w:tc>
          <w:tcPr>
            <w:tcW w:w="1134" w:type="dxa"/>
            <w:tcBorders>
              <w:right w:val="single" w:sz="4" w:space="0" w:color="FFFFFF" w:themeColor="background1"/>
            </w:tcBorders>
          </w:tcPr>
          <w:p w14:paraId="3F27945E" w14:textId="77777777" w:rsidR="007951F9" w:rsidRPr="00B275E2" w:rsidRDefault="007951F9"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 xml:space="preserve">n/a </w:t>
            </w:r>
          </w:p>
        </w:tc>
      </w:tr>
      <w:tr w:rsidR="004C00A8" w:rsidRPr="00B275E2" w14:paraId="6145AF7E" w14:textId="77777777" w:rsidTr="00536F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1" w:type="dxa"/>
            <w:tcBorders>
              <w:left w:val="single" w:sz="4" w:space="0" w:color="FFFFFF" w:themeColor="background1"/>
            </w:tcBorders>
            <w:noWrap/>
          </w:tcPr>
          <w:p w14:paraId="797DB21E" w14:textId="564B5132" w:rsidR="004C25BF" w:rsidRPr="00B275E2" w:rsidRDefault="004C25BF" w:rsidP="007F0B1E">
            <w:pPr>
              <w:pStyle w:val="TableText"/>
              <w:spacing w:before="40" w:after="40"/>
              <w:rPr>
                <w:rFonts w:cs="Calibri"/>
                <w:b w:val="0"/>
                <w:bCs w:val="0"/>
                <w:szCs w:val="18"/>
              </w:rPr>
            </w:pPr>
            <w:r w:rsidRPr="00B275E2">
              <w:rPr>
                <w:rFonts w:eastAsia="Times New Roman" w:cs="Calibri"/>
                <w:b w:val="0"/>
                <w:bCs w:val="0"/>
                <w:i/>
                <w:iCs/>
                <w:color w:val="000000" w:themeColor="text1"/>
                <w:szCs w:val="18"/>
              </w:rPr>
              <w:t>Pinus radiata</w:t>
            </w:r>
          </w:p>
        </w:tc>
        <w:tc>
          <w:tcPr>
            <w:tcW w:w="1326" w:type="dxa"/>
          </w:tcPr>
          <w:p w14:paraId="6627182A" w14:textId="66480FA9" w:rsidR="004C25BF" w:rsidRPr="00B275E2" w:rsidRDefault="004C25BF"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Harvest</w:t>
            </w:r>
          </w:p>
        </w:tc>
        <w:tc>
          <w:tcPr>
            <w:tcW w:w="510" w:type="dxa"/>
            <w:noWrap/>
          </w:tcPr>
          <w:p w14:paraId="04D6F96C" w14:textId="5F0DB9DA" w:rsidR="004C25BF" w:rsidRPr="00B275E2" w:rsidRDefault="004C25BF"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c>
          <w:tcPr>
            <w:tcW w:w="1276" w:type="dxa"/>
            <w:noWrap/>
          </w:tcPr>
          <w:p w14:paraId="462B68DE" w14:textId="2C9FB816" w:rsidR="004C25BF" w:rsidRPr="00B275E2" w:rsidRDefault="004C25BF"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c>
          <w:tcPr>
            <w:tcW w:w="1077" w:type="dxa"/>
          </w:tcPr>
          <w:p w14:paraId="0A62F52D" w14:textId="0666004F" w:rsidR="004C25BF" w:rsidRPr="00B275E2" w:rsidRDefault="004C25BF"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c>
          <w:tcPr>
            <w:tcW w:w="1191" w:type="dxa"/>
            <w:noWrap/>
          </w:tcPr>
          <w:p w14:paraId="116481BD" w14:textId="122681C9" w:rsidR="004C25BF" w:rsidRPr="00B275E2" w:rsidRDefault="004C25BF"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c>
          <w:tcPr>
            <w:tcW w:w="1134" w:type="dxa"/>
            <w:noWrap/>
          </w:tcPr>
          <w:p w14:paraId="57D1E096" w14:textId="6A4DC080" w:rsidR="004C25BF" w:rsidRPr="00B275E2" w:rsidRDefault="004C25BF"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c>
          <w:tcPr>
            <w:tcW w:w="1134" w:type="dxa"/>
            <w:tcBorders>
              <w:right w:val="single" w:sz="4" w:space="0" w:color="FFFFFF" w:themeColor="background1"/>
            </w:tcBorders>
          </w:tcPr>
          <w:p w14:paraId="29A1CBC9" w14:textId="43DEEF74" w:rsidR="004C25BF" w:rsidRPr="00B275E2" w:rsidRDefault="004C25BF"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r>
      <w:tr w:rsidR="004C00A8" w:rsidRPr="00B275E2" w14:paraId="09045790" w14:textId="77777777" w:rsidTr="00536F41">
        <w:tc>
          <w:tcPr>
            <w:cnfStyle w:val="001000000000" w:firstRow="0" w:lastRow="0" w:firstColumn="1" w:lastColumn="0" w:oddVBand="0" w:evenVBand="0" w:oddHBand="0" w:evenHBand="0" w:firstRowFirstColumn="0" w:firstRowLastColumn="0" w:lastRowFirstColumn="0" w:lastRowLastColumn="0"/>
            <w:tcW w:w="1651" w:type="dxa"/>
            <w:tcBorders>
              <w:left w:val="single" w:sz="4" w:space="0" w:color="FFFFFF" w:themeColor="background1"/>
            </w:tcBorders>
            <w:noWrap/>
          </w:tcPr>
          <w:p w14:paraId="70705C63" w14:textId="3D7148D5" w:rsidR="003B01B4" w:rsidRPr="00B275E2" w:rsidRDefault="003B01B4" w:rsidP="007F0B1E">
            <w:pPr>
              <w:pStyle w:val="TableText"/>
              <w:spacing w:before="40" w:after="40"/>
              <w:rPr>
                <w:rFonts w:cs="Calibri"/>
                <w:b w:val="0"/>
                <w:bCs w:val="0"/>
                <w:szCs w:val="18"/>
              </w:rPr>
            </w:pPr>
            <w:r w:rsidRPr="00B275E2">
              <w:rPr>
                <w:rFonts w:eastAsia="Times New Roman" w:cs="Calibri"/>
                <w:b w:val="0"/>
                <w:bCs w:val="0"/>
                <w:i/>
                <w:iCs/>
                <w:color w:val="000000" w:themeColor="text1"/>
                <w:szCs w:val="18"/>
              </w:rPr>
              <w:t>Pinus radiata</w:t>
            </w:r>
          </w:p>
        </w:tc>
        <w:tc>
          <w:tcPr>
            <w:tcW w:w="1326" w:type="dxa"/>
          </w:tcPr>
          <w:p w14:paraId="219538BA" w14:textId="397342B0" w:rsidR="003B01B4" w:rsidRPr="00B275E2" w:rsidRDefault="003B01B4"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Deforestation</w:t>
            </w:r>
          </w:p>
        </w:tc>
        <w:tc>
          <w:tcPr>
            <w:tcW w:w="510" w:type="dxa"/>
            <w:noWrap/>
          </w:tcPr>
          <w:p w14:paraId="74AE0DA9" w14:textId="6369B0F5" w:rsidR="003B01B4" w:rsidRPr="00B275E2" w:rsidRDefault="00EF0070"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ha</w:t>
            </w:r>
          </w:p>
        </w:tc>
        <w:tc>
          <w:tcPr>
            <w:tcW w:w="1276" w:type="dxa"/>
            <w:noWrap/>
          </w:tcPr>
          <w:p w14:paraId="544F0148" w14:textId="4C435FAF" w:rsidR="003B01B4" w:rsidRPr="00B275E2" w:rsidRDefault="007951F9"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1,027,286</w:t>
            </w:r>
          </w:p>
        </w:tc>
        <w:tc>
          <w:tcPr>
            <w:tcW w:w="1077" w:type="dxa"/>
          </w:tcPr>
          <w:p w14:paraId="75F10EC7" w14:textId="4FBAAA7E" w:rsidR="003B01B4" w:rsidRPr="00B275E2" w:rsidRDefault="007951F9"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1,027,286</w:t>
            </w:r>
          </w:p>
        </w:tc>
        <w:tc>
          <w:tcPr>
            <w:tcW w:w="1191" w:type="dxa"/>
            <w:noWrap/>
          </w:tcPr>
          <w:p w14:paraId="3BD0F083" w14:textId="472B8F85" w:rsidR="003B01B4" w:rsidRPr="00B275E2" w:rsidRDefault="003B01B4"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±21.8%</w:t>
            </w:r>
          </w:p>
        </w:tc>
        <w:tc>
          <w:tcPr>
            <w:tcW w:w="1134" w:type="dxa"/>
            <w:noWrap/>
          </w:tcPr>
          <w:p w14:paraId="59A7B41F" w14:textId="77406CC8" w:rsidR="003B01B4" w:rsidRPr="00B275E2" w:rsidRDefault="003B01B4"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n/a</w:t>
            </w:r>
          </w:p>
        </w:tc>
        <w:tc>
          <w:tcPr>
            <w:tcW w:w="1134" w:type="dxa"/>
            <w:tcBorders>
              <w:right w:val="single" w:sz="4" w:space="0" w:color="FFFFFF" w:themeColor="background1"/>
            </w:tcBorders>
          </w:tcPr>
          <w:p w14:paraId="11B5DDA2" w14:textId="7D9A26D8" w:rsidR="003B01B4" w:rsidRPr="00B275E2" w:rsidRDefault="003B01B4"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n/a</w:t>
            </w:r>
          </w:p>
        </w:tc>
      </w:tr>
      <w:tr w:rsidR="004C00A8" w:rsidRPr="00B275E2" w14:paraId="7E4B66A4" w14:textId="77777777" w:rsidTr="00536F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1" w:type="dxa"/>
            <w:tcBorders>
              <w:left w:val="single" w:sz="4" w:space="0" w:color="FFFFFF" w:themeColor="background1"/>
            </w:tcBorders>
            <w:noWrap/>
          </w:tcPr>
          <w:p w14:paraId="5421B48D" w14:textId="6755BD13" w:rsidR="003B01B4" w:rsidRPr="00B275E2" w:rsidRDefault="003B01B4" w:rsidP="007F0B1E">
            <w:pPr>
              <w:pStyle w:val="TableText"/>
              <w:spacing w:before="40" w:after="40"/>
              <w:rPr>
                <w:rFonts w:cs="Calibri"/>
                <w:b w:val="0"/>
                <w:bCs w:val="0"/>
                <w:szCs w:val="18"/>
              </w:rPr>
            </w:pPr>
            <w:r w:rsidRPr="00B275E2">
              <w:rPr>
                <w:rFonts w:eastAsia="Times New Roman" w:cs="Calibri"/>
                <w:b w:val="0"/>
                <w:bCs w:val="0"/>
                <w:color w:val="000000" w:themeColor="text1"/>
                <w:szCs w:val="18"/>
              </w:rPr>
              <w:t xml:space="preserve">Other </w:t>
            </w:r>
            <w:r w:rsidR="002C3A8E" w:rsidRPr="00B275E2">
              <w:rPr>
                <w:rFonts w:eastAsia="Times New Roman" w:cs="Calibri"/>
                <w:b w:val="0"/>
                <w:bCs w:val="0"/>
                <w:color w:val="000000" w:themeColor="text1"/>
                <w:szCs w:val="18"/>
              </w:rPr>
              <w:t>s</w:t>
            </w:r>
            <w:r w:rsidRPr="00B275E2">
              <w:rPr>
                <w:rFonts w:eastAsia="Times New Roman" w:cs="Calibri"/>
                <w:b w:val="0"/>
                <w:bCs w:val="0"/>
                <w:color w:val="000000" w:themeColor="text1"/>
                <w:szCs w:val="18"/>
              </w:rPr>
              <w:t>oftwoods</w:t>
            </w:r>
          </w:p>
        </w:tc>
        <w:tc>
          <w:tcPr>
            <w:tcW w:w="1326" w:type="dxa"/>
          </w:tcPr>
          <w:p w14:paraId="2C1868E1" w14:textId="2249BAFA" w:rsidR="003B01B4" w:rsidRPr="00B275E2" w:rsidRDefault="003B01B4"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Harvest</w:t>
            </w:r>
          </w:p>
        </w:tc>
        <w:tc>
          <w:tcPr>
            <w:tcW w:w="510" w:type="dxa"/>
            <w:noWrap/>
          </w:tcPr>
          <w:p w14:paraId="3F7C498B" w14:textId="59726BEF" w:rsidR="003B01B4" w:rsidRPr="00B275E2" w:rsidRDefault="003B01B4"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c>
          <w:tcPr>
            <w:tcW w:w="1276" w:type="dxa"/>
            <w:noWrap/>
          </w:tcPr>
          <w:p w14:paraId="1E1E301E" w14:textId="15A3944E" w:rsidR="003B01B4" w:rsidRPr="00B275E2" w:rsidRDefault="003B01B4"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c>
          <w:tcPr>
            <w:tcW w:w="1077" w:type="dxa"/>
          </w:tcPr>
          <w:p w14:paraId="0728A17B" w14:textId="3F7D3E11" w:rsidR="003B01B4" w:rsidRPr="00B275E2" w:rsidRDefault="003B01B4"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c>
          <w:tcPr>
            <w:tcW w:w="1191" w:type="dxa"/>
            <w:noWrap/>
          </w:tcPr>
          <w:p w14:paraId="3CC79019" w14:textId="42C2E1D3" w:rsidR="003B01B4" w:rsidRPr="00B275E2" w:rsidRDefault="003B01B4"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c>
          <w:tcPr>
            <w:tcW w:w="1134" w:type="dxa"/>
            <w:noWrap/>
          </w:tcPr>
          <w:p w14:paraId="4EEFF38F" w14:textId="495E38B7" w:rsidR="003B01B4" w:rsidRPr="00B275E2" w:rsidRDefault="003B01B4"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c>
          <w:tcPr>
            <w:tcW w:w="1134" w:type="dxa"/>
            <w:tcBorders>
              <w:right w:val="single" w:sz="4" w:space="0" w:color="FFFFFF" w:themeColor="background1"/>
            </w:tcBorders>
          </w:tcPr>
          <w:p w14:paraId="665FA50A" w14:textId="3EB28EE2" w:rsidR="003B01B4" w:rsidRPr="00B275E2" w:rsidRDefault="003B01B4"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r>
      <w:tr w:rsidR="004C00A8" w:rsidRPr="00B275E2" w14:paraId="1C40987A" w14:textId="77777777" w:rsidTr="00536F41">
        <w:tc>
          <w:tcPr>
            <w:cnfStyle w:val="001000000000" w:firstRow="0" w:lastRow="0" w:firstColumn="1" w:lastColumn="0" w:oddVBand="0" w:evenVBand="0" w:oddHBand="0" w:evenHBand="0" w:firstRowFirstColumn="0" w:firstRowLastColumn="0" w:lastRowFirstColumn="0" w:lastRowLastColumn="0"/>
            <w:tcW w:w="1651" w:type="dxa"/>
            <w:tcBorders>
              <w:left w:val="single" w:sz="4" w:space="0" w:color="FFFFFF" w:themeColor="background1"/>
            </w:tcBorders>
            <w:noWrap/>
          </w:tcPr>
          <w:p w14:paraId="2DADA501" w14:textId="5F436196" w:rsidR="003B01B4" w:rsidRPr="00B275E2" w:rsidRDefault="003B01B4" w:rsidP="007F0B1E">
            <w:pPr>
              <w:pStyle w:val="TableText"/>
              <w:spacing w:before="40" w:after="40"/>
              <w:rPr>
                <w:rFonts w:cs="Calibri"/>
                <w:b w:val="0"/>
                <w:bCs w:val="0"/>
                <w:szCs w:val="18"/>
              </w:rPr>
            </w:pPr>
            <w:r w:rsidRPr="00B275E2">
              <w:rPr>
                <w:rFonts w:eastAsia="Times New Roman" w:cs="Calibri"/>
                <w:b w:val="0"/>
                <w:bCs w:val="0"/>
                <w:color w:val="000000" w:themeColor="text1"/>
                <w:szCs w:val="18"/>
              </w:rPr>
              <w:t xml:space="preserve">Other </w:t>
            </w:r>
            <w:r w:rsidR="002C3A8E" w:rsidRPr="00B275E2">
              <w:rPr>
                <w:rFonts w:eastAsia="Times New Roman" w:cs="Calibri"/>
                <w:b w:val="0"/>
                <w:bCs w:val="0"/>
                <w:color w:val="000000" w:themeColor="text1"/>
                <w:szCs w:val="18"/>
              </w:rPr>
              <w:t>s</w:t>
            </w:r>
            <w:r w:rsidRPr="00B275E2">
              <w:rPr>
                <w:rFonts w:eastAsia="Times New Roman" w:cs="Calibri"/>
                <w:b w:val="0"/>
                <w:bCs w:val="0"/>
                <w:color w:val="000000" w:themeColor="text1"/>
                <w:szCs w:val="18"/>
              </w:rPr>
              <w:t>oftwoods</w:t>
            </w:r>
          </w:p>
        </w:tc>
        <w:tc>
          <w:tcPr>
            <w:tcW w:w="1326" w:type="dxa"/>
          </w:tcPr>
          <w:p w14:paraId="799FE1EA" w14:textId="72331B10" w:rsidR="003B01B4" w:rsidRPr="00B275E2" w:rsidRDefault="003B01B4"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Deforestation</w:t>
            </w:r>
          </w:p>
        </w:tc>
        <w:tc>
          <w:tcPr>
            <w:tcW w:w="510" w:type="dxa"/>
            <w:noWrap/>
          </w:tcPr>
          <w:p w14:paraId="05AAC3F3" w14:textId="3D58EC9F" w:rsidR="003B01B4" w:rsidRPr="00B275E2" w:rsidRDefault="00EF0070"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ha</w:t>
            </w:r>
          </w:p>
        </w:tc>
        <w:tc>
          <w:tcPr>
            <w:tcW w:w="1276" w:type="dxa"/>
            <w:noWrap/>
          </w:tcPr>
          <w:p w14:paraId="032BF129" w14:textId="6D2DC2CC" w:rsidR="003B01B4" w:rsidRPr="00B275E2" w:rsidRDefault="007951F9"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1,178,113</w:t>
            </w:r>
          </w:p>
        </w:tc>
        <w:tc>
          <w:tcPr>
            <w:tcW w:w="1077" w:type="dxa"/>
          </w:tcPr>
          <w:p w14:paraId="47CF67FE" w14:textId="0F96F204" w:rsidR="003B01B4" w:rsidRPr="00B275E2" w:rsidRDefault="007951F9"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1,178,113</w:t>
            </w:r>
          </w:p>
        </w:tc>
        <w:tc>
          <w:tcPr>
            <w:tcW w:w="1191" w:type="dxa"/>
            <w:noWrap/>
          </w:tcPr>
          <w:p w14:paraId="7AD55AA8" w14:textId="2CCF3821" w:rsidR="003B01B4" w:rsidRPr="00B275E2" w:rsidRDefault="003B01B4"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±28.</w:t>
            </w:r>
            <w:r w:rsidR="007951F9" w:rsidRPr="00B275E2">
              <w:rPr>
                <w:rFonts w:cs="Calibri"/>
                <w:szCs w:val="18"/>
              </w:rPr>
              <w:t>5%</w:t>
            </w:r>
          </w:p>
        </w:tc>
        <w:tc>
          <w:tcPr>
            <w:tcW w:w="1134" w:type="dxa"/>
            <w:noWrap/>
          </w:tcPr>
          <w:p w14:paraId="6603D8A3" w14:textId="38A8D258" w:rsidR="003B01B4" w:rsidRPr="00B275E2" w:rsidRDefault="003B01B4"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n/a</w:t>
            </w:r>
          </w:p>
        </w:tc>
        <w:tc>
          <w:tcPr>
            <w:tcW w:w="1134" w:type="dxa"/>
            <w:tcBorders>
              <w:right w:val="single" w:sz="4" w:space="0" w:color="FFFFFF" w:themeColor="background1"/>
            </w:tcBorders>
          </w:tcPr>
          <w:p w14:paraId="3C9ADDED" w14:textId="3F9A56A8" w:rsidR="003B01B4" w:rsidRPr="00B275E2" w:rsidRDefault="003B01B4"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n/a</w:t>
            </w:r>
          </w:p>
        </w:tc>
      </w:tr>
      <w:tr w:rsidR="004C00A8" w:rsidRPr="00B275E2" w14:paraId="4B5EF3A2" w14:textId="77777777" w:rsidTr="00536F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1" w:type="dxa"/>
            <w:tcBorders>
              <w:left w:val="single" w:sz="4" w:space="0" w:color="FFFFFF" w:themeColor="background1"/>
            </w:tcBorders>
            <w:noWrap/>
          </w:tcPr>
          <w:p w14:paraId="47E1C6E2" w14:textId="1B76A5CE" w:rsidR="003B01B4" w:rsidRPr="00B275E2" w:rsidRDefault="003B01B4" w:rsidP="007F0B1E">
            <w:pPr>
              <w:pStyle w:val="TableText"/>
              <w:spacing w:before="40" w:after="40"/>
              <w:rPr>
                <w:rFonts w:cs="Calibri"/>
                <w:b w:val="0"/>
                <w:bCs w:val="0"/>
                <w:szCs w:val="18"/>
              </w:rPr>
            </w:pPr>
            <w:r w:rsidRPr="00B275E2">
              <w:rPr>
                <w:rFonts w:eastAsia="Times New Roman" w:cs="Calibri"/>
                <w:b w:val="0"/>
                <w:bCs w:val="0"/>
                <w:color w:val="000000" w:themeColor="text1"/>
                <w:szCs w:val="18"/>
              </w:rPr>
              <w:t>All hardwoods</w:t>
            </w:r>
          </w:p>
        </w:tc>
        <w:tc>
          <w:tcPr>
            <w:tcW w:w="1326" w:type="dxa"/>
          </w:tcPr>
          <w:p w14:paraId="3B9798D4" w14:textId="7028B6D8" w:rsidR="003B01B4" w:rsidRPr="00B275E2" w:rsidRDefault="003B01B4"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Harvest</w:t>
            </w:r>
          </w:p>
        </w:tc>
        <w:tc>
          <w:tcPr>
            <w:tcW w:w="510" w:type="dxa"/>
            <w:noWrap/>
          </w:tcPr>
          <w:p w14:paraId="41CED6DB" w14:textId="4CCC91D8" w:rsidR="003B01B4" w:rsidRPr="00B275E2" w:rsidRDefault="003B01B4"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c>
          <w:tcPr>
            <w:tcW w:w="1276" w:type="dxa"/>
            <w:noWrap/>
          </w:tcPr>
          <w:p w14:paraId="3715613B" w14:textId="5F03EC59" w:rsidR="003B01B4" w:rsidRPr="00B275E2" w:rsidRDefault="003B01B4"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c>
          <w:tcPr>
            <w:tcW w:w="1077" w:type="dxa"/>
          </w:tcPr>
          <w:p w14:paraId="4A3FEDD3" w14:textId="348F0D37" w:rsidR="003B01B4" w:rsidRPr="00B275E2" w:rsidRDefault="003B01B4"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c>
          <w:tcPr>
            <w:tcW w:w="1191" w:type="dxa"/>
            <w:noWrap/>
          </w:tcPr>
          <w:p w14:paraId="119385E1" w14:textId="6EFACC9F" w:rsidR="003B01B4" w:rsidRPr="00B275E2" w:rsidRDefault="003B01B4"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c>
          <w:tcPr>
            <w:tcW w:w="1134" w:type="dxa"/>
            <w:noWrap/>
          </w:tcPr>
          <w:p w14:paraId="6383D47D" w14:textId="2688E134" w:rsidR="003B01B4" w:rsidRPr="00B275E2" w:rsidRDefault="003B01B4"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c>
          <w:tcPr>
            <w:tcW w:w="1134" w:type="dxa"/>
            <w:tcBorders>
              <w:right w:val="single" w:sz="4" w:space="0" w:color="FFFFFF" w:themeColor="background1"/>
            </w:tcBorders>
          </w:tcPr>
          <w:p w14:paraId="537BB1C0" w14:textId="6C346207" w:rsidR="003B01B4" w:rsidRPr="00B275E2" w:rsidRDefault="003B01B4"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r>
      <w:tr w:rsidR="004C00A8" w:rsidRPr="00B275E2" w14:paraId="3D639718" w14:textId="77777777" w:rsidTr="00E462C5">
        <w:tc>
          <w:tcPr>
            <w:cnfStyle w:val="001000000000" w:firstRow="0" w:lastRow="0" w:firstColumn="1" w:lastColumn="0" w:oddVBand="0" w:evenVBand="0" w:oddHBand="0" w:evenHBand="0" w:firstRowFirstColumn="0" w:firstRowLastColumn="0" w:lastRowFirstColumn="0" w:lastRowLastColumn="0"/>
            <w:tcW w:w="1651" w:type="dxa"/>
            <w:tcBorders>
              <w:left w:val="single" w:sz="4" w:space="0" w:color="FFFFFF" w:themeColor="background1"/>
            </w:tcBorders>
            <w:noWrap/>
          </w:tcPr>
          <w:p w14:paraId="14B56260" w14:textId="59B76F45" w:rsidR="003B01B4" w:rsidRPr="00B275E2" w:rsidRDefault="003B01B4" w:rsidP="007F0B1E">
            <w:pPr>
              <w:pStyle w:val="TableText"/>
              <w:spacing w:before="40" w:after="40"/>
              <w:rPr>
                <w:rFonts w:cs="Calibri"/>
                <w:b w:val="0"/>
                <w:bCs w:val="0"/>
                <w:szCs w:val="18"/>
              </w:rPr>
            </w:pPr>
            <w:r w:rsidRPr="00B275E2">
              <w:rPr>
                <w:rFonts w:eastAsia="Times New Roman" w:cs="Calibri"/>
                <w:b w:val="0"/>
                <w:bCs w:val="0"/>
                <w:color w:val="000000" w:themeColor="text1"/>
                <w:szCs w:val="18"/>
              </w:rPr>
              <w:lastRenderedPageBreak/>
              <w:t>All hardwoods</w:t>
            </w:r>
          </w:p>
        </w:tc>
        <w:tc>
          <w:tcPr>
            <w:tcW w:w="1326" w:type="dxa"/>
          </w:tcPr>
          <w:p w14:paraId="0D8BAC28" w14:textId="34C488C4" w:rsidR="003B01B4" w:rsidRPr="00B275E2" w:rsidRDefault="003B01B4"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Deforestation</w:t>
            </w:r>
          </w:p>
        </w:tc>
        <w:tc>
          <w:tcPr>
            <w:tcW w:w="510" w:type="dxa"/>
            <w:noWrap/>
          </w:tcPr>
          <w:p w14:paraId="4258459C" w14:textId="3A06B9B1" w:rsidR="003B01B4" w:rsidRPr="00B275E2" w:rsidRDefault="00EF0070"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ha</w:t>
            </w:r>
          </w:p>
        </w:tc>
        <w:tc>
          <w:tcPr>
            <w:tcW w:w="1276" w:type="dxa"/>
            <w:noWrap/>
          </w:tcPr>
          <w:p w14:paraId="4F734BA9" w14:textId="24A91811" w:rsidR="003B01B4" w:rsidRPr="00B275E2" w:rsidRDefault="007951F9"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239,354</w:t>
            </w:r>
          </w:p>
        </w:tc>
        <w:tc>
          <w:tcPr>
            <w:tcW w:w="1077" w:type="dxa"/>
          </w:tcPr>
          <w:p w14:paraId="152A7202" w14:textId="060D01FF" w:rsidR="003B01B4" w:rsidRPr="00B275E2" w:rsidRDefault="007951F9"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239,354</w:t>
            </w:r>
          </w:p>
        </w:tc>
        <w:tc>
          <w:tcPr>
            <w:tcW w:w="1191" w:type="dxa"/>
            <w:noWrap/>
          </w:tcPr>
          <w:p w14:paraId="18646183" w14:textId="3C12417E" w:rsidR="003B01B4" w:rsidRPr="00B275E2" w:rsidRDefault="007951F9"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±67.4%</w:t>
            </w:r>
          </w:p>
        </w:tc>
        <w:tc>
          <w:tcPr>
            <w:tcW w:w="1134" w:type="dxa"/>
            <w:noWrap/>
          </w:tcPr>
          <w:p w14:paraId="5DFDAD90" w14:textId="4786114C" w:rsidR="003B01B4" w:rsidRPr="00B275E2" w:rsidRDefault="003B01B4"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n/a</w:t>
            </w:r>
          </w:p>
        </w:tc>
        <w:tc>
          <w:tcPr>
            <w:tcW w:w="1134" w:type="dxa"/>
            <w:tcBorders>
              <w:right w:val="single" w:sz="4" w:space="0" w:color="FFFFFF" w:themeColor="background1"/>
            </w:tcBorders>
          </w:tcPr>
          <w:p w14:paraId="67F85862" w14:textId="7D526832" w:rsidR="003B01B4" w:rsidRPr="00B275E2" w:rsidRDefault="003B01B4"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n/a</w:t>
            </w:r>
          </w:p>
        </w:tc>
      </w:tr>
      <w:tr w:rsidR="00FC4D58" w:rsidRPr="00B275E2" w14:paraId="0C02827A" w14:textId="77777777" w:rsidTr="00E46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gridSpan w:val="8"/>
            <w:tcBorders>
              <w:left w:val="single" w:sz="4" w:space="0" w:color="FFFFFF" w:themeColor="background1"/>
              <w:right w:val="single" w:sz="4" w:space="0" w:color="FFFFFF" w:themeColor="background1"/>
            </w:tcBorders>
            <w:shd w:val="clear" w:color="auto" w:fill="D2DDE1" w:themeFill="background2"/>
            <w:noWrap/>
          </w:tcPr>
          <w:p w14:paraId="2BDE58D4" w14:textId="77777777" w:rsidR="003B01B4" w:rsidRPr="00B275E2" w:rsidRDefault="003B01B4" w:rsidP="009E67AD">
            <w:pPr>
              <w:pStyle w:val="TableText"/>
              <w:keepNext/>
              <w:spacing w:before="40" w:after="40"/>
              <w:rPr>
                <w:rFonts w:cs="Calibri"/>
                <w:szCs w:val="18"/>
              </w:rPr>
            </w:pPr>
            <w:r w:rsidRPr="00B275E2">
              <w:rPr>
                <w:rFonts w:cs="Calibri"/>
                <w:szCs w:val="18"/>
              </w:rPr>
              <w:t>Natural Forests</w:t>
            </w:r>
          </w:p>
        </w:tc>
      </w:tr>
      <w:tr w:rsidR="004C00A8" w:rsidRPr="00B275E2" w14:paraId="29B19E68" w14:textId="77777777" w:rsidTr="00E462C5">
        <w:tc>
          <w:tcPr>
            <w:cnfStyle w:val="001000000000" w:firstRow="0" w:lastRow="0" w:firstColumn="1" w:lastColumn="0" w:oddVBand="0" w:evenVBand="0" w:oddHBand="0" w:evenHBand="0" w:firstRowFirstColumn="0" w:firstRowLastColumn="0" w:lastRowFirstColumn="0" w:lastRowLastColumn="0"/>
            <w:tcW w:w="1651" w:type="dxa"/>
            <w:tcBorders>
              <w:left w:val="single" w:sz="4" w:space="0" w:color="FFFFFF" w:themeColor="background1"/>
            </w:tcBorders>
            <w:noWrap/>
          </w:tcPr>
          <w:p w14:paraId="57544468" w14:textId="37038F9C" w:rsidR="003B01B4" w:rsidRPr="00B275E2" w:rsidRDefault="003B01B4" w:rsidP="007F0B1E">
            <w:pPr>
              <w:pStyle w:val="TableText"/>
              <w:spacing w:before="40" w:after="40"/>
              <w:rPr>
                <w:rFonts w:cs="Calibri"/>
                <w:b w:val="0"/>
                <w:bCs w:val="0"/>
                <w:szCs w:val="18"/>
              </w:rPr>
            </w:pPr>
            <w:r w:rsidRPr="00B275E2">
              <w:rPr>
                <w:rFonts w:cs="Calibri"/>
                <w:b w:val="0"/>
                <w:bCs w:val="0"/>
                <w:szCs w:val="18"/>
              </w:rPr>
              <w:t xml:space="preserve">Post-1989 Regenerating </w:t>
            </w:r>
            <w:r w:rsidR="00904E09" w:rsidRPr="00B275E2">
              <w:rPr>
                <w:rFonts w:cs="Calibri"/>
                <w:b w:val="0"/>
                <w:bCs w:val="0"/>
                <w:szCs w:val="18"/>
              </w:rPr>
              <w:t>n</w:t>
            </w:r>
            <w:r w:rsidRPr="00B275E2">
              <w:rPr>
                <w:rFonts w:cs="Calibri"/>
                <w:b w:val="0"/>
                <w:bCs w:val="0"/>
                <w:szCs w:val="18"/>
              </w:rPr>
              <w:t>atural forest</w:t>
            </w:r>
            <w:r w:rsidRPr="00B275E2">
              <w:rPr>
                <w:rStyle w:val="FootnoteReference"/>
                <w:rFonts w:cs="Calibri"/>
                <w:b w:val="0"/>
                <w:bCs w:val="0"/>
                <w:sz w:val="18"/>
                <w:szCs w:val="18"/>
              </w:rPr>
              <w:footnoteReference w:id="79"/>
            </w:r>
          </w:p>
        </w:tc>
        <w:tc>
          <w:tcPr>
            <w:tcW w:w="1326" w:type="dxa"/>
          </w:tcPr>
          <w:p w14:paraId="56D12B90" w14:textId="77777777" w:rsidR="003B01B4" w:rsidRPr="00B275E2" w:rsidRDefault="003B01B4"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 xml:space="preserve">Deforestation </w:t>
            </w:r>
          </w:p>
        </w:tc>
        <w:tc>
          <w:tcPr>
            <w:tcW w:w="510" w:type="dxa"/>
            <w:noWrap/>
          </w:tcPr>
          <w:p w14:paraId="31810EBA" w14:textId="794D0A31" w:rsidR="003B01B4" w:rsidRPr="00B275E2" w:rsidRDefault="00EF0070"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h</w:t>
            </w:r>
            <w:r w:rsidR="003B01B4" w:rsidRPr="00B275E2">
              <w:rPr>
                <w:rFonts w:cs="Calibri"/>
                <w:szCs w:val="18"/>
              </w:rPr>
              <w:t>a</w:t>
            </w:r>
          </w:p>
        </w:tc>
        <w:tc>
          <w:tcPr>
            <w:tcW w:w="1276" w:type="dxa"/>
            <w:noWrap/>
          </w:tcPr>
          <w:p w14:paraId="3F1EC020" w14:textId="77777777" w:rsidR="003B01B4" w:rsidRPr="00B275E2" w:rsidRDefault="003B01B4"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141,350</w:t>
            </w:r>
          </w:p>
        </w:tc>
        <w:tc>
          <w:tcPr>
            <w:tcW w:w="1077" w:type="dxa"/>
          </w:tcPr>
          <w:p w14:paraId="19BD5B34" w14:textId="4D46A0C4" w:rsidR="003B01B4" w:rsidRPr="00B275E2" w:rsidRDefault="003B01B4"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vertAlign w:val="superscript"/>
              </w:rPr>
            </w:pPr>
            <w:r w:rsidRPr="00B275E2">
              <w:rPr>
                <w:rFonts w:cs="Calibri"/>
                <w:szCs w:val="18"/>
              </w:rPr>
              <w:t>141,350</w:t>
            </w:r>
          </w:p>
        </w:tc>
        <w:tc>
          <w:tcPr>
            <w:tcW w:w="1191" w:type="dxa"/>
            <w:noWrap/>
          </w:tcPr>
          <w:p w14:paraId="106089A0" w14:textId="358547C9" w:rsidR="003B01B4" w:rsidRPr="00B275E2" w:rsidRDefault="003B01B4"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27.0%</w:t>
            </w:r>
          </w:p>
        </w:tc>
        <w:tc>
          <w:tcPr>
            <w:tcW w:w="1134" w:type="dxa"/>
            <w:noWrap/>
          </w:tcPr>
          <w:p w14:paraId="628C6749" w14:textId="77777777" w:rsidR="003B01B4" w:rsidRPr="00B275E2" w:rsidRDefault="003B01B4"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n/a</w:t>
            </w:r>
          </w:p>
        </w:tc>
        <w:tc>
          <w:tcPr>
            <w:tcW w:w="1134" w:type="dxa"/>
            <w:tcBorders>
              <w:right w:val="single" w:sz="4" w:space="0" w:color="FFFFFF" w:themeColor="background1"/>
            </w:tcBorders>
          </w:tcPr>
          <w:p w14:paraId="3F634325" w14:textId="77777777" w:rsidR="003B01B4" w:rsidRPr="00B275E2" w:rsidRDefault="003B01B4"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n/a</w:t>
            </w:r>
          </w:p>
        </w:tc>
      </w:tr>
      <w:tr w:rsidR="004C00A8" w:rsidRPr="00B275E2" w14:paraId="2A1BC882" w14:textId="77777777" w:rsidTr="00E46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1" w:type="dxa"/>
            <w:tcBorders>
              <w:left w:val="single" w:sz="4" w:space="0" w:color="FFFFFF" w:themeColor="background1"/>
            </w:tcBorders>
            <w:noWrap/>
          </w:tcPr>
          <w:p w14:paraId="375E79FE" w14:textId="3E1DECA0" w:rsidR="003B01B4" w:rsidRPr="00B275E2" w:rsidRDefault="003B01B4" w:rsidP="007F0B1E">
            <w:pPr>
              <w:pStyle w:val="TableText"/>
              <w:spacing w:before="40" w:after="40"/>
              <w:rPr>
                <w:rFonts w:cs="Calibri"/>
                <w:b w:val="0"/>
                <w:bCs w:val="0"/>
                <w:szCs w:val="18"/>
              </w:rPr>
            </w:pPr>
            <w:r w:rsidRPr="00B275E2">
              <w:rPr>
                <w:rFonts w:cs="Calibri"/>
                <w:b w:val="0"/>
                <w:bCs w:val="0"/>
                <w:szCs w:val="18"/>
              </w:rPr>
              <w:t>Tall pre-1990 Natural forest</w:t>
            </w:r>
            <w:r w:rsidRPr="00B275E2">
              <w:rPr>
                <w:rStyle w:val="FootnoteReference"/>
                <w:rFonts w:cs="Calibri"/>
                <w:b w:val="0"/>
                <w:bCs w:val="0"/>
                <w:sz w:val="18"/>
                <w:szCs w:val="18"/>
              </w:rPr>
              <w:footnoteReference w:id="80"/>
            </w:r>
            <w:r w:rsidRPr="00B275E2">
              <w:rPr>
                <w:rFonts w:cs="Calibri"/>
                <w:b w:val="0"/>
                <w:bCs w:val="0"/>
                <w:szCs w:val="18"/>
              </w:rPr>
              <w:t xml:space="preserve"> </w:t>
            </w:r>
          </w:p>
        </w:tc>
        <w:tc>
          <w:tcPr>
            <w:tcW w:w="1326" w:type="dxa"/>
          </w:tcPr>
          <w:p w14:paraId="3E7ACBB5" w14:textId="77777777" w:rsidR="003B01B4" w:rsidRPr="00B275E2" w:rsidRDefault="003B01B4"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 xml:space="preserve">Deforestation </w:t>
            </w:r>
          </w:p>
        </w:tc>
        <w:tc>
          <w:tcPr>
            <w:tcW w:w="510" w:type="dxa"/>
            <w:noWrap/>
          </w:tcPr>
          <w:p w14:paraId="07E5AEB5" w14:textId="77777777" w:rsidR="003B01B4" w:rsidRPr="00B275E2" w:rsidRDefault="003B01B4" w:rsidP="007F0B1E">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 xml:space="preserve">ha </w:t>
            </w:r>
          </w:p>
        </w:tc>
        <w:tc>
          <w:tcPr>
            <w:tcW w:w="1276" w:type="dxa"/>
            <w:noWrap/>
          </w:tcPr>
          <w:p w14:paraId="116C01F7" w14:textId="77777777" w:rsidR="003B01B4" w:rsidRPr="00B275E2" w:rsidRDefault="003B01B4"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 xml:space="preserve">898,704 </w:t>
            </w:r>
          </w:p>
        </w:tc>
        <w:tc>
          <w:tcPr>
            <w:tcW w:w="1077" w:type="dxa"/>
          </w:tcPr>
          <w:p w14:paraId="77941AA6" w14:textId="66B99EF8" w:rsidR="003B01B4" w:rsidRPr="00B275E2" w:rsidRDefault="003B01B4"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vertAlign w:val="superscript"/>
              </w:rPr>
            </w:pPr>
            <w:r w:rsidRPr="00B275E2">
              <w:rPr>
                <w:rFonts w:cs="Calibri"/>
                <w:szCs w:val="18"/>
              </w:rPr>
              <w:t>898,704</w:t>
            </w:r>
          </w:p>
        </w:tc>
        <w:tc>
          <w:tcPr>
            <w:tcW w:w="1191" w:type="dxa"/>
            <w:noWrap/>
          </w:tcPr>
          <w:p w14:paraId="07CF3BCF" w14:textId="5135B34F" w:rsidR="003B01B4" w:rsidRPr="00B275E2" w:rsidRDefault="003B01B4"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 xml:space="preserve">20.9% </w:t>
            </w:r>
          </w:p>
        </w:tc>
        <w:tc>
          <w:tcPr>
            <w:tcW w:w="1134" w:type="dxa"/>
            <w:noWrap/>
          </w:tcPr>
          <w:p w14:paraId="34361E16" w14:textId="77777777" w:rsidR="003B01B4" w:rsidRPr="00B275E2" w:rsidRDefault="003B01B4"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 xml:space="preserve">n/a </w:t>
            </w:r>
          </w:p>
        </w:tc>
        <w:tc>
          <w:tcPr>
            <w:tcW w:w="1134" w:type="dxa"/>
            <w:tcBorders>
              <w:right w:val="single" w:sz="4" w:space="0" w:color="FFFFFF" w:themeColor="background1"/>
            </w:tcBorders>
          </w:tcPr>
          <w:p w14:paraId="1B2CFA13" w14:textId="77777777" w:rsidR="003B01B4" w:rsidRPr="00B275E2" w:rsidRDefault="003B01B4" w:rsidP="007F0B1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B275E2">
              <w:rPr>
                <w:rFonts w:cs="Calibri"/>
                <w:szCs w:val="18"/>
              </w:rPr>
              <w:t xml:space="preserve">n/a </w:t>
            </w:r>
          </w:p>
        </w:tc>
      </w:tr>
      <w:tr w:rsidR="004C00A8" w:rsidRPr="00B275E2" w14:paraId="66A179FC" w14:textId="77777777" w:rsidTr="00E462C5">
        <w:tc>
          <w:tcPr>
            <w:cnfStyle w:val="001000000000" w:firstRow="0" w:lastRow="0" w:firstColumn="1" w:lastColumn="0" w:oddVBand="0" w:evenVBand="0" w:oddHBand="0" w:evenHBand="0" w:firstRowFirstColumn="0" w:firstRowLastColumn="0" w:lastRowFirstColumn="0" w:lastRowLastColumn="0"/>
            <w:tcW w:w="1651" w:type="dxa"/>
            <w:tcBorders>
              <w:left w:val="single" w:sz="4" w:space="0" w:color="FFFFFF" w:themeColor="background1"/>
            </w:tcBorders>
            <w:noWrap/>
          </w:tcPr>
          <w:p w14:paraId="53AA1006" w14:textId="7B6E0D80" w:rsidR="003B01B4" w:rsidRPr="00B275E2" w:rsidRDefault="003B01B4" w:rsidP="007F0B1E">
            <w:pPr>
              <w:pStyle w:val="TableText"/>
              <w:spacing w:before="40" w:after="40"/>
              <w:rPr>
                <w:rFonts w:cs="Calibri"/>
                <w:b w:val="0"/>
                <w:bCs w:val="0"/>
                <w:szCs w:val="18"/>
              </w:rPr>
            </w:pPr>
            <w:r w:rsidRPr="00B275E2">
              <w:rPr>
                <w:rFonts w:cs="Calibri"/>
                <w:b w:val="0"/>
                <w:bCs w:val="0"/>
                <w:szCs w:val="18"/>
              </w:rPr>
              <w:t>Regenerating pre-1990 Natural forest</w:t>
            </w:r>
          </w:p>
        </w:tc>
        <w:tc>
          <w:tcPr>
            <w:tcW w:w="1326" w:type="dxa"/>
          </w:tcPr>
          <w:p w14:paraId="3E359EB5" w14:textId="77777777" w:rsidR="003B01B4" w:rsidRPr="00B275E2" w:rsidRDefault="003B01B4"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 xml:space="preserve">Deforestation </w:t>
            </w:r>
          </w:p>
        </w:tc>
        <w:tc>
          <w:tcPr>
            <w:tcW w:w="510" w:type="dxa"/>
            <w:noWrap/>
          </w:tcPr>
          <w:p w14:paraId="2A164824" w14:textId="77777777" w:rsidR="003B01B4" w:rsidRPr="00B275E2" w:rsidRDefault="003B01B4" w:rsidP="007F0B1E">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ha</w:t>
            </w:r>
          </w:p>
        </w:tc>
        <w:tc>
          <w:tcPr>
            <w:tcW w:w="1276" w:type="dxa"/>
            <w:noWrap/>
          </w:tcPr>
          <w:p w14:paraId="33DA645F" w14:textId="77777777" w:rsidR="003B01B4" w:rsidRPr="00B275E2" w:rsidRDefault="003B01B4"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275,595</w:t>
            </w:r>
          </w:p>
        </w:tc>
        <w:tc>
          <w:tcPr>
            <w:tcW w:w="1077" w:type="dxa"/>
          </w:tcPr>
          <w:p w14:paraId="5C495B70" w14:textId="1A668C26" w:rsidR="003B01B4" w:rsidRPr="00B275E2" w:rsidRDefault="003B01B4"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vertAlign w:val="superscript"/>
              </w:rPr>
            </w:pPr>
            <w:r w:rsidRPr="00B275E2">
              <w:rPr>
                <w:rFonts w:cs="Calibri"/>
                <w:szCs w:val="18"/>
              </w:rPr>
              <w:t>275,595</w:t>
            </w:r>
          </w:p>
        </w:tc>
        <w:tc>
          <w:tcPr>
            <w:tcW w:w="1191" w:type="dxa"/>
            <w:noWrap/>
          </w:tcPr>
          <w:p w14:paraId="0545CA1B" w14:textId="71E2171C" w:rsidR="003B01B4" w:rsidRPr="00B275E2" w:rsidRDefault="003B01B4"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vertAlign w:val="superscript"/>
              </w:rPr>
            </w:pPr>
            <w:r w:rsidRPr="00B275E2">
              <w:rPr>
                <w:rFonts w:cs="Calibri"/>
                <w:szCs w:val="18"/>
              </w:rPr>
              <w:t>27.3%</w:t>
            </w:r>
          </w:p>
        </w:tc>
        <w:tc>
          <w:tcPr>
            <w:tcW w:w="1134" w:type="dxa"/>
            <w:noWrap/>
          </w:tcPr>
          <w:p w14:paraId="61672F4B" w14:textId="77777777" w:rsidR="003B01B4" w:rsidRPr="00B275E2" w:rsidRDefault="003B01B4"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n/a</w:t>
            </w:r>
          </w:p>
        </w:tc>
        <w:tc>
          <w:tcPr>
            <w:tcW w:w="1134" w:type="dxa"/>
            <w:tcBorders>
              <w:right w:val="single" w:sz="4" w:space="0" w:color="FFFFFF" w:themeColor="background1"/>
            </w:tcBorders>
          </w:tcPr>
          <w:p w14:paraId="4E8E4702" w14:textId="77777777" w:rsidR="003B01B4" w:rsidRPr="00B275E2" w:rsidRDefault="003B01B4" w:rsidP="007F0B1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n/a</w:t>
            </w:r>
          </w:p>
        </w:tc>
      </w:tr>
    </w:tbl>
    <w:p w14:paraId="147F9B24" w14:textId="7720C060" w:rsidR="000A2FDA" w:rsidRPr="00B275E2" w:rsidRDefault="000A2FDA" w:rsidP="007F0B1E">
      <w:pPr>
        <w:pStyle w:val="Note"/>
      </w:pPr>
      <w:r w:rsidRPr="00B275E2">
        <w:t xml:space="preserve">Source: </w:t>
      </w:r>
      <w:r w:rsidR="006264E4" w:rsidRPr="00B275E2">
        <w:t>New Zealand’</w:t>
      </w:r>
      <w:r w:rsidR="002C52FC" w:rsidRPr="00B275E2">
        <w:t xml:space="preserve">s </w:t>
      </w:r>
      <w:r w:rsidR="007567BB" w:rsidRPr="00B275E2">
        <w:t xml:space="preserve">LUCAS national forest inventory data </w:t>
      </w:r>
      <w:r w:rsidR="00BF392E" w:rsidRPr="00B275E2">
        <w:t>April 2022</w:t>
      </w:r>
    </w:p>
    <w:p w14:paraId="01704153" w14:textId="2AD85A24" w:rsidR="002C7317" w:rsidRPr="00B275E2" w:rsidRDefault="00301928" w:rsidP="00C24B73">
      <w:pPr>
        <w:pStyle w:val="Heading3"/>
        <w:numPr>
          <w:ilvl w:val="0"/>
          <w:numId w:val="35"/>
        </w:numPr>
      </w:pPr>
      <w:bookmarkStart w:id="616" w:name="_Toc532904962"/>
      <w:r w:rsidRPr="00B275E2">
        <w:t xml:space="preserve">GHG </w:t>
      </w:r>
      <w:r w:rsidR="002C7317" w:rsidRPr="00B275E2">
        <w:t>inventory development</w:t>
      </w:r>
      <w:bookmarkEnd w:id="616"/>
    </w:p>
    <w:p w14:paraId="42C20F28" w14:textId="67472185" w:rsidR="00E22327" w:rsidRPr="00B275E2" w:rsidRDefault="009953FD" w:rsidP="009E67AD">
      <w:pPr>
        <w:pStyle w:val="BodyText"/>
      </w:pPr>
      <w:bookmarkStart w:id="617" w:name="_Hlk535486925"/>
      <w:r w:rsidRPr="00B275E2">
        <w:t xml:space="preserve">To </w:t>
      </w:r>
      <w:r w:rsidR="00E22327" w:rsidRPr="00B275E2">
        <w:t xml:space="preserve">calculate LULUCF emissions, organisations need </w:t>
      </w:r>
      <w:bookmarkEnd w:id="617"/>
      <w:r w:rsidR="00E22327" w:rsidRPr="00B275E2">
        <w:t>activity data on each forest type, the area</w:t>
      </w:r>
      <w:r w:rsidR="00B5484D" w:rsidRPr="00B275E2">
        <w:t> </w:t>
      </w:r>
      <w:r w:rsidR="00E22327" w:rsidRPr="00B275E2">
        <w:t>harvested and any changes to forested land within the organisational boundary for the</w:t>
      </w:r>
      <w:r w:rsidR="00B5484D" w:rsidRPr="00B275E2">
        <w:t> </w:t>
      </w:r>
      <w:r w:rsidR="00E22327" w:rsidRPr="00B275E2">
        <w:t xml:space="preserve">measurement period. Different forest types have different emission factors, </w:t>
      </w:r>
      <w:r w:rsidR="00B46EAD" w:rsidRPr="00B275E2">
        <w:t xml:space="preserve">while deforestation and </w:t>
      </w:r>
      <w:r w:rsidR="00E22327" w:rsidRPr="00B275E2">
        <w:t>harvest rates change over time.</w:t>
      </w:r>
    </w:p>
    <w:p w14:paraId="29CC3B30" w14:textId="5F78CE8C" w:rsidR="00E22327" w:rsidRPr="00B275E2" w:rsidRDefault="00E22327" w:rsidP="007F0B1E">
      <w:pPr>
        <w:pStyle w:val="BodyText"/>
      </w:pPr>
      <w:r w:rsidRPr="00B275E2">
        <w:t xml:space="preserve">First determine the type of forest and the area it covers. </w:t>
      </w:r>
      <w:r w:rsidR="000626AE" w:rsidRPr="00B275E2">
        <w:t>The New Zealand parameters to define a forest are a minimum area of 1 hectare, the potential to reach a minimum height of 5</w:t>
      </w:r>
      <w:r w:rsidR="00344FB2" w:rsidRPr="00B275E2">
        <w:t> </w:t>
      </w:r>
      <w:r w:rsidR="000626AE" w:rsidRPr="00B275E2">
        <w:t>metres and a minimum crown cover of 30 per cent.</w:t>
      </w:r>
    </w:p>
    <w:p w14:paraId="1B07691F" w14:textId="77777777" w:rsidR="00E22327" w:rsidRPr="00B275E2" w:rsidRDefault="00E22327" w:rsidP="007F0B1E">
      <w:pPr>
        <w:pStyle w:val="BodyText"/>
      </w:pPr>
      <w:r w:rsidRPr="00B275E2">
        <w:t>Forest types:</w:t>
      </w:r>
    </w:p>
    <w:p w14:paraId="6553F0E2" w14:textId="19504DD8" w:rsidR="00AC2FB1" w:rsidRPr="00B275E2" w:rsidRDefault="00AC2FB1" w:rsidP="00D411C0">
      <w:pPr>
        <w:pStyle w:val="Bullet"/>
      </w:pPr>
      <w:r w:rsidRPr="00B275E2">
        <w:rPr>
          <w:b/>
          <w:bCs/>
        </w:rPr>
        <w:t>Pre-1990 Tall natural forest</w:t>
      </w:r>
      <w:r w:rsidRPr="00B275E2">
        <w:t>: areas, that on 1 January 1990, were and presently comprise of mature indigenous forest</w:t>
      </w:r>
      <w:r w:rsidR="006D399F">
        <w:t>.</w:t>
      </w:r>
      <w:r w:rsidRPr="00B275E2">
        <w:t> </w:t>
      </w:r>
    </w:p>
    <w:p w14:paraId="604CF534" w14:textId="67316FB3" w:rsidR="00AC2FB1" w:rsidRPr="00B275E2" w:rsidRDefault="6639AF3D" w:rsidP="00D411C0">
      <w:pPr>
        <w:pStyle w:val="Bullet"/>
      </w:pPr>
      <w:r w:rsidRPr="3DC7A884">
        <w:rPr>
          <w:b/>
          <w:bCs/>
        </w:rPr>
        <w:t>Pre-1990 Regenerating natural forest</w:t>
      </w:r>
      <w:r>
        <w:t xml:space="preserve">: areas, that on 1 January 1990, were and presently comprise of indigenous and naturally occurring vegetation, including broadleaved hardwood shrubland, mānuka–kānuka and other woody shrubland, with potential to reach forest </w:t>
      </w:r>
      <w:r w:rsidR="37B14AC9">
        <w:t>definition</w:t>
      </w:r>
      <w:r>
        <w:t xml:space="preserve"> under its current management. This category represents mid-successional regenerating forest. </w:t>
      </w:r>
    </w:p>
    <w:p w14:paraId="0367A356" w14:textId="38C7198E" w:rsidR="00AC2FB1" w:rsidRPr="00B275E2" w:rsidRDefault="00AC2FB1" w:rsidP="00D411C0">
      <w:pPr>
        <w:pStyle w:val="Bullet"/>
      </w:pPr>
      <w:r w:rsidRPr="00B275E2">
        <w:rPr>
          <w:b/>
          <w:bCs/>
        </w:rPr>
        <w:t xml:space="preserve">Post-1989 Regenerating </w:t>
      </w:r>
      <w:r w:rsidR="000F320C" w:rsidRPr="00B275E2">
        <w:rPr>
          <w:b/>
          <w:bCs/>
        </w:rPr>
        <w:t>n</w:t>
      </w:r>
      <w:r w:rsidRPr="00B275E2">
        <w:rPr>
          <w:b/>
          <w:bCs/>
        </w:rPr>
        <w:t>atural forest</w:t>
      </w:r>
      <w:r w:rsidRPr="00B275E2">
        <w:t>: areas of forest established from 1 January 1990 onwards that comprise of indigenous tree species arising from natural regeneration</w:t>
      </w:r>
      <w:r w:rsidR="00BD7AB4">
        <w:t xml:space="preserve">. </w:t>
      </w:r>
      <w:r w:rsidRPr="00B275E2">
        <w:t>This category represents early successional regenerating forest. </w:t>
      </w:r>
    </w:p>
    <w:p w14:paraId="39F1CCBF" w14:textId="0EB0087D" w:rsidR="00AC2FB1" w:rsidRPr="00B275E2" w:rsidRDefault="00AC2FB1" w:rsidP="006320A2">
      <w:pPr>
        <w:pStyle w:val="BodyText"/>
        <w:keepNext/>
      </w:pPr>
      <w:r w:rsidRPr="00B275E2">
        <w:t>The following information can be used to determine natural forest types:</w:t>
      </w:r>
    </w:p>
    <w:p w14:paraId="0C487F33" w14:textId="558FD2BE" w:rsidR="00AC2FB1" w:rsidRPr="00B275E2" w:rsidRDefault="483BDEA9" w:rsidP="00D411C0">
      <w:pPr>
        <w:pStyle w:val="Bullet"/>
      </w:pPr>
      <w:r w:rsidRPr="00B275E2">
        <w:t xml:space="preserve">The </w:t>
      </w:r>
      <w:hyperlink r:id="rId115" w:tgtFrame="_blank" w:history="1">
        <w:r w:rsidR="5F882D0A" w:rsidRPr="00B275E2">
          <w:t>LUCAS Land Use Map</w:t>
        </w:r>
      </w:hyperlink>
      <w:r w:rsidR="00E81D44" w:rsidRPr="00B275E2">
        <w:rPr>
          <w:rStyle w:val="FootnoteReference"/>
          <w:rFonts w:cs="Calibri"/>
          <w:color w:val="auto"/>
        </w:rPr>
        <w:footnoteReference w:id="81"/>
      </w:r>
      <w:r w:rsidRPr="00B275E2">
        <w:t xml:space="preserve"> can provide area by vegetation type (pre-1990 and post-1989 natural forest) at 1990, 2008, 2012 and 2016. It requires geospatial expertise to analyse </w:t>
      </w:r>
      <w:r w:rsidRPr="00B275E2">
        <w:lastRenderedPageBreak/>
        <w:t>and extract the data by region. This is free to use and supports users in monitoring changes in their own land management practices.</w:t>
      </w:r>
    </w:p>
    <w:p w14:paraId="544489C3" w14:textId="7A02DC62" w:rsidR="00AC2FB1" w:rsidRPr="00B275E2" w:rsidRDefault="00AC2FB1" w:rsidP="00D411C0">
      <w:pPr>
        <w:pStyle w:val="Bullet"/>
        <w:rPr>
          <w:rFonts w:cs="Calibri"/>
        </w:rPr>
      </w:pPr>
      <w:r w:rsidRPr="00B275E2">
        <w:rPr>
          <w:rFonts w:cs="Calibri"/>
        </w:rPr>
        <w:t>The New Zealand Land Cover Database (</w:t>
      </w:r>
      <w:hyperlink r:id="rId116" w:tgtFrame="_blank" w:history="1">
        <w:r w:rsidRPr="00B275E2">
          <w:rPr>
            <w:rFonts w:cs="Calibri"/>
          </w:rPr>
          <w:t>LCDB</w:t>
        </w:r>
      </w:hyperlink>
      <w:r w:rsidRPr="00B275E2">
        <w:rPr>
          <w:rFonts w:cs="Calibri"/>
        </w:rPr>
        <w:t>)</w:t>
      </w:r>
      <w:r w:rsidR="00A03494" w:rsidRPr="00B275E2">
        <w:rPr>
          <w:rStyle w:val="FootnoteReference"/>
          <w:rFonts w:cs="Calibri"/>
          <w:color w:val="auto"/>
          <w:szCs w:val="17"/>
        </w:rPr>
        <w:footnoteReference w:id="82"/>
      </w:r>
      <w:r w:rsidRPr="00B275E2">
        <w:rPr>
          <w:rFonts w:cs="Calibri"/>
        </w:rPr>
        <w:t xml:space="preserve"> provides multi-temporal land cover. This can be used to differentiate between tall and regenerating pre-1990 natural forest. Two LCDB classes are classified as tall forest; indigenous forest and </w:t>
      </w:r>
      <w:r w:rsidR="009405E9" w:rsidRPr="00B275E2">
        <w:rPr>
          <w:rFonts w:cs="Calibri"/>
        </w:rPr>
        <w:t>b</w:t>
      </w:r>
      <w:r w:rsidRPr="00B275E2">
        <w:rPr>
          <w:rFonts w:cs="Calibri"/>
        </w:rPr>
        <w:t xml:space="preserve">roadleaved </w:t>
      </w:r>
      <w:r w:rsidR="009405E9" w:rsidRPr="00B275E2">
        <w:rPr>
          <w:rFonts w:cs="Calibri"/>
        </w:rPr>
        <w:t>i</w:t>
      </w:r>
      <w:r w:rsidRPr="00B275E2">
        <w:rPr>
          <w:rFonts w:cs="Calibri"/>
        </w:rPr>
        <w:t xml:space="preserve">ndigenous </w:t>
      </w:r>
      <w:r w:rsidR="009405E9" w:rsidRPr="00B275E2">
        <w:rPr>
          <w:rFonts w:cs="Calibri"/>
        </w:rPr>
        <w:t>h</w:t>
      </w:r>
      <w:r w:rsidRPr="00B275E2">
        <w:rPr>
          <w:rFonts w:cs="Calibri"/>
        </w:rPr>
        <w:t>ardwoods. All other categories are classified as regenerating forest. It requires geospatial expertise to analyse and extract the data for sub-national analysis. </w:t>
      </w:r>
    </w:p>
    <w:p w14:paraId="6465ED8E" w14:textId="706B2904" w:rsidR="00AC2FB1" w:rsidRPr="00B275E2" w:rsidRDefault="00AC2FB1" w:rsidP="00D411C0">
      <w:pPr>
        <w:pStyle w:val="BodyText"/>
      </w:pPr>
      <w:r w:rsidRPr="00B275E2">
        <w:t>Alternatively, if the age of the forest is known</w:t>
      </w:r>
      <w:r w:rsidR="006F42DF" w:rsidRPr="00B275E2">
        <w:t xml:space="preserve"> or can be estimated,</w:t>
      </w:r>
      <w:r w:rsidRPr="00B275E2">
        <w:t xml:space="preserve"> this can be used to determine forest type: </w:t>
      </w:r>
    </w:p>
    <w:p w14:paraId="35575A1F" w14:textId="0F7A1A63" w:rsidR="00AC2FB1" w:rsidRPr="00B275E2" w:rsidRDefault="00AC2FB1" w:rsidP="00D411C0">
      <w:pPr>
        <w:pStyle w:val="Bullet"/>
      </w:pPr>
      <w:r w:rsidRPr="00B275E2">
        <w:t>Age 0 – 30 years: post-1989 regenerating natural forest</w:t>
      </w:r>
    </w:p>
    <w:p w14:paraId="73292290" w14:textId="5A530FF8" w:rsidR="00AC2FB1" w:rsidRPr="00B275E2" w:rsidRDefault="00AC2FB1" w:rsidP="00D411C0">
      <w:pPr>
        <w:pStyle w:val="Bullet"/>
      </w:pPr>
      <w:r w:rsidRPr="00B275E2">
        <w:t>Age 30 – 100 years: pre-1990 regenerating natural forest</w:t>
      </w:r>
    </w:p>
    <w:p w14:paraId="0C1FDD36" w14:textId="3F988C4A" w:rsidR="00AC2FB1" w:rsidRPr="00B275E2" w:rsidRDefault="00AC2FB1" w:rsidP="00D411C0">
      <w:pPr>
        <w:pStyle w:val="Bullet"/>
      </w:pPr>
      <w:r w:rsidRPr="00B275E2">
        <w:t>Age 100 years and over: pre-1990 tall natural forest</w:t>
      </w:r>
    </w:p>
    <w:p w14:paraId="74F0B9C5" w14:textId="7BBC3CEA" w:rsidR="00AC2FB1" w:rsidRPr="00B275E2" w:rsidRDefault="00AC2FB1" w:rsidP="00D411C0">
      <w:pPr>
        <w:pStyle w:val="BodyText"/>
      </w:pPr>
      <w:r w:rsidRPr="00B275E2">
        <w:rPr>
          <w:b/>
          <w:bCs/>
        </w:rPr>
        <w:t>Planted forest</w:t>
      </w:r>
      <w:r w:rsidRPr="00B275E2">
        <w:t>: plantations of forest species mainly used for forestry, including:</w:t>
      </w:r>
    </w:p>
    <w:p w14:paraId="5213A557" w14:textId="1D4EB127" w:rsidR="00AC2FB1" w:rsidRPr="00B275E2" w:rsidRDefault="009405E9" w:rsidP="00D411C0">
      <w:pPr>
        <w:pStyle w:val="Bullet"/>
      </w:pPr>
      <w:r w:rsidRPr="00B275E2">
        <w:t>r</w:t>
      </w:r>
      <w:r w:rsidR="00AC2FB1" w:rsidRPr="00B275E2">
        <w:t>adiata pine (</w:t>
      </w:r>
      <w:r w:rsidR="00AC2FB1" w:rsidRPr="00B275E2">
        <w:rPr>
          <w:i/>
          <w:iCs/>
        </w:rPr>
        <w:t>Pinus radiata</w:t>
      </w:r>
      <w:r w:rsidR="00AC2FB1" w:rsidRPr="00B275E2">
        <w:t>) </w:t>
      </w:r>
    </w:p>
    <w:p w14:paraId="56BACE4D" w14:textId="67316FB3" w:rsidR="00AC2FB1" w:rsidRPr="00B275E2" w:rsidRDefault="10A25141" w:rsidP="00D411C0">
      <w:pPr>
        <w:pStyle w:val="Bullet"/>
      </w:pPr>
      <w:r>
        <w:t>s</w:t>
      </w:r>
      <w:r w:rsidR="2C7587D0">
        <w:t>oftwoods, such as d</w:t>
      </w:r>
      <w:r w:rsidR="483BDEA9">
        <w:t>ouglas fir (</w:t>
      </w:r>
      <w:r w:rsidR="483BDEA9" w:rsidRPr="793BFC44">
        <w:rPr>
          <w:i/>
          <w:iCs/>
        </w:rPr>
        <w:t>Pseudotsuga menziesii</w:t>
      </w:r>
      <w:r w:rsidR="483BDEA9">
        <w:t>) </w:t>
      </w:r>
    </w:p>
    <w:p w14:paraId="578935B1" w14:textId="67316FB3" w:rsidR="00AC2FB1" w:rsidRPr="00B275E2" w:rsidRDefault="4265790D" w:rsidP="00D411C0">
      <w:pPr>
        <w:pStyle w:val="Bullet"/>
      </w:pPr>
      <w:r>
        <w:t>h</w:t>
      </w:r>
      <w:r w:rsidR="7E8ACCD9">
        <w:t xml:space="preserve">ardwoods, such as </w:t>
      </w:r>
      <w:r w:rsidR="6639AF3D">
        <w:t>eucalypts (</w:t>
      </w:r>
      <w:r w:rsidR="6639AF3D" w:rsidRPr="3DC7A884">
        <w:rPr>
          <w:i/>
          <w:iCs/>
        </w:rPr>
        <w:t>Eucalyptus</w:t>
      </w:r>
      <w:r w:rsidR="6639AF3D">
        <w:t xml:space="preserve"> spp) </w:t>
      </w:r>
    </w:p>
    <w:p w14:paraId="45DD9959" w14:textId="20ED0326" w:rsidR="00AC2FB1" w:rsidRPr="00B275E2" w:rsidRDefault="009405E9" w:rsidP="00D411C0">
      <w:pPr>
        <w:pStyle w:val="Bullet"/>
      </w:pPr>
      <w:r w:rsidRPr="00B275E2">
        <w:t>o</w:t>
      </w:r>
      <w:r w:rsidR="00AC2FB1" w:rsidRPr="00B275E2">
        <w:t>ther planted species (with potential to reach ≥ 5 metre height at maturity in situ). </w:t>
      </w:r>
    </w:p>
    <w:p w14:paraId="6150C133" w14:textId="77777777" w:rsidR="00AC2FB1" w:rsidRPr="00B275E2" w:rsidRDefault="00AC2FB1" w:rsidP="00A658D8">
      <w:pPr>
        <w:pStyle w:val="BodyText"/>
      </w:pPr>
      <w:r w:rsidRPr="00B275E2">
        <w:t>Organisations will also need records of forest harvest and deforestation activities (including area in ha) to calculate the emissions from LULUCF. Sources of this information include: </w:t>
      </w:r>
    </w:p>
    <w:p w14:paraId="7210A182" w14:textId="1F97C00E" w:rsidR="00AC2FB1" w:rsidRPr="00B275E2" w:rsidRDefault="00AC2FB1" w:rsidP="00A658D8">
      <w:pPr>
        <w:pStyle w:val="Bullet"/>
      </w:pPr>
      <w:r w:rsidRPr="00B275E2">
        <w:t>Corporate or farm records for enterprises and organisations.</w:t>
      </w:r>
    </w:p>
    <w:p w14:paraId="0310EC38" w14:textId="77777777" w:rsidR="00AC2FB1" w:rsidRPr="00B275E2" w:rsidRDefault="00AC2FB1" w:rsidP="00A658D8">
      <w:pPr>
        <w:pStyle w:val="Bullet"/>
      </w:pPr>
      <w:r w:rsidRPr="00B275E2">
        <w:t>Geospatial analysis of the property or region. </w:t>
      </w:r>
    </w:p>
    <w:p w14:paraId="3B42DAB7" w14:textId="12CED4C5" w:rsidR="00AC2FB1" w:rsidRPr="00B275E2" w:rsidRDefault="00AC2FB1" w:rsidP="00A658D8">
      <w:pPr>
        <w:pStyle w:val="Bullet"/>
      </w:pPr>
      <w:r w:rsidRPr="00B275E2">
        <w:t xml:space="preserve">The </w:t>
      </w:r>
      <w:hyperlink r:id="rId117" w:tgtFrame="_blank" w:history="1">
        <w:r w:rsidRPr="00B275E2">
          <w:t>LUCAS Land Use Map</w:t>
        </w:r>
      </w:hyperlink>
      <w:r w:rsidR="0072163B" w:rsidRPr="00B275E2">
        <w:rPr>
          <w:sz w:val="17"/>
          <w:szCs w:val="17"/>
          <w:vertAlign w:val="superscript"/>
        </w:rPr>
        <w:t>75</w:t>
      </w:r>
      <w:r w:rsidRPr="00B275E2">
        <w:t xml:space="preserve"> </w:t>
      </w:r>
    </w:p>
    <w:p w14:paraId="0ECD6512" w14:textId="23C55579" w:rsidR="00AC2FB1" w:rsidRPr="00B275E2" w:rsidRDefault="00AC2FB1" w:rsidP="00A658D8">
      <w:pPr>
        <w:pStyle w:val="Bullet"/>
      </w:pPr>
      <w:r w:rsidRPr="00B275E2">
        <w:t>The New Zealand Land Cover Database (</w:t>
      </w:r>
      <w:hyperlink r:id="rId118" w:tgtFrame="_blank" w:history="1">
        <w:r w:rsidRPr="00B275E2">
          <w:t>LCDB</w:t>
        </w:r>
      </w:hyperlink>
      <w:r w:rsidRPr="00B275E2">
        <w:t>)</w:t>
      </w:r>
      <w:r w:rsidR="009B790B" w:rsidRPr="00B275E2">
        <w:rPr>
          <w:sz w:val="17"/>
          <w:szCs w:val="17"/>
          <w:vertAlign w:val="superscript"/>
        </w:rPr>
        <w:t>76</w:t>
      </w:r>
      <w:r w:rsidRPr="00B275E2">
        <w:t xml:space="preserve"> </w:t>
      </w:r>
    </w:p>
    <w:p w14:paraId="78AB0BB3" w14:textId="1BAFA55E" w:rsidR="00AC2FB1" w:rsidRPr="00B275E2" w:rsidRDefault="00AC2FB1" w:rsidP="00A658D8">
      <w:pPr>
        <w:pStyle w:val="Bullet"/>
      </w:pPr>
      <w:r w:rsidRPr="00B275E2">
        <w:t xml:space="preserve">If Approach </w:t>
      </w:r>
      <w:r w:rsidR="00C15FBA" w:rsidRPr="00B275E2">
        <w:t>t</w:t>
      </w:r>
      <w:r w:rsidRPr="00B275E2">
        <w:t>wo (</w:t>
      </w:r>
      <w:r w:rsidR="00C15FBA" w:rsidRPr="00B275E2">
        <w:t>a</w:t>
      </w:r>
      <w:r w:rsidRPr="00B275E2">
        <w:t>veraging) is used, the planting date (to calculate the age of the forest) will be required as well as evidence that the forest is in its first rotation.</w:t>
      </w:r>
    </w:p>
    <w:p w14:paraId="1837862C" w14:textId="102097CE" w:rsidR="000A2FDA" w:rsidRPr="00B275E2" w:rsidRDefault="002C7317" w:rsidP="00A658D8">
      <w:pPr>
        <w:pStyle w:val="BodyText"/>
      </w:pPr>
      <w:r w:rsidRPr="00B275E2">
        <w:t xml:space="preserve">Using the sources detailed above to gather information on the land use, </w:t>
      </w:r>
      <w:r w:rsidR="00E22327" w:rsidRPr="00B275E2">
        <w:t xml:space="preserve">forest </w:t>
      </w:r>
      <w:r w:rsidR="00EE71CD" w:rsidRPr="00B275E2">
        <w:t xml:space="preserve">type </w:t>
      </w:r>
      <w:r w:rsidRPr="00B275E2">
        <w:t xml:space="preserve">and size, </w:t>
      </w:r>
      <w:r w:rsidR="00E22327" w:rsidRPr="00B275E2">
        <w:t>organisations can a</w:t>
      </w:r>
      <w:r w:rsidR="006D445E" w:rsidRPr="00B275E2">
        <w:t>pply</w:t>
      </w:r>
      <w:r w:rsidR="000A2FDA" w:rsidRPr="00B275E2">
        <w:t xml:space="preserve"> the equation </w:t>
      </w:r>
      <w:r w:rsidR="00D34302" w:rsidRPr="00B275E2">
        <w:t>E= Q x F</w:t>
      </w:r>
      <w:r w:rsidR="009813B8" w:rsidRPr="00B275E2">
        <w:t xml:space="preserve"> </w:t>
      </w:r>
      <w:r w:rsidR="00D34302" w:rsidRPr="00B275E2">
        <w:t>(</w:t>
      </w:r>
      <w:hyperlink w:anchor="_How_to_quantify" w:history="1">
        <w:r w:rsidR="00571238" w:rsidRPr="00B275E2">
          <w:rPr>
            <w:rStyle w:val="Hyperlink"/>
          </w:rPr>
          <w:t>section 2</w:t>
        </w:r>
      </w:hyperlink>
      <w:r w:rsidR="00D34302" w:rsidRPr="00B275E2">
        <w:rPr>
          <w:rStyle w:val="Hyperlink"/>
          <w:color w:val="auto"/>
        </w:rPr>
        <w:t>)</w:t>
      </w:r>
      <w:r w:rsidR="000A2FDA" w:rsidRPr="00B275E2">
        <w:t>:</w:t>
      </w:r>
    </w:p>
    <w:p w14:paraId="484F3FCE" w14:textId="72917647" w:rsidR="00D34302" w:rsidRPr="00B275E2" w:rsidRDefault="00D34302" w:rsidP="00585F3B">
      <w:pPr>
        <w:pStyle w:val="BodyText"/>
        <w:tabs>
          <w:tab w:val="left" w:pos="680"/>
          <w:tab w:val="left" w:pos="1134"/>
        </w:tabs>
        <w:contextualSpacing/>
      </w:pPr>
      <w:r w:rsidRPr="00B275E2">
        <w:t>E</w:t>
      </w:r>
      <w:r w:rsidRPr="00B275E2">
        <w:tab/>
        <w:t>=</w:t>
      </w:r>
      <w:r w:rsidRPr="00B275E2">
        <w:tab/>
        <w:t>emissions from the emissions source in kg CO</w:t>
      </w:r>
      <w:r w:rsidRPr="00B275E2">
        <w:rPr>
          <w:vertAlign w:val="subscript"/>
        </w:rPr>
        <w:t>2</w:t>
      </w:r>
      <w:r w:rsidRPr="00B275E2">
        <w:t>-e per year</w:t>
      </w:r>
    </w:p>
    <w:p w14:paraId="77D80B03" w14:textId="3C5948EB" w:rsidR="002C7317" w:rsidRPr="00B275E2" w:rsidRDefault="000F4C85" w:rsidP="00585F3B">
      <w:pPr>
        <w:pStyle w:val="BodyText"/>
        <w:tabs>
          <w:tab w:val="left" w:pos="680"/>
          <w:tab w:val="left" w:pos="1134"/>
        </w:tabs>
        <w:contextualSpacing/>
      </w:pPr>
      <w:r w:rsidRPr="00B275E2">
        <w:t>Q</w:t>
      </w:r>
      <w:r w:rsidRPr="00B275E2">
        <w:tab/>
      </w:r>
      <w:r w:rsidR="002C7317" w:rsidRPr="00B275E2">
        <w:t>=</w:t>
      </w:r>
      <w:r w:rsidRPr="00B275E2">
        <w:tab/>
      </w:r>
      <w:r w:rsidR="002C7317" w:rsidRPr="00B275E2">
        <w:t>area of land</w:t>
      </w:r>
      <w:r w:rsidR="0096352D" w:rsidRPr="00B275E2">
        <w:t xml:space="preserve"> (ha)</w:t>
      </w:r>
    </w:p>
    <w:p w14:paraId="71F52473" w14:textId="16BF1605" w:rsidR="0036564F" w:rsidRPr="00B275E2" w:rsidRDefault="000F4C85" w:rsidP="00585F3B">
      <w:pPr>
        <w:pStyle w:val="BodyText"/>
        <w:tabs>
          <w:tab w:val="left" w:pos="680"/>
          <w:tab w:val="left" w:pos="1134"/>
        </w:tabs>
        <w:spacing w:after="240"/>
        <w:contextualSpacing/>
      </w:pPr>
      <w:r w:rsidRPr="00B275E2">
        <w:t>F</w:t>
      </w:r>
      <w:r w:rsidRPr="00B275E2">
        <w:tab/>
        <w:t>=</w:t>
      </w:r>
      <w:r w:rsidRPr="00B275E2">
        <w:tab/>
      </w:r>
      <w:r w:rsidR="002C7317" w:rsidRPr="00B275E2">
        <w:t>appropriate emission factors (fo</w:t>
      </w:r>
      <w:r w:rsidR="00EC464E" w:rsidRPr="00B275E2">
        <w:t>r land use) from</w:t>
      </w:r>
      <w:r w:rsidR="00571238" w:rsidRPr="00B275E2">
        <w:t xml:space="preserve"> </w:t>
      </w:r>
      <w:r w:rsidR="00A92160" w:rsidRPr="0016782E">
        <w:t xml:space="preserve">table </w:t>
      </w:r>
      <w:r w:rsidR="00F23341">
        <w:t>89</w:t>
      </w:r>
      <w:r w:rsidR="00A92160" w:rsidRPr="0016782E">
        <w:t xml:space="preserve"> </w:t>
      </w:r>
      <w:r w:rsidR="0096352D" w:rsidRPr="0016782E">
        <w:t>and</w:t>
      </w:r>
      <w:r w:rsidR="00571238" w:rsidRPr="0016782E">
        <w:t xml:space="preserve"> </w:t>
      </w:r>
      <w:r w:rsidR="00A92160" w:rsidRPr="0016782E">
        <w:t>table 9</w:t>
      </w:r>
      <w:r w:rsidR="00F23341">
        <w:t>0</w:t>
      </w: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5"/>
      </w:tblGrid>
      <w:tr w:rsidR="00DA7183" w:rsidRPr="00B275E2" w:rsidDel="00D5390D" w14:paraId="01BD552B" w14:textId="77777777" w:rsidTr="00A658D8">
        <w:tc>
          <w:tcPr>
            <w:tcW w:w="8500" w:type="dxa"/>
            <w:tcBorders>
              <w:top w:val="single" w:sz="4" w:space="0" w:color="0F7B7D"/>
              <w:left w:val="single" w:sz="4" w:space="0" w:color="0F7B7D"/>
              <w:bottom w:val="nil"/>
              <w:right w:val="single" w:sz="4" w:space="0" w:color="0F7B7D"/>
            </w:tcBorders>
            <w:shd w:val="clear" w:color="auto" w:fill="0F7B7D"/>
            <w:vAlign w:val="center"/>
          </w:tcPr>
          <w:p w14:paraId="35FE8EE9" w14:textId="0EC0AE34" w:rsidR="002F6630" w:rsidRPr="00B275E2" w:rsidDel="00D5390D" w:rsidRDefault="00BC545F" w:rsidP="00FB0086">
            <w:pPr>
              <w:pStyle w:val="Casestudyheading"/>
            </w:pPr>
            <w:r w:rsidRPr="00B275E2">
              <w:lastRenderedPageBreak/>
              <w:t xml:space="preserve">Land use, </w:t>
            </w:r>
            <w:r w:rsidR="00BD685C" w:rsidRPr="00B275E2">
              <w:t>land-use change</w:t>
            </w:r>
            <w:r w:rsidRPr="00B275E2">
              <w:t xml:space="preserve"> and forestry: </w:t>
            </w:r>
            <w:r w:rsidR="002F6630" w:rsidRPr="00B275E2">
              <w:t>Example Calculation</w:t>
            </w:r>
            <w:r w:rsidR="0086009C" w:rsidRPr="00B275E2">
              <w:t>s</w:t>
            </w:r>
            <w:r w:rsidR="000C56B7" w:rsidRPr="00B275E2">
              <w:t xml:space="preserve"> </w:t>
            </w:r>
          </w:p>
        </w:tc>
      </w:tr>
      <w:tr w:rsidR="00F21DC0" w:rsidRPr="00B275E2" w14:paraId="5473CD0A" w14:textId="77777777" w:rsidTr="00A658D8">
        <w:tc>
          <w:tcPr>
            <w:tcW w:w="8500" w:type="dxa"/>
            <w:tcBorders>
              <w:top w:val="nil"/>
              <w:left w:val="single" w:sz="4" w:space="0" w:color="D5EBE8" w:themeColor="accent3"/>
              <w:bottom w:val="single" w:sz="4" w:space="0" w:color="D5EBE8" w:themeColor="accent3"/>
              <w:right w:val="single" w:sz="4" w:space="0" w:color="D5EBE8" w:themeColor="accent3"/>
            </w:tcBorders>
            <w:shd w:val="clear" w:color="auto" w:fill="D5EBE8" w:themeFill="accent3"/>
          </w:tcPr>
          <w:p w14:paraId="38E83FA3" w14:textId="349B03C3" w:rsidR="0086009C" w:rsidRPr="00B275E2" w:rsidRDefault="0086009C" w:rsidP="00520279">
            <w:pPr>
              <w:pStyle w:val="Boxtext"/>
              <w:keepNext/>
              <w:spacing w:after="0"/>
            </w:pPr>
            <w:r w:rsidRPr="00B275E2">
              <w:t xml:space="preserve">Example </w:t>
            </w:r>
            <w:r w:rsidR="006E431A" w:rsidRPr="00B275E2">
              <w:t>o</w:t>
            </w:r>
            <w:r w:rsidRPr="00B275E2">
              <w:t>ne</w:t>
            </w:r>
            <w:r w:rsidR="00D828FD" w:rsidRPr="00B275E2">
              <w:t xml:space="preserve"> (using Approach </w:t>
            </w:r>
            <w:r w:rsidR="009813B8" w:rsidRPr="00B275E2">
              <w:t>o</w:t>
            </w:r>
            <w:r w:rsidR="00D828FD" w:rsidRPr="00B275E2">
              <w:t>ne</w:t>
            </w:r>
            <w:r w:rsidR="00920120" w:rsidRPr="00B275E2">
              <w:t xml:space="preserve"> for </w:t>
            </w:r>
            <w:r w:rsidR="009813B8" w:rsidRPr="00B275E2">
              <w:t>p</w:t>
            </w:r>
            <w:r w:rsidR="00920120" w:rsidRPr="00B275E2">
              <w:t xml:space="preserve">lanted </w:t>
            </w:r>
            <w:r w:rsidR="009813B8" w:rsidRPr="00B275E2">
              <w:t>f</w:t>
            </w:r>
            <w:r w:rsidR="00920120" w:rsidRPr="00B275E2">
              <w:t>orest</w:t>
            </w:r>
            <w:r w:rsidR="00D828FD" w:rsidRPr="00B275E2">
              <w:t>)</w:t>
            </w:r>
            <w:r w:rsidRPr="00B275E2">
              <w:t>:</w:t>
            </w:r>
          </w:p>
          <w:p w14:paraId="01DF89CA" w14:textId="435898BC" w:rsidR="0036564F" w:rsidRPr="00B275E2" w:rsidRDefault="0036564F" w:rsidP="00A658D8">
            <w:pPr>
              <w:pStyle w:val="Boxtext"/>
              <w:spacing w:after="80"/>
            </w:pPr>
            <w:r w:rsidRPr="00B275E2">
              <w:t xml:space="preserve">An organisation owns 4 </w:t>
            </w:r>
            <w:r w:rsidR="006B04DD" w:rsidRPr="00B275E2">
              <w:t>ha</w:t>
            </w:r>
            <w:r w:rsidRPr="00B275E2">
              <w:t xml:space="preserve"> of land</w:t>
            </w:r>
            <w:r w:rsidR="00EE71CD" w:rsidRPr="00B275E2">
              <w:t>:</w:t>
            </w:r>
            <w:r w:rsidRPr="00B275E2">
              <w:t xml:space="preserve"> </w:t>
            </w:r>
            <w:r w:rsidR="00EE71CD" w:rsidRPr="00B275E2">
              <w:t>3</w:t>
            </w:r>
            <w:r w:rsidRPr="00B275E2">
              <w:t xml:space="preserve"> </w:t>
            </w:r>
            <w:r w:rsidR="006B04DD" w:rsidRPr="00B275E2">
              <w:t>ha</w:t>
            </w:r>
            <w:r w:rsidRPr="00B275E2">
              <w:t xml:space="preserve"> are planted forest</w:t>
            </w:r>
            <w:r w:rsidR="00C10277" w:rsidRPr="00B275E2">
              <w:t xml:space="preserve"> (</w:t>
            </w:r>
            <w:r w:rsidR="00C10277" w:rsidRPr="00B275E2">
              <w:rPr>
                <w:i/>
                <w:iCs/>
              </w:rPr>
              <w:t>Pinus radiata</w:t>
            </w:r>
            <w:r w:rsidR="00C10277" w:rsidRPr="00B275E2">
              <w:t>)</w:t>
            </w:r>
            <w:r w:rsidRPr="00B275E2">
              <w:t xml:space="preserve"> and 1 </w:t>
            </w:r>
            <w:r w:rsidR="006B04DD" w:rsidRPr="00B275E2">
              <w:t>ha</w:t>
            </w:r>
            <w:r w:rsidRPr="00B275E2">
              <w:t xml:space="preserve"> is </w:t>
            </w:r>
            <w:r w:rsidR="00EA664B" w:rsidRPr="00B275E2">
              <w:t xml:space="preserve">pre-1990 </w:t>
            </w:r>
            <w:r w:rsidRPr="00B275E2">
              <w:t xml:space="preserve">regenerating natural forest. During the reporting year the </w:t>
            </w:r>
            <w:r w:rsidR="006B04DD" w:rsidRPr="00B275E2">
              <w:t xml:space="preserve">organisation harvested the </w:t>
            </w:r>
            <w:r w:rsidRPr="00B275E2">
              <w:t>planted forest for timber.</w:t>
            </w:r>
          </w:p>
          <w:p w14:paraId="77B5CC77" w14:textId="6D74A82E" w:rsidR="0036564F" w:rsidRPr="00B275E2" w:rsidRDefault="00D94A1D" w:rsidP="00520279">
            <w:pPr>
              <w:pStyle w:val="Boxtext"/>
              <w:tabs>
                <w:tab w:val="left" w:pos="2589"/>
                <w:tab w:val="left" w:pos="4290"/>
              </w:tabs>
              <w:spacing w:before="20" w:after="20"/>
              <w:ind w:left="851"/>
            </w:pPr>
            <w:r w:rsidRPr="00B275E2">
              <w:t>3</w:t>
            </w:r>
            <w:r w:rsidR="0036564F" w:rsidRPr="00B275E2">
              <w:t xml:space="preserve"> </w:t>
            </w:r>
            <w:r w:rsidR="006B04DD" w:rsidRPr="00B275E2">
              <w:t>ha</w:t>
            </w:r>
            <w:r w:rsidR="0036564F" w:rsidRPr="00B275E2">
              <w:t xml:space="preserve"> of planted forest</w:t>
            </w:r>
            <w:r w:rsidR="00390F27" w:rsidRPr="00B275E2">
              <w:t xml:space="preserve"> (</w:t>
            </w:r>
            <w:r w:rsidR="00390F27" w:rsidRPr="00B275E2">
              <w:rPr>
                <w:i/>
                <w:iCs/>
              </w:rPr>
              <w:t>Pinus radia</w:t>
            </w:r>
            <w:r w:rsidR="00823B5F" w:rsidRPr="00B275E2">
              <w:rPr>
                <w:i/>
                <w:iCs/>
              </w:rPr>
              <w:t>t</w:t>
            </w:r>
            <w:r w:rsidR="00390F27" w:rsidRPr="00B275E2">
              <w:rPr>
                <w:i/>
                <w:iCs/>
              </w:rPr>
              <w:t>a)</w:t>
            </w:r>
            <w:r w:rsidR="0036564F" w:rsidRPr="00B275E2">
              <w:t xml:space="preserve"> were harvested, therefore:</w:t>
            </w:r>
          </w:p>
          <w:p w14:paraId="1471F961" w14:textId="19200B84" w:rsidR="0036564F" w:rsidRPr="00B275E2" w:rsidRDefault="0036564F" w:rsidP="00520279">
            <w:pPr>
              <w:pStyle w:val="Boxtext"/>
              <w:tabs>
                <w:tab w:val="left" w:pos="2589"/>
                <w:tab w:val="left" w:pos="4290"/>
              </w:tabs>
              <w:spacing w:before="20" w:after="20"/>
              <w:ind w:left="851"/>
            </w:pPr>
            <w:r w:rsidRPr="00B275E2">
              <w:t>CO</w:t>
            </w:r>
            <w:r w:rsidRPr="00B275E2">
              <w:rPr>
                <w:vertAlign w:val="subscript"/>
              </w:rPr>
              <w:t>2</w:t>
            </w:r>
            <w:r w:rsidRPr="00B275E2">
              <w:t xml:space="preserve"> emissions </w:t>
            </w:r>
            <w:r w:rsidRPr="00B275E2">
              <w:tab/>
              <w:t xml:space="preserve">= 3 × </w:t>
            </w:r>
            <w:r w:rsidR="00CF1871" w:rsidRPr="00B275E2">
              <w:t>1,</w:t>
            </w:r>
            <w:r w:rsidR="00D134EB" w:rsidRPr="00B275E2">
              <w:t>027,286</w:t>
            </w:r>
            <w:r w:rsidR="005D2F23" w:rsidRPr="00B275E2">
              <w:tab/>
            </w:r>
            <w:r w:rsidRPr="00B275E2">
              <w:t xml:space="preserve">= </w:t>
            </w:r>
            <w:r w:rsidR="00D134EB" w:rsidRPr="00B275E2">
              <w:t>3,08</w:t>
            </w:r>
            <w:r w:rsidR="00261640" w:rsidRPr="00B275E2">
              <w:t>1</w:t>
            </w:r>
            <w:r w:rsidR="00D134EB" w:rsidRPr="00B275E2">
              <w:t>,</w:t>
            </w:r>
            <w:r w:rsidR="00261640" w:rsidRPr="00B275E2">
              <w:t>858</w:t>
            </w:r>
            <w:r w:rsidRPr="00B275E2">
              <w:t xml:space="preserve"> kg CO</w:t>
            </w:r>
            <w:r w:rsidRPr="00B275E2">
              <w:rPr>
                <w:vertAlign w:val="subscript"/>
              </w:rPr>
              <w:t>2</w:t>
            </w:r>
            <w:r w:rsidR="0026754D" w:rsidRPr="00B275E2">
              <w:t>-e</w:t>
            </w:r>
            <w:r w:rsidRPr="00B275E2">
              <w:t xml:space="preserve"> </w:t>
            </w:r>
          </w:p>
          <w:p w14:paraId="7378CA4A" w14:textId="128C3E4D" w:rsidR="0036564F" w:rsidRPr="00B275E2" w:rsidRDefault="0036564F" w:rsidP="00520279">
            <w:pPr>
              <w:pStyle w:val="Boxtext"/>
              <w:spacing w:after="80"/>
            </w:pPr>
            <w:r w:rsidRPr="00B275E2">
              <w:t xml:space="preserve">The </w:t>
            </w:r>
            <w:r w:rsidR="00F14753" w:rsidRPr="00B275E2">
              <w:t xml:space="preserve">removals (expressed as a negative) </w:t>
            </w:r>
            <w:r w:rsidRPr="00B275E2">
              <w:t xml:space="preserve">for the regenerating </w:t>
            </w:r>
            <w:r w:rsidR="00E770E4" w:rsidRPr="00B275E2">
              <w:t>pre-1990</w:t>
            </w:r>
            <w:r w:rsidRPr="00B275E2">
              <w:t xml:space="preserve"> natural forest </w:t>
            </w:r>
            <w:r w:rsidR="00D94A1D" w:rsidRPr="00B275E2">
              <w:t>are</w:t>
            </w:r>
            <w:r w:rsidRPr="00B275E2">
              <w:t>:</w:t>
            </w:r>
          </w:p>
          <w:p w14:paraId="7BF560BB" w14:textId="7B6CE712" w:rsidR="0036564F" w:rsidRPr="00B275E2" w:rsidRDefault="0036564F" w:rsidP="00520279">
            <w:pPr>
              <w:pStyle w:val="Boxtext"/>
              <w:tabs>
                <w:tab w:val="left" w:pos="2589"/>
                <w:tab w:val="left" w:pos="4290"/>
              </w:tabs>
              <w:spacing w:before="20" w:after="20"/>
              <w:ind w:left="851"/>
            </w:pPr>
            <w:r w:rsidRPr="00B275E2">
              <w:t>CO</w:t>
            </w:r>
            <w:r w:rsidRPr="00B275E2">
              <w:rPr>
                <w:vertAlign w:val="subscript"/>
              </w:rPr>
              <w:t>2</w:t>
            </w:r>
            <w:r w:rsidR="005D2F23" w:rsidRPr="00B275E2">
              <w:t xml:space="preserve"> </w:t>
            </w:r>
            <w:r w:rsidR="00F14753" w:rsidRPr="00B275E2">
              <w:t xml:space="preserve">removals </w:t>
            </w:r>
            <w:r w:rsidR="005D2F23" w:rsidRPr="00B275E2">
              <w:tab/>
              <w:t>= 1 × -</w:t>
            </w:r>
            <w:r w:rsidR="00CA757D" w:rsidRPr="00B275E2">
              <w:t>1</w:t>
            </w:r>
            <w:r w:rsidR="00AC2FB1" w:rsidRPr="00B275E2">
              <w:t>,5</w:t>
            </w:r>
            <w:r w:rsidR="00CA757D" w:rsidRPr="00B275E2">
              <w:t>67</w:t>
            </w:r>
            <w:r w:rsidR="005D2F23" w:rsidRPr="00B275E2">
              <w:tab/>
            </w:r>
            <w:r w:rsidRPr="00B275E2">
              <w:t>= -</w:t>
            </w:r>
            <w:r w:rsidR="00786DDC" w:rsidRPr="00B275E2">
              <w:t>1</w:t>
            </w:r>
            <w:r w:rsidR="00AC2FB1" w:rsidRPr="00B275E2">
              <w:t>,5</w:t>
            </w:r>
            <w:r w:rsidR="00786DDC" w:rsidRPr="00B275E2">
              <w:t>67</w:t>
            </w:r>
            <w:r w:rsidRPr="00B275E2">
              <w:t xml:space="preserve"> kg CO</w:t>
            </w:r>
            <w:r w:rsidRPr="00B275E2">
              <w:rPr>
                <w:vertAlign w:val="subscript"/>
              </w:rPr>
              <w:t>2</w:t>
            </w:r>
            <w:r w:rsidR="0026754D" w:rsidRPr="00B275E2">
              <w:t>e</w:t>
            </w:r>
          </w:p>
          <w:p w14:paraId="63351F8F" w14:textId="122D448E" w:rsidR="002F6630" w:rsidRPr="00B275E2" w:rsidRDefault="006B04DD" w:rsidP="00520279">
            <w:pPr>
              <w:pStyle w:val="Boxtext"/>
              <w:spacing w:after="80"/>
            </w:pPr>
            <w:r w:rsidRPr="00B275E2">
              <w:t>Therefore,</w:t>
            </w:r>
            <w:r w:rsidR="0036564F" w:rsidRPr="00B275E2">
              <w:t xml:space="preserve"> total net CO</w:t>
            </w:r>
            <w:r w:rsidR="0036564F" w:rsidRPr="00B275E2">
              <w:rPr>
                <w:vertAlign w:val="subscript"/>
              </w:rPr>
              <w:t>2</w:t>
            </w:r>
            <w:r w:rsidR="0036564F" w:rsidRPr="00B275E2">
              <w:t xml:space="preserve">-e emissions = </w:t>
            </w:r>
            <w:r w:rsidR="00D134EB" w:rsidRPr="00B275E2">
              <w:t>3,08</w:t>
            </w:r>
            <w:r w:rsidR="00261640" w:rsidRPr="00B275E2">
              <w:t>1</w:t>
            </w:r>
            <w:r w:rsidR="00D134EB" w:rsidRPr="00B275E2">
              <w:t>,</w:t>
            </w:r>
            <w:r w:rsidR="00261640" w:rsidRPr="00B275E2">
              <w:t>858</w:t>
            </w:r>
            <w:r w:rsidR="0036564F" w:rsidRPr="00B275E2">
              <w:t xml:space="preserve"> </w:t>
            </w:r>
            <w:r w:rsidR="00505BA2" w:rsidRPr="00B275E2">
              <w:t>–</w:t>
            </w:r>
            <w:r w:rsidR="0036564F" w:rsidRPr="00B275E2">
              <w:t xml:space="preserve"> </w:t>
            </w:r>
            <w:r w:rsidR="00786DDC" w:rsidRPr="00B275E2">
              <w:t>1</w:t>
            </w:r>
            <w:r w:rsidR="00C1737D" w:rsidRPr="00B275E2">
              <w:t>,5</w:t>
            </w:r>
            <w:r w:rsidR="00786DDC" w:rsidRPr="00B275E2">
              <w:t>67</w:t>
            </w:r>
            <w:r w:rsidR="0036564F" w:rsidRPr="00B275E2">
              <w:t xml:space="preserve"> = </w:t>
            </w:r>
            <w:r w:rsidR="00BC3563" w:rsidRPr="00B275E2">
              <w:t>3</w:t>
            </w:r>
            <w:r w:rsidR="00172F02" w:rsidRPr="00B275E2">
              <w:t>,</w:t>
            </w:r>
            <w:r w:rsidR="00BC3563" w:rsidRPr="00B275E2">
              <w:t>080</w:t>
            </w:r>
            <w:r w:rsidR="00172F02" w:rsidRPr="00B275E2">
              <w:t>,</w:t>
            </w:r>
            <w:r w:rsidR="00BC3563" w:rsidRPr="00B275E2">
              <w:t>291</w:t>
            </w:r>
            <w:r w:rsidR="000C10C4" w:rsidRPr="00B275E2">
              <w:t xml:space="preserve"> </w:t>
            </w:r>
            <w:r w:rsidR="0036564F" w:rsidRPr="00B275E2">
              <w:t>kg CO</w:t>
            </w:r>
            <w:r w:rsidR="0036564F" w:rsidRPr="00B275E2">
              <w:rPr>
                <w:vertAlign w:val="subscript"/>
              </w:rPr>
              <w:t>2</w:t>
            </w:r>
            <w:r w:rsidR="0036564F" w:rsidRPr="00B275E2">
              <w:t>-e.</w:t>
            </w:r>
          </w:p>
          <w:p w14:paraId="5FDCBA05" w14:textId="77777777" w:rsidR="009649BB" w:rsidRPr="00B275E2" w:rsidRDefault="009649BB" w:rsidP="00520279">
            <w:pPr>
              <w:pStyle w:val="Boxtext"/>
              <w:spacing w:before="80"/>
              <w:rPr>
                <w:sz w:val="18"/>
              </w:rPr>
            </w:pPr>
            <w:r w:rsidRPr="00B275E2">
              <w:rPr>
                <w:sz w:val="18"/>
              </w:rPr>
              <w:t>Note: Negative emissions are a carbon sink.</w:t>
            </w:r>
          </w:p>
          <w:p w14:paraId="7CDCA06B" w14:textId="49FDAA18" w:rsidR="0086009C" w:rsidRPr="00B275E2" w:rsidRDefault="0086009C" w:rsidP="00520279">
            <w:pPr>
              <w:pStyle w:val="Boxtext"/>
              <w:spacing w:after="0"/>
            </w:pPr>
            <w:r w:rsidRPr="00B275E2">
              <w:t xml:space="preserve">Example </w:t>
            </w:r>
            <w:r w:rsidR="006E431A" w:rsidRPr="00B275E2">
              <w:t>t</w:t>
            </w:r>
            <w:r w:rsidRPr="00B275E2">
              <w:t>wo</w:t>
            </w:r>
            <w:r w:rsidR="00D828FD" w:rsidRPr="00B275E2">
              <w:t xml:space="preserve"> (using Approach </w:t>
            </w:r>
            <w:r w:rsidR="00F4755F" w:rsidRPr="00B275E2">
              <w:t>t</w:t>
            </w:r>
            <w:r w:rsidR="00D828FD" w:rsidRPr="00B275E2">
              <w:t>wo</w:t>
            </w:r>
            <w:r w:rsidR="00920120" w:rsidRPr="00B275E2">
              <w:t xml:space="preserve"> for </w:t>
            </w:r>
            <w:r w:rsidR="00F4755F" w:rsidRPr="00B275E2">
              <w:t>p</w:t>
            </w:r>
            <w:r w:rsidR="00920120" w:rsidRPr="00B275E2">
              <w:t xml:space="preserve">lanted </w:t>
            </w:r>
            <w:r w:rsidR="00F4755F" w:rsidRPr="00B275E2">
              <w:t>f</w:t>
            </w:r>
            <w:r w:rsidR="00920120" w:rsidRPr="00B275E2">
              <w:t>orest</w:t>
            </w:r>
            <w:r w:rsidR="00D828FD" w:rsidRPr="00B275E2">
              <w:t>)</w:t>
            </w:r>
            <w:r w:rsidRPr="00B275E2">
              <w:t>:</w:t>
            </w:r>
          </w:p>
          <w:p w14:paraId="3A0C99FB" w14:textId="23732679" w:rsidR="00E456F7" w:rsidRPr="00B275E2" w:rsidRDefault="00E456F7" w:rsidP="00520279">
            <w:pPr>
              <w:pStyle w:val="Boxtext"/>
              <w:spacing w:after="80"/>
            </w:pPr>
            <w:r w:rsidRPr="00B275E2">
              <w:t>An organisation owns 4</w:t>
            </w:r>
            <w:r w:rsidR="00B36F12" w:rsidRPr="00B275E2">
              <w:t>0</w:t>
            </w:r>
            <w:r w:rsidRPr="00B275E2">
              <w:t xml:space="preserve"> ha of land: </w:t>
            </w:r>
            <w:r w:rsidR="00A653F6" w:rsidRPr="00B275E2">
              <w:t>1</w:t>
            </w:r>
            <w:r w:rsidR="003D1A9F" w:rsidRPr="00B275E2">
              <w:t>0</w:t>
            </w:r>
            <w:r w:rsidRPr="00B275E2">
              <w:t xml:space="preserve"> ha are planted forest (</w:t>
            </w:r>
            <w:r w:rsidR="002D5C24" w:rsidRPr="00B275E2">
              <w:t xml:space="preserve">Other </w:t>
            </w:r>
            <w:r w:rsidR="004A76A3" w:rsidRPr="00B275E2">
              <w:t>s</w:t>
            </w:r>
            <w:r w:rsidR="002D5C24" w:rsidRPr="00B275E2">
              <w:t>oftwoods</w:t>
            </w:r>
            <w:r w:rsidRPr="00B275E2">
              <w:t>)</w:t>
            </w:r>
            <w:r w:rsidR="00A653F6" w:rsidRPr="00B275E2">
              <w:t xml:space="preserve"> below the</w:t>
            </w:r>
            <w:r w:rsidR="000D6CFA" w:rsidRPr="00B275E2">
              <w:t xml:space="preserve"> long-term average age</w:t>
            </w:r>
            <w:r w:rsidR="008A42F4" w:rsidRPr="00B275E2">
              <w:t xml:space="preserve"> (</w:t>
            </w:r>
            <w:r w:rsidR="000E4936" w:rsidRPr="00B275E2">
              <w:t xml:space="preserve">&lt; </w:t>
            </w:r>
            <w:r w:rsidR="00BD65CE" w:rsidRPr="00B275E2">
              <w:t>2</w:t>
            </w:r>
            <w:r w:rsidR="00C32D13" w:rsidRPr="00B275E2">
              <w:t>8</w:t>
            </w:r>
            <w:r w:rsidR="00BD65CE" w:rsidRPr="00B275E2">
              <w:t xml:space="preserve"> years</w:t>
            </w:r>
            <w:r w:rsidR="00755D7D" w:rsidRPr="00B275E2">
              <w:t xml:space="preserve"> since </w:t>
            </w:r>
            <w:r w:rsidR="00C22F84" w:rsidRPr="00B275E2">
              <w:t>time of planting</w:t>
            </w:r>
            <w:r w:rsidR="00BD65CE" w:rsidRPr="00B275E2">
              <w:t xml:space="preserve">), </w:t>
            </w:r>
            <w:r w:rsidR="00534BE0" w:rsidRPr="00B275E2">
              <w:t>20 ha are planted forest (</w:t>
            </w:r>
            <w:r w:rsidR="00534BE0" w:rsidRPr="00B275E2">
              <w:rPr>
                <w:i/>
                <w:iCs/>
              </w:rPr>
              <w:t>Pinus radiata</w:t>
            </w:r>
            <w:r w:rsidR="00534BE0" w:rsidRPr="00B275E2">
              <w:t>) above the long-term average age (</w:t>
            </w:r>
            <w:r w:rsidR="000E5125" w:rsidRPr="00B275E2">
              <w:t>&gt; 22 years</w:t>
            </w:r>
            <w:r w:rsidR="00C22F84" w:rsidRPr="00B275E2">
              <w:t xml:space="preserve"> since time of planting</w:t>
            </w:r>
            <w:r w:rsidR="000E5125" w:rsidRPr="00B275E2">
              <w:t>)</w:t>
            </w:r>
            <w:r w:rsidR="00B32320" w:rsidRPr="00B275E2">
              <w:t xml:space="preserve"> and</w:t>
            </w:r>
            <w:r w:rsidR="00DA518D" w:rsidRPr="00B275E2">
              <w:t xml:space="preserve"> a further</w:t>
            </w:r>
            <w:r w:rsidR="00B32320" w:rsidRPr="00B275E2">
              <w:t xml:space="preserve"> 10 ha</w:t>
            </w:r>
            <w:r w:rsidR="00242F06" w:rsidRPr="00B275E2">
              <w:t xml:space="preserve"> of planted forest (</w:t>
            </w:r>
            <w:r w:rsidR="00242F06" w:rsidRPr="00B275E2">
              <w:rPr>
                <w:i/>
                <w:iCs/>
              </w:rPr>
              <w:t>Pinus radiata</w:t>
            </w:r>
            <w:r w:rsidR="00242F06" w:rsidRPr="00B275E2">
              <w:t>) were defore</w:t>
            </w:r>
            <w:r w:rsidR="00556B03" w:rsidRPr="00B275E2">
              <w:t xml:space="preserve">sted </w:t>
            </w:r>
            <w:r w:rsidR="007E5DDA" w:rsidRPr="00B275E2">
              <w:t>during the reporting year.</w:t>
            </w:r>
          </w:p>
          <w:p w14:paraId="107C0F9F" w14:textId="1397BBF0" w:rsidR="00E456F7" w:rsidRPr="00B275E2" w:rsidRDefault="00FA12BD" w:rsidP="00520279">
            <w:pPr>
              <w:pStyle w:val="Boxtext"/>
              <w:spacing w:after="80"/>
            </w:pPr>
            <w:r w:rsidRPr="00B275E2">
              <w:t>The removals</w:t>
            </w:r>
            <w:r w:rsidR="00F737B8" w:rsidRPr="00B275E2">
              <w:t xml:space="preserve"> (expressed as negative)</w:t>
            </w:r>
            <w:r w:rsidRPr="00B275E2">
              <w:t xml:space="preserve"> </w:t>
            </w:r>
            <w:r w:rsidR="00F02B86" w:rsidRPr="00B275E2">
              <w:t xml:space="preserve">for the </w:t>
            </w:r>
            <w:r w:rsidR="007E5DDA" w:rsidRPr="00B275E2">
              <w:t>10</w:t>
            </w:r>
            <w:r w:rsidR="00E456F7" w:rsidRPr="00B275E2">
              <w:t xml:space="preserve"> ha of planted forest</w:t>
            </w:r>
            <w:r w:rsidR="007E5DDA" w:rsidRPr="00B275E2">
              <w:t xml:space="preserve"> (</w:t>
            </w:r>
            <w:r w:rsidR="00C32D13" w:rsidRPr="00B275E2">
              <w:t xml:space="preserve">Other </w:t>
            </w:r>
            <w:r w:rsidR="004A76A3" w:rsidRPr="00B275E2">
              <w:t>s</w:t>
            </w:r>
            <w:r w:rsidR="00C32D13" w:rsidRPr="00B275E2">
              <w:t>oftwoods</w:t>
            </w:r>
            <w:r w:rsidR="007E5DDA" w:rsidRPr="00B275E2">
              <w:t>)</w:t>
            </w:r>
            <w:r w:rsidR="00E456F7" w:rsidRPr="00B275E2">
              <w:t xml:space="preserve"> </w:t>
            </w:r>
            <w:r w:rsidR="007E5DDA" w:rsidRPr="00B275E2">
              <w:t>below the long-term average</w:t>
            </w:r>
            <w:r w:rsidR="00303E3E" w:rsidRPr="00B275E2">
              <w:t xml:space="preserve"> age (&lt; </w:t>
            </w:r>
            <w:r w:rsidR="00C32D13" w:rsidRPr="00B275E2">
              <w:t>28</w:t>
            </w:r>
            <w:r w:rsidR="00303E3E" w:rsidRPr="00B275E2">
              <w:t xml:space="preserve"> years)</w:t>
            </w:r>
            <w:r w:rsidR="00F02B86" w:rsidRPr="00B275E2">
              <w:t xml:space="preserve"> are</w:t>
            </w:r>
            <w:r w:rsidR="00E456F7" w:rsidRPr="00B275E2">
              <w:t>:</w:t>
            </w:r>
          </w:p>
          <w:p w14:paraId="02700DA6" w14:textId="5C9C1FE8" w:rsidR="00E456F7" w:rsidRPr="00B275E2" w:rsidRDefault="00E456F7" w:rsidP="00520279">
            <w:pPr>
              <w:pStyle w:val="Boxtext"/>
              <w:tabs>
                <w:tab w:val="left" w:pos="2589"/>
                <w:tab w:val="left" w:pos="4290"/>
              </w:tabs>
              <w:spacing w:before="20" w:after="60"/>
              <w:ind w:left="851"/>
            </w:pPr>
            <w:r w:rsidRPr="00B275E2">
              <w:t>CO</w:t>
            </w:r>
            <w:r w:rsidRPr="00B275E2">
              <w:rPr>
                <w:vertAlign w:val="subscript"/>
              </w:rPr>
              <w:t>2</w:t>
            </w:r>
            <w:r w:rsidRPr="00B275E2">
              <w:t xml:space="preserve"> </w:t>
            </w:r>
            <w:r w:rsidR="00F02B86" w:rsidRPr="00B275E2">
              <w:t>removal</w:t>
            </w:r>
            <w:r w:rsidRPr="00B275E2">
              <w:t xml:space="preserve">s </w:t>
            </w:r>
            <w:r w:rsidRPr="00B275E2">
              <w:tab/>
              <w:t xml:space="preserve">= </w:t>
            </w:r>
            <w:r w:rsidR="00303E3E" w:rsidRPr="00B275E2">
              <w:t>10</w:t>
            </w:r>
            <w:r w:rsidRPr="00B275E2">
              <w:t xml:space="preserve"> × </w:t>
            </w:r>
            <w:r w:rsidR="00C32D13" w:rsidRPr="00B275E2">
              <w:t>-29,</w:t>
            </w:r>
            <w:r w:rsidR="008B37C6" w:rsidRPr="00B275E2">
              <w:t>453</w:t>
            </w:r>
            <w:r w:rsidRPr="00B275E2">
              <w:tab/>
              <w:t xml:space="preserve">= </w:t>
            </w:r>
            <w:r w:rsidR="00E31219" w:rsidRPr="00B275E2">
              <w:t>-</w:t>
            </w:r>
            <w:r w:rsidR="004B2FBA" w:rsidRPr="00B275E2">
              <w:t>29</w:t>
            </w:r>
            <w:r w:rsidR="001D7EFA" w:rsidRPr="00B275E2">
              <w:t>4</w:t>
            </w:r>
            <w:r w:rsidRPr="00B275E2">
              <w:t>,</w:t>
            </w:r>
            <w:r w:rsidR="001D7EFA" w:rsidRPr="00B275E2">
              <w:t>5</w:t>
            </w:r>
            <w:r w:rsidR="004B2FBA" w:rsidRPr="00B275E2">
              <w:t>30</w:t>
            </w:r>
            <w:r w:rsidRPr="00B275E2">
              <w:t xml:space="preserve"> kg CO</w:t>
            </w:r>
            <w:r w:rsidRPr="00B275E2">
              <w:rPr>
                <w:vertAlign w:val="subscript"/>
              </w:rPr>
              <w:t>2</w:t>
            </w:r>
            <w:r w:rsidRPr="00B275E2">
              <w:t xml:space="preserve">-e </w:t>
            </w:r>
          </w:p>
          <w:p w14:paraId="1FC84657" w14:textId="13E1AD4F" w:rsidR="00E456F7" w:rsidRPr="00B275E2" w:rsidRDefault="00E456F7" w:rsidP="00520279">
            <w:pPr>
              <w:pStyle w:val="Boxtext"/>
              <w:spacing w:after="80"/>
            </w:pPr>
            <w:r w:rsidRPr="00B275E2">
              <w:t xml:space="preserve">The removals (expressed as a negative) for the </w:t>
            </w:r>
            <w:r w:rsidR="00F737B8" w:rsidRPr="00B275E2">
              <w:t>20 ha</w:t>
            </w:r>
            <w:r w:rsidR="00503861" w:rsidRPr="00B275E2">
              <w:t xml:space="preserve"> of planted forest (</w:t>
            </w:r>
            <w:r w:rsidR="00503861" w:rsidRPr="00B275E2">
              <w:rPr>
                <w:i/>
                <w:iCs/>
              </w:rPr>
              <w:t>Pinus radiata</w:t>
            </w:r>
            <w:r w:rsidR="00503861" w:rsidRPr="00B275E2">
              <w:t>)</w:t>
            </w:r>
            <w:r w:rsidR="00F737B8" w:rsidRPr="00B275E2">
              <w:t xml:space="preserve"> above the long-term average</w:t>
            </w:r>
            <w:r w:rsidR="00510DE2" w:rsidRPr="00B275E2">
              <w:t xml:space="preserve"> (&gt; 22 years)</w:t>
            </w:r>
            <w:r w:rsidRPr="00B275E2">
              <w:t>:</w:t>
            </w:r>
          </w:p>
          <w:p w14:paraId="613F3173" w14:textId="3A7B0B7A" w:rsidR="00E456F7" w:rsidRPr="00B275E2" w:rsidRDefault="00E456F7" w:rsidP="00520279">
            <w:pPr>
              <w:pStyle w:val="Boxtext"/>
              <w:tabs>
                <w:tab w:val="left" w:pos="2589"/>
                <w:tab w:val="left" w:pos="4290"/>
              </w:tabs>
              <w:spacing w:before="20" w:after="60"/>
              <w:ind w:left="851"/>
            </w:pPr>
            <w:r w:rsidRPr="00B275E2">
              <w:t>CO</w:t>
            </w:r>
            <w:r w:rsidRPr="00B275E2">
              <w:rPr>
                <w:vertAlign w:val="subscript"/>
              </w:rPr>
              <w:t>2</w:t>
            </w:r>
            <w:r w:rsidRPr="00B275E2">
              <w:t xml:space="preserve"> removals </w:t>
            </w:r>
            <w:r w:rsidRPr="00B275E2">
              <w:tab/>
              <w:t xml:space="preserve">= </w:t>
            </w:r>
            <w:r w:rsidR="00D269D8" w:rsidRPr="00B275E2">
              <w:t>20</w:t>
            </w:r>
            <w:r w:rsidRPr="00B275E2">
              <w:t xml:space="preserve"> × </w:t>
            </w:r>
            <w:r w:rsidR="008F5A0D" w:rsidRPr="00B275E2">
              <w:t>0</w:t>
            </w:r>
            <w:r w:rsidRPr="00B275E2">
              <w:tab/>
              <w:t xml:space="preserve">= </w:t>
            </w:r>
            <w:r w:rsidR="00D269D8" w:rsidRPr="00B275E2">
              <w:t>0</w:t>
            </w:r>
            <w:r w:rsidRPr="00B275E2">
              <w:t xml:space="preserve"> kg CO</w:t>
            </w:r>
            <w:r w:rsidRPr="00B275E2">
              <w:rPr>
                <w:vertAlign w:val="subscript"/>
              </w:rPr>
              <w:t>2</w:t>
            </w:r>
            <w:r w:rsidRPr="00B275E2">
              <w:t>e</w:t>
            </w:r>
          </w:p>
          <w:p w14:paraId="7CB18E7E" w14:textId="2846DDA4" w:rsidR="00A87C64" w:rsidRPr="00B275E2" w:rsidRDefault="00A87C64" w:rsidP="00A658D8">
            <w:pPr>
              <w:pStyle w:val="Boxtext"/>
            </w:pPr>
            <w:r w:rsidRPr="00B275E2">
              <w:t xml:space="preserve">The emissions for the 10 ha </w:t>
            </w:r>
            <w:r w:rsidR="009934F6" w:rsidRPr="00B275E2">
              <w:t>of planted forest (</w:t>
            </w:r>
            <w:r w:rsidR="009934F6" w:rsidRPr="00B275E2">
              <w:rPr>
                <w:i/>
                <w:iCs/>
              </w:rPr>
              <w:t>Pinus radiata</w:t>
            </w:r>
            <w:r w:rsidR="009934F6" w:rsidRPr="00B275E2">
              <w:t xml:space="preserve">) </w:t>
            </w:r>
            <w:r w:rsidR="002F5C77" w:rsidRPr="00B275E2">
              <w:t>that were deforested</w:t>
            </w:r>
            <w:r w:rsidR="0001103A" w:rsidRPr="00B275E2">
              <w:t>:</w:t>
            </w:r>
          </w:p>
          <w:p w14:paraId="3BB48AF2" w14:textId="21B7802B" w:rsidR="0001103A" w:rsidRPr="00B275E2" w:rsidRDefault="0001103A" w:rsidP="00520279">
            <w:pPr>
              <w:pStyle w:val="Boxtext"/>
              <w:tabs>
                <w:tab w:val="left" w:pos="2589"/>
                <w:tab w:val="left" w:pos="4290"/>
              </w:tabs>
              <w:spacing w:before="20" w:after="20"/>
              <w:ind w:left="851"/>
            </w:pPr>
            <w:r w:rsidRPr="00B275E2">
              <w:t>CO</w:t>
            </w:r>
            <w:r w:rsidRPr="00B275E2">
              <w:rPr>
                <w:vertAlign w:val="subscript"/>
              </w:rPr>
              <w:t>2</w:t>
            </w:r>
            <w:r w:rsidRPr="00B275E2">
              <w:t xml:space="preserve"> emissions </w:t>
            </w:r>
            <w:r w:rsidRPr="00B275E2">
              <w:tab/>
              <w:t>= 10 × 1,</w:t>
            </w:r>
            <w:r w:rsidR="008545E6" w:rsidRPr="00B275E2">
              <w:t>027,286</w:t>
            </w:r>
            <w:r w:rsidRPr="00B275E2">
              <w:tab/>
              <w:t xml:space="preserve">= </w:t>
            </w:r>
            <w:r w:rsidR="00E31219" w:rsidRPr="00B275E2">
              <w:t>1</w:t>
            </w:r>
            <w:r w:rsidR="007D06CC" w:rsidRPr="00B275E2">
              <w:t>0</w:t>
            </w:r>
            <w:r w:rsidRPr="00B275E2">
              <w:t>,</w:t>
            </w:r>
            <w:r w:rsidR="007D06CC" w:rsidRPr="00B275E2">
              <w:t>272,860</w:t>
            </w:r>
            <w:r w:rsidRPr="00B275E2">
              <w:t xml:space="preserve"> kg CO</w:t>
            </w:r>
            <w:r w:rsidRPr="00B275E2">
              <w:rPr>
                <w:vertAlign w:val="subscript"/>
              </w:rPr>
              <w:t>2</w:t>
            </w:r>
            <w:r w:rsidRPr="00B275E2">
              <w:t xml:space="preserve">-e </w:t>
            </w:r>
          </w:p>
          <w:p w14:paraId="28EE2E52" w14:textId="6A7705B9" w:rsidR="0086009C" w:rsidRPr="00B275E2" w:rsidRDefault="00E456F7" w:rsidP="00261225">
            <w:pPr>
              <w:pStyle w:val="Boxtext"/>
              <w:spacing w:after="180"/>
            </w:pPr>
            <w:r w:rsidRPr="00B275E2">
              <w:t>Therefore, total net CO</w:t>
            </w:r>
            <w:r w:rsidRPr="00B275E2">
              <w:rPr>
                <w:vertAlign w:val="subscript"/>
              </w:rPr>
              <w:t>2</w:t>
            </w:r>
            <w:r w:rsidRPr="00B275E2">
              <w:t xml:space="preserve">-e emissions = </w:t>
            </w:r>
            <w:r w:rsidR="007D06CC" w:rsidRPr="00B275E2">
              <w:t>10,272,860</w:t>
            </w:r>
            <w:r w:rsidRPr="00B275E2">
              <w:t xml:space="preserve"> –</w:t>
            </w:r>
            <w:r w:rsidR="00E31219" w:rsidRPr="00B275E2">
              <w:t xml:space="preserve"> 29</w:t>
            </w:r>
            <w:r w:rsidR="007D06CC" w:rsidRPr="00B275E2">
              <w:t>4</w:t>
            </w:r>
            <w:r w:rsidR="00E31219" w:rsidRPr="00B275E2">
              <w:t>,</w:t>
            </w:r>
            <w:r w:rsidR="007D06CC" w:rsidRPr="00B275E2">
              <w:t>5</w:t>
            </w:r>
            <w:r w:rsidR="00E31219" w:rsidRPr="00B275E2">
              <w:t>30</w:t>
            </w:r>
            <w:r w:rsidR="00044CE6" w:rsidRPr="00B275E2">
              <w:t xml:space="preserve"> – 0</w:t>
            </w:r>
            <w:r w:rsidR="004D217A" w:rsidRPr="00B275E2">
              <w:t xml:space="preserve"> </w:t>
            </w:r>
            <w:r w:rsidRPr="00B275E2">
              <w:t xml:space="preserve">= </w:t>
            </w:r>
            <w:r w:rsidR="00026EC6" w:rsidRPr="00B275E2">
              <w:t>9,</w:t>
            </w:r>
            <w:r w:rsidR="007D06CC" w:rsidRPr="00B275E2">
              <w:t>97</w:t>
            </w:r>
            <w:r w:rsidR="00026EC6" w:rsidRPr="00B275E2">
              <w:t>8</w:t>
            </w:r>
            <w:r w:rsidRPr="00B275E2">
              <w:t>,</w:t>
            </w:r>
            <w:r w:rsidR="00026EC6" w:rsidRPr="00B275E2">
              <w:t>33</w:t>
            </w:r>
            <w:r w:rsidR="006D5600" w:rsidRPr="00B275E2">
              <w:t>0</w:t>
            </w:r>
            <w:r w:rsidRPr="00B275E2">
              <w:t xml:space="preserve"> kg CO</w:t>
            </w:r>
            <w:r w:rsidRPr="00B275E2">
              <w:rPr>
                <w:vertAlign w:val="subscript"/>
              </w:rPr>
              <w:t>2</w:t>
            </w:r>
            <w:r w:rsidRPr="00B275E2">
              <w:t>-e.</w:t>
            </w:r>
          </w:p>
        </w:tc>
      </w:tr>
    </w:tbl>
    <w:p w14:paraId="32751022" w14:textId="6674521B" w:rsidR="00E22327" w:rsidRPr="00B275E2" w:rsidRDefault="00D53238" w:rsidP="002234D0">
      <w:pPr>
        <w:pStyle w:val="Heading3"/>
      </w:pPr>
      <w:bookmarkStart w:id="618" w:name="_Toc532904964"/>
      <w:r>
        <w:t xml:space="preserve"> </w:t>
      </w:r>
      <w:r w:rsidR="00E22327" w:rsidRPr="00B275E2">
        <w:t>Activity data uncertainties</w:t>
      </w:r>
    </w:p>
    <w:p w14:paraId="4FF8AA4A" w14:textId="7BB7654B" w:rsidR="00E22327" w:rsidRPr="00B275E2" w:rsidRDefault="00E22327" w:rsidP="00BC545F">
      <w:pPr>
        <w:pStyle w:val="BodyText"/>
      </w:pPr>
      <w:r w:rsidRPr="00B275E2">
        <w:t>National mapping uncertaint</w:t>
      </w:r>
      <w:r w:rsidR="008866FD" w:rsidRPr="00B275E2">
        <w:t xml:space="preserve">y </w:t>
      </w:r>
      <w:r w:rsidRPr="00B275E2">
        <w:t>for natural forest and pre-1990 planted forest land is ±5 per cent, and ±8 per cent for post-1989 forest land. As the guide combines planted forest types, we recommend applying the higher uncertainty of ±8 per cent.</w:t>
      </w:r>
    </w:p>
    <w:p w14:paraId="409F1F9A" w14:textId="0E69425E" w:rsidR="002C7317" w:rsidRPr="00B275E2" w:rsidRDefault="002C7317" w:rsidP="00C24B73">
      <w:pPr>
        <w:pStyle w:val="Heading3"/>
        <w:numPr>
          <w:ilvl w:val="0"/>
          <w:numId w:val="35"/>
        </w:numPr>
      </w:pPr>
      <w:r w:rsidRPr="00B275E2">
        <w:t>Emission factor derivation methodology</w:t>
      </w:r>
      <w:bookmarkEnd w:id="618"/>
    </w:p>
    <w:p w14:paraId="338C295E" w14:textId="3F11A0B5" w:rsidR="002C7317" w:rsidRPr="00B275E2" w:rsidRDefault="00EF4165" w:rsidP="00261225">
      <w:pPr>
        <w:pStyle w:val="BodyText"/>
        <w:spacing w:after="240"/>
        <w:rPr>
          <w:rFonts w:eastAsia="Times New Roman"/>
        </w:rPr>
      </w:pPr>
      <w:r w:rsidRPr="00B275E2">
        <w:rPr>
          <w:rFonts w:eastAsia="Times New Roman"/>
        </w:rPr>
        <w:t>The general approach to emissions estimation follows a simple equation</w:t>
      </w:r>
      <w:r w:rsidR="00760FD6" w:rsidRPr="00B275E2">
        <w:rPr>
          <w:rFonts w:eastAsia="Times New Roman"/>
        </w:rPr>
        <w:t xml:space="preserve"> (note</w:t>
      </w:r>
      <w:r w:rsidR="00920FA0" w:rsidRPr="00B275E2">
        <w:rPr>
          <w:rFonts w:eastAsia="Times New Roman"/>
        </w:rPr>
        <w:t xml:space="preserve"> </w:t>
      </w:r>
      <w:r w:rsidR="00760FD6" w:rsidRPr="00B275E2">
        <w:rPr>
          <w:rFonts w:eastAsia="Times New Roman"/>
        </w:rPr>
        <w:t xml:space="preserve">that Approach </w:t>
      </w:r>
      <w:r w:rsidR="004A76A3" w:rsidRPr="00B275E2">
        <w:rPr>
          <w:rFonts w:eastAsia="Times New Roman"/>
        </w:rPr>
        <w:t>t</w:t>
      </w:r>
      <w:r w:rsidR="00760FD6" w:rsidRPr="00B275E2">
        <w:rPr>
          <w:rFonts w:eastAsia="Times New Roman"/>
        </w:rPr>
        <w:t>wo for planted forests follows a different approach</w:t>
      </w:r>
      <w:r w:rsidRPr="00B275E2">
        <w:rPr>
          <w:rFonts w:eastAsia="Times New Roman"/>
        </w:rPr>
        <w:t>:</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505"/>
      </w:tblGrid>
      <w:tr w:rsidR="00AA3AE3" w:rsidRPr="00B275E2" w14:paraId="5B61819B" w14:textId="77777777" w:rsidTr="00261225">
        <w:tc>
          <w:tcPr>
            <w:tcW w:w="0" w:type="auto"/>
            <w:shd w:val="clear" w:color="auto" w:fill="D2DDE1" w:themeFill="background2"/>
          </w:tcPr>
          <w:p w14:paraId="02D90A01" w14:textId="308580B5" w:rsidR="00AA3AE3" w:rsidRPr="00B275E2" w:rsidRDefault="00AA3AE3" w:rsidP="00AA3AE3">
            <w:pPr>
              <w:pStyle w:val="Blueboxtext"/>
              <w:spacing w:before="240"/>
            </w:pPr>
            <m:oMathPara>
              <m:oMath>
                <m:r>
                  <m:rPr>
                    <m:sty m:val="p"/>
                  </m:rPr>
                  <w:rPr>
                    <w:rFonts w:ascii="Cambria Math" w:eastAsia="Times New Roman" w:hAnsi="Cambria Math"/>
                  </w:rPr>
                  <m:t>∆</m:t>
                </m:r>
                <m:r>
                  <w:rPr>
                    <w:rFonts w:ascii="Cambria Math" w:eastAsia="Times New Roman" w:hAnsi="Cambria Math"/>
                  </w:rPr>
                  <m:t>C</m:t>
                </m:r>
                <m:r>
                  <m:rPr>
                    <m:sty m:val="p"/>
                  </m:rPr>
                  <w:rPr>
                    <w:rFonts w:ascii="Cambria Math" w:eastAsia="Times New Roman" w:hAnsi="Cambria Math"/>
                  </w:rPr>
                  <m:t xml:space="preserve">= </m:t>
                </m:r>
                <m:nary>
                  <m:naryPr>
                    <m:chr m:val="∑"/>
                    <m:limLoc m:val="subSup"/>
                    <m:supHide m:val="1"/>
                    <m:ctrlPr>
                      <w:rPr>
                        <w:rFonts w:ascii="Cambria Math" w:eastAsia="Times New Roman" w:hAnsi="Cambria Math"/>
                      </w:rPr>
                    </m:ctrlPr>
                  </m:naryPr>
                  <m:sub>
                    <m:r>
                      <w:rPr>
                        <w:rFonts w:ascii="Cambria Math" w:eastAsia="Times New Roman" w:hAnsi="Cambria Math"/>
                      </w:rPr>
                      <m:t>ij</m:t>
                    </m:r>
                  </m:sub>
                  <m:sup/>
                  <m:e>
                    <m:d>
                      <m:dPr>
                        <m:begChr m:val="["/>
                        <m:endChr m:val="]"/>
                        <m:ctrlPr>
                          <w:rPr>
                            <w:rFonts w:ascii="Cambria Math" w:eastAsia="Times New Roman" w:hAnsi="Cambria Math"/>
                          </w:rPr>
                        </m:ctrlPr>
                      </m:dPr>
                      <m:e>
                        <m:sSub>
                          <m:sSubPr>
                            <m:ctrlPr>
                              <w:rPr>
                                <w:rFonts w:ascii="Cambria Math" w:eastAsia="Times New Roman" w:hAnsi="Cambria Math"/>
                              </w:rPr>
                            </m:ctrlPr>
                          </m:sSubPr>
                          <m:e>
                            <m:sSub>
                              <m:sSubPr>
                                <m:ctrlPr>
                                  <w:rPr>
                                    <w:rFonts w:ascii="Cambria Math" w:eastAsia="Times New Roman" w:hAnsi="Cambria Math"/>
                                  </w:rPr>
                                </m:ctrlPr>
                              </m:sSubPr>
                              <m:e>
                                <m:r>
                                  <w:rPr>
                                    <w:rFonts w:ascii="Cambria Math" w:eastAsia="Times New Roman" w:hAnsi="Cambria Math"/>
                                  </w:rPr>
                                  <m:t>A</m:t>
                                </m:r>
                              </m:e>
                              <m:sub>
                                <m:r>
                                  <w:rPr>
                                    <w:rFonts w:ascii="Cambria Math" w:eastAsia="Times New Roman" w:hAnsi="Cambria Math"/>
                                  </w:rPr>
                                  <m:t>ij</m:t>
                                </m:r>
                              </m:sub>
                            </m:sSub>
                            <m:r>
                              <m:rPr>
                                <m:sty m:val="p"/>
                              </m:rPr>
                              <w:rPr>
                                <w:rFonts w:ascii="Cambria Math" w:eastAsia="Times New Roman" w:hAnsi="Cambria Math"/>
                              </w:rPr>
                              <m:t>*</m:t>
                            </m:r>
                            <m:d>
                              <m:dPr>
                                <m:ctrlPr>
                                  <w:rPr>
                                    <w:rFonts w:ascii="Cambria Math" w:eastAsia="Times New Roman" w:hAnsi="Cambria Math"/>
                                  </w:rPr>
                                </m:ctrlPr>
                              </m:dPr>
                              <m:e>
                                <m:sSub>
                                  <m:sSubPr>
                                    <m:ctrlPr>
                                      <w:rPr>
                                        <w:rFonts w:ascii="Cambria Math" w:eastAsia="Times New Roman" w:hAnsi="Cambria Math"/>
                                      </w:rPr>
                                    </m:ctrlPr>
                                  </m:sSubPr>
                                  <m:e>
                                    <m:r>
                                      <w:rPr>
                                        <w:rFonts w:ascii="Cambria Math" w:eastAsia="Times New Roman" w:hAnsi="Cambria Math"/>
                                      </w:rPr>
                                      <m:t>C</m:t>
                                    </m:r>
                                  </m:e>
                                  <m:sub>
                                    <m:r>
                                      <m:rPr>
                                        <m:sty m:val="p"/>
                                      </m:rPr>
                                      <w:rPr>
                                        <w:rFonts w:ascii="Cambria Math" w:eastAsia="Times New Roman" w:hAnsi="Cambria Math"/>
                                      </w:rPr>
                                      <m:t>I</m:t>
                                    </m:r>
                                  </m:sub>
                                </m:sSub>
                                <m:r>
                                  <m:rPr>
                                    <m:sty m:val="p"/>
                                  </m:rPr>
                                  <w:rPr>
                                    <w:rFonts w:ascii="Cambria Math" w:eastAsia="Times New Roman" w:hAnsi="Cambria Math"/>
                                  </w:rPr>
                                  <m:t>-</m:t>
                                </m:r>
                                <m:sSub>
                                  <m:sSubPr>
                                    <m:ctrlPr>
                                      <w:rPr>
                                        <w:rFonts w:ascii="Cambria Math" w:eastAsia="Times New Roman" w:hAnsi="Cambria Math"/>
                                      </w:rPr>
                                    </m:ctrlPr>
                                  </m:sSubPr>
                                  <m:e>
                                    <m:r>
                                      <w:rPr>
                                        <w:rFonts w:ascii="Cambria Math" w:eastAsia="Times New Roman" w:hAnsi="Cambria Math"/>
                                      </w:rPr>
                                      <m:t>C</m:t>
                                    </m:r>
                                  </m:e>
                                  <m:sub>
                                    <m:r>
                                      <w:rPr>
                                        <w:rFonts w:ascii="Cambria Math" w:eastAsia="Times New Roman" w:hAnsi="Cambria Math"/>
                                      </w:rPr>
                                      <m:t>L</m:t>
                                    </m:r>
                                  </m:sub>
                                </m:sSub>
                              </m:e>
                            </m:d>
                          </m:e>
                          <m:sub>
                            <m:r>
                              <w:rPr>
                                <w:rFonts w:ascii="Cambria Math" w:eastAsia="Times New Roman" w:hAnsi="Cambria Math"/>
                              </w:rPr>
                              <m:t>ij</m:t>
                            </m:r>
                          </m:sub>
                        </m:sSub>
                      </m:e>
                    </m:d>
                  </m:e>
                </m:nary>
              </m:oMath>
            </m:oMathPara>
          </w:p>
        </w:tc>
      </w:tr>
    </w:tbl>
    <w:p w14:paraId="7CA74C83" w14:textId="77777777" w:rsidR="002C7317" w:rsidRPr="00B275E2" w:rsidRDefault="002C7317" w:rsidP="003B7848">
      <w:pPr>
        <w:pStyle w:val="BodyText"/>
        <w:keepNext/>
        <w:spacing w:before="240"/>
        <w:rPr>
          <w:rFonts w:eastAsia="Times New Roman"/>
        </w:rPr>
      </w:pPr>
      <w:r w:rsidRPr="00B275E2">
        <w:rPr>
          <w:rFonts w:eastAsia="Times New Roman"/>
        </w:rPr>
        <w:lastRenderedPageBreak/>
        <w:t>Where:</w:t>
      </w:r>
    </w:p>
    <w:p w14:paraId="615CDBC6" w14:textId="5D886E01" w:rsidR="00EF4165" w:rsidRPr="00B275E2" w:rsidRDefault="00EF4165" w:rsidP="003B7848">
      <w:pPr>
        <w:pStyle w:val="Bullet"/>
        <w:keepNext/>
      </w:pPr>
      <w:r w:rsidRPr="00B275E2">
        <w:t>∆</w:t>
      </w:r>
      <w:r w:rsidR="001E4717" w:rsidRPr="00B275E2">
        <w:t>C = c</w:t>
      </w:r>
      <w:r w:rsidRPr="00B275E2">
        <w:t xml:space="preserve">arbon stock change in the pool, </w:t>
      </w:r>
      <w:r w:rsidR="00BC403E" w:rsidRPr="00B275E2">
        <w:t xml:space="preserve">kg </w:t>
      </w:r>
      <w:r w:rsidRPr="00B275E2">
        <w:t>C yr</w:t>
      </w:r>
      <w:r w:rsidRPr="00B275E2">
        <w:rPr>
          <w:vertAlign w:val="superscript"/>
        </w:rPr>
        <w:t>-1</w:t>
      </w:r>
    </w:p>
    <w:p w14:paraId="42683058" w14:textId="77777777" w:rsidR="00EF4165" w:rsidRPr="00B275E2" w:rsidRDefault="00EF4165" w:rsidP="003B7848">
      <w:pPr>
        <w:pStyle w:val="Bullet"/>
      </w:pPr>
      <w:r w:rsidRPr="00B275E2">
        <w:t>A = area of land, ha</w:t>
      </w:r>
    </w:p>
    <w:p w14:paraId="32136BA6" w14:textId="67316FB3" w:rsidR="00EF4165" w:rsidRPr="00B275E2" w:rsidRDefault="415E617E" w:rsidP="003B7848">
      <w:pPr>
        <w:pStyle w:val="Bullet"/>
      </w:pPr>
      <w:r>
        <w:t>ij = corresponds to forest type, and whether harvested or deforested</w:t>
      </w:r>
    </w:p>
    <w:p w14:paraId="2E158451" w14:textId="77777777" w:rsidR="00EF4165" w:rsidRPr="00B275E2" w:rsidRDefault="00EF4165" w:rsidP="003B7848">
      <w:pPr>
        <w:pStyle w:val="Bullet"/>
      </w:pPr>
      <w:r w:rsidRPr="00B275E2">
        <w:t>CI = rate of gain of carbon, kg C ha</w:t>
      </w:r>
      <w:r w:rsidRPr="00B275E2">
        <w:rPr>
          <w:vertAlign w:val="superscript"/>
        </w:rPr>
        <w:t>-1</w:t>
      </w:r>
      <w:r w:rsidRPr="00B275E2">
        <w:t xml:space="preserve"> yr</w:t>
      </w:r>
      <w:r w:rsidRPr="00B275E2">
        <w:rPr>
          <w:vertAlign w:val="superscript"/>
        </w:rPr>
        <w:t>-1</w:t>
      </w:r>
    </w:p>
    <w:p w14:paraId="0ABE1F70" w14:textId="77777777" w:rsidR="00457464" w:rsidRPr="00B275E2" w:rsidRDefault="00EF4165" w:rsidP="004B224A">
      <w:pPr>
        <w:pStyle w:val="Bullet"/>
      </w:pPr>
      <w:r w:rsidRPr="00B275E2">
        <w:t>CL = rate of loss of carbon, kg C ha</w:t>
      </w:r>
      <w:r w:rsidRPr="00B275E2">
        <w:rPr>
          <w:vertAlign w:val="superscript"/>
        </w:rPr>
        <w:t>-1</w:t>
      </w:r>
      <w:r w:rsidRPr="00B275E2">
        <w:t xml:space="preserve"> yr</w:t>
      </w:r>
      <w:r w:rsidRPr="00B275E2">
        <w:rPr>
          <w:vertAlign w:val="superscript"/>
        </w:rPr>
        <w:t>-1</w:t>
      </w:r>
    </w:p>
    <w:p w14:paraId="1FDF27C6" w14:textId="79D8FC7F" w:rsidR="00457464" w:rsidRPr="00B275E2" w:rsidRDefault="00457464" w:rsidP="003B7848">
      <w:pPr>
        <w:pStyle w:val="BodyText"/>
        <w:rPr>
          <w:rFonts w:eastAsia="Times New Roman"/>
        </w:rPr>
      </w:pPr>
      <w:bookmarkStart w:id="619" w:name="_Toc532904965"/>
      <w:r w:rsidRPr="00B275E2">
        <w:rPr>
          <w:rFonts w:eastAsia="Times New Roman"/>
        </w:rPr>
        <w:t>The area refers to the area of each forest type and whether harvested or deforested in th</w:t>
      </w:r>
      <w:r w:rsidR="00BC403E" w:rsidRPr="00B275E2">
        <w:rPr>
          <w:rFonts w:eastAsia="Times New Roman"/>
        </w:rPr>
        <w:t>e</w:t>
      </w:r>
      <w:r w:rsidRPr="00B275E2">
        <w:rPr>
          <w:rFonts w:eastAsia="Times New Roman"/>
        </w:rPr>
        <w:t xml:space="preserve"> year of the inventory. The general approach is to multiply the area data by an emission factor to provide the source</w:t>
      </w:r>
      <w:r w:rsidR="00BC403E" w:rsidRPr="00B275E2">
        <w:rPr>
          <w:rFonts w:eastAsia="Times New Roman"/>
        </w:rPr>
        <w:t xml:space="preserve"> </w:t>
      </w:r>
      <w:r w:rsidRPr="00B275E2">
        <w:rPr>
          <w:rFonts w:eastAsia="Times New Roman"/>
        </w:rPr>
        <w:t>or sink estimates.</w:t>
      </w:r>
    </w:p>
    <w:p w14:paraId="4F059319" w14:textId="300D77B5" w:rsidR="00457464" w:rsidRPr="00B275E2" w:rsidRDefault="00457464" w:rsidP="003B7848">
      <w:pPr>
        <w:pStyle w:val="BodyText"/>
        <w:rPr>
          <w:rFonts w:eastAsia="Times New Roman"/>
        </w:rPr>
      </w:pPr>
      <w:r w:rsidRPr="00B275E2">
        <w:rPr>
          <w:rFonts w:eastAsia="Times New Roman"/>
        </w:rPr>
        <w:t>Quantities of carbon can be expressed in different wa</w:t>
      </w:r>
      <w:r w:rsidR="00030396" w:rsidRPr="00B275E2">
        <w:rPr>
          <w:rFonts w:eastAsia="Times New Roman"/>
        </w:rPr>
        <w:t xml:space="preserve">ys: carbon (C), </w:t>
      </w:r>
      <w:r w:rsidRPr="00B275E2">
        <w:rPr>
          <w:rFonts w:eastAsia="Times New Roman"/>
        </w:rPr>
        <w:t>CO</w:t>
      </w:r>
      <w:r w:rsidRPr="00B275E2">
        <w:rPr>
          <w:rFonts w:eastAsia="Times New Roman"/>
          <w:vertAlign w:val="subscript"/>
        </w:rPr>
        <w:t>2</w:t>
      </w:r>
      <w:r w:rsidRPr="00B275E2">
        <w:rPr>
          <w:rFonts w:eastAsia="Times New Roman"/>
        </w:rPr>
        <w:t xml:space="preserve"> and CO</w:t>
      </w:r>
      <w:r w:rsidRPr="00B275E2">
        <w:rPr>
          <w:rFonts w:eastAsia="Times New Roman"/>
          <w:vertAlign w:val="subscript"/>
        </w:rPr>
        <w:t>2</w:t>
      </w:r>
      <w:r w:rsidR="006B04DD" w:rsidRPr="00B275E2">
        <w:rPr>
          <w:rFonts w:eastAsia="Times New Roman"/>
        </w:rPr>
        <w:t>-</w:t>
      </w:r>
      <w:r w:rsidR="00030396" w:rsidRPr="00B275E2">
        <w:rPr>
          <w:rFonts w:eastAsia="Times New Roman"/>
        </w:rPr>
        <w:t>e</w:t>
      </w:r>
      <w:r w:rsidRPr="00B275E2">
        <w:rPr>
          <w:rFonts w:eastAsia="Times New Roman"/>
        </w:rPr>
        <w:t>.</w:t>
      </w:r>
    </w:p>
    <w:p w14:paraId="59495F3F" w14:textId="224F1446" w:rsidR="00457464" w:rsidRPr="00B275E2" w:rsidRDefault="00457464" w:rsidP="003B7848">
      <w:pPr>
        <w:pStyle w:val="BodyText"/>
        <w:rPr>
          <w:rFonts w:eastAsia="Times New Roman"/>
        </w:rPr>
      </w:pPr>
      <w:r w:rsidRPr="00B275E2">
        <w:rPr>
          <w:rFonts w:eastAsia="Times New Roman"/>
        </w:rPr>
        <w:t xml:space="preserve">To convert </w:t>
      </w:r>
      <w:r w:rsidR="006B04DD" w:rsidRPr="00B275E2">
        <w:rPr>
          <w:rFonts w:eastAsia="Times New Roman"/>
        </w:rPr>
        <w:t xml:space="preserve">carbon </w:t>
      </w:r>
      <w:r w:rsidRPr="00B275E2">
        <w:rPr>
          <w:rFonts w:eastAsia="Times New Roman"/>
        </w:rPr>
        <w:t xml:space="preserve">to </w:t>
      </w:r>
      <w:r w:rsidR="006B04DD" w:rsidRPr="00B275E2">
        <w:rPr>
          <w:rFonts w:eastAsia="Times New Roman"/>
        </w:rPr>
        <w:t>carbon dioxide,</w:t>
      </w:r>
      <w:r w:rsidRPr="00B275E2">
        <w:rPr>
          <w:rFonts w:eastAsia="Times New Roman"/>
        </w:rPr>
        <w:t xml:space="preserve"> multiply by </w:t>
      </w:r>
      <m:oMath>
        <m:f>
          <m:fPr>
            <m:type m:val="skw"/>
            <m:ctrlPr>
              <w:rPr>
                <w:rFonts w:ascii="Cambria Math" w:hAnsi="Cambria Math"/>
                <w:i/>
                <w:sz w:val="18"/>
              </w:rPr>
            </m:ctrlPr>
          </m:fPr>
          <m:num>
            <m:r>
              <w:rPr>
                <w:rFonts w:ascii="Cambria Math" w:hAnsi="Cambria Math"/>
                <w:sz w:val="18"/>
              </w:rPr>
              <m:t>44</m:t>
            </m:r>
          </m:num>
          <m:den>
            <m:r>
              <w:rPr>
                <w:rFonts w:ascii="Cambria Math" w:hAnsi="Cambria Math"/>
                <w:sz w:val="18"/>
              </w:rPr>
              <m:t>12</m:t>
            </m:r>
          </m:den>
        </m:f>
        <m:r>
          <m:rPr>
            <m:sty m:val="p"/>
          </m:rPr>
          <w:rPr>
            <w:rFonts w:ascii="Cambria Math" w:eastAsia="Times New Roman" w:hAnsi="Cambria Math" w:cstheme="minorHAnsi"/>
            <w:sz w:val="18"/>
          </w:rPr>
          <m:t xml:space="preserve"> </m:t>
        </m:r>
      </m:oMath>
      <w:r w:rsidRPr="00B275E2">
        <w:rPr>
          <w:rFonts w:eastAsia="Times New Roman"/>
        </w:rPr>
        <w:t>(ie</w:t>
      </w:r>
      <w:r w:rsidR="007841B5" w:rsidRPr="00B275E2">
        <w:rPr>
          <w:rFonts w:eastAsia="Times New Roman"/>
        </w:rPr>
        <w:t>,</w:t>
      </w:r>
      <w:r w:rsidRPr="00B275E2">
        <w:rPr>
          <w:rFonts w:eastAsia="Times New Roman"/>
        </w:rPr>
        <w:t xml:space="preserve"> the molecular conversion of carbon to carbon dioxide).</w:t>
      </w:r>
    </w:p>
    <w:p w14:paraId="661B8DCC" w14:textId="7068469F" w:rsidR="00C86D9A" w:rsidRPr="00B275E2" w:rsidRDefault="008E1C20" w:rsidP="003B7848">
      <w:pPr>
        <w:pStyle w:val="BodyText"/>
        <w:spacing w:after="240"/>
      </w:pPr>
      <w:r w:rsidRPr="00B275E2">
        <w:t xml:space="preserve">The approach to emissions estimation for Approach </w:t>
      </w:r>
      <w:r w:rsidR="004A76A3" w:rsidRPr="00B275E2">
        <w:t xml:space="preserve">two </w:t>
      </w:r>
      <w:r w:rsidRPr="00B275E2">
        <w:t>(averaging) follows this equation:</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505"/>
      </w:tblGrid>
      <w:tr w:rsidR="00C86D9A" w:rsidRPr="00B275E2" w14:paraId="22D8A156" w14:textId="77777777" w:rsidTr="00261225">
        <w:tc>
          <w:tcPr>
            <w:tcW w:w="0" w:type="auto"/>
            <w:shd w:val="clear" w:color="auto" w:fill="D2DDE1" w:themeFill="background2"/>
          </w:tcPr>
          <w:p w14:paraId="4A1BAD6A" w14:textId="0B668646" w:rsidR="00C86D9A" w:rsidRPr="00B275E2" w:rsidRDefault="00C86D9A" w:rsidP="000A3587">
            <w:pPr>
              <w:pStyle w:val="Blueboxtext"/>
              <w:spacing w:before="240"/>
            </w:pPr>
            <m:oMathPara>
              <m:oMath>
                <m:r>
                  <m:rPr>
                    <m:sty m:val="p"/>
                  </m:rPr>
                  <w:rPr>
                    <w:rFonts w:ascii="Cambria Math" w:eastAsia="Times New Roman" w:hAnsi="Cambria Math"/>
                  </w:rPr>
                  <m:t>∆</m:t>
                </m:r>
                <m:r>
                  <w:rPr>
                    <w:rFonts w:ascii="Cambria Math" w:eastAsia="Times New Roman" w:hAnsi="Cambria Math"/>
                  </w:rPr>
                  <m:t>C</m:t>
                </m:r>
                <m:r>
                  <m:rPr>
                    <m:sty m:val="p"/>
                  </m:rPr>
                  <w:rPr>
                    <w:rFonts w:ascii="Cambria Math" w:eastAsia="Times New Roman" w:hAnsi="Cambria Math"/>
                  </w:rPr>
                  <m:t xml:space="preserve">= </m:t>
                </m:r>
                <m:nary>
                  <m:naryPr>
                    <m:chr m:val="∑"/>
                    <m:limLoc m:val="subSup"/>
                    <m:supHide m:val="1"/>
                    <m:ctrlPr>
                      <w:rPr>
                        <w:rFonts w:ascii="Cambria Math" w:eastAsia="Times New Roman" w:hAnsi="Cambria Math"/>
                      </w:rPr>
                    </m:ctrlPr>
                  </m:naryPr>
                  <m:sub/>
                  <m:sup/>
                  <m:e>
                    <m:d>
                      <m:dPr>
                        <m:begChr m:val="["/>
                        <m:endChr m:val="]"/>
                        <m:ctrlPr>
                          <w:rPr>
                            <w:rFonts w:ascii="Cambria Math" w:eastAsia="Times New Roman" w:hAnsi="Cambria Math"/>
                          </w:rPr>
                        </m:ctrlPr>
                      </m:dPr>
                      <m:e>
                        <m:sSub>
                          <m:sSubPr>
                            <m:ctrlPr>
                              <w:rPr>
                                <w:rFonts w:ascii="Cambria Math" w:eastAsia="Times New Roman" w:hAnsi="Cambria Math"/>
                              </w:rPr>
                            </m:ctrlPr>
                          </m:sSubPr>
                          <m:e>
                            <m:sSub>
                              <m:sSubPr>
                                <m:ctrlPr>
                                  <w:rPr>
                                    <w:rFonts w:ascii="Cambria Math" w:eastAsia="Times New Roman" w:hAnsi="Cambria Math"/>
                                  </w:rPr>
                                </m:ctrlPr>
                              </m:sSubPr>
                              <m:e>
                                <m:r>
                                  <w:rPr>
                                    <w:rFonts w:ascii="Cambria Math" w:eastAsia="Times New Roman" w:hAnsi="Cambria Math"/>
                                  </w:rPr>
                                  <m:t>A</m:t>
                                </m:r>
                              </m:e>
                              <m:sub>
                                <m:r>
                                  <w:rPr>
                                    <w:rFonts w:ascii="Cambria Math" w:eastAsia="Times New Roman" w:hAnsi="Cambria Math"/>
                                  </w:rPr>
                                  <m:t>a</m:t>
                                </m:r>
                              </m:sub>
                            </m:sSub>
                            <m:r>
                              <m:rPr>
                                <m:sty m:val="p"/>
                              </m:rPr>
                              <w:rPr>
                                <w:rFonts w:ascii="Cambria Math" w:eastAsia="Times New Roman" w:hAnsi="Cambria Math"/>
                              </w:rPr>
                              <m:t>*</m:t>
                            </m:r>
                            <m:d>
                              <m:dPr>
                                <m:ctrlPr>
                                  <w:rPr>
                                    <w:rFonts w:ascii="Cambria Math" w:eastAsia="Times New Roman" w:hAnsi="Cambria Math"/>
                                  </w:rPr>
                                </m:ctrlPr>
                              </m:dPr>
                              <m:e>
                                <m:sSub>
                                  <m:sSubPr>
                                    <m:ctrlPr>
                                      <w:rPr>
                                        <w:rFonts w:ascii="Cambria Math" w:eastAsia="Times New Roman" w:hAnsi="Cambria Math"/>
                                      </w:rPr>
                                    </m:ctrlPr>
                                  </m:sSubPr>
                                  <m:e>
                                    <m:r>
                                      <w:rPr>
                                        <w:rFonts w:ascii="Cambria Math" w:eastAsia="Times New Roman" w:hAnsi="Cambria Math"/>
                                      </w:rPr>
                                      <m:t>C</m:t>
                                    </m:r>
                                  </m:e>
                                  <m:sub>
                                    <m:r>
                                      <m:rPr>
                                        <m:sty m:val="p"/>
                                      </m:rPr>
                                      <w:rPr>
                                        <w:rFonts w:ascii="Cambria Math" w:eastAsia="Times New Roman" w:hAnsi="Cambria Math"/>
                                      </w:rPr>
                                      <m:t>I</m:t>
                                    </m:r>
                                  </m:sub>
                                </m:sSub>
                              </m:e>
                            </m:d>
                            <m:r>
                              <w:rPr>
                                <w:rFonts w:ascii="Cambria Math" w:eastAsia="Times New Roman" w:hAnsi="Cambria Math"/>
                              </w:rPr>
                              <m:t>+A</m:t>
                            </m:r>
                          </m:e>
                          <m:sub>
                            <m:r>
                              <w:rPr>
                                <w:rFonts w:ascii="Cambria Math" w:eastAsia="Times New Roman" w:hAnsi="Cambria Math"/>
                              </w:rPr>
                              <m:t>b</m:t>
                            </m:r>
                          </m:sub>
                        </m:sSub>
                        <m:r>
                          <w:rPr>
                            <w:rFonts w:ascii="Cambria Math" w:eastAsia="Times New Roman" w:hAnsi="Cambria Math"/>
                          </w:rPr>
                          <m:t>*0</m:t>
                        </m:r>
                      </m:e>
                    </m:d>
                  </m:e>
                </m:nary>
              </m:oMath>
            </m:oMathPara>
          </w:p>
        </w:tc>
      </w:tr>
    </w:tbl>
    <w:p w14:paraId="6BB2344F" w14:textId="77777777" w:rsidR="00C86D9A" w:rsidRPr="00B275E2" w:rsidRDefault="00C86D9A" w:rsidP="003B7848">
      <w:pPr>
        <w:pStyle w:val="BodyText"/>
        <w:spacing w:before="240"/>
        <w:rPr>
          <w:rFonts w:eastAsia="Times New Roman"/>
        </w:rPr>
      </w:pPr>
      <w:r w:rsidRPr="00B275E2">
        <w:rPr>
          <w:rFonts w:eastAsia="Times New Roman"/>
        </w:rPr>
        <w:t>Where:</w:t>
      </w:r>
    </w:p>
    <w:p w14:paraId="430938A8" w14:textId="387F576E" w:rsidR="00B644F6" w:rsidRPr="00B275E2" w:rsidRDefault="00B644F6" w:rsidP="003B7848">
      <w:pPr>
        <w:pStyle w:val="Bullet"/>
      </w:pPr>
      <w:r w:rsidRPr="00B275E2">
        <w:t>∆C = carbon stock change in the pool, kg C yr</w:t>
      </w:r>
      <w:r w:rsidRPr="00B275E2">
        <w:rPr>
          <w:sz w:val="17"/>
          <w:szCs w:val="17"/>
          <w:vertAlign w:val="superscript"/>
        </w:rPr>
        <w:t>-1</w:t>
      </w:r>
    </w:p>
    <w:p w14:paraId="53CF5760" w14:textId="7524D677" w:rsidR="00B644F6" w:rsidRPr="00B275E2" w:rsidRDefault="00B644F6" w:rsidP="003B7848">
      <w:pPr>
        <w:pStyle w:val="Bullet"/>
      </w:pPr>
      <w:r w:rsidRPr="00B275E2">
        <w:t>A</w:t>
      </w:r>
      <w:r w:rsidRPr="00B275E2">
        <w:rPr>
          <w:sz w:val="17"/>
          <w:szCs w:val="17"/>
          <w:vertAlign w:val="subscript"/>
        </w:rPr>
        <w:t>a</w:t>
      </w:r>
      <w:r w:rsidRPr="00B275E2">
        <w:t xml:space="preserve"> = area of planted forest land that is yet to reach its long-term average, ha</w:t>
      </w:r>
    </w:p>
    <w:p w14:paraId="5457EF9D" w14:textId="21449263" w:rsidR="00B644F6" w:rsidRPr="00B275E2" w:rsidRDefault="00B644F6" w:rsidP="003B7848">
      <w:pPr>
        <w:pStyle w:val="Bullet"/>
      </w:pPr>
      <w:r w:rsidRPr="00B275E2">
        <w:t>A</w:t>
      </w:r>
      <w:r w:rsidRPr="00B275E2">
        <w:rPr>
          <w:sz w:val="17"/>
          <w:szCs w:val="17"/>
          <w:vertAlign w:val="subscript"/>
        </w:rPr>
        <w:t>b</w:t>
      </w:r>
      <w:r w:rsidRPr="00B275E2">
        <w:t xml:space="preserve"> =area of planted forest land that </w:t>
      </w:r>
      <w:r w:rsidRPr="00B275E2">
        <w:rPr>
          <w:i/>
          <w:iCs/>
        </w:rPr>
        <w:t>has</w:t>
      </w:r>
      <w:r w:rsidRPr="00B275E2">
        <w:t xml:space="preserve"> reached its long-term average, ha</w:t>
      </w:r>
    </w:p>
    <w:p w14:paraId="4C904FE6" w14:textId="5EB09CE1" w:rsidR="00B644F6" w:rsidRPr="00B275E2" w:rsidRDefault="00B644F6" w:rsidP="00184503">
      <w:pPr>
        <w:pStyle w:val="Bullet"/>
      </w:pPr>
      <w:r w:rsidRPr="00B275E2">
        <w:t>CI = rate of gain of carbon, kg C ha</w:t>
      </w:r>
      <w:r w:rsidRPr="00B275E2">
        <w:rPr>
          <w:sz w:val="17"/>
          <w:szCs w:val="17"/>
          <w:vertAlign w:val="superscript"/>
        </w:rPr>
        <w:t>-1</w:t>
      </w:r>
      <w:r w:rsidRPr="00B275E2">
        <w:t xml:space="preserve"> yr</w:t>
      </w:r>
      <w:r w:rsidRPr="00B275E2">
        <w:rPr>
          <w:sz w:val="17"/>
          <w:szCs w:val="17"/>
          <w:vertAlign w:val="superscript"/>
        </w:rPr>
        <w:t>-1</w:t>
      </w:r>
      <w:r w:rsidRPr="00B275E2">
        <w:t>.</w:t>
      </w:r>
    </w:p>
    <w:p w14:paraId="51197643" w14:textId="6AE7D92A" w:rsidR="002C7317" w:rsidRPr="00B275E2" w:rsidRDefault="484E0E6F" w:rsidP="00C24B73">
      <w:pPr>
        <w:pStyle w:val="Heading3"/>
        <w:numPr>
          <w:ilvl w:val="0"/>
          <w:numId w:val="35"/>
        </w:numPr>
      </w:pPr>
      <w:bookmarkStart w:id="620" w:name="_Toc532904968"/>
      <w:bookmarkEnd w:id="619"/>
      <w:r>
        <w:t>Assumptions, limitations and uncertainties</w:t>
      </w:r>
      <w:bookmarkEnd w:id="620"/>
    </w:p>
    <w:p w14:paraId="465D80B6" w14:textId="5D1F0243" w:rsidR="00457464" w:rsidRPr="00B275E2" w:rsidRDefault="0020720F" w:rsidP="003B7848">
      <w:pPr>
        <w:pStyle w:val="BodyText"/>
      </w:pPr>
      <w:r w:rsidRPr="00B275E2">
        <w:t>The emission factors are</w:t>
      </w:r>
      <w:r w:rsidR="00457464" w:rsidRPr="00B275E2">
        <w:t xml:space="preserve"> based on national average data </w:t>
      </w:r>
      <w:r w:rsidRPr="00B275E2">
        <w:t>and</w:t>
      </w:r>
      <w:r w:rsidR="00512236" w:rsidRPr="00B275E2">
        <w:t xml:space="preserve"> </w:t>
      </w:r>
      <w:r w:rsidRPr="00B275E2">
        <w:t>t</w:t>
      </w:r>
      <w:r w:rsidR="00457464" w:rsidRPr="00B275E2">
        <w:t>he uncertainties will not necessarily reflect sub-national circumstances.</w:t>
      </w:r>
    </w:p>
    <w:p w14:paraId="30E127B1" w14:textId="58592A78" w:rsidR="00457464" w:rsidRPr="00B275E2" w:rsidRDefault="00BD5F56" w:rsidP="003B7848">
      <w:pPr>
        <w:pStyle w:val="BodyText"/>
      </w:pPr>
      <w:r w:rsidRPr="00B275E2">
        <w:t>For natural forests, d</w:t>
      </w:r>
      <w:r w:rsidR="00F574CC" w:rsidRPr="00B275E2">
        <w:t xml:space="preserve">eforestation and harvest loss data are based on </w:t>
      </w:r>
      <w:r w:rsidR="00457464" w:rsidRPr="00B275E2">
        <w:t>the national stock average</w:t>
      </w:r>
      <w:r w:rsidR="004D0FA8" w:rsidRPr="00B275E2">
        <w:t>, which come from</w:t>
      </w:r>
      <w:r w:rsidRPr="00B275E2">
        <w:t xml:space="preserve"> </w:t>
      </w:r>
      <w:r w:rsidR="00457464" w:rsidRPr="00B275E2">
        <w:t>the most recent carbon stock inventory</w:t>
      </w:r>
      <w:r w:rsidRPr="00B275E2">
        <w:t xml:space="preserve"> for these forests.</w:t>
      </w:r>
      <w:r w:rsidR="00457464" w:rsidRPr="00B275E2">
        <w:t xml:space="preserve"> </w:t>
      </w:r>
    </w:p>
    <w:p w14:paraId="3325C6AA" w14:textId="0D04C956" w:rsidR="00727BEF" w:rsidRPr="00B275E2" w:rsidRDefault="00727BEF" w:rsidP="003B7848">
      <w:pPr>
        <w:pStyle w:val="BodyText"/>
      </w:pPr>
      <w:r w:rsidRPr="00B275E2">
        <w:t xml:space="preserve">The emission factors </w:t>
      </w:r>
      <w:r w:rsidR="006C44D9" w:rsidRPr="00B275E2">
        <w:t xml:space="preserve">for planted forest (Approach </w:t>
      </w:r>
      <w:r w:rsidR="000A668A" w:rsidRPr="00B275E2">
        <w:t>one</w:t>
      </w:r>
      <w:r w:rsidR="006C44D9" w:rsidRPr="00B275E2">
        <w:t>) and natural forest</w:t>
      </w:r>
      <w:r w:rsidRPr="00B275E2">
        <w:t xml:space="preserve"> in this </w:t>
      </w:r>
      <w:r w:rsidR="000A668A" w:rsidRPr="00B275E2">
        <w:t xml:space="preserve">guide </w:t>
      </w:r>
      <w:r w:rsidRPr="00B275E2">
        <w:t xml:space="preserve">are based on </w:t>
      </w:r>
      <w:r w:rsidRPr="00B275E2">
        <w:rPr>
          <w:i/>
          <w:iCs/>
        </w:rPr>
        <w:t xml:space="preserve">New Zealand’s </w:t>
      </w:r>
      <w:r w:rsidR="005721FA" w:rsidRPr="00B275E2">
        <w:rPr>
          <w:i/>
          <w:iCs/>
        </w:rPr>
        <w:t>Greenhouse</w:t>
      </w:r>
      <w:r w:rsidRPr="00B275E2">
        <w:rPr>
          <w:i/>
          <w:iCs/>
        </w:rPr>
        <w:t xml:space="preserve"> </w:t>
      </w:r>
      <w:r w:rsidR="005721FA" w:rsidRPr="00B275E2">
        <w:rPr>
          <w:i/>
          <w:iCs/>
        </w:rPr>
        <w:t>Gas</w:t>
      </w:r>
      <w:r w:rsidR="007137D3" w:rsidRPr="00B275E2">
        <w:rPr>
          <w:i/>
          <w:iCs/>
        </w:rPr>
        <w:t xml:space="preserve"> I</w:t>
      </w:r>
      <w:r w:rsidRPr="00B275E2">
        <w:rPr>
          <w:i/>
          <w:iCs/>
        </w:rPr>
        <w:t>nventory</w:t>
      </w:r>
      <w:r w:rsidR="007137D3" w:rsidRPr="00B275E2">
        <w:rPr>
          <w:i/>
          <w:iCs/>
        </w:rPr>
        <w:t xml:space="preserve"> </w:t>
      </w:r>
      <w:r w:rsidR="00624D62" w:rsidRPr="00B275E2">
        <w:rPr>
          <w:i/>
          <w:iCs/>
        </w:rPr>
        <w:t>1990</w:t>
      </w:r>
      <w:r w:rsidR="00184503" w:rsidRPr="00B275E2">
        <w:rPr>
          <w:i/>
          <w:iCs/>
        </w:rPr>
        <w:t>–</w:t>
      </w:r>
      <w:r w:rsidR="00624D62" w:rsidRPr="00B275E2">
        <w:rPr>
          <w:i/>
          <w:iCs/>
        </w:rPr>
        <w:t>2020</w:t>
      </w:r>
      <w:r w:rsidRPr="00B275E2">
        <w:t xml:space="preserve">. </w:t>
      </w:r>
      <w:r w:rsidR="006C44D9" w:rsidRPr="00B275E2">
        <w:t xml:space="preserve">The </w:t>
      </w:r>
      <w:r w:rsidR="000D5728" w:rsidRPr="00B275E2">
        <w:t>long-term</w:t>
      </w:r>
      <w:r w:rsidR="002823B7" w:rsidRPr="00B275E2">
        <w:t xml:space="preserve"> </w:t>
      </w:r>
      <w:r w:rsidR="000D5728" w:rsidRPr="00B275E2">
        <w:t>average carbon stock</w:t>
      </w:r>
      <w:r w:rsidR="006C44D9" w:rsidRPr="00B275E2">
        <w:t xml:space="preserve"> for planted forest (Approach </w:t>
      </w:r>
      <w:r w:rsidR="000A668A" w:rsidRPr="00B275E2">
        <w:t>two</w:t>
      </w:r>
      <w:r w:rsidR="006C44D9" w:rsidRPr="00B275E2">
        <w:t xml:space="preserve">) are based on </w:t>
      </w:r>
      <w:r w:rsidR="005478C6" w:rsidRPr="00B275E2">
        <w:t>Wakelin et al. (unpublished</w:t>
      </w:r>
      <w:r w:rsidR="002823B7" w:rsidRPr="00B275E2">
        <w:rPr>
          <w:rStyle w:val="FootnoteReference"/>
          <w:rFonts w:eastAsia="Times New Roman"/>
        </w:rPr>
        <w:footnoteReference w:id="83"/>
      </w:r>
      <w:r w:rsidR="005478C6" w:rsidRPr="00B275E2">
        <w:t>).</w:t>
      </w:r>
      <w:r w:rsidRPr="00B275E2">
        <w:t xml:space="preserve"> Th</w:t>
      </w:r>
      <w:r w:rsidR="005478C6" w:rsidRPr="00B275E2">
        <w:t>ese emission factors</w:t>
      </w:r>
      <w:r w:rsidRPr="00B275E2">
        <w:t xml:space="preserve"> </w:t>
      </w:r>
      <w:r w:rsidR="003C7D67" w:rsidRPr="00B275E2">
        <w:t>represent</w:t>
      </w:r>
      <w:r w:rsidRPr="00B275E2">
        <w:t xml:space="preserve"> the most up</w:t>
      </w:r>
      <w:r w:rsidR="00E55E22" w:rsidRPr="00B275E2">
        <w:t>-</w:t>
      </w:r>
      <w:r w:rsidRPr="00B275E2">
        <w:t>to</w:t>
      </w:r>
      <w:r w:rsidR="00E55E22" w:rsidRPr="00B275E2">
        <w:t>-</w:t>
      </w:r>
      <w:r w:rsidRPr="00B275E2">
        <w:t xml:space="preserve">date </w:t>
      </w:r>
      <w:r w:rsidR="00E55E22" w:rsidRPr="00B275E2">
        <w:t>forestry</w:t>
      </w:r>
      <w:r w:rsidRPr="00B275E2">
        <w:t xml:space="preserve"> data available. </w:t>
      </w:r>
      <w:r w:rsidR="00FB6E40" w:rsidRPr="00B275E2">
        <w:t>ETS</w:t>
      </w:r>
      <w:r w:rsidRPr="00B275E2">
        <w:t xml:space="preserve"> look</w:t>
      </w:r>
      <w:r w:rsidR="00FB6E40" w:rsidRPr="00B275E2">
        <w:t>-</w:t>
      </w:r>
      <w:r w:rsidRPr="00B275E2">
        <w:t>up tables are another source of emissions factors</w:t>
      </w:r>
      <w:r w:rsidR="000A668A" w:rsidRPr="00B275E2">
        <w:t>;</w:t>
      </w:r>
      <w:r w:rsidRPr="00B275E2">
        <w:t xml:space="preserve"> however</w:t>
      </w:r>
      <w:r w:rsidR="000A668A" w:rsidRPr="00B275E2">
        <w:t>,</w:t>
      </w:r>
      <w:r w:rsidRPr="00B275E2">
        <w:t xml:space="preserve"> </w:t>
      </w:r>
      <w:r w:rsidR="00244B9F" w:rsidRPr="00B275E2">
        <w:t xml:space="preserve">these </w:t>
      </w:r>
      <w:r w:rsidRPr="00B275E2">
        <w:t xml:space="preserve">are not updated as frequently. </w:t>
      </w:r>
      <w:r w:rsidR="00F35A30" w:rsidRPr="00B275E2">
        <w:t xml:space="preserve">The emission factors are based on national average data and the uncertainties will not necessarily reflect sub-national circumstances and will not be exactly the same as the ETS estimates of carbon sequestration which differentiate based on tree age, region and to a limited extent, </w:t>
      </w:r>
      <w:r w:rsidR="00F35A30" w:rsidRPr="00B275E2">
        <w:lastRenderedPageBreak/>
        <w:t>the</w:t>
      </w:r>
      <w:r w:rsidR="00184503" w:rsidRPr="00B275E2">
        <w:t> </w:t>
      </w:r>
      <w:r w:rsidR="00F35A30" w:rsidRPr="00B275E2">
        <w:t xml:space="preserve">species. </w:t>
      </w:r>
      <w:r w:rsidRPr="00B275E2">
        <w:t>Selection of the most</w:t>
      </w:r>
      <w:r w:rsidR="00584992" w:rsidRPr="00B275E2">
        <w:t xml:space="preserve"> </w:t>
      </w:r>
      <w:r w:rsidRPr="00B275E2">
        <w:t xml:space="preserve">appropriate </w:t>
      </w:r>
      <w:r w:rsidR="00CC3295" w:rsidRPr="00B275E2">
        <w:t>emission</w:t>
      </w:r>
      <w:r w:rsidRPr="00B275E2">
        <w:t xml:space="preserve"> factor should be guided by the </w:t>
      </w:r>
      <w:r w:rsidR="00394610" w:rsidRPr="00B275E2">
        <w:t>requirements of the i</w:t>
      </w:r>
      <w:r w:rsidR="00BD275E" w:rsidRPr="00B275E2">
        <w:t>n</w:t>
      </w:r>
      <w:r w:rsidR="00394610" w:rsidRPr="00B275E2">
        <w:t>tended</w:t>
      </w:r>
      <w:r w:rsidRPr="00B275E2">
        <w:t xml:space="preserve"> use and by the user</w:t>
      </w:r>
      <w:r w:rsidR="00874631" w:rsidRPr="00B275E2">
        <w:t>’</w:t>
      </w:r>
      <w:r w:rsidRPr="00B275E2">
        <w:t>s inventory.</w:t>
      </w:r>
    </w:p>
    <w:p w14:paraId="5681A43C" w14:textId="518DD034" w:rsidR="003A7B65" w:rsidRPr="00B275E2" w:rsidRDefault="003A7B65" w:rsidP="00C24B73">
      <w:pPr>
        <w:pStyle w:val="Heading2"/>
        <w:numPr>
          <w:ilvl w:val="0"/>
          <w:numId w:val="34"/>
        </w:numPr>
        <w:spacing w:before="280"/>
      </w:pPr>
      <w:bookmarkStart w:id="621" w:name="_Toc532904969"/>
      <w:bookmarkStart w:id="622" w:name="_Toc600604"/>
      <w:bookmarkStart w:id="623" w:name="_Toc529960726"/>
      <w:bookmarkStart w:id="624" w:name="_Toc111536817"/>
      <w:r w:rsidRPr="00B275E2">
        <w:t>Agriculture</w:t>
      </w:r>
      <w:bookmarkEnd w:id="621"/>
      <w:bookmarkEnd w:id="622"/>
      <w:bookmarkEnd w:id="624"/>
    </w:p>
    <w:p w14:paraId="407F7C28" w14:textId="40FA33CC" w:rsidR="00B11032" w:rsidRPr="00B275E2" w:rsidRDefault="00002769" w:rsidP="00040137">
      <w:pPr>
        <w:pStyle w:val="BodyText"/>
        <w:spacing w:after="100"/>
      </w:pPr>
      <w:r w:rsidRPr="00B275E2">
        <w:t xml:space="preserve">Emissions from agriculture are produced in several ways. </w:t>
      </w:r>
      <w:r w:rsidR="00C27722" w:rsidRPr="00B275E2">
        <w:t xml:space="preserve">This section includes emissions from enteric fermentation, manure management and fertiliser use. </w:t>
      </w:r>
    </w:p>
    <w:p w14:paraId="75CAE09F" w14:textId="17439FB3" w:rsidR="00B11032" w:rsidRPr="00B275E2" w:rsidRDefault="00B11032" w:rsidP="00040137">
      <w:pPr>
        <w:pStyle w:val="Bullet"/>
        <w:spacing w:after="100"/>
      </w:pPr>
      <w:r w:rsidRPr="00B275E2">
        <w:t xml:space="preserve">Methane </w:t>
      </w:r>
      <w:r w:rsidR="00002769" w:rsidRPr="00B275E2">
        <w:t xml:space="preserve">from enteric fermentation </w:t>
      </w:r>
      <w:r w:rsidRPr="00B275E2">
        <w:t>is a by-product of ruminant digestion</w:t>
      </w:r>
      <w:r w:rsidR="00445857" w:rsidRPr="00B275E2">
        <w:t>. C</w:t>
      </w:r>
      <w:r w:rsidRPr="00B275E2">
        <w:t xml:space="preserve">attle and sheep are the largest sources of methane in this sector. </w:t>
      </w:r>
    </w:p>
    <w:p w14:paraId="700145B2" w14:textId="77777777" w:rsidR="00B12CD8" w:rsidRPr="00B275E2" w:rsidRDefault="00445857" w:rsidP="00040137">
      <w:pPr>
        <w:pStyle w:val="Bullet"/>
        <w:spacing w:after="100"/>
      </w:pPr>
      <w:r w:rsidRPr="00B275E2">
        <w:t>Storing and treating</w:t>
      </w:r>
      <w:r w:rsidR="00B11032" w:rsidRPr="00B275E2">
        <w:t xml:space="preserve"> manure, including spread</w:t>
      </w:r>
      <w:r w:rsidRPr="00B275E2">
        <w:t>ing it</w:t>
      </w:r>
      <w:r w:rsidR="00B11032" w:rsidRPr="00B275E2">
        <w:t xml:space="preserve"> onto pasture, produces methane and nitrous oxide. </w:t>
      </w:r>
    </w:p>
    <w:p w14:paraId="031828A7" w14:textId="5A1CCCDC" w:rsidR="00B11032" w:rsidRPr="00B275E2" w:rsidRDefault="00B12CD8" w:rsidP="00040137">
      <w:pPr>
        <w:pStyle w:val="Bullet"/>
        <w:spacing w:after="100"/>
      </w:pPr>
      <w:r w:rsidRPr="00B275E2">
        <w:t>Losses from manure that is simply deposited in paddocks, which is distinct from losses from agricultural soils.</w:t>
      </w:r>
    </w:p>
    <w:p w14:paraId="50DC4FEE" w14:textId="7DF46CC1" w:rsidR="00B11032" w:rsidRPr="00B275E2" w:rsidRDefault="00B11032" w:rsidP="00040137">
      <w:pPr>
        <w:pStyle w:val="Bullet"/>
        <w:spacing w:after="100"/>
      </w:pPr>
      <w:r w:rsidRPr="00B275E2">
        <w:t>Applying nitrogen (urea</w:t>
      </w:r>
      <w:r w:rsidR="00445857" w:rsidRPr="00B275E2">
        <w:t>-</w:t>
      </w:r>
      <w:r w:rsidRPr="00B275E2">
        <w:t xml:space="preserve">sourced or synthetic) fertiliser onto land produces nitrous oxide and carbon dioxide </w:t>
      </w:r>
      <w:r w:rsidR="003E4D68" w:rsidRPr="00B275E2">
        <w:t xml:space="preserve">(urea) </w:t>
      </w:r>
      <w:r w:rsidRPr="00B275E2">
        <w:t xml:space="preserve">emissions. </w:t>
      </w:r>
    </w:p>
    <w:p w14:paraId="53B0CB99" w14:textId="048904A1" w:rsidR="00B11032" w:rsidRPr="00B275E2" w:rsidRDefault="00445857" w:rsidP="00040137">
      <w:pPr>
        <w:pStyle w:val="Bullet"/>
        <w:spacing w:after="100"/>
      </w:pPr>
      <w:r w:rsidRPr="00B275E2">
        <w:t>Applying</w:t>
      </w:r>
      <w:r w:rsidR="00B11032" w:rsidRPr="00B275E2">
        <w:t xml:space="preserve"> lime and dolomite fertilisers results in carbon dioxide emissions. </w:t>
      </w:r>
    </w:p>
    <w:p w14:paraId="26BD092A" w14:textId="184F3E43" w:rsidR="00E506DF" w:rsidRPr="00B275E2" w:rsidRDefault="00E506DF" w:rsidP="00040137">
      <w:pPr>
        <w:pStyle w:val="BodyText"/>
        <w:spacing w:before="100" w:after="100"/>
      </w:pPr>
      <w:r w:rsidRPr="00B275E2">
        <w:t xml:space="preserve">If an organisation directly owns and manages livestock, agriculture </w:t>
      </w:r>
      <w:r w:rsidR="00A90D22" w:rsidRPr="00B275E2">
        <w:t>emission sources</w:t>
      </w:r>
      <w:r w:rsidRPr="00B275E2">
        <w:t xml:space="preserve"> are direct (Scope 1).</w:t>
      </w:r>
    </w:p>
    <w:p w14:paraId="33144C5C" w14:textId="0FF41A46" w:rsidR="004D49ED" w:rsidRPr="00B275E2" w:rsidRDefault="004D49ED" w:rsidP="00040137">
      <w:pPr>
        <w:pStyle w:val="BodyText"/>
        <w:spacing w:before="100" w:after="100"/>
      </w:pPr>
      <w:r w:rsidRPr="00B275E2">
        <w:t xml:space="preserve">Note the livestock emissions you calculate using these emission factors are intended to be an approximate estimate of emissions only, and are based on the average per-animal biological emissions of New Zealand’s main farmed livestock </w:t>
      </w:r>
      <w:r w:rsidR="00533C04" w:rsidRPr="00B275E2">
        <w:t>categories</w:t>
      </w:r>
      <w:r w:rsidRPr="00B275E2">
        <w:t>. Actual animal emissions for an</w:t>
      </w:r>
      <w:r w:rsidR="00D57B8A" w:rsidRPr="00B275E2">
        <w:t> </w:t>
      </w:r>
      <w:r w:rsidRPr="00B275E2">
        <w:t xml:space="preserve">individual farm will differ depending on a number of factors, including live-weights, productivity, and feed quality. Organisations looking for a </w:t>
      </w:r>
      <w:r w:rsidR="002D40F0" w:rsidRPr="00B275E2">
        <w:t xml:space="preserve">more accurate </w:t>
      </w:r>
      <w:r w:rsidR="0064523E" w:rsidRPr="00B275E2">
        <w:t>farm</w:t>
      </w:r>
      <w:r w:rsidR="002D40F0" w:rsidRPr="00B275E2">
        <w:t>-</w:t>
      </w:r>
      <w:r w:rsidR="0064523E" w:rsidRPr="00B275E2">
        <w:t xml:space="preserve">based </w:t>
      </w:r>
      <w:r w:rsidRPr="00B275E2">
        <w:t xml:space="preserve">estimate of their agricultural emissions are encouraged to use </w:t>
      </w:r>
      <w:r w:rsidR="00740873" w:rsidRPr="00B275E2">
        <w:t>alternative</w:t>
      </w:r>
      <w:r w:rsidR="002D40F0" w:rsidRPr="00B275E2">
        <w:t xml:space="preserve"> GHG calculator tools</w:t>
      </w:r>
      <w:r w:rsidR="00740873" w:rsidRPr="00B275E2">
        <w:t xml:space="preserve">. An approved list of tools by the He Waka Eke Noa programme can be found here: </w:t>
      </w:r>
      <w:hyperlink r:id="rId119" w:history="1">
        <w:r w:rsidR="00CD06BC" w:rsidRPr="00B275E2">
          <w:rPr>
            <w:rStyle w:val="Hyperlink"/>
          </w:rPr>
          <w:t>Know your number – Ag Matters</w:t>
        </w:r>
      </w:hyperlink>
      <w:r w:rsidRPr="00B275E2">
        <w:t>.</w:t>
      </w:r>
    </w:p>
    <w:p w14:paraId="31CFF05D" w14:textId="3EC24BCB" w:rsidR="003A7B65" w:rsidRPr="00B275E2" w:rsidRDefault="003A7B65" w:rsidP="00D411C0">
      <w:pPr>
        <w:pStyle w:val="Heading3"/>
      </w:pPr>
      <w:bookmarkStart w:id="625" w:name="_Enteric_fermentation"/>
      <w:bookmarkStart w:id="626" w:name="_Toc532904970"/>
      <w:bookmarkEnd w:id="625"/>
      <w:r w:rsidRPr="00B275E2">
        <w:t xml:space="preserve">Enteric </w:t>
      </w:r>
      <w:bookmarkEnd w:id="623"/>
      <w:bookmarkEnd w:id="626"/>
      <w:r w:rsidR="00322289" w:rsidRPr="00B275E2">
        <w:t>fermentation</w:t>
      </w:r>
    </w:p>
    <w:p w14:paraId="1145005F" w14:textId="3BBC6B00" w:rsidR="003A7B65" w:rsidRPr="00B275E2" w:rsidRDefault="00B11032" w:rsidP="00040137">
      <w:pPr>
        <w:pStyle w:val="BodyText"/>
        <w:spacing w:before="100" w:after="100"/>
      </w:pPr>
      <w:r w:rsidRPr="00B275E2">
        <w:t xml:space="preserve">Enteric </w:t>
      </w:r>
      <w:r w:rsidR="00002769" w:rsidRPr="00B275E2">
        <w:t>f</w:t>
      </w:r>
      <w:r w:rsidRPr="00B275E2">
        <w:t>ermentation is the process by which ruminant animals produce methane through digesti</w:t>
      </w:r>
      <w:r w:rsidR="00D94A1D" w:rsidRPr="00B275E2">
        <w:t>ng</w:t>
      </w:r>
      <w:r w:rsidRPr="00B275E2">
        <w:t xml:space="preserve"> feed</w:t>
      </w:r>
      <w:r w:rsidR="00EC464E" w:rsidRPr="00B275E2">
        <w:t xml:space="preserve">. </w:t>
      </w:r>
      <w:r w:rsidR="00002769" w:rsidRPr="00B275E2">
        <w:t>We provide emission factors for dairy cattle, non-dairy cattle, sheep and deer</w:t>
      </w:r>
      <w:r w:rsidR="00734F71" w:rsidRPr="00B275E2">
        <w:t xml:space="preserve"> and other minor livestock </w:t>
      </w:r>
      <w:r w:rsidR="00C8714D" w:rsidRPr="00B275E2">
        <w:t>categories</w:t>
      </w:r>
      <w:r w:rsidR="00002769" w:rsidRPr="00B275E2">
        <w:t xml:space="preserve"> in</w:t>
      </w:r>
      <w:r w:rsidR="001F2A7B" w:rsidRPr="00B275E2">
        <w:t xml:space="preserve"> </w:t>
      </w:r>
      <w:r w:rsidR="00EC464E" w:rsidRPr="00B275E2">
        <w:t>in</w:t>
      </w:r>
      <w:r w:rsidR="00AA3AE3" w:rsidRPr="00B275E2">
        <w:t xml:space="preserve"> table </w:t>
      </w:r>
      <w:r w:rsidR="00C86D9A" w:rsidRPr="00B275E2">
        <w:t>9</w:t>
      </w:r>
      <w:r w:rsidR="00F23341">
        <w:t>1</w:t>
      </w:r>
      <w:r w:rsidR="00C86D9A" w:rsidRPr="00B275E2">
        <w:t>.</w:t>
      </w:r>
    </w:p>
    <w:p w14:paraId="1F2BF529" w14:textId="57E6C62C" w:rsidR="003A7B65" w:rsidRPr="00B275E2" w:rsidRDefault="005D328D" w:rsidP="00AA3AE3">
      <w:pPr>
        <w:pStyle w:val="Tableheading"/>
      </w:pPr>
      <w:bookmarkStart w:id="627" w:name="_Toc111536696"/>
      <w:r w:rsidRPr="00B275E2">
        <w:t xml:space="preserve">Table </w:t>
      </w:r>
      <w:r w:rsidRPr="00B275E2">
        <w:fldChar w:fldCharType="begin"/>
      </w:r>
      <w:r w:rsidRPr="00B275E2">
        <w:instrText>SEQ Table \* ARABIC</w:instrText>
      </w:r>
      <w:r w:rsidRPr="00B275E2">
        <w:fldChar w:fldCharType="separate"/>
      </w:r>
      <w:r>
        <w:rPr>
          <w:noProof/>
        </w:rPr>
        <w:t>91</w:t>
      </w:r>
      <w:r w:rsidRPr="00B275E2">
        <w:fldChar w:fldCharType="end"/>
      </w:r>
      <w:r w:rsidRPr="00B275E2">
        <w:t>:</w:t>
      </w:r>
      <w:r w:rsidRPr="00B275E2">
        <w:tab/>
      </w:r>
      <w:r w:rsidR="003A7B65" w:rsidRPr="00B275E2">
        <w:t>Enteric fermentation emission factors</w:t>
      </w:r>
      <w:bookmarkEnd w:id="627"/>
    </w:p>
    <w:tbl>
      <w:tblPr>
        <w:tblStyle w:val="LightList-Accent11"/>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CellMar>
          <w:left w:w="85" w:type="dxa"/>
          <w:right w:w="85" w:type="dxa"/>
        </w:tblCellMar>
        <w:tblLook w:val="04A0" w:firstRow="1" w:lastRow="0" w:firstColumn="1" w:lastColumn="0" w:noHBand="0" w:noVBand="1"/>
      </w:tblPr>
      <w:tblGrid>
        <w:gridCol w:w="1271"/>
        <w:gridCol w:w="1421"/>
        <w:gridCol w:w="921"/>
        <w:gridCol w:w="1266"/>
        <w:gridCol w:w="1151"/>
        <w:gridCol w:w="1151"/>
        <w:gridCol w:w="1324"/>
      </w:tblGrid>
      <w:tr w:rsidR="00E02B5D" w:rsidRPr="00B275E2" w14:paraId="46E18ACB" w14:textId="77777777" w:rsidTr="004D05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2" w:type="dxa"/>
            <w:gridSpan w:val="2"/>
            <w:shd w:val="clear" w:color="auto" w:fill="1B556B" w:themeFill="text2"/>
            <w:noWrap/>
            <w:vAlign w:val="bottom"/>
            <w:hideMark/>
          </w:tcPr>
          <w:p w14:paraId="7468E5A8" w14:textId="77777777" w:rsidR="00E02B5D" w:rsidRPr="00B275E2" w:rsidRDefault="00E02B5D" w:rsidP="004D05FD">
            <w:pPr>
              <w:pStyle w:val="TableText"/>
              <w:spacing w:before="40" w:after="40"/>
              <w:rPr>
                <w:rFonts w:cs="Calibri"/>
                <w:szCs w:val="18"/>
              </w:rPr>
            </w:pPr>
            <w:r w:rsidRPr="00B275E2">
              <w:rPr>
                <w:rFonts w:cs="Calibri"/>
                <w:szCs w:val="18"/>
              </w:rPr>
              <w:t>Emission source</w:t>
            </w:r>
          </w:p>
        </w:tc>
        <w:tc>
          <w:tcPr>
            <w:tcW w:w="921" w:type="dxa"/>
            <w:shd w:val="clear" w:color="auto" w:fill="1B556B" w:themeFill="text2"/>
            <w:noWrap/>
            <w:vAlign w:val="bottom"/>
            <w:hideMark/>
          </w:tcPr>
          <w:p w14:paraId="773F4DF9" w14:textId="77777777" w:rsidR="00E02B5D" w:rsidRPr="00B275E2" w:rsidRDefault="00E02B5D" w:rsidP="004D05FD">
            <w:pPr>
              <w:pStyle w:val="TableText"/>
              <w:spacing w:before="40" w:after="40"/>
              <w:cnfStyle w:val="100000000000" w:firstRow="1" w:lastRow="0" w:firstColumn="0" w:lastColumn="0" w:oddVBand="0" w:evenVBand="0" w:oddHBand="0" w:evenHBand="0" w:firstRowFirstColumn="0" w:firstRowLastColumn="0" w:lastRowFirstColumn="0" w:lastRowLastColumn="0"/>
              <w:rPr>
                <w:rFonts w:cs="Calibri"/>
                <w:szCs w:val="18"/>
              </w:rPr>
            </w:pPr>
            <w:r w:rsidRPr="00B275E2">
              <w:rPr>
                <w:rFonts w:cs="Calibri"/>
                <w:szCs w:val="18"/>
              </w:rPr>
              <w:t>Unit</w:t>
            </w:r>
          </w:p>
        </w:tc>
        <w:tc>
          <w:tcPr>
            <w:tcW w:w="1266" w:type="dxa"/>
            <w:shd w:val="clear" w:color="auto" w:fill="D2DDE1" w:themeFill="background2"/>
            <w:noWrap/>
            <w:vAlign w:val="bottom"/>
            <w:hideMark/>
          </w:tcPr>
          <w:p w14:paraId="529F31AE" w14:textId="77777777" w:rsidR="00E02B5D" w:rsidRPr="00B275E2" w:rsidRDefault="00E02B5D" w:rsidP="004D05FD">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rFonts w:cs="Calibri"/>
                <w:color w:val="auto"/>
                <w:szCs w:val="18"/>
              </w:rPr>
            </w:pPr>
            <w:r w:rsidRPr="00B275E2">
              <w:rPr>
                <w:rFonts w:cs="Calibri"/>
                <w:color w:val="auto"/>
                <w:szCs w:val="18"/>
              </w:rPr>
              <w:t>kg CO</w:t>
            </w:r>
            <w:r w:rsidRPr="00B275E2">
              <w:rPr>
                <w:rFonts w:cs="Calibri"/>
                <w:color w:val="auto"/>
                <w:szCs w:val="18"/>
                <w:vertAlign w:val="subscript"/>
              </w:rPr>
              <w:t>2</w:t>
            </w:r>
            <w:r w:rsidRPr="00B275E2">
              <w:rPr>
                <w:rFonts w:cs="Calibri"/>
                <w:color w:val="auto"/>
                <w:szCs w:val="18"/>
              </w:rPr>
              <w:t>-e/unit</w:t>
            </w:r>
          </w:p>
        </w:tc>
        <w:tc>
          <w:tcPr>
            <w:tcW w:w="1151" w:type="dxa"/>
            <w:shd w:val="clear" w:color="auto" w:fill="1B556B" w:themeFill="text2"/>
            <w:noWrap/>
            <w:vAlign w:val="bottom"/>
            <w:hideMark/>
          </w:tcPr>
          <w:p w14:paraId="4041D387" w14:textId="77777777" w:rsidR="00E02B5D" w:rsidRPr="00B275E2" w:rsidRDefault="00E02B5D" w:rsidP="004D05FD">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275E2">
              <w:rPr>
                <w:rFonts w:cs="Calibri"/>
                <w:szCs w:val="18"/>
              </w:rPr>
              <w:t>kg CO</w:t>
            </w:r>
            <w:r w:rsidRPr="00B275E2">
              <w:rPr>
                <w:rFonts w:cs="Calibri"/>
                <w:szCs w:val="18"/>
                <w:vertAlign w:val="subscript"/>
              </w:rPr>
              <w:t>2</w:t>
            </w:r>
            <w:r w:rsidRPr="00B275E2">
              <w:rPr>
                <w:rFonts w:cs="Calibri"/>
                <w:szCs w:val="18"/>
              </w:rPr>
              <w:t>/unit</w:t>
            </w:r>
          </w:p>
        </w:tc>
        <w:tc>
          <w:tcPr>
            <w:tcW w:w="1151" w:type="dxa"/>
            <w:shd w:val="clear" w:color="auto" w:fill="1B556B" w:themeFill="text2"/>
            <w:noWrap/>
            <w:vAlign w:val="bottom"/>
            <w:hideMark/>
          </w:tcPr>
          <w:p w14:paraId="385CAA6D" w14:textId="1354651E" w:rsidR="00E02B5D" w:rsidRPr="00B275E2" w:rsidRDefault="00E02B5D" w:rsidP="004D05FD">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275E2">
              <w:rPr>
                <w:rFonts w:cs="Calibri"/>
                <w:szCs w:val="18"/>
              </w:rPr>
              <w:t>CH</w:t>
            </w:r>
            <w:r w:rsidRPr="00B275E2">
              <w:rPr>
                <w:rFonts w:cs="Calibri"/>
                <w:szCs w:val="18"/>
                <w:vertAlign w:val="subscript"/>
              </w:rPr>
              <w:t>4</w:t>
            </w:r>
            <w:r w:rsidRPr="00B275E2">
              <w:rPr>
                <w:rFonts w:cs="Calibri"/>
                <w:szCs w:val="18"/>
              </w:rPr>
              <w:t xml:space="preserve"> (kg CO</w:t>
            </w:r>
            <w:r w:rsidRPr="00B275E2">
              <w:rPr>
                <w:rFonts w:cs="Calibri"/>
                <w:szCs w:val="18"/>
                <w:vertAlign w:val="subscript"/>
              </w:rPr>
              <w:t>2</w:t>
            </w:r>
            <w:r w:rsidRPr="00B275E2">
              <w:rPr>
                <w:rFonts w:cs="Calibri"/>
                <w:szCs w:val="18"/>
              </w:rPr>
              <w:noBreakHyphen/>
              <w:t>e)/unit</w:t>
            </w:r>
          </w:p>
        </w:tc>
        <w:tc>
          <w:tcPr>
            <w:tcW w:w="1324" w:type="dxa"/>
            <w:shd w:val="clear" w:color="auto" w:fill="1B556B" w:themeFill="text2"/>
            <w:noWrap/>
            <w:vAlign w:val="bottom"/>
            <w:hideMark/>
          </w:tcPr>
          <w:p w14:paraId="5602DCE8" w14:textId="5804843B" w:rsidR="00E02B5D" w:rsidRPr="00B275E2" w:rsidRDefault="00E02B5D" w:rsidP="004D05FD">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275E2">
              <w:rPr>
                <w:rFonts w:cs="Calibri"/>
                <w:szCs w:val="18"/>
              </w:rPr>
              <w:t>N</w:t>
            </w:r>
            <w:r w:rsidRPr="00B275E2">
              <w:rPr>
                <w:rFonts w:cs="Calibri"/>
                <w:szCs w:val="18"/>
                <w:vertAlign w:val="subscript"/>
              </w:rPr>
              <w:t>2</w:t>
            </w:r>
            <w:r w:rsidRPr="00B275E2">
              <w:rPr>
                <w:rFonts w:cs="Calibri"/>
                <w:szCs w:val="18"/>
              </w:rPr>
              <w:t>O (kg CO</w:t>
            </w:r>
            <w:r w:rsidRPr="00B275E2">
              <w:rPr>
                <w:rFonts w:cs="Calibri"/>
                <w:szCs w:val="18"/>
                <w:vertAlign w:val="subscript"/>
              </w:rPr>
              <w:t>2</w:t>
            </w:r>
            <w:r w:rsidRPr="00B275E2">
              <w:rPr>
                <w:rFonts w:cs="Calibri"/>
                <w:szCs w:val="18"/>
              </w:rPr>
              <w:noBreakHyphen/>
              <w:t>e)/unit</w:t>
            </w:r>
          </w:p>
        </w:tc>
      </w:tr>
      <w:tr w:rsidR="00EC7A3E" w:rsidRPr="00B275E2" w14:paraId="6F77DE19" w14:textId="77777777" w:rsidTr="00E46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Merge w:val="restart"/>
            <w:tcBorders>
              <w:left w:val="single" w:sz="4" w:space="0" w:color="FFFFFF" w:themeColor="background1"/>
            </w:tcBorders>
          </w:tcPr>
          <w:p w14:paraId="559677C5" w14:textId="22953E87" w:rsidR="003D45D1" w:rsidRPr="00B275E2" w:rsidRDefault="003D45D1" w:rsidP="004D05FD">
            <w:pPr>
              <w:pStyle w:val="TableText"/>
              <w:spacing w:before="40" w:after="40"/>
              <w:rPr>
                <w:rFonts w:cs="Calibri"/>
                <w:b w:val="0"/>
                <w:szCs w:val="18"/>
              </w:rPr>
            </w:pPr>
            <w:r w:rsidRPr="00B275E2">
              <w:rPr>
                <w:rFonts w:cs="Calibri"/>
                <w:b w:val="0"/>
                <w:szCs w:val="18"/>
              </w:rPr>
              <w:t>Enteric fermentation</w:t>
            </w:r>
          </w:p>
        </w:tc>
        <w:tc>
          <w:tcPr>
            <w:tcW w:w="1421" w:type="dxa"/>
            <w:vAlign w:val="bottom"/>
          </w:tcPr>
          <w:p w14:paraId="087D9B3C" w14:textId="77777777" w:rsidR="003D45D1" w:rsidRPr="00B275E2" w:rsidRDefault="003D45D1" w:rsidP="004D05FD">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Dairy cattle</w:t>
            </w:r>
          </w:p>
        </w:tc>
        <w:tc>
          <w:tcPr>
            <w:tcW w:w="921" w:type="dxa"/>
            <w:noWrap/>
            <w:vAlign w:val="bottom"/>
          </w:tcPr>
          <w:p w14:paraId="55B8F808" w14:textId="77777777" w:rsidR="003D45D1" w:rsidRPr="00B275E2" w:rsidRDefault="003D45D1" w:rsidP="004D05FD">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per head</w:t>
            </w:r>
          </w:p>
        </w:tc>
        <w:tc>
          <w:tcPr>
            <w:tcW w:w="1266" w:type="dxa"/>
            <w:shd w:val="clear" w:color="auto" w:fill="D2DDE1" w:themeFill="background2"/>
            <w:noWrap/>
            <w:vAlign w:val="bottom"/>
          </w:tcPr>
          <w:p w14:paraId="34101D54" w14:textId="60A96188" w:rsidR="003D45D1" w:rsidRPr="00B275E2" w:rsidRDefault="002D40F0" w:rsidP="004D05F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2,264</w:t>
            </w:r>
          </w:p>
        </w:tc>
        <w:tc>
          <w:tcPr>
            <w:tcW w:w="1151" w:type="dxa"/>
            <w:shd w:val="clear" w:color="auto" w:fill="auto"/>
            <w:noWrap/>
            <w:vAlign w:val="bottom"/>
          </w:tcPr>
          <w:p w14:paraId="6941F1DC" w14:textId="501163C3" w:rsidR="003D45D1" w:rsidRPr="00B275E2" w:rsidRDefault="003D45D1" w:rsidP="004D05F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c>
          <w:tcPr>
            <w:tcW w:w="1151" w:type="dxa"/>
            <w:shd w:val="clear" w:color="auto" w:fill="auto"/>
            <w:noWrap/>
            <w:vAlign w:val="bottom"/>
          </w:tcPr>
          <w:p w14:paraId="21E876AA" w14:textId="5D0F8A60" w:rsidR="003D45D1" w:rsidRPr="00B275E2" w:rsidRDefault="00155A07" w:rsidP="004D05F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2,264</w:t>
            </w:r>
          </w:p>
        </w:tc>
        <w:tc>
          <w:tcPr>
            <w:tcW w:w="1324" w:type="dxa"/>
            <w:tcBorders>
              <w:right w:val="single" w:sz="4" w:space="0" w:color="FFFFFF" w:themeColor="background1"/>
            </w:tcBorders>
            <w:shd w:val="clear" w:color="auto" w:fill="auto"/>
            <w:noWrap/>
            <w:vAlign w:val="bottom"/>
          </w:tcPr>
          <w:p w14:paraId="6E1D2741" w14:textId="41258FD5" w:rsidR="003D45D1" w:rsidRPr="00B275E2" w:rsidRDefault="003D45D1" w:rsidP="004D05F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r>
      <w:tr w:rsidR="00EC7A3E" w:rsidRPr="00B275E2" w14:paraId="53C0CACD" w14:textId="77777777" w:rsidTr="00E462C5">
        <w:tc>
          <w:tcPr>
            <w:cnfStyle w:val="001000000000" w:firstRow="0" w:lastRow="0" w:firstColumn="1" w:lastColumn="0" w:oddVBand="0" w:evenVBand="0" w:oddHBand="0" w:evenHBand="0" w:firstRowFirstColumn="0" w:firstRowLastColumn="0" w:lastRowFirstColumn="0" w:lastRowLastColumn="0"/>
            <w:tcW w:w="1271" w:type="dxa"/>
            <w:vMerge/>
            <w:tcBorders>
              <w:left w:val="single" w:sz="4" w:space="0" w:color="FFFFFF" w:themeColor="background1"/>
            </w:tcBorders>
            <w:vAlign w:val="bottom"/>
          </w:tcPr>
          <w:p w14:paraId="64905E17" w14:textId="77777777" w:rsidR="003D45D1" w:rsidRPr="00B275E2" w:rsidRDefault="003D45D1" w:rsidP="004D05FD">
            <w:pPr>
              <w:pStyle w:val="TableText"/>
              <w:spacing w:before="40" w:after="40"/>
              <w:rPr>
                <w:rFonts w:cs="Calibri"/>
                <w:szCs w:val="18"/>
              </w:rPr>
            </w:pPr>
          </w:p>
        </w:tc>
        <w:tc>
          <w:tcPr>
            <w:tcW w:w="1421" w:type="dxa"/>
            <w:vAlign w:val="bottom"/>
          </w:tcPr>
          <w:p w14:paraId="11767FAF" w14:textId="77777777" w:rsidR="003D45D1" w:rsidRPr="00B275E2" w:rsidRDefault="003D45D1" w:rsidP="004D05FD">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 xml:space="preserve">Non-dairy cattle </w:t>
            </w:r>
          </w:p>
        </w:tc>
        <w:tc>
          <w:tcPr>
            <w:tcW w:w="921" w:type="dxa"/>
            <w:noWrap/>
            <w:vAlign w:val="bottom"/>
          </w:tcPr>
          <w:p w14:paraId="0A0D2290" w14:textId="77777777" w:rsidR="003D45D1" w:rsidRPr="00B275E2" w:rsidRDefault="003D45D1" w:rsidP="004D05FD">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per head</w:t>
            </w:r>
          </w:p>
        </w:tc>
        <w:tc>
          <w:tcPr>
            <w:tcW w:w="1266" w:type="dxa"/>
            <w:shd w:val="clear" w:color="auto" w:fill="D2DDE1" w:themeFill="background2"/>
            <w:noWrap/>
            <w:vAlign w:val="bottom"/>
          </w:tcPr>
          <w:p w14:paraId="34F39474" w14:textId="383C7B43" w:rsidR="003D45D1" w:rsidRPr="00B275E2" w:rsidRDefault="00155A07" w:rsidP="004D05F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1,540</w:t>
            </w:r>
          </w:p>
        </w:tc>
        <w:tc>
          <w:tcPr>
            <w:tcW w:w="1151" w:type="dxa"/>
            <w:shd w:val="clear" w:color="auto" w:fill="auto"/>
            <w:noWrap/>
            <w:vAlign w:val="bottom"/>
          </w:tcPr>
          <w:p w14:paraId="7F92EB12" w14:textId="1EF2234C" w:rsidR="003D45D1" w:rsidRPr="00B275E2" w:rsidRDefault="003D45D1" w:rsidP="004D05F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n/a</w:t>
            </w:r>
          </w:p>
        </w:tc>
        <w:tc>
          <w:tcPr>
            <w:tcW w:w="1151" w:type="dxa"/>
            <w:shd w:val="clear" w:color="auto" w:fill="auto"/>
            <w:noWrap/>
            <w:vAlign w:val="bottom"/>
          </w:tcPr>
          <w:p w14:paraId="425115F0" w14:textId="035192E2" w:rsidR="003D45D1" w:rsidRPr="00B275E2" w:rsidRDefault="00155A07" w:rsidP="004D05F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1,540</w:t>
            </w:r>
          </w:p>
        </w:tc>
        <w:tc>
          <w:tcPr>
            <w:tcW w:w="1324" w:type="dxa"/>
            <w:tcBorders>
              <w:right w:val="single" w:sz="4" w:space="0" w:color="FFFFFF" w:themeColor="background1"/>
            </w:tcBorders>
            <w:shd w:val="clear" w:color="auto" w:fill="auto"/>
            <w:noWrap/>
            <w:vAlign w:val="bottom"/>
          </w:tcPr>
          <w:p w14:paraId="3BC37087" w14:textId="76283476" w:rsidR="003D45D1" w:rsidRPr="00B275E2" w:rsidRDefault="003D45D1" w:rsidP="004D05F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n/a</w:t>
            </w:r>
          </w:p>
        </w:tc>
      </w:tr>
      <w:tr w:rsidR="00EC7A3E" w:rsidRPr="00B275E2" w14:paraId="1C3AE7FF" w14:textId="77777777" w:rsidTr="00E46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Merge/>
            <w:tcBorders>
              <w:left w:val="single" w:sz="4" w:space="0" w:color="FFFFFF" w:themeColor="background1"/>
            </w:tcBorders>
            <w:vAlign w:val="bottom"/>
          </w:tcPr>
          <w:p w14:paraId="2630F98F" w14:textId="77777777" w:rsidR="003D45D1" w:rsidRPr="00B275E2" w:rsidRDefault="003D45D1" w:rsidP="004D05FD">
            <w:pPr>
              <w:pStyle w:val="TableText"/>
              <w:spacing w:before="40" w:after="40"/>
              <w:rPr>
                <w:rFonts w:cs="Calibri"/>
                <w:szCs w:val="18"/>
              </w:rPr>
            </w:pPr>
          </w:p>
        </w:tc>
        <w:tc>
          <w:tcPr>
            <w:tcW w:w="1421" w:type="dxa"/>
            <w:vAlign w:val="bottom"/>
          </w:tcPr>
          <w:p w14:paraId="3FE2A9AF" w14:textId="77777777" w:rsidR="003D45D1" w:rsidRPr="00B275E2" w:rsidRDefault="003D45D1" w:rsidP="004D05FD">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Sheep</w:t>
            </w:r>
          </w:p>
        </w:tc>
        <w:tc>
          <w:tcPr>
            <w:tcW w:w="921" w:type="dxa"/>
            <w:noWrap/>
            <w:vAlign w:val="bottom"/>
          </w:tcPr>
          <w:p w14:paraId="75946408" w14:textId="77777777" w:rsidR="003D45D1" w:rsidRPr="00B275E2" w:rsidRDefault="003D45D1" w:rsidP="004D05FD">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per head</w:t>
            </w:r>
          </w:p>
        </w:tc>
        <w:tc>
          <w:tcPr>
            <w:tcW w:w="1266" w:type="dxa"/>
            <w:shd w:val="clear" w:color="auto" w:fill="D2DDE1" w:themeFill="background2"/>
            <w:noWrap/>
            <w:vAlign w:val="bottom"/>
          </w:tcPr>
          <w:p w14:paraId="58CE6F5B" w14:textId="6B7C9DE6" w:rsidR="003D45D1" w:rsidRPr="00B275E2" w:rsidRDefault="00155A07" w:rsidP="004D05F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318</w:t>
            </w:r>
          </w:p>
        </w:tc>
        <w:tc>
          <w:tcPr>
            <w:tcW w:w="1151" w:type="dxa"/>
            <w:shd w:val="clear" w:color="auto" w:fill="auto"/>
            <w:noWrap/>
            <w:vAlign w:val="bottom"/>
          </w:tcPr>
          <w:p w14:paraId="0292D7FE" w14:textId="74DF440C" w:rsidR="003D45D1" w:rsidRPr="00B275E2" w:rsidRDefault="003D45D1" w:rsidP="004D05F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c>
          <w:tcPr>
            <w:tcW w:w="1151" w:type="dxa"/>
            <w:shd w:val="clear" w:color="auto" w:fill="auto"/>
            <w:noWrap/>
            <w:vAlign w:val="bottom"/>
          </w:tcPr>
          <w:p w14:paraId="5674EE42" w14:textId="26C26A6F" w:rsidR="003D45D1" w:rsidRPr="00B275E2" w:rsidRDefault="00155A07" w:rsidP="004D05F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318</w:t>
            </w:r>
          </w:p>
        </w:tc>
        <w:tc>
          <w:tcPr>
            <w:tcW w:w="1324" w:type="dxa"/>
            <w:tcBorders>
              <w:right w:val="single" w:sz="4" w:space="0" w:color="FFFFFF" w:themeColor="background1"/>
            </w:tcBorders>
            <w:shd w:val="clear" w:color="auto" w:fill="auto"/>
            <w:noWrap/>
            <w:vAlign w:val="bottom"/>
          </w:tcPr>
          <w:p w14:paraId="5EE542A7" w14:textId="1F4BBBD9" w:rsidR="003D45D1" w:rsidRPr="00B275E2" w:rsidRDefault="003D45D1" w:rsidP="004D05F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r>
      <w:tr w:rsidR="00EC7A3E" w:rsidRPr="00B275E2" w14:paraId="2DEF73CB" w14:textId="77777777" w:rsidTr="00E462C5">
        <w:tc>
          <w:tcPr>
            <w:cnfStyle w:val="001000000000" w:firstRow="0" w:lastRow="0" w:firstColumn="1" w:lastColumn="0" w:oddVBand="0" w:evenVBand="0" w:oddHBand="0" w:evenHBand="0" w:firstRowFirstColumn="0" w:firstRowLastColumn="0" w:lastRowFirstColumn="0" w:lastRowLastColumn="0"/>
            <w:tcW w:w="1271" w:type="dxa"/>
            <w:vMerge/>
            <w:tcBorders>
              <w:left w:val="single" w:sz="4" w:space="0" w:color="FFFFFF" w:themeColor="background1"/>
            </w:tcBorders>
            <w:vAlign w:val="bottom"/>
          </w:tcPr>
          <w:p w14:paraId="1AE2E79F" w14:textId="77777777" w:rsidR="003D45D1" w:rsidRPr="00B275E2" w:rsidRDefault="003D45D1" w:rsidP="004D05FD">
            <w:pPr>
              <w:pStyle w:val="TableText"/>
              <w:spacing w:before="40" w:after="40"/>
              <w:rPr>
                <w:rFonts w:cs="Calibri"/>
                <w:szCs w:val="18"/>
              </w:rPr>
            </w:pPr>
          </w:p>
        </w:tc>
        <w:tc>
          <w:tcPr>
            <w:tcW w:w="1421" w:type="dxa"/>
            <w:vAlign w:val="bottom"/>
          </w:tcPr>
          <w:p w14:paraId="0DDC8B44" w14:textId="77777777" w:rsidR="003D45D1" w:rsidRPr="00B275E2" w:rsidRDefault="003D45D1" w:rsidP="004D05FD">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 xml:space="preserve">Deer </w:t>
            </w:r>
          </w:p>
        </w:tc>
        <w:tc>
          <w:tcPr>
            <w:tcW w:w="921" w:type="dxa"/>
            <w:noWrap/>
            <w:vAlign w:val="bottom"/>
          </w:tcPr>
          <w:p w14:paraId="60D774A3" w14:textId="77777777" w:rsidR="003D45D1" w:rsidRPr="00B275E2" w:rsidRDefault="003D45D1" w:rsidP="004D05FD">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per head</w:t>
            </w:r>
          </w:p>
        </w:tc>
        <w:tc>
          <w:tcPr>
            <w:tcW w:w="1266" w:type="dxa"/>
            <w:shd w:val="clear" w:color="auto" w:fill="D2DDE1" w:themeFill="background2"/>
            <w:noWrap/>
            <w:vAlign w:val="bottom"/>
          </w:tcPr>
          <w:p w14:paraId="44A26F40" w14:textId="0B79E1B2" w:rsidR="003D45D1" w:rsidRPr="00B275E2" w:rsidRDefault="004E4D39" w:rsidP="004D05F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597</w:t>
            </w:r>
          </w:p>
        </w:tc>
        <w:tc>
          <w:tcPr>
            <w:tcW w:w="1151" w:type="dxa"/>
            <w:shd w:val="clear" w:color="auto" w:fill="auto"/>
            <w:noWrap/>
            <w:vAlign w:val="bottom"/>
          </w:tcPr>
          <w:p w14:paraId="2692C284" w14:textId="0B3B4D3C" w:rsidR="003D45D1" w:rsidRPr="00B275E2" w:rsidRDefault="003D45D1" w:rsidP="004D05F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n/a</w:t>
            </w:r>
          </w:p>
        </w:tc>
        <w:tc>
          <w:tcPr>
            <w:tcW w:w="1151" w:type="dxa"/>
            <w:shd w:val="clear" w:color="auto" w:fill="auto"/>
            <w:noWrap/>
            <w:vAlign w:val="bottom"/>
          </w:tcPr>
          <w:p w14:paraId="673D1ABE" w14:textId="5DD41412" w:rsidR="003D45D1" w:rsidRPr="00B275E2" w:rsidRDefault="004E4D39" w:rsidP="004D05F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597</w:t>
            </w:r>
          </w:p>
        </w:tc>
        <w:tc>
          <w:tcPr>
            <w:tcW w:w="1324" w:type="dxa"/>
            <w:tcBorders>
              <w:right w:val="single" w:sz="4" w:space="0" w:color="FFFFFF" w:themeColor="background1"/>
            </w:tcBorders>
            <w:shd w:val="clear" w:color="auto" w:fill="auto"/>
            <w:noWrap/>
            <w:vAlign w:val="bottom"/>
          </w:tcPr>
          <w:p w14:paraId="2E37CE3B" w14:textId="6D52C7A1" w:rsidR="003D45D1" w:rsidRPr="00B275E2" w:rsidRDefault="003D45D1" w:rsidP="004D05F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n/a</w:t>
            </w:r>
          </w:p>
        </w:tc>
      </w:tr>
      <w:tr w:rsidR="00EC7A3E" w:rsidRPr="00B275E2" w14:paraId="3579A108" w14:textId="77777777" w:rsidTr="00E46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Merge/>
            <w:tcBorders>
              <w:left w:val="single" w:sz="4" w:space="0" w:color="FFFFFF" w:themeColor="background1"/>
            </w:tcBorders>
            <w:vAlign w:val="bottom"/>
          </w:tcPr>
          <w:p w14:paraId="7A4BA08E" w14:textId="77777777" w:rsidR="003D45D1" w:rsidRPr="00B275E2" w:rsidRDefault="003D45D1" w:rsidP="004D05FD">
            <w:pPr>
              <w:pStyle w:val="TableText"/>
              <w:spacing w:before="40" w:after="40"/>
              <w:rPr>
                <w:rFonts w:cs="Calibri"/>
                <w:szCs w:val="18"/>
              </w:rPr>
            </w:pPr>
          </w:p>
        </w:tc>
        <w:tc>
          <w:tcPr>
            <w:tcW w:w="1421" w:type="dxa"/>
            <w:vAlign w:val="bottom"/>
          </w:tcPr>
          <w:p w14:paraId="425B7114" w14:textId="00970ADD" w:rsidR="003D45D1" w:rsidRPr="00B275E2" w:rsidRDefault="003D45D1" w:rsidP="004D05FD">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Swine</w:t>
            </w:r>
          </w:p>
        </w:tc>
        <w:tc>
          <w:tcPr>
            <w:tcW w:w="921" w:type="dxa"/>
            <w:noWrap/>
            <w:vAlign w:val="bottom"/>
          </w:tcPr>
          <w:p w14:paraId="490DF218" w14:textId="11DA8FD9" w:rsidR="003D45D1" w:rsidRPr="00B275E2" w:rsidRDefault="003D45D1" w:rsidP="004D05FD">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per head</w:t>
            </w:r>
          </w:p>
        </w:tc>
        <w:tc>
          <w:tcPr>
            <w:tcW w:w="1266" w:type="dxa"/>
            <w:shd w:val="clear" w:color="auto" w:fill="D2DDE1" w:themeFill="background2"/>
            <w:noWrap/>
            <w:vAlign w:val="bottom"/>
          </w:tcPr>
          <w:p w14:paraId="370D56CA" w14:textId="2C12EF66" w:rsidR="003D45D1" w:rsidRPr="00B275E2" w:rsidRDefault="004E4D39" w:rsidP="004D05F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27</w:t>
            </w:r>
          </w:p>
        </w:tc>
        <w:tc>
          <w:tcPr>
            <w:tcW w:w="1151" w:type="dxa"/>
            <w:shd w:val="clear" w:color="auto" w:fill="auto"/>
            <w:noWrap/>
            <w:vAlign w:val="bottom"/>
          </w:tcPr>
          <w:p w14:paraId="15C75595" w14:textId="61746777" w:rsidR="003D45D1" w:rsidRPr="00B275E2" w:rsidRDefault="003D45D1" w:rsidP="004D05F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c>
          <w:tcPr>
            <w:tcW w:w="1151" w:type="dxa"/>
            <w:shd w:val="clear" w:color="auto" w:fill="auto"/>
            <w:noWrap/>
            <w:vAlign w:val="bottom"/>
          </w:tcPr>
          <w:p w14:paraId="1B2AF293" w14:textId="6D76F55E" w:rsidR="003D45D1" w:rsidRPr="00B275E2" w:rsidRDefault="004E4D39" w:rsidP="004D05F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27</w:t>
            </w:r>
          </w:p>
        </w:tc>
        <w:tc>
          <w:tcPr>
            <w:tcW w:w="1324" w:type="dxa"/>
            <w:tcBorders>
              <w:right w:val="single" w:sz="4" w:space="0" w:color="FFFFFF" w:themeColor="background1"/>
            </w:tcBorders>
            <w:shd w:val="clear" w:color="auto" w:fill="auto"/>
            <w:noWrap/>
            <w:vAlign w:val="bottom"/>
          </w:tcPr>
          <w:p w14:paraId="59A8A2C7" w14:textId="40259489" w:rsidR="003D45D1" w:rsidRPr="00B275E2" w:rsidRDefault="003D45D1" w:rsidP="004D05F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r>
      <w:tr w:rsidR="00EC7A3E" w:rsidRPr="00B275E2" w14:paraId="2F779FC3" w14:textId="77777777" w:rsidTr="00E462C5">
        <w:tc>
          <w:tcPr>
            <w:cnfStyle w:val="001000000000" w:firstRow="0" w:lastRow="0" w:firstColumn="1" w:lastColumn="0" w:oddVBand="0" w:evenVBand="0" w:oddHBand="0" w:evenHBand="0" w:firstRowFirstColumn="0" w:firstRowLastColumn="0" w:lastRowFirstColumn="0" w:lastRowLastColumn="0"/>
            <w:tcW w:w="1271" w:type="dxa"/>
            <w:vMerge/>
            <w:tcBorders>
              <w:left w:val="single" w:sz="4" w:space="0" w:color="FFFFFF" w:themeColor="background1"/>
            </w:tcBorders>
            <w:vAlign w:val="bottom"/>
          </w:tcPr>
          <w:p w14:paraId="65ED9C52" w14:textId="77777777" w:rsidR="003D45D1" w:rsidRPr="00B275E2" w:rsidRDefault="003D45D1" w:rsidP="004D05FD">
            <w:pPr>
              <w:pStyle w:val="TableText"/>
              <w:spacing w:before="40" w:after="40"/>
              <w:rPr>
                <w:rFonts w:cs="Calibri"/>
                <w:szCs w:val="18"/>
              </w:rPr>
            </w:pPr>
          </w:p>
        </w:tc>
        <w:tc>
          <w:tcPr>
            <w:tcW w:w="1421" w:type="dxa"/>
            <w:vAlign w:val="bottom"/>
          </w:tcPr>
          <w:p w14:paraId="6792EF05" w14:textId="74CCBD4D" w:rsidR="003D45D1" w:rsidRPr="00B275E2" w:rsidRDefault="003D45D1" w:rsidP="004D05FD">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Goats</w:t>
            </w:r>
          </w:p>
        </w:tc>
        <w:tc>
          <w:tcPr>
            <w:tcW w:w="921" w:type="dxa"/>
            <w:noWrap/>
            <w:vAlign w:val="bottom"/>
          </w:tcPr>
          <w:p w14:paraId="0AE88EFA" w14:textId="66837243" w:rsidR="003D45D1" w:rsidRPr="00B275E2" w:rsidRDefault="003D45D1" w:rsidP="004D05FD">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per head</w:t>
            </w:r>
          </w:p>
        </w:tc>
        <w:tc>
          <w:tcPr>
            <w:tcW w:w="1266" w:type="dxa"/>
            <w:shd w:val="clear" w:color="auto" w:fill="D2DDE1" w:themeFill="background2"/>
            <w:noWrap/>
            <w:vAlign w:val="bottom"/>
          </w:tcPr>
          <w:p w14:paraId="16C1BF7A" w14:textId="6F33C896" w:rsidR="003D45D1" w:rsidRPr="00B275E2" w:rsidRDefault="003D45D1" w:rsidP="004D05F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224</w:t>
            </w:r>
          </w:p>
        </w:tc>
        <w:tc>
          <w:tcPr>
            <w:tcW w:w="1151" w:type="dxa"/>
            <w:shd w:val="clear" w:color="auto" w:fill="auto"/>
            <w:noWrap/>
            <w:vAlign w:val="bottom"/>
          </w:tcPr>
          <w:p w14:paraId="21DB56B5" w14:textId="7D0F5D10" w:rsidR="003D45D1" w:rsidRPr="00B275E2" w:rsidRDefault="003D45D1" w:rsidP="004D05F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n/a</w:t>
            </w:r>
          </w:p>
        </w:tc>
        <w:tc>
          <w:tcPr>
            <w:tcW w:w="1151" w:type="dxa"/>
            <w:shd w:val="clear" w:color="auto" w:fill="auto"/>
            <w:noWrap/>
            <w:vAlign w:val="bottom"/>
          </w:tcPr>
          <w:p w14:paraId="769A17BF" w14:textId="24B91BD2" w:rsidR="003D45D1" w:rsidRPr="00B275E2" w:rsidRDefault="003D45D1" w:rsidP="004D05F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224</w:t>
            </w:r>
          </w:p>
        </w:tc>
        <w:tc>
          <w:tcPr>
            <w:tcW w:w="1324" w:type="dxa"/>
            <w:tcBorders>
              <w:right w:val="single" w:sz="4" w:space="0" w:color="FFFFFF" w:themeColor="background1"/>
            </w:tcBorders>
            <w:shd w:val="clear" w:color="auto" w:fill="auto"/>
            <w:noWrap/>
            <w:vAlign w:val="bottom"/>
          </w:tcPr>
          <w:p w14:paraId="108DEADB" w14:textId="2DA60E50" w:rsidR="003D45D1" w:rsidRPr="00B275E2" w:rsidRDefault="003D45D1" w:rsidP="004D05F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n/a</w:t>
            </w:r>
          </w:p>
        </w:tc>
      </w:tr>
      <w:tr w:rsidR="00EC7A3E" w:rsidRPr="00B275E2" w14:paraId="684088E6" w14:textId="77777777" w:rsidTr="00E46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Merge/>
            <w:tcBorders>
              <w:left w:val="single" w:sz="4" w:space="0" w:color="FFFFFF" w:themeColor="background1"/>
            </w:tcBorders>
            <w:vAlign w:val="bottom"/>
          </w:tcPr>
          <w:p w14:paraId="204C10FB" w14:textId="77777777" w:rsidR="003D45D1" w:rsidRPr="00B275E2" w:rsidRDefault="003D45D1" w:rsidP="004D05FD">
            <w:pPr>
              <w:pStyle w:val="TableText"/>
              <w:spacing w:before="40" w:after="40"/>
              <w:rPr>
                <w:rFonts w:cs="Calibri"/>
                <w:szCs w:val="18"/>
              </w:rPr>
            </w:pPr>
          </w:p>
        </w:tc>
        <w:tc>
          <w:tcPr>
            <w:tcW w:w="1421" w:type="dxa"/>
            <w:vAlign w:val="bottom"/>
          </w:tcPr>
          <w:p w14:paraId="213420A9" w14:textId="1AC59E61" w:rsidR="003D45D1" w:rsidRPr="00B275E2" w:rsidRDefault="003D45D1" w:rsidP="004D05FD">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Horses</w:t>
            </w:r>
          </w:p>
        </w:tc>
        <w:tc>
          <w:tcPr>
            <w:tcW w:w="921" w:type="dxa"/>
            <w:noWrap/>
            <w:vAlign w:val="bottom"/>
          </w:tcPr>
          <w:p w14:paraId="67D5C510" w14:textId="5BC35FA3" w:rsidR="003D45D1" w:rsidRPr="00B275E2" w:rsidRDefault="003D45D1" w:rsidP="004D05FD">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per head</w:t>
            </w:r>
          </w:p>
        </w:tc>
        <w:tc>
          <w:tcPr>
            <w:tcW w:w="1266" w:type="dxa"/>
            <w:shd w:val="clear" w:color="auto" w:fill="D2DDE1" w:themeFill="background2"/>
            <w:noWrap/>
            <w:vAlign w:val="bottom"/>
          </w:tcPr>
          <w:p w14:paraId="0EF5F692" w14:textId="042BF18B" w:rsidR="003D45D1" w:rsidRPr="00B275E2" w:rsidRDefault="003D45D1" w:rsidP="004D05F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450</w:t>
            </w:r>
          </w:p>
        </w:tc>
        <w:tc>
          <w:tcPr>
            <w:tcW w:w="1151" w:type="dxa"/>
            <w:shd w:val="clear" w:color="auto" w:fill="auto"/>
            <w:noWrap/>
            <w:vAlign w:val="bottom"/>
          </w:tcPr>
          <w:p w14:paraId="0D00E6E8" w14:textId="766FEAC8" w:rsidR="003D45D1" w:rsidRPr="00B275E2" w:rsidRDefault="003D45D1" w:rsidP="004D05F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c>
          <w:tcPr>
            <w:tcW w:w="1151" w:type="dxa"/>
            <w:shd w:val="clear" w:color="auto" w:fill="auto"/>
            <w:noWrap/>
            <w:vAlign w:val="bottom"/>
          </w:tcPr>
          <w:p w14:paraId="76A6F7AB" w14:textId="0D65E53E" w:rsidR="003D45D1" w:rsidRPr="00B275E2" w:rsidRDefault="003D45D1" w:rsidP="004D05F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450</w:t>
            </w:r>
          </w:p>
        </w:tc>
        <w:tc>
          <w:tcPr>
            <w:tcW w:w="1324" w:type="dxa"/>
            <w:tcBorders>
              <w:right w:val="single" w:sz="4" w:space="0" w:color="FFFFFF" w:themeColor="background1"/>
            </w:tcBorders>
            <w:shd w:val="clear" w:color="auto" w:fill="auto"/>
            <w:noWrap/>
            <w:vAlign w:val="bottom"/>
          </w:tcPr>
          <w:p w14:paraId="7E784D75" w14:textId="507F3CC8" w:rsidR="003D45D1" w:rsidRPr="00B275E2" w:rsidRDefault="003D45D1" w:rsidP="004D05F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r>
      <w:tr w:rsidR="00EC7A3E" w:rsidRPr="00B275E2" w14:paraId="28938FC2" w14:textId="77777777" w:rsidTr="00E462C5">
        <w:tc>
          <w:tcPr>
            <w:cnfStyle w:val="001000000000" w:firstRow="0" w:lastRow="0" w:firstColumn="1" w:lastColumn="0" w:oddVBand="0" w:evenVBand="0" w:oddHBand="0" w:evenHBand="0" w:firstRowFirstColumn="0" w:firstRowLastColumn="0" w:lastRowFirstColumn="0" w:lastRowLastColumn="0"/>
            <w:tcW w:w="1271" w:type="dxa"/>
            <w:vMerge/>
            <w:tcBorders>
              <w:left w:val="single" w:sz="4" w:space="0" w:color="FFFFFF" w:themeColor="background1"/>
            </w:tcBorders>
            <w:vAlign w:val="bottom"/>
          </w:tcPr>
          <w:p w14:paraId="6380C023" w14:textId="77777777" w:rsidR="003D45D1" w:rsidRPr="00B275E2" w:rsidRDefault="003D45D1" w:rsidP="004D05FD">
            <w:pPr>
              <w:pStyle w:val="TableText"/>
              <w:spacing w:before="40" w:after="40"/>
              <w:rPr>
                <w:rFonts w:cs="Calibri"/>
                <w:szCs w:val="18"/>
              </w:rPr>
            </w:pPr>
          </w:p>
        </w:tc>
        <w:tc>
          <w:tcPr>
            <w:tcW w:w="1421" w:type="dxa"/>
            <w:vAlign w:val="bottom"/>
          </w:tcPr>
          <w:p w14:paraId="5D57F866" w14:textId="1CAE6B1D" w:rsidR="003D45D1" w:rsidRPr="00B275E2" w:rsidRDefault="003D45D1" w:rsidP="004D05FD">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Alpaca</w:t>
            </w:r>
          </w:p>
        </w:tc>
        <w:tc>
          <w:tcPr>
            <w:tcW w:w="921" w:type="dxa"/>
            <w:noWrap/>
            <w:vAlign w:val="bottom"/>
          </w:tcPr>
          <w:p w14:paraId="12E13A4C" w14:textId="7138CE3F" w:rsidR="003D45D1" w:rsidRPr="00B275E2" w:rsidRDefault="003D45D1" w:rsidP="004D05FD">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per head</w:t>
            </w:r>
          </w:p>
        </w:tc>
        <w:tc>
          <w:tcPr>
            <w:tcW w:w="1266" w:type="dxa"/>
            <w:shd w:val="clear" w:color="auto" w:fill="D2DDE1" w:themeFill="background2"/>
            <w:noWrap/>
            <w:vAlign w:val="bottom"/>
          </w:tcPr>
          <w:p w14:paraId="658635E5" w14:textId="3E8D42F8" w:rsidR="003D45D1" w:rsidRPr="00B275E2" w:rsidRDefault="003D45D1" w:rsidP="004D05F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200</w:t>
            </w:r>
          </w:p>
        </w:tc>
        <w:tc>
          <w:tcPr>
            <w:tcW w:w="1151" w:type="dxa"/>
            <w:shd w:val="clear" w:color="auto" w:fill="auto"/>
            <w:noWrap/>
            <w:vAlign w:val="bottom"/>
          </w:tcPr>
          <w:p w14:paraId="68CE8C8C" w14:textId="0DA1694D" w:rsidR="003D45D1" w:rsidRPr="00B275E2" w:rsidRDefault="003D45D1" w:rsidP="004D05F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n/a</w:t>
            </w:r>
          </w:p>
        </w:tc>
        <w:tc>
          <w:tcPr>
            <w:tcW w:w="1151" w:type="dxa"/>
            <w:shd w:val="clear" w:color="auto" w:fill="auto"/>
            <w:noWrap/>
            <w:vAlign w:val="bottom"/>
          </w:tcPr>
          <w:p w14:paraId="56F2C873" w14:textId="42293CB7" w:rsidR="003D45D1" w:rsidRPr="00B275E2" w:rsidRDefault="003D45D1" w:rsidP="004D05F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200</w:t>
            </w:r>
          </w:p>
        </w:tc>
        <w:tc>
          <w:tcPr>
            <w:tcW w:w="1324" w:type="dxa"/>
            <w:tcBorders>
              <w:right w:val="single" w:sz="4" w:space="0" w:color="FFFFFF" w:themeColor="background1"/>
            </w:tcBorders>
            <w:shd w:val="clear" w:color="auto" w:fill="auto"/>
            <w:noWrap/>
            <w:vAlign w:val="bottom"/>
          </w:tcPr>
          <w:p w14:paraId="3B00CBB4" w14:textId="1B3500AE" w:rsidR="003D45D1" w:rsidRPr="00B275E2" w:rsidRDefault="003D45D1" w:rsidP="004D05F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n/a</w:t>
            </w:r>
          </w:p>
        </w:tc>
      </w:tr>
      <w:tr w:rsidR="00EC7A3E" w:rsidRPr="00B275E2" w14:paraId="2B071F9A" w14:textId="77777777" w:rsidTr="00E46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Merge/>
            <w:tcBorders>
              <w:left w:val="single" w:sz="4" w:space="0" w:color="FFFFFF" w:themeColor="background1"/>
            </w:tcBorders>
            <w:vAlign w:val="bottom"/>
          </w:tcPr>
          <w:p w14:paraId="4DC4E433" w14:textId="77777777" w:rsidR="003D45D1" w:rsidRPr="00B275E2" w:rsidRDefault="003D45D1" w:rsidP="004D05FD">
            <w:pPr>
              <w:pStyle w:val="TableText"/>
              <w:spacing w:before="40" w:after="40"/>
              <w:rPr>
                <w:rFonts w:cs="Calibri"/>
                <w:szCs w:val="18"/>
              </w:rPr>
            </w:pPr>
          </w:p>
        </w:tc>
        <w:tc>
          <w:tcPr>
            <w:tcW w:w="1421" w:type="dxa"/>
            <w:vAlign w:val="bottom"/>
          </w:tcPr>
          <w:p w14:paraId="157367CC" w14:textId="74D6C0EE" w:rsidR="003D45D1" w:rsidRPr="00B275E2" w:rsidRDefault="003D45D1" w:rsidP="004D05FD">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Mules &amp; asses</w:t>
            </w:r>
          </w:p>
        </w:tc>
        <w:tc>
          <w:tcPr>
            <w:tcW w:w="921" w:type="dxa"/>
            <w:noWrap/>
            <w:vAlign w:val="bottom"/>
          </w:tcPr>
          <w:p w14:paraId="0761CCD6" w14:textId="2B4D4584" w:rsidR="003D45D1" w:rsidRPr="00B275E2" w:rsidRDefault="003D45D1" w:rsidP="004D05FD">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per head</w:t>
            </w:r>
          </w:p>
        </w:tc>
        <w:tc>
          <w:tcPr>
            <w:tcW w:w="1266" w:type="dxa"/>
            <w:shd w:val="clear" w:color="auto" w:fill="D2DDE1" w:themeFill="background2"/>
            <w:noWrap/>
            <w:vAlign w:val="bottom"/>
          </w:tcPr>
          <w:p w14:paraId="4DFBEB68" w14:textId="37523EB4" w:rsidR="003D45D1" w:rsidRPr="00B275E2" w:rsidRDefault="003D45D1" w:rsidP="004D05F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250</w:t>
            </w:r>
          </w:p>
        </w:tc>
        <w:tc>
          <w:tcPr>
            <w:tcW w:w="1151" w:type="dxa"/>
            <w:shd w:val="clear" w:color="auto" w:fill="auto"/>
            <w:noWrap/>
            <w:vAlign w:val="bottom"/>
          </w:tcPr>
          <w:p w14:paraId="5482E16D" w14:textId="4C93CE75" w:rsidR="003D45D1" w:rsidRPr="00B275E2" w:rsidRDefault="003D45D1" w:rsidP="004D05F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c>
          <w:tcPr>
            <w:tcW w:w="1151" w:type="dxa"/>
            <w:shd w:val="clear" w:color="auto" w:fill="auto"/>
            <w:noWrap/>
            <w:vAlign w:val="bottom"/>
          </w:tcPr>
          <w:p w14:paraId="3C0EFAF9" w14:textId="68C3FA49" w:rsidR="003D45D1" w:rsidRPr="00B275E2" w:rsidRDefault="003D45D1" w:rsidP="004D05F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250</w:t>
            </w:r>
          </w:p>
        </w:tc>
        <w:tc>
          <w:tcPr>
            <w:tcW w:w="1324" w:type="dxa"/>
            <w:tcBorders>
              <w:right w:val="single" w:sz="4" w:space="0" w:color="FFFFFF" w:themeColor="background1"/>
            </w:tcBorders>
            <w:shd w:val="clear" w:color="auto" w:fill="auto"/>
            <w:noWrap/>
            <w:vAlign w:val="bottom"/>
          </w:tcPr>
          <w:p w14:paraId="25BEFD46" w14:textId="7531844D" w:rsidR="003D45D1" w:rsidRPr="00B275E2" w:rsidRDefault="003D45D1" w:rsidP="004D05F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r>
      <w:tr w:rsidR="00EC7A3E" w:rsidRPr="00B275E2" w14:paraId="20AA607D" w14:textId="77777777" w:rsidTr="00E462C5">
        <w:tc>
          <w:tcPr>
            <w:cnfStyle w:val="001000000000" w:firstRow="0" w:lastRow="0" w:firstColumn="1" w:lastColumn="0" w:oddVBand="0" w:evenVBand="0" w:oddHBand="0" w:evenHBand="0" w:firstRowFirstColumn="0" w:firstRowLastColumn="0" w:lastRowFirstColumn="0" w:lastRowLastColumn="0"/>
            <w:tcW w:w="1271" w:type="dxa"/>
            <w:vMerge/>
            <w:tcBorders>
              <w:left w:val="single" w:sz="4" w:space="0" w:color="FFFFFF" w:themeColor="background1"/>
            </w:tcBorders>
            <w:vAlign w:val="bottom"/>
          </w:tcPr>
          <w:p w14:paraId="53EC17E9" w14:textId="77777777" w:rsidR="003D45D1" w:rsidRPr="00B275E2" w:rsidRDefault="003D45D1" w:rsidP="004D05FD">
            <w:pPr>
              <w:pStyle w:val="TableText"/>
              <w:spacing w:before="40" w:after="40"/>
              <w:rPr>
                <w:rFonts w:cs="Calibri"/>
                <w:szCs w:val="18"/>
              </w:rPr>
            </w:pPr>
          </w:p>
        </w:tc>
        <w:tc>
          <w:tcPr>
            <w:tcW w:w="1421" w:type="dxa"/>
            <w:vAlign w:val="bottom"/>
          </w:tcPr>
          <w:p w14:paraId="235E1A3E" w14:textId="2EFBE235" w:rsidR="003D45D1" w:rsidRPr="00B275E2" w:rsidRDefault="003D45D1" w:rsidP="004D05FD">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Poultry</w:t>
            </w:r>
          </w:p>
        </w:tc>
        <w:tc>
          <w:tcPr>
            <w:tcW w:w="921" w:type="dxa"/>
            <w:noWrap/>
            <w:vAlign w:val="bottom"/>
          </w:tcPr>
          <w:p w14:paraId="6C2172C5" w14:textId="4E70B1E4" w:rsidR="003D45D1" w:rsidRPr="00B275E2" w:rsidRDefault="003D45D1" w:rsidP="004D05FD">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per head</w:t>
            </w:r>
          </w:p>
        </w:tc>
        <w:tc>
          <w:tcPr>
            <w:tcW w:w="1266" w:type="dxa"/>
            <w:shd w:val="clear" w:color="auto" w:fill="D2DDE1" w:themeFill="background2"/>
            <w:noWrap/>
            <w:vAlign w:val="bottom"/>
          </w:tcPr>
          <w:p w14:paraId="5A3CDCE3" w14:textId="26557018" w:rsidR="003D45D1" w:rsidRPr="00B275E2" w:rsidRDefault="003D45D1" w:rsidP="004D05F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w:t>
            </w:r>
          </w:p>
        </w:tc>
        <w:tc>
          <w:tcPr>
            <w:tcW w:w="1151" w:type="dxa"/>
            <w:shd w:val="clear" w:color="auto" w:fill="auto"/>
            <w:noWrap/>
            <w:vAlign w:val="bottom"/>
          </w:tcPr>
          <w:p w14:paraId="6BF2CAE7" w14:textId="19CA67CB" w:rsidR="003D45D1" w:rsidRPr="00B275E2" w:rsidRDefault="003D45D1" w:rsidP="004D05F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n/a</w:t>
            </w:r>
          </w:p>
        </w:tc>
        <w:tc>
          <w:tcPr>
            <w:tcW w:w="1151" w:type="dxa"/>
            <w:shd w:val="clear" w:color="auto" w:fill="auto"/>
            <w:noWrap/>
            <w:vAlign w:val="bottom"/>
          </w:tcPr>
          <w:p w14:paraId="5C5EE2F9" w14:textId="6940C801" w:rsidR="003D45D1" w:rsidRPr="00B275E2" w:rsidRDefault="003D45D1" w:rsidP="004D05F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w:t>
            </w:r>
          </w:p>
        </w:tc>
        <w:tc>
          <w:tcPr>
            <w:tcW w:w="1324" w:type="dxa"/>
            <w:tcBorders>
              <w:right w:val="single" w:sz="4" w:space="0" w:color="FFFFFF" w:themeColor="background1"/>
            </w:tcBorders>
            <w:shd w:val="clear" w:color="auto" w:fill="auto"/>
            <w:noWrap/>
            <w:vAlign w:val="bottom"/>
          </w:tcPr>
          <w:p w14:paraId="3F364964" w14:textId="0EA5A9CC" w:rsidR="003D45D1" w:rsidRPr="00B275E2" w:rsidRDefault="003D45D1" w:rsidP="004D05F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n/a</w:t>
            </w:r>
          </w:p>
        </w:tc>
      </w:tr>
    </w:tbl>
    <w:p w14:paraId="168C884C" w14:textId="7F6B6A1C" w:rsidR="003A7B65" w:rsidRPr="00B275E2" w:rsidRDefault="00D411C0" w:rsidP="002234D0">
      <w:pPr>
        <w:pStyle w:val="Heading3"/>
      </w:pPr>
      <w:r>
        <w:t xml:space="preserve"> </w:t>
      </w:r>
      <w:r w:rsidR="00301928" w:rsidRPr="00B275E2">
        <w:t xml:space="preserve">GHG </w:t>
      </w:r>
      <w:r w:rsidR="003A7B65" w:rsidRPr="00B275E2">
        <w:t>inventory development</w:t>
      </w:r>
    </w:p>
    <w:p w14:paraId="7B970FD8" w14:textId="07B004C6" w:rsidR="0083229C" w:rsidRPr="00B275E2" w:rsidRDefault="00002769" w:rsidP="00BC545F">
      <w:pPr>
        <w:pStyle w:val="BodyText"/>
        <w:rPr>
          <w:rFonts w:eastAsia="Times New Roman"/>
          <w:lang w:eastAsia="en-US"/>
        </w:rPr>
      </w:pPr>
      <w:bookmarkStart w:id="628" w:name="_Hlk535495874"/>
      <w:r w:rsidRPr="00B275E2">
        <w:rPr>
          <w:rFonts w:eastAsia="Times New Roman"/>
          <w:lang w:eastAsia="en-US"/>
        </w:rPr>
        <w:t xml:space="preserve">Organisations should collect data on the number and type of livestock </w:t>
      </w:r>
      <w:r w:rsidR="004D2F2E" w:rsidRPr="00B275E2">
        <w:rPr>
          <w:rFonts w:eastAsia="Times New Roman"/>
          <w:lang w:eastAsia="en-US"/>
        </w:rPr>
        <w:t xml:space="preserve">as at 30 June </w:t>
      </w:r>
      <w:r w:rsidRPr="00B275E2">
        <w:rPr>
          <w:rFonts w:eastAsia="Times New Roman"/>
          <w:lang w:eastAsia="en-US"/>
        </w:rPr>
        <w:t>during the</w:t>
      </w:r>
      <w:r w:rsidR="00BE64EE" w:rsidRPr="00B275E2">
        <w:rPr>
          <w:rFonts w:eastAsia="Times New Roman"/>
          <w:lang w:eastAsia="en-US"/>
        </w:rPr>
        <w:t> </w:t>
      </w:r>
      <w:r w:rsidRPr="00B275E2">
        <w:rPr>
          <w:rFonts w:eastAsia="Times New Roman"/>
          <w:lang w:eastAsia="en-US"/>
        </w:rPr>
        <w:t>measurement period</w:t>
      </w:r>
      <w:r w:rsidR="004D2F2E" w:rsidRPr="00B275E2">
        <w:rPr>
          <w:rFonts w:eastAsia="Times New Roman"/>
          <w:lang w:eastAsia="en-US"/>
        </w:rPr>
        <w:t xml:space="preserve"> (regardless of whether the period is a calendar or financial year</w:t>
      </w:r>
      <w:r w:rsidR="00D94A1D" w:rsidRPr="00B275E2">
        <w:rPr>
          <w:rFonts w:eastAsia="Times New Roman"/>
          <w:lang w:eastAsia="en-US"/>
        </w:rPr>
        <w:t>;</w:t>
      </w:r>
      <w:r w:rsidR="004D2F2E" w:rsidRPr="00B275E2">
        <w:rPr>
          <w:rFonts w:eastAsia="Times New Roman"/>
          <w:lang w:eastAsia="en-US"/>
        </w:rPr>
        <w:t xml:space="preserve"> see</w:t>
      </w:r>
      <w:r w:rsidR="00BE64EE" w:rsidRPr="00B275E2">
        <w:rPr>
          <w:rFonts w:eastAsia="Times New Roman"/>
          <w:lang w:eastAsia="en-US"/>
        </w:rPr>
        <w:t> </w:t>
      </w:r>
      <w:hyperlink w:anchor="_Enteric_fermentation" w:history="1">
        <w:r w:rsidR="00110456" w:rsidRPr="00B275E2">
          <w:rPr>
            <w:rStyle w:val="Hyperlink"/>
            <w:rFonts w:eastAsia="Times New Roman"/>
            <w:lang w:eastAsia="en-US"/>
          </w:rPr>
          <w:t>section 11.3.1</w:t>
        </w:r>
      </w:hyperlink>
      <w:r w:rsidR="004D2F2E" w:rsidRPr="00B275E2">
        <w:rPr>
          <w:rFonts w:eastAsia="Times New Roman"/>
          <w:lang w:eastAsia="en-US"/>
        </w:rPr>
        <w:t>)</w:t>
      </w:r>
      <w:r w:rsidRPr="00B275E2">
        <w:rPr>
          <w:rFonts w:eastAsia="Times New Roman"/>
          <w:lang w:eastAsia="en-US"/>
        </w:rPr>
        <w:t xml:space="preserve"> to calculate emissions from enteric fermentation.</w:t>
      </w:r>
      <w:r w:rsidR="0083229C" w:rsidRPr="00B275E2">
        <w:rPr>
          <w:rFonts w:eastAsia="Times New Roman"/>
          <w:lang w:eastAsia="en-US"/>
        </w:rPr>
        <w:t xml:space="preserve"> </w:t>
      </w:r>
    </w:p>
    <w:bookmarkEnd w:id="628"/>
    <w:p w14:paraId="6E2B7025" w14:textId="3A469F86" w:rsidR="000A2FDA" w:rsidRPr="00B275E2" w:rsidRDefault="000A2FDA" w:rsidP="00BC545F">
      <w:pPr>
        <w:pStyle w:val="BodyText"/>
      </w:pPr>
      <w:r w:rsidRPr="00B275E2">
        <w:t xml:space="preserve">Applying the equation </w:t>
      </w:r>
      <w:r w:rsidR="00D34302" w:rsidRPr="00B275E2">
        <w:t>E= Q x F</w:t>
      </w:r>
      <w:r w:rsidR="00080E17" w:rsidRPr="00B275E2">
        <w:t xml:space="preserve"> </w:t>
      </w:r>
      <w:r w:rsidR="00D34302" w:rsidRPr="00B275E2">
        <w:t>(</w:t>
      </w:r>
      <w:hyperlink w:anchor="_How_to_quantify" w:history="1">
        <w:r w:rsidR="00B176C6" w:rsidRPr="00B275E2">
          <w:rPr>
            <w:rStyle w:val="Hyperlink"/>
          </w:rPr>
          <w:t>section 2</w:t>
        </w:r>
      </w:hyperlink>
      <w:r w:rsidR="00D34302" w:rsidRPr="00B275E2">
        <w:rPr>
          <w:rStyle w:val="Hyperlink"/>
          <w:color w:val="auto"/>
        </w:rPr>
        <w:t>)</w:t>
      </w:r>
      <w:r w:rsidRPr="00B275E2">
        <w:t>, this means:</w:t>
      </w:r>
    </w:p>
    <w:p w14:paraId="64BDDE23" w14:textId="3C86152D" w:rsidR="00D34302" w:rsidRPr="00B275E2" w:rsidRDefault="00D34302" w:rsidP="00040137">
      <w:pPr>
        <w:pStyle w:val="BodyText"/>
        <w:tabs>
          <w:tab w:val="left" w:pos="680"/>
          <w:tab w:val="left" w:pos="1134"/>
        </w:tabs>
        <w:contextualSpacing/>
      </w:pPr>
      <w:r w:rsidRPr="00B275E2">
        <w:t>E</w:t>
      </w:r>
      <w:r w:rsidRPr="00B275E2">
        <w:tab/>
        <w:t>=</w:t>
      </w:r>
      <w:r w:rsidRPr="00B275E2">
        <w:tab/>
        <w:t>emissions from the emissions source in kg CO</w:t>
      </w:r>
      <w:r w:rsidRPr="00B275E2">
        <w:rPr>
          <w:vertAlign w:val="subscript"/>
        </w:rPr>
        <w:t>2</w:t>
      </w:r>
      <w:r w:rsidRPr="00B275E2">
        <w:t>-e per year</w:t>
      </w:r>
    </w:p>
    <w:p w14:paraId="756EC457" w14:textId="6755E1A1" w:rsidR="003A7B65" w:rsidRPr="00B275E2" w:rsidRDefault="000F4C85" w:rsidP="00040137">
      <w:pPr>
        <w:pStyle w:val="BodyText"/>
        <w:tabs>
          <w:tab w:val="left" w:pos="680"/>
          <w:tab w:val="left" w:pos="1134"/>
        </w:tabs>
        <w:contextualSpacing/>
      </w:pPr>
      <w:r w:rsidRPr="00B275E2">
        <w:t>Q</w:t>
      </w:r>
      <w:r w:rsidRPr="00B275E2">
        <w:tab/>
        <w:t>=</w:t>
      </w:r>
      <w:r w:rsidRPr="00B275E2">
        <w:tab/>
      </w:r>
      <w:r w:rsidR="00512236" w:rsidRPr="00B275E2">
        <w:t>number</w:t>
      </w:r>
      <w:r w:rsidR="003A7B65" w:rsidRPr="00B275E2">
        <w:t xml:space="preserve"> of animals (per head</w:t>
      </w:r>
      <w:r w:rsidR="004D2F2E" w:rsidRPr="00B275E2">
        <w:t xml:space="preserve"> per </w:t>
      </w:r>
      <w:r w:rsidR="0020720F" w:rsidRPr="00B275E2">
        <w:t>livestock</w:t>
      </w:r>
      <w:r w:rsidR="00512236" w:rsidRPr="00B275E2">
        <w:t xml:space="preserve"> </w:t>
      </w:r>
      <w:r w:rsidR="004D2F2E" w:rsidRPr="00B275E2">
        <w:t>type</w:t>
      </w:r>
      <w:r w:rsidR="003A7B65" w:rsidRPr="00B275E2">
        <w:t>)</w:t>
      </w:r>
    </w:p>
    <w:p w14:paraId="356F2934" w14:textId="4661A6C8" w:rsidR="003A7B65" w:rsidRPr="00B275E2" w:rsidRDefault="000F4C85" w:rsidP="00040137">
      <w:pPr>
        <w:pStyle w:val="BodyText"/>
        <w:tabs>
          <w:tab w:val="left" w:pos="680"/>
          <w:tab w:val="left" w:pos="1134"/>
        </w:tabs>
        <w:spacing w:after="240"/>
        <w:contextualSpacing/>
      </w:pPr>
      <w:r w:rsidRPr="00B275E2">
        <w:t>F</w:t>
      </w:r>
      <w:r w:rsidRPr="00B275E2">
        <w:tab/>
        <w:t>=</w:t>
      </w:r>
      <w:r w:rsidRPr="00B275E2">
        <w:tab/>
      </w:r>
      <w:r w:rsidR="003A7B65" w:rsidRPr="00B275E2">
        <w:t xml:space="preserve">appropriate emission factors </w:t>
      </w:r>
      <w:r w:rsidR="006E6D05" w:rsidRPr="00B275E2">
        <w:t>from</w:t>
      </w:r>
      <w:r w:rsidR="00B176C6" w:rsidRPr="00B275E2">
        <w:t xml:space="preserve"> table </w:t>
      </w:r>
      <w:r w:rsidR="0016782E">
        <w:t>9</w:t>
      </w:r>
      <w:r w:rsidR="00EE24CD">
        <w:t>1</w:t>
      </w: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5"/>
      </w:tblGrid>
      <w:tr w:rsidR="00DA7183" w:rsidRPr="00B275E2" w14:paraId="781EAB8F" w14:textId="77777777" w:rsidTr="00040137">
        <w:tc>
          <w:tcPr>
            <w:tcW w:w="8505" w:type="dxa"/>
            <w:tcBorders>
              <w:top w:val="single" w:sz="4" w:space="0" w:color="0F7B7D"/>
              <w:left w:val="single" w:sz="4" w:space="0" w:color="0F7B7D"/>
              <w:bottom w:val="nil"/>
              <w:right w:val="single" w:sz="4" w:space="0" w:color="0F7B7D"/>
            </w:tcBorders>
            <w:shd w:val="clear" w:color="auto" w:fill="0F7B7D"/>
            <w:vAlign w:val="center"/>
          </w:tcPr>
          <w:p w14:paraId="50B62E65" w14:textId="4572DE5E" w:rsidR="00002769" w:rsidRPr="00B275E2" w:rsidDel="00D5390D" w:rsidRDefault="00E433ED" w:rsidP="00BC545F">
            <w:pPr>
              <w:pStyle w:val="Casestudyheading"/>
            </w:pPr>
            <w:bookmarkStart w:id="629" w:name="_Hlk535495535"/>
            <w:r w:rsidRPr="00B275E2">
              <w:t xml:space="preserve">ENTERIC FERMENTATION: </w:t>
            </w:r>
            <w:r w:rsidR="00002769" w:rsidRPr="00B275E2">
              <w:t>Example Calculation</w:t>
            </w:r>
          </w:p>
        </w:tc>
      </w:tr>
      <w:tr w:rsidR="00F21DC0" w:rsidRPr="00B275E2" w14:paraId="48A2E067" w14:textId="77777777" w:rsidTr="00040137">
        <w:tc>
          <w:tcPr>
            <w:tcW w:w="8505" w:type="dxa"/>
            <w:tcBorders>
              <w:top w:val="nil"/>
              <w:left w:val="single" w:sz="4" w:space="0" w:color="D5EBE8" w:themeColor="accent3"/>
              <w:bottom w:val="single" w:sz="4" w:space="0" w:color="D5EBE8" w:themeColor="accent3"/>
              <w:right w:val="single" w:sz="4" w:space="0" w:color="D5EBE8" w:themeColor="accent3"/>
            </w:tcBorders>
            <w:shd w:val="clear" w:color="auto" w:fill="D5EBE8" w:themeFill="accent3"/>
          </w:tcPr>
          <w:p w14:paraId="4BA8891B" w14:textId="314847AE" w:rsidR="00002769" w:rsidRPr="00B275E2" w:rsidRDefault="00002769" w:rsidP="00040137">
            <w:pPr>
              <w:pStyle w:val="Boxtext"/>
              <w:spacing w:after="80"/>
            </w:pPr>
            <w:r w:rsidRPr="00B275E2">
              <w:t xml:space="preserve">An organisation owns </w:t>
            </w:r>
            <w:r w:rsidR="00B96256" w:rsidRPr="00B275E2">
              <w:t>2400</w:t>
            </w:r>
            <w:r w:rsidRPr="00B275E2">
              <w:t xml:space="preserve"> sheep and </w:t>
            </w:r>
            <w:r w:rsidR="00B96256" w:rsidRPr="00B275E2">
              <w:t>210</w:t>
            </w:r>
            <w:r w:rsidRPr="00B275E2">
              <w:t xml:space="preserve"> dairy cows </w:t>
            </w:r>
            <w:r w:rsidR="00E5562F" w:rsidRPr="00B275E2">
              <w:t xml:space="preserve">on 30 June </w:t>
            </w:r>
            <w:r w:rsidRPr="00B275E2">
              <w:t>during the reporting period. They graze on land owned by the organisation.</w:t>
            </w:r>
          </w:p>
          <w:p w14:paraId="1BA0A9E7" w14:textId="6C0F2333" w:rsidR="00002769" w:rsidRPr="00B275E2" w:rsidRDefault="00002769" w:rsidP="00040137">
            <w:pPr>
              <w:pStyle w:val="Boxtext"/>
              <w:tabs>
                <w:tab w:val="left" w:pos="3014"/>
              </w:tabs>
              <w:spacing w:before="20" w:after="20"/>
              <w:ind w:left="850"/>
            </w:pPr>
            <w:r w:rsidRPr="00B275E2">
              <w:t>CO</w:t>
            </w:r>
            <w:r w:rsidRPr="00B275E2">
              <w:rPr>
                <w:vertAlign w:val="subscript"/>
              </w:rPr>
              <w:t>2</w:t>
            </w:r>
            <w:r w:rsidRPr="00B275E2">
              <w:t xml:space="preserve"> emissions </w:t>
            </w:r>
            <w:r w:rsidRPr="00B275E2">
              <w:tab/>
              <w:t>= 0</w:t>
            </w:r>
          </w:p>
          <w:p w14:paraId="7DA2B544" w14:textId="138895F5" w:rsidR="00002769" w:rsidRPr="00B275E2" w:rsidRDefault="00002769" w:rsidP="00040137">
            <w:pPr>
              <w:pStyle w:val="Boxtext"/>
              <w:tabs>
                <w:tab w:val="left" w:pos="3014"/>
              </w:tabs>
              <w:spacing w:before="20" w:after="20"/>
              <w:ind w:left="850"/>
            </w:pPr>
            <w:r w:rsidRPr="00B275E2">
              <w:t>CH</w:t>
            </w:r>
            <w:r w:rsidRPr="00B275E2">
              <w:rPr>
                <w:vertAlign w:val="subscript"/>
              </w:rPr>
              <w:t>4</w:t>
            </w:r>
            <w:r w:rsidRPr="00B275E2">
              <w:t xml:space="preserve"> emissions </w:t>
            </w:r>
            <w:r w:rsidRPr="00B275E2">
              <w:tab/>
              <w:t>= (</w:t>
            </w:r>
            <w:r w:rsidR="00B96256" w:rsidRPr="00B275E2">
              <w:t>2400</w:t>
            </w:r>
            <w:r w:rsidR="00E5562F" w:rsidRPr="00B275E2">
              <w:t xml:space="preserve"> </w:t>
            </w:r>
            <w:r w:rsidRPr="00B275E2">
              <w:t>×</w:t>
            </w:r>
            <w:r w:rsidR="00E5562F" w:rsidRPr="00B275E2">
              <w:t xml:space="preserve"> </w:t>
            </w:r>
            <w:r w:rsidR="004E4D39" w:rsidRPr="00B275E2">
              <w:t>318</w:t>
            </w:r>
            <w:r w:rsidRPr="00B275E2">
              <w:t>) + (</w:t>
            </w:r>
            <w:r w:rsidR="00B96256" w:rsidRPr="00B275E2">
              <w:t>210</w:t>
            </w:r>
            <w:r w:rsidR="00E5562F" w:rsidRPr="00B275E2">
              <w:t xml:space="preserve"> </w:t>
            </w:r>
            <w:r w:rsidRPr="00B275E2">
              <w:t>×</w:t>
            </w:r>
            <w:r w:rsidR="00E5562F" w:rsidRPr="00B275E2">
              <w:t xml:space="preserve"> </w:t>
            </w:r>
            <w:r w:rsidR="004E4D39" w:rsidRPr="00B275E2">
              <w:t>2,264</w:t>
            </w:r>
            <w:r w:rsidRPr="00B275E2">
              <w:t xml:space="preserve">) = </w:t>
            </w:r>
            <w:r w:rsidR="00424227" w:rsidRPr="00B275E2">
              <w:t>1,238,640</w:t>
            </w:r>
            <w:r w:rsidR="00D44A8C" w:rsidRPr="00B275E2">
              <w:t xml:space="preserve"> </w:t>
            </w:r>
            <w:r w:rsidRPr="00B275E2">
              <w:t>kg CO</w:t>
            </w:r>
            <w:r w:rsidRPr="00B275E2">
              <w:rPr>
                <w:vertAlign w:val="subscript"/>
              </w:rPr>
              <w:t>2</w:t>
            </w:r>
            <w:r w:rsidRPr="00B275E2">
              <w:t xml:space="preserve">-e </w:t>
            </w:r>
          </w:p>
          <w:p w14:paraId="6610F44D" w14:textId="1E49E2A5" w:rsidR="00002769" w:rsidRPr="00B275E2" w:rsidRDefault="00002769" w:rsidP="00040137">
            <w:pPr>
              <w:pStyle w:val="Boxtext"/>
              <w:tabs>
                <w:tab w:val="left" w:pos="3014"/>
              </w:tabs>
              <w:spacing w:before="20" w:after="20"/>
              <w:ind w:left="850"/>
            </w:pPr>
            <w:r w:rsidRPr="00B275E2">
              <w:t>N</w:t>
            </w:r>
            <w:r w:rsidRPr="00B275E2">
              <w:rPr>
                <w:vertAlign w:val="subscript"/>
              </w:rPr>
              <w:t>2</w:t>
            </w:r>
            <w:r w:rsidRPr="00B275E2">
              <w:t xml:space="preserve">O emissions </w:t>
            </w:r>
            <w:r w:rsidRPr="00B275E2">
              <w:tab/>
              <w:t>= 0</w:t>
            </w:r>
          </w:p>
          <w:p w14:paraId="11620573" w14:textId="61AB9FF4" w:rsidR="00002769" w:rsidRPr="00B275E2" w:rsidRDefault="00002769" w:rsidP="00040137">
            <w:pPr>
              <w:pStyle w:val="Boxtext"/>
              <w:tabs>
                <w:tab w:val="left" w:pos="3014"/>
              </w:tabs>
              <w:spacing w:before="20" w:after="20"/>
              <w:ind w:left="850"/>
            </w:pPr>
            <w:r w:rsidRPr="00B275E2">
              <w:t>Total CO</w:t>
            </w:r>
            <w:r w:rsidRPr="00B275E2">
              <w:rPr>
                <w:vertAlign w:val="subscript"/>
              </w:rPr>
              <w:t>2</w:t>
            </w:r>
            <w:r w:rsidRPr="00B275E2">
              <w:t xml:space="preserve">-e emissions </w:t>
            </w:r>
            <w:r w:rsidRPr="00B275E2">
              <w:tab/>
              <w:t xml:space="preserve">= </w:t>
            </w:r>
            <w:r w:rsidR="003770B2" w:rsidRPr="00B275E2">
              <w:t>1,238,640</w:t>
            </w:r>
            <w:r w:rsidRPr="00B275E2">
              <w:t xml:space="preserve"> kg CO</w:t>
            </w:r>
            <w:r w:rsidRPr="00B275E2">
              <w:rPr>
                <w:vertAlign w:val="subscript"/>
              </w:rPr>
              <w:t>2</w:t>
            </w:r>
            <w:r w:rsidRPr="00B275E2">
              <w:t>-e</w:t>
            </w:r>
          </w:p>
          <w:p w14:paraId="33791EE4" w14:textId="1D626752" w:rsidR="004D2F2E" w:rsidRPr="00B275E2" w:rsidRDefault="004D2F2E" w:rsidP="00040137">
            <w:pPr>
              <w:pStyle w:val="Boxtext"/>
              <w:spacing w:after="180"/>
            </w:pPr>
            <w:r w:rsidRPr="00B275E2">
              <w:rPr>
                <w:sz w:val="18"/>
              </w:rPr>
              <w:t>Note</w:t>
            </w:r>
            <w:r w:rsidR="00E433ED" w:rsidRPr="00B275E2">
              <w:rPr>
                <w:sz w:val="18"/>
              </w:rPr>
              <w:t>: N</w:t>
            </w:r>
            <w:r w:rsidRPr="00B275E2">
              <w:rPr>
                <w:sz w:val="18"/>
              </w:rPr>
              <w:t>umbers may not add due to rounding</w:t>
            </w:r>
            <w:r w:rsidR="00A0044D" w:rsidRPr="00B275E2">
              <w:rPr>
                <w:sz w:val="18"/>
              </w:rPr>
              <w:t>.</w:t>
            </w:r>
          </w:p>
        </w:tc>
      </w:tr>
    </w:tbl>
    <w:p w14:paraId="097AE544" w14:textId="56D2A982" w:rsidR="003A7B65" w:rsidRPr="00B275E2" w:rsidRDefault="00D411C0" w:rsidP="002234D0">
      <w:pPr>
        <w:pStyle w:val="Heading3"/>
      </w:pPr>
      <w:bookmarkStart w:id="630" w:name="_Ref535495849"/>
      <w:bookmarkEnd w:id="629"/>
      <w:r>
        <w:t xml:space="preserve"> </w:t>
      </w:r>
      <w:r w:rsidR="003A7B65" w:rsidRPr="00B275E2">
        <w:t>Emission factor derivation methodology</w:t>
      </w:r>
      <w:bookmarkEnd w:id="630"/>
    </w:p>
    <w:p w14:paraId="4ABA1B3F" w14:textId="109C7E0B" w:rsidR="003A7B65" w:rsidRPr="00B275E2" w:rsidRDefault="000C33DB" w:rsidP="00040137">
      <w:pPr>
        <w:pStyle w:val="BodyText"/>
        <w:spacing w:after="240"/>
      </w:pPr>
      <w:r w:rsidRPr="00B275E2">
        <w:rPr>
          <w:i/>
          <w:iCs/>
        </w:rPr>
        <w:t xml:space="preserve">The </w:t>
      </w:r>
      <w:hyperlink r:id="rId120" w:history="1">
        <w:r w:rsidRPr="00B275E2">
          <w:rPr>
            <w:rStyle w:val="Hyperlink"/>
            <w:i/>
            <w:iCs/>
          </w:rPr>
          <w:t>New Zealand Greenhouse Gas Inventory 1990</w:t>
        </w:r>
        <w:r w:rsidR="00040137" w:rsidRPr="00B275E2">
          <w:rPr>
            <w:rStyle w:val="Hyperlink"/>
            <w:i/>
            <w:iCs/>
          </w:rPr>
          <w:t>–</w:t>
        </w:r>
        <w:r w:rsidRPr="00B275E2">
          <w:rPr>
            <w:rStyle w:val="Hyperlink"/>
            <w:i/>
            <w:iCs/>
          </w:rPr>
          <w:t>2020</w:t>
        </w:r>
      </w:hyperlink>
      <w:r w:rsidRPr="00B275E2">
        <w:t xml:space="preserve"> </w:t>
      </w:r>
      <w:r w:rsidR="003A7B65" w:rsidRPr="00B275E2">
        <w:t xml:space="preserve">publishes total emissions for enteric fermentation per livestock type, along with population numbers. </w:t>
      </w:r>
      <w:r w:rsidR="00A0044D" w:rsidRPr="00B275E2">
        <w:t>The Ministry of Primary Industries (</w:t>
      </w:r>
      <w:r w:rsidR="003A7B65" w:rsidRPr="00B275E2">
        <w:t>MPI</w:t>
      </w:r>
      <w:r w:rsidR="00A0044D" w:rsidRPr="00B275E2">
        <w:t>)</w:t>
      </w:r>
      <w:r w:rsidR="003A7B65" w:rsidRPr="00B275E2">
        <w:t xml:space="preserve"> supplied th</w:t>
      </w:r>
      <w:r w:rsidR="003674CE" w:rsidRPr="00B275E2">
        <w:t>ese</w:t>
      </w:r>
      <w:r w:rsidR="003A7B65" w:rsidRPr="00B275E2">
        <w:t xml:space="preserve"> same data for the creation of emission factors. </w:t>
      </w:r>
      <w:r w:rsidR="004D2F2E" w:rsidRPr="00B275E2">
        <w:t xml:space="preserve">We used this </w:t>
      </w:r>
      <w:r w:rsidR="003A7B65" w:rsidRPr="00B275E2">
        <w:t>information to calculate the emission factors based on the following equation</w:t>
      </w:r>
      <w:r w:rsidR="004D2F2E" w:rsidRPr="00B275E2">
        <w:t>:</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505"/>
      </w:tblGrid>
      <w:tr w:rsidR="008A344A" w:rsidRPr="00B275E2" w14:paraId="1E9ECC92" w14:textId="77777777" w:rsidTr="00040137">
        <w:tc>
          <w:tcPr>
            <w:tcW w:w="0" w:type="auto"/>
            <w:shd w:val="clear" w:color="auto" w:fill="D2DDE1" w:themeFill="background2"/>
          </w:tcPr>
          <w:p w14:paraId="368B71F0" w14:textId="04662C10" w:rsidR="008A344A" w:rsidRPr="00B275E2" w:rsidRDefault="008A344A" w:rsidP="008A344A">
            <w:pPr>
              <w:pStyle w:val="Blueboxtext"/>
              <w:spacing w:before="240" w:after="160"/>
            </w:pPr>
            <m:oMathPara>
              <m:oMathParaPr>
                <m:jc m:val="center"/>
              </m:oMathParaPr>
              <m:oMath>
                <m:r>
                  <w:rPr>
                    <w:rFonts w:ascii="Cambria Math" w:hAnsi="Cambria Math"/>
                  </w:rPr>
                  <m:t>emission factor per animal=</m:t>
                </m:r>
                <m:f>
                  <m:fPr>
                    <m:ctrlPr>
                      <w:rPr>
                        <w:rFonts w:ascii="Cambria Math" w:hAnsi="Cambria Math"/>
                        <w:i/>
                      </w:rPr>
                    </m:ctrlPr>
                  </m:fPr>
                  <m:num>
                    <m:r>
                      <w:rPr>
                        <w:rFonts w:ascii="Cambria Math" w:hAnsi="Cambria Math"/>
                      </w:rPr>
                      <m:t>enteric fermentation</m:t>
                    </m:r>
                  </m:num>
                  <m:den>
                    <m:r>
                      <w:rPr>
                        <w:rFonts w:ascii="Cambria Math" w:hAnsi="Cambria Math"/>
                      </w:rPr>
                      <m:t>population</m:t>
                    </m:r>
                  </m:den>
                </m:f>
              </m:oMath>
            </m:oMathPara>
          </w:p>
        </w:tc>
      </w:tr>
    </w:tbl>
    <w:p w14:paraId="7B2BA522" w14:textId="27956970" w:rsidR="003A7B65" w:rsidRPr="00B275E2" w:rsidRDefault="003A7B65" w:rsidP="008A344A">
      <w:pPr>
        <w:pStyle w:val="BodyText"/>
        <w:spacing w:before="240"/>
      </w:pPr>
      <w:r w:rsidRPr="00B275E2">
        <w:t xml:space="preserve">Note that the emission factors are based on data supplied for the </w:t>
      </w:r>
      <w:hyperlink r:id="rId121" w:history="1">
        <w:r w:rsidR="000C33DB" w:rsidRPr="00B275E2">
          <w:rPr>
            <w:rStyle w:val="Hyperlink"/>
            <w:i/>
            <w:iCs/>
          </w:rPr>
          <w:t>New Zealand Greenhouse Gas Inventory 1990</w:t>
        </w:r>
        <w:r w:rsidR="00040137" w:rsidRPr="00B275E2">
          <w:rPr>
            <w:rStyle w:val="Hyperlink"/>
            <w:i/>
            <w:iCs/>
          </w:rPr>
          <w:t>–</w:t>
        </w:r>
        <w:r w:rsidR="000C33DB" w:rsidRPr="00B275E2">
          <w:rPr>
            <w:rStyle w:val="Hyperlink"/>
            <w:i/>
            <w:iCs/>
          </w:rPr>
          <w:t>2020</w:t>
        </w:r>
      </w:hyperlink>
      <w:r w:rsidR="00E433ED" w:rsidRPr="00B275E2">
        <w:t>. T</w:t>
      </w:r>
      <w:r w:rsidRPr="00B275E2">
        <w:t>o ensure consistency</w:t>
      </w:r>
      <w:r w:rsidR="00FC334F" w:rsidRPr="00B275E2">
        <w:t>,</w:t>
      </w:r>
      <w:r w:rsidRPr="00B275E2">
        <w:t xml:space="preserve"> organisations should report their population of </w:t>
      </w:r>
      <w:r w:rsidR="00FC334F" w:rsidRPr="00B275E2">
        <w:t xml:space="preserve">livestock </w:t>
      </w:r>
      <w:r w:rsidRPr="00B275E2">
        <w:t>as at 30 June</w:t>
      </w:r>
      <w:r w:rsidR="00FC334F" w:rsidRPr="00B275E2">
        <w:t>, regardless of</w:t>
      </w:r>
      <w:r w:rsidR="008A344A" w:rsidRPr="00B275E2">
        <w:t> </w:t>
      </w:r>
      <w:r w:rsidR="00FC334F" w:rsidRPr="00B275E2">
        <w:t>the measurement period</w:t>
      </w:r>
      <w:r w:rsidRPr="00B275E2">
        <w:t>.</w:t>
      </w:r>
    </w:p>
    <w:p w14:paraId="11311768" w14:textId="2D4E400E" w:rsidR="003A5964" w:rsidRPr="00B275E2" w:rsidRDefault="003A7B65" w:rsidP="00BC545F">
      <w:pPr>
        <w:pStyle w:val="BodyText"/>
      </w:pPr>
      <w:r w:rsidRPr="00B275E2">
        <w:t>MPI define</w:t>
      </w:r>
      <w:r w:rsidR="00E433ED" w:rsidRPr="00B275E2">
        <w:t>s</w:t>
      </w:r>
      <w:r w:rsidRPr="00B275E2">
        <w:t xml:space="preserve"> non-dairy cattle </w:t>
      </w:r>
      <w:r w:rsidR="00FC334F" w:rsidRPr="00B275E2">
        <w:t xml:space="preserve">as </w:t>
      </w:r>
      <w:r w:rsidRPr="00B275E2">
        <w:t>beef breeds of cattle, including dairy-beef, as we</w:t>
      </w:r>
      <w:r w:rsidR="00EC464E" w:rsidRPr="00B275E2">
        <w:t>ll as any beef breeding stock.</w:t>
      </w:r>
    </w:p>
    <w:p w14:paraId="26694038" w14:textId="2A9400C5" w:rsidR="003A7B65" w:rsidRPr="00B275E2" w:rsidRDefault="005D328D" w:rsidP="008A344A">
      <w:pPr>
        <w:pStyle w:val="Tableheading"/>
      </w:pPr>
      <w:bookmarkStart w:id="631" w:name="_Toc111536697"/>
      <w:r w:rsidRPr="00B275E2">
        <w:t xml:space="preserve">Table </w:t>
      </w:r>
      <w:r w:rsidRPr="00B275E2">
        <w:fldChar w:fldCharType="begin"/>
      </w:r>
      <w:r w:rsidRPr="00B275E2">
        <w:instrText>SEQ Table \* ARABIC</w:instrText>
      </w:r>
      <w:r w:rsidRPr="00B275E2">
        <w:fldChar w:fldCharType="separate"/>
      </w:r>
      <w:r>
        <w:rPr>
          <w:noProof/>
        </w:rPr>
        <w:t>92</w:t>
      </w:r>
      <w:r w:rsidRPr="00B275E2">
        <w:fldChar w:fldCharType="end"/>
      </w:r>
      <w:r w:rsidRPr="00B275E2">
        <w:t>:</w:t>
      </w:r>
      <w:r w:rsidRPr="00B275E2">
        <w:tab/>
      </w:r>
      <w:r w:rsidR="00FC334F" w:rsidRPr="00B275E2">
        <w:t>Enteric fermentation figures per livestock type</w:t>
      </w:r>
      <w:bookmarkEnd w:id="631"/>
    </w:p>
    <w:tbl>
      <w:tblPr>
        <w:tblStyle w:val="LightList-Accent11"/>
        <w:tblW w:w="8505" w:type="dxa"/>
        <w:tblInd w:w="20"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ook w:val="04A0" w:firstRow="1" w:lastRow="0" w:firstColumn="1" w:lastColumn="0" w:noHBand="0" w:noVBand="1"/>
      </w:tblPr>
      <w:tblGrid>
        <w:gridCol w:w="1681"/>
        <w:gridCol w:w="1843"/>
        <w:gridCol w:w="4981"/>
      </w:tblGrid>
      <w:tr w:rsidR="003A7B65" w:rsidRPr="00B275E2" w14:paraId="19F4735A" w14:textId="77777777" w:rsidTr="000401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81" w:type="dxa"/>
            <w:shd w:val="clear" w:color="auto" w:fill="1B556B" w:themeFill="text2"/>
            <w:vAlign w:val="bottom"/>
          </w:tcPr>
          <w:p w14:paraId="2ED163E2" w14:textId="77777777" w:rsidR="003A7B65" w:rsidRPr="00B275E2" w:rsidRDefault="003A7B65" w:rsidP="00040137">
            <w:pPr>
              <w:pStyle w:val="TableText"/>
              <w:spacing w:before="50" w:after="50"/>
              <w:rPr>
                <w:szCs w:val="18"/>
              </w:rPr>
            </w:pPr>
            <w:r w:rsidRPr="00B275E2">
              <w:rPr>
                <w:szCs w:val="18"/>
              </w:rPr>
              <w:t>Animal</w:t>
            </w:r>
          </w:p>
        </w:tc>
        <w:tc>
          <w:tcPr>
            <w:tcW w:w="1843" w:type="dxa"/>
            <w:shd w:val="clear" w:color="auto" w:fill="1B556B" w:themeFill="text2"/>
            <w:vAlign w:val="bottom"/>
          </w:tcPr>
          <w:p w14:paraId="31F1B024" w14:textId="624B1999" w:rsidR="003A7B65" w:rsidRPr="00B275E2" w:rsidRDefault="003A7B65" w:rsidP="00040137">
            <w:pPr>
              <w:pStyle w:val="TableText"/>
              <w:spacing w:before="50" w:after="50"/>
              <w:jc w:val="right"/>
              <w:cnfStyle w:val="100000000000" w:firstRow="1" w:lastRow="0" w:firstColumn="0" w:lastColumn="0" w:oddVBand="0" w:evenVBand="0" w:oddHBand="0" w:evenHBand="0" w:firstRowFirstColumn="0" w:firstRowLastColumn="0" w:lastRowFirstColumn="0" w:lastRowLastColumn="0"/>
              <w:rPr>
                <w:szCs w:val="18"/>
              </w:rPr>
            </w:pPr>
            <w:r w:rsidRPr="00B275E2">
              <w:rPr>
                <w:szCs w:val="18"/>
              </w:rPr>
              <w:t>20</w:t>
            </w:r>
            <w:r w:rsidR="004E4D39" w:rsidRPr="00B275E2">
              <w:rPr>
                <w:szCs w:val="18"/>
              </w:rPr>
              <w:t>20</w:t>
            </w:r>
            <w:r w:rsidRPr="00B275E2">
              <w:rPr>
                <w:szCs w:val="18"/>
              </w:rPr>
              <w:t xml:space="preserve"> </w:t>
            </w:r>
            <w:r w:rsidR="00E433ED" w:rsidRPr="00B275E2">
              <w:rPr>
                <w:szCs w:val="18"/>
              </w:rPr>
              <w:t>p</w:t>
            </w:r>
            <w:r w:rsidRPr="00B275E2">
              <w:rPr>
                <w:szCs w:val="18"/>
              </w:rPr>
              <w:t>opulation</w:t>
            </w:r>
          </w:p>
        </w:tc>
        <w:tc>
          <w:tcPr>
            <w:tcW w:w="4981" w:type="dxa"/>
            <w:shd w:val="clear" w:color="auto" w:fill="1B556B" w:themeFill="text2"/>
            <w:vAlign w:val="bottom"/>
          </w:tcPr>
          <w:p w14:paraId="1FFF2328" w14:textId="0E08F647" w:rsidR="003A7B65" w:rsidRPr="00B275E2" w:rsidRDefault="00FC334F" w:rsidP="00040137">
            <w:pPr>
              <w:pStyle w:val="TableText"/>
              <w:spacing w:before="50" w:after="50"/>
              <w:jc w:val="right"/>
              <w:cnfStyle w:val="100000000000" w:firstRow="1" w:lastRow="0" w:firstColumn="0" w:lastColumn="0" w:oddVBand="0" w:evenVBand="0" w:oddHBand="0" w:evenHBand="0" w:firstRowFirstColumn="0" w:firstRowLastColumn="0" w:lastRowFirstColumn="0" w:lastRowLastColumn="0"/>
              <w:rPr>
                <w:szCs w:val="18"/>
              </w:rPr>
            </w:pPr>
            <w:r w:rsidRPr="00B275E2">
              <w:rPr>
                <w:szCs w:val="18"/>
              </w:rPr>
              <w:t>E</w:t>
            </w:r>
            <w:r w:rsidR="003A7B65" w:rsidRPr="00B275E2">
              <w:rPr>
                <w:szCs w:val="18"/>
              </w:rPr>
              <w:t xml:space="preserve">nteric </w:t>
            </w:r>
            <w:r w:rsidRPr="00B275E2">
              <w:rPr>
                <w:szCs w:val="18"/>
              </w:rPr>
              <w:t xml:space="preserve">fermentation emissions </w:t>
            </w:r>
            <w:r w:rsidR="003A7B65" w:rsidRPr="00B275E2">
              <w:rPr>
                <w:szCs w:val="18"/>
              </w:rPr>
              <w:t>in 20</w:t>
            </w:r>
            <w:r w:rsidR="004E4D39" w:rsidRPr="00B275E2">
              <w:rPr>
                <w:szCs w:val="18"/>
              </w:rPr>
              <w:t>20</w:t>
            </w:r>
            <w:r w:rsidR="003A7B65" w:rsidRPr="00B275E2">
              <w:rPr>
                <w:szCs w:val="18"/>
              </w:rPr>
              <w:t xml:space="preserve"> (kt CH</w:t>
            </w:r>
            <w:r w:rsidR="003A7B65" w:rsidRPr="00B275E2">
              <w:rPr>
                <w:szCs w:val="18"/>
                <w:vertAlign w:val="subscript"/>
              </w:rPr>
              <w:t>4</w:t>
            </w:r>
            <w:r w:rsidR="003A7B65" w:rsidRPr="00B275E2">
              <w:rPr>
                <w:szCs w:val="18"/>
              </w:rPr>
              <w:t>)</w:t>
            </w:r>
            <w:r w:rsidR="00822BA4" w:rsidRPr="00B275E2">
              <w:rPr>
                <w:szCs w:val="18"/>
              </w:rPr>
              <w:t xml:space="preserve"> </w:t>
            </w:r>
            <w:r w:rsidR="00AF3AAE" w:rsidRPr="00B275E2">
              <w:rPr>
                <w:szCs w:val="18"/>
              </w:rPr>
              <w:t>(</w:t>
            </w:r>
            <w:r w:rsidR="00D03100" w:rsidRPr="00B275E2">
              <w:rPr>
                <w:szCs w:val="18"/>
              </w:rPr>
              <w:t xml:space="preserve">as </w:t>
            </w:r>
            <w:r w:rsidR="00AF3AAE" w:rsidRPr="00B275E2">
              <w:rPr>
                <w:szCs w:val="18"/>
              </w:rPr>
              <w:t>GHG)</w:t>
            </w:r>
          </w:p>
        </w:tc>
      </w:tr>
      <w:tr w:rsidR="00365793" w:rsidRPr="00B275E2" w14:paraId="0B11F068" w14:textId="77777777" w:rsidTr="00E46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1" w:type="dxa"/>
            <w:tcBorders>
              <w:left w:val="single" w:sz="4" w:space="0" w:color="FFFFFF" w:themeColor="background1"/>
            </w:tcBorders>
          </w:tcPr>
          <w:p w14:paraId="51F9F18D" w14:textId="77777777" w:rsidR="00365793" w:rsidRPr="00B275E2" w:rsidRDefault="00365793" w:rsidP="00040137">
            <w:pPr>
              <w:pStyle w:val="TableText"/>
              <w:spacing w:before="50" w:after="50"/>
              <w:rPr>
                <w:b w:val="0"/>
                <w:szCs w:val="18"/>
              </w:rPr>
            </w:pPr>
            <w:r w:rsidRPr="00B275E2">
              <w:rPr>
                <w:b w:val="0"/>
                <w:szCs w:val="18"/>
              </w:rPr>
              <w:t>Dairy cattle</w:t>
            </w:r>
          </w:p>
        </w:tc>
        <w:tc>
          <w:tcPr>
            <w:tcW w:w="1843" w:type="dxa"/>
            <w:shd w:val="clear" w:color="auto" w:fill="auto"/>
            <w:vAlign w:val="bottom"/>
          </w:tcPr>
          <w:p w14:paraId="7CB48E5A" w14:textId="08DCBC9E" w:rsidR="00365793" w:rsidRPr="00B275E2" w:rsidRDefault="004E4D39" w:rsidP="00040137">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6,200,221</w:t>
            </w:r>
          </w:p>
        </w:tc>
        <w:tc>
          <w:tcPr>
            <w:tcW w:w="4981" w:type="dxa"/>
            <w:tcBorders>
              <w:right w:val="single" w:sz="4" w:space="0" w:color="FFFFFF" w:themeColor="background1"/>
            </w:tcBorders>
          </w:tcPr>
          <w:p w14:paraId="35C6149F" w14:textId="0B625A57" w:rsidR="00365793" w:rsidRPr="00B275E2" w:rsidRDefault="004E4D39" w:rsidP="00040137">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szCs w:val="18"/>
              </w:rPr>
              <w:t>561.39</w:t>
            </w:r>
          </w:p>
        </w:tc>
      </w:tr>
      <w:tr w:rsidR="00365793" w:rsidRPr="00B275E2" w14:paraId="68620D85" w14:textId="77777777" w:rsidTr="00E462C5">
        <w:tc>
          <w:tcPr>
            <w:cnfStyle w:val="001000000000" w:firstRow="0" w:lastRow="0" w:firstColumn="1" w:lastColumn="0" w:oddVBand="0" w:evenVBand="0" w:oddHBand="0" w:evenHBand="0" w:firstRowFirstColumn="0" w:firstRowLastColumn="0" w:lastRowFirstColumn="0" w:lastRowLastColumn="0"/>
            <w:tcW w:w="1681" w:type="dxa"/>
            <w:tcBorders>
              <w:left w:val="single" w:sz="4" w:space="0" w:color="FFFFFF" w:themeColor="background1"/>
            </w:tcBorders>
          </w:tcPr>
          <w:p w14:paraId="4A4074B0" w14:textId="37C1D7F8" w:rsidR="00365793" w:rsidRPr="00B275E2" w:rsidRDefault="00365793" w:rsidP="00040137">
            <w:pPr>
              <w:pStyle w:val="TableText"/>
              <w:spacing w:before="50" w:after="50"/>
              <w:rPr>
                <w:b w:val="0"/>
                <w:szCs w:val="18"/>
              </w:rPr>
            </w:pPr>
            <w:r w:rsidRPr="00B275E2">
              <w:rPr>
                <w:b w:val="0"/>
                <w:szCs w:val="18"/>
              </w:rPr>
              <w:t>Non-dairy cattle</w:t>
            </w:r>
          </w:p>
        </w:tc>
        <w:tc>
          <w:tcPr>
            <w:tcW w:w="1843" w:type="dxa"/>
            <w:shd w:val="clear" w:color="auto" w:fill="auto"/>
            <w:vAlign w:val="bottom"/>
          </w:tcPr>
          <w:p w14:paraId="25C9528A" w14:textId="573061D1" w:rsidR="00365793" w:rsidRPr="00B275E2" w:rsidRDefault="004E4D39" w:rsidP="00040137">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3,88</w:t>
            </w:r>
            <w:r w:rsidR="000A2116" w:rsidRPr="00B275E2">
              <w:rPr>
                <w:rFonts w:cs="Calibri"/>
                <w:szCs w:val="18"/>
              </w:rPr>
              <w:t>2,568</w:t>
            </w:r>
          </w:p>
        </w:tc>
        <w:tc>
          <w:tcPr>
            <w:tcW w:w="4981" w:type="dxa"/>
            <w:tcBorders>
              <w:right w:val="single" w:sz="4" w:space="0" w:color="FFFFFF" w:themeColor="background1"/>
            </w:tcBorders>
          </w:tcPr>
          <w:p w14:paraId="3770405D" w14:textId="17DA0EB8" w:rsidR="00365793" w:rsidRPr="00B275E2" w:rsidRDefault="000A2116" w:rsidP="00040137">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szCs w:val="18"/>
              </w:rPr>
              <w:t>239.23</w:t>
            </w:r>
          </w:p>
        </w:tc>
      </w:tr>
      <w:tr w:rsidR="00544B67" w:rsidRPr="00B275E2" w14:paraId="26E94983" w14:textId="77777777" w:rsidTr="00E46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1" w:type="dxa"/>
            <w:tcBorders>
              <w:left w:val="single" w:sz="4" w:space="0" w:color="FFFFFF" w:themeColor="background1"/>
            </w:tcBorders>
          </w:tcPr>
          <w:p w14:paraId="14AD8A13" w14:textId="77777777" w:rsidR="00365793" w:rsidRPr="00B275E2" w:rsidRDefault="00365793" w:rsidP="00040137">
            <w:pPr>
              <w:pStyle w:val="TableText"/>
              <w:spacing w:before="50" w:after="50"/>
              <w:rPr>
                <w:b w:val="0"/>
                <w:szCs w:val="18"/>
              </w:rPr>
            </w:pPr>
            <w:r w:rsidRPr="00B275E2">
              <w:rPr>
                <w:b w:val="0"/>
                <w:szCs w:val="18"/>
              </w:rPr>
              <w:t>Sheep</w:t>
            </w:r>
          </w:p>
        </w:tc>
        <w:tc>
          <w:tcPr>
            <w:tcW w:w="1843" w:type="dxa"/>
            <w:shd w:val="clear" w:color="auto" w:fill="auto"/>
            <w:vAlign w:val="bottom"/>
          </w:tcPr>
          <w:p w14:paraId="6096BDD0" w14:textId="23735B1F" w:rsidR="00365793" w:rsidRPr="00B275E2" w:rsidRDefault="000A2116" w:rsidP="00040137">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26,028,935</w:t>
            </w:r>
          </w:p>
        </w:tc>
        <w:tc>
          <w:tcPr>
            <w:tcW w:w="4981" w:type="dxa"/>
            <w:tcBorders>
              <w:right w:val="single" w:sz="4" w:space="0" w:color="FFFFFF" w:themeColor="background1"/>
            </w:tcBorders>
          </w:tcPr>
          <w:p w14:paraId="11FCB646" w14:textId="6D57F501" w:rsidR="00365793" w:rsidRPr="00B275E2" w:rsidRDefault="00890AD7" w:rsidP="00040137">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szCs w:val="18"/>
              </w:rPr>
            </w:pPr>
            <w:r w:rsidRPr="00B275E2">
              <w:rPr>
                <w:szCs w:val="18"/>
              </w:rPr>
              <w:t>330.85</w:t>
            </w:r>
          </w:p>
        </w:tc>
      </w:tr>
      <w:tr w:rsidR="00365793" w:rsidRPr="00B275E2" w14:paraId="77507F89" w14:textId="77777777" w:rsidTr="00E462C5">
        <w:tc>
          <w:tcPr>
            <w:cnfStyle w:val="001000000000" w:firstRow="0" w:lastRow="0" w:firstColumn="1" w:lastColumn="0" w:oddVBand="0" w:evenVBand="0" w:oddHBand="0" w:evenHBand="0" w:firstRowFirstColumn="0" w:firstRowLastColumn="0" w:lastRowFirstColumn="0" w:lastRowLastColumn="0"/>
            <w:tcW w:w="1681" w:type="dxa"/>
            <w:tcBorders>
              <w:left w:val="single" w:sz="4" w:space="0" w:color="FFFFFF" w:themeColor="background1"/>
            </w:tcBorders>
          </w:tcPr>
          <w:p w14:paraId="5EB5F543" w14:textId="77777777" w:rsidR="00365793" w:rsidRPr="00B275E2" w:rsidRDefault="00365793" w:rsidP="00040137">
            <w:pPr>
              <w:pStyle w:val="TableText"/>
              <w:spacing w:before="50" w:after="50"/>
              <w:rPr>
                <w:b w:val="0"/>
                <w:szCs w:val="18"/>
              </w:rPr>
            </w:pPr>
            <w:r w:rsidRPr="00B275E2">
              <w:rPr>
                <w:b w:val="0"/>
                <w:szCs w:val="18"/>
              </w:rPr>
              <w:t>Deer</w:t>
            </w:r>
          </w:p>
        </w:tc>
        <w:tc>
          <w:tcPr>
            <w:tcW w:w="1843" w:type="dxa"/>
            <w:shd w:val="clear" w:color="auto" w:fill="auto"/>
            <w:vAlign w:val="bottom"/>
          </w:tcPr>
          <w:p w14:paraId="058F00E8" w14:textId="625F15F5" w:rsidR="00365793" w:rsidRPr="00B275E2" w:rsidRDefault="00890AD7" w:rsidP="00040137">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833,258</w:t>
            </w:r>
          </w:p>
        </w:tc>
        <w:tc>
          <w:tcPr>
            <w:tcW w:w="4981" w:type="dxa"/>
            <w:tcBorders>
              <w:right w:val="single" w:sz="4" w:space="0" w:color="FFFFFF" w:themeColor="background1"/>
            </w:tcBorders>
          </w:tcPr>
          <w:p w14:paraId="5A227788" w14:textId="74DA35BC" w:rsidR="00365793" w:rsidRPr="00B275E2" w:rsidRDefault="00890AD7" w:rsidP="00040137">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szCs w:val="18"/>
              </w:rPr>
            </w:pPr>
            <w:r w:rsidRPr="00B275E2">
              <w:rPr>
                <w:szCs w:val="18"/>
              </w:rPr>
              <w:t>19.91</w:t>
            </w:r>
          </w:p>
        </w:tc>
      </w:tr>
      <w:tr w:rsidR="006D65DF" w:rsidRPr="00B275E2" w14:paraId="200B1C11" w14:textId="77777777" w:rsidTr="00E46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1" w:type="dxa"/>
            <w:tcBorders>
              <w:left w:val="single" w:sz="4" w:space="0" w:color="FFFFFF" w:themeColor="background1"/>
            </w:tcBorders>
          </w:tcPr>
          <w:p w14:paraId="5CAFD802" w14:textId="706F620A" w:rsidR="006D65DF" w:rsidRPr="00B275E2" w:rsidRDefault="006D65DF" w:rsidP="00040137">
            <w:pPr>
              <w:pStyle w:val="TableText"/>
              <w:spacing w:before="50" w:after="50"/>
              <w:rPr>
                <w:b w:val="0"/>
                <w:bCs w:val="0"/>
                <w:szCs w:val="18"/>
              </w:rPr>
            </w:pPr>
            <w:r w:rsidRPr="00B275E2">
              <w:rPr>
                <w:b w:val="0"/>
                <w:bCs w:val="0"/>
              </w:rPr>
              <w:t>Swine</w:t>
            </w:r>
          </w:p>
        </w:tc>
        <w:tc>
          <w:tcPr>
            <w:tcW w:w="1843" w:type="dxa"/>
            <w:shd w:val="clear" w:color="auto" w:fill="auto"/>
            <w:vAlign w:val="bottom"/>
          </w:tcPr>
          <w:p w14:paraId="60FE9A38" w14:textId="75EEFF2D" w:rsidR="006D65DF" w:rsidRPr="00B275E2" w:rsidRDefault="00890AD7" w:rsidP="00040137">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234,533</w:t>
            </w:r>
          </w:p>
        </w:tc>
        <w:tc>
          <w:tcPr>
            <w:tcW w:w="4981" w:type="dxa"/>
            <w:tcBorders>
              <w:right w:val="single" w:sz="4" w:space="0" w:color="FFFFFF" w:themeColor="background1"/>
            </w:tcBorders>
            <w:shd w:val="clear" w:color="auto" w:fill="auto"/>
            <w:vAlign w:val="bottom"/>
          </w:tcPr>
          <w:p w14:paraId="226F39DA" w14:textId="6CC05AF4" w:rsidR="006D65DF" w:rsidRPr="00B275E2" w:rsidRDefault="00890AD7" w:rsidP="00040137">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0.25</w:t>
            </w:r>
          </w:p>
        </w:tc>
      </w:tr>
      <w:tr w:rsidR="006D65DF" w:rsidRPr="00B275E2" w14:paraId="29A32883" w14:textId="77777777" w:rsidTr="00E462C5">
        <w:tc>
          <w:tcPr>
            <w:cnfStyle w:val="001000000000" w:firstRow="0" w:lastRow="0" w:firstColumn="1" w:lastColumn="0" w:oddVBand="0" w:evenVBand="0" w:oddHBand="0" w:evenHBand="0" w:firstRowFirstColumn="0" w:firstRowLastColumn="0" w:lastRowFirstColumn="0" w:lastRowLastColumn="0"/>
            <w:tcW w:w="1681" w:type="dxa"/>
            <w:tcBorders>
              <w:left w:val="single" w:sz="4" w:space="0" w:color="FFFFFF" w:themeColor="background1"/>
            </w:tcBorders>
          </w:tcPr>
          <w:p w14:paraId="3872D5ED" w14:textId="7C110587" w:rsidR="006D65DF" w:rsidRPr="00B275E2" w:rsidRDefault="006D65DF" w:rsidP="00040137">
            <w:pPr>
              <w:pStyle w:val="TableText"/>
              <w:spacing w:before="50" w:after="50"/>
              <w:rPr>
                <w:b w:val="0"/>
                <w:bCs w:val="0"/>
                <w:szCs w:val="18"/>
              </w:rPr>
            </w:pPr>
            <w:r w:rsidRPr="00B275E2">
              <w:rPr>
                <w:b w:val="0"/>
                <w:bCs w:val="0"/>
              </w:rPr>
              <w:lastRenderedPageBreak/>
              <w:t>Goats</w:t>
            </w:r>
          </w:p>
        </w:tc>
        <w:tc>
          <w:tcPr>
            <w:tcW w:w="1843" w:type="dxa"/>
            <w:shd w:val="clear" w:color="auto" w:fill="auto"/>
            <w:vAlign w:val="bottom"/>
          </w:tcPr>
          <w:p w14:paraId="2885B486" w14:textId="116A0346" w:rsidR="006D65DF" w:rsidRPr="00B275E2" w:rsidRDefault="00890AD7" w:rsidP="00040137">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96,416</w:t>
            </w:r>
          </w:p>
        </w:tc>
        <w:tc>
          <w:tcPr>
            <w:tcW w:w="4981" w:type="dxa"/>
            <w:tcBorders>
              <w:right w:val="single" w:sz="4" w:space="0" w:color="FFFFFF" w:themeColor="background1"/>
            </w:tcBorders>
            <w:shd w:val="clear" w:color="auto" w:fill="auto"/>
            <w:vAlign w:val="bottom"/>
          </w:tcPr>
          <w:p w14:paraId="2C6B40D6" w14:textId="2B0C5F6F" w:rsidR="006D65DF" w:rsidRPr="00B275E2" w:rsidRDefault="00890AD7" w:rsidP="00040137">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0.86</w:t>
            </w:r>
          </w:p>
        </w:tc>
      </w:tr>
      <w:tr w:rsidR="006D65DF" w:rsidRPr="00B275E2" w14:paraId="063FE934" w14:textId="77777777" w:rsidTr="00E46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1" w:type="dxa"/>
            <w:tcBorders>
              <w:left w:val="single" w:sz="4" w:space="0" w:color="FFFFFF" w:themeColor="background1"/>
            </w:tcBorders>
          </w:tcPr>
          <w:p w14:paraId="342E6DE9" w14:textId="340DFB76" w:rsidR="006D65DF" w:rsidRPr="00B275E2" w:rsidRDefault="006D65DF" w:rsidP="00040137">
            <w:pPr>
              <w:pStyle w:val="TableText"/>
              <w:spacing w:before="50" w:after="50"/>
              <w:rPr>
                <w:b w:val="0"/>
                <w:bCs w:val="0"/>
                <w:szCs w:val="18"/>
              </w:rPr>
            </w:pPr>
            <w:r w:rsidRPr="00B275E2">
              <w:rPr>
                <w:b w:val="0"/>
                <w:bCs w:val="0"/>
              </w:rPr>
              <w:t>Horses</w:t>
            </w:r>
          </w:p>
        </w:tc>
        <w:tc>
          <w:tcPr>
            <w:tcW w:w="1843" w:type="dxa"/>
            <w:shd w:val="clear" w:color="auto" w:fill="auto"/>
            <w:vAlign w:val="bottom"/>
          </w:tcPr>
          <w:p w14:paraId="743B5D8E" w14:textId="089184F9" w:rsidR="006D65DF" w:rsidRPr="00B275E2" w:rsidRDefault="00890AD7" w:rsidP="00040137">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38,</w:t>
            </w:r>
            <w:r w:rsidR="005C1FB7" w:rsidRPr="00B275E2">
              <w:rPr>
                <w:rFonts w:cs="Calibri"/>
                <w:szCs w:val="18"/>
              </w:rPr>
              <w:t>647</w:t>
            </w:r>
          </w:p>
        </w:tc>
        <w:tc>
          <w:tcPr>
            <w:tcW w:w="4981" w:type="dxa"/>
            <w:tcBorders>
              <w:right w:val="single" w:sz="4" w:space="0" w:color="FFFFFF" w:themeColor="background1"/>
            </w:tcBorders>
            <w:shd w:val="clear" w:color="auto" w:fill="auto"/>
            <w:vAlign w:val="bottom"/>
          </w:tcPr>
          <w:p w14:paraId="24810F97" w14:textId="51A6F77C" w:rsidR="006D65DF" w:rsidRPr="00B275E2" w:rsidRDefault="005C1FB7" w:rsidP="00040137">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0.70</w:t>
            </w:r>
          </w:p>
        </w:tc>
      </w:tr>
      <w:tr w:rsidR="006D65DF" w:rsidRPr="00B275E2" w14:paraId="586D3FF9" w14:textId="77777777" w:rsidTr="00E462C5">
        <w:tc>
          <w:tcPr>
            <w:cnfStyle w:val="001000000000" w:firstRow="0" w:lastRow="0" w:firstColumn="1" w:lastColumn="0" w:oddVBand="0" w:evenVBand="0" w:oddHBand="0" w:evenHBand="0" w:firstRowFirstColumn="0" w:firstRowLastColumn="0" w:lastRowFirstColumn="0" w:lastRowLastColumn="0"/>
            <w:tcW w:w="1681" w:type="dxa"/>
            <w:tcBorders>
              <w:left w:val="single" w:sz="4" w:space="0" w:color="FFFFFF" w:themeColor="background1"/>
            </w:tcBorders>
          </w:tcPr>
          <w:p w14:paraId="366A9D6E" w14:textId="76DBED23" w:rsidR="006D65DF" w:rsidRPr="00B275E2" w:rsidRDefault="006D65DF" w:rsidP="00040137">
            <w:pPr>
              <w:pStyle w:val="TableText"/>
              <w:spacing w:before="50" w:after="50"/>
              <w:rPr>
                <w:b w:val="0"/>
                <w:bCs w:val="0"/>
                <w:szCs w:val="18"/>
              </w:rPr>
            </w:pPr>
            <w:r w:rsidRPr="00B275E2">
              <w:rPr>
                <w:b w:val="0"/>
                <w:bCs w:val="0"/>
              </w:rPr>
              <w:t>Alpaca</w:t>
            </w:r>
            <w:r w:rsidR="005C1FB7" w:rsidRPr="00B275E2">
              <w:rPr>
                <w:b w:val="0"/>
                <w:bCs w:val="0"/>
              </w:rPr>
              <w:t xml:space="preserve"> and </w:t>
            </w:r>
            <w:r w:rsidR="0091562E" w:rsidRPr="00B275E2">
              <w:rPr>
                <w:b w:val="0"/>
                <w:bCs w:val="0"/>
              </w:rPr>
              <w:t>l</w:t>
            </w:r>
            <w:r w:rsidR="005C1FB7" w:rsidRPr="00B275E2">
              <w:rPr>
                <w:b w:val="0"/>
                <w:bCs w:val="0"/>
              </w:rPr>
              <w:t>lama</w:t>
            </w:r>
          </w:p>
        </w:tc>
        <w:tc>
          <w:tcPr>
            <w:tcW w:w="1843" w:type="dxa"/>
            <w:shd w:val="clear" w:color="auto" w:fill="auto"/>
            <w:vAlign w:val="bottom"/>
          </w:tcPr>
          <w:p w14:paraId="332643FA" w14:textId="5A55EA0D" w:rsidR="006D65DF" w:rsidRPr="00B275E2" w:rsidRDefault="005C1FB7" w:rsidP="00040137">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9,366</w:t>
            </w:r>
          </w:p>
        </w:tc>
        <w:tc>
          <w:tcPr>
            <w:tcW w:w="4981" w:type="dxa"/>
            <w:tcBorders>
              <w:right w:val="single" w:sz="4" w:space="0" w:color="FFFFFF" w:themeColor="background1"/>
            </w:tcBorders>
            <w:shd w:val="clear" w:color="auto" w:fill="auto"/>
            <w:vAlign w:val="bottom"/>
          </w:tcPr>
          <w:p w14:paraId="5E0A9E71" w14:textId="2D00D59B" w:rsidR="006D65DF" w:rsidRPr="00B275E2" w:rsidRDefault="005C1FB7" w:rsidP="00040137">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0.07</w:t>
            </w:r>
          </w:p>
        </w:tc>
      </w:tr>
      <w:tr w:rsidR="006D65DF" w:rsidRPr="00B275E2" w14:paraId="251111A4" w14:textId="77777777" w:rsidTr="00E46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1" w:type="dxa"/>
            <w:tcBorders>
              <w:left w:val="single" w:sz="4" w:space="0" w:color="FFFFFF" w:themeColor="background1"/>
            </w:tcBorders>
          </w:tcPr>
          <w:p w14:paraId="6B21C9E2" w14:textId="6E254735" w:rsidR="006D65DF" w:rsidRPr="00B275E2" w:rsidRDefault="006D65DF" w:rsidP="00040137">
            <w:pPr>
              <w:pStyle w:val="TableText"/>
              <w:spacing w:before="50" w:after="50"/>
              <w:rPr>
                <w:b w:val="0"/>
                <w:bCs w:val="0"/>
                <w:szCs w:val="18"/>
              </w:rPr>
            </w:pPr>
            <w:r w:rsidRPr="00B275E2">
              <w:rPr>
                <w:b w:val="0"/>
                <w:bCs w:val="0"/>
              </w:rPr>
              <w:t xml:space="preserve">Mules </w:t>
            </w:r>
            <w:r w:rsidR="00080E17" w:rsidRPr="00B275E2">
              <w:rPr>
                <w:b w:val="0"/>
                <w:bCs w:val="0"/>
              </w:rPr>
              <w:t xml:space="preserve">and </w:t>
            </w:r>
            <w:r w:rsidRPr="00B275E2">
              <w:rPr>
                <w:b w:val="0"/>
                <w:bCs w:val="0"/>
              </w:rPr>
              <w:t>asses</w:t>
            </w:r>
          </w:p>
        </w:tc>
        <w:tc>
          <w:tcPr>
            <w:tcW w:w="1843" w:type="dxa"/>
            <w:shd w:val="clear" w:color="auto" w:fill="auto"/>
            <w:vAlign w:val="bottom"/>
          </w:tcPr>
          <w:p w14:paraId="0A4AC75C" w14:textId="19D2E181" w:rsidR="006D65DF" w:rsidRPr="00B275E2" w:rsidRDefault="006D65DF" w:rsidP="00040137">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141</w:t>
            </w:r>
          </w:p>
        </w:tc>
        <w:tc>
          <w:tcPr>
            <w:tcW w:w="4981" w:type="dxa"/>
            <w:tcBorders>
              <w:right w:val="single" w:sz="4" w:space="0" w:color="FFFFFF" w:themeColor="background1"/>
            </w:tcBorders>
            <w:shd w:val="clear" w:color="auto" w:fill="auto"/>
            <w:vAlign w:val="bottom"/>
          </w:tcPr>
          <w:p w14:paraId="71CEC965" w14:textId="140F6FD5" w:rsidR="006D65DF" w:rsidRPr="00B275E2" w:rsidRDefault="006D65DF" w:rsidP="00040137">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w:t>
            </w:r>
            <w:r w:rsidR="005C1FB7" w:rsidRPr="00B275E2">
              <w:rPr>
                <w:rFonts w:cs="Calibri"/>
                <w:szCs w:val="18"/>
              </w:rPr>
              <w:t>01</w:t>
            </w:r>
          </w:p>
        </w:tc>
      </w:tr>
      <w:tr w:rsidR="006D65DF" w:rsidRPr="00B275E2" w14:paraId="3A7CBEC8" w14:textId="77777777" w:rsidTr="00E462C5">
        <w:tc>
          <w:tcPr>
            <w:cnfStyle w:val="001000000000" w:firstRow="0" w:lastRow="0" w:firstColumn="1" w:lastColumn="0" w:oddVBand="0" w:evenVBand="0" w:oddHBand="0" w:evenHBand="0" w:firstRowFirstColumn="0" w:firstRowLastColumn="0" w:lastRowFirstColumn="0" w:lastRowLastColumn="0"/>
            <w:tcW w:w="1681" w:type="dxa"/>
            <w:tcBorders>
              <w:left w:val="single" w:sz="4" w:space="0" w:color="FFFFFF" w:themeColor="background1"/>
            </w:tcBorders>
          </w:tcPr>
          <w:p w14:paraId="1CE0E84C" w14:textId="6B71ED4D" w:rsidR="006D65DF" w:rsidRPr="00B275E2" w:rsidRDefault="006D65DF" w:rsidP="00040137">
            <w:pPr>
              <w:pStyle w:val="TableText"/>
              <w:spacing w:before="50" w:after="50"/>
              <w:rPr>
                <w:b w:val="0"/>
                <w:bCs w:val="0"/>
                <w:szCs w:val="18"/>
              </w:rPr>
            </w:pPr>
            <w:r w:rsidRPr="00B275E2">
              <w:rPr>
                <w:b w:val="0"/>
                <w:bCs w:val="0"/>
              </w:rPr>
              <w:t>Poultry</w:t>
            </w:r>
          </w:p>
        </w:tc>
        <w:tc>
          <w:tcPr>
            <w:tcW w:w="1843" w:type="dxa"/>
            <w:shd w:val="clear" w:color="auto" w:fill="auto"/>
            <w:vAlign w:val="bottom"/>
          </w:tcPr>
          <w:p w14:paraId="7B3C76AF" w14:textId="32810DFE" w:rsidR="006D65DF" w:rsidRPr="00B275E2" w:rsidRDefault="005C1FB7" w:rsidP="00040137">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18,822,291</w:t>
            </w:r>
          </w:p>
        </w:tc>
        <w:tc>
          <w:tcPr>
            <w:tcW w:w="4981" w:type="dxa"/>
            <w:tcBorders>
              <w:right w:val="single" w:sz="4" w:space="0" w:color="FFFFFF" w:themeColor="background1"/>
            </w:tcBorders>
          </w:tcPr>
          <w:p w14:paraId="59A217ED" w14:textId="2922C7D0" w:rsidR="006D65DF" w:rsidRPr="00B275E2" w:rsidRDefault="002F7E6D" w:rsidP="00040137">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n/a</w:t>
            </w:r>
          </w:p>
        </w:tc>
      </w:tr>
    </w:tbl>
    <w:p w14:paraId="41921C33" w14:textId="2FD8D44F" w:rsidR="001956BC" w:rsidRPr="00B275E2" w:rsidRDefault="0000678C" w:rsidP="008A344A">
      <w:pPr>
        <w:pStyle w:val="Note"/>
        <w:spacing w:after="60"/>
      </w:pPr>
      <w:r w:rsidRPr="00B275E2">
        <w:t xml:space="preserve">Note: </w:t>
      </w:r>
      <w:r w:rsidR="00A0773E" w:rsidRPr="00B275E2">
        <w:t xml:space="preserve">kt is kilotonne. </w:t>
      </w:r>
    </w:p>
    <w:p w14:paraId="6267C889" w14:textId="79301549" w:rsidR="00FC334F" w:rsidRPr="00B275E2" w:rsidRDefault="00FC334F" w:rsidP="008A344A">
      <w:pPr>
        <w:pStyle w:val="Note"/>
        <w:spacing w:before="0"/>
      </w:pPr>
      <w:r w:rsidRPr="00B275E2">
        <w:t>Source: Based on figures from the Agricultural Inventory Model used in</w:t>
      </w:r>
      <w:r w:rsidR="00E21C3C" w:rsidRPr="00B275E2">
        <w:t xml:space="preserve"> </w:t>
      </w:r>
      <w:r w:rsidR="006264E4" w:rsidRPr="00B275E2">
        <w:rPr>
          <w:i/>
        </w:rPr>
        <w:t>New Zealand’s Greenhouse Gas Inventory 1990</w:t>
      </w:r>
      <w:r w:rsidR="008A344A" w:rsidRPr="00B275E2">
        <w:rPr>
          <w:i/>
        </w:rPr>
        <w:t>–</w:t>
      </w:r>
      <w:r w:rsidR="006264E4" w:rsidRPr="00B275E2">
        <w:rPr>
          <w:i/>
        </w:rPr>
        <w:t>20</w:t>
      </w:r>
      <w:r w:rsidR="005C1FB7" w:rsidRPr="00B275E2">
        <w:rPr>
          <w:i/>
        </w:rPr>
        <w:t>20</w:t>
      </w:r>
      <w:r w:rsidR="00A0044D" w:rsidRPr="00B275E2">
        <w:rPr>
          <w:i/>
        </w:rPr>
        <w:t>.</w:t>
      </w:r>
    </w:p>
    <w:p w14:paraId="0A0A5BB8" w14:textId="492C3E5E" w:rsidR="003A7B65" w:rsidRPr="00B275E2" w:rsidRDefault="003A7B65" w:rsidP="00BC545F">
      <w:pPr>
        <w:pStyle w:val="BodyText"/>
      </w:pPr>
      <w:r w:rsidRPr="00B275E2">
        <w:t xml:space="preserve">The emission conversion factors </w:t>
      </w:r>
      <w:r w:rsidR="0083229C" w:rsidRPr="00B275E2">
        <w:t>are</w:t>
      </w:r>
      <w:r w:rsidRPr="00B275E2">
        <w:t xml:space="preserve"> in the </w:t>
      </w:r>
      <w:r w:rsidR="00975178" w:rsidRPr="00D637BC">
        <w:t>Emission factors workbook</w:t>
      </w:r>
      <w:r w:rsidRPr="00B275E2">
        <w:t xml:space="preserve">. </w:t>
      </w:r>
    </w:p>
    <w:p w14:paraId="4A6D56AB" w14:textId="3EAC9F63" w:rsidR="003A7B65" w:rsidRPr="00B275E2" w:rsidRDefault="00D411C0" w:rsidP="002234D0">
      <w:pPr>
        <w:pStyle w:val="Heading3"/>
      </w:pPr>
      <w:bookmarkStart w:id="632" w:name="_Alternative_methods_and"/>
      <w:bookmarkStart w:id="633" w:name="_Ref535497678"/>
      <w:bookmarkEnd w:id="632"/>
      <w:r>
        <w:t xml:space="preserve"> </w:t>
      </w:r>
      <w:r w:rsidR="003A7B65" w:rsidRPr="00B275E2">
        <w:t>Alternative methods and tools</w:t>
      </w:r>
      <w:bookmarkEnd w:id="633"/>
    </w:p>
    <w:p w14:paraId="5FA2BA22" w14:textId="206E00D7" w:rsidR="003A7B65" w:rsidRPr="00B275E2" w:rsidRDefault="00FC334F" w:rsidP="00BC545F">
      <w:pPr>
        <w:pStyle w:val="BodyText"/>
      </w:pPr>
      <w:r w:rsidRPr="00B275E2">
        <w:t>T</w:t>
      </w:r>
      <w:r w:rsidR="003A7B65" w:rsidRPr="00B275E2">
        <w:t>here are alternative calculating tools</w:t>
      </w:r>
      <w:r w:rsidR="008C460E" w:rsidRPr="00B275E2">
        <w:t>,</w:t>
      </w:r>
      <w:r w:rsidRPr="00B275E2">
        <w:t xml:space="preserve"> such as </w:t>
      </w:r>
      <w:r w:rsidR="0071362E" w:rsidRPr="00B275E2">
        <w:t>the Ministry’s</w:t>
      </w:r>
      <w:r w:rsidR="00B725E3" w:rsidRPr="00B275E2">
        <w:t xml:space="preserve"> </w:t>
      </w:r>
      <w:hyperlink r:id="rId122" w:history="1">
        <w:r w:rsidR="00B725E3" w:rsidRPr="00B275E2">
          <w:rPr>
            <w:rStyle w:val="Hyperlink"/>
          </w:rPr>
          <w:t>Agricultural Emissions Calculator</w:t>
        </w:r>
      </w:hyperlink>
      <w:r w:rsidR="00B725E3" w:rsidRPr="00B275E2">
        <w:t xml:space="preserve">, </w:t>
      </w:r>
      <w:hyperlink r:id="rId123" w:history="1">
        <w:r w:rsidRPr="00B275E2">
          <w:rPr>
            <w:rStyle w:val="Hyperlink"/>
          </w:rPr>
          <w:t>O</w:t>
        </w:r>
        <w:r w:rsidR="000874AC" w:rsidRPr="00B275E2">
          <w:rPr>
            <w:rStyle w:val="Hyperlink"/>
          </w:rPr>
          <w:t>verseerFM</w:t>
        </w:r>
      </w:hyperlink>
      <w:r w:rsidR="00B725E3" w:rsidRPr="00B275E2">
        <w:t>,</w:t>
      </w:r>
      <w:r w:rsidR="005C1FB7" w:rsidRPr="00B275E2">
        <w:t xml:space="preserve"> or the </w:t>
      </w:r>
      <w:hyperlink r:id="rId124" w:history="1">
        <w:r w:rsidR="00B725E3" w:rsidRPr="00B275E2">
          <w:rPr>
            <w:rStyle w:val="Hyperlink"/>
          </w:rPr>
          <w:t>B+LNZ GHG calculator</w:t>
        </w:r>
      </w:hyperlink>
      <w:r w:rsidRPr="00B275E2">
        <w:t>.</w:t>
      </w:r>
      <w:r w:rsidR="003A7B65" w:rsidRPr="00B275E2">
        <w:t xml:space="preserve"> </w:t>
      </w:r>
      <w:r w:rsidRPr="00B275E2">
        <w:t>T</w:t>
      </w:r>
      <w:r w:rsidR="003A7B65" w:rsidRPr="00B275E2">
        <w:t xml:space="preserve">he emission factors </w:t>
      </w:r>
      <w:r w:rsidRPr="00B275E2">
        <w:t xml:space="preserve">in this guide </w:t>
      </w:r>
      <w:r w:rsidR="00283CDA" w:rsidRPr="00B275E2">
        <w:t xml:space="preserve">may </w:t>
      </w:r>
      <w:r w:rsidR="003A7B65" w:rsidRPr="00B275E2">
        <w:t xml:space="preserve">differ from </w:t>
      </w:r>
      <w:r w:rsidR="00283CDA" w:rsidRPr="00B275E2">
        <w:t xml:space="preserve">other </w:t>
      </w:r>
      <w:r w:rsidR="003A7B65" w:rsidRPr="00B275E2">
        <w:t>tools because of the different in</w:t>
      </w:r>
      <w:r w:rsidR="00283CDA" w:rsidRPr="00B275E2">
        <w:t>-</w:t>
      </w:r>
      <w:r w:rsidR="003A7B65" w:rsidRPr="00B275E2">
        <w:t>built assumptions and limitations.</w:t>
      </w:r>
      <w:r w:rsidRPr="00B275E2">
        <w:t xml:space="preserve"> It is up to the user to assess the appropriateness of alternative tools.</w:t>
      </w:r>
    </w:p>
    <w:p w14:paraId="00CB864B" w14:textId="77777777" w:rsidR="003A7B65" w:rsidRPr="00B275E2" w:rsidRDefault="003A7B65" w:rsidP="002234D0">
      <w:pPr>
        <w:pStyle w:val="Heading3"/>
      </w:pPr>
      <w:bookmarkStart w:id="634" w:name="_Ref535496992"/>
      <w:r w:rsidRPr="00B275E2">
        <w:t>Assumptions, limitations and uncertainties</w:t>
      </w:r>
      <w:bookmarkEnd w:id="634"/>
    </w:p>
    <w:p w14:paraId="1AEB99DB" w14:textId="10255F6B" w:rsidR="003A7B65" w:rsidRPr="00B275E2" w:rsidRDefault="003A7B65" w:rsidP="00BC545F">
      <w:pPr>
        <w:pStyle w:val="BodyText"/>
      </w:pPr>
      <w:r w:rsidRPr="00B275E2">
        <w:t xml:space="preserve">The </w:t>
      </w:r>
      <w:hyperlink r:id="rId125" w:history="1">
        <w:r w:rsidR="000C33DB" w:rsidRPr="00B275E2">
          <w:rPr>
            <w:rStyle w:val="Hyperlink"/>
            <w:i/>
            <w:iCs/>
          </w:rPr>
          <w:t>New Zealand Greenhouse Gas Inventory 1990</w:t>
        </w:r>
        <w:r w:rsidR="00040137" w:rsidRPr="00B275E2">
          <w:rPr>
            <w:rStyle w:val="Hyperlink"/>
            <w:i/>
            <w:iCs/>
          </w:rPr>
          <w:t>–</w:t>
        </w:r>
        <w:r w:rsidR="000C33DB" w:rsidRPr="00B275E2">
          <w:rPr>
            <w:rStyle w:val="Hyperlink"/>
            <w:i/>
            <w:iCs/>
          </w:rPr>
          <w:t>2020</w:t>
        </w:r>
      </w:hyperlink>
      <w:r w:rsidR="000C33DB" w:rsidRPr="00B275E2">
        <w:t xml:space="preserve"> </w:t>
      </w:r>
      <w:r w:rsidRPr="00B275E2">
        <w:t xml:space="preserve">details the uncertainties associated with the activity data used to calculate the emission factors. </w:t>
      </w:r>
    </w:p>
    <w:p w14:paraId="161EC848" w14:textId="14EF65F7" w:rsidR="003A7B65" w:rsidRPr="00B275E2" w:rsidRDefault="003A7B65" w:rsidP="00BC545F">
      <w:pPr>
        <w:pStyle w:val="BodyText"/>
      </w:pPr>
      <w:r w:rsidRPr="00B275E2">
        <w:t xml:space="preserve">The level of uncertainty with enteric fermentation emissions is </w:t>
      </w:r>
      <w:r w:rsidRPr="00B275E2">
        <w:rPr>
          <w:rFonts w:cs="Calibri"/>
        </w:rPr>
        <w:t>±</w:t>
      </w:r>
      <w:r w:rsidRPr="00B275E2">
        <w:t>16</w:t>
      </w:r>
      <w:r w:rsidR="00FC334F" w:rsidRPr="00B275E2">
        <w:t xml:space="preserve"> per cent</w:t>
      </w:r>
      <w:r w:rsidRPr="00B275E2">
        <w:t xml:space="preserve">. </w:t>
      </w:r>
    </w:p>
    <w:p w14:paraId="35F63A9D" w14:textId="342169A0" w:rsidR="003A7B65" w:rsidRPr="00B275E2" w:rsidRDefault="003A7B65" w:rsidP="00D411C0">
      <w:pPr>
        <w:pStyle w:val="Heading3"/>
      </w:pPr>
      <w:bookmarkStart w:id="635" w:name="_Manure_management_emission"/>
      <w:bookmarkStart w:id="636" w:name="_Toc529960727"/>
      <w:bookmarkStart w:id="637" w:name="_Toc532904971"/>
      <w:bookmarkEnd w:id="635"/>
      <w:r w:rsidRPr="00B275E2">
        <w:t xml:space="preserve">Manure </w:t>
      </w:r>
      <w:r w:rsidR="00322289" w:rsidRPr="00B275E2">
        <w:t xml:space="preserve">management emission </w:t>
      </w:r>
      <w:bookmarkEnd w:id="636"/>
      <w:bookmarkEnd w:id="637"/>
      <w:r w:rsidR="00322289" w:rsidRPr="00B275E2">
        <w:t>factors</w:t>
      </w:r>
    </w:p>
    <w:p w14:paraId="453C0A5B" w14:textId="2B4820F2" w:rsidR="003A5964" w:rsidRPr="00B275E2" w:rsidRDefault="00B00CBA" w:rsidP="00030396">
      <w:pPr>
        <w:pStyle w:val="BodyText"/>
      </w:pPr>
      <w:r w:rsidRPr="00B275E2">
        <w:t>Manure management refers to the process of managing the excretion of livestock, particularly when they are not on paddocks</w:t>
      </w:r>
      <w:r w:rsidR="00E3744D" w:rsidRPr="00B275E2">
        <w:t xml:space="preserve">, but also covers losses from manure that is simply deposited in paddocks, and it is distinct from </w:t>
      </w:r>
      <w:r w:rsidR="00B12CD8" w:rsidRPr="00B275E2">
        <w:t>losses from agricultural soils</w:t>
      </w:r>
      <w:r w:rsidRPr="00B275E2">
        <w:t xml:space="preserve">. </w:t>
      </w:r>
      <w:r w:rsidR="003A7B65" w:rsidRPr="00B275E2">
        <w:t>The storage and treatment of manure</w:t>
      </w:r>
      <w:r w:rsidRPr="00B275E2">
        <w:t xml:space="preserve"> </w:t>
      </w:r>
      <w:r w:rsidR="003A7B65" w:rsidRPr="00B275E2">
        <w:t xml:space="preserve">produces </w:t>
      </w:r>
      <w:r w:rsidRPr="00B275E2">
        <w:t>GHG</w:t>
      </w:r>
      <w:r w:rsidR="003A7B65" w:rsidRPr="00B275E2">
        <w:t xml:space="preserve"> emissions. </w:t>
      </w:r>
      <w:r w:rsidR="00E5562F" w:rsidRPr="00B275E2">
        <w:t>We provide the</w:t>
      </w:r>
      <w:r w:rsidR="00D35337" w:rsidRPr="00B275E2">
        <w:t xml:space="preserve"> </w:t>
      </w:r>
      <w:r w:rsidR="00E5562F" w:rsidRPr="00B275E2">
        <w:t xml:space="preserve">manure management </w:t>
      </w:r>
      <w:r w:rsidR="003A5964" w:rsidRPr="00B275E2">
        <w:t>emission factors in</w:t>
      </w:r>
      <w:r w:rsidR="008A344A" w:rsidRPr="00B275E2">
        <w:t xml:space="preserve"> table </w:t>
      </w:r>
      <w:r w:rsidR="007D7DBC" w:rsidRPr="00B275E2">
        <w:t>9</w:t>
      </w:r>
      <w:r w:rsidR="00EE24CD">
        <w:t>3</w:t>
      </w:r>
      <w:r w:rsidR="00D35337" w:rsidRPr="00B275E2">
        <w:t>.</w:t>
      </w:r>
      <w:bookmarkStart w:id="638" w:name="_Ref532483937"/>
    </w:p>
    <w:p w14:paraId="48C28474" w14:textId="3505CD09" w:rsidR="003A7B65" w:rsidRPr="00B275E2" w:rsidRDefault="005D328D" w:rsidP="008A344A">
      <w:pPr>
        <w:pStyle w:val="Tableheading"/>
      </w:pPr>
      <w:bookmarkStart w:id="639" w:name="_Toc111536698"/>
      <w:bookmarkEnd w:id="638"/>
      <w:r w:rsidRPr="00B275E2">
        <w:t xml:space="preserve">Table </w:t>
      </w:r>
      <w:r w:rsidRPr="00B275E2">
        <w:fldChar w:fldCharType="begin"/>
      </w:r>
      <w:r w:rsidRPr="00B275E2">
        <w:instrText>SEQ Table \* ARABIC</w:instrText>
      </w:r>
      <w:r w:rsidRPr="00B275E2">
        <w:fldChar w:fldCharType="separate"/>
      </w:r>
      <w:r>
        <w:rPr>
          <w:noProof/>
        </w:rPr>
        <w:t>93</w:t>
      </w:r>
      <w:r w:rsidRPr="00B275E2">
        <w:fldChar w:fldCharType="end"/>
      </w:r>
      <w:r w:rsidRPr="00B275E2">
        <w:t>:</w:t>
      </w:r>
      <w:r w:rsidRPr="00B275E2">
        <w:tab/>
      </w:r>
      <w:r w:rsidR="003A7B65" w:rsidRPr="00B275E2">
        <w:t>Manure management emission factors</w:t>
      </w:r>
      <w:bookmarkEnd w:id="639"/>
    </w:p>
    <w:tbl>
      <w:tblPr>
        <w:tblStyle w:val="LightList-Accent11"/>
        <w:tblW w:w="8505" w:type="dxa"/>
        <w:tblBorders>
          <w:top w:val="single" w:sz="4" w:space="0" w:color="1B556B" w:themeColor="text2"/>
          <w:bottom w:val="none" w:sz="0" w:space="0" w:color="auto"/>
          <w:insideH w:val="single" w:sz="4" w:space="0" w:color="1B556B" w:themeColor="text2"/>
          <w:insideV w:val="single" w:sz="4" w:space="0" w:color="1B556B" w:themeColor="text2"/>
        </w:tblBorders>
        <w:tblLayout w:type="fixed"/>
        <w:tblLook w:val="04A0" w:firstRow="1" w:lastRow="0" w:firstColumn="1" w:lastColumn="0" w:noHBand="0" w:noVBand="1"/>
      </w:tblPr>
      <w:tblGrid>
        <w:gridCol w:w="1276"/>
        <w:gridCol w:w="1445"/>
        <w:gridCol w:w="919"/>
        <w:gridCol w:w="1317"/>
        <w:gridCol w:w="1115"/>
        <w:gridCol w:w="1216"/>
        <w:gridCol w:w="1217"/>
      </w:tblGrid>
      <w:tr w:rsidR="002F7E6D" w:rsidRPr="00B275E2" w14:paraId="5AE2B478" w14:textId="77777777" w:rsidTr="0004013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21" w:type="dxa"/>
            <w:gridSpan w:val="2"/>
            <w:tcBorders>
              <w:bottom w:val="single" w:sz="4" w:space="0" w:color="1B556B" w:themeColor="text2"/>
            </w:tcBorders>
            <w:shd w:val="clear" w:color="auto" w:fill="1B556B" w:themeFill="text2"/>
            <w:vAlign w:val="bottom"/>
          </w:tcPr>
          <w:p w14:paraId="2EE0CC1C" w14:textId="7C5909C3" w:rsidR="002F7E6D" w:rsidRPr="00B275E2" w:rsidRDefault="002F7E6D" w:rsidP="00040137">
            <w:pPr>
              <w:pStyle w:val="TableText"/>
              <w:spacing w:before="40" w:after="40"/>
              <w:rPr>
                <w:rFonts w:cs="Calibri"/>
                <w:szCs w:val="18"/>
              </w:rPr>
            </w:pPr>
            <w:r w:rsidRPr="00B275E2">
              <w:rPr>
                <w:rFonts w:cs="Calibri"/>
                <w:szCs w:val="18"/>
              </w:rPr>
              <w:t>Emission source</w:t>
            </w:r>
          </w:p>
        </w:tc>
        <w:tc>
          <w:tcPr>
            <w:tcW w:w="919" w:type="dxa"/>
            <w:tcBorders>
              <w:bottom w:val="single" w:sz="4" w:space="0" w:color="1B556B" w:themeColor="text2"/>
            </w:tcBorders>
            <w:shd w:val="clear" w:color="auto" w:fill="1B556B" w:themeFill="text2"/>
            <w:noWrap/>
            <w:vAlign w:val="bottom"/>
          </w:tcPr>
          <w:p w14:paraId="0103137C" w14:textId="628E452B" w:rsidR="002F7E6D" w:rsidRPr="00B275E2" w:rsidRDefault="002F7E6D" w:rsidP="00040137">
            <w:pPr>
              <w:pStyle w:val="TableText"/>
              <w:spacing w:before="40" w:after="40"/>
              <w:cnfStyle w:val="100000000000" w:firstRow="1" w:lastRow="0" w:firstColumn="0" w:lastColumn="0" w:oddVBand="0" w:evenVBand="0" w:oddHBand="0" w:evenHBand="0" w:firstRowFirstColumn="0" w:firstRowLastColumn="0" w:lastRowFirstColumn="0" w:lastRowLastColumn="0"/>
              <w:rPr>
                <w:rFonts w:cs="Calibri"/>
                <w:szCs w:val="18"/>
              </w:rPr>
            </w:pPr>
            <w:r w:rsidRPr="00B275E2">
              <w:rPr>
                <w:rFonts w:cs="Calibri"/>
                <w:szCs w:val="18"/>
              </w:rPr>
              <w:t>Unit</w:t>
            </w:r>
          </w:p>
        </w:tc>
        <w:tc>
          <w:tcPr>
            <w:tcW w:w="1317" w:type="dxa"/>
            <w:tcBorders>
              <w:bottom w:val="single" w:sz="4" w:space="0" w:color="1B556B" w:themeColor="text2"/>
            </w:tcBorders>
            <w:shd w:val="clear" w:color="auto" w:fill="D2DDE1" w:themeFill="background2"/>
            <w:noWrap/>
            <w:vAlign w:val="bottom"/>
          </w:tcPr>
          <w:p w14:paraId="6E0F3032" w14:textId="5FD6018F" w:rsidR="002F7E6D" w:rsidRPr="00B275E2" w:rsidRDefault="002F7E6D" w:rsidP="00040137">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rFonts w:cs="Calibri"/>
                <w:color w:val="auto"/>
                <w:szCs w:val="18"/>
              </w:rPr>
            </w:pPr>
            <w:r w:rsidRPr="00B275E2">
              <w:rPr>
                <w:rFonts w:cs="Calibri"/>
                <w:color w:val="auto"/>
                <w:szCs w:val="18"/>
              </w:rPr>
              <w:t>kg CO</w:t>
            </w:r>
            <w:r w:rsidRPr="00B275E2">
              <w:rPr>
                <w:rFonts w:cs="Calibri"/>
                <w:color w:val="auto"/>
                <w:szCs w:val="18"/>
                <w:vertAlign w:val="subscript"/>
              </w:rPr>
              <w:t>2</w:t>
            </w:r>
            <w:r w:rsidRPr="00B275E2">
              <w:rPr>
                <w:rFonts w:cs="Calibri"/>
                <w:color w:val="auto"/>
                <w:szCs w:val="18"/>
              </w:rPr>
              <w:t>-e/unit</w:t>
            </w:r>
          </w:p>
        </w:tc>
        <w:tc>
          <w:tcPr>
            <w:tcW w:w="1115" w:type="dxa"/>
            <w:tcBorders>
              <w:bottom w:val="single" w:sz="4" w:space="0" w:color="1B556B" w:themeColor="text2"/>
            </w:tcBorders>
            <w:shd w:val="clear" w:color="auto" w:fill="1B556B" w:themeFill="text2"/>
            <w:noWrap/>
            <w:vAlign w:val="bottom"/>
          </w:tcPr>
          <w:p w14:paraId="57B8D830" w14:textId="1A8854D0" w:rsidR="002F7E6D" w:rsidRPr="00B275E2" w:rsidRDefault="002F7E6D" w:rsidP="00040137">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275E2">
              <w:rPr>
                <w:rFonts w:cs="Calibri"/>
                <w:szCs w:val="18"/>
              </w:rPr>
              <w:t>kg CO</w:t>
            </w:r>
            <w:r w:rsidRPr="00B275E2">
              <w:rPr>
                <w:rFonts w:cs="Calibri"/>
                <w:szCs w:val="18"/>
                <w:vertAlign w:val="subscript"/>
              </w:rPr>
              <w:t>2</w:t>
            </w:r>
            <w:r w:rsidRPr="00B275E2">
              <w:rPr>
                <w:rFonts w:cs="Calibri"/>
                <w:szCs w:val="18"/>
              </w:rPr>
              <w:t>/unit</w:t>
            </w:r>
            <w:r w:rsidR="00E835BD" w:rsidRPr="00B275E2">
              <w:rPr>
                <w:rFonts w:cs="Calibri"/>
                <w:szCs w:val="18"/>
              </w:rPr>
              <w:t xml:space="preserve"> (kg CO</w:t>
            </w:r>
            <w:r w:rsidR="00E835BD" w:rsidRPr="00B275E2">
              <w:rPr>
                <w:rFonts w:cs="Calibri"/>
                <w:szCs w:val="18"/>
                <w:vertAlign w:val="subscript"/>
              </w:rPr>
              <w:t>2</w:t>
            </w:r>
            <w:r w:rsidR="00E835BD" w:rsidRPr="00B275E2">
              <w:rPr>
                <w:rFonts w:cs="Calibri"/>
                <w:szCs w:val="18"/>
              </w:rPr>
              <w:noBreakHyphen/>
              <w:t>e)</w:t>
            </w:r>
          </w:p>
        </w:tc>
        <w:tc>
          <w:tcPr>
            <w:tcW w:w="1216" w:type="dxa"/>
            <w:tcBorders>
              <w:bottom w:val="single" w:sz="4" w:space="0" w:color="1B556B" w:themeColor="text2"/>
            </w:tcBorders>
            <w:shd w:val="clear" w:color="auto" w:fill="1B556B" w:themeFill="text2"/>
            <w:noWrap/>
            <w:vAlign w:val="bottom"/>
          </w:tcPr>
          <w:p w14:paraId="694A8FB6" w14:textId="7D141C09" w:rsidR="002F7E6D" w:rsidRPr="00B275E2" w:rsidRDefault="00E835BD" w:rsidP="00040137">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275E2">
              <w:rPr>
                <w:rFonts w:cs="Calibri"/>
                <w:szCs w:val="18"/>
              </w:rPr>
              <w:t>kg CH</w:t>
            </w:r>
            <w:r w:rsidRPr="00B275E2">
              <w:rPr>
                <w:rFonts w:cs="Calibri"/>
                <w:szCs w:val="18"/>
                <w:vertAlign w:val="subscript"/>
              </w:rPr>
              <w:t>4</w:t>
            </w:r>
            <w:r w:rsidRPr="00B275E2">
              <w:rPr>
                <w:rFonts w:cs="Calibri"/>
                <w:szCs w:val="18"/>
              </w:rPr>
              <w:t>/unit (kg CO</w:t>
            </w:r>
            <w:r w:rsidRPr="00B275E2">
              <w:rPr>
                <w:rFonts w:cs="Calibri"/>
                <w:szCs w:val="18"/>
                <w:vertAlign w:val="subscript"/>
              </w:rPr>
              <w:t>2</w:t>
            </w:r>
            <w:r w:rsidRPr="00B275E2">
              <w:rPr>
                <w:rFonts w:cs="Calibri"/>
                <w:szCs w:val="18"/>
              </w:rPr>
              <w:noBreakHyphen/>
              <w:t>e)</w:t>
            </w:r>
          </w:p>
        </w:tc>
        <w:tc>
          <w:tcPr>
            <w:tcW w:w="1217" w:type="dxa"/>
            <w:tcBorders>
              <w:bottom w:val="single" w:sz="4" w:space="0" w:color="1B556B" w:themeColor="text2"/>
            </w:tcBorders>
            <w:shd w:val="clear" w:color="auto" w:fill="1B556B" w:themeFill="text2"/>
            <w:noWrap/>
            <w:vAlign w:val="bottom"/>
          </w:tcPr>
          <w:p w14:paraId="6C7836FF" w14:textId="22E514B0" w:rsidR="002F7E6D" w:rsidRPr="00B275E2" w:rsidRDefault="00E835BD" w:rsidP="00040137">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275E2">
              <w:rPr>
                <w:rFonts w:cs="Calibri"/>
                <w:szCs w:val="18"/>
              </w:rPr>
              <w:t>kg N</w:t>
            </w:r>
            <w:r w:rsidRPr="00B275E2">
              <w:rPr>
                <w:rFonts w:cs="Calibri"/>
                <w:szCs w:val="18"/>
                <w:vertAlign w:val="subscript"/>
              </w:rPr>
              <w:t>2</w:t>
            </w:r>
            <w:r w:rsidRPr="00B275E2">
              <w:rPr>
                <w:rFonts w:cs="Calibri"/>
                <w:szCs w:val="18"/>
              </w:rPr>
              <w:t>O/unit (kg CO</w:t>
            </w:r>
            <w:r w:rsidRPr="00B275E2">
              <w:rPr>
                <w:rFonts w:cs="Calibri"/>
                <w:szCs w:val="18"/>
                <w:vertAlign w:val="subscript"/>
              </w:rPr>
              <w:t>2</w:t>
            </w:r>
            <w:r w:rsidRPr="00B275E2">
              <w:rPr>
                <w:rFonts w:cs="Calibri"/>
                <w:szCs w:val="18"/>
              </w:rPr>
              <w:noBreakHyphen/>
              <w:t>e)</w:t>
            </w:r>
          </w:p>
        </w:tc>
      </w:tr>
      <w:tr w:rsidR="00836B9E" w:rsidRPr="00B275E2" w14:paraId="593B17AD" w14:textId="77777777" w:rsidTr="00E462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vMerge w:val="restart"/>
            <w:tcBorders>
              <w:left w:val="single" w:sz="4" w:space="0" w:color="FFFFFF" w:themeColor="background1"/>
              <w:bottom w:val="single" w:sz="4" w:space="0" w:color="1B556B" w:themeColor="text2"/>
            </w:tcBorders>
          </w:tcPr>
          <w:p w14:paraId="2DF72A35" w14:textId="77777777" w:rsidR="00836B9E" w:rsidRPr="00B275E2" w:rsidRDefault="00836B9E" w:rsidP="00040137">
            <w:pPr>
              <w:pStyle w:val="TableText"/>
              <w:spacing w:before="40" w:after="40"/>
              <w:rPr>
                <w:rFonts w:cs="Calibri"/>
                <w:b w:val="0"/>
                <w:szCs w:val="18"/>
              </w:rPr>
            </w:pPr>
            <w:r w:rsidRPr="00B275E2">
              <w:rPr>
                <w:rFonts w:cs="Calibri"/>
                <w:b w:val="0"/>
                <w:szCs w:val="18"/>
              </w:rPr>
              <w:t>Manure management</w:t>
            </w:r>
          </w:p>
        </w:tc>
        <w:tc>
          <w:tcPr>
            <w:tcW w:w="1445" w:type="dxa"/>
            <w:tcBorders>
              <w:bottom w:val="single" w:sz="4" w:space="0" w:color="1B556B" w:themeColor="text2"/>
            </w:tcBorders>
          </w:tcPr>
          <w:p w14:paraId="7E1AF1F7" w14:textId="77777777" w:rsidR="00836B9E" w:rsidRPr="00B275E2" w:rsidRDefault="00836B9E" w:rsidP="00040137">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Dairy cattle</w:t>
            </w:r>
          </w:p>
        </w:tc>
        <w:tc>
          <w:tcPr>
            <w:tcW w:w="919" w:type="dxa"/>
            <w:tcBorders>
              <w:bottom w:val="single" w:sz="4" w:space="0" w:color="1B556B" w:themeColor="text2"/>
            </w:tcBorders>
            <w:noWrap/>
          </w:tcPr>
          <w:p w14:paraId="6AC19234" w14:textId="77777777" w:rsidR="00836B9E" w:rsidRPr="00B275E2" w:rsidRDefault="00836B9E" w:rsidP="00040137">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per head</w:t>
            </w:r>
          </w:p>
        </w:tc>
        <w:tc>
          <w:tcPr>
            <w:tcW w:w="1317" w:type="dxa"/>
            <w:tcBorders>
              <w:bottom w:val="single" w:sz="4" w:space="0" w:color="1B556B" w:themeColor="text2"/>
            </w:tcBorders>
            <w:shd w:val="clear" w:color="auto" w:fill="D2DDE1" w:themeFill="background2"/>
            <w:noWrap/>
          </w:tcPr>
          <w:p w14:paraId="1F12D04D" w14:textId="1E4BDD1D" w:rsidR="00836B9E" w:rsidRPr="00B275E2" w:rsidRDefault="00642974" w:rsidP="00040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238</w:t>
            </w:r>
          </w:p>
        </w:tc>
        <w:tc>
          <w:tcPr>
            <w:tcW w:w="1115" w:type="dxa"/>
            <w:tcBorders>
              <w:bottom w:val="single" w:sz="4" w:space="0" w:color="1B556B" w:themeColor="text2"/>
            </w:tcBorders>
            <w:shd w:val="clear" w:color="auto" w:fill="auto"/>
            <w:noWrap/>
          </w:tcPr>
          <w:p w14:paraId="2FCDD3AB" w14:textId="47951321" w:rsidR="00836B9E" w:rsidRPr="00B275E2" w:rsidRDefault="00836B9E" w:rsidP="00040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c>
          <w:tcPr>
            <w:tcW w:w="1216" w:type="dxa"/>
            <w:tcBorders>
              <w:bottom w:val="single" w:sz="4" w:space="0" w:color="1B556B" w:themeColor="text2"/>
            </w:tcBorders>
            <w:shd w:val="clear" w:color="auto" w:fill="auto"/>
            <w:noWrap/>
          </w:tcPr>
          <w:p w14:paraId="063E1BB8" w14:textId="5F6E650B" w:rsidR="00836B9E" w:rsidRPr="00B275E2" w:rsidRDefault="00642974" w:rsidP="00040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223</w:t>
            </w:r>
          </w:p>
        </w:tc>
        <w:tc>
          <w:tcPr>
            <w:tcW w:w="1217" w:type="dxa"/>
            <w:tcBorders>
              <w:bottom w:val="single" w:sz="4" w:space="0" w:color="1B556B" w:themeColor="text2"/>
              <w:right w:val="single" w:sz="4" w:space="0" w:color="FFFFFF" w:themeColor="background1"/>
            </w:tcBorders>
            <w:shd w:val="clear" w:color="auto" w:fill="auto"/>
            <w:noWrap/>
          </w:tcPr>
          <w:p w14:paraId="17BA1818" w14:textId="29274A16" w:rsidR="00836B9E" w:rsidRPr="00B275E2" w:rsidRDefault="00836B9E" w:rsidP="00040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14.</w:t>
            </w:r>
            <w:r w:rsidR="00642974" w:rsidRPr="00B275E2">
              <w:rPr>
                <w:rFonts w:cs="Calibri"/>
                <w:szCs w:val="18"/>
              </w:rPr>
              <w:t>4</w:t>
            </w:r>
          </w:p>
        </w:tc>
      </w:tr>
      <w:tr w:rsidR="00836B9E" w:rsidRPr="00B275E2" w14:paraId="196DFB4F" w14:textId="77777777" w:rsidTr="00E462C5">
        <w:trPr>
          <w:trHeight w:val="300"/>
        </w:trPr>
        <w:tc>
          <w:tcPr>
            <w:cnfStyle w:val="001000000000" w:firstRow="0" w:lastRow="0" w:firstColumn="1" w:lastColumn="0" w:oddVBand="0" w:evenVBand="0" w:oddHBand="0" w:evenHBand="0" w:firstRowFirstColumn="0" w:firstRowLastColumn="0" w:lastRowFirstColumn="0" w:lastRowLastColumn="0"/>
            <w:tcW w:w="1276" w:type="dxa"/>
            <w:vMerge/>
            <w:tcBorders>
              <w:left w:val="single" w:sz="4" w:space="0" w:color="FFFFFF" w:themeColor="background1"/>
              <w:bottom w:val="single" w:sz="4" w:space="0" w:color="1B556B" w:themeColor="text2"/>
            </w:tcBorders>
          </w:tcPr>
          <w:p w14:paraId="4B082236" w14:textId="77777777" w:rsidR="00836B9E" w:rsidRPr="00B275E2" w:rsidRDefault="00836B9E" w:rsidP="00040137">
            <w:pPr>
              <w:pStyle w:val="TableText"/>
              <w:spacing w:before="40" w:after="40"/>
              <w:rPr>
                <w:rFonts w:cs="Calibri"/>
                <w:szCs w:val="18"/>
              </w:rPr>
            </w:pPr>
          </w:p>
        </w:tc>
        <w:tc>
          <w:tcPr>
            <w:tcW w:w="1445" w:type="dxa"/>
            <w:tcBorders>
              <w:bottom w:val="single" w:sz="4" w:space="0" w:color="1B556B" w:themeColor="text2"/>
            </w:tcBorders>
          </w:tcPr>
          <w:p w14:paraId="12154DB5" w14:textId="77777777" w:rsidR="00836B9E" w:rsidRPr="00B275E2" w:rsidRDefault="00836B9E" w:rsidP="00040137">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Non-dairy cattle</w:t>
            </w:r>
          </w:p>
        </w:tc>
        <w:tc>
          <w:tcPr>
            <w:tcW w:w="919" w:type="dxa"/>
            <w:tcBorders>
              <w:bottom w:val="single" w:sz="4" w:space="0" w:color="1B556B" w:themeColor="text2"/>
            </w:tcBorders>
            <w:noWrap/>
          </w:tcPr>
          <w:p w14:paraId="5652D54C" w14:textId="77777777" w:rsidR="00836B9E" w:rsidRPr="00B275E2" w:rsidRDefault="00836B9E" w:rsidP="00040137">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per head</w:t>
            </w:r>
          </w:p>
        </w:tc>
        <w:tc>
          <w:tcPr>
            <w:tcW w:w="1317" w:type="dxa"/>
            <w:tcBorders>
              <w:bottom w:val="single" w:sz="4" w:space="0" w:color="1B556B" w:themeColor="text2"/>
            </w:tcBorders>
            <w:shd w:val="clear" w:color="auto" w:fill="D2DDE1" w:themeFill="background2"/>
            <w:noWrap/>
          </w:tcPr>
          <w:p w14:paraId="42CD9575" w14:textId="635207D4" w:rsidR="00836B9E" w:rsidRPr="00B275E2" w:rsidRDefault="00642974" w:rsidP="00040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21.4</w:t>
            </w:r>
          </w:p>
        </w:tc>
        <w:tc>
          <w:tcPr>
            <w:tcW w:w="1115" w:type="dxa"/>
            <w:tcBorders>
              <w:bottom w:val="single" w:sz="4" w:space="0" w:color="1B556B" w:themeColor="text2"/>
            </w:tcBorders>
            <w:shd w:val="clear" w:color="auto" w:fill="auto"/>
            <w:noWrap/>
          </w:tcPr>
          <w:p w14:paraId="63EB82F7" w14:textId="3B53B81D" w:rsidR="00836B9E" w:rsidRPr="00B275E2" w:rsidRDefault="00836B9E" w:rsidP="00040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n/a</w:t>
            </w:r>
          </w:p>
        </w:tc>
        <w:tc>
          <w:tcPr>
            <w:tcW w:w="1216" w:type="dxa"/>
            <w:tcBorders>
              <w:bottom w:val="single" w:sz="4" w:space="0" w:color="1B556B" w:themeColor="text2"/>
            </w:tcBorders>
            <w:shd w:val="clear" w:color="auto" w:fill="auto"/>
            <w:noWrap/>
          </w:tcPr>
          <w:p w14:paraId="5D0C3949" w14:textId="5D03480D" w:rsidR="00836B9E" w:rsidRPr="00B275E2" w:rsidRDefault="00642974" w:rsidP="00040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21.3</w:t>
            </w:r>
          </w:p>
        </w:tc>
        <w:tc>
          <w:tcPr>
            <w:tcW w:w="1217" w:type="dxa"/>
            <w:tcBorders>
              <w:bottom w:val="single" w:sz="4" w:space="0" w:color="1B556B" w:themeColor="text2"/>
              <w:right w:val="single" w:sz="4" w:space="0" w:color="FFFFFF" w:themeColor="background1"/>
            </w:tcBorders>
            <w:shd w:val="clear" w:color="auto" w:fill="auto"/>
            <w:noWrap/>
          </w:tcPr>
          <w:p w14:paraId="38FE9384" w14:textId="77C38073" w:rsidR="00836B9E" w:rsidRPr="00B275E2" w:rsidRDefault="00836B9E" w:rsidP="00040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w:t>
            </w:r>
          </w:p>
        </w:tc>
      </w:tr>
      <w:tr w:rsidR="00836B9E" w:rsidRPr="00B275E2" w14:paraId="45EB007C" w14:textId="77777777" w:rsidTr="00E462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vMerge/>
            <w:tcBorders>
              <w:left w:val="single" w:sz="4" w:space="0" w:color="FFFFFF" w:themeColor="background1"/>
              <w:bottom w:val="single" w:sz="4" w:space="0" w:color="1B556B" w:themeColor="text2"/>
            </w:tcBorders>
          </w:tcPr>
          <w:p w14:paraId="2B4EBCB3" w14:textId="77777777" w:rsidR="00836B9E" w:rsidRPr="00B275E2" w:rsidRDefault="00836B9E" w:rsidP="00040137">
            <w:pPr>
              <w:pStyle w:val="TableText"/>
              <w:spacing w:before="40" w:after="40"/>
              <w:rPr>
                <w:rFonts w:cs="Calibri"/>
                <w:szCs w:val="18"/>
              </w:rPr>
            </w:pPr>
          </w:p>
        </w:tc>
        <w:tc>
          <w:tcPr>
            <w:tcW w:w="1445" w:type="dxa"/>
            <w:tcBorders>
              <w:bottom w:val="single" w:sz="4" w:space="0" w:color="1B556B" w:themeColor="text2"/>
            </w:tcBorders>
          </w:tcPr>
          <w:p w14:paraId="06A9DEF2" w14:textId="77777777" w:rsidR="00836B9E" w:rsidRPr="00B275E2" w:rsidRDefault="00836B9E" w:rsidP="00040137">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Sheep</w:t>
            </w:r>
          </w:p>
        </w:tc>
        <w:tc>
          <w:tcPr>
            <w:tcW w:w="919" w:type="dxa"/>
            <w:tcBorders>
              <w:bottom w:val="single" w:sz="4" w:space="0" w:color="1B556B" w:themeColor="text2"/>
            </w:tcBorders>
            <w:noWrap/>
          </w:tcPr>
          <w:p w14:paraId="3DDA9B11" w14:textId="77777777" w:rsidR="00836B9E" w:rsidRPr="00B275E2" w:rsidRDefault="00836B9E" w:rsidP="00040137">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per head</w:t>
            </w:r>
          </w:p>
        </w:tc>
        <w:tc>
          <w:tcPr>
            <w:tcW w:w="1317" w:type="dxa"/>
            <w:tcBorders>
              <w:bottom w:val="single" w:sz="4" w:space="0" w:color="1B556B" w:themeColor="text2"/>
            </w:tcBorders>
            <w:shd w:val="clear" w:color="auto" w:fill="D2DDE1" w:themeFill="background2"/>
            <w:noWrap/>
          </w:tcPr>
          <w:p w14:paraId="067BBB03" w14:textId="61EFF41C" w:rsidR="00836B9E" w:rsidRPr="00B275E2" w:rsidRDefault="00642974" w:rsidP="00040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3.53</w:t>
            </w:r>
          </w:p>
        </w:tc>
        <w:tc>
          <w:tcPr>
            <w:tcW w:w="1115" w:type="dxa"/>
            <w:tcBorders>
              <w:bottom w:val="single" w:sz="4" w:space="0" w:color="1B556B" w:themeColor="text2"/>
            </w:tcBorders>
            <w:shd w:val="clear" w:color="auto" w:fill="auto"/>
            <w:noWrap/>
          </w:tcPr>
          <w:p w14:paraId="53C221C7" w14:textId="5BFA21D3" w:rsidR="00836B9E" w:rsidRPr="00B275E2" w:rsidRDefault="00836B9E" w:rsidP="00040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c>
          <w:tcPr>
            <w:tcW w:w="1216" w:type="dxa"/>
            <w:tcBorders>
              <w:bottom w:val="single" w:sz="4" w:space="0" w:color="1B556B" w:themeColor="text2"/>
            </w:tcBorders>
            <w:shd w:val="clear" w:color="auto" w:fill="auto"/>
            <w:noWrap/>
          </w:tcPr>
          <w:p w14:paraId="5996B844" w14:textId="4D74CAC3" w:rsidR="00836B9E" w:rsidRPr="00B275E2" w:rsidRDefault="00642974" w:rsidP="00040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3.53</w:t>
            </w:r>
          </w:p>
        </w:tc>
        <w:tc>
          <w:tcPr>
            <w:tcW w:w="1217" w:type="dxa"/>
            <w:tcBorders>
              <w:bottom w:val="single" w:sz="4" w:space="0" w:color="1B556B" w:themeColor="text2"/>
              <w:right w:val="single" w:sz="4" w:space="0" w:color="FFFFFF" w:themeColor="background1"/>
            </w:tcBorders>
            <w:shd w:val="clear" w:color="auto" w:fill="auto"/>
            <w:noWrap/>
          </w:tcPr>
          <w:p w14:paraId="0627F4E7" w14:textId="737019FD" w:rsidR="00836B9E" w:rsidRPr="00B275E2" w:rsidRDefault="00836B9E" w:rsidP="00040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w:t>
            </w:r>
          </w:p>
        </w:tc>
      </w:tr>
      <w:tr w:rsidR="00836B9E" w:rsidRPr="00B275E2" w14:paraId="3B325946" w14:textId="77777777" w:rsidTr="00E462C5">
        <w:trPr>
          <w:trHeight w:val="300"/>
        </w:trPr>
        <w:tc>
          <w:tcPr>
            <w:cnfStyle w:val="001000000000" w:firstRow="0" w:lastRow="0" w:firstColumn="1" w:lastColumn="0" w:oddVBand="0" w:evenVBand="0" w:oddHBand="0" w:evenHBand="0" w:firstRowFirstColumn="0" w:firstRowLastColumn="0" w:lastRowFirstColumn="0" w:lastRowLastColumn="0"/>
            <w:tcW w:w="1276" w:type="dxa"/>
            <w:vMerge/>
            <w:tcBorders>
              <w:left w:val="single" w:sz="4" w:space="0" w:color="FFFFFF" w:themeColor="background1"/>
              <w:bottom w:val="single" w:sz="4" w:space="0" w:color="1B556B" w:themeColor="text2"/>
            </w:tcBorders>
          </w:tcPr>
          <w:p w14:paraId="637E6239" w14:textId="77777777" w:rsidR="00836B9E" w:rsidRPr="00B275E2" w:rsidRDefault="00836B9E" w:rsidP="00040137">
            <w:pPr>
              <w:pStyle w:val="TableText"/>
              <w:spacing w:before="40" w:after="40"/>
              <w:rPr>
                <w:rFonts w:cs="Calibri"/>
                <w:szCs w:val="18"/>
              </w:rPr>
            </w:pPr>
          </w:p>
        </w:tc>
        <w:tc>
          <w:tcPr>
            <w:tcW w:w="1445" w:type="dxa"/>
            <w:tcBorders>
              <w:bottom w:val="single" w:sz="4" w:space="0" w:color="1B556B" w:themeColor="text2"/>
            </w:tcBorders>
          </w:tcPr>
          <w:p w14:paraId="028B01FF" w14:textId="77777777" w:rsidR="00836B9E" w:rsidRPr="00B275E2" w:rsidRDefault="00836B9E" w:rsidP="00040137">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Deer</w:t>
            </w:r>
          </w:p>
        </w:tc>
        <w:tc>
          <w:tcPr>
            <w:tcW w:w="919" w:type="dxa"/>
            <w:tcBorders>
              <w:bottom w:val="single" w:sz="4" w:space="0" w:color="1B556B" w:themeColor="text2"/>
            </w:tcBorders>
            <w:noWrap/>
          </w:tcPr>
          <w:p w14:paraId="29D84C95" w14:textId="77777777" w:rsidR="00836B9E" w:rsidRPr="00B275E2" w:rsidRDefault="00836B9E" w:rsidP="00040137">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per head</w:t>
            </w:r>
          </w:p>
        </w:tc>
        <w:tc>
          <w:tcPr>
            <w:tcW w:w="1317" w:type="dxa"/>
            <w:tcBorders>
              <w:bottom w:val="single" w:sz="4" w:space="0" w:color="1B556B" w:themeColor="text2"/>
            </w:tcBorders>
            <w:shd w:val="clear" w:color="auto" w:fill="D2DDE1" w:themeFill="background2"/>
            <w:noWrap/>
          </w:tcPr>
          <w:p w14:paraId="69FECBC4" w14:textId="14936698" w:rsidR="00836B9E" w:rsidRPr="00B275E2" w:rsidRDefault="00CD1F87" w:rsidP="00040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7.57</w:t>
            </w:r>
          </w:p>
        </w:tc>
        <w:tc>
          <w:tcPr>
            <w:tcW w:w="1115" w:type="dxa"/>
            <w:tcBorders>
              <w:bottom w:val="single" w:sz="4" w:space="0" w:color="1B556B" w:themeColor="text2"/>
            </w:tcBorders>
            <w:shd w:val="clear" w:color="auto" w:fill="auto"/>
            <w:noWrap/>
          </w:tcPr>
          <w:p w14:paraId="6EDC14AA" w14:textId="7589B262" w:rsidR="00836B9E" w:rsidRPr="00B275E2" w:rsidRDefault="00836B9E" w:rsidP="00040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n/a</w:t>
            </w:r>
          </w:p>
        </w:tc>
        <w:tc>
          <w:tcPr>
            <w:tcW w:w="1216" w:type="dxa"/>
            <w:tcBorders>
              <w:bottom w:val="single" w:sz="4" w:space="0" w:color="1B556B" w:themeColor="text2"/>
            </w:tcBorders>
            <w:shd w:val="clear" w:color="auto" w:fill="auto"/>
            <w:noWrap/>
          </w:tcPr>
          <w:p w14:paraId="0C119E45" w14:textId="75D3A131" w:rsidR="00836B9E" w:rsidRPr="00B275E2" w:rsidRDefault="00836B9E" w:rsidP="00040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7.</w:t>
            </w:r>
            <w:r w:rsidR="00CD1F87" w:rsidRPr="00B275E2">
              <w:rPr>
                <w:rFonts w:cs="Calibri"/>
                <w:szCs w:val="18"/>
              </w:rPr>
              <w:t>57</w:t>
            </w:r>
          </w:p>
        </w:tc>
        <w:tc>
          <w:tcPr>
            <w:tcW w:w="1217" w:type="dxa"/>
            <w:tcBorders>
              <w:bottom w:val="single" w:sz="4" w:space="0" w:color="1B556B" w:themeColor="text2"/>
              <w:right w:val="single" w:sz="4" w:space="0" w:color="FFFFFF" w:themeColor="background1"/>
            </w:tcBorders>
            <w:shd w:val="clear" w:color="auto" w:fill="auto"/>
            <w:noWrap/>
          </w:tcPr>
          <w:p w14:paraId="1AF16EBF" w14:textId="32E6B42F" w:rsidR="00836B9E" w:rsidRPr="00B275E2" w:rsidRDefault="00836B9E" w:rsidP="00040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w:t>
            </w:r>
          </w:p>
        </w:tc>
      </w:tr>
      <w:tr w:rsidR="00836B9E" w:rsidRPr="00B275E2" w14:paraId="08C2A334" w14:textId="77777777" w:rsidTr="00E462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vMerge/>
            <w:tcBorders>
              <w:left w:val="single" w:sz="4" w:space="0" w:color="FFFFFF" w:themeColor="background1"/>
              <w:bottom w:val="single" w:sz="4" w:space="0" w:color="1B556B" w:themeColor="text2"/>
            </w:tcBorders>
          </w:tcPr>
          <w:p w14:paraId="3FF74E7D" w14:textId="77777777" w:rsidR="00836B9E" w:rsidRPr="00B275E2" w:rsidRDefault="00836B9E" w:rsidP="00040137">
            <w:pPr>
              <w:pStyle w:val="TableText"/>
              <w:spacing w:before="40" w:after="40"/>
              <w:rPr>
                <w:rFonts w:cs="Calibri"/>
                <w:szCs w:val="18"/>
              </w:rPr>
            </w:pPr>
          </w:p>
        </w:tc>
        <w:tc>
          <w:tcPr>
            <w:tcW w:w="1445" w:type="dxa"/>
            <w:tcBorders>
              <w:bottom w:val="single" w:sz="4" w:space="0" w:color="1B556B" w:themeColor="text2"/>
            </w:tcBorders>
            <w:shd w:val="clear" w:color="auto" w:fill="auto"/>
            <w:vAlign w:val="bottom"/>
          </w:tcPr>
          <w:p w14:paraId="0D8AE748" w14:textId="40CC2373" w:rsidR="00836B9E" w:rsidRPr="00B275E2" w:rsidRDefault="00836B9E" w:rsidP="00040137">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Swine</w:t>
            </w:r>
          </w:p>
        </w:tc>
        <w:tc>
          <w:tcPr>
            <w:tcW w:w="919" w:type="dxa"/>
            <w:tcBorders>
              <w:bottom w:val="single" w:sz="4" w:space="0" w:color="1B556B" w:themeColor="text2"/>
            </w:tcBorders>
            <w:noWrap/>
          </w:tcPr>
          <w:p w14:paraId="24D76EC7" w14:textId="03665D55" w:rsidR="00836B9E" w:rsidRPr="00B275E2" w:rsidRDefault="00836B9E" w:rsidP="00040137">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per head</w:t>
            </w:r>
          </w:p>
        </w:tc>
        <w:tc>
          <w:tcPr>
            <w:tcW w:w="1317" w:type="dxa"/>
            <w:tcBorders>
              <w:bottom w:val="single" w:sz="4" w:space="0" w:color="1B556B" w:themeColor="text2"/>
            </w:tcBorders>
            <w:shd w:val="clear" w:color="auto" w:fill="D2DDE1" w:themeFill="background2"/>
            <w:noWrap/>
          </w:tcPr>
          <w:p w14:paraId="77C195EA" w14:textId="52DBDC0C" w:rsidR="00836B9E" w:rsidRPr="00B275E2" w:rsidRDefault="00CD1F87" w:rsidP="00040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206</w:t>
            </w:r>
          </w:p>
        </w:tc>
        <w:tc>
          <w:tcPr>
            <w:tcW w:w="1115" w:type="dxa"/>
            <w:tcBorders>
              <w:bottom w:val="single" w:sz="4" w:space="0" w:color="1B556B" w:themeColor="text2"/>
            </w:tcBorders>
            <w:shd w:val="clear" w:color="auto" w:fill="auto"/>
            <w:noWrap/>
          </w:tcPr>
          <w:p w14:paraId="58A1391A" w14:textId="6038FF9A" w:rsidR="00836B9E" w:rsidRPr="00B275E2" w:rsidRDefault="00836B9E" w:rsidP="00040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c>
          <w:tcPr>
            <w:tcW w:w="1216" w:type="dxa"/>
            <w:tcBorders>
              <w:bottom w:val="single" w:sz="4" w:space="0" w:color="1B556B" w:themeColor="text2"/>
            </w:tcBorders>
            <w:shd w:val="clear" w:color="auto" w:fill="auto"/>
            <w:noWrap/>
          </w:tcPr>
          <w:p w14:paraId="3C188777" w14:textId="2E15E471" w:rsidR="00836B9E" w:rsidRPr="00B275E2" w:rsidRDefault="00836B9E" w:rsidP="00040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149</w:t>
            </w:r>
          </w:p>
        </w:tc>
        <w:tc>
          <w:tcPr>
            <w:tcW w:w="1217" w:type="dxa"/>
            <w:tcBorders>
              <w:bottom w:val="single" w:sz="4" w:space="0" w:color="1B556B" w:themeColor="text2"/>
              <w:right w:val="single" w:sz="4" w:space="0" w:color="FFFFFF" w:themeColor="background1"/>
            </w:tcBorders>
            <w:shd w:val="clear" w:color="auto" w:fill="auto"/>
            <w:noWrap/>
          </w:tcPr>
          <w:p w14:paraId="1411C516" w14:textId="57958CF4" w:rsidR="00836B9E" w:rsidRPr="00B275E2" w:rsidRDefault="00CD1F87" w:rsidP="00040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57.7</w:t>
            </w:r>
          </w:p>
        </w:tc>
      </w:tr>
      <w:tr w:rsidR="00836B9E" w:rsidRPr="00B275E2" w14:paraId="2A0999A1" w14:textId="77777777" w:rsidTr="00E462C5">
        <w:trPr>
          <w:trHeight w:val="300"/>
        </w:trPr>
        <w:tc>
          <w:tcPr>
            <w:cnfStyle w:val="001000000000" w:firstRow="0" w:lastRow="0" w:firstColumn="1" w:lastColumn="0" w:oddVBand="0" w:evenVBand="0" w:oddHBand="0" w:evenHBand="0" w:firstRowFirstColumn="0" w:firstRowLastColumn="0" w:lastRowFirstColumn="0" w:lastRowLastColumn="0"/>
            <w:tcW w:w="1276" w:type="dxa"/>
            <w:vMerge/>
            <w:tcBorders>
              <w:left w:val="single" w:sz="4" w:space="0" w:color="FFFFFF" w:themeColor="background1"/>
              <w:bottom w:val="single" w:sz="4" w:space="0" w:color="1B556B" w:themeColor="text2"/>
            </w:tcBorders>
          </w:tcPr>
          <w:p w14:paraId="2DFBBCF0" w14:textId="77777777" w:rsidR="00836B9E" w:rsidRPr="00B275E2" w:rsidRDefault="00836B9E" w:rsidP="00040137">
            <w:pPr>
              <w:pStyle w:val="TableText"/>
              <w:spacing w:before="40" w:after="40"/>
              <w:rPr>
                <w:rFonts w:cs="Calibri"/>
                <w:szCs w:val="18"/>
              </w:rPr>
            </w:pPr>
          </w:p>
        </w:tc>
        <w:tc>
          <w:tcPr>
            <w:tcW w:w="1445" w:type="dxa"/>
            <w:tcBorders>
              <w:bottom w:val="single" w:sz="4" w:space="0" w:color="1B556B" w:themeColor="text2"/>
            </w:tcBorders>
            <w:shd w:val="clear" w:color="auto" w:fill="auto"/>
            <w:vAlign w:val="bottom"/>
          </w:tcPr>
          <w:p w14:paraId="2D8BFBC3" w14:textId="7278B89C" w:rsidR="00836B9E" w:rsidRPr="00B275E2" w:rsidRDefault="00836B9E" w:rsidP="00040137">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Goats</w:t>
            </w:r>
          </w:p>
        </w:tc>
        <w:tc>
          <w:tcPr>
            <w:tcW w:w="919" w:type="dxa"/>
            <w:tcBorders>
              <w:bottom w:val="single" w:sz="4" w:space="0" w:color="1B556B" w:themeColor="text2"/>
            </w:tcBorders>
            <w:noWrap/>
          </w:tcPr>
          <w:p w14:paraId="6E4620A2" w14:textId="09172DAB" w:rsidR="00836B9E" w:rsidRPr="00B275E2" w:rsidRDefault="00836B9E" w:rsidP="00040137">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per head</w:t>
            </w:r>
          </w:p>
        </w:tc>
        <w:tc>
          <w:tcPr>
            <w:tcW w:w="1317" w:type="dxa"/>
            <w:tcBorders>
              <w:bottom w:val="single" w:sz="4" w:space="0" w:color="1B556B" w:themeColor="text2"/>
            </w:tcBorders>
            <w:shd w:val="clear" w:color="auto" w:fill="D2DDE1" w:themeFill="background2"/>
            <w:noWrap/>
          </w:tcPr>
          <w:p w14:paraId="135EDAEB" w14:textId="4B17AB28" w:rsidR="00836B9E" w:rsidRPr="00B275E2" w:rsidRDefault="00836B9E" w:rsidP="00040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5.0</w:t>
            </w:r>
            <w:r w:rsidR="00CD1F87" w:rsidRPr="00B275E2">
              <w:rPr>
                <w:rFonts w:cs="Calibri"/>
                <w:szCs w:val="18"/>
              </w:rPr>
              <w:t>0</w:t>
            </w:r>
          </w:p>
        </w:tc>
        <w:tc>
          <w:tcPr>
            <w:tcW w:w="1115" w:type="dxa"/>
            <w:tcBorders>
              <w:bottom w:val="single" w:sz="4" w:space="0" w:color="1B556B" w:themeColor="text2"/>
            </w:tcBorders>
            <w:shd w:val="clear" w:color="auto" w:fill="auto"/>
            <w:noWrap/>
          </w:tcPr>
          <w:p w14:paraId="39012AC9" w14:textId="00FD7E21" w:rsidR="00836B9E" w:rsidRPr="00B275E2" w:rsidRDefault="00836B9E" w:rsidP="00040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n/a</w:t>
            </w:r>
          </w:p>
        </w:tc>
        <w:tc>
          <w:tcPr>
            <w:tcW w:w="1216" w:type="dxa"/>
            <w:tcBorders>
              <w:bottom w:val="single" w:sz="4" w:space="0" w:color="1B556B" w:themeColor="text2"/>
            </w:tcBorders>
            <w:shd w:val="clear" w:color="auto" w:fill="auto"/>
            <w:noWrap/>
          </w:tcPr>
          <w:p w14:paraId="7CD32A72" w14:textId="297CB830" w:rsidR="00836B9E" w:rsidRPr="00B275E2" w:rsidRDefault="00836B9E" w:rsidP="00040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5.0</w:t>
            </w:r>
            <w:r w:rsidR="00CD1F87" w:rsidRPr="00B275E2">
              <w:rPr>
                <w:rFonts w:cs="Calibri"/>
                <w:szCs w:val="18"/>
              </w:rPr>
              <w:t>0</w:t>
            </w:r>
          </w:p>
        </w:tc>
        <w:tc>
          <w:tcPr>
            <w:tcW w:w="1217" w:type="dxa"/>
            <w:tcBorders>
              <w:bottom w:val="single" w:sz="4" w:space="0" w:color="1B556B" w:themeColor="text2"/>
              <w:right w:val="single" w:sz="4" w:space="0" w:color="FFFFFF" w:themeColor="background1"/>
            </w:tcBorders>
            <w:shd w:val="clear" w:color="auto" w:fill="auto"/>
            <w:noWrap/>
          </w:tcPr>
          <w:p w14:paraId="4C1057EA" w14:textId="285DE163" w:rsidR="00836B9E" w:rsidRPr="00B275E2" w:rsidRDefault="00836B9E" w:rsidP="00040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w:t>
            </w:r>
          </w:p>
        </w:tc>
      </w:tr>
      <w:tr w:rsidR="00836B9E" w:rsidRPr="00B275E2" w14:paraId="464F9FC8" w14:textId="77777777" w:rsidTr="00E462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vMerge/>
            <w:tcBorders>
              <w:left w:val="single" w:sz="4" w:space="0" w:color="FFFFFF" w:themeColor="background1"/>
              <w:bottom w:val="single" w:sz="4" w:space="0" w:color="1B556B" w:themeColor="text2"/>
            </w:tcBorders>
          </w:tcPr>
          <w:p w14:paraId="45124D30" w14:textId="77777777" w:rsidR="00836B9E" w:rsidRPr="00B275E2" w:rsidRDefault="00836B9E" w:rsidP="00040137">
            <w:pPr>
              <w:pStyle w:val="TableText"/>
              <w:spacing w:before="40" w:after="40"/>
              <w:rPr>
                <w:rFonts w:cs="Calibri"/>
                <w:szCs w:val="18"/>
              </w:rPr>
            </w:pPr>
          </w:p>
        </w:tc>
        <w:tc>
          <w:tcPr>
            <w:tcW w:w="1445" w:type="dxa"/>
            <w:tcBorders>
              <w:bottom w:val="single" w:sz="4" w:space="0" w:color="1B556B" w:themeColor="text2"/>
            </w:tcBorders>
            <w:shd w:val="clear" w:color="auto" w:fill="auto"/>
            <w:vAlign w:val="bottom"/>
          </w:tcPr>
          <w:p w14:paraId="6A2802A0" w14:textId="1C4F1D9A" w:rsidR="00836B9E" w:rsidRPr="00B275E2" w:rsidRDefault="00836B9E" w:rsidP="00040137">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Horses</w:t>
            </w:r>
          </w:p>
        </w:tc>
        <w:tc>
          <w:tcPr>
            <w:tcW w:w="919" w:type="dxa"/>
            <w:tcBorders>
              <w:bottom w:val="single" w:sz="4" w:space="0" w:color="1B556B" w:themeColor="text2"/>
            </w:tcBorders>
            <w:noWrap/>
          </w:tcPr>
          <w:p w14:paraId="1BF9AC50" w14:textId="593FBDE7" w:rsidR="00836B9E" w:rsidRPr="00B275E2" w:rsidRDefault="00836B9E" w:rsidP="00040137">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per head</w:t>
            </w:r>
          </w:p>
        </w:tc>
        <w:tc>
          <w:tcPr>
            <w:tcW w:w="1317" w:type="dxa"/>
            <w:tcBorders>
              <w:bottom w:val="single" w:sz="4" w:space="0" w:color="1B556B" w:themeColor="text2"/>
            </w:tcBorders>
            <w:shd w:val="clear" w:color="auto" w:fill="D2DDE1" w:themeFill="background2"/>
            <w:noWrap/>
          </w:tcPr>
          <w:p w14:paraId="54543A06" w14:textId="6FE18E30" w:rsidR="00836B9E" w:rsidRPr="00B275E2" w:rsidRDefault="00836B9E" w:rsidP="00040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58.5</w:t>
            </w:r>
          </w:p>
        </w:tc>
        <w:tc>
          <w:tcPr>
            <w:tcW w:w="1115" w:type="dxa"/>
            <w:tcBorders>
              <w:bottom w:val="single" w:sz="4" w:space="0" w:color="1B556B" w:themeColor="text2"/>
            </w:tcBorders>
            <w:shd w:val="clear" w:color="auto" w:fill="auto"/>
            <w:noWrap/>
          </w:tcPr>
          <w:p w14:paraId="3E42E487" w14:textId="3D2638FD" w:rsidR="00836B9E" w:rsidRPr="00B275E2" w:rsidRDefault="00836B9E" w:rsidP="00040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c>
          <w:tcPr>
            <w:tcW w:w="1216" w:type="dxa"/>
            <w:tcBorders>
              <w:bottom w:val="single" w:sz="4" w:space="0" w:color="1B556B" w:themeColor="text2"/>
            </w:tcBorders>
            <w:shd w:val="clear" w:color="auto" w:fill="auto"/>
            <w:noWrap/>
          </w:tcPr>
          <w:p w14:paraId="2745DB8C" w14:textId="06E691F0" w:rsidR="00836B9E" w:rsidRPr="00B275E2" w:rsidRDefault="00836B9E" w:rsidP="00040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58.5</w:t>
            </w:r>
          </w:p>
        </w:tc>
        <w:tc>
          <w:tcPr>
            <w:tcW w:w="1217" w:type="dxa"/>
            <w:tcBorders>
              <w:bottom w:val="single" w:sz="4" w:space="0" w:color="1B556B" w:themeColor="text2"/>
              <w:right w:val="single" w:sz="4" w:space="0" w:color="FFFFFF" w:themeColor="background1"/>
            </w:tcBorders>
            <w:shd w:val="clear" w:color="auto" w:fill="auto"/>
            <w:noWrap/>
          </w:tcPr>
          <w:p w14:paraId="3E044ECB" w14:textId="058FC42E" w:rsidR="00836B9E" w:rsidRPr="00B275E2" w:rsidRDefault="00836B9E" w:rsidP="00040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w:t>
            </w:r>
          </w:p>
        </w:tc>
      </w:tr>
      <w:tr w:rsidR="00836B9E" w:rsidRPr="00B275E2" w14:paraId="35E18CDD" w14:textId="77777777" w:rsidTr="00E462C5">
        <w:trPr>
          <w:trHeight w:val="300"/>
        </w:trPr>
        <w:tc>
          <w:tcPr>
            <w:cnfStyle w:val="001000000000" w:firstRow="0" w:lastRow="0" w:firstColumn="1" w:lastColumn="0" w:oddVBand="0" w:evenVBand="0" w:oddHBand="0" w:evenHBand="0" w:firstRowFirstColumn="0" w:firstRowLastColumn="0" w:lastRowFirstColumn="0" w:lastRowLastColumn="0"/>
            <w:tcW w:w="1276" w:type="dxa"/>
            <w:vMerge/>
            <w:tcBorders>
              <w:left w:val="single" w:sz="4" w:space="0" w:color="FFFFFF" w:themeColor="background1"/>
              <w:bottom w:val="single" w:sz="4" w:space="0" w:color="1B556B" w:themeColor="text2"/>
            </w:tcBorders>
          </w:tcPr>
          <w:p w14:paraId="77B193EB" w14:textId="77777777" w:rsidR="00836B9E" w:rsidRPr="00B275E2" w:rsidRDefault="00836B9E" w:rsidP="00040137">
            <w:pPr>
              <w:pStyle w:val="TableText"/>
              <w:spacing w:before="40" w:after="40"/>
              <w:rPr>
                <w:rFonts w:cs="Calibri"/>
                <w:szCs w:val="18"/>
              </w:rPr>
            </w:pPr>
          </w:p>
        </w:tc>
        <w:tc>
          <w:tcPr>
            <w:tcW w:w="1445" w:type="dxa"/>
            <w:tcBorders>
              <w:bottom w:val="single" w:sz="4" w:space="0" w:color="1B556B" w:themeColor="text2"/>
            </w:tcBorders>
            <w:shd w:val="clear" w:color="auto" w:fill="auto"/>
            <w:vAlign w:val="bottom"/>
          </w:tcPr>
          <w:p w14:paraId="72849D86" w14:textId="222F6A33" w:rsidR="00836B9E" w:rsidRPr="00B275E2" w:rsidRDefault="00836B9E" w:rsidP="00040137">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Alpaca</w:t>
            </w:r>
          </w:p>
        </w:tc>
        <w:tc>
          <w:tcPr>
            <w:tcW w:w="919" w:type="dxa"/>
            <w:tcBorders>
              <w:bottom w:val="single" w:sz="4" w:space="0" w:color="1B556B" w:themeColor="text2"/>
            </w:tcBorders>
            <w:noWrap/>
          </w:tcPr>
          <w:p w14:paraId="649C00F5" w14:textId="7D653D60" w:rsidR="00836B9E" w:rsidRPr="00B275E2" w:rsidRDefault="00836B9E" w:rsidP="00040137">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per head</w:t>
            </w:r>
          </w:p>
        </w:tc>
        <w:tc>
          <w:tcPr>
            <w:tcW w:w="1317" w:type="dxa"/>
            <w:tcBorders>
              <w:bottom w:val="single" w:sz="4" w:space="0" w:color="1B556B" w:themeColor="text2"/>
            </w:tcBorders>
            <w:shd w:val="clear" w:color="auto" w:fill="D2DDE1" w:themeFill="background2"/>
            <w:noWrap/>
          </w:tcPr>
          <w:p w14:paraId="4FDDAAC4" w14:textId="1F4D4941" w:rsidR="00836B9E" w:rsidRPr="00B275E2" w:rsidRDefault="00836B9E" w:rsidP="00040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2.</w:t>
            </w:r>
            <w:r w:rsidR="00AC2079" w:rsidRPr="00B275E2">
              <w:rPr>
                <w:rFonts w:cs="Calibri"/>
                <w:szCs w:val="18"/>
              </w:rPr>
              <w:t>57</w:t>
            </w:r>
          </w:p>
        </w:tc>
        <w:tc>
          <w:tcPr>
            <w:tcW w:w="1115" w:type="dxa"/>
            <w:tcBorders>
              <w:bottom w:val="single" w:sz="4" w:space="0" w:color="1B556B" w:themeColor="text2"/>
            </w:tcBorders>
            <w:shd w:val="clear" w:color="auto" w:fill="auto"/>
            <w:noWrap/>
          </w:tcPr>
          <w:p w14:paraId="05ED1366" w14:textId="3BC498A6" w:rsidR="00836B9E" w:rsidRPr="00B275E2" w:rsidRDefault="00836B9E" w:rsidP="00040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n/a</w:t>
            </w:r>
          </w:p>
        </w:tc>
        <w:tc>
          <w:tcPr>
            <w:tcW w:w="1216" w:type="dxa"/>
            <w:tcBorders>
              <w:bottom w:val="single" w:sz="4" w:space="0" w:color="1B556B" w:themeColor="text2"/>
            </w:tcBorders>
            <w:shd w:val="clear" w:color="auto" w:fill="auto"/>
            <w:noWrap/>
          </w:tcPr>
          <w:p w14:paraId="730DDCA2" w14:textId="73000991" w:rsidR="00836B9E" w:rsidRPr="00B275E2" w:rsidRDefault="00836B9E" w:rsidP="00040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2.</w:t>
            </w:r>
            <w:r w:rsidR="00AC2079" w:rsidRPr="00B275E2">
              <w:rPr>
                <w:rFonts w:cs="Calibri"/>
                <w:szCs w:val="18"/>
              </w:rPr>
              <w:t>57</w:t>
            </w:r>
          </w:p>
        </w:tc>
        <w:tc>
          <w:tcPr>
            <w:tcW w:w="1217" w:type="dxa"/>
            <w:tcBorders>
              <w:bottom w:val="single" w:sz="4" w:space="0" w:color="1B556B" w:themeColor="text2"/>
              <w:right w:val="single" w:sz="4" w:space="0" w:color="FFFFFF" w:themeColor="background1"/>
            </w:tcBorders>
            <w:shd w:val="clear" w:color="auto" w:fill="auto"/>
            <w:noWrap/>
          </w:tcPr>
          <w:p w14:paraId="75D635F9" w14:textId="2A8BF188" w:rsidR="00836B9E" w:rsidRPr="00B275E2" w:rsidRDefault="00836B9E" w:rsidP="00040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w:t>
            </w:r>
          </w:p>
        </w:tc>
      </w:tr>
      <w:tr w:rsidR="00836B9E" w:rsidRPr="00B275E2" w14:paraId="70E819BF" w14:textId="77777777" w:rsidTr="00E462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vMerge/>
            <w:tcBorders>
              <w:left w:val="single" w:sz="4" w:space="0" w:color="FFFFFF" w:themeColor="background1"/>
              <w:bottom w:val="single" w:sz="4" w:space="0" w:color="1B556B" w:themeColor="text2"/>
            </w:tcBorders>
          </w:tcPr>
          <w:p w14:paraId="2B42DCBD" w14:textId="77777777" w:rsidR="00836B9E" w:rsidRPr="00B275E2" w:rsidRDefault="00836B9E" w:rsidP="00040137">
            <w:pPr>
              <w:pStyle w:val="TableText"/>
              <w:spacing w:before="40" w:after="40"/>
              <w:rPr>
                <w:rFonts w:cs="Calibri"/>
                <w:szCs w:val="18"/>
              </w:rPr>
            </w:pPr>
          </w:p>
        </w:tc>
        <w:tc>
          <w:tcPr>
            <w:tcW w:w="1445" w:type="dxa"/>
            <w:tcBorders>
              <w:bottom w:val="single" w:sz="4" w:space="0" w:color="1B556B" w:themeColor="text2"/>
            </w:tcBorders>
            <w:shd w:val="clear" w:color="auto" w:fill="auto"/>
            <w:vAlign w:val="bottom"/>
          </w:tcPr>
          <w:p w14:paraId="3F1B0F49" w14:textId="1009E46C" w:rsidR="00836B9E" w:rsidRPr="00B275E2" w:rsidRDefault="00836B9E" w:rsidP="00040137">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Mules and asses</w:t>
            </w:r>
          </w:p>
        </w:tc>
        <w:tc>
          <w:tcPr>
            <w:tcW w:w="919" w:type="dxa"/>
            <w:tcBorders>
              <w:bottom w:val="single" w:sz="4" w:space="0" w:color="1B556B" w:themeColor="text2"/>
            </w:tcBorders>
            <w:noWrap/>
          </w:tcPr>
          <w:p w14:paraId="0C262815" w14:textId="2FF092BF" w:rsidR="00836B9E" w:rsidRPr="00B275E2" w:rsidRDefault="00836B9E" w:rsidP="00040137">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per head</w:t>
            </w:r>
          </w:p>
        </w:tc>
        <w:tc>
          <w:tcPr>
            <w:tcW w:w="1317" w:type="dxa"/>
            <w:tcBorders>
              <w:bottom w:val="single" w:sz="4" w:space="0" w:color="1B556B" w:themeColor="text2"/>
            </w:tcBorders>
            <w:shd w:val="clear" w:color="auto" w:fill="D2DDE1" w:themeFill="background2"/>
            <w:noWrap/>
          </w:tcPr>
          <w:p w14:paraId="2EDC68D3" w14:textId="6959915B" w:rsidR="00836B9E" w:rsidRPr="00B275E2" w:rsidRDefault="00836B9E" w:rsidP="00040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27.5</w:t>
            </w:r>
          </w:p>
        </w:tc>
        <w:tc>
          <w:tcPr>
            <w:tcW w:w="1115" w:type="dxa"/>
            <w:tcBorders>
              <w:bottom w:val="single" w:sz="4" w:space="0" w:color="1B556B" w:themeColor="text2"/>
            </w:tcBorders>
            <w:shd w:val="clear" w:color="auto" w:fill="auto"/>
            <w:noWrap/>
          </w:tcPr>
          <w:p w14:paraId="58AE2D29" w14:textId="69D26000" w:rsidR="00836B9E" w:rsidRPr="00B275E2" w:rsidRDefault="00836B9E" w:rsidP="00040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c>
          <w:tcPr>
            <w:tcW w:w="1216" w:type="dxa"/>
            <w:tcBorders>
              <w:bottom w:val="single" w:sz="4" w:space="0" w:color="1B556B" w:themeColor="text2"/>
            </w:tcBorders>
            <w:shd w:val="clear" w:color="auto" w:fill="auto"/>
            <w:noWrap/>
          </w:tcPr>
          <w:p w14:paraId="2D0754D0" w14:textId="5F183365" w:rsidR="00836B9E" w:rsidRPr="00B275E2" w:rsidRDefault="00836B9E" w:rsidP="00040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27.5</w:t>
            </w:r>
          </w:p>
        </w:tc>
        <w:tc>
          <w:tcPr>
            <w:tcW w:w="1217" w:type="dxa"/>
            <w:tcBorders>
              <w:bottom w:val="single" w:sz="4" w:space="0" w:color="1B556B" w:themeColor="text2"/>
              <w:right w:val="single" w:sz="4" w:space="0" w:color="FFFFFF" w:themeColor="background1"/>
            </w:tcBorders>
            <w:shd w:val="clear" w:color="auto" w:fill="auto"/>
            <w:noWrap/>
          </w:tcPr>
          <w:p w14:paraId="0D4D7E04" w14:textId="336E66A5" w:rsidR="00836B9E" w:rsidRPr="00B275E2" w:rsidRDefault="00836B9E" w:rsidP="00040137">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w:t>
            </w:r>
          </w:p>
        </w:tc>
      </w:tr>
      <w:tr w:rsidR="00836B9E" w:rsidRPr="00B275E2" w14:paraId="4911271E" w14:textId="77777777" w:rsidTr="00E462C5">
        <w:trPr>
          <w:trHeight w:val="300"/>
        </w:trPr>
        <w:tc>
          <w:tcPr>
            <w:cnfStyle w:val="001000000000" w:firstRow="0" w:lastRow="0" w:firstColumn="1" w:lastColumn="0" w:oddVBand="0" w:evenVBand="0" w:oddHBand="0" w:evenHBand="0" w:firstRowFirstColumn="0" w:firstRowLastColumn="0" w:lastRowFirstColumn="0" w:lastRowLastColumn="0"/>
            <w:tcW w:w="1276" w:type="dxa"/>
            <w:vMerge/>
            <w:tcBorders>
              <w:left w:val="single" w:sz="4" w:space="0" w:color="FFFFFF" w:themeColor="background1"/>
              <w:bottom w:val="single" w:sz="4" w:space="0" w:color="1B556B" w:themeColor="text2"/>
            </w:tcBorders>
          </w:tcPr>
          <w:p w14:paraId="3DF7A051" w14:textId="77777777" w:rsidR="00836B9E" w:rsidRPr="00B275E2" w:rsidRDefault="00836B9E" w:rsidP="00040137">
            <w:pPr>
              <w:pStyle w:val="TableText"/>
              <w:spacing w:before="40" w:after="40"/>
              <w:rPr>
                <w:rFonts w:cs="Calibri"/>
                <w:szCs w:val="18"/>
              </w:rPr>
            </w:pPr>
          </w:p>
        </w:tc>
        <w:tc>
          <w:tcPr>
            <w:tcW w:w="1445" w:type="dxa"/>
            <w:tcBorders>
              <w:bottom w:val="single" w:sz="4" w:space="0" w:color="1B556B" w:themeColor="text2"/>
            </w:tcBorders>
            <w:shd w:val="clear" w:color="auto" w:fill="auto"/>
            <w:vAlign w:val="bottom"/>
          </w:tcPr>
          <w:p w14:paraId="5FCE208F" w14:textId="668CB80F" w:rsidR="00836B9E" w:rsidRPr="00B275E2" w:rsidRDefault="00836B9E" w:rsidP="00040137">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Poultry</w:t>
            </w:r>
          </w:p>
        </w:tc>
        <w:tc>
          <w:tcPr>
            <w:tcW w:w="919" w:type="dxa"/>
            <w:tcBorders>
              <w:bottom w:val="single" w:sz="4" w:space="0" w:color="1B556B" w:themeColor="text2"/>
            </w:tcBorders>
            <w:noWrap/>
          </w:tcPr>
          <w:p w14:paraId="01C405B0" w14:textId="3B3A816E" w:rsidR="00836B9E" w:rsidRPr="00B275E2" w:rsidRDefault="00836B9E" w:rsidP="00040137">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per head</w:t>
            </w:r>
          </w:p>
        </w:tc>
        <w:tc>
          <w:tcPr>
            <w:tcW w:w="1317" w:type="dxa"/>
            <w:tcBorders>
              <w:bottom w:val="single" w:sz="4" w:space="0" w:color="1B556B" w:themeColor="text2"/>
            </w:tcBorders>
            <w:shd w:val="clear" w:color="auto" w:fill="D2DDE1" w:themeFill="background2"/>
            <w:noWrap/>
          </w:tcPr>
          <w:p w14:paraId="581AEE74" w14:textId="637C0067" w:rsidR="00836B9E" w:rsidRPr="00B275E2" w:rsidRDefault="00AC2079" w:rsidP="00040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1.44</w:t>
            </w:r>
          </w:p>
        </w:tc>
        <w:tc>
          <w:tcPr>
            <w:tcW w:w="1115" w:type="dxa"/>
            <w:tcBorders>
              <w:bottom w:val="single" w:sz="4" w:space="0" w:color="1B556B" w:themeColor="text2"/>
            </w:tcBorders>
            <w:shd w:val="clear" w:color="auto" w:fill="auto"/>
            <w:noWrap/>
          </w:tcPr>
          <w:p w14:paraId="1C3AB6DB" w14:textId="1F693647" w:rsidR="00836B9E" w:rsidRPr="00B275E2" w:rsidRDefault="00836B9E" w:rsidP="00040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n/a</w:t>
            </w:r>
          </w:p>
        </w:tc>
        <w:tc>
          <w:tcPr>
            <w:tcW w:w="1216" w:type="dxa"/>
            <w:tcBorders>
              <w:bottom w:val="single" w:sz="4" w:space="0" w:color="1B556B" w:themeColor="text2"/>
            </w:tcBorders>
            <w:shd w:val="clear" w:color="auto" w:fill="auto"/>
            <w:noWrap/>
          </w:tcPr>
          <w:p w14:paraId="1385AA75" w14:textId="27284BA8" w:rsidR="00836B9E" w:rsidRPr="00B275E2" w:rsidRDefault="00AC2079" w:rsidP="00040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0.78</w:t>
            </w:r>
          </w:p>
        </w:tc>
        <w:tc>
          <w:tcPr>
            <w:tcW w:w="1217" w:type="dxa"/>
            <w:tcBorders>
              <w:bottom w:val="single" w:sz="4" w:space="0" w:color="1B556B" w:themeColor="text2"/>
              <w:right w:val="single" w:sz="4" w:space="0" w:color="FFFFFF" w:themeColor="background1"/>
            </w:tcBorders>
            <w:shd w:val="clear" w:color="auto" w:fill="auto"/>
            <w:noWrap/>
          </w:tcPr>
          <w:p w14:paraId="09E8F524" w14:textId="4FEB3682" w:rsidR="00836B9E" w:rsidRPr="00B275E2" w:rsidRDefault="00AC2079" w:rsidP="00040137">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0.65</w:t>
            </w:r>
          </w:p>
        </w:tc>
      </w:tr>
    </w:tbl>
    <w:p w14:paraId="09DECD6A" w14:textId="75E531BF" w:rsidR="000A2FDA" w:rsidRPr="00B275E2" w:rsidRDefault="000A2FDA" w:rsidP="00D77DD7">
      <w:pPr>
        <w:pStyle w:val="Note"/>
      </w:pPr>
      <w:r w:rsidRPr="00B275E2">
        <w:t>Note</w:t>
      </w:r>
      <w:r w:rsidR="0000678C" w:rsidRPr="00B275E2">
        <w:t>: T</w:t>
      </w:r>
      <w:r w:rsidRPr="00B275E2">
        <w:t xml:space="preserve">hese numbers are rounded to three </w:t>
      </w:r>
      <w:r w:rsidR="001956BC" w:rsidRPr="00B275E2">
        <w:t>significant figures</w:t>
      </w:r>
      <w:r w:rsidRPr="00B275E2">
        <w:t xml:space="preserve"> unless the number is significantly small. </w:t>
      </w:r>
    </w:p>
    <w:p w14:paraId="66FC8E9C" w14:textId="6ABDCB72" w:rsidR="003A7B65" w:rsidRPr="00B275E2" w:rsidRDefault="00D411C0" w:rsidP="002234D0">
      <w:pPr>
        <w:pStyle w:val="Heading3"/>
      </w:pPr>
      <w:r>
        <w:t xml:space="preserve"> </w:t>
      </w:r>
      <w:r w:rsidR="00301928" w:rsidRPr="00B275E2">
        <w:t xml:space="preserve">GHG </w:t>
      </w:r>
      <w:r w:rsidR="003A7B65" w:rsidRPr="00B275E2">
        <w:t>inventory development</w:t>
      </w:r>
    </w:p>
    <w:p w14:paraId="3C0C64B6" w14:textId="0D970833" w:rsidR="00E5562F" w:rsidRPr="00B275E2" w:rsidRDefault="00E5562F" w:rsidP="004D082F">
      <w:pPr>
        <w:pStyle w:val="BodyText"/>
        <w:spacing w:after="100"/>
        <w:rPr>
          <w:rFonts w:eastAsia="Times New Roman"/>
          <w:lang w:eastAsia="en-US"/>
        </w:rPr>
      </w:pPr>
      <w:r w:rsidRPr="00B275E2">
        <w:rPr>
          <w:rFonts w:eastAsia="Times New Roman"/>
          <w:lang w:eastAsia="en-US"/>
        </w:rPr>
        <w:t>Organisations should collect data on the number and type of livestock as at 30 June during the</w:t>
      </w:r>
      <w:r w:rsidR="005A1D3F" w:rsidRPr="00B275E2">
        <w:rPr>
          <w:rFonts w:eastAsia="Times New Roman"/>
          <w:lang w:eastAsia="en-US"/>
        </w:rPr>
        <w:t> </w:t>
      </w:r>
      <w:r w:rsidRPr="00B275E2">
        <w:rPr>
          <w:rFonts w:eastAsia="Times New Roman"/>
          <w:lang w:eastAsia="en-US"/>
        </w:rPr>
        <w:t>measurement period (regardless of whether the period is a calendar or financial year, see</w:t>
      </w:r>
      <w:r w:rsidR="005A1D3F" w:rsidRPr="00B275E2">
        <w:rPr>
          <w:rFonts w:eastAsia="Times New Roman"/>
          <w:lang w:eastAsia="en-US"/>
        </w:rPr>
        <w:t> </w:t>
      </w:r>
      <w:hyperlink w:anchor="_Manure_management_emission" w:history="1">
        <w:r w:rsidR="00110456" w:rsidRPr="00B275E2">
          <w:rPr>
            <w:rStyle w:val="Hyperlink"/>
            <w:rFonts w:eastAsia="Times New Roman"/>
            <w:lang w:eastAsia="en-US"/>
          </w:rPr>
          <w:t>s</w:t>
        </w:r>
        <w:r w:rsidR="00DA3181" w:rsidRPr="00B275E2">
          <w:rPr>
            <w:rStyle w:val="Hyperlink"/>
            <w:rFonts w:eastAsia="Times New Roman"/>
            <w:lang w:eastAsia="en-US"/>
          </w:rPr>
          <w:t>ection 11.3.2</w:t>
        </w:r>
      </w:hyperlink>
      <w:r w:rsidRPr="00B275E2">
        <w:rPr>
          <w:rFonts w:eastAsia="Times New Roman"/>
          <w:lang w:eastAsia="en-US"/>
        </w:rPr>
        <w:t>) to calculate emissions from manure management.</w:t>
      </w:r>
    </w:p>
    <w:p w14:paraId="5844B03C" w14:textId="1B0C9764" w:rsidR="000A2FDA" w:rsidRPr="00B275E2" w:rsidRDefault="000A2FDA" w:rsidP="004D082F">
      <w:pPr>
        <w:pStyle w:val="BodyText"/>
      </w:pPr>
      <w:r w:rsidRPr="00B275E2">
        <w:t xml:space="preserve">Applying the equation </w:t>
      </w:r>
      <w:r w:rsidR="00D34302" w:rsidRPr="00B275E2">
        <w:t>E= Q x F</w:t>
      </w:r>
      <w:r w:rsidR="00647A85" w:rsidRPr="00B275E2">
        <w:t xml:space="preserve"> </w:t>
      </w:r>
      <w:r w:rsidR="00D34302" w:rsidRPr="00B275E2">
        <w:t>(</w:t>
      </w:r>
      <w:hyperlink w:anchor="_How_to_quantify" w:history="1">
        <w:r w:rsidR="00017123" w:rsidRPr="00B275E2">
          <w:rPr>
            <w:rStyle w:val="Hyperlink"/>
          </w:rPr>
          <w:t>section 2</w:t>
        </w:r>
      </w:hyperlink>
      <w:r w:rsidR="00D34302" w:rsidRPr="00B275E2">
        <w:rPr>
          <w:rStyle w:val="Hyperlink"/>
          <w:color w:val="auto"/>
        </w:rPr>
        <w:t>)</w:t>
      </w:r>
      <w:r w:rsidRPr="00B275E2">
        <w:t>, this means:</w:t>
      </w:r>
    </w:p>
    <w:p w14:paraId="7271466E" w14:textId="6BFD5B64" w:rsidR="00D34302" w:rsidRPr="00B275E2" w:rsidRDefault="00D34302" w:rsidP="00040137">
      <w:pPr>
        <w:pStyle w:val="BodyText"/>
        <w:tabs>
          <w:tab w:val="left" w:pos="680"/>
          <w:tab w:val="left" w:pos="1134"/>
        </w:tabs>
        <w:contextualSpacing/>
      </w:pPr>
      <w:r w:rsidRPr="00B275E2">
        <w:t>E</w:t>
      </w:r>
      <w:r w:rsidRPr="00B275E2">
        <w:tab/>
        <w:t>=</w:t>
      </w:r>
      <w:r w:rsidRPr="00B275E2">
        <w:tab/>
        <w:t>emissions from the emissions source in kg CO</w:t>
      </w:r>
      <w:r w:rsidRPr="00B275E2">
        <w:rPr>
          <w:vertAlign w:val="subscript"/>
        </w:rPr>
        <w:t>2</w:t>
      </w:r>
      <w:r w:rsidRPr="00B275E2">
        <w:t>-e per year</w:t>
      </w:r>
    </w:p>
    <w:p w14:paraId="1F8D6F25" w14:textId="5D17BB17" w:rsidR="003A7B65" w:rsidRPr="00B275E2" w:rsidRDefault="0000678C" w:rsidP="00040137">
      <w:pPr>
        <w:pStyle w:val="BodyText"/>
        <w:tabs>
          <w:tab w:val="left" w:pos="680"/>
          <w:tab w:val="left" w:pos="1134"/>
        </w:tabs>
        <w:contextualSpacing/>
      </w:pPr>
      <w:r w:rsidRPr="00B275E2">
        <w:t>Q</w:t>
      </w:r>
      <w:r w:rsidRPr="00B275E2">
        <w:tab/>
        <w:t>=</w:t>
      </w:r>
      <w:r w:rsidRPr="00B275E2">
        <w:tab/>
      </w:r>
      <w:r w:rsidR="000B2B63" w:rsidRPr="00B275E2">
        <w:t>number</w:t>
      </w:r>
      <w:r w:rsidR="003A7B65" w:rsidRPr="00B275E2">
        <w:t xml:space="preserve"> of animals (per head</w:t>
      </w:r>
      <w:r w:rsidR="00E5562F" w:rsidRPr="00B275E2">
        <w:t xml:space="preserve"> per </w:t>
      </w:r>
      <w:r w:rsidR="0020720F" w:rsidRPr="00B275E2">
        <w:t>livestock</w:t>
      </w:r>
      <w:r w:rsidR="00E5562F" w:rsidRPr="00B275E2">
        <w:t xml:space="preserve"> type</w:t>
      </w:r>
      <w:r w:rsidR="003A7B65" w:rsidRPr="00B275E2">
        <w:t>)</w:t>
      </w:r>
    </w:p>
    <w:p w14:paraId="2C05FEE1" w14:textId="0924B909" w:rsidR="003A7B65" w:rsidRPr="00B275E2" w:rsidRDefault="0000678C" w:rsidP="00040137">
      <w:pPr>
        <w:pStyle w:val="BodyText"/>
        <w:tabs>
          <w:tab w:val="left" w:pos="680"/>
          <w:tab w:val="left" w:pos="1134"/>
        </w:tabs>
        <w:spacing w:after="240"/>
        <w:contextualSpacing/>
      </w:pPr>
      <w:r w:rsidRPr="00B275E2">
        <w:t>F</w:t>
      </w:r>
      <w:r w:rsidRPr="00B275E2">
        <w:tab/>
        <w:t>=</w:t>
      </w:r>
      <w:r w:rsidRPr="00B275E2">
        <w:tab/>
      </w:r>
      <w:r w:rsidR="003A7B65" w:rsidRPr="00B275E2">
        <w:t>appropriate emission factors from</w:t>
      </w:r>
      <w:r w:rsidR="005A1D3F" w:rsidRPr="00B275E2">
        <w:t xml:space="preserve"> table 9</w:t>
      </w:r>
      <w:r w:rsidR="00EE24CD">
        <w:t>3</w:t>
      </w: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5"/>
      </w:tblGrid>
      <w:tr w:rsidR="00DA7183" w:rsidRPr="00B275E2" w14:paraId="5CC920B6" w14:textId="77777777" w:rsidTr="00040137">
        <w:tc>
          <w:tcPr>
            <w:tcW w:w="8505" w:type="dxa"/>
            <w:tcBorders>
              <w:top w:val="single" w:sz="4" w:space="0" w:color="0F7B7D"/>
              <w:left w:val="single" w:sz="4" w:space="0" w:color="0F7B7D"/>
              <w:bottom w:val="nil"/>
              <w:right w:val="single" w:sz="4" w:space="0" w:color="0F7B7D"/>
            </w:tcBorders>
            <w:shd w:val="clear" w:color="auto" w:fill="0F7B7D"/>
            <w:vAlign w:val="center"/>
          </w:tcPr>
          <w:p w14:paraId="2DE246F6" w14:textId="027D0BC7" w:rsidR="00E5562F" w:rsidRPr="00B275E2" w:rsidDel="00D5390D" w:rsidRDefault="002B3933" w:rsidP="00A0773E">
            <w:pPr>
              <w:pStyle w:val="Casestudyheading"/>
            </w:pPr>
            <w:r w:rsidRPr="00B275E2">
              <w:t xml:space="preserve">MANURE MANAGEMENT: </w:t>
            </w:r>
            <w:r w:rsidR="00E5562F" w:rsidRPr="00B275E2">
              <w:t>Example Calculation</w:t>
            </w:r>
          </w:p>
        </w:tc>
      </w:tr>
      <w:tr w:rsidR="00F21DC0" w:rsidRPr="00B275E2" w14:paraId="08C4CE1D" w14:textId="77777777" w:rsidTr="00040137">
        <w:tc>
          <w:tcPr>
            <w:tcW w:w="8505" w:type="dxa"/>
            <w:tcBorders>
              <w:top w:val="nil"/>
              <w:left w:val="single" w:sz="4" w:space="0" w:color="D5EBE8" w:themeColor="accent3"/>
              <w:bottom w:val="single" w:sz="4" w:space="0" w:color="D5EBE8" w:themeColor="accent3"/>
              <w:right w:val="single" w:sz="4" w:space="0" w:color="D5EBE8" w:themeColor="accent3"/>
            </w:tcBorders>
            <w:shd w:val="clear" w:color="auto" w:fill="D5EBE8" w:themeFill="accent3"/>
          </w:tcPr>
          <w:p w14:paraId="2AF8BBB0" w14:textId="442CB481" w:rsidR="00E5562F" w:rsidRPr="00B275E2" w:rsidRDefault="00E5562F" w:rsidP="00040137">
            <w:pPr>
              <w:pStyle w:val="Boxtext"/>
              <w:spacing w:after="80"/>
            </w:pPr>
            <w:r w:rsidRPr="00B275E2">
              <w:t xml:space="preserve">An organisation owns </w:t>
            </w:r>
            <w:r w:rsidR="00D462C7" w:rsidRPr="00B275E2">
              <w:t>2400</w:t>
            </w:r>
            <w:r w:rsidRPr="00B275E2">
              <w:t xml:space="preserve"> sheep and </w:t>
            </w:r>
            <w:r w:rsidR="00D462C7" w:rsidRPr="00B275E2">
              <w:t>210</w:t>
            </w:r>
            <w:r w:rsidRPr="00B275E2">
              <w:t xml:space="preserve"> dairy cows on 30 June during the reporting period.</w:t>
            </w:r>
          </w:p>
          <w:p w14:paraId="2345130D" w14:textId="5676B99D" w:rsidR="00E5562F" w:rsidRPr="00B275E2" w:rsidRDefault="00E5562F" w:rsidP="00040137">
            <w:pPr>
              <w:pStyle w:val="Boxtext"/>
              <w:tabs>
                <w:tab w:val="left" w:pos="2724"/>
                <w:tab w:val="left" w:pos="5701"/>
              </w:tabs>
              <w:spacing w:before="20" w:after="20"/>
              <w:ind w:left="850"/>
            </w:pPr>
            <w:r w:rsidRPr="00B275E2">
              <w:t>CO</w:t>
            </w:r>
            <w:r w:rsidRPr="00B275E2">
              <w:rPr>
                <w:vertAlign w:val="subscript"/>
              </w:rPr>
              <w:t>2</w:t>
            </w:r>
            <w:r w:rsidRPr="00B275E2">
              <w:t xml:space="preserve"> emissions </w:t>
            </w:r>
            <w:r w:rsidRPr="00B275E2">
              <w:tab/>
              <w:t>= 0</w:t>
            </w:r>
          </w:p>
          <w:p w14:paraId="2BF89179" w14:textId="5BEA4F66" w:rsidR="00E5562F" w:rsidRPr="00B275E2" w:rsidRDefault="00E5562F" w:rsidP="00040137">
            <w:pPr>
              <w:pStyle w:val="Boxtext"/>
              <w:tabs>
                <w:tab w:val="left" w:pos="2724"/>
                <w:tab w:val="left" w:pos="5418"/>
              </w:tabs>
              <w:spacing w:before="20" w:after="20"/>
              <w:ind w:left="850"/>
            </w:pPr>
            <w:r w:rsidRPr="00B275E2">
              <w:t>CH</w:t>
            </w:r>
            <w:r w:rsidRPr="00B275E2">
              <w:rPr>
                <w:vertAlign w:val="subscript"/>
              </w:rPr>
              <w:t>4</w:t>
            </w:r>
            <w:r w:rsidRPr="00B275E2">
              <w:t xml:space="preserve"> emissions </w:t>
            </w:r>
            <w:r w:rsidRPr="00B275E2">
              <w:tab/>
              <w:t>= (</w:t>
            </w:r>
            <w:r w:rsidR="00D462C7" w:rsidRPr="00B275E2">
              <w:t>2400</w:t>
            </w:r>
            <w:r w:rsidRPr="00B275E2">
              <w:t xml:space="preserve"> × </w:t>
            </w:r>
            <w:r w:rsidR="00AC2079" w:rsidRPr="00B275E2">
              <w:t>3.53</w:t>
            </w:r>
            <w:r w:rsidRPr="00B275E2">
              <w:t>) + (</w:t>
            </w:r>
            <w:r w:rsidR="00D462C7" w:rsidRPr="00B275E2">
              <w:t>210</w:t>
            </w:r>
            <w:r w:rsidRPr="00B275E2">
              <w:t xml:space="preserve"> × </w:t>
            </w:r>
            <w:r w:rsidR="00AC2079" w:rsidRPr="00B275E2">
              <w:t>238</w:t>
            </w:r>
            <w:r w:rsidRPr="00B275E2">
              <w:t>)</w:t>
            </w:r>
            <w:r w:rsidR="00CE3241" w:rsidRPr="00B275E2">
              <w:tab/>
            </w:r>
            <w:r w:rsidRPr="00B275E2">
              <w:t xml:space="preserve">= </w:t>
            </w:r>
            <w:r w:rsidR="00175487" w:rsidRPr="00B275E2">
              <w:t>58,452</w:t>
            </w:r>
            <w:r w:rsidRPr="00B275E2">
              <w:t xml:space="preserve"> kg CO</w:t>
            </w:r>
            <w:r w:rsidRPr="00B275E2">
              <w:rPr>
                <w:vertAlign w:val="subscript"/>
              </w:rPr>
              <w:t>2</w:t>
            </w:r>
            <w:r w:rsidRPr="00B275E2">
              <w:t xml:space="preserve">-e </w:t>
            </w:r>
          </w:p>
          <w:p w14:paraId="79F187D3" w14:textId="1BB446FF" w:rsidR="00E5562F" w:rsidRPr="00B275E2" w:rsidRDefault="00E5562F" w:rsidP="00040137">
            <w:pPr>
              <w:pStyle w:val="Boxtext"/>
              <w:tabs>
                <w:tab w:val="left" w:pos="2724"/>
                <w:tab w:val="left" w:pos="5418"/>
              </w:tabs>
              <w:spacing w:before="20" w:after="20"/>
              <w:ind w:left="850"/>
            </w:pPr>
            <w:r w:rsidRPr="00B275E2">
              <w:t>N</w:t>
            </w:r>
            <w:r w:rsidRPr="00B275E2">
              <w:rPr>
                <w:vertAlign w:val="subscript"/>
              </w:rPr>
              <w:t>2</w:t>
            </w:r>
            <w:r w:rsidRPr="00B275E2">
              <w:t xml:space="preserve">O emissions </w:t>
            </w:r>
            <w:r w:rsidRPr="00B275E2">
              <w:tab/>
              <w:t>= (</w:t>
            </w:r>
            <w:r w:rsidR="00D462C7" w:rsidRPr="00B275E2">
              <w:t>2400</w:t>
            </w:r>
            <w:r w:rsidRPr="00B275E2">
              <w:t xml:space="preserve"> × 0) + (</w:t>
            </w:r>
            <w:r w:rsidR="00D462C7" w:rsidRPr="00B275E2">
              <w:t>210</w:t>
            </w:r>
            <w:r w:rsidRPr="00B275E2">
              <w:t xml:space="preserve"> × </w:t>
            </w:r>
            <w:r w:rsidR="004A6B41" w:rsidRPr="00B275E2">
              <w:t>14.</w:t>
            </w:r>
            <w:r w:rsidR="00AC2079" w:rsidRPr="00B275E2">
              <w:t>4</w:t>
            </w:r>
            <w:r w:rsidR="00CE3241" w:rsidRPr="00B275E2">
              <w:t>)</w:t>
            </w:r>
            <w:r w:rsidR="00CE3241" w:rsidRPr="00B275E2">
              <w:tab/>
            </w:r>
            <w:r w:rsidR="006755D0" w:rsidRPr="00B275E2">
              <w:t>=</w:t>
            </w:r>
            <w:r w:rsidR="00724C42" w:rsidRPr="00B275E2">
              <w:t xml:space="preserve"> </w:t>
            </w:r>
            <w:r w:rsidR="00175487" w:rsidRPr="00B275E2">
              <w:t>3,204</w:t>
            </w:r>
            <w:r w:rsidRPr="00B275E2">
              <w:t xml:space="preserve"> kg CO</w:t>
            </w:r>
            <w:r w:rsidRPr="00B275E2">
              <w:rPr>
                <w:vertAlign w:val="subscript"/>
              </w:rPr>
              <w:t>2</w:t>
            </w:r>
            <w:r w:rsidRPr="00B275E2">
              <w:t>-e</w:t>
            </w:r>
          </w:p>
          <w:p w14:paraId="41F4A4AF" w14:textId="428CE11E" w:rsidR="00E5562F" w:rsidRPr="00B275E2" w:rsidRDefault="00E5562F" w:rsidP="00040137">
            <w:pPr>
              <w:pStyle w:val="Boxtext"/>
              <w:tabs>
                <w:tab w:val="left" w:pos="2724"/>
                <w:tab w:val="left" w:pos="5418"/>
              </w:tabs>
              <w:spacing w:before="20" w:after="20"/>
              <w:ind w:left="850"/>
            </w:pPr>
            <w:r w:rsidRPr="00B275E2">
              <w:t>Total CO</w:t>
            </w:r>
            <w:r w:rsidRPr="00B275E2">
              <w:rPr>
                <w:vertAlign w:val="subscript"/>
              </w:rPr>
              <w:t>2</w:t>
            </w:r>
            <w:r w:rsidRPr="00B275E2">
              <w:t xml:space="preserve">-e emissions </w:t>
            </w:r>
            <w:r w:rsidRPr="00B275E2">
              <w:tab/>
              <w:t xml:space="preserve">= </w:t>
            </w:r>
            <w:r w:rsidR="00175487" w:rsidRPr="00B275E2">
              <w:t>61,476</w:t>
            </w:r>
            <w:r w:rsidR="00A76702" w:rsidRPr="00B275E2">
              <w:t xml:space="preserve"> </w:t>
            </w:r>
            <w:r w:rsidRPr="00B275E2">
              <w:t>kg CO</w:t>
            </w:r>
            <w:r w:rsidRPr="00B275E2">
              <w:rPr>
                <w:vertAlign w:val="subscript"/>
              </w:rPr>
              <w:t>2</w:t>
            </w:r>
            <w:r w:rsidRPr="00B275E2">
              <w:t>-e</w:t>
            </w:r>
          </w:p>
          <w:p w14:paraId="615EB14D" w14:textId="76BADC7E" w:rsidR="00E5562F" w:rsidRPr="00B275E2" w:rsidRDefault="00E5562F" w:rsidP="00925C1D">
            <w:pPr>
              <w:pStyle w:val="Boxtext"/>
              <w:spacing w:before="80" w:after="180"/>
            </w:pPr>
            <w:r w:rsidRPr="00B275E2">
              <w:rPr>
                <w:sz w:val="18"/>
              </w:rPr>
              <w:t>Note</w:t>
            </w:r>
            <w:r w:rsidR="002B3933" w:rsidRPr="00B275E2">
              <w:rPr>
                <w:sz w:val="18"/>
              </w:rPr>
              <w:t>: N</w:t>
            </w:r>
            <w:r w:rsidRPr="00B275E2">
              <w:rPr>
                <w:sz w:val="18"/>
              </w:rPr>
              <w:t>umbers may not add due to rounding</w:t>
            </w:r>
            <w:r w:rsidR="00A0044D" w:rsidRPr="00B275E2">
              <w:rPr>
                <w:sz w:val="18"/>
              </w:rPr>
              <w:t>.</w:t>
            </w:r>
          </w:p>
        </w:tc>
      </w:tr>
    </w:tbl>
    <w:p w14:paraId="743A8172" w14:textId="13930CA1" w:rsidR="003A7B65" w:rsidRPr="00B275E2" w:rsidRDefault="003A7B65" w:rsidP="002234D0">
      <w:pPr>
        <w:pStyle w:val="Heading3"/>
      </w:pPr>
      <w:r w:rsidRPr="00B275E2">
        <w:t>Emission factor derivation methodology</w:t>
      </w:r>
    </w:p>
    <w:p w14:paraId="678F61A0" w14:textId="60DB4EEE" w:rsidR="00244AFC" w:rsidRPr="00B275E2" w:rsidRDefault="003C70D4" w:rsidP="00FF666F">
      <w:pPr>
        <w:pStyle w:val="BodyText"/>
        <w:spacing w:before="100" w:after="100"/>
      </w:pPr>
      <w:r w:rsidRPr="00B275E2">
        <w:t>We calculated t</w:t>
      </w:r>
      <w:r w:rsidR="003A7B65" w:rsidRPr="00B275E2">
        <w:t xml:space="preserve">he emission factors from figures in the Agricultural Inventory Model, used in </w:t>
      </w:r>
      <w:hyperlink r:id="rId126" w:history="1">
        <w:r w:rsidR="000C33DB" w:rsidRPr="00B275E2">
          <w:rPr>
            <w:rStyle w:val="Hyperlink"/>
            <w:i/>
            <w:iCs/>
          </w:rPr>
          <w:t>New Zealand’s Greenhouse Gas Inventory 1990</w:t>
        </w:r>
        <w:r w:rsidR="00040137" w:rsidRPr="00B275E2">
          <w:rPr>
            <w:rStyle w:val="Hyperlink"/>
            <w:i/>
            <w:iCs/>
          </w:rPr>
          <w:t>–</w:t>
        </w:r>
        <w:r w:rsidR="000C33DB" w:rsidRPr="00B275E2">
          <w:rPr>
            <w:rStyle w:val="Hyperlink"/>
            <w:i/>
            <w:iCs/>
          </w:rPr>
          <w:t>2020</w:t>
        </w:r>
      </w:hyperlink>
      <w:r w:rsidR="000C33DB" w:rsidRPr="00B275E2">
        <w:t>.</w:t>
      </w:r>
      <w:r w:rsidR="00040137" w:rsidRPr="00B275E2">
        <w:t xml:space="preserve"> </w:t>
      </w:r>
      <w:r w:rsidR="00A0773E" w:rsidRPr="00B275E2">
        <w:t>MPI provided th</w:t>
      </w:r>
      <w:r w:rsidR="003674CE" w:rsidRPr="00B275E2">
        <w:t>e</w:t>
      </w:r>
      <w:r w:rsidR="00A0773E" w:rsidRPr="00B275E2">
        <w:t>s</w:t>
      </w:r>
      <w:r w:rsidR="003674CE" w:rsidRPr="00B275E2">
        <w:t>e</w:t>
      </w:r>
      <w:r w:rsidR="00A0773E" w:rsidRPr="00B275E2">
        <w:t xml:space="preserve"> data, </w:t>
      </w:r>
      <w:r w:rsidR="002B3933" w:rsidRPr="00B275E2">
        <w:t>see</w:t>
      </w:r>
      <w:r w:rsidR="005A1D3F" w:rsidRPr="00B275E2">
        <w:t xml:space="preserve"> table </w:t>
      </w:r>
      <w:r w:rsidR="007D7DBC" w:rsidRPr="00B275E2">
        <w:t>9</w:t>
      </w:r>
      <w:r w:rsidR="00EE24CD">
        <w:t>4</w:t>
      </w:r>
      <w:r w:rsidR="00855443" w:rsidRPr="00B275E2">
        <w:t>.</w:t>
      </w:r>
    </w:p>
    <w:p w14:paraId="2B1FD1FC" w14:textId="1E47BA87" w:rsidR="003A7B65" w:rsidRPr="00B275E2" w:rsidRDefault="005B0BFB" w:rsidP="005A1D3F">
      <w:pPr>
        <w:pStyle w:val="Tableheading"/>
      </w:pPr>
      <w:bookmarkStart w:id="640" w:name="_Toc111536699"/>
      <w:r w:rsidRPr="00B275E2">
        <w:t xml:space="preserve">Table </w:t>
      </w:r>
      <w:r w:rsidRPr="00B275E2">
        <w:fldChar w:fldCharType="begin"/>
      </w:r>
      <w:r w:rsidRPr="00B275E2">
        <w:instrText>SEQ Table \* ARABIC</w:instrText>
      </w:r>
      <w:r w:rsidRPr="00B275E2">
        <w:fldChar w:fldCharType="separate"/>
      </w:r>
      <w:r>
        <w:rPr>
          <w:noProof/>
        </w:rPr>
        <w:t>94</w:t>
      </w:r>
      <w:r w:rsidRPr="00B275E2">
        <w:fldChar w:fldCharType="end"/>
      </w:r>
      <w:r w:rsidRPr="00B275E2">
        <w:t>:</w:t>
      </w:r>
      <w:r w:rsidRPr="00B275E2">
        <w:tab/>
      </w:r>
      <w:r w:rsidR="00A0773E" w:rsidRPr="00B275E2">
        <w:t>Manure management source data</w:t>
      </w:r>
      <w:bookmarkEnd w:id="640"/>
      <w:r w:rsidR="00A0773E" w:rsidRPr="00B275E2">
        <w:t xml:space="preserve"> </w:t>
      </w:r>
    </w:p>
    <w:tbl>
      <w:tblPr>
        <w:tblStyle w:val="LightList-Accent11"/>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ook w:val="04A0" w:firstRow="1" w:lastRow="0" w:firstColumn="1" w:lastColumn="0" w:noHBand="0" w:noVBand="1"/>
      </w:tblPr>
      <w:tblGrid>
        <w:gridCol w:w="2080"/>
        <w:gridCol w:w="1512"/>
        <w:gridCol w:w="2456"/>
        <w:gridCol w:w="2457"/>
      </w:tblGrid>
      <w:tr w:rsidR="003A7B65" w:rsidRPr="00B275E2" w14:paraId="21A6D8FC" w14:textId="77777777" w:rsidTr="000401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0" w:type="dxa"/>
            <w:shd w:val="clear" w:color="auto" w:fill="1B556B" w:themeFill="text2"/>
            <w:vAlign w:val="bottom"/>
          </w:tcPr>
          <w:p w14:paraId="7EC7818A" w14:textId="77777777" w:rsidR="003A7B65" w:rsidRPr="00B275E2" w:rsidRDefault="003A7B65" w:rsidP="00FF666F">
            <w:pPr>
              <w:pStyle w:val="TableText"/>
              <w:spacing w:before="40" w:after="40"/>
              <w:rPr>
                <w:rFonts w:cs="Calibri"/>
                <w:szCs w:val="18"/>
              </w:rPr>
            </w:pPr>
            <w:r w:rsidRPr="00B275E2">
              <w:rPr>
                <w:rFonts w:cs="Calibri"/>
                <w:szCs w:val="18"/>
              </w:rPr>
              <w:t xml:space="preserve">Animal </w:t>
            </w:r>
          </w:p>
        </w:tc>
        <w:tc>
          <w:tcPr>
            <w:tcW w:w="1512" w:type="dxa"/>
            <w:shd w:val="clear" w:color="auto" w:fill="1B556B" w:themeFill="text2"/>
            <w:vAlign w:val="bottom"/>
          </w:tcPr>
          <w:p w14:paraId="46C198E6" w14:textId="77777777" w:rsidR="003A7B65" w:rsidRPr="00B275E2" w:rsidRDefault="003A7B65" w:rsidP="00FF666F">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275E2">
              <w:rPr>
                <w:rFonts w:cs="Calibri"/>
                <w:szCs w:val="18"/>
              </w:rPr>
              <w:t>Population</w:t>
            </w:r>
          </w:p>
        </w:tc>
        <w:tc>
          <w:tcPr>
            <w:tcW w:w="2456" w:type="dxa"/>
            <w:shd w:val="clear" w:color="auto" w:fill="1B556B" w:themeFill="text2"/>
            <w:vAlign w:val="bottom"/>
          </w:tcPr>
          <w:p w14:paraId="0C137C82" w14:textId="77777777" w:rsidR="003A7B65" w:rsidRPr="00B275E2" w:rsidRDefault="003A7B65" w:rsidP="00FF666F">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275E2">
              <w:rPr>
                <w:rFonts w:cs="Calibri"/>
                <w:szCs w:val="18"/>
              </w:rPr>
              <w:t>Methane from manure management (kt CH</w:t>
            </w:r>
            <w:r w:rsidRPr="00B275E2">
              <w:rPr>
                <w:rFonts w:cs="Calibri"/>
                <w:szCs w:val="18"/>
                <w:vertAlign w:val="subscript"/>
              </w:rPr>
              <w:t>4</w:t>
            </w:r>
            <w:r w:rsidRPr="00B275E2">
              <w:rPr>
                <w:rFonts w:cs="Calibri"/>
                <w:szCs w:val="18"/>
              </w:rPr>
              <w:t>)</w:t>
            </w:r>
          </w:p>
        </w:tc>
        <w:tc>
          <w:tcPr>
            <w:tcW w:w="2457" w:type="dxa"/>
            <w:shd w:val="clear" w:color="auto" w:fill="1B556B" w:themeFill="text2"/>
            <w:vAlign w:val="bottom"/>
          </w:tcPr>
          <w:p w14:paraId="629C4F9B" w14:textId="77777777" w:rsidR="003A7B65" w:rsidRPr="00B275E2" w:rsidRDefault="003A7B65" w:rsidP="00FF666F">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275E2">
              <w:rPr>
                <w:rFonts w:cs="Calibri"/>
                <w:szCs w:val="18"/>
              </w:rPr>
              <w:t>Nitrous oxide from manure management (kt N</w:t>
            </w:r>
            <w:r w:rsidRPr="00B275E2">
              <w:rPr>
                <w:rFonts w:cs="Calibri"/>
                <w:szCs w:val="18"/>
                <w:vertAlign w:val="subscript"/>
              </w:rPr>
              <w:t>2</w:t>
            </w:r>
            <w:r w:rsidRPr="00B275E2">
              <w:rPr>
                <w:rFonts w:cs="Calibri"/>
                <w:szCs w:val="18"/>
              </w:rPr>
              <w:t>O)</w:t>
            </w:r>
          </w:p>
        </w:tc>
      </w:tr>
      <w:tr w:rsidR="003150DF" w:rsidRPr="00B275E2" w14:paraId="4FE86EEB" w14:textId="77777777" w:rsidTr="00E46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0" w:type="dxa"/>
            <w:tcBorders>
              <w:left w:val="single" w:sz="4" w:space="0" w:color="FFFFFF" w:themeColor="background1"/>
            </w:tcBorders>
          </w:tcPr>
          <w:p w14:paraId="18DEEFB3" w14:textId="77777777" w:rsidR="00371F47" w:rsidRPr="00B275E2" w:rsidRDefault="00371F47" w:rsidP="00FF666F">
            <w:pPr>
              <w:pStyle w:val="TableText"/>
              <w:spacing w:before="40" w:after="40"/>
              <w:rPr>
                <w:rFonts w:cs="Calibri"/>
                <w:b w:val="0"/>
                <w:szCs w:val="18"/>
              </w:rPr>
            </w:pPr>
            <w:r w:rsidRPr="00B275E2">
              <w:rPr>
                <w:rFonts w:cs="Calibri"/>
                <w:b w:val="0"/>
                <w:szCs w:val="18"/>
              </w:rPr>
              <w:t>Dairy cattle</w:t>
            </w:r>
          </w:p>
        </w:tc>
        <w:tc>
          <w:tcPr>
            <w:tcW w:w="1512" w:type="dxa"/>
            <w:shd w:val="clear" w:color="auto" w:fill="auto"/>
            <w:vAlign w:val="bottom"/>
          </w:tcPr>
          <w:p w14:paraId="3B9E69B0" w14:textId="39FF3C7F" w:rsidR="00371F47" w:rsidRPr="00B275E2" w:rsidRDefault="00A1785F" w:rsidP="00FF666F">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6,</w:t>
            </w:r>
            <w:r w:rsidR="009F2948" w:rsidRPr="00B275E2">
              <w:rPr>
                <w:rFonts w:cs="Calibri"/>
                <w:szCs w:val="18"/>
              </w:rPr>
              <w:t>200,221</w:t>
            </w:r>
          </w:p>
        </w:tc>
        <w:tc>
          <w:tcPr>
            <w:tcW w:w="2456" w:type="dxa"/>
            <w:shd w:val="clear" w:color="auto" w:fill="auto"/>
            <w:vAlign w:val="bottom"/>
          </w:tcPr>
          <w:p w14:paraId="47495F9A" w14:textId="0FC0B732" w:rsidR="00371F47" w:rsidRPr="00B275E2" w:rsidRDefault="009F2948" w:rsidP="00FF666F">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55.5</w:t>
            </w:r>
          </w:p>
        </w:tc>
        <w:tc>
          <w:tcPr>
            <w:tcW w:w="2457" w:type="dxa"/>
            <w:tcBorders>
              <w:right w:val="single" w:sz="4" w:space="0" w:color="FFFFFF" w:themeColor="background1"/>
            </w:tcBorders>
          </w:tcPr>
          <w:p w14:paraId="64E5688A" w14:textId="6F40B195" w:rsidR="00371F47" w:rsidRPr="00B275E2" w:rsidRDefault="00371F47" w:rsidP="00FF666F">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0.3</w:t>
            </w:r>
            <w:r w:rsidR="00C8318B" w:rsidRPr="00B275E2">
              <w:rPr>
                <w:rFonts w:cs="Calibri"/>
                <w:szCs w:val="18"/>
              </w:rPr>
              <w:t>0</w:t>
            </w:r>
          </w:p>
        </w:tc>
      </w:tr>
      <w:tr w:rsidR="003150DF" w:rsidRPr="00B275E2" w14:paraId="5360CAE2" w14:textId="77777777" w:rsidTr="00E462C5">
        <w:tc>
          <w:tcPr>
            <w:cnfStyle w:val="001000000000" w:firstRow="0" w:lastRow="0" w:firstColumn="1" w:lastColumn="0" w:oddVBand="0" w:evenVBand="0" w:oddHBand="0" w:evenHBand="0" w:firstRowFirstColumn="0" w:firstRowLastColumn="0" w:lastRowFirstColumn="0" w:lastRowLastColumn="0"/>
            <w:tcW w:w="2080" w:type="dxa"/>
            <w:tcBorders>
              <w:left w:val="single" w:sz="4" w:space="0" w:color="FFFFFF" w:themeColor="background1"/>
            </w:tcBorders>
          </w:tcPr>
          <w:p w14:paraId="22F3FFB8" w14:textId="77777777" w:rsidR="00371F47" w:rsidRPr="00B275E2" w:rsidRDefault="00371F47" w:rsidP="00FF666F">
            <w:pPr>
              <w:pStyle w:val="TableText"/>
              <w:spacing w:before="40" w:after="40"/>
              <w:rPr>
                <w:rFonts w:cs="Calibri"/>
                <w:b w:val="0"/>
                <w:szCs w:val="18"/>
              </w:rPr>
            </w:pPr>
            <w:r w:rsidRPr="00B275E2">
              <w:rPr>
                <w:rFonts w:cs="Calibri"/>
                <w:b w:val="0"/>
                <w:szCs w:val="18"/>
              </w:rPr>
              <w:t>Non-dairy cattle</w:t>
            </w:r>
          </w:p>
        </w:tc>
        <w:tc>
          <w:tcPr>
            <w:tcW w:w="1512" w:type="dxa"/>
            <w:shd w:val="clear" w:color="auto" w:fill="auto"/>
            <w:vAlign w:val="bottom"/>
          </w:tcPr>
          <w:p w14:paraId="05A6013A" w14:textId="1FE998B7" w:rsidR="00371F47" w:rsidRPr="00B275E2" w:rsidRDefault="009F2948" w:rsidP="00FF666F">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3,882,568</w:t>
            </w:r>
          </w:p>
        </w:tc>
        <w:tc>
          <w:tcPr>
            <w:tcW w:w="2456" w:type="dxa"/>
            <w:shd w:val="clear" w:color="auto" w:fill="auto"/>
            <w:vAlign w:val="bottom"/>
          </w:tcPr>
          <w:p w14:paraId="4C89B735" w14:textId="5F947A6C" w:rsidR="00371F47" w:rsidRPr="00B275E2" w:rsidRDefault="009F2948" w:rsidP="00FF666F">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3.32</w:t>
            </w:r>
          </w:p>
        </w:tc>
        <w:tc>
          <w:tcPr>
            <w:tcW w:w="2457" w:type="dxa"/>
            <w:tcBorders>
              <w:right w:val="single" w:sz="4" w:space="0" w:color="FFFFFF" w:themeColor="background1"/>
            </w:tcBorders>
          </w:tcPr>
          <w:p w14:paraId="5A463B60" w14:textId="77777777" w:rsidR="00371F47" w:rsidRPr="00B275E2" w:rsidRDefault="00371F47" w:rsidP="00FF666F">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0.00</w:t>
            </w:r>
          </w:p>
        </w:tc>
      </w:tr>
      <w:tr w:rsidR="003150DF" w:rsidRPr="00B275E2" w14:paraId="5F840A93" w14:textId="77777777" w:rsidTr="00E46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0" w:type="dxa"/>
            <w:tcBorders>
              <w:left w:val="single" w:sz="4" w:space="0" w:color="FFFFFF" w:themeColor="background1"/>
            </w:tcBorders>
          </w:tcPr>
          <w:p w14:paraId="4354275A" w14:textId="77777777" w:rsidR="00371F47" w:rsidRPr="00B275E2" w:rsidRDefault="00371F47" w:rsidP="00FF666F">
            <w:pPr>
              <w:pStyle w:val="TableText"/>
              <w:spacing w:before="40" w:after="40"/>
              <w:rPr>
                <w:rFonts w:cs="Calibri"/>
                <w:b w:val="0"/>
                <w:szCs w:val="18"/>
              </w:rPr>
            </w:pPr>
            <w:r w:rsidRPr="00B275E2">
              <w:rPr>
                <w:rFonts w:cs="Calibri"/>
                <w:b w:val="0"/>
                <w:szCs w:val="18"/>
              </w:rPr>
              <w:t>Sheep</w:t>
            </w:r>
          </w:p>
        </w:tc>
        <w:tc>
          <w:tcPr>
            <w:tcW w:w="1512" w:type="dxa"/>
            <w:shd w:val="clear" w:color="auto" w:fill="auto"/>
            <w:vAlign w:val="bottom"/>
          </w:tcPr>
          <w:p w14:paraId="0E768D14" w14:textId="5E29682F" w:rsidR="00371F47" w:rsidRPr="00B275E2" w:rsidRDefault="00040399" w:rsidP="00FF666F">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26,028,935</w:t>
            </w:r>
          </w:p>
        </w:tc>
        <w:tc>
          <w:tcPr>
            <w:tcW w:w="2456" w:type="dxa"/>
            <w:shd w:val="clear" w:color="auto" w:fill="auto"/>
            <w:vAlign w:val="bottom"/>
          </w:tcPr>
          <w:p w14:paraId="750EE286" w14:textId="758EC2F0" w:rsidR="00371F47" w:rsidRPr="00B275E2" w:rsidRDefault="00040399" w:rsidP="00FF666F">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3.68</w:t>
            </w:r>
          </w:p>
        </w:tc>
        <w:tc>
          <w:tcPr>
            <w:tcW w:w="2457" w:type="dxa"/>
            <w:tcBorders>
              <w:right w:val="single" w:sz="4" w:space="0" w:color="FFFFFF" w:themeColor="background1"/>
            </w:tcBorders>
          </w:tcPr>
          <w:p w14:paraId="5715199A" w14:textId="77777777" w:rsidR="00371F47" w:rsidRPr="00B275E2" w:rsidRDefault="00371F47" w:rsidP="00FF666F">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0.00</w:t>
            </w:r>
          </w:p>
        </w:tc>
      </w:tr>
      <w:tr w:rsidR="003150DF" w:rsidRPr="00B275E2" w14:paraId="13C7535C" w14:textId="77777777" w:rsidTr="00E462C5">
        <w:tc>
          <w:tcPr>
            <w:cnfStyle w:val="001000000000" w:firstRow="0" w:lastRow="0" w:firstColumn="1" w:lastColumn="0" w:oddVBand="0" w:evenVBand="0" w:oddHBand="0" w:evenHBand="0" w:firstRowFirstColumn="0" w:firstRowLastColumn="0" w:lastRowFirstColumn="0" w:lastRowLastColumn="0"/>
            <w:tcW w:w="2080" w:type="dxa"/>
            <w:tcBorders>
              <w:left w:val="single" w:sz="4" w:space="0" w:color="FFFFFF" w:themeColor="background1"/>
            </w:tcBorders>
          </w:tcPr>
          <w:p w14:paraId="67969D3D" w14:textId="77777777" w:rsidR="00371F47" w:rsidRPr="00B275E2" w:rsidRDefault="00371F47" w:rsidP="00FF666F">
            <w:pPr>
              <w:pStyle w:val="TableText"/>
              <w:spacing w:before="40" w:after="40"/>
              <w:rPr>
                <w:rFonts w:cs="Calibri"/>
                <w:b w:val="0"/>
                <w:szCs w:val="18"/>
              </w:rPr>
            </w:pPr>
            <w:r w:rsidRPr="00B275E2">
              <w:rPr>
                <w:rFonts w:cs="Calibri"/>
                <w:b w:val="0"/>
                <w:szCs w:val="18"/>
              </w:rPr>
              <w:t>Deer</w:t>
            </w:r>
          </w:p>
        </w:tc>
        <w:tc>
          <w:tcPr>
            <w:tcW w:w="1512" w:type="dxa"/>
            <w:shd w:val="clear" w:color="auto" w:fill="auto"/>
            <w:vAlign w:val="bottom"/>
          </w:tcPr>
          <w:p w14:paraId="181B2652" w14:textId="00D978A9" w:rsidR="00371F47" w:rsidRPr="00B275E2" w:rsidRDefault="00040399" w:rsidP="00FF666F">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833,258</w:t>
            </w:r>
          </w:p>
        </w:tc>
        <w:tc>
          <w:tcPr>
            <w:tcW w:w="2456" w:type="dxa"/>
            <w:shd w:val="clear" w:color="auto" w:fill="auto"/>
            <w:vAlign w:val="bottom"/>
          </w:tcPr>
          <w:p w14:paraId="6499E69D" w14:textId="31F6AE75" w:rsidR="00371F47" w:rsidRPr="00B275E2" w:rsidRDefault="00371F47" w:rsidP="00FF666F">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0.2</w:t>
            </w:r>
            <w:r w:rsidR="00040399" w:rsidRPr="00B275E2">
              <w:rPr>
                <w:rFonts w:cs="Calibri"/>
                <w:szCs w:val="18"/>
              </w:rPr>
              <w:t>5</w:t>
            </w:r>
          </w:p>
        </w:tc>
        <w:tc>
          <w:tcPr>
            <w:tcW w:w="2457" w:type="dxa"/>
            <w:tcBorders>
              <w:right w:val="single" w:sz="4" w:space="0" w:color="FFFFFF" w:themeColor="background1"/>
            </w:tcBorders>
          </w:tcPr>
          <w:p w14:paraId="7F30F22B" w14:textId="77777777" w:rsidR="00371F47" w:rsidRPr="00B275E2" w:rsidRDefault="00371F47" w:rsidP="00FF666F">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0.00</w:t>
            </w:r>
          </w:p>
        </w:tc>
      </w:tr>
      <w:tr w:rsidR="001E0E7A" w:rsidRPr="00B275E2" w14:paraId="107D245D" w14:textId="77777777" w:rsidTr="00E46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0" w:type="dxa"/>
            <w:tcBorders>
              <w:left w:val="single" w:sz="4" w:space="0" w:color="FFFFFF" w:themeColor="background1"/>
            </w:tcBorders>
            <w:shd w:val="clear" w:color="auto" w:fill="auto"/>
            <w:vAlign w:val="bottom"/>
          </w:tcPr>
          <w:p w14:paraId="7D215B16" w14:textId="2C350615" w:rsidR="001E0E7A" w:rsidRPr="00B275E2" w:rsidRDefault="001E0E7A" w:rsidP="00FF666F">
            <w:pPr>
              <w:pStyle w:val="TableText"/>
              <w:spacing w:before="40" w:after="40"/>
              <w:rPr>
                <w:rFonts w:cs="Calibri"/>
                <w:b w:val="0"/>
                <w:szCs w:val="18"/>
              </w:rPr>
            </w:pPr>
            <w:r w:rsidRPr="00B275E2">
              <w:rPr>
                <w:rFonts w:cs="Calibri"/>
                <w:b w:val="0"/>
                <w:szCs w:val="18"/>
              </w:rPr>
              <w:t>Swine</w:t>
            </w:r>
          </w:p>
        </w:tc>
        <w:tc>
          <w:tcPr>
            <w:tcW w:w="1512" w:type="dxa"/>
            <w:shd w:val="clear" w:color="auto" w:fill="auto"/>
            <w:vAlign w:val="bottom"/>
          </w:tcPr>
          <w:p w14:paraId="03B05DBF" w14:textId="5F8F87C9" w:rsidR="001E0E7A" w:rsidRPr="00B275E2" w:rsidRDefault="00D815D2" w:rsidP="00FF666F">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234,533</w:t>
            </w:r>
          </w:p>
        </w:tc>
        <w:tc>
          <w:tcPr>
            <w:tcW w:w="2456" w:type="dxa"/>
            <w:shd w:val="clear" w:color="auto" w:fill="auto"/>
            <w:vAlign w:val="bottom"/>
          </w:tcPr>
          <w:p w14:paraId="20091A84" w14:textId="205901BA" w:rsidR="001E0E7A" w:rsidRPr="00B275E2" w:rsidRDefault="00D815D2" w:rsidP="00FF666F">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1.39</w:t>
            </w:r>
          </w:p>
        </w:tc>
        <w:tc>
          <w:tcPr>
            <w:tcW w:w="2457" w:type="dxa"/>
            <w:tcBorders>
              <w:right w:val="single" w:sz="4" w:space="0" w:color="FFFFFF" w:themeColor="background1"/>
            </w:tcBorders>
            <w:shd w:val="clear" w:color="auto" w:fill="FFFFFF" w:themeFill="background1"/>
            <w:vAlign w:val="bottom"/>
          </w:tcPr>
          <w:p w14:paraId="184B014A" w14:textId="11A3F452" w:rsidR="001E0E7A" w:rsidRPr="00B275E2" w:rsidRDefault="00C8318B" w:rsidP="00FF666F">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0.05</w:t>
            </w:r>
          </w:p>
        </w:tc>
      </w:tr>
      <w:tr w:rsidR="001E0E7A" w:rsidRPr="00B275E2" w14:paraId="22353996" w14:textId="77777777" w:rsidTr="00E462C5">
        <w:tc>
          <w:tcPr>
            <w:cnfStyle w:val="001000000000" w:firstRow="0" w:lastRow="0" w:firstColumn="1" w:lastColumn="0" w:oddVBand="0" w:evenVBand="0" w:oddHBand="0" w:evenHBand="0" w:firstRowFirstColumn="0" w:firstRowLastColumn="0" w:lastRowFirstColumn="0" w:lastRowLastColumn="0"/>
            <w:tcW w:w="2080" w:type="dxa"/>
            <w:tcBorders>
              <w:left w:val="single" w:sz="4" w:space="0" w:color="FFFFFF" w:themeColor="background1"/>
            </w:tcBorders>
            <w:shd w:val="clear" w:color="auto" w:fill="auto"/>
            <w:vAlign w:val="bottom"/>
          </w:tcPr>
          <w:p w14:paraId="56AE80EB" w14:textId="0937145F" w:rsidR="001E0E7A" w:rsidRPr="00B275E2" w:rsidRDefault="001E0E7A" w:rsidP="00FF666F">
            <w:pPr>
              <w:pStyle w:val="TableText"/>
              <w:spacing w:before="40" w:after="40"/>
              <w:rPr>
                <w:rFonts w:cs="Calibri"/>
                <w:b w:val="0"/>
                <w:szCs w:val="18"/>
              </w:rPr>
            </w:pPr>
            <w:r w:rsidRPr="00B275E2">
              <w:rPr>
                <w:rFonts w:cs="Calibri"/>
                <w:b w:val="0"/>
                <w:szCs w:val="18"/>
              </w:rPr>
              <w:t>Goats</w:t>
            </w:r>
          </w:p>
        </w:tc>
        <w:tc>
          <w:tcPr>
            <w:tcW w:w="1512" w:type="dxa"/>
            <w:shd w:val="clear" w:color="auto" w:fill="auto"/>
            <w:vAlign w:val="bottom"/>
          </w:tcPr>
          <w:p w14:paraId="7F949A0C" w14:textId="59E0A6A9" w:rsidR="001E0E7A" w:rsidRPr="00B275E2" w:rsidRDefault="00D815D2" w:rsidP="00FF666F">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96,</w:t>
            </w:r>
            <w:r w:rsidR="008066DB" w:rsidRPr="00B275E2">
              <w:rPr>
                <w:rFonts w:cs="Calibri"/>
                <w:szCs w:val="18"/>
              </w:rPr>
              <w:t>416</w:t>
            </w:r>
          </w:p>
        </w:tc>
        <w:tc>
          <w:tcPr>
            <w:tcW w:w="2456" w:type="dxa"/>
            <w:shd w:val="clear" w:color="auto" w:fill="auto"/>
            <w:vAlign w:val="bottom"/>
          </w:tcPr>
          <w:p w14:paraId="02E6C708" w14:textId="1A667611" w:rsidR="001E0E7A" w:rsidRPr="00B275E2" w:rsidRDefault="008066DB" w:rsidP="00FF666F">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0.02</w:t>
            </w:r>
          </w:p>
        </w:tc>
        <w:tc>
          <w:tcPr>
            <w:tcW w:w="2457" w:type="dxa"/>
            <w:tcBorders>
              <w:right w:val="single" w:sz="4" w:space="0" w:color="FFFFFF" w:themeColor="background1"/>
            </w:tcBorders>
            <w:shd w:val="clear" w:color="auto" w:fill="FFFFFF" w:themeFill="background1"/>
            <w:vAlign w:val="bottom"/>
          </w:tcPr>
          <w:p w14:paraId="6A6E3D5E" w14:textId="055E7242" w:rsidR="001E0E7A" w:rsidRPr="00B275E2" w:rsidRDefault="001E0E7A" w:rsidP="00FF666F">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w:t>
            </w:r>
          </w:p>
        </w:tc>
      </w:tr>
      <w:tr w:rsidR="001E0E7A" w:rsidRPr="00B275E2" w14:paraId="14E92446" w14:textId="77777777" w:rsidTr="00E46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0" w:type="dxa"/>
            <w:tcBorders>
              <w:left w:val="single" w:sz="4" w:space="0" w:color="FFFFFF" w:themeColor="background1"/>
            </w:tcBorders>
            <w:shd w:val="clear" w:color="auto" w:fill="auto"/>
            <w:vAlign w:val="bottom"/>
          </w:tcPr>
          <w:p w14:paraId="3B550A49" w14:textId="21153198" w:rsidR="001E0E7A" w:rsidRPr="00B275E2" w:rsidRDefault="001E0E7A" w:rsidP="00FF666F">
            <w:pPr>
              <w:pStyle w:val="TableText"/>
              <w:spacing w:before="40" w:after="40"/>
              <w:rPr>
                <w:rFonts w:cs="Calibri"/>
                <w:b w:val="0"/>
                <w:szCs w:val="18"/>
              </w:rPr>
            </w:pPr>
            <w:r w:rsidRPr="00B275E2">
              <w:rPr>
                <w:rFonts w:cs="Calibri"/>
                <w:b w:val="0"/>
                <w:szCs w:val="18"/>
              </w:rPr>
              <w:t>Horses</w:t>
            </w:r>
          </w:p>
        </w:tc>
        <w:tc>
          <w:tcPr>
            <w:tcW w:w="1512" w:type="dxa"/>
            <w:shd w:val="clear" w:color="auto" w:fill="auto"/>
            <w:vAlign w:val="bottom"/>
          </w:tcPr>
          <w:p w14:paraId="487858BA" w14:textId="67CC2764" w:rsidR="001E0E7A" w:rsidRPr="00B275E2" w:rsidRDefault="008066DB" w:rsidP="00FF666F">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38,6</w:t>
            </w:r>
            <w:r w:rsidR="00C74EAA" w:rsidRPr="00B275E2">
              <w:rPr>
                <w:rFonts w:cs="Calibri"/>
                <w:szCs w:val="18"/>
              </w:rPr>
              <w:t>47</w:t>
            </w:r>
          </w:p>
        </w:tc>
        <w:tc>
          <w:tcPr>
            <w:tcW w:w="2456" w:type="dxa"/>
            <w:shd w:val="clear" w:color="auto" w:fill="auto"/>
            <w:vAlign w:val="bottom"/>
          </w:tcPr>
          <w:p w14:paraId="4BF0B8FA" w14:textId="1E101088" w:rsidR="001E0E7A" w:rsidRPr="00B275E2" w:rsidRDefault="00C74EAA" w:rsidP="00FF666F">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0.09</w:t>
            </w:r>
          </w:p>
        </w:tc>
        <w:tc>
          <w:tcPr>
            <w:tcW w:w="2457" w:type="dxa"/>
            <w:tcBorders>
              <w:right w:val="single" w:sz="4" w:space="0" w:color="FFFFFF" w:themeColor="background1"/>
            </w:tcBorders>
            <w:shd w:val="clear" w:color="auto" w:fill="FFFFFF" w:themeFill="background1"/>
            <w:vAlign w:val="bottom"/>
          </w:tcPr>
          <w:p w14:paraId="6CF52DC1" w14:textId="13520B6C" w:rsidR="001E0E7A" w:rsidRPr="00B275E2" w:rsidRDefault="001E0E7A" w:rsidP="00FF666F">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w:t>
            </w:r>
          </w:p>
        </w:tc>
      </w:tr>
      <w:tr w:rsidR="001E0E7A" w:rsidRPr="00B275E2" w14:paraId="0B5F09FE" w14:textId="77777777" w:rsidTr="00E462C5">
        <w:tc>
          <w:tcPr>
            <w:cnfStyle w:val="001000000000" w:firstRow="0" w:lastRow="0" w:firstColumn="1" w:lastColumn="0" w:oddVBand="0" w:evenVBand="0" w:oddHBand="0" w:evenHBand="0" w:firstRowFirstColumn="0" w:firstRowLastColumn="0" w:lastRowFirstColumn="0" w:lastRowLastColumn="0"/>
            <w:tcW w:w="2080" w:type="dxa"/>
            <w:tcBorders>
              <w:left w:val="single" w:sz="4" w:space="0" w:color="FFFFFF" w:themeColor="background1"/>
            </w:tcBorders>
            <w:shd w:val="clear" w:color="auto" w:fill="auto"/>
            <w:vAlign w:val="bottom"/>
          </w:tcPr>
          <w:p w14:paraId="4F215F48" w14:textId="18C61987" w:rsidR="001E0E7A" w:rsidRPr="00B275E2" w:rsidRDefault="001E0E7A" w:rsidP="00FF666F">
            <w:pPr>
              <w:pStyle w:val="TableText"/>
              <w:spacing w:before="40" w:after="40"/>
              <w:rPr>
                <w:rFonts w:cs="Calibri"/>
                <w:b w:val="0"/>
                <w:szCs w:val="18"/>
              </w:rPr>
            </w:pPr>
            <w:r w:rsidRPr="00B275E2">
              <w:rPr>
                <w:rFonts w:cs="Calibri"/>
                <w:b w:val="0"/>
                <w:szCs w:val="18"/>
              </w:rPr>
              <w:t>Alpaca</w:t>
            </w:r>
            <w:r w:rsidR="00C74EAA" w:rsidRPr="00B275E2">
              <w:rPr>
                <w:rFonts w:cs="Calibri"/>
                <w:b w:val="0"/>
                <w:szCs w:val="18"/>
              </w:rPr>
              <w:t xml:space="preserve"> and </w:t>
            </w:r>
            <w:r w:rsidR="00005B08" w:rsidRPr="00B275E2">
              <w:rPr>
                <w:rFonts w:cs="Calibri"/>
                <w:b w:val="0"/>
                <w:szCs w:val="18"/>
              </w:rPr>
              <w:t>l</w:t>
            </w:r>
            <w:r w:rsidR="00C74EAA" w:rsidRPr="00B275E2">
              <w:rPr>
                <w:rFonts w:cs="Calibri"/>
                <w:b w:val="0"/>
                <w:szCs w:val="18"/>
              </w:rPr>
              <w:t>lama</w:t>
            </w:r>
          </w:p>
        </w:tc>
        <w:tc>
          <w:tcPr>
            <w:tcW w:w="1512" w:type="dxa"/>
            <w:shd w:val="clear" w:color="auto" w:fill="auto"/>
            <w:vAlign w:val="bottom"/>
          </w:tcPr>
          <w:p w14:paraId="4E511C6E" w14:textId="6956E5C7" w:rsidR="001E0E7A" w:rsidRPr="00B275E2" w:rsidRDefault="00C74EAA" w:rsidP="00FF666F">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9,366</w:t>
            </w:r>
          </w:p>
        </w:tc>
        <w:tc>
          <w:tcPr>
            <w:tcW w:w="2456" w:type="dxa"/>
            <w:shd w:val="clear" w:color="auto" w:fill="auto"/>
            <w:vAlign w:val="bottom"/>
          </w:tcPr>
          <w:p w14:paraId="18BC888C" w14:textId="0BF41303" w:rsidR="001E0E7A" w:rsidRPr="00B275E2" w:rsidRDefault="001E0E7A" w:rsidP="00FF666F">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w:t>
            </w:r>
            <w:r w:rsidR="00C74EAA" w:rsidRPr="00B275E2">
              <w:rPr>
                <w:rFonts w:cs="Calibri"/>
                <w:szCs w:val="18"/>
              </w:rPr>
              <w:t>01</w:t>
            </w:r>
          </w:p>
        </w:tc>
        <w:tc>
          <w:tcPr>
            <w:tcW w:w="2457" w:type="dxa"/>
            <w:tcBorders>
              <w:right w:val="single" w:sz="4" w:space="0" w:color="FFFFFF" w:themeColor="background1"/>
            </w:tcBorders>
            <w:shd w:val="clear" w:color="auto" w:fill="FFFFFF" w:themeFill="background1"/>
            <w:vAlign w:val="bottom"/>
          </w:tcPr>
          <w:p w14:paraId="13CF1B82" w14:textId="4D8CDF9D" w:rsidR="001E0E7A" w:rsidRPr="00B275E2" w:rsidRDefault="001E0E7A" w:rsidP="00FF666F">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w:t>
            </w:r>
          </w:p>
        </w:tc>
      </w:tr>
      <w:tr w:rsidR="001E0E7A" w:rsidRPr="00B275E2" w14:paraId="2094EEC9" w14:textId="77777777" w:rsidTr="00E46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0" w:type="dxa"/>
            <w:tcBorders>
              <w:left w:val="single" w:sz="4" w:space="0" w:color="FFFFFF" w:themeColor="background1"/>
            </w:tcBorders>
            <w:shd w:val="clear" w:color="auto" w:fill="auto"/>
            <w:vAlign w:val="bottom"/>
          </w:tcPr>
          <w:p w14:paraId="6AE1A985" w14:textId="68D1EB04" w:rsidR="001E0E7A" w:rsidRPr="00B275E2" w:rsidRDefault="001E0E7A" w:rsidP="00FF666F">
            <w:pPr>
              <w:pStyle w:val="TableText"/>
              <w:spacing w:before="40" w:after="40"/>
              <w:rPr>
                <w:rFonts w:cs="Calibri"/>
                <w:b w:val="0"/>
                <w:szCs w:val="18"/>
              </w:rPr>
            </w:pPr>
            <w:r w:rsidRPr="00B275E2">
              <w:rPr>
                <w:rFonts w:cs="Calibri"/>
                <w:b w:val="0"/>
                <w:szCs w:val="18"/>
              </w:rPr>
              <w:t>Mules and asses</w:t>
            </w:r>
          </w:p>
        </w:tc>
        <w:tc>
          <w:tcPr>
            <w:tcW w:w="1512" w:type="dxa"/>
            <w:shd w:val="clear" w:color="auto" w:fill="auto"/>
            <w:vAlign w:val="bottom"/>
          </w:tcPr>
          <w:p w14:paraId="6E313984" w14:textId="263D152C" w:rsidR="001E0E7A" w:rsidRPr="00B275E2" w:rsidRDefault="001E0E7A" w:rsidP="00FF666F">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141</w:t>
            </w:r>
          </w:p>
        </w:tc>
        <w:tc>
          <w:tcPr>
            <w:tcW w:w="2456" w:type="dxa"/>
            <w:shd w:val="clear" w:color="auto" w:fill="auto"/>
            <w:vAlign w:val="bottom"/>
          </w:tcPr>
          <w:p w14:paraId="717873DD" w14:textId="232631A3" w:rsidR="001E0E7A" w:rsidRPr="00B275E2" w:rsidRDefault="001E0E7A" w:rsidP="00FF666F">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0.00</w:t>
            </w:r>
            <w:r w:rsidR="00F008D0" w:rsidRPr="00B275E2">
              <w:rPr>
                <w:rFonts w:cs="Calibri"/>
                <w:szCs w:val="18"/>
              </w:rPr>
              <w:t>02</w:t>
            </w:r>
          </w:p>
        </w:tc>
        <w:tc>
          <w:tcPr>
            <w:tcW w:w="2457" w:type="dxa"/>
            <w:tcBorders>
              <w:right w:val="single" w:sz="4" w:space="0" w:color="FFFFFF" w:themeColor="background1"/>
            </w:tcBorders>
            <w:shd w:val="clear" w:color="auto" w:fill="FFFFFF" w:themeFill="background1"/>
            <w:vAlign w:val="bottom"/>
          </w:tcPr>
          <w:p w14:paraId="3501C951" w14:textId="306B5869" w:rsidR="001E0E7A" w:rsidRPr="00B275E2" w:rsidRDefault="001E0E7A" w:rsidP="00FF666F">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w:t>
            </w:r>
          </w:p>
        </w:tc>
      </w:tr>
      <w:tr w:rsidR="001E0E7A" w:rsidRPr="00B275E2" w14:paraId="32C5D74E" w14:textId="77777777" w:rsidTr="00E462C5">
        <w:tc>
          <w:tcPr>
            <w:cnfStyle w:val="001000000000" w:firstRow="0" w:lastRow="0" w:firstColumn="1" w:lastColumn="0" w:oddVBand="0" w:evenVBand="0" w:oddHBand="0" w:evenHBand="0" w:firstRowFirstColumn="0" w:firstRowLastColumn="0" w:lastRowFirstColumn="0" w:lastRowLastColumn="0"/>
            <w:tcW w:w="2080" w:type="dxa"/>
            <w:tcBorders>
              <w:left w:val="single" w:sz="4" w:space="0" w:color="FFFFFF" w:themeColor="background1"/>
            </w:tcBorders>
            <w:shd w:val="clear" w:color="auto" w:fill="auto"/>
            <w:vAlign w:val="bottom"/>
          </w:tcPr>
          <w:p w14:paraId="26C043B4" w14:textId="5831E10D" w:rsidR="001E0E7A" w:rsidRPr="00B275E2" w:rsidRDefault="001E0E7A" w:rsidP="00FF666F">
            <w:pPr>
              <w:pStyle w:val="TableText"/>
              <w:spacing w:before="40" w:after="40"/>
              <w:rPr>
                <w:rFonts w:cs="Calibri"/>
                <w:b w:val="0"/>
                <w:szCs w:val="18"/>
              </w:rPr>
            </w:pPr>
            <w:r w:rsidRPr="00B275E2">
              <w:rPr>
                <w:rFonts w:cs="Calibri"/>
                <w:b w:val="0"/>
                <w:szCs w:val="18"/>
              </w:rPr>
              <w:t>Poultry</w:t>
            </w:r>
          </w:p>
        </w:tc>
        <w:tc>
          <w:tcPr>
            <w:tcW w:w="1512" w:type="dxa"/>
            <w:shd w:val="clear" w:color="auto" w:fill="auto"/>
            <w:vAlign w:val="bottom"/>
          </w:tcPr>
          <w:p w14:paraId="38F218B2" w14:textId="0B4AF51D" w:rsidR="001E0E7A" w:rsidRPr="00B275E2" w:rsidRDefault="00F008D0" w:rsidP="00FF666F">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18,822,291</w:t>
            </w:r>
          </w:p>
        </w:tc>
        <w:tc>
          <w:tcPr>
            <w:tcW w:w="2456" w:type="dxa"/>
            <w:shd w:val="clear" w:color="auto" w:fill="auto"/>
            <w:vAlign w:val="bottom"/>
          </w:tcPr>
          <w:p w14:paraId="3AAA495E" w14:textId="766ECD05" w:rsidR="001E0E7A" w:rsidRPr="00B275E2" w:rsidRDefault="00F008D0" w:rsidP="00FF666F">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0.59</w:t>
            </w:r>
          </w:p>
        </w:tc>
        <w:tc>
          <w:tcPr>
            <w:tcW w:w="2457" w:type="dxa"/>
            <w:tcBorders>
              <w:right w:val="single" w:sz="4" w:space="0" w:color="FFFFFF" w:themeColor="background1"/>
            </w:tcBorders>
            <w:shd w:val="clear" w:color="auto" w:fill="FFFFFF" w:themeFill="background1"/>
            <w:vAlign w:val="bottom"/>
          </w:tcPr>
          <w:p w14:paraId="31CD79C9" w14:textId="13BC2C22" w:rsidR="001E0E7A" w:rsidRPr="00B275E2" w:rsidRDefault="00C8318B" w:rsidP="00FF666F">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0.04</w:t>
            </w:r>
          </w:p>
        </w:tc>
      </w:tr>
    </w:tbl>
    <w:p w14:paraId="59FF0BD3" w14:textId="77777777" w:rsidR="001956BC" w:rsidRPr="00B275E2" w:rsidRDefault="002215FA" w:rsidP="00855443">
      <w:pPr>
        <w:pStyle w:val="Note"/>
        <w:spacing w:after="60"/>
      </w:pPr>
      <w:r w:rsidRPr="00B275E2">
        <w:t xml:space="preserve">Note: </w:t>
      </w:r>
      <w:r w:rsidR="00A0773E" w:rsidRPr="00B275E2">
        <w:t xml:space="preserve">kt is kilotonne. </w:t>
      </w:r>
    </w:p>
    <w:p w14:paraId="12D0DBF9" w14:textId="3E3F1C19" w:rsidR="00A0773E" w:rsidRPr="00B275E2" w:rsidRDefault="00A0773E" w:rsidP="00855443">
      <w:pPr>
        <w:pStyle w:val="Note"/>
        <w:spacing w:before="0"/>
      </w:pPr>
      <w:r w:rsidRPr="00B275E2">
        <w:t xml:space="preserve">Source: </w:t>
      </w:r>
      <w:r w:rsidR="00963C10" w:rsidRPr="00B275E2">
        <w:t>T</w:t>
      </w:r>
      <w:r w:rsidRPr="00B275E2">
        <w:t xml:space="preserve">he Agricultural Inventory Model used in </w:t>
      </w:r>
      <w:hyperlink r:id="rId127" w:history="1">
        <w:r w:rsidR="000C33DB" w:rsidRPr="00B275E2">
          <w:rPr>
            <w:rStyle w:val="Hyperlink"/>
            <w:i/>
            <w:iCs/>
          </w:rPr>
          <w:t>New Zealand Greenhouse Gas Inventory 1990</w:t>
        </w:r>
        <w:r w:rsidR="00925C1D" w:rsidRPr="00B275E2">
          <w:rPr>
            <w:rStyle w:val="Hyperlink"/>
            <w:i/>
            <w:iCs/>
          </w:rPr>
          <w:t>–</w:t>
        </w:r>
        <w:r w:rsidR="000C33DB" w:rsidRPr="00B275E2">
          <w:rPr>
            <w:rStyle w:val="Hyperlink"/>
            <w:i/>
            <w:iCs/>
          </w:rPr>
          <w:t>2020</w:t>
        </w:r>
      </w:hyperlink>
      <w:r w:rsidR="000C33DB" w:rsidRPr="00B275E2">
        <w:t>.</w:t>
      </w:r>
    </w:p>
    <w:p w14:paraId="00846EA4" w14:textId="5773DB61" w:rsidR="003A7B65" w:rsidRPr="00B275E2" w:rsidRDefault="00A0773E" w:rsidP="0025058F">
      <w:pPr>
        <w:pStyle w:val="BodyText"/>
        <w:keepNext/>
      </w:pPr>
      <w:r w:rsidRPr="00B275E2">
        <w:t xml:space="preserve">We calculated the manure management emission factors for each type of </w:t>
      </w:r>
      <w:r w:rsidR="003A7B65" w:rsidRPr="00B275E2">
        <w:t>livestock as follows:</w:t>
      </w:r>
    </w:p>
    <w:p w14:paraId="73954B96" w14:textId="49E1EBB5" w:rsidR="003A7B65" w:rsidRPr="00B275E2" w:rsidRDefault="003A7B65" w:rsidP="00C24B73">
      <w:pPr>
        <w:pStyle w:val="Numberedparagraph"/>
        <w:numPr>
          <w:ilvl w:val="0"/>
          <w:numId w:val="57"/>
        </w:numPr>
      </w:pPr>
      <w:r w:rsidRPr="00B275E2">
        <w:t xml:space="preserve">Convert the units to kg of </w:t>
      </w:r>
      <w:r w:rsidR="00A0773E" w:rsidRPr="00B275E2">
        <w:t>GHG</w:t>
      </w:r>
      <w:r w:rsidR="009E4C73" w:rsidRPr="00B275E2">
        <w:t>.</w:t>
      </w:r>
    </w:p>
    <w:p w14:paraId="4181BAAC" w14:textId="2E93302D" w:rsidR="003A7B65" w:rsidRPr="00B275E2" w:rsidRDefault="003A7B65" w:rsidP="00C24B73">
      <w:pPr>
        <w:pStyle w:val="Numberedparagraph"/>
        <w:numPr>
          <w:ilvl w:val="0"/>
          <w:numId w:val="57"/>
        </w:numPr>
      </w:pPr>
      <w:r w:rsidRPr="00B275E2">
        <w:lastRenderedPageBreak/>
        <w:t xml:space="preserve">Divide by population to generate kg of </w:t>
      </w:r>
      <w:r w:rsidR="00A0773E" w:rsidRPr="00B275E2">
        <w:t>GHG per</w:t>
      </w:r>
      <w:r w:rsidR="006755D0" w:rsidRPr="00B275E2">
        <w:t xml:space="preserve"> head (i</w:t>
      </w:r>
      <w:r w:rsidR="00F008D0" w:rsidRPr="00B275E2">
        <w:t>.</w:t>
      </w:r>
      <w:r w:rsidR="006755D0" w:rsidRPr="00B275E2">
        <w:t>e</w:t>
      </w:r>
      <w:r w:rsidR="00F008D0" w:rsidRPr="00B275E2">
        <w:t>.</w:t>
      </w:r>
      <w:r w:rsidR="006755D0" w:rsidRPr="00B275E2">
        <w:t>, per</w:t>
      </w:r>
      <w:r w:rsidRPr="00B275E2">
        <w:t xml:space="preserve"> animal</w:t>
      </w:r>
      <w:r w:rsidR="006755D0" w:rsidRPr="00B275E2">
        <w:t>)</w:t>
      </w:r>
      <w:r w:rsidR="009E4C73" w:rsidRPr="00B275E2">
        <w:t>.</w:t>
      </w:r>
    </w:p>
    <w:p w14:paraId="28E31D32" w14:textId="5A4A6C4F" w:rsidR="003A7B65" w:rsidRPr="00B275E2" w:rsidRDefault="003A7B65" w:rsidP="00C24B73">
      <w:pPr>
        <w:pStyle w:val="Numberedparagraph"/>
        <w:numPr>
          <w:ilvl w:val="0"/>
          <w:numId w:val="57"/>
        </w:numPr>
      </w:pPr>
      <w:r w:rsidRPr="00B275E2">
        <w:t xml:space="preserve">Calculate kg </w:t>
      </w:r>
      <w:r w:rsidR="00A0773E" w:rsidRPr="00B275E2">
        <w:t>CO</w:t>
      </w:r>
      <w:r w:rsidR="00A0773E" w:rsidRPr="00B275E2">
        <w:rPr>
          <w:vertAlign w:val="subscript"/>
        </w:rPr>
        <w:t>2</w:t>
      </w:r>
      <w:r w:rsidR="00A0773E" w:rsidRPr="00B275E2">
        <w:t>-</w:t>
      </w:r>
      <w:r w:rsidRPr="00B275E2">
        <w:t xml:space="preserve">e / animal by multiplying each </w:t>
      </w:r>
      <w:r w:rsidR="00A0773E" w:rsidRPr="00B275E2">
        <w:t>GHG</w:t>
      </w:r>
      <w:r w:rsidRPr="00B275E2">
        <w:t xml:space="preserve"> by the IPCC AR</w:t>
      </w:r>
      <w:r w:rsidR="00303FD0" w:rsidRPr="00B275E2">
        <w:t>4</w:t>
      </w:r>
      <w:r w:rsidRPr="00B275E2">
        <w:t xml:space="preserve"> 100</w:t>
      </w:r>
      <w:r w:rsidR="00F008D0" w:rsidRPr="00B275E2">
        <w:t>-</w:t>
      </w:r>
      <w:r w:rsidRPr="00B275E2">
        <w:t>year GWP</w:t>
      </w:r>
      <w:r w:rsidR="009E4C73" w:rsidRPr="00B275E2">
        <w:t>.</w:t>
      </w:r>
      <w:r w:rsidR="00855443" w:rsidRPr="00B275E2">
        <w:t xml:space="preserve"> </w:t>
      </w:r>
    </w:p>
    <w:p w14:paraId="2BE3D04C" w14:textId="77777777" w:rsidR="003A7B65" w:rsidRPr="00B275E2" w:rsidRDefault="003A7B65" w:rsidP="004D082F">
      <w:pPr>
        <w:pStyle w:val="BodyText"/>
        <w:keepNext/>
      </w:pPr>
      <w:r w:rsidRPr="00B275E2">
        <w:t>For example:</w:t>
      </w:r>
    </w:p>
    <w:p w14:paraId="6D82EB77" w14:textId="6B23CF31" w:rsidR="009D693C" w:rsidRPr="00B275E2" w:rsidRDefault="005B0BFB" w:rsidP="009D693C">
      <w:pPr>
        <w:pStyle w:val="Tableheading"/>
      </w:pPr>
      <w:bookmarkStart w:id="641" w:name="_Toc111536700"/>
      <w:r w:rsidRPr="00B275E2">
        <w:t xml:space="preserve">Table </w:t>
      </w:r>
      <w:r w:rsidRPr="00B275E2">
        <w:fldChar w:fldCharType="begin"/>
      </w:r>
      <w:r w:rsidRPr="00B275E2">
        <w:instrText>SEQ Table \* ARABIC</w:instrText>
      </w:r>
      <w:r w:rsidRPr="00B275E2">
        <w:fldChar w:fldCharType="separate"/>
      </w:r>
      <w:r>
        <w:rPr>
          <w:noProof/>
        </w:rPr>
        <w:t>95</w:t>
      </w:r>
      <w:r w:rsidRPr="00B275E2">
        <w:fldChar w:fldCharType="end"/>
      </w:r>
      <w:r w:rsidRPr="00B275E2">
        <w:t>:</w:t>
      </w:r>
      <w:r w:rsidRPr="00B275E2">
        <w:tab/>
      </w:r>
      <w:r w:rsidR="008B13F7" w:rsidRPr="00B275E2">
        <w:t>Emissions from dairy cattle</w:t>
      </w:r>
      <w:bookmarkEnd w:id="641"/>
    </w:p>
    <w:tbl>
      <w:tblPr>
        <w:tblStyle w:val="LightList-Accent11"/>
        <w:tblW w:w="8505" w:type="dxa"/>
        <w:tblInd w:w="20"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ook w:val="04A0" w:firstRow="1" w:lastRow="0" w:firstColumn="1" w:lastColumn="0" w:noHBand="0" w:noVBand="1"/>
      </w:tblPr>
      <w:tblGrid>
        <w:gridCol w:w="1594"/>
        <w:gridCol w:w="1570"/>
        <w:gridCol w:w="2573"/>
        <w:gridCol w:w="2768"/>
      </w:tblGrid>
      <w:tr w:rsidR="0086241E" w:rsidRPr="00B275E2" w14:paraId="7729B6CB" w14:textId="77777777" w:rsidTr="000401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dxa"/>
            <w:shd w:val="clear" w:color="auto" w:fill="1B556B" w:themeFill="text2"/>
            <w:vAlign w:val="bottom"/>
          </w:tcPr>
          <w:p w14:paraId="5DBAB1E0" w14:textId="77777777" w:rsidR="003A7B65" w:rsidRPr="00B275E2" w:rsidRDefault="003A7B65" w:rsidP="00FF666F">
            <w:pPr>
              <w:pStyle w:val="TableText"/>
              <w:spacing w:before="40" w:after="40"/>
              <w:rPr>
                <w:bCs w:val="0"/>
              </w:rPr>
            </w:pPr>
            <w:r w:rsidRPr="00B275E2">
              <w:rPr>
                <w:bCs w:val="0"/>
              </w:rPr>
              <w:t xml:space="preserve">Animal </w:t>
            </w:r>
          </w:p>
        </w:tc>
        <w:tc>
          <w:tcPr>
            <w:tcW w:w="1570" w:type="dxa"/>
            <w:shd w:val="clear" w:color="auto" w:fill="1B556B" w:themeFill="text2"/>
            <w:vAlign w:val="bottom"/>
          </w:tcPr>
          <w:p w14:paraId="5E46B60A" w14:textId="77777777" w:rsidR="003A7B65" w:rsidRPr="00B275E2" w:rsidRDefault="003A7B65" w:rsidP="00FF666F">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bCs w:val="0"/>
              </w:rPr>
            </w:pPr>
            <w:r w:rsidRPr="00B275E2">
              <w:rPr>
                <w:bCs w:val="0"/>
              </w:rPr>
              <w:t>Population</w:t>
            </w:r>
          </w:p>
        </w:tc>
        <w:tc>
          <w:tcPr>
            <w:tcW w:w="2573" w:type="dxa"/>
            <w:shd w:val="clear" w:color="auto" w:fill="1B556B" w:themeFill="text2"/>
            <w:vAlign w:val="bottom"/>
          </w:tcPr>
          <w:p w14:paraId="59C28B67" w14:textId="77777777" w:rsidR="003A7B65" w:rsidRPr="00B275E2" w:rsidRDefault="003A7B65" w:rsidP="00FF666F">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bCs w:val="0"/>
              </w:rPr>
            </w:pPr>
            <w:r w:rsidRPr="00B275E2">
              <w:rPr>
                <w:bCs w:val="0"/>
              </w:rPr>
              <w:t>Methane from manure management (kg CH</w:t>
            </w:r>
            <w:r w:rsidRPr="00B275E2">
              <w:rPr>
                <w:bCs w:val="0"/>
                <w:vertAlign w:val="subscript"/>
              </w:rPr>
              <w:t>4</w:t>
            </w:r>
            <w:r w:rsidRPr="00B275E2">
              <w:rPr>
                <w:bCs w:val="0"/>
              </w:rPr>
              <w:t>)</w:t>
            </w:r>
          </w:p>
        </w:tc>
        <w:tc>
          <w:tcPr>
            <w:tcW w:w="2768" w:type="dxa"/>
            <w:shd w:val="clear" w:color="auto" w:fill="1B556B" w:themeFill="text2"/>
            <w:vAlign w:val="bottom"/>
          </w:tcPr>
          <w:p w14:paraId="176ACC3B" w14:textId="77777777" w:rsidR="003A7B65" w:rsidRPr="00B275E2" w:rsidRDefault="003A7B65" w:rsidP="00FF666F">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bCs w:val="0"/>
              </w:rPr>
            </w:pPr>
            <w:r w:rsidRPr="00B275E2">
              <w:rPr>
                <w:bCs w:val="0"/>
              </w:rPr>
              <w:t>Nitrous oxide from manure management (kg N</w:t>
            </w:r>
            <w:r w:rsidRPr="00B275E2">
              <w:rPr>
                <w:bCs w:val="0"/>
                <w:vertAlign w:val="subscript"/>
              </w:rPr>
              <w:t>2</w:t>
            </w:r>
            <w:r w:rsidRPr="00B275E2">
              <w:rPr>
                <w:bCs w:val="0"/>
              </w:rPr>
              <w:t>O)</w:t>
            </w:r>
          </w:p>
        </w:tc>
      </w:tr>
      <w:tr w:rsidR="0086241E" w:rsidRPr="00B275E2" w14:paraId="5C249F5B" w14:textId="77777777" w:rsidTr="00E46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FFFFFF" w:themeColor="background1"/>
            </w:tcBorders>
            <w:vAlign w:val="bottom"/>
          </w:tcPr>
          <w:p w14:paraId="16566EE7" w14:textId="77777777" w:rsidR="004A6494" w:rsidRPr="00B275E2" w:rsidRDefault="004A6494" w:rsidP="00FF666F">
            <w:pPr>
              <w:pStyle w:val="TableText"/>
              <w:spacing w:before="40" w:after="40"/>
              <w:rPr>
                <w:b w:val="0"/>
                <w:szCs w:val="18"/>
              </w:rPr>
            </w:pPr>
            <w:r w:rsidRPr="00B275E2">
              <w:rPr>
                <w:b w:val="0"/>
                <w:szCs w:val="18"/>
              </w:rPr>
              <w:t>Dairy cattle</w:t>
            </w:r>
          </w:p>
        </w:tc>
        <w:tc>
          <w:tcPr>
            <w:tcW w:w="0" w:type="dxa"/>
            <w:shd w:val="clear" w:color="auto" w:fill="auto"/>
            <w:vAlign w:val="bottom"/>
          </w:tcPr>
          <w:p w14:paraId="0CE94FCA" w14:textId="7429ED82" w:rsidR="004A6494" w:rsidRPr="00B275E2" w:rsidRDefault="00F008D0" w:rsidP="00FF666F">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6,200,221</w:t>
            </w:r>
          </w:p>
        </w:tc>
        <w:tc>
          <w:tcPr>
            <w:tcW w:w="0" w:type="dxa"/>
            <w:shd w:val="clear" w:color="auto" w:fill="auto"/>
            <w:vAlign w:val="bottom"/>
          </w:tcPr>
          <w:p w14:paraId="6DA6B0E0" w14:textId="5F6B4B0C" w:rsidR="004A6494" w:rsidRPr="00B275E2" w:rsidRDefault="00F008D0" w:rsidP="00FF666F">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55,484,471</w:t>
            </w:r>
          </w:p>
        </w:tc>
        <w:tc>
          <w:tcPr>
            <w:tcW w:w="0" w:type="dxa"/>
            <w:tcBorders>
              <w:right w:val="single" w:sz="4" w:space="0" w:color="FFFFFF" w:themeColor="background1"/>
            </w:tcBorders>
            <w:vAlign w:val="bottom"/>
          </w:tcPr>
          <w:p w14:paraId="2EDC7FEE" w14:textId="36D79F86" w:rsidR="004A6494" w:rsidRPr="00B275E2" w:rsidRDefault="00F008D0" w:rsidP="00FF666F">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szCs w:val="18"/>
              </w:rPr>
              <w:t>299,283</w:t>
            </w:r>
          </w:p>
        </w:tc>
      </w:tr>
    </w:tbl>
    <w:p w14:paraId="0402545B" w14:textId="3FA0BB4B" w:rsidR="003A7B65" w:rsidRPr="00B275E2" w:rsidRDefault="003A7B65" w:rsidP="00607101">
      <w:pPr>
        <w:pStyle w:val="BodyText"/>
        <w:spacing w:before="240" w:after="0"/>
      </w:pPr>
      <w:r w:rsidRPr="00B275E2">
        <w:t xml:space="preserve">Methane emissions = </w:t>
      </w:r>
      <w:r w:rsidR="00F008D0" w:rsidRPr="00B275E2">
        <w:t>55,484,471</w:t>
      </w:r>
      <w:r w:rsidR="00A0344C" w:rsidRPr="00B275E2">
        <w:t xml:space="preserve"> </w:t>
      </w:r>
      <w:r w:rsidRPr="00B275E2">
        <w:t xml:space="preserve">÷ </w:t>
      </w:r>
      <w:r w:rsidR="00F008D0" w:rsidRPr="00B275E2">
        <w:t>6,200,221</w:t>
      </w:r>
      <w:r w:rsidRPr="00B275E2">
        <w:t xml:space="preserve">= </w:t>
      </w:r>
      <w:r w:rsidR="00F008D0" w:rsidRPr="00B275E2">
        <w:t>8.95</w:t>
      </w:r>
      <w:r w:rsidRPr="00B275E2">
        <w:t xml:space="preserve"> kg CH</w:t>
      </w:r>
      <w:r w:rsidRPr="00B275E2">
        <w:rPr>
          <w:vertAlign w:val="subscript"/>
        </w:rPr>
        <w:t>4</w:t>
      </w:r>
      <w:r w:rsidRPr="00B275E2">
        <w:t xml:space="preserve"> per </w:t>
      </w:r>
      <w:r w:rsidR="006755D0" w:rsidRPr="00B275E2">
        <w:t>head</w:t>
      </w:r>
    </w:p>
    <w:p w14:paraId="686AE8EB" w14:textId="273AB12C" w:rsidR="003A7B65" w:rsidRPr="00B275E2" w:rsidRDefault="003A7B65" w:rsidP="00607101">
      <w:pPr>
        <w:pStyle w:val="BodyText"/>
        <w:spacing w:after="0"/>
      </w:pPr>
      <w:r w:rsidRPr="00B275E2">
        <w:t xml:space="preserve">Nitrous oxide emissions = </w:t>
      </w:r>
      <w:r w:rsidR="00F008D0" w:rsidRPr="00B275E2">
        <w:t>299,283</w:t>
      </w:r>
      <w:r w:rsidR="0086241E" w:rsidRPr="00B275E2">
        <w:t xml:space="preserve"> </w:t>
      </w:r>
      <w:r w:rsidRPr="00B275E2">
        <w:t xml:space="preserve">÷ </w:t>
      </w:r>
      <w:r w:rsidR="00F008D0" w:rsidRPr="00B275E2">
        <w:t>6,200,221</w:t>
      </w:r>
      <w:r w:rsidRPr="00B275E2">
        <w:t xml:space="preserve">= </w:t>
      </w:r>
      <w:r w:rsidR="00A117D9" w:rsidRPr="00B275E2">
        <w:t>0.05</w:t>
      </w:r>
      <w:r w:rsidRPr="00B275E2">
        <w:t xml:space="preserve"> kg N</w:t>
      </w:r>
      <w:r w:rsidRPr="00B275E2">
        <w:rPr>
          <w:vertAlign w:val="subscript"/>
        </w:rPr>
        <w:t>2</w:t>
      </w:r>
      <w:r w:rsidRPr="00B275E2">
        <w:t xml:space="preserve">O per </w:t>
      </w:r>
      <w:r w:rsidR="006755D0" w:rsidRPr="00B275E2">
        <w:t>head</w:t>
      </w:r>
    </w:p>
    <w:p w14:paraId="6876729C" w14:textId="5C5BF494" w:rsidR="003A7B65" w:rsidRPr="00B275E2" w:rsidRDefault="003A7B65" w:rsidP="00607101">
      <w:pPr>
        <w:pStyle w:val="BodyText"/>
        <w:spacing w:after="0"/>
      </w:pPr>
      <w:r w:rsidRPr="00B275E2">
        <w:t>Total kg CO</w:t>
      </w:r>
      <w:r w:rsidRPr="00B275E2">
        <w:rPr>
          <w:vertAlign w:val="subscript"/>
        </w:rPr>
        <w:t>2</w:t>
      </w:r>
      <w:r w:rsidRPr="00B275E2">
        <w:t xml:space="preserve"> equivalent = (</w:t>
      </w:r>
      <w:r w:rsidR="008E0D0A" w:rsidRPr="00B275E2">
        <w:t>8.95</w:t>
      </w:r>
      <w:r w:rsidRPr="00B275E2">
        <w:t xml:space="preserve"> x 25) + (0.0</w:t>
      </w:r>
      <w:r w:rsidR="00A117D9" w:rsidRPr="00B275E2">
        <w:t>5</w:t>
      </w:r>
      <w:r w:rsidRPr="00B275E2">
        <w:t xml:space="preserve"> x 298) = </w:t>
      </w:r>
      <w:r w:rsidR="008E0D0A" w:rsidRPr="00B275E2">
        <w:t>238.1</w:t>
      </w:r>
      <w:r w:rsidRPr="00B275E2">
        <w:t xml:space="preserve"> kg CO</w:t>
      </w:r>
      <w:r w:rsidRPr="00B275E2">
        <w:rPr>
          <w:vertAlign w:val="subscript"/>
        </w:rPr>
        <w:t>2</w:t>
      </w:r>
      <w:r w:rsidRPr="00B275E2">
        <w:t xml:space="preserve">-e per </w:t>
      </w:r>
      <w:r w:rsidR="006755D0" w:rsidRPr="00B275E2">
        <w:t>head</w:t>
      </w:r>
      <w:r w:rsidR="00A0044D" w:rsidRPr="00B275E2">
        <w:t>.</w:t>
      </w:r>
    </w:p>
    <w:p w14:paraId="2317B273" w14:textId="77777777" w:rsidR="003A7B65" w:rsidRPr="00B275E2" w:rsidRDefault="003A7B65" w:rsidP="002234D0">
      <w:pPr>
        <w:pStyle w:val="Heading3"/>
      </w:pPr>
      <w:r w:rsidRPr="00B275E2">
        <w:t>Assumptions, limitations and uncertainties</w:t>
      </w:r>
    </w:p>
    <w:p w14:paraId="6F7F0EB4" w14:textId="50EDC2DD" w:rsidR="003A7B65" w:rsidRPr="00B275E2" w:rsidRDefault="000C33DB" w:rsidP="004D082F">
      <w:pPr>
        <w:pStyle w:val="BodyText"/>
      </w:pPr>
      <w:r w:rsidRPr="00B275E2">
        <w:rPr>
          <w:i/>
          <w:iCs/>
        </w:rPr>
        <w:t xml:space="preserve">The </w:t>
      </w:r>
      <w:hyperlink r:id="rId128" w:history="1">
        <w:r w:rsidRPr="00B275E2">
          <w:rPr>
            <w:rStyle w:val="Hyperlink"/>
            <w:i/>
            <w:iCs/>
          </w:rPr>
          <w:t>New Zealand Greenhouse Gas Inventory 1990</w:t>
        </w:r>
        <w:r w:rsidR="00040137" w:rsidRPr="00B275E2">
          <w:rPr>
            <w:rStyle w:val="Hyperlink"/>
            <w:i/>
            <w:iCs/>
          </w:rPr>
          <w:t>–</w:t>
        </w:r>
        <w:r w:rsidRPr="00B275E2">
          <w:rPr>
            <w:rStyle w:val="Hyperlink"/>
            <w:i/>
            <w:iCs/>
          </w:rPr>
          <w:t>2020</w:t>
        </w:r>
      </w:hyperlink>
      <w:r w:rsidRPr="00B275E2">
        <w:t xml:space="preserve"> </w:t>
      </w:r>
      <w:r w:rsidR="003A7B65" w:rsidRPr="00B275E2">
        <w:t>states that the major sources of uncertainty in emissions from manure</w:t>
      </w:r>
      <w:r w:rsidR="00D00BAE" w:rsidRPr="00B275E2">
        <w:t> </w:t>
      </w:r>
      <w:r w:rsidR="003A7B65" w:rsidRPr="00B275E2">
        <w:t>management are the accuracy of emission factors for manure management system distribution, the activity data on the livestock population and the</w:t>
      </w:r>
      <w:r w:rsidR="00040137" w:rsidRPr="00B275E2">
        <w:t> </w:t>
      </w:r>
      <w:r w:rsidR="003A7B65" w:rsidRPr="00B275E2">
        <w:t>use of the various manure management systems</w:t>
      </w:r>
      <w:r w:rsidR="00A0044D" w:rsidRPr="00B275E2">
        <w:t>.</w:t>
      </w:r>
      <w:r w:rsidR="009706E4" w:rsidRPr="00B275E2">
        <w:rPr>
          <w:rStyle w:val="FootnoteReference"/>
        </w:rPr>
        <w:footnoteReference w:id="84"/>
      </w:r>
      <w:r w:rsidR="003A7B65" w:rsidRPr="00B275E2">
        <w:t xml:space="preserve"> Based on the IPCC methodologies</w:t>
      </w:r>
      <w:r w:rsidR="00E21C3C" w:rsidRPr="00B275E2">
        <w:t>,</w:t>
      </w:r>
      <w:r w:rsidR="000D273F" w:rsidRPr="00B275E2">
        <w:t xml:space="preserve"> </w:t>
      </w:r>
      <w:r w:rsidR="002B3933" w:rsidRPr="00B275E2">
        <w:t xml:space="preserve">the uncertainty factor for </w:t>
      </w:r>
      <w:r w:rsidR="003A7B65" w:rsidRPr="00B275E2">
        <w:t>methane emission</w:t>
      </w:r>
      <w:r w:rsidR="002B3933" w:rsidRPr="00B275E2">
        <w:t>s</w:t>
      </w:r>
      <w:r w:rsidR="003A7B65" w:rsidRPr="00B275E2">
        <w:t xml:space="preserve"> </w:t>
      </w:r>
      <w:r w:rsidR="002B3933" w:rsidRPr="00B275E2">
        <w:t>is</w:t>
      </w:r>
      <w:r w:rsidR="003A7B65" w:rsidRPr="00B275E2">
        <w:t xml:space="preserve"> ±20 per cent and </w:t>
      </w:r>
      <w:r w:rsidR="002B3933" w:rsidRPr="00B275E2">
        <w:t xml:space="preserve">for </w:t>
      </w:r>
      <w:r w:rsidR="00303AA0" w:rsidRPr="00B275E2">
        <w:t>nitrous oxide</w:t>
      </w:r>
      <w:r w:rsidR="003A7B65" w:rsidRPr="00B275E2">
        <w:t xml:space="preserve"> emissions ±100</w:t>
      </w:r>
      <w:r w:rsidR="00040137" w:rsidRPr="00B275E2">
        <w:t> </w:t>
      </w:r>
      <w:r w:rsidR="00A0773E" w:rsidRPr="00B275E2">
        <w:t>per cent</w:t>
      </w:r>
      <w:r w:rsidR="00916896" w:rsidRPr="00B275E2">
        <w:t>,</w:t>
      </w:r>
      <w:r w:rsidR="00505CCB" w:rsidRPr="00B275E2">
        <w:rPr>
          <w:rStyle w:val="FootnoteReference"/>
        </w:rPr>
        <w:footnoteReference w:id="85"/>
      </w:r>
      <w:r w:rsidR="00505CCB" w:rsidRPr="00B275E2">
        <w:t xml:space="preserve"> although different uncertainty values are reported in the New Zealand Inventory</w:t>
      </w:r>
      <w:r w:rsidR="003A7B65" w:rsidRPr="00B275E2">
        <w:t xml:space="preserve">. The </w:t>
      </w:r>
      <w:hyperlink r:id="rId129" w:history="1">
        <w:r w:rsidRPr="00B275E2">
          <w:rPr>
            <w:rStyle w:val="Hyperlink"/>
            <w:i/>
            <w:iCs/>
          </w:rPr>
          <w:t>New Zealand Greenhouse Gas Inventory 1990</w:t>
        </w:r>
        <w:r w:rsidR="00916896" w:rsidRPr="00B275E2">
          <w:rPr>
            <w:rStyle w:val="Hyperlink"/>
            <w:i/>
            <w:iCs/>
          </w:rPr>
          <w:t>–</w:t>
        </w:r>
        <w:r w:rsidRPr="00B275E2">
          <w:rPr>
            <w:rStyle w:val="Hyperlink"/>
            <w:i/>
            <w:iCs/>
          </w:rPr>
          <w:t>2020</w:t>
        </w:r>
      </w:hyperlink>
      <w:r w:rsidRPr="00B275E2">
        <w:t xml:space="preserve"> </w:t>
      </w:r>
      <w:r w:rsidR="002B3933" w:rsidRPr="00B275E2">
        <w:t xml:space="preserve">details the </w:t>
      </w:r>
      <w:r w:rsidR="003A7B65" w:rsidRPr="00B275E2">
        <w:t>assumptions and limitations of th</w:t>
      </w:r>
      <w:r w:rsidR="003674CE" w:rsidRPr="00B275E2">
        <w:t>ese</w:t>
      </w:r>
      <w:r w:rsidR="003A7B65" w:rsidRPr="00B275E2">
        <w:t xml:space="preserve"> data.</w:t>
      </w:r>
    </w:p>
    <w:p w14:paraId="7864058D" w14:textId="1580098D" w:rsidR="003A7B65" w:rsidRPr="00B275E2" w:rsidRDefault="003A7B65" w:rsidP="002234D0">
      <w:pPr>
        <w:pStyle w:val="Heading3"/>
      </w:pPr>
      <w:r w:rsidRPr="00B275E2">
        <w:t>Alternative methods of calculation</w:t>
      </w:r>
    </w:p>
    <w:p w14:paraId="3035DD4C" w14:textId="5FF6D04C" w:rsidR="003A7B65" w:rsidRPr="00B275E2" w:rsidRDefault="003A7B65" w:rsidP="004D082F">
      <w:pPr>
        <w:pStyle w:val="BodyText"/>
      </w:pPr>
      <w:r w:rsidRPr="00B275E2">
        <w:t>See</w:t>
      </w:r>
      <w:r w:rsidR="00607101" w:rsidRPr="00B275E2">
        <w:t xml:space="preserve"> section </w:t>
      </w:r>
      <w:r w:rsidR="00235772" w:rsidRPr="00B275E2">
        <w:t>11</w:t>
      </w:r>
      <w:r w:rsidR="00461A8D" w:rsidRPr="00B275E2">
        <w:t>.3.1</w:t>
      </w:r>
      <w:r w:rsidR="00CA2951" w:rsidRPr="00B275E2">
        <w:t>:</w:t>
      </w:r>
      <w:r w:rsidR="00607101" w:rsidRPr="00B275E2">
        <w:t xml:space="preserve"> </w:t>
      </w:r>
      <w:hyperlink w:anchor="_Alternative_methods_and" w:history="1">
        <w:r w:rsidR="00607101" w:rsidRPr="00B275E2">
          <w:rPr>
            <w:rStyle w:val="Hyperlink"/>
          </w:rPr>
          <w:t>Alternative methods and tools</w:t>
        </w:r>
      </w:hyperlink>
      <w:r w:rsidR="00A0773E" w:rsidRPr="00B275E2">
        <w:t>.</w:t>
      </w:r>
      <w:r w:rsidRPr="00B275E2">
        <w:t xml:space="preserve"> </w:t>
      </w:r>
    </w:p>
    <w:p w14:paraId="06F7D52C" w14:textId="77777777" w:rsidR="00533ACF" w:rsidRPr="00B275E2" w:rsidRDefault="00533ACF" w:rsidP="00D411C0">
      <w:pPr>
        <w:pStyle w:val="Heading3"/>
      </w:pPr>
      <w:r w:rsidRPr="00B275E2">
        <w:t>Agricultural soils</w:t>
      </w:r>
    </w:p>
    <w:p w14:paraId="6CB9A93C" w14:textId="586FF74C" w:rsidR="00533ACF" w:rsidRPr="00B275E2" w:rsidRDefault="00533ACF" w:rsidP="004D082F">
      <w:pPr>
        <w:pStyle w:val="BodyText"/>
      </w:pPr>
      <w:r w:rsidRPr="00B275E2">
        <w:t>Agricultural soils emit nitrous oxide due to the addition of nitrogen to soils through manure, dung and urine. The guide provides emission factors for the impact of common agricultural livestock categories on soil in table 9</w:t>
      </w:r>
      <w:r w:rsidR="00EE24CD">
        <w:t>6</w:t>
      </w:r>
      <w:r w:rsidRPr="00B275E2">
        <w:t xml:space="preserve">. </w:t>
      </w:r>
    </w:p>
    <w:p w14:paraId="299E621A" w14:textId="6545308A" w:rsidR="00533ACF" w:rsidRPr="00B275E2" w:rsidRDefault="005B0BFB" w:rsidP="00533ACF">
      <w:pPr>
        <w:pStyle w:val="Tableheading"/>
      </w:pPr>
      <w:bookmarkStart w:id="642" w:name="_Toc111536701"/>
      <w:r w:rsidRPr="00B275E2">
        <w:t xml:space="preserve">Table </w:t>
      </w:r>
      <w:r w:rsidRPr="00B275E2">
        <w:fldChar w:fldCharType="begin"/>
      </w:r>
      <w:r w:rsidRPr="00B275E2">
        <w:instrText>SEQ Table \* ARABIC</w:instrText>
      </w:r>
      <w:r w:rsidRPr="00B275E2">
        <w:fldChar w:fldCharType="separate"/>
      </w:r>
      <w:r>
        <w:rPr>
          <w:noProof/>
        </w:rPr>
        <w:t>96</w:t>
      </w:r>
      <w:r w:rsidRPr="00B275E2">
        <w:fldChar w:fldCharType="end"/>
      </w:r>
      <w:r w:rsidRPr="00B275E2">
        <w:t>:</w:t>
      </w:r>
      <w:r w:rsidRPr="00B275E2">
        <w:tab/>
      </w:r>
      <w:r w:rsidR="00533ACF" w:rsidRPr="00B275E2">
        <w:t>Agricultural soils emission factors</w:t>
      </w:r>
      <w:bookmarkEnd w:id="642"/>
    </w:p>
    <w:tbl>
      <w:tblPr>
        <w:tblStyle w:val="LightList-Accent11"/>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ook w:val="04A0" w:firstRow="1" w:lastRow="0" w:firstColumn="1" w:lastColumn="0" w:noHBand="0" w:noVBand="1"/>
      </w:tblPr>
      <w:tblGrid>
        <w:gridCol w:w="1469"/>
        <w:gridCol w:w="1505"/>
        <w:gridCol w:w="896"/>
        <w:gridCol w:w="1268"/>
        <w:gridCol w:w="1117"/>
        <w:gridCol w:w="1109"/>
        <w:gridCol w:w="1141"/>
      </w:tblGrid>
      <w:tr w:rsidR="00533ACF" w:rsidRPr="00B275E2" w14:paraId="1AD3F17C" w14:textId="77777777" w:rsidTr="00D34C8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1B556B" w:themeFill="text2"/>
            <w:noWrap/>
            <w:vAlign w:val="bottom"/>
            <w:hideMark/>
          </w:tcPr>
          <w:p w14:paraId="3C264A4D" w14:textId="77777777" w:rsidR="00533ACF" w:rsidRPr="00B275E2" w:rsidRDefault="00533ACF" w:rsidP="004D082F">
            <w:pPr>
              <w:pStyle w:val="TableText"/>
              <w:spacing w:before="50" w:after="50"/>
              <w:rPr>
                <w:rFonts w:cs="Calibri"/>
                <w:szCs w:val="18"/>
              </w:rPr>
            </w:pPr>
            <w:r w:rsidRPr="00B275E2">
              <w:rPr>
                <w:rFonts w:cs="Calibri"/>
                <w:szCs w:val="18"/>
              </w:rPr>
              <w:t>Emission source</w:t>
            </w:r>
          </w:p>
        </w:tc>
        <w:tc>
          <w:tcPr>
            <w:tcW w:w="0" w:type="auto"/>
            <w:shd w:val="clear" w:color="auto" w:fill="1B556B" w:themeFill="text2"/>
            <w:noWrap/>
            <w:vAlign w:val="bottom"/>
            <w:hideMark/>
          </w:tcPr>
          <w:p w14:paraId="23FD310F" w14:textId="77777777" w:rsidR="00533ACF" w:rsidRPr="00B275E2" w:rsidRDefault="00533ACF" w:rsidP="004D082F">
            <w:pPr>
              <w:pStyle w:val="TableText"/>
              <w:spacing w:before="50" w:after="50"/>
              <w:cnfStyle w:val="100000000000" w:firstRow="1" w:lastRow="0" w:firstColumn="0" w:lastColumn="0" w:oddVBand="0" w:evenVBand="0" w:oddHBand="0" w:evenHBand="0" w:firstRowFirstColumn="0" w:firstRowLastColumn="0" w:lastRowFirstColumn="0" w:lastRowLastColumn="0"/>
              <w:rPr>
                <w:rFonts w:cs="Calibri"/>
                <w:szCs w:val="18"/>
              </w:rPr>
            </w:pPr>
            <w:r w:rsidRPr="00B275E2">
              <w:rPr>
                <w:rFonts w:cs="Calibri"/>
                <w:szCs w:val="18"/>
              </w:rPr>
              <w:t>Unit</w:t>
            </w:r>
          </w:p>
        </w:tc>
        <w:tc>
          <w:tcPr>
            <w:tcW w:w="0" w:type="auto"/>
            <w:shd w:val="clear" w:color="auto" w:fill="D2DDE1" w:themeFill="background2"/>
            <w:noWrap/>
            <w:vAlign w:val="bottom"/>
            <w:hideMark/>
          </w:tcPr>
          <w:p w14:paraId="434FD20F" w14:textId="77777777" w:rsidR="00533ACF" w:rsidRPr="00B275E2" w:rsidRDefault="00533ACF" w:rsidP="004D082F">
            <w:pPr>
              <w:pStyle w:val="TableText"/>
              <w:spacing w:before="50" w:after="50"/>
              <w:jc w:val="right"/>
              <w:cnfStyle w:val="100000000000" w:firstRow="1" w:lastRow="0" w:firstColumn="0" w:lastColumn="0" w:oddVBand="0" w:evenVBand="0" w:oddHBand="0" w:evenHBand="0" w:firstRowFirstColumn="0" w:firstRowLastColumn="0" w:lastRowFirstColumn="0" w:lastRowLastColumn="0"/>
              <w:rPr>
                <w:rFonts w:cs="Calibri"/>
                <w:color w:val="auto"/>
                <w:szCs w:val="18"/>
              </w:rPr>
            </w:pPr>
            <w:r w:rsidRPr="00B275E2">
              <w:rPr>
                <w:rFonts w:cs="Calibri"/>
                <w:color w:val="auto"/>
                <w:szCs w:val="18"/>
              </w:rPr>
              <w:t>kg CO</w:t>
            </w:r>
            <w:r w:rsidRPr="00B275E2">
              <w:rPr>
                <w:rFonts w:cs="Calibri"/>
                <w:color w:val="auto"/>
                <w:szCs w:val="18"/>
                <w:vertAlign w:val="subscript"/>
              </w:rPr>
              <w:t>2</w:t>
            </w:r>
            <w:r w:rsidRPr="00B275E2">
              <w:rPr>
                <w:rFonts w:cs="Calibri"/>
                <w:color w:val="auto"/>
                <w:szCs w:val="18"/>
              </w:rPr>
              <w:t>-e/unit</w:t>
            </w:r>
          </w:p>
        </w:tc>
        <w:tc>
          <w:tcPr>
            <w:tcW w:w="0" w:type="auto"/>
            <w:shd w:val="clear" w:color="auto" w:fill="1B556B" w:themeFill="text2"/>
            <w:noWrap/>
            <w:vAlign w:val="bottom"/>
            <w:hideMark/>
          </w:tcPr>
          <w:p w14:paraId="683A5978" w14:textId="77777777" w:rsidR="00533ACF" w:rsidRPr="00B275E2" w:rsidRDefault="00533ACF" w:rsidP="004D082F">
            <w:pPr>
              <w:pStyle w:val="TableText"/>
              <w:spacing w:before="50" w:after="5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275E2">
              <w:rPr>
                <w:rFonts w:cs="Calibri"/>
                <w:szCs w:val="18"/>
              </w:rPr>
              <w:t>kg CO</w:t>
            </w:r>
            <w:r w:rsidRPr="00B275E2">
              <w:rPr>
                <w:rFonts w:cs="Calibri"/>
                <w:szCs w:val="18"/>
                <w:vertAlign w:val="subscript"/>
              </w:rPr>
              <w:t>2</w:t>
            </w:r>
            <w:r w:rsidRPr="00B275E2">
              <w:rPr>
                <w:rFonts w:cs="Calibri"/>
                <w:szCs w:val="18"/>
              </w:rPr>
              <w:t xml:space="preserve">/unit </w:t>
            </w:r>
            <w:r w:rsidRPr="00B275E2">
              <w:rPr>
                <w:rFonts w:cs="Calibri"/>
                <w:szCs w:val="18"/>
              </w:rPr>
              <w:br/>
              <w:t>(kg CO</w:t>
            </w:r>
            <w:r w:rsidRPr="00B275E2">
              <w:rPr>
                <w:rFonts w:cs="Calibri"/>
                <w:szCs w:val="18"/>
                <w:vertAlign w:val="subscript"/>
              </w:rPr>
              <w:t>2</w:t>
            </w:r>
            <w:r w:rsidRPr="00B275E2">
              <w:rPr>
                <w:rFonts w:cs="Calibri"/>
                <w:szCs w:val="18"/>
              </w:rPr>
              <w:noBreakHyphen/>
              <w:t>e)</w:t>
            </w:r>
          </w:p>
        </w:tc>
        <w:tc>
          <w:tcPr>
            <w:tcW w:w="0" w:type="auto"/>
            <w:shd w:val="clear" w:color="auto" w:fill="1B556B" w:themeFill="text2"/>
            <w:noWrap/>
            <w:hideMark/>
          </w:tcPr>
          <w:p w14:paraId="21875080" w14:textId="77777777" w:rsidR="00533ACF" w:rsidRPr="00B275E2" w:rsidRDefault="00533ACF" w:rsidP="004D082F">
            <w:pPr>
              <w:pStyle w:val="TableText"/>
              <w:spacing w:before="50" w:after="5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275E2">
              <w:rPr>
                <w:rFonts w:cs="Calibri"/>
                <w:szCs w:val="18"/>
              </w:rPr>
              <w:t>kg CH</w:t>
            </w:r>
            <w:r w:rsidRPr="00B275E2">
              <w:rPr>
                <w:rFonts w:cs="Calibri"/>
                <w:szCs w:val="18"/>
                <w:vertAlign w:val="subscript"/>
              </w:rPr>
              <w:t>4</w:t>
            </w:r>
            <w:r w:rsidRPr="00B275E2">
              <w:rPr>
                <w:rFonts w:cs="Calibri"/>
                <w:szCs w:val="18"/>
              </w:rPr>
              <w:t xml:space="preserve">/unit </w:t>
            </w:r>
            <w:r w:rsidRPr="00B275E2">
              <w:rPr>
                <w:rFonts w:cs="Calibri"/>
                <w:szCs w:val="18"/>
              </w:rPr>
              <w:br/>
              <w:t>(kg CO</w:t>
            </w:r>
            <w:r w:rsidRPr="00B275E2">
              <w:rPr>
                <w:rFonts w:cs="Calibri"/>
                <w:szCs w:val="18"/>
                <w:vertAlign w:val="subscript"/>
              </w:rPr>
              <w:t>2</w:t>
            </w:r>
            <w:r w:rsidRPr="00B275E2">
              <w:rPr>
                <w:rFonts w:cs="Calibri"/>
                <w:szCs w:val="18"/>
              </w:rPr>
              <w:noBreakHyphen/>
              <w:t>e)</w:t>
            </w:r>
          </w:p>
        </w:tc>
        <w:tc>
          <w:tcPr>
            <w:tcW w:w="0" w:type="auto"/>
            <w:shd w:val="clear" w:color="auto" w:fill="1B556B" w:themeFill="text2"/>
            <w:noWrap/>
            <w:hideMark/>
          </w:tcPr>
          <w:p w14:paraId="5F27F44C" w14:textId="77777777" w:rsidR="00533ACF" w:rsidRPr="00B275E2" w:rsidRDefault="00533ACF" w:rsidP="004D082F">
            <w:pPr>
              <w:pStyle w:val="TableText"/>
              <w:spacing w:before="50" w:after="5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275E2">
              <w:rPr>
                <w:rFonts w:cs="Calibri"/>
                <w:szCs w:val="18"/>
              </w:rPr>
              <w:t>kg N</w:t>
            </w:r>
            <w:r w:rsidRPr="00B275E2">
              <w:rPr>
                <w:rFonts w:cs="Calibri"/>
                <w:szCs w:val="18"/>
                <w:vertAlign w:val="subscript"/>
              </w:rPr>
              <w:t>2</w:t>
            </w:r>
            <w:r w:rsidRPr="00B275E2">
              <w:rPr>
                <w:rFonts w:cs="Calibri"/>
                <w:szCs w:val="18"/>
              </w:rPr>
              <w:t xml:space="preserve">O/unit </w:t>
            </w:r>
            <w:r w:rsidRPr="00B275E2">
              <w:rPr>
                <w:rFonts w:cs="Calibri"/>
                <w:szCs w:val="18"/>
              </w:rPr>
              <w:br/>
              <w:t>(kg CO</w:t>
            </w:r>
            <w:r w:rsidRPr="00B275E2">
              <w:rPr>
                <w:rFonts w:cs="Calibri"/>
                <w:szCs w:val="18"/>
                <w:vertAlign w:val="subscript"/>
              </w:rPr>
              <w:t>2</w:t>
            </w:r>
            <w:r w:rsidRPr="00B275E2">
              <w:rPr>
                <w:rFonts w:cs="Calibri"/>
                <w:szCs w:val="18"/>
              </w:rPr>
              <w:noBreakHyphen/>
              <w:t>e)</w:t>
            </w:r>
          </w:p>
        </w:tc>
      </w:tr>
      <w:tr w:rsidR="00533ACF" w:rsidRPr="00B275E2" w14:paraId="4E212982" w14:textId="77777777" w:rsidTr="00E46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single" w:sz="4" w:space="0" w:color="FFFFFF" w:themeColor="background1"/>
            </w:tcBorders>
          </w:tcPr>
          <w:p w14:paraId="4FE3EEC6" w14:textId="77777777" w:rsidR="00533ACF" w:rsidRPr="00B275E2" w:rsidRDefault="00533ACF" w:rsidP="004D082F">
            <w:pPr>
              <w:pStyle w:val="TableText"/>
              <w:spacing w:before="50" w:after="50"/>
              <w:rPr>
                <w:rFonts w:cs="Calibri"/>
                <w:b w:val="0"/>
                <w:szCs w:val="18"/>
              </w:rPr>
            </w:pPr>
            <w:r w:rsidRPr="00B275E2">
              <w:rPr>
                <w:rFonts w:cs="Calibri"/>
                <w:b w:val="0"/>
                <w:szCs w:val="18"/>
              </w:rPr>
              <w:t>Agricultural soils</w:t>
            </w:r>
          </w:p>
        </w:tc>
        <w:tc>
          <w:tcPr>
            <w:tcW w:w="0" w:type="auto"/>
            <w:vAlign w:val="bottom"/>
          </w:tcPr>
          <w:p w14:paraId="764BFBC4" w14:textId="77777777" w:rsidR="00533ACF" w:rsidRPr="00B275E2" w:rsidRDefault="00533ACF" w:rsidP="004D082F">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Dairy cattle</w:t>
            </w:r>
          </w:p>
        </w:tc>
        <w:tc>
          <w:tcPr>
            <w:tcW w:w="0" w:type="auto"/>
            <w:noWrap/>
            <w:vAlign w:val="bottom"/>
          </w:tcPr>
          <w:p w14:paraId="5C06863D" w14:textId="77777777" w:rsidR="00533ACF" w:rsidRPr="00B275E2" w:rsidRDefault="00533ACF" w:rsidP="004D082F">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per head</w:t>
            </w:r>
          </w:p>
        </w:tc>
        <w:tc>
          <w:tcPr>
            <w:tcW w:w="0" w:type="auto"/>
            <w:shd w:val="clear" w:color="auto" w:fill="D2DDE1" w:themeFill="background2"/>
            <w:noWrap/>
            <w:vAlign w:val="bottom"/>
          </w:tcPr>
          <w:p w14:paraId="0158ABB4" w14:textId="77777777" w:rsidR="00533ACF" w:rsidRPr="00B275E2" w:rsidRDefault="00533ACF" w:rsidP="004D082F">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468</w:t>
            </w:r>
          </w:p>
        </w:tc>
        <w:tc>
          <w:tcPr>
            <w:tcW w:w="0" w:type="auto"/>
            <w:shd w:val="clear" w:color="auto" w:fill="auto"/>
            <w:noWrap/>
            <w:vAlign w:val="bottom"/>
          </w:tcPr>
          <w:p w14:paraId="41BFCE30" w14:textId="77777777" w:rsidR="00533ACF" w:rsidRPr="00B275E2" w:rsidRDefault="00533ACF" w:rsidP="004D082F">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c>
          <w:tcPr>
            <w:tcW w:w="0" w:type="auto"/>
            <w:shd w:val="clear" w:color="auto" w:fill="auto"/>
            <w:noWrap/>
            <w:vAlign w:val="bottom"/>
          </w:tcPr>
          <w:p w14:paraId="7655F14F" w14:textId="77777777" w:rsidR="00533ACF" w:rsidRPr="00B275E2" w:rsidRDefault="00533ACF" w:rsidP="004D082F">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c>
          <w:tcPr>
            <w:tcW w:w="0" w:type="auto"/>
            <w:tcBorders>
              <w:right w:val="single" w:sz="4" w:space="0" w:color="FFFFFF" w:themeColor="background1"/>
            </w:tcBorders>
            <w:shd w:val="clear" w:color="auto" w:fill="auto"/>
            <w:noWrap/>
            <w:vAlign w:val="bottom"/>
          </w:tcPr>
          <w:p w14:paraId="5A176240" w14:textId="77777777" w:rsidR="00533ACF" w:rsidRPr="00B275E2" w:rsidRDefault="00533ACF" w:rsidP="004D082F">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468</w:t>
            </w:r>
          </w:p>
        </w:tc>
      </w:tr>
      <w:tr w:rsidR="00533ACF" w:rsidRPr="00B275E2" w14:paraId="398197F5" w14:textId="77777777" w:rsidTr="00E462C5">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FFFFFF" w:themeColor="background1"/>
            </w:tcBorders>
            <w:vAlign w:val="bottom"/>
          </w:tcPr>
          <w:p w14:paraId="69424E85" w14:textId="77777777" w:rsidR="00533ACF" w:rsidRPr="00B275E2" w:rsidRDefault="00533ACF" w:rsidP="004D082F">
            <w:pPr>
              <w:pStyle w:val="TableText"/>
              <w:spacing w:before="50" w:after="50"/>
              <w:rPr>
                <w:rFonts w:cs="Calibri"/>
                <w:szCs w:val="18"/>
              </w:rPr>
            </w:pPr>
          </w:p>
        </w:tc>
        <w:tc>
          <w:tcPr>
            <w:tcW w:w="0" w:type="auto"/>
            <w:vAlign w:val="bottom"/>
          </w:tcPr>
          <w:p w14:paraId="2FCB2C8B" w14:textId="77777777" w:rsidR="00533ACF" w:rsidRPr="00B275E2" w:rsidRDefault="00533ACF" w:rsidP="004D082F">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Non-dairy cattle</w:t>
            </w:r>
          </w:p>
        </w:tc>
        <w:tc>
          <w:tcPr>
            <w:tcW w:w="0" w:type="auto"/>
            <w:noWrap/>
            <w:vAlign w:val="bottom"/>
          </w:tcPr>
          <w:p w14:paraId="20789D60" w14:textId="77777777" w:rsidR="00533ACF" w:rsidRPr="00B275E2" w:rsidRDefault="00533ACF" w:rsidP="004D082F">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per head</w:t>
            </w:r>
          </w:p>
        </w:tc>
        <w:tc>
          <w:tcPr>
            <w:tcW w:w="0" w:type="auto"/>
            <w:shd w:val="clear" w:color="auto" w:fill="D2DDE1" w:themeFill="background2"/>
            <w:noWrap/>
            <w:vAlign w:val="bottom"/>
          </w:tcPr>
          <w:p w14:paraId="4E3A2D49" w14:textId="77777777" w:rsidR="00533ACF" w:rsidRPr="00B275E2" w:rsidRDefault="00533ACF" w:rsidP="004D082F">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267</w:t>
            </w:r>
          </w:p>
        </w:tc>
        <w:tc>
          <w:tcPr>
            <w:tcW w:w="0" w:type="auto"/>
            <w:shd w:val="clear" w:color="auto" w:fill="auto"/>
            <w:noWrap/>
            <w:vAlign w:val="bottom"/>
          </w:tcPr>
          <w:p w14:paraId="28E83950" w14:textId="77777777" w:rsidR="00533ACF" w:rsidRPr="00B275E2" w:rsidRDefault="00533ACF" w:rsidP="004D082F">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n/a</w:t>
            </w:r>
          </w:p>
        </w:tc>
        <w:tc>
          <w:tcPr>
            <w:tcW w:w="0" w:type="auto"/>
            <w:shd w:val="clear" w:color="auto" w:fill="auto"/>
            <w:noWrap/>
            <w:vAlign w:val="bottom"/>
          </w:tcPr>
          <w:p w14:paraId="6FEB8C33" w14:textId="77777777" w:rsidR="00533ACF" w:rsidRPr="00B275E2" w:rsidRDefault="00533ACF" w:rsidP="004D082F">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n/a</w:t>
            </w:r>
          </w:p>
        </w:tc>
        <w:tc>
          <w:tcPr>
            <w:tcW w:w="0" w:type="auto"/>
            <w:tcBorders>
              <w:right w:val="single" w:sz="4" w:space="0" w:color="FFFFFF" w:themeColor="background1"/>
            </w:tcBorders>
            <w:shd w:val="clear" w:color="auto" w:fill="auto"/>
            <w:noWrap/>
            <w:vAlign w:val="bottom"/>
          </w:tcPr>
          <w:p w14:paraId="3A6E6E13" w14:textId="77777777" w:rsidR="00533ACF" w:rsidRPr="00B275E2" w:rsidRDefault="00533ACF" w:rsidP="004D082F">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267</w:t>
            </w:r>
          </w:p>
        </w:tc>
      </w:tr>
      <w:tr w:rsidR="00533ACF" w:rsidRPr="00B275E2" w14:paraId="59BB2134" w14:textId="77777777" w:rsidTr="00E46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FFFFFF" w:themeColor="background1"/>
            </w:tcBorders>
            <w:vAlign w:val="bottom"/>
          </w:tcPr>
          <w:p w14:paraId="3BAF6FAA" w14:textId="77777777" w:rsidR="00533ACF" w:rsidRPr="00B275E2" w:rsidRDefault="00533ACF" w:rsidP="004D082F">
            <w:pPr>
              <w:pStyle w:val="TableText"/>
              <w:spacing w:before="50" w:after="50"/>
              <w:rPr>
                <w:rFonts w:cs="Calibri"/>
                <w:szCs w:val="18"/>
              </w:rPr>
            </w:pPr>
          </w:p>
        </w:tc>
        <w:tc>
          <w:tcPr>
            <w:tcW w:w="0" w:type="auto"/>
            <w:vAlign w:val="bottom"/>
          </w:tcPr>
          <w:p w14:paraId="545BA88B" w14:textId="77777777" w:rsidR="00533ACF" w:rsidRPr="00B275E2" w:rsidRDefault="00533ACF" w:rsidP="004D082F">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Sheep</w:t>
            </w:r>
          </w:p>
        </w:tc>
        <w:tc>
          <w:tcPr>
            <w:tcW w:w="0" w:type="auto"/>
            <w:noWrap/>
            <w:vAlign w:val="bottom"/>
          </w:tcPr>
          <w:p w14:paraId="5B5DC9E4" w14:textId="77777777" w:rsidR="00533ACF" w:rsidRPr="00B275E2" w:rsidRDefault="00533ACF" w:rsidP="004D082F">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per head</w:t>
            </w:r>
          </w:p>
        </w:tc>
        <w:tc>
          <w:tcPr>
            <w:tcW w:w="0" w:type="auto"/>
            <w:shd w:val="clear" w:color="auto" w:fill="D2DDE1" w:themeFill="background2"/>
            <w:noWrap/>
            <w:vAlign w:val="bottom"/>
          </w:tcPr>
          <w:p w14:paraId="38171129" w14:textId="77777777" w:rsidR="00533ACF" w:rsidRPr="00B275E2" w:rsidRDefault="00533ACF" w:rsidP="004D082F">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36.3</w:t>
            </w:r>
          </w:p>
        </w:tc>
        <w:tc>
          <w:tcPr>
            <w:tcW w:w="0" w:type="auto"/>
            <w:shd w:val="clear" w:color="auto" w:fill="auto"/>
            <w:noWrap/>
            <w:vAlign w:val="bottom"/>
          </w:tcPr>
          <w:p w14:paraId="67FA29DC" w14:textId="77777777" w:rsidR="00533ACF" w:rsidRPr="00B275E2" w:rsidRDefault="00533ACF" w:rsidP="004D082F">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c>
          <w:tcPr>
            <w:tcW w:w="0" w:type="auto"/>
            <w:shd w:val="clear" w:color="auto" w:fill="auto"/>
            <w:noWrap/>
            <w:vAlign w:val="bottom"/>
          </w:tcPr>
          <w:p w14:paraId="0324C035" w14:textId="77777777" w:rsidR="00533ACF" w:rsidRPr="00B275E2" w:rsidRDefault="00533ACF" w:rsidP="004D082F">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c>
          <w:tcPr>
            <w:tcW w:w="0" w:type="auto"/>
            <w:tcBorders>
              <w:right w:val="single" w:sz="4" w:space="0" w:color="FFFFFF" w:themeColor="background1"/>
            </w:tcBorders>
            <w:shd w:val="clear" w:color="auto" w:fill="auto"/>
            <w:noWrap/>
            <w:vAlign w:val="bottom"/>
          </w:tcPr>
          <w:p w14:paraId="33EE5838" w14:textId="77777777" w:rsidR="00533ACF" w:rsidRPr="00B275E2" w:rsidRDefault="00533ACF" w:rsidP="004D082F">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36.3</w:t>
            </w:r>
          </w:p>
        </w:tc>
      </w:tr>
      <w:tr w:rsidR="00533ACF" w:rsidRPr="00B275E2" w14:paraId="380787FC" w14:textId="77777777" w:rsidTr="00E462C5">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FFFFFF" w:themeColor="background1"/>
            </w:tcBorders>
            <w:vAlign w:val="bottom"/>
          </w:tcPr>
          <w:p w14:paraId="7AF5B5F5" w14:textId="77777777" w:rsidR="00533ACF" w:rsidRPr="00B275E2" w:rsidRDefault="00533ACF" w:rsidP="004D082F">
            <w:pPr>
              <w:pStyle w:val="TableText"/>
              <w:spacing w:before="50" w:after="50"/>
              <w:rPr>
                <w:rFonts w:cs="Calibri"/>
                <w:szCs w:val="18"/>
              </w:rPr>
            </w:pPr>
          </w:p>
        </w:tc>
        <w:tc>
          <w:tcPr>
            <w:tcW w:w="0" w:type="auto"/>
            <w:vAlign w:val="bottom"/>
          </w:tcPr>
          <w:p w14:paraId="3F5271B0" w14:textId="77777777" w:rsidR="00533ACF" w:rsidRPr="00B275E2" w:rsidRDefault="00533ACF" w:rsidP="004D082F">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Deer</w:t>
            </w:r>
          </w:p>
        </w:tc>
        <w:tc>
          <w:tcPr>
            <w:tcW w:w="0" w:type="auto"/>
            <w:noWrap/>
            <w:vAlign w:val="bottom"/>
          </w:tcPr>
          <w:p w14:paraId="58E0462D" w14:textId="77777777" w:rsidR="00533ACF" w:rsidRPr="00B275E2" w:rsidRDefault="00533ACF" w:rsidP="004D082F">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per head</w:t>
            </w:r>
          </w:p>
        </w:tc>
        <w:tc>
          <w:tcPr>
            <w:tcW w:w="0" w:type="auto"/>
            <w:shd w:val="clear" w:color="auto" w:fill="D2DDE1" w:themeFill="background2"/>
            <w:noWrap/>
            <w:vAlign w:val="bottom"/>
          </w:tcPr>
          <w:p w14:paraId="2EF11300" w14:textId="77777777" w:rsidR="00533ACF" w:rsidRPr="00B275E2" w:rsidRDefault="00533ACF" w:rsidP="004D082F">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83.8</w:t>
            </w:r>
          </w:p>
        </w:tc>
        <w:tc>
          <w:tcPr>
            <w:tcW w:w="0" w:type="auto"/>
            <w:shd w:val="clear" w:color="auto" w:fill="auto"/>
            <w:noWrap/>
            <w:vAlign w:val="bottom"/>
          </w:tcPr>
          <w:p w14:paraId="7172BAFE" w14:textId="77777777" w:rsidR="00533ACF" w:rsidRPr="00B275E2" w:rsidRDefault="00533ACF" w:rsidP="004D082F">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n/a</w:t>
            </w:r>
          </w:p>
        </w:tc>
        <w:tc>
          <w:tcPr>
            <w:tcW w:w="0" w:type="auto"/>
            <w:shd w:val="clear" w:color="auto" w:fill="auto"/>
            <w:noWrap/>
            <w:vAlign w:val="bottom"/>
          </w:tcPr>
          <w:p w14:paraId="597C93DD" w14:textId="77777777" w:rsidR="00533ACF" w:rsidRPr="00B275E2" w:rsidRDefault="00533ACF" w:rsidP="004D082F">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n/a</w:t>
            </w:r>
          </w:p>
        </w:tc>
        <w:tc>
          <w:tcPr>
            <w:tcW w:w="0" w:type="auto"/>
            <w:tcBorders>
              <w:right w:val="single" w:sz="4" w:space="0" w:color="FFFFFF" w:themeColor="background1"/>
            </w:tcBorders>
            <w:shd w:val="clear" w:color="auto" w:fill="auto"/>
            <w:noWrap/>
            <w:vAlign w:val="bottom"/>
          </w:tcPr>
          <w:p w14:paraId="1B416D37" w14:textId="77777777" w:rsidR="00533ACF" w:rsidRPr="00B275E2" w:rsidRDefault="00533ACF" w:rsidP="004D082F">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83.8</w:t>
            </w:r>
          </w:p>
        </w:tc>
      </w:tr>
      <w:tr w:rsidR="00533ACF" w:rsidRPr="00B275E2" w14:paraId="32EF1B49" w14:textId="77777777" w:rsidTr="00E46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FFFFFF" w:themeColor="background1"/>
            </w:tcBorders>
            <w:vAlign w:val="bottom"/>
          </w:tcPr>
          <w:p w14:paraId="13F8A072" w14:textId="77777777" w:rsidR="00533ACF" w:rsidRPr="00B275E2" w:rsidRDefault="00533ACF" w:rsidP="004D082F">
            <w:pPr>
              <w:pStyle w:val="TableText"/>
              <w:spacing w:before="50" w:after="50"/>
              <w:rPr>
                <w:rFonts w:cs="Calibri"/>
                <w:szCs w:val="18"/>
              </w:rPr>
            </w:pPr>
          </w:p>
        </w:tc>
        <w:tc>
          <w:tcPr>
            <w:tcW w:w="0" w:type="auto"/>
            <w:vAlign w:val="bottom"/>
          </w:tcPr>
          <w:p w14:paraId="442FFD58" w14:textId="77777777" w:rsidR="00533ACF" w:rsidRPr="00B275E2" w:rsidRDefault="00533ACF" w:rsidP="004D082F">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Swine</w:t>
            </w:r>
          </w:p>
        </w:tc>
        <w:tc>
          <w:tcPr>
            <w:tcW w:w="0" w:type="auto"/>
            <w:noWrap/>
            <w:vAlign w:val="bottom"/>
          </w:tcPr>
          <w:p w14:paraId="00170133" w14:textId="77777777" w:rsidR="00533ACF" w:rsidRPr="00B275E2" w:rsidRDefault="00533ACF" w:rsidP="004D082F">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per head</w:t>
            </w:r>
          </w:p>
        </w:tc>
        <w:tc>
          <w:tcPr>
            <w:tcW w:w="0" w:type="auto"/>
            <w:shd w:val="clear" w:color="auto" w:fill="D2DDE1" w:themeFill="background2"/>
            <w:noWrap/>
            <w:vAlign w:val="bottom"/>
          </w:tcPr>
          <w:p w14:paraId="0D95A80B" w14:textId="77777777" w:rsidR="00533ACF" w:rsidRPr="00B275E2" w:rsidRDefault="00533ACF" w:rsidP="004D082F">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5.40</w:t>
            </w:r>
          </w:p>
        </w:tc>
        <w:tc>
          <w:tcPr>
            <w:tcW w:w="0" w:type="auto"/>
            <w:shd w:val="clear" w:color="auto" w:fill="auto"/>
            <w:noWrap/>
            <w:vAlign w:val="bottom"/>
          </w:tcPr>
          <w:p w14:paraId="415C6F69" w14:textId="77777777" w:rsidR="00533ACF" w:rsidRPr="00B275E2" w:rsidRDefault="00533ACF" w:rsidP="004D082F">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c>
          <w:tcPr>
            <w:tcW w:w="0" w:type="auto"/>
            <w:shd w:val="clear" w:color="auto" w:fill="auto"/>
            <w:noWrap/>
            <w:vAlign w:val="bottom"/>
          </w:tcPr>
          <w:p w14:paraId="122AE63C" w14:textId="77777777" w:rsidR="00533ACF" w:rsidRPr="00B275E2" w:rsidRDefault="00533ACF" w:rsidP="004D082F">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c>
          <w:tcPr>
            <w:tcW w:w="0" w:type="auto"/>
            <w:tcBorders>
              <w:right w:val="single" w:sz="4" w:space="0" w:color="FFFFFF" w:themeColor="background1"/>
            </w:tcBorders>
            <w:shd w:val="clear" w:color="auto" w:fill="auto"/>
            <w:noWrap/>
            <w:vAlign w:val="bottom"/>
          </w:tcPr>
          <w:p w14:paraId="12CF39F5" w14:textId="77777777" w:rsidR="00533ACF" w:rsidRPr="00B275E2" w:rsidRDefault="00533ACF" w:rsidP="004D082F">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5.40</w:t>
            </w:r>
          </w:p>
        </w:tc>
      </w:tr>
      <w:tr w:rsidR="00533ACF" w:rsidRPr="00B275E2" w14:paraId="3B6E141A" w14:textId="77777777" w:rsidTr="00E462C5">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FFFFFF" w:themeColor="background1"/>
            </w:tcBorders>
            <w:vAlign w:val="bottom"/>
          </w:tcPr>
          <w:p w14:paraId="19F68A9A" w14:textId="77777777" w:rsidR="00533ACF" w:rsidRPr="00B275E2" w:rsidRDefault="00533ACF" w:rsidP="004D082F">
            <w:pPr>
              <w:pStyle w:val="TableText"/>
              <w:spacing w:before="50" w:after="50"/>
              <w:rPr>
                <w:rFonts w:cs="Calibri"/>
                <w:szCs w:val="18"/>
              </w:rPr>
            </w:pPr>
          </w:p>
        </w:tc>
        <w:tc>
          <w:tcPr>
            <w:tcW w:w="0" w:type="auto"/>
            <w:vAlign w:val="bottom"/>
          </w:tcPr>
          <w:p w14:paraId="222FE993" w14:textId="77777777" w:rsidR="00533ACF" w:rsidRPr="00B275E2" w:rsidRDefault="00533ACF" w:rsidP="004D082F">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Goats</w:t>
            </w:r>
          </w:p>
        </w:tc>
        <w:tc>
          <w:tcPr>
            <w:tcW w:w="0" w:type="auto"/>
            <w:noWrap/>
            <w:vAlign w:val="bottom"/>
          </w:tcPr>
          <w:p w14:paraId="232065A6" w14:textId="77777777" w:rsidR="00533ACF" w:rsidRPr="00B275E2" w:rsidRDefault="00533ACF" w:rsidP="004D082F">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per head</w:t>
            </w:r>
          </w:p>
        </w:tc>
        <w:tc>
          <w:tcPr>
            <w:tcW w:w="0" w:type="auto"/>
            <w:shd w:val="clear" w:color="auto" w:fill="D2DDE1" w:themeFill="background2"/>
            <w:noWrap/>
            <w:vAlign w:val="bottom"/>
          </w:tcPr>
          <w:p w14:paraId="2CE86274" w14:textId="77777777" w:rsidR="00533ACF" w:rsidRPr="00B275E2" w:rsidRDefault="00533ACF" w:rsidP="004D082F">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68.7</w:t>
            </w:r>
          </w:p>
        </w:tc>
        <w:tc>
          <w:tcPr>
            <w:tcW w:w="0" w:type="auto"/>
            <w:shd w:val="clear" w:color="auto" w:fill="auto"/>
            <w:noWrap/>
            <w:vAlign w:val="bottom"/>
          </w:tcPr>
          <w:p w14:paraId="6A15CB1D" w14:textId="77777777" w:rsidR="00533ACF" w:rsidRPr="00B275E2" w:rsidRDefault="00533ACF" w:rsidP="004D082F">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n/a</w:t>
            </w:r>
          </w:p>
        </w:tc>
        <w:tc>
          <w:tcPr>
            <w:tcW w:w="0" w:type="auto"/>
            <w:shd w:val="clear" w:color="auto" w:fill="auto"/>
            <w:noWrap/>
            <w:vAlign w:val="bottom"/>
          </w:tcPr>
          <w:p w14:paraId="611E029B" w14:textId="77777777" w:rsidR="00533ACF" w:rsidRPr="00B275E2" w:rsidRDefault="00533ACF" w:rsidP="004D082F">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n/a</w:t>
            </w:r>
          </w:p>
        </w:tc>
        <w:tc>
          <w:tcPr>
            <w:tcW w:w="0" w:type="auto"/>
            <w:tcBorders>
              <w:right w:val="single" w:sz="4" w:space="0" w:color="FFFFFF" w:themeColor="background1"/>
            </w:tcBorders>
            <w:shd w:val="clear" w:color="auto" w:fill="auto"/>
            <w:noWrap/>
            <w:vAlign w:val="bottom"/>
          </w:tcPr>
          <w:p w14:paraId="5756E3CD" w14:textId="77777777" w:rsidR="00533ACF" w:rsidRPr="00B275E2" w:rsidRDefault="00533ACF" w:rsidP="004D082F">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68.7</w:t>
            </w:r>
          </w:p>
        </w:tc>
      </w:tr>
      <w:tr w:rsidR="00533ACF" w:rsidRPr="00B275E2" w14:paraId="23B83668" w14:textId="77777777" w:rsidTr="00E46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FFFFFF" w:themeColor="background1"/>
            </w:tcBorders>
            <w:vAlign w:val="bottom"/>
          </w:tcPr>
          <w:p w14:paraId="0906011D" w14:textId="77777777" w:rsidR="00533ACF" w:rsidRPr="00B275E2" w:rsidRDefault="00533ACF" w:rsidP="004D082F">
            <w:pPr>
              <w:pStyle w:val="TableText"/>
              <w:spacing w:before="50" w:after="50"/>
              <w:rPr>
                <w:rFonts w:cs="Calibri"/>
                <w:szCs w:val="18"/>
              </w:rPr>
            </w:pPr>
          </w:p>
        </w:tc>
        <w:tc>
          <w:tcPr>
            <w:tcW w:w="0" w:type="auto"/>
            <w:vAlign w:val="bottom"/>
          </w:tcPr>
          <w:p w14:paraId="46657CF1" w14:textId="77777777" w:rsidR="00533ACF" w:rsidRPr="00B275E2" w:rsidRDefault="00533ACF" w:rsidP="004D082F">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Horses</w:t>
            </w:r>
          </w:p>
        </w:tc>
        <w:tc>
          <w:tcPr>
            <w:tcW w:w="0" w:type="auto"/>
            <w:noWrap/>
            <w:vAlign w:val="bottom"/>
          </w:tcPr>
          <w:p w14:paraId="3E77075D" w14:textId="77777777" w:rsidR="00533ACF" w:rsidRPr="00B275E2" w:rsidRDefault="00533ACF" w:rsidP="004D082F">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per head</w:t>
            </w:r>
          </w:p>
        </w:tc>
        <w:tc>
          <w:tcPr>
            <w:tcW w:w="0" w:type="auto"/>
            <w:shd w:val="clear" w:color="auto" w:fill="D2DDE1" w:themeFill="background2"/>
            <w:noWrap/>
            <w:vAlign w:val="bottom"/>
          </w:tcPr>
          <w:p w14:paraId="77623E25" w14:textId="77777777" w:rsidR="00533ACF" w:rsidRPr="00B275E2" w:rsidRDefault="00533ACF" w:rsidP="004D082F">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325</w:t>
            </w:r>
          </w:p>
        </w:tc>
        <w:tc>
          <w:tcPr>
            <w:tcW w:w="0" w:type="auto"/>
            <w:shd w:val="clear" w:color="auto" w:fill="auto"/>
            <w:noWrap/>
            <w:vAlign w:val="bottom"/>
          </w:tcPr>
          <w:p w14:paraId="0EF6F699" w14:textId="77777777" w:rsidR="00533ACF" w:rsidRPr="00B275E2" w:rsidRDefault="00533ACF" w:rsidP="004D082F">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c>
          <w:tcPr>
            <w:tcW w:w="0" w:type="auto"/>
            <w:shd w:val="clear" w:color="auto" w:fill="auto"/>
            <w:noWrap/>
            <w:vAlign w:val="bottom"/>
          </w:tcPr>
          <w:p w14:paraId="335F0773" w14:textId="77777777" w:rsidR="00533ACF" w:rsidRPr="00B275E2" w:rsidRDefault="00533ACF" w:rsidP="004D082F">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c>
          <w:tcPr>
            <w:tcW w:w="0" w:type="auto"/>
            <w:tcBorders>
              <w:right w:val="single" w:sz="4" w:space="0" w:color="FFFFFF" w:themeColor="background1"/>
            </w:tcBorders>
            <w:shd w:val="clear" w:color="auto" w:fill="auto"/>
            <w:noWrap/>
            <w:vAlign w:val="bottom"/>
          </w:tcPr>
          <w:p w14:paraId="5FADA5A3" w14:textId="77777777" w:rsidR="00533ACF" w:rsidRPr="00B275E2" w:rsidRDefault="00533ACF" w:rsidP="004D082F">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325</w:t>
            </w:r>
          </w:p>
        </w:tc>
      </w:tr>
      <w:tr w:rsidR="00533ACF" w:rsidRPr="00B275E2" w14:paraId="6DBC6FB5" w14:textId="77777777" w:rsidTr="00E462C5">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FFFFFF" w:themeColor="background1"/>
            </w:tcBorders>
            <w:vAlign w:val="bottom"/>
          </w:tcPr>
          <w:p w14:paraId="6D0C059A" w14:textId="77777777" w:rsidR="00533ACF" w:rsidRPr="00B275E2" w:rsidRDefault="00533ACF" w:rsidP="004D082F">
            <w:pPr>
              <w:pStyle w:val="TableText"/>
              <w:spacing w:before="50" w:after="50"/>
              <w:rPr>
                <w:rFonts w:cs="Calibri"/>
                <w:szCs w:val="18"/>
              </w:rPr>
            </w:pPr>
          </w:p>
        </w:tc>
        <w:tc>
          <w:tcPr>
            <w:tcW w:w="0" w:type="auto"/>
            <w:vAlign w:val="bottom"/>
          </w:tcPr>
          <w:p w14:paraId="013FCC47" w14:textId="6CE3564B" w:rsidR="00533ACF" w:rsidRPr="00B275E2" w:rsidRDefault="00533ACF" w:rsidP="004D082F">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Alpaca</w:t>
            </w:r>
            <w:r w:rsidR="008B13F7" w:rsidRPr="00B275E2">
              <w:rPr>
                <w:rFonts w:cs="Calibri"/>
                <w:szCs w:val="18"/>
              </w:rPr>
              <w:t xml:space="preserve"> and llama</w:t>
            </w:r>
          </w:p>
        </w:tc>
        <w:tc>
          <w:tcPr>
            <w:tcW w:w="0" w:type="auto"/>
            <w:noWrap/>
            <w:vAlign w:val="bottom"/>
          </w:tcPr>
          <w:p w14:paraId="078C5F7E" w14:textId="77777777" w:rsidR="00533ACF" w:rsidRPr="00B275E2" w:rsidRDefault="00533ACF" w:rsidP="004D082F">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per head</w:t>
            </w:r>
          </w:p>
        </w:tc>
        <w:tc>
          <w:tcPr>
            <w:tcW w:w="0" w:type="auto"/>
            <w:shd w:val="clear" w:color="auto" w:fill="D2DDE1" w:themeFill="background2"/>
            <w:noWrap/>
            <w:vAlign w:val="bottom"/>
          </w:tcPr>
          <w:p w14:paraId="2F3811E2" w14:textId="77777777" w:rsidR="00533ACF" w:rsidRPr="00B275E2" w:rsidRDefault="00533ACF" w:rsidP="004D082F">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75.9</w:t>
            </w:r>
          </w:p>
        </w:tc>
        <w:tc>
          <w:tcPr>
            <w:tcW w:w="0" w:type="auto"/>
            <w:shd w:val="clear" w:color="auto" w:fill="auto"/>
            <w:noWrap/>
            <w:vAlign w:val="bottom"/>
          </w:tcPr>
          <w:p w14:paraId="1512D76B" w14:textId="77777777" w:rsidR="00533ACF" w:rsidRPr="00B275E2" w:rsidRDefault="00533ACF" w:rsidP="004D082F">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n/a</w:t>
            </w:r>
          </w:p>
        </w:tc>
        <w:tc>
          <w:tcPr>
            <w:tcW w:w="0" w:type="auto"/>
            <w:shd w:val="clear" w:color="auto" w:fill="auto"/>
            <w:noWrap/>
            <w:vAlign w:val="bottom"/>
          </w:tcPr>
          <w:p w14:paraId="0EDEEA92" w14:textId="77777777" w:rsidR="00533ACF" w:rsidRPr="00B275E2" w:rsidRDefault="00533ACF" w:rsidP="004D082F">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n/a</w:t>
            </w:r>
          </w:p>
        </w:tc>
        <w:tc>
          <w:tcPr>
            <w:tcW w:w="0" w:type="auto"/>
            <w:tcBorders>
              <w:right w:val="single" w:sz="4" w:space="0" w:color="FFFFFF" w:themeColor="background1"/>
            </w:tcBorders>
            <w:shd w:val="clear" w:color="auto" w:fill="auto"/>
            <w:noWrap/>
            <w:vAlign w:val="bottom"/>
          </w:tcPr>
          <w:p w14:paraId="18D991D6" w14:textId="77777777" w:rsidR="00533ACF" w:rsidRPr="00B275E2" w:rsidRDefault="00533ACF" w:rsidP="004D082F">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75.9</w:t>
            </w:r>
          </w:p>
        </w:tc>
      </w:tr>
      <w:tr w:rsidR="00533ACF" w:rsidRPr="00B275E2" w14:paraId="38E1F986" w14:textId="77777777" w:rsidTr="00E46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FFFFFF" w:themeColor="background1"/>
            </w:tcBorders>
            <w:vAlign w:val="bottom"/>
          </w:tcPr>
          <w:p w14:paraId="71165458" w14:textId="77777777" w:rsidR="00533ACF" w:rsidRPr="00B275E2" w:rsidRDefault="00533ACF" w:rsidP="004D082F">
            <w:pPr>
              <w:pStyle w:val="TableText"/>
              <w:spacing w:before="50" w:after="50"/>
              <w:rPr>
                <w:rFonts w:cs="Calibri"/>
                <w:szCs w:val="18"/>
              </w:rPr>
            </w:pPr>
          </w:p>
        </w:tc>
        <w:tc>
          <w:tcPr>
            <w:tcW w:w="0" w:type="auto"/>
            <w:vAlign w:val="bottom"/>
          </w:tcPr>
          <w:p w14:paraId="00AEB79F" w14:textId="68727527" w:rsidR="00533ACF" w:rsidRPr="00B275E2" w:rsidRDefault="00533ACF" w:rsidP="004D082F">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 xml:space="preserve">Mules </w:t>
            </w:r>
            <w:r w:rsidR="004064C6" w:rsidRPr="00B275E2">
              <w:rPr>
                <w:rFonts w:cs="Calibri"/>
                <w:szCs w:val="18"/>
              </w:rPr>
              <w:t xml:space="preserve">and </w:t>
            </w:r>
            <w:r w:rsidRPr="00B275E2">
              <w:rPr>
                <w:rFonts w:cs="Calibri"/>
                <w:szCs w:val="18"/>
              </w:rPr>
              <w:t>asses</w:t>
            </w:r>
          </w:p>
        </w:tc>
        <w:tc>
          <w:tcPr>
            <w:tcW w:w="0" w:type="auto"/>
            <w:noWrap/>
            <w:vAlign w:val="bottom"/>
          </w:tcPr>
          <w:p w14:paraId="49C707C8" w14:textId="77777777" w:rsidR="00533ACF" w:rsidRPr="00B275E2" w:rsidRDefault="00533ACF" w:rsidP="004D082F">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per head</w:t>
            </w:r>
          </w:p>
        </w:tc>
        <w:tc>
          <w:tcPr>
            <w:tcW w:w="0" w:type="auto"/>
            <w:shd w:val="clear" w:color="auto" w:fill="D2DDE1" w:themeFill="background2"/>
            <w:noWrap/>
            <w:vAlign w:val="bottom"/>
          </w:tcPr>
          <w:p w14:paraId="73826643" w14:textId="77777777" w:rsidR="00533ACF" w:rsidRPr="00B275E2" w:rsidRDefault="00533ACF" w:rsidP="004D082F">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145</w:t>
            </w:r>
          </w:p>
        </w:tc>
        <w:tc>
          <w:tcPr>
            <w:tcW w:w="0" w:type="auto"/>
            <w:shd w:val="clear" w:color="auto" w:fill="auto"/>
            <w:noWrap/>
            <w:vAlign w:val="bottom"/>
          </w:tcPr>
          <w:p w14:paraId="6C99FF24" w14:textId="77777777" w:rsidR="00533ACF" w:rsidRPr="00B275E2" w:rsidRDefault="00533ACF" w:rsidP="004D082F">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c>
          <w:tcPr>
            <w:tcW w:w="0" w:type="auto"/>
            <w:shd w:val="clear" w:color="auto" w:fill="auto"/>
            <w:noWrap/>
            <w:vAlign w:val="bottom"/>
          </w:tcPr>
          <w:p w14:paraId="6ADDEA02" w14:textId="77777777" w:rsidR="00533ACF" w:rsidRPr="00B275E2" w:rsidRDefault="00533ACF" w:rsidP="004D082F">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n/a</w:t>
            </w:r>
          </w:p>
        </w:tc>
        <w:tc>
          <w:tcPr>
            <w:tcW w:w="0" w:type="auto"/>
            <w:tcBorders>
              <w:right w:val="single" w:sz="4" w:space="0" w:color="FFFFFF" w:themeColor="background1"/>
            </w:tcBorders>
            <w:shd w:val="clear" w:color="auto" w:fill="auto"/>
            <w:noWrap/>
            <w:vAlign w:val="bottom"/>
          </w:tcPr>
          <w:p w14:paraId="5E673826" w14:textId="77777777" w:rsidR="00533ACF" w:rsidRPr="00B275E2" w:rsidRDefault="00533ACF" w:rsidP="004D082F">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145</w:t>
            </w:r>
          </w:p>
        </w:tc>
      </w:tr>
      <w:tr w:rsidR="00533ACF" w:rsidRPr="00B275E2" w14:paraId="35814429" w14:textId="77777777" w:rsidTr="00E462C5">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FFFFFF" w:themeColor="background1"/>
            </w:tcBorders>
            <w:vAlign w:val="bottom"/>
          </w:tcPr>
          <w:p w14:paraId="502E5CD9" w14:textId="77777777" w:rsidR="00533ACF" w:rsidRPr="00B275E2" w:rsidRDefault="00533ACF" w:rsidP="004D082F">
            <w:pPr>
              <w:pStyle w:val="TableText"/>
              <w:spacing w:before="50" w:after="50"/>
              <w:rPr>
                <w:rFonts w:cs="Calibri"/>
                <w:szCs w:val="18"/>
              </w:rPr>
            </w:pPr>
          </w:p>
        </w:tc>
        <w:tc>
          <w:tcPr>
            <w:tcW w:w="0" w:type="auto"/>
            <w:vAlign w:val="bottom"/>
          </w:tcPr>
          <w:p w14:paraId="1DACE280" w14:textId="77777777" w:rsidR="00533ACF" w:rsidRPr="00B275E2" w:rsidRDefault="00533ACF" w:rsidP="004D082F">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Poultry</w:t>
            </w:r>
          </w:p>
        </w:tc>
        <w:tc>
          <w:tcPr>
            <w:tcW w:w="0" w:type="auto"/>
            <w:noWrap/>
            <w:vAlign w:val="bottom"/>
          </w:tcPr>
          <w:p w14:paraId="0C7A1109" w14:textId="77777777" w:rsidR="00533ACF" w:rsidRPr="00B275E2" w:rsidRDefault="00533ACF" w:rsidP="004D082F">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per head</w:t>
            </w:r>
          </w:p>
        </w:tc>
        <w:tc>
          <w:tcPr>
            <w:tcW w:w="0" w:type="auto"/>
            <w:shd w:val="clear" w:color="auto" w:fill="D2DDE1" w:themeFill="background2"/>
            <w:noWrap/>
            <w:vAlign w:val="bottom"/>
          </w:tcPr>
          <w:p w14:paraId="41EC3327" w14:textId="77777777" w:rsidR="00533ACF" w:rsidRPr="00B275E2" w:rsidRDefault="00533ACF" w:rsidP="004D082F">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0.11</w:t>
            </w:r>
          </w:p>
        </w:tc>
        <w:tc>
          <w:tcPr>
            <w:tcW w:w="0" w:type="auto"/>
            <w:shd w:val="clear" w:color="auto" w:fill="auto"/>
            <w:noWrap/>
            <w:vAlign w:val="bottom"/>
          </w:tcPr>
          <w:p w14:paraId="1D733171" w14:textId="77777777" w:rsidR="00533ACF" w:rsidRPr="00B275E2" w:rsidRDefault="00533ACF" w:rsidP="004D082F">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n/a</w:t>
            </w:r>
          </w:p>
        </w:tc>
        <w:tc>
          <w:tcPr>
            <w:tcW w:w="0" w:type="auto"/>
            <w:shd w:val="clear" w:color="auto" w:fill="auto"/>
            <w:noWrap/>
            <w:vAlign w:val="bottom"/>
          </w:tcPr>
          <w:p w14:paraId="673C8075" w14:textId="77777777" w:rsidR="00533ACF" w:rsidRPr="00B275E2" w:rsidRDefault="00533ACF" w:rsidP="004D082F">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n/a</w:t>
            </w:r>
          </w:p>
        </w:tc>
        <w:tc>
          <w:tcPr>
            <w:tcW w:w="0" w:type="auto"/>
            <w:tcBorders>
              <w:right w:val="single" w:sz="4" w:space="0" w:color="FFFFFF" w:themeColor="background1"/>
            </w:tcBorders>
            <w:shd w:val="clear" w:color="auto" w:fill="auto"/>
            <w:noWrap/>
            <w:vAlign w:val="bottom"/>
          </w:tcPr>
          <w:p w14:paraId="1719027D" w14:textId="77777777" w:rsidR="00533ACF" w:rsidRPr="00B275E2" w:rsidRDefault="00533ACF" w:rsidP="004D082F">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0.11</w:t>
            </w:r>
          </w:p>
        </w:tc>
      </w:tr>
    </w:tbl>
    <w:p w14:paraId="3B20AF10" w14:textId="77777777" w:rsidR="00533ACF" w:rsidRPr="00B275E2" w:rsidRDefault="00533ACF" w:rsidP="004D082F">
      <w:pPr>
        <w:pStyle w:val="Note"/>
        <w:spacing w:after="0"/>
      </w:pPr>
      <w:r w:rsidRPr="00B275E2">
        <w:t xml:space="preserve">Note: These numbers are rounded to three significant figures unless the number is significantly small. </w:t>
      </w:r>
    </w:p>
    <w:p w14:paraId="6FE8CE4E" w14:textId="77777777" w:rsidR="00533ACF" w:rsidRPr="00B275E2" w:rsidRDefault="00533ACF" w:rsidP="002234D0">
      <w:pPr>
        <w:pStyle w:val="Heading3"/>
      </w:pPr>
      <w:r w:rsidRPr="00B275E2">
        <w:t>GHG inventory development</w:t>
      </w:r>
    </w:p>
    <w:p w14:paraId="513F69D7" w14:textId="78AF7F42" w:rsidR="00533ACF" w:rsidRPr="00B275E2" w:rsidRDefault="00533ACF" w:rsidP="00533ACF">
      <w:pPr>
        <w:pStyle w:val="BodyText"/>
      </w:pPr>
      <w:r w:rsidRPr="00B275E2">
        <w:t xml:space="preserve">Organisations should collect data on the number and type of livestock they had as at 30 June during the measurement period. Applying the equation </w:t>
      </w:r>
      <w:r w:rsidR="004D78B6" w:rsidRPr="00B275E2">
        <w:t>E= Q x F (</w:t>
      </w:r>
      <w:hyperlink w:anchor="_How_to_quantify" w:history="1">
        <w:r w:rsidRPr="00B275E2">
          <w:rPr>
            <w:rStyle w:val="Hyperlink"/>
          </w:rPr>
          <w:t>section 2</w:t>
        </w:r>
      </w:hyperlink>
      <w:r w:rsidR="004D78B6" w:rsidRPr="00B275E2">
        <w:rPr>
          <w:rStyle w:val="Hyperlink"/>
          <w:color w:val="auto"/>
        </w:rPr>
        <w:t>)</w:t>
      </w:r>
      <w:r w:rsidRPr="00B275E2">
        <w:t>, this means:</w:t>
      </w:r>
    </w:p>
    <w:p w14:paraId="62DDD060" w14:textId="06861461" w:rsidR="004D78B6" w:rsidRPr="00B275E2" w:rsidRDefault="004D78B6" w:rsidP="00D34C82">
      <w:pPr>
        <w:pStyle w:val="BodyText"/>
        <w:tabs>
          <w:tab w:val="left" w:pos="680"/>
          <w:tab w:val="left" w:pos="1134"/>
        </w:tabs>
        <w:contextualSpacing/>
      </w:pPr>
      <w:r w:rsidRPr="00B275E2">
        <w:t>E</w:t>
      </w:r>
      <w:r w:rsidRPr="00B275E2">
        <w:tab/>
        <w:t>=</w:t>
      </w:r>
      <w:r w:rsidRPr="00B275E2">
        <w:tab/>
        <w:t>emissions from the emissions source in kg CO</w:t>
      </w:r>
      <w:r w:rsidRPr="00B275E2">
        <w:rPr>
          <w:vertAlign w:val="subscript"/>
        </w:rPr>
        <w:t>2</w:t>
      </w:r>
      <w:r w:rsidRPr="00B275E2">
        <w:t>-e per year</w:t>
      </w:r>
    </w:p>
    <w:p w14:paraId="08CC3F57" w14:textId="3BD7DA48" w:rsidR="00533ACF" w:rsidRPr="00B275E2" w:rsidRDefault="00533ACF" w:rsidP="00D34C82">
      <w:pPr>
        <w:pStyle w:val="BodyText"/>
        <w:tabs>
          <w:tab w:val="left" w:pos="680"/>
          <w:tab w:val="left" w:pos="1134"/>
        </w:tabs>
        <w:contextualSpacing/>
      </w:pPr>
      <w:r w:rsidRPr="00B275E2">
        <w:t>Q</w:t>
      </w:r>
      <w:r w:rsidRPr="00B275E2">
        <w:tab/>
        <w:t>=</w:t>
      </w:r>
      <w:r w:rsidRPr="00B275E2">
        <w:tab/>
        <w:t>number of animals (per head per type)</w:t>
      </w:r>
    </w:p>
    <w:p w14:paraId="1EA6A51B" w14:textId="5A6EFB98" w:rsidR="00533ACF" w:rsidRPr="00B275E2" w:rsidRDefault="00533ACF" w:rsidP="00D34C82">
      <w:pPr>
        <w:pStyle w:val="BodyText"/>
        <w:tabs>
          <w:tab w:val="left" w:pos="680"/>
          <w:tab w:val="left" w:pos="1134"/>
        </w:tabs>
        <w:spacing w:after="240"/>
        <w:contextualSpacing/>
      </w:pPr>
      <w:r w:rsidRPr="00B275E2">
        <w:t>F</w:t>
      </w:r>
      <w:r w:rsidRPr="00B275E2">
        <w:tab/>
        <w:t>=</w:t>
      </w:r>
      <w:r w:rsidRPr="00B275E2">
        <w:tab/>
        <w:t xml:space="preserve">appropriate emission factors from table </w:t>
      </w:r>
      <w:r w:rsidR="008B13F7" w:rsidRPr="00B275E2">
        <w:t>9</w:t>
      </w:r>
      <w:r w:rsidR="00EE24CD">
        <w:t>6</w:t>
      </w:r>
    </w:p>
    <w:tbl>
      <w:tblPr>
        <w:tblW w:w="8500"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0"/>
      </w:tblGrid>
      <w:tr w:rsidR="00533ACF" w:rsidRPr="00B275E2" w14:paraId="1FF0750A" w14:textId="77777777" w:rsidTr="00D34C82">
        <w:tc>
          <w:tcPr>
            <w:tcW w:w="8500" w:type="dxa"/>
            <w:tcBorders>
              <w:top w:val="single" w:sz="4" w:space="0" w:color="0F7B7D"/>
              <w:left w:val="single" w:sz="4" w:space="0" w:color="0F7B7D"/>
              <w:bottom w:val="nil"/>
              <w:right w:val="single" w:sz="4" w:space="0" w:color="0F7B7D"/>
            </w:tcBorders>
            <w:shd w:val="clear" w:color="auto" w:fill="0F7B7D"/>
            <w:vAlign w:val="center"/>
          </w:tcPr>
          <w:p w14:paraId="7A18AEA2" w14:textId="77777777" w:rsidR="00533ACF" w:rsidRPr="00B275E2" w:rsidDel="00D5390D" w:rsidRDefault="00533ACF" w:rsidP="00667DD4">
            <w:pPr>
              <w:pStyle w:val="Casestudyheading"/>
            </w:pPr>
            <w:r w:rsidRPr="00B275E2">
              <w:t>Agricultural soils: Example Calculation</w:t>
            </w:r>
          </w:p>
        </w:tc>
      </w:tr>
      <w:tr w:rsidR="00533ACF" w:rsidRPr="00B275E2" w14:paraId="1800CAFD" w14:textId="77777777" w:rsidTr="00D34C82">
        <w:trPr>
          <w:trHeight w:val="617"/>
        </w:trPr>
        <w:tc>
          <w:tcPr>
            <w:tcW w:w="8500" w:type="dxa"/>
            <w:tcBorders>
              <w:top w:val="nil"/>
              <w:left w:val="single" w:sz="4" w:space="0" w:color="D5EBE8" w:themeColor="accent3"/>
              <w:bottom w:val="single" w:sz="4" w:space="0" w:color="D5EBE8" w:themeColor="accent3"/>
              <w:right w:val="single" w:sz="4" w:space="0" w:color="D5EBE8" w:themeColor="accent3"/>
            </w:tcBorders>
            <w:shd w:val="clear" w:color="auto" w:fill="D5EBE8" w:themeFill="accent3"/>
          </w:tcPr>
          <w:p w14:paraId="66C6C198" w14:textId="494B7223" w:rsidR="00533ACF" w:rsidRPr="00B275E2" w:rsidRDefault="00533ACF" w:rsidP="00D34C82">
            <w:pPr>
              <w:pStyle w:val="Boxtext"/>
              <w:spacing w:after="80"/>
            </w:pPr>
            <w:r w:rsidRPr="00B275E2">
              <w:t xml:space="preserve">An organisation owns </w:t>
            </w:r>
            <w:r w:rsidR="009E2080" w:rsidRPr="00B275E2">
              <w:t>2</w:t>
            </w:r>
            <w:r w:rsidR="008A50D7" w:rsidRPr="00B275E2">
              <w:t>,</w:t>
            </w:r>
            <w:r w:rsidR="009E2080" w:rsidRPr="00B275E2">
              <w:t>400</w:t>
            </w:r>
            <w:r w:rsidRPr="00B275E2">
              <w:t xml:space="preserve"> sheep and </w:t>
            </w:r>
            <w:r w:rsidR="009E2080" w:rsidRPr="00B275E2">
              <w:t>210</w:t>
            </w:r>
            <w:r w:rsidRPr="00B275E2">
              <w:t xml:space="preserve"> dairy cows on 30 June during the reporting period. They graze on land owned by the organisation.</w:t>
            </w:r>
          </w:p>
          <w:p w14:paraId="71FDD090" w14:textId="77777777" w:rsidR="00533ACF" w:rsidRPr="00B275E2" w:rsidRDefault="00533ACF" w:rsidP="00D34C82">
            <w:pPr>
              <w:pStyle w:val="Boxtext"/>
              <w:tabs>
                <w:tab w:val="left" w:pos="2847"/>
                <w:tab w:val="left" w:pos="5399"/>
              </w:tabs>
              <w:spacing w:before="20" w:after="20"/>
              <w:ind w:left="850"/>
            </w:pPr>
            <w:r w:rsidRPr="00B275E2">
              <w:t>CO</w:t>
            </w:r>
            <w:r w:rsidRPr="00B275E2">
              <w:rPr>
                <w:vertAlign w:val="subscript"/>
              </w:rPr>
              <w:t>2</w:t>
            </w:r>
            <w:r w:rsidRPr="00B275E2">
              <w:t xml:space="preserve"> emissions </w:t>
            </w:r>
            <w:r w:rsidRPr="00B275E2">
              <w:tab/>
              <w:t>= n/a</w:t>
            </w:r>
          </w:p>
          <w:p w14:paraId="3137172E" w14:textId="77777777" w:rsidR="00533ACF" w:rsidRPr="00B275E2" w:rsidRDefault="00533ACF" w:rsidP="00D34C82">
            <w:pPr>
              <w:pStyle w:val="Boxtext"/>
              <w:tabs>
                <w:tab w:val="left" w:pos="2847"/>
                <w:tab w:val="left" w:pos="5399"/>
              </w:tabs>
              <w:spacing w:before="20" w:after="20"/>
              <w:ind w:left="850"/>
            </w:pPr>
            <w:r w:rsidRPr="00B275E2">
              <w:t>CH</w:t>
            </w:r>
            <w:r w:rsidRPr="00B275E2">
              <w:rPr>
                <w:vertAlign w:val="subscript"/>
              </w:rPr>
              <w:t>4</w:t>
            </w:r>
            <w:r w:rsidRPr="00B275E2">
              <w:t xml:space="preserve"> emissions </w:t>
            </w:r>
            <w:r w:rsidRPr="00B275E2">
              <w:tab/>
              <w:t xml:space="preserve">= n/a </w:t>
            </w:r>
          </w:p>
          <w:p w14:paraId="298104B9" w14:textId="6E668E04" w:rsidR="00533ACF" w:rsidRPr="00B275E2" w:rsidRDefault="00533ACF" w:rsidP="00D34C82">
            <w:pPr>
              <w:pStyle w:val="Boxtext"/>
              <w:tabs>
                <w:tab w:val="left" w:pos="2847"/>
                <w:tab w:val="left" w:pos="5399"/>
              </w:tabs>
              <w:spacing w:before="20" w:after="20"/>
              <w:ind w:left="850"/>
            </w:pPr>
            <w:r w:rsidRPr="00B275E2">
              <w:t>N</w:t>
            </w:r>
            <w:r w:rsidRPr="00B275E2">
              <w:rPr>
                <w:vertAlign w:val="subscript"/>
              </w:rPr>
              <w:t>2</w:t>
            </w:r>
            <w:r w:rsidRPr="00B275E2">
              <w:t xml:space="preserve">O emissions </w:t>
            </w:r>
            <w:r w:rsidRPr="00B275E2">
              <w:tab/>
              <w:t>= (</w:t>
            </w:r>
            <w:r w:rsidR="008A444F" w:rsidRPr="00B275E2">
              <w:t>2</w:t>
            </w:r>
            <w:r w:rsidR="008A50D7" w:rsidRPr="00B275E2">
              <w:t>,</w:t>
            </w:r>
            <w:r w:rsidR="008A444F" w:rsidRPr="00B275E2">
              <w:t>400</w:t>
            </w:r>
            <w:r w:rsidRPr="00B275E2">
              <w:t xml:space="preserve"> × 36.</w:t>
            </w:r>
            <w:r w:rsidR="002E3331" w:rsidRPr="00B275E2">
              <w:t>3</w:t>
            </w:r>
            <w:r w:rsidRPr="00B275E2">
              <w:t>) + (</w:t>
            </w:r>
            <w:r w:rsidR="008A444F" w:rsidRPr="00B275E2">
              <w:t>210</w:t>
            </w:r>
            <w:r w:rsidRPr="00B275E2">
              <w:t xml:space="preserve"> × </w:t>
            </w:r>
            <w:r w:rsidR="0047263C" w:rsidRPr="00B275E2">
              <w:t>468</w:t>
            </w:r>
            <w:r w:rsidRPr="00B275E2">
              <w:t>)</w:t>
            </w:r>
            <w:r w:rsidRPr="00B275E2">
              <w:tab/>
              <w:t xml:space="preserve">= </w:t>
            </w:r>
            <w:r w:rsidR="00383A23" w:rsidRPr="00B275E2">
              <w:t>185,400</w:t>
            </w:r>
            <w:r w:rsidRPr="00B275E2">
              <w:t xml:space="preserve"> kg CO</w:t>
            </w:r>
            <w:r w:rsidRPr="00B275E2">
              <w:rPr>
                <w:vertAlign w:val="subscript"/>
              </w:rPr>
              <w:t>2</w:t>
            </w:r>
            <w:r w:rsidRPr="00B275E2">
              <w:t>-e</w:t>
            </w:r>
          </w:p>
          <w:p w14:paraId="559EEBD9" w14:textId="23FEA094" w:rsidR="00533ACF" w:rsidRPr="00B275E2" w:rsidRDefault="00533ACF" w:rsidP="00D34C82">
            <w:pPr>
              <w:pStyle w:val="Boxtext"/>
              <w:tabs>
                <w:tab w:val="left" w:pos="2847"/>
                <w:tab w:val="left" w:pos="5399"/>
              </w:tabs>
              <w:spacing w:before="20" w:after="20"/>
              <w:ind w:left="850"/>
            </w:pPr>
            <w:r w:rsidRPr="00B275E2">
              <w:t>Total CO</w:t>
            </w:r>
            <w:r w:rsidRPr="00B275E2">
              <w:rPr>
                <w:vertAlign w:val="subscript"/>
              </w:rPr>
              <w:t>2</w:t>
            </w:r>
            <w:r w:rsidRPr="00B275E2">
              <w:t xml:space="preserve">-e emissions </w:t>
            </w:r>
            <w:r w:rsidRPr="00B275E2">
              <w:tab/>
              <w:t xml:space="preserve">= </w:t>
            </w:r>
            <w:r w:rsidR="00383A23" w:rsidRPr="00B275E2">
              <w:t>185,400</w:t>
            </w:r>
            <w:r w:rsidRPr="00B275E2">
              <w:t xml:space="preserve"> kg CO</w:t>
            </w:r>
            <w:r w:rsidRPr="00B275E2">
              <w:rPr>
                <w:vertAlign w:val="subscript"/>
              </w:rPr>
              <w:t>2</w:t>
            </w:r>
            <w:r w:rsidRPr="00B275E2">
              <w:t>-e</w:t>
            </w:r>
          </w:p>
          <w:p w14:paraId="4CCAB7FA" w14:textId="77777777" w:rsidR="00533ACF" w:rsidRPr="00B275E2" w:rsidRDefault="00533ACF" w:rsidP="00D34C82">
            <w:pPr>
              <w:pStyle w:val="Boxtext"/>
              <w:spacing w:after="180"/>
            </w:pPr>
            <w:r w:rsidRPr="00B275E2">
              <w:rPr>
                <w:sz w:val="18"/>
              </w:rPr>
              <w:t>Note: Numbers may not add due to rounding.</w:t>
            </w:r>
          </w:p>
        </w:tc>
      </w:tr>
    </w:tbl>
    <w:p w14:paraId="7178053A" w14:textId="77777777" w:rsidR="00533ACF" w:rsidRPr="00B275E2" w:rsidRDefault="00533ACF" w:rsidP="002234D0">
      <w:pPr>
        <w:pStyle w:val="Heading3"/>
      </w:pPr>
      <w:r w:rsidRPr="00B275E2">
        <w:t>Emission factor derivation methodology</w:t>
      </w:r>
    </w:p>
    <w:p w14:paraId="246D808D" w14:textId="6EB6E004" w:rsidR="00533ACF" w:rsidRPr="00B275E2" w:rsidRDefault="00533ACF" w:rsidP="00533ACF">
      <w:pPr>
        <w:pStyle w:val="BodyText"/>
      </w:pPr>
      <w:r w:rsidRPr="00B275E2">
        <w:t xml:space="preserve">We calculated the emission factors from the Agricultural Inventory Model, used in </w:t>
      </w:r>
      <w:r w:rsidRPr="00B275E2">
        <w:rPr>
          <w:i/>
          <w:iCs/>
        </w:rPr>
        <w:t>New Zealand’s Greenhouse Gas Inventory 1990–2020</w:t>
      </w:r>
      <w:r w:rsidRPr="00B275E2">
        <w:t xml:space="preserve">. These data are in table </w:t>
      </w:r>
      <w:r w:rsidR="008B13F7" w:rsidRPr="00B275E2">
        <w:t>9</w:t>
      </w:r>
      <w:r w:rsidR="00EE24CD">
        <w:t>7</w:t>
      </w:r>
      <w:r w:rsidR="008B13F7" w:rsidRPr="00B275E2">
        <w:t>.</w:t>
      </w:r>
    </w:p>
    <w:p w14:paraId="17E96C14" w14:textId="5D2F3B1E" w:rsidR="00533ACF" w:rsidRPr="00B275E2" w:rsidRDefault="005B0BFB" w:rsidP="00533ACF">
      <w:pPr>
        <w:pStyle w:val="Tableheading"/>
      </w:pPr>
      <w:bookmarkStart w:id="643" w:name="_Toc111536702"/>
      <w:r w:rsidRPr="00B275E2">
        <w:t xml:space="preserve">Table </w:t>
      </w:r>
      <w:r w:rsidRPr="00B275E2">
        <w:fldChar w:fldCharType="begin"/>
      </w:r>
      <w:r w:rsidRPr="00B275E2">
        <w:instrText>SEQ Table \* ARABIC</w:instrText>
      </w:r>
      <w:r w:rsidRPr="00B275E2">
        <w:fldChar w:fldCharType="separate"/>
      </w:r>
      <w:r>
        <w:rPr>
          <w:noProof/>
        </w:rPr>
        <w:t>97</w:t>
      </w:r>
      <w:r w:rsidRPr="00B275E2">
        <w:fldChar w:fldCharType="end"/>
      </w:r>
      <w:r w:rsidRPr="00B275E2">
        <w:t>:</w:t>
      </w:r>
      <w:r w:rsidRPr="00B275E2">
        <w:tab/>
      </w:r>
      <w:r w:rsidR="00533ACF" w:rsidRPr="00B275E2">
        <w:t>Data used for agricultural soils emission factors</w:t>
      </w:r>
      <w:bookmarkEnd w:id="643"/>
    </w:p>
    <w:tbl>
      <w:tblPr>
        <w:tblStyle w:val="LightList-Accent11"/>
        <w:tblW w:w="8505" w:type="dxa"/>
        <w:tblInd w:w="20"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ook w:val="04A0" w:firstRow="1" w:lastRow="0" w:firstColumn="1" w:lastColumn="0" w:noHBand="0" w:noVBand="1"/>
      </w:tblPr>
      <w:tblGrid>
        <w:gridCol w:w="2835"/>
        <w:gridCol w:w="2835"/>
        <w:gridCol w:w="2835"/>
      </w:tblGrid>
      <w:tr w:rsidR="00533ACF" w:rsidRPr="00B275E2" w14:paraId="52CFD4E8" w14:textId="77777777" w:rsidTr="00D34C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shd w:val="clear" w:color="auto" w:fill="1B556B" w:themeFill="text2"/>
          </w:tcPr>
          <w:p w14:paraId="70E40059" w14:textId="77777777" w:rsidR="00533ACF" w:rsidRPr="00B275E2" w:rsidRDefault="00533ACF" w:rsidP="00667DD4">
            <w:pPr>
              <w:pStyle w:val="TableText"/>
              <w:rPr>
                <w:szCs w:val="18"/>
              </w:rPr>
            </w:pPr>
            <w:r w:rsidRPr="00B275E2">
              <w:rPr>
                <w:szCs w:val="18"/>
              </w:rPr>
              <w:t xml:space="preserve">Animal </w:t>
            </w:r>
          </w:p>
        </w:tc>
        <w:tc>
          <w:tcPr>
            <w:tcW w:w="2835" w:type="dxa"/>
            <w:shd w:val="clear" w:color="auto" w:fill="1B556B" w:themeFill="text2"/>
          </w:tcPr>
          <w:p w14:paraId="75EE424D" w14:textId="77777777" w:rsidR="00533ACF" w:rsidRPr="00B275E2" w:rsidRDefault="00533ACF" w:rsidP="00667DD4">
            <w:pPr>
              <w:pStyle w:val="TableText"/>
              <w:jc w:val="right"/>
              <w:cnfStyle w:val="100000000000" w:firstRow="1" w:lastRow="0" w:firstColumn="0" w:lastColumn="0" w:oddVBand="0" w:evenVBand="0" w:oddHBand="0" w:evenHBand="0" w:firstRowFirstColumn="0" w:firstRowLastColumn="0" w:lastRowFirstColumn="0" w:lastRowLastColumn="0"/>
              <w:rPr>
                <w:szCs w:val="18"/>
              </w:rPr>
            </w:pPr>
            <w:r w:rsidRPr="00B275E2">
              <w:rPr>
                <w:szCs w:val="18"/>
              </w:rPr>
              <w:t>Population</w:t>
            </w:r>
          </w:p>
        </w:tc>
        <w:tc>
          <w:tcPr>
            <w:tcW w:w="2835" w:type="dxa"/>
            <w:shd w:val="clear" w:color="auto" w:fill="1B556B" w:themeFill="text2"/>
          </w:tcPr>
          <w:p w14:paraId="50727A6F" w14:textId="77777777" w:rsidR="00533ACF" w:rsidRPr="00B275E2" w:rsidRDefault="00533ACF" w:rsidP="00667DD4">
            <w:pPr>
              <w:pStyle w:val="TableText"/>
              <w:jc w:val="right"/>
              <w:cnfStyle w:val="100000000000" w:firstRow="1" w:lastRow="0" w:firstColumn="0" w:lastColumn="0" w:oddVBand="0" w:evenVBand="0" w:oddHBand="0" w:evenHBand="0" w:firstRowFirstColumn="0" w:firstRowLastColumn="0" w:lastRowFirstColumn="0" w:lastRowLastColumn="0"/>
              <w:rPr>
                <w:szCs w:val="18"/>
              </w:rPr>
            </w:pPr>
            <w:r w:rsidRPr="00B275E2">
              <w:rPr>
                <w:szCs w:val="18"/>
              </w:rPr>
              <w:t>Total agricultural soils (kt N</w:t>
            </w:r>
            <w:r w:rsidRPr="00B275E2">
              <w:rPr>
                <w:szCs w:val="18"/>
                <w:vertAlign w:val="subscript"/>
              </w:rPr>
              <w:t>2</w:t>
            </w:r>
            <w:r w:rsidRPr="00B275E2">
              <w:rPr>
                <w:szCs w:val="18"/>
              </w:rPr>
              <w:t>O)</w:t>
            </w:r>
          </w:p>
        </w:tc>
      </w:tr>
      <w:tr w:rsidR="00533ACF" w:rsidRPr="00B275E2" w14:paraId="76BA3C32" w14:textId="77777777" w:rsidTr="00E46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left w:val="single" w:sz="4" w:space="0" w:color="FFFFFF" w:themeColor="background1"/>
            </w:tcBorders>
          </w:tcPr>
          <w:p w14:paraId="0A27A74B" w14:textId="77777777" w:rsidR="00533ACF" w:rsidRPr="00B275E2" w:rsidRDefault="00533ACF" w:rsidP="00667DD4">
            <w:pPr>
              <w:pStyle w:val="TableText"/>
              <w:rPr>
                <w:b w:val="0"/>
                <w:szCs w:val="18"/>
              </w:rPr>
            </w:pPr>
            <w:r w:rsidRPr="00B275E2">
              <w:rPr>
                <w:b w:val="0"/>
                <w:szCs w:val="18"/>
              </w:rPr>
              <w:t>Dairy cattle</w:t>
            </w:r>
          </w:p>
        </w:tc>
        <w:tc>
          <w:tcPr>
            <w:tcW w:w="2835" w:type="dxa"/>
            <w:shd w:val="clear" w:color="auto" w:fill="auto"/>
            <w:vAlign w:val="bottom"/>
          </w:tcPr>
          <w:p w14:paraId="2E49A803" w14:textId="77777777" w:rsidR="00533ACF" w:rsidRPr="00B275E2" w:rsidRDefault="00533ACF" w:rsidP="00667DD4">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6,200,221</w:t>
            </w:r>
          </w:p>
        </w:tc>
        <w:tc>
          <w:tcPr>
            <w:tcW w:w="2835" w:type="dxa"/>
            <w:tcBorders>
              <w:right w:val="single" w:sz="4" w:space="0" w:color="FFFFFF" w:themeColor="background1"/>
            </w:tcBorders>
            <w:shd w:val="clear" w:color="auto" w:fill="auto"/>
            <w:vAlign w:val="bottom"/>
          </w:tcPr>
          <w:p w14:paraId="5ABF44AB" w14:textId="77777777" w:rsidR="00533ACF" w:rsidRPr="00B275E2" w:rsidRDefault="00533ACF" w:rsidP="00667DD4">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9.75</w:t>
            </w:r>
          </w:p>
        </w:tc>
      </w:tr>
      <w:tr w:rsidR="00533ACF" w:rsidRPr="00B275E2" w14:paraId="2BF1A6CB" w14:textId="77777777" w:rsidTr="00E462C5">
        <w:tc>
          <w:tcPr>
            <w:cnfStyle w:val="001000000000" w:firstRow="0" w:lastRow="0" w:firstColumn="1" w:lastColumn="0" w:oddVBand="0" w:evenVBand="0" w:oddHBand="0" w:evenHBand="0" w:firstRowFirstColumn="0" w:firstRowLastColumn="0" w:lastRowFirstColumn="0" w:lastRowLastColumn="0"/>
            <w:tcW w:w="2835" w:type="dxa"/>
            <w:tcBorders>
              <w:left w:val="single" w:sz="4" w:space="0" w:color="FFFFFF" w:themeColor="background1"/>
            </w:tcBorders>
          </w:tcPr>
          <w:p w14:paraId="61A42F77" w14:textId="77777777" w:rsidR="00533ACF" w:rsidRPr="00B275E2" w:rsidRDefault="00533ACF" w:rsidP="00667DD4">
            <w:pPr>
              <w:pStyle w:val="TableText"/>
              <w:rPr>
                <w:b w:val="0"/>
                <w:szCs w:val="18"/>
              </w:rPr>
            </w:pPr>
            <w:r w:rsidRPr="00B275E2">
              <w:rPr>
                <w:b w:val="0"/>
                <w:szCs w:val="18"/>
              </w:rPr>
              <w:t>Non-dairy cattle</w:t>
            </w:r>
          </w:p>
        </w:tc>
        <w:tc>
          <w:tcPr>
            <w:tcW w:w="2835" w:type="dxa"/>
            <w:shd w:val="clear" w:color="auto" w:fill="auto"/>
            <w:vAlign w:val="bottom"/>
          </w:tcPr>
          <w:p w14:paraId="72BDD83F" w14:textId="77777777" w:rsidR="00533ACF" w:rsidRPr="00B275E2" w:rsidRDefault="00533ACF" w:rsidP="00667D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3,882,568</w:t>
            </w:r>
          </w:p>
        </w:tc>
        <w:tc>
          <w:tcPr>
            <w:tcW w:w="2835" w:type="dxa"/>
            <w:tcBorders>
              <w:right w:val="single" w:sz="4" w:space="0" w:color="FFFFFF" w:themeColor="background1"/>
            </w:tcBorders>
            <w:shd w:val="clear" w:color="auto" w:fill="auto"/>
            <w:vAlign w:val="bottom"/>
          </w:tcPr>
          <w:p w14:paraId="781DD7ED" w14:textId="77777777" w:rsidR="00533ACF" w:rsidRPr="00B275E2" w:rsidRDefault="00533ACF" w:rsidP="00667D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3.48</w:t>
            </w:r>
          </w:p>
        </w:tc>
      </w:tr>
      <w:tr w:rsidR="00533ACF" w:rsidRPr="00B275E2" w14:paraId="19F58868" w14:textId="77777777" w:rsidTr="00E46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left w:val="single" w:sz="4" w:space="0" w:color="FFFFFF" w:themeColor="background1"/>
            </w:tcBorders>
          </w:tcPr>
          <w:p w14:paraId="709891C9" w14:textId="77777777" w:rsidR="00533ACF" w:rsidRPr="00B275E2" w:rsidRDefault="00533ACF" w:rsidP="00667DD4">
            <w:pPr>
              <w:pStyle w:val="TableText"/>
              <w:rPr>
                <w:b w:val="0"/>
                <w:szCs w:val="18"/>
              </w:rPr>
            </w:pPr>
            <w:r w:rsidRPr="00B275E2">
              <w:rPr>
                <w:b w:val="0"/>
                <w:szCs w:val="18"/>
              </w:rPr>
              <w:t>Sheep</w:t>
            </w:r>
          </w:p>
        </w:tc>
        <w:tc>
          <w:tcPr>
            <w:tcW w:w="2835" w:type="dxa"/>
            <w:shd w:val="clear" w:color="auto" w:fill="auto"/>
            <w:vAlign w:val="bottom"/>
          </w:tcPr>
          <w:p w14:paraId="281DB645" w14:textId="77777777" w:rsidR="00533ACF" w:rsidRPr="00B275E2" w:rsidRDefault="00533ACF" w:rsidP="00667DD4">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26,028,935</w:t>
            </w:r>
          </w:p>
        </w:tc>
        <w:tc>
          <w:tcPr>
            <w:tcW w:w="2835" w:type="dxa"/>
            <w:tcBorders>
              <w:right w:val="single" w:sz="4" w:space="0" w:color="FFFFFF" w:themeColor="background1"/>
            </w:tcBorders>
            <w:shd w:val="clear" w:color="auto" w:fill="auto"/>
            <w:vAlign w:val="bottom"/>
          </w:tcPr>
          <w:p w14:paraId="16E63E6D" w14:textId="77777777" w:rsidR="00533ACF" w:rsidRPr="00B275E2" w:rsidRDefault="00533ACF" w:rsidP="00667DD4">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3.17</w:t>
            </w:r>
          </w:p>
        </w:tc>
      </w:tr>
      <w:tr w:rsidR="00533ACF" w:rsidRPr="00B275E2" w14:paraId="0453E25F" w14:textId="77777777" w:rsidTr="00E462C5">
        <w:tc>
          <w:tcPr>
            <w:cnfStyle w:val="001000000000" w:firstRow="0" w:lastRow="0" w:firstColumn="1" w:lastColumn="0" w:oddVBand="0" w:evenVBand="0" w:oddHBand="0" w:evenHBand="0" w:firstRowFirstColumn="0" w:firstRowLastColumn="0" w:lastRowFirstColumn="0" w:lastRowLastColumn="0"/>
            <w:tcW w:w="2835" w:type="dxa"/>
            <w:tcBorders>
              <w:left w:val="single" w:sz="4" w:space="0" w:color="FFFFFF" w:themeColor="background1"/>
            </w:tcBorders>
          </w:tcPr>
          <w:p w14:paraId="7B7EC915" w14:textId="77777777" w:rsidR="00533ACF" w:rsidRPr="00B275E2" w:rsidRDefault="00533ACF" w:rsidP="00667DD4">
            <w:pPr>
              <w:pStyle w:val="TableText"/>
              <w:rPr>
                <w:b w:val="0"/>
                <w:szCs w:val="18"/>
              </w:rPr>
            </w:pPr>
            <w:r w:rsidRPr="00B275E2">
              <w:rPr>
                <w:b w:val="0"/>
                <w:szCs w:val="18"/>
              </w:rPr>
              <w:t>Deer</w:t>
            </w:r>
          </w:p>
        </w:tc>
        <w:tc>
          <w:tcPr>
            <w:tcW w:w="2835" w:type="dxa"/>
            <w:shd w:val="clear" w:color="auto" w:fill="auto"/>
            <w:vAlign w:val="bottom"/>
          </w:tcPr>
          <w:p w14:paraId="49F51986" w14:textId="77777777" w:rsidR="00533ACF" w:rsidRPr="00B275E2" w:rsidRDefault="00533ACF" w:rsidP="00667D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833,258</w:t>
            </w:r>
          </w:p>
        </w:tc>
        <w:tc>
          <w:tcPr>
            <w:tcW w:w="2835" w:type="dxa"/>
            <w:tcBorders>
              <w:right w:val="single" w:sz="4" w:space="0" w:color="FFFFFF" w:themeColor="background1"/>
            </w:tcBorders>
            <w:shd w:val="clear" w:color="auto" w:fill="auto"/>
            <w:vAlign w:val="bottom"/>
          </w:tcPr>
          <w:p w14:paraId="5AE0FCEC" w14:textId="77777777" w:rsidR="00533ACF" w:rsidRPr="00B275E2" w:rsidRDefault="00533ACF" w:rsidP="00667D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0.23</w:t>
            </w:r>
          </w:p>
        </w:tc>
      </w:tr>
      <w:tr w:rsidR="00533ACF" w:rsidRPr="00B275E2" w14:paraId="0480E35F" w14:textId="77777777" w:rsidTr="00E46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left w:val="single" w:sz="4" w:space="0" w:color="FFFFFF" w:themeColor="background1"/>
            </w:tcBorders>
          </w:tcPr>
          <w:p w14:paraId="21201AEC" w14:textId="77777777" w:rsidR="00533ACF" w:rsidRPr="00B275E2" w:rsidRDefault="00533ACF" w:rsidP="00667DD4">
            <w:pPr>
              <w:pStyle w:val="TableText"/>
              <w:rPr>
                <w:b w:val="0"/>
                <w:bCs w:val="0"/>
                <w:szCs w:val="18"/>
              </w:rPr>
            </w:pPr>
            <w:r w:rsidRPr="00B275E2">
              <w:rPr>
                <w:b w:val="0"/>
                <w:bCs w:val="0"/>
                <w:szCs w:val="18"/>
              </w:rPr>
              <w:t>Swine</w:t>
            </w:r>
          </w:p>
        </w:tc>
        <w:tc>
          <w:tcPr>
            <w:tcW w:w="2835" w:type="dxa"/>
            <w:shd w:val="clear" w:color="auto" w:fill="auto"/>
            <w:vAlign w:val="bottom"/>
          </w:tcPr>
          <w:p w14:paraId="67B5A35A" w14:textId="77777777" w:rsidR="00533ACF" w:rsidRPr="00B275E2" w:rsidRDefault="00533ACF" w:rsidP="00667DD4">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234,533</w:t>
            </w:r>
          </w:p>
        </w:tc>
        <w:tc>
          <w:tcPr>
            <w:tcW w:w="2835" w:type="dxa"/>
            <w:tcBorders>
              <w:right w:val="single" w:sz="4" w:space="0" w:color="FFFFFF" w:themeColor="background1"/>
            </w:tcBorders>
            <w:shd w:val="clear" w:color="auto" w:fill="auto"/>
            <w:vAlign w:val="bottom"/>
          </w:tcPr>
          <w:p w14:paraId="3E48A8CF" w14:textId="77777777" w:rsidR="00533ACF" w:rsidRPr="00B275E2" w:rsidRDefault="00533ACF" w:rsidP="00667DD4">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0.004</w:t>
            </w:r>
          </w:p>
        </w:tc>
      </w:tr>
      <w:tr w:rsidR="00533ACF" w:rsidRPr="00B275E2" w14:paraId="3BFCBAC8" w14:textId="77777777" w:rsidTr="00E462C5">
        <w:tc>
          <w:tcPr>
            <w:cnfStyle w:val="001000000000" w:firstRow="0" w:lastRow="0" w:firstColumn="1" w:lastColumn="0" w:oddVBand="0" w:evenVBand="0" w:oddHBand="0" w:evenHBand="0" w:firstRowFirstColumn="0" w:firstRowLastColumn="0" w:lastRowFirstColumn="0" w:lastRowLastColumn="0"/>
            <w:tcW w:w="2835" w:type="dxa"/>
            <w:tcBorders>
              <w:left w:val="single" w:sz="4" w:space="0" w:color="FFFFFF" w:themeColor="background1"/>
            </w:tcBorders>
          </w:tcPr>
          <w:p w14:paraId="5F9F62A4" w14:textId="77777777" w:rsidR="00533ACF" w:rsidRPr="00B275E2" w:rsidRDefault="00533ACF" w:rsidP="00667DD4">
            <w:pPr>
              <w:pStyle w:val="TableText"/>
              <w:rPr>
                <w:b w:val="0"/>
                <w:bCs w:val="0"/>
                <w:szCs w:val="18"/>
              </w:rPr>
            </w:pPr>
            <w:r w:rsidRPr="00B275E2">
              <w:rPr>
                <w:b w:val="0"/>
                <w:bCs w:val="0"/>
                <w:szCs w:val="18"/>
              </w:rPr>
              <w:t>Goats</w:t>
            </w:r>
          </w:p>
        </w:tc>
        <w:tc>
          <w:tcPr>
            <w:tcW w:w="2835" w:type="dxa"/>
            <w:shd w:val="clear" w:color="auto" w:fill="auto"/>
            <w:vAlign w:val="bottom"/>
          </w:tcPr>
          <w:p w14:paraId="00981116" w14:textId="77777777" w:rsidR="00533ACF" w:rsidRPr="00B275E2" w:rsidRDefault="00533ACF" w:rsidP="00667DD4">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96,416</w:t>
            </w:r>
          </w:p>
        </w:tc>
        <w:tc>
          <w:tcPr>
            <w:tcW w:w="2835" w:type="dxa"/>
            <w:tcBorders>
              <w:right w:val="single" w:sz="4" w:space="0" w:color="FFFFFF" w:themeColor="background1"/>
            </w:tcBorders>
            <w:shd w:val="clear" w:color="auto" w:fill="auto"/>
            <w:vAlign w:val="bottom"/>
          </w:tcPr>
          <w:p w14:paraId="64D434DC" w14:textId="77777777" w:rsidR="00533ACF" w:rsidRPr="00B275E2" w:rsidRDefault="00533ACF" w:rsidP="00667DD4">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0.022</w:t>
            </w:r>
          </w:p>
        </w:tc>
      </w:tr>
      <w:tr w:rsidR="00533ACF" w:rsidRPr="00B275E2" w14:paraId="5D5A74A4" w14:textId="77777777" w:rsidTr="00E46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left w:val="single" w:sz="4" w:space="0" w:color="FFFFFF" w:themeColor="background1"/>
            </w:tcBorders>
          </w:tcPr>
          <w:p w14:paraId="69966E4F" w14:textId="77777777" w:rsidR="00533ACF" w:rsidRPr="00B275E2" w:rsidRDefault="00533ACF" w:rsidP="00667DD4">
            <w:pPr>
              <w:pStyle w:val="TableText"/>
              <w:rPr>
                <w:b w:val="0"/>
                <w:bCs w:val="0"/>
                <w:szCs w:val="18"/>
              </w:rPr>
            </w:pPr>
            <w:r w:rsidRPr="00B275E2">
              <w:rPr>
                <w:b w:val="0"/>
                <w:bCs w:val="0"/>
                <w:szCs w:val="18"/>
              </w:rPr>
              <w:t>Horses</w:t>
            </w:r>
          </w:p>
        </w:tc>
        <w:tc>
          <w:tcPr>
            <w:tcW w:w="2835" w:type="dxa"/>
            <w:shd w:val="clear" w:color="auto" w:fill="auto"/>
            <w:vAlign w:val="bottom"/>
          </w:tcPr>
          <w:p w14:paraId="4B12BCDE" w14:textId="77777777" w:rsidR="00533ACF" w:rsidRPr="00B275E2" w:rsidRDefault="00533ACF" w:rsidP="00667DD4">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38,647</w:t>
            </w:r>
          </w:p>
        </w:tc>
        <w:tc>
          <w:tcPr>
            <w:tcW w:w="2835" w:type="dxa"/>
            <w:tcBorders>
              <w:right w:val="single" w:sz="4" w:space="0" w:color="FFFFFF" w:themeColor="background1"/>
            </w:tcBorders>
            <w:shd w:val="clear" w:color="auto" w:fill="auto"/>
            <w:vAlign w:val="bottom"/>
          </w:tcPr>
          <w:p w14:paraId="28E46744" w14:textId="77777777" w:rsidR="00533ACF" w:rsidRPr="00B275E2" w:rsidRDefault="00533ACF" w:rsidP="00667DD4">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0.042</w:t>
            </w:r>
          </w:p>
        </w:tc>
      </w:tr>
      <w:tr w:rsidR="00533ACF" w:rsidRPr="00B275E2" w14:paraId="6BD1F99E" w14:textId="77777777" w:rsidTr="00E462C5">
        <w:tc>
          <w:tcPr>
            <w:cnfStyle w:val="001000000000" w:firstRow="0" w:lastRow="0" w:firstColumn="1" w:lastColumn="0" w:oddVBand="0" w:evenVBand="0" w:oddHBand="0" w:evenHBand="0" w:firstRowFirstColumn="0" w:firstRowLastColumn="0" w:lastRowFirstColumn="0" w:lastRowLastColumn="0"/>
            <w:tcW w:w="2835" w:type="dxa"/>
            <w:tcBorders>
              <w:left w:val="single" w:sz="4" w:space="0" w:color="FFFFFF" w:themeColor="background1"/>
            </w:tcBorders>
          </w:tcPr>
          <w:p w14:paraId="7239A8B8" w14:textId="2BFAB1A5" w:rsidR="00533ACF" w:rsidRPr="00B275E2" w:rsidRDefault="00533ACF" w:rsidP="00667DD4">
            <w:pPr>
              <w:pStyle w:val="TableText"/>
              <w:rPr>
                <w:b w:val="0"/>
                <w:bCs w:val="0"/>
                <w:szCs w:val="18"/>
              </w:rPr>
            </w:pPr>
            <w:r w:rsidRPr="00B275E2">
              <w:rPr>
                <w:b w:val="0"/>
                <w:bCs w:val="0"/>
                <w:szCs w:val="18"/>
              </w:rPr>
              <w:t xml:space="preserve">Alpaca </w:t>
            </w:r>
            <w:r w:rsidR="008A50D7" w:rsidRPr="00B275E2">
              <w:rPr>
                <w:b w:val="0"/>
                <w:bCs w:val="0"/>
                <w:szCs w:val="18"/>
              </w:rPr>
              <w:t xml:space="preserve">and </w:t>
            </w:r>
            <w:r w:rsidRPr="00B275E2">
              <w:rPr>
                <w:b w:val="0"/>
                <w:bCs w:val="0"/>
                <w:szCs w:val="18"/>
              </w:rPr>
              <w:t>llama</w:t>
            </w:r>
          </w:p>
        </w:tc>
        <w:tc>
          <w:tcPr>
            <w:tcW w:w="2835" w:type="dxa"/>
            <w:shd w:val="clear" w:color="auto" w:fill="auto"/>
            <w:vAlign w:val="bottom"/>
          </w:tcPr>
          <w:p w14:paraId="290A7F53" w14:textId="77777777" w:rsidR="00533ACF" w:rsidRPr="00B275E2" w:rsidRDefault="00533ACF" w:rsidP="00667DD4">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9,366</w:t>
            </w:r>
          </w:p>
        </w:tc>
        <w:tc>
          <w:tcPr>
            <w:tcW w:w="2835" w:type="dxa"/>
            <w:tcBorders>
              <w:right w:val="single" w:sz="4" w:space="0" w:color="FFFFFF" w:themeColor="background1"/>
            </w:tcBorders>
            <w:shd w:val="clear" w:color="auto" w:fill="auto"/>
            <w:vAlign w:val="bottom"/>
          </w:tcPr>
          <w:p w14:paraId="12C35CF6" w14:textId="77777777" w:rsidR="00533ACF" w:rsidRPr="00B275E2" w:rsidRDefault="00533ACF" w:rsidP="00667DD4">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0.002</w:t>
            </w:r>
          </w:p>
        </w:tc>
      </w:tr>
      <w:tr w:rsidR="00533ACF" w:rsidRPr="00B275E2" w14:paraId="3BC3BFF0" w14:textId="77777777" w:rsidTr="00E46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left w:val="single" w:sz="4" w:space="0" w:color="FFFFFF" w:themeColor="background1"/>
            </w:tcBorders>
          </w:tcPr>
          <w:p w14:paraId="716221B3" w14:textId="4B7DE2CE" w:rsidR="00533ACF" w:rsidRPr="00B275E2" w:rsidRDefault="00533ACF" w:rsidP="00667DD4">
            <w:pPr>
              <w:pStyle w:val="TableText"/>
              <w:rPr>
                <w:b w:val="0"/>
                <w:bCs w:val="0"/>
                <w:szCs w:val="18"/>
              </w:rPr>
            </w:pPr>
            <w:r w:rsidRPr="00B275E2">
              <w:rPr>
                <w:b w:val="0"/>
                <w:bCs w:val="0"/>
                <w:szCs w:val="18"/>
              </w:rPr>
              <w:t xml:space="preserve">Mules </w:t>
            </w:r>
            <w:r w:rsidR="008A50D7" w:rsidRPr="00B275E2">
              <w:rPr>
                <w:b w:val="0"/>
                <w:bCs w:val="0"/>
                <w:szCs w:val="18"/>
              </w:rPr>
              <w:t xml:space="preserve">and </w:t>
            </w:r>
            <w:r w:rsidRPr="00B275E2">
              <w:rPr>
                <w:b w:val="0"/>
                <w:bCs w:val="0"/>
                <w:szCs w:val="18"/>
              </w:rPr>
              <w:t>asses</w:t>
            </w:r>
          </w:p>
        </w:tc>
        <w:tc>
          <w:tcPr>
            <w:tcW w:w="2835" w:type="dxa"/>
            <w:shd w:val="clear" w:color="auto" w:fill="auto"/>
            <w:vAlign w:val="bottom"/>
          </w:tcPr>
          <w:p w14:paraId="5CB3C13E" w14:textId="77777777" w:rsidR="00533ACF" w:rsidRPr="00B275E2" w:rsidRDefault="00533ACF" w:rsidP="00667DD4">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141</w:t>
            </w:r>
          </w:p>
        </w:tc>
        <w:tc>
          <w:tcPr>
            <w:tcW w:w="2835" w:type="dxa"/>
            <w:tcBorders>
              <w:right w:val="single" w:sz="4" w:space="0" w:color="FFFFFF" w:themeColor="background1"/>
            </w:tcBorders>
            <w:shd w:val="clear" w:color="auto" w:fill="auto"/>
            <w:vAlign w:val="bottom"/>
          </w:tcPr>
          <w:p w14:paraId="7709530B" w14:textId="77777777" w:rsidR="00533ACF" w:rsidRPr="00B275E2" w:rsidRDefault="00533ACF" w:rsidP="00667DD4">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0.0001</w:t>
            </w:r>
          </w:p>
        </w:tc>
      </w:tr>
      <w:tr w:rsidR="00533ACF" w:rsidRPr="00B275E2" w14:paraId="2C02126E" w14:textId="77777777" w:rsidTr="00E462C5">
        <w:tc>
          <w:tcPr>
            <w:cnfStyle w:val="001000000000" w:firstRow="0" w:lastRow="0" w:firstColumn="1" w:lastColumn="0" w:oddVBand="0" w:evenVBand="0" w:oddHBand="0" w:evenHBand="0" w:firstRowFirstColumn="0" w:firstRowLastColumn="0" w:lastRowFirstColumn="0" w:lastRowLastColumn="0"/>
            <w:tcW w:w="2835" w:type="dxa"/>
            <w:tcBorders>
              <w:left w:val="single" w:sz="4" w:space="0" w:color="FFFFFF" w:themeColor="background1"/>
            </w:tcBorders>
          </w:tcPr>
          <w:p w14:paraId="5FA7263D" w14:textId="77777777" w:rsidR="00533ACF" w:rsidRPr="00B275E2" w:rsidRDefault="00533ACF" w:rsidP="00667DD4">
            <w:pPr>
              <w:pStyle w:val="TableText"/>
              <w:rPr>
                <w:b w:val="0"/>
                <w:bCs w:val="0"/>
                <w:szCs w:val="18"/>
              </w:rPr>
            </w:pPr>
            <w:r w:rsidRPr="00B275E2">
              <w:rPr>
                <w:b w:val="0"/>
                <w:bCs w:val="0"/>
                <w:szCs w:val="18"/>
              </w:rPr>
              <w:lastRenderedPageBreak/>
              <w:t>Poultry</w:t>
            </w:r>
          </w:p>
        </w:tc>
        <w:tc>
          <w:tcPr>
            <w:tcW w:w="2835" w:type="dxa"/>
            <w:shd w:val="clear" w:color="auto" w:fill="auto"/>
            <w:vAlign w:val="bottom"/>
          </w:tcPr>
          <w:p w14:paraId="2A72DA03" w14:textId="77777777" w:rsidR="00533ACF" w:rsidRPr="00B275E2" w:rsidRDefault="00533ACF" w:rsidP="00667DD4">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18,822,291</w:t>
            </w:r>
          </w:p>
        </w:tc>
        <w:tc>
          <w:tcPr>
            <w:tcW w:w="2835" w:type="dxa"/>
            <w:tcBorders>
              <w:right w:val="single" w:sz="4" w:space="0" w:color="FFFFFF" w:themeColor="background1"/>
            </w:tcBorders>
            <w:shd w:val="clear" w:color="auto" w:fill="auto"/>
            <w:vAlign w:val="bottom"/>
          </w:tcPr>
          <w:p w14:paraId="1322757E" w14:textId="77777777" w:rsidR="00533ACF" w:rsidRPr="00B275E2" w:rsidRDefault="00533ACF" w:rsidP="00667DD4">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0.007</w:t>
            </w:r>
          </w:p>
        </w:tc>
      </w:tr>
    </w:tbl>
    <w:p w14:paraId="6689CD84" w14:textId="77777777" w:rsidR="00533ACF" w:rsidRPr="00B275E2" w:rsidRDefault="00533ACF" w:rsidP="002234D0">
      <w:pPr>
        <w:pStyle w:val="Heading3"/>
      </w:pPr>
      <w:r w:rsidRPr="00B275E2">
        <w:t>Assumptions, limitations and uncertainties</w:t>
      </w:r>
    </w:p>
    <w:p w14:paraId="4F9E2CB3" w14:textId="0375B962" w:rsidR="00533ACF" w:rsidRPr="00B275E2" w:rsidRDefault="00533ACF" w:rsidP="00533ACF">
      <w:pPr>
        <w:pStyle w:val="BodyText"/>
      </w:pPr>
      <w:r w:rsidRPr="00B275E2">
        <w:t xml:space="preserve">The </w:t>
      </w:r>
      <w:hyperlink r:id="rId130" w:history="1">
        <w:r w:rsidR="000C33DB" w:rsidRPr="00B275E2">
          <w:rPr>
            <w:rStyle w:val="Hyperlink"/>
            <w:i/>
            <w:iCs/>
          </w:rPr>
          <w:t>New Zealand Greenhouse Gas Inventory 1990</w:t>
        </w:r>
        <w:r w:rsidR="00D34C82" w:rsidRPr="00B275E2">
          <w:rPr>
            <w:rStyle w:val="Hyperlink"/>
            <w:i/>
            <w:iCs/>
          </w:rPr>
          <w:t>–</w:t>
        </w:r>
        <w:r w:rsidR="000C33DB" w:rsidRPr="00B275E2">
          <w:rPr>
            <w:rStyle w:val="Hyperlink"/>
            <w:i/>
            <w:iCs/>
          </w:rPr>
          <w:t>2020</w:t>
        </w:r>
      </w:hyperlink>
      <w:r w:rsidR="000C33DB" w:rsidRPr="00B275E2">
        <w:t xml:space="preserve"> </w:t>
      </w:r>
      <w:r w:rsidRPr="00B275E2">
        <w:t>details the uncertainties associated with the activity data used to calculate the emission factors.</w:t>
      </w:r>
      <w:r w:rsidR="00A42624" w:rsidRPr="00B275E2">
        <w:t xml:space="preserve"> </w:t>
      </w:r>
    </w:p>
    <w:p w14:paraId="0225B083" w14:textId="2EF12F55" w:rsidR="00533ACF" w:rsidRPr="00B275E2" w:rsidRDefault="00533ACF" w:rsidP="00533ACF">
      <w:pPr>
        <w:pStyle w:val="BodyText"/>
      </w:pPr>
      <w:r w:rsidRPr="00B275E2">
        <w:t>The level of uncertainty with N</w:t>
      </w:r>
      <w:r w:rsidRPr="00B275E2">
        <w:rPr>
          <w:vertAlign w:val="subscript"/>
        </w:rPr>
        <w:t>2</w:t>
      </w:r>
      <w:r w:rsidRPr="00B275E2">
        <w:t xml:space="preserve">O emissions from </w:t>
      </w:r>
      <w:r w:rsidR="008A50D7" w:rsidRPr="00B275E2">
        <w:t>a</w:t>
      </w:r>
      <w:r w:rsidRPr="00B275E2">
        <w:t xml:space="preserve">gricultural </w:t>
      </w:r>
      <w:r w:rsidR="008A50D7" w:rsidRPr="00B275E2">
        <w:t>s</w:t>
      </w:r>
      <w:r w:rsidRPr="00B275E2">
        <w:t>oils was ±55 per cent for 2020.</w:t>
      </w:r>
      <w:r w:rsidR="00A42624" w:rsidRPr="00B275E2">
        <w:t xml:space="preserve"> </w:t>
      </w:r>
    </w:p>
    <w:p w14:paraId="1D7775D1" w14:textId="1D8BF3CB" w:rsidR="003A7B65" w:rsidRPr="00B275E2" w:rsidRDefault="003A7B65" w:rsidP="00D411C0">
      <w:pPr>
        <w:pStyle w:val="Heading3"/>
      </w:pPr>
      <w:bookmarkStart w:id="644" w:name="_Fertiliser_use"/>
      <w:bookmarkStart w:id="645" w:name="_Toc529960728"/>
      <w:bookmarkStart w:id="646" w:name="_Toc532904972"/>
      <w:bookmarkEnd w:id="644"/>
      <w:r w:rsidRPr="00B275E2">
        <w:t>Fertiliser use</w:t>
      </w:r>
      <w:bookmarkEnd w:id="645"/>
      <w:bookmarkEnd w:id="646"/>
    </w:p>
    <w:p w14:paraId="0AEF982A" w14:textId="252354FC" w:rsidR="003A7B65" w:rsidRPr="00B275E2" w:rsidRDefault="003A7B65" w:rsidP="00BC545F">
      <w:pPr>
        <w:pStyle w:val="BodyText"/>
      </w:pPr>
      <w:r w:rsidRPr="00B275E2">
        <w:t xml:space="preserve">The use of fertilisers produces </w:t>
      </w:r>
      <w:r w:rsidR="00E603E1" w:rsidRPr="00B275E2">
        <w:t>GHG</w:t>
      </w:r>
      <w:r w:rsidRPr="00B275E2">
        <w:t xml:space="preserve"> emissions. Nitrogen fertilisers break down to produce nitrous oxide and carbon dioxide</w:t>
      </w:r>
      <w:r w:rsidR="00D14FEA" w:rsidRPr="00B275E2">
        <w:t xml:space="preserve"> (urea)</w:t>
      </w:r>
      <w:r w:rsidRPr="00B275E2">
        <w:t xml:space="preserve">. Limestone and dolomite fertilisers break down to produce carbon dioxide. The </w:t>
      </w:r>
      <w:hyperlink r:id="rId131" w:history="1">
        <w:r w:rsidR="000C33DB" w:rsidRPr="00B275E2">
          <w:rPr>
            <w:rStyle w:val="Hyperlink"/>
            <w:i/>
            <w:iCs/>
          </w:rPr>
          <w:t>New Zealand Greenhouse Gas Inventory 1990-2020</w:t>
        </w:r>
      </w:hyperlink>
      <w:r w:rsidR="000C33DB" w:rsidRPr="00B275E2">
        <w:t xml:space="preserve"> </w:t>
      </w:r>
      <w:r w:rsidRPr="00B275E2">
        <w:t>reports the total emissions from fertiliser using New</w:t>
      </w:r>
      <w:r w:rsidR="009F7FFC" w:rsidRPr="00B275E2">
        <w:t> </w:t>
      </w:r>
      <w:r w:rsidRPr="00B275E2">
        <w:t xml:space="preserve">Zealand-specific emission factors. </w:t>
      </w:r>
      <w:r w:rsidR="00E603E1" w:rsidRPr="00B275E2">
        <w:t xml:space="preserve">We used methodologies supplied by </w:t>
      </w:r>
      <w:r w:rsidRPr="00B275E2">
        <w:t xml:space="preserve">MPI </w:t>
      </w:r>
      <w:r w:rsidR="00E603E1" w:rsidRPr="00B275E2">
        <w:t>to develop emission</w:t>
      </w:r>
      <w:r w:rsidRPr="00B275E2">
        <w:t xml:space="preserve"> factors for:</w:t>
      </w:r>
    </w:p>
    <w:p w14:paraId="24AD3071" w14:textId="35423E4D" w:rsidR="003A7B65" w:rsidRPr="00B275E2" w:rsidRDefault="00114968" w:rsidP="004B224A">
      <w:pPr>
        <w:pStyle w:val="Bullet"/>
      </w:pPr>
      <w:r w:rsidRPr="00B275E2">
        <w:t>t</w:t>
      </w:r>
      <w:r w:rsidR="00D35677" w:rsidRPr="00B275E2">
        <w:t xml:space="preserve">he nitrogen content of </w:t>
      </w:r>
      <w:r w:rsidR="001873EA" w:rsidRPr="00B275E2">
        <w:t>n</w:t>
      </w:r>
      <w:r w:rsidR="003A7B65" w:rsidRPr="00B275E2">
        <w:t>on-urea nitrogen fertiliser</w:t>
      </w:r>
    </w:p>
    <w:p w14:paraId="232826D6" w14:textId="2F80EF67" w:rsidR="003A7B65" w:rsidRPr="00B275E2" w:rsidRDefault="00114968" w:rsidP="004B224A">
      <w:pPr>
        <w:pStyle w:val="Bullet"/>
      </w:pPr>
      <w:r w:rsidRPr="00B275E2">
        <w:t xml:space="preserve">the nitrogen content of </w:t>
      </w:r>
      <w:r w:rsidR="001873EA" w:rsidRPr="00B275E2">
        <w:t>u</w:t>
      </w:r>
      <w:r w:rsidR="003A7B65" w:rsidRPr="00B275E2">
        <w:t>rea nitrogen fertiliser not coated with urease inhibitor</w:t>
      </w:r>
    </w:p>
    <w:p w14:paraId="566693AB" w14:textId="129A01DA" w:rsidR="003A7B65" w:rsidRPr="00B275E2" w:rsidRDefault="00114968" w:rsidP="004B224A">
      <w:pPr>
        <w:pStyle w:val="Bullet"/>
      </w:pPr>
      <w:r w:rsidRPr="00B275E2">
        <w:t xml:space="preserve">the nitrogen content of </w:t>
      </w:r>
      <w:r w:rsidR="001873EA" w:rsidRPr="00B275E2">
        <w:t>u</w:t>
      </w:r>
      <w:r w:rsidR="003A7B65" w:rsidRPr="00B275E2">
        <w:t>rea nitrogen fertiliser coated with urease inhibitor</w:t>
      </w:r>
    </w:p>
    <w:p w14:paraId="383BDC3E" w14:textId="5A14DD1B" w:rsidR="003A7B65" w:rsidRPr="00B275E2" w:rsidRDefault="001873EA" w:rsidP="004B224A">
      <w:pPr>
        <w:pStyle w:val="Bullet"/>
      </w:pPr>
      <w:r w:rsidRPr="00B275E2">
        <w:t>l</w:t>
      </w:r>
      <w:r w:rsidR="003A7B65" w:rsidRPr="00B275E2">
        <w:t>imestone</w:t>
      </w:r>
    </w:p>
    <w:p w14:paraId="6B7CF72F" w14:textId="27988149" w:rsidR="003A7B65" w:rsidRPr="00B275E2" w:rsidRDefault="001873EA" w:rsidP="004B224A">
      <w:pPr>
        <w:pStyle w:val="Bullet"/>
      </w:pPr>
      <w:r w:rsidRPr="00B275E2">
        <w:t>d</w:t>
      </w:r>
      <w:r w:rsidR="003A7B65" w:rsidRPr="00B275E2">
        <w:t>olomite</w:t>
      </w:r>
      <w:r w:rsidRPr="00B275E2">
        <w:t>.</w:t>
      </w:r>
    </w:p>
    <w:p w14:paraId="3423BCE9" w14:textId="41299F07" w:rsidR="003A7B65" w:rsidRPr="00B275E2" w:rsidRDefault="003A7B65" w:rsidP="00BC545F">
      <w:pPr>
        <w:pStyle w:val="BodyText"/>
      </w:pPr>
      <w:r w:rsidRPr="00B275E2">
        <w:t xml:space="preserve">In line with the reporting requirements of </w:t>
      </w:r>
      <w:hyperlink r:id="rId132" w:history="1">
        <w:r w:rsidRPr="00B275E2">
          <w:rPr>
            <w:rStyle w:val="Hyperlink"/>
          </w:rPr>
          <w:t>ISO 14064-1</w:t>
        </w:r>
        <w:r w:rsidR="00A8360E" w:rsidRPr="00B275E2">
          <w:rPr>
            <w:rStyle w:val="Hyperlink"/>
          </w:rPr>
          <w:t>:2018</w:t>
        </w:r>
      </w:hyperlink>
      <w:r w:rsidRPr="00B275E2">
        <w:t xml:space="preserve"> and the </w:t>
      </w:r>
      <w:hyperlink r:id="rId133" w:history="1">
        <w:r w:rsidRPr="00B275E2">
          <w:rPr>
            <w:rStyle w:val="Hyperlink"/>
          </w:rPr>
          <w:t>GHG Protocol</w:t>
        </w:r>
      </w:hyperlink>
      <w:r w:rsidRPr="00B275E2">
        <w:t xml:space="preserve">, </w:t>
      </w:r>
      <w:r w:rsidR="009706E4" w:rsidRPr="00B275E2">
        <w:t xml:space="preserve">we provide </w:t>
      </w:r>
      <w:r w:rsidRPr="00B275E2">
        <w:t xml:space="preserve">emission factors to allow </w:t>
      </w:r>
      <w:r w:rsidR="00E603E1" w:rsidRPr="00B275E2">
        <w:t xml:space="preserve">separate </w:t>
      </w:r>
      <w:r w:rsidRPr="00B275E2">
        <w:t xml:space="preserve">calculation of </w:t>
      </w:r>
      <w:r w:rsidR="00303AA0" w:rsidRPr="00B275E2">
        <w:t>carbon dioxide</w:t>
      </w:r>
      <w:r w:rsidRPr="00B275E2">
        <w:t xml:space="preserve">, </w:t>
      </w:r>
      <w:r w:rsidR="00303AA0" w:rsidRPr="00B275E2">
        <w:t>methane</w:t>
      </w:r>
      <w:r w:rsidRPr="00B275E2">
        <w:t xml:space="preserve"> and </w:t>
      </w:r>
      <w:r w:rsidR="00303AA0" w:rsidRPr="00B275E2">
        <w:t>nitrous oxide</w:t>
      </w:r>
      <w:r w:rsidRPr="00B275E2">
        <w:t xml:space="preserve">. </w:t>
      </w:r>
      <w:r w:rsidR="009F7FFC" w:rsidRPr="00B275E2">
        <w:t xml:space="preserve">Table </w:t>
      </w:r>
      <w:r w:rsidR="00EE24CD">
        <w:t>98</w:t>
      </w:r>
      <w:r w:rsidR="00840156" w:rsidRPr="00B275E2">
        <w:t xml:space="preserve"> </w:t>
      </w:r>
      <w:r w:rsidR="00E603E1" w:rsidRPr="00B275E2">
        <w:t>lists the fertiliser use emission factors.</w:t>
      </w:r>
      <w:r w:rsidR="009F7FFC" w:rsidRPr="00B275E2">
        <w:t xml:space="preserve"> </w:t>
      </w:r>
      <w:r w:rsidR="00CB6B09" w:rsidRPr="00B275E2">
        <w:t xml:space="preserve">Table </w:t>
      </w:r>
      <w:r w:rsidR="00EE24CD">
        <w:t>99</w:t>
      </w:r>
      <w:r w:rsidR="00CB6B09" w:rsidRPr="00B275E2">
        <w:t xml:space="preserve"> </w:t>
      </w:r>
      <w:r w:rsidR="001873EA" w:rsidRPr="00B275E2">
        <w:t xml:space="preserve">lists </w:t>
      </w:r>
      <w:r w:rsidR="00E603E1" w:rsidRPr="00B275E2">
        <w:t>example products for the different fertiliser types.</w:t>
      </w:r>
      <w:r w:rsidR="002F0DBF" w:rsidRPr="00B275E2">
        <w:t xml:space="preserve"> For the nitrogen fertilisers listed in table </w:t>
      </w:r>
      <w:r w:rsidR="00EE24CD">
        <w:t>98</w:t>
      </w:r>
      <w:r w:rsidR="00840156" w:rsidRPr="00B275E2">
        <w:t xml:space="preserve">, </w:t>
      </w:r>
      <w:r w:rsidR="002F0DBF" w:rsidRPr="00B275E2">
        <w:t xml:space="preserve">the input amounts are </w:t>
      </w:r>
      <w:r w:rsidR="00D005C5" w:rsidRPr="00B275E2">
        <w:t>expressed in terms of the nitrogen component of fertiliser only.</w:t>
      </w:r>
    </w:p>
    <w:p w14:paraId="5A1313C7" w14:textId="2415571A" w:rsidR="003A7B65" w:rsidRPr="00B275E2" w:rsidRDefault="005B0BFB" w:rsidP="009F7FFC">
      <w:pPr>
        <w:pStyle w:val="Tableheading"/>
      </w:pPr>
      <w:bookmarkStart w:id="647" w:name="_Toc111536703"/>
      <w:r w:rsidRPr="00B275E2">
        <w:t xml:space="preserve">Table </w:t>
      </w:r>
      <w:r w:rsidRPr="00B275E2">
        <w:fldChar w:fldCharType="begin"/>
      </w:r>
      <w:r w:rsidRPr="00B275E2">
        <w:instrText>SEQ Table \* ARABIC</w:instrText>
      </w:r>
      <w:r w:rsidRPr="00B275E2">
        <w:fldChar w:fldCharType="separate"/>
      </w:r>
      <w:r>
        <w:rPr>
          <w:noProof/>
        </w:rPr>
        <w:t>98</w:t>
      </w:r>
      <w:r w:rsidRPr="00B275E2">
        <w:fldChar w:fldCharType="end"/>
      </w:r>
      <w:r w:rsidRPr="00B275E2">
        <w:t>:</w:t>
      </w:r>
      <w:r w:rsidRPr="00B275E2">
        <w:tab/>
      </w:r>
      <w:r w:rsidR="003A7B65" w:rsidRPr="00B275E2">
        <w:t>Fertiliser use emission factors</w:t>
      </w:r>
      <w:bookmarkEnd w:id="647"/>
    </w:p>
    <w:tbl>
      <w:tblPr>
        <w:tblStyle w:val="LightList-Accent11"/>
        <w:tblW w:w="8500"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Look w:val="04A0" w:firstRow="1" w:lastRow="0" w:firstColumn="1" w:lastColumn="0" w:noHBand="0" w:noVBand="1"/>
      </w:tblPr>
      <w:tblGrid>
        <w:gridCol w:w="900"/>
        <w:gridCol w:w="2356"/>
        <w:gridCol w:w="562"/>
        <w:gridCol w:w="1259"/>
        <w:gridCol w:w="1119"/>
        <w:gridCol w:w="1119"/>
        <w:gridCol w:w="1185"/>
      </w:tblGrid>
      <w:tr w:rsidR="0063066E" w:rsidRPr="00B275E2" w14:paraId="0E8EEE17" w14:textId="77777777" w:rsidTr="008522E7">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256" w:type="dxa"/>
            <w:gridSpan w:val="2"/>
            <w:shd w:val="clear" w:color="auto" w:fill="1B556B" w:themeFill="text2"/>
            <w:noWrap/>
            <w:vAlign w:val="bottom"/>
            <w:hideMark/>
          </w:tcPr>
          <w:p w14:paraId="28EAB108" w14:textId="77777777" w:rsidR="0063066E" w:rsidRPr="00B275E2" w:rsidRDefault="0063066E" w:rsidP="004D082F">
            <w:pPr>
              <w:pStyle w:val="TableText"/>
              <w:spacing w:after="40"/>
            </w:pPr>
            <w:r w:rsidRPr="00B275E2">
              <w:t>Emission source</w:t>
            </w:r>
          </w:p>
        </w:tc>
        <w:tc>
          <w:tcPr>
            <w:tcW w:w="562" w:type="dxa"/>
            <w:shd w:val="clear" w:color="auto" w:fill="1B556B" w:themeFill="text2"/>
            <w:noWrap/>
            <w:vAlign w:val="bottom"/>
            <w:hideMark/>
          </w:tcPr>
          <w:p w14:paraId="4E963D6C" w14:textId="77777777" w:rsidR="0063066E" w:rsidRPr="00B275E2" w:rsidRDefault="0063066E" w:rsidP="004D082F">
            <w:pPr>
              <w:pStyle w:val="TableText"/>
              <w:spacing w:after="40"/>
              <w:cnfStyle w:val="100000000000" w:firstRow="1" w:lastRow="0" w:firstColumn="0" w:lastColumn="0" w:oddVBand="0" w:evenVBand="0" w:oddHBand="0" w:evenHBand="0" w:firstRowFirstColumn="0" w:firstRowLastColumn="0" w:lastRowFirstColumn="0" w:lastRowLastColumn="0"/>
            </w:pPr>
            <w:r w:rsidRPr="00B275E2">
              <w:t>Unit</w:t>
            </w:r>
          </w:p>
        </w:tc>
        <w:tc>
          <w:tcPr>
            <w:tcW w:w="1259" w:type="dxa"/>
            <w:shd w:val="clear" w:color="auto" w:fill="D2DDE1" w:themeFill="background2"/>
            <w:noWrap/>
            <w:vAlign w:val="bottom"/>
            <w:hideMark/>
          </w:tcPr>
          <w:p w14:paraId="74BF36F1" w14:textId="29B7CEE1" w:rsidR="0063066E" w:rsidRPr="00B275E2" w:rsidRDefault="0063066E" w:rsidP="004D082F">
            <w:pPr>
              <w:pStyle w:val="TableText"/>
              <w:spacing w:after="40"/>
              <w:jc w:val="right"/>
              <w:cnfStyle w:val="100000000000" w:firstRow="1" w:lastRow="0" w:firstColumn="0" w:lastColumn="0" w:oddVBand="0" w:evenVBand="0" w:oddHBand="0" w:evenHBand="0" w:firstRowFirstColumn="0" w:firstRowLastColumn="0" w:lastRowFirstColumn="0" w:lastRowLastColumn="0"/>
              <w:rPr>
                <w:color w:val="auto"/>
              </w:rPr>
            </w:pPr>
            <w:r w:rsidRPr="00B275E2">
              <w:rPr>
                <w:color w:val="auto"/>
              </w:rPr>
              <w:t>kg CO</w:t>
            </w:r>
            <w:r w:rsidRPr="00B275E2">
              <w:rPr>
                <w:color w:val="auto"/>
                <w:vertAlign w:val="subscript"/>
              </w:rPr>
              <w:t>2</w:t>
            </w:r>
            <w:r w:rsidR="009019DE" w:rsidRPr="00B275E2">
              <w:rPr>
                <w:color w:val="auto"/>
              </w:rPr>
              <w:noBreakHyphen/>
            </w:r>
            <w:r w:rsidRPr="00B275E2">
              <w:rPr>
                <w:color w:val="auto"/>
              </w:rPr>
              <w:t>e/unit</w:t>
            </w:r>
          </w:p>
        </w:tc>
        <w:tc>
          <w:tcPr>
            <w:tcW w:w="1119" w:type="dxa"/>
            <w:shd w:val="clear" w:color="auto" w:fill="1B556B" w:themeFill="text2"/>
            <w:noWrap/>
            <w:vAlign w:val="bottom"/>
            <w:hideMark/>
          </w:tcPr>
          <w:p w14:paraId="66ABAC2A" w14:textId="2CAFE17A" w:rsidR="0063066E" w:rsidRPr="00B275E2" w:rsidRDefault="0063066E" w:rsidP="004D082F">
            <w:pPr>
              <w:pStyle w:val="TableText"/>
              <w:spacing w:after="40"/>
              <w:jc w:val="right"/>
              <w:cnfStyle w:val="100000000000" w:firstRow="1" w:lastRow="0" w:firstColumn="0" w:lastColumn="0" w:oddVBand="0" w:evenVBand="0" w:oddHBand="0" w:evenHBand="0" w:firstRowFirstColumn="0" w:firstRowLastColumn="0" w:lastRowFirstColumn="0" w:lastRowLastColumn="0"/>
            </w:pPr>
            <w:r w:rsidRPr="00B275E2">
              <w:t>kg CO</w:t>
            </w:r>
            <w:r w:rsidRPr="00B275E2">
              <w:rPr>
                <w:vertAlign w:val="subscript"/>
              </w:rPr>
              <w:t>2</w:t>
            </w:r>
            <w:r w:rsidRPr="00B275E2">
              <w:t>/unit</w:t>
            </w:r>
            <w:r w:rsidR="00E835BD" w:rsidRPr="00B275E2">
              <w:t xml:space="preserve"> </w:t>
            </w:r>
            <w:r w:rsidR="009F7FFC" w:rsidRPr="00B275E2">
              <w:br/>
            </w:r>
            <w:r w:rsidR="00E835BD" w:rsidRPr="00B275E2">
              <w:t>(kg CO</w:t>
            </w:r>
            <w:r w:rsidR="00E835BD" w:rsidRPr="00B275E2">
              <w:rPr>
                <w:vertAlign w:val="subscript"/>
              </w:rPr>
              <w:t>2</w:t>
            </w:r>
            <w:r w:rsidR="00E835BD" w:rsidRPr="00B275E2">
              <w:noBreakHyphen/>
              <w:t>e)</w:t>
            </w:r>
          </w:p>
        </w:tc>
        <w:tc>
          <w:tcPr>
            <w:tcW w:w="1119" w:type="dxa"/>
            <w:shd w:val="clear" w:color="auto" w:fill="1B556B" w:themeFill="text2"/>
            <w:noWrap/>
            <w:vAlign w:val="bottom"/>
            <w:hideMark/>
          </w:tcPr>
          <w:p w14:paraId="62F8C7C2" w14:textId="1C5C4697" w:rsidR="0063066E" w:rsidRPr="00B275E2" w:rsidRDefault="00E835BD" w:rsidP="004D082F">
            <w:pPr>
              <w:pStyle w:val="TableText"/>
              <w:spacing w:after="40"/>
              <w:jc w:val="right"/>
              <w:cnfStyle w:val="100000000000" w:firstRow="1" w:lastRow="0" w:firstColumn="0" w:lastColumn="0" w:oddVBand="0" w:evenVBand="0" w:oddHBand="0" w:evenHBand="0" w:firstRowFirstColumn="0" w:firstRowLastColumn="0" w:lastRowFirstColumn="0" w:lastRowLastColumn="0"/>
            </w:pPr>
            <w:r w:rsidRPr="00B275E2">
              <w:t>kg CH</w:t>
            </w:r>
            <w:r w:rsidRPr="00B275E2">
              <w:rPr>
                <w:vertAlign w:val="subscript"/>
              </w:rPr>
              <w:t>4</w:t>
            </w:r>
            <w:r w:rsidRPr="00B275E2">
              <w:t xml:space="preserve">/unit </w:t>
            </w:r>
            <w:r w:rsidRPr="00B275E2">
              <w:br/>
              <w:t>(kg CO</w:t>
            </w:r>
            <w:r w:rsidRPr="00B275E2">
              <w:rPr>
                <w:vertAlign w:val="subscript"/>
              </w:rPr>
              <w:t>2</w:t>
            </w:r>
            <w:r w:rsidRPr="00B275E2">
              <w:noBreakHyphen/>
              <w:t>e)</w:t>
            </w:r>
          </w:p>
        </w:tc>
        <w:tc>
          <w:tcPr>
            <w:tcW w:w="1185" w:type="dxa"/>
            <w:shd w:val="clear" w:color="auto" w:fill="1B556B" w:themeFill="text2"/>
            <w:noWrap/>
            <w:vAlign w:val="bottom"/>
            <w:hideMark/>
          </w:tcPr>
          <w:p w14:paraId="7D144B05" w14:textId="1D769308" w:rsidR="0063066E" w:rsidRPr="00B275E2" w:rsidRDefault="00E835BD" w:rsidP="004D082F">
            <w:pPr>
              <w:pStyle w:val="TableText"/>
              <w:spacing w:after="40"/>
              <w:jc w:val="right"/>
              <w:cnfStyle w:val="100000000000" w:firstRow="1" w:lastRow="0" w:firstColumn="0" w:lastColumn="0" w:oddVBand="0" w:evenVBand="0" w:oddHBand="0" w:evenHBand="0" w:firstRowFirstColumn="0" w:firstRowLastColumn="0" w:lastRowFirstColumn="0" w:lastRowLastColumn="0"/>
            </w:pPr>
            <w:r w:rsidRPr="00B275E2">
              <w:t>kg N</w:t>
            </w:r>
            <w:r w:rsidRPr="00B275E2">
              <w:rPr>
                <w:vertAlign w:val="subscript"/>
              </w:rPr>
              <w:t>2</w:t>
            </w:r>
            <w:r w:rsidRPr="00B275E2">
              <w:t xml:space="preserve">O/unit </w:t>
            </w:r>
            <w:r w:rsidRPr="00B275E2">
              <w:br/>
              <w:t>(kg CO</w:t>
            </w:r>
            <w:r w:rsidRPr="00B275E2">
              <w:rPr>
                <w:vertAlign w:val="subscript"/>
              </w:rPr>
              <w:t>2</w:t>
            </w:r>
            <w:r w:rsidRPr="00B275E2">
              <w:noBreakHyphen/>
              <w:t>e)</w:t>
            </w:r>
          </w:p>
        </w:tc>
      </w:tr>
      <w:tr w:rsidR="003A7B65" w:rsidRPr="00B275E2" w14:paraId="49EF2D2F" w14:textId="77777777" w:rsidTr="00E462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0" w:type="dxa"/>
            <w:vMerge w:val="restart"/>
            <w:tcBorders>
              <w:left w:val="single" w:sz="4" w:space="0" w:color="FFFFFF" w:themeColor="background1"/>
            </w:tcBorders>
          </w:tcPr>
          <w:p w14:paraId="1C5091CB" w14:textId="47449DFC" w:rsidR="003A7B65" w:rsidRPr="00B275E2" w:rsidRDefault="003A7B65" w:rsidP="004D082F">
            <w:pPr>
              <w:pStyle w:val="TableText"/>
              <w:spacing w:after="40"/>
              <w:rPr>
                <w:b w:val="0"/>
              </w:rPr>
            </w:pPr>
            <w:r w:rsidRPr="00B275E2">
              <w:rPr>
                <w:b w:val="0"/>
              </w:rPr>
              <w:t xml:space="preserve">Fertiliser </w:t>
            </w:r>
            <w:r w:rsidR="001873EA" w:rsidRPr="00B275E2">
              <w:rPr>
                <w:b w:val="0"/>
              </w:rPr>
              <w:t>u</w:t>
            </w:r>
            <w:r w:rsidRPr="00B275E2">
              <w:rPr>
                <w:b w:val="0"/>
              </w:rPr>
              <w:t>se</w:t>
            </w:r>
          </w:p>
        </w:tc>
        <w:tc>
          <w:tcPr>
            <w:tcW w:w="2356" w:type="dxa"/>
          </w:tcPr>
          <w:p w14:paraId="59F5DD61" w14:textId="3427B73E" w:rsidR="003A7B65" w:rsidRPr="00B275E2" w:rsidRDefault="003A7B65" w:rsidP="004D082F">
            <w:pPr>
              <w:pStyle w:val="TableText"/>
              <w:spacing w:after="40"/>
              <w:cnfStyle w:val="000000100000" w:firstRow="0" w:lastRow="0" w:firstColumn="0" w:lastColumn="0" w:oddVBand="0" w:evenVBand="0" w:oddHBand="1" w:evenHBand="0" w:firstRowFirstColumn="0" w:firstRowLastColumn="0" w:lastRowFirstColumn="0" w:lastRowLastColumn="0"/>
            </w:pPr>
            <w:r w:rsidRPr="00B275E2">
              <w:t>N</w:t>
            </w:r>
            <w:r w:rsidR="004E33CE" w:rsidRPr="00B275E2">
              <w:t>itrogen content of n</w:t>
            </w:r>
            <w:r w:rsidRPr="00B275E2">
              <w:t>on-urea nitrogen fertiliser</w:t>
            </w:r>
            <w:r w:rsidR="004E33CE" w:rsidRPr="00B275E2">
              <w:t>*</w:t>
            </w:r>
          </w:p>
        </w:tc>
        <w:tc>
          <w:tcPr>
            <w:tcW w:w="562" w:type="dxa"/>
            <w:noWrap/>
          </w:tcPr>
          <w:p w14:paraId="483ABAC3" w14:textId="6DF1D6E9" w:rsidR="003A7B65" w:rsidRPr="00B275E2" w:rsidRDefault="003A7B65" w:rsidP="004D082F">
            <w:pPr>
              <w:pStyle w:val="TableText"/>
              <w:spacing w:after="40"/>
              <w:cnfStyle w:val="000000100000" w:firstRow="0" w:lastRow="0" w:firstColumn="0" w:lastColumn="0" w:oddVBand="0" w:evenVBand="0" w:oddHBand="1" w:evenHBand="0" w:firstRowFirstColumn="0" w:firstRowLastColumn="0" w:lastRowFirstColumn="0" w:lastRowLastColumn="0"/>
            </w:pPr>
            <w:r w:rsidRPr="00B275E2">
              <w:t>kg</w:t>
            </w:r>
            <w:r w:rsidR="0091279C" w:rsidRPr="00B275E2">
              <w:t xml:space="preserve"> </w:t>
            </w:r>
            <w:r w:rsidR="004E33CE" w:rsidRPr="00B275E2">
              <w:t>N</w:t>
            </w:r>
          </w:p>
        </w:tc>
        <w:tc>
          <w:tcPr>
            <w:tcW w:w="1259" w:type="dxa"/>
            <w:shd w:val="clear" w:color="auto" w:fill="D2DDE1" w:themeFill="background2"/>
            <w:noWrap/>
          </w:tcPr>
          <w:p w14:paraId="101BB398" w14:textId="5381EAE9" w:rsidR="003A7B65" w:rsidRPr="00B275E2" w:rsidRDefault="003A7B65" w:rsidP="004D082F">
            <w:pPr>
              <w:pStyle w:val="TableText"/>
              <w:spacing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5.</w:t>
            </w:r>
            <w:r w:rsidR="0030699D" w:rsidRPr="00B275E2">
              <w:rPr>
                <w:rFonts w:cs="Calibri"/>
                <w:szCs w:val="18"/>
              </w:rPr>
              <w:t>40</w:t>
            </w:r>
          </w:p>
        </w:tc>
        <w:tc>
          <w:tcPr>
            <w:tcW w:w="1119" w:type="dxa"/>
            <w:shd w:val="clear" w:color="auto" w:fill="auto"/>
            <w:noWrap/>
          </w:tcPr>
          <w:p w14:paraId="11C57F26" w14:textId="3A1DBD58" w:rsidR="003A7B65" w:rsidRPr="00B275E2" w:rsidRDefault="003A7B65" w:rsidP="004D082F">
            <w:pPr>
              <w:pStyle w:val="TableText"/>
              <w:spacing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color w:val="000000"/>
                <w:szCs w:val="18"/>
              </w:rPr>
              <w:t>n/a</w:t>
            </w:r>
          </w:p>
        </w:tc>
        <w:tc>
          <w:tcPr>
            <w:tcW w:w="1119" w:type="dxa"/>
            <w:shd w:val="clear" w:color="auto" w:fill="auto"/>
            <w:noWrap/>
          </w:tcPr>
          <w:p w14:paraId="60AB9FBB" w14:textId="21F5A480" w:rsidR="003A7B65" w:rsidRPr="00B275E2" w:rsidRDefault="003A7B65" w:rsidP="004D082F">
            <w:pPr>
              <w:pStyle w:val="TableText"/>
              <w:spacing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color w:val="000000"/>
                <w:szCs w:val="18"/>
              </w:rPr>
              <w:t>n/a</w:t>
            </w:r>
          </w:p>
        </w:tc>
        <w:tc>
          <w:tcPr>
            <w:tcW w:w="1185" w:type="dxa"/>
            <w:tcBorders>
              <w:right w:val="single" w:sz="4" w:space="0" w:color="FFFFFF" w:themeColor="background1"/>
            </w:tcBorders>
            <w:shd w:val="clear" w:color="auto" w:fill="auto"/>
            <w:noWrap/>
          </w:tcPr>
          <w:p w14:paraId="331BBB5A" w14:textId="67B47992" w:rsidR="003A7B65" w:rsidRPr="00B275E2" w:rsidRDefault="003A7B65" w:rsidP="004D082F">
            <w:pPr>
              <w:pStyle w:val="TableText"/>
              <w:spacing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color w:val="000000"/>
                <w:szCs w:val="18"/>
              </w:rPr>
              <w:t>5.</w:t>
            </w:r>
            <w:r w:rsidR="0030699D" w:rsidRPr="00B275E2">
              <w:rPr>
                <w:rFonts w:cs="Calibri"/>
                <w:color w:val="000000"/>
                <w:szCs w:val="18"/>
              </w:rPr>
              <w:t>40</w:t>
            </w:r>
          </w:p>
        </w:tc>
      </w:tr>
      <w:tr w:rsidR="003A7B65" w:rsidRPr="00B275E2" w14:paraId="25E25B4B" w14:textId="77777777" w:rsidTr="00E462C5">
        <w:trPr>
          <w:trHeight w:val="300"/>
        </w:trPr>
        <w:tc>
          <w:tcPr>
            <w:cnfStyle w:val="001000000000" w:firstRow="0" w:lastRow="0" w:firstColumn="1" w:lastColumn="0" w:oddVBand="0" w:evenVBand="0" w:oddHBand="0" w:evenHBand="0" w:firstRowFirstColumn="0" w:firstRowLastColumn="0" w:lastRowFirstColumn="0" w:lastRowLastColumn="0"/>
            <w:tcW w:w="900" w:type="dxa"/>
            <w:vMerge/>
            <w:tcBorders>
              <w:left w:val="single" w:sz="4" w:space="0" w:color="FFFFFF" w:themeColor="background1"/>
            </w:tcBorders>
          </w:tcPr>
          <w:p w14:paraId="77A53478" w14:textId="77777777" w:rsidR="003A7B65" w:rsidRPr="00B275E2" w:rsidRDefault="003A7B65" w:rsidP="004D082F">
            <w:pPr>
              <w:pStyle w:val="TableText"/>
              <w:spacing w:after="40"/>
            </w:pPr>
          </w:p>
        </w:tc>
        <w:tc>
          <w:tcPr>
            <w:tcW w:w="2356" w:type="dxa"/>
          </w:tcPr>
          <w:p w14:paraId="17DADBFA" w14:textId="7E31F7AD" w:rsidR="003A7B65" w:rsidRPr="00B275E2" w:rsidRDefault="004E33CE" w:rsidP="004D082F">
            <w:pPr>
              <w:pStyle w:val="TableText"/>
              <w:spacing w:after="40"/>
              <w:cnfStyle w:val="000000000000" w:firstRow="0" w:lastRow="0" w:firstColumn="0" w:lastColumn="0" w:oddVBand="0" w:evenVBand="0" w:oddHBand="0" w:evenHBand="0" w:firstRowFirstColumn="0" w:firstRowLastColumn="0" w:lastRowFirstColumn="0" w:lastRowLastColumn="0"/>
            </w:pPr>
            <w:r w:rsidRPr="00B275E2">
              <w:t>Nitrogen</w:t>
            </w:r>
            <w:r w:rsidR="0091279C" w:rsidRPr="00B275E2">
              <w:t xml:space="preserve"> content of u</w:t>
            </w:r>
            <w:r w:rsidR="003A7B65" w:rsidRPr="00B275E2">
              <w:t>rea nitrogen fertiliser not coated with urease inhibitor</w:t>
            </w:r>
          </w:p>
        </w:tc>
        <w:tc>
          <w:tcPr>
            <w:tcW w:w="562" w:type="dxa"/>
            <w:noWrap/>
          </w:tcPr>
          <w:p w14:paraId="4235CD61" w14:textId="62349180" w:rsidR="003A7B65" w:rsidRPr="00B275E2" w:rsidRDefault="003A7B65" w:rsidP="004D082F">
            <w:pPr>
              <w:pStyle w:val="TableText"/>
              <w:spacing w:after="40"/>
              <w:cnfStyle w:val="000000000000" w:firstRow="0" w:lastRow="0" w:firstColumn="0" w:lastColumn="0" w:oddVBand="0" w:evenVBand="0" w:oddHBand="0" w:evenHBand="0" w:firstRowFirstColumn="0" w:firstRowLastColumn="0" w:lastRowFirstColumn="0" w:lastRowLastColumn="0"/>
            </w:pPr>
            <w:r w:rsidRPr="00B275E2">
              <w:t>kg</w:t>
            </w:r>
            <w:r w:rsidR="0091279C" w:rsidRPr="00B275E2">
              <w:t xml:space="preserve"> N</w:t>
            </w:r>
          </w:p>
        </w:tc>
        <w:tc>
          <w:tcPr>
            <w:tcW w:w="1259" w:type="dxa"/>
            <w:shd w:val="clear" w:color="auto" w:fill="D2DDE1" w:themeFill="background2"/>
            <w:noWrap/>
          </w:tcPr>
          <w:p w14:paraId="2514C7A0" w14:textId="6E5DA4EF" w:rsidR="003A7B65" w:rsidRPr="00B275E2" w:rsidRDefault="003A7B65" w:rsidP="004D082F">
            <w:pPr>
              <w:pStyle w:val="TableText"/>
              <w:spacing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5.</w:t>
            </w:r>
            <w:r w:rsidR="0030699D" w:rsidRPr="00B275E2">
              <w:rPr>
                <w:rFonts w:cs="Calibri"/>
                <w:szCs w:val="18"/>
              </w:rPr>
              <w:t>07</w:t>
            </w:r>
          </w:p>
        </w:tc>
        <w:tc>
          <w:tcPr>
            <w:tcW w:w="1119" w:type="dxa"/>
            <w:shd w:val="clear" w:color="auto" w:fill="auto"/>
            <w:noWrap/>
          </w:tcPr>
          <w:p w14:paraId="293B003F" w14:textId="198D67E0" w:rsidR="003A7B65" w:rsidRPr="00B275E2" w:rsidRDefault="003A7B65" w:rsidP="004D082F">
            <w:pPr>
              <w:pStyle w:val="TableText"/>
              <w:spacing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color w:val="000000"/>
                <w:szCs w:val="18"/>
              </w:rPr>
              <w:t>1.</w:t>
            </w:r>
            <w:r w:rsidR="0030699D" w:rsidRPr="00B275E2">
              <w:rPr>
                <w:rFonts w:cs="Calibri"/>
                <w:color w:val="000000"/>
                <w:szCs w:val="18"/>
              </w:rPr>
              <w:t>59</w:t>
            </w:r>
          </w:p>
        </w:tc>
        <w:tc>
          <w:tcPr>
            <w:tcW w:w="1119" w:type="dxa"/>
            <w:shd w:val="clear" w:color="auto" w:fill="auto"/>
            <w:noWrap/>
          </w:tcPr>
          <w:p w14:paraId="5785306D" w14:textId="60D6CA60" w:rsidR="003A7B65" w:rsidRPr="00B275E2" w:rsidRDefault="003A7B65" w:rsidP="004D082F">
            <w:pPr>
              <w:pStyle w:val="TableText"/>
              <w:spacing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color w:val="000000"/>
                <w:szCs w:val="18"/>
              </w:rPr>
              <w:t>n/a</w:t>
            </w:r>
          </w:p>
        </w:tc>
        <w:tc>
          <w:tcPr>
            <w:tcW w:w="1185" w:type="dxa"/>
            <w:tcBorders>
              <w:right w:val="single" w:sz="4" w:space="0" w:color="FFFFFF" w:themeColor="background1"/>
            </w:tcBorders>
            <w:shd w:val="clear" w:color="auto" w:fill="auto"/>
            <w:noWrap/>
          </w:tcPr>
          <w:p w14:paraId="2B9FA0A3" w14:textId="2B1EA216" w:rsidR="003A7B65" w:rsidRPr="00B275E2" w:rsidRDefault="003A7B65" w:rsidP="004D082F">
            <w:pPr>
              <w:pStyle w:val="TableText"/>
              <w:spacing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color w:val="000000"/>
                <w:szCs w:val="18"/>
              </w:rPr>
              <w:t>3.</w:t>
            </w:r>
            <w:r w:rsidR="0030699D" w:rsidRPr="00B275E2">
              <w:rPr>
                <w:rFonts w:cs="Calibri"/>
                <w:color w:val="000000"/>
                <w:szCs w:val="18"/>
              </w:rPr>
              <w:t>48</w:t>
            </w:r>
          </w:p>
        </w:tc>
      </w:tr>
      <w:tr w:rsidR="003A7B65" w:rsidRPr="00B275E2" w14:paraId="5D4675F8" w14:textId="77777777" w:rsidTr="00E462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0" w:type="dxa"/>
            <w:vMerge/>
            <w:tcBorders>
              <w:left w:val="single" w:sz="4" w:space="0" w:color="FFFFFF" w:themeColor="background1"/>
            </w:tcBorders>
          </w:tcPr>
          <w:p w14:paraId="77D50A0F" w14:textId="77777777" w:rsidR="003A7B65" w:rsidRPr="00B275E2" w:rsidRDefault="003A7B65" w:rsidP="004D082F">
            <w:pPr>
              <w:pStyle w:val="TableText"/>
              <w:spacing w:after="40"/>
            </w:pPr>
          </w:p>
        </w:tc>
        <w:tc>
          <w:tcPr>
            <w:tcW w:w="2356" w:type="dxa"/>
          </w:tcPr>
          <w:p w14:paraId="42EFDC08" w14:textId="5DF7A534" w:rsidR="003A7B65" w:rsidRPr="00B275E2" w:rsidRDefault="0091279C" w:rsidP="004D082F">
            <w:pPr>
              <w:pStyle w:val="TableText"/>
              <w:spacing w:after="40"/>
              <w:cnfStyle w:val="000000100000" w:firstRow="0" w:lastRow="0" w:firstColumn="0" w:lastColumn="0" w:oddVBand="0" w:evenVBand="0" w:oddHBand="1" w:evenHBand="0" w:firstRowFirstColumn="0" w:firstRowLastColumn="0" w:lastRowFirstColumn="0" w:lastRowLastColumn="0"/>
            </w:pPr>
            <w:r w:rsidRPr="00B275E2">
              <w:t>Nitrogen content of u</w:t>
            </w:r>
            <w:r w:rsidR="003A7B65" w:rsidRPr="00B275E2">
              <w:t>rea nitrogen fertiliser coated with urease inhibitor</w:t>
            </w:r>
          </w:p>
        </w:tc>
        <w:tc>
          <w:tcPr>
            <w:tcW w:w="562" w:type="dxa"/>
            <w:noWrap/>
          </w:tcPr>
          <w:p w14:paraId="06D8FF0B" w14:textId="25B1DFE4" w:rsidR="003A7B65" w:rsidRPr="00B275E2" w:rsidRDefault="003A7B65" w:rsidP="004D082F">
            <w:pPr>
              <w:pStyle w:val="TableText"/>
              <w:spacing w:after="40"/>
              <w:cnfStyle w:val="000000100000" w:firstRow="0" w:lastRow="0" w:firstColumn="0" w:lastColumn="0" w:oddVBand="0" w:evenVBand="0" w:oddHBand="1" w:evenHBand="0" w:firstRowFirstColumn="0" w:firstRowLastColumn="0" w:lastRowFirstColumn="0" w:lastRowLastColumn="0"/>
            </w:pPr>
            <w:r w:rsidRPr="00B275E2">
              <w:t>kg</w:t>
            </w:r>
            <w:r w:rsidR="0091279C" w:rsidRPr="00B275E2">
              <w:t xml:space="preserve"> N</w:t>
            </w:r>
          </w:p>
        </w:tc>
        <w:tc>
          <w:tcPr>
            <w:tcW w:w="1259" w:type="dxa"/>
            <w:shd w:val="clear" w:color="auto" w:fill="D2DDE1" w:themeFill="background2"/>
            <w:noWrap/>
          </w:tcPr>
          <w:p w14:paraId="4DBCFE32" w14:textId="2EF47F8B" w:rsidR="003A7B65" w:rsidRPr="00B275E2" w:rsidRDefault="003A7B65" w:rsidP="004D082F">
            <w:pPr>
              <w:pStyle w:val="TableText"/>
              <w:spacing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4.</w:t>
            </w:r>
            <w:r w:rsidR="0030699D" w:rsidRPr="00B275E2">
              <w:rPr>
                <w:rFonts w:cs="Calibri"/>
                <w:szCs w:val="18"/>
              </w:rPr>
              <w:t>86</w:t>
            </w:r>
          </w:p>
        </w:tc>
        <w:tc>
          <w:tcPr>
            <w:tcW w:w="1119" w:type="dxa"/>
            <w:shd w:val="clear" w:color="auto" w:fill="auto"/>
            <w:noWrap/>
          </w:tcPr>
          <w:p w14:paraId="66709CA7" w14:textId="74CDBE00" w:rsidR="003A7B65" w:rsidRPr="00B275E2" w:rsidRDefault="003A7B65" w:rsidP="004D082F">
            <w:pPr>
              <w:pStyle w:val="TableText"/>
              <w:spacing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color w:val="000000"/>
                <w:szCs w:val="18"/>
              </w:rPr>
              <w:t>1.</w:t>
            </w:r>
            <w:r w:rsidR="0030699D" w:rsidRPr="00B275E2">
              <w:rPr>
                <w:rFonts w:cs="Calibri"/>
                <w:color w:val="000000"/>
                <w:szCs w:val="18"/>
              </w:rPr>
              <w:t>59</w:t>
            </w:r>
          </w:p>
        </w:tc>
        <w:tc>
          <w:tcPr>
            <w:tcW w:w="1119" w:type="dxa"/>
            <w:shd w:val="clear" w:color="auto" w:fill="auto"/>
            <w:noWrap/>
          </w:tcPr>
          <w:p w14:paraId="0936A05E" w14:textId="13FF0348" w:rsidR="003A7B65" w:rsidRPr="00B275E2" w:rsidRDefault="003A7B65" w:rsidP="004D082F">
            <w:pPr>
              <w:pStyle w:val="TableText"/>
              <w:spacing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color w:val="000000"/>
                <w:szCs w:val="18"/>
              </w:rPr>
              <w:t>n/a</w:t>
            </w:r>
          </w:p>
        </w:tc>
        <w:tc>
          <w:tcPr>
            <w:tcW w:w="1185" w:type="dxa"/>
            <w:tcBorders>
              <w:right w:val="single" w:sz="4" w:space="0" w:color="FFFFFF" w:themeColor="background1"/>
            </w:tcBorders>
            <w:shd w:val="clear" w:color="auto" w:fill="auto"/>
            <w:noWrap/>
          </w:tcPr>
          <w:p w14:paraId="0FB2E6A1" w14:textId="392DAF9B" w:rsidR="003A7B65" w:rsidRPr="00B275E2" w:rsidRDefault="003A7B65" w:rsidP="004D082F">
            <w:pPr>
              <w:pStyle w:val="TableText"/>
              <w:spacing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color w:val="000000"/>
                <w:szCs w:val="18"/>
              </w:rPr>
              <w:t>3.</w:t>
            </w:r>
            <w:r w:rsidR="0030699D" w:rsidRPr="00B275E2">
              <w:rPr>
                <w:rFonts w:cs="Calibri"/>
                <w:color w:val="000000"/>
                <w:szCs w:val="18"/>
              </w:rPr>
              <w:t>27</w:t>
            </w:r>
          </w:p>
        </w:tc>
      </w:tr>
      <w:tr w:rsidR="003A7B65" w:rsidRPr="00B275E2" w14:paraId="615A4C27" w14:textId="77777777" w:rsidTr="00E462C5">
        <w:trPr>
          <w:trHeight w:val="300"/>
        </w:trPr>
        <w:tc>
          <w:tcPr>
            <w:cnfStyle w:val="001000000000" w:firstRow="0" w:lastRow="0" w:firstColumn="1" w:lastColumn="0" w:oddVBand="0" w:evenVBand="0" w:oddHBand="0" w:evenHBand="0" w:firstRowFirstColumn="0" w:firstRowLastColumn="0" w:lastRowFirstColumn="0" w:lastRowLastColumn="0"/>
            <w:tcW w:w="900" w:type="dxa"/>
            <w:vMerge/>
            <w:tcBorders>
              <w:left w:val="single" w:sz="4" w:space="0" w:color="FFFFFF" w:themeColor="background1"/>
            </w:tcBorders>
          </w:tcPr>
          <w:p w14:paraId="73288FDF" w14:textId="77777777" w:rsidR="003A7B65" w:rsidRPr="00B275E2" w:rsidRDefault="003A7B65" w:rsidP="004D082F">
            <w:pPr>
              <w:pStyle w:val="TableText"/>
              <w:spacing w:after="40"/>
            </w:pPr>
          </w:p>
        </w:tc>
        <w:tc>
          <w:tcPr>
            <w:tcW w:w="2356" w:type="dxa"/>
          </w:tcPr>
          <w:p w14:paraId="7624439D" w14:textId="77777777" w:rsidR="003A7B65" w:rsidRPr="00B275E2" w:rsidRDefault="003A7B65" w:rsidP="004D082F">
            <w:pPr>
              <w:pStyle w:val="TableText"/>
              <w:spacing w:after="40"/>
              <w:cnfStyle w:val="000000000000" w:firstRow="0" w:lastRow="0" w:firstColumn="0" w:lastColumn="0" w:oddVBand="0" w:evenVBand="0" w:oddHBand="0" w:evenHBand="0" w:firstRowFirstColumn="0" w:firstRowLastColumn="0" w:lastRowFirstColumn="0" w:lastRowLastColumn="0"/>
            </w:pPr>
            <w:r w:rsidRPr="00B275E2">
              <w:t>Limestone</w:t>
            </w:r>
          </w:p>
        </w:tc>
        <w:tc>
          <w:tcPr>
            <w:tcW w:w="562" w:type="dxa"/>
            <w:noWrap/>
          </w:tcPr>
          <w:p w14:paraId="6842C390" w14:textId="77777777" w:rsidR="003A7B65" w:rsidRPr="00B275E2" w:rsidRDefault="003A7B65" w:rsidP="004D082F">
            <w:pPr>
              <w:pStyle w:val="TableText"/>
              <w:spacing w:after="40"/>
              <w:cnfStyle w:val="000000000000" w:firstRow="0" w:lastRow="0" w:firstColumn="0" w:lastColumn="0" w:oddVBand="0" w:evenVBand="0" w:oddHBand="0" w:evenHBand="0" w:firstRowFirstColumn="0" w:firstRowLastColumn="0" w:lastRowFirstColumn="0" w:lastRowLastColumn="0"/>
            </w:pPr>
            <w:r w:rsidRPr="00B275E2">
              <w:t>kg</w:t>
            </w:r>
          </w:p>
        </w:tc>
        <w:tc>
          <w:tcPr>
            <w:tcW w:w="1259" w:type="dxa"/>
            <w:shd w:val="clear" w:color="auto" w:fill="D2DDE1" w:themeFill="background2"/>
            <w:noWrap/>
          </w:tcPr>
          <w:p w14:paraId="645549F2" w14:textId="468675C8" w:rsidR="003A7B65" w:rsidRPr="00B275E2" w:rsidRDefault="003A7B65" w:rsidP="004D082F">
            <w:pPr>
              <w:pStyle w:val="TableText"/>
              <w:spacing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szCs w:val="18"/>
              </w:rPr>
              <w:t>0.</w:t>
            </w:r>
            <w:r w:rsidR="0030699D" w:rsidRPr="00B275E2">
              <w:rPr>
                <w:rFonts w:cs="Calibri"/>
                <w:szCs w:val="18"/>
              </w:rPr>
              <w:t>440</w:t>
            </w:r>
          </w:p>
        </w:tc>
        <w:tc>
          <w:tcPr>
            <w:tcW w:w="1119" w:type="dxa"/>
            <w:shd w:val="clear" w:color="auto" w:fill="auto"/>
            <w:noWrap/>
          </w:tcPr>
          <w:p w14:paraId="3702B290" w14:textId="2F6165DB" w:rsidR="003A7B65" w:rsidRPr="00B275E2" w:rsidRDefault="003A7B65" w:rsidP="004D082F">
            <w:pPr>
              <w:pStyle w:val="TableText"/>
              <w:spacing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color w:val="000000"/>
                <w:szCs w:val="18"/>
              </w:rPr>
              <w:t>0.</w:t>
            </w:r>
            <w:r w:rsidR="0030699D" w:rsidRPr="00B275E2">
              <w:rPr>
                <w:rFonts w:cs="Calibri"/>
                <w:color w:val="000000"/>
                <w:szCs w:val="18"/>
              </w:rPr>
              <w:t>440</w:t>
            </w:r>
          </w:p>
        </w:tc>
        <w:tc>
          <w:tcPr>
            <w:tcW w:w="1119" w:type="dxa"/>
            <w:shd w:val="clear" w:color="auto" w:fill="auto"/>
            <w:noWrap/>
          </w:tcPr>
          <w:p w14:paraId="7D891C7E" w14:textId="468D4120" w:rsidR="003A7B65" w:rsidRPr="00B275E2" w:rsidRDefault="003A7B65" w:rsidP="004D082F">
            <w:pPr>
              <w:pStyle w:val="TableText"/>
              <w:spacing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color w:val="000000"/>
                <w:szCs w:val="18"/>
              </w:rPr>
              <w:t>n/a</w:t>
            </w:r>
          </w:p>
        </w:tc>
        <w:tc>
          <w:tcPr>
            <w:tcW w:w="1185" w:type="dxa"/>
            <w:tcBorders>
              <w:right w:val="single" w:sz="4" w:space="0" w:color="FFFFFF" w:themeColor="background1"/>
            </w:tcBorders>
            <w:shd w:val="clear" w:color="auto" w:fill="auto"/>
            <w:noWrap/>
          </w:tcPr>
          <w:p w14:paraId="10171A58" w14:textId="340835CD" w:rsidR="003A7B65" w:rsidRPr="00B275E2" w:rsidRDefault="003A7B65" w:rsidP="004D082F">
            <w:pPr>
              <w:pStyle w:val="TableText"/>
              <w:spacing w:after="40"/>
              <w:jc w:val="right"/>
              <w:cnfStyle w:val="000000000000" w:firstRow="0" w:lastRow="0" w:firstColumn="0" w:lastColumn="0" w:oddVBand="0" w:evenVBand="0" w:oddHBand="0" w:evenHBand="0" w:firstRowFirstColumn="0" w:firstRowLastColumn="0" w:lastRowFirstColumn="0" w:lastRowLastColumn="0"/>
              <w:rPr>
                <w:szCs w:val="18"/>
              </w:rPr>
            </w:pPr>
            <w:r w:rsidRPr="00B275E2">
              <w:rPr>
                <w:rFonts w:cs="Calibri"/>
                <w:color w:val="000000"/>
                <w:szCs w:val="18"/>
              </w:rPr>
              <w:t>n/a</w:t>
            </w:r>
          </w:p>
        </w:tc>
      </w:tr>
      <w:tr w:rsidR="003A7B65" w:rsidRPr="00B275E2" w14:paraId="18E1B265" w14:textId="77777777" w:rsidTr="00E462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0" w:type="dxa"/>
            <w:vMerge/>
            <w:tcBorders>
              <w:left w:val="single" w:sz="4" w:space="0" w:color="FFFFFF" w:themeColor="background1"/>
            </w:tcBorders>
          </w:tcPr>
          <w:p w14:paraId="6028581F" w14:textId="77777777" w:rsidR="003A7B65" w:rsidRPr="00B275E2" w:rsidRDefault="003A7B65" w:rsidP="004D082F">
            <w:pPr>
              <w:pStyle w:val="TableText"/>
              <w:spacing w:after="40"/>
            </w:pPr>
          </w:p>
        </w:tc>
        <w:tc>
          <w:tcPr>
            <w:tcW w:w="2356" w:type="dxa"/>
          </w:tcPr>
          <w:p w14:paraId="06C982F1" w14:textId="77777777" w:rsidR="003A7B65" w:rsidRPr="00B275E2" w:rsidRDefault="003A7B65" w:rsidP="004D082F">
            <w:pPr>
              <w:pStyle w:val="TableText"/>
              <w:spacing w:after="40"/>
              <w:cnfStyle w:val="000000100000" w:firstRow="0" w:lastRow="0" w:firstColumn="0" w:lastColumn="0" w:oddVBand="0" w:evenVBand="0" w:oddHBand="1" w:evenHBand="0" w:firstRowFirstColumn="0" w:firstRowLastColumn="0" w:lastRowFirstColumn="0" w:lastRowLastColumn="0"/>
            </w:pPr>
            <w:r w:rsidRPr="00B275E2">
              <w:t>Dolomite</w:t>
            </w:r>
          </w:p>
        </w:tc>
        <w:tc>
          <w:tcPr>
            <w:tcW w:w="562" w:type="dxa"/>
            <w:noWrap/>
          </w:tcPr>
          <w:p w14:paraId="7BB11DAE" w14:textId="77777777" w:rsidR="003A7B65" w:rsidRPr="00B275E2" w:rsidRDefault="003A7B65" w:rsidP="004D082F">
            <w:pPr>
              <w:pStyle w:val="TableText"/>
              <w:spacing w:after="40"/>
              <w:cnfStyle w:val="000000100000" w:firstRow="0" w:lastRow="0" w:firstColumn="0" w:lastColumn="0" w:oddVBand="0" w:evenVBand="0" w:oddHBand="1" w:evenHBand="0" w:firstRowFirstColumn="0" w:firstRowLastColumn="0" w:lastRowFirstColumn="0" w:lastRowLastColumn="0"/>
            </w:pPr>
            <w:r w:rsidRPr="00B275E2">
              <w:t>kg</w:t>
            </w:r>
          </w:p>
        </w:tc>
        <w:tc>
          <w:tcPr>
            <w:tcW w:w="1259" w:type="dxa"/>
            <w:shd w:val="clear" w:color="auto" w:fill="D2DDE1" w:themeFill="background2"/>
            <w:noWrap/>
          </w:tcPr>
          <w:p w14:paraId="54CC9D03" w14:textId="0CEBF064" w:rsidR="003A7B65" w:rsidRPr="00B275E2" w:rsidRDefault="003A7B65" w:rsidP="004D082F">
            <w:pPr>
              <w:pStyle w:val="TableText"/>
              <w:spacing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szCs w:val="18"/>
              </w:rPr>
              <w:t>0.</w:t>
            </w:r>
            <w:r w:rsidR="0030699D" w:rsidRPr="00B275E2">
              <w:rPr>
                <w:rFonts w:cs="Calibri"/>
                <w:szCs w:val="18"/>
              </w:rPr>
              <w:t>477</w:t>
            </w:r>
          </w:p>
        </w:tc>
        <w:tc>
          <w:tcPr>
            <w:tcW w:w="1119" w:type="dxa"/>
            <w:shd w:val="clear" w:color="auto" w:fill="auto"/>
            <w:noWrap/>
          </w:tcPr>
          <w:p w14:paraId="48B05F38" w14:textId="5271F1DC" w:rsidR="003A7B65" w:rsidRPr="00B275E2" w:rsidRDefault="003A7B65" w:rsidP="004D082F">
            <w:pPr>
              <w:pStyle w:val="TableText"/>
              <w:spacing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color w:val="000000"/>
                <w:szCs w:val="18"/>
              </w:rPr>
              <w:t>0.</w:t>
            </w:r>
            <w:r w:rsidR="0030699D" w:rsidRPr="00B275E2">
              <w:rPr>
                <w:rFonts w:cs="Calibri"/>
                <w:color w:val="000000"/>
                <w:szCs w:val="18"/>
              </w:rPr>
              <w:t>477</w:t>
            </w:r>
          </w:p>
        </w:tc>
        <w:tc>
          <w:tcPr>
            <w:tcW w:w="1119" w:type="dxa"/>
            <w:shd w:val="clear" w:color="auto" w:fill="auto"/>
            <w:noWrap/>
          </w:tcPr>
          <w:p w14:paraId="3141CD19" w14:textId="78587456" w:rsidR="003A7B65" w:rsidRPr="00B275E2" w:rsidRDefault="003A7B65" w:rsidP="004D082F">
            <w:pPr>
              <w:pStyle w:val="TableText"/>
              <w:spacing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color w:val="000000"/>
                <w:szCs w:val="18"/>
              </w:rPr>
              <w:t>n/a</w:t>
            </w:r>
          </w:p>
        </w:tc>
        <w:tc>
          <w:tcPr>
            <w:tcW w:w="1185" w:type="dxa"/>
            <w:tcBorders>
              <w:right w:val="single" w:sz="4" w:space="0" w:color="FFFFFF" w:themeColor="background1"/>
            </w:tcBorders>
            <w:shd w:val="clear" w:color="auto" w:fill="auto"/>
            <w:noWrap/>
          </w:tcPr>
          <w:p w14:paraId="4466052F" w14:textId="74740B43" w:rsidR="003A7B65" w:rsidRPr="00B275E2" w:rsidRDefault="003A7B65" w:rsidP="004D082F">
            <w:pPr>
              <w:pStyle w:val="TableText"/>
              <w:spacing w:after="40"/>
              <w:jc w:val="right"/>
              <w:cnfStyle w:val="000000100000" w:firstRow="0" w:lastRow="0" w:firstColumn="0" w:lastColumn="0" w:oddVBand="0" w:evenVBand="0" w:oddHBand="1" w:evenHBand="0" w:firstRowFirstColumn="0" w:firstRowLastColumn="0" w:lastRowFirstColumn="0" w:lastRowLastColumn="0"/>
              <w:rPr>
                <w:szCs w:val="18"/>
              </w:rPr>
            </w:pPr>
            <w:r w:rsidRPr="00B275E2">
              <w:rPr>
                <w:rFonts w:cs="Calibri"/>
                <w:color w:val="000000"/>
                <w:szCs w:val="18"/>
              </w:rPr>
              <w:t>n/a</w:t>
            </w:r>
          </w:p>
        </w:tc>
      </w:tr>
    </w:tbl>
    <w:p w14:paraId="711B797B" w14:textId="693EB223" w:rsidR="00E603E1" w:rsidRPr="00B275E2" w:rsidRDefault="00E603E1" w:rsidP="004D082F">
      <w:pPr>
        <w:pStyle w:val="Note"/>
        <w:spacing w:after="0"/>
      </w:pPr>
      <w:r w:rsidRPr="00B275E2">
        <w:t>Note</w:t>
      </w:r>
      <w:r w:rsidR="0025058F" w:rsidRPr="00B275E2">
        <w:t>: T</w:t>
      </w:r>
      <w:r w:rsidRPr="00B275E2">
        <w:t xml:space="preserve">hese numbers are rounded to three </w:t>
      </w:r>
      <w:r w:rsidR="00515214" w:rsidRPr="00B275E2">
        <w:t>significant figures</w:t>
      </w:r>
      <w:r w:rsidRPr="00B275E2">
        <w:t xml:space="preserve"> unless the number is significantly small. </w:t>
      </w:r>
    </w:p>
    <w:p w14:paraId="0BBC2D47" w14:textId="063C9942" w:rsidR="0091279C" w:rsidRPr="00B275E2" w:rsidRDefault="0091279C" w:rsidP="004D082F">
      <w:pPr>
        <w:pStyle w:val="Note"/>
        <w:spacing w:before="0"/>
      </w:pPr>
      <w:r w:rsidRPr="00B275E2">
        <w:t>* Noting that this is the mass of the nitrogen component of fertiliser only.</w:t>
      </w:r>
    </w:p>
    <w:p w14:paraId="0F02B2BE" w14:textId="78CE574C" w:rsidR="003A7B65" w:rsidRPr="00B275E2" w:rsidRDefault="005B0BFB" w:rsidP="009F7FFC">
      <w:pPr>
        <w:pStyle w:val="Tableheading"/>
        <w:rPr>
          <w:highlight w:val="yellow"/>
        </w:rPr>
      </w:pPr>
      <w:bookmarkStart w:id="648" w:name="_Toc111536704"/>
      <w:r w:rsidRPr="00B275E2">
        <w:t xml:space="preserve">Table </w:t>
      </w:r>
      <w:r w:rsidRPr="00B275E2">
        <w:fldChar w:fldCharType="begin"/>
      </w:r>
      <w:r w:rsidRPr="00B275E2">
        <w:instrText>SEQ Table \* ARABIC</w:instrText>
      </w:r>
      <w:r w:rsidRPr="00B275E2">
        <w:fldChar w:fldCharType="separate"/>
      </w:r>
      <w:r>
        <w:rPr>
          <w:noProof/>
        </w:rPr>
        <w:t>99</w:t>
      </w:r>
      <w:r w:rsidRPr="00B275E2">
        <w:fldChar w:fldCharType="end"/>
      </w:r>
      <w:r w:rsidRPr="00B275E2">
        <w:t>:</w:t>
      </w:r>
      <w:r w:rsidRPr="00B275E2">
        <w:tab/>
      </w:r>
      <w:r w:rsidR="003A7B65" w:rsidRPr="00B275E2">
        <w:t xml:space="preserve">Examples of different categories of </w:t>
      </w:r>
      <w:r w:rsidR="00B41142" w:rsidRPr="00B275E2">
        <w:t>f</w:t>
      </w:r>
      <w:r w:rsidR="003A7B65" w:rsidRPr="00B275E2">
        <w:t>ertilisers</w:t>
      </w:r>
      <w:bookmarkEnd w:id="648"/>
    </w:p>
    <w:tbl>
      <w:tblPr>
        <w:tblStyle w:val="TableGrid"/>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5228"/>
        <w:gridCol w:w="3277"/>
      </w:tblGrid>
      <w:tr w:rsidR="003A7B65" w:rsidRPr="00B275E2" w14:paraId="6C2EEE08" w14:textId="77777777" w:rsidTr="004D082F">
        <w:tc>
          <w:tcPr>
            <w:tcW w:w="0" w:type="auto"/>
            <w:shd w:val="clear" w:color="auto" w:fill="1B556B" w:themeFill="text2"/>
          </w:tcPr>
          <w:p w14:paraId="758FDFA3" w14:textId="0CA01046" w:rsidR="003A7B65" w:rsidRPr="00B275E2" w:rsidRDefault="003A7B65" w:rsidP="004D082F">
            <w:pPr>
              <w:pStyle w:val="TableText"/>
              <w:keepNext/>
              <w:spacing w:before="40" w:after="40"/>
              <w:rPr>
                <w:rStyle w:val="BodyTextChar"/>
                <w:b/>
                <w:color w:val="FFFFFF" w:themeColor="background1"/>
                <w:szCs w:val="18"/>
              </w:rPr>
            </w:pPr>
            <w:r w:rsidRPr="00B275E2">
              <w:rPr>
                <w:rStyle w:val="BodyTextChar"/>
                <w:b/>
                <w:color w:val="FFFFFF" w:themeColor="background1"/>
                <w:szCs w:val="18"/>
              </w:rPr>
              <w:t xml:space="preserve">Fertiliser </w:t>
            </w:r>
            <w:r w:rsidR="00B8427B" w:rsidRPr="00B275E2">
              <w:rPr>
                <w:rStyle w:val="BodyTextChar"/>
                <w:b/>
                <w:color w:val="FFFFFF" w:themeColor="background1"/>
                <w:szCs w:val="18"/>
              </w:rPr>
              <w:t>t</w:t>
            </w:r>
            <w:r w:rsidRPr="00B275E2">
              <w:rPr>
                <w:rStyle w:val="BodyTextChar"/>
                <w:b/>
                <w:color w:val="FFFFFF" w:themeColor="background1"/>
                <w:szCs w:val="18"/>
              </w:rPr>
              <w:t>ype</w:t>
            </w:r>
          </w:p>
        </w:tc>
        <w:tc>
          <w:tcPr>
            <w:tcW w:w="0" w:type="auto"/>
            <w:shd w:val="clear" w:color="auto" w:fill="1B556B" w:themeFill="text2"/>
          </w:tcPr>
          <w:p w14:paraId="2B836E65" w14:textId="77777777" w:rsidR="003A7B65" w:rsidRPr="00B275E2" w:rsidRDefault="003A7B65" w:rsidP="004D082F">
            <w:pPr>
              <w:pStyle w:val="TableText"/>
              <w:keepNext/>
              <w:spacing w:before="40" w:after="40"/>
              <w:rPr>
                <w:rStyle w:val="BodyTextChar"/>
                <w:b/>
                <w:color w:val="FFFFFF" w:themeColor="background1"/>
                <w:szCs w:val="18"/>
              </w:rPr>
            </w:pPr>
            <w:r w:rsidRPr="00B275E2">
              <w:rPr>
                <w:rStyle w:val="BodyTextChar"/>
                <w:b/>
                <w:color w:val="FFFFFF" w:themeColor="background1"/>
                <w:szCs w:val="18"/>
              </w:rPr>
              <w:t>Example product</w:t>
            </w:r>
          </w:p>
        </w:tc>
      </w:tr>
      <w:tr w:rsidR="003A7B65" w:rsidRPr="00B275E2" w14:paraId="20CD2BD5" w14:textId="77777777" w:rsidTr="004D082F">
        <w:tc>
          <w:tcPr>
            <w:tcW w:w="0" w:type="auto"/>
          </w:tcPr>
          <w:p w14:paraId="5F6EA4D6" w14:textId="753D45DE" w:rsidR="003A7B65" w:rsidRPr="00B275E2" w:rsidRDefault="003A7B65" w:rsidP="004D082F">
            <w:pPr>
              <w:pStyle w:val="TableText"/>
              <w:spacing w:before="40" w:after="40"/>
              <w:rPr>
                <w:rStyle w:val="BodyTextChar"/>
                <w:szCs w:val="18"/>
              </w:rPr>
            </w:pPr>
            <w:r w:rsidRPr="00B275E2">
              <w:rPr>
                <w:rStyle w:val="BodyTextChar"/>
                <w:szCs w:val="18"/>
              </w:rPr>
              <w:t xml:space="preserve">Non-urea nitrogen </w:t>
            </w:r>
          </w:p>
        </w:tc>
        <w:tc>
          <w:tcPr>
            <w:tcW w:w="0" w:type="auto"/>
          </w:tcPr>
          <w:p w14:paraId="32B6905E" w14:textId="00899163" w:rsidR="003A7B65" w:rsidRPr="00B275E2" w:rsidRDefault="003A7B65" w:rsidP="004D082F">
            <w:pPr>
              <w:pStyle w:val="TableText"/>
              <w:spacing w:before="40" w:after="40"/>
              <w:rPr>
                <w:rStyle w:val="BodyTextChar"/>
                <w:szCs w:val="18"/>
                <w:highlight w:val="yellow"/>
              </w:rPr>
            </w:pPr>
            <w:r w:rsidRPr="00B275E2">
              <w:rPr>
                <w:rStyle w:val="BodyTextChar"/>
                <w:szCs w:val="18"/>
              </w:rPr>
              <w:t xml:space="preserve">Diammonium </w:t>
            </w:r>
            <w:r w:rsidR="00112014" w:rsidRPr="00B275E2">
              <w:rPr>
                <w:rStyle w:val="BodyTextChar"/>
                <w:szCs w:val="18"/>
              </w:rPr>
              <w:t>p</w:t>
            </w:r>
            <w:r w:rsidRPr="00B275E2">
              <w:rPr>
                <w:rStyle w:val="BodyTextChar"/>
                <w:szCs w:val="18"/>
              </w:rPr>
              <w:t>hosphate</w:t>
            </w:r>
          </w:p>
        </w:tc>
      </w:tr>
      <w:tr w:rsidR="003A7B65" w:rsidRPr="00B275E2" w14:paraId="7683DCFF" w14:textId="77777777" w:rsidTr="004D082F">
        <w:tc>
          <w:tcPr>
            <w:tcW w:w="0" w:type="auto"/>
          </w:tcPr>
          <w:p w14:paraId="7A17615E" w14:textId="3A84F694" w:rsidR="003A7B65" w:rsidRPr="00B275E2" w:rsidRDefault="003A7B65" w:rsidP="004D082F">
            <w:pPr>
              <w:pStyle w:val="TableText"/>
              <w:spacing w:before="40" w:after="40"/>
              <w:rPr>
                <w:rStyle w:val="BodyTextChar"/>
                <w:szCs w:val="18"/>
              </w:rPr>
            </w:pPr>
            <w:r w:rsidRPr="00B275E2">
              <w:rPr>
                <w:rStyle w:val="BodyTextChar"/>
                <w:szCs w:val="18"/>
              </w:rPr>
              <w:t>Urea nitrogen not coated with urease inhibitor</w:t>
            </w:r>
          </w:p>
        </w:tc>
        <w:tc>
          <w:tcPr>
            <w:tcW w:w="0" w:type="auto"/>
          </w:tcPr>
          <w:p w14:paraId="6DFF4EED" w14:textId="68D9615E" w:rsidR="003A7B65" w:rsidRPr="00B275E2" w:rsidRDefault="003A7B65" w:rsidP="004D082F">
            <w:pPr>
              <w:pStyle w:val="TableText"/>
              <w:spacing w:before="40" w:after="40"/>
              <w:rPr>
                <w:rStyle w:val="BodyTextChar"/>
                <w:szCs w:val="18"/>
                <w:highlight w:val="yellow"/>
              </w:rPr>
            </w:pPr>
            <w:r w:rsidRPr="00B275E2">
              <w:rPr>
                <w:rStyle w:val="BodyTextChar"/>
                <w:szCs w:val="18"/>
              </w:rPr>
              <w:t xml:space="preserve">Nrich </w:t>
            </w:r>
            <w:r w:rsidR="00A579B6" w:rsidRPr="00B275E2">
              <w:rPr>
                <w:rStyle w:val="BodyTextChar"/>
                <w:szCs w:val="18"/>
              </w:rPr>
              <w:t>u</w:t>
            </w:r>
            <w:r w:rsidRPr="00B275E2">
              <w:rPr>
                <w:rStyle w:val="BodyTextChar"/>
                <w:szCs w:val="18"/>
              </w:rPr>
              <w:t>rea</w:t>
            </w:r>
          </w:p>
        </w:tc>
      </w:tr>
      <w:tr w:rsidR="003A7B65" w:rsidRPr="00B275E2" w14:paraId="17C8382B" w14:textId="77777777" w:rsidTr="004D082F">
        <w:tc>
          <w:tcPr>
            <w:tcW w:w="0" w:type="auto"/>
          </w:tcPr>
          <w:p w14:paraId="3BC20910" w14:textId="484E722D" w:rsidR="003A7B65" w:rsidRPr="00B275E2" w:rsidRDefault="003A7B65" w:rsidP="004D082F">
            <w:pPr>
              <w:pStyle w:val="TableText"/>
              <w:spacing w:before="40" w:after="40"/>
              <w:rPr>
                <w:rStyle w:val="BodyTextChar"/>
                <w:szCs w:val="18"/>
              </w:rPr>
            </w:pPr>
            <w:r w:rsidRPr="00B275E2">
              <w:rPr>
                <w:rStyle w:val="BodyTextChar"/>
                <w:szCs w:val="18"/>
              </w:rPr>
              <w:lastRenderedPageBreak/>
              <w:t>Urea nitrogen coated with urease inhibitor</w:t>
            </w:r>
          </w:p>
        </w:tc>
        <w:tc>
          <w:tcPr>
            <w:tcW w:w="0" w:type="auto"/>
          </w:tcPr>
          <w:p w14:paraId="1DE29058" w14:textId="25E1FFB3" w:rsidR="003A7B65" w:rsidRPr="00B275E2" w:rsidRDefault="003A7B65" w:rsidP="004D082F">
            <w:pPr>
              <w:pStyle w:val="TableText"/>
              <w:spacing w:before="40" w:after="40"/>
              <w:rPr>
                <w:rStyle w:val="BodyTextChar"/>
                <w:szCs w:val="18"/>
                <w:highlight w:val="yellow"/>
              </w:rPr>
            </w:pPr>
            <w:r w:rsidRPr="00B275E2">
              <w:rPr>
                <w:rStyle w:val="BodyTextChar"/>
                <w:szCs w:val="18"/>
              </w:rPr>
              <w:t>Agrotain, SustaiN</w:t>
            </w:r>
            <w:r w:rsidR="00112014" w:rsidRPr="00B275E2">
              <w:rPr>
                <w:rStyle w:val="BodyTextChar"/>
                <w:szCs w:val="18"/>
              </w:rPr>
              <w:t>,</w:t>
            </w:r>
            <w:r w:rsidR="0093331D" w:rsidRPr="00B275E2">
              <w:rPr>
                <w:rStyle w:val="BodyTextChar"/>
                <w:szCs w:val="18"/>
              </w:rPr>
              <w:t xml:space="preserve"> N-Protect</w:t>
            </w:r>
          </w:p>
        </w:tc>
      </w:tr>
    </w:tbl>
    <w:p w14:paraId="111DEC14" w14:textId="7E142FFE" w:rsidR="003A7B65" w:rsidRPr="00B275E2" w:rsidRDefault="00301928" w:rsidP="002234D0">
      <w:pPr>
        <w:pStyle w:val="Heading3"/>
      </w:pPr>
      <w:r w:rsidRPr="00B275E2">
        <w:t xml:space="preserve">GHG </w:t>
      </w:r>
      <w:r w:rsidR="003A7B65" w:rsidRPr="00B275E2">
        <w:t>inventory development</w:t>
      </w:r>
    </w:p>
    <w:p w14:paraId="3530A5FB" w14:textId="612C5418" w:rsidR="004D78B6" w:rsidRPr="00B275E2" w:rsidRDefault="003C70D4" w:rsidP="004D082F">
      <w:pPr>
        <w:pStyle w:val="BodyText"/>
      </w:pPr>
      <w:r w:rsidRPr="00B275E2">
        <w:rPr>
          <w:rFonts w:eastAsia="Times New Roman"/>
          <w:lang w:eastAsia="en-US"/>
        </w:rPr>
        <w:t>Organisations should collect data on quantity</w:t>
      </w:r>
      <w:r w:rsidR="00E91DAD" w:rsidRPr="00B275E2">
        <w:rPr>
          <w:rFonts w:eastAsia="Times New Roman"/>
          <w:lang w:eastAsia="en-US"/>
        </w:rPr>
        <w:t xml:space="preserve"> of nitrogen</w:t>
      </w:r>
      <w:r w:rsidRPr="00B275E2">
        <w:rPr>
          <w:rFonts w:eastAsia="Times New Roman"/>
          <w:lang w:eastAsia="en-US"/>
        </w:rPr>
        <w:t xml:space="preserve"> (in kg) of fertiliser used in the reporting period by type. </w:t>
      </w:r>
      <w:r w:rsidR="00E603E1" w:rsidRPr="00B275E2">
        <w:t xml:space="preserve">Applying the equation </w:t>
      </w:r>
      <w:r w:rsidR="004D78B6" w:rsidRPr="00B275E2">
        <w:t>E= Q x F</w:t>
      </w:r>
      <w:r w:rsidR="00E4791A" w:rsidRPr="00B275E2">
        <w:t xml:space="preserve"> </w:t>
      </w:r>
      <w:r w:rsidR="004D78B6" w:rsidRPr="00B275E2">
        <w:t>(</w:t>
      </w:r>
      <w:hyperlink w:anchor="_How_to_quantify" w:history="1">
        <w:r w:rsidR="00E4791A" w:rsidRPr="00B275E2">
          <w:rPr>
            <w:rStyle w:val="Hyperlink"/>
          </w:rPr>
          <w:t>section 2</w:t>
        </w:r>
      </w:hyperlink>
      <w:r w:rsidR="004D78B6" w:rsidRPr="00B275E2">
        <w:rPr>
          <w:rStyle w:val="Hyperlink"/>
          <w:color w:val="auto"/>
        </w:rPr>
        <w:t>)</w:t>
      </w:r>
      <w:r w:rsidR="00E603E1" w:rsidRPr="00B275E2">
        <w:rPr>
          <w:i/>
        </w:rPr>
        <w:t>,</w:t>
      </w:r>
      <w:r w:rsidR="00E603E1" w:rsidRPr="00B275E2">
        <w:t xml:space="preserve"> this means:</w:t>
      </w:r>
    </w:p>
    <w:p w14:paraId="6B99561A" w14:textId="77777777" w:rsidR="004D78B6" w:rsidRPr="00B275E2" w:rsidRDefault="004D78B6" w:rsidP="00B56F79">
      <w:pPr>
        <w:pStyle w:val="BodyText"/>
        <w:tabs>
          <w:tab w:val="left" w:pos="680"/>
          <w:tab w:val="left" w:pos="1134"/>
        </w:tabs>
        <w:contextualSpacing/>
      </w:pPr>
      <w:r w:rsidRPr="00B275E2">
        <w:t>E</w:t>
      </w:r>
      <w:r w:rsidRPr="00B275E2">
        <w:tab/>
        <w:t>=</w:t>
      </w:r>
      <w:r w:rsidRPr="00B275E2">
        <w:tab/>
        <w:t>emissions from the emissions source in kg CO</w:t>
      </w:r>
      <w:r w:rsidRPr="00B275E2">
        <w:rPr>
          <w:vertAlign w:val="subscript"/>
        </w:rPr>
        <w:t>2</w:t>
      </w:r>
      <w:r w:rsidRPr="00B275E2">
        <w:t xml:space="preserve">-e per year </w:t>
      </w:r>
    </w:p>
    <w:p w14:paraId="3943EF1D" w14:textId="775A4EC3" w:rsidR="00E603E1" w:rsidRPr="00B275E2" w:rsidRDefault="0025058F" w:rsidP="00B56F79">
      <w:pPr>
        <w:pStyle w:val="BodyText"/>
        <w:tabs>
          <w:tab w:val="left" w:pos="680"/>
          <w:tab w:val="left" w:pos="1134"/>
        </w:tabs>
        <w:contextualSpacing/>
      </w:pPr>
      <w:r w:rsidRPr="00B275E2">
        <w:t>Q</w:t>
      </w:r>
      <w:r w:rsidRPr="00B275E2">
        <w:tab/>
        <w:t>=</w:t>
      </w:r>
      <w:r w:rsidRPr="00B275E2">
        <w:tab/>
      </w:r>
      <w:r w:rsidR="00E603E1" w:rsidRPr="00B275E2">
        <w:t>type of fertiliser used</w:t>
      </w:r>
      <w:r w:rsidR="00E603E1" w:rsidRPr="00B275E2" w:rsidDel="00E91DAD">
        <w:t xml:space="preserve"> (in kg)</w:t>
      </w:r>
    </w:p>
    <w:p w14:paraId="09AE7946" w14:textId="05401310" w:rsidR="003A7B65" w:rsidRPr="00B275E2" w:rsidRDefault="0025058F" w:rsidP="00B56F79">
      <w:pPr>
        <w:pStyle w:val="BodyText"/>
        <w:tabs>
          <w:tab w:val="left" w:pos="680"/>
          <w:tab w:val="left" w:pos="1134"/>
        </w:tabs>
        <w:spacing w:after="240"/>
        <w:contextualSpacing/>
      </w:pPr>
      <w:r w:rsidRPr="00B275E2">
        <w:t>F</w:t>
      </w:r>
      <w:r w:rsidRPr="00B275E2">
        <w:tab/>
        <w:t>=</w:t>
      </w:r>
      <w:r w:rsidRPr="00B275E2">
        <w:tab/>
      </w:r>
      <w:r w:rsidR="00E603E1" w:rsidRPr="00B275E2">
        <w:t>appropriate emission factors from</w:t>
      </w:r>
      <w:r w:rsidR="00DD3E39" w:rsidRPr="00B275E2">
        <w:t xml:space="preserve"> </w:t>
      </w:r>
      <w:r w:rsidR="00840156" w:rsidRPr="00B275E2">
        <w:t xml:space="preserve">table </w:t>
      </w:r>
      <w:r w:rsidR="00EE24CD">
        <w:t>98</w:t>
      </w:r>
    </w:p>
    <w:tbl>
      <w:tblPr>
        <w:tblW w:w="85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0"/>
      </w:tblGrid>
      <w:tr w:rsidR="00DA7183" w:rsidRPr="00B275E2" w14:paraId="21FBD8A5" w14:textId="77777777" w:rsidTr="00B56F79">
        <w:tc>
          <w:tcPr>
            <w:tcW w:w="8500" w:type="dxa"/>
            <w:tcBorders>
              <w:top w:val="single" w:sz="4" w:space="0" w:color="0F7B7D"/>
              <w:left w:val="single" w:sz="4" w:space="0" w:color="0F7B7D"/>
              <w:bottom w:val="nil"/>
              <w:right w:val="single" w:sz="4" w:space="0" w:color="0F7B7D"/>
            </w:tcBorders>
            <w:shd w:val="clear" w:color="auto" w:fill="0F7B7D"/>
            <w:vAlign w:val="center"/>
          </w:tcPr>
          <w:p w14:paraId="268A4813" w14:textId="68F1DC1D" w:rsidR="00E603E1" w:rsidRPr="00B275E2" w:rsidDel="00D5390D" w:rsidRDefault="00B8427B" w:rsidP="00E603E1">
            <w:pPr>
              <w:pStyle w:val="Casestudyheading"/>
            </w:pPr>
            <w:r w:rsidRPr="00B275E2">
              <w:t xml:space="preserve">FERTILISER USE: </w:t>
            </w:r>
            <w:r w:rsidR="00E603E1" w:rsidRPr="00B275E2">
              <w:t>Example Calculation</w:t>
            </w:r>
          </w:p>
        </w:tc>
      </w:tr>
      <w:tr w:rsidR="00F21DC0" w:rsidRPr="00B275E2" w14:paraId="7362E29B" w14:textId="77777777" w:rsidTr="00B56F79">
        <w:trPr>
          <w:trHeight w:val="617"/>
        </w:trPr>
        <w:tc>
          <w:tcPr>
            <w:tcW w:w="8500" w:type="dxa"/>
            <w:tcBorders>
              <w:top w:val="nil"/>
              <w:left w:val="single" w:sz="4" w:space="0" w:color="D5EBE8" w:themeColor="accent3"/>
              <w:bottom w:val="single" w:sz="4" w:space="0" w:color="D5EBE8" w:themeColor="accent3"/>
              <w:right w:val="single" w:sz="4" w:space="0" w:color="D5EBE8" w:themeColor="accent3"/>
            </w:tcBorders>
            <w:shd w:val="clear" w:color="auto" w:fill="D5EBE8" w:themeFill="accent3"/>
          </w:tcPr>
          <w:p w14:paraId="55B30051" w14:textId="68BF6D56" w:rsidR="00E603E1" w:rsidRPr="00B275E2" w:rsidRDefault="00E603E1" w:rsidP="00B56F79">
            <w:pPr>
              <w:pStyle w:val="Boxtext"/>
              <w:spacing w:after="80"/>
            </w:pPr>
            <w:r w:rsidRPr="00B275E2">
              <w:t xml:space="preserve">An organisation uses 80 kg of dolomite and 50 kg of </w:t>
            </w:r>
            <w:r w:rsidR="0054694A" w:rsidRPr="00B275E2">
              <w:t xml:space="preserve">nitrogen from </w:t>
            </w:r>
            <w:r w:rsidRPr="00B275E2">
              <w:t>non-urea nitrogen fertiliser in the reporting year.</w:t>
            </w:r>
          </w:p>
          <w:p w14:paraId="4F1FFD1D" w14:textId="53417358" w:rsidR="00E603E1" w:rsidRPr="00B275E2" w:rsidRDefault="00E603E1" w:rsidP="00B56F79">
            <w:pPr>
              <w:pStyle w:val="Boxtext"/>
              <w:tabs>
                <w:tab w:val="left" w:pos="2880"/>
                <w:tab w:val="left" w:pos="5134"/>
              </w:tabs>
              <w:spacing w:before="20" w:after="20"/>
              <w:ind w:left="850"/>
            </w:pPr>
            <w:r w:rsidRPr="00B275E2">
              <w:t>CO</w:t>
            </w:r>
            <w:r w:rsidRPr="00B275E2">
              <w:rPr>
                <w:vertAlign w:val="subscript"/>
              </w:rPr>
              <w:t>2</w:t>
            </w:r>
            <w:r w:rsidRPr="00B275E2">
              <w:t xml:space="preserve"> emissions </w:t>
            </w:r>
            <w:r w:rsidRPr="00B275E2">
              <w:tab/>
              <w:t xml:space="preserve">= (80 </w:t>
            </w:r>
            <w:r w:rsidRPr="00B275E2">
              <w:rPr>
                <w:rFonts w:cs="Calibri"/>
              </w:rPr>
              <w:t>× 0.</w:t>
            </w:r>
            <w:r w:rsidR="00760321" w:rsidRPr="00B275E2">
              <w:rPr>
                <w:rFonts w:cs="Calibri"/>
              </w:rPr>
              <w:t>477</w:t>
            </w:r>
            <w:r w:rsidRPr="00B275E2">
              <w:rPr>
                <w:rFonts w:cs="Calibri"/>
              </w:rPr>
              <w:t>) + (50 × 0)</w:t>
            </w:r>
            <w:r w:rsidRPr="00B275E2">
              <w:t xml:space="preserve"> </w:t>
            </w:r>
            <w:r w:rsidRPr="00B275E2">
              <w:tab/>
            </w:r>
            <w:r w:rsidRPr="00B275E2">
              <w:rPr>
                <w:rFonts w:cs="Calibri"/>
              </w:rPr>
              <w:t xml:space="preserve">= </w:t>
            </w:r>
            <w:r w:rsidR="006755D0" w:rsidRPr="00B275E2">
              <w:rPr>
                <w:rFonts w:cs="Calibri"/>
              </w:rPr>
              <w:t>38.2</w:t>
            </w:r>
            <w:r w:rsidRPr="00B275E2">
              <w:rPr>
                <w:rFonts w:cs="Calibri"/>
              </w:rPr>
              <w:t xml:space="preserve"> </w:t>
            </w:r>
            <w:r w:rsidRPr="00B275E2">
              <w:t>kg CO</w:t>
            </w:r>
            <w:r w:rsidRPr="00B275E2">
              <w:rPr>
                <w:vertAlign w:val="subscript"/>
              </w:rPr>
              <w:t>2</w:t>
            </w:r>
            <w:r w:rsidRPr="00B275E2">
              <w:t>-e</w:t>
            </w:r>
          </w:p>
          <w:p w14:paraId="193E2BA3" w14:textId="2C168E53" w:rsidR="00E603E1" w:rsidRPr="00B275E2" w:rsidRDefault="00E603E1" w:rsidP="00B56F79">
            <w:pPr>
              <w:pStyle w:val="Boxtext"/>
              <w:tabs>
                <w:tab w:val="left" w:pos="2880"/>
                <w:tab w:val="left" w:pos="5134"/>
              </w:tabs>
              <w:spacing w:before="20" w:after="20"/>
              <w:ind w:left="850"/>
            </w:pPr>
            <w:r w:rsidRPr="00B275E2">
              <w:t>CH</w:t>
            </w:r>
            <w:r w:rsidRPr="00B275E2">
              <w:rPr>
                <w:vertAlign w:val="subscript"/>
              </w:rPr>
              <w:t>4</w:t>
            </w:r>
            <w:r w:rsidRPr="00B275E2">
              <w:t xml:space="preserve"> emissions </w:t>
            </w:r>
            <w:r w:rsidRPr="00B275E2">
              <w:tab/>
              <w:t xml:space="preserve">= (80 </w:t>
            </w:r>
            <w:r w:rsidRPr="00B275E2">
              <w:rPr>
                <w:rFonts w:cs="Calibri"/>
              </w:rPr>
              <w:t>× 0</w:t>
            </w:r>
            <w:r w:rsidRPr="00B275E2">
              <w:t xml:space="preserve">) + (50 </w:t>
            </w:r>
            <w:r w:rsidRPr="00B275E2">
              <w:rPr>
                <w:rFonts w:cs="Calibri"/>
              </w:rPr>
              <w:t>× 0)</w:t>
            </w:r>
            <w:r w:rsidRPr="00B275E2">
              <w:t xml:space="preserve"> </w:t>
            </w:r>
            <w:r w:rsidRPr="00B275E2">
              <w:tab/>
              <w:t>= 0 kg CO</w:t>
            </w:r>
            <w:r w:rsidRPr="00B275E2">
              <w:rPr>
                <w:vertAlign w:val="subscript"/>
              </w:rPr>
              <w:t>2</w:t>
            </w:r>
            <w:r w:rsidRPr="00B275E2">
              <w:t xml:space="preserve">-e </w:t>
            </w:r>
          </w:p>
          <w:p w14:paraId="011CC77D" w14:textId="1A7F98D3" w:rsidR="00E603E1" w:rsidRPr="00B275E2" w:rsidRDefault="00E603E1" w:rsidP="00B56F79">
            <w:pPr>
              <w:pStyle w:val="Boxtext"/>
              <w:tabs>
                <w:tab w:val="left" w:pos="2880"/>
                <w:tab w:val="left" w:pos="5134"/>
              </w:tabs>
              <w:spacing w:before="20" w:after="20"/>
              <w:ind w:left="850"/>
            </w:pPr>
            <w:r w:rsidRPr="00B275E2">
              <w:t>N</w:t>
            </w:r>
            <w:r w:rsidRPr="00B275E2">
              <w:rPr>
                <w:vertAlign w:val="subscript"/>
              </w:rPr>
              <w:t>2</w:t>
            </w:r>
            <w:r w:rsidRPr="00B275E2">
              <w:t xml:space="preserve">O emissions </w:t>
            </w:r>
            <w:r w:rsidRPr="00B275E2">
              <w:tab/>
              <w:t xml:space="preserve">= (80 </w:t>
            </w:r>
            <w:r w:rsidRPr="00B275E2">
              <w:rPr>
                <w:rFonts w:cs="Calibri"/>
              </w:rPr>
              <w:t>× 0</w:t>
            </w:r>
            <w:r w:rsidRPr="00B275E2">
              <w:t xml:space="preserve">) + (50 </w:t>
            </w:r>
            <w:r w:rsidRPr="00B275E2">
              <w:rPr>
                <w:rFonts w:cs="Calibri"/>
              </w:rPr>
              <w:t>× 5.4)</w:t>
            </w:r>
            <w:r w:rsidRPr="00B275E2">
              <w:t xml:space="preserve"> </w:t>
            </w:r>
            <w:r w:rsidRPr="00B275E2">
              <w:tab/>
              <w:t>= 270 kg CO</w:t>
            </w:r>
            <w:r w:rsidRPr="00B275E2">
              <w:rPr>
                <w:vertAlign w:val="subscript"/>
              </w:rPr>
              <w:t>2</w:t>
            </w:r>
            <w:r w:rsidRPr="00B275E2">
              <w:t>-e</w:t>
            </w:r>
          </w:p>
          <w:p w14:paraId="481DAD86" w14:textId="71881BA6" w:rsidR="00E603E1" w:rsidRPr="00B275E2" w:rsidRDefault="00E603E1" w:rsidP="00B56F79">
            <w:pPr>
              <w:pStyle w:val="Boxtext"/>
              <w:tabs>
                <w:tab w:val="left" w:pos="2880"/>
                <w:tab w:val="left" w:pos="5134"/>
              </w:tabs>
              <w:spacing w:before="20" w:after="20"/>
              <w:ind w:left="850"/>
            </w:pPr>
            <w:r w:rsidRPr="00B275E2">
              <w:t>Total CO</w:t>
            </w:r>
            <w:r w:rsidRPr="00B275E2">
              <w:rPr>
                <w:vertAlign w:val="subscript"/>
              </w:rPr>
              <w:t>2</w:t>
            </w:r>
            <w:r w:rsidRPr="00B275E2">
              <w:t xml:space="preserve">-e emissions </w:t>
            </w:r>
            <w:r w:rsidRPr="00B275E2">
              <w:tab/>
              <w:t>= 3</w:t>
            </w:r>
            <w:r w:rsidR="006755D0" w:rsidRPr="00B275E2">
              <w:t>08.2</w:t>
            </w:r>
            <w:r w:rsidRPr="00B275E2">
              <w:t xml:space="preserve"> kg CO</w:t>
            </w:r>
            <w:r w:rsidRPr="00B275E2">
              <w:rPr>
                <w:vertAlign w:val="subscript"/>
              </w:rPr>
              <w:t>2</w:t>
            </w:r>
            <w:r w:rsidRPr="00B275E2">
              <w:t>-e</w:t>
            </w:r>
          </w:p>
          <w:p w14:paraId="3596C07A" w14:textId="32CEB735" w:rsidR="00E603E1" w:rsidRPr="00B275E2" w:rsidRDefault="00E603E1" w:rsidP="00B56F79">
            <w:pPr>
              <w:pStyle w:val="Boxtext"/>
              <w:spacing w:after="180"/>
            </w:pPr>
            <w:r w:rsidRPr="00B275E2">
              <w:rPr>
                <w:sz w:val="18"/>
              </w:rPr>
              <w:t>Note</w:t>
            </w:r>
            <w:r w:rsidR="00B8427B" w:rsidRPr="00B275E2">
              <w:rPr>
                <w:sz w:val="18"/>
              </w:rPr>
              <w:t>: N</w:t>
            </w:r>
            <w:r w:rsidRPr="00B275E2">
              <w:rPr>
                <w:sz w:val="18"/>
              </w:rPr>
              <w:t>umbers may not add due to rounding</w:t>
            </w:r>
            <w:r w:rsidR="00A0044D" w:rsidRPr="00B275E2">
              <w:rPr>
                <w:sz w:val="18"/>
              </w:rPr>
              <w:t>.</w:t>
            </w:r>
          </w:p>
        </w:tc>
      </w:tr>
    </w:tbl>
    <w:p w14:paraId="771F85EF" w14:textId="3FBFD5B0" w:rsidR="003A7B65" w:rsidRPr="00B275E2" w:rsidRDefault="003A7B65" w:rsidP="002234D0">
      <w:pPr>
        <w:pStyle w:val="Heading3"/>
      </w:pPr>
      <w:r w:rsidRPr="00B275E2">
        <w:t>Emission factor derivation methodology</w:t>
      </w:r>
    </w:p>
    <w:p w14:paraId="0F622A7F" w14:textId="4926D6F7" w:rsidR="003A7B65" w:rsidRPr="00B275E2" w:rsidRDefault="00B732CC" w:rsidP="007F19F9">
      <w:pPr>
        <w:pStyle w:val="BodyText"/>
      </w:pPr>
      <w:r w:rsidRPr="00B275E2">
        <w:t>MPI</w:t>
      </w:r>
      <w:r w:rsidR="003A7B65" w:rsidRPr="00B275E2">
        <w:t xml:space="preserve"> provided data on the quantified direct and indirect </w:t>
      </w:r>
      <w:r w:rsidRPr="00B275E2">
        <w:t>GHG</w:t>
      </w:r>
      <w:r w:rsidR="003A7B65" w:rsidRPr="00B275E2">
        <w:t xml:space="preserve"> emissions produced per tonne of </w:t>
      </w:r>
      <w:r w:rsidR="00536287" w:rsidRPr="00B275E2">
        <w:t xml:space="preserve">nitrogen in </w:t>
      </w:r>
      <w:r w:rsidR="003A7B65" w:rsidRPr="00B275E2">
        <w:t>fertiliser (</w:t>
      </w:r>
      <w:r w:rsidR="00DD3E39" w:rsidRPr="00B275E2">
        <w:t xml:space="preserve">table </w:t>
      </w:r>
      <w:r w:rsidR="00840156" w:rsidRPr="00B275E2">
        <w:t>10</w:t>
      </w:r>
      <w:r w:rsidR="00EE24CD">
        <w:t>0</w:t>
      </w:r>
      <w:r w:rsidR="00202A10" w:rsidRPr="00B275E2">
        <w:t xml:space="preserve"> </w:t>
      </w:r>
      <w:r w:rsidR="003A7B65" w:rsidRPr="00B275E2">
        <w:t>and</w:t>
      </w:r>
      <w:r w:rsidR="008326F4" w:rsidRPr="00B275E2">
        <w:t xml:space="preserve"> table </w:t>
      </w:r>
      <w:r w:rsidR="00840156" w:rsidRPr="00B275E2">
        <w:t>10</w:t>
      </w:r>
      <w:r w:rsidR="00EE24CD">
        <w:t>1</w:t>
      </w:r>
      <w:r w:rsidR="003A7B65" w:rsidRPr="00B275E2">
        <w:t>).</w:t>
      </w:r>
    </w:p>
    <w:p w14:paraId="4405099A" w14:textId="6691F5BB" w:rsidR="003A7B65" w:rsidRPr="00B275E2" w:rsidRDefault="005B0BFB" w:rsidP="007607CB">
      <w:pPr>
        <w:pStyle w:val="Tableheading"/>
      </w:pPr>
      <w:bookmarkStart w:id="649" w:name="_Toc111536705"/>
      <w:r w:rsidRPr="00B275E2">
        <w:t xml:space="preserve">Table </w:t>
      </w:r>
      <w:r w:rsidRPr="00B275E2">
        <w:fldChar w:fldCharType="begin"/>
      </w:r>
      <w:r w:rsidRPr="00B275E2">
        <w:instrText>SEQ Table \* ARABIC</w:instrText>
      </w:r>
      <w:r w:rsidRPr="00B275E2">
        <w:fldChar w:fldCharType="separate"/>
      </w:r>
      <w:r>
        <w:rPr>
          <w:noProof/>
        </w:rPr>
        <w:t>100</w:t>
      </w:r>
      <w:r w:rsidRPr="00B275E2">
        <w:fldChar w:fldCharType="end"/>
      </w:r>
      <w:r w:rsidRPr="00B275E2">
        <w:t>:</w:t>
      </w:r>
      <w:r w:rsidRPr="00B275E2">
        <w:tab/>
      </w:r>
      <w:r w:rsidR="003A7B65" w:rsidRPr="00B275E2">
        <w:t xml:space="preserve">Nitrogen </w:t>
      </w:r>
      <w:r w:rsidR="00B732CC" w:rsidRPr="00B275E2">
        <w:t>fertiliser</w:t>
      </w:r>
      <w:r w:rsidR="00724C42" w:rsidRPr="00B275E2">
        <w:t xml:space="preserve"> </w:t>
      </w:r>
      <w:r w:rsidR="00EF3A8B" w:rsidRPr="00B275E2">
        <w:t>emission factors</w:t>
      </w:r>
      <w:bookmarkEnd w:id="649"/>
    </w:p>
    <w:tbl>
      <w:tblPr>
        <w:tblStyle w:val="LightList-Accent11"/>
        <w:tblW w:w="8505" w:type="dxa"/>
        <w:tblInd w:w="20"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ook w:val="04A0" w:firstRow="1" w:lastRow="0" w:firstColumn="1" w:lastColumn="0" w:noHBand="0" w:noVBand="1"/>
      </w:tblPr>
      <w:tblGrid>
        <w:gridCol w:w="1916"/>
        <w:gridCol w:w="1647"/>
        <w:gridCol w:w="1647"/>
        <w:gridCol w:w="1647"/>
        <w:gridCol w:w="1648"/>
      </w:tblGrid>
      <w:tr w:rsidR="003A7B65" w:rsidRPr="00B275E2" w14:paraId="5307486A" w14:textId="77777777" w:rsidTr="00B56F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shd w:val="clear" w:color="auto" w:fill="1B556B" w:themeFill="text2"/>
            <w:vAlign w:val="bottom"/>
          </w:tcPr>
          <w:p w14:paraId="104E2D05" w14:textId="77777777" w:rsidR="003A7B65" w:rsidRPr="00B275E2" w:rsidRDefault="003A7B65" w:rsidP="003A7B65">
            <w:pPr>
              <w:pStyle w:val="TableText"/>
              <w:rPr>
                <w:szCs w:val="18"/>
              </w:rPr>
            </w:pPr>
            <w:r w:rsidRPr="00B275E2">
              <w:rPr>
                <w:szCs w:val="18"/>
              </w:rPr>
              <w:t xml:space="preserve">Fertiliser type </w:t>
            </w:r>
          </w:p>
        </w:tc>
        <w:tc>
          <w:tcPr>
            <w:tcW w:w="1647" w:type="dxa"/>
            <w:shd w:val="clear" w:color="auto" w:fill="1B556B" w:themeFill="text2"/>
            <w:vAlign w:val="bottom"/>
          </w:tcPr>
          <w:p w14:paraId="0481F81D" w14:textId="29DFF501" w:rsidR="003A7B65" w:rsidRPr="00B275E2" w:rsidRDefault="003A7B65" w:rsidP="00AB04E1">
            <w:pPr>
              <w:pStyle w:val="TableText"/>
              <w:jc w:val="right"/>
              <w:cnfStyle w:val="100000000000" w:firstRow="1" w:lastRow="0" w:firstColumn="0" w:lastColumn="0" w:oddVBand="0" w:evenVBand="0" w:oddHBand="0" w:evenHBand="0" w:firstRowFirstColumn="0" w:firstRowLastColumn="0" w:lastRowFirstColumn="0" w:lastRowLastColumn="0"/>
              <w:rPr>
                <w:szCs w:val="18"/>
              </w:rPr>
            </w:pPr>
            <w:r w:rsidRPr="00B275E2">
              <w:rPr>
                <w:szCs w:val="18"/>
              </w:rPr>
              <w:t>Direct emissions of N</w:t>
            </w:r>
            <w:r w:rsidRPr="00B275E2">
              <w:rPr>
                <w:szCs w:val="18"/>
                <w:vertAlign w:val="subscript"/>
              </w:rPr>
              <w:t>2</w:t>
            </w:r>
            <w:r w:rsidRPr="00B275E2">
              <w:rPr>
                <w:szCs w:val="18"/>
              </w:rPr>
              <w:t xml:space="preserve">O </w:t>
            </w:r>
            <w:r w:rsidR="00BA316E" w:rsidRPr="00B275E2">
              <w:rPr>
                <w:szCs w:val="18"/>
              </w:rPr>
              <w:br/>
            </w:r>
            <w:r w:rsidRPr="00B275E2">
              <w:rPr>
                <w:szCs w:val="18"/>
              </w:rPr>
              <w:t>(</w:t>
            </w:r>
            <w:r w:rsidR="002A1B84" w:rsidRPr="00B275E2">
              <w:rPr>
                <w:szCs w:val="18"/>
              </w:rPr>
              <w:t xml:space="preserve">kg </w:t>
            </w:r>
            <w:r w:rsidRPr="00B275E2">
              <w:rPr>
                <w:szCs w:val="18"/>
              </w:rPr>
              <w:t>N</w:t>
            </w:r>
            <w:r w:rsidRPr="00B275E2">
              <w:rPr>
                <w:szCs w:val="18"/>
                <w:vertAlign w:val="subscript"/>
              </w:rPr>
              <w:t>2</w:t>
            </w:r>
            <w:r w:rsidRPr="00B275E2">
              <w:rPr>
                <w:szCs w:val="18"/>
              </w:rPr>
              <w:t>O/</w:t>
            </w:r>
            <w:r w:rsidR="002A1B84" w:rsidRPr="00B275E2">
              <w:rPr>
                <w:szCs w:val="18"/>
              </w:rPr>
              <w:t xml:space="preserve">kg </w:t>
            </w:r>
            <w:r w:rsidRPr="00B275E2">
              <w:rPr>
                <w:szCs w:val="18"/>
              </w:rPr>
              <w:t>of N</w:t>
            </w:r>
            <w:r w:rsidR="00536287" w:rsidRPr="00B275E2">
              <w:rPr>
                <w:szCs w:val="18"/>
              </w:rPr>
              <w:t xml:space="preserve"> in</w:t>
            </w:r>
            <w:r w:rsidRPr="00B275E2">
              <w:rPr>
                <w:szCs w:val="18"/>
              </w:rPr>
              <w:t xml:space="preserve"> fertiliser)</w:t>
            </w:r>
          </w:p>
        </w:tc>
        <w:tc>
          <w:tcPr>
            <w:tcW w:w="1647" w:type="dxa"/>
            <w:shd w:val="clear" w:color="auto" w:fill="1B556B" w:themeFill="text2"/>
            <w:vAlign w:val="bottom"/>
          </w:tcPr>
          <w:p w14:paraId="7DD9DC61" w14:textId="02308C89" w:rsidR="003A7B65" w:rsidRPr="00B275E2" w:rsidRDefault="003A7B65" w:rsidP="00AB04E1">
            <w:pPr>
              <w:pStyle w:val="TableText"/>
              <w:jc w:val="right"/>
              <w:cnfStyle w:val="100000000000" w:firstRow="1" w:lastRow="0" w:firstColumn="0" w:lastColumn="0" w:oddVBand="0" w:evenVBand="0" w:oddHBand="0" w:evenHBand="0" w:firstRowFirstColumn="0" w:firstRowLastColumn="0" w:lastRowFirstColumn="0" w:lastRowLastColumn="0"/>
              <w:rPr>
                <w:szCs w:val="18"/>
              </w:rPr>
            </w:pPr>
            <w:r w:rsidRPr="00B275E2">
              <w:rPr>
                <w:szCs w:val="18"/>
              </w:rPr>
              <w:t>Indirect emissions- volatilisation (</w:t>
            </w:r>
            <w:r w:rsidR="002A1B84" w:rsidRPr="00B275E2">
              <w:rPr>
                <w:szCs w:val="18"/>
              </w:rPr>
              <w:t>kg</w:t>
            </w:r>
            <w:r w:rsidR="00BA316E" w:rsidRPr="00B275E2">
              <w:rPr>
                <w:szCs w:val="18"/>
              </w:rPr>
              <w:t> </w:t>
            </w:r>
            <w:r w:rsidRPr="00B275E2">
              <w:rPr>
                <w:szCs w:val="18"/>
              </w:rPr>
              <w:t>N</w:t>
            </w:r>
            <w:r w:rsidRPr="00B275E2">
              <w:rPr>
                <w:szCs w:val="18"/>
                <w:vertAlign w:val="subscript"/>
              </w:rPr>
              <w:t>2</w:t>
            </w:r>
            <w:r w:rsidRPr="00B275E2">
              <w:rPr>
                <w:szCs w:val="18"/>
              </w:rPr>
              <w:t>O/</w:t>
            </w:r>
            <w:r w:rsidR="002A1B84" w:rsidRPr="00B275E2">
              <w:rPr>
                <w:szCs w:val="18"/>
              </w:rPr>
              <w:t xml:space="preserve">kg </w:t>
            </w:r>
            <w:r w:rsidRPr="00B275E2">
              <w:rPr>
                <w:szCs w:val="18"/>
              </w:rPr>
              <w:t>of N</w:t>
            </w:r>
            <w:r w:rsidR="00536287" w:rsidRPr="00B275E2">
              <w:rPr>
                <w:szCs w:val="18"/>
              </w:rPr>
              <w:t xml:space="preserve"> in</w:t>
            </w:r>
            <w:r w:rsidRPr="00B275E2">
              <w:rPr>
                <w:szCs w:val="18"/>
              </w:rPr>
              <w:t xml:space="preserve"> fertiliser)</w:t>
            </w:r>
          </w:p>
        </w:tc>
        <w:tc>
          <w:tcPr>
            <w:tcW w:w="1647" w:type="dxa"/>
            <w:shd w:val="clear" w:color="auto" w:fill="1B556B" w:themeFill="text2"/>
            <w:vAlign w:val="bottom"/>
          </w:tcPr>
          <w:p w14:paraId="55E8820E" w14:textId="2DCD295C" w:rsidR="003A7B65" w:rsidRPr="00B275E2" w:rsidRDefault="003A7B65" w:rsidP="00AB04E1">
            <w:pPr>
              <w:pStyle w:val="TableText"/>
              <w:jc w:val="right"/>
              <w:cnfStyle w:val="100000000000" w:firstRow="1" w:lastRow="0" w:firstColumn="0" w:lastColumn="0" w:oddVBand="0" w:evenVBand="0" w:oddHBand="0" w:evenHBand="0" w:firstRowFirstColumn="0" w:firstRowLastColumn="0" w:lastRowFirstColumn="0" w:lastRowLastColumn="0"/>
              <w:rPr>
                <w:szCs w:val="18"/>
              </w:rPr>
            </w:pPr>
            <w:r w:rsidRPr="00B275E2">
              <w:rPr>
                <w:szCs w:val="18"/>
              </w:rPr>
              <w:t xml:space="preserve">Indirect emissions – leaching </w:t>
            </w:r>
            <w:r w:rsidR="00BA316E" w:rsidRPr="00B275E2">
              <w:rPr>
                <w:szCs w:val="18"/>
              </w:rPr>
              <w:br/>
            </w:r>
            <w:r w:rsidR="002A1B84" w:rsidRPr="00B275E2">
              <w:rPr>
                <w:szCs w:val="18"/>
              </w:rPr>
              <w:t>kg</w:t>
            </w:r>
            <w:r w:rsidRPr="00B275E2">
              <w:rPr>
                <w:szCs w:val="18"/>
              </w:rPr>
              <w:t xml:space="preserve"> N</w:t>
            </w:r>
            <w:r w:rsidRPr="00B275E2">
              <w:rPr>
                <w:szCs w:val="18"/>
                <w:vertAlign w:val="subscript"/>
              </w:rPr>
              <w:t>2</w:t>
            </w:r>
            <w:r w:rsidRPr="00B275E2">
              <w:rPr>
                <w:szCs w:val="18"/>
              </w:rPr>
              <w:t>O/</w:t>
            </w:r>
            <w:r w:rsidR="002A1B84" w:rsidRPr="00B275E2">
              <w:rPr>
                <w:szCs w:val="18"/>
              </w:rPr>
              <w:t xml:space="preserve">kg </w:t>
            </w:r>
            <w:r w:rsidRPr="00B275E2">
              <w:rPr>
                <w:szCs w:val="18"/>
              </w:rPr>
              <w:t>of N</w:t>
            </w:r>
            <w:r w:rsidR="00536287" w:rsidRPr="00B275E2">
              <w:rPr>
                <w:szCs w:val="18"/>
              </w:rPr>
              <w:t xml:space="preserve"> in</w:t>
            </w:r>
            <w:r w:rsidRPr="00B275E2">
              <w:rPr>
                <w:szCs w:val="18"/>
              </w:rPr>
              <w:t xml:space="preserve"> fertiliser)</w:t>
            </w:r>
          </w:p>
        </w:tc>
        <w:tc>
          <w:tcPr>
            <w:tcW w:w="1648" w:type="dxa"/>
            <w:shd w:val="clear" w:color="auto" w:fill="1B556B" w:themeFill="text2"/>
            <w:vAlign w:val="bottom"/>
          </w:tcPr>
          <w:p w14:paraId="4348984B" w14:textId="4012B399" w:rsidR="003A7B65" w:rsidRPr="00B275E2" w:rsidRDefault="003A7B65" w:rsidP="00AB04E1">
            <w:pPr>
              <w:pStyle w:val="TableText"/>
              <w:jc w:val="right"/>
              <w:cnfStyle w:val="100000000000" w:firstRow="1" w:lastRow="0" w:firstColumn="0" w:lastColumn="0" w:oddVBand="0" w:evenVBand="0" w:oddHBand="0" w:evenHBand="0" w:firstRowFirstColumn="0" w:firstRowLastColumn="0" w:lastRowFirstColumn="0" w:lastRowLastColumn="0"/>
              <w:rPr>
                <w:szCs w:val="18"/>
              </w:rPr>
            </w:pPr>
            <w:r w:rsidRPr="00B275E2">
              <w:rPr>
                <w:szCs w:val="18"/>
              </w:rPr>
              <w:t>CO</w:t>
            </w:r>
            <w:r w:rsidRPr="00B275E2">
              <w:rPr>
                <w:szCs w:val="18"/>
                <w:vertAlign w:val="subscript"/>
              </w:rPr>
              <w:t>2</w:t>
            </w:r>
            <w:r w:rsidRPr="00B275E2">
              <w:rPr>
                <w:szCs w:val="18"/>
              </w:rPr>
              <w:t xml:space="preserve"> emissions from urea </w:t>
            </w:r>
            <w:r w:rsidR="00BA316E" w:rsidRPr="00B275E2">
              <w:rPr>
                <w:szCs w:val="18"/>
              </w:rPr>
              <w:br/>
            </w:r>
            <w:r w:rsidRPr="00B275E2">
              <w:rPr>
                <w:szCs w:val="18"/>
              </w:rPr>
              <w:t>(</w:t>
            </w:r>
            <w:r w:rsidR="00301F1E" w:rsidRPr="00B275E2">
              <w:rPr>
                <w:szCs w:val="18"/>
              </w:rPr>
              <w:t>kg</w:t>
            </w:r>
            <w:r w:rsidRPr="00B275E2">
              <w:rPr>
                <w:szCs w:val="18"/>
              </w:rPr>
              <w:t xml:space="preserve"> CO</w:t>
            </w:r>
            <w:r w:rsidRPr="00B275E2">
              <w:rPr>
                <w:szCs w:val="18"/>
                <w:vertAlign w:val="subscript"/>
              </w:rPr>
              <w:t>2</w:t>
            </w:r>
            <w:r w:rsidRPr="00B275E2">
              <w:rPr>
                <w:szCs w:val="18"/>
              </w:rPr>
              <w:t xml:space="preserve"> /</w:t>
            </w:r>
            <w:r w:rsidR="002A1B84" w:rsidRPr="00B275E2">
              <w:rPr>
                <w:szCs w:val="18"/>
              </w:rPr>
              <w:t xml:space="preserve">kg </w:t>
            </w:r>
            <w:r w:rsidRPr="00B275E2">
              <w:rPr>
                <w:szCs w:val="18"/>
              </w:rPr>
              <w:t>of N</w:t>
            </w:r>
            <w:r w:rsidR="00536287" w:rsidRPr="00B275E2">
              <w:rPr>
                <w:szCs w:val="18"/>
              </w:rPr>
              <w:t xml:space="preserve"> in</w:t>
            </w:r>
            <w:r w:rsidRPr="00B275E2">
              <w:rPr>
                <w:szCs w:val="18"/>
              </w:rPr>
              <w:t xml:space="preserve"> fertiliser)</w:t>
            </w:r>
          </w:p>
        </w:tc>
      </w:tr>
      <w:tr w:rsidR="003A7B65" w:rsidRPr="00B275E2" w14:paraId="0C02D3A7" w14:textId="77777777" w:rsidTr="00E46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tcBorders>
              <w:left w:val="single" w:sz="4" w:space="0" w:color="FFFFFF" w:themeColor="background1"/>
            </w:tcBorders>
          </w:tcPr>
          <w:p w14:paraId="5971FC2C" w14:textId="0AA9F2D5" w:rsidR="003A7B65" w:rsidRPr="00B275E2" w:rsidRDefault="003A7B65" w:rsidP="00B8427B">
            <w:pPr>
              <w:pStyle w:val="TableText"/>
              <w:rPr>
                <w:b w:val="0"/>
                <w:szCs w:val="18"/>
              </w:rPr>
            </w:pPr>
            <w:r w:rsidRPr="00B275E2">
              <w:rPr>
                <w:b w:val="0"/>
                <w:szCs w:val="18"/>
              </w:rPr>
              <w:t xml:space="preserve">Non-urea nitrogen </w:t>
            </w:r>
          </w:p>
        </w:tc>
        <w:tc>
          <w:tcPr>
            <w:tcW w:w="1647" w:type="dxa"/>
          </w:tcPr>
          <w:p w14:paraId="04E412E2" w14:textId="77777777" w:rsidR="003A7B65" w:rsidRPr="00B275E2" w:rsidRDefault="003A7B65" w:rsidP="003A7B6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275E2">
              <w:rPr>
                <w:szCs w:val="18"/>
              </w:rPr>
              <w:t>0.0157</w:t>
            </w:r>
          </w:p>
        </w:tc>
        <w:tc>
          <w:tcPr>
            <w:tcW w:w="1647" w:type="dxa"/>
          </w:tcPr>
          <w:p w14:paraId="3CB514FC" w14:textId="77777777" w:rsidR="003A7B65" w:rsidRPr="00B275E2" w:rsidRDefault="003A7B65" w:rsidP="003A7B6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275E2">
              <w:rPr>
                <w:szCs w:val="18"/>
              </w:rPr>
              <w:t>0.0016</w:t>
            </w:r>
          </w:p>
        </w:tc>
        <w:tc>
          <w:tcPr>
            <w:tcW w:w="1647" w:type="dxa"/>
          </w:tcPr>
          <w:p w14:paraId="09F2D9D2" w14:textId="77777777" w:rsidR="003A7B65" w:rsidRPr="00B275E2" w:rsidRDefault="003A7B65" w:rsidP="003A7B6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275E2">
              <w:rPr>
                <w:szCs w:val="18"/>
              </w:rPr>
              <w:t>0.0008</w:t>
            </w:r>
          </w:p>
        </w:tc>
        <w:tc>
          <w:tcPr>
            <w:tcW w:w="1648" w:type="dxa"/>
            <w:tcBorders>
              <w:right w:val="single" w:sz="4" w:space="0" w:color="FFFFFF" w:themeColor="background1"/>
            </w:tcBorders>
          </w:tcPr>
          <w:p w14:paraId="449B11B3" w14:textId="77777777" w:rsidR="003A7B65" w:rsidRPr="00B275E2" w:rsidRDefault="003A7B65" w:rsidP="003A7B6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275E2">
              <w:rPr>
                <w:szCs w:val="18"/>
              </w:rPr>
              <w:t>n/a</w:t>
            </w:r>
          </w:p>
        </w:tc>
      </w:tr>
      <w:tr w:rsidR="003A7B65" w:rsidRPr="00B275E2" w14:paraId="5B739E4A" w14:textId="77777777" w:rsidTr="00E462C5">
        <w:tc>
          <w:tcPr>
            <w:cnfStyle w:val="001000000000" w:firstRow="0" w:lastRow="0" w:firstColumn="1" w:lastColumn="0" w:oddVBand="0" w:evenVBand="0" w:oddHBand="0" w:evenHBand="0" w:firstRowFirstColumn="0" w:firstRowLastColumn="0" w:lastRowFirstColumn="0" w:lastRowLastColumn="0"/>
            <w:tcW w:w="1916" w:type="dxa"/>
            <w:tcBorders>
              <w:left w:val="single" w:sz="4" w:space="0" w:color="FFFFFF" w:themeColor="background1"/>
            </w:tcBorders>
          </w:tcPr>
          <w:p w14:paraId="637E560D" w14:textId="0745B09E" w:rsidR="003A7B65" w:rsidRPr="00B275E2" w:rsidRDefault="003A7B65" w:rsidP="009D3B45">
            <w:pPr>
              <w:pStyle w:val="TableText"/>
              <w:rPr>
                <w:b w:val="0"/>
                <w:szCs w:val="18"/>
              </w:rPr>
            </w:pPr>
            <w:r w:rsidRPr="00B275E2">
              <w:rPr>
                <w:b w:val="0"/>
                <w:szCs w:val="18"/>
              </w:rPr>
              <w:t>Urea nitrogen not coated with urease inhibitor</w:t>
            </w:r>
          </w:p>
        </w:tc>
        <w:tc>
          <w:tcPr>
            <w:tcW w:w="1647" w:type="dxa"/>
          </w:tcPr>
          <w:p w14:paraId="00B82D42" w14:textId="77777777" w:rsidR="003A7B65" w:rsidRPr="00B275E2" w:rsidRDefault="003A7B65" w:rsidP="003A7B6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275E2">
              <w:rPr>
                <w:szCs w:val="18"/>
              </w:rPr>
              <w:t>0.0093</w:t>
            </w:r>
          </w:p>
        </w:tc>
        <w:tc>
          <w:tcPr>
            <w:tcW w:w="1647" w:type="dxa"/>
          </w:tcPr>
          <w:p w14:paraId="34ACEC1C" w14:textId="77777777" w:rsidR="003A7B65" w:rsidRPr="00B275E2" w:rsidRDefault="003A7B65" w:rsidP="003A7B6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275E2">
              <w:rPr>
                <w:szCs w:val="18"/>
              </w:rPr>
              <w:t>0.0016</w:t>
            </w:r>
          </w:p>
        </w:tc>
        <w:tc>
          <w:tcPr>
            <w:tcW w:w="1647" w:type="dxa"/>
          </w:tcPr>
          <w:p w14:paraId="68EAAB50" w14:textId="77777777" w:rsidR="003A7B65" w:rsidRPr="00B275E2" w:rsidRDefault="003A7B65" w:rsidP="003A7B6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275E2">
              <w:rPr>
                <w:szCs w:val="18"/>
              </w:rPr>
              <w:t>0.0008</w:t>
            </w:r>
          </w:p>
        </w:tc>
        <w:tc>
          <w:tcPr>
            <w:tcW w:w="1648" w:type="dxa"/>
            <w:tcBorders>
              <w:right w:val="single" w:sz="4" w:space="0" w:color="FFFFFF" w:themeColor="background1"/>
            </w:tcBorders>
          </w:tcPr>
          <w:p w14:paraId="0DBB09CC" w14:textId="77777777" w:rsidR="003A7B65" w:rsidRPr="00B275E2" w:rsidRDefault="003A7B65" w:rsidP="003A7B6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275E2">
              <w:rPr>
                <w:szCs w:val="18"/>
              </w:rPr>
              <w:t>1.594</w:t>
            </w:r>
          </w:p>
        </w:tc>
      </w:tr>
      <w:tr w:rsidR="003A7B65" w:rsidRPr="00B275E2" w14:paraId="74F4D983" w14:textId="77777777" w:rsidTr="00E46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tcBorders>
              <w:left w:val="single" w:sz="4" w:space="0" w:color="FFFFFF" w:themeColor="background1"/>
            </w:tcBorders>
          </w:tcPr>
          <w:p w14:paraId="7D8C6C26" w14:textId="149E0A86" w:rsidR="003A7B65" w:rsidRPr="00B275E2" w:rsidRDefault="003A7B65" w:rsidP="00B8427B">
            <w:pPr>
              <w:pStyle w:val="TableText"/>
              <w:rPr>
                <w:b w:val="0"/>
                <w:szCs w:val="18"/>
              </w:rPr>
            </w:pPr>
            <w:r w:rsidRPr="00B275E2">
              <w:rPr>
                <w:b w:val="0"/>
                <w:szCs w:val="18"/>
              </w:rPr>
              <w:t>Urea nitrogen coated with urease inhibitor</w:t>
            </w:r>
          </w:p>
        </w:tc>
        <w:tc>
          <w:tcPr>
            <w:tcW w:w="1647" w:type="dxa"/>
          </w:tcPr>
          <w:p w14:paraId="0F1DE3E5" w14:textId="77777777" w:rsidR="003A7B65" w:rsidRPr="00B275E2" w:rsidRDefault="003A7B65" w:rsidP="003A7B6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275E2">
              <w:rPr>
                <w:szCs w:val="18"/>
              </w:rPr>
              <w:t>0.0093</w:t>
            </w:r>
          </w:p>
        </w:tc>
        <w:tc>
          <w:tcPr>
            <w:tcW w:w="1647" w:type="dxa"/>
          </w:tcPr>
          <w:p w14:paraId="08BC85DC" w14:textId="77777777" w:rsidR="003A7B65" w:rsidRPr="00B275E2" w:rsidRDefault="003A7B65" w:rsidP="003A7B6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275E2">
              <w:rPr>
                <w:szCs w:val="18"/>
              </w:rPr>
              <w:t>0.0009</w:t>
            </w:r>
          </w:p>
        </w:tc>
        <w:tc>
          <w:tcPr>
            <w:tcW w:w="1647" w:type="dxa"/>
          </w:tcPr>
          <w:p w14:paraId="43680F34" w14:textId="77777777" w:rsidR="003A7B65" w:rsidRPr="00B275E2" w:rsidRDefault="003A7B65" w:rsidP="003A7B6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275E2">
              <w:rPr>
                <w:szCs w:val="18"/>
              </w:rPr>
              <w:t>0.0008</w:t>
            </w:r>
          </w:p>
        </w:tc>
        <w:tc>
          <w:tcPr>
            <w:tcW w:w="1648" w:type="dxa"/>
            <w:tcBorders>
              <w:right w:val="single" w:sz="4" w:space="0" w:color="FFFFFF" w:themeColor="background1"/>
            </w:tcBorders>
          </w:tcPr>
          <w:p w14:paraId="0A1C2645" w14:textId="77777777" w:rsidR="003A7B65" w:rsidRPr="00B275E2" w:rsidRDefault="003A7B65" w:rsidP="003A7B6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275E2">
              <w:rPr>
                <w:szCs w:val="18"/>
              </w:rPr>
              <w:t>1.594</w:t>
            </w:r>
          </w:p>
        </w:tc>
      </w:tr>
    </w:tbl>
    <w:p w14:paraId="4E3991AA" w14:textId="01975C8E" w:rsidR="003A7B65" w:rsidRPr="00B275E2" w:rsidRDefault="005B0BFB" w:rsidP="008326F4">
      <w:pPr>
        <w:pStyle w:val="Tableheading"/>
        <w:spacing w:before="240"/>
      </w:pPr>
      <w:bookmarkStart w:id="650" w:name="_Toc111536706"/>
      <w:r w:rsidRPr="00B275E2">
        <w:t xml:space="preserve">Table </w:t>
      </w:r>
      <w:r w:rsidRPr="00B275E2">
        <w:fldChar w:fldCharType="begin"/>
      </w:r>
      <w:r w:rsidRPr="00B275E2">
        <w:instrText>SEQ Table \* ARABIC</w:instrText>
      </w:r>
      <w:r w:rsidRPr="00B275E2">
        <w:fldChar w:fldCharType="separate"/>
      </w:r>
      <w:r>
        <w:rPr>
          <w:noProof/>
        </w:rPr>
        <w:t>101</w:t>
      </w:r>
      <w:r w:rsidRPr="00B275E2">
        <w:fldChar w:fldCharType="end"/>
      </w:r>
      <w:r w:rsidRPr="00B275E2">
        <w:t>:</w:t>
      </w:r>
      <w:r w:rsidRPr="00B275E2">
        <w:tab/>
      </w:r>
      <w:r w:rsidR="003A7B65" w:rsidRPr="00B275E2">
        <w:t xml:space="preserve">Quantified emissions </w:t>
      </w:r>
      <w:r w:rsidR="00E75D5A" w:rsidRPr="00B275E2">
        <w:t xml:space="preserve">factors </w:t>
      </w:r>
      <w:r w:rsidR="003A7B65" w:rsidRPr="00B275E2">
        <w:t>from limestone and dolomite</w:t>
      </w:r>
      <w:bookmarkEnd w:id="650"/>
    </w:p>
    <w:tbl>
      <w:tblPr>
        <w:tblStyle w:val="LightList-Accent11"/>
        <w:tblW w:w="8505" w:type="dxa"/>
        <w:tblInd w:w="20"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ook w:val="04A0" w:firstRow="1" w:lastRow="0" w:firstColumn="1" w:lastColumn="0" w:noHBand="0" w:noVBand="1"/>
      </w:tblPr>
      <w:tblGrid>
        <w:gridCol w:w="5167"/>
        <w:gridCol w:w="3338"/>
      </w:tblGrid>
      <w:tr w:rsidR="003A7B65" w:rsidRPr="00B275E2" w14:paraId="15DF0767" w14:textId="77777777" w:rsidTr="00B56F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1B556B" w:themeFill="text2"/>
          </w:tcPr>
          <w:p w14:paraId="119600E6" w14:textId="77777777" w:rsidR="003A7B65" w:rsidRPr="00B275E2" w:rsidRDefault="003A7B65" w:rsidP="003A7B65">
            <w:pPr>
              <w:pStyle w:val="TableText"/>
              <w:rPr>
                <w:szCs w:val="18"/>
              </w:rPr>
            </w:pPr>
            <w:r w:rsidRPr="00B275E2">
              <w:rPr>
                <w:szCs w:val="18"/>
              </w:rPr>
              <w:t>Fertiliser type</w:t>
            </w:r>
          </w:p>
        </w:tc>
        <w:tc>
          <w:tcPr>
            <w:tcW w:w="3382" w:type="dxa"/>
            <w:shd w:val="clear" w:color="auto" w:fill="1B556B" w:themeFill="text2"/>
          </w:tcPr>
          <w:p w14:paraId="0B4CA192" w14:textId="3E3BA251" w:rsidR="003A7B65" w:rsidRPr="00B275E2" w:rsidRDefault="003A7B65" w:rsidP="00AB04E1">
            <w:pPr>
              <w:pStyle w:val="TableText"/>
              <w:jc w:val="right"/>
              <w:cnfStyle w:val="100000000000" w:firstRow="1" w:lastRow="0" w:firstColumn="0" w:lastColumn="0" w:oddVBand="0" w:evenVBand="0" w:oddHBand="0" w:evenHBand="0" w:firstRowFirstColumn="0" w:firstRowLastColumn="0" w:lastRowFirstColumn="0" w:lastRowLastColumn="0"/>
              <w:rPr>
                <w:szCs w:val="18"/>
              </w:rPr>
            </w:pPr>
            <w:r w:rsidRPr="00B275E2">
              <w:rPr>
                <w:szCs w:val="18"/>
              </w:rPr>
              <w:t>Emissions (</w:t>
            </w:r>
            <w:r w:rsidR="00A15D28" w:rsidRPr="00B275E2">
              <w:rPr>
                <w:szCs w:val="18"/>
              </w:rPr>
              <w:t>kg</w:t>
            </w:r>
            <w:r w:rsidRPr="00B275E2">
              <w:rPr>
                <w:szCs w:val="18"/>
              </w:rPr>
              <w:t xml:space="preserve"> CO</w:t>
            </w:r>
            <w:r w:rsidRPr="00B275E2">
              <w:rPr>
                <w:szCs w:val="18"/>
                <w:vertAlign w:val="subscript"/>
              </w:rPr>
              <w:t>2</w:t>
            </w:r>
            <w:r w:rsidRPr="00B275E2">
              <w:rPr>
                <w:szCs w:val="18"/>
              </w:rPr>
              <w:t>-e /</w:t>
            </w:r>
            <w:r w:rsidR="00A15D28" w:rsidRPr="00B275E2">
              <w:rPr>
                <w:szCs w:val="18"/>
              </w:rPr>
              <w:t>kg</w:t>
            </w:r>
            <w:r w:rsidRPr="00B275E2">
              <w:rPr>
                <w:szCs w:val="18"/>
              </w:rPr>
              <w:t xml:space="preserve"> fertiliser)</w:t>
            </w:r>
          </w:p>
        </w:tc>
      </w:tr>
      <w:tr w:rsidR="003A7B65" w:rsidRPr="00B275E2" w14:paraId="6BC567CD" w14:textId="77777777" w:rsidTr="00E46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left w:val="single" w:sz="4" w:space="0" w:color="FFFFFF" w:themeColor="background1"/>
            </w:tcBorders>
          </w:tcPr>
          <w:p w14:paraId="282BB816" w14:textId="77777777" w:rsidR="003A7B65" w:rsidRPr="00B275E2" w:rsidRDefault="003A7B65" w:rsidP="003A7B65">
            <w:pPr>
              <w:pStyle w:val="TableText"/>
              <w:rPr>
                <w:b w:val="0"/>
                <w:szCs w:val="18"/>
              </w:rPr>
            </w:pPr>
            <w:r w:rsidRPr="00B275E2">
              <w:rPr>
                <w:b w:val="0"/>
                <w:szCs w:val="18"/>
              </w:rPr>
              <w:t>Limestone</w:t>
            </w:r>
          </w:p>
        </w:tc>
        <w:tc>
          <w:tcPr>
            <w:tcW w:w="3382" w:type="dxa"/>
            <w:tcBorders>
              <w:right w:val="single" w:sz="4" w:space="0" w:color="FFFFFF" w:themeColor="background1"/>
            </w:tcBorders>
          </w:tcPr>
          <w:p w14:paraId="3041EA47" w14:textId="410CE961" w:rsidR="003A7B65" w:rsidRPr="00B275E2" w:rsidRDefault="003A7B65" w:rsidP="003A7B6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275E2">
              <w:rPr>
                <w:szCs w:val="18"/>
              </w:rPr>
              <w:t>0.44</w:t>
            </w:r>
            <w:r w:rsidR="00A82305" w:rsidRPr="00B275E2">
              <w:rPr>
                <w:szCs w:val="18"/>
              </w:rPr>
              <w:t>0</w:t>
            </w:r>
          </w:p>
        </w:tc>
      </w:tr>
      <w:tr w:rsidR="003A7B65" w:rsidRPr="00B275E2" w14:paraId="6E79A948" w14:textId="77777777" w:rsidTr="00B56F79">
        <w:tc>
          <w:tcPr>
            <w:cnfStyle w:val="001000000000" w:firstRow="0" w:lastRow="0" w:firstColumn="1" w:lastColumn="0" w:oddVBand="0" w:evenVBand="0" w:oddHBand="0" w:evenHBand="0" w:firstRowFirstColumn="0" w:firstRowLastColumn="0" w:lastRowFirstColumn="0" w:lastRowLastColumn="0"/>
            <w:tcW w:w="5245" w:type="dxa"/>
          </w:tcPr>
          <w:p w14:paraId="0F2C24A7" w14:textId="77777777" w:rsidR="003A7B65" w:rsidRPr="00B275E2" w:rsidRDefault="003A7B65" w:rsidP="003A7B65">
            <w:pPr>
              <w:pStyle w:val="TableText"/>
              <w:rPr>
                <w:b w:val="0"/>
                <w:szCs w:val="18"/>
              </w:rPr>
            </w:pPr>
            <w:r w:rsidRPr="00B275E2">
              <w:rPr>
                <w:b w:val="0"/>
                <w:szCs w:val="18"/>
              </w:rPr>
              <w:t>Dolomite</w:t>
            </w:r>
          </w:p>
        </w:tc>
        <w:tc>
          <w:tcPr>
            <w:tcW w:w="3382" w:type="dxa"/>
          </w:tcPr>
          <w:p w14:paraId="2B86D3D7" w14:textId="10CED53F" w:rsidR="003A7B65" w:rsidRPr="00B275E2" w:rsidRDefault="003A7B65" w:rsidP="003A7B6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275E2">
              <w:rPr>
                <w:szCs w:val="18"/>
              </w:rPr>
              <w:t>0.4</w:t>
            </w:r>
            <w:r w:rsidR="00A82305" w:rsidRPr="00B275E2">
              <w:rPr>
                <w:szCs w:val="18"/>
              </w:rPr>
              <w:t>77</w:t>
            </w:r>
          </w:p>
        </w:tc>
      </w:tr>
    </w:tbl>
    <w:p w14:paraId="4C60289D" w14:textId="768CF56E" w:rsidR="003A7B65" w:rsidRPr="00B275E2" w:rsidRDefault="003A7B65" w:rsidP="00A25F2B">
      <w:pPr>
        <w:pStyle w:val="BodyText"/>
        <w:keepNext/>
        <w:spacing w:before="240"/>
      </w:pPr>
      <w:r w:rsidRPr="00B275E2">
        <w:t>The methodology for calculating the emission factors for the fertiliser was as follows:</w:t>
      </w:r>
    </w:p>
    <w:p w14:paraId="2002F9CF" w14:textId="45F3492B" w:rsidR="003A7B65" w:rsidRPr="00B275E2" w:rsidRDefault="003A7B65" w:rsidP="00D411C0">
      <w:pPr>
        <w:pStyle w:val="Bullet"/>
      </w:pPr>
      <w:r w:rsidRPr="00B275E2">
        <w:t>Convert the data to kg (gas) per unit kg of fertiliser</w:t>
      </w:r>
      <w:r w:rsidR="00B8427B" w:rsidRPr="00B275E2">
        <w:t>.</w:t>
      </w:r>
    </w:p>
    <w:p w14:paraId="2D364DD2" w14:textId="194FE961" w:rsidR="003A7B65" w:rsidRPr="00B275E2" w:rsidRDefault="003A7B65" w:rsidP="00D411C0">
      <w:pPr>
        <w:pStyle w:val="Bullet"/>
      </w:pPr>
      <w:r w:rsidRPr="00B275E2">
        <w:t>Sum emissions per component of the total emissions</w:t>
      </w:r>
      <w:r w:rsidR="00B8427B" w:rsidRPr="00B275E2">
        <w:t>.</w:t>
      </w:r>
    </w:p>
    <w:p w14:paraId="39B4BD23" w14:textId="184AA404" w:rsidR="00A82305" w:rsidRPr="00B275E2" w:rsidRDefault="003A7B65" w:rsidP="00D411C0">
      <w:pPr>
        <w:pStyle w:val="Bullet"/>
      </w:pPr>
      <w:r w:rsidRPr="00B275E2">
        <w:t>Calculate total carbon dioxide equivalent by multiplying the total kg gas/ kg of fertiliser by the IPCC AR</w:t>
      </w:r>
      <w:r w:rsidR="00303FD0" w:rsidRPr="00B275E2">
        <w:t>4</w:t>
      </w:r>
      <w:r w:rsidRPr="00B275E2">
        <w:t xml:space="preserve"> 100-year global warming potential of that gas. </w:t>
      </w:r>
    </w:p>
    <w:p w14:paraId="624710ED" w14:textId="2EB0BAD7" w:rsidR="00A82305" w:rsidRPr="00B275E2" w:rsidRDefault="00A82305" w:rsidP="00B56F79">
      <w:pPr>
        <w:pStyle w:val="BodyText"/>
      </w:pPr>
      <w:r w:rsidRPr="00B275E2">
        <w:lastRenderedPageBreak/>
        <w:t>For lime</w:t>
      </w:r>
      <w:r w:rsidR="006B64AA" w:rsidRPr="00B275E2">
        <w:t>ston</w:t>
      </w:r>
      <w:r w:rsidR="00EB531A" w:rsidRPr="00B275E2">
        <w:rPr>
          <w:shd w:val="clear" w:color="auto" w:fill="FFFFFF"/>
        </w:rPr>
        <w:t>e</w:t>
      </w:r>
      <w:r w:rsidR="006769B8" w:rsidRPr="00B275E2">
        <w:rPr>
          <w:shd w:val="clear" w:color="auto" w:fill="FFFFFF"/>
        </w:rPr>
        <w:t xml:space="preserve">, </w:t>
      </w:r>
      <w:r w:rsidR="006B64AA" w:rsidRPr="00B275E2">
        <w:rPr>
          <w:shd w:val="clear" w:color="auto" w:fill="FFFFFF"/>
        </w:rPr>
        <w:t xml:space="preserve">the emission </w:t>
      </w:r>
      <w:r w:rsidR="006B64AA" w:rsidRPr="00B275E2">
        <w:t>factors</w:t>
      </w:r>
      <w:r w:rsidR="006B64AA" w:rsidRPr="00B275E2">
        <w:rPr>
          <w:shd w:val="clear" w:color="auto" w:fill="FFFFFF"/>
        </w:rPr>
        <w:t xml:space="preserve"> in table </w:t>
      </w:r>
      <w:r w:rsidR="00840156" w:rsidRPr="00B275E2">
        <w:rPr>
          <w:shd w:val="clear" w:color="auto" w:fill="FFFFFF"/>
        </w:rPr>
        <w:t xml:space="preserve">101 </w:t>
      </w:r>
      <w:r w:rsidR="006B64AA" w:rsidRPr="00B275E2">
        <w:rPr>
          <w:shd w:val="clear" w:color="auto" w:fill="FFFFFF"/>
        </w:rPr>
        <w:t>assume that the lime applied to soils is 100</w:t>
      </w:r>
      <w:r w:rsidR="00B56F79" w:rsidRPr="00B275E2">
        <w:rPr>
          <w:shd w:val="clear" w:color="auto" w:fill="FFFFFF"/>
        </w:rPr>
        <w:t> </w:t>
      </w:r>
      <w:r w:rsidR="007A423F" w:rsidRPr="00B275E2">
        <w:rPr>
          <w:shd w:val="clear" w:color="auto" w:fill="FFFFFF"/>
        </w:rPr>
        <w:t>per</w:t>
      </w:r>
      <w:r w:rsidR="00B56F79" w:rsidRPr="00B275E2">
        <w:rPr>
          <w:shd w:val="clear" w:color="auto" w:fill="FFFFFF"/>
        </w:rPr>
        <w:t> </w:t>
      </w:r>
      <w:r w:rsidR="007A423F" w:rsidRPr="00B275E2">
        <w:rPr>
          <w:shd w:val="clear" w:color="auto" w:fill="FFFFFF"/>
        </w:rPr>
        <w:t xml:space="preserve">cent </w:t>
      </w:r>
      <w:r w:rsidR="006B64AA" w:rsidRPr="00B275E2">
        <w:rPr>
          <w:shd w:val="clear" w:color="auto" w:fill="FFFFFF"/>
        </w:rPr>
        <w:t xml:space="preserve">pure calcium carbonate; MPI applies a correction factor of 82 per cent to the tonnage of agricultural lime applied to soil </w:t>
      </w:r>
      <w:r w:rsidR="00CA2A3D">
        <w:rPr>
          <w:shd w:val="clear" w:color="auto" w:fill="FFFFFF"/>
        </w:rPr>
        <w:t>prior to</w:t>
      </w:r>
      <w:r w:rsidR="00CA2A3D" w:rsidRPr="00B275E2">
        <w:rPr>
          <w:shd w:val="clear" w:color="auto" w:fill="FFFFFF"/>
        </w:rPr>
        <w:t xml:space="preserve"> </w:t>
      </w:r>
      <w:r w:rsidR="006B64AA" w:rsidRPr="00B275E2">
        <w:rPr>
          <w:shd w:val="clear" w:color="auto" w:fill="FFFFFF"/>
        </w:rPr>
        <w:t>determining estimated emissions. This accounts for the impurities of the lime, as well as its moisture content.</w:t>
      </w:r>
      <w:r w:rsidR="00EB531A" w:rsidRPr="00B275E2">
        <w:rPr>
          <w:shd w:val="clear" w:color="auto" w:fill="FFFFFF"/>
        </w:rPr>
        <w:t xml:space="preserve"> No correction factor is</w:t>
      </w:r>
      <w:r w:rsidR="00B56F79" w:rsidRPr="00B275E2">
        <w:rPr>
          <w:shd w:val="clear" w:color="auto" w:fill="FFFFFF"/>
        </w:rPr>
        <w:t> </w:t>
      </w:r>
      <w:r w:rsidR="00EB531A" w:rsidRPr="00B275E2">
        <w:rPr>
          <w:shd w:val="clear" w:color="auto" w:fill="FFFFFF"/>
        </w:rPr>
        <w:t>required for dolomite.</w:t>
      </w:r>
    </w:p>
    <w:p w14:paraId="162995CE" w14:textId="7046B52F" w:rsidR="003A7B65" w:rsidRPr="00B275E2" w:rsidRDefault="003A7B65" w:rsidP="003A7B65">
      <w:pPr>
        <w:pStyle w:val="BodyText"/>
      </w:pPr>
      <w:r w:rsidRPr="00B275E2">
        <w:t>For example:</w:t>
      </w:r>
    </w:p>
    <w:p w14:paraId="5464AEF7" w14:textId="47558090" w:rsidR="003A7B65" w:rsidRPr="00B275E2" w:rsidRDefault="007F6E39" w:rsidP="007607CB">
      <w:pPr>
        <w:pStyle w:val="Tableheading"/>
      </w:pPr>
      <w:bookmarkStart w:id="651" w:name="_Toc111536707"/>
      <w:r w:rsidRPr="00B275E2">
        <w:t xml:space="preserve">Table </w:t>
      </w:r>
      <w:r w:rsidRPr="00B275E2">
        <w:fldChar w:fldCharType="begin"/>
      </w:r>
      <w:r w:rsidRPr="00B275E2">
        <w:instrText>SEQ Table \* ARABIC</w:instrText>
      </w:r>
      <w:r w:rsidRPr="00B275E2">
        <w:fldChar w:fldCharType="separate"/>
      </w:r>
      <w:r>
        <w:rPr>
          <w:noProof/>
        </w:rPr>
        <w:t>102</w:t>
      </w:r>
      <w:r w:rsidRPr="00B275E2">
        <w:fldChar w:fldCharType="end"/>
      </w:r>
      <w:r w:rsidRPr="00B275E2">
        <w:t>:</w:t>
      </w:r>
      <w:r w:rsidRPr="00B275E2">
        <w:tab/>
      </w:r>
      <w:r w:rsidR="00A6038B" w:rsidRPr="00B275E2">
        <w:t>Emission factors for n</w:t>
      </w:r>
      <w:r w:rsidR="00D232C1" w:rsidRPr="00B275E2">
        <w:t>on-urea nitrogen fertilisers</w:t>
      </w:r>
      <w:bookmarkEnd w:id="651"/>
    </w:p>
    <w:tbl>
      <w:tblPr>
        <w:tblStyle w:val="LightList-Accent11"/>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Look w:val="04A0" w:firstRow="1" w:lastRow="0" w:firstColumn="1" w:lastColumn="0" w:noHBand="0" w:noVBand="1"/>
      </w:tblPr>
      <w:tblGrid>
        <w:gridCol w:w="2125"/>
        <w:gridCol w:w="2127"/>
        <w:gridCol w:w="2126"/>
        <w:gridCol w:w="2127"/>
      </w:tblGrid>
      <w:tr w:rsidR="00377A20" w:rsidRPr="00B275E2" w14:paraId="5EA76189" w14:textId="77777777" w:rsidTr="00B56F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shd w:val="clear" w:color="auto" w:fill="1B556B" w:themeFill="text2"/>
            <w:vAlign w:val="bottom"/>
          </w:tcPr>
          <w:p w14:paraId="35991D3C" w14:textId="77777777" w:rsidR="00377A20" w:rsidRPr="00B275E2" w:rsidRDefault="00377A20" w:rsidP="003A7B65">
            <w:pPr>
              <w:pStyle w:val="TableText"/>
            </w:pPr>
            <w:r w:rsidRPr="00B275E2">
              <w:t xml:space="preserve">Fertiliser type </w:t>
            </w:r>
          </w:p>
        </w:tc>
        <w:tc>
          <w:tcPr>
            <w:tcW w:w="2162" w:type="dxa"/>
            <w:shd w:val="clear" w:color="auto" w:fill="1B556B" w:themeFill="text2"/>
            <w:vAlign w:val="bottom"/>
          </w:tcPr>
          <w:p w14:paraId="1C3F179C" w14:textId="7C10B6BD" w:rsidR="00377A20" w:rsidRPr="00B275E2" w:rsidRDefault="00377A20" w:rsidP="00AB04E1">
            <w:pPr>
              <w:pStyle w:val="TableText"/>
              <w:jc w:val="right"/>
              <w:cnfStyle w:val="100000000000" w:firstRow="1" w:lastRow="0" w:firstColumn="0" w:lastColumn="0" w:oddVBand="0" w:evenVBand="0" w:oddHBand="0" w:evenHBand="0" w:firstRowFirstColumn="0" w:firstRowLastColumn="0" w:lastRowFirstColumn="0" w:lastRowLastColumn="0"/>
            </w:pPr>
            <w:r w:rsidRPr="00B275E2">
              <w:t>Direct emissions of N</w:t>
            </w:r>
            <w:r w:rsidRPr="00B275E2">
              <w:rPr>
                <w:vertAlign w:val="subscript"/>
              </w:rPr>
              <w:t>2</w:t>
            </w:r>
            <w:r w:rsidRPr="00B275E2">
              <w:t>O</w:t>
            </w:r>
            <w:r w:rsidR="00A831C6" w:rsidRPr="00B275E2">
              <w:t xml:space="preserve"> </w:t>
            </w:r>
            <w:r w:rsidRPr="00B275E2">
              <w:t>(kg N</w:t>
            </w:r>
            <w:r w:rsidRPr="00B275E2">
              <w:rPr>
                <w:vertAlign w:val="subscript"/>
              </w:rPr>
              <w:t>2</w:t>
            </w:r>
            <w:r w:rsidRPr="00B275E2">
              <w:t>O/kg fertiliser)</w:t>
            </w:r>
          </w:p>
        </w:tc>
        <w:tc>
          <w:tcPr>
            <w:tcW w:w="2161" w:type="dxa"/>
            <w:shd w:val="clear" w:color="auto" w:fill="1B556B" w:themeFill="text2"/>
            <w:vAlign w:val="bottom"/>
          </w:tcPr>
          <w:p w14:paraId="4138E1F8" w14:textId="201715FE" w:rsidR="00377A20" w:rsidRPr="00B275E2" w:rsidRDefault="00377A20" w:rsidP="00AB04E1">
            <w:pPr>
              <w:pStyle w:val="TableText"/>
              <w:jc w:val="right"/>
              <w:cnfStyle w:val="100000000000" w:firstRow="1" w:lastRow="0" w:firstColumn="0" w:lastColumn="0" w:oddVBand="0" w:evenVBand="0" w:oddHBand="0" w:evenHBand="0" w:firstRowFirstColumn="0" w:firstRowLastColumn="0" w:lastRowFirstColumn="0" w:lastRowLastColumn="0"/>
            </w:pPr>
            <w:r w:rsidRPr="00B275E2">
              <w:t>Indirect emissions – volatilisation (kg N</w:t>
            </w:r>
            <w:r w:rsidRPr="00B275E2">
              <w:rPr>
                <w:vertAlign w:val="subscript"/>
              </w:rPr>
              <w:t>2</w:t>
            </w:r>
            <w:r w:rsidRPr="00B275E2">
              <w:t>O/kg fertiliser)</w:t>
            </w:r>
          </w:p>
        </w:tc>
        <w:tc>
          <w:tcPr>
            <w:tcW w:w="2162" w:type="dxa"/>
            <w:shd w:val="clear" w:color="auto" w:fill="1B556B" w:themeFill="text2"/>
            <w:vAlign w:val="bottom"/>
          </w:tcPr>
          <w:p w14:paraId="7DBB49A9" w14:textId="1121687D" w:rsidR="00377A20" w:rsidRPr="00B275E2" w:rsidRDefault="00377A20" w:rsidP="00AB04E1">
            <w:pPr>
              <w:pStyle w:val="TableText"/>
              <w:jc w:val="right"/>
              <w:cnfStyle w:val="100000000000" w:firstRow="1" w:lastRow="0" w:firstColumn="0" w:lastColumn="0" w:oddVBand="0" w:evenVBand="0" w:oddHBand="0" w:evenHBand="0" w:firstRowFirstColumn="0" w:firstRowLastColumn="0" w:lastRowFirstColumn="0" w:lastRowLastColumn="0"/>
            </w:pPr>
            <w:r w:rsidRPr="00B275E2">
              <w:t>Indirect emissions – leaching (kg N</w:t>
            </w:r>
            <w:r w:rsidRPr="00B275E2">
              <w:rPr>
                <w:vertAlign w:val="subscript"/>
              </w:rPr>
              <w:t>2</w:t>
            </w:r>
            <w:r w:rsidRPr="00B275E2">
              <w:t>O/kg fertiliser)</w:t>
            </w:r>
          </w:p>
        </w:tc>
      </w:tr>
      <w:tr w:rsidR="00377A20" w:rsidRPr="00B275E2" w14:paraId="6838B7F7" w14:textId="77777777" w:rsidTr="00E46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Borders>
              <w:left w:val="single" w:sz="4" w:space="0" w:color="FFFFFF" w:themeColor="background1"/>
            </w:tcBorders>
          </w:tcPr>
          <w:p w14:paraId="5655AE31" w14:textId="0484C2FA" w:rsidR="00377A20" w:rsidRPr="00B275E2" w:rsidRDefault="00377A20" w:rsidP="00B8427B">
            <w:pPr>
              <w:pStyle w:val="TableText"/>
              <w:rPr>
                <w:b w:val="0"/>
              </w:rPr>
            </w:pPr>
            <w:r w:rsidRPr="00B275E2">
              <w:rPr>
                <w:b w:val="0"/>
              </w:rPr>
              <w:t xml:space="preserve">Non-urea nitrogen </w:t>
            </w:r>
          </w:p>
        </w:tc>
        <w:tc>
          <w:tcPr>
            <w:tcW w:w="2162" w:type="dxa"/>
          </w:tcPr>
          <w:p w14:paraId="30087D72" w14:textId="77777777" w:rsidR="00377A20" w:rsidRPr="00B275E2" w:rsidRDefault="00377A20" w:rsidP="003A7B65">
            <w:pPr>
              <w:pStyle w:val="TableText"/>
              <w:jc w:val="right"/>
              <w:cnfStyle w:val="000000100000" w:firstRow="0" w:lastRow="0" w:firstColumn="0" w:lastColumn="0" w:oddVBand="0" w:evenVBand="0" w:oddHBand="1" w:evenHBand="0" w:firstRowFirstColumn="0" w:firstRowLastColumn="0" w:lastRowFirstColumn="0" w:lastRowLastColumn="0"/>
            </w:pPr>
            <w:r w:rsidRPr="00B275E2">
              <w:t>0.016</w:t>
            </w:r>
          </w:p>
        </w:tc>
        <w:tc>
          <w:tcPr>
            <w:tcW w:w="2161" w:type="dxa"/>
          </w:tcPr>
          <w:p w14:paraId="50C14A9E" w14:textId="77777777" w:rsidR="00377A20" w:rsidRPr="00B275E2" w:rsidRDefault="00377A20" w:rsidP="003A7B65">
            <w:pPr>
              <w:pStyle w:val="TableText"/>
              <w:jc w:val="right"/>
              <w:cnfStyle w:val="000000100000" w:firstRow="0" w:lastRow="0" w:firstColumn="0" w:lastColumn="0" w:oddVBand="0" w:evenVBand="0" w:oddHBand="1" w:evenHBand="0" w:firstRowFirstColumn="0" w:firstRowLastColumn="0" w:lastRowFirstColumn="0" w:lastRowLastColumn="0"/>
            </w:pPr>
            <w:r w:rsidRPr="00B275E2">
              <w:t>0.0016</w:t>
            </w:r>
          </w:p>
        </w:tc>
        <w:tc>
          <w:tcPr>
            <w:tcW w:w="2162" w:type="dxa"/>
            <w:tcBorders>
              <w:right w:val="single" w:sz="4" w:space="0" w:color="FFFFFF" w:themeColor="background1"/>
            </w:tcBorders>
          </w:tcPr>
          <w:p w14:paraId="22585ED3" w14:textId="77777777" w:rsidR="00377A20" w:rsidRPr="00B275E2" w:rsidRDefault="00377A20" w:rsidP="003A7B65">
            <w:pPr>
              <w:pStyle w:val="TableText"/>
              <w:jc w:val="right"/>
              <w:cnfStyle w:val="000000100000" w:firstRow="0" w:lastRow="0" w:firstColumn="0" w:lastColumn="0" w:oddVBand="0" w:evenVBand="0" w:oddHBand="1" w:evenHBand="0" w:firstRowFirstColumn="0" w:firstRowLastColumn="0" w:lastRowFirstColumn="0" w:lastRowLastColumn="0"/>
            </w:pPr>
            <w:r w:rsidRPr="00B275E2">
              <w:t>0.0008</w:t>
            </w:r>
          </w:p>
        </w:tc>
      </w:tr>
    </w:tbl>
    <w:p w14:paraId="21A4D436" w14:textId="77777777" w:rsidR="003A7B65" w:rsidRPr="00B275E2" w:rsidRDefault="003A7B65" w:rsidP="00B56F79">
      <w:pPr>
        <w:pStyle w:val="BodyText"/>
        <w:spacing w:before="240"/>
      </w:pPr>
      <w:r w:rsidRPr="00B275E2">
        <w:t>Total emissions per gas:</w:t>
      </w:r>
    </w:p>
    <w:p w14:paraId="4B6DDA7B" w14:textId="149DDE41" w:rsidR="003A7B65" w:rsidRPr="00B275E2" w:rsidRDefault="003A7B65" w:rsidP="00B56F79">
      <w:pPr>
        <w:pStyle w:val="Bullet"/>
      </w:pPr>
      <w:r w:rsidRPr="00B275E2">
        <w:t>N</w:t>
      </w:r>
      <w:r w:rsidRPr="00B275E2">
        <w:rPr>
          <w:vertAlign w:val="subscript"/>
        </w:rPr>
        <w:t>2</w:t>
      </w:r>
      <w:r w:rsidRPr="00B275E2">
        <w:t>O =</w:t>
      </w:r>
      <w:r w:rsidR="00B732CC" w:rsidRPr="00B275E2">
        <w:t xml:space="preserve"> </w:t>
      </w:r>
      <w:r w:rsidRPr="00B275E2">
        <w:t>0.0008 + 0.0016 + 0.016 = 0.0184 kg N</w:t>
      </w:r>
      <w:r w:rsidRPr="00B275E2">
        <w:rPr>
          <w:vertAlign w:val="subscript"/>
        </w:rPr>
        <w:t>2</w:t>
      </w:r>
      <w:r w:rsidRPr="00B275E2">
        <w:t xml:space="preserve">O/ </w:t>
      </w:r>
      <w:r w:rsidR="001C3664" w:rsidRPr="00B275E2">
        <w:t>k</w:t>
      </w:r>
      <w:r w:rsidRPr="00B275E2">
        <w:t>g fertiliser</w:t>
      </w:r>
    </w:p>
    <w:p w14:paraId="5F34A5E3" w14:textId="453FBCDE" w:rsidR="003A7B65" w:rsidRPr="00B275E2" w:rsidRDefault="003A7B65" w:rsidP="003A7B65">
      <w:pPr>
        <w:pStyle w:val="BodyText"/>
      </w:pPr>
      <w:r w:rsidRPr="00B275E2">
        <w:t>Total carbon dioxide equivalent =</w:t>
      </w:r>
      <w:r w:rsidR="00B732CC" w:rsidRPr="00B275E2">
        <w:t xml:space="preserve"> </w:t>
      </w:r>
      <w:r w:rsidRPr="00B275E2">
        <w:t>0.018 ×</w:t>
      </w:r>
      <w:r w:rsidR="00B732CC" w:rsidRPr="00B275E2">
        <w:t xml:space="preserve"> </w:t>
      </w:r>
      <w:r w:rsidRPr="00B275E2">
        <w:t>298 = 5</w:t>
      </w:r>
      <w:r w:rsidR="006B64AA" w:rsidRPr="00B275E2">
        <w:t>.4</w:t>
      </w:r>
      <w:r w:rsidRPr="00B275E2">
        <w:t xml:space="preserve"> kg CO</w:t>
      </w:r>
      <w:r w:rsidRPr="00B275E2">
        <w:rPr>
          <w:vertAlign w:val="subscript"/>
        </w:rPr>
        <w:t>2</w:t>
      </w:r>
      <w:r w:rsidRPr="00B275E2">
        <w:t>-e/ kg fertiliser</w:t>
      </w:r>
      <w:r w:rsidR="00A0044D" w:rsidRPr="00B275E2">
        <w:t>.</w:t>
      </w:r>
    </w:p>
    <w:p w14:paraId="22B3E4B8" w14:textId="77777777" w:rsidR="00E8052F" w:rsidRPr="00B275E2" w:rsidRDefault="00E8052F" w:rsidP="002234D0">
      <w:pPr>
        <w:pStyle w:val="Heading3"/>
      </w:pPr>
      <w:r w:rsidRPr="00B275E2">
        <w:t>GHG inventory development</w:t>
      </w:r>
    </w:p>
    <w:p w14:paraId="213444FC" w14:textId="348F7F20" w:rsidR="00E8052F" w:rsidRPr="00B275E2" w:rsidRDefault="00E8052F" w:rsidP="00B56F79">
      <w:pPr>
        <w:pStyle w:val="BodyText"/>
      </w:pPr>
      <w:r w:rsidRPr="00B275E2">
        <w:rPr>
          <w:rFonts w:eastAsia="Times New Roman"/>
          <w:lang w:eastAsia="en-US"/>
        </w:rPr>
        <w:t xml:space="preserve">Organisations should collect data on quantity of </w:t>
      </w:r>
      <w:r w:rsidR="00A70D96" w:rsidRPr="00B275E2">
        <w:rPr>
          <w:rFonts w:eastAsia="Times New Roman"/>
          <w:lang w:eastAsia="en-US"/>
        </w:rPr>
        <w:t>lime</w:t>
      </w:r>
      <w:r w:rsidRPr="00B275E2">
        <w:rPr>
          <w:rFonts w:eastAsia="Times New Roman"/>
          <w:lang w:eastAsia="en-US"/>
        </w:rPr>
        <w:t xml:space="preserve"> (in kg) fertiliser used in the reporting period by type. </w:t>
      </w:r>
      <w:r w:rsidRPr="00B275E2">
        <w:t>Applying the equation E= Q x F (</w:t>
      </w:r>
      <w:hyperlink w:anchor="_How_to_quantify" w:history="1">
        <w:r w:rsidRPr="00B275E2">
          <w:rPr>
            <w:rStyle w:val="Hyperlink"/>
          </w:rPr>
          <w:t>section 2</w:t>
        </w:r>
      </w:hyperlink>
      <w:r w:rsidRPr="00B275E2">
        <w:rPr>
          <w:rStyle w:val="Hyperlink"/>
          <w:color w:val="auto"/>
        </w:rPr>
        <w:t>)</w:t>
      </w:r>
      <w:r w:rsidRPr="00B275E2">
        <w:rPr>
          <w:i/>
        </w:rPr>
        <w:t>,</w:t>
      </w:r>
      <w:r w:rsidRPr="00B275E2">
        <w:t xml:space="preserve"> this means:</w:t>
      </w:r>
    </w:p>
    <w:p w14:paraId="6D473908" w14:textId="77777777" w:rsidR="00E8052F" w:rsidRPr="00B275E2" w:rsidRDefault="00E8052F" w:rsidP="00B56F79">
      <w:pPr>
        <w:pStyle w:val="BodyText"/>
        <w:tabs>
          <w:tab w:val="left" w:pos="680"/>
          <w:tab w:val="left" w:pos="1134"/>
        </w:tabs>
        <w:contextualSpacing/>
      </w:pPr>
      <w:r w:rsidRPr="00B275E2">
        <w:t>E</w:t>
      </w:r>
      <w:r w:rsidRPr="00B275E2">
        <w:tab/>
        <w:t>=</w:t>
      </w:r>
      <w:r w:rsidRPr="00B275E2">
        <w:tab/>
        <w:t>emissions from the emissions source in kg CO</w:t>
      </w:r>
      <w:r w:rsidRPr="00B275E2">
        <w:rPr>
          <w:vertAlign w:val="subscript"/>
        </w:rPr>
        <w:t>2</w:t>
      </w:r>
      <w:r w:rsidRPr="00B275E2">
        <w:t xml:space="preserve">-e per year </w:t>
      </w:r>
    </w:p>
    <w:p w14:paraId="6063DEAA" w14:textId="77777777" w:rsidR="00E8052F" w:rsidRPr="00B275E2" w:rsidRDefault="00E8052F" w:rsidP="00B56F79">
      <w:pPr>
        <w:pStyle w:val="BodyText"/>
        <w:tabs>
          <w:tab w:val="left" w:pos="680"/>
          <w:tab w:val="left" w:pos="1134"/>
        </w:tabs>
        <w:contextualSpacing/>
      </w:pPr>
      <w:r w:rsidRPr="00B275E2">
        <w:t>Q</w:t>
      </w:r>
      <w:r w:rsidRPr="00B275E2">
        <w:tab/>
        <w:t>=</w:t>
      </w:r>
      <w:r w:rsidRPr="00B275E2">
        <w:tab/>
        <w:t>type of fertiliser used (in kg)</w:t>
      </w:r>
    </w:p>
    <w:p w14:paraId="5FA7C955" w14:textId="226FF822" w:rsidR="00E8052F" w:rsidRPr="00B275E2" w:rsidRDefault="00E8052F" w:rsidP="00B56F79">
      <w:pPr>
        <w:pStyle w:val="BodyText"/>
        <w:tabs>
          <w:tab w:val="left" w:pos="680"/>
          <w:tab w:val="left" w:pos="1134"/>
        </w:tabs>
        <w:spacing w:after="240"/>
        <w:contextualSpacing/>
      </w:pPr>
      <w:r w:rsidRPr="00B275E2">
        <w:t>F</w:t>
      </w:r>
      <w:r w:rsidRPr="00B275E2">
        <w:tab/>
        <w:t>=</w:t>
      </w:r>
      <w:r w:rsidRPr="00B275E2">
        <w:tab/>
        <w:t xml:space="preserve">appropriate emission factors from </w:t>
      </w:r>
      <w:r w:rsidR="007A423F" w:rsidRPr="00B275E2">
        <w:t>t</w:t>
      </w:r>
      <w:r w:rsidRPr="00B275E2">
        <w:t xml:space="preserve">able </w:t>
      </w:r>
      <w:r w:rsidR="009A7567" w:rsidRPr="00B275E2">
        <w:t>10</w:t>
      </w:r>
      <w:r w:rsidR="00EE24CD">
        <w:t>2</w:t>
      </w:r>
    </w:p>
    <w:tbl>
      <w:tblPr>
        <w:tblW w:w="85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0"/>
      </w:tblGrid>
      <w:tr w:rsidR="00DA7183" w:rsidRPr="00B275E2" w:rsidDel="00D5390D" w14:paraId="34380CB8" w14:textId="77777777" w:rsidTr="00B56F79">
        <w:tc>
          <w:tcPr>
            <w:tcW w:w="8500" w:type="dxa"/>
            <w:tcBorders>
              <w:top w:val="single" w:sz="4" w:space="0" w:color="0F7B7D"/>
              <w:left w:val="single" w:sz="4" w:space="0" w:color="0F7B7D"/>
              <w:bottom w:val="nil"/>
              <w:right w:val="single" w:sz="4" w:space="0" w:color="0F7B7D"/>
            </w:tcBorders>
            <w:shd w:val="clear" w:color="auto" w:fill="0F7B7D"/>
            <w:vAlign w:val="center"/>
          </w:tcPr>
          <w:p w14:paraId="42E3B232" w14:textId="77777777" w:rsidR="00E8052F" w:rsidRPr="00B275E2" w:rsidDel="00D5390D" w:rsidRDefault="00E8052F" w:rsidP="003A674E">
            <w:pPr>
              <w:pStyle w:val="Casestudyheading"/>
            </w:pPr>
            <w:r w:rsidRPr="00B275E2">
              <w:t>FERTILISER USE: Example Calculation</w:t>
            </w:r>
          </w:p>
        </w:tc>
      </w:tr>
      <w:tr w:rsidR="00F21DC0" w:rsidRPr="00B275E2" w14:paraId="02683E7F" w14:textId="77777777" w:rsidTr="00B56F79">
        <w:trPr>
          <w:trHeight w:val="617"/>
        </w:trPr>
        <w:tc>
          <w:tcPr>
            <w:tcW w:w="8500" w:type="dxa"/>
            <w:tcBorders>
              <w:top w:val="nil"/>
              <w:left w:val="single" w:sz="4" w:space="0" w:color="D5EBE8" w:themeColor="accent3"/>
              <w:bottom w:val="single" w:sz="4" w:space="0" w:color="D5EBE8" w:themeColor="accent3"/>
              <w:right w:val="single" w:sz="4" w:space="0" w:color="D5EBE8" w:themeColor="accent3"/>
            </w:tcBorders>
            <w:shd w:val="clear" w:color="auto" w:fill="D5EBE8" w:themeFill="accent3"/>
          </w:tcPr>
          <w:p w14:paraId="654CBF8A" w14:textId="77777777" w:rsidR="00E8052F" w:rsidRPr="00B275E2" w:rsidRDefault="00E8052F" w:rsidP="00B56F79">
            <w:pPr>
              <w:pStyle w:val="Boxtext"/>
              <w:spacing w:after="80"/>
            </w:pPr>
            <w:r w:rsidRPr="00B275E2">
              <w:t>An organisation uses 1,600 kg of lime fertiliser in the reporting year.</w:t>
            </w:r>
          </w:p>
          <w:p w14:paraId="4C5D0306" w14:textId="77777777" w:rsidR="00E8052F" w:rsidRPr="00B275E2" w:rsidRDefault="00E8052F" w:rsidP="00B56F79">
            <w:pPr>
              <w:pStyle w:val="Boxtext"/>
              <w:tabs>
                <w:tab w:val="left" w:pos="3008"/>
                <w:tab w:val="left" w:pos="5134"/>
              </w:tabs>
              <w:spacing w:before="20" w:after="20"/>
              <w:ind w:left="850"/>
            </w:pPr>
            <w:r w:rsidRPr="00B275E2">
              <w:t>CO</w:t>
            </w:r>
            <w:r w:rsidRPr="00B275E2">
              <w:rPr>
                <w:vertAlign w:val="subscript"/>
              </w:rPr>
              <w:t>2</w:t>
            </w:r>
            <w:r w:rsidRPr="00B275E2">
              <w:t xml:space="preserve"> emissions </w:t>
            </w:r>
            <w:r w:rsidRPr="00B275E2">
              <w:tab/>
              <w:t xml:space="preserve">= ((1,600 </w:t>
            </w:r>
            <w:r w:rsidRPr="00B275E2">
              <w:rPr>
                <w:rFonts w:cs="Calibri"/>
              </w:rPr>
              <w:t>× 0.82) x 0.44)</w:t>
            </w:r>
            <w:r w:rsidRPr="00B275E2">
              <w:t xml:space="preserve"> </w:t>
            </w:r>
            <w:r w:rsidRPr="00B275E2">
              <w:tab/>
            </w:r>
            <w:r w:rsidRPr="00B275E2">
              <w:rPr>
                <w:rFonts w:cs="Calibri"/>
              </w:rPr>
              <w:t xml:space="preserve">= 577.3 </w:t>
            </w:r>
            <w:r w:rsidRPr="00B275E2">
              <w:t>kg CO</w:t>
            </w:r>
            <w:r w:rsidRPr="00B275E2">
              <w:rPr>
                <w:vertAlign w:val="subscript"/>
              </w:rPr>
              <w:t>2</w:t>
            </w:r>
            <w:r w:rsidRPr="00B275E2">
              <w:t>-e</w:t>
            </w:r>
          </w:p>
          <w:p w14:paraId="2749DA9E" w14:textId="77777777" w:rsidR="00E8052F" w:rsidRPr="00B275E2" w:rsidRDefault="00E8052F" w:rsidP="00B56F79">
            <w:pPr>
              <w:pStyle w:val="Boxtext"/>
              <w:tabs>
                <w:tab w:val="left" w:pos="3008"/>
                <w:tab w:val="left" w:pos="5134"/>
              </w:tabs>
              <w:spacing w:before="20" w:after="20"/>
              <w:ind w:left="850"/>
            </w:pPr>
            <w:r w:rsidRPr="00B275E2">
              <w:t>CH</w:t>
            </w:r>
            <w:r w:rsidRPr="00B275E2">
              <w:rPr>
                <w:vertAlign w:val="subscript"/>
              </w:rPr>
              <w:t>4</w:t>
            </w:r>
            <w:r w:rsidRPr="00B275E2">
              <w:t xml:space="preserve"> emissions </w:t>
            </w:r>
            <w:r w:rsidRPr="00B275E2">
              <w:tab/>
              <w:t xml:space="preserve">= (1,600 </w:t>
            </w:r>
            <w:r w:rsidRPr="00B275E2">
              <w:rPr>
                <w:rFonts w:cs="Calibri"/>
              </w:rPr>
              <w:t>× 0</w:t>
            </w:r>
            <w:r w:rsidRPr="00B275E2">
              <w:t xml:space="preserve">) </w:t>
            </w:r>
            <w:r w:rsidRPr="00B275E2">
              <w:tab/>
              <w:t>= 0 kg CO</w:t>
            </w:r>
            <w:r w:rsidRPr="00B275E2">
              <w:rPr>
                <w:vertAlign w:val="subscript"/>
              </w:rPr>
              <w:t>2</w:t>
            </w:r>
            <w:r w:rsidRPr="00B275E2">
              <w:t xml:space="preserve">-e </w:t>
            </w:r>
          </w:p>
          <w:p w14:paraId="5754A648" w14:textId="77777777" w:rsidR="00E8052F" w:rsidRPr="00B275E2" w:rsidRDefault="00E8052F" w:rsidP="00B56F79">
            <w:pPr>
              <w:pStyle w:val="Boxtext"/>
              <w:tabs>
                <w:tab w:val="left" w:pos="3008"/>
                <w:tab w:val="left" w:pos="5134"/>
              </w:tabs>
              <w:spacing w:before="20" w:after="20"/>
              <w:ind w:left="850"/>
            </w:pPr>
            <w:r w:rsidRPr="00B275E2">
              <w:t>N</w:t>
            </w:r>
            <w:r w:rsidRPr="00B275E2">
              <w:rPr>
                <w:vertAlign w:val="subscript"/>
              </w:rPr>
              <w:t>2</w:t>
            </w:r>
            <w:r w:rsidRPr="00B275E2">
              <w:t xml:space="preserve">O emissions </w:t>
            </w:r>
            <w:r w:rsidRPr="00B275E2">
              <w:tab/>
              <w:t xml:space="preserve">= (1,600 </w:t>
            </w:r>
            <w:r w:rsidRPr="00B275E2">
              <w:rPr>
                <w:rFonts w:cs="Calibri"/>
              </w:rPr>
              <w:t>× 0</w:t>
            </w:r>
            <w:r w:rsidRPr="00B275E2">
              <w:t xml:space="preserve">) </w:t>
            </w:r>
            <w:r w:rsidRPr="00B275E2">
              <w:tab/>
              <w:t>= 0 kg CO</w:t>
            </w:r>
            <w:r w:rsidRPr="00B275E2">
              <w:rPr>
                <w:vertAlign w:val="subscript"/>
              </w:rPr>
              <w:t>2</w:t>
            </w:r>
            <w:r w:rsidRPr="00B275E2">
              <w:t>-e</w:t>
            </w:r>
          </w:p>
          <w:p w14:paraId="657BEB8D" w14:textId="3873EA02" w:rsidR="00E8052F" w:rsidRPr="00B275E2" w:rsidRDefault="00E8052F" w:rsidP="00B56F79">
            <w:pPr>
              <w:pStyle w:val="Boxtext"/>
              <w:tabs>
                <w:tab w:val="left" w:pos="3008"/>
                <w:tab w:val="left" w:pos="5134"/>
              </w:tabs>
              <w:spacing w:before="20" w:after="20"/>
              <w:ind w:left="850"/>
            </w:pPr>
            <w:r w:rsidRPr="00B275E2">
              <w:t>Total CO</w:t>
            </w:r>
            <w:r w:rsidRPr="00B275E2">
              <w:rPr>
                <w:vertAlign w:val="subscript"/>
              </w:rPr>
              <w:t>2</w:t>
            </w:r>
            <w:r w:rsidRPr="00B275E2">
              <w:t xml:space="preserve">-e emissions </w:t>
            </w:r>
            <w:r w:rsidRPr="00B275E2">
              <w:tab/>
              <w:t>= 577.3 kg CO</w:t>
            </w:r>
            <w:r w:rsidRPr="00B275E2">
              <w:rPr>
                <w:vertAlign w:val="subscript"/>
              </w:rPr>
              <w:t>2</w:t>
            </w:r>
            <w:r w:rsidRPr="00B275E2">
              <w:t>-e</w:t>
            </w:r>
          </w:p>
          <w:p w14:paraId="5E08606E" w14:textId="77777777" w:rsidR="00E8052F" w:rsidRPr="00B275E2" w:rsidRDefault="00E8052F" w:rsidP="00B56F79">
            <w:pPr>
              <w:pStyle w:val="Boxtext"/>
              <w:spacing w:after="180"/>
            </w:pPr>
            <w:r w:rsidRPr="00B275E2">
              <w:rPr>
                <w:sz w:val="18"/>
              </w:rPr>
              <w:t>Note: Numbers may not add due to rounding.</w:t>
            </w:r>
          </w:p>
        </w:tc>
      </w:tr>
    </w:tbl>
    <w:p w14:paraId="01CCE962" w14:textId="77777777" w:rsidR="003A7B65" w:rsidRPr="00B275E2" w:rsidRDefault="003A7B65" w:rsidP="002234D0">
      <w:pPr>
        <w:pStyle w:val="Heading3"/>
      </w:pPr>
      <w:r w:rsidRPr="00B275E2">
        <w:t>Assumptions, limitations and uncertainties</w:t>
      </w:r>
    </w:p>
    <w:p w14:paraId="2D220801" w14:textId="43908711" w:rsidR="003A7B65" w:rsidRPr="00B275E2" w:rsidRDefault="00B732CC" w:rsidP="007F19F9">
      <w:pPr>
        <w:pStyle w:val="BodyText"/>
      </w:pPr>
      <w:r w:rsidRPr="00B275E2">
        <w:t xml:space="preserve">MPI used the </w:t>
      </w:r>
      <w:r w:rsidR="003A7B65" w:rsidRPr="00B275E2">
        <w:t xml:space="preserve">following parameters to calculate the emissions. </w:t>
      </w:r>
    </w:p>
    <w:p w14:paraId="0D99D913" w14:textId="38527A1F" w:rsidR="003A7B65" w:rsidRPr="00B275E2" w:rsidRDefault="007F6E39" w:rsidP="00030F85">
      <w:pPr>
        <w:pStyle w:val="Tableheading"/>
      </w:pPr>
      <w:bookmarkStart w:id="652" w:name="_Toc111536708"/>
      <w:r w:rsidRPr="00B275E2">
        <w:t xml:space="preserve">Table </w:t>
      </w:r>
      <w:r w:rsidRPr="00B275E2">
        <w:fldChar w:fldCharType="begin"/>
      </w:r>
      <w:r w:rsidRPr="00B275E2">
        <w:instrText>SEQ Table \* ARABIC</w:instrText>
      </w:r>
      <w:r w:rsidRPr="00B275E2">
        <w:fldChar w:fldCharType="separate"/>
      </w:r>
      <w:r>
        <w:rPr>
          <w:noProof/>
        </w:rPr>
        <w:t>103</w:t>
      </w:r>
      <w:r w:rsidRPr="00B275E2">
        <w:fldChar w:fldCharType="end"/>
      </w:r>
      <w:r w:rsidRPr="00B275E2">
        <w:t>:</w:t>
      </w:r>
      <w:r w:rsidRPr="00B275E2">
        <w:tab/>
      </w:r>
      <w:r w:rsidR="003A7B65" w:rsidRPr="00B275E2">
        <w:t>Parameters for calculatin</w:t>
      </w:r>
      <w:r w:rsidR="007F19F9" w:rsidRPr="00B275E2">
        <w:t>g</w:t>
      </w:r>
      <w:r w:rsidR="003A7B65" w:rsidRPr="00B275E2">
        <w:t xml:space="preserve"> emissions from fertilisers</w:t>
      </w:r>
      <w:bookmarkEnd w:id="652"/>
    </w:p>
    <w:tbl>
      <w:tblPr>
        <w:tblStyle w:val="LightList-Accent11"/>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ook w:val="04A0" w:firstRow="1" w:lastRow="0" w:firstColumn="1" w:lastColumn="0" w:noHBand="0" w:noVBand="1"/>
      </w:tblPr>
      <w:tblGrid>
        <w:gridCol w:w="2735"/>
        <w:gridCol w:w="718"/>
        <w:gridCol w:w="5052"/>
      </w:tblGrid>
      <w:tr w:rsidR="003A7B65" w:rsidRPr="00B275E2" w14:paraId="61820ADD" w14:textId="77777777" w:rsidTr="004712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75" w:type="dxa"/>
            <w:shd w:val="clear" w:color="auto" w:fill="1B556B" w:themeFill="text2"/>
          </w:tcPr>
          <w:p w14:paraId="622955B0" w14:textId="77777777" w:rsidR="003A7B65" w:rsidRPr="00B275E2" w:rsidRDefault="003A7B65" w:rsidP="00C04F24">
            <w:pPr>
              <w:pStyle w:val="TableText"/>
              <w:keepNext/>
              <w:rPr>
                <w:rFonts w:cs="Calibri"/>
                <w:szCs w:val="18"/>
              </w:rPr>
            </w:pPr>
            <w:r w:rsidRPr="00B275E2">
              <w:rPr>
                <w:rFonts w:cs="Calibri"/>
                <w:szCs w:val="18"/>
              </w:rPr>
              <w:t xml:space="preserve">Parameter </w:t>
            </w:r>
          </w:p>
        </w:tc>
        <w:tc>
          <w:tcPr>
            <w:tcW w:w="0" w:type="auto"/>
            <w:shd w:val="clear" w:color="auto" w:fill="1B556B" w:themeFill="text2"/>
          </w:tcPr>
          <w:p w14:paraId="66C92C15" w14:textId="77777777" w:rsidR="003A7B65" w:rsidRPr="00B275E2" w:rsidRDefault="003A7B65" w:rsidP="00C04F24">
            <w:pPr>
              <w:pStyle w:val="TableText"/>
              <w:keepNext/>
              <w:cnfStyle w:val="100000000000" w:firstRow="1" w:lastRow="0" w:firstColumn="0" w:lastColumn="0" w:oddVBand="0" w:evenVBand="0" w:oddHBand="0" w:evenHBand="0" w:firstRowFirstColumn="0" w:firstRowLastColumn="0" w:lastRowFirstColumn="0" w:lastRowLastColumn="0"/>
              <w:rPr>
                <w:rFonts w:cs="Calibri"/>
                <w:szCs w:val="18"/>
              </w:rPr>
            </w:pPr>
            <w:r w:rsidRPr="00B275E2">
              <w:rPr>
                <w:rFonts w:cs="Calibri"/>
                <w:szCs w:val="18"/>
              </w:rPr>
              <w:t>Value</w:t>
            </w:r>
          </w:p>
        </w:tc>
        <w:tc>
          <w:tcPr>
            <w:tcW w:w="5154" w:type="dxa"/>
            <w:shd w:val="clear" w:color="auto" w:fill="1B556B" w:themeFill="text2"/>
          </w:tcPr>
          <w:p w14:paraId="4EAD1817" w14:textId="77777777" w:rsidR="003A7B65" w:rsidRPr="00B275E2" w:rsidRDefault="003A7B65" w:rsidP="00C04F24">
            <w:pPr>
              <w:pStyle w:val="TableText"/>
              <w:keepNext/>
              <w:cnfStyle w:val="100000000000" w:firstRow="1" w:lastRow="0" w:firstColumn="0" w:lastColumn="0" w:oddVBand="0" w:evenVBand="0" w:oddHBand="0" w:evenHBand="0" w:firstRowFirstColumn="0" w:firstRowLastColumn="0" w:lastRowFirstColumn="0" w:lastRowLastColumn="0"/>
              <w:rPr>
                <w:rFonts w:cs="Calibri"/>
                <w:szCs w:val="18"/>
              </w:rPr>
            </w:pPr>
            <w:r w:rsidRPr="00B275E2">
              <w:rPr>
                <w:rFonts w:cs="Calibri"/>
                <w:szCs w:val="18"/>
              </w:rPr>
              <w:t>Source</w:t>
            </w:r>
          </w:p>
        </w:tc>
      </w:tr>
      <w:tr w:rsidR="003A7B65" w:rsidRPr="00B275E2" w14:paraId="2854B95C" w14:textId="77777777" w:rsidTr="00E46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5" w:type="dxa"/>
            <w:tcBorders>
              <w:left w:val="single" w:sz="4" w:space="0" w:color="FFFFFF" w:themeColor="background1"/>
            </w:tcBorders>
          </w:tcPr>
          <w:p w14:paraId="54E79853" w14:textId="77777777" w:rsidR="003A7B65" w:rsidRPr="00B275E2" w:rsidRDefault="003A7B65" w:rsidP="003A7B65">
            <w:pPr>
              <w:pStyle w:val="TableText"/>
              <w:rPr>
                <w:rFonts w:cs="Calibri"/>
                <w:b w:val="0"/>
                <w:szCs w:val="18"/>
              </w:rPr>
            </w:pPr>
            <w:r w:rsidRPr="00B275E2">
              <w:rPr>
                <w:rFonts w:cs="Calibri"/>
                <w:b w:val="0"/>
                <w:szCs w:val="18"/>
              </w:rPr>
              <w:t>Direct emission factor non-urea-N</w:t>
            </w:r>
          </w:p>
        </w:tc>
        <w:tc>
          <w:tcPr>
            <w:tcW w:w="0" w:type="auto"/>
          </w:tcPr>
          <w:p w14:paraId="53CB9266" w14:textId="77777777" w:rsidR="003A7B65" w:rsidRPr="00B275E2" w:rsidRDefault="003A7B65" w:rsidP="003A7B65">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0.01</w:t>
            </w:r>
          </w:p>
        </w:tc>
        <w:tc>
          <w:tcPr>
            <w:tcW w:w="5154" w:type="dxa"/>
            <w:tcBorders>
              <w:right w:val="single" w:sz="4" w:space="0" w:color="FFFFFF" w:themeColor="background1"/>
            </w:tcBorders>
          </w:tcPr>
          <w:p w14:paraId="43BC429F" w14:textId="77777777" w:rsidR="003A7B65" w:rsidRPr="00B275E2" w:rsidRDefault="003A7B65" w:rsidP="003A7B65">
            <w:pPr>
              <w:pStyle w:val="TableTex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Based on Kelliher and de Klein, 2006</w:t>
            </w:r>
          </w:p>
        </w:tc>
      </w:tr>
      <w:tr w:rsidR="003A7B65" w:rsidRPr="00B275E2" w14:paraId="70077BE0" w14:textId="77777777" w:rsidTr="00E462C5">
        <w:tc>
          <w:tcPr>
            <w:cnfStyle w:val="001000000000" w:firstRow="0" w:lastRow="0" w:firstColumn="1" w:lastColumn="0" w:oddVBand="0" w:evenVBand="0" w:oddHBand="0" w:evenHBand="0" w:firstRowFirstColumn="0" w:firstRowLastColumn="0" w:lastRowFirstColumn="0" w:lastRowLastColumn="0"/>
            <w:tcW w:w="2775" w:type="dxa"/>
            <w:tcBorders>
              <w:left w:val="single" w:sz="4" w:space="0" w:color="FFFFFF" w:themeColor="background1"/>
            </w:tcBorders>
          </w:tcPr>
          <w:p w14:paraId="5557D1F7" w14:textId="77777777" w:rsidR="003A7B65" w:rsidRPr="00B275E2" w:rsidRDefault="003A7B65" w:rsidP="003A7B65">
            <w:pPr>
              <w:pStyle w:val="TableText"/>
              <w:rPr>
                <w:rFonts w:cs="Calibri"/>
                <w:b w:val="0"/>
                <w:szCs w:val="18"/>
              </w:rPr>
            </w:pPr>
            <w:r w:rsidRPr="00B275E2">
              <w:rPr>
                <w:rFonts w:cs="Calibri"/>
                <w:b w:val="0"/>
                <w:szCs w:val="18"/>
              </w:rPr>
              <w:t>Direct emission urea-N</w:t>
            </w:r>
          </w:p>
        </w:tc>
        <w:tc>
          <w:tcPr>
            <w:tcW w:w="0" w:type="auto"/>
          </w:tcPr>
          <w:p w14:paraId="251EDEE1" w14:textId="77777777" w:rsidR="003A7B65" w:rsidRPr="00B275E2" w:rsidRDefault="003A7B65" w:rsidP="003A7B65">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0.0059</w:t>
            </w:r>
          </w:p>
        </w:tc>
        <w:tc>
          <w:tcPr>
            <w:tcW w:w="5154" w:type="dxa"/>
            <w:tcBorders>
              <w:right w:val="single" w:sz="4" w:space="0" w:color="FFFFFF" w:themeColor="background1"/>
            </w:tcBorders>
          </w:tcPr>
          <w:p w14:paraId="2C5911AA" w14:textId="3EA68A5A" w:rsidR="003A7B65" w:rsidRPr="00B275E2" w:rsidRDefault="003A7B65" w:rsidP="003A7B65">
            <w:pPr>
              <w:pStyle w:val="TableTex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Based on van der Weerden et al</w:t>
            </w:r>
            <w:r w:rsidR="007B32BD" w:rsidRPr="00B275E2">
              <w:rPr>
                <w:rFonts w:cs="Calibri"/>
                <w:szCs w:val="18"/>
              </w:rPr>
              <w:t>,</w:t>
            </w:r>
            <w:r w:rsidRPr="00B275E2">
              <w:rPr>
                <w:rFonts w:cs="Calibri"/>
                <w:szCs w:val="18"/>
              </w:rPr>
              <w:t xml:space="preserve"> 2016 </w:t>
            </w:r>
          </w:p>
        </w:tc>
      </w:tr>
      <w:tr w:rsidR="003A7B65" w:rsidRPr="00B275E2" w14:paraId="1F834441" w14:textId="77777777" w:rsidTr="00E46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5" w:type="dxa"/>
            <w:tcBorders>
              <w:left w:val="single" w:sz="4" w:space="0" w:color="FFFFFF" w:themeColor="background1"/>
            </w:tcBorders>
          </w:tcPr>
          <w:p w14:paraId="6A282766" w14:textId="4201A790" w:rsidR="003A7B65" w:rsidRPr="00B275E2" w:rsidRDefault="003A7B65" w:rsidP="003A7B65">
            <w:pPr>
              <w:pStyle w:val="TableText"/>
              <w:rPr>
                <w:rFonts w:cs="Calibri"/>
                <w:b w:val="0"/>
                <w:szCs w:val="18"/>
              </w:rPr>
            </w:pPr>
            <w:r w:rsidRPr="00B275E2">
              <w:rPr>
                <w:rFonts w:cs="Calibri"/>
                <w:b w:val="0"/>
                <w:szCs w:val="18"/>
              </w:rPr>
              <w:t>Frac</w:t>
            </w:r>
            <w:r w:rsidRPr="00B275E2">
              <w:rPr>
                <w:rFonts w:cs="Calibri"/>
                <w:b w:val="0"/>
                <w:szCs w:val="18"/>
                <w:vertAlign w:val="subscript"/>
              </w:rPr>
              <w:t>GAS</w:t>
            </w:r>
            <w:r w:rsidR="0074764A" w:rsidRPr="00B275E2">
              <w:rPr>
                <w:rFonts w:cs="Calibri"/>
                <w:b w:val="0"/>
                <w:szCs w:val="18"/>
                <w:vertAlign w:val="subscript"/>
              </w:rPr>
              <w:t>E</w:t>
            </w:r>
            <w:r w:rsidRPr="00B275E2">
              <w:rPr>
                <w:rFonts w:cs="Calibri"/>
                <w:b w:val="0"/>
                <w:szCs w:val="18"/>
              </w:rPr>
              <w:t xml:space="preserve"> (UI)</w:t>
            </w:r>
          </w:p>
        </w:tc>
        <w:tc>
          <w:tcPr>
            <w:tcW w:w="0" w:type="auto"/>
          </w:tcPr>
          <w:p w14:paraId="217C6AF8" w14:textId="77777777" w:rsidR="003A7B65" w:rsidRPr="00B275E2" w:rsidRDefault="003A7B65" w:rsidP="003A7B65">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0.055</w:t>
            </w:r>
          </w:p>
        </w:tc>
        <w:tc>
          <w:tcPr>
            <w:tcW w:w="5154" w:type="dxa"/>
            <w:tcBorders>
              <w:right w:val="single" w:sz="4" w:space="0" w:color="FFFFFF" w:themeColor="background1"/>
            </w:tcBorders>
          </w:tcPr>
          <w:p w14:paraId="3D2069AF" w14:textId="31E3ED30" w:rsidR="003A7B65" w:rsidRPr="00B275E2" w:rsidRDefault="003A7B65" w:rsidP="007B32BD">
            <w:pPr>
              <w:pStyle w:val="TableTex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Saggar</w:t>
            </w:r>
            <w:r w:rsidR="007B32BD" w:rsidRPr="00B275E2">
              <w:rPr>
                <w:rFonts w:cs="Calibri"/>
                <w:szCs w:val="18"/>
              </w:rPr>
              <w:t xml:space="preserve">, </w:t>
            </w:r>
            <w:r w:rsidRPr="00B275E2">
              <w:rPr>
                <w:rFonts w:cs="Calibri"/>
                <w:szCs w:val="18"/>
              </w:rPr>
              <w:t>2013</w:t>
            </w:r>
          </w:p>
        </w:tc>
      </w:tr>
      <w:tr w:rsidR="003A7B65" w:rsidRPr="00B275E2" w14:paraId="6FACEF89" w14:textId="77777777" w:rsidTr="00E462C5">
        <w:tc>
          <w:tcPr>
            <w:cnfStyle w:val="001000000000" w:firstRow="0" w:lastRow="0" w:firstColumn="1" w:lastColumn="0" w:oddVBand="0" w:evenVBand="0" w:oddHBand="0" w:evenHBand="0" w:firstRowFirstColumn="0" w:firstRowLastColumn="0" w:lastRowFirstColumn="0" w:lastRowLastColumn="0"/>
            <w:tcW w:w="2775" w:type="dxa"/>
            <w:tcBorders>
              <w:left w:val="single" w:sz="4" w:space="0" w:color="FFFFFF" w:themeColor="background1"/>
            </w:tcBorders>
          </w:tcPr>
          <w:p w14:paraId="09DE37C0" w14:textId="54862178" w:rsidR="003A7B65" w:rsidRPr="00B275E2" w:rsidRDefault="003A7B65" w:rsidP="003A7B65">
            <w:pPr>
              <w:pStyle w:val="TableText"/>
              <w:rPr>
                <w:rFonts w:cs="Calibri"/>
                <w:b w:val="0"/>
                <w:szCs w:val="18"/>
              </w:rPr>
            </w:pPr>
            <w:r w:rsidRPr="00B275E2">
              <w:rPr>
                <w:rFonts w:cs="Calibri"/>
                <w:b w:val="0"/>
                <w:szCs w:val="18"/>
              </w:rPr>
              <w:t>Frac</w:t>
            </w:r>
            <w:r w:rsidRPr="00B275E2">
              <w:rPr>
                <w:rFonts w:cs="Calibri"/>
                <w:b w:val="0"/>
                <w:szCs w:val="18"/>
                <w:vertAlign w:val="subscript"/>
              </w:rPr>
              <w:t>GAS</w:t>
            </w:r>
            <w:r w:rsidR="00EC6DA7" w:rsidRPr="00B275E2">
              <w:rPr>
                <w:rFonts w:cs="Calibri"/>
                <w:b w:val="0"/>
                <w:szCs w:val="18"/>
                <w:vertAlign w:val="subscript"/>
              </w:rPr>
              <w:t>E</w:t>
            </w:r>
            <w:r w:rsidRPr="00B275E2">
              <w:rPr>
                <w:rFonts w:cs="Calibri"/>
                <w:b w:val="0"/>
                <w:szCs w:val="18"/>
              </w:rPr>
              <w:t xml:space="preserve"> (non-UI)</w:t>
            </w:r>
          </w:p>
        </w:tc>
        <w:tc>
          <w:tcPr>
            <w:tcW w:w="0" w:type="auto"/>
          </w:tcPr>
          <w:p w14:paraId="2D0D74D4" w14:textId="77777777" w:rsidR="003A7B65" w:rsidRPr="00B275E2" w:rsidRDefault="003A7B65" w:rsidP="003A7B65">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0.1</w:t>
            </w:r>
          </w:p>
        </w:tc>
        <w:tc>
          <w:tcPr>
            <w:tcW w:w="5154" w:type="dxa"/>
            <w:tcBorders>
              <w:right w:val="single" w:sz="4" w:space="0" w:color="FFFFFF" w:themeColor="background1"/>
            </w:tcBorders>
          </w:tcPr>
          <w:p w14:paraId="7847A5B4" w14:textId="5A78BAD4" w:rsidR="003A7B65" w:rsidRPr="00B275E2" w:rsidRDefault="003A7B65" w:rsidP="007B32BD">
            <w:pPr>
              <w:pStyle w:val="TableTex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Sherlock et al</w:t>
            </w:r>
            <w:r w:rsidR="007B32BD" w:rsidRPr="00B275E2">
              <w:rPr>
                <w:rFonts w:cs="Calibri"/>
                <w:szCs w:val="18"/>
              </w:rPr>
              <w:t xml:space="preserve">, </w:t>
            </w:r>
            <w:r w:rsidRPr="00B275E2">
              <w:rPr>
                <w:rFonts w:cs="Calibri"/>
                <w:szCs w:val="18"/>
              </w:rPr>
              <w:t>2008</w:t>
            </w:r>
          </w:p>
        </w:tc>
      </w:tr>
      <w:tr w:rsidR="003A7B65" w:rsidRPr="00B275E2" w14:paraId="64ED3D3D" w14:textId="77777777" w:rsidTr="00E46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5" w:type="dxa"/>
            <w:tcBorders>
              <w:left w:val="single" w:sz="4" w:space="0" w:color="FFFFFF" w:themeColor="background1"/>
            </w:tcBorders>
          </w:tcPr>
          <w:p w14:paraId="586E526E" w14:textId="77777777" w:rsidR="003A7B65" w:rsidRPr="00B275E2" w:rsidRDefault="003A7B65" w:rsidP="003A7B65">
            <w:pPr>
              <w:pStyle w:val="TableText"/>
              <w:rPr>
                <w:rFonts w:cs="Calibri"/>
                <w:b w:val="0"/>
                <w:szCs w:val="18"/>
              </w:rPr>
            </w:pPr>
            <w:r w:rsidRPr="00B275E2">
              <w:rPr>
                <w:rFonts w:cs="Calibri"/>
                <w:b w:val="0"/>
                <w:szCs w:val="18"/>
              </w:rPr>
              <w:lastRenderedPageBreak/>
              <w:t>Volatilisation emission factor (EF4)</w:t>
            </w:r>
          </w:p>
        </w:tc>
        <w:tc>
          <w:tcPr>
            <w:tcW w:w="0" w:type="auto"/>
          </w:tcPr>
          <w:p w14:paraId="1B5D22F3" w14:textId="77777777" w:rsidR="003A7B65" w:rsidRPr="00B275E2" w:rsidRDefault="003A7B65" w:rsidP="003A7B65">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0.01</w:t>
            </w:r>
          </w:p>
        </w:tc>
        <w:tc>
          <w:tcPr>
            <w:tcW w:w="5154" w:type="dxa"/>
            <w:tcBorders>
              <w:right w:val="single" w:sz="4" w:space="0" w:color="FFFFFF" w:themeColor="background1"/>
            </w:tcBorders>
          </w:tcPr>
          <w:p w14:paraId="5F1287B6" w14:textId="77777777" w:rsidR="003A7B65" w:rsidRPr="00B275E2" w:rsidRDefault="003A7B65" w:rsidP="003A7B65">
            <w:pPr>
              <w:pStyle w:val="TableTex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i/>
                <w:szCs w:val="18"/>
              </w:rPr>
              <w:t>2006 IPCC Guidelines for National Greenhouse Gas Inventories</w:t>
            </w:r>
            <w:r w:rsidRPr="00B275E2">
              <w:rPr>
                <w:rFonts w:cs="Calibri"/>
                <w:szCs w:val="18"/>
              </w:rPr>
              <w:t>, Volume 4, table 11.3</w:t>
            </w:r>
          </w:p>
        </w:tc>
      </w:tr>
      <w:tr w:rsidR="003A7B65" w:rsidRPr="00B275E2" w14:paraId="14AD19A0" w14:textId="77777777" w:rsidTr="00E462C5">
        <w:tc>
          <w:tcPr>
            <w:cnfStyle w:val="001000000000" w:firstRow="0" w:lastRow="0" w:firstColumn="1" w:lastColumn="0" w:oddVBand="0" w:evenVBand="0" w:oddHBand="0" w:evenHBand="0" w:firstRowFirstColumn="0" w:firstRowLastColumn="0" w:lastRowFirstColumn="0" w:lastRowLastColumn="0"/>
            <w:tcW w:w="2775" w:type="dxa"/>
            <w:tcBorders>
              <w:left w:val="single" w:sz="4" w:space="0" w:color="FFFFFF" w:themeColor="background1"/>
            </w:tcBorders>
          </w:tcPr>
          <w:p w14:paraId="7C532B1E" w14:textId="093D0F29" w:rsidR="00EC6DA7" w:rsidRPr="00B275E2" w:rsidRDefault="00EC6DA7" w:rsidP="00471210">
            <w:pPr>
              <w:pStyle w:val="TableText"/>
              <w:rPr>
                <w:rFonts w:cs="Calibri"/>
                <w:b w:val="0"/>
                <w:szCs w:val="18"/>
              </w:rPr>
            </w:pPr>
            <w:r w:rsidRPr="00B275E2">
              <w:rPr>
                <w:rFonts w:cs="Calibri"/>
                <w:b w:val="0"/>
                <w:szCs w:val="18"/>
              </w:rPr>
              <w:t>F</w:t>
            </w:r>
            <w:r w:rsidRPr="00B275E2">
              <w:rPr>
                <w:b w:val="0"/>
                <w:szCs w:val="18"/>
              </w:rPr>
              <w:t>rac</w:t>
            </w:r>
            <w:r w:rsidRPr="00B275E2">
              <w:rPr>
                <w:b w:val="0"/>
                <w:szCs w:val="18"/>
                <w:vertAlign w:val="subscript"/>
              </w:rPr>
              <w:t>LEACH</w:t>
            </w:r>
            <w:r w:rsidRPr="00B275E2">
              <w:rPr>
                <w:b w:val="0"/>
                <w:szCs w:val="18"/>
              </w:rPr>
              <w:t xml:space="preserve"> (Grassland)</w:t>
            </w:r>
            <w:r w:rsidR="00471210" w:rsidRPr="00B275E2">
              <w:rPr>
                <w:b w:val="0"/>
                <w:szCs w:val="18"/>
              </w:rPr>
              <w:br/>
            </w:r>
            <w:r w:rsidRPr="00B275E2">
              <w:rPr>
                <w:b w:val="0"/>
                <w:szCs w:val="18"/>
              </w:rPr>
              <w:t>Frac</w:t>
            </w:r>
            <w:r w:rsidRPr="00B275E2">
              <w:rPr>
                <w:b w:val="0"/>
                <w:szCs w:val="18"/>
                <w:vertAlign w:val="subscript"/>
              </w:rPr>
              <w:t>LEACH</w:t>
            </w:r>
            <w:r w:rsidRPr="00B275E2">
              <w:rPr>
                <w:b w:val="0"/>
                <w:szCs w:val="18"/>
              </w:rPr>
              <w:t xml:space="preserve"> (Cropland)</w:t>
            </w:r>
          </w:p>
        </w:tc>
        <w:tc>
          <w:tcPr>
            <w:tcW w:w="0" w:type="auto"/>
          </w:tcPr>
          <w:p w14:paraId="1DAA1590" w14:textId="36B0B848" w:rsidR="00EC6DA7" w:rsidRPr="00B275E2" w:rsidRDefault="003A7B65" w:rsidP="00471210">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0.07</w:t>
            </w:r>
            <w:r w:rsidR="00471210" w:rsidRPr="00B275E2">
              <w:rPr>
                <w:rFonts w:cs="Calibri"/>
                <w:szCs w:val="18"/>
              </w:rPr>
              <w:br/>
            </w:r>
            <w:r w:rsidR="00EC6DA7" w:rsidRPr="00B275E2">
              <w:rPr>
                <w:szCs w:val="18"/>
              </w:rPr>
              <w:t>0.10</w:t>
            </w:r>
          </w:p>
        </w:tc>
        <w:tc>
          <w:tcPr>
            <w:tcW w:w="5154" w:type="dxa"/>
            <w:tcBorders>
              <w:right w:val="single" w:sz="4" w:space="0" w:color="FFFFFF" w:themeColor="background1"/>
            </w:tcBorders>
          </w:tcPr>
          <w:p w14:paraId="2109EBF0" w14:textId="5C99B3CA" w:rsidR="00EC6DA7" w:rsidRPr="00B275E2" w:rsidRDefault="003A7B65" w:rsidP="00471210">
            <w:pPr>
              <w:pStyle w:val="TableTex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Thomas et al</w:t>
            </w:r>
            <w:r w:rsidR="00614A8E" w:rsidRPr="00B275E2">
              <w:rPr>
                <w:rFonts w:cs="Calibri"/>
                <w:szCs w:val="18"/>
              </w:rPr>
              <w:t xml:space="preserve">, </w:t>
            </w:r>
            <w:r w:rsidRPr="00B275E2">
              <w:rPr>
                <w:rFonts w:cs="Calibri"/>
                <w:szCs w:val="18"/>
              </w:rPr>
              <w:t>2005</w:t>
            </w:r>
            <w:r w:rsidR="00471210" w:rsidRPr="00B275E2">
              <w:rPr>
                <w:rFonts w:cs="Calibri"/>
                <w:szCs w:val="18"/>
              </w:rPr>
              <w:br/>
            </w:r>
            <w:r w:rsidR="00EC6DA7" w:rsidRPr="00B275E2">
              <w:rPr>
                <w:rFonts w:cs="Calibri"/>
                <w:szCs w:val="18"/>
              </w:rPr>
              <w:t>Welten et al. 2021</w:t>
            </w:r>
            <w:r w:rsidR="0065737B" w:rsidRPr="00B275E2">
              <w:rPr>
                <w:rFonts w:cs="Calibri"/>
                <w:szCs w:val="18"/>
              </w:rPr>
              <w:t xml:space="preserve"> Arable and vegetable crops.</w:t>
            </w:r>
          </w:p>
        </w:tc>
      </w:tr>
      <w:tr w:rsidR="003A7B65" w:rsidRPr="00B275E2" w14:paraId="1E8FCA16" w14:textId="77777777" w:rsidTr="00E46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5" w:type="dxa"/>
            <w:tcBorders>
              <w:left w:val="single" w:sz="4" w:space="0" w:color="FFFFFF" w:themeColor="background1"/>
            </w:tcBorders>
          </w:tcPr>
          <w:p w14:paraId="4FBCD4E2" w14:textId="77777777" w:rsidR="003A7B65" w:rsidRPr="00B275E2" w:rsidRDefault="003A7B65" w:rsidP="003A7B65">
            <w:pPr>
              <w:pStyle w:val="TableText"/>
              <w:rPr>
                <w:rFonts w:cs="Calibri"/>
                <w:b w:val="0"/>
                <w:szCs w:val="18"/>
              </w:rPr>
            </w:pPr>
            <w:r w:rsidRPr="00B275E2">
              <w:rPr>
                <w:rFonts w:cs="Calibri"/>
                <w:b w:val="0"/>
                <w:szCs w:val="18"/>
              </w:rPr>
              <w:t>Leaching emission factor (EF5)</w:t>
            </w:r>
          </w:p>
        </w:tc>
        <w:tc>
          <w:tcPr>
            <w:tcW w:w="0" w:type="auto"/>
          </w:tcPr>
          <w:p w14:paraId="1A3FC010" w14:textId="77777777" w:rsidR="003A7B65" w:rsidRPr="00B275E2" w:rsidRDefault="003A7B65" w:rsidP="003A7B65">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0.0075</w:t>
            </w:r>
          </w:p>
        </w:tc>
        <w:tc>
          <w:tcPr>
            <w:tcW w:w="5154" w:type="dxa"/>
            <w:tcBorders>
              <w:right w:val="single" w:sz="4" w:space="0" w:color="FFFFFF" w:themeColor="background1"/>
            </w:tcBorders>
          </w:tcPr>
          <w:p w14:paraId="1AB7F71D" w14:textId="77777777" w:rsidR="003A7B65" w:rsidRPr="00B275E2" w:rsidRDefault="003A7B65" w:rsidP="003A7B65">
            <w:pPr>
              <w:pStyle w:val="TableTex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i/>
                <w:szCs w:val="18"/>
              </w:rPr>
              <w:t>2006 IPCC Guidelines for National Greenhouse Gas Inventories</w:t>
            </w:r>
            <w:r w:rsidRPr="00B275E2">
              <w:rPr>
                <w:rFonts w:cs="Calibri"/>
                <w:szCs w:val="18"/>
              </w:rPr>
              <w:t>, Volume 4, table 11.3</w:t>
            </w:r>
          </w:p>
        </w:tc>
      </w:tr>
      <w:tr w:rsidR="003A7B65" w:rsidRPr="00B275E2" w14:paraId="266A7B47" w14:textId="77777777" w:rsidTr="00E462C5">
        <w:tc>
          <w:tcPr>
            <w:cnfStyle w:val="001000000000" w:firstRow="0" w:lastRow="0" w:firstColumn="1" w:lastColumn="0" w:oddVBand="0" w:evenVBand="0" w:oddHBand="0" w:evenHBand="0" w:firstRowFirstColumn="0" w:firstRowLastColumn="0" w:lastRowFirstColumn="0" w:lastRowLastColumn="0"/>
            <w:tcW w:w="2775" w:type="dxa"/>
            <w:tcBorders>
              <w:left w:val="single" w:sz="4" w:space="0" w:color="FFFFFF" w:themeColor="background1"/>
            </w:tcBorders>
          </w:tcPr>
          <w:p w14:paraId="0D486A76" w14:textId="3DD333B3" w:rsidR="003A7B65" w:rsidRPr="00B275E2" w:rsidRDefault="00B732CC" w:rsidP="003A7B65">
            <w:pPr>
              <w:pStyle w:val="TableText"/>
              <w:rPr>
                <w:rFonts w:cs="Calibri"/>
                <w:b w:val="0"/>
                <w:szCs w:val="18"/>
              </w:rPr>
            </w:pPr>
            <w:r w:rsidRPr="00B275E2">
              <w:rPr>
                <w:rFonts w:cs="Calibri"/>
                <w:b w:val="0"/>
                <w:szCs w:val="18"/>
              </w:rPr>
              <w:t xml:space="preserve">Urea </w:t>
            </w:r>
            <w:r w:rsidR="003A7B65" w:rsidRPr="00B275E2">
              <w:rPr>
                <w:rFonts w:cs="Calibri"/>
                <w:b w:val="0"/>
                <w:szCs w:val="18"/>
              </w:rPr>
              <w:t>emission factor (CO</w:t>
            </w:r>
            <w:r w:rsidR="003A7B65" w:rsidRPr="00B275E2">
              <w:rPr>
                <w:rFonts w:cs="Calibri"/>
                <w:b w:val="0"/>
                <w:szCs w:val="18"/>
                <w:vertAlign w:val="subscript"/>
              </w:rPr>
              <w:t>2</w:t>
            </w:r>
            <w:r w:rsidR="003A7B65" w:rsidRPr="00B275E2">
              <w:rPr>
                <w:rFonts w:cs="Calibri"/>
                <w:b w:val="0"/>
                <w:szCs w:val="18"/>
              </w:rPr>
              <w:t xml:space="preserve"> component)</w:t>
            </w:r>
          </w:p>
        </w:tc>
        <w:tc>
          <w:tcPr>
            <w:tcW w:w="0" w:type="auto"/>
          </w:tcPr>
          <w:p w14:paraId="2E28FABF" w14:textId="77777777" w:rsidR="003A7B65" w:rsidRPr="00B275E2" w:rsidRDefault="003A7B65" w:rsidP="003A7B65">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0.2</w:t>
            </w:r>
          </w:p>
        </w:tc>
        <w:tc>
          <w:tcPr>
            <w:tcW w:w="5154" w:type="dxa"/>
            <w:tcBorders>
              <w:right w:val="single" w:sz="4" w:space="0" w:color="FFFFFF" w:themeColor="background1"/>
            </w:tcBorders>
          </w:tcPr>
          <w:p w14:paraId="75284EF8" w14:textId="77777777" w:rsidR="003A7B65" w:rsidRPr="00B275E2" w:rsidRDefault="003A7B65" w:rsidP="003A7B65">
            <w:pPr>
              <w:pStyle w:val="TableTex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i/>
                <w:szCs w:val="18"/>
              </w:rPr>
              <w:t>2006 IPCC Guidelines for National Greenhouse Gas Inventories</w:t>
            </w:r>
            <w:r w:rsidRPr="00B275E2">
              <w:rPr>
                <w:rFonts w:cs="Calibri"/>
                <w:szCs w:val="18"/>
              </w:rPr>
              <w:t>, Volume 4, section 11.4.2</w:t>
            </w:r>
          </w:p>
        </w:tc>
      </w:tr>
      <w:tr w:rsidR="003A7B65" w:rsidRPr="00B275E2" w14:paraId="6A4D4318" w14:textId="77777777" w:rsidTr="00E46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5" w:type="dxa"/>
            <w:tcBorders>
              <w:left w:val="single" w:sz="4" w:space="0" w:color="FFFFFF" w:themeColor="background1"/>
            </w:tcBorders>
          </w:tcPr>
          <w:p w14:paraId="5E081DF2" w14:textId="77777777" w:rsidR="003A7B65" w:rsidRPr="00B275E2" w:rsidRDefault="003A7B65" w:rsidP="003A7B65">
            <w:pPr>
              <w:pStyle w:val="TableText"/>
              <w:rPr>
                <w:rFonts w:cs="Calibri"/>
                <w:b w:val="0"/>
                <w:szCs w:val="18"/>
              </w:rPr>
            </w:pPr>
            <w:r w:rsidRPr="00B275E2">
              <w:rPr>
                <w:rFonts w:cs="Calibri"/>
                <w:b w:val="0"/>
                <w:szCs w:val="18"/>
              </w:rPr>
              <w:t>Emission factor for limestone</w:t>
            </w:r>
          </w:p>
        </w:tc>
        <w:tc>
          <w:tcPr>
            <w:tcW w:w="0" w:type="auto"/>
          </w:tcPr>
          <w:p w14:paraId="7871ADDE" w14:textId="77777777" w:rsidR="003A7B65" w:rsidRPr="00B275E2" w:rsidRDefault="003A7B65" w:rsidP="003A7B65">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0.12</w:t>
            </w:r>
          </w:p>
        </w:tc>
        <w:tc>
          <w:tcPr>
            <w:tcW w:w="5154" w:type="dxa"/>
            <w:tcBorders>
              <w:right w:val="single" w:sz="4" w:space="0" w:color="FFFFFF" w:themeColor="background1"/>
            </w:tcBorders>
          </w:tcPr>
          <w:p w14:paraId="3C281F80" w14:textId="77777777" w:rsidR="003A7B65" w:rsidRPr="00B275E2" w:rsidRDefault="003A7B65" w:rsidP="003A7B65">
            <w:pPr>
              <w:pStyle w:val="TableTex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i/>
                <w:szCs w:val="18"/>
              </w:rPr>
              <w:t>2006 IPCC Guidelines for National Greenhouse Gas Inventories</w:t>
            </w:r>
            <w:r w:rsidRPr="00B275E2">
              <w:rPr>
                <w:rFonts w:cs="Calibri"/>
                <w:szCs w:val="18"/>
              </w:rPr>
              <w:t>, Volume 4, section 11.4.2</w:t>
            </w:r>
          </w:p>
        </w:tc>
      </w:tr>
      <w:tr w:rsidR="003A7B65" w:rsidRPr="00B275E2" w14:paraId="68024722" w14:textId="77777777" w:rsidTr="00E462C5">
        <w:tc>
          <w:tcPr>
            <w:cnfStyle w:val="001000000000" w:firstRow="0" w:lastRow="0" w:firstColumn="1" w:lastColumn="0" w:oddVBand="0" w:evenVBand="0" w:oddHBand="0" w:evenHBand="0" w:firstRowFirstColumn="0" w:firstRowLastColumn="0" w:lastRowFirstColumn="0" w:lastRowLastColumn="0"/>
            <w:tcW w:w="2775" w:type="dxa"/>
            <w:tcBorders>
              <w:left w:val="single" w:sz="4" w:space="0" w:color="FFFFFF" w:themeColor="background1"/>
            </w:tcBorders>
          </w:tcPr>
          <w:p w14:paraId="3113E881" w14:textId="77777777" w:rsidR="003A7B65" w:rsidRPr="00B275E2" w:rsidRDefault="003A7B65" w:rsidP="003A7B65">
            <w:pPr>
              <w:pStyle w:val="TableText"/>
              <w:rPr>
                <w:rFonts w:cs="Calibri"/>
                <w:b w:val="0"/>
                <w:szCs w:val="18"/>
              </w:rPr>
            </w:pPr>
            <w:r w:rsidRPr="00B275E2">
              <w:rPr>
                <w:rFonts w:cs="Calibri"/>
                <w:b w:val="0"/>
                <w:szCs w:val="18"/>
              </w:rPr>
              <w:t>Emission factor for dolomite</w:t>
            </w:r>
          </w:p>
        </w:tc>
        <w:tc>
          <w:tcPr>
            <w:tcW w:w="0" w:type="auto"/>
          </w:tcPr>
          <w:p w14:paraId="63CB6F35" w14:textId="77777777" w:rsidR="003A7B65" w:rsidRPr="00B275E2" w:rsidRDefault="003A7B65" w:rsidP="003A7B65">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0.13</w:t>
            </w:r>
          </w:p>
        </w:tc>
        <w:tc>
          <w:tcPr>
            <w:tcW w:w="5154" w:type="dxa"/>
            <w:tcBorders>
              <w:right w:val="single" w:sz="4" w:space="0" w:color="FFFFFF" w:themeColor="background1"/>
            </w:tcBorders>
          </w:tcPr>
          <w:p w14:paraId="0E763600" w14:textId="77777777" w:rsidR="003A7B65" w:rsidRPr="00B275E2" w:rsidRDefault="003A7B65" w:rsidP="003A7B65">
            <w:pPr>
              <w:pStyle w:val="TableTex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i/>
                <w:szCs w:val="18"/>
              </w:rPr>
              <w:t>2006 IPCC Guidelines for National Greenhouse Gas Inventories</w:t>
            </w:r>
            <w:r w:rsidRPr="00B275E2">
              <w:rPr>
                <w:rFonts w:cs="Calibri"/>
                <w:szCs w:val="18"/>
              </w:rPr>
              <w:t>, Volume 4, section 11.4.2</w:t>
            </w:r>
          </w:p>
        </w:tc>
      </w:tr>
      <w:tr w:rsidR="003A7B65" w:rsidRPr="00B275E2" w14:paraId="428CD087" w14:textId="77777777" w:rsidTr="00E46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5" w:type="dxa"/>
            <w:tcBorders>
              <w:left w:val="single" w:sz="4" w:space="0" w:color="FFFFFF" w:themeColor="background1"/>
            </w:tcBorders>
          </w:tcPr>
          <w:p w14:paraId="3A6FD8D7" w14:textId="77777777" w:rsidR="003A7B65" w:rsidRPr="00B275E2" w:rsidRDefault="003A7B65" w:rsidP="003A7B65">
            <w:pPr>
              <w:pStyle w:val="TableText"/>
              <w:rPr>
                <w:rFonts w:cs="Calibri"/>
                <w:b w:val="0"/>
                <w:szCs w:val="18"/>
              </w:rPr>
            </w:pPr>
            <w:r w:rsidRPr="00B275E2">
              <w:rPr>
                <w:rFonts w:cs="Calibri"/>
                <w:b w:val="0"/>
                <w:szCs w:val="18"/>
              </w:rPr>
              <w:t>N content of urea</w:t>
            </w:r>
          </w:p>
        </w:tc>
        <w:tc>
          <w:tcPr>
            <w:tcW w:w="0" w:type="auto"/>
          </w:tcPr>
          <w:p w14:paraId="6FDE82C0" w14:textId="77777777" w:rsidR="003A7B65" w:rsidRPr="00B275E2" w:rsidRDefault="003A7B65" w:rsidP="003A7B65">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46%</w:t>
            </w:r>
          </w:p>
        </w:tc>
        <w:tc>
          <w:tcPr>
            <w:tcW w:w="5154" w:type="dxa"/>
            <w:tcBorders>
              <w:right w:val="single" w:sz="4" w:space="0" w:color="FFFFFF" w:themeColor="background1"/>
            </w:tcBorders>
          </w:tcPr>
          <w:p w14:paraId="464AE700" w14:textId="77777777" w:rsidR="003A7B65" w:rsidRPr="00B275E2" w:rsidRDefault="003A7B65" w:rsidP="003A7B65">
            <w:pPr>
              <w:pStyle w:val="TableTex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Agriculture inventory model</w:t>
            </w:r>
          </w:p>
        </w:tc>
      </w:tr>
      <w:tr w:rsidR="003A7B65" w:rsidRPr="00B275E2" w14:paraId="50D6C0CA" w14:textId="77777777" w:rsidTr="00E462C5">
        <w:tc>
          <w:tcPr>
            <w:cnfStyle w:val="001000000000" w:firstRow="0" w:lastRow="0" w:firstColumn="1" w:lastColumn="0" w:oddVBand="0" w:evenVBand="0" w:oddHBand="0" w:evenHBand="0" w:firstRowFirstColumn="0" w:firstRowLastColumn="0" w:lastRowFirstColumn="0" w:lastRowLastColumn="0"/>
            <w:tcW w:w="2775" w:type="dxa"/>
            <w:tcBorders>
              <w:left w:val="single" w:sz="4" w:space="0" w:color="FFFFFF" w:themeColor="background1"/>
            </w:tcBorders>
          </w:tcPr>
          <w:p w14:paraId="2F28A99B" w14:textId="6A733B48" w:rsidR="003A7B65" w:rsidRPr="00B275E2" w:rsidRDefault="00B732CC" w:rsidP="003A7B65">
            <w:pPr>
              <w:pStyle w:val="TableText"/>
              <w:rPr>
                <w:rFonts w:cs="Calibri"/>
                <w:b w:val="0"/>
                <w:szCs w:val="18"/>
              </w:rPr>
            </w:pPr>
            <w:r w:rsidRPr="00B275E2">
              <w:rPr>
                <w:rFonts w:cs="Calibri"/>
                <w:b w:val="0"/>
                <w:szCs w:val="18"/>
              </w:rPr>
              <w:t xml:space="preserve">Molecular </w:t>
            </w:r>
            <w:r w:rsidR="003A7B65" w:rsidRPr="00B275E2">
              <w:rPr>
                <w:rFonts w:cs="Calibri"/>
                <w:b w:val="0"/>
                <w:szCs w:val="18"/>
              </w:rPr>
              <w:t>conversion CO</w:t>
            </w:r>
            <w:r w:rsidR="003A7B65" w:rsidRPr="00B275E2">
              <w:rPr>
                <w:rFonts w:cs="Calibri"/>
                <w:b w:val="0"/>
                <w:szCs w:val="18"/>
                <w:vertAlign w:val="subscript"/>
              </w:rPr>
              <w:t>2</w:t>
            </w:r>
          </w:p>
        </w:tc>
        <w:tc>
          <w:tcPr>
            <w:tcW w:w="0" w:type="auto"/>
          </w:tcPr>
          <w:p w14:paraId="45FF5BA0" w14:textId="77777777" w:rsidR="003A7B65" w:rsidRPr="00B275E2" w:rsidRDefault="003A7B65" w:rsidP="003A7B65">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3.667</w:t>
            </w:r>
          </w:p>
        </w:tc>
        <w:tc>
          <w:tcPr>
            <w:tcW w:w="5154" w:type="dxa"/>
            <w:tcBorders>
              <w:right w:val="single" w:sz="4" w:space="0" w:color="FFFFFF" w:themeColor="background1"/>
            </w:tcBorders>
          </w:tcPr>
          <w:p w14:paraId="706AEB6E" w14:textId="77777777" w:rsidR="003A7B65" w:rsidRPr="00B275E2" w:rsidRDefault="003A7B65" w:rsidP="003A7B65">
            <w:pPr>
              <w:pStyle w:val="TableText"/>
              <w:cnfStyle w:val="000000000000" w:firstRow="0" w:lastRow="0" w:firstColumn="0" w:lastColumn="0" w:oddVBand="0" w:evenVBand="0" w:oddHBand="0" w:evenHBand="0" w:firstRowFirstColumn="0" w:firstRowLastColumn="0" w:lastRowFirstColumn="0" w:lastRowLastColumn="0"/>
              <w:rPr>
                <w:rFonts w:cs="Calibri"/>
                <w:szCs w:val="18"/>
              </w:rPr>
            </w:pPr>
          </w:p>
        </w:tc>
      </w:tr>
      <w:tr w:rsidR="003A7B65" w:rsidRPr="00B275E2" w14:paraId="624F504D" w14:textId="77777777" w:rsidTr="00E46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5" w:type="dxa"/>
            <w:tcBorders>
              <w:left w:val="single" w:sz="4" w:space="0" w:color="FFFFFF" w:themeColor="background1"/>
            </w:tcBorders>
          </w:tcPr>
          <w:p w14:paraId="59AED987" w14:textId="61B63084" w:rsidR="003A7B65" w:rsidRPr="00B275E2" w:rsidRDefault="00B732CC" w:rsidP="003A7B65">
            <w:pPr>
              <w:pStyle w:val="TableText"/>
              <w:rPr>
                <w:rFonts w:cs="Calibri"/>
                <w:b w:val="0"/>
                <w:szCs w:val="18"/>
              </w:rPr>
            </w:pPr>
            <w:r w:rsidRPr="00B275E2">
              <w:rPr>
                <w:rFonts w:cs="Calibri"/>
                <w:b w:val="0"/>
                <w:szCs w:val="18"/>
              </w:rPr>
              <w:t xml:space="preserve">Molecular </w:t>
            </w:r>
            <w:r w:rsidR="003A7B65" w:rsidRPr="00B275E2">
              <w:rPr>
                <w:rFonts w:cs="Calibri"/>
                <w:b w:val="0"/>
                <w:szCs w:val="18"/>
              </w:rPr>
              <w:t>conversion N</w:t>
            </w:r>
            <w:r w:rsidR="003A7B65" w:rsidRPr="00B275E2">
              <w:rPr>
                <w:rFonts w:cs="Calibri"/>
                <w:b w:val="0"/>
                <w:szCs w:val="18"/>
                <w:vertAlign w:val="subscript"/>
              </w:rPr>
              <w:t>2</w:t>
            </w:r>
            <w:r w:rsidR="003A7B65" w:rsidRPr="00B275E2">
              <w:rPr>
                <w:rFonts w:cs="Calibri"/>
                <w:b w:val="0"/>
                <w:szCs w:val="18"/>
              </w:rPr>
              <w:t>O</w:t>
            </w:r>
          </w:p>
        </w:tc>
        <w:tc>
          <w:tcPr>
            <w:tcW w:w="0" w:type="auto"/>
          </w:tcPr>
          <w:p w14:paraId="23DBE936" w14:textId="77777777" w:rsidR="003A7B65" w:rsidRPr="00B275E2" w:rsidRDefault="003A7B65" w:rsidP="003A7B65">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275E2">
              <w:rPr>
                <w:rFonts w:cs="Calibri"/>
                <w:szCs w:val="18"/>
              </w:rPr>
              <w:t>1.571</w:t>
            </w:r>
          </w:p>
        </w:tc>
        <w:tc>
          <w:tcPr>
            <w:tcW w:w="5154" w:type="dxa"/>
            <w:tcBorders>
              <w:right w:val="single" w:sz="4" w:space="0" w:color="FFFFFF" w:themeColor="background1"/>
            </w:tcBorders>
          </w:tcPr>
          <w:p w14:paraId="468E75F0" w14:textId="77777777" w:rsidR="003A7B65" w:rsidRPr="00B275E2" w:rsidRDefault="003A7B65" w:rsidP="003A7B65">
            <w:pPr>
              <w:pStyle w:val="TableText"/>
              <w:cnfStyle w:val="000000100000" w:firstRow="0" w:lastRow="0" w:firstColumn="0" w:lastColumn="0" w:oddVBand="0" w:evenVBand="0" w:oddHBand="1" w:evenHBand="0" w:firstRowFirstColumn="0" w:firstRowLastColumn="0" w:lastRowFirstColumn="0" w:lastRowLastColumn="0"/>
              <w:rPr>
                <w:rFonts w:cs="Calibri"/>
                <w:szCs w:val="18"/>
              </w:rPr>
            </w:pPr>
          </w:p>
        </w:tc>
      </w:tr>
      <w:tr w:rsidR="003A7B65" w:rsidRPr="00B275E2" w14:paraId="2103BDEE" w14:textId="77777777" w:rsidTr="00E462C5">
        <w:tc>
          <w:tcPr>
            <w:cnfStyle w:val="001000000000" w:firstRow="0" w:lastRow="0" w:firstColumn="1" w:lastColumn="0" w:oddVBand="0" w:evenVBand="0" w:oddHBand="0" w:evenHBand="0" w:firstRowFirstColumn="0" w:firstRowLastColumn="0" w:lastRowFirstColumn="0" w:lastRowLastColumn="0"/>
            <w:tcW w:w="2775" w:type="dxa"/>
            <w:tcBorders>
              <w:left w:val="single" w:sz="4" w:space="0" w:color="FFFFFF" w:themeColor="background1"/>
            </w:tcBorders>
          </w:tcPr>
          <w:p w14:paraId="17C88B31" w14:textId="77777777" w:rsidR="003A7B65" w:rsidRPr="00B275E2" w:rsidRDefault="003A7B65" w:rsidP="003A7B65">
            <w:pPr>
              <w:pStyle w:val="TableText"/>
              <w:rPr>
                <w:rFonts w:cs="Calibri"/>
                <w:b w:val="0"/>
                <w:szCs w:val="18"/>
              </w:rPr>
            </w:pPr>
            <w:r w:rsidRPr="00B275E2">
              <w:rPr>
                <w:rFonts w:cs="Calibri"/>
                <w:b w:val="0"/>
                <w:szCs w:val="18"/>
              </w:rPr>
              <w:t>GWP100 N</w:t>
            </w:r>
            <w:r w:rsidRPr="00B275E2">
              <w:rPr>
                <w:rFonts w:cs="Calibri"/>
                <w:b w:val="0"/>
                <w:szCs w:val="18"/>
                <w:vertAlign w:val="subscript"/>
              </w:rPr>
              <w:t>2</w:t>
            </w:r>
            <w:r w:rsidRPr="00B275E2">
              <w:rPr>
                <w:rFonts w:cs="Calibri"/>
                <w:b w:val="0"/>
                <w:szCs w:val="18"/>
              </w:rPr>
              <w:t>O</w:t>
            </w:r>
          </w:p>
        </w:tc>
        <w:tc>
          <w:tcPr>
            <w:tcW w:w="0" w:type="auto"/>
          </w:tcPr>
          <w:p w14:paraId="03909BE4" w14:textId="77777777" w:rsidR="003A7B65" w:rsidRPr="00B275E2" w:rsidRDefault="003A7B65" w:rsidP="003A7B65">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298</w:t>
            </w:r>
          </w:p>
        </w:tc>
        <w:tc>
          <w:tcPr>
            <w:tcW w:w="5154" w:type="dxa"/>
            <w:tcBorders>
              <w:right w:val="single" w:sz="4" w:space="0" w:color="FFFFFF" w:themeColor="background1"/>
            </w:tcBorders>
          </w:tcPr>
          <w:p w14:paraId="5DB91912" w14:textId="10A9E52E" w:rsidR="003A7B65" w:rsidRPr="00B275E2" w:rsidRDefault="003A7B65" w:rsidP="003A7B65">
            <w:pPr>
              <w:pStyle w:val="TableText"/>
              <w:cnfStyle w:val="000000000000" w:firstRow="0" w:lastRow="0" w:firstColumn="0" w:lastColumn="0" w:oddVBand="0" w:evenVBand="0" w:oddHBand="0" w:evenHBand="0" w:firstRowFirstColumn="0" w:firstRowLastColumn="0" w:lastRowFirstColumn="0" w:lastRowLastColumn="0"/>
              <w:rPr>
                <w:rFonts w:cs="Calibri"/>
                <w:szCs w:val="18"/>
              </w:rPr>
            </w:pPr>
            <w:r w:rsidRPr="00B275E2">
              <w:rPr>
                <w:rFonts w:cs="Calibri"/>
                <w:szCs w:val="18"/>
              </w:rPr>
              <w:t>IPCC AR</w:t>
            </w:r>
            <w:r w:rsidR="00303FD0" w:rsidRPr="00B275E2">
              <w:rPr>
                <w:rFonts w:cs="Calibri"/>
                <w:szCs w:val="18"/>
              </w:rPr>
              <w:t>4</w:t>
            </w:r>
            <w:r w:rsidRPr="00B275E2">
              <w:rPr>
                <w:rFonts w:cs="Calibri"/>
                <w:szCs w:val="18"/>
              </w:rPr>
              <w:t xml:space="preserve"> </w:t>
            </w:r>
          </w:p>
        </w:tc>
      </w:tr>
    </w:tbl>
    <w:p w14:paraId="279A06A4" w14:textId="24B7CB19" w:rsidR="003A7B65" w:rsidRPr="00B275E2" w:rsidRDefault="003A7B65" w:rsidP="00471210">
      <w:pPr>
        <w:pStyle w:val="BodyText"/>
        <w:spacing w:before="240"/>
        <w:rPr>
          <w:spacing w:val="2"/>
        </w:rPr>
      </w:pPr>
      <w:r w:rsidRPr="00B275E2">
        <w:rPr>
          <w:spacing w:val="2"/>
        </w:rPr>
        <w:t xml:space="preserve">The </w:t>
      </w:r>
      <w:hyperlink r:id="rId134" w:history="1">
        <w:r w:rsidR="000C33DB" w:rsidRPr="00B275E2">
          <w:rPr>
            <w:rStyle w:val="Hyperlink"/>
            <w:i/>
            <w:iCs/>
          </w:rPr>
          <w:t>New Zealand Greenhouse Gas Inventory 1990</w:t>
        </w:r>
        <w:r w:rsidR="00471210" w:rsidRPr="00B275E2">
          <w:rPr>
            <w:rStyle w:val="Hyperlink"/>
            <w:i/>
            <w:iCs/>
          </w:rPr>
          <w:t>–</w:t>
        </w:r>
        <w:r w:rsidR="000C33DB" w:rsidRPr="00B275E2">
          <w:rPr>
            <w:rStyle w:val="Hyperlink"/>
            <w:i/>
            <w:iCs/>
          </w:rPr>
          <w:t>2020</w:t>
        </w:r>
      </w:hyperlink>
      <w:r w:rsidR="000C33DB" w:rsidRPr="00B275E2">
        <w:t xml:space="preserve"> </w:t>
      </w:r>
      <w:r w:rsidRPr="00B275E2">
        <w:rPr>
          <w:spacing w:val="2"/>
        </w:rPr>
        <w:t>uses the IPCC (2006) Tier 1 methodology whe</w:t>
      </w:r>
      <w:r w:rsidR="00614A8E" w:rsidRPr="00B275E2">
        <w:rPr>
          <w:spacing w:val="2"/>
        </w:rPr>
        <w:t>n</w:t>
      </w:r>
      <w:r w:rsidRPr="00B275E2">
        <w:rPr>
          <w:spacing w:val="2"/>
        </w:rPr>
        <w:t xml:space="preserve"> default emission factors are used, which assume conservatively that</w:t>
      </w:r>
      <w:r w:rsidR="00B338B9">
        <w:rPr>
          <w:spacing w:val="2"/>
        </w:rPr>
        <w:t> </w:t>
      </w:r>
      <w:r w:rsidRPr="00B275E2">
        <w:rPr>
          <w:spacing w:val="2"/>
        </w:rPr>
        <w:t>all</w:t>
      </w:r>
      <w:r w:rsidR="00B338B9">
        <w:rPr>
          <w:spacing w:val="2"/>
        </w:rPr>
        <w:t> </w:t>
      </w:r>
      <w:r w:rsidRPr="00B275E2">
        <w:rPr>
          <w:spacing w:val="2"/>
        </w:rPr>
        <w:t xml:space="preserve">carbon in the fertilisers </w:t>
      </w:r>
      <w:r w:rsidR="00295ECF" w:rsidRPr="00B275E2">
        <w:rPr>
          <w:spacing w:val="2"/>
        </w:rPr>
        <w:t xml:space="preserve">is </w:t>
      </w:r>
      <w:r w:rsidRPr="00B275E2">
        <w:rPr>
          <w:spacing w:val="2"/>
        </w:rPr>
        <w:t xml:space="preserve">emitted as </w:t>
      </w:r>
      <w:r w:rsidR="00303AA0" w:rsidRPr="00B275E2">
        <w:rPr>
          <w:spacing w:val="2"/>
        </w:rPr>
        <w:t>carbon dioxide</w:t>
      </w:r>
      <w:r w:rsidRPr="00B275E2">
        <w:rPr>
          <w:spacing w:val="2"/>
        </w:rPr>
        <w:t xml:space="preserve"> into the atmosphere. </w:t>
      </w:r>
    </w:p>
    <w:p w14:paraId="65093123" w14:textId="36F274B8" w:rsidR="00BC3D9E" w:rsidRPr="00B275E2" w:rsidRDefault="003A7B65" w:rsidP="007F19F9">
      <w:pPr>
        <w:pStyle w:val="BodyText"/>
      </w:pPr>
      <w:r w:rsidRPr="00B275E2">
        <w:t xml:space="preserve">There is no country-specific methodology on </w:t>
      </w:r>
      <w:r w:rsidR="00303AA0" w:rsidRPr="00B275E2">
        <w:t>carbon dioxide</w:t>
      </w:r>
      <w:r w:rsidRPr="00B275E2">
        <w:t xml:space="preserve"> emissions from </w:t>
      </w:r>
      <w:r w:rsidR="00322289" w:rsidRPr="00B275E2">
        <w:t xml:space="preserve">urea </w:t>
      </w:r>
      <w:r w:rsidRPr="00B275E2">
        <w:t>application for New Zealand. Emissions associated with the application of urea are estimated using a Tier</w:t>
      </w:r>
      <w:r w:rsidR="00B338B9">
        <w:t> </w:t>
      </w:r>
      <w:r w:rsidRPr="00B275E2">
        <w:t>1</w:t>
      </w:r>
      <w:r w:rsidR="00B338B9">
        <w:t> </w:t>
      </w:r>
      <w:r w:rsidRPr="00B275E2">
        <w:t>methodology (equation 11.13; IPCC, 2006), using the default emission factor for carbon conversion of 0.20.</w:t>
      </w:r>
    </w:p>
    <w:p w14:paraId="56381678" w14:textId="77777777" w:rsidR="00471210" w:rsidRPr="00B275E2" w:rsidRDefault="00471210" w:rsidP="00471210">
      <w:pPr>
        <w:pStyle w:val="BodyText"/>
      </w:pPr>
      <w:bookmarkStart w:id="653" w:name="_Agricultural_soils"/>
      <w:bookmarkStart w:id="654" w:name="_Appendix_A:_Derivation"/>
      <w:bookmarkStart w:id="655" w:name="_Appendix_A:_Derivation_1"/>
      <w:bookmarkStart w:id="656" w:name="_Ref532556239"/>
      <w:bookmarkStart w:id="657" w:name="_Ref532556440"/>
      <w:bookmarkStart w:id="658" w:name="_Ref532558515"/>
      <w:bookmarkStart w:id="659" w:name="_Toc532904974"/>
      <w:bookmarkStart w:id="660" w:name="_Toc600605"/>
      <w:bookmarkEnd w:id="653"/>
      <w:bookmarkEnd w:id="654"/>
      <w:bookmarkEnd w:id="655"/>
      <w:r w:rsidRPr="00B275E2">
        <w:br w:type="page"/>
      </w:r>
    </w:p>
    <w:p w14:paraId="65093278" w14:textId="24045B87" w:rsidR="005E0080" w:rsidRPr="00B275E2" w:rsidRDefault="005E0080" w:rsidP="00C04D18">
      <w:pPr>
        <w:pStyle w:val="Heading1"/>
      </w:pPr>
      <w:bookmarkStart w:id="661" w:name="_Toc111536818"/>
      <w:r w:rsidRPr="00B275E2">
        <w:lastRenderedPageBreak/>
        <w:t>Appendix A</w:t>
      </w:r>
      <w:r w:rsidR="00487827" w:rsidRPr="00B275E2">
        <w:t>: Derivation of fuel emission</w:t>
      </w:r>
      <w:r w:rsidR="006E67E3" w:rsidRPr="00B275E2">
        <w:t> </w:t>
      </w:r>
      <w:r w:rsidR="00487827" w:rsidRPr="00B275E2">
        <w:t>factors</w:t>
      </w:r>
      <w:bookmarkEnd w:id="656"/>
      <w:bookmarkEnd w:id="657"/>
      <w:bookmarkEnd w:id="658"/>
      <w:bookmarkEnd w:id="659"/>
      <w:bookmarkEnd w:id="660"/>
      <w:bookmarkEnd w:id="661"/>
    </w:p>
    <w:p w14:paraId="6B5E1623" w14:textId="0A6F7B6F" w:rsidR="00487827" w:rsidRPr="00B275E2" w:rsidRDefault="00487827" w:rsidP="001E4F7B">
      <w:pPr>
        <w:pStyle w:val="Appendixheading2"/>
        <w:spacing w:before="240"/>
      </w:pPr>
      <w:bookmarkStart w:id="662" w:name="_Toc532904975"/>
      <w:bookmarkStart w:id="663" w:name="_Toc600606"/>
      <w:r w:rsidRPr="00B275E2">
        <w:t>The importance of calorific value</w:t>
      </w:r>
      <w:bookmarkEnd w:id="662"/>
      <w:bookmarkEnd w:id="663"/>
    </w:p>
    <w:p w14:paraId="138432BB" w14:textId="2FDDE347" w:rsidR="00487827" w:rsidRPr="00B275E2" w:rsidRDefault="00487827" w:rsidP="00A3644F">
      <w:pPr>
        <w:pStyle w:val="BodyText"/>
        <w:spacing w:before="100" w:after="100"/>
      </w:pPr>
      <w:bookmarkStart w:id="664" w:name="_Hlk532200380"/>
      <w:r w:rsidRPr="00B275E2">
        <w:t>The energy content of fuels may vary within and between fuel types.</w:t>
      </w:r>
      <w:r w:rsidRPr="00B275E2" w:rsidDel="00B75152">
        <w:t xml:space="preserve"> </w:t>
      </w:r>
      <w:r w:rsidRPr="00B275E2">
        <w:t>Emission factors are therefore commonly expressed in terms of energy units (eg, tonnes CO</w:t>
      </w:r>
      <w:r w:rsidRPr="00B275E2">
        <w:rPr>
          <w:vertAlign w:val="subscript"/>
        </w:rPr>
        <w:t>2</w:t>
      </w:r>
      <w:r w:rsidR="007217C0" w:rsidRPr="00B275E2">
        <w:t>-e</w:t>
      </w:r>
      <w:r w:rsidRPr="00B275E2">
        <w:t>/TJ) rather than mass or volume. This generally provides more accurate emissions estimates. Converting to emission factors expressed in terms of mass or volume (eg, kg CO</w:t>
      </w:r>
      <w:r w:rsidRPr="00B275E2">
        <w:rPr>
          <w:vertAlign w:val="subscript"/>
        </w:rPr>
        <w:t>2</w:t>
      </w:r>
      <w:r w:rsidRPr="00B275E2">
        <w:t>-e/litre) requires an assumption around which default calorific value should be used.</w:t>
      </w:r>
    </w:p>
    <w:p w14:paraId="519AE6B5" w14:textId="072273C1" w:rsidR="00487827" w:rsidRPr="00B275E2" w:rsidRDefault="00487827" w:rsidP="00A3644F">
      <w:pPr>
        <w:pStyle w:val="BodyText"/>
        <w:spacing w:before="100" w:after="100"/>
      </w:pPr>
      <w:r w:rsidRPr="00B275E2">
        <w:t>It is therefore useful to show how</w:t>
      </w:r>
      <w:r w:rsidR="00AB3F6F" w:rsidRPr="00B275E2">
        <w:t xml:space="preserve"> we derived</w:t>
      </w:r>
      <w:r w:rsidRPr="00B275E2">
        <w:t xml:space="preserve"> the per-activity unit (eg, kg CO</w:t>
      </w:r>
      <w:r w:rsidRPr="00B275E2">
        <w:rPr>
          <w:vertAlign w:val="subscript"/>
        </w:rPr>
        <w:t>2</w:t>
      </w:r>
      <w:r w:rsidRPr="00B275E2">
        <w:t xml:space="preserve">-e/litre) emission factors, and which calorific values </w:t>
      </w:r>
      <w:r w:rsidR="00AB3F6F" w:rsidRPr="00B275E2">
        <w:t>we</w:t>
      </w:r>
      <w:r w:rsidRPr="00B275E2">
        <w:t xml:space="preserve"> used. It is important to note that if you </w:t>
      </w:r>
      <w:r w:rsidR="007939D1" w:rsidRPr="00B275E2">
        <w:t>can</w:t>
      </w:r>
      <w:r w:rsidRPr="00B275E2">
        <w:t xml:space="preserve"> obtain fuel use information in energy units, or know the specific calorific value of the fuel you are using, you can calculate your emissions more accurately. </w:t>
      </w:r>
    </w:p>
    <w:p w14:paraId="3E917F20" w14:textId="7729AF26" w:rsidR="00487827" w:rsidRPr="00B275E2" w:rsidRDefault="00487827" w:rsidP="00A3644F">
      <w:pPr>
        <w:pStyle w:val="BodyText"/>
        <w:spacing w:before="100" w:after="100"/>
      </w:pPr>
      <w:r w:rsidRPr="00B275E2">
        <w:t xml:space="preserve">Note that </w:t>
      </w:r>
      <w:r w:rsidR="00AB3F6F" w:rsidRPr="00B275E2">
        <w:t xml:space="preserve">we have used </w:t>
      </w:r>
      <w:r w:rsidRPr="00B275E2">
        <w:t>gross calorific values.</w:t>
      </w:r>
      <w:bookmarkEnd w:id="664"/>
    </w:p>
    <w:p w14:paraId="085C9A7D" w14:textId="5F6DDBFE" w:rsidR="00487827" w:rsidRPr="00B275E2" w:rsidRDefault="00303AA0" w:rsidP="003B02D6">
      <w:pPr>
        <w:pStyle w:val="Appendixheading2"/>
      </w:pPr>
      <w:bookmarkStart w:id="665" w:name="_Toc532904976"/>
      <w:bookmarkStart w:id="666" w:name="_Toc600607"/>
      <w:r w:rsidRPr="00B275E2">
        <w:t>Methane</w:t>
      </w:r>
      <w:r w:rsidR="00487827" w:rsidRPr="00B275E2">
        <w:t xml:space="preserve"> and </w:t>
      </w:r>
      <w:r w:rsidRPr="00B275E2">
        <w:t>nitrous oxide</w:t>
      </w:r>
      <w:r w:rsidR="00487827" w:rsidRPr="00B275E2">
        <w:t xml:space="preserve"> emission factors</w:t>
      </w:r>
      <w:r w:rsidR="00B338B9">
        <w:t> </w:t>
      </w:r>
      <w:r w:rsidR="00487827" w:rsidRPr="00B275E2">
        <w:t>used</w:t>
      </w:r>
      <w:r w:rsidR="00F737F5" w:rsidRPr="00B275E2">
        <w:t> </w:t>
      </w:r>
      <w:r w:rsidR="00487827" w:rsidRPr="00B275E2">
        <w:t>in</w:t>
      </w:r>
      <w:r w:rsidR="00F737F5" w:rsidRPr="00B275E2">
        <w:t> </w:t>
      </w:r>
      <w:r w:rsidR="00487827" w:rsidRPr="00B275E2">
        <w:t>this</w:t>
      </w:r>
      <w:r w:rsidR="00797763" w:rsidRPr="00B275E2">
        <w:t> </w:t>
      </w:r>
      <w:r w:rsidR="00487827" w:rsidRPr="00B275E2">
        <w:t>guide</w:t>
      </w:r>
      <w:bookmarkEnd w:id="665"/>
      <w:bookmarkEnd w:id="666"/>
    </w:p>
    <w:p w14:paraId="639F6C46" w14:textId="2BA5DC2B" w:rsidR="00487827" w:rsidRPr="00B275E2" w:rsidRDefault="00487827" w:rsidP="00A3644F">
      <w:pPr>
        <w:pStyle w:val="BodyText"/>
        <w:spacing w:before="100" w:after="100"/>
      </w:pPr>
      <w:bookmarkStart w:id="667" w:name="_Hlk532200428"/>
      <w:r w:rsidRPr="00B275E2">
        <w:t xml:space="preserve">Although </w:t>
      </w:r>
      <w:r w:rsidR="00303AA0" w:rsidRPr="00B275E2">
        <w:t>carbon dioxide</w:t>
      </w:r>
      <w:r w:rsidRPr="00B275E2">
        <w:t xml:space="preserve"> emissions remain constant regardless of how a fuel is combusted, </w:t>
      </w:r>
      <w:r w:rsidR="00303AA0" w:rsidRPr="00B275E2">
        <w:t>methane</w:t>
      </w:r>
      <w:r w:rsidRPr="00B275E2">
        <w:t xml:space="preserve"> and </w:t>
      </w:r>
      <w:r w:rsidR="00303AA0" w:rsidRPr="00B275E2">
        <w:t>nitrous oxide</w:t>
      </w:r>
      <w:r w:rsidRPr="00B275E2">
        <w:t xml:space="preserve"> emissions depend on the precise nature of the activity in which the fuel is being combusted. The emission factors for </w:t>
      </w:r>
      <w:r w:rsidR="00303AA0" w:rsidRPr="00B275E2">
        <w:t>methane</w:t>
      </w:r>
      <w:r w:rsidRPr="00B275E2">
        <w:t xml:space="preserve"> and </w:t>
      </w:r>
      <w:r w:rsidR="00303AA0" w:rsidRPr="00B275E2">
        <w:t>nitrous oxide</w:t>
      </w:r>
      <w:r w:rsidRPr="00B275E2">
        <w:t xml:space="preserve"> therefore vary depending on the combustion process.</w:t>
      </w:r>
      <w:r w:rsidR="00104D5C" w:rsidRPr="00B275E2">
        <w:t xml:space="preserve"> </w:t>
      </w:r>
      <w:r w:rsidR="00D1180C" w:rsidRPr="00B275E2">
        <w:t>Table A1</w:t>
      </w:r>
      <w:r w:rsidR="003E1E1E" w:rsidRPr="00B275E2">
        <w:t xml:space="preserve"> </w:t>
      </w:r>
      <w:r w:rsidRPr="00B275E2">
        <w:t xml:space="preserve">shows the default </w:t>
      </w:r>
      <w:r w:rsidR="00303AA0" w:rsidRPr="00B275E2">
        <w:t>methane</w:t>
      </w:r>
      <w:r w:rsidRPr="00B275E2">
        <w:t xml:space="preserve"> and </w:t>
      </w:r>
      <w:r w:rsidR="00303AA0" w:rsidRPr="00B275E2">
        <w:t>nitrous oxide</w:t>
      </w:r>
      <w:r w:rsidRPr="00B275E2">
        <w:t xml:space="preserve"> emission factors (expressed in energy units) used in this guide. </w:t>
      </w:r>
      <w:bookmarkStart w:id="668" w:name="_Hlk534892180"/>
      <w:r w:rsidRPr="00B275E2">
        <w:t>The calculation</w:t>
      </w:r>
      <w:r w:rsidR="00D9313E" w:rsidRPr="00B275E2">
        <w:t xml:space="preserve"> in </w:t>
      </w:r>
      <w:r w:rsidR="00D9313E" w:rsidRPr="00B275E2">
        <w:rPr>
          <w:color w:val="32809C" w:themeColor="accent2"/>
        </w:rPr>
        <w:t xml:space="preserve">section </w:t>
      </w:r>
      <w:r w:rsidR="00D9313E" w:rsidRPr="00B275E2">
        <w:rPr>
          <w:color w:val="32809C" w:themeColor="accent2"/>
        </w:rPr>
        <w:fldChar w:fldCharType="begin"/>
      </w:r>
      <w:r w:rsidR="00D9313E" w:rsidRPr="00B275E2">
        <w:rPr>
          <w:color w:val="32809C" w:themeColor="accent2"/>
        </w:rPr>
        <w:instrText xml:space="preserve"> REF _Ref534892130 \r \h </w:instrText>
      </w:r>
      <w:r w:rsidR="0019789C" w:rsidRPr="00B275E2">
        <w:rPr>
          <w:color w:val="32809C" w:themeColor="accent2"/>
        </w:rPr>
        <w:instrText xml:space="preserve"> \* MERGEFORMAT </w:instrText>
      </w:r>
      <w:r w:rsidR="00D9313E" w:rsidRPr="00B275E2">
        <w:rPr>
          <w:color w:val="32809C" w:themeColor="accent2"/>
        </w:rPr>
      </w:r>
      <w:r w:rsidR="00D9313E" w:rsidRPr="00B275E2">
        <w:rPr>
          <w:color w:val="32809C" w:themeColor="accent2"/>
        </w:rPr>
        <w:fldChar w:fldCharType="separate"/>
      </w:r>
      <w:r w:rsidR="003E141C" w:rsidRPr="00B275E2">
        <w:rPr>
          <w:color w:val="32809C" w:themeColor="accent2"/>
        </w:rPr>
        <w:t>3.2.2</w:t>
      </w:r>
      <w:r w:rsidR="00D9313E" w:rsidRPr="00B275E2">
        <w:rPr>
          <w:color w:val="32809C" w:themeColor="accent2"/>
        </w:rPr>
        <w:fldChar w:fldCharType="end"/>
      </w:r>
      <w:r w:rsidRPr="00B275E2" w:rsidDel="00D9313E">
        <w:t xml:space="preserve"> </w:t>
      </w:r>
      <w:r w:rsidRPr="00B275E2">
        <w:t>show</w:t>
      </w:r>
      <w:r w:rsidR="00D9313E" w:rsidRPr="00B275E2">
        <w:t>s</w:t>
      </w:r>
      <w:r w:rsidRPr="00B275E2">
        <w:t xml:space="preserve"> how </w:t>
      </w:r>
      <w:r w:rsidR="00AB3F6F" w:rsidRPr="00B275E2">
        <w:t xml:space="preserve">we converted </w:t>
      </w:r>
      <w:r w:rsidRPr="00B275E2">
        <w:t xml:space="preserve">these to </w:t>
      </w:r>
      <w:r w:rsidR="009019DE" w:rsidRPr="00B275E2">
        <w:t xml:space="preserve">a </w:t>
      </w:r>
      <w:r w:rsidRPr="00B275E2">
        <w:t>per activity unit (eg, kg CO</w:t>
      </w:r>
      <w:r w:rsidRPr="00B275E2">
        <w:rPr>
          <w:vertAlign w:val="subscript"/>
        </w:rPr>
        <w:t>2</w:t>
      </w:r>
      <w:r w:rsidRPr="00B275E2">
        <w:t xml:space="preserve">-e/kg) emission factors. </w:t>
      </w:r>
      <w:r w:rsidR="00AB3F6F" w:rsidRPr="00B275E2">
        <w:t>MBIE provided all</w:t>
      </w:r>
      <w:r w:rsidRPr="00B275E2">
        <w:t xml:space="preserve"> emission factors in</w:t>
      </w:r>
      <w:r w:rsidR="003E1E1E" w:rsidRPr="00B275E2">
        <w:t xml:space="preserve"> </w:t>
      </w:r>
      <w:hyperlink w:anchor="table3" w:history="1">
        <w:r w:rsidR="00CA3D2B" w:rsidRPr="00B275E2">
          <w:rPr>
            <w:rStyle w:val="Hyperlink"/>
          </w:rPr>
          <w:t>table 3</w:t>
        </w:r>
      </w:hyperlink>
      <w:r w:rsidRPr="00B275E2">
        <w:t>.</w:t>
      </w:r>
    </w:p>
    <w:bookmarkEnd w:id="668"/>
    <w:p w14:paraId="7609A27A" w14:textId="755BA596" w:rsidR="00487827" w:rsidRPr="00B275E2" w:rsidRDefault="00487827" w:rsidP="00A3644F">
      <w:pPr>
        <w:pStyle w:val="BodyText"/>
        <w:spacing w:before="100" w:after="100"/>
      </w:pPr>
      <w:r w:rsidRPr="00B275E2">
        <w:t xml:space="preserve">Note that </w:t>
      </w:r>
      <w:r w:rsidR="00AB3F6F" w:rsidRPr="00B275E2">
        <w:t xml:space="preserve">we have used </w:t>
      </w:r>
      <w:r w:rsidRPr="00B275E2">
        <w:t>gross emission factors</w:t>
      </w:r>
      <w:bookmarkEnd w:id="667"/>
      <w:r w:rsidRPr="00B275E2">
        <w:t>.</w:t>
      </w:r>
    </w:p>
    <w:p w14:paraId="6AAB157C" w14:textId="77777777" w:rsidR="00487827" w:rsidRPr="00B275E2" w:rsidRDefault="00487827" w:rsidP="003B02D6">
      <w:pPr>
        <w:pStyle w:val="Appendixheading2"/>
      </w:pPr>
      <w:bookmarkStart w:id="669" w:name="_Toc532904977"/>
      <w:bookmarkStart w:id="670" w:name="_Toc600608"/>
      <w:r w:rsidRPr="00B275E2">
        <w:t>Oxidation factors used in this guide</w:t>
      </w:r>
      <w:bookmarkEnd w:id="669"/>
      <w:bookmarkEnd w:id="670"/>
    </w:p>
    <w:p w14:paraId="65093279" w14:textId="6491BE99" w:rsidR="005E0080" w:rsidRPr="00B275E2" w:rsidRDefault="00AB3F6F" w:rsidP="00A3644F">
      <w:pPr>
        <w:pStyle w:val="BodyText"/>
        <w:spacing w:before="100" w:after="100"/>
      </w:pPr>
      <w:bookmarkStart w:id="671" w:name="_Hlk532200452"/>
      <w:r w:rsidRPr="00B275E2">
        <w:t>We sourced a</w:t>
      </w:r>
      <w:r w:rsidR="00487827" w:rsidRPr="00B275E2">
        <w:t xml:space="preserve">ll oxidation factors from the </w:t>
      </w:r>
      <w:r w:rsidR="009305CB" w:rsidRPr="00B275E2">
        <w:rPr>
          <w:i/>
        </w:rPr>
        <w:t>2006</w:t>
      </w:r>
      <w:r w:rsidR="009305CB" w:rsidRPr="00B275E2">
        <w:t xml:space="preserve"> </w:t>
      </w:r>
      <w:r w:rsidR="00487827" w:rsidRPr="00B275E2">
        <w:rPr>
          <w:i/>
        </w:rPr>
        <w:t>IPCC Guidelines for National Greenhouse Gas Inventories</w:t>
      </w:r>
      <w:r w:rsidR="00487827" w:rsidRPr="00B275E2">
        <w:t xml:space="preserve">. Oxidation factors have only been applied to the </w:t>
      </w:r>
      <w:r w:rsidR="00303AA0" w:rsidRPr="00B275E2">
        <w:t>carbon dioxide</w:t>
      </w:r>
      <w:r w:rsidR="00487827" w:rsidRPr="00B275E2">
        <w:t xml:space="preserve"> emission factors</w:t>
      </w:r>
      <w:r w:rsidR="00B95088" w:rsidRPr="00B275E2">
        <w:t xml:space="preserve"> </w:t>
      </w:r>
      <w:r w:rsidR="00487827" w:rsidRPr="00B275E2">
        <w:t xml:space="preserve">and have not been applied to the </w:t>
      </w:r>
      <w:r w:rsidR="00303AA0" w:rsidRPr="00B275E2">
        <w:t>methane</w:t>
      </w:r>
      <w:r w:rsidR="00487827" w:rsidRPr="00B275E2">
        <w:t xml:space="preserve"> and </w:t>
      </w:r>
      <w:r w:rsidR="00303AA0" w:rsidRPr="00B275E2">
        <w:t>nitrous oxide</w:t>
      </w:r>
      <w:r w:rsidR="00487827" w:rsidRPr="00B275E2">
        <w:t xml:space="preserve"> emission factors. </w:t>
      </w:r>
      <w:bookmarkEnd w:id="671"/>
    </w:p>
    <w:p w14:paraId="4B40E33F" w14:textId="6D14C828" w:rsidR="007E190E" w:rsidRPr="00B275E2" w:rsidRDefault="007E190E" w:rsidP="003B02D6">
      <w:pPr>
        <w:pStyle w:val="Appendixheading2"/>
      </w:pPr>
      <w:bookmarkStart w:id="672" w:name="_Toc532904978"/>
      <w:bookmarkStart w:id="673" w:name="_Toc600609"/>
      <w:r w:rsidRPr="00B275E2">
        <w:t>Reference data</w:t>
      </w:r>
      <w:bookmarkEnd w:id="672"/>
      <w:bookmarkEnd w:id="673"/>
      <w:r w:rsidRPr="00B275E2">
        <w:t xml:space="preserve"> </w:t>
      </w:r>
    </w:p>
    <w:p w14:paraId="135AB6F0" w14:textId="408A9925" w:rsidR="007E190E" w:rsidRPr="00B275E2" w:rsidRDefault="007E190E" w:rsidP="00B956BF">
      <w:pPr>
        <w:pStyle w:val="Tableheading"/>
      </w:pPr>
      <w:bookmarkStart w:id="674" w:name="_Ref532484290"/>
      <w:bookmarkStart w:id="675" w:name="_Ref617327"/>
      <w:bookmarkStart w:id="676" w:name="_Toc57109026"/>
      <w:bookmarkStart w:id="677" w:name="_Toc111536709"/>
      <w:r w:rsidRPr="00B275E2">
        <w:t>Table</w:t>
      </w:r>
      <w:bookmarkEnd w:id="674"/>
      <w:r w:rsidR="003A1E7C" w:rsidRPr="00B275E2">
        <w:t xml:space="preserve"> A</w:t>
      </w:r>
      <w:r w:rsidRPr="00B275E2">
        <w:fldChar w:fldCharType="begin"/>
      </w:r>
      <w:r w:rsidRPr="00B275E2">
        <w:instrText>SEQ Table_A. \* ARABIC</w:instrText>
      </w:r>
      <w:r w:rsidRPr="00B275E2">
        <w:fldChar w:fldCharType="separate"/>
      </w:r>
      <w:r w:rsidR="003E141C" w:rsidRPr="00B275E2">
        <w:t>1</w:t>
      </w:r>
      <w:r w:rsidRPr="00B275E2">
        <w:fldChar w:fldCharType="end"/>
      </w:r>
      <w:bookmarkEnd w:id="675"/>
      <w:r w:rsidRPr="00B275E2">
        <w:t>:</w:t>
      </w:r>
      <w:r w:rsidRPr="00B275E2">
        <w:tab/>
        <w:t>Underlying data used to calculate fuel emission factors</w:t>
      </w:r>
      <w:bookmarkEnd w:id="676"/>
      <w:bookmarkEnd w:id="677"/>
    </w:p>
    <w:tbl>
      <w:tblPr>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ook w:val="04A0" w:firstRow="1" w:lastRow="0" w:firstColumn="1" w:lastColumn="0" w:noHBand="0" w:noVBand="1"/>
      </w:tblPr>
      <w:tblGrid>
        <w:gridCol w:w="2239"/>
        <w:gridCol w:w="1119"/>
        <w:gridCol w:w="699"/>
        <w:gridCol w:w="1398"/>
        <w:gridCol w:w="980"/>
        <w:gridCol w:w="980"/>
        <w:gridCol w:w="1090"/>
      </w:tblGrid>
      <w:tr w:rsidR="00A3644F" w:rsidRPr="00B275E2" w14:paraId="61505809" w14:textId="77777777" w:rsidTr="001E4F7B">
        <w:trPr>
          <w:tblHeader/>
        </w:trPr>
        <w:tc>
          <w:tcPr>
            <w:tcW w:w="1316" w:type="pct"/>
            <w:shd w:val="clear" w:color="auto" w:fill="1B556B" w:themeFill="text2"/>
            <w:vAlign w:val="bottom"/>
            <w:hideMark/>
          </w:tcPr>
          <w:p w14:paraId="1A28E0DE" w14:textId="7D12B0CF" w:rsidR="007E190E" w:rsidRPr="00B275E2" w:rsidRDefault="007E190E" w:rsidP="00A3644F">
            <w:pPr>
              <w:pStyle w:val="TableText"/>
              <w:keepNext/>
              <w:spacing w:before="40" w:after="40"/>
              <w:rPr>
                <w:rFonts w:eastAsia="Times New Roman" w:cs="Calibri"/>
                <w:b/>
                <w:color w:val="FFFFFF" w:themeColor="background1"/>
                <w:szCs w:val="18"/>
              </w:rPr>
            </w:pPr>
            <w:r w:rsidRPr="00B275E2">
              <w:rPr>
                <w:rFonts w:eastAsia="Times New Roman" w:cs="Calibri"/>
                <w:b/>
                <w:color w:val="FFFFFF" w:themeColor="background1"/>
                <w:szCs w:val="18"/>
              </w:rPr>
              <w:t xml:space="preserve">Emission </w:t>
            </w:r>
            <w:r w:rsidR="0019789C" w:rsidRPr="00B275E2">
              <w:rPr>
                <w:rFonts w:eastAsia="Times New Roman" w:cs="Calibri"/>
                <w:b/>
                <w:color w:val="FFFFFF" w:themeColor="background1"/>
                <w:szCs w:val="18"/>
              </w:rPr>
              <w:t>s</w:t>
            </w:r>
            <w:r w:rsidRPr="00B275E2">
              <w:rPr>
                <w:rFonts w:eastAsia="Times New Roman" w:cs="Calibri"/>
                <w:b/>
                <w:color w:val="FFFFFF" w:themeColor="background1"/>
                <w:szCs w:val="18"/>
              </w:rPr>
              <w:t>ource</w:t>
            </w:r>
          </w:p>
        </w:tc>
        <w:tc>
          <w:tcPr>
            <w:tcW w:w="658" w:type="pct"/>
            <w:shd w:val="clear" w:color="auto" w:fill="1B556B" w:themeFill="text2"/>
            <w:vAlign w:val="bottom"/>
            <w:hideMark/>
          </w:tcPr>
          <w:p w14:paraId="2D4769A9" w14:textId="77777777" w:rsidR="007E190E" w:rsidRPr="00B275E2" w:rsidRDefault="007E190E" w:rsidP="00A3644F">
            <w:pPr>
              <w:pStyle w:val="TableText"/>
              <w:keepNext/>
              <w:spacing w:before="40" w:after="40"/>
              <w:rPr>
                <w:rFonts w:eastAsia="Times New Roman" w:cs="Calibri"/>
                <w:b/>
                <w:color w:val="FFFFFF" w:themeColor="background1"/>
                <w:szCs w:val="18"/>
              </w:rPr>
            </w:pPr>
            <w:r w:rsidRPr="00B275E2">
              <w:rPr>
                <w:rFonts w:eastAsia="Times New Roman" w:cs="Calibri"/>
                <w:b/>
                <w:color w:val="FFFFFF" w:themeColor="background1"/>
                <w:szCs w:val="18"/>
              </w:rPr>
              <w:t>User</w:t>
            </w:r>
          </w:p>
        </w:tc>
        <w:tc>
          <w:tcPr>
            <w:tcW w:w="411" w:type="pct"/>
            <w:shd w:val="clear" w:color="auto" w:fill="1B556B" w:themeFill="text2"/>
            <w:vAlign w:val="bottom"/>
            <w:hideMark/>
          </w:tcPr>
          <w:p w14:paraId="27AD3709" w14:textId="77777777" w:rsidR="007E190E" w:rsidRPr="00B275E2" w:rsidRDefault="007E190E" w:rsidP="00987228">
            <w:pPr>
              <w:pStyle w:val="TableText"/>
              <w:keepNext/>
              <w:spacing w:before="40" w:after="40"/>
              <w:rPr>
                <w:rFonts w:eastAsia="Times New Roman" w:cs="Calibri"/>
                <w:b/>
                <w:color w:val="FFFFFF" w:themeColor="background1"/>
                <w:szCs w:val="18"/>
              </w:rPr>
            </w:pPr>
            <w:r w:rsidRPr="00B275E2">
              <w:rPr>
                <w:rFonts w:eastAsia="Times New Roman" w:cs="Calibri"/>
                <w:b/>
                <w:color w:val="FFFFFF" w:themeColor="background1"/>
                <w:szCs w:val="18"/>
              </w:rPr>
              <w:t>Unit</w:t>
            </w:r>
          </w:p>
        </w:tc>
        <w:tc>
          <w:tcPr>
            <w:tcW w:w="822" w:type="pct"/>
            <w:shd w:val="clear" w:color="auto" w:fill="1B556B" w:themeFill="text2"/>
            <w:vAlign w:val="bottom"/>
            <w:hideMark/>
          </w:tcPr>
          <w:p w14:paraId="1B8C43AD" w14:textId="1155CEB9" w:rsidR="007E190E" w:rsidRPr="00B275E2" w:rsidRDefault="007E190E" w:rsidP="00987228">
            <w:pPr>
              <w:pStyle w:val="TableText"/>
              <w:keepNext/>
              <w:spacing w:before="40" w:after="40"/>
              <w:jc w:val="right"/>
              <w:rPr>
                <w:rFonts w:eastAsia="Times New Roman" w:cs="Calibri"/>
                <w:b/>
                <w:color w:val="FFFFFF" w:themeColor="background1"/>
                <w:szCs w:val="18"/>
              </w:rPr>
            </w:pPr>
            <w:r w:rsidRPr="00B275E2">
              <w:rPr>
                <w:rFonts w:eastAsia="Times New Roman" w:cs="Calibri"/>
                <w:b/>
                <w:color w:val="FFFFFF" w:themeColor="background1"/>
                <w:szCs w:val="18"/>
              </w:rPr>
              <w:t xml:space="preserve">Calorific </w:t>
            </w:r>
            <w:r w:rsidR="004A4F6C" w:rsidRPr="00B275E2">
              <w:rPr>
                <w:rFonts w:eastAsia="Times New Roman" w:cs="Calibri"/>
                <w:b/>
                <w:color w:val="FFFFFF" w:themeColor="background1"/>
                <w:szCs w:val="18"/>
              </w:rPr>
              <w:t>value</w:t>
            </w:r>
            <w:r w:rsidR="00B956BF" w:rsidRPr="00B275E2">
              <w:rPr>
                <w:rFonts w:eastAsia="Times New Roman" w:cs="Calibri"/>
                <w:b/>
                <w:color w:val="FFFFFF" w:themeColor="background1"/>
                <w:szCs w:val="18"/>
              </w:rPr>
              <w:t xml:space="preserve"> </w:t>
            </w:r>
            <w:r w:rsidRPr="00B275E2">
              <w:rPr>
                <w:rFonts w:eastAsia="Times New Roman" w:cs="Calibri"/>
                <w:b/>
                <w:color w:val="FFFFFF" w:themeColor="background1"/>
                <w:szCs w:val="18"/>
              </w:rPr>
              <w:t>(MJ/unit)</w:t>
            </w:r>
          </w:p>
        </w:tc>
        <w:tc>
          <w:tcPr>
            <w:tcW w:w="576" w:type="pct"/>
            <w:shd w:val="clear" w:color="auto" w:fill="1B556B" w:themeFill="text2"/>
            <w:vAlign w:val="bottom"/>
            <w:hideMark/>
          </w:tcPr>
          <w:p w14:paraId="6F0CFD2A" w14:textId="44E07C07" w:rsidR="007E190E" w:rsidRPr="00B275E2" w:rsidRDefault="007E190E" w:rsidP="00987228">
            <w:pPr>
              <w:pStyle w:val="TableText"/>
              <w:keepNext/>
              <w:spacing w:before="40" w:after="40"/>
              <w:jc w:val="right"/>
              <w:rPr>
                <w:rFonts w:eastAsia="Times New Roman" w:cs="Calibri"/>
                <w:b/>
                <w:color w:val="FFFFFF" w:themeColor="background1"/>
                <w:szCs w:val="18"/>
              </w:rPr>
            </w:pPr>
            <w:r w:rsidRPr="00B275E2">
              <w:rPr>
                <w:rFonts w:eastAsia="Times New Roman" w:cs="Calibri"/>
                <w:b/>
                <w:color w:val="FFFFFF" w:themeColor="background1"/>
                <w:szCs w:val="18"/>
              </w:rPr>
              <w:t>t CO</w:t>
            </w:r>
            <w:r w:rsidRPr="00B275E2">
              <w:rPr>
                <w:rFonts w:eastAsia="Times New Roman" w:cs="Calibri"/>
                <w:b/>
                <w:color w:val="FFFFFF" w:themeColor="background1"/>
                <w:szCs w:val="18"/>
                <w:vertAlign w:val="subscript"/>
              </w:rPr>
              <w:t>2</w:t>
            </w:r>
            <w:r w:rsidR="002425B7" w:rsidRPr="00B275E2">
              <w:rPr>
                <w:rFonts w:eastAsia="Times New Roman" w:cs="Calibri"/>
                <w:b/>
                <w:color w:val="FFFFFF" w:themeColor="background1"/>
                <w:szCs w:val="18"/>
                <w:vertAlign w:val="subscript"/>
              </w:rPr>
              <w:t xml:space="preserve"> </w:t>
            </w:r>
            <w:r w:rsidRPr="00B275E2">
              <w:rPr>
                <w:rFonts w:eastAsia="Times New Roman" w:cs="Calibri"/>
                <w:b/>
                <w:color w:val="FFFFFF" w:themeColor="background1"/>
                <w:szCs w:val="18"/>
              </w:rPr>
              <w:t>/</w:t>
            </w:r>
            <w:r w:rsidR="002425B7" w:rsidRPr="00B275E2">
              <w:rPr>
                <w:rFonts w:eastAsia="Times New Roman" w:cs="Calibri"/>
                <w:b/>
                <w:color w:val="FFFFFF" w:themeColor="background1"/>
                <w:szCs w:val="18"/>
              </w:rPr>
              <w:t xml:space="preserve"> </w:t>
            </w:r>
            <w:r w:rsidRPr="00B275E2">
              <w:rPr>
                <w:rFonts w:eastAsia="Times New Roman" w:cs="Calibri"/>
                <w:b/>
                <w:color w:val="FFFFFF" w:themeColor="background1"/>
                <w:szCs w:val="18"/>
              </w:rPr>
              <w:t>TJ</w:t>
            </w:r>
          </w:p>
        </w:tc>
        <w:tc>
          <w:tcPr>
            <w:tcW w:w="576" w:type="pct"/>
            <w:shd w:val="clear" w:color="auto" w:fill="1B556B" w:themeFill="text2"/>
            <w:vAlign w:val="bottom"/>
            <w:hideMark/>
          </w:tcPr>
          <w:p w14:paraId="605932BC" w14:textId="053B5390" w:rsidR="007E190E" w:rsidRPr="00B275E2" w:rsidRDefault="002425B7" w:rsidP="00987228">
            <w:pPr>
              <w:pStyle w:val="TableText"/>
              <w:keepNext/>
              <w:spacing w:before="40" w:after="40"/>
              <w:jc w:val="right"/>
              <w:rPr>
                <w:rFonts w:eastAsia="Times New Roman" w:cs="Calibri"/>
                <w:b/>
                <w:color w:val="FFFFFF" w:themeColor="background1"/>
                <w:szCs w:val="18"/>
              </w:rPr>
            </w:pPr>
            <w:r w:rsidRPr="00B275E2">
              <w:rPr>
                <w:rFonts w:eastAsia="Times New Roman" w:cs="Calibri"/>
                <w:b/>
                <w:color w:val="FFFFFF" w:themeColor="background1"/>
                <w:szCs w:val="18"/>
              </w:rPr>
              <w:t xml:space="preserve">t </w:t>
            </w:r>
            <w:r w:rsidR="00260D76" w:rsidRPr="00B275E2">
              <w:rPr>
                <w:rFonts w:eastAsia="Times New Roman" w:cs="Calibri"/>
                <w:b/>
                <w:color w:val="FFFFFF" w:themeColor="background1"/>
                <w:szCs w:val="18"/>
              </w:rPr>
              <w:t>CH</w:t>
            </w:r>
            <w:r w:rsidR="00260D76" w:rsidRPr="00B275E2">
              <w:rPr>
                <w:rFonts w:eastAsia="Times New Roman" w:cs="Calibri"/>
                <w:b/>
                <w:color w:val="FFFFFF" w:themeColor="background1"/>
                <w:szCs w:val="18"/>
                <w:vertAlign w:val="subscript"/>
              </w:rPr>
              <w:t>4</w:t>
            </w:r>
            <w:r w:rsidR="007E190E" w:rsidRPr="00B275E2">
              <w:rPr>
                <w:rFonts w:eastAsia="Times New Roman" w:cs="Calibri"/>
                <w:b/>
                <w:color w:val="FFFFFF" w:themeColor="background1"/>
                <w:szCs w:val="18"/>
              </w:rPr>
              <w:t xml:space="preserve"> </w:t>
            </w:r>
            <w:r w:rsidRPr="00B275E2">
              <w:rPr>
                <w:rFonts w:eastAsia="Times New Roman" w:cs="Calibri"/>
                <w:b/>
                <w:color w:val="FFFFFF" w:themeColor="background1"/>
                <w:szCs w:val="18"/>
              </w:rPr>
              <w:t>/ TJ</w:t>
            </w:r>
          </w:p>
        </w:tc>
        <w:tc>
          <w:tcPr>
            <w:tcW w:w="641" w:type="pct"/>
            <w:shd w:val="clear" w:color="auto" w:fill="1B556B" w:themeFill="text2"/>
            <w:vAlign w:val="bottom"/>
            <w:hideMark/>
          </w:tcPr>
          <w:p w14:paraId="58FC4783" w14:textId="48207690" w:rsidR="007E190E" w:rsidRPr="00B275E2" w:rsidRDefault="002F31CE" w:rsidP="00987228">
            <w:pPr>
              <w:pStyle w:val="TableText"/>
              <w:keepNext/>
              <w:spacing w:before="40" w:after="40"/>
              <w:jc w:val="right"/>
              <w:rPr>
                <w:rFonts w:eastAsia="Times New Roman" w:cs="Calibri"/>
                <w:b/>
                <w:color w:val="FFFFFF" w:themeColor="background1"/>
                <w:szCs w:val="18"/>
              </w:rPr>
            </w:pPr>
            <w:r w:rsidRPr="00B275E2">
              <w:rPr>
                <w:rFonts w:eastAsia="Times New Roman" w:cs="Calibri"/>
                <w:b/>
                <w:color w:val="FFFFFF" w:themeColor="background1"/>
                <w:szCs w:val="18"/>
              </w:rPr>
              <w:t>t</w:t>
            </w:r>
            <w:r w:rsidR="002425B7" w:rsidRPr="00B275E2">
              <w:rPr>
                <w:rFonts w:eastAsia="Times New Roman" w:cs="Calibri"/>
                <w:b/>
                <w:color w:val="FFFFFF" w:themeColor="background1"/>
                <w:szCs w:val="18"/>
              </w:rPr>
              <w:t xml:space="preserve"> </w:t>
            </w:r>
            <w:r w:rsidR="007E190E" w:rsidRPr="00B275E2">
              <w:rPr>
                <w:rFonts w:eastAsia="Times New Roman" w:cs="Calibri"/>
                <w:b/>
                <w:color w:val="FFFFFF" w:themeColor="background1"/>
                <w:szCs w:val="18"/>
              </w:rPr>
              <w:t>N</w:t>
            </w:r>
            <w:r w:rsidR="007E190E" w:rsidRPr="00B275E2">
              <w:rPr>
                <w:rFonts w:eastAsia="Times New Roman" w:cs="Calibri"/>
                <w:b/>
                <w:color w:val="FFFFFF" w:themeColor="background1"/>
                <w:szCs w:val="18"/>
                <w:vertAlign w:val="subscript"/>
              </w:rPr>
              <w:t>2</w:t>
            </w:r>
            <w:r w:rsidR="007E190E" w:rsidRPr="00B275E2">
              <w:rPr>
                <w:rFonts w:eastAsia="Times New Roman" w:cs="Calibri"/>
                <w:b/>
                <w:color w:val="FFFFFF" w:themeColor="background1"/>
                <w:szCs w:val="18"/>
              </w:rPr>
              <w:t xml:space="preserve">O </w:t>
            </w:r>
            <w:r w:rsidR="002425B7" w:rsidRPr="00B275E2">
              <w:rPr>
                <w:rFonts w:eastAsia="Times New Roman" w:cs="Calibri"/>
                <w:b/>
                <w:color w:val="FFFFFF" w:themeColor="background1"/>
                <w:szCs w:val="18"/>
              </w:rPr>
              <w:t xml:space="preserve">/ </w:t>
            </w:r>
            <w:r w:rsidR="007E190E" w:rsidRPr="00B275E2">
              <w:rPr>
                <w:rFonts w:eastAsia="Times New Roman" w:cs="Calibri"/>
                <w:b/>
                <w:color w:val="FFFFFF" w:themeColor="background1"/>
                <w:szCs w:val="18"/>
              </w:rPr>
              <w:t>TJ</w:t>
            </w:r>
          </w:p>
        </w:tc>
      </w:tr>
      <w:tr w:rsidR="007E190E" w:rsidRPr="00B275E2" w14:paraId="6E90438B" w14:textId="77777777" w:rsidTr="001E4F7B">
        <w:tc>
          <w:tcPr>
            <w:tcW w:w="5000" w:type="pct"/>
            <w:gridSpan w:val="7"/>
            <w:shd w:val="clear" w:color="auto" w:fill="D2DDE1" w:themeFill="background2"/>
            <w:noWrap/>
            <w:hideMark/>
          </w:tcPr>
          <w:p w14:paraId="624E3D3D" w14:textId="3C915A3A" w:rsidR="007E190E" w:rsidRPr="00B275E2" w:rsidRDefault="007E190E" w:rsidP="00A3644F">
            <w:pPr>
              <w:pStyle w:val="TableText"/>
              <w:spacing w:before="40" w:after="40"/>
              <w:rPr>
                <w:rFonts w:cs="Calibri"/>
                <w:b/>
                <w:bCs/>
                <w:szCs w:val="18"/>
              </w:rPr>
            </w:pPr>
            <w:r w:rsidRPr="00B275E2">
              <w:rPr>
                <w:rFonts w:cs="Calibri"/>
                <w:b/>
                <w:bCs/>
                <w:szCs w:val="18"/>
              </w:rPr>
              <w:t xml:space="preserve">Stationary </w:t>
            </w:r>
            <w:r w:rsidR="004A4F6C" w:rsidRPr="00B275E2">
              <w:rPr>
                <w:rFonts w:cs="Calibri"/>
                <w:b/>
                <w:bCs/>
                <w:szCs w:val="18"/>
              </w:rPr>
              <w:t>combustion</w:t>
            </w:r>
          </w:p>
        </w:tc>
      </w:tr>
      <w:tr w:rsidR="00A3644F" w:rsidRPr="00B275E2" w14:paraId="63F20C8D" w14:textId="77777777" w:rsidTr="001E4F7B">
        <w:tc>
          <w:tcPr>
            <w:tcW w:w="1316" w:type="pct"/>
            <w:shd w:val="clear" w:color="auto" w:fill="auto"/>
            <w:noWrap/>
            <w:hideMark/>
          </w:tcPr>
          <w:p w14:paraId="2F7C2B66" w14:textId="5E26CC59"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 xml:space="preserve">Coal </w:t>
            </w:r>
            <w:r w:rsidR="004571DF" w:rsidRPr="00B275E2">
              <w:rPr>
                <w:rFonts w:eastAsia="Times New Roman" w:cs="Calibri"/>
                <w:szCs w:val="18"/>
              </w:rPr>
              <w:t>–</w:t>
            </w:r>
            <w:r w:rsidRPr="00B275E2">
              <w:rPr>
                <w:rFonts w:eastAsia="Times New Roman" w:cs="Calibri"/>
                <w:szCs w:val="18"/>
              </w:rPr>
              <w:t xml:space="preserve"> </w:t>
            </w:r>
            <w:r w:rsidR="004571DF" w:rsidRPr="00B275E2">
              <w:rPr>
                <w:rFonts w:eastAsia="Times New Roman" w:cs="Calibri"/>
                <w:szCs w:val="18"/>
              </w:rPr>
              <w:t>b</w:t>
            </w:r>
            <w:r w:rsidRPr="00B275E2">
              <w:rPr>
                <w:rFonts w:eastAsia="Times New Roman" w:cs="Calibri"/>
                <w:szCs w:val="18"/>
              </w:rPr>
              <w:t>ituminous</w:t>
            </w:r>
          </w:p>
        </w:tc>
        <w:tc>
          <w:tcPr>
            <w:tcW w:w="658" w:type="pct"/>
            <w:shd w:val="clear" w:color="auto" w:fill="auto"/>
            <w:noWrap/>
            <w:hideMark/>
          </w:tcPr>
          <w:p w14:paraId="4999C44B" w14:textId="7777777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Residential</w:t>
            </w:r>
          </w:p>
        </w:tc>
        <w:tc>
          <w:tcPr>
            <w:tcW w:w="411" w:type="pct"/>
            <w:shd w:val="clear" w:color="auto" w:fill="auto"/>
            <w:noWrap/>
            <w:hideMark/>
          </w:tcPr>
          <w:p w14:paraId="2B0C3BBA" w14:textId="7777777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kg</w:t>
            </w:r>
          </w:p>
        </w:tc>
        <w:tc>
          <w:tcPr>
            <w:tcW w:w="822" w:type="pct"/>
            <w:shd w:val="clear" w:color="auto" w:fill="auto"/>
            <w:noWrap/>
            <w:vAlign w:val="bottom"/>
            <w:hideMark/>
          </w:tcPr>
          <w:p w14:paraId="0F5C172E"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29.59</w:t>
            </w:r>
          </w:p>
        </w:tc>
        <w:tc>
          <w:tcPr>
            <w:tcW w:w="576" w:type="pct"/>
            <w:shd w:val="clear" w:color="auto" w:fill="auto"/>
            <w:noWrap/>
            <w:vAlign w:val="bottom"/>
            <w:hideMark/>
          </w:tcPr>
          <w:p w14:paraId="5AF1F38F"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89.13</w:t>
            </w:r>
          </w:p>
        </w:tc>
        <w:tc>
          <w:tcPr>
            <w:tcW w:w="576" w:type="pct"/>
            <w:shd w:val="clear" w:color="auto" w:fill="auto"/>
            <w:noWrap/>
            <w:vAlign w:val="bottom"/>
            <w:hideMark/>
          </w:tcPr>
          <w:p w14:paraId="0F19A977"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0.285</w:t>
            </w:r>
          </w:p>
        </w:tc>
        <w:tc>
          <w:tcPr>
            <w:tcW w:w="641" w:type="pct"/>
            <w:shd w:val="clear" w:color="auto" w:fill="auto"/>
            <w:noWrap/>
            <w:vAlign w:val="bottom"/>
            <w:hideMark/>
          </w:tcPr>
          <w:p w14:paraId="6686FF03"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0.001425</w:t>
            </w:r>
          </w:p>
        </w:tc>
      </w:tr>
      <w:tr w:rsidR="00A3644F" w:rsidRPr="00B275E2" w14:paraId="02006007" w14:textId="77777777" w:rsidTr="001E4F7B">
        <w:tc>
          <w:tcPr>
            <w:tcW w:w="1316" w:type="pct"/>
            <w:shd w:val="clear" w:color="auto" w:fill="auto"/>
            <w:noWrap/>
            <w:hideMark/>
          </w:tcPr>
          <w:p w14:paraId="57D85DBB" w14:textId="724CDADE"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 xml:space="preserve">Coal </w:t>
            </w:r>
            <w:r w:rsidR="004571DF" w:rsidRPr="00B275E2">
              <w:rPr>
                <w:rFonts w:eastAsia="Times New Roman" w:cs="Calibri"/>
                <w:szCs w:val="18"/>
              </w:rPr>
              <w:t>–</w:t>
            </w:r>
            <w:r w:rsidRPr="00B275E2">
              <w:rPr>
                <w:rFonts w:eastAsia="Times New Roman" w:cs="Calibri"/>
                <w:szCs w:val="18"/>
              </w:rPr>
              <w:t xml:space="preserve"> </w:t>
            </w:r>
            <w:r w:rsidR="004571DF" w:rsidRPr="00B275E2">
              <w:rPr>
                <w:rFonts w:eastAsia="Times New Roman" w:cs="Calibri"/>
                <w:szCs w:val="18"/>
              </w:rPr>
              <w:t>s</w:t>
            </w:r>
            <w:r w:rsidRPr="00B275E2">
              <w:rPr>
                <w:rFonts w:eastAsia="Times New Roman" w:cs="Calibri"/>
                <w:szCs w:val="18"/>
              </w:rPr>
              <w:t>ub-</w:t>
            </w:r>
            <w:r w:rsidR="004571DF" w:rsidRPr="00B275E2">
              <w:rPr>
                <w:rFonts w:eastAsia="Times New Roman" w:cs="Calibri"/>
                <w:szCs w:val="18"/>
              </w:rPr>
              <w:t>b</w:t>
            </w:r>
            <w:r w:rsidRPr="00B275E2">
              <w:rPr>
                <w:rFonts w:eastAsia="Times New Roman" w:cs="Calibri"/>
                <w:szCs w:val="18"/>
              </w:rPr>
              <w:t>ituminous</w:t>
            </w:r>
          </w:p>
        </w:tc>
        <w:tc>
          <w:tcPr>
            <w:tcW w:w="658" w:type="pct"/>
            <w:shd w:val="clear" w:color="auto" w:fill="auto"/>
            <w:noWrap/>
            <w:hideMark/>
          </w:tcPr>
          <w:p w14:paraId="2290A6FA" w14:textId="7777777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Residential</w:t>
            </w:r>
          </w:p>
        </w:tc>
        <w:tc>
          <w:tcPr>
            <w:tcW w:w="411" w:type="pct"/>
            <w:shd w:val="clear" w:color="auto" w:fill="auto"/>
            <w:noWrap/>
            <w:hideMark/>
          </w:tcPr>
          <w:p w14:paraId="226288B5" w14:textId="7777777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kg</w:t>
            </w:r>
          </w:p>
        </w:tc>
        <w:tc>
          <w:tcPr>
            <w:tcW w:w="822" w:type="pct"/>
            <w:shd w:val="clear" w:color="auto" w:fill="auto"/>
            <w:noWrap/>
            <w:vAlign w:val="bottom"/>
            <w:hideMark/>
          </w:tcPr>
          <w:p w14:paraId="392350F6"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21.64</w:t>
            </w:r>
          </w:p>
        </w:tc>
        <w:tc>
          <w:tcPr>
            <w:tcW w:w="576" w:type="pct"/>
            <w:shd w:val="clear" w:color="auto" w:fill="auto"/>
            <w:noWrap/>
            <w:vAlign w:val="bottom"/>
            <w:hideMark/>
          </w:tcPr>
          <w:p w14:paraId="1AE5B29B"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91.99</w:t>
            </w:r>
          </w:p>
        </w:tc>
        <w:tc>
          <w:tcPr>
            <w:tcW w:w="576" w:type="pct"/>
            <w:shd w:val="clear" w:color="auto" w:fill="auto"/>
            <w:noWrap/>
            <w:vAlign w:val="bottom"/>
            <w:hideMark/>
          </w:tcPr>
          <w:p w14:paraId="7901917D"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0.285</w:t>
            </w:r>
          </w:p>
        </w:tc>
        <w:tc>
          <w:tcPr>
            <w:tcW w:w="641" w:type="pct"/>
            <w:shd w:val="clear" w:color="auto" w:fill="auto"/>
            <w:noWrap/>
            <w:vAlign w:val="bottom"/>
            <w:hideMark/>
          </w:tcPr>
          <w:p w14:paraId="4C37568E"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0.001425</w:t>
            </w:r>
          </w:p>
        </w:tc>
      </w:tr>
      <w:tr w:rsidR="00A3644F" w:rsidRPr="00B275E2" w14:paraId="5966D5C9" w14:textId="77777777" w:rsidTr="001E4F7B">
        <w:tc>
          <w:tcPr>
            <w:tcW w:w="1316" w:type="pct"/>
            <w:shd w:val="clear" w:color="auto" w:fill="auto"/>
            <w:noWrap/>
            <w:hideMark/>
          </w:tcPr>
          <w:p w14:paraId="6370A93C" w14:textId="716791F5"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 xml:space="preserve">Coal </w:t>
            </w:r>
            <w:r w:rsidR="004571DF" w:rsidRPr="00B275E2">
              <w:rPr>
                <w:rFonts w:eastAsia="Times New Roman" w:cs="Calibri"/>
                <w:szCs w:val="18"/>
              </w:rPr>
              <w:t>–</w:t>
            </w:r>
            <w:r w:rsidRPr="00B275E2">
              <w:rPr>
                <w:rFonts w:eastAsia="Times New Roman" w:cs="Calibri"/>
                <w:szCs w:val="18"/>
              </w:rPr>
              <w:t xml:space="preserve"> </w:t>
            </w:r>
            <w:r w:rsidR="004571DF" w:rsidRPr="00B275E2">
              <w:rPr>
                <w:rFonts w:eastAsia="Times New Roman" w:cs="Calibri"/>
                <w:szCs w:val="18"/>
              </w:rPr>
              <w:t>l</w:t>
            </w:r>
            <w:r w:rsidRPr="00B275E2">
              <w:rPr>
                <w:rFonts w:eastAsia="Times New Roman" w:cs="Calibri"/>
                <w:szCs w:val="18"/>
              </w:rPr>
              <w:t>ignite</w:t>
            </w:r>
          </w:p>
        </w:tc>
        <w:tc>
          <w:tcPr>
            <w:tcW w:w="658" w:type="pct"/>
            <w:shd w:val="clear" w:color="auto" w:fill="auto"/>
            <w:noWrap/>
            <w:hideMark/>
          </w:tcPr>
          <w:p w14:paraId="74194195" w14:textId="7777777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Residential</w:t>
            </w:r>
          </w:p>
        </w:tc>
        <w:tc>
          <w:tcPr>
            <w:tcW w:w="411" w:type="pct"/>
            <w:shd w:val="clear" w:color="auto" w:fill="auto"/>
            <w:noWrap/>
            <w:hideMark/>
          </w:tcPr>
          <w:p w14:paraId="07F5D95C" w14:textId="7777777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kg</w:t>
            </w:r>
          </w:p>
        </w:tc>
        <w:tc>
          <w:tcPr>
            <w:tcW w:w="822" w:type="pct"/>
            <w:shd w:val="clear" w:color="auto" w:fill="auto"/>
            <w:noWrap/>
            <w:vAlign w:val="bottom"/>
            <w:hideMark/>
          </w:tcPr>
          <w:p w14:paraId="7DA04502"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15.26</w:t>
            </w:r>
          </w:p>
        </w:tc>
        <w:tc>
          <w:tcPr>
            <w:tcW w:w="576" w:type="pct"/>
            <w:shd w:val="clear" w:color="auto" w:fill="auto"/>
            <w:noWrap/>
            <w:vAlign w:val="bottom"/>
            <w:hideMark/>
          </w:tcPr>
          <w:p w14:paraId="08844C79" w14:textId="7FD74316"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93.11</w:t>
            </w:r>
          </w:p>
        </w:tc>
        <w:tc>
          <w:tcPr>
            <w:tcW w:w="576" w:type="pct"/>
            <w:shd w:val="clear" w:color="auto" w:fill="auto"/>
            <w:noWrap/>
            <w:vAlign w:val="bottom"/>
            <w:hideMark/>
          </w:tcPr>
          <w:p w14:paraId="5676836A"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0.285</w:t>
            </w:r>
          </w:p>
        </w:tc>
        <w:tc>
          <w:tcPr>
            <w:tcW w:w="641" w:type="pct"/>
            <w:shd w:val="clear" w:color="auto" w:fill="auto"/>
            <w:noWrap/>
            <w:vAlign w:val="bottom"/>
            <w:hideMark/>
          </w:tcPr>
          <w:p w14:paraId="1B9C61F6"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0.001425</w:t>
            </w:r>
          </w:p>
        </w:tc>
      </w:tr>
      <w:tr w:rsidR="00A3644F" w:rsidRPr="00B275E2" w14:paraId="33EF9FFD" w14:textId="77777777" w:rsidTr="001E4F7B">
        <w:tc>
          <w:tcPr>
            <w:tcW w:w="1316" w:type="pct"/>
            <w:vMerge w:val="restart"/>
            <w:shd w:val="clear" w:color="auto" w:fill="auto"/>
            <w:noWrap/>
            <w:hideMark/>
          </w:tcPr>
          <w:p w14:paraId="59245B6E" w14:textId="55AD9A39" w:rsidR="007E190E" w:rsidRPr="00B275E2" w:rsidRDefault="007E190E" w:rsidP="008463D0">
            <w:pPr>
              <w:pStyle w:val="TableText"/>
              <w:keepNext/>
              <w:spacing w:before="40" w:after="40"/>
              <w:rPr>
                <w:rFonts w:eastAsia="Times New Roman" w:cs="Calibri"/>
                <w:szCs w:val="18"/>
              </w:rPr>
            </w:pPr>
            <w:r w:rsidRPr="00B275E2">
              <w:rPr>
                <w:rFonts w:eastAsia="Times New Roman" w:cs="Calibri"/>
                <w:szCs w:val="18"/>
              </w:rPr>
              <w:lastRenderedPageBreak/>
              <w:t xml:space="preserve">Distributed </w:t>
            </w:r>
            <w:r w:rsidR="004571DF" w:rsidRPr="00B275E2">
              <w:rPr>
                <w:rFonts w:eastAsia="Times New Roman" w:cs="Calibri"/>
                <w:szCs w:val="18"/>
              </w:rPr>
              <w:t>n</w:t>
            </w:r>
            <w:r w:rsidRPr="00B275E2">
              <w:rPr>
                <w:rFonts w:eastAsia="Times New Roman" w:cs="Calibri"/>
                <w:szCs w:val="18"/>
              </w:rPr>
              <w:t xml:space="preserve">atural </w:t>
            </w:r>
            <w:r w:rsidR="004571DF" w:rsidRPr="00B275E2">
              <w:rPr>
                <w:rFonts w:eastAsia="Times New Roman" w:cs="Calibri"/>
                <w:szCs w:val="18"/>
              </w:rPr>
              <w:t>g</w:t>
            </w:r>
            <w:r w:rsidRPr="00B275E2">
              <w:rPr>
                <w:rFonts w:eastAsia="Times New Roman" w:cs="Calibri"/>
                <w:szCs w:val="18"/>
              </w:rPr>
              <w:t>as</w:t>
            </w:r>
          </w:p>
        </w:tc>
        <w:tc>
          <w:tcPr>
            <w:tcW w:w="658" w:type="pct"/>
            <w:vMerge w:val="restart"/>
            <w:shd w:val="clear" w:color="auto" w:fill="auto"/>
            <w:noWrap/>
            <w:hideMark/>
          </w:tcPr>
          <w:p w14:paraId="62D47BE0" w14:textId="7777777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Commercial</w:t>
            </w:r>
          </w:p>
        </w:tc>
        <w:tc>
          <w:tcPr>
            <w:tcW w:w="411" w:type="pct"/>
            <w:shd w:val="clear" w:color="auto" w:fill="auto"/>
            <w:noWrap/>
            <w:hideMark/>
          </w:tcPr>
          <w:p w14:paraId="0CA13651" w14:textId="7777777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kWh</w:t>
            </w:r>
          </w:p>
        </w:tc>
        <w:tc>
          <w:tcPr>
            <w:tcW w:w="822" w:type="pct"/>
            <w:shd w:val="clear" w:color="auto" w:fill="auto"/>
            <w:noWrap/>
            <w:hideMark/>
          </w:tcPr>
          <w:p w14:paraId="1FAD7128" w14:textId="77777777" w:rsidR="007E190E" w:rsidRPr="00B275E2" w:rsidRDefault="007E190E" w:rsidP="00A3644F">
            <w:pPr>
              <w:pStyle w:val="TableText"/>
              <w:spacing w:before="40" w:after="40"/>
              <w:jc w:val="right"/>
              <w:rPr>
                <w:rFonts w:eastAsia="Times New Roman" w:cs="Calibri"/>
                <w:szCs w:val="18"/>
              </w:rPr>
            </w:pPr>
            <w:r w:rsidRPr="00B275E2">
              <w:rPr>
                <w:rFonts w:cs="Calibri"/>
                <w:color w:val="000000"/>
                <w:szCs w:val="18"/>
              </w:rPr>
              <w:t>n/a</w:t>
            </w:r>
          </w:p>
        </w:tc>
        <w:tc>
          <w:tcPr>
            <w:tcW w:w="576" w:type="pct"/>
            <w:shd w:val="clear" w:color="auto" w:fill="auto"/>
            <w:noWrap/>
            <w:vAlign w:val="bottom"/>
            <w:hideMark/>
          </w:tcPr>
          <w:p w14:paraId="5BDADA0E"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0.19</w:t>
            </w:r>
          </w:p>
        </w:tc>
        <w:tc>
          <w:tcPr>
            <w:tcW w:w="576" w:type="pct"/>
            <w:shd w:val="clear" w:color="auto" w:fill="auto"/>
            <w:noWrap/>
            <w:vAlign w:val="bottom"/>
            <w:hideMark/>
          </w:tcPr>
          <w:p w14:paraId="75EC32B5"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0.00002</w:t>
            </w:r>
          </w:p>
        </w:tc>
        <w:tc>
          <w:tcPr>
            <w:tcW w:w="641" w:type="pct"/>
            <w:shd w:val="clear" w:color="auto" w:fill="auto"/>
            <w:noWrap/>
            <w:vAlign w:val="bottom"/>
            <w:hideMark/>
          </w:tcPr>
          <w:p w14:paraId="016251FA"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0.00000</w:t>
            </w:r>
          </w:p>
        </w:tc>
      </w:tr>
      <w:tr w:rsidR="00A3644F" w:rsidRPr="00B275E2" w14:paraId="6085F7CB" w14:textId="77777777" w:rsidTr="001E4F7B">
        <w:tc>
          <w:tcPr>
            <w:tcW w:w="1316" w:type="pct"/>
            <w:vMerge/>
            <w:hideMark/>
          </w:tcPr>
          <w:p w14:paraId="0AD98149" w14:textId="77777777" w:rsidR="007E190E" w:rsidRPr="00B275E2" w:rsidRDefault="007E190E" w:rsidP="00A3644F">
            <w:pPr>
              <w:pStyle w:val="TableText"/>
              <w:spacing w:before="40" w:after="40"/>
              <w:rPr>
                <w:rFonts w:eastAsia="Times New Roman" w:cs="Calibri"/>
                <w:szCs w:val="18"/>
              </w:rPr>
            </w:pPr>
          </w:p>
        </w:tc>
        <w:tc>
          <w:tcPr>
            <w:tcW w:w="658" w:type="pct"/>
            <w:vMerge/>
            <w:hideMark/>
          </w:tcPr>
          <w:p w14:paraId="55417A5D" w14:textId="77777777" w:rsidR="007E190E" w:rsidRPr="00B275E2" w:rsidRDefault="007E190E" w:rsidP="00A3644F">
            <w:pPr>
              <w:pStyle w:val="TableText"/>
              <w:spacing w:before="40" w:after="40"/>
              <w:rPr>
                <w:rFonts w:eastAsia="Times New Roman" w:cs="Calibri"/>
                <w:szCs w:val="18"/>
              </w:rPr>
            </w:pPr>
          </w:p>
        </w:tc>
        <w:tc>
          <w:tcPr>
            <w:tcW w:w="411" w:type="pct"/>
            <w:shd w:val="clear" w:color="auto" w:fill="auto"/>
            <w:noWrap/>
            <w:hideMark/>
          </w:tcPr>
          <w:p w14:paraId="4C0023C1" w14:textId="7777777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GJ</w:t>
            </w:r>
          </w:p>
        </w:tc>
        <w:tc>
          <w:tcPr>
            <w:tcW w:w="822" w:type="pct"/>
            <w:shd w:val="clear" w:color="auto" w:fill="auto"/>
            <w:noWrap/>
            <w:hideMark/>
          </w:tcPr>
          <w:p w14:paraId="3C687CBA" w14:textId="77777777" w:rsidR="007E190E" w:rsidRPr="00B275E2" w:rsidRDefault="007E190E" w:rsidP="00A3644F">
            <w:pPr>
              <w:pStyle w:val="TableText"/>
              <w:spacing w:before="40" w:after="40"/>
              <w:jc w:val="right"/>
              <w:rPr>
                <w:rFonts w:eastAsia="Times New Roman" w:cs="Calibri"/>
                <w:szCs w:val="18"/>
              </w:rPr>
            </w:pPr>
            <w:r w:rsidRPr="00B275E2">
              <w:rPr>
                <w:rFonts w:cs="Calibri"/>
                <w:color w:val="000000"/>
                <w:szCs w:val="18"/>
              </w:rPr>
              <w:t>n/a</w:t>
            </w:r>
          </w:p>
        </w:tc>
        <w:tc>
          <w:tcPr>
            <w:tcW w:w="576" w:type="pct"/>
            <w:shd w:val="clear" w:color="auto" w:fill="auto"/>
            <w:noWrap/>
            <w:vAlign w:val="bottom"/>
            <w:hideMark/>
          </w:tcPr>
          <w:p w14:paraId="0F85CEB4"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53.96</w:t>
            </w:r>
          </w:p>
        </w:tc>
        <w:tc>
          <w:tcPr>
            <w:tcW w:w="576" w:type="pct"/>
            <w:shd w:val="clear" w:color="auto" w:fill="auto"/>
            <w:noWrap/>
            <w:vAlign w:val="bottom"/>
            <w:hideMark/>
          </w:tcPr>
          <w:p w14:paraId="1B578EC8"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0.005</w:t>
            </w:r>
          </w:p>
        </w:tc>
        <w:tc>
          <w:tcPr>
            <w:tcW w:w="641" w:type="pct"/>
            <w:shd w:val="clear" w:color="auto" w:fill="auto"/>
            <w:noWrap/>
            <w:vAlign w:val="bottom"/>
            <w:hideMark/>
          </w:tcPr>
          <w:p w14:paraId="090D5BC3"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0.000</w:t>
            </w:r>
          </w:p>
        </w:tc>
      </w:tr>
      <w:tr w:rsidR="00A3644F" w:rsidRPr="00B275E2" w14:paraId="6374F9F1" w14:textId="77777777" w:rsidTr="001E4F7B">
        <w:tc>
          <w:tcPr>
            <w:tcW w:w="1316" w:type="pct"/>
            <w:shd w:val="clear" w:color="auto" w:fill="auto"/>
            <w:noWrap/>
            <w:hideMark/>
          </w:tcPr>
          <w:p w14:paraId="0E800A2E" w14:textId="18A23203"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 xml:space="preserve">Coal – </w:t>
            </w:r>
            <w:r w:rsidR="004571DF" w:rsidRPr="00B275E2">
              <w:rPr>
                <w:rFonts w:eastAsia="Times New Roman" w:cs="Calibri"/>
                <w:szCs w:val="18"/>
              </w:rPr>
              <w:t>b</w:t>
            </w:r>
            <w:r w:rsidRPr="00B275E2">
              <w:rPr>
                <w:rFonts w:eastAsia="Times New Roman" w:cs="Calibri"/>
                <w:szCs w:val="18"/>
              </w:rPr>
              <w:t>ituminous</w:t>
            </w:r>
          </w:p>
        </w:tc>
        <w:tc>
          <w:tcPr>
            <w:tcW w:w="658" w:type="pct"/>
            <w:shd w:val="clear" w:color="auto" w:fill="auto"/>
            <w:noWrap/>
            <w:hideMark/>
          </w:tcPr>
          <w:p w14:paraId="61133B9C" w14:textId="7777777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Commercial</w:t>
            </w:r>
          </w:p>
        </w:tc>
        <w:tc>
          <w:tcPr>
            <w:tcW w:w="411" w:type="pct"/>
            <w:shd w:val="clear" w:color="auto" w:fill="auto"/>
            <w:noWrap/>
            <w:hideMark/>
          </w:tcPr>
          <w:p w14:paraId="39E2B2A7" w14:textId="7777777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kg</w:t>
            </w:r>
          </w:p>
        </w:tc>
        <w:tc>
          <w:tcPr>
            <w:tcW w:w="822" w:type="pct"/>
            <w:shd w:val="clear" w:color="auto" w:fill="auto"/>
            <w:noWrap/>
            <w:vAlign w:val="bottom"/>
            <w:hideMark/>
          </w:tcPr>
          <w:p w14:paraId="48EC887C"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29.59</w:t>
            </w:r>
          </w:p>
        </w:tc>
        <w:tc>
          <w:tcPr>
            <w:tcW w:w="576" w:type="pct"/>
            <w:shd w:val="clear" w:color="auto" w:fill="auto"/>
            <w:noWrap/>
            <w:vAlign w:val="bottom"/>
            <w:hideMark/>
          </w:tcPr>
          <w:p w14:paraId="353CD264"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89.13</w:t>
            </w:r>
          </w:p>
        </w:tc>
        <w:tc>
          <w:tcPr>
            <w:tcW w:w="576" w:type="pct"/>
            <w:shd w:val="clear" w:color="auto" w:fill="auto"/>
            <w:noWrap/>
            <w:vAlign w:val="bottom"/>
            <w:hideMark/>
          </w:tcPr>
          <w:p w14:paraId="79601BE5"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0.0095</w:t>
            </w:r>
          </w:p>
        </w:tc>
        <w:tc>
          <w:tcPr>
            <w:tcW w:w="641" w:type="pct"/>
            <w:shd w:val="clear" w:color="auto" w:fill="auto"/>
            <w:noWrap/>
            <w:vAlign w:val="bottom"/>
            <w:hideMark/>
          </w:tcPr>
          <w:p w14:paraId="771B0AA9"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0.0014</w:t>
            </w:r>
          </w:p>
        </w:tc>
      </w:tr>
      <w:tr w:rsidR="00A3644F" w:rsidRPr="00B275E2" w14:paraId="6D0C366A" w14:textId="77777777" w:rsidTr="001E4F7B">
        <w:tc>
          <w:tcPr>
            <w:tcW w:w="1316" w:type="pct"/>
            <w:shd w:val="clear" w:color="auto" w:fill="auto"/>
            <w:noWrap/>
            <w:hideMark/>
          </w:tcPr>
          <w:p w14:paraId="19A578D5" w14:textId="209FB014"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 xml:space="preserve">Coal – </w:t>
            </w:r>
            <w:r w:rsidR="004571DF" w:rsidRPr="00B275E2">
              <w:rPr>
                <w:rFonts w:eastAsia="Times New Roman" w:cs="Calibri"/>
                <w:szCs w:val="18"/>
              </w:rPr>
              <w:t>s</w:t>
            </w:r>
            <w:r w:rsidRPr="00B275E2">
              <w:rPr>
                <w:rFonts w:eastAsia="Times New Roman" w:cs="Calibri"/>
                <w:szCs w:val="18"/>
              </w:rPr>
              <w:t>ub-bituminous</w:t>
            </w:r>
          </w:p>
        </w:tc>
        <w:tc>
          <w:tcPr>
            <w:tcW w:w="658" w:type="pct"/>
            <w:shd w:val="clear" w:color="auto" w:fill="auto"/>
            <w:noWrap/>
            <w:hideMark/>
          </w:tcPr>
          <w:p w14:paraId="7C193487" w14:textId="7777777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Commercial</w:t>
            </w:r>
          </w:p>
        </w:tc>
        <w:tc>
          <w:tcPr>
            <w:tcW w:w="411" w:type="pct"/>
            <w:shd w:val="clear" w:color="auto" w:fill="auto"/>
            <w:noWrap/>
            <w:hideMark/>
          </w:tcPr>
          <w:p w14:paraId="6E01253D" w14:textId="7777777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kg</w:t>
            </w:r>
          </w:p>
        </w:tc>
        <w:tc>
          <w:tcPr>
            <w:tcW w:w="822" w:type="pct"/>
            <w:shd w:val="clear" w:color="auto" w:fill="auto"/>
            <w:noWrap/>
            <w:vAlign w:val="bottom"/>
            <w:hideMark/>
          </w:tcPr>
          <w:p w14:paraId="3CFE7B4A"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21.64</w:t>
            </w:r>
          </w:p>
        </w:tc>
        <w:tc>
          <w:tcPr>
            <w:tcW w:w="576" w:type="pct"/>
            <w:shd w:val="clear" w:color="auto" w:fill="auto"/>
            <w:noWrap/>
            <w:vAlign w:val="bottom"/>
            <w:hideMark/>
          </w:tcPr>
          <w:p w14:paraId="09CC8F8A"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91.99</w:t>
            </w:r>
          </w:p>
        </w:tc>
        <w:tc>
          <w:tcPr>
            <w:tcW w:w="576" w:type="pct"/>
            <w:shd w:val="clear" w:color="auto" w:fill="auto"/>
            <w:noWrap/>
            <w:vAlign w:val="bottom"/>
            <w:hideMark/>
          </w:tcPr>
          <w:p w14:paraId="07AB69D1"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0.0095</w:t>
            </w:r>
          </w:p>
        </w:tc>
        <w:tc>
          <w:tcPr>
            <w:tcW w:w="641" w:type="pct"/>
            <w:shd w:val="clear" w:color="auto" w:fill="auto"/>
            <w:noWrap/>
            <w:vAlign w:val="bottom"/>
            <w:hideMark/>
          </w:tcPr>
          <w:p w14:paraId="560731BE"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0.0014</w:t>
            </w:r>
          </w:p>
        </w:tc>
      </w:tr>
      <w:tr w:rsidR="00A3644F" w:rsidRPr="00B275E2" w14:paraId="37FD87EB" w14:textId="77777777" w:rsidTr="001E4F7B">
        <w:tc>
          <w:tcPr>
            <w:tcW w:w="1316" w:type="pct"/>
            <w:shd w:val="clear" w:color="auto" w:fill="auto"/>
            <w:noWrap/>
            <w:hideMark/>
          </w:tcPr>
          <w:p w14:paraId="08906C09" w14:textId="4277E0B5"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 xml:space="preserve">Coal – </w:t>
            </w:r>
            <w:r w:rsidR="004571DF" w:rsidRPr="00B275E2">
              <w:rPr>
                <w:rFonts w:eastAsia="Times New Roman" w:cs="Calibri"/>
                <w:szCs w:val="18"/>
              </w:rPr>
              <w:t>l</w:t>
            </w:r>
            <w:r w:rsidRPr="00B275E2">
              <w:rPr>
                <w:rFonts w:eastAsia="Times New Roman" w:cs="Calibri"/>
                <w:szCs w:val="18"/>
              </w:rPr>
              <w:t>ignite</w:t>
            </w:r>
          </w:p>
        </w:tc>
        <w:tc>
          <w:tcPr>
            <w:tcW w:w="658" w:type="pct"/>
            <w:shd w:val="clear" w:color="auto" w:fill="auto"/>
            <w:noWrap/>
            <w:hideMark/>
          </w:tcPr>
          <w:p w14:paraId="278D3B8F" w14:textId="7777777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Commercial</w:t>
            </w:r>
          </w:p>
        </w:tc>
        <w:tc>
          <w:tcPr>
            <w:tcW w:w="411" w:type="pct"/>
            <w:shd w:val="clear" w:color="auto" w:fill="auto"/>
            <w:noWrap/>
            <w:hideMark/>
          </w:tcPr>
          <w:p w14:paraId="7032AFD1" w14:textId="7777777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kg</w:t>
            </w:r>
          </w:p>
        </w:tc>
        <w:tc>
          <w:tcPr>
            <w:tcW w:w="822" w:type="pct"/>
            <w:shd w:val="clear" w:color="auto" w:fill="auto"/>
            <w:noWrap/>
            <w:vAlign w:val="bottom"/>
            <w:hideMark/>
          </w:tcPr>
          <w:p w14:paraId="638FE115"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15.26</w:t>
            </w:r>
          </w:p>
        </w:tc>
        <w:tc>
          <w:tcPr>
            <w:tcW w:w="576" w:type="pct"/>
            <w:shd w:val="clear" w:color="auto" w:fill="auto"/>
            <w:noWrap/>
            <w:vAlign w:val="bottom"/>
            <w:hideMark/>
          </w:tcPr>
          <w:p w14:paraId="21BABBB9"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93.11</w:t>
            </w:r>
          </w:p>
        </w:tc>
        <w:tc>
          <w:tcPr>
            <w:tcW w:w="576" w:type="pct"/>
            <w:shd w:val="clear" w:color="auto" w:fill="auto"/>
            <w:noWrap/>
            <w:vAlign w:val="bottom"/>
            <w:hideMark/>
          </w:tcPr>
          <w:p w14:paraId="13C05A90"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0.0095</w:t>
            </w:r>
          </w:p>
        </w:tc>
        <w:tc>
          <w:tcPr>
            <w:tcW w:w="641" w:type="pct"/>
            <w:shd w:val="clear" w:color="auto" w:fill="auto"/>
            <w:noWrap/>
            <w:vAlign w:val="bottom"/>
            <w:hideMark/>
          </w:tcPr>
          <w:p w14:paraId="555EFC2F"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0.0014</w:t>
            </w:r>
          </w:p>
        </w:tc>
      </w:tr>
      <w:tr w:rsidR="00A3644F" w:rsidRPr="00B275E2" w14:paraId="5462F318" w14:textId="77777777" w:rsidTr="001E4F7B">
        <w:tc>
          <w:tcPr>
            <w:tcW w:w="1316" w:type="pct"/>
            <w:shd w:val="clear" w:color="auto" w:fill="auto"/>
            <w:noWrap/>
            <w:hideMark/>
          </w:tcPr>
          <w:p w14:paraId="14540AFB" w14:textId="7777777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Diesel</w:t>
            </w:r>
          </w:p>
        </w:tc>
        <w:tc>
          <w:tcPr>
            <w:tcW w:w="658" w:type="pct"/>
            <w:shd w:val="clear" w:color="auto" w:fill="auto"/>
            <w:noWrap/>
            <w:hideMark/>
          </w:tcPr>
          <w:p w14:paraId="7735F308" w14:textId="7777777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Commercial</w:t>
            </w:r>
          </w:p>
        </w:tc>
        <w:tc>
          <w:tcPr>
            <w:tcW w:w="411" w:type="pct"/>
            <w:shd w:val="clear" w:color="auto" w:fill="auto"/>
            <w:noWrap/>
            <w:hideMark/>
          </w:tcPr>
          <w:p w14:paraId="6BB96E6B" w14:textId="7777777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litre</w:t>
            </w:r>
          </w:p>
        </w:tc>
        <w:tc>
          <w:tcPr>
            <w:tcW w:w="822" w:type="pct"/>
            <w:shd w:val="clear" w:color="auto" w:fill="auto"/>
            <w:noWrap/>
            <w:vAlign w:val="bottom"/>
            <w:hideMark/>
          </w:tcPr>
          <w:p w14:paraId="43CDEA18"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38.21</w:t>
            </w:r>
          </w:p>
        </w:tc>
        <w:tc>
          <w:tcPr>
            <w:tcW w:w="576" w:type="pct"/>
            <w:shd w:val="clear" w:color="auto" w:fill="auto"/>
            <w:noWrap/>
            <w:vAlign w:val="bottom"/>
            <w:hideMark/>
          </w:tcPr>
          <w:p w14:paraId="4D9A71DC"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69.31</w:t>
            </w:r>
          </w:p>
        </w:tc>
        <w:tc>
          <w:tcPr>
            <w:tcW w:w="576" w:type="pct"/>
            <w:shd w:val="clear" w:color="auto" w:fill="auto"/>
            <w:noWrap/>
            <w:vAlign w:val="bottom"/>
            <w:hideMark/>
          </w:tcPr>
          <w:p w14:paraId="390EE847"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0.0095</w:t>
            </w:r>
          </w:p>
        </w:tc>
        <w:tc>
          <w:tcPr>
            <w:tcW w:w="641" w:type="pct"/>
            <w:shd w:val="clear" w:color="auto" w:fill="auto"/>
            <w:noWrap/>
            <w:vAlign w:val="bottom"/>
            <w:hideMark/>
          </w:tcPr>
          <w:p w14:paraId="0BF1C017"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0.0006</w:t>
            </w:r>
          </w:p>
        </w:tc>
      </w:tr>
      <w:tr w:rsidR="00A3644F" w:rsidRPr="00B275E2" w14:paraId="1A9D0F48" w14:textId="77777777" w:rsidTr="001E4F7B">
        <w:tc>
          <w:tcPr>
            <w:tcW w:w="1316" w:type="pct"/>
            <w:shd w:val="clear" w:color="auto" w:fill="auto"/>
            <w:noWrap/>
            <w:hideMark/>
          </w:tcPr>
          <w:p w14:paraId="7314B728" w14:textId="7777777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LPG</w:t>
            </w:r>
          </w:p>
        </w:tc>
        <w:tc>
          <w:tcPr>
            <w:tcW w:w="658" w:type="pct"/>
            <w:shd w:val="clear" w:color="auto" w:fill="auto"/>
            <w:noWrap/>
            <w:hideMark/>
          </w:tcPr>
          <w:p w14:paraId="7CC378C2" w14:textId="7777777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Commercial</w:t>
            </w:r>
          </w:p>
        </w:tc>
        <w:tc>
          <w:tcPr>
            <w:tcW w:w="411" w:type="pct"/>
            <w:shd w:val="clear" w:color="auto" w:fill="auto"/>
            <w:noWrap/>
            <w:hideMark/>
          </w:tcPr>
          <w:p w14:paraId="71FC94CC" w14:textId="7777777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g</w:t>
            </w:r>
          </w:p>
        </w:tc>
        <w:tc>
          <w:tcPr>
            <w:tcW w:w="822" w:type="pct"/>
            <w:shd w:val="clear" w:color="auto" w:fill="auto"/>
            <w:noWrap/>
            <w:vAlign w:val="bottom"/>
            <w:hideMark/>
          </w:tcPr>
          <w:p w14:paraId="01E54CBA"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50.00</w:t>
            </w:r>
          </w:p>
        </w:tc>
        <w:tc>
          <w:tcPr>
            <w:tcW w:w="576" w:type="pct"/>
            <w:shd w:val="clear" w:color="auto" w:fill="auto"/>
            <w:noWrap/>
            <w:vAlign w:val="bottom"/>
            <w:hideMark/>
          </w:tcPr>
          <w:p w14:paraId="54BD1D5D"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60.43</w:t>
            </w:r>
          </w:p>
        </w:tc>
        <w:tc>
          <w:tcPr>
            <w:tcW w:w="576" w:type="pct"/>
            <w:shd w:val="clear" w:color="auto" w:fill="auto"/>
            <w:noWrap/>
            <w:vAlign w:val="bottom"/>
            <w:hideMark/>
          </w:tcPr>
          <w:p w14:paraId="761C4F8D"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0.005</w:t>
            </w:r>
          </w:p>
        </w:tc>
        <w:tc>
          <w:tcPr>
            <w:tcW w:w="641" w:type="pct"/>
            <w:shd w:val="clear" w:color="auto" w:fill="auto"/>
            <w:noWrap/>
            <w:vAlign w:val="bottom"/>
            <w:hideMark/>
          </w:tcPr>
          <w:p w14:paraId="3724D21A"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0.0001</w:t>
            </w:r>
          </w:p>
        </w:tc>
      </w:tr>
      <w:tr w:rsidR="00A3644F" w:rsidRPr="00B275E2" w14:paraId="590C0329" w14:textId="77777777" w:rsidTr="001E4F7B">
        <w:tc>
          <w:tcPr>
            <w:tcW w:w="1316" w:type="pct"/>
            <w:shd w:val="clear" w:color="auto" w:fill="auto"/>
            <w:noWrap/>
            <w:hideMark/>
          </w:tcPr>
          <w:p w14:paraId="165FFCD9" w14:textId="4BBC4E0F"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 xml:space="preserve">Heavy </w:t>
            </w:r>
            <w:r w:rsidR="004571DF" w:rsidRPr="00B275E2">
              <w:rPr>
                <w:rFonts w:eastAsia="Times New Roman" w:cs="Calibri"/>
                <w:szCs w:val="18"/>
              </w:rPr>
              <w:t>f</w:t>
            </w:r>
            <w:r w:rsidRPr="00B275E2">
              <w:rPr>
                <w:rFonts w:eastAsia="Times New Roman" w:cs="Calibri"/>
                <w:szCs w:val="18"/>
              </w:rPr>
              <w:t xml:space="preserve">uel </w:t>
            </w:r>
            <w:r w:rsidR="004571DF" w:rsidRPr="00B275E2">
              <w:rPr>
                <w:rFonts w:eastAsia="Times New Roman" w:cs="Calibri"/>
                <w:szCs w:val="18"/>
              </w:rPr>
              <w:t>o</w:t>
            </w:r>
            <w:r w:rsidRPr="00B275E2">
              <w:rPr>
                <w:rFonts w:eastAsia="Times New Roman" w:cs="Calibri"/>
                <w:szCs w:val="18"/>
              </w:rPr>
              <w:t>il</w:t>
            </w:r>
          </w:p>
        </w:tc>
        <w:tc>
          <w:tcPr>
            <w:tcW w:w="658" w:type="pct"/>
            <w:shd w:val="clear" w:color="auto" w:fill="auto"/>
            <w:noWrap/>
            <w:hideMark/>
          </w:tcPr>
          <w:p w14:paraId="7B73D371" w14:textId="7777777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Commercial</w:t>
            </w:r>
          </w:p>
        </w:tc>
        <w:tc>
          <w:tcPr>
            <w:tcW w:w="411" w:type="pct"/>
            <w:shd w:val="clear" w:color="auto" w:fill="auto"/>
            <w:noWrap/>
            <w:hideMark/>
          </w:tcPr>
          <w:p w14:paraId="25838240" w14:textId="7777777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litre</w:t>
            </w:r>
          </w:p>
        </w:tc>
        <w:tc>
          <w:tcPr>
            <w:tcW w:w="822" w:type="pct"/>
            <w:shd w:val="clear" w:color="auto" w:fill="auto"/>
            <w:noWrap/>
            <w:vAlign w:val="bottom"/>
            <w:hideMark/>
          </w:tcPr>
          <w:p w14:paraId="41288FD1"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40.90</w:t>
            </w:r>
          </w:p>
        </w:tc>
        <w:tc>
          <w:tcPr>
            <w:tcW w:w="576" w:type="pct"/>
            <w:shd w:val="clear" w:color="auto" w:fill="auto"/>
            <w:noWrap/>
            <w:vAlign w:val="bottom"/>
            <w:hideMark/>
          </w:tcPr>
          <w:p w14:paraId="4C22121A"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73.59</w:t>
            </w:r>
          </w:p>
        </w:tc>
        <w:tc>
          <w:tcPr>
            <w:tcW w:w="576" w:type="pct"/>
            <w:shd w:val="clear" w:color="auto" w:fill="auto"/>
            <w:noWrap/>
            <w:vAlign w:val="bottom"/>
            <w:hideMark/>
          </w:tcPr>
          <w:p w14:paraId="521D4CBB"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0.010</w:t>
            </w:r>
          </w:p>
        </w:tc>
        <w:tc>
          <w:tcPr>
            <w:tcW w:w="641" w:type="pct"/>
            <w:shd w:val="clear" w:color="auto" w:fill="auto"/>
            <w:noWrap/>
            <w:vAlign w:val="bottom"/>
            <w:hideMark/>
          </w:tcPr>
          <w:p w14:paraId="4915813E"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0.0006</w:t>
            </w:r>
          </w:p>
        </w:tc>
      </w:tr>
      <w:tr w:rsidR="00A3644F" w:rsidRPr="00B275E2" w14:paraId="14CB8302" w14:textId="77777777" w:rsidTr="001E4F7B">
        <w:tc>
          <w:tcPr>
            <w:tcW w:w="1316" w:type="pct"/>
            <w:shd w:val="clear" w:color="auto" w:fill="auto"/>
            <w:noWrap/>
            <w:hideMark/>
          </w:tcPr>
          <w:p w14:paraId="3CE21B5B" w14:textId="02795EB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 xml:space="preserve">Light </w:t>
            </w:r>
            <w:r w:rsidR="004571DF" w:rsidRPr="00B275E2">
              <w:rPr>
                <w:rFonts w:eastAsia="Times New Roman" w:cs="Calibri"/>
                <w:szCs w:val="18"/>
              </w:rPr>
              <w:t>f</w:t>
            </w:r>
            <w:r w:rsidRPr="00B275E2">
              <w:rPr>
                <w:rFonts w:eastAsia="Times New Roman" w:cs="Calibri"/>
                <w:szCs w:val="18"/>
              </w:rPr>
              <w:t xml:space="preserve">uel </w:t>
            </w:r>
            <w:r w:rsidR="004571DF" w:rsidRPr="00B275E2">
              <w:rPr>
                <w:rFonts w:eastAsia="Times New Roman" w:cs="Calibri"/>
                <w:szCs w:val="18"/>
              </w:rPr>
              <w:t>o</w:t>
            </w:r>
            <w:r w:rsidRPr="00B275E2">
              <w:rPr>
                <w:rFonts w:eastAsia="Times New Roman" w:cs="Calibri"/>
                <w:szCs w:val="18"/>
              </w:rPr>
              <w:t>il</w:t>
            </w:r>
          </w:p>
        </w:tc>
        <w:tc>
          <w:tcPr>
            <w:tcW w:w="658" w:type="pct"/>
            <w:shd w:val="clear" w:color="auto" w:fill="auto"/>
            <w:noWrap/>
            <w:hideMark/>
          </w:tcPr>
          <w:p w14:paraId="49403545" w14:textId="7777777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Commercial</w:t>
            </w:r>
          </w:p>
        </w:tc>
        <w:tc>
          <w:tcPr>
            <w:tcW w:w="411" w:type="pct"/>
            <w:shd w:val="clear" w:color="auto" w:fill="auto"/>
            <w:noWrap/>
            <w:hideMark/>
          </w:tcPr>
          <w:p w14:paraId="3F486F49" w14:textId="7777777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litre</w:t>
            </w:r>
          </w:p>
        </w:tc>
        <w:tc>
          <w:tcPr>
            <w:tcW w:w="822" w:type="pct"/>
            <w:shd w:val="clear" w:color="auto" w:fill="auto"/>
            <w:noWrap/>
            <w:vAlign w:val="bottom"/>
            <w:hideMark/>
          </w:tcPr>
          <w:p w14:paraId="58E2077A"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40.32</w:t>
            </w:r>
          </w:p>
        </w:tc>
        <w:tc>
          <w:tcPr>
            <w:tcW w:w="576" w:type="pct"/>
            <w:shd w:val="clear" w:color="auto" w:fill="auto"/>
            <w:noWrap/>
            <w:vAlign w:val="bottom"/>
            <w:hideMark/>
          </w:tcPr>
          <w:p w14:paraId="7245C9DB"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72.30</w:t>
            </w:r>
          </w:p>
        </w:tc>
        <w:tc>
          <w:tcPr>
            <w:tcW w:w="576" w:type="pct"/>
            <w:shd w:val="clear" w:color="auto" w:fill="auto"/>
            <w:noWrap/>
            <w:vAlign w:val="bottom"/>
            <w:hideMark/>
          </w:tcPr>
          <w:p w14:paraId="7A5DBE08"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0.010</w:t>
            </w:r>
          </w:p>
        </w:tc>
        <w:tc>
          <w:tcPr>
            <w:tcW w:w="641" w:type="pct"/>
            <w:shd w:val="clear" w:color="auto" w:fill="auto"/>
            <w:noWrap/>
            <w:vAlign w:val="bottom"/>
            <w:hideMark/>
          </w:tcPr>
          <w:p w14:paraId="79503343"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0.0006</w:t>
            </w:r>
          </w:p>
        </w:tc>
      </w:tr>
      <w:tr w:rsidR="00A3644F" w:rsidRPr="00B275E2" w14:paraId="762466D2" w14:textId="77777777" w:rsidTr="001E4F7B">
        <w:tc>
          <w:tcPr>
            <w:tcW w:w="1316" w:type="pct"/>
            <w:vMerge w:val="restart"/>
            <w:shd w:val="clear" w:color="auto" w:fill="auto"/>
            <w:noWrap/>
            <w:hideMark/>
          </w:tcPr>
          <w:p w14:paraId="5E6DAC55" w14:textId="26E642AE"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 xml:space="preserve">Distributed </w:t>
            </w:r>
            <w:r w:rsidR="004571DF" w:rsidRPr="00B275E2">
              <w:rPr>
                <w:rFonts w:eastAsia="Times New Roman" w:cs="Calibri"/>
                <w:szCs w:val="18"/>
              </w:rPr>
              <w:t>n</w:t>
            </w:r>
            <w:r w:rsidRPr="00B275E2">
              <w:rPr>
                <w:rFonts w:eastAsia="Times New Roman" w:cs="Calibri"/>
                <w:szCs w:val="18"/>
              </w:rPr>
              <w:t xml:space="preserve">atural </w:t>
            </w:r>
            <w:r w:rsidR="004571DF" w:rsidRPr="00B275E2">
              <w:rPr>
                <w:rFonts w:eastAsia="Times New Roman" w:cs="Calibri"/>
                <w:szCs w:val="18"/>
              </w:rPr>
              <w:t>g</w:t>
            </w:r>
            <w:r w:rsidRPr="00B275E2">
              <w:rPr>
                <w:rFonts w:eastAsia="Times New Roman" w:cs="Calibri"/>
                <w:szCs w:val="18"/>
              </w:rPr>
              <w:t>as</w:t>
            </w:r>
          </w:p>
        </w:tc>
        <w:tc>
          <w:tcPr>
            <w:tcW w:w="658" w:type="pct"/>
            <w:vMerge w:val="restart"/>
            <w:shd w:val="clear" w:color="auto" w:fill="auto"/>
            <w:noWrap/>
            <w:hideMark/>
          </w:tcPr>
          <w:p w14:paraId="30791318" w14:textId="7777777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Industry</w:t>
            </w:r>
          </w:p>
        </w:tc>
        <w:tc>
          <w:tcPr>
            <w:tcW w:w="411" w:type="pct"/>
            <w:shd w:val="clear" w:color="auto" w:fill="auto"/>
            <w:noWrap/>
            <w:hideMark/>
          </w:tcPr>
          <w:p w14:paraId="2FDE4DDF" w14:textId="7777777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kWh</w:t>
            </w:r>
          </w:p>
        </w:tc>
        <w:tc>
          <w:tcPr>
            <w:tcW w:w="822" w:type="pct"/>
            <w:shd w:val="clear" w:color="auto" w:fill="auto"/>
            <w:noWrap/>
            <w:hideMark/>
          </w:tcPr>
          <w:p w14:paraId="7E5E28CB" w14:textId="77777777" w:rsidR="007E190E" w:rsidRPr="00B275E2" w:rsidRDefault="007E190E" w:rsidP="00A3644F">
            <w:pPr>
              <w:pStyle w:val="TableText"/>
              <w:spacing w:before="40" w:after="40"/>
              <w:jc w:val="right"/>
              <w:rPr>
                <w:rFonts w:eastAsia="Times New Roman" w:cs="Calibri"/>
                <w:szCs w:val="18"/>
              </w:rPr>
            </w:pPr>
            <w:r w:rsidRPr="00B275E2">
              <w:rPr>
                <w:rFonts w:cs="Calibri"/>
                <w:color w:val="000000"/>
                <w:szCs w:val="18"/>
              </w:rPr>
              <w:t>n/a</w:t>
            </w:r>
          </w:p>
        </w:tc>
        <w:tc>
          <w:tcPr>
            <w:tcW w:w="576" w:type="pct"/>
            <w:shd w:val="clear" w:color="auto" w:fill="auto"/>
            <w:noWrap/>
            <w:vAlign w:val="bottom"/>
            <w:hideMark/>
          </w:tcPr>
          <w:p w14:paraId="7D4FEA34"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0.19</w:t>
            </w:r>
          </w:p>
        </w:tc>
        <w:tc>
          <w:tcPr>
            <w:tcW w:w="576" w:type="pct"/>
            <w:shd w:val="clear" w:color="auto" w:fill="auto"/>
            <w:noWrap/>
            <w:vAlign w:val="bottom"/>
            <w:hideMark/>
          </w:tcPr>
          <w:p w14:paraId="7DD8D3D5"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0.000003</w:t>
            </w:r>
          </w:p>
        </w:tc>
        <w:tc>
          <w:tcPr>
            <w:tcW w:w="641" w:type="pct"/>
            <w:shd w:val="clear" w:color="auto" w:fill="auto"/>
            <w:noWrap/>
            <w:vAlign w:val="bottom"/>
            <w:hideMark/>
          </w:tcPr>
          <w:p w14:paraId="024397D5"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0.0000003</w:t>
            </w:r>
          </w:p>
        </w:tc>
      </w:tr>
      <w:tr w:rsidR="00A3644F" w:rsidRPr="00B275E2" w14:paraId="1520A0FD" w14:textId="77777777" w:rsidTr="001E4F7B">
        <w:tc>
          <w:tcPr>
            <w:tcW w:w="1316" w:type="pct"/>
            <w:vMerge/>
            <w:hideMark/>
          </w:tcPr>
          <w:p w14:paraId="6D897914" w14:textId="77777777" w:rsidR="007E190E" w:rsidRPr="00B275E2" w:rsidRDefault="007E190E" w:rsidP="00A3644F">
            <w:pPr>
              <w:pStyle w:val="TableText"/>
              <w:spacing w:before="40" w:after="40"/>
              <w:rPr>
                <w:rFonts w:eastAsia="Times New Roman" w:cs="Calibri"/>
                <w:szCs w:val="18"/>
              </w:rPr>
            </w:pPr>
          </w:p>
        </w:tc>
        <w:tc>
          <w:tcPr>
            <w:tcW w:w="658" w:type="pct"/>
            <w:vMerge/>
            <w:hideMark/>
          </w:tcPr>
          <w:p w14:paraId="4DF6EFAC" w14:textId="77777777" w:rsidR="007E190E" w:rsidRPr="00B275E2" w:rsidRDefault="007E190E" w:rsidP="00A3644F">
            <w:pPr>
              <w:pStyle w:val="TableText"/>
              <w:spacing w:before="40" w:after="40"/>
              <w:rPr>
                <w:rFonts w:eastAsia="Times New Roman" w:cs="Calibri"/>
                <w:szCs w:val="18"/>
              </w:rPr>
            </w:pPr>
          </w:p>
        </w:tc>
        <w:tc>
          <w:tcPr>
            <w:tcW w:w="411" w:type="pct"/>
            <w:shd w:val="clear" w:color="auto" w:fill="auto"/>
            <w:noWrap/>
            <w:hideMark/>
          </w:tcPr>
          <w:p w14:paraId="1555799F" w14:textId="7777777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GJ</w:t>
            </w:r>
          </w:p>
        </w:tc>
        <w:tc>
          <w:tcPr>
            <w:tcW w:w="822" w:type="pct"/>
            <w:shd w:val="clear" w:color="auto" w:fill="auto"/>
            <w:noWrap/>
            <w:hideMark/>
          </w:tcPr>
          <w:p w14:paraId="0B277DF7" w14:textId="77777777" w:rsidR="007E190E" w:rsidRPr="00B275E2" w:rsidRDefault="007E190E" w:rsidP="00A3644F">
            <w:pPr>
              <w:pStyle w:val="TableText"/>
              <w:spacing w:before="40" w:after="40"/>
              <w:jc w:val="right"/>
              <w:rPr>
                <w:rFonts w:eastAsia="Times New Roman" w:cs="Calibri"/>
                <w:szCs w:val="18"/>
              </w:rPr>
            </w:pPr>
            <w:r w:rsidRPr="00B275E2">
              <w:rPr>
                <w:rFonts w:cs="Calibri"/>
                <w:color w:val="000000"/>
                <w:szCs w:val="18"/>
              </w:rPr>
              <w:t>n/a</w:t>
            </w:r>
          </w:p>
        </w:tc>
        <w:tc>
          <w:tcPr>
            <w:tcW w:w="576" w:type="pct"/>
            <w:shd w:val="clear" w:color="auto" w:fill="auto"/>
            <w:noWrap/>
            <w:vAlign w:val="bottom"/>
            <w:hideMark/>
          </w:tcPr>
          <w:p w14:paraId="05181EDD"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53.96</w:t>
            </w:r>
          </w:p>
        </w:tc>
        <w:tc>
          <w:tcPr>
            <w:tcW w:w="576" w:type="pct"/>
            <w:shd w:val="clear" w:color="auto" w:fill="auto"/>
            <w:noWrap/>
            <w:vAlign w:val="bottom"/>
            <w:hideMark/>
          </w:tcPr>
          <w:p w14:paraId="0964A542"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0.001</w:t>
            </w:r>
          </w:p>
        </w:tc>
        <w:tc>
          <w:tcPr>
            <w:tcW w:w="641" w:type="pct"/>
            <w:shd w:val="clear" w:color="auto" w:fill="auto"/>
            <w:noWrap/>
            <w:vAlign w:val="bottom"/>
            <w:hideMark/>
          </w:tcPr>
          <w:p w14:paraId="75248574"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0.00009</w:t>
            </w:r>
          </w:p>
        </w:tc>
      </w:tr>
      <w:tr w:rsidR="00A3644F" w:rsidRPr="00B275E2" w14:paraId="15C2FBE4" w14:textId="77777777" w:rsidTr="001E4F7B">
        <w:tc>
          <w:tcPr>
            <w:tcW w:w="1316" w:type="pct"/>
            <w:shd w:val="clear" w:color="auto" w:fill="auto"/>
            <w:noWrap/>
            <w:hideMark/>
          </w:tcPr>
          <w:p w14:paraId="1FCCC87A" w14:textId="047C8F2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 xml:space="preserve">Coal – </w:t>
            </w:r>
            <w:r w:rsidR="004571DF" w:rsidRPr="00B275E2">
              <w:rPr>
                <w:rFonts w:eastAsia="Times New Roman" w:cs="Calibri"/>
                <w:szCs w:val="18"/>
              </w:rPr>
              <w:t>b</w:t>
            </w:r>
            <w:r w:rsidRPr="00B275E2">
              <w:rPr>
                <w:rFonts w:eastAsia="Times New Roman" w:cs="Calibri"/>
                <w:szCs w:val="18"/>
              </w:rPr>
              <w:t>ituminous</w:t>
            </w:r>
          </w:p>
        </w:tc>
        <w:tc>
          <w:tcPr>
            <w:tcW w:w="658" w:type="pct"/>
            <w:shd w:val="clear" w:color="auto" w:fill="auto"/>
            <w:noWrap/>
            <w:hideMark/>
          </w:tcPr>
          <w:p w14:paraId="0E33BD80" w14:textId="7777777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Industry</w:t>
            </w:r>
          </w:p>
        </w:tc>
        <w:tc>
          <w:tcPr>
            <w:tcW w:w="411" w:type="pct"/>
            <w:shd w:val="clear" w:color="auto" w:fill="auto"/>
            <w:noWrap/>
            <w:hideMark/>
          </w:tcPr>
          <w:p w14:paraId="71F98E6B" w14:textId="7777777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kg</w:t>
            </w:r>
          </w:p>
        </w:tc>
        <w:tc>
          <w:tcPr>
            <w:tcW w:w="822" w:type="pct"/>
            <w:shd w:val="clear" w:color="auto" w:fill="auto"/>
            <w:noWrap/>
            <w:vAlign w:val="bottom"/>
            <w:hideMark/>
          </w:tcPr>
          <w:p w14:paraId="0DD9A48C"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29.59</w:t>
            </w:r>
          </w:p>
        </w:tc>
        <w:tc>
          <w:tcPr>
            <w:tcW w:w="576" w:type="pct"/>
            <w:shd w:val="clear" w:color="auto" w:fill="auto"/>
            <w:noWrap/>
            <w:vAlign w:val="bottom"/>
            <w:hideMark/>
          </w:tcPr>
          <w:p w14:paraId="718A4421"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89.13</w:t>
            </w:r>
          </w:p>
        </w:tc>
        <w:tc>
          <w:tcPr>
            <w:tcW w:w="576" w:type="pct"/>
            <w:shd w:val="clear" w:color="auto" w:fill="auto"/>
            <w:noWrap/>
            <w:vAlign w:val="bottom"/>
            <w:hideMark/>
          </w:tcPr>
          <w:p w14:paraId="6064ABCF"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0.0095</w:t>
            </w:r>
          </w:p>
        </w:tc>
        <w:tc>
          <w:tcPr>
            <w:tcW w:w="641" w:type="pct"/>
            <w:shd w:val="clear" w:color="auto" w:fill="auto"/>
            <w:noWrap/>
            <w:vAlign w:val="bottom"/>
            <w:hideMark/>
          </w:tcPr>
          <w:p w14:paraId="11200DED"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0.001</w:t>
            </w:r>
          </w:p>
        </w:tc>
      </w:tr>
      <w:tr w:rsidR="00A3644F" w:rsidRPr="00B275E2" w14:paraId="6786A458" w14:textId="77777777" w:rsidTr="001E4F7B">
        <w:tc>
          <w:tcPr>
            <w:tcW w:w="1316" w:type="pct"/>
            <w:shd w:val="clear" w:color="auto" w:fill="auto"/>
            <w:noWrap/>
            <w:hideMark/>
          </w:tcPr>
          <w:p w14:paraId="7446158B" w14:textId="4CAE8BA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 xml:space="preserve">Coal – </w:t>
            </w:r>
            <w:r w:rsidR="004571DF" w:rsidRPr="00B275E2">
              <w:rPr>
                <w:rFonts w:eastAsia="Times New Roman" w:cs="Calibri"/>
                <w:szCs w:val="18"/>
              </w:rPr>
              <w:t>s</w:t>
            </w:r>
            <w:r w:rsidRPr="00B275E2">
              <w:rPr>
                <w:rFonts w:eastAsia="Times New Roman" w:cs="Calibri"/>
                <w:szCs w:val="18"/>
              </w:rPr>
              <w:t>ub-bituminous</w:t>
            </w:r>
          </w:p>
        </w:tc>
        <w:tc>
          <w:tcPr>
            <w:tcW w:w="658" w:type="pct"/>
            <w:shd w:val="clear" w:color="auto" w:fill="auto"/>
            <w:noWrap/>
            <w:hideMark/>
          </w:tcPr>
          <w:p w14:paraId="3FB56CC8" w14:textId="7777777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Industry</w:t>
            </w:r>
          </w:p>
        </w:tc>
        <w:tc>
          <w:tcPr>
            <w:tcW w:w="411" w:type="pct"/>
            <w:shd w:val="clear" w:color="auto" w:fill="auto"/>
            <w:noWrap/>
            <w:hideMark/>
          </w:tcPr>
          <w:p w14:paraId="2E1B1517" w14:textId="7777777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g</w:t>
            </w:r>
          </w:p>
        </w:tc>
        <w:tc>
          <w:tcPr>
            <w:tcW w:w="822" w:type="pct"/>
            <w:shd w:val="clear" w:color="auto" w:fill="auto"/>
            <w:noWrap/>
            <w:vAlign w:val="bottom"/>
            <w:hideMark/>
          </w:tcPr>
          <w:p w14:paraId="6004E46D"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21.64</w:t>
            </w:r>
          </w:p>
        </w:tc>
        <w:tc>
          <w:tcPr>
            <w:tcW w:w="576" w:type="pct"/>
            <w:shd w:val="clear" w:color="auto" w:fill="auto"/>
            <w:noWrap/>
            <w:vAlign w:val="bottom"/>
            <w:hideMark/>
          </w:tcPr>
          <w:p w14:paraId="36BC17F8"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91.99</w:t>
            </w:r>
          </w:p>
        </w:tc>
        <w:tc>
          <w:tcPr>
            <w:tcW w:w="576" w:type="pct"/>
            <w:shd w:val="clear" w:color="auto" w:fill="auto"/>
            <w:noWrap/>
            <w:vAlign w:val="bottom"/>
            <w:hideMark/>
          </w:tcPr>
          <w:p w14:paraId="68F04DEC"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0.0095</w:t>
            </w:r>
          </w:p>
        </w:tc>
        <w:tc>
          <w:tcPr>
            <w:tcW w:w="641" w:type="pct"/>
            <w:shd w:val="clear" w:color="auto" w:fill="auto"/>
            <w:noWrap/>
            <w:vAlign w:val="bottom"/>
            <w:hideMark/>
          </w:tcPr>
          <w:p w14:paraId="65EA45DA"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0.001</w:t>
            </w:r>
          </w:p>
        </w:tc>
      </w:tr>
      <w:tr w:rsidR="00A3644F" w:rsidRPr="00B275E2" w14:paraId="05B72B79" w14:textId="77777777" w:rsidTr="001E4F7B">
        <w:tc>
          <w:tcPr>
            <w:tcW w:w="1316" w:type="pct"/>
            <w:shd w:val="clear" w:color="auto" w:fill="auto"/>
            <w:noWrap/>
            <w:hideMark/>
          </w:tcPr>
          <w:p w14:paraId="335BB03E" w14:textId="6831F8F9"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 xml:space="preserve">Coal – </w:t>
            </w:r>
            <w:r w:rsidR="004571DF" w:rsidRPr="00B275E2">
              <w:rPr>
                <w:rFonts w:eastAsia="Times New Roman" w:cs="Calibri"/>
                <w:szCs w:val="18"/>
              </w:rPr>
              <w:t>l</w:t>
            </w:r>
            <w:r w:rsidRPr="00B275E2">
              <w:rPr>
                <w:rFonts w:eastAsia="Times New Roman" w:cs="Calibri"/>
                <w:szCs w:val="18"/>
              </w:rPr>
              <w:t>ignite</w:t>
            </w:r>
          </w:p>
        </w:tc>
        <w:tc>
          <w:tcPr>
            <w:tcW w:w="658" w:type="pct"/>
            <w:shd w:val="clear" w:color="auto" w:fill="auto"/>
            <w:noWrap/>
            <w:hideMark/>
          </w:tcPr>
          <w:p w14:paraId="5F85000E" w14:textId="7777777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Industry</w:t>
            </w:r>
          </w:p>
        </w:tc>
        <w:tc>
          <w:tcPr>
            <w:tcW w:w="411" w:type="pct"/>
            <w:shd w:val="clear" w:color="auto" w:fill="auto"/>
            <w:noWrap/>
            <w:hideMark/>
          </w:tcPr>
          <w:p w14:paraId="0C600882" w14:textId="7777777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kg</w:t>
            </w:r>
          </w:p>
        </w:tc>
        <w:tc>
          <w:tcPr>
            <w:tcW w:w="822" w:type="pct"/>
            <w:shd w:val="clear" w:color="auto" w:fill="auto"/>
            <w:noWrap/>
            <w:vAlign w:val="bottom"/>
            <w:hideMark/>
          </w:tcPr>
          <w:p w14:paraId="5B331A86"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15.26</w:t>
            </w:r>
          </w:p>
        </w:tc>
        <w:tc>
          <w:tcPr>
            <w:tcW w:w="576" w:type="pct"/>
            <w:shd w:val="clear" w:color="auto" w:fill="auto"/>
            <w:noWrap/>
            <w:vAlign w:val="bottom"/>
            <w:hideMark/>
          </w:tcPr>
          <w:p w14:paraId="528D6277"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93.11</w:t>
            </w:r>
          </w:p>
        </w:tc>
        <w:tc>
          <w:tcPr>
            <w:tcW w:w="576" w:type="pct"/>
            <w:shd w:val="clear" w:color="auto" w:fill="auto"/>
            <w:noWrap/>
            <w:vAlign w:val="bottom"/>
            <w:hideMark/>
          </w:tcPr>
          <w:p w14:paraId="15075CA1"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0.0095</w:t>
            </w:r>
          </w:p>
        </w:tc>
        <w:tc>
          <w:tcPr>
            <w:tcW w:w="641" w:type="pct"/>
            <w:shd w:val="clear" w:color="auto" w:fill="auto"/>
            <w:noWrap/>
            <w:vAlign w:val="bottom"/>
            <w:hideMark/>
          </w:tcPr>
          <w:p w14:paraId="56794775"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0.001</w:t>
            </w:r>
          </w:p>
        </w:tc>
      </w:tr>
      <w:tr w:rsidR="00A3644F" w:rsidRPr="00B275E2" w14:paraId="0D4C81B7" w14:textId="77777777" w:rsidTr="001E4F7B">
        <w:tc>
          <w:tcPr>
            <w:tcW w:w="1316" w:type="pct"/>
            <w:shd w:val="clear" w:color="auto" w:fill="auto"/>
            <w:noWrap/>
            <w:hideMark/>
          </w:tcPr>
          <w:p w14:paraId="5F0B7DDF" w14:textId="7777777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Diesel</w:t>
            </w:r>
          </w:p>
        </w:tc>
        <w:tc>
          <w:tcPr>
            <w:tcW w:w="658" w:type="pct"/>
            <w:shd w:val="clear" w:color="auto" w:fill="auto"/>
            <w:noWrap/>
            <w:hideMark/>
          </w:tcPr>
          <w:p w14:paraId="56E8C7B3" w14:textId="7777777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Industry</w:t>
            </w:r>
          </w:p>
        </w:tc>
        <w:tc>
          <w:tcPr>
            <w:tcW w:w="411" w:type="pct"/>
            <w:shd w:val="clear" w:color="auto" w:fill="auto"/>
            <w:noWrap/>
            <w:hideMark/>
          </w:tcPr>
          <w:p w14:paraId="3B420940" w14:textId="7777777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litre</w:t>
            </w:r>
          </w:p>
        </w:tc>
        <w:tc>
          <w:tcPr>
            <w:tcW w:w="822" w:type="pct"/>
            <w:shd w:val="clear" w:color="auto" w:fill="auto"/>
            <w:noWrap/>
            <w:vAlign w:val="bottom"/>
            <w:hideMark/>
          </w:tcPr>
          <w:p w14:paraId="6F69B350"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38.21</w:t>
            </w:r>
          </w:p>
        </w:tc>
        <w:tc>
          <w:tcPr>
            <w:tcW w:w="576" w:type="pct"/>
            <w:shd w:val="clear" w:color="auto" w:fill="auto"/>
            <w:noWrap/>
            <w:vAlign w:val="bottom"/>
            <w:hideMark/>
          </w:tcPr>
          <w:p w14:paraId="451106D0"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69.31</w:t>
            </w:r>
          </w:p>
        </w:tc>
        <w:tc>
          <w:tcPr>
            <w:tcW w:w="576" w:type="pct"/>
            <w:shd w:val="clear" w:color="auto" w:fill="auto"/>
            <w:noWrap/>
            <w:vAlign w:val="bottom"/>
            <w:hideMark/>
          </w:tcPr>
          <w:p w14:paraId="393F320E"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0.0029</w:t>
            </w:r>
          </w:p>
        </w:tc>
        <w:tc>
          <w:tcPr>
            <w:tcW w:w="641" w:type="pct"/>
            <w:shd w:val="clear" w:color="auto" w:fill="auto"/>
            <w:noWrap/>
            <w:vAlign w:val="bottom"/>
            <w:hideMark/>
          </w:tcPr>
          <w:p w14:paraId="48700A6B"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0.0006</w:t>
            </w:r>
          </w:p>
        </w:tc>
      </w:tr>
      <w:tr w:rsidR="00A3644F" w:rsidRPr="00B275E2" w14:paraId="39E8C2D8" w14:textId="77777777" w:rsidTr="001E4F7B">
        <w:tc>
          <w:tcPr>
            <w:tcW w:w="1316" w:type="pct"/>
            <w:shd w:val="clear" w:color="auto" w:fill="auto"/>
            <w:noWrap/>
            <w:hideMark/>
          </w:tcPr>
          <w:p w14:paraId="4B1910F6" w14:textId="7777777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LPG</w:t>
            </w:r>
          </w:p>
        </w:tc>
        <w:tc>
          <w:tcPr>
            <w:tcW w:w="658" w:type="pct"/>
            <w:shd w:val="clear" w:color="auto" w:fill="auto"/>
            <w:noWrap/>
            <w:hideMark/>
          </w:tcPr>
          <w:p w14:paraId="1BAC9226" w14:textId="7777777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Industry</w:t>
            </w:r>
          </w:p>
        </w:tc>
        <w:tc>
          <w:tcPr>
            <w:tcW w:w="411" w:type="pct"/>
            <w:shd w:val="clear" w:color="auto" w:fill="auto"/>
            <w:noWrap/>
            <w:hideMark/>
          </w:tcPr>
          <w:p w14:paraId="466F7B0B" w14:textId="7777777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kg</w:t>
            </w:r>
          </w:p>
        </w:tc>
        <w:tc>
          <w:tcPr>
            <w:tcW w:w="822" w:type="pct"/>
            <w:shd w:val="clear" w:color="auto" w:fill="auto"/>
            <w:noWrap/>
            <w:vAlign w:val="bottom"/>
            <w:hideMark/>
          </w:tcPr>
          <w:p w14:paraId="3DD03A86"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50.00</w:t>
            </w:r>
          </w:p>
        </w:tc>
        <w:tc>
          <w:tcPr>
            <w:tcW w:w="576" w:type="pct"/>
            <w:shd w:val="clear" w:color="auto" w:fill="auto"/>
            <w:noWrap/>
            <w:vAlign w:val="bottom"/>
            <w:hideMark/>
          </w:tcPr>
          <w:p w14:paraId="7862053C"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60.43</w:t>
            </w:r>
          </w:p>
        </w:tc>
        <w:tc>
          <w:tcPr>
            <w:tcW w:w="576" w:type="pct"/>
            <w:shd w:val="clear" w:color="auto" w:fill="auto"/>
            <w:noWrap/>
            <w:vAlign w:val="bottom"/>
            <w:hideMark/>
          </w:tcPr>
          <w:p w14:paraId="636FD7D7"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0.001</w:t>
            </w:r>
          </w:p>
        </w:tc>
        <w:tc>
          <w:tcPr>
            <w:tcW w:w="641" w:type="pct"/>
            <w:shd w:val="clear" w:color="auto" w:fill="auto"/>
            <w:noWrap/>
            <w:vAlign w:val="bottom"/>
            <w:hideMark/>
          </w:tcPr>
          <w:p w14:paraId="54B8357C"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0.0001</w:t>
            </w:r>
          </w:p>
        </w:tc>
      </w:tr>
      <w:tr w:rsidR="00A3644F" w:rsidRPr="00B275E2" w14:paraId="64830509" w14:textId="77777777" w:rsidTr="001E4F7B">
        <w:tc>
          <w:tcPr>
            <w:tcW w:w="1316" w:type="pct"/>
            <w:shd w:val="clear" w:color="auto" w:fill="auto"/>
            <w:noWrap/>
            <w:hideMark/>
          </w:tcPr>
          <w:p w14:paraId="3187A86B" w14:textId="0B77E7BA"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 xml:space="preserve">Heavy </w:t>
            </w:r>
            <w:r w:rsidR="004571DF" w:rsidRPr="00B275E2">
              <w:rPr>
                <w:rFonts w:eastAsia="Times New Roman" w:cs="Calibri"/>
                <w:szCs w:val="18"/>
              </w:rPr>
              <w:t>f</w:t>
            </w:r>
            <w:r w:rsidRPr="00B275E2">
              <w:rPr>
                <w:rFonts w:eastAsia="Times New Roman" w:cs="Calibri"/>
                <w:szCs w:val="18"/>
              </w:rPr>
              <w:t xml:space="preserve">uel </w:t>
            </w:r>
            <w:r w:rsidR="004571DF" w:rsidRPr="00B275E2">
              <w:rPr>
                <w:rFonts w:eastAsia="Times New Roman" w:cs="Calibri"/>
                <w:szCs w:val="18"/>
              </w:rPr>
              <w:t>o</w:t>
            </w:r>
            <w:r w:rsidRPr="00B275E2">
              <w:rPr>
                <w:rFonts w:eastAsia="Times New Roman" w:cs="Calibri"/>
                <w:szCs w:val="18"/>
              </w:rPr>
              <w:t>il</w:t>
            </w:r>
          </w:p>
        </w:tc>
        <w:tc>
          <w:tcPr>
            <w:tcW w:w="658" w:type="pct"/>
            <w:shd w:val="clear" w:color="auto" w:fill="auto"/>
            <w:noWrap/>
            <w:hideMark/>
          </w:tcPr>
          <w:p w14:paraId="3C54E371" w14:textId="7777777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Industry</w:t>
            </w:r>
          </w:p>
        </w:tc>
        <w:tc>
          <w:tcPr>
            <w:tcW w:w="411" w:type="pct"/>
            <w:shd w:val="clear" w:color="auto" w:fill="auto"/>
            <w:noWrap/>
            <w:hideMark/>
          </w:tcPr>
          <w:p w14:paraId="1FA64656" w14:textId="7777777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litre</w:t>
            </w:r>
          </w:p>
        </w:tc>
        <w:tc>
          <w:tcPr>
            <w:tcW w:w="822" w:type="pct"/>
            <w:shd w:val="clear" w:color="auto" w:fill="auto"/>
            <w:noWrap/>
            <w:vAlign w:val="bottom"/>
            <w:hideMark/>
          </w:tcPr>
          <w:p w14:paraId="48E51461"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40.90</w:t>
            </w:r>
          </w:p>
        </w:tc>
        <w:tc>
          <w:tcPr>
            <w:tcW w:w="576" w:type="pct"/>
            <w:shd w:val="clear" w:color="auto" w:fill="auto"/>
            <w:noWrap/>
            <w:vAlign w:val="bottom"/>
            <w:hideMark/>
          </w:tcPr>
          <w:p w14:paraId="174B9D7D"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73.59</w:t>
            </w:r>
          </w:p>
        </w:tc>
        <w:tc>
          <w:tcPr>
            <w:tcW w:w="576" w:type="pct"/>
            <w:shd w:val="clear" w:color="auto" w:fill="auto"/>
            <w:noWrap/>
            <w:vAlign w:val="bottom"/>
            <w:hideMark/>
          </w:tcPr>
          <w:p w14:paraId="4AE58C7E"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0.003</w:t>
            </w:r>
          </w:p>
        </w:tc>
        <w:tc>
          <w:tcPr>
            <w:tcW w:w="641" w:type="pct"/>
            <w:shd w:val="clear" w:color="auto" w:fill="auto"/>
            <w:noWrap/>
            <w:vAlign w:val="bottom"/>
            <w:hideMark/>
          </w:tcPr>
          <w:p w14:paraId="634B8D92"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0.0006</w:t>
            </w:r>
          </w:p>
        </w:tc>
      </w:tr>
      <w:tr w:rsidR="00A3644F" w:rsidRPr="00B275E2" w14:paraId="7C1F63FF" w14:textId="77777777" w:rsidTr="001E4F7B">
        <w:tc>
          <w:tcPr>
            <w:tcW w:w="1316" w:type="pct"/>
            <w:shd w:val="clear" w:color="auto" w:fill="auto"/>
            <w:noWrap/>
            <w:hideMark/>
          </w:tcPr>
          <w:p w14:paraId="116512CC" w14:textId="3F58A9B5"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 xml:space="preserve">Light </w:t>
            </w:r>
            <w:r w:rsidR="004571DF" w:rsidRPr="00B275E2">
              <w:rPr>
                <w:rFonts w:eastAsia="Times New Roman" w:cs="Calibri"/>
                <w:szCs w:val="18"/>
              </w:rPr>
              <w:t>f</w:t>
            </w:r>
            <w:r w:rsidRPr="00B275E2">
              <w:rPr>
                <w:rFonts w:eastAsia="Times New Roman" w:cs="Calibri"/>
                <w:szCs w:val="18"/>
              </w:rPr>
              <w:t xml:space="preserve">uel </w:t>
            </w:r>
            <w:r w:rsidR="004571DF" w:rsidRPr="00B275E2">
              <w:rPr>
                <w:rFonts w:eastAsia="Times New Roman" w:cs="Calibri"/>
                <w:szCs w:val="18"/>
              </w:rPr>
              <w:t>o</w:t>
            </w:r>
            <w:r w:rsidRPr="00B275E2">
              <w:rPr>
                <w:rFonts w:eastAsia="Times New Roman" w:cs="Calibri"/>
                <w:szCs w:val="18"/>
              </w:rPr>
              <w:t>il</w:t>
            </w:r>
          </w:p>
        </w:tc>
        <w:tc>
          <w:tcPr>
            <w:tcW w:w="658" w:type="pct"/>
            <w:shd w:val="clear" w:color="auto" w:fill="auto"/>
            <w:noWrap/>
            <w:hideMark/>
          </w:tcPr>
          <w:p w14:paraId="6D8EDE7E" w14:textId="7777777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Industry</w:t>
            </w:r>
          </w:p>
        </w:tc>
        <w:tc>
          <w:tcPr>
            <w:tcW w:w="411" w:type="pct"/>
            <w:shd w:val="clear" w:color="auto" w:fill="auto"/>
            <w:noWrap/>
            <w:hideMark/>
          </w:tcPr>
          <w:p w14:paraId="1CFA856E" w14:textId="7777777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litre</w:t>
            </w:r>
          </w:p>
        </w:tc>
        <w:tc>
          <w:tcPr>
            <w:tcW w:w="822" w:type="pct"/>
            <w:shd w:val="clear" w:color="auto" w:fill="auto"/>
            <w:noWrap/>
            <w:vAlign w:val="bottom"/>
            <w:hideMark/>
          </w:tcPr>
          <w:p w14:paraId="51DD97F7"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40.32</w:t>
            </w:r>
          </w:p>
        </w:tc>
        <w:tc>
          <w:tcPr>
            <w:tcW w:w="576" w:type="pct"/>
            <w:shd w:val="clear" w:color="auto" w:fill="auto"/>
            <w:noWrap/>
            <w:vAlign w:val="bottom"/>
            <w:hideMark/>
          </w:tcPr>
          <w:p w14:paraId="3D1BB1C0"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72.30</w:t>
            </w:r>
          </w:p>
        </w:tc>
        <w:tc>
          <w:tcPr>
            <w:tcW w:w="576" w:type="pct"/>
            <w:shd w:val="clear" w:color="auto" w:fill="auto"/>
            <w:noWrap/>
            <w:vAlign w:val="bottom"/>
            <w:hideMark/>
          </w:tcPr>
          <w:p w14:paraId="6A7EF67A"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0.003</w:t>
            </w:r>
          </w:p>
        </w:tc>
        <w:tc>
          <w:tcPr>
            <w:tcW w:w="641" w:type="pct"/>
            <w:shd w:val="clear" w:color="auto" w:fill="auto"/>
            <w:noWrap/>
            <w:vAlign w:val="bottom"/>
            <w:hideMark/>
          </w:tcPr>
          <w:p w14:paraId="23C29D75"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0.0006</w:t>
            </w:r>
          </w:p>
        </w:tc>
      </w:tr>
      <w:tr w:rsidR="007E190E" w:rsidRPr="00B275E2" w14:paraId="147343B0" w14:textId="77777777" w:rsidTr="001E4F7B">
        <w:tc>
          <w:tcPr>
            <w:tcW w:w="5000" w:type="pct"/>
            <w:gridSpan w:val="7"/>
            <w:shd w:val="clear" w:color="auto" w:fill="D2DDE1" w:themeFill="background2"/>
            <w:noWrap/>
            <w:hideMark/>
          </w:tcPr>
          <w:p w14:paraId="5B4C2D50" w14:textId="735B19F5" w:rsidR="007E190E" w:rsidRPr="00B275E2" w:rsidRDefault="007E190E" w:rsidP="00A3644F">
            <w:pPr>
              <w:pStyle w:val="TableText"/>
              <w:spacing w:before="40" w:after="40"/>
              <w:rPr>
                <w:rFonts w:cs="Calibri"/>
                <w:b/>
                <w:bCs/>
                <w:szCs w:val="18"/>
              </w:rPr>
            </w:pPr>
            <w:r w:rsidRPr="00B275E2">
              <w:rPr>
                <w:rFonts w:cs="Calibri"/>
                <w:b/>
                <w:bCs/>
                <w:szCs w:val="18"/>
              </w:rPr>
              <w:t xml:space="preserve">Transport </w:t>
            </w:r>
            <w:r w:rsidR="004571DF" w:rsidRPr="00B275E2">
              <w:rPr>
                <w:rFonts w:cs="Calibri"/>
                <w:b/>
                <w:bCs/>
                <w:szCs w:val="18"/>
              </w:rPr>
              <w:t>f</w:t>
            </w:r>
            <w:r w:rsidRPr="00B275E2">
              <w:rPr>
                <w:rFonts w:cs="Calibri"/>
                <w:b/>
                <w:bCs/>
                <w:szCs w:val="18"/>
              </w:rPr>
              <w:t>uels</w:t>
            </w:r>
          </w:p>
        </w:tc>
      </w:tr>
      <w:tr w:rsidR="00A3644F" w:rsidRPr="00B275E2" w14:paraId="3E4F1788" w14:textId="77777777" w:rsidTr="001E4F7B">
        <w:tc>
          <w:tcPr>
            <w:tcW w:w="1316" w:type="pct"/>
            <w:shd w:val="clear" w:color="auto" w:fill="auto"/>
            <w:noWrap/>
            <w:hideMark/>
          </w:tcPr>
          <w:p w14:paraId="24F86073" w14:textId="1A0FC589"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 xml:space="preserve">Regular </w:t>
            </w:r>
            <w:r w:rsidR="004571DF" w:rsidRPr="00B275E2">
              <w:rPr>
                <w:rFonts w:eastAsia="Times New Roman" w:cs="Calibri"/>
                <w:szCs w:val="18"/>
              </w:rPr>
              <w:t>p</w:t>
            </w:r>
            <w:r w:rsidRPr="00B275E2">
              <w:rPr>
                <w:rFonts w:eastAsia="Times New Roman" w:cs="Calibri"/>
                <w:szCs w:val="18"/>
              </w:rPr>
              <w:t>etrol</w:t>
            </w:r>
          </w:p>
        </w:tc>
        <w:tc>
          <w:tcPr>
            <w:tcW w:w="658" w:type="pct"/>
            <w:shd w:val="clear" w:color="auto" w:fill="auto"/>
            <w:noWrap/>
            <w:hideMark/>
          </w:tcPr>
          <w:p w14:paraId="6798E761" w14:textId="7777777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Mobile use</w:t>
            </w:r>
          </w:p>
        </w:tc>
        <w:tc>
          <w:tcPr>
            <w:tcW w:w="411" w:type="pct"/>
            <w:shd w:val="clear" w:color="auto" w:fill="auto"/>
            <w:noWrap/>
            <w:hideMark/>
          </w:tcPr>
          <w:p w14:paraId="6FF158A4" w14:textId="7777777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litre</w:t>
            </w:r>
          </w:p>
        </w:tc>
        <w:tc>
          <w:tcPr>
            <w:tcW w:w="822" w:type="pct"/>
            <w:shd w:val="clear" w:color="auto" w:fill="auto"/>
            <w:noWrap/>
            <w:vAlign w:val="bottom"/>
            <w:hideMark/>
          </w:tcPr>
          <w:p w14:paraId="18E274B5"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35.17</w:t>
            </w:r>
          </w:p>
        </w:tc>
        <w:tc>
          <w:tcPr>
            <w:tcW w:w="576" w:type="pct"/>
            <w:shd w:val="clear" w:color="auto" w:fill="auto"/>
            <w:noWrap/>
            <w:vAlign w:val="bottom"/>
            <w:hideMark/>
          </w:tcPr>
          <w:p w14:paraId="42A3F13C"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66.70</w:t>
            </w:r>
          </w:p>
        </w:tc>
        <w:tc>
          <w:tcPr>
            <w:tcW w:w="576" w:type="pct"/>
            <w:shd w:val="clear" w:color="auto" w:fill="auto"/>
            <w:noWrap/>
            <w:vAlign w:val="bottom"/>
            <w:hideMark/>
          </w:tcPr>
          <w:p w14:paraId="266A6E74"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0.03</w:t>
            </w:r>
          </w:p>
        </w:tc>
        <w:tc>
          <w:tcPr>
            <w:tcW w:w="641" w:type="pct"/>
            <w:shd w:val="clear" w:color="auto" w:fill="auto"/>
            <w:noWrap/>
            <w:vAlign w:val="bottom"/>
            <w:hideMark/>
          </w:tcPr>
          <w:p w14:paraId="5C1C21F2"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0.008</w:t>
            </w:r>
          </w:p>
        </w:tc>
      </w:tr>
      <w:tr w:rsidR="00A3644F" w:rsidRPr="00B275E2" w14:paraId="01A85C50" w14:textId="77777777" w:rsidTr="001E4F7B">
        <w:tc>
          <w:tcPr>
            <w:tcW w:w="1316" w:type="pct"/>
            <w:shd w:val="clear" w:color="auto" w:fill="auto"/>
            <w:noWrap/>
            <w:hideMark/>
          </w:tcPr>
          <w:p w14:paraId="7B469558" w14:textId="215EF64A"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 xml:space="preserve">Premium </w:t>
            </w:r>
            <w:r w:rsidR="004571DF" w:rsidRPr="00B275E2">
              <w:rPr>
                <w:rFonts w:eastAsia="Times New Roman" w:cs="Calibri"/>
                <w:szCs w:val="18"/>
              </w:rPr>
              <w:t>p</w:t>
            </w:r>
            <w:r w:rsidRPr="00B275E2">
              <w:rPr>
                <w:rFonts w:eastAsia="Times New Roman" w:cs="Calibri"/>
                <w:szCs w:val="18"/>
              </w:rPr>
              <w:t>etrol</w:t>
            </w:r>
          </w:p>
        </w:tc>
        <w:tc>
          <w:tcPr>
            <w:tcW w:w="658" w:type="pct"/>
            <w:shd w:val="clear" w:color="auto" w:fill="auto"/>
            <w:noWrap/>
            <w:hideMark/>
          </w:tcPr>
          <w:p w14:paraId="5DDC421C" w14:textId="7777777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Mobile use</w:t>
            </w:r>
          </w:p>
        </w:tc>
        <w:tc>
          <w:tcPr>
            <w:tcW w:w="411" w:type="pct"/>
            <w:shd w:val="clear" w:color="auto" w:fill="auto"/>
            <w:noWrap/>
            <w:hideMark/>
          </w:tcPr>
          <w:p w14:paraId="65E110CC" w14:textId="7777777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litre</w:t>
            </w:r>
          </w:p>
        </w:tc>
        <w:tc>
          <w:tcPr>
            <w:tcW w:w="822" w:type="pct"/>
            <w:shd w:val="clear" w:color="auto" w:fill="auto"/>
            <w:noWrap/>
            <w:vAlign w:val="bottom"/>
            <w:hideMark/>
          </w:tcPr>
          <w:p w14:paraId="064E6025"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35.38</w:t>
            </w:r>
          </w:p>
        </w:tc>
        <w:tc>
          <w:tcPr>
            <w:tcW w:w="576" w:type="pct"/>
            <w:shd w:val="clear" w:color="auto" w:fill="auto"/>
            <w:noWrap/>
            <w:vAlign w:val="bottom"/>
            <w:hideMark/>
          </w:tcPr>
          <w:p w14:paraId="07CB0C7D"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66.12</w:t>
            </w:r>
          </w:p>
        </w:tc>
        <w:tc>
          <w:tcPr>
            <w:tcW w:w="576" w:type="pct"/>
            <w:shd w:val="clear" w:color="auto" w:fill="auto"/>
            <w:noWrap/>
            <w:vAlign w:val="bottom"/>
            <w:hideMark/>
          </w:tcPr>
          <w:p w14:paraId="13AACEDC"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0.03</w:t>
            </w:r>
          </w:p>
        </w:tc>
        <w:tc>
          <w:tcPr>
            <w:tcW w:w="641" w:type="pct"/>
            <w:shd w:val="clear" w:color="auto" w:fill="auto"/>
            <w:noWrap/>
            <w:vAlign w:val="bottom"/>
            <w:hideMark/>
          </w:tcPr>
          <w:p w14:paraId="1ACE9149"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0.008</w:t>
            </w:r>
          </w:p>
        </w:tc>
      </w:tr>
      <w:tr w:rsidR="00A3644F" w:rsidRPr="00B275E2" w14:paraId="5250F217" w14:textId="77777777" w:rsidTr="001E4F7B">
        <w:tc>
          <w:tcPr>
            <w:tcW w:w="1316" w:type="pct"/>
            <w:shd w:val="clear" w:color="auto" w:fill="auto"/>
            <w:noWrap/>
            <w:hideMark/>
          </w:tcPr>
          <w:p w14:paraId="32EA24C8" w14:textId="7777777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Diesel</w:t>
            </w:r>
          </w:p>
        </w:tc>
        <w:tc>
          <w:tcPr>
            <w:tcW w:w="658" w:type="pct"/>
            <w:shd w:val="clear" w:color="auto" w:fill="auto"/>
            <w:noWrap/>
            <w:hideMark/>
          </w:tcPr>
          <w:p w14:paraId="5B91DD94" w14:textId="7777777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Mobile use</w:t>
            </w:r>
          </w:p>
        </w:tc>
        <w:tc>
          <w:tcPr>
            <w:tcW w:w="411" w:type="pct"/>
            <w:shd w:val="clear" w:color="auto" w:fill="auto"/>
            <w:noWrap/>
            <w:hideMark/>
          </w:tcPr>
          <w:p w14:paraId="05EE62B4" w14:textId="7777777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litre</w:t>
            </w:r>
          </w:p>
        </w:tc>
        <w:tc>
          <w:tcPr>
            <w:tcW w:w="822" w:type="pct"/>
            <w:shd w:val="clear" w:color="auto" w:fill="auto"/>
            <w:noWrap/>
            <w:vAlign w:val="bottom"/>
            <w:hideMark/>
          </w:tcPr>
          <w:p w14:paraId="254D4CCA"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38.21</w:t>
            </w:r>
          </w:p>
        </w:tc>
        <w:tc>
          <w:tcPr>
            <w:tcW w:w="576" w:type="pct"/>
            <w:shd w:val="clear" w:color="auto" w:fill="auto"/>
            <w:noWrap/>
            <w:vAlign w:val="bottom"/>
            <w:hideMark/>
          </w:tcPr>
          <w:p w14:paraId="21879A1B"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69.31</w:t>
            </w:r>
          </w:p>
        </w:tc>
        <w:tc>
          <w:tcPr>
            <w:tcW w:w="576" w:type="pct"/>
            <w:shd w:val="clear" w:color="auto" w:fill="auto"/>
            <w:noWrap/>
            <w:vAlign w:val="bottom"/>
            <w:hideMark/>
          </w:tcPr>
          <w:p w14:paraId="6A2FC48A"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0.004</w:t>
            </w:r>
          </w:p>
        </w:tc>
        <w:tc>
          <w:tcPr>
            <w:tcW w:w="641" w:type="pct"/>
            <w:shd w:val="clear" w:color="auto" w:fill="auto"/>
            <w:noWrap/>
            <w:vAlign w:val="bottom"/>
            <w:hideMark/>
          </w:tcPr>
          <w:p w14:paraId="4593CDF4"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0.004</w:t>
            </w:r>
          </w:p>
        </w:tc>
      </w:tr>
      <w:tr w:rsidR="00A3644F" w:rsidRPr="00B275E2" w14:paraId="7C5FA75A" w14:textId="77777777" w:rsidTr="001E4F7B">
        <w:tc>
          <w:tcPr>
            <w:tcW w:w="1316" w:type="pct"/>
            <w:shd w:val="clear" w:color="auto" w:fill="auto"/>
            <w:noWrap/>
            <w:hideMark/>
          </w:tcPr>
          <w:p w14:paraId="06643E24" w14:textId="7777777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LPG</w:t>
            </w:r>
          </w:p>
        </w:tc>
        <w:tc>
          <w:tcPr>
            <w:tcW w:w="658" w:type="pct"/>
            <w:shd w:val="clear" w:color="auto" w:fill="auto"/>
            <w:noWrap/>
            <w:hideMark/>
          </w:tcPr>
          <w:p w14:paraId="4EB0A020" w14:textId="7777777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Mobile use</w:t>
            </w:r>
          </w:p>
        </w:tc>
        <w:tc>
          <w:tcPr>
            <w:tcW w:w="411" w:type="pct"/>
            <w:shd w:val="clear" w:color="auto" w:fill="auto"/>
            <w:noWrap/>
            <w:hideMark/>
          </w:tcPr>
          <w:p w14:paraId="68FBDC8A" w14:textId="7777777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litre</w:t>
            </w:r>
          </w:p>
        </w:tc>
        <w:tc>
          <w:tcPr>
            <w:tcW w:w="822" w:type="pct"/>
            <w:shd w:val="clear" w:color="auto" w:fill="auto"/>
            <w:noWrap/>
            <w:vAlign w:val="bottom"/>
            <w:hideMark/>
          </w:tcPr>
          <w:p w14:paraId="21489012"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26.54</w:t>
            </w:r>
          </w:p>
        </w:tc>
        <w:tc>
          <w:tcPr>
            <w:tcW w:w="576" w:type="pct"/>
            <w:shd w:val="clear" w:color="auto" w:fill="auto"/>
            <w:noWrap/>
            <w:vAlign w:val="bottom"/>
            <w:hideMark/>
          </w:tcPr>
          <w:p w14:paraId="77CBD8A1"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60.43</w:t>
            </w:r>
          </w:p>
        </w:tc>
        <w:tc>
          <w:tcPr>
            <w:tcW w:w="576" w:type="pct"/>
            <w:shd w:val="clear" w:color="auto" w:fill="auto"/>
            <w:noWrap/>
            <w:vAlign w:val="bottom"/>
            <w:hideMark/>
          </w:tcPr>
          <w:p w14:paraId="62428D60"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0.06</w:t>
            </w:r>
          </w:p>
        </w:tc>
        <w:tc>
          <w:tcPr>
            <w:tcW w:w="641" w:type="pct"/>
            <w:shd w:val="clear" w:color="auto" w:fill="auto"/>
            <w:noWrap/>
            <w:vAlign w:val="bottom"/>
            <w:hideMark/>
          </w:tcPr>
          <w:p w14:paraId="2E368381"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0.0002</w:t>
            </w:r>
          </w:p>
        </w:tc>
      </w:tr>
      <w:tr w:rsidR="00A3644F" w:rsidRPr="00B275E2" w14:paraId="352D7192" w14:textId="77777777" w:rsidTr="001E4F7B">
        <w:tc>
          <w:tcPr>
            <w:tcW w:w="1316" w:type="pct"/>
            <w:shd w:val="clear" w:color="auto" w:fill="auto"/>
            <w:noWrap/>
            <w:hideMark/>
          </w:tcPr>
          <w:p w14:paraId="7CA43070" w14:textId="5BF69209"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 xml:space="preserve">Heavy </w:t>
            </w:r>
            <w:r w:rsidR="004571DF" w:rsidRPr="00B275E2">
              <w:rPr>
                <w:rFonts w:eastAsia="Times New Roman" w:cs="Calibri"/>
                <w:szCs w:val="18"/>
              </w:rPr>
              <w:t>f</w:t>
            </w:r>
            <w:r w:rsidRPr="00B275E2">
              <w:rPr>
                <w:rFonts w:eastAsia="Times New Roman" w:cs="Calibri"/>
                <w:szCs w:val="18"/>
              </w:rPr>
              <w:t xml:space="preserve">uel </w:t>
            </w:r>
            <w:r w:rsidR="004571DF" w:rsidRPr="00B275E2">
              <w:rPr>
                <w:rFonts w:eastAsia="Times New Roman" w:cs="Calibri"/>
                <w:szCs w:val="18"/>
              </w:rPr>
              <w:t>o</w:t>
            </w:r>
            <w:r w:rsidRPr="00B275E2">
              <w:rPr>
                <w:rFonts w:eastAsia="Times New Roman" w:cs="Calibri"/>
                <w:szCs w:val="18"/>
              </w:rPr>
              <w:t>il</w:t>
            </w:r>
          </w:p>
        </w:tc>
        <w:tc>
          <w:tcPr>
            <w:tcW w:w="658" w:type="pct"/>
            <w:shd w:val="clear" w:color="auto" w:fill="auto"/>
            <w:noWrap/>
            <w:hideMark/>
          </w:tcPr>
          <w:p w14:paraId="41E3258F" w14:textId="7777777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Mobile use</w:t>
            </w:r>
          </w:p>
        </w:tc>
        <w:tc>
          <w:tcPr>
            <w:tcW w:w="411" w:type="pct"/>
            <w:shd w:val="clear" w:color="auto" w:fill="auto"/>
            <w:noWrap/>
            <w:hideMark/>
          </w:tcPr>
          <w:p w14:paraId="4224B5F1" w14:textId="7777777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litre</w:t>
            </w:r>
          </w:p>
        </w:tc>
        <w:tc>
          <w:tcPr>
            <w:tcW w:w="822" w:type="pct"/>
            <w:shd w:val="clear" w:color="auto" w:fill="auto"/>
            <w:noWrap/>
            <w:vAlign w:val="bottom"/>
            <w:hideMark/>
          </w:tcPr>
          <w:p w14:paraId="1564B3F9"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40.90</w:t>
            </w:r>
          </w:p>
        </w:tc>
        <w:tc>
          <w:tcPr>
            <w:tcW w:w="576" w:type="pct"/>
            <w:shd w:val="clear" w:color="auto" w:fill="auto"/>
            <w:noWrap/>
            <w:vAlign w:val="bottom"/>
            <w:hideMark/>
          </w:tcPr>
          <w:p w14:paraId="53590DA1"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73.59</w:t>
            </w:r>
          </w:p>
        </w:tc>
        <w:tc>
          <w:tcPr>
            <w:tcW w:w="576" w:type="pct"/>
            <w:shd w:val="clear" w:color="auto" w:fill="auto"/>
            <w:noWrap/>
            <w:vAlign w:val="bottom"/>
            <w:hideMark/>
          </w:tcPr>
          <w:p w14:paraId="1A6CBFD8"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0.007</w:t>
            </w:r>
          </w:p>
        </w:tc>
        <w:tc>
          <w:tcPr>
            <w:tcW w:w="641" w:type="pct"/>
            <w:shd w:val="clear" w:color="auto" w:fill="auto"/>
            <w:noWrap/>
            <w:vAlign w:val="bottom"/>
            <w:hideMark/>
          </w:tcPr>
          <w:p w14:paraId="59087997"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0.002</w:t>
            </w:r>
          </w:p>
        </w:tc>
      </w:tr>
      <w:tr w:rsidR="00A3644F" w:rsidRPr="00B275E2" w14:paraId="68170E34" w14:textId="77777777" w:rsidTr="001E4F7B">
        <w:tc>
          <w:tcPr>
            <w:tcW w:w="1316" w:type="pct"/>
            <w:shd w:val="clear" w:color="auto" w:fill="auto"/>
            <w:noWrap/>
            <w:hideMark/>
          </w:tcPr>
          <w:p w14:paraId="2B6AAE1B" w14:textId="2373FBA1"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 xml:space="preserve">Light </w:t>
            </w:r>
            <w:r w:rsidR="004571DF" w:rsidRPr="00B275E2">
              <w:rPr>
                <w:rFonts w:eastAsia="Times New Roman" w:cs="Calibri"/>
                <w:szCs w:val="18"/>
              </w:rPr>
              <w:t>f</w:t>
            </w:r>
            <w:r w:rsidRPr="00B275E2">
              <w:rPr>
                <w:rFonts w:eastAsia="Times New Roman" w:cs="Calibri"/>
                <w:szCs w:val="18"/>
              </w:rPr>
              <w:t xml:space="preserve">uel </w:t>
            </w:r>
            <w:r w:rsidR="004571DF" w:rsidRPr="00B275E2">
              <w:rPr>
                <w:rFonts w:eastAsia="Times New Roman" w:cs="Calibri"/>
                <w:szCs w:val="18"/>
              </w:rPr>
              <w:t>o</w:t>
            </w:r>
            <w:r w:rsidRPr="00B275E2">
              <w:rPr>
                <w:rFonts w:eastAsia="Times New Roman" w:cs="Calibri"/>
                <w:szCs w:val="18"/>
              </w:rPr>
              <w:t>il</w:t>
            </w:r>
          </w:p>
        </w:tc>
        <w:tc>
          <w:tcPr>
            <w:tcW w:w="658" w:type="pct"/>
            <w:shd w:val="clear" w:color="auto" w:fill="auto"/>
            <w:noWrap/>
            <w:hideMark/>
          </w:tcPr>
          <w:p w14:paraId="36A600E6" w14:textId="7777777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Mobile use</w:t>
            </w:r>
          </w:p>
        </w:tc>
        <w:tc>
          <w:tcPr>
            <w:tcW w:w="411" w:type="pct"/>
            <w:shd w:val="clear" w:color="auto" w:fill="auto"/>
            <w:noWrap/>
            <w:hideMark/>
          </w:tcPr>
          <w:p w14:paraId="197D4F26" w14:textId="7777777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litre</w:t>
            </w:r>
          </w:p>
        </w:tc>
        <w:tc>
          <w:tcPr>
            <w:tcW w:w="822" w:type="pct"/>
            <w:shd w:val="clear" w:color="auto" w:fill="auto"/>
            <w:noWrap/>
            <w:vAlign w:val="bottom"/>
            <w:hideMark/>
          </w:tcPr>
          <w:p w14:paraId="7752253D"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40.32</w:t>
            </w:r>
          </w:p>
        </w:tc>
        <w:tc>
          <w:tcPr>
            <w:tcW w:w="576" w:type="pct"/>
            <w:shd w:val="clear" w:color="auto" w:fill="auto"/>
            <w:noWrap/>
            <w:vAlign w:val="bottom"/>
            <w:hideMark/>
          </w:tcPr>
          <w:p w14:paraId="256B9D75"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72.30</w:t>
            </w:r>
          </w:p>
        </w:tc>
        <w:tc>
          <w:tcPr>
            <w:tcW w:w="576" w:type="pct"/>
            <w:shd w:val="clear" w:color="auto" w:fill="auto"/>
            <w:noWrap/>
            <w:vAlign w:val="bottom"/>
            <w:hideMark/>
          </w:tcPr>
          <w:p w14:paraId="2C845491"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0.007</w:t>
            </w:r>
          </w:p>
        </w:tc>
        <w:tc>
          <w:tcPr>
            <w:tcW w:w="641" w:type="pct"/>
            <w:shd w:val="clear" w:color="auto" w:fill="auto"/>
            <w:noWrap/>
            <w:vAlign w:val="bottom"/>
            <w:hideMark/>
          </w:tcPr>
          <w:p w14:paraId="6BAD07F4"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0.002</w:t>
            </w:r>
          </w:p>
        </w:tc>
      </w:tr>
      <w:tr w:rsidR="00A3644F" w:rsidRPr="00B275E2" w14:paraId="332DD510" w14:textId="77777777" w:rsidTr="001E4F7B">
        <w:tc>
          <w:tcPr>
            <w:tcW w:w="1316" w:type="pct"/>
            <w:shd w:val="clear" w:color="auto" w:fill="auto"/>
            <w:noWrap/>
            <w:hideMark/>
          </w:tcPr>
          <w:p w14:paraId="5788D6C0" w14:textId="245579F5"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 xml:space="preserve">Jet </w:t>
            </w:r>
            <w:r w:rsidR="004571DF" w:rsidRPr="00B275E2">
              <w:rPr>
                <w:rFonts w:eastAsia="Times New Roman" w:cs="Calibri"/>
                <w:szCs w:val="18"/>
              </w:rPr>
              <w:t>k</w:t>
            </w:r>
            <w:r w:rsidRPr="00B275E2">
              <w:rPr>
                <w:rFonts w:eastAsia="Times New Roman" w:cs="Calibri"/>
                <w:szCs w:val="18"/>
              </w:rPr>
              <w:t>erosene</w:t>
            </w:r>
            <w:r w:rsidR="002405BE" w:rsidRPr="00B275E2">
              <w:rPr>
                <w:rFonts w:eastAsia="Times New Roman" w:cs="Calibri"/>
                <w:szCs w:val="18"/>
              </w:rPr>
              <w:t xml:space="preserve"> / Jet A1</w:t>
            </w:r>
          </w:p>
        </w:tc>
        <w:tc>
          <w:tcPr>
            <w:tcW w:w="658" w:type="pct"/>
            <w:shd w:val="clear" w:color="auto" w:fill="auto"/>
            <w:noWrap/>
            <w:hideMark/>
          </w:tcPr>
          <w:p w14:paraId="37A3793D" w14:textId="5301E886"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 xml:space="preserve">Mobile </w:t>
            </w:r>
            <w:r w:rsidR="008362A2" w:rsidRPr="00B275E2">
              <w:rPr>
                <w:rFonts w:eastAsia="Times New Roman" w:cs="Calibri"/>
                <w:szCs w:val="18"/>
              </w:rPr>
              <w:t>u</w:t>
            </w:r>
            <w:r w:rsidRPr="00B275E2">
              <w:rPr>
                <w:rFonts w:eastAsia="Times New Roman" w:cs="Calibri"/>
                <w:szCs w:val="18"/>
              </w:rPr>
              <w:t>se</w:t>
            </w:r>
          </w:p>
        </w:tc>
        <w:tc>
          <w:tcPr>
            <w:tcW w:w="411" w:type="pct"/>
            <w:shd w:val="clear" w:color="auto" w:fill="auto"/>
            <w:noWrap/>
            <w:hideMark/>
          </w:tcPr>
          <w:p w14:paraId="156EEBCF" w14:textId="7777777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litre</w:t>
            </w:r>
          </w:p>
        </w:tc>
        <w:tc>
          <w:tcPr>
            <w:tcW w:w="822" w:type="pct"/>
            <w:shd w:val="clear" w:color="auto" w:fill="auto"/>
            <w:noWrap/>
            <w:vAlign w:val="bottom"/>
            <w:hideMark/>
          </w:tcPr>
          <w:p w14:paraId="5B592516"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46.29</w:t>
            </w:r>
          </w:p>
        </w:tc>
        <w:tc>
          <w:tcPr>
            <w:tcW w:w="576" w:type="pct"/>
            <w:shd w:val="clear" w:color="auto" w:fill="auto"/>
            <w:noWrap/>
            <w:vAlign w:val="bottom"/>
            <w:hideMark/>
          </w:tcPr>
          <w:p w14:paraId="05F0A260"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68.22</w:t>
            </w:r>
          </w:p>
        </w:tc>
        <w:tc>
          <w:tcPr>
            <w:tcW w:w="576" w:type="pct"/>
            <w:shd w:val="clear" w:color="auto" w:fill="auto"/>
            <w:noWrap/>
            <w:vAlign w:val="bottom"/>
            <w:hideMark/>
          </w:tcPr>
          <w:p w14:paraId="7B91E722"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0.48</w:t>
            </w:r>
          </w:p>
        </w:tc>
        <w:tc>
          <w:tcPr>
            <w:tcW w:w="641" w:type="pct"/>
            <w:shd w:val="clear" w:color="auto" w:fill="auto"/>
            <w:noWrap/>
            <w:vAlign w:val="bottom"/>
            <w:hideMark/>
          </w:tcPr>
          <w:p w14:paraId="275CEE47"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1.9</w:t>
            </w:r>
          </w:p>
        </w:tc>
      </w:tr>
      <w:tr w:rsidR="00A3644F" w:rsidRPr="00B275E2" w14:paraId="5966F6A4" w14:textId="77777777" w:rsidTr="001E4F7B">
        <w:tc>
          <w:tcPr>
            <w:tcW w:w="1316" w:type="pct"/>
            <w:shd w:val="clear" w:color="auto" w:fill="auto"/>
            <w:noWrap/>
            <w:hideMark/>
          </w:tcPr>
          <w:p w14:paraId="0053944B" w14:textId="3A945652"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 xml:space="preserve">Jet </w:t>
            </w:r>
            <w:r w:rsidR="004571DF" w:rsidRPr="00B275E2">
              <w:rPr>
                <w:rFonts w:eastAsia="Times New Roman" w:cs="Calibri"/>
                <w:szCs w:val="18"/>
              </w:rPr>
              <w:t>a</w:t>
            </w:r>
            <w:r w:rsidRPr="00B275E2">
              <w:rPr>
                <w:rFonts w:eastAsia="Times New Roman" w:cs="Calibri"/>
                <w:szCs w:val="18"/>
              </w:rPr>
              <w:t>viation gas</w:t>
            </w:r>
            <w:r w:rsidR="00BE7D2E" w:rsidRPr="00B275E2">
              <w:rPr>
                <w:rFonts w:eastAsia="Times New Roman" w:cs="Calibri"/>
                <w:szCs w:val="18"/>
              </w:rPr>
              <w:t>oline</w:t>
            </w:r>
          </w:p>
        </w:tc>
        <w:tc>
          <w:tcPr>
            <w:tcW w:w="658" w:type="pct"/>
            <w:shd w:val="clear" w:color="auto" w:fill="auto"/>
            <w:noWrap/>
            <w:hideMark/>
          </w:tcPr>
          <w:p w14:paraId="216CADAE" w14:textId="1DDE5AA2"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 xml:space="preserve">Mobile </w:t>
            </w:r>
            <w:r w:rsidR="008362A2" w:rsidRPr="00B275E2">
              <w:rPr>
                <w:rFonts w:eastAsia="Times New Roman" w:cs="Calibri"/>
                <w:szCs w:val="18"/>
              </w:rPr>
              <w:t>u</w:t>
            </w:r>
            <w:r w:rsidRPr="00B275E2">
              <w:rPr>
                <w:rFonts w:eastAsia="Times New Roman" w:cs="Calibri"/>
                <w:szCs w:val="18"/>
              </w:rPr>
              <w:t>se</w:t>
            </w:r>
          </w:p>
        </w:tc>
        <w:tc>
          <w:tcPr>
            <w:tcW w:w="411" w:type="pct"/>
            <w:shd w:val="clear" w:color="auto" w:fill="auto"/>
            <w:noWrap/>
            <w:hideMark/>
          </w:tcPr>
          <w:p w14:paraId="614FBB09" w14:textId="7777777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litre</w:t>
            </w:r>
          </w:p>
        </w:tc>
        <w:tc>
          <w:tcPr>
            <w:tcW w:w="822" w:type="pct"/>
            <w:shd w:val="clear" w:color="auto" w:fill="auto"/>
            <w:noWrap/>
            <w:vAlign w:val="bottom"/>
            <w:hideMark/>
          </w:tcPr>
          <w:p w14:paraId="4AC733CB"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47.3</w:t>
            </w:r>
          </w:p>
        </w:tc>
        <w:tc>
          <w:tcPr>
            <w:tcW w:w="576" w:type="pct"/>
            <w:shd w:val="clear" w:color="auto" w:fill="auto"/>
            <w:noWrap/>
            <w:vAlign w:val="bottom"/>
            <w:hideMark/>
          </w:tcPr>
          <w:p w14:paraId="571ABF52"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65.89</w:t>
            </w:r>
          </w:p>
        </w:tc>
        <w:tc>
          <w:tcPr>
            <w:tcW w:w="576" w:type="pct"/>
            <w:shd w:val="clear" w:color="auto" w:fill="auto"/>
            <w:noWrap/>
            <w:vAlign w:val="bottom"/>
            <w:hideMark/>
          </w:tcPr>
          <w:p w14:paraId="382A9F0E"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0.48</w:t>
            </w:r>
          </w:p>
        </w:tc>
        <w:tc>
          <w:tcPr>
            <w:tcW w:w="641" w:type="pct"/>
            <w:shd w:val="clear" w:color="auto" w:fill="auto"/>
            <w:noWrap/>
            <w:vAlign w:val="bottom"/>
            <w:hideMark/>
          </w:tcPr>
          <w:p w14:paraId="5624B600"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1.9</w:t>
            </w:r>
          </w:p>
        </w:tc>
      </w:tr>
      <w:tr w:rsidR="007E190E" w:rsidRPr="00B275E2" w14:paraId="44A9416F" w14:textId="77777777" w:rsidTr="001E4F7B">
        <w:tc>
          <w:tcPr>
            <w:tcW w:w="5000" w:type="pct"/>
            <w:gridSpan w:val="7"/>
            <w:shd w:val="clear" w:color="auto" w:fill="D2DDE1" w:themeFill="background2"/>
            <w:noWrap/>
            <w:hideMark/>
          </w:tcPr>
          <w:p w14:paraId="5E10C6D8" w14:textId="2DA84536" w:rsidR="007E190E" w:rsidRPr="00B275E2" w:rsidRDefault="007E190E" w:rsidP="00A3644F">
            <w:pPr>
              <w:pStyle w:val="TableText"/>
              <w:spacing w:before="40" w:after="40"/>
              <w:rPr>
                <w:rFonts w:eastAsia="Times New Roman" w:cs="Calibri"/>
                <w:b/>
                <w:bCs/>
                <w:iCs/>
                <w:szCs w:val="18"/>
              </w:rPr>
            </w:pPr>
            <w:r w:rsidRPr="00B275E2">
              <w:rPr>
                <w:rFonts w:eastAsia="Times New Roman" w:cs="Calibri"/>
                <w:b/>
                <w:bCs/>
                <w:iCs/>
                <w:szCs w:val="18"/>
              </w:rPr>
              <w:t>Biofuels</w:t>
            </w:r>
            <w:r w:rsidR="00D315C8" w:rsidRPr="00B275E2">
              <w:rPr>
                <w:rFonts w:eastAsia="Times New Roman" w:cs="Calibri"/>
                <w:b/>
                <w:bCs/>
                <w:iCs/>
                <w:szCs w:val="18"/>
              </w:rPr>
              <w:t xml:space="preserve"> </w:t>
            </w:r>
            <w:r w:rsidRPr="00B275E2">
              <w:rPr>
                <w:rFonts w:eastAsia="Times New Roman" w:cs="Calibri"/>
                <w:b/>
                <w:bCs/>
                <w:iCs/>
                <w:szCs w:val="18"/>
              </w:rPr>
              <w:t>and biomass</w:t>
            </w:r>
          </w:p>
        </w:tc>
      </w:tr>
      <w:tr w:rsidR="00A3644F" w:rsidRPr="00B275E2" w14:paraId="2A9276EC" w14:textId="77777777" w:rsidTr="001E4F7B">
        <w:tc>
          <w:tcPr>
            <w:tcW w:w="1316" w:type="pct"/>
            <w:shd w:val="clear" w:color="auto" w:fill="auto"/>
            <w:noWrap/>
            <w:hideMark/>
          </w:tcPr>
          <w:p w14:paraId="2C40078E" w14:textId="7777777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Biodiesel</w:t>
            </w:r>
          </w:p>
        </w:tc>
        <w:tc>
          <w:tcPr>
            <w:tcW w:w="658" w:type="pct"/>
            <w:shd w:val="clear" w:color="auto" w:fill="auto"/>
            <w:noWrap/>
            <w:hideMark/>
          </w:tcPr>
          <w:p w14:paraId="2F6EB053" w14:textId="7777777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All uses</w:t>
            </w:r>
          </w:p>
        </w:tc>
        <w:tc>
          <w:tcPr>
            <w:tcW w:w="411" w:type="pct"/>
            <w:shd w:val="clear" w:color="auto" w:fill="auto"/>
            <w:noWrap/>
            <w:hideMark/>
          </w:tcPr>
          <w:p w14:paraId="446F1C8B" w14:textId="7777777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litre</w:t>
            </w:r>
          </w:p>
        </w:tc>
        <w:tc>
          <w:tcPr>
            <w:tcW w:w="822" w:type="pct"/>
            <w:shd w:val="clear" w:color="auto" w:fill="auto"/>
            <w:noWrap/>
            <w:vAlign w:val="bottom"/>
            <w:hideMark/>
          </w:tcPr>
          <w:p w14:paraId="75A6E9C4"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23.6</w:t>
            </w:r>
          </w:p>
        </w:tc>
        <w:tc>
          <w:tcPr>
            <w:tcW w:w="576" w:type="pct"/>
            <w:shd w:val="clear" w:color="auto" w:fill="auto"/>
            <w:noWrap/>
            <w:vAlign w:val="bottom"/>
            <w:hideMark/>
          </w:tcPr>
          <w:p w14:paraId="1F630C46"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64.2</w:t>
            </w:r>
          </w:p>
        </w:tc>
        <w:tc>
          <w:tcPr>
            <w:tcW w:w="576" w:type="pct"/>
            <w:shd w:val="clear" w:color="auto" w:fill="auto"/>
            <w:noWrap/>
            <w:vAlign w:val="bottom"/>
            <w:hideMark/>
          </w:tcPr>
          <w:p w14:paraId="35DAADE0"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0.00285</w:t>
            </w:r>
          </w:p>
        </w:tc>
        <w:tc>
          <w:tcPr>
            <w:tcW w:w="641" w:type="pct"/>
            <w:shd w:val="clear" w:color="auto" w:fill="auto"/>
            <w:noWrap/>
            <w:vAlign w:val="bottom"/>
            <w:hideMark/>
          </w:tcPr>
          <w:p w14:paraId="214D390D"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0.00057</w:t>
            </w:r>
          </w:p>
        </w:tc>
      </w:tr>
      <w:tr w:rsidR="00A3644F" w:rsidRPr="00B275E2" w14:paraId="490848B2" w14:textId="77777777" w:rsidTr="001E4F7B">
        <w:tc>
          <w:tcPr>
            <w:tcW w:w="1316" w:type="pct"/>
            <w:shd w:val="clear" w:color="auto" w:fill="auto"/>
            <w:noWrap/>
            <w:hideMark/>
          </w:tcPr>
          <w:p w14:paraId="4FE91559" w14:textId="7777777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Bioethanol</w:t>
            </w:r>
          </w:p>
        </w:tc>
        <w:tc>
          <w:tcPr>
            <w:tcW w:w="658" w:type="pct"/>
            <w:shd w:val="clear" w:color="auto" w:fill="auto"/>
            <w:noWrap/>
            <w:hideMark/>
          </w:tcPr>
          <w:p w14:paraId="3BE4DA76" w14:textId="7777777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All uses</w:t>
            </w:r>
          </w:p>
        </w:tc>
        <w:tc>
          <w:tcPr>
            <w:tcW w:w="411" w:type="pct"/>
            <w:shd w:val="clear" w:color="auto" w:fill="auto"/>
            <w:noWrap/>
            <w:hideMark/>
          </w:tcPr>
          <w:p w14:paraId="559DC69E" w14:textId="7777777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litre</w:t>
            </w:r>
          </w:p>
        </w:tc>
        <w:tc>
          <w:tcPr>
            <w:tcW w:w="822" w:type="pct"/>
            <w:shd w:val="clear" w:color="auto" w:fill="auto"/>
            <w:noWrap/>
            <w:vAlign w:val="bottom"/>
            <w:hideMark/>
          </w:tcPr>
          <w:p w14:paraId="20D98EDD"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36.42</w:t>
            </w:r>
          </w:p>
        </w:tc>
        <w:tc>
          <w:tcPr>
            <w:tcW w:w="576" w:type="pct"/>
            <w:shd w:val="clear" w:color="auto" w:fill="auto"/>
            <w:noWrap/>
            <w:vAlign w:val="bottom"/>
            <w:hideMark/>
          </w:tcPr>
          <w:p w14:paraId="554A8A9A"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67.26</w:t>
            </w:r>
          </w:p>
        </w:tc>
        <w:tc>
          <w:tcPr>
            <w:tcW w:w="576" w:type="pct"/>
            <w:shd w:val="clear" w:color="auto" w:fill="auto"/>
            <w:noWrap/>
            <w:vAlign w:val="bottom"/>
            <w:hideMark/>
          </w:tcPr>
          <w:p w14:paraId="27B41961"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0.00285</w:t>
            </w:r>
          </w:p>
        </w:tc>
        <w:tc>
          <w:tcPr>
            <w:tcW w:w="641" w:type="pct"/>
            <w:shd w:val="clear" w:color="auto" w:fill="auto"/>
            <w:noWrap/>
            <w:vAlign w:val="bottom"/>
            <w:hideMark/>
          </w:tcPr>
          <w:p w14:paraId="433E5323"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0.00057</w:t>
            </w:r>
          </w:p>
        </w:tc>
      </w:tr>
      <w:tr w:rsidR="00A3644F" w:rsidRPr="00B275E2" w14:paraId="2D023E51" w14:textId="77777777" w:rsidTr="001E4F7B">
        <w:tc>
          <w:tcPr>
            <w:tcW w:w="1316" w:type="pct"/>
            <w:shd w:val="clear" w:color="auto" w:fill="auto"/>
            <w:noWrap/>
          </w:tcPr>
          <w:p w14:paraId="5DD9AC7B" w14:textId="7777777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Wood</w:t>
            </w:r>
          </w:p>
        </w:tc>
        <w:tc>
          <w:tcPr>
            <w:tcW w:w="658" w:type="pct"/>
            <w:shd w:val="clear" w:color="auto" w:fill="auto"/>
            <w:noWrap/>
          </w:tcPr>
          <w:p w14:paraId="02BAC008" w14:textId="7777777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Industry</w:t>
            </w:r>
          </w:p>
        </w:tc>
        <w:tc>
          <w:tcPr>
            <w:tcW w:w="411" w:type="pct"/>
            <w:shd w:val="clear" w:color="auto" w:fill="auto"/>
            <w:noWrap/>
          </w:tcPr>
          <w:p w14:paraId="5165A21C" w14:textId="7777777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kg</w:t>
            </w:r>
          </w:p>
        </w:tc>
        <w:tc>
          <w:tcPr>
            <w:tcW w:w="822" w:type="pct"/>
            <w:shd w:val="clear" w:color="auto" w:fill="auto"/>
            <w:noWrap/>
          </w:tcPr>
          <w:p w14:paraId="4308F6A6" w14:textId="77777777" w:rsidR="007E190E" w:rsidRPr="00B275E2" w:rsidRDefault="007E190E" w:rsidP="00A81433">
            <w:pPr>
              <w:pStyle w:val="TableText"/>
              <w:spacing w:before="40" w:after="40"/>
              <w:rPr>
                <w:rFonts w:eastAsia="Times New Roman" w:cs="Calibri"/>
                <w:szCs w:val="18"/>
              </w:rPr>
            </w:pPr>
            <w:r w:rsidRPr="00B275E2">
              <w:rPr>
                <w:rFonts w:eastAsia="Times New Roman" w:cs="Calibri"/>
                <w:szCs w:val="18"/>
              </w:rPr>
              <w:t>9.63</w:t>
            </w:r>
          </w:p>
        </w:tc>
        <w:tc>
          <w:tcPr>
            <w:tcW w:w="576" w:type="pct"/>
            <w:shd w:val="clear" w:color="auto" w:fill="auto"/>
            <w:noWrap/>
            <w:vAlign w:val="bottom"/>
          </w:tcPr>
          <w:p w14:paraId="49EB0D0E"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89.47</w:t>
            </w:r>
          </w:p>
        </w:tc>
        <w:tc>
          <w:tcPr>
            <w:tcW w:w="576" w:type="pct"/>
            <w:shd w:val="clear" w:color="auto" w:fill="auto"/>
            <w:noWrap/>
            <w:vAlign w:val="bottom"/>
          </w:tcPr>
          <w:p w14:paraId="5960A841" w14:textId="5E8AE2B0"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0.2</w:t>
            </w:r>
          </w:p>
        </w:tc>
        <w:tc>
          <w:tcPr>
            <w:tcW w:w="641" w:type="pct"/>
            <w:shd w:val="clear" w:color="auto" w:fill="auto"/>
            <w:noWrap/>
            <w:vAlign w:val="bottom"/>
          </w:tcPr>
          <w:p w14:paraId="6C239B1B"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0.003</w:t>
            </w:r>
          </w:p>
        </w:tc>
      </w:tr>
      <w:tr w:rsidR="00A3644F" w:rsidRPr="00B275E2" w14:paraId="475FBCBE" w14:textId="77777777" w:rsidTr="001E4F7B">
        <w:tc>
          <w:tcPr>
            <w:tcW w:w="1316" w:type="pct"/>
            <w:shd w:val="clear" w:color="auto" w:fill="auto"/>
            <w:noWrap/>
          </w:tcPr>
          <w:p w14:paraId="4A1D654B" w14:textId="7777777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Wood</w:t>
            </w:r>
          </w:p>
        </w:tc>
        <w:tc>
          <w:tcPr>
            <w:tcW w:w="658" w:type="pct"/>
            <w:shd w:val="clear" w:color="auto" w:fill="auto"/>
            <w:noWrap/>
          </w:tcPr>
          <w:p w14:paraId="64C3CD1A" w14:textId="1127647D" w:rsidR="007E190E" w:rsidRPr="00B275E2" w:rsidRDefault="00DA1F8B" w:rsidP="00A3644F">
            <w:pPr>
              <w:pStyle w:val="TableText"/>
              <w:spacing w:before="40" w:after="40"/>
              <w:rPr>
                <w:rFonts w:eastAsia="Times New Roman" w:cs="Calibri"/>
                <w:szCs w:val="18"/>
              </w:rPr>
            </w:pPr>
            <w:r w:rsidRPr="00B275E2">
              <w:rPr>
                <w:rFonts w:eastAsia="Times New Roman" w:cs="Calibri"/>
                <w:szCs w:val="18"/>
              </w:rPr>
              <w:t xml:space="preserve">Residential </w:t>
            </w:r>
          </w:p>
        </w:tc>
        <w:tc>
          <w:tcPr>
            <w:tcW w:w="411" w:type="pct"/>
            <w:shd w:val="clear" w:color="auto" w:fill="auto"/>
            <w:noWrap/>
          </w:tcPr>
          <w:p w14:paraId="46A05D00" w14:textId="77777777" w:rsidR="007E190E" w:rsidRPr="00B275E2" w:rsidRDefault="007E190E" w:rsidP="00A3644F">
            <w:pPr>
              <w:pStyle w:val="TableText"/>
              <w:spacing w:before="40" w:after="40"/>
              <w:rPr>
                <w:rFonts w:eastAsia="Times New Roman" w:cs="Calibri"/>
                <w:szCs w:val="18"/>
              </w:rPr>
            </w:pPr>
            <w:r w:rsidRPr="00B275E2">
              <w:rPr>
                <w:rFonts w:eastAsia="Times New Roman" w:cs="Calibri"/>
                <w:szCs w:val="18"/>
              </w:rPr>
              <w:t>kg</w:t>
            </w:r>
          </w:p>
        </w:tc>
        <w:tc>
          <w:tcPr>
            <w:tcW w:w="822" w:type="pct"/>
            <w:shd w:val="clear" w:color="auto" w:fill="auto"/>
            <w:noWrap/>
            <w:vAlign w:val="bottom"/>
          </w:tcPr>
          <w:p w14:paraId="111C9AD3"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9.63</w:t>
            </w:r>
          </w:p>
        </w:tc>
        <w:tc>
          <w:tcPr>
            <w:tcW w:w="576" w:type="pct"/>
            <w:shd w:val="clear" w:color="auto" w:fill="auto"/>
            <w:noWrap/>
            <w:vAlign w:val="bottom"/>
          </w:tcPr>
          <w:p w14:paraId="116C519E"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89.47</w:t>
            </w:r>
          </w:p>
        </w:tc>
        <w:tc>
          <w:tcPr>
            <w:tcW w:w="576" w:type="pct"/>
            <w:shd w:val="clear" w:color="auto" w:fill="auto"/>
            <w:noWrap/>
            <w:vAlign w:val="bottom"/>
          </w:tcPr>
          <w:p w14:paraId="0383E063"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0.2</w:t>
            </w:r>
          </w:p>
        </w:tc>
        <w:tc>
          <w:tcPr>
            <w:tcW w:w="641" w:type="pct"/>
            <w:shd w:val="clear" w:color="auto" w:fill="auto"/>
            <w:noWrap/>
            <w:vAlign w:val="bottom"/>
          </w:tcPr>
          <w:p w14:paraId="7543DC1A" w14:textId="77777777" w:rsidR="007E190E" w:rsidRPr="00B275E2" w:rsidRDefault="007E190E" w:rsidP="00A3644F">
            <w:pPr>
              <w:pStyle w:val="TableText"/>
              <w:spacing w:before="40" w:after="40"/>
              <w:jc w:val="right"/>
              <w:rPr>
                <w:rFonts w:eastAsia="Times New Roman" w:cs="Calibri"/>
                <w:szCs w:val="18"/>
              </w:rPr>
            </w:pPr>
            <w:r w:rsidRPr="00B275E2">
              <w:rPr>
                <w:rFonts w:eastAsia="Times New Roman" w:cs="Calibri"/>
                <w:szCs w:val="18"/>
              </w:rPr>
              <w:t>0.003</w:t>
            </w:r>
          </w:p>
        </w:tc>
      </w:tr>
    </w:tbl>
    <w:p w14:paraId="6082A104" w14:textId="7696EBEB" w:rsidR="00A3644F" w:rsidRPr="00B275E2" w:rsidRDefault="007E190E" w:rsidP="001E4F7B">
      <w:pPr>
        <w:pStyle w:val="Note"/>
      </w:pPr>
      <w:r w:rsidRPr="00B275E2">
        <w:rPr>
          <w:b/>
          <w:bCs/>
        </w:rPr>
        <w:t>Note</w:t>
      </w:r>
      <w:r w:rsidR="00795F4B" w:rsidRPr="00B275E2">
        <w:rPr>
          <w:b/>
          <w:bCs/>
        </w:rPr>
        <w:t>:</w:t>
      </w:r>
      <w:r w:rsidRPr="00B275E2">
        <w:t xml:space="preserve"> It is not expected that many commercial or industrial users will burn wood in fireplaces</w:t>
      </w:r>
      <w:r w:rsidR="0054738D" w:rsidRPr="00B275E2">
        <w:t>,</w:t>
      </w:r>
      <w:r w:rsidRPr="00B275E2">
        <w:t xml:space="preserve"> but this emission factor </w:t>
      </w:r>
      <w:r w:rsidR="0054738D" w:rsidRPr="00B275E2">
        <w:t>is included</w:t>
      </w:r>
      <w:r w:rsidRPr="00B275E2">
        <w:t xml:space="preserve"> for completeness. It is the default residential emission factor.</w:t>
      </w:r>
      <w:r w:rsidR="004A4F6C" w:rsidRPr="00B275E2">
        <w:t xml:space="preserve"> </w:t>
      </w:r>
      <w:r w:rsidR="008F610E" w:rsidRPr="00B275E2">
        <w:rPr>
          <w:b/>
          <w:bCs/>
        </w:rPr>
        <w:t>Note</w:t>
      </w:r>
      <w:r w:rsidR="008F610E" w:rsidRPr="00B275E2">
        <w:rPr>
          <w:b/>
          <w:bCs/>
          <w:vertAlign w:val="superscript"/>
        </w:rPr>
        <w:t>2</w:t>
      </w:r>
      <w:r w:rsidR="008F610E" w:rsidRPr="00B275E2">
        <w:t>: The total of each gas contribution are expressed in tonnes of gas (not CO</w:t>
      </w:r>
      <w:r w:rsidR="008F610E" w:rsidRPr="00B275E2">
        <w:rPr>
          <w:vertAlign w:val="subscript"/>
        </w:rPr>
        <w:t>2</w:t>
      </w:r>
      <w:r w:rsidR="008F610E" w:rsidRPr="00B275E2">
        <w:t>-e as presented elsewhere in this guidance)</w:t>
      </w:r>
      <w:r w:rsidR="00DD21E0" w:rsidRPr="00B275E2">
        <w:t>.</w:t>
      </w:r>
    </w:p>
    <w:p w14:paraId="498D8476" w14:textId="39AC02AC" w:rsidR="00A3644F" w:rsidRPr="00B275E2" w:rsidRDefault="00A3644F" w:rsidP="00A3644F">
      <w:pPr>
        <w:pStyle w:val="Note"/>
        <w:spacing w:before="0"/>
        <w:rPr>
          <w:rFonts w:asciiTheme="minorHAnsi" w:hAnsiTheme="minorHAnsi" w:cstheme="minorHAnsi"/>
          <w:szCs w:val="18"/>
        </w:rPr>
      </w:pPr>
      <w:r w:rsidRPr="00B275E2">
        <w:t>Source: MBIE.</w:t>
      </w:r>
    </w:p>
    <w:p w14:paraId="48D9E2BE" w14:textId="0E68122A" w:rsidR="00487827" w:rsidRPr="00B275E2" w:rsidRDefault="00487827" w:rsidP="00D77DD7">
      <w:pPr>
        <w:pStyle w:val="Note"/>
      </w:pPr>
      <w:r w:rsidRPr="00B275E2">
        <w:br w:type="page"/>
      </w:r>
    </w:p>
    <w:p w14:paraId="29061B23" w14:textId="70CE9462" w:rsidR="00487827" w:rsidRPr="00B275E2" w:rsidRDefault="00487827" w:rsidP="00C04D18">
      <w:pPr>
        <w:pStyle w:val="Heading1"/>
      </w:pPr>
      <w:bookmarkStart w:id="678" w:name="_Appendix_B:_Alternative"/>
      <w:bookmarkStart w:id="679" w:name="_Ref532563085"/>
      <w:bookmarkStart w:id="680" w:name="_Ref532563823"/>
      <w:bookmarkStart w:id="681" w:name="_Toc532904979"/>
      <w:bookmarkStart w:id="682" w:name="_Toc600610"/>
      <w:bookmarkStart w:id="683" w:name="_Toc111536819"/>
      <w:bookmarkEnd w:id="678"/>
      <w:r w:rsidRPr="00B275E2">
        <w:lastRenderedPageBreak/>
        <w:t>Appendix B: Alternative method</w:t>
      </w:r>
      <w:r w:rsidR="00952102" w:rsidRPr="00B275E2">
        <w:t>s</w:t>
      </w:r>
      <w:r w:rsidRPr="00B275E2">
        <w:t xml:space="preserve"> of calculating </w:t>
      </w:r>
      <w:r w:rsidR="00144FAB" w:rsidRPr="00B275E2">
        <w:t xml:space="preserve">emissions from </w:t>
      </w:r>
      <w:r w:rsidRPr="00B275E2">
        <w:t>re</w:t>
      </w:r>
      <w:r w:rsidR="00426E1B" w:rsidRPr="00B275E2">
        <w:t>f</w:t>
      </w:r>
      <w:r w:rsidRPr="00B275E2">
        <w:t>rigerants</w:t>
      </w:r>
      <w:bookmarkEnd w:id="679"/>
      <w:bookmarkEnd w:id="680"/>
      <w:bookmarkEnd w:id="681"/>
      <w:bookmarkEnd w:id="682"/>
      <w:r w:rsidR="00077EC5" w:rsidRPr="00B275E2">
        <w:t xml:space="preserve"> and</w:t>
      </w:r>
      <w:r w:rsidR="00987228" w:rsidRPr="00B275E2">
        <w:t> </w:t>
      </w:r>
      <w:r w:rsidR="00077EC5" w:rsidRPr="00B275E2">
        <w:t>medical</w:t>
      </w:r>
      <w:r w:rsidR="0060497B" w:rsidRPr="00B275E2">
        <w:t> </w:t>
      </w:r>
      <w:r w:rsidR="00077EC5" w:rsidRPr="00B275E2">
        <w:t>gases</w:t>
      </w:r>
      <w:bookmarkEnd w:id="683"/>
    </w:p>
    <w:p w14:paraId="62E0250F" w14:textId="3768DD71" w:rsidR="007E2924" w:rsidRPr="00B275E2" w:rsidRDefault="007E2924" w:rsidP="007F19F9">
      <w:pPr>
        <w:pStyle w:val="BodyText"/>
      </w:pPr>
      <w:bookmarkStart w:id="684" w:name="_Toc532904980"/>
      <w:r w:rsidRPr="00B275E2">
        <w:t xml:space="preserve">This </w:t>
      </w:r>
      <w:r w:rsidR="0054738D" w:rsidRPr="00B275E2">
        <w:t>a</w:t>
      </w:r>
      <w:r w:rsidRPr="00B275E2">
        <w:t>ppendix outlines two screening methods to estimate emissions from refrigerant leakage whe</w:t>
      </w:r>
      <w:r w:rsidR="008362A2" w:rsidRPr="00B275E2">
        <w:t>n</w:t>
      </w:r>
      <w:r w:rsidRPr="00B275E2">
        <w:t xml:space="preserve"> top</w:t>
      </w:r>
      <w:r w:rsidR="008362A2" w:rsidRPr="00B275E2">
        <w:t>-</w:t>
      </w:r>
      <w:r w:rsidRPr="00B275E2">
        <w:t xml:space="preserve">up information is not available. Method C is the same as Method B except that it allows the use of default refrigerant quantities as well as default leakage rates. </w:t>
      </w:r>
      <w:r w:rsidR="00957F30" w:rsidRPr="00B275E2">
        <w:t xml:space="preserve">This appendix provides IPCC AR4 emission factors for medical gases and also provides alternative emission factors for medical gases from IPCC AR5. </w:t>
      </w:r>
    </w:p>
    <w:p w14:paraId="7A9CE746" w14:textId="2B2E3F40" w:rsidR="00952102" w:rsidRPr="00B275E2" w:rsidRDefault="00952102" w:rsidP="00C24B73">
      <w:pPr>
        <w:pStyle w:val="Appendixheading2"/>
        <w:numPr>
          <w:ilvl w:val="1"/>
          <w:numId w:val="14"/>
        </w:numPr>
        <w:spacing w:before="240" w:after="240"/>
      </w:pPr>
      <w:bookmarkStart w:id="685" w:name="_Toc600611"/>
      <w:r w:rsidRPr="00B275E2">
        <w:t>Method B – Default annual leakage rate</w:t>
      </w:r>
      <w:bookmarkEnd w:id="684"/>
      <w:bookmarkEnd w:id="685"/>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8D65D8" w:rsidRPr="00B275E2" w14:paraId="3570F717" w14:textId="77777777" w:rsidTr="001E4F7B">
        <w:tc>
          <w:tcPr>
            <w:tcW w:w="0" w:type="auto"/>
            <w:shd w:val="clear" w:color="auto" w:fill="D2DDE1" w:themeFill="background2"/>
          </w:tcPr>
          <w:p w14:paraId="02814CEE" w14:textId="3FAEEEC6" w:rsidR="008D65D8" w:rsidRPr="00B275E2" w:rsidRDefault="008D65D8" w:rsidP="001E4F7B">
            <w:pPr>
              <w:pStyle w:val="Blueboxtext"/>
              <w:spacing w:before="240" w:after="240"/>
              <w:jc w:val="center"/>
              <w:rPr>
                <w:i/>
                <w:iCs/>
              </w:rPr>
            </w:pPr>
            <w:r w:rsidRPr="00B275E2">
              <w:rPr>
                <w:i/>
                <w:iCs/>
              </w:rPr>
              <w:t>E = OE × GWP</w:t>
            </w:r>
          </w:p>
        </w:tc>
      </w:tr>
    </w:tbl>
    <w:p w14:paraId="617C9D41" w14:textId="77777777" w:rsidR="00952102" w:rsidRPr="00B275E2" w:rsidRDefault="00952102" w:rsidP="007F5E9B">
      <w:pPr>
        <w:pStyle w:val="BodyText"/>
        <w:spacing w:before="200" w:after="100"/>
      </w:pPr>
      <w:r w:rsidRPr="00B275E2">
        <w:t>Where:</w:t>
      </w:r>
    </w:p>
    <w:p w14:paraId="04A9A40E" w14:textId="2EE80658" w:rsidR="00952102" w:rsidRPr="00B275E2" w:rsidRDefault="00952102" w:rsidP="007F5E9B">
      <w:pPr>
        <w:pStyle w:val="Bullet"/>
        <w:spacing w:after="100"/>
      </w:pPr>
      <w:r w:rsidRPr="00B275E2">
        <w:t>E</w:t>
      </w:r>
      <w:r w:rsidR="004A4F6C" w:rsidRPr="00B275E2">
        <w:t xml:space="preserve"> = </w:t>
      </w:r>
      <w:r w:rsidRPr="00B275E2">
        <w:t>emissions from equipment in kg CO</w:t>
      </w:r>
      <w:r w:rsidRPr="00B275E2">
        <w:rPr>
          <w:vertAlign w:val="subscript"/>
        </w:rPr>
        <w:t>2</w:t>
      </w:r>
      <w:r w:rsidRPr="00B275E2">
        <w:t>-e</w:t>
      </w:r>
    </w:p>
    <w:p w14:paraId="7B074D9A" w14:textId="7D4EE48A" w:rsidR="00952102" w:rsidRPr="00B275E2" w:rsidRDefault="00952102" w:rsidP="007F5E9B">
      <w:pPr>
        <w:pStyle w:val="Bullet"/>
        <w:spacing w:after="100"/>
      </w:pPr>
      <w:r w:rsidRPr="00B275E2">
        <w:t>OE</w:t>
      </w:r>
      <w:r w:rsidR="004A4F6C" w:rsidRPr="00B275E2">
        <w:t xml:space="preserve"> </w:t>
      </w:r>
      <w:r w:rsidRPr="00B275E2">
        <w:t>=</w:t>
      </w:r>
      <w:r w:rsidR="004A4F6C" w:rsidRPr="00B275E2">
        <w:t xml:space="preserve"> </w:t>
      </w:r>
      <w:r w:rsidRPr="00B275E2">
        <w:t>operation emissions, kg by gas type</w:t>
      </w:r>
    </w:p>
    <w:p w14:paraId="623906B4" w14:textId="77BD9838" w:rsidR="00952102" w:rsidRPr="00B275E2" w:rsidRDefault="00952102" w:rsidP="001E4F7B">
      <w:pPr>
        <w:pStyle w:val="Bullet"/>
        <w:spacing w:after="240"/>
      </w:pPr>
      <w:r w:rsidRPr="00B275E2">
        <w:t>GWP</w:t>
      </w:r>
      <w:r w:rsidR="004A4F6C" w:rsidRPr="00B275E2">
        <w:t xml:space="preserve"> </w:t>
      </w:r>
      <w:r w:rsidRPr="00B275E2">
        <w:t>=</w:t>
      </w:r>
      <w:r w:rsidR="004A4F6C" w:rsidRPr="00B275E2">
        <w:t xml:space="preserve"> </w:t>
      </w:r>
      <w:r w:rsidRPr="00B275E2">
        <w:t>the 100-year global warming potential of the refrigerant used in equipment (</w:t>
      </w:r>
      <w:hyperlink w:anchor="table7" w:history="1">
        <w:r w:rsidR="008D65D8" w:rsidRPr="00B275E2">
          <w:rPr>
            <w:rStyle w:val="Hyperlink"/>
          </w:rPr>
          <w:t>t</w:t>
        </w:r>
        <w:r w:rsidR="004C3803" w:rsidRPr="00B275E2">
          <w:rPr>
            <w:rStyle w:val="Hyperlink"/>
          </w:rPr>
          <w:t>able 7</w:t>
        </w:r>
      </w:hyperlink>
      <w:r w:rsidR="007217C0" w:rsidRPr="00B275E2">
        <w:t>)</w:t>
      </w:r>
      <w:r w:rsidRPr="00B275E2">
        <w:t>.</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505"/>
      </w:tblGrid>
      <w:tr w:rsidR="004C3803" w:rsidRPr="00B275E2" w14:paraId="77C9444F" w14:textId="77777777" w:rsidTr="001E4F7B">
        <w:tc>
          <w:tcPr>
            <w:tcW w:w="0" w:type="auto"/>
            <w:shd w:val="clear" w:color="auto" w:fill="D2DDE1" w:themeFill="background2"/>
          </w:tcPr>
          <w:p w14:paraId="3E5C58D9" w14:textId="2A39F9A2" w:rsidR="004C3803" w:rsidRPr="00B275E2" w:rsidRDefault="004C3803" w:rsidP="007F5E9B">
            <w:pPr>
              <w:pStyle w:val="Blueboxtext"/>
              <w:spacing w:before="240" w:after="240"/>
              <w:jc w:val="center"/>
            </w:pPr>
            <w:r w:rsidRPr="00B275E2">
              <w:rPr>
                <w:i/>
              </w:rPr>
              <w:t>OE = C × ALR</w:t>
            </w:r>
          </w:p>
        </w:tc>
      </w:tr>
    </w:tbl>
    <w:p w14:paraId="69CF8755" w14:textId="4B83391F" w:rsidR="007217C0" w:rsidRPr="00B275E2" w:rsidRDefault="007217C0" w:rsidP="007F5E9B">
      <w:pPr>
        <w:pStyle w:val="BodyText"/>
        <w:spacing w:before="200" w:after="100"/>
        <w:rPr>
          <w:rFonts w:eastAsia="Times New Roman"/>
          <w:lang w:eastAsia="en-US"/>
        </w:rPr>
      </w:pPr>
      <w:r w:rsidRPr="00B275E2">
        <w:rPr>
          <w:rFonts w:eastAsia="Times New Roman"/>
          <w:lang w:eastAsia="en-US"/>
        </w:rPr>
        <w:t>Where:</w:t>
      </w:r>
    </w:p>
    <w:p w14:paraId="150A3AFD" w14:textId="4455D1DE" w:rsidR="00952102" w:rsidRPr="00B275E2" w:rsidRDefault="00952102" w:rsidP="007F5E9B">
      <w:pPr>
        <w:pStyle w:val="Bullet"/>
        <w:spacing w:after="100"/>
      </w:pPr>
      <w:r w:rsidRPr="00B275E2">
        <w:t>C</w:t>
      </w:r>
      <w:r w:rsidR="004A4F6C" w:rsidRPr="00B275E2">
        <w:t xml:space="preserve"> </w:t>
      </w:r>
      <w:r w:rsidRPr="00B275E2">
        <w:t>=</w:t>
      </w:r>
      <w:r w:rsidR="004A4F6C" w:rsidRPr="00B275E2">
        <w:t xml:space="preserve"> </w:t>
      </w:r>
      <w:r w:rsidRPr="00B275E2">
        <w:t>original full refrigerant charge in equipment (kg)</w:t>
      </w:r>
    </w:p>
    <w:p w14:paraId="4485A5CC" w14:textId="4AF99D01" w:rsidR="00952102" w:rsidRPr="00B275E2" w:rsidRDefault="00952102" w:rsidP="007F5E9B">
      <w:pPr>
        <w:pStyle w:val="Bullet"/>
        <w:spacing w:after="100"/>
      </w:pPr>
      <w:r w:rsidRPr="00B275E2">
        <w:t>ALR</w:t>
      </w:r>
      <w:r w:rsidR="004A4F6C" w:rsidRPr="00B275E2">
        <w:t xml:space="preserve"> </w:t>
      </w:r>
      <w:r w:rsidRPr="00B275E2">
        <w:t>=</w:t>
      </w:r>
      <w:r w:rsidR="004A4F6C" w:rsidRPr="00B275E2">
        <w:t xml:space="preserve"> </w:t>
      </w:r>
      <w:r w:rsidRPr="00B275E2">
        <w:t>the default annual leakage emission factor for equipment (%).</w:t>
      </w:r>
    </w:p>
    <w:p w14:paraId="56364B30" w14:textId="657E7BAC" w:rsidR="00952102" w:rsidRPr="00B275E2" w:rsidRDefault="00952102" w:rsidP="004C3803">
      <w:pPr>
        <w:pStyle w:val="BodyText"/>
      </w:pPr>
      <w:r w:rsidRPr="00B275E2">
        <w:t>The type and quantity of HFC in the equipment will often be shown on the compliance plate. If not, this method requires service agents’ advice for refrigerant type and full refrigerant charge of each piece of equipment.</w:t>
      </w:r>
    </w:p>
    <w:p w14:paraId="5FDEF975" w14:textId="163C0628" w:rsidR="00DD78D0" w:rsidRPr="00B275E2" w:rsidRDefault="00125618" w:rsidP="007F5E9B">
      <w:pPr>
        <w:pStyle w:val="Appendixheading2"/>
        <w:spacing w:before="240" w:after="240"/>
      </w:pPr>
      <w:bookmarkStart w:id="686" w:name="_Toc532904981"/>
      <w:bookmarkStart w:id="687" w:name="_Toc600612"/>
      <w:r w:rsidRPr="00B275E2">
        <w:t xml:space="preserve">B.2 </w:t>
      </w:r>
      <w:r w:rsidR="00AE2AD6" w:rsidRPr="00B275E2">
        <w:tab/>
      </w:r>
      <w:r w:rsidR="00DD78D0" w:rsidRPr="00B275E2">
        <w:t xml:space="preserve">Method </w:t>
      </w:r>
      <w:r w:rsidR="00952102" w:rsidRPr="00B275E2">
        <w:t>C</w:t>
      </w:r>
      <w:r w:rsidR="00DD78D0" w:rsidRPr="00B275E2">
        <w:t xml:space="preserve"> – Default annual leakage rate</w:t>
      </w:r>
      <w:r w:rsidR="001E4F7B" w:rsidRPr="00B275E2">
        <w:t> </w:t>
      </w:r>
      <w:r w:rsidR="00DD78D0" w:rsidRPr="00B275E2">
        <w:t>and default</w:t>
      </w:r>
      <w:r w:rsidR="00AE2AD6" w:rsidRPr="00B275E2">
        <w:t> </w:t>
      </w:r>
      <w:r w:rsidR="00DD78D0" w:rsidRPr="00B275E2">
        <w:t>refrigerant charge</w:t>
      </w:r>
      <w:bookmarkEnd w:id="686"/>
      <w:bookmarkEnd w:id="687"/>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505"/>
      </w:tblGrid>
      <w:tr w:rsidR="00AE2AD6" w:rsidRPr="00B275E2" w14:paraId="59717B18" w14:textId="77777777" w:rsidTr="001E4F7B">
        <w:tc>
          <w:tcPr>
            <w:tcW w:w="0" w:type="auto"/>
            <w:shd w:val="clear" w:color="auto" w:fill="D2DDE1" w:themeFill="background2"/>
          </w:tcPr>
          <w:p w14:paraId="652BB952" w14:textId="0422173A" w:rsidR="00AE2AD6" w:rsidRPr="00B275E2" w:rsidRDefault="00AE2AD6" w:rsidP="00736AF4">
            <w:pPr>
              <w:pStyle w:val="Blueboxtext"/>
              <w:spacing w:before="240" w:after="240"/>
              <w:jc w:val="center"/>
            </w:pPr>
            <w:r w:rsidRPr="00B275E2">
              <w:rPr>
                <w:i/>
              </w:rPr>
              <w:t>E = (IE + DE + (C x ALR)) x GWP</w:t>
            </w:r>
          </w:p>
        </w:tc>
      </w:tr>
    </w:tbl>
    <w:p w14:paraId="2217A255" w14:textId="55E9F0ED" w:rsidR="00DD78D0" w:rsidRPr="00B275E2" w:rsidRDefault="00DD78D0" w:rsidP="007F5E9B">
      <w:pPr>
        <w:pStyle w:val="BodyText"/>
        <w:spacing w:before="200" w:after="100"/>
      </w:pPr>
      <w:r w:rsidRPr="00B275E2">
        <w:t>Where:</w:t>
      </w:r>
    </w:p>
    <w:p w14:paraId="7FBB65C6" w14:textId="0E1FAEC1" w:rsidR="00DD78D0" w:rsidRPr="00B275E2" w:rsidRDefault="00DD78D0" w:rsidP="007F5E9B">
      <w:pPr>
        <w:pStyle w:val="Bullet"/>
        <w:spacing w:after="100"/>
      </w:pPr>
      <w:r w:rsidRPr="00B275E2">
        <w:t>E</w:t>
      </w:r>
      <w:r w:rsidR="008E5BC2" w:rsidRPr="00B275E2">
        <w:t xml:space="preserve"> </w:t>
      </w:r>
      <w:r w:rsidRPr="00B275E2">
        <w:t>=</w:t>
      </w:r>
      <w:r w:rsidR="008E5BC2" w:rsidRPr="00B275E2">
        <w:t xml:space="preserve"> </w:t>
      </w:r>
      <w:r w:rsidRPr="00B275E2">
        <w:t>emissions from equipment in kg CO</w:t>
      </w:r>
      <w:r w:rsidRPr="00B275E2">
        <w:rPr>
          <w:vertAlign w:val="subscript"/>
        </w:rPr>
        <w:t>2</w:t>
      </w:r>
      <w:r w:rsidRPr="00B275E2">
        <w:t>-e</w:t>
      </w:r>
    </w:p>
    <w:p w14:paraId="533C6765" w14:textId="57726CD1" w:rsidR="00DD78D0" w:rsidRPr="00B275E2" w:rsidRDefault="00DD78D0" w:rsidP="007F5E9B">
      <w:pPr>
        <w:pStyle w:val="Bullet"/>
        <w:spacing w:after="100"/>
      </w:pPr>
      <w:r w:rsidRPr="00B275E2">
        <w:t>IE</w:t>
      </w:r>
      <w:r w:rsidR="008E5BC2" w:rsidRPr="00B275E2">
        <w:t xml:space="preserve"> </w:t>
      </w:r>
      <w:r w:rsidRPr="00B275E2">
        <w:t>=</w:t>
      </w:r>
      <w:r w:rsidR="008E5BC2" w:rsidRPr="00B275E2">
        <w:t xml:space="preserve"> </w:t>
      </w:r>
      <w:r w:rsidRPr="00B275E2">
        <w:t xml:space="preserve">installation emissions </w:t>
      </w:r>
    </w:p>
    <w:p w14:paraId="4F57814E" w14:textId="12896F4C" w:rsidR="00DD78D0" w:rsidRPr="00B275E2" w:rsidRDefault="00DD78D0" w:rsidP="007F5E9B">
      <w:pPr>
        <w:pStyle w:val="Bullet"/>
        <w:spacing w:after="100"/>
      </w:pPr>
      <w:r w:rsidRPr="00B275E2">
        <w:t>C</w:t>
      </w:r>
      <w:r w:rsidR="008E5BC2" w:rsidRPr="00B275E2">
        <w:t xml:space="preserve"> </w:t>
      </w:r>
      <w:r w:rsidRPr="00B275E2">
        <w:t>=</w:t>
      </w:r>
      <w:r w:rsidR="008E5BC2" w:rsidRPr="00B275E2">
        <w:t xml:space="preserve"> </w:t>
      </w:r>
      <w:r w:rsidRPr="00B275E2">
        <w:t>default refrigerant charge in each piece of equipment (kg)</w:t>
      </w:r>
    </w:p>
    <w:p w14:paraId="6B087196" w14:textId="7AA47249" w:rsidR="00DD78D0" w:rsidRPr="00B275E2" w:rsidRDefault="008E5BC2" w:rsidP="007F5E9B">
      <w:pPr>
        <w:pStyle w:val="Bullet"/>
        <w:spacing w:after="100"/>
      </w:pPr>
      <w:r w:rsidRPr="00B275E2">
        <w:lastRenderedPageBreak/>
        <w:t xml:space="preserve">ALR </w:t>
      </w:r>
      <w:r w:rsidR="00DD78D0" w:rsidRPr="00B275E2">
        <w:t>=</w:t>
      </w:r>
      <w:r w:rsidRPr="00B275E2">
        <w:t xml:space="preserve"> </w:t>
      </w:r>
      <w:r w:rsidR="00DD78D0" w:rsidRPr="00B275E2">
        <w:t>default annual leakage emission factor for equipment (%)</w:t>
      </w:r>
    </w:p>
    <w:p w14:paraId="3DFA890B" w14:textId="39107C7F" w:rsidR="00DD78D0" w:rsidRPr="00B275E2" w:rsidRDefault="00DD78D0" w:rsidP="007F5E9B">
      <w:pPr>
        <w:pStyle w:val="Bullet"/>
        <w:spacing w:after="100"/>
      </w:pPr>
      <w:r w:rsidRPr="00B275E2">
        <w:t>DE</w:t>
      </w:r>
      <w:r w:rsidR="008E5BC2" w:rsidRPr="00B275E2">
        <w:t xml:space="preserve"> </w:t>
      </w:r>
      <w:r w:rsidRPr="00B275E2">
        <w:t>=</w:t>
      </w:r>
      <w:r w:rsidR="008E5BC2" w:rsidRPr="00B275E2">
        <w:t xml:space="preserve"> </w:t>
      </w:r>
      <w:r w:rsidRPr="00B275E2">
        <w:t>disposal emissions (as per method B)</w:t>
      </w:r>
    </w:p>
    <w:p w14:paraId="4F684715" w14:textId="1F545E36" w:rsidR="00DD78D0" w:rsidRPr="00B275E2" w:rsidRDefault="00DD78D0" w:rsidP="007F5E9B">
      <w:pPr>
        <w:pStyle w:val="Bullet"/>
        <w:spacing w:after="100"/>
      </w:pPr>
      <w:r w:rsidRPr="00B275E2">
        <w:t>GWP</w:t>
      </w:r>
      <w:r w:rsidR="008E5BC2" w:rsidRPr="00B275E2">
        <w:t xml:space="preserve"> </w:t>
      </w:r>
      <w:r w:rsidRPr="00B275E2">
        <w:t>=</w:t>
      </w:r>
      <w:r w:rsidR="008E5BC2" w:rsidRPr="00B275E2">
        <w:t xml:space="preserve"> </w:t>
      </w:r>
      <w:r w:rsidRPr="00B275E2">
        <w:t>the 100-year global warming potential of the refrigerant used in equipment (</w:t>
      </w:r>
      <w:hyperlink w:anchor="table7" w:history="1">
        <w:r w:rsidR="00AE2AD6" w:rsidRPr="00B275E2">
          <w:rPr>
            <w:rStyle w:val="Hyperlink"/>
          </w:rPr>
          <w:t>table 7</w:t>
        </w:r>
      </w:hyperlink>
      <w:r w:rsidRPr="00B275E2">
        <w:t>)</w:t>
      </w:r>
      <w:r w:rsidR="00CD5198" w:rsidRPr="00B275E2">
        <w:t>.</w:t>
      </w:r>
    </w:p>
    <w:p w14:paraId="3E58EE92" w14:textId="2CC925CD" w:rsidR="007E2924" w:rsidRPr="00B275E2" w:rsidRDefault="00AE2AD6" w:rsidP="007F19F9">
      <w:pPr>
        <w:pStyle w:val="BodyText"/>
      </w:pPr>
      <w:bookmarkStart w:id="688" w:name="_Ref532370134"/>
      <w:r w:rsidRPr="00B275E2">
        <w:t>Table B1</w:t>
      </w:r>
      <w:r w:rsidR="007E2924" w:rsidRPr="00B275E2">
        <w:t xml:space="preserve"> contains default refrigerant charge amounts for the New Zealand refrigeration and air</w:t>
      </w:r>
      <w:r w:rsidRPr="00B275E2">
        <w:noBreakHyphen/>
      </w:r>
      <w:r w:rsidR="007E2924" w:rsidRPr="00B275E2">
        <w:t>conditioning equipment stock.</w:t>
      </w:r>
    </w:p>
    <w:p w14:paraId="49FF1C40" w14:textId="621EBF58" w:rsidR="005F412E" w:rsidRPr="00B275E2" w:rsidRDefault="005F412E" w:rsidP="00AE2AD6">
      <w:pPr>
        <w:pStyle w:val="Tableheading"/>
      </w:pPr>
      <w:bookmarkStart w:id="689" w:name="_Ref532913886"/>
      <w:bookmarkStart w:id="690" w:name="_Ref538337"/>
      <w:bookmarkStart w:id="691" w:name="_Toc55216422"/>
      <w:bookmarkStart w:id="692" w:name="_Toc111536710"/>
      <w:r w:rsidRPr="00B275E2">
        <w:t>Table</w:t>
      </w:r>
      <w:bookmarkEnd w:id="688"/>
      <w:bookmarkEnd w:id="689"/>
      <w:r w:rsidR="008E5BC2" w:rsidRPr="00B275E2">
        <w:t xml:space="preserve"> B</w:t>
      </w:r>
      <w:r w:rsidRPr="00B275E2">
        <w:fldChar w:fldCharType="begin"/>
      </w:r>
      <w:r w:rsidRPr="00B275E2">
        <w:instrText>SEQ Table_B. \* ARABIC</w:instrText>
      </w:r>
      <w:r w:rsidRPr="00B275E2">
        <w:fldChar w:fldCharType="separate"/>
      </w:r>
      <w:r w:rsidR="003E141C" w:rsidRPr="00B275E2">
        <w:t>1</w:t>
      </w:r>
      <w:r w:rsidRPr="00B275E2">
        <w:fldChar w:fldCharType="end"/>
      </w:r>
      <w:bookmarkEnd w:id="690"/>
      <w:r w:rsidRPr="00B275E2">
        <w:t>:</w:t>
      </w:r>
      <w:r w:rsidRPr="00B275E2">
        <w:tab/>
        <w:t xml:space="preserve">Default </w:t>
      </w:r>
      <w:r w:rsidR="008362A2" w:rsidRPr="00B275E2">
        <w:t>r</w:t>
      </w:r>
      <w:r w:rsidRPr="00B275E2">
        <w:t>efrigerant charges for refrigeration and air</w:t>
      </w:r>
      <w:r w:rsidR="00CD5198" w:rsidRPr="00B275E2">
        <w:t>-</w:t>
      </w:r>
      <w:r w:rsidRPr="00B275E2">
        <w:t>conditioning equipment</w:t>
      </w:r>
      <w:bookmarkEnd w:id="691"/>
      <w:bookmarkEnd w:id="692"/>
    </w:p>
    <w:tbl>
      <w:tblPr>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CellMar>
          <w:left w:w="85" w:type="dxa"/>
          <w:right w:w="85" w:type="dxa"/>
        </w:tblCellMar>
        <w:tblLook w:val="04A0" w:firstRow="1" w:lastRow="0" w:firstColumn="1" w:lastColumn="0" w:noHBand="0" w:noVBand="1"/>
      </w:tblPr>
      <w:tblGrid>
        <w:gridCol w:w="1979"/>
        <w:gridCol w:w="1131"/>
        <w:gridCol w:w="1412"/>
        <w:gridCol w:w="1414"/>
        <w:gridCol w:w="1325"/>
        <w:gridCol w:w="1244"/>
      </w:tblGrid>
      <w:tr w:rsidR="005F412E" w:rsidRPr="00B275E2" w14:paraId="3EBCFDDD" w14:textId="77777777" w:rsidTr="00736AF4">
        <w:trPr>
          <w:cantSplit/>
          <w:tblHeader/>
        </w:trPr>
        <w:tc>
          <w:tcPr>
            <w:tcW w:w="1985" w:type="dxa"/>
            <w:shd w:val="clear" w:color="auto" w:fill="1B556B" w:themeFill="text2"/>
            <w:vAlign w:val="bottom"/>
            <w:hideMark/>
          </w:tcPr>
          <w:p w14:paraId="72805449" w14:textId="3BBC01E3" w:rsidR="005F412E" w:rsidRPr="00B275E2" w:rsidRDefault="005F412E" w:rsidP="005F412E">
            <w:pPr>
              <w:pStyle w:val="TableText"/>
              <w:rPr>
                <w:rFonts w:cs="Calibri"/>
                <w:b/>
                <w:color w:val="FFFFFF" w:themeColor="background1"/>
                <w:szCs w:val="18"/>
              </w:rPr>
            </w:pPr>
            <w:r w:rsidRPr="00B275E2">
              <w:rPr>
                <w:rFonts w:cs="Calibri"/>
                <w:b/>
                <w:color w:val="FFFFFF" w:themeColor="background1"/>
                <w:szCs w:val="18"/>
              </w:rPr>
              <w:t>Refrigeration</w:t>
            </w:r>
            <w:r w:rsidRPr="00B275E2">
              <w:rPr>
                <w:rFonts w:cs="Calibri"/>
                <w:b/>
                <w:color w:val="FFFFFF" w:themeColor="background1"/>
                <w:szCs w:val="18"/>
              </w:rPr>
              <w:br/>
              <w:t>unit type</w:t>
            </w:r>
          </w:p>
        </w:tc>
        <w:tc>
          <w:tcPr>
            <w:tcW w:w="1134" w:type="dxa"/>
            <w:shd w:val="clear" w:color="auto" w:fill="1B556B" w:themeFill="text2"/>
            <w:vAlign w:val="bottom"/>
            <w:hideMark/>
          </w:tcPr>
          <w:p w14:paraId="402E6955" w14:textId="77777777" w:rsidR="005F412E" w:rsidRPr="00B275E2" w:rsidRDefault="005F412E" w:rsidP="00B51E37">
            <w:pPr>
              <w:pStyle w:val="TableText"/>
              <w:jc w:val="right"/>
              <w:rPr>
                <w:rFonts w:cs="Calibri"/>
                <w:b/>
                <w:color w:val="FFFFFF" w:themeColor="background1"/>
                <w:szCs w:val="18"/>
                <w:lang w:eastAsia="en-GB"/>
              </w:rPr>
            </w:pPr>
            <w:r w:rsidRPr="00B275E2">
              <w:rPr>
                <w:rFonts w:cs="Calibri"/>
                <w:b/>
                <w:color w:val="FFFFFF" w:themeColor="background1"/>
                <w:szCs w:val="18"/>
                <w:lang w:eastAsia="en-GB"/>
              </w:rPr>
              <w:t>Default refrigerant charge (kg)</w:t>
            </w:r>
          </w:p>
        </w:tc>
        <w:tc>
          <w:tcPr>
            <w:tcW w:w="1416" w:type="dxa"/>
            <w:shd w:val="clear" w:color="auto" w:fill="1B556B" w:themeFill="text2"/>
            <w:vAlign w:val="bottom"/>
            <w:hideMark/>
          </w:tcPr>
          <w:p w14:paraId="4F8BC29C" w14:textId="77777777" w:rsidR="005F412E" w:rsidRPr="00B275E2" w:rsidRDefault="005F412E" w:rsidP="00B51E37">
            <w:pPr>
              <w:pStyle w:val="TableText"/>
              <w:jc w:val="right"/>
              <w:rPr>
                <w:rFonts w:cs="Calibri"/>
                <w:b/>
                <w:color w:val="FFFFFF" w:themeColor="background1"/>
                <w:szCs w:val="18"/>
                <w:lang w:eastAsia="en-GB"/>
              </w:rPr>
            </w:pPr>
            <w:r w:rsidRPr="00B275E2">
              <w:rPr>
                <w:rFonts w:cs="Calibri"/>
                <w:b/>
                <w:color w:val="FFFFFF" w:themeColor="background1"/>
                <w:szCs w:val="18"/>
                <w:lang w:eastAsia="en-GB"/>
              </w:rPr>
              <w:t>Default leakage rate (operating – ALR)</w:t>
            </w:r>
          </w:p>
        </w:tc>
        <w:tc>
          <w:tcPr>
            <w:tcW w:w="1418" w:type="dxa"/>
            <w:shd w:val="clear" w:color="auto" w:fill="1B556B" w:themeFill="text2"/>
            <w:vAlign w:val="bottom"/>
            <w:hideMark/>
          </w:tcPr>
          <w:p w14:paraId="3FB5C79E" w14:textId="77777777" w:rsidR="005F412E" w:rsidRPr="00B275E2" w:rsidRDefault="005F412E" w:rsidP="00B51E37">
            <w:pPr>
              <w:pStyle w:val="TableText"/>
              <w:jc w:val="right"/>
              <w:rPr>
                <w:rFonts w:cs="Calibri"/>
                <w:b/>
                <w:color w:val="FFFFFF" w:themeColor="background1"/>
                <w:szCs w:val="18"/>
                <w:lang w:eastAsia="en-GB"/>
              </w:rPr>
            </w:pPr>
            <w:r w:rsidRPr="00B275E2">
              <w:rPr>
                <w:rFonts w:cs="Calibri"/>
                <w:b/>
                <w:color w:val="FFFFFF" w:themeColor="background1"/>
                <w:szCs w:val="18"/>
                <w:lang w:eastAsia="en-GB"/>
              </w:rPr>
              <w:t>Default leakage rate (installation – AEF)</w:t>
            </w:r>
            <w:r w:rsidRPr="00B275E2">
              <w:rPr>
                <w:rStyle w:val="FootnoteReference"/>
                <w:rFonts w:cs="Calibri"/>
                <w:b/>
                <w:color w:val="FFFFFF" w:themeColor="background1"/>
                <w:sz w:val="18"/>
                <w:szCs w:val="18"/>
              </w:rPr>
              <w:footnoteReference w:id="86"/>
            </w:r>
          </w:p>
        </w:tc>
        <w:tc>
          <w:tcPr>
            <w:tcW w:w="1329" w:type="dxa"/>
            <w:shd w:val="clear" w:color="auto" w:fill="1B556B" w:themeFill="text2"/>
            <w:vAlign w:val="bottom"/>
          </w:tcPr>
          <w:p w14:paraId="3BB7D649" w14:textId="77777777" w:rsidR="005F412E" w:rsidRPr="00B275E2" w:rsidRDefault="005F412E" w:rsidP="005F412E">
            <w:pPr>
              <w:pStyle w:val="TableText"/>
              <w:rPr>
                <w:rFonts w:cs="Calibri"/>
                <w:b/>
                <w:color w:val="FFFFFF" w:themeColor="background1"/>
                <w:szCs w:val="18"/>
                <w:lang w:eastAsia="en-GB"/>
              </w:rPr>
            </w:pPr>
            <w:r w:rsidRPr="00B275E2">
              <w:rPr>
                <w:rFonts w:cs="Calibri"/>
                <w:b/>
                <w:color w:val="FFFFFF" w:themeColor="background1"/>
                <w:szCs w:val="18"/>
                <w:lang w:eastAsia="en-GB"/>
              </w:rPr>
              <w:t>Method A</w:t>
            </w:r>
          </w:p>
        </w:tc>
        <w:tc>
          <w:tcPr>
            <w:tcW w:w="1247" w:type="dxa"/>
            <w:shd w:val="clear" w:color="auto" w:fill="1B556B" w:themeFill="text2"/>
            <w:vAlign w:val="bottom"/>
          </w:tcPr>
          <w:p w14:paraId="16A478DA" w14:textId="77777777" w:rsidR="005F412E" w:rsidRPr="00B275E2" w:rsidRDefault="005F412E" w:rsidP="005F412E">
            <w:pPr>
              <w:pStyle w:val="TableText"/>
              <w:rPr>
                <w:rFonts w:cs="Calibri"/>
                <w:b/>
                <w:color w:val="FFFFFF" w:themeColor="background1"/>
                <w:szCs w:val="18"/>
                <w:lang w:eastAsia="en-GB"/>
              </w:rPr>
            </w:pPr>
            <w:r w:rsidRPr="00B275E2">
              <w:rPr>
                <w:rFonts w:cs="Calibri"/>
                <w:b/>
                <w:color w:val="FFFFFF" w:themeColor="background1"/>
                <w:szCs w:val="18"/>
                <w:lang w:eastAsia="en-GB"/>
              </w:rPr>
              <w:t>M</w:t>
            </w:r>
            <w:r w:rsidRPr="00B275E2">
              <w:rPr>
                <w:rFonts w:cs="Calibri"/>
                <w:color w:val="FFFFFF" w:themeColor="background1"/>
                <w:szCs w:val="18"/>
                <w:lang w:eastAsia="en-GB"/>
              </w:rPr>
              <w:t>eth</w:t>
            </w:r>
            <w:r w:rsidRPr="00B275E2">
              <w:rPr>
                <w:rFonts w:cs="Calibri"/>
                <w:b/>
                <w:color w:val="FFFFFF" w:themeColor="background1"/>
                <w:szCs w:val="18"/>
                <w:lang w:eastAsia="en-GB"/>
              </w:rPr>
              <w:t>od B</w:t>
            </w:r>
          </w:p>
        </w:tc>
      </w:tr>
      <w:tr w:rsidR="005F412E" w:rsidRPr="00B275E2" w14:paraId="5E112D80" w14:textId="77777777" w:rsidTr="00736AF4">
        <w:trPr>
          <w:cantSplit/>
        </w:trPr>
        <w:tc>
          <w:tcPr>
            <w:tcW w:w="1985" w:type="dxa"/>
            <w:hideMark/>
          </w:tcPr>
          <w:p w14:paraId="7363E9BD" w14:textId="09421A31" w:rsidR="005F412E" w:rsidRPr="00B275E2" w:rsidRDefault="005F412E" w:rsidP="00342DF3">
            <w:pPr>
              <w:pStyle w:val="TableText"/>
              <w:rPr>
                <w:rFonts w:cs="Calibri"/>
                <w:szCs w:val="18"/>
                <w:lang w:eastAsia="en-US"/>
              </w:rPr>
            </w:pPr>
            <w:r w:rsidRPr="00B275E2">
              <w:rPr>
                <w:rFonts w:cs="Calibri"/>
                <w:szCs w:val="18"/>
              </w:rPr>
              <w:t>Small refrigerator or freezer</w:t>
            </w:r>
            <w:r w:rsidR="00342DF3" w:rsidRPr="00B275E2">
              <w:rPr>
                <w:rFonts w:cs="Calibri"/>
                <w:szCs w:val="18"/>
              </w:rPr>
              <w:t xml:space="preserve"> </w:t>
            </w:r>
            <w:r w:rsidRPr="00B275E2">
              <w:rPr>
                <w:rFonts w:cs="Calibri"/>
                <w:szCs w:val="18"/>
              </w:rPr>
              <w:t>(&lt;150 litres</w:t>
            </w:r>
            <w:r w:rsidRPr="00B275E2">
              <w:rPr>
                <w:rFonts w:cs="Calibri"/>
                <w:szCs w:val="18"/>
                <w:vertAlign w:val="superscript"/>
              </w:rPr>
              <w:footnoteReference w:id="87"/>
            </w:r>
            <w:r w:rsidRPr="00B275E2">
              <w:rPr>
                <w:rFonts w:cs="Calibri"/>
                <w:szCs w:val="18"/>
              </w:rPr>
              <w:t>)</w:t>
            </w:r>
          </w:p>
        </w:tc>
        <w:tc>
          <w:tcPr>
            <w:tcW w:w="1134" w:type="dxa"/>
            <w:hideMark/>
          </w:tcPr>
          <w:p w14:paraId="5B0AEB6C" w14:textId="77777777" w:rsidR="005F412E" w:rsidRPr="00B275E2" w:rsidRDefault="005F412E" w:rsidP="005F412E">
            <w:pPr>
              <w:pStyle w:val="TableText"/>
              <w:jc w:val="right"/>
              <w:rPr>
                <w:rFonts w:cs="Calibri"/>
                <w:szCs w:val="18"/>
                <w:lang w:eastAsia="en-GB"/>
              </w:rPr>
            </w:pPr>
            <w:r w:rsidRPr="00B275E2">
              <w:rPr>
                <w:rFonts w:cs="Calibri"/>
                <w:szCs w:val="18"/>
                <w:lang w:eastAsia="en-GB"/>
              </w:rPr>
              <w:t>0.07</w:t>
            </w:r>
          </w:p>
        </w:tc>
        <w:tc>
          <w:tcPr>
            <w:tcW w:w="1416" w:type="dxa"/>
            <w:hideMark/>
          </w:tcPr>
          <w:p w14:paraId="4CF68080" w14:textId="77777777" w:rsidR="005F412E" w:rsidRPr="00B275E2" w:rsidRDefault="005F412E" w:rsidP="005F412E">
            <w:pPr>
              <w:pStyle w:val="TableText"/>
              <w:jc w:val="right"/>
              <w:rPr>
                <w:rFonts w:cs="Calibri"/>
                <w:szCs w:val="18"/>
                <w:lang w:eastAsia="en-GB"/>
              </w:rPr>
            </w:pPr>
            <w:r w:rsidRPr="00B275E2">
              <w:rPr>
                <w:rFonts w:cs="Calibri"/>
                <w:szCs w:val="18"/>
                <w:lang w:eastAsia="en-GB"/>
              </w:rPr>
              <w:t>3%</w:t>
            </w:r>
          </w:p>
        </w:tc>
        <w:tc>
          <w:tcPr>
            <w:tcW w:w="1418" w:type="dxa"/>
            <w:hideMark/>
          </w:tcPr>
          <w:p w14:paraId="27AC886A" w14:textId="77777777" w:rsidR="005F412E" w:rsidRPr="00B275E2" w:rsidRDefault="005F412E" w:rsidP="005F412E">
            <w:pPr>
              <w:pStyle w:val="TableText"/>
              <w:jc w:val="right"/>
              <w:rPr>
                <w:rFonts w:cs="Calibri"/>
                <w:szCs w:val="18"/>
                <w:lang w:eastAsia="en-GB"/>
              </w:rPr>
            </w:pPr>
            <w:r w:rsidRPr="00B275E2">
              <w:rPr>
                <w:rFonts w:cs="Calibri"/>
                <w:szCs w:val="18"/>
                <w:lang w:eastAsia="en-GB"/>
              </w:rPr>
              <w:t xml:space="preserve">n/a </w:t>
            </w:r>
          </w:p>
        </w:tc>
        <w:tc>
          <w:tcPr>
            <w:tcW w:w="1329" w:type="dxa"/>
            <w:hideMark/>
          </w:tcPr>
          <w:p w14:paraId="20FA2326" w14:textId="77777777" w:rsidR="005F412E" w:rsidRPr="00B275E2" w:rsidRDefault="005F412E" w:rsidP="005F412E">
            <w:pPr>
              <w:pStyle w:val="TableText"/>
              <w:rPr>
                <w:rFonts w:cs="Calibri"/>
                <w:szCs w:val="18"/>
                <w:lang w:eastAsia="en-GB"/>
              </w:rPr>
            </w:pPr>
            <w:r w:rsidRPr="00B275E2">
              <w:rPr>
                <w:rFonts w:cs="Calibri"/>
                <w:szCs w:val="18"/>
                <w:lang w:eastAsia="en-GB"/>
              </w:rPr>
              <w:t>Recommended</w:t>
            </w:r>
          </w:p>
        </w:tc>
        <w:tc>
          <w:tcPr>
            <w:tcW w:w="1247" w:type="dxa"/>
            <w:hideMark/>
          </w:tcPr>
          <w:p w14:paraId="37233E13" w14:textId="77777777" w:rsidR="005F412E" w:rsidRPr="00B275E2" w:rsidRDefault="005F412E" w:rsidP="005F412E">
            <w:pPr>
              <w:pStyle w:val="TableText"/>
              <w:rPr>
                <w:rFonts w:cs="Calibri"/>
                <w:szCs w:val="18"/>
                <w:lang w:eastAsia="en-GB"/>
              </w:rPr>
            </w:pPr>
            <w:r w:rsidRPr="00B275E2">
              <w:rPr>
                <w:rFonts w:cs="Calibri"/>
                <w:szCs w:val="18"/>
                <w:lang w:eastAsia="en-GB"/>
              </w:rPr>
              <w:t>Acceptable</w:t>
            </w:r>
          </w:p>
        </w:tc>
      </w:tr>
      <w:tr w:rsidR="005F412E" w:rsidRPr="00B275E2" w14:paraId="33AD249A" w14:textId="77777777" w:rsidTr="00736AF4">
        <w:trPr>
          <w:cantSplit/>
        </w:trPr>
        <w:tc>
          <w:tcPr>
            <w:tcW w:w="1985" w:type="dxa"/>
            <w:hideMark/>
          </w:tcPr>
          <w:p w14:paraId="540B7618" w14:textId="63677AF9" w:rsidR="005F412E" w:rsidRPr="00B275E2" w:rsidRDefault="005F412E" w:rsidP="00342DF3">
            <w:pPr>
              <w:pStyle w:val="TableText"/>
              <w:rPr>
                <w:rFonts w:cs="Calibri"/>
                <w:szCs w:val="18"/>
                <w:lang w:eastAsia="en-US"/>
              </w:rPr>
            </w:pPr>
            <w:r w:rsidRPr="00B275E2">
              <w:rPr>
                <w:rFonts w:cs="Calibri"/>
                <w:szCs w:val="18"/>
              </w:rPr>
              <w:t>Medium refrigerator or freezer</w:t>
            </w:r>
            <w:r w:rsidR="00342DF3" w:rsidRPr="00B275E2">
              <w:rPr>
                <w:rFonts w:cs="Calibri"/>
                <w:szCs w:val="18"/>
              </w:rPr>
              <w:t xml:space="preserve"> </w:t>
            </w:r>
            <w:r w:rsidRPr="00B275E2">
              <w:rPr>
                <w:rFonts w:cs="Calibri"/>
                <w:szCs w:val="18"/>
              </w:rPr>
              <w:t>(150–300 litres)</w:t>
            </w:r>
          </w:p>
        </w:tc>
        <w:tc>
          <w:tcPr>
            <w:tcW w:w="1134" w:type="dxa"/>
            <w:hideMark/>
          </w:tcPr>
          <w:p w14:paraId="56BE5474" w14:textId="77777777" w:rsidR="005F412E" w:rsidRPr="00B275E2" w:rsidRDefault="005F412E" w:rsidP="005F412E">
            <w:pPr>
              <w:pStyle w:val="TableText"/>
              <w:jc w:val="right"/>
              <w:rPr>
                <w:rFonts w:cs="Calibri"/>
                <w:szCs w:val="18"/>
                <w:lang w:eastAsia="en-GB"/>
              </w:rPr>
            </w:pPr>
            <w:r w:rsidRPr="00B275E2">
              <w:rPr>
                <w:rFonts w:cs="Calibri"/>
                <w:szCs w:val="18"/>
                <w:lang w:eastAsia="en-GB"/>
              </w:rPr>
              <w:t>0.11</w:t>
            </w:r>
          </w:p>
        </w:tc>
        <w:tc>
          <w:tcPr>
            <w:tcW w:w="1416" w:type="dxa"/>
            <w:hideMark/>
          </w:tcPr>
          <w:p w14:paraId="5EBAC8E5" w14:textId="77777777" w:rsidR="005F412E" w:rsidRPr="00B275E2" w:rsidRDefault="005F412E" w:rsidP="005F412E">
            <w:pPr>
              <w:pStyle w:val="TableText"/>
              <w:jc w:val="right"/>
              <w:rPr>
                <w:rFonts w:cs="Calibri"/>
                <w:szCs w:val="18"/>
                <w:lang w:eastAsia="en-GB"/>
              </w:rPr>
            </w:pPr>
            <w:r w:rsidRPr="00B275E2">
              <w:rPr>
                <w:rFonts w:cs="Calibri"/>
                <w:szCs w:val="18"/>
                <w:lang w:eastAsia="en-GB"/>
              </w:rPr>
              <w:t>3%</w:t>
            </w:r>
          </w:p>
        </w:tc>
        <w:tc>
          <w:tcPr>
            <w:tcW w:w="1418" w:type="dxa"/>
            <w:hideMark/>
          </w:tcPr>
          <w:p w14:paraId="3EB9E277" w14:textId="77777777" w:rsidR="005F412E" w:rsidRPr="00B275E2" w:rsidRDefault="005F412E" w:rsidP="005F412E">
            <w:pPr>
              <w:pStyle w:val="TableText"/>
              <w:jc w:val="right"/>
              <w:rPr>
                <w:rFonts w:cs="Calibri"/>
                <w:szCs w:val="18"/>
                <w:lang w:eastAsia="en-GB"/>
              </w:rPr>
            </w:pPr>
            <w:r w:rsidRPr="00B275E2">
              <w:rPr>
                <w:rFonts w:cs="Calibri"/>
                <w:szCs w:val="18"/>
                <w:lang w:eastAsia="en-GB"/>
              </w:rPr>
              <w:t xml:space="preserve">n/a </w:t>
            </w:r>
          </w:p>
        </w:tc>
        <w:tc>
          <w:tcPr>
            <w:tcW w:w="1329" w:type="dxa"/>
            <w:hideMark/>
          </w:tcPr>
          <w:p w14:paraId="7C31D0EF" w14:textId="77777777" w:rsidR="005F412E" w:rsidRPr="00B275E2" w:rsidRDefault="005F412E" w:rsidP="005F412E">
            <w:pPr>
              <w:pStyle w:val="TableText"/>
              <w:rPr>
                <w:rFonts w:cs="Calibri"/>
                <w:szCs w:val="18"/>
                <w:lang w:eastAsia="en-GB"/>
              </w:rPr>
            </w:pPr>
            <w:r w:rsidRPr="00B275E2">
              <w:rPr>
                <w:rFonts w:cs="Calibri"/>
                <w:szCs w:val="18"/>
                <w:lang w:eastAsia="en-GB"/>
              </w:rPr>
              <w:t>Recommended</w:t>
            </w:r>
          </w:p>
        </w:tc>
        <w:tc>
          <w:tcPr>
            <w:tcW w:w="1247" w:type="dxa"/>
            <w:hideMark/>
          </w:tcPr>
          <w:p w14:paraId="1E295BA2" w14:textId="77777777" w:rsidR="005F412E" w:rsidRPr="00B275E2" w:rsidRDefault="005F412E" w:rsidP="005F412E">
            <w:pPr>
              <w:pStyle w:val="TableText"/>
              <w:rPr>
                <w:rFonts w:cs="Calibri"/>
                <w:szCs w:val="18"/>
                <w:lang w:eastAsia="en-GB"/>
              </w:rPr>
            </w:pPr>
            <w:r w:rsidRPr="00B275E2">
              <w:rPr>
                <w:rFonts w:cs="Calibri"/>
                <w:szCs w:val="18"/>
                <w:lang w:eastAsia="en-GB"/>
              </w:rPr>
              <w:t>Acceptable</w:t>
            </w:r>
          </w:p>
        </w:tc>
      </w:tr>
      <w:tr w:rsidR="005F412E" w:rsidRPr="00B275E2" w14:paraId="554CBD4E" w14:textId="77777777" w:rsidTr="00736AF4">
        <w:trPr>
          <w:cantSplit/>
        </w:trPr>
        <w:tc>
          <w:tcPr>
            <w:tcW w:w="1985" w:type="dxa"/>
            <w:hideMark/>
          </w:tcPr>
          <w:p w14:paraId="1461FE1E" w14:textId="665F9B76" w:rsidR="005F412E" w:rsidRPr="00B275E2" w:rsidRDefault="005F412E" w:rsidP="00342DF3">
            <w:pPr>
              <w:pStyle w:val="TableText"/>
              <w:rPr>
                <w:rFonts w:cs="Calibri"/>
                <w:szCs w:val="18"/>
                <w:lang w:eastAsia="en-US"/>
              </w:rPr>
            </w:pPr>
            <w:r w:rsidRPr="00B275E2">
              <w:rPr>
                <w:rFonts w:cs="Calibri"/>
                <w:szCs w:val="18"/>
              </w:rPr>
              <w:t>Large refrigerator or freezer</w:t>
            </w:r>
            <w:r w:rsidR="00342DF3" w:rsidRPr="00B275E2">
              <w:rPr>
                <w:rFonts w:cs="Calibri"/>
                <w:szCs w:val="18"/>
              </w:rPr>
              <w:t xml:space="preserve"> </w:t>
            </w:r>
            <w:r w:rsidRPr="00B275E2">
              <w:rPr>
                <w:rFonts w:cs="Calibri"/>
                <w:szCs w:val="18"/>
              </w:rPr>
              <w:t>(&gt;300 litres)</w:t>
            </w:r>
          </w:p>
        </w:tc>
        <w:tc>
          <w:tcPr>
            <w:tcW w:w="1134" w:type="dxa"/>
            <w:hideMark/>
          </w:tcPr>
          <w:p w14:paraId="0E5E7408" w14:textId="77777777" w:rsidR="005F412E" w:rsidRPr="00B275E2" w:rsidRDefault="005F412E" w:rsidP="005F412E">
            <w:pPr>
              <w:pStyle w:val="TableText"/>
              <w:jc w:val="right"/>
              <w:rPr>
                <w:rFonts w:cs="Calibri"/>
                <w:szCs w:val="18"/>
                <w:lang w:eastAsia="en-GB"/>
              </w:rPr>
            </w:pPr>
            <w:r w:rsidRPr="00B275E2">
              <w:rPr>
                <w:rFonts w:cs="Calibri"/>
                <w:szCs w:val="18"/>
                <w:lang w:eastAsia="en-GB"/>
              </w:rPr>
              <w:t>0.15</w:t>
            </w:r>
          </w:p>
        </w:tc>
        <w:tc>
          <w:tcPr>
            <w:tcW w:w="1416" w:type="dxa"/>
            <w:hideMark/>
          </w:tcPr>
          <w:p w14:paraId="5896140C" w14:textId="77777777" w:rsidR="005F412E" w:rsidRPr="00B275E2" w:rsidRDefault="005F412E" w:rsidP="005F412E">
            <w:pPr>
              <w:pStyle w:val="TableText"/>
              <w:jc w:val="right"/>
              <w:rPr>
                <w:rFonts w:cs="Calibri"/>
                <w:szCs w:val="18"/>
                <w:lang w:eastAsia="en-GB"/>
              </w:rPr>
            </w:pPr>
            <w:r w:rsidRPr="00B275E2">
              <w:rPr>
                <w:rFonts w:cs="Calibri"/>
                <w:szCs w:val="18"/>
                <w:lang w:eastAsia="en-GB"/>
              </w:rPr>
              <w:t>3%</w:t>
            </w:r>
          </w:p>
        </w:tc>
        <w:tc>
          <w:tcPr>
            <w:tcW w:w="1418" w:type="dxa"/>
            <w:hideMark/>
          </w:tcPr>
          <w:p w14:paraId="108BF298" w14:textId="77777777" w:rsidR="005F412E" w:rsidRPr="00B275E2" w:rsidRDefault="005F412E" w:rsidP="005F412E">
            <w:pPr>
              <w:pStyle w:val="TableText"/>
              <w:jc w:val="right"/>
              <w:rPr>
                <w:rFonts w:cs="Calibri"/>
                <w:szCs w:val="18"/>
                <w:lang w:eastAsia="en-GB"/>
              </w:rPr>
            </w:pPr>
            <w:r w:rsidRPr="00B275E2">
              <w:rPr>
                <w:rFonts w:cs="Calibri"/>
                <w:szCs w:val="18"/>
                <w:lang w:eastAsia="en-GB"/>
              </w:rPr>
              <w:t xml:space="preserve">n/a </w:t>
            </w:r>
          </w:p>
        </w:tc>
        <w:tc>
          <w:tcPr>
            <w:tcW w:w="1329" w:type="dxa"/>
            <w:hideMark/>
          </w:tcPr>
          <w:p w14:paraId="63E669B6" w14:textId="77777777" w:rsidR="005F412E" w:rsidRPr="00B275E2" w:rsidRDefault="005F412E" w:rsidP="005F412E">
            <w:pPr>
              <w:pStyle w:val="TableText"/>
              <w:rPr>
                <w:rFonts w:cs="Calibri"/>
                <w:szCs w:val="18"/>
                <w:lang w:eastAsia="en-GB"/>
              </w:rPr>
            </w:pPr>
            <w:r w:rsidRPr="00B275E2">
              <w:rPr>
                <w:rFonts w:cs="Calibri"/>
                <w:szCs w:val="18"/>
                <w:lang w:eastAsia="en-GB"/>
              </w:rPr>
              <w:t>Recommended</w:t>
            </w:r>
          </w:p>
        </w:tc>
        <w:tc>
          <w:tcPr>
            <w:tcW w:w="1247" w:type="dxa"/>
            <w:hideMark/>
          </w:tcPr>
          <w:p w14:paraId="197269AC" w14:textId="77777777" w:rsidR="005F412E" w:rsidRPr="00B275E2" w:rsidRDefault="005F412E" w:rsidP="005F412E">
            <w:pPr>
              <w:pStyle w:val="TableText"/>
              <w:rPr>
                <w:rFonts w:cs="Calibri"/>
                <w:szCs w:val="18"/>
                <w:lang w:eastAsia="en-GB"/>
              </w:rPr>
            </w:pPr>
            <w:r w:rsidRPr="00B275E2">
              <w:rPr>
                <w:rFonts w:cs="Calibri"/>
                <w:szCs w:val="18"/>
                <w:lang w:eastAsia="en-GB"/>
              </w:rPr>
              <w:t>Acceptable</w:t>
            </w:r>
          </w:p>
        </w:tc>
      </w:tr>
      <w:tr w:rsidR="005F412E" w:rsidRPr="00B275E2" w14:paraId="2C58420E" w14:textId="77777777" w:rsidTr="00736AF4">
        <w:trPr>
          <w:cantSplit/>
        </w:trPr>
        <w:tc>
          <w:tcPr>
            <w:tcW w:w="1985" w:type="dxa"/>
            <w:hideMark/>
          </w:tcPr>
          <w:p w14:paraId="7C0740A9" w14:textId="2199F85E" w:rsidR="005F412E" w:rsidRPr="00B275E2" w:rsidRDefault="005F412E" w:rsidP="005F412E">
            <w:pPr>
              <w:pStyle w:val="TableText"/>
              <w:rPr>
                <w:rFonts w:cs="Calibri"/>
                <w:szCs w:val="18"/>
                <w:lang w:eastAsia="en-US"/>
              </w:rPr>
            </w:pPr>
            <w:r w:rsidRPr="00B275E2">
              <w:rPr>
                <w:rFonts w:cs="Calibri"/>
                <w:szCs w:val="18"/>
              </w:rPr>
              <w:t xml:space="preserve">Small commercial stand-alone chiller </w:t>
            </w:r>
            <w:r w:rsidR="00134FDC" w:rsidRPr="00B275E2">
              <w:rPr>
                <w:rFonts w:cs="Calibri"/>
                <w:szCs w:val="18"/>
              </w:rPr>
              <w:br/>
            </w:r>
            <w:r w:rsidRPr="00B275E2">
              <w:rPr>
                <w:rFonts w:cs="Calibri"/>
                <w:szCs w:val="18"/>
              </w:rPr>
              <w:t>(&lt;300 litres)</w:t>
            </w:r>
          </w:p>
        </w:tc>
        <w:tc>
          <w:tcPr>
            <w:tcW w:w="1134" w:type="dxa"/>
            <w:hideMark/>
          </w:tcPr>
          <w:p w14:paraId="3D487FBE" w14:textId="77777777" w:rsidR="005F412E" w:rsidRPr="00B275E2" w:rsidRDefault="005F412E" w:rsidP="005F412E">
            <w:pPr>
              <w:pStyle w:val="TableText"/>
              <w:jc w:val="right"/>
              <w:rPr>
                <w:rFonts w:cs="Calibri"/>
                <w:szCs w:val="18"/>
                <w:lang w:eastAsia="en-GB"/>
              </w:rPr>
            </w:pPr>
            <w:r w:rsidRPr="00B275E2">
              <w:rPr>
                <w:rFonts w:cs="Calibri"/>
                <w:szCs w:val="18"/>
                <w:lang w:eastAsia="en-GB"/>
              </w:rPr>
              <w:t>0.25</w:t>
            </w:r>
          </w:p>
        </w:tc>
        <w:tc>
          <w:tcPr>
            <w:tcW w:w="1416" w:type="dxa"/>
            <w:hideMark/>
          </w:tcPr>
          <w:p w14:paraId="215968AD" w14:textId="77777777" w:rsidR="005F412E" w:rsidRPr="00B275E2" w:rsidRDefault="005F412E" w:rsidP="005F412E">
            <w:pPr>
              <w:pStyle w:val="TableText"/>
              <w:jc w:val="right"/>
              <w:rPr>
                <w:rFonts w:cs="Calibri"/>
                <w:szCs w:val="18"/>
                <w:lang w:eastAsia="en-GB"/>
              </w:rPr>
            </w:pPr>
            <w:r w:rsidRPr="00B275E2">
              <w:rPr>
                <w:rFonts w:cs="Calibri"/>
                <w:szCs w:val="18"/>
                <w:lang w:eastAsia="en-GB"/>
              </w:rPr>
              <w:t>8%</w:t>
            </w:r>
          </w:p>
        </w:tc>
        <w:tc>
          <w:tcPr>
            <w:tcW w:w="1418" w:type="dxa"/>
            <w:hideMark/>
          </w:tcPr>
          <w:p w14:paraId="7E1187B7" w14:textId="77777777" w:rsidR="005F412E" w:rsidRPr="00B275E2" w:rsidRDefault="005F412E" w:rsidP="005F412E">
            <w:pPr>
              <w:pStyle w:val="TableText"/>
              <w:jc w:val="right"/>
              <w:rPr>
                <w:rFonts w:cs="Calibri"/>
                <w:szCs w:val="18"/>
                <w:lang w:eastAsia="en-GB"/>
              </w:rPr>
            </w:pPr>
            <w:r w:rsidRPr="00B275E2">
              <w:rPr>
                <w:rFonts w:cs="Calibri"/>
                <w:szCs w:val="18"/>
                <w:lang w:eastAsia="en-GB"/>
              </w:rPr>
              <w:t xml:space="preserve">n/a </w:t>
            </w:r>
          </w:p>
        </w:tc>
        <w:tc>
          <w:tcPr>
            <w:tcW w:w="1329" w:type="dxa"/>
            <w:hideMark/>
          </w:tcPr>
          <w:p w14:paraId="019073A4" w14:textId="77777777" w:rsidR="005F412E" w:rsidRPr="00B275E2" w:rsidRDefault="005F412E" w:rsidP="005F412E">
            <w:pPr>
              <w:pStyle w:val="TableText"/>
              <w:rPr>
                <w:rFonts w:cs="Calibri"/>
                <w:szCs w:val="18"/>
                <w:lang w:eastAsia="en-GB"/>
              </w:rPr>
            </w:pPr>
            <w:r w:rsidRPr="00B275E2">
              <w:rPr>
                <w:rFonts w:cs="Calibri"/>
                <w:szCs w:val="18"/>
                <w:lang w:eastAsia="en-GB"/>
              </w:rPr>
              <w:t>Acceptable</w:t>
            </w:r>
          </w:p>
        </w:tc>
        <w:tc>
          <w:tcPr>
            <w:tcW w:w="1247" w:type="dxa"/>
            <w:hideMark/>
          </w:tcPr>
          <w:p w14:paraId="1DB10D4F" w14:textId="77777777" w:rsidR="005F412E" w:rsidRPr="00B275E2" w:rsidRDefault="005F412E" w:rsidP="005F412E">
            <w:pPr>
              <w:pStyle w:val="TableText"/>
              <w:rPr>
                <w:rFonts w:cs="Calibri"/>
                <w:szCs w:val="18"/>
                <w:lang w:eastAsia="en-GB"/>
              </w:rPr>
            </w:pPr>
            <w:r w:rsidRPr="00B275E2">
              <w:rPr>
                <w:rFonts w:cs="Calibri"/>
                <w:szCs w:val="18"/>
                <w:lang w:eastAsia="en-GB"/>
              </w:rPr>
              <w:t>Screening method only</w:t>
            </w:r>
          </w:p>
        </w:tc>
      </w:tr>
      <w:tr w:rsidR="005F412E" w:rsidRPr="00B275E2" w14:paraId="691E3D46" w14:textId="77777777" w:rsidTr="00736AF4">
        <w:trPr>
          <w:cantSplit/>
        </w:trPr>
        <w:tc>
          <w:tcPr>
            <w:tcW w:w="1985" w:type="dxa"/>
            <w:hideMark/>
          </w:tcPr>
          <w:p w14:paraId="50EAD476" w14:textId="59BF7936" w:rsidR="005F412E" w:rsidRPr="00B275E2" w:rsidRDefault="005F412E" w:rsidP="008362A2">
            <w:pPr>
              <w:pStyle w:val="TableText"/>
              <w:rPr>
                <w:rFonts w:cs="Calibri"/>
                <w:szCs w:val="18"/>
                <w:lang w:eastAsia="en-US"/>
              </w:rPr>
            </w:pPr>
            <w:r w:rsidRPr="00B275E2">
              <w:rPr>
                <w:rFonts w:cs="Calibri"/>
                <w:szCs w:val="18"/>
              </w:rPr>
              <w:t>Medium commercial stand-alone chiller (300</w:t>
            </w:r>
            <w:r w:rsidR="00134FDC" w:rsidRPr="00B275E2">
              <w:rPr>
                <w:rFonts w:cs="Calibri"/>
                <w:szCs w:val="18"/>
              </w:rPr>
              <w:t>–</w:t>
            </w:r>
            <w:r w:rsidRPr="00B275E2">
              <w:rPr>
                <w:rFonts w:cs="Calibri"/>
                <w:szCs w:val="18"/>
              </w:rPr>
              <w:t>500 litres)</w:t>
            </w:r>
          </w:p>
        </w:tc>
        <w:tc>
          <w:tcPr>
            <w:tcW w:w="1134" w:type="dxa"/>
            <w:hideMark/>
          </w:tcPr>
          <w:p w14:paraId="5BE58BFE" w14:textId="77777777" w:rsidR="005F412E" w:rsidRPr="00B275E2" w:rsidRDefault="005F412E" w:rsidP="005F412E">
            <w:pPr>
              <w:pStyle w:val="TableText"/>
              <w:jc w:val="right"/>
              <w:rPr>
                <w:rFonts w:cs="Calibri"/>
                <w:szCs w:val="18"/>
                <w:lang w:eastAsia="en-GB"/>
              </w:rPr>
            </w:pPr>
            <w:r w:rsidRPr="00B275E2">
              <w:rPr>
                <w:rFonts w:cs="Calibri"/>
                <w:szCs w:val="18"/>
                <w:lang w:eastAsia="en-GB"/>
              </w:rPr>
              <w:t>0.45</w:t>
            </w:r>
          </w:p>
        </w:tc>
        <w:tc>
          <w:tcPr>
            <w:tcW w:w="1416" w:type="dxa"/>
            <w:hideMark/>
          </w:tcPr>
          <w:p w14:paraId="10387E9F" w14:textId="77777777" w:rsidR="005F412E" w:rsidRPr="00B275E2" w:rsidRDefault="005F412E" w:rsidP="005F412E">
            <w:pPr>
              <w:pStyle w:val="TableText"/>
              <w:jc w:val="right"/>
              <w:rPr>
                <w:rFonts w:cs="Calibri"/>
                <w:szCs w:val="18"/>
                <w:lang w:eastAsia="en-GB"/>
              </w:rPr>
            </w:pPr>
            <w:r w:rsidRPr="00B275E2">
              <w:rPr>
                <w:rFonts w:cs="Calibri"/>
                <w:szCs w:val="18"/>
                <w:lang w:eastAsia="en-GB"/>
              </w:rPr>
              <w:t>8%</w:t>
            </w:r>
          </w:p>
        </w:tc>
        <w:tc>
          <w:tcPr>
            <w:tcW w:w="1418" w:type="dxa"/>
            <w:hideMark/>
          </w:tcPr>
          <w:p w14:paraId="625E4A17" w14:textId="77777777" w:rsidR="005F412E" w:rsidRPr="00B275E2" w:rsidRDefault="005F412E" w:rsidP="005F412E">
            <w:pPr>
              <w:pStyle w:val="TableText"/>
              <w:jc w:val="right"/>
              <w:rPr>
                <w:rFonts w:cs="Calibri"/>
                <w:szCs w:val="18"/>
                <w:lang w:eastAsia="en-GB"/>
              </w:rPr>
            </w:pPr>
            <w:r w:rsidRPr="00B275E2">
              <w:rPr>
                <w:rFonts w:cs="Calibri"/>
                <w:szCs w:val="18"/>
                <w:lang w:eastAsia="en-GB"/>
              </w:rPr>
              <w:t xml:space="preserve">n/a </w:t>
            </w:r>
          </w:p>
        </w:tc>
        <w:tc>
          <w:tcPr>
            <w:tcW w:w="1329" w:type="dxa"/>
            <w:hideMark/>
          </w:tcPr>
          <w:p w14:paraId="564D3443" w14:textId="77777777" w:rsidR="005F412E" w:rsidRPr="00B275E2" w:rsidRDefault="005F412E" w:rsidP="005F412E">
            <w:pPr>
              <w:pStyle w:val="TableText"/>
              <w:rPr>
                <w:rFonts w:cs="Calibri"/>
                <w:szCs w:val="18"/>
                <w:lang w:eastAsia="en-GB"/>
              </w:rPr>
            </w:pPr>
            <w:r w:rsidRPr="00B275E2">
              <w:rPr>
                <w:rFonts w:cs="Calibri"/>
                <w:szCs w:val="18"/>
                <w:lang w:eastAsia="en-GB"/>
              </w:rPr>
              <w:t>Acceptable</w:t>
            </w:r>
          </w:p>
        </w:tc>
        <w:tc>
          <w:tcPr>
            <w:tcW w:w="1247" w:type="dxa"/>
            <w:hideMark/>
          </w:tcPr>
          <w:p w14:paraId="6ADADB5C" w14:textId="77777777" w:rsidR="005F412E" w:rsidRPr="00B275E2" w:rsidRDefault="005F412E" w:rsidP="005F412E">
            <w:pPr>
              <w:pStyle w:val="TableText"/>
              <w:rPr>
                <w:rFonts w:cs="Calibri"/>
                <w:szCs w:val="18"/>
                <w:lang w:eastAsia="en-GB"/>
              </w:rPr>
            </w:pPr>
            <w:r w:rsidRPr="00B275E2">
              <w:rPr>
                <w:rFonts w:cs="Calibri"/>
                <w:szCs w:val="18"/>
                <w:lang w:eastAsia="en-GB"/>
              </w:rPr>
              <w:t>Screening method only</w:t>
            </w:r>
          </w:p>
        </w:tc>
      </w:tr>
      <w:tr w:rsidR="005F412E" w:rsidRPr="00B275E2" w14:paraId="3796C5E8" w14:textId="77777777" w:rsidTr="00736AF4">
        <w:trPr>
          <w:cantSplit/>
        </w:trPr>
        <w:tc>
          <w:tcPr>
            <w:tcW w:w="1985" w:type="dxa"/>
            <w:hideMark/>
          </w:tcPr>
          <w:p w14:paraId="48219327" w14:textId="1B170262" w:rsidR="005F412E" w:rsidRPr="00B275E2" w:rsidRDefault="005F412E" w:rsidP="00C66720">
            <w:pPr>
              <w:pStyle w:val="TableText"/>
              <w:rPr>
                <w:rFonts w:cs="Calibri"/>
                <w:szCs w:val="18"/>
                <w:lang w:eastAsia="en-US"/>
              </w:rPr>
            </w:pPr>
            <w:r w:rsidRPr="00B275E2">
              <w:rPr>
                <w:rFonts w:cs="Calibri"/>
                <w:szCs w:val="18"/>
              </w:rPr>
              <w:t>Large commercial stand</w:t>
            </w:r>
            <w:r w:rsidR="0099477A" w:rsidRPr="00B275E2">
              <w:rPr>
                <w:rFonts w:cs="Calibri"/>
                <w:szCs w:val="18"/>
              </w:rPr>
              <w:noBreakHyphen/>
            </w:r>
            <w:r w:rsidRPr="00B275E2">
              <w:rPr>
                <w:rFonts w:cs="Calibri"/>
                <w:szCs w:val="18"/>
              </w:rPr>
              <w:t>alone chiller (&gt;500</w:t>
            </w:r>
            <w:r w:rsidR="0099477A" w:rsidRPr="00B275E2">
              <w:rPr>
                <w:rFonts w:cs="Calibri"/>
                <w:szCs w:val="18"/>
              </w:rPr>
              <w:t> </w:t>
            </w:r>
            <w:r w:rsidRPr="00B275E2">
              <w:rPr>
                <w:rFonts w:cs="Calibri"/>
                <w:szCs w:val="18"/>
              </w:rPr>
              <w:t>litres)</w:t>
            </w:r>
          </w:p>
        </w:tc>
        <w:tc>
          <w:tcPr>
            <w:tcW w:w="1134" w:type="dxa"/>
            <w:hideMark/>
          </w:tcPr>
          <w:p w14:paraId="4B170826" w14:textId="77777777" w:rsidR="005F412E" w:rsidRPr="00B275E2" w:rsidRDefault="005F412E" w:rsidP="005F412E">
            <w:pPr>
              <w:pStyle w:val="TableText"/>
              <w:jc w:val="right"/>
              <w:rPr>
                <w:rFonts w:cs="Calibri"/>
                <w:szCs w:val="18"/>
                <w:lang w:eastAsia="en-GB"/>
              </w:rPr>
            </w:pPr>
            <w:r w:rsidRPr="00B275E2">
              <w:rPr>
                <w:rFonts w:cs="Calibri"/>
                <w:szCs w:val="18"/>
                <w:lang w:eastAsia="en-GB"/>
              </w:rPr>
              <w:t>0.65</w:t>
            </w:r>
          </w:p>
        </w:tc>
        <w:tc>
          <w:tcPr>
            <w:tcW w:w="1416" w:type="dxa"/>
            <w:hideMark/>
          </w:tcPr>
          <w:p w14:paraId="4DA0707F" w14:textId="77777777" w:rsidR="005F412E" w:rsidRPr="00B275E2" w:rsidRDefault="005F412E" w:rsidP="005F412E">
            <w:pPr>
              <w:pStyle w:val="TableText"/>
              <w:jc w:val="right"/>
              <w:rPr>
                <w:rFonts w:cs="Calibri"/>
                <w:szCs w:val="18"/>
                <w:lang w:eastAsia="en-GB"/>
              </w:rPr>
            </w:pPr>
            <w:r w:rsidRPr="00B275E2">
              <w:rPr>
                <w:rFonts w:cs="Calibri"/>
                <w:szCs w:val="18"/>
                <w:lang w:eastAsia="en-GB"/>
              </w:rPr>
              <w:t>8%</w:t>
            </w:r>
          </w:p>
        </w:tc>
        <w:tc>
          <w:tcPr>
            <w:tcW w:w="1418" w:type="dxa"/>
            <w:hideMark/>
          </w:tcPr>
          <w:p w14:paraId="1F08980C" w14:textId="77777777" w:rsidR="005F412E" w:rsidRPr="00B275E2" w:rsidRDefault="005F412E" w:rsidP="005F412E">
            <w:pPr>
              <w:pStyle w:val="TableText"/>
              <w:jc w:val="right"/>
              <w:rPr>
                <w:rFonts w:cs="Calibri"/>
                <w:szCs w:val="18"/>
                <w:lang w:eastAsia="en-GB"/>
              </w:rPr>
            </w:pPr>
            <w:r w:rsidRPr="00B275E2">
              <w:rPr>
                <w:rFonts w:cs="Calibri"/>
                <w:szCs w:val="18"/>
                <w:lang w:eastAsia="en-GB"/>
              </w:rPr>
              <w:t xml:space="preserve">n/a </w:t>
            </w:r>
          </w:p>
        </w:tc>
        <w:tc>
          <w:tcPr>
            <w:tcW w:w="1329" w:type="dxa"/>
            <w:hideMark/>
          </w:tcPr>
          <w:p w14:paraId="27BDCB05" w14:textId="77777777" w:rsidR="005F412E" w:rsidRPr="00B275E2" w:rsidRDefault="005F412E" w:rsidP="005F412E">
            <w:pPr>
              <w:pStyle w:val="TableText"/>
              <w:rPr>
                <w:rFonts w:cs="Calibri"/>
                <w:szCs w:val="18"/>
                <w:lang w:eastAsia="en-GB"/>
              </w:rPr>
            </w:pPr>
            <w:r w:rsidRPr="00B275E2">
              <w:rPr>
                <w:rFonts w:cs="Calibri"/>
                <w:szCs w:val="18"/>
                <w:lang w:eastAsia="en-GB"/>
              </w:rPr>
              <w:t>Acceptable</w:t>
            </w:r>
          </w:p>
        </w:tc>
        <w:tc>
          <w:tcPr>
            <w:tcW w:w="1247" w:type="dxa"/>
            <w:hideMark/>
          </w:tcPr>
          <w:p w14:paraId="37223D4F" w14:textId="77777777" w:rsidR="005F412E" w:rsidRPr="00B275E2" w:rsidRDefault="005F412E" w:rsidP="005F412E">
            <w:pPr>
              <w:pStyle w:val="TableText"/>
              <w:rPr>
                <w:rFonts w:cs="Calibri"/>
                <w:szCs w:val="18"/>
                <w:lang w:eastAsia="en-GB"/>
              </w:rPr>
            </w:pPr>
            <w:r w:rsidRPr="00B275E2">
              <w:rPr>
                <w:rFonts w:cs="Calibri"/>
                <w:szCs w:val="18"/>
                <w:lang w:eastAsia="en-GB"/>
              </w:rPr>
              <w:t>Screening method only</w:t>
            </w:r>
          </w:p>
        </w:tc>
      </w:tr>
      <w:tr w:rsidR="005F412E" w:rsidRPr="00B275E2" w14:paraId="09FF4248" w14:textId="77777777" w:rsidTr="00736AF4">
        <w:trPr>
          <w:cantSplit/>
        </w:trPr>
        <w:tc>
          <w:tcPr>
            <w:tcW w:w="1985" w:type="dxa"/>
            <w:hideMark/>
          </w:tcPr>
          <w:p w14:paraId="2E3336B0" w14:textId="46D47C31" w:rsidR="005F412E" w:rsidRPr="00B275E2" w:rsidRDefault="005F412E" w:rsidP="005F412E">
            <w:pPr>
              <w:pStyle w:val="TableText"/>
              <w:rPr>
                <w:rFonts w:cs="Calibri"/>
                <w:szCs w:val="18"/>
                <w:lang w:eastAsia="en-US"/>
              </w:rPr>
            </w:pPr>
            <w:r w:rsidRPr="00B275E2">
              <w:rPr>
                <w:rFonts w:cs="Calibri"/>
                <w:szCs w:val="18"/>
              </w:rPr>
              <w:t>Small commercial stand-alone freezer (&lt;300</w:t>
            </w:r>
            <w:r w:rsidR="0099477A" w:rsidRPr="00B275E2">
              <w:rPr>
                <w:rFonts w:cs="Calibri"/>
                <w:szCs w:val="18"/>
              </w:rPr>
              <w:t> </w:t>
            </w:r>
            <w:r w:rsidRPr="00B275E2">
              <w:rPr>
                <w:rFonts w:cs="Calibri"/>
                <w:szCs w:val="18"/>
              </w:rPr>
              <w:t>litres)</w:t>
            </w:r>
          </w:p>
        </w:tc>
        <w:tc>
          <w:tcPr>
            <w:tcW w:w="1134" w:type="dxa"/>
            <w:hideMark/>
          </w:tcPr>
          <w:p w14:paraId="7DC5DCDE" w14:textId="77777777" w:rsidR="005F412E" w:rsidRPr="00B275E2" w:rsidRDefault="005F412E" w:rsidP="005F412E">
            <w:pPr>
              <w:pStyle w:val="TableText"/>
              <w:jc w:val="right"/>
              <w:rPr>
                <w:rFonts w:cs="Calibri"/>
                <w:szCs w:val="18"/>
                <w:lang w:eastAsia="en-GB"/>
              </w:rPr>
            </w:pPr>
            <w:r w:rsidRPr="00B275E2">
              <w:rPr>
                <w:rFonts w:cs="Calibri"/>
                <w:szCs w:val="18"/>
                <w:lang w:eastAsia="en-GB"/>
              </w:rPr>
              <w:t>0.2</w:t>
            </w:r>
          </w:p>
        </w:tc>
        <w:tc>
          <w:tcPr>
            <w:tcW w:w="1416" w:type="dxa"/>
            <w:hideMark/>
          </w:tcPr>
          <w:p w14:paraId="2AB7362C" w14:textId="77777777" w:rsidR="005F412E" w:rsidRPr="00B275E2" w:rsidRDefault="005F412E" w:rsidP="005F412E">
            <w:pPr>
              <w:pStyle w:val="TableText"/>
              <w:jc w:val="right"/>
              <w:rPr>
                <w:rFonts w:cs="Calibri"/>
                <w:szCs w:val="18"/>
                <w:lang w:eastAsia="en-GB"/>
              </w:rPr>
            </w:pPr>
            <w:r w:rsidRPr="00B275E2">
              <w:rPr>
                <w:rFonts w:cs="Calibri"/>
                <w:szCs w:val="18"/>
                <w:lang w:eastAsia="en-GB"/>
              </w:rPr>
              <w:t>8%</w:t>
            </w:r>
          </w:p>
        </w:tc>
        <w:tc>
          <w:tcPr>
            <w:tcW w:w="1418" w:type="dxa"/>
            <w:hideMark/>
          </w:tcPr>
          <w:p w14:paraId="51A603D6" w14:textId="77777777" w:rsidR="005F412E" w:rsidRPr="00B275E2" w:rsidRDefault="005F412E" w:rsidP="005F412E">
            <w:pPr>
              <w:pStyle w:val="TableText"/>
              <w:jc w:val="right"/>
              <w:rPr>
                <w:rFonts w:cs="Calibri"/>
                <w:szCs w:val="18"/>
                <w:lang w:eastAsia="en-GB"/>
              </w:rPr>
            </w:pPr>
            <w:r w:rsidRPr="00B275E2">
              <w:rPr>
                <w:rFonts w:cs="Calibri"/>
                <w:szCs w:val="18"/>
                <w:lang w:eastAsia="en-GB"/>
              </w:rPr>
              <w:t xml:space="preserve">n/a </w:t>
            </w:r>
          </w:p>
        </w:tc>
        <w:tc>
          <w:tcPr>
            <w:tcW w:w="1329" w:type="dxa"/>
            <w:hideMark/>
          </w:tcPr>
          <w:p w14:paraId="68EDF804" w14:textId="77777777" w:rsidR="005F412E" w:rsidRPr="00B275E2" w:rsidRDefault="005F412E" w:rsidP="005F412E">
            <w:pPr>
              <w:pStyle w:val="TableText"/>
              <w:rPr>
                <w:rFonts w:cs="Calibri"/>
                <w:szCs w:val="18"/>
                <w:lang w:eastAsia="en-GB"/>
              </w:rPr>
            </w:pPr>
            <w:r w:rsidRPr="00B275E2">
              <w:rPr>
                <w:rFonts w:cs="Calibri"/>
                <w:szCs w:val="18"/>
                <w:lang w:eastAsia="en-GB"/>
              </w:rPr>
              <w:t>Acceptable</w:t>
            </w:r>
          </w:p>
        </w:tc>
        <w:tc>
          <w:tcPr>
            <w:tcW w:w="1247" w:type="dxa"/>
            <w:hideMark/>
          </w:tcPr>
          <w:p w14:paraId="0C50920A" w14:textId="77777777" w:rsidR="005F412E" w:rsidRPr="00B275E2" w:rsidRDefault="005F412E" w:rsidP="005F412E">
            <w:pPr>
              <w:pStyle w:val="TableText"/>
              <w:rPr>
                <w:rFonts w:cs="Calibri"/>
                <w:szCs w:val="18"/>
                <w:lang w:eastAsia="en-GB"/>
              </w:rPr>
            </w:pPr>
            <w:r w:rsidRPr="00B275E2">
              <w:rPr>
                <w:rFonts w:cs="Calibri"/>
                <w:szCs w:val="18"/>
                <w:lang w:eastAsia="en-GB"/>
              </w:rPr>
              <w:t>Screening method only</w:t>
            </w:r>
          </w:p>
        </w:tc>
      </w:tr>
      <w:tr w:rsidR="005F412E" w:rsidRPr="00B275E2" w14:paraId="39FAFCC9" w14:textId="77777777" w:rsidTr="00736AF4">
        <w:trPr>
          <w:cantSplit/>
        </w:trPr>
        <w:tc>
          <w:tcPr>
            <w:tcW w:w="1985" w:type="dxa"/>
            <w:hideMark/>
          </w:tcPr>
          <w:p w14:paraId="209E83EC" w14:textId="72C07BA0" w:rsidR="005F412E" w:rsidRPr="00B275E2" w:rsidRDefault="005F412E" w:rsidP="008362A2">
            <w:pPr>
              <w:pStyle w:val="TableText"/>
              <w:rPr>
                <w:rFonts w:cs="Calibri"/>
                <w:szCs w:val="18"/>
                <w:lang w:eastAsia="en-US"/>
              </w:rPr>
            </w:pPr>
            <w:r w:rsidRPr="00B275E2">
              <w:rPr>
                <w:rFonts w:cs="Calibri"/>
                <w:szCs w:val="18"/>
              </w:rPr>
              <w:t>Medium commercial stand-alone freezer (300</w:t>
            </w:r>
            <w:r w:rsidR="0099477A" w:rsidRPr="00B275E2">
              <w:rPr>
                <w:rFonts w:cs="Calibri"/>
                <w:szCs w:val="18"/>
              </w:rPr>
              <w:t>–</w:t>
            </w:r>
            <w:r w:rsidRPr="00B275E2">
              <w:rPr>
                <w:rFonts w:cs="Calibri"/>
                <w:szCs w:val="18"/>
              </w:rPr>
              <w:t>500 litres)</w:t>
            </w:r>
          </w:p>
        </w:tc>
        <w:tc>
          <w:tcPr>
            <w:tcW w:w="1134" w:type="dxa"/>
            <w:hideMark/>
          </w:tcPr>
          <w:p w14:paraId="7C37BE50" w14:textId="77777777" w:rsidR="005F412E" w:rsidRPr="00B275E2" w:rsidRDefault="005F412E" w:rsidP="005F412E">
            <w:pPr>
              <w:pStyle w:val="TableText"/>
              <w:jc w:val="right"/>
              <w:rPr>
                <w:rFonts w:cs="Calibri"/>
                <w:szCs w:val="18"/>
                <w:lang w:eastAsia="en-GB"/>
              </w:rPr>
            </w:pPr>
            <w:r w:rsidRPr="00B275E2">
              <w:rPr>
                <w:rFonts w:cs="Calibri"/>
                <w:szCs w:val="18"/>
                <w:lang w:eastAsia="en-GB"/>
              </w:rPr>
              <w:t>0.3</w:t>
            </w:r>
          </w:p>
        </w:tc>
        <w:tc>
          <w:tcPr>
            <w:tcW w:w="1416" w:type="dxa"/>
            <w:hideMark/>
          </w:tcPr>
          <w:p w14:paraId="018CEB24" w14:textId="77777777" w:rsidR="005F412E" w:rsidRPr="00B275E2" w:rsidRDefault="005F412E" w:rsidP="005F412E">
            <w:pPr>
              <w:pStyle w:val="TableText"/>
              <w:jc w:val="right"/>
              <w:rPr>
                <w:rFonts w:cs="Calibri"/>
                <w:szCs w:val="18"/>
                <w:lang w:eastAsia="en-GB"/>
              </w:rPr>
            </w:pPr>
            <w:r w:rsidRPr="00B275E2">
              <w:rPr>
                <w:rFonts w:cs="Calibri"/>
                <w:szCs w:val="18"/>
                <w:lang w:eastAsia="en-GB"/>
              </w:rPr>
              <w:t>8%</w:t>
            </w:r>
          </w:p>
        </w:tc>
        <w:tc>
          <w:tcPr>
            <w:tcW w:w="1418" w:type="dxa"/>
            <w:hideMark/>
          </w:tcPr>
          <w:p w14:paraId="16258318" w14:textId="77777777" w:rsidR="005F412E" w:rsidRPr="00B275E2" w:rsidRDefault="005F412E" w:rsidP="005F412E">
            <w:pPr>
              <w:pStyle w:val="TableText"/>
              <w:jc w:val="right"/>
              <w:rPr>
                <w:rFonts w:cs="Calibri"/>
                <w:szCs w:val="18"/>
                <w:lang w:eastAsia="en-GB"/>
              </w:rPr>
            </w:pPr>
            <w:r w:rsidRPr="00B275E2">
              <w:rPr>
                <w:rFonts w:cs="Calibri"/>
                <w:szCs w:val="18"/>
                <w:lang w:eastAsia="en-GB"/>
              </w:rPr>
              <w:t xml:space="preserve">n/a </w:t>
            </w:r>
          </w:p>
        </w:tc>
        <w:tc>
          <w:tcPr>
            <w:tcW w:w="1329" w:type="dxa"/>
            <w:hideMark/>
          </w:tcPr>
          <w:p w14:paraId="38230058" w14:textId="77777777" w:rsidR="005F412E" w:rsidRPr="00B275E2" w:rsidRDefault="005F412E" w:rsidP="005F412E">
            <w:pPr>
              <w:pStyle w:val="TableText"/>
              <w:rPr>
                <w:rFonts w:cs="Calibri"/>
                <w:szCs w:val="18"/>
                <w:lang w:eastAsia="en-GB"/>
              </w:rPr>
            </w:pPr>
            <w:r w:rsidRPr="00B275E2">
              <w:rPr>
                <w:rFonts w:cs="Calibri"/>
                <w:szCs w:val="18"/>
                <w:lang w:eastAsia="en-GB"/>
              </w:rPr>
              <w:t>Acceptable</w:t>
            </w:r>
          </w:p>
        </w:tc>
        <w:tc>
          <w:tcPr>
            <w:tcW w:w="1247" w:type="dxa"/>
            <w:hideMark/>
          </w:tcPr>
          <w:p w14:paraId="31D10008" w14:textId="77777777" w:rsidR="005F412E" w:rsidRPr="00B275E2" w:rsidRDefault="005F412E" w:rsidP="005F412E">
            <w:pPr>
              <w:pStyle w:val="TableText"/>
              <w:rPr>
                <w:rFonts w:cs="Calibri"/>
                <w:szCs w:val="18"/>
                <w:lang w:eastAsia="en-GB"/>
              </w:rPr>
            </w:pPr>
            <w:r w:rsidRPr="00B275E2">
              <w:rPr>
                <w:rFonts w:cs="Calibri"/>
                <w:szCs w:val="18"/>
                <w:lang w:eastAsia="en-GB"/>
              </w:rPr>
              <w:t>Screening method only</w:t>
            </w:r>
          </w:p>
        </w:tc>
      </w:tr>
      <w:tr w:rsidR="005F412E" w:rsidRPr="00B275E2" w14:paraId="16EC4975" w14:textId="77777777" w:rsidTr="00736AF4">
        <w:trPr>
          <w:cantSplit/>
        </w:trPr>
        <w:tc>
          <w:tcPr>
            <w:tcW w:w="1985" w:type="dxa"/>
            <w:hideMark/>
          </w:tcPr>
          <w:p w14:paraId="6CC0889A" w14:textId="6AD0AD13" w:rsidR="005F412E" w:rsidRPr="00B275E2" w:rsidRDefault="005F412E" w:rsidP="005F412E">
            <w:pPr>
              <w:pStyle w:val="TableText"/>
              <w:rPr>
                <w:rFonts w:cs="Calibri"/>
                <w:szCs w:val="18"/>
                <w:lang w:eastAsia="en-US"/>
              </w:rPr>
            </w:pPr>
            <w:r w:rsidRPr="00B275E2">
              <w:rPr>
                <w:rFonts w:cs="Calibri"/>
                <w:szCs w:val="18"/>
              </w:rPr>
              <w:t>Large commercial stand</w:t>
            </w:r>
            <w:r w:rsidR="0099477A" w:rsidRPr="00B275E2">
              <w:rPr>
                <w:rFonts w:cs="Calibri"/>
                <w:szCs w:val="18"/>
              </w:rPr>
              <w:noBreakHyphen/>
            </w:r>
            <w:r w:rsidRPr="00B275E2">
              <w:rPr>
                <w:rFonts w:cs="Calibri"/>
                <w:szCs w:val="18"/>
              </w:rPr>
              <w:t>alone freezer (&gt;500 litres)</w:t>
            </w:r>
          </w:p>
        </w:tc>
        <w:tc>
          <w:tcPr>
            <w:tcW w:w="1134" w:type="dxa"/>
            <w:hideMark/>
          </w:tcPr>
          <w:p w14:paraId="31457721" w14:textId="77777777" w:rsidR="005F412E" w:rsidRPr="00B275E2" w:rsidRDefault="005F412E" w:rsidP="005F412E">
            <w:pPr>
              <w:pStyle w:val="TableText"/>
              <w:jc w:val="right"/>
              <w:rPr>
                <w:rFonts w:cs="Calibri"/>
                <w:szCs w:val="18"/>
                <w:lang w:eastAsia="en-GB"/>
              </w:rPr>
            </w:pPr>
            <w:r w:rsidRPr="00B275E2">
              <w:rPr>
                <w:rFonts w:cs="Calibri"/>
                <w:szCs w:val="18"/>
                <w:lang w:eastAsia="en-GB"/>
              </w:rPr>
              <w:t>0.45</w:t>
            </w:r>
          </w:p>
        </w:tc>
        <w:tc>
          <w:tcPr>
            <w:tcW w:w="1416" w:type="dxa"/>
            <w:hideMark/>
          </w:tcPr>
          <w:p w14:paraId="50F7F824" w14:textId="77777777" w:rsidR="005F412E" w:rsidRPr="00B275E2" w:rsidRDefault="005F412E" w:rsidP="005F412E">
            <w:pPr>
              <w:pStyle w:val="TableText"/>
              <w:jc w:val="right"/>
              <w:rPr>
                <w:rFonts w:cs="Calibri"/>
                <w:szCs w:val="18"/>
                <w:lang w:eastAsia="en-GB"/>
              </w:rPr>
            </w:pPr>
            <w:r w:rsidRPr="00B275E2">
              <w:rPr>
                <w:rFonts w:cs="Calibri"/>
                <w:szCs w:val="18"/>
                <w:lang w:eastAsia="en-GB"/>
              </w:rPr>
              <w:t>8%</w:t>
            </w:r>
          </w:p>
        </w:tc>
        <w:tc>
          <w:tcPr>
            <w:tcW w:w="1418" w:type="dxa"/>
            <w:hideMark/>
          </w:tcPr>
          <w:p w14:paraId="53F75E09" w14:textId="77777777" w:rsidR="005F412E" w:rsidRPr="00B275E2" w:rsidRDefault="005F412E" w:rsidP="005F412E">
            <w:pPr>
              <w:pStyle w:val="TableText"/>
              <w:jc w:val="right"/>
              <w:rPr>
                <w:rFonts w:cs="Calibri"/>
                <w:szCs w:val="18"/>
                <w:lang w:eastAsia="en-GB"/>
              </w:rPr>
            </w:pPr>
            <w:r w:rsidRPr="00B275E2">
              <w:rPr>
                <w:rFonts w:cs="Calibri"/>
                <w:szCs w:val="18"/>
                <w:lang w:eastAsia="en-GB"/>
              </w:rPr>
              <w:t xml:space="preserve">n/a </w:t>
            </w:r>
          </w:p>
        </w:tc>
        <w:tc>
          <w:tcPr>
            <w:tcW w:w="1329" w:type="dxa"/>
            <w:hideMark/>
          </w:tcPr>
          <w:p w14:paraId="53DF5AC2" w14:textId="77777777" w:rsidR="005F412E" w:rsidRPr="00B275E2" w:rsidRDefault="005F412E" w:rsidP="005F412E">
            <w:pPr>
              <w:pStyle w:val="TableText"/>
              <w:rPr>
                <w:rFonts w:cs="Calibri"/>
                <w:szCs w:val="18"/>
                <w:lang w:eastAsia="en-GB"/>
              </w:rPr>
            </w:pPr>
            <w:r w:rsidRPr="00B275E2">
              <w:rPr>
                <w:rFonts w:cs="Calibri"/>
                <w:szCs w:val="18"/>
                <w:lang w:eastAsia="en-GB"/>
              </w:rPr>
              <w:t>Acceptable</w:t>
            </w:r>
          </w:p>
        </w:tc>
        <w:tc>
          <w:tcPr>
            <w:tcW w:w="1247" w:type="dxa"/>
            <w:hideMark/>
          </w:tcPr>
          <w:p w14:paraId="3AA99600" w14:textId="77777777" w:rsidR="005F412E" w:rsidRPr="00B275E2" w:rsidRDefault="005F412E" w:rsidP="005F412E">
            <w:pPr>
              <w:pStyle w:val="TableText"/>
              <w:rPr>
                <w:rFonts w:cs="Calibri"/>
                <w:szCs w:val="18"/>
                <w:lang w:eastAsia="en-GB"/>
              </w:rPr>
            </w:pPr>
            <w:r w:rsidRPr="00B275E2">
              <w:rPr>
                <w:rFonts w:cs="Calibri"/>
                <w:szCs w:val="18"/>
                <w:lang w:eastAsia="en-GB"/>
              </w:rPr>
              <w:t>Screening method only</w:t>
            </w:r>
          </w:p>
        </w:tc>
      </w:tr>
      <w:tr w:rsidR="005F412E" w:rsidRPr="00B275E2" w14:paraId="0A3E0BD7" w14:textId="77777777" w:rsidTr="00736AF4">
        <w:trPr>
          <w:cantSplit/>
        </w:trPr>
        <w:tc>
          <w:tcPr>
            <w:tcW w:w="1985" w:type="dxa"/>
            <w:hideMark/>
          </w:tcPr>
          <w:p w14:paraId="01CABD9D" w14:textId="77777777" w:rsidR="005F412E" w:rsidRPr="00B275E2" w:rsidRDefault="005F412E" w:rsidP="005F412E">
            <w:pPr>
              <w:pStyle w:val="TableText"/>
              <w:rPr>
                <w:rFonts w:cs="Calibri"/>
                <w:szCs w:val="18"/>
                <w:lang w:eastAsia="en-US"/>
              </w:rPr>
            </w:pPr>
            <w:r w:rsidRPr="00B275E2">
              <w:rPr>
                <w:rFonts w:cs="Calibri"/>
                <w:szCs w:val="18"/>
              </w:rPr>
              <w:t>Water coolers</w:t>
            </w:r>
          </w:p>
        </w:tc>
        <w:tc>
          <w:tcPr>
            <w:tcW w:w="1134" w:type="dxa"/>
            <w:hideMark/>
          </w:tcPr>
          <w:p w14:paraId="59D8D4AD" w14:textId="77777777" w:rsidR="005F412E" w:rsidRPr="00B275E2" w:rsidRDefault="005F412E" w:rsidP="005F412E">
            <w:pPr>
              <w:pStyle w:val="TableText"/>
              <w:jc w:val="right"/>
              <w:rPr>
                <w:rFonts w:cs="Calibri"/>
                <w:szCs w:val="18"/>
                <w:lang w:eastAsia="en-GB"/>
              </w:rPr>
            </w:pPr>
            <w:r w:rsidRPr="00B275E2">
              <w:rPr>
                <w:rFonts w:cs="Calibri"/>
                <w:szCs w:val="18"/>
                <w:lang w:eastAsia="en-GB"/>
              </w:rPr>
              <w:t>0.04</w:t>
            </w:r>
          </w:p>
        </w:tc>
        <w:tc>
          <w:tcPr>
            <w:tcW w:w="1416" w:type="dxa"/>
            <w:hideMark/>
          </w:tcPr>
          <w:p w14:paraId="6E63C3DE" w14:textId="77777777" w:rsidR="005F412E" w:rsidRPr="00B275E2" w:rsidRDefault="005F412E" w:rsidP="005F412E">
            <w:pPr>
              <w:pStyle w:val="TableText"/>
              <w:jc w:val="right"/>
              <w:rPr>
                <w:rFonts w:cs="Calibri"/>
                <w:szCs w:val="18"/>
                <w:lang w:eastAsia="en-GB"/>
              </w:rPr>
            </w:pPr>
            <w:r w:rsidRPr="00B275E2">
              <w:rPr>
                <w:rFonts w:cs="Calibri"/>
                <w:szCs w:val="18"/>
                <w:lang w:eastAsia="en-GB"/>
              </w:rPr>
              <w:t>3%</w:t>
            </w:r>
          </w:p>
        </w:tc>
        <w:tc>
          <w:tcPr>
            <w:tcW w:w="1418" w:type="dxa"/>
            <w:hideMark/>
          </w:tcPr>
          <w:p w14:paraId="045E1663" w14:textId="77777777" w:rsidR="005F412E" w:rsidRPr="00B275E2" w:rsidRDefault="005F412E" w:rsidP="005F412E">
            <w:pPr>
              <w:pStyle w:val="TableText"/>
              <w:jc w:val="right"/>
              <w:rPr>
                <w:rFonts w:cs="Calibri"/>
                <w:szCs w:val="18"/>
                <w:lang w:eastAsia="en-GB"/>
              </w:rPr>
            </w:pPr>
            <w:r w:rsidRPr="00B275E2">
              <w:rPr>
                <w:rFonts w:cs="Calibri"/>
                <w:szCs w:val="18"/>
                <w:lang w:eastAsia="en-GB"/>
              </w:rPr>
              <w:t xml:space="preserve">n/a </w:t>
            </w:r>
          </w:p>
        </w:tc>
        <w:tc>
          <w:tcPr>
            <w:tcW w:w="1329" w:type="dxa"/>
            <w:hideMark/>
          </w:tcPr>
          <w:p w14:paraId="288D7576" w14:textId="77777777" w:rsidR="005F412E" w:rsidRPr="00B275E2" w:rsidRDefault="005F412E" w:rsidP="005F412E">
            <w:pPr>
              <w:pStyle w:val="TableText"/>
              <w:rPr>
                <w:rFonts w:cs="Calibri"/>
                <w:szCs w:val="18"/>
                <w:lang w:eastAsia="en-GB"/>
              </w:rPr>
            </w:pPr>
            <w:r w:rsidRPr="00B275E2">
              <w:rPr>
                <w:rFonts w:cs="Calibri"/>
                <w:szCs w:val="18"/>
                <w:lang w:eastAsia="en-GB"/>
              </w:rPr>
              <w:t>Recommended</w:t>
            </w:r>
          </w:p>
        </w:tc>
        <w:tc>
          <w:tcPr>
            <w:tcW w:w="1247" w:type="dxa"/>
            <w:hideMark/>
          </w:tcPr>
          <w:p w14:paraId="55DFEAC3" w14:textId="77777777" w:rsidR="005F412E" w:rsidRPr="00B275E2" w:rsidRDefault="005F412E" w:rsidP="005F412E">
            <w:pPr>
              <w:pStyle w:val="TableText"/>
              <w:rPr>
                <w:rFonts w:cs="Calibri"/>
                <w:szCs w:val="18"/>
                <w:lang w:eastAsia="en-GB"/>
              </w:rPr>
            </w:pPr>
            <w:r w:rsidRPr="00B275E2">
              <w:rPr>
                <w:rFonts w:cs="Calibri"/>
                <w:szCs w:val="18"/>
                <w:lang w:eastAsia="en-GB"/>
              </w:rPr>
              <w:t>Acceptable</w:t>
            </w:r>
          </w:p>
        </w:tc>
      </w:tr>
      <w:tr w:rsidR="005F412E" w:rsidRPr="00B275E2" w14:paraId="752FDCC0" w14:textId="77777777" w:rsidTr="00736AF4">
        <w:trPr>
          <w:cantSplit/>
        </w:trPr>
        <w:tc>
          <w:tcPr>
            <w:tcW w:w="1985" w:type="dxa"/>
            <w:hideMark/>
          </w:tcPr>
          <w:p w14:paraId="0958F826" w14:textId="77777777" w:rsidR="005F412E" w:rsidRPr="00B275E2" w:rsidRDefault="005F412E" w:rsidP="005F412E">
            <w:pPr>
              <w:pStyle w:val="TableText"/>
              <w:rPr>
                <w:rFonts w:cs="Calibri"/>
                <w:szCs w:val="18"/>
                <w:lang w:eastAsia="en-US"/>
              </w:rPr>
            </w:pPr>
            <w:r w:rsidRPr="00B275E2">
              <w:rPr>
                <w:rFonts w:cs="Calibri"/>
                <w:szCs w:val="18"/>
              </w:rPr>
              <w:t>Dehumidifiers</w:t>
            </w:r>
          </w:p>
        </w:tc>
        <w:tc>
          <w:tcPr>
            <w:tcW w:w="1134" w:type="dxa"/>
            <w:hideMark/>
          </w:tcPr>
          <w:p w14:paraId="35347065" w14:textId="77777777" w:rsidR="005F412E" w:rsidRPr="00B275E2" w:rsidRDefault="005F412E" w:rsidP="005F412E">
            <w:pPr>
              <w:pStyle w:val="TableText"/>
              <w:jc w:val="right"/>
              <w:rPr>
                <w:rFonts w:cs="Calibri"/>
                <w:szCs w:val="18"/>
                <w:lang w:eastAsia="en-GB"/>
              </w:rPr>
            </w:pPr>
            <w:r w:rsidRPr="00B275E2">
              <w:rPr>
                <w:rFonts w:cs="Calibri"/>
                <w:szCs w:val="18"/>
                <w:lang w:eastAsia="en-GB"/>
              </w:rPr>
              <w:t>0.17</w:t>
            </w:r>
          </w:p>
        </w:tc>
        <w:tc>
          <w:tcPr>
            <w:tcW w:w="1416" w:type="dxa"/>
            <w:hideMark/>
          </w:tcPr>
          <w:p w14:paraId="37C89B13" w14:textId="77777777" w:rsidR="005F412E" w:rsidRPr="00B275E2" w:rsidRDefault="005F412E" w:rsidP="005F412E">
            <w:pPr>
              <w:pStyle w:val="TableText"/>
              <w:jc w:val="right"/>
              <w:rPr>
                <w:rFonts w:cs="Calibri"/>
                <w:szCs w:val="18"/>
                <w:lang w:eastAsia="en-GB"/>
              </w:rPr>
            </w:pPr>
            <w:r w:rsidRPr="00B275E2">
              <w:rPr>
                <w:rFonts w:cs="Calibri"/>
                <w:szCs w:val="18"/>
                <w:lang w:eastAsia="en-GB"/>
              </w:rPr>
              <w:t>3%</w:t>
            </w:r>
          </w:p>
        </w:tc>
        <w:tc>
          <w:tcPr>
            <w:tcW w:w="1418" w:type="dxa"/>
            <w:hideMark/>
          </w:tcPr>
          <w:p w14:paraId="25F1ED37" w14:textId="77777777" w:rsidR="005F412E" w:rsidRPr="00B275E2" w:rsidRDefault="005F412E" w:rsidP="005F412E">
            <w:pPr>
              <w:pStyle w:val="TableText"/>
              <w:jc w:val="right"/>
              <w:rPr>
                <w:rFonts w:cs="Calibri"/>
                <w:szCs w:val="18"/>
                <w:lang w:eastAsia="en-GB"/>
              </w:rPr>
            </w:pPr>
            <w:r w:rsidRPr="00B275E2">
              <w:rPr>
                <w:rFonts w:cs="Calibri"/>
                <w:szCs w:val="18"/>
                <w:lang w:eastAsia="en-GB"/>
              </w:rPr>
              <w:t xml:space="preserve">n/a </w:t>
            </w:r>
          </w:p>
        </w:tc>
        <w:tc>
          <w:tcPr>
            <w:tcW w:w="1329" w:type="dxa"/>
            <w:hideMark/>
          </w:tcPr>
          <w:p w14:paraId="4D260B21" w14:textId="77777777" w:rsidR="005F412E" w:rsidRPr="00B275E2" w:rsidRDefault="005F412E" w:rsidP="005F412E">
            <w:pPr>
              <w:pStyle w:val="TableText"/>
              <w:rPr>
                <w:rFonts w:cs="Calibri"/>
                <w:szCs w:val="18"/>
                <w:lang w:eastAsia="en-GB"/>
              </w:rPr>
            </w:pPr>
            <w:r w:rsidRPr="00B275E2">
              <w:rPr>
                <w:rFonts w:cs="Calibri"/>
                <w:szCs w:val="18"/>
                <w:lang w:eastAsia="en-GB"/>
              </w:rPr>
              <w:t>Recommended</w:t>
            </w:r>
          </w:p>
        </w:tc>
        <w:tc>
          <w:tcPr>
            <w:tcW w:w="1247" w:type="dxa"/>
            <w:hideMark/>
          </w:tcPr>
          <w:p w14:paraId="4785DB03" w14:textId="77777777" w:rsidR="005F412E" w:rsidRPr="00B275E2" w:rsidRDefault="005F412E" w:rsidP="005F412E">
            <w:pPr>
              <w:pStyle w:val="TableText"/>
              <w:rPr>
                <w:rFonts w:cs="Calibri"/>
                <w:szCs w:val="18"/>
                <w:lang w:eastAsia="en-GB"/>
              </w:rPr>
            </w:pPr>
            <w:r w:rsidRPr="00B275E2">
              <w:rPr>
                <w:rFonts w:cs="Calibri"/>
                <w:szCs w:val="18"/>
                <w:lang w:eastAsia="en-GB"/>
              </w:rPr>
              <w:t>Acceptable</w:t>
            </w:r>
          </w:p>
        </w:tc>
      </w:tr>
      <w:tr w:rsidR="005F412E" w:rsidRPr="00B275E2" w14:paraId="52CE5AFD" w14:textId="77777777" w:rsidTr="00736AF4">
        <w:trPr>
          <w:cantSplit/>
        </w:trPr>
        <w:tc>
          <w:tcPr>
            <w:tcW w:w="1985" w:type="dxa"/>
            <w:hideMark/>
          </w:tcPr>
          <w:p w14:paraId="4834A9B6" w14:textId="77777777" w:rsidR="005F412E" w:rsidRPr="00B275E2" w:rsidRDefault="005F412E" w:rsidP="005F412E">
            <w:pPr>
              <w:pStyle w:val="TableText"/>
              <w:rPr>
                <w:rFonts w:cs="Calibri"/>
                <w:szCs w:val="18"/>
                <w:lang w:eastAsia="en-US"/>
              </w:rPr>
            </w:pPr>
            <w:r w:rsidRPr="00B275E2">
              <w:rPr>
                <w:rFonts w:cs="Calibri"/>
                <w:szCs w:val="18"/>
              </w:rPr>
              <w:t>Small self-contained air conditioners (window mounted or through-the-wall)</w:t>
            </w:r>
          </w:p>
        </w:tc>
        <w:tc>
          <w:tcPr>
            <w:tcW w:w="1134" w:type="dxa"/>
            <w:hideMark/>
          </w:tcPr>
          <w:p w14:paraId="275F7D9D" w14:textId="77777777" w:rsidR="005F412E" w:rsidRPr="00B275E2" w:rsidRDefault="005F412E" w:rsidP="005F412E">
            <w:pPr>
              <w:pStyle w:val="TableText"/>
              <w:jc w:val="right"/>
              <w:rPr>
                <w:rFonts w:cs="Calibri"/>
                <w:szCs w:val="18"/>
                <w:lang w:eastAsia="en-GB"/>
              </w:rPr>
            </w:pPr>
            <w:r w:rsidRPr="00B275E2">
              <w:rPr>
                <w:rFonts w:cs="Calibri"/>
                <w:szCs w:val="18"/>
                <w:lang w:eastAsia="en-GB"/>
              </w:rPr>
              <w:t>0.2 kg per kW cooling capacity</w:t>
            </w:r>
          </w:p>
        </w:tc>
        <w:tc>
          <w:tcPr>
            <w:tcW w:w="1416" w:type="dxa"/>
            <w:hideMark/>
          </w:tcPr>
          <w:p w14:paraId="1562C95A" w14:textId="77777777" w:rsidR="005F412E" w:rsidRPr="00B275E2" w:rsidRDefault="005F412E" w:rsidP="005F412E">
            <w:pPr>
              <w:pStyle w:val="TableText"/>
              <w:jc w:val="right"/>
              <w:rPr>
                <w:rFonts w:cs="Calibri"/>
                <w:szCs w:val="18"/>
                <w:lang w:eastAsia="en-GB"/>
              </w:rPr>
            </w:pPr>
            <w:r w:rsidRPr="00B275E2">
              <w:rPr>
                <w:rFonts w:cs="Calibri"/>
                <w:szCs w:val="18"/>
                <w:lang w:eastAsia="en-GB"/>
              </w:rPr>
              <w:t>1%</w:t>
            </w:r>
          </w:p>
        </w:tc>
        <w:tc>
          <w:tcPr>
            <w:tcW w:w="1418" w:type="dxa"/>
            <w:hideMark/>
          </w:tcPr>
          <w:p w14:paraId="09D348F5" w14:textId="77777777" w:rsidR="005F412E" w:rsidRPr="00B275E2" w:rsidRDefault="005F412E" w:rsidP="005F412E">
            <w:pPr>
              <w:pStyle w:val="TableText"/>
              <w:jc w:val="right"/>
              <w:rPr>
                <w:rFonts w:cs="Calibri"/>
                <w:szCs w:val="18"/>
                <w:lang w:eastAsia="en-GB"/>
              </w:rPr>
            </w:pPr>
            <w:r w:rsidRPr="00B275E2">
              <w:rPr>
                <w:rFonts w:cs="Calibri"/>
                <w:szCs w:val="18"/>
                <w:lang w:eastAsia="en-GB"/>
              </w:rPr>
              <w:t>0.5%</w:t>
            </w:r>
          </w:p>
        </w:tc>
        <w:tc>
          <w:tcPr>
            <w:tcW w:w="1329" w:type="dxa"/>
            <w:hideMark/>
          </w:tcPr>
          <w:p w14:paraId="09A28885" w14:textId="77777777" w:rsidR="005F412E" w:rsidRPr="00B275E2" w:rsidRDefault="005F412E" w:rsidP="005F412E">
            <w:pPr>
              <w:pStyle w:val="TableText"/>
              <w:rPr>
                <w:rFonts w:cs="Calibri"/>
                <w:szCs w:val="18"/>
                <w:lang w:eastAsia="en-GB"/>
              </w:rPr>
            </w:pPr>
            <w:r w:rsidRPr="00B275E2">
              <w:rPr>
                <w:rFonts w:cs="Calibri"/>
                <w:szCs w:val="18"/>
                <w:lang w:eastAsia="en-GB"/>
              </w:rPr>
              <w:t>Acceptable</w:t>
            </w:r>
          </w:p>
        </w:tc>
        <w:tc>
          <w:tcPr>
            <w:tcW w:w="1247" w:type="dxa"/>
            <w:hideMark/>
          </w:tcPr>
          <w:p w14:paraId="3B5BFB8E" w14:textId="77777777" w:rsidR="005F412E" w:rsidRPr="00B275E2" w:rsidRDefault="005F412E" w:rsidP="005F412E">
            <w:pPr>
              <w:pStyle w:val="TableText"/>
              <w:rPr>
                <w:rFonts w:cs="Calibri"/>
                <w:szCs w:val="18"/>
                <w:lang w:eastAsia="en-GB"/>
              </w:rPr>
            </w:pPr>
            <w:r w:rsidRPr="00B275E2">
              <w:rPr>
                <w:rFonts w:cs="Calibri"/>
                <w:szCs w:val="18"/>
                <w:lang w:eastAsia="en-GB"/>
              </w:rPr>
              <w:t>Screening method only</w:t>
            </w:r>
          </w:p>
        </w:tc>
      </w:tr>
      <w:tr w:rsidR="005F412E" w:rsidRPr="00B275E2" w14:paraId="52D0A781" w14:textId="77777777" w:rsidTr="00736AF4">
        <w:trPr>
          <w:cantSplit/>
        </w:trPr>
        <w:tc>
          <w:tcPr>
            <w:tcW w:w="1985" w:type="dxa"/>
            <w:hideMark/>
          </w:tcPr>
          <w:p w14:paraId="51858509" w14:textId="521B9476" w:rsidR="005F412E" w:rsidRPr="00B275E2" w:rsidRDefault="005F412E" w:rsidP="005F412E">
            <w:pPr>
              <w:pStyle w:val="TableText"/>
              <w:rPr>
                <w:rFonts w:cs="Calibri"/>
                <w:szCs w:val="18"/>
                <w:lang w:eastAsia="en-US"/>
              </w:rPr>
            </w:pPr>
            <w:r w:rsidRPr="00B275E2">
              <w:rPr>
                <w:rFonts w:cs="Calibri"/>
                <w:szCs w:val="18"/>
              </w:rPr>
              <w:lastRenderedPageBreak/>
              <w:t>Non-ducted and ducted split commercial air conditioners</w:t>
            </w:r>
            <w:r w:rsidR="00A13B64" w:rsidRPr="00B275E2">
              <w:rPr>
                <w:rFonts w:cs="Calibri"/>
                <w:szCs w:val="18"/>
              </w:rPr>
              <w:t xml:space="preserve"> </w:t>
            </w:r>
            <w:r w:rsidRPr="00B275E2">
              <w:rPr>
                <w:rFonts w:cs="Calibri"/>
                <w:szCs w:val="18"/>
              </w:rPr>
              <w:t>(&lt;20 kW)</w:t>
            </w:r>
          </w:p>
        </w:tc>
        <w:tc>
          <w:tcPr>
            <w:tcW w:w="1134" w:type="dxa"/>
            <w:hideMark/>
          </w:tcPr>
          <w:p w14:paraId="0A4D7E0B" w14:textId="77777777" w:rsidR="005F412E" w:rsidRPr="00B275E2" w:rsidRDefault="005F412E" w:rsidP="005F412E">
            <w:pPr>
              <w:pStyle w:val="TableText"/>
              <w:jc w:val="right"/>
              <w:rPr>
                <w:rFonts w:cs="Calibri"/>
                <w:szCs w:val="18"/>
                <w:lang w:eastAsia="en-GB"/>
              </w:rPr>
            </w:pPr>
            <w:r w:rsidRPr="00B275E2">
              <w:rPr>
                <w:rFonts w:cs="Calibri"/>
                <w:szCs w:val="18"/>
                <w:lang w:eastAsia="en-GB"/>
              </w:rPr>
              <w:t>0.25 kg per kW cooling capacity</w:t>
            </w:r>
          </w:p>
        </w:tc>
        <w:tc>
          <w:tcPr>
            <w:tcW w:w="1416" w:type="dxa"/>
            <w:hideMark/>
          </w:tcPr>
          <w:p w14:paraId="59E92251" w14:textId="77777777" w:rsidR="005F412E" w:rsidRPr="00B275E2" w:rsidRDefault="005F412E" w:rsidP="005F412E">
            <w:pPr>
              <w:pStyle w:val="TableText"/>
              <w:jc w:val="right"/>
              <w:rPr>
                <w:rFonts w:cs="Calibri"/>
                <w:szCs w:val="18"/>
                <w:lang w:eastAsia="en-GB"/>
              </w:rPr>
            </w:pPr>
            <w:r w:rsidRPr="00B275E2">
              <w:rPr>
                <w:rFonts w:cs="Calibri"/>
                <w:szCs w:val="18"/>
                <w:lang w:eastAsia="en-GB"/>
              </w:rPr>
              <w:t>3%</w:t>
            </w:r>
          </w:p>
        </w:tc>
        <w:tc>
          <w:tcPr>
            <w:tcW w:w="1418" w:type="dxa"/>
            <w:hideMark/>
          </w:tcPr>
          <w:p w14:paraId="5FD671B6" w14:textId="77777777" w:rsidR="005F412E" w:rsidRPr="00B275E2" w:rsidRDefault="005F412E" w:rsidP="005F412E">
            <w:pPr>
              <w:pStyle w:val="TableText"/>
              <w:jc w:val="right"/>
              <w:rPr>
                <w:rFonts w:cs="Calibri"/>
                <w:szCs w:val="18"/>
                <w:lang w:eastAsia="en-GB"/>
              </w:rPr>
            </w:pPr>
            <w:r w:rsidRPr="00B275E2">
              <w:rPr>
                <w:rFonts w:cs="Calibri"/>
                <w:szCs w:val="18"/>
                <w:lang w:eastAsia="en-GB"/>
              </w:rPr>
              <w:t>0.5%</w:t>
            </w:r>
          </w:p>
        </w:tc>
        <w:tc>
          <w:tcPr>
            <w:tcW w:w="1329" w:type="dxa"/>
            <w:hideMark/>
          </w:tcPr>
          <w:p w14:paraId="40D54FB9" w14:textId="77777777" w:rsidR="005F412E" w:rsidRPr="00B275E2" w:rsidRDefault="005F412E" w:rsidP="005F412E">
            <w:pPr>
              <w:pStyle w:val="TableText"/>
              <w:rPr>
                <w:rFonts w:cs="Calibri"/>
                <w:szCs w:val="18"/>
                <w:lang w:eastAsia="en-GB"/>
              </w:rPr>
            </w:pPr>
            <w:r w:rsidRPr="00B275E2">
              <w:rPr>
                <w:rFonts w:cs="Calibri"/>
                <w:szCs w:val="18"/>
                <w:lang w:eastAsia="en-GB"/>
              </w:rPr>
              <w:t>Acceptable</w:t>
            </w:r>
          </w:p>
        </w:tc>
        <w:tc>
          <w:tcPr>
            <w:tcW w:w="1247" w:type="dxa"/>
            <w:hideMark/>
          </w:tcPr>
          <w:p w14:paraId="526048AB" w14:textId="77777777" w:rsidR="005F412E" w:rsidRPr="00B275E2" w:rsidRDefault="005F412E" w:rsidP="005F412E">
            <w:pPr>
              <w:pStyle w:val="TableText"/>
              <w:rPr>
                <w:rFonts w:cs="Calibri"/>
                <w:szCs w:val="18"/>
                <w:lang w:eastAsia="en-GB"/>
              </w:rPr>
            </w:pPr>
            <w:r w:rsidRPr="00B275E2">
              <w:rPr>
                <w:rFonts w:cs="Calibri"/>
                <w:szCs w:val="18"/>
                <w:lang w:eastAsia="en-GB"/>
              </w:rPr>
              <w:t>Screening method only</w:t>
            </w:r>
          </w:p>
        </w:tc>
      </w:tr>
      <w:tr w:rsidR="005F412E" w:rsidRPr="00B275E2" w14:paraId="08D6C6CA" w14:textId="77777777" w:rsidTr="00736AF4">
        <w:trPr>
          <w:cantSplit/>
        </w:trPr>
        <w:tc>
          <w:tcPr>
            <w:tcW w:w="1985" w:type="dxa"/>
            <w:hideMark/>
          </w:tcPr>
          <w:p w14:paraId="29B6E278" w14:textId="405A0AE5" w:rsidR="005F412E" w:rsidRPr="00B275E2" w:rsidRDefault="005F412E" w:rsidP="005F412E">
            <w:pPr>
              <w:pStyle w:val="TableText"/>
              <w:rPr>
                <w:rFonts w:cs="Calibri"/>
                <w:szCs w:val="18"/>
                <w:lang w:eastAsia="en-US"/>
              </w:rPr>
            </w:pPr>
            <w:r w:rsidRPr="00B275E2">
              <w:rPr>
                <w:rFonts w:cs="Calibri"/>
                <w:szCs w:val="18"/>
              </w:rPr>
              <w:t>Commercial air conditioning</w:t>
            </w:r>
            <w:r w:rsidR="00A13B64" w:rsidRPr="00B275E2">
              <w:rPr>
                <w:rFonts w:cs="Calibri"/>
                <w:szCs w:val="18"/>
              </w:rPr>
              <w:t xml:space="preserve"> </w:t>
            </w:r>
            <w:r w:rsidRPr="00B275E2">
              <w:rPr>
                <w:rFonts w:cs="Calibri"/>
                <w:szCs w:val="18"/>
              </w:rPr>
              <w:t>(&gt;20kW)</w:t>
            </w:r>
          </w:p>
        </w:tc>
        <w:tc>
          <w:tcPr>
            <w:tcW w:w="1134" w:type="dxa"/>
            <w:hideMark/>
          </w:tcPr>
          <w:p w14:paraId="681AF0EE" w14:textId="77777777" w:rsidR="005F412E" w:rsidRPr="00B275E2" w:rsidRDefault="005F412E" w:rsidP="005F412E">
            <w:pPr>
              <w:pStyle w:val="TableText"/>
              <w:jc w:val="right"/>
              <w:rPr>
                <w:rFonts w:cs="Calibri"/>
                <w:szCs w:val="18"/>
                <w:lang w:eastAsia="en-GB"/>
              </w:rPr>
            </w:pPr>
            <w:r w:rsidRPr="00B275E2">
              <w:rPr>
                <w:rFonts w:cs="Calibri"/>
                <w:szCs w:val="18"/>
                <w:lang w:eastAsia="en-GB"/>
              </w:rPr>
              <w:t>Wide range</w:t>
            </w:r>
          </w:p>
        </w:tc>
        <w:tc>
          <w:tcPr>
            <w:tcW w:w="1416" w:type="dxa"/>
            <w:hideMark/>
          </w:tcPr>
          <w:p w14:paraId="6C99C468" w14:textId="77777777" w:rsidR="005F412E" w:rsidRPr="00B275E2" w:rsidRDefault="005F412E" w:rsidP="005F412E">
            <w:pPr>
              <w:pStyle w:val="TableText"/>
              <w:jc w:val="right"/>
              <w:rPr>
                <w:rFonts w:cs="Calibri"/>
                <w:szCs w:val="18"/>
                <w:lang w:eastAsia="en-GB"/>
              </w:rPr>
            </w:pPr>
            <w:r w:rsidRPr="00B275E2">
              <w:rPr>
                <w:rFonts w:cs="Calibri"/>
                <w:szCs w:val="18"/>
                <w:lang w:eastAsia="en-GB"/>
              </w:rPr>
              <w:t>Wide range</w:t>
            </w:r>
          </w:p>
        </w:tc>
        <w:tc>
          <w:tcPr>
            <w:tcW w:w="1418" w:type="dxa"/>
            <w:hideMark/>
          </w:tcPr>
          <w:p w14:paraId="6210C3D6" w14:textId="77777777" w:rsidR="005F412E" w:rsidRPr="00B275E2" w:rsidRDefault="005F412E" w:rsidP="005F412E">
            <w:pPr>
              <w:pStyle w:val="TableText"/>
              <w:jc w:val="right"/>
              <w:rPr>
                <w:rFonts w:cs="Calibri"/>
                <w:szCs w:val="18"/>
                <w:lang w:eastAsia="en-GB"/>
              </w:rPr>
            </w:pPr>
            <w:r w:rsidRPr="00B275E2">
              <w:rPr>
                <w:rFonts w:cs="Calibri"/>
                <w:szCs w:val="18"/>
                <w:lang w:eastAsia="en-GB"/>
              </w:rPr>
              <w:t>Wide range</w:t>
            </w:r>
          </w:p>
        </w:tc>
        <w:tc>
          <w:tcPr>
            <w:tcW w:w="1329" w:type="dxa"/>
            <w:hideMark/>
          </w:tcPr>
          <w:p w14:paraId="3835E4E6" w14:textId="77777777" w:rsidR="005F412E" w:rsidRPr="00B275E2" w:rsidRDefault="005F412E" w:rsidP="005F412E">
            <w:pPr>
              <w:pStyle w:val="TableText"/>
              <w:rPr>
                <w:rFonts w:cs="Calibri"/>
                <w:szCs w:val="18"/>
                <w:lang w:eastAsia="en-GB"/>
              </w:rPr>
            </w:pPr>
            <w:r w:rsidRPr="00B275E2">
              <w:rPr>
                <w:rFonts w:cs="Calibri"/>
                <w:szCs w:val="18"/>
                <w:lang w:eastAsia="en-GB"/>
              </w:rPr>
              <w:t>Unacceptable</w:t>
            </w:r>
          </w:p>
        </w:tc>
        <w:tc>
          <w:tcPr>
            <w:tcW w:w="1247" w:type="dxa"/>
            <w:hideMark/>
          </w:tcPr>
          <w:p w14:paraId="069B2493" w14:textId="77777777" w:rsidR="005F412E" w:rsidRPr="00B275E2" w:rsidRDefault="005F412E" w:rsidP="005F412E">
            <w:pPr>
              <w:pStyle w:val="TableText"/>
              <w:rPr>
                <w:rFonts w:cs="Calibri"/>
                <w:szCs w:val="18"/>
                <w:lang w:eastAsia="en-GB"/>
              </w:rPr>
            </w:pPr>
            <w:r w:rsidRPr="00B275E2">
              <w:rPr>
                <w:rFonts w:cs="Calibri"/>
                <w:szCs w:val="18"/>
                <w:lang w:eastAsia="en-GB"/>
              </w:rPr>
              <w:t>Unacceptable</w:t>
            </w:r>
          </w:p>
        </w:tc>
      </w:tr>
      <w:tr w:rsidR="005F412E" w:rsidRPr="00B275E2" w14:paraId="1A900B36" w14:textId="77777777" w:rsidTr="00736AF4">
        <w:trPr>
          <w:cantSplit/>
        </w:trPr>
        <w:tc>
          <w:tcPr>
            <w:tcW w:w="1985" w:type="dxa"/>
            <w:hideMark/>
          </w:tcPr>
          <w:p w14:paraId="3294ED61" w14:textId="77777777" w:rsidR="005F412E" w:rsidRPr="00B275E2" w:rsidRDefault="005F412E" w:rsidP="005F412E">
            <w:pPr>
              <w:pStyle w:val="TableText"/>
              <w:rPr>
                <w:rFonts w:cs="Calibri"/>
                <w:szCs w:val="18"/>
                <w:lang w:eastAsia="en-US"/>
              </w:rPr>
            </w:pPr>
            <w:r w:rsidRPr="00B275E2">
              <w:rPr>
                <w:rFonts w:cs="Calibri"/>
                <w:szCs w:val="18"/>
              </w:rPr>
              <w:t>Cars/vans</w:t>
            </w:r>
          </w:p>
        </w:tc>
        <w:tc>
          <w:tcPr>
            <w:tcW w:w="1134" w:type="dxa"/>
            <w:hideMark/>
          </w:tcPr>
          <w:p w14:paraId="16636C58" w14:textId="77777777" w:rsidR="005F412E" w:rsidRPr="00B275E2" w:rsidRDefault="005F412E" w:rsidP="005F412E">
            <w:pPr>
              <w:pStyle w:val="TableText"/>
              <w:jc w:val="right"/>
              <w:rPr>
                <w:rFonts w:cs="Calibri"/>
                <w:szCs w:val="18"/>
                <w:lang w:eastAsia="en-GB"/>
              </w:rPr>
            </w:pPr>
            <w:r w:rsidRPr="00B275E2">
              <w:rPr>
                <w:rFonts w:cs="Calibri"/>
                <w:szCs w:val="18"/>
                <w:lang w:eastAsia="en-GB"/>
              </w:rPr>
              <w:t>0.7</w:t>
            </w:r>
          </w:p>
        </w:tc>
        <w:tc>
          <w:tcPr>
            <w:tcW w:w="1416" w:type="dxa"/>
            <w:hideMark/>
          </w:tcPr>
          <w:p w14:paraId="7F403818" w14:textId="77777777" w:rsidR="005F412E" w:rsidRPr="00B275E2" w:rsidRDefault="005F412E" w:rsidP="005F412E">
            <w:pPr>
              <w:pStyle w:val="TableText"/>
              <w:jc w:val="right"/>
              <w:rPr>
                <w:rFonts w:cs="Calibri"/>
                <w:szCs w:val="18"/>
                <w:lang w:eastAsia="en-GB"/>
              </w:rPr>
            </w:pPr>
            <w:r w:rsidRPr="00B275E2">
              <w:rPr>
                <w:rFonts w:cs="Calibri"/>
                <w:szCs w:val="18"/>
                <w:lang w:eastAsia="en-GB"/>
              </w:rPr>
              <w:t>10%</w:t>
            </w:r>
          </w:p>
        </w:tc>
        <w:tc>
          <w:tcPr>
            <w:tcW w:w="1418" w:type="dxa"/>
            <w:hideMark/>
          </w:tcPr>
          <w:p w14:paraId="5DB4DF89" w14:textId="77777777" w:rsidR="005F412E" w:rsidRPr="00B275E2" w:rsidRDefault="005F412E" w:rsidP="005F412E">
            <w:pPr>
              <w:pStyle w:val="TableText"/>
              <w:jc w:val="right"/>
              <w:rPr>
                <w:rFonts w:cs="Calibri"/>
                <w:szCs w:val="18"/>
                <w:lang w:eastAsia="en-GB"/>
              </w:rPr>
            </w:pPr>
            <w:r w:rsidRPr="00B275E2">
              <w:rPr>
                <w:rFonts w:cs="Calibri"/>
                <w:szCs w:val="18"/>
                <w:lang w:eastAsia="en-GB"/>
              </w:rPr>
              <w:t xml:space="preserve">n/a </w:t>
            </w:r>
          </w:p>
        </w:tc>
        <w:tc>
          <w:tcPr>
            <w:tcW w:w="1329" w:type="dxa"/>
            <w:hideMark/>
          </w:tcPr>
          <w:p w14:paraId="7EF07D7B" w14:textId="77777777" w:rsidR="005F412E" w:rsidRPr="00B275E2" w:rsidRDefault="005F412E" w:rsidP="005F412E">
            <w:pPr>
              <w:pStyle w:val="TableText"/>
              <w:rPr>
                <w:rFonts w:cs="Calibri"/>
                <w:szCs w:val="18"/>
                <w:lang w:eastAsia="en-GB"/>
              </w:rPr>
            </w:pPr>
            <w:r w:rsidRPr="00B275E2">
              <w:rPr>
                <w:rFonts w:cs="Calibri"/>
                <w:szCs w:val="18"/>
                <w:lang w:eastAsia="en-GB"/>
              </w:rPr>
              <w:t>Recommended</w:t>
            </w:r>
          </w:p>
        </w:tc>
        <w:tc>
          <w:tcPr>
            <w:tcW w:w="1247" w:type="dxa"/>
            <w:hideMark/>
          </w:tcPr>
          <w:p w14:paraId="6B0ADB68" w14:textId="77777777" w:rsidR="005F412E" w:rsidRPr="00B275E2" w:rsidRDefault="005F412E" w:rsidP="005F412E">
            <w:pPr>
              <w:pStyle w:val="TableText"/>
              <w:rPr>
                <w:rFonts w:cs="Calibri"/>
                <w:szCs w:val="18"/>
                <w:lang w:eastAsia="en-GB"/>
              </w:rPr>
            </w:pPr>
            <w:r w:rsidRPr="00B275E2">
              <w:rPr>
                <w:rFonts w:cs="Calibri"/>
                <w:szCs w:val="18"/>
                <w:lang w:eastAsia="en-GB"/>
              </w:rPr>
              <w:t>Acceptable</w:t>
            </w:r>
          </w:p>
        </w:tc>
      </w:tr>
      <w:tr w:rsidR="005F412E" w:rsidRPr="00B275E2" w14:paraId="7E7DACE2" w14:textId="77777777" w:rsidTr="00736AF4">
        <w:trPr>
          <w:cantSplit/>
        </w:trPr>
        <w:tc>
          <w:tcPr>
            <w:tcW w:w="1985" w:type="dxa"/>
            <w:hideMark/>
          </w:tcPr>
          <w:p w14:paraId="230AD5C9" w14:textId="77777777" w:rsidR="005F412E" w:rsidRPr="00B275E2" w:rsidRDefault="005F412E" w:rsidP="005F412E">
            <w:pPr>
              <w:pStyle w:val="TableText"/>
              <w:rPr>
                <w:rFonts w:cs="Calibri"/>
                <w:szCs w:val="18"/>
                <w:lang w:eastAsia="en-US"/>
              </w:rPr>
            </w:pPr>
            <w:r w:rsidRPr="00B275E2">
              <w:rPr>
                <w:rFonts w:cs="Calibri"/>
                <w:szCs w:val="18"/>
              </w:rPr>
              <w:t>Trucks</w:t>
            </w:r>
          </w:p>
        </w:tc>
        <w:tc>
          <w:tcPr>
            <w:tcW w:w="1134" w:type="dxa"/>
            <w:hideMark/>
          </w:tcPr>
          <w:p w14:paraId="71B83837" w14:textId="77777777" w:rsidR="005F412E" w:rsidRPr="00B275E2" w:rsidRDefault="005F412E" w:rsidP="005F412E">
            <w:pPr>
              <w:pStyle w:val="TableText"/>
              <w:jc w:val="right"/>
              <w:rPr>
                <w:rFonts w:cs="Calibri"/>
                <w:szCs w:val="18"/>
                <w:lang w:eastAsia="en-GB"/>
              </w:rPr>
            </w:pPr>
            <w:r w:rsidRPr="00B275E2">
              <w:rPr>
                <w:rFonts w:cs="Calibri"/>
                <w:szCs w:val="18"/>
                <w:lang w:eastAsia="en-GB"/>
              </w:rPr>
              <w:t>1.2</w:t>
            </w:r>
          </w:p>
        </w:tc>
        <w:tc>
          <w:tcPr>
            <w:tcW w:w="1416" w:type="dxa"/>
            <w:hideMark/>
          </w:tcPr>
          <w:p w14:paraId="435178A9" w14:textId="77777777" w:rsidR="005F412E" w:rsidRPr="00B275E2" w:rsidRDefault="005F412E" w:rsidP="005F412E">
            <w:pPr>
              <w:pStyle w:val="TableText"/>
              <w:jc w:val="right"/>
              <w:rPr>
                <w:rFonts w:cs="Calibri"/>
                <w:szCs w:val="18"/>
                <w:lang w:eastAsia="en-GB"/>
              </w:rPr>
            </w:pPr>
            <w:r w:rsidRPr="00B275E2">
              <w:rPr>
                <w:rFonts w:cs="Calibri"/>
                <w:szCs w:val="18"/>
                <w:lang w:eastAsia="en-GB"/>
              </w:rPr>
              <w:t>10%</w:t>
            </w:r>
          </w:p>
        </w:tc>
        <w:tc>
          <w:tcPr>
            <w:tcW w:w="1418" w:type="dxa"/>
            <w:hideMark/>
          </w:tcPr>
          <w:p w14:paraId="278ECDC7" w14:textId="77777777" w:rsidR="005F412E" w:rsidRPr="00B275E2" w:rsidRDefault="005F412E" w:rsidP="005F412E">
            <w:pPr>
              <w:pStyle w:val="TableText"/>
              <w:jc w:val="right"/>
              <w:rPr>
                <w:rFonts w:cs="Calibri"/>
                <w:szCs w:val="18"/>
                <w:lang w:eastAsia="en-GB"/>
              </w:rPr>
            </w:pPr>
            <w:r w:rsidRPr="00B275E2">
              <w:rPr>
                <w:rFonts w:cs="Calibri"/>
                <w:szCs w:val="18"/>
                <w:lang w:eastAsia="en-GB"/>
              </w:rPr>
              <w:t xml:space="preserve">n/a </w:t>
            </w:r>
          </w:p>
        </w:tc>
        <w:tc>
          <w:tcPr>
            <w:tcW w:w="1329" w:type="dxa"/>
            <w:hideMark/>
          </w:tcPr>
          <w:p w14:paraId="2C7911BA" w14:textId="77777777" w:rsidR="005F412E" w:rsidRPr="00B275E2" w:rsidRDefault="005F412E" w:rsidP="005F412E">
            <w:pPr>
              <w:pStyle w:val="TableText"/>
              <w:rPr>
                <w:rFonts w:cs="Calibri"/>
                <w:szCs w:val="18"/>
                <w:lang w:eastAsia="en-GB"/>
              </w:rPr>
            </w:pPr>
            <w:r w:rsidRPr="00B275E2">
              <w:rPr>
                <w:rFonts w:cs="Calibri"/>
                <w:szCs w:val="18"/>
                <w:lang w:eastAsia="en-GB"/>
              </w:rPr>
              <w:t>Acceptable</w:t>
            </w:r>
          </w:p>
        </w:tc>
        <w:tc>
          <w:tcPr>
            <w:tcW w:w="1247" w:type="dxa"/>
            <w:hideMark/>
          </w:tcPr>
          <w:p w14:paraId="3BA9DC85" w14:textId="77777777" w:rsidR="005F412E" w:rsidRPr="00B275E2" w:rsidRDefault="005F412E" w:rsidP="005F412E">
            <w:pPr>
              <w:pStyle w:val="TableText"/>
              <w:rPr>
                <w:rFonts w:cs="Calibri"/>
                <w:szCs w:val="18"/>
                <w:lang w:eastAsia="en-GB"/>
              </w:rPr>
            </w:pPr>
            <w:r w:rsidRPr="00B275E2">
              <w:rPr>
                <w:rFonts w:cs="Calibri"/>
                <w:szCs w:val="18"/>
                <w:lang w:eastAsia="en-GB"/>
              </w:rPr>
              <w:t>Screening method only</w:t>
            </w:r>
          </w:p>
        </w:tc>
      </w:tr>
      <w:tr w:rsidR="005F412E" w:rsidRPr="00B275E2" w14:paraId="584E0A20" w14:textId="77777777" w:rsidTr="00736AF4">
        <w:trPr>
          <w:cantSplit/>
        </w:trPr>
        <w:tc>
          <w:tcPr>
            <w:tcW w:w="1985" w:type="dxa"/>
            <w:hideMark/>
          </w:tcPr>
          <w:p w14:paraId="365E60C0" w14:textId="77777777" w:rsidR="005F412E" w:rsidRPr="00B275E2" w:rsidRDefault="005F412E" w:rsidP="005F412E">
            <w:pPr>
              <w:pStyle w:val="TableText"/>
              <w:rPr>
                <w:rFonts w:cs="Calibri"/>
                <w:szCs w:val="18"/>
                <w:lang w:eastAsia="en-US"/>
              </w:rPr>
            </w:pPr>
            <w:r w:rsidRPr="00B275E2">
              <w:rPr>
                <w:rFonts w:cs="Calibri"/>
                <w:szCs w:val="18"/>
              </w:rPr>
              <w:t>Buses</w:t>
            </w:r>
          </w:p>
        </w:tc>
        <w:tc>
          <w:tcPr>
            <w:tcW w:w="1134" w:type="dxa"/>
            <w:hideMark/>
          </w:tcPr>
          <w:p w14:paraId="5DB268F6" w14:textId="77777777" w:rsidR="005F412E" w:rsidRPr="00B275E2" w:rsidRDefault="005F412E" w:rsidP="005F412E">
            <w:pPr>
              <w:pStyle w:val="TableText"/>
              <w:jc w:val="right"/>
              <w:rPr>
                <w:rFonts w:cs="Calibri"/>
                <w:szCs w:val="18"/>
                <w:lang w:eastAsia="en-GB"/>
              </w:rPr>
            </w:pPr>
            <w:r w:rsidRPr="00B275E2">
              <w:rPr>
                <w:rFonts w:cs="Calibri"/>
                <w:szCs w:val="18"/>
                <w:lang w:eastAsia="en-GB"/>
              </w:rPr>
              <w:t>2.5 (but up to 10)</w:t>
            </w:r>
          </w:p>
        </w:tc>
        <w:tc>
          <w:tcPr>
            <w:tcW w:w="1416" w:type="dxa"/>
            <w:hideMark/>
          </w:tcPr>
          <w:p w14:paraId="20717C96" w14:textId="77777777" w:rsidR="005F412E" w:rsidRPr="00B275E2" w:rsidRDefault="005F412E" w:rsidP="005F412E">
            <w:pPr>
              <w:pStyle w:val="TableText"/>
              <w:jc w:val="right"/>
              <w:rPr>
                <w:rFonts w:cs="Calibri"/>
                <w:szCs w:val="18"/>
                <w:lang w:eastAsia="en-GB"/>
              </w:rPr>
            </w:pPr>
            <w:r w:rsidRPr="00B275E2">
              <w:rPr>
                <w:rFonts w:cs="Calibri"/>
                <w:szCs w:val="18"/>
                <w:lang w:eastAsia="en-GB"/>
              </w:rPr>
              <w:t>10%</w:t>
            </w:r>
          </w:p>
        </w:tc>
        <w:tc>
          <w:tcPr>
            <w:tcW w:w="1418" w:type="dxa"/>
            <w:hideMark/>
          </w:tcPr>
          <w:p w14:paraId="3CC54A74" w14:textId="77777777" w:rsidR="005F412E" w:rsidRPr="00B275E2" w:rsidRDefault="005F412E" w:rsidP="005F412E">
            <w:pPr>
              <w:pStyle w:val="TableText"/>
              <w:jc w:val="right"/>
              <w:rPr>
                <w:rFonts w:cs="Calibri"/>
                <w:szCs w:val="18"/>
                <w:lang w:eastAsia="en-GB"/>
              </w:rPr>
            </w:pPr>
            <w:r w:rsidRPr="00B275E2">
              <w:rPr>
                <w:rFonts w:cs="Calibri"/>
                <w:szCs w:val="18"/>
                <w:lang w:eastAsia="en-GB"/>
              </w:rPr>
              <w:t xml:space="preserve">n/a </w:t>
            </w:r>
          </w:p>
        </w:tc>
        <w:tc>
          <w:tcPr>
            <w:tcW w:w="1329" w:type="dxa"/>
            <w:hideMark/>
          </w:tcPr>
          <w:p w14:paraId="77C61450" w14:textId="77777777" w:rsidR="005F412E" w:rsidRPr="00B275E2" w:rsidRDefault="005F412E" w:rsidP="005F412E">
            <w:pPr>
              <w:pStyle w:val="TableText"/>
              <w:rPr>
                <w:rFonts w:cs="Calibri"/>
                <w:szCs w:val="18"/>
                <w:lang w:eastAsia="en-GB"/>
              </w:rPr>
            </w:pPr>
            <w:r w:rsidRPr="00B275E2">
              <w:rPr>
                <w:rFonts w:cs="Calibri"/>
                <w:szCs w:val="18"/>
                <w:lang w:eastAsia="en-GB"/>
              </w:rPr>
              <w:t>Acceptable</w:t>
            </w:r>
          </w:p>
        </w:tc>
        <w:tc>
          <w:tcPr>
            <w:tcW w:w="1247" w:type="dxa"/>
            <w:hideMark/>
          </w:tcPr>
          <w:p w14:paraId="0506288B" w14:textId="77777777" w:rsidR="005F412E" w:rsidRPr="00B275E2" w:rsidRDefault="005F412E" w:rsidP="005F412E">
            <w:pPr>
              <w:pStyle w:val="TableText"/>
              <w:rPr>
                <w:rFonts w:cs="Calibri"/>
                <w:szCs w:val="18"/>
                <w:lang w:eastAsia="en-GB"/>
              </w:rPr>
            </w:pPr>
            <w:r w:rsidRPr="00B275E2">
              <w:rPr>
                <w:rFonts w:cs="Calibri"/>
                <w:szCs w:val="18"/>
                <w:lang w:eastAsia="en-GB"/>
              </w:rPr>
              <w:t>Screening method only</w:t>
            </w:r>
          </w:p>
        </w:tc>
      </w:tr>
      <w:tr w:rsidR="005F412E" w:rsidRPr="00B275E2" w14:paraId="349D040D" w14:textId="77777777" w:rsidTr="00736AF4">
        <w:trPr>
          <w:cantSplit/>
        </w:trPr>
        <w:tc>
          <w:tcPr>
            <w:tcW w:w="1985" w:type="dxa"/>
            <w:hideMark/>
          </w:tcPr>
          <w:p w14:paraId="44E75F37" w14:textId="77777777" w:rsidR="005F412E" w:rsidRPr="00B275E2" w:rsidRDefault="005F412E" w:rsidP="005F412E">
            <w:pPr>
              <w:pStyle w:val="TableText"/>
              <w:rPr>
                <w:rFonts w:cs="Calibri"/>
                <w:szCs w:val="18"/>
                <w:lang w:eastAsia="en-US"/>
              </w:rPr>
            </w:pPr>
            <w:r w:rsidRPr="00B275E2">
              <w:rPr>
                <w:rFonts w:cs="Calibri"/>
                <w:szCs w:val="18"/>
              </w:rPr>
              <w:t>Refrigerated truck trailer units</w:t>
            </w:r>
          </w:p>
        </w:tc>
        <w:tc>
          <w:tcPr>
            <w:tcW w:w="1134" w:type="dxa"/>
            <w:hideMark/>
          </w:tcPr>
          <w:p w14:paraId="7B3CA8E7" w14:textId="77777777" w:rsidR="005F412E" w:rsidRPr="00B275E2" w:rsidRDefault="005F412E" w:rsidP="005F412E">
            <w:pPr>
              <w:pStyle w:val="TableText"/>
              <w:jc w:val="right"/>
              <w:rPr>
                <w:rFonts w:cs="Calibri"/>
                <w:szCs w:val="18"/>
                <w:lang w:eastAsia="en-GB"/>
              </w:rPr>
            </w:pPr>
            <w:r w:rsidRPr="00B275E2">
              <w:rPr>
                <w:rFonts w:cs="Calibri"/>
                <w:szCs w:val="18"/>
                <w:lang w:eastAsia="en-GB"/>
              </w:rPr>
              <w:t>10</w:t>
            </w:r>
          </w:p>
        </w:tc>
        <w:tc>
          <w:tcPr>
            <w:tcW w:w="1416" w:type="dxa"/>
            <w:hideMark/>
          </w:tcPr>
          <w:p w14:paraId="6128A3A5" w14:textId="77777777" w:rsidR="005F412E" w:rsidRPr="00B275E2" w:rsidRDefault="005F412E" w:rsidP="005F412E">
            <w:pPr>
              <w:pStyle w:val="TableText"/>
              <w:jc w:val="right"/>
              <w:rPr>
                <w:rFonts w:cs="Calibri"/>
                <w:szCs w:val="18"/>
                <w:lang w:eastAsia="en-GB"/>
              </w:rPr>
            </w:pPr>
            <w:r w:rsidRPr="00B275E2">
              <w:rPr>
                <w:rFonts w:cs="Calibri"/>
                <w:szCs w:val="18"/>
                <w:lang w:eastAsia="en-GB"/>
              </w:rPr>
              <w:t>25%</w:t>
            </w:r>
          </w:p>
        </w:tc>
        <w:tc>
          <w:tcPr>
            <w:tcW w:w="1418" w:type="dxa"/>
            <w:hideMark/>
          </w:tcPr>
          <w:p w14:paraId="6F1AE959" w14:textId="77777777" w:rsidR="005F412E" w:rsidRPr="00B275E2" w:rsidRDefault="005F412E" w:rsidP="005F412E">
            <w:pPr>
              <w:pStyle w:val="TableText"/>
              <w:jc w:val="right"/>
              <w:rPr>
                <w:rFonts w:cs="Calibri"/>
                <w:szCs w:val="18"/>
                <w:lang w:eastAsia="en-GB"/>
              </w:rPr>
            </w:pPr>
            <w:r w:rsidRPr="00B275E2">
              <w:rPr>
                <w:rFonts w:cs="Calibri"/>
                <w:szCs w:val="18"/>
                <w:lang w:eastAsia="en-GB"/>
              </w:rPr>
              <w:t>0.5%</w:t>
            </w:r>
          </w:p>
        </w:tc>
        <w:tc>
          <w:tcPr>
            <w:tcW w:w="1329" w:type="dxa"/>
            <w:hideMark/>
          </w:tcPr>
          <w:p w14:paraId="7676F78F" w14:textId="77777777" w:rsidR="005F412E" w:rsidRPr="00B275E2" w:rsidRDefault="005F412E" w:rsidP="005F412E">
            <w:pPr>
              <w:pStyle w:val="TableText"/>
              <w:rPr>
                <w:rFonts w:cs="Calibri"/>
                <w:szCs w:val="18"/>
                <w:lang w:eastAsia="en-GB"/>
              </w:rPr>
            </w:pPr>
            <w:r w:rsidRPr="00B275E2">
              <w:rPr>
                <w:rFonts w:cs="Calibri"/>
                <w:szCs w:val="18"/>
                <w:lang w:eastAsia="en-GB"/>
              </w:rPr>
              <w:t>Acceptable</w:t>
            </w:r>
          </w:p>
        </w:tc>
        <w:tc>
          <w:tcPr>
            <w:tcW w:w="1247" w:type="dxa"/>
            <w:hideMark/>
          </w:tcPr>
          <w:p w14:paraId="4D042F72" w14:textId="77777777" w:rsidR="005F412E" w:rsidRPr="00B275E2" w:rsidRDefault="005F412E" w:rsidP="005F412E">
            <w:pPr>
              <w:pStyle w:val="TableText"/>
              <w:rPr>
                <w:rFonts w:cs="Calibri"/>
                <w:szCs w:val="18"/>
                <w:lang w:eastAsia="en-GB"/>
              </w:rPr>
            </w:pPr>
            <w:r w:rsidRPr="00B275E2">
              <w:rPr>
                <w:rFonts w:cs="Calibri"/>
                <w:szCs w:val="18"/>
                <w:lang w:eastAsia="en-GB"/>
              </w:rPr>
              <w:t>Unacceptable</w:t>
            </w:r>
          </w:p>
        </w:tc>
      </w:tr>
      <w:tr w:rsidR="005F412E" w:rsidRPr="00B275E2" w14:paraId="317BA1E5" w14:textId="77777777" w:rsidTr="00736AF4">
        <w:trPr>
          <w:cantSplit/>
        </w:trPr>
        <w:tc>
          <w:tcPr>
            <w:tcW w:w="1985" w:type="dxa"/>
            <w:hideMark/>
          </w:tcPr>
          <w:p w14:paraId="06B1462F" w14:textId="77777777" w:rsidR="005F412E" w:rsidRPr="00B275E2" w:rsidRDefault="005F412E" w:rsidP="005F412E">
            <w:pPr>
              <w:pStyle w:val="TableText"/>
              <w:rPr>
                <w:rFonts w:cs="Calibri"/>
                <w:szCs w:val="18"/>
                <w:lang w:eastAsia="en-US"/>
              </w:rPr>
            </w:pPr>
            <w:r w:rsidRPr="00B275E2">
              <w:rPr>
                <w:rFonts w:cs="Calibri"/>
                <w:szCs w:val="18"/>
              </w:rPr>
              <w:t xml:space="preserve">Self-powered or ‘cab-over’ refrigerated trucks </w:t>
            </w:r>
          </w:p>
        </w:tc>
        <w:tc>
          <w:tcPr>
            <w:tcW w:w="1134" w:type="dxa"/>
            <w:hideMark/>
          </w:tcPr>
          <w:p w14:paraId="59DE3C49" w14:textId="77777777" w:rsidR="005F412E" w:rsidRPr="00B275E2" w:rsidRDefault="005F412E" w:rsidP="005F412E">
            <w:pPr>
              <w:pStyle w:val="TableText"/>
              <w:jc w:val="right"/>
              <w:rPr>
                <w:rFonts w:cs="Calibri"/>
                <w:szCs w:val="18"/>
                <w:lang w:eastAsia="en-GB"/>
              </w:rPr>
            </w:pPr>
            <w:r w:rsidRPr="00B275E2">
              <w:rPr>
                <w:rFonts w:cs="Calibri"/>
                <w:szCs w:val="18"/>
                <w:lang w:eastAsia="en-GB"/>
              </w:rPr>
              <w:t>6</w:t>
            </w:r>
          </w:p>
        </w:tc>
        <w:tc>
          <w:tcPr>
            <w:tcW w:w="1416" w:type="dxa"/>
            <w:hideMark/>
          </w:tcPr>
          <w:p w14:paraId="3DBB93BD" w14:textId="77777777" w:rsidR="005F412E" w:rsidRPr="00B275E2" w:rsidRDefault="005F412E" w:rsidP="005F412E">
            <w:pPr>
              <w:pStyle w:val="TableText"/>
              <w:jc w:val="right"/>
              <w:rPr>
                <w:rFonts w:cs="Calibri"/>
                <w:szCs w:val="18"/>
                <w:lang w:eastAsia="en-GB"/>
              </w:rPr>
            </w:pPr>
            <w:r w:rsidRPr="00B275E2">
              <w:rPr>
                <w:rFonts w:cs="Calibri"/>
                <w:szCs w:val="18"/>
                <w:lang w:eastAsia="en-GB"/>
              </w:rPr>
              <w:t>25%</w:t>
            </w:r>
          </w:p>
        </w:tc>
        <w:tc>
          <w:tcPr>
            <w:tcW w:w="1418" w:type="dxa"/>
            <w:hideMark/>
          </w:tcPr>
          <w:p w14:paraId="601F7D9E" w14:textId="77777777" w:rsidR="005F412E" w:rsidRPr="00B275E2" w:rsidRDefault="005F412E" w:rsidP="005F412E">
            <w:pPr>
              <w:pStyle w:val="TableText"/>
              <w:jc w:val="right"/>
              <w:rPr>
                <w:rFonts w:cs="Calibri"/>
                <w:szCs w:val="18"/>
                <w:lang w:eastAsia="en-GB"/>
              </w:rPr>
            </w:pPr>
            <w:r w:rsidRPr="00B275E2">
              <w:rPr>
                <w:rFonts w:cs="Calibri"/>
                <w:szCs w:val="18"/>
                <w:lang w:eastAsia="en-GB"/>
              </w:rPr>
              <w:t>0.5%</w:t>
            </w:r>
          </w:p>
        </w:tc>
        <w:tc>
          <w:tcPr>
            <w:tcW w:w="1329" w:type="dxa"/>
            <w:hideMark/>
          </w:tcPr>
          <w:p w14:paraId="33230CF0" w14:textId="77777777" w:rsidR="005F412E" w:rsidRPr="00B275E2" w:rsidRDefault="005F412E" w:rsidP="005F412E">
            <w:pPr>
              <w:pStyle w:val="TableText"/>
              <w:rPr>
                <w:rFonts w:cs="Calibri"/>
                <w:szCs w:val="18"/>
                <w:lang w:eastAsia="en-GB"/>
              </w:rPr>
            </w:pPr>
            <w:r w:rsidRPr="00B275E2">
              <w:rPr>
                <w:rFonts w:cs="Calibri"/>
                <w:szCs w:val="18"/>
                <w:lang w:eastAsia="en-GB"/>
              </w:rPr>
              <w:t>Acceptable</w:t>
            </w:r>
          </w:p>
        </w:tc>
        <w:tc>
          <w:tcPr>
            <w:tcW w:w="1247" w:type="dxa"/>
            <w:hideMark/>
          </w:tcPr>
          <w:p w14:paraId="62B4144C" w14:textId="77777777" w:rsidR="005F412E" w:rsidRPr="00B275E2" w:rsidRDefault="005F412E" w:rsidP="005F412E">
            <w:pPr>
              <w:pStyle w:val="TableText"/>
              <w:rPr>
                <w:rFonts w:cs="Calibri"/>
                <w:szCs w:val="18"/>
                <w:lang w:eastAsia="en-GB"/>
              </w:rPr>
            </w:pPr>
            <w:r w:rsidRPr="00B275E2">
              <w:rPr>
                <w:rFonts w:cs="Calibri"/>
                <w:szCs w:val="18"/>
                <w:lang w:eastAsia="en-GB"/>
              </w:rPr>
              <w:t>Unacceptable</w:t>
            </w:r>
          </w:p>
        </w:tc>
      </w:tr>
      <w:tr w:rsidR="005F412E" w:rsidRPr="00B275E2" w14:paraId="09D64711" w14:textId="77777777" w:rsidTr="00736AF4">
        <w:trPr>
          <w:cantSplit/>
        </w:trPr>
        <w:tc>
          <w:tcPr>
            <w:tcW w:w="1985" w:type="dxa"/>
            <w:hideMark/>
          </w:tcPr>
          <w:p w14:paraId="6EFE9273" w14:textId="77777777" w:rsidR="005F412E" w:rsidRPr="00B275E2" w:rsidRDefault="005F412E" w:rsidP="005F412E">
            <w:pPr>
              <w:pStyle w:val="TableText"/>
              <w:rPr>
                <w:rFonts w:cs="Calibri"/>
                <w:szCs w:val="18"/>
                <w:lang w:eastAsia="en-US"/>
              </w:rPr>
            </w:pPr>
            <w:r w:rsidRPr="00B275E2">
              <w:rPr>
                <w:rFonts w:cs="Calibri"/>
                <w:szCs w:val="18"/>
              </w:rPr>
              <w:t>‘Off-engine’ or ‘direct drive’ refrigerated vans and trucks</w:t>
            </w:r>
          </w:p>
        </w:tc>
        <w:tc>
          <w:tcPr>
            <w:tcW w:w="1134" w:type="dxa"/>
            <w:hideMark/>
          </w:tcPr>
          <w:p w14:paraId="374531D3" w14:textId="77777777" w:rsidR="005F412E" w:rsidRPr="00B275E2" w:rsidRDefault="005F412E" w:rsidP="005F412E">
            <w:pPr>
              <w:pStyle w:val="TableText"/>
              <w:jc w:val="right"/>
              <w:rPr>
                <w:rFonts w:cs="Calibri"/>
                <w:szCs w:val="18"/>
                <w:lang w:eastAsia="en-GB"/>
              </w:rPr>
            </w:pPr>
            <w:r w:rsidRPr="00B275E2">
              <w:rPr>
                <w:rFonts w:cs="Calibri"/>
                <w:szCs w:val="18"/>
                <w:lang w:eastAsia="en-GB"/>
              </w:rPr>
              <w:t>2.5</w:t>
            </w:r>
          </w:p>
        </w:tc>
        <w:tc>
          <w:tcPr>
            <w:tcW w:w="1416" w:type="dxa"/>
            <w:hideMark/>
          </w:tcPr>
          <w:p w14:paraId="749542CB" w14:textId="77777777" w:rsidR="005F412E" w:rsidRPr="00B275E2" w:rsidRDefault="005F412E" w:rsidP="005F412E">
            <w:pPr>
              <w:pStyle w:val="TableText"/>
              <w:jc w:val="right"/>
              <w:rPr>
                <w:rFonts w:cs="Calibri"/>
                <w:szCs w:val="18"/>
                <w:lang w:eastAsia="en-GB"/>
              </w:rPr>
            </w:pPr>
            <w:r w:rsidRPr="00B275E2">
              <w:rPr>
                <w:rFonts w:cs="Calibri"/>
                <w:szCs w:val="18"/>
                <w:lang w:eastAsia="en-GB"/>
              </w:rPr>
              <w:t>25%</w:t>
            </w:r>
          </w:p>
        </w:tc>
        <w:tc>
          <w:tcPr>
            <w:tcW w:w="1418" w:type="dxa"/>
            <w:hideMark/>
          </w:tcPr>
          <w:p w14:paraId="1D30491A" w14:textId="77777777" w:rsidR="005F412E" w:rsidRPr="00B275E2" w:rsidRDefault="005F412E" w:rsidP="005F412E">
            <w:pPr>
              <w:pStyle w:val="TableText"/>
              <w:jc w:val="right"/>
              <w:rPr>
                <w:rFonts w:cs="Calibri"/>
                <w:szCs w:val="18"/>
                <w:lang w:eastAsia="en-GB"/>
              </w:rPr>
            </w:pPr>
            <w:r w:rsidRPr="00B275E2">
              <w:rPr>
                <w:rFonts w:cs="Calibri"/>
                <w:szCs w:val="18"/>
                <w:lang w:eastAsia="en-GB"/>
              </w:rPr>
              <w:t>0.5%</w:t>
            </w:r>
          </w:p>
        </w:tc>
        <w:tc>
          <w:tcPr>
            <w:tcW w:w="1329" w:type="dxa"/>
            <w:hideMark/>
          </w:tcPr>
          <w:p w14:paraId="60713EE3" w14:textId="77777777" w:rsidR="005F412E" w:rsidRPr="00B275E2" w:rsidRDefault="005F412E" w:rsidP="005F412E">
            <w:pPr>
              <w:pStyle w:val="TableText"/>
              <w:rPr>
                <w:rFonts w:cs="Calibri"/>
                <w:szCs w:val="18"/>
                <w:lang w:eastAsia="en-GB"/>
              </w:rPr>
            </w:pPr>
            <w:r w:rsidRPr="00B275E2">
              <w:rPr>
                <w:rFonts w:cs="Calibri"/>
                <w:szCs w:val="18"/>
                <w:lang w:eastAsia="en-GB"/>
              </w:rPr>
              <w:t>Acceptable</w:t>
            </w:r>
          </w:p>
        </w:tc>
        <w:tc>
          <w:tcPr>
            <w:tcW w:w="1247" w:type="dxa"/>
            <w:hideMark/>
          </w:tcPr>
          <w:p w14:paraId="73867F80" w14:textId="77777777" w:rsidR="005F412E" w:rsidRPr="00B275E2" w:rsidRDefault="005F412E" w:rsidP="005F412E">
            <w:pPr>
              <w:pStyle w:val="TableText"/>
              <w:rPr>
                <w:rFonts w:cs="Calibri"/>
                <w:szCs w:val="18"/>
                <w:lang w:eastAsia="en-GB"/>
              </w:rPr>
            </w:pPr>
            <w:r w:rsidRPr="00B275E2">
              <w:rPr>
                <w:rFonts w:cs="Calibri"/>
                <w:szCs w:val="18"/>
                <w:lang w:eastAsia="en-GB"/>
              </w:rPr>
              <w:t>Unacceptable</w:t>
            </w:r>
          </w:p>
        </w:tc>
      </w:tr>
      <w:tr w:rsidR="005F412E" w:rsidRPr="00B275E2" w14:paraId="521E423F" w14:textId="77777777" w:rsidTr="00736AF4">
        <w:trPr>
          <w:cantSplit/>
        </w:trPr>
        <w:tc>
          <w:tcPr>
            <w:tcW w:w="1985" w:type="dxa"/>
            <w:hideMark/>
          </w:tcPr>
          <w:p w14:paraId="7C710A80" w14:textId="77777777" w:rsidR="005F412E" w:rsidRPr="00B275E2" w:rsidRDefault="005F412E" w:rsidP="005F412E">
            <w:pPr>
              <w:pStyle w:val="TableText"/>
              <w:rPr>
                <w:rFonts w:cs="Calibri"/>
                <w:szCs w:val="18"/>
                <w:lang w:eastAsia="en-US"/>
              </w:rPr>
            </w:pPr>
            <w:r w:rsidRPr="00B275E2">
              <w:rPr>
                <w:rFonts w:cs="Calibri"/>
                <w:szCs w:val="18"/>
              </w:rPr>
              <w:t>Three-phase refrigerated containers</w:t>
            </w:r>
          </w:p>
        </w:tc>
        <w:tc>
          <w:tcPr>
            <w:tcW w:w="1134" w:type="dxa"/>
            <w:hideMark/>
          </w:tcPr>
          <w:p w14:paraId="17ACBA9A" w14:textId="77777777" w:rsidR="005F412E" w:rsidRPr="00B275E2" w:rsidRDefault="005F412E" w:rsidP="005F412E">
            <w:pPr>
              <w:pStyle w:val="TableText"/>
              <w:jc w:val="right"/>
              <w:rPr>
                <w:rFonts w:cs="Calibri"/>
                <w:szCs w:val="18"/>
                <w:lang w:eastAsia="en-GB"/>
              </w:rPr>
            </w:pPr>
            <w:r w:rsidRPr="00B275E2">
              <w:rPr>
                <w:rFonts w:cs="Calibri"/>
                <w:szCs w:val="18"/>
                <w:lang w:eastAsia="en-GB"/>
              </w:rPr>
              <w:t>5.5</w:t>
            </w:r>
          </w:p>
        </w:tc>
        <w:tc>
          <w:tcPr>
            <w:tcW w:w="1416" w:type="dxa"/>
            <w:hideMark/>
          </w:tcPr>
          <w:p w14:paraId="587F6136" w14:textId="77777777" w:rsidR="005F412E" w:rsidRPr="00B275E2" w:rsidRDefault="005F412E" w:rsidP="005F412E">
            <w:pPr>
              <w:pStyle w:val="TableText"/>
              <w:jc w:val="right"/>
              <w:rPr>
                <w:rFonts w:cs="Calibri"/>
                <w:szCs w:val="18"/>
                <w:lang w:eastAsia="en-GB"/>
              </w:rPr>
            </w:pPr>
            <w:r w:rsidRPr="00B275E2">
              <w:rPr>
                <w:rFonts w:cs="Calibri"/>
                <w:szCs w:val="18"/>
                <w:lang w:eastAsia="en-GB"/>
              </w:rPr>
              <w:t>25%</w:t>
            </w:r>
          </w:p>
        </w:tc>
        <w:tc>
          <w:tcPr>
            <w:tcW w:w="1418" w:type="dxa"/>
            <w:hideMark/>
          </w:tcPr>
          <w:p w14:paraId="29C14875" w14:textId="77777777" w:rsidR="005F412E" w:rsidRPr="00B275E2" w:rsidRDefault="005F412E" w:rsidP="005F412E">
            <w:pPr>
              <w:pStyle w:val="TableText"/>
              <w:jc w:val="right"/>
              <w:rPr>
                <w:rFonts w:cs="Calibri"/>
                <w:szCs w:val="18"/>
                <w:lang w:eastAsia="en-GB"/>
              </w:rPr>
            </w:pPr>
            <w:r w:rsidRPr="00B275E2">
              <w:rPr>
                <w:rFonts w:cs="Calibri"/>
                <w:szCs w:val="18"/>
                <w:lang w:eastAsia="en-GB"/>
              </w:rPr>
              <w:t>0.5%</w:t>
            </w:r>
          </w:p>
        </w:tc>
        <w:tc>
          <w:tcPr>
            <w:tcW w:w="1329" w:type="dxa"/>
            <w:hideMark/>
          </w:tcPr>
          <w:p w14:paraId="7705834C" w14:textId="77777777" w:rsidR="005F412E" w:rsidRPr="00B275E2" w:rsidRDefault="005F412E" w:rsidP="005F412E">
            <w:pPr>
              <w:pStyle w:val="TableText"/>
              <w:rPr>
                <w:rFonts w:cs="Calibri"/>
                <w:szCs w:val="18"/>
                <w:lang w:eastAsia="en-GB"/>
              </w:rPr>
            </w:pPr>
            <w:r w:rsidRPr="00B275E2">
              <w:rPr>
                <w:rFonts w:cs="Calibri"/>
                <w:szCs w:val="18"/>
                <w:lang w:eastAsia="en-GB"/>
              </w:rPr>
              <w:t>Acceptable</w:t>
            </w:r>
          </w:p>
        </w:tc>
        <w:tc>
          <w:tcPr>
            <w:tcW w:w="1247" w:type="dxa"/>
            <w:hideMark/>
          </w:tcPr>
          <w:p w14:paraId="298AEFCD" w14:textId="77777777" w:rsidR="005F412E" w:rsidRPr="00B275E2" w:rsidRDefault="005F412E" w:rsidP="005F412E">
            <w:pPr>
              <w:pStyle w:val="TableText"/>
              <w:rPr>
                <w:rFonts w:cs="Calibri"/>
                <w:szCs w:val="18"/>
                <w:lang w:eastAsia="en-GB"/>
              </w:rPr>
            </w:pPr>
            <w:r w:rsidRPr="00B275E2">
              <w:rPr>
                <w:rFonts w:cs="Calibri"/>
                <w:szCs w:val="18"/>
                <w:lang w:eastAsia="en-GB"/>
              </w:rPr>
              <w:t>Unacceptable</w:t>
            </w:r>
          </w:p>
        </w:tc>
      </w:tr>
      <w:tr w:rsidR="005F412E" w:rsidRPr="00B275E2" w14:paraId="3DAAE47A" w14:textId="77777777" w:rsidTr="00736AF4">
        <w:trPr>
          <w:cantSplit/>
        </w:trPr>
        <w:tc>
          <w:tcPr>
            <w:tcW w:w="1985" w:type="dxa"/>
            <w:hideMark/>
          </w:tcPr>
          <w:p w14:paraId="6DE03C42" w14:textId="77777777" w:rsidR="005F412E" w:rsidRPr="00B275E2" w:rsidRDefault="005F412E" w:rsidP="005F412E">
            <w:pPr>
              <w:pStyle w:val="TableText"/>
              <w:rPr>
                <w:rFonts w:cs="Calibri"/>
                <w:szCs w:val="18"/>
                <w:lang w:eastAsia="en-US"/>
              </w:rPr>
            </w:pPr>
            <w:r w:rsidRPr="00B275E2">
              <w:rPr>
                <w:rFonts w:cs="Calibri"/>
                <w:szCs w:val="18"/>
              </w:rPr>
              <w:t>Single-phase refrigerated containers</w:t>
            </w:r>
          </w:p>
        </w:tc>
        <w:tc>
          <w:tcPr>
            <w:tcW w:w="1134" w:type="dxa"/>
            <w:hideMark/>
          </w:tcPr>
          <w:p w14:paraId="4E7493DB" w14:textId="77777777" w:rsidR="005F412E" w:rsidRPr="00B275E2" w:rsidRDefault="005F412E" w:rsidP="005F412E">
            <w:pPr>
              <w:pStyle w:val="TableText"/>
              <w:jc w:val="right"/>
              <w:rPr>
                <w:rFonts w:cs="Calibri"/>
                <w:szCs w:val="18"/>
                <w:lang w:eastAsia="en-GB"/>
              </w:rPr>
            </w:pPr>
            <w:r w:rsidRPr="00B275E2">
              <w:rPr>
                <w:rFonts w:cs="Calibri"/>
                <w:szCs w:val="18"/>
                <w:lang w:eastAsia="en-GB"/>
              </w:rPr>
              <w:t>3</w:t>
            </w:r>
          </w:p>
        </w:tc>
        <w:tc>
          <w:tcPr>
            <w:tcW w:w="1416" w:type="dxa"/>
            <w:hideMark/>
          </w:tcPr>
          <w:p w14:paraId="69591757" w14:textId="77777777" w:rsidR="005F412E" w:rsidRPr="00B275E2" w:rsidRDefault="005F412E" w:rsidP="005F412E">
            <w:pPr>
              <w:pStyle w:val="TableText"/>
              <w:jc w:val="right"/>
              <w:rPr>
                <w:rFonts w:cs="Calibri"/>
                <w:szCs w:val="18"/>
                <w:lang w:eastAsia="en-GB"/>
              </w:rPr>
            </w:pPr>
            <w:r w:rsidRPr="00B275E2">
              <w:rPr>
                <w:rFonts w:cs="Calibri"/>
                <w:szCs w:val="18"/>
                <w:lang w:eastAsia="en-GB"/>
              </w:rPr>
              <w:t>25%</w:t>
            </w:r>
          </w:p>
        </w:tc>
        <w:tc>
          <w:tcPr>
            <w:tcW w:w="1418" w:type="dxa"/>
            <w:hideMark/>
          </w:tcPr>
          <w:p w14:paraId="19E15C32" w14:textId="77777777" w:rsidR="005F412E" w:rsidRPr="00B275E2" w:rsidRDefault="005F412E" w:rsidP="005F412E">
            <w:pPr>
              <w:pStyle w:val="TableText"/>
              <w:jc w:val="right"/>
              <w:rPr>
                <w:rFonts w:cs="Calibri"/>
                <w:szCs w:val="18"/>
                <w:lang w:eastAsia="en-GB"/>
              </w:rPr>
            </w:pPr>
            <w:r w:rsidRPr="00B275E2">
              <w:rPr>
                <w:rFonts w:cs="Calibri"/>
                <w:szCs w:val="18"/>
                <w:lang w:eastAsia="en-GB"/>
              </w:rPr>
              <w:t>0.5%</w:t>
            </w:r>
          </w:p>
        </w:tc>
        <w:tc>
          <w:tcPr>
            <w:tcW w:w="1329" w:type="dxa"/>
            <w:hideMark/>
          </w:tcPr>
          <w:p w14:paraId="759A99BE" w14:textId="77777777" w:rsidR="005F412E" w:rsidRPr="00B275E2" w:rsidRDefault="005F412E" w:rsidP="005F412E">
            <w:pPr>
              <w:pStyle w:val="TableText"/>
              <w:rPr>
                <w:rFonts w:cs="Calibri"/>
                <w:szCs w:val="18"/>
                <w:lang w:eastAsia="en-GB"/>
              </w:rPr>
            </w:pPr>
            <w:r w:rsidRPr="00B275E2">
              <w:rPr>
                <w:rFonts w:cs="Calibri"/>
                <w:szCs w:val="18"/>
                <w:lang w:eastAsia="en-GB"/>
              </w:rPr>
              <w:t>Acceptable</w:t>
            </w:r>
          </w:p>
        </w:tc>
        <w:tc>
          <w:tcPr>
            <w:tcW w:w="1247" w:type="dxa"/>
            <w:hideMark/>
          </w:tcPr>
          <w:p w14:paraId="4708F4FA" w14:textId="77777777" w:rsidR="005F412E" w:rsidRPr="00B275E2" w:rsidRDefault="005F412E" w:rsidP="005F412E">
            <w:pPr>
              <w:pStyle w:val="TableText"/>
              <w:rPr>
                <w:rFonts w:cs="Calibri"/>
                <w:szCs w:val="18"/>
                <w:lang w:eastAsia="en-GB"/>
              </w:rPr>
            </w:pPr>
            <w:r w:rsidRPr="00B275E2">
              <w:rPr>
                <w:rFonts w:cs="Calibri"/>
                <w:szCs w:val="18"/>
                <w:lang w:eastAsia="en-GB"/>
              </w:rPr>
              <w:t>Unacceptable</w:t>
            </w:r>
          </w:p>
        </w:tc>
      </w:tr>
      <w:tr w:rsidR="005F412E" w:rsidRPr="00B275E2" w14:paraId="3AC23E9F" w14:textId="77777777" w:rsidTr="00FD7E6C">
        <w:trPr>
          <w:cantSplit/>
        </w:trPr>
        <w:tc>
          <w:tcPr>
            <w:tcW w:w="1985" w:type="dxa"/>
            <w:tcBorders>
              <w:bottom w:val="single" w:sz="4" w:space="0" w:color="1B556B" w:themeColor="text2"/>
            </w:tcBorders>
            <w:hideMark/>
          </w:tcPr>
          <w:p w14:paraId="600BE500" w14:textId="0CF60214" w:rsidR="005F412E" w:rsidRPr="00B275E2" w:rsidRDefault="005F412E" w:rsidP="00CD5198">
            <w:pPr>
              <w:pStyle w:val="TableText"/>
              <w:rPr>
                <w:rFonts w:cs="Calibri"/>
                <w:szCs w:val="18"/>
                <w:lang w:eastAsia="en-US"/>
              </w:rPr>
            </w:pPr>
            <w:r w:rsidRPr="00B275E2">
              <w:rPr>
                <w:rFonts w:cs="Calibri"/>
                <w:szCs w:val="18"/>
              </w:rPr>
              <w:t>Centralised commercial refrigeration eg, supermarkets</w:t>
            </w:r>
          </w:p>
        </w:tc>
        <w:tc>
          <w:tcPr>
            <w:tcW w:w="1134" w:type="dxa"/>
            <w:tcBorders>
              <w:bottom w:val="single" w:sz="4" w:space="0" w:color="1B556B" w:themeColor="text2"/>
            </w:tcBorders>
            <w:hideMark/>
          </w:tcPr>
          <w:p w14:paraId="435D122F" w14:textId="77777777" w:rsidR="005F412E" w:rsidRPr="00B275E2" w:rsidRDefault="005F412E" w:rsidP="005F412E">
            <w:pPr>
              <w:pStyle w:val="TableText"/>
              <w:rPr>
                <w:rFonts w:cs="Calibri"/>
                <w:szCs w:val="18"/>
                <w:lang w:eastAsia="en-GB"/>
              </w:rPr>
            </w:pPr>
            <w:r w:rsidRPr="00B275E2">
              <w:rPr>
                <w:rFonts w:cs="Calibri"/>
                <w:szCs w:val="18"/>
                <w:lang w:eastAsia="en-GB"/>
              </w:rPr>
              <w:t>Wide range</w:t>
            </w:r>
          </w:p>
        </w:tc>
        <w:tc>
          <w:tcPr>
            <w:tcW w:w="1416" w:type="dxa"/>
            <w:tcBorders>
              <w:bottom w:val="single" w:sz="4" w:space="0" w:color="1B556B" w:themeColor="text2"/>
            </w:tcBorders>
            <w:hideMark/>
          </w:tcPr>
          <w:p w14:paraId="648F5F1A" w14:textId="77777777" w:rsidR="005F412E" w:rsidRPr="00B275E2" w:rsidRDefault="005F412E" w:rsidP="005F412E">
            <w:pPr>
              <w:pStyle w:val="TableText"/>
              <w:rPr>
                <w:rFonts w:cs="Calibri"/>
                <w:szCs w:val="18"/>
                <w:lang w:eastAsia="en-GB"/>
              </w:rPr>
            </w:pPr>
            <w:r w:rsidRPr="00B275E2">
              <w:rPr>
                <w:rFonts w:cs="Calibri"/>
                <w:szCs w:val="18"/>
                <w:lang w:eastAsia="en-GB"/>
              </w:rPr>
              <w:t>Wide range</w:t>
            </w:r>
          </w:p>
        </w:tc>
        <w:tc>
          <w:tcPr>
            <w:tcW w:w="1418" w:type="dxa"/>
            <w:tcBorders>
              <w:bottom w:val="single" w:sz="4" w:space="0" w:color="1B556B" w:themeColor="text2"/>
            </w:tcBorders>
            <w:hideMark/>
          </w:tcPr>
          <w:p w14:paraId="6B4053F7" w14:textId="77777777" w:rsidR="005F412E" w:rsidRPr="00B275E2" w:rsidRDefault="005F412E" w:rsidP="005F412E">
            <w:pPr>
              <w:pStyle w:val="TableText"/>
              <w:rPr>
                <w:rFonts w:cs="Calibri"/>
                <w:szCs w:val="18"/>
                <w:lang w:eastAsia="en-GB"/>
              </w:rPr>
            </w:pPr>
            <w:r w:rsidRPr="00B275E2">
              <w:rPr>
                <w:rFonts w:cs="Calibri"/>
                <w:szCs w:val="18"/>
                <w:lang w:eastAsia="en-GB"/>
              </w:rPr>
              <w:t>Wide range</w:t>
            </w:r>
          </w:p>
        </w:tc>
        <w:tc>
          <w:tcPr>
            <w:tcW w:w="1329" w:type="dxa"/>
            <w:tcBorders>
              <w:bottom w:val="single" w:sz="4" w:space="0" w:color="1B556B" w:themeColor="text2"/>
            </w:tcBorders>
            <w:hideMark/>
          </w:tcPr>
          <w:p w14:paraId="1DE21DAC" w14:textId="77777777" w:rsidR="005F412E" w:rsidRPr="00B275E2" w:rsidRDefault="005F412E" w:rsidP="005F412E">
            <w:pPr>
              <w:pStyle w:val="TableText"/>
              <w:rPr>
                <w:rFonts w:cs="Calibri"/>
                <w:szCs w:val="18"/>
                <w:lang w:eastAsia="en-GB"/>
              </w:rPr>
            </w:pPr>
            <w:r w:rsidRPr="00B275E2">
              <w:rPr>
                <w:rFonts w:cs="Calibri"/>
                <w:szCs w:val="18"/>
                <w:lang w:eastAsia="en-GB"/>
              </w:rPr>
              <w:t>Unacceptable</w:t>
            </w:r>
          </w:p>
        </w:tc>
        <w:tc>
          <w:tcPr>
            <w:tcW w:w="1247" w:type="dxa"/>
            <w:tcBorders>
              <w:bottom w:val="single" w:sz="4" w:space="0" w:color="1B556B" w:themeColor="text2"/>
            </w:tcBorders>
            <w:hideMark/>
          </w:tcPr>
          <w:p w14:paraId="06991B8A" w14:textId="77777777" w:rsidR="005F412E" w:rsidRPr="00B275E2" w:rsidRDefault="005F412E" w:rsidP="005F412E">
            <w:pPr>
              <w:pStyle w:val="TableText"/>
              <w:rPr>
                <w:rFonts w:cs="Calibri"/>
                <w:szCs w:val="18"/>
                <w:lang w:eastAsia="en-GB"/>
              </w:rPr>
            </w:pPr>
            <w:r w:rsidRPr="00B275E2">
              <w:rPr>
                <w:rFonts w:cs="Calibri"/>
                <w:szCs w:val="18"/>
                <w:lang w:eastAsia="en-GB"/>
              </w:rPr>
              <w:t>Unacceptable</w:t>
            </w:r>
          </w:p>
        </w:tc>
      </w:tr>
      <w:tr w:rsidR="005F412E" w:rsidRPr="00B275E2" w14:paraId="13DE729B" w14:textId="77777777" w:rsidTr="00736AF4">
        <w:trPr>
          <w:cantSplit/>
        </w:trPr>
        <w:tc>
          <w:tcPr>
            <w:tcW w:w="1985" w:type="dxa"/>
            <w:hideMark/>
          </w:tcPr>
          <w:p w14:paraId="48E92A29" w14:textId="77777777" w:rsidR="005F412E" w:rsidRPr="00B275E2" w:rsidRDefault="005F412E" w:rsidP="005F412E">
            <w:pPr>
              <w:pStyle w:val="TableText"/>
              <w:rPr>
                <w:rFonts w:cs="Calibri"/>
                <w:szCs w:val="18"/>
                <w:lang w:eastAsia="en-US"/>
              </w:rPr>
            </w:pPr>
            <w:r w:rsidRPr="00B275E2">
              <w:rPr>
                <w:rFonts w:cs="Calibri"/>
                <w:szCs w:val="18"/>
              </w:rPr>
              <w:t>Industrial and commercial cool stores</w:t>
            </w:r>
          </w:p>
        </w:tc>
        <w:tc>
          <w:tcPr>
            <w:tcW w:w="1134" w:type="dxa"/>
            <w:hideMark/>
          </w:tcPr>
          <w:p w14:paraId="34033CEA" w14:textId="77777777" w:rsidR="005F412E" w:rsidRPr="00B275E2" w:rsidRDefault="005F412E" w:rsidP="005F412E">
            <w:pPr>
              <w:pStyle w:val="TableText"/>
              <w:rPr>
                <w:rFonts w:cs="Calibri"/>
                <w:szCs w:val="18"/>
                <w:lang w:eastAsia="en-GB"/>
              </w:rPr>
            </w:pPr>
            <w:r w:rsidRPr="00B275E2">
              <w:rPr>
                <w:rFonts w:cs="Calibri"/>
                <w:szCs w:val="18"/>
                <w:lang w:eastAsia="en-GB"/>
              </w:rPr>
              <w:t>Wide range</w:t>
            </w:r>
          </w:p>
        </w:tc>
        <w:tc>
          <w:tcPr>
            <w:tcW w:w="1416" w:type="dxa"/>
            <w:hideMark/>
          </w:tcPr>
          <w:p w14:paraId="7B44A490" w14:textId="77777777" w:rsidR="005F412E" w:rsidRPr="00B275E2" w:rsidRDefault="005F412E" w:rsidP="005F412E">
            <w:pPr>
              <w:pStyle w:val="TableText"/>
              <w:rPr>
                <w:rFonts w:cs="Calibri"/>
                <w:szCs w:val="18"/>
                <w:lang w:eastAsia="en-GB"/>
              </w:rPr>
            </w:pPr>
            <w:r w:rsidRPr="00B275E2">
              <w:rPr>
                <w:rFonts w:cs="Calibri"/>
                <w:szCs w:val="18"/>
                <w:lang w:eastAsia="en-GB"/>
              </w:rPr>
              <w:t>Wide range</w:t>
            </w:r>
          </w:p>
        </w:tc>
        <w:tc>
          <w:tcPr>
            <w:tcW w:w="1418" w:type="dxa"/>
            <w:hideMark/>
          </w:tcPr>
          <w:p w14:paraId="136A1410" w14:textId="77777777" w:rsidR="005F412E" w:rsidRPr="00B275E2" w:rsidRDefault="005F412E" w:rsidP="005F412E">
            <w:pPr>
              <w:pStyle w:val="TableText"/>
              <w:rPr>
                <w:rFonts w:cs="Calibri"/>
                <w:szCs w:val="18"/>
                <w:lang w:eastAsia="en-GB"/>
              </w:rPr>
            </w:pPr>
            <w:r w:rsidRPr="00B275E2">
              <w:rPr>
                <w:rFonts w:cs="Calibri"/>
                <w:szCs w:val="18"/>
                <w:lang w:eastAsia="en-GB"/>
              </w:rPr>
              <w:t>Wide range</w:t>
            </w:r>
          </w:p>
        </w:tc>
        <w:tc>
          <w:tcPr>
            <w:tcW w:w="1329" w:type="dxa"/>
            <w:hideMark/>
          </w:tcPr>
          <w:p w14:paraId="67906514" w14:textId="77777777" w:rsidR="005F412E" w:rsidRPr="00B275E2" w:rsidRDefault="005F412E" w:rsidP="005F412E">
            <w:pPr>
              <w:pStyle w:val="TableText"/>
              <w:rPr>
                <w:rFonts w:cs="Calibri"/>
                <w:szCs w:val="18"/>
                <w:lang w:eastAsia="en-GB"/>
              </w:rPr>
            </w:pPr>
            <w:r w:rsidRPr="00B275E2">
              <w:rPr>
                <w:rFonts w:cs="Calibri"/>
                <w:szCs w:val="18"/>
                <w:lang w:eastAsia="en-GB"/>
              </w:rPr>
              <w:t>Unacceptable</w:t>
            </w:r>
          </w:p>
        </w:tc>
        <w:tc>
          <w:tcPr>
            <w:tcW w:w="1247" w:type="dxa"/>
            <w:hideMark/>
          </w:tcPr>
          <w:p w14:paraId="2982A41B" w14:textId="77777777" w:rsidR="005F412E" w:rsidRPr="00B275E2" w:rsidRDefault="005F412E" w:rsidP="005F412E">
            <w:pPr>
              <w:pStyle w:val="TableText"/>
              <w:rPr>
                <w:rFonts w:cs="Calibri"/>
                <w:szCs w:val="18"/>
                <w:lang w:eastAsia="en-GB"/>
              </w:rPr>
            </w:pPr>
            <w:r w:rsidRPr="00B275E2">
              <w:rPr>
                <w:rFonts w:cs="Calibri"/>
                <w:szCs w:val="18"/>
                <w:lang w:eastAsia="en-GB"/>
              </w:rPr>
              <w:t>Unacceptable</w:t>
            </w:r>
          </w:p>
        </w:tc>
      </w:tr>
    </w:tbl>
    <w:p w14:paraId="377405D4" w14:textId="02D0B237" w:rsidR="005F412E" w:rsidRPr="00B275E2" w:rsidRDefault="005F412E" w:rsidP="005F267A">
      <w:pPr>
        <w:pStyle w:val="Tableheading"/>
        <w:spacing w:before="240"/>
      </w:pPr>
      <w:bookmarkStart w:id="693" w:name="_Ref532370703"/>
      <w:bookmarkStart w:id="694" w:name="_Ref609151"/>
      <w:bookmarkStart w:id="695" w:name="tableb2"/>
      <w:bookmarkStart w:id="696" w:name="_Toc55216423"/>
      <w:bookmarkStart w:id="697" w:name="_Toc111536711"/>
      <w:r w:rsidRPr="00B275E2">
        <w:t>Table</w:t>
      </w:r>
      <w:bookmarkEnd w:id="693"/>
      <w:r w:rsidR="00342DF3" w:rsidRPr="00B275E2">
        <w:t xml:space="preserve"> B</w:t>
      </w:r>
      <w:r w:rsidRPr="00B275E2">
        <w:fldChar w:fldCharType="begin"/>
      </w:r>
      <w:r w:rsidRPr="00B275E2">
        <w:instrText>SEQ Table_B. \* ARABIC</w:instrText>
      </w:r>
      <w:r w:rsidRPr="00B275E2">
        <w:fldChar w:fldCharType="separate"/>
      </w:r>
      <w:r w:rsidR="003E141C" w:rsidRPr="00B275E2">
        <w:t>2</w:t>
      </w:r>
      <w:r w:rsidRPr="00B275E2">
        <w:fldChar w:fldCharType="end"/>
      </w:r>
      <w:bookmarkEnd w:id="694"/>
      <w:bookmarkEnd w:id="695"/>
      <w:r w:rsidRPr="00B275E2">
        <w:t>:</w:t>
      </w:r>
      <w:r w:rsidRPr="00B275E2">
        <w:tab/>
        <w:t xml:space="preserve">Detailed 100-year </w:t>
      </w:r>
      <w:r w:rsidR="00F64130" w:rsidRPr="00B275E2">
        <w:t>GWPs</w:t>
      </w:r>
      <w:r w:rsidRPr="00B275E2">
        <w:t xml:space="preserve"> for various refrigerant mixtures</w:t>
      </w:r>
      <w:r w:rsidRPr="00B275E2">
        <w:rPr>
          <w:vertAlign w:val="superscript"/>
        </w:rPr>
        <w:footnoteReference w:id="88"/>
      </w:r>
      <w:bookmarkEnd w:id="696"/>
      <w:bookmarkEnd w:id="697"/>
    </w:p>
    <w:tbl>
      <w:tblPr>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CellMar>
          <w:left w:w="57" w:type="dxa"/>
          <w:right w:w="57" w:type="dxa"/>
        </w:tblCellMar>
        <w:tblLook w:val="04A0" w:firstRow="1" w:lastRow="0" w:firstColumn="1" w:lastColumn="0" w:noHBand="0" w:noVBand="1"/>
      </w:tblPr>
      <w:tblGrid>
        <w:gridCol w:w="3002"/>
        <w:gridCol w:w="626"/>
        <w:gridCol w:w="588"/>
        <w:gridCol w:w="613"/>
        <w:gridCol w:w="613"/>
        <w:gridCol w:w="603"/>
        <w:gridCol w:w="592"/>
        <w:gridCol w:w="603"/>
        <w:gridCol w:w="639"/>
        <w:gridCol w:w="626"/>
      </w:tblGrid>
      <w:tr w:rsidR="005F412E" w:rsidRPr="00B275E2" w14:paraId="4A3AEBD7" w14:textId="77777777" w:rsidTr="00736AF4">
        <w:trPr>
          <w:cantSplit/>
          <w:tblHeader/>
        </w:trPr>
        <w:tc>
          <w:tcPr>
            <w:tcW w:w="3002" w:type="dxa"/>
            <w:shd w:val="clear" w:color="auto" w:fill="1B556B" w:themeFill="text2"/>
            <w:vAlign w:val="bottom"/>
            <w:hideMark/>
          </w:tcPr>
          <w:p w14:paraId="79107A7E" w14:textId="77777777" w:rsidR="005F412E" w:rsidRPr="00B275E2" w:rsidRDefault="005F412E" w:rsidP="005F412E">
            <w:pPr>
              <w:pStyle w:val="TableText"/>
              <w:rPr>
                <w:rFonts w:cs="Calibri"/>
                <w:b/>
                <w:color w:val="FFFFFF" w:themeColor="background1"/>
                <w:szCs w:val="18"/>
              </w:rPr>
            </w:pPr>
            <w:r w:rsidRPr="00B275E2">
              <w:rPr>
                <w:rFonts w:cs="Calibri"/>
                <w:b/>
                <w:color w:val="FFFFFF" w:themeColor="background1"/>
                <w:szCs w:val="18"/>
              </w:rPr>
              <w:t>Refrigerant type (trade name)</w:t>
            </w:r>
          </w:p>
        </w:tc>
        <w:tc>
          <w:tcPr>
            <w:tcW w:w="626" w:type="dxa"/>
            <w:shd w:val="clear" w:color="auto" w:fill="1B556B" w:themeFill="text2"/>
            <w:vAlign w:val="bottom"/>
            <w:hideMark/>
          </w:tcPr>
          <w:p w14:paraId="083823DF" w14:textId="77777777" w:rsidR="005F412E" w:rsidRPr="00B275E2" w:rsidRDefault="005F412E" w:rsidP="005F412E">
            <w:pPr>
              <w:pStyle w:val="TableText"/>
              <w:rPr>
                <w:rFonts w:cs="Calibri"/>
                <w:b/>
                <w:color w:val="FFFFFF" w:themeColor="background1"/>
                <w:szCs w:val="18"/>
              </w:rPr>
            </w:pPr>
            <w:r w:rsidRPr="00B275E2">
              <w:rPr>
                <w:rFonts w:cs="Calibri"/>
                <w:b/>
                <w:color w:val="FFFFFF" w:themeColor="background1"/>
                <w:szCs w:val="18"/>
              </w:rPr>
              <w:t>HFC-23</w:t>
            </w:r>
          </w:p>
        </w:tc>
        <w:tc>
          <w:tcPr>
            <w:tcW w:w="588" w:type="dxa"/>
            <w:shd w:val="clear" w:color="auto" w:fill="1B556B" w:themeFill="text2"/>
            <w:vAlign w:val="bottom"/>
            <w:hideMark/>
          </w:tcPr>
          <w:p w14:paraId="6CC4CB4B" w14:textId="77777777" w:rsidR="005F412E" w:rsidRPr="00B275E2" w:rsidRDefault="005F412E" w:rsidP="005F412E">
            <w:pPr>
              <w:pStyle w:val="TableText"/>
              <w:rPr>
                <w:rFonts w:cs="Calibri"/>
                <w:b/>
                <w:color w:val="FFFFFF" w:themeColor="background1"/>
                <w:szCs w:val="18"/>
              </w:rPr>
            </w:pPr>
            <w:r w:rsidRPr="00B275E2">
              <w:rPr>
                <w:rFonts w:cs="Calibri"/>
                <w:b/>
                <w:color w:val="FFFFFF" w:themeColor="background1"/>
                <w:szCs w:val="18"/>
              </w:rPr>
              <w:t>HFC-32</w:t>
            </w:r>
          </w:p>
        </w:tc>
        <w:tc>
          <w:tcPr>
            <w:tcW w:w="613" w:type="dxa"/>
            <w:shd w:val="clear" w:color="auto" w:fill="1B556B" w:themeFill="text2"/>
            <w:vAlign w:val="bottom"/>
            <w:hideMark/>
          </w:tcPr>
          <w:p w14:paraId="54B7FFAB" w14:textId="77777777" w:rsidR="005F412E" w:rsidRPr="00B275E2" w:rsidRDefault="005F412E" w:rsidP="005F412E">
            <w:pPr>
              <w:pStyle w:val="TableText"/>
              <w:rPr>
                <w:rFonts w:cs="Calibri"/>
                <w:b/>
                <w:color w:val="FFFFFF" w:themeColor="background1"/>
                <w:szCs w:val="18"/>
              </w:rPr>
            </w:pPr>
            <w:r w:rsidRPr="00B275E2">
              <w:rPr>
                <w:rFonts w:cs="Calibri"/>
                <w:b/>
                <w:color w:val="FFFFFF" w:themeColor="background1"/>
                <w:szCs w:val="18"/>
              </w:rPr>
              <w:t>HFC-125</w:t>
            </w:r>
          </w:p>
        </w:tc>
        <w:tc>
          <w:tcPr>
            <w:tcW w:w="613" w:type="dxa"/>
            <w:shd w:val="clear" w:color="auto" w:fill="1B556B" w:themeFill="text2"/>
            <w:vAlign w:val="bottom"/>
            <w:hideMark/>
          </w:tcPr>
          <w:p w14:paraId="31D8340A" w14:textId="77777777" w:rsidR="005F412E" w:rsidRPr="00B275E2" w:rsidRDefault="005F412E" w:rsidP="005F412E">
            <w:pPr>
              <w:pStyle w:val="TableText"/>
              <w:rPr>
                <w:rFonts w:cs="Calibri"/>
                <w:b/>
                <w:color w:val="FFFFFF" w:themeColor="background1"/>
                <w:szCs w:val="18"/>
              </w:rPr>
            </w:pPr>
            <w:r w:rsidRPr="00B275E2">
              <w:rPr>
                <w:rFonts w:cs="Calibri"/>
                <w:b/>
                <w:color w:val="FFFFFF" w:themeColor="background1"/>
                <w:szCs w:val="18"/>
              </w:rPr>
              <w:t>HFC-134a</w:t>
            </w:r>
          </w:p>
        </w:tc>
        <w:tc>
          <w:tcPr>
            <w:tcW w:w="603" w:type="dxa"/>
            <w:shd w:val="clear" w:color="auto" w:fill="1B556B" w:themeFill="text2"/>
            <w:vAlign w:val="bottom"/>
            <w:hideMark/>
          </w:tcPr>
          <w:p w14:paraId="4E513335" w14:textId="77777777" w:rsidR="005F412E" w:rsidRPr="00B275E2" w:rsidRDefault="005F412E" w:rsidP="005F412E">
            <w:pPr>
              <w:pStyle w:val="TableText"/>
              <w:rPr>
                <w:rFonts w:cs="Calibri"/>
                <w:b/>
                <w:color w:val="FFFFFF" w:themeColor="background1"/>
                <w:szCs w:val="18"/>
              </w:rPr>
            </w:pPr>
            <w:r w:rsidRPr="00B275E2">
              <w:rPr>
                <w:rFonts w:cs="Calibri"/>
                <w:b/>
                <w:color w:val="FFFFFF" w:themeColor="background1"/>
                <w:szCs w:val="18"/>
              </w:rPr>
              <w:t>HFC-143a</w:t>
            </w:r>
          </w:p>
        </w:tc>
        <w:tc>
          <w:tcPr>
            <w:tcW w:w="592" w:type="dxa"/>
            <w:shd w:val="clear" w:color="auto" w:fill="1B556B" w:themeFill="text2"/>
            <w:vAlign w:val="bottom"/>
            <w:hideMark/>
          </w:tcPr>
          <w:p w14:paraId="1C264E59" w14:textId="77777777" w:rsidR="005F412E" w:rsidRPr="00B275E2" w:rsidRDefault="005F412E" w:rsidP="005F412E">
            <w:pPr>
              <w:pStyle w:val="TableText"/>
              <w:rPr>
                <w:rFonts w:cs="Calibri"/>
                <w:b/>
                <w:color w:val="FFFFFF" w:themeColor="background1"/>
                <w:szCs w:val="18"/>
              </w:rPr>
            </w:pPr>
            <w:r w:rsidRPr="00B275E2">
              <w:rPr>
                <w:rFonts w:cs="Calibri"/>
                <w:b/>
                <w:color w:val="FFFFFF" w:themeColor="background1"/>
                <w:szCs w:val="18"/>
              </w:rPr>
              <w:t>HFC-152a</w:t>
            </w:r>
          </w:p>
        </w:tc>
        <w:tc>
          <w:tcPr>
            <w:tcW w:w="603" w:type="dxa"/>
            <w:shd w:val="clear" w:color="auto" w:fill="1B556B" w:themeFill="text2"/>
            <w:vAlign w:val="bottom"/>
            <w:hideMark/>
          </w:tcPr>
          <w:p w14:paraId="04987ADC" w14:textId="77777777" w:rsidR="005F412E" w:rsidRPr="00B275E2" w:rsidRDefault="005F412E" w:rsidP="005F412E">
            <w:pPr>
              <w:pStyle w:val="TableText"/>
              <w:rPr>
                <w:rFonts w:cs="Calibri"/>
                <w:b/>
                <w:color w:val="FFFFFF" w:themeColor="background1"/>
                <w:szCs w:val="18"/>
              </w:rPr>
            </w:pPr>
            <w:r w:rsidRPr="00B275E2">
              <w:rPr>
                <w:rFonts w:cs="Calibri"/>
                <w:b/>
                <w:color w:val="FFFFFF" w:themeColor="background1"/>
                <w:szCs w:val="18"/>
              </w:rPr>
              <w:t>PFC-218</w:t>
            </w:r>
          </w:p>
        </w:tc>
        <w:tc>
          <w:tcPr>
            <w:tcW w:w="639" w:type="dxa"/>
            <w:shd w:val="clear" w:color="auto" w:fill="1B556B" w:themeFill="text2"/>
            <w:vAlign w:val="bottom"/>
            <w:hideMark/>
          </w:tcPr>
          <w:p w14:paraId="68AE0B2F" w14:textId="77777777" w:rsidR="005F412E" w:rsidRPr="00B275E2" w:rsidRDefault="005F412E" w:rsidP="005F412E">
            <w:pPr>
              <w:pStyle w:val="TableText"/>
              <w:rPr>
                <w:rFonts w:cs="Calibri"/>
                <w:b/>
                <w:color w:val="FFFFFF" w:themeColor="background1"/>
                <w:szCs w:val="18"/>
              </w:rPr>
            </w:pPr>
            <w:r w:rsidRPr="00B275E2">
              <w:rPr>
                <w:rFonts w:cs="Calibri"/>
                <w:b/>
                <w:color w:val="FFFFFF" w:themeColor="background1"/>
                <w:szCs w:val="18"/>
              </w:rPr>
              <w:t>Other*</w:t>
            </w:r>
          </w:p>
        </w:tc>
        <w:tc>
          <w:tcPr>
            <w:tcW w:w="626" w:type="dxa"/>
            <w:shd w:val="clear" w:color="auto" w:fill="1B556B" w:themeFill="text2"/>
            <w:vAlign w:val="bottom"/>
            <w:hideMark/>
          </w:tcPr>
          <w:p w14:paraId="77EFEBED" w14:textId="77777777" w:rsidR="005F412E" w:rsidRPr="00B275E2" w:rsidRDefault="005F412E" w:rsidP="005F412E">
            <w:pPr>
              <w:pStyle w:val="TableText"/>
              <w:rPr>
                <w:rFonts w:cs="Calibri"/>
                <w:b/>
                <w:color w:val="FFFFFF" w:themeColor="background1"/>
                <w:szCs w:val="18"/>
              </w:rPr>
            </w:pPr>
            <w:r w:rsidRPr="00B275E2">
              <w:rPr>
                <w:rFonts w:cs="Calibri"/>
                <w:b/>
                <w:color w:val="FFFFFF" w:themeColor="background1"/>
                <w:szCs w:val="18"/>
              </w:rPr>
              <w:t>Total GWP</w:t>
            </w:r>
          </w:p>
        </w:tc>
      </w:tr>
      <w:tr w:rsidR="005F412E" w:rsidRPr="00B275E2" w14:paraId="27C76FDF" w14:textId="77777777" w:rsidTr="00736AF4">
        <w:trPr>
          <w:cantSplit/>
        </w:trPr>
        <w:tc>
          <w:tcPr>
            <w:tcW w:w="3002" w:type="dxa"/>
            <w:hideMark/>
          </w:tcPr>
          <w:p w14:paraId="517683FA" w14:textId="2F8A468D" w:rsidR="005F412E" w:rsidRPr="00B275E2" w:rsidRDefault="005F412E" w:rsidP="005F412E">
            <w:pPr>
              <w:pStyle w:val="TableText"/>
              <w:rPr>
                <w:rFonts w:cs="Calibri"/>
                <w:szCs w:val="18"/>
              </w:rPr>
            </w:pPr>
            <w:r w:rsidRPr="00B275E2">
              <w:rPr>
                <w:rFonts w:cs="Calibri"/>
                <w:szCs w:val="18"/>
              </w:rPr>
              <w:t xml:space="preserve">GWP100 (IPCC, 2007) </w:t>
            </w:r>
          </w:p>
        </w:tc>
        <w:tc>
          <w:tcPr>
            <w:tcW w:w="626" w:type="dxa"/>
            <w:hideMark/>
          </w:tcPr>
          <w:p w14:paraId="4AB1E4BD" w14:textId="77777777" w:rsidR="005F412E" w:rsidRPr="00B275E2" w:rsidRDefault="005F412E" w:rsidP="005F412E">
            <w:pPr>
              <w:pStyle w:val="TableText"/>
              <w:jc w:val="right"/>
              <w:rPr>
                <w:rFonts w:cs="Calibri"/>
                <w:szCs w:val="18"/>
              </w:rPr>
            </w:pPr>
            <w:r w:rsidRPr="00B275E2">
              <w:rPr>
                <w:rFonts w:cs="Calibri"/>
                <w:szCs w:val="18"/>
              </w:rPr>
              <w:t>14,800</w:t>
            </w:r>
          </w:p>
        </w:tc>
        <w:tc>
          <w:tcPr>
            <w:tcW w:w="588" w:type="dxa"/>
            <w:hideMark/>
          </w:tcPr>
          <w:p w14:paraId="25A0F51D" w14:textId="77777777" w:rsidR="005F412E" w:rsidRPr="00B275E2" w:rsidRDefault="005F412E" w:rsidP="005F412E">
            <w:pPr>
              <w:pStyle w:val="TableText"/>
              <w:jc w:val="right"/>
              <w:rPr>
                <w:rFonts w:cs="Calibri"/>
                <w:szCs w:val="18"/>
              </w:rPr>
            </w:pPr>
            <w:r w:rsidRPr="00B275E2">
              <w:rPr>
                <w:rFonts w:cs="Calibri"/>
                <w:szCs w:val="18"/>
              </w:rPr>
              <w:t>675</w:t>
            </w:r>
          </w:p>
        </w:tc>
        <w:tc>
          <w:tcPr>
            <w:tcW w:w="613" w:type="dxa"/>
            <w:hideMark/>
          </w:tcPr>
          <w:p w14:paraId="2AE813D5" w14:textId="77777777" w:rsidR="005F412E" w:rsidRPr="00B275E2" w:rsidRDefault="005F412E" w:rsidP="005F412E">
            <w:pPr>
              <w:pStyle w:val="TableText"/>
              <w:jc w:val="right"/>
              <w:rPr>
                <w:rFonts w:cs="Calibri"/>
                <w:szCs w:val="18"/>
              </w:rPr>
            </w:pPr>
            <w:r w:rsidRPr="00B275E2">
              <w:rPr>
                <w:rFonts w:cs="Calibri"/>
                <w:szCs w:val="18"/>
              </w:rPr>
              <w:t>3,500</w:t>
            </w:r>
          </w:p>
        </w:tc>
        <w:tc>
          <w:tcPr>
            <w:tcW w:w="613" w:type="dxa"/>
            <w:hideMark/>
          </w:tcPr>
          <w:p w14:paraId="244D91FF" w14:textId="77777777" w:rsidR="005F412E" w:rsidRPr="00B275E2" w:rsidRDefault="005F412E" w:rsidP="005F412E">
            <w:pPr>
              <w:pStyle w:val="TableText"/>
              <w:jc w:val="right"/>
              <w:rPr>
                <w:rFonts w:cs="Calibri"/>
                <w:szCs w:val="18"/>
              </w:rPr>
            </w:pPr>
            <w:r w:rsidRPr="00B275E2">
              <w:rPr>
                <w:rFonts w:cs="Calibri"/>
                <w:szCs w:val="18"/>
              </w:rPr>
              <w:t>1,430</w:t>
            </w:r>
          </w:p>
        </w:tc>
        <w:tc>
          <w:tcPr>
            <w:tcW w:w="603" w:type="dxa"/>
            <w:hideMark/>
          </w:tcPr>
          <w:p w14:paraId="4EE69F47" w14:textId="77777777" w:rsidR="005F412E" w:rsidRPr="00B275E2" w:rsidRDefault="005F412E" w:rsidP="005F412E">
            <w:pPr>
              <w:pStyle w:val="TableText"/>
              <w:jc w:val="right"/>
              <w:rPr>
                <w:rFonts w:cs="Calibri"/>
                <w:szCs w:val="18"/>
              </w:rPr>
            </w:pPr>
            <w:r w:rsidRPr="00B275E2">
              <w:rPr>
                <w:rFonts w:cs="Calibri"/>
                <w:szCs w:val="18"/>
              </w:rPr>
              <w:t>4,470</w:t>
            </w:r>
          </w:p>
        </w:tc>
        <w:tc>
          <w:tcPr>
            <w:tcW w:w="592" w:type="dxa"/>
            <w:hideMark/>
          </w:tcPr>
          <w:p w14:paraId="0079571D" w14:textId="77777777" w:rsidR="005F412E" w:rsidRPr="00B275E2" w:rsidRDefault="005F412E" w:rsidP="005F412E">
            <w:pPr>
              <w:pStyle w:val="TableText"/>
              <w:jc w:val="right"/>
              <w:rPr>
                <w:rFonts w:cs="Calibri"/>
                <w:szCs w:val="18"/>
              </w:rPr>
            </w:pPr>
            <w:r w:rsidRPr="00B275E2">
              <w:rPr>
                <w:rFonts w:cs="Calibri"/>
                <w:szCs w:val="18"/>
              </w:rPr>
              <w:t>124</w:t>
            </w:r>
          </w:p>
        </w:tc>
        <w:tc>
          <w:tcPr>
            <w:tcW w:w="603" w:type="dxa"/>
            <w:hideMark/>
          </w:tcPr>
          <w:p w14:paraId="4A0FB1BA" w14:textId="77777777" w:rsidR="005F412E" w:rsidRPr="00B275E2" w:rsidRDefault="005F412E" w:rsidP="005F412E">
            <w:pPr>
              <w:pStyle w:val="TableText"/>
              <w:jc w:val="right"/>
              <w:rPr>
                <w:rFonts w:cs="Calibri"/>
                <w:szCs w:val="18"/>
              </w:rPr>
            </w:pPr>
            <w:r w:rsidRPr="00B275E2">
              <w:rPr>
                <w:rFonts w:cs="Calibri"/>
                <w:szCs w:val="18"/>
              </w:rPr>
              <w:t>8,830</w:t>
            </w:r>
          </w:p>
        </w:tc>
        <w:tc>
          <w:tcPr>
            <w:tcW w:w="639" w:type="dxa"/>
            <w:hideMark/>
          </w:tcPr>
          <w:p w14:paraId="5721FD45" w14:textId="77777777" w:rsidR="005F412E" w:rsidRPr="00B275E2" w:rsidRDefault="005F412E" w:rsidP="005F412E">
            <w:pPr>
              <w:pStyle w:val="TableText"/>
              <w:jc w:val="right"/>
              <w:rPr>
                <w:rFonts w:cs="Calibri"/>
                <w:szCs w:val="18"/>
              </w:rPr>
            </w:pPr>
            <w:r w:rsidRPr="00B275E2">
              <w:rPr>
                <w:rFonts w:cs="Calibri"/>
                <w:szCs w:val="18"/>
              </w:rPr>
              <w:t>0</w:t>
            </w:r>
          </w:p>
        </w:tc>
        <w:tc>
          <w:tcPr>
            <w:tcW w:w="626" w:type="dxa"/>
          </w:tcPr>
          <w:p w14:paraId="4DFE170F" w14:textId="77777777" w:rsidR="005F412E" w:rsidRPr="00B275E2" w:rsidRDefault="005F412E" w:rsidP="005F412E">
            <w:pPr>
              <w:pStyle w:val="TableText"/>
              <w:jc w:val="right"/>
              <w:rPr>
                <w:rFonts w:cs="Calibri"/>
                <w:szCs w:val="18"/>
              </w:rPr>
            </w:pPr>
          </w:p>
        </w:tc>
      </w:tr>
      <w:tr w:rsidR="005F412E" w:rsidRPr="00B275E2" w14:paraId="4E75454F" w14:textId="77777777" w:rsidTr="00736AF4">
        <w:trPr>
          <w:cantSplit/>
        </w:trPr>
        <w:tc>
          <w:tcPr>
            <w:tcW w:w="3002" w:type="dxa"/>
            <w:hideMark/>
          </w:tcPr>
          <w:p w14:paraId="291B7430" w14:textId="77777777" w:rsidR="005F412E" w:rsidRPr="00B275E2" w:rsidRDefault="005F412E" w:rsidP="005F412E">
            <w:pPr>
              <w:pStyle w:val="TableText"/>
              <w:rPr>
                <w:rFonts w:cs="Calibri"/>
                <w:szCs w:val="18"/>
              </w:rPr>
            </w:pPr>
            <w:r w:rsidRPr="00B275E2">
              <w:rPr>
                <w:rFonts w:cs="Calibri"/>
                <w:szCs w:val="18"/>
              </w:rPr>
              <w:t>R22 (HCFC-22)</w:t>
            </w:r>
          </w:p>
        </w:tc>
        <w:tc>
          <w:tcPr>
            <w:tcW w:w="626" w:type="dxa"/>
          </w:tcPr>
          <w:p w14:paraId="1D45156E" w14:textId="77777777" w:rsidR="005F412E" w:rsidRPr="00B275E2" w:rsidRDefault="005F412E" w:rsidP="005F412E">
            <w:pPr>
              <w:pStyle w:val="TableText"/>
              <w:jc w:val="right"/>
              <w:rPr>
                <w:rFonts w:cs="Calibri"/>
                <w:szCs w:val="18"/>
              </w:rPr>
            </w:pPr>
          </w:p>
        </w:tc>
        <w:tc>
          <w:tcPr>
            <w:tcW w:w="588" w:type="dxa"/>
          </w:tcPr>
          <w:p w14:paraId="7E53D514" w14:textId="77777777" w:rsidR="005F412E" w:rsidRPr="00B275E2" w:rsidRDefault="005F412E" w:rsidP="005F412E">
            <w:pPr>
              <w:pStyle w:val="TableText"/>
              <w:jc w:val="right"/>
              <w:rPr>
                <w:rFonts w:cs="Calibri"/>
                <w:szCs w:val="18"/>
              </w:rPr>
            </w:pPr>
          </w:p>
        </w:tc>
        <w:tc>
          <w:tcPr>
            <w:tcW w:w="613" w:type="dxa"/>
          </w:tcPr>
          <w:p w14:paraId="71226257" w14:textId="77777777" w:rsidR="005F412E" w:rsidRPr="00B275E2" w:rsidRDefault="005F412E" w:rsidP="005F412E">
            <w:pPr>
              <w:pStyle w:val="TableText"/>
              <w:jc w:val="right"/>
              <w:rPr>
                <w:rFonts w:cs="Calibri"/>
                <w:szCs w:val="18"/>
              </w:rPr>
            </w:pPr>
          </w:p>
        </w:tc>
        <w:tc>
          <w:tcPr>
            <w:tcW w:w="613" w:type="dxa"/>
          </w:tcPr>
          <w:p w14:paraId="4F238A08" w14:textId="77777777" w:rsidR="005F412E" w:rsidRPr="00B275E2" w:rsidRDefault="005F412E" w:rsidP="005F412E">
            <w:pPr>
              <w:pStyle w:val="TableText"/>
              <w:jc w:val="right"/>
              <w:rPr>
                <w:rFonts w:cs="Calibri"/>
                <w:szCs w:val="18"/>
              </w:rPr>
            </w:pPr>
          </w:p>
        </w:tc>
        <w:tc>
          <w:tcPr>
            <w:tcW w:w="603" w:type="dxa"/>
          </w:tcPr>
          <w:p w14:paraId="21733A70" w14:textId="77777777" w:rsidR="005F412E" w:rsidRPr="00B275E2" w:rsidRDefault="005F412E" w:rsidP="005F412E">
            <w:pPr>
              <w:pStyle w:val="TableText"/>
              <w:jc w:val="right"/>
              <w:rPr>
                <w:rFonts w:cs="Calibri"/>
                <w:szCs w:val="18"/>
              </w:rPr>
            </w:pPr>
          </w:p>
        </w:tc>
        <w:tc>
          <w:tcPr>
            <w:tcW w:w="592" w:type="dxa"/>
          </w:tcPr>
          <w:p w14:paraId="5C9592E2" w14:textId="77777777" w:rsidR="005F412E" w:rsidRPr="00B275E2" w:rsidRDefault="005F412E" w:rsidP="005F412E">
            <w:pPr>
              <w:pStyle w:val="TableText"/>
              <w:jc w:val="right"/>
              <w:rPr>
                <w:rFonts w:cs="Calibri"/>
                <w:szCs w:val="18"/>
              </w:rPr>
            </w:pPr>
          </w:p>
        </w:tc>
        <w:tc>
          <w:tcPr>
            <w:tcW w:w="603" w:type="dxa"/>
          </w:tcPr>
          <w:p w14:paraId="7130CAC8" w14:textId="77777777" w:rsidR="005F412E" w:rsidRPr="00B275E2" w:rsidRDefault="005F412E" w:rsidP="005F412E">
            <w:pPr>
              <w:pStyle w:val="TableText"/>
              <w:jc w:val="right"/>
              <w:rPr>
                <w:rFonts w:cs="Calibri"/>
                <w:szCs w:val="18"/>
              </w:rPr>
            </w:pPr>
          </w:p>
        </w:tc>
        <w:tc>
          <w:tcPr>
            <w:tcW w:w="639" w:type="dxa"/>
            <w:hideMark/>
          </w:tcPr>
          <w:p w14:paraId="77E03CF6" w14:textId="77777777" w:rsidR="005F412E" w:rsidRPr="00B275E2" w:rsidRDefault="005F412E" w:rsidP="005F412E">
            <w:pPr>
              <w:pStyle w:val="TableText"/>
              <w:jc w:val="right"/>
              <w:rPr>
                <w:rFonts w:cs="Calibri"/>
                <w:szCs w:val="18"/>
              </w:rPr>
            </w:pPr>
            <w:r w:rsidRPr="00B275E2">
              <w:rPr>
                <w:rFonts w:cs="Calibri"/>
                <w:szCs w:val="18"/>
              </w:rPr>
              <w:t>100%</w:t>
            </w:r>
          </w:p>
        </w:tc>
        <w:tc>
          <w:tcPr>
            <w:tcW w:w="626" w:type="dxa"/>
            <w:hideMark/>
          </w:tcPr>
          <w:p w14:paraId="708F8F31" w14:textId="77777777" w:rsidR="005F412E" w:rsidRPr="00B275E2" w:rsidRDefault="005F412E" w:rsidP="005F412E">
            <w:pPr>
              <w:pStyle w:val="TableText"/>
              <w:jc w:val="right"/>
              <w:rPr>
                <w:rFonts w:cs="Calibri"/>
                <w:szCs w:val="18"/>
              </w:rPr>
            </w:pPr>
            <w:r w:rsidRPr="00B275E2">
              <w:rPr>
                <w:rFonts w:cs="Calibri"/>
                <w:szCs w:val="18"/>
              </w:rPr>
              <w:t>1,810</w:t>
            </w:r>
          </w:p>
        </w:tc>
      </w:tr>
      <w:tr w:rsidR="005F412E" w:rsidRPr="00B275E2" w14:paraId="5870C242" w14:textId="77777777" w:rsidTr="00736AF4">
        <w:trPr>
          <w:cantSplit/>
        </w:trPr>
        <w:tc>
          <w:tcPr>
            <w:tcW w:w="3002" w:type="dxa"/>
            <w:hideMark/>
          </w:tcPr>
          <w:p w14:paraId="03F0C0F1" w14:textId="77777777" w:rsidR="005F412E" w:rsidRPr="00B275E2" w:rsidRDefault="005F412E" w:rsidP="005F412E">
            <w:pPr>
              <w:pStyle w:val="TableText"/>
              <w:rPr>
                <w:rFonts w:cs="Calibri"/>
                <w:szCs w:val="18"/>
              </w:rPr>
            </w:pPr>
            <w:r w:rsidRPr="00B275E2">
              <w:rPr>
                <w:rFonts w:cs="Calibri"/>
                <w:szCs w:val="18"/>
              </w:rPr>
              <w:t>R23</w:t>
            </w:r>
          </w:p>
        </w:tc>
        <w:tc>
          <w:tcPr>
            <w:tcW w:w="626" w:type="dxa"/>
            <w:hideMark/>
          </w:tcPr>
          <w:p w14:paraId="46269DD7" w14:textId="77777777" w:rsidR="005F412E" w:rsidRPr="00B275E2" w:rsidRDefault="005F412E" w:rsidP="005F412E">
            <w:pPr>
              <w:pStyle w:val="TableText"/>
              <w:jc w:val="right"/>
              <w:rPr>
                <w:rFonts w:cs="Calibri"/>
                <w:szCs w:val="18"/>
              </w:rPr>
            </w:pPr>
            <w:r w:rsidRPr="00B275E2">
              <w:rPr>
                <w:rFonts w:cs="Calibri"/>
                <w:szCs w:val="18"/>
              </w:rPr>
              <w:t>100%</w:t>
            </w:r>
          </w:p>
        </w:tc>
        <w:tc>
          <w:tcPr>
            <w:tcW w:w="588" w:type="dxa"/>
          </w:tcPr>
          <w:p w14:paraId="52821519" w14:textId="77777777" w:rsidR="005F412E" w:rsidRPr="00B275E2" w:rsidRDefault="005F412E" w:rsidP="005F412E">
            <w:pPr>
              <w:pStyle w:val="TableText"/>
              <w:jc w:val="right"/>
              <w:rPr>
                <w:rFonts w:cs="Calibri"/>
                <w:szCs w:val="18"/>
              </w:rPr>
            </w:pPr>
          </w:p>
        </w:tc>
        <w:tc>
          <w:tcPr>
            <w:tcW w:w="613" w:type="dxa"/>
          </w:tcPr>
          <w:p w14:paraId="637051AC" w14:textId="77777777" w:rsidR="005F412E" w:rsidRPr="00B275E2" w:rsidRDefault="005F412E" w:rsidP="005F412E">
            <w:pPr>
              <w:pStyle w:val="TableText"/>
              <w:jc w:val="right"/>
              <w:rPr>
                <w:rFonts w:cs="Calibri"/>
                <w:szCs w:val="18"/>
              </w:rPr>
            </w:pPr>
          </w:p>
        </w:tc>
        <w:tc>
          <w:tcPr>
            <w:tcW w:w="613" w:type="dxa"/>
          </w:tcPr>
          <w:p w14:paraId="66FA1B68" w14:textId="77777777" w:rsidR="005F412E" w:rsidRPr="00B275E2" w:rsidRDefault="005F412E" w:rsidP="005F412E">
            <w:pPr>
              <w:pStyle w:val="TableText"/>
              <w:jc w:val="right"/>
              <w:rPr>
                <w:rFonts w:cs="Calibri"/>
                <w:szCs w:val="18"/>
              </w:rPr>
            </w:pPr>
          </w:p>
        </w:tc>
        <w:tc>
          <w:tcPr>
            <w:tcW w:w="603" w:type="dxa"/>
          </w:tcPr>
          <w:p w14:paraId="23FA6283" w14:textId="77777777" w:rsidR="005F412E" w:rsidRPr="00B275E2" w:rsidRDefault="005F412E" w:rsidP="005F412E">
            <w:pPr>
              <w:pStyle w:val="TableText"/>
              <w:jc w:val="right"/>
              <w:rPr>
                <w:rFonts w:cs="Calibri"/>
                <w:szCs w:val="18"/>
              </w:rPr>
            </w:pPr>
          </w:p>
        </w:tc>
        <w:tc>
          <w:tcPr>
            <w:tcW w:w="592" w:type="dxa"/>
          </w:tcPr>
          <w:p w14:paraId="57A20D7C" w14:textId="77777777" w:rsidR="005F412E" w:rsidRPr="00B275E2" w:rsidRDefault="005F412E" w:rsidP="005F412E">
            <w:pPr>
              <w:pStyle w:val="TableText"/>
              <w:jc w:val="right"/>
              <w:rPr>
                <w:rFonts w:cs="Calibri"/>
                <w:szCs w:val="18"/>
              </w:rPr>
            </w:pPr>
          </w:p>
        </w:tc>
        <w:tc>
          <w:tcPr>
            <w:tcW w:w="603" w:type="dxa"/>
          </w:tcPr>
          <w:p w14:paraId="7EEC3C56" w14:textId="77777777" w:rsidR="005F412E" w:rsidRPr="00B275E2" w:rsidRDefault="005F412E" w:rsidP="005F412E">
            <w:pPr>
              <w:pStyle w:val="TableText"/>
              <w:jc w:val="right"/>
              <w:rPr>
                <w:rFonts w:cs="Calibri"/>
                <w:szCs w:val="18"/>
              </w:rPr>
            </w:pPr>
          </w:p>
        </w:tc>
        <w:tc>
          <w:tcPr>
            <w:tcW w:w="639" w:type="dxa"/>
          </w:tcPr>
          <w:p w14:paraId="47D3BDD5" w14:textId="77777777" w:rsidR="005F412E" w:rsidRPr="00B275E2" w:rsidRDefault="005F412E" w:rsidP="005F412E">
            <w:pPr>
              <w:pStyle w:val="TableText"/>
              <w:jc w:val="right"/>
              <w:rPr>
                <w:rFonts w:cs="Calibri"/>
                <w:szCs w:val="18"/>
              </w:rPr>
            </w:pPr>
          </w:p>
        </w:tc>
        <w:tc>
          <w:tcPr>
            <w:tcW w:w="626" w:type="dxa"/>
            <w:hideMark/>
          </w:tcPr>
          <w:p w14:paraId="21266155" w14:textId="77777777" w:rsidR="005F412E" w:rsidRPr="00B275E2" w:rsidRDefault="005F412E" w:rsidP="005F412E">
            <w:pPr>
              <w:pStyle w:val="TableText"/>
              <w:jc w:val="right"/>
              <w:rPr>
                <w:rFonts w:cs="Calibri"/>
                <w:szCs w:val="18"/>
              </w:rPr>
            </w:pPr>
            <w:r w:rsidRPr="00B275E2">
              <w:rPr>
                <w:rFonts w:cs="Calibri"/>
                <w:szCs w:val="18"/>
              </w:rPr>
              <w:t>14,800</w:t>
            </w:r>
          </w:p>
        </w:tc>
      </w:tr>
      <w:tr w:rsidR="005F412E" w:rsidRPr="00B275E2" w14:paraId="771B05AB" w14:textId="77777777" w:rsidTr="00736AF4">
        <w:trPr>
          <w:cantSplit/>
        </w:trPr>
        <w:tc>
          <w:tcPr>
            <w:tcW w:w="3002" w:type="dxa"/>
            <w:hideMark/>
          </w:tcPr>
          <w:p w14:paraId="78D949A5" w14:textId="77777777" w:rsidR="005F412E" w:rsidRPr="00B275E2" w:rsidRDefault="005F412E" w:rsidP="005F412E">
            <w:pPr>
              <w:pStyle w:val="TableText"/>
              <w:rPr>
                <w:rFonts w:cs="Calibri"/>
                <w:szCs w:val="18"/>
              </w:rPr>
            </w:pPr>
            <w:r w:rsidRPr="00B275E2">
              <w:rPr>
                <w:rFonts w:cs="Calibri"/>
                <w:szCs w:val="18"/>
              </w:rPr>
              <w:t>R134a</w:t>
            </w:r>
          </w:p>
        </w:tc>
        <w:tc>
          <w:tcPr>
            <w:tcW w:w="626" w:type="dxa"/>
          </w:tcPr>
          <w:p w14:paraId="42EB3FD1" w14:textId="77777777" w:rsidR="005F412E" w:rsidRPr="00B275E2" w:rsidRDefault="005F412E" w:rsidP="005F412E">
            <w:pPr>
              <w:pStyle w:val="TableText"/>
              <w:jc w:val="right"/>
              <w:rPr>
                <w:rFonts w:cs="Calibri"/>
                <w:szCs w:val="18"/>
              </w:rPr>
            </w:pPr>
          </w:p>
        </w:tc>
        <w:tc>
          <w:tcPr>
            <w:tcW w:w="588" w:type="dxa"/>
          </w:tcPr>
          <w:p w14:paraId="55FC1EF3" w14:textId="77777777" w:rsidR="005F412E" w:rsidRPr="00B275E2" w:rsidRDefault="005F412E" w:rsidP="005F412E">
            <w:pPr>
              <w:pStyle w:val="TableText"/>
              <w:jc w:val="right"/>
              <w:rPr>
                <w:rFonts w:cs="Calibri"/>
                <w:szCs w:val="18"/>
              </w:rPr>
            </w:pPr>
          </w:p>
        </w:tc>
        <w:tc>
          <w:tcPr>
            <w:tcW w:w="613" w:type="dxa"/>
          </w:tcPr>
          <w:p w14:paraId="443C2AF1" w14:textId="77777777" w:rsidR="005F412E" w:rsidRPr="00B275E2" w:rsidRDefault="005F412E" w:rsidP="005F412E">
            <w:pPr>
              <w:pStyle w:val="TableText"/>
              <w:jc w:val="right"/>
              <w:rPr>
                <w:rFonts w:cs="Calibri"/>
                <w:szCs w:val="18"/>
              </w:rPr>
            </w:pPr>
          </w:p>
        </w:tc>
        <w:tc>
          <w:tcPr>
            <w:tcW w:w="613" w:type="dxa"/>
            <w:hideMark/>
          </w:tcPr>
          <w:p w14:paraId="53483126" w14:textId="77777777" w:rsidR="005F412E" w:rsidRPr="00B275E2" w:rsidRDefault="005F412E" w:rsidP="005F412E">
            <w:pPr>
              <w:pStyle w:val="TableText"/>
              <w:jc w:val="right"/>
              <w:rPr>
                <w:rFonts w:cs="Calibri"/>
                <w:szCs w:val="18"/>
              </w:rPr>
            </w:pPr>
            <w:r w:rsidRPr="00B275E2">
              <w:rPr>
                <w:rFonts w:cs="Calibri"/>
                <w:szCs w:val="18"/>
              </w:rPr>
              <w:t>100%</w:t>
            </w:r>
          </w:p>
        </w:tc>
        <w:tc>
          <w:tcPr>
            <w:tcW w:w="603" w:type="dxa"/>
          </w:tcPr>
          <w:p w14:paraId="1392513B" w14:textId="77777777" w:rsidR="005F412E" w:rsidRPr="00B275E2" w:rsidRDefault="005F412E" w:rsidP="005F412E">
            <w:pPr>
              <w:pStyle w:val="TableText"/>
              <w:jc w:val="right"/>
              <w:rPr>
                <w:rFonts w:cs="Calibri"/>
                <w:szCs w:val="18"/>
              </w:rPr>
            </w:pPr>
          </w:p>
        </w:tc>
        <w:tc>
          <w:tcPr>
            <w:tcW w:w="592" w:type="dxa"/>
          </w:tcPr>
          <w:p w14:paraId="6F42F06A" w14:textId="77777777" w:rsidR="005F412E" w:rsidRPr="00B275E2" w:rsidRDefault="005F412E" w:rsidP="005F412E">
            <w:pPr>
              <w:pStyle w:val="TableText"/>
              <w:jc w:val="right"/>
              <w:rPr>
                <w:rFonts w:cs="Calibri"/>
                <w:szCs w:val="18"/>
              </w:rPr>
            </w:pPr>
          </w:p>
        </w:tc>
        <w:tc>
          <w:tcPr>
            <w:tcW w:w="603" w:type="dxa"/>
          </w:tcPr>
          <w:p w14:paraId="760E043F" w14:textId="77777777" w:rsidR="005F412E" w:rsidRPr="00B275E2" w:rsidRDefault="005F412E" w:rsidP="005F412E">
            <w:pPr>
              <w:pStyle w:val="TableText"/>
              <w:jc w:val="right"/>
              <w:rPr>
                <w:rFonts w:cs="Calibri"/>
                <w:szCs w:val="18"/>
              </w:rPr>
            </w:pPr>
          </w:p>
        </w:tc>
        <w:tc>
          <w:tcPr>
            <w:tcW w:w="639" w:type="dxa"/>
          </w:tcPr>
          <w:p w14:paraId="12C5DAE7" w14:textId="77777777" w:rsidR="005F412E" w:rsidRPr="00B275E2" w:rsidRDefault="005F412E" w:rsidP="005F412E">
            <w:pPr>
              <w:pStyle w:val="TableText"/>
              <w:jc w:val="right"/>
              <w:rPr>
                <w:rFonts w:cs="Calibri"/>
                <w:szCs w:val="18"/>
              </w:rPr>
            </w:pPr>
          </w:p>
        </w:tc>
        <w:tc>
          <w:tcPr>
            <w:tcW w:w="626" w:type="dxa"/>
            <w:hideMark/>
          </w:tcPr>
          <w:p w14:paraId="4B6B86B1" w14:textId="77777777" w:rsidR="005F412E" w:rsidRPr="00B275E2" w:rsidRDefault="005F412E" w:rsidP="005F412E">
            <w:pPr>
              <w:pStyle w:val="TableText"/>
              <w:jc w:val="right"/>
              <w:rPr>
                <w:rFonts w:cs="Calibri"/>
                <w:szCs w:val="18"/>
              </w:rPr>
            </w:pPr>
            <w:r w:rsidRPr="00B275E2">
              <w:rPr>
                <w:rFonts w:cs="Calibri"/>
                <w:szCs w:val="18"/>
              </w:rPr>
              <w:t>1,430</w:t>
            </w:r>
          </w:p>
        </w:tc>
      </w:tr>
      <w:tr w:rsidR="005F412E" w:rsidRPr="00B275E2" w14:paraId="59B7E1E1" w14:textId="77777777" w:rsidTr="00736AF4">
        <w:trPr>
          <w:cantSplit/>
        </w:trPr>
        <w:tc>
          <w:tcPr>
            <w:tcW w:w="3002" w:type="dxa"/>
            <w:hideMark/>
          </w:tcPr>
          <w:p w14:paraId="62B57B5D" w14:textId="77777777" w:rsidR="005F412E" w:rsidRPr="00B275E2" w:rsidRDefault="005F412E" w:rsidP="005F412E">
            <w:pPr>
              <w:pStyle w:val="TableText"/>
              <w:rPr>
                <w:rFonts w:cs="Calibri"/>
                <w:szCs w:val="18"/>
              </w:rPr>
            </w:pPr>
            <w:r w:rsidRPr="00B275E2">
              <w:rPr>
                <w:rFonts w:cs="Calibri"/>
                <w:szCs w:val="18"/>
              </w:rPr>
              <w:t>R403B: 5% R290, 56% R22, 39% R218</w:t>
            </w:r>
          </w:p>
        </w:tc>
        <w:tc>
          <w:tcPr>
            <w:tcW w:w="626" w:type="dxa"/>
          </w:tcPr>
          <w:p w14:paraId="674A7D91" w14:textId="77777777" w:rsidR="005F412E" w:rsidRPr="00B275E2" w:rsidRDefault="005F412E" w:rsidP="005F412E">
            <w:pPr>
              <w:pStyle w:val="TableText"/>
              <w:jc w:val="right"/>
              <w:rPr>
                <w:rFonts w:cs="Calibri"/>
                <w:szCs w:val="18"/>
              </w:rPr>
            </w:pPr>
          </w:p>
        </w:tc>
        <w:tc>
          <w:tcPr>
            <w:tcW w:w="588" w:type="dxa"/>
          </w:tcPr>
          <w:p w14:paraId="2FC01B43" w14:textId="77777777" w:rsidR="005F412E" w:rsidRPr="00B275E2" w:rsidRDefault="005F412E" w:rsidP="005F412E">
            <w:pPr>
              <w:pStyle w:val="TableText"/>
              <w:jc w:val="right"/>
              <w:rPr>
                <w:rFonts w:cs="Calibri"/>
                <w:szCs w:val="18"/>
              </w:rPr>
            </w:pPr>
          </w:p>
        </w:tc>
        <w:tc>
          <w:tcPr>
            <w:tcW w:w="613" w:type="dxa"/>
          </w:tcPr>
          <w:p w14:paraId="77E2AF48" w14:textId="77777777" w:rsidR="005F412E" w:rsidRPr="00B275E2" w:rsidRDefault="005F412E" w:rsidP="005F412E">
            <w:pPr>
              <w:pStyle w:val="TableText"/>
              <w:jc w:val="right"/>
              <w:rPr>
                <w:rFonts w:cs="Calibri"/>
                <w:szCs w:val="18"/>
              </w:rPr>
            </w:pPr>
          </w:p>
        </w:tc>
        <w:tc>
          <w:tcPr>
            <w:tcW w:w="613" w:type="dxa"/>
          </w:tcPr>
          <w:p w14:paraId="4E6B441B" w14:textId="77777777" w:rsidR="005F412E" w:rsidRPr="00B275E2" w:rsidRDefault="005F412E" w:rsidP="005F412E">
            <w:pPr>
              <w:pStyle w:val="TableText"/>
              <w:jc w:val="right"/>
              <w:rPr>
                <w:rFonts w:cs="Calibri"/>
                <w:szCs w:val="18"/>
              </w:rPr>
            </w:pPr>
          </w:p>
        </w:tc>
        <w:tc>
          <w:tcPr>
            <w:tcW w:w="603" w:type="dxa"/>
          </w:tcPr>
          <w:p w14:paraId="0420AFD5" w14:textId="77777777" w:rsidR="005F412E" w:rsidRPr="00B275E2" w:rsidRDefault="005F412E" w:rsidP="005F412E">
            <w:pPr>
              <w:pStyle w:val="TableText"/>
              <w:jc w:val="right"/>
              <w:rPr>
                <w:rFonts w:cs="Calibri"/>
                <w:szCs w:val="18"/>
              </w:rPr>
            </w:pPr>
          </w:p>
        </w:tc>
        <w:tc>
          <w:tcPr>
            <w:tcW w:w="592" w:type="dxa"/>
          </w:tcPr>
          <w:p w14:paraId="750620B1" w14:textId="77777777" w:rsidR="005F412E" w:rsidRPr="00B275E2" w:rsidRDefault="005F412E" w:rsidP="005F412E">
            <w:pPr>
              <w:pStyle w:val="TableText"/>
              <w:jc w:val="right"/>
              <w:rPr>
                <w:rFonts w:cs="Calibri"/>
                <w:szCs w:val="18"/>
              </w:rPr>
            </w:pPr>
          </w:p>
        </w:tc>
        <w:tc>
          <w:tcPr>
            <w:tcW w:w="603" w:type="dxa"/>
            <w:hideMark/>
          </w:tcPr>
          <w:p w14:paraId="07212DDA" w14:textId="77777777" w:rsidR="005F412E" w:rsidRPr="00B275E2" w:rsidRDefault="005F412E" w:rsidP="005F412E">
            <w:pPr>
              <w:pStyle w:val="TableText"/>
              <w:jc w:val="right"/>
              <w:rPr>
                <w:rFonts w:cs="Calibri"/>
                <w:szCs w:val="18"/>
              </w:rPr>
            </w:pPr>
            <w:r w:rsidRPr="00B275E2">
              <w:rPr>
                <w:rFonts w:cs="Calibri"/>
                <w:szCs w:val="18"/>
              </w:rPr>
              <w:t>39%</w:t>
            </w:r>
          </w:p>
        </w:tc>
        <w:tc>
          <w:tcPr>
            <w:tcW w:w="639" w:type="dxa"/>
            <w:hideMark/>
          </w:tcPr>
          <w:p w14:paraId="1EE8A7F0" w14:textId="77777777" w:rsidR="005F412E" w:rsidRPr="00B275E2" w:rsidRDefault="005F412E" w:rsidP="005F412E">
            <w:pPr>
              <w:pStyle w:val="TableText"/>
              <w:jc w:val="right"/>
              <w:rPr>
                <w:rFonts w:cs="Calibri"/>
                <w:szCs w:val="18"/>
              </w:rPr>
            </w:pPr>
            <w:r w:rsidRPr="00B275E2">
              <w:rPr>
                <w:rFonts w:cs="Calibri"/>
                <w:szCs w:val="18"/>
              </w:rPr>
              <w:t>61%</w:t>
            </w:r>
          </w:p>
        </w:tc>
        <w:tc>
          <w:tcPr>
            <w:tcW w:w="626" w:type="dxa"/>
            <w:hideMark/>
          </w:tcPr>
          <w:p w14:paraId="5E7F6E50" w14:textId="77777777" w:rsidR="005F412E" w:rsidRPr="00B275E2" w:rsidRDefault="005F412E" w:rsidP="005F412E">
            <w:pPr>
              <w:pStyle w:val="TableText"/>
              <w:jc w:val="right"/>
              <w:rPr>
                <w:rFonts w:cs="Calibri"/>
                <w:szCs w:val="18"/>
              </w:rPr>
            </w:pPr>
            <w:r w:rsidRPr="00B275E2">
              <w:rPr>
                <w:rFonts w:cs="Calibri"/>
                <w:szCs w:val="18"/>
              </w:rPr>
              <w:t>3,444</w:t>
            </w:r>
          </w:p>
        </w:tc>
      </w:tr>
      <w:tr w:rsidR="005F412E" w:rsidRPr="00B275E2" w14:paraId="5BF1B184" w14:textId="77777777" w:rsidTr="00736AF4">
        <w:trPr>
          <w:cantSplit/>
        </w:trPr>
        <w:tc>
          <w:tcPr>
            <w:tcW w:w="3002" w:type="dxa"/>
            <w:hideMark/>
          </w:tcPr>
          <w:p w14:paraId="7E616760" w14:textId="77777777" w:rsidR="005F412E" w:rsidRPr="00B275E2" w:rsidRDefault="005F412E" w:rsidP="005F412E">
            <w:pPr>
              <w:pStyle w:val="TableText"/>
              <w:rPr>
                <w:rFonts w:cs="Calibri"/>
                <w:szCs w:val="18"/>
              </w:rPr>
            </w:pPr>
            <w:r w:rsidRPr="00B275E2">
              <w:rPr>
                <w:rFonts w:cs="Calibri"/>
                <w:szCs w:val="18"/>
              </w:rPr>
              <w:t>R404A: 44% R125, 52% R143a, 4% R134a</w:t>
            </w:r>
          </w:p>
        </w:tc>
        <w:tc>
          <w:tcPr>
            <w:tcW w:w="626" w:type="dxa"/>
          </w:tcPr>
          <w:p w14:paraId="79C7CAA1" w14:textId="77777777" w:rsidR="005F412E" w:rsidRPr="00B275E2" w:rsidRDefault="005F412E" w:rsidP="005F412E">
            <w:pPr>
              <w:pStyle w:val="TableText"/>
              <w:jc w:val="right"/>
              <w:rPr>
                <w:rFonts w:cs="Calibri"/>
                <w:szCs w:val="18"/>
              </w:rPr>
            </w:pPr>
          </w:p>
        </w:tc>
        <w:tc>
          <w:tcPr>
            <w:tcW w:w="588" w:type="dxa"/>
          </w:tcPr>
          <w:p w14:paraId="00B56CF7" w14:textId="77777777" w:rsidR="005F412E" w:rsidRPr="00B275E2" w:rsidRDefault="005F412E" w:rsidP="005F412E">
            <w:pPr>
              <w:pStyle w:val="TableText"/>
              <w:jc w:val="right"/>
              <w:rPr>
                <w:rFonts w:cs="Calibri"/>
                <w:szCs w:val="18"/>
              </w:rPr>
            </w:pPr>
          </w:p>
        </w:tc>
        <w:tc>
          <w:tcPr>
            <w:tcW w:w="613" w:type="dxa"/>
            <w:hideMark/>
          </w:tcPr>
          <w:p w14:paraId="4B21F78D" w14:textId="77777777" w:rsidR="005F412E" w:rsidRPr="00B275E2" w:rsidRDefault="005F412E" w:rsidP="005F412E">
            <w:pPr>
              <w:pStyle w:val="TableText"/>
              <w:jc w:val="right"/>
              <w:rPr>
                <w:rFonts w:cs="Calibri"/>
                <w:szCs w:val="18"/>
              </w:rPr>
            </w:pPr>
            <w:r w:rsidRPr="00B275E2">
              <w:rPr>
                <w:rFonts w:cs="Calibri"/>
                <w:szCs w:val="18"/>
              </w:rPr>
              <w:t>44%</w:t>
            </w:r>
          </w:p>
        </w:tc>
        <w:tc>
          <w:tcPr>
            <w:tcW w:w="613" w:type="dxa"/>
            <w:hideMark/>
          </w:tcPr>
          <w:p w14:paraId="7122C26C" w14:textId="77777777" w:rsidR="005F412E" w:rsidRPr="00B275E2" w:rsidRDefault="005F412E" w:rsidP="005F412E">
            <w:pPr>
              <w:pStyle w:val="TableText"/>
              <w:jc w:val="right"/>
              <w:rPr>
                <w:rFonts w:cs="Calibri"/>
                <w:szCs w:val="18"/>
              </w:rPr>
            </w:pPr>
            <w:r w:rsidRPr="00B275E2">
              <w:rPr>
                <w:rFonts w:cs="Calibri"/>
                <w:szCs w:val="18"/>
              </w:rPr>
              <w:t>4%</w:t>
            </w:r>
          </w:p>
        </w:tc>
        <w:tc>
          <w:tcPr>
            <w:tcW w:w="603" w:type="dxa"/>
            <w:hideMark/>
          </w:tcPr>
          <w:p w14:paraId="5D89AB9C" w14:textId="77777777" w:rsidR="005F412E" w:rsidRPr="00B275E2" w:rsidRDefault="005F412E" w:rsidP="005F412E">
            <w:pPr>
              <w:pStyle w:val="TableText"/>
              <w:jc w:val="right"/>
              <w:rPr>
                <w:rFonts w:cs="Calibri"/>
                <w:szCs w:val="18"/>
              </w:rPr>
            </w:pPr>
            <w:r w:rsidRPr="00B275E2">
              <w:rPr>
                <w:rFonts w:cs="Calibri"/>
                <w:szCs w:val="18"/>
              </w:rPr>
              <w:t>52%</w:t>
            </w:r>
          </w:p>
        </w:tc>
        <w:tc>
          <w:tcPr>
            <w:tcW w:w="592" w:type="dxa"/>
          </w:tcPr>
          <w:p w14:paraId="05895B9D" w14:textId="77777777" w:rsidR="005F412E" w:rsidRPr="00B275E2" w:rsidRDefault="005F412E" w:rsidP="005F412E">
            <w:pPr>
              <w:pStyle w:val="TableText"/>
              <w:jc w:val="right"/>
              <w:rPr>
                <w:rFonts w:cs="Calibri"/>
                <w:szCs w:val="18"/>
              </w:rPr>
            </w:pPr>
          </w:p>
        </w:tc>
        <w:tc>
          <w:tcPr>
            <w:tcW w:w="603" w:type="dxa"/>
          </w:tcPr>
          <w:p w14:paraId="018C44A5" w14:textId="77777777" w:rsidR="005F412E" w:rsidRPr="00B275E2" w:rsidRDefault="005F412E" w:rsidP="005F412E">
            <w:pPr>
              <w:pStyle w:val="TableText"/>
              <w:jc w:val="right"/>
              <w:rPr>
                <w:rFonts w:cs="Calibri"/>
                <w:szCs w:val="18"/>
              </w:rPr>
            </w:pPr>
          </w:p>
        </w:tc>
        <w:tc>
          <w:tcPr>
            <w:tcW w:w="639" w:type="dxa"/>
          </w:tcPr>
          <w:p w14:paraId="7D3220AA" w14:textId="77777777" w:rsidR="005F412E" w:rsidRPr="00B275E2" w:rsidRDefault="005F412E" w:rsidP="005F412E">
            <w:pPr>
              <w:pStyle w:val="TableText"/>
              <w:jc w:val="right"/>
              <w:rPr>
                <w:rFonts w:cs="Calibri"/>
                <w:szCs w:val="18"/>
              </w:rPr>
            </w:pPr>
          </w:p>
        </w:tc>
        <w:tc>
          <w:tcPr>
            <w:tcW w:w="626" w:type="dxa"/>
            <w:hideMark/>
          </w:tcPr>
          <w:p w14:paraId="071C18D7" w14:textId="77777777" w:rsidR="005F412E" w:rsidRPr="00B275E2" w:rsidRDefault="005F412E" w:rsidP="005F412E">
            <w:pPr>
              <w:pStyle w:val="TableText"/>
              <w:jc w:val="right"/>
              <w:rPr>
                <w:rFonts w:cs="Calibri"/>
                <w:szCs w:val="18"/>
              </w:rPr>
            </w:pPr>
            <w:r w:rsidRPr="00B275E2">
              <w:rPr>
                <w:rFonts w:cs="Calibri"/>
                <w:szCs w:val="18"/>
              </w:rPr>
              <w:t>3,922</w:t>
            </w:r>
          </w:p>
        </w:tc>
      </w:tr>
      <w:tr w:rsidR="005F412E" w:rsidRPr="00B275E2" w14:paraId="240C2510" w14:textId="77777777" w:rsidTr="00736AF4">
        <w:trPr>
          <w:cantSplit/>
        </w:trPr>
        <w:tc>
          <w:tcPr>
            <w:tcW w:w="3002" w:type="dxa"/>
            <w:hideMark/>
          </w:tcPr>
          <w:p w14:paraId="623404BF" w14:textId="77777777" w:rsidR="005F412E" w:rsidRPr="00B275E2" w:rsidRDefault="005F412E" w:rsidP="005F412E">
            <w:pPr>
              <w:pStyle w:val="TableText"/>
              <w:rPr>
                <w:rFonts w:cs="Calibri"/>
                <w:szCs w:val="18"/>
              </w:rPr>
            </w:pPr>
            <w:r w:rsidRPr="00B275E2">
              <w:rPr>
                <w:rFonts w:cs="Calibri"/>
                <w:szCs w:val="18"/>
              </w:rPr>
              <w:t>R407C: 23% R32, 25% R125, 52% R134a</w:t>
            </w:r>
          </w:p>
        </w:tc>
        <w:tc>
          <w:tcPr>
            <w:tcW w:w="626" w:type="dxa"/>
          </w:tcPr>
          <w:p w14:paraId="00A6ED88" w14:textId="77777777" w:rsidR="005F412E" w:rsidRPr="00B275E2" w:rsidRDefault="005F412E" w:rsidP="005F412E">
            <w:pPr>
              <w:pStyle w:val="TableText"/>
              <w:jc w:val="right"/>
              <w:rPr>
                <w:rFonts w:cs="Calibri"/>
                <w:szCs w:val="18"/>
              </w:rPr>
            </w:pPr>
          </w:p>
        </w:tc>
        <w:tc>
          <w:tcPr>
            <w:tcW w:w="588" w:type="dxa"/>
            <w:hideMark/>
          </w:tcPr>
          <w:p w14:paraId="1EF31B3A" w14:textId="77777777" w:rsidR="005F412E" w:rsidRPr="00B275E2" w:rsidRDefault="005F412E" w:rsidP="005F412E">
            <w:pPr>
              <w:pStyle w:val="TableText"/>
              <w:jc w:val="right"/>
              <w:rPr>
                <w:rFonts w:cs="Calibri"/>
                <w:szCs w:val="18"/>
              </w:rPr>
            </w:pPr>
            <w:r w:rsidRPr="00B275E2">
              <w:rPr>
                <w:rFonts w:cs="Calibri"/>
                <w:szCs w:val="18"/>
              </w:rPr>
              <w:t>23%</w:t>
            </w:r>
          </w:p>
        </w:tc>
        <w:tc>
          <w:tcPr>
            <w:tcW w:w="613" w:type="dxa"/>
            <w:hideMark/>
          </w:tcPr>
          <w:p w14:paraId="6F6848F9" w14:textId="77777777" w:rsidR="005F412E" w:rsidRPr="00B275E2" w:rsidRDefault="005F412E" w:rsidP="005F412E">
            <w:pPr>
              <w:pStyle w:val="TableText"/>
              <w:jc w:val="right"/>
              <w:rPr>
                <w:rFonts w:cs="Calibri"/>
                <w:szCs w:val="18"/>
              </w:rPr>
            </w:pPr>
            <w:r w:rsidRPr="00B275E2">
              <w:rPr>
                <w:rFonts w:cs="Calibri"/>
                <w:szCs w:val="18"/>
              </w:rPr>
              <w:t>25%</w:t>
            </w:r>
          </w:p>
        </w:tc>
        <w:tc>
          <w:tcPr>
            <w:tcW w:w="613" w:type="dxa"/>
            <w:hideMark/>
          </w:tcPr>
          <w:p w14:paraId="0EC47A0D" w14:textId="77777777" w:rsidR="005F412E" w:rsidRPr="00B275E2" w:rsidRDefault="005F412E" w:rsidP="005F412E">
            <w:pPr>
              <w:pStyle w:val="TableText"/>
              <w:jc w:val="right"/>
              <w:rPr>
                <w:rFonts w:cs="Calibri"/>
                <w:szCs w:val="18"/>
              </w:rPr>
            </w:pPr>
            <w:r w:rsidRPr="00B275E2">
              <w:rPr>
                <w:rFonts w:cs="Calibri"/>
                <w:szCs w:val="18"/>
              </w:rPr>
              <w:t>52%</w:t>
            </w:r>
          </w:p>
        </w:tc>
        <w:tc>
          <w:tcPr>
            <w:tcW w:w="603" w:type="dxa"/>
          </w:tcPr>
          <w:p w14:paraId="228AEAB7" w14:textId="77777777" w:rsidR="005F412E" w:rsidRPr="00B275E2" w:rsidRDefault="005F412E" w:rsidP="005F412E">
            <w:pPr>
              <w:pStyle w:val="TableText"/>
              <w:jc w:val="right"/>
              <w:rPr>
                <w:rFonts w:cs="Calibri"/>
                <w:szCs w:val="18"/>
              </w:rPr>
            </w:pPr>
          </w:p>
        </w:tc>
        <w:tc>
          <w:tcPr>
            <w:tcW w:w="592" w:type="dxa"/>
          </w:tcPr>
          <w:p w14:paraId="465B257A" w14:textId="77777777" w:rsidR="005F412E" w:rsidRPr="00B275E2" w:rsidRDefault="005F412E" w:rsidP="005F412E">
            <w:pPr>
              <w:pStyle w:val="TableText"/>
              <w:jc w:val="right"/>
              <w:rPr>
                <w:rFonts w:cs="Calibri"/>
                <w:szCs w:val="18"/>
              </w:rPr>
            </w:pPr>
          </w:p>
        </w:tc>
        <w:tc>
          <w:tcPr>
            <w:tcW w:w="603" w:type="dxa"/>
          </w:tcPr>
          <w:p w14:paraId="31B99F99" w14:textId="77777777" w:rsidR="005F412E" w:rsidRPr="00B275E2" w:rsidRDefault="005F412E" w:rsidP="005F412E">
            <w:pPr>
              <w:pStyle w:val="TableText"/>
              <w:jc w:val="right"/>
              <w:rPr>
                <w:rFonts w:cs="Calibri"/>
                <w:szCs w:val="18"/>
              </w:rPr>
            </w:pPr>
          </w:p>
        </w:tc>
        <w:tc>
          <w:tcPr>
            <w:tcW w:w="639" w:type="dxa"/>
          </w:tcPr>
          <w:p w14:paraId="392C8819" w14:textId="77777777" w:rsidR="005F412E" w:rsidRPr="00B275E2" w:rsidRDefault="005F412E" w:rsidP="005F412E">
            <w:pPr>
              <w:pStyle w:val="TableText"/>
              <w:jc w:val="right"/>
              <w:rPr>
                <w:rFonts w:cs="Calibri"/>
                <w:szCs w:val="18"/>
              </w:rPr>
            </w:pPr>
          </w:p>
        </w:tc>
        <w:tc>
          <w:tcPr>
            <w:tcW w:w="626" w:type="dxa"/>
            <w:hideMark/>
          </w:tcPr>
          <w:p w14:paraId="7C6E06E9" w14:textId="77777777" w:rsidR="005F412E" w:rsidRPr="00B275E2" w:rsidRDefault="005F412E" w:rsidP="005F412E">
            <w:pPr>
              <w:pStyle w:val="TableText"/>
              <w:jc w:val="right"/>
              <w:rPr>
                <w:rFonts w:cs="Calibri"/>
                <w:szCs w:val="18"/>
              </w:rPr>
            </w:pPr>
            <w:r w:rsidRPr="00B275E2">
              <w:rPr>
                <w:rFonts w:cs="Calibri"/>
                <w:szCs w:val="18"/>
              </w:rPr>
              <w:t>1,774</w:t>
            </w:r>
          </w:p>
        </w:tc>
      </w:tr>
      <w:tr w:rsidR="005F412E" w:rsidRPr="00B275E2" w14:paraId="4476F274" w14:textId="77777777" w:rsidTr="00736AF4">
        <w:trPr>
          <w:cantSplit/>
        </w:trPr>
        <w:tc>
          <w:tcPr>
            <w:tcW w:w="3002" w:type="dxa"/>
            <w:hideMark/>
          </w:tcPr>
          <w:p w14:paraId="00F69994" w14:textId="77777777" w:rsidR="005F412E" w:rsidRPr="00B275E2" w:rsidRDefault="005F412E" w:rsidP="005F412E">
            <w:pPr>
              <w:pStyle w:val="TableText"/>
              <w:rPr>
                <w:rFonts w:cs="Calibri"/>
                <w:szCs w:val="18"/>
              </w:rPr>
            </w:pPr>
            <w:r w:rsidRPr="00B275E2">
              <w:rPr>
                <w:rFonts w:cs="Calibri"/>
                <w:szCs w:val="18"/>
              </w:rPr>
              <w:t>R408A: 7% R125, 46% 143a, 47% R22</w:t>
            </w:r>
          </w:p>
        </w:tc>
        <w:tc>
          <w:tcPr>
            <w:tcW w:w="626" w:type="dxa"/>
          </w:tcPr>
          <w:p w14:paraId="0F6E702D" w14:textId="77777777" w:rsidR="005F412E" w:rsidRPr="00B275E2" w:rsidRDefault="005F412E" w:rsidP="005F412E">
            <w:pPr>
              <w:pStyle w:val="TableText"/>
              <w:jc w:val="right"/>
              <w:rPr>
                <w:rFonts w:cs="Calibri"/>
                <w:szCs w:val="18"/>
              </w:rPr>
            </w:pPr>
          </w:p>
        </w:tc>
        <w:tc>
          <w:tcPr>
            <w:tcW w:w="588" w:type="dxa"/>
          </w:tcPr>
          <w:p w14:paraId="1AD224AD" w14:textId="77777777" w:rsidR="005F412E" w:rsidRPr="00B275E2" w:rsidRDefault="005F412E" w:rsidP="005F412E">
            <w:pPr>
              <w:pStyle w:val="TableText"/>
              <w:jc w:val="right"/>
              <w:rPr>
                <w:rFonts w:cs="Calibri"/>
                <w:szCs w:val="18"/>
              </w:rPr>
            </w:pPr>
          </w:p>
        </w:tc>
        <w:tc>
          <w:tcPr>
            <w:tcW w:w="613" w:type="dxa"/>
            <w:hideMark/>
          </w:tcPr>
          <w:p w14:paraId="0AD5B3EA" w14:textId="77777777" w:rsidR="005F412E" w:rsidRPr="00B275E2" w:rsidRDefault="005F412E" w:rsidP="005F412E">
            <w:pPr>
              <w:pStyle w:val="TableText"/>
              <w:jc w:val="right"/>
              <w:rPr>
                <w:rFonts w:cs="Calibri"/>
                <w:szCs w:val="18"/>
              </w:rPr>
            </w:pPr>
            <w:r w:rsidRPr="00B275E2">
              <w:rPr>
                <w:rFonts w:cs="Calibri"/>
                <w:szCs w:val="18"/>
              </w:rPr>
              <w:t>7%</w:t>
            </w:r>
          </w:p>
        </w:tc>
        <w:tc>
          <w:tcPr>
            <w:tcW w:w="613" w:type="dxa"/>
          </w:tcPr>
          <w:p w14:paraId="4363D689" w14:textId="77777777" w:rsidR="005F412E" w:rsidRPr="00B275E2" w:rsidRDefault="005F412E" w:rsidP="005F412E">
            <w:pPr>
              <w:pStyle w:val="TableText"/>
              <w:jc w:val="right"/>
              <w:rPr>
                <w:rFonts w:cs="Calibri"/>
                <w:szCs w:val="18"/>
              </w:rPr>
            </w:pPr>
          </w:p>
        </w:tc>
        <w:tc>
          <w:tcPr>
            <w:tcW w:w="603" w:type="dxa"/>
            <w:hideMark/>
          </w:tcPr>
          <w:p w14:paraId="682A22A4" w14:textId="77777777" w:rsidR="005F412E" w:rsidRPr="00B275E2" w:rsidRDefault="005F412E" w:rsidP="005F412E">
            <w:pPr>
              <w:pStyle w:val="TableText"/>
              <w:jc w:val="right"/>
              <w:rPr>
                <w:rFonts w:cs="Calibri"/>
                <w:szCs w:val="18"/>
              </w:rPr>
            </w:pPr>
            <w:r w:rsidRPr="00B275E2">
              <w:rPr>
                <w:rFonts w:cs="Calibri"/>
                <w:szCs w:val="18"/>
              </w:rPr>
              <w:t>46%</w:t>
            </w:r>
          </w:p>
        </w:tc>
        <w:tc>
          <w:tcPr>
            <w:tcW w:w="592" w:type="dxa"/>
          </w:tcPr>
          <w:p w14:paraId="337FE012" w14:textId="77777777" w:rsidR="005F412E" w:rsidRPr="00B275E2" w:rsidRDefault="005F412E" w:rsidP="005F412E">
            <w:pPr>
              <w:pStyle w:val="TableText"/>
              <w:jc w:val="right"/>
              <w:rPr>
                <w:rFonts w:cs="Calibri"/>
                <w:szCs w:val="18"/>
              </w:rPr>
            </w:pPr>
          </w:p>
        </w:tc>
        <w:tc>
          <w:tcPr>
            <w:tcW w:w="603" w:type="dxa"/>
          </w:tcPr>
          <w:p w14:paraId="4BC3DAFF" w14:textId="77777777" w:rsidR="005F412E" w:rsidRPr="00B275E2" w:rsidRDefault="005F412E" w:rsidP="005F412E">
            <w:pPr>
              <w:pStyle w:val="TableText"/>
              <w:jc w:val="right"/>
              <w:rPr>
                <w:rFonts w:cs="Calibri"/>
                <w:szCs w:val="18"/>
              </w:rPr>
            </w:pPr>
          </w:p>
        </w:tc>
        <w:tc>
          <w:tcPr>
            <w:tcW w:w="639" w:type="dxa"/>
            <w:hideMark/>
          </w:tcPr>
          <w:p w14:paraId="33B534EA" w14:textId="77777777" w:rsidR="005F412E" w:rsidRPr="00B275E2" w:rsidRDefault="005F412E" w:rsidP="005F412E">
            <w:pPr>
              <w:pStyle w:val="TableText"/>
              <w:jc w:val="right"/>
              <w:rPr>
                <w:rFonts w:cs="Calibri"/>
                <w:szCs w:val="18"/>
              </w:rPr>
            </w:pPr>
            <w:r w:rsidRPr="00B275E2">
              <w:rPr>
                <w:rFonts w:cs="Calibri"/>
                <w:szCs w:val="18"/>
              </w:rPr>
              <w:t>47%</w:t>
            </w:r>
          </w:p>
        </w:tc>
        <w:tc>
          <w:tcPr>
            <w:tcW w:w="626" w:type="dxa"/>
            <w:hideMark/>
          </w:tcPr>
          <w:p w14:paraId="49BBCB66" w14:textId="77777777" w:rsidR="005F412E" w:rsidRPr="00B275E2" w:rsidRDefault="005F412E" w:rsidP="005F412E">
            <w:pPr>
              <w:pStyle w:val="TableText"/>
              <w:jc w:val="right"/>
              <w:rPr>
                <w:rFonts w:cs="Calibri"/>
                <w:szCs w:val="18"/>
              </w:rPr>
            </w:pPr>
            <w:r w:rsidRPr="00B275E2">
              <w:rPr>
                <w:rFonts w:cs="Calibri"/>
                <w:szCs w:val="18"/>
              </w:rPr>
              <w:t>2,301</w:t>
            </w:r>
          </w:p>
        </w:tc>
      </w:tr>
      <w:tr w:rsidR="005F412E" w:rsidRPr="00B275E2" w14:paraId="43CF9B91" w14:textId="77777777" w:rsidTr="00736AF4">
        <w:trPr>
          <w:cantSplit/>
        </w:trPr>
        <w:tc>
          <w:tcPr>
            <w:tcW w:w="3002" w:type="dxa"/>
            <w:hideMark/>
          </w:tcPr>
          <w:p w14:paraId="22402349" w14:textId="77777777" w:rsidR="005F412E" w:rsidRPr="00B275E2" w:rsidRDefault="005F412E" w:rsidP="005F412E">
            <w:pPr>
              <w:pStyle w:val="TableText"/>
              <w:rPr>
                <w:rFonts w:cs="Calibri"/>
                <w:szCs w:val="18"/>
              </w:rPr>
            </w:pPr>
            <w:r w:rsidRPr="00B275E2">
              <w:rPr>
                <w:rFonts w:cs="Calibri"/>
                <w:szCs w:val="18"/>
              </w:rPr>
              <w:lastRenderedPageBreak/>
              <w:t>R410A: 50% R32, 50% R125</w:t>
            </w:r>
          </w:p>
        </w:tc>
        <w:tc>
          <w:tcPr>
            <w:tcW w:w="626" w:type="dxa"/>
          </w:tcPr>
          <w:p w14:paraId="11966484" w14:textId="77777777" w:rsidR="005F412E" w:rsidRPr="00B275E2" w:rsidRDefault="005F412E" w:rsidP="005F412E">
            <w:pPr>
              <w:pStyle w:val="TableText"/>
              <w:jc w:val="right"/>
              <w:rPr>
                <w:rFonts w:cs="Calibri"/>
                <w:szCs w:val="18"/>
              </w:rPr>
            </w:pPr>
          </w:p>
        </w:tc>
        <w:tc>
          <w:tcPr>
            <w:tcW w:w="588" w:type="dxa"/>
            <w:hideMark/>
          </w:tcPr>
          <w:p w14:paraId="519AC9E2" w14:textId="77777777" w:rsidR="005F412E" w:rsidRPr="00B275E2" w:rsidRDefault="005F412E" w:rsidP="005F412E">
            <w:pPr>
              <w:pStyle w:val="TableText"/>
              <w:jc w:val="right"/>
              <w:rPr>
                <w:rFonts w:cs="Calibri"/>
                <w:szCs w:val="18"/>
              </w:rPr>
            </w:pPr>
            <w:r w:rsidRPr="00B275E2">
              <w:rPr>
                <w:rFonts w:cs="Calibri"/>
                <w:szCs w:val="18"/>
              </w:rPr>
              <w:t>50%</w:t>
            </w:r>
          </w:p>
        </w:tc>
        <w:tc>
          <w:tcPr>
            <w:tcW w:w="613" w:type="dxa"/>
            <w:hideMark/>
          </w:tcPr>
          <w:p w14:paraId="3A3FCA34" w14:textId="77777777" w:rsidR="005F412E" w:rsidRPr="00B275E2" w:rsidRDefault="005F412E" w:rsidP="005F412E">
            <w:pPr>
              <w:pStyle w:val="TableText"/>
              <w:jc w:val="right"/>
              <w:rPr>
                <w:rFonts w:cs="Calibri"/>
                <w:szCs w:val="18"/>
              </w:rPr>
            </w:pPr>
            <w:r w:rsidRPr="00B275E2">
              <w:rPr>
                <w:rFonts w:cs="Calibri"/>
                <w:szCs w:val="18"/>
              </w:rPr>
              <w:t>50%</w:t>
            </w:r>
          </w:p>
        </w:tc>
        <w:tc>
          <w:tcPr>
            <w:tcW w:w="613" w:type="dxa"/>
          </w:tcPr>
          <w:p w14:paraId="3C3D0455" w14:textId="77777777" w:rsidR="005F412E" w:rsidRPr="00B275E2" w:rsidRDefault="005F412E" w:rsidP="005F412E">
            <w:pPr>
              <w:pStyle w:val="TableText"/>
              <w:jc w:val="right"/>
              <w:rPr>
                <w:rFonts w:cs="Calibri"/>
                <w:szCs w:val="18"/>
              </w:rPr>
            </w:pPr>
          </w:p>
        </w:tc>
        <w:tc>
          <w:tcPr>
            <w:tcW w:w="603" w:type="dxa"/>
          </w:tcPr>
          <w:p w14:paraId="0BDC09BF" w14:textId="77777777" w:rsidR="005F412E" w:rsidRPr="00B275E2" w:rsidRDefault="005F412E" w:rsidP="005F412E">
            <w:pPr>
              <w:pStyle w:val="TableText"/>
              <w:jc w:val="right"/>
              <w:rPr>
                <w:rFonts w:cs="Calibri"/>
                <w:szCs w:val="18"/>
              </w:rPr>
            </w:pPr>
          </w:p>
        </w:tc>
        <w:tc>
          <w:tcPr>
            <w:tcW w:w="592" w:type="dxa"/>
          </w:tcPr>
          <w:p w14:paraId="136EA833" w14:textId="77777777" w:rsidR="005F412E" w:rsidRPr="00B275E2" w:rsidRDefault="005F412E" w:rsidP="005F412E">
            <w:pPr>
              <w:pStyle w:val="TableText"/>
              <w:jc w:val="right"/>
              <w:rPr>
                <w:rFonts w:cs="Calibri"/>
                <w:szCs w:val="18"/>
              </w:rPr>
            </w:pPr>
          </w:p>
        </w:tc>
        <w:tc>
          <w:tcPr>
            <w:tcW w:w="603" w:type="dxa"/>
          </w:tcPr>
          <w:p w14:paraId="17376EC4" w14:textId="77777777" w:rsidR="005F412E" w:rsidRPr="00B275E2" w:rsidRDefault="005F412E" w:rsidP="005F412E">
            <w:pPr>
              <w:pStyle w:val="TableText"/>
              <w:jc w:val="right"/>
              <w:rPr>
                <w:rFonts w:cs="Calibri"/>
                <w:szCs w:val="18"/>
              </w:rPr>
            </w:pPr>
          </w:p>
        </w:tc>
        <w:tc>
          <w:tcPr>
            <w:tcW w:w="639" w:type="dxa"/>
          </w:tcPr>
          <w:p w14:paraId="44A11E8F" w14:textId="77777777" w:rsidR="005F412E" w:rsidRPr="00B275E2" w:rsidRDefault="005F412E" w:rsidP="005F412E">
            <w:pPr>
              <w:pStyle w:val="TableText"/>
              <w:jc w:val="right"/>
              <w:rPr>
                <w:rFonts w:cs="Calibri"/>
                <w:szCs w:val="18"/>
              </w:rPr>
            </w:pPr>
          </w:p>
        </w:tc>
        <w:tc>
          <w:tcPr>
            <w:tcW w:w="626" w:type="dxa"/>
            <w:hideMark/>
          </w:tcPr>
          <w:p w14:paraId="741E271E" w14:textId="77777777" w:rsidR="005F412E" w:rsidRPr="00B275E2" w:rsidRDefault="005F412E" w:rsidP="005F412E">
            <w:pPr>
              <w:pStyle w:val="TableText"/>
              <w:jc w:val="right"/>
              <w:rPr>
                <w:rFonts w:cs="Calibri"/>
                <w:szCs w:val="18"/>
              </w:rPr>
            </w:pPr>
            <w:r w:rsidRPr="00B275E2">
              <w:rPr>
                <w:rFonts w:cs="Calibri"/>
                <w:szCs w:val="18"/>
              </w:rPr>
              <w:t>2,088</w:t>
            </w:r>
          </w:p>
        </w:tc>
      </w:tr>
      <w:tr w:rsidR="005F412E" w:rsidRPr="00B275E2" w14:paraId="24DBF091" w14:textId="77777777" w:rsidTr="00736AF4">
        <w:trPr>
          <w:cantSplit/>
        </w:trPr>
        <w:tc>
          <w:tcPr>
            <w:tcW w:w="3002" w:type="dxa"/>
            <w:hideMark/>
          </w:tcPr>
          <w:p w14:paraId="0E8FD249" w14:textId="77777777" w:rsidR="005F412E" w:rsidRPr="00B275E2" w:rsidRDefault="005F412E" w:rsidP="005F412E">
            <w:pPr>
              <w:pStyle w:val="TableText"/>
              <w:rPr>
                <w:rFonts w:cs="Calibri"/>
                <w:szCs w:val="18"/>
              </w:rPr>
            </w:pPr>
            <w:r w:rsidRPr="00B275E2">
              <w:rPr>
                <w:rFonts w:cs="Calibri"/>
                <w:szCs w:val="18"/>
              </w:rPr>
              <w:t>R413A: 9% R218, 88% R134a, 3% R600a</w:t>
            </w:r>
          </w:p>
        </w:tc>
        <w:tc>
          <w:tcPr>
            <w:tcW w:w="626" w:type="dxa"/>
          </w:tcPr>
          <w:p w14:paraId="3E82EE5F" w14:textId="77777777" w:rsidR="005F412E" w:rsidRPr="00B275E2" w:rsidRDefault="005F412E" w:rsidP="005F412E">
            <w:pPr>
              <w:pStyle w:val="TableText"/>
              <w:jc w:val="right"/>
              <w:rPr>
                <w:rFonts w:cs="Calibri"/>
                <w:szCs w:val="18"/>
              </w:rPr>
            </w:pPr>
          </w:p>
        </w:tc>
        <w:tc>
          <w:tcPr>
            <w:tcW w:w="588" w:type="dxa"/>
          </w:tcPr>
          <w:p w14:paraId="3FFF80AA" w14:textId="77777777" w:rsidR="005F412E" w:rsidRPr="00B275E2" w:rsidRDefault="005F412E" w:rsidP="005F412E">
            <w:pPr>
              <w:pStyle w:val="TableText"/>
              <w:jc w:val="right"/>
              <w:rPr>
                <w:rFonts w:cs="Calibri"/>
                <w:szCs w:val="18"/>
              </w:rPr>
            </w:pPr>
          </w:p>
        </w:tc>
        <w:tc>
          <w:tcPr>
            <w:tcW w:w="613" w:type="dxa"/>
          </w:tcPr>
          <w:p w14:paraId="47F7BE8B" w14:textId="77777777" w:rsidR="005F412E" w:rsidRPr="00B275E2" w:rsidRDefault="005F412E" w:rsidP="005F412E">
            <w:pPr>
              <w:pStyle w:val="TableText"/>
              <w:jc w:val="right"/>
              <w:rPr>
                <w:rFonts w:cs="Calibri"/>
                <w:szCs w:val="18"/>
              </w:rPr>
            </w:pPr>
          </w:p>
        </w:tc>
        <w:tc>
          <w:tcPr>
            <w:tcW w:w="613" w:type="dxa"/>
            <w:hideMark/>
          </w:tcPr>
          <w:p w14:paraId="0655AA99" w14:textId="77777777" w:rsidR="005F412E" w:rsidRPr="00B275E2" w:rsidRDefault="005F412E" w:rsidP="005F412E">
            <w:pPr>
              <w:pStyle w:val="TableText"/>
              <w:jc w:val="right"/>
              <w:rPr>
                <w:rFonts w:cs="Calibri"/>
                <w:szCs w:val="18"/>
              </w:rPr>
            </w:pPr>
            <w:r w:rsidRPr="00B275E2">
              <w:rPr>
                <w:rFonts w:cs="Calibri"/>
                <w:szCs w:val="18"/>
              </w:rPr>
              <w:t>88%</w:t>
            </w:r>
          </w:p>
        </w:tc>
        <w:tc>
          <w:tcPr>
            <w:tcW w:w="603" w:type="dxa"/>
          </w:tcPr>
          <w:p w14:paraId="1F7E69BB" w14:textId="77777777" w:rsidR="005F412E" w:rsidRPr="00B275E2" w:rsidRDefault="005F412E" w:rsidP="005F412E">
            <w:pPr>
              <w:pStyle w:val="TableText"/>
              <w:jc w:val="right"/>
              <w:rPr>
                <w:rFonts w:cs="Calibri"/>
                <w:szCs w:val="18"/>
              </w:rPr>
            </w:pPr>
          </w:p>
        </w:tc>
        <w:tc>
          <w:tcPr>
            <w:tcW w:w="592" w:type="dxa"/>
          </w:tcPr>
          <w:p w14:paraId="4FAADC9C" w14:textId="77777777" w:rsidR="005F412E" w:rsidRPr="00B275E2" w:rsidRDefault="005F412E" w:rsidP="005F412E">
            <w:pPr>
              <w:pStyle w:val="TableText"/>
              <w:jc w:val="right"/>
              <w:rPr>
                <w:rFonts w:cs="Calibri"/>
                <w:szCs w:val="18"/>
              </w:rPr>
            </w:pPr>
          </w:p>
        </w:tc>
        <w:tc>
          <w:tcPr>
            <w:tcW w:w="603" w:type="dxa"/>
            <w:hideMark/>
          </w:tcPr>
          <w:p w14:paraId="68DE36EB" w14:textId="77777777" w:rsidR="005F412E" w:rsidRPr="00B275E2" w:rsidRDefault="005F412E" w:rsidP="005F412E">
            <w:pPr>
              <w:pStyle w:val="TableText"/>
              <w:jc w:val="right"/>
              <w:rPr>
                <w:rFonts w:cs="Calibri"/>
                <w:szCs w:val="18"/>
              </w:rPr>
            </w:pPr>
            <w:r w:rsidRPr="00B275E2">
              <w:rPr>
                <w:rFonts w:cs="Calibri"/>
                <w:szCs w:val="18"/>
              </w:rPr>
              <w:t>9%</w:t>
            </w:r>
          </w:p>
        </w:tc>
        <w:tc>
          <w:tcPr>
            <w:tcW w:w="639" w:type="dxa"/>
            <w:hideMark/>
          </w:tcPr>
          <w:p w14:paraId="2FEDC4F1" w14:textId="77777777" w:rsidR="005F412E" w:rsidRPr="00B275E2" w:rsidRDefault="005F412E" w:rsidP="005F412E">
            <w:pPr>
              <w:pStyle w:val="TableText"/>
              <w:jc w:val="right"/>
              <w:rPr>
                <w:rFonts w:cs="Calibri"/>
                <w:szCs w:val="18"/>
              </w:rPr>
            </w:pPr>
            <w:r w:rsidRPr="00B275E2">
              <w:rPr>
                <w:rFonts w:cs="Calibri"/>
                <w:szCs w:val="18"/>
              </w:rPr>
              <w:t>3%</w:t>
            </w:r>
          </w:p>
        </w:tc>
        <w:tc>
          <w:tcPr>
            <w:tcW w:w="626" w:type="dxa"/>
            <w:hideMark/>
          </w:tcPr>
          <w:p w14:paraId="4FA916C9" w14:textId="77777777" w:rsidR="005F412E" w:rsidRPr="00B275E2" w:rsidRDefault="005F412E" w:rsidP="005F412E">
            <w:pPr>
              <w:pStyle w:val="TableText"/>
              <w:jc w:val="right"/>
              <w:rPr>
                <w:rFonts w:cs="Calibri"/>
                <w:szCs w:val="18"/>
              </w:rPr>
            </w:pPr>
            <w:r w:rsidRPr="00B275E2">
              <w:rPr>
                <w:rFonts w:cs="Calibri"/>
                <w:szCs w:val="18"/>
              </w:rPr>
              <w:t>2,053</w:t>
            </w:r>
          </w:p>
        </w:tc>
      </w:tr>
      <w:tr w:rsidR="005F412E" w:rsidRPr="00B275E2" w14:paraId="4C3AEC4F" w14:textId="77777777" w:rsidTr="00736AF4">
        <w:trPr>
          <w:cantSplit/>
        </w:trPr>
        <w:tc>
          <w:tcPr>
            <w:tcW w:w="3002" w:type="dxa"/>
            <w:hideMark/>
          </w:tcPr>
          <w:p w14:paraId="24A8B276" w14:textId="77777777" w:rsidR="005F412E" w:rsidRPr="00B275E2" w:rsidRDefault="005F412E" w:rsidP="005F412E">
            <w:pPr>
              <w:pStyle w:val="TableText"/>
              <w:rPr>
                <w:rFonts w:cs="Calibri"/>
                <w:szCs w:val="18"/>
              </w:rPr>
            </w:pPr>
            <w:r w:rsidRPr="00B275E2">
              <w:rPr>
                <w:rFonts w:cs="Calibri"/>
                <w:szCs w:val="18"/>
              </w:rPr>
              <w:t>R416A: 59% R134a, 39.5% R124,1.5% R600</w:t>
            </w:r>
          </w:p>
        </w:tc>
        <w:tc>
          <w:tcPr>
            <w:tcW w:w="626" w:type="dxa"/>
          </w:tcPr>
          <w:p w14:paraId="76D30CCA" w14:textId="77777777" w:rsidR="005F412E" w:rsidRPr="00B275E2" w:rsidRDefault="005F412E" w:rsidP="005F412E">
            <w:pPr>
              <w:pStyle w:val="TableText"/>
              <w:jc w:val="right"/>
              <w:rPr>
                <w:rFonts w:cs="Calibri"/>
                <w:szCs w:val="18"/>
              </w:rPr>
            </w:pPr>
          </w:p>
        </w:tc>
        <w:tc>
          <w:tcPr>
            <w:tcW w:w="588" w:type="dxa"/>
          </w:tcPr>
          <w:p w14:paraId="199E9CDE" w14:textId="77777777" w:rsidR="005F412E" w:rsidRPr="00B275E2" w:rsidRDefault="005F412E" w:rsidP="005F412E">
            <w:pPr>
              <w:pStyle w:val="TableText"/>
              <w:jc w:val="right"/>
              <w:rPr>
                <w:rFonts w:cs="Calibri"/>
                <w:szCs w:val="18"/>
              </w:rPr>
            </w:pPr>
          </w:p>
        </w:tc>
        <w:tc>
          <w:tcPr>
            <w:tcW w:w="613" w:type="dxa"/>
          </w:tcPr>
          <w:p w14:paraId="74F4B14F" w14:textId="77777777" w:rsidR="005F412E" w:rsidRPr="00B275E2" w:rsidRDefault="005F412E" w:rsidP="005F412E">
            <w:pPr>
              <w:pStyle w:val="TableText"/>
              <w:jc w:val="right"/>
              <w:rPr>
                <w:rFonts w:cs="Calibri"/>
                <w:szCs w:val="18"/>
              </w:rPr>
            </w:pPr>
          </w:p>
        </w:tc>
        <w:tc>
          <w:tcPr>
            <w:tcW w:w="613" w:type="dxa"/>
            <w:hideMark/>
          </w:tcPr>
          <w:p w14:paraId="6A431A89" w14:textId="77777777" w:rsidR="005F412E" w:rsidRPr="00B275E2" w:rsidRDefault="005F412E" w:rsidP="005F412E">
            <w:pPr>
              <w:pStyle w:val="TableText"/>
              <w:jc w:val="right"/>
              <w:rPr>
                <w:rFonts w:cs="Calibri"/>
                <w:szCs w:val="18"/>
              </w:rPr>
            </w:pPr>
            <w:r w:rsidRPr="00B275E2">
              <w:rPr>
                <w:rFonts w:cs="Calibri"/>
                <w:szCs w:val="18"/>
              </w:rPr>
              <w:t>59%</w:t>
            </w:r>
          </w:p>
        </w:tc>
        <w:tc>
          <w:tcPr>
            <w:tcW w:w="603" w:type="dxa"/>
          </w:tcPr>
          <w:p w14:paraId="2B5DD6E8" w14:textId="77777777" w:rsidR="005F412E" w:rsidRPr="00B275E2" w:rsidRDefault="005F412E" w:rsidP="005F412E">
            <w:pPr>
              <w:pStyle w:val="TableText"/>
              <w:jc w:val="right"/>
              <w:rPr>
                <w:rFonts w:cs="Calibri"/>
                <w:szCs w:val="18"/>
              </w:rPr>
            </w:pPr>
          </w:p>
        </w:tc>
        <w:tc>
          <w:tcPr>
            <w:tcW w:w="592" w:type="dxa"/>
          </w:tcPr>
          <w:p w14:paraId="4A0A53A7" w14:textId="77777777" w:rsidR="005F412E" w:rsidRPr="00B275E2" w:rsidRDefault="005F412E" w:rsidP="005F412E">
            <w:pPr>
              <w:pStyle w:val="TableText"/>
              <w:jc w:val="right"/>
              <w:rPr>
                <w:rFonts w:cs="Calibri"/>
                <w:szCs w:val="18"/>
              </w:rPr>
            </w:pPr>
          </w:p>
        </w:tc>
        <w:tc>
          <w:tcPr>
            <w:tcW w:w="603" w:type="dxa"/>
          </w:tcPr>
          <w:p w14:paraId="0938118D" w14:textId="77777777" w:rsidR="005F412E" w:rsidRPr="00B275E2" w:rsidRDefault="005F412E" w:rsidP="005F412E">
            <w:pPr>
              <w:pStyle w:val="TableText"/>
              <w:jc w:val="right"/>
              <w:rPr>
                <w:rFonts w:cs="Calibri"/>
                <w:szCs w:val="18"/>
              </w:rPr>
            </w:pPr>
          </w:p>
        </w:tc>
        <w:tc>
          <w:tcPr>
            <w:tcW w:w="639" w:type="dxa"/>
            <w:hideMark/>
          </w:tcPr>
          <w:p w14:paraId="47060692" w14:textId="77777777" w:rsidR="005F412E" w:rsidRPr="00B275E2" w:rsidRDefault="005F412E" w:rsidP="005F412E">
            <w:pPr>
              <w:pStyle w:val="TableText"/>
              <w:jc w:val="right"/>
              <w:rPr>
                <w:rFonts w:cs="Calibri"/>
                <w:szCs w:val="18"/>
              </w:rPr>
            </w:pPr>
            <w:r w:rsidRPr="00B275E2">
              <w:rPr>
                <w:rFonts w:cs="Calibri"/>
                <w:szCs w:val="18"/>
              </w:rPr>
              <w:t>41%</w:t>
            </w:r>
          </w:p>
        </w:tc>
        <w:tc>
          <w:tcPr>
            <w:tcW w:w="626" w:type="dxa"/>
            <w:hideMark/>
          </w:tcPr>
          <w:p w14:paraId="4D36D94B" w14:textId="77777777" w:rsidR="005F412E" w:rsidRPr="00B275E2" w:rsidRDefault="005F412E" w:rsidP="005F412E">
            <w:pPr>
              <w:pStyle w:val="TableText"/>
              <w:jc w:val="right"/>
              <w:rPr>
                <w:rFonts w:cs="Calibri"/>
                <w:szCs w:val="18"/>
              </w:rPr>
            </w:pPr>
            <w:r w:rsidRPr="00B275E2">
              <w:rPr>
                <w:rFonts w:cs="Calibri"/>
                <w:szCs w:val="18"/>
              </w:rPr>
              <w:t>844</w:t>
            </w:r>
          </w:p>
        </w:tc>
      </w:tr>
      <w:tr w:rsidR="005F412E" w:rsidRPr="00B275E2" w14:paraId="36A7E87C" w14:textId="77777777" w:rsidTr="00736AF4">
        <w:trPr>
          <w:cantSplit/>
        </w:trPr>
        <w:tc>
          <w:tcPr>
            <w:tcW w:w="3002" w:type="dxa"/>
            <w:hideMark/>
          </w:tcPr>
          <w:p w14:paraId="0B887948" w14:textId="77777777" w:rsidR="005F412E" w:rsidRPr="00B275E2" w:rsidRDefault="005F412E" w:rsidP="005F412E">
            <w:pPr>
              <w:pStyle w:val="TableText"/>
              <w:rPr>
                <w:rFonts w:cs="Calibri"/>
                <w:szCs w:val="18"/>
              </w:rPr>
            </w:pPr>
            <w:r w:rsidRPr="00B275E2">
              <w:rPr>
                <w:rFonts w:cs="Calibri"/>
                <w:szCs w:val="18"/>
              </w:rPr>
              <w:t>R417A: 46.6% R125 50% R134a 3.4% R600</w:t>
            </w:r>
          </w:p>
        </w:tc>
        <w:tc>
          <w:tcPr>
            <w:tcW w:w="626" w:type="dxa"/>
          </w:tcPr>
          <w:p w14:paraId="0DA165D3" w14:textId="77777777" w:rsidR="005F412E" w:rsidRPr="00B275E2" w:rsidRDefault="005F412E" w:rsidP="005F412E">
            <w:pPr>
              <w:pStyle w:val="TableText"/>
              <w:jc w:val="right"/>
              <w:rPr>
                <w:rFonts w:cs="Calibri"/>
                <w:szCs w:val="18"/>
              </w:rPr>
            </w:pPr>
          </w:p>
        </w:tc>
        <w:tc>
          <w:tcPr>
            <w:tcW w:w="588" w:type="dxa"/>
          </w:tcPr>
          <w:p w14:paraId="03CBF8A4" w14:textId="77777777" w:rsidR="005F412E" w:rsidRPr="00B275E2" w:rsidRDefault="005F412E" w:rsidP="005F412E">
            <w:pPr>
              <w:pStyle w:val="TableText"/>
              <w:jc w:val="right"/>
              <w:rPr>
                <w:rFonts w:cs="Calibri"/>
                <w:szCs w:val="18"/>
              </w:rPr>
            </w:pPr>
          </w:p>
        </w:tc>
        <w:tc>
          <w:tcPr>
            <w:tcW w:w="613" w:type="dxa"/>
            <w:hideMark/>
          </w:tcPr>
          <w:p w14:paraId="430E6CC4" w14:textId="77777777" w:rsidR="005F412E" w:rsidRPr="00B275E2" w:rsidRDefault="005F412E" w:rsidP="005F412E">
            <w:pPr>
              <w:pStyle w:val="TableText"/>
              <w:jc w:val="right"/>
              <w:rPr>
                <w:rFonts w:cs="Calibri"/>
                <w:szCs w:val="18"/>
              </w:rPr>
            </w:pPr>
            <w:r w:rsidRPr="00B275E2">
              <w:rPr>
                <w:rFonts w:cs="Calibri"/>
                <w:szCs w:val="18"/>
              </w:rPr>
              <w:t>46.6%</w:t>
            </w:r>
          </w:p>
        </w:tc>
        <w:tc>
          <w:tcPr>
            <w:tcW w:w="613" w:type="dxa"/>
            <w:hideMark/>
          </w:tcPr>
          <w:p w14:paraId="1B6F7618" w14:textId="77777777" w:rsidR="005F412E" w:rsidRPr="00B275E2" w:rsidRDefault="005F412E" w:rsidP="005F412E">
            <w:pPr>
              <w:pStyle w:val="TableText"/>
              <w:jc w:val="right"/>
              <w:rPr>
                <w:rFonts w:cs="Calibri"/>
                <w:szCs w:val="18"/>
              </w:rPr>
            </w:pPr>
            <w:r w:rsidRPr="00B275E2">
              <w:rPr>
                <w:rFonts w:cs="Calibri"/>
                <w:szCs w:val="18"/>
              </w:rPr>
              <w:t>50%</w:t>
            </w:r>
          </w:p>
        </w:tc>
        <w:tc>
          <w:tcPr>
            <w:tcW w:w="603" w:type="dxa"/>
          </w:tcPr>
          <w:p w14:paraId="1E1236DC" w14:textId="77777777" w:rsidR="005F412E" w:rsidRPr="00B275E2" w:rsidRDefault="005F412E" w:rsidP="005F412E">
            <w:pPr>
              <w:pStyle w:val="TableText"/>
              <w:jc w:val="right"/>
              <w:rPr>
                <w:rFonts w:cs="Calibri"/>
                <w:szCs w:val="18"/>
              </w:rPr>
            </w:pPr>
          </w:p>
        </w:tc>
        <w:tc>
          <w:tcPr>
            <w:tcW w:w="592" w:type="dxa"/>
          </w:tcPr>
          <w:p w14:paraId="3BCF5BFB" w14:textId="77777777" w:rsidR="005F412E" w:rsidRPr="00B275E2" w:rsidRDefault="005F412E" w:rsidP="005F412E">
            <w:pPr>
              <w:pStyle w:val="TableText"/>
              <w:jc w:val="right"/>
              <w:rPr>
                <w:rFonts w:cs="Calibri"/>
                <w:szCs w:val="18"/>
              </w:rPr>
            </w:pPr>
          </w:p>
        </w:tc>
        <w:tc>
          <w:tcPr>
            <w:tcW w:w="603" w:type="dxa"/>
          </w:tcPr>
          <w:p w14:paraId="1D087FA8" w14:textId="77777777" w:rsidR="005F412E" w:rsidRPr="00B275E2" w:rsidRDefault="005F412E" w:rsidP="005F412E">
            <w:pPr>
              <w:pStyle w:val="TableText"/>
              <w:jc w:val="right"/>
              <w:rPr>
                <w:rFonts w:cs="Calibri"/>
                <w:szCs w:val="18"/>
              </w:rPr>
            </w:pPr>
          </w:p>
        </w:tc>
        <w:tc>
          <w:tcPr>
            <w:tcW w:w="639" w:type="dxa"/>
            <w:hideMark/>
          </w:tcPr>
          <w:p w14:paraId="6A1610D8" w14:textId="77777777" w:rsidR="005F412E" w:rsidRPr="00B275E2" w:rsidRDefault="005F412E" w:rsidP="005F412E">
            <w:pPr>
              <w:pStyle w:val="TableText"/>
              <w:jc w:val="right"/>
              <w:rPr>
                <w:rFonts w:cs="Calibri"/>
                <w:szCs w:val="18"/>
              </w:rPr>
            </w:pPr>
            <w:r w:rsidRPr="00B275E2">
              <w:rPr>
                <w:rFonts w:cs="Calibri"/>
                <w:szCs w:val="18"/>
              </w:rPr>
              <w:t>3.4%</w:t>
            </w:r>
          </w:p>
        </w:tc>
        <w:tc>
          <w:tcPr>
            <w:tcW w:w="626" w:type="dxa"/>
            <w:hideMark/>
          </w:tcPr>
          <w:p w14:paraId="6B910CE0" w14:textId="77777777" w:rsidR="005F412E" w:rsidRPr="00B275E2" w:rsidRDefault="005F412E" w:rsidP="005F412E">
            <w:pPr>
              <w:pStyle w:val="TableText"/>
              <w:jc w:val="right"/>
              <w:rPr>
                <w:rFonts w:cs="Calibri"/>
                <w:szCs w:val="18"/>
              </w:rPr>
            </w:pPr>
            <w:r w:rsidRPr="00B275E2">
              <w:rPr>
                <w:rFonts w:cs="Calibri"/>
                <w:szCs w:val="18"/>
              </w:rPr>
              <w:t>2,346</w:t>
            </w:r>
          </w:p>
        </w:tc>
      </w:tr>
      <w:tr w:rsidR="005F412E" w:rsidRPr="00B275E2" w14:paraId="4B2FE815" w14:textId="77777777" w:rsidTr="00736AF4">
        <w:trPr>
          <w:cantSplit/>
        </w:trPr>
        <w:tc>
          <w:tcPr>
            <w:tcW w:w="3002" w:type="dxa"/>
            <w:hideMark/>
          </w:tcPr>
          <w:p w14:paraId="628EA14E" w14:textId="77777777" w:rsidR="005F412E" w:rsidRPr="00B275E2" w:rsidRDefault="005F412E" w:rsidP="005F412E">
            <w:pPr>
              <w:pStyle w:val="TableText"/>
              <w:rPr>
                <w:rFonts w:cs="Calibri"/>
                <w:szCs w:val="18"/>
              </w:rPr>
            </w:pPr>
            <w:r w:rsidRPr="00B275E2">
              <w:rPr>
                <w:rFonts w:cs="Calibri"/>
                <w:szCs w:val="18"/>
              </w:rPr>
              <w:t>R422A: 85.1% R125, 11.5% R134a, 3.4% R600a</w:t>
            </w:r>
          </w:p>
        </w:tc>
        <w:tc>
          <w:tcPr>
            <w:tcW w:w="626" w:type="dxa"/>
          </w:tcPr>
          <w:p w14:paraId="14CF1963" w14:textId="77777777" w:rsidR="005F412E" w:rsidRPr="00B275E2" w:rsidRDefault="005F412E" w:rsidP="005F412E">
            <w:pPr>
              <w:pStyle w:val="TableText"/>
              <w:jc w:val="right"/>
              <w:rPr>
                <w:rFonts w:cs="Calibri"/>
                <w:szCs w:val="18"/>
              </w:rPr>
            </w:pPr>
          </w:p>
        </w:tc>
        <w:tc>
          <w:tcPr>
            <w:tcW w:w="588" w:type="dxa"/>
          </w:tcPr>
          <w:p w14:paraId="680D9B97" w14:textId="77777777" w:rsidR="005F412E" w:rsidRPr="00B275E2" w:rsidRDefault="005F412E" w:rsidP="005F412E">
            <w:pPr>
              <w:pStyle w:val="TableText"/>
              <w:jc w:val="right"/>
              <w:rPr>
                <w:rFonts w:cs="Calibri"/>
                <w:szCs w:val="18"/>
              </w:rPr>
            </w:pPr>
          </w:p>
        </w:tc>
        <w:tc>
          <w:tcPr>
            <w:tcW w:w="613" w:type="dxa"/>
            <w:hideMark/>
          </w:tcPr>
          <w:p w14:paraId="6D16EBA2" w14:textId="77777777" w:rsidR="005F412E" w:rsidRPr="00B275E2" w:rsidRDefault="005F412E" w:rsidP="005F412E">
            <w:pPr>
              <w:pStyle w:val="TableText"/>
              <w:jc w:val="right"/>
              <w:rPr>
                <w:rFonts w:cs="Calibri"/>
                <w:szCs w:val="18"/>
              </w:rPr>
            </w:pPr>
            <w:r w:rsidRPr="00B275E2">
              <w:rPr>
                <w:rFonts w:cs="Calibri"/>
                <w:szCs w:val="18"/>
              </w:rPr>
              <w:t>85.1%</w:t>
            </w:r>
          </w:p>
        </w:tc>
        <w:tc>
          <w:tcPr>
            <w:tcW w:w="613" w:type="dxa"/>
            <w:hideMark/>
          </w:tcPr>
          <w:p w14:paraId="235AA8C1" w14:textId="77777777" w:rsidR="005F412E" w:rsidRPr="00B275E2" w:rsidRDefault="005F412E" w:rsidP="005F412E">
            <w:pPr>
              <w:pStyle w:val="TableText"/>
              <w:jc w:val="right"/>
              <w:rPr>
                <w:rFonts w:cs="Calibri"/>
                <w:szCs w:val="18"/>
              </w:rPr>
            </w:pPr>
            <w:r w:rsidRPr="00B275E2">
              <w:rPr>
                <w:rFonts w:cs="Calibri"/>
                <w:szCs w:val="18"/>
              </w:rPr>
              <w:t>11.5%</w:t>
            </w:r>
          </w:p>
        </w:tc>
        <w:tc>
          <w:tcPr>
            <w:tcW w:w="603" w:type="dxa"/>
          </w:tcPr>
          <w:p w14:paraId="6808B42D" w14:textId="77777777" w:rsidR="005F412E" w:rsidRPr="00B275E2" w:rsidRDefault="005F412E" w:rsidP="005F412E">
            <w:pPr>
              <w:pStyle w:val="TableText"/>
              <w:jc w:val="right"/>
              <w:rPr>
                <w:rFonts w:cs="Calibri"/>
                <w:szCs w:val="18"/>
              </w:rPr>
            </w:pPr>
          </w:p>
        </w:tc>
        <w:tc>
          <w:tcPr>
            <w:tcW w:w="592" w:type="dxa"/>
          </w:tcPr>
          <w:p w14:paraId="30F507CD" w14:textId="77777777" w:rsidR="005F412E" w:rsidRPr="00B275E2" w:rsidRDefault="005F412E" w:rsidP="005F412E">
            <w:pPr>
              <w:pStyle w:val="TableText"/>
              <w:jc w:val="right"/>
              <w:rPr>
                <w:rFonts w:cs="Calibri"/>
                <w:szCs w:val="18"/>
              </w:rPr>
            </w:pPr>
          </w:p>
        </w:tc>
        <w:tc>
          <w:tcPr>
            <w:tcW w:w="603" w:type="dxa"/>
          </w:tcPr>
          <w:p w14:paraId="43391B10" w14:textId="77777777" w:rsidR="005F412E" w:rsidRPr="00B275E2" w:rsidRDefault="005F412E" w:rsidP="005F412E">
            <w:pPr>
              <w:pStyle w:val="TableText"/>
              <w:jc w:val="right"/>
              <w:rPr>
                <w:rFonts w:cs="Calibri"/>
                <w:szCs w:val="18"/>
              </w:rPr>
            </w:pPr>
          </w:p>
        </w:tc>
        <w:tc>
          <w:tcPr>
            <w:tcW w:w="639" w:type="dxa"/>
            <w:hideMark/>
          </w:tcPr>
          <w:p w14:paraId="00D01B9E" w14:textId="77777777" w:rsidR="005F412E" w:rsidRPr="00B275E2" w:rsidRDefault="005F412E" w:rsidP="005F412E">
            <w:pPr>
              <w:pStyle w:val="TableText"/>
              <w:jc w:val="right"/>
              <w:rPr>
                <w:rFonts w:cs="Calibri"/>
                <w:szCs w:val="18"/>
              </w:rPr>
            </w:pPr>
            <w:r w:rsidRPr="00B275E2">
              <w:rPr>
                <w:rFonts w:cs="Calibri"/>
                <w:szCs w:val="18"/>
              </w:rPr>
              <w:t>3.4%</w:t>
            </w:r>
          </w:p>
        </w:tc>
        <w:tc>
          <w:tcPr>
            <w:tcW w:w="626" w:type="dxa"/>
            <w:hideMark/>
          </w:tcPr>
          <w:p w14:paraId="4AC037F7" w14:textId="77777777" w:rsidR="005F412E" w:rsidRPr="00B275E2" w:rsidRDefault="005F412E" w:rsidP="005F412E">
            <w:pPr>
              <w:pStyle w:val="TableText"/>
              <w:jc w:val="right"/>
              <w:rPr>
                <w:rFonts w:cs="Calibri"/>
                <w:szCs w:val="18"/>
              </w:rPr>
            </w:pPr>
            <w:r w:rsidRPr="00B275E2">
              <w:rPr>
                <w:rFonts w:cs="Calibri"/>
                <w:szCs w:val="18"/>
              </w:rPr>
              <w:t>3,143</w:t>
            </w:r>
          </w:p>
        </w:tc>
      </w:tr>
      <w:tr w:rsidR="005F412E" w:rsidRPr="00B275E2" w14:paraId="334B8911" w14:textId="77777777" w:rsidTr="00736AF4">
        <w:trPr>
          <w:cantSplit/>
        </w:trPr>
        <w:tc>
          <w:tcPr>
            <w:tcW w:w="3002" w:type="dxa"/>
            <w:hideMark/>
          </w:tcPr>
          <w:p w14:paraId="07E73B69" w14:textId="77777777" w:rsidR="005F412E" w:rsidRPr="00B275E2" w:rsidRDefault="005F412E" w:rsidP="005F412E">
            <w:pPr>
              <w:pStyle w:val="TableText"/>
              <w:rPr>
                <w:rFonts w:cs="Calibri"/>
                <w:szCs w:val="18"/>
              </w:rPr>
            </w:pPr>
            <w:r w:rsidRPr="00B275E2">
              <w:rPr>
                <w:rFonts w:cs="Calibri"/>
                <w:szCs w:val="18"/>
              </w:rPr>
              <w:t>R507A: 50% R125, 50% R143a</w:t>
            </w:r>
          </w:p>
        </w:tc>
        <w:tc>
          <w:tcPr>
            <w:tcW w:w="626" w:type="dxa"/>
          </w:tcPr>
          <w:p w14:paraId="4CDECD16" w14:textId="77777777" w:rsidR="005F412E" w:rsidRPr="00B275E2" w:rsidRDefault="005F412E" w:rsidP="005F412E">
            <w:pPr>
              <w:pStyle w:val="TableText"/>
              <w:jc w:val="right"/>
              <w:rPr>
                <w:rFonts w:cs="Calibri"/>
                <w:szCs w:val="18"/>
              </w:rPr>
            </w:pPr>
          </w:p>
        </w:tc>
        <w:tc>
          <w:tcPr>
            <w:tcW w:w="588" w:type="dxa"/>
          </w:tcPr>
          <w:p w14:paraId="1A6EA9B3" w14:textId="77777777" w:rsidR="005F412E" w:rsidRPr="00B275E2" w:rsidRDefault="005F412E" w:rsidP="005F412E">
            <w:pPr>
              <w:pStyle w:val="TableText"/>
              <w:jc w:val="right"/>
              <w:rPr>
                <w:rFonts w:cs="Calibri"/>
                <w:szCs w:val="18"/>
              </w:rPr>
            </w:pPr>
          </w:p>
        </w:tc>
        <w:tc>
          <w:tcPr>
            <w:tcW w:w="613" w:type="dxa"/>
            <w:hideMark/>
          </w:tcPr>
          <w:p w14:paraId="2270F04D" w14:textId="77777777" w:rsidR="005F412E" w:rsidRPr="00B275E2" w:rsidRDefault="005F412E" w:rsidP="005F412E">
            <w:pPr>
              <w:pStyle w:val="TableText"/>
              <w:jc w:val="right"/>
              <w:rPr>
                <w:rFonts w:cs="Calibri"/>
                <w:szCs w:val="18"/>
              </w:rPr>
            </w:pPr>
            <w:r w:rsidRPr="00B275E2">
              <w:rPr>
                <w:rFonts w:cs="Calibri"/>
                <w:szCs w:val="18"/>
              </w:rPr>
              <w:t>50%</w:t>
            </w:r>
          </w:p>
        </w:tc>
        <w:tc>
          <w:tcPr>
            <w:tcW w:w="613" w:type="dxa"/>
          </w:tcPr>
          <w:p w14:paraId="61BF7D42" w14:textId="77777777" w:rsidR="005F412E" w:rsidRPr="00B275E2" w:rsidRDefault="005F412E" w:rsidP="005F412E">
            <w:pPr>
              <w:pStyle w:val="TableText"/>
              <w:jc w:val="right"/>
              <w:rPr>
                <w:rFonts w:cs="Calibri"/>
                <w:szCs w:val="18"/>
              </w:rPr>
            </w:pPr>
          </w:p>
        </w:tc>
        <w:tc>
          <w:tcPr>
            <w:tcW w:w="603" w:type="dxa"/>
            <w:hideMark/>
          </w:tcPr>
          <w:p w14:paraId="0A352B2A" w14:textId="77777777" w:rsidR="005F412E" w:rsidRPr="00B275E2" w:rsidRDefault="005F412E" w:rsidP="005F412E">
            <w:pPr>
              <w:pStyle w:val="TableText"/>
              <w:jc w:val="right"/>
              <w:rPr>
                <w:rFonts w:cs="Calibri"/>
                <w:szCs w:val="18"/>
              </w:rPr>
            </w:pPr>
            <w:r w:rsidRPr="00B275E2">
              <w:rPr>
                <w:rFonts w:cs="Calibri"/>
                <w:szCs w:val="18"/>
              </w:rPr>
              <w:t>50%</w:t>
            </w:r>
          </w:p>
        </w:tc>
        <w:tc>
          <w:tcPr>
            <w:tcW w:w="592" w:type="dxa"/>
          </w:tcPr>
          <w:p w14:paraId="34C5AA19" w14:textId="77777777" w:rsidR="005F412E" w:rsidRPr="00B275E2" w:rsidRDefault="005F412E" w:rsidP="005F412E">
            <w:pPr>
              <w:pStyle w:val="TableText"/>
              <w:jc w:val="right"/>
              <w:rPr>
                <w:rFonts w:cs="Calibri"/>
                <w:szCs w:val="18"/>
              </w:rPr>
            </w:pPr>
          </w:p>
        </w:tc>
        <w:tc>
          <w:tcPr>
            <w:tcW w:w="603" w:type="dxa"/>
          </w:tcPr>
          <w:p w14:paraId="1E1B51A2" w14:textId="77777777" w:rsidR="005F412E" w:rsidRPr="00B275E2" w:rsidRDefault="005F412E" w:rsidP="005F412E">
            <w:pPr>
              <w:pStyle w:val="TableText"/>
              <w:jc w:val="right"/>
              <w:rPr>
                <w:rFonts w:cs="Calibri"/>
                <w:szCs w:val="18"/>
              </w:rPr>
            </w:pPr>
          </w:p>
        </w:tc>
        <w:tc>
          <w:tcPr>
            <w:tcW w:w="639" w:type="dxa"/>
          </w:tcPr>
          <w:p w14:paraId="19177172" w14:textId="77777777" w:rsidR="005F412E" w:rsidRPr="00B275E2" w:rsidRDefault="005F412E" w:rsidP="005F412E">
            <w:pPr>
              <w:pStyle w:val="TableText"/>
              <w:jc w:val="right"/>
              <w:rPr>
                <w:rFonts w:cs="Calibri"/>
                <w:szCs w:val="18"/>
              </w:rPr>
            </w:pPr>
          </w:p>
        </w:tc>
        <w:tc>
          <w:tcPr>
            <w:tcW w:w="626" w:type="dxa"/>
            <w:hideMark/>
          </w:tcPr>
          <w:p w14:paraId="3367E1BB" w14:textId="77777777" w:rsidR="005F412E" w:rsidRPr="00B275E2" w:rsidRDefault="005F412E" w:rsidP="005F412E">
            <w:pPr>
              <w:pStyle w:val="TableText"/>
              <w:jc w:val="right"/>
              <w:rPr>
                <w:rFonts w:cs="Calibri"/>
                <w:szCs w:val="18"/>
              </w:rPr>
            </w:pPr>
            <w:r w:rsidRPr="00B275E2">
              <w:rPr>
                <w:rFonts w:cs="Calibri"/>
                <w:szCs w:val="18"/>
              </w:rPr>
              <w:t>3,985</w:t>
            </w:r>
          </w:p>
        </w:tc>
      </w:tr>
    </w:tbl>
    <w:p w14:paraId="518D5DFE" w14:textId="548C22B5" w:rsidR="00177037" w:rsidRPr="00B275E2" w:rsidRDefault="00B509E8" w:rsidP="00C24B73">
      <w:pPr>
        <w:pStyle w:val="Heading3"/>
      </w:pPr>
      <w:r w:rsidRPr="00B275E2">
        <w:t xml:space="preserve">B.2.1 </w:t>
      </w:r>
      <w:r w:rsidR="00304B58" w:rsidRPr="00B275E2">
        <w:tab/>
      </w:r>
      <w:r w:rsidR="00177037" w:rsidRPr="00B275E2">
        <w:t xml:space="preserve">Assumptions </w:t>
      </w:r>
    </w:p>
    <w:p w14:paraId="7E89B8F6" w14:textId="40ACBD10" w:rsidR="005E7053" w:rsidRPr="00B275E2" w:rsidRDefault="005E7053" w:rsidP="005E7053">
      <w:pPr>
        <w:pStyle w:val="BodyText"/>
        <w:rPr>
          <w:rFonts w:ascii="Times New Roman" w:eastAsia="Times New Roman" w:hAnsi="Times New Roman"/>
          <w:i/>
        </w:rPr>
      </w:pPr>
      <w:r w:rsidRPr="00B275E2">
        <w:t>The default factors in methods B and C for operating refrigerant equipment are derived from</w:t>
      </w:r>
      <w:r w:rsidR="000236C0" w:rsidRPr="00B275E2">
        <w:t> </w:t>
      </w:r>
      <w:r w:rsidRPr="00B275E2">
        <w:t>a</w:t>
      </w:r>
      <w:r w:rsidR="000236C0" w:rsidRPr="00B275E2">
        <w:t> </w:t>
      </w:r>
      <w:r w:rsidRPr="00B275E2">
        <w:t xml:space="preserve">report by CRL Energy Ltd to the Ministry for the Environment on the </w:t>
      </w:r>
      <w:r w:rsidRPr="00B275E2">
        <w:rPr>
          <w:i/>
        </w:rPr>
        <w:t>Assessment of HFC</w:t>
      </w:r>
      <w:r w:rsidR="000236C0" w:rsidRPr="00B275E2">
        <w:rPr>
          <w:i/>
        </w:rPr>
        <w:t> </w:t>
      </w:r>
      <w:r w:rsidRPr="00B275E2">
        <w:rPr>
          <w:i/>
        </w:rPr>
        <w:t xml:space="preserve">Emission Factors for GHG Reporting Guidelines </w:t>
      </w:r>
      <w:r w:rsidRPr="00B275E2">
        <w:t>(2008). These are based on data for New</w:t>
      </w:r>
      <w:r w:rsidR="000236C0" w:rsidRPr="00B275E2">
        <w:t> </w:t>
      </w:r>
      <w:r w:rsidRPr="00B275E2">
        <w:t>Zealand refrigeration and air-conditioning equipment stock.</w:t>
      </w:r>
    </w:p>
    <w:p w14:paraId="0489AAB5" w14:textId="48EC2523" w:rsidR="005E7053" w:rsidRPr="00B275E2" w:rsidRDefault="005E7053" w:rsidP="005E7053">
      <w:pPr>
        <w:pStyle w:val="BodyText"/>
      </w:pPr>
      <w:r w:rsidRPr="00B275E2">
        <w:t>In the absence of consistent information for New Zealand, the default assumption for the assembly emissions rate is the rounded-off IPCC 2006 mid-range value. This will not apply to many ‘pre-charged’ units as these are sealed to prevent leakage.</w:t>
      </w:r>
    </w:p>
    <w:p w14:paraId="3066A69D" w14:textId="26599445" w:rsidR="005E7053" w:rsidRPr="00B275E2" w:rsidRDefault="005E7053" w:rsidP="005E7053">
      <w:pPr>
        <w:pStyle w:val="BodyText"/>
      </w:pPr>
      <w:r w:rsidRPr="00B275E2">
        <w:t>For simplicity, the default operating emission factor does not take account of the variability associated with equipment age.</w:t>
      </w:r>
    </w:p>
    <w:p w14:paraId="6CC579A1" w14:textId="38B90D03" w:rsidR="007B2073" w:rsidRPr="00B275E2" w:rsidRDefault="00125618" w:rsidP="00B53197">
      <w:pPr>
        <w:pStyle w:val="Appendixheading2"/>
      </w:pPr>
      <w:bookmarkStart w:id="698" w:name="_Ref53144686"/>
      <w:r w:rsidRPr="00B275E2">
        <w:t xml:space="preserve">B.3 </w:t>
      </w:r>
      <w:r w:rsidR="00992464" w:rsidRPr="00B275E2">
        <w:tab/>
      </w:r>
      <w:r w:rsidR="00A82F1D" w:rsidRPr="00B275E2">
        <w:t>Medical gas blends</w:t>
      </w:r>
      <w:bookmarkEnd w:id="698"/>
    </w:p>
    <w:p w14:paraId="41AF995F" w14:textId="6A63E506" w:rsidR="00077EC5" w:rsidRPr="00B275E2" w:rsidRDefault="00077EC5" w:rsidP="00B53197">
      <w:pPr>
        <w:pStyle w:val="Tableheading"/>
        <w:spacing w:before="240"/>
      </w:pPr>
      <w:bookmarkStart w:id="699" w:name="TableB3"/>
      <w:bookmarkStart w:id="700" w:name="_Toc55216424"/>
      <w:bookmarkStart w:id="701" w:name="_Toc111536712"/>
      <w:r w:rsidRPr="00B275E2">
        <w:t>Table B</w:t>
      </w:r>
      <w:r w:rsidRPr="00B275E2">
        <w:fldChar w:fldCharType="begin"/>
      </w:r>
      <w:r w:rsidRPr="00B275E2">
        <w:instrText>SEQ Table_B. \* ARABIC</w:instrText>
      </w:r>
      <w:r w:rsidRPr="00B275E2">
        <w:fldChar w:fldCharType="separate"/>
      </w:r>
      <w:r w:rsidR="003E141C" w:rsidRPr="00B275E2">
        <w:t>3</w:t>
      </w:r>
      <w:r w:rsidRPr="00B275E2">
        <w:fldChar w:fldCharType="end"/>
      </w:r>
      <w:bookmarkEnd w:id="699"/>
      <w:r w:rsidRPr="00B275E2">
        <w:t>:</w:t>
      </w:r>
      <w:r w:rsidRPr="00B275E2">
        <w:tab/>
        <w:t xml:space="preserve">Detailed 100-year </w:t>
      </w:r>
      <w:r w:rsidR="00F64130" w:rsidRPr="00B275E2">
        <w:t>GWPs</w:t>
      </w:r>
      <w:r w:rsidRPr="00B275E2">
        <w:t xml:space="preserve"> </w:t>
      </w:r>
      <w:r w:rsidR="00B566E7" w:rsidRPr="00B275E2">
        <w:t>(IPCC, 2007</w:t>
      </w:r>
      <w:r w:rsidR="004C7FFE" w:rsidRPr="00B275E2">
        <w:t xml:space="preserve">) </w:t>
      </w:r>
      <w:r w:rsidRPr="00B275E2">
        <w:t>for medical gas blends</w:t>
      </w:r>
      <w:bookmarkEnd w:id="700"/>
      <w:bookmarkEnd w:id="701"/>
    </w:p>
    <w:tbl>
      <w:tblPr>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CellMar>
          <w:left w:w="57" w:type="dxa"/>
          <w:right w:w="57" w:type="dxa"/>
        </w:tblCellMar>
        <w:tblLook w:val="04A0" w:firstRow="1" w:lastRow="0" w:firstColumn="1" w:lastColumn="0" w:noHBand="0" w:noVBand="1"/>
      </w:tblPr>
      <w:tblGrid>
        <w:gridCol w:w="4727"/>
        <w:gridCol w:w="1046"/>
        <w:gridCol w:w="1667"/>
        <w:gridCol w:w="1065"/>
      </w:tblGrid>
      <w:tr w:rsidR="00C35E14" w:rsidRPr="00B275E2" w14:paraId="29FA0C4A" w14:textId="77777777" w:rsidTr="00B53197">
        <w:trPr>
          <w:cantSplit/>
          <w:tblHeader/>
        </w:trPr>
        <w:tc>
          <w:tcPr>
            <w:tcW w:w="2779" w:type="pct"/>
            <w:shd w:val="clear" w:color="auto" w:fill="1B556B" w:themeFill="text2"/>
            <w:vAlign w:val="bottom"/>
            <w:hideMark/>
          </w:tcPr>
          <w:p w14:paraId="3B6C3EE4" w14:textId="6216BBB6" w:rsidR="007D58B0" w:rsidRPr="00B275E2" w:rsidRDefault="004C7FFE" w:rsidP="00CF5A99">
            <w:pPr>
              <w:pStyle w:val="TableText"/>
              <w:rPr>
                <w:b/>
                <w:color w:val="FFFFFF" w:themeColor="background1"/>
              </w:rPr>
            </w:pPr>
            <w:r w:rsidRPr="00B275E2">
              <w:rPr>
                <w:b/>
                <w:color w:val="FFFFFF" w:themeColor="background1"/>
              </w:rPr>
              <w:t>T</w:t>
            </w:r>
            <w:r w:rsidR="007D58B0" w:rsidRPr="00B275E2">
              <w:rPr>
                <w:b/>
                <w:color w:val="FFFFFF" w:themeColor="background1"/>
              </w:rPr>
              <w:t>rade name</w:t>
            </w:r>
          </w:p>
        </w:tc>
        <w:tc>
          <w:tcPr>
            <w:tcW w:w="615" w:type="pct"/>
            <w:shd w:val="clear" w:color="auto" w:fill="1B556B" w:themeFill="text2"/>
            <w:vAlign w:val="bottom"/>
            <w:hideMark/>
          </w:tcPr>
          <w:p w14:paraId="42B591EF" w14:textId="7E5BE1FE" w:rsidR="007D58B0" w:rsidRPr="00B275E2" w:rsidRDefault="00584154" w:rsidP="00992464">
            <w:pPr>
              <w:pStyle w:val="TableText"/>
              <w:jc w:val="right"/>
              <w:rPr>
                <w:b/>
                <w:color w:val="FFFFFF" w:themeColor="background1"/>
              </w:rPr>
            </w:pPr>
            <w:r w:rsidRPr="00B275E2">
              <w:rPr>
                <w:b/>
                <w:color w:val="FFFFFF" w:themeColor="background1"/>
              </w:rPr>
              <w:t>N</w:t>
            </w:r>
            <w:r w:rsidRPr="00B275E2">
              <w:rPr>
                <w:b/>
                <w:color w:val="FFFFFF" w:themeColor="background1"/>
                <w:vertAlign w:val="subscript"/>
              </w:rPr>
              <w:t>2</w:t>
            </w:r>
            <w:r w:rsidRPr="00B275E2">
              <w:rPr>
                <w:b/>
                <w:color w:val="FFFFFF" w:themeColor="background1"/>
              </w:rPr>
              <w:t>O</w:t>
            </w:r>
          </w:p>
        </w:tc>
        <w:tc>
          <w:tcPr>
            <w:tcW w:w="980" w:type="pct"/>
            <w:shd w:val="clear" w:color="auto" w:fill="1B556B" w:themeFill="text2"/>
            <w:vAlign w:val="bottom"/>
            <w:hideMark/>
          </w:tcPr>
          <w:p w14:paraId="4AAC673F" w14:textId="4795CD1B" w:rsidR="007D58B0" w:rsidRPr="00B275E2" w:rsidRDefault="0076505F" w:rsidP="00992464">
            <w:pPr>
              <w:pStyle w:val="TableText"/>
              <w:jc w:val="right"/>
              <w:rPr>
                <w:b/>
                <w:color w:val="FFFFFF" w:themeColor="background1"/>
              </w:rPr>
            </w:pPr>
            <w:r w:rsidRPr="00B275E2">
              <w:rPr>
                <w:b/>
                <w:color w:val="FFFFFF" w:themeColor="background1"/>
              </w:rPr>
              <w:t>O</w:t>
            </w:r>
            <w:r w:rsidRPr="00B275E2">
              <w:rPr>
                <w:b/>
                <w:color w:val="FFFFFF" w:themeColor="background1"/>
                <w:vertAlign w:val="subscript"/>
              </w:rPr>
              <w:t>2</w:t>
            </w:r>
          </w:p>
        </w:tc>
        <w:tc>
          <w:tcPr>
            <w:tcW w:w="626" w:type="pct"/>
            <w:shd w:val="clear" w:color="auto" w:fill="1B556B" w:themeFill="text2"/>
            <w:vAlign w:val="bottom"/>
            <w:hideMark/>
          </w:tcPr>
          <w:p w14:paraId="34DD545C" w14:textId="4638F54F" w:rsidR="007D58B0" w:rsidRPr="00B275E2" w:rsidRDefault="00983691" w:rsidP="00992464">
            <w:pPr>
              <w:pStyle w:val="TableText"/>
              <w:jc w:val="right"/>
              <w:rPr>
                <w:b/>
                <w:color w:val="FFFFFF" w:themeColor="background1"/>
              </w:rPr>
            </w:pPr>
            <w:r w:rsidRPr="00B275E2">
              <w:rPr>
                <w:b/>
                <w:color w:val="FFFFFF" w:themeColor="background1"/>
              </w:rPr>
              <w:t>GWP</w:t>
            </w:r>
            <w:r w:rsidRPr="00B275E2">
              <w:rPr>
                <w:b/>
                <w:color w:val="FFFFFF" w:themeColor="background1"/>
                <w:vertAlign w:val="subscript"/>
              </w:rPr>
              <w:t>100</w:t>
            </w:r>
          </w:p>
        </w:tc>
      </w:tr>
      <w:tr w:rsidR="007D58B0" w:rsidRPr="00B275E2" w14:paraId="5E1AC5E3" w14:textId="77777777" w:rsidTr="00B53197">
        <w:trPr>
          <w:cantSplit/>
        </w:trPr>
        <w:tc>
          <w:tcPr>
            <w:tcW w:w="2779" w:type="pct"/>
            <w:hideMark/>
          </w:tcPr>
          <w:p w14:paraId="64B5B29B" w14:textId="07D6E3FD" w:rsidR="007D58B0" w:rsidRPr="00B275E2" w:rsidRDefault="007D58B0" w:rsidP="00992464">
            <w:pPr>
              <w:pStyle w:val="TableText"/>
            </w:pPr>
            <w:r w:rsidRPr="00B275E2">
              <w:t>En</w:t>
            </w:r>
            <w:r w:rsidR="00584154" w:rsidRPr="00B275E2">
              <w:t>tonox</w:t>
            </w:r>
          </w:p>
        </w:tc>
        <w:tc>
          <w:tcPr>
            <w:tcW w:w="615" w:type="pct"/>
          </w:tcPr>
          <w:p w14:paraId="2991DFA4" w14:textId="5A6C2EF0" w:rsidR="007D58B0" w:rsidRPr="00B275E2" w:rsidRDefault="00A21314" w:rsidP="00992464">
            <w:pPr>
              <w:pStyle w:val="TableText"/>
              <w:jc w:val="right"/>
            </w:pPr>
            <w:r w:rsidRPr="00B275E2">
              <w:t>50%</w:t>
            </w:r>
            <w:r w:rsidR="006E5CC4" w:rsidRPr="00B275E2">
              <w:t xml:space="preserve"> v/v</w:t>
            </w:r>
          </w:p>
        </w:tc>
        <w:tc>
          <w:tcPr>
            <w:tcW w:w="980" w:type="pct"/>
          </w:tcPr>
          <w:p w14:paraId="5C3D6FAB" w14:textId="318C1D63" w:rsidR="007D58B0" w:rsidRPr="00B275E2" w:rsidRDefault="00A21314" w:rsidP="00992464">
            <w:pPr>
              <w:pStyle w:val="TableText"/>
              <w:jc w:val="right"/>
            </w:pPr>
            <w:r w:rsidRPr="00B275E2">
              <w:t>50%</w:t>
            </w:r>
            <w:r w:rsidR="006E5CC4" w:rsidRPr="00B275E2">
              <w:t xml:space="preserve"> v/v</w:t>
            </w:r>
          </w:p>
        </w:tc>
        <w:tc>
          <w:tcPr>
            <w:tcW w:w="626" w:type="pct"/>
            <w:hideMark/>
          </w:tcPr>
          <w:p w14:paraId="4A8EA9F4" w14:textId="1578499A" w:rsidR="007D58B0" w:rsidRPr="00B275E2" w:rsidRDefault="00A21314" w:rsidP="00992464">
            <w:pPr>
              <w:pStyle w:val="TableText"/>
              <w:jc w:val="right"/>
            </w:pPr>
            <w:r w:rsidRPr="00B275E2">
              <w:t>1</w:t>
            </w:r>
            <w:r w:rsidR="00C67C26" w:rsidRPr="00B275E2">
              <w:t>73</w:t>
            </w:r>
          </w:p>
        </w:tc>
      </w:tr>
    </w:tbl>
    <w:p w14:paraId="7D64EBB5" w14:textId="442683E9" w:rsidR="00487827" w:rsidRPr="00B275E2" w:rsidRDefault="00487827" w:rsidP="00AE718C">
      <w:pPr>
        <w:pStyle w:val="BodyText"/>
      </w:pPr>
    </w:p>
    <w:p w14:paraId="6A0DAC19" w14:textId="77777777" w:rsidR="00D825BF" w:rsidRPr="00B275E2" w:rsidRDefault="00D825BF" w:rsidP="00AE718C">
      <w:pPr>
        <w:pStyle w:val="BodyText"/>
      </w:pPr>
      <w:bookmarkStart w:id="702" w:name="_Ref532845287"/>
      <w:bookmarkStart w:id="703" w:name="_Toc532904982"/>
      <w:bookmarkStart w:id="704" w:name="_Toc600613"/>
      <w:r w:rsidRPr="00B275E2">
        <w:br w:type="page"/>
      </w:r>
    </w:p>
    <w:p w14:paraId="58C04301" w14:textId="561B22AA" w:rsidR="00F67ADF" w:rsidRPr="00B275E2" w:rsidRDefault="00487827" w:rsidP="00C04D18">
      <w:pPr>
        <w:pStyle w:val="Heading1"/>
      </w:pPr>
      <w:bookmarkStart w:id="705" w:name="_Appendix_C:_Landfills"/>
      <w:bookmarkStart w:id="706" w:name="_Toc111536820"/>
      <w:bookmarkEnd w:id="705"/>
      <w:r w:rsidRPr="00B275E2">
        <w:lastRenderedPageBreak/>
        <w:t>Appendix C: L</w:t>
      </w:r>
      <w:r w:rsidR="00F67ADF" w:rsidRPr="00B275E2">
        <w:t>andfills with and without landfill gas recovery</w:t>
      </w:r>
      <w:bookmarkEnd w:id="702"/>
      <w:bookmarkEnd w:id="703"/>
      <w:bookmarkEnd w:id="704"/>
      <w:bookmarkEnd w:id="706"/>
    </w:p>
    <w:p w14:paraId="69CC4A56" w14:textId="59D5748D" w:rsidR="00A36942" w:rsidRPr="00B275E2" w:rsidRDefault="00E80D1C" w:rsidP="007F19F9">
      <w:pPr>
        <w:pStyle w:val="BodyText"/>
      </w:pPr>
      <w:r w:rsidRPr="00B275E2">
        <w:rPr>
          <w:color w:val="2C9986" w:themeColor="accent4"/>
        </w:rPr>
        <w:fldChar w:fldCharType="begin"/>
      </w:r>
      <w:r w:rsidRPr="00B275E2">
        <w:rPr>
          <w:color w:val="2C9986" w:themeColor="accent4"/>
        </w:rPr>
        <w:instrText xml:space="preserve"> REF _Ref548526 \h </w:instrText>
      </w:r>
      <w:r w:rsidRPr="00B275E2">
        <w:rPr>
          <w:color w:val="2C9986" w:themeColor="accent4"/>
        </w:rPr>
      </w:r>
      <w:r w:rsidRPr="00B275E2">
        <w:rPr>
          <w:color w:val="2C9986" w:themeColor="accent4"/>
        </w:rPr>
        <w:fldChar w:fldCharType="separate"/>
      </w:r>
      <w:r w:rsidR="003E141C" w:rsidRPr="00B275E2">
        <w:t>Table C1</w:t>
      </w:r>
      <w:r w:rsidRPr="00B275E2">
        <w:rPr>
          <w:color w:val="2C9986" w:themeColor="accent4"/>
        </w:rPr>
        <w:fldChar w:fldCharType="end"/>
      </w:r>
      <w:r w:rsidR="00A36942" w:rsidRPr="00B275E2">
        <w:t xml:space="preserve">, provided by Enviro-Mark Solutions </w:t>
      </w:r>
      <w:r w:rsidR="00C964F5" w:rsidRPr="00B275E2">
        <w:t>Ltd</w:t>
      </w:r>
      <w:r w:rsidR="00A36942" w:rsidRPr="00B275E2">
        <w:t>, lists the landfills in New Zealand with and without landfill gas recovery (LFGR).</w:t>
      </w:r>
      <w:r w:rsidR="001C3664" w:rsidRPr="00B275E2">
        <w:t xml:space="preserve"> This table was last updated </w:t>
      </w:r>
      <w:r w:rsidR="00CA66FB" w:rsidRPr="00B275E2">
        <w:t>in 2013.</w:t>
      </w:r>
    </w:p>
    <w:p w14:paraId="6F6FFB53" w14:textId="6B5451C1" w:rsidR="00952102" w:rsidRPr="00B275E2" w:rsidRDefault="00952102" w:rsidP="00992464">
      <w:pPr>
        <w:pStyle w:val="Tableheading"/>
      </w:pPr>
      <w:bookmarkStart w:id="707" w:name="_Ref532908584"/>
      <w:bookmarkStart w:id="708" w:name="_Ref548526"/>
      <w:bookmarkStart w:id="709" w:name="_Toc55216425"/>
      <w:bookmarkStart w:id="710" w:name="_Toc111536713"/>
      <w:r w:rsidRPr="00B275E2">
        <w:t>Table</w:t>
      </w:r>
      <w:bookmarkEnd w:id="707"/>
      <w:r w:rsidR="00E80D1C" w:rsidRPr="00B275E2">
        <w:t xml:space="preserve"> C</w:t>
      </w:r>
      <w:r w:rsidRPr="00B275E2">
        <w:fldChar w:fldCharType="begin"/>
      </w:r>
      <w:r w:rsidRPr="00B275E2">
        <w:instrText>SEQ Table_C. \* ARABIC</w:instrText>
      </w:r>
      <w:r w:rsidRPr="00B275E2">
        <w:fldChar w:fldCharType="separate"/>
      </w:r>
      <w:r w:rsidR="003E141C" w:rsidRPr="00B275E2">
        <w:t>1</w:t>
      </w:r>
      <w:r w:rsidRPr="00B275E2">
        <w:fldChar w:fldCharType="end"/>
      </w:r>
      <w:bookmarkEnd w:id="708"/>
      <w:r w:rsidR="00D232C1" w:rsidRPr="00B275E2">
        <w:t>:</w:t>
      </w:r>
      <w:r w:rsidR="00D232C1" w:rsidRPr="00B275E2">
        <w:tab/>
      </w:r>
      <w:r w:rsidRPr="00B275E2">
        <w:t xml:space="preserve">Landfills with and without </w:t>
      </w:r>
      <w:r w:rsidR="00ED78E0" w:rsidRPr="00B275E2">
        <w:t>landfill gas recovery</w:t>
      </w:r>
      <w:bookmarkEnd w:id="709"/>
      <w:bookmarkEnd w:id="710"/>
    </w:p>
    <w:tbl>
      <w:tblPr>
        <w:tblStyle w:val="LightList-Accent11"/>
        <w:tblW w:w="8505"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Look w:val="04A0" w:firstRow="1" w:lastRow="0" w:firstColumn="1" w:lastColumn="0" w:noHBand="0" w:noVBand="1"/>
      </w:tblPr>
      <w:tblGrid>
        <w:gridCol w:w="3114"/>
        <w:gridCol w:w="4394"/>
        <w:gridCol w:w="997"/>
      </w:tblGrid>
      <w:tr w:rsidR="00F67ADF" w:rsidRPr="00B275E2" w14:paraId="25FEFCA0" w14:textId="77777777" w:rsidTr="00B531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4" w:type="dxa"/>
            <w:shd w:val="clear" w:color="auto" w:fill="1B556B" w:themeFill="text2"/>
            <w:hideMark/>
          </w:tcPr>
          <w:p w14:paraId="0A6A6203" w14:textId="6E56592D" w:rsidR="00F67ADF" w:rsidRPr="00B275E2" w:rsidRDefault="006F76B3" w:rsidP="00AE718C">
            <w:pPr>
              <w:pStyle w:val="TableText"/>
              <w:spacing w:before="50" w:after="50"/>
            </w:pPr>
            <w:r w:rsidRPr="00B275E2">
              <w:t>Name</w:t>
            </w:r>
          </w:p>
        </w:tc>
        <w:tc>
          <w:tcPr>
            <w:tcW w:w="4394" w:type="dxa"/>
            <w:shd w:val="clear" w:color="auto" w:fill="1B556B" w:themeFill="text2"/>
            <w:hideMark/>
          </w:tcPr>
          <w:p w14:paraId="2E3EB7BA" w14:textId="77777777" w:rsidR="00F67ADF" w:rsidRPr="00B275E2" w:rsidRDefault="00F67ADF" w:rsidP="00AE718C">
            <w:pPr>
              <w:pStyle w:val="TableText"/>
              <w:spacing w:before="50" w:after="50"/>
              <w:cnfStyle w:val="100000000000" w:firstRow="1" w:lastRow="0" w:firstColumn="0" w:lastColumn="0" w:oddVBand="0" w:evenVBand="0" w:oddHBand="0" w:evenHBand="0" w:firstRowFirstColumn="0" w:firstRowLastColumn="0" w:lastRowFirstColumn="0" w:lastRowLastColumn="0"/>
            </w:pPr>
            <w:r w:rsidRPr="00B275E2">
              <w:t>Operator</w:t>
            </w:r>
          </w:p>
        </w:tc>
        <w:tc>
          <w:tcPr>
            <w:tcW w:w="997" w:type="dxa"/>
            <w:shd w:val="clear" w:color="auto" w:fill="1B556B" w:themeFill="text2"/>
            <w:hideMark/>
          </w:tcPr>
          <w:p w14:paraId="371B1B9C" w14:textId="615965A8" w:rsidR="00F67ADF" w:rsidRPr="00B275E2" w:rsidRDefault="00F67ADF" w:rsidP="00AE718C">
            <w:pPr>
              <w:pStyle w:val="TableText"/>
              <w:spacing w:before="50" w:after="50"/>
              <w:cnfStyle w:val="100000000000" w:firstRow="1" w:lastRow="0" w:firstColumn="0" w:lastColumn="0" w:oddVBand="0" w:evenVBand="0" w:oddHBand="0" w:evenHBand="0" w:firstRowFirstColumn="0" w:firstRowLastColumn="0" w:lastRowFirstColumn="0" w:lastRowLastColumn="0"/>
            </w:pPr>
            <w:r w:rsidRPr="00B275E2">
              <w:t xml:space="preserve">LFGR </w:t>
            </w:r>
          </w:p>
        </w:tc>
      </w:tr>
      <w:tr w:rsidR="00F67ADF" w:rsidRPr="00B275E2" w14:paraId="082E142F" w14:textId="77777777" w:rsidTr="000D5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FFFFFF" w:themeColor="background1"/>
            </w:tcBorders>
            <w:shd w:val="clear" w:color="auto" w:fill="auto"/>
            <w:noWrap/>
          </w:tcPr>
          <w:p w14:paraId="422E4E82" w14:textId="15EE7984" w:rsidR="00F67ADF" w:rsidRPr="00B275E2" w:rsidRDefault="00A36942" w:rsidP="00AE718C">
            <w:pPr>
              <w:pStyle w:val="TableText"/>
              <w:spacing w:before="50" w:after="50"/>
              <w:rPr>
                <w:b w:val="0"/>
                <w:bCs w:val="0"/>
              </w:rPr>
            </w:pPr>
            <w:r w:rsidRPr="00B275E2">
              <w:rPr>
                <w:b w:val="0"/>
                <w:bCs w:val="0"/>
              </w:rPr>
              <w:t xml:space="preserve">AB Lime </w:t>
            </w:r>
            <w:r w:rsidR="00C964F5" w:rsidRPr="00B275E2">
              <w:rPr>
                <w:b w:val="0"/>
                <w:bCs w:val="0"/>
              </w:rPr>
              <w:t>Ltd</w:t>
            </w:r>
            <w:r w:rsidR="00CA48E9" w:rsidRPr="00B275E2">
              <w:rPr>
                <w:b w:val="0"/>
                <w:bCs w:val="0"/>
              </w:rPr>
              <w:t xml:space="preserve"> (Winton)</w:t>
            </w:r>
          </w:p>
        </w:tc>
        <w:tc>
          <w:tcPr>
            <w:tcW w:w="4394" w:type="dxa"/>
            <w:shd w:val="clear" w:color="auto" w:fill="auto"/>
            <w:noWrap/>
          </w:tcPr>
          <w:p w14:paraId="0586968A" w14:textId="7637F606" w:rsidR="00F67ADF" w:rsidRPr="00B275E2" w:rsidRDefault="00A36942" w:rsidP="00AE718C">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275E2">
              <w:t xml:space="preserve">AB Lime </w:t>
            </w:r>
            <w:r w:rsidR="00C964F5" w:rsidRPr="00B275E2">
              <w:t>Ltd</w:t>
            </w:r>
          </w:p>
        </w:tc>
        <w:tc>
          <w:tcPr>
            <w:tcW w:w="997" w:type="dxa"/>
            <w:tcBorders>
              <w:right w:val="single" w:sz="4" w:space="0" w:color="FFFFFF" w:themeColor="background1"/>
            </w:tcBorders>
            <w:shd w:val="clear" w:color="auto" w:fill="auto"/>
            <w:noWrap/>
          </w:tcPr>
          <w:p w14:paraId="1749E049" w14:textId="25DE074D" w:rsidR="00F67ADF" w:rsidRPr="00B275E2" w:rsidRDefault="001B22DB" w:rsidP="00AE718C">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275E2">
              <w:t>Yes</w:t>
            </w:r>
          </w:p>
        </w:tc>
      </w:tr>
      <w:tr w:rsidR="00F67ADF" w:rsidRPr="00B275E2" w14:paraId="5099C274" w14:textId="77777777" w:rsidTr="000D565E">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FFFFFF" w:themeColor="background1"/>
            </w:tcBorders>
            <w:shd w:val="clear" w:color="auto" w:fill="auto"/>
            <w:noWrap/>
          </w:tcPr>
          <w:p w14:paraId="6AC9035F" w14:textId="4DE6C5FD" w:rsidR="00F67ADF" w:rsidRPr="00B275E2" w:rsidRDefault="00A36942" w:rsidP="00AE718C">
            <w:pPr>
              <w:pStyle w:val="TableText"/>
              <w:spacing w:before="50" w:after="50"/>
              <w:rPr>
                <w:b w:val="0"/>
                <w:bCs w:val="0"/>
              </w:rPr>
            </w:pPr>
            <w:r w:rsidRPr="00B275E2">
              <w:rPr>
                <w:b w:val="0"/>
                <w:bCs w:val="0"/>
              </w:rPr>
              <w:t>Ahipara</w:t>
            </w:r>
            <w:r w:rsidR="00F67ADF" w:rsidRPr="00B275E2">
              <w:rPr>
                <w:b w:val="0"/>
                <w:bCs w:val="0"/>
              </w:rPr>
              <w:t xml:space="preserve"> Landfill</w:t>
            </w:r>
          </w:p>
        </w:tc>
        <w:tc>
          <w:tcPr>
            <w:tcW w:w="4394" w:type="dxa"/>
            <w:shd w:val="clear" w:color="auto" w:fill="auto"/>
            <w:noWrap/>
          </w:tcPr>
          <w:p w14:paraId="3C934B79" w14:textId="733ADBC3" w:rsidR="00F67ADF" w:rsidRPr="00B275E2" w:rsidRDefault="00A36942" w:rsidP="00AE718C">
            <w:pPr>
              <w:pStyle w:val="TableText"/>
              <w:spacing w:before="50" w:after="50"/>
              <w:cnfStyle w:val="000000000000" w:firstRow="0" w:lastRow="0" w:firstColumn="0" w:lastColumn="0" w:oddVBand="0" w:evenVBand="0" w:oddHBand="0" w:evenHBand="0" w:firstRowFirstColumn="0" w:firstRowLastColumn="0" w:lastRowFirstColumn="0" w:lastRowLastColumn="0"/>
            </w:pPr>
            <w:r w:rsidRPr="00B275E2">
              <w:t>Far North District Council</w:t>
            </w:r>
            <w:r w:rsidR="00E76A51" w:rsidRPr="00B275E2">
              <w:t xml:space="preserve"> </w:t>
            </w:r>
            <w:r w:rsidRPr="00B275E2">
              <w:t>(Pukepoto Quarries)</w:t>
            </w:r>
          </w:p>
        </w:tc>
        <w:tc>
          <w:tcPr>
            <w:tcW w:w="997" w:type="dxa"/>
            <w:tcBorders>
              <w:right w:val="single" w:sz="4" w:space="0" w:color="FFFFFF" w:themeColor="background1"/>
            </w:tcBorders>
            <w:shd w:val="clear" w:color="auto" w:fill="auto"/>
            <w:noWrap/>
          </w:tcPr>
          <w:p w14:paraId="79C33373" w14:textId="20ADD5E4" w:rsidR="00F67ADF" w:rsidRPr="00B275E2" w:rsidRDefault="00F67ADF" w:rsidP="00AE718C">
            <w:pPr>
              <w:pStyle w:val="TableText"/>
              <w:spacing w:before="50" w:after="50"/>
              <w:cnfStyle w:val="000000000000" w:firstRow="0" w:lastRow="0" w:firstColumn="0" w:lastColumn="0" w:oddVBand="0" w:evenVBand="0" w:oddHBand="0" w:evenHBand="0" w:firstRowFirstColumn="0" w:firstRowLastColumn="0" w:lastRowFirstColumn="0" w:lastRowLastColumn="0"/>
            </w:pPr>
            <w:r w:rsidRPr="00B275E2">
              <w:t xml:space="preserve">No </w:t>
            </w:r>
          </w:p>
        </w:tc>
      </w:tr>
      <w:tr w:rsidR="00F67ADF" w:rsidRPr="00B275E2" w14:paraId="01C9971D" w14:textId="77777777" w:rsidTr="000D5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FFFFFF" w:themeColor="background1"/>
            </w:tcBorders>
            <w:shd w:val="clear" w:color="auto" w:fill="auto"/>
            <w:noWrap/>
          </w:tcPr>
          <w:p w14:paraId="35C5C9C3" w14:textId="58C75E91" w:rsidR="00F67ADF" w:rsidRPr="00B275E2" w:rsidRDefault="00A36942" w:rsidP="00AE718C">
            <w:pPr>
              <w:pStyle w:val="TableText"/>
              <w:spacing w:before="50" w:after="50"/>
              <w:rPr>
                <w:b w:val="0"/>
                <w:bCs w:val="0"/>
              </w:rPr>
            </w:pPr>
            <w:r w:rsidRPr="00B275E2">
              <w:rPr>
                <w:b w:val="0"/>
                <w:bCs w:val="0"/>
              </w:rPr>
              <w:t>Bonny Glenn (Rangitikei District)</w:t>
            </w:r>
          </w:p>
        </w:tc>
        <w:tc>
          <w:tcPr>
            <w:tcW w:w="4394" w:type="dxa"/>
            <w:shd w:val="clear" w:color="auto" w:fill="auto"/>
            <w:noWrap/>
          </w:tcPr>
          <w:p w14:paraId="7FDA0DB6" w14:textId="403A6F11" w:rsidR="00F67ADF" w:rsidRPr="00B275E2" w:rsidRDefault="00A36942" w:rsidP="00AE718C">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275E2">
              <w:t xml:space="preserve">Midwest Disposal </w:t>
            </w:r>
            <w:r w:rsidR="00C964F5" w:rsidRPr="00B275E2">
              <w:t>Ltd</w:t>
            </w:r>
          </w:p>
        </w:tc>
        <w:tc>
          <w:tcPr>
            <w:tcW w:w="997" w:type="dxa"/>
            <w:tcBorders>
              <w:right w:val="single" w:sz="4" w:space="0" w:color="FFFFFF" w:themeColor="background1"/>
            </w:tcBorders>
            <w:shd w:val="clear" w:color="auto" w:fill="auto"/>
            <w:noWrap/>
          </w:tcPr>
          <w:p w14:paraId="6B4CF115" w14:textId="10D16542" w:rsidR="00F67ADF" w:rsidRPr="00B275E2" w:rsidRDefault="001B22DB" w:rsidP="00AE718C">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275E2">
              <w:t>Yes</w:t>
            </w:r>
          </w:p>
        </w:tc>
      </w:tr>
      <w:tr w:rsidR="00F67ADF" w:rsidRPr="00B275E2" w14:paraId="6C5A8390" w14:textId="77777777" w:rsidTr="000D565E">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FFFFFF" w:themeColor="background1"/>
            </w:tcBorders>
            <w:shd w:val="clear" w:color="auto" w:fill="auto"/>
            <w:noWrap/>
          </w:tcPr>
          <w:p w14:paraId="2DB6D6FA" w14:textId="3286303C" w:rsidR="00F67ADF" w:rsidRPr="00B275E2" w:rsidRDefault="00A36942" w:rsidP="00AE718C">
            <w:pPr>
              <w:pStyle w:val="TableText"/>
              <w:spacing w:before="50" w:after="50"/>
              <w:rPr>
                <w:b w:val="0"/>
                <w:bCs w:val="0"/>
              </w:rPr>
            </w:pPr>
            <w:r w:rsidRPr="00B275E2">
              <w:rPr>
                <w:b w:val="0"/>
                <w:bCs w:val="0"/>
              </w:rPr>
              <w:t>Broadlands Road Landfill</w:t>
            </w:r>
          </w:p>
        </w:tc>
        <w:tc>
          <w:tcPr>
            <w:tcW w:w="4394" w:type="dxa"/>
            <w:shd w:val="clear" w:color="auto" w:fill="auto"/>
            <w:noWrap/>
          </w:tcPr>
          <w:p w14:paraId="5A620B70" w14:textId="60F546F6" w:rsidR="00F67ADF" w:rsidRPr="00B275E2" w:rsidRDefault="00A36942" w:rsidP="00AE718C">
            <w:pPr>
              <w:pStyle w:val="TableText"/>
              <w:spacing w:before="50" w:after="50"/>
              <w:cnfStyle w:val="000000000000" w:firstRow="0" w:lastRow="0" w:firstColumn="0" w:lastColumn="0" w:oddVBand="0" w:evenVBand="0" w:oddHBand="0" w:evenHBand="0" w:firstRowFirstColumn="0" w:firstRowLastColumn="0" w:lastRowFirstColumn="0" w:lastRowLastColumn="0"/>
            </w:pPr>
            <w:r w:rsidRPr="00B275E2">
              <w:t>Taupo District Council</w:t>
            </w:r>
          </w:p>
        </w:tc>
        <w:tc>
          <w:tcPr>
            <w:tcW w:w="997" w:type="dxa"/>
            <w:tcBorders>
              <w:right w:val="single" w:sz="4" w:space="0" w:color="FFFFFF" w:themeColor="background1"/>
            </w:tcBorders>
            <w:shd w:val="clear" w:color="auto" w:fill="auto"/>
            <w:noWrap/>
          </w:tcPr>
          <w:p w14:paraId="7E5DB7A0" w14:textId="65D4CF72" w:rsidR="00F67ADF" w:rsidRPr="00B275E2" w:rsidRDefault="00A36942" w:rsidP="00AE718C">
            <w:pPr>
              <w:pStyle w:val="TableText"/>
              <w:spacing w:before="50" w:after="50"/>
              <w:cnfStyle w:val="000000000000" w:firstRow="0" w:lastRow="0" w:firstColumn="0" w:lastColumn="0" w:oddVBand="0" w:evenVBand="0" w:oddHBand="0" w:evenHBand="0" w:firstRowFirstColumn="0" w:firstRowLastColumn="0" w:lastRowFirstColumn="0" w:lastRowLastColumn="0"/>
            </w:pPr>
            <w:r w:rsidRPr="00B275E2">
              <w:t xml:space="preserve">No </w:t>
            </w:r>
          </w:p>
        </w:tc>
      </w:tr>
      <w:tr w:rsidR="00F67ADF" w:rsidRPr="00B275E2" w14:paraId="0CD5767B" w14:textId="77777777" w:rsidTr="000D5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FFFFFF" w:themeColor="background1"/>
            </w:tcBorders>
            <w:shd w:val="clear" w:color="auto" w:fill="auto"/>
            <w:noWrap/>
          </w:tcPr>
          <w:p w14:paraId="677610B0" w14:textId="4D7069D6" w:rsidR="00F67ADF" w:rsidRPr="00B275E2" w:rsidRDefault="00A36942" w:rsidP="00AE718C">
            <w:pPr>
              <w:pStyle w:val="TableText"/>
              <w:spacing w:before="50" w:after="50"/>
              <w:rPr>
                <w:b w:val="0"/>
                <w:bCs w:val="0"/>
              </w:rPr>
            </w:pPr>
            <w:r w:rsidRPr="00B275E2">
              <w:rPr>
                <w:b w:val="0"/>
                <w:bCs w:val="0"/>
              </w:rPr>
              <w:t>Burma Road Landfill</w:t>
            </w:r>
          </w:p>
        </w:tc>
        <w:tc>
          <w:tcPr>
            <w:tcW w:w="4394" w:type="dxa"/>
            <w:shd w:val="clear" w:color="auto" w:fill="auto"/>
            <w:noWrap/>
          </w:tcPr>
          <w:p w14:paraId="376B2700" w14:textId="6C9927F5" w:rsidR="00F67ADF" w:rsidRPr="00B275E2" w:rsidRDefault="00A36942" w:rsidP="00AE718C">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275E2">
              <w:t>Whakatane District Council</w:t>
            </w:r>
          </w:p>
        </w:tc>
        <w:tc>
          <w:tcPr>
            <w:tcW w:w="997" w:type="dxa"/>
            <w:tcBorders>
              <w:right w:val="single" w:sz="4" w:space="0" w:color="FFFFFF" w:themeColor="background1"/>
            </w:tcBorders>
            <w:shd w:val="clear" w:color="auto" w:fill="auto"/>
            <w:noWrap/>
          </w:tcPr>
          <w:p w14:paraId="24C3F688" w14:textId="6B59CB77" w:rsidR="00F67ADF" w:rsidRPr="00B275E2" w:rsidRDefault="00F67ADF" w:rsidP="00AE718C">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275E2">
              <w:t xml:space="preserve">No </w:t>
            </w:r>
          </w:p>
        </w:tc>
      </w:tr>
      <w:tr w:rsidR="00F67ADF" w:rsidRPr="00B275E2" w14:paraId="373B48CA" w14:textId="77777777" w:rsidTr="000D565E">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FFFFFF" w:themeColor="background1"/>
            </w:tcBorders>
            <w:shd w:val="clear" w:color="auto" w:fill="auto"/>
            <w:noWrap/>
          </w:tcPr>
          <w:p w14:paraId="742F1390" w14:textId="493CA0E6" w:rsidR="00F67ADF" w:rsidRPr="00B275E2" w:rsidRDefault="00A36942" w:rsidP="00AE718C">
            <w:pPr>
              <w:pStyle w:val="TableText"/>
              <w:spacing w:before="50" w:after="50"/>
              <w:rPr>
                <w:rFonts w:cs="Calibri"/>
                <w:b w:val="0"/>
                <w:szCs w:val="18"/>
              </w:rPr>
            </w:pPr>
            <w:r w:rsidRPr="00B275E2">
              <w:rPr>
                <w:rFonts w:cs="Calibri"/>
                <w:b w:val="0"/>
                <w:szCs w:val="18"/>
              </w:rPr>
              <w:t>Butlers</w:t>
            </w:r>
            <w:r w:rsidR="00F67ADF" w:rsidRPr="00B275E2">
              <w:rPr>
                <w:rFonts w:cs="Calibri"/>
                <w:b w:val="0"/>
                <w:szCs w:val="18"/>
              </w:rPr>
              <w:t xml:space="preserve"> Landfill</w:t>
            </w:r>
          </w:p>
        </w:tc>
        <w:tc>
          <w:tcPr>
            <w:tcW w:w="4394" w:type="dxa"/>
            <w:shd w:val="clear" w:color="auto" w:fill="auto"/>
            <w:noWrap/>
          </w:tcPr>
          <w:p w14:paraId="4D0E7512" w14:textId="35F57584" w:rsidR="00F67ADF" w:rsidRPr="00B275E2" w:rsidRDefault="00A36942"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275E2">
              <w:rPr>
                <w:rFonts w:cs="Calibri"/>
                <w:bCs/>
                <w:szCs w:val="18"/>
              </w:rPr>
              <w:t>Westland District Council</w:t>
            </w:r>
          </w:p>
        </w:tc>
        <w:tc>
          <w:tcPr>
            <w:tcW w:w="997" w:type="dxa"/>
            <w:tcBorders>
              <w:right w:val="single" w:sz="4" w:space="0" w:color="FFFFFF" w:themeColor="background1"/>
            </w:tcBorders>
            <w:shd w:val="clear" w:color="auto" w:fill="auto"/>
            <w:noWrap/>
          </w:tcPr>
          <w:p w14:paraId="3EAE13D3" w14:textId="35335966" w:rsidR="00F67ADF" w:rsidRPr="00B275E2" w:rsidRDefault="00F67ADF"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275E2">
              <w:rPr>
                <w:rFonts w:cs="Calibri"/>
                <w:bCs/>
                <w:szCs w:val="18"/>
              </w:rPr>
              <w:t xml:space="preserve">No </w:t>
            </w:r>
          </w:p>
        </w:tc>
      </w:tr>
      <w:tr w:rsidR="00F67ADF" w:rsidRPr="00B275E2" w14:paraId="419FCD80" w14:textId="77777777" w:rsidTr="000D5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FFFFFF" w:themeColor="background1"/>
            </w:tcBorders>
            <w:shd w:val="clear" w:color="auto" w:fill="auto"/>
            <w:noWrap/>
          </w:tcPr>
          <w:p w14:paraId="78643DA1" w14:textId="715DB2D8" w:rsidR="00F67ADF" w:rsidRPr="00B275E2" w:rsidRDefault="00A36942" w:rsidP="00AE718C">
            <w:pPr>
              <w:pStyle w:val="TableText"/>
              <w:spacing w:before="50" w:after="50"/>
              <w:rPr>
                <w:rFonts w:cs="Calibri"/>
                <w:b w:val="0"/>
                <w:szCs w:val="18"/>
              </w:rPr>
            </w:pPr>
            <w:r w:rsidRPr="00B275E2">
              <w:rPr>
                <w:rFonts w:cs="Calibri"/>
                <w:b w:val="0"/>
                <w:szCs w:val="18"/>
              </w:rPr>
              <w:t>Central Hawke</w:t>
            </w:r>
            <w:r w:rsidR="00DB5BCF" w:rsidRPr="00B275E2">
              <w:rPr>
                <w:rFonts w:cs="Calibri"/>
                <w:b w:val="0"/>
                <w:szCs w:val="18"/>
              </w:rPr>
              <w:t>’</w:t>
            </w:r>
            <w:r w:rsidRPr="00B275E2">
              <w:rPr>
                <w:rFonts w:cs="Calibri"/>
                <w:b w:val="0"/>
                <w:szCs w:val="18"/>
              </w:rPr>
              <w:t>s Bay District Landfill</w:t>
            </w:r>
          </w:p>
        </w:tc>
        <w:tc>
          <w:tcPr>
            <w:tcW w:w="4394" w:type="dxa"/>
            <w:shd w:val="clear" w:color="auto" w:fill="auto"/>
            <w:noWrap/>
          </w:tcPr>
          <w:p w14:paraId="389D37EF" w14:textId="33A1BF75" w:rsidR="00F67ADF" w:rsidRPr="00B275E2" w:rsidRDefault="00A36942"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275E2">
              <w:rPr>
                <w:rFonts w:cs="Calibri"/>
                <w:bCs/>
                <w:szCs w:val="18"/>
              </w:rPr>
              <w:t>Central Hawke</w:t>
            </w:r>
            <w:r w:rsidR="00DB5BCF" w:rsidRPr="00B275E2">
              <w:rPr>
                <w:rFonts w:cs="Calibri"/>
                <w:bCs/>
                <w:szCs w:val="18"/>
              </w:rPr>
              <w:t>’</w:t>
            </w:r>
            <w:r w:rsidRPr="00B275E2">
              <w:rPr>
                <w:rFonts w:cs="Calibri"/>
                <w:bCs/>
                <w:szCs w:val="18"/>
              </w:rPr>
              <w:t>s Bay District Council</w:t>
            </w:r>
          </w:p>
        </w:tc>
        <w:tc>
          <w:tcPr>
            <w:tcW w:w="997" w:type="dxa"/>
            <w:tcBorders>
              <w:right w:val="single" w:sz="4" w:space="0" w:color="FFFFFF" w:themeColor="background1"/>
            </w:tcBorders>
            <w:shd w:val="clear" w:color="auto" w:fill="auto"/>
            <w:noWrap/>
          </w:tcPr>
          <w:p w14:paraId="02779BC7" w14:textId="652AE8BB" w:rsidR="00F67ADF" w:rsidRPr="00B275E2" w:rsidRDefault="00F67ADF"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275E2">
              <w:rPr>
                <w:rFonts w:cs="Calibri"/>
                <w:bCs/>
                <w:szCs w:val="18"/>
              </w:rPr>
              <w:t xml:space="preserve">No </w:t>
            </w:r>
          </w:p>
        </w:tc>
      </w:tr>
      <w:tr w:rsidR="00F67ADF" w:rsidRPr="00B275E2" w14:paraId="310BA82C" w14:textId="77777777" w:rsidTr="000D565E">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FFFFFF" w:themeColor="background1"/>
            </w:tcBorders>
            <w:shd w:val="clear" w:color="auto" w:fill="auto"/>
            <w:noWrap/>
          </w:tcPr>
          <w:p w14:paraId="2A9B87C9" w14:textId="057BA340" w:rsidR="00F67ADF" w:rsidRPr="00B275E2" w:rsidRDefault="00A36942" w:rsidP="00AE718C">
            <w:pPr>
              <w:pStyle w:val="TableText"/>
              <w:spacing w:before="50" w:after="50"/>
              <w:rPr>
                <w:rFonts w:cs="Calibri"/>
                <w:b w:val="0"/>
                <w:szCs w:val="18"/>
              </w:rPr>
            </w:pPr>
            <w:r w:rsidRPr="00B275E2">
              <w:rPr>
                <w:rFonts w:cs="Calibri"/>
                <w:b w:val="0"/>
                <w:szCs w:val="18"/>
              </w:rPr>
              <w:t>Claris Landfill</w:t>
            </w:r>
            <w:r w:rsidR="00D45BED" w:rsidRPr="00B275E2">
              <w:rPr>
                <w:rFonts w:cs="Calibri"/>
                <w:b w:val="0"/>
                <w:szCs w:val="18"/>
              </w:rPr>
              <w:t xml:space="preserve"> (Great Barrier Island)</w:t>
            </w:r>
          </w:p>
        </w:tc>
        <w:tc>
          <w:tcPr>
            <w:tcW w:w="4394" w:type="dxa"/>
            <w:shd w:val="clear" w:color="auto" w:fill="auto"/>
            <w:noWrap/>
          </w:tcPr>
          <w:p w14:paraId="2BB50429" w14:textId="33DB739B" w:rsidR="00F67ADF" w:rsidRPr="00B275E2" w:rsidRDefault="00A36942"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275E2">
              <w:rPr>
                <w:rFonts w:cs="Calibri"/>
                <w:bCs/>
                <w:szCs w:val="18"/>
              </w:rPr>
              <w:t>Auckland City Council</w:t>
            </w:r>
          </w:p>
        </w:tc>
        <w:tc>
          <w:tcPr>
            <w:tcW w:w="997" w:type="dxa"/>
            <w:tcBorders>
              <w:right w:val="single" w:sz="4" w:space="0" w:color="FFFFFF" w:themeColor="background1"/>
            </w:tcBorders>
            <w:shd w:val="clear" w:color="auto" w:fill="auto"/>
            <w:noWrap/>
          </w:tcPr>
          <w:p w14:paraId="5A6D6013" w14:textId="29AA40FC" w:rsidR="00F67ADF" w:rsidRPr="00B275E2" w:rsidRDefault="00A36942"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275E2">
              <w:rPr>
                <w:rFonts w:cs="Calibri"/>
                <w:bCs/>
                <w:szCs w:val="18"/>
              </w:rPr>
              <w:t xml:space="preserve">No </w:t>
            </w:r>
          </w:p>
        </w:tc>
      </w:tr>
      <w:tr w:rsidR="00F67ADF" w:rsidRPr="00B275E2" w14:paraId="41422959" w14:textId="77777777" w:rsidTr="000D5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FFFFFF" w:themeColor="background1"/>
            </w:tcBorders>
            <w:shd w:val="clear" w:color="auto" w:fill="auto"/>
            <w:noWrap/>
          </w:tcPr>
          <w:p w14:paraId="273F6FB6" w14:textId="5826ABD3" w:rsidR="00F67ADF" w:rsidRPr="00B275E2" w:rsidRDefault="00A36942" w:rsidP="00AE718C">
            <w:pPr>
              <w:pStyle w:val="TableText"/>
              <w:spacing w:before="50" w:after="50"/>
              <w:rPr>
                <w:rFonts w:cs="Calibri"/>
                <w:b w:val="0"/>
                <w:szCs w:val="18"/>
              </w:rPr>
            </w:pPr>
            <w:r w:rsidRPr="00B275E2">
              <w:rPr>
                <w:rFonts w:cs="Calibri"/>
                <w:b w:val="0"/>
                <w:szCs w:val="18"/>
              </w:rPr>
              <w:t>Colson Road Regional Landfill</w:t>
            </w:r>
          </w:p>
        </w:tc>
        <w:tc>
          <w:tcPr>
            <w:tcW w:w="4394" w:type="dxa"/>
            <w:shd w:val="clear" w:color="auto" w:fill="auto"/>
            <w:noWrap/>
          </w:tcPr>
          <w:p w14:paraId="47AD56C8" w14:textId="5E9A9923" w:rsidR="00F67ADF" w:rsidRPr="00B275E2" w:rsidRDefault="00A36942"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275E2">
              <w:rPr>
                <w:rFonts w:cs="Calibri"/>
                <w:bCs/>
                <w:szCs w:val="18"/>
              </w:rPr>
              <w:t>New Plymouth District Council</w:t>
            </w:r>
          </w:p>
        </w:tc>
        <w:tc>
          <w:tcPr>
            <w:tcW w:w="997" w:type="dxa"/>
            <w:tcBorders>
              <w:right w:val="single" w:sz="4" w:space="0" w:color="FFFFFF" w:themeColor="background1"/>
            </w:tcBorders>
            <w:shd w:val="clear" w:color="auto" w:fill="auto"/>
            <w:noWrap/>
          </w:tcPr>
          <w:p w14:paraId="5FE7234D" w14:textId="511461CD" w:rsidR="00F67ADF" w:rsidRPr="00B275E2" w:rsidRDefault="00637883"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275E2">
              <w:rPr>
                <w:rFonts w:cs="Calibri"/>
                <w:bCs/>
                <w:szCs w:val="18"/>
              </w:rPr>
              <w:t>Closed</w:t>
            </w:r>
            <w:r w:rsidR="00A36942" w:rsidRPr="00B275E2">
              <w:rPr>
                <w:rFonts w:cs="Calibri"/>
                <w:bCs/>
                <w:szCs w:val="18"/>
              </w:rPr>
              <w:t xml:space="preserve"> </w:t>
            </w:r>
          </w:p>
        </w:tc>
      </w:tr>
      <w:tr w:rsidR="00F67ADF" w:rsidRPr="00B275E2" w14:paraId="47F91819" w14:textId="77777777" w:rsidTr="000D565E">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FFFFFF" w:themeColor="background1"/>
            </w:tcBorders>
            <w:shd w:val="clear" w:color="auto" w:fill="auto"/>
            <w:noWrap/>
          </w:tcPr>
          <w:p w14:paraId="22391626" w14:textId="361C9E66" w:rsidR="00F67ADF" w:rsidRPr="00B275E2" w:rsidRDefault="00A36942" w:rsidP="00AE718C">
            <w:pPr>
              <w:pStyle w:val="TableText"/>
              <w:spacing w:before="50" w:after="50"/>
              <w:rPr>
                <w:rFonts w:cs="Calibri"/>
                <w:b w:val="0"/>
                <w:szCs w:val="18"/>
              </w:rPr>
            </w:pPr>
            <w:r w:rsidRPr="00B275E2">
              <w:rPr>
                <w:rFonts w:cs="Calibri"/>
                <w:b w:val="0"/>
                <w:szCs w:val="18"/>
              </w:rPr>
              <w:t>Eketahuna</w:t>
            </w:r>
            <w:r w:rsidR="00F67ADF" w:rsidRPr="00B275E2">
              <w:rPr>
                <w:rFonts w:cs="Calibri"/>
                <w:b w:val="0"/>
                <w:szCs w:val="18"/>
              </w:rPr>
              <w:t xml:space="preserve"> Landfill</w:t>
            </w:r>
          </w:p>
        </w:tc>
        <w:tc>
          <w:tcPr>
            <w:tcW w:w="4394" w:type="dxa"/>
            <w:shd w:val="clear" w:color="auto" w:fill="auto"/>
            <w:noWrap/>
          </w:tcPr>
          <w:p w14:paraId="031368FB" w14:textId="02F5859A" w:rsidR="00F67ADF" w:rsidRPr="00B275E2" w:rsidRDefault="00A36942"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275E2">
              <w:rPr>
                <w:rFonts w:cs="Calibri"/>
                <w:bCs/>
                <w:szCs w:val="18"/>
              </w:rPr>
              <w:t>Tararua District Council</w:t>
            </w:r>
          </w:p>
        </w:tc>
        <w:tc>
          <w:tcPr>
            <w:tcW w:w="997" w:type="dxa"/>
            <w:tcBorders>
              <w:right w:val="single" w:sz="4" w:space="0" w:color="FFFFFF" w:themeColor="background1"/>
            </w:tcBorders>
            <w:shd w:val="clear" w:color="auto" w:fill="auto"/>
            <w:noWrap/>
          </w:tcPr>
          <w:p w14:paraId="1AAF0900" w14:textId="40C7D05F" w:rsidR="00F67ADF" w:rsidRPr="00B275E2" w:rsidRDefault="00A36942"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275E2">
              <w:rPr>
                <w:rFonts w:cs="Calibri"/>
                <w:bCs/>
                <w:szCs w:val="18"/>
              </w:rPr>
              <w:t xml:space="preserve">No </w:t>
            </w:r>
          </w:p>
        </w:tc>
      </w:tr>
      <w:tr w:rsidR="00F67ADF" w:rsidRPr="00B275E2" w14:paraId="2C777444" w14:textId="77777777" w:rsidTr="000D5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FFFFFF" w:themeColor="background1"/>
            </w:tcBorders>
            <w:shd w:val="clear" w:color="auto" w:fill="auto"/>
            <w:noWrap/>
          </w:tcPr>
          <w:p w14:paraId="3A1E526C" w14:textId="166EE67E" w:rsidR="00F67ADF" w:rsidRPr="00B275E2" w:rsidRDefault="00A36942" w:rsidP="00AE718C">
            <w:pPr>
              <w:pStyle w:val="TableText"/>
              <w:spacing w:before="50" w:after="50"/>
              <w:rPr>
                <w:rFonts w:cs="Calibri"/>
                <w:b w:val="0"/>
                <w:szCs w:val="18"/>
              </w:rPr>
            </w:pPr>
            <w:r w:rsidRPr="00B275E2">
              <w:rPr>
                <w:rFonts w:cs="Calibri"/>
                <w:b w:val="0"/>
                <w:szCs w:val="18"/>
              </w:rPr>
              <w:t>Eves Valley</w:t>
            </w:r>
            <w:r w:rsidR="00F67ADF" w:rsidRPr="00B275E2">
              <w:rPr>
                <w:rFonts w:cs="Calibri"/>
                <w:b w:val="0"/>
                <w:szCs w:val="18"/>
              </w:rPr>
              <w:t xml:space="preserve"> Landfill</w:t>
            </w:r>
          </w:p>
        </w:tc>
        <w:tc>
          <w:tcPr>
            <w:tcW w:w="4394" w:type="dxa"/>
            <w:shd w:val="clear" w:color="auto" w:fill="auto"/>
            <w:noWrap/>
          </w:tcPr>
          <w:p w14:paraId="384CBCD2" w14:textId="378D1E28" w:rsidR="00F67ADF" w:rsidRPr="00B275E2" w:rsidRDefault="00A36942"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275E2">
              <w:rPr>
                <w:rFonts w:cs="Calibri"/>
                <w:bCs/>
                <w:szCs w:val="18"/>
              </w:rPr>
              <w:t>Tasman District Council</w:t>
            </w:r>
          </w:p>
        </w:tc>
        <w:tc>
          <w:tcPr>
            <w:tcW w:w="997" w:type="dxa"/>
            <w:tcBorders>
              <w:right w:val="single" w:sz="4" w:space="0" w:color="FFFFFF" w:themeColor="background1"/>
            </w:tcBorders>
            <w:shd w:val="clear" w:color="auto" w:fill="auto"/>
            <w:noWrap/>
          </w:tcPr>
          <w:p w14:paraId="72F497FB" w14:textId="0A065FE6" w:rsidR="00F67ADF" w:rsidRPr="00B275E2" w:rsidRDefault="00A36942"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275E2">
              <w:rPr>
                <w:rFonts w:cs="Calibri"/>
                <w:bCs/>
                <w:szCs w:val="18"/>
              </w:rPr>
              <w:t xml:space="preserve">No </w:t>
            </w:r>
          </w:p>
        </w:tc>
      </w:tr>
      <w:tr w:rsidR="00F67ADF" w:rsidRPr="00B275E2" w14:paraId="18A4E6F9" w14:textId="77777777" w:rsidTr="000D565E">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FFFFFF" w:themeColor="background1"/>
            </w:tcBorders>
            <w:shd w:val="clear" w:color="auto" w:fill="auto"/>
            <w:noWrap/>
          </w:tcPr>
          <w:p w14:paraId="7DB426BF" w14:textId="68B7598E" w:rsidR="00F67ADF" w:rsidRPr="00B275E2" w:rsidRDefault="00A36942" w:rsidP="00AE718C">
            <w:pPr>
              <w:pStyle w:val="TableText"/>
              <w:spacing w:before="50" w:after="50"/>
              <w:rPr>
                <w:rFonts w:cs="Calibri"/>
                <w:b w:val="0"/>
                <w:szCs w:val="18"/>
              </w:rPr>
            </w:pPr>
            <w:r w:rsidRPr="00B275E2">
              <w:rPr>
                <w:rFonts w:cs="Calibri"/>
                <w:b w:val="0"/>
                <w:szCs w:val="18"/>
              </w:rPr>
              <w:t>Fairfield Landfill (Dunedin)</w:t>
            </w:r>
          </w:p>
        </w:tc>
        <w:tc>
          <w:tcPr>
            <w:tcW w:w="4394" w:type="dxa"/>
            <w:shd w:val="clear" w:color="auto" w:fill="auto"/>
            <w:noWrap/>
          </w:tcPr>
          <w:p w14:paraId="033F699F" w14:textId="305825A6" w:rsidR="00F67ADF" w:rsidRPr="00B275E2" w:rsidRDefault="00A36942"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275E2">
              <w:rPr>
                <w:rFonts w:cs="Calibri"/>
                <w:bCs/>
                <w:szCs w:val="18"/>
              </w:rPr>
              <w:t xml:space="preserve">Transpacific Industries Group (NZ) </w:t>
            </w:r>
            <w:r w:rsidR="00C964F5" w:rsidRPr="00B275E2">
              <w:rPr>
                <w:rFonts w:cs="Calibri"/>
                <w:bCs/>
                <w:szCs w:val="18"/>
              </w:rPr>
              <w:t>Ltd</w:t>
            </w:r>
          </w:p>
        </w:tc>
        <w:tc>
          <w:tcPr>
            <w:tcW w:w="997" w:type="dxa"/>
            <w:tcBorders>
              <w:right w:val="single" w:sz="4" w:space="0" w:color="FFFFFF" w:themeColor="background1"/>
            </w:tcBorders>
            <w:shd w:val="clear" w:color="auto" w:fill="auto"/>
            <w:noWrap/>
          </w:tcPr>
          <w:p w14:paraId="32C3B288" w14:textId="0903A0DC" w:rsidR="00F67ADF" w:rsidRPr="00B275E2" w:rsidRDefault="00A36942"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275E2">
              <w:rPr>
                <w:rFonts w:cs="Calibri"/>
                <w:bCs/>
                <w:szCs w:val="18"/>
              </w:rPr>
              <w:t>Unknown</w:t>
            </w:r>
          </w:p>
        </w:tc>
      </w:tr>
      <w:tr w:rsidR="00F67ADF" w:rsidRPr="00B275E2" w14:paraId="538757DE" w14:textId="77777777" w:rsidTr="000D5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FFFFFF" w:themeColor="background1"/>
            </w:tcBorders>
            <w:shd w:val="clear" w:color="auto" w:fill="auto"/>
            <w:noWrap/>
          </w:tcPr>
          <w:p w14:paraId="093DA797" w14:textId="6B3ED19D" w:rsidR="00F67ADF" w:rsidRPr="00B275E2" w:rsidRDefault="00A36942" w:rsidP="00AE718C">
            <w:pPr>
              <w:pStyle w:val="TableText"/>
              <w:spacing w:before="50" w:after="50"/>
              <w:rPr>
                <w:rFonts w:cs="Calibri"/>
                <w:b w:val="0"/>
                <w:szCs w:val="18"/>
              </w:rPr>
            </w:pPr>
            <w:r w:rsidRPr="00B275E2">
              <w:rPr>
                <w:rFonts w:cs="Calibri"/>
                <w:b w:val="0"/>
                <w:szCs w:val="18"/>
              </w:rPr>
              <w:t>Franz Josef Refuse Station</w:t>
            </w:r>
          </w:p>
        </w:tc>
        <w:tc>
          <w:tcPr>
            <w:tcW w:w="4394" w:type="dxa"/>
            <w:shd w:val="clear" w:color="auto" w:fill="auto"/>
            <w:noWrap/>
          </w:tcPr>
          <w:p w14:paraId="1D530A20" w14:textId="63FC6EFE" w:rsidR="00F67ADF" w:rsidRPr="00B275E2" w:rsidRDefault="00A36942"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275E2">
              <w:rPr>
                <w:rFonts w:cs="Calibri"/>
                <w:bCs/>
                <w:szCs w:val="18"/>
              </w:rPr>
              <w:t>Westland</w:t>
            </w:r>
            <w:r w:rsidR="00F67ADF" w:rsidRPr="00B275E2">
              <w:rPr>
                <w:rFonts w:cs="Calibri"/>
                <w:bCs/>
                <w:szCs w:val="18"/>
              </w:rPr>
              <w:t xml:space="preserve"> District Council</w:t>
            </w:r>
          </w:p>
        </w:tc>
        <w:tc>
          <w:tcPr>
            <w:tcW w:w="997" w:type="dxa"/>
            <w:tcBorders>
              <w:right w:val="single" w:sz="4" w:space="0" w:color="FFFFFF" w:themeColor="background1"/>
            </w:tcBorders>
            <w:shd w:val="clear" w:color="auto" w:fill="auto"/>
            <w:noWrap/>
          </w:tcPr>
          <w:p w14:paraId="15B81EEE" w14:textId="663AE2F5" w:rsidR="00F67ADF" w:rsidRPr="00B275E2" w:rsidRDefault="00A36942"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275E2">
              <w:rPr>
                <w:rFonts w:cs="Calibri"/>
                <w:bCs/>
                <w:szCs w:val="18"/>
              </w:rPr>
              <w:t>Closed</w:t>
            </w:r>
          </w:p>
        </w:tc>
      </w:tr>
      <w:tr w:rsidR="00F67ADF" w:rsidRPr="00B275E2" w14:paraId="17381DCA" w14:textId="77777777" w:rsidTr="000D565E">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FFFFFF" w:themeColor="background1"/>
            </w:tcBorders>
            <w:shd w:val="clear" w:color="auto" w:fill="auto"/>
            <w:noWrap/>
          </w:tcPr>
          <w:p w14:paraId="0A42BD76" w14:textId="7C21C54A" w:rsidR="00F67ADF" w:rsidRPr="00B275E2" w:rsidRDefault="00A36942" w:rsidP="00AE718C">
            <w:pPr>
              <w:pStyle w:val="TableText"/>
              <w:spacing w:before="50" w:after="50"/>
              <w:rPr>
                <w:rFonts w:cs="Calibri"/>
                <w:b w:val="0"/>
                <w:szCs w:val="18"/>
              </w:rPr>
            </w:pPr>
            <w:r w:rsidRPr="00B275E2">
              <w:rPr>
                <w:rFonts w:cs="Calibri"/>
                <w:b w:val="0"/>
                <w:szCs w:val="18"/>
              </w:rPr>
              <w:t>Green Island</w:t>
            </w:r>
            <w:r w:rsidR="00F67ADF" w:rsidRPr="00B275E2">
              <w:rPr>
                <w:rFonts w:cs="Calibri"/>
                <w:b w:val="0"/>
                <w:szCs w:val="18"/>
              </w:rPr>
              <w:t xml:space="preserve"> Landfill</w:t>
            </w:r>
          </w:p>
        </w:tc>
        <w:tc>
          <w:tcPr>
            <w:tcW w:w="4394" w:type="dxa"/>
            <w:shd w:val="clear" w:color="auto" w:fill="auto"/>
            <w:noWrap/>
          </w:tcPr>
          <w:p w14:paraId="3D6B1B3A" w14:textId="369AA47D" w:rsidR="00F67ADF" w:rsidRPr="00B275E2" w:rsidRDefault="00A36942"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275E2">
              <w:rPr>
                <w:rFonts w:cs="Calibri"/>
                <w:bCs/>
                <w:szCs w:val="18"/>
              </w:rPr>
              <w:t>Dunedin City Council</w:t>
            </w:r>
          </w:p>
        </w:tc>
        <w:tc>
          <w:tcPr>
            <w:tcW w:w="997" w:type="dxa"/>
            <w:tcBorders>
              <w:right w:val="single" w:sz="4" w:space="0" w:color="FFFFFF" w:themeColor="background1"/>
            </w:tcBorders>
            <w:shd w:val="clear" w:color="auto" w:fill="auto"/>
            <w:noWrap/>
          </w:tcPr>
          <w:p w14:paraId="51006539" w14:textId="222DAABC" w:rsidR="00F67ADF" w:rsidRPr="00B275E2" w:rsidRDefault="007C55A6"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275E2">
              <w:rPr>
                <w:rFonts w:cs="Calibri"/>
                <w:bCs/>
                <w:szCs w:val="18"/>
              </w:rPr>
              <w:t>Yes</w:t>
            </w:r>
          </w:p>
        </w:tc>
      </w:tr>
      <w:tr w:rsidR="00F67ADF" w:rsidRPr="00B275E2" w14:paraId="1665C496" w14:textId="77777777" w:rsidTr="000D5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FFFFFF" w:themeColor="background1"/>
            </w:tcBorders>
            <w:shd w:val="clear" w:color="auto" w:fill="auto"/>
            <w:noWrap/>
          </w:tcPr>
          <w:p w14:paraId="5EDB9F4E" w14:textId="0C93C945" w:rsidR="00F67ADF" w:rsidRPr="00B275E2" w:rsidRDefault="00A36942" w:rsidP="00AE718C">
            <w:pPr>
              <w:pStyle w:val="TableText"/>
              <w:spacing w:before="50" w:after="50"/>
              <w:rPr>
                <w:rFonts w:cs="Calibri"/>
                <w:b w:val="0"/>
                <w:szCs w:val="18"/>
              </w:rPr>
            </w:pPr>
            <w:r w:rsidRPr="00B275E2">
              <w:rPr>
                <w:rFonts w:cs="Calibri"/>
                <w:b w:val="0"/>
                <w:szCs w:val="18"/>
              </w:rPr>
              <w:t>Haast Refuse Station</w:t>
            </w:r>
          </w:p>
        </w:tc>
        <w:tc>
          <w:tcPr>
            <w:tcW w:w="4394" w:type="dxa"/>
            <w:shd w:val="clear" w:color="auto" w:fill="auto"/>
            <w:noWrap/>
          </w:tcPr>
          <w:p w14:paraId="2A7B53C5" w14:textId="1C9D1431" w:rsidR="00F67ADF" w:rsidRPr="00B275E2" w:rsidRDefault="00A36942"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275E2">
              <w:rPr>
                <w:rFonts w:cs="Calibri"/>
                <w:bCs/>
                <w:szCs w:val="18"/>
              </w:rPr>
              <w:t>Westland</w:t>
            </w:r>
            <w:r w:rsidR="00F67ADF" w:rsidRPr="00B275E2">
              <w:rPr>
                <w:rFonts w:cs="Calibri"/>
                <w:bCs/>
                <w:szCs w:val="18"/>
              </w:rPr>
              <w:t xml:space="preserve"> District Council</w:t>
            </w:r>
          </w:p>
        </w:tc>
        <w:tc>
          <w:tcPr>
            <w:tcW w:w="997" w:type="dxa"/>
            <w:tcBorders>
              <w:right w:val="single" w:sz="4" w:space="0" w:color="FFFFFF" w:themeColor="background1"/>
            </w:tcBorders>
            <w:shd w:val="clear" w:color="auto" w:fill="auto"/>
            <w:noWrap/>
          </w:tcPr>
          <w:p w14:paraId="58497DA3" w14:textId="3648EEBF" w:rsidR="00F67ADF" w:rsidRPr="00B275E2" w:rsidRDefault="00F67ADF"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275E2">
              <w:rPr>
                <w:rFonts w:cs="Calibri"/>
                <w:bCs/>
                <w:szCs w:val="18"/>
              </w:rPr>
              <w:t xml:space="preserve">No </w:t>
            </w:r>
          </w:p>
        </w:tc>
      </w:tr>
      <w:tr w:rsidR="00F67ADF" w:rsidRPr="00B275E2" w14:paraId="44152F3B" w14:textId="77777777" w:rsidTr="000D565E">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FFFFFF" w:themeColor="background1"/>
            </w:tcBorders>
            <w:shd w:val="clear" w:color="auto" w:fill="auto"/>
            <w:noWrap/>
          </w:tcPr>
          <w:p w14:paraId="59337752" w14:textId="099F5897" w:rsidR="00F67ADF" w:rsidRPr="00B275E2" w:rsidRDefault="00A36942" w:rsidP="00AE718C">
            <w:pPr>
              <w:pStyle w:val="TableText"/>
              <w:spacing w:before="50" w:after="50"/>
              <w:rPr>
                <w:rFonts w:cs="Calibri"/>
                <w:b w:val="0"/>
                <w:szCs w:val="18"/>
              </w:rPr>
            </w:pPr>
            <w:r w:rsidRPr="00B275E2">
              <w:rPr>
                <w:rFonts w:cs="Calibri"/>
                <w:b w:val="0"/>
                <w:szCs w:val="18"/>
              </w:rPr>
              <w:t>Hampton Downs Landfill</w:t>
            </w:r>
          </w:p>
        </w:tc>
        <w:tc>
          <w:tcPr>
            <w:tcW w:w="4394" w:type="dxa"/>
            <w:shd w:val="clear" w:color="auto" w:fill="auto"/>
            <w:noWrap/>
          </w:tcPr>
          <w:p w14:paraId="267573E9" w14:textId="396F8DE3" w:rsidR="00F67ADF" w:rsidRPr="00B275E2" w:rsidRDefault="00A36942"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275E2">
              <w:rPr>
                <w:rFonts w:cs="Calibri"/>
                <w:bCs/>
                <w:szCs w:val="18"/>
              </w:rPr>
              <w:t>EnviroWaste Services Ltd</w:t>
            </w:r>
          </w:p>
        </w:tc>
        <w:tc>
          <w:tcPr>
            <w:tcW w:w="997" w:type="dxa"/>
            <w:tcBorders>
              <w:right w:val="single" w:sz="4" w:space="0" w:color="FFFFFF" w:themeColor="background1"/>
            </w:tcBorders>
            <w:shd w:val="clear" w:color="auto" w:fill="auto"/>
            <w:noWrap/>
          </w:tcPr>
          <w:p w14:paraId="02EC7370" w14:textId="59718556" w:rsidR="00F67ADF" w:rsidRPr="00B275E2" w:rsidRDefault="007C55A6"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275E2">
              <w:rPr>
                <w:rFonts w:cs="Calibri"/>
                <w:bCs/>
                <w:szCs w:val="18"/>
              </w:rPr>
              <w:t>Yes</w:t>
            </w:r>
          </w:p>
        </w:tc>
      </w:tr>
      <w:tr w:rsidR="00F67ADF" w:rsidRPr="00B275E2" w14:paraId="094CFE03" w14:textId="77777777" w:rsidTr="000D5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FFFFFF" w:themeColor="background1"/>
            </w:tcBorders>
            <w:shd w:val="clear" w:color="auto" w:fill="auto"/>
            <w:noWrap/>
          </w:tcPr>
          <w:p w14:paraId="7BC1D654" w14:textId="166BA0E4" w:rsidR="00F67ADF" w:rsidRPr="00B275E2" w:rsidRDefault="00A36942" w:rsidP="00AE718C">
            <w:pPr>
              <w:pStyle w:val="TableText"/>
              <w:spacing w:before="50" w:after="50"/>
              <w:rPr>
                <w:rFonts w:cs="Calibri"/>
                <w:b w:val="0"/>
                <w:szCs w:val="18"/>
              </w:rPr>
            </w:pPr>
            <w:r w:rsidRPr="00B275E2">
              <w:rPr>
                <w:rFonts w:cs="Calibri"/>
                <w:b w:val="0"/>
                <w:szCs w:val="18"/>
              </w:rPr>
              <w:t>Innovative waste Kaikoura</w:t>
            </w:r>
          </w:p>
        </w:tc>
        <w:tc>
          <w:tcPr>
            <w:tcW w:w="4394" w:type="dxa"/>
            <w:shd w:val="clear" w:color="auto" w:fill="auto"/>
            <w:noWrap/>
          </w:tcPr>
          <w:p w14:paraId="56485AF0" w14:textId="3A080666" w:rsidR="00F67ADF" w:rsidRPr="00B275E2" w:rsidRDefault="00A36942"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275E2">
              <w:rPr>
                <w:rFonts w:cs="Calibri"/>
                <w:bCs/>
                <w:szCs w:val="18"/>
              </w:rPr>
              <w:t>Innovative Waste Kaikoura Ltd</w:t>
            </w:r>
          </w:p>
        </w:tc>
        <w:tc>
          <w:tcPr>
            <w:tcW w:w="997" w:type="dxa"/>
            <w:tcBorders>
              <w:right w:val="single" w:sz="4" w:space="0" w:color="FFFFFF" w:themeColor="background1"/>
            </w:tcBorders>
            <w:shd w:val="clear" w:color="auto" w:fill="auto"/>
            <w:noWrap/>
          </w:tcPr>
          <w:p w14:paraId="30D57DEF" w14:textId="66AC581B" w:rsidR="00F67ADF" w:rsidRPr="00B275E2" w:rsidRDefault="00F67ADF"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275E2">
              <w:rPr>
                <w:rFonts w:cs="Calibri"/>
                <w:bCs/>
                <w:szCs w:val="18"/>
              </w:rPr>
              <w:t xml:space="preserve">No </w:t>
            </w:r>
          </w:p>
        </w:tc>
      </w:tr>
      <w:tr w:rsidR="00F67ADF" w:rsidRPr="00B275E2" w14:paraId="79D7A0D8" w14:textId="77777777" w:rsidTr="000D565E">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FFFFFF" w:themeColor="background1"/>
            </w:tcBorders>
            <w:shd w:val="clear" w:color="auto" w:fill="auto"/>
            <w:noWrap/>
          </w:tcPr>
          <w:p w14:paraId="69B977CD" w14:textId="14C17A50" w:rsidR="00F67ADF" w:rsidRPr="00B275E2" w:rsidRDefault="00A36942" w:rsidP="00AE718C">
            <w:pPr>
              <w:pStyle w:val="TableText"/>
              <w:spacing w:before="50" w:after="50"/>
              <w:rPr>
                <w:rFonts w:cs="Calibri"/>
                <w:b w:val="0"/>
                <w:szCs w:val="18"/>
              </w:rPr>
            </w:pPr>
            <w:r w:rsidRPr="00B275E2">
              <w:rPr>
                <w:rFonts w:cs="Calibri"/>
                <w:b w:val="0"/>
                <w:szCs w:val="18"/>
              </w:rPr>
              <w:t>Karamea Refuse Tip</w:t>
            </w:r>
          </w:p>
        </w:tc>
        <w:tc>
          <w:tcPr>
            <w:tcW w:w="4394" w:type="dxa"/>
            <w:shd w:val="clear" w:color="auto" w:fill="auto"/>
            <w:noWrap/>
          </w:tcPr>
          <w:p w14:paraId="0B35F4F4" w14:textId="5D7DF905" w:rsidR="00F67ADF" w:rsidRPr="00B275E2" w:rsidRDefault="00A36942"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275E2">
              <w:rPr>
                <w:rFonts w:cs="Calibri"/>
                <w:bCs/>
                <w:szCs w:val="18"/>
              </w:rPr>
              <w:t>Buller</w:t>
            </w:r>
            <w:r w:rsidR="00F67ADF" w:rsidRPr="00B275E2">
              <w:rPr>
                <w:rFonts w:cs="Calibri"/>
                <w:bCs/>
                <w:szCs w:val="18"/>
              </w:rPr>
              <w:t xml:space="preserve"> District Council</w:t>
            </w:r>
          </w:p>
        </w:tc>
        <w:tc>
          <w:tcPr>
            <w:tcW w:w="997" w:type="dxa"/>
            <w:tcBorders>
              <w:right w:val="single" w:sz="4" w:space="0" w:color="FFFFFF" w:themeColor="background1"/>
            </w:tcBorders>
            <w:shd w:val="clear" w:color="auto" w:fill="auto"/>
            <w:noWrap/>
          </w:tcPr>
          <w:p w14:paraId="3002E352" w14:textId="2227D3D0" w:rsidR="00F67ADF" w:rsidRPr="00B275E2" w:rsidRDefault="00F67ADF"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275E2">
              <w:rPr>
                <w:rFonts w:cs="Calibri"/>
                <w:bCs/>
                <w:szCs w:val="18"/>
              </w:rPr>
              <w:t xml:space="preserve">No </w:t>
            </w:r>
          </w:p>
        </w:tc>
      </w:tr>
      <w:tr w:rsidR="00F67ADF" w:rsidRPr="00B275E2" w14:paraId="299C90A9" w14:textId="77777777" w:rsidTr="000D5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FFFFFF" w:themeColor="background1"/>
            </w:tcBorders>
            <w:shd w:val="clear" w:color="auto" w:fill="auto"/>
            <w:noWrap/>
          </w:tcPr>
          <w:p w14:paraId="6042796D" w14:textId="7C8639E4" w:rsidR="00F67ADF" w:rsidRPr="00B275E2" w:rsidRDefault="00A36942" w:rsidP="00AE718C">
            <w:pPr>
              <w:pStyle w:val="TableText"/>
              <w:spacing w:before="50" w:after="50"/>
              <w:rPr>
                <w:rFonts w:cs="Calibri"/>
                <w:b w:val="0"/>
                <w:szCs w:val="18"/>
              </w:rPr>
            </w:pPr>
            <w:r w:rsidRPr="00B275E2">
              <w:rPr>
                <w:rFonts w:cs="Calibri"/>
                <w:b w:val="0"/>
                <w:szCs w:val="18"/>
              </w:rPr>
              <w:t>Kate Valley</w:t>
            </w:r>
            <w:r w:rsidR="00D45BED" w:rsidRPr="00B275E2">
              <w:rPr>
                <w:rFonts w:cs="Calibri"/>
                <w:b w:val="0"/>
                <w:szCs w:val="18"/>
              </w:rPr>
              <w:t xml:space="preserve"> (Amberley)</w:t>
            </w:r>
          </w:p>
        </w:tc>
        <w:tc>
          <w:tcPr>
            <w:tcW w:w="4394" w:type="dxa"/>
            <w:shd w:val="clear" w:color="auto" w:fill="auto"/>
            <w:noWrap/>
          </w:tcPr>
          <w:p w14:paraId="71392748" w14:textId="08814E8C" w:rsidR="00F67ADF" w:rsidRPr="00B275E2" w:rsidRDefault="00A36942"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275E2">
              <w:rPr>
                <w:rFonts w:cs="Calibri"/>
                <w:bCs/>
                <w:szCs w:val="18"/>
              </w:rPr>
              <w:t>Canterbury Waste Services Ltd</w:t>
            </w:r>
          </w:p>
        </w:tc>
        <w:tc>
          <w:tcPr>
            <w:tcW w:w="997" w:type="dxa"/>
            <w:tcBorders>
              <w:right w:val="single" w:sz="4" w:space="0" w:color="FFFFFF" w:themeColor="background1"/>
            </w:tcBorders>
            <w:shd w:val="clear" w:color="auto" w:fill="auto"/>
            <w:noWrap/>
          </w:tcPr>
          <w:p w14:paraId="38A4E972" w14:textId="4C76D004" w:rsidR="00F67ADF" w:rsidRPr="00B275E2" w:rsidRDefault="007C55A6"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275E2">
              <w:rPr>
                <w:rFonts w:cs="Calibri"/>
                <w:bCs/>
                <w:szCs w:val="18"/>
              </w:rPr>
              <w:t>Yes</w:t>
            </w:r>
          </w:p>
        </w:tc>
      </w:tr>
      <w:tr w:rsidR="00F67ADF" w:rsidRPr="00B275E2" w14:paraId="1B49FCED" w14:textId="77777777" w:rsidTr="000D565E">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FFFFFF" w:themeColor="background1"/>
            </w:tcBorders>
            <w:shd w:val="clear" w:color="auto" w:fill="auto"/>
            <w:noWrap/>
          </w:tcPr>
          <w:p w14:paraId="7666597D" w14:textId="4DF275A5" w:rsidR="00F67ADF" w:rsidRPr="00B275E2" w:rsidRDefault="00A36942" w:rsidP="00AE718C">
            <w:pPr>
              <w:pStyle w:val="TableText"/>
              <w:spacing w:before="50" w:after="50"/>
              <w:rPr>
                <w:rFonts w:cs="Calibri"/>
                <w:b w:val="0"/>
                <w:szCs w:val="18"/>
              </w:rPr>
            </w:pPr>
            <w:r w:rsidRPr="00B275E2">
              <w:rPr>
                <w:rFonts w:cs="Calibri"/>
                <w:b w:val="0"/>
                <w:szCs w:val="18"/>
              </w:rPr>
              <w:t>Levin</w:t>
            </w:r>
            <w:r w:rsidR="00F67ADF" w:rsidRPr="00B275E2">
              <w:rPr>
                <w:rFonts w:cs="Calibri"/>
                <w:b w:val="0"/>
                <w:szCs w:val="18"/>
              </w:rPr>
              <w:t xml:space="preserve"> Landfill</w:t>
            </w:r>
          </w:p>
        </w:tc>
        <w:tc>
          <w:tcPr>
            <w:tcW w:w="4394" w:type="dxa"/>
            <w:shd w:val="clear" w:color="auto" w:fill="auto"/>
            <w:noWrap/>
          </w:tcPr>
          <w:p w14:paraId="4F841628" w14:textId="6998141B" w:rsidR="00F67ADF" w:rsidRPr="00B275E2" w:rsidRDefault="00A36942"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275E2">
              <w:rPr>
                <w:rFonts w:cs="Calibri"/>
                <w:bCs/>
                <w:szCs w:val="18"/>
              </w:rPr>
              <w:t>Horowhenua</w:t>
            </w:r>
            <w:r w:rsidR="00F67ADF" w:rsidRPr="00B275E2">
              <w:rPr>
                <w:rFonts w:cs="Calibri"/>
                <w:bCs/>
                <w:szCs w:val="18"/>
              </w:rPr>
              <w:t xml:space="preserve"> District Council</w:t>
            </w:r>
          </w:p>
        </w:tc>
        <w:tc>
          <w:tcPr>
            <w:tcW w:w="997" w:type="dxa"/>
            <w:tcBorders>
              <w:right w:val="single" w:sz="4" w:space="0" w:color="FFFFFF" w:themeColor="background1"/>
            </w:tcBorders>
            <w:shd w:val="clear" w:color="auto" w:fill="auto"/>
            <w:noWrap/>
          </w:tcPr>
          <w:p w14:paraId="1952DF37" w14:textId="30598979" w:rsidR="00F67ADF" w:rsidRPr="00B275E2" w:rsidRDefault="007C55A6"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275E2">
              <w:rPr>
                <w:rFonts w:cs="Calibri"/>
                <w:bCs/>
                <w:szCs w:val="18"/>
              </w:rPr>
              <w:t>Yes</w:t>
            </w:r>
          </w:p>
        </w:tc>
      </w:tr>
      <w:tr w:rsidR="00F67ADF" w:rsidRPr="00B275E2" w14:paraId="572F1160" w14:textId="77777777" w:rsidTr="000D5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FFFFFF" w:themeColor="background1"/>
            </w:tcBorders>
            <w:shd w:val="clear" w:color="auto" w:fill="auto"/>
            <w:noWrap/>
          </w:tcPr>
          <w:p w14:paraId="0078CF91" w14:textId="7105025B" w:rsidR="00F67ADF" w:rsidRPr="00B275E2" w:rsidRDefault="00A36942" w:rsidP="00AE718C">
            <w:pPr>
              <w:pStyle w:val="TableText"/>
              <w:spacing w:before="50" w:after="50"/>
              <w:rPr>
                <w:rFonts w:cs="Calibri"/>
                <w:b w:val="0"/>
                <w:szCs w:val="18"/>
              </w:rPr>
            </w:pPr>
            <w:r w:rsidRPr="00B275E2">
              <w:rPr>
                <w:rFonts w:cs="Calibri"/>
                <w:b w:val="0"/>
                <w:szCs w:val="18"/>
              </w:rPr>
              <w:t>Marlborough Regional Council (Bluegums)</w:t>
            </w:r>
          </w:p>
        </w:tc>
        <w:tc>
          <w:tcPr>
            <w:tcW w:w="4394" w:type="dxa"/>
            <w:shd w:val="clear" w:color="auto" w:fill="auto"/>
            <w:noWrap/>
          </w:tcPr>
          <w:p w14:paraId="35BF9B62" w14:textId="198B11AF" w:rsidR="00F67ADF" w:rsidRPr="00B275E2" w:rsidRDefault="00A36942"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275E2">
              <w:rPr>
                <w:rFonts w:cs="Calibri"/>
                <w:bCs/>
                <w:szCs w:val="18"/>
              </w:rPr>
              <w:t>Marlborough District Council</w:t>
            </w:r>
          </w:p>
        </w:tc>
        <w:tc>
          <w:tcPr>
            <w:tcW w:w="997" w:type="dxa"/>
            <w:tcBorders>
              <w:right w:val="single" w:sz="4" w:space="0" w:color="FFFFFF" w:themeColor="background1"/>
            </w:tcBorders>
            <w:shd w:val="clear" w:color="auto" w:fill="auto"/>
            <w:noWrap/>
          </w:tcPr>
          <w:p w14:paraId="12B8D0CD" w14:textId="1BD2058D" w:rsidR="00F67ADF" w:rsidRPr="00B275E2" w:rsidRDefault="007C55A6"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275E2">
              <w:rPr>
                <w:rFonts w:cs="Calibri"/>
                <w:bCs/>
                <w:szCs w:val="18"/>
              </w:rPr>
              <w:t>Yes</w:t>
            </w:r>
          </w:p>
        </w:tc>
      </w:tr>
      <w:tr w:rsidR="00F67ADF" w:rsidRPr="00B275E2" w14:paraId="5C9F609E" w14:textId="77777777" w:rsidTr="000D565E">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FFFFFF" w:themeColor="background1"/>
            </w:tcBorders>
            <w:shd w:val="clear" w:color="auto" w:fill="auto"/>
            <w:noWrap/>
          </w:tcPr>
          <w:p w14:paraId="43BA85F6" w14:textId="69F71211" w:rsidR="00F67ADF" w:rsidRPr="00B275E2" w:rsidRDefault="00A36942" w:rsidP="00AE718C">
            <w:pPr>
              <w:pStyle w:val="TableText"/>
              <w:spacing w:before="50" w:after="50"/>
              <w:rPr>
                <w:rFonts w:cs="Calibri"/>
                <w:b w:val="0"/>
                <w:szCs w:val="18"/>
              </w:rPr>
            </w:pPr>
            <w:r w:rsidRPr="00B275E2">
              <w:rPr>
                <w:rFonts w:cs="Calibri"/>
                <w:b w:val="0"/>
                <w:szCs w:val="18"/>
              </w:rPr>
              <w:t>McLean</w:t>
            </w:r>
            <w:r w:rsidR="00DB5BCF" w:rsidRPr="00B275E2">
              <w:rPr>
                <w:rFonts w:cs="Calibri"/>
                <w:b w:val="0"/>
                <w:szCs w:val="18"/>
              </w:rPr>
              <w:t>’</w:t>
            </w:r>
            <w:r w:rsidRPr="00B275E2">
              <w:rPr>
                <w:rFonts w:cs="Calibri"/>
                <w:b w:val="0"/>
                <w:szCs w:val="18"/>
              </w:rPr>
              <w:t>s Pit</w:t>
            </w:r>
            <w:r w:rsidR="00F67ADF" w:rsidRPr="00B275E2">
              <w:rPr>
                <w:rFonts w:cs="Calibri"/>
                <w:b w:val="0"/>
                <w:szCs w:val="18"/>
              </w:rPr>
              <w:t xml:space="preserve"> Landfill</w:t>
            </w:r>
          </w:p>
        </w:tc>
        <w:tc>
          <w:tcPr>
            <w:tcW w:w="4394" w:type="dxa"/>
            <w:shd w:val="clear" w:color="auto" w:fill="auto"/>
            <w:noWrap/>
          </w:tcPr>
          <w:p w14:paraId="65B21265" w14:textId="64BCCE63" w:rsidR="00F67ADF" w:rsidRPr="00B275E2" w:rsidRDefault="00A36942"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275E2">
              <w:rPr>
                <w:rFonts w:cs="Calibri"/>
                <w:bCs/>
                <w:szCs w:val="18"/>
              </w:rPr>
              <w:t>Grey</w:t>
            </w:r>
            <w:r w:rsidR="00F67ADF" w:rsidRPr="00B275E2">
              <w:rPr>
                <w:rFonts w:cs="Calibri"/>
                <w:bCs/>
                <w:szCs w:val="18"/>
              </w:rPr>
              <w:t xml:space="preserve"> District Council</w:t>
            </w:r>
          </w:p>
        </w:tc>
        <w:tc>
          <w:tcPr>
            <w:tcW w:w="997" w:type="dxa"/>
            <w:tcBorders>
              <w:right w:val="single" w:sz="4" w:space="0" w:color="FFFFFF" w:themeColor="background1"/>
            </w:tcBorders>
            <w:shd w:val="clear" w:color="auto" w:fill="auto"/>
            <w:noWrap/>
          </w:tcPr>
          <w:p w14:paraId="7B789956" w14:textId="0F4EF9EA" w:rsidR="00F67ADF" w:rsidRPr="00B275E2" w:rsidRDefault="00A36942"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275E2">
              <w:rPr>
                <w:rFonts w:cs="Calibri"/>
                <w:bCs/>
                <w:szCs w:val="18"/>
              </w:rPr>
              <w:t xml:space="preserve">No </w:t>
            </w:r>
          </w:p>
        </w:tc>
      </w:tr>
      <w:tr w:rsidR="00F67ADF" w:rsidRPr="00B275E2" w14:paraId="26BC4AA2" w14:textId="77777777" w:rsidTr="000D5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FFFFFF" w:themeColor="background1"/>
            </w:tcBorders>
            <w:shd w:val="clear" w:color="auto" w:fill="auto"/>
            <w:noWrap/>
          </w:tcPr>
          <w:p w14:paraId="694A6849" w14:textId="3E7C8207" w:rsidR="00F67ADF" w:rsidRPr="00B275E2" w:rsidRDefault="00A36942" w:rsidP="00AE718C">
            <w:pPr>
              <w:pStyle w:val="TableText"/>
              <w:spacing w:before="50" w:after="50"/>
              <w:rPr>
                <w:rFonts w:cs="Calibri"/>
                <w:b w:val="0"/>
                <w:szCs w:val="18"/>
              </w:rPr>
            </w:pPr>
            <w:r w:rsidRPr="00B275E2">
              <w:rPr>
                <w:rFonts w:cs="Calibri"/>
                <w:b w:val="0"/>
                <w:szCs w:val="18"/>
              </w:rPr>
              <w:t>Mount Cooee Landfill</w:t>
            </w:r>
          </w:p>
        </w:tc>
        <w:tc>
          <w:tcPr>
            <w:tcW w:w="4394" w:type="dxa"/>
            <w:shd w:val="clear" w:color="auto" w:fill="auto"/>
            <w:noWrap/>
          </w:tcPr>
          <w:p w14:paraId="668F9F05" w14:textId="49950A0E" w:rsidR="00F67ADF" w:rsidRPr="00B275E2" w:rsidRDefault="00A36942"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275E2">
              <w:rPr>
                <w:rFonts w:cs="Calibri"/>
                <w:bCs/>
                <w:szCs w:val="18"/>
              </w:rPr>
              <w:t>Clutha District Council</w:t>
            </w:r>
          </w:p>
        </w:tc>
        <w:tc>
          <w:tcPr>
            <w:tcW w:w="997" w:type="dxa"/>
            <w:tcBorders>
              <w:right w:val="single" w:sz="4" w:space="0" w:color="FFFFFF" w:themeColor="background1"/>
            </w:tcBorders>
            <w:shd w:val="clear" w:color="auto" w:fill="auto"/>
            <w:noWrap/>
          </w:tcPr>
          <w:p w14:paraId="2ED46F3D" w14:textId="32743D5A" w:rsidR="00F67ADF" w:rsidRPr="00B275E2" w:rsidRDefault="00A36942"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275E2">
              <w:rPr>
                <w:rFonts w:cs="Calibri"/>
                <w:bCs/>
                <w:szCs w:val="18"/>
              </w:rPr>
              <w:t xml:space="preserve">No </w:t>
            </w:r>
          </w:p>
        </w:tc>
      </w:tr>
      <w:tr w:rsidR="00F67ADF" w:rsidRPr="00B275E2" w14:paraId="7141ED55" w14:textId="77777777" w:rsidTr="000D565E">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FFFFFF" w:themeColor="background1"/>
            </w:tcBorders>
            <w:shd w:val="clear" w:color="auto" w:fill="auto"/>
            <w:noWrap/>
          </w:tcPr>
          <w:p w14:paraId="2087E9AB" w14:textId="69FA1066" w:rsidR="00F67ADF" w:rsidRPr="00B275E2" w:rsidRDefault="00A36942" w:rsidP="00AE718C">
            <w:pPr>
              <w:pStyle w:val="TableText"/>
              <w:spacing w:before="50" w:after="50"/>
              <w:rPr>
                <w:rFonts w:cs="Calibri"/>
                <w:b w:val="0"/>
                <w:szCs w:val="18"/>
              </w:rPr>
            </w:pPr>
            <w:r w:rsidRPr="00B275E2">
              <w:rPr>
                <w:rFonts w:cs="Calibri"/>
                <w:b w:val="0"/>
                <w:szCs w:val="18"/>
              </w:rPr>
              <w:t>Oamaru Landfill</w:t>
            </w:r>
          </w:p>
        </w:tc>
        <w:tc>
          <w:tcPr>
            <w:tcW w:w="4394" w:type="dxa"/>
            <w:shd w:val="clear" w:color="auto" w:fill="auto"/>
            <w:noWrap/>
          </w:tcPr>
          <w:p w14:paraId="191BFD2C" w14:textId="3954112A" w:rsidR="00F67ADF" w:rsidRPr="00B275E2" w:rsidRDefault="00A36942"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275E2">
              <w:rPr>
                <w:rFonts w:cs="Calibri"/>
                <w:bCs/>
                <w:szCs w:val="18"/>
              </w:rPr>
              <w:t>Waitaki</w:t>
            </w:r>
            <w:r w:rsidR="00F67ADF" w:rsidRPr="00B275E2">
              <w:rPr>
                <w:rFonts w:cs="Calibri"/>
                <w:bCs/>
                <w:szCs w:val="18"/>
              </w:rPr>
              <w:t xml:space="preserve"> District Council</w:t>
            </w:r>
          </w:p>
        </w:tc>
        <w:tc>
          <w:tcPr>
            <w:tcW w:w="997" w:type="dxa"/>
            <w:tcBorders>
              <w:right w:val="single" w:sz="4" w:space="0" w:color="FFFFFF" w:themeColor="background1"/>
            </w:tcBorders>
            <w:shd w:val="clear" w:color="auto" w:fill="auto"/>
            <w:noWrap/>
          </w:tcPr>
          <w:p w14:paraId="61CC2F5D" w14:textId="6923589D" w:rsidR="00F67ADF" w:rsidRPr="00B275E2" w:rsidRDefault="00A36942"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275E2">
              <w:rPr>
                <w:rFonts w:cs="Calibri"/>
                <w:bCs/>
                <w:szCs w:val="18"/>
              </w:rPr>
              <w:t>Closed</w:t>
            </w:r>
          </w:p>
        </w:tc>
      </w:tr>
      <w:tr w:rsidR="00F67ADF" w:rsidRPr="00B275E2" w14:paraId="2F3FD280" w14:textId="77777777" w:rsidTr="000D5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FFFFFF" w:themeColor="background1"/>
            </w:tcBorders>
            <w:shd w:val="clear" w:color="auto" w:fill="auto"/>
            <w:noWrap/>
          </w:tcPr>
          <w:p w14:paraId="093ABAF6" w14:textId="2938D7B5" w:rsidR="00F67ADF" w:rsidRPr="00B275E2" w:rsidRDefault="00A36942" w:rsidP="00AE718C">
            <w:pPr>
              <w:pStyle w:val="TableText"/>
              <w:spacing w:before="50" w:after="50"/>
              <w:rPr>
                <w:rFonts w:cs="Calibri"/>
                <w:b w:val="0"/>
                <w:szCs w:val="18"/>
              </w:rPr>
            </w:pPr>
            <w:r w:rsidRPr="00B275E2">
              <w:rPr>
                <w:rFonts w:cs="Calibri"/>
                <w:b w:val="0"/>
                <w:szCs w:val="18"/>
              </w:rPr>
              <w:t>Omarunui</w:t>
            </w:r>
            <w:r w:rsidR="00F67ADF" w:rsidRPr="00B275E2">
              <w:rPr>
                <w:rFonts w:cs="Calibri"/>
                <w:b w:val="0"/>
                <w:szCs w:val="18"/>
              </w:rPr>
              <w:t xml:space="preserve"> Landfill</w:t>
            </w:r>
          </w:p>
        </w:tc>
        <w:tc>
          <w:tcPr>
            <w:tcW w:w="4394" w:type="dxa"/>
            <w:shd w:val="clear" w:color="auto" w:fill="auto"/>
            <w:noWrap/>
          </w:tcPr>
          <w:p w14:paraId="2D232431" w14:textId="2DC173FE" w:rsidR="00F67ADF" w:rsidRPr="00B275E2" w:rsidRDefault="00A36942"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275E2">
              <w:rPr>
                <w:rFonts w:cs="Calibri"/>
                <w:bCs/>
                <w:szCs w:val="18"/>
              </w:rPr>
              <w:t>Hastings</w:t>
            </w:r>
            <w:r w:rsidR="00F67ADF" w:rsidRPr="00B275E2">
              <w:rPr>
                <w:rFonts w:cs="Calibri"/>
                <w:bCs/>
                <w:szCs w:val="18"/>
              </w:rPr>
              <w:t xml:space="preserve"> District Council</w:t>
            </w:r>
          </w:p>
        </w:tc>
        <w:tc>
          <w:tcPr>
            <w:tcW w:w="997" w:type="dxa"/>
            <w:tcBorders>
              <w:right w:val="single" w:sz="4" w:space="0" w:color="FFFFFF" w:themeColor="background1"/>
            </w:tcBorders>
            <w:shd w:val="clear" w:color="auto" w:fill="auto"/>
            <w:noWrap/>
          </w:tcPr>
          <w:p w14:paraId="383047D0" w14:textId="562B6EE5" w:rsidR="00F67ADF" w:rsidRPr="00B275E2" w:rsidRDefault="007C55A6"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275E2">
              <w:rPr>
                <w:rFonts w:cs="Calibri"/>
                <w:bCs/>
                <w:szCs w:val="18"/>
              </w:rPr>
              <w:t>Yes</w:t>
            </w:r>
          </w:p>
        </w:tc>
      </w:tr>
      <w:tr w:rsidR="00F67ADF" w:rsidRPr="00B275E2" w14:paraId="023E7220" w14:textId="77777777" w:rsidTr="000D565E">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FFFFFF" w:themeColor="background1"/>
            </w:tcBorders>
            <w:shd w:val="clear" w:color="auto" w:fill="auto"/>
            <w:noWrap/>
          </w:tcPr>
          <w:p w14:paraId="3E7B4D78" w14:textId="147B9537" w:rsidR="00F67ADF" w:rsidRPr="00B275E2" w:rsidRDefault="00A36942" w:rsidP="00AE718C">
            <w:pPr>
              <w:pStyle w:val="TableText"/>
              <w:spacing w:before="50" w:after="50"/>
              <w:rPr>
                <w:rFonts w:cs="Calibri"/>
                <w:b w:val="0"/>
                <w:szCs w:val="18"/>
              </w:rPr>
            </w:pPr>
            <w:r w:rsidRPr="00B275E2">
              <w:rPr>
                <w:rFonts w:cs="Calibri"/>
                <w:b w:val="0"/>
                <w:szCs w:val="18"/>
              </w:rPr>
              <w:t>Palmerston</w:t>
            </w:r>
            <w:r w:rsidR="00F67ADF" w:rsidRPr="00B275E2">
              <w:rPr>
                <w:rFonts w:cs="Calibri"/>
                <w:b w:val="0"/>
                <w:szCs w:val="18"/>
              </w:rPr>
              <w:t xml:space="preserve"> Landfill</w:t>
            </w:r>
          </w:p>
        </w:tc>
        <w:tc>
          <w:tcPr>
            <w:tcW w:w="4394" w:type="dxa"/>
            <w:shd w:val="clear" w:color="auto" w:fill="auto"/>
            <w:noWrap/>
          </w:tcPr>
          <w:p w14:paraId="1B57CDB0" w14:textId="64180F28" w:rsidR="00F67ADF" w:rsidRPr="00B275E2" w:rsidRDefault="00A36942"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275E2">
              <w:rPr>
                <w:rFonts w:cs="Calibri"/>
                <w:bCs/>
                <w:szCs w:val="18"/>
              </w:rPr>
              <w:t>Waitaki</w:t>
            </w:r>
            <w:r w:rsidR="00F67ADF" w:rsidRPr="00B275E2">
              <w:rPr>
                <w:rFonts w:cs="Calibri"/>
                <w:bCs/>
                <w:szCs w:val="18"/>
              </w:rPr>
              <w:t xml:space="preserve"> District Council</w:t>
            </w:r>
          </w:p>
        </w:tc>
        <w:tc>
          <w:tcPr>
            <w:tcW w:w="997" w:type="dxa"/>
            <w:tcBorders>
              <w:right w:val="single" w:sz="4" w:space="0" w:color="FFFFFF" w:themeColor="background1"/>
            </w:tcBorders>
            <w:shd w:val="clear" w:color="auto" w:fill="auto"/>
            <w:noWrap/>
          </w:tcPr>
          <w:p w14:paraId="127A8B4B" w14:textId="2C03B562" w:rsidR="00F67ADF" w:rsidRPr="00B275E2" w:rsidRDefault="00A36942"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275E2">
              <w:rPr>
                <w:rFonts w:cs="Calibri"/>
                <w:bCs/>
                <w:szCs w:val="18"/>
              </w:rPr>
              <w:t xml:space="preserve">No </w:t>
            </w:r>
          </w:p>
        </w:tc>
      </w:tr>
      <w:tr w:rsidR="00F67ADF" w:rsidRPr="00B275E2" w14:paraId="176E57EA" w14:textId="77777777" w:rsidTr="000D5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FFFFFF" w:themeColor="background1"/>
            </w:tcBorders>
            <w:shd w:val="clear" w:color="auto" w:fill="auto"/>
            <w:noWrap/>
          </w:tcPr>
          <w:p w14:paraId="30ACD9BE" w14:textId="4C8C388C" w:rsidR="00F67ADF" w:rsidRPr="00B275E2" w:rsidRDefault="00A36942" w:rsidP="00AE718C">
            <w:pPr>
              <w:pStyle w:val="TableText"/>
              <w:spacing w:before="50" w:after="50"/>
              <w:rPr>
                <w:rFonts w:cs="Calibri"/>
                <w:b w:val="0"/>
                <w:szCs w:val="18"/>
              </w:rPr>
            </w:pPr>
            <w:r w:rsidRPr="00B275E2">
              <w:rPr>
                <w:rFonts w:cs="Calibri"/>
                <w:b w:val="0"/>
                <w:szCs w:val="18"/>
              </w:rPr>
              <w:t>Patearoa</w:t>
            </w:r>
            <w:r w:rsidR="00F67ADF" w:rsidRPr="00B275E2">
              <w:rPr>
                <w:rFonts w:cs="Calibri"/>
                <w:b w:val="0"/>
                <w:szCs w:val="18"/>
              </w:rPr>
              <w:t xml:space="preserve"> Landfill</w:t>
            </w:r>
          </w:p>
        </w:tc>
        <w:tc>
          <w:tcPr>
            <w:tcW w:w="4394" w:type="dxa"/>
            <w:shd w:val="clear" w:color="auto" w:fill="auto"/>
            <w:noWrap/>
          </w:tcPr>
          <w:p w14:paraId="722A16A1" w14:textId="3A6236F7" w:rsidR="00F67ADF" w:rsidRPr="00B275E2" w:rsidRDefault="00A36942"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275E2">
              <w:rPr>
                <w:rFonts w:cs="Calibri"/>
                <w:bCs/>
                <w:szCs w:val="18"/>
              </w:rPr>
              <w:t>Central Otago</w:t>
            </w:r>
            <w:r w:rsidR="00F67ADF" w:rsidRPr="00B275E2">
              <w:rPr>
                <w:rFonts w:cs="Calibri"/>
                <w:bCs/>
                <w:szCs w:val="18"/>
              </w:rPr>
              <w:t xml:space="preserve"> District Council</w:t>
            </w:r>
          </w:p>
        </w:tc>
        <w:tc>
          <w:tcPr>
            <w:tcW w:w="997" w:type="dxa"/>
            <w:tcBorders>
              <w:right w:val="single" w:sz="4" w:space="0" w:color="FFFFFF" w:themeColor="background1"/>
            </w:tcBorders>
            <w:shd w:val="clear" w:color="auto" w:fill="auto"/>
            <w:noWrap/>
          </w:tcPr>
          <w:p w14:paraId="53B30FB4" w14:textId="64E36EFB" w:rsidR="00F67ADF" w:rsidRPr="00B275E2" w:rsidRDefault="00A36942"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275E2">
              <w:rPr>
                <w:rFonts w:cs="Calibri"/>
                <w:bCs/>
                <w:szCs w:val="18"/>
              </w:rPr>
              <w:t>Closed</w:t>
            </w:r>
          </w:p>
        </w:tc>
      </w:tr>
      <w:tr w:rsidR="00F67ADF" w:rsidRPr="00B275E2" w14:paraId="28C6CCD2" w14:textId="77777777" w:rsidTr="000D565E">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FFFFFF" w:themeColor="background1"/>
            </w:tcBorders>
            <w:shd w:val="clear" w:color="auto" w:fill="auto"/>
            <w:noWrap/>
          </w:tcPr>
          <w:p w14:paraId="7F2F7895" w14:textId="04257771" w:rsidR="00F67ADF" w:rsidRPr="00B275E2" w:rsidRDefault="00A36942" w:rsidP="00AE718C">
            <w:pPr>
              <w:pStyle w:val="TableText"/>
              <w:spacing w:before="50" w:after="50"/>
              <w:rPr>
                <w:rFonts w:cs="Calibri"/>
                <w:b w:val="0"/>
                <w:szCs w:val="18"/>
              </w:rPr>
            </w:pPr>
            <w:r w:rsidRPr="00B275E2">
              <w:rPr>
                <w:rFonts w:cs="Calibri"/>
                <w:b w:val="0"/>
                <w:szCs w:val="18"/>
              </w:rPr>
              <w:t>Pongaroa</w:t>
            </w:r>
            <w:r w:rsidR="00F67ADF" w:rsidRPr="00B275E2">
              <w:rPr>
                <w:rFonts w:cs="Calibri"/>
                <w:b w:val="0"/>
                <w:szCs w:val="18"/>
              </w:rPr>
              <w:t xml:space="preserve"> Landfill</w:t>
            </w:r>
          </w:p>
        </w:tc>
        <w:tc>
          <w:tcPr>
            <w:tcW w:w="4394" w:type="dxa"/>
            <w:shd w:val="clear" w:color="auto" w:fill="auto"/>
            <w:noWrap/>
          </w:tcPr>
          <w:p w14:paraId="5B31DE65" w14:textId="2C63DEE0" w:rsidR="00F67ADF" w:rsidRPr="00B275E2" w:rsidRDefault="00A36942"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275E2">
              <w:rPr>
                <w:rFonts w:cs="Calibri"/>
                <w:bCs/>
                <w:szCs w:val="18"/>
              </w:rPr>
              <w:t>Tararua District Council</w:t>
            </w:r>
          </w:p>
        </w:tc>
        <w:tc>
          <w:tcPr>
            <w:tcW w:w="997" w:type="dxa"/>
            <w:tcBorders>
              <w:right w:val="single" w:sz="4" w:space="0" w:color="FFFFFF" w:themeColor="background1"/>
            </w:tcBorders>
            <w:shd w:val="clear" w:color="auto" w:fill="auto"/>
            <w:noWrap/>
          </w:tcPr>
          <w:p w14:paraId="232DA2AF" w14:textId="30ECCB49" w:rsidR="00F67ADF" w:rsidRPr="00B275E2" w:rsidRDefault="00A36942"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275E2">
              <w:rPr>
                <w:rFonts w:cs="Calibri"/>
                <w:bCs/>
                <w:szCs w:val="18"/>
              </w:rPr>
              <w:t xml:space="preserve">No </w:t>
            </w:r>
          </w:p>
        </w:tc>
      </w:tr>
      <w:tr w:rsidR="00F67ADF" w:rsidRPr="00B275E2" w14:paraId="03399278" w14:textId="77777777" w:rsidTr="000D5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FFFFFF" w:themeColor="background1"/>
            </w:tcBorders>
            <w:shd w:val="clear" w:color="auto" w:fill="auto"/>
            <w:noWrap/>
          </w:tcPr>
          <w:p w14:paraId="6DAC656F" w14:textId="167698E8" w:rsidR="00F67ADF" w:rsidRPr="00B275E2" w:rsidRDefault="00A36942" w:rsidP="00AE718C">
            <w:pPr>
              <w:pStyle w:val="TableText"/>
              <w:spacing w:before="50" w:after="50"/>
              <w:rPr>
                <w:rFonts w:cs="Calibri"/>
                <w:b w:val="0"/>
                <w:szCs w:val="18"/>
              </w:rPr>
            </w:pPr>
            <w:r w:rsidRPr="00B275E2">
              <w:rPr>
                <w:rFonts w:cs="Calibri"/>
                <w:b w:val="0"/>
                <w:szCs w:val="18"/>
              </w:rPr>
              <w:t>Redruth</w:t>
            </w:r>
            <w:r w:rsidR="00F67ADF" w:rsidRPr="00B275E2">
              <w:rPr>
                <w:rFonts w:cs="Calibri"/>
                <w:b w:val="0"/>
                <w:szCs w:val="18"/>
              </w:rPr>
              <w:t xml:space="preserve"> Landfill</w:t>
            </w:r>
          </w:p>
        </w:tc>
        <w:tc>
          <w:tcPr>
            <w:tcW w:w="4394" w:type="dxa"/>
            <w:shd w:val="clear" w:color="auto" w:fill="auto"/>
            <w:noWrap/>
          </w:tcPr>
          <w:p w14:paraId="09BC48AA" w14:textId="5ED4AAE3" w:rsidR="00F67ADF" w:rsidRPr="00B275E2" w:rsidRDefault="00A36942"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275E2">
              <w:rPr>
                <w:rFonts w:cs="Calibri"/>
                <w:bCs/>
                <w:szCs w:val="18"/>
              </w:rPr>
              <w:t>Timaru District Council</w:t>
            </w:r>
          </w:p>
        </w:tc>
        <w:tc>
          <w:tcPr>
            <w:tcW w:w="997" w:type="dxa"/>
            <w:tcBorders>
              <w:right w:val="single" w:sz="4" w:space="0" w:color="FFFFFF" w:themeColor="background1"/>
            </w:tcBorders>
            <w:shd w:val="clear" w:color="auto" w:fill="auto"/>
            <w:noWrap/>
          </w:tcPr>
          <w:p w14:paraId="173C669F" w14:textId="3F8A28F2" w:rsidR="00F67ADF" w:rsidRPr="00B275E2" w:rsidRDefault="007C55A6"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275E2">
              <w:rPr>
                <w:rFonts w:cs="Calibri"/>
                <w:bCs/>
                <w:szCs w:val="18"/>
              </w:rPr>
              <w:t>Yes</w:t>
            </w:r>
          </w:p>
        </w:tc>
      </w:tr>
      <w:tr w:rsidR="00F67ADF" w:rsidRPr="00B275E2" w14:paraId="79B6084A" w14:textId="77777777" w:rsidTr="000D565E">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FFFFFF" w:themeColor="background1"/>
            </w:tcBorders>
            <w:shd w:val="clear" w:color="auto" w:fill="auto"/>
            <w:noWrap/>
          </w:tcPr>
          <w:p w14:paraId="52B4BB9E" w14:textId="3C71E34D" w:rsidR="00F67ADF" w:rsidRPr="00B275E2" w:rsidRDefault="00A36942" w:rsidP="00AE718C">
            <w:pPr>
              <w:pStyle w:val="TableText"/>
              <w:spacing w:before="50" w:after="50"/>
              <w:rPr>
                <w:rFonts w:cs="Calibri"/>
                <w:b w:val="0"/>
                <w:szCs w:val="18"/>
              </w:rPr>
            </w:pPr>
            <w:r w:rsidRPr="00B275E2">
              <w:rPr>
                <w:rFonts w:cs="Calibri"/>
                <w:b w:val="0"/>
                <w:szCs w:val="18"/>
              </w:rPr>
              <w:t>Redvale</w:t>
            </w:r>
            <w:r w:rsidR="00F67ADF" w:rsidRPr="00B275E2">
              <w:rPr>
                <w:rFonts w:cs="Calibri"/>
                <w:b w:val="0"/>
                <w:szCs w:val="18"/>
              </w:rPr>
              <w:t xml:space="preserve"> Landfill</w:t>
            </w:r>
          </w:p>
        </w:tc>
        <w:tc>
          <w:tcPr>
            <w:tcW w:w="4394" w:type="dxa"/>
            <w:shd w:val="clear" w:color="auto" w:fill="auto"/>
            <w:noWrap/>
          </w:tcPr>
          <w:p w14:paraId="7A8E74D0" w14:textId="7829DD35" w:rsidR="00F67ADF" w:rsidRPr="00B275E2" w:rsidRDefault="00A36942"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275E2">
              <w:rPr>
                <w:rFonts w:cs="Calibri"/>
                <w:bCs/>
                <w:szCs w:val="18"/>
              </w:rPr>
              <w:t>Transpacific waste management</w:t>
            </w:r>
          </w:p>
        </w:tc>
        <w:tc>
          <w:tcPr>
            <w:tcW w:w="997" w:type="dxa"/>
            <w:tcBorders>
              <w:right w:val="single" w:sz="4" w:space="0" w:color="FFFFFF" w:themeColor="background1"/>
            </w:tcBorders>
            <w:shd w:val="clear" w:color="auto" w:fill="auto"/>
            <w:noWrap/>
          </w:tcPr>
          <w:p w14:paraId="46244D4B" w14:textId="0BFD4B31" w:rsidR="00F67ADF" w:rsidRPr="00B275E2" w:rsidRDefault="007C55A6"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275E2">
              <w:rPr>
                <w:rFonts w:cs="Calibri"/>
                <w:bCs/>
                <w:szCs w:val="18"/>
              </w:rPr>
              <w:t>Yes</w:t>
            </w:r>
          </w:p>
        </w:tc>
      </w:tr>
      <w:tr w:rsidR="00F67ADF" w:rsidRPr="00B275E2" w14:paraId="0765A038" w14:textId="77777777" w:rsidTr="000D5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FFFFFF" w:themeColor="background1"/>
            </w:tcBorders>
            <w:shd w:val="clear" w:color="auto" w:fill="auto"/>
            <w:noWrap/>
          </w:tcPr>
          <w:p w14:paraId="5768FB1D" w14:textId="2F3A26D7" w:rsidR="00F67ADF" w:rsidRPr="00B275E2" w:rsidRDefault="00A36942" w:rsidP="00AE718C">
            <w:pPr>
              <w:pStyle w:val="TableText"/>
              <w:spacing w:before="50" w:after="50"/>
              <w:rPr>
                <w:rFonts w:cs="Calibri"/>
                <w:b w:val="0"/>
                <w:szCs w:val="18"/>
              </w:rPr>
            </w:pPr>
            <w:r w:rsidRPr="00B275E2">
              <w:rPr>
                <w:rFonts w:cs="Calibri"/>
                <w:b w:val="0"/>
                <w:szCs w:val="18"/>
              </w:rPr>
              <w:lastRenderedPageBreak/>
              <w:t>Rotorua District Sanitary Landfill</w:t>
            </w:r>
          </w:p>
        </w:tc>
        <w:tc>
          <w:tcPr>
            <w:tcW w:w="4394" w:type="dxa"/>
            <w:shd w:val="clear" w:color="auto" w:fill="auto"/>
            <w:noWrap/>
          </w:tcPr>
          <w:p w14:paraId="717667AA" w14:textId="64F0C7F7" w:rsidR="00F67ADF" w:rsidRPr="00B275E2" w:rsidRDefault="00A36942"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275E2">
              <w:rPr>
                <w:rFonts w:cs="Calibri"/>
                <w:bCs/>
                <w:szCs w:val="18"/>
              </w:rPr>
              <w:t>Rotorua District Council</w:t>
            </w:r>
          </w:p>
        </w:tc>
        <w:tc>
          <w:tcPr>
            <w:tcW w:w="997" w:type="dxa"/>
            <w:tcBorders>
              <w:right w:val="single" w:sz="4" w:space="0" w:color="FFFFFF" w:themeColor="background1"/>
            </w:tcBorders>
            <w:shd w:val="clear" w:color="auto" w:fill="auto"/>
            <w:noWrap/>
          </w:tcPr>
          <w:p w14:paraId="6673E6AE" w14:textId="15F8E737" w:rsidR="00F67ADF" w:rsidRPr="00B275E2" w:rsidRDefault="009E6B01"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275E2">
              <w:rPr>
                <w:rFonts w:cs="Calibri"/>
                <w:bCs/>
                <w:szCs w:val="18"/>
              </w:rPr>
              <w:t>Closed</w:t>
            </w:r>
            <w:r w:rsidR="00A36942" w:rsidRPr="00B275E2">
              <w:rPr>
                <w:rFonts w:cs="Calibri"/>
                <w:bCs/>
                <w:szCs w:val="18"/>
              </w:rPr>
              <w:t xml:space="preserve"> </w:t>
            </w:r>
          </w:p>
        </w:tc>
      </w:tr>
      <w:tr w:rsidR="00F67ADF" w:rsidRPr="00B275E2" w14:paraId="76714654" w14:textId="77777777" w:rsidTr="000D565E">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FFFFFF" w:themeColor="background1"/>
            </w:tcBorders>
            <w:shd w:val="clear" w:color="auto" w:fill="auto"/>
            <w:noWrap/>
          </w:tcPr>
          <w:p w14:paraId="60C0333F" w14:textId="63D3AEDE" w:rsidR="00F67ADF" w:rsidRPr="00B275E2" w:rsidRDefault="00A36942" w:rsidP="00AE718C">
            <w:pPr>
              <w:pStyle w:val="TableText"/>
              <w:spacing w:before="50" w:after="50"/>
              <w:rPr>
                <w:rFonts w:cs="Calibri"/>
                <w:b w:val="0"/>
                <w:szCs w:val="18"/>
              </w:rPr>
            </w:pPr>
            <w:r w:rsidRPr="00B275E2">
              <w:rPr>
                <w:rFonts w:cs="Calibri"/>
                <w:b w:val="0"/>
                <w:szCs w:val="18"/>
              </w:rPr>
              <w:t>Ruapehu District Landfill</w:t>
            </w:r>
          </w:p>
        </w:tc>
        <w:tc>
          <w:tcPr>
            <w:tcW w:w="4394" w:type="dxa"/>
            <w:shd w:val="clear" w:color="auto" w:fill="auto"/>
            <w:noWrap/>
          </w:tcPr>
          <w:p w14:paraId="487AECD9" w14:textId="4AE86A71" w:rsidR="00F67ADF" w:rsidRPr="00B275E2" w:rsidRDefault="00A36942"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275E2">
              <w:rPr>
                <w:rFonts w:cs="Calibri"/>
                <w:bCs/>
                <w:szCs w:val="18"/>
              </w:rPr>
              <w:t>Ruapehu</w:t>
            </w:r>
            <w:r w:rsidR="00F67ADF" w:rsidRPr="00B275E2">
              <w:rPr>
                <w:rFonts w:cs="Calibri"/>
                <w:bCs/>
                <w:szCs w:val="18"/>
              </w:rPr>
              <w:t xml:space="preserve"> District Council</w:t>
            </w:r>
          </w:p>
        </w:tc>
        <w:tc>
          <w:tcPr>
            <w:tcW w:w="997" w:type="dxa"/>
            <w:tcBorders>
              <w:right w:val="single" w:sz="4" w:space="0" w:color="FFFFFF" w:themeColor="background1"/>
            </w:tcBorders>
            <w:shd w:val="clear" w:color="auto" w:fill="auto"/>
            <w:noWrap/>
          </w:tcPr>
          <w:p w14:paraId="2EDD2F6D" w14:textId="44FFC06C" w:rsidR="00F67ADF" w:rsidRPr="00B275E2" w:rsidRDefault="00F67ADF"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275E2">
              <w:rPr>
                <w:rFonts w:cs="Calibri"/>
                <w:bCs/>
                <w:szCs w:val="18"/>
              </w:rPr>
              <w:t xml:space="preserve">No </w:t>
            </w:r>
          </w:p>
        </w:tc>
      </w:tr>
      <w:tr w:rsidR="00F67ADF" w:rsidRPr="00B275E2" w14:paraId="1FC20EFA" w14:textId="77777777" w:rsidTr="000D5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FFFFFF" w:themeColor="background1"/>
            </w:tcBorders>
            <w:shd w:val="clear" w:color="auto" w:fill="auto"/>
            <w:noWrap/>
          </w:tcPr>
          <w:p w14:paraId="72A40DA2" w14:textId="5D795DFB" w:rsidR="00F67ADF" w:rsidRPr="00B275E2" w:rsidRDefault="00A36942" w:rsidP="00AE718C">
            <w:pPr>
              <w:pStyle w:val="TableText"/>
              <w:spacing w:before="50" w:after="50"/>
              <w:rPr>
                <w:rFonts w:cs="Calibri"/>
                <w:b w:val="0"/>
                <w:szCs w:val="18"/>
              </w:rPr>
            </w:pPr>
            <w:r w:rsidRPr="00B275E2">
              <w:rPr>
                <w:rFonts w:cs="Calibri"/>
                <w:b w:val="0"/>
                <w:szCs w:val="18"/>
              </w:rPr>
              <w:t>Russell</w:t>
            </w:r>
            <w:r w:rsidR="00F67ADF" w:rsidRPr="00B275E2">
              <w:rPr>
                <w:rFonts w:cs="Calibri"/>
                <w:b w:val="0"/>
                <w:szCs w:val="18"/>
              </w:rPr>
              <w:t xml:space="preserve"> Landfill</w:t>
            </w:r>
            <w:r w:rsidRPr="00B275E2">
              <w:rPr>
                <w:rFonts w:cs="Calibri"/>
                <w:b w:val="0"/>
                <w:szCs w:val="18"/>
              </w:rPr>
              <w:t xml:space="preserve"> </w:t>
            </w:r>
          </w:p>
        </w:tc>
        <w:tc>
          <w:tcPr>
            <w:tcW w:w="4394" w:type="dxa"/>
            <w:shd w:val="clear" w:color="auto" w:fill="auto"/>
            <w:noWrap/>
          </w:tcPr>
          <w:p w14:paraId="1AABE947" w14:textId="340DC007" w:rsidR="00F67ADF" w:rsidRPr="00B275E2" w:rsidRDefault="00A36942"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275E2">
              <w:rPr>
                <w:rFonts w:cs="Calibri"/>
                <w:bCs/>
                <w:szCs w:val="18"/>
              </w:rPr>
              <w:t>Far North District Council</w:t>
            </w:r>
            <w:r w:rsidR="00E76A51" w:rsidRPr="00B275E2">
              <w:rPr>
                <w:rFonts w:cs="Calibri"/>
                <w:bCs/>
                <w:szCs w:val="18"/>
              </w:rPr>
              <w:t xml:space="preserve"> </w:t>
            </w:r>
            <w:r w:rsidRPr="00B275E2">
              <w:rPr>
                <w:rFonts w:cs="Calibri"/>
                <w:bCs/>
                <w:szCs w:val="18"/>
              </w:rPr>
              <w:t>(Transfield Services Ltd)</w:t>
            </w:r>
          </w:p>
        </w:tc>
        <w:tc>
          <w:tcPr>
            <w:tcW w:w="997" w:type="dxa"/>
            <w:tcBorders>
              <w:right w:val="single" w:sz="4" w:space="0" w:color="FFFFFF" w:themeColor="background1"/>
            </w:tcBorders>
            <w:shd w:val="clear" w:color="auto" w:fill="auto"/>
            <w:noWrap/>
          </w:tcPr>
          <w:p w14:paraId="50211226" w14:textId="23C8DC7B" w:rsidR="00F67ADF" w:rsidRPr="00B275E2" w:rsidRDefault="00F67ADF"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275E2">
              <w:rPr>
                <w:rFonts w:cs="Calibri"/>
                <w:bCs/>
                <w:szCs w:val="18"/>
              </w:rPr>
              <w:t xml:space="preserve">No </w:t>
            </w:r>
          </w:p>
        </w:tc>
      </w:tr>
      <w:tr w:rsidR="00F67ADF" w:rsidRPr="00B275E2" w14:paraId="55B27D90" w14:textId="77777777" w:rsidTr="000D565E">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FFFFFF" w:themeColor="background1"/>
            </w:tcBorders>
            <w:shd w:val="clear" w:color="auto" w:fill="auto"/>
            <w:noWrap/>
          </w:tcPr>
          <w:p w14:paraId="72C5581F" w14:textId="5B7E8C50" w:rsidR="00F67ADF" w:rsidRPr="00B275E2" w:rsidRDefault="00A36942" w:rsidP="00AE718C">
            <w:pPr>
              <w:pStyle w:val="TableText"/>
              <w:spacing w:before="50" w:after="50"/>
              <w:rPr>
                <w:rFonts w:cs="Calibri"/>
                <w:b w:val="0"/>
                <w:szCs w:val="18"/>
              </w:rPr>
            </w:pPr>
            <w:r w:rsidRPr="00B275E2">
              <w:rPr>
                <w:rFonts w:cs="Calibri"/>
                <w:b w:val="0"/>
                <w:szCs w:val="18"/>
              </w:rPr>
              <w:t>Silverstream</w:t>
            </w:r>
            <w:r w:rsidR="00F67ADF" w:rsidRPr="00B275E2">
              <w:rPr>
                <w:rFonts w:cs="Calibri"/>
                <w:b w:val="0"/>
                <w:szCs w:val="18"/>
              </w:rPr>
              <w:t xml:space="preserve"> Landfill</w:t>
            </w:r>
          </w:p>
        </w:tc>
        <w:tc>
          <w:tcPr>
            <w:tcW w:w="4394" w:type="dxa"/>
            <w:shd w:val="clear" w:color="auto" w:fill="auto"/>
            <w:noWrap/>
          </w:tcPr>
          <w:p w14:paraId="17D28C29" w14:textId="20D9C5B6" w:rsidR="00F67ADF" w:rsidRPr="00B275E2" w:rsidRDefault="00A36942"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275E2">
              <w:rPr>
                <w:rFonts w:cs="Calibri"/>
                <w:bCs/>
                <w:szCs w:val="18"/>
              </w:rPr>
              <w:t>Hutt City Council</w:t>
            </w:r>
          </w:p>
        </w:tc>
        <w:tc>
          <w:tcPr>
            <w:tcW w:w="997" w:type="dxa"/>
            <w:tcBorders>
              <w:right w:val="single" w:sz="4" w:space="0" w:color="FFFFFF" w:themeColor="background1"/>
            </w:tcBorders>
            <w:shd w:val="clear" w:color="auto" w:fill="auto"/>
            <w:noWrap/>
          </w:tcPr>
          <w:p w14:paraId="0357ADC8" w14:textId="2D30754D" w:rsidR="00F67ADF" w:rsidRPr="00B275E2" w:rsidRDefault="007C55A6"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275E2">
              <w:rPr>
                <w:rFonts w:cs="Calibri"/>
                <w:bCs/>
                <w:szCs w:val="18"/>
              </w:rPr>
              <w:t>Yes</w:t>
            </w:r>
          </w:p>
        </w:tc>
      </w:tr>
      <w:tr w:rsidR="00F67ADF" w:rsidRPr="00B275E2" w14:paraId="326EB530" w14:textId="77777777" w:rsidTr="000D5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FFFFFF" w:themeColor="background1"/>
            </w:tcBorders>
            <w:shd w:val="clear" w:color="auto" w:fill="auto"/>
            <w:noWrap/>
          </w:tcPr>
          <w:p w14:paraId="3B87E816" w14:textId="763961CC" w:rsidR="00F67ADF" w:rsidRPr="00B275E2" w:rsidRDefault="00A36942" w:rsidP="00AE718C">
            <w:pPr>
              <w:pStyle w:val="TableText"/>
              <w:spacing w:before="50" w:after="50"/>
              <w:rPr>
                <w:rFonts w:cs="Calibri"/>
                <w:b w:val="0"/>
                <w:szCs w:val="18"/>
              </w:rPr>
            </w:pPr>
            <w:r w:rsidRPr="00B275E2">
              <w:rPr>
                <w:rFonts w:cs="Calibri"/>
                <w:b w:val="0"/>
                <w:szCs w:val="18"/>
              </w:rPr>
              <w:t>Southern Landfill</w:t>
            </w:r>
          </w:p>
        </w:tc>
        <w:tc>
          <w:tcPr>
            <w:tcW w:w="4394" w:type="dxa"/>
            <w:shd w:val="clear" w:color="auto" w:fill="auto"/>
            <w:noWrap/>
          </w:tcPr>
          <w:p w14:paraId="67DF679C" w14:textId="1269D502" w:rsidR="00F67ADF" w:rsidRPr="00B275E2" w:rsidRDefault="00A36942"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275E2">
              <w:rPr>
                <w:rFonts w:cs="Calibri"/>
                <w:bCs/>
                <w:szCs w:val="18"/>
              </w:rPr>
              <w:t>Wellington City Council</w:t>
            </w:r>
          </w:p>
        </w:tc>
        <w:tc>
          <w:tcPr>
            <w:tcW w:w="997" w:type="dxa"/>
            <w:tcBorders>
              <w:right w:val="single" w:sz="4" w:space="0" w:color="FFFFFF" w:themeColor="background1"/>
            </w:tcBorders>
            <w:shd w:val="clear" w:color="auto" w:fill="auto"/>
            <w:noWrap/>
          </w:tcPr>
          <w:p w14:paraId="0096C0CA" w14:textId="632E897D" w:rsidR="00F67ADF" w:rsidRPr="00B275E2" w:rsidRDefault="007C55A6"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275E2">
              <w:rPr>
                <w:rFonts w:cs="Calibri"/>
                <w:bCs/>
                <w:szCs w:val="18"/>
              </w:rPr>
              <w:t>Yes</w:t>
            </w:r>
          </w:p>
        </w:tc>
      </w:tr>
      <w:tr w:rsidR="00F67ADF" w:rsidRPr="00B275E2" w14:paraId="5D079382" w14:textId="77777777" w:rsidTr="000D565E">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FFFFFF" w:themeColor="background1"/>
            </w:tcBorders>
            <w:shd w:val="clear" w:color="auto" w:fill="auto"/>
            <w:noWrap/>
          </w:tcPr>
          <w:p w14:paraId="5C29C7EE" w14:textId="6290B23F" w:rsidR="00F67ADF" w:rsidRPr="00B275E2" w:rsidRDefault="00A36942" w:rsidP="00AE718C">
            <w:pPr>
              <w:pStyle w:val="TableText"/>
              <w:spacing w:before="50" w:after="50"/>
              <w:rPr>
                <w:rFonts w:cs="Calibri"/>
                <w:b w:val="0"/>
                <w:szCs w:val="18"/>
              </w:rPr>
            </w:pPr>
            <w:r w:rsidRPr="00B275E2">
              <w:rPr>
                <w:rFonts w:cs="Calibri"/>
                <w:b w:val="0"/>
                <w:szCs w:val="18"/>
              </w:rPr>
              <w:t>Spicer Landfill</w:t>
            </w:r>
          </w:p>
        </w:tc>
        <w:tc>
          <w:tcPr>
            <w:tcW w:w="4394" w:type="dxa"/>
            <w:shd w:val="clear" w:color="auto" w:fill="auto"/>
            <w:noWrap/>
          </w:tcPr>
          <w:p w14:paraId="49E7E478" w14:textId="64130176" w:rsidR="00F67ADF" w:rsidRPr="00B275E2" w:rsidRDefault="00A36942"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275E2">
              <w:rPr>
                <w:rFonts w:cs="Calibri"/>
                <w:bCs/>
                <w:szCs w:val="18"/>
              </w:rPr>
              <w:t>Porirua City Council</w:t>
            </w:r>
          </w:p>
        </w:tc>
        <w:tc>
          <w:tcPr>
            <w:tcW w:w="997" w:type="dxa"/>
            <w:tcBorders>
              <w:right w:val="single" w:sz="4" w:space="0" w:color="FFFFFF" w:themeColor="background1"/>
            </w:tcBorders>
            <w:shd w:val="clear" w:color="auto" w:fill="auto"/>
            <w:noWrap/>
          </w:tcPr>
          <w:p w14:paraId="60349A12" w14:textId="4B4D368C" w:rsidR="00F67ADF" w:rsidRPr="00B275E2" w:rsidRDefault="007C55A6"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275E2">
              <w:rPr>
                <w:rFonts w:cs="Calibri"/>
                <w:bCs/>
                <w:szCs w:val="18"/>
              </w:rPr>
              <w:t>Yes</w:t>
            </w:r>
          </w:p>
        </w:tc>
      </w:tr>
      <w:tr w:rsidR="00F67ADF" w:rsidRPr="00B275E2" w14:paraId="7918C0F1" w14:textId="77777777" w:rsidTr="000D5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FFFFFF" w:themeColor="background1"/>
            </w:tcBorders>
            <w:shd w:val="clear" w:color="auto" w:fill="auto"/>
            <w:noWrap/>
          </w:tcPr>
          <w:p w14:paraId="06B2BC72" w14:textId="03B01586" w:rsidR="00F67ADF" w:rsidRPr="00B275E2" w:rsidRDefault="00F67ADF" w:rsidP="00AE718C">
            <w:pPr>
              <w:pStyle w:val="TableText"/>
              <w:spacing w:before="50" w:after="50"/>
              <w:rPr>
                <w:rFonts w:cs="Calibri"/>
                <w:b w:val="0"/>
                <w:szCs w:val="18"/>
              </w:rPr>
            </w:pPr>
            <w:r w:rsidRPr="00B275E2">
              <w:rPr>
                <w:rFonts w:cs="Calibri"/>
                <w:b w:val="0"/>
                <w:szCs w:val="18"/>
              </w:rPr>
              <w:t>Tarras Landfil</w:t>
            </w:r>
            <w:r w:rsidR="00D45BED" w:rsidRPr="00B275E2">
              <w:rPr>
                <w:rFonts w:cs="Calibri"/>
                <w:b w:val="0"/>
                <w:szCs w:val="18"/>
              </w:rPr>
              <w:t>l</w:t>
            </w:r>
          </w:p>
        </w:tc>
        <w:tc>
          <w:tcPr>
            <w:tcW w:w="4394" w:type="dxa"/>
            <w:shd w:val="clear" w:color="auto" w:fill="auto"/>
            <w:noWrap/>
          </w:tcPr>
          <w:p w14:paraId="11F40934" w14:textId="77777777" w:rsidR="00F67ADF" w:rsidRPr="00B275E2" w:rsidRDefault="00F67ADF"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275E2">
              <w:rPr>
                <w:rFonts w:cs="Calibri"/>
                <w:bCs/>
                <w:szCs w:val="18"/>
              </w:rPr>
              <w:t>Central Otago District Council</w:t>
            </w:r>
          </w:p>
        </w:tc>
        <w:tc>
          <w:tcPr>
            <w:tcW w:w="997" w:type="dxa"/>
            <w:tcBorders>
              <w:right w:val="single" w:sz="4" w:space="0" w:color="FFFFFF" w:themeColor="background1"/>
            </w:tcBorders>
            <w:shd w:val="clear" w:color="auto" w:fill="auto"/>
            <w:noWrap/>
          </w:tcPr>
          <w:p w14:paraId="5A11D4AC" w14:textId="37EFE44D" w:rsidR="00F67ADF" w:rsidRPr="00B275E2" w:rsidRDefault="00F67ADF"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275E2">
              <w:rPr>
                <w:rFonts w:cs="Calibri"/>
                <w:bCs/>
                <w:szCs w:val="18"/>
              </w:rPr>
              <w:t>Closed</w:t>
            </w:r>
          </w:p>
        </w:tc>
      </w:tr>
      <w:tr w:rsidR="00F67ADF" w:rsidRPr="00B275E2" w14:paraId="47713A6A" w14:textId="77777777" w:rsidTr="000D565E">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FFFFFF" w:themeColor="background1"/>
            </w:tcBorders>
            <w:shd w:val="clear" w:color="auto" w:fill="auto"/>
            <w:noWrap/>
          </w:tcPr>
          <w:p w14:paraId="45AEE46C" w14:textId="65D26765" w:rsidR="00F67ADF" w:rsidRPr="00B275E2" w:rsidRDefault="00A36942" w:rsidP="00AE718C">
            <w:pPr>
              <w:pStyle w:val="TableText"/>
              <w:spacing w:before="50" w:after="50"/>
              <w:rPr>
                <w:rFonts w:cs="Calibri"/>
                <w:b w:val="0"/>
                <w:szCs w:val="18"/>
              </w:rPr>
            </w:pPr>
            <w:r w:rsidRPr="00B275E2">
              <w:rPr>
                <w:rFonts w:cs="Calibri"/>
                <w:b w:val="0"/>
                <w:szCs w:val="18"/>
              </w:rPr>
              <w:t>Tirohia</w:t>
            </w:r>
            <w:r w:rsidR="00F67ADF" w:rsidRPr="00B275E2">
              <w:rPr>
                <w:rFonts w:cs="Calibri"/>
                <w:b w:val="0"/>
                <w:szCs w:val="18"/>
              </w:rPr>
              <w:t xml:space="preserve"> Landfill</w:t>
            </w:r>
            <w:r w:rsidR="00D45BED" w:rsidRPr="00B275E2">
              <w:rPr>
                <w:rFonts w:cs="Calibri"/>
                <w:b w:val="0"/>
                <w:szCs w:val="18"/>
              </w:rPr>
              <w:t xml:space="preserve"> (Paeroa)</w:t>
            </w:r>
          </w:p>
        </w:tc>
        <w:tc>
          <w:tcPr>
            <w:tcW w:w="4394" w:type="dxa"/>
            <w:shd w:val="clear" w:color="auto" w:fill="auto"/>
            <w:noWrap/>
          </w:tcPr>
          <w:p w14:paraId="617DDB46" w14:textId="48291759" w:rsidR="00F67ADF" w:rsidRPr="00B275E2" w:rsidRDefault="00A36942"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275E2">
              <w:rPr>
                <w:rFonts w:cs="Calibri"/>
                <w:bCs/>
                <w:szCs w:val="18"/>
              </w:rPr>
              <w:t xml:space="preserve">HG Leach &amp; Co. </w:t>
            </w:r>
            <w:r w:rsidR="00C964F5" w:rsidRPr="00B275E2">
              <w:rPr>
                <w:rFonts w:cs="Calibri"/>
                <w:bCs/>
                <w:szCs w:val="18"/>
              </w:rPr>
              <w:t>Ltd</w:t>
            </w:r>
          </w:p>
        </w:tc>
        <w:tc>
          <w:tcPr>
            <w:tcW w:w="997" w:type="dxa"/>
            <w:tcBorders>
              <w:right w:val="single" w:sz="4" w:space="0" w:color="FFFFFF" w:themeColor="background1"/>
            </w:tcBorders>
            <w:shd w:val="clear" w:color="auto" w:fill="auto"/>
            <w:noWrap/>
          </w:tcPr>
          <w:p w14:paraId="3451F6AE" w14:textId="3AC5991E" w:rsidR="00F67ADF" w:rsidRPr="00B275E2" w:rsidRDefault="007C55A6"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275E2">
              <w:rPr>
                <w:rFonts w:cs="Calibri"/>
                <w:bCs/>
                <w:szCs w:val="18"/>
              </w:rPr>
              <w:t>Yes</w:t>
            </w:r>
          </w:p>
        </w:tc>
      </w:tr>
      <w:tr w:rsidR="00F67ADF" w:rsidRPr="00B275E2" w14:paraId="69AA0B64" w14:textId="77777777" w:rsidTr="000D5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FFFFFF" w:themeColor="background1"/>
            </w:tcBorders>
            <w:shd w:val="clear" w:color="auto" w:fill="auto"/>
            <w:noWrap/>
          </w:tcPr>
          <w:p w14:paraId="5DDAE01A" w14:textId="012C9045" w:rsidR="00F67ADF" w:rsidRPr="00B275E2" w:rsidRDefault="00A36942" w:rsidP="00AE718C">
            <w:pPr>
              <w:pStyle w:val="TableText"/>
              <w:spacing w:before="50" w:after="50"/>
              <w:rPr>
                <w:rFonts w:cs="Calibri"/>
                <w:b w:val="0"/>
                <w:szCs w:val="18"/>
              </w:rPr>
            </w:pPr>
            <w:r w:rsidRPr="00B275E2">
              <w:rPr>
                <w:rFonts w:cs="Calibri"/>
                <w:b w:val="0"/>
                <w:szCs w:val="18"/>
              </w:rPr>
              <w:t>Tokoroa</w:t>
            </w:r>
            <w:r w:rsidR="00F67ADF" w:rsidRPr="00B275E2">
              <w:rPr>
                <w:rFonts w:cs="Calibri"/>
                <w:b w:val="0"/>
                <w:szCs w:val="18"/>
              </w:rPr>
              <w:t xml:space="preserve"> Landfill</w:t>
            </w:r>
          </w:p>
        </w:tc>
        <w:tc>
          <w:tcPr>
            <w:tcW w:w="4394" w:type="dxa"/>
            <w:shd w:val="clear" w:color="auto" w:fill="auto"/>
            <w:noWrap/>
          </w:tcPr>
          <w:p w14:paraId="30D43F5B" w14:textId="25A76389" w:rsidR="00F67ADF" w:rsidRPr="00B275E2" w:rsidRDefault="00A36942"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275E2">
              <w:rPr>
                <w:rFonts w:cs="Calibri"/>
                <w:bCs/>
                <w:szCs w:val="18"/>
              </w:rPr>
              <w:t>South Waikato</w:t>
            </w:r>
            <w:r w:rsidR="00F67ADF" w:rsidRPr="00B275E2">
              <w:rPr>
                <w:rFonts w:cs="Calibri"/>
                <w:bCs/>
                <w:szCs w:val="18"/>
              </w:rPr>
              <w:t xml:space="preserve"> District Council</w:t>
            </w:r>
          </w:p>
        </w:tc>
        <w:tc>
          <w:tcPr>
            <w:tcW w:w="997" w:type="dxa"/>
            <w:tcBorders>
              <w:right w:val="single" w:sz="4" w:space="0" w:color="FFFFFF" w:themeColor="background1"/>
            </w:tcBorders>
            <w:shd w:val="clear" w:color="auto" w:fill="auto"/>
            <w:noWrap/>
          </w:tcPr>
          <w:p w14:paraId="598F4DD7" w14:textId="215A4D50" w:rsidR="00F67ADF" w:rsidRPr="00B275E2" w:rsidRDefault="00A36942"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275E2">
              <w:rPr>
                <w:rFonts w:cs="Calibri"/>
                <w:bCs/>
                <w:szCs w:val="18"/>
              </w:rPr>
              <w:t xml:space="preserve">No </w:t>
            </w:r>
          </w:p>
        </w:tc>
      </w:tr>
      <w:tr w:rsidR="00F67ADF" w:rsidRPr="00B275E2" w14:paraId="7D93A87B" w14:textId="77777777" w:rsidTr="000D565E">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FFFFFF" w:themeColor="background1"/>
            </w:tcBorders>
            <w:shd w:val="clear" w:color="auto" w:fill="auto"/>
            <w:noWrap/>
          </w:tcPr>
          <w:p w14:paraId="3B83F6CF" w14:textId="50C76176" w:rsidR="00F67ADF" w:rsidRPr="00B275E2" w:rsidRDefault="00A36942" w:rsidP="00AE718C">
            <w:pPr>
              <w:pStyle w:val="TableText"/>
              <w:spacing w:before="50" w:after="50"/>
              <w:rPr>
                <w:rFonts w:cs="Calibri"/>
                <w:b w:val="0"/>
                <w:szCs w:val="18"/>
              </w:rPr>
            </w:pPr>
            <w:r w:rsidRPr="00B275E2">
              <w:rPr>
                <w:rFonts w:cs="Calibri"/>
                <w:b w:val="0"/>
                <w:szCs w:val="18"/>
              </w:rPr>
              <w:t>Victoria Flats</w:t>
            </w:r>
            <w:r w:rsidR="00F67ADF" w:rsidRPr="00B275E2">
              <w:rPr>
                <w:rFonts w:cs="Calibri"/>
                <w:b w:val="0"/>
                <w:szCs w:val="18"/>
              </w:rPr>
              <w:t xml:space="preserve"> Landfill</w:t>
            </w:r>
            <w:r w:rsidR="00D45BED" w:rsidRPr="00B275E2">
              <w:rPr>
                <w:rFonts w:cs="Calibri"/>
                <w:b w:val="0"/>
                <w:szCs w:val="18"/>
              </w:rPr>
              <w:t xml:space="preserve"> (Queenstown/</w:t>
            </w:r>
            <w:r w:rsidR="006E0AED" w:rsidRPr="00B275E2">
              <w:rPr>
                <w:rFonts w:cs="Calibri"/>
                <w:b w:val="0"/>
                <w:szCs w:val="18"/>
              </w:rPr>
              <w:t xml:space="preserve"> </w:t>
            </w:r>
            <w:r w:rsidR="00D45BED" w:rsidRPr="00B275E2">
              <w:rPr>
                <w:rFonts w:cs="Calibri"/>
                <w:b w:val="0"/>
                <w:szCs w:val="18"/>
              </w:rPr>
              <w:t>Cromwell)</w:t>
            </w:r>
          </w:p>
        </w:tc>
        <w:tc>
          <w:tcPr>
            <w:tcW w:w="4394" w:type="dxa"/>
            <w:shd w:val="clear" w:color="auto" w:fill="auto"/>
            <w:noWrap/>
          </w:tcPr>
          <w:p w14:paraId="50A04A3A" w14:textId="45476CA2" w:rsidR="00F67ADF" w:rsidRPr="00B275E2" w:rsidRDefault="00A36942"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275E2">
              <w:rPr>
                <w:rFonts w:cs="Calibri"/>
                <w:bCs/>
                <w:szCs w:val="18"/>
              </w:rPr>
              <w:t xml:space="preserve">Scope Resources </w:t>
            </w:r>
            <w:r w:rsidR="00C964F5" w:rsidRPr="00B275E2">
              <w:rPr>
                <w:rFonts w:cs="Calibri"/>
                <w:bCs/>
                <w:szCs w:val="18"/>
              </w:rPr>
              <w:t>Ltd</w:t>
            </w:r>
          </w:p>
        </w:tc>
        <w:tc>
          <w:tcPr>
            <w:tcW w:w="997" w:type="dxa"/>
            <w:tcBorders>
              <w:right w:val="single" w:sz="4" w:space="0" w:color="FFFFFF" w:themeColor="background1"/>
            </w:tcBorders>
            <w:shd w:val="clear" w:color="auto" w:fill="auto"/>
            <w:noWrap/>
          </w:tcPr>
          <w:p w14:paraId="304C638B" w14:textId="7E24A7CD" w:rsidR="00F67ADF" w:rsidRPr="00B275E2" w:rsidRDefault="00F67ADF"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275E2">
              <w:rPr>
                <w:rFonts w:cs="Calibri"/>
                <w:bCs/>
                <w:szCs w:val="18"/>
              </w:rPr>
              <w:t xml:space="preserve">No </w:t>
            </w:r>
          </w:p>
        </w:tc>
      </w:tr>
      <w:tr w:rsidR="00F67ADF" w:rsidRPr="00B275E2" w14:paraId="09873969" w14:textId="77777777" w:rsidTr="000D5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FFFFFF" w:themeColor="background1"/>
            </w:tcBorders>
            <w:shd w:val="clear" w:color="auto" w:fill="auto"/>
            <w:noWrap/>
          </w:tcPr>
          <w:p w14:paraId="24B3607C" w14:textId="1F72DFA8" w:rsidR="00F67ADF" w:rsidRPr="00B275E2" w:rsidRDefault="00A36942" w:rsidP="00AE718C">
            <w:pPr>
              <w:pStyle w:val="TableText"/>
              <w:spacing w:before="50" w:after="50"/>
              <w:rPr>
                <w:rFonts w:cs="Calibri"/>
                <w:b w:val="0"/>
                <w:szCs w:val="18"/>
              </w:rPr>
            </w:pPr>
            <w:r w:rsidRPr="00B275E2">
              <w:rPr>
                <w:rFonts w:cs="Calibri"/>
                <w:b w:val="0"/>
                <w:szCs w:val="18"/>
              </w:rPr>
              <w:t>Waiapu</w:t>
            </w:r>
            <w:r w:rsidR="00F67ADF" w:rsidRPr="00B275E2">
              <w:rPr>
                <w:rFonts w:cs="Calibri"/>
                <w:b w:val="0"/>
                <w:szCs w:val="18"/>
              </w:rPr>
              <w:t xml:space="preserve"> Landfill</w:t>
            </w:r>
          </w:p>
        </w:tc>
        <w:tc>
          <w:tcPr>
            <w:tcW w:w="4394" w:type="dxa"/>
            <w:shd w:val="clear" w:color="auto" w:fill="auto"/>
            <w:noWrap/>
          </w:tcPr>
          <w:p w14:paraId="10893ACF" w14:textId="14FAE78C" w:rsidR="00F67ADF" w:rsidRPr="00B275E2" w:rsidRDefault="00A36942"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275E2">
              <w:rPr>
                <w:rFonts w:cs="Calibri"/>
                <w:bCs/>
                <w:szCs w:val="18"/>
              </w:rPr>
              <w:t>Gisborne District Council</w:t>
            </w:r>
          </w:p>
        </w:tc>
        <w:tc>
          <w:tcPr>
            <w:tcW w:w="997" w:type="dxa"/>
            <w:tcBorders>
              <w:right w:val="single" w:sz="4" w:space="0" w:color="FFFFFF" w:themeColor="background1"/>
            </w:tcBorders>
            <w:shd w:val="clear" w:color="auto" w:fill="auto"/>
            <w:noWrap/>
          </w:tcPr>
          <w:p w14:paraId="7BA1CECB" w14:textId="717BE614" w:rsidR="00F67ADF" w:rsidRPr="00B275E2" w:rsidRDefault="00A36942"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275E2">
              <w:rPr>
                <w:rFonts w:cs="Calibri"/>
                <w:bCs/>
                <w:szCs w:val="18"/>
              </w:rPr>
              <w:t xml:space="preserve">No </w:t>
            </w:r>
          </w:p>
        </w:tc>
      </w:tr>
      <w:tr w:rsidR="00F67ADF" w:rsidRPr="00B275E2" w14:paraId="62D65338" w14:textId="77777777" w:rsidTr="000D565E">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FFFFFF" w:themeColor="background1"/>
            </w:tcBorders>
            <w:shd w:val="clear" w:color="auto" w:fill="auto"/>
            <w:noWrap/>
          </w:tcPr>
          <w:p w14:paraId="23B227C5" w14:textId="05D80CCB" w:rsidR="00F67ADF" w:rsidRPr="00B275E2" w:rsidRDefault="00A36942" w:rsidP="00AE718C">
            <w:pPr>
              <w:pStyle w:val="TableText"/>
              <w:spacing w:before="50" w:after="50"/>
              <w:rPr>
                <w:rFonts w:cs="Calibri"/>
                <w:b w:val="0"/>
                <w:szCs w:val="18"/>
              </w:rPr>
            </w:pPr>
            <w:r w:rsidRPr="00B275E2">
              <w:rPr>
                <w:rFonts w:cs="Calibri"/>
                <w:b w:val="0"/>
                <w:szCs w:val="18"/>
              </w:rPr>
              <w:t>Waikouaiti</w:t>
            </w:r>
            <w:r w:rsidR="00F67ADF" w:rsidRPr="00B275E2">
              <w:rPr>
                <w:rFonts w:cs="Calibri"/>
                <w:b w:val="0"/>
                <w:szCs w:val="18"/>
              </w:rPr>
              <w:t xml:space="preserve"> Landfill</w:t>
            </w:r>
          </w:p>
        </w:tc>
        <w:tc>
          <w:tcPr>
            <w:tcW w:w="4394" w:type="dxa"/>
            <w:shd w:val="clear" w:color="auto" w:fill="auto"/>
            <w:noWrap/>
          </w:tcPr>
          <w:p w14:paraId="04AC7401" w14:textId="77777777" w:rsidR="00F67ADF" w:rsidRPr="00B275E2" w:rsidRDefault="00F67ADF"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275E2">
              <w:rPr>
                <w:rFonts w:cs="Calibri"/>
                <w:bCs/>
                <w:szCs w:val="18"/>
              </w:rPr>
              <w:t>Dunedin City Council</w:t>
            </w:r>
          </w:p>
        </w:tc>
        <w:tc>
          <w:tcPr>
            <w:tcW w:w="997" w:type="dxa"/>
            <w:tcBorders>
              <w:right w:val="single" w:sz="4" w:space="0" w:color="FFFFFF" w:themeColor="background1"/>
            </w:tcBorders>
            <w:shd w:val="clear" w:color="auto" w:fill="auto"/>
            <w:noWrap/>
          </w:tcPr>
          <w:p w14:paraId="66EB101F" w14:textId="6975A6CB" w:rsidR="00F67ADF" w:rsidRPr="00B275E2" w:rsidRDefault="00A36942"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275E2">
              <w:rPr>
                <w:rFonts w:cs="Calibri"/>
                <w:bCs/>
                <w:szCs w:val="18"/>
              </w:rPr>
              <w:t>Closed</w:t>
            </w:r>
          </w:p>
        </w:tc>
      </w:tr>
      <w:tr w:rsidR="00F67ADF" w:rsidRPr="00B275E2" w14:paraId="57EC9E38" w14:textId="77777777" w:rsidTr="000D5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FFFFFF" w:themeColor="background1"/>
            </w:tcBorders>
            <w:shd w:val="clear" w:color="auto" w:fill="auto"/>
            <w:noWrap/>
          </w:tcPr>
          <w:p w14:paraId="53438301" w14:textId="618CB0CE" w:rsidR="00F67ADF" w:rsidRPr="00B275E2" w:rsidRDefault="00A36942" w:rsidP="00AE718C">
            <w:pPr>
              <w:pStyle w:val="TableText"/>
              <w:spacing w:before="50" w:after="50"/>
              <w:rPr>
                <w:rFonts w:cs="Calibri"/>
                <w:b w:val="0"/>
                <w:szCs w:val="18"/>
              </w:rPr>
            </w:pPr>
            <w:r w:rsidRPr="00B275E2">
              <w:rPr>
                <w:rFonts w:cs="Calibri"/>
                <w:b w:val="0"/>
                <w:szCs w:val="18"/>
              </w:rPr>
              <w:t>Waiouru</w:t>
            </w:r>
            <w:r w:rsidR="00F67ADF" w:rsidRPr="00B275E2">
              <w:rPr>
                <w:rFonts w:cs="Calibri"/>
                <w:b w:val="0"/>
                <w:szCs w:val="18"/>
              </w:rPr>
              <w:t xml:space="preserve"> Landfill</w:t>
            </w:r>
          </w:p>
        </w:tc>
        <w:tc>
          <w:tcPr>
            <w:tcW w:w="4394" w:type="dxa"/>
            <w:shd w:val="clear" w:color="auto" w:fill="auto"/>
            <w:noWrap/>
          </w:tcPr>
          <w:p w14:paraId="60059A46" w14:textId="14D9081B" w:rsidR="00F67ADF" w:rsidRPr="00B275E2" w:rsidRDefault="00A36942"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275E2">
              <w:rPr>
                <w:rFonts w:cs="Calibri"/>
                <w:bCs/>
                <w:szCs w:val="18"/>
              </w:rPr>
              <w:t xml:space="preserve">New Zealand Defence Force, Waiouru, owned by the NZ Defence Force and operated by Transfield Services </w:t>
            </w:r>
            <w:r w:rsidR="00C964F5" w:rsidRPr="00B275E2">
              <w:rPr>
                <w:rFonts w:cs="Calibri"/>
                <w:bCs/>
                <w:szCs w:val="18"/>
              </w:rPr>
              <w:t>Ltd</w:t>
            </w:r>
          </w:p>
        </w:tc>
        <w:tc>
          <w:tcPr>
            <w:tcW w:w="997" w:type="dxa"/>
            <w:tcBorders>
              <w:right w:val="single" w:sz="4" w:space="0" w:color="FFFFFF" w:themeColor="background1"/>
            </w:tcBorders>
            <w:shd w:val="clear" w:color="auto" w:fill="auto"/>
            <w:noWrap/>
          </w:tcPr>
          <w:p w14:paraId="51FC5242" w14:textId="40597D02" w:rsidR="00F67ADF" w:rsidRPr="00B275E2" w:rsidRDefault="00A36942"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275E2">
              <w:rPr>
                <w:rFonts w:cs="Calibri"/>
                <w:bCs/>
                <w:szCs w:val="18"/>
              </w:rPr>
              <w:t>Unknown</w:t>
            </w:r>
          </w:p>
        </w:tc>
      </w:tr>
      <w:tr w:rsidR="00F67ADF" w:rsidRPr="00B275E2" w14:paraId="4B8FD2A8" w14:textId="77777777" w:rsidTr="000D565E">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FFFFFF" w:themeColor="background1"/>
            </w:tcBorders>
            <w:shd w:val="clear" w:color="auto" w:fill="auto"/>
            <w:noWrap/>
          </w:tcPr>
          <w:p w14:paraId="2B7EA7EE" w14:textId="441D7CAF" w:rsidR="00F67ADF" w:rsidRPr="00B275E2" w:rsidRDefault="00A36942" w:rsidP="00AE718C">
            <w:pPr>
              <w:pStyle w:val="TableText"/>
              <w:spacing w:before="50" w:after="50"/>
              <w:rPr>
                <w:rFonts w:cs="Calibri"/>
                <w:b w:val="0"/>
                <w:szCs w:val="18"/>
              </w:rPr>
            </w:pPr>
            <w:r w:rsidRPr="00B275E2">
              <w:rPr>
                <w:rFonts w:cs="Calibri"/>
                <w:b w:val="0"/>
                <w:szCs w:val="18"/>
              </w:rPr>
              <w:t>Wairoa Landfill</w:t>
            </w:r>
          </w:p>
        </w:tc>
        <w:tc>
          <w:tcPr>
            <w:tcW w:w="4394" w:type="dxa"/>
            <w:shd w:val="clear" w:color="auto" w:fill="auto"/>
            <w:noWrap/>
          </w:tcPr>
          <w:p w14:paraId="34FD2A48" w14:textId="3A451FF0" w:rsidR="00F67ADF" w:rsidRPr="00B275E2" w:rsidRDefault="00A36942"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275E2">
              <w:rPr>
                <w:rFonts w:cs="Calibri"/>
                <w:bCs/>
                <w:szCs w:val="18"/>
              </w:rPr>
              <w:t>Wairoa District Council</w:t>
            </w:r>
          </w:p>
        </w:tc>
        <w:tc>
          <w:tcPr>
            <w:tcW w:w="997" w:type="dxa"/>
            <w:tcBorders>
              <w:right w:val="single" w:sz="4" w:space="0" w:color="FFFFFF" w:themeColor="background1"/>
            </w:tcBorders>
            <w:shd w:val="clear" w:color="auto" w:fill="auto"/>
            <w:noWrap/>
          </w:tcPr>
          <w:p w14:paraId="6F4BD74F" w14:textId="3CAA1356" w:rsidR="00F67ADF" w:rsidRPr="00B275E2" w:rsidRDefault="00A36942"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275E2">
              <w:rPr>
                <w:rFonts w:cs="Calibri"/>
                <w:bCs/>
                <w:szCs w:val="18"/>
              </w:rPr>
              <w:t xml:space="preserve">No </w:t>
            </w:r>
          </w:p>
        </w:tc>
      </w:tr>
      <w:tr w:rsidR="00F67ADF" w:rsidRPr="00B275E2" w14:paraId="4E268CD2" w14:textId="77777777" w:rsidTr="000D5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FFFFFF" w:themeColor="background1"/>
            </w:tcBorders>
            <w:shd w:val="clear" w:color="auto" w:fill="auto"/>
            <w:noWrap/>
          </w:tcPr>
          <w:p w14:paraId="679152AB" w14:textId="244E5E56" w:rsidR="00F67ADF" w:rsidRPr="00B275E2" w:rsidRDefault="00A36942" w:rsidP="00AE718C">
            <w:pPr>
              <w:pStyle w:val="TableText"/>
              <w:spacing w:before="50" w:after="50"/>
              <w:rPr>
                <w:rFonts w:cs="Calibri"/>
                <w:b w:val="0"/>
                <w:szCs w:val="18"/>
              </w:rPr>
            </w:pPr>
            <w:r w:rsidRPr="00B275E2">
              <w:rPr>
                <w:rFonts w:cs="Calibri"/>
                <w:b w:val="0"/>
                <w:szCs w:val="18"/>
              </w:rPr>
              <w:t>Waitomo District Landfill</w:t>
            </w:r>
          </w:p>
        </w:tc>
        <w:tc>
          <w:tcPr>
            <w:tcW w:w="4394" w:type="dxa"/>
            <w:shd w:val="clear" w:color="auto" w:fill="auto"/>
            <w:noWrap/>
          </w:tcPr>
          <w:p w14:paraId="4D1D4994" w14:textId="6D85DA16" w:rsidR="00F67ADF" w:rsidRPr="00B275E2" w:rsidRDefault="00A36942"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275E2">
              <w:rPr>
                <w:rFonts w:cs="Calibri"/>
                <w:bCs/>
                <w:szCs w:val="18"/>
              </w:rPr>
              <w:t>Waitomo District Council</w:t>
            </w:r>
          </w:p>
        </w:tc>
        <w:tc>
          <w:tcPr>
            <w:tcW w:w="997" w:type="dxa"/>
            <w:tcBorders>
              <w:right w:val="single" w:sz="4" w:space="0" w:color="FFFFFF" w:themeColor="background1"/>
            </w:tcBorders>
            <w:shd w:val="clear" w:color="auto" w:fill="auto"/>
            <w:noWrap/>
          </w:tcPr>
          <w:p w14:paraId="779C9C56" w14:textId="0330C64D" w:rsidR="00F67ADF" w:rsidRPr="00B275E2" w:rsidRDefault="00A36942"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275E2">
              <w:rPr>
                <w:rFonts w:cs="Calibri"/>
                <w:bCs/>
                <w:szCs w:val="18"/>
              </w:rPr>
              <w:t xml:space="preserve">No </w:t>
            </w:r>
          </w:p>
        </w:tc>
      </w:tr>
      <w:tr w:rsidR="00F67ADF" w:rsidRPr="00B275E2" w14:paraId="60C8D6DA" w14:textId="77777777" w:rsidTr="000D565E">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FFFFFF" w:themeColor="background1"/>
            </w:tcBorders>
            <w:shd w:val="clear" w:color="auto" w:fill="auto"/>
            <w:noWrap/>
          </w:tcPr>
          <w:p w14:paraId="37F53E9D" w14:textId="520EA1C1" w:rsidR="00F67ADF" w:rsidRPr="00B275E2" w:rsidRDefault="00A36942" w:rsidP="00AE718C">
            <w:pPr>
              <w:pStyle w:val="TableText"/>
              <w:spacing w:before="50" w:after="50"/>
              <w:rPr>
                <w:rFonts w:cs="Calibri"/>
                <w:b w:val="0"/>
                <w:szCs w:val="18"/>
              </w:rPr>
            </w:pPr>
            <w:r w:rsidRPr="00B275E2">
              <w:rPr>
                <w:rFonts w:cs="Calibri"/>
                <w:b w:val="0"/>
                <w:szCs w:val="18"/>
              </w:rPr>
              <w:t xml:space="preserve">Whitford Landfill </w:t>
            </w:r>
            <w:r w:rsidR="007C55A6" w:rsidRPr="00B275E2">
              <w:rPr>
                <w:rFonts w:cs="Calibri"/>
                <w:b w:val="0"/>
                <w:szCs w:val="18"/>
              </w:rPr>
              <w:t xml:space="preserve">– </w:t>
            </w:r>
            <w:r w:rsidRPr="00B275E2">
              <w:rPr>
                <w:rFonts w:cs="Calibri"/>
                <w:b w:val="0"/>
                <w:szCs w:val="18"/>
              </w:rPr>
              <w:t>Waste Disposal Services</w:t>
            </w:r>
          </w:p>
        </w:tc>
        <w:tc>
          <w:tcPr>
            <w:tcW w:w="4394" w:type="dxa"/>
            <w:shd w:val="clear" w:color="auto" w:fill="auto"/>
            <w:noWrap/>
          </w:tcPr>
          <w:p w14:paraId="566FDD35" w14:textId="2DC23A6C" w:rsidR="00F67ADF" w:rsidRPr="00B275E2" w:rsidRDefault="00A36942"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275E2">
              <w:rPr>
                <w:rFonts w:cs="Calibri"/>
                <w:bCs/>
                <w:szCs w:val="18"/>
              </w:rPr>
              <w:t>Transpacific waste management</w:t>
            </w:r>
          </w:p>
        </w:tc>
        <w:tc>
          <w:tcPr>
            <w:tcW w:w="997" w:type="dxa"/>
            <w:tcBorders>
              <w:right w:val="single" w:sz="4" w:space="0" w:color="FFFFFF" w:themeColor="background1"/>
            </w:tcBorders>
            <w:shd w:val="clear" w:color="auto" w:fill="auto"/>
            <w:noWrap/>
          </w:tcPr>
          <w:p w14:paraId="1C8621BB" w14:textId="2D52F14E" w:rsidR="00F67ADF" w:rsidRPr="00B275E2" w:rsidRDefault="007C55A6"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275E2">
              <w:rPr>
                <w:rFonts w:cs="Calibri"/>
                <w:bCs/>
                <w:szCs w:val="18"/>
              </w:rPr>
              <w:t>Yes</w:t>
            </w:r>
          </w:p>
        </w:tc>
      </w:tr>
      <w:tr w:rsidR="00F67ADF" w:rsidRPr="00B275E2" w14:paraId="7541C031" w14:textId="77777777" w:rsidTr="000D5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FFFFFF" w:themeColor="background1"/>
            </w:tcBorders>
            <w:shd w:val="clear" w:color="auto" w:fill="auto"/>
            <w:noWrap/>
          </w:tcPr>
          <w:p w14:paraId="13E753D2" w14:textId="5901DF14" w:rsidR="00F67ADF" w:rsidRPr="00B275E2" w:rsidRDefault="00A36942" w:rsidP="00AE718C">
            <w:pPr>
              <w:pStyle w:val="TableText"/>
              <w:spacing w:before="50" w:after="50"/>
              <w:rPr>
                <w:rFonts w:cs="Calibri"/>
                <w:b w:val="0"/>
                <w:szCs w:val="18"/>
              </w:rPr>
            </w:pPr>
            <w:r w:rsidRPr="00B275E2">
              <w:rPr>
                <w:rFonts w:cs="Calibri"/>
                <w:b w:val="0"/>
                <w:szCs w:val="18"/>
              </w:rPr>
              <w:t>York Valley</w:t>
            </w:r>
            <w:r w:rsidR="00F67ADF" w:rsidRPr="00B275E2">
              <w:rPr>
                <w:rFonts w:cs="Calibri"/>
                <w:b w:val="0"/>
                <w:szCs w:val="18"/>
              </w:rPr>
              <w:t xml:space="preserve"> Landfill</w:t>
            </w:r>
          </w:p>
        </w:tc>
        <w:tc>
          <w:tcPr>
            <w:tcW w:w="4394" w:type="dxa"/>
            <w:shd w:val="clear" w:color="auto" w:fill="auto"/>
            <w:noWrap/>
          </w:tcPr>
          <w:p w14:paraId="2C8764F9" w14:textId="37D7E180" w:rsidR="00F67ADF" w:rsidRPr="00B275E2" w:rsidRDefault="00A36942"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275E2">
              <w:rPr>
                <w:rFonts w:cs="Calibri"/>
                <w:bCs/>
                <w:szCs w:val="18"/>
              </w:rPr>
              <w:t>Nelson City Council</w:t>
            </w:r>
          </w:p>
        </w:tc>
        <w:tc>
          <w:tcPr>
            <w:tcW w:w="997" w:type="dxa"/>
            <w:tcBorders>
              <w:right w:val="single" w:sz="4" w:space="0" w:color="FFFFFF" w:themeColor="background1"/>
            </w:tcBorders>
            <w:shd w:val="clear" w:color="auto" w:fill="auto"/>
            <w:noWrap/>
          </w:tcPr>
          <w:p w14:paraId="61397B72" w14:textId="1D365E24" w:rsidR="00F67ADF" w:rsidRPr="00B275E2" w:rsidRDefault="007C55A6"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275E2">
              <w:rPr>
                <w:rFonts w:cs="Calibri"/>
                <w:bCs/>
                <w:szCs w:val="18"/>
              </w:rPr>
              <w:t>Yes</w:t>
            </w:r>
          </w:p>
        </w:tc>
      </w:tr>
    </w:tbl>
    <w:p w14:paraId="375AFC7D" w14:textId="58DB15F2" w:rsidR="00A36942" w:rsidRPr="00B275E2" w:rsidRDefault="00A36942" w:rsidP="00D77DD7">
      <w:pPr>
        <w:pStyle w:val="Note"/>
      </w:pPr>
      <w:r w:rsidRPr="00B275E2">
        <w:t xml:space="preserve">Source: Enviro-Mark Solutions </w:t>
      </w:r>
      <w:r w:rsidR="00C964F5" w:rsidRPr="00B275E2">
        <w:t>Ltd</w:t>
      </w:r>
    </w:p>
    <w:p w14:paraId="07877E92" w14:textId="1E959080" w:rsidR="003B2D15" w:rsidRPr="00B275E2" w:rsidRDefault="00A36942" w:rsidP="00DC34D3">
      <w:pPr>
        <w:spacing w:after="200" w:line="276" w:lineRule="auto"/>
        <w:rPr>
          <w:lang w:val="en-NZ"/>
        </w:rPr>
      </w:pPr>
      <w:bookmarkStart w:id="711" w:name="_Ref532552915"/>
      <w:bookmarkStart w:id="712" w:name="_Ref532553701"/>
      <w:bookmarkStart w:id="713" w:name="_Toc532904983"/>
      <w:r w:rsidRPr="00B275E2">
        <w:rPr>
          <w:lang w:val="en-NZ"/>
        </w:rPr>
        <w:br w:type="page"/>
      </w:r>
    </w:p>
    <w:p w14:paraId="5108F10F" w14:textId="75E69D6D" w:rsidR="00F7680D" w:rsidRPr="00B275E2" w:rsidRDefault="00F7680D" w:rsidP="00E76A51">
      <w:pPr>
        <w:pStyle w:val="Heading1"/>
      </w:pPr>
      <w:bookmarkStart w:id="714" w:name="_Glossary"/>
      <w:bookmarkStart w:id="715" w:name="_Ref535567662"/>
      <w:bookmarkStart w:id="716" w:name="_Toc600614"/>
      <w:bookmarkStart w:id="717" w:name="_Toc111536821"/>
      <w:bookmarkEnd w:id="714"/>
      <w:r w:rsidRPr="00B275E2">
        <w:lastRenderedPageBreak/>
        <w:t>Glossary</w:t>
      </w:r>
      <w:bookmarkEnd w:id="715"/>
      <w:bookmarkEnd w:id="717"/>
      <w:r w:rsidRPr="00B275E2">
        <w:t xml:space="preserve"> </w:t>
      </w:r>
      <w:bookmarkEnd w:id="711"/>
      <w:bookmarkEnd w:id="712"/>
      <w:bookmarkEnd w:id="713"/>
      <w:bookmarkEnd w:id="716"/>
    </w:p>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977"/>
        <w:gridCol w:w="5528"/>
      </w:tblGrid>
      <w:tr w:rsidR="009F740E" w:rsidRPr="00B275E2" w14:paraId="7A91ADF7" w14:textId="77777777" w:rsidTr="00462B36">
        <w:tc>
          <w:tcPr>
            <w:tcW w:w="2977" w:type="dxa"/>
            <w:shd w:val="clear" w:color="auto" w:fill="auto"/>
          </w:tcPr>
          <w:p w14:paraId="663A9D14" w14:textId="4EC0298D" w:rsidR="009F740E" w:rsidRPr="00B275E2" w:rsidRDefault="009F740E" w:rsidP="00546E5C">
            <w:pPr>
              <w:pStyle w:val="Glossary"/>
              <w:tabs>
                <w:tab w:val="clear" w:pos="2835"/>
              </w:tabs>
              <w:spacing w:line="260" w:lineRule="atLeast"/>
              <w:rPr>
                <w:b/>
                <w:bCs/>
              </w:rPr>
            </w:pPr>
            <w:r w:rsidRPr="00B275E2">
              <w:rPr>
                <w:b/>
                <w:bCs/>
              </w:rPr>
              <w:t>AR4</w:t>
            </w:r>
          </w:p>
        </w:tc>
        <w:tc>
          <w:tcPr>
            <w:tcW w:w="5528" w:type="dxa"/>
          </w:tcPr>
          <w:p w14:paraId="71A8FA27" w14:textId="59016B4E" w:rsidR="009F740E" w:rsidRPr="00B275E2" w:rsidRDefault="00E74794" w:rsidP="00546E5C">
            <w:pPr>
              <w:pStyle w:val="Glossary"/>
              <w:tabs>
                <w:tab w:val="clear" w:pos="2835"/>
              </w:tabs>
              <w:spacing w:line="260" w:lineRule="atLeast"/>
            </w:pPr>
            <w:r w:rsidRPr="00B275E2">
              <w:rPr>
                <w:rFonts w:eastAsia="Times New Roman"/>
              </w:rPr>
              <w:t>The IPCC Fourth Assessment Report</w:t>
            </w:r>
          </w:p>
        </w:tc>
      </w:tr>
      <w:tr w:rsidR="009F740E" w:rsidRPr="00B275E2" w14:paraId="63730F16" w14:textId="77777777" w:rsidTr="00462B36">
        <w:tc>
          <w:tcPr>
            <w:tcW w:w="2977" w:type="dxa"/>
            <w:shd w:val="clear" w:color="auto" w:fill="auto"/>
          </w:tcPr>
          <w:p w14:paraId="66E13EA5" w14:textId="6E4D98D0" w:rsidR="009F740E" w:rsidRPr="00B275E2" w:rsidRDefault="009F740E" w:rsidP="00546E5C">
            <w:pPr>
              <w:pStyle w:val="Glossary"/>
              <w:tabs>
                <w:tab w:val="clear" w:pos="2835"/>
              </w:tabs>
              <w:spacing w:line="260" w:lineRule="atLeast"/>
              <w:rPr>
                <w:b/>
                <w:bCs/>
              </w:rPr>
            </w:pPr>
            <w:r w:rsidRPr="00B275E2">
              <w:rPr>
                <w:b/>
                <w:bCs/>
              </w:rPr>
              <w:t>AR5</w:t>
            </w:r>
          </w:p>
        </w:tc>
        <w:tc>
          <w:tcPr>
            <w:tcW w:w="5528" w:type="dxa"/>
          </w:tcPr>
          <w:p w14:paraId="6A2D35BA" w14:textId="517CB523" w:rsidR="009F740E" w:rsidRPr="00B275E2" w:rsidRDefault="00E74794" w:rsidP="00546E5C">
            <w:pPr>
              <w:pStyle w:val="Glossary"/>
              <w:tabs>
                <w:tab w:val="clear" w:pos="2835"/>
              </w:tabs>
              <w:spacing w:line="260" w:lineRule="atLeast"/>
            </w:pPr>
            <w:r w:rsidRPr="00B275E2">
              <w:rPr>
                <w:rFonts w:eastAsia="Times New Roman"/>
              </w:rPr>
              <w:t>The IPCC Fifth Assessment Report</w:t>
            </w:r>
          </w:p>
        </w:tc>
      </w:tr>
      <w:tr w:rsidR="003A0F0C" w:rsidRPr="00B275E2" w14:paraId="5160F13E" w14:textId="77777777" w:rsidTr="00462B36">
        <w:tc>
          <w:tcPr>
            <w:tcW w:w="2977" w:type="dxa"/>
            <w:shd w:val="clear" w:color="auto" w:fill="auto"/>
          </w:tcPr>
          <w:p w14:paraId="57CD9B47" w14:textId="281DAD6F" w:rsidR="003A0F0C" w:rsidRPr="00B275E2" w:rsidRDefault="003A0F0C" w:rsidP="00546E5C">
            <w:pPr>
              <w:pStyle w:val="Glossary"/>
              <w:tabs>
                <w:tab w:val="clear" w:pos="2835"/>
              </w:tabs>
              <w:spacing w:line="260" w:lineRule="atLeast"/>
              <w:rPr>
                <w:b/>
                <w:bCs/>
              </w:rPr>
            </w:pPr>
            <w:r w:rsidRPr="00B275E2">
              <w:rPr>
                <w:b/>
                <w:bCs/>
              </w:rPr>
              <w:t>Activity data</w:t>
            </w:r>
          </w:p>
        </w:tc>
        <w:tc>
          <w:tcPr>
            <w:tcW w:w="5528" w:type="dxa"/>
          </w:tcPr>
          <w:p w14:paraId="05CAD52E" w14:textId="791AA346" w:rsidR="003A0F0C" w:rsidRPr="00B275E2" w:rsidRDefault="003A0F0C" w:rsidP="00546E5C">
            <w:pPr>
              <w:pStyle w:val="Glossary"/>
              <w:tabs>
                <w:tab w:val="clear" w:pos="2835"/>
              </w:tabs>
              <w:spacing w:line="260" w:lineRule="atLeast"/>
            </w:pPr>
            <w:r w:rsidRPr="00B275E2">
              <w:t xml:space="preserve">Data on the magnitude of human activity resulting in emissions or removals taking place during a given period </w:t>
            </w:r>
          </w:p>
        </w:tc>
      </w:tr>
      <w:tr w:rsidR="00F7680D" w:rsidRPr="00B275E2" w14:paraId="2921096B" w14:textId="77777777" w:rsidTr="00462B36">
        <w:tc>
          <w:tcPr>
            <w:tcW w:w="2977" w:type="dxa"/>
            <w:shd w:val="clear" w:color="auto" w:fill="auto"/>
          </w:tcPr>
          <w:p w14:paraId="5F14AF94" w14:textId="77777777" w:rsidR="00F7680D" w:rsidRPr="00B275E2" w:rsidRDefault="00F7680D" w:rsidP="00546E5C">
            <w:pPr>
              <w:pStyle w:val="Glossary"/>
              <w:tabs>
                <w:tab w:val="clear" w:pos="2835"/>
              </w:tabs>
              <w:spacing w:line="260" w:lineRule="atLeast"/>
              <w:rPr>
                <w:rFonts w:eastAsia="Calibri"/>
                <w:b/>
                <w:bCs/>
              </w:rPr>
            </w:pPr>
            <w:r w:rsidRPr="00B275E2">
              <w:rPr>
                <w:b/>
                <w:bCs/>
              </w:rPr>
              <w:t>Base year</w:t>
            </w:r>
          </w:p>
        </w:tc>
        <w:tc>
          <w:tcPr>
            <w:tcW w:w="5528" w:type="dxa"/>
          </w:tcPr>
          <w:p w14:paraId="37A0A685" w14:textId="77777777" w:rsidR="00F7680D" w:rsidRPr="00B275E2" w:rsidRDefault="00F7680D" w:rsidP="00546E5C">
            <w:pPr>
              <w:pStyle w:val="Glossary"/>
              <w:tabs>
                <w:tab w:val="clear" w:pos="2835"/>
              </w:tabs>
              <w:spacing w:line="260" w:lineRule="atLeast"/>
            </w:pPr>
            <w:r w:rsidRPr="00B275E2">
              <w:t>The first year in the reporting series</w:t>
            </w:r>
          </w:p>
        </w:tc>
      </w:tr>
      <w:tr w:rsidR="00F7680D" w:rsidRPr="00B275E2" w14:paraId="6F6CA7FC" w14:textId="77777777" w:rsidTr="00462B36">
        <w:tc>
          <w:tcPr>
            <w:tcW w:w="2977" w:type="dxa"/>
            <w:shd w:val="clear" w:color="auto" w:fill="auto"/>
          </w:tcPr>
          <w:p w14:paraId="73732430" w14:textId="77777777" w:rsidR="00F7680D" w:rsidRPr="00B275E2" w:rsidRDefault="00F7680D" w:rsidP="00546E5C">
            <w:pPr>
              <w:pStyle w:val="Glossary"/>
              <w:tabs>
                <w:tab w:val="clear" w:pos="2835"/>
              </w:tabs>
              <w:spacing w:line="260" w:lineRule="atLeast"/>
              <w:rPr>
                <w:b/>
                <w:bCs/>
              </w:rPr>
            </w:pPr>
            <w:r w:rsidRPr="00B275E2">
              <w:rPr>
                <w:b/>
                <w:bCs/>
              </w:rPr>
              <w:t>BEV</w:t>
            </w:r>
          </w:p>
        </w:tc>
        <w:tc>
          <w:tcPr>
            <w:tcW w:w="5528" w:type="dxa"/>
          </w:tcPr>
          <w:p w14:paraId="234028DF" w14:textId="77777777" w:rsidR="00F7680D" w:rsidRPr="00B275E2" w:rsidRDefault="00F7680D" w:rsidP="00546E5C">
            <w:pPr>
              <w:pStyle w:val="Glossary"/>
              <w:tabs>
                <w:tab w:val="clear" w:pos="2835"/>
              </w:tabs>
              <w:spacing w:line="260" w:lineRule="atLeast"/>
            </w:pPr>
            <w:r w:rsidRPr="00B275E2">
              <w:t>Battery electric vehicle</w:t>
            </w:r>
          </w:p>
        </w:tc>
      </w:tr>
      <w:tr w:rsidR="00F7680D" w:rsidRPr="00B275E2" w14:paraId="3C6127D7" w14:textId="77777777" w:rsidTr="00462B36">
        <w:tc>
          <w:tcPr>
            <w:tcW w:w="2977" w:type="dxa"/>
            <w:shd w:val="clear" w:color="auto" w:fill="auto"/>
          </w:tcPr>
          <w:p w14:paraId="3675587F" w14:textId="77777777" w:rsidR="00F7680D" w:rsidRPr="00B275E2" w:rsidRDefault="00F7680D" w:rsidP="00546E5C">
            <w:pPr>
              <w:pStyle w:val="Glossary"/>
              <w:tabs>
                <w:tab w:val="clear" w:pos="2835"/>
              </w:tabs>
              <w:spacing w:line="260" w:lineRule="atLeast"/>
              <w:rPr>
                <w:b/>
                <w:bCs/>
              </w:rPr>
            </w:pPr>
            <w:r w:rsidRPr="00B275E2">
              <w:rPr>
                <w:b/>
                <w:bCs/>
              </w:rPr>
              <w:t>Biodiesel</w:t>
            </w:r>
          </w:p>
        </w:tc>
        <w:tc>
          <w:tcPr>
            <w:tcW w:w="5528" w:type="dxa"/>
          </w:tcPr>
          <w:p w14:paraId="4ED0D3FB" w14:textId="0C8F746E" w:rsidR="00F7680D" w:rsidRPr="00B275E2" w:rsidRDefault="00F7680D" w:rsidP="00546E5C">
            <w:pPr>
              <w:pStyle w:val="Glossary"/>
              <w:tabs>
                <w:tab w:val="clear" w:pos="2835"/>
              </w:tabs>
              <w:spacing w:line="260" w:lineRule="atLeast"/>
            </w:pPr>
            <w:r w:rsidRPr="00B275E2">
              <w:t>A type of biofuel</w:t>
            </w:r>
            <w:r w:rsidR="00FD24B9" w:rsidRPr="00B275E2">
              <w:t xml:space="preserve"> similar to diesel</w:t>
            </w:r>
            <w:r w:rsidR="00A407D8" w:rsidRPr="00B275E2">
              <w:t xml:space="preserve"> that is made from natural elements such as plants, vegetables and reusable materials</w:t>
            </w:r>
            <w:r w:rsidR="00FD24B9" w:rsidRPr="00B275E2">
              <w:t xml:space="preserve"> </w:t>
            </w:r>
          </w:p>
        </w:tc>
      </w:tr>
      <w:tr w:rsidR="00F7680D" w:rsidRPr="00B275E2" w14:paraId="1A868C48" w14:textId="77777777" w:rsidTr="00462B36">
        <w:tc>
          <w:tcPr>
            <w:tcW w:w="2977" w:type="dxa"/>
            <w:shd w:val="clear" w:color="auto" w:fill="auto"/>
          </w:tcPr>
          <w:p w14:paraId="76422CE8" w14:textId="77777777" w:rsidR="00F7680D" w:rsidRPr="00B275E2" w:rsidRDefault="00F7680D" w:rsidP="00546E5C">
            <w:pPr>
              <w:pStyle w:val="Glossary"/>
              <w:tabs>
                <w:tab w:val="clear" w:pos="2835"/>
              </w:tabs>
              <w:spacing w:line="260" w:lineRule="atLeast"/>
              <w:rPr>
                <w:b/>
                <w:bCs/>
              </w:rPr>
            </w:pPr>
            <w:r w:rsidRPr="00B275E2">
              <w:rPr>
                <w:b/>
                <w:bCs/>
              </w:rPr>
              <w:t>Bioethanol</w:t>
            </w:r>
          </w:p>
        </w:tc>
        <w:tc>
          <w:tcPr>
            <w:tcW w:w="5528" w:type="dxa"/>
          </w:tcPr>
          <w:p w14:paraId="63C1BD43" w14:textId="206B9E10" w:rsidR="00F7680D" w:rsidRPr="00B275E2" w:rsidRDefault="003A0F0C" w:rsidP="00546E5C">
            <w:pPr>
              <w:pStyle w:val="Glossary"/>
              <w:tabs>
                <w:tab w:val="clear" w:pos="2835"/>
              </w:tabs>
              <w:spacing w:line="260" w:lineRule="atLeast"/>
            </w:pPr>
            <w:r w:rsidRPr="00B275E2">
              <w:t>A type of biofuel similar to ethanol that is made from natural elements such as plants, vegetables and reusable materials</w:t>
            </w:r>
          </w:p>
        </w:tc>
      </w:tr>
      <w:tr w:rsidR="00F7680D" w:rsidRPr="00B275E2" w14:paraId="56702B10" w14:textId="77777777" w:rsidTr="00462B36">
        <w:tc>
          <w:tcPr>
            <w:tcW w:w="2977" w:type="dxa"/>
            <w:shd w:val="clear" w:color="auto" w:fill="auto"/>
          </w:tcPr>
          <w:p w14:paraId="36C070F0" w14:textId="77777777" w:rsidR="00F7680D" w:rsidRPr="00B275E2" w:rsidRDefault="00F7680D" w:rsidP="00546E5C">
            <w:pPr>
              <w:pStyle w:val="Glossary"/>
              <w:tabs>
                <w:tab w:val="clear" w:pos="2835"/>
              </w:tabs>
              <w:spacing w:line="260" w:lineRule="atLeast"/>
              <w:rPr>
                <w:b/>
                <w:bCs/>
              </w:rPr>
            </w:pPr>
            <w:r w:rsidRPr="00B275E2">
              <w:rPr>
                <w:b/>
                <w:bCs/>
              </w:rPr>
              <w:t>Biofuels</w:t>
            </w:r>
          </w:p>
        </w:tc>
        <w:tc>
          <w:tcPr>
            <w:tcW w:w="5528" w:type="dxa"/>
          </w:tcPr>
          <w:p w14:paraId="0FB9654E" w14:textId="42F36F0F" w:rsidR="00F7680D" w:rsidRPr="00B275E2" w:rsidRDefault="003A0F0C" w:rsidP="00546E5C">
            <w:pPr>
              <w:pStyle w:val="Glossary"/>
              <w:tabs>
                <w:tab w:val="clear" w:pos="2835"/>
              </w:tabs>
              <w:spacing w:line="260" w:lineRule="atLeast"/>
            </w:pPr>
            <w:r w:rsidRPr="00B275E2">
              <w:t>Any fuel derived from biomass</w:t>
            </w:r>
          </w:p>
        </w:tc>
      </w:tr>
      <w:tr w:rsidR="00C92EF7" w:rsidRPr="00B275E2" w14:paraId="61CCED57" w14:textId="77777777" w:rsidTr="00462B36">
        <w:tc>
          <w:tcPr>
            <w:tcW w:w="2977" w:type="dxa"/>
            <w:shd w:val="clear" w:color="auto" w:fill="auto"/>
          </w:tcPr>
          <w:p w14:paraId="382BE161" w14:textId="77777777" w:rsidR="00C92EF7" w:rsidRPr="00B275E2" w:rsidRDefault="00C92EF7" w:rsidP="00546E5C">
            <w:pPr>
              <w:pStyle w:val="Glossary"/>
              <w:tabs>
                <w:tab w:val="clear" w:pos="2835"/>
              </w:tabs>
              <w:spacing w:line="260" w:lineRule="atLeast"/>
              <w:rPr>
                <w:b/>
                <w:bCs/>
              </w:rPr>
            </w:pPr>
            <w:r w:rsidRPr="00B275E2">
              <w:rPr>
                <w:b/>
                <w:bCs/>
              </w:rPr>
              <w:t>Biologically sequestered carbon</w:t>
            </w:r>
          </w:p>
        </w:tc>
        <w:tc>
          <w:tcPr>
            <w:tcW w:w="5528" w:type="dxa"/>
          </w:tcPr>
          <w:p w14:paraId="06721644" w14:textId="77777777" w:rsidR="00C92EF7" w:rsidRPr="00B275E2" w:rsidRDefault="00C92EF7" w:rsidP="00546E5C">
            <w:pPr>
              <w:pStyle w:val="Glossary"/>
              <w:tabs>
                <w:tab w:val="clear" w:pos="2835"/>
              </w:tabs>
              <w:spacing w:line="260" w:lineRule="atLeast"/>
            </w:pPr>
            <w:r w:rsidRPr="00B275E2">
              <w:t>The removal of carbon dioxide from the atmosphere and captured by plants and micro-organisms</w:t>
            </w:r>
          </w:p>
        </w:tc>
      </w:tr>
      <w:tr w:rsidR="007F19F9" w:rsidRPr="00B275E2" w14:paraId="0ED69538" w14:textId="77777777" w:rsidTr="00462B36">
        <w:tc>
          <w:tcPr>
            <w:tcW w:w="2977" w:type="dxa"/>
            <w:shd w:val="clear" w:color="auto" w:fill="auto"/>
          </w:tcPr>
          <w:p w14:paraId="0EC32B84" w14:textId="0BD01245" w:rsidR="007F19F9" w:rsidRPr="00B275E2" w:rsidRDefault="007F19F9" w:rsidP="00546E5C">
            <w:pPr>
              <w:pStyle w:val="Glossary"/>
              <w:tabs>
                <w:tab w:val="clear" w:pos="2835"/>
              </w:tabs>
              <w:spacing w:line="260" w:lineRule="atLeast"/>
              <w:rPr>
                <w:b/>
                <w:bCs/>
              </w:rPr>
            </w:pPr>
            <w:r w:rsidRPr="00B275E2">
              <w:rPr>
                <w:rFonts w:eastAsia="Times New Roman"/>
                <w:b/>
                <w:bCs/>
              </w:rPr>
              <w:t>BOD</w:t>
            </w:r>
          </w:p>
        </w:tc>
        <w:tc>
          <w:tcPr>
            <w:tcW w:w="5528" w:type="dxa"/>
          </w:tcPr>
          <w:p w14:paraId="70693301" w14:textId="497FBC4C" w:rsidR="007F19F9" w:rsidRPr="00B275E2" w:rsidRDefault="007F19F9" w:rsidP="00546E5C">
            <w:pPr>
              <w:pStyle w:val="Glossary"/>
              <w:tabs>
                <w:tab w:val="clear" w:pos="2835"/>
              </w:tabs>
              <w:spacing w:line="260" w:lineRule="atLeast"/>
            </w:pPr>
            <w:r w:rsidRPr="00B275E2">
              <w:rPr>
                <w:rFonts w:eastAsia="Times New Roman"/>
              </w:rPr>
              <w:t>Biological oxygen demand, the amount of dissolved oxygen needed</w:t>
            </w:r>
            <w:r w:rsidR="003033FC" w:rsidRPr="00B275E2">
              <w:rPr>
                <w:rFonts w:eastAsia="Times New Roman"/>
              </w:rPr>
              <w:t> </w:t>
            </w:r>
            <w:r w:rsidRPr="00B275E2">
              <w:rPr>
                <w:rFonts w:eastAsia="Times New Roman"/>
              </w:rPr>
              <w:t>by micro-organisms to break down biological organic matter in water</w:t>
            </w:r>
          </w:p>
        </w:tc>
      </w:tr>
      <w:tr w:rsidR="003A468C" w:rsidRPr="00B275E2" w14:paraId="437C4F69" w14:textId="77777777" w:rsidTr="00462B36">
        <w:tc>
          <w:tcPr>
            <w:tcW w:w="2977" w:type="dxa"/>
            <w:shd w:val="clear" w:color="auto" w:fill="auto"/>
          </w:tcPr>
          <w:p w14:paraId="5B27A39A" w14:textId="3AFC1D51" w:rsidR="003A468C" w:rsidRPr="00B275E2" w:rsidRDefault="003A468C" w:rsidP="00546E5C">
            <w:pPr>
              <w:pStyle w:val="Glossary"/>
              <w:tabs>
                <w:tab w:val="clear" w:pos="2835"/>
              </w:tabs>
              <w:spacing w:line="260" w:lineRule="atLeast"/>
              <w:rPr>
                <w:rFonts w:eastAsia="Times New Roman"/>
                <w:b/>
                <w:bCs/>
              </w:rPr>
            </w:pPr>
            <w:r w:rsidRPr="00B275E2">
              <w:rPr>
                <w:rFonts w:eastAsia="Times New Roman"/>
                <w:b/>
                <w:bCs/>
              </w:rPr>
              <w:t>BRANZ</w:t>
            </w:r>
          </w:p>
        </w:tc>
        <w:tc>
          <w:tcPr>
            <w:tcW w:w="5528" w:type="dxa"/>
          </w:tcPr>
          <w:p w14:paraId="1ABC43A8" w14:textId="1223A4B0" w:rsidR="003A468C" w:rsidRPr="00B275E2" w:rsidRDefault="003A468C" w:rsidP="00546E5C">
            <w:pPr>
              <w:pStyle w:val="Glossary"/>
              <w:tabs>
                <w:tab w:val="clear" w:pos="2835"/>
              </w:tabs>
              <w:spacing w:line="260" w:lineRule="atLeast"/>
              <w:rPr>
                <w:rFonts w:eastAsia="Times New Roman"/>
              </w:rPr>
            </w:pPr>
            <w:r w:rsidRPr="00B275E2">
              <w:t>Building Research Association of New Zealand</w:t>
            </w:r>
          </w:p>
        </w:tc>
      </w:tr>
      <w:tr w:rsidR="007F19F9" w:rsidRPr="00B275E2" w14:paraId="22903A16" w14:textId="77777777" w:rsidTr="00462B36">
        <w:tc>
          <w:tcPr>
            <w:tcW w:w="2977" w:type="dxa"/>
            <w:shd w:val="clear" w:color="auto" w:fill="auto"/>
          </w:tcPr>
          <w:p w14:paraId="580A00D5" w14:textId="77777777" w:rsidR="007F19F9" w:rsidRPr="00B275E2" w:rsidRDefault="007F19F9" w:rsidP="00546E5C">
            <w:pPr>
              <w:pStyle w:val="Glossary"/>
              <w:tabs>
                <w:tab w:val="clear" w:pos="2835"/>
              </w:tabs>
              <w:spacing w:line="260" w:lineRule="atLeast"/>
              <w:rPr>
                <w:b/>
                <w:bCs/>
              </w:rPr>
            </w:pPr>
            <w:r w:rsidRPr="00B275E2">
              <w:rPr>
                <w:b/>
                <w:bCs/>
              </w:rPr>
              <w:t>Carbon sink</w:t>
            </w:r>
          </w:p>
        </w:tc>
        <w:tc>
          <w:tcPr>
            <w:tcW w:w="5528" w:type="dxa"/>
          </w:tcPr>
          <w:p w14:paraId="12CECCB7" w14:textId="1F662ABB" w:rsidR="007F19F9" w:rsidRPr="00B275E2" w:rsidRDefault="007F19F9" w:rsidP="00546E5C">
            <w:pPr>
              <w:pStyle w:val="Glossary"/>
              <w:tabs>
                <w:tab w:val="clear" w:pos="2835"/>
              </w:tabs>
              <w:spacing w:line="260" w:lineRule="atLeast"/>
            </w:pPr>
            <w:r w:rsidRPr="00B275E2">
              <w:t xml:space="preserve">A natural or artificial </w:t>
            </w:r>
            <w:r w:rsidR="00CA2CF7" w:rsidRPr="00B275E2">
              <w:t>process</w:t>
            </w:r>
            <w:r w:rsidR="0085498A" w:rsidRPr="00B275E2">
              <w:t xml:space="preserve"> </w:t>
            </w:r>
            <w:r w:rsidRPr="00B275E2">
              <w:t xml:space="preserve">that </w:t>
            </w:r>
            <w:r w:rsidR="00CA2CF7" w:rsidRPr="00B275E2">
              <w:t xml:space="preserve">removes </w:t>
            </w:r>
            <w:r w:rsidRPr="00B275E2">
              <w:t>carbon from the atmosphere</w:t>
            </w:r>
          </w:p>
        </w:tc>
      </w:tr>
      <w:tr w:rsidR="00AD348A" w:rsidRPr="00B275E2" w14:paraId="6E67D670" w14:textId="77777777" w:rsidTr="00462B36">
        <w:tc>
          <w:tcPr>
            <w:tcW w:w="2977" w:type="dxa"/>
            <w:shd w:val="clear" w:color="auto" w:fill="auto"/>
          </w:tcPr>
          <w:p w14:paraId="408CBA90" w14:textId="0185A474" w:rsidR="00AD348A" w:rsidRPr="00B275E2" w:rsidRDefault="00AD348A" w:rsidP="00546E5C">
            <w:pPr>
              <w:pStyle w:val="Glossary"/>
              <w:tabs>
                <w:tab w:val="clear" w:pos="2835"/>
              </w:tabs>
              <w:spacing w:line="260" w:lineRule="atLeast"/>
              <w:rPr>
                <w:b/>
                <w:bCs/>
              </w:rPr>
            </w:pPr>
            <w:r w:rsidRPr="00B275E2">
              <w:rPr>
                <w:b/>
                <w:bCs/>
              </w:rPr>
              <w:t>CH</w:t>
            </w:r>
            <w:r w:rsidRPr="00B275E2">
              <w:rPr>
                <w:b/>
                <w:bCs/>
                <w:vertAlign w:val="subscript"/>
              </w:rPr>
              <w:t>4</w:t>
            </w:r>
          </w:p>
        </w:tc>
        <w:tc>
          <w:tcPr>
            <w:tcW w:w="5528" w:type="dxa"/>
          </w:tcPr>
          <w:p w14:paraId="71DE0B63" w14:textId="04B99E89" w:rsidR="00AD348A" w:rsidRPr="00B275E2" w:rsidRDefault="00AD348A" w:rsidP="00546E5C">
            <w:pPr>
              <w:pStyle w:val="Glossary"/>
              <w:tabs>
                <w:tab w:val="clear" w:pos="2835"/>
              </w:tabs>
              <w:spacing w:line="260" w:lineRule="atLeast"/>
            </w:pPr>
            <w:r w:rsidRPr="00B275E2">
              <w:t>Methane</w:t>
            </w:r>
          </w:p>
        </w:tc>
      </w:tr>
      <w:tr w:rsidR="003B2D15" w:rsidRPr="00B275E2" w14:paraId="4C88CFE6" w14:textId="77777777" w:rsidTr="00462B36">
        <w:tc>
          <w:tcPr>
            <w:tcW w:w="2977" w:type="dxa"/>
            <w:shd w:val="clear" w:color="auto" w:fill="auto"/>
          </w:tcPr>
          <w:p w14:paraId="7C191925" w14:textId="0A295D9E" w:rsidR="003B2D15" w:rsidRPr="00B275E2" w:rsidRDefault="003B2D15" w:rsidP="00546E5C">
            <w:pPr>
              <w:pStyle w:val="Glossary"/>
              <w:tabs>
                <w:tab w:val="clear" w:pos="2835"/>
              </w:tabs>
              <w:spacing w:line="260" w:lineRule="atLeast"/>
              <w:rPr>
                <w:b/>
                <w:bCs/>
              </w:rPr>
            </w:pPr>
            <w:r w:rsidRPr="00B275E2">
              <w:rPr>
                <w:b/>
                <w:bCs/>
              </w:rPr>
              <w:t>CFCs</w:t>
            </w:r>
          </w:p>
        </w:tc>
        <w:tc>
          <w:tcPr>
            <w:tcW w:w="5528" w:type="dxa"/>
          </w:tcPr>
          <w:p w14:paraId="69E68BA9" w14:textId="6FA0551D" w:rsidR="003B2D15" w:rsidRPr="00B275E2" w:rsidRDefault="003B2D15" w:rsidP="00546E5C">
            <w:pPr>
              <w:pStyle w:val="Glossary"/>
              <w:tabs>
                <w:tab w:val="clear" w:pos="2835"/>
              </w:tabs>
              <w:spacing w:line="260" w:lineRule="atLeast"/>
            </w:pPr>
            <w:r w:rsidRPr="00B275E2">
              <w:t>Chlorofluorocarbons</w:t>
            </w:r>
          </w:p>
        </w:tc>
      </w:tr>
      <w:tr w:rsidR="002160A8" w:rsidRPr="00B275E2" w14:paraId="4FB3A38D" w14:textId="77777777" w:rsidTr="00462B36">
        <w:tc>
          <w:tcPr>
            <w:tcW w:w="2977" w:type="dxa"/>
            <w:shd w:val="clear" w:color="auto" w:fill="auto"/>
          </w:tcPr>
          <w:p w14:paraId="3D875430" w14:textId="2C0631F8" w:rsidR="002160A8" w:rsidRPr="00B275E2" w:rsidRDefault="002160A8" w:rsidP="00546E5C">
            <w:pPr>
              <w:pStyle w:val="Glossary"/>
              <w:tabs>
                <w:tab w:val="clear" w:pos="2835"/>
              </w:tabs>
              <w:spacing w:line="260" w:lineRule="atLeast"/>
              <w:rPr>
                <w:b/>
                <w:bCs/>
              </w:rPr>
            </w:pPr>
            <w:r w:rsidRPr="00B275E2">
              <w:rPr>
                <w:b/>
                <w:bCs/>
              </w:rPr>
              <w:t>CO</w:t>
            </w:r>
            <w:r w:rsidRPr="00B275E2">
              <w:rPr>
                <w:b/>
                <w:bCs/>
                <w:vertAlign w:val="subscript"/>
              </w:rPr>
              <w:t>2</w:t>
            </w:r>
          </w:p>
        </w:tc>
        <w:tc>
          <w:tcPr>
            <w:tcW w:w="5528" w:type="dxa"/>
          </w:tcPr>
          <w:p w14:paraId="0BB59221" w14:textId="3652445F" w:rsidR="002160A8" w:rsidRPr="00B275E2" w:rsidRDefault="002160A8" w:rsidP="00546E5C">
            <w:pPr>
              <w:pStyle w:val="Glossary"/>
              <w:tabs>
                <w:tab w:val="clear" w:pos="2835"/>
              </w:tabs>
              <w:spacing w:line="260" w:lineRule="atLeast"/>
            </w:pPr>
            <w:r w:rsidRPr="00B275E2">
              <w:t>Carbon dioxide</w:t>
            </w:r>
          </w:p>
        </w:tc>
      </w:tr>
      <w:tr w:rsidR="007F19F9" w:rsidRPr="00B275E2" w14:paraId="4650FA51" w14:textId="77777777" w:rsidTr="00462B36">
        <w:tc>
          <w:tcPr>
            <w:tcW w:w="2977" w:type="dxa"/>
            <w:shd w:val="clear" w:color="auto" w:fill="auto"/>
          </w:tcPr>
          <w:p w14:paraId="12111AE9" w14:textId="3A08630F" w:rsidR="007F19F9" w:rsidRPr="00B275E2" w:rsidRDefault="007F19F9" w:rsidP="00546E5C">
            <w:pPr>
              <w:pStyle w:val="Glossary"/>
              <w:tabs>
                <w:tab w:val="clear" w:pos="2835"/>
              </w:tabs>
              <w:spacing w:line="260" w:lineRule="atLeast"/>
              <w:rPr>
                <w:b/>
                <w:bCs/>
              </w:rPr>
            </w:pPr>
            <w:r w:rsidRPr="00B275E2">
              <w:rPr>
                <w:b/>
                <w:bCs/>
              </w:rPr>
              <w:t>CO</w:t>
            </w:r>
            <w:r w:rsidRPr="00B275E2">
              <w:rPr>
                <w:b/>
                <w:bCs/>
                <w:vertAlign w:val="subscript"/>
              </w:rPr>
              <w:t>2</w:t>
            </w:r>
            <w:r w:rsidRPr="00B275E2">
              <w:rPr>
                <w:b/>
                <w:bCs/>
              </w:rPr>
              <w:t>-e</w:t>
            </w:r>
          </w:p>
        </w:tc>
        <w:tc>
          <w:tcPr>
            <w:tcW w:w="5528" w:type="dxa"/>
          </w:tcPr>
          <w:p w14:paraId="354229F9" w14:textId="2A7ABB73" w:rsidR="007F19F9" w:rsidRPr="00B275E2" w:rsidRDefault="007F19F9" w:rsidP="00546E5C">
            <w:pPr>
              <w:pStyle w:val="Glossary"/>
              <w:tabs>
                <w:tab w:val="clear" w:pos="2835"/>
              </w:tabs>
              <w:spacing w:line="260" w:lineRule="atLeast"/>
            </w:pPr>
            <w:r w:rsidRPr="00B275E2">
              <w:t>Carbon dioxide equivalent</w:t>
            </w:r>
          </w:p>
        </w:tc>
      </w:tr>
      <w:tr w:rsidR="007F19F9" w:rsidRPr="00B275E2" w14:paraId="19E22F50" w14:textId="77777777" w:rsidTr="00462B36">
        <w:tc>
          <w:tcPr>
            <w:tcW w:w="2977" w:type="dxa"/>
            <w:shd w:val="clear" w:color="auto" w:fill="auto"/>
          </w:tcPr>
          <w:p w14:paraId="2B9FCC7E" w14:textId="77777777" w:rsidR="007F19F9" w:rsidRPr="00B275E2" w:rsidRDefault="007F19F9" w:rsidP="00546E5C">
            <w:pPr>
              <w:pStyle w:val="Glossary"/>
              <w:tabs>
                <w:tab w:val="clear" w:pos="2835"/>
              </w:tabs>
              <w:spacing w:line="260" w:lineRule="atLeast"/>
              <w:rPr>
                <w:b/>
                <w:bCs/>
              </w:rPr>
            </w:pPr>
            <w:r w:rsidRPr="00B275E2">
              <w:rPr>
                <w:b/>
                <w:bCs/>
              </w:rPr>
              <w:t>COD</w:t>
            </w:r>
          </w:p>
        </w:tc>
        <w:tc>
          <w:tcPr>
            <w:tcW w:w="5528" w:type="dxa"/>
          </w:tcPr>
          <w:p w14:paraId="2C74DA29" w14:textId="0BDD7FFF" w:rsidR="007F19F9" w:rsidRPr="00B275E2" w:rsidRDefault="007F19F9" w:rsidP="00546E5C">
            <w:pPr>
              <w:pStyle w:val="Glossary"/>
              <w:tabs>
                <w:tab w:val="clear" w:pos="2835"/>
              </w:tabs>
              <w:spacing w:line="260" w:lineRule="atLeast"/>
            </w:pPr>
            <w:r w:rsidRPr="00B275E2">
              <w:t>Chemical oxygen demand</w:t>
            </w:r>
          </w:p>
        </w:tc>
      </w:tr>
      <w:tr w:rsidR="001E5FF4" w:rsidRPr="00B275E2" w14:paraId="426652FC" w14:textId="77777777" w:rsidTr="00462B36">
        <w:tc>
          <w:tcPr>
            <w:tcW w:w="2977" w:type="dxa"/>
            <w:shd w:val="clear" w:color="auto" w:fill="auto"/>
          </w:tcPr>
          <w:p w14:paraId="6035866A" w14:textId="2C13BC4E" w:rsidR="001E5FF4" w:rsidRPr="00B275E2" w:rsidRDefault="001E5FF4" w:rsidP="00546E5C">
            <w:pPr>
              <w:pStyle w:val="Glossary"/>
              <w:tabs>
                <w:tab w:val="clear" w:pos="2835"/>
              </w:tabs>
              <w:spacing w:line="260" w:lineRule="atLeast"/>
              <w:rPr>
                <w:b/>
                <w:bCs/>
              </w:rPr>
            </w:pPr>
            <w:r w:rsidRPr="00B275E2">
              <w:rPr>
                <w:b/>
                <w:bCs/>
              </w:rPr>
              <w:t>CHSB</w:t>
            </w:r>
          </w:p>
        </w:tc>
        <w:tc>
          <w:tcPr>
            <w:tcW w:w="5528" w:type="dxa"/>
          </w:tcPr>
          <w:p w14:paraId="007277B0" w14:textId="22C15D1C" w:rsidR="001E5FF4" w:rsidRPr="00B275E2" w:rsidRDefault="001E5FF4" w:rsidP="00546E5C">
            <w:pPr>
              <w:pStyle w:val="Glossary"/>
              <w:tabs>
                <w:tab w:val="clear" w:pos="2835"/>
              </w:tabs>
              <w:spacing w:line="260" w:lineRule="atLeast"/>
            </w:pPr>
            <w:r w:rsidRPr="00B275E2">
              <w:t>The Cornell Hotel Sustainability Benchmarking Index Tool</w:t>
            </w:r>
          </w:p>
        </w:tc>
      </w:tr>
      <w:tr w:rsidR="007F19F9" w:rsidRPr="00B275E2" w14:paraId="49F51B6B" w14:textId="77777777" w:rsidTr="00462B36">
        <w:tc>
          <w:tcPr>
            <w:tcW w:w="2977" w:type="dxa"/>
            <w:shd w:val="clear" w:color="auto" w:fill="auto"/>
          </w:tcPr>
          <w:p w14:paraId="153DD06E" w14:textId="77777777" w:rsidR="007F19F9" w:rsidRPr="00B275E2" w:rsidRDefault="007F19F9" w:rsidP="00546E5C">
            <w:pPr>
              <w:pStyle w:val="Glossary"/>
              <w:tabs>
                <w:tab w:val="clear" w:pos="2835"/>
              </w:tabs>
              <w:spacing w:line="260" w:lineRule="atLeast"/>
              <w:rPr>
                <w:b/>
                <w:bCs/>
                <w:i/>
              </w:rPr>
            </w:pPr>
            <w:r w:rsidRPr="00B275E2">
              <w:rPr>
                <w:b/>
                <w:bCs/>
                <w:i/>
              </w:rPr>
              <w:t>De minimis</w:t>
            </w:r>
          </w:p>
        </w:tc>
        <w:tc>
          <w:tcPr>
            <w:tcW w:w="5528" w:type="dxa"/>
          </w:tcPr>
          <w:p w14:paraId="7F71C08F" w14:textId="52629611" w:rsidR="007F19F9" w:rsidRPr="00B275E2" w:rsidRDefault="007F19F9" w:rsidP="00546E5C">
            <w:pPr>
              <w:pStyle w:val="Glossary"/>
              <w:tabs>
                <w:tab w:val="clear" w:pos="2835"/>
              </w:tabs>
              <w:spacing w:line="260" w:lineRule="atLeast"/>
            </w:pPr>
            <w:r w:rsidRPr="00B275E2">
              <w:t xml:space="preserve">An issue that is insignificant to a GHG inventory, usually &lt;1% of an organisation’s total inventory for an individual emissions source. Often there is a limit to the number of emission sources that can be excluded as </w:t>
            </w:r>
            <w:r w:rsidRPr="00B275E2">
              <w:rPr>
                <w:i/>
              </w:rPr>
              <w:t>de minimis</w:t>
            </w:r>
          </w:p>
        </w:tc>
      </w:tr>
      <w:tr w:rsidR="007F19F9" w:rsidRPr="00B275E2" w14:paraId="4DE8E45B" w14:textId="77777777" w:rsidTr="00462B36">
        <w:tc>
          <w:tcPr>
            <w:tcW w:w="2977" w:type="dxa"/>
            <w:shd w:val="clear" w:color="auto" w:fill="auto"/>
          </w:tcPr>
          <w:p w14:paraId="08A3FF53" w14:textId="632C481F" w:rsidR="007F19F9" w:rsidRPr="00B275E2" w:rsidRDefault="007F19F9" w:rsidP="00546E5C">
            <w:pPr>
              <w:pStyle w:val="Glossary"/>
              <w:tabs>
                <w:tab w:val="clear" w:pos="2835"/>
              </w:tabs>
              <w:spacing w:line="260" w:lineRule="atLeast"/>
              <w:rPr>
                <w:b/>
                <w:bCs/>
              </w:rPr>
            </w:pPr>
            <w:r w:rsidRPr="00B275E2">
              <w:rPr>
                <w:b/>
                <w:bCs/>
              </w:rPr>
              <w:t>Deforestation</w:t>
            </w:r>
          </w:p>
        </w:tc>
        <w:tc>
          <w:tcPr>
            <w:tcW w:w="5528" w:type="dxa"/>
          </w:tcPr>
          <w:p w14:paraId="1686D6BE" w14:textId="11747DD0" w:rsidR="007F19F9" w:rsidRPr="00B275E2" w:rsidRDefault="007F19F9" w:rsidP="00546E5C">
            <w:pPr>
              <w:pStyle w:val="Glossary"/>
              <w:tabs>
                <w:tab w:val="clear" w:pos="2835"/>
              </w:tabs>
              <w:spacing w:line="260" w:lineRule="atLeast"/>
            </w:pPr>
            <w:r w:rsidRPr="00B275E2">
              <w:t xml:space="preserve">The clearing </w:t>
            </w:r>
            <w:r w:rsidR="007567BB" w:rsidRPr="00B275E2">
              <w:t>of forest land that is then converted to a non-forest land use</w:t>
            </w:r>
          </w:p>
        </w:tc>
      </w:tr>
      <w:tr w:rsidR="00264E7F" w:rsidRPr="00B275E2" w14:paraId="08871F57" w14:textId="77777777" w:rsidTr="00462B36">
        <w:tc>
          <w:tcPr>
            <w:tcW w:w="2977" w:type="dxa"/>
            <w:shd w:val="clear" w:color="auto" w:fill="auto"/>
          </w:tcPr>
          <w:p w14:paraId="638332AD" w14:textId="6E71675A" w:rsidR="00264E7F" w:rsidRPr="00B275E2" w:rsidRDefault="00264E7F" w:rsidP="00546E5C">
            <w:pPr>
              <w:pStyle w:val="Glossary"/>
              <w:tabs>
                <w:tab w:val="clear" w:pos="2835"/>
              </w:tabs>
              <w:spacing w:line="260" w:lineRule="atLeast"/>
              <w:rPr>
                <w:b/>
                <w:bCs/>
              </w:rPr>
            </w:pPr>
            <w:r w:rsidRPr="00B275E2">
              <w:rPr>
                <w:b/>
                <w:bCs/>
              </w:rPr>
              <w:t>EECA</w:t>
            </w:r>
          </w:p>
        </w:tc>
        <w:tc>
          <w:tcPr>
            <w:tcW w:w="5528" w:type="dxa"/>
          </w:tcPr>
          <w:p w14:paraId="3B3C048B" w14:textId="5553E534" w:rsidR="00264E7F" w:rsidRPr="00B275E2" w:rsidRDefault="00264E7F" w:rsidP="00546E5C">
            <w:pPr>
              <w:pStyle w:val="Glossary"/>
              <w:tabs>
                <w:tab w:val="clear" w:pos="2835"/>
              </w:tabs>
              <w:spacing w:line="260" w:lineRule="atLeast"/>
            </w:pPr>
            <w:r w:rsidRPr="00B275E2">
              <w:t>Energy Efficiency and Conservation Authority</w:t>
            </w:r>
          </w:p>
        </w:tc>
      </w:tr>
      <w:tr w:rsidR="007F19F9" w:rsidRPr="00B275E2" w14:paraId="67EAB18F" w14:textId="77777777" w:rsidTr="00462B36">
        <w:tc>
          <w:tcPr>
            <w:tcW w:w="2977" w:type="dxa"/>
            <w:shd w:val="clear" w:color="auto" w:fill="auto"/>
          </w:tcPr>
          <w:p w14:paraId="5B29C03F" w14:textId="77777777" w:rsidR="007F19F9" w:rsidRPr="00B275E2" w:rsidRDefault="007F19F9" w:rsidP="00546E5C">
            <w:pPr>
              <w:pStyle w:val="Glossary"/>
              <w:tabs>
                <w:tab w:val="clear" w:pos="2835"/>
              </w:tabs>
              <w:spacing w:line="260" w:lineRule="atLeast"/>
              <w:rPr>
                <w:b/>
                <w:bCs/>
              </w:rPr>
            </w:pPr>
            <w:r w:rsidRPr="00B275E2">
              <w:rPr>
                <w:b/>
                <w:bCs/>
              </w:rPr>
              <w:t>Emission factor</w:t>
            </w:r>
          </w:p>
        </w:tc>
        <w:tc>
          <w:tcPr>
            <w:tcW w:w="5528" w:type="dxa"/>
          </w:tcPr>
          <w:p w14:paraId="6BC10BB3" w14:textId="6A132FDF" w:rsidR="007F19F9" w:rsidRPr="00B275E2" w:rsidRDefault="0085498A" w:rsidP="00546E5C">
            <w:pPr>
              <w:pStyle w:val="Glossary"/>
              <w:tabs>
                <w:tab w:val="clear" w:pos="2835"/>
              </w:tabs>
              <w:spacing w:line="260" w:lineRule="atLeast"/>
            </w:pPr>
            <w:r w:rsidRPr="00B275E2">
              <w:t>A coefficient that quantifies the emissions or removals of a gas per unit activity</w:t>
            </w:r>
          </w:p>
        </w:tc>
      </w:tr>
      <w:tr w:rsidR="007F19F9" w:rsidRPr="00B275E2" w14:paraId="2CF0403D" w14:textId="77777777" w:rsidTr="00462B36">
        <w:tc>
          <w:tcPr>
            <w:tcW w:w="2977" w:type="dxa"/>
            <w:shd w:val="clear" w:color="auto" w:fill="auto"/>
          </w:tcPr>
          <w:p w14:paraId="31AAAB91" w14:textId="77777777" w:rsidR="007F19F9" w:rsidRPr="00B275E2" w:rsidRDefault="007F19F9" w:rsidP="00546E5C">
            <w:pPr>
              <w:pStyle w:val="Glossary"/>
              <w:tabs>
                <w:tab w:val="clear" w:pos="2835"/>
              </w:tabs>
              <w:spacing w:line="260" w:lineRule="atLeast"/>
              <w:rPr>
                <w:b/>
                <w:bCs/>
              </w:rPr>
            </w:pPr>
            <w:r w:rsidRPr="00B275E2">
              <w:rPr>
                <w:b/>
                <w:bCs/>
              </w:rPr>
              <w:t>Enteric fermentation</w:t>
            </w:r>
          </w:p>
        </w:tc>
        <w:tc>
          <w:tcPr>
            <w:tcW w:w="5528" w:type="dxa"/>
          </w:tcPr>
          <w:p w14:paraId="7B84B3BC" w14:textId="3B9B687C" w:rsidR="007F19F9" w:rsidRPr="00B275E2" w:rsidRDefault="007F19F9" w:rsidP="00546E5C">
            <w:pPr>
              <w:pStyle w:val="Glossary"/>
              <w:tabs>
                <w:tab w:val="clear" w:pos="2835"/>
              </w:tabs>
              <w:spacing w:line="260" w:lineRule="atLeast"/>
            </w:pPr>
            <w:r w:rsidRPr="00B275E2">
              <w:t>The process by which ruminant animals digest feed and produce methane</w:t>
            </w:r>
          </w:p>
        </w:tc>
      </w:tr>
      <w:tr w:rsidR="007567BB" w:rsidRPr="00B275E2" w14:paraId="0B31845D" w14:textId="77777777" w:rsidTr="00462B36">
        <w:tc>
          <w:tcPr>
            <w:tcW w:w="2977" w:type="dxa"/>
            <w:shd w:val="clear" w:color="auto" w:fill="auto"/>
          </w:tcPr>
          <w:p w14:paraId="1EBD5D3E" w14:textId="70783FFA" w:rsidR="007567BB" w:rsidRPr="00B275E2" w:rsidRDefault="007567BB" w:rsidP="00546E5C">
            <w:pPr>
              <w:pStyle w:val="Glossary"/>
              <w:tabs>
                <w:tab w:val="clear" w:pos="2835"/>
              </w:tabs>
              <w:spacing w:line="260" w:lineRule="atLeast"/>
              <w:rPr>
                <w:b/>
                <w:bCs/>
              </w:rPr>
            </w:pPr>
            <w:r w:rsidRPr="00B275E2">
              <w:rPr>
                <w:b/>
                <w:bCs/>
              </w:rPr>
              <w:t>Forest land</w:t>
            </w:r>
          </w:p>
        </w:tc>
        <w:tc>
          <w:tcPr>
            <w:tcW w:w="5528" w:type="dxa"/>
          </w:tcPr>
          <w:p w14:paraId="61AED515" w14:textId="756BE0C5" w:rsidR="007567BB" w:rsidRPr="00B275E2" w:rsidRDefault="00F739D9" w:rsidP="00546E5C">
            <w:pPr>
              <w:pStyle w:val="Glossary"/>
              <w:tabs>
                <w:tab w:val="clear" w:pos="2835"/>
              </w:tabs>
              <w:spacing w:line="260" w:lineRule="atLeast"/>
            </w:pPr>
            <w:r w:rsidRPr="00B275E2">
              <w:t>Land containing tree</w:t>
            </w:r>
            <w:r w:rsidR="007567BB" w:rsidRPr="00B275E2">
              <w:t xml:space="preserve"> species that will reach a height of at least 5</w:t>
            </w:r>
            <w:r w:rsidR="003033FC" w:rsidRPr="00B275E2">
              <w:t> </w:t>
            </w:r>
            <w:r w:rsidR="007567BB" w:rsidRPr="00B275E2">
              <w:t>meters, with a canopy cover of at least 30% and be of at least 1</w:t>
            </w:r>
            <w:r w:rsidR="003033FC" w:rsidRPr="00B275E2">
              <w:t> </w:t>
            </w:r>
            <w:r w:rsidR="007567BB" w:rsidRPr="00B275E2">
              <w:t>hectare in size</w:t>
            </w:r>
          </w:p>
        </w:tc>
      </w:tr>
      <w:tr w:rsidR="00BD5274" w:rsidRPr="00B275E2" w14:paraId="51B452A9" w14:textId="77777777" w:rsidTr="00462B36">
        <w:tc>
          <w:tcPr>
            <w:tcW w:w="2977" w:type="dxa"/>
            <w:shd w:val="clear" w:color="auto" w:fill="auto"/>
          </w:tcPr>
          <w:p w14:paraId="53030F3C" w14:textId="7847D76C" w:rsidR="00BD5274" w:rsidRPr="00B275E2" w:rsidRDefault="00BD5274" w:rsidP="00546E5C">
            <w:pPr>
              <w:pStyle w:val="Glossary"/>
              <w:tabs>
                <w:tab w:val="clear" w:pos="2835"/>
              </w:tabs>
              <w:spacing w:line="260" w:lineRule="atLeast"/>
              <w:rPr>
                <w:b/>
                <w:bCs/>
              </w:rPr>
            </w:pPr>
            <w:r w:rsidRPr="00B275E2">
              <w:rPr>
                <w:rFonts w:eastAsia="Times New Roman"/>
                <w:b/>
                <w:bCs/>
              </w:rPr>
              <w:lastRenderedPageBreak/>
              <w:t>Fugitive emissions</w:t>
            </w:r>
          </w:p>
        </w:tc>
        <w:tc>
          <w:tcPr>
            <w:tcW w:w="5528" w:type="dxa"/>
          </w:tcPr>
          <w:p w14:paraId="376C52E1" w14:textId="77203E72" w:rsidR="00BD5274" w:rsidRPr="00B275E2" w:rsidRDefault="00BD5274" w:rsidP="00546E5C">
            <w:pPr>
              <w:pStyle w:val="Glossary"/>
              <w:tabs>
                <w:tab w:val="clear" w:pos="2835"/>
              </w:tabs>
              <w:spacing w:line="260" w:lineRule="atLeast"/>
            </w:pPr>
            <w:r w:rsidRPr="00B275E2">
              <w:rPr>
                <w:rFonts w:eastAsia="Times New Roman"/>
              </w:rPr>
              <w:t>The emission of gases from pressurised equipment due to leaks or unintended releases of gases, usually from industrial activities</w:t>
            </w:r>
          </w:p>
        </w:tc>
      </w:tr>
      <w:tr w:rsidR="00BD5274" w:rsidRPr="00B275E2" w14:paraId="708DE975" w14:textId="77777777" w:rsidTr="00462B36">
        <w:tc>
          <w:tcPr>
            <w:tcW w:w="2977" w:type="dxa"/>
            <w:shd w:val="clear" w:color="auto" w:fill="auto"/>
          </w:tcPr>
          <w:p w14:paraId="17DD3144" w14:textId="77777777" w:rsidR="00BD5274" w:rsidRPr="00B275E2" w:rsidRDefault="00BD5274" w:rsidP="00546E5C">
            <w:pPr>
              <w:pStyle w:val="Glossary"/>
              <w:tabs>
                <w:tab w:val="clear" w:pos="2835"/>
              </w:tabs>
              <w:spacing w:line="260" w:lineRule="atLeast"/>
              <w:rPr>
                <w:b/>
                <w:bCs/>
              </w:rPr>
            </w:pPr>
            <w:r w:rsidRPr="00B275E2">
              <w:rPr>
                <w:b/>
                <w:bCs/>
              </w:rPr>
              <w:t>GHG</w:t>
            </w:r>
          </w:p>
        </w:tc>
        <w:tc>
          <w:tcPr>
            <w:tcW w:w="5528" w:type="dxa"/>
          </w:tcPr>
          <w:p w14:paraId="1BB7ADA9" w14:textId="77777777" w:rsidR="00BD5274" w:rsidRPr="00B275E2" w:rsidRDefault="00BD5274" w:rsidP="00546E5C">
            <w:pPr>
              <w:pStyle w:val="Glossary"/>
              <w:tabs>
                <w:tab w:val="clear" w:pos="2835"/>
              </w:tabs>
              <w:spacing w:line="260" w:lineRule="atLeast"/>
            </w:pPr>
            <w:r w:rsidRPr="00B275E2">
              <w:t>Greenhouse gas</w:t>
            </w:r>
          </w:p>
        </w:tc>
      </w:tr>
      <w:tr w:rsidR="00C92EF7" w:rsidRPr="00B275E2" w14:paraId="4F6C32FE" w14:textId="77777777" w:rsidTr="00462B36">
        <w:tc>
          <w:tcPr>
            <w:tcW w:w="2977" w:type="dxa"/>
            <w:shd w:val="clear" w:color="auto" w:fill="auto"/>
          </w:tcPr>
          <w:p w14:paraId="29F8BCE4" w14:textId="77777777" w:rsidR="00C92EF7" w:rsidRPr="00B275E2" w:rsidRDefault="00C92EF7" w:rsidP="00546E5C">
            <w:pPr>
              <w:pStyle w:val="Glossary"/>
              <w:tabs>
                <w:tab w:val="clear" w:pos="2835"/>
              </w:tabs>
              <w:spacing w:line="260" w:lineRule="atLeast"/>
              <w:rPr>
                <w:b/>
                <w:bCs/>
              </w:rPr>
            </w:pPr>
            <w:r w:rsidRPr="00B275E2">
              <w:rPr>
                <w:b/>
                <w:bCs/>
              </w:rPr>
              <w:t>GHG inventory</w:t>
            </w:r>
          </w:p>
        </w:tc>
        <w:tc>
          <w:tcPr>
            <w:tcW w:w="5528" w:type="dxa"/>
          </w:tcPr>
          <w:p w14:paraId="467346B4" w14:textId="77777777" w:rsidR="00C92EF7" w:rsidRPr="00B275E2" w:rsidRDefault="00C92EF7" w:rsidP="00546E5C">
            <w:pPr>
              <w:pStyle w:val="Glossary"/>
              <w:tabs>
                <w:tab w:val="clear" w:pos="2835"/>
              </w:tabs>
              <w:spacing w:line="260" w:lineRule="atLeast"/>
            </w:pPr>
            <w:r w:rsidRPr="00B275E2">
              <w:t xml:space="preserve">A quantification of an organisation’s greenhouse gas sources, sinks, emissions and removals </w:t>
            </w:r>
          </w:p>
        </w:tc>
      </w:tr>
      <w:tr w:rsidR="00BD5274" w:rsidRPr="00B275E2" w14:paraId="7ED3ACA6" w14:textId="77777777" w:rsidTr="00462B36">
        <w:tc>
          <w:tcPr>
            <w:tcW w:w="2977" w:type="dxa"/>
            <w:shd w:val="clear" w:color="auto" w:fill="auto"/>
          </w:tcPr>
          <w:p w14:paraId="0F422F22" w14:textId="77777777" w:rsidR="00BD5274" w:rsidRPr="00B275E2" w:rsidRDefault="00BD5274" w:rsidP="00546E5C">
            <w:pPr>
              <w:pStyle w:val="Glossary"/>
              <w:tabs>
                <w:tab w:val="clear" w:pos="2835"/>
              </w:tabs>
              <w:spacing w:line="260" w:lineRule="atLeast"/>
              <w:rPr>
                <w:b/>
                <w:bCs/>
              </w:rPr>
            </w:pPr>
            <w:r w:rsidRPr="00B275E2">
              <w:rPr>
                <w:b/>
                <w:bCs/>
              </w:rPr>
              <w:t>GHG Protocol</w:t>
            </w:r>
          </w:p>
        </w:tc>
        <w:tc>
          <w:tcPr>
            <w:tcW w:w="5528" w:type="dxa"/>
          </w:tcPr>
          <w:p w14:paraId="7916E81E" w14:textId="32A96330" w:rsidR="00BD5274" w:rsidRPr="00B275E2" w:rsidRDefault="00BD5274" w:rsidP="00546E5C">
            <w:pPr>
              <w:pStyle w:val="Glossary"/>
              <w:tabs>
                <w:tab w:val="clear" w:pos="2835"/>
              </w:tabs>
              <w:spacing w:line="260" w:lineRule="atLeast"/>
            </w:pPr>
            <w:r w:rsidRPr="00B275E2">
              <w:t xml:space="preserve">The </w:t>
            </w:r>
            <w:r w:rsidRPr="00B275E2">
              <w:rPr>
                <w:i/>
              </w:rPr>
              <w:t xml:space="preserve">Greenhouse Gas Protocol Accounting and Reporting Standard </w:t>
            </w:r>
            <w:r w:rsidRPr="00B275E2">
              <w:t xml:space="preserve">provides guidance for organisations preparing a GHG inventory </w:t>
            </w:r>
          </w:p>
        </w:tc>
      </w:tr>
      <w:tr w:rsidR="00C92EF7" w:rsidRPr="00B275E2" w14:paraId="24FAB9CE" w14:textId="77777777" w:rsidTr="00462B36">
        <w:tc>
          <w:tcPr>
            <w:tcW w:w="2977" w:type="dxa"/>
            <w:shd w:val="clear" w:color="auto" w:fill="auto"/>
          </w:tcPr>
          <w:p w14:paraId="1E5C5006" w14:textId="77777777" w:rsidR="00C92EF7" w:rsidRPr="00B275E2" w:rsidRDefault="00C92EF7" w:rsidP="00546E5C">
            <w:pPr>
              <w:pStyle w:val="Glossary"/>
              <w:tabs>
                <w:tab w:val="clear" w:pos="2835"/>
              </w:tabs>
              <w:spacing w:line="260" w:lineRule="atLeast"/>
              <w:rPr>
                <w:b/>
                <w:bCs/>
              </w:rPr>
            </w:pPr>
            <w:r w:rsidRPr="00B275E2">
              <w:rPr>
                <w:b/>
                <w:bCs/>
              </w:rPr>
              <w:t>GHG report</w:t>
            </w:r>
          </w:p>
        </w:tc>
        <w:tc>
          <w:tcPr>
            <w:tcW w:w="5528" w:type="dxa"/>
          </w:tcPr>
          <w:p w14:paraId="5676C1EE" w14:textId="77777777" w:rsidR="00C92EF7" w:rsidRPr="00B275E2" w:rsidRDefault="00C92EF7" w:rsidP="00546E5C">
            <w:pPr>
              <w:pStyle w:val="Glossary"/>
              <w:tabs>
                <w:tab w:val="clear" w:pos="2835"/>
              </w:tabs>
              <w:spacing w:line="260" w:lineRule="atLeast"/>
            </w:pPr>
            <w:r w:rsidRPr="00B275E2">
              <w:t>A standalone report to communicate an organisation’s GHG-related information to intended users</w:t>
            </w:r>
          </w:p>
        </w:tc>
      </w:tr>
      <w:tr w:rsidR="00BD5274" w:rsidRPr="00B275E2" w14:paraId="4014E808" w14:textId="77777777" w:rsidTr="00462B36">
        <w:tc>
          <w:tcPr>
            <w:tcW w:w="2977" w:type="dxa"/>
            <w:shd w:val="clear" w:color="auto" w:fill="auto"/>
          </w:tcPr>
          <w:p w14:paraId="602083D1" w14:textId="12BED606" w:rsidR="00BD5274" w:rsidRPr="00B275E2" w:rsidRDefault="00BD5274" w:rsidP="00546E5C">
            <w:pPr>
              <w:pStyle w:val="Glossary"/>
              <w:tabs>
                <w:tab w:val="clear" w:pos="2835"/>
              </w:tabs>
              <w:spacing w:line="260" w:lineRule="atLeast"/>
              <w:rPr>
                <w:b/>
                <w:bCs/>
              </w:rPr>
            </w:pPr>
            <w:r w:rsidRPr="00B275E2">
              <w:rPr>
                <w:rFonts w:eastAsia="Times New Roman"/>
                <w:b/>
                <w:bCs/>
              </w:rPr>
              <w:t>GJ</w:t>
            </w:r>
          </w:p>
        </w:tc>
        <w:tc>
          <w:tcPr>
            <w:tcW w:w="5528" w:type="dxa"/>
          </w:tcPr>
          <w:p w14:paraId="5A6DC469" w14:textId="3E255C4D" w:rsidR="00BD5274" w:rsidRPr="00B275E2" w:rsidRDefault="00BD5274" w:rsidP="00546E5C">
            <w:pPr>
              <w:pStyle w:val="Glossary"/>
              <w:tabs>
                <w:tab w:val="clear" w:pos="2835"/>
              </w:tabs>
              <w:spacing w:line="260" w:lineRule="atLeast"/>
            </w:pPr>
            <w:r w:rsidRPr="00B275E2">
              <w:rPr>
                <w:rFonts w:eastAsia="Times New Roman"/>
              </w:rPr>
              <w:t>Gigajoule (unit of measure, one billion joules)</w:t>
            </w:r>
          </w:p>
        </w:tc>
      </w:tr>
      <w:tr w:rsidR="00BD5274" w:rsidRPr="00B275E2" w14:paraId="669F8B2E" w14:textId="77777777" w:rsidTr="00462B36">
        <w:tc>
          <w:tcPr>
            <w:tcW w:w="2977" w:type="dxa"/>
            <w:shd w:val="clear" w:color="auto" w:fill="auto"/>
          </w:tcPr>
          <w:p w14:paraId="19934FEC" w14:textId="77777777" w:rsidR="00BD5274" w:rsidRPr="00B275E2" w:rsidRDefault="00BD5274" w:rsidP="00546E5C">
            <w:pPr>
              <w:pStyle w:val="Glossary"/>
              <w:tabs>
                <w:tab w:val="clear" w:pos="2835"/>
              </w:tabs>
              <w:spacing w:line="260" w:lineRule="atLeast"/>
              <w:rPr>
                <w:b/>
                <w:bCs/>
              </w:rPr>
            </w:pPr>
            <w:r w:rsidRPr="00B275E2">
              <w:rPr>
                <w:b/>
                <w:bCs/>
              </w:rPr>
              <w:t>Grazing off</w:t>
            </w:r>
          </w:p>
        </w:tc>
        <w:tc>
          <w:tcPr>
            <w:tcW w:w="5528" w:type="dxa"/>
          </w:tcPr>
          <w:p w14:paraId="436DCEB3" w14:textId="77777777" w:rsidR="00BD5274" w:rsidRPr="00B275E2" w:rsidRDefault="00BD5274" w:rsidP="00546E5C">
            <w:pPr>
              <w:pStyle w:val="Glossary"/>
              <w:tabs>
                <w:tab w:val="clear" w:pos="2835"/>
              </w:tabs>
              <w:spacing w:line="260" w:lineRule="atLeast"/>
            </w:pPr>
            <w:r w:rsidRPr="00B275E2">
              <w:t>Cattle feeding on paddock not owned by their farmer</w:t>
            </w:r>
          </w:p>
        </w:tc>
      </w:tr>
      <w:tr w:rsidR="00BD5274" w:rsidRPr="00B275E2" w14:paraId="28990072" w14:textId="77777777" w:rsidTr="00462B36">
        <w:tc>
          <w:tcPr>
            <w:tcW w:w="2977" w:type="dxa"/>
            <w:shd w:val="clear" w:color="auto" w:fill="auto"/>
          </w:tcPr>
          <w:p w14:paraId="11AB61F8" w14:textId="77777777" w:rsidR="00BD5274" w:rsidRPr="00B275E2" w:rsidRDefault="00BD5274" w:rsidP="00546E5C">
            <w:pPr>
              <w:pStyle w:val="Glossary"/>
              <w:tabs>
                <w:tab w:val="clear" w:pos="2835"/>
              </w:tabs>
              <w:spacing w:line="260" w:lineRule="atLeast"/>
              <w:rPr>
                <w:b/>
                <w:bCs/>
              </w:rPr>
            </w:pPr>
            <w:r w:rsidRPr="00B275E2">
              <w:rPr>
                <w:b/>
                <w:bCs/>
              </w:rPr>
              <w:t>GWP</w:t>
            </w:r>
          </w:p>
        </w:tc>
        <w:tc>
          <w:tcPr>
            <w:tcW w:w="5528" w:type="dxa"/>
          </w:tcPr>
          <w:p w14:paraId="76DA1D0A" w14:textId="3C93692A" w:rsidR="00BD5274" w:rsidRPr="00B275E2" w:rsidRDefault="00BD5274" w:rsidP="00546E5C">
            <w:pPr>
              <w:pStyle w:val="Glossary"/>
              <w:tabs>
                <w:tab w:val="clear" w:pos="2835"/>
              </w:tabs>
              <w:spacing w:line="260" w:lineRule="atLeast"/>
            </w:pPr>
            <w:r w:rsidRPr="00B275E2">
              <w:t>Global warming potential, a factor describing the radiative forcing impact of one mass-based unit of a given GHG relative to an equivalent unit of carbon dioxide over a given period (typically 100</w:t>
            </w:r>
            <w:r w:rsidR="003033FC" w:rsidRPr="00B275E2">
              <w:t> </w:t>
            </w:r>
            <w:r w:rsidRPr="00B275E2">
              <w:t>years)</w:t>
            </w:r>
          </w:p>
        </w:tc>
      </w:tr>
      <w:tr w:rsidR="003B2D15" w:rsidRPr="00B275E2" w14:paraId="41FB02F9" w14:textId="77777777" w:rsidTr="00462B36">
        <w:tc>
          <w:tcPr>
            <w:tcW w:w="2977" w:type="dxa"/>
            <w:shd w:val="clear" w:color="auto" w:fill="auto"/>
          </w:tcPr>
          <w:p w14:paraId="50F9FDC9" w14:textId="7828F033" w:rsidR="003B2D15" w:rsidRPr="00B275E2" w:rsidRDefault="003B2D15" w:rsidP="00546E5C">
            <w:pPr>
              <w:pStyle w:val="Glossary"/>
              <w:tabs>
                <w:tab w:val="clear" w:pos="2835"/>
              </w:tabs>
              <w:spacing w:line="260" w:lineRule="atLeast"/>
              <w:rPr>
                <w:b/>
                <w:bCs/>
              </w:rPr>
            </w:pPr>
            <w:r w:rsidRPr="00B275E2">
              <w:rPr>
                <w:b/>
                <w:bCs/>
              </w:rPr>
              <w:t>HBFCs</w:t>
            </w:r>
          </w:p>
        </w:tc>
        <w:tc>
          <w:tcPr>
            <w:tcW w:w="5528" w:type="dxa"/>
          </w:tcPr>
          <w:p w14:paraId="2189E3F5" w14:textId="6167B616" w:rsidR="003B2D15" w:rsidRPr="00B275E2" w:rsidRDefault="003B2D15" w:rsidP="00546E5C">
            <w:pPr>
              <w:pStyle w:val="Glossary"/>
              <w:tabs>
                <w:tab w:val="clear" w:pos="2835"/>
              </w:tabs>
              <w:spacing w:line="260" w:lineRule="atLeast"/>
            </w:pPr>
            <w:r w:rsidRPr="00B275E2">
              <w:t>Hydrobromofluorocarbons</w:t>
            </w:r>
          </w:p>
        </w:tc>
      </w:tr>
      <w:tr w:rsidR="003B2D15" w:rsidRPr="00B275E2" w14:paraId="5730AAFD" w14:textId="77777777" w:rsidTr="00462B36">
        <w:tc>
          <w:tcPr>
            <w:tcW w:w="2977" w:type="dxa"/>
            <w:shd w:val="clear" w:color="auto" w:fill="auto"/>
          </w:tcPr>
          <w:p w14:paraId="7185BF31" w14:textId="0B93EC55" w:rsidR="003B2D15" w:rsidRPr="00B275E2" w:rsidRDefault="003B2D15" w:rsidP="00546E5C">
            <w:pPr>
              <w:pStyle w:val="Glossary"/>
              <w:tabs>
                <w:tab w:val="clear" w:pos="2835"/>
              </w:tabs>
              <w:spacing w:line="260" w:lineRule="atLeast"/>
              <w:rPr>
                <w:b/>
                <w:bCs/>
              </w:rPr>
            </w:pPr>
            <w:r w:rsidRPr="00B275E2">
              <w:rPr>
                <w:b/>
                <w:bCs/>
              </w:rPr>
              <w:t>HCFCs</w:t>
            </w:r>
          </w:p>
        </w:tc>
        <w:tc>
          <w:tcPr>
            <w:tcW w:w="5528" w:type="dxa"/>
          </w:tcPr>
          <w:p w14:paraId="3304B8C2" w14:textId="2B5B6EE3" w:rsidR="003B2D15" w:rsidRPr="00B275E2" w:rsidRDefault="003B2D15" w:rsidP="00546E5C">
            <w:pPr>
              <w:pStyle w:val="Glossary"/>
              <w:tabs>
                <w:tab w:val="clear" w:pos="2835"/>
              </w:tabs>
              <w:spacing w:line="260" w:lineRule="atLeast"/>
            </w:pPr>
            <w:r w:rsidRPr="00B275E2">
              <w:t>Hydrochlorofluorocarbons</w:t>
            </w:r>
          </w:p>
        </w:tc>
      </w:tr>
      <w:tr w:rsidR="00BD5274" w:rsidRPr="00B275E2" w14:paraId="61FB7A7C" w14:textId="77777777" w:rsidTr="00462B36">
        <w:tc>
          <w:tcPr>
            <w:tcW w:w="2977" w:type="dxa"/>
            <w:shd w:val="clear" w:color="auto" w:fill="auto"/>
          </w:tcPr>
          <w:p w14:paraId="290FFEDF" w14:textId="1C5BB2C3" w:rsidR="00BD5274" w:rsidRPr="00B275E2" w:rsidRDefault="00BD5274" w:rsidP="00546E5C">
            <w:pPr>
              <w:pStyle w:val="Glossary"/>
              <w:tabs>
                <w:tab w:val="clear" w:pos="2835"/>
              </w:tabs>
              <w:spacing w:line="260" w:lineRule="atLeast"/>
              <w:rPr>
                <w:b/>
                <w:bCs/>
              </w:rPr>
            </w:pPr>
            <w:r w:rsidRPr="00B275E2">
              <w:rPr>
                <w:b/>
                <w:bCs/>
              </w:rPr>
              <w:t>HFC</w:t>
            </w:r>
          </w:p>
        </w:tc>
        <w:tc>
          <w:tcPr>
            <w:tcW w:w="5528" w:type="dxa"/>
          </w:tcPr>
          <w:p w14:paraId="65B1684F" w14:textId="3AA4BCF9" w:rsidR="00BD5274" w:rsidRPr="00B275E2" w:rsidRDefault="00E44932" w:rsidP="00546E5C">
            <w:pPr>
              <w:pStyle w:val="Glossary"/>
              <w:tabs>
                <w:tab w:val="clear" w:pos="2835"/>
              </w:tabs>
              <w:spacing w:line="260" w:lineRule="atLeast"/>
            </w:pPr>
            <w:r w:rsidRPr="00B275E2">
              <w:t>Hydrofluorocarbon</w:t>
            </w:r>
            <w:r w:rsidR="00BD5274" w:rsidRPr="00B275E2">
              <w:t>, an alternative refrigerant gas that minimises damage to the ozone hole</w:t>
            </w:r>
          </w:p>
        </w:tc>
      </w:tr>
      <w:tr w:rsidR="001E5FF4" w:rsidRPr="00B275E2" w14:paraId="305A574E" w14:textId="77777777" w:rsidTr="00462B36">
        <w:tc>
          <w:tcPr>
            <w:tcW w:w="2977" w:type="dxa"/>
            <w:shd w:val="clear" w:color="auto" w:fill="auto"/>
          </w:tcPr>
          <w:p w14:paraId="711465E5" w14:textId="76B413CC" w:rsidR="001E5FF4" w:rsidRPr="00B275E2" w:rsidRDefault="001E5FF4" w:rsidP="00546E5C">
            <w:pPr>
              <w:pStyle w:val="Glossary"/>
              <w:tabs>
                <w:tab w:val="clear" w:pos="2835"/>
              </w:tabs>
              <w:spacing w:line="260" w:lineRule="atLeast"/>
              <w:rPr>
                <w:b/>
                <w:bCs/>
              </w:rPr>
            </w:pPr>
            <w:r w:rsidRPr="00B275E2">
              <w:rPr>
                <w:b/>
                <w:bCs/>
              </w:rPr>
              <w:t>IATA</w:t>
            </w:r>
          </w:p>
        </w:tc>
        <w:tc>
          <w:tcPr>
            <w:tcW w:w="5528" w:type="dxa"/>
          </w:tcPr>
          <w:p w14:paraId="3695EAB8" w14:textId="53D16766" w:rsidR="001E5FF4" w:rsidRPr="00B275E2" w:rsidRDefault="001E5FF4" w:rsidP="00546E5C">
            <w:pPr>
              <w:pStyle w:val="Glossary"/>
              <w:tabs>
                <w:tab w:val="clear" w:pos="2835"/>
              </w:tabs>
              <w:spacing w:line="260" w:lineRule="atLeast"/>
            </w:pPr>
            <w:r w:rsidRPr="00B275E2">
              <w:t>International Air Transport Association</w:t>
            </w:r>
          </w:p>
        </w:tc>
      </w:tr>
      <w:tr w:rsidR="0059494E" w:rsidRPr="00B275E2" w14:paraId="3E4C301D" w14:textId="77777777" w:rsidTr="00462B36">
        <w:tc>
          <w:tcPr>
            <w:tcW w:w="2977" w:type="dxa"/>
            <w:shd w:val="clear" w:color="auto" w:fill="auto"/>
          </w:tcPr>
          <w:p w14:paraId="2B649EBA" w14:textId="1808AFF9" w:rsidR="0059494E" w:rsidRPr="00B275E2" w:rsidRDefault="0059494E" w:rsidP="00546E5C">
            <w:pPr>
              <w:pStyle w:val="Glossary"/>
              <w:tabs>
                <w:tab w:val="clear" w:pos="2835"/>
              </w:tabs>
              <w:spacing w:line="260" w:lineRule="atLeast"/>
              <w:rPr>
                <w:b/>
                <w:bCs/>
              </w:rPr>
            </w:pPr>
            <w:r w:rsidRPr="00B275E2">
              <w:rPr>
                <w:b/>
                <w:bCs/>
              </w:rPr>
              <w:t>ICAO</w:t>
            </w:r>
          </w:p>
        </w:tc>
        <w:tc>
          <w:tcPr>
            <w:tcW w:w="5528" w:type="dxa"/>
          </w:tcPr>
          <w:p w14:paraId="4E2A0D47" w14:textId="618C6CA3" w:rsidR="0059494E" w:rsidRPr="00B275E2" w:rsidRDefault="0059494E" w:rsidP="00546E5C">
            <w:pPr>
              <w:pStyle w:val="Glossary"/>
              <w:tabs>
                <w:tab w:val="clear" w:pos="2835"/>
              </w:tabs>
              <w:spacing w:line="260" w:lineRule="atLeast"/>
            </w:pPr>
            <w:r w:rsidRPr="00B275E2">
              <w:t>International Civil Aviation Organisation</w:t>
            </w:r>
          </w:p>
        </w:tc>
      </w:tr>
      <w:tr w:rsidR="00BD5274" w:rsidRPr="00B275E2" w14:paraId="7D56EAF5" w14:textId="77777777" w:rsidTr="00462B36">
        <w:tc>
          <w:tcPr>
            <w:tcW w:w="2977" w:type="dxa"/>
            <w:shd w:val="clear" w:color="auto" w:fill="auto"/>
          </w:tcPr>
          <w:p w14:paraId="10B2D9FA" w14:textId="77777777" w:rsidR="00BD5274" w:rsidRPr="00B275E2" w:rsidRDefault="00BD5274" w:rsidP="00546E5C">
            <w:pPr>
              <w:pStyle w:val="Glossary"/>
              <w:tabs>
                <w:tab w:val="clear" w:pos="2835"/>
              </w:tabs>
              <w:spacing w:line="260" w:lineRule="atLeast"/>
              <w:rPr>
                <w:b/>
                <w:bCs/>
              </w:rPr>
            </w:pPr>
            <w:r w:rsidRPr="00B275E2">
              <w:rPr>
                <w:b/>
                <w:bCs/>
              </w:rPr>
              <w:t>Inert</w:t>
            </w:r>
          </w:p>
        </w:tc>
        <w:tc>
          <w:tcPr>
            <w:tcW w:w="5528" w:type="dxa"/>
          </w:tcPr>
          <w:p w14:paraId="38610704" w14:textId="680676D4" w:rsidR="00BD5274" w:rsidRPr="00B275E2" w:rsidRDefault="00BD5274" w:rsidP="00546E5C">
            <w:pPr>
              <w:pStyle w:val="Glossary"/>
              <w:tabs>
                <w:tab w:val="clear" w:pos="2835"/>
              </w:tabs>
              <w:spacing w:line="260" w:lineRule="atLeast"/>
            </w:pPr>
            <w:r w:rsidRPr="00B275E2">
              <w:t>Chemically inactive (eg, plastic waste)</w:t>
            </w:r>
          </w:p>
        </w:tc>
      </w:tr>
      <w:tr w:rsidR="00F64130" w:rsidRPr="00B275E2" w14:paraId="22FD4617" w14:textId="77777777" w:rsidTr="00462B36">
        <w:tc>
          <w:tcPr>
            <w:tcW w:w="2977" w:type="dxa"/>
            <w:shd w:val="clear" w:color="auto" w:fill="auto"/>
          </w:tcPr>
          <w:p w14:paraId="10EA93D0" w14:textId="0860B77E" w:rsidR="00F64130" w:rsidRPr="00B275E2" w:rsidRDefault="00F64130" w:rsidP="00546E5C">
            <w:pPr>
              <w:pStyle w:val="Glossary"/>
              <w:tabs>
                <w:tab w:val="clear" w:pos="2835"/>
              </w:tabs>
              <w:spacing w:line="260" w:lineRule="atLeast"/>
              <w:rPr>
                <w:b/>
                <w:bCs/>
              </w:rPr>
            </w:pPr>
            <w:r w:rsidRPr="00B275E2">
              <w:rPr>
                <w:b/>
                <w:bCs/>
              </w:rPr>
              <w:t>IPCC</w:t>
            </w:r>
          </w:p>
        </w:tc>
        <w:tc>
          <w:tcPr>
            <w:tcW w:w="5528" w:type="dxa"/>
          </w:tcPr>
          <w:p w14:paraId="123554A7" w14:textId="46A02254" w:rsidR="00F64130" w:rsidRPr="00B275E2" w:rsidRDefault="00F64130" w:rsidP="00546E5C">
            <w:pPr>
              <w:pStyle w:val="Glossary"/>
              <w:tabs>
                <w:tab w:val="clear" w:pos="2835"/>
              </w:tabs>
              <w:spacing w:line="260" w:lineRule="atLeast"/>
            </w:pPr>
            <w:r w:rsidRPr="00B275E2">
              <w:rPr>
                <w:rFonts w:eastAsia="Times New Roman"/>
              </w:rPr>
              <w:t>Intergovernmental Panel on Climate Change</w:t>
            </w:r>
          </w:p>
        </w:tc>
      </w:tr>
      <w:tr w:rsidR="00BD5274" w:rsidRPr="00B275E2" w14:paraId="6DFC25B8" w14:textId="77777777" w:rsidTr="00462B36">
        <w:tc>
          <w:tcPr>
            <w:tcW w:w="2977" w:type="dxa"/>
            <w:shd w:val="clear" w:color="auto" w:fill="auto"/>
          </w:tcPr>
          <w:p w14:paraId="3D7109BA" w14:textId="37644ECF" w:rsidR="00BD5274" w:rsidRPr="00B275E2" w:rsidRDefault="00BD5274" w:rsidP="00546E5C">
            <w:pPr>
              <w:pStyle w:val="Glossary"/>
              <w:tabs>
                <w:tab w:val="clear" w:pos="2835"/>
              </w:tabs>
              <w:spacing w:line="260" w:lineRule="atLeast"/>
              <w:rPr>
                <w:b/>
                <w:bCs/>
              </w:rPr>
            </w:pPr>
            <w:r w:rsidRPr="00B275E2">
              <w:rPr>
                <w:b/>
                <w:bCs/>
              </w:rPr>
              <w:t xml:space="preserve">ISO 14064-1:2018 </w:t>
            </w:r>
          </w:p>
        </w:tc>
        <w:tc>
          <w:tcPr>
            <w:tcW w:w="5528" w:type="dxa"/>
          </w:tcPr>
          <w:p w14:paraId="348F0694" w14:textId="0A445B55" w:rsidR="00BD5274" w:rsidRPr="00B275E2" w:rsidRDefault="00BD5274" w:rsidP="00546E5C">
            <w:pPr>
              <w:pStyle w:val="Glossary"/>
              <w:tabs>
                <w:tab w:val="clear" w:pos="2835"/>
              </w:tabs>
              <w:spacing w:line="260" w:lineRule="atLeast"/>
            </w:pPr>
            <w:r w:rsidRPr="00B275E2">
              <w:t xml:space="preserve">International Organization for Standardisation standard on greenhouse gases </w:t>
            </w:r>
            <w:r w:rsidR="00690A38" w:rsidRPr="00B275E2">
              <w:t xml:space="preserve">– </w:t>
            </w:r>
            <w:r w:rsidRPr="00B275E2">
              <w:t>Part 1: Specification with guidance at the organisation level for quantification and reporting greenhouse gas emissions and removals</w:t>
            </w:r>
          </w:p>
        </w:tc>
      </w:tr>
      <w:tr w:rsidR="003021C1" w:rsidRPr="00B275E2" w14:paraId="595373F9" w14:textId="77777777" w:rsidTr="00462B36">
        <w:tc>
          <w:tcPr>
            <w:tcW w:w="2977" w:type="dxa"/>
            <w:shd w:val="clear" w:color="auto" w:fill="auto"/>
          </w:tcPr>
          <w:p w14:paraId="149D6418" w14:textId="4F42662B" w:rsidR="003021C1" w:rsidRPr="00B275E2" w:rsidRDefault="003021C1" w:rsidP="00546E5C">
            <w:pPr>
              <w:pStyle w:val="Glossary"/>
              <w:tabs>
                <w:tab w:val="clear" w:pos="2835"/>
              </w:tabs>
              <w:spacing w:line="260" w:lineRule="atLeast"/>
              <w:rPr>
                <w:b/>
                <w:bCs/>
              </w:rPr>
            </w:pPr>
            <w:r w:rsidRPr="00B275E2">
              <w:rPr>
                <w:b/>
                <w:bCs/>
              </w:rPr>
              <w:t>ITP</w:t>
            </w:r>
          </w:p>
        </w:tc>
        <w:tc>
          <w:tcPr>
            <w:tcW w:w="5528" w:type="dxa"/>
          </w:tcPr>
          <w:p w14:paraId="75159DCB" w14:textId="459BEE66" w:rsidR="003021C1" w:rsidRPr="00B275E2" w:rsidRDefault="003021C1" w:rsidP="00546E5C">
            <w:pPr>
              <w:pStyle w:val="Glossary"/>
              <w:tabs>
                <w:tab w:val="clear" w:pos="2835"/>
              </w:tabs>
              <w:spacing w:line="260" w:lineRule="atLeast"/>
            </w:pPr>
            <w:r w:rsidRPr="00B275E2">
              <w:t>International Tourism Partnership</w:t>
            </w:r>
          </w:p>
        </w:tc>
      </w:tr>
      <w:tr w:rsidR="00971806" w:rsidRPr="00B275E2" w14:paraId="52FD6BF5" w14:textId="77777777" w:rsidTr="00462B36">
        <w:tc>
          <w:tcPr>
            <w:tcW w:w="2977" w:type="dxa"/>
            <w:shd w:val="clear" w:color="auto" w:fill="auto"/>
          </w:tcPr>
          <w:p w14:paraId="21FDBCFE" w14:textId="4758ECBF" w:rsidR="00971806" w:rsidRPr="00B275E2" w:rsidRDefault="00695576" w:rsidP="00546E5C">
            <w:pPr>
              <w:pStyle w:val="Glossary"/>
              <w:tabs>
                <w:tab w:val="clear" w:pos="2835"/>
              </w:tabs>
              <w:spacing w:line="260" w:lineRule="atLeast"/>
              <w:rPr>
                <w:b/>
                <w:bCs/>
              </w:rPr>
            </w:pPr>
            <w:r w:rsidRPr="00B275E2">
              <w:rPr>
                <w:b/>
                <w:bCs/>
              </w:rPr>
              <w:t>JAS-ANZ</w:t>
            </w:r>
          </w:p>
        </w:tc>
        <w:tc>
          <w:tcPr>
            <w:tcW w:w="5528" w:type="dxa"/>
          </w:tcPr>
          <w:p w14:paraId="1E4833F1" w14:textId="5773D6F5" w:rsidR="00971806" w:rsidRPr="00B275E2" w:rsidRDefault="00971806" w:rsidP="00546E5C">
            <w:pPr>
              <w:pStyle w:val="Glossary"/>
              <w:tabs>
                <w:tab w:val="clear" w:pos="2835"/>
              </w:tabs>
              <w:spacing w:line="260" w:lineRule="atLeast"/>
            </w:pPr>
            <w:r w:rsidRPr="00B275E2">
              <w:rPr>
                <w:spacing w:val="-2"/>
              </w:rPr>
              <w:t>Joint Accreditation System of Australia and New Zealand</w:t>
            </w:r>
          </w:p>
        </w:tc>
      </w:tr>
      <w:tr w:rsidR="00BD5274" w:rsidRPr="00B275E2" w14:paraId="3D8FB475" w14:textId="77777777" w:rsidTr="00462B36">
        <w:tc>
          <w:tcPr>
            <w:tcW w:w="2977" w:type="dxa"/>
            <w:shd w:val="clear" w:color="auto" w:fill="auto"/>
          </w:tcPr>
          <w:p w14:paraId="7D3FE865" w14:textId="0B0935DB" w:rsidR="00BD5274" w:rsidRPr="00B275E2" w:rsidRDefault="006755D0" w:rsidP="00546E5C">
            <w:pPr>
              <w:pStyle w:val="Glossary"/>
              <w:tabs>
                <w:tab w:val="clear" w:pos="2835"/>
              </w:tabs>
              <w:spacing w:line="260" w:lineRule="atLeast"/>
              <w:rPr>
                <w:b/>
                <w:bCs/>
              </w:rPr>
            </w:pPr>
            <w:r w:rsidRPr="00B275E2">
              <w:rPr>
                <w:b/>
                <w:bCs/>
              </w:rPr>
              <w:t>k</w:t>
            </w:r>
            <w:r w:rsidR="00BD5274" w:rsidRPr="00B275E2">
              <w:rPr>
                <w:b/>
                <w:bCs/>
              </w:rPr>
              <w:t>t</w:t>
            </w:r>
          </w:p>
        </w:tc>
        <w:tc>
          <w:tcPr>
            <w:tcW w:w="5528" w:type="dxa"/>
          </w:tcPr>
          <w:p w14:paraId="17C361E8" w14:textId="77777777" w:rsidR="00BD5274" w:rsidRPr="00B275E2" w:rsidRDefault="00BD5274" w:rsidP="00546E5C">
            <w:pPr>
              <w:pStyle w:val="Glossary"/>
              <w:tabs>
                <w:tab w:val="clear" w:pos="2835"/>
              </w:tabs>
              <w:spacing w:line="260" w:lineRule="atLeast"/>
            </w:pPr>
            <w:r w:rsidRPr="00B275E2">
              <w:t>Kilotonne (unit of measure, one thousand tonnes)</w:t>
            </w:r>
          </w:p>
        </w:tc>
      </w:tr>
      <w:tr w:rsidR="00BD5274" w:rsidRPr="00B275E2" w14:paraId="55E81294" w14:textId="77777777" w:rsidTr="00462B36">
        <w:tc>
          <w:tcPr>
            <w:tcW w:w="2977" w:type="dxa"/>
            <w:shd w:val="clear" w:color="auto" w:fill="auto"/>
          </w:tcPr>
          <w:p w14:paraId="4D0AC8AA" w14:textId="77777777" w:rsidR="00BD5274" w:rsidRPr="00B275E2" w:rsidRDefault="00BD5274" w:rsidP="00546E5C">
            <w:pPr>
              <w:pStyle w:val="Glossary"/>
              <w:tabs>
                <w:tab w:val="clear" w:pos="2835"/>
              </w:tabs>
              <w:spacing w:line="260" w:lineRule="atLeast"/>
              <w:rPr>
                <w:b/>
                <w:bCs/>
              </w:rPr>
            </w:pPr>
            <w:r w:rsidRPr="00B275E2">
              <w:rPr>
                <w:b/>
                <w:bCs/>
              </w:rPr>
              <w:t>LULUCF</w:t>
            </w:r>
          </w:p>
        </w:tc>
        <w:tc>
          <w:tcPr>
            <w:tcW w:w="5528" w:type="dxa"/>
          </w:tcPr>
          <w:p w14:paraId="31C10BA2" w14:textId="5A2EF8B8" w:rsidR="00BD5274" w:rsidRPr="00B275E2" w:rsidRDefault="00BD5274" w:rsidP="00546E5C">
            <w:pPr>
              <w:pStyle w:val="Glossary"/>
              <w:tabs>
                <w:tab w:val="clear" w:pos="2835"/>
              </w:tabs>
              <w:spacing w:line="260" w:lineRule="atLeast"/>
            </w:pPr>
            <w:r w:rsidRPr="00B275E2">
              <w:t xml:space="preserve">Land use, </w:t>
            </w:r>
            <w:r w:rsidR="00BD685C" w:rsidRPr="00B275E2">
              <w:t>land-use change</w:t>
            </w:r>
            <w:r w:rsidRPr="00B275E2">
              <w:t xml:space="preserve"> and forestry</w:t>
            </w:r>
          </w:p>
        </w:tc>
      </w:tr>
      <w:tr w:rsidR="00BD5274" w:rsidRPr="00B275E2" w14:paraId="06304E94" w14:textId="77777777" w:rsidTr="00462B36">
        <w:tc>
          <w:tcPr>
            <w:tcW w:w="2977" w:type="dxa"/>
            <w:shd w:val="clear" w:color="auto" w:fill="auto"/>
          </w:tcPr>
          <w:p w14:paraId="431D919B" w14:textId="77777777" w:rsidR="00BD5274" w:rsidRPr="00B275E2" w:rsidRDefault="00BD5274" w:rsidP="00546E5C">
            <w:pPr>
              <w:pStyle w:val="Glossary"/>
              <w:tabs>
                <w:tab w:val="clear" w:pos="2835"/>
              </w:tabs>
              <w:spacing w:line="260" w:lineRule="atLeast"/>
              <w:rPr>
                <w:b/>
                <w:bCs/>
              </w:rPr>
            </w:pPr>
            <w:r w:rsidRPr="00B275E2">
              <w:rPr>
                <w:b/>
                <w:bCs/>
              </w:rPr>
              <w:t>Materiality</w:t>
            </w:r>
          </w:p>
        </w:tc>
        <w:tc>
          <w:tcPr>
            <w:tcW w:w="5528" w:type="dxa"/>
          </w:tcPr>
          <w:p w14:paraId="6067B8FB" w14:textId="77777777" w:rsidR="00BD5274" w:rsidRPr="00B275E2" w:rsidRDefault="00BD5274" w:rsidP="00546E5C">
            <w:pPr>
              <w:pStyle w:val="Glossary"/>
              <w:tabs>
                <w:tab w:val="clear" w:pos="2835"/>
              </w:tabs>
              <w:spacing w:line="260" w:lineRule="atLeast"/>
            </w:pPr>
            <w:r w:rsidRPr="00B275E2">
              <w:t>To be considered as having significance to an organisation</w:t>
            </w:r>
          </w:p>
        </w:tc>
      </w:tr>
      <w:tr w:rsidR="00BD5274" w:rsidRPr="00B275E2" w14:paraId="3D9C9C07" w14:textId="77777777" w:rsidTr="00462B36">
        <w:tc>
          <w:tcPr>
            <w:tcW w:w="2977" w:type="dxa"/>
            <w:shd w:val="clear" w:color="auto" w:fill="auto"/>
          </w:tcPr>
          <w:p w14:paraId="7DA80FC6" w14:textId="404AC354" w:rsidR="00BD5274" w:rsidRPr="00B275E2" w:rsidRDefault="00BD5274" w:rsidP="00546E5C">
            <w:pPr>
              <w:pStyle w:val="Glossary"/>
              <w:tabs>
                <w:tab w:val="clear" w:pos="2835"/>
              </w:tabs>
              <w:spacing w:line="260" w:lineRule="atLeast"/>
              <w:rPr>
                <w:b/>
                <w:bCs/>
              </w:rPr>
            </w:pPr>
            <w:r w:rsidRPr="00B275E2">
              <w:rPr>
                <w:b/>
                <w:bCs/>
              </w:rPr>
              <w:t>Mature indigenous forest</w:t>
            </w:r>
          </w:p>
        </w:tc>
        <w:tc>
          <w:tcPr>
            <w:tcW w:w="5528" w:type="dxa"/>
          </w:tcPr>
          <w:p w14:paraId="33722906" w14:textId="00A376D7" w:rsidR="00BD5274" w:rsidRPr="00B275E2" w:rsidRDefault="007567BB" w:rsidP="00546E5C">
            <w:pPr>
              <w:pStyle w:val="Glossary"/>
              <w:tabs>
                <w:tab w:val="clear" w:pos="2835"/>
              </w:tabs>
              <w:spacing w:line="260" w:lineRule="atLeast"/>
            </w:pPr>
            <w:r w:rsidRPr="00B275E2">
              <w:t>A forest comprising predominantly native species, where there are</w:t>
            </w:r>
            <w:r w:rsidR="003033FC" w:rsidRPr="00B275E2">
              <w:t> </w:t>
            </w:r>
            <w:r w:rsidRPr="00B275E2">
              <w:t xml:space="preserve">no clearly visible indications of human activities and the ecological processes are not significantly disturbed. The forest will contain large trees with multi-layered canopies and be considered a </w:t>
            </w:r>
            <w:r w:rsidR="00F739D9" w:rsidRPr="00B275E2">
              <w:t>climax</w:t>
            </w:r>
            <w:r w:rsidRPr="00B275E2">
              <w:t xml:space="preserve"> community</w:t>
            </w:r>
          </w:p>
        </w:tc>
      </w:tr>
      <w:tr w:rsidR="00BD5274" w:rsidRPr="00B275E2" w14:paraId="09039581" w14:textId="77777777" w:rsidTr="00462B36">
        <w:tc>
          <w:tcPr>
            <w:tcW w:w="2977" w:type="dxa"/>
            <w:shd w:val="clear" w:color="auto" w:fill="auto"/>
          </w:tcPr>
          <w:p w14:paraId="06432BA2" w14:textId="77777777" w:rsidR="00BD5274" w:rsidRPr="00B275E2" w:rsidRDefault="00BD5274" w:rsidP="00546E5C">
            <w:pPr>
              <w:pStyle w:val="Glossary"/>
              <w:tabs>
                <w:tab w:val="clear" w:pos="2835"/>
              </w:tabs>
              <w:spacing w:line="260" w:lineRule="atLeast"/>
              <w:rPr>
                <w:b/>
                <w:bCs/>
              </w:rPr>
            </w:pPr>
            <w:r w:rsidRPr="00B275E2">
              <w:rPr>
                <w:b/>
                <w:bCs/>
              </w:rPr>
              <w:t>MBIE</w:t>
            </w:r>
          </w:p>
        </w:tc>
        <w:tc>
          <w:tcPr>
            <w:tcW w:w="5528" w:type="dxa"/>
          </w:tcPr>
          <w:p w14:paraId="59ED8B3D" w14:textId="77777777" w:rsidR="00BD5274" w:rsidRPr="00B275E2" w:rsidRDefault="00BD5274" w:rsidP="00546E5C">
            <w:pPr>
              <w:pStyle w:val="Glossary"/>
              <w:tabs>
                <w:tab w:val="clear" w:pos="2835"/>
              </w:tabs>
              <w:spacing w:line="260" w:lineRule="atLeast"/>
            </w:pPr>
            <w:r w:rsidRPr="00B275E2">
              <w:t>Ministry of Business, Innovation and Employment</w:t>
            </w:r>
          </w:p>
        </w:tc>
      </w:tr>
      <w:tr w:rsidR="00BD5274" w:rsidRPr="00B275E2" w14:paraId="7A611EE7" w14:textId="77777777" w:rsidTr="00462B36">
        <w:tc>
          <w:tcPr>
            <w:tcW w:w="2977" w:type="dxa"/>
            <w:shd w:val="clear" w:color="auto" w:fill="auto"/>
          </w:tcPr>
          <w:p w14:paraId="698B3061" w14:textId="77777777" w:rsidR="00BD5274" w:rsidRPr="00B275E2" w:rsidRDefault="00BD5274" w:rsidP="00546E5C">
            <w:pPr>
              <w:pStyle w:val="Glossary"/>
              <w:tabs>
                <w:tab w:val="clear" w:pos="2835"/>
              </w:tabs>
              <w:spacing w:line="260" w:lineRule="atLeast"/>
              <w:rPr>
                <w:b/>
                <w:bCs/>
              </w:rPr>
            </w:pPr>
            <w:r w:rsidRPr="00B275E2">
              <w:rPr>
                <w:b/>
                <w:bCs/>
              </w:rPr>
              <w:t>MfE</w:t>
            </w:r>
          </w:p>
        </w:tc>
        <w:tc>
          <w:tcPr>
            <w:tcW w:w="5528" w:type="dxa"/>
          </w:tcPr>
          <w:p w14:paraId="1BCBF420" w14:textId="32DD2FF8" w:rsidR="00BD5274" w:rsidRPr="00B275E2" w:rsidRDefault="00BD5274" w:rsidP="00546E5C">
            <w:pPr>
              <w:pStyle w:val="Glossary"/>
              <w:tabs>
                <w:tab w:val="clear" w:pos="2835"/>
              </w:tabs>
              <w:spacing w:line="260" w:lineRule="atLeast"/>
            </w:pPr>
            <w:r w:rsidRPr="00B275E2">
              <w:t>Ministry for the Environment</w:t>
            </w:r>
          </w:p>
        </w:tc>
      </w:tr>
      <w:tr w:rsidR="00C92EF7" w:rsidRPr="00B275E2" w14:paraId="1697D396" w14:textId="77777777" w:rsidTr="00462B36">
        <w:tc>
          <w:tcPr>
            <w:tcW w:w="2977" w:type="dxa"/>
            <w:shd w:val="clear" w:color="auto" w:fill="auto"/>
          </w:tcPr>
          <w:p w14:paraId="4C5D2555" w14:textId="77777777" w:rsidR="00C92EF7" w:rsidRPr="00B275E2" w:rsidRDefault="00C92EF7" w:rsidP="00546E5C">
            <w:pPr>
              <w:pStyle w:val="Glossary"/>
              <w:tabs>
                <w:tab w:val="clear" w:pos="2835"/>
              </w:tabs>
              <w:spacing w:line="260" w:lineRule="atLeast"/>
              <w:rPr>
                <w:b/>
                <w:bCs/>
              </w:rPr>
            </w:pPr>
            <w:r w:rsidRPr="00B275E2">
              <w:rPr>
                <w:b/>
                <w:bCs/>
              </w:rPr>
              <w:t>MoT</w:t>
            </w:r>
          </w:p>
        </w:tc>
        <w:tc>
          <w:tcPr>
            <w:tcW w:w="5528" w:type="dxa"/>
          </w:tcPr>
          <w:p w14:paraId="2C6E17E7" w14:textId="77777777" w:rsidR="00C92EF7" w:rsidRPr="00B275E2" w:rsidRDefault="00C92EF7" w:rsidP="00546E5C">
            <w:pPr>
              <w:pStyle w:val="Glossary"/>
              <w:tabs>
                <w:tab w:val="clear" w:pos="2835"/>
              </w:tabs>
              <w:spacing w:line="260" w:lineRule="atLeast"/>
            </w:pPr>
            <w:r w:rsidRPr="00B275E2">
              <w:t>Ministry of Transport</w:t>
            </w:r>
          </w:p>
        </w:tc>
      </w:tr>
      <w:tr w:rsidR="00BD5274" w:rsidRPr="00B275E2" w14:paraId="0B416F93" w14:textId="77777777" w:rsidTr="00462B36">
        <w:tc>
          <w:tcPr>
            <w:tcW w:w="2977" w:type="dxa"/>
            <w:shd w:val="clear" w:color="auto" w:fill="auto"/>
          </w:tcPr>
          <w:p w14:paraId="7AEB755B" w14:textId="77777777" w:rsidR="00BD5274" w:rsidRPr="00B275E2" w:rsidRDefault="00BD5274" w:rsidP="00546E5C">
            <w:pPr>
              <w:pStyle w:val="Glossary"/>
              <w:tabs>
                <w:tab w:val="clear" w:pos="2835"/>
              </w:tabs>
              <w:spacing w:line="260" w:lineRule="atLeast"/>
              <w:rPr>
                <w:b/>
                <w:bCs/>
              </w:rPr>
            </w:pPr>
            <w:r w:rsidRPr="00B275E2">
              <w:rPr>
                <w:b/>
                <w:bCs/>
              </w:rPr>
              <w:t>MPI</w:t>
            </w:r>
          </w:p>
        </w:tc>
        <w:tc>
          <w:tcPr>
            <w:tcW w:w="5528" w:type="dxa"/>
          </w:tcPr>
          <w:p w14:paraId="36022490" w14:textId="77777777" w:rsidR="00BD5274" w:rsidRPr="00B275E2" w:rsidRDefault="00BD5274" w:rsidP="00546E5C">
            <w:pPr>
              <w:pStyle w:val="Glossary"/>
              <w:tabs>
                <w:tab w:val="clear" w:pos="2835"/>
              </w:tabs>
              <w:spacing w:line="260" w:lineRule="atLeast"/>
            </w:pPr>
            <w:r w:rsidRPr="00B275E2">
              <w:t>Ministry of Primary Industries</w:t>
            </w:r>
          </w:p>
        </w:tc>
      </w:tr>
      <w:tr w:rsidR="00BD5274" w:rsidRPr="00B275E2" w14:paraId="752147BF" w14:textId="77777777" w:rsidTr="00462B36">
        <w:tc>
          <w:tcPr>
            <w:tcW w:w="2977" w:type="dxa"/>
            <w:shd w:val="clear" w:color="auto" w:fill="auto"/>
          </w:tcPr>
          <w:p w14:paraId="40BC9E07" w14:textId="77777777" w:rsidR="00BD5274" w:rsidRPr="00B275E2" w:rsidRDefault="00BD5274" w:rsidP="00546E5C">
            <w:pPr>
              <w:pStyle w:val="Glossary"/>
              <w:tabs>
                <w:tab w:val="clear" w:pos="2835"/>
              </w:tabs>
              <w:spacing w:line="260" w:lineRule="atLeast"/>
              <w:rPr>
                <w:b/>
                <w:bCs/>
              </w:rPr>
            </w:pPr>
            <w:r w:rsidRPr="00B275E2">
              <w:rPr>
                <w:b/>
                <w:bCs/>
              </w:rPr>
              <w:t>Municipal landfill</w:t>
            </w:r>
          </w:p>
        </w:tc>
        <w:tc>
          <w:tcPr>
            <w:tcW w:w="5528" w:type="dxa"/>
          </w:tcPr>
          <w:p w14:paraId="1F074651" w14:textId="77777777" w:rsidR="00BD5274" w:rsidRPr="00B275E2" w:rsidRDefault="00BD5274" w:rsidP="00546E5C">
            <w:pPr>
              <w:pStyle w:val="Glossary"/>
              <w:tabs>
                <w:tab w:val="clear" w:pos="2835"/>
              </w:tabs>
              <w:spacing w:line="260" w:lineRule="atLeast"/>
            </w:pPr>
            <w:r w:rsidRPr="00B275E2">
              <w:t>Landfill that accepts household waste as well as other wastes</w:t>
            </w:r>
          </w:p>
        </w:tc>
      </w:tr>
      <w:tr w:rsidR="00F6648C" w:rsidRPr="00B275E2" w14:paraId="3457002B" w14:textId="77777777" w:rsidTr="00462B36">
        <w:tc>
          <w:tcPr>
            <w:tcW w:w="2977" w:type="dxa"/>
            <w:shd w:val="clear" w:color="auto" w:fill="auto"/>
          </w:tcPr>
          <w:p w14:paraId="592BB52E" w14:textId="0EAD275E" w:rsidR="00F6648C" w:rsidRPr="00B275E2" w:rsidRDefault="00F6648C" w:rsidP="00546E5C">
            <w:pPr>
              <w:pStyle w:val="Glossary"/>
              <w:tabs>
                <w:tab w:val="clear" w:pos="2835"/>
              </w:tabs>
              <w:spacing w:line="260" w:lineRule="atLeast"/>
              <w:rPr>
                <w:b/>
                <w:bCs/>
              </w:rPr>
            </w:pPr>
            <w:r w:rsidRPr="00B275E2">
              <w:rPr>
                <w:b/>
                <w:bCs/>
              </w:rPr>
              <w:t>NDC</w:t>
            </w:r>
          </w:p>
        </w:tc>
        <w:tc>
          <w:tcPr>
            <w:tcW w:w="5528" w:type="dxa"/>
          </w:tcPr>
          <w:p w14:paraId="7CD28C22" w14:textId="0EC04637" w:rsidR="00F6648C" w:rsidRPr="00B275E2" w:rsidRDefault="00F6648C" w:rsidP="00546E5C">
            <w:pPr>
              <w:pStyle w:val="Glossary"/>
              <w:tabs>
                <w:tab w:val="clear" w:pos="2835"/>
              </w:tabs>
              <w:spacing w:line="260" w:lineRule="atLeast"/>
            </w:pPr>
            <w:r w:rsidRPr="00B275E2">
              <w:t>Nationally determined contributions</w:t>
            </w:r>
            <w:r w:rsidR="000B6A8D" w:rsidRPr="00B275E2">
              <w:t xml:space="preserve"> under the Paris Agreement</w:t>
            </w:r>
          </w:p>
        </w:tc>
      </w:tr>
      <w:tr w:rsidR="00AD348A" w:rsidRPr="00B275E2" w14:paraId="55FE4D9A" w14:textId="77777777" w:rsidTr="00462B36">
        <w:tc>
          <w:tcPr>
            <w:tcW w:w="2977" w:type="dxa"/>
            <w:shd w:val="clear" w:color="auto" w:fill="auto"/>
          </w:tcPr>
          <w:p w14:paraId="5074C6C3" w14:textId="3771C5FF" w:rsidR="00AD348A" w:rsidRPr="00B275E2" w:rsidRDefault="00AD348A" w:rsidP="00546E5C">
            <w:pPr>
              <w:pStyle w:val="Glossary"/>
              <w:tabs>
                <w:tab w:val="clear" w:pos="2835"/>
              </w:tabs>
              <w:spacing w:line="260" w:lineRule="atLeast"/>
              <w:rPr>
                <w:b/>
                <w:bCs/>
              </w:rPr>
            </w:pPr>
            <w:r w:rsidRPr="00B275E2">
              <w:rPr>
                <w:b/>
                <w:bCs/>
              </w:rPr>
              <w:lastRenderedPageBreak/>
              <w:t>NF</w:t>
            </w:r>
            <w:r w:rsidRPr="00B275E2">
              <w:rPr>
                <w:b/>
                <w:bCs/>
                <w:vertAlign w:val="subscript"/>
              </w:rPr>
              <w:t>3</w:t>
            </w:r>
          </w:p>
        </w:tc>
        <w:tc>
          <w:tcPr>
            <w:tcW w:w="5528" w:type="dxa"/>
          </w:tcPr>
          <w:p w14:paraId="2AFA0E2B" w14:textId="2F45AA58" w:rsidR="00AD348A" w:rsidRPr="00B275E2" w:rsidRDefault="00AD348A" w:rsidP="00546E5C">
            <w:pPr>
              <w:pStyle w:val="Glossary"/>
              <w:tabs>
                <w:tab w:val="clear" w:pos="2835"/>
              </w:tabs>
              <w:spacing w:line="260" w:lineRule="atLeast"/>
            </w:pPr>
            <w:r w:rsidRPr="00B275E2">
              <w:rPr>
                <w:rFonts w:eastAsia="Times New Roman"/>
                <w:shd w:val="clear" w:color="auto" w:fill="FFFFFF"/>
              </w:rPr>
              <w:t>Nitrogen trifluoride</w:t>
            </w:r>
          </w:p>
        </w:tc>
      </w:tr>
      <w:tr w:rsidR="00AD348A" w:rsidRPr="00B275E2" w14:paraId="323D1AA6" w14:textId="77777777" w:rsidTr="00462B36">
        <w:tc>
          <w:tcPr>
            <w:tcW w:w="2977" w:type="dxa"/>
            <w:shd w:val="clear" w:color="auto" w:fill="auto"/>
          </w:tcPr>
          <w:p w14:paraId="76E5122A" w14:textId="54CDDE67" w:rsidR="00AD348A" w:rsidRPr="00B275E2" w:rsidRDefault="00AD348A" w:rsidP="00546E5C">
            <w:pPr>
              <w:pStyle w:val="Glossary"/>
              <w:tabs>
                <w:tab w:val="clear" w:pos="2835"/>
              </w:tabs>
              <w:spacing w:line="260" w:lineRule="atLeast"/>
              <w:rPr>
                <w:b/>
                <w:bCs/>
              </w:rPr>
            </w:pPr>
            <w:r w:rsidRPr="00B275E2">
              <w:rPr>
                <w:b/>
                <w:bCs/>
              </w:rPr>
              <w:t>N</w:t>
            </w:r>
            <w:r w:rsidRPr="00B275E2">
              <w:rPr>
                <w:b/>
                <w:bCs/>
                <w:vertAlign w:val="subscript"/>
              </w:rPr>
              <w:t>2</w:t>
            </w:r>
            <w:r w:rsidRPr="00B275E2">
              <w:rPr>
                <w:b/>
                <w:bCs/>
              </w:rPr>
              <w:t>O</w:t>
            </w:r>
          </w:p>
        </w:tc>
        <w:tc>
          <w:tcPr>
            <w:tcW w:w="5528" w:type="dxa"/>
          </w:tcPr>
          <w:p w14:paraId="4CF6C700" w14:textId="592A85A9" w:rsidR="00AD348A" w:rsidRPr="00B275E2" w:rsidRDefault="00AD348A" w:rsidP="00546E5C">
            <w:pPr>
              <w:pStyle w:val="Glossary"/>
              <w:tabs>
                <w:tab w:val="clear" w:pos="2835"/>
              </w:tabs>
              <w:spacing w:line="260" w:lineRule="atLeast"/>
            </w:pPr>
            <w:r w:rsidRPr="00B275E2">
              <w:rPr>
                <w:rFonts w:eastAsia="Times New Roman"/>
              </w:rPr>
              <w:t>Nitrous oxide</w:t>
            </w:r>
          </w:p>
        </w:tc>
      </w:tr>
      <w:tr w:rsidR="002160A8" w:rsidRPr="00B275E2" w14:paraId="3D90AB52" w14:textId="77777777" w:rsidTr="00462B36">
        <w:tc>
          <w:tcPr>
            <w:tcW w:w="2977" w:type="dxa"/>
            <w:shd w:val="clear" w:color="auto" w:fill="auto"/>
          </w:tcPr>
          <w:p w14:paraId="7A74EC94" w14:textId="2796C052" w:rsidR="002160A8" w:rsidRPr="00B275E2" w:rsidRDefault="002160A8" w:rsidP="00546E5C">
            <w:pPr>
              <w:pStyle w:val="Glossary"/>
              <w:tabs>
                <w:tab w:val="clear" w:pos="2835"/>
              </w:tabs>
              <w:spacing w:line="260" w:lineRule="atLeast"/>
              <w:rPr>
                <w:b/>
                <w:bCs/>
              </w:rPr>
            </w:pPr>
            <w:r w:rsidRPr="00B275E2">
              <w:rPr>
                <w:b/>
                <w:bCs/>
              </w:rPr>
              <w:t>NZ ETS</w:t>
            </w:r>
          </w:p>
        </w:tc>
        <w:tc>
          <w:tcPr>
            <w:tcW w:w="5528" w:type="dxa"/>
          </w:tcPr>
          <w:p w14:paraId="72A4F67A" w14:textId="37AAEC5D" w:rsidR="002160A8" w:rsidRPr="00B275E2" w:rsidRDefault="002160A8" w:rsidP="00546E5C">
            <w:pPr>
              <w:pStyle w:val="Glossary"/>
              <w:tabs>
                <w:tab w:val="clear" w:pos="2835"/>
              </w:tabs>
              <w:spacing w:line="260" w:lineRule="atLeast"/>
            </w:pPr>
            <w:r w:rsidRPr="00B275E2">
              <w:rPr>
                <w:rFonts w:eastAsia="Times New Roman"/>
                <w:spacing w:val="-2"/>
              </w:rPr>
              <w:t>New Zealand Emissions Trading Scheme</w:t>
            </w:r>
          </w:p>
        </w:tc>
      </w:tr>
      <w:tr w:rsidR="00264E7F" w:rsidRPr="00B275E2" w14:paraId="2FE03413" w14:textId="77777777" w:rsidTr="00462B36">
        <w:tc>
          <w:tcPr>
            <w:tcW w:w="2977" w:type="dxa"/>
            <w:shd w:val="clear" w:color="auto" w:fill="auto"/>
          </w:tcPr>
          <w:p w14:paraId="12FD7CBF" w14:textId="75DD995E" w:rsidR="00264E7F" w:rsidRPr="00B275E2" w:rsidRDefault="00264E7F" w:rsidP="00546E5C">
            <w:pPr>
              <w:pStyle w:val="Glossary"/>
              <w:tabs>
                <w:tab w:val="clear" w:pos="2835"/>
              </w:tabs>
              <w:spacing w:line="260" w:lineRule="atLeast"/>
              <w:rPr>
                <w:b/>
                <w:bCs/>
              </w:rPr>
            </w:pPr>
            <w:r w:rsidRPr="00B275E2">
              <w:rPr>
                <w:b/>
                <w:bCs/>
              </w:rPr>
              <w:t>NZTA</w:t>
            </w:r>
          </w:p>
        </w:tc>
        <w:tc>
          <w:tcPr>
            <w:tcW w:w="5528" w:type="dxa"/>
          </w:tcPr>
          <w:p w14:paraId="21A7727F" w14:textId="75B11BEE" w:rsidR="00264E7F" w:rsidRPr="00B275E2" w:rsidRDefault="00264E7F" w:rsidP="00546E5C">
            <w:pPr>
              <w:pStyle w:val="Glossary"/>
              <w:tabs>
                <w:tab w:val="clear" w:pos="2835"/>
              </w:tabs>
              <w:spacing w:line="260" w:lineRule="atLeast"/>
            </w:pPr>
            <w:r w:rsidRPr="00B275E2">
              <w:t>Waka Kotahi New Zealand Transport Agency</w:t>
            </w:r>
          </w:p>
        </w:tc>
      </w:tr>
      <w:tr w:rsidR="003B2D15" w:rsidRPr="00B275E2" w14:paraId="779346EA" w14:textId="77777777" w:rsidTr="00462B36">
        <w:tc>
          <w:tcPr>
            <w:tcW w:w="2977" w:type="dxa"/>
            <w:shd w:val="clear" w:color="auto" w:fill="auto"/>
          </w:tcPr>
          <w:p w14:paraId="2E290A1C" w14:textId="404E759F" w:rsidR="003B2D15" w:rsidRPr="00B275E2" w:rsidRDefault="003B2D15" w:rsidP="00546E5C">
            <w:pPr>
              <w:pStyle w:val="Glossary"/>
              <w:tabs>
                <w:tab w:val="clear" w:pos="2835"/>
              </w:tabs>
              <w:spacing w:line="260" w:lineRule="atLeast"/>
              <w:rPr>
                <w:b/>
                <w:bCs/>
              </w:rPr>
            </w:pPr>
            <w:r w:rsidRPr="00B275E2">
              <w:rPr>
                <w:b/>
                <w:bCs/>
              </w:rPr>
              <w:t>ODS</w:t>
            </w:r>
          </w:p>
        </w:tc>
        <w:tc>
          <w:tcPr>
            <w:tcW w:w="5528" w:type="dxa"/>
          </w:tcPr>
          <w:p w14:paraId="7775A6F7" w14:textId="63CB7B9E" w:rsidR="003B2D15" w:rsidRPr="00B275E2" w:rsidRDefault="003B2D15" w:rsidP="00546E5C">
            <w:pPr>
              <w:pStyle w:val="Glossary"/>
              <w:tabs>
                <w:tab w:val="clear" w:pos="2835"/>
              </w:tabs>
              <w:spacing w:line="260" w:lineRule="atLeast"/>
            </w:pPr>
            <w:r w:rsidRPr="00B275E2">
              <w:t>Ozone-depleting substances</w:t>
            </w:r>
          </w:p>
        </w:tc>
      </w:tr>
      <w:tr w:rsidR="00BD5274" w:rsidRPr="00B275E2" w14:paraId="4925F8AC" w14:textId="77777777" w:rsidTr="00462B36">
        <w:tc>
          <w:tcPr>
            <w:tcW w:w="2977" w:type="dxa"/>
            <w:shd w:val="clear" w:color="auto" w:fill="auto"/>
          </w:tcPr>
          <w:p w14:paraId="5776784F" w14:textId="77777777" w:rsidR="00BD5274" w:rsidRPr="00B275E2" w:rsidRDefault="00BD5274" w:rsidP="00546E5C">
            <w:pPr>
              <w:pStyle w:val="Glossary"/>
              <w:tabs>
                <w:tab w:val="clear" w:pos="2835"/>
              </w:tabs>
              <w:spacing w:line="260" w:lineRule="atLeast"/>
              <w:rPr>
                <w:b/>
                <w:bCs/>
              </w:rPr>
            </w:pPr>
            <w:r w:rsidRPr="00B275E2">
              <w:rPr>
                <w:b/>
                <w:bCs/>
              </w:rPr>
              <w:t>Organisational boundary</w:t>
            </w:r>
          </w:p>
        </w:tc>
        <w:tc>
          <w:tcPr>
            <w:tcW w:w="5528" w:type="dxa"/>
          </w:tcPr>
          <w:p w14:paraId="76F2514D" w14:textId="4373A3AB" w:rsidR="00BD5274" w:rsidRPr="00B275E2" w:rsidRDefault="00BD5274" w:rsidP="00546E5C">
            <w:pPr>
              <w:pStyle w:val="Glossary"/>
              <w:tabs>
                <w:tab w:val="clear" w:pos="2835"/>
              </w:tabs>
              <w:spacing w:line="260" w:lineRule="atLeast"/>
            </w:pPr>
            <w:r w:rsidRPr="00B275E2">
              <w:t>The boundary of the organisation as it applies to measurement of GHG emissions. This typically aligns with legal and/or organisational structure; a financial boundary must be drawn within this too</w:t>
            </w:r>
          </w:p>
        </w:tc>
      </w:tr>
      <w:tr w:rsidR="00BD5274" w:rsidRPr="00B275E2" w14:paraId="55C301A2" w14:textId="77777777" w:rsidTr="00462B36">
        <w:tc>
          <w:tcPr>
            <w:tcW w:w="2977" w:type="dxa"/>
            <w:shd w:val="clear" w:color="auto" w:fill="auto"/>
          </w:tcPr>
          <w:p w14:paraId="5AC35904" w14:textId="77777777" w:rsidR="00BD5274" w:rsidRPr="00B275E2" w:rsidRDefault="00BD5274" w:rsidP="00546E5C">
            <w:pPr>
              <w:pStyle w:val="Glossary"/>
              <w:tabs>
                <w:tab w:val="clear" w:pos="2835"/>
              </w:tabs>
              <w:spacing w:line="260" w:lineRule="atLeast"/>
              <w:rPr>
                <w:b/>
                <w:bCs/>
              </w:rPr>
            </w:pPr>
            <w:r w:rsidRPr="00B275E2">
              <w:rPr>
                <w:b/>
                <w:bCs/>
              </w:rPr>
              <w:t>OVERSEER</w:t>
            </w:r>
          </w:p>
        </w:tc>
        <w:tc>
          <w:tcPr>
            <w:tcW w:w="5528" w:type="dxa"/>
          </w:tcPr>
          <w:p w14:paraId="133AE72A" w14:textId="42932909" w:rsidR="00BD5274" w:rsidRPr="00B275E2" w:rsidRDefault="00BD5274" w:rsidP="00546E5C">
            <w:pPr>
              <w:pStyle w:val="Glossary"/>
              <w:tabs>
                <w:tab w:val="clear" w:pos="2835"/>
              </w:tabs>
              <w:spacing w:line="260" w:lineRule="atLeast"/>
            </w:pPr>
            <w:r w:rsidRPr="00B275E2">
              <w:t>A New Zealand software platform that enables farmers and growers to estimate and improve nutrient use on farms</w:t>
            </w:r>
          </w:p>
        </w:tc>
      </w:tr>
      <w:tr w:rsidR="00DD2F7C" w:rsidRPr="00B275E2" w14:paraId="443C65DC" w14:textId="77777777" w:rsidTr="00462B36">
        <w:tc>
          <w:tcPr>
            <w:tcW w:w="2977" w:type="dxa"/>
            <w:shd w:val="clear" w:color="auto" w:fill="auto"/>
          </w:tcPr>
          <w:p w14:paraId="128A174F" w14:textId="57C12EED" w:rsidR="00DD2F7C" w:rsidRPr="00B275E2" w:rsidRDefault="00DD2F7C" w:rsidP="00546E5C">
            <w:pPr>
              <w:pStyle w:val="Glossary"/>
              <w:tabs>
                <w:tab w:val="clear" w:pos="2835"/>
              </w:tabs>
              <w:spacing w:line="260" w:lineRule="atLeast"/>
              <w:rPr>
                <w:b/>
                <w:bCs/>
              </w:rPr>
            </w:pPr>
            <w:r w:rsidRPr="00B275E2">
              <w:rPr>
                <w:b/>
                <w:bCs/>
              </w:rPr>
              <w:t>PFC</w:t>
            </w:r>
          </w:p>
        </w:tc>
        <w:tc>
          <w:tcPr>
            <w:tcW w:w="5528" w:type="dxa"/>
          </w:tcPr>
          <w:p w14:paraId="56ACF4E9" w14:textId="6DB5558F" w:rsidR="00DD2F7C" w:rsidRPr="00B275E2" w:rsidRDefault="00070FD4" w:rsidP="00546E5C">
            <w:pPr>
              <w:pStyle w:val="Glossary"/>
              <w:tabs>
                <w:tab w:val="clear" w:pos="2835"/>
              </w:tabs>
              <w:spacing w:line="260" w:lineRule="atLeast"/>
            </w:pPr>
            <w:r w:rsidRPr="00B275E2">
              <w:t>Perfluorocarbon</w:t>
            </w:r>
          </w:p>
        </w:tc>
      </w:tr>
      <w:tr w:rsidR="00BD5274" w:rsidRPr="00B275E2" w14:paraId="5BA29CF4" w14:textId="77777777" w:rsidTr="00462B36">
        <w:tc>
          <w:tcPr>
            <w:tcW w:w="2977" w:type="dxa"/>
            <w:shd w:val="clear" w:color="auto" w:fill="auto"/>
          </w:tcPr>
          <w:p w14:paraId="352299B7" w14:textId="77777777" w:rsidR="00BD5274" w:rsidRPr="00B275E2" w:rsidRDefault="00BD5274" w:rsidP="00546E5C">
            <w:pPr>
              <w:pStyle w:val="Glossary"/>
              <w:tabs>
                <w:tab w:val="clear" w:pos="2835"/>
              </w:tabs>
              <w:spacing w:line="260" w:lineRule="atLeast"/>
              <w:rPr>
                <w:b/>
                <w:bCs/>
              </w:rPr>
            </w:pPr>
            <w:r w:rsidRPr="00B275E2">
              <w:rPr>
                <w:b/>
                <w:bCs/>
              </w:rPr>
              <w:t>PHEV</w:t>
            </w:r>
          </w:p>
        </w:tc>
        <w:tc>
          <w:tcPr>
            <w:tcW w:w="5528" w:type="dxa"/>
          </w:tcPr>
          <w:p w14:paraId="0B6FD09C" w14:textId="6353B77B" w:rsidR="00BD5274" w:rsidRPr="00B275E2" w:rsidRDefault="00BD5274" w:rsidP="00546E5C">
            <w:pPr>
              <w:pStyle w:val="Glossary"/>
              <w:tabs>
                <w:tab w:val="clear" w:pos="2835"/>
              </w:tabs>
              <w:spacing w:line="260" w:lineRule="atLeast"/>
            </w:pPr>
            <w:r w:rsidRPr="00B275E2">
              <w:t>Plug-in hybrid electric vehicle</w:t>
            </w:r>
          </w:p>
        </w:tc>
      </w:tr>
      <w:tr w:rsidR="00BD5274" w:rsidRPr="00B275E2" w14:paraId="5D7789F5" w14:textId="77777777" w:rsidTr="00462B36">
        <w:tc>
          <w:tcPr>
            <w:tcW w:w="2977" w:type="dxa"/>
            <w:shd w:val="clear" w:color="auto" w:fill="auto"/>
          </w:tcPr>
          <w:p w14:paraId="37DCFB7B" w14:textId="651934CD" w:rsidR="00BD5274" w:rsidRPr="00B275E2" w:rsidRDefault="00470B91" w:rsidP="00546E5C">
            <w:pPr>
              <w:pStyle w:val="Glossary"/>
              <w:tabs>
                <w:tab w:val="clear" w:pos="2835"/>
              </w:tabs>
              <w:spacing w:line="260" w:lineRule="atLeast"/>
              <w:rPr>
                <w:b/>
                <w:bCs/>
              </w:rPr>
            </w:pPr>
            <w:r w:rsidRPr="00B275E2">
              <w:rPr>
                <w:b/>
                <w:bCs/>
              </w:rPr>
              <w:t>pk</w:t>
            </w:r>
            <w:r w:rsidR="00BD5274" w:rsidRPr="00B275E2">
              <w:rPr>
                <w:b/>
                <w:bCs/>
              </w:rPr>
              <w:t>m</w:t>
            </w:r>
          </w:p>
        </w:tc>
        <w:tc>
          <w:tcPr>
            <w:tcW w:w="5528" w:type="dxa"/>
          </w:tcPr>
          <w:p w14:paraId="33A85FFF" w14:textId="1E7998E6" w:rsidR="00BD5274" w:rsidRPr="00B275E2" w:rsidRDefault="00BD5274" w:rsidP="00546E5C">
            <w:pPr>
              <w:pStyle w:val="Glossary"/>
              <w:tabs>
                <w:tab w:val="clear" w:pos="2835"/>
              </w:tabs>
              <w:spacing w:line="260" w:lineRule="atLeast"/>
            </w:pPr>
            <w:r w:rsidRPr="00B275E2">
              <w:t>Passenger-kilometre (unit of measure for transport)</w:t>
            </w:r>
          </w:p>
        </w:tc>
      </w:tr>
      <w:tr w:rsidR="00BD5274" w:rsidRPr="00B275E2" w14:paraId="074C0CE1" w14:textId="77777777" w:rsidTr="00462B36">
        <w:tc>
          <w:tcPr>
            <w:tcW w:w="2977" w:type="dxa"/>
            <w:shd w:val="clear" w:color="auto" w:fill="auto"/>
          </w:tcPr>
          <w:p w14:paraId="086C23E5" w14:textId="77777777" w:rsidR="00BD5274" w:rsidRPr="00B275E2" w:rsidRDefault="00BD5274" w:rsidP="00546E5C">
            <w:pPr>
              <w:pStyle w:val="Glossary"/>
              <w:tabs>
                <w:tab w:val="clear" w:pos="2835"/>
              </w:tabs>
              <w:spacing w:line="260" w:lineRule="atLeast"/>
              <w:rPr>
                <w:b/>
                <w:bCs/>
              </w:rPr>
            </w:pPr>
            <w:r w:rsidRPr="00B275E2">
              <w:rPr>
                <w:b/>
                <w:bCs/>
              </w:rPr>
              <w:t>Radiative forcing</w:t>
            </w:r>
          </w:p>
        </w:tc>
        <w:tc>
          <w:tcPr>
            <w:tcW w:w="5528" w:type="dxa"/>
          </w:tcPr>
          <w:p w14:paraId="37A9C735" w14:textId="38267F2F" w:rsidR="00BD5274" w:rsidRPr="00B275E2" w:rsidRDefault="00BD5274" w:rsidP="00546E5C">
            <w:pPr>
              <w:pStyle w:val="Glossary"/>
              <w:tabs>
                <w:tab w:val="clear" w:pos="2835"/>
              </w:tabs>
              <w:spacing w:line="260" w:lineRule="atLeast"/>
            </w:pPr>
            <w:r w:rsidRPr="00B275E2">
              <w:t>The difference between solar energy absorbed by the Earth and that radiated back to space. Human activity has impacts which alter radiative forcing</w:t>
            </w:r>
          </w:p>
        </w:tc>
      </w:tr>
      <w:tr w:rsidR="00BD5274" w:rsidRPr="00B275E2" w14:paraId="2C09E121" w14:textId="77777777" w:rsidTr="00462B36">
        <w:tc>
          <w:tcPr>
            <w:tcW w:w="2977" w:type="dxa"/>
            <w:shd w:val="clear" w:color="auto" w:fill="auto"/>
          </w:tcPr>
          <w:p w14:paraId="0B96D84D" w14:textId="77777777" w:rsidR="00BD5274" w:rsidRPr="00B275E2" w:rsidRDefault="00BD5274" w:rsidP="00546E5C">
            <w:pPr>
              <w:pStyle w:val="Glossary"/>
              <w:tabs>
                <w:tab w:val="clear" w:pos="2835"/>
              </w:tabs>
              <w:spacing w:line="260" w:lineRule="atLeast"/>
              <w:rPr>
                <w:b/>
                <w:bCs/>
              </w:rPr>
            </w:pPr>
            <w:r w:rsidRPr="00B275E2">
              <w:rPr>
                <w:b/>
                <w:bCs/>
              </w:rPr>
              <w:t>Refrigerants</w:t>
            </w:r>
          </w:p>
        </w:tc>
        <w:tc>
          <w:tcPr>
            <w:tcW w:w="5528" w:type="dxa"/>
          </w:tcPr>
          <w:p w14:paraId="34F4BD2B" w14:textId="77777777" w:rsidR="00BD5274" w:rsidRPr="00B275E2" w:rsidRDefault="00BD5274" w:rsidP="00546E5C">
            <w:pPr>
              <w:pStyle w:val="Glossary"/>
              <w:tabs>
                <w:tab w:val="clear" w:pos="2835"/>
              </w:tabs>
              <w:spacing w:line="260" w:lineRule="atLeast"/>
            </w:pPr>
            <w:r w:rsidRPr="00B275E2">
              <w:t>A substance or mixture used in a heat pump and refrigeration cycle</w:t>
            </w:r>
          </w:p>
        </w:tc>
      </w:tr>
      <w:tr w:rsidR="00BD5274" w:rsidRPr="00B275E2" w14:paraId="2296A4A9" w14:textId="77777777" w:rsidTr="00462B36">
        <w:tc>
          <w:tcPr>
            <w:tcW w:w="2977" w:type="dxa"/>
            <w:shd w:val="clear" w:color="auto" w:fill="auto"/>
          </w:tcPr>
          <w:p w14:paraId="7DDB898D" w14:textId="1A7D7381" w:rsidR="00BD5274" w:rsidRPr="00B275E2" w:rsidRDefault="00BD5274" w:rsidP="00546E5C">
            <w:pPr>
              <w:pStyle w:val="Glossary"/>
              <w:tabs>
                <w:tab w:val="clear" w:pos="2835"/>
              </w:tabs>
              <w:spacing w:line="260" w:lineRule="atLeast"/>
              <w:rPr>
                <w:b/>
                <w:bCs/>
              </w:rPr>
            </w:pPr>
            <w:r w:rsidRPr="00B275E2">
              <w:rPr>
                <w:b/>
                <w:bCs/>
              </w:rPr>
              <w:t>Removals</w:t>
            </w:r>
          </w:p>
        </w:tc>
        <w:tc>
          <w:tcPr>
            <w:tcW w:w="5528" w:type="dxa"/>
          </w:tcPr>
          <w:p w14:paraId="6A38DD82" w14:textId="59C4DF99" w:rsidR="00BD5274" w:rsidRPr="00B275E2" w:rsidRDefault="00BD5274" w:rsidP="00546E5C">
            <w:pPr>
              <w:pStyle w:val="Glossary"/>
              <w:tabs>
                <w:tab w:val="clear" w:pos="2835"/>
              </w:tabs>
              <w:spacing w:line="260" w:lineRule="atLeast"/>
            </w:pPr>
            <w:r w:rsidRPr="00B275E2">
              <w:t>Withdrawal of a GHG from the atmosphere by GHG sinks</w:t>
            </w:r>
          </w:p>
        </w:tc>
      </w:tr>
      <w:tr w:rsidR="00C92EF7" w:rsidRPr="00B275E2" w14:paraId="2A7052AF" w14:textId="77777777" w:rsidTr="00462B36">
        <w:tc>
          <w:tcPr>
            <w:tcW w:w="2977" w:type="dxa"/>
            <w:shd w:val="clear" w:color="auto" w:fill="auto"/>
          </w:tcPr>
          <w:p w14:paraId="3A577E98" w14:textId="77777777" w:rsidR="00C92EF7" w:rsidRPr="00B275E2" w:rsidRDefault="00C92EF7" w:rsidP="00546E5C">
            <w:pPr>
              <w:pStyle w:val="Glossary"/>
              <w:tabs>
                <w:tab w:val="clear" w:pos="2835"/>
              </w:tabs>
              <w:spacing w:line="260" w:lineRule="atLeast"/>
              <w:rPr>
                <w:b/>
                <w:bCs/>
              </w:rPr>
            </w:pPr>
            <w:r w:rsidRPr="00B275E2">
              <w:rPr>
                <w:b/>
                <w:bCs/>
              </w:rPr>
              <w:t>Reporting boundary</w:t>
            </w:r>
          </w:p>
        </w:tc>
        <w:tc>
          <w:tcPr>
            <w:tcW w:w="5528" w:type="dxa"/>
          </w:tcPr>
          <w:p w14:paraId="49A06C87" w14:textId="0AA0A701" w:rsidR="00C92EF7" w:rsidRPr="00B275E2" w:rsidRDefault="00C92EF7" w:rsidP="00546E5C">
            <w:pPr>
              <w:pStyle w:val="Glossary"/>
              <w:tabs>
                <w:tab w:val="clear" w:pos="2835"/>
              </w:tabs>
              <w:spacing w:line="260" w:lineRule="atLeast"/>
            </w:pPr>
            <w:r w:rsidRPr="00B275E2">
              <w:t>The emission sources included within an organisation’s operations, including direct and indirect emission sources. It includes choosing which indirect emission sources to report</w:t>
            </w:r>
          </w:p>
        </w:tc>
      </w:tr>
      <w:tr w:rsidR="00BD5274" w:rsidRPr="00B275E2" w14:paraId="2BB45D98" w14:textId="77777777" w:rsidTr="00462B36">
        <w:tc>
          <w:tcPr>
            <w:tcW w:w="2977" w:type="dxa"/>
            <w:shd w:val="clear" w:color="auto" w:fill="auto"/>
          </w:tcPr>
          <w:p w14:paraId="120E85E9" w14:textId="77777777" w:rsidR="00BD5274" w:rsidRPr="00B275E2" w:rsidRDefault="00BD5274" w:rsidP="00546E5C">
            <w:pPr>
              <w:pStyle w:val="Glossary"/>
              <w:tabs>
                <w:tab w:val="clear" w:pos="2835"/>
              </w:tabs>
              <w:spacing w:line="260" w:lineRule="atLeast"/>
              <w:rPr>
                <w:b/>
                <w:bCs/>
              </w:rPr>
            </w:pPr>
            <w:r w:rsidRPr="00B275E2">
              <w:rPr>
                <w:b/>
                <w:bCs/>
              </w:rPr>
              <w:t>Reticulated gas</w:t>
            </w:r>
          </w:p>
        </w:tc>
        <w:tc>
          <w:tcPr>
            <w:tcW w:w="5528" w:type="dxa"/>
          </w:tcPr>
          <w:p w14:paraId="5233E3BB" w14:textId="559E2266" w:rsidR="00BD5274" w:rsidRPr="00B275E2" w:rsidRDefault="00BD5274" w:rsidP="00546E5C">
            <w:pPr>
              <w:pStyle w:val="Glossary"/>
              <w:tabs>
                <w:tab w:val="clear" w:pos="2835"/>
              </w:tabs>
              <w:spacing w:line="260" w:lineRule="atLeast"/>
            </w:pPr>
            <w:r w:rsidRPr="00B275E2">
              <w:t>A piped gas system to deliver a gas such as LPG or natural gas to a</w:t>
            </w:r>
            <w:r w:rsidR="006F53F2" w:rsidRPr="00B275E2">
              <w:t> </w:t>
            </w:r>
            <w:r w:rsidRPr="00B275E2">
              <w:t>consumer</w:t>
            </w:r>
          </w:p>
        </w:tc>
      </w:tr>
      <w:tr w:rsidR="00BD5274" w:rsidRPr="00B275E2" w14:paraId="0DD01FEC" w14:textId="77777777" w:rsidTr="00462B36">
        <w:tc>
          <w:tcPr>
            <w:tcW w:w="2977" w:type="dxa"/>
            <w:shd w:val="clear" w:color="auto" w:fill="auto"/>
          </w:tcPr>
          <w:p w14:paraId="41774FD5" w14:textId="77777777" w:rsidR="00BD5274" w:rsidRPr="00B275E2" w:rsidRDefault="00BD5274" w:rsidP="00546E5C">
            <w:pPr>
              <w:pStyle w:val="Glossary"/>
              <w:tabs>
                <w:tab w:val="clear" w:pos="2835"/>
              </w:tabs>
              <w:spacing w:line="260" w:lineRule="atLeast"/>
              <w:rPr>
                <w:b/>
                <w:bCs/>
              </w:rPr>
            </w:pPr>
            <w:r w:rsidRPr="00B275E2">
              <w:rPr>
                <w:b/>
                <w:bCs/>
              </w:rPr>
              <w:t>Scope</w:t>
            </w:r>
          </w:p>
        </w:tc>
        <w:tc>
          <w:tcPr>
            <w:tcW w:w="5528" w:type="dxa"/>
          </w:tcPr>
          <w:p w14:paraId="193E8063" w14:textId="25CAA47F" w:rsidR="00BD5274" w:rsidRPr="00B275E2" w:rsidRDefault="00BD5274" w:rsidP="00546E5C">
            <w:pPr>
              <w:pStyle w:val="Glossary"/>
              <w:tabs>
                <w:tab w:val="clear" w:pos="2835"/>
              </w:tabs>
              <w:spacing w:line="260" w:lineRule="atLeast"/>
            </w:pPr>
            <w:r w:rsidRPr="00B275E2">
              <w:t>Emission sources are categorised by Scope to manage risks and impacts of double counting. There are three scopes in greenhouse gas reporting: Scope 1 (direct emissions), Scope 2 (energy indirect emissions) and Scope 3 (other indirect emissions)</w:t>
            </w:r>
          </w:p>
        </w:tc>
      </w:tr>
      <w:tr w:rsidR="00AD348A" w:rsidRPr="00B275E2" w14:paraId="707FEC28" w14:textId="77777777" w:rsidTr="00462B36">
        <w:tc>
          <w:tcPr>
            <w:tcW w:w="2977" w:type="dxa"/>
            <w:shd w:val="clear" w:color="auto" w:fill="auto"/>
          </w:tcPr>
          <w:p w14:paraId="512564FC" w14:textId="13E7EF8B" w:rsidR="00AD348A" w:rsidRPr="00B275E2" w:rsidRDefault="00AD348A" w:rsidP="00546E5C">
            <w:pPr>
              <w:pStyle w:val="Glossary"/>
              <w:tabs>
                <w:tab w:val="clear" w:pos="2835"/>
              </w:tabs>
              <w:spacing w:line="260" w:lineRule="atLeast"/>
              <w:rPr>
                <w:b/>
                <w:bCs/>
              </w:rPr>
            </w:pPr>
            <w:r w:rsidRPr="00B275E2">
              <w:rPr>
                <w:b/>
                <w:bCs/>
              </w:rPr>
              <w:t>SF</w:t>
            </w:r>
            <w:r w:rsidRPr="00B275E2">
              <w:rPr>
                <w:b/>
                <w:bCs/>
                <w:vertAlign w:val="subscript"/>
              </w:rPr>
              <w:t>6</w:t>
            </w:r>
          </w:p>
        </w:tc>
        <w:tc>
          <w:tcPr>
            <w:tcW w:w="5528" w:type="dxa"/>
          </w:tcPr>
          <w:p w14:paraId="22A008D7" w14:textId="26866EF1" w:rsidR="00AD348A" w:rsidRPr="00B275E2" w:rsidRDefault="00AD348A" w:rsidP="00546E5C">
            <w:pPr>
              <w:pStyle w:val="Glossary"/>
              <w:tabs>
                <w:tab w:val="clear" w:pos="2835"/>
              </w:tabs>
              <w:spacing w:line="260" w:lineRule="atLeast"/>
            </w:pPr>
            <w:r w:rsidRPr="00B275E2">
              <w:rPr>
                <w:rFonts w:eastAsia="Times New Roman"/>
                <w:shd w:val="clear" w:color="auto" w:fill="FFFFFF"/>
              </w:rPr>
              <w:t>Sulphur hexafluoride</w:t>
            </w:r>
          </w:p>
        </w:tc>
      </w:tr>
      <w:tr w:rsidR="00BD5274" w:rsidRPr="00B275E2" w14:paraId="142EAFA4" w14:textId="77777777" w:rsidTr="00462B36">
        <w:tc>
          <w:tcPr>
            <w:tcW w:w="2977" w:type="dxa"/>
            <w:shd w:val="clear" w:color="auto" w:fill="auto"/>
          </w:tcPr>
          <w:p w14:paraId="04655EEE" w14:textId="77777777" w:rsidR="00BD5274" w:rsidRPr="00B275E2" w:rsidRDefault="00BD5274" w:rsidP="00546E5C">
            <w:pPr>
              <w:pStyle w:val="Glossary"/>
              <w:tabs>
                <w:tab w:val="clear" w:pos="2835"/>
              </w:tabs>
              <w:spacing w:line="260" w:lineRule="atLeast"/>
              <w:rPr>
                <w:b/>
                <w:bCs/>
              </w:rPr>
            </w:pPr>
            <w:r w:rsidRPr="00B275E2">
              <w:rPr>
                <w:b/>
                <w:bCs/>
              </w:rPr>
              <w:t>Stationary combustion fuel</w:t>
            </w:r>
          </w:p>
        </w:tc>
        <w:tc>
          <w:tcPr>
            <w:tcW w:w="5528" w:type="dxa"/>
          </w:tcPr>
          <w:p w14:paraId="3FF77ACC" w14:textId="274CC788" w:rsidR="00BD5274" w:rsidRPr="00B275E2" w:rsidRDefault="00BD5274" w:rsidP="00546E5C">
            <w:pPr>
              <w:pStyle w:val="Glossary"/>
              <w:tabs>
                <w:tab w:val="clear" w:pos="2835"/>
              </w:tabs>
              <w:spacing w:line="260" w:lineRule="atLeast"/>
            </w:pPr>
            <w:r w:rsidRPr="00B275E2">
              <w:t>Fuel used in an unmoving engine eg, a power plant or boiler</w:t>
            </w:r>
          </w:p>
        </w:tc>
      </w:tr>
      <w:tr w:rsidR="00831325" w:rsidRPr="00B275E2" w14:paraId="16631A27" w14:textId="77777777" w:rsidTr="00462B36">
        <w:tc>
          <w:tcPr>
            <w:tcW w:w="2977" w:type="dxa"/>
            <w:shd w:val="clear" w:color="auto" w:fill="auto"/>
          </w:tcPr>
          <w:p w14:paraId="220D48B2" w14:textId="4E843005" w:rsidR="00831325" w:rsidRPr="00B275E2" w:rsidRDefault="00831325" w:rsidP="00546E5C">
            <w:pPr>
              <w:pStyle w:val="Glossary"/>
              <w:tabs>
                <w:tab w:val="clear" w:pos="2835"/>
              </w:tabs>
              <w:spacing w:line="260" w:lineRule="atLeast"/>
              <w:rPr>
                <w:b/>
                <w:bCs/>
              </w:rPr>
            </w:pPr>
            <w:r w:rsidRPr="00B275E2">
              <w:rPr>
                <w:b/>
                <w:bCs/>
              </w:rPr>
              <w:t>TFCD</w:t>
            </w:r>
          </w:p>
        </w:tc>
        <w:tc>
          <w:tcPr>
            <w:tcW w:w="5528" w:type="dxa"/>
          </w:tcPr>
          <w:p w14:paraId="72AA9D57" w14:textId="6C89FE1E" w:rsidR="00831325" w:rsidRPr="00B275E2" w:rsidRDefault="00831325" w:rsidP="00546E5C">
            <w:pPr>
              <w:pStyle w:val="Glossary"/>
              <w:tabs>
                <w:tab w:val="clear" w:pos="2835"/>
              </w:tabs>
              <w:spacing w:line="260" w:lineRule="atLeast"/>
            </w:pPr>
            <w:r w:rsidRPr="00B275E2">
              <w:t>Task Force on Climate-related Financial Disclosures</w:t>
            </w:r>
          </w:p>
        </w:tc>
      </w:tr>
      <w:tr w:rsidR="00BD5274" w:rsidRPr="00B275E2" w14:paraId="55198DFC" w14:textId="77777777" w:rsidTr="00462B36">
        <w:tc>
          <w:tcPr>
            <w:tcW w:w="2977" w:type="dxa"/>
            <w:shd w:val="clear" w:color="auto" w:fill="auto"/>
          </w:tcPr>
          <w:p w14:paraId="4CCFA2F6" w14:textId="7BE252FA" w:rsidR="00BD5274" w:rsidRPr="00B275E2" w:rsidRDefault="00470B91" w:rsidP="00546E5C">
            <w:pPr>
              <w:pStyle w:val="Glossary"/>
              <w:tabs>
                <w:tab w:val="clear" w:pos="2835"/>
              </w:tabs>
              <w:spacing w:line="260" w:lineRule="atLeast"/>
              <w:rPr>
                <w:b/>
                <w:bCs/>
              </w:rPr>
            </w:pPr>
            <w:r w:rsidRPr="00B275E2">
              <w:rPr>
                <w:b/>
                <w:bCs/>
              </w:rPr>
              <w:t>tk</w:t>
            </w:r>
            <w:r w:rsidR="00BD5274" w:rsidRPr="00B275E2">
              <w:rPr>
                <w:b/>
                <w:bCs/>
              </w:rPr>
              <w:t>m</w:t>
            </w:r>
          </w:p>
        </w:tc>
        <w:tc>
          <w:tcPr>
            <w:tcW w:w="5528" w:type="dxa"/>
          </w:tcPr>
          <w:p w14:paraId="54AB9254" w14:textId="14E17C8A" w:rsidR="00BD5274" w:rsidRPr="00B275E2" w:rsidRDefault="00BD5274" w:rsidP="00546E5C">
            <w:pPr>
              <w:pStyle w:val="Glossary"/>
              <w:tabs>
                <w:tab w:val="clear" w:pos="2835"/>
              </w:tabs>
              <w:spacing w:line="260" w:lineRule="atLeast"/>
            </w:pPr>
            <w:r w:rsidRPr="00B275E2">
              <w:t>Tonne-kilometre (unit of measure for freight)</w:t>
            </w:r>
          </w:p>
        </w:tc>
      </w:tr>
      <w:tr w:rsidR="00030396" w:rsidRPr="00B275E2" w14:paraId="40C1BBA6" w14:textId="77777777" w:rsidTr="00462B36">
        <w:tc>
          <w:tcPr>
            <w:tcW w:w="2977" w:type="dxa"/>
            <w:shd w:val="clear" w:color="auto" w:fill="auto"/>
          </w:tcPr>
          <w:p w14:paraId="24007BE0" w14:textId="0837A7BA" w:rsidR="00030396" w:rsidRPr="00B275E2" w:rsidRDefault="00030396" w:rsidP="00546E5C">
            <w:pPr>
              <w:pStyle w:val="Glossary"/>
              <w:keepNext/>
              <w:tabs>
                <w:tab w:val="clear" w:pos="2835"/>
              </w:tabs>
              <w:spacing w:line="260" w:lineRule="atLeast"/>
              <w:rPr>
                <w:b/>
                <w:bCs/>
              </w:rPr>
            </w:pPr>
            <w:r w:rsidRPr="00B275E2">
              <w:rPr>
                <w:b/>
                <w:bCs/>
              </w:rPr>
              <w:t>Unique emission factor</w:t>
            </w:r>
          </w:p>
        </w:tc>
        <w:tc>
          <w:tcPr>
            <w:tcW w:w="5528" w:type="dxa"/>
          </w:tcPr>
          <w:p w14:paraId="419D0B27" w14:textId="77DE4FA4" w:rsidR="00030396" w:rsidRPr="00B275E2" w:rsidRDefault="00030396" w:rsidP="00546E5C">
            <w:pPr>
              <w:pStyle w:val="Glossary"/>
              <w:tabs>
                <w:tab w:val="clear" w:pos="2835"/>
              </w:tabs>
              <w:spacing w:line="260" w:lineRule="atLeast"/>
            </w:pPr>
            <w:r w:rsidRPr="00B275E2">
              <w:t>A value given to an activity based on how emissions intensive it is. Experienced professionals must verify a unique emission factor. See</w:t>
            </w:r>
            <w:r w:rsidR="00AE136E">
              <w:t> </w:t>
            </w:r>
            <w:r w:rsidRPr="00B275E2">
              <w:t>Climate Change (Unique Emission Factors) Regulations 2009 for</w:t>
            </w:r>
            <w:r w:rsidR="00AE136E">
              <w:t> </w:t>
            </w:r>
            <w:r w:rsidRPr="00B275E2">
              <w:t>further information</w:t>
            </w:r>
          </w:p>
        </w:tc>
      </w:tr>
      <w:tr w:rsidR="00030396" w:rsidRPr="00B275E2" w14:paraId="22A800D7" w14:textId="77777777" w:rsidTr="00462B36">
        <w:tc>
          <w:tcPr>
            <w:tcW w:w="2977" w:type="dxa"/>
            <w:shd w:val="clear" w:color="auto" w:fill="auto"/>
          </w:tcPr>
          <w:p w14:paraId="108CECA5" w14:textId="21A3C3A5" w:rsidR="00030396" w:rsidRPr="00B275E2" w:rsidRDefault="00030396" w:rsidP="00546E5C">
            <w:pPr>
              <w:pStyle w:val="Glossary"/>
              <w:tabs>
                <w:tab w:val="clear" w:pos="2835"/>
              </w:tabs>
              <w:spacing w:line="260" w:lineRule="atLeast"/>
              <w:rPr>
                <w:b/>
                <w:bCs/>
              </w:rPr>
            </w:pPr>
            <w:r w:rsidRPr="00B275E2">
              <w:rPr>
                <w:b/>
                <w:bCs/>
              </w:rPr>
              <w:t>Uplift factor</w:t>
            </w:r>
          </w:p>
        </w:tc>
        <w:tc>
          <w:tcPr>
            <w:tcW w:w="5528" w:type="dxa"/>
          </w:tcPr>
          <w:p w14:paraId="095F28AC" w14:textId="22955DF8" w:rsidR="00030396" w:rsidRPr="00B275E2" w:rsidRDefault="00030396" w:rsidP="00546E5C">
            <w:pPr>
              <w:pStyle w:val="Glossary"/>
              <w:tabs>
                <w:tab w:val="clear" w:pos="2835"/>
              </w:tabs>
              <w:spacing w:line="260" w:lineRule="atLeast"/>
            </w:pPr>
            <w:r w:rsidRPr="00B275E2">
              <w:t>Applied to take into account the combined ‘real-world’ effects on fuel consumption (such as non-direct flight paths)</w:t>
            </w:r>
          </w:p>
        </w:tc>
      </w:tr>
      <w:tr w:rsidR="00030396" w:rsidRPr="00B275E2" w14:paraId="6553CF35" w14:textId="77777777" w:rsidTr="00462B36">
        <w:tc>
          <w:tcPr>
            <w:tcW w:w="2977" w:type="dxa"/>
            <w:shd w:val="clear" w:color="auto" w:fill="auto"/>
          </w:tcPr>
          <w:p w14:paraId="3F6DD459" w14:textId="5742C271" w:rsidR="00030396" w:rsidRPr="00B275E2" w:rsidRDefault="00030396" w:rsidP="00546E5C">
            <w:pPr>
              <w:pStyle w:val="Glossary"/>
              <w:tabs>
                <w:tab w:val="clear" w:pos="2835"/>
              </w:tabs>
              <w:spacing w:line="260" w:lineRule="atLeast"/>
              <w:rPr>
                <w:b/>
                <w:bCs/>
              </w:rPr>
            </w:pPr>
            <w:r w:rsidRPr="00B275E2">
              <w:rPr>
                <w:b/>
                <w:bCs/>
                <w:spacing w:val="-2"/>
              </w:rPr>
              <w:t>VFEM</w:t>
            </w:r>
          </w:p>
        </w:tc>
        <w:tc>
          <w:tcPr>
            <w:tcW w:w="5528" w:type="dxa"/>
          </w:tcPr>
          <w:p w14:paraId="73783345" w14:textId="00A2B399" w:rsidR="00030396" w:rsidRPr="00B275E2" w:rsidRDefault="00030396" w:rsidP="00546E5C">
            <w:pPr>
              <w:pStyle w:val="Glossary"/>
              <w:tabs>
                <w:tab w:val="clear" w:pos="2835"/>
              </w:tabs>
              <w:spacing w:line="260" w:lineRule="atLeast"/>
            </w:pPr>
            <w:r w:rsidRPr="00B275E2">
              <w:rPr>
                <w:spacing w:val="-2"/>
              </w:rPr>
              <w:t>The 2019 Vehicle Fleet Emissions Model supplied by the Ministry of</w:t>
            </w:r>
            <w:r w:rsidR="00AE136E">
              <w:rPr>
                <w:spacing w:val="-2"/>
              </w:rPr>
              <w:t> </w:t>
            </w:r>
            <w:r w:rsidRPr="00B275E2">
              <w:rPr>
                <w:spacing w:val="-2"/>
              </w:rPr>
              <w:t>Transport</w:t>
            </w:r>
          </w:p>
        </w:tc>
      </w:tr>
    </w:tbl>
    <w:p w14:paraId="32EA30D0" w14:textId="071B0298" w:rsidR="00F7680D" w:rsidRPr="00B275E2" w:rsidRDefault="00F7680D" w:rsidP="00E17319">
      <w:pPr>
        <w:pStyle w:val="BodyText"/>
      </w:pPr>
    </w:p>
    <w:sectPr w:rsidR="00F7680D" w:rsidRPr="00B275E2" w:rsidSect="005010FC">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0F981F" w14:textId="77777777" w:rsidR="003A1FE8" w:rsidRDefault="003A1FE8" w:rsidP="0080531E">
      <w:r>
        <w:separator/>
      </w:r>
    </w:p>
    <w:p w14:paraId="664BD897" w14:textId="77777777" w:rsidR="003A1FE8" w:rsidRDefault="003A1FE8"/>
  </w:endnote>
  <w:endnote w:type="continuationSeparator" w:id="0">
    <w:p w14:paraId="38D42728" w14:textId="77777777" w:rsidR="003A1FE8" w:rsidRDefault="003A1FE8" w:rsidP="0080531E">
      <w:r>
        <w:continuationSeparator/>
      </w:r>
    </w:p>
    <w:p w14:paraId="3DEEFD87" w14:textId="77777777" w:rsidR="003A1FE8" w:rsidRDefault="003A1FE8"/>
  </w:endnote>
  <w:endnote w:type="continuationNotice" w:id="1">
    <w:p w14:paraId="316811FE" w14:textId="77777777" w:rsidR="003A1FE8" w:rsidRDefault="003A1F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932F1" w14:textId="77777777" w:rsidR="00DB5335" w:rsidRDefault="00DB5335" w:rsidP="00E65427">
    <w:pPr>
      <w:spacing w:before="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1873A" w14:textId="77777777" w:rsidR="00CD5654" w:rsidRDefault="00CD56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6AAA1" w14:textId="77777777" w:rsidR="00CD5654" w:rsidRDefault="00CD56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932F4" w14:textId="0D82E4D9" w:rsidR="00DB5335" w:rsidRDefault="00DB5335" w:rsidP="005010FC">
    <w:pPr>
      <w:pStyle w:val="Footereven"/>
    </w:pPr>
    <w:r w:rsidRPr="004F458A">
      <w:rPr>
        <w:b/>
      </w:rPr>
      <w:fldChar w:fldCharType="begin"/>
    </w:r>
    <w:r w:rsidRPr="004F458A">
      <w:instrText xml:space="preserve"> PAGE </w:instrText>
    </w:r>
    <w:r w:rsidRPr="004F458A">
      <w:rPr>
        <w:b/>
      </w:rPr>
      <w:fldChar w:fldCharType="separate"/>
    </w:r>
    <w:r>
      <w:rPr>
        <w:noProof/>
      </w:rPr>
      <w:t>58</w:t>
    </w:r>
    <w:r w:rsidRPr="004F458A">
      <w:rPr>
        <w:b/>
      </w:rPr>
      <w:fldChar w:fldCharType="end"/>
    </w:r>
    <w:r>
      <w:tab/>
    </w:r>
    <w:r w:rsidRPr="00031FF2">
      <w:t xml:space="preserve">Measuring </w:t>
    </w:r>
    <w:r w:rsidR="00835D4C">
      <w:t>e</w:t>
    </w:r>
    <w:r w:rsidRPr="00031FF2">
      <w:t xml:space="preserve">missions: A </w:t>
    </w:r>
    <w:r w:rsidR="00835D4C">
      <w:t>g</w:t>
    </w:r>
    <w:r w:rsidRPr="00031FF2">
      <w:t xml:space="preserve">uide for </w:t>
    </w:r>
    <w:r w:rsidR="00835D4C">
      <w:t>o</w:t>
    </w:r>
    <w:r w:rsidRPr="00031FF2">
      <w:t>rganisations: 202</w:t>
    </w:r>
    <w:r w:rsidR="00303CBB">
      <w:t>2</w:t>
    </w:r>
    <w:r w:rsidRPr="00031FF2">
      <w:t xml:space="preserve"> </w:t>
    </w:r>
    <w:r w:rsidR="00835D4C">
      <w:t>d</w:t>
    </w:r>
    <w:r w:rsidRPr="00031FF2">
      <w:t xml:space="preserve">etailed </w:t>
    </w:r>
    <w:r w:rsidR="00835D4C">
      <w:t>g</w:t>
    </w:r>
    <w:r w:rsidRPr="00031FF2">
      <w:t>uide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932F5" w14:textId="182190E2" w:rsidR="00DB5335" w:rsidRDefault="00DB5335" w:rsidP="005010FC">
    <w:pPr>
      <w:pStyle w:val="Footerodd"/>
    </w:pPr>
    <w:r>
      <w:tab/>
    </w:r>
    <w:r w:rsidRPr="00031FF2">
      <w:t xml:space="preserve">Measuring </w:t>
    </w:r>
    <w:r w:rsidR="00835D4C">
      <w:t>e</w:t>
    </w:r>
    <w:r w:rsidRPr="00031FF2">
      <w:t xml:space="preserve">missions: A </w:t>
    </w:r>
    <w:r w:rsidR="00835D4C">
      <w:t>g</w:t>
    </w:r>
    <w:r w:rsidRPr="00031FF2">
      <w:t xml:space="preserve">uide for </w:t>
    </w:r>
    <w:r w:rsidR="00835D4C">
      <w:t>o</w:t>
    </w:r>
    <w:r w:rsidRPr="00031FF2">
      <w:t>rganisations: 202</w:t>
    </w:r>
    <w:r w:rsidR="00303CBB">
      <w:t>2</w:t>
    </w:r>
    <w:r w:rsidRPr="00031FF2">
      <w:t xml:space="preserve"> </w:t>
    </w:r>
    <w:r w:rsidR="00835D4C" w:rsidRPr="005010FC">
      <w:t>d</w:t>
    </w:r>
    <w:r w:rsidRPr="005010FC">
      <w:t>etailed</w:t>
    </w:r>
    <w:r w:rsidRPr="00031FF2">
      <w:t xml:space="preserve"> </w:t>
    </w:r>
    <w:r w:rsidR="00835D4C">
      <w:t>g</w:t>
    </w:r>
    <w:r w:rsidRPr="00031FF2">
      <w:t>uide</w:t>
    </w:r>
    <w:r>
      <w:tab/>
    </w:r>
    <w:r>
      <w:fldChar w:fldCharType="begin"/>
    </w:r>
    <w:r>
      <w:instrText xml:space="preserve"> PAGE   \* MERGEFORMAT </w:instrText>
    </w:r>
    <w:r>
      <w:fldChar w:fldCharType="separate"/>
    </w:r>
    <w:r>
      <w:rPr>
        <w:noProof/>
      </w:rPr>
      <w:t>57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10131E" w14:textId="77777777" w:rsidR="003A1FE8" w:rsidRDefault="003A1FE8" w:rsidP="00CB5C5F">
      <w:pPr>
        <w:spacing w:after="80"/>
      </w:pPr>
      <w:r>
        <w:separator/>
      </w:r>
    </w:p>
  </w:footnote>
  <w:footnote w:type="continuationSeparator" w:id="0">
    <w:p w14:paraId="1F2B84F4" w14:textId="77777777" w:rsidR="003A1FE8" w:rsidRDefault="003A1FE8" w:rsidP="0080531E">
      <w:r>
        <w:continuationSeparator/>
      </w:r>
    </w:p>
    <w:p w14:paraId="639851E4" w14:textId="77777777" w:rsidR="003A1FE8" w:rsidRDefault="003A1FE8"/>
  </w:footnote>
  <w:footnote w:type="continuationNotice" w:id="1">
    <w:p w14:paraId="0CC70CD2" w14:textId="77777777" w:rsidR="003A1FE8" w:rsidRDefault="003A1FE8"/>
  </w:footnote>
  <w:footnote w:id="2">
    <w:p w14:paraId="60DBAEC7" w14:textId="7F877EF7" w:rsidR="00CA0EB6" w:rsidRDefault="00CA0EB6">
      <w:pPr>
        <w:pStyle w:val="FootnoteText"/>
      </w:pPr>
      <w:r>
        <w:rPr>
          <w:rStyle w:val="FootnoteReference"/>
        </w:rPr>
        <w:footnoteRef/>
      </w:r>
      <w:r>
        <w:t xml:space="preserve"> </w:t>
      </w:r>
      <w:r>
        <w:tab/>
        <w:t xml:space="preserve">External Reporting Board Climate-related Disclosures accessed via: </w:t>
      </w:r>
      <w:r w:rsidRPr="00153E17">
        <w:rPr>
          <w:rStyle w:val="Hyperlink"/>
        </w:rPr>
        <w:t>https://www.xrb.govt.nz/standards/climate-related-disclosures/</w:t>
      </w:r>
    </w:p>
  </w:footnote>
  <w:footnote w:id="3">
    <w:p w14:paraId="19FB4EB7" w14:textId="207FD0B5" w:rsidR="00986AE2" w:rsidRPr="00FB197E" w:rsidRDefault="00986AE2" w:rsidP="00986AE2">
      <w:pPr>
        <w:pStyle w:val="FootnoteText"/>
        <w:rPr>
          <w:rStyle w:val="Hyperlink"/>
        </w:rPr>
      </w:pPr>
      <w:r>
        <w:rPr>
          <w:rStyle w:val="FootnoteReference"/>
        </w:rPr>
        <w:footnoteRef/>
      </w:r>
      <w:r>
        <w:t xml:space="preserve"> </w:t>
      </w:r>
      <w:r w:rsidRPr="00A30347">
        <w:tab/>
        <w:t xml:space="preserve">Task Force on Climate-related Financial Disclosures accessed via: </w:t>
      </w:r>
      <w:hyperlink r:id="rId1" w:history="1">
        <w:r w:rsidRPr="00FB197E">
          <w:rPr>
            <w:rStyle w:val="Hyperlink"/>
          </w:rPr>
          <w:t>www.fsb-tcfd.org/</w:t>
        </w:r>
      </w:hyperlink>
    </w:p>
  </w:footnote>
  <w:footnote w:id="4">
    <w:p w14:paraId="6E095133" w14:textId="27123440" w:rsidR="00B92612" w:rsidRDefault="00B92612" w:rsidP="00B92612">
      <w:pPr>
        <w:pStyle w:val="FootnoteText"/>
      </w:pPr>
      <w:r>
        <w:rPr>
          <w:rStyle w:val="FootnoteReference"/>
        </w:rPr>
        <w:footnoteRef/>
      </w:r>
      <w:r>
        <w:t xml:space="preserve"> </w:t>
      </w:r>
      <w:r>
        <w:tab/>
      </w:r>
      <w:hyperlink r:id="rId2" w:history="1">
        <w:r w:rsidR="00FD6370" w:rsidRPr="00676D6E">
          <w:rPr>
            <w:rStyle w:val="Hyperlink"/>
          </w:rPr>
          <w:t>https://environment.govt.nz/publications/cngp-measuring-and-reporting-ghg-emissions/</w:t>
        </w:r>
      </w:hyperlink>
      <w:r>
        <w:t xml:space="preserve"> </w:t>
      </w:r>
    </w:p>
  </w:footnote>
  <w:footnote w:id="5">
    <w:p w14:paraId="767D0FB4" w14:textId="49508B8D" w:rsidR="00B92612" w:rsidRDefault="00B92612" w:rsidP="00B92612">
      <w:pPr>
        <w:pStyle w:val="FootnoteText"/>
      </w:pPr>
      <w:r>
        <w:rPr>
          <w:rStyle w:val="FootnoteReference"/>
        </w:rPr>
        <w:footnoteRef/>
      </w:r>
      <w:r>
        <w:t xml:space="preserve"> </w:t>
      </w:r>
      <w:r w:rsidR="00FD6370">
        <w:tab/>
      </w:r>
      <w:r>
        <w:t xml:space="preserve">Carbon Neural Government Programme accessed via: </w:t>
      </w:r>
      <w:hyperlink r:id="rId3" w:history="1">
        <w:r w:rsidRPr="00BB3C6E">
          <w:rPr>
            <w:rStyle w:val="Hyperlink"/>
          </w:rPr>
          <w:t>https://environment.govt.nz/what-government-is-doing/key-initiatives/carbon-neutral-government-programme/</w:t>
        </w:r>
      </w:hyperlink>
      <w:r>
        <w:t xml:space="preserve"> </w:t>
      </w:r>
    </w:p>
  </w:footnote>
  <w:footnote w:id="6">
    <w:p w14:paraId="440B1DC0" w14:textId="10E38FD0" w:rsidR="007F4695" w:rsidRDefault="007F4695">
      <w:pPr>
        <w:pStyle w:val="FootnoteText"/>
      </w:pPr>
      <w:r>
        <w:rPr>
          <w:rStyle w:val="FootnoteReference"/>
        </w:rPr>
        <w:footnoteRef/>
      </w:r>
      <w:r>
        <w:t xml:space="preserve"> </w:t>
      </w:r>
      <w:r w:rsidR="00CF7698">
        <w:tab/>
      </w:r>
      <w:hyperlink r:id="rId4" w:anchor="LCI" w:history="1">
        <w:r w:rsidR="00CF7698" w:rsidRPr="00676D6E">
          <w:rPr>
            <w:rStyle w:val="Hyperlink"/>
          </w:rPr>
          <w:t>https://lcanz.org.nz/lca-guidance/lca-resources/#LCI</w:t>
        </w:r>
      </w:hyperlink>
      <w:r w:rsidR="00F6625E">
        <w:t xml:space="preserve"> </w:t>
      </w:r>
    </w:p>
  </w:footnote>
  <w:footnote w:id="7">
    <w:p w14:paraId="76BF15E4" w14:textId="6360831B" w:rsidR="00DB5335" w:rsidRDefault="00DB5335" w:rsidP="005575B8">
      <w:pPr>
        <w:pStyle w:val="FootnoteText"/>
      </w:pPr>
      <w:r>
        <w:rPr>
          <w:rStyle w:val="FootnoteReference"/>
        </w:rPr>
        <w:footnoteRef/>
      </w:r>
      <w:r>
        <w:t xml:space="preserve"> </w:t>
      </w:r>
      <w:r>
        <w:tab/>
      </w:r>
      <w:r w:rsidRPr="00554A4F">
        <w:t xml:space="preserve">The </w:t>
      </w:r>
      <w:r w:rsidRPr="00554A4F">
        <w:rPr>
          <w:i/>
        </w:rPr>
        <w:t>GHG Protocol</w:t>
      </w:r>
      <w:r w:rsidRPr="00554A4F">
        <w:t xml:space="preserve"> </w:t>
      </w:r>
      <w:r>
        <w:t xml:space="preserve">added </w:t>
      </w:r>
      <w:r w:rsidRPr="003200EF">
        <w:rPr>
          <w:rFonts w:eastAsia="Times New Roman" w:cs="Calibri"/>
          <w:spacing w:val="2"/>
          <w:shd w:val="clear" w:color="auto" w:fill="FFFFFF"/>
        </w:rPr>
        <w:t>nitrogen trifluoride</w:t>
      </w:r>
      <w:r>
        <w:rPr>
          <w:rFonts w:eastAsia="Times New Roman" w:cs="Calibri"/>
          <w:sz w:val="18"/>
          <w:szCs w:val="18"/>
          <w:shd w:val="clear" w:color="auto" w:fill="FFFFFF"/>
          <w:vertAlign w:val="subscript"/>
        </w:rPr>
        <w:t xml:space="preserve"> </w:t>
      </w:r>
      <w:r w:rsidRPr="00554A4F">
        <w:t>in 2013 as a require</w:t>
      </w:r>
      <w:r>
        <w:t xml:space="preserve">ment and </w:t>
      </w:r>
      <w:r w:rsidRPr="004E286A">
        <w:rPr>
          <w:iCs/>
        </w:rPr>
        <w:t>ISO 14064-1</w:t>
      </w:r>
      <w:r w:rsidRPr="005C37BE">
        <w:t xml:space="preserve"> </w:t>
      </w:r>
      <w:r>
        <w:t>included</w:t>
      </w:r>
      <w:r w:rsidRPr="005C37BE">
        <w:t xml:space="preserve"> </w:t>
      </w:r>
      <w:r w:rsidRPr="003200EF">
        <w:rPr>
          <w:rFonts w:eastAsia="Times New Roman" w:cs="Calibri"/>
          <w:spacing w:val="2"/>
          <w:shd w:val="clear" w:color="auto" w:fill="FFFFFF"/>
        </w:rPr>
        <w:t>nitrogen trifluoride</w:t>
      </w:r>
      <w:r w:rsidRPr="005C37BE">
        <w:t xml:space="preserve"> in </w:t>
      </w:r>
      <w:r w:rsidRPr="00DF382A">
        <w:t>2018</w:t>
      </w:r>
      <w:r w:rsidRPr="00554A4F">
        <w:rPr>
          <w:i/>
        </w:rPr>
        <w:t>.</w:t>
      </w:r>
      <w:r w:rsidRPr="00554A4F">
        <w:t xml:space="preserve"> This is consistent with </w:t>
      </w:r>
      <w:r w:rsidR="003C400F" w:rsidRPr="00676144">
        <w:rPr>
          <w:i/>
          <w:iCs/>
        </w:rPr>
        <w:t>New Zealand’s Greenhouse Gas Inventory 1990-2020</w:t>
      </w:r>
      <w:r>
        <w:t>.</w:t>
      </w:r>
    </w:p>
  </w:footnote>
  <w:footnote w:id="8">
    <w:p w14:paraId="7DA6E252" w14:textId="750E1BC1" w:rsidR="00DB5335" w:rsidRDefault="00DB5335" w:rsidP="003632DA">
      <w:pPr>
        <w:pStyle w:val="FootnoteText"/>
      </w:pPr>
      <w:r>
        <w:rPr>
          <w:rStyle w:val="FootnoteReference"/>
        </w:rPr>
        <w:footnoteRef/>
      </w:r>
      <w:r>
        <w:t xml:space="preserve"> </w:t>
      </w:r>
      <w:r>
        <w:tab/>
        <w:t xml:space="preserve">We use the 2007 IPCC GWPs to ensure consistency with </w:t>
      </w:r>
      <w:r w:rsidR="003C400F" w:rsidRPr="00676144">
        <w:rPr>
          <w:i/>
          <w:iCs/>
        </w:rPr>
        <w:t xml:space="preserve">New Zealand’s Greenhouse Gas Inventory </w:t>
      </w:r>
      <w:r w:rsidR="00311651">
        <w:rPr>
          <w:i/>
          <w:iCs/>
        </w:rPr>
        <w:br/>
      </w:r>
      <w:r w:rsidR="003C400F" w:rsidRPr="00676144">
        <w:rPr>
          <w:i/>
          <w:iCs/>
        </w:rPr>
        <w:t>1990</w:t>
      </w:r>
      <w:r w:rsidR="00311651">
        <w:rPr>
          <w:i/>
          <w:iCs/>
        </w:rPr>
        <w:t>–</w:t>
      </w:r>
      <w:r w:rsidR="003C400F" w:rsidRPr="00676144">
        <w:rPr>
          <w:i/>
          <w:iCs/>
        </w:rPr>
        <w:t>2020</w:t>
      </w:r>
      <w:r>
        <w:t xml:space="preserve">. These can be found in the </w:t>
      </w:r>
      <w:r w:rsidRPr="00314503">
        <w:rPr>
          <w:i/>
        </w:rPr>
        <w:t xml:space="preserve">IPCC </w:t>
      </w:r>
      <w:r>
        <w:rPr>
          <w:i/>
        </w:rPr>
        <w:t>AR</w:t>
      </w:r>
      <w:r w:rsidRPr="00314503">
        <w:rPr>
          <w:i/>
        </w:rPr>
        <w:t>4 Climate Change 2007: The physical science basis</w:t>
      </w:r>
      <w:r>
        <w:t xml:space="preserve"> accessed via: </w:t>
      </w:r>
      <w:hyperlink r:id="rId5" w:history="1">
        <w:r w:rsidRPr="00677AEC">
          <w:rPr>
            <w:rStyle w:val="Hyperlink"/>
          </w:rPr>
          <w:t>www.ipcc.ch/site/assets/uploads/ 2018/05/ar4_wg1_full_report-1.pdf</w:t>
        </w:r>
      </w:hyperlink>
    </w:p>
  </w:footnote>
  <w:footnote w:id="9">
    <w:p w14:paraId="06456B1D" w14:textId="33B20849" w:rsidR="00DB5335" w:rsidRDefault="00DB5335" w:rsidP="003632DA">
      <w:pPr>
        <w:pStyle w:val="FootnoteText"/>
      </w:pPr>
      <w:r>
        <w:rPr>
          <w:rStyle w:val="FootnoteReference"/>
        </w:rPr>
        <w:footnoteRef/>
      </w:r>
      <w:r>
        <w:t xml:space="preserve"> </w:t>
      </w:r>
      <w:r>
        <w:tab/>
      </w:r>
      <w:r w:rsidRPr="00F73710">
        <w:rPr>
          <w:i/>
          <w:iCs/>
        </w:rPr>
        <w:t>IPCC AR4 Climate Change 2007: The physical science basis</w:t>
      </w:r>
      <w:r>
        <w:t xml:space="preserve"> accessed via: </w:t>
      </w:r>
      <w:hyperlink r:id="rId6" w:history="1">
        <w:r>
          <w:rPr>
            <w:rStyle w:val="Hyperlink"/>
          </w:rPr>
          <w:t>www.ipcc.ch/site/assets/uploads/ 2018/05/ar4_wg1_full_report-1.pdf</w:t>
        </w:r>
      </w:hyperlink>
      <w:r>
        <w:t xml:space="preserve"> </w:t>
      </w:r>
    </w:p>
  </w:footnote>
  <w:footnote w:id="10">
    <w:p w14:paraId="5218F059" w14:textId="2618CD11" w:rsidR="00DB5335" w:rsidRDefault="00DB5335" w:rsidP="00F66B9F">
      <w:pPr>
        <w:pStyle w:val="FootnoteText"/>
      </w:pPr>
      <w:r>
        <w:rPr>
          <w:rStyle w:val="FootnoteReference"/>
        </w:rPr>
        <w:footnoteRef/>
      </w:r>
      <w:r>
        <w:t xml:space="preserve"> </w:t>
      </w:r>
      <w:r>
        <w:tab/>
        <w:t xml:space="preserve">UNFCCC, What is the Kyoto Protocol accessed via: </w:t>
      </w:r>
      <w:hyperlink r:id="rId7" w:history="1">
        <w:r w:rsidRPr="00791D53">
          <w:rPr>
            <w:rStyle w:val="Hyperlink"/>
          </w:rPr>
          <w:t>https://unfccc.int/kyoto_protocol</w:t>
        </w:r>
      </w:hyperlink>
      <w:r>
        <w:t xml:space="preserve"> </w:t>
      </w:r>
    </w:p>
  </w:footnote>
  <w:footnote w:id="11">
    <w:p w14:paraId="2759D854" w14:textId="70B2B568" w:rsidR="00DB5335" w:rsidRDefault="00DB5335" w:rsidP="00E80E1E">
      <w:pPr>
        <w:pStyle w:val="FootnoteText"/>
        <w:spacing w:after="40" w:line="220" w:lineRule="atLeast"/>
      </w:pPr>
      <w:r>
        <w:rPr>
          <w:rStyle w:val="FootnoteReference"/>
        </w:rPr>
        <w:footnoteRef/>
      </w:r>
      <w:r>
        <w:t xml:space="preserve"> </w:t>
      </w:r>
      <w:r>
        <w:tab/>
        <w:t xml:space="preserve">UNDP, Montreal Protocol, accessed via: </w:t>
      </w:r>
      <w:hyperlink r:id="rId8" w:history="1">
        <w:r w:rsidRPr="00791D53">
          <w:rPr>
            <w:rStyle w:val="Hyperlink"/>
          </w:rPr>
          <w:t>www.undp.org/content/undp/en/home/2030-agenda-for-sustainable-development/planet/environment-and-natural-capital/chemicals-and-waste-management/ozone.html</w:t>
        </w:r>
      </w:hyperlink>
      <w:r>
        <w:t xml:space="preserve"> </w:t>
      </w:r>
    </w:p>
  </w:footnote>
  <w:footnote w:id="12">
    <w:p w14:paraId="4DC86B27" w14:textId="17FBE7AB" w:rsidR="00DB5335" w:rsidRDefault="00DB5335" w:rsidP="00E80E1E">
      <w:pPr>
        <w:pStyle w:val="FootnoteText"/>
        <w:spacing w:after="40" w:line="220" w:lineRule="atLeast"/>
      </w:pPr>
      <w:r w:rsidRPr="000E4186">
        <w:rPr>
          <w:rStyle w:val="FootnoteReference"/>
        </w:rPr>
        <w:footnoteRef/>
      </w:r>
      <w:r w:rsidRPr="000E4186">
        <w:t xml:space="preserve"> </w:t>
      </w:r>
      <w:r>
        <w:tab/>
      </w:r>
      <w:r w:rsidRPr="00554A4F">
        <w:t xml:space="preserve">Published by the International </w:t>
      </w:r>
      <w:r w:rsidRPr="00285D36">
        <w:t>Organization for Standardization</w:t>
      </w:r>
      <w:r w:rsidRPr="00554A4F">
        <w:t xml:space="preserve">. This standard is closely based on </w:t>
      </w:r>
      <w:r>
        <w:t>the</w:t>
      </w:r>
      <w:r>
        <w:rPr>
          <w:i/>
        </w:rPr>
        <w:t xml:space="preserve"> GHG </w:t>
      </w:r>
      <w:r w:rsidRPr="00554A4F">
        <w:rPr>
          <w:i/>
        </w:rPr>
        <w:t>Protocol</w:t>
      </w:r>
      <w:r w:rsidRPr="00554A4F">
        <w:t>.</w:t>
      </w:r>
    </w:p>
  </w:footnote>
  <w:footnote w:id="13">
    <w:p w14:paraId="1CC385B2" w14:textId="62B0E4CF" w:rsidR="00DB5335" w:rsidRDefault="00DB5335" w:rsidP="00E80E1E">
      <w:pPr>
        <w:pStyle w:val="FootnoteText"/>
        <w:spacing w:after="40" w:line="220" w:lineRule="atLeast"/>
      </w:pPr>
      <w:r w:rsidRPr="000E4186">
        <w:rPr>
          <w:rStyle w:val="FootnoteReference"/>
        </w:rPr>
        <w:footnoteRef/>
      </w:r>
      <w:r w:rsidRPr="000E4186">
        <w:t xml:space="preserve"> </w:t>
      </w:r>
      <w:r>
        <w:tab/>
      </w:r>
      <w:r w:rsidRPr="00554A4F">
        <w:t>Developed jointly by the World Resources Institute (WRI) and the World Business Council for Sustainable Development (WBCSD).</w:t>
      </w:r>
    </w:p>
  </w:footnote>
  <w:footnote w:id="14">
    <w:p w14:paraId="18D202A3" w14:textId="60A23EB1" w:rsidR="00DB5335" w:rsidRPr="00620494" w:rsidRDefault="00DB5335" w:rsidP="002C0ABE">
      <w:pPr>
        <w:pStyle w:val="FootnoteText"/>
        <w:tabs>
          <w:tab w:val="left" w:pos="284"/>
        </w:tabs>
        <w:rPr>
          <w:szCs w:val="19"/>
        </w:rPr>
      </w:pPr>
      <w:r w:rsidRPr="00620494">
        <w:rPr>
          <w:rStyle w:val="FootnoteReference"/>
          <w:sz w:val="19"/>
          <w:szCs w:val="19"/>
        </w:rPr>
        <w:footnoteRef/>
      </w:r>
      <w:r w:rsidRPr="00620494">
        <w:rPr>
          <w:szCs w:val="19"/>
        </w:rPr>
        <w:t xml:space="preserve"> </w:t>
      </w:r>
      <w:r w:rsidRPr="00620494">
        <w:rPr>
          <w:szCs w:val="19"/>
        </w:rPr>
        <w:tab/>
      </w:r>
      <w:r w:rsidRPr="002C0ABE">
        <w:t>See</w:t>
      </w:r>
      <w:r w:rsidRPr="00620494">
        <w:rPr>
          <w:szCs w:val="19"/>
        </w:rPr>
        <w:t xml:space="preserve"> </w:t>
      </w:r>
      <w:hyperlink w:anchor="_Glossary" w:history="1">
        <w:r w:rsidRPr="00A862D1">
          <w:rPr>
            <w:rStyle w:val="Hyperlink"/>
            <w:szCs w:val="19"/>
          </w:rPr>
          <w:fldChar w:fldCharType="begin"/>
        </w:r>
        <w:r w:rsidRPr="00A862D1">
          <w:rPr>
            <w:rStyle w:val="Hyperlink"/>
            <w:szCs w:val="19"/>
          </w:rPr>
          <w:instrText xml:space="preserve"> REF _Ref535567662 \h  \* MERGEFORMAT </w:instrText>
        </w:r>
        <w:r w:rsidRPr="00A862D1">
          <w:rPr>
            <w:rStyle w:val="Hyperlink"/>
            <w:szCs w:val="19"/>
          </w:rPr>
        </w:r>
        <w:r w:rsidRPr="00A862D1">
          <w:rPr>
            <w:rStyle w:val="Hyperlink"/>
            <w:szCs w:val="19"/>
          </w:rPr>
          <w:fldChar w:fldCharType="separate"/>
        </w:r>
        <w:r w:rsidR="003E141C" w:rsidRPr="003E141C">
          <w:rPr>
            <w:rStyle w:val="Hyperlink"/>
            <w:szCs w:val="19"/>
          </w:rPr>
          <w:t>Glossary</w:t>
        </w:r>
        <w:r w:rsidRPr="00A862D1">
          <w:rPr>
            <w:rStyle w:val="Hyperlink"/>
            <w:szCs w:val="19"/>
          </w:rPr>
          <w:fldChar w:fldCharType="end"/>
        </w:r>
      </w:hyperlink>
      <w:r w:rsidRPr="00620494">
        <w:rPr>
          <w:color w:val="32809C" w:themeColor="accent2"/>
          <w:szCs w:val="19"/>
        </w:rPr>
        <w:t xml:space="preserve"> </w:t>
      </w:r>
      <w:r w:rsidRPr="00620494">
        <w:rPr>
          <w:szCs w:val="19"/>
        </w:rPr>
        <w:t>for definitions.</w:t>
      </w:r>
    </w:p>
  </w:footnote>
  <w:footnote w:id="15">
    <w:p w14:paraId="14FF697B" w14:textId="679768E6" w:rsidR="00DB5335" w:rsidRDefault="00DB5335" w:rsidP="002C0ABE">
      <w:pPr>
        <w:pStyle w:val="FootnoteText"/>
        <w:tabs>
          <w:tab w:val="left" w:pos="284"/>
        </w:tabs>
      </w:pPr>
      <w:r w:rsidRPr="00620494">
        <w:rPr>
          <w:rStyle w:val="FootnoteReference"/>
          <w:sz w:val="19"/>
          <w:szCs w:val="19"/>
        </w:rPr>
        <w:footnoteRef/>
      </w:r>
      <w:r w:rsidRPr="00620494">
        <w:rPr>
          <w:szCs w:val="19"/>
        </w:rPr>
        <w:t xml:space="preserve"> </w:t>
      </w:r>
      <w:r w:rsidRPr="00620494">
        <w:rPr>
          <w:szCs w:val="19"/>
        </w:rPr>
        <w:tab/>
      </w:r>
      <w:r w:rsidRPr="002C0ABE">
        <w:t>See</w:t>
      </w:r>
      <w:r w:rsidRPr="00620494">
        <w:rPr>
          <w:szCs w:val="19"/>
        </w:rPr>
        <w:t xml:space="preserve"> </w:t>
      </w:r>
      <w:hyperlink w:anchor="_Glossary" w:history="1">
        <w:r w:rsidRPr="00A862D1">
          <w:rPr>
            <w:rStyle w:val="Hyperlink"/>
            <w:szCs w:val="19"/>
          </w:rPr>
          <w:fldChar w:fldCharType="begin"/>
        </w:r>
        <w:r w:rsidRPr="00A862D1">
          <w:rPr>
            <w:rStyle w:val="Hyperlink"/>
            <w:szCs w:val="19"/>
          </w:rPr>
          <w:instrText xml:space="preserve"> REF _Ref535567662 \h  \* MERGEFORMAT </w:instrText>
        </w:r>
        <w:r w:rsidRPr="00A862D1">
          <w:rPr>
            <w:rStyle w:val="Hyperlink"/>
            <w:szCs w:val="19"/>
          </w:rPr>
        </w:r>
        <w:r w:rsidRPr="00A862D1">
          <w:rPr>
            <w:rStyle w:val="Hyperlink"/>
            <w:szCs w:val="19"/>
          </w:rPr>
          <w:fldChar w:fldCharType="separate"/>
        </w:r>
        <w:r w:rsidR="003E141C" w:rsidRPr="003E141C">
          <w:rPr>
            <w:rStyle w:val="Hyperlink"/>
            <w:szCs w:val="19"/>
          </w:rPr>
          <w:t>Glossary</w:t>
        </w:r>
        <w:r w:rsidRPr="00A862D1">
          <w:rPr>
            <w:rStyle w:val="Hyperlink"/>
            <w:szCs w:val="19"/>
          </w:rPr>
          <w:fldChar w:fldCharType="end"/>
        </w:r>
      </w:hyperlink>
      <w:r w:rsidRPr="00620494">
        <w:rPr>
          <w:color w:val="32809C" w:themeColor="accent2"/>
          <w:szCs w:val="19"/>
        </w:rPr>
        <w:t xml:space="preserve"> </w:t>
      </w:r>
      <w:r w:rsidRPr="00620494">
        <w:rPr>
          <w:szCs w:val="19"/>
        </w:rPr>
        <w:t>for definition.</w:t>
      </w:r>
    </w:p>
  </w:footnote>
  <w:footnote w:id="16">
    <w:p w14:paraId="673FDAF7" w14:textId="47425B16" w:rsidR="00DB5335" w:rsidRDefault="00DB5335" w:rsidP="009279C4">
      <w:pPr>
        <w:pStyle w:val="FootnoteText"/>
        <w:tabs>
          <w:tab w:val="left" w:pos="284"/>
        </w:tabs>
      </w:pPr>
      <w:r>
        <w:rPr>
          <w:rStyle w:val="FootnoteReference"/>
        </w:rPr>
        <w:footnoteRef/>
      </w:r>
      <w:r>
        <w:t xml:space="preserve"> </w:t>
      </w:r>
      <w:r>
        <w:tab/>
        <w:t xml:space="preserve">Note that the emission factors in the example calculations within this document, the Emission </w:t>
      </w:r>
      <w:r w:rsidR="00227185">
        <w:t>f</w:t>
      </w:r>
      <w:r>
        <w:t xml:space="preserve">actors </w:t>
      </w:r>
      <w:r w:rsidR="00227185">
        <w:t>s</w:t>
      </w:r>
      <w:r>
        <w:t xml:space="preserve">ummary and the Emission </w:t>
      </w:r>
      <w:r w:rsidR="006956FA">
        <w:t>f</w:t>
      </w:r>
      <w:r>
        <w:t xml:space="preserve">actors </w:t>
      </w:r>
      <w:r w:rsidR="006956FA">
        <w:t>w</w:t>
      </w:r>
      <w:r>
        <w:t xml:space="preserve">orkbook are rounded. In the Interactive </w:t>
      </w:r>
      <w:r w:rsidR="00BC56F5">
        <w:t>w</w:t>
      </w:r>
      <w:r>
        <w:t xml:space="preserve">orkbook they are not. For this reason, you may notice small discrepancies between the answers in the example calculations and the answers provided in the Interactive </w:t>
      </w:r>
      <w:r w:rsidR="00BC56F5">
        <w:t>w</w:t>
      </w:r>
      <w:r>
        <w:t>orkbook.</w:t>
      </w:r>
    </w:p>
  </w:footnote>
  <w:footnote w:id="17">
    <w:p w14:paraId="028D7549" w14:textId="09F3BF44" w:rsidR="00DB5335" w:rsidRPr="002537CD" w:rsidRDefault="00DB5335" w:rsidP="00B17ABF">
      <w:pPr>
        <w:pStyle w:val="FootnoteText"/>
      </w:pPr>
      <w:r w:rsidRPr="002537CD">
        <w:rPr>
          <w:rStyle w:val="FootnoteReference"/>
        </w:rPr>
        <w:footnoteRef/>
      </w:r>
      <w:r>
        <w:tab/>
        <w:t>For example, the methane and</w:t>
      </w:r>
      <w:r>
        <w:rPr>
          <w:sz w:val="14"/>
          <w:szCs w:val="14"/>
        </w:rPr>
        <w:t xml:space="preserve"> </w:t>
      </w:r>
      <w:r>
        <w:t>nitrous oxide emission facto</w:t>
      </w:r>
      <w:r w:rsidRPr="009653AF">
        <w:t xml:space="preserve">rs for diesel used for industrial heating are different </w:t>
      </w:r>
      <w:r>
        <w:t>from</w:t>
      </w:r>
      <w:r w:rsidRPr="009653AF">
        <w:t xml:space="preserve"> the </w:t>
      </w:r>
      <w:r>
        <w:t>methane</w:t>
      </w:r>
      <w:r w:rsidRPr="009653AF">
        <w:t xml:space="preserve"> and </w:t>
      </w:r>
      <w:r>
        <w:t>nitrous oxide</w:t>
      </w:r>
      <w:r w:rsidRPr="009653AF">
        <w:t xml:space="preserve"> emission factors for diesel used</w:t>
      </w:r>
      <w:r>
        <w:t xml:space="preserve"> in vehicles.</w:t>
      </w:r>
    </w:p>
  </w:footnote>
  <w:footnote w:id="18">
    <w:p w14:paraId="4679B319" w14:textId="4C1DB13C" w:rsidR="00DB5335" w:rsidRDefault="00DB5335">
      <w:pPr>
        <w:pStyle w:val="FootnoteText"/>
      </w:pPr>
      <w:r>
        <w:rPr>
          <w:rStyle w:val="FootnoteReference"/>
        </w:rPr>
        <w:footnoteRef/>
      </w:r>
      <w:r>
        <w:t xml:space="preserve"> </w:t>
      </w:r>
      <w:r>
        <w:tab/>
      </w:r>
      <w:r w:rsidRPr="007F19F9">
        <w:rPr>
          <w:i/>
        </w:rPr>
        <w:t>2006 IPCC Guidelines for National Greenhouse Gas Inventories</w:t>
      </w:r>
      <w:r>
        <w:t>, Volume 2, Chapter 2.</w:t>
      </w:r>
    </w:p>
  </w:footnote>
  <w:footnote w:id="19">
    <w:p w14:paraId="2F47E981" w14:textId="5E1F21DE" w:rsidR="00DB5335" w:rsidRPr="00905090" w:rsidRDefault="00DB5335" w:rsidP="00905090">
      <w:pPr>
        <w:pStyle w:val="FootnoteText"/>
      </w:pPr>
      <w:r w:rsidRPr="00E3038E">
        <w:rPr>
          <w:rStyle w:val="FootnoteReference"/>
          <w:sz w:val="18"/>
          <w:szCs w:val="20"/>
        </w:rPr>
        <w:footnoteRef/>
      </w:r>
      <w:r w:rsidRPr="00E3038E">
        <w:t xml:space="preserve"> </w:t>
      </w:r>
      <w:r w:rsidRPr="00E3038E">
        <w:tab/>
        <w:t xml:space="preserve">See </w:t>
      </w:r>
      <w:r w:rsidRPr="00E3038E">
        <w:fldChar w:fldCharType="begin"/>
      </w:r>
      <w:r w:rsidRPr="00E3038E">
        <w:instrText xml:space="preserve"> REF _Ref532553701 \h  \* MERGEFORMAT </w:instrText>
      </w:r>
      <w:r w:rsidRPr="00E3038E">
        <w:fldChar w:fldCharType="separate"/>
      </w:r>
      <w:r w:rsidR="003E141C" w:rsidRPr="00B34BB5">
        <w:t xml:space="preserve">Glossary </w:t>
      </w:r>
      <w:r w:rsidRPr="00E3038E">
        <w:fldChar w:fldCharType="end"/>
      </w:r>
      <w:r w:rsidRPr="00E3038E">
        <w:t>for definition.</w:t>
      </w:r>
    </w:p>
  </w:footnote>
  <w:footnote w:id="20">
    <w:p w14:paraId="74D5C23B" w14:textId="641BA2A7" w:rsidR="00DB5335" w:rsidRPr="00977405" w:rsidRDefault="00DB5335" w:rsidP="009279C4">
      <w:pPr>
        <w:pStyle w:val="FootnoteText"/>
        <w:tabs>
          <w:tab w:val="left" w:pos="284"/>
        </w:tabs>
      </w:pPr>
      <w:r>
        <w:rPr>
          <w:rStyle w:val="FootnoteReference"/>
        </w:rPr>
        <w:footnoteRef/>
      </w:r>
      <w:r>
        <w:tab/>
        <w:t>View a</w:t>
      </w:r>
      <w:r w:rsidRPr="00977405">
        <w:t xml:space="preserve">ccredited bodies </w:t>
      </w:r>
      <w:r>
        <w:t>on</w:t>
      </w:r>
      <w:r w:rsidRPr="00977405">
        <w:t xml:space="preserve"> the JAS-ANZ Register </w:t>
      </w:r>
      <w:r w:rsidRPr="00852123">
        <w:rPr>
          <w:szCs w:val="19"/>
        </w:rPr>
        <w:t xml:space="preserve">at </w:t>
      </w:r>
      <w:r w:rsidRPr="000522F8">
        <w:rPr>
          <w:rStyle w:val="Hyperlink"/>
          <w:szCs w:val="19"/>
        </w:rPr>
        <w:t>www.jas-anz.org/accredited-bodies/all</w:t>
      </w:r>
    </w:p>
  </w:footnote>
  <w:footnote w:id="21">
    <w:p w14:paraId="0BB8519D" w14:textId="1308794C" w:rsidR="00DB5335" w:rsidRDefault="00DB5335" w:rsidP="00F7278D">
      <w:pPr>
        <w:pStyle w:val="FootnoteText"/>
        <w:spacing w:after="40"/>
      </w:pPr>
      <w:r>
        <w:rPr>
          <w:rStyle w:val="FootnoteReference"/>
        </w:rPr>
        <w:footnoteRef/>
      </w:r>
      <w:r>
        <w:t xml:space="preserve"> </w:t>
      </w:r>
      <w:r>
        <w:tab/>
        <w:t>ANZSIC – Australian and New Zealand Standard Industrial Classification.</w:t>
      </w:r>
    </w:p>
  </w:footnote>
  <w:footnote w:id="22">
    <w:p w14:paraId="44BB8556" w14:textId="631721C1" w:rsidR="00DB5335" w:rsidRDefault="00DB5335" w:rsidP="00F7278D">
      <w:pPr>
        <w:pStyle w:val="FootnoteText"/>
        <w:spacing w:after="40"/>
      </w:pPr>
      <w:r>
        <w:rPr>
          <w:rStyle w:val="FootnoteReference"/>
        </w:rPr>
        <w:footnoteRef/>
      </w:r>
      <w:r>
        <w:t xml:space="preserve"> </w:t>
      </w:r>
      <w:r>
        <w:tab/>
        <w:t xml:space="preserve">See </w:t>
      </w:r>
      <w:hyperlink w:anchor="_Appendix_A:_Derivation_1" w:history="1">
        <w:r w:rsidRPr="00035E77">
          <w:rPr>
            <w:rStyle w:val="Hyperlink"/>
          </w:rPr>
          <w:t>Appendix A: Derivation of fuel emission factors</w:t>
        </w:r>
      </w:hyperlink>
      <w:r>
        <w:rPr>
          <w:color w:val="32809C" w:themeColor="accent2"/>
        </w:rPr>
        <w:t xml:space="preserve"> </w:t>
      </w:r>
      <w:r w:rsidRPr="003409BF">
        <w:t>for more information</w:t>
      </w:r>
      <w:r>
        <w:t>.</w:t>
      </w:r>
    </w:p>
  </w:footnote>
  <w:footnote w:id="23">
    <w:p w14:paraId="5B727A66" w14:textId="42BC67EB" w:rsidR="009918B3" w:rsidRDefault="009918B3">
      <w:pPr>
        <w:pStyle w:val="FootnoteText"/>
      </w:pPr>
      <w:r w:rsidRPr="00E96DAE">
        <w:rPr>
          <w:rStyle w:val="FootnoteReference"/>
          <w:color w:val="auto"/>
        </w:rPr>
        <w:footnoteRef/>
      </w:r>
      <w:r w:rsidRPr="00E96DAE">
        <w:t xml:space="preserve"> </w:t>
      </w:r>
      <w:r w:rsidR="00DF7511">
        <w:tab/>
      </w:r>
      <w:hyperlink r:id="rId9" w:history="1">
        <w:r w:rsidRPr="00E96DAE">
          <w:rPr>
            <w:rStyle w:val="Hyperlink"/>
            <w:color w:val="auto"/>
          </w:rPr>
          <w:t>Climate Change (Liquid Fossil Fuels) Regulations 2008 (SR 2008/356) (as at 1 October 2018) Schedule Emissions factors for tonnes of carbon dioxide equivalent greenhouse gases per kilolitre – New Zealand Legislation</w:t>
        </w:r>
      </w:hyperlink>
      <w:r w:rsidR="00DD3B8D">
        <w:rPr>
          <w:rStyle w:val="Hyperlink"/>
          <w:color w:val="auto"/>
        </w:rPr>
        <w:t>.</w:t>
      </w:r>
    </w:p>
  </w:footnote>
  <w:footnote w:id="24">
    <w:p w14:paraId="325543F4" w14:textId="26BD25DF" w:rsidR="00DB5335" w:rsidRPr="00E3038E" w:rsidRDefault="00DB5335" w:rsidP="00BD438D">
      <w:pPr>
        <w:pStyle w:val="FootnoteText"/>
        <w:rPr>
          <w:szCs w:val="19"/>
        </w:rPr>
      </w:pPr>
      <w:r w:rsidRPr="00E3038E">
        <w:rPr>
          <w:rStyle w:val="FootnoteReference"/>
          <w:sz w:val="19"/>
          <w:szCs w:val="19"/>
        </w:rPr>
        <w:footnoteRef/>
      </w:r>
      <w:r w:rsidRPr="00E3038E">
        <w:rPr>
          <w:szCs w:val="19"/>
        </w:rPr>
        <w:t xml:space="preserve"> </w:t>
      </w:r>
      <w:r w:rsidRPr="00E3038E">
        <w:rPr>
          <w:szCs w:val="19"/>
        </w:rPr>
        <w:tab/>
      </w:r>
      <w:r w:rsidRPr="00E3038E">
        <w:rPr>
          <w:i/>
          <w:szCs w:val="19"/>
        </w:rPr>
        <w:t>2006 Guidelines for Greenhouse Gas Inventories</w:t>
      </w:r>
      <w:r w:rsidRPr="00E3038E">
        <w:rPr>
          <w:szCs w:val="19"/>
        </w:rPr>
        <w:t xml:space="preserve">, Volume 2, Energy, accessed via: </w:t>
      </w:r>
      <w:r>
        <w:rPr>
          <w:szCs w:val="19"/>
        </w:rPr>
        <w:br/>
      </w:r>
      <w:hyperlink r:id="rId10" w:history="1">
        <w:r w:rsidR="004037D4" w:rsidRPr="00676D6E">
          <w:rPr>
            <w:rStyle w:val="Hyperlink"/>
            <w:szCs w:val="19"/>
          </w:rPr>
          <w:t>www.ipcc-nggip.iges.or.jp/public/2006gl/vol2.html</w:t>
        </w:r>
      </w:hyperlink>
      <w:r w:rsidRPr="00E3038E">
        <w:rPr>
          <w:szCs w:val="19"/>
        </w:rPr>
        <w:t xml:space="preserve"> </w:t>
      </w:r>
    </w:p>
  </w:footnote>
  <w:footnote w:id="25">
    <w:p w14:paraId="5CA59159" w14:textId="33F3ABF6" w:rsidR="00DB5335" w:rsidRDefault="00DB5335" w:rsidP="00806A62">
      <w:pPr>
        <w:pStyle w:val="FootnoteText"/>
      </w:pPr>
      <w:r w:rsidRPr="00E3038E">
        <w:rPr>
          <w:rStyle w:val="FootnoteReference"/>
          <w:sz w:val="19"/>
          <w:szCs w:val="19"/>
        </w:rPr>
        <w:footnoteRef/>
      </w:r>
      <w:r w:rsidRPr="00E3038E">
        <w:rPr>
          <w:szCs w:val="19"/>
        </w:rPr>
        <w:t xml:space="preserve"> </w:t>
      </w:r>
      <w:r w:rsidRPr="00E3038E">
        <w:rPr>
          <w:szCs w:val="19"/>
        </w:rPr>
        <w:tab/>
        <w:t xml:space="preserve">The GHG Protocol guidance on this is accessed via: </w:t>
      </w:r>
      <w:hyperlink r:id="rId11" w:history="1">
        <w:r w:rsidRPr="00E3038E">
          <w:rPr>
            <w:rStyle w:val="Hyperlink"/>
            <w:szCs w:val="19"/>
          </w:rPr>
          <w:t>https://ghgprotocol.org/sites/default/files/Stationary_Combustion_Guidance_final_1.pdf</w:t>
        </w:r>
      </w:hyperlink>
      <w:r>
        <w:t xml:space="preserve"> </w:t>
      </w:r>
    </w:p>
  </w:footnote>
  <w:footnote w:id="26">
    <w:p w14:paraId="1C63C631" w14:textId="449E5C4D" w:rsidR="00DB5335" w:rsidRDefault="00DB5335" w:rsidP="00BD438D">
      <w:pPr>
        <w:pStyle w:val="FootnoteText"/>
      </w:pPr>
      <w:r w:rsidRPr="00E3038E">
        <w:rPr>
          <w:rStyle w:val="FootnoteReference"/>
          <w:sz w:val="19"/>
          <w:szCs w:val="19"/>
        </w:rPr>
        <w:footnoteRef/>
      </w:r>
      <w:r w:rsidRPr="00E3038E">
        <w:rPr>
          <w:szCs w:val="19"/>
        </w:rPr>
        <w:t xml:space="preserve"> </w:t>
      </w:r>
      <w:r w:rsidRPr="00E3038E">
        <w:rPr>
          <w:szCs w:val="19"/>
        </w:rPr>
        <w:tab/>
        <w:t xml:space="preserve">The GHG Protocol guidance on this is accessed via: </w:t>
      </w:r>
      <w:hyperlink r:id="rId12" w:history="1">
        <w:r w:rsidRPr="00677AEC">
          <w:rPr>
            <w:rStyle w:val="Hyperlink"/>
            <w:szCs w:val="19"/>
          </w:rPr>
          <w:t>https://ghgprotocol.org/sites/default/files/ Stationary_Combustion_Guidance_final_1.pdf</w:t>
        </w:r>
      </w:hyperlink>
      <w:r>
        <w:t xml:space="preserve"> </w:t>
      </w:r>
    </w:p>
  </w:footnote>
  <w:footnote w:id="27">
    <w:p w14:paraId="09DE82DA" w14:textId="721B7B45" w:rsidR="00DB5335" w:rsidRDefault="00DB5335" w:rsidP="00DF5099">
      <w:pPr>
        <w:pStyle w:val="FootnoteText"/>
      </w:pPr>
      <w:r>
        <w:rPr>
          <w:rStyle w:val="FootnoteReference"/>
        </w:rPr>
        <w:footnoteRef/>
      </w:r>
      <w:r>
        <w:t xml:space="preserve"> </w:t>
      </w:r>
      <w:r w:rsidRPr="00E11C2C">
        <w:rPr>
          <w:rStyle w:val="Hyperlink"/>
        </w:rPr>
        <w:tab/>
      </w:r>
      <w:r w:rsidRPr="00E11C2C">
        <w:t>IPCC Fourth Assessment Report: Climate Change 2007, Working Group 1: The Physical Science Basis, 2.10.2. Direct Global Warming Potentials</w:t>
      </w:r>
      <w:r>
        <w:t>:</w:t>
      </w:r>
      <w:r w:rsidRPr="00E11C2C">
        <w:t xml:space="preserve"> </w:t>
      </w:r>
      <w:hyperlink r:id="rId13" w:history="1">
        <w:r w:rsidRPr="006230BB">
          <w:rPr>
            <w:rStyle w:val="Hyperlink"/>
          </w:rPr>
          <w:t>www.ipcc.ch/site/assets/uploads/2018/02/ar4-wg1-chapter2-1.pdf</w:t>
        </w:r>
      </w:hyperlink>
      <w:r>
        <w:t xml:space="preserve"> </w:t>
      </w:r>
    </w:p>
  </w:footnote>
  <w:footnote w:id="28">
    <w:p w14:paraId="6BD4457C" w14:textId="3A6771BA" w:rsidR="00DB5335" w:rsidRDefault="00DB5335">
      <w:pPr>
        <w:pStyle w:val="FootnoteText"/>
      </w:pPr>
      <w:r>
        <w:rPr>
          <w:rStyle w:val="FootnoteReference"/>
        </w:rPr>
        <w:footnoteRef/>
      </w:r>
      <w:r>
        <w:t xml:space="preserve"> </w:t>
      </w:r>
      <w:r>
        <w:tab/>
        <w:t xml:space="preserve">AR4 GWPs accessed via </w:t>
      </w:r>
      <w:hyperlink r:id="rId14" w:history="1">
        <w:r w:rsidRPr="00791D53">
          <w:rPr>
            <w:rStyle w:val="Hyperlink"/>
          </w:rPr>
          <w:t>www.ipcc.ch/site/assets/uploads/2018/02/ar4-wg1-chapter2-1.pdf</w:t>
        </w:r>
      </w:hyperlink>
      <w:r>
        <w:t xml:space="preserve"> </w:t>
      </w:r>
    </w:p>
  </w:footnote>
  <w:footnote w:id="29">
    <w:p w14:paraId="6554FF75" w14:textId="2D82C61C" w:rsidR="00DB5335" w:rsidRDefault="00DB5335">
      <w:pPr>
        <w:pStyle w:val="FootnoteText"/>
      </w:pPr>
      <w:r>
        <w:rPr>
          <w:rStyle w:val="FootnoteReference"/>
        </w:rPr>
        <w:footnoteRef/>
      </w:r>
      <w:r>
        <w:t xml:space="preserve"> </w:t>
      </w:r>
      <w:r>
        <w:tab/>
        <w:t xml:space="preserve">AR5 GWPs accessed via </w:t>
      </w:r>
      <w:hyperlink r:id="rId15" w:history="1">
        <w:r w:rsidRPr="00791D53">
          <w:rPr>
            <w:rStyle w:val="Hyperlink"/>
            <w:rFonts w:asciiTheme="minorHAnsi" w:hAnsiTheme="minorHAnsi" w:cstheme="minorHAnsi"/>
            <w:szCs w:val="19"/>
          </w:rPr>
          <w:t>www.ipcc.ch/site/assets/uploads/2018/02/WG1AR5_Chapter08_FINAL.pdf</w:t>
        </w:r>
      </w:hyperlink>
      <w:r>
        <w:rPr>
          <w:rStyle w:val="Hyperlink"/>
          <w:rFonts w:asciiTheme="minorHAnsi" w:hAnsiTheme="minorHAnsi" w:cstheme="minorHAnsi"/>
          <w:szCs w:val="19"/>
        </w:rPr>
        <w:t xml:space="preserve"> </w:t>
      </w:r>
    </w:p>
  </w:footnote>
  <w:footnote w:id="30">
    <w:p w14:paraId="1EBDEA6C" w14:textId="2D4B89E8" w:rsidR="00DB5335" w:rsidRDefault="00DB5335">
      <w:pPr>
        <w:pStyle w:val="FootnoteText"/>
      </w:pPr>
      <w:r>
        <w:rPr>
          <w:rStyle w:val="FootnoteReference"/>
        </w:rPr>
        <w:footnoteRef/>
      </w:r>
      <w:r>
        <w:t xml:space="preserve"> </w:t>
      </w:r>
      <w:r>
        <w:tab/>
        <w:t xml:space="preserve">GHG Protocol Scope 2 Guidance, accessed via: </w:t>
      </w:r>
      <w:hyperlink r:id="rId16" w:history="1">
        <w:r w:rsidRPr="006927F4">
          <w:rPr>
            <w:rStyle w:val="Hyperlink"/>
          </w:rPr>
          <w:t>https://ghgprotocol.org/sites/default/files/standards/Scope%202%20Guidance_Final_Sept26.pdf</w:t>
        </w:r>
      </w:hyperlink>
      <w:r>
        <w:t xml:space="preserve"> </w:t>
      </w:r>
    </w:p>
  </w:footnote>
  <w:footnote w:id="31">
    <w:p w14:paraId="135FF0D7" w14:textId="5B2CA2C9" w:rsidR="00DB5335" w:rsidRDefault="00DB5335" w:rsidP="00C450B5">
      <w:pPr>
        <w:pStyle w:val="FootnoteText"/>
        <w:tabs>
          <w:tab w:val="left" w:pos="284"/>
        </w:tabs>
      </w:pPr>
      <w:r>
        <w:rPr>
          <w:rStyle w:val="FootnoteReference"/>
        </w:rPr>
        <w:footnoteRef/>
      </w:r>
      <w:r>
        <w:t xml:space="preserve"> </w:t>
      </w:r>
      <w:r>
        <w:tab/>
        <w:t xml:space="preserve">Real world energy use projections for VFEM (Report prepared for MoT), Emission Impossible, 2016. </w:t>
      </w:r>
      <w:r w:rsidR="001C3E64">
        <w:t>Accessed via</w:t>
      </w:r>
      <w:r>
        <w:t>:</w:t>
      </w:r>
      <w:r w:rsidR="003A4310">
        <w:rPr>
          <w:rStyle w:val="Hyperlink"/>
        </w:rPr>
        <w:t xml:space="preserve"> </w:t>
      </w:r>
      <w:r w:rsidR="003A4310" w:rsidRPr="003A4310">
        <w:rPr>
          <w:rStyle w:val="Hyperlink"/>
        </w:rPr>
        <w:t>https://www.transport.govt.nz/assets/Uploads/Data/Transport-outlook-updated/Emission-Impossible-Real-World-Energy-Use-Projections-for-VFEM-20160905.pdf</w:t>
      </w:r>
    </w:p>
  </w:footnote>
  <w:footnote w:id="32">
    <w:p w14:paraId="65093311" w14:textId="532A25BC" w:rsidR="00DB5335" w:rsidRDefault="00DB5335" w:rsidP="00593E6A">
      <w:pPr>
        <w:pStyle w:val="FootnoteText"/>
      </w:pPr>
      <w:r>
        <w:rPr>
          <w:rStyle w:val="FootnoteReference"/>
        </w:rPr>
        <w:footnoteRef/>
      </w:r>
      <w:r>
        <w:t xml:space="preserve"> </w:t>
      </w:r>
      <w:r>
        <w:tab/>
        <w:t xml:space="preserve">Motor Vehicle Register: </w:t>
      </w:r>
      <w:hyperlink r:id="rId17" w:history="1">
        <w:r w:rsidR="00DB5E9C" w:rsidRPr="00BB3C6E">
          <w:rPr>
            <w:rStyle w:val="Hyperlink"/>
          </w:rPr>
          <w:t>https://www.nzta.govt.nz/vehicles/how-the-motor-vehicle-register-affects-you/motor-vehicle-registrations-dashboard-and-open-data/</w:t>
        </w:r>
      </w:hyperlink>
      <w:r w:rsidR="00DB5E9C">
        <w:t xml:space="preserve"> </w:t>
      </w:r>
    </w:p>
  </w:footnote>
  <w:footnote w:id="33">
    <w:p w14:paraId="5DFEB836" w14:textId="555DF41E" w:rsidR="00DB5335" w:rsidRDefault="00DB5335" w:rsidP="007351FA">
      <w:pPr>
        <w:pStyle w:val="FootnoteText"/>
      </w:pPr>
      <w:r>
        <w:rPr>
          <w:rStyle w:val="FootnoteReference"/>
        </w:rPr>
        <w:footnoteRef/>
      </w:r>
      <w:r>
        <w:t xml:space="preserve"> </w:t>
      </w:r>
      <w:r>
        <w:tab/>
        <w:t xml:space="preserve">New Zealand Transport Agency: </w:t>
      </w:r>
      <w:hyperlink r:id="rId18" w:history="1">
        <w:r w:rsidR="001658D5" w:rsidRPr="001658D5">
          <w:rPr>
            <w:rStyle w:val="Hyperlink"/>
          </w:rPr>
          <w:t>https://www.transport.govt.nz/assets/Uploads/Data/NZVehicleFleet.xlsx</w:t>
        </w:r>
      </w:hyperlink>
      <w:r w:rsidR="001658D5">
        <w:t xml:space="preserve"> </w:t>
      </w:r>
    </w:p>
  </w:footnote>
  <w:footnote w:id="34">
    <w:p w14:paraId="65093314" w14:textId="026BECCB" w:rsidR="00DB5335" w:rsidRDefault="00DB5335" w:rsidP="00700349">
      <w:pPr>
        <w:pStyle w:val="FootnoteText"/>
      </w:pPr>
      <w:r>
        <w:rPr>
          <w:rStyle w:val="FootnoteReference"/>
        </w:rPr>
        <w:footnoteRef/>
      </w:r>
      <w:r>
        <w:t xml:space="preserve"> </w:t>
      </w:r>
      <w:r>
        <w:tab/>
        <w:t>Ministry of Transport:</w:t>
      </w:r>
      <w:r>
        <w:tab/>
        <w:t xml:space="preserve"> </w:t>
      </w:r>
      <w:hyperlink r:id="rId19" w:anchor="element-413" w:history="1">
        <w:r w:rsidR="001658D5" w:rsidRPr="00BB3C6E">
          <w:rPr>
            <w:rStyle w:val="Hyperlink"/>
          </w:rPr>
          <w:t>https://www.transport.govt.nz/statistics-and-insights/fleet-statistics/sheet/vehicle-age#element-413</w:t>
        </w:r>
      </w:hyperlink>
      <w:r w:rsidR="001658D5">
        <w:t xml:space="preserve"> </w:t>
      </w:r>
    </w:p>
  </w:footnote>
  <w:footnote w:id="35">
    <w:p w14:paraId="65093315" w14:textId="46ABDDD6" w:rsidR="00DB5335" w:rsidRDefault="00DB5335" w:rsidP="00700349">
      <w:pPr>
        <w:pStyle w:val="FootnoteText"/>
      </w:pPr>
      <w:r>
        <w:rPr>
          <w:rStyle w:val="FootnoteReference"/>
        </w:rPr>
        <w:footnoteRef/>
      </w:r>
      <w:r>
        <w:t xml:space="preserve"> </w:t>
      </w:r>
      <w:r>
        <w:tab/>
        <w:t xml:space="preserve">Ministry of Transport: </w:t>
      </w:r>
      <w:hyperlink r:id="rId20" w:history="1">
        <w:r w:rsidR="001658D5" w:rsidRPr="00BB3C6E">
          <w:rPr>
            <w:rStyle w:val="Hyperlink"/>
          </w:rPr>
          <w:t>https://www.transport.govt.nz/assets/Uploads/Data/NZVehicleFleet.xlsx</w:t>
        </w:r>
      </w:hyperlink>
      <w:r w:rsidR="001658D5">
        <w:t xml:space="preserve"> </w:t>
      </w:r>
    </w:p>
  </w:footnote>
  <w:footnote w:id="36">
    <w:p w14:paraId="65093316" w14:textId="36588B77" w:rsidR="00DB5335" w:rsidRDefault="00DB5335" w:rsidP="009B64D6">
      <w:pPr>
        <w:pStyle w:val="FootnoteText"/>
        <w:tabs>
          <w:tab w:val="left" w:pos="284"/>
        </w:tabs>
      </w:pPr>
      <w:r>
        <w:rPr>
          <w:rStyle w:val="FootnoteReference"/>
        </w:rPr>
        <w:footnoteRef/>
      </w:r>
      <w:r>
        <w:t xml:space="preserve"> </w:t>
      </w:r>
      <w:r>
        <w:tab/>
        <w:t>New Zealand Transport Agency:</w:t>
      </w:r>
      <w:r w:rsidR="00F70F87">
        <w:rPr>
          <w:rStyle w:val="Hyperlink"/>
          <w:iCs/>
          <w:color w:val="auto"/>
        </w:rPr>
        <w:t xml:space="preserve"> </w:t>
      </w:r>
      <w:hyperlink r:id="rId21" w:history="1">
        <w:r w:rsidR="002E6FAB" w:rsidRPr="00BB3C6E">
          <w:rPr>
            <w:rStyle w:val="Hyperlink"/>
            <w:iCs/>
          </w:rPr>
          <w:t>https://www.transport.govt.nz/assets/Uploads/Data/NZVehicleFleet.xlsx</w:t>
        </w:r>
      </w:hyperlink>
      <w:r w:rsidR="002E6FAB">
        <w:rPr>
          <w:rStyle w:val="Hyperlink"/>
          <w:iCs/>
          <w:color w:val="auto"/>
        </w:rPr>
        <w:t xml:space="preserve"> </w:t>
      </w:r>
    </w:p>
  </w:footnote>
  <w:footnote w:id="37">
    <w:p w14:paraId="6F620E5D" w14:textId="2F2CC55F" w:rsidR="00DB5335" w:rsidRDefault="00DB5335">
      <w:pPr>
        <w:pStyle w:val="FootnoteText"/>
      </w:pPr>
      <w:r>
        <w:rPr>
          <w:rStyle w:val="FootnoteReference"/>
        </w:rPr>
        <w:footnoteRef/>
      </w:r>
      <w:r>
        <w:t xml:space="preserve"> </w:t>
      </w:r>
      <w:r>
        <w:tab/>
        <w:t xml:space="preserve">GHG Protocol Technical Guidance for Calculating Scope 3 Emissions: </w:t>
      </w:r>
      <w:hyperlink r:id="rId22" w:history="1">
        <w:r w:rsidRPr="00791D53">
          <w:rPr>
            <w:rStyle w:val="Hyperlink"/>
          </w:rPr>
          <w:t>https://ghgprotocol.org/sites/default/files/standards_supporting/Chapter6.pdf</w:t>
        </w:r>
      </w:hyperlink>
      <w:r>
        <w:t xml:space="preserve"> </w:t>
      </w:r>
    </w:p>
  </w:footnote>
  <w:footnote w:id="38">
    <w:p w14:paraId="20AD6734" w14:textId="5820ACC8" w:rsidR="00DB5335" w:rsidRDefault="00DB5335" w:rsidP="00260B7E">
      <w:pPr>
        <w:pStyle w:val="FootnoteText"/>
      </w:pPr>
      <w:r>
        <w:rPr>
          <w:rStyle w:val="FootnoteReference"/>
        </w:rPr>
        <w:footnoteRef/>
      </w:r>
      <w:r>
        <w:t xml:space="preserve"> </w:t>
      </w:r>
      <w:r>
        <w:tab/>
        <w:t xml:space="preserve">NZTA Passenger data, accessed September 2020, online at: </w:t>
      </w:r>
      <w:hyperlink r:id="rId23" w:history="1">
        <w:r w:rsidRPr="00791D53">
          <w:rPr>
            <w:rStyle w:val="Hyperlink"/>
          </w:rPr>
          <w:t>www.nzta.govt.nz/assets/userfiles/transport-data/PTPerformance.xlsx</w:t>
        </w:r>
      </w:hyperlink>
      <w:r>
        <w:t xml:space="preserve"> </w:t>
      </w:r>
    </w:p>
  </w:footnote>
  <w:footnote w:id="39">
    <w:p w14:paraId="4B839601" w14:textId="75648AD8" w:rsidR="008B4F8C" w:rsidRDefault="008B4F8C">
      <w:pPr>
        <w:pStyle w:val="FootnoteText"/>
      </w:pPr>
      <w:r>
        <w:rPr>
          <w:rStyle w:val="FootnoteReference"/>
        </w:rPr>
        <w:footnoteRef/>
      </w:r>
      <w:r>
        <w:t xml:space="preserve"> </w:t>
      </w:r>
      <w:r w:rsidR="008E7205">
        <w:tab/>
      </w:r>
      <w:r>
        <w:t>Multiple airlines were engaged with to contribute to this version of the guidance</w:t>
      </w:r>
      <w:r w:rsidR="008E7205">
        <w:t xml:space="preserve"> but were unable to </w:t>
      </w:r>
      <w:r w:rsidR="00282982">
        <w:t>do</w:t>
      </w:r>
      <w:r w:rsidR="003F07A7">
        <w:t> </w:t>
      </w:r>
      <w:r w:rsidR="00282982">
        <w:t>so</w:t>
      </w:r>
      <w:r w:rsidR="00B917D5">
        <w:t> </w:t>
      </w:r>
      <w:r w:rsidR="00282982">
        <w:t>at that time</w:t>
      </w:r>
      <w:r>
        <w:t xml:space="preserve">. The intention is to continue working with </w:t>
      </w:r>
      <w:r w:rsidR="008E7205">
        <w:t>these airlines to supplement data in the next</w:t>
      </w:r>
      <w:r w:rsidR="003F07A7">
        <w:t> </w:t>
      </w:r>
      <w:r w:rsidR="008E7205">
        <w:t>update.</w:t>
      </w:r>
    </w:p>
  </w:footnote>
  <w:footnote w:id="40">
    <w:p w14:paraId="5F11D11B" w14:textId="75A11FDE" w:rsidR="00DB5335" w:rsidRDefault="00DB5335" w:rsidP="003C07FB">
      <w:pPr>
        <w:pStyle w:val="FootnoteText"/>
      </w:pPr>
      <w:r>
        <w:rPr>
          <w:rStyle w:val="FootnoteReference"/>
        </w:rPr>
        <w:footnoteRef/>
      </w:r>
      <w:r>
        <w:t xml:space="preserve"> </w:t>
      </w:r>
      <w:r>
        <w:tab/>
      </w:r>
      <w:r w:rsidRPr="00766F65">
        <w:t xml:space="preserve">R Sausen et al (2005). Aviation radiative forcing in 2000: An update on IPCC (1999) </w:t>
      </w:r>
      <w:r w:rsidRPr="00CF5F2D">
        <w:rPr>
          <w:i/>
          <w:iCs/>
        </w:rPr>
        <w:t>Meteorologische Zeitschrift</w:t>
      </w:r>
      <w:r w:rsidRPr="00766F65">
        <w:t xml:space="preserve"> 14: 555-561, available at: </w:t>
      </w:r>
      <w:hyperlink r:id="rId24" w:history="1">
        <w:r w:rsidRPr="007C6450">
          <w:rPr>
            <w:rStyle w:val="Hyperlink"/>
          </w:rPr>
          <w:t>http://elib.dlr.de/19906/1/s13.pdf</w:t>
        </w:r>
      </w:hyperlink>
      <w:r>
        <w:t xml:space="preserve"> </w:t>
      </w:r>
    </w:p>
  </w:footnote>
  <w:footnote w:id="41">
    <w:p w14:paraId="498FDCC3" w14:textId="09699E89" w:rsidR="00DB5335" w:rsidRDefault="00DB5335" w:rsidP="003C07FB">
      <w:pPr>
        <w:pStyle w:val="FootnoteText"/>
      </w:pPr>
      <w:r>
        <w:rPr>
          <w:rStyle w:val="FootnoteReference"/>
        </w:rPr>
        <w:footnoteRef/>
      </w:r>
      <w:r>
        <w:t xml:space="preserve"> </w:t>
      </w:r>
      <w:r>
        <w:tab/>
      </w:r>
      <w:r w:rsidRPr="00766F65">
        <w:t xml:space="preserve">CCC (2009). Meeting the UK Aviation </w:t>
      </w:r>
      <w:r>
        <w:t>T</w:t>
      </w:r>
      <w:r w:rsidRPr="00766F65">
        <w:t xml:space="preserve">arget – </w:t>
      </w:r>
      <w:r>
        <w:t>O</w:t>
      </w:r>
      <w:r w:rsidRPr="00766F65">
        <w:t xml:space="preserve">ptions for </w:t>
      </w:r>
      <w:r>
        <w:t>R</w:t>
      </w:r>
      <w:r w:rsidRPr="00766F65">
        <w:t xml:space="preserve">educing </w:t>
      </w:r>
      <w:r>
        <w:t>E</w:t>
      </w:r>
      <w:r w:rsidRPr="00766F65">
        <w:t>missions to 2050</w:t>
      </w:r>
      <w:r>
        <w:t xml:space="preserve">: </w:t>
      </w:r>
      <w:hyperlink r:id="rId25" w:history="1">
        <w:r w:rsidRPr="00535E8F">
          <w:rPr>
            <w:rStyle w:val="Hyperlink"/>
          </w:rPr>
          <w:t>www.theccc.org.uk/publication/meeting-the-uk-aviation-target-options-for-reducing-emissions-to-2050/</w:t>
        </w:r>
      </w:hyperlink>
      <w:r>
        <w:t xml:space="preserve"> </w:t>
      </w:r>
    </w:p>
  </w:footnote>
  <w:footnote w:id="42">
    <w:p w14:paraId="65093318" w14:textId="20902D96" w:rsidR="00DB5335" w:rsidRDefault="00DB5335" w:rsidP="009B64D6">
      <w:pPr>
        <w:pStyle w:val="FootnoteText"/>
        <w:tabs>
          <w:tab w:val="left" w:pos="284"/>
        </w:tabs>
      </w:pPr>
      <w:r>
        <w:rPr>
          <w:rStyle w:val="FootnoteReference"/>
        </w:rPr>
        <w:footnoteRef/>
      </w:r>
      <w:r>
        <w:t xml:space="preserve"> </w:t>
      </w:r>
      <w:r>
        <w:tab/>
        <w:t>Z Energy:</w:t>
      </w:r>
      <w:r w:rsidRPr="00D15DE7">
        <w:t xml:space="preserve"> </w:t>
      </w:r>
      <w:hyperlink r:id="rId26" w:history="1">
        <w:r w:rsidRPr="00B858D0">
          <w:rPr>
            <w:rStyle w:val="Hyperlink"/>
          </w:rPr>
          <w:t>https://z.co.nz/assets/SDS/Kerosene_2.pdf</w:t>
        </w:r>
      </w:hyperlink>
      <w:r>
        <w:t xml:space="preserve"> </w:t>
      </w:r>
    </w:p>
  </w:footnote>
  <w:footnote w:id="43">
    <w:p w14:paraId="65093319" w14:textId="52E5B866" w:rsidR="00DB5335" w:rsidRDefault="00DB5335">
      <w:pPr>
        <w:pStyle w:val="FootnoteText"/>
      </w:pPr>
      <w:r>
        <w:rPr>
          <w:rStyle w:val="FootnoteReference"/>
        </w:rPr>
        <w:footnoteRef/>
      </w:r>
      <w:r>
        <w:t xml:space="preserve"> </w:t>
      </w:r>
      <w:r>
        <w:tab/>
        <w:t xml:space="preserve">International Civil Aviation Organisation Calculator, accessed via: </w:t>
      </w:r>
      <w:hyperlink r:id="rId27" w:history="1">
        <w:r w:rsidR="000B447B" w:rsidRPr="000B447B">
          <w:rPr>
            <w:rStyle w:val="Hyperlink"/>
          </w:rPr>
          <w:t>www.icao.int/environmental-protection/CarbonOffset/Pages/default.aspx</w:t>
        </w:r>
      </w:hyperlink>
      <w:r>
        <w:t xml:space="preserve"> </w:t>
      </w:r>
    </w:p>
  </w:footnote>
  <w:footnote w:id="44">
    <w:p w14:paraId="61930744" w14:textId="6B865A31" w:rsidR="00191856" w:rsidRDefault="00191856" w:rsidP="00191856">
      <w:pPr>
        <w:pStyle w:val="FootnoteText"/>
      </w:pPr>
      <w:r>
        <w:rPr>
          <w:rStyle w:val="FootnoteReference"/>
        </w:rPr>
        <w:footnoteRef/>
      </w:r>
      <w:r>
        <w:t xml:space="preserve"> </w:t>
      </w:r>
      <w:r w:rsidR="00953BE9">
        <w:tab/>
      </w:r>
      <w:hyperlink r:id="rId28" w:history="1">
        <w:r w:rsidR="00953BE9" w:rsidRPr="00D86FEC">
          <w:rPr>
            <w:rStyle w:val="Hyperlink"/>
          </w:rPr>
          <w:t>www.bazl.admin.ch/bazl/en/home/specialists/regulations-and-guidelines/environment/pollutant-emissions/aircraft-engine-emissions/guidance-on-the-determination-of-helicopter-emissions.html</w:t>
        </w:r>
      </w:hyperlink>
      <w:r w:rsidR="0092123F">
        <w:t xml:space="preserve"> </w:t>
      </w:r>
    </w:p>
  </w:footnote>
  <w:footnote w:id="45">
    <w:p w14:paraId="608A959E" w14:textId="63E2850F" w:rsidR="00191856" w:rsidRDefault="00191856" w:rsidP="00191856">
      <w:pPr>
        <w:pStyle w:val="FootnoteText"/>
      </w:pPr>
      <w:r>
        <w:rPr>
          <w:rStyle w:val="FootnoteReference"/>
        </w:rPr>
        <w:footnoteRef/>
      </w:r>
      <w:r>
        <w:t xml:space="preserve"> </w:t>
      </w:r>
      <w:r w:rsidR="00953BE9">
        <w:tab/>
      </w:r>
      <w:hyperlink r:id="rId29" w:history="1">
        <w:r w:rsidR="003A6D7A" w:rsidRPr="00D86FEC">
          <w:rPr>
            <w:rStyle w:val="Hyperlink"/>
          </w:rPr>
          <w:t>www.aviation.govt.nz/aircraft/aircraft-registration/aircraft-register-search/</w:t>
        </w:r>
      </w:hyperlink>
      <w:r w:rsidR="0092123F">
        <w:t xml:space="preserve"> </w:t>
      </w:r>
    </w:p>
  </w:footnote>
  <w:footnote w:id="46">
    <w:p w14:paraId="57DB80F2" w14:textId="4522D508" w:rsidR="00DB5335" w:rsidRDefault="00DB5335" w:rsidP="004560AC">
      <w:pPr>
        <w:pStyle w:val="FootnoteText"/>
        <w:spacing w:after="0"/>
        <w:rPr>
          <w:rStyle w:val="Hyperlink"/>
        </w:rPr>
      </w:pPr>
      <w:r>
        <w:rPr>
          <w:rStyle w:val="FootnoteReference"/>
        </w:rPr>
        <w:footnoteRef/>
      </w:r>
      <w:r w:rsidR="28059CFA">
        <w:t xml:space="preserve"> </w:t>
      </w:r>
      <w:r>
        <w:tab/>
      </w:r>
      <w:r w:rsidR="28059CFA">
        <w:t xml:space="preserve">The Hotel Footprinting Tool can be accessed via: </w:t>
      </w:r>
      <w:hyperlink r:id="rId30" w:history="1">
        <w:r w:rsidR="00C707BC" w:rsidRPr="005A7A26">
          <w:rPr>
            <w:rStyle w:val="Hyperlink"/>
          </w:rPr>
          <w:t>https://www.hotelfootprints.org/</w:t>
        </w:r>
      </w:hyperlink>
      <w:r w:rsidR="00C707BC">
        <w:t xml:space="preserve"> </w:t>
      </w:r>
    </w:p>
  </w:footnote>
  <w:footnote w:id="47">
    <w:p w14:paraId="39FB0D26" w14:textId="6BE60B2F" w:rsidR="00DB5335" w:rsidRDefault="00DB5335" w:rsidP="006D5744">
      <w:pPr>
        <w:pStyle w:val="FootnoteText"/>
        <w:spacing w:after="0"/>
      </w:pPr>
      <w:r>
        <w:rPr>
          <w:rStyle w:val="FootnoteReference"/>
        </w:rPr>
        <w:footnoteRef/>
      </w:r>
      <w:r>
        <w:t xml:space="preserve"> </w:t>
      </w:r>
      <w:r>
        <w:tab/>
        <w:t xml:space="preserve">Access the CHSB </w:t>
      </w:r>
      <w:r w:rsidR="0006594A">
        <w:t>Index</w:t>
      </w:r>
      <w:r>
        <w:t xml:space="preserve"> via: </w:t>
      </w:r>
      <w:hyperlink r:id="rId31" w:history="1">
        <w:r w:rsidR="008545A8">
          <w:rPr>
            <w:rStyle w:val="Hyperlink"/>
          </w:rPr>
          <w:t>Hotel Sustainability Benchmarking Index 2021: Carbon, Energy, and Water (cornell.edu)</w:t>
        </w:r>
      </w:hyperlink>
      <w:r w:rsidR="00B11474">
        <w:t>.</w:t>
      </w:r>
    </w:p>
  </w:footnote>
  <w:footnote w:id="48">
    <w:p w14:paraId="3DBC2E11" w14:textId="44237DB0" w:rsidR="00B36DA6" w:rsidRDefault="00B36DA6">
      <w:pPr>
        <w:pStyle w:val="FootnoteText"/>
      </w:pPr>
      <w:r>
        <w:rPr>
          <w:rStyle w:val="FootnoteReference"/>
        </w:rPr>
        <w:footnoteRef/>
      </w:r>
      <w:r>
        <w:t xml:space="preserve"> </w:t>
      </w:r>
      <w:r w:rsidR="00B92E81">
        <w:tab/>
      </w:r>
      <w:r w:rsidR="00B84FE0" w:rsidRPr="0083579E">
        <w:rPr>
          <w:rFonts w:cs="Calibri"/>
          <w:szCs w:val="19"/>
          <w:shd w:val="clear" w:color="auto" w:fill="FFFFFF"/>
        </w:rPr>
        <w:t>UK BEIS 2021 Guidance, accessed via:</w:t>
      </w:r>
      <w:r w:rsidR="00B92E81">
        <w:rPr>
          <w:rFonts w:cs="Calibri"/>
          <w:szCs w:val="19"/>
          <w:shd w:val="clear" w:color="auto" w:fill="FFFFFF"/>
        </w:rPr>
        <w:t xml:space="preserve"> </w:t>
      </w:r>
      <w:hyperlink r:id="rId32" w:history="1">
        <w:r w:rsidR="00B92E81" w:rsidRPr="00D86FEC">
          <w:rPr>
            <w:rStyle w:val="Hyperlink"/>
            <w:rFonts w:cs="Calibri"/>
            <w:szCs w:val="19"/>
            <w:shd w:val="clear" w:color="auto" w:fill="FFFFFF"/>
          </w:rPr>
          <w:t>https://assets.publishing.service.gov.uk/government/uploads/ system/uploads/attachment_data/file/1049346/2021-ghg-conversion-factors-methodology.pdf</w:t>
        </w:r>
      </w:hyperlink>
      <w:r w:rsidR="0083579E">
        <w:rPr>
          <w:rFonts w:cs="Calibri"/>
          <w:szCs w:val="19"/>
          <w:shd w:val="clear" w:color="auto" w:fill="FFFFFF"/>
        </w:rPr>
        <w:t xml:space="preserve"> </w:t>
      </w:r>
    </w:p>
  </w:footnote>
  <w:footnote w:id="49">
    <w:p w14:paraId="6509331C" w14:textId="5F189A03" w:rsidR="00DB5335" w:rsidRDefault="00DB5335">
      <w:pPr>
        <w:pStyle w:val="FootnoteText"/>
      </w:pPr>
      <w:r>
        <w:rPr>
          <w:rStyle w:val="FootnoteReference"/>
        </w:rPr>
        <w:footnoteRef/>
      </w:r>
      <w:r>
        <w:t xml:space="preserve"> </w:t>
      </w:r>
      <w:r>
        <w:tab/>
      </w:r>
      <w:r w:rsidR="002B3645">
        <w:t xml:space="preserve">Emission: Impossible, </w:t>
      </w:r>
      <w:r>
        <w:t>Real-world energy use projections for VFEM (Report prepared for MoT), Emission Impossible, 2016.</w:t>
      </w:r>
      <w:r w:rsidR="001C3E64">
        <w:t xml:space="preserve"> Accessed via: </w:t>
      </w:r>
      <w:hyperlink r:id="rId33" w:history="1">
        <w:r w:rsidR="001C3E64" w:rsidRPr="007A3C85">
          <w:rPr>
            <w:rStyle w:val="Hyperlink"/>
          </w:rPr>
          <w:t>https://www.transport.govt.nz/assets/Uploads/Data/Transport-outlook-updated/Emission-Impossible-Real-World-Energy-Use-Projections-for-VFEM-20160905.pdf</w:t>
        </w:r>
      </w:hyperlink>
      <w:r w:rsidR="001C3E64">
        <w:t xml:space="preserve"> </w:t>
      </w:r>
    </w:p>
  </w:footnote>
  <w:footnote w:id="50">
    <w:p w14:paraId="679BC032" w14:textId="00DE2264" w:rsidR="00DB5335" w:rsidRPr="006F3043" w:rsidRDefault="00DB5335" w:rsidP="004B22C1">
      <w:pPr>
        <w:pStyle w:val="FootnoteText"/>
      </w:pPr>
      <w:r>
        <w:rPr>
          <w:rStyle w:val="FootnoteReference"/>
        </w:rPr>
        <w:footnoteRef/>
      </w:r>
      <w:r>
        <w:t xml:space="preserve"> </w:t>
      </w:r>
      <w:r>
        <w:tab/>
        <w:t>Ministry of Transport:</w:t>
      </w:r>
      <w:r w:rsidR="006F3043">
        <w:t xml:space="preserve"> </w:t>
      </w:r>
      <w:hyperlink r:id="rId34" w:tgtFrame="_blank" w:history="1">
        <w:r w:rsidR="006F3043" w:rsidRPr="00196097">
          <w:rPr>
            <w:rStyle w:val="Hyperlink"/>
            <w:rFonts w:cs="Calibri"/>
            <w:szCs w:val="19"/>
            <w:bdr w:val="none" w:sz="0" w:space="0" w:color="auto" w:frame="1"/>
          </w:rPr>
          <w:t>https://www.transport.govt.nz/assets/Uploads/Data/NZVehicleFleet.xlsx</w:t>
        </w:r>
      </w:hyperlink>
      <w:r w:rsidR="00A42624">
        <w:t xml:space="preserve"> </w:t>
      </w:r>
    </w:p>
  </w:footnote>
  <w:footnote w:id="51">
    <w:p w14:paraId="5D2919CD" w14:textId="2B9C323A" w:rsidR="00DB5335" w:rsidRDefault="00DB5335" w:rsidP="004B22C1">
      <w:pPr>
        <w:pStyle w:val="FootnoteText"/>
      </w:pPr>
      <w:r w:rsidRPr="006F3043">
        <w:rPr>
          <w:rStyle w:val="FootnoteReference"/>
        </w:rPr>
        <w:footnoteRef/>
      </w:r>
      <w:r w:rsidRPr="006F3043">
        <w:t xml:space="preserve"> </w:t>
      </w:r>
      <w:r w:rsidRPr="006F3043">
        <w:tab/>
        <w:t>MoT, RD025 Average vehicle fleet age, source:</w:t>
      </w:r>
      <w:r w:rsidR="00A42624">
        <w:t xml:space="preserve"> </w:t>
      </w:r>
      <w:hyperlink r:id="rId35" w:anchor="element-413" w:tgtFrame="_blank" w:history="1">
        <w:r w:rsidR="00FB0C37" w:rsidRPr="00196097">
          <w:rPr>
            <w:rStyle w:val="Hyperlink"/>
            <w:bdr w:val="none" w:sz="0" w:space="0" w:color="auto" w:frame="1"/>
          </w:rPr>
          <w:t>https://www.transport.govt.nz/statistics-and-insights/fleet-statistics/sheet/vehicle-age#element-413</w:t>
        </w:r>
      </w:hyperlink>
      <w:r w:rsidR="00FB0C37">
        <w:rPr>
          <w:rFonts w:cs="Calibri"/>
          <w:color w:val="D13438"/>
          <w:szCs w:val="19"/>
          <w:u w:val="single"/>
          <w:shd w:val="clear" w:color="auto" w:fill="FFFFFF"/>
        </w:rPr>
        <w:t xml:space="preserve"> </w:t>
      </w:r>
    </w:p>
  </w:footnote>
  <w:footnote w:id="52">
    <w:p w14:paraId="06935005" w14:textId="3303CBDF" w:rsidR="00DB5335" w:rsidRDefault="00DB5335" w:rsidP="001D1AC9">
      <w:pPr>
        <w:pStyle w:val="FootnoteText"/>
        <w:spacing w:after="40"/>
      </w:pPr>
      <w:r>
        <w:rPr>
          <w:rStyle w:val="FootnoteReference"/>
        </w:rPr>
        <w:footnoteRef/>
      </w:r>
      <w:r>
        <w:t xml:space="preserve"> </w:t>
      </w:r>
      <w:r w:rsidRPr="006357CE">
        <w:tab/>
      </w:r>
      <w:r>
        <w:t xml:space="preserve">Ministry of Transport: </w:t>
      </w:r>
      <w:hyperlink r:id="rId36" w:history="1">
        <w:r w:rsidR="00FB0C37" w:rsidRPr="004D33ED">
          <w:rPr>
            <w:rStyle w:val="Hyperlink"/>
            <w:rFonts w:cs="Calibri"/>
            <w:szCs w:val="19"/>
            <w:bdr w:val="none" w:sz="0" w:space="0" w:color="auto" w:frame="1"/>
          </w:rPr>
          <w:t>https://www.knowledgehub.transport.govt.nz/assets/TKH-Uploads/TKC-2019/Real-world-fuel-economy-of-heavy-trucks.pdf</w:t>
        </w:r>
      </w:hyperlink>
    </w:p>
  </w:footnote>
  <w:footnote w:id="53">
    <w:p w14:paraId="3F891DF1" w14:textId="146F35A4" w:rsidR="00AE2534" w:rsidRDefault="00AE2534" w:rsidP="00AE2534">
      <w:pPr>
        <w:pStyle w:val="FootnoteText"/>
        <w:spacing w:after="40" w:line="220" w:lineRule="atLeast"/>
      </w:pPr>
      <w:r>
        <w:rPr>
          <w:rStyle w:val="FootnoteReference"/>
        </w:rPr>
        <w:footnoteRef/>
      </w:r>
      <w:r>
        <w:t xml:space="preserve"> </w:t>
      </w:r>
      <w:r>
        <w:tab/>
      </w:r>
      <w:r w:rsidRPr="00766F65">
        <w:t xml:space="preserve">R Sausen et al (2005). Aviation radiative forcing in 2000: An update on IPCC (1999) Meteorologische Zeitschrift 14: 555-561, available at: </w:t>
      </w:r>
      <w:hyperlink r:id="rId37" w:history="1">
        <w:r w:rsidRPr="007C6450">
          <w:rPr>
            <w:rStyle w:val="Hyperlink"/>
          </w:rPr>
          <w:t>http://elib.dlr.de/19906/1/s13.pdf</w:t>
        </w:r>
      </w:hyperlink>
      <w:r>
        <w:t xml:space="preserve"> </w:t>
      </w:r>
    </w:p>
  </w:footnote>
  <w:footnote w:id="54">
    <w:p w14:paraId="0A4E7A19" w14:textId="7184F31B" w:rsidR="00AE2534" w:rsidRPr="004E485B" w:rsidRDefault="00AE2534" w:rsidP="00AE2534">
      <w:pPr>
        <w:pStyle w:val="FootnoteText"/>
        <w:spacing w:after="40" w:line="220" w:lineRule="atLeast"/>
      </w:pPr>
      <w:r>
        <w:rPr>
          <w:rStyle w:val="FootnoteReference"/>
        </w:rPr>
        <w:footnoteRef/>
      </w:r>
      <w:r>
        <w:t xml:space="preserve"> </w:t>
      </w:r>
      <w:r>
        <w:tab/>
      </w:r>
      <w:r w:rsidRPr="00766F65">
        <w:t xml:space="preserve">CCC (2009). Meeting the UK Aviation </w:t>
      </w:r>
      <w:r>
        <w:t>T</w:t>
      </w:r>
      <w:r w:rsidRPr="00766F65">
        <w:t xml:space="preserve">arget – </w:t>
      </w:r>
      <w:r>
        <w:t>O</w:t>
      </w:r>
      <w:r w:rsidRPr="00766F65">
        <w:t xml:space="preserve">ptions for </w:t>
      </w:r>
      <w:r>
        <w:t>R</w:t>
      </w:r>
      <w:r w:rsidRPr="00766F65">
        <w:t xml:space="preserve">educing </w:t>
      </w:r>
      <w:r>
        <w:t>E</w:t>
      </w:r>
      <w:r w:rsidRPr="00766F65">
        <w:t>missions to 2050</w:t>
      </w:r>
      <w:r>
        <w:t xml:space="preserve">: </w:t>
      </w:r>
      <w:hyperlink r:id="rId38" w:history="1">
        <w:r w:rsidRPr="00535E8F">
          <w:rPr>
            <w:rStyle w:val="Hyperlink"/>
          </w:rPr>
          <w:t>www.theccc.org.uk/publication/meeting-the-uk-aviation-target-options-for-reducing-emissions-to-2050/</w:t>
        </w:r>
      </w:hyperlink>
      <w:r>
        <w:t xml:space="preserve"> </w:t>
      </w:r>
    </w:p>
  </w:footnote>
  <w:footnote w:id="55">
    <w:p w14:paraId="514FE8F1" w14:textId="0008FAD1" w:rsidR="00DB5335" w:rsidRDefault="00DB5335" w:rsidP="004C1F5A">
      <w:pPr>
        <w:pStyle w:val="FootnoteText"/>
        <w:spacing w:after="40" w:line="220" w:lineRule="atLeast"/>
      </w:pPr>
      <w:r>
        <w:rPr>
          <w:rStyle w:val="FootnoteReference"/>
        </w:rPr>
        <w:footnoteRef/>
      </w:r>
      <w:r>
        <w:t xml:space="preserve"> </w:t>
      </w:r>
      <w:r>
        <w:tab/>
      </w:r>
      <w:hyperlink r:id="rId39" w:history="1">
        <w:r w:rsidR="005E31F8" w:rsidRPr="004D33ED">
          <w:rPr>
            <w:rStyle w:val="Hyperlink"/>
          </w:rPr>
          <w:t>https://www.knowledgehub.transport.govt.nz/assets/TKH-Uploads/TKC-2019/Real-world-fuel-economy-of-heavy-trucks.pdf</w:t>
        </w:r>
      </w:hyperlink>
    </w:p>
  </w:footnote>
  <w:footnote w:id="56">
    <w:p w14:paraId="3DBBAFCD" w14:textId="5FBDA37E" w:rsidR="00DB5335" w:rsidRDefault="00DB5335" w:rsidP="00D12F07">
      <w:pPr>
        <w:pStyle w:val="FootnoteText"/>
        <w:spacing w:after="40"/>
      </w:pPr>
      <w:r>
        <w:rPr>
          <w:rStyle w:val="FootnoteReference"/>
        </w:rPr>
        <w:footnoteRef/>
      </w:r>
      <w:r>
        <w:t xml:space="preserve"> </w:t>
      </w:r>
      <w:r>
        <w:tab/>
        <w:t xml:space="preserve">Ministry of Transport: </w:t>
      </w:r>
      <w:hyperlink r:id="rId40" w:history="1">
        <w:r w:rsidR="004766C3" w:rsidRPr="004D33ED">
          <w:rPr>
            <w:rStyle w:val="Hyperlink"/>
          </w:rPr>
          <w:t>https://www.knowledgehub.transport.govt.nz/assets/TKH-Uploads/TKC-2019/Real-world-fuel-economy-of-heavy-trucks.pdf</w:t>
        </w:r>
      </w:hyperlink>
      <w:r w:rsidR="004766C3">
        <w:t xml:space="preserve"> </w:t>
      </w:r>
    </w:p>
  </w:footnote>
  <w:footnote w:id="57">
    <w:p w14:paraId="65093322" w14:textId="6F9D8FE2" w:rsidR="00DB5335" w:rsidRDefault="00DB5335" w:rsidP="00D12F07">
      <w:pPr>
        <w:pStyle w:val="FootnoteText"/>
        <w:spacing w:after="40"/>
      </w:pPr>
      <w:r>
        <w:rPr>
          <w:rStyle w:val="FootnoteReference"/>
        </w:rPr>
        <w:footnoteRef/>
      </w:r>
      <w:r>
        <w:t xml:space="preserve"> </w:t>
      </w:r>
      <w:r>
        <w:tab/>
        <w:t xml:space="preserve">Freight Information Gathering System, accessed via: </w:t>
      </w:r>
      <w:hyperlink r:id="rId41" w:history="1">
        <w:r w:rsidR="000D0FE2" w:rsidRPr="004D33ED">
          <w:rPr>
            <w:rStyle w:val="Hyperlink"/>
            <w:rFonts w:cs="Calibri"/>
            <w:szCs w:val="19"/>
            <w:bdr w:val="none" w:sz="0" w:space="0" w:color="auto" w:frame="1"/>
          </w:rPr>
          <w:t>https://www.transport.govt.nz/statistics-and-insights/freight-and-logistics/</w:t>
        </w:r>
      </w:hyperlink>
    </w:p>
  </w:footnote>
  <w:footnote w:id="58">
    <w:p w14:paraId="65093323" w14:textId="0AA5C76B" w:rsidR="00DB5335" w:rsidRDefault="00DB5335" w:rsidP="00563F6F">
      <w:pPr>
        <w:pStyle w:val="FootnoteText"/>
      </w:pPr>
      <w:r>
        <w:rPr>
          <w:rStyle w:val="FootnoteReference"/>
        </w:rPr>
        <w:footnoteRef/>
      </w:r>
      <w:r>
        <w:t xml:space="preserve"> </w:t>
      </w:r>
      <w:r>
        <w:tab/>
        <w:t xml:space="preserve">Freight Information Gathering System, overseas ships, accessed via: </w:t>
      </w:r>
      <w:hyperlink r:id="rId42" w:history="1">
        <w:r w:rsidR="00B005E4" w:rsidRPr="004D33ED">
          <w:rPr>
            <w:rStyle w:val="Hyperlink"/>
            <w:rFonts w:cs="Calibri"/>
            <w:szCs w:val="19"/>
            <w:bdr w:val="none" w:sz="0" w:space="0" w:color="auto" w:frame="1"/>
          </w:rPr>
          <w:t>https://www.transport.govt.nz/statistics-and-insights/freight-and-logistics/</w:t>
        </w:r>
      </w:hyperlink>
    </w:p>
  </w:footnote>
  <w:footnote w:id="59">
    <w:p w14:paraId="65093324" w14:textId="35710EE6" w:rsidR="00DB5335" w:rsidRDefault="00DB5335" w:rsidP="009274E6">
      <w:pPr>
        <w:pStyle w:val="FootnoteText"/>
      </w:pPr>
      <w:r>
        <w:rPr>
          <w:rStyle w:val="FootnoteReference"/>
        </w:rPr>
        <w:footnoteRef/>
      </w:r>
      <w:r>
        <w:t xml:space="preserve"> </w:t>
      </w:r>
      <w:r>
        <w:tab/>
        <w:t xml:space="preserve">UK BEIS 2020 Guidance, accessed via: </w:t>
      </w:r>
      <w:hyperlink r:id="rId43" w:history="1">
        <w:r w:rsidR="00083DC3" w:rsidRPr="004D33ED">
          <w:rPr>
            <w:rStyle w:val="Hyperlink"/>
          </w:rPr>
          <w:t>https://www.gov.uk/government/publications/greenhouse-gas-reporting-conversion-factors-2021</w:t>
        </w:r>
      </w:hyperlink>
      <w:r w:rsidR="00083DC3">
        <w:t xml:space="preserve"> </w:t>
      </w:r>
    </w:p>
  </w:footnote>
  <w:footnote w:id="60">
    <w:p w14:paraId="44DDA6C0" w14:textId="21D9AE6F" w:rsidR="0075166B" w:rsidRDefault="0075166B">
      <w:pPr>
        <w:pStyle w:val="FootnoteText"/>
      </w:pPr>
      <w:r w:rsidRPr="008C096B">
        <w:rPr>
          <w:rStyle w:val="FootnoteReference"/>
          <w:color w:val="auto"/>
        </w:rPr>
        <w:footnoteRef/>
      </w:r>
      <w:r w:rsidRPr="008C096B">
        <w:t xml:space="preserve"> </w:t>
      </w:r>
      <w:r w:rsidR="00523938" w:rsidRPr="008C096B">
        <w:tab/>
      </w:r>
      <w:r w:rsidR="00523938" w:rsidRPr="0050174F">
        <w:rPr>
          <w:rFonts w:cs="Calibri"/>
          <w:szCs w:val="19"/>
          <w:shd w:val="clear" w:color="auto" w:fill="FFFFFF"/>
        </w:rPr>
        <w:t>Guidelines</w:t>
      </w:r>
      <w:r w:rsidR="008C096B" w:rsidRPr="0050174F">
        <w:rPr>
          <w:rFonts w:cs="Calibri"/>
          <w:szCs w:val="19"/>
          <w:shd w:val="clear" w:color="auto" w:fill="FFFFFF"/>
        </w:rPr>
        <w:t xml:space="preserve"> </w:t>
      </w:r>
      <w:r w:rsidR="00523938" w:rsidRPr="0050174F">
        <w:rPr>
          <w:rFonts w:cs="Calibri"/>
          <w:szCs w:val="19"/>
          <w:shd w:val="clear" w:color="auto" w:fill="FFFFFF"/>
        </w:rPr>
        <w:t>can be found</w:t>
      </w:r>
      <w:r w:rsidR="008C096B" w:rsidRPr="0050174F">
        <w:rPr>
          <w:rFonts w:cs="Calibri"/>
          <w:szCs w:val="19"/>
          <w:shd w:val="clear" w:color="auto" w:fill="FFFFFF"/>
        </w:rPr>
        <w:t xml:space="preserve"> </w:t>
      </w:r>
      <w:r w:rsidR="00523938" w:rsidRPr="0050174F">
        <w:rPr>
          <w:rFonts w:cs="Calibri"/>
          <w:szCs w:val="19"/>
          <w:shd w:val="clear" w:color="auto" w:fill="FFFFFF"/>
        </w:rPr>
        <w:t>a</w:t>
      </w:r>
      <w:r w:rsidR="008C096B" w:rsidRPr="0050174F">
        <w:rPr>
          <w:rFonts w:cs="Calibri"/>
          <w:szCs w:val="19"/>
          <w:shd w:val="clear" w:color="auto" w:fill="FFFFFF"/>
        </w:rPr>
        <w:t>t</w:t>
      </w:r>
      <w:r w:rsidR="0050174F" w:rsidRPr="0050174F">
        <w:rPr>
          <w:rFonts w:cs="Calibri"/>
          <w:szCs w:val="19"/>
          <w:shd w:val="clear" w:color="auto" w:fill="FFFFFF"/>
        </w:rPr>
        <w:t>:</w:t>
      </w:r>
      <w:r w:rsidR="008C096B" w:rsidRPr="0050174F">
        <w:rPr>
          <w:rFonts w:cs="Calibri"/>
          <w:szCs w:val="19"/>
          <w:shd w:val="clear" w:color="auto" w:fill="FFFFFF"/>
        </w:rPr>
        <w:t xml:space="preserve"> </w:t>
      </w:r>
      <w:hyperlink r:id="rId44" w:history="1">
        <w:r w:rsidR="008C096B" w:rsidRPr="008C096B">
          <w:rPr>
            <w:rStyle w:val="Hyperlink"/>
            <w:rFonts w:cs="Calibri"/>
            <w:szCs w:val="19"/>
            <w:shd w:val="clear" w:color="auto" w:fill="FFFFFF"/>
          </w:rPr>
          <w:t>https://www.waternz.org.nz/Article?Action=View&amp;Article_id=2078</w:t>
        </w:r>
      </w:hyperlink>
      <w:r w:rsidR="008C096B">
        <w:rPr>
          <w:rFonts w:cs="Calibri"/>
          <w:szCs w:val="19"/>
          <w:u w:val="single"/>
          <w:shd w:val="clear" w:color="auto" w:fill="FFFFFF"/>
        </w:rPr>
        <w:t xml:space="preserve"> </w:t>
      </w:r>
    </w:p>
  </w:footnote>
  <w:footnote w:id="61">
    <w:p w14:paraId="76C992AD" w14:textId="08DAF77B" w:rsidR="00DB5335" w:rsidRDefault="00DB5335" w:rsidP="0071351B">
      <w:pPr>
        <w:pStyle w:val="FootnoteText"/>
        <w:tabs>
          <w:tab w:val="left" w:pos="284"/>
        </w:tabs>
      </w:pPr>
      <w:r>
        <w:rPr>
          <w:rStyle w:val="FootnoteReference"/>
        </w:rPr>
        <w:footnoteRef/>
      </w:r>
      <w:r>
        <w:t xml:space="preserve"> </w:t>
      </w:r>
      <w:r>
        <w:tab/>
        <w:t xml:space="preserve">View the report at: </w:t>
      </w:r>
      <w:hyperlink r:id="rId45" w:history="1">
        <w:r w:rsidRPr="00C302D4">
          <w:rPr>
            <w:rStyle w:val="Hyperlink"/>
          </w:rPr>
          <w:t>www.waternz.org.nz/NationalPerformanceReview</w:t>
        </w:r>
      </w:hyperlink>
      <w:r>
        <w:t xml:space="preserve"> </w:t>
      </w:r>
    </w:p>
  </w:footnote>
  <w:footnote w:id="62">
    <w:p w14:paraId="329A5E33" w14:textId="0B586903" w:rsidR="00DB5335" w:rsidRDefault="00DB5335" w:rsidP="00D64687">
      <w:pPr>
        <w:pStyle w:val="FootnoteText"/>
        <w:spacing w:after="40"/>
      </w:pPr>
      <w:r>
        <w:rPr>
          <w:rStyle w:val="FootnoteReference"/>
        </w:rPr>
        <w:footnoteRef/>
      </w:r>
      <w:r>
        <w:t xml:space="preserve"> </w:t>
      </w:r>
      <w:r>
        <w:tab/>
        <w:t xml:space="preserve">WaterNZ report </w:t>
      </w:r>
      <w:hyperlink r:id="rId46" w:history="1">
        <w:r w:rsidRPr="00535E8F">
          <w:rPr>
            <w:rStyle w:val="Hyperlink"/>
          </w:rPr>
          <w:t>www.waternz.org.nz/Attachment?Action=Download&amp;Attachment_id=3142</w:t>
        </w:r>
      </w:hyperlink>
      <w:r>
        <w:t xml:space="preserve"> </w:t>
      </w:r>
    </w:p>
  </w:footnote>
  <w:footnote w:id="63">
    <w:p w14:paraId="671C9933" w14:textId="59C14006" w:rsidR="00DB5335" w:rsidRDefault="00DB5335" w:rsidP="00D64687">
      <w:pPr>
        <w:pStyle w:val="FootnoteText"/>
        <w:spacing w:after="40"/>
      </w:pPr>
      <w:r>
        <w:rPr>
          <w:rStyle w:val="FootnoteReference"/>
        </w:rPr>
        <w:footnoteRef/>
      </w:r>
      <w:r>
        <w:t xml:space="preserve"> </w:t>
      </w:r>
      <w:r>
        <w:tab/>
        <w:t>Ministry for the Environment’s WWTP database</w:t>
      </w:r>
    </w:p>
  </w:footnote>
  <w:footnote w:id="64">
    <w:p w14:paraId="18435D7C" w14:textId="4843ED2D" w:rsidR="00DB5335" w:rsidRPr="00010E54" w:rsidRDefault="00DB5335" w:rsidP="00010E54">
      <w:pPr>
        <w:pStyle w:val="FootnoteText"/>
        <w:spacing w:after="40"/>
      </w:pPr>
      <w:r>
        <w:rPr>
          <w:rStyle w:val="FootnoteReference"/>
        </w:rPr>
        <w:footnoteRef/>
      </w:r>
      <w:r>
        <w:t xml:space="preserve"> </w:t>
      </w:r>
      <w:r>
        <w:tab/>
      </w:r>
      <w:hyperlink r:id="rId47" w:history="1">
        <w:r w:rsidRPr="00A20FBE">
          <w:rPr>
            <w:rStyle w:val="Hyperlink"/>
          </w:rPr>
          <w:t>www.ipcc-nggip.iges.or.jp/public/2006gl/</w:t>
        </w:r>
      </w:hyperlink>
      <w:r>
        <w:t xml:space="preserve"> </w:t>
      </w:r>
    </w:p>
  </w:footnote>
  <w:footnote w:id="65">
    <w:p w14:paraId="646F0A5C" w14:textId="140C094F" w:rsidR="00DB5335" w:rsidRPr="00C31D0D" w:rsidRDefault="00DB5335">
      <w:pPr>
        <w:pStyle w:val="FootnoteText"/>
      </w:pPr>
      <w:r w:rsidRPr="00C31D0D">
        <w:rPr>
          <w:rStyle w:val="FootnoteReference"/>
        </w:rPr>
        <w:footnoteRef/>
      </w:r>
      <w:r w:rsidRPr="00C31D0D">
        <w:t xml:space="preserve"> </w:t>
      </w:r>
      <w:r>
        <w:tab/>
      </w:r>
      <w:hyperlink r:id="rId48" w:history="1">
        <w:r w:rsidRPr="00C31D0D">
          <w:rPr>
            <w:rStyle w:val="Hyperlink"/>
          </w:rPr>
          <w:t>www.ipcc-nggip.iges.or.jp/public/2019rf/index.html</w:t>
        </w:r>
      </w:hyperlink>
    </w:p>
  </w:footnote>
  <w:footnote w:id="66">
    <w:p w14:paraId="008173E8" w14:textId="7CFAC5BB" w:rsidR="00DB5335" w:rsidRDefault="00DB5335" w:rsidP="00E949FF">
      <w:pPr>
        <w:pStyle w:val="FootnoteText"/>
        <w:spacing w:after="40"/>
      </w:pPr>
      <w:r>
        <w:rPr>
          <w:rStyle w:val="FootnoteReference"/>
        </w:rPr>
        <w:footnoteRef/>
      </w:r>
      <w:r>
        <w:t xml:space="preserve"> </w:t>
      </w:r>
      <w:r>
        <w:tab/>
      </w:r>
      <w:r w:rsidRPr="006E6F0E">
        <w:rPr>
          <w:i/>
        </w:rPr>
        <w:t>National Greenhouse Gas Inventory from Wastewater Treatment and Discharge</w:t>
      </w:r>
      <w:r>
        <w:rPr>
          <w:i/>
        </w:rPr>
        <w:t>,</w:t>
      </w:r>
      <w:r w:rsidRPr="00301DBD">
        <w:t xml:space="preserve"> </w:t>
      </w:r>
      <w:r>
        <w:t>p</w:t>
      </w:r>
      <w:r w:rsidRPr="00301DBD">
        <w:t xml:space="preserve">repared for Ministry for the Environment </w:t>
      </w:r>
      <w:r>
        <w:t>b</w:t>
      </w:r>
      <w:r w:rsidRPr="00301DBD">
        <w:t>y Beca Infrastructure Ltd</w:t>
      </w:r>
      <w:r>
        <w:t>,</w:t>
      </w:r>
      <w:r w:rsidRPr="00301DBD">
        <w:t xml:space="preserve"> August 2007</w:t>
      </w:r>
      <w:r w:rsidR="001A61DF">
        <w:t>.</w:t>
      </w:r>
    </w:p>
  </w:footnote>
  <w:footnote w:id="67">
    <w:p w14:paraId="568EB398" w14:textId="3135C6FA" w:rsidR="008A6135" w:rsidRDefault="008A6135" w:rsidP="00CD5654">
      <w:pPr>
        <w:pStyle w:val="FootnoteText"/>
        <w:ind w:left="170" w:hanging="170"/>
      </w:pPr>
      <w:r>
        <w:rPr>
          <w:rStyle w:val="FootnoteReference"/>
        </w:rPr>
        <w:footnoteRef/>
      </w:r>
      <w:r>
        <w:t xml:space="preserve"> </w:t>
      </w:r>
      <w:r w:rsidR="00A27187" w:rsidRPr="00954B9C">
        <w:rPr>
          <w:rStyle w:val="Hyperlink"/>
        </w:rPr>
        <w:t>Cardno, (2015), Greenhouse Gas Emissions from Industrial Wastewater Treatment – Inventory Basis Review. Accessed via: </w:t>
      </w:r>
      <w:hyperlink r:id="rId49" w:tgtFrame="_blank" w:history="1">
        <w:r w:rsidR="00A27187" w:rsidRPr="00954B9C">
          <w:rPr>
            <w:rStyle w:val="Hyperlink"/>
          </w:rPr>
          <w:t>https://environment.govt.nz/publications/greenhouse-gas-emissions-from-industrial-wastewater-treatment-inventory-basis-review/</w:t>
        </w:r>
      </w:hyperlink>
    </w:p>
  </w:footnote>
  <w:footnote w:id="68">
    <w:p w14:paraId="20237497" w14:textId="0AD84E00" w:rsidR="00DB5335" w:rsidRDefault="00DB5335" w:rsidP="004B224A">
      <w:pPr>
        <w:pStyle w:val="FootnoteText"/>
        <w:spacing w:after="40" w:line="200" w:lineRule="atLeast"/>
      </w:pPr>
      <w:r>
        <w:rPr>
          <w:rStyle w:val="FootnoteReference"/>
        </w:rPr>
        <w:footnoteRef/>
      </w:r>
      <w:r>
        <w:t xml:space="preserve"> </w:t>
      </w:r>
      <w:r>
        <w:tab/>
        <w:t xml:space="preserve">BRANZ Ltd, </w:t>
      </w:r>
      <w:hyperlink r:id="rId50" w:history="1">
        <w:r w:rsidRPr="0046185D">
          <w:rPr>
            <w:rStyle w:val="Hyperlink"/>
          </w:rPr>
          <w:t>www.branz.co.nz</w:t>
        </w:r>
      </w:hyperlink>
      <w:r>
        <w:t xml:space="preserve"> </w:t>
      </w:r>
    </w:p>
  </w:footnote>
  <w:footnote w:id="69">
    <w:p w14:paraId="64A95AA1" w14:textId="3931CF3C" w:rsidR="00092DFD" w:rsidRDefault="00092DFD" w:rsidP="00092DFD">
      <w:pPr>
        <w:pStyle w:val="FootnoteText"/>
        <w:spacing w:after="40" w:line="200" w:lineRule="atLeast"/>
      </w:pPr>
      <w:r>
        <w:rPr>
          <w:rStyle w:val="FootnoteReference"/>
        </w:rPr>
        <w:footnoteRef/>
      </w:r>
      <w:r>
        <w:t xml:space="preserve"> </w:t>
      </w:r>
      <w:r>
        <w:tab/>
        <w:t>BRANZ CO</w:t>
      </w:r>
      <w:r w:rsidRPr="0078780D">
        <w:rPr>
          <w:vertAlign w:val="subscript"/>
        </w:rPr>
        <w:t>2</w:t>
      </w:r>
      <w:r>
        <w:t xml:space="preserve">NSTRUCT, </w:t>
      </w:r>
      <w:hyperlink r:id="rId51" w:history="1">
        <w:r w:rsidR="00312E56" w:rsidRPr="00BB3C6E">
          <w:rPr>
            <w:rStyle w:val="Hyperlink"/>
          </w:rPr>
          <w:t>www.branz.co.nz/co2nstruct\</w:t>
        </w:r>
      </w:hyperlink>
      <w:r w:rsidR="00312E56">
        <w:t xml:space="preserve"> </w:t>
      </w:r>
    </w:p>
  </w:footnote>
  <w:footnote w:id="70">
    <w:p w14:paraId="22F46FCA" w14:textId="7306DACE" w:rsidR="00021386" w:rsidRDefault="00021386">
      <w:pPr>
        <w:pStyle w:val="FootnoteText"/>
      </w:pPr>
      <w:r>
        <w:rPr>
          <w:rStyle w:val="FootnoteReference"/>
        </w:rPr>
        <w:footnoteRef/>
      </w:r>
      <w:r w:rsidR="00D01071">
        <w:tab/>
      </w:r>
      <w:hyperlink r:id="rId52" w:history="1">
        <w:r w:rsidR="00D01071" w:rsidRPr="00C46B31">
          <w:rPr>
            <w:rStyle w:val="Hyperlink"/>
          </w:rPr>
          <w:t>https://epd-australasia.com/</w:t>
        </w:r>
      </w:hyperlink>
      <w:r w:rsidR="00312E56">
        <w:t xml:space="preserve"> </w:t>
      </w:r>
    </w:p>
  </w:footnote>
  <w:footnote w:id="71">
    <w:p w14:paraId="1D581691" w14:textId="240867DB" w:rsidR="00DB5335" w:rsidRDefault="00DB5335" w:rsidP="00427631">
      <w:pPr>
        <w:pStyle w:val="FootnoteText"/>
      </w:pPr>
      <w:r>
        <w:rPr>
          <w:rStyle w:val="FootnoteReference"/>
        </w:rPr>
        <w:footnoteRef/>
      </w:r>
      <w:r>
        <w:t xml:space="preserve"> </w:t>
      </w:r>
      <w:r>
        <w:tab/>
      </w:r>
      <w:hyperlink r:id="rId53" w:history="1">
        <w:r w:rsidRPr="00535E8F">
          <w:rPr>
            <w:rStyle w:val="Hyperlink"/>
          </w:rPr>
          <w:t>www.ipcc-nggip.iges.or.jp/public/2006gl/pdf/5_Volume5/V5_3_Ch3_SWDS.pdf</w:t>
        </w:r>
      </w:hyperlink>
    </w:p>
  </w:footnote>
  <w:footnote w:id="72">
    <w:p w14:paraId="3466007C" w14:textId="21C8BD19" w:rsidR="00F829FF" w:rsidRDefault="00F829FF">
      <w:pPr>
        <w:pStyle w:val="FootnoteText"/>
      </w:pPr>
      <w:r>
        <w:rPr>
          <w:rStyle w:val="FootnoteReference"/>
        </w:rPr>
        <w:footnoteRef/>
      </w:r>
      <w:r>
        <w:t xml:space="preserve"> </w:t>
      </w:r>
      <w:r w:rsidR="00E27A32">
        <w:tab/>
      </w:r>
      <w:r w:rsidR="00B12D52">
        <w:t xml:space="preserve">IPCC 2006, vol.5, table 3.1 </w:t>
      </w:r>
      <w:hyperlink r:id="rId54" w:history="1">
        <w:r w:rsidR="00E27A32" w:rsidRPr="00C46B31">
          <w:rPr>
            <w:rStyle w:val="Hyperlink"/>
          </w:rPr>
          <w:t>www.ipcc-nggip.iges.or.jp/public/2006gl/pdf/5_Volume5/V5_3_Ch3_SWDS.pdf</w:t>
        </w:r>
      </w:hyperlink>
      <w:r w:rsidR="00B12D52">
        <w:t xml:space="preserve"> </w:t>
      </w:r>
    </w:p>
  </w:footnote>
  <w:footnote w:id="73">
    <w:p w14:paraId="08861F7D" w14:textId="01714D05" w:rsidR="00FA45ED" w:rsidRDefault="00FA45ED" w:rsidP="00EE4135">
      <w:pPr>
        <w:pStyle w:val="FootnoteText"/>
      </w:pPr>
      <w:r>
        <w:rPr>
          <w:rStyle w:val="FootnoteReference"/>
        </w:rPr>
        <w:footnoteRef/>
      </w:r>
      <w:r>
        <w:t xml:space="preserve"> </w:t>
      </w:r>
      <w:r w:rsidR="00EE4135">
        <w:tab/>
      </w:r>
      <w:r w:rsidRPr="00E707CB">
        <w:t xml:space="preserve">Uncertainty </w:t>
      </w:r>
      <w:r w:rsidRPr="00EE4135">
        <w:t>and</w:t>
      </w:r>
      <w:r>
        <w:t xml:space="preserve"> emission factors derived from</w:t>
      </w:r>
      <w:r w:rsidRPr="00E707CB">
        <w:t xml:space="preserve"> yield tables</w:t>
      </w:r>
      <w:r>
        <w:t xml:space="preserve"> in </w:t>
      </w:r>
      <w:r>
        <w:rPr>
          <w:shd w:val="clear" w:color="auto" w:fill="FFFFFF"/>
        </w:rPr>
        <w:t xml:space="preserve">Paul THS, Wakelin SJ, Dodunski, C. Unpublished. </w:t>
      </w:r>
      <w:r>
        <w:rPr>
          <w:shd w:val="clear" w:color="auto" w:fill="FFFFFF"/>
          <w:lang w:val="en-AU"/>
        </w:rPr>
        <w:t xml:space="preserve">The NFI 2016-2020 analysis: Yield tables and carbon stocks in planted forests in New Zealand based on a five-year inventory cycle. </w:t>
      </w:r>
      <w:r>
        <w:rPr>
          <w:shd w:val="clear" w:color="auto" w:fill="FFFFFF"/>
        </w:rPr>
        <w:t>Contract report prepared for the Ministry for the Environment by New Zealand Forest Research Institute Ltd (trading as Scion) in 2021. </w:t>
      </w:r>
    </w:p>
  </w:footnote>
  <w:footnote w:id="74">
    <w:p w14:paraId="17A1E56A" w14:textId="72A479B4" w:rsidR="00DC6124" w:rsidRDefault="00DC6124" w:rsidP="00EE4135">
      <w:pPr>
        <w:pStyle w:val="FootnoteText"/>
      </w:pPr>
      <w:r>
        <w:rPr>
          <w:rStyle w:val="FootnoteReference"/>
        </w:rPr>
        <w:footnoteRef/>
      </w:r>
      <w:r w:rsidR="00EE4135">
        <w:tab/>
      </w:r>
      <w:r w:rsidR="008E299E">
        <w:t xml:space="preserve">Long-term </w:t>
      </w:r>
      <w:r w:rsidR="008E299E" w:rsidRPr="00EE4135">
        <w:t>average</w:t>
      </w:r>
      <w:r w:rsidR="00720F5A" w:rsidRPr="00EE4135">
        <w:t>s</w:t>
      </w:r>
      <w:r w:rsidR="008E299E">
        <w:t xml:space="preserve"> taken from</w:t>
      </w:r>
      <w:r>
        <w:t xml:space="preserve"> </w:t>
      </w:r>
      <w:r>
        <w:rPr>
          <w:shd w:val="clear" w:color="auto" w:fill="FFFFFF"/>
        </w:rPr>
        <w:t xml:space="preserve">Wakelin SJ, Paul THS, Dowling, LJ. Unpublished. </w:t>
      </w:r>
      <w:r>
        <w:rPr>
          <w:shd w:val="clear" w:color="auto" w:fill="FFFFFF"/>
          <w:lang w:val="en-AU"/>
        </w:rPr>
        <w:t xml:space="preserve">Reporting New Zealand’s Nationally Determined Contribution under the Paris Agreement using Averaging Accounting for Post-1989 forests. </w:t>
      </w:r>
      <w:r>
        <w:rPr>
          <w:shd w:val="clear" w:color="auto" w:fill="FFFFFF"/>
        </w:rPr>
        <w:t>Contract report prepared for the Ministry for the Environment by New Zealand Forest Research Institute Ltd (trading as Scion) in 2021.</w:t>
      </w:r>
      <w:r>
        <w:t xml:space="preserve"> </w:t>
      </w:r>
      <w:r w:rsidR="00720F5A">
        <w:t>Long-term averages</w:t>
      </w:r>
      <w:r>
        <w:t xml:space="preserve"> incorporate Harvested Wood Products and losses from soil carbon. This is in-line with the approach that New Zealand will take to account for emissions and removals in first rotation post-1989 planted forest under the Paris Agreement. </w:t>
      </w:r>
    </w:p>
  </w:footnote>
  <w:footnote w:id="75">
    <w:p w14:paraId="03CA9D9E" w14:textId="15BCC50D" w:rsidR="00DC6124" w:rsidRDefault="00DC6124" w:rsidP="009E67AD">
      <w:pPr>
        <w:pStyle w:val="FootnoteText"/>
      </w:pPr>
      <w:r>
        <w:rPr>
          <w:rStyle w:val="FootnoteReference"/>
        </w:rPr>
        <w:footnoteRef/>
      </w:r>
      <w:r>
        <w:t xml:space="preserve"> </w:t>
      </w:r>
      <w:r w:rsidR="009E67AD">
        <w:tab/>
      </w:r>
      <w:r w:rsidRPr="009E67AD">
        <w:t>Uncertainty</w:t>
      </w:r>
      <w:r w:rsidRPr="00E707CB">
        <w:t xml:space="preserve"> </w:t>
      </w:r>
      <w:r>
        <w:t xml:space="preserve">and emission factors derived from </w:t>
      </w:r>
      <w:r>
        <w:rPr>
          <w:shd w:val="clear" w:color="auto" w:fill="FFFFFF"/>
        </w:rPr>
        <w:t>Paul TSH, Beets PN, Kimberley MO. Unpublished. Carbon stocks in New Zealand’s Post-1989 Natural Forest – Analysis of the 2018/2019 forest inventory data. Contract report prepared for the Ministry for the Environment by the New Zealand Forest Research Institute Ltd (trading as Scion) in 2020. </w:t>
      </w:r>
      <w:r w:rsidR="008E299E">
        <w:rPr>
          <w:shd w:val="clear" w:color="auto" w:fill="FFFFFF"/>
        </w:rPr>
        <w:t>Emission factor incorporates losses from soil carbon</w:t>
      </w:r>
      <w:r w:rsidR="00FA45ED">
        <w:rPr>
          <w:shd w:val="clear" w:color="auto" w:fill="FFFFFF"/>
        </w:rPr>
        <w:t>.</w:t>
      </w:r>
    </w:p>
  </w:footnote>
  <w:footnote w:id="76">
    <w:p w14:paraId="0AAE9602" w14:textId="022E5C5C" w:rsidR="00DC6124" w:rsidRDefault="00DC6124" w:rsidP="009E67AD">
      <w:pPr>
        <w:pStyle w:val="FootnoteText"/>
      </w:pPr>
      <w:r>
        <w:rPr>
          <w:rStyle w:val="FootnoteReference"/>
        </w:rPr>
        <w:footnoteRef/>
      </w:r>
      <w:r>
        <w:t xml:space="preserve"> </w:t>
      </w:r>
      <w:r w:rsidR="009E67AD">
        <w:tab/>
      </w:r>
      <w:r w:rsidRPr="00E707CB">
        <w:t xml:space="preserve">Uncertainty </w:t>
      </w:r>
      <w:r>
        <w:t xml:space="preserve">and emission factors derived from </w:t>
      </w:r>
      <w:r>
        <w:rPr>
          <w:shd w:val="clear" w:color="auto" w:fill="FFFFFF"/>
        </w:rPr>
        <w:t xml:space="preserve">Paul TSH, Kimberley MO, Beets PN. 2021. Natural Forests in New Zealand – a large terrestrial carbon pool in a national state of equilibrium. </w:t>
      </w:r>
      <w:r>
        <w:rPr>
          <w:i/>
          <w:iCs/>
          <w:shd w:val="clear" w:color="auto" w:fill="FFFFFF"/>
        </w:rPr>
        <w:t xml:space="preserve">Forest Ecosystems </w:t>
      </w:r>
      <w:r>
        <w:rPr>
          <w:shd w:val="clear" w:color="auto" w:fill="FFFFFF"/>
        </w:rPr>
        <w:t>8(1): 1</w:t>
      </w:r>
      <w:r w:rsidR="009E67AD">
        <w:rPr>
          <w:shd w:val="clear" w:color="auto" w:fill="FFFFFF"/>
        </w:rPr>
        <w:t>–</w:t>
      </w:r>
      <w:r>
        <w:rPr>
          <w:shd w:val="clear" w:color="auto" w:fill="FFFFFF"/>
        </w:rPr>
        <w:t>21. </w:t>
      </w:r>
    </w:p>
  </w:footnote>
  <w:footnote w:id="77">
    <w:p w14:paraId="05B5B138" w14:textId="5E9347C5" w:rsidR="00DC6124" w:rsidRDefault="00DC6124" w:rsidP="009E67AD">
      <w:pPr>
        <w:pStyle w:val="FootnoteText"/>
      </w:pPr>
      <w:r>
        <w:rPr>
          <w:rStyle w:val="FootnoteReference"/>
        </w:rPr>
        <w:footnoteRef/>
      </w:r>
      <w:r>
        <w:t xml:space="preserve"> </w:t>
      </w:r>
      <w:r w:rsidR="009E67AD">
        <w:tab/>
      </w:r>
      <w:r w:rsidRPr="00E707CB">
        <w:t xml:space="preserve">Uncertainty </w:t>
      </w:r>
      <w:r>
        <w:t xml:space="preserve">and </w:t>
      </w:r>
      <w:r w:rsidRPr="009E67AD">
        <w:t>emission</w:t>
      </w:r>
      <w:r>
        <w:t xml:space="preserve"> factors derived from </w:t>
      </w:r>
      <w:r>
        <w:rPr>
          <w:shd w:val="clear" w:color="auto" w:fill="FFFFFF"/>
        </w:rPr>
        <w:t xml:space="preserve">Paul TSH, Kimberley MO, Beets PN. 2021. Natural Forests in New Zealand – a large terrestrial carbon pool in a national state of equilibrium. </w:t>
      </w:r>
      <w:r>
        <w:rPr>
          <w:i/>
          <w:iCs/>
          <w:shd w:val="clear" w:color="auto" w:fill="FFFFFF"/>
        </w:rPr>
        <w:t xml:space="preserve">Forest Ecosystems </w:t>
      </w:r>
      <w:r>
        <w:rPr>
          <w:shd w:val="clear" w:color="auto" w:fill="FFFFFF"/>
        </w:rPr>
        <w:t>8(1): 1</w:t>
      </w:r>
      <w:r w:rsidR="009E67AD">
        <w:rPr>
          <w:shd w:val="clear" w:color="auto" w:fill="FFFFFF"/>
        </w:rPr>
        <w:t>–</w:t>
      </w:r>
      <w:r>
        <w:rPr>
          <w:shd w:val="clear" w:color="auto" w:fill="FFFFFF"/>
        </w:rPr>
        <w:t>21. </w:t>
      </w:r>
    </w:p>
  </w:footnote>
  <w:footnote w:id="78">
    <w:p w14:paraId="1B859ECA" w14:textId="1F740ED8" w:rsidR="00A33C69" w:rsidRDefault="00A33C69" w:rsidP="009E67AD">
      <w:pPr>
        <w:pStyle w:val="FootnoteText"/>
      </w:pPr>
      <w:r>
        <w:rPr>
          <w:rStyle w:val="FootnoteReference"/>
        </w:rPr>
        <w:footnoteRef/>
      </w:r>
      <w:r>
        <w:t xml:space="preserve"> </w:t>
      </w:r>
      <w:r w:rsidR="009E67AD">
        <w:tab/>
      </w:r>
      <w:r w:rsidR="003B5127" w:rsidRPr="00E707CB">
        <w:t xml:space="preserve">Uncertainty </w:t>
      </w:r>
      <w:r w:rsidR="003B5127">
        <w:t>and emission factors derived from</w:t>
      </w:r>
      <w:r w:rsidR="003B5127" w:rsidRPr="00E707CB">
        <w:t xml:space="preserve"> yield tables</w:t>
      </w:r>
      <w:r w:rsidR="003B5127">
        <w:t xml:space="preserve"> in </w:t>
      </w:r>
      <w:r w:rsidR="003B5127">
        <w:rPr>
          <w:shd w:val="clear" w:color="auto" w:fill="FFFFFF"/>
        </w:rPr>
        <w:t>Paul THS, Wakelin SJ, Dodunski, C. Unpublished. The NFI 2016-2020 analysis: Yield tables and carbon stocks in planted forests in New Zealand based on a five- year inventory cycle. Contract report prepared for the Ministry for the Environment by New Zealand Forest Research Institute Ltd (trading as Scion) in 2021. </w:t>
      </w:r>
    </w:p>
  </w:footnote>
  <w:footnote w:id="79">
    <w:p w14:paraId="3762320E" w14:textId="6AE1E022" w:rsidR="003B01B4" w:rsidRDefault="003B01B4" w:rsidP="00344FB2">
      <w:pPr>
        <w:pStyle w:val="FootnoteText"/>
      </w:pPr>
      <w:r>
        <w:rPr>
          <w:rStyle w:val="FootnoteReference"/>
        </w:rPr>
        <w:footnoteRef/>
      </w:r>
      <w:r>
        <w:t xml:space="preserve"> </w:t>
      </w:r>
      <w:r w:rsidR="00344FB2">
        <w:tab/>
      </w:r>
      <w:r w:rsidRPr="00E707CB">
        <w:t xml:space="preserve">Uncertainty </w:t>
      </w:r>
      <w:r>
        <w:t xml:space="preserve">and emission factors derived </w:t>
      </w:r>
      <w:r w:rsidRPr="00344FB2">
        <w:t>from</w:t>
      </w:r>
      <w:r>
        <w:t xml:space="preserve"> </w:t>
      </w:r>
      <w:r>
        <w:rPr>
          <w:shd w:val="clear" w:color="auto" w:fill="FFFFFF"/>
        </w:rPr>
        <w:t>Paul TSH, Beets PN, Kimberley MO. Unpublished. Carbon stocks in New Zealand’s Post-1989 Natural Forest – Analysis of the 2018/2019 forest inventory data. Contract report prepared for the Ministry for the Environment by the New Zealand Forest Research Institute Ltd (trading as Scion) in 2020. </w:t>
      </w:r>
    </w:p>
  </w:footnote>
  <w:footnote w:id="80">
    <w:p w14:paraId="1D0B7943" w14:textId="431A48C3" w:rsidR="003B01B4" w:rsidRDefault="003B01B4" w:rsidP="00344FB2">
      <w:pPr>
        <w:pStyle w:val="FootnoteText"/>
      </w:pPr>
      <w:r>
        <w:rPr>
          <w:rStyle w:val="FootnoteReference"/>
        </w:rPr>
        <w:footnoteRef/>
      </w:r>
      <w:r>
        <w:t xml:space="preserve"> </w:t>
      </w:r>
      <w:r w:rsidR="00344FB2">
        <w:tab/>
      </w:r>
      <w:r w:rsidRPr="00E707CB">
        <w:t xml:space="preserve">Uncertainty </w:t>
      </w:r>
      <w:r>
        <w:t xml:space="preserve">and emission factors derived from </w:t>
      </w:r>
      <w:r>
        <w:rPr>
          <w:shd w:val="clear" w:color="auto" w:fill="FFFFFF"/>
        </w:rPr>
        <w:t xml:space="preserve">Paul TSH, Kimberley MO, Beets PN. 2021. Natural Forests in New Zealand – a large terrestrial carbon pool in a national state of equilibrium. </w:t>
      </w:r>
      <w:r>
        <w:rPr>
          <w:i/>
          <w:iCs/>
          <w:shd w:val="clear" w:color="auto" w:fill="FFFFFF"/>
        </w:rPr>
        <w:t xml:space="preserve">Forest Ecosystems </w:t>
      </w:r>
      <w:r>
        <w:rPr>
          <w:shd w:val="clear" w:color="auto" w:fill="FFFFFF"/>
        </w:rPr>
        <w:t>8(1): 1</w:t>
      </w:r>
      <w:r w:rsidR="00344FB2">
        <w:rPr>
          <w:shd w:val="clear" w:color="auto" w:fill="FFFFFF"/>
        </w:rPr>
        <w:t>–</w:t>
      </w:r>
      <w:r>
        <w:rPr>
          <w:shd w:val="clear" w:color="auto" w:fill="FFFFFF"/>
        </w:rPr>
        <w:t>21. </w:t>
      </w:r>
    </w:p>
  </w:footnote>
  <w:footnote w:id="81">
    <w:p w14:paraId="5EEF4B8A" w14:textId="6266271F" w:rsidR="00E81D44" w:rsidRDefault="00E81D44" w:rsidP="00344FB2">
      <w:pPr>
        <w:pStyle w:val="FootnoteText"/>
      </w:pPr>
      <w:r>
        <w:rPr>
          <w:rStyle w:val="FootnoteReference"/>
        </w:rPr>
        <w:footnoteRef/>
      </w:r>
      <w:r>
        <w:t xml:space="preserve"> </w:t>
      </w:r>
      <w:r w:rsidR="00344FB2">
        <w:tab/>
      </w:r>
      <w:r w:rsidR="00F11B9D">
        <w:t xml:space="preserve">LUCAS </w:t>
      </w:r>
      <w:r w:rsidR="00F11B9D" w:rsidRPr="00344FB2">
        <w:t>Land</w:t>
      </w:r>
      <w:r w:rsidR="00F11B9D">
        <w:t xml:space="preserve"> Use Map (</w:t>
      </w:r>
      <w:hyperlink r:id="rId55" w:history="1">
        <w:r w:rsidR="00F11B9D">
          <w:rPr>
            <w:rStyle w:val="Hyperlink"/>
          </w:rPr>
          <w:t>MfE Data Service</w:t>
        </w:r>
      </w:hyperlink>
      <w:r w:rsidR="00F11B9D">
        <w:t>)</w:t>
      </w:r>
    </w:p>
  </w:footnote>
  <w:footnote w:id="82">
    <w:p w14:paraId="5F131B00" w14:textId="3A178924" w:rsidR="00A03494" w:rsidRDefault="00A03494" w:rsidP="00A658D8">
      <w:pPr>
        <w:pStyle w:val="FootnoteText"/>
      </w:pPr>
      <w:r>
        <w:rPr>
          <w:rStyle w:val="FootnoteReference"/>
        </w:rPr>
        <w:footnoteRef/>
      </w:r>
      <w:r>
        <w:t xml:space="preserve"> </w:t>
      </w:r>
      <w:r w:rsidR="00A658D8">
        <w:tab/>
      </w:r>
      <w:r w:rsidR="00E96A59">
        <w:t xml:space="preserve">The New Zealand Land Cover Database. </w:t>
      </w:r>
      <w:hyperlink r:id="rId56" w:history="1">
        <w:r>
          <w:rPr>
            <w:rStyle w:val="Hyperlink"/>
          </w:rPr>
          <w:t>LCDB v4.1 (Deprecated) - Land Cover Database version 4.1, Mainland New Zealand - Informatics Team | New Zealand | Environment and Land GIS | LRIS Portal (scinfo.org.nz)</w:t>
        </w:r>
      </w:hyperlink>
    </w:p>
  </w:footnote>
  <w:footnote w:id="83">
    <w:p w14:paraId="035EBBEB" w14:textId="40774824" w:rsidR="002823B7" w:rsidRDefault="002823B7">
      <w:pPr>
        <w:pStyle w:val="FootnoteText"/>
      </w:pPr>
      <w:r>
        <w:rPr>
          <w:rStyle w:val="FootnoteReference"/>
        </w:rPr>
        <w:footnoteRef/>
      </w:r>
      <w:r>
        <w:t xml:space="preserve"> </w:t>
      </w:r>
      <w:r w:rsidR="00184503">
        <w:tab/>
      </w:r>
      <w:r>
        <w:rPr>
          <w:rFonts w:cs="Calibri"/>
          <w:color w:val="000000"/>
          <w:sz w:val="20"/>
          <w:szCs w:val="20"/>
          <w:shd w:val="clear" w:color="auto" w:fill="FFFFFF"/>
        </w:rPr>
        <w:t xml:space="preserve">Wakelin SJ, Paul THS, Dowling, LJ. Unpublished. </w:t>
      </w:r>
      <w:r w:rsidRPr="00ED2310">
        <w:rPr>
          <w:rFonts w:cs="Calibri"/>
          <w:color w:val="000000"/>
          <w:sz w:val="20"/>
          <w:szCs w:val="20"/>
          <w:shd w:val="clear" w:color="auto" w:fill="FFFFFF"/>
          <w:lang w:val="en-AU"/>
        </w:rPr>
        <w:t>Reporting New Zealand’s Nationally Determined Contribution under the Paris Agreement using Averaging Accounting for Post-1989 forests</w:t>
      </w:r>
      <w:r>
        <w:rPr>
          <w:rFonts w:cs="Calibri"/>
          <w:color w:val="000000"/>
          <w:sz w:val="20"/>
          <w:szCs w:val="20"/>
          <w:shd w:val="clear" w:color="auto" w:fill="FFFFFF"/>
          <w:lang w:val="en-AU"/>
        </w:rPr>
        <w:t xml:space="preserve">. </w:t>
      </w:r>
      <w:r>
        <w:rPr>
          <w:rFonts w:cs="Calibri"/>
          <w:color w:val="000000"/>
          <w:sz w:val="20"/>
          <w:szCs w:val="20"/>
          <w:shd w:val="clear" w:color="auto" w:fill="FFFFFF"/>
        </w:rPr>
        <w:t>Contract report prepared for the Ministry for the Environment by New Zealand Forest Research Institute Ltd (trading as Scion) in 2021</w:t>
      </w:r>
      <w:r w:rsidR="00A34721">
        <w:rPr>
          <w:rFonts w:cs="Calibri"/>
          <w:color w:val="000000"/>
          <w:sz w:val="20"/>
          <w:szCs w:val="20"/>
          <w:shd w:val="clear" w:color="auto" w:fill="FFFFFF"/>
        </w:rPr>
        <w:t>.</w:t>
      </w:r>
    </w:p>
  </w:footnote>
  <w:footnote w:id="84">
    <w:p w14:paraId="6DD3A48D" w14:textId="24683C90" w:rsidR="00DB5335" w:rsidRDefault="00DB5335">
      <w:pPr>
        <w:pStyle w:val="FootnoteText"/>
      </w:pPr>
      <w:r>
        <w:rPr>
          <w:rStyle w:val="FootnoteReference"/>
        </w:rPr>
        <w:footnoteRef/>
      </w:r>
      <w:r>
        <w:t xml:space="preserve"> </w:t>
      </w:r>
      <w:r>
        <w:tab/>
        <w:t xml:space="preserve">See Volume 4, Chapter 10 of </w:t>
      </w:r>
      <w:r w:rsidRPr="009706E4">
        <w:rPr>
          <w:i/>
        </w:rPr>
        <w:t>2006 IPCC Guidelines for National Greenhouse Gas Inventories</w:t>
      </w:r>
      <w:r>
        <w:t xml:space="preserve">: </w:t>
      </w:r>
      <w:hyperlink r:id="rId57" w:history="1">
        <w:r w:rsidRPr="00D45100">
          <w:rPr>
            <w:rStyle w:val="Hyperlink"/>
          </w:rPr>
          <w:t>www.ipcc-nggip.iges.or.jp/public/2006gl/pdf/4_Volume4/V4_10_Ch10_Livestock.pdf</w:t>
        </w:r>
      </w:hyperlink>
      <w:r>
        <w:t xml:space="preserve"> </w:t>
      </w:r>
    </w:p>
  </w:footnote>
  <w:footnote w:id="85">
    <w:p w14:paraId="04A12867" w14:textId="5726104B" w:rsidR="00505CCB" w:rsidRDefault="00505CCB">
      <w:pPr>
        <w:pStyle w:val="FootnoteText"/>
      </w:pPr>
      <w:r>
        <w:rPr>
          <w:rStyle w:val="FootnoteReference"/>
        </w:rPr>
        <w:footnoteRef/>
      </w:r>
      <w:r w:rsidR="004064C6">
        <w:tab/>
      </w:r>
      <w:r w:rsidRPr="004064C6">
        <w:t>See Volume 4, Chapter 10 of 2006 IPCC Guidelines for National Greenhouse Gas Inventories:</w:t>
      </w:r>
      <w:r w:rsidR="004064C6">
        <w:t xml:space="preserve"> </w:t>
      </w:r>
      <w:hyperlink r:id="rId58" w:history="1">
        <w:r w:rsidR="004064C6" w:rsidRPr="00156B0A">
          <w:rPr>
            <w:rStyle w:val="Hyperlink"/>
            <w:rFonts w:cs="Calibri"/>
            <w:szCs w:val="19"/>
            <w:shd w:val="clear" w:color="auto" w:fill="E1E3E6"/>
          </w:rPr>
          <w:t>www.ipcc-nggip.iges.or.jp/public/2006gl/pdf/4_Volume4/V4_10_Ch10_Livestock.pdf</w:t>
        </w:r>
      </w:hyperlink>
    </w:p>
  </w:footnote>
  <w:footnote w:id="86">
    <w:p w14:paraId="57DF7322" w14:textId="555F7DAE" w:rsidR="00DB5335" w:rsidRDefault="00DB5335" w:rsidP="005F412E">
      <w:pPr>
        <w:pStyle w:val="FootnoteText"/>
      </w:pPr>
      <w:r>
        <w:rPr>
          <w:rStyle w:val="FootnoteReference"/>
        </w:rPr>
        <w:footnoteRef/>
      </w:r>
      <w:r>
        <w:tab/>
        <w:t>In the absence of consistent information for New Zealand, the default assumption for the assembly (installation) emissions rate is the rounded-off IPCC 2006 mid-range value. It is not applicable (relevant) for many pre-charged units.</w:t>
      </w:r>
    </w:p>
  </w:footnote>
  <w:footnote w:id="87">
    <w:p w14:paraId="3250BC7D" w14:textId="4BE80ECD" w:rsidR="00DB5335" w:rsidRDefault="00DB5335" w:rsidP="005F412E">
      <w:pPr>
        <w:pStyle w:val="FootnoteText"/>
      </w:pPr>
      <w:r>
        <w:rPr>
          <w:rStyle w:val="FootnoteReference"/>
        </w:rPr>
        <w:footnoteRef/>
      </w:r>
      <w:r>
        <w:tab/>
        <w:t>Internal dimensions up to 100x50x30cm for 150 litres; 150x50x40cm for 300 litres; 200x50x50cm for 500 litres.</w:t>
      </w:r>
    </w:p>
  </w:footnote>
  <w:footnote w:id="88">
    <w:p w14:paraId="73D62B9D" w14:textId="33BA760D" w:rsidR="00DB5335" w:rsidRPr="00BA5C94" w:rsidRDefault="00DB5335" w:rsidP="005F412E">
      <w:pPr>
        <w:pStyle w:val="FootnoteText"/>
        <w:rPr>
          <w:szCs w:val="19"/>
        </w:rPr>
      </w:pPr>
      <w:r>
        <w:rPr>
          <w:rStyle w:val="FootnoteReference"/>
        </w:rPr>
        <w:footnoteRef/>
      </w:r>
      <w:r>
        <w:tab/>
        <w:t xml:space="preserve">Global warming potentials are set according to the UNFCCC guidelines. </w:t>
      </w:r>
      <w:hyperlink r:id="rId59" w:history="1">
        <w:r w:rsidRPr="006927F4">
          <w:rPr>
            <w:rStyle w:val="Hyperlink"/>
          </w:rPr>
          <w:t>https://unfccc.int/resource/docs/ 2013/cop19/eng/10a03.pdf</w:t>
        </w:r>
      </w:hyperlink>
      <w:r w:rsidRPr="00F51EB9">
        <w:rPr>
          <w:i/>
          <w:sz w:val="20"/>
          <w:szCs w:val="20"/>
        </w:rPr>
        <w:t xml:space="preserve">, </w:t>
      </w:r>
      <w:r w:rsidRPr="00BA5C94">
        <w:rPr>
          <w:iCs/>
          <w:szCs w:val="19"/>
        </w:rPr>
        <w:t>which resolved that</w:t>
      </w:r>
      <w:r w:rsidRPr="00BA5C94">
        <w:rPr>
          <w:rStyle w:val="Hyperlink"/>
          <w:szCs w:val="19"/>
        </w:rPr>
        <w:t xml:space="preserve"> </w:t>
      </w:r>
      <w:r w:rsidRPr="00BA5C94">
        <w:rPr>
          <w:szCs w:val="19"/>
        </w:rPr>
        <w:t>Parties would use the 100-year GWPs from the IPCC AR4. (IPCC, 2007)</w:t>
      </w:r>
      <w:r>
        <w:rPr>
          <w:szCs w:val="19"/>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D008C" w14:textId="77777777" w:rsidR="00CD5654" w:rsidRDefault="00CD56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4F55F" w14:textId="77777777" w:rsidR="00CD5654" w:rsidRDefault="00CD56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AB5E3" w14:textId="77777777" w:rsidR="00CD5654" w:rsidRDefault="00CD56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932F3" w14:textId="77777777" w:rsidR="00DB5335" w:rsidRPr="00DE7BF8" w:rsidRDefault="00DB5335" w:rsidP="00734B9A">
    <w:pPr>
      <w:pStyle w:val="Header"/>
      <w:ind w:left="-57"/>
      <w:jc w:val="left"/>
      <w:rPr>
        <w:rFonts w:ascii="Calibri" w:hAnsi="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2B69DF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8A1F35"/>
    <w:multiLevelType w:val="multilevel"/>
    <w:tmpl w:val="CB8C6A78"/>
    <w:lvl w:ilvl="0">
      <w:start w:val="7"/>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05926250"/>
    <w:multiLevelType w:val="multilevel"/>
    <w:tmpl w:val="B590FFAA"/>
    <w:lvl w:ilvl="0">
      <w:start w:val="1"/>
      <w:numFmt w:val="decimal"/>
      <w:lvlText w:val="5.2.%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8A27184"/>
    <w:multiLevelType w:val="hybridMultilevel"/>
    <w:tmpl w:val="49CEB7B2"/>
    <w:lvl w:ilvl="0" w:tplc="C240A06E">
      <w:start w:val="1"/>
      <w:numFmt w:val="bullet"/>
      <w:pStyle w:val="Blue-box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4" w15:restartNumberingAfterBreak="0">
    <w:nsid w:val="08E43FB6"/>
    <w:multiLevelType w:val="multilevel"/>
    <w:tmpl w:val="D018A35E"/>
    <w:lvl w:ilvl="0">
      <w:start w:val="1"/>
      <w:numFmt w:val="decimal"/>
      <w:lvlText w:val="5.3.%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6" w15:restartNumberingAfterBreak="0">
    <w:nsid w:val="0B0F5F0E"/>
    <w:multiLevelType w:val="hybridMultilevel"/>
    <w:tmpl w:val="990A8F54"/>
    <w:lvl w:ilvl="0" w:tplc="ED2AF846">
      <w:start w:val="1"/>
      <w:numFmt w:val="bullet"/>
      <w:pStyle w:val="Greenbullet-casestudytables"/>
      <w:lvlText w:val=""/>
      <w:lvlJc w:val="left"/>
      <w:pPr>
        <w:ind w:left="680" w:hanging="396"/>
      </w:pPr>
      <w:rPr>
        <w:rFonts w:ascii="Symbol" w:hAnsi="Symbol" w:hint="default"/>
        <w:color w:val="0F7B7D"/>
        <w:sz w:val="18"/>
        <w:szCs w:val="18"/>
      </w:rPr>
    </w:lvl>
    <w:lvl w:ilvl="1" w:tplc="52FCEA50">
      <w:start w:val="1"/>
      <w:numFmt w:val="bullet"/>
      <w:lvlText w:val="o"/>
      <w:lvlJc w:val="left"/>
      <w:pPr>
        <w:ind w:left="1724" w:hanging="360"/>
      </w:pPr>
      <w:rPr>
        <w:rFonts w:ascii="Courier New" w:hAnsi="Courier New" w:cs="Courier New" w:hint="default"/>
      </w:rPr>
    </w:lvl>
    <w:lvl w:ilvl="2" w:tplc="A44EE6BE">
      <w:start w:val="1"/>
      <w:numFmt w:val="bullet"/>
      <w:lvlText w:val=""/>
      <w:lvlJc w:val="left"/>
      <w:pPr>
        <w:ind w:left="2444" w:hanging="360"/>
      </w:pPr>
      <w:rPr>
        <w:rFonts w:ascii="Wingdings" w:hAnsi="Wingdings" w:hint="default"/>
      </w:rPr>
    </w:lvl>
    <w:lvl w:ilvl="3" w:tplc="8D103BD4">
      <w:start w:val="1"/>
      <w:numFmt w:val="bullet"/>
      <w:lvlText w:val=""/>
      <w:lvlJc w:val="left"/>
      <w:pPr>
        <w:ind w:left="3164" w:hanging="360"/>
      </w:pPr>
      <w:rPr>
        <w:rFonts w:ascii="Symbol" w:hAnsi="Symbol" w:hint="default"/>
      </w:rPr>
    </w:lvl>
    <w:lvl w:ilvl="4" w:tplc="937C63B4">
      <w:start w:val="1"/>
      <w:numFmt w:val="bullet"/>
      <w:lvlText w:val="o"/>
      <w:lvlJc w:val="left"/>
      <w:pPr>
        <w:ind w:left="3884" w:hanging="360"/>
      </w:pPr>
      <w:rPr>
        <w:rFonts w:ascii="Courier New" w:hAnsi="Courier New" w:cs="Courier New" w:hint="default"/>
      </w:rPr>
    </w:lvl>
    <w:lvl w:ilvl="5" w:tplc="4B267772">
      <w:start w:val="1"/>
      <w:numFmt w:val="bullet"/>
      <w:lvlText w:val=""/>
      <w:lvlJc w:val="left"/>
      <w:pPr>
        <w:ind w:left="4604" w:hanging="360"/>
      </w:pPr>
      <w:rPr>
        <w:rFonts w:ascii="Wingdings" w:hAnsi="Wingdings" w:hint="default"/>
      </w:rPr>
    </w:lvl>
    <w:lvl w:ilvl="6" w:tplc="EAB483D4">
      <w:start w:val="1"/>
      <w:numFmt w:val="bullet"/>
      <w:lvlText w:val=""/>
      <w:lvlJc w:val="left"/>
      <w:pPr>
        <w:ind w:left="5324" w:hanging="360"/>
      </w:pPr>
      <w:rPr>
        <w:rFonts w:ascii="Symbol" w:hAnsi="Symbol" w:hint="default"/>
      </w:rPr>
    </w:lvl>
    <w:lvl w:ilvl="7" w:tplc="EFD666CE">
      <w:start w:val="1"/>
      <w:numFmt w:val="bullet"/>
      <w:lvlText w:val="o"/>
      <w:lvlJc w:val="left"/>
      <w:pPr>
        <w:ind w:left="6044" w:hanging="360"/>
      </w:pPr>
      <w:rPr>
        <w:rFonts w:ascii="Courier New" w:hAnsi="Courier New" w:cs="Courier New" w:hint="default"/>
      </w:rPr>
    </w:lvl>
    <w:lvl w:ilvl="8" w:tplc="786AE744">
      <w:start w:val="1"/>
      <w:numFmt w:val="bullet"/>
      <w:lvlText w:val=""/>
      <w:lvlJc w:val="left"/>
      <w:pPr>
        <w:ind w:left="6764" w:hanging="360"/>
      </w:pPr>
      <w:rPr>
        <w:rFonts w:ascii="Wingdings" w:hAnsi="Wingdings" w:hint="default"/>
      </w:rPr>
    </w:lvl>
  </w:abstractNum>
  <w:abstractNum w:abstractNumId="7" w15:restartNumberingAfterBreak="0">
    <w:nsid w:val="0C997761"/>
    <w:multiLevelType w:val="hybridMultilevel"/>
    <w:tmpl w:val="2034F68A"/>
    <w:lvl w:ilvl="0" w:tplc="14090001">
      <w:start w:val="1"/>
      <w:numFmt w:val="bullet"/>
      <w:lvlText w:val=""/>
      <w:lvlJc w:val="left"/>
      <w:pPr>
        <w:ind w:left="644" w:hanging="360"/>
      </w:pPr>
      <w:rPr>
        <w:rFonts w:ascii="Symbol" w:hAnsi="Symbol" w:hint="default"/>
      </w:rPr>
    </w:lvl>
    <w:lvl w:ilvl="1" w:tplc="14090003" w:tentative="1">
      <w:start w:val="1"/>
      <w:numFmt w:val="bullet"/>
      <w:lvlText w:val="o"/>
      <w:lvlJc w:val="left"/>
      <w:pPr>
        <w:ind w:left="1364" w:hanging="360"/>
      </w:pPr>
      <w:rPr>
        <w:rFonts w:ascii="Courier New" w:hAnsi="Courier New" w:cs="Courier New" w:hint="default"/>
      </w:rPr>
    </w:lvl>
    <w:lvl w:ilvl="2" w:tplc="14090005" w:tentative="1">
      <w:start w:val="1"/>
      <w:numFmt w:val="bullet"/>
      <w:lvlText w:val=""/>
      <w:lvlJc w:val="left"/>
      <w:pPr>
        <w:ind w:left="2084" w:hanging="360"/>
      </w:pPr>
      <w:rPr>
        <w:rFonts w:ascii="Wingdings" w:hAnsi="Wingdings" w:hint="default"/>
      </w:rPr>
    </w:lvl>
    <w:lvl w:ilvl="3" w:tplc="14090001" w:tentative="1">
      <w:start w:val="1"/>
      <w:numFmt w:val="bullet"/>
      <w:lvlText w:val=""/>
      <w:lvlJc w:val="left"/>
      <w:pPr>
        <w:ind w:left="2804" w:hanging="360"/>
      </w:pPr>
      <w:rPr>
        <w:rFonts w:ascii="Symbol" w:hAnsi="Symbol" w:hint="default"/>
      </w:rPr>
    </w:lvl>
    <w:lvl w:ilvl="4" w:tplc="14090003" w:tentative="1">
      <w:start w:val="1"/>
      <w:numFmt w:val="bullet"/>
      <w:lvlText w:val="o"/>
      <w:lvlJc w:val="left"/>
      <w:pPr>
        <w:ind w:left="3524" w:hanging="360"/>
      </w:pPr>
      <w:rPr>
        <w:rFonts w:ascii="Courier New" w:hAnsi="Courier New" w:cs="Courier New" w:hint="default"/>
      </w:rPr>
    </w:lvl>
    <w:lvl w:ilvl="5" w:tplc="14090005" w:tentative="1">
      <w:start w:val="1"/>
      <w:numFmt w:val="bullet"/>
      <w:lvlText w:val=""/>
      <w:lvlJc w:val="left"/>
      <w:pPr>
        <w:ind w:left="4244" w:hanging="360"/>
      </w:pPr>
      <w:rPr>
        <w:rFonts w:ascii="Wingdings" w:hAnsi="Wingdings" w:hint="default"/>
      </w:rPr>
    </w:lvl>
    <w:lvl w:ilvl="6" w:tplc="14090001" w:tentative="1">
      <w:start w:val="1"/>
      <w:numFmt w:val="bullet"/>
      <w:lvlText w:val=""/>
      <w:lvlJc w:val="left"/>
      <w:pPr>
        <w:ind w:left="4964" w:hanging="360"/>
      </w:pPr>
      <w:rPr>
        <w:rFonts w:ascii="Symbol" w:hAnsi="Symbol" w:hint="default"/>
      </w:rPr>
    </w:lvl>
    <w:lvl w:ilvl="7" w:tplc="14090003" w:tentative="1">
      <w:start w:val="1"/>
      <w:numFmt w:val="bullet"/>
      <w:lvlText w:val="o"/>
      <w:lvlJc w:val="left"/>
      <w:pPr>
        <w:ind w:left="5684" w:hanging="360"/>
      </w:pPr>
      <w:rPr>
        <w:rFonts w:ascii="Courier New" w:hAnsi="Courier New" w:cs="Courier New" w:hint="default"/>
      </w:rPr>
    </w:lvl>
    <w:lvl w:ilvl="8" w:tplc="14090005" w:tentative="1">
      <w:start w:val="1"/>
      <w:numFmt w:val="bullet"/>
      <w:lvlText w:val=""/>
      <w:lvlJc w:val="left"/>
      <w:pPr>
        <w:ind w:left="6404" w:hanging="360"/>
      </w:pPr>
      <w:rPr>
        <w:rFonts w:ascii="Wingdings" w:hAnsi="Wingdings" w:hint="default"/>
      </w:rPr>
    </w:lvl>
  </w:abstractNum>
  <w:abstractNum w:abstractNumId="8" w15:restartNumberingAfterBreak="0">
    <w:nsid w:val="0D5E09B9"/>
    <w:multiLevelType w:val="multilevel"/>
    <w:tmpl w:val="3D86D042"/>
    <w:lvl w:ilvl="0">
      <w:start w:val="1"/>
      <w:numFmt w:val="decimal"/>
      <w:lvlText w:val="6.2.%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D9071AB"/>
    <w:multiLevelType w:val="multilevel"/>
    <w:tmpl w:val="3B1AA192"/>
    <w:lvl w:ilvl="0">
      <w:start w:val="1"/>
      <w:numFmt w:val="decimal"/>
      <w:lvlText w:val="9.3.%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0E3C4E79"/>
    <w:multiLevelType w:val="hybridMultilevel"/>
    <w:tmpl w:val="98F44D82"/>
    <w:lvl w:ilvl="0" w:tplc="1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E6A3025"/>
    <w:multiLevelType w:val="multilevel"/>
    <w:tmpl w:val="509C028C"/>
    <w:lvl w:ilvl="0">
      <w:start w:val="1"/>
      <w:numFmt w:val="decimal"/>
      <w:lvlText w:val="7.4.%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2502FBF"/>
    <w:multiLevelType w:val="multilevel"/>
    <w:tmpl w:val="0DB06FC8"/>
    <w:lvl w:ilvl="0">
      <w:start w:val="1"/>
      <w:numFmt w:val="decimal"/>
      <w:lvlText w:val="11.2.%1"/>
      <w:lvlJc w:val="left"/>
      <w:pPr>
        <w:ind w:left="964" w:hanging="964"/>
      </w:pPr>
      <w:rPr>
        <w:rFonts w:hint="default"/>
      </w:rPr>
    </w:lvl>
    <w:lvl w:ilvl="1">
      <w:start w:val="1"/>
      <w:numFmt w:val="lowerLetter"/>
      <w:lvlText w:val="%2."/>
      <w:lvlJc w:val="left"/>
      <w:pPr>
        <w:ind w:left="731" w:hanging="360"/>
      </w:pPr>
      <w:rPr>
        <w:rFonts w:hint="default"/>
      </w:rPr>
    </w:lvl>
    <w:lvl w:ilvl="2">
      <w:start w:val="1"/>
      <w:numFmt w:val="lowerRoman"/>
      <w:lvlText w:val="%3."/>
      <w:lvlJc w:val="right"/>
      <w:pPr>
        <w:ind w:left="1451" w:hanging="180"/>
      </w:pPr>
      <w:rPr>
        <w:rFonts w:hint="default"/>
      </w:rPr>
    </w:lvl>
    <w:lvl w:ilvl="3">
      <w:start w:val="1"/>
      <w:numFmt w:val="decimal"/>
      <w:lvlText w:val="%4."/>
      <w:lvlJc w:val="left"/>
      <w:pPr>
        <w:ind w:left="2171" w:hanging="360"/>
      </w:pPr>
      <w:rPr>
        <w:rFonts w:hint="default"/>
      </w:rPr>
    </w:lvl>
    <w:lvl w:ilvl="4">
      <w:start w:val="1"/>
      <w:numFmt w:val="lowerLetter"/>
      <w:lvlText w:val="%5."/>
      <w:lvlJc w:val="left"/>
      <w:pPr>
        <w:ind w:left="2891" w:hanging="360"/>
      </w:pPr>
      <w:rPr>
        <w:rFonts w:hint="default"/>
      </w:rPr>
    </w:lvl>
    <w:lvl w:ilvl="5">
      <w:start w:val="1"/>
      <w:numFmt w:val="lowerRoman"/>
      <w:lvlText w:val="%6."/>
      <w:lvlJc w:val="right"/>
      <w:pPr>
        <w:ind w:left="3611" w:hanging="180"/>
      </w:pPr>
      <w:rPr>
        <w:rFonts w:hint="default"/>
      </w:rPr>
    </w:lvl>
    <w:lvl w:ilvl="6">
      <w:start w:val="1"/>
      <w:numFmt w:val="decimal"/>
      <w:lvlText w:val="%7."/>
      <w:lvlJc w:val="left"/>
      <w:pPr>
        <w:ind w:left="4331" w:hanging="360"/>
      </w:pPr>
      <w:rPr>
        <w:rFonts w:hint="default"/>
      </w:rPr>
    </w:lvl>
    <w:lvl w:ilvl="7">
      <w:start w:val="1"/>
      <w:numFmt w:val="lowerLetter"/>
      <w:lvlText w:val="%8."/>
      <w:lvlJc w:val="left"/>
      <w:pPr>
        <w:ind w:left="5051" w:hanging="360"/>
      </w:pPr>
      <w:rPr>
        <w:rFonts w:hint="default"/>
      </w:rPr>
    </w:lvl>
    <w:lvl w:ilvl="8">
      <w:start w:val="1"/>
      <w:numFmt w:val="lowerRoman"/>
      <w:lvlText w:val="%9."/>
      <w:lvlJc w:val="right"/>
      <w:pPr>
        <w:ind w:left="5771" w:hanging="180"/>
      </w:pPr>
      <w:rPr>
        <w:rFonts w:hint="default"/>
      </w:rPr>
    </w:lvl>
  </w:abstractNum>
  <w:abstractNum w:abstractNumId="13" w15:restartNumberingAfterBreak="0">
    <w:nsid w:val="193B137D"/>
    <w:multiLevelType w:val="multilevel"/>
    <w:tmpl w:val="B49C5B6C"/>
    <w:lvl w:ilvl="0">
      <w:start w:val="1"/>
      <w:numFmt w:val="upperLetter"/>
      <w:lvlText w:val="%1."/>
      <w:lvlJc w:val="left"/>
      <w:pPr>
        <w:ind w:left="432" w:hanging="432"/>
      </w:pPr>
      <w:rPr>
        <w:rFonts w:hint="default"/>
      </w:rPr>
    </w:lvl>
    <w:lvl w:ilvl="1">
      <w:numFmt w:val="none"/>
      <w:lvlText w:val=""/>
      <w:lvlJc w:val="left"/>
      <w:pPr>
        <w:tabs>
          <w:tab w:val="num" w:pos="360"/>
        </w:tabs>
      </w:pPr>
    </w:lvl>
    <w:lvl w:ilvl="2">
      <w:numFmt w:val="decimal"/>
      <w:pStyle w:val="Appendixheading3"/>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rPr>
        <w:rFonts w:ascii="Calibri" w:hAnsi="Calibri" w:hint="default"/>
        <w:b/>
        <w:bCs/>
        <w:i w:val="0"/>
        <w:iCs w:val="0"/>
        <w:caps w:val="0"/>
        <w:smallCaps w:val="0"/>
        <w:strike w:val="0"/>
        <w:dstrike w:val="0"/>
        <w:outline w:val="0"/>
        <w:shadow w:val="0"/>
        <w:emboss w:val="0"/>
        <w:imprint w:val="0"/>
        <w:noProof w:val="0"/>
        <w:vanish w:val="0"/>
        <w:spacing w:val="0"/>
        <w:kern w:val="0"/>
        <w:position w:val="0"/>
        <w:sz w:val="28"/>
        <w:u w:val="none"/>
        <w:effect w:val="none"/>
        <w:vertAlign w:val="baseline"/>
        <w:em w:val="none"/>
        <w:specVanish w:val="0"/>
        <w14:glow w14:rad="0">
          <w14:srgbClr w14:val="000000"/>
        </w14:glow>
        <w14:scene3d>
          <w14:camera w14:prst="orthographicFront"/>
          <w14:lightRig w14:rig="threePt" w14:dir="t">
            <w14:rot w14:lat="0" w14:lon="0" w14:rev="0"/>
          </w14:lightRig>
        </w14:scene3d>
      </w:rPr>
    </w:lvl>
  </w:abstractNum>
  <w:abstractNum w:abstractNumId="14" w15:restartNumberingAfterBreak="0">
    <w:nsid w:val="19574AA2"/>
    <w:multiLevelType w:val="multilevel"/>
    <w:tmpl w:val="CBDA13CE"/>
    <w:lvl w:ilvl="0">
      <w:numFmt w:val="decimal"/>
      <w:lvlText w:val=""/>
      <w:lvlJc w:val="left"/>
    </w:lvl>
    <w:lvl w:ilvl="1">
      <w:numFmt w:val="decimal"/>
      <w:lvlText w:val=""/>
      <w:lvlJc w:val="left"/>
    </w:lvl>
    <w:lvl w:ilvl="2">
      <w:numFmt w:val="no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none"/>
      <w:lvlText w:val=""/>
      <w:lvlJc w:val="left"/>
      <w:pPr>
        <w:tabs>
          <w:tab w:val="num" w:pos="360"/>
        </w:tabs>
      </w:pPr>
    </w:lvl>
    <w:lvl w:ilvl="7">
      <w:numFmt w:val="decimal"/>
      <w:lvlText w:val=""/>
      <w:lvlJc w:val="left"/>
    </w:lvl>
    <w:lvl w:ilvl="8">
      <w:numFmt w:val="decimal"/>
      <w:lvlText w:val=""/>
      <w:lvlJc w:val="left"/>
    </w:lvl>
  </w:abstractNum>
  <w:abstractNum w:abstractNumId="15" w15:restartNumberingAfterBreak="0">
    <w:nsid w:val="1A7A7250"/>
    <w:multiLevelType w:val="multilevel"/>
    <w:tmpl w:val="185E17B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CB340CD"/>
    <w:multiLevelType w:val="multilevel"/>
    <w:tmpl w:val="8D06C9F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CFE03FD"/>
    <w:multiLevelType w:val="multilevel"/>
    <w:tmpl w:val="DD3020F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04F1D2E"/>
    <w:multiLevelType w:val="multilevel"/>
    <w:tmpl w:val="7CB0E0AA"/>
    <w:lvl w:ilvl="0">
      <w:numFmt w:val="decimal"/>
      <w:pStyle w:val="Boxsub-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08C5CF5"/>
    <w:multiLevelType w:val="hybridMultilevel"/>
    <w:tmpl w:val="57026E20"/>
    <w:lvl w:ilvl="0" w:tplc="5ED6D3F8">
      <w:numFmt w:val="decimal"/>
      <w:pStyle w:val="Sub-lista"/>
      <w:lvlText w:val=""/>
      <w:lvlJc w:val="left"/>
    </w:lvl>
    <w:lvl w:ilvl="1" w:tplc="14090019">
      <w:numFmt w:val="decimal"/>
      <w:lvlText w:val=""/>
      <w:lvlJc w:val="left"/>
    </w:lvl>
    <w:lvl w:ilvl="2" w:tplc="1409001B">
      <w:numFmt w:val="decimal"/>
      <w:lvlText w:val=""/>
      <w:lvlJc w:val="left"/>
    </w:lvl>
    <w:lvl w:ilvl="3" w:tplc="1409000F">
      <w:numFmt w:val="decimal"/>
      <w:lvlText w:val=""/>
      <w:lvlJc w:val="left"/>
    </w:lvl>
    <w:lvl w:ilvl="4" w:tplc="14090019">
      <w:numFmt w:val="decimal"/>
      <w:lvlText w:val=""/>
      <w:lvlJc w:val="left"/>
    </w:lvl>
    <w:lvl w:ilvl="5" w:tplc="1409001B">
      <w:numFmt w:val="decimal"/>
      <w:lvlText w:val=""/>
      <w:lvlJc w:val="left"/>
    </w:lvl>
    <w:lvl w:ilvl="6" w:tplc="1409000F">
      <w:numFmt w:val="decimal"/>
      <w:lvlText w:val=""/>
      <w:lvlJc w:val="left"/>
    </w:lvl>
    <w:lvl w:ilvl="7" w:tplc="14090019">
      <w:numFmt w:val="decimal"/>
      <w:lvlText w:val=""/>
      <w:lvlJc w:val="left"/>
    </w:lvl>
    <w:lvl w:ilvl="8" w:tplc="1409001B">
      <w:numFmt w:val="decimal"/>
      <w:lvlText w:val=""/>
      <w:lvlJc w:val="left"/>
    </w:lvl>
  </w:abstractNum>
  <w:abstractNum w:abstractNumId="20" w15:restartNumberingAfterBreak="0">
    <w:nsid w:val="21E57E8C"/>
    <w:multiLevelType w:val="multilevel"/>
    <w:tmpl w:val="0F405B0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6DA454E"/>
    <w:multiLevelType w:val="hybridMultilevel"/>
    <w:tmpl w:val="8F2AD7BA"/>
    <w:styleLink w:val="Style3"/>
    <w:lvl w:ilvl="0" w:tplc="24ECE2BC">
      <w:numFmt w:val="decimal"/>
      <w:lvlText w:val=""/>
      <w:lvlJc w:val="left"/>
    </w:lvl>
    <w:lvl w:ilvl="1" w:tplc="FB882E02">
      <w:numFmt w:val="decimal"/>
      <w:lvlText w:val=""/>
      <w:lvlJc w:val="left"/>
    </w:lvl>
    <w:lvl w:ilvl="2" w:tplc="920C6264">
      <w:numFmt w:val="decimal"/>
      <w:lvlText w:val=""/>
      <w:lvlJc w:val="left"/>
    </w:lvl>
    <w:lvl w:ilvl="3" w:tplc="0AD27F54">
      <w:numFmt w:val="decimal"/>
      <w:lvlText w:val=""/>
      <w:lvlJc w:val="left"/>
    </w:lvl>
    <w:lvl w:ilvl="4" w:tplc="169EFADC">
      <w:numFmt w:val="decimal"/>
      <w:lvlText w:val=""/>
      <w:lvlJc w:val="left"/>
    </w:lvl>
    <w:lvl w:ilvl="5" w:tplc="69682D36">
      <w:numFmt w:val="decimal"/>
      <w:lvlText w:val=""/>
      <w:lvlJc w:val="left"/>
    </w:lvl>
    <w:lvl w:ilvl="6" w:tplc="D14E34CA">
      <w:numFmt w:val="decimal"/>
      <w:lvlText w:val=""/>
      <w:lvlJc w:val="left"/>
    </w:lvl>
    <w:lvl w:ilvl="7" w:tplc="7DF80686">
      <w:numFmt w:val="decimal"/>
      <w:lvlText w:val=""/>
      <w:lvlJc w:val="left"/>
    </w:lvl>
    <w:lvl w:ilvl="8" w:tplc="A104912C">
      <w:numFmt w:val="decimal"/>
      <w:lvlText w:val=""/>
      <w:lvlJc w:val="left"/>
    </w:lvl>
  </w:abstractNum>
  <w:abstractNum w:abstractNumId="22" w15:restartNumberingAfterBreak="0">
    <w:nsid w:val="280745F2"/>
    <w:multiLevelType w:val="hybridMultilevel"/>
    <w:tmpl w:val="A5622046"/>
    <w:lvl w:ilvl="0" w:tplc="1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28C37D0A"/>
    <w:multiLevelType w:val="hybridMultilevel"/>
    <w:tmpl w:val="4D0671DC"/>
    <w:lvl w:ilvl="0" w:tplc="1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2A2E7303"/>
    <w:multiLevelType w:val="hybridMultilevel"/>
    <w:tmpl w:val="EC0E558A"/>
    <w:lvl w:ilvl="0" w:tplc="1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2CD34CA9"/>
    <w:multiLevelType w:val="multilevel"/>
    <w:tmpl w:val="3DF8B93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CD7703E"/>
    <w:multiLevelType w:val="hybridMultilevel"/>
    <w:tmpl w:val="DCDEB9D0"/>
    <w:styleLink w:val="Style1"/>
    <w:lvl w:ilvl="0" w:tplc="DC228F52">
      <w:numFmt w:val="decimal"/>
      <w:lvlText w:val=""/>
      <w:lvlJc w:val="left"/>
    </w:lvl>
    <w:lvl w:ilvl="1" w:tplc="BE74E54A">
      <w:numFmt w:val="decimal"/>
      <w:lvlText w:val=""/>
      <w:lvlJc w:val="left"/>
    </w:lvl>
    <w:lvl w:ilvl="2" w:tplc="D91C88F4">
      <w:numFmt w:val="decimal"/>
      <w:lvlText w:val=""/>
      <w:lvlJc w:val="left"/>
    </w:lvl>
    <w:lvl w:ilvl="3" w:tplc="60B45DF0">
      <w:numFmt w:val="decimal"/>
      <w:lvlText w:val=""/>
      <w:lvlJc w:val="left"/>
    </w:lvl>
    <w:lvl w:ilvl="4" w:tplc="381E4974">
      <w:numFmt w:val="decimal"/>
      <w:lvlText w:val=""/>
      <w:lvlJc w:val="left"/>
    </w:lvl>
    <w:lvl w:ilvl="5" w:tplc="44DAE94C">
      <w:numFmt w:val="decimal"/>
      <w:lvlText w:val=""/>
      <w:lvlJc w:val="left"/>
    </w:lvl>
    <w:lvl w:ilvl="6" w:tplc="98FEF5AE">
      <w:numFmt w:val="decimal"/>
      <w:lvlText w:val=""/>
      <w:lvlJc w:val="left"/>
    </w:lvl>
    <w:lvl w:ilvl="7" w:tplc="B024E338">
      <w:numFmt w:val="decimal"/>
      <w:lvlText w:val=""/>
      <w:lvlJc w:val="left"/>
    </w:lvl>
    <w:lvl w:ilvl="8" w:tplc="6884E5BA">
      <w:numFmt w:val="decimal"/>
      <w:lvlText w:val=""/>
      <w:lvlJc w:val="left"/>
    </w:lvl>
  </w:abstractNum>
  <w:abstractNum w:abstractNumId="27" w15:restartNumberingAfterBreak="0">
    <w:nsid w:val="2D1A6BE2"/>
    <w:multiLevelType w:val="multilevel"/>
    <w:tmpl w:val="7992404A"/>
    <w:lvl w:ilvl="0">
      <w:numFmt w:val="decimal"/>
      <w:pStyle w:val="Numberedparagraph"/>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E9542F1"/>
    <w:multiLevelType w:val="multilevel"/>
    <w:tmpl w:val="D32A95F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32C14B48"/>
    <w:multiLevelType w:val="multilevel"/>
    <w:tmpl w:val="D1A2D9B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pStyle w:val="Heading6"/>
      <w:lvlText w:val=""/>
      <w:lvlJc w:val="left"/>
    </w:lvl>
    <w:lvl w:ilvl="6">
      <w:numFmt w:val="decimal"/>
      <w:pStyle w:val="Heading7"/>
      <w:lvlText w:val=""/>
      <w:lvlJc w:val="left"/>
    </w:lvl>
    <w:lvl w:ilvl="7">
      <w:numFmt w:val="decimal"/>
      <w:pStyle w:val="Heading8"/>
      <w:lvlText w:val=""/>
      <w:lvlJc w:val="left"/>
    </w:lvl>
    <w:lvl w:ilvl="8">
      <w:numFmt w:val="decimal"/>
      <w:pStyle w:val="Heading9"/>
      <w:lvlText w:val=""/>
      <w:lvlJc w:val="left"/>
    </w:lvl>
  </w:abstractNum>
  <w:abstractNum w:abstractNumId="30" w15:restartNumberingAfterBreak="0">
    <w:nsid w:val="3D465A16"/>
    <w:multiLevelType w:val="hybridMultilevel"/>
    <w:tmpl w:val="F8B6E0EA"/>
    <w:lvl w:ilvl="0" w:tplc="A0DA53AE">
      <w:start w:val="1"/>
      <w:numFmt w:val="bullet"/>
      <w:pStyle w:val="Bullet"/>
      <w:lvlText w:val=""/>
      <w:lvlJc w:val="left"/>
      <w:pPr>
        <w:ind w:left="360" w:hanging="360"/>
      </w:pPr>
      <w:rPr>
        <w:rFonts w:ascii="Symbol" w:hAnsi="Symbol" w:hint="default"/>
      </w:rPr>
    </w:lvl>
    <w:lvl w:ilvl="1" w:tplc="CAD00BA0">
      <w:numFmt w:val="decimal"/>
      <w:lvlText w:val=""/>
      <w:lvlJc w:val="left"/>
    </w:lvl>
    <w:lvl w:ilvl="2" w:tplc="740C6D2C">
      <w:numFmt w:val="decimal"/>
      <w:lvlText w:val=""/>
      <w:lvlJc w:val="left"/>
    </w:lvl>
    <w:lvl w:ilvl="3" w:tplc="CEFC1F96">
      <w:numFmt w:val="decimal"/>
      <w:lvlText w:val=""/>
      <w:lvlJc w:val="left"/>
    </w:lvl>
    <w:lvl w:ilvl="4" w:tplc="013EFDF8">
      <w:numFmt w:val="decimal"/>
      <w:lvlText w:val=""/>
      <w:lvlJc w:val="left"/>
    </w:lvl>
    <w:lvl w:ilvl="5" w:tplc="CB54F07A">
      <w:numFmt w:val="decimal"/>
      <w:lvlText w:val=""/>
      <w:lvlJc w:val="left"/>
    </w:lvl>
    <w:lvl w:ilvl="6" w:tplc="16C26682">
      <w:numFmt w:val="decimal"/>
      <w:lvlText w:val=""/>
      <w:lvlJc w:val="left"/>
    </w:lvl>
    <w:lvl w:ilvl="7" w:tplc="ED845E78">
      <w:numFmt w:val="decimal"/>
      <w:lvlText w:val=""/>
      <w:lvlJc w:val="left"/>
    </w:lvl>
    <w:lvl w:ilvl="8" w:tplc="A8040FCC">
      <w:numFmt w:val="decimal"/>
      <w:lvlText w:val=""/>
      <w:lvlJc w:val="left"/>
    </w:lvl>
  </w:abstractNum>
  <w:abstractNum w:abstractNumId="31" w15:restartNumberingAfterBreak="0">
    <w:nsid w:val="3E5A44EB"/>
    <w:multiLevelType w:val="hybridMultilevel"/>
    <w:tmpl w:val="4FD870FA"/>
    <w:lvl w:ilvl="0" w:tplc="1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427701FB"/>
    <w:multiLevelType w:val="hybridMultilevel"/>
    <w:tmpl w:val="0BA89340"/>
    <w:lvl w:ilvl="0" w:tplc="C04A679E">
      <w:numFmt w:val="decimal"/>
      <w:pStyle w:val="Sub-list"/>
      <w:lvlText w:val=""/>
      <w:lvlJc w:val="left"/>
    </w:lvl>
    <w:lvl w:ilvl="1" w:tplc="14090003">
      <w:numFmt w:val="decimal"/>
      <w:lvlText w:val=""/>
      <w:lvlJc w:val="left"/>
    </w:lvl>
    <w:lvl w:ilvl="2" w:tplc="14090005">
      <w:numFmt w:val="decimal"/>
      <w:lvlText w:val=""/>
      <w:lvlJc w:val="left"/>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abstractNum w:abstractNumId="33" w15:restartNumberingAfterBreak="0">
    <w:nsid w:val="440B17DC"/>
    <w:multiLevelType w:val="hybridMultilevel"/>
    <w:tmpl w:val="7B165F02"/>
    <w:lvl w:ilvl="0" w:tplc="37E6EBC0">
      <w:numFmt w:val="decimal"/>
      <w:pStyle w:val="TableBullet"/>
      <w:lvlText w:val=""/>
      <w:lvlJc w:val="left"/>
    </w:lvl>
    <w:lvl w:ilvl="1" w:tplc="14090003">
      <w:numFmt w:val="decimal"/>
      <w:lvlText w:val=""/>
      <w:lvlJc w:val="left"/>
    </w:lvl>
    <w:lvl w:ilvl="2" w:tplc="14090005">
      <w:numFmt w:val="decimal"/>
      <w:lvlText w:val=""/>
      <w:lvlJc w:val="left"/>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abstractNum w:abstractNumId="34" w15:restartNumberingAfterBreak="0">
    <w:nsid w:val="463D6104"/>
    <w:multiLevelType w:val="hybridMultilevel"/>
    <w:tmpl w:val="5BAC6512"/>
    <w:lvl w:ilvl="0" w:tplc="CA4E8916">
      <w:numFmt w:val="decimal"/>
      <w:pStyle w:val="Sub-listi"/>
      <w:lvlText w:val=""/>
      <w:lvlJc w:val="left"/>
    </w:lvl>
    <w:lvl w:ilvl="1" w:tplc="14090019">
      <w:numFmt w:val="decimal"/>
      <w:lvlText w:val=""/>
      <w:lvlJc w:val="left"/>
    </w:lvl>
    <w:lvl w:ilvl="2" w:tplc="1409001B">
      <w:numFmt w:val="decimal"/>
      <w:lvlText w:val=""/>
      <w:lvlJc w:val="left"/>
    </w:lvl>
    <w:lvl w:ilvl="3" w:tplc="1409000F">
      <w:numFmt w:val="decimal"/>
      <w:lvlText w:val=""/>
      <w:lvlJc w:val="left"/>
    </w:lvl>
    <w:lvl w:ilvl="4" w:tplc="14090019">
      <w:numFmt w:val="decimal"/>
      <w:lvlText w:val=""/>
      <w:lvlJc w:val="left"/>
    </w:lvl>
    <w:lvl w:ilvl="5" w:tplc="1409001B">
      <w:numFmt w:val="decimal"/>
      <w:lvlText w:val=""/>
      <w:lvlJc w:val="left"/>
    </w:lvl>
    <w:lvl w:ilvl="6" w:tplc="1409000F">
      <w:numFmt w:val="decimal"/>
      <w:lvlText w:val=""/>
      <w:lvlJc w:val="left"/>
    </w:lvl>
    <w:lvl w:ilvl="7" w:tplc="14090019">
      <w:numFmt w:val="decimal"/>
      <w:lvlText w:val=""/>
      <w:lvlJc w:val="left"/>
    </w:lvl>
    <w:lvl w:ilvl="8" w:tplc="1409001B">
      <w:numFmt w:val="decimal"/>
      <w:lvlText w:val=""/>
      <w:lvlJc w:val="left"/>
    </w:lvl>
  </w:abstractNum>
  <w:abstractNum w:abstractNumId="35" w15:restartNumberingAfterBreak="0">
    <w:nsid w:val="467F3453"/>
    <w:multiLevelType w:val="multilevel"/>
    <w:tmpl w:val="DF6EF8F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47AC55EF"/>
    <w:multiLevelType w:val="hybridMultilevel"/>
    <w:tmpl w:val="0A70DFA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4880130F"/>
    <w:multiLevelType w:val="multilevel"/>
    <w:tmpl w:val="AD2CFF4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49406EA8"/>
    <w:multiLevelType w:val="hybridMultilevel"/>
    <w:tmpl w:val="2794DAA6"/>
    <w:lvl w:ilvl="0" w:tplc="1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4FA52490"/>
    <w:multiLevelType w:val="multilevel"/>
    <w:tmpl w:val="5D2E471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53535234"/>
    <w:multiLevelType w:val="singleLevel"/>
    <w:tmpl w:val="DE5AE08C"/>
    <w:lvl w:ilvl="0">
      <w:numFmt w:val="decimal"/>
      <w:pStyle w:val="Boxbullet"/>
      <w:lvlText w:val=""/>
      <w:lvlJc w:val="left"/>
    </w:lvl>
  </w:abstractNum>
  <w:abstractNum w:abstractNumId="41" w15:restartNumberingAfterBreak="0">
    <w:nsid w:val="54A50479"/>
    <w:multiLevelType w:val="hybridMultilevel"/>
    <w:tmpl w:val="AC724166"/>
    <w:lvl w:ilvl="0" w:tplc="1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560C4F30"/>
    <w:multiLevelType w:val="multilevel"/>
    <w:tmpl w:val="4AFC2618"/>
    <w:lvl w:ilvl="0">
      <w:numFmt w:val="decimal"/>
      <w:pStyle w:val="Heading2"/>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618D225C"/>
    <w:multiLevelType w:val="hybridMultilevel"/>
    <w:tmpl w:val="2E46AED4"/>
    <w:lvl w:ilvl="0" w:tplc="1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6A340AB8"/>
    <w:multiLevelType w:val="multilevel"/>
    <w:tmpl w:val="1302A23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6C8F6642"/>
    <w:multiLevelType w:val="multilevel"/>
    <w:tmpl w:val="4FC83B0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6EA44F08"/>
    <w:multiLevelType w:val="hybridMultilevel"/>
    <w:tmpl w:val="4B44FF8E"/>
    <w:lvl w:ilvl="0" w:tplc="1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6F393427"/>
    <w:multiLevelType w:val="hybridMultilevel"/>
    <w:tmpl w:val="C7440BB4"/>
    <w:styleLink w:val="Style2"/>
    <w:lvl w:ilvl="0" w:tplc="443C1608">
      <w:numFmt w:val="decimal"/>
      <w:lvlText w:val=""/>
      <w:lvlJc w:val="left"/>
    </w:lvl>
    <w:lvl w:ilvl="1" w:tplc="8520C0A6">
      <w:numFmt w:val="decimal"/>
      <w:lvlText w:val=""/>
      <w:lvlJc w:val="left"/>
    </w:lvl>
    <w:lvl w:ilvl="2" w:tplc="4D8E978E">
      <w:numFmt w:val="decimal"/>
      <w:lvlText w:val=""/>
      <w:lvlJc w:val="left"/>
    </w:lvl>
    <w:lvl w:ilvl="3" w:tplc="863E9454">
      <w:numFmt w:val="decimal"/>
      <w:lvlText w:val=""/>
      <w:lvlJc w:val="left"/>
    </w:lvl>
    <w:lvl w:ilvl="4" w:tplc="C41CF820">
      <w:numFmt w:val="decimal"/>
      <w:lvlText w:val=""/>
      <w:lvlJc w:val="left"/>
    </w:lvl>
    <w:lvl w:ilvl="5" w:tplc="AA7026DC">
      <w:numFmt w:val="decimal"/>
      <w:lvlText w:val=""/>
      <w:lvlJc w:val="left"/>
    </w:lvl>
    <w:lvl w:ilvl="6" w:tplc="3BC6A192">
      <w:numFmt w:val="decimal"/>
      <w:lvlText w:val=""/>
      <w:lvlJc w:val="left"/>
    </w:lvl>
    <w:lvl w:ilvl="7" w:tplc="F8300BA8">
      <w:numFmt w:val="decimal"/>
      <w:lvlText w:val=""/>
      <w:lvlJc w:val="left"/>
    </w:lvl>
    <w:lvl w:ilvl="8" w:tplc="9AE25B64">
      <w:numFmt w:val="decimal"/>
      <w:lvlText w:val=""/>
      <w:lvlJc w:val="left"/>
    </w:lvl>
  </w:abstractNum>
  <w:abstractNum w:abstractNumId="48" w15:restartNumberingAfterBreak="0">
    <w:nsid w:val="6FAF6D87"/>
    <w:multiLevelType w:val="hybridMultilevel"/>
    <w:tmpl w:val="D8A85766"/>
    <w:lvl w:ilvl="0" w:tplc="490EFAB0">
      <w:numFmt w:val="decimal"/>
      <w:lvlText w:val=""/>
      <w:lvlJc w:val="left"/>
    </w:lvl>
    <w:lvl w:ilvl="1" w:tplc="14090003">
      <w:numFmt w:val="decimal"/>
      <w:lvlText w:val=""/>
      <w:lvlJc w:val="left"/>
    </w:lvl>
    <w:lvl w:ilvl="2" w:tplc="14090005">
      <w:numFmt w:val="decimal"/>
      <w:lvlText w:val=""/>
      <w:lvlJc w:val="left"/>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abstractNum w:abstractNumId="49" w15:restartNumberingAfterBreak="0">
    <w:nsid w:val="6FCB13B0"/>
    <w:multiLevelType w:val="hybridMultilevel"/>
    <w:tmpl w:val="46B4C580"/>
    <w:lvl w:ilvl="0" w:tplc="535C6468">
      <w:numFmt w:val="decimal"/>
      <w:pStyle w:val="Greensub-bullet-casestudytables"/>
      <w:lvlText w:val=""/>
      <w:lvlJc w:val="left"/>
    </w:lvl>
    <w:lvl w:ilvl="1" w:tplc="14090003">
      <w:numFmt w:val="decimal"/>
      <w:lvlText w:val=""/>
      <w:lvlJc w:val="left"/>
    </w:lvl>
    <w:lvl w:ilvl="2" w:tplc="14090005">
      <w:numFmt w:val="decimal"/>
      <w:lvlText w:val=""/>
      <w:lvlJc w:val="left"/>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abstractNum w:abstractNumId="50" w15:restartNumberingAfterBreak="0">
    <w:nsid w:val="7110366C"/>
    <w:multiLevelType w:val="hybridMultilevel"/>
    <w:tmpl w:val="AC7E06FC"/>
    <w:lvl w:ilvl="0" w:tplc="2ABA6934">
      <w:numFmt w:val="decimal"/>
      <w:lvlText w:val=""/>
      <w:lvlJc w:val="left"/>
    </w:lvl>
    <w:lvl w:ilvl="1" w:tplc="14090003">
      <w:numFmt w:val="decimal"/>
      <w:lvlText w:val=""/>
      <w:lvlJc w:val="left"/>
    </w:lvl>
    <w:lvl w:ilvl="2" w:tplc="14090005">
      <w:numFmt w:val="decimal"/>
      <w:lvlText w:val=""/>
      <w:lvlJc w:val="left"/>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abstractNum w:abstractNumId="51" w15:restartNumberingAfterBreak="0">
    <w:nsid w:val="74D02939"/>
    <w:multiLevelType w:val="hybridMultilevel"/>
    <w:tmpl w:val="54A4AD52"/>
    <w:lvl w:ilvl="0" w:tplc="1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15:restartNumberingAfterBreak="0">
    <w:nsid w:val="75811DDE"/>
    <w:multiLevelType w:val="hybridMultilevel"/>
    <w:tmpl w:val="C38A23EA"/>
    <w:lvl w:ilvl="0" w:tplc="528AF70E">
      <w:numFmt w:val="decimal"/>
      <w:pStyle w:val="TableDash"/>
      <w:lvlText w:val=""/>
      <w:lvlJc w:val="left"/>
    </w:lvl>
    <w:lvl w:ilvl="1" w:tplc="66624CCE">
      <w:numFmt w:val="decimal"/>
      <w:lvlText w:val=""/>
      <w:lvlJc w:val="left"/>
    </w:lvl>
    <w:lvl w:ilvl="2" w:tplc="F50EB80C">
      <w:numFmt w:val="decimal"/>
      <w:lvlText w:val=""/>
      <w:lvlJc w:val="left"/>
    </w:lvl>
    <w:lvl w:ilvl="3" w:tplc="3662DCF6">
      <w:numFmt w:val="decimal"/>
      <w:lvlText w:val=""/>
      <w:lvlJc w:val="left"/>
    </w:lvl>
    <w:lvl w:ilvl="4" w:tplc="4F909F22">
      <w:numFmt w:val="decimal"/>
      <w:lvlText w:val=""/>
      <w:lvlJc w:val="left"/>
    </w:lvl>
    <w:lvl w:ilvl="5" w:tplc="6D8E5B5C">
      <w:numFmt w:val="decimal"/>
      <w:lvlText w:val=""/>
      <w:lvlJc w:val="left"/>
    </w:lvl>
    <w:lvl w:ilvl="6" w:tplc="430447C8">
      <w:numFmt w:val="decimal"/>
      <w:lvlText w:val=""/>
      <w:lvlJc w:val="left"/>
    </w:lvl>
    <w:lvl w:ilvl="7" w:tplc="489CDFD4">
      <w:numFmt w:val="decimal"/>
      <w:lvlText w:val=""/>
      <w:lvlJc w:val="left"/>
    </w:lvl>
    <w:lvl w:ilvl="8" w:tplc="5FD01C96">
      <w:numFmt w:val="decimal"/>
      <w:lvlText w:val=""/>
      <w:lvlJc w:val="left"/>
    </w:lvl>
  </w:abstractNum>
  <w:abstractNum w:abstractNumId="53" w15:restartNumberingAfterBreak="0">
    <w:nsid w:val="76893935"/>
    <w:multiLevelType w:val="hybridMultilevel"/>
    <w:tmpl w:val="68DC2F66"/>
    <w:lvl w:ilvl="0" w:tplc="1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15:restartNumberingAfterBreak="0">
    <w:nsid w:val="771C2E04"/>
    <w:multiLevelType w:val="hybridMultilevel"/>
    <w:tmpl w:val="4454D402"/>
    <w:lvl w:ilvl="0" w:tplc="1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15:restartNumberingAfterBreak="0">
    <w:nsid w:val="7D625AF1"/>
    <w:multiLevelType w:val="hybridMultilevel"/>
    <w:tmpl w:val="1722BA30"/>
    <w:lvl w:ilvl="0" w:tplc="1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15:restartNumberingAfterBreak="0">
    <w:nsid w:val="7DA0319B"/>
    <w:multiLevelType w:val="hybridMultilevel"/>
    <w:tmpl w:val="29D8AE04"/>
    <w:lvl w:ilvl="0" w:tplc="1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426684315">
    <w:abstractNumId w:val="29"/>
  </w:num>
  <w:num w:numId="2" w16cid:durableId="1670715236">
    <w:abstractNumId w:val="32"/>
  </w:num>
  <w:num w:numId="3" w16cid:durableId="707411419">
    <w:abstractNumId w:val="19"/>
  </w:num>
  <w:num w:numId="4" w16cid:durableId="2099209057">
    <w:abstractNumId w:val="34"/>
  </w:num>
  <w:num w:numId="5" w16cid:durableId="398022734">
    <w:abstractNumId w:val="33"/>
  </w:num>
  <w:num w:numId="6" w16cid:durableId="802768970">
    <w:abstractNumId w:val="52"/>
  </w:num>
  <w:num w:numId="7" w16cid:durableId="1855878903">
    <w:abstractNumId w:val="26"/>
  </w:num>
  <w:num w:numId="8" w16cid:durableId="554437248">
    <w:abstractNumId w:val="47"/>
  </w:num>
  <w:num w:numId="9" w16cid:durableId="1617329938">
    <w:abstractNumId w:val="6"/>
  </w:num>
  <w:num w:numId="10" w16cid:durableId="383720081">
    <w:abstractNumId w:val="21"/>
  </w:num>
  <w:num w:numId="11" w16cid:durableId="1947152598">
    <w:abstractNumId w:val="30"/>
  </w:num>
  <w:num w:numId="12" w16cid:durableId="1815873474">
    <w:abstractNumId w:val="18"/>
  </w:num>
  <w:num w:numId="13" w16cid:durableId="1270235133">
    <w:abstractNumId w:val="49"/>
  </w:num>
  <w:num w:numId="14" w16cid:durableId="544832826">
    <w:abstractNumId w:val="13"/>
  </w:num>
  <w:num w:numId="15" w16cid:durableId="1405882489">
    <w:abstractNumId w:val="15"/>
  </w:num>
  <w:num w:numId="16" w16cid:durableId="2130125067">
    <w:abstractNumId w:val="0"/>
  </w:num>
  <w:num w:numId="17" w16cid:durableId="1242642780">
    <w:abstractNumId w:val="3"/>
  </w:num>
  <w:num w:numId="18" w16cid:durableId="1781560872">
    <w:abstractNumId w:val="42"/>
  </w:num>
  <w:num w:numId="19" w16cid:durableId="1435128539">
    <w:abstractNumId w:val="45"/>
  </w:num>
  <w:num w:numId="20" w16cid:durableId="1109202380">
    <w:abstractNumId w:val="37"/>
  </w:num>
  <w:num w:numId="21" w16cid:durableId="345911760">
    <w:abstractNumId w:val="44"/>
  </w:num>
  <w:num w:numId="22" w16cid:durableId="95253151">
    <w:abstractNumId w:val="17"/>
  </w:num>
  <w:num w:numId="23" w16cid:durableId="1648388931">
    <w:abstractNumId w:val="2"/>
  </w:num>
  <w:num w:numId="24" w16cid:durableId="1817793405">
    <w:abstractNumId w:val="4"/>
  </w:num>
  <w:num w:numId="25" w16cid:durableId="1868986186">
    <w:abstractNumId w:val="35"/>
  </w:num>
  <w:num w:numId="26" w16cid:durableId="1009603005">
    <w:abstractNumId w:val="8"/>
  </w:num>
  <w:num w:numId="27" w16cid:durableId="1539245688">
    <w:abstractNumId w:val="28"/>
  </w:num>
  <w:num w:numId="28" w16cid:durableId="1726876071">
    <w:abstractNumId w:val="11"/>
  </w:num>
  <w:num w:numId="29" w16cid:durableId="685640798">
    <w:abstractNumId w:val="25"/>
  </w:num>
  <w:num w:numId="30" w16cid:durableId="1928882533">
    <w:abstractNumId w:val="39"/>
  </w:num>
  <w:num w:numId="31" w16cid:durableId="918564569">
    <w:abstractNumId w:val="9"/>
  </w:num>
  <w:num w:numId="32" w16cid:durableId="9766621">
    <w:abstractNumId w:val="20"/>
  </w:num>
  <w:num w:numId="33" w16cid:durableId="2122341009">
    <w:abstractNumId w:val="14"/>
  </w:num>
  <w:num w:numId="34" w16cid:durableId="1196430505">
    <w:abstractNumId w:val="16"/>
  </w:num>
  <w:num w:numId="35" w16cid:durableId="1141579128">
    <w:abstractNumId w:val="12"/>
  </w:num>
  <w:num w:numId="36" w16cid:durableId="1033848017">
    <w:abstractNumId w:val="48"/>
  </w:num>
  <w:num w:numId="37" w16cid:durableId="153642351">
    <w:abstractNumId w:val="50"/>
  </w:num>
  <w:num w:numId="38" w16cid:durableId="1025835366">
    <w:abstractNumId w:val="5"/>
  </w:num>
  <w:num w:numId="39" w16cid:durableId="1617756654">
    <w:abstractNumId w:val="1"/>
  </w:num>
  <w:num w:numId="40" w16cid:durableId="1969894773">
    <w:abstractNumId w:val="40"/>
  </w:num>
  <w:num w:numId="41" w16cid:durableId="175736225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519782125">
    <w:abstractNumId w:val="22"/>
  </w:num>
  <w:num w:numId="43" w16cid:durableId="1929188963">
    <w:abstractNumId w:val="38"/>
  </w:num>
  <w:num w:numId="44" w16cid:durableId="710154875">
    <w:abstractNumId w:val="7"/>
  </w:num>
  <w:num w:numId="45" w16cid:durableId="1019505339">
    <w:abstractNumId w:val="10"/>
  </w:num>
  <w:num w:numId="46" w16cid:durableId="434063360">
    <w:abstractNumId w:val="24"/>
  </w:num>
  <w:num w:numId="47" w16cid:durableId="1699507437">
    <w:abstractNumId w:val="43"/>
  </w:num>
  <w:num w:numId="48" w16cid:durableId="1259562457">
    <w:abstractNumId w:val="56"/>
  </w:num>
  <w:num w:numId="49" w16cid:durableId="464978033">
    <w:abstractNumId w:val="55"/>
  </w:num>
  <w:num w:numId="50" w16cid:durableId="1008756853">
    <w:abstractNumId w:val="23"/>
  </w:num>
  <w:num w:numId="51" w16cid:durableId="1223062407">
    <w:abstractNumId w:val="41"/>
  </w:num>
  <w:num w:numId="52" w16cid:durableId="2146044251">
    <w:abstractNumId w:val="54"/>
  </w:num>
  <w:num w:numId="53" w16cid:durableId="1653292620">
    <w:abstractNumId w:val="53"/>
  </w:num>
  <w:num w:numId="54" w16cid:durableId="942303299">
    <w:abstractNumId w:val="31"/>
  </w:num>
  <w:num w:numId="55" w16cid:durableId="580408829">
    <w:abstractNumId w:val="46"/>
  </w:num>
  <w:num w:numId="56" w16cid:durableId="790319323">
    <w:abstractNumId w:val="51"/>
  </w:num>
  <w:num w:numId="57" w16cid:durableId="1684865498">
    <w:abstractNumId w:val="3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DateAndTime/>
  <w:activeWritingStyle w:appName="MSWord" w:lang="en-AU" w:vendorID="64" w:dllVersion="0" w:nlCheck="1" w:checkStyle="0"/>
  <w:activeWritingStyle w:appName="MSWord" w:lang="en-NZ" w:vendorID="64" w:dllVersion="0" w:nlCheck="1" w:checkStyle="0"/>
  <w:activeWritingStyle w:appName="MSWord" w:lang="en-US" w:vendorID="64" w:dllVersion="0" w:nlCheck="1" w:checkStyle="0"/>
  <w:attachedTemplate r:id="rId1"/>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7F9"/>
    <w:rsid w:val="000002CC"/>
    <w:rsid w:val="00000792"/>
    <w:rsid w:val="00000F04"/>
    <w:rsid w:val="000013C2"/>
    <w:rsid w:val="000013E1"/>
    <w:rsid w:val="00001A21"/>
    <w:rsid w:val="00001FF6"/>
    <w:rsid w:val="000025D9"/>
    <w:rsid w:val="00002606"/>
    <w:rsid w:val="0000272E"/>
    <w:rsid w:val="00002731"/>
    <w:rsid w:val="00002769"/>
    <w:rsid w:val="00002A21"/>
    <w:rsid w:val="00002AD5"/>
    <w:rsid w:val="00002AE3"/>
    <w:rsid w:val="00002BBC"/>
    <w:rsid w:val="00002D6D"/>
    <w:rsid w:val="000030F5"/>
    <w:rsid w:val="00003521"/>
    <w:rsid w:val="00003A3F"/>
    <w:rsid w:val="00003C4F"/>
    <w:rsid w:val="00003DE6"/>
    <w:rsid w:val="00004007"/>
    <w:rsid w:val="0000429D"/>
    <w:rsid w:val="00004E0A"/>
    <w:rsid w:val="00004FD3"/>
    <w:rsid w:val="000052B3"/>
    <w:rsid w:val="000053C4"/>
    <w:rsid w:val="00005441"/>
    <w:rsid w:val="000054CC"/>
    <w:rsid w:val="000057F8"/>
    <w:rsid w:val="00005B08"/>
    <w:rsid w:val="0000678C"/>
    <w:rsid w:val="00006A09"/>
    <w:rsid w:val="00006BAA"/>
    <w:rsid w:val="00006DF5"/>
    <w:rsid w:val="00006F95"/>
    <w:rsid w:val="00007023"/>
    <w:rsid w:val="0000707D"/>
    <w:rsid w:val="0000709F"/>
    <w:rsid w:val="000071D6"/>
    <w:rsid w:val="00007570"/>
    <w:rsid w:val="000078BB"/>
    <w:rsid w:val="000079D9"/>
    <w:rsid w:val="00007F2D"/>
    <w:rsid w:val="00007FAC"/>
    <w:rsid w:val="000102D5"/>
    <w:rsid w:val="000105C2"/>
    <w:rsid w:val="00010640"/>
    <w:rsid w:val="00010738"/>
    <w:rsid w:val="000107AD"/>
    <w:rsid w:val="00010A9C"/>
    <w:rsid w:val="00010ABA"/>
    <w:rsid w:val="00010E15"/>
    <w:rsid w:val="00010E26"/>
    <w:rsid w:val="00010E54"/>
    <w:rsid w:val="00010F57"/>
    <w:rsid w:val="0001100C"/>
    <w:rsid w:val="0001103A"/>
    <w:rsid w:val="00011188"/>
    <w:rsid w:val="00011447"/>
    <w:rsid w:val="00011A9D"/>
    <w:rsid w:val="00011BAF"/>
    <w:rsid w:val="00011E25"/>
    <w:rsid w:val="00011E6F"/>
    <w:rsid w:val="00012555"/>
    <w:rsid w:val="00012840"/>
    <w:rsid w:val="00012A1F"/>
    <w:rsid w:val="00012AA7"/>
    <w:rsid w:val="00012B27"/>
    <w:rsid w:val="00012FB1"/>
    <w:rsid w:val="00013055"/>
    <w:rsid w:val="00013522"/>
    <w:rsid w:val="0001380B"/>
    <w:rsid w:val="00013968"/>
    <w:rsid w:val="00013B45"/>
    <w:rsid w:val="00013D1E"/>
    <w:rsid w:val="00014236"/>
    <w:rsid w:val="0001462F"/>
    <w:rsid w:val="000147A4"/>
    <w:rsid w:val="000148F6"/>
    <w:rsid w:val="00014B2B"/>
    <w:rsid w:val="00014C69"/>
    <w:rsid w:val="00014DA9"/>
    <w:rsid w:val="00015217"/>
    <w:rsid w:val="0001591A"/>
    <w:rsid w:val="000159D2"/>
    <w:rsid w:val="0001607F"/>
    <w:rsid w:val="00016264"/>
    <w:rsid w:val="0001647A"/>
    <w:rsid w:val="000166E1"/>
    <w:rsid w:val="00016814"/>
    <w:rsid w:val="00016993"/>
    <w:rsid w:val="00016B9A"/>
    <w:rsid w:val="00016CAB"/>
    <w:rsid w:val="00016CF3"/>
    <w:rsid w:val="00016E20"/>
    <w:rsid w:val="00016E5B"/>
    <w:rsid w:val="00017123"/>
    <w:rsid w:val="0001749B"/>
    <w:rsid w:val="000174BD"/>
    <w:rsid w:val="000174CA"/>
    <w:rsid w:val="000179C1"/>
    <w:rsid w:val="000179C7"/>
    <w:rsid w:val="00017A0D"/>
    <w:rsid w:val="00017D75"/>
    <w:rsid w:val="00017D9F"/>
    <w:rsid w:val="00017E66"/>
    <w:rsid w:val="00017EB3"/>
    <w:rsid w:val="00017FE5"/>
    <w:rsid w:val="00020494"/>
    <w:rsid w:val="0002061B"/>
    <w:rsid w:val="00020870"/>
    <w:rsid w:val="00020B99"/>
    <w:rsid w:val="00021386"/>
    <w:rsid w:val="000215EE"/>
    <w:rsid w:val="00021903"/>
    <w:rsid w:val="00021910"/>
    <w:rsid w:val="00021E40"/>
    <w:rsid w:val="00021F0B"/>
    <w:rsid w:val="000220E3"/>
    <w:rsid w:val="000224F2"/>
    <w:rsid w:val="00022590"/>
    <w:rsid w:val="00022AC6"/>
    <w:rsid w:val="00022C57"/>
    <w:rsid w:val="00022E8D"/>
    <w:rsid w:val="00023018"/>
    <w:rsid w:val="0002348A"/>
    <w:rsid w:val="000234F2"/>
    <w:rsid w:val="00023637"/>
    <w:rsid w:val="000236C0"/>
    <w:rsid w:val="0002378E"/>
    <w:rsid w:val="000240DC"/>
    <w:rsid w:val="00024708"/>
    <w:rsid w:val="00024E78"/>
    <w:rsid w:val="00024ECF"/>
    <w:rsid w:val="00024EE7"/>
    <w:rsid w:val="00024FBB"/>
    <w:rsid w:val="0002576B"/>
    <w:rsid w:val="00025906"/>
    <w:rsid w:val="00025B27"/>
    <w:rsid w:val="00025B4B"/>
    <w:rsid w:val="00025E04"/>
    <w:rsid w:val="00025F7D"/>
    <w:rsid w:val="00025F96"/>
    <w:rsid w:val="00025FA8"/>
    <w:rsid w:val="00025FAB"/>
    <w:rsid w:val="00026055"/>
    <w:rsid w:val="00026195"/>
    <w:rsid w:val="00026839"/>
    <w:rsid w:val="00026AEA"/>
    <w:rsid w:val="00026BDA"/>
    <w:rsid w:val="00026E4E"/>
    <w:rsid w:val="00026E89"/>
    <w:rsid w:val="00026EC6"/>
    <w:rsid w:val="00027555"/>
    <w:rsid w:val="000275A3"/>
    <w:rsid w:val="000277A5"/>
    <w:rsid w:val="00027CC9"/>
    <w:rsid w:val="00027CD8"/>
    <w:rsid w:val="00030170"/>
    <w:rsid w:val="00030396"/>
    <w:rsid w:val="00030558"/>
    <w:rsid w:val="00030699"/>
    <w:rsid w:val="000306F0"/>
    <w:rsid w:val="00030725"/>
    <w:rsid w:val="0003097B"/>
    <w:rsid w:val="00030DB8"/>
    <w:rsid w:val="00030E2A"/>
    <w:rsid w:val="00030F85"/>
    <w:rsid w:val="000311EB"/>
    <w:rsid w:val="00031219"/>
    <w:rsid w:val="000312DE"/>
    <w:rsid w:val="00031383"/>
    <w:rsid w:val="000317A9"/>
    <w:rsid w:val="00031A83"/>
    <w:rsid w:val="00031BFF"/>
    <w:rsid w:val="00031EBA"/>
    <w:rsid w:val="00031FF2"/>
    <w:rsid w:val="0003213A"/>
    <w:rsid w:val="0003231F"/>
    <w:rsid w:val="00032A81"/>
    <w:rsid w:val="00032E8B"/>
    <w:rsid w:val="00032F08"/>
    <w:rsid w:val="00032F1E"/>
    <w:rsid w:val="00032F2D"/>
    <w:rsid w:val="00033013"/>
    <w:rsid w:val="000330D3"/>
    <w:rsid w:val="000331DB"/>
    <w:rsid w:val="000333A4"/>
    <w:rsid w:val="00033A7E"/>
    <w:rsid w:val="00033A7F"/>
    <w:rsid w:val="00033B23"/>
    <w:rsid w:val="00033C80"/>
    <w:rsid w:val="00033CC3"/>
    <w:rsid w:val="00033E38"/>
    <w:rsid w:val="000340D8"/>
    <w:rsid w:val="0003427D"/>
    <w:rsid w:val="00034DFA"/>
    <w:rsid w:val="00034E71"/>
    <w:rsid w:val="000357ED"/>
    <w:rsid w:val="00035828"/>
    <w:rsid w:val="00035E0F"/>
    <w:rsid w:val="00035E15"/>
    <w:rsid w:val="00035E77"/>
    <w:rsid w:val="00035F53"/>
    <w:rsid w:val="0003640E"/>
    <w:rsid w:val="00036627"/>
    <w:rsid w:val="000367BF"/>
    <w:rsid w:val="0003688A"/>
    <w:rsid w:val="000368B5"/>
    <w:rsid w:val="000368FC"/>
    <w:rsid w:val="00036B2B"/>
    <w:rsid w:val="00036DA3"/>
    <w:rsid w:val="00036EB4"/>
    <w:rsid w:val="00037454"/>
    <w:rsid w:val="0003769C"/>
    <w:rsid w:val="000379BF"/>
    <w:rsid w:val="00037BEC"/>
    <w:rsid w:val="00037C54"/>
    <w:rsid w:val="00037D0F"/>
    <w:rsid w:val="00037DAB"/>
    <w:rsid w:val="00037FA4"/>
    <w:rsid w:val="000400D9"/>
    <w:rsid w:val="00040137"/>
    <w:rsid w:val="0004022F"/>
    <w:rsid w:val="0004028C"/>
    <w:rsid w:val="0004035C"/>
    <w:rsid w:val="00040399"/>
    <w:rsid w:val="000404F3"/>
    <w:rsid w:val="00040860"/>
    <w:rsid w:val="00040A0E"/>
    <w:rsid w:val="00040CED"/>
    <w:rsid w:val="00040EA1"/>
    <w:rsid w:val="00040EA3"/>
    <w:rsid w:val="00041122"/>
    <w:rsid w:val="00041430"/>
    <w:rsid w:val="000416C1"/>
    <w:rsid w:val="0004170D"/>
    <w:rsid w:val="0004205F"/>
    <w:rsid w:val="000420A4"/>
    <w:rsid w:val="00042321"/>
    <w:rsid w:val="000423C6"/>
    <w:rsid w:val="00042B3B"/>
    <w:rsid w:val="00042C4D"/>
    <w:rsid w:val="00042EDB"/>
    <w:rsid w:val="000431D1"/>
    <w:rsid w:val="000434EC"/>
    <w:rsid w:val="000437CB"/>
    <w:rsid w:val="00043848"/>
    <w:rsid w:val="00043D1F"/>
    <w:rsid w:val="00044A50"/>
    <w:rsid w:val="00044C65"/>
    <w:rsid w:val="00044CE6"/>
    <w:rsid w:val="00044D90"/>
    <w:rsid w:val="00044FA4"/>
    <w:rsid w:val="00045251"/>
    <w:rsid w:val="000453A0"/>
    <w:rsid w:val="000453A1"/>
    <w:rsid w:val="000453E6"/>
    <w:rsid w:val="000453EC"/>
    <w:rsid w:val="000454BF"/>
    <w:rsid w:val="00045537"/>
    <w:rsid w:val="000458C7"/>
    <w:rsid w:val="000458DA"/>
    <w:rsid w:val="00045991"/>
    <w:rsid w:val="00045B33"/>
    <w:rsid w:val="00045C66"/>
    <w:rsid w:val="00045DB8"/>
    <w:rsid w:val="00045E5C"/>
    <w:rsid w:val="00046002"/>
    <w:rsid w:val="00046288"/>
    <w:rsid w:val="0004649C"/>
    <w:rsid w:val="00046993"/>
    <w:rsid w:val="00046AC8"/>
    <w:rsid w:val="00046DFA"/>
    <w:rsid w:val="000471B8"/>
    <w:rsid w:val="0004726F"/>
    <w:rsid w:val="00047298"/>
    <w:rsid w:val="000472E0"/>
    <w:rsid w:val="0004731B"/>
    <w:rsid w:val="000477C9"/>
    <w:rsid w:val="00047941"/>
    <w:rsid w:val="00047A5F"/>
    <w:rsid w:val="00047BDB"/>
    <w:rsid w:val="00047E12"/>
    <w:rsid w:val="00047EBF"/>
    <w:rsid w:val="00047EEA"/>
    <w:rsid w:val="0005038E"/>
    <w:rsid w:val="0005063A"/>
    <w:rsid w:val="00050806"/>
    <w:rsid w:val="00050A22"/>
    <w:rsid w:val="00050C31"/>
    <w:rsid w:val="00050D36"/>
    <w:rsid w:val="00050E27"/>
    <w:rsid w:val="00050F5E"/>
    <w:rsid w:val="0005144F"/>
    <w:rsid w:val="0005145A"/>
    <w:rsid w:val="000517A0"/>
    <w:rsid w:val="00051996"/>
    <w:rsid w:val="00051A63"/>
    <w:rsid w:val="00051AF1"/>
    <w:rsid w:val="00051C9C"/>
    <w:rsid w:val="00051D42"/>
    <w:rsid w:val="0005251A"/>
    <w:rsid w:val="00052DE0"/>
    <w:rsid w:val="0005319C"/>
    <w:rsid w:val="000532BD"/>
    <w:rsid w:val="000534B9"/>
    <w:rsid w:val="000537E8"/>
    <w:rsid w:val="00053813"/>
    <w:rsid w:val="000538A1"/>
    <w:rsid w:val="00053977"/>
    <w:rsid w:val="00053EEA"/>
    <w:rsid w:val="00053F7F"/>
    <w:rsid w:val="00054326"/>
    <w:rsid w:val="000545BF"/>
    <w:rsid w:val="00054981"/>
    <w:rsid w:val="00054BBF"/>
    <w:rsid w:val="00054D44"/>
    <w:rsid w:val="000550B9"/>
    <w:rsid w:val="00055182"/>
    <w:rsid w:val="00055375"/>
    <w:rsid w:val="000553FB"/>
    <w:rsid w:val="000558A5"/>
    <w:rsid w:val="00055A0C"/>
    <w:rsid w:val="00056107"/>
    <w:rsid w:val="00056128"/>
    <w:rsid w:val="0005616E"/>
    <w:rsid w:val="00056319"/>
    <w:rsid w:val="000564E7"/>
    <w:rsid w:val="00056598"/>
    <w:rsid w:val="00056745"/>
    <w:rsid w:val="00056770"/>
    <w:rsid w:val="00056BED"/>
    <w:rsid w:val="00056C56"/>
    <w:rsid w:val="00057386"/>
    <w:rsid w:val="0005738C"/>
    <w:rsid w:val="000576D1"/>
    <w:rsid w:val="00057AD8"/>
    <w:rsid w:val="00057DE4"/>
    <w:rsid w:val="00057EEF"/>
    <w:rsid w:val="0006004B"/>
    <w:rsid w:val="0006049D"/>
    <w:rsid w:val="0006072C"/>
    <w:rsid w:val="00060B14"/>
    <w:rsid w:val="00060D3D"/>
    <w:rsid w:val="000610BE"/>
    <w:rsid w:val="000613ED"/>
    <w:rsid w:val="000616C4"/>
    <w:rsid w:val="000619B9"/>
    <w:rsid w:val="000619CB"/>
    <w:rsid w:val="00061E95"/>
    <w:rsid w:val="000620F0"/>
    <w:rsid w:val="00062286"/>
    <w:rsid w:val="00062387"/>
    <w:rsid w:val="000626AE"/>
    <w:rsid w:val="00062709"/>
    <w:rsid w:val="0006289F"/>
    <w:rsid w:val="00062BF8"/>
    <w:rsid w:val="00062CC5"/>
    <w:rsid w:val="00062ECD"/>
    <w:rsid w:val="00062FB9"/>
    <w:rsid w:val="0006357C"/>
    <w:rsid w:val="00063EDC"/>
    <w:rsid w:val="00064006"/>
    <w:rsid w:val="000640BE"/>
    <w:rsid w:val="000640CE"/>
    <w:rsid w:val="000640F0"/>
    <w:rsid w:val="0006434D"/>
    <w:rsid w:val="000643A1"/>
    <w:rsid w:val="00064558"/>
    <w:rsid w:val="000645F8"/>
    <w:rsid w:val="00064628"/>
    <w:rsid w:val="00064650"/>
    <w:rsid w:val="00064679"/>
    <w:rsid w:val="00064778"/>
    <w:rsid w:val="000647AE"/>
    <w:rsid w:val="00064834"/>
    <w:rsid w:val="00064A13"/>
    <w:rsid w:val="00064AF4"/>
    <w:rsid w:val="00064DB1"/>
    <w:rsid w:val="00064F8B"/>
    <w:rsid w:val="0006509C"/>
    <w:rsid w:val="00065607"/>
    <w:rsid w:val="0006594A"/>
    <w:rsid w:val="00065A66"/>
    <w:rsid w:val="00065BA3"/>
    <w:rsid w:val="00065D3B"/>
    <w:rsid w:val="00066018"/>
    <w:rsid w:val="0006602F"/>
    <w:rsid w:val="00066188"/>
    <w:rsid w:val="000665CF"/>
    <w:rsid w:val="00066698"/>
    <w:rsid w:val="000667E9"/>
    <w:rsid w:val="00066D08"/>
    <w:rsid w:val="00066DAD"/>
    <w:rsid w:val="00066E71"/>
    <w:rsid w:val="00066F4B"/>
    <w:rsid w:val="00067128"/>
    <w:rsid w:val="00067404"/>
    <w:rsid w:val="00067518"/>
    <w:rsid w:val="000675CD"/>
    <w:rsid w:val="000677DB"/>
    <w:rsid w:val="00067872"/>
    <w:rsid w:val="000678AC"/>
    <w:rsid w:val="00067AA0"/>
    <w:rsid w:val="00067EF4"/>
    <w:rsid w:val="000700AC"/>
    <w:rsid w:val="00070364"/>
    <w:rsid w:val="000703B2"/>
    <w:rsid w:val="00070471"/>
    <w:rsid w:val="000705C1"/>
    <w:rsid w:val="00070700"/>
    <w:rsid w:val="000708DE"/>
    <w:rsid w:val="00070A60"/>
    <w:rsid w:val="00070B15"/>
    <w:rsid w:val="00070D8A"/>
    <w:rsid w:val="00070FBF"/>
    <w:rsid w:val="00070FD4"/>
    <w:rsid w:val="000711EE"/>
    <w:rsid w:val="0007127E"/>
    <w:rsid w:val="000714DC"/>
    <w:rsid w:val="0007180E"/>
    <w:rsid w:val="00071AE4"/>
    <w:rsid w:val="00071C4B"/>
    <w:rsid w:val="00071CB5"/>
    <w:rsid w:val="00071CCB"/>
    <w:rsid w:val="00071D03"/>
    <w:rsid w:val="00071F1D"/>
    <w:rsid w:val="00071F23"/>
    <w:rsid w:val="00072159"/>
    <w:rsid w:val="0007224E"/>
    <w:rsid w:val="0007232B"/>
    <w:rsid w:val="0007257D"/>
    <w:rsid w:val="000726C6"/>
    <w:rsid w:val="00072B98"/>
    <w:rsid w:val="00072C8C"/>
    <w:rsid w:val="000733CF"/>
    <w:rsid w:val="000735A2"/>
    <w:rsid w:val="00073642"/>
    <w:rsid w:val="000737D3"/>
    <w:rsid w:val="00073D69"/>
    <w:rsid w:val="00073EC0"/>
    <w:rsid w:val="00073FF1"/>
    <w:rsid w:val="00074838"/>
    <w:rsid w:val="00074978"/>
    <w:rsid w:val="00074BF6"/>
    <w:rsid w:val="00074D0A"/>
    <w:rsid w:val="00074E02"/>
    <w:rsid w:val="00074E3D"/>
    <w:rsid w:val="00074E71"/>
    <w:rsid w:val="00075073"/>
    <w:rsid w:val="000750A5"/>
    <w:rsid w:val="000750BF"/>
    <w:rsid w:val="0007517E"/>
    <w:rsid w:val="00075804"/>
    <w:rsid w:val="00075947"/>
    <w:rsid w:val="000759F3"/>
    <w:rsid w:val="00075ABE"/>
    <w:rsid w:val="00075BCD"/>
    <w:rsid w:val="00075CF4"/>
    <w:rsid w:val="00075FCF"/>
    <w:rsid w:val="00075FE1"/>
    <w:rsid w:val="00076161"/>
    <w:rsid w:val="000761F2"/>
    <w:rsid w:val="00076667"/>
    <w:rsid w:val="00076833"/>
    <w:rsid w:val="000773FC"/>
    <w:rsid w:val="00077473"/>
    <w:rsid w:val="00077481"/>
    <w:rsid w:val="000774AE"/>
    <w:rsid w:val="00077540"/>
    <w:rsid w:val="000776F9"/>
    <w:rsid w:val="000778D9"/>
    <w:rsid w:val="00077AD3"/>
    <w:rsid w:val="00077B69"/>
    <w:rsid w:val="00077EC5"/>
    <w:rsid w:val="00077EE0"/>
    <w:rsid w:val="00080175"/>
    <w:rsid w:val="000802F9"/>
    <w:rsid w:val="000803A6"/>
    <w:rsid w:val="0008044A"/>
    <w:rsid w:val="000805DF"/>
    <w:rsid w:val="0008073D"/>
    <w:rsid w:val="000809A9"/>
    <w:rsid w:val="00080C18"/>
    <w:rsid w:val="00080E17"/>
    <w:rsid w:val="000811BE"/>
    <w:rsid w:val="0008145A"/>
    <w:rsid w:val="00081567"/>
    <w:rsid w:val="00081569"/>
    <w:rsid w:val="0008162D"/>
    <w:rsid w:val="00081732"/>
    <w:rsid w:val="000818E4"/>
    <w:rsid w:val="000819F3"/>
    <w:rsid w:val="00081A00"/>
    <w:rsid w:val="00081E52"/>
    <w:rsid w:val="00081FFC"/>
    <w:rsid w:val="0008214A"/>
    <w:rsid w:val="000821F1"/>
    <w:rsid w:val="00082429"/>
    <w:rsid w:val="00082DFF"/>
    <w:rsid w:val="00083130"/>
    <w:rsid w:val="000831C8"/>
    <w:rsid w:val="00083837"/>
    <w:rsid w:val="000839EE"/>
    <w:rsid w:val="00083B91"/>
    <w:rsid w:val="00083DC3"/>
    <w:rsid w:val="00083DCD"/>
    <w:rsid w:val="00083F5E"/>
    <w:rsid w:val="000842B3"/>
    <w:rsid w:val="000848EB"/>
    <w:rsid w:val="00084998"/>
    <w:rsid w:val="000849BC"/>
    <w:rsid w:val="00084EE6"/>
    <w:rsid w:val="00084FDB"/>
    <w:rsid w:val="0008505C"/>
    <w:rsid w:val="00085534"/>
    <w:rsid w:val="00085607"/>
    <w:rsid w:val="00085619"/>
    <w:rsid w:val="000856B0"/>
    <w:rsid w:val="00085C46"/>
    <w:rsid w:val="00085CE5"/>
    <w:rsid w:val="00086158"/>
    <w:rsid w:val="00086286"/>
    <w:rsid w:val="000864C5"/>
    <w:rsid w:val="00086579"/>
    <w:rsid w:val="00086701"/>
    <w:rsid w:val="0008686A"/>
    <w:rsid w:val="00087175"/>
    <w:rsid w:val="000872CF"/>
    <w:rsid w:val="000874AC"/>
    <w:rsid w:val="0008762A"/>
    <w:rsid w:val="000879A6"/>
    <w:rsid w:val="00087D35"/>
    <w:rsid w:val="0009064F"/>
    <w:rsid w:val="0009075B"/>
    <w:rsid w:val="00090843"/>
    <w:rsid w:val="0009098B"/>
    <w:rsid w:val="00090A85"/>
    <w:rsid w:val="00090C62"/>
    <w:rsid w:val="00090CBE"/>
    <w:rsid w:val="000912C4"/>
    <w:rsid w:val="0009131B"/>
    <w:rsid w:val="0009133A"/>
    <w:rsid w:val="00091567"/>
    <w:rsid w:val="0009173C"/>
    <w:rsid w:val="00091796"/>
    <w:rsid w:val="00091A8B"/>
    <w:rsid w:val="00091B70"/>
    <w:rsid w:val="00091BA2"/>
    <w:rsid w:val="00091CB0"/>
    <w:rsid w:val="00092139"/>
    <w:rsid w:val="0009288B"/>
    <w:rsid w:val="000929AE"/>
    <w:rsid w:val="00092A07"/>
    <w:rsid w:val="00092C4F"/>
    <w:rsid w:val="00092DF2"/>
    <w:rsid w:val="00092DFD"/>
    <w:rsid w:val="000935B3"/>
    <w:rsid w:val="000935F3"/>
    <w:rsid w:val="000939EE"/>
    <w:rsid w:val="00093B09"/>
    <w:rsid w:val="00093B5C"/>
    <w:rsid w:val="00093C42"/>
    <w:rsid w:val="00094081"/>
    <w:rsid w:val="000940BC"/>
    <w:rsid w:val="000941D3"/>
    <w:rsid w:val="000941EF"/>
    <w:rsid w:val="00094344"/>
    <w:rsid w:val="000944E9"/>
    <w:rsid w:val="000948CF"/>
    <w:rsid w:val="0009500E"/>
    <w:rsid w:val="000953A9"/>
    <w:rsid w:val="000953C6"/>
    <w:rsid w:val="000953F4"/>
    <w:rsid w:val="00095757"/>
    <w:rsid w:val="00095899"/>
    <w:rsid w:val="0009590C"/>
    <w:rsid w:val="000959E7"/>
    <w:rsid w:val="00095E7D"/>
    <w:rsid w:val="00096450"/>
    <w:rsid w:val="0009645C"/>
    <w:rsid w:val="000964DE"/>
    <w:rsid w:val="00096953"/>
    <w:rsid w:val="000969D9"/>
    <w:rsid w:val="00096DA8"/>
    <w:rsid w:val="00097137"/>
    <w:rsid w:val="00097186"/>
    <w:rsid w:val="000972AB"/>
    <w:rsid w:val="000973EA"/>
    <w:rsid w:val="0009773E"/>
    <w:rsid w:val="00097B40"/>
    <w:rsid w:val="00097D0E"/>
    <w:rsid w:val="00097E20"/>
    <w:rsid w:val="000A065C"/>
    <w:rsid w:val="000A1112"/>
    <w:rsid w:val="000A122E"/>
    <w:rsid w:val="000A17DA"/>
    <w:rsid w:val="000A17EA"/>
    <w:rsid w:val="000A1954"/>
    <w:rsid w:val="000A196F"/>
    <w:rsid w:val="000A1B5F"/>
    <w:rsid w:val="000A1C7A"/>
    <w:rsid w:val="000A2116"/>
    <w:rsid w:val="000A2345"/>
    <w:rsid w:val="000A2394"/>
    <w:rsid w:val="000A242F"/>
    <w:rsid w:val="000A26B7"/>
    <w:rsid w:val="000A276C"/>
    <w:rsid w:val="000A27DF"/>
    <w:rsid w:val="000A2917"/>
    <w:rsid w:val="000A2B2A"/>
    <w:rsid w:val="000A2E8F"/>
    <w:rsid w:val="000A2FDA"/>
    <w:rsid w:val="000A31C1"/>
    <w:rsid w:val="000A32C5"/>
    <w:rsid w:val="000A3411"/>
    <w:rsid w:val="000A34CA"/>
    <w:rsid w:val="000A3587"/>
    <w:rsid w:val="000A3AE6"/>
    <w:rsid w:val="000A426F"/>
    <w:rsid w:val="000A4559"/>
    <w:rsid w:val="000A45FD"/>
    <w:rsid w:val="000A4717"/>
    <w:rsid w:val="000A477B"/>
    <w:rsid w:val="000A47A7"/>
    <w:rsid w:val="000A4C33"/>
    <w:rsid w:val="000A4D01"/>
    <w:rsid w:val="000A4E28"/>
    <w:rsid w:val="000A5195"/>
    <w:rsid w:val="000A53C0"/>
    <w:rsid w:val="000A558D"/>
    <w:rsid w:val="000A5611"/>
    <w:rsid w:val="000A563C"/>
    <w:rsid w:val="000A56D0"/>
    <w:rsid w:val="000A59C5"/>
    <w:rsid w:val="000A5BD3"/>
    <w:rsid w:val="000A5DEA"/>
    <w:rsid w:val="000A5E68"/>
    <w:rsid w:val="000A5EBD"/>
    <w:rsid w:val="000A60B0"/>
    <w:rsid w:val="000A6129"/>
    <w:rsid w:val="000A6284"/>
    <w:rsid w:val="000A668A"/>
    <w:rsid w:val="000A6B0D"/>
    <w:rsid w:val="000A6C99"/>
    <w:rsid w:val="000A6E73"/>
    <w:rsid w:val="000A6EB0"/>
    <w:rsid w:val="000A6F64"/>
    <w:rsid w:val="000A7048"/>
    <w:rsid w:val="000A73D6"/>
    <w:rsid w:val="000A7658"/>
    <w:rsid w:val="000A7C99"/>
    <w:rsid w:val="000A7F0F"/>
    <w:rsid w:val="000A7F4C"/>
    <w:rsid w:val="000B02BC"/>
    <w:rsid w:val="000B0498"/>
    <w:rsid w:val="000B0B0B"/>
    <w:rsid w:val="000B0EA2"/>
    <w:rsid w:val="000B0F36"/>
    <w:rsid w:val="000B1548"/>
    <w:rsid w:val="000B17E8"/>
    <w:rsid w:val="000B1942"/>
    <w:rsid w:val="000B1A0E"/>
    <w:rsid w:val="000B1B47"/>
    <w:rsid w:val="000B1BED"/>
    <w:rsid w:val="000B1CA0"/>
    <w:rsid w:val="000B21B1"/>
    <w:rsid w:val="000B2240"/>
    <w:rsid w:val="000B22C0"/>
    <w:rsid w:val="000B232A"/>
    <w:rsid w:val="000B2477"/>
    <w:rsid w:val="000B25F9"/>
    <w:rsid w:val="000B2600"/>
    <w:rsid w:val="000B2880"/>
    <w:rsid w:val="000B2A49"/>
    <w:rsid w:val="000B2B63"/>
    <w:rsid w:val="000B336D"/>
    <w:rsid w:val="000B36F9"/>
    <w:rsid w:val="000B4074"/>
    <w:rsid w:val="000B4220"/>
    <w:rsid w:val="000B43E7"/>
    <w:rsid w:val="000B447B"/>
    <w:rsid w:val="000B458B"/>
    <w:rsid w:val="000B4732"/>
    <w:rsid w:val="000B481D"/>
    <w:rsid w:val="000B48CD"/>
    <w:rsid w:val="000B4BCD"/>
    <w:rsid w:val="000B4C21"/>
    <w:rsid w:val="000B4E70"/>
    <w:rsid w:val="000B4F36"/>
    <w:rsid w:val="000B4FD3"/>
    <w:rsid w:val="000B5EA9"/>
    <w:rsid w:val="000B61A8"/>
    <w:rsid w:val="000B66DC"/>
    <w:rsid w:val="000B6786"/>
    <w:rsid w:val="000B68B1"/>
    <w:rsid w:val="000B68D1"/>
    <w:rsid w:val="000B69A9"/>
    <w:rsid w:val="000B6A8D"/>
    <w:rsid w:val="000B6D1F"/>
    <w:rsid w:val="000B7011"/>
    <w:rsid w:val="000B74A9"/>
    <w:rsid w:val="000B75B8"/>
    <w:rsid w:val="000B7684"/>
    <w:rsid w:val="000B7D63"/>
    <w:rsid w:val="000C02EE"/>
    <w:rsid w:val="000C02F1"/>
    <w:rsid w:val="000C03D1"/>
    <w:rsid w:val="000C062F"/>
    <w:rsid w:val="000C08EA"/>
    <w:rsid w:val="000C10C4"/>
    <w:rsid w:val="000C10FE"/>
    <w:rsid w:val="000C12CA"/>
    <w:rsid w:val="000C15EB"/>
    <w:rsid w:val="000C17E7"/>
    <w:rsid w:val="000C1B5E"/>
    <w:rsid w:val="000C1D0A"/>
    <w:rsid w:val="000C1D2D"/>
    <w:rsid w:val="000C1F83"/>
    <w:rsid w:val="000C20E8"/>
    <w:rsid w:val="000C2F5B"/>
    <w:rsid w:val="000C3270"/>
    <w:rsid w:val="000C33DB"/>
    <w:rsid w:val="000C3482"/>
    <w:rsid w:val="000C3AE5"/>
    <w:rsid w:val="000C3D13"/>
    <w:rsid w:val="000C3EA1"/>
    <w:rsid w:val="000C3EF0"/>
    <w:rsid w:val="000C410B"/>
    <w:rsid w:val="000C4161"/>
    <w:rsid w:val="000C4568"/>
    <w:rsid w:val="000C4E04"/>
    <w:rsid w:val="000C531D"/>
    <w:rsid w:val="000C5350"/>
    <w:rsid w:val="000C56B7"/>
    <w:rsid w:val="000C56BA"/>
    <w:rsid w:val="000C577E"/>
    <w:rsid w:val="000C5EAC"/>
    <w:rsid w:val="000C606D"/>
    <w:rsid w:val="000C617C"/>
    <w:rsid w:val="000C6470"/>
    <w:rsid w:val="000C6733"/>
    <w:rsid w:val="000C6AFC"/>
    <w:rsid w:val="000C713C"/>
    <w:rsid w:val="000C75E6"/>
    <w:rsid w:val="000C762A"/>
    <w:rsid w:val="000C77A0"/>
    <w:rsid w:val="000C7852"/>
    <w:rsid w:val="000C78B8"/>
    <w:rsid w:val="000C7C17"/>
    <w:rsid w:val="000C7D19"/>
    <w:rsid w:val="000D04BA"/>
    <w:rsid w:val="000D0A64"/>
    <w:rsid w:val="000D0B6E"/>
    <w:rsid w:val="000D0D1C"/>
    <w:rsid w:val="000D0D65"/>
    <w:rsid w:val="000D0F94"/>
    <w:rsid w:val="000D0FE2"/>
    <w:rsid w:val="000D1098"/>
    <w:rsid w:val="000D12E0"/>
    <w:rsid w:val="000D15AD"/>
    <w:rsid w:val="000D1748"/>
    <w:rsid w:val="000D17F3"/>
    <w:rsid w:val="000D1944"/>
    <w:rsid w:val="000D19A5"/>
    <w:rsid w:val="000D1C20"/>
    <w:rsid w:val="000D1DBE"/>
    <w:rsid w:val="000D1DD9"/>
    <w:rsid w:val="000D1F64"/>
    <w:rsid w:val="000D1FCA"/>
    <w:rsid w:val="000D2172"/>
    <w:rsid w:val="000D21CA"/>
    <w:rsid w:val="000D2599"/>
    <w:rsid w:val="000D273F"/>
    <w:rsid w:val="000D293C"/>
    <w:rsid w:val="000D293E"/>
    <w:rsid w:val="000D2B91"/>
    <w:rsid w:val="000D2BC1"/>
    <w:rsid w:val="000D2C4A"/>
    <w:rsid w:val="000D2C73"/>
    <w:rsid w:val="000D2CC0"/>
    <w:rsid w:val="000D337B"/>
    <w:rsid w:val="000D3678"/>
    <w:rsid w:val="000D385A"/>
    <w:rsid w:val="000D38C2"/>
    <w:rsid w:val="000D399C"/>
    <w:rsid w:val="000D3CA7"/>
    <w:rsid w:val="000D3D02"/>
    <w:rsid w:val="000D3F0D"/>
    <w:rsid w:val="000D3F45"/>
    <w:rsid w:val="000D3F82"/>
    <w:rsid w:val="000D41F3"/>
    <w:rsid w:val="000D52B9"/>
    <w:rsid w:val="000D565E"/>
    <w:rsid w:val="000D5728"/>
    <w:rsid w:val="000D59D9"/>
    <w:rsid w:val="000D5B16"/>
    <w:rsid w:val="000D5FD6"/>
    <w:rsid w:val="000D603E"/>
    <w:rsid w:val="000D6201"/>
    <w:rsid w:val="000D6391"/>
    <w:rsid w:val="000D6488"/>
    <w:rsid w:val="000D674C"/>
    <w:rsid w:val="000D6CFA"/>
    <w:rsid w:val="000D7088"/>
    <w:rsid w:val="000D724B"/>
    <w:rsid w:val="000D7461"/>
    <w:rsid w:val="000D747C"/>
    <w:rsid w:val="000D770B"/>
    <w:rsid w:val="000D788E"/>
    <w:rsid w:val="000D7F15"/>
    <w:rsid w:val="000E01C9"/>
    <w:rsid w:val="000E0830"/>
    <w:rsid w:val="000E0957"/>
    <w:rsid w:val="000E09DC"/>
    <w:rsid w:val="000E11D2"/>
    <w:rsid w:val="000E12B0"/>
    <w:rsid w:val="000E1535"/>
    <w:rsid w:val="000E1AD6"/>
    <w:rsid w:val="000E1B6F"/>
    <w:rsid w:val="000E1BC8"/>
    <w:rsid w:val="000E1D32"/>
    <w:rsid w:val="000E1D86"/>
    <w:rsid w:val="000E1F17"/>
    <w:rsid w:val="000E1F19"/>
    <w:rsid w:val="000E24FB"/>
    <w:rsid w:val="000E26D8"/>
    <w:rsid w:val="000E2802"/>
    <w:rsid w:val="000E28C6"/>
    <w:rsid w:val="000E290B"/>
    <w:rsid w:val="000E2B6B"/>
    <w:rsid w:val="000E2B94"/>
    <w:rsid w:val="000E3156"/>
    <w:rsid w:val="000E3193"/>
    <w:rsid w:val="000E344D"/>
    <w:rsid w:val="000E35B6"/>
    <w:rsid w:val="000E35FC"/>
    <w:rsid w:val="000E3643"/>
    <w:rsid w:val="000E3751"/>
    <w:rsid w:val="000E3906"/>
    <w:rsid w:val="000E3BB8"/>
    <w:rsid w:val="000E3D9B"/>
    <w:rsid w:val="000E3DFD"/>
    <w:rsid w:val="000E3FCC"/>
    <w:rsid w:val="000E4044"/>
    <w:rsid w:val="000E405C"/>
    <w:rsid w:val="000E4261"/>
    <w:rsid w:val="000E4645"/>
    <w:rsid w:val="000E4697"/>
    <w:rsid w:val="000E4749"/>
    <w:rsid w:val="000E4936"/>
    <w:rsid w:val="000E49AF"/>
    <w:rsid w:val="000E4B9D"/>
    <w:rsid w:val="000E4BD8"/>
    <w:rsid w:val="000E4BFA"/>
    <w:rsid w:val="000E4CE0"/>
    <w:rsid w:val="000E4E1E"/>
    <w:rsid w:val="000E4E22"/>
    <w:rsid w:val="000E5125"/>
    <w:rsid w:val="000E5700"/>
    <w:rsid w:val="000E5793"/>
    <w:rsid w:val="000E57F6"/>
    <w:rsid w:val="000E58C5"/>
    <w:rsid w:val="000E6018"/>
    <w:rsid w:val="000E60E0"/>
    <w:rsid w:val="000E6203"/>
    <w:rsid w:val="000E64CB"/>
    <w:rsid w:val="000E651F"/>
    <w:rsid w:val="000E69C2"/>
    <w:rsid w:val="000E6B4D"/>
    <w:rsid w:val="000E7007"/>
    <w:rsid w:val="000E70FE"/>
    <w:rsid w:val="000E722C"/>
    <w:rsid w:val="000E730A"/>
    <w:rsid w:val="000E74BC"/>
    <w:rsid w:val="000E755B"/>
    <w:rsid w:val="000E7774"/>
    <w:rsid w:val="000E786F"/>
    <w:rsid w:val="000E792C"/>
    <w:rsid w:val="000E79A0"/>
    <w:rsid w:val="000E7DA7"/>
    <w:rsid w:val="000E7FA0"/>
    <w:rsid w:val="000F00BA"/>
    <w:rsid w:val="000F02F8"/>
    <w:rsid w:val="000F0409"/>
    <w:rsid w:val="000F049F"/>
    <w:rsid w:val="000F0642"/>
    <w:rsid w:val="000F07A0"/>
    <w:rsid w:val="000F07FA"/>
    <w:rsid w:val="000F08D8"/>
    <w:rsid w:val="000F0AE2"/>
    <w:rsid w:val="000F0B05"/>
    <w:rsid w:val="000F0B5E"/>
    <w:rsid w:val="000F0B7B"/>
    <w:rsid w:val="000F0BC5"/>
    <w:rsid w:val="000F0C85"/>
    <w:rsid w:val="000F0DE4"/>
    <w:rsid w:val="000F1894"/>
    <w:rsid w:val="000F1911"/>
    <w:rsid w:val="000F1A88"/>
    <w:rsid w:val="000F1D43"/>
    <w:rsid w:val="000F1D45"/>
    <w:rsid w:val="000F1FFF"/>
    <w:rsid w:val="000F200F"/>
    <w:rsid w:val="000F20AA"/>
    <w:rsid w:val="000F226B"/>
    <w:rsid w:val="000F2651"/>
    <w:rsid w:val="000F2699"/>
    <w:rsid w:val="000F2821"/>
    <w:rsid w:val="000F290A"/>
    <w:rsid w:val="000F2F71"/>
    <w:rsid w:val="000F320C"/>
    <w:rsid w:val="000F3322"/>
    <w:rsid w:val="000F348D"/>
    <w:rsid w:val="000F369A"/>
    <w:rsid w:val="000F36CC"/>
    <w:rsid w:val="000F4166"/>
    <w:rsid w:val="000F442C"/>
    <w:rsid w:val="000F4463"/>
    <w:rsid w:val="000F47F6"/>
    <w:rsid w:val="000F4BCE"/>
    <w:rsid w:val="000F4C85"/>
    <w:rsid w:val="000F5285"/>
    <w:rsid w:val="000F52E0"/>
    <w:rsid w:val="000F53A9"/>
    <w:rsid w:val="000F53F6"/>
    <w:rsid w:val="000F56F1"/>
    <w:rsid w:val="000F580A"/>
    <w:rsid w:val="000F59BC"/>
    <w:rsid w:val="000F5B73"/>
    <w:rsid w:val="000F6464"/>
    <w:rsid w:val="000F6628"/>
    <w:rsid w:val="000F67DB"/>
    <w:rsid w:val="000F689C"/>
    <w:rsid w:val="000F6BC6"/>
    <w:rsid w:val="000F6C25"/>
    <w:rsid w:val="000F6D5A"/>
    <w:rsid w:val="000F7118"/>
    <w:rsid w:val="000F75BE"/>
    <w:rsid w:val="000F76EB"/>
    <w:rsid w:val="000F78AE"/>
    <w:rsid w:val="000F7E25"/>
    <w:rsid w:val="0010026A"/>
    <w:rsid w:val="0010043A"/>
    <w:rsid w:val="0010046C"/>
    <w:rsid w:val="00100470"/>
    <w:rsid w:val="0010067A"/>
    <w:rsid w:val="001007EE"/>
    <w:rsid w:val="00100F76"/>
    <w:rsid w:val="0010148E"/>
    <w:rsid w:val="001014D8"/>
    <w:rsid w:val="00101DAB"/>
    <w:rsid w:val="00101FB7"/>
    <w:rsid w:val="001021C3"/>
    <w:rsid w:val="0010253C"/>
    <w:rsid w:val="00102B9C"/>
    <w:rsid w:val="00102BD1"/>
    <w:rsid w:val="00103039"/>
    <w:rsid w:val="001031B2"/>
    <w:rsid w:val="00103337"/>
    <w:rsid w:val="001038A8"/>
    <w:rsid w:val="00103E6D"/>
    <w:rsid w:val="0010474B"/>
    <w:rsid w:val="0010484C"/>
    <w:rsid w:val="0010486A"/>
    <w:rsid w:val="001049CA"/>
    <w:rsid w:val="00104C37"/>
    <w:rsid w:val="00104D5C"/>
    <w:rsid w:val="00104E2C"/>
    <w:rsid w:val="0010522B"/>
    <w:rsid w:val="0010561C"/>
    <w:rsid w:val="00105AC1"/>
    <w:rsid w:val="00105C0F"/>
    <w:rsid w:val="00105D19"/>
    <w:rsid w:val="00105D42"/>
    <w:rsid w:val="00105E39"/>
    <w:rsid w:val="00105E6E"/>
    <w:rsid w:val="00105F59"/>
    <w:rsid w:val="00106229"/>
    <w:rsid w:val="001062DE"/>
    <w:rsid w:val="00106561"/>
    <w:rsid w:val="00106952"/>
    <w:rsid w:val="00106C73"/>
    <w:rsid w:val="00106D63"/>
    <w:rsid w:val="00106EFE"/>
    <w:rsid w:val="00107052"/>
    <w:rsid w:val="001075F3"/>
    <w:rsid w:val="00107A01"/>
    <w:rsid w:val="00107B05"/>
    <w:rsid w:val="00107C23"/>
    <w:rsid w:val="00110214"/>
    <w:rsid w:val="00110307"/>
    <w:rsid w:val="00110456"/>
    <w:rsid w:val="0011046F"/>
    <w:rsid w:val="0011071E"/>
    <w:rsid w:val="00110731"/>
    <w:rsid w:val="001107C4"/>
    <w:rsid w:val="00110816"/>
    <w:rsid w:val="00110C7F"/>
    <w:rsid w:val="00110ED7"/>
    <w:rsid w:val="00110EE2"/>
    <w:rsid w:val="00111201"/>
    <w:rsid w:val="0011130A"/>
    <w:rsid w:val="001116FD"/>
    <w:rsid w:val="00111A88"/>
    <w:rsid w:val="00111BEE"/>
    <w:rsid w:val="00111C46"/>
    <w:rsid w:val="00111FC7"/>
    <w:rsid w:val="00112014"/>
    <w:rsid w:val="0011221A"/>
    <w:rsid w:val="00112861"/>
    <w:rsid w:val="00112A76"/>
    <w:rsid w:val="00112C8B"/>
    <w:rsid w:val="00113283"/>
    <w:rsid w:val="001135F3"/>
    <w:rsid w:val="00113687"/>
    <w:rsid w:val="00113725"/>
    <w:rsid w:val="001137AE"/>
    <w:rsid w:val="00113ACC"/>
    <w:rsid w:val="00113B20"/>
    <w:rsid w:val="00113B56"/>
    <w:rsid w:val="00113FCF"/>
    <w:rsid w:val="001140B8"/>
    <w:rsid w:val="001140F2"/>
    <w:rsid w:val="001141A1"/>
    <w:rsid w:val="00114772"/>
    <w:rsid w:val="001147B3"/>
    <w:rsid w:val="001148C7"/>
    <w:rsid w:val="001148F7"/>
    <w:rsid w:val="00114968"/>
    <w:rsid w:val="001149B2"/>
    <w:rsid w:val="00114B42"/>
    <w:rsid w:val="00114C2D"/>
    <w:rsid w:val="00114CDD"/>
    <w:rsid w:val="00114E3D"/>
    <w:rsid w:val="00114F4F"/>
    <w:rsid w:val="00115125"/>
    <w:rsid w:val="001152F2"/>
    <w:rsid w:val="00115533"/>
    <w:rsid w:val="001156FD"/>
    <w:rsid w:val="001157D7"/>
    <w:rsid w:val="00115AD6"/>
    <w:rsid w:val="00115C27"/>
    <w:rsid w:val="00115C38"/>
    <w:rsid w:val="00116382"/>
    <w:rsid w:val="00116484"/>
    <w:rsid w:val="001167F5"/>
    <w:rsid w:val="00116ACF"/>
    <w:rsid w:val="00116AE1"/>
    <w:rsid w:val="00116D5C"/>
    <w:rsid w:val="00116E12"/>
    <w:rsid w:val="0011709B"/>
    <w:rsid w:val="001172B2"/>
    <w:rsid w:val="00117D4B"/>
    <w:rsid w:val="00117F9B"/>
    <w:rsid w:val="001201AE"/>
    <w:rsid w:val="001201DB"/>
    <w:rsid w:val="001202C7"/>
    <w:rsid w:val="00120643"/>
    <w:rsid w:val="00120751"/>
    <w:rsid w:val="0012103C"/>
    <w:rsid w:val="00121211"/>
    <w:rsid w:val="00121263"/>
    <w:rsid w:val="00121628"/>
    <w:rsid w:val="0012167D"/>
    <w:rsid w:val="00121747"/>
    <w:rsid w:val="00121854"/>
    <w:rsid w:val="00122189"/>
    <w:rsid w:val="00122280"/>
    <w:rsid w:val="00122392"/>
    <w:rsid w:val="001224A0"/>
    <w:rsid w:val="00122C0A"/>
    <w:rsid w:val="00122D42"/>
    <w:rsid w:val="00123052"/>
    <w:rsid w:val="00123117"/>
    <w:rsid w:val="00123345"/>
    <w:rsid w:val="00123836"/>
    <w:rsid w:val="00123C46"/>
    <w:rsid w:val="00123D95"/>
    <w:rsid w:val="00123E24"/>
    <w:rsid w:val="00123F8E"/>
    <w:rsid w:val="0012445D"/>
    <w:rsid w:val="00124526"/>
    <w:rsid w:val="0012470B"/>
    <w:rsid w:val="00124714"/>
    <w:rsid w:val="00124790"/>
    <w:rsid w:val="00124E50"/>
    <w:rsid w:val="00125152"/>
    <w:rsid w:val="00125618"/>
    <w:rsid w:val="001258A0"/>
    <w:rsid w:val="001259FE"/>
    <w:rsid w:val="00125C75"/>
    <w:rsid w:val="00125C7E"/>
    <w:rsid w:val="00125D64"/>
    <w:rsid w:val="0012639F"/>
    <w:rsid w:val="00126671"/>
    <w:rsid w:val="001268F8"/>
    <w:rsid w:val="001269E8"/>
    <w:rsid w:val="00127085"/>
    <w:rsid w:val="00127345"/>
    <w:rsid w:val="00127492"/>
    <w:rsid w:val="00127715"/>
    <w:rsid w:val="0012772A"/>
    <w:rsid w:val="001278A4"/>
    <w:rsid w:val="001278AA"/>
    <w:rsid w:val="00127945"/>
    <w:rsid w:val="00127AAD"/>
    <w:rsid w:val="00127C72"/>
    <w:rsid w:val="00127D94"/>
    <w:rsid w:val="00127E90"/>
    <w:rsid w:val="00130103"/>
    <w:rsid w:val="001302C1"/>
    <w:rsid w:val="0013053D"/>
    <w:rsid w:val="00130596"/>
    <w:rsid w:val="001305EE"/>
    <w:rsid w:val="0013066F"/>
    <w:rsid w:val="001306D3"/>
    <w:rsid w:val="00130800"/>
    <w:rsid w:val="00130980"/>
    <w:rsid w:val="00130BB6"/>
    <w:rsid w:val="00130BDC"/>
    <w:rsid w:val="00130DD3"/>
    <w:rsid w:val="00130E51"/>
    <w:rsid w:val="001310BF"/>
    <w:rsid w:val="00131332"/>
    <w:rsid w:val="00131448"/>
    <w:rsid w:val="00131504"/>
    <w:rsid w:val="00131579"/>
    <w:rsid w:val="0013174E"/>
    <w:rsid w:val="00131F7E"/>
    <w:rsid w:val="00131FFD"/>
    <w:rsid w:val="001320EE"/>
    <w:rsid w:val="00132168"/>
    <w:rsid w:val="00132A73"/>
    <w:rsid w:val="00132BEE"/>
    <w:rsid w:val="00132CB7"/>
    <w:rsid w:val="00132D1A"/>
    <w:rsid w:val="0013303E"/>
    <w:rsid w:val="00133074"/>
    <w:rsid w:val="00133093"/>
    <w:rsid w:val="00133436"/>
    <w:rsid w:val="001336B2"/>
    <w:rsid w:val="00133DBC"/>
    <w:rsid w:val="00133E73"/>
    <w:rsid w:val="00133E9F"/>
    <w:rsid w:val="00133FDB"/>
    <w:rsid w:val="00134086"/>
    <w:rsid w:val="001340A5"/>
    <w:rsid w:val="001340B9"/>
    <w:rsid w:val="0013422C"/>
    <w:rsid w:val="0013443C"/>
    <w:rsid w:val="00134A2F"/>
    <w:rsid w:val="00134F4A"/>
    <w:rsid w:val="00134FA8"/>
    <w:rsid w:val="00134FDC"/>
    <w:rsid w:val="001351B0"/>
    <w:rsid w:val="00135466"/>
    <w:rsid w:val="00135668"/>
    <w:rsid w:val="001358E5"/>
    <w:rsid w:val="00135AB8"/>
    <w:rsid w:val="00135E4E"/>
    <w:rsid w:val="00135F9A"/>
    <w:rsid w:val="00136246"/>
    <w:rsid w:val="00136498"/>
    <w:rsid w:val="001364D4"/>
    <w:rsid w:val="001366A5"/>
    <w:rsid w:val="001369F0"/>
    <w:rsid w:val="00136A59"/>
    <w:rsid w:val="00136CF1"/>
    <w:rsid w:val="00136DD7"/>
    <w:rsid w:val="001371C8"/>
    <w:rsid w:val="001372ED"/>
    <w:rsid w:val="0013765F"/>
    <w:rsid w:val="00137DEE"/>
    <w:rsid w:val="00137ED6"/>
    <w:rsid w:val="00137F1C"/>
    <w:rsid w:val="00140A4E"/>
    <w:rsid w:val="00140B88"/>
    <w:rsid w:val="00140D45"/>
    <w:rsid w:val="00140D4C"/>
    <w:rsid w:val="00140DC3"/>
    <w:rsid w:val="00140F9B"/>
    <w:rsid w:val="0014137F"/>
    <w:rsid w:val="001417B9"/>
    <w:rsid w:val="00141ADF"/>
    <w:rsid w:val="00141B6F"/>
    <w:rsid w:val="00141F63"/>
    <w:rsid w:val="00142655"/>
    <w:rsid w:val="00142908"/>
    <w:rsid w:val="001429F9"/>
    <w:rsid w:val="00142AB5"/>
    <w:rsid w:val="00142B01"/>
    <w:rsid w:val="00142B4C"/>
    <w:rsid w:val="00142B50"/>
    <w:rsid w:val="00142BC4"/>
    <w:rsid w:val="00142F64"/>
    <w:rsid w:val="00143291"/>
    <w:rsid w:val="001436CC"/>
    <w:rsid w:val="0014378B"/>
    <w:rsid w:val="00143832"/>
    <w:rsid w:val="00143866"/>
    <w:rsid w:val="00143873"/>
    <w:rsid w:val="001439E9"/>
    <w:rsid w:val="00143AC3"/>
    <w:rsid w:val="00143C55"/>
    <w:rsid w:val="00143F2D"/>
    <w:rsid w:val="00144685"/>
    <w:rsid w:val="0014474E"/>
    <w:rsid w:val="00144C11"/>
    <w:rsid w:val="00144C6F"/>
    <w:rsid w:val="00144FA4"/>
    <w:rsid w:val="00144FAB"/>
    <w:rsid w:val="00145046"/>
    <w:rsid w:val="00145089"/>
    <w:rsid w:val="001451E7"/>
    <w:rsid w:val="001456B9"/>
    <w:rsid w:val="00145AB2"/>
    <w:rsid w:val="00145B52"/>
    <w:rsid w:val="0014605E"/>
    <w:rsid w:val="001460D8"/>
    <w:rsid w:val="0014621E"/>
    <w:rsid w:val="00146294"/>
    <w:rsid w:val="001462E3"/>
    <w:rsid w:val="0014632B"/>
    <w:rsid w:val="001465A6"/>
    <w:rsid w:val="00146CA4"/>
    <w:rsid w:val="00146D63"/>
    <w:rsid w:val="00147094"/>
    <w:rsid w:val="0014720C"/>
    <w:rsid w:val="001472C2"/>
    <w:rsid w:val="001473D1"/>
    <w:rsid w:val="00147458"/>
    <w:rsid w:val="001475B2"/>
    <w:rsid w:val="00147741"/>
    <w:rsid w:val="00147794"/>
    <w:rsid w:val="00147E21"/>
    <w:rsid w:val="001500F6"/>
    <w:rsid w:val="0015058F"/>
    <w:rsid w:val="0015092E"/>
    <w:rsid w:val="00150968"/>
    <w:rsid w:val="00150BA8"/>
    <w:rsid w:val="00150BEF"/>
    <w:rsid w:val="00150D19"/>
    <w:rsid w:val="0015149B"/>
    <w:rsid w:val="001516F8"/>
    <w:rsid w:val="0015181B"/>
    <w:rsid w:val="00151A9F"/>
    <w:rsid w:val="00151CA3"/>
    <w:rsid w:val="00152152"/>
    <w:rsid w:val="00152469"/>
    <w:rsid w:val="00152682"/>
    <w:rsid w:val="001527E2"/>
    <w:rsid w:val="00152911"/>
    <w:rsid w:val="00152B87"/>
    <w:rsid w:val="00152C53"/>
    <w:rsid w:val="00152FF3"/>
    <w:rsid w:val="001530A8"/>
    <w:rsid w:val="001534EC"/>
    <w:rsid w:val="00153912"/>
    <w:rsid w:val="00153A96"/>
    <w:rsid w:val="00153D1C"/>
    <w:rsid w:val="00153D76"/>
    <w:rsid w:val="00153E17"/>
    <w:rsid w:val="00154396"/>
    <w:rsid w:val="001543E2"/>
    <w:rsid w:val="00154A47"/>
    <w:rsid w:val="00154B80"/>
    <w:rsid w:val="00154D08"/>
    <w:rsid w:val="00154FDB"/>
    <w:rsid w:val="001550D5"/>
    <w:rsid w:val="0015528D"/>
    <w:rsid w:val="001552B7"/>
    <w:rsid w:val="00155373"/>
    <w:rsid w:val="00155554"/>
    <w:rsid w:val="00155801"/>
    <w:rsid w:val="00155A07"/>
    <w:rsid w:val="00155A10"/>
    <w:rsid w:val="00155B07"/>
    <w:rsid w:val="00155B3C"/>
    <w:rsid w:val="00155B43"/>
    <w:rsid w:val="001565A2"/>
    <w:rsid w:val="00156673"/>
    <w:rsid w:val="001567C3"/>
    <w:rsid w:val="001569F5"/>
    <w:rsid w:val="00156A12"/>
    <w:rsid w:val="001575FA"/>
    <w:rsid w:val="001579AA"/>
    <w:rsid w:val="00157B3F"/>
    <w:rsid w:val="00157D27"/>
    <w:rsid w:val="00157D44"/>
    <w:rsid w:val="00157F8A"/>
    <w:rsid w:val="00160348"/>
    <w:rsid w:val="001607EF"/>
    <w:rsid w:val="00160B14"/>
    <w:rsid w:val="00160B85"/>
    <w:rsid w:val="00160BDA"/>
    <w:rsid w:val="00160C3D"/>
    <w:rsid w:val="00161163"/>
    <w:rsid w:val="001611F9"/>
    <w:rsid w:val="001614BB"/>
    <w:rsid w:val="00161726"/>
    <w:rsid w:val="00161749"/>
    <w:rsid w:val="00161A2F"/>
    <w:rsid w:val="00161B24"/>
    <w:rsid w:val="00161C41"/>
    <w:rsid w:val="00161DD5"/>
    <w:rsid w:val="001620E7"/>
    <w:rsid w:val="0016223F"/>
    <w:rsid w:val="001622CF"/>
    <w:rsid w:val="0016233F"/>
    <w:rsid w:val="00162373"/>
    <w:rsid w:val="00162508"/>
    <w:rsid w:val="001629BF"/>
    <w:rsid w:val="00162D71"/>
    <w:rsid w:val="00162E52"/>
    <w:rsid w:val="00162E88"/>
    <w:rsid w:val="00163182"/>
    <w:rsid w:val="001633A4"/>
    <w:rsid w:val="001634D6"/>
    <w:rsid w:val="00163815"/>
    <w:rsid w:val="00163B08"/>
    <w:rsid w:val="00163CB0"/>
    <w:rsid w:val="00163F41"/>
    <w:rsid w:val="00163F53"/>
    <w:rsid w:val="00164566"/>
    <w:rsid w:val="00164625"/>
    <w:rsid w:val="001648DD"/>
    <w:rsid w:val="00164C57"/>
    <w:rsid w:val="00164F2F"/>
    <w:rsid w:val="00164F75"/>
    <w:rsid w:val="001650A6"/>
    <w:rsid w:val="00165592"/>
    <w:rsid w:val="00165667"/>
    <w:rsid w:val="00165705"/>
    <w:rsid w:val="001658D5"/>
    <w:rsid w:val="00165975"/>
    <w:rsid w:val="00165B8D"/>
    <w:rsid w:val="00165C37"/>
    <w:rsid w:val="00166389"/>
    <w:rsid w:val="0016638E"/>
    <w:rsid w:val="001663FF"/>
    <w:rsid w:val="00166895"/>
    <w:rsid w:val="00166A5B"/>
    <w:rsid w:val="00166E03"/>
    <w:rsid w:val="00167091"/>
    <w:rsid w:val="001671E7"/>
    <w:rsid w:val="001672E6"/>
    <w:rsid w:val="0016736E"/>
    <w:rsid w:val="00167394"/>
    <w:rsid w:val="001673B9"/>
    <w:rsid w:val="00167621"/>
    <w:rsid w:val="0016782E"/>
    <w:rsid w:val="00167A21"/>
    <w:rsid w:val="00167A97"/>
    <w:rsid w:val="00167C39"/>
    <w:rsid w:val="00167E44"/>
    <w:rsid w:val="00167E4C"/>
    <w:rsid w:val="0017052E"/>
    <w:rsid w:val="0017057A"/>
    <w:rsid w:val="00170DAF"/>
    <w:rsid w:val="00170EE1"/>
    <w:rsid w:val="00170FE4"/>
    <w:rsid w:val="00171449"/>
    <w:rsid w:val="0017199C"/>
    <w:rsid w:val="00171C7E"/>
    <w:rsid w:val="00171E23"/>
    <w:rsid w:val="00171F35"/>
    <w:rsid w:val="00171FA2"/>
    <w:rsid w:val="00172552"/>
    <w:rsid w:val="00172576"/>
    <w:rsid w:val="001725F6"/>
    <w:rsid w:val="00172873"/>
    <w:rsid w:val="00172968"/>
    <w:rsid w:val="00172CF7"/>
    <w:rsid w:val="00172DD2"/>
    <w:rsid w:val="00172F02"/>
    <w:rsid w:val="00173107"/>
    <w:rsid w:val="0017319E"/>
    <w:rsid w:val="001734AA"/>
    <w:rsid w:val="001735A4"/>
    <w:rsid w:val="00173A1F"/>
    <w:rsid w:val="00173BC3"/>
    <w:rsid w:val="00173C1B"/>
    <w:rsid w:val="00173D03"/>
    <w:rsid w:val="00173D6F"/>
    <w:rsid w:val="00173E48"/>
    <w:rsid w:val="00174128"/>
    <w:rsid w:val="00174545"/>
    <w:rsid w:val="001749AE"/>
    <w:rsid w:val="00174C3B"/>
    <w:rsid w:val="00174DCD"/>
    <w:rsid w:val="00174E60"/>
    <w:rsid w:val="001752E0"/>
    <w:rsid w:val="00175487"/>
    <w:rsid w:val="0017562F"/>
    <w:rsid w:val="00175824"/>
    <w:rsid w:val="00175AB1"/>
    <w:rsid w:val="00175B5E"/>
    <w:rsid w:val="00175C34"/>
    <w:rsid w:val="00175F9A"/>
    <w:rsid w:val="00176021"/>
    <w:rsid w:val="0017606D"/>
    <w:rsid w:val="001760E6"/>
    <w:rsid w:val="00176139"/>
    <w:rsid w:val="0017660C"/>
    <w:rsid w:val="00176629"/>
    <w:rsid w:val="0017674E"/>
    <w:rsid w:val="00176857"/>
    <w:rsid w:val="00176B55"/>
    <w:rsid w:val="00176C8E"/>
    <w:rsid w:val="00176E94"/>
    <w:rsid w:val="00176E98"/>
    <w:rsid w:val="00177037"/>
    <w:rsid w:val="00177271"/>
    <w:rsid w:val="0017738B"/>
    <w:rsid w:val="001775FC"/>
    <w:rsid w:val="00177707"/>
    <w:rsid w:val="00177996"/>
    <w:rsid w:val="00177E83"/>
    <w:rsid w:val="0018047F"/>
    <w:rsid w:val="00180B14"/>
    <w:rsid w:val="00180B3F"/>
    <w:rsid w:val="00180BBB"/>
    <w:rsid w:val="00180C7A"/>
    <w:rsid w:val="00180C83"/>
    <w:rsid w:val="00180CE5"/>
    <w:rsid w:val="00181039"/>
    <w:rsid w:val="0018147D"/>
    <w:rsid w:val="0018175B"/>
    <w:rsid w:val="001819BD"/>
    <w:rsid w:val="001820A3"/>
    <w:rsid w:val="001826EE"/>
    <w:rsid w:val="001827B3"/>
    <w:rsid w:val="00182994"/>
    <w:rsid w:val="00182A0D"/>
    <w:rsid w:val="00182BF2"/>
    <w:rsid w:val="00182DD8"/>
    <w:rsid w:val="001831B6"/>
    <w:rsid w:val="0018327D"/>
    <w:rsid w:val="001832C9"/>
    <w:rsid w:val="0018332A"/>
    <w:rsid w:val="001833EA"/>
    <w:rsid w:val="001835D5"/>
    <w:rsid w:val="00183931"/>
    <w:rsid w:val="00183977"/>
    <w:rsid w:val="00183D51"/>
    <w:rsid w:val="00183D80"/>
    <w:rsid w:val="00183EFB"/>
    <w:rsid w:val="00184067"/>
    <w:rsid w:val="001842C8"/>
    <w:rsid w:val="00184437"/>
    <w:rsid w:val="001844D8"/>
    <w:rsid w:val="00184503"/>
    <w:rsid w:val="00184684"/>
    <w:rsid w:val="0018472A"/>
    <w:rsid w:val="001847AE"/>
    <w:rsid w:val="001847EB"/>
    <w:rsid w:val="0018485F"/>
    <w:rsid w:val="00184B56"/>
    <w:rsid w:val="00184CE6"/>
    <w:rsid w:val="00184F89"/>
    <w:rsid w:val="00185044"/>
    <w:rsid w:val="001850DB"/>
    <w:rsid w:val="001850E4"/>
    <w:rsid w:val="001854F4"/>
    <w:rsid w:val="001855AE"/>
    <w:rsid w:val="0018599C"/>
    <w:rsid w:val="00185A86"/>
    <w:rsid w:val="00185FD7"/>
    <w:rsid w:val="001865FC"/>
    <w:rsid w:val="0018663B"/>
    <w:rsid w:val="00186733"/>
    <w:rsid w:val="001869EE"/>
    <w:rsid w:val="00186CA2"/>
    <w:rsid w:val="00186D00"/>
    <w:rsid w:val="00187246"/>
    <w:rsid w:val="001872A1"/>
    <w:rsid w:val="001873EA"/>
    <w:rsid w:val="0018743A"/>
    <w:rsid w:val="00187454"/>
    <w:rsid w:val="00187482"/>
    <w:rsid w:val="0018752C"/>
    <w:rsid w:val="00187757"/>
    <w:rsid w:val="001877E7"/>
    <w:rsid w:val="00187A10"/>
    <w:rsid w:val="00187BAF"/>
    <w:rsid w:val="00187E17"/>
    <w:rsid w:val="00187EBC"/>
    <w:rsid w:val="00187FAE"/>
    <w:rsid w:val="001900DE"/>
    <w:rsid w:val="001900F6"/>
    <w:rsid w:val="0019020C"/>
    <w:rsid w:val="00190378"/>
    <w:rsid w:val="0019083E"/>
    <w:rsid w:val="00190A57"/>
    <w:rsid w:val="00190B3F"/>
    <w:rsid w:val="00190D21"/>
    <w:rsid w:val="00190DBC"/>
    <w:rsid w:val="00190E66"/>
    <w:rsid w:val="0019122C"/>
    <w:rsid w:val="0019141A"/>
    <w:rsid w:val="001917BF"/>
    <w:rsid w:val="001917F7"/>
    <w:rsid w:val="00191856"/>
    <w:rsid w:val="00191908"/>
    <w:rsid w:val="00191A66"/>
    <w:rsid w:val="00191B7A"/>
    <w:rsid w:val="00191C57"/>
    <w:rsid w:val="00192445"/>
    <w:rsid w:val="0019257E"/>
    <w:rsid w:val="001925E6"/>
    <w:rsid w:val="00192732"/>
    <w:rsid w:val="00192A4D"/>
    <w:rsid w:val="00192AFF"/>
    <w:rsid w:val="00192DF3"/>
    <w:rsid w:val="0019301F"/>
    <w:rsid w:val="00193205"/>
    <w:rsid w:val="00193286"/>
    <w:rsid w:val="001937B8"/>
    <w:rsid w:val="00193BA1"/>
    <w:rsid w:val="00193BE6"/>
    <w:rsid w:val="00193EDE"/>
    <w:rsid w:val="001942C7"/>
    <w:rsid w:val="001945D1"/>
    <w:rsid w:val="00194BB7"/>
    <w:rsid w:val="00194CC5"/>
    <w:rsid w:val="00194EED"/>
    <w:rsid w:val="001951B2"/>
    <w:rsid w:val="0019549E"/>
    <w:rsid w:val="001955E6"/>
    <w:rsid w:val="0019565D"/>
    <w:rsid w:val="001956BC"/>
    <w:rsid w:val="001958B0"/>
    <w:rsid w:val="00195982"/>
    <w:rsid w:val="00195A2A"/>
    <w:rsid w:val="00195A4F"/>
    <w:rsid w:val="00196097"/>
    <w:rsid w:val="001963E2"/>
    <w:rsid w:val="001966D7"/>
    <w:rsid w:val="00196755"/>
    <w:rsid w:val="00196B8B"/>
    <w:rsid w:val="00197564"/>
    <w:rsid w:val="001976F1"/>
    <w:rsid w:val="0019789C"/>
    <w:rsid w:val="00197AC7"/>
    <w:rsid w:val="00197CFF"/>
    <w:rsid w:val="00197EC2"/>
    <w:rsid w:val="00197ECE"/>
    <w:rsid w:val="00197F5A"/>
    <w:rsid w:val="00197FCE"/>
    <w:rsid w:val="00197FE8"/>
    <w:rsid w:val="001A00D8"/>
    <w:rsid w:val="001A01FC"/>
    <w:rsid w:val="001A021C"/>
    <w:rsid w:val="001A037F"/>
    <w:rsid w:val="001A047C"/>
    <w:rsid w:val="001A0487"/>
    <w:rsid w:val="001A06EC"/>
    <w:rsid w:val="001A08B6"/>
    <w:rsid w:val="001A0E20"/>
    <w:rsid w:val="001A110B"/>
    <w:rsid w:val="001A1BB1"/>
    <w:rsid w:val="001A1CED"/>
    <w:rsid w:val="001A1D20"/>
    <w:rsid w:val="001A1D75"/>
    <w:rsid w:val="001A1F39"/>
    <w:rsid w:val="001A2019"/>
    <w:rsid w:val="001A2441"/>
    <w:rsid w:val="001A279B"/>
    <w:rsid w:val="001A2ACF"/>
    <w:rsid w:val="001A2B58"/>
    <w:rsid w:val="001A2DC3"/>
    <w:rsid w:val="001A2E87"/>
    <w:rsid w:val="001A30E9"/>
    <w:rsid w:val="001A3869"/>
    <w:rsid w:val="001A38C2"/>
    <w:rsid w:val="001A392D"/>
    <w:rsid w:val="001A3AD9"/>
    <w:rsid w:val="001A4891"/>
    <w:rsid w:val="001A4F8B"/>
    <w:rsid w:val="001A4FED"/>
    <w:rsid w:val="001A553E"/>
    <w:rsid w:val="001A55FD"/>
    <w:rsid w:val="001A5C19"/>
    <w:rsid w:val="001A5CB3"/>
    <w:rsid w:val="001A5E20"/>
    <w:rsid w:val="001A6066"/>
    <w:rsid w:val="001A61DF"/>
    <w:rsid w:val="001A6521"/>
    <w:rsid w:val="001A65C8"/>
    <w:rsid w:val="001A65FE"/>
    <w:rsid w:val="001A6677"/>
    <w:rsid w:val="001A69D1"/>
    <w:rsid w:val="001A6ED1"/>
    <w:rsid w:val="001A732E"/>
    <w:rsid w:val="001A749D"/>
    <w:rsid w:val="001A77AA"/>
    <w:rsid w:val="001A7A90"/>
    <w:rsid w:val="001A7D2F"/>
    <w:rsid w:val="001A7D3D"/>
    <w:rsid w:val="001A7E8F"/>
    <w:rsid w:val="001A7F30"/>
    <w:rsid w:val="001B02A1"/>
    <w:rsid w:val="001B034A"/>
    <w:rsid w:val="001B0378"/>
    <w:rsid w:val="001B0624"/>
    <w:rsid w:val="001B06CE"/>
    <w:rsid w:val="001B06E2"/>
    <w:rsid w:val="001B09A4"/>
    <w:rsid w:val="001B09FF"/>
    <w:rsid w:val="001B0E08"/>
    <w:rsid w:val="001B0E9D"/>
    <w:rsid w:val="001B0FCC"/>
    <w:rsid w:val="001B103A"/>
    <w:rsid w:val="001B103D"/>
    <w:rsid w:val="001B14AD"/>
    <w:rsid w:val="001B1513"/>
    <w:rsid w:val="001B15FE"/>
    <w:rsid w:val="001B16CA"/>
    <w:rsid w:val="001B1767"/>
    <w:rsid w:val="001B1815"/>
    <w:rsid w:val="001B213E"/>
    <w:rsid w:val="001B22DB"/>
    <w:rsid w:val="001B2453"/>
    <w:rsid w:val="001B2533"/>
    <w:rsid w:val="001B2552"/>
    <w:rsid w:val="001B2976"/>
    <w:rsid w:val="001B2FA5"/>
    <w:rsid w:val="001B3080"/>
    <w:rsid w:val="001B331A"/>
    <w:rsid w:val="001B3382"/>
    <w:rsid w:val="001B33B5"/>
    <w:rsid w:val="001B3D48"/>
    <w:rsid w:val="001B4181"/>
    <w:rsid w:val="001B45B8"/>
    <w:rsid w:val="001B4636"/>
    <w:rsid w:val="001B4A1A"/>
    <w:rsid w:val="001B4EB5"/>
    <w:rsid w:val="001B52AD"/>
    <w:rsid w:val="001B5AF9"/>
    <w:rsid w:val="001B5F91"/>
    <w:rsid w:val="001B609C"/>
    <w:rsid w:val="001B616F"/>
    <w:rsid w:val="001B61BF"/>
    <w:rsid w:val="001B6294"/>
    <w:rsid w:val="001B6600"/>
    <w:rsid w:val="001B6642"/>
    <w:rsid w:val="001B66A0"/>
    <w:rsid w:val="001B66B5"/>
    <w:rsid w:val="001B68AF"/>
    <w:rsid w:val="001B6B9B"/>
    <w:rsid w:val="001B6C27"/>
    <w:rsid w:val="001B6D0A"/>
    <w:rsid w:val="001B6EA2"/>
    <w:rsid w:val="001B7144"/>
    <w:rsid w:val="001B7174"/>
    <w:rsid w:val="001B72EF"/>
    <w:rsid w:val="001B759C"/>
    <w:rsid w:val="001B7973"/>
    <w:rsid w:val="001B7E91"/>
    <w:rsid w:val="001B7FF1"/>
    <w:rsid w:val="001C02C7"/>
    <w:rsid w:val="001C02D6"/>
    <w:rsid w:val="001C072F"/>
    <w:rsid w:val="001C0CF7"/>
    <w:rsid w:val="001C0EDF"/>
    <w:rsid w:val="001C147E"/>
    <w:rsid w:val="001C1496"/>
    <w:rsid w:val="001C151B"/>
    <w:rsid w:val="001C19E5"/>
    <w:rsid w:val="001C1B8A"/>
    <w:rsid w:val="001C1E89"/>
    <w:rsid w:val="001C20FD"/>
    <w:rsid w:val="001C24AA"/>
    <w:rsid w:val="001C293C"/>
    <w:rsid w:val="001C296C"/>
    <w:rsid w:val="001C2C5A"/>
    <w:rsid w:val="001C2E5D"/>
    <w:rsid w:val="001C2F3E"/>
    <w:rsid w:val="001C3664"/>
    <w:rsid w:val="001C3800"/>
    <w:rsid w:val="001C39DA"/>
    <w:rsid w:val="001C39E9"/>
    <w:rsid w:val="001C3C7B"/>
    <w:rsid w:val="001C3E64"/>
    <w:rsid w:val="001C3EA8"/>
    <w:rsid w:val="001C4223"/>
    <w:rsid w:val="001C4341"/>
    <w:rsid w:val="001C4460"/>
    <w:rsid w:val="001C477F"/>
    <w:rsid w:val="001C4E65"/>
    <w:rsid w:val="001C4F13"/>
    <w:rsid w:val="001C524C"/>
    <w:rsid w:val="001C532F"/>
    <w:rsid w:val="001C5567"/>
    <w:rsid w:val="001C5B0A"/>
    <w:rsid w:val="001C5E5F"/>
    <w:rsid w:val="001C5F16"/>
    <w:rsid w:val="001C6122"/>
    <w:rsid w:val="001C6281"/>
    <w:rsid w:val="001C6352"/>
    <w:rsid w:val="001C6445"/>
    <w:rsid w:val="001C64D0"/>
    <w:rsid w:val="001C6587"/>
    <w:rsid w:val="001C685D"/>
    <w:rsid w:val="001C69BE"/>
    <w:rsid w:val="001C6A1A"/>
    <w:rsid w:val="001C6ACF"/>
    <w:rsid w:val="001C6DB5"/>
    <w:rsid w:val="001C6DE1"/>
    <w:rsid w:val="001C71AC"/>
    <w:rsid w:val="001C726B"/>
    <w:rsid w:val="001C7316"/>
    <w:rsid w:val="001C7362"/>
    <w:rsid w:val="001C747A"/>
    <w:rsid w:val="001C75B4"/>
    <w:rsid w:val="001C7923"/>
    <w:rsid w:val="001C7BC8"/>
    <w:rsid w:val="001C7C7E"/>
    <w:rsid w:val="001C7E5C"/>
    <w:rsid w:val="001D00CC"/>
    <w:rsid w:val="001D0494"/>
    <w:rsid w:val="001D07B7"/>
    <w:rsid w:val="001D1022"/>
    <w:rsid w:val="001D1719"/>
    <w:rsid w:val="001D171B"/>
    <w:rsid w:val="001D1732"/>
    <w:rsid w:val="001D1AC9"/>
    <w:rsid w:val="001D1BA1"/>
    <w:rsid w:val="001D1CD6"/>
    <w:rsid w:val="001D1DE3"/>
    <w:rsid w:val="001D1E2E"/>
    <w:rsid w:val="001D1E73"/>
    <w:rsid w:val="001D2121"/>
    <w:rsid w:val="001D2203"/>
    <w:rsid w:val="001D255C"/>
    <w:rsid w:val="001D25B4"/>
    <w:rsid w:val="001D2629"/>
    <w:rsid w:val="001D2C1C"/>
    <w:rsid w:val="001D2DEF"/>
    <w:rsid w:val="001D30BB"/>
    <w:rsid w:val="001D3138"/>
    <w:rsid w:val="001D33C8"/>
    <w:rsid w:val="001D39A3"/>
    <w:rsid w:val="001D39E0"/>
    <w:rsid w:val="001D3E15"/>
    <w:rsid w:val="001D3ECA"/>
    <w:rsid w:val="001D4010"/>
    <w:rsid w:val="001D42B8"/>
    <w:rsid w:val="001D4363"/>
    <w:rsid w:val="001D488C"/>
    <w:rsid w:val="001D4983"/>
    <w:rsid w:val="001D4A3A"/>
    <w:rsid w:val="001D4CDF"/>
    <w:rsid w:val="001D4E38"/>
    <w:rsid w:val="001D4F03"/>
    <w:rsid w:val="001D4F64"/>
    <w:rsid w:val="001D4F88"/>
    <w:rsid w:val="001D50D9"/>
    <w:rsid w:val="001D529D"/>
    <w:rsid w:val="001D5683"/>
    <w:rsid w:val="001D578D"/>
    <w:rsid w:val="001D5818"/>
    <w:rsid w:val="001D5C82"/>
    <w:rsid w:val="001D5F2B"/>
    <w:rsid w:val="001D5FE8"/>
    <w:rsid w:val="001D62E7"/>
    <w:rsid w:val="001D64EC"/>
    <w:rsid w:val="001D653A"/>
    <w:rsid w:val="001D6557"/>
    <w:rsid w:val="001D6B89"/>
    <w:rsid w:val="001D6D8E"/>
    <w:rsid w:val="001D704D"/>
    <w:rsid w:val="001D7201"/>
    <w:rsid w:val="001D7799"/>
    <w:rsid w:val="001D7BCF"/>
    <w:rsid w:val="001D7DEE"/>
    <w:rsid w:val="001D7EAA"/>
    <w:rsid w:val="001D7EFA"/>
    <w:rsid w:val="001E02CB"/>
    <w:rsid w:val="001E03B4"/>
    <w:rsid w:val="001E049B"/>
    <w:rsid w:val="001E087B"/>
    <w:rsid w:val="001E0AE7"/>
    <w:rsid w:val="001E0C30"/>
    <w:rsid w:val="001E0E7A"/>
    <w:rsid w:val="001E1414"/>
    <w:rsid w:val="001E14FD"/>
    <w:rsid w:val="001E15DC"/>
    <w:rsid w:val="001E178E"/>
    <w:rsid w:val="001E180F"/>
    <w:rsid w:val="001E1C64"/>
    <w:rsid w:val="001E1CEC"/>
    <w:rsid w:val="001E1FF2"/>
    <w:rsid w:val="001E2BFC"/>
    <w:rsid w:val="001E2ECB"/>
    <w:rsid w:val="001E2F0E"/>
    <w:rsid w:val="001E2F50"/>
    <w:rsid w:val="001E315D"/>
    <w:rsid w:val="001E31A6"/>
    <w:rsid w:val="001E363A"/>
    <w:rsid w:val="001E3A8F"/>
    <w:rsid w:val="001E3CD9"/>
    <w:rsid w:val="001E3EDB"/>
    <w:rsid w:val="001E41A4"/>
    <w:rsid w:val="001E4717"/>
    <w:rsid w:val="001E4759"/>
    <w:rsid w:val="001E4B64"/>
    <w:rsid w:val="001E4C5F"/>
    <w:rsid w:val="001E4F7B"/>
    <w:rsid w:val="001E511D"/>
    <w:rsid w:val="001E52A4"/>
    <w:rsid w:val="001E552A"/>
    <w:rsid w:val="001E55C3"/>
    <w:rsid w:val="001E57B9"/>
    <w:rsid w:val="001E5CC3"/>
    <w:rsid w:val="001E5DE0"/>
    <w:rsid w:val="001E5FF4"/>
    <w:rsid w:val="001E6537"/>
    <w:rsid w:val="001E65F3"/>
    <w:rsid w:val="001E6B26"/>
    <w:rsid w:val="001E6E8D"/>
    <w:rsid w:val="001E7358"/>
    <w:rsid w:val="001E7492"/>
    <w:rsid w:val="001E78B0"/>
    <w:rsid w:val="001E7DB9"/>
    <w:rsid w:val="001E7E47"/>
    <w:rsid w:val="001E7EE4"/>
    <w:rsid w:val="001E7F76"/>
    <w:rsid w:val="001F04C5"/>
    <w:rsid w:val="001F0827"/>
    <w:rsid w:val="001F0ACA"/>
    <w:rsid w:val="001F0BD8"/>
    <w:rsid w:val="001F0BDE"/>
    <w:rsid w:val="001F0C3E"/>
    <w:rsid w:val="001F0DB3"/>
    <w:rsid w:val="001F0F4A"/>
    <w:rsid w:val="001F0F60"/>
    <w:rsid w:val="001F0FAF"/>
    <w:rsid w:val="001F0FDD"/>
    <w:rsid w:val="001F12CC"/>
    <w:rsid w:val="001F12E6"/>
    <w:rsid w:val="001F139F"/>
    <w:rsid w:val="001F14E3"/>
    <w:rsid w:val="001F1E7C"/>
    <w:rsid w:val="001F1F8A"/>
    <w:rsid w:val="001F219F"/>
    <w:rsid w:val="001F238C"/>
    <w:rsid w:val="001F2805"/>
    <w:rsid w:val="001F2A7B"/>
    <w:rsid w:val="001F2AAA"/>
    <w:rsid w:val="001F2B66"/>
    <w:rsid w:val="001F2E79"/>
    <w:rsid w:val="001F2F07"/>
    <w:rsid w:val="001F2F53"/>
    <w:rsid w:val="001F2FD5"/>
    <w:rsid w:val="001F3123"/>
    <w:rsid w:val="001F353F"/>
    <w:rsid w:val="001F376D"/>
    <w:rsid w:val="001F3BCC"/>
    <w:rsid w:val="001F40CE"/>
    <w:rsid w:val="001F418C"/>
    <w:rsid w:val="001F427B"/>
    <w:rsid w:val="001F42A3"/>
    <w:rsid w:val="001F4B2D"/>
    <w:rsid w:val="001F4F1E"/>
    <w:rsid w:val="001F4F40"/>
    <w:rsid w:val="001F503D"/>
    <w:rsid w:val="001F50E0"/>
    <w:rsid w:val="001F50E2"/>
    <w:rsid w:val="001F5242"/>
    <w:rsid w:val="001F52FC"/>
    <w:rsid w:val="001F5855"/>
    <w:rsid w:val="001F594C"/>
    <w:rsid w:val="001F5C05"/>
    <w:rsid w:val="001F6541"/>
    <w:rsid w:val="001F6550"/>
    <w:rsid w:val="001F667D"/>
    <w:rsid w:val="001F69B7"/>
    <w:rsid w:val="001F69FC"/>
    <w:rsid w:val="001F6D62"/>
    <w:rsid w:val="001F6FCF"/>
    <w:rsid w:val="001F7332"/>
    <w:rsid w:val="001F7336"/>
    <w:rsid w:val="001F7675"/>
    <w:rsid w:val="001F7DBB"/>
    <w:rsid w:val="001F7E5E"/>
    <w:rsid w:val="00200195"/>
    <w:rsid w:val="00200203"/>
    <w:rsid w:val="00200214"/>
    <w:rsid w:val="0020034E"/>
    <w:rsid w:val="002007A3"/>
    <w:rsid w:val="002008AC"/>
    <w:rsid w:val="00200C20"/>
    <w:rsid w:val="00200DCC"/>
    <w:rsid w:val="00200FAE"/>
    <w:rsid w:val="0020102D"/>
    <w:rsid w:val="002010E2"/>
    <w:rsid w:val="002011A6"/>
    <w:rsid w:val="002013FC"/>
    <w:rsid w:val="00201442"/>
    <w:rsid w:val="00201AC8"/>
    <w:rsid w:val="00201B73"/>
    <w:rsid w:val="002022E4"/>
    <w:rsid w:val="00202348"/>
    <w:rsid w:val="00202517"/>
    <w:rsid w:val="002029F5"/>
    <w:rsid w:val="00202A10"/>
    <w:rsid w:val="00202ADB"/>
    <w:rsid w:val="00202BB7"/>
    <w:rsid w:val="00202EA0"/>
    <w:rsid w:val="00202F49"/>
    <w:rsid w:val="00202FDD"/>
    <w:rsid w:val="00203333"/>
    <w:rsid w:val="00203734"/>
    <w:rsid w:val="00203B1A"/>
    <w:rsid w:val="00203B4F"/>
    <w:rsid w:val="00203FCE"/>
    <w:rsid w:val="002042A8"/>
    <w:rsid w:val="00204334"/>
    <w:rsid w:val="0020435B"/>
    <w:rsid w:val="00204533"/>
    <w:rsid w:val="002046D6"/>
    <w:rsid w:val="0020477B"/>
    <w:rsid w:val="002048D4"/>
    <w:rsid w:val="00204AFB"/>
    <w:rsid w:val="00204C52"/>
    <w:rsid w:val="00204F2D"/>
    <w:rsid w:val="00204FA9"/>
    <w:rsid w:val="00205566"/>
    <w:rsid w:val="002055EA"/>
    <w:rsid w:val="00205602"/>
    <w:rsid w:val="0020580A"/>
    <w:rsid w:val="0020582D"/>
    <w:rsid w:val="00205D52"/>
    <w:rsid w:val="002061D6"/>
    <w:rsid w:val="00206330"/>
    <w:rsid w:val="0020635A"/>
    <w:rsid w:val="002063AA"/>
    <w:rsid w:val="00206922"/>
    <w:rsid w:val="00206E30"/>
    <w:rsid w:val="00206FEC"/>
    <w:rsid w:val="0020717D"/>
    <w:rsid w:val="0020720F"/>
    <w:rsid w:val="00207425"/>
    <w:rsid w:val="00207A1E"/>
    <w:rsid w:val="00207E5C"/>
    <w:rsid w:val="00207F95"/>
    <w:rsid w:val="0021011F"/>
    <w:rsid w:val="00210155"/>
    <w:rsid w:val="00210549"/>
    <w:rsid w:val="0021069E"/>
    <w:rsid w:val="00210804"/>
    <w:rsid w:val="0021088F"/>
    <w:rsid w:val="0021098D"/>
    <w:rsid w:val="00210C3A"/>
    <w:rsid w:val="00210CE2"/>
    <w:rsid w:val="00210D5D"/>
    <w:rsid w:val="002113FE"/>
    <w:rsid w:val="00211737"/>
    <w:rsid w:val="0021181B"/>
    <w:rsid w:val="00211E01"/>
    <w:rsid w:val="0021230F"/>
    <w:rsid w:val="00212370"/>
    <w:rsid w:val="002125B0"/>
    <w:rsid w:val="002126A3"/>
    <w:rsid w:val="002126E7"/>
    <w:rsid w:val="0021282C"/>
    <w:rsid w:val="00212A82"/>
    <w:rsid w:val="00212ADA"/>
    <w:rsid w:val="0021315E"/>
    <w:rsid w:val="00213538"/>
    <w:rsid w:val="002135D3"/>
    <w:rsid w:val="00213983"/>
    <w:rsid w:val="00213D2D"/>
    <w:rsid w:val="00213D7D"/>
    <w:rsid w:val="00213E7D"/>
    <w:rsid w:val="00214487"/>
    <w:rsid w:val="0021450A"/>
    <w:rsid w:val="002148C4"/>
    <w:rsid w:val="002149FC"/>
    <w:rsid w:val="00214D3C"/>
    <w:rsid w:val="00214EA2"/>
    <w:rsid w:val="002152AB"/>
    <w:rsid w:val="002153CA"/>
    <w:rsid w:val="002154B1"/>
    <w:rsid w:val="00215A70"/>
    <w:rsid w:val="00215C17"/>
    <w:rsid w:val="002160A8"/>
    <w:rsid w:val="002160FA"/>
    <w:rsid w:val="00216613"/>
    <w:rsid w:val="002166DD"/>
    <w:rsid w:val="002167D9"/>
    <w:rsid w:val="002168A2"/>
    <w:rsid w:val="002169B1"/>
    <w:rsid w:val="00216C72"/>
    <w:rsid w:val="00216EB6"/>
    <w:rsid w:val="00216FEC"/>
    <w:rsid w:val="00216FFA"/>
    <w:rsid w:val="002172F6"/>
    <w:rsid w:val="002172F7"/>
    <w:rsid w:val="002177EC"/>
    <w:rsid w:val="00217867"/>
    <w:rsid w:val="00217980"/>
    <w:rsid w:val="00217B81"/>
    <w:rsid w:val="00220181"/>
    <w:rsid w:val="00220351"/>
    <w:rsid w:val="002205E4"/>
    <w:rsid w:val="00220A1D"/>
    <w:rsid w:val="00220D67"/>
    <w:rsid w:val="0022105E"/>
    <w:rsid w:val="002212EB"/>
    <w:rsid w:val="00221330"/>
    <w:rsid w:val="002215E3"/>
    <w:rsid w:val="002215F8"/>
    <w:rsid w:val="002215FA"/>
    <w:rsid w:val="00221710"/>
    <w:rsid w:val="0022174C"/>
    <w:rsid w:val="00221F80"/>
    <w:rsid w:val="00221FAD"/>
    <w:rsid w:val="0022200C"/>
    <w:rsid w:val="0022226A"/>
    <w:rsid w:val="00222515"/>
    <w:rsid w:val="002225DD"/>
    <w:rsid w:val="0022268E"/>
    <w:rsid w:val="0022273A"/>
    <w:rsid w:val="00222D28"/>
    <w:rsid w:val="00222D4F"/>
    <w:rsid w:val="00222D62"/>
    <w:rsid w:val="002234D0"/>
    <w:rsid w:val="0022366F"/>
    <w:rsid w:val="00223BF5"/>
    <w:rsid w:val="00223CF3"/>
    <w:rsid w:val="00223CF4"/>
    <w:rsid w:val="00223E13"/>
    <w:rsid w:val="00224040"/>
    <w:rsid w:val="0022416C"/>
    <w:rsid w:val="00224220"/>
    <w:rsid w:val="00224398"/>
    <w:rsid w:val="00224514"/>
    <w:rsid w:val="0022465E"/>
    <w:rsid w:val="0022487C"/>
    <w:rsid w:val="00224883"/>
    <w:rsid w:val="00224A81"/>
    <w:rsid w:val="00224CC7"/>
    <w:rsid w:val="00224DEE"/>
    <w:rsid w:val="00224E91"/>
    <w:rsid w:val="00225A14"/>
    <w:rsid w:val="00225B4C"/>
    <w:rsid w:val="00225E1E"/>
    <w:rsid w:val="00226129"/>
    <w:rsid w:val="0022614D"/>
    <w:rsid w:val="00226613"/>
    <w:rsid w:val="00226A32"/>
    <w:rsid w:val="00226AA2"/>
    <w:rsid w:val="00226D3F"/>
    <w:rsid w:val="00226D48"/>
    <w:rsid w:val="00227185"/>
    <w:rsid w:val="00227218"/>
    <w:rsid w:val="002272C9"/>
    <w:rsid w:val="002274BB"/>
    <w:rsid w:val="0022770A"/>
    <w:rsid w:val="00227823"/>
    <w:rsid w:val="00227BEE"/>
    <w:rsid w:val="00227FB4"/>
    <w:rsid w:val="00230256"/>
    <w:rsid w:val="0023057E"/>
    <w:rsid w:val="002305C2"/>
    <w:rsid w:val="002306F7"/>
    <w:rsid w:val="00230792"/>
    <w:rsid w:val="002307D2"/>
    <w:rsid w:val="00230CB0"/>
    <w:rsid w:val="002311AE"/>
    <w:rsid w:val="002312BC"/>
    <w:rsid w:val="00231301"/>
    <w:rsid w:val="002313CB"/>
    <w:rsid w:val="002315C4"/>
    <w:rsid w:val="00231663"/>
    <w:rsid w:val="0023181A"/>
    <w:rsid w:val="002324F2"/>
    <w:rsid w:val="0023262C"/>
    <w:rsid w:val="00232ED9"/>
    <w:rsid w:val="002330AC"/>
    <w:rsid w:val="00233116"/>
    <w:rsid w:val="002335DA"/>
    <w:rsid w:val="00233657"/>
    <w:rsid w:val="002337E5"/>
    <w:rsid w:val="00233828"/>
    <w:rsid w:val="00233BBD"/>
    <w:rsid w:val="00233C06"/>
    <w:rsid w:val="00233F24"/>
    <w:rsid w:val="00234793"/>
    <w:rsid w:val="002347CE"/>
    <w:rsid w:val="002348F6"/>
    <w:rsid w:val="002349E2"/>
    <w:rsid w:val="00234BBB"/>
    <w:rsid w:val="00234C5F"/>
    <w:rsid w:val="00234DCF"/>
    <w:rsid w:val="00234F92"/>
    <w:rsid w:val="00235154"/>
    <w:rsid w:val="002352C4"/>
    <w:rsid w:val="002353FD"/>
    <w:rsid w:val="0023545B"/>
    <w:rsid w:val="00235659"/>
    <w:rsid w:val="002356F4"/>
    <w:rsid w:val="00235772"/>
    <w:rsid w:val="0023581C"/>
    <w:rsid w:val="00235AA6"/>
    <w:rsid w:val="00235BA8"/>
    <w:rsid w:val="00235D09"/>
    <w:rsid w:val="00235DDE"/>
    <w:rsid w:val="00235F02"/>
    <w:rsid w:val="0023633C"/>
    <w:rsid w:val="0023637B"/>
    <w:rsid w:val="00236685"/>
    <w:rsid w:val="002366CF"/>
    <w:rsid w:val="002368BA"/>
    <w:rsid w:val="00236C98"/>
    <w:rsid w:val="00236D28"/>
    <w:rsid w:val="00236D38"/>
    <w:rsid w:val="00236DFE"/>
    <w:rsid w:val="0023717B"/>
    <w:rsid w:val="00237315"/>
    <w:rsid w:val="00237441"/>
    <w:rsid w:val="00237FE4"/>
    <w:rsid w:val="0024012B"/>
    <w:rsid w:val="002405BE"/>
    <w:rsid w:val="00240656"/>
    <w:rsid w:val="002406D1"/>
    <w:rsid w:val="00240B95"/>
    <w:rsid w:val="00240FEF"/>
    <w:rsid w:val="002410E6"/>
    <w:rsid w:val="00241610"/>
    <w:rsid w:val="0024172D"/>
    <w:rsid w:val="00241ACA"/>
    <w:rsid w:val="00241AE5"/>
    <w:rsid w:val="00241AED"/>
    <w:rsid w:val="00241C8C"/>
    <w:rsid w:val="00241E75"/>
    <w:rsid w:val="002420BA"/>
    <w:rsid w:val="002422A5"/>
    <w:rsid w:val="00242531"/>
    <w:rsid w:val="002425B7"/>
    <w:rsid w:val="00242681"/>
    <w:rsid w:val="002427AE"/>
    <w:rsid w:val="00242BFD"/>
    <w:rsid w:val="00242E39"/>
    <w:rsid w:val="00242F06"/>
    <w:rsid w:val="00243078"/>
    <w:rsid w:val="00243182"/>
    <w:rsid w:val="002433F9"/>
    <w:rsid w:val="0024349C"/>
    <w:rsid w:val="00243581"/>
    <w:rsid w:val="002437C6"/>
    <w:rsid w:val="00243928"/>
    <w:rsid w:val="00243946"/>
    <w:rsid w:val="00243A63"/>
    <w:rsid w:val="00243B4D"/>
    <w:rsid w:val="00243BC5"/>
    <w:rsid w:val="00243C7D"/>
    <w:rsid w:val="00243E7F"/>
    <w:rsid w:val="00243E9A"/>
    <w:rsid w:val="00243FA4"/>
    <w:rsid w:val="0024423B"/>
    <w:rsid w:val="00244332"/>
    <w:rsid w:val="00244371"/>
    <w:rsid w:val="00244900"/>
    <w:rsid w:val="00244AF8"/>
    <w:rsid w:val="00244AFC"/>
    <w:rsid w:val="00244B9F"/>
    <w:rsid w:val="00244BC5"/>
    <w:rsid w:val="00244C2C"/>
    <w:rsid w:val="00244E68"/>
    <w:rsid w:val="00245251"/>
    <w:rsid w:val="0024568D"/>
    <w:rsid w:val="002456C5"/>
    <w:rsid w:val="00245719"/>
    <w:rsid w:val="00245ABE"/>
    <w:rsid w:val="00245C0B"/>
    <w:rsid w:val="0024603D"/>
    <w:rsid w:val="002462DD"/>
    <w:rsid w:val="00246512"/>
    <w:rsid w:val="002465B7"/>
    <w:rsid w:val="00246820"/>
    <w:rsid w:val="002468C8"/>
    <w:rsid w:val="002468D7"/>
    <w:rsid w:val="00246A55"/>
    <w:rsid w:val="00246B28"/>
    <w:rsid w:val="00246C63"/>
    <w:rsid w:val="00246DCD"/>
    <w:rsid w:val="00246EAE"/>
    <w:rsid w:val="00246F92"/>
    <w:rsid w:val="00247116"/>
    <w:rsid w:val="00247184"/>
    <w:rsid w:val="002471E5"/>
    <w:rsid w:val="002473B9"/>
    <w:rsid w:val="002479DB"/>
    <w:rsid w:val="00247C97"/>
    <w:rsid w:val="0025001E"/>
    <w:rsid w:val="002500EF"/>
    <w:rsid w:val="002504AB"/>
    <w:rsid w:val="0025058F"/>
    <w:rsid w:val="00250649"/>
    <w:rsid w:val="002506C7"/>
    <w:rsid w:val="00250813"/>
    <w:rsid w:val="00250870"/>
    <w:rsid w:val="002508F2"/>
    <w:rsid w:val="0025099B"/>
    <w:rsid w:val="00250D7A"/>
    <w:rsid w:val="00250E4C"/>
    <w:rsid w:val="0025121F"/>
    <w:rsid w:val="0025157E"/>
    <w:rsid w:val="002517A8"/>
    <w:rsid w:val="002517F9"/>
    <w:rsid w:val="00251A37"/>
    <w:rsid w:val="00251CFA"/>
    <w:rsid w:val="00251EEE"/>
    <w:rsid w:val="00252087"/>
    <w:rsid w:val="00252384"/>
    <w:rsid w:val="002524E2"/>
    <w:rsid w:val="0025283E"/>
    <w:rsid w:val="002528D2"/>
    <w:rsid w:val="0025295D"/>
    <w:rsid w:val="00252AF6"/>
    <w:rsid w:val="00252C09"/>
    <w:rsid w:val="00253111"/>
    <w:rsid w:val="00253177"/>
    <w:rsid w:val="002532FC"/>
    <w:rsid w:val="00253615"/>
    <w:rsid w:val="00253690"/>
    <w:rsid w:val="002538B8"/>
    <w:rsid w:val="0025396F"/>
    <w:rsid w:val="00253A55"/>
    <w:rsid w:val="00253A6E"/>
    <w:rsid w:val="00253FA5"/>
    <w:rsid w:val="00254013"/>
    <w:rsid w:val="0025418F"/>
    <w:rsid w:val="00254319"/>
    <w:rsid w:val="00254B21"/>
    <w:rsid w:val="00254D5C"/>
    <w:rsid w:val="00254E22"/>
    <w:rsid w:val="00254E95"/>
    <w:rsid w:val="00255089"/>
    <w:rsid w:val="00255325"/>
    <w:rsid w:val="00255370"/>
    <w:rsid w:val="0025539F"/>
    <w:rsid w:val="002554AC"/>
    <w:rsid w:val="0025560F"/>
    <w:rsid w:val="0025577E"/>
    <w:rsid w:val="00255881"/>
    <w:rsid w:val="00255B1B"/>
    <w:rsid w:val="00255C6C"/>
    <w:rsid w:val="00256224"/>
    <w:rsid w:val="00256388"/>
    <w:rsid w:val="0025686B"/>
    <w:rsid w:val="002569DB"/>
    <w:rsid w:val="002569F6"/>
    <w:rsid w:val="00256C58"/>
    <w:rsid w:val="00256E0E"/>
    <w:rsid w:val="00256E44"/>
    <w:rsid w:val="00256EEF"/>
    <w:rsid w:val="0025728C"/>
    <w:rsid w:val="002573B9"/>
    <w:rsid w:val="002575AC"/>
    <w:rsid w:val="002575F8"/>
    <w:rsid w:val="002579BC"/>
    <w:rsid w:val="00257D69"/>
    <w:rsid w:val="0026004F"/>
    <w:rsid w:val="00260072"/>
    <w:rsid w:val="00260318"/>
    <w:rsid w:val="00260564"/>
    <w:rsid w:val="00260919"/>
    <w:rsid w:val="00260B7E"/>
    <w:rsid w:val="00260D76"/>
    <w:rsid w:val="00261225"/>
    <w:rsid w:val="002612FD"/>
    <w:rsid w:val="002613DC"/>
    <w:rsid w:val="00261408"/>
    <w:rsid w:val="00261426"/>
    <w:rsid w:val="00261640"/>
    <w:rsid w:val="00261740"/>
    <w:rsid w:val="00261755"/>
    <w:rsid w:val="00261A11"/>
    <w:rsid w:val="00261AAA"/>
    <w:rsid w:val="00261BB2"/>
    <w:rsid w:val="00262097"/>
    <w:rsid w:val="002621AD"/>
    <w:rsid w:val="002621E3"/>
    <w:rsid w:val="00262D20"/>
    <w:rsid w:val="0026327F"/>
    <w:rsid w:val="002634AB"/>
    <w:rsid w:val="002636FA"/>
    <w:rsid w:val="002638E0"/>
    <w:rsid w:val="00263A4E"/>
    <w:rsid w:val="00263C19"/>
    <w:rsid w:val="00263E9F"/>
    <w:rsid w:val="00263F7B"/>
    <w:rsid w:val="00264084"/>
    <w:rsid w:val="00264517"/>
    <w:rsid w:val="00264E7F"/>
    <w:rsid w:val="00264EE0"/>
    <w:rsid w:val="00264F03"/>
    <w:rsid w:val="00264F8F"/>
    <w:rsid w:val="002653F0"/>
    <w:rsid w:val="002655AE"/>
    <w:rsid w:val="002657BD"/>
    <w:rsid w:val="0026591F"/>
    <w:rsid w:val="002659ED"/>
    <w:rsid w:val="00265A65"/>
    <w:rsid w:val="002660F0"/>
    <w:rsid w:val="0026644B"/>
    <w:rsid w:val="002664F4"/>
    <w:rsid w:val="0026735D"/>
    <w:rsid w:val="0026754D"/>
    <w:rsid w:val="002675B6"/>
    <w:rsid w:val="00267A99"/>
    <w:rsid w:val="00267E8F"/>
    <w:rsid w:val="002700F7"/>
    <w:rsid w:val="00270271"/>
    <w:rsid w:val="00270553"/>
    <w:rsid w:val="00270D81"/>
    <w:rsid w:val="002714F1"/>
    <w:rsid w:val="00271C24"/>
    <w:rsid w:val="00271E9F"/>
    <w:rsid w:val="00272174"/>
    <w:rsid w:val="002721A6"/>
    <w:rsid w:val="002722E0"/>
    <w:rsid w:val="00272768"/>
    <w:rsid w:val="002727A2"/>
    <w:rsid w:val="00272985"/>
    <w:rsid w:val="00272A7D"/>
    <w:rsid w:val="00272E91"/>
    <w:rsid w:val="00272EF0"/>
    <w:rsid w:val="00272F4B"/>
    <w:rsid w:val="00272F5E"/>
    <w:rsid w:val="002730EC"/>
    <w:rsid w:val="00273100"/>
    <w:rsid w:val="002732B2"/>
    <w:rsid w:val="002735C9"/>
    <w:rsid w:val="002735CC"/>
    <w:rsid w:val="0027365A"/>
    <w:rsid w:val="00273B9C"/>
    <w:rsid w:val="00273ECD"/>
    <w:rsid w:val="00273FD7"/>
    <w:rsid w:val="0027420E"/>
    <w:rsid w:val="00274588"/>
    <w:rsid w:val="002746F5"/>
    <w:rsid w:val="002747FA"/>
    <w:rsid w:val="002749F4"/>
    <w:rsid w:val="00274A67"/>
    <w:rsid w:val="00274AA2"/>
    <w:rsid w:val="002753A1"/>
    <w:rsid w:val="002753B5"/>
    <w:rsid w:val="0027552B"/>
    <w:rsid w:val="002755E9"/>
    <w:rsid w:val="002756EF"/>
    <w:rsid w:val="00275708"/>
    <w:rsid w:val="00275719"/>
    <w:rsid w:val="0027580B"/>
    <w:rsid w:val="00275D58"/>
    <w:rsid w:val="00275DBE"/>
    <w:rsid w:val="00275F35"/>
    <w:rsid w:val="0027634B"/>
    <w:rsid w:val="0027658F"/>
    <w:rsid w:val="002768C5"/>
    <w:rsid w:val="002768CF"/>
    <w:rsid w:val="00276910"/>
    <w:rsid w:val="00276E16"/>
    <w:rsid w:val="00276F82"/>
    <w:rsid w:val="0027730E"/>
    <w:rsid w:val="00280278"/>
    <w:rsid w:val="002805DF"/>
    <w:rsid w:val="0028092D"/>
    <w:rsid w:val="00280B33"/>
    <w:rsid w:val="00280FC0"/>
    <w:rsid w:val="00281556"/>
    <w:rsid w:val="0028157C"/>
    <w:rsid w:val="002815D9"/>
    <w:rsid w:val="002817D4"/>
    <w:rsid w:val="00281A69"/>
    <w:rsid w:val="00281B53"/>
    <w:rsid w:val="00281E2A"/>
    <w:rsid w:val="00281F9D"/>
    <w:rsid w:val="00282317"/>
    <w:rsid w:val="00282384"/>
    <w:rsid w:val="002823B7"/>
    <w:rsid w:val="0028249B"/>
    <w:rsid w:val="002825DE"/>
    <w:rsid w:val="002827AE"/>
    <w:rsid w:val="00282982"/>
    <w:rsid w:val="00282C61"/>
    <w:rsid w:val="00282D25"/>
    <w:rsid w:val="00282DF9"/>
    <w:rsid w:val="002838DD"/>
    <w:rsid w:val="00283948"/>
    <w:rsid w:val="002839E5"/>
    <w:rsid w:val="00283A44"/>
    <w:rsid w:val="00283AE3"/>
    <w:rsid w:val="00283BB3"/>
    <w:rsid w:val="00283C69"/>
    <w:rsid w:val="00283CDA"/>
    <w:rsid w:val="00283DFF"/>
    <w:rsid w:val="00284238"/>
    <w:rsid w:val="00284265"/>
    <w:rsid w:val="002843F6"/>
    <w:rsid w:val="0028466C"/>
    <w:rsid w:val="002849B6"/>
    <w:rsid w:val="00284EC1"/>
    <w:rsid w:val="0028508B"/>
    <w:rsid w:val="002851D2"/>
    <w:rsid w:val="0028529F"/>
    <w:rsid w:val="002853E0"/>
    <w:rsid w:val="00285687"/>
    <w:rsid w:val="00285894"/>
    <w:rsid w:val="00285C3D"/>
    <w:rsid w:val="00285D36"/>
    <w:rsid w:val="00285D57"/>
    <w:rsid w:val="00285E23"/>
    <w:rsid w:val="00285F81"/>
    <w:rsid w:val="00286134"/>
    <w:rsid w:val="00286766"/>
    <w:rsid w:val="00287649"/>
    <w:rsid w:val="00287878"/>
    <w:rsid w:val="00287884"/>
    <w:rsid w:val="00287BA2"/>
    <w:rsid w:val="00287C5A"/>
    <w:rsid w:val="00287DAB"/>
    <w:rsid w:val="00287EBC"/>
    <w:rsid w:val="00287F58"/>
    <w:rsid w:val="00287FB6"/>
    <w:rsid w:val="002900C5"/>
    <w:rsid w:val="0029010C"/>
    <w:rsid w:val="002901E0"/>
    <w:rsid w:val="002905DA"/>
    <w:rsid w:val="002906E6"/>
    <w:rsid w:val="0029075B"/>
    <w:rsid w:val="0029097F"/>
    <w:rsid w:val="00290BB1"/>
    <w:rsid w:val="00290F36"/>
    <w:rsid w:val="002912C6"/>
    <w:rsid w:val="002912DD"/>
    <w:rsid w:val="00291372"/>
    <w:rsid w:val="002915EE"/>
    <w:rsid w:val="002917F4"/>
    <w:rsid w:val="00291A7F"/>
    <w:rsid w:val="00291B75"/>
    <w:rsid w:val="00291BC1"/>
    <w:rsid w:val="00291D16"/>
    <w:rsid w:val="00291F56"/>
    <w:rsid w:val="00291F59"/>
    <w:rsid w:val="00292F35"/>
    <w:rsid w:val="002933CA"/>
    <w:rsid w:val="002933FD"/>
    <w:rsid w:val="002935B8"/>
    <w:rsid w:val="00293624"/>
    <w:rsid w:val="00293949"/>
    <w:rsid w:val="00293A8F"/>
    <w:rsid w:val="00293D22"/>
    <w:rsid w:val="00293DDB"/>
    <w:rsid w:val="002940EF"/>
    <w:rsid w:val="002940FD"/>
    <w:rsid w:val="00294335"/>
    <w:rsid w:val="00294651"/>
    <w:rsid w:val="00294C21"/>
    <w:rsid w:val="00294DA6"/>
    <w:rsid w:val="00294FE7"/>
    <w:rsid w:val="0029508C"/>
    <w:rsid w:val="00295155"/>
    <w:rsid w:val="002954A0"/>
    <w:rsid w:val="002956F5"/>
    <w:rsid w:val="002958C7"/>
    <w:rsid w:val="00295D51"/>
    <w:rsid w:val="00295ECF"/>
    <w:rsid w:val="0029605E"/>
    <w:rsid w:val="00296203"/>
    <w:rsid w:val="00296428"/>
    <w:rsid w:val="0029643D"/>
    <w:rsid w:val="0029674D"/>
    <w:rsid w:val="00296952"/>
    <w:rsid w:val="00296E1A"/>
    <w:rsid w:val="0029706A"/>
    <w:rsid w:val="0029717F"/>
    <w:rsid w:val="002971FD"/>
    <w:rsid w:val="00297207"/>
    <w:rsid w:val="002972EE"/>
    <w:rsid w:val="002973F4"/>
    <w:rsid w:val="00297454"/>
    <w:rsid w:val="00297945"/>
    <w:rsid w:val="00297A52"/>
    <w:rsid w:val="00297BAE"/>
    <w:rsid w:val="00297C4B"/>
    <w:rsid w:val="00297DE0"/>
    <w:rsid w:val="00297E4B"/>
    <w:rsid w:val="00297F01"/>
    <w:rsid w:val="00297F99"/>
    <w:rsid w:val="00297FBE"/>
    <w:rsid w:val="002A052D"/>
    <w:rsid w:val="002A0696"/>
    <w:rsid w:val="002A06DC"/>
    <w:rsid w:val="002A099C"/>
    <w:rsid w:val="002A0AC2"/>
    <w:rsid w:val="002A0DF8"/>
    <w:rsid w:val="002A11F3"/>
    <w:rsid w:val="002A123E"/>
    <w:rsid w:val="002A14BF"/>
    <w:rsid w:val="002A1928"/>
    <w:rsid w:val="002A198C"/>
    <w:rsid w:val="002A1A19"/>
    <w:rsid w:val="002A1B51"/>
    <w:rsid w:val="002A1B84"/>
    <w:rsid w:val="002A1D81"/>
    <w:rsid w:val="002A1F06"/>
    <w:rsid w:val="002A1F1F"/>
    <w:rsid w:val="002A21B5"/>
    <w:rsid w:val="002A25CF"/>
    <w:rsid w:val="002A2627"/>
    <w:rsid w:val="002A2631"/>
    <w:rsid w:val="002A2906"/>
    <w:rsid w:val="002A2A0C"/>
    <w:rsid w:val="002A2BB6"/>
    <w:rsid w:val="002A2C0A"/>
    <w:rsid w:val="002A2EFD"/>
    <w:rsid w:val="002A30E0"/>
    <w:rsid w:val="002A310C"/>
    <w:rsid w:val="002A3521"/>
    <w:rsid w:val="002A3599"/>
    <w:rsid w:val="002A35C5"/>
    <w:rsid w:val="002A36D5"/>
    <w:rsid w:val="002A3753"/>
    <w:rsid w:val="002A37E1"/>
    <w:rsid w:val="002A38E5"/>
    <w:rsid w:val="002A3A8A"/>
    <w:rsid w:val="002A3B61"/>
    <w:rsid w:val="002A3E78"/>
    <w:rsid w:val="002A402A"/>
    <w:rsid w:val="002A4140"/>
    <w:rsid w:val="002A415A"/>
    <w:rsid w:val="002A4224"/>
    <w:rsid w:val="002A45AA"/>
    <w:rsid w:val="002A499E"/>
    <w:rsid w:val="002A4B0B"/>
    <w:rsid w:val="002A4B6F"/>
    <w:rsid w:val="002A4FFF"/>
    <w:rsid w:val="002A5092"/>
    <w:rsid w:val="002A533C"/>
    <w:rsid w:val="002A5503"/>
    <w:rsid w:val="002A56E1"/>
    <w:rsid w:val="002A579F"/>
    <w:rsid w:val="002A59BD"/>
    <w:rsid w:val="002A5CA9"/>
    <w:rsid w:val="002A67C5"/>
    <w:rsid w:val="002A6897"/>
    <w:rsid w:val="002A6A7E"/>
    <w:rsid w:val="002A6AD0"/>
    <w:rsid w:val="002A6CC4"/>
    <w:rsid w:val="002A6FE6"/>
    <w:rsid w:val="002A75CA"/>
    <w:rsid w:val="002A7729"/>
    <w:rsid w:val="002A7753"/>
    <w:rsid w:val="002A7889"/>
    <w:rsid w:val="002A799A"/>
    <w:rsid w:val="002A7A97"/>
    <w:rsid w:val="002A7BEC"/>
    <w:rsid w:val="002A7C29"/>
    <w:rsid w:val="002B0427"/>
    <w:rsid w:val="002B08F8"/>
    <w:rsid w:val="002B097D"/>
    <w:rsid w:val="002B0B28"/>
    <w:rsid w:val="002B0FD9"/>
    <w:rsid w:val="002B11B2"/>
    <w:rsid w:val="002B18F7"/>
    <w:rsid w:val="002B1B84"/>
    <w:rsid w:val="002B2007"/>
    <w:rsid w:val="002B2307"/>
    <w:rsid w:val="002B2385"/>
    <w:rsid w:val="002B2817"/>
    <w:rsid w:val="002B2882"/>
    <w:rsid w:val="002B2F5B"/>
    <w:rsid w:val="002B3247"/>
    <w:rsid w:val="002B3528"/>
    <w:rsid w:val="002B3645"/>
    <w:rsid w:val="002B3933"/>
    <w:rsid w:val="002B3D06"/>
    <w:rsid w:val="002B3EC8"/>
    <w:rsid w:val="002B3ED7"/>
    <w:rsid w:val="002B4569"/>
    <w:rsid w:val="002B4778"/>
    <w:rsid w:val="002B498D"/>
    <w:rsid w:val="002B49AB"/>
    <w:rsid w:val="002B49F1"/>
    <w:rsid w:val="002B4AE9"/>
    <w:rsid w:val="002B4EA1"/>
    <w:rsid w:val="002B4F50"/>
    <w:rsid w:val="002B51E8"/>
    <w:rsid w:val="002B5430"/>
    <w:rsid w:val="002B58B7"/>
    <w:rsid w:val="002B5DE1"/>
    <w:rsid w:val="002B5E9F"/>
    <w:rsid w:val="002B603B"/>
    <w:rsid w:val="002B681D"/>
    <w:rsid w:val="002B7081"/>
    <w:rsid w:val="002B73AC"/>
    <w:rsid w:val="002B75B2"/>
    <w:rsid w:val="002B79B7"/>
    <w:rsid w:val="002B79CB"/>
    <w:rsid w:val="002B7A55"/>
    <w:rsid w:val="002B7B99"/>
    <w:rsid w:val="002B7D42"/>
    <w:rsid w:val="002B7D7D"/>
    <w:rsid w:val="002B7ED1"/>
    <w:rsid w:val="002B7EDC"/>
    <w:rsid w:val="002B7FB0"/>
    <w:rsid w:val="002C03A2"/>
    <w:rsid w:val="002C04A6"/>
    <w:rsid w:val="002C0614"/>
    <w:rsid w:val="002C08E7"/>
    <w:rsid w:val="002C0ABE"/>
    <w:rsid w:val="002C1077"/>
    <w:rsid w:val="002C1391"/>
    <w:rsid w:val="002C141D"/>
    <w:rsid w:val="002C148C"/>
    <w:rsid w:val="002C182C"/>
    <w:rsid w:val="002C19C0"/>
    <w:rsid w:val="002C1C15"/>
    <w:rsid w:val="002C1C20"/>
    <w:rsid w:val="002C1F77"/>
    <w:rsid w:val="002C209F"/>
    <w:rsid w:val="002C229A"/>
    <w:rsid w:val="002C22FE"/>
    <w:rsid w:val="002C2316"/>
    <w:rsid w:val="002C2485"/>
    <w:rsid w:val="002C25DA"/>
    <w:rsid w:val="002C25E0"/>
    <w:rsid w:val="002C264F"/>
    <w:rsid w:val="002C26F5"/>
    <w:rsid w:val="002C277E"/>
    <w:rsid w:val="002C2871"/>
    <w:rsid w:val="002C2A2D"/>
    <w:rsid w:val="002C2B0E"/>
    <w:rsid w:val="002C2CEA"/>
    <w:rsid w:val="002C2D2A"/>
    <w:rsid w:val="002C2DFA"/>
    <w:rsid w:val="002C2F9B"/>
    <w:rsid w:val="002C3113"/>
    <w:rsid w:val="002C3264"/>
    <w:rsid w:val="002C3304"/>
    <w:rsid w:val="002C3435"/>
    <w:rsid w:val="002C36C0"/>
    <w:rsid w:val="002C3928"/>
    <w:rsid w:val="002C3A8E"/>
    <w:rsid w:val="002C3B33"/>
    <w:rsid w:val="002C3CA1"/>
    <w:rsid w:val="002C3F18"/>
    <w:rsid w:val="002C3F9B"/>
    <w:rsid w:val="002C435E"/>
    <w:rsid w:val="002C43BB"/>
    <w:rsid w:val="002C43C7"/>
    <w:rsid w:val="002C44AB"/>
    <w:rsid w:val="002C462F"/>
    <w:rsid w:val="002C4AF0"/>
    <w:rsid w:val="002C528B"/>
    <w:rsid w:val="002C52FC"/>
    <w:rsid w:val="002C5595"/>
    <w:rsid w:val="002C5C03"/>
    <w:rsid w:val="002C5D75"/>
    <w:rsid w:val="002C5E39"/>
    <w:rsid w:val="002C5FA2"/>
    <w:rsid w:val="002C623C"/>
    <w:rsid w:val="002C64BA"/>
    <w:rsid w:val="002C6649"/>
    <w:rsid w:val="002C695C"/>
    <w:rsid w:val="002C69FE"/>
    <w:rsid w:val="002C7317"/>
    <w:rsid w:val="002C736D"/>
    <w:rsid w:val="002C7A02"/>
    <w:rsid w:val="002C7A2F"/>
    <w:rsid w:val="002C7A87"/>
    <w:rsid w:val="002C7BD4"/>
    <w:rsid w:val="002D0107"/>
    <w:rsid w:val="002D0187"/>
    <w:rsid w:val="002D02A8"/>
    <w:rsid w:val="002D058B"/>
    <w:rsid w:val="002D062E"/>
    <w:rsid w:val="002D078B"/>
    <w:rsid w:val="002D094B"/>
    <w:rsid w:val="002D0C1F"/>
    <w:rsid w:val="002D0D43"/>
    <w:rsid w:val="002D0DE1"/>
    <w:rsid w:val="002D0E07"/>
    <w:rsid w:val="002D0E78"/>
    <w:rsid w:val="002D0EF1"/>
    <w:rsid w:val="002D0F9F"/>
    <w:rsid w:val="002D12F9"/>
    <w:rsid w:val="002D1442"/>
    <w:rsid w:val="002D158F"/>
    <w:rsid w:val="002D15C2"/>
    <w:rsid w:val="002D1B8A"/>
    <w:rsid w:val="002D1C12"/>
    <w:rsid w:val="002D1D66"/>
    <w:rsid w:val="002D1F90"/>
    <w:rsid w:val="002D23B9"/>
    <w:rsid w:val="002D258A"/>
    <w:rsid w:val="002D2692"/>
    <w:rsid w:val="002D290E"/>
    <w:rsid w:val="002D2AD0"/>
    <w:rsid w:val="002D2AD5"/>
    <w:rsid w:val="002D2AF4"/>
    <w:rsid w:val="002D2B10"/>
    <w:rsid w:val="002D30C0"/>
    <w:rsid w:val="002D3669"/>
    <w:rsid w:val="002D382E"/>
    <w:rsid w:val="002D386A"/>
    <w:rsid w:val="002D38B2"/>
    <w:rsid w:val="002D3908"/>
    <w:rsid w:val="002D40F0"/>
    <w:rsid w:val="002D4100"/>
    <w:rsid w:val="002D4506"/>
    <w:rsid w:val="002D477F"/>
    <w:rsid w:val="002D484B"/>
    <w:rsid w:val="002D4853"/>
    <w:rsid w:val="002D4870"/>
    <w:rsid w:val="002D4F37"/>
    <w:rsid w:val="002D4F48"/>
    <w:rsid w:val="002D519B"/>
    <w:rsid w:val="002D55C1"/>
    <w:rsid w:val="002D5819"/>
    <w:rsid w:val="002D5C24"/>
    <w:rsid w:val="002D5E59"/>
    <w:rsid w:val="002D5F01"/>
    <w:rsid w:val="002D60D0"/>
    <w:rsid w:val="002D621E"/>
    <w:rsid w:val="002D6488"/>
    <w:rsid w:val="002D66CD"/>
    <w:rsid w:val="002D66DA"/>
    <w:rsid w:val="002D677C"/>
    <w:rsid w:val="002D6932"/>
    <w:rsid w:val="002D6B12"/>
    <w:rsid w:val="002D7027"/>
    <w:rsid w:val="002D70DC"/>
    <w:rsid w:val="002D724A"/>
    <w:rsid w:val="002D758B"/>
    <w:rsid w:val="002D7632"/>
    <w:rsid w:val="002D78B0"/>
    <w:rsid w:val="002D79BC"/>
    <w:rsid w:val="002D7D5D"/>
    <w:rsid w:val="002D7E58"/>
    <w:rsid w:val="002D7E76"/>
    <w:rsid w:val="002D7F93"/>
    <w:rsid w:val="002E0018"/>
    <w:rsid w:val="002E00B2"/>
    <w:rsid w:val="002E056B"/>
    <w:rsid w:val="002E05E1"/>
    <w:rsid w:val="002E0D31"/>
    <w:rsid w:val="002E0D8E"/>
    <w:rsid w:val="002E0EFA"/>
    <w:rsid w:val="002E1073"/>
    <w:rsid w:val="002E1293"/>
    <w:rsid w:val="002E12EC"/>
    <w:rsid w:val="002E146D"/>
    <w:rsid w:val="002E153D"/>
    <w:rsid w:val="002E1702"/>
    <w:rsid w:val="002E1747"/>
    <w:rsid w:val="002E1884"/>
    <w:rsid w:val="002E1909"/>
    <w:rsid w:val="002E1B50"/>
    <w:rsid w:val="002E219D"/>
    <w:rsid w:val="002E23FB"/>
    <w:rsid w:val="002E272B"/>
    <w:rsid w:val="002E27BA"/>
    <w:rsid w:val="002E29F8"/>
    <w:rsid w:val="002E2A58"/>
    <w:rsid w:val="002E2B37"/>
    <w:rsid w:val="002E2C52"/>
    <w:rsid w:val="002E2FF9"/>
    <w:rsid w:val="002E3331"/>
    <w:rsid w:val="002E342B"/>
    <w:rsid w:val="002E377E"/>
    <w:rsid w:val="002E3AA7"/>
    <w:rsid w:val="002E3B81"/>
    <w:rsid w:val="002E3D08"/>
    <w:rsid w:val="002E3E1D"/>
    <w:rsid w:val="002E3EEA"/>
    <w:rsid w:val="002E491F"/>
    <w:rsid w:val="002E495A"/>
    <w:rsid w:val="002E4B4A"/>
    <w:rsid w:val="002E4CDE"/>
    <w:rsid w:val="002E4D08"/>
    <w:rsid w:val="002E4DA5"/>
    <w:rsid w:val="002E52B8"/>
    <w:rsid w:val="002E55E0"/>
    <w:rsid w:val="002E5A21"/>
    <w:rsid w:val="002E5DBF"/>
    <w:rsid w:val="002E5E01"/>
    <w:rsid w:val="002E5EC5"/>
    <w:rsid w:val="002E5F0F"/>
    <w:rsid w:val="002E602A"/>
    <w:rsid w:val="002E60F5"/>
    <w:rsid w:val="002E6320"/>
    <w:rsid w:val="002E63E9"/>
    <w:rsid w:val="002E6536"/>
    <w:rsid w:val="002E6747"/>
    <w:rsid w:val="002E68E4"/>
    <w:rsid w:val="002E69F5"/>
    <w:rsid w:val="002E6AE3"/>
    <w:rsid w:val="002E6CAA"/>
    <w:rsid w:val="002E6E38"/>
    <w:rsid w:val="002E6FAB"/>
    <w:rsid w:val="002E713F"/>
    <w:rsid w:val="002E72D6"/>
    <w:rsid w:val="002E73EC"/>
    <w:rsid w:val="002E7647"/>
    <w:rsid w:val="002E77A2"/>
    <w:rsid w:val="002E7B4E"/>
    <w:rsid w:val="002E7E8F"/>
    <w:rsid w:val="002F0020"/>
    <w:rsid w:val="002F023D"/>
    <w:rsid w:val="002F02B6"/>
    <w:rsid w:val="002F0C96"/>
    <w:rsid w:val="002F0DBF"/>
    <w:rsid w:val="002F10EC"/>
    <w:rsid w:val="002F1136"/>
    <w:rsid w:val="002F1231"/>
    <w:rsid w:val="002F1521"/>
    <w:rsid w:val="002F15BD"/>
    <w:rsid w:val="002F15EE"/>
    <w:rsid w:val="002F1A70"/>
    <w:rsid w:val="002F1B23"/>
    <w:rsid w:val="002F1BE7"/>
    <w:rsid w:val="002F1F03"/>
    <w:rsid w:val="002F23E1"/>
    <w:rsid w:val="002F25F0"/>
    <w:rsid w:val="002F26A5"/>
    <w:rsid w:val="002F2932"/>
    <w:rsid w:val="002F2C73"/>
    <w:rsid w:val="002F31CE"/>
    <w:rsid w:val="002F3573"/>
    <w:rsid w:val="002F3632"/>
    <w:rsid w:val="002F3AFB"/>
    <w:rsid w:val="002F3B00"/>
    <w:rsid w:val="002F3C27"/>
    <w:rsid w:val="002F3C2B"/>
    <w:rsid w:val="002F3C41"/>
    <w:rsid w:val="002F3D2A"/>
    <w:rsid w:val="002F4514"/>
    <w:rsid w:val="002F4A8F"/>
    <w:rsid w:val="002F4C8E"/>
    <w:rsid w:val="002F4EB2"/>
    <w:rsid w:val="002F4FC6"/>
    <w:rsid w:val="002F5076"/>
    <w:rsid w:val="002F5839"/>
    <w:rsid w:val="002F5B35"/>
    <w:rsid w:val="002F5C5A"/>
    <w:rsid w:val="002F5C77"/>
    <w:rsid w:val="002F636B"/>
    <w:rsid w:val="002F64D9"/>
    <w:rsid w:val="002F651D"/>
    <w:rsid w:val="002F6630"/>
    <w:rsid w:val="002F6648"/>
    <w:rsid w:val="002F6D7F"/>
    <w:rsid w:val="002F6E44"/>
    <w:rsid w:val="002F74FD"/>
    <w:rsid w:val="002F787B"/>
    <w:rsid w:val="002F7974"/>
    <w:rsid w:val="002F7BBD"/>
    <w:rsid w:val="002F7D01"/>
    <w:rsid w:val="002F7E6D"/>
    <w:rsid w:val="0030005C"/>
    <w:rsid w:val="00300323"/>
    <w:rsid w:val="00300369"/>
    <w:rsid w:val="003004F8"/>
    <w:rsid w:val="0030081A"/>
    <w:rsid w:val="00300C52"/>
    <w:rsid w:val="00300ECC"/>
    <w:rsid w:val="00300EFF"/>
    <w:rsid w:val="00300F80"/>
    <w:rsid w:val="00300FF8"/>
    <w:rsid w:val="00301510"/>
    <w:rsid w:val="003016C6"/>
    <w:rsid w:val="00301928"/>
    <w:rsid w:val="00301AA0"/>
    <w:rsid w:val="00301C5B"/>
    <w:rsid w:val="00301D0A"/>
    <w:rsid w:val="00301D13"/>
    <w:rsid w:val="00301E90"/>
    <w:rsid w:val="00301F1E"/>
    <w:rsid w:val="003021C1"/>
    <w:rsid w:val="003026E4"/>
    <w:rsid w:val="003027B8"/>
    <w:rsid w:val="00302809"/>
    <w:rsid w:val="003028AF"/>
    <w:rsid w:val="0030293F"/>
    <w:rsid w:val="00302947"/>
    <w:rsid w:val="00302A2E"/>
    <w:rsid w:val="00302C50"/>
    <w:rsid w:val="00302EFF"/>
    <w:rsid w:val="00303196"/>
    <w:rsid w:val="003031C2"/>
    <w:rsid w:val="00303297"/>
    <w:rsid w:val="003033FC"/>
    <w:rsid w:val="00303601"/>
    <w:rsid w:val="00303861"/>
    <w:rsid w:val="00303894"/>
    <w:rsid w:val="00303AA0"/>
    <w:rsid w:val="00303CBB"/>
    <w:rsid w:val="00303DF3"/>
    <w:rsid w:val="00303E3E"/>
    <w:rsid w:val="00303E86"/>
    <w:rsid w:val="00303F8C"/>
    <w:rsid w:val="00303FD0"/>
    <w:rsid w:val="0030424E"/>
    <w:rsid w:val="00304B3D"/>
    <w:rsid w:val="00304B58"/>
    <w:rsid w:val="00304B89"/>
    <w:rsid w:val="00304EEB"/>
    <w:rsid w:val="00304FFF"/>
    <w:rsid w:val="00305557"/>
    <w:rsid w:val="0030561F"/>
    <w:rsid w:val="00305766"/>
    <w:rsid w:val="00305CA3"/>
    <w:rsid w:val="00305CC7"/>
    <w:rsid w:val="00305DB5"/>
    <w:rsid w:val="00306679"/>
    <w:rsid w:val="003066D4"/>
    <w:rsid w:val="00306758"/>
    <w:rsid w:val="0030699D"/>
    <w:rsid w:val="003069F0"/>
    <w:rsid w:val="00306B3A"/>
    <w:rsid w:val="00306E5C"/>
    <w:rsid w:val="00307779"/>
    <w:rsid w:val="003077E8"/>
    <w:rsid w:val="0030786D"/>
    <w:rsid w:val="003079FA"/>
    <w:rsid w:val="00307B03"/>
    <w:rsid w:val="00307C19"/>
    <w:rsid w:val="00307D69"/>
    <w:rsid w:val="0031028E"/>
    <w:rsid w:val="003102AF"/>
    <w:rsid w:val="00310389"/>
    <w:rsid w:val="003104DB"/>
    <w:rsid w:val="00310732"/>
    <w:rsid w:val="00310880"/>
    <w:rsid w:val="00310AB0"/>
    <w:rsid w:val="00310BC9"/>
    <w:rsid w:val="00310FC8"/>
    <w:rsid w:val="00311239"/>
    <w:rsid w:val="00311651"/>
    <w:rsid w:val="0031174B"/>
    <w:rsid w:val="00311762"/>
    <w:rsid w:val="00311953"/>
    <w:rsid w:val="00311BCD"/>
    <w:rsid w:val="00311E98"/>
    <w:rsid w:val="00311F10"/>
    <w:rsid w:val="00312215"/>
    <w:rsid w:val="003122A6"/>
    <w:rsid w:val="0031249C"/>
    <w:rsid w:val="003125A2"/>
    <w:rsid w:val="003125C3"/>
    <w:rsid w:val="0031269F"/>
    <w:rsid w:val="003126A5"/>
    <w:rsid w:val="00312896"/>
    <w:rsid w:val="00312E04"/>
    <w:rsid w:val="00312E56"/>
    <w:rsid w:val="00312FAC"/>
    <w:rsid w:val="003134AE"/>
    <w:rsid w:val="00313B89"/>
    <w:rsid w:val="00313EAC"/>
    <w:rsid w:val="00313F5A"/>
    <w:rsid w:val="003142F4"/>
    <w:rsid w:val="00314503"/>
    <w:rsid w:val="0031454E"/>
    <w:rsid w:val="003146B0"/>
    <w:rsid w:val="003149EA"/>
    <w:rsid w:val="00314BCE"/>
    <w:rsid w:val="003150DF"/>
    <w:rsid w:val="003151F1"/>
    <w:rsid w:val="00315E9D"/>
    <w:rsid w:val="0031611F"/>
    <w:rsid w:val="00316503"/>
    <w:rsid w:val="003167B6"/>
    <w:rsid w:val="003167D0"/>
    <w:rsid w:val="00316A90"/>
    <w:rsid w:val="00316BA0"/>
    <w:rsid w:val="00316C86"/>
    <w:rsid w:val="00316DE1"/>
    <w:rsid w:val="003172AB"/>
    <w:rsid w:val="003172E9"/>
    <w:rsid w:val="003172FD"/>
    <w:rsid w:val="00317615"/>
    <w:rsid w:val="003178A0"/>
    <w:rsid w:val="00317A33"/>
    <w:rsid w:val="00317A99"/>
    <w:rsid w:val="00317B8A"/>
    <w:rsid w:val="00317CD9"/>
    <w:rsid w:val="00317ED4"/>
    <w:rsid w:val="00317EF1"/>
    <w:rsid w:val="003200EF"/>
    <w:rsid w:val="00320339"/>
    <w:rsid w:val="0032100B"/>
    <w:rsid w:val="00321214"/>
    <w:rsid w:val="00321271"/>
    <w:rsid w:val="003213D5"/>
    <w:rsid w:val="003218FA"/>
    <w:rsid w:val="00321918"/>
    <w:rsid w:val="00321BFF"/>
    <w:rsid w:val="00321ED6"/>
    <w:rsid w:val="00321F67"/>
    <w:rsid w:val="00322151"/>
    <w:rsid w:val="00322168"/>
    <w:rsid w:val="00322289"/>
    <w:rsid w:val="0032278F"/>
    <w:rsid w:val="003228BB"/>
    <w:rsid w:val="00322AF7"/>
    <w:rsid w:val="00322B0C"/>
    <w:rsid w:val="003230DB"/>
    <w:rsid w:val="00323737"/>
    <w:rsid w:val="00323AD6"/>
    <w:rsid w:val="00323E27"/>
    <w:rsid w:val="00323F27"/>
    <w:rsid w:val="003240AB"/>
    <w:rsid w:val="00324268"/>
    <w:rsid w:val="003242EF"/>
    <w:rsid w:val="003243A8"/>
    <w:rsid w:val="00324796"/>
    <w:rsid w:val="00324801"/>
    <w:rsid w:val="00324A71"/>
    <w:rsid w:val="00324BA6"/>
    <w:rsid w:val="00324C4E"/>
    <w:rsid w:val="00325100"/>
    <w:rsid w:val="00325101"/>
    <w:rsid w:val="00325339"/>
    <w:rsid w:val="00325392"/>
    <w:rsid w:val="003255AA"/>
    <w:rsid w:val="00325846"/>
    <w:rsid w:val="0032592C"/>
    <w:rsid w:val="00325A74"/>
    <w:rsid w:val="00325B03"/>
    <w:rsid w:val="00325CD7"/>
    <w:rsid w:val="00325DC4"/>
    <w:rsid w:val="00325E86"/>
    <w:rsid w:val="00325F60"/>
    <w:rsid w:val="003260DB"/>
    <w:rsid w:val="003262EA"/>
    <w:rsid w:val="00326B91"/>
    <w:rsid w:val="00326BF1"/>
    <w:rsid w:val="00326E2B"/>
    <w:rsid w:val="0032720B"/>
    <w:rsid w:val="0032727F"/>
    <w:rsid w:val="0032730F"/>
    <w:rsid w:val="003273CF"/>
    <w:rsid w:val="00327C38"/>
    <w:rsid w:val="00327CB5"/>
    <w:rsid w:val="00327F9E"/>
    <w:rsid w:val="0033010E"/>
    <w:rsid w:val="003308CC"/>
    <w:rsid w:val="00330B3B"/>
    <w:rsid w:val="00330BBA"/>
    <w:rsid w:val="00330EAD"/>
    <w:rsid w:val="003310DE"/>
    <w:rsid w:val="003314B6"/>
    <w:rsid w:val="00331799"/>
    <w:rsid w:val="003319D3"/>
    <w:rsid w:val="00331A20"/>
    <w:rsid w:val="00331C00"/>
    <w:rsid w:val="00331C44"/>
    <w:rsid w:val="00331D13"/>
    <w:rsid w:val="00331D4C"/>
    <w:rsid w:val="00331DC5"/>
    <w:rsid w:val="00331E21"/>
    <w:rsid w:val="00331E65"/>
    <w:rsid w:val="00332DD8"/>
    <w:rsid w:val="00332E92"/>
    <w:rsid w:val="003330E4"/>
    <w:rsid w:val="00333107"/>
    <w:rsid w:val="003331D8"/>
    <w:rsid w:val="0033343B"/>
    <w:rsid w:val="0033393C"/>
    <w:rsid w:val="00333972"/>
    <w:rsid w:val="003339E6"/>
    <w:rsid w:val="00333C73"/>
    <w:rsid w:val="00333CFA"/>
    <w:rsid w:val="0033471C"/>
    <w:rsid w:val="00334853"/>
    <w:rsid w:val="00335166"/>
    <w:rsid w:val="0033540C"/>
    <w:rsid w:val="003357EE"/>
    <w:rsid w:val="00335852"/>
    <w:rsid w:val="003358A7"/>
    <w:rsid w:val="00335EC0"/>
    <w:rsid w:val="00336175"/>
    <w:rsid w:val="003361DF"/>
    <w:rsid w:val="00336247"/>
    <w:rsid w:val="003362D8"/>
    <w:rsid w:val="0033643B"/>
    <w:rsid w:val="00336474"/>
    <w:rsid w:val="003366BF"/>
    <w:rsid w:val="00336CBB"/>
    <w:rsid w:val="00336DE8"/>
    <w:rsid w:val="003371F2"/>
    <w:rsid w:val="00337359"/>
    <w:rsid w:val="00337368"/>
    <w:rsid w:val="00337558"/>
    <w:rsid w:val="003375B8"/>
    <w:rsid w:val="003377D7"/>
    <w:rsid w:val="00337B4D"/>
    <w:rsid w:val="003403B6"/>
    <w:rsid w:val="003407A9"/>
    <w:rsid w:val="003409BF"/>
    <w:rsid w:val="00340A8E"/>
    <w:rsid w:val="00340BA3"/>
    <w:rsid w:val="00340BAF"/>
    <w:rsid w:val="00340C2B"/>
    <w:rsid w:val="00340C33"/>
    <w:rsid w:val="00340C48"/>
    <w:rsid w:val="00340CA7"/>
    <w:rsid w:val="00340DD3"/>
    <w:rsid w:val="00340E13"/>
    <w:rsid w:val="00340F9A"/>
    <w:rsid w:val="00341018"/>
    <w:rsid w:val="0034128A"/>
    <w:rsid w:val="00341A8C"/>
    <w:rsid w:val="00342017"/>
    <w:rsid w:val="003420D9"/>
    <w:rsid w:val="003421F1"/>
    <w:rsid w:val="003423E0"/>
    <w:rsid w:val="00342467"/>
    <w:rsid w:val="0034246C"/>
    <w:rsid w:val="00342590"/>
    <w:rsid w:val="00342A6F"/>
    <w:rsid w:val="00342DF3"/>
    <w:rsid w:val="0034301A"/>
    <w:rsid w:val="0034320A"/>
    <w:rsid w:val="0034347C"/>
    <w:rsid w:val="003438E6"/>
    <w:rsid w:val="00343AEE"/>
    <w:rsid w:val="00343D76"/>
    <w:rsid w:val="00344735"/>
    <w:rsid w:val="003449B6"/>
    <w:rsid w:val="00344AE5"/>
    <w:rsid w:val="00344DFD"/>
    <w:rsid w:val="00344FB2"/>
    <w:rsid w:val="003451D3"/>
    <w:rsid w:val="003452F0"/>
    <w:rsid w:val="003453C8"/>
    <w:rsid w:val="0034552B"/>
    <w:rsid w:val="00345722"/>
    <w:rsid w:val="00345AE0"/>
    <w:rsid w:val="00345D97"/>
    <w:rsid w:val="00345D9A"/>
    <w:rsid w:val="00345EFC"/>
    <w:rsid w:val="00345F14"/>
    <w:rsid w:val="00345FB1"/>
    <w:rsid w:val="00345FC9"/>
    <w:rsid w:val="003462B4"/>
    <w:rsid w:val="003463F8"/>
    <w:rsid w:val="00346631"/>
    <w:rsid w:val="00346854"/>
    <w:rsid w:val="00346AAD"/>
    <w:rsid w:val="00346D96"/>
    <w:rsid w:val="00346E81"/>
    <w:rsid w:val="003472DE"/>
    <w:rsid w:val="0034736A"/>
    <w:rsid w:val="0034747C"/>
    <w:rsid w:val="00347740"/>
    <w:rsid w:val="0034788A"/>
    <w:rsid w:val="00347B6C"/>
    <w:rsid w:val="0034FF71"/>
    <w:rsid w:val="003500AB"/>
    <w:rsid w:val="003500C5"/>
    <w:rsid w:val="00350116"/>
    <w:rsid w:val="00350653"/>
    <w:rsid w:val="00350881"/>
    <w:rsid w:val="00350A87"/>
    <w:rsid w:val="00350D95"/>
    <w:rsid w:val="0035105B"/>
    <w:rsid w:val="0035140B"/>
    <w:rsid w:val="003514C9"/>
    <w:rsid w:val="0035151C"/>
    <w:rsid w:val="00351750"/>
    <w:rsid w:val="00351EEB"/>
    <w:rsid w:val="0035204F"/>
    <w:rsid w:val="0035205F"/>
    <w:rsid w:val="0035222B"/>
    <w:rsid w:val="00352254"/>
    <w:rsid w:val="003522A3"/>
    <w:rsid w:val="0035261D"/>
    <w:rsid w:val="0035282A"/>
    <w:rsid w:val="00352930"/>
    <w:rsid w:val="00352E86"/>
    <w:rsid w:val="00353087"/>
    <w:rsid w:val="003537C7"/>
    <w:rsid w:val="0035386C"/>
    <w:rsid w:val="0035388A"/>
    <w:rsid w:val="00353929"/>
    <w:rsid w:val="0035399C"/>
    <w:rsid w:val="00353F9E"/>
    <w:rsid w:val="003540D1"/>
    <w:rsid w:val="00354325"/>
    <w:rsid w:val="0035451A"/>
    <w:rsid w:val="003545BF"/>
    <w:rsid w:val="003547F9"/>
    <w:rsid w:val="00354AF2"/>
    <w:rsid w:val="00354BC8"/>
    <w:rsid w:val="00354CDE"/>
    <w:rsid w:val="0035527A"/>
    <w:rsid w:val="003552D5"/>
    <w:rsid w:val="0035544D"/>
    <w:rsid w:val="0035586A"/>
    <w:rsid w:val="00355B16"/>
    <w:rsid w:val="00355CE6"/>
    <w:rsid w:val="00355D00"/>
    <w:rsid w:val="0035611A"/>
    <w:rsid w:val="003562A4"/>
    <w:rsid w:val="00356B34"/>
    <w:rsid w:val="00356C3D"/>
    <w:rsid w:val="00356C52"/>
    <w:rsid w:val="00356D86"/>
    <w:rsid w:val="00356F23"/>
    <w:rsid w:val="00357012"/>
    <w:rsid w:val="0035738D"/>
    <w:rsid w:val="003574F2"/>
    <w:rsid w:val="00357926"/>
    <w:rsid w:val="003579E3"/>
    <w:rsid w:val="00357A3E"/>
    <w:rsid w:val="00357F0D"/>
    <w:rsid w:val="00360326"/>
    <w:rsid w:val="003609F8"/>
    <w:rsid w:val="00360B75"/>
    <w:rsid w:val="00360B96"/>
    <w:rsid w:val="00360E64"/>
    <w:rsid w:val="00361002"/>
    <w:rsid w:val="0036126E"/>
    <w:rsid w:val="00361328"/>
    <w:rsid w:val="0036151C"/>
    <w:rsid w:val="00361666"/>
    <w:rsid w:val="0036182C"/>
    <w:rsid w:val="00361A21"/>
    <w:rsid w:val="00361A9B"/>
    <w:rsid w:val="00361E1D"/>
    <w:rsid w:val="00361F50"/>
    <w:rsid w:val="00362727"/>
    <w:rsid w:val="00362782"/>
    <w:rsid w:val="00362CCF"/>
    <w:rsid w:val="003631DB"/>
    <w:rsid w:val="003632DA"/>
    <w:rsid w:val="003634E1"/>
    <w:rsid w:val="0036364D"/>
    <w:rsid w:val="00363A59"/>
    <w:rsid w:val="00363D81"/>
    <w:rsid w:val="00363FD0"/>
    <w:rsid w:val="003640C5"/>
    <w:rsid w:val="00364524"/>
    <w:rsid w:val="003646A2"/>
    <w:rsid w:val="003646C8"/>
    <w:rsid w:val="003647D6"/>
    <w:rsid w:val="00364892"/>
    <w:rsid w:val="00364E5C"/>
    <w:rsid w:val="00364E9F"/>
    <w:rsid w:val="0036513A"/>
    <w:rsid w:val="00365237"/>
    <w:rsid w:val="0036559C"/>
    <w:rsid w:val="0036564F"/>
    <w:rsid w:val="00365684"/>
    <w:rsid w:val="00365793"/>
    <w:rsid w:val="0036587E"/>
    <w:rsid w:val="00365F67"/>
    <w:rsid w:val="00365FFE"/>
    <w:rsid w:val="00366055"/>
    <w:rsid w:val="003660CD"/>
    <w:rsid w:val="003666A9"/>
    <w:rsid w:val="00366B08"/>
    <w:rsid w:val="00366E50"/>
    <w:rsid w:val="0036732A"/>
    <w:rsid w:val="00367434"/>
    <w:rsid w:val="00367496"/>
    <w:rsid w:val="003674CE"/>
    <w:rsid w:val="003678BE"/>
    <w:rsid w:val="00367D7D"/>
    <w:rsid w:val="00367E5F"/>
    <w:rsid w:val="003700F8"/>
    <w:rsid w:val="00370949"/>
    <w:rsid w:val="00370982"/>
    <w:rsid w:val="0037144A"/>
    <w:rsid w:val="003715B8"/>
    <w:rsid w:val="003715F2"/>
    <w:rsid w:val="003716E8"/>
    <w:rsid w:val="00371807"/>
    <w:rsid w:val="00371C4A"/>
    <w:rsid w:val="00371F16"/>
    <w:rsid w:val="00371F47"/>
    <w:rsid w:val="003720F8"/>
    <w:rsid w:val="0037243B"/>
    <w:rsid w:val="0037251C"/>
    <w:rsid w:val="00372624"/>
    <w:rsid w:val="0037272C"/>
    <w:rsid w:val="0037279E"/>
    <w:rsid w:val="00372951"/>
    <w:rsid w:val="00372B9A"/>
    <w:rsid w:val="00372D12"/>
    <w:rsid w:val="00372E4C"/>
    <w:rsid w:val="003731BF"/>
    <w:rsid w:val="00373367"/>
    <w:rsid w:val="00373B9F"/>
    <w:rsid w:val="00373F98"/>
    <w:rsid w:val="00374107"/>
    <w:rsid w:val="0037418F"/>
    <w:rsid w:val="00374204"/>
    <w:rsid w:val="00374547"/>
    <w:rsid w:val="0037463F"/>
    <w:rsid w:val="0037476A"/>
    <w:rsid w:val="003747B7"/>
    <w:rsid w:val="003748A9"/>
    <w:rsid w:val="00374C18"/>
    <w:rsid w:val="00374F19"/>
    <w:rsid w:val="00375287"/>
    <w:rsid w:val="00375791"/>
    <w:rsid w:val="00375826"/>
    <w:rsid w:val="003758A8"/>
    <w:rsid w:val="00375969"/>
    <w:rsid w:val="00375994"/>
    <w:rsid w:val="00375C59"/>
    <w:rsid w:val="00375CE1"/>
    <w:rsid w:val="00375D1B"/>
    <w:rsid w:val="00375E05"/>
    <w:rsid w:val="00375E45"/>
    <w:rsid w:val="0037602E"/>
    <w:rsid w:val="00376181"/>
    <w:rsid w:val="00376338"/>
    <w:rsid w:val="00376457"/>
    <w:rsid w:val="003764C1"/>
    <w:rsid w:val="003766BC"/>
    <w:rsid w:val="003768AA"/>
    <w:rsid w:val="00376BB7"/>
    <w:rsid w:val="00376C5F"/>
    <w:rsid w:val="00376D2C"/>
    <w:rsid w:val="00376D62"/>
    <w:rsid w:val="00376EEE"/>
    <w:rsid w:val="00376F35"/>
    <w:rsid w:val="003770B2"/>
    <w:rsid w:val="003770EB"/>
    <w:rsid w:val="00377436"/>
    <w:rsid w:val="0037783D"/>
    <w:rsid w:val="00377A20"/>
    <w:rsid w:val="00377B31"/>
    <w:rsid w:val="00377BA1"/>
    <w:rsid w:val="00377CE3"/>
    <w:rsid w:val="00377FF0"/>
    <w:rsid w:val="0038016E"/>
    <w:rsid w:val="00380616"/>
    <w:rsid w:val="00380814"/>
    <w:rsid w:val="00380A33"/>
    <w:rsid w:val="00380A49"/>
    <w:rsid w:val="00380E86"/>
    <w:rsid w:val="00380F2E"/>
    <w:rsid w:val="00380F5D"/>
    <w:rsid w:val="00380F8E"/>
    <w:rsid w:val="00381022"/>
    <w:rsid w:val="0038137B"/>
    <w:rsid w:val="003814B8"/>
    <w:rsid w:val="003816D7"/>
    <w:rsid w:val="00381864"/>
    <w:rsid w:val="003818D3"/>
    <w:rsid w:val="00381BA6"/>
    <w:rsid w:val="00381D07"/>
    <w:rsid w:val="00381F0A"/>
    <w:rsid w:val="003822DE"/>
    <w:rsid w:val="00382387"/>
    <w:rsid w:val="003823C8"/>
    <w:rsid w:val="00382403"/>
    <w:rsid w:val="0038268A"/>
    <w:rsid w:val="00382909"/>
    <w:rsid w:val="00382990"/>
    <w:rsid w:val="00382D3F"/>
    <w:rsid w:val="00382EE1"/>
    <w:rsid w:val="003837D3"/>
    <w:rsid w:val="00383A23"/>
    <w:rsid w:val="00383B3A"/>
    <w:rsid w:val="00383B98"/>
    <w:rsid w:val="0038414E"/>
    <w:rsid w:val="00384258"/>
    <w:rsid w:val="00384469"/>
    <w:rsid w:val="003848AB"/>
    <w:rsid w:val="00385131"/>
    <w:rsid w:val="00385254"/>
    <w:rsid w:val="003856A2"/>
    <w:rsid w:val="00385707"/>
    <w:rsid w:val="00385840"/>
    <w:rsid w:val="00385983"/>
    <w:rsid w:val="00385A13"/>
    <w:rsid w:val="00385CAC"/>
    <w:rsid w:val="00385F4E"/>
    <w:rsid w:val="0038620B"/>
    <w:rsid w:val="00386319"/>
    <w:rsid w:val="003863A3"/>
    <w:rsid w:val="003864E4"/>
    <w:rsid w:val="0038663F"/>
    <w:rsid w:val="00386BD8"/>
    <w:rsid w:val="003873A9"/>
    <w:rsid w:val="00387610"/>
    <w:rsid w:val="00387647"/>
    <w:rsid w:val="003876A7"/>
    <w:rsid w:val="0038790B"/>
    <w:rsid w:val="0038791A"/>
    <w:rsid w:val="00387959"/>
    <w:rsid w:val="00390056"/>
    <w:rsid w:val="00390477"/>
    <w:rsid w:val="0039055C"/>
    <w:rsid w:val="00390718"/>
    <w:rsid w:val="00390767"/>
    <w:rsid w:val="0039083E"/>
    <w:rsid w:val="00390883"/>
    <w:rsid w:val="00390888"/>
    <w:rsid w:val="00390BCA"/>
    <w:rsid w:val="00390EF4"/>
    <w:rsid w:val="00390F27"/>
    <w:rsid w:val="00390FAA"/>
    <w:rsid w:val="0039103A"/>
    <w:rsid w:val="0039118F"/>
    <w:rsid w:val="00391470"/>
    <w:rsid w:val="0039194C"/>
    <w:rsid w:val="00391C2A"/>
    <w:rsid w:val="00391CF9"/>
    <w:rsid w:val="00391ECD"/>
    <w:rsid w:val="003920C4"/>
    <w:rsid w:val="00392184"/>
    <w:rsid w:val="00392334"/>
    <w:rsid w:val="00392652"/>
    <w:rsid w:val="0039265E"/>
    <w:rsid w:val="00392A63"/>
    <w:rsid w:val="00392B41"/>
    <w:rsid w:val="0039303B"/>
    <w:rsid w:val="0039356F"/>
    <w:rsid w:val="003935C3"/>
    <w:rsid w:val="00393819"/>
    <w:rsid w:val="00393DD0"/>
    <w:rsid w:val="00393E5D"/>
    <w:rsid w:val="0039456F"/>
    <w:rsid w:val="003945C8"/>
    <w:rsid w:val="00394610"/>
    <w:rsid w:val="003947C4"/>
    <w:rsid w:val="0039480D"/>
    <w:rsid w:val="0039493B"/>
    <w:rsid w:val="00394DAA"/>
    <w:rsid w:val="00394EEA"/>
    <w:rsid w:val="003950D8"/>
    <w:rsid w:val="00395446"/>
    <w:rsid w:val="003955C6"/>
    <w:rsid w:val="00395C95"/>
    <w:rsid w:val="003963D9"/>
    <w:rsid w:val="00396700"/>
    <w:rsid w:val="00396725"/>
    <w:rsid w:val="00396781"/>
    <w:rsid w:val="00396857"/>
    <w:rsid w:val="00397094"/>
    <w:rsid w:val="00397292"/>
    <w:rsid w:val="0039734E"/>
    <w:rsid w:val="00397A28"/>
    <w:rsid w:val="00397C82"/>
    <w:rsid w:val="00397E4F"/>
    <w:rsid w:val="00397E94"/>
    <w:rsid w:val="00397EBE"/>
    <w:rsid w:val="00397F05"/>
    <w:rsid w:val="003A0011"/>
    <w:rsid w:val="003A004F"/>
    <w:rsid w:val="003A00A4"/>
    <w:rsid w:val="003A0238"/>
    <w:rsid w:val="003A0442"/>
    <w:rsid w:val="003A0878"/>
    <w:rsid w:val="003A0899"/>
    <w:rsid w:val="003A0BDE"/>
    <w:rsid w:val="003A0DCF"/>
    <w:rsid w:val="003A0F0C"/>
    <w:rsid w:val="003A101E"/>
    <w:rsid w:val="003A1092"/>
    <w:rsid w:val="003A10D3"/>
    <w:rsid w:val="003A1512"/>
    <w:rsid w:val="003A1CF2"/>
    <w:rsid w:val="003A1E7C"/>
    <w:rsid w:val="003A1EB7"/>
    <w:rsid w:val="003A1F32"/>
    <w:rsid w:val="003A1FE8"/>
    <w:rsid w:val="003A2129"/>
    <w:rsid w:val="003A23F3"/>
    <w:rsid w:val="003A27A0"/>
    <w:rsid w:val="003A28A3"/>
    <w:rsid w:val="003A299A"/>
    <w:rsid w:val="003A2C6F"/>
    <w:rsid w:val="003A2D82"/>
    <w:rsid w:val="003A2F75"/>
    <w:rsid w:val="003A337C"/>
    <w:rsid w:val="003A3596"/>
    <w:rsid w:val="003A36DA"/>
    <w:rsid w:val="003A36FF"/>
    <w:rsid w:val="003A38F1"/>
    <w:rsid w:val="003A3ADC"/>
    <w:rsid w:val="003A3C05"/>
    <w:rsid w:val="003A3D1B"/>
    <w:rsid w:val="003A3EE1"/>
    <w:rsid w:val="003A3F39"/>
    <w:rsid w:val="003A4162"/>
    <w:rsid w:val="003A4296"/>
    <w:rsid w:val="003A4310"/>
    <w:rsid w:val="003A4549"/>
    <w:rsid w:val="003A468C"/>
    <w:rsid w:val="003A49B3"/>
    <w:rsid w:val="003A4A1C"/>
    <w:rsid w:val="003A4ED0"/>
    <w:rsid w:val="003A5025"/>
    <w:rsid w:val="003A535C"/>
    <w:rsid w:val="003A54DF"/>
    <w:rsid w:val="003A55B4"/>
    <w:rsid w:val="003A565E"/>
    <w:rsid w:val="003A5964"/>
    <w:rsid w:val="003A59BA"/>
    <w:rsid w:val="003A5B2D"/>
    <w:rsid w:val="003A5B93"/>
    <w:rsid w:val="003A5BB6"/>
    <w:rsid w:val="003A61B6"/>
    <w:rsid w:val="003A623F"/>
    <w:rsid w:val="003A6516"/>
    <w:rsid w:val="003A65C5"/>
    <w:rsid w:val="003A674E"/>
    <w:rsid w:val="003A69AD"/>
    <w:rsid w:val="003A6AE4"/>
    <w:rsid w:val="003A6D7A"/>
    <w:rsid w:val="003A6E88"/>
    <w:rsid w:val="003A6EFD"/>
    <w:rsid w:val="003A71AD"/>
    <w:rsid w:val="003A7347"/>
    <w:rsid w:val="003A7671"/>
    <w:rsid w:val="003A780C"/>
    <w:rsid w:val="003A78BF"/>
    <w:rsid w:val="003A7B65"/>
    <w:rsid w:val="003A7D1D"/>
    <w:rsid w:val="003A7F5F"/>
    <w:rsid w:val="003B0075"/>
    <w:rsid w:val="003B01B4"/>
    <w:rsid w:val="003B02D6"/>
    <w:rsid w:val="003B0498"/>
    <w:rsid w:val="003B0889"/>
    <w:rsid w:val="003B115D"/>
    <w:rsid w:val="003B1276"/>
    <w:rsid w:val="003B1366"/>
    <w:rsid w:val="003B13FD"/>
    <w:rsid w:val="003B1671"/>
    <w:rsid w:val="003B1688"/>
    <w:rsid w:val="003B17F2"/>
    <w:rsid w:val="003B1FA4"/>
    <w:rsid w:val="003B1FE6"/>
    <w:rsid w:val="003B21C9"/>
    <w:rsid w:val="003B236D"/>
    <w:rsid w:val="003B23C5"/>
    <w:rsid w:val="003B27A7"/>
    <w:rsid w:val="003B2B9A"/>
    <w:rsid w:val="003B2D15"/>
    <w:rsid w:val="003B2FC3"/>
    <w:rsid w:val="003B3106"/>
    <w:rsid w:val="003B3126"/>
    <w:rsid w:val="003B3518"/>
    <w:rsid w:val="003B35E0"/>
    <w:rsid w:val="003B3974"/>
    <w:rsid w:val="003B39E0"/>
    <w:rsid w:val="003B3B83"/>
    <w:rsid w:val="003B3B9A"/>
    <w:rsid w:val="003B3DAB"/>
    <w:rsid w:val="003B404D"/>
    <w:rsid w:val="003B4269"/>
    <w:rsid w:val="003B4583"/>
    <w:rsid w:val="003B46D8"/>
    <w:rsid w:val="003B4ADF"/>
    <w:rsid w:val="003B4B34"/>
    <w:rsid w:val="003B4BE8"/>
    <w:rsid w:val="003B4CDA"/>
    <w:rsid w:val="003B4F2D"/>
    <w:rsid w:val="003B5127"/>
    <w:rsid w:val="003B5469"/>
    <w:rsid w:val="003B5906"/>
    <w:rsid w:val="003B5BD9"/>
    <w:rsid w:val="003B5BE6"/>
    <w:rsid w:val="003B5C02"/>
    <w:rsid w:val="003B5CEB"/>
    <w:rsid w:val="003B5D5A"/>
    <w:rsid w:val="003B5E00"/>
    <w:rsid w:val="003B5F4A"/>
    <w:rsid w:val="003B5F6D"/>
    <w:rsid w:val="003B63CD"/>
    <w:rsid w:val="003B64A3"/>
    <w:rsid w:val="003B66CE"/>
    <w:rsid w:val="003B6C4C"/>
    <w:rsid w:val="003B6DB8"/>
    <w:rsid w:val="003B6FAB"/>
    <w:rsid w:val="003B7105"/>
    <w:rsid w:val="003B72B9"/>
    <w:rsid w:val="003B74E1"/>
    <w:rsid w:val="003B7848"/>
    <w:rsid w:val="003B7CC0"/>
    <w:rsid w:val="003C0310"/>
    <w:rsid w:val="003C063B"/>
    <w:rsid w:val="003C07CB"/>
    <w:rsid w:val="003C07FB"/>
    <w:rsid w:val="003C0887"/>
    <w:rsid w:val="003C08AF"/>
    <w:rsid w:val="003C0FA1"/>
    <w:rsid w:val="003C1046"/>
    <w:rsid w:val="003C1713"/>
    <w:rsid w:val="003C1789"/>
    <w:rsid w:val="003C1856"/>
    <w:rsid w:val="003C1A96"/>
    <w:rsid w:val="003C1BE3"/>
    <w:rsid w:val="003C1E68"/>
    <w:rsid w:val="003C1ED8"/>
    <w:rsid w:val="003C2194"/>
    <w:rsid w:val="003C23F7"/>
    <w:rsid w:val="003C25A3"/>
    <w:rsid w:val="003C2708"/>
    <w:rsid w:val="003C2744"/>
    <w:rsid w:val="003C2B28"/>
    <w:rsid w:val="003C2B98"/>
    <w:rsid w:val="003C2CBD"/>
    <w:rsid w:val="003C2DDF"/>
    <w:rsid w:val="003C2EDD"/>
    <w:rsid w:val="003C3220"/>
    <w:rsid w:val="003C3A14"/>
    <w:rsid w:val="003C3A47"/>
    <w:rsid w:val="003C3A79"/>
    <w:rsid w:val="003C3EB8"/>
    <w:rsid w:val="003C400F"/>
    <w:rsid w:val="003C4390"/>
    <w:rsid w:val="003C4662"/>
    <w:rsid w:val="003C48F2"/>
    <w:rsid w:val="003C5177"/>
    <w:rsid w:val="003C5214"/>
    <w:rsid w:val="003C5295"/>
    <w:rsid w:val="003C52B0"/>
    <w:rsid w:val="003C56C1"/>
    <w:rsid w:val="003C57B9"/>
    <w:rsid w:val="003C5911"/>
    <w:rsid w:val="003C5AF1"/>
    <w:rsid w:val="003C5CDB"/>
    <w:rsid w:val="003C5CEF"/>
    <w:rsid w:val="003C5D9D"/>
    <w:rsid w:val="003C5E0D"/>
    <w:rsid w:val="003C5E92"/>
    <w:rsid w:val="003C5EDC"/>
    <w:rsid w:val="003C638C"/>
    <w:rsid w:val="003C6423"/>
    <w:rsid w:val="003C6465"/>
    <w:rsid w:val="003C65E4"/>
    <w:rsid w:val="003C6BE0"/>
    <w:rsid w:val="003C6F47"/>
    <w:rsid w:val="003C70D4"/>
    <w:rsid w:val="003C724A"/>
    <w:rsid w:val="003C7443"/>
    <w:rsid w:val="003C757D"/>
    <w:rsid w:val="003C759A"/>
    <w:rsid w:val="003C76F3"/>
    <w:rsid w:val="003C7712"/>
    <w:rsid w:val="003C7831"/>
    <w:rsid w:val="003C7862"/>
    <w:rsid w:val="003C7A55"/>
    <w:rsid w:val="003C7BFF"/>
    <w:rsid w:val="003C7D67"/>
    <w:rsid w:val="003C7D8D"/>
    <w:rsid w:val="003C7ECD"/>
    <w:rsid w:val="003D0079"/>
    <w:rsid w:val="003D007D"/>
    <w:rsid w:val="003D01A1"/>
    <w:rsid w:val="003D03BD"/>
    <w:rsid w:val="003D04D6"/>
    <w:rsid w:val="003D04F6"/>
    <w:rsid w:val="003D08B9"/>
    <w:rsid w:val="003D0E36"/>
    <w:rsid w:val="003D10DA"/>
    <w:rsid w:val="003D15E5"/>
    <w:rsid w:val="003D1674"/>
    <w:rsid w:val="003D18CC"/>
    <w:rsid w:val="003D1A58"/>
    <w:rsid w:val="003D1A9F"/>
    <w:rsid w:val="003D1AE4"/>
    <w:rsid w:val="003D1B64"/>
    <w:rsid w:val="003D1D33"/>
    <w:rsid w:val="003D2607"/>
    <w:rsid w:val="003D2879"/>
    <w:rsid w:val="003D28D2"/>
    <w:rsid w:val="003D2A11"/>
    <w:rsid w:val="003D3007"/>
    <w:rsid w:val="003D3209"/>
    <w:rsid w:val="003D3259"/>
    <w:rsid w:val="003D33C3"/>
    <w:rsid w:val="003D3583"/>
    <w:rsid w:val="003D3729"/>
    <w:rsid w:val="003D391E"/>
    <w:rsid w:val="003D3B6F"/>
    <w:rsid w:val="003D3B9E"/>
    <w:rsid w:val="003D409D"/>
    <w:rsid w:val="003D40E8"/>
    <w:rsid w:val="003D414E"/>
    <w:rsid w:val="003D455E"/>
    <w:rsid w:val="003D45D1"/>
    <w:rsid w:val="003D5438"/>
    <w:rsid w:val="003D5744"/>
    <w:rsid w:val="003D5785"/>
    <w:rsid w:val="003D5A2D"/>
    <w:rsid w:val="003D5A9D"/>
    <w:rsid w:val="003D5CB9"/>
    <w:rsid w:val="003D5D81"/>
    <w:rsid w:val="003D6060"/>
    <w:rsid w:val="003D62C0"/>
    <w:rsid w:val="003D63A7"/>
    <w:rsid w:val="003D63F1"/>
    <w:rsid w:val="003D65F6"/>
    <w:rsid w:val="003D6911"/>
    <w:rsid w:val="003D6A2A"/>
    <w:rsid w:val="003D6B38"/>
    <w:rsid w:val="003D6E84"/>
    <w:rsid w:val="003D74CC"/>
    <w:rsid w:val="003D7518"/>
    <w:rsid w:val="003D7D31"/>
    <w:rsid w:val="003D7E4B"/>
    <w:rsid w:val="003E0035"/>
    <w:rsid w:val="003E0077"/>
    <w:rsid w:val="003E0307"/>
    <w:rsid w:val="003E0B62"/>
    <w:rsid w:val="003E0C14"/>
    <w:rsid w:val="003E0D6F"/>
    <w:rsid w:val="003E0FF3"/>
    <w:rsid w:val="003E0FFD"/>
    <w:rsid w:val="003E141C"/>
    <w:rsid w:val="003E1591"/>
    <w:rsid w:val="003E1714"/>
    <w:rsid w:val="003E17EC"/>
    <w:rsid w:val="003E1836"/>
    <w:rsid w:val="003E1ACF"/>
    <w:rsid w:val="003E1B13"/>
    <w:rsid w:val="003E1E1E"/>
    <w:rsid w:val="003E1ED3"/>
    <w:rsid w:val="003E216C"/>
    <w:rsid w:val="003E2354"/>
    <w:rsid w:val="003E236E"/>
    <w:rsid w:val="003E23B0"/>
    <w:rsid w:val="003E259D"/>
    <w:rsid w:val="003E26BA"/>
    <w:rsid w:val="003E273D"/>
    <w:rsid w:val="003E2906"/>
    <w:rsid w:val="003E2913"/>
    <w:rsid w:val="003E2969"/>
    <w:rsid w:val="003E2BB8"/>
    <w:rsid w:val="003E2BC5"/>
    <w:rsid w:val="003E2C1A"/>
    <w:rsid w:val="003E307A"/>
    <w:rsid w:val="003E330F"/>
    <w:rsid w:val="003E333E"/>
    <w:rsid w:val="003E3478"/>
    <w:rsid w:val="003E38BD"/>
    <w:rsid w:val="003E3E96"/>
    <w:rsid w:val="003E3F3B"/>
    <w:rsid w:val="003E4005"/>
    <w:rsid w:val="003E44D1"/>
    <w:rsid w:val="003E4724"/>
    <w:rsid w:val="003E4839"/>
    <w:rsid w:val="003E48FA"/>
    <w:rsid w:val="003E4D68"/>
    <w:rsid w:val="003E4E74"/>
    <w:rsid w:val="003E4EEA"/>
    <w:rsid w:val="003E4FAB"/>
    <w:rsid w:val="003E4FD7"/>
    <w:rsid w:val="003E4FFA"/>
    <w:rsid w:val="003E549B"/>
    <w:rsid w:val="003E54D5"/>
    <w:rsid w:val="003E57A5"/>
    <w:rsid w:val="003E5EA1"/>
    <w:rsid w:val="003E5F7D"/>
    <w:rsid w:val="003E600E"/>
    <w:rsid w:val="003E612B"/>
    <w:rsid w:val="003E623D"/>
    <w:rsid w:val="003E64C8"/>
    <w:rsid w:val="003E6520"/>
    <w:rsid w:val="003E6689"/>
    <w:rsid w:val="003E6711"/>
    <w:rsid w:val="003E67E7"/>
    <w:rsid w:val="003E6859"/>
    <w:rsid w:val="003E6B3C"/>
    <w:rsid w:val="003E6B95"/>
    <w:rsid w:val="003E6D9D"/>
    <w:rsid w:val="003E70DC"/>
    <w:rsid w:val="003E70FF"/>
    <w:rsid w:val="003E73AA"/>
    <w:rsid w:val="003E7AEC"/>
    <w:rsid w:val="003E7C11"/>
    <w:rsid w:val="003E7E7D"/>
    <w:rsid w:val="003E7F1B"/>
    <w:rsid w:val="003E7F6B"/>
    <w:rsid w:val="003F01E4"/>
    <w:rsid w:val="003F04D1"/>
    <w:rsid w:val="003F0557"/>
    <w:rsid w:val="003F07A7"/>
    <w:rsid w:val="003F08DD"/>
    <w:rsid w:val="003F091D"/>
    <w:rsid w:val="003F0A1A"/>
    <w:rsid w:val="003F0B41"/>
    <w:rsid w:val="003F0ED7"/>
    <w:rsid w:val="003F102D"/>
    <w:rsid w:val="003F1347"/>
    <w:rsid w:val="003F151E"/>
    <w:rsid w:val="003F195D"/>
    <w:rsid w:val="003F1AA7"/>
    <w:rsid w:val="003F1C2C"/>
    <w:rsid w:val="003F1E39"/>
    <w:rsid w:val="003F1FC9"/>
    <w:rsid w:val="003F205D"/>
    <w:rsid w:val="003F229D"/>
    <w:rsid w:val="003F25F0"/>
    <w:rsid w:val="003F2B24"/>
    <w:rsid w:val="003F2C5E"/>
    <w:rsid w:val="003F2C79"/>
    <w:rsid w:val="003F2D5B"/>
    <w:rsid w:val="003F2D7C"/>
    <w:rsid w:val="003F3259"/>
    <w:rsid w:val="003F32A6"/>
    <w:rsid w:val="003F3E83"/>
    <w:rsid w:val="003F429A"/>
    <w:rsid w:val="003F447A"/>
    <w:rsid w:val="003F44C1"/>
    <w:rsid w:val="003F49E5"/>
    <w:rsid w:val="003F4E0F"/>
    <w:rsid w:val="003F4F4A"/>
    <w:rsid w:val="003F4F97"/>
    <w:rsid w:val="003F4FC8"/>
    <w:rsid w:val="003F57B3"/>
    <w:rsid w:val="003F57EF"/>
    <w:rsid w:val="003F589C"/>
    <w:rsid w:val="003F5AD2"/>
    <w:rsid w:val="003F5CA4"/>
    <w:rsid w:val="003F5D3B"/>
    <w:rsid w:val="003F5DFC"/>
    <w:rsid w:val="003F60F9"/>
    <w:rsid w:val="003F65E6"/>
    <w:rsid w:val="003F6797"/>
    <w:rsid w:val="003F6828"/>
    <w:rsid w:val="003F68A2"/>
    <w:rsid w:val="003F6B53"/>
    <w:rsid w:val="003F6B80"/>
    <w:rsid w:val="003F6D50"/>
    <w:rsid w:val="003F6DFB"/>
    <w:rsid w:val="003F7006"/>
    <w:rsid w:val="003F7237"/>
    <w:rsid w:val="003F7507"/>
    <w:rsid w:val="003F7C72"/>
    <w:rsid w:val="003F7CA3"/>
    <w:rsid w:val="003F7D10"/>
    <w:rsid w:val="00400060"/>
    <w:rsid w:val="0040006A"/>
    <w:rsid w:val="004000FC"/>
    <w:rsid w:val="0040021A"/>
    <w:rsid w:val="0040041D"/>
    <w:rsid w:val="00400683"/>
    <w:rsid w:val="00400BCB"/>
    <w:rsid w:val="00400D3C"/>
    <w:rsid w:val="00401000"/>
    <w:rsid w:val="004011EB"/>
    <w:rsid w:val="00401559"/>
    <w:rsid w:val="004015C7"/>
    <w:rsid w:val="004016C6"/>
    <w:rsid w:val="0040179A"/>
    <w:rsid w:val="00401856"/>
    <w:rsid w:val="004018A0"/>
    <w:rsid w:val="00401A99"/>
    <w:rsid w:val="00401ABF"/>
    <w:rsid w:val="00401B53"/>
    <w:rsid w:val="00401CEA"/>
    <w:rsid w:val="00401D9B"/>
    <w:rsid w:val="00401E16"/>
    <w:rsid w:val="004026D8"/>
    <w:rsid w:val="004028A2"/>
    <w:rsid w:val="00402FEB"/>
    <w:rsid w:val="0040317D"/>
    <w:rsid w:val="00403344"/>
    <w:rsid w:val="004033BA"/>
    <w:rsid w:val="004037D4"/>
    <w:rsid w:val="00403B96"/>
    <w:rsid w:val="00403C82"/>
    <w:rsid w:val="00403E75"/>
    <w:rsid w:val="004043F8"/>
    <w:rsid w:val="00404486"/>
    <w:rsid w:val="004044D7"/>
    <w:rsid w:val="0040457E"/>
    <w:rsid w:val="00404715"/>
    <w:rsid w:val="00404900"/>
    <w:rsid w:val="0040493F"/>
    <w:rsid w:val="00404AB5"/>
    <w:rsid w:val="00404C14"/>
    <w:rsid w:val="00404C44"/>
    <w:rsid w:val="00404D45"/>
    <w:rsid w:val="00404EE8"/>
    <w:rsid w:val="0040510D"/>
    <w:rsid w:val="0040512D"/>
    <w:rsid w:val="00405261"/>
    <w:rsid w:val="00405606"/>
    <w:rsid w:val="0040564C"/>
    <w:rsid w:val="004057EE"/>
    <w:rsid w:val="0040580D"/>
    <w:rsid w:val="004058D3"/>
    <w:rsid w:val="0040599F"/>
    <w:rsid w:val="00405B35"/>
    <w:rsid w:val="00406004"/>
    <w:rsid w:val="0040602F"/>
    <w:rsid w:val="0040612C"/>
    <w:rsid w:val="00406476"/>
    <w:rsid w:val="004064C6"/>
    <w:rsid w:val="00406AFB"/>
    <w:rsid w:val="00407206"/>
    <w:rsid w:val="00407382"/>
    <w:rsid w:val="004073CF"/>
    <w:rsid w:val="004073D5"/>
    <w:rsid w:val="004073EF"/>
    <w:rsid w:val="004078C1"/>
    <w:rsid w:val="0040791B"/>
    <w:rsid w:val="00407930"/>
    <w:rsid w:val="00407985"/>
    <w:rsid w:val="00407CE7"/>
    <w:rsid w:val="004107B6"/>
    <w:rsid w:val="00410C41"/>
    <w:rsid w:val="00410F2A"/>
    <w:rsid w:val="00410FA0"/>
    <w:rsid w:val="0041106E"/>
    <w:rsid w:val="00411115"/>
    <w:rsid w:val="0041137E"/>
    <w:rsid w:val="004116DD"/>
    <w:rsid w:val="00411958"/>
    <w:rsid w:val="00411B2A"/>
    <w:rsid w:val="00411BA1"/>
    <w:rsid w:val="00411C04"/>
    <w:rsid w:val="00411E70"/>
    <w:rsid w:val="00411F52"/>
    <w:rsid w:val="00412047"/>
    <w:rsid w:val="0041212A"/>
    <w:rsid w:val="004128C3"/>
    <w:rsid w:val="00412973"/>
    <w:rsid w:val="00412A25"/>
    <w:rsid w:val="00412D42"/>
    <w:rsid w:val="00412DA4"/>
    <w:rsid w:val="00412EB6"/>
    <w:rsid w:val="00412F4F"/>
    <w:rsid w:val="00412F65"/>
    <w:rsid w:val="004130B8"/>
    <w:rsid w:val="00413164"/>
    <w:rsid w:val="00413276"/>
    <w:rsid w:val="004132ED"/>
    <w:rsid w:val="0041351F"/>
    <w:rsid w:val="0041361A"/>
    <w:rsid w:val="004137C8"/>
    <w:rsid w:val="00413BF9"/>
    <w:rsid w:val="00413C25"/>
    <w:rsid w:val="0041480A"/>
    <w:rsid w:val="00415531"/>
    <w:rsid w:val="0041564C"/>
    <w:rsid w:val="00415675"/>
    <w:rsid w:val="00415689"/>
    <w:rsid w:val="00415D0D"/>
    <w:rsid w:val="00415D63"/>
    <w:rsid w:val="00416097"/>
    <w:rsid w:val="00416330"/>
    <w:rsid w:val="00416418"/>
    <w:rsid w:val="004168E5"/>
    <w:rsid w:val="0041735B"/>
    <w:rsid w:val="0041768C"/>
    <w:rsid w:val="004176C7"/>
    <w:rsid w:val="00417877"/>
    <w:rsid w:val="004178AB"/>
    <w:rsid w:val="00417D9F"/>
    <w:rsid w:val="00420229"/>
    <w:rsid w:val="00420253"/>
    <w:rsid w:val="00420B61"/>
    <w:rsid w:val="00420DBA"/>
    <w:rsid w:val="00420EC2"/>
    <w:rsid w:val="00421106"/>
    <w:rsid w:val="00421225"/>
    <w:rsid w:val="00421311"/>
    <w:rsid w:val="0042183C"/>
    <w:rsid w:val="004223BF"/>
    <w:rsid w:val="00422423"/>
    <w:rsid w:val="00422BDE"/>
    <w:rsid w:val="00422E13"/>
    <w:rsid w:val="00422F0C"/>
    <w:rsid w:val="0042309F"/>
    <w:rsid w:val="00423341"/>
    <w:rsid w:val="0042346D"/>
    <w:rsid w:val="0042350F"/>
    <w:rsid w:val="00423599"/>
    <w:rsid w:val="00423637"/>
    <w:rsid w:val="0042384C"/>
    <w:rsid w:val="00423893"/>
    <w:rsid w:val="00423B47"/>
    <w:rsid w:val="00423BC9"/>
    <w:rsid w:val="00423F03"/>
    <w:rsid w:val="00423FB3"/>
    <w:rsid w:val="00423FB5"/>
    <w:rsid w:val="00424227"/>
    <w:rsid w:val="00424458"/>
    <w:rsid w:val="00424A60"/>
    <w:rsid w:val="00424BE5"/>
    <w:rsid w:val="00424FB8"/>
    <w:rsid w:val="004255B4"/>
    <w:rsid w:val="00425A7E"/>
    <w:rsid w:val="00425AF4"/>
    <w:rsid w:val="00425B24"/>
    <w:rsid w:val="00425B86"/>
    <w:rsid w:val="004260A8"/>
    <w:rsid w:val="00426477"/>
    <w:rsid w:val="00426651"/>
    <w:rsid w:val="0042673C"/>
    <w:rsid w:val="0042675D"/>
    <w:rsid w:val="00426766"/>
    <w:rsid w:val="004267D0"/>
    <w:rsid w:val="0042689A"/>
    <w:rsid w:val="00426E1B"/>
    <w:rsid w:val="00427090"/>
    <w:rsid w:val="004270E8"/>
    <w:rsid w:val="00427631"/>
    <w:rsid w:val="00427662"/>
    <w:rsid w:val="004279CA"/>
    <w:rsid w:val="00427A23"/>
    <w:rsid w:val="00427A82"/>
    <w:rsid w:val="00427C06"/>
    <w:rsid w:val="00427C5E"/>
    <w:rsid w:val="00427DD5"/>
    <w:rsid w:val="00427EA2"/>
    <w:rsid w:val="00430115"/>
    <w:rsid w:val="00430372"/>
    <w:rsid w:val="00430590"/>
    <w:rsid w:val="00430A44"/>
    <w:rsid w:val="00430A4B"/>
    <w:rsid w:val="004316BD"/>
    <w:rsid w:val="00431A37"/>
    <w:rsid w:val="00431A96"/>
    <w:rsid w:val="00431C46"/>
    <w:rsid w:val="00431CFD"/>
    <w:rsid w:val="00431E85"/>
    <w:rsid w:val="004320D5"/>
    <w:rsid w:val="004327A3"/>
    <w:rsid w:val="004327E6"/>
    <w:rsid w:val="004329DC"/>
    <w:rsid w:val="00432AC6"/>
    <w:rsid w:val="00432B74"/>
    <w:rsid w:val="0043304A"/>
    <w:rsid w:val="004331E4"/>
    <w:rsid w:val="004334D9"/>
    <w:rsid w:val="00433F9F"/>
    <w:rsid w:val="00434028"/>
    <w:rsid w:val="004340BE"/>
    <w:rsid w:val="00434227"/>
    <w:rsid w:val="00434469"/>
    <w:rsid w:val="00434636"/>
    <w:rsid w:val="0043487E"/>
    <w:rsid w:val="004348C0"/>
    <w:rsid w:val="00434993"/>
    <w:rsid w:val="00434A1A"/>
    <w:rsid w:val="00434A8C"/>
    <w:rsid w:val="00434C5E"/>
    <w:rsid w:val="00434D8A"/>
    <w:rsid w:val="00434DCE"/>
    <w:rsid w:val="0043564C"/>
    <w:rsid w:val="0043566E"/>
    <w:rsid w:val="0043567E"/>
    <w:rsid w:val="00435765"/>
    <w:rsid w:val="004357F0"/>
    <w:rsid w:val="00435A8B"/>
    <w:rsid w:val="00435BAA"/>
    <w:rsid w:val="00435C4F"/>
    <w:rsid w:val="00435C69"/>
    <w:rsid w:val="00435E09"/>
    <w:rsid w:val="00436047"/>
    <w:rsid w:val="004360B6"/>
    <w:rsid w:val="004362E5"/>
    <w:rsid w:val="00436356"/>
    <w:rsid w:val="00436634"/>
    <w:rsid w:val="004366E7"/>
    <w:rsid w:val="00436C6A"/>
    <w:rsid w:val="00436D2E"/>
    <w:rsid w:val="00436D85"/>
    <w:rsid w:val="00437127"/>
    <w:rsid w:val="00437179"/>
    <w:rsid w:val="00437409"/>
    <w:rsid w:val="00437959"/>
    <w:rsid w:val="00440722"/>
    <w:rsid w:val="00440A92"/>
    <w:rsid w:val="00440C4C"/>
    <w:rsid w:val="004411AD"/>
    <w:rsid w:val="00441350"/>
    <w:rsid w:val="00441A02"/>
    <w:rsid w:val="00441A14"/>
    <w:rsid w:val="00441C14"/>
    <w:rsid w:val="00441CFE"/>
    <w:rsid w:val="00441FC1"/>
    <w:rsid w:val="00442006"/>
    <w:rsid w:val="0044249E"/>
    <w:rsid w:val="004425D9"/>
    <w:rsid w:val="0044287F"/>
    <w:rsid w:val="00442D3E"/>
    <w:rsid w:val="00443033"/>
    <w:rsid w:val="00443244"/>
    <w:rsid w:val="00443343"/>
    <w:rsid w:val="00443858"/>
    <w:rsid w:val="004438C3"/>
    <w:rsid w:val="00443979"/>
    <w:rsid w:val="00443A6C"/>
    <w:rsid w:val="00443C6D"/>
    <w:rsid w:val="00443DD1"/>
    <w:rsid w:val="00443E28"/>
    <w:rsid w:val="00444228"/>
    <w:rsid w:val="0044467E"/>
    <w:rsid w:val="00444AF6"/>
    <w:rsid w:val="00444D28"/>
    <w:rsid w:val="00444EDD"/>
    <w:rsid w:val="00445170"/>
    <w:rsid w:val="0044519D"/>
    <w:rsid w:val="00445544"/>
    <w:rsid w:val="00445857"/>
    <w:rsid w:val="00445AC7"/>
    <w:rsid w:val="00445C0B"/>
    <w:rsid w:val="00446195"/>
    <w:rsid w:val="0044620F"/>
    <w:rsid w:val="00446212"/>
    <w:rsid w:val="00446453"/>
    <w:rsid w:val="00446558"/>
    <w:rsid w:val="004475CA"/>
    <w:rsid w:val="004475FD"/>
    <w:rsid w:val="00447854"/>
    <w:rsid w:val="00447A3B"/>
    <w:rsid w:val="00447CD0"/>
    <w:rsid w:val="00447D5E"/>
    <w:rsid w:val="00447E98"/>
    <w:rsid w:val="00447FC2"/>
    <w:rsid w:val="0045024B"/>
    <w:rsid w:val="004502F4"/>
    <w:rsid w:val="004503B5"/>
    <w:rsid w:val="004505EC"/>
    <w:rsid w:val="004506F4"/>
    <w:rsid w:val="004509D1"/>
    <w:rsid w:val="00450A42"/>
    <w:rsid w:val="00451062"/>
    <w:rsid w:val="004513A5"/>
    <w:rsid w:val="0045169C"/>
    <w:rsid w:val="00451A3E"/>
    <w:rsid w:val="00451D50"/>
    <w:rsid w:val="0045202B"/>
    <w:rsid w:val="0045254B"/>
    <w:rsid w:val="004528C6"/>
    <w:rsid w:val="004529B7"/>
    <w:rsid w:val="00452A2B"/>
    <w:rsid w:val="00452C40"/>
    <w:rsid w:val="00452E71"/>
    <w:rsid w:val="00452EC4"/>
    <w:rsid w:val="004531E0"/>
    <w:rsid w:val="00453340"/>
    <w:rsid w:val="0045372C"/>
    <w:rsid w:val="00453775"/>
    <w:rsid w:val="004537EF"/>
    <w:rsid w:val="00453890"/>
    <w:rsid w:val="004539BE"/>
    <w:rsid w:val="00453CC2"/>
    <w:rsid w:val="00454380"/>
    <w:rsid w:val="0045470C"/>
    <w:rsid w:val="004549A9"/>
    <w:rsid w:val="00454C8F"/>
    <w:rsid w:val="00455101"/>
    <w:rsid w:val="0045521C"/>
    <w:rsid w:val="004552C8"/>
    <w:rsid w:val="0045536C"/>
    <w:rsid w:val="004556D0"/>
    <w:rsid w:val="00455A07"/>
    <w:rsid w:val="00455AEB"/>
    <w:rsid w:val="0045603C"/>
    <w:rsid w:val="00456053"/>
    <w:rsid w:val="00456068"/>
    <w:rsid w:val="00456073"/>
    <w:rsid w:val="004560AC"/>
    <w:rsid w:val="0045616E"/>
    <w:rsid w:val="00456186"/>
    <w:rsid w:val="00456328"/>
    <w:rsid w:val="004563D8"/>
    <w:rsid w:val="00456840"/>
    <w:rsid w:val="00456896"/>
    <w:rsid w:val="004568AB"/>
    <w:rsid w:val="00456ADA"/>
    <w:rsid w:val="00456B0D"/>
    <w:rsid w:val="00456B5F"/>
    <w:rsid w:val="00456B91"/>
    <w:rsid w:val="00456CE9"/>
    <w:rsid w:val="00456D02"/>
    <w:rsid w:val="00456EBC"/>
    <w:rsid w:val="004571DF"/>
    <w:rsid w:val="00457464"/>
    <w:rsid w:val="00457677"/>
    <w:rsid w:val="0045770D"/>
    <w:rsid w:val="0045790F"/>
    <w:rsid w:val="00457A1C"/>
    <w:rsid w:val="00457D37"/>
    <w:rsid w:val="00457D63"/>
    <w:rsid w:val="00457E21"/>
    <w:rsid w:val="0046007E"/>
    <w:rsid w:val="00460235"/>
    <w:rsid w:val="0046024B"/>
    <w:rsid w:val="004602C0"/>
    <w:rsid w:val="00460579"/>
    <w:rsid w:val="00460757"/>
    <w:rsid w:val="00460D68"/>
    <w:rsid w:val="00460E36"/>
    <w:rsid w:val="00460F8D"/>
    <w:rsid w:val="00461012"/>
    <w:rsid w:val="00461105"/>
    <w:rsid w:val="00461155"/>
    <w:rsid w:val="0046115D"/>
    <w:rsid w:val="004611A1"/>
    <w:rsid w:val="00461359"/>
    <w:rsid w:val="0046162E"/>
    <w:rsid w:val="00461650"/>
    <w:rsid w:val="00461A8D"/>
    <w:rsid w:val="00461B03"/>
    <w:rsid w:val="00461BA7"/>
    <w:rsid w:val="0046218C"/>
    <w:rsid w:val="00462194"/>
    <w:rsid w:val="004623D4"/>
    <w:rsid w:val="00462635"/>
    <w:rsid w:val="00462651"/>
    <w:rsid w:val="0046298F"/>
    <w:rsid w:val="00462AE6"/>
    <w:rsid w:val="00462AFA"/>
    <w:rsid w:val="00462B36"/>
    <w:rsid w:val="00462D7D"/>
    <w:rsid w:val="00463345"/>
    <w:rsid w:val="004633A4"/>
    <w:rsid w:val="0046357C"/>
    <w:rsid w:val="004637A0"/>
    <w:rsid w:val="00463834"/>
    <w:rsid w:val="00463944"/>
    <w:rsid w:val="00463951"/>
    <w:rsid w:val="004642B4"/>
    <w:rsid w:val="004642EA"/>
    <w:rsid w:val="004643B0"/>
    <w:rsid w:val="0046447A"/>
    <w:rsid w:val="00464BA2"/>
    <w:rsid w:val="00464E96"/>
    <w:rsid w:val="0046512A"/>
    <w:rsid w:val="00465234"/>
    <w:rsid w:val="00465569"/>
    <w:rsid w:val="00465668"/>
    <w:rsid w:val="004658C8"/>
    <w:rsid w:val="004658FC"/>
    <w:rsid w:val="00465939"/>
    <w:rsid w:val="00465B24"/>
    <w:rsid w:val="00466675"/>
    <w:rsid w:val="00466858"/>
    <w:rsid w:val="004668D7"/>
    <w:rsid w:val="00466D0F"/>
    <w:rsid w:val="00466E21"/>
    <w:rsid w:val="00467354"/>
    <w:rsid w:val="00467544"/>
    <w:rsid w:val="004676BA"/>
    <w:rsid w:val="0046784C"/>
    <w:rsid w:val="00467E18"/>
    <w:rsid w:val="00467ECB"/>
    <w:rsid w:val="00470B91"/>
    <w:rsid w:val="004710C3"/>
    <w:rsid w:val="004711DE"/>
    <w:rsid w:val="00471210"/>
    <w:rsid w:val="00471459"/>
    <w:rsid w:val="00471ECE"/>
    <w:rsid w:val="00471F81"/>
    <w:rsid w:val="00472274"/>
    <w:rsid w:val="004722D4"/>
    <w:rsid w:val="00472336"/>
    <w:rsid w:val="0047263C"/>
    <w:rsid w:val="004727BA"/>
    <w:rsid w:val="004727BE"/>
    <w:rsid w:val="00472839"/>
    <w:rsid w:val="0047298E"/>
    <w:rsid w:val="00472D0D"/>
    <w:rsid w:val="00472D9C"/>
    <w:rsid w:val="00472DDF"/>
    <w:rsid w:val="00472E55"/>
    <w:rsid w:val="0047315F"/>
    <w:rsid w:val="004732E2"/>
    <w:rsid w:val="00473B60"/>
    <w:rsid w:val="00474AA3"/>
    <w:rsid w:val="00474AFB"/>
    <w:rsid w:val="00474CBC"/>
    <w:rsid w:val="00474EDC"/>
    <w:rsid w:val="004758B4"/>
    <w:rsid w:val="004759D5"/>
    <w:rsid w:val="00475AD2"/>
    <w:rsid w:val="00475AFF"/>
    <w:rsid w:val="00475D30"/>
    <w:rsid w:val="004760A4"/>
    <w:rsid w:val="004762B9"/>
    <w:rsid w:val="00476406"/>
    <w:rsid w:val="004765EE"/>
    <w:rsid w:val="004765F4"/>
    <w:rsid w:val="004766C3"/>
    <w:rsid w:val="00476B4D"/>
    <w:rsid w:val="00476CBC"/>
    <w:rsid w:val="00476DEB"/>
    <w:rsid w:val="00476E6C"/>
    <w:rsid w:val="00477117"/>
    <w:rsid w:val="00477282"/>
    <w:rsid w:val="004772C8"/>
    <w:rsid w:val="004776F4"/>
    <w:rsid w:val="0047779A"/>
    <w:rsid w:val="00477947"/>
    <w:rsid w:val="00477A54"/>
    <w:rsid w:val="00477CFF"/>
    <w:rsid w:val="00480307"/>
    <w:rsid w:val="0048040F"/>
    <w:rsid w:val="00480A68"/>
    <w:rsid w:val="00480ABD"/>
    <w:rsid w:val="00480D86"/>
    <w:rsid w:val="00480FA1"/>
    <w:rsid w:val="0048121F"/>
    <w:rsid w:val="004813E1"/>
    <w:rsid w:val="00481CF0"/>
    <w:rsid w:val="00481FD7"/>
    <w:rsid w:val="00482025"/>
    <w:rsid w:val="00482154"/>
    <w:rsid w:val="004821B4"/>
    <w:rsid w:val="0048283F"/>
    <w:rsid w:val="00482917"/>
    <w:rsid w:val="00482DE5"/>
    <w:rsid w:val="00483266"/>
    <w:rsid w:val="0048327D"/>
    <w:rsid w:val="0048352E"/>
    <w:rsid w:val="004836A9"/>
    <w:rsid w:val="0048371A"/>
    <w:rsid w:val="004837A7"/>
    <w:rsid w:val="00483B23"/>
    <w:rsid w:val="00483B4D"/>
    <w:rsid w:val="004840D7"/>
    <w:rsid w:val="00484356"/>
    <w:rsid w:val="0048440F"/>
    <w:rsid w:val="004846F4"/>
    <w:rsid w:val="0048483E"/>
    <w:rsid w:val="004849B4"/>
    <w:rsid w:val="00484F14"/>
    <w:rsid w:val="00484FEB"/>
    <w:rsid w:val="00485797"/>
    <w:rsid w:val="00485AA6"/>
    <w:rsid w:val="00485C26"/>
    <w:rsid w:val="00485DCE"/>
    <w:rsid w:val="00485DFA"/>
    <w:rsid w:val="00485EC0"/>
    <w:rsid w:val="004863A6"/>
    <w:rsid w:val="004863BF"/>
    <w:rsid w:val="004868E7"/>
    <w:rsid w:val="00486FE0"/>
    <w:rsid w:val="004870DA"/>
    <w:rsid w:val="00487103"/>
    <w:rsid w:val="004871D0"/>
    <w:rsid w:val="004875E1"/>
    <w:rsid w:val="00487827"/>
    <w:rsid w:val="004878E7"/>
    <w:rsid w:val="00487B37"/>
    <w:rsid w:val="00487D0C"/>
    <w:rsid w:val="00490091"/>
    <w:rsid w:val="004901CA"/>
    <w:rsid w:val="0049026A"/>
    <w:rsid w:val="00490636"/>
    <w:rsid w:val="00490A08"/>
    <w:rsid w:val="00490A21"/>
    <w:rsid w:val="00490AB5"/>
    <w:rsid w:val="00490AD1"/>
    <w:rsid w:val="00490B40"/>
    <w:rsid w:val="00490DC2"/>
    <w:rsid w:val="00490FF0"/>
    <w:rsid w:val="004910FE"/>
    <w:rsid w:val="0049113E"/>
    <w:rsid w:val="00491198"/>
    <w:rsid w:val="004911B5"/>
    <w:rsid w:val="004914D0"/>
    <w:rsid w:val="004917E0"/>
    <w:rsid w:val="00491968"/>
    <w:rsid w:val="00491BF6"/>
    <w:rsid w:val="00491C79"/>
    <w:rsid w:val="00491FED"/>
    <w:rsid w:val="00492053"/>
    <w:rsid w:val="00492324"/>
    <w:rsid w:val="0049234A"/>
    <w:rsid w:val="004927A2"/>
    <w:rsid w:val="0049287C"/>
    <w:rsid w:val="00492EC0"/>
    <w:rsid w:val="00492F82"/>
    <w:rsid w:val="00493305"/>
    <w:rsid w:val="00493316"/>
    <w:rsid w:val="004935B0"/>
    <w:rsid w:val="004935DC"/>
    <w:rsid w:val="004938DE"/>
    <w:rsid w:val="00493E2D"/>
    <w:rsid w:val="004943B7"/>
    <w:rsid w:val="004943C2"/>
    <w:rsid w:val="00494524"/>
    <w:rsid w:val="00494918"/>
    <w:rsid w:val="00494B5B"/>
    <w:rsid w:val="00494C65"/>
    <w:rsid w:val="00494E0A"/>
    <w:rsid w:val="00494F0C"/>
    <w:rsid w:val="0049504C"/>
    <w:rsid w:val="0049534C"/>
    <w:rsid w:val="00495366"/>
    <w:rsid w:val="00495557"/>
    <w:rsid w:val="00495987"/>
    <w:rsid w:val="0049618D"/>
    <w:rsid w:val="004963B8"/>
    <w:rsid w:val="004965EF"/>
    <w:rsid w:val="00496727"/>
    <w:rsid w:val="0049691F"/>
    <w:rsid w:val="0049719D"/>
    <w:rsid w:val="00497839"/>
    <w:rsid w:val="00497966"/>
    <w:rsid w:val="00497E11"/>
    <w:rsid w:val="00497FCD"/>
    <w:rsid w:val="004A006F"/>
    <w:rsid w:val="004A00FC"/>
    <w:rsid w:val="004A07E4"/>
    <w:rsid w:val="004A080A"/>
    <w:rsid w:val="004A0821"/>
    <w:rsid w:val="004A0D1E"/>
    <w:rsid w:val="004A0E66"/>
    <w:rsid w:val="004A0E9F"/>
    <w:rsid w:val="004A0EA2"/>
    <w:rsid w:val="004A0EEC"/>
    <w:rsid w:val="004A10DE"/>
    <w:rsid w:val="004A130F"/>
    <w:rsid w:val="004A13F6"/>
    <w:rsid w:val="004A1431"/>
    <w:rsid w:val="004A1621"/>
    <w:rsid w:val="004A17EF"/>
    <w:rsid w:val="004A1A43"/>
    <w:rsid w:val="004A1AA3"/>
    <w:rsid w:val="004A1B80"/>
    <w:rsid w:val="004A1BDA"/>
    <w:rsid w:val="004A20FA"/>
    <w:rsid w:val="004A2100"/>
    <w:rsid w:val="004A225B"/>
    <w:rsid w:val="004A22DA"/>
    <w:rsid w:val="004A2473"/>
    <w:rsid w:val="004A267F"/>
    <w:rsid w:val="004A2700"/>
    <w:rsid w:val="004A287C"/>
    <w:rsid w:val="004A2DAD"/>
    <w:rsid w:val="004A321A"/>
    <w:rsid w:val="004A33BA"/>
    <w:rsid w:val="004A36C8"/>
    <w:rsid w:val="004A3721"/>
    <w:rsid w:val="004A3742"/>
    <w:rsid w:val="004A3762"/>
    <w:rsid w:val="004A37B8"/>
    <w:rsid w:val="004A38C5"/>
    <w:rsid w:val="004A3D94"/>
    <w:rsid w:val="004A3EBF"/>
    <w:rsid w:val="004A3ED3"/>
    <w:rsid w:val="004A4272"/>
    <w:rsid w:val="004A4273"/>
    <w:rsid w:val="004A4388"/>
    <w:rsid w:val="004A43D5"/>
    <w:rsid w:val="004A47BC"/>
    <w:rsid w:val="004A4AC6"/>
    <w:rsid w:val="004A4B94"/>
    <w:rsid w:val="004A4F6C"/>
    <w:rsid w:val="004A528F"/>
    <w:rsid w:val="004A5707"/>
    <w:rsid w:val="004A58D9"/>
    <w:rsid w:val="004A5D23"/>
    <w:rsid w:val="004A5EBC"/>
    <w:rsid w:val="004A611E"/>
    <w:rsid w:val="004A62D6"/>
    <w:rsid w:val="004A6334"/>
    <w:rsid w:val="004A6494"/>
    <w:rsid w:val="004A6650"/>
    <w:rsid w:val="004A676D"/>
    <w:rsid w:val="004A69DE"/>
    <w:rsid w:val="004A6B41"/>
    <w:rsid w:val="004A6F09"/>
    <w:rsid w:val="004A7008"/>
    <w:rsid w:val="004A76A3"/>
    <w:rsid w:val="004A7B4C"/>
    <w:rsid w:val="004A7BFA"/>
    <w:rsid w:val="004B00B5"/>
    <w:rsid w:val="004B031E"/>
    <w:rsid w:val="004B04AE"/>
    <w:rsid w:val="004B0537"/>
    <w:rsid w:val="004B0594"/>
    <w:rsid w:val="004B0CE7"/>
    <w:rsid w:val="004B1199"/>
    <w:rsid w:val="004B15D8"/>
    <w:rsid w:val="004B16C4"/>
    <w:rsid w:val="004B17C5"/>
    <w:rsid w:val="004B1867"/>
    <w:rsid w:val="004B1B4C"/>
    <w:rsid w:val="004B224A"/>
    <w:rsid w:val="004B22C1"/>
    <w:rsid w:val="004B24D5"/>
    <w:rsid w:val="004B24EE"/>
    <w:rsid w:val="004B24F2"/>
    <w:rsid w:val="004B283B"/>
    <w:rsid w:val="004B2A64"/>
    <w:rsid w:val="004B2F83"/>
    <w:rsid w:val="004B2FBA"/>
    <w:rsid w:val="004B31A2"/>
    <w:rsid w:val="004B3422"/>
    <w:rsid w:val="004B3913"/>
    <w:rsid w:val="004B3A05"/>
    <w:rsid w:val="004B3BF9"/>
    <w:rsid w:val="004B41DA"/>
    <w:rsid w:val="004B42D0"/>
    <w:rsid w:val="004B470D"/>
    <w:rsid w:val="004B4764"/>
    <w:rsid w:val="004B4846"/>
    <w:rsid w:val="004B49E3"/>
    <w:rsid w:val="004B5003"/>
    <w:rsid w:val="004B5322"/>
    <w:rsid w:val="004B5394"/>
    <w:rsid w:val="004B591E"/>
    <w:rsid w:val="004B5AD3"/>
    <w:rsid w:val="004B5BDD"/>
    <w:rsid w:val="004B5D1C"/>
    <w:rsid w:val="004B5EF9"/>
    <w:rsid w:val="004B620D"/>
    <w:rsid w:val="004B66B2"/>
    <w:rsid w:val="004B67DA"/>
    <w:rsid w:val="004B6DB2"/>
    <w:rsid w:val="004B6E9E"/>
    <w:rsid w:val="004B6F05"/>
    <w:rsid w:val="004B6F83"/>
    <w:rsid w:val="004B6FEA"/>
    <w:rsid w:val="004B708B"/>
    <w:rsid w:val="004B720F"/>
    <w:rsid w:val="004B7840"/>
    <w:rsid w:val="004B79F2"/>
    <w:rsid w:val="004B7A55"/>
    <w:rsid w:val="004B7C29"/>
    <w:rsid w:val="004B7CB7"/>
    <w:rsid w:val="004B7EAA"/>
    <w:rsid w:val="004B7FE7"/>
    <w:rsid w:val="004C0046"/>
    <w:rsid w:val="004C00A8"/>
    <w:rsid w:val="004C01BD"/>
    <w:rsid w:val="004C039C"/>
    <w:rsid w:val="004C03AB"/>
    <w:rsid w:val="004C06E5"/>
    <w:rsid w:val="004C0CB5"/>
    <w:rsid w:val="004C0D3A"/>
    <w:rsid w:val="004C1014"/>
    <w:rsid w:val="004C11CC"/>
    <w:rsid w:val="004C1420"/>
    <w:rsid w:val="004C1499"/>
    <w:rsid w:val="004C1570"/>
    <w:rsid w:val="004C1799"/>
    <w:rsid w:val="004C1B7D"/>
    <w:rsid w:val="004C1E3C"/>
    <w:rsid w:val="004C1F26"/>
    <w:rsid w:val="004C1F5A"/>
    <w:rsid w:val="004C24FD"/>
    <w:rsid w:val="004C25BF"/>
    <w:rsid w:val="004C25CD"/>
    <w:rsid w:val="004C25F0"/>
    <w:rsid w:val="004C26DD"/>
    <w:rsid w:val="004C27A9"/>
    <w:rsid w:val="004C290F"/>
    <w:rsid w:val="004C29F4"/>
    <w:rsid w:val="004C2A6D"/>
    <w:rsid w:val="004C2AC3"/>
    <w:rsid w:val="004C2B5D"/>
    <w:rsid w:val="004C2C17"/>
    <w:rsid w:val="004C2CC8"/>
    <w:rsid w:val="004C2D68"/>
    <w:rsid w:val="004C2F56"/>
    <w:rsid w:val="004C3093"/>
    <w:rsid w:val="004C339D"/>
    <w:rsid w:val="004C33E8"/>
    <w:rsid w:val="004C35F3"/>
    <w:rsid w:val="004C3735"/>
    <w:rsid w:val="004C3803"/>
    <w:rsid w:val="004C3833"/>
    <w:rsid w:val="004C3966"/>
    <w:rsid w:val="004C3BA8"/>
    <w:rsid w:val="004C3BEF"/>
    <w:rsid w:val="004C3D12"/>
    <w:rsid w:val="004C3E10"/>
    <w:rsid w:val="004C3FF4"/>
    <w:rsid w:val="004C4254"/>
    <w:rsid w:val="004C4307"/>
    <w:rsid w:val="004C4309"/>
    <w:rsid w:val="004C4413"/>
    <w:rsid w:val="004C4715"/>
    <w:rsid w:val="004C47E8"/>
    <w:rsid w:val="004C49E3"/>
    <w:rsid w:val="004C4BD6"/>
    <w:rsid w:val="004C4E8A"/>
    <w:rsid w:val="004C50C2"/>
    <w:rsid w:val="004C514A"/>
    <w:rsid w:val="004C5423"/>
    <w:rsid w:val="004C54D8"/>
    <w:rsid w:val="004C62AE"/>
    <w:rsid w:val="004C6550"/>
    <w:rsid w:val="004C6572"/>
    <w:rsid w:val="004C67B0"/>
    <w:rsid w:val="004C6A81"/>
    <w:rsid w:val="004C6D4F"/>
    <w:rsid w:val="004C7043"/>
    <w:rsid w:val="004C745F"/>
    <w:rsid w:val="004C7541"/>
    <w:rsid w:val="004C763E"/>
    <w:rsid w:val="004C79E7"/>
    <w:rsid w:val="004C7CA6"/>
    <w:rsid w:val="004C7FFE"/>
    <w:rsid w:val="004D01E4"/>
    <w:rsid w:val="004D042D"/>
    <w:rsid w:val="004D0448"/>
    <w:rsid w:val="004D05A0"/>
    <w:rsid w:val="004D05FD"/>
    <w:rsid w:val="004D082F"/>
    <w:rsid w:val="004D090A"/>
    <w:rsid w:val="004D0BCE"/>
    <w:rsid w:val="004D0CE5"/>
    <w:rsid w:val="004D0DC4"/>
    <w:rsid w:val="004D0FA8"/>
    <w:rsid w:val="004D105B"/>
    <w:rsid w:val="004D1152"/>
    <w:rsid w:val="004D150E"/>
    <w:rsid w:val="004D173D"/>
    <w:rsid w:val="004D1A6E"/>
    <w:rsid w:val="004D1C41"/>
    <w:rsid w:val="004D1E71"/>
    <w:rsid w:val="004D217A"/>
    <w:rsid w:val="004D24E7"/>
    <w:rsid w:val="004D2627"/>
    <w:rsid w:val="004D2698"/>
    <w:rsid w:val="004D2ABE"/>
    <w:rsid w:val="004D2B7A"/>
    <w:rsid w:val="004D2CDF"/>
    <w:rsid w:val="004D2F2E"/>
    <w:rsid w:val="004D2F77"/>
    <w:rsid w:val="004D33CE"/>
    <w:rsid w:val="004D3588"/>
    <w:rsid w:val="004D3666"/>
    <w:rsid w:val="004D38AD"/>
    <w:rsid w:val="004D3BF2"/>
    <w:rsid w:val="004D4330"/>
    <w:rsid w:val="004D4540"/>
    <w:rsid w:val="004D4854"/>
    <w:rsid w:val="004D49ED"/>
    <w:rsid w:val="004D4AAE"/>
    <w:rsid w:val="004D4B07"/>
    <w:rsid w:val="004D4B2B"/>
    <w:rsid w:val="004D4B31"/>
    <w:rsid w:val="004D4B51"/>
    <w:rsid w:val="004D4C1C"/>
    <w:rsid w:val="004D4FC3"/>
    <w:rsid w:val="004D5962"/>
    <w:rsid w:val="004D5F7E"/>
    <w:rsid w:val="004D6042"/>
    <w:rsid w:val="004D6465"/>
    <w:rsid w:val="004D6AFD"/>
    <w:rsid w:val="004D6C6B"/>
    <w:rsid w:val="004D6D7E"/>
    <w:rsid w:val="004D7188"/>
    <w:rsid w:val="004D78B6"/>
    <w:rsid w:val="004D78C7"/>
    <w:rsid w:val="004D7B84"/>
    <w:rsid w:val="004D7C86"/>
    <w:rsid w:val="004D7CD6"/>
    <w:rsid w:val="004E009C"/>
    <w:rsid w:val="004E00F0"/>
    <w:rsid w:val="004E0136"/>
    <w:rsid w:val="004E0197"/>
    <w:rsid w:val="004E04B0"/>
    <w:rsid w:val="004E0B09"/>
    <w:rsid w:val="004E0B20"/>
    <w:rsid w:val="004E0C29"/>
    <w:rsid w:val="004E0EE9"/>
    <w:rsid w:val="004E1122"/>
    <w:rsid w:val="004E1222"/>
    <w:rsid w:val="004E1409"/>
    <w:rsid w:val="004E1735"/>
    <w:rsid w:val="004E1A87"/>
    <w:rsid w:val="004E1B42"/>
    <w:rsid w:val="004E1BB0"/>
    <w:rsid w:val="004E1DCA"/>
    <w:rsid w:val="004E2443"/>
    <w:rsid w:val="004E251C"/>
    <w:rsid w:val="004E2841"/>
    <w:rsid w:val="004E286A"/>
    <w:rsid w:val="004E3030"/>
    <w:rsid w:val="004E3282"/>
    <w:rsid w:val="004E3311"/>
    <w:rsid w:val="004E33CE"/>
    <w:rsid w:val="004E368A"/>
    <w:rsid w:val="004E38AC"/>
    <w:rsid w:val="004E38EC"/>
    <w:rsid w:val="004E3933"/>
    <w:rsid w:val="004E3A53"/>
    <w:rsid w:val="004E3EF0"/>
    <w:rsid w:val="004E41BE"/>
    <w:rsid w:val="004E4203"/>
    <w:rsid w:val="004E4549"/>
    <w:rsid w:val="004E458A"/>
    <w:rsid w:val="004E45F0"/>
    <w:rsid w:val="004E4701"/>
    <w:rsid w:val="004E485B"/>
    <w:rsid w:val="004E48D4"/>
    <w:rsid w:val="004E4C83"/>
    <w:rsid w:val="004E4CBB"/>
    <w:rsid w:val="004E4D39"/>
    <w:rsid w:val="004E4D53"/>
    <w:rsid w:val="004E4D84"/>
    <w:rsid w:val="004E4EBC"/>
    <w:rsid w:val="004E5019"/>
    <w:rsid w:val="004E5104"/>
    <w:rsid w:val="004E51A6"/>
    <w:rsid w:val="004E5690"/>
    <w:rsid w:val="004E5B06"/>
    <w:rsid w:val="004E5FA8"/>
    <w:rsid w:val="004E6188"/>
    <w:rsid w:val="004E641C"/>
    <w:rsid w:val="004E6466"/>
    <w:rsid w:val="004E66C4"/>
    <w:rsid w:val="004E684C"/>
    <w:rsid w:val="004E69C5"/>
    <w:rsid w:val="004E6FF1"/>
    <w:rsid w:val="004E74CD"/>
    <w:rsid w:val="004E7637"/>
    <w:rsid w:val="004E76C1"/>
    <w:rsid w:val="004E76DB"/>
    <w:rsid w:val="004E7C09"/>
    <w:rsid w:val="004E7EEF"/>
    <w:rsid w:val="004F0159"/>
    <w:rsid w:val="004F0298"/>
    <w:rsid w:val="004F0760"/>
    <w:rsid w:val="004F0BE4"/>
    <w:rsid w:val="004F0D78"/>
    <w:rsid w:val="004F19A8"/>
    <w:rsid w:val="004F1B8E"/>
    <w:rsid w:val="004F1CC3"/>
    <w:rsid w:val="004F1CD7"/>
    <w:rsid w:val="004F1F90"/>
    <w:rsid w:val="004F20DD"/>
    <w:rsid w:val="004F2401"/>
    <w:rsid w:val="004F24AE"/>
    <w:rsid w:val="004F25F1"/>
    <w:rsid w:val="004F2955"/>
    <w:rsid w:val="004F2A44"/>
    <w:rsid w:val="004F2D67"/>
    <w:rsid w:val="004F2DAD"/>
    <w:rsid w:val="004F2DED"/>
    <w:rsid w:val="004F2FF3"/>
    <w:rsid w:val="004F3068"/>
    <w:rsid w:val="004F34F7"/>
    <w:rsid w:val="004F360A"/>
    <w:rsid w:val="004F3747"/>
    <w:rsid w:val="004F3819"/>
    <w:rsid w:val="004F399E"/>
    <w:rsid w:val="004F39B0"/>
    <w:rsid w:val="004F3F09"/>
    <w:rsid w:val="004F4BCC"/>
    <w:rsid w:val="004F4C4C"/>
    <w:rsid w:val="004F4E23"/>
    <w:rsid w:val="004F4F7E"/>
    <w:rsid w:val="004F4F86"/>
    <w:rsid w:val="004F5226"/>
    <w:rsid w:val="004F55D6"/>
    <w:rsid w:val="004F565A"/>
    <w:rsid w:val="004F571B"/>
    <w:rsid w:val="004F5989"/>
    <w:rsid w:val="004F5C9E"/>
    <w:rsid w:val="004F5EBA"/>
    <w:rsid w:val="004F605D"/>
    <w:rsid w:val="004F6139"/>
    <w:rsid w:val="004F6172"/>
    <w:rsid w:val="004F61EE"/>
    <w:rsid w:val="004F64EB"/>
    <w:rsid w:val="004F6622"/>
    <w:rsid w:val="004F6B11"/>
    <w:rsid w:val="004F6C3D"/>
    <w:rsid w:val="004F6CCC"/>
    <w:rsid w:val="004F6E0F"/>
    <w:rsid w:val="004F6EE9"/>
    <w:rsid w:val="004F701A"/>
    <w:rsid w:val="004F7530"/>
    <w:rsid w:val="004F75E9"/>
    <w:rsid w:val="004F75EA"/>
    <w:rsid w:val="004F7881"/>
    <w:rsid w:val="004F7A74"/>
    <w:rsid w:val="00500237"/>
    <w:rsid w:val="00500250"/>
    <w:rsid w:val="00500264"/>
    <w:rsid w:val="005004AB"/>
    <w:rsid w:val="005005BA"/>
    <w:rsid w:val="00500824"/>
    <w:rsid w:val="00500CFC"/>
    <w:rsid w:val="00500DAB"/>
    <w:rsid w:val="005010FC"/>
    <w:rsid w:val="00501144"/>
    <w:rsid w:val="00501322"/>
    <w:rsid w:val="005013EF"/>
    <w:rsid w:val="00501400"/>
    <w:rsid w:val="00501612"/>
    <w:rsid w:val="0050174F"/>
    <w:rsid w:val="005019E0"/>
    <w:rsid w:val="00501B67"/>
    <w:rsid w:val="00501DAF"/>
    <w:rsid w:val="00501DDB"/>
    <w:rsid w:val="00502067"/>
    <w:rsid w:val="0050211F"/>
    <w:rsid w:val="005022E7"/>
    <w:rsid w:val="005026B4"/>
    <w:rsid w:val="00502A93"/>
    <w:rsid w:val="00503078"/>
    <w:rsid w:val="005037F9"/>
    <w:rsid w:val="00503861"/>
    <w:rsid w:val="00503C5C"/>
    <w:rsid w:val="00504BBD"/>
    <w:rsid w:val="00504E98"/>
    <w:rsid w:val="005052ED"/>
    <w:rsid w:val="0050558D"/>
    <w:rsid w:val="0050563F"/>
    <w:rsid w:val="005056EF"/>
    <w:rsid w:val="005057BD"/>
    <w:rsid w:val="0050591D"/>
    <w:rsid w:val="00505A74"/>
    <w:rsid w:val="00505BA2"/>
    <w:rsid w:val="00505CCB"/>
    <w:rsid w:val="00505D97"/>
    <w:rsid w:val="00505DCF"/>
    <w:rsid w:val="00505E3D"/>
    <w:rsid w:val="0050600A"/>
    <w:rsid w:val="00506083"/>
    <w:rsid w:val="0050644C"/>
    <w:rsid w:val="005068D6"/>
    <w:rsid w:val="005068FA"/>
    <w:rsid w:val="00506B86"/>
    <w:rsid w:val="00506DDD"/>
    <w:rsid w:val="00506E6C"/>
    <w:rsid w:val="00506EEC"/>
    <w:rsid w:val="00506F34"/>
    <w:rsid w:val="00506FD4"/>
    <w:rsid w:val="00507047"/>
    <w:rsid w:val="00507792"/>
    <w:rsid w:val="00507D1C"/>
    <w:rsid w:val="00507FF9"/>
    <w:rsid w:val="0051007A"/>
    <w:rsid w:val="005102BA"/>
    <w:rsid w:val="005104B0"/>
    <w:rsid w:val="00510558"/>
    <w:rsid w:val="0051066A"/>
    <w:rsid w:val="005107FF"/>
    <w:rsid w:val="005109EB"/>
    <w:rsid w:val="00510C97"/>
    <w:rsid w:val="00510CBC"/>
    <w:rsid w:val="00510D3B"/>
    <w:rsid w:val="00510DE2"/>
    <w:rsid w:val="00510E75"/>
    <w:rsid w:val="0051102D"/>
    <w:rsid w:val="005110BB"/>
    <w:rsid w:val="005112A5"/>
    <w:rsid w:val="005116A5"/>
    <w:rsid w:val="00511BE6"/>
    <w:rsid w:val="00511DD7"/>
    <w:rsid w:val="00511F48"/>
    <w:rsid w:val="005121F3"/>
    <w:rsid w:val="00512236"/>
    <w:rsid w:val="00512448"/>
    <w:rsid w:val="0051253A"/>
    <w:rsid w:val="005125F5"/>
    <w:rsid w:val="005125F9"/>
    <w:rsid w:val="0051266C"/>
    <w:rsid w:val="00512DBE"/>
    <w:rsid w:val="00512F10"/>
    <w:rsid w:val="005130CD"/>
    <w:rsid w:val="005131FD"/>
    <w:rsid w:val="005139B1"/>
    <w:rsid w:val="00513B72"/>
    <w:rsid w:val="0051410F"/>
    <w:rsid w:val="0051413B"/>
    <w:rsid w:val="005141A3"/>
    <w:rsid w:val="00514544"/>
    <w:rsid w:val="00514754"/>
    <w:rsid w:val="005147D8"/>
    <w:rsid w:val="00514D8B"/>
    <w:rsid w:val="005150A9"/>
    <w:rsid w:val="00515214"/>
    <w:rsid w:val="00515277"/>
    <w:rsid w:val="005158C2"/>
    <w:rsid w:val="00515B32"/>
    <w:rsid w:val="00515B77"/>
    <w:rsid w:val="00515BA0"/>
    <w:rsid w:val="00515D64"/>
    <w:rsid w:val="00516021"/>
    <w:rsid w:val="0051608E"/>
    <w:rsid w:val="00516258"/>
    <w:rsid w:val="00516689"/>
    <w:rsid w:val="005168D8"/>
    <w:rsid w:val="005169DE"/>
    <w:rsid w:val="00516A2A"/>
    <w:rsid w:val="00516F29"/>
    <w:rsid w:val="005170D9"/>
    <w:rsid w:val="0051723D"/>
    <w:rsid w:val="005174CE"/>
    <w:rsid w:val="0051754D"/>
    <w:rsid w:val="005177DD"/>
    <w:rsid w:val="0051785D"/>
    <w:rsid w:val="00517913"/>
    <w:rsid w:val="00517C20"/>
    <w:rsid w:val="00517D0B"/>
    <w:rsid w:val="00517D7F"/>
    <w:rsid w:val="0052005F"/>
    <w:rsid w:val="005200AA"/>
    <w:rsid w:val="00520200"/>
    <w:rsid w:val="00520210"/>
    <w:rsid w:val="00520279"/>
    <w:rsid w:val="005204DA"/>
    <w:rsid w:val="0052084E"/>
    <w:rsid w:val="00520E2D"/>
    <w:rsid w:val="00520E86"/>
    <w:rsid w:val="00520F04"/>
    <w:rsid w:val="00520F08"/>
    <w:rsid w:val="00521227"/>
    <w:rsid w:val="00521717"/>
    <w:rsid w:val="0052179E"/>
    <w:rsid w:val="005218BF"/>
    <w:rsid w:val="005218C6"/>
    <w:rsid w:val="00521F10"/>
    <w:rsid w:val="005221FB"/>
    <w:rsid w:val="005224B2"/>
    <w:rsid w:val="005225BC"/>
    <w:rsid w:val="00522745"/>
    <w:rsid w:val="005227F2"/>
    <w:rsid w:val="0052283C"/>
    <w:rsid w:val="005228A0"/>
    <w:rsid w:val="0052297F"/>
    <w:rsid w:val="00522B0E"/>
    <w:rsid w:val="00522EE3"/>
    <w:rsid w:val="00522F37"/>
    <w:rsid w:val="0052306E"/>
    <w:rsid w:val="005236E1"/>
    <w:rsid w:val="00523938"/>
    <w:rsid w:val="00523B23"/>
    <w:rsid w:val="00523D6D"/>
    <w:rsid w:val="00523DFA"/>
    <w:rsid w:val="00523E29"/>
    <w:rsid w:val="00523F16"/>
    <w:rsid w:val="00524166"/>
    <w:rsid w:val="005245A3"/>
    <w:rsid w:val="005247A1"/>
    <w:rsid w:val="005247E2"/>
    <w:rsid w:val="00524990"/>
    <w:rsid w:val="00524BD1"/>
    <w:rsid w:val="005253C7"/>
    <w:rsid w:val="005254BC"/>
    <w:rsid w:val="00525592"/>
    <w:rsid w:val="005256FC"/>
    <w:rsid w:val="00525C6F"/>
    <w:rsid w:val="00525CAA"/>
    <w:rsid w:val="00525D54"/>
    <w:rsid w:val="00525DEC"/>
    <w:rsid w:val="005266BB"/>
    <w:rsid w:val="005269CA"/>
    <w:rsid w:val="00526C27"/>
    <w:rsid w:val="00526CC7"/>
    <w:rsid w:val="00526D8D"/>
    <w:rsid w:val="00526DFF"/>
    <w:rsid w:val="00526EC0"/>
    <w:rsid w:val="00526F22"/>
    <w:rsid w:val="00527160"/>
    <w:rsid w:val="00527473"/>
    <w:rsid w:val="005274FB"/>
    <w:rsid w:val="00527637"/>
    <w:rsid w:val="00527E5F"/>
    <w:rsid w:val="00527EF9"/>
    <w:rsid w:val="00530107"/>
    <w:rsid w:val="00530290"/>
    <w:rsid w:val="005305FF"/>
    <w:rsid w:val="0053060E"/>
    <w:rsid w:val="00530B9B"/>
    <w:rsid w:val="00530C75"/>
    <w:rsid w:val="00530C9B"/>
    <w:rsid w:val="00530F9B"/>
    <w:rsid w:val="00531162"/>
    <w:rsid w:val="00531389"/>
    <w:rsid w:val="00531549"/>
    <w:rsid w:val="00531AFC"/>
    <w:rsid w:val="00531C90"/>
    <w:rsid w:val="00532268"/>
    <w:rsid w:val="00532334"/>
    <w:rsid w:val="005324AF"/>
    <w:rsid w:val="005325B3"/>
    <w:rsid w:val="00532665"/>
    <w:rsid w:val="00533043"/>
    <w:rsid w:val="0053371B"/>
    <w:rsid w:val="0053377B"/>
    <w:rsid w:val="00533ACF"/>
    <w:rsid w:val="00533C04"/>
    <w:rsid w:val="0053402C"/>
    <w:rsid w:val="00534037"/>
    <w:rsid w:val="00534090"/>
    <w:rsid w:val="00534350"/>
    <w:rsid w:val="005347FC"/>
    <w:rsid w:val="00534837"/>
    <w:rsid w:val="00534ABA"/>
    <w:rsid w:val="00534B96"/>
    <w:rsid w:val="00534BE0"/>
    <w:rsid w:val="00534D2B"/>
    <w:rsid w:val="00534FB1"/>
    <w:rsid w:val="00535381"/>
    <w:rsid w:val="00535F0B"/>
    <w:rsid w:val="00535FAD"/>
    <w:rsid w:val="00535FC7"/>
    <w:rsid w:val="00535FFF"/>
    <w:rsid w:val="0053612F"/>
    <w:rsid w:val="0053616F"/>
    <w:rsid w:val="00536287"/>
    <w:rsid w:val="005363C7"/>
    <w:rsid w:val="005368AD"/>
    <w:rsid w:val="0053696B"/>
    <w:rsid w:val="00536F41"/>
    <w:rsid w:val="005370BC"/>
    <w:rsid w:val="00537229"/>
    <w:rsid w:val="00537260"/>
    <w:rsid w:val="00537369"/>
    <w:rsid w:val="00537B35"/>
    <w:rsid w:val="00537B52"/>
    <w:rsid w:val="00537DE7"/>
    <w:rsid w:val="00537E33"/>
    <w:rsid w:val="00537EC4"/>
    <w:rsid w:val="00537FE4"/>
    <w:rsid w:val="0054027D"/>
    <w:rsid w:val="00540578"/>
    <w:rsid w:val="0054062F"/>
    <w:rsid w:val="00540840"/>
    <w:rsid w:val="00540A63"/>
    <w:rsid w:val="00540BD6"/>
    <w:rsid w:val="00540CF1"/>
    <w:rsid w:val="00540EE3"/>
    <w:rsid w:val="00540EF9"/>
    <w:rsid w:val="00540FC6"/>
    <w:rsid w:val="00540FF7"/>
    <w:rsid w:val="0054105F"/>
    <w:rsid w:val="00541222"/>
    <w:rsid w:val="00541275"/>
    <w:rsid w:val="0054147A"/>
    <w:rsid w:val="0054148F"/>
    <w:rsid w:val="00541A8D"/>
    <w:rsid w:val="00541A96"/>
    <w:rsid w:val="005420A1"/>
    <w:rsid w:val="0054210E"/>
    <w:rsid w:val="00542171"/>
    <w:rsid w:val="005422AA"/>
    <w:rsid w:val="00542902"/>
    <w:rsid w:val="00542C35"/>
    <w:rsid w:val="00542CCF"/>
    <w:rsid w:val="00542F26"/>
    <w:rsid w:val="00543112"/>
    <w:rsid w:val="00543372"/>
    <w:rsid w:val="005436B8"/>
    <w:rsid w:val="005437A4"/>
    <w:rsid w:val="00543DC9"/>
    <w:rsid w:val="0054437C"/>
    <w:rsid w:val="0054495E"/>
    <w:rsid w:val="00544AB6"/>
    <w:rsid w:val="00544B67"/>
    <w:rsid w:val="00544C4A"/>
    <w:rsid w:val="00544D19"/>
    <w:rsid w:val="00544DA0"/>
    <w:rsid w:val="00544E46"/>
    <w:rsid w:val="00544E6F"/>
    <w:rsid w:val="00544FB9"/>
    <w:rsid w:val="005454BD"/>
    <w:rsid w:val="0054567F"/>
    <w:rsid w:val="0054578C"/>
    <w:rsid w:val="005457E4"/>
    <w:rsid w:val="00545832"/>
    <w:rsid w:val="00545B2C"/>
    <w:rsid w:val="00545D1B"/>
    <w:rsid w:val="005462A4"/>
    <w:rsid w:val="0054645D"/>
    <w:rsid w:val="005464BF"/>
    <w:rsid w:val="00546731"/>
    <w:rsid w:val="005468CC"/>
    <w:rsid w:val="005468F3"/>
    <w:rsid w:val="0054694A"/>
    <w:rsid w:val="00546AF7"/>
    <w:rsid w:val="00546C49"/>
    <w:rsid w:val="00546DD5"/>
    <w:rsid w:val="00546E5C"/>
    <w:rsid w:val="00546F2A"/>
    <w:rsid w:val="00546FC5"/>
    <w:rsid w:val="00547187"/>
    <w:rsid w:val="0054738D"/>
    <w:rsid w:val="00547420"/>
    <w:rsid w:val="005475C8"/>
    <w:rsid w:val="005477D5"/>
    <w:rsid w:val="005478C6"/>
    <w:rsid w:val="00547AEF"/>
    <w:rsid w:val="00547BB8"/>
    <w:rsid w:val="00547D47"/>
    <w:rsid w:val="00547E2F"/>
    <w:rsid w:val="0055010B"/>
    <w:rsid w:val="0055051F"/>
    <w:rsid w:val="00550678"/>
    <w:rsid w:val="0055078B"/>
    <w:rsid w:val="00550B74"/>
    <w:rsid w:val="00550D59"/>
    <w:rsid w:val="0055110D"/>
    <w:rsid w:val="00551401"/>
    <w:rsid w:val="0055190E"/>
    <w:rsid w:val="00551F81"/>
    <w:rsid w:val="0055210F"/>
    <w:rsid w:val="00552306"/>
    <w:rsid w:val="0055299F"/>
    <w:rsid w:val="00552CB8"/>
    <w:rsid w:val="00552CD7"/>
    <w:rsid w:val="00553333"/>
    <w:rsid w:val="005533BE"/>
    <w:rsid w:val="00553680"/>
    <w:rsid w:val="005536B0"/>
    <w:rsid w:val="00553999"/>
    <w:rsid w:val="00553AC2"/>
    <w:rsid w:val="00553DBF"/>
    <w:rsid w:val="00554B30"/>
    <w:rsid w:val="00554E37"/>
    <w:rsid w:val="00554FFB"/>
    <w:rsid w:val="00555729"/>
    <w:rsid w:val="00555B52"/>
    <w:rsid w:val="005562BC"/>
    <w:rsid w:val="005565A3"/>
    <w:rsid w:val="005565DC"/>
    <w:rsid w:val="00556695"/>
    <w:rsid w:val="005568A4"/>
    <w:rsid w:val="005568DE"/>
    <w:rsid w:val="00556B03"/>
    <w:rsid w:val="00556DEC"/>
    <w:rsid w:val="00557143"/>
    <w:rsid w:val="005575B8"/>
    <w:rsid w:val="00557716"/>
    <w:rsid w:val="00557821"/>
    <w:rsid w:val="00557C50"/>
    <w:rsid w:val="00557D1B"/>
    <w:rsid w:val="00557D4A"/>
    <w:rsid w:val="00557F50"/>
    <w:rsid w:val="00560432"/>
    <w:rsid w:val="005606B6"/>
    <w:rsid w:val="005608D6"/>
    <w:rsid w:val="00560904"/>
    <w:rsid w:val="00560990"/>
    <w:rsid w:val="00560F19"/>
    <w:rsid w:val="00561B1B"/>
    <w:rsid w:val="00561E6B"/>
    <w:rsid w:val="00561F35"/>
    <w:rsid w:val="00562089"/>
    <w:rsid w:val="005621D2"/>
    <w:rsid w:val="005621E0"/>
    <w:rsid w:val="0056294F"/>
    <w:rsid w:val="00562B41"/>
    <w:rsid w:val="00562B5F"/>
    <w:rsid w:val="00562BED"/>
    <w:rsid w:val="00562D90"/>
    <w:rsid w:val="00563393"/>
    <w:rsid w:val="00563A23"/>
    <w:rsid w:val="00563A5A"/>
    <w:rsid w:val="00563C61"/>
    <w:rsid w:val="00563C6D"/>
    <w:rsid w:val="00563C85"/>
    <w:rsid w:val="00563CB1"/>
    <w:rsid w:val="00563ECB"/>
    <w:rsid w:val="00563F47"/>
    <w:rsid w:val="00563F6F"/>
    <w:rsid w:val="005640BB"/>
    <w:rsid w:val="00564255"/>
    <w:rsid w:val="00564258"/>
    <w:rsid w:val="0056425D"/>
    <w:rsid w:val="005645AF"/>
    <w:rsid w:val="005645C3"/>
    <w:rsid w:val="005645D7"/>
    <w:rsid w:val="00564769"/>
    <w:rsid w:val="005647E4"/>
    <w:rsid w:val="00564A33"/>
    <w:rsid w:val="00564C03"/>
    <w:rsid w:val="00564C0D"/>
    <w:rsid w:val="00564C23"/>
    <w:rsid w:val="00564FF2"/>
    <w:rsid w:val="0056500F"/>
    <w:rsid w:val="00565406"/>
    <w:rsid w:val="005654EC"/>
    <w:rsid w:val="00565570"/>
    <w:rsid w:val="005657DD"/>
    <w:rsid w:val="00565826"/>
    <w:rsid w:val="0056586D"/>
    <w:rsid w:val="00565B29"/>
    <w:rsid w:val="00565D23"/>
    <w:rsid w:val="00565DE0"/>
    <w:rsid w:val="00565E70"/>
    <w:rsid w:val="00566143"/>
    <w:rsid w:val="005662EB"/>
    <w:rsid w:val="005664CC"/>
    <w:rsid w:val="0056664B"/>
    <w:rsid w:val="00566ED7"/>
    <w:rsid w:val="00566FB0"/>
    <w:rsid w:val="00567109"/>
    <w:rsid w:val="005674A0"/>
    <w:rsid w:val="00567588"/>
    <w:rsid w:val="0056774C"/>
    <w:rsid w:val="00567883"/>
    <w:rsid w:val="00567992"/>
    <w:rsid w:val="00567C3C"/>
    <w:rsid w:val="00567F08"/>
    <w:rsid w:val="00567FE1"/>
    <w:rsid w:val="00570020"/>
    <w:rsid w:val="00570126"/>
    <w:rsid w:val="0057014C"/>
    <w:rsid w:val="005702F8"/>
    <w:rsid w:val="005703E7"/>
    <w:rsid w:val="005705A1"/>
    <w:rsid w:val="00570A1A"/>
    <w:rsid w:val="00570B5C"/>
    <w:rsid w:val="00570DD9"/>
    <w:rsid w:val="00570EE8"/>
    <w:rsid w:val="00571113"/>
    <w:rsid w:val="0057111E"/>
    <w:rsid w:val="00571231"/>
    <w:rsid w:val="00571238"/>
    <w:rsid w:val="0057133D"/>
    <w:rsid w:val="00571767"/>
    <w:rsid w:val="00571827"/>
    <w:rsid w:val="005719A6"/>
    <w:rsid w:val="00571DD0"/>
    <w:rsid w:val="00571E44"/>
    <w:rsid w:val="00571F46"/>
    <w:rsid w:val="005721FA"/>
    <w:rsid w:val="0057240F"/>
    <w:rsid w:val="00572748"/>
    <w:rsid w:val="00572864"/>
    <w:rsid w:val="005729C2"/>
    <w:rsid w:val="00572D0B"/>
    <w:rsid w:val="00572E87"/>
    <w:rsid w:val="0057375A"/>
    <w:rsid w:val="0057395A"/>
    <w:rsid w:val="00573E61"/>
    <w:rsid w:val="00573F88"/>
    <w:rsid w:val="0057403E"/>
    <w:rsid w:val="0057411B"/>
    <w:rsid w:val="00574362"/>
    <w:rsid w:val="00574525"/>
    <w:rsid w:val="0057456F"/>
    <w:rsid w:val="00574677"/>
    <w:rsid w:val="005746CB"/>
    <w:rsid w:val="00574778"/>
    <w:rsid w:val="0057498F"/>
    <w:rsid w:val="00574A22"/>
    <w:rsid w:val="00574B06"/>
    <w:rsid w:val="00574DE9"/>
    <w:rsid w:val="00575094"/>
    <w:rsid w:val="005750DB"/>
    <w:rsid w:val="005758C7"/>
    <w:rsid w:val="00575972"/>
    <w:rsid w:val="00575DF4"/>
    <w:rsid w:val="00576048"/>
    <w:rsid w:val="005760AF"/>
    <w:rsid w:val="00576515"/>
    <w:rsid w:val="00576686"/>
    <w:rsid w:val="005766D4"/>
    <w:rsid w:val="00576797"/>
    <w:rsid w:val="005769E5"/>
    <w:rsid w:val="00576B21"/>
    <w:rsid w:val="0057705B"/>
    <w:rsid w:val="0057709E"/>
    <w:rsid w:val="005772C8"/>
    <w:rsid w:val="0057765D"/>
    <w:rsid w:val="0057779A"/>
    <w:rsid w:val="005777FC"/>
    <w:rsid w:val="005779F1"/>
    <w:rsid w:val="00577BF1"/>
    <w:rsid w:val="00577C66"/>
    <w:rsid w:val="0058003A"/>
    <w:rsid w:val="00580238"/>
    <w:rsid w:val="005805BF"/>
    <w:rsid w:val="0058082A"/>
    <w:rsid w:val="005808EB"/>
    <w:rsid w:val="00580D37"/>
    <w:rsid w:val="00580DF9"/>
    <w:rsid w:val="00581FA0"/>
    <w:rsid w:val="00581FFC"/>
    <w:rsid w:val="00582054"/>
    <w:rsid w:val="0058257B"/>
    <w:rsid w:val="00582584"/>
    <w:rsid w:val="005826B0"/>
    <w:rsid w:val="005829AF"/>
    <w:rsid w:val="00582AE7"/>
    <w:rsid w:val="00582B90"/>
    <w:rsid w:val="005831A7"/>
    <w:rsid w:val="00583246"/>
    <w:rsid w:val="00583321"/>
    <w:rsid w:val="0058341E"/>
    <w:rsid w:val="00583648"/>
    <w:rsid w:val="00583B99"/>
    <w:rsid w:val="00583D99"/>
    <w:rsid w:val="00583FA2"/>
    <w:rsid w:val="00583FDB"/>
    <w:rsid w:val="00584154"/>
    <w:rsid w:val="00584578"/>
    <w:rsid w:val="00584848"/>
    <w:rsid w:val="00584883"/>
    <w:rsid w:val="00584992"/>
    <w:rsid w:val="00584AF4"/>
    <w:rsid w:val="00584CA7"/>
    <w:rsid w:val="00584DAB"/>
    <w:rsid w:val="00584E4D"/>
    <w:rsid w:val="00584F3A"/>
    <w:rsid w:val="005853AB"/>
    <w:rsid w:val="00585748"/>
    <w:rsid w:val="005859C5"/>
    <w:rsid w:val="00585C79"/>
    <w:rsid w:val="00585F27"/>
    <w:rsid w:val="00585F3B"/>
    <w:rsid w:val="00586144"/>
    <w:rsid w:val="00586337"/>
    <w:rsid w:val="00586369"/>
    <w:rsid w:val="0058676A"/>
    <w:rsid w:val="00586837"/>
    <w:rsid w:val="00586ADE"/>
    <w:rsid w:val="00586AF8"/>
    <w:rsid w:val="00586F6A"/>
    <w:rsid w:val="00587075"/>
    <w:rsid w:val="005870B0"/>
    <w:rsid w:val="005870E3"/>
    <w:rsid w:val="00587303"/>
    <w:rsid w:val="0058732C"/>
    <w:rsid w:val="005874D2"/>
    <w:rsid w:val="00587785"/>
    <w:rsid w:val="0058788D"/>
    <w:rsid w:val="00587C68"/>
    <w:rsid w:val="00587D75"/>
    <w:rsid w:val="00587D87"/>
    <w:rsid w:val="00587E29"/>
    <w:rsid w:val="00587FE6"/>
    <w:rsid w:val="0059023A"/>
    <w:rsid w:val="00590288"/>
    <w:rsid w:val="00590492"/>
    <w:rsid w:val="00591365"/>
    <w:rsid w:val="00591698"/>
    <w:rsid w:val="00591A43"/>
    <w:rsid w:val="00591A98"/>
    <w:rsid w:val="00591E0B"/>
    <w:rsid w:val="00591E4D"/>
    <w:rsid w:val="005923AE"/>
    <w:rsid w:val="00592485"/>
    <w:rsid w:val="00592633"/>
    <w:rsid w:val="0059284D"/>
    <w:rsid w:val="005928A9"/>
    <w:rsid w:val="0059293C"/>
    <w:rsid w:val="00593870"/>
    <w:rsid w:val="00593B87"/>
    <w:rsid w:val="00593C1C"/>
    <w:rsid w:val="00593E6A"/>
    <w:rsid w:val="00593E94"/>
    <w:rsid w:val="00594143"/>
    <w:rsid w:val="005942A2"/>
    <w:rsid w:val="00594543"/>
    <w:rsid w:val="00594564"/>
    <w:rsid w:val="005945E2"/>
    <w:rsid w:val="00594612"/>
    <w:rsid w:val="00594617"/>
    <w:rsid w:val="0059494E"/>
    <w:rsid w:val="00594DBC"/>
    <w:rsid w:val="00594E7D"/>
    <w:rsid w:val="00595873"/>
    <w:rsid w:val="00595A98"/>
    <w:rsid w:val="00595A9D"/>
    <w:rsid w:val="00595C37"/>
    <w:rsid w:val="00595CDD"/>
    <w:rsid w:val="00596420"/>
    <w:rsid w:val="005964BB"/>
    <w:rsid w:val="0059660B"/>
    <w:rsid w:val="005966B6"/>
    <w:rsid w:val="005967A4"/>
    <w:rsid w:val="005969CE"/>
    <w:rsid w:val="00596A70"/>
    <w:rsid w:val="00596BBE"/>
    <w:rsid w:val="00596BD3"/>
    <w:rsid w:val="00596BE7"/>
    <w:rsid w:val="00596C3E"/>
    <w:rsid w:val="00596ECA"/>
    <w:rsid w:val="005977AE"/>
    <w:rsid w:val="005977DD"/>
    <w:rsid w:val="00597ACB"/>
    <w:rsid w:val="005A030A"/>
    <w:rsid w:val="005A0343"/>
    <w:rsid w:val="005A04BD"/>
    <w:rsid w:val="005A054A"/>
    <w:rsid w:val="005A06AA"/>
    <w:rsid w:val="005A082B"/>
    <w:rsid w:val="005A0893"/>
    <w:rsid w:val="005A089D"/>
    <w:rsid w:val="005A0A3F"/>
    <w:rsid w:val="005A0B2E"/>
    <w:rsid w:val="005A114F"/>
    <w:rsid w:val="005A122E"/>
    <w:rsid w:val="005A1387"/>
    <w:rsid w:val="005A1428"/>
    <w:rsid w:val="005A147F"/>
    <w:rsid w:val="005A14B3"/>
    <w:rsid w:val="005A1749"/>
    <w:rsid w:val="005A17E6"/>
    <w:rsid w:val="005A1811"/>
    <w:rsid w:val="005A1930"/>
    <w:rsid w:val="005A1956"/>
    <w:rsid w:val="005A1976"/>
    <w:rsid w:val="005A197B"/>
    <w:rsid w:val="005A1B60"/>
    <w:rsid w:val="005A1B63"/>
    <w:rsid w:val="005A1D3F"/>
    <w:rsid w:val="005A1F49"/>
    <w:rsid w:val="005A216C"/>
    <w:rsid w:val="005A2364"/>
    <w:rsid w:val="005A2480"/>
    <w:rsid w:val="005A2527"/>
    <w:rsid w:val="005A2B2C"/>
    <w:rsid w:val="005A2D6B"/>
    <w:rsid w:val="005A311D"/>
    <w:rsid w:val="005A3252"/>
    <w:rsid w:val="005A32CC"/>
    <w:rsid w:val="005A33F7"/>
    <w:rsid w:val="005A3628"/>
    <w:rsid w:val="005A392D"/>
    <w:rsid w:val="005A394D"/>
    <w:rsid w:val="005A39A7"/>
    <w:rsid w:val="005A3A49"/>
    <w:rsid w:val="005A40CF"/>
    <w:rsid w:val="005A4A9C"/>
    <w:rsid w:val="005A4BAE"/>
    <w:rsid w:val="005A4C74"/>
    <w:rsid w:val="005A4CF0"/>
    <w:rsid w:val="005A4F39"/>
    <w:rsid w:val="005A574D"/>
    <w:rsid w:val="005A5863"/>
    <w:rsid w:val="005A5B5C"/>
    <w:rsid w:val="005A5BE7"/>
    <w:rsid w:val="005A5FF1"/>
    <w:rsid w:val="005A6129"/>
    <w:rsid w:val="005A635A"/>
    <w:rsid w:val="005A6451"/>
    <w:rsid w:val="005A6888"/>
    <w:rsid w:val="005A6B2B"/>
    <w:rsid w:val="005A6DC3"/>
    <w:rsid w:val="005A6E93"/>
    <w:rsid w:val="005A7071"/>
    <w:rsid w:val="005A707A"/>
    <w:rsid w:val="005A72A9"/>
    <w:rsid w:val="005A7340"/>
    <w:rsid w:val="005A7432"/>
    <w:rsid w:val="005A7577"/>
    <w:rsid w:val="005A7BFC"/>
    <w:rsid w:val="005A7F93"/>
    <w:rsid w:val="005B02EA"/>
    <w:rsid w:val="005B0647"/>
    <w:rsid w:val="005B07EA"/>
    <w:rsid w:val="005B081D"/>
    <w:rsid w:val="005B085F"/>
    <w:rsid w:val="005B0A44"/>
    <w:rsid w:val="005B0B20"/>
    <w:rsid w:val="005B0BD6"/>
    <w:rsid w:val="005B0BFB"/>
    <w:rsid w:val="005B0E0A"/>
    <w:rsid w:val="005B0EFB"/>
    <w:rsid w:val="005B1060"/>
    <w:rsid w:val="005B12B9"/>
    <w:rsid w:val="005B17C1"/>
    <w:rsid w:val="005B184D"/>
    <w:rsid w:val="005B1AFB"/>
    <w:rsid w:val="005B219E"/>
    <w:rsid w:val="005B23FD"/>
    <w:rsid w:val="005B2628"/>
    <w:rsid w:val="005B2EC6"/>
    <w:rsid w:val="005B3201"/>
    <w:rsid w:val="005B337A"/>
    <w:rsid w:val="005B337C"/>
    <w:rsid w:val="005B33E0"/>
    <w:rsid w:val="005B35FE"/>
    <w:rsid w:val="005B3737"/>
    <w:rsid w:val="005B380D"/>
    <w:rsid w:val="005B3A42"/>
    <w:rsid w:val="005B3FFB"/>
    <w:rsid w:val="005B404A"/>
    <w:rsid w:val="005B43C0"/>
    <w:rsid w:val="005B4652"/>
    <w:rsid w:val="005B4AB2"/>
    <w:rsid w:val="005B503B"/>
    <w:rsid w:val="005B5152"/>
    <w:rsid w:val="005B528C"/>
    <w:rsid w:val="005B52C0"/>
    <w:rsid w:val="005B5472"/>
    <w:rsid w:val="005B54ED"/>
    <w:rsid w:val="005B5D40"/>
    <w:rsid w:val="005B5EFC"/>
    <w:rsid w:val="005B606A"/>
    <w:rsid w:val="005B6412"/>
    <w:rsid w:val="005B6698"/>
    <w:rsid w:val="005B68A7"/>
    <w:rsid w:val="005B6A1A"/>
    <w:rsid w:val="005B6AC3"/>
    <w:rsid w:val="005B6EAF"/>
    <w:rsid w:val="005B7097"/>
    <w:rsid w:val="005B7133"/>
    <w:rsid w:val="005B7401"/>
    <w:rsid w:val="005B74D6"/>
    <w:rsid w:val="005B7514"/>
    <w:rsid w:val="005B7CB4"/>
    <w:rsid w:val="005C055E"/>
    <w:rsid w:val="005C084C"/>
    <w:rsid w:val="005C0AD0"/>
    <w:rsid w:val="005C0CAC"/>
    <w:rsid w:val="005C0D7A"/>
    <w:rsid w:val="005C0FA1"/>
    <w:rsid w:val="005C11BF"/>
    <w:rsid w:val="005C139B"/>
    <w:rsid w:val="005C1615"/>
    <w:rsid w:val="005C17D4"/>
    <w:rsid w:val="005C184D"/>
    <w:rsid w:val="005C1A6C"/>
    <w:rsid w:val="005C1B9E"/>
    <w:rsid w:val="005C1BD3"/>
    <w:rsid w:val="005C1CC8"/>
    <w:rsid w:val="005C1D98"/>
    <w:rsid w:val="005C1DA5"/>
    <w:rsid w:val="005C1FB7"/>
    <w:rsid w:val="005C2423"/>
    <w:rsid w:val="005C2559"/>
    <w:rsid w:val="005C2615"/>
    <w:rsid w:val="005C2873"/>
    <w:rsid w:val="005C2E03"/>
    <w:rsid w:val="005C2FBE"/>
    <w:rsid w:val="005C31E3"/>
    <w:rsid w:val="005C341F"/>
    <w:rsid w:val="005C3447"/>
    <w:rsid w:val="005C34FC"/>
    <w:rsid w:val="005C3A8B"/>
    <w:rsid w:val="005C3B2F"/>
    <w:rsid w:val="005C3B5C"/>
    <w:rsid w:val="005C3C7F"/>
    <w:rsid w:val="005C3ED0"/>
    <w:rsid w:val="005C418B"/>
    <w:rsid w:val="005C4497"/>
    <w:rsid w:val="005C488F"/>
    <w:rsid w:val="005C5143"/>
    <w:rsid w:val="005C51DE"/>
    <w:rsid w:val="005C5639"/>
    <w:rsid w:val="005C56B0"/>
    <w:rsid w:val="005C5742"/>
    <w:rsid w:val="005C58C2"/>
    <w:rsid w:val="005C626F"/>
    <w:rsid w:val="005C6344"/>
    <w:rsid w:val="005C67F8"/>
    <w:rsid w:val="005C6DDF"/>
    <w:rsid w:val="005C72EB"/>
    <w:rsid w:val="005C7348"/>
    <w:rsid w:val="005C73CD"/>
    <w:rsid w:val="005C760E"/>
    <w:rsid w:val="005C766C"/>
    <w:rsid w:val="005C7E9E"/>
    <w:rsid w:val="005D0087"/>
    <w:rsid w:val="005D054F"/>
    <w:rsid w:val="005D082B"/>
    <w:rsid w:val="005D09D7"/>
    <w:rsid w:val="005D0A83"/>
    <w:rsid w:val="005D0B33"/>
    <w:rsid w:val="005D0D29"/>
    <w:rsid w:val="005D0D5E"/>
    <w:rsid w:val="005D1726"/>
    <w:rsid w:val="005D18C9"/>
    <w:rsid w:val="005D190A"/>
    <w:rsid w:val="005D1926"/>
    <w:rsid w:val="005D1B72"/>
    <w:rsid w:val="005D2155"/>
    <w:rsid w:val="005D2355"/>
    <w:rsid w:val="005D2471"/>
    <w:rsid w:val="005D24D7"/>
    <w:rsid w:val="005D25A3"/>
    <w:rsid w:val="005D2720"/>
    <w:rsid w:val="005D2779"/>
    <w:rsid w:val="005D2C96"/>
    <w:rsid w:val="005D2F23"/>
    <w:rsid w:val="005D2FF9"/>
    <w:rsid w:val="005D3242"/>
    <w:rsid w:val="005D328D"/>
    <w:rsid w:val="005D32B4"/>
    <w:rsid w:val="005D3A18"/>
    <w:rsid w:val="005D3A6D"/>
    <w:rsid w:val="005D3A83"/>
    <w:rsid w:val="005D3A8A"/>
    <w:rsid w:val="005D3C36"/>
    <w:rsid w:val="005D44A7"/>
    <w:rsid w:val="005D46B2"/>
    <w:rsid w:val="005D4802"/>
    <w:rsid w:val="005D4804"/>
    <w:rsid w:val="005D5131"/>
    <w:rsid w:val="005D5631"/>
    <w:rsid w:val="005D5C33"/>
    <w:rsid w:val="005D5C74"/>
    <w:rsid w:val="005D5D91"/>
    <w:rsid w:val="005D5F3B"/>
    <w:rsid w:val="005D610C"/>
    <w:rsid w:val="005D61CF"/>
    <w:rsid w:val="005D6498"/>
    <w:rsid w:val="005D665A"/>
    <w:rsid w:val="005D68FC"/>
    <w:rsid w:val="005D6B80"/>
    <w:rsid w:val="005D6C31"/>
    <w:rsid w:val="005D6C51"/>
    <w:rsid w:val="005D6DA8"/>
    <w:rsid w:val="005D70DD"/>
    <w:rsid w:val="005D71B9"/>
    <w:rsid w:val="005D7280"/>
    <w:rsid w:val="005D73D9"/>
    <w:rsid w:val="005D74AE"/>
    <w:rsid w:val="005D74E7"/>
    <w:rsid w:val="005D7827"/>
    <w:rsid w:val="005D7948"/>
    <w:rsid w:val="005D7AFD"/>
    <w:rsid w:val="005D7C7A"/>
    <w:rsid w:val="005D7F7B"/>
    <w:rsid w:val="005E0080"/>
    <w:rsid w:val="005E0442"/>
    <w:rsid w:val="005E052E"/>
    <w:rsid w:val="005E05E7"/>
    <w:rsid w:val="005E0964"/>
    <w:rsid w:val="005E0A79"/>
    <w:rsid w:val="005E135F"/>
    <w:rsid w:val="005E139D"/>
    <w:rsid w:val="005E14DD"/>
    <w:rsid w:val="005E1876"/>
    <w:rsid w:val="005E18A8"/>
    <w:rsid w:val="005E19A2"/>
    <w:rsid w:val="005E1FA8"/>
    <w:rsid w:val="005E2556"/>
    <w:rsid w:val="005E2CC2"/>
    <w:rsid w:val="005E2F17"/>
    <w:rsid w:val="005E3115"/>
    <w:rsid w:val="005E3199"/>
    <w:rsid w:val="005E31CF"/>
    <w:rsid w:val="005E31F8"/>
    <w:rsid w:val="005E320F"/>
    <w:rsid w:val="005E3304"/>
    <w:rsid w:val="005E35F4"/>
    <w:rsid w:val="005E37F0"/>
    <w:rsid w:val="005E3BCD"/>
    <w:rsid w:val="005E3CF2"/>
    <w:rsid w:val="005E3D7D"/>
    <w:rsid w:val="005E3DD1"/>
    <w:rsid w:val="005E3E9B"/>
    <w:rsid w:val="005E43C2"/>
    <w:rsid w:val="005E4A87"/>
    <w:rsid w:val="005E4DA5"/>
    <w:rsid w:val="005E4EE8"/>
    <w:rsid w:val="005E503E"/>
    <w:rsid w:val="005E5221"/>
    <w:rsid w:val="005E54CD"/>
    <w:rsid w:val="005E5649"/>
    <w:rsid w:val="005E59C7"/>
    <w:rsid w:val="005E5E7B"/>
    <w:rsid w:val="005E6095"/>
    <w:rsid w:val="005E6153"/>
    <w:rsid w:val="005E6207"/>
    <w:rsid w:val="005E654C"/>
    <w:rsid w:val="005E6A3F"/>
    <w:rsid w:val="005E6AC4"/>
    <w:rsid w:val="005E6DB8"/>
    <w:rsid w:val="005E7053"/>
    <w:rsid w:val="005E7228"/>
    <w:rsid w:val="005E7284"/>
    <w:rsid w:val="005E72E3"/>
    <w:rsid w:val="005E756A"/>
    <w:rsid w:val="005E761B"/>
    <w:rsid w:val="005E7B1E"/>
    <w:rsid w:val="005E7BAC"/>
    <w:rsid w:val="005F03ED"/>
    <w:rsid w:val="005F0429"/>
    <w:rsid w:val="005F061A"/>
    <w:rsid w:val="005F093A"/>
    <w:rsid w:val="005F0DB3"/>
    <w:rsid w:val="005F0E5C"/>
    <w:rsid w:val="005F110B"/>
    <w:rsid w:val="005F134E"/>
    <w:rsid w:val="005F1365"/>
    <w:rsid w:val="005F1527"/>
    <w:rsid w:val="005F1632"/>
    <w:rsid w:val="005F18CA"/>
    <w:rsid w:val="005F20CD"/>
    <w:rsid w:val="005F267A"/>
    <w:rsid w:val="005F2C1F"/>
    <w:rsid w:val="005F2E44"/>
    <w:rsid w:val="005F3010"/>
    <w:rsid w:val="005F30FF"/>
    <w:rsid w:val="005F332D"/>
    <w:rsid w:val="005F33D5"/>
    <w:rsid w:val="005F3690"/>
    <w:rsid w:val="005F396C"/>
    <w:rsid w:val="005F3986"/>
    <w:rsid w:val="005F3D60"/>
    <w:rsid w:val="005F412E"/>
    <w:rsid w:val="005F4161"/>
    <w:rsid w:val="005F46F1"/>
    <w:rsid w:val="005F4959"/>
    <w:rsid w:val="005F4C1F"/>
    <w:rsid w:val="005F4C57"/>
    <w:rsid w:val="005F4D6B"/>
    <w:rsid w:val="005F4E7D"/>
    <w:rsid w:val="005F5054"/>
    <w:rsid w:val="005F525D"/>
    <w:rsid w:val="005F52C1"/>
    <w:rsid w:val="005F5420"/>
    <w:rsid w:val="005F5CBF"/>
    <w:rsid w:val="005F602A"/>
    <w:rsid w:val="005F619E"/>
    <w:rsid w:val="005F61F2"/>
    <w:rsid w:val="005F6774"/>
    <w:rsid w:val="005F68DB"/>
    <w:rsid w:val="005F693F"/>
    <w:rsid w:val="005F6C65"/>
    <w:rsid w:val="005F7340"/>
    <w:rsid w:val="005F744D"/>
    <w:rsid w:val="005F7544"/>
    <w:rsid w:val="005F755D"/>
    <w:rsid w:val="005F7581"/>
    <w:rsid w:val="005F79AA"/>
    <w:rsid w:val="0060044B"/>
    <w:rsid w:val="00600579"/>
    <w:rsid w:val="00600801"/>
    <w:rsid w:val="00600C22"/>
    <w:rsid w:val="00600E5B"/>
    <w:rsid w:val="00600E97"/>
    <w:rsid w:val="006013D7"/>
    <w:rsid w:val="006014DB"/>
    <w:rsid w:val="00601587"/>
    <w:rsid w:val="00601C30"/>
    <w:rsid w:val="00602079"/>
    <w:rsid w:val="006022F3"/>
    <w:rsid w:val="00602302"/>
    <w:rsid w:val="00602579"/>
    <w:rsid w:val="00602592"/>
    <w:rsid w:val="0060260C"/>
    <w:rsid w:val="00602612"/>
    <w:rsid w:val="00602872"/>
    <w:rsid w:val="00602BA4"/>
    <w:rsid w:val="00602C00"/>
    <w:rsid w:val="00602DA2"/>
    <w:rsid w:val="00602DAF"/>
    <w:rsid w:val="00602E2E"/>
    <w:rsid w:val="00602EE1"/>
    <w:rsid w:val="00602FF4"/>
    <w:rsid w:val="00603228"/>
    <w:rsid w:val="00603347"/>
    <w:rsid w:val="006039B7"/>
    <w:rsid w:val="00603B88"/>
    <w:rsid w:val="00604729"/>
    <w:rsid w:val="006048F1"/>
    <w:rsid w:val="00604953"/>
    <w:rsid w:val="0060497B"/>
    <w:rsid w:val="00604ACD"/>
    <w:rsid w:val="00604C15"/>
    <w:rsid w:val="00604CFD"/>
    <w:rsid w:val="00604DC2"/>
    <w:rsid w:val="006051EF"/>
    <w:rsid w:val="00605707"/>
    <w:rsid w:val="00605786"/>
    <w:rsid w:val="00605B57"/>
    <w:rsid w:val="006060C4"/>
    <w:rsid w:val="006060FF"/>
    <w:rsid w:val="006062E4"/>
    <w:rsid w:val="0060650F"/>
    <w:rsid w:val="006065DF"/>
    <w:rsid w:val="0060680F"/>
    <w:rsid w:val="00606D8B"/>
    <w:rsid w:val="00606F88"/>
    <w:rsid w:val="00607101"/>
    <w:rsid w:val="006072A4"/>
    <w:rsid w:val="0060751C"/>
    <w:rsid w:val="00607523"/>
    <w:rsid w:val="006077F3"/>
    <w:rsid w:val="00607C35"/>
    <w:rsid w:val="00607D76"/>
    <w:rsid w:val="006100F7"/>
    <w:rsid w:val="006101E4"/>
    <w:rsid w:val="006104E1"/>
    <w:rsid w:val="00611035"/>
    <w:rsid w:val="00611143"/>
    <w:rsid w:val="00611777"/>
    <w:rsid w:val="0061189F"/>
    <w:rsid w:val="00611A3B"/>
    <w:rsid w:val="00611BAE"/>
    <w:rsid w:val="00611EBC"/>
    <w:rsid w:val="0061200C"/>
    <w:rsid w:val="006120B4"/>
    <w:rsid w:val="00612106"/>
    <w:rsid w:val="00612119"/>
    <w:rsid w:val="0061218A"/>
    <w:rsid w:val="0061219B"/>
    <w:rsid w:val="00612200"/>
    <w:rsid w:val="0061228C"/>
    <w:rsid w:val="006122C7"/>
    <w:rsid w:val="00612446"/>
    <w:rsid w:val="00612576"/>
    <w:rsid w:val="006125D0"/>
    <w:rsid w:val="0061293A"/>
    <w:rsid w:val="00612B28"/>
    <w:rsid w:val="00612B8D"/>
    <w:rsid w:val="00612CDA"/>
    <w:rsid w:val="00612D05"/>
    <w:rsid w:val="00613464"/>
    <w:rsid w:val="0061362C"/>
    <w:rsid w:val="00613766"/>
    <w:rsid w:val="00613D34"/>
    <w:rsid w:val="00613FB6"/>
    <w:rsid w:val="006140C6"/>
    <w:rsid w:val="00614134"/>
    <w:rsid w:val="0061415B"/>
    <w:rsid w:val="006141C1"/>
    <w:rsid w:val="00614241"/>
    <w:rsid w:val="0061428D"/>
    <w:rsid w:val="0061432D"/>
    <w:rsid w:val="0061436A"/>
    <w:rsid w:val="006144E7"/>
    <w:rsid w:val="00614A8E"/>
    <w:rsid w:val="006151BD"/>
    <w:rsid w:val="00615348"/>
    <w:rsid w:val="00615411"/>
    <w:rsid w:val="00615796"/>
    <w:rsid w:val="0061599E"/>
    <w:rsid w:val="006159A8"/>
    <w:rsid w:val="00615A41"/>
    <w:rsid w:val="00615AC7"/>
    <w:rsid w:val="00615BC5"/>
    <w:rsid w:val="00615D81"/>
    <w:rsid w:val="006160B7"/>
    <w:rsid w:val="0061621F"/>
    <w:rsid w:val="00616232"/>
    <w:rsid w:val="006162E6"/>
    <w:rsid w:val="00616447"/>
    <w:rsid w:val="0061683B"/>
    <w:rsid w:val="00616C56"/>
    <w:rsid w:val="00616C5A"/>
    <w:rsid w:val="00616E14"/>
    <w:rsid w:val="006171A5"/>
    <w:rsid w:val="0061783B"/>
    <w:rsid w:val="00617C4A"/>
    <w:rsid w:val="00617CA3"/>
    <w:rsid w:val="00620160"/>
    <w:rsid w:val="0062019D"/>
    <w:rsid w:val="006202B1"/>
    <w:rsid w:val="00620309"/>
    <w:rsid w:val="00620456"/>
    <w:rsid w:val="00620494"/>
    <w:rsid w:val="00620BE6"/>
    <w:rsid w:val="006212AD"/>
    <w:rsid w:val="0062159D"/>
    <w:rsid w:val="0062163B"/>
    <w:rsid w:val="00621680"/>
    <w:rsid w:val="00621691"/>
    <w:rsid w:val="00621AF8"/>
    <w:rsid w:val="00621D38"/>
    <w:rsid w:val="00621EC5"/>
    <w:rsid w:val="006223E0"/>
    <w:rsid w:val="006224D0"/>
    <w:rsid w:val="00622BCE"/>
    <w:rsid w:val="00622E29"/>
    <w:rsid w:val="00622E8B"/>
    <w:rsid w:val="0062304E"/>
    <w:rsid w:val="00623643"/>
    <w:rsid w:val="00623708"/>
    <w:rsid w:val="00623B48"/>
    <w:rsid w:val="00623BE8"/>
    <w:rsid w:val="00623BEE"/>
    <w:rsid w:val="00623FCA"/>
    <w:rsid w:val="00624018"/>
    <w:rsid w:val="006240C4"/>
    <w:rsid w:val="00624544"/>
    <w:rsid w:val="00624D62"/>
    <w:rsid w:val="0062508E"/>
    <w:rsid w:val="006252F6"/>
    <w:rsid w:val="00625304"/>
    <w:rsid w:val="00625790"/>
    <w:rsid w:val="0062581B"/>
    <w:rsid w:val="006261F4"/>
    <w:rsid w:val="006264C0"/>
    <w:rsid w:val="006264E4"/>
    <w:rsid w:val="006266E2"/>
    <w:rsid w:val="0062679F"/>
    <w:rsid w:val="0062690F"/>
    <w:rsid w:val="00626961"/>
    <w:rsid w:val="00626E66"/>
    <w:rsid w:val="00626FE1"/>
    <w:rsid w:val="00627350"/>
    <w:rsid w:val="0062781C"/>
    <w:rsid w:val="00627BC3"/>
    <w:rsid w:val="00627E49"/>
    <w:rsid w:val="0063020B"/>
    <w:rsid w:val="0063066E"/>
    <w:rsid w:val="0063070D"/>
    <w:rsid w:val="006308D8"/>
    <w:rsid w:val="006309F8"/>
    <w:rsid w:val="00630E75"/>
    <w:rsid w:val="006312B9"/>
    <w:rsid w:val="00631606"/>
    <w:rsid w:val="0063164E"/>
    <w:rsid w:val="0063191D"/>
    <w:rsid w:val="00631AC1"/>
    <w:rsid w:val="00631B88"/>
    <w:rsid w:val="00631D03"/>
    <w:rsid w:val="00631F8D"/>
    <w:rsid w:val="006320A2"/>
    <w:rsid w:val="006321AB"/>
    <w:rsid w:val="00632416"/>
    <w:rsid w:val="006324CD"/>
    <w:rsid w:val="00632614"/>
    <w:rsid w:val="00632F67"/>
    <w:rsid w:val="00633488"/>
    <w:rsid w:val="00633581"/>
    <w:rsid w:val="006338A0"/>
    <w:rsid w:val="00633926"/>
    <w:rsid w:val="006339AF"/>
    <w:rsid w:val="00633C47"/>
    <w:rsid w:val="00634365"/>
    <w:rsid w:val="00634621"/>
    <w:rsid w:val="006348F7"/>
    <w:rsid w:val="00634FA2"/>
    <w:rsid w:val="00634FE5"/>
    <w:rsid w:val="0063512D"/>
    <w:rsid w:val="00635506"/>
    <w:rsid w:val="006357CE"/>
    <w:rsid w:val="006357FF"/>
    <w:rsid w:val="006358FB"/>
    <w:rsid w:val="00635AA2"/>
    <w:rsid w:val="00635AE2"/>
    <w:rsid w:val="00635B4B"/>
    <w:rsid w:val="00635C66"/>
    <w:rsid w:val="00635E1E"/>
    <w:rsid w:val="00636077"/>
    <w:rsid w:val="0063677C"/>
    <w:rsid w:val="00636972"/>
    <w:rsid w:val="00636B69"/>
    <w:rsid w:val="00636BC2"/>
    <w:rsid w:val="00636CA6"/>
    <w:rsid w:val="00637156"/>
    <w:rsid w:val="00637275"/>
    <w:rsid w:val="00637474"/>
    <w:rsid w:val="00637883"/>
    <w:rsid w:val="00637AFC"/>
    <w:rsid w:val="00637C54"/>
    <w:rsid w:val="006404D1"/>
    <w:rsid w:val="00640A6D"/>
    <w:rsid w:val="00640C77"/>
    <w:rsid w:val="00640E02"/>
    <w:rsid w:val="00640F43"/>
    <w:rsid w:val="0064122C"/>
    <w:rsid w:val="006412CA"/>
    <w:rsid w:val="00641478"/>
    <w:rsid w:val="006420DA"/>
    <w:rsid w:val="00642589"/>
    <w:rsid w:val="00642974"/>
    <w:rsid w:val="00642A0A"/>
    <w:rsid w:val="00642C33"/>
    <w:rsid w:val="00642D21"/>
    <w:rsid w:val="00643168"/>
    <w:rsid w:val="00643743"/>
    <w:rsid w:val="00643AB5"/>
    <w:rsid w:val="00643AC1"/>
    <w:rsid w:val="00643B77"/>
    <w:rsid w:val="00643BDB"/>
    <w:rsid w:val="00643CB0"/>
    <w:rsid w:val="00643CE9"/>
    <w:rsid w:val="00643D62"/>
    <w:rsid w:val="00643F92"/>
    <w:rsid w:val="00643FF1"/>
    <w:rsid w:val="00644A5E"/>
    <w:rsid w:val="00644A6C"/>
    <w:rsid w:val="00644D69"/>
    <w:rsid w:val="0064523E"/>
    <w:rsid w:val="006452A7"/>
    <w:rsid w:val="0064535E"/>
    <w:rsid w:val="00645420"/>
    <w:rsid w:val="006457A8"/>
    <w:rsid w:val="0064585D"/>
    <w:rsid w:val="00645A2D"/>
    <w:rsid w:val="00645D01"/>
    <w:rsid w:val="00645DAB"/>
    <w:rsid w:val="00645EA0"/>
    <w:rsid w:val="00645F76"/>
    <w:rsid w:val="00646217"/>
    <w:rsid w:val="00646561"/>
    <w:rsid w:val="006468EE"/>
    <w:rsid w:val="006469CF"/>
    <w:rsid w:val="00646BFA"/>
    <w:rsid w:val="00646DE1"/>
    <w:rsid w:val="00646EB0"/>
    <w:rsid w:val="0064714D"/>
    <w:rsid w:val="0064727D"/>
    <w:rsid w:val="00647442"/>
    <w:rsid w:val="00647A85"/>
    <w:rsid w:val="00647B32"/>
    <w:rsid w:val="00647C18"/>
    <w:rsid w:val="00647C27"/>
    <w:rsid w:val="00647D15"/>
    <w:rsid w:val="00650528"/>
    <w:rsid w:val="00650655"/>
    <w:rsid w:val="0065097D"/>
    <w:rsid w:val="00650A5A"/>
    <w:rsid w:val="00650D23"/>
    <w:rsid w:val="00651353"/>
    <w:rsid w:val="006518BF"/>
    <w:rsid w:val="006519E6"/>
    <w:rsid w:val="00651A8C"/>
    <w:rsid w:val="00651B19"/>
    <w:rsid w:val="00651CDE"/>
    <w:rsid w:val="006521DF"/>
    <w:rsid w:val="00652326"/>
    <w:rsid w:val="006523A5"/>
    <w:rsid w:val="006527F9"/>
    <w:rsid w:val="006528F6"/>
    <w:rsid w:val="00652907"/>
    <w:rsid w:val="00652E06"/>
    <w:rsid w:val="00652E86"/>
    <w:rsid w:val="00652F30"/>
    <w:rsid w:val="00653197"/>
    <w:rsid w:val="00653387"/>
    <w:rsid w:val="0065362C"/>
    <w:rsid w:val="00653C1D"/>
    <w:rsid w:val="00653FC4"/>
    <w:rsid w:val="006540A0"/>
    <w:rsid w:val="0065422C"/>
    <w:rsid w:val="006544BA"/>
    <w:rsid w:val="00654A60"/>
    <w:rsid w:val="00654B57"/>
    <w:rsid w:val="00654EA7"/>
    <w:rsid w:val="00654F91"/>
    <w:rsid w:val="00655361"/>
    <w:rsid w:val="0065536E"/>
    <w:rsid w:val="00655527"/>
    <w:rsid w:val="006556D3"/>
    <w:rsid w:val="00655908"/>
    <w:rsid w:val="00655A7F"/>
    <w:rsid w:val="00655D15"/>
    <w:rsid w:val="00655E9F"/>
    <w:rsid w:val="00655ED7"/>
    <w:rsid w:val="00656253"/>
    <w:rsid w:val="00656723"/>
    <w:rsid w:val="00656787"/>
    <w:rsid w:val="00656799"/>
    <w:rsid w:val="006568B7"/>
    <w:rsid w:val="00656B77"/>
    <w:rsid w:val="00656E72"/>
    <w:rsid w:val="0065737B"/>
    <w:rsid w:val="00657567"/>
    <w:rsid w:val="006578A1"/>
    <w:rsid w:val="006579BB"/>
    <w:rsid w:val="00657A32"/>
    <w:rsid w:val="00657A50"/>
    <w:rsid w:val="00657C5F"/>
    <w:rsid w:val="0066030B"/>
    <w:rsid w:val="00660321"/>
    <w:rsid w:val="006605BA"/>
    <w:rsid w:val="006605CD"/>
    <w:rsid w:val="00660774"/>
    <w:rsid w:val="0066091F"/>
    <w:rsid w:val="00660C73"/>
    <w:rsid w:val="00660F9F"/>
    <w:rsid w:val="0066103F"/>
    <w:rsid w:val="0066105C"/>
    <w:rsid w:val="00661067"/>
    <w:rsid w:val="00661113"/>
    <w:rsid w:val="006612CE"/>
    <w:rsid w:val="0066137B"/>
    <w:rsid w:val="006614A0"/>
    <w:rsid w:val="006614B7"/>
    <w:rsid w:val="0066169B"/>
    <w:rsid w:val="0066174E"/>
    <w:rsid w:val="006619FF"/>
    <w:rsid w:val="00661B20"/>
    <w:rsid w:val="00661B7E"/>
    <w:rsid w:val="00661BBB"/>
    <w:rsid w:val="00661CB1"/>
    <w:rsid w:val="00661E57"/>
    <w:rsid w:val="00661EA7"/>
    <w:rsid w:val="00662070"/>
    <w:rsid w:val="00662759"/>
    <w:rsid w:val="0066291E"/>
    <w:rsid w:val="006629E4"/>
    <w:rsid w:val="00662A21"/>
    <w:rsid w:val="00662B0D"/>
    <w:rsid w:val="00662B4D"/>
    <w:rsid w:val="00662D3E"/>
    <w:rsid w:val="00662FBE"/>
    <w:rsid w:val="006632D8"/>
    <w:rsid w:val="006634DD"/>
    <w:rsid w:val="00663756"/>
    <w:rsid w:val="00663783"/>
    <w:rsid w:val="00663794"/>
    <w:rsid w:val="00663B7E"/>
    <w:rsid w:val="00663BFE"/>
    <w:rsid w:val="00663C75"/>
    <w:rsid w:val="00663D3A"/>
    <w:rsid w:val="00663D58"/>
    <w:rsid w:val="00663E47"/>
    <w:rsid w:val="00663EF1"/>
    <w:rsid w:val="00663F19"/>
    <w:rsid w:val="006641C7"/>
    <w:rsid w:val="006644A7"/>
    <w:rsid w:val="006647B9"/>
    <w:rsid w:val="0066481B"/>
    <w:rsid w:val="00664A0B"/>
    <w:rsid w:val="00664A5F"/>
    <w:rsid w:val="00664B26"/>
    <w:rsid w:val="00664BDE"/>
    <w:rsid w:val="00664E23"/>
    <w:rsid w:val="006653DE"/>
    <w:rsid w:val="006654A1"/>
    <w:rsid w:val="0066565B"/>
    <w:rsid w:val="0066586F"/>
    <w:rsid w:val="006659FD"/>
    <w:rsid w:val="00665C44"/>
    <w:rsid w:val="00665CF9"/>
    <w:rsid w:val="00665CFA"/>
    <w:rsid w:val="006661B6"/>
    <w:rsid w:val="006661B7"/>
    <w:rsid w:val="006661CE"/>
    <w:rsid w:val="00666284"/>
    <w:rsid w:val="00666414"/>
    <w:rsid w:val="006665C5"/>
    <w:rsid w:val="006667F3"/>
    <w:rsid w:val="00666AC5"/>
    <w:rsid w:val="00666B01"/>
    <w:rsid w:val="00666BDB"/>
    <w:rsid w:val="00666BEE"/>
    <w:rsid w:val="00666FC8"/>
    <w:rsid w:val="006671C2"/>
    <w:rsid w:val="00667362"/>
    <w:rsid w:val="0066788E"/>
    <w:rsid w:val="00667A4C"/>
    <w:rsid w:val="00667ACF"/>
    <w:rsid w:val="00667AEA"/>
    <w:rsid w:val="00667C06"/>
    <w:rsid w:val="00667DD4"/>
    <w:rsid w:val="006702C7"/>
    <w:rsid w:val="0067030B"/>
    <w:rsid w:val="0067040B"/>
    <w:rsid w:val="006704FA"/>
    <w:rsid w:val="00670617"/>
    <w:rsid w:val="00670687"/>
    <w:rsid w:val="006707EC"/>
    <w:rsid w:val="00670DC5"/>
    <w:rsid w:val="006711A9"/>
    <w:rsid w:val="00671500"/>
    <w:rsid w:val="00671652"/>
    <w:rsid w:val="0067173F"/>
    <w:rsid w:val="00671D6D"/>
    <w:rsid w:val="00671DEE"/>
    <w:rsid w:val="00671FAA"/>
    <w:rsid w:val="00672072"/>
    <w:rsid w:val="006722F7"/>
    <w:rsid w:val="00672752"/>
    <w:rsid w:val="00672B61"/>
    <w:rsid w:val="00672B63"/>
    <w:rsid w:val="006731DB"/>
    <w:rsid w:val="006733C4"/>
    <w:rsid w:val="0067347C"/>
    <w:rsid w:val="0067373A"/>
    <w:rsid w:val="00674193"/>
    <w:rsid w:val="006746A6"/>
    <w:rsid w:val="00674810"/>
    <w:rsid w:val="00674D0D"/>
    <w:rsid w:val="006755D0"/>
    <w:rsid w:val="00675B1F"/>
    <w:rsid w:val="00675DA5"/>
    <w:rsid w:val="00676144"/>
    <w:rsid w:val="006761BE"/>
    <w:rsid w:val="006769B8"/>
    <w:rsid w:val="00676A11"/>
    <w:rsid w:val="00676D73"/>
    <w:rsid w:val="00676EAA"/>
    <w:rsid w:val="00676FB9"/>
    <w:rsid w:val="006770EE"/>
    <w:rsid w:val="006774E6"/>
    <w:rsid w:val="00677799"/>
    <w:rsid w:val="006777B9"/>
    <w:rsid w:val="00677866"/>
    <w:rsid w:val="006778B6"/>
    <w:rsid w:val="006778BA"/>
    <w:rsid w:val="00677B2A"/>
    <w:rsid w:val="00677E05"/>
    <w:rsid w:val="00680482"/>
    <w:rsid w:val="00680734"/>
    <w:rsid w:val="0068073F"/>
    <w:rsid w:val="0068080E"/>
    <w:rsid w:val="006808DC"/>
    <w:rsid w:val="00680C07"/>
    <w:rsid w:val="00680EAB"/>
    <w:rsid w:val="006814D0"/>
    <w:rsid w:val="006814F3"/>
    <w:rsid w:val="00681596"/>
    <w:rsid w:val="006816B6"/>
    <w:rsid w:val="006817D6"/>
    <w:rsid w:val="00681860"/>
    <w:rsid w:val="006820EB"/>
    <w:rsid w:val="00682128"/>
    <w:rsid w:val="0068220C"/>
    <w:rsid w:val="006823DB"/>
    <w:rsid w:val="0068250D"/>
    <w:rsid w:val="00682529"/>
    <w:rsid w:val="00682667"/>
    <w:rsid w:val="006828FC"/>
    <w:rsid w:val="00682AB1"/>
    <w:rsid w:val="00682C9A"/>
    <w:rsid w:val="00682E9F"/>
    <w:rsid w:val="00682ECA"/>
    <w:rsid w:val="00682F1B"/>
    <w:rsid w:val="00683252"/>
    <w:rsid w:val="0068343A"/>
    <w:rsid w:val="006834D4"/>
    <w:rsid w:val="00683635"/>
    <w:rsid w:val="006838BD"/>
    <w:rsid w:val="00683AEC"/>
    <w:rsid w:val="00683D2E"/>
    <w:rsid w:val="00683E04"/>
    <w:rsid w:val="00683E65"/>
    <w:rsid w:val="00683F97"/>
    <w:rsid w:val="00684056"/>
    <w:rsid w:val="0068413D"/>
    <w:rsid w:val="00684375"/>
    <w:rsid w:val="006844BA"/>
    <w:rsid w:val="006845A2"/>
    <w:rsid w:val="00684A51"/>
    <w:rsid w:val="00684BF8"/>
    <w:rsid w:val="00684D9B"/>
    <w:rsid w:val="00684E51"/>
    <w:rsid w:val="00684ED3"/>
    <w:rsid w:val="00685160"/>
    <w:rsid w:val="0068533B"/>
    <w:rsid w:val="0068573B"/>
    <w:rsid w:val="006858A7"/>
    <w:rsid w:val="006858AA"/>
    <w:rsid w:val="00685BCF"/>
    <w:rsid w:val="00685EC6"/>
    <w:rsid w:val="006860DC"/>
    <w:rsid w:val="00686371"/>
    <w:rsid w:val="00686D70"/>
    <w:rsid w:val="00686F2A"/>
    <w:rsid w:val="00687049"/>
    <w:rsid w:val="00687071"/>
    <w:rsid w:val="006870C5"/>
    <w:rsid w:val="006871D0"/>
    <w:rsid w:val="00687239"/>
    <w:rsid w:val="0068739B"/>
    <w:rsid w:val="006874BF"/>
    <w:rsid w:val="006874F1"/>
    <w:rsid w:val="0068751F"/>
    <w:rsid w:val="006876D3"/>
    <w:rsid w:val="00687786"/>
    <w:rsid w:val="00687ADA"/>
    <w:rsid w:val="00687B66"/>
    <w:rsid w:val="00687E9F"/>
    <w:rsid w:val="006900D1"/>
    <w:rsid w:val="00690297"/>
    <w:rsid w:val="006902D4"/>
    <w:rsid w:val="00690321"/>
    <w:rsid w:val="0069064D"/>
    <w:rsid w:val="006906D7"/>
    <w:rsid w:val="006907A0"/>
    <w:rsid w:val="0069081C"/>
    <w:rsid w:val="00690A38"/>
    <w:rsid w:val="00690AD5"/>
    <w:rsid w:val="00690D31"/>
    <w:rsid w:val="00690DB7"/>
    <w:rsid w:val="00690F76"/>
    <w:rsid w:val="00690FD1"/>
    <w:rsid w:val="00691026"/>
    <w:rsid w:val="0069115A"/>
    <w:rsid w:val="00691231"/>
    <w:rsid w:val="006912F1"/>
    <w:rsid w:val="00691387"/>
    <w:rsid w:val="006913A2"/>
    <w:rsid w:val="00691555"/>
    <w:rsid w:val="006915A0"/>
    <w:rsid w:val="006915A7"/>
    <w:rsid w:val="0069175A"/>
    <w:rsid w:val="00691885"/>
    <w:rsid w:val="006919EA"/>
    <w:rsid w:val="00691FFB"/>
    <w:rsid w:val="00692096"/>
    <w:rsid w:val="006921AB"/>
    <w:rsid w:val="00692504"/>
    <w:rsid w:val="006927F2"/>
    <w:rsid w:val="00692C54"/>
    <w:rsid w:val="00692EA0"/>
    <w:rsid w:val="006931E1"/>
    <w:rsid w:val="006935C4"/>
    <w:rsid w:val="006938E3"/>
    <w:rsid w:val="00693989"/>
    <w:rsid w:val="00693F20"/>
    <w:rsid w:val="00693FF2"/>
    <w:rsid w:val="00694310"/>
    <w:rsid w:val="006945ED"/>
    <w:rsid w:val="00694700"/>
    <w:rsid w:val="006947CB"/>
    <w:rsid w:val="00694803"/>
    <w:rsid w:val="00694A14"/>
    <w:rsid w:val="00694CE8"/>
    <w:rsid w:val="00695174"/>
    <w:rsid w:val="00695576"/>
    <w:rsid w:val="0069569E"/>
    <w:rsid w:val="006956C6"/>
    <w:rsid w:val="006956FA"/>
    <w:rsid w:val="00695790"/>
    <w:rsid w:val="00695D7E"/>
    <w:rsid w:val="0069631B"/>
    <w:rsid w:val="006963E8"/>
    <w:rsid w:val="006965C2"/>
    <w:rsid w:val="006965FA"/>
    <w:rsid w:val="00696D21"/>
    <w:rsid w:val="00696EE3"/>
    <w:rsid w:val="0069715D"/>
    <w:rsid w:val="00697392"/>
    <w:rsid w:val="006973E5"/>
    <w:rsid w:val="00697664"/>
    <w:rsid w:val="00697681"/>
    <w:rsid w:val="0069770C"/>
    <w:rsid w:val="006977A2"/>
    <w:rsid w:val="006A0186"/>
    <w:rsid w:val="006A0216"/>
    <w:rsid w:val="006A02D6"/>
    <w:rsid w:val="006A08F2"/>
    <w:rsid w:val="006A095F"/>
    <w:rsid w:val="006A0AA8"/>
    <w:rsid w:val="006A0B52"/>
    <w:rsid w:val="006A0E68"/>
    <w:rsid w:val="006A0E82"/>
    <w:rsid w:val="006A10A3"/>
    <w:rsid w:val="006A151A"/>
    <w:rsid w:val="006A15CD"/>
    <w:rsid w:val="006A16CB"/>
    <w:rsid w:val="006A1E62"/>
    <w:rsid w:val="006A1FCE"/>
    <w:rsid w:val="006A21FE"/>
    <w:rsid w:val="006A282D"/>
    <w:rsid w:val="006A2870"/>
    <w:rsid w:val="006A2A12"/>
    <w:rsid w:val="006A2B36"/>
    <w:rsid w:val="006A2E9C"/>
    <w:rsid w:val="006A30E3"/>
    <w:rsid w:val="006A336A"/>
    <w:rsid w:val="006A34DF"/>
    <w:rsid w:val="006A3522"/>
    <w:rsid w:val="006A35E0"/>
    <w:rsid w:val="006A377F"/>
    <w:rsid w:val="006A384A"/>
    <w:rsid w:val="006A3875"/>
    <w:rsid w:val="006A3ACF"/>
    <w:rsid w:val="006A3D40"/>
    <w:rsid w:val="006A432D"/>
    <w:rsid w:val="006A448B"/>
    <w:rsid w:val="006A47D1"/>
    <w:rsid w:val="006A4955"/>
    <w:rsid w:val="006A4D6F"/>
    <w:rsid w:val="006A4EC3"/>
    <w:rsid w:val="006A52A3"/>
    <w:rsid w:val="006A53C9"/>
    <w:rsid w:val="006A561D"/>
    <w:rsid w:val="006A564D"/>
    <w:rsid w:val="006A5857"/>
    <w:rsid w:val="006A5A0C"/>
    <w:rsid w:val="006A5BA0"/>
    <w:rsid w:val="006A5BB1"/>
    <w:rsid w:val="006A5F88"/>
    <w:rsid w:val="006A649F"/>
    <w:rsid w:val="006A66CA"/>
    <w:rsid w:val="006A68C6"/>
    <w:rsid w:val="006A6B77"/>
    <w:rsid w:val="006A6C0D"/>
    <w:rsid w:val="006A6E2B"/>
    <w:rsid w:val="006A6EA8"/>
    <w:rsid w:val="006A6FC7"/>
    <w:rsid w:val="006A6FD0"/>
    <w:rsid w:val="006A7146"/>
    <w:rsid w:val="006A74E1"/>
    <w:rsid w:val="006A762F"/>
    <w:rsid w:val="006A778D"/>
    <w:rsid w:val="006A7877"/>
    <w:rsid w:val="006A789E"/>
    <w:rsid w:val="006A790B"/>
    <w:rsid w:val="006A7D95"/>
    <w:rsid w:val="006B0084"/>
    <w:rsid w:val="006B04DD"/>
    <w:rsid w:val="006B061A"/>
    <w:rsid w:val="006B0CCC"/>
    <w:rsid w:val="006B114F"/>
    <w:rsid w:val="006B11FF"/>
    <w:rsid w:val="006B120D"/>
    <w:rsid w:val="006B13C1"/>
    <w:rsid w:val="006B153C"/>
    <w:rsid w:val="006B1587"/>
    <w:rsid w:val="006B1C81"/>
    <w:rsid w:val="006B226F"/>
    <w:rsid w:val="006B2276"/>
    <w:rsid w:val="006B2513"/>
    <w:rsid w:val="006B273E"/>
    <w:rsid w:val="006B27EE"/>
    <w:rsid w:val="006B2A94"/>
    <w:rsid w:val="006B2BE4"/>
    <w:rsid w:val="006B2CC7"/>
    <w:rsid w:val="006B2D55"/>
    <w:rsid w:val="006B2D65"/>
    <w:rsid w:val="006B33C2"/>
    <w:rsid w:val="006B3724"/>
    <w:rsid w:val="006B39C0"/>
    <w:rsid w:val="006B3AF9"/>
    <w:rsid w:val="006B3D7F"/>
    <w:rsid w:val="006B403D"/>
    <w:rsid w:val="006B417E"/>
    <w:rsid w:val="006B44C5"/>
    <w:rsid w:val="006B4D60"/>
    <w:rsid w:val="006B510A"/>
    <w:rsid w:val="006B53AF"/>
    <w:rsid w:val="006B555F"/>
    <w:rsid w:val="006B577D"/>
    <w:rsid w:val="006B6242"/>
    <w:rsid w:val="006B62DB"/>
    <w:rsid w:val="006B63A2"/>
    <w:rsid w:val="006B64AA"/>
    <w:rsid w:val="006B66A5"/>
    <w:rsid w:val="006B6910"/>
    <w:rsid w:val="006B6BE8"/>
    <w:rsid w:val="006B6C7C"/>
    <w:rsid w:val="006B6DC1"/>
    <w:rsid w:val="006B6EA4"/>
    <w:rsid w:val="006B7605"/>
    <w:rsid w:val="006B77BB"/>
    <w:rsid w:val="006B7EF6"/>
    <w:rsid w:val="006B7F59"/>
    <w:rsid w:val="006B7F8F"/>
    <w:rsid w:val="006B7FC5"/>
    <w:rsid w:val="006C0531"/>
    <w:rsid w:val="006C055E"/>
    <w:rsid w:val="006C07C9"/>
    <w:rsid w:val="006C07FA"/>
    <w:rsid w:val="006C08D3"/>
    <w:rsid w:val="006C0981"/>
    <w:rsid w:val="006C0B00"/>
    <w:rsid w:val="006C0CC6"/>
    <w:rsid w:val="006C0D13"/>
    <w:rsid w:val="006C0DB9"/>
    <w:rsid w:val="006C1060"/>
    <w:rsid w:val="006C1482"/>
    <w:rsid w:val="006C187F"/>
    <w:rsid w:val="006C19BC"/>
    <w:rsid w:val="006C19D5"/>
    <w:rsid w:val="006C1B44"/>
    <w:rsid w:val="006C1B6E"/>
    <w:rsid w:val="006C1D76"/>
    <w:rsid w:val="006C1E14"/>
    <w:rsid w:val="006C1F77"/>
    <w:rsid w:val="006C2165"/>
    <w:rsid w:val="006C2211"/>
    <w:rsid w:val="006C2312"/>
    <w:rsid w:val="006C2474"/>
    <w:rsid w:val="006C260D"/>
    <w:rsid w:val="006C28EB"/>
    <w:rsid w:val="006C2C90"/>
    <w:rsid w:val="006C3031"/>
    <w:rsid w:val="006C3607"/>
    <w:rsid w:val="006C377D"/>
    <w:rsid w:val="006C389B"/>
    <w:rsid w:val="006C3990"/>
    <w:rsid w:val="006C3ED2"/>
    <w:rsid w:val="006C4233"/>
    <w:rsid w:val="006C42A9"/>
    <w:rsid w:val="006C42E7"/>
    <w:rsid w:val="006C4422"/>
    <w:rsid w:val="006C4446"/>
    <w:rsid w:val="006C44D9"/>
    <w:rsid w:val="006C4F15"/>
    <w:rsid w:val="006C59F4"/>
    <w:rsid w:val="006C5B56"/>
    <w:rsid w:val="006C5C53"/>
    <w:rsid w:val="006C5C98"/>
    <w:rsid w:val="006C5CCA"/>
    <w:rsid w:val="006C5E43"/>
    <w:rsid w:val="006C605A"/>
    <w:rsid w:val="006C6112"/>
    <w:rsid w:val="006C615C"/>
    <w:rsid w:val="006C625F"/>
    <w:rsid w:val="006C636E"/>
    <w:rsid w:val="006C65AC"/>
    <w:rsid w:val="006C6911"/>
    <w:rsid w:val="006C6967"/>
    <w:rsid w:val="006C6BBA"/>
    <w:rsid w:val="006C6E45"/>
    <w:rsid w:val="006C6EDF"/>
    <w:rsid w:val="006C7446"/>
    <w:rsid w:val="006C746A"/>
    <w:rsid w:val="006C748C"/>
    <w:rsid w:val="006C78A6"/>
    <w:rsid w:val="006C7AB4"/>
    <w:rsid w:val="006C7C9E"/>
    <w:rsid w:val="006C7D92"/>
    <w:rsid w:val="006C7ED5"/>
    <w:rsid w:val="006D0001"/>
    <w:rsid w:val="006D006B"/>
    <w:rsid w:val="006D0204"/>
    <w:rsid w:val="006D087D"/>
    <w:rsid w:val="006D0CCA"/>
    <w:rsid w:val="006D0D30"/>
    <w:rsid w:val="006D103D"/>
    <w:rsid w:val="006D105C"/>
    <w:rsid w:val="006D15A7"/>
    <w:rsid w:val="006D17D4"/>
    <w:rsid w:val="006D1A1F"/>
    <w:rsid w:val="006D2191"/>
    <w:rsid w:val="006D2A16"/>
    <w:rsid w:val="006D2A37"/>
    <w:rsid w:val="006D2F19"/>
    <w:rsid w:val="006D30E7"/>
    <w:rsid w:val="006D32D2"/>
    <w:rsid w:val="006D399F"/>
    <w:rsid w:val="006D3A25"/>
    <w:rsid w:val="006D3AD3"/>
    <w:rsid w:val="006D3AF6"/>
    <w:rsid w:val="006D3C66"/>
    <w:rsid w:val="006D4368"/>
    <w:rsid w:val="006D445E"/>
    <w:rsid w:val="006D45F0"/>
    <w:rsid w:val="006D48E7"/>
    <w:rsid w:val="006D4947"/>
    <w:rsid w:val="006D4C1B"/>
    <w:rsid w:val="006D4D1D"/>
    <w:rsid w:val="006D4D78"/>
    <w:rsid w:val="006D52F5"/>
    <w:rsid w:val="006D55AE"/>
    <w:rsid w:val="006D5600"/>
    <w:rsid w:val="006D5673"/>
    <w:rsid w:val="006D5744"/>
    <w:rsid w:val="006D5F16"/>
    <w:rsid w:val="006D620E"/>
    <w:rsid w:val="006D63AD"/>
    <w:rsid w:val="006D65DF"/>
    <w:rsid w:val="006D6764"/>
    <w:rsid w:val="006D67D9"/>
    <w:rsid w:val="006D6853"/>
    <w:rsid w:val="006D6916"/>
    <w:rsid w:val="006D692D"/>
    <w:rsid w:val="006D6C93"/>
    <w:rsid w:val="006D6C9C"/>
    <w:rsid w:val="006D7097"/>
    <w:rsid w:val="006D73AF"/>
    <w:rsid w:val="006D7573"/>
    <w:rsid w:val="006D78FA"/>
    <w:rsid w:val="006D79C1"/>
    <w:rsid w:val="006D7A5E"/>
    <w:rsid w:val="006D7E34"/>
    <w:rsid w:val="006E0340"/>
    <w:rsid w:val="006E0422"/>
    <w:rsid w:val="006E06F9"/>
    <w:rsid w:val="006E07A9"/>
    <w:rsid w:val="006E0AED"/>
    <w:rsid w:val="006E0D8D"/>
    <w:rsid w:val="006E0D91"/>
    <w:rsid w:val="006E1140"/>
    <w:rsid w:val="006E1519"/>
    <w:rsid w:val="006E16F4"/>
    <w:rsid w:val="006E1706"/>
    <w:rsid w:val="006E1721"/>
    <w:rsid w:val="006E187B"/>
    <w:rsid w:val="006E1FA8"/>
    <w:rsid w:val="006E2055"/>
    <w:rsid w:val="006E2669"/>
    <w:rsid w:val="006E2E41"/>
    <w:rsid w:val="006E2F84"/>
    <w:rsid w:val="006E33BA"/>
    <w:rsid w:val="006E3513"/>
    <w:rsid w:val="006E36A8"/>
    <w:rsid w:val="006E3888"/>
    <w:rsid w:val="006E39F5"/>
    <w:rsid w:val="006E3A01"/>
    <w:rsid w:val="006E3CB2"/>
    <w:rsid w:val="006E3DA8"/>
    <w:rsid w:val="006E4256"/>
    <w:rsid w:val="006E431A"/>
    <w:rsid w:val="006E4380"/>
    <w:rsid w:val="006E4651"/>
    <w:rsid w:val="006E4778"/>
    <w:rsid w:val="006E47B2"/>
    <w:rsid w:val="006E4954"/>
    <w:rsid w:val="006E4A1F"/>
    <w:rsid w:val="006E4C8F"/>
    <w:rsid w:val="006E4D2E"/>
    <w:rsid w:val="006E52A7"/>
    <w:rsid w:val="006E5CC4"/>
    <w:rsid w:val="006E5DAA"/>
    <w:rsid w:val="006E5F08"/>
    <w:rsid w:val="006E5FF6"/>
    <w:rsid w:val="006E633B"/>
    <w:rsid w:val="006E63B0"/>
    <w:rsid w:val="006E66CE"/>
    <w:rsid w:val="006E67E3"/>
    <w:rsid w:val="006E68E0"/>
    <w:rsid w:val="006E6D05"/>
    <w:rsid w:val="006E6E89"/>
    <w:rsid w:val="006E6F0E"/>
    <w:rsid w:val="006E7006"/>
    <w:rsid w:val="006E7265"/>
    <w:rsid w:val="006E7376"/>
    <w:rsid w:val="006E76BB"/>
    <w:rsid w:val="006E7866"/>
    <w:rsid w:val="006E7DAE"/>
    <w:rsid w:val="006E7DCF"/>
    <w:rsid w:val="006F007E"/>
    <w:rsid w:val="006F00E7"/>
    <w:rsid w:val="006F0204"/>
    <w:rsid w:val="006F065F"/>
    <w:rsid w:val="006F07A0"/>
    <w:rsid w:val="006F0AE1"/>
    <w:rsid w:val="006F0CE2"/>
    <w:rsid w:val="006F0F6E"/>
    <w:rsid w:val="006F1051"/>
    <w:rsid w:val="006F108F"/>
    <w:rsid w:val="006F1206"/>
    <w:rsid w:val="006F13C2"/>
    <w:rsid w:val="006F172D"/>
    <w:rsid w:val="006F1785"/>
    <w:rsid w:val="006F1916"/>
    <w:rsid w:val="006F1A5A"/>
    <w:rsid w:val="006F1B22"/>
    <w:rsid w:val="006F1BA4"/>
    <w:rsid w:val="006F2259"/>
    <w:rsid w:val="006F23E1"/>
    <w:rsid w:val="006F2EB3"/>
    <w:rsid w:val="006F2F8F"/>
    <w:rsid w:val="006F2FDA"/>
    <w:rsid w:val="006F2FE5"/>
    <w:rsid w:val="006F3016"/>
    <w:rsid w:val="006F3043"/>
    <w:rsid w:val="006F3234"/>
    <w:rsid w:val="006F3460"/>
    <w:rsid w:val="006F34FE"/>
    <w:rsid w:val="006F3615"/>
    <w:rsid w:val="006F3CFF"/>
    <w:rsid w:val="006F3D99"/>
    <w:rsid w:val="006F3FA3"/>
    <w:rsid w:val="006F4111"/>
    <w:rsid w:val="006F4226"/>
    <w:rsid w:val="006F42DF"/>
    <w:rsid w:val="006F44B2"/>
    <w:rsid w:val="006F48BA"/>
    <w:rsid w:val="006F4A88"/>
    <w:rsid w:val="006F4AF9"/>
    <w:rsid w:val="006F4D5D"/>
    <w:rsid w:val="006F53F2"/>
    <w:rsid w:val="006F54EB"/>
    <w:rsid w:val="006F591F"/>
    <w:rsid w:val="006F5BCE"/>
    <w:rsid w:val="006F5C14"/>
    <w:rsid w:val="006F5C43"/>
    <w:rsid w:val="006F5CC1"/>
    <w:rsid w:val="006F5E5B"/>
    <w:rsid w:val="006F5E67"/>
    <w:rsid w:val="006F5F2F"/>
    <w:rsid w:val="006F61A0"/>
    <w:rsid w:val="006F67A5"/>
    <w:rsid w:val="006F6A29"/>
    <w:rsid w:val="006F707B"/>
    <w:rsid w:val="006F72E0"/>
    <w:rsid w:val="006F762D"/>
    <w:rsid w:val="006F763E"/>
    <w:rsid w:val="006F76B3"/>
    <w:rsid w:val="006F7997"/>
    <w:rsid w:val="006F7AF9"/>
    <w:rsid w:val="006F7D0E"/>
    <w:rsid w:val="006F7DAB"/>
    <w:rsid w:val="006F7EA1"/>
    <w:rsid w:val="007000A2"/>
    <w:rsid w:val="007001A9"/>
    <w:rsid w:val="00700208"/>
    <w:rsid w:val="007002E0"/>
    <w:rsid w:val="00700349"/>
    <w:rsid w:val="00700492"/>
    <w:rsid w:val="00700515"/>
    <w:rsid w:val="0070098A"/>
    <w:rsid w:val="00700C8D"/>
    <w:rsid w:val="00700F1B"/>
    <w:rsid w:val="00701203"/>
    <w:rsid w:val="00701440"/>
    <w:rsid w:val="0070167E"/>
    <w:rsid w:val="00701A9A"/>
    <w:rsid w:val="00701BB4"/>
    <w:rsid w:val="00701E1B"/>
    <w:rsid w:val="007025BB"/>
    <w:rsid w:val="007028B5"/>
    <w:rsid w:val="007029AE"/>
    <w:rsid w:val="00702AE5"/>
    <w:rsid w:val="00702B31"/>
    <w:rsid w:val="00702ED0"/>
    <w:rsid w:val="00703085"/>
    <w:rsid w:val="007033EA"/>
    <w:rsid w:val="00703529"/>
    <w:rsid w:val="00703C09"/>
    <w:rsid w:val="00703E55"/>
    <w:rsid w:val="00703F8B"/>
    <w:rsid w:val="007040E1"/>
    <w:rsid w:val="0070434A"/>
    <w:rsid w:val="00704476"/>
    <w:rsid w:val="0070449D"/>
    <w:rsid w:val="007045DE"/>
    <w:rsid w:val="007048C4"/>
    <w:rsid w:val="00704CC4"/>
    <w:rsid w:val="00705345"/>
    <w:rsid w:val="007053E4"/>
    <w:rsid w:val="00705662"/>
    <w:rsid w:val="00705AC2"/>
    <w:rsid w:val="00705B8D"/>
    <w:rsid w:val="00705C73"/>
    <w:rsid w:val="00705E7C"/>
    <w:rsid w:val="00705E91"/>
    <w:rsid w:val="00705F22"/>
    <w:rsid w:val="00706332"/>
    <w:rsid w:val="0070638D"/>
    <w:rsid w:val="0070662F"/>
    <w:rsid w:val="00706654"/>
    <w:rsid w:val="00706A7F"/>
    <w:rsid w:val="00706AC9"/>
    <w:rsid w:val="00706DBF"/>
    <w:rsid w:val="0070705A"/>
    <w:rsid w:val="0070711E"/>
    <w:rsid w:val="007071A6"/>
    <w:rsid w:val="007075E6"/>
    <w:rsid w:val="00707A59"/>
    <w:rsid w:val="00707B18"/>
    <w:rsid w:val="00710011"/>
    <w:rsid w:val="00710045"/>
    <w:rsid w:val="007103C0"/>
    <w:rsid w:val="0071046B"/>
    <w:rsid w:val="00710786"/>
    <w:rsid w:val="00710A25"/>
    <w:rsid w:val="00710AC6"/>
    <w:rsid w:val="00710C1D"/>
    <w:rsid w:val="00710E9C"/>
    <w:rsid w:val="00710F1C"/>
    <w:rsid w:val="007110A3"/>
    <w:rsid w:val="00711108"/>
    <w:rsid w:val="00711213"/>
    <w:rsid w:val="0071129E"/>
    <w:rsid w:val="007112A1"/>
    <w:rsid w:val="00711335"/>
    <w:rsid w:val="007117E9"/>
    <w:rsid w:val="00711996"/>
    <w:rsid w:val="00711B3B"/>
    <w:rsid w:val="00711BA3"/>
    <w:rsid w:val="00711BB1"/>
    <w:rsid w:val="00711BC4"/>
    <w:rsid w:val="00711BDC"/>
    <w:rsid w:val="00711C9D"/>
    <w:rsid w:val="00711F8E"/>
    <w:rsid w:val="00712B71"/>
    <w:rsid w:val="00712D9B"/>
    <w:rsid w:val="00712E55"/>
    <w:rsid w:val="00712F77"/>
    <w:rsid w:val="00713023"/>
    <w:rsid w:val="0071322C"/>
    <w:rsid w:val="0071351B"/>
    <w:rsid w:val="0071362E"/>
    <w:rsid w:val="00713779"/>
    <w:rsid w:val="007137D3"/>
    <w:rsid w:val="00713989"/>
    <w:rsid w:val="00713B16"/>
    <w:rsid w:val="00713DCF"/>
    <w:rsid w:val="00713F5E"/>
    <w:rsid w:val="00714004"/>
    <w:rsid w:val="0071411E"/>
    <w:rsid w:val="00714386"/>
    <w:rsid w:val="00714418"/>
    <w:rsid w:val="0071458E"/>
    <w:rsid w:val="007145C9"/>
    <w:rsid w:val="00714631"/>
    <w:rsid w:val="00714B6E"/>
    <w:rsid w:val="00714E65"/>
    <w:rsid w:val="00714FEF"/>
    <w:rsid w:val="0071512F"/>
    <w:rsid w:val="007154D4"/>
    <w:rsid w:val="007158D7"/>
    <w:rsid w:val="00715A31"/>
    <w:rsid w:val="00715C97"/>
    <w:rsid w:val="00715CFA"/>
    <w:rsid w:val="00715E51"/>
    <w:rsid w:val="007166EA"/>
    <w:rsid w:val="007169AC"/>
    <w:rsid w:val="007169DD"/>
    <w:rsid w:val="007170FA"/>
    <w:rsid w:val="00717159"/>
    <w:rsid w:val="007171BF"/>
    <w:rsid w:val="00717243"/>
    <w:rsid w:val="00717271"/>
    <w:rsid w:val="00717280"/>
    <w:rsid w:val="0071751C"/>
    <w:rsid w:val="00717679"/>
    <w:rsid w:val="007176CE"/>
    <w:rsid w:val="0071772D"/>
    <w:rsid w:val="00717B67"/>
    <w:rsid w:val="00717FDD"/>
    <w:rsid w:val="007203B7"/>
    <w:rsid w:val="007206A2"/>
    <w:rsid w:val="00720B38"/>
    <w:rsid w:val="00720BFD"/>
    <w:rsid w:val="00720CA7"/>
    <w:rsid w:val="00720EDE"/>
    <w:rsid w:val="00720F5A"/>
    <w:rsid w:val="00721042"/>
    <w:rsid w:val="0072112B"/>
    <w:rsid w:val="007211A7"/>
    <w:rsid w:val="0072147B"/>
    <w:rsid w:val="0072163B"/>
    <w:rsid w:val="007217C0"/>
    <w:rsid w:val="0072181E"/>
    <w:rsid w:val="00721890"/>
    <w:rsid w:val="007218B1"/>
    <w:rsid w:val="007219F5"/>
    <w:rsid w:val="00721C64"/>
    <w:rsid w:val="0072215D"/>
    <w:rsid w:val="0072220D"/>
    <w:rsid w:val="00722267"/>
    <w:rsid w:val="00722501"/>
    <w:rsid w:val="0072285E"/>
    <w:rsid w:val="00722899"/>
    <w:rsid w:val="007228FF"/>
    <w:rsid w:val="00722B17"/>
    <w:rsid w:val="00722BB8"/>
    <w:rsid w:val="00722BD6"/>
    <w:rsid w:val="00722C62"/>
    <w:rsid w:val="00722DA8"/>
    <w:rsid w:val="007231BD"/>
    <w:rsid w:val="0072321F"/>
    <w:rsid w:val="00723295"/>
    <w:rsid w:val="00723301"/>
    <w:rsid w:val="007238E2"/>
    <w:rsid w:val="00723945"/>
    <w:rsid w:val="007239B4"/>
    <w:rsid w:val="00723F4F"/>
    <w:rsid w:val="00723F9D"/>
    <w:rsid w:val="00724236"/>
    <w:rsid w:val="00724446"/>
    <w:rsid w:val="007244C4"/>
    <w:rsid w:val="00724584"/>
    <w:rsid w:val="00724AA1"/>
    <w:rsid w:val="00724B8E"/>
    <w:rsid w:val="00724C42"/>
    <w:rsid w:val="00724D03"/>
    <w:rsid w:val="00724D39"/>
    <w:rsid w:val="00724FA6"/>
    <w:rsid w:val="007251F5"/>
    <w:rsid w:val="007252A1"/>
    <w:rsid w:val="007252C8"/>
    <w:rsid w:val="007252E3"/>
    <w:rsid w:val="00725431"/>
    <w:rsid w:val="007255FA"/>
    <w:rsid w:val="00725A06"/>
    <w:rsid w:val="00725A19"/>
    <w:rsid w:val="00725C03"/>
    <w:rsid w:val="007262CA"/>
    <w:rsid w:val="00726356"/>
    <w:rsid w:val="0072647A"/>
    <w:rsid w:val="007268C7"/>
    <w:rsid w:val="00726AAB"/>
    <w:rsid w:val="00726B08"/>
    <w:rsid w:val="00726FDA"/>
    <w:rsid w:val="00727077"/>
    <w:rsid w:val="0072707A"/>
    <w:rsid w:val="0072744B"/>
    <w:rsid w:val="0072792E"/>
    <w:rsid w:val="00727BEF"/>
    <w:rsid w:val="00727E50"/>
    <w:rsid w:val="00730305"/>
    <w:rsid w:val="0073061B"/>
    <w:rsid w:val="0073069C"/>
    <w:rsid w:val="007308FD"/>
    <w:rsid w:val="0073095C"/>
    <w:rsid w:val="00730D20"/>
    <w:rsid w:val="00730E91"/>
    <w:rsid w:val="00730EA6"/>
    <w:rsid w:val="00730FF9"/>
    <w:rsid w:val="0073149E"/>
    <w:rsid w:val="0073185C"/>
    <w:rsid w:val="0073193A"/>
    <w:rsid w:val="00731C15"/>
    <w:rsid w:val="00732045"/>
    <w:rsid w:val="007322A0"/>
    <w:rsid w:val="0073233E"/>
    <w:rsid w:val="00732391"/>
    <w:rsid w:val="007323C3"/>
    <w:rsid w:val="0073244C"/>
    <w:rsid w:val="00732576"/>
    <w:rsid w:val="0073264B"/>
    <w:rsid w:val="00732750"/>
    <w:rsid w:val="00732C1A"/>
    <w:rsid w:val="00732E55"/>
    <w:rsid w:val="007336DE"/>
    <w:rsid w:val="00733749"/>
    <w:rsid w:val="00733AE4"/>
    <w:rsid w:val="00733CDC"/>
    <w:rsid w:val="0073444E"/>
    <w:rsid w:val="00734B73"/>
    <w:rsid w:val="00734B9A"/>
    <w:rsid w:val="00734BB9"/>
    <w:rsid w:val="00734E0C"/>
    <w:rsid w:val="00734F71"/>
    <w:rsid w:val="007351FA"/>
    <w:rsid w:val="00735289"/>
    <w:rsid w:val="00735569"/>
    <w:rsid w:val="0073567F"/>
    <w:rsid w:val="00735695"/>
    <w:rsid w:val="00735752"/>
    <w:rsid w:val="00735D51"/>
    <w:rsid w:val="00735DB0"/>
    <w:rsid w:val="00735E30"/>
    <w:rsid w:val="007360CB"/>
    <w:rsid w:val="00736216"/>
    <w:rsid w:val="00736362"/>
    <w:rsid w:val="007364C3"/>
    <w:rsid w:val="00736588"/>
    <w:rsid w:val="007365D2"/>
    <w:rsid w:val="0073689E"/>
    <w:rsid w:val="00736967"/>
    <w:rsid w:val="0073696C"/>
    <w:rsid w:val="00736AF4"/>
    <w:rsid w:val="00737312"/>
    <w:rsid w:val="007373AD"/>
    <w:rsid w:val="00737566"/>
    <w:rsid w:val="00737CBB"/>
    <w:rsid w:val="00737EC9"/>
    <w:rsid w:val="00740246"/>
    <w:rsid w:val="00740344"/>
    <w:rsid w:val="007404CB"/>
    <w:rsid w:val="00740873"/>
    <w:rsid w:val="00740D07"/>
    <w:rsid w:val="00740DE7"/>
    <w:rsid w:val="007413AD"/>
    <w:rsid w:val="00741514"/>
    <w:rsid w:val="00741750"/>
    <w:rsid w:val="00741835"/>
    <w:rsid w:val="00741BA2"/>
    <w:rsid w:val="00741CF4"/>
    <w:rsid w:val="00741D62"/>
    <w:rsid w:val="00741DCC"/>
    <w:rsid w:val="00741DE2"/>
    <w:rsid w:val="007421A1"/>
    <w:rsid w:val="00742364"/>
    <w:rsid w:val="00742405"/>
    <w:rsid w:val="007427FE"/>
    <w:rsid w:val="00742C51"/>
    <w:rsid w:val="00742CBB"/>
    <w:rsid w:val="0074302B"/>
    <w:rsid w:val="00743445"/>
    <w:rsid w:val="007436E9"/>
    <w:rsid w:val="007437D9"/>
    <w:rsid w:val="00743CD9"/>
    <w:rsid w:val="00743EA0"/>
    <w:rsid w:val="007442EB"/>
    <w:rsid w:val="007444C2"/>
    <w:rsid w:val="00744618"/>
    <w:rsid w:val="00744A59"/>
    <w:rsid w:val="00744DF5"/>
    <w:rsid w:val="00744FAA"/>
    <w:rsid w:val="00745106"/>
    <w:rsid w:val="00745149"/>
    <w:rsid w:val="007455CE"/>
    <w:rsid w:val="007455DC"/>
    <w:rsid w:val="00745A80"/>
    <w:rsid w:val="00745D98"/>
    <w:rsid w:val="00745E01"/>
    <w:rsid w:val="007463C9"/>
    <w:rsid w:val="0074658F"/>
    <w:rsid w:val="0074666B"/>
    <w:rsid w:val="007468D6"/>
    <w:rsid w:val="00746BFF"/>
    <w:rsid w:val="00746EEA"/>
    <w:rsid w:val="007473E1"/>
    <w:rsid w:val="00747516"/>
    <w:rsid w:val="0074752C"/>
    <w:rsid w:val="0074764A"/>
    <w:rsid w:val="00747897"/>
    <w:rsid w:val="00747D24"/>
    <w:rsid w:val="00747E47"/>
    <w:rsid w:val="00747FA4"/>
    <w:rsid w:val="00750009"/>
    <w:rsid w:val="00750080"/>
    <w:rsid w:val="007500B9"/>
    <w:rsid w:val="00750192"/>
    <w:rsid w:val="007504E1"/>
    <w:rsid w:val="00750544"/>
    <w:rsid w:val="007505EE"/>
    <w:rsid w:val="00750804"/>
    <w:rsid w:val="007509AB"/>
    <w:rsid w:val="00750CDF"/>
    <w:rsid w:val="00750D48"/>
    <w:rsid w:val="0075104B"/>
    <w:rsid w:val="00751104"/>
    <w:rsid w:val="007512DF"/>
    <w:rsid w:val="0075166B"/>
    <w:rsid w:val="00751689"/>
    <w:rsid w:val="00751943"/>
    <w:rsid w:val="00751C9D"/>
    <w:rsid w:val="00751DA7"/>
    <w:rsid w:val="007524AA"/>
    <w:rsid w:val="00752504"/>
    <w:rsid w:val="0075254A"/>
    <w:rsid w:val="0075269F"/>
    <w:rsid w:val="00752839"/>
    <w:rsid w:val="00753056"/>
    <w:rsid w:val="007534E3"/>
    <w:rsid w:val="007535A9"/>
    <w:rsid w:val="00753744"/>
    <w:rsid w:val="007539E1"/>
    <w:rsid w:val="00753A93"/>
    <w:rsid w:val="00753C2E"/>
    <w:rsid w:val="00753E67"/>
    <w:rsid w:val="00754166"/>
    <w:rsid w:val="007545CE"/>
    <w:rsid w:val="00754872"/>
    <w:rsid w:val="007548BF"/>
    <w:rsid w:val="00754921"/>
    <w:rsid w:val="00755069"/>
    <w:rsid w:val="007551B3"/>
    <w:rsid w:val="00755663"/>
    <w:rsid w:val="00755B6F"/>
    <w:rsid w:val="00755BA8"/>
    <w:rsid w:val="00755D7D"/>
    <w:rsid w:val="007560F2"/>
    <w:rsid w:val="00756386"/>
    <w:rsid w:val="00756603"/>
    <w:rsid w:val="007567BB"/>
    <w:rsid w:val="00756B7B"/>
    <w:rsid w:val="00756D5B"/>
    <w:rsid w:val="00757097"/>
    <w:rsid w:val="00757391"/>
    <w:rsid w:val="00757510"/>
    <w:rsid w:val="0075756B"/>
    <w:rsid w:val="007575C0"/>
    <w:rsid w:val="00757604"/>
    <w:rsid w:val="00757774"/>
    <w:rsid w:val="0075782C"/>
    <w:rsid w:val="00757B22"/>
    <w:rsid w:val="00757D2F"/>
    <w:rsid w:val="0076000E"/>
    <w:rsid w:val="00760321"/>
    <w:rsid w:val="007607B3"/>
    <w:rsid w:val="007607CB"/>
    <w:rsid w:val="007608AC"/>
    <w:rsid w:val="00760ACD"/>
    <w:rsid w:val="00760C00"/>
    <w:rsid w:val="00760CDF"/>
    <w:rsid w:val="00760EB8"/>
    <w:rsid w:val="00760FD6"/>
    <w:rsid w:val="007610E9"/>
    <w:rsid w:val="00761728"/>
    <w:rsid w:val="0076190F"/>
    <w:rsid w:val="00761B6C"/>
    <w:rsid w:val="00761C6C"/>
    <w:rsid w:val="00761C7C"/>
    <w:rsid w:val="00762192"/>
    <w:rsid w:val="007624D2"/>
    <w:rsid w:val="007628C6"/>
    <w:rsid w:val="00762B72"/>
    <w:rsid w:val="00762BD0"/>
    <w:rsid w:val="00762CE1"/>
    <w:rsid w:val="00762E03"/>
    <w:rsid w:val="007634D9"/>
    <w:rsid w:val="007635A9"/>
    <w:rsid w:val="007635E3"/>
    <w:rsid w:val="00763CCB"/>
    <w:rsid w:val="00763D1B"/>
    <w:rsid w:val="0076425F"/>
    <w:rsid w:val="007642B4"/>
    <w:rsid w:val="007645A0"/>
    <w:rsid w:val="0076488B"/>
    <w:rsid w:val="00764B34"/>
    <w:rsid w:val="00764C45"/>
    <w:rsid w:val="00764CC5"/>
    <w:rsid w:val="0076505F"/>
    <w:rsid w:val="007654D4"/>
    <w:rsid w:val="007658EE"/>
    <w:rsid w:val="00765999"/>
    <w:rsid w:val="007659F6"/>
    <w:rsid w:val="00765C83"/>
    <w:rsid w:val="00765E09"/>
    <w:rsid w:val="00765FE4"/>
    <w:rsid w:val="0076605B"/>
    <w:rsid w:val="007661F3"/>
    <w:rsid w:val="00766277"/>
    <w:rsid w:val="0076656A"/>
    <w:rsid w:val="00766701"/>
    <w:rsid w:val="00766783"/>
    <w:rsid w:val="007667E1"/>
    <w:rsid w:val="00766911"/>
    <w:rsid w:val="00766A36"/>
    <w:rsid w:val="00766DA1"/>
    <w:rsid w:val="00766F65"/>
    <w:rsid w:val="00767158"/>
    <w:rsid w:val="00767473"/>
    <w:rsid w:val="00767793"/>
    <w:rsid w:val="007679D8"/>
    <w:rsid w:val="0077036E"/>
    <w:rsid w:val="00770717"/>
    <w:rsid w:val="00770803"/>
    <w:rsid w:val="007709B7"/>
    <w:rsid w:val="00770E6A"/>
    <w:rsid w:val="00770E91"/>
    <w:rsid w:val="00771319"/>
    <w:rsid w:val="007713E8"/>
    <w:rsid w:val="0077159E"/>
    <w:rsid w:val="00771794"/>
    <w:rsid w:val="0077180E"/>
    <w:rsid w:val="00771C34"/>
    <w:rsid w:val="00771CCF"/>
    <w:rsid w:val="00771E24"/>
    <w:rsid w:val="00771E97"/>
    <w:rsid w:val="00771F7D"/>
    <w:rsid w:val="00771FEB"/>
    <w:rsid w:val="00772128"/>
    <w:rsid w:val="007728DC"/>
    <w:rsid w:val="00772AA0"/>
    <w:rsid w:val="00772BEE"/>
    <w:rsid w:val="00772C3E"/>
    <w:rsid w:val="00772C50"/>
    <w:rsid w:val="007736E8"/>
    <w:rsid w:val="00773735"/>
    <w:rsid w:val="0077407A"/>
    <w:rsid w:val="007743E2"/>
    <w:rsid w:val="007744A9"/>
    <w:rsid w:val="007745C8"/>
    <w:rsid w:val="007746DA"/>
    <w:rsid w:val="007747F7"/>
    <w:rsid w:val="00774924"/>
    <w:rsid w:val="00774ACE"/>
    <w:rsid w:val="00774E9A"/>
    <w:rsid w:val="00774F6F"/>
    <w:rsid w:val="00775823"/>
    <w:rsid w:val="007758DA"/>
    <w:rsid w:val="00775A07"/>
    <w:rsid w:val="00775C00"/>
    <w:rsid w:val="00775C7F"/>
    <w:rsid w:val="00775CCD"/>
    <w:rsid w:val="00775F57"/>
    <w:rsid w:val="00776584"/>
    <w:rsid w:val="007766E6"/>
    <w:rsid w:val="007769EF"/>
    <w:rsid w:val="00776D4F"/>
    <w:rsid w:val="00776DDC"/>
    <w:rsid w:val="00776F2B"/>
    <w:rsid w:val="00776F57"/>
    <w:rsid w:val="007770E6"/>
    <w:rsid w:val="007770F9"/>
    <w:rsid w:val="00777179"/>
    <w:rsid w:val="00777526"/>
    <w:rsid w:val="007776CF"/>
    <w:rsid w:val="00777945"/>
    <w:rsid w:val="00777D40"/>
    <w:rsid w:val="00777DBE"/>
    <w:rsid w:val="007803A9"/>
    <w:rsid w:val="0078070A"/>
    <w:rsid w:val="00780B8D"/>
    <w:rsid w:val="00780B8E"/>
    <w:rsid w:val="00780C91"/>
    <w:rsid w:val="00781649"/>
    <w:rsid w:val="00781E23"/>
    <w:rsid w:val="00781E60"/>
    <w:rsid w:val="0078223B"/>
    <w:rsid w:val="007823D6"/>
    <w:rsid w:val="00782400"/>
    <w:rsid w:val="007824F5"/>
    <w:rsid w:val="0078254E"/>
    <w:rsid w:val="00782628"/>
    <w:rsid w:val="007826AB"/>
    <w:rsid w:val="00782803"/>
    <w:rsid w:val="00782F10"/>
    <w:rsid w:val="0078339C"/>
    <w:rsid w:val="0078355C"/>
    <w:rsid w:val="00783924"/>
    <w:rsid w:val="00783CE1"/>
    <w:rsid w:val="007840E2"/>
    <w:rsid w:val="007841B5"/>
    <w:rsid w:val="00784286"/>
    <w:rsid w:val="00784450"/>
    <w:rsid w:val="00784677"/>
    <w:rsid w:val="00784782"/>
    <w:rsid w:val="00784A6E"/>
    <w:rsid w:val="00784F60"/>
    <w:rsid w:val="0078569F"/>
    <w:rsid w:val="00785803"/>
    <w:rsid w:val="00785BA2"/>
    <w:rsid w:val="00785BD3"/>
    <w:rsid w:val="00785D21"/>
    <w:rsid w:val="00785E9C"/>
    <w:rsid w:val="00785EB4"/>
    <w:rsid w:val="0078609A"/>
    <w:rsid w:val="007866F1"/>
    <w:rsid w:val="00786861"/>
    <w:rsid w:val="0078694E"/>
    <w:rsid w:val="00786DDC"/>
    <w:rsid w:val="00786EDF"/>
    <w:rsid w:val="00786F85"/>
    <w:rsid w:val="00786FB7"/>
    <w:rsid w:val="0078731A"/>
    <w:rsid w:val="00787487"/>
    <w:rsid w:val="0078780D"/>
    <w:rsid w:val="007878FB"/>
    <w:rsid w:val="0078798C"/>
    <w:rsid w:val="007900AD"/>
    <w:rsid w:val="007901E7"/>
    <w:rsid w:val="007906F1"/>
    <w:rsid w:val="00790BF8"/>
    <w:rsid w:val="00790E2F"/>
    <w:rsid w:val="00790EDA"/>
    <w:rsid w:val="00791306"/>
    <w:rsid w:val="0079132C"/>
    <w:rsid w:val="00791349"/>
    <w:rsid w:val="0079164B"/>
    <w:rsid w:val="007917E1"/>
    <w:rsid w:val="00791AC5"/>
    <w:rsid w:val="00791B07"/>
    <w:rsid w:val="00791CB5"/>
    <w:rsid w:val="00791D85"/>
    <w:rsid w:val="00791DAF"/>
    <w:rsid w:val="0079219A"/>
    <w:rsid w:val="007921E2"/>
    <w:rsid w:val="00792442"/>
    <w:rsid w:val="007924CA"/>
    <w:rsid w:val="007929C7"/>
    <w:rsid w:val="007929F8"/>
    <w:rsid w:val="00792A9C"/>
    <w:rsid w:val="007939D1"/>
    <w:rsid w:val="00793DA5"/>
    <w:rsid w:val="00794350"/>
    <w:rsid w:val="007945D1"/>
    <w:rsid w:val="00794B9C"/>
    <w:rsid w:val="00794C91"/>
    <w:rsid w:val="00794CBF"/>
    <w:rsid w:val="00794EA3"/>
    <w:rsid w:val="00795035"/>
    <w:rsid w:val="007950C0"/>
    <w:rsid w:val="007951F9"/>
    <w:rsid w:val="0079531E"/>
    <w:rsid w:val="00795365"/>
    <w:rsid w:val="007954C8"/>
    <w:rsid w:val="007954CE"/>
    <w:rsid w:val="0079567E"/>
    <w:rsid w:val="00795B15"/>
    <w:rsid w:val="00795CE0"/>
    <w:rsid w:val="00795F09"/>
    <w:rsid w:val="00795F4B"/>
    <w:rsid w:val="007961D5"/>
    <w:rsid w:val="007969CF"/>
    <w:rsid w:val="00796A6F"/>
    <w:rsid w:val="00796B84"/>
    <w:rsid w:val="00796C5D"/>
    <w:rsid w:val="00797519"/>
    <w:rsid w:val="0079752E"/>
    <w:rsid w:val="00797763"/>
    <w:rsid w:val="00797837"/>
    <w:rsid w:val="00797B06"/>
    <w:rsid w:val="00797B9C"/>
    <w:rsid w:val="00797FB1"/>
    <w:rsid w:val="007A0028"/>
    <w:rsid w:val="007A0483"/>
    <w:rsid w:val="007A0683"/>
    <w:rsid w:val="007A07ED"/>
    <w:rsid w:val="007A09E3"/>
    <w:rsid w:val="007A0B21"/>
    <w:rsid w:val="007A0B4F"/>
    <w:rsid w:val="007A0E40"/>
    <w:rsid w:val="007A0E48"/>
    <w:rsid w:val="007A1065"/>
    <w:rsid w:val="007A1093"/>
    <w:rsid w:val="007A1477"/>
    <w:rsid w:val="007A1D86"/>
    <w:rsid w:val="007A1F2A"/>
    <w:rsid w:val="007A1F62"/>
    <w:rsid w:val="007A208A"/>
    <w:rsid w:val="007A2295"/>
    <w:rsid w:val="007A23A6"/>
    <w:rsid w:val="007A2A97"/>
    <w:rsid w:val="007A2CDC"/>
    <w:rsid w:val="007A2DD4"/>
    <w:rsid w:val="007A2F8A"/>
    <w:rsid w:val="007A3270"/>
    <w:rsid w:val="007A34BB"/>
    <w:rsid w:val="007A3654"/>
    <w:rsid w:val="007A371B"/>
    <w:rsid w:val="007A3803"/>
    <w:rsid w:val="007A3832"/>
    <w:rsid w:val="007A3A0F"/>
    <w:rsid w:val="007A3D2D"/>
    <w:rsid w:val="007A3D9A"/>
    <w:rsid w:val="007A3E60"/>
    <w:rsid w:val="007A407D"/>
    <w:rsid w:val="007A40BD"/>
    <w:rsid w:val="007A423F"/>
    <w:rsid w:val="007A464F"/>
    <w:rsid w:val="007A516B"/>
    <w:rsid w:val="007A52E1"/>
    <w:rsid w:val="007A53EB"/>
    <w:rsid w:val="007A54ED"/>
    <w:rsid w:val="007A5755"/>
    <w:rsid w:val="007A5D73"/>
    <w:rsid w:val="007A5EC1"/>
    <w:rsid w:val="007A60A7"/>
    <w:rsid w:val="007A6196"/>
    <w:rsid w:val="007A63D5"/>
    <w:rsid w:val="007A689A"/>
    <w:rsid w:val="007A68AC"/>
    <w:rsid w:val="007A68EA"/>
    <w:rsid w:val="007A68EB"/>
    <w:rsid w:val="007A6979"/>
    <w:rsid w:val="007A6A4E"/>
    <w:rsid w:val="007A6A78"/>
    <w:rsid w:val="007A6B7D"/>
    <w:rsid w:val="007A6CE1"/>
    <w:rsid w:val="007A73A0"/>
    <w:rsid w:val="007A7497"/>
    <w:rsid w:val="007A7515"/>
    <w:rsid w:val="007A759D"/>
    <w:rsid w:val="007A7629"/>
    <w:rsid w:val="007A7779"/>
    <w:rsid w:val="007A7D01"/>
    <w:rsid w:val="007A7DD0"/>
    <w:rsid w:val="007B003C"/>
    <w:rsid w:val="007B0868"/>
    <w:rsid w:val="007B1027"/>
    <w:rsid w:val="007B139F"/>
    <w:rsid w:val="007B1691"/>
    <w:rsid w:val="007B174F"/>
    <w:rsid w:val="007B1863"/>
    <w:rsid w:val="007B1B81"/>
    <w:rsid w:val="007B2073"/>
    <w:rsid w:val="007B22E0"/>
    <w:rsid w:val="007B2424"/>
    <w:rsid w:val="007B2617"/>
    <w:rsid w:val="007B2666"/>
    <w:rsid w:val="007B28CA"/>
    <w:rsid w:val="007B2ADD"/>
    <w:rsid w:val="007B2C43"/>
    <w:rsid w:val="007B2CCA"/>
    <w:rsid w:val="007B2ED2"/>
    <w:rsid w:val="007B3244"/>
    <w:rsid w:val="007B32BD"/>
    <w:rsid w:val="007B33D4"/>
    <w:rsid w:val="007B342B"/>
    <w:rsid w:val="007B358D"/>
    <w:rsid w:val="007B3778"/>
    <w:rsid w:val="007B3C01"/>
    <w:rsid w:val="007B3D78"/>
    <w:rsid w:val="007B3EBE"/>
    <w:rsid w:val="007B4024"/>
    <w:rsid w:val="007B457B"/>
    <w:rsid w:val="007B4C12"/>
    <w:rsid w:val="007B4C6E"/>
    <w:rsid w:val="007B4DBE"/>
    <w:rsid w:val="007B5005"/>
    <w:rsid w:val="007B5359"/>
    <w:rsid w:val="007B5401"/>
    <w:rsid w:val="007B549D"/>
    <w:rsid w:val="007B58FC"/>
    <w:rsid w:val="007B5AA3"/>
    <w:rsid w:val="007B5C36"/>
    <w:rsid w:val="007B5C59"/>
    <w:rsid w:val="007B5D0F"/>
    <w:rsid w:val="007B5D71"/>
    <w:rsid w:val="007B5FB4"/>
    <w:rsid w:val="007B6074"/>
    <w:rsid w:val="007B647A"/>
    <w:rsid w:val="007B6650"/>
    <w:rsid w:val="007B6985"/>
    <w:rsid w:val="007B6B2B"/>
    <w:rsid w:val="007B6B94"/>
    <w:rsid w:val="007B6C08"/>
    <w:rsid w:val="007B700C"/>
    <w:rsid w:val="007B709D"/>
    <w:rsid w:val="007B71B9"/>
    <w:rsid w:val="007B7200"/>
    <w:rsid w:val="007B72FA"/>
    <w:rsid w:val="007B7446"/>
    <w:rsid w:val="007B7949"/>
    <w:rsid w:val="007B7D30"/>
    <w:rsid w:val="007B7D9F"/>
    <w:rsid w:val="007C0168"/>
    <w:rsid w:val="007C073A"/>
    <w:rsid w:val="007C0928"/>
    <w:rsid w:val="007C0EC1"/>
    <w:rsid w:val="007C0FA9"/>
    <w:rsid w:val="007C13A1"/>
    <w:rsid w:val="007C13EC"/>
    <w:rsid w:val="007C193A"/>
    <w:rsid w:val="007C194C"/>
    <w:rsid w:val="007C1FF2"/>
    <w:rsid w:val="007C2413"/>
    <w:rsid w:val="007C241D"/>
    <w:rsid w:val="007C25AE"/>
    <w:rsid w:val="007C281C"/>
    <w:rsid w:val="007C28CE"/>
    <w:rsid w:val="007C2CE1"/>
    <w:rsid w:val="007C2D0B"/>
    <w:rsid w:val="007C30DD"/>
    <w:rsid w:val="007C3152"/>
    <w:rsid w:val="007C333B"/>
    <w:rsid w:val="007C358A"/>
    <w:rsid w:val="007C3914"/>
    <w:rsid w:val="007C3AB0"/>
    <w:rsid w:val="007C3BE8"/>
    <w:rsid w:val="007C3BFC"/>
    <w:rsid w:val="007C3CEA"/>
    <w:rsid w:val="007C3D15"/>
    <w:rsid w:val="007C3D92"/>
    <w:rsid w:val="007C3E98"/>
    <w:rsid w:val="007C422C"/>
    <w:rsid w:val="007C42DD"/>
    <w:rsid w:val="007C45F4"/>
    <w:rsid w:val="007C472C"/>
    <w:rsid w:val="007C48D7"/>
    <w:rsid w:val="007C4DDB"/>
    <w:rsid w:val="007C4E4D"/>
    <w:rsid w:val="007C4EC5"/>
    <w:rsid w:val="007C4FA4"/>
    <w:rsid w:val="007C530D"/>
    <w:rsid w:val="007C543E"/>
    <w:rsid w:val="007C55A6"/>
    <w:rsid w:val="007C59A1"/>
    <w:rsid w:val="007C5A47"/>
    <w:rsid w:val="007C5A8F"/>
    <w:rsid w:val="007C5B38"/>
    <w:rsid w:val="007C5E2B"/>
    <w:rsid w:val="007C5F5E"/>
    <w:rsid w:val="007C617C"/>
    <w:rsid w:val="007C7182"/>
    <w:rsid w:val="007C72B2"/>
    <w:rsid w:val="007C76E8"/>
    <w:rsid w:val="007C77E3"/>
    <w:rsid w:val="007C791C"/>
    <w:rsid w:val="007C7B87"/>
    <w:rsid w:val="007C7CE1"/>
    <w:rsid w:val="007D01E6"/>
    <w:rsid w:val="007D035E"/>
    <w:rsid w:val="007D0396"/>
    <w:rsid w:val="007D03A4"/>
    <w:rsid w:val="007D03F9"/>
    <w:rsid w:val="007D0518"/>
    <w:rsid w:val="007D0644"/>
    <w:rsid w:val="007D06CC"/>
    <w:rsid w:val="007D0ACC"/>
    <w:rsid w:val="007D133D"/>
    <w:rsid w:val="007D1801"/>
    <w:rsid w:val="007D1DA6"/>
    <w:rsid w:val="007D1FE0"/>
    <w:rsid w:val="007D202E"/>
    <w:rsid w:val="007D20BB"/>
    <w:rsid w:val="007D261E"/>
    <w:rsid w:val="007D2656"/>
    <w:rsid w:val="007D29CD"/>
    <w:rsid w:val="007D2A2D"/>
    <w:rsid w:val="007D2D78"/>
    <w:rsid w:val="007D2D95"/>
    <w:rsid w:val="007D2F61"/>
    <w:rsid w:val="007D3004"/>
    <w:rsid w:val="007D3235"/>
    <w:rsid w:val="007D3988"/>
    <w:rsid w:val="007D3D0E"/>
    <w:rsid w:val="007D3D33"/>
    <w:rsid w:val="007D3DD4"/>
    <w:rsid w:val="007D3E2F"/>
    <w:rsid w:val="007D3E6B"/>
    <w:rsid w:val="007D41C2"/>
    <w:rsid w:val="007D4299"/>
    <w:rsid w:val="007D453D"/>
    <w:rsid w:val="007D475D"/>
    <w:rsid w:val="007D475E"/>
    <w:rsid w:val="007D49E6"/>
    <w:rsid w:val="007D4EAF"/>
    <w:rsid w:val="007D4F02"/>
    <w:rsid w:val="007D5049"/>
    <w:rsid w:val="007D5234"/>
    <w:rsid w:val="007D52C6"/>
    <w:rsid w:val="007D54A2"/>
    <w:rsid w:val="007D559B"/>
    <w:rsid w:val="007D55A4"/>
    <w:rsid w:val="007D55B8"/>
    <w:rsid w:val="007D58B0"/>
    <w:rsid w:val="007D5DE4"/>
    <w:rsid w:val="007D5E27"/>
    <w:rsid w:val="007D5F49"/>
    <w:rsid w:val="007D664E"/>
    <w:rsid w:val="007D66F9"/>
    <w:rsid w:val="007D674C"/>
    <w:rsid w:val="007D685D"/>
    <w:rsid w:val="007D696D"/>
    <w:rsid w:val="007D6B7B"/>
    <w:rsid w:val="007D6CF1"/>
    <w:rsid w:val="007D6DA6"/>
    <w:rsid w:val="007D7131"/>
    <w:rsid w:val="007D714A"/>
    <w:rsid w:val="007D71E2"/>
    <w:rsid w:val="007D7410"/>
    <w:rsid w:val="007D74DD"/>
    <w:rsid w:val="007D7BEC"/>
    <w:rsid w:val="007D7BF2"/>
    <w:rsid w:val="007D7CE3"/>
    <w:rsid w:val="007D7DBC"/>
    <w:rsid w:val="007D7F16"/>
    <w:rsid w:val="007D7F65"/>
    <w:rsid w:val="007E051A"/>
    <w:rsid w:val="007E0798"/>
    <w:rsid w:val="007E083C"/>
    <w:rsid w:val="007E13A7"/>
    <w:rsid w:val="007E1411"/>
    <w:rsid w:val="007E190E"/>
    <w:rsid w:val="007E1B72"/>
    <w:rsid w:val="007E1BC1"/>
    <w:rsid w:val="007E1D52"/>
    <w:rsid w:val="007E25D4"/>
    <w:rsid w:val="007E2733"/>
    <w:rsid w:val="007E2817"/>
    <w:rsid w:val="007E289B"/>
    <w:rsid w:val="007E2924"/>
    <w:rsid w:val="007E2C25"/>
    <w:rsid w:val="007E3408"/>
    <w:rsid w:val="007E3A12"/>
    <w:rsid w:val="007E3A18"/>
    <w:rsid w:val="007E3AEB"/>
    <w:rsid w:val="007E3E7D"/>
    <w:rsid w:val="007E3EE3"/>
    <w:rsid w:val="007E401C"/>
    <w:rsid w:val="007E402B"/>
    <w:rsid w:val="007E428D"/>
    <w:rsid w:val="007E436A"/>
    <w:rsid w:val="007E4B53"/>
    <w:rsid w:val="007E5517"/>
    <w:rsid w:val="007E57DE"/>
    <w:rsid w:val="007E5902"/>
    <w:rsid w:val="007E5DDA"/>
    <w:rsid w:val="007E6093"/>
    <w:rsid w:val="007E6649"/>
    <w:rsid w:val="007E668C"/>
    <w:rsid w:val="007E6719"/>
    <w:rsid w:val="007E6737"/>
    <w:rsid w:val="007E68ED"/>
    <w:rsid w:val="007E69ED"/>
    <w:rsid w:val="007E6B46"/>
    <w:rsid w:val="007E6E0C"/>
    <w:rsid w:val="007E6EF8"/>
    <w:rsid w:val="007E6F8A"/>
    <w:rsid w:val="007E6FE0"/>
    <w:rsid w:val="007E71ED"/>
    <w:rsid w:val="007E7513"/>
    <w:rsid w:val="007E7B2D"/>
    <w:rsid w:val="007F009B"/>
    <w:rsid w:val="007F00C2"/>
    <w:rsid w:val="007F01FC"/>
    <w:rsid w:val="007F0221"/>
    <w:rsid w:val="007F034B"/>
    <w:rsid w:val="007F03B1"/>
    <w:rsid w:val="007F04EB"/>
    <w:rsid w:val="007F0604"/>
    <w:rsid w:val="007F069E"/>
    <w:rsid w:val="007F07B9"/>
    <w:rsid w:val="007F0872"/>
    <w:rsid w:val="007F0928"/>
    <w:rsid w:val="007F0B1E"/>
    <w:rsid w:val="007F15CE"/>
    <w:rsid w:val="007F164F"/>
    <w:rsid w:val="007F1695"/>
    <w:rsid w:val="007F19F9"/>
    <w:rsid w:val="007F1E88"/>
    <w:rsid w:val="007F1F7E"/>
    <w:rsid w:val="007F24A3"/>
    <w:rsid w:val="007F2C0E"/>
    <w:rsid w:val="007F2CD7"/>
    <w:rsid w:val="007F3201"/>
    <w:rsid w:val="007F34F2"/>
    <w:rsid w:val="007F3568"/>
    <w:rsid w:val="007F3855"/>
    <w:rsid w:val="007F3A89"/>
    <w:rsid w:val="007F415F"/>
    <w:rsid w:val="007F422D"/>
    <w:rsid w:val="007F4244"/>
    <w:rsid w:val="007F44CE"/>
    <w:rsid w:val="007F4695"/>
    <w:rsid w:val="007F492B"/>
    <w:rsid w:val="007F4A3E"/>
    <w:rsid w:val="007F4DBA"/>
    <w:rsid w:val="007F4E21"/>
    <w:rsid w:val="007F5064"/>
    <w:rsid w:val="007F519C"/>
    <w:rsid w:val="007F534D"/>
    <w:rsid w:val="007F54A2"/>
    <w:rsid w:val="007F54FE"/>
    <w:rsid w:val="007F5535"/>
    <w:rsid w:val="007F5AFD"/>
    <w:rsid w:val="007F5C30"/>
    <w:rsid w:val="007F5D32"/>
    <w:rsid w:val="007F5D56"/>
    <w:rsid w:val="007F5E9B"/>
    <w:rsid w:val="007F619C"/>
    <w:rsid w:val="007F6238"/>
    <w:rsid w:val="007F6394"/>
    <w:rsid w:val="007F64F2"/>
    <w:rsid w:val="007F698A"/>
    <w:rsid w:val="007F6E39"/>
    <w:rsid w:val="007F6E98"/>
    <w:rsid w:val="007F6F5C"/>
    <w:rsid w:val="007F7292"/>
    <w:rsid w:val="007F72DC"/>
    <w:rsid w:val="007F767D"/>
    <w:rsid w:val="007F7936"/>
    <w:rsid w:val="007F795F"/>
    <w:rsid w:val="007F7B27"/>
    <w:rsid w:val="007F7F93"/>
    <w:rsid w:val="007F7FE2"/>
    <w:rsid w:val="008004EF"/>
    <w:rsid w:val="008005C5"/>
    <w:rsid w:val="0080069C"/>
    <w:rsid w:val="008006FD"/>
    <w:rsid w:val="00800CE9"/>
    <w:rsid w:val="00800F8B"/>
    <w:rsid w:val="008011BA"/>
    <w:rsid w:val="0080123F"/>
    <w:rsid w:val="008013A0"/>
    <w:rsid w:val="0080148D"/>
    <w:rsid w:val="0080156B"/>
    <w:rsid w:val="0080184F"/>
    <w:rsid w:val="008018D4"/>
    <w:rsid w:val="00801A3A"/>
    <w:rsid w:val="00801C3B"/>
    <w:rsid w:val="00801E0E"/>
    <w:rsid w:val="00802014"/>
    <w:rsid w:val="008027A0"/>
    <w:rsid w:val="0080286D"/>
    <w:rsid w:val="00802A1D"/>
    <w:rsid w:val="00803206"/>
    <w:rsid w:val="0080333D"/>
    <w:rsid w:val="008037F3"/>
    <w:rsid w:val="0080387F"/>
    <w:rsid w:val="00803D6F"/>
    <w:rsid w:val="00804114"/>
    <w:rsid w:val="008043E1"/>
    <w:rsid w:val="00804634"/>
    <w:rsid w:val="008047E8"/>
    <w:rsid w:val="00804BA8"/>
    <w:rsid w:val="0080531C"/>
    <w:rsid w:val="0080531E"/>
    <w:rsid w:val="0080531F"/>
    <w:rsid w:val="008058F4"/>
    <w:rsid w:val="00805A80"/>
    <w:rsid w:val="00805AF8"/>
    <w:rsid w:val="00805C3D"/>
    <w:rsid w:val="00805E79"/>
    <w:rsid w:val="008062E6"/>
    <w:rsid w:val="00806324"/>
    <w:rsid w:val="008066DB"/>
    <w:rsid w:val="00806A62"/>
    <w:rsid w:val="00806F1D"/>
    <w:rsid w:val="0080732F"/>
    <w:rsid w:val="00807595"/>
    <w:rsid w:val="0080767C"/>
    <w:rsid w:val="008077ED"/>
    <w:rsid w:val="008078ED"/>
    <w:rsid w:val="00807B6F"/>
    <w:rsid w:val="00807C60"/>
    <w:rsid w:val="00807E93"/>
    <w:rsid w:val="0081006E"/>
    <w:rsid w:val="00810102"/>
    <w:rsid w:val="0081014F"/>
    <w:rsid w:val="00810172"/>
    <w:rsid w:val="00810230"/>
    <w:rsid w:val="008104F7"/>
    <w:rsid w:val="00810762"/>
    <w:rsid w:val="00810858"/>
    <w:rsid w:val="00810A24"/>
    <w:rsid w:val="00810EFF"/>
    <w:rsid w:val="00811314"/>
    <w:rsid w:val="00811509"/>
    <w:rsid w:val="00811A39"/>
    <w:rsid w:val="008123E0"/>
    <w:rsid w:val="00812439"/>
    <w:rsid w:val="008125C0"/>
    <w:rsid w:val="008125CF"/>
    <w:rsid w:val="008128C0"/>
    <w:rsid w:val="0081291B"/>
    <w:rsid w:val="00812B49"/>
    <w:rsid w:val="00812B62"/>
    <w:rsid w:val="00812D02"/>
    <w:rsid w:val="00812D62"/>
    <w:rsid w:val="00813022"/>
    <w:rsid w:val="00813458"/>
    <w:rsid w:val="00813622"/>
    <w:rsid w:val="0081372F"/>
    <w:rsid w:val="008137DC"/>
    <w:rsid w:val="008138B5"/>
    <w:rsid w:val="00813942"/>
    <w:rsid w:val="008139C8"/>
    <w:rsid w:val="00813C8F"/>
    <w:rsid w:val="00813DCF"/>
    <w:rsid w:val="00813FAB"/>
    <w:rsid w:val="00813FB2"/>
    <w:rsid w:val="008140BD"/>
    <w:rsid w:val="0081442D"/>
    <w:rsid w:val="0081488C"/>
    <w:rsid w:val="008148EF"/>
    <w:rsid w:val="0081498C"/>
    <w:rsid w:val="00814AE1"/>
    <w:rsid w:val="008154F7"/>
    <w:rsid w:val="008154FB"/>
    <w:rsid w:val="0081566C"/>
    <w:rsid w:val="00815775"/>
    <w:rsid w:val="00815A43"/>
    <w:rsid w:val="00815D31"/>
    <w:rsid w:val="0081601F"/>
    <w:rsid w:val="00816064"/>
    <w:rsid w:val="008165EF"/>
    <w:rsid w:val="00816A2E"/>
    <w:rsid w:val="00817126"/>
    <w:rsid w:val="008174B2"/>
    <w:rsid w:val="008174F9"/>
    <w:rsid w:val="00817C3D"/>
    <w:rsid w:val="00817C89"/>
    <w:rsid w:val="00817CFF"/>
    <w:rsid w:val="00817D03"/>
    <w:rsid w:val="00817E7E"/>
    <w:rsid w:val="0082000D"/>
    <w:rsid w:val="008202A6"/>
    <w:rsid w:val="0082037E"/>
    <w:rsid w:val="0082047F"/>
    <w:rsid w:val="00820563"/>
    <w:rsid w:val="008205FB"/>
    <w:rsid w:val="00820644"/>
    <w:rsid w:val="008208D7"/>
    <w:rsid w:val="00820945"/>
    <w:rsid w:val="0082095E"/>
    <w:rsid w:val="00820AC3"/>
    <w:rsid w:val="00820C9C"/>
    <w:rsid w:val="00820E01"/>
    <w:rsid w:val="00820E4B"/>
    <w:rsid w:val="00820EC8"/>
    <w:rsid w:val="00820F55"/>
    <w:rsid w:val="0082156E"/>
    <w:rsid w:val="00821572"/>
    <w:rsid w:val="008215C2"/>
    <w:rsid w:val="00821655"/>
    <w:rsid w:val="00821A5B"/>
    <w:rsid w:val="00821DC4"/>
    <w:rsid w:val="008220A9"/>
    <w:rsid w:val="00822267"/>
    <w:rsid w:val="00822310"/>
    <w:rsid w:val="00822377"/>
    <w:rsid w:val="008224AA"/>
    <w:rsid w:val="0082269C"/>
    <w:rsid w:val="00822943"/>
    <w:rsid w:val="00822A51"/>
    <w:rsid w:val="00822BA4"/>
    <w:rsid w:val="00822F1C"/>
    <w:rsid w:val="008231D0"/>
    <w:rsid w:val="0082354E"/>
    <w:rsid w:val="0082360E"/>
    <w:rsid w:val="0082362A"/>
    <w:rsid w:val="0082372F"/>
    <w:rsid w:val="00823794"/>
    <w:rsid w:val="008237F4"/>
    <w:rsid w:val="00823B5F"/>
    <w:rsid w:val="00823C1E"/>
    <w:rsid w:val="00823C43"/>
    <w:rsid w:val="00823F67"/>
    <w:rsid w:val="00824022"/>
    <w:rsid w:val="0082483A"/>
    <w:rsid w:val="00824A81"/>
    <w:rsid w:val="0082551D"/>
    <w:rsid w:val="00825664"/>
    <w:rsid w:val="008257B8"/>
    <w:rsid w:val="00825C8C"/>
    <w:rsid w:val="00825CCE"/>
    <w:rsid w:val="008260ED"/>
    <w:rsid w:val="0082653C"/>
    <w:rsid w:val="00826588"/>
    <w:rsid w:val="008265D4"/>
    <w:rsid w:val="008266E7"/>
    <w:rsid w:val="0082671D"/>
    <w:rsid w:val="0082692C"/>
    <w:rsid w:val="0082699D"/>
    <w:rsid w:val="00826D0A"/>
    <w:rsid w:val="00826E6B"/>
    <w:rsid w:val="00826E95"/>
    <w:rsid w:val="00826F0E"/>
    <w:rsid w:val="0082714B"/>
    <w:rsid w:val="008275FD"/>
    <w:rsid w:val="008278EA"/>
    <w:rsid w:val="008279C5"/>
    <w:rsid w:val="008309BA"/>
    <w:rsid w:val="00830B11"/>
    <w:rsid w:val="00830BA1"/>
    <w:rsid w:val="00830EB2"/>
    <w:rsid w:val="00831325"/>
    <w:rsid w:val="0083137D"/>
    <w:rsid w:val="008313D3"/>
    <w:rsid w:val="00831403"/>
    <w:rsid w:val="0083146C"/>
    <w:rsid w:val="00831652"/>
    <w:rsid w:val="008317AD"/>
    <w:rsid w:val="00831A1E"/>
    <w:rsid w:val="0083202E"/>
    <w:rsid w:val="00832196"/>
    <w:rsid w:val="0083229C"/>
    <w:rsid w:val="00832369"/>
    <w:rsid w:val="008326F4"/>
    <w:rsid w:val="00832900"/>
    <w:rsid w:val="00832CD0"/>
    <w:rsid w:val="00832FCE"/>
    <w:rsid w:val="0083304F"/>
    <w:rsid w:val="008331BA"/>
    <w:rsid w:val="0083348B"/>
    <w:rsid w:val="008334C9"/>
    <w:rsid w:val="0083392C"/>
    <w:rsid w:val="0083394C"/>
    <w:rsid w:val="00833A19"/>
    <w:rsid w:val="00833B73"/>
    <w:rsid w:val="00833C8A"/>
    <w:rsid w:val="00834122"/>
    <w:rsid w:val="008343D1"/>
    <w:rsid w:val="00834880"/>
    <w:rsid w:val="00834A9F"/>
    <w:rsid w:val="008350C6"/>
    <w:rsid w:val="0083519F"/>
    <w:rsid w:val="008352C5"/>
    <w:rsid w:val="00835508"/>
    <w:rsid w:val="008355D9"/>
    <w:rsid w:val="0083579E"/>
    <w:rsid w:val="00835842"/>
    <w:rsid w:val="00835875"/>
    <w:rsid w:val="008358A6"/>
    <w:rsid w:val="008359FB"/>
    <w:rsid w:val="00835C56"/>
    <w:rsid w:val="00835D00"/>
    <w:rsid w:val="00835D4C"/>
    <w:rsid w:val="00835DEB"/>
    <w:rsid w:val="008360FC"/>
    <w:rsid w:val="00836167"/>
    <w:rsid w:val="008361D6"/>
    <w:rsid w:val="00836287"/>
    <w:rsid w:val="008362A2"/>
    <w:rsid w:val="008366F3"/>
    <w:rsid w:val="008367A0"/>
    <w:rsid w:val="008369F5"/>
    <w:rsid w:val="00836B9E"/>
    <w:rsid w:val="00836D5A"/>
    <w:rsid w:val="00836E81"/>
    <w:rsid w:val="00836F47"/>
    <w:rsid w:val="008377C1"/>
    <w:rsid w:val="00837AE8"/>
    <w:rsid w:val="00837BE8"/>
    <w:rsid w:val="00837C60"/>
    <w:rsid w:val="00837C90"/>
    <w:rsid w:val="00837EB1"/>
    <w:rsid w:val="00840156"/>
    <w:rsid w:val="00840159"/>
    <w:rsid w:val="0084042B"/>
    <w:rsid w:val="00840502"/>
    <w:rsid w:val="008408E6"/>
    <w:rsid w:val="008409BB"/>
    <w:rsid w:val="00840ACC"/>
    <w:rsid w:val="00840B89"/>
    <w:rsid w:val="00841109"/>
    <w:rsid w:val="0084122A"/>
    <w:rsid w:val="0084139A"/>
    <w:rsid w:val="0084184A"/>
    <w:rsid w:val="008420A2"/>
    <w:rsid w:val="00842135"/>
    <w:rsid w:val="00842396"/>
    <w:rsid w:val="008423F2"/>
    <w:rsid w:val="008427DC"/>
    <w:rsid w:val="0084299E"/>
    <w:rsid w:val="00842A30"/>
    <w:rsid w:val="00842B87"/>
    <w:rsid w:val="00842BAC"/>
    <w:rsid w:val="00842E09"/>
    <w:rsid w:val="00842E28"/>
    <w:rsid w:val="00842E37"/>
    <w:rsid w:val="00842E6A"/>
    <w:rsid w:val="00842ED3"/>
    <w:rsid w:val="00842F71"/>
    <w:rsid w:val="00843179"/>
    <w:rsid w:val="0084329E"/>
    <w:rsid w:val="008436E5"/>
    <w:rsid w:val="0084386A"/>
    <w:rsid w:val="00843929"/>
    <w:rsid w:val="00843AAE"/>
    <w:rsid w:val="00843B56"/>
    <w:rsid w:val="00843BCC"/>
    <w:rsid w:val="00843E0E"/>
    <w:rsid w:val="00843ED0"/>
    <w:rsid w:val="008442AA"/>
    <w:rsid w:val="008442EA"/>
    <w:rsid w:val="00844589"/>
    <w:rsid w:val="0084472A"/>
    <w:rsid w:val="00844794"/>
    <w:rsid w:val="00844D0C"/>
    <w:rsid w:val="00844F4F"/>
    <w:rsid w:val="00844F86"/>
    <w:rsid w:val="00844FE7"/>
    <w:rsid w:val="008450AD"/>
    <w:rsid w:val="00845114"/>
    <w:rsid w:val="00845546"/>
    <w:rsid w:val="00845765"/>
    <w:rsid w:val="008458C4"/>
    <w:rsid w:val="008458CE"/>
    <w:rsid w:val="0084592D"/>
    <w:rsid w:val="00845969"/>
    <w:rsid w:val="00845A7D"/>
    <w:rsid w:val="00845A9B"/>
    <w:rsid w:val="00845DB4"/>
    <w:rsid w:val="00845F37"/>
    <w:rsid w:val="00845F68"/>
    <w:rsid w:val="00845FF5"/>
    <w:rsid w:val="00846001"/>
    <w:rsid w:val="0084615D"/>
    <w:rsid w:val="008463D0"/>
    <w:rsid w:val="0084642A"/>
    <w:rsid w:val="0084644D"/>
    <w:rsid w:val="008465C4"/>
    <w:rsid w:val="00846652"/>
    <w:rsid w:val="00846710"/>
    <w:rsid w:val="00846DC1"/>
    <w:rsid w:val="00846DF6"/>
    <w:rsid w:val="00847681"/>
    <w:rsid w:val="008478ED"/>
    <w:rsid w:val="00847C61"/>
    <w:rsid w:val="00847EAF"/>
    <w:rsid w:val="00850EE4"/>
    <w:rsid w:val="008514D4"/>
    <w:rsid w:val="0085165E"/>
    <w:rsid w:val="008516EF"/>
    <w:rsid w:val="00851728"/>
    <w:rsid w:val="008518AD"/>
    <w:rsid w:val="00851AD8"/>
    <w:rsid w:val="00851C79"/>
    <w:rsid w:val="00851DFF"/>
    <w:rsid w:val="00851E36"/>
    <w:rsid w:val="00852154"/>
    <w:rsid w:val="0085223A"/>
    <w:rsid w:val="0085229F"/>
    <w:rsid w:val="008522E7"/>
    <w:rsid w:val="00852691"/>
    <w:rsid w:val="00852831"/>
    <w:rsid w:val="00852C54"/>
    <w:rsid w:val="00852D06"/>
    <w:rsid w:val="00853084"/>
    <w:rsid w:val="00853142"/>
    <w:rsid w:val="0085342E"/>
    <w:rsid w:val="0085343A"/>
    <w:rsid w:val="0085397D"/>
    <w:rsid w:val="00853C49"/>
    <w:rsid w:val="008540A6"/>
    <w:rsid w:val="00854221"/>
    <w:rsid w:val="00854420"/>
    <w:rsid w:val="00854481"/>
    <w:rsid w:val="008545A8"/>
    <w:rsid w:val="008545D0"/>
    <w:rsid w:val="008545E6"/>
    <w:rsid w:val="00854787"/>
    <w:rsid w:val="00854916"/>
    <w:rsid w:val="0085498A"/>
    <w:rsid w:val="00855037"/>
    <w:rsid w:val="00855443"/>
    <w:rsid w:val="0085551A"/>
    <w:rsid w:val="0085578D"/>
    <w:rsid w:val="00855D73"/>
    <w:rsid w:val="00855F98"/>
    <w:rsid w:val="00856247"/>
    <w:rsid w:val="008564B6"/>
    <w:rsid w:val="008568E0"/>
    <w:rsid w:val="00856DC3"/>
    <w:rsid w:val="0085713A"/>
    <w:rsid w:val="00857591"/>
    <w:rsid w:val="00857602"/>
    <w:rsid w:val="008578FB"/>
    <w:rsid w:val="00857B9F"/>
    <w:rsid w:val="00857E88"/>
    <w:rsid w:val="00857F60"/>
    <w:rsid w:val="0086009C"/>
    <w:rsid w:val="00860792"/>
    <w:rsid w:val="00860A4C"/>
    <w:rsid w:val="00860B8F"/>
    <w:rsid w:val="00860C1C"/>
    <w:rsid w:val="00860F28"/>
    <w:rsid w:val="00861054"/>
    <w:rsid w:val="00861086"/>
    <w:rsid w:val="008610CF"/>
    <w:rsid w:val="008612DB"/>
    <w:rsid w:val="008614B4"/>
    <w:rsid w:val="00861886"/>
    <w:rsid w:val="00861B57"/>
    <w:rsid w:val="00861B7F"/>
    <w:rsid w:val="00861CC1"/>
    <w:rsid w:val="0086241E"/>
    <w:rsid w:val="008624C3"/>
    <w:rsid w:val="0086289F"/>
    <w:rsid w:val="00862AC4"/>
    <w:rsid w:val="00862FE9"/>
    <w:rsid w:val="008633AC"/>
    <w:rsid w:val="008634E3"/>
    <w:rsid w:val="008637E7"/>
    <w:rsid w:val="00863EA4"/>
    <w:rsid w:val="00863FE1"/>
    <w:rsid w:val="00864224"/>
    <w:rsid w:val="00864268"/>
    <w:rsid w:val="0086459A"/>
    <w:rsid w:val="00864627"/>
    <w:rsid w:val="00864635"/>
    <w:rsid w:val="00864678"/>
    <w:rsid w:val="0086498D"/>
    <w:rsid w:val="00864B09"/>
    <w:rsid w:val="00864C1A"/>
    <w:rsid w:val="00864EAC"/>
    <w:rsid w:val="00865217"/>
    <w:rsid w:val="00865326"/>
    <w:rsid w:val="00865667"/>
    <w:rsid w:val="008656B4"/>
    <w:rsid w:val="008657E5"/>
    <w:rsid w:val="008658AA"/>
    <w:rsid w:val="00865925"/>
    <w:rsid w:val="008659C5"/>
    <w:rsid w:val="00865CBD"/>
    <w:rsid w:val="00866048"/>
    <w:rsid w:val="008660E0"/>
    <w:rsid w:val="008662F6"/>
    <w:rsid w:val="00866464"/>
    <w:rsid w:val="00866E37"/>
    <w:rsid w:val="00866F9E"/>
    <w:rsid w:val="00867074"/>
    <w:rsid w:val="0086712C"/>
    <w:rsid w:val="008672E2"/>
    <w:rsid w:val="008672E6"/>
    <w:rsid w:val="00867713"/>
    <w:rsid w:val="0086793D"/>
    <w:rsid w:val="00867A6C"/>
    <w:rsid w:val="00867A95"/>
    <w:rsid w:val="00867B19"/>
    <w:rsid w:val="00867B1C"/>
    <w:rsid w:val="00867C13"/>
    <w:rsid w:val="008704A5"/>
    <w:rsid w:val="008705F2"/>
    <w:rsid w:val="00870D91"/>
    <w:rsid w:val="00870E52"/>
    <w:rsid w:val="008710C5"/>
    <w:rsid w:val="00871313"/>
    <w:rsid w:val="00871357"/>
    <w:rsid w:val="008713D6"/>
    <w:rsid w:val="0087144C"/>
    <w:rsid w:val="00871510"/>
    <w:rsid w:val="00871643"/>
    <w:rsid w:val="00872009"/>
    <w:rsid w:val="0087219B"/>
    <w:rsid w:val="0087252B"/>
    <w:rsid w:val="008725DD"/>
    <w:rsid w:val="0087281D"/>
    <w:rsid w:val="0087295A"/>
    <w:rsid w:val="008729C3"/>
    <w:rsid w:val="00872C3B"/>
    <w:rsid w:val="00872DFC"/>
    <w:rsid w:val="00872E19"/>
    <w:rsid w:val="008730B5"/>
    <w:rsid w:val="008732D8"/>
    <w:rsid w:val="00873377"/>
    <w:rsid w:val="00873577"/>
    <w:rsid w:val="00873905"/>
    <w:rsid w:val="00873CCE"/>
    <w:rsid w:val="0087409F"/>
    <w:rsid w:val="00874582"/>
    <w:rsid w:val="00874631"/>
    <w:rsid w:val="0087475C"/>
    <w:rsid w:val="0087485B"/>
    <w:rsid w:val="00874BC0"/>
    <w:rsid w:val="00874C5F"/>
    <w:rsid w:val="00874D58"/>
    <w:rsid w:val="008750D2"/>
    <w:rsid w:val="0087520F"/>
    <w:rsid w:val="00875338"/>
    <w:rsid w:val="008753BA"/>
    <w:rsid w:val="0087554C"/>
    <w:rsid w:val="00875722"/>
    <w:rsid w:val="00875AB5"/>
    <w:rsid w:val="00875C91"/>
    <w:rsid w:val="00875F85"/>
    <w:rsid w:val="008760C6"/>
    <w:rsid w:val="008763AE"/>
    <w:rsid w:val="00876C6B"/>
    <w:rsid w:val="00876DC9"/>
    <w:rsid w:val="008770EA"/>
    <w:rsid w:val="00877125"/>
    <w:rsid w:val="00877169"/>
    <w:rsid w:val="0087726C"/>
    <w:rsid w:val="008773B6"/>
    <w:rsid w:val="0087746A"/>
    <w:rsid w:val="008777C2"/>
    <w:rsid w:val="00877BF3"/>
    <w:rsid w:val="00880C65"/>
    <w:rsid w:val="00880C97"/>
    <w:rsid w:val="00881130"/>
    <w:rsid w:val="00881511"/>
    <w:rsid w:val="008817BD"/>
    <w:rsid w:val="00881A2A"/>
    <w:rsid w:val="00881F7B"/>
    <w:rsid w:val="0088228F"/>
    <w:rsid w:val="0088231B"/>
    <w:rsid w:val="008823A5"/>
    <w:rsid w:val="00882448"/>
    <w:rsid w:val="008824F7"/>
    <w:rsid w:val="0088255D"/>
    <w:rsid w:val="008828B7"/>
    <w:rsid w:val="008829C5"/>
    <w:rsid w:val="00882E57"/>
    <w:rsid w:val="00882F1D"/>
    <w:rsid w:val="008831D9"/>
    <w:rsid w:val="00883351"/>
    <w:rsid w:val="00883649"/>
    <w:rsid w:val="00883A1A"/>
    <w:rsid w:val="00883A4D"/>
    <w:rsid w:val="00883A61"/>
    <w:rsid w:val="00883B21"/>
    <w:rsid w:val="00883F8F"/>
    <w:rsid w:val="0088419C"/>
    <w:rsid w:val="00884235"/>
    <w:rsid w:val="00884504"/>
    <w:rsid w:val="00884552"/>
    <w:rsid w:val="00884BF8"/>
    <w:rsid w:val="00884EFF"/>
    <w:rsid w:val="00884F52"/>
    <w:rsid w:val="00885098"/>
    <w:rsid w:val="00885285"/>
    <w:rsid w:val="00885319"/>
    <w:rsid w:val="00885449"/>
    <w:rsid w:val="00885467"/>
    <w:rsid w:val="0088560D"/>
    <w:rsid w:val="0088584C"/>
    <w:rsid w:val="008858C5"/>
    <w:rsid w:val="00885985"/>
    <w:rsid w:val="00885CA7"/>
    <w:rsid w:val="00885E19"/>
    <w:rsid w:val="008860EE"/>
    <w:rsid w:val="00886406"/>
    <w:rsid w:val="00886438"/>
    <w:rsid w:val="00886502"/>
    <w:rsid w:val="0088664E"/>
    <w:rsid w:val="00886699"/>
    <w:rsid w:val="008866FD"/>
    <w:rsid w:val="00886F6C"/>
    <w:rsid w:val="0088709A"/>
    <w:rsid w:val="0088729C"/>
    <w:rsid w:val="0088730C"/>
    <w:rsid w:val="008873CC"/>
    <w:rsid w:val="00887509"/>
    <w:rsid w:val="008877CF"/>
    <w:rsid w:val="00887C27"/>
    <w:rsid w:val="00887C78"/>
    <w:rsid w:val="00887D6D"/>
    <w:rsid w:val="00887EB2"/>
    <w:rsid w:val="00887FD1"/>
    <w:rsid w:val="0089001F"/>
    <w:rsid w:val="00890622"/>
    <w:rsid w:val="00890AD7"/>
    <w:rsid w:val="00890D04"/>
    <w:rsid w:val="00891610"/>
    <w:rsid w:val="0089174E"/>
    <w:rsid w:val="0089199F"/>
    <w:rsid w:val="00891C32"/>
    <w:rsid w:val="00891C60"/>
    <w:rsid w:val="00891D7F"/>
    <w:rsid w:val="00892265"/>
    <w:rsid w:val="0089233E"/>
    <w:rsid w:val="008923B8"/>
    <w:rsid w:val="0089274B"/>
    <w:rsid w:val="00892A7B"/>
    <w:rsid w:val="00892CA9"/>
    <w:rsid w:val="00892DF6"/>
    <w:rsid w:val="00892FAD"/>
    <w:rsid w:val="008930E5"/>
    <w:rsid w:val="0089318B"/>
    <w:rsid w:val="0089330E"/>
    <w:rsid w:val="008934F7"/>
    <w:rsid w:val="008938A9"/>
    <w:rsid w:val="00893A8E"/>
    <w:rsid w:val="00893C14"/>
    <w:rsid w:val="00893C39"/>
    <w:rsid w:val="00893DF1"/>
    <w:rsid w:val="00893E27"/>
    <w:rsid w:val="00894290"/>
    <w:rsid w:val="008945F7"/>
    <w:rsid w:val="0089463D"/>
    <w:rsid w:val="008949E5"/>
    <w:rsid w:val="00894C26"/>
    <w:rsid w:val="00895163"/>
    <w:rsid w:val="0089554F"/>
    <w:rsid w:val="00895594"/>
    <w:rsid w:val="008955E6"/>
    <w:rsid w:val="008957B0"/>
    <w:rsid w:val="00895B5F"/>
    <w:rsid w:val="00895B7C"/>
    <w:rsid w:val="00895BA7"/>
    <w:rsid w:val="00895CA4"/>
    <w:rsid w:val="00895DD6"/>
    <w:rsid w:val="00895E36"/>
    <w:rsid w:val="00895ED2"/>
    <w:rsid w:val="0089600B"/>
    <w:rsid w:val="0089602A"/>
    <w:rsid w:val="00896106"/>
    <w:rsid w:val="00896110"/>
    <w:rsid w:val="00896179"/>
    <w:rsid w:val="008962DD"/>
    <w:rsid w:val="0089637C"/>
    <w:rsid w:val="008964CE"/>
    <w:rsid w:val="008966C6"/>
    <w:rsid w:val="00896712"/>
    <w:rsid w:val="00896870"/>
    <w:rsid w:val="008969BD"/>
    <w:rsid w:val="00896B22"/>
    <w:rsid w:val="00896F19"/>
    <w:rsid w:val="0089733F"/>
    <w:rsid w:val="00897518"/>
    <w:rsid w:val="008977EA"/>
    <w:rsid w:val="00897886"/>
    <w:rsid w:val="00897965"/>
    <w:rsid w:val="00897A63"/>
    <w:rsid w:val="00897AD6"/>
    <w:rsid w:val="00897CE8"/>
    <w:rsid w:val="00897DD4"/>
    <w:rsid w:val="00897E22"/>
    <w:rsid w:val="00897F63"/>
    <w:rsid w:val="008A00C8"/>
    <w:rsid w:val="008A0690"/>
    <w:rsid w:val="008A09C6"/>
    <w:rsid w:val="008A0BC0"/>
    <w:rsid w:val="008A0F73"/>
    <w:rsid w:val="008A13BD"/>
    <w:rsid w:val="008A1555"/>
    <w:rsid w:val="008A1562"/>
    <w:rsid w:val="008A1596"/>
    <w:rsid w:val="008A166B"/>
    <w:rsid w:val="008A1770"/>
    <w:rsid w:val="008A197E"/>
    <w:rsid w:val="008A1A01"/>
    <w:rsid w:val="008A1B3A"/>
    <w:rsid w:val="008A1D1C"/>
    <w:rsid w:val="008A1DB4"/>
    <w:rsid w:val="008A1EDF"/>
    <w:rsid w:val="008A205D"/>
    <w:rsid w:val="008A23F8"/>
    <w:rsid w:val="008A2695"/>
    <w:rsid w:val="008A2C36"/>
    <w:rsid w:val="008A2DC9"/>
    <w:rsid w:val="008A2DE9"/>
    <w:rsid w:val="008A2FF1"/>
    <w:rsid w:val="008A32D4"/>
    <w:rsid w:val="008A32FC"/>
    <w:rsid w:val="008A33D1"/>
    <w:rsid w:val="008A344A"/>
    <w:rsid w:val="008A367F"/>
    <w:rsid w:val="008A3718"/>
    <w:rsid w:val="008A37AF"/>
    <w:rsid w:val="008A3A39"/>
    <w:rsid w:val="008A3CD1"/>
    <w:rsid w:val="008A3D5B"/>
    <w:rsid w:val="008A3D5E"/>
    <w:rsid w:val="008A3D62"/>
    <w:rsid w:val="008A42F4"/>
    <w:rsid w:val="008A440B"/>
    <w:rsid w:val="008A444F"/>
    <w:rsid w:val="008A448D"/>
    <w:rsid w:val="008A44EE"/>
    <w:rsid w:val="008A45A7"/>
    <w:rsid w:val="008A45D1"/>
    <w:rsid w:val="008A4734"/>
    <w:rsid w:val="008A4A55"/>
    <w:rsid w:val="008A506F"/>
    <w:rsid w:val="008A50D7"/>
    <w:rsid w:val="008A528A"/>
    <w:rsid w:val="008A5298"/>
    <w:rsid w:val="008A5328"/>
    <w:rsid w:val="008A535A"/>
    <w:rsid w:val="008A57AF"/>
    <w:rsid w:val="008A5BB8"/>
    <w:rsid w:val="008A5CDE"/>
    <w:rsid w:val="008A60C4"/>
    <w:rsid w:val="008A6135"/>
    <w:rsid w:val="008A624D"/>
    <w:rsid w:val="008A635C"/>
    <w:rsid w:val="008A66F5"/>
    <w:rsid w:val="008A6706"/>
    <w:rsid w:val="008A6738"/>
    <w:rsid w:val="008A6D76"/>
    <w:rsid w:val="008A6E0A"/>
    <w:rsid w:val="008A6E2C"/>
    <w:rsid w:val="008A6F02"/>
    <w:rsid w:val="008A720F"/>
    <w:rsid w:val="008A7212"/>
    <w:rsid w:val="008A728D"/>
    <w:rsid w:val="008A7440"/>
    <w:rsid w:val="008A74B8"/>
    <w:rsid w:val="008A7629"/>
    <w:rsid w:val="008A78B7"/>
    <w:rsid w:val="008A7C72"/>
    <w:rsid w:val="008A7EC7"/>
    <w:rsid w:val="008A7F01"/>
    <w:rsid w:val="008B04F2"/>
    <w:rsid w:val="008B06A8"/>
    <w:rsid w:val="008B0B2E"/>
    <w:rsid w:val="008B0D0E"/>
    <w:rsid w:val="008B0F31"/>
    <w:rsid w:val="008B10A2"/>
    <w:rsid w:val="008B12BB"/>
    <w:rsid w:val="008B13F7"/>
    <w:rsid w:val="008B1411"/>
    <w:rsid w:val="008B151F"/>
    <w:rsid w:val="008B173C"/>
    <w:rsid w:val="008B17A2"/>
    <w:rsid w:val="008B1ACB"/>
    <w:rsid w:val="008B1AE5"/>
    <w:rsid w:val="008B1F6C"/>
    <w:rsid w:val="008B229F"/>
    <w:rsid w:val="008B25F2"/>
    <w:rsid w:val="008B2643"/>
    <w:rsid w:val="008B279A"/>
    <w:rsid w:val="008B2A4E"/>
    <w:rsid w:val="008B2AF1"/>
    <w:rsid w:val="008B2DC0"/>
    <w:rsid w:val="008B2DF4"/>
    <w:rsid w:val="008B2FAE"/>
    <w:rsid w:val="008B3317"/>
    <w:rsid w:val="008B37C6"/>
    <w:rsid w:val="008B3986"/>
    <w:rsid w:val="008B3A2D"/>
    <w:rsid w:val="008B3A39"/>
    <w:rsid w:val="008B3D88"/>
    <w:rsid w:val="008B4037"/>
    <w:rsid w:val="008B414B"/>
    <w:rsid w:val="008B4333"/>
    <w:rsid w:val="008B44A1"/>
    <w:rsid w:val="008B45EB"/>
    <w:rsid w:val="008B4E0E"/>
    <w:rsid w:val="008B4F8C"/>
    <w:rsid w:val="008B4FB9"/>
    <w:rsid w:val="008B514B"/>
    <w:rsid w:val="008B55CE"/>
    <w:rsid w:val="008B5715"/>
    <w:rsid w:val="008B5A2D"/>
    <w:rsid w:val="008B5BC2"/>
    <w:rsid w:val="008B5D1B"/>
    <w:rsid w:val="008B60BB"/>
    <w:rsid w:val="008B6336"/>
    <w:rsid w:val="008B6732"/>
    <w:rsid w:val="008B68EC"/>
    <w:rsid w:val="008B6AEB"/>
    <w:rsid w:val="008B6B20"/>
    <w:rsid w:val="008B6D58"/>
    <w:rsid w:val="008B711E"/>
    <w:rsid w:val="008B7229"/>
    <w:rsid w:val="008B72B0"/>
    <w:rsid w:val="008B7307"/>
    <w:rsid w:val="008B7343"/>
    <w:rsid w:val="008B76BD"/>
    <w:rsid w:val="008B77D6"/>
    <w:rsid w:val="008B78A2"/>
    <w:rsid w:val="008B78E0"/>
    <w:rsid w:val="008B7905"/>
    <w:rsid w:val="008C03FE"/>
    <w:rsid w:val="008C042F"/>
    <w:rsid w:val="008C057B"/>
    <w:rsid w:val="008C06F9"/>
    <w:rsid w:val="008C096B"/>
    <w:rsid w:val="008C0AD2"/>
    <w:rsid w:val="008C0B87"/>
    <w:rsid w:val="008C0CAC"/>
    <w:rsid w:val="008C0D24"/>
    <w:rsid w:val="008C12EA"/>
    <w:rsid w:val="008C13B4"/>
    <w:rsid w:val="008C1557"/>
    <w:rsid w:val="008C1796"/>
    <w:rsid w:val="008C1A1B"/>
    <w:rsid w:val="008C1B8C"/>
    <w:rsid w:val="008C1BFC"/>
    <w:rsid w:val="008C1FC8"/>
    <w:rsid w:val="008C201B"/>
    <w:rsid w:val="008C2306"/>
    <w:rsid w:val="008C2542"/>
    <w:rsid w:val="008C26D1"/>
    <w:rsid w:val="008C2715"/>
    <w:rsid w:val="008C278C"/>
    <w:rsid w:val="008C295B"/>
    <w:rsid w:val="008C2961"/>
    <w:rsid w:val="008C2B7F"/>
    <w:rsid w:val="008C2C93"/>
    <w:rsid w:val="008C3092"/>
    <w:rsid w:val="008C354F"/>
    <w:rsid w:val="008C36AC"/>
    <w:rsid w:val="008C38C8"/>
    <w:rsid w:val="008C3947"/>
    <w:rsid w:val="008C3C95"/>
    <w:rsid w:val="008C43D9"/>
    <w:rsid w:val="008C455C"/>
    <w:rsid w:val="008C460E"/>
    <w:rsid w:val="008C4953"/>
    <w:rsid w:val="008C4A4C"/>
    <w:rsid w:val="008C4B72"/>
    <w:rsid w:val="008C4CB5"/>
    <w:rsid w:val="008C4DB5"/>
    <w:rsid w:val="008C4E44"/>
    <w:rsid w:val="008C4FB4"/>
    <w:rsid w:val="008C4FD3"/>
    <w:rsid w:val="008C593A"/>
    <w:rsid w:val="008C5B2D"/>
    <w:rsid w:val="008C5B91"/>
    <w:rsid w:val="008C5DEC"/>
    <w:rsid w:val="008C6255"/>
    <w:rsid w:val="008C680B"/>
    <w:rsid w:val="008C684B"/>
    <w:rsid w:val="008C6952"/>
    <w:rsid w:val="008C69EF"/>
    <w:rsid w:val="008C6ABD"/>
    <w:rsid w:val="008C6D5B"/>
    <w:rsid w:val="008C6ED5"/>
    <w:rsid w:val="008C6F18"/>
    <w:rsid w:val="008C6FCD"/>
    <w:rsid w:val="008C703C"/>
    <w:rsid w:val="008C70CA"/>
    <w:rsid w:val="008C7685"/>
    <w:rsid w:val="008C7988"/>
    <w:rsid w:val="008C7A06"/>
    <w:rsid w:val="008D007A"/>
    <w:rsid w:val="008D014E"/>
    <w:rsid w:val="008D0284"/>
    <w:rsid w:val="008D05A7"/>
    <w:rsid w:val="008D07DE"/>
    <w:rsid w:val="008D0831"/>
    <w:rsid w:val="008D0971"/>
    <w:rsid w:val="008D0BC5"/>
    <w:rsid w:val="008D0E40"/>
    <w:rsid w:val="008D1310"/>
    <w:rsid w:val="008D13EB"/>
    <w:rsid w:val="008D146E"/>
    <w:rsid w:val="008D16B4"/>
    <w:rsid w:val="008D16C7"/>
    <w:rsid w:val="008D1A00"/>
    <w:rsid w:val="008D1A3D"/>
    <w:rsid w:val="008D1B42"/>
    <w:rsid w:val="008D1E23"/>
    <w:rsid w:val="008D1E7F"/>
    <w:rsid w:val="008D2367"/>
    <w:rsid w:val="008D247A"/>
    <w:rsid w:val="008D24F4"/>
    <w:rsid w:val="008D260D"/>
    <w:rsid w:val="008D2E6C"/>
    <w:rsid w:val="008D34E6"/>
    <w:rsid w:val="008D3822"/>
    <w:rsid w:val="008D3B00"/>
    <w:rsid w:val="008D3BC6"/>
    <w:rsid w:val="008D3E7B"/>
    <w:rsid w:val="008D427A"/>
    <w:rsid w:val="008D489E"/>
    <w:rsid w:val="008D4C19"/>
    <w:rsid w:val="008D4DD5"/>
    <w:rsid w:val="008D50FA"/>
    <w:rsid w:val="008D5438"/>
    <w:rsid w:val="008D5657"/>
    <w:rsid w:val="008D5B83"/>
    <w:rsid w:val="008D62C0"/>
    <w:rsid w:val="008D6410"/>
    <w:rsid w:val="008D65D8"/>
    <w:rsid w:val="008D6675"/>
    <w:rsid w:val="008D6752"/>
    <w:rsid w:val="008D69E7"/>
    <w:rsid w:val="008D6B1B"/>
    <w:rsid w:val="008D6E4C"/>
    <w:rsid w:val="008D6FC1"/>
    <w:rsid w:val="008D6FF9"/>
    <w:rsid w:val="008D7143"/>
    <w:rsid w:val="008D7376"/>
    <w:rsid w:val="008D75EE"/>
    <w:rsid w:val="008D773A"/>
    <w:rsid w:val="008D7C26"/>
    <w:rsid w:val="008D7DDF"/>
    <w:rsid w:val="008E0140"/>
    <w:rsid w:val="008E0688"/>
    <w:rsid w:val="008E0828"/>
    <w:rsid w:val="008E09E1"/>
    <w:rsid w:val="008E0B0B"/>
    <w:rsid w:val="008E0BB2"/>
    <w:rsid w:val="008E0BEF"/>
    <w:rsid w:val="008E0C45"/>
    <w:rsid w:val="008E0D0A"/>
    <w:rsid w:val="008E0F79"/>
    <w:rsid w:val="008E1462"/>
    <w:rsid w:val="008E14AC"/>
    <w:rsid w:val="008E1781"/>
    <w:rsid w:val="008E1C20"/>
    <w:rsid w:val="008E1C9F"/>
    <w:rsid w:val="008E1E69"/>
    <w:rsid w:val="008E1E71"/>
    <w:rsid w:val="008E1EB4"/>
    <w:rsid w:val="008E2146"/>
    <w:rsid w:val="008E266D"/>
    <w:rsid w:val="008E2725"/>
    <w:rsid w:val="008E299E"/>
    <w:rsid w:val="008E2D9F"/>
    <w:rsid w:val="008E2F0C"/>
    <w:rsid w:val="008E30C4"/>
    <w:rsid w:val="008E3254"/>
    <w:rsid w:val="008E3274"/>
    <w:rsid w:val="008E3440"/>
    <w:rsid w:val="008E3562"/>
    <w:rsid w:val="008E3D73"/>
    <w:rsid w:val="008E3E23"/>
    <w:rsid w:val="008E401F"/>
    <w:rsid w:val="008E42E6"/>
    <w:rsid w:val="008E4725"/>
    <w:rsid w:val="008E479E"/>
    <w:rsid w:val="008E4BD8"/>
    <w:rsid w:val="008E4CC7"/>
    <w:rsid w:val="008E508F"/>
    <w:rsid w:val="008E547B"/>
    <w:rsid w:val="008E58F1"/>
    <w:rsid w:val="008E5BC0"/>
    <w:rsid w:val="008E5BC2"/>
    <w:rsid w:val="008E5C66"/>
    <w:rsid w:val="008E5DF8"/>
    <w:rsid w:val="008E5F90"/>
    <w:rsid w:val="008E5FF5"/>
    <w:rsid w:val="008E6032"/>
    <w:rsid w:val="008E61A0"/>
    <w:rsid w:val="008E66A7"/>
    <w:rsid w:val="008E67D6"/>
    <w:rsid w:val="008E6B89"/>
    <w:rsid w:val="008E6B8D"/>
    <w:rsid w:val="008E6D2C"/>
    <w:rsid w:val="008E70BE"/>
    <w:rsid w:val="008E713C"/>
    <w:rsid w:val="008E71BB"/>
    <w:rsid w:val="008E7205"/>
    <w:rsid w:val="008E74FE"/>
    <w:rsid w:val="008E7645"/>
    <w:rsid w:val="008E7780"/>
    <w:rsid w:val="008F0250"/>
    <w:rsid w:val="008F033A"/>
    <w:rsid w:val="008F05B9"/>
    <w:rsid w:val="008F05D2"/>
    <w:rsid w:val="008F0704"/>
    <w:rsid w:val="008F1181"/>
    <w:rsid w:val="008F11F4"/>
    <w:rsid w:val="008F12CE"/>
    <w:rsid w:val="008F13DC"/>
    <w:rsid w:val="008F14BE"/>
    <w:rsid w:val="008F172D"/>
    <w:rsid w:val="008F1884"/>
    <w:rsid w:val="008F1952"/>
    <w:rsid w:val="008F1D8C"/>
    <w:rsid w:val="008F1EC6"/>
    <w:rsid w:val="008F1FA3"/>
    <w:rsid w:val="008F2012"/>
    <w:rsid w:val="008F226F"/>
    <w:rsid w:val="008F228E"/>
    <w:rsid w:val="008F254D"/>
    <w:rsid w:val="008F2975"/>
    <w:rsid w:val="008F310B"/>
    <w:rsid w:val="008F322B"/>
    <w:rsid w:val="008F33E0"/>
    <w:rsid w:val="008F34CB"/>
    <w:rsid w:val="008F3519"/>
    <w:rsid w:val="008F36E9"/>
    <w:rsid w:val="008F39BF"/>
    <w:rsid w:val="008F3AD3"/>
    <w:rsid w:val="008F3CA7"/>
    <w:rsid w:val="008F3D39"/>
    <w:rsid w:val="008F43BF"/>
    <w:rsid w:val="008F443F"/>
    <w:rsid w:val="008F44D9"/>
    <w:rsid w:val="008F46CE"/>
    <w:rsid w:val="008F46F9"/>
    <w:rsid w:val="008F4775"/>
    <w:rsid w:val="008F4945"/>
    <w:rsid w:val="008F4DA3"/>
    <w:rsid w:val="008F50D2"/>
    <w:rsid w:val="008F50E0"/>
    <w:rsid w:val="008F5103"/>
    <w:rsid w:val="008F5432"/>
    <w:rsid w:val="008F54DD"/>
    <w:rsid w:val="008F565A"/>
    <w:rsid w:val="008F57DD"/>
    <w:rsid w:val="008F581D"/>
    <w:rsid w:val="008F5A0D"/>
    <w:rsid w:val="008F5C3D"/>
    <w:rsid w:val="008F5DE5"/>
    <w:rsid w:val="008F5E42"/>
    <w:rsid w:val="008F609E"/>
    <w:rsid w:val="008F610E"/>
    <w:rsid w:val="008F63B1"/>
    <w:rsid w:val="008F64DB"/>
    <w:rsid w:val="008F6973"/>
    <w:rsid w:val="008F6CEE"/>
    <w:rsid w:val="008F6E6A"/>
    <w:rsid w:val="008F716B"/>
    <w:rsid w:val="008F7328"/>
    <w:rsid w:val="008F758A"/>
    <w:rsid w:val="008F7859"/>
    <w:rsid w:val="008F7AA7"/>
    <w:rsid w:val="008F7AFE"/>
    <w:rsid w:val="008F7CC6"/>
    <w:rsid w:val="008F7CF5"/>
    <w:rsid w:val="0090036F"/>
    <w:rsid w:val="009005C2"/>
    <w:rsid w:val="0090091F"/>
    <w:rsid w:val="00900947"/>
    <w:rsid w:val="00900B5C"/>
    <w:rsid w:val="00900B75"/>
    <w:rsid w:val="00900EB8"/>
    <w:rsid w:val="00900FBA"/>
    <w:rsid w:val="00901107"/>
    <w:rsid w:val="00901208"/>
    <w:rsid w:val="009016CB"/>
    <w:rsid w:val="009019DE"/>
    <w:rsid w:val="00901A4D"/>
    <w:rsid w:val="00901EAA"/>
    <w:rsid w:val="0090229A"/>
    <w:rsid w:val="009023C6"/>
    <w:rsid w:val="009024F6"/>
    <w:rsid w:val="00902639"/>
    <w:rsid w:val="00902E00"/>
    <w:rsid w:val="00902E5B"/>
    <w:rsid w:val="009033A7"/>
    <w:rsid w:val="00903FAD"/>
    <w:rsid w:val="00903FD9"/>
    <w:rsid w:val="00904391"/>
    <w:rsid w:val="0090480C"/>
    <w:rsid w:val="00904B17"/>
    <w:rsid w:val="00904CF5"/>
    <w:rsid w:val="00904E09"/>
    <w:rsid w:val="00904E57"/>
    <w:rsid w:val="00905090"/>
    <w:rsid w:val="009050A4"/>
    <w:rsid w:val="009051C3"/>
    <w:rsid w:val="00905259"/>
    <w:rsid w:val="009053D1"/>
    <w:rsid w:val="0090556C"/>
    <w:rsid w:val="00905633"/>
    <w:rsid w:val="009057FB"/>
    <w:rsid w:val="00905CAB"/>
    <w:rsid w:val="00905EAE"/>
    <w:rsid w:val="009060C4"/>
    <w:rsid w:val="009063D0"/>
    <w:rsid w:val="0090662A"/>
    <w:rsid w:val="009069A7"/>
    <w:rsid w:val="00906C91"/>
    <w:rsid w:val="00906C95"/>
    <w:rsid w:val="00906DC1"/>
    <w:rsid w:val="0090728A"/>
    <w:rsid w:val="0090730B"/>
    <w:rsid w:val="00907656"/>
    <w:rsid w:val="009076C9"/>
    <w:rsid w:val="00907718"/>
    <w:rsid w:val="00907A60"/>
    <w:rsid w:val="00907A70"/>
    <w:rsid w:val="00907BF8"/>
    <w:rsid w:val="00907E47"/>
    <w:rsid w:val="00910306"/>
    <w:rsid w:val="00910A99"/>
    <w:rsid w:val="00910E6B"/>
    <w:rsid w:val="00910FB3"/>
    <w:rsid w:val="00911276"/>
    <w:rsid w:val="009115EF"/>
    <w:rsid w:val="00911636"/>
    <w:rsid w:val="009116DD"/>
    <w:rsid w:val="0091185E"/>
    <w:rsid w:val="00911FA3"/>
    <w:rsid w:val="0091206D"/>
    <w:rsid w:val="0091279C"/>
    <w:rsid w:val="00912D1C"/>
    <w:rsid w:val="00912D2E"/>
    <w:rsid w:val="00913019"/>
    <w:rsid w:val="009132A9"/>
    <w:rsid w:val="009134D3"/>
    <w:rsid w:val="00913A1C"/>
    <w:rsid w:val="00913CB3"/>
    <w:rsid w:val="00913D40"/>
    <w:rsid w:val="00913F1E"/>
    <w:rsid w:val="00913FB2"/>
    <w:rsid w:val="009140C4"/>
    <w:rsid w:val="00914101"/>
    <w:rsid w:val="009144A9"/>
    <w:rsid w:val="0091468B"/>
    <w:rsid w:val="00914819"/>
    <w:rsid w:val="00914A35"/>
    <w:rsid w:val="00915132"/>
    <w:rsid w:val="0091526F"/>
    <w:rsid w:val="009153D2"/>
    <w:rsid w:val="0091548E"/>
    <w:rsid w:val="00915529"/>
    <w:rsid w:val="0091562C"/>
    <w:rsid w:val="0091562E"/>
    <w:rsid w:val="00915D7B"/>
    <w:rsid w:val="00916286"/>
    <w:rsid w:val="009164C5"/>
    <w:rsid w:val="00916595"/>
    <w:rsid w:val="00916596"/>
    <w:rsid w:val="00916896"/>
    <w:rsid w:val="009169F9"/>
    <w:rsid w:val="00916C47"/>
    <w:rsid w:val="00916CF3"/>
    <w:rsid w:val="009170A3"/>
    <w:rsid w:val="009171AD"/>
    <w:rsid w:val="00917262"/>
    <w:rsid w:val="00917263"/>
    <w:rsid w:val="0091737C"/>
    <w:rsid w:val="00917569"/>
    <w:rsid w:val="00917653"/>
    <w:rsid w:val="00917832"/>
    <w:rsid w:val="00917EA0"/>
    <w:rsid w:val="00920120"/>
    <w:rsid w:val="00920174"/>
    <w:rsid w:val="009203F5"/>
    <w:rsid w:val="009204C7"/>
    <w:rsid w:val="009204EB"/>
    <w:rsid w:val="00920759"/>
    <w:rsid w:val="0092084E"/>
    <w:rsid w:val="00920C22"/>
    <w:rsid w:val="00920FA0"/>
    <w:rsid w:val="00921103"/>
    <w:rsid w:val="00921108"/>
    <w:rsid w:val="00921197"/>
    <w:rsid w:val="0092123F"/>
    <w:rsid w:val="00921466"/>
    <w:rsid w:val="009219D2"/>
    <w:rsid w:val="00921A4E"/>
    <w:rsid w:val="00921E37"/>
    <w:rsid w:val="00921F7A"/>
    <w:rsid w:val="00922030"/>
    <w:rsid w:val="00922511"/>
    <w:rsid w:val="00922710"/>
    <w:rsid w:val="00922798"/>
    <w:rsid w:val="00922893"/>
    <w:rsid w:val="00922F07"/>
    <w:rsid w:val="0092331E"/>
    <w:rsid w:val="00923463"/>
    <w:rsid w:val="009237C3"/>
    <w:rsid w:val="0092394F"/>
    <w:rsid w:val="0092469A"/>
    <w:rsid w:val="009247B9"/>
    <w:rsid w:val="00924DD3"/>
    <w:rsid w:val="00924E36"/>
    <w:rsid w:val="00925238"/>
    <w:rsid w:val="0092578C"/>
    <w:rsid w:val="009257A9"/>
    <w:rsid w:val="009257DC"/>
    <w:rsid w:val="0092593F"/>
    <w:rsid w:val="00925ACF"/>
    <w:rsid w:val="00925C1D"/>
    <w:rsid w:val="00925D92"/>
    <w:rsid w:val="00925EA5"/>
    <w:rsid w:val="0092615D"/>
    <w:rsid w:val="009264E1"/>
    <w:rsid w:val="00926546"/>
    <w:rsid w:val="0092655F"/>
    <w:rsid w:val="009265A1"/>
    <w:rsid w:val="00926688"/>
    <w:rsid w:val="009271D6"/>
    <w:rsid w:val="009273F4"/>
    <w:rsid w:val="009274C4"/>
    <w:rsid w:val="009274E6"/>
    <w:rsid w:val="00927630"/>
    <w:rsid w:val="00927700"/>
    <w:rsid w:val="00927734"/>
    <w:rsid w:val="00927774"/>
    <w:rsid w:val="009279AC"/>
    <w:rsid w:val="009279B7"/>
    <w:rsid w:val="009279C4"/>
    <w:rsid w:val="00927A4C"/>
    <w:rsid w:val="00927BF6"/>
    <w:rsid w:val="0093036E"/>
    <w:rsid w:val="009305CB"/>
    <w:rsid w:val="00930C0F"/>
    <w:rsid w:val="00930C1F"/>
    <w:rsid w:val="00931224"/>
    <w:rsid w:val="009312EC"/>
    <w:rsid w:val="00931480"/>
    <w:rsid w:val="009315D2"/>
    <w:rsid w:val="0093198A"/>
    <w:rsid w:val="00931A2E"/>
    <w:rsid w:val="00931A6A"/>
    <w:rsid w:val="00931E2C"/>
    <w:rsid w:val="009322B7"/>
    <w:rsid w:val="009327F5"/>
    <w:rsid w:val="00932F29"/>
    <w:rsid w:val="00933186"/>
    <w:rsid w:val="0093331D"/>
    <w:rsid w:val="0093335B"/>
    <w:rsid w:val="009333D3"/>
    <w:rsid w:val="009339B6"/>
    <w:rsid w:val="00933B4C"/>
    <w:rsid w:val="00933DC4"/>
    <w:rsid w:val="00933DD3"/>
    <w:rsid w:val="0093408E"/>
    <w:rsid w:val="0093431B"/>
    <w:rsid w:val="009343E3"/>
    <w:rsid w:val="009346D6"/>
    <w:rsid w:val="00934743"/>
    <w:rsid w:val="0093487E"/>
    <w:rsid w:val="00934A8B"/>
    <w:rsid w:val="00934C99"/>
    <w:rsid w:val="00934E7A"/>
    <w:rsid w:val="00934FFE"/>
    <w:rsid w:val="009352F3"/>
    <w:rsid w:val="009355DD"/>
    <w:rsid w:val="009361AD"/>
    <w:rsid w:val="00936251"/>
    <w:rsid w:val="0093625B"/>
    <w:rsid w:val="00936405"/>
    <w:rsid w:val="0093657E"/>
    <w:rsid w:val="00936634"/>
    <w:rsid w:val="00936698"/>
    <w:rsid w:val="00936904"/>
    <w:rsid w:val="00936939"/>
    <w:rsid w:val="00936B64"/>
    <w:rsid w:val="00936EBF"/>
    <w:rsid w:val="00937403"/>
    <w:rsid w:val="009379C4"/>
    <w:rsid w:val="00937BEE"/>
    <w:rsid w:val="00937F15"/>
    <w:rsid w:val="00940115"/>
    <w:rsid w:val="0094041A"/>
    <w:rsid w:val="009405E9"/>
    <w:rsid w:val="009407E4"/>
    <w:rsid w:val="00940C43"/>
    <w:rsid w:val="00940C55"/>
    <w:rsid w:val="00940D32"/>
    <w:rsid w:val="00940F19"/>
    <w:rsid w:val="00940F77"/>
    <w:rsid w:val="009413DB"/>
    <w:rsid w:val="00941464"/>
    <w:rsid w:val="00941818"/>
    <w:rsid w:val="0094190D"/>
    <w:rsid w:val="00941965"/>
    <w:rsid w:val="00942295"/>
    <w:rsid w:val="00942354"/>
    <w:rsid w:val="0094252F"/>
    <w:rsid w:val="00942681"/>
    <w:rsid w:val="00942910"/>
    <w:rsid w:val="00942B24"/>
    <w:rsid w:val="00942E12"/>
    <w:rsid w:val="0094316F"/>
    <w:rsid w:val="00943181"/>
    <w:rsid w:val="0094327C"/>
    <w:rsid w:val="009433ED"/>
    <w:rsid w:val="009435DB"/>
    <w:rsid w:val="00943921"/>
    <w:rsid w:val="00943A7E"/>
    <w:rsid w:val="00943D7B"/>
    <w:rsid w:val="00943E42"/>
    <w:rsid w:val="00943E5D"/>
    <w:rsid w:val="009440C4"/>
    <w:rsid w:val="0094416F"/>
    <w:rsid w:val="00944728"/>
    <w:rsid w:val="00944746"/>
    <w:rsid w:val="0094478C"/>
    <w:rsid w:val="0094480B"/>
    <w:rsid w:val="00944BE6"/>
    <w:rsid w:val="00944E81"/>
    <w:rsid w:val="009453E8"/>
    <w:rsid w:val="00945664"/>
    <w:rsid w:val="00945974"/>
    <w:rsid w:val="00945AD1"/>
    <w:rsid w:val="00945DFB"/>
    <w:rsid w:val="00945EBC"/>
    <w:rsid w:val="009464AD"/>
    <w:rsid w:val="00946742"/>
    <w:rsid w:val="00946935"/>
    <w:rsid w:val="00946B6F"/>
    <w:rsid w:val="00946BFE"/>
    <w:rsid w:val="00946ECB"/>
    <w:rsid w:val="00947268"/>
    <w:rsid w:val="009472F7"/>
    <w:rsid w:val="009473AF"/>
    <w:rsid w:val="0094750E"/>
    <w:rsid w:val="00947587"/>
    <w:rsid w:val="009476A3"/>
    <w:rsid w:val="00947C94"/>
    <w:rsid w:val="00947D9F"/>
    <w:rsid w:val="00947F6D"/>
    <w:rsid w:val="00947FB5"/>
    <w:rsid w:val="00950436"/>
    <w:rsid w:val="00950798"/>
    <w:rsid w:val="009507C8"/>
    <w:rsid w:val="00950A70"/>
    <w:rsid w:val="00950C0B"/>
    <w:rsid w:val="0095115E"/>
    <w:rsid w:val="0095118A"/>
    <w:rsid w:val="009515D0"/>
    <w:rsid w:val="0095169C"/>
    <w:rsid w:val="009519B3"/>
    <w:rsid w:val="00951D5C"/>
    <w:rsid w:val="00951E8A"/>
    <w:rsid w:val="00952049"/>
    <w:rsid w:val="009520B9"/>
    <w:rsid w:val="00952102"/>
    <w:rsid w:val="0095233B"/>
    <w:rsid w:val="00952468"/>
    <w:rsid w:val="009526D7"/>
    <w:rsid w:val="00952B79"/>
    <w:rsid w:val="00952B82"/>
    <w:rsid w:val="00953011"/>
    <w:rsid w:val="0095310A"/>
    <w:rsid w:val="009533B5"/>
    <w:rsid w:val="00953411"/>
    <w:rsid w:val="00953BA0"/>
    <w:rsid w:val="00953BE2"/>
    <w:rsid w:val="00953BE9"/>
    <w:rsid w:val="00953D54"/>
    <w:rsid w:val="00953E22"/>
    <w:rsid w:val="00953E7D"/>
    <w:rsid w:val="00953E84"/>
    <w:rsid w:val="009544A1"/>
    <w:rsid w:val="00954512"/>
    <w:rsid w:val="00954617"/>
    <w:rsid w:val="00954767"/>
    <w:rsid w:val="0095487A"/>
    <w:rsid w:val="009548FB"/>
    <w:rsid w:val="00954A21"/>
    <w:rsid w:val="00954A9E"/>
    <w:rsid w:val="00954B9C"/>
    <w:rsid w:val="009550E4"/>
    <w:rsid w:val="00955171"/>
    <w:rsid w:val="009552C3"/>
    <w:rsid w:val="0095538B"/>
    <w:rsid w:val="009553A4"/>
    <w:rsid w:val="009553D6"/>
    <w:rsid w:val="009558CF"/>
    <w:rsid w:val="00955D0B"/>
    <w:rsid w:val="00955E03"/>
    <w:rsid w:val="00955F84"/>
    <w:rsid w:val="00956207"/>
    <w:rsid w:val="00956387"/>
    <w:rsid w:val="009565F7"/>
    <w:rsid w:val="00956637"/>
    <w:rsid w:val="00956A3E"/>
    <w:rsid w:val="00956E28"/>
    <w:rsid w:val="00956E9F"/>
    <w:rsid w:val="0095747D"/>
    <w:rsid w:val="00957626"/>
    <w:rsid w:val="00957649"/>
    <w:rsid w:val="00957AEA"/>
    <w:rsid w:val="00957AF7"/>
    <w:rsid w:val="00957C4C"/>
    <w:rsid w:val="00957F30"/>
    <w:rsid w:val="00957FCE"/>
    <w:rsid w:val="0096025E"/>
    <w:rsid w:val="009604E6"/>
    <w:rsid w:val="00960655"/>
    <w:rsid w:val="00960ACA"/>
    <w:rsid w:val="00960C4F"/>
    <w:rsid w:val="0096132C"/>
    <w:rsid w:val="009619FD"/>
    <w:rsid w:val="00961B4E"/>
    <w:rsid w:val="00961B6F"/>
    <w:rsid w:val="00961E95"/>
    <w:rsid w:val="00962036"/>
    <w:rsid w:val="0096217C"/>
    <w:rsid w:val="009622B3"/>
    <w:rsid w:val="00962441"/>
    <w:rsid w:val="0096267E"/>
    <w:rsid w:val="0096293F"/>
    <w:rsid w:val="00962BB5"/>
    <w:rsid w:val="00962BCF"/>
    <w:rsid w:val="00962DD7"/>
    <w:rsid w:val="00962ED3"/>
    <w:rsid w:val="00963277"/>
    <w:rsid w:val="0096337E"/>
    <w:rsid w:val="0096338D"/>
    <w:rsid w:val="00963395"/>
    <w:rsid w:val="0096352D"/>
    <w:rsid w:val="009637DC"/>
    <w:rsid w:val="00963959"/>
    <w:rsid w:val="00963C10"/>
    <w:rsid w:val="00963D71"/>
    <w:rsid w:val="009642E8"/>
    <w:rsid w:val="009645CA"/>
    <w:rsid w:val="009646AF"/>
    <w:rsid w:val="009649BB"/>
    <w:rsid w:val="00964B53"/>
    <w:rsid w:val="00964C3F"/>
    <w:rsid w:val="00964C6C"/>
    <w:rsid w:val="00964D57"/>
    <w:rsid w:val="00964F3B"/>
    <w:rsid w:val="00964FB1"/>
    <w:rsid w:val="00965176"/>
    <w:rsid w:val="00965240"/>
    <w:rsid w:val="00965463"/>
    <w:rsid w:val="00965475"/>
    <w:rsid w:val="009655C6"/>
    <w:rsid w:val="009657E3"/>
    <w:rsid w:val="00965847"/>
    <w:rsid w:val="0096588F"/>
    <w:rsid w:val="009658A1"/>
    <w:rsid w:val="00965A3E"/>
    <w:rsid w:val="00965C09"/>
    <w:rsid w:val="00965C48"/>
    <w:rsid w:val="00966183"/>
    <w:rsid w:val="00966220"/>
    <w:rsid w:val="009663F3"/>
    <w:rsid w:val="00966D9D"/>
    <w:rsid w:val="00966E4A"/>
    <w:rsid w:val="00967041"/>
    <w:rsid w:val="009670BB"/>
    <w:rsid w:val="00967412"/>
    <w:rsid w:val="009674A9"/>
    <w:rsid w:val="009674EC"/>
    <w:rsid w:val="0096785F"/>
    <w:rsid w:val="00967A1D"/>
    <w:rsid w:val="00967D43"/>
    <w:rsid w:val="00967D98"/>
    <w:rsid w:val="0097000B"/>
    <w:rsid w:val="009701BA"/>
    <w:rsid w:val="0097049C"/>
    <w:rsid w:val="00970648"/>
    <w:rsid w:val="009706D7"/>
    <w:rsid w:val="009706E4"/>
    <w:rsid w:val="00970721"/>
    <w:rsid w:val="0097078D"/>
    <w:rsid w:val="00970799"/>
    <w:rsid w:val="00970918"/>
    <w:rsid w:val="00970923"/>
    <w:rsid w:val="0097099E"/>
    <w:rsid w:val="00970DF5"/>
    <w:rsid w:val="00970E78"/>
    <w:rsid w:val="00970F12"/>
    <w:rsid w:val="00970F56"/>
    <w:rsid w:val="009710BA"/>
    <w:rsid w:val="0097153E"/>
    <w:rsid w:val="009715E6"/>
    <w:rsid w:val="00971761"/>
    <w:rsid w:val="00971806"/>
    <w:rsid w:val="00971A06"/>
    <w:rsid w:val="00971A50"/>
    <w:rsid w:val="00971B48"/>
    <w:rsid w:val="00971C18"/>
    <w:rsid w:val="00971EDB"/>
    <w:rsid w:val="0097216F"/>
    <w:rsid w:val="00972689"/>
    <w:rsid w:val="0097272E"/>
    <w:rsid w:val="0097280B"/>
    <w:rsid w:val="0097283D"/>
    <w:rsid w:val="00972887"/>
    <w:rsid w:val="009729E4"/>
    <w:rsid w:val="00972C3B"/>
    <w:rsid w:val="00973057"/>
    <w:rsid w:val="00973070"/>
    <w:rsid w:val="009735A3"/>
    <w:rsid w:val="00973889"/>
    <w:rsid w:val="0097399D"/>
    <w:rsid w:val="00973F3C"/>
    <w:rsid w:val="00974004"/>
    <w:rsid w:val="00974318"/>
    <w:rsid w:val="0097440D"/>
    <w:rsid w:val="00974D1B"/>
    <w:rsid w:val="00974D50"/>
    <w:rsid w:val="00974EBA"/>
    <w:rsid w:val="00974F3C"/>
    <w:rsid w:val="0097516F"/>
    <w:rsid w:val="00975178"/>
    <w:rsid w:val="009751AF"/>
    <w:rsid w:val="009752BE"/>
    <w:rsid w:val="00975326"/>
    <w:rsid w:val="0097541D"/>
    <w:rsid w:val="00975446"/>
    <w:rsid w:val="009755CB"/>
    <w:rsid w:val="00975A88"/>
    <w:rsid w:val="00975A8D"/>
    <w:rsid w:val="00975AF2"/>
    <w:rsid w:val="00975BB5"/>
    <w:rsid w:val="00975DEA"/>
    <w:rsid w:val="009761FC"/>
    <w:rsid w:val="009762BD"/>
    <w:rsid w:val="00976411"/>
    <w:rsid w:val="0097678D"/>
    <w:rsid w:val="009767D4"/>
    <w:rsid w:val="00976B78"/>
    <w:rsid w:val="00976DFD"/>
    <w:rsid w:val="009774C8"/>
    <w:rsid w:val="00977583"/>
    <w:rsid w:val="00977818"/>
    <w:rsid w:val="00977C3F"/>
    <w:rsid w:val="00977CDF"/>
    <w:rsid w:val="009801DB"/>
    <w:rsid w:val="0098024D"/>
    <w:rsid w:val="00980355"/>
    <w:rsid w:val="0098043F"/>
    <w:rsid w:val="00980750"/>
    <w:rsid w:val="00980780"/>
    <w:rsid w:val="00980D55"/>
    <w:rsid w:val="00980E54"/>
    <w:rsid w:val="00981038"/>
    <w:rsid w:val="0098106E"/>
    <w:rsid w:val="009813B8"/>
    <w:rsid w:val="00981511"/>
    <w:rsid w:val="00981608"/>
    <w:rsid w:val="009817EE"/>
    <w:rsid w:val="009818A9"/>
    <w:rsid w:val="00981D1C"/>
    <w:rsid w:val="00981E1C"/>
    <w:rsid w:val="00982118"/>
    <w:rsid w:val="00982475"/>
    <w:rsid w:val="00982C62"/>
    <w:rsid w:val="00982C91"/>
    <w:rsid w:val="00982D1C"/>
    <w:rsid w:val="00982F76"/>
    <w:rsid w:val="00982FA3"/>
    <w:rsid w:val="00982FF5"/>
    <w:rsid w:val="00983691"/>
    <w:rsid w:val="0098370A"/>
    <w:rsid w:val="00983949"/>
    <w:rsid w:val="00983A78"/>
    <w:rsid w:val="0098409A"/>
    <w:rsid w:val="009840FD"/>
    <w:rsid w:val="0098419F"/>
    <w:rsid w:val="009843B3"/>
    <w:rsid w:val="009846C4"/>
    <w:rsid w:val="00984701"/>
    <w:rsid w:val="00984847"/>
    <w:rsid w:val="00984AF9"/>
    <w:rsid w:val="00984BEC"/>
    <w:rsid w:val="00984C0F"/>
    <w:rsid w:val="009850E3"/>
    <w:rsid w:val="009855C6"/>
    <w:rsid w:val="0098582E"/>
    <w:rsid w:val="00985DCE"/>
    <w:rsid w:val="00985EB8"/>
    <w:rsid w:val="00985FB3"/>
    <w:rsid w:val="0098614F"/>
    <w:rsid w:val="0098629A"/>
    <w:rsid w:val="009862CE"/>
    <w:rsid w:val="0098641D"/>
    <w:rsid w:val="00986566"/>
    <w:rsid w:val="0098662E"/>
    <w:rsid w:val="0098668E"/>
    <w:rsid w:val="00986AE2"/>
    <w:rsid w:val="00986CC1"/>
    <w:rsid w:val="00986D5A"/>
    <w:rsid w:val="00986DF1"/>
    <w:rsid w:val="00986F33"/>
    <w:rsid w:val="00986F4E"/>
    <w:rsid w:val="009870B4"/>
    <w:rsid w:val="00987191"/>
    <w:rsid w:val="00987228"/>
    <w:rsid w:val="009872CE"/>
    <w:rsid w:val="0098736F"/>
    <w:rsid w:val="00987769"/>
    <w:rsid w:val="009878FD"/>
    <w:rsid w:val="00987A5A"/>
    <w:rsid w:val="00987CB0"/>
    <w:rsid w:val="00987CB4"/>
    <w:rsid w:val="00990131"/>
    <w:rsid w:val="00990177"/>
    <w:rsid w:val="009901D9"/>
    <w:rsid w:val="009903B6"/>
    <w:rsid w:val="00990550"/>
    <w:rsid w:val="0099097E"/>
    <w:rsid w:val="00990AF9"/>
    <w:rsid w:val="00990BA2"/>
    <w:rsid w:val="00990DCB"/>
    <w:rsid w:val="00990E67"/>
    <w:rsid w:val="00991498"/>
    <w:rsid w:val="009916CB"/>
    <w:rsid w:val="009918B3"/>
    <w:rsid w:val="009918F7"/>
    <w:rsid w:val="00991AA7"/>
    <w:rsid w:val="00991B88"/>
    <w:rsid w:val="00991CEA"/>
    <w:rsid w:val="00991D31"/>
    <w:rsid w:val="00992174"/>
    <w:rsid w:val="009921FC"/>
    <w:rsid w:val="00992243"/>
    <w:rsid w:val="00992464"/>
    <w:rsid w:val="00992689"/>
    <w:rsid w:val="0099272B"/>
    <w:rsid w:val="009928DD"/>
    <w:rsid w:val="009929DF"/>
    <w:rsid w:val="00992A0E"/>
    <w:rsid w:val="00992A3E"/>
    <w:rsid w:val="00992F0B"/>
    <w:rsid w:val="00992F4E"/>
    <w:rsid w:val="009934F6"/>
    <w:rsid w:val="0099399E"/>
    <w:rsid w:val="009939B8"/>
    <w:rsid w:val="00993B81"/>
    <w:rsid w:val="00993BB4"/>
    <w:rsid w:val="00994064"/>
    <w:rsid w:val="0099413C"/>
    <w:rsid w:val="00994207"/>
    <w:rsid w:val="00994230"/>
    <w:rsid w:val="00994499"/>
    <w:rsid w:val="0099464B"/>
    <w:rsid w:val="0099477A"/>
    <w:rsid w:val="0099479E"/>
    <w:rsid w:val="00994C40"/>
    <w:rsid w:val="00994FFB"/>
    <w:rsid w:val="009951D8"/>
    <w:rsid w:val="009952FB"/>
    <w:rsid w:val="00995355"/>
    <w:rsid w:val="009953F5"/>
    <w:rsid w:val="009953FD"/>
    <w:rsid w:val="0099586F"/>
    <w:rsid w:val="00995E35"/>
    <w:rsid w:val="009960E4"/>
    <w:rsid w:val="009961C8"/>
    <w:rsid w:val="0099658B"/>
    <w:rsid w:val="00996B23"/>
    <w:rsid w:val="0099719E"/>
    <w:rsid w:val="00997314"/>
    <w:rsid w:val="009974E9"/>
    <w:rsid w:val="00997E02"/>
    <w:rsid w:val="009A0169"/>
    <w:rsid w:val="009A01FB"/>
    <w:rsid w:val="009A037B"/>
    <w:rsid w:val="009A0583"/>
    <w:rsid w:val="009A08A7"/>
    <w:rsid w:val="009A0915"/>
    <w:rsid w:val="009A0989"/>
    <w:rsid w:val="009A0CFB"/>
    <w:rsid w:val="009A0E53"/>
    <w:rsid w:val="009A102C"/>
    <w:rsid w:val="009A1185"/>
    <w:rsid w:val="009A11D6"/>
    <w:rsid w:val="009A137E"/>
    <w:rsid w:val="009A177F"/>
    <w:rsid w:val="009A1B56"/>
    <w:rsid w:val="009A1C86"/>
    <w:rsid w:val="009A1D15"/>
    <w:rsid w:val="009A2A76"/>
    <w:rsid w:val="009A2B26"/>
    <w:rsid w:val="009A2C0A"/>
    <w:rsid w:val="009A2D06"/>
    <w:rsid w:val="009A2FC4"/>
    <w:rsid w:val="009A30EE"/>
    <w:rsid w:val="009A32BE"/>
    <w:rsid w:val="009A3636"/>
    <w:rsid w:val="009A3796"/>
    <w:rsid w:val="009A3C93"/>
    <w:rsid w:val="009A3F03"/>
    <w:rsid w:val="009A3FD0"/>
    <w:rsid w:val="009A47FC"/>
    <w:rsid w:val="009A4E7C"/>
    <w:rsid w:val="009A5027"/>
    <w:rsid w:val="009A5156"/>
    <w:rsid w:val="009A51C7"/>
    <w:rsid w:val="009A5350"/>
    <w:rsid w:val="009A569B"/>
    <w:rsid w:val="009A59EC"/>
    <w:rsid w:val="009A5C56"/>
    <w:rsid w:val="009A5CA8"/>
    <w:rsid w:val="009A65B8"/>
    <w:rsid w:val="009A66F7"/>
    <w:rsid w:val="009A6701"/>
    <w:rsid w:val="009A6D9E"/>
    <w:rsid w:val="009A6DAE"/>
    <w:rsid w:val="009A6ED0"/>
    <w:rsid w:val="009A6FDA"/>
    <w:rsid w:val="009A706A"/>
    <w:rsid w:val="009A70B2"/>
    <w:rsid w:val="009A71AB"/>
    <w:rsid w:val="009A7279"/>
    <w:rsid w:val="009A7567"/>
    <w:rsid w:val="009A7745"/>
    <w:rsid w:val="009A7A7D"/>
    <w:rsid w:val="009A7C3D"/>
    <w:rsid w:val="009A7CA7"/>
    <w:rsid w:val="009A7F08"/>
    <w:rsid w:val="009B0014"/>
    <w:rsid w:val="009B00A1"/>
    <w:rsid w:val="009B0156"/>
    <w:rsid w:val="009B0295"/>
    <w:rsid w:val="009B05BA"/>
    <w:rsid w:val="009B06F8"/>
    <w:rsid w:val="009B0CF1"/>
    <w:rsid w:val="009B0D6F"/>
    <w:rsid w:val="009B1018"/>
    <w:rsid w:val="009B13F5"/>
    <w:rsid w:val="009B187D"/>
    <w:rsid w:val="009B1964"/>
    <w:rsid w:val="009B1B0E"/>
    <w:rsid w:val="009B1B63"/>
    <w:rsid w:val="009B1F54"/>
    <w:rsid w:val="009B2253"/>
    <w:rsid w:val="009B2596"/>
    <w:rsid w:val="009B2648"/>
    <w:rsid w:val="009B2671"/>
    <w:rsid w:val="009B2935"/>
    <w:rsid w:val="009B3706"/>
    <w:rsid w:val="009B421B"/>
    <w:rsid w:val="009B4222"/>
    <w:rsid w:val="009B42B6"/>
    <w:rsid w:val="009B42CC"/>
    <w:rsid w:val="009B4303"/>
    <w:rsid w:val="009B43D6"/>
    <w:rsid w:val="009B461A"/>
    <w:rsid w:val="009B4830"/>
    <w:rsid w:val="009B4863"/>
    <w:rsid w:val="009B48C6"/>
    <w:rsid w:val="009B4DBF"/>
    <w:rsid w:val="009B5081"/>
    <w:rsid w:val="009B5151"/>
    <w:rsid w:val="009B5282"/>
    <w:rsid w:val="009B52DE"/>
    <w:rsid w:val="009B55F0"/>
    <w:rsid w:val="009B5746"/>
    <w:rsid w:val="009B587B"/>
    <w:rsid w:val="009B62C1"/>
    <w:rsid w:val="009B64D6"/>
    <w:rsid w:val="009B659E"/>
    <w:rsid w:val="009B6985"/>
    <w:rsid w:val="009B69B3"/>
    <w:rsid w:val="009B6C1F"/>
    <w:rsid w:val="009B7011"/>
    <w:rsid w:val="009B71E4"/>
    <w:rsid w:val="009B7837"/>
    <w:rsid w:val="009B790B"/>
    <w:rsid w:val="009B7AF2"/>
    <w:rsid w:val="009B7C14"/>
    <w:rsid w:val="009B7E1B"/>
    <w:rsid w:val="009B7E6E"/>
    <w:rsid w:val="009C028C"/>
    <w:rsid w:val="009C0427"/>
    <w:rsid w:val="009C04D7"/>
    <w:rsid w:val="009C04EE"/>
    <w:rsid w:val="009C0CD4"/>
    <w:rsid w:val="009C0EC0"/>
    <w:rsid w:val="009C103E"/>
    <w:rsid w:val="009C1117"/>
    <w:rsid w:val="009C15E7"/>
    <w:rsid w:val="009C17C8"/>
    <w:rsid w:val="009C2CAF"/>
    <w:rsid w:val="009C2FE6"/>
    <w:rsid w:val="009C3206"/>
    <w:rsid w:val="009C385B"/>
    <w:rsid w:val="009C3E28"/>
    <w:rsid w:val="009C3E3C"/>
    <w:rsid w:val="009C42C6"/>
    <w:rsid w:val="009C4353"/>
    <w:rsid w:val="009C4925"/>
    <w:rsid w:val="009C49C2"/>
    <w:rsid w:val="009C4C73"/>
    <w:rsid w:val="009C4E2D"/>
    <w:rsid w:val="009C521C"/>
    <w:rsid w:val="009C5419"/>
    <w:rsid w:val="009C58E8"/>
    <w:rsid w:val="009C5B7E"/>
    <w:rsid w:val="009C62C0"/>
    <w:rsid w:val="009C6381"/>
    <w:rsid w:val="009C6626"/>
    <w:rsid w:val="009C6A88"/>
    <w:rsid w:val="009C6AC2"/>
    <w:rsid w:val="009C6AFF"/>
    <w:rsid w:val="009C6B62"/>
    <w:rsid w:val="009C6BD2"/>
    <w:rsid w:val="009C6F41"/>
    <w:rsid w:val="009C6F57"/>
    <w:rsid w:val="009C6FD1"/>
    <w:rsid w:val="009C73BF"/>
    <w:rsid w:val="009C765D"/>
    <w:rsid w:val="009C7A44"/>
    <w:rsid w:val="009C7ADA"/>
    <w:rsid w:val="009C7C38"/>
    <w:rsid w:val="009D000A"/>
    <w:rsid w:val="009D0BA5"/>
    <w:rsid w:val="009D134C"/>
    <w:rsid w:val="009D1367"/>
    <w:rsid w:val="009D1401"/>
    <w:rsid w:val="009D15B5"/>
    <w:rsid w:val="009D1669"/>
    <w:rsid w:val="009D1786"/>
    <w:rsid w:val="009D1997"/>
    <w:rsid w:val="009D1A86"/>
    <w:rsid w:val="009D1B6C"/>
    <w:rsid w:val="009D1D9A"/>
    <w:rsid w:val="009D1DD5"/>
    <w:rsid w:val="009D1E12"/>
    <w:rsid w:val="009D234A"/>
    <w:rsid w:val="009D23E8"/>
    <w:rsid w:val="009D2CAC"/>
    <w:rsid w:val="009D2DA9"/>
    <w:rsid w:val="009D2E93"/>
    <w:rsid w:val="009D2EA9"/>
    <w:rsid w:val="009D3038"/>
    <w:rsid w:val="009D3057"/>
    <w:rsid w:val="009D314D"/>
    <w:rsid w:val="009D3178"/>
    <w:rsid w:val="009D34C0"/>
    <w:rsid w:val="009D35FB"/>
    <w:rsid w:val="009D361F"/>
    <w:rsid w:val="009D38DA"/>
    <w:rsid w:val="009D39A3"/>
    <w:rsid w:val="009D3A02"/>
    <w:rsid w:val="009D3B45"/>
    <w:rsid w:val="009D3B71"/>
    <w:rsid w:val="009D3BC4"/>
    <w:rsid w:val="009D3CB5"/>
    <w:rsid w:val="009D3D12"/>
    <w:rsid w:val="009D3ECF"/>
    <w:rsid w:val="009D408F"/>
    <w:rsid w:val="009D458F"/>
    <w:rsid w:val="009D46CB"/>
    <w:rsid w:val="009D4711"/>
    <w:rsid w:val="009D4811"/>
    <w:rsid w:val="009D4A9C"/>
    <w:rsid w:val="009D4AB4"/>
    <w:rsid w:val="009D4B8E"/>
    <w:rsid w:val="009D4BBE"/>
    <w:rsid w:val="009D4D7F"/>
    <w:rsid w:val="009D4E16"/>
    <w:rsid w:val="009D508A"/>
    <w:rsid w:val="009D5109"/>
    <w:rsid w:val="009D5170"/>
    <w:rsid w:val="009D51C9"/>
    <w:rsid w:val="009D55C1"/>
    <w:rsid w:val="009D56EF"/>
    <w:rsid w:val="009D5893"/>
    <w:rsid w:val="009D58E5"/>
    <w:rsid w:val="009D5AD8"/>
    <w:rsid w:val="009D5EFE"/>
    <w:rsid w:val="009D62A7"/>
    <w:rsid w:val="009D6620"/>
    <w:rsid w:val="009D693C"/>
    <w:rsid w:val="009D6C54"/>
    <w:rsid w:val="009D6CAA"/>
    <w:rsid w:val="009D6E1F"/>
    <w:rsid w:val="009D7167"/>
    <w:rsid w:val="009D72B0"/>
    <w:rsid w:val="009D741A"/>
    <w:rsid w:val="009D7462"/>
    <w:rsid w:val="009D7505"/>
    <w:rsid w:val="009D76F4"/>
    <w:rsid w:val="009D77CE"/>
    <w:rsid w:val="009D7DE3"/>
    <w:rsid w:val="009D7E28"/>
    <w:rsid w:val="009E004A"/>
    <w:rsid w:val="009E00EB"/>
    <w:rsid w:val="009E021E"/>
    <w:rsid w:val="009E0472"/>
    <w:rsid w:val="009E066B"/>
    <w:rsid w:val="009E08F1"/>
    <w:rsid w:val="009E09DB"/>
    <w:rsid w:val="009E1098"/>
    <w:rsid w:val="009E138F"/>
    <w:rsid w:val="009E1395"/>
    <w:rsid w:val="009E1515"/>
    <w:rsid w:val="009E1640"/>
    <w:rsid w:val="009E1914"/>
    <w:rsid w:val="009E1A9C"/>
    <w:rsid w:val="009E1A9E"/>
    <w:rsid w:val="009E1CFF"/>
    <w:rsid w:val="009E1DCF"/>
    <w:rsid w:val="009E1FEE"/>
    <w:rsid w:val="009E1FFB"/>
    <w:rsid w:val="009E2080"/>
    <w:rsid w:val="009E23B0"/>
    <w:rsid w:val="009E23EA"/>
    <w:rsid w:val="009E2812"/>
    <w:rsid w:val="009E295D"/>
    <w:rsid w:val="009E2A9F"/>
    <w:rsid w:val="009E2C7E"/>
    <w:rsid w:val="009E2D24"/>
    <w:rsid w:val="009E2E0C"/>
    <w:rsid w:val="009E2E77"/>
    <w:rsid w:val="009E2EA0"/>
    <w:rsid w:val="009E305F"/>
    <w:rsid w:val="009E3161"/>
    <w:rsid w:val="009E3274"/>
    <w:rsid w:val="009E354C"/>
    <w:rsid w:val="009E36FF"/>
    <w:rsid w:val="009E37D3"/>
    <w:rsid w:val="009E3811"/>
    <w:rsid w:val="009E3E3F"/>
    <w:rsid w:val="009E3E49"/>
    <w:rsid w:val="009E3F51"/>
    <w:rsid w:val="009E41DD"/>
    <w:rsid w:val="009E45C2"/>
    <w:rsid w:val="009E46F5"/>
    <w:rsid w:val="009E47F3"/>
    <w:rsid w:val="009E4BE8"/>
    <w:rsid w:val="009E4C73"/>
    <w:rsid w:val="009E4CA8"/>
    <w:rsid w:val="009E5028"/>
    <w:rsid w:val="009E50F5"/>
    <w:rsid w:val="009E50FB"/>
    <w:rsid w:val="009E5280"/>
    <w:rsid w:val="009E5386"/>
    <w:rsid w:val="009E54BE"/>
    <w:rsid w:val="009E5706"/>
    <w:rsid w:val="009E5828"/>
    <w:rsid w:val="009E5AE8"/>
    <w:rsid w:val="009E5BAA"/>
    <w:rsid w:val="009E5DD1"/>
    <w:rsid w:val="009E6037"/>
    <w:rsid w:val="009E60AD"/>
    <w:rsid w:val="009E62F5"/>
    <w:rsid w:val="009E630F"/>
    <w:rsid w:val="009E67AD"/>
    <w:rsid w:val="009E68C8"/>
    <w:rsid w:val="009E6AB5"/>
    <w:rsid w:val="009E6B01"/>
    <w:rsid w:val="009E6DAB"/>
    <w:rsid w:val="009E6EC4"/>
    <w:rsid w:val="009E6F4B"/>
    <w:rsid w:val="009E703C"/>
    <w:rsid w:val="009E74EC"/>
    <w:rsid w:val="009E7656"/>
    <w:rsid w:val="009E76A6"/>
    <w:rsid w:val="009E7C0A"/>
    <w:rsid w:val="009E7C7A"/>
    <w:rsid w:val="009E7E4C"/>
    <w:rsid w:val="009F0763"/>
    <w:rsid w:val="009F08F5"/>
    <w:rsid w:val="009F094B"/>
    <w:rsid w:val="009F0956"/>
    <w:rsid w:val="009F0AA9"/>
    <w:rsid w:val="009F0EE5"/>
    <w:rsid w:val="009F1264"/>
    <w:rsid w:val="009F126B"/>
    <w:rsid w:val="009F16EA"/>
    <w:rsid w:val="009F19DA"/>
    <w:rsid w:val="009F1DC5"/>
    <w:rsid w:val="009F1E6E"/>
    <w:rsid w:val="009F1FFA"/>
    <w:rsid w:val="009F2009"/>
    <w:rsid w:val="009F2122"/>
    <w:rsid w:val="009F212A"/>
    <w:rsid w:val="009F2253"/>
    <w:rsid w:val="009F245B"/>
    <w:rsid w:val="009F25E6"/>
    <w:rsid w:val="009F2808"/>
    <w:rsid w:val="009F2948"/>
    <w:rsid w:val="009F2BE8"/>
    <w:rsid w:val="009F2CAE"/>
    <w:rsid w:val="009F2E16"/>
    <w:rsid w:val="009F2F09"/>
    <w:rsid w:val="009F2F12"/>
    <w:rsid w:val="009F3020"/>
    <w:rsid w:val="009F37A0"/>
    <w:rsid w:val="009F39A7"/>
    <w:rsid w:val="009F3B86"/>
    <w:rsid w:val="009F3DCF"/>
    <w:rsid w:val="009F3F2C"/>
    <w:rsid w:val="009F40B7"/>
    <w:rsid w:val="009F4188"/>
    <w:rsid w:val="009F4302"/>
    <w:rsid w:val="009F4305"/>
    <w:rsid w:val="009F4393"/>
    <w:rsid w:val="009F4A4F"/>
    <w:rsid w:val="009F4BE9"/>
    <w:rsid w:val="009F52DC"/>
    <w:rsid w:val="009F56EC"/>
    <w:rsid w:val="009F5A11"/>
    <w:rsid w:val="009F5ADD"/>
    <w:rsid w:val="009F5C13"/>
    <w:rsid w:val="009F5F57"/>
    <w:rsid w:val="009F62D3"/>
    <w:rsid w:val="009F64C6"/>
    <w:rsid w:val="009F6B37"/>
    <w:rsid w:val="009F7252"/>
    <w:rsid w:val="009F740E"/>
    <w:rsid w:val="009F7A68"/>
    <w:rsid w:val="009F7B26"/>
    <w:rsid w:val="009F7BE6"/>
    <w:rsid w:val="009F7DDE"/>
    <w:rsid w:val="009F7FFC"/>
    <w:rsid w:val="00A00112"/>
    <w:rsid w:val="00A003DA"/>
    <w:rsid w:val="00A0044D"/>
    <w:rsid w:val="00A00587"/>
    <w:rsid w:val="00A008B5"/>
    <w:rsid w:val="00A00AD5"/>
    <w:rsid w:val="00A01167"/>
    <w:rsid w:val="00A01421"/>
    <w:rsid w:val="00A017B4"/>
    <w:rsid w:val="00A01868"/>
    <w:rsid w:val="00A01870"/>
    <w:rsid w:val="00A01AA0"/>
    <w:rsid w:val="00A01C53"/>
    <w:rsid w:val="00A01D03"/>
    <w:rsid w:val="00A01D38"/>
    <w:rsid w:val="00A01F9D"/>
    <w:rsid w:val="00A01FA8"/>
    <w:rsid w:val="00A0212C"/>
    <w:rsid w:val="00A02414"/>
    <w:rsid w:val="00A025B9"/>
    <w:rsid w:val="00A02E8C"/>
    <w:rsid w:val="00A0344C"/>
    <w:rsid w:val="00A03486"/>
    <w:rsid w:val="00A03494"/>
    <w:rsid w:val="00A0355C"/>
    <w:rsid w:val="00A035B3"/>
    <w:rsid w:val="00A03680"/>
    <w:rsid w:val="00A039F3"/>
    <w:rsid w:val="00A03A13"/>
    <w:rsid w:val="00A04023"/>
    <w:rsid w:val="00A040CD"/>
    <w:rsid w:val="00A04429"/>
    <w:rsid w:val="00A04D11"/>
    <w:rsid w:val="00A04DDB"/>
    <w:rsid w:val="00A0512D"/>
    <w:rsid w:val="00A0561D"/>
    <w:rsid w:val="00A0565D"/>
    <w:rsid w:val="00A05AB3"/>
    <w:rsid w:val="00A06013"/>
    <w:rsid w:val="00A06057"/>
    <w:rsid w:val="00A06072"/>
    <w:rsid w:val="00A06171"/>
    <w:rsid w:val="00A06446"/>
    <w:rsid w:val="00A064CA"/>
    <w:rsid w:val="00A06599"/>
    <w:rsid w:val="00A06697"/>
    <w:rsid w:val="00A06BA1"/>
    <w:rsid w:val="00A06C40"/>
    <w:rsid w:val="00A06CD1"/>
    <w:rsid w:val="00A07586"/>
    <w:rsid w:val="00A075A9"/>
    <w:rsid w:val="00A0773E"/>
    <w:rsid w:val="00A0775E"/>
    <w:rsid w:val="00A078EC"/>
    <w:rsid w:val="00A101F4"/>
    <w:rsid w:val="00A10204"/>
    <w:rsid w:val="00A10586"/>
    <w:rsid w:val="00A106BD"/>
    <w:rsid w:val="00A10A48"/>
    <w:rsid w:val="00A10DCE"/>
    <w:rsid w:val="00A110DA"/>
    <w:rsid w:val="00A111FA"/>
    <w:rsid w:val="00A1132B"/>
    <w:rsid w:val="00A11603"/>
    <w:rsid w:val="00A1177F"/>
    <w:rsid w:val="00A117D9"/>
    <w:rsid w:val="00A11930"/>
    <w:rsid w:val="00A11B45"/>
    <w:rsid w:val="00A11B54"/>
    <w:rsid w:val="00A11C44"/>
    <w:rsid w:val="00A11CDC"/>
    <w:rsid w:val="00A11E92"/>
    <w:rsid w:val="00A11F25"/>
    <w:rsid w:val="00A12287"/>
    <w:rsid w:val="00A1238C"/>
    <w:rsid w:val="00A12431"/>
    <w:rsid w:val="00A12506"/>
    <w:rsid w:val="00A1263D"/>
    <w:rsid w:val="00A12687"/>
    <w:rsid w:val="00A12AF2"/>
    <w:rsid w:val="00A12D8A"/>
    <w:rsid w:val="00A12E6C"/>
    <w:rsid w:val="00A13211"/>
    <w:rsid w:val="00A132B4"/>
    <w:rsid w:val="00A13318"/>
    <w:rsid w:val="00A13467"/>
    <w:rsid w:val="00A136D0"/>
    <w:rsid w:val="00A136D9"/>
    <w:rsid w:val="00A13785"/>
    <w:rsid w:val="00A13B22"/>
    <w:rsid w:val="00A13B64"/>
    <w:rsid w:val="00A13D1A"/>
    <w:rsid w:val="00A13EC9"/>
    <w:rsid w:val="00A13FB6"/>
    <w:rsid w:val="00A1443D"/>
    <w:rsid w:val="00A147B0"/>
    <w:rsid w:val="00A147FC"/>
    <w:rsid w:val="00A14DC2"/>
    <w:rsid w:val="00A14DD6"/>
    <w:rsid w:val="00A151BE"/>
    <w:rsid w:val="00A151BF"/>
    <w:rsid w:val="00A1530E"/>
    <w:rsid w:val="00A15683"/>
    <w:rsid w:val="00A1599D"/>
    <w:rsid w:val="00A15D28"/>
    <w:rsid w:val="00A15D5E"/>
    <w:rsid w:val="00A160BD"/>
    <w:rsid w:val="00A161F8"/>
    <w:rsid w:val="00A169FA"/>
    <w:rsid w:val="00A170B9"/>
    <w:rsid w:val="00A17249"/>
    <w:rsid w:val="00A17338"/>
    <w:rsid w:val="00A17603"/>
    <w:rsid w:val="00A1766A"/>
    <w:rsid w:val="00A17839"/>
    <w:rsid w:val="00A1785F"/>
    <w:rsid w:val="00A17967"/>
    <w:rsid w:val="00A17E90"/>
    <w:rsid w:val="00A20001"/>
    <w:rsid w:val="00A20018"/>
    <w:rsid w:val="00A200F4"/>
    <w:rsid w:val="00A20234"/>
    <w:rsid w:val="00A204F7"/>
    <w:rsid w:val="00A205E5"/>
    <w:rsid w:val="00A206C9"/>
    <w:rsid w:val="00A2082A"/>
    <w:rsid w:val="00A20C27"/>
    <w:rsid w:val="00A20CF1"/>
    <w:rsid w:val="00A20E7D"/>
    <w:rsid w:val="00A2120B"/>
    <w:rsid w:val="00A21314"/>
    <w:rsid w:val="00A214B1"/>
    <w:rsid w:val="00A216BC"/>
    <w:rsid w:val="00A21C76"/>
    <w:rsid w:val="00A21DE4"/>
    <w:rsid w:val="00A21ED1"/>
    <w:rsid w:val="00A2265F"/>
    <w:rsid w:val="00A22844"/>
    <w:rsid w:val="00A228F3"/>
    <w:rsid w:val="00A22A88"/>
    <w:rsid w:val="00A22BB6"/>
    <w:rsid w:val="00A23931"/>
    <w:rsid w:val="00A23FD6"/>
    <w:rsid w:val="00A242E4"/>
    <w:rsid w:val="00A243C9"/>
    <w:rsid w:val="00A24558"/>
    <w:rsid w:val="00A2469B"/>
    <w:rsid w:val="00A24F93"/>
    <w:rsid w:val="00A25145"/>
    <w:rsid w:val="00A252AB"/>
    <w:rsid w:val="00A25317"/>
    <w:rsid w:val="00A25706"/>
    <w:rsid w:val="00A25D84"/>
    <w:rsid w:val="00A25EE5"/>
    <w:rsid w:val="00A25F2B"/>
    <w:rsid w:val="00A26029"/>
    <w:rsid w:val="00A262E4"/>
    <w:rsid w:val="00A268EA"/>
    <w:rsid w:val="00A26926"/>
    <w:rsid w:val="00A269C6"/>
    <w:rsid w:val="00A26C98"/>
    <w:rsid w:val="00A26D21"/>
    <w:rsid w:val="00A27187"/>
    <w:rsid w:val="00A271EA"/>
    <w:rsid w:val="00A27228"/>
    <w:rsid w:val="00A2755C"/>
    <w:rsid w:val="00A27578"/>
    <w:rsid w:val="00A27672"/>
    <w:rsid w:val="00A27A99"/>
    <w:rsid w:val="00A27CBF"/>
    <w:rsid w:val="00A27DCA"/>
    <w:rsid w:val="00A27E9A"/>
    <w:rsid w:val="00A27F72"/>
    <w:rsid w:val="00A30128"/>
    <w:rsid w:val="00A30347"/>
    <w:rsid w:val="00A30681"/>
    <w:rsid w:val="00A30725"/>
    <w:rsid w:val="00A312AD"/>
    <w:rsid w:val="00A31957"/>
    <w:rsid w:val="00A31C77"/>
    <w:rsid w:val="00A31CE0"/>
    <w:rsid w:val="00A31FA9"/>
    <w:rsid w:val="00A327C6"/>
    <w:rsid w:val="00A328A8"/>
    <w:rsid w:val="00A328BF"/>
    <w:rsid w:val="00A329BF"/>
    <w:rsid w:val="00A32AEA"/>
    <w:rsid w:val="00A32EC3"/>
    <w:rsid w:val="00A3339A"/>
    <w:rsid w:val="00A333BF"/>
    <w:rsid w:val="00A334F7"/>
    <w:rsid w:val="00A33825"/>
    <w:rsid w:val="00A3398F"/>
    <w:rsid w:val="00A33A55"/>
    <w:rsid w:val="00A33B4F"/>
    <w:rsid w:val="00A33C27"/>
    <w:rsid w:val="00A33C69"/>
    <w:rsid w:val="00A3409D"/>
    <w:rsid w:val="00A34144"/>
    <w:rsid w:val="00A3426B"/>
    <w:rsid w:val="00A3429F"/>
    <w:rsid w:val="00A34721"/>
    <w:rsid w:val="00A35583"/>
    <w:rsid w:val="00A35594"/>
    <w:rsid w:val="00A355CD"/>
    <w:rsid w:val="00A35707"/>
    <w:rsid w:val="00A3582B"/>
    <w:rsid w:val="00A359E7"/>
    <w:rsid w:val="00A35E3A"/>
    <w:rsid w:val="00A35FFB"/>
    <w:rsid w:val="00A360AE"/>
    <w:rsid w:val="00A363EF"/>
    <w:rsid w:val="00A3644D"/>
    <w:rsid w:val="00A3644F"/>
    <w:rsid w:val="00A364B1"/>
    <w:rsid w:val="00A36831"/>
    <w:rsid w:val="00A36942"/>
    <w:rsid w:val="00A36C08"/>
    <w:rsid w:val="00A36C0E"/>
    <w:rsid w:val="00A36D93"/>
    <w:rsid w:val="00A36DFE"/>
    <w:rsid w:val="00A370FD"/>
    <w:rsid w:val="00A3712D"/>
    <w:rsid w:val="00A3723A"/>
    <w:rsid w:val="00A37323"/>
    <w:rsid w:val="00A37435"/>
    <w:rsid w:val="00A3758A"/>
    <w:rsid w:val="00A376AB"/>
    <w:rsid w:val="00A3782B"/>
    <w:rsid w:val="00A3798C"/>
    <w:rsid w:val="00A379D9"/>
    <w:rsid w:val="00A37DD9"/>
    <w:rsid w:val="00A37FE9"/>
    <w:rsid w:val="00A37FF9"/>
    <w:rsid w:val="00A400BC"/>
    <w:rsid w:val="00A403E2"/>
    <w:rsid w:val="00A407D8"/>
    <w:rsid w:val="00A40CFE"/>
    <w:rsid w:val="00A40DD0"/>
    <w:rsid w:val="00A40ED7"/>
    <w:rsid w:val="00A40F83"/>
    <w:rsid w:val="00A40FA2"/>
    <w:rsid w:val="00A412B4"/>
    <w:rsid w:val="00A412BA"/>
    <w:rsid w:val="00A41416"/>
    <w:rsid w:val="00A4188D"/>
    <w:rsid w:val="00A418DB"/>
    <w:rsid w:val="00A41935"/>
    <w:rsid w:val="00A41979"/>
    <w:rsid w:val="00A41B3A"/>
    <w:rsid w:val="00A41BA6"/>
    <w:rsid w:val="00A41EE0"/>
    <w:rsid w:val="00A4200D"/>
    <w:rsid w:val="00A423B2"/>
    <w:rsid w:val="00A424BF"/>
    <w:rsid w:val="00A4258E"/>
    <w:rsid w:val="00A42624"/>
    <w:rsid w:val="00A42812"/>
    <w:rsid w:val="00A429BC"/>
    <w:rsid w:val="00A429BD"/>
    <w:rsid w:val="00A42BD0"/>
    <w:rsid w:val="00A431A3"/>
    <w:rsid w:val="00A432D1"/>
    <w:rsid w:val="00A43484"/>
    <w:rsid w:val="00A43716"/>
    <w:rsid w:val="00A4399F"/>
    <w:rsid w:val="00A439E1"/>
    <w:rsid w:val="00A43B47"/>
    <w:rsid w:val="00A43BA9"/>
    <w:rsid w:val="00A43BBD"/>
    <w:rsid w:val="00A43F86"/>
    <w:rsid w:val="00A43FB7"/>
    <w:rsid w:val="00A440C9"/>
    <w:rsid w:val="00A442C5"/>
    <w:rsid w:val="00A44456"/>
    <w:rsid w:val="00A44712"/>
    <w:rsid w:val="00A44737"/>
    <w:rsid w:val="00A44884"/>
    <w:rsid w:val="00A44969"/>
    <w:rsid w:val="00A44AF5"/>
    <w:rsid w:val="00A44B0C"/>
    <w:rsid w:val="00A44B8B"/>
    <w:rsid w:val="00A44BB4"/>
    <w:rsid w:val="00A44DF4"/>
    <w:rsid w:val="00A450AF"/>
    <w:rsid w:val="00A45560"/>
    <w:rsid w:val="00A457A6"/>
    <w:rsid w:val="00A45A36"/>
    <w:rsid w:val="00A45EC4"/>
    <w:rsid w:val="00A469F8"/>
    <w:rsid w:val="00A46A44"/>
    <w:rsid w:val="00A46A97"/>
    <w:rsid w:val="00A46BC1"/>
    <w:rsid w:val="00A47060"/>
    <w:rsid w:val="00A4707C"/>
    <w:rsid w:val="00A47191"/>
    <w:rsid w:val="00A47212"/>
    <w:rsid w:val="00A4744C"/>
    <w:rsid w:val="00A474CF"/>
    <w:rsid w:val="00A474EA"/>
    <w:rsid w:val="00A47666"/>
    <w:rsid w:val="00A476C9"/>
    <w:rsid w:val="00A47813"/>
    <w:rsid w:val="00A5008E"/>
    <w:rsid w:val="00A501B2"/>
    <w:rsid w:val="00A5034A"/>
    <w:rsid w:val="00A50A30"/>
    <w:rsid w:val="00A50F2A"/>
    <w:rsid w:val="00A50FFA"/>
    <w:rsid w:val="00A51563"/>
    <w:rsid w:val="00A516E8"/>
    <w:rsid w:val="00A518E1"/>
    <w:rsid w:val="00A5197F"/>
    <w:rsid w:val="00A519D9"/>
    <w:rsid w:val="00A51DCC"/>
    <w:rsid w:val="00A51E0F"/>
    <w:rsid w:val="00A51E77"/>
    <w:rsid w:val="00A51F1F"/>
    <w:rsid w:val="00A5217E"/>
    <w:rsid w:val="00A521D7"/>
    <w:rsid w:val="00A522B1"/>
    <w:rsid w:val="00A52478"/>
    <w:rsid w:val="00A529EF"/>
    <w:rsid w:val="00A52D3C"/>
    <w:rsid w:val="00A52F78"/>
    <w:rsid w:val="00A52FDD"/>
    <w:rsid w:val="00A53165"/>
    <w:rsid w:val="00A53386"/>
    <w:rsid w:val="00A5369D"/>
    <w:rsid w:val="00A5370D"/>
    <w:rsid w:val="00A539D1"/>
    <w:rsid w:val="00A53A71"/>
    <w:rsid w:val="00A53B4A"/>
    <w:rsid w:val="00A5422A"/>
    <w:rsid w:val="00A54327"/>
    <w:rsid w:val="00A54742"/>
    <w:rsid w:val="00A54B91"/>
    <w:rsid w:val="00A54C03"/>
    <w:rsid w:val="00A54DAE"/>
    <w:rsid w:val="00A54EA0"/>
    <w:rsid w:val="00A5500D"/>
    <w:rsid w:val="00A55149"/>
    <w:rsid w:val="00A555D9"/>
    <w:rsid w:val="00A55754"/>
    <w:rsid w:val="00A55D1B"/>
    <w:rsid w:val="00A56037"/>
    <w:rsid w:val="00A56732"/>
    <w:rsid w:val="00A5673F"/>
    <w:rsid w:val="00A56CC5"/>
    <w:rsid w:val="00A56D3B"/>
    <w:rsid w:val="00A57262"/>
    <w:rsid w:val="00A57330"/>
    <w:rsid w:val="00A57450"/>
    <w:rsid w:val="00A57479"/>
    <w:rsid w:val="00A579B6"/>
    <w:rsid w:val="00A57C08"/>
    <w:rsid w:val="00A600D9"/>
    <w:rsid w:val="00A60118"/>
    <w:rsid w:val="00A6029F"/>
    <w:rsid w:val="00A6038B"/>
    <w:rsid w:val="00A604CD"/>
    <w:rsid w:val="00A6084E"/>
    <w:rsid w:val="00A60D1E"/>
    <w:rsid w:val="00A60FC3"/>
    <w:rsid w:val="00A61208"/>
    <w:rsid w:val="00A61556"/>
    <w:rsid w:val="00A618B3"/>
    <w:rsid w:val="00A61A23"/>
    <w:rsid w:val="00A61B78"/>
    <w:rsid w:val="00A61D50"/>
    <w:rsid w:val="00A61DA7"/>
    <w:rsid w:val="00A623B2"/>
    <w:rsid w:val="00A625ED"/>
    <w:rsid w:val="00A62AC2"/>
    <w:rsid w:val="00A62BEE"/>
    <w:rsid w:val="00A62EE5"/>
    <w:rsid w:val="00A637A0"/>
    <w:rsid w:val="00A637D4"/>
    <w:rsid w:val="00A63C4F"/>
    <w:rsid w:val="00A63E66"/>
    <w:rsid w:val="00A63EAC"/>
    <w:rsid w:val="00A63ECD"/>
    <w:rsid w:val="00A64093"/>
    <w:rsid w:val="00A640EB"/>
    <w:rsid w:val="00A64680"/>
    <w:rsid w:val="00A64815"/>
    <w:rsid w:val="00A64DB0"/>
    <w:rsid w:val="00A65043"/>
    <w:rsid w:val="00A653F6"/>
    <w:rsid w:val="00A655B4"/>
    <w:rsid w:val="00A658D8"/>
    <w:rsid w:val="00A65DE1"/>
    <w:rsid w:val="00A65E0B"/>
    <w:rsid w:val="00A6620D"/>
    <w:rsid w:val="00A66505"/>
    <w:rsid w:val="00A66C2D"/>
    <w:rsid w:val="00A66DF9"/>
    <w:rsid w:val="00A67090"/>
    <w:rsid w:val="00A6758F"/>
    <w:rsid w:val="00A6762B"/>
    <w:rsid w:val="00A67673"/>
    <w:rsid w:val="00A67874"/>
    <w:rsid w:val="00A67936"/>
    <w:rsid w:val="00A67995"/>
    <w:rsid w:val="00A67D40"/>
    <w:rsid w:val="00A67E72"/>
    <w:rsid w:val="00A700F0"/>
    <w:rsid w:val="00A7034B"/>
    <w:rsid w:val="00A704E4"/>
    <w:rsid w:val="00A707E3"/>
    <w:rsid w:val="00A70C74"/>
    <w:rsid w:val="00A70D96"/>
    <w:rsid w:val="00A70DD6"/>
    <w:rsid w:val="00A70E2B"/>
    <w:rsid w:val="00A710AA"/>
    <w:rsid w:val="00A7118B"/>
    <w:rsid w:val="00A7136A"/>
    <w:rsid w:val="00A71957"/>
    <w:rsid w:val="00A71C44"/>
    <w:rsid w:val="00A71EB9"/>
    <w:rsid w:val="00A72296"/>
    <w:rsid w:val="00A72764"/>
    <w:rsid w:val="00A727FA"/>
    <w:rsid w:val="00A7294D"/>
    <w:rsid w:val="00A72CE8"/>
    <w:rsid w:val="00A7304E"/>
    <w:rsid w:val="00A73471"/>
    <w:rsid w:val="00A734B3"/>
    <w:rsid w:val="00A7388E"/>
    <w:rsid w:val="00A73976"/>
    <w:rsid w:val="00A73C77"/>
    <w:rsid w:val="00A73FBC"/>
    <w:rsid w:val="00A7406C"/>
    <w:rsid w:val="00A743C7"/>
    <w:rsid w:val="00A744F1"/>
    <w:rsid w:val="00A7452A"/>
    <w:rsid w:val="00A74544"/>
    <w:rsid w:val="00A74548"/>
    <w:rsid w:val="00A74A8C"/>
    <w:rsid w:val="00A74C6E"/>
    <w:rsid w:val="00A74DF2"/>
    <w:rsid w:val="00A74E4D"/>
    <w:rsid w:val="00A74EB8"/>
    <w:rsid w:val="00A7592E"/>
    <w:rsid w:val="00A75B54"/>
    <w:rsid w:val="00A76260"/>
    <w:rsid w:val="00A76462"/>
    <w:rsid w:val="00A764DB"/>
    <w:rsid w:val="00A76702"/>
    <w:rsid w:val="00A76819"/>
    <w:rsid w:val="00A76903"/>
    <w:rsid w:val="00A76B1F"/>
    <w:rsid w:val="00A76C1F"/>
    <w:rsid w:val="00A76C53"/>
    <w:rsid w:val="00A76ECA"/>
    <w:rsid w:val="00A77449"/>
    <w:rsid w:val="00A77556"/>
    <w:rsid w:val="00A77B76"/>
    <w:rsid w:val="00A803CD"/>
    <w:rsid w:val="00A803FC"/>
    <w:rsid w:val="00A80417"/>
    <w:rsid w:val="00A8071A"/>
    <w:rsid w:val="00A80972"/>
    <w:rsid w:val="00A80DD9"/>
    <w:rsid w:val="00A80DFB"/>
    <w:rsid w:val="00A80FB4"/>
    <w:rsid w:val="00A80FCA"/>
    <w:rsid w:val="00A81162"/>
    <w:rsid w:val="00A81433"/>
    <w:rsid w:val="00A81528"/>
    <w:rsid w:val="00A81B19"/>
    <w:rsid w:val="00A81CBC"/>
    <w:rsid w:val="00A82095"/>
    <w:rsid w:val="00A822E3"/>
    <w:rsid w:val="00A82305"/>
    <w:rsid w:val="00A823B5"/>
    <w:rsid w:val="00A82506"/>
    <w:rsid w:val="00A82690"/>
    <w:rsid w:val="00A82A9A"/>
    <w:rsid w:val="00A82F1D"/>
    <w:rsid w:val="00A831C6"/>
    <w:rsid w:val="00A833BD"/>
    <w:rsid w:val="00A8360E"/>
    <w:rsid w:val="00A83699"/>
    <w:rsid w:val="00A83797"/>
    <w:rsid w:val="00A837CE"/>
    <w:rsid w:val="00A83903"/>
    <w:rsid w:val="00A83DB5"/>
    <w:rsid w:val="00A83FBA"/>
    <w:rsid w:val="00A84140"/>
    <w:rsid w:val="00A843FB"/>
    <w:rsid w:val="00A84636"/>
    <w:rsid w:val="00A84FE1"/>
    <w:rsid w:val="00A85080"/>
    <w:rsid w:val="00A850C8"/>
    <w:rsid w:val="00A8523F"/>
    <w:rsid w:val="00A85363"/>
    <w:rsid w:val="00A858A8"/>
    <w:rsid w:val="00A85917"/>
    <w:rsid w:val="00A85ED2"/>
    <w:rsid w:val="00A85F2E"/>
    <w:rsid w:val="00A85F6B"/>
    <w:rsid w:val="00A862D1"/>
    <w:rsid w:val="00A863CE"/>
    <w:rsid w:val="00A86406"/>
    <w:rsid w:val="00A86603"/>
    <w:rsid w:val="00A86654"/>
    <w:rsid w:val="00A8674C"/>
    <w:rsid w:val="00A86853"/>
    <w:rsid w:val="00A86B75"/>
    <w:rsid w:val="00A86CB1"/>
    <w:rsid w:val="00A86E75"/>
    <w:rsid w:val="00A86E83"/>
    <w:rsid w:val="00A86F33"/>
    <w:rsid w:val="00A87323"/>
    <w:rsid w:val="00A87561"/>
    <w:rsid w:val="00A87C64"/>
    <w:rsid w:val="00A87CF5"/>
    <w:rsid w:val="00A901D6"/>
    <w:rsid w:val="00A903F8"/>
    <w:rsid w:val="00A904A8"/>
    <w:rsid w:val="00A9065F"/>
    <w:rsid w:val="00A90664"/>
    <w:rsid w:val="00A90876"/>
    <w:rsid w:val="00A90884"/>
    <w:rsid w:val="00A90AF4"/>
    <w:rsid w:val="00A90B0E"/>
    <w:rsid w:val="00A90D22"/>
    <w:rsid w:val="00A90EF5"/>
    <w:rsid w:val="00A90F26"/>
    <w:rsid w:val="00A91026"/>
    <w:rsid w:val="00A9153F"/>
    <w:rsid w:val="00A915FC"/>
    <w:rsid w:val="00A9167D"/>
    <w:rsid w:val="00A91716"/>
    <w:rsid w:val="00A917DB"/>
    <w:rsid w:val="00A91AA1"/>
    <w:rsid w:val="00A91B55"/>
    <w:rsid w:val="00A91C8C"/>
    <w:rsid w:val="00A91F0D"/>
    <w:rsid w:val="00A9211C"/>
    <w:rsid w:val="00A92160"/>
    <w:rsid w:val="00A9235A"/>
    <w:rsid w:val="00A92384"/>
    <w:rsid w:val="00A92666"/>
    <w:rsid w:val="00A926FD"/>
    <w:rsid w:val="00A92CF8"/>
    <w:rsid w:val="00A92D68"/>
    <w:rsid w:val="00A92EAA"/>
    <w:rsid w:val="00A92F5D"/>
    <w:rsid w:val="00A92FF7"/>
    <w:rsid w:val="00A93014"/>
    <w:rsid w:val="00A93069"/>
    <w:rsid w:val="00A931A5"/>
    <w:rsid w:val="00A93594"/>
    <w:rsid w:val="00A93924"/>
    <w:rsid w:val="00A93DC2"/>
    <w:rsid w:val="00A93F78"/>
    <w:rsid w:val="00A942FD"/>
    <w:rsid w:val="00A94353"/>
    <w:rsid w:val="00A944A1"/>
    <w:rsid w:val="00A944E8"/>
    <w:rsid w:val="00A9468F"/>
    <w:rsid w:val="00A946A5"/>
    <w:rsid w:val="00A9474D"/>
    <w:rsid w:val="00A9498D"/>
    <w:rsid w:val="00A94AFB"/>
    <w:rsid w:val="00A94B88"/>
    <w:rsid w:val="00A94F02"/>
    <w:rsid w:val="00A94FCA"/>
    <w:rsid w:val="00A95335"/>
    <w:rsid w:val="00A953DC"/>
    <w:rsid w:val="00A9566B"/>
    <w:rsid w:val="00A959E4"/>
    <w:rsid w:val="00A95A99"/>
    <w:rsid w:val="00A95BF5"/>
    <w:rsid w:val="00A95EF1"/>
    <w:rsid w:val="00A96003"/>
    <w:rsid w:val="00A9604E"/>
    <w:rsid w:val="00A963F0"/>
    <w:rsid w:val="00A9657F"/>
    <w:rsid w:val="00A96830"/>
    <w:rsid w:val="00A96BD6"/>
    <w:rsid w:val="00A96E58"/>
    <w:rsid w:val="00A9759D"/>
    <w:rsid w:val="00A97625"/>
    <w:rsid w:val="00A97692"/>
    <w:rsid w:val="00A9779E"/>
    <w:rsid w:val="00A9797D"/>
    <w:rsid w:val="00A979FB"/>
    <w:rsid w:val="00A97FD4"/>
    <w:rsid w:val="00AA015F"/>
    <w:rsid w:val="00AA04C5"/>
    <w:rsid w:val="00AA06D6"/>
    <w:rsid w:val="00AA0B9C"/>
    <w:rsid w:val="00AA0C3A"/>
    <w:rsid w:val="00AA0EDE"/>
    <w:rsid w:val="00AA1077"/>
    <w:rsid w:val="00AA108F"/>
    <w:rsid w:val="00AA1342"/>
    <w:rsid w:val="00AA15CF"/>
    <w:rsid w:val="00AA1723"/>
    <w:rsid w:val="00AA190D"/>
    <w:rsid w:val="00AA1932"/>
    <w:rsid w:val="00AA1FDD"/>
    <w:rsid w:val="00AA2166"/>
    <w:rsid w:val="00AA22C3"/>
    <w:rsid w:val="00AA230D"/>
    <w:rsid w:val="00AA2391"/>
    <w:rsid w:val="00AA2ED3"/>
    <w:rsid w:val="00AA3334"/>
    <w:rsid w:val="00AA347D"/>
    <w:rsid w:val="00AA35C2"/>
    <w:rsid w:val="00AA37F3"/>
    <w:rsid w:val="00AA3883"/>
    <w:rsid w:val="00AA3AE3"/>
    <w:rsid w:val="00AA3CF1"/>
    <w:rsid w:val="00AA3E76"/>
    <w:rsid w:val="00AA454C"/>
    <w:rsid w:val="00AA483D"/>
    <w:rsid w:val="00AA4941"/>
    <w:rsid w:val="00AA49E9"/>
    <w:rsid w:val="00AA4B4B"/>
    <w:rsid w:val="00AA5475"/>
    <w:rsid w:val="00AA577F"/>
    <w:rsid w:val="00AA5876"/>
    <w:rsid w:val="00AA5E3E"/>
    <w:rsid w:val="00AA6213"/>
    <w:rsid w:val="00AA6812"/>
    <w:rsid w:val="00AA6A8A"/>
    <w:rsid w:val="00AA6DD8"/>
    <w:rsid w:val="00AA6FA3"/>
    <w:rsid w:val="00AA70BB"/>
    <w:rsid w:val="00AA757C"/>
    <w:rsid w:val="00AA7A0E"/>
    <w:rsid w:val="00AA7B14"/>
    <w:rsid w:val="00AA7C4A"/>
    <w:rsid w:val="00AA7F10"/>
    <w:rsid w:val="00AB0391"/>
    <w:rsid w:val="00AB039F"/>
    <w:rsid w:val="00AB03D5"/>
    <w:rsid w:val="00AB0499"/>
    <w:rsid w:val="00AB04E1"/>
    <w:rsid w:val="00AB0931"/>
    <w:rsid w:val="00AB096D"/>
    <w:rsid w:val="00AB0C7F"/>
    <w:rsid w:val="00AB0DF0"/>
    <w:rsid w:val="00AB0FA4"/>
    <w:rsid w:val="00AB126B"/>
    <w:rsid w:val="00AB1508"/>
    <w:rsid w:val="00AB199A"/>
    <w:rsid w:val="00AB19B5"/>
    <w:rsid w:val="00AB1B72"/>
    <w:rsid w:val="00AB1CF9"/>
    <w:rsid w:val="00AB1E76"/>
    <w:rsid w:val="00AB2151"/>
    <w:rsid w:val="00AB2425"/>
    <w:rsid w:val="00AB2709"/>
    <w:rsid w:val="00AB2AF5"/>
    <w:rsid w:val="00AB2C59"/>
    <w:rsid w:val="00AB2C8A"/>
    <w:rsid w:val="00AB3177"/>
    <w:rsid w:val="00AB345D"/>
    <w:rsid w:val="00AB35DC"/>
    <w:rsid w:val="00AB38AA"/>
    <w:rsid w:val="00AB3F2B"/>
    <w:rsid w:val="00AB3F6F"/>
    <w:rsid w:val="00AB41FB"/>
    <w:rsid w:val="00AB42A2"/>
    <w:rsid w:val="00AB42B6"/>
    <w:rsid w:val="00AB431F"/>
    <w:rsid w:val="00AB465B"/>
    <w:rsid w:val="00AB4783"/>
    <w:rsid w:val="00AB47C9"/>
    <w:rsid w:val="00AB4B03"/>
    <w:rsid w:val="00AB4B40"/>
    <w:rsid w:val="00AB4B50"/>
    <w:rsid w:val="00AB4D67"/>
    <w:rsid w:val="00AB4EE9"/>
    <w:rsid w:val="00AB5414"/>
    <w:rsid w:val="00AB545D"/>
    <w:rsid w:val="00AB54D7"/>
    <w:rsid w:val="00AB5669"/>
    <w:rsid w:val="00AB56BF"/>
    <w:rsid w:val="00AB57D3"/>
    <w:rsid w:val="00AB5B08"/>
    <w:rsid w:val="00AB5D5D"/>
    <w:rsid w:val="00AB5D63"/>
    <w:rsid w:val="00AB61F3"/>
    <w:rsid w:val="00AB6589"/>
    <w:rsid w:val="00AB6886"/>
    <w:rsid w:val="00AB6A0A"/>
    <w:rsid w:val="00AB6AE4"/>
    <w:rsid w:val="00AB6E00"/>
    <w:rsid w:val="00AB6F37"/>
    <w:rsid w:val="00AB7385"/>
    <w:rsid w:val="00AB769E"/>
    <w:rsid w:val="00AB78C1"/>
    <w:rsid w:val="00AB7CE4"/>
    <w:rsid w:val="00AB7D55"/>
    <w:rsid w:val="00AB7F4F"/>
    <w:rsid w:val="00AC016D"/>
    <w:rsid w:val="00AC039C"/>
    <w:rsid w:val="00AC046E"/>
    <w:rsid w:val="00AC0681"/>
    <w:rsid w:val="00AC07A1"/>
    <w:rsid w:val="00AC0C52"/>
    <w:rsid w:val="00AC0F0C"/>
    <w:rsid w:val="00AC154B"/>
    <w:rsid w:val="00AC164E"/>
    <w:rsid w:val="00AC1790"/>
    <w:rsid w:val="00AC1B72"/>
    <w:rsid w:val="00AC2079"/>
    <w:rsid w:val="00AC22FB"/>
    <w:rsid w:val="00AC26FE"/>
    <w:rsid w:val="00AC2876"/>
    <w:rsid w:val="00AC2FB1"/>
    <w:rsid w:val="00AC333C"/>
    <w:rsid w:val="00AC350D"/>
    <w:rsid w:val="00AC3568"/>
    <w:rsid w:val="00AC359A"/>
    <w:rsid w:val="00AC36BC"/>
    <w:rsid w:val="00AC3826"/>
    <w:rsid w:val="00AC3ACF"/>
    <w:rsid w:val="00AC3B4D"/>
    <w:rsid w:val="00AC3CF2"/>
    <w:rsid w:val="00AC3D5E"/>
    <w:rsid w:val="00AC41BE"/>
    <w:rsid w:val="00AC4250"/>
    <w:rsid w:val="00AC47D1"/>
    <w:rsid w:val="00AC47EC"/>
    <w:rsid w:val="00AC4902"/>
    <w:rsid w:val="00AC4C17"/>
    <w:rsid w:val="00AC4E5D"/>
    <w:rsid w:val="00AC4F57"/>
    <w:rsid w:val="00AC54D7"/>
    <w:rsid w:val="00AC5847"/>
    <w:rsid w:val="00AC5ECF"/>
    <w:rsid w:val="00AC5F09"/>
    <w:rsid w:val="00AC622F"/>
    <w:rsid w:val="00AC668B"/>
    <w:rsid w:val="00AC697B"/>
    <w:rsid w:val="00AC6B31"/>
    <w:rsid w:val="00AC6B4E"/>
    <w:rsid w:val="00AC6C53"/>
    <w:rsid w:val="00AC6DA9"/>
    <w:rsid w:val="00AC6E85"/>
    <w:rsid w:val="00AC6EA7"/>
    <w:rsid w:val="00AC7284"/>
    <w:rsid w:val="00AC728F"/>
    <w:rsid w:val="00AC7B1F"/>
    <w:rsid w:val="00AC7B27"/>
    <w:rsid w:val="00AC7CE6"/>
    <w:rsid w:val="00AD0193"/>
    <w:rsid w:val="00AD0212"/>
    <w:rsid w:val="00AD05A7"/>
    <w:rsid w:val="00AD0828"/>
    <w:rsid w:val="00AD088A"/>
    <w:rsid w:val="00AD08E6"/>
    <w:rsid w:val="00AD0B13"/>
    <w:rsid w:val="00AD0B6E"/>
    <w:rsid w:val="00AD0E69"/>
    <w:rsid w:val="00AD103D"/>
    <w:rsid w:val="00AD1344"/>
    <w:rsid w:val="00AD1386"/>
    <w:rsid w:val="00AD159C"/>
    <w:rsid w:val="00AD15A1"/>
    <w:rsid w:val="00AD16AE"/>
    <w:rsid w:val="00AD17FA"/>
    <w:rsid w:val="00AD19EC"/>
    <w:rsid w:val="00AD1B23"/>
    <w:rsid w:val="00AD1FDC"/>
    <w:rsid w:val="00AD2172"/>
    <w:rsid w:val="00AD2717"/>
    <w:rsid w:val="00AD277B"/>
    <w:rsid w:val="00AD28B7"/>
    <w:rsid w:val="00AD2966"/>
    <w:rsid w:val="00AD2A35"/>
    <w:rsid w:val="00AD319E"/>
    <w:rsid w:val="00AD31AD"/>
    <w:rsid w:val="00AD348A"/>
    <w:rsid w:val="00AD3961"/>
    <w:rsid w:val="00AD39DA"/>
    <w:rsid w:val="00AD3C89"/>
    <w:rsid w:val="00AD3CE0"/>
    <w:rsid w:val="00AD3DC4"/>
    <w:rsid w:val="00AD3E41"/>
    <w:rsid w:val="00AD444A"/>
    <w:rsid w:val="00AD4BD5"/>
    <w:rsid w:val="00AD4FF4"/>
    <w:rsid w:val="00AD531D"/>
    <w:rsid w:val="00AD5526"/>
    <w:rsid w:val="00AD55F4"/>
    <w:rsid w:val="00AD5854"/>
    <w:rsid w:val="00AD5A28"/>
    <w:rsid w:val="00AD5D2B"/>
    <w:rsid w:val="00AD600C"/>
    <w:rsid w:val="00AD608A"/>
    <w:rsid w:val="00AD63D6"/>
    <w:rsid w:val="00AD67BD"/>
    <w:rsid w:val="00AD6CD5"/>
    <w:rsid w:val="00AD71D1"/>
    <w:rsid w:val="00AD71E5"/>
    <w:rsid w:val="00AD733B"/>
    <w:rsid w:val="00AD7559"/>
    <w:rsid w:val="00AD7569"/>
    <w:rsid w:val="00AD7CA7"/>
    <w:rsid w:val="00AE0040"/>
    <w:rsid w:val="00AE04FF"/>
    <w:rsid w:val="00AE064E"/>
    <w:rsid w:val="00AE067A"/>
    <w:rsid w:val="00AE09F9"/>
    <w:rsid w:val="00AE0B53"/>
    <w:rsid w:val="00AE0E73"/>
    <w:rsid w:val="00AE101B"/>
    <w:rsid w:val="00AE136E"/>
    <w:rsid w:val="00AE144B"/>
    <w:rsid w:val="00AE155E"/>
    <w:rsid w:val="00AE184D"/>
    <w:rsid w:val="00AE1963"/>
    <w:rsid w:val="00AE1C03"/>
    <w:rsid w:val="00AE1C6A"/>
    <w:rsid w:val="00AE1C84"/>
    <w:rsid w:val="00AE1EDD"/>
    <w:rsid w:val="00AE2122"/>
    <w:rsid w:val="00AE23B5"/>
    <w:rsid w:val="00AE23E3"/>
    <w:rsid w:val="00AE2508"/>
    <w:rsid w:val="00AE2534"/>
    <w:rsid w:val="00AE25FC"/>
    <w:rsid w:val="00AE2AD6"/>
    <w:rsid w:val="00AE2CC2"/>
    <w:rsid w:val="00AE2F65"/>
    <w:rsid w:val="00AE317E"/>
    <w:rsid w:val="00AE32D6"/>
    <w:rsid w:val="00AE34F1"/>
    <w:rsid w:val="00AE3561"/>
    <w:rsid w:val="00AE35A5"/>
    <w:rsid w:val="00AE3639"/>
    <w:rsid w:val="00AE368F"/>
    <w:rsid w:val="00AE3F62"/>
    <w:rsid w:val="00AE40B9"/>
    <w:rsid w:val="00AE453C"/>
    <w:rsid w:val="00AE45C4"/>
    <w:rsid w:val="00AE4CF5"/>
    <w:rsid w:val="00AE4E2A"/>
    <w:rsid w:val="00AE4EC4"/>
    <w:rsid w:val="00AE529D"/>
    <w:rsid w:val="00AE52EB"/>
    <w:rsid w:val="00AE533D"/>
    <w:rsid w:val="00AE5398"/>
    <w:rsid w:val="00AE555B"/>
    <w:rsid w:val="00AE58DE"/>
    <w:rsid w:val="00AE5CF9"/>
    <w:rsid w:val="00AE5DB6"/>
    <w:rsid w:val="00AE5DF1"/>
    <w:rsid w:val="00AE62A1"/>
    <w:rsid w:val="00AE6C3C"/>
    <w:rsid w:val="00AE702E"/>
    <w:rsid w:val="00AE718C"/>
    <w:rsid w:val="00AE72E8"/>
    <w:rsid w:val="00AE73E0"/>
    <w:rsid w:val="00AE7400"/>
    <w:rsid w:val="00AE7778"/>
    <w:rsid w:val="00AE7888"/>
    <w:rsid w:val="00AE790A"/>
    <w:rsid w:val="00AE7D70"/>
    <w:rsid w:val="00AF01C2"/>
    <w:rsid w:val="00AF01C6"/>
    <w:rsid w:val="00AF01F5"/>
    <w:rsid w:val="00AF02BF"/>
    <w:rsid w:val="00AF0328"/>
    <w:rsid w:val="00AF03C0"/>
    <w:rsid w:val="00AF049B"/>
    <w:rsid w:val="00AF07B5"/>
    <w:rsid w:val="00AF0910"/>
    <w:rsid w:val="00AF0FF1"/>
    <w:rsid w:val="00AF129F"/>
    <w:rsid w:val="00AF162E"/>
    <w:rsid w:val="00AF1631"/>
    <w:rsid w:val="00AF166F"/>
    <w:rsid w:val="00AF1981"/>
    <w:rsid w:val="00AF1C03"/>
    <w:rsid w:val="00AF1DE3"/>
    <w:rsid w:val="00AF1F58"/>
    <w:rsid w:val="00AF1F85"/>
    <w:rsid w:val="00AF21B8"/>
    <w:rsid w:val="00AF24A3"/>
    <w:rsid w:val="00AF2578"/>
    <w:rsid w:val="00AF25D5"/>
    <w:rsid w:val="00AF2926"/>
    <w:rsid w:val="00AF2B7A"/>
    <w:rsid w:val="00AF2D71"/>
    <w:rsid w:val="00AF35E9"/>
    <w:rsid w:val="00AF39AF"/>
    <w:rsid w:val="00AF3A20"/>
    <w:rsid w:val="00AF3AAE"/>
    <w:rsid w:val="00AF3E3B"/>
    <w:rsid w:val="00AF3E5A"/>
    <w:rsid w:val="00AF415B"/>
    <w:rsid w:val="00AF46FE"/>
    <w:rsid w:val="00AF4757"/>
    <w:rsid w:val="00AF486F"/>
    <w:rsid w:val="00AF4AB7"/>
    <w:rsid w:val="00AF51E9"/>
    <w:rsid w:val="00AF5264"/>
    <w:rsid w:val="00AF548B"/>
    <w:rsid w:val="00AF55E0"/>
    <w:rsid w:val="00AF5666"/>
    <w:rsid w:val="00AF56EC"/>
    <w:rsid w:val="00AF580B"/>
    <w:rsid w:val="00AF5870"/>
    <w:rsid w:val="00AF5C41"/>
    <w:rsid w:val="00AF5E05"/>
    <w:rsid w:val="00AF6087"/>
    <w:rsid w:val="00AF60A1"/>
    <w:rsid w:val="00AF6619"/>
    <w:rsid w:val="00AF6669"/>
    <w:rsid w:val="00AF6BD2"/>
    <w:rsid w:val="00AF6C39"/>
    <w:rsid w:val="00AF6CBA"/>
    <w:rsid w:val="00AF6CD7"/>
    <w:rsid w:val="00AF6CFD"/>
    <w:rsid w:val="00AF6DDA"/>
    <w:rsid w:val="00AF7060"/>
    <w:rsid w:val="00AF76F2"/>
    <w:rsid w:val="00AF7DC1"/>
    <w:rsid w:val="00B000AE"/>
    <w:rsid w:val="00B001F1"/>
    <w:rsid w:val="00B0040B"/>
    <w:rsid w:val="00B005E4"/>
    <w:rsid w:val="00B006F8"/>
    <w:rsid w:val="00B00830"/>
    <w:rsid w:val="00B008B6"/>
    <w:rsid w:val="00B008F2"/>
    <w:rsid w:val="00B00AB5"/>
    <w:rsid w:val="00B00CBA"/>
    <w:rsid w:val="00B00CC0"/>
    <w:rsid w:val="00B00F5C"/>
    <w:rsid w:val="00B010C0"/>
    <w:rsid w:val="00B01300"/>
    <w:rsid w:val="00B01313"/>
    <w:rsid w:val="00B01394"/>
    <w:rsid w:val="00B01482"/>
    <w:rsid w:val="00B01589"/>
    <w:rsid w:val="00B015A6"/>
    <w:rsid w:val="00B019C1"/>
    <w:rsid w:val="00B01CEB"/>
    <w:rsid w:val="00B01F3F"/>
    <w:rsid w:val="00B01FCF"/>
    <w:rsid w:val="00B0214A"/>
    <w:rsid w:val="00B022BE"/>
    <w:rsid w:val="00B022D6"/>
    <w:rsid w:val="00B0236E"/>
    <w:rsid w:val="00B02506"/>
    <w:rsid w:val="00B0279C"/>
    <w:rsid w:val="00B02821"/>
    <w:rsid w:val="00B0284C"/>
    <w:rsid w:val="00B029EC"/>
    <w:rsid w:val="00B02ACE"/>
    <w:rsid w:val="00B032E1"/>
    <w:rsid w:val="00B03776"/>
    <w:rsid w:val="00B03913"/>
    <w:rsid w:val="00B03956"/>
    <w:rsid w:val="00B03D8C"/>
    <w:rsid w:val="00B03E7E"/>
    <w:rsid w:val="00B041D9"/>
    <w:rsid w:val="00B04202"/>
    <w:rsid w:val="00B04346"/>
    <w:rsid w:val="00B0485C"/>
    <w:rsid w:val="00B04CEA"/>
    <w:rsid w:val="00B04D69"/>
    <w:rsid w:val="00B05250"/>
    <w:rsid w:val="00B0551E"/>
    <w:rsid w:val="00B05551"/>
    <w:rsid w:val="00B05607"/>
    <w:rsid w:val="00B05622"/>
    <w:rsid w:val="00B056C1"/>
    <w:rsid w:val="00B05A08"/>
    <w:rsid w:val="00B05F14"/>
    <w:rsid w:val="00B06311"/>
    <w:rsid w:val="00B063D1"/>
    <w:rsid w:val="00B0651E"/>
    <w:rsid w:val="00B06737"/>
    <w:rsid w:val="00B06872"/>
    <w:rsid w:val="00B06CEA"/>
    <w:rsid w:val="00B07090"/>
    <w:rsid w:val="00B07092"/>
    <w:rsid w:val="00B07104"/>
    <w:rsid w:val="00B07253"/>
    <w:rsid w:val="00B077F5"/>
    <w:rsid w:val="00B0784C"/>
    <w:rsid w:val="00B07939"/>
    <w:rsid w:val="00B07CDA"/>
    <w:rsid w:val="00B07CE9"/>
    <w:rsid w:val="00B07E55"/>
    <w:rsid w:val="00B07F9E"/>
    <w:rsid w:val="00B101D5"/>
    <w:rsid w:val="00B101FC"/>
    <w:rsid w:val="00B10617"/>
    <w:rsid w:val="00B10633"/>
    <w:rsid w:val="00B10716"/>
    <w:rsid w:val="00B10B08"/>
    <w:rsid w:val="00B10D99"/>
    <w:rsid w:val="00B11032"/>
    <w:rsid w:val="00B110FA"/>
    <w:rsid w:val="00B11474"/>
    <w:rsid w:val="00B117D4"/>
    <w:rsid w:val="00B1182D"/>
    <w:rsid w:val="00B11878"/>
    <w:rsid w:val="00B11894"/>
    <w:rsid w:val="00B11A78"/>
    <w:rsid w:val="00B11CFB"/>
    <w:rsid w:val="00B11EDC"/>
    <w:rsid w:val="00B1205D"/>
    <w:rsid w:val="00B12111"/>
    <w:rsid w:val="00B128E4"/>
    <w:rsid w:val="00B128E6"/>
    <w:rsid w:val="00B12AB6"/>
    <w:rsid w:val="00B12C1F"/>
    <w:rsid w:val="00B12C9A"/>
    <w:rsid w:val="00B12CD8"/>
    <w:rsid w:val="00B12D52"/>
    <w:rsid w:val="00B131A0"/>
    <w:rsid w:val="00B13C65"/>
    <w:rsid w:val="00B13D40"/>
    <w:rsid w:val="00B13E18"/>
    <w:rsid w:val="00B140C3"/>
    <w:rsid w:val="00B140FE"/>
    <w:rsid w:val="00B14109"/>
    <w:rsid w:val="00B14261"/>
    <w:rsid w:val="00B14410"/>
    <w:rsid w:val="00B14608"/>
    <w:rsid w:val="00B1486D"/>
    <w:rsid w:val="00B14D33"/>
    <w:rsid w:val="00B15002"/>
    <w:rsid w:val="00B150D6"/>
    <w:rsid w:val="00B15373"/>
    <w:rsid w:val="00B153C8"/>
    <w:rsid w:val="00B1544E"/>
    <w:rsid w:val="00B154CD"/>
    <w:rsid w:val="00B15639"/>
    <w:rsid w:val="00B156BC"/>
    <w:rsid w:val="00B157C7"/>
    <w:rsid w:val="00B15A9F"/>
    <w:rsid w:val="00B15D15"/>
    <w:rsid w:val="00B15D77"/>
    <w:rsid w:val="00B15E42"/>
    <w:rsid w:val="00B15EEE"/>
    <w:rsid w:val="00B15FA3"/>
    <w:rsid w:val="00B16149"/>
    <w:rsid w:val="00B16198"/>
    <w:rsid w:val="00B162A2"/>
    <w:rsid w:val="00B16321"/>
    <w:rsid w:val="00B16A2C"/>
    <w:rsid w:val="00B16FB6"/>
    <w:rsid w:val="00B17022"/>
    <w:rsid w:val="00B17167"/>
    <w:rsid w:val="00B17676"/>
    <w:rsid w:val="00B176C6"/>
    <w:rsid w:val="00B17ABF"/>
    <w:rsid w:val="00B17EA3"/>
    <w:rsid w:val="00B205BC"/>
    <w:rsid w:val="00B20657"/>
    <w:rsid w:val="00B20C46"/>
    <w:rsid w:val="00B20C50"/>
    <w:rsid w:val="00B2113F"/>
    <w:rsid w:val="00B211E4"/>
    <w:rsid w:val="00B21223"/>
    <w:rsid w:val="00B213DF"/>
    <w:rsid w:val="00B215C7"/>
    <w:rsid w:val="00B21736"/>
    <w:rsid w:val="00B218B1"/>
    <w:rsid w:val="00B21A33"/>
    <w:rsid w:val="00B21AFC"/>
    <w:rsid w:val="00B21D24"/>
    <w:rsid w:val="00B21E81"/>
    <w:rsid w:val="00B224AA"/>
    <w:rsid w:val="00B227B1"/>
    <w:rsid w:val="00B22998"/>
    <w:rsid w:val="00B229A5"/>
    <w:rsid w:val="00B229C5"/>
    <w:rsid w:val="00B229FE"/>
    <w:rsid w:val="00B22DEB"/>
    <w:rsid w:val="00B22E82"/>
    <w:rsid w:val="00B22FE9"/>
    <w:rsid w:val="00B2302B"/>
    <w:rsid w:val="00B23090"/>
    <w:rsid w:val="00B23101"/>
    <w:rsid w:val="00B232F2"/>
    <w:rsid w:val="00B2392B"/>
    <w:rsid w:val="00B23B0F"/>
    <w:rsid w:val="00B23BC0"/>
    <w:rsid w:val="00B23C81"/>
    <w:rsid w:val="00B2423B"/>
    <w:rsid w:val="00B24363"/>
    <w:rsid w:val="00B2456E"/>
    <w:rsid w:val="00B24912"/>
    <w:rsid w:val="00B24979"/>
    <w:rsid w:val="00B249BA"/>
    <w:rsid w:val="00B24AB5"/>
    <w:rsid w:val="00B24B71"/>
    <w:rsid w:val="00B24D48"/>
    <w:rsid w:val="00B250A5"/>
    <w:rsid w:val="00B250CF"/>
    <w:rsid w:val="00B2526B"/>
    <w:rsid w:val="00B25651"/>
    <w:rsid w:val="00B25AC7"/>
    <w:rsid w:val="00B262F0"/>
    <w:rsid w:val="00B2686F"/>
    <w:rsid w:val="00B26937"/>
    <w:rsid w:val="00B26B9A"/>
    <w:rsid w:val="00B26BFA"/>
    <w:rsid w:val="00B26EAA"/>
    <w:rsid w:val="00B26F93"/>
    <w:rsid w:val="00B275E2"/>
    <w:rsid w:val="00B276B8"/>
    <w:rsid w:val="00B27730"/>
    <w:rsid w:val="00B2780E"/>
    <w:rsid w:val="00B2787C"/>
    <w:rsid w:val="00B27A68"/>
    <w:rsid w:val="00B27C12"/>
    <w:rsid w:val="00B27F85"/>
    <w:rsid w:val="00B30243"/>
    <w:rsid w:val="00B303F0"/>
    <w:rsid w:val="00B30401"/>
    <w:rsid w:val="00B30421"/>
    <w:rsid w:val="00B30581"/>
    <w:rsid w:val="00B30DB4"/>
    <w:rsid w:val="00B30DC8"/>
    <w:rsid w:val="00B30E8F"/>
    <w:rsid w:val="00B31577"/>
    <w:rsid w:val="00B315BB"/>
    <w:rsid w:val="00B31758"/>
    <w:rsid w:val="00B31977"/>
    <w:rsid w:val="00B320FF"/>
    <w:rsid w:val="00B32320"/>
    <w:rsid w:val="00B3235A"/>
    <w:rsid w:val="00B328C1"/>
    <w:rsid w:val="00B32A15"/>
    <w:rsid w:val="00B32E9A"/>
    <w:rsid w:val="00B33232"/>
    <w:rsid w:val="00B332D6"/>
    <w:rsid w:val="00B333FE"/>
    <w:rsid w:val="00B33692"/>
    <w:rsid w:val="00B3382B"/>
    <w:rsid w:val="00B338B9"/>
    <w:rsid w:val="00B34345"/>
    <w:rsid w:val="00B343DF"/>
    <w:rsid w:val="00B3456A"/>
    <w:rsid w:val="00B347C2"/>
    <w:rsid w:val="00B347FD"/>
    <w:rsid w:val="00B34BB5"/>
    <w:rsid w:val="00B35094"/>
    <w:rsid w:val="00B350F0"/>
    <w:rsid w:val="00B3527E"/>
    <w:rsid w:val="00B356EC"/>
    <w:rsid w:val="00B35717"/>
    <w:rsid w:val="00B357AC"/>
    <w:rsid w:val="00B35992"/>
    <w:rsid w:val="00B35E4B"/>
    <w:rsid w:val="00B35FCC"/>
    <w:rsid w:val="00B36153"/>
    <w:rsid w:val="00B36244"/>
    <w:rsid w:val="00B3648E"/>
    <w:rsid w:val="00B364C3"/>
    <w:rsid w:val="00B36518"/>
    <w:rsid w:val="00B366E6"/>
    <w:rsid w:val="00B3693C"/>
    <w:rsid w:val="00B36DA6"/>
    <w:rsid w:val="00B36F12"/>
    <w:rsid w:val="00B371C3"/>
    <w:rsid w:val="00B378CC"/>
    <w:rsid w:val="00B37CB2"/>
    <w:rsid w:val="00B40141"/>
    <w:rsid w:val="00B405B1"/>
    <w:rsid w:val="00B4068E"/>
    <w:rsid w:val="00B407A5"/>
    <w:rsid w:val="00B40B33"/>
    <w:rsid w:val="00B40E46"/>
    <w:rsid w:val="00B41142"/>
    <w:rsid w:val="00B411BE"/>
    <w:rsid w:val="00B41400"/>
    <w:rsid w:val="00B41615"/>
    <w:rsid w:val="00B416BB"/>
    <w:rsid w:val="00B417ED"/>
    <w:rsid w:val="00B41DF3"/>
    <w:rsid w:val="00B41F9D"/>
    <w:rsid w:val="00B41FD8"/>
    <w:rsid w:val="00B420DF"/>
    <w:rsid w:val="00B42293"/>
    <w:rsid w:val="00B4230D"/>
    <w:rsid w:val="00B428E2"/>
    <w:rsid w:val="00B42A2C"/>
    <w:rsid w:val="00B42A5C"/>
    <w:rsid w:val="00B42A98"/>
    <w:rsid w:val="00B42AD1"/>
    <w:rsid w:val="00B42C64"/>
    <w:rsid w:val="00B42F98"/>
    <w:rsid w:val="00B43474"/>
    <w:rsid w:val="00B4386B"/>
    <w:rsid w:val="00B43B86"/>
    <w:rsid w:val="00B43DFD"/>
    <w:rsid w:val="00B43F5E"/>
    <w:rsid w:val="00B43F85"/>
    <w:rsid w:val="00B4412F"/>
    <w:rsid w:val="00B442E6"/>
    <w:rsid w:val="00B448EF"/>
    <w:rsid w:val="00B44A17"/>
    <w:rsid w:val="00B44B58"/>
    <w:rsid w:val="00B44BB3"/>
    <w:rsid w:val="00B44C6E"/>
    <w:rsid w:val="00B44D08"/>
    <w:rsid w:val="00B44F8F"/>
    <w:rsid w:val="00B4512D"/>
    <w:rsid w:val="00B454AF"/>
    <w:rsid w:val="00B45DB8"/>
    <w:rsid w:val="00B45E3A"/>
    <w:rsid w:val="00B46191"/>
    <w:rsid w:val="00B4659A"/>
    <w:rsid w:val="00B46895"/>
    <w:rsid w:val="00B46A96"/>
    <w:rsid w:val="00B46EAD"/>
    <w:rsid w:val="00B472E6"/>
    <w:rsid w:val="00B4747E"/>
    <w:rsid w:val="00B47493"/>
    <w:rsid w:val="00B474C8"/>
    <w:rsid w:val="00B474DF"/>
    <w:rsid w:val="00B47620"/>
    <w:rsid w:val="00B47718"/>
    <w:rsid w:val="00B47915"/>
    <w:rsid w:val="00B47E38"/>
    <w:rsid w:val="00B50318"/>
    <w:rsid w:val="00B506FD"/>
    <w:rsid w:val="00B509E8"/>
    <w:rsid w:val="00B50A79"/>
    <w:rsid w:val="00B50E18"/>
    <w:rsid w:val="00B513A9"/>
    <w:rsid w:val="00B51568"/>
    <w:rsid w:val="00B51610"/>
    <w:rsid w:val="00B5167B"/>
    <w:rsid w:val="00B516C1"/>
    <w:rsid w:val="00B51E37"/>
    <w:rsid w:val="00B51FBA"/>
    <w:rsid w:val="00B520E3"/>
    <w:rsid w:val="00B52336"/>
    <w:rsid w:val="00B52459"/>
    <w:rsid w:val="00B524BB"/>
    <w:rsid w:val="00B5255F"/>
    <w:rsid w:val="00B52C46"/>
    <w:rsid w:val="00B52E3C"/>
    <w:rsid w:val="00B52F3B"/>
    <w:rsid w:val="00B52FE8"/>
    <w:rsid w:val="00B53197"/>
    <w:rsid w:val="00B531D1"/>
    <w:rsid w:val="00B5320A"/>
    <w:rsid w:val="00B533A0"/>
    <w:rsid w:val="00B533AA"/>
    <w:rsid w:val="00B53640"/>
    <w:rsid w:val="00B536F7"/>
    <w:rsid w:val="00B5388C"/>
    <w:rsid w:val="00B5394F"/>
    <w:rsid w:val="00B53978"/>
    <w:rsid w:val="00B53BB1"/>
    <w:rsid w:val="00B53D41"/>
    <w:rsid w:val="00B53E17"/>
    <w:rsid w:val="00B545AD"/>
    <w:rsid w:val="00B546EB"/>
    <w:rsid w:val="00B5484D"/>
    <w:rsid w:val="00B54FF5"/>
    <w:rsid w:val="00B5555E"/>
    <w:rsid w:val="00B55693"/>
    <w:rsid w:val="00B556AA"/>
    <w:rsid w:val="00B556FE"/>
    <w:rsid w:val="00B55985"/>
    <w:rsid w:val="00B55C34"/>
    <w:rsid w:val="00B55CED"/>
    <w:rsid w:val="00B55D57"/>
    <w:rsid w:val="00B55EFB"/>
    <w:rsid w:val="00B55F80"/>
    <w:rsid w:val="00B560B6"/>
    <w:rsid w:val="00B56480"/>
    <w:rsid w:val="00B565D6"/>
    <w:rsid w:val="00B566E7"/>
    <w:rsid w:val="00B56833"/>
    <w:rsid w:val="00B56A80"/>
    <w:rsid w:val="00B56AC6"/>
    <w:rsid w:val="00B56B95"/>
    <w:rsid w:val="00B56E2D"/>
    <w:rsid w:val="00B56F79"/>
    <w:rsid w:val="00B57216"/>
    <w:rsid w:val="00B575FE"/>
    <w:rsid w:val="00B576A4"/>
    <w:rsid w:val="00B57998"/>
    <w:rsid w:val="00B57AA7"/>
    <w:rsid w:val="00B57CD0"/>
    <w:rsid w:val="00B57DA9"/>
    <w:rsid w:val="00B60177"/>
    <w:rsid w:val="00B60606"/>
    <w:rsid w:val="00B60639"/>
    <w:rsid w:val="00B6117D"/>
    <w:rsid w:val="00B61212"/>
    <w:rsid w:val="00B6129E"/>
    <w:rsid w:val="00B612B9"/>
    <w:rsid w:val="00B61934"/>
    <w:rsid w:val="00B6194A"/>
    <w:rsid w:val="00B61B4F"/>
    <w:rsid w:val="00B61E23"/>
    <w:rsid w:val="00B61EF5"/>
    <w:rsid w:val="00B61F65"/>
    <w:rsid w:val="00B620B2"/>
    <w:rsid w:val="00B620DE"/>
    <w:rsid w:val="00B62165"/>
    <w:rsid w:val="00B62B90"/>
    <w:rsid w:val="00B6308E"/>
    <w:rsid w:val="00B63497"/>
    <w:rsid w:val="00B6362B"/>
    <w:rsid w:val="00B6382E"/>
    <w:rsid w:val="00B63D58"/>
    <w:rsid w:val="00B640F8"/>
    <w:rsid w:val="00B64175"/>
    <w:rsid w:val="00B642E2"/>
    <w:rsid w:val="00B64418"/>
    <w:rsid w:val="00B644F6"/>
    <w:rsid w:val="00B64520"/>
    <w:rsid w:val="00B64630"/>
    <w:rsid w:val="00B6475E"/>
    <w:rsid w:val="00B648C5"/>
    <w:rsid w:val="00B648D1"/>
    <w:rsid w:val="00B64AEE"/>
    <w:rsid w:val="00B64D76"/>
    <w:rsid w:val="00B64E8A"/>
    <w:rsid w:val="00B64F4F"/>
    <w:rsid w:val="00B65426"/>
    <w:rsid w:val="00B65491"/>
    <w:rsid w:val="00B65588"/>
    <w:rsid w:val="00B65660"/>
    <w:rsid w:val="00B658D1"/>
    <w:rsid w:val="00B6595F"/>
    <w:rsid w:val="00B65AD2"/>
    <w:rsid w:val="00B65C73"/>
    <w:rsid w:val="00B66064"/>
    <w:rsid w:val="00B66084"/>
    <w:rsid w:val="00B66410"/>
    <w:rsid w:val="00B668F8"/>
    <w:rsid w:val="00B6691A"/>
    <w:rsid w:val="00B66995"/>
    <w:rsid w:val="00B66AA0"/>
    <w:rsid w:val="00B66D53"/>
    <w:rsid w:val="00B66E28"/>
    <w:rsid w:val="00B66E8D"/>
    <w:rsid w:val="00B67074"/>
    <w:rsid w:val="00B671A1"/>
    <w:rsid w:val="00B6727F"/>
    <w:rsid w:val="00B675A6"/>
    <w:rsid w:val="00B675BE"/>
    <w:rsid w:val="00B67875"/>
    <w:rsid w:val="00B6794D"/>
    <w:rsid w:val="00B67AB4"/>
    <w:rsid w:val="00B67B55"/>
    <w:rsid w:val="00B67C0A"/>
    <w:rsid w:val="00B67C6C"/>
    <w:rsid w:val="00B67D7F"/>
    <w:rsid w:val="00B67E67"/>
    <w:rsid w:val="00B700D4"/>
    <w:rsid w:val="00B702C2"/>
    <w:rsid w:val="00B704F2"/>
    <w:rsid w:val="00B70715"/>
    <w:rsid w:val="00B70C61"/>
    <w:rsid w:val="00B70E5A"/>
    <w:rsid w:val="00B70E71"/>
    <w:rsid w:val="00B710E3"/>
    <w:rsid w:val="00B71928"/>
    <w:rsid w:val="00B71DD0"/>
    <w:rsid w:val="00B71F22"/>
    <w:rsid w:val="00B71FC3"/>
    <w:rsid w:val="00B7207F"/>
    <w:rsid w:val="00B7220D"/>
    <w:rsid w:val="00B724E1"/>
    <w:rsid w:val="00B7258E"/>
    <w:rsid w:val="00B725E3"/>
    <w:rsid w:val="00B72652"/>
    <w:rsid w:val="00B7271D"/>
    <w:rsid w:val="00B72AD4"/>
    <w:rsid w:val="00B732CC"/>
    <w:rsid w:val="00B7403E"/>
    <w:rsid w:val="00B7451A"/>
    <w:rsid w:val="00B749B6"/>
    <w:rsid w:val="00B74F56"/>
    <w:rsid w:val="00B75022"/>
    <w:rsid w:val="00B7509A"/>
    <w:rsid w:val="00B750BE"/>
    <w:rsid w:val="00B75152"/>
    <w:rsid w:val="00B75203"/>
    <w:rsid w:val="00B752D0"/>
    <w:rsid w:val="00B752EF"/>
    <w:rsid w:val="00B7561C"/>
    <w:rsid w:val="00B75682"/>
    <w:rsid w:val="00B756AD"/>
    <w:rsid w:val="00B757C1"/>
    <w:rsid w:val="00B75A14"/>
    <w:rsid w:val="00B7613E"/>
    <w:rsid w:val="00B7616B"/>
    <w:rsid w:val="00B766C1"/>
    <w:rsid w:val="00B76966"/>
    <w:rsid w:val="00B76A05"/>
    <w:rsid w:val="00B76B96"/>
    <w:rsid w:val="00B76EFB"/>
    <w:rsid w:val="00B77129"/>
    <w:rsid w:val="00B77528"/>
    <w:rsid w:val="00B775AA"/>
    <w:rsid w:val="00B77A5D"/>
    <w:rsid w:val="00B77A9E"/>
    <w:rsid w:val="00B77B9F"/>
    <w:rsid w:val="00B77C37"/>
    <w:rsid w:val="00B8007D"/>
    <w:rsid w:val="00B807BF"/>
    <w:rsid w:val="00B809B1"/>
    <w:rsid w:val="00B809C1"/>
    <w:rsid w:val="00B80E38"/>
    <w:rsid w:val="00B80F9E"/>
    <w:rsid w:val="00B80FCF"/>
    <w:rsid w:val="00B81222"/>
    <w:rsid w:val="00B814E4"/>
    <w:rsid w:val="00B815FE"/>
    <w:rsid w:val="00B81B6A"/>
    <w:rsid w:val="00B81B6C"/>
    <w:rsid w:val="00B81B8F"/>
    <w:rsid w:val="00B81BDF"/>
    <w:rsid w:val="00B821B2"/>
    <w:rsid w:val="00B821D7"/>
    <w:rsid w:val="00B822ED"/>
    <w:rsid w:val="00B824EB"/>
    <w:rsid w:val="00B82543"/>
    <w:rsid w:val="00B82613"/>
    <w:rsid w:val="00B82891"/>
    <w:rsid w:val="00B828E4"/>
    <w:rsid w:val="00B82998"/>
    <w:rsid w:val="00B82B00"/>
    <w:rsid w:val="00B82BA6"/>
    <w:rsid w:val="00B82E29"/>
    <w:rsid w:val="00B83270"/>
    <w:rsid w:val="00B833EE"/>
    <w:rsid w:val="00B834B0"/>
    <w:rsid w:val="00B837F6"/>
    <w:rsid w:val="00B83DAE"/>
    <w:rsid w:val="00B8427B"/>
    <w:rsid w:val="00B845C8"/>
    <w:rsid w:val="00B8484D"/>
    <w:rsid w:val="00B848D3"/>
    <w:rsid w:val="00B84B42"/>
    <w:rsid w:val="00B84E0C"/>
    <w:rsid w:val="00B84F4A"/>
    <w:rsid w:val="00B84F69"/>
    <w:rsid w:val="00B84FB4"/>
    <w:rsid w:val="00B84FE0"/>
    <w:rsid w:val="00B84FFE"/>
    <w:rsid w:val="00B85F86"/>
    <w:rsid w:val="00B86222"/>
    <w:rsid w:val="00B864AF"/>
    <w:rsid w:val="00B86739"/>
    <w:rsid w:val="00B869A6"/>
    <w:rsid w:val="00B86FAD"/>
    <w:rsid w:val="00B87472"/>
    <w:rsid w:val="00B8756E"/>
    <w:rsid w:val="00B8776F"/>
    <w:rsid w:val="00B8783D"/>
    <w:rsid w:val="00B87986"/>
    <w:rsid w:val="00B8798E"/>
    <w:rsid w:val="00B87D2F"/>
    <w:rsid w:val="00B87DF9"/>
    <w:rsid w:val="00B901A6"/>
    <w:rsid w:val="00B905F9"/>
    <w:rsid w:val="00B906CE"/>
    <w:rsid w:val="00B90CE9"/>
    <w:rsid w:val="00B90DBD"/>
    <w:rsid w:val="00B90E97"/>
    <w:rsid w:val="00B90F0B"/>
    <w:rsid w:val="00B9133C"/>
    <w:rsid w:val="00B917D5"/>
    <w:rsid w:val="00B9185A"/>
    <w:rsid w:val="00B91951"/>
    <w:rsid w:val="00B91A58"/>
    <w:rsid w:val="00B91B59"/>
    <w:rsid w:val="00B91D9C"/>
    <w:rsid w:val="00B91E00"/>
    <w:rsid w:val="00B91EAD"/>
    <w:rsid w:val="00B920B9"/>
    <w:rsid w:val="00B921B8"/>
    <w:rsid w:val="00B92612"/>
    <w:rsid w:val="00B928C0"/>
    <w:rsid w:val="00B9290A"/>
    <w:rsid w:val="00B92924"/>
    <w:rsid w:val="00B92C09"/>
    <w:rsid w:val="00B92C15"/>
    <w:rsid w:val="00B92E81"/>
    <w:rsid w:val="00B92F89"/>
    <w:rsid w:val="00B930D2"/>
    <w:rsid w:val="00B930FB"/>
    <w:rsid w:val="00B93232"/>
    <w:rsid w:val="00B93287"/>
    <w:rsid w:val="00B9331D"/>
    <w:rsid w:val="00B937CD"/>
    <w:rsid w:val="00B938BC"/>
    <w:rsid w:val="00B93997"/>
    <w:rsid w:val="00B939E0"/>
    <w:rsid w:val="00B93C98"/>
    <w:rsid w:val="00B941B1"/>
    <w:rsid w:val="00B95088"/>
    <w:rsid w:val="00B950A8"/>
    <w:rsid w:val="00B950FA"/>
    <w:rsid w:val="00B9531E"/>
    <w:rsid w:val="00B956BF"/>
    <w:rsid w:val="00B9592C"/>
    <w:rsid w:val="00B96256"/>
    <w:rsid w:val="00B96332"/>
    <w:rsid w:val="00B96472"/>
    <w:rsid w:val="00B96488"/>
    <w:rsid w:val="00B964C8"/>
    <w:rsid w:val="00B96968"/>
    <w:rsid w:val="00B97174"/>
    <w:rsid w:val="00B97182"/>
    <w:rsid w:val="00B973A2"/>
    <w:rsid w:val="00B974FF"/>
    <w:rsid w:val="00B976AD"/>
    <w:rsid w:val="00B976BB"/>
    <w:rsid w:val="00B97956"/>
    <w:rsid w:val="00B97AA5"/>
    <w:rsid w:val="00B97AAE"/>
    <w:rsid w:val="00B97D32"/>
    <w:rsid w:val="00B97EBA"/>
    <w:rsid w:val="00BA01A7"/>
    <w:rsid w:val="00BA0224"/>
    <w:rsid w:val="00BA0355"/>
    <w:rsid w:val="00BA05C8"/>
    <w:rsid w:val="00BA084A"/>
    <w:rsid w:val="00BA0951"/>
    <w:rsid w:val="00BA09AA"/>
    <w:rsid w:val="00BA0AD5"/>
    <w:rsid w:val="00BA0C39"/>
    <w:rsid w:val="00BA0CA0"/>
    <w:rsid w:val="00BA0D75"/>
    <w:rsid w:val="00BA0DF7"/>
    <w:rsid w:val="00BA0E3C"/>
    <w:rsid w:val="00BA1D42"/>
    <w:rsid w:val="00BA1D6D"/>
    <w:rsid w:val="00BA1DBF"/>
    <w:rsid w:val="00BA1F74"/>
    <w:rsid w:val="00BA1FE7"/>
    <w:rsid w:val="00BA21FE"/>
    <w:rsid w:val="00BA222C"/>
    <w:rsid w:val="00BA2317"/>
    <w:rsid w:val="00BA258F"/>
    <w:rsid w:val="00BA2ADC"/>
    <w:rsid w:val="00BA2B1D"/>
    <w:rsid w:val="00BA2B82"/>
    <w:rsid w:val="00BA2E4A"/>
    <w:rsid w:val="00BA2F9F"/>
    <w:rsid w:val="00BA312F"/>
    <w:rsid w:val="00BA316E"/>
    <w:rsid w:val="00BA31FD"/>
    <w:rsid w:val="00BA350D"/>
    <w:rsid w:val="00BA3AE4"/>
    <w:rsid w:val="00BA3D14"/>
    <w:rsid w:val="00BA3FD1"/>
    <w:rsid w:val="00BA413D"/>
    <w:rsid w:val="00BA41FF"/>
    <w:rsid w:val="00BA435A"/>
    <w:rsid w:val="00BA447E"/>
    <w:rsid w:val="00BA4858"/>
    <w:rsid w:val="00BA487B"/>
    <w:rsid w:val="00BA49E2"/>
    <w:rsid w:val="00BA534A"/>
    <w:rsid w:val="00BA54BA"/>
    <w:rsid w:val="00BA55A1"/>
    <w:rsid w:val="00BA5603"/>
    <w:rsid w:val="00BA5607"/>
    <w:rsid w:val="00BA562D"/>
    <w:rsid w:val="00BA56D9"/>
    <w:rsid w:val="00BA5AF9"/>
    <w:rsid w:val="00BA5B51"/>
    <w:rsid w:val="00BA5C94"/>
    <w:rsid w:val="00BA6194"/>
    <w:rsid w:val="00BA64A4"/>
    <w:rsid w:val="00BA672E"/>
    <w:rsid w:val="00BA6759"/>
    <w:rsid w:val="00BA6B09"/>
    <w:rsid w:val="00BA6B4C"/>
    <w:rsid w:val="00BA716B"/>
    <w:rsid w:val="00BA79D8"/>
    <w:rsid w:val="00BA7EEE"/>
    <w:rsid w:val="00BA7FEE"/>
    <w:rsid w:val="00BB0A5E"/>
    <w:rsid w:val="00BB0CC3"/>
    <w:rsid w:val="00BB0DF8"/>
    <w:rsid w:val="00BB0E3A"/>
    <w:rsid w:val="00BB0FF5"/>
    <w:rsid w:val="00BB10E4"/>
    <w:rsid w:val="00BB138C"/>
    <w:rsid w:val="00BB14F4"/>
    <w:rsid w:val="00BB1922"/>
    <w:rsid w:val="00BB1C42"/>
    <w:rsid w:val="00BB1F0C"/>
    <w:rsid w:val="00BB2008"/>
    <w:rsid w:val="00BB21D1"/>
    <w:rsid w:val="00BB222B"/>
    <w:rsid w:val="00BB2251"/>
    <w:rsid w:val="00BB2872"/>
    <w:rsid w:val="00BB29DF"/>
    <w:rsid w:val="00BB2A62"/>
    <w:rsid w:val="00BB2C27"/>
    <w:rsid w:val="00BB2CFC"/>
    <w:rsid w:val="00BB302F"/>
    <w:rsid w:val="00BB34DC"/>
    <w:rsid w:val="00BB35D0"/>
    <w:rsid w:val="00BB3AC4"/>
    <w:rsid w:val="00BB3CFC"/>
    <w:rsid w:val="00BB3EA2"/>
    <w:rsid w:val="00BB3FE2"/>
    <w:rsid w:val="00BB418F"/>
    <w:rsid w:val="00BB436A"/>
    <w:rsid w:val="00BB471F"/>
    <w:rsid w:val="00BB48C0"/>
    <w:rsid w:val="00BB4923"/>
    <w:rsid w:val="00BB4999"/>
    <w:rsid w:val="00BB4BCD"/>
    <w:rsid w:val="00BB502F"/>
    <w:rsid w:val="00BB5096"/>
    <w:rsid w:val="00BB56C7"/>
    <w:rsid w:val="00BB5B62"/>
    <w:rsid w:val="00BB5C93"/>
    <w:rsid w:val="00BB5E32"/>
    <w:rsid w:val="00BB621C"/>
    <w:rsid w:val="00BB6390"/>
    <w:rsid w:val="00BB6502"/>
    <w:rsid w:val="00BB658F"/>
    <w:rsid w:val="00BB68B2"/>
    <w:rsid w:val="00BB6BCD"/>
    <w:rsid w:val="00BB6C0B"/>
    <w:rsid w:val="00BB6FC2"/>
    <w:rsid w:val="00BB70F9"/>
    <w:rsid w:val="00BB736D"/>
    <w:rsid w:val="00BB7696"/>
    <w:rsid w:val="00BB7725"/>
    <w:rsid w:val="00BB7C9B"/>
    <w:rsid w:val="00BB7E2A"/>
    <w:rsid w:val="00BB7E8B"/>
    <w:rsid w:val="00BC05F0"/>
    <w:rsid w:val="00BC0837"/>
    <w:rsid w:val="00BC126B"/>
    <w:rsid w:val="00BC1527"/>
    <w:rsid w:val="00BC176F"/>
    <w:rsid w:val="00BC190B"/>
    <w:rsid w:val="00BC19C5"/>
    <w:rsid w:val="00BC1A8F"/>
    <w:rsid w:val="00BC1AAD"/>
    <w:rsid w:val="00BC1D16"/>
    <w:rsid w:val="00BC2003"/>
    <w:rsid w:val="00BC201B"/>
    <w:rsid w:val="00BC21C7"/>
    <w:rsid w:val="00BC2306"/>
    <w:rsid w:val="00BC237C"/>
    <w:rsid w:val="00BC25DA"/>
    <w:rsid w:val="00BC2EEA"/>
    <w:rsid w:val="00BC2F31"/>
    <w:rsid w:val="00BC30D1"/>
    <w:rsid w:val="00BC33AE"/>
    <w:rsid w:val="00BC3563"/>
    <w:rsid w:val="00BC3C98"/>
    <w:rsid w:val="00BC3D9E"/>
    <w:rsid w:val="00BC4036"/>
    <w:rsid w:val="00BC403E"/>
    <w:rsid w:val="00BC40AD"/>
    <w:rsid w:val="00BC414D"/>
    <w:rsid w:val="00BC41A6"/>
    <w:rsid w:val="00BC465E"/>
    <w:rsid w:val="00BC46A4"/>
    <w:rsid w:val="00BC4C5D"/>
    <w:rsid w:val="00BC4F0A"/>
    <w:rsid w:val="00BC4F8C"/>
    <w:rsid w:val="00BC509F"/>
    <w:rsid w:val="00BC51D2"/>
    <w:rsid w:val="00BC5347"/>
    <w:rsid w:val="00BC545F"/>
    <w:rsid w:val="00BC555F"/>
    <w:rsid w:val="00BC556C"/>
    <w:rsid w:val="00BC56F5"/>
    <w:rsid w:val="00BC570D"/>
    <w:rsid w:val="00BC602D"/>
    <w:rsid w:val="00BC64BE"/>
    <w:rsid w:val="00BC65F9"/>
    <w:rsid w:val="00BC6622"/>
    <w:rsid w:val="00BC6B57"/>
    <w:rsid w:val="00BC6D6F"/>
    <w:rsid w:val="00BC6D7C"/>
    <w:rsid w:val="00BC6DDF"/>
    <w:rsid w:val="00BC7155"/>
    <w:rsid w:val="00BC72E2"/>
    <w:rsid w:val="00BC7365"/>
    <w:rsid w:val="00BC7550"/>
    <w:rsid w:val="00BC76F9"/>
    <w:rsid w:val="00BC7720"/>
    <w:rsid w:val="00BC7784"/>
    <w:rsid w:val="00BC7DA0"/>
    <w:rsid w:val="00BC7EBA"/>
    <w:rsid w:val="00BD085D"/>
    <w:rsid w:val="00BD0B13"/>
    <w:rsid w:val="00BD0B38"/>
    <w:rsid w:val="00BD0B72"/>
    <w:rsid w:val="00BD0D98"/>
    <w:rsid w:val="00BD1304"/>
    <w:rsid w:val="00BD15A4"/>
    <w:rsid w:val="00BD180F"/>
    <w:rsid w:val="00BD19B4"/>
    <w:rsid w:val="00BD1C97"/>
    <w:rsid w:val="00BD2668"/>
    <w:rsid w:val="00BD275E"/>
    <w:rsid w:val="00BD299F"/>
    <w:rsid w:val="00BD2E63"/>
    <w:rsid w:val="00BD3421"/>
    <w:rsid w:val="00BD3924"/>
    <w:rsid w:val="00BD3D29"/>
    <w:rsid w:val="00BD3FA1"/>
    <w:rsid w:val="00BD438D"/>
    <w:rsid w:val="00BD450F"/>
    <w:rsid w:val="00BD4512"/>
    <w:rsid w:val="00BD4E53"/>
    <w:rsid w:val="00BD5274"/>
    <w:rsid w:val="00BD52AA"/>
    <w:rsid w:val="00BD56BF"/>
    <w:rsid w:val="00BD56D1"/>
    <w:rsid w:val="00BD56E5"/>
    <w:rsid w:val="00BD5C95"/>
    <w:rsid w:val="00BD5F56"/>
    <w:rsid w:val="00BD5FB1"/>
    <w:rsid w:val="00BD6487"/>
    <w:rsid w:val="00BD65AB"/>
    <w:rsid w:val="00BD65CE"/>
    <w:rsid w:val="00BD685C"/>
    <w:rsid w:val="00BD72FC"/>
    <w:rsid w:val="00BD783B"/>
    <w:rsid w:val="00BD796A"/>
    <w:rsid w:val="00BD79CA"/>
    <w:rsid w:val="00BD7AB4"/>
    <w:rsid w:val="00BD7B3A"/>
    <w:rsid w:val="00BD7B77"/>
    <w:rsid w:val="00BD7E36"/>
    <w:rsid w:val="00BD7F73"/>
    <w:rsid w:val="00BE0025"/>
    <w:rsid w:val="00BE0173"/>
    <w:rsid w:val="00BE0292"/>
    <w:rsid w:val="00BE061E"/>
    <w:rsid w:val="00BE0B84"/>
    <w:rsid w:val="00BE0BD4"/>
    <w:rsid w:val="00BE0CF7"/>
    <w:rsid w:val="00BE0F52"/>
    <w:rsid w:val="00BE1061"/>
    <w:rsid w:val="00BE1321"/>
    <w:rsid w:val="00BE1615"/>
    <w:rsid w:val="00BE16C6"/>
    <w:rsid w:val="00BE21BE"/>
    <w:rsid w:val="00BE260A"/>
    <w:rsid w:val="00BE2763"/>
    <w:rsid w:val="00BE2893"/>
    <w:rsid w:val="00BE2B06"/>
    <w:rsid w:val="00BE2B10"/>
    <w:rsid w:val="00BE2CE0"/>
    <w:rsid w:val="00BE2EB4"/>
    <w:rsid w:val="00BE2F5A"/>
    <w:rsid w:val="00BE30DD"/>
    <w:rsid w:val="00BE3333"/>
    <w:rsid w:val="00BE34C4"/>
    <w:rsid w:val="00BE368A"/>
    <w:rsid w:val="00BE37D3"/>
    <w:rsid w:val="00BE3B96"/>
    <w:rsid w:val="00BE4072"/>
    <w:rsid w:val="00BE4144"/>
    <w:rsid w:val="00BE4358"/>
    <w:rsid w:val="00BE4AB6"/>
    <w:rsid w:val="00BE522A"/>
    <w:rsid w:val="00BE5359"/>
    <w:rsid w:val="00BE55FA"/>
    <w:rsid w:val="00BE57B5"/>
    <w:rsid w:val="00BE5901"/>
    <w:rsid w:val="00BE6087"/>
    <w:rsid w:val="00BE61F9"/>
    <w:rsid w:val="00BE64EE"/>
    <w:rsid w:val="00BE65D9"/>
    <w:rsid w:val="00BE69A8"/>
    <w:rsid w:val="00BE69ED"/>
    <w:rsid w:val="00BE6C79"/>
    <w:rsid w:val="00BE73D9"/>
    <w:rsid w:val="00BE7A7C"/>
    <w:rsid w:val="00BE7CF1"/>
    <w:rsid w:val="00BE7D2E"/>
    <w:rsid w:val="00BE7F3C"/>
    <w:rsid w:val="00BF0866"/>
    <w:rsid w:val="00BF0A44"/>
    <w:rsid w:val="00BF0CCA"/>
    <w:rsid w:val="00BF0CEC"/>
    <w:rsid w:val="00BF0E4D"/>
    <w:rsid w:val="00BF0EDC"/>
    <w:rsid w:val="00BF1451"/>
    <w:rsid w:val="00BF1537"/>
    <w:rsid w:val="00BF190D"/>
    <w:rsid w:val="00BF1A44"/>
    <w:rsid w:val="00BF1C3F"/>
    <w:rsid w:val="00BF1EDF"/>
    <w:rsid w:val="00BF1FE0"/>
    <w:rsid w:val="00BF21BE"/>
    <w:rsid w:val="00BF21FD"/>
    <w:rsid w:val="00BF2467"/>
    <w:rsid w:val="00BF2495"/>
    <w:rsid w:val="00BF2634"/>
    <w:rsid w:val="00BF27EB"/>
    <w:rsid w:val="00BF2874"/>
    <w:rsid w:val="00BF319F"/>
    <w:rsid w:val="00BF33B5"/>
    <w:rsid w:val="00BF340E"/>
    <w:rsid w:val="00BF353D"/>
    <w:rsid w:val="00BF362F"/>
    <w:rsid w:val="00BF3923"/>
    <w:rsid w:val="00BF392E"/>
    <w:rsid w:val="00BF3D25"/>
    <w:rsid w:val="00BF3EAD"/>
    <w:rsid w:val="00BF4165"/>
    <w:rsid w:val="00BF41E6"/>
    <w:rsid w:val="00BF4415"/>
    <w:rsid w:val="00BF4823"/>
    <w:rsid w:val="00BF4D3D"/>
    <w:rsid w:val="00BF4E3A"/>
    <w:rsid w:val="00BF4F98"/>
    <w:rsid w:val="00BF553B"/>
    <w:rsid w:val="00BF5747"/>
    <w:rsid w:val="00BF5B8C"/>
    <w:rsid w:val="00BF5F39"/>
    <w:rsid w:val="00BF5F9C"/>
    <w:rsid w:val="00BF62A0"/>
    <w:rsid w:val="00BF66B7"/>
    <w:rsid w:val="00BF6817"/>
    <w:rsid w:val="00BF6A68"/>
    <w:rsid w:val="00BF6AEA"/>
    <w:rsid w:val="00BF6C10"/>
    <w:rsid w:val="00BF6D59"/>
    <w:rsid w:val="00BF7152"/>
    <w:rsid w:val="00BF73F0"/>
    <w:rsid w:val="00BF75B1"/>
    <w:rsid w:val="00BF75C9"/>
    <w:rsid w:val="00BF77D3"/>
    <w:rsid w:val="00BF7803"/>
    <w:rsid w:val="00BF7856"/>
    <w:rsid w:val="00BF788A"/>
    <w:rsid w:val="00BF7BD3"/>
    <w:rsid w:val="00BF7E94"/>
    <w:rsid w:val="00BF7F60"/>
    <w:rsid w:val="00C001C1"/>
    <w:rsid w:val="00C00352"/>
    <w:rsid w:val="00C004B3"/>
    <w:rsid w:val="00C004C7"/>
    <w:rsid w:val="00C0054A"/>
    <w:rsid w:val="00C0066A"/>
    <w:rsid w:val="00C007CE"/>
    <w:rsid w:val="00C0088A"/>
    <w:rsid w:val="00C009C2"/>
    <w:rsid w:val="00C00A0D"/>
    <w:rsid w:val="00C00A22"/>
    <w:rsid w:val="00C00F18"/>
    <w:rsid w:val="00C00F4D"/>
    <w:rsid w:val="00C0100D"/>
    <w:rsid w:val="00C0176B"/>
    <w:rsid w:val="00C01C18"/>
    <w:rsid w:val="00C01D39"/>
    <w:rsid w:val="00C01F2C"/>
    <w:rsid w:val="00C0200C"/>
    <w:rsid w:val="00C020A8"/>
    <w:rsid w:val="00C02274"/>
    <w:rsid w:val="00C024C7"/>
    <w:rsid w:val="00C0285E"/>
    <w:rsid w:val="00C02E9D"/>
    <w:rsid w:val="00C02F27"/>
    <w:rsid w:val="00C034A4"/>
    <w:rsid w:val="00C03B53"/>
    <w:rsid w:val="00C03BFA"/>
    <w:rsid w:val="00C03DB1"/>
    <w:rsid w:val="00C03DD0"/>
    <w:rsid w:val="00C03EFF"/>
    <w:rsid w:val="00C04092"/>
    <w:rsid w:val="00C040DE"/>
    <w:rsid w:val="00C0425B"/>
    <w:rsid w:val="00C04445"/>
    <w:rsid w:val="00C04673"/>
    <w:rsid w:val="00C04705"/>
    <w:rsid w:val="00C04A7F"/>
    <w:rsid w:val="00C04D18"/>
    <w:rsid w:val="00C04E2B"/>
    <w:rsid w:val="00C04F05"/>
    <w:rsid w:val="00C04F24"/>
    <w:rsid w:val="00C04FA9"/>
    <w:rsid w:val="00C051AA"/>
    <w:rsid w:val="00C05438"/>
    <w:rsid w:val="00C055B9"/>
    <w:rsid w:val="00C055E4"/>
    <w:rsid w:val="00C057AA"/>
    <w:rsid w:val="00C05955"/>
    <w:rsid w:val="00C060A0"/>
    <w:rsid w:val="00C06690"/>
    <w:rsid w:val="00C066A9"/>
    <w:rsid w:val="00C0670B"/>
    <w:rsid w:val="00C07187"/>
    <w:rsid w:val="00C072A8"/>
    <w:rsid w:val="00C0754E"/>
    <w:rsid w:val="00C075C9"/>
    <w:rsid w:val="00C076A5"/>
    <w:rsid w:val="00C07CB1"/>
    <w:rsid w:val="00C07FAD"/>
    <w:rsid w:val="00C10277"/>
    <w:rsid w:val="00C106C4"/>
    <w:rsid w:val="00C107FC"/>
    <w:rsid w:val="00C10B50"/>
    <w:rsid w:val="00C10CF0"/>
    <w:rsid w:val="00C111EA"/>
    <w:rsid w:val="00C112CE"/>
    <w:rsid w:val="00C11554"/>
    <w:rsid w:val="00C11590"/>
    <w:rsid w:val="00C117DB"/>
    <w:rsid w:val="00C117FD"/>
    <w:rsid w:val="00C118AF"/>
    <w:rsid w:val="00C119AD"/>
    <w:rsid w:val="00C11FE3"/>
    <w:rsid w:val="00C12113"/>
    <w:rsid w:val="00C121EA"/>
    <w:rsid w:val="00C1228D"/>
    <w:rsid w:val="00C12319"/>
    <w:rsid w:val="00C1231D"/>
    <w:rsid w:val="00C124EE"/>
    <w:rsid w:val="00C12669"/>
    <w:rsid w:val="00C12878"/>
    <w:rsid w:val="00C128C4"/>
    <w:rsid w:val="00C129AC"/>
    <w:rsid w:val="00C12D68"/>
    <w:rsid w:val="00C12DFA"/>
    <w:rsid w:val="00C12ECB"/>
    <w:rsid w:val="00C12F04"/>
    <w:rsid w:val="00C12F55"/>
    <w:rsid w:val="00C13174"/>
    <w:rsid w:val="00C1338C"/>
    <w:rsid w:val="00C1399A"/>
    <w:rsid w:val="00C13A8D"/>
    <w:rsid w:val="00C13E7D"/>
    <w:rsid w:val="00C13F69"/>
    <w:rsid w:val="00C13FED"/>
    <w:rsid w:val="00C13FF2"/>
    <w:rsid w:val="00C14436"/>
    <w:rsid w:val="00C14B08"/>
    <w:rsid w:val="00C14E7D"/>
    <w:rsid w:val="00C1509A"/>
    <w:rsid w:val="00C150B4"/>
    <w:rsid w:val="00C1511B"/>
    <w:rsid w:val="00C153A1"/>
    <w:rsid w:val="00C153EE"/>
    <w:rsid w:val="00C15722"/>
    <w:rsid w:val="00C1583F"/>
    <w:rsid w:val="00C158F8"/>
    <w:rsid w:val="00C15AB6"/>
    <w:rsid w:val="00C15C43"/>
    <w:rsid w:val="00C15C91"/>
    <w:rsid w:val="00C15FBA"/>
    <w:rsid w:val="00C16897"/>
    <w:rsid w:val="00C16D3D"/>
    <w:rsid w:val="00C16F3E"/>
    <w:rsid w:val="00C1737D"/>
    <w:rsid w:val="00C173E1"/>
    <w:rsid w:val="00C175C1"/>
    <w:rsid w:val="00C1778F"/>
    <w:rsid w:val="00C179B6"/>
    <w:rsid w:val="00C17B04"/>
    <w:rsid w:val="00C17ED0"/>
    <w:rsid w:val="00C200C9"/>
    <w:rsid w:val="00C201E0"/>
    <w:rsid w:val="00C2021D"/>
    <w:rsid w:val="00C20246"/>
    <w:rsid w:val="00C2026D"/>
    <w:rsid w:val="00C2032D"/>
    <w:rsid w:val="00C2052C"/>
    <w:rsid w:val="00C20822"/>
    <w:rsid w:val="00C208DA"/>
    <w:rsid w:val="00C20A73"/>
    <w:rsid w:val="00C20E3C"/>
    <w:rsid w:val="00C21981"/>
    <w:rsid w:val="00C21C8A"/>
    <w:rsid w:val="00C21D8E"/>
    <w:rsid w:val="00C21E23"/>
    <w:rsid w:val="00C2219E"/>
    <w:rsid w:val="00C222DF"/>
    <w:rsid w:val="00C22525"/>
    <w:rsid w:val="00C2252B"/>
    <w:rsid w:val="00C22686"/>
    <w:rsid w:val="00C22F14"/>
    <w:rsid w:val="00C22F84"/>
    <w:rsid w:val="00C232F5"/>
    <w:rsid w:val="00C23B41"/>
    <w:rsid w:val="00C23BDA"/>
    <w:rsid w:val="00C23DBB"/>
    <w:rsid w:val="00C23F2D"/>
    <w:rsid w:val="00C23FE1"/>
    <w:rsid w:val="00C2410D"/>
    <w:rsid w:val="00C242AA"/>
    <w:rsid w:val="00C2465A"/>
    <w:rsid w:val="00C2482E"/>
    <w:rsid w:val="00C249CB"/>
    <w:rsid w:val="00C24ABF"/>
    <w:rsid w:val="00C24B73"/>
    <w:rsid w:val="00C24BAF"/>
    <w:rsid w:val="00C24C8A"/>
    <w:rsid w:val="00C24F54"/>
    <w:rsid w:val="00C2550D"/>
    <w:rsid w:val="00C25B7F"/>
    <w:rsid w:val="00C25BFC"/>
    <w:rsid w:val="00C25EC6"/>
    <w:rsid w:val="00C25F8B"/>
    <w:rsid w:val="00C26059"/>
    <w:rsid w:val="00C265C0"/>
    <w:rsid w:val="00C266E1"/>
    <w:rsid w:val="00C2679E"/>
    <w:rsid w:val="00C267C4"/>
    <w:rsid w:val="00C26A9D"/>
    <w:rsid w:val="00C26B9E"/>
    <w:rsid w:val="00C26C26"/>
    <w:rsid w:val="00C26D86"/>
    <w:rsid w:val="00C26FA7"/>
    <w:rsid w:val="00C270D4"/>
    <w:rsid w:val="00C2720C"/>
    <w:rsid w:val="00C272EF"/>
    <w:rsid w:val="00C2732B"/>
    <w:rsid w:val="00C2753F"/>
    <w:rsid w:val="00C27544"/>
    <w:rsid w:val="00C27670"/>
    <w:rsid w:val="00C276A8"/>
    <w:rsid w:val="00C27722"/>
    <w:rsid w:val="00C278FE"/>
    <w:rsid w:val="00C27944"/>
    <w:rsid w:val="00C27975"/>
    <w:rsid w:val="00C27DC0"/>
    <w:rsid w:val="00C27E04"/>
    <w:rsid w:val="00C300BC"/>
    <w:rsid w:val="00C302B4"/>
    <w:rsid w:val="00C30341"/>
    <w:rsid w:val="00C3078B"/>
    <w:rsid w:val="00C307C1"/>
    <w:rsid w:val="00C3082B"/>
    <w:rsid w:val="00C30DFC"/>
    <w:rsid w:val="00C30E75"/>
    <w:rsid w:val="00C30F8B"/>
    <w:rsid w:val="00C31206"/>
    <w:rsid w:val="00C3125D"/>
    <w:rsid w:val="00C3132D"/>
    <w:rsid w:val="00C3141A"/>
    <w:rsid w:val="00C3145A"/>
    <w:rsid w:val="00C3147E"/>
    <w:rsid w:val="00C315CE"/>
    <w:rsid w:val="00C3189B"/>
    <w:rsid w:val="00C318F7"/>
    <w:rsid w:val="00C319D2"/>
    <w:rsid w:val="00C31C23"/>
    <w:rsid w:val="00C31D0D"/>
    <w:rsid w:val="00C31D9E"/>
    <w:rsid w:val="00C31F68"/>
    <w:rsid w:val="00C31F85"/>
    <w:rsid w:val="00C320D1"/>
    <w:rsid w:val="00C32255"/>
    <w:rsid w:val="00C32534"/>
    <w:rsid w:val="00C326EE"/>
    <w:rsid w:val="00C32951"/>
    <w:rsid w:val="00C32A25"/>
    <w:rsid w:val="00C32BD9"/>
    <w:rsid w:val="00C32C02"/>
    <w:rsid w:val="00C32CD4"/>
    <w:rsid w:val="00C32D13"/>
    <w:rsid w:val="00C32DFF"/>
    <w:rsid w:val="00C33235"/>
    <w:rsid w:val="00C33650"/>
    <w:rsid w:val="00C33677"/>
    <w:rsid w:val="00C33A63"/>
    <w:rsid w:val="00C33B9E"/>
    <w:rsid w:val="00C33D62"/>
    <w:rsid w:val="00C34010"/>
    <w:rsid w:val="00C34137"/>
    <w:rsid w:val="00C34534"/>
    <w:rsid w:val="00C3476B"/>
    <w:rsid w:val="00C3486F"/>
    <w:rsid w:val="00C348A8"/>
    <w:rsid w:val="00C34F18"/>
    <w:rsid w:val="00C35240"/>
    <w:rsid w:val="00C35692"/>
    <w:rsid w:val="00C356C8"/>
    <w:rsid w:val="00C356DA"/>
    <w:rsid w:val="00C356EA"/>
    <w:rsid w:val="00C35736"/>
    <w:rsid w:val="00C35AE7"/>
    <w:rsid w:val="00C35C8E"/>
    <w:rsid w:val="00C35D94"/>
    <w:rsid w:val="00C35E14"/>
    <w:rsid w:val="00C368B3"/>
    <w:rsid w:val="00C36A26"/>
    <w:rsid w:val="00C36EF2"/>
    <w:rsid w:val="00C36F07"/>
    <w:rsid w:val="00C37214"/>
    <w:rsid w:val="00C372E8"/>
    <w:rsid w:val="00C376BB"/>
    <w:rsid w:val="00C37AEA"/>
    <w:rsid w:val="00C37D5D"/>
    <w:rsid w:val="00C37FC3"/>
    <w:rsid w:val="00C400EA"/>
    <w:rsid w:val="00C40267"/>
    <w:rsid w:val="00C40360"/>
    <w:rsid w:val="00C40761"/>
    <w:rsid w:val="00C40782"/>
    <w:rsid w:val="00C407B5"/>
    <w:rsid w:val="00C40951"/>
    <w:rsid w:val="00C40997"/>
    <w:rsid w:val="00C409DC"/>
    <w:rsid w:val="00C40A96"/>
    <w:rsid w:val="00C40AF2"/>
    <w:rsid w:val="00C40B1B"/>
    <w:rsid w:val="00C40E88"/>
    <w:rsid w:val="00C412A5"/>
    <w:rsid w:val="00C416A3"/>
    <w:rsid w:val="00C41785"/>
    <w:rsid w:val="00C41850"/>
    <w:rsid w:val="00C41BC7"/>
    <w:rsid w:val="00C41E9C"/>
    <w:rsid w:val="00C41FC1"/>
    <w:rsid w:val="00C420A1"/>
    <w:rsid w:val="00C421BC"/>
    <w:rsid w:val="00C422E6"/>
    <w:rsid w:val="00C4264B"/>
    <w:rsid w:val="00C42BAA"/>
    <w:rsid w:val="00C42E6C"/>
    <w:rsid w:val="00C431AC"/>
    <w:rsid w:val="00C434C2"/>
    <w:rsid w:val="00C436BC"/>
    <w:rsid w:val="00C4377A"/>
    <w:rsid w:val="00C43940"/>
    <w:rsid w:val="00C43ABC"/>
    <w:rsid w:val="00C43FA2"/>
    <w:rsid w:val="00C43FD4"/>
    <w:rsid w:val="00C4425A"/>
    <w:rsid w:val="00C44342"/>
    <w:rsid w:val="00C445B6"/>
    <w:rsid w:val="00C44694"/>
    <w:rsid w:val="00C446AC"/>
    <w:rsid w:val="00C44744"/>
    <w:rsid w:val="00C4478D"/>
    <w:rsid w:val="00C44ECA"/>
    <w:rsid w:val="00C450B5"/>
    <w:rsid w:val="00C45561"/>
    <w:rsid w:val="00C457C1"/>
    <w:rsid w:val="00C45F6F"/>
    <w:rsid w:val="00C45F80"/>
    <w:rsid w:val="00C461C7"/>
    <w:rsid w:val="00C462C2"/>
    <w:rsid w:val="00C46589"/>
    <w:rsid w:val="00C46625"/>
    <w:rsid w:val="00C46870"/>
    <w:rsid w:val="00C469A6"/>
    <w:rsid w:val="00C46B69"/>
    <w:rsid w:val="00C46E95"/>
    <w:rsid w:val="00C47545"/>
    <w:rsid w:val="00C47593"/>
    <w:rsid w:val="00C47D96"/>
    <w:rsid w:val="00C47E02"/>
    <w:rsid w:val="00C47EA3"/>
    <w:rsid w:val="00C47EF8"/>
    <w:rsid w:val="00C5040E"/>
    <w:rsid w:val="00C5044B"/>
    <w:rsid w:val="00C504BE"/>
    <w:rsid w:val="00C505AB"/>
    <w:rsid w:val="00C506BD"/>
    <w:rsid w:val="00C506D6"/>
    <w:rsid w:val="00C5078F"/>
    <w:rsid w:val="00C508A2"/>
    <w:rsid w:val="00C50D42"/>
    <w:rsid w:val="00C50DC9"/>
    <w:rsid w:val="00C50E55"/>
    <w:rsid w:val="00C50F82"/>
    <w:rsid w:val="00C51426"/>
    <w:rsid w:val="00C51473"/>
    <w:rsid w:val="00C51622"/>
    <w:rsid w:val="00C51751"/>
    <w:rsid w:val="00C517F8"/>
    <w:rsid w:val="00C51C50"/>
    <w:rsid w:val="00C51FB3"/>
    <w:rsid w:val="00C5223C"/>
    <w:rsid w:val="00C52432"/>
    <w:rsid w:val="00C5288C"/>
    <w:rsid w:val="00C52A35"/>
    <w:rsid w:val="00C52AD4"/>
    <w:rsid w:val="00C52B2F"/>
    <w:rsid w:val="00C52B8E"/>
    <w:rsid w:val="00C53213"/>
    <w:rsid w:val="00C53917"/>
    <w:rsid w:val="00C541DE"/>
    <w:rsid w:val="00C5469E"/>
    <w:rsid w:val="00C547C9"/>
    <w:rsid w:val="00C5496C"/>
    <w:rsid w:val="00C54C11"/>
    <w:rsid w:val="00C54C67"/>
    <w:rsid w:val="00C54E65"/>
    <w:rsid w:val="00C5512D"/>
    <w:rsid w:val="00C556F7"/>
    <w:rsid w:val="00C557A0"/>
    <w:rsid w:val="00C557E6"/>
    <w:rsid w:val="00C559FD"/>
    <w:rsid w:val="00C562BA"/>
    <w:rsid w:val="00C562E1"/>
    <w:rsid w:val="00C56324"/>
    <w:rsid w:val="00C5653B"/>
    <w:rsid w:val="00C565A3"/>
    <w:rsid w:val="00C56B50"/>
    <w:rsid w:val="00C56BAF"/>
    <w:rsid w:val="00C56DA5"/>
    <w:rsid w:val="00C56EFF"/>
    <w:rsid w:val="00C57282"/>
    <w:rsid w:val="00C57514"/>
    <w:rsid w:val="00C5751C"/>
    <w:rsid w:val="00C577F7"/>
    <w:rsid w:val="00C57A38"/>
    <w:rsid w:val="00C57F2D"/>
    <w:rsid w:val="00C60475"/>
    <w:rsid w:val="00C60667"/>
    <w:rsid w:val="00C60838"/>
    <w:rsid w:val="00C60B85"/>
    <w:rsid w:val="00C60CA6"/>
    <w:rsid w:val="00C60F21"/>
    <w:rsid w:val="00C60FC3"/>
    <w:rsid w:val="00C610F6"/>
    <w:rsid w:val="00C61315"/>
    <w:rsid w:val="00C61390"/>
    <w:rsid w:val="00C614AA"/>
    <w:rsid w:val="00C616AB"/>
    <w:rsid w:val="00C61773"/>
    <w:rsid w:val="00C619EB"/>
    <w:rsid w:val="00C61A32"/>
    <w:rsid w:val="00C61AB9"/>
    <w:rsid w:val="00C61E5E"/>
    <w:rsid w:val="00C61F84"/>
    <w:rsid w:val="00C6232B"/>
    <w:rsid w:val="00C6246D"/>
    <w:rsid w:val="00C627DB"/>
    <w:rsid w:val="00C62925"/>
    <w:rsid w:val="00C62EB2"/>
    <w:rsid w:val="00C62F72"/>
    <w:rsid w:val="00C62FB9"/>
    <w:rsid w:val="00C62FF7"/>
    <w:rsid w:val="00C63135"/>
    <w:rsid w:val="00C6317C"/>
    <w:rsid w:val="00C633D4"/>
    <w:rsid w:val="00C63433"/>
    <w:rsid w:val="00C637DC"/>
    <w:rsid w:val="00C63B05"/>
    <w:rsid w:val="00C63C93"/>
    <w:rsid w:val="00C63CA6"/>
    <w:rsid w:val="00C63EE8"/>
    <w:rsid w:val="00C63F30"/>
    <w:rsid w:val="00C64305"/>
    <w:rsid w:val="00C6432E"/>
    <w:rsid w:val="00C64334"/>
    <w:rsid w:val="00C644F2"/>
    <w:rsid w:val="00C64512"/>
    <w:rsid w:val="00C645B2"/>
    <w:rsid w:val="00C647B6"/>
    <w:rsid w:val="00C649A7"/>
    <w:rsid w:val="00C64EB2"/>
    <w:rsid w:val="00C6500D"/>
    <w:rsid w:val="00C6514B"/>
    <w:rsid w:val="00C65162"/>
    <w:rsid w:val="00C651C1"/>
    <w:rsid w:val="00C6530A"/>
    <w:rsid w:val="00C65626"/>
    <w:rsid w:val="00C65718"/>
    <w:rsid w:val="00C65867"/>
    <w:rsid w:val="00C658C1"/>
    <w:rsid w:val="00C659B6"/>
    <w:rsid w:val="00C65A5A"/>
    <w:rsid w:val="00C65B42"/>
    <w:rsid w:val="00C65C81"/>
    <w:rsid w:val="00C65F35"/>
    <w:rsid w:val="00C6618E"/>
    <w:rsid w:val="00C66720"/>
    <w:rsid w:val="00C66740"/>
    <w:rsid w:val="00C66772"/>
    <w:rsid w:val="00C668EB"/>
    <w:rsid w:val="00C6698A"/>
    <w:rsid w:val="00C66A2E"/>
    <w:rsid w:val="00C66C43"/>
    <w:rsid w:val="00C66C7C"/>
    <w:rsid w:val="00C66D2B"/>
    <w:rsid w:val="00C66DF9"/>
    <w:rsid w:val="00C67469"/>
    <w:rsid w:val="00C67580"/>
    <w:rsid w:val="00C6781C"/>
    <w:rsid w:val="00C678D9"/>
    <w:rsid w:val="00C67917"/>
    <w:rsid w:val="00C67940"/>
    <w:rsid w:val="00C67C1B"/>
    <w:rsid w:val="00C67C26"/>
    <w:rsid w:val="00C67EA1"/>
    <w:rsid w:val="00C703E9"/>
    <w:rsid w:val="00C70445"/>
    <w:rsid w:val="00C707BC"/>
    <w:rsid w:val="00C70849"/>
    <w:rsid w:val="00C708B2"/>
    <w:rsid w:val="00C70985"/>
    <w:rsid w:val="00C70A09"/>
    <w:rsid w:val="00C70AEE"/>
    <w:rsid w:val="00C70C8A"/>
    <w:rsid w:val="00C70F7E"/>
    <w:rsid w:val="00C7141F"/>
    <w:rsid w:val="00C71614"/>
    <w:rsid w:val="00C7190B"/>
    <w:rsid w:val="00C71D15"/>
    <w:rsid w:val="00C7234D"/>
    <w:rsid w:val="00C7244E"/>
    <w:rsid w:val="00C726C9"/>
    <w:rsid w:val="00C72801"/>
    <w:rsid w:val="00C72C0A"/>
    <w:rsid w:val="00C72C32"/>
    <w:rsid w:val="00C731FC"/>
    <w:rsid w:val="00C7384F"/>
    <w:rsid w:val="00C738C1"/>
    <w:rsid w:val="00C73E67"/>
    <w:rsid w:val="00C73EE5"/>
    <w:rsid w:val="00C73FAD"/>
    <w:rsid w:val="00C74770"/>
    <w:rsid w:val="00C74AE1"/>
    <w:rsid w:val="00C74E5F"/>
    <w:rsid w:val="00C74EAA"/>
    <w:rsid w:val="00C75076"/>
    <w:rsid w:val="00C7511A"/>
    <w:rsid w:val="00C7511C"/>
    <w:rsid w:val="00C7527F"/>
    <w:rsid w:val="00C757B8"/>
    <w:rsid w:val="00C758E9"/>
    <w:rsid w:val="00C75911"/>
    <w:rsid w:val="00C75A3C"/>
    <w:rsid w:val="00C75E12"/>
    <w:rsid w:val="00C75E1D"/>
    <w:rsid w:val="00C75EB6"/>
    <w:rsid w:val="00C76189"/>
    <w:rsid w:val="00C7626B"/>
    <w:rsid w:val="00C76724"/>
    <w:rsid w:val="00C76906"/>
    <w:rsid w:val="00C76AB7"/>
    <w:rsid w:val="00C76B7C"/>
    <w:rsid w:val="00C76CAE"/>
    <w:rsid w:val="00C76CC7"/>
    <w:rsid w:val="00C76F81"/>
    <w:rsid w:val="00C773E9"/>
    <w:rsid w:val="00C77522"/>
    <w:rsid w:val="00C776A4"/>
    <w:rsid w:val="00C77F75"/>
    <w:rsid w:val="00C800DD"/>
    <w:rsid w:val="00C803E3"/>
    <w:rsid w:val="00C80640"/>
    <w:rsid w:val="00C80697"/>
    <w:rsid w:val="00C80920"/>
    <w:rsid w:val="00C80B03"/>
    <w:rsid w:val="00C811A4"/>
    <w:rsid w:val="00C818FE"/>
    <w:rsid w:val="00C81DA8"/>
    <w:rsid w:val="00C81E3A"/>
    <w:rsid w:val="00C8243F"/>
    <w:rsid w:val="00C827A8"/>
    <w:rsid w:val="00C8289B"/>
    <w:rsid w:val="00C82D54"/>
    <w:rsid w:val="00C82F3B"/>
    <w:rsid w:val="00C82F7F"/>
    <w:rsid w:val="00C82FF8"/>
    <w:rsid w:val="00C83131"/>
    <w:rsid w:val="00C8318B"/>
    <w:rsid w:val="00C83251"/>
    <w:rsid w:val="00C837C4"/>
    <w:rsid w:val="00C83829"/>
    <w:rsid w:val="00C838D7"/>
    <w:rsid w:val="00C83928"/>
    <w:rsid w:val="00C83AE3"/>
    <w:rsid w:val="00C83EDB"/>
    <w:rsid w:val="00C83EDD"/>
    <w:rsid w:val="00C847E7"/>
    <w:rsid w:val="00C84A8D"/>
    <w:rsid w:val="00C84BF1"/>
    <w:rsid w:val="00C84CA2"/>
    <w:rsid w:val="00C84D4B"/>
    <w:rsid w:val="00C850D5"/>
    <w:rsid w:val="00C856E4"/>
    <w:rsid w:val="00C85759"/>
    <w:rsid w:val="00C85A1D"/>
    <w:rsid w:val="00C85A36"/>
    <w:rsid w:val="00C85AA7"/>
    <w:rsid w:val="00C85CD1"/>
    <w:rsid w:val="00C85E19"/>
    <w:rsid w:val="00C86B49"/>
    <w:rsid w:val="00C86C56"/>
    <w:rsid w:val="00C86C75"/>
    <w:rsid w:val="00C86D9A"/>
    <w:rsid w:val="00C87034"/>
    <w:rsid w:val="00C8714D"/>
    <w:rsid w:val="00C87288"/>
    <w:rsid w:val="00C87419"/>
    <w:rsid w:val="00C875C4"/>
    <w:rsid w:val="00C87602"/>
    <w:rsid w:val="00C8773E"/>
    <w:rsid w:val="00C87838"/>
    <w:rsid w:val="00C87AE4"/>
    <w:rsid w:val="00C87E22"/>
    <w:rsid w:val="00C9037D"/>
    <w:rsid w:val="00C904BD"/>
    <w:rsid w:val="00C90601"/>
    <w:rsid w:val="00C90692"/>
    <w:rsid w:val="00C906AC"/>
    <w:rsid w:val="00C90735"/>
    <w:rsid w:val="00C9092A"/>
    <w:rsid w:val="00C90D16"/>
    <w:rsid w:val="00C90DA4"/>
    <w:rsid w:val="00C90F68"/>
    <w:rsid w:val="00C9116A"/>
    <w:rsid w:val="00C912FE"/>
    <w:rsid w:val="00C9168F"/>
    <w:rsid w:val="00C91D05"/>
    <w:rsid w:val="00C91F73"/>
    <w:rsid w:val="00C9253C"/>
    <w:rsid w:val="00C9265D"/>
    <w:rsid w:val="00C92824"/>
    <w:rsid w:val="00C9286F"/>
    <w:rsid w:val="00C92877"/>
    <w:rsid w:val="00C92A36"/>
    <w:rsid w:val="00C92B10"/>
    <w:rsid w:val="00C92EF7"/>
    <w:rsid w:val="00C93259"/>
    <w:rsid w:val="00C9328F"/>
    <w:rsid w:val="00C93340"/>
    <w:rsid w:val="00C933AD"/>
    <w:rsid w:val="00C933F6"/>
    <w:rsid w:val="00C9351A"/>
    <w:rsid w:val="00C935B8"/>
    <w:rsid w:val="00C9378A"/>
    <w:rsid w:val="00C937BA"/>
    <w:rsid w:val="00C9389B"/>
    <w:rsid w:val="00C93A15"/>
    <w:rsid w:val="00C93C3E"/>
    <w:rsid w:val="00C93EFD"/>
    <w:rsid w:val="00C94277"/>
    <w:rsid w:val="00C94595"/>
    <w:rsid w:val="00C9459C"/>
    <w:rsid w:val="00C94701"/>
    <w:rsid w:val="00C949AB"/>
    <w:rsid w:val="00C949FC"/>
    <w:rsid w:val="00C94A96"/>
    <w:rsid w:val="00C94EFD"/>
    <w:rsid w:val="00C95750"/>
    <w:rsid w:val="00C957F2"/>
    <w:rsid w:val="00C95DAB"/>
    <w:rsid w:val="00C95E7E"/>
    <w:rsid w:val="00C960CF"/>
    <w:rsid w:val="00C9618C"/>
    <w:rsid w:val="00C9619A"/>
    <w:rsid w:val="00C964F5"/>
    <w:rsid w:val="00C96568"/>
    <w:rsid w:val="00C96672"/>
    <w:rsid w:val="00C96678"/>
    <w:rsid w:val="00C9676F"/>
    <w:rsid w:val="00C96772"/>
    <w:rsid w:val="00C9695E"/>
    <w:rsid w:val="00C96964"/>
    <w:rsid w:val="00C96CF8"/>
    <w:rsid w:val="00C96CFA"/>
    <w:rsid w:val="00C96E5A"/>
    <w:rsid w:val="00C96EB5"/>
    <w:rsid w:val="00C970E5"/>
    <w:rsid w:val="00C976D3"/>
    <w:rsid w:val="00C97C65"/>
    <w:rsid w:val="00C97E31"/>
    <w:rsid w:val="00CA0257"/>
    <w:rsid w:val="00CA05BB"/>
    <w:rsid w:val="00CA082F"/>
    <w:rsid w:val="00CA0917"/>
    <w:rsid w:val="00CA09CD"/>
    <w:rsid w:val="00CA0B8A"/>
    <w:rsid w:val="00CA0DC9"/>
    <w:rsid w:val="00CA0EB6"/>
    <w:rsid w:val="00CA102B"/>
    <w:rsid w:val="00CA194B"/>
    <w:rsid w:val="00CA1B76"/>
    <w:rsid w:val="00CA1DCD"/>
    <w:rsid w:val="00CA1E67"/>
    <w:rsid w:val="00CA1EEB"/>
    <w:rsid w:val="00CA20FA"/>
    <w:rsid w:val="00CA2382"/>
    <w:rsid w:val="00CA2785"/>
    <w:rsid w:val="00CA2796"/>
    <w:rsid w:val="00CA279C"/>
    <w:rsid w:val="00CA283D"/>
    <w:rsid w:val="00CA2951"/>
    <w:rsid w:val="00CA29D1"/>
    <w:rsid w:val="00CA2A3D"/>
    <w:rsid w:val="00CA2B9E"/>
    <w:rsid w:val="00CA2C46"/>
    <w:rsid w:val="00CA2CF7"/>
    <w:rsid w:val="00CA2DD6"/>
    <w:rsid w:val="00CA2E6F"/>
    <w:rsid w:val="00CA2ECA"/>
    <w:rsid w:val="00CA2EE9"/>
    <w:rsid w:val="00CA3247"/>
    <w:rsid w:val="00CA32BD"/>
    <w:rsid w:val="00CA35D2"/>
    <w:rsid w:val="00CA36E7"/>
    <w:rsid w:val="00CA3752"/>
    <w:rsid w:val="00CA3999"/>
    <w:rsid w:val="00CA39C0"/>
    <w:rsid w:val="00CA3D2B"/>
    <w:rsid w:val="00CA40DC"/>
    <w:rsid w:val="00CA4780"/>
    <w:rsid w:val="00CA48E9"/>
    <w:rsid w:val="00CA4A9E"/>
    <w:rsid w:val="00CA4E06"/>
    <w:rsid w:val="00CA507D"/>
    <w:rsid w:val="00CA53E6"/>
    <w:rsid w:val="00CA5423"/>
    <w:rsid w:val="00CA54F3"/>
    <w:rsid w:val="00CA54FA"/>
    <w:rsid w:val="00CA5594"/>
    <w:rsid w:val="00CA5661"/>
    <w:rsid w:val="00CA5747"/>
    <w:rsid w:val="00CA577B"/>
    <w:rsid w:val="00CA5AD3"/>
    <w:rsid w:val="00CA62DD"/>
    <w:rsid w:val="00CA63CC"/>
    <w:rsid w:val="00CA655F"/>
    <w:rsid w:val="00CA65D2"/>
    <w:rsid w:val="00CA6614"/>
    <w:rsid w:val="00CA66FB"/>
    <w:rsid w:val="00CA69BA"/>
    <w:rsid w:val="00CA6C56"/>
    <w:rsid w:val="00CA6D6A"/>
    <w:rsid w:val="00CA6EFD"/>
    <w:rsid w:val="00CA7056"/>
    <w:rsid w:val="00CA70C3"/>
    <w:rsid w:val="00CA7221"/>
    <w:rsid w:val="00CA733A"/>
    <w:rsid w:val="00CA757D"/>
    <w:rsid w:val="00CA7760"/>
    <w:rsid w:val="00CA794F"/>
    <w:rsid w:val="00CA7B9B"/>
    <w:rsid w:val="00CA7BCE"/>
    <w:rsid w:val="00CA7C59"/>
    <w:rsid w:val="00CA7D14"/>
    <w:rsid w:val="00CA7DE6"/>
    <w:rsid w:val="00CA7ED4"/>
    <w:rsid w:val="00CB02D4"/>
    <w:rsid w:val="00CB0339"/>
    <w:rsid w:val="00CB0383"/>
    <w:rsid w:val="00CB03BE"/>
    <w:rsid w:val="00CB03EF"/>
    <w:rsid w:val="00CB09B6"/>
    <w:rsid w:val="00CB0EA7"/>
    <w:rsid w:val="00CB110E"/>
    <w:rsid w:val="00CB11F8"/>
    <w:rsid w:val="00CB11FC"/>
    <w:rsid w:val="00CB16F2"/>
    <w:rsid w:val="00CB1911"/>
    <w:rsid w:val="00CB1AE4"/>
    <w:rsid w:val="00CB1B7C"/>
    <w:rsid w:val="00CB1DF4"/>
    <w:rsid w:val="00CB1FF3"/>
    <w:rsid w:val="00CB2111"/>
    <w:rsid w:val="00CB225B"/>
    <w:rsid w:val="00CB244F"/>
    <w:rsid w:val="00CB257A"/>
    <w:rsid w:val="00CB267B"/>
    <w:rsid w:val="00CB2A50"/>
    <w:rsid w:val="00CB2A9C"/>
    <w:rsid w:val="00CB2EF5"/>
    <w:rsid w:val="00CB31B8"/>
    <w:rsid w:val="00CB3328"/>
    <w:rsid w:val="00CB3341"/>
    <w:rsid w:val="00CB33E4"/>
    <w:rsid w:val="00CB3567"/>
    <w:rsid w:val="00CB3D24"/>
    <w:rsid w:val="00CB3EA2"/>
    <w:rsid w:val="00CB406C"/>
    <w:rsid w:val="00CB415F"/>
    <w:rsid w:val="00CB41EE"/>
    <w:rsid w:val="00CB4230"/>
    <w:rsid w:val="00CB42B6"/>
    <w:rsid w:val="00CB431B"/>
    <w:rsid w:val="00CB43BA"/>
    <w:rsid w:val="00CB487A"/>
    <w:rsid w:val="00CB4A77"/>
    <w:rsid w:val="00CB4AE7"/>
    <w:rsid w:val="00CB4EA5"/>
    <w:rsid w:val="00CB5191"/>
    <w:rsid w:val="00CB557F"/>
    <w:rsid w:val="00CB56C9"/>
    <w:rsid w:val="00CB592B"/>
    <w:rsid w:val="00CB5BAC"/>
    <w:rsid w:val="00CB5C5F"/>
    <w:rsid w:val="00CB5E01"/>
    <w:rsid w:val="00CB5EA0"/>
    <w:rsid w:val="00CB600E"/>
    <w:rsid w:val="00CB65B8"/>
    <w:rsid w:val="00CB6930"/>
    <w:rsid w:val="00CB6B05"/>
    <w:rsid w:val="00CB6B09"/>
    <w:rsid w:val="00CB6CDF"/>
    <w:rsid w:val="00CB7264"/>
    <w:rsid w:val="00CB730F"/>
    <w:rsid w:val="00CB737C"/>
    <w:rsid w:val="00CB73C0"/>
    <w:rsid w:val="00CB7586"/>
    <w:rsid w:val="00CB761C"/>
    <w:rsid w:val="00CB76B5"/>
    <w:rsid w:val="00CB77BD"/>
    <w:rsid w:val="00CB7866"/>
    <w:rsid w:val="00CB7AD6"/>
    <w:rsid w:val="00CB7EA3"/>
    <w:rsid w:val="00CB7F60"/>
    <w:rsid w:val="00CC0359"/>
    <w:rsid w:val="00CC0495"/>
    <w:rsid w:val="00CC0611"/>
    <w:rsid w:val="00CC0AA9"/>
    <w:rsid w:val="00CC0B43"/>
    <w:rsid w:val="00CC110F"/>
    <w:rsid w:val="00CC11B8"/>
    <w:rsid w:val="00CC19B7"/>
    <w:rsid w:val="00CC1AF9"/>
    <w:rsid w:val="00CC1C48"/>
    <w:rsid w:val="00CC1DED"/>
    <w:rsid w:val="00CC20E0"/>
    <w:rsid w:val="00CC244B"/>
    <w:rsid w:val="00CC24FF"/>
    <w:rsid w:val="00CC2816"/>
    <w:rsid w:val="00CC2818"/>
    <w:rsid w:val="00CC28DB"/>
    <w:rsid w:val="00CC2B6F"/>
    <w:rsid w:val="00CC2F7A"/>
    <w:rsid w:val="00CC2FCE"/>
    <w:rsid w:val="00CC3150"/>
    <w:rsid w:val="00CC3233"/>
    <w:rsid w:val="00CC3295"/>
    <w:rsid w:val="00CC3634"/>
    <w:rsid w:val="00CC36C9"/>
    <w:rsid w:val="00CC38D3"/>
    <w:rsid w:val="00CC3A70"/>
    <w:rsid w:val="00CC3C6D"/>
    <w:rsid w:val="00CC3D25"/>
    <w:rsid w:val="00CC4033"/>
    <w:rsid w:val="00CC40B8"/>
    <w:rsid w:val="00CC464E"/>
    <w:rsid w:val="00CC46E6"/>
    <w:rsid w:val="00CC490D"/>
    <w:rsid w:val="00CC4DDA"/>
    <w:rsid w:val="00CC5444"/>
    <w:rsid w:val="00CC5631"/>
    <w:rsid w:val="00CC5743"/>
    <w:rsid w:val="00CC58AE"/>
    <w:rsid w:val="00CC5B26"/>
    <w:rsid w:val="00CC5E73"/>
    <w:rsid w:val="00CC60C0"/>
    <w:rsid w:val="00CC60CA"/>
    <w:rsid w:val="00CC60D6"/>
    <w:rsid w:val="00CC62A6"/>
    <w:rsid w:val="00CC6578"/>
    <w:rsid w:val="00CC65A4"/>
    <w:rsid w:val="00CC6684"/>
    <w:rsid w:val="00CC676C"/>
    <w:rsid w:val="00CC6B00"/>
    <w:rsid w:val="00CC6C87"/>
    <w:rsid w:val="00CC77AF"/>
    <w:rsid w:val="00CC7A11"/>
    <w:rsid w:val="00CC7A37"/>
    <w:rsid w:val="00CD0068"/>
    <w:rsid w:val="00CD04A8"/>
    <w:rsid w:val="00CD051B"/>
    <w:rsid w:val="00CD05BA"/>
    <w:rsid w:val="00CD05BB"/>
    <w:rsid w:val="00CD06BC"/>
    <w:rsid w:val="00CD07BC"/>
    <w:rsid w:val="00CD08D0"/>
    <w:rsid w:val="00CD09B9"/>
    <w:rsid w:val="00CD0E73"/>
    <w:rsid w:val="00CD1B90"/>
    <w:rsid w:val="00CD1DB1"/>
    <w:rsid w:val="00CD1F87"/>
    <w:rsid w:val="00CD1FA6"/>
    <w:rsid w:val="00CD22B5"/>
    <w:rsid w:val="00CD22F4"/>
    <w:rsid w:val="00CD251B"/>
    <w:rsid w:val="00CD25E1"/>
    <w:rsid w:val="00CD2634"/>
    <w:rsid w:val="00CD271C"/>
    <w:rsid w:val="00CD2B39"/>
    <w:rsid w:val="00CD2B5B"/>
    <w:rsid w:val="00CD3298"/>
    <w:rsid w:val="00CD34DF"/>
    <w:rsid w:val="00CD35B2"/>
    <w:rsid w:val="00CD35D8"/>
    <w:rsid w:val="00CD364E"/>
    <w:rsid w:val="00CD367C"/>
    <w:rsid w:val="00CD3B6E"/>
    <w:rsid w:val="00CD4063"/>
    <w:rsid w:val="00CD4108"/>
    <w:rsid w:val="00CD42C8"/>
    <w:rsid w:val="00CD454A"/>
    <w:rsid w:val="00CD47DD"/>
    <w:rsid w:val="00CD49D2"/>
    <w:rsid w:val="00CD4F54"/>
    <w:rsid w:val="00CD4FBA"/>
    <w:rsid w:val="00CD4FFE"/>
    <w:rsid w:val="00CD5198"/>
    <w:rsid w:val="00CD5654"/>
    <w:rsid w:val="00CD56C6"/>
    <w:rsid w:val="00CD57FA"/>
    <w:rsid w:val="00CD5A6E"/>
    <w:rsid w:val="00CD5C35"/>
    <w:rsid w:val="00CD5FA7"/>
    <w:rsid w:val="00CD606E"/>
    <w:rsid w:val="00CD616F"/>
    <w:rsid w:val="00CD624A"/>
    <w:rsid w:val="00CD647B"/>
    <w:rsid w:val="00CD64C7"/>
    <w:rsid w:val="00CD67FA"/>
    <w:rsid w:val="00CD6A2D"/>
    <w:rsid w:val="00CD6A33"/>
    <w:rsid w:val="00CD6A92"/>
    <w:rsid w:val="00CD6F49"/>
    <w:rsid w:val="00CD70C1"/>
    <w:rsid w:val="00CD711F"/>
    <w:rsid w:val="00CD71AC"/>
    <w:rsid w:val="00CD72CE"/>
    <w:rsid w:val="00CD7306"/>
    <w:rsid w:val="00CD74A7"/>
    <w:rsid w:val="00CD7748"/>
    <w:rsid w:val="00CD79B2"/>
    <w:rsid w:val="00CD7CE0"/>
    <w:rsid w:val="00CD7DF5"/>
    <w:rsid w:val="00CE012A"/>
    <w:rsid w:val="00CE0296"/>
    <w:rsid w:val="00CE06D3"/>
    <w:rsid w:val="00CE0768"/>
    <w:rsid w:val="00CE1161"/>
    <w:rsid w:val="00CE1191"/>
    <w:rsid w:val="00CE126F"/>
    <w:rsid w:val="00CE14D9"/>
    <w:rsid w:val="00CE14DC"/>
    <w:rsid w:val="00CE157C"/>
    <w:rsid w:val="00CE1602"/>
    <w:rsid w:val="00CE1779"/>
    <w:rsid w:val="00CE1AF6"/>
    <w:rsid w:val="00CE20A8"/>
    <w:rsid w:val="00CE20E7"/>
    <w:rsid w:val="00CE2298"/>
    <w:rsid w:val="00CE23FD"/>
    <w:rsid w:val="00CE25D1"/>
    <w:rsid w:val="00CE3064"/>
    <w:rsid w:val="00CE3241"/>
    <w:rsid w:val="00CE39E4"/>
    <w:rsid w:val="00CE3EEA"/>
    <w:rsid w:val="00CE3FE5"/>
    <w:rsid w:val="00CE40F1"/>
    <w:rsid w:val="00CE4282"/>
    <w:rsid w:val="00CE468B"/>
    <w:rsid w:val="00CE4CD8"/>
    <w:rsid w:val="00CE4DAA"/>
    <w:rsid w:val="00CE50AD"/>
    <w:rsid w:val="00CE5391"/>
    <w:rsid w:val="00CE54E1"/>
    <w:rsid w:val="00CE55B6"/>
    <w:rsid w:val="00CE5856"/>
    <w:rsid w:val="00CE59AC"/>
    <w:rsid w:val="00CE5A87"/>
    <w:rsid w:val="00CE5BDE"/>
    <w:rsid w:val="00CE619C"/>
    <w:rsid w:val="00CE633F"/>
    <w:rsid w:val="00CE69C2"/>
    <w:rsid w:val="00CE69DF"/>
    <w:rsid w:val="00CE6A6D"/>
    <w:rsid w:val="00CE6E81"/>
    <w:rsid w:val="00CE7035"/>
    <w:rsid w:val="00CE7042"/>
    <w:rsid w:val="00CE774C"/>
    <w:rsid w:val="00CE77B3"/>
    <w:rsid w:val="00CE7CE4"/>
    <w:rsid w:val="00CF012E"/>
    <w:rsid w:val="00CF0249"/>
    <w:rsid w:val="00CF035E"/>
    <w:rsid w:val="00CF03A8"/>
    <w:rsid w:val="00CF03BD"/>
    <w:rsid w:val="00CF03CF"/>
    <w:rsid w:val="00CF04D4"/>
    <w:rsid w:val="00CF04E4"/>
    <w:rsid w:val="00CF0560"/>
    <w:rsid w:val="00CF0668"/>
    <w:rsid w:val="00CF07D9"/>
    <w:rsid w:val="00CF07E0"/>
    <w:rsid w:val="00CF085F"/>
    <w:rsid w:val="00CF0A7E"/>
    <w:rsid w:val="00CF0B4C"/>
    <w:rsid w:val="00CF0E25"/>
    <w:rsid w:val="00CF1680"/>
    <w:rsid w:val="00CF1871"/>
    <w:rsid w:val="00CF1A4F"/>
    <w:rsid w:val="00CF1B7F"/>
    <w:rsid w:val="00CF1BD7"/>
    <w:rsid w:val="00CF1C45"/>
    <w:rsid w:val="00CF1CDB"/>
    <w:rsid w:val="00CF1D0D"/>
    <w:rsid w:val="00CF2159"/>
    <w:rsid w:val="00CF21A5"/>
    <w:rsid w:val="00CF23CB"/>
    <w:rsid w:val="00CF2518"/>
    <w:rsid w:val="00CF26AC"/>
    <w:rsid w:val="00CF2B0A"/>
    <w:rsid w:val="00CF2DDE"/>
    <w:rsid w:val="00CF2E51"/>
    <w:rsid w:val="00CF332C"/>
    <w:rsid w:val="00CF3363"/>
    <w:rsid w:val="00CF3399"/>
    <w:rsid w:val="00CF344A"/>
    <w:rsid w:val="00CF34FF"/>
    <w:rsid w:val="00CF356A"/>
    <w:rsid w:val="00CF3584"/>
    <w:rsid w:val="00CF363E"/>
    <w:rsid w:val="00CF3928"/>
    <w:rsid w:val="00CF39A0"/>
    <w:rsid w:val="00CF3D1C"/>
    <w:rsid w:val="00CF3E9A"/>
    <w:rsid w:val="00CF42CA"/>
    <w:rsid w:val="00CF455C"/>
    <w:rsid w:val="00CF4713"/>
    <w:rsid w:val="00CF475D"/>
    <w:rsid w:val="00CF4B12"/>
    <w:rsid w:val="00CF4B56"/>
    <w:rsid w:val="00CF4BF4"/>
    <w:rsid w:val="00CF4D6B"/>
    <w:rsid w:val="00CF4F3E"/>
    <w:rsid w:val="00CF4FE3"/>
    <w:rsid w:val="00CF517B"/>
    <w:rsid w:val="00CF51C9"/>
    <w:rsid w:val="00CF571D"/>
    <w:rsid w:val="00CF58FE"/>
    <w:rsid w:val="00CF5A99"/>
    <w:rsid w:val="00CF5DB1"/>
    <w:rsid w:val="00CF5EBE"/>
    <w:rsid w:val="00CF5F2D"/>
    <w:rsid w:val="00CF61C9"/>
    <w:rsid w:val="00CF66FC"/>
    <w:rsid w:val="00CF6ECD"/>
    <w:rsid w:val="00CF6FE8"/>
    <w:rsid w:val="00CF721D"/>
    <w:rsid w:val="00CF7330"/>
    <w:rsid w:val="00CF740B"/>
    <w:rsid w:val="00CF7452"/>
    <w:rsid w:val="00CF7698"/>
    <w:rsid w:val="00CF783B"/>
    <w:rsid w:val="00CF79A0"/>
    <w:rsid w:val="00CF7A10"/>
    <w:rsid w:val="00CF7D97"/>
    <w:rsid w:val="00CF7EEC"/>
    <w:rsid w:val="00D000B1"/>
    <w:rsid w:val="00D001C2"/>
    <w:rsid w:val="00D00328"/>
    <w:rsid w:val="00D004CF"/>
    <w:rsid w:val="00D005C5"/>
    <w:rsid w:val="00D00706"/>
    <w:rsid w:val="00D00779"/>
    <w:rsid w:val="00D009D8"/>
    <w:rsid w:val="00D00BAE"/>
    <w:rsid w:val="00D00BC8"/>
    <w:rsid w:val="00D01071"/>
    <w:rsid w:val="00D012E1"/>
    <w:rsid w:val="00D01318"/>
    <w:rsid w:val="00D013EC"/>
    <w:rsid w:val="00D01501"/>
    <w:rsid w:val="00D01665"/>
    <w:rsid w:val="00D0170E"/>
    <w:rsid w:val="00D01876"/>
    <w:rsid w:val="00D018DE"/>
    <w:rsid w:val="00D0191C"/>
    <w:rsid w:val="00D01A66"/>
    <w:rsid w:val="00D01D1E"/>
    <w:rsid w:val="00D01EC4"/>
    <w:rsid w:val="00D0218C"/>
    <w:rsid w:val="00D023B9"/>
    <w:rsid w:val="00D02436"/>
    <w:rsid w:val="00D02580"/>
    <w:rsid w:val="00D027F6"/>
    <w:rsid w:val="00D02A49"/>
    <w:rsid w:val="00D02E15"/>
    <w:rsid w:val="00D03100"/>
    <w:rsid w:val="00D0338F"/>
    <w:rsid w:val="00D03BF7"/>
    <w:rsid w:val="00D03C61"/>
    <w:rsid w:val="00D03F1E"/>
    <w:rsid w:val="00D03F3F"/>
    <w:rsid w:val="00D0428E"/>
    <w:rsid w:val="00D04426"/>
    <w:rsid w:val="00D0482F"/>
    <w:rsid w:val="00D04869"/>
    <w:rsid w:val="00D04A33"/>
    <w:rsid w:val="00D04E15"/>
    <w:rsid w:val="00D04EC2"/>
    <w:rsid w:val="00D0508B"/>
    <w:rsid w:val="00D0586D"/>
    <w:rsid w:val="00D05892"/>
    <w:rsid w:val="00D05DC6"/>
    <w:rsid w:val="00D05DE3"/>
    <w:rsid w:val="00D05EAC"/>
    <w:rsid w:val="00D06686"/>
    <w:rsid w:val="00D06824"/>
    <w:rsid w:val="00D06BF2"/>
    <w:rsid w:val="00D06C03"/>
    <w:rsid w:val="00D06C46"/>
    <w:rsid w:val="00D06D1A"/>
    <w:rsid w:val="00D073E8"/>
    <w:rsid w:val="00D078BC"/>
    <w:rsid w:val="00D079A9"/>
    <w:rsid w:val="00D07B8F"/>
    <w:rsid w:val="00D07CCD"/>
    <w:rsid w:val="00D100B5"/>
    <w:rsid w:val="00D1028B"/>
    <w:rsid w:val="00D10316"/>
    <w:rsid w:val="00D1037A"/>
    <w:rsid w:val="00D10BC0"/>
    <w:rsid w:val="00D10D09"/>
    <w:rsid w:val="00D1128D"/>
    <w:rsid w:val="00D1163E"/>
    <w:rsid w:val="00D116AF"/>
    <w:rsid w:val="00D1180C"/>
    <w:rsid w:val="00D11881"/>
    <w:rsid w:val="00D11C6C"/>
    <w:rsid w:val="00D11D61"/>
    <w:rsid w:val="00D11DDD"/>
    <w:rsid w:val="00D11ED6"/>
    <w:rsid w:val="00D12362"/>
    <w:rsid w:val="00D124FB"/>
    <w:rsid w:val="00D129B5"/>
    <w:rsid w:val="00D12A4F"/>
    <w:rsid w:val="00D12A9F"/>
    <w:rsid w:val="00D12ED1"/>
    <w:rsid w:val="00D12F07"/>
    <w:rsid w:val="00D130B7"/>
    <w:rsid w:val="00D134EB"/>
    <w:rsid w:val="00D1365E"/>
    <w:rsid w:val="00D13B39"/>
    <w:rsid w:val="00D13BAC"/>
    <w:rsid w:val="00D13E81"/>
    <w:rsid w:val="00D13EB5"/>
    <w:rsid w:val="00D149D5"/>
    <w:rsid w:val="00D14C15"/>
    <w:rsid w:val="00D14FEA"/>
    <w:rsid w:val="00D15043"/>
    <w:rsid w:val="00D15058"/>
    <w:rsid w:val="00D15448"/>
    <w:rsid w:val="00D15AB9"/>
    <w:rsid w:val="00D15CB3"/>
    <w:rsid w:val="00D15DE7"/>
    <w:rsid w:val="00D15F2E"/>
    <w:rsid w:val="00D15F51"/>
    <w:rsid w:val="00D15FCF"/>
    <w:rsid w:val="00D16083"/>
    <w:rsid w:val="00D163A0"/>
    <w:rsid w:val="00D1692B"/>
    <w:rsid w:val="00D16A6F"/>
    <w:rsid w:val="00D16A93"/>
    <w:rsid w:val="00D16C11"/>
    <w:rsid w:val="00D16ED5"/>
    <w:rsid w:val="00D175C6"/>
    <w:rsid w:val="00D17705"/>
    <w:rsid w:val="00D17D9D"/>
    <w:rsid w:val="00D20282"/>
    <w:rsid w:val="00D202B1"/>
    <w:rsid w:val="00D20543"/>
    <w:rsid w:val="00D20662"/>
    <w:rsid w:val="00D208A9"/>
    <w:rsid w:val="00D20D0C"/>
    <w:rsid w:val="00D20DA0"/>
    <w:rsid w:val="00D21039"/>
    <w:rsid w:val="00D21195"/>
    <w:rsid w:val="00D21291"/>
    <w:rsid w:val="00D21330"/>
    <w:rsid w:val="00D2137A"/>
    <w:rsid w:val="00D213DC"/>
    <w:rsid w:val="00D219F7"/>
    <w:rsid w:val="00D21C8A"/>
    <w:rsid w:val="00D2268E"/>
    <w:rsid w:val="00D228A4"/>
    <w:rsid w:val="00D2297E"/>
    <w:rsid w:val="00D22B2A"/>
    <w:rsid w:val="00D22BB7"/>
    <w:rsid w:val="00D22DE5"/>
    <w:rsid w:val="00D22F8A"/>
    <w:rsid w:val="00D230CD"/>
    <w:rsid w:val="00D230D8"/>
    <w:rsid w:val="00D2320F"/>
    <w:rsid w:val="00D23261"/>
    <w:rsid w:val="00D232C1"/>
    <w:rsid w:val="00D2339A"/>
    <w:rsid w:val="00D233BD"/>
    <w:rsid w:val="00D233D7"/>
    <w:rsid w:val="00D236F6"/>
    <w:rsid w:val="00D23AAF"/>
    <w:rsid w:val="00D23CBB"/>
    <w:rsid w:val="00D23ED8"/>
    <w:rsid w:val="00D23EE9"/>
    <w:rsid w:val="00D23F81"/>
    <w:rsid w:val="00D24054"/>
    <w:rsid w:val="00D242F8"/>
    <w:rsid w:val="00D24A22"/>
    <w:rsid w:val="00D24F80"/>
    <w:rsid w:val="00D2528E"/>
    <w:rsid w:val="00D2535F"/>
    <w:rsid w:val="00D25806"/>
    <w:rsid w:val="00D25B11"/>
    <w:rsid w:val="00D25E9D"/>
    <w:rsid w:val="00D25F1C"/>
    <w:rsid w:val="00D261B1"/>
    <w:rsid w:val="00D26629"/>
    <w:rsid w:val="00D269D8"/>
    <w:rsid w:val="00D26DCB"/>
    <w:rsid w:val="00D26DE6"/>
    <w:rsid w:val="00D26E38"/>
    <w:rsid w:val="00D26EE7"/>
    <w:rsid w:val="00D27363"/>
    <w:rsid w:val="00D274EC"/>
    <w:rsid w:val="00D276AF"/>
    <w:rsid w:val="00D27AF4"/>
    <w:rsid w:val="00D27CFD"/>
    <w:rsid w:val="00D27FDF"/>
    <w:rsid w:val="00D3040D"/>
    <w:rsid w:val="00D304A0"/>
    <w:rsid w:val="00D305EA"/>
    <w:rsid w:val="00D3066F"/>
    <w:rsid w:val="00D30718"/>
    <w:rsid w:val="00D309A3"/>
    <w:rsid w:val="00D30B97"/>
    <w:rsid w:val="00D311E8"/>
    <w:rsid w:val="00D31278"/>
    <w:rsid w:val="00D315C8"/>
    <w:rsid w:val="00D315EC"/>
    <w:rsid w:val="00D31805"/>
    <w:rsid w:val="00D3196D"/>
    <w:rsid w:val="00D31A94"/>
    <w:rsid w:val="00D322FB"/>
    <w:rsid w:val="00D3239C"/>
    <w:rsid w:val="00D32475"/>
    <w:rsid w:val="00D32797"/>
    <w:rsid w:val="00D3284C"/>
    <w:rsid w:val="00D32C8F"/>
    <w:rsid w:val="00D32E75"/>
    <w:rsid w:val="00D32EF4"/>
    <w:rsid w:val="00D3333B"/>
    <w:rsid w:val="00D33406"/>
    <w:rsid w:val="00D3366D"/>
    <w:rsid w:val="00D336C7"/>
    <w:rsid w:val="00D3388D"/>
    <w:rsid w:val="00D338EB"/>
    <w:rsid w:val="00D339A5"/>
    <w:rsid w:val="00D33BB5"/>
    <w:rsid w:val="00D33F81"/>
    <w:rsid w:val="00D340BA"/>
    <w:rsid w:val="00D34301"/>
    <w:rsid w:val="00D34302"/>
    <w:rsid w:val="00D343D0"/>
    <w:rsid w:val="00D34565"/>
    <w:rsid w:val="00D34686"/>
    <w:rsid w:val="00D34850"/>
    <w:rsid w:val="00D3486A"/>
    <w:rsid w:val="00D34AB8"/>
    <w:rsid w:val="00D34AC3"/>
    <w:rsid w:val="00D34C82"/>
    <w:rsid w:val="00D34FFC"/>
    <w:rsid w:val="00D35060"/>
    <w:rsid w:val="00D3519D"/>
    <w:rsid w:val="00D35337"/>
    <w:rsid w:val="00D354FB"/>
    <w:rsid w:val="00D35677"/>
    <w:rsid w:val="00D35BBD"/>
    <w:rsid w:val="00D35C04"/>
    <w:rsid w:val="00D35E23"/>
    <w:rsid w:val="00D36249"/>
    <w:rsid w:val="00D364C9"/>
    <w:rsid w:val="00D36555"/>
    <w:rsid w:val="00D36568"/>
    <w:rsid w:val="00D369D4"/>
    <w:rsid w:val="00D36A4F"/>
    <w:rsid w:val="00D36AD7"/>
    <w:rsid w:val="00D36BE3"/>
    <w:rsid w:val="00D36CD0"/>
    <w:rsid w:val="00D36FCC"/>
    <w:rsid w:val="00D3729B"/>
    <w:rsid w:val="00D373E9"/>
    <w:rsid w:val="00D3757A"/>
    <w:rsid w:val="00D37C61"/>
    <w:rsid w:val="00D37E73"/>
    <w:rsid w:val="00D40134"/>
    <w:rsid w:val="00D401FD"/>
    <w:rsid w:val="00D403FF"/>
    <w:rsid w:val="00D404C4"/>
    <w:rsid w:val="00D40914"/>
    <w:rsid w:val="00D40B5C"/>
    <w:rsid w:val="00D40CE9"/>
    <w:rsid w:val="00D411B3"/>
    <w:rsid w:val="00D411C0"/>
    <w:rsid w:val="00D41529"/>
    <w:rsid w:val="00D416DC"/>
    <w:rsid w:val="00D419D5"/>
    <w:rsid w:val="00D41C75"/>
    <w:rsid w:val="00D41CF8"/>
    <w:rsid w:val="00D42115"/>
    <w:rsid w:val="00D421DA"/>
    <w:rsid w:val="00D4233A"/>
    <w:rsid w:val="00D4253C"/>
    <w:rsid w:val="00D4259C"/>
    <w:rsid w:val="00D428AB"/>
    <w:rsid w:val="00D429A6"/>
    <w:rsid w:val="00D42A04"/>
    <w:rsid w:val="00D42DC9"/>
    <w:rsid w:val="00D42E3B"/>
    <w:rsid w:val="00D42EFD"/>
    <w:rsid w:val="00D42FD6"/>
    <w:rsid w:val="00D43280"/>
    <w:rsid w:val="00D437EA"/>
    <w:rsid w:val="00D443AE"/>
    <w:rsid w:val="00D443DA"/>
    <w:rsid w:val="00D44550"/>
    <w:rsid w:val="00D448E7"/>
    <w:rsid w:val="00D44A8C"/>
    <w:rsid w:val="00D44F84"/>
    <w:rsid w:val="00D451C6"/>
    <w:rsid w:val="00D45692"/>
    <w:rsid w:val="00D457D1"/>
    <w:rsid w:val="00D458AA"/>
    <w:rsid w:val="00D45BED"/>
    <w:rsid w:val="00D45E27"/>
    <w:rsid w:val="00D46260"/>
    <w:rsid w:val="00D462C7"/>
    <w:rsid w:val="00D46338"/>
    <w:rsid w:val="00D46341"/>
    <w:rsid w:val="00D466E1"/>
    <w:rsid w:val="00D469E7"/>
    <w:rsid w:val="00D46BA2"/>
    <w:rsid w:val="00D46F0D"/>
    <w:rsid w:val="00D47234"/>
    <w:rsid w:val="00D4723A"/>
    <w:rsid w:val="00D47281"/>
    <w:rsid w:val="00D47581"/>
    <w:rsid w:val="00D47600"/>
    <w:rsid w:val="00D4767A"/>
    <w:rsid w:val="00D4778A"/>
    <w:rsid w:val="00D47835"/>
    <w:rsid w:val="00D47EA4"/>
    <w:rsid w:val="00D501D4"/>
    <w:rsid w:val="00D50295"/>
    <w:rsid w:val="00D502F0"/>
    <w:rsid w:val="00D5069A"/>
    <w:rsid w:val="00D50782"/>
    <w:rsid w:val="00D50919"/>
    <w:rsid w:val="00D50A7E"/>
    <w:rsid w:val="00D50AFF"/>
    <w:rsid w:val="00D50D65"/>
    <w:rsid w:val="00D50E43"/>
    <w:rsid w:val="00D511CA"/>
    <w:rsid w:val="00D51469"/>
    <w:rsid w:val="00D51E98"/>
    <w:rsid w:val="00D52580"/>
    <w:rsid w:val="00D52700"/>
    <w:rsid w:val="00D5279C"/>
    <w:rsid w:val="00D52B45"/>
    <w:rsid w:val="00D530EB"/>
    <w:rsid w:val="00D53115"/>
    <w:rsid w:val="00D53238"/>
    <w:rsid w:val="00D5327A"/>
    <w:rsid w:val="00D53393"/>
    <w:rsid w:val="00D535B6"/>
    <w:rsid w:val="00D5363E"/>
    <w:rsid w:val="00D53802"/>
    <w:rsid w:val="00D539F6"/>
    <w:rsid w:val="00D53A76"/>
    <w:rsid w:val="00D54170"/>
    <w:rsid w:val="00D54322"/>
    <w:rsid w:val="00D54440"/>
    <w:rsid w:val="00D5452D"/>
    <w:rsid w:val="00D54C6C"/>
    <w:rsid w:val="00D55089"/>
    <w:rsid w:val="00D55235"/>
    <w:rsid w:val="00D55AF0"/>
    <w:rsid w:val="00D55D75"/>
    <w:rsid w:val="00D55D78"/>
    <w:rsid w:val="00D55EAA"/>
    <w:rsid w:val="00D55F10"/>
    <w:rsid w:val="00D562F1"/>
    <w:rsid w:val="00D563A8"/>
    <w:rsid w:val="00D5649A"/>
    <w:rsid w:val="00D56506"/>
    <w:rsid w:val="00D567B8"/>
    <w:rsid w:val="00D57158"/>
    <w:rsid w:val="00D57265"/>
    <w:rsid w:val="00D572B2"/>
    <w:rsid w:val="00D57569"/>
    <w:rsid w:val="00D577D5"/>
    <w:rsid w:val="00D57939"/>
    <w:rsid w:val="00D57B8A"/>
    <w:rsid w:val="00D57DFD"/>
    <w:rsid w:val="00D57F53"/>
    <w:rsid w:val="00D57F6F"/>
    <w:rsid w:val="00D600F9"/>
    <w:rsid w:val="00D6044C"/>
    <w:rsid w:val="00D604B4"/>
    <w:rsid w:val="00D608EE"/>
    <w:rsid w:val="00D609B8"/>
    <w:rsid w:val="00D60CAB"/>
    <w:rsid w:val="00D610FD"/>
    <w:rsid w:val="00D61165"/>
    <w:rsid w:val="00D612AF"/>
    <w:rsid w:val="00D6131C"/>
    <w:rsid w:val="00D613FF"/>
    <w:rsid w:val="00D61455"/>
    <w:rsid w:val="00D6168D"/>
    <w:rsid w:val="00D61811"/>
    <w:rsid w:val="00D6183A"/>
    <w:rsid w:val="00D619F3"/>
    <w:rsid w:val="00D61C1F"/>
    <w:rsid w:val="00D61CEF"/>
    <w:rsid w:val="00D61EE8"/>
    <w:rsid w:val="00D62076"/>
    <w:rsid w:val="00D62537"/>
    <w:rsid w:val="00D6268E"/>
    <w:rsid w:val="00D628DA"/>
    <w:rsid w:val="00D62905"/>
    <w:rsid w:val="00D62A5B"/>
    <w:rsid w:val="00D62B43"/>
    <w:rsid w:val="00D62B52"/>
    <w:rsid w:val="00D62D2E"/>
    <w:rsid w:val="00D62E74"/>
    <w:rsid w:val="00D62ECD"/>
    <w:rsid w:val="00D62F11"/>
    <w:rsid w:val="00D62F7F"/>
    <w:rsid w:val="00D6311E"/>
    <w:rsid w:val="00D63496"/>
    <w:rsid w:val="00D635B6"/>
    <w:rsid w:val="00D636D2"/>
    <w:rsid w:val="00D63748"/>
    <w:rsid w:val="00D6375D"/>
    <w:rsid w:val="00D637BC"/>
    <w:rsid w:val="00D639F0"/>
    <w:rsid w:val="00D63C1B"/>
    <w:rsid w:val="00D63D76"/>
    <w:rsid w:val="00D6442E"/>
    <w:rsid w:val="00D644AE"/>
    <w:rsid w:val="00D6453B"/>
    <w:rsid w:val="00D645D0"/>
    <w:rsid w:val="00D6465C"/>
    <w:rsid w:val="00D64687"/>
    <w:rsid w:val="00D646F5"/>
    <w:rsid w:val="00D647D0"/>
    <w:rsid w:val="00D6486B"/>
    <w:rsid w:val="00D64B07"/>
    <w:rsid w:val="00D64BFF"/>
    <w:rsid w:val="00D64DE1"/>
    <w:rsid w:val="00D64E3F"/>
    <w:rsid w:val="00D64FC1"/>
    <w:rsid w:val="00D65119"/>
    <w:rsid w:val="00D65129"/>
    <w:rsid w:val="00D6520E"/>
    <w:rsid w:val="00D653D0"/>
    <w:rsid w:val="00D65515"/>
    <w:rsid w:val="00D65C15"/>
    <w:rsid w:val="00D65F94"/>
    <w:rsid w:val="00D661D5"/>
    <w:rsid w:val="00D66230"/>
    <w:rsid w:val="00D664D7"/>
    <w:rsid w:val="00D6680D"/>
    <w:rsid w:val="00D6688B"/>
    <w:rsid w:val="00D6692A"/>
    <w:rsid w:val="00D669A6"/>
    <w:rsid w:val="00D66C11"/>
    <w:rsid w:val="00D66C5B"/>
    <w:rsid w:val="00D66E3A"/>
    <w:rsid w:val="00D66E55"/>
    <w:rsid w:val="00D66E93"/>
    <w:rsid w:val="00D672DE"/>
    <w:rsid w:val="00D674E9"/>
    <w:rsid w:val="00D6799A"/>
    <w:rsid w:val="00D67A71"/>
    <w:rsid w:val="00D7009C"/>
    <w:rsid w:val="00D70375"/>
    <w:rsid w:val="00D70559"/>
    <w:rsid w:val="00D70967"/>
    <w:rsid w:val="00D70CCF"/>
    <w:rsid w:val="00D70DAB"/>
    <w:rsid w:val="00D70F17"/>
    <w:rsid w:val="00D712DA"/>
    <w:rsid w:val="00D716C0"/>
    <w:rsid w:val="00D719EF"/>
    <w:rsid w:val="00D71A62"/>
    <w:rsid w:val="00D71B90"/>
    <w:rsid w:val="00D71C39"/>
    <w:rsid w:val="00D71FD7"/>
    <w:rsid w:val="00D72245"/>
    <w:rsid w:val="00D72327"/>
    <w:rsid w:val="00D7265B"/>
    <w:rsid w:val="00D7274C"/>
    <w:rsid w:val="00D727E0"/>
    <w:rsid w:val="00D7290C"/>
    <w:rsid w:val="00D72B87"/>
    <w:rsid w:val="00D72C72"/>
    <w:rsid w:val="00D72DB9"/>
    <w:rsid w:val="00D72EFE"/>
    <w:rsid w:val="00D73247"/>
    <w:rsid w:val="00D7368B"/>
    <w:rsid w:val="00D737FC"/>
    <w:rsid w:val="00D73B85"/>
    <w:rsid w:val="00D74160"/>
    <w:rsid w:val="00D74471"/>
    <w:rsid w:val="00D74C29"/>
    <w:rsid w:val="00D75347"/>
    <w:rsid w:val="00D7550A"/>
    <w:rsid w:val="00D75D22"/>
    <w:rsid w:val="00D75D6F"/>
    <w:rsid w:val="00D75DA5"/>
    <w:rsid w:val="00D7606D"/>
    <w:rsid w:val="00D7619E"/>
    <w:rsid w:val="00D7636F"/>
    <w:rsid w:val="00D765CE"/>
    <w:rsid w:val="00D7676A"/>
    <w:rsid w:val="00D767FF"/>
    <w:rsid w:val="00D76975"/>
    <w:rsid w:val="00D76AD1"/>
    <w:rsid w:val="00D76C58"/>
    <w:rsid w:val="00D76C88"/>
    <w:rsid w:val="00D76CB6"/>
    <w:rsid w:val="00D76CF2"/>
    <w:rsid w:val="00D76E7C"/>
    <w:rsid w:val="00D770EB"/>
    <w:rsid w:val="00D7730C"/>
    <w:rsid w:val="00D774EF"/>
    <w:rsid w:val="00D775D9"/>
    <w:rsid w:val="00D77847"/>
    <w:rsid w:val="00D77B86"/>
    <w:rsid w:val="00D77CDB"/>
    <w:rsid w:val="00D77DD7"/>
    <w:rsid w:val="00D80439"/>
    <w:rsid w:val="00D80B40"/>
    <w:rsid w:val="00D8155B"/>
    <w:rsid w:val="00D815A0"/>
    <w:rsid w:val="00D815D2"/>
    <w:rsid w:val="00D81608"/>
    <w:rsid w:val="00D8166F"/>
    <w:rsid w:val="00D8174C"/>
    <w:rsid w:val="00D81E79"/>
    <w:rsid w:val="00D81F1B"/>
    <w:rsid w:val="00D82073"/>
    <w:rsid w:val="00D825A5"/>
    <w:rsid w:val="00D825B7"/>
    <w:rsid w:val="00D825BF"/>
    <w:rsid w:val="00D825D9"/>
    <w:rsid w:val="00D82878"/>
    <w:rsid w:val="00D828FD"/>
    <w:rsid w:val="00D8290E"/>
    <w:rsid w:val="00D8290F"/>
    <w:rsid w:val="00D82AD1"/>
    <w:rsid w:val="00D82B85"/>
    <w:rsid w:val="00D82E6E"/>
    <w:rsid w:val="00D83040"/>
    <w:rsid w:val="00D83219"/>
    <w:rsid w:val="00D8323B"/>
    <w:rsid w:val="00D83489"/>
    <w:rsid w:val="00D83490"/>
    <w:rsid w:val="00D837FF"/>
    <w:rsid w:val="00D83D13"/>
    <w:rsid w:val="00D83FA3"/>
    <w:rsid w:val="00D84059"/>
    <w:rsid w:val="00D84068"/>
    <w:rsid w:val="00D841AC"/>
    <w:rsid w:val="00D843FB"/>
    <w:rsid w:val="00D84506"/>
    <w:rsid w:val="00D84587"/>
    <w:rsid w:val="00D84E20"/>
    <w:rsid w:val="00D85014"/>
    <w:rsid w:val="00D85262"/>
    <w:rsid w:val="00D853C8"/>
    <w:rsid w:val="00D8540C"/>
    <w:rsid w:val="00D855E9"/>
    <w:rsid w:val="00D857C2"/>
    <w:rsid w:val="00D8589D"/>
    <w:rsid w:val="00D85A38"/>
    <w:rsid w:val="00D85A81"/>
    <w:rsid w:val="00D85CC1"/>
    <w:rsid w:val="00D85F06"/>
    <w:rsid w:val="00D8619A"/>
    <w:rsid w:val="00D86466"/>
    <w:rsid w:val="00D86618"/>
    <w:rsid w:val="00D86685"/>
    <w:rsid w:val="00D867E0"/>
    <w:rsid w:val="00D868BD"/>
    <w:rsid w:val="00D870E8"/>
    <w:rsid w:val="00D871A1"/>
    <w:rsid w:val="00D87423"/>
    <w:rsid w:val="00D87452"/>
    <w:rsid w:val="00D87485"/>
    <w:rsid w:val="00D87827"/>
    <w:rsid w:val="00D8785E"/>
    <w:rsid w:val="00D8796A"/>
    <w:rsid w:val="00D87BA1"/>
    <w:rsid w:val="00D9008D"/>
    <w:rsid w:val="00D901C7"/>
    <w:rsid w:val="00D907CB"/>
    <w:rsid w:val="00D9081B"/>
    <w:rsid w:val="00D90E30"/>
    <w:rsid w:val="00D90F7B"/>
    <w:rsid w:val="00D911B1"/>
    <w:rsid w:val="00D914D8"/>
    <w:rsid w:val="00D915D3"/>
    <w:rsid w:val="00D9177C"/>
    <w:rsid w:val="00D918F2"/>
    <w:rsid w:val="00D91B39"/>
    <w:rsid w:val="00D91BF2"/>
    <w:rsid w:val="00D91FBE"/>
    <w:rsid w:val="00D920DC"/>
    <w:rsid w:val="00D92478"/>
    <w:rsid w:val="00D92A71"/>
    <w:rsid w:val="00D92B28"/>
    <w:rsid w:val="00D92CEE"/>
    <w:rsid w:val="00D92FFC"/>
    <w:rsid w:val="00D93096"/>
    <w:rsid w:val="00D9313E"/>
    <w:rsid w:val="00D93BB8"/>
    <w:rsid w:val="00D93C1C"/>
    <w:rsid w:val="00D94026"/>
    <w:rsid w:val="00D94120"/>
    <w:rsid w:val="00D94393"/>
    <w:rsid w:val="00D94395"/>
    <w:rsid w:val="00D944D6"/>
    <w:rsid w:val="00D9457D"/>
    <w:rsid w:val="00D94621"/>
    <w:rsid w:val="00D94705"/>
    <w:rsid w:val="00D94A1D"/>
    <w:rsid w:val="00D94C06"/>
    <w:rsid w:val="00D94D20"/>
    <w:rsid w:val="00D95185"/>
    <w:rsid w:val="00D951DD"/>
    <w:rsid w:val="00D952ED"/>
    <w:rsid w:val="00D95602"/>
    <w:rsid w:val="00D9578F"/>
    <w:rsid w:val="00D957FA"/>
    <w:rsid w:val="00D9596A"/>
    <w:rsid w:val="00D95FF6"/>
    <w:rsid w:val="00D960C3"/>
    <w:rsid w:val="00D9613F"/>
    <w:rsid w:val="00D96189"/>
    <w:rsid w:val="00D96201"/>
    <w:rsid w:val="00D9664C"/>
    <w:rsid w:val="00D96C43"/>
    <w:rsid w:val="00D96C4C"/>
    <w:rsid w:val="00D97394"/>
    <w:rsid w:val="00D973FB"/>
    <w:rsid w:val="00D97404"/>
    <w:rsid w:val="00D975A3"/>
    <w:rsid w:val="00D979D0"/>
    <w:rsid w:val="00D97BB9"/>
    <w:rsid w:val="00D97D22"/>
    <w:rsid w:val="00DA08CA"/>
    <w:rsid w:val="00DA0D85"/>
    <w:rsid w:val="00DA0F37"/>
    <w:rsid w:val="00DA0FEE"/>
    <w:rsid w:val="00DA101A"/>
    <w:rsid w:val="00DA122C"/>
    <w:rsid w:val="00DA13B2"/>
    <w:rsid w:val="00DA1AC4"/>
    <w:rsid w:val="00DA1AC8"/>
    <w:rsid w:val="00DA1BB5"/>
    <w:rsid w:val="00DA1BB8"/>
    <w:rsid w:val="00DA1C5D"/>
    <w:rsid w:val="00DA1C94"/>
    <w:rsid w:val="00DA1F8B"/>
    <w:rsid w:val="00DA220E"/>
    <w:rsid w:val="00DA226A"/>
    <w:rsid w:val="00DA2FB8"/>
    <w:rsid w:val="00DA2FD5"/>
    <w:rsid w:val="00DA3181"/>
    <w:rsid w:val="00DA328B"/>
    <w:rsid w:val="00DA3339"/>
    <w:rsid w:val="00DA3754"/>
    <w:rsid w:val="00DA3862"/>
    <w:rsid w:val="00DA3A11"/>
    <w:rsid w:val="00DA3B43"/>
    <w:rsid w:val="00DA4306"/>
    <w:rsid w:val="00DA46BB"/>
    <w:rsid w:val="00DA4838"/>
    <w:rsid w:val="00DA48F1"/>
    <w:rsid w:val="00DA4989"/>
    <w:rsid w:val="00DA4EBA"/>
    <w:rsid w:val="00DA4F00"/>
    <w:rsid w:val="00DA518D"/>
    <w:rsid w:val="00DA546C"/>
    <w:rsid w:val="00DA5493"/>
    <w:rsid w:val="00DA5721"/>
    <w:rsid w:val="00DA6173"/>
    <w:rsid w:val="00DA6335"/>
    <w:rsid w:val="00DA6761"/>
    <w:rsid w:val="00DA679C"/>
    <w:rsid w:val="00DA690E"/>
    <w:rsid w:val="00DA6A47"/>
    <w:rsid w:val="00DA6CBF"/>
    <w:rsid w:val="00DA6F20"/>
    <w:rsid w:val="00DA708B"/>
    <w:rsid w:val="00DA7183"/>
    <w:rsid w:val="00DA7477"/>
    <w:rsid w:val="00DA74F2"/>
    <w:rsid w:val="00DA7573"/>
    <w:rsid w:val="00DA7BD4"/>
    <w:rsid w:val="00DB00C2"/>
    <w:rsid w:val="00DB0183"/>
    <w:rsid w:val="00DB0191"/>
    <w:rsid w:val="00DB019D"/>
    <w:rsid w:val="00DB031E"/>
    <w:rsid w:val="00DB0359"/>
    <w:rsid w:val="00DB0697"/>
    <w:rsid w:val="00DB0B65"/>
    <w:rsid w:val="00DB0CB6"/>
    <w:rsid w:val="00DB0D4E"/>
    <w:rsid w:val="00DB0EF6"/>
    <w:rsid w:val="00DB0F8A"/>
    <w:rsid w:val="00DB1306"/>
    <w:rsid w:val="00DB1423"/>
    <w:rsid w:val="00DB1CB1"/>
    <w:rsid w:val="00DB1F29"/>
    <w:rsid w:val="00DB20EB"/>
    <w:rsid w:val="00DB232E"/>
    <w:rsid w:val="00DB262F"/>
    <w:rsid w:val="00DB26A6"/>
    <w:rsid w:val="00DB26A8"/>
    <w:rsid w:val="00DB27CF"/>
    <w:rsid w:val="00DB27F1"/>
    <w:rsid w:val="00DB2EB2"/>
    <w:rsid w:val="00DB324C"/>
    <w:rsid w:val="00DB33AC"/>
    <w:rsid w:val="00DB3753"/>
    <w:rsid w:val="00DB383D"/>
    <w:rsid w:val="00DB389D"/>
    <w:rsid w:val="00DB3BD2"/>
    <w:rsid w:val="00DB3EFB"/>
    <w:rsid w:val="00DB3FD3"/>
    <w:rsid w:val="00DB4555"/>
    <w:rsid w:val="00DB4A7A"/>
    <w:rsid w:val="00DB5164"/>
    <w:rsid w:val="00DB5335"/>
    <w:rsid w:val="00DB53B1"/>
    <w:rsid w:val="00DB5464"/>
    <w:rsid w:val="00DB5480"/>
    <w:rsid w:val="00DB54EF"/>
    <w:rsid w:val="00DB5867"/>
    <w:rsid w:val="00DB58C7"/>
    <w:rsid w:val="00DB5967"/>
    <w:rsid w:val="00DB5968"/>
    <w:rsid w:val="00DB5BCF"/>
    <w:rsid w:val="00DB5CCC"/>
    <w:rsid w:val="00DB5E9C"/>
    <w:rsid w:val="00DB5F0A"/>
    <w:rsid w:val="00DB5F2A"/>
    <w:rsid w:val="00DB640A"/>
    <w:rsid w:val="00DB6594"/>
    <w:rsid w:val="00DB6F45"/>
    <w:rsid w:val="00DB6F63"/>
    <w:rsid w:val="00DB6FB4"/>
    <w:rsid w:val="00DB71D1"/>
    <w:rsid w:val="00DB72B7"/>
    <w:rsid w:val="00DB7546"/>
    <w:rsid w:val="00DB7CAB"/>
    <w:rsid w:val="00DB7F15"/>
    <w:rsid w:val="00DC011F"/>
    <w:rsid w:val="00DC0624"/>
    <w:rsid w:val="00DC0A6D"/>
    <w:rsid w:val="00DC0D69"/>
    <w:rsid w:val="00DC0FC3"/>
    <w:rsid w:val="00DC1038"/>
    <w:rsid w:val="00DC1249"/>
    <w:rsid w:val="00DC1382"/>
    <w:rsid w:val="00DC14CA"/>
    <w:rsid w:val="00DC15CC"/>
    <w:rsid w:val="00DC1A58"/>
    <w:rsid w:val="00DC1AC0"/>
    <w:rsid w:val="00DC1B84"/>
    <w:rsid w:val="00DC1CDD"/>
    <w:rsid w:val="00DC1D8E"/>
    <w:rsid w:val="00DC2005"/>
    <w:rsid w:val="00DC20C3"/>
    <w:rsid w:val="00DC218B"/>
    <w:rsid w:val="00DC227A"/>
    <w:rsid w:val="00DC2360"/>
    <w:rsid w:val="00DC2621"/>
    <w:rsid w:val="00DC26E4"/>
    <w:rsid w:val="00DC275D"/>
    <w:rsid w:val="00DC2806"/>
    <w:rsid w:val="00DC2B0E"/>
    <w:rsid w:val="00DC2BAE"/>
    <w:rsid w:val="00DC2CEE"/>
    <w:rsid w:val="00DC2FC8"/>
    <w:rsid w:val="00DC3257"/>
    <w:rsid w:val="00DC3279"/>
    <w:rsid w:val="00DC34D3"/>
    <w:rsid w:val="00DC396C"/>
    <w:rsid w:val="00DC3BF1"/>
    <w:rsid w:val="00DC3D64"/>
    <w:rsid w:val="00DC42B7"/>
    <w:rsid w:val="00DC4D1D"/>
    <w:rsid w:val="00DC4D87"/>
    <w:rsid w:val="00DC4F06"/>
    <w:rsid w:val="00DC4F3F"/>
    <w:rsid w:val="00DC4FC1"/>
    <w:rsid w:val="00DC51E3"/>
    <w:rsid w:val="00DC532C"/>
    <w:rsid w:val="00DC54EB"/>
    <w:rsid w:val="00DC564D"/>
    <w:rsid w:val="00DC580A"/>
    <w:rsid w:val="00DC58FF"/>
    <w:rsid w:val="00DC59B7"/>
    <w:rsid w:val="00DC5B50"/>
    <w:rsid w:val="00DC5D49"/>
    <w:rsid w:val="00DC5E3B"/>
    <w:rsid w:val="00DC6124"/>
    <w:rsid w:val="00DC6146"/>
    <w:rsid w:val="00DC619F"/>
    <w:rsid w:val="00DC6241"/>
    <w:rsid w:val="00DC62D4"/>
    <w:rsid w:val="00DC6360"/>
    <w:rsid w:val="00DC6679"/>
    <w:rsid w:val="00DC66BC"/>
    <w:rsid w:val="00DC66D9"/>
    <w:rsid w:val="00DC69D4"/>
    <w:rsid w:val="00DC6F19"/>
    <w:rsid w:val="00DC6FE8"/>
    <w:rsid w:val="00DC727F"/>
    <w:rsid w:val="00DC7398"/>
    <w:rsid w:val="00DC7B55"/>
    <w:rsid w:val="00DC7CD3"/>
    <w:rsid w:val="00DC7E78"/>
    <w:rsid w:val="00DCE289"/>
    <w:rsid w:val="00DD0057"/>
    <w:rsid w:val="00DD02D0"/>
    <w:rsid w:val="00DD0493"/>
    <w:rsid w:val="00DD05DD"/>
    <w:rsid w:val="00DD0924"/>
    <w:rsid w:val="00DD0BFF"/>
    <w:rsid w:val="00DD0CBF"/>
    <w:rsid w:val="00DD0D0E"/>
    <w:rsid w:val="00DD0D1C"/>
    <w:rsid w:val="00DD0E0C"/>
    <w:rsid w:val="00DD0E66"/>
    <w:rsid w:val="00DD0FE2"/>
    <w:rsid w:val="00DD1071"/>
    <w:rsid w:val="00DD12FD"/>
    <w:rsid w:val="00DD13D2"/>
    <w:rsid w:val="00DD1576"/>
    <w:rsid w:val="00DD1898"/>
    <w:rsid w:val="00DD1D9B"/>
    <w:rsid w:val="00DD21E0"/>
    <w:rsid w:val="00DD24DB"/>
    <w:rsid w:val="00DD2676"/>
    <w:rsid w:val="00DD2893"/>
    <w:rsid w:val="00DD2A92"/>
    <w:rsid w:val="00DD2B5A"/>
    <w:rsid w:val="00DD2F7C"/>
    <w:rsid w:val="00DD30A5"/>
    <w:rsid w:val="00DD3263"/>
    <w:rsid w:val="00DD32A4"/>
    <w:rsid w:val="00DD347C"/>
    <w:rsid w:val="00DD349F"/>
    <w:rsid w:val="00DD34A5"/>
    <w:rsid w:val="00DD38DD"/>
    <w:rsid w:val="00DD3B8D"/>
    <w:rsid w:val="00DD3E39"/>
    <w:rsid w:val="00DD3EC3"/>
    <w:rsid w:val="00DD4025"/>
    <w:rsid w:val="00DD407C"/>
    <w:rsid w:val="00DD4717"/>
    <w:rsid w:val="00DD494A"/>
    <w:rsid w:val="00DD4E1E"/>
    <w:rsid w:val="00DD4F74"/>
    <w:rsid w:val="00DD500E"/>
    <w:rsid w:val="00DD531F"/>
    <w:rsid w:val="00DD5393"/>
    <w:rsid w:val="00DD556C"/>
    <w:rsid w:val="00DD56B3"/>
    <w:rsid w:val="00DD5737"/>
    <w:rsid w:val="00DD57C0"/>
    <w:rsid w:val="00DD5E81"/>
    <w:rsid w:val="00DD6397"/>
    <w:rsid w:val="00DD64D4"/>
    <w:rsid w:val="00DD6A52"/>
    <w:rsid w:val="00DD6C46"/>
    <w:rsid w:val="00DD6C7A"/>
    <w:rsid w:val="00DD6DEF"/>
    <w:rsid w:val="00DD6F14"/>
    <w:rsid w:val="00DD6F44"/>
    <w:rsid w:val="00DD7195"/>
    <w:rsid w:val="00DD78D0"/>
    <w:rsid w:val="00DD790E"/>
    <w:rsid w:val="00DD7BD6"/>
    <w:rsid w:val="00DD7C25"/>
    <w:rsid w:val="00DD7CCA"/>
    <w:rsid w:val="00DE0740"/>
    <w:rsid w:val="00DE07E5"/>
    <w:rsid w:val="00DE0BDE"/>
    <w:rsid w:val="00DE10CF"/>
    <w:rsid w:val="00DE1128"/>
    <w:rsid w:val="00DE1182"/>
    <w:rsid w:val="00DE1270"/>
    <w:rsid w:val="00DE12A2"/>
    <w:rsid w:val="00DE1E1E"/>
    <w:rsid w:val="00DE1F55"/>
    <w:rsid w:val="00DE1F61"/>
    <w:rsid w:val="00DE223E"/>
    <w:rsid w:val="00DE2570"/>
    <w:rsid w:val="00DE2A4C"/>
    <w:rsid w:val="00DE2AAC"/>
    <w:rsid w:val="00DE2BB6"/>
    <w:rsid w:val="00DE2D33"/>
    <w:rsid w:val="00DE34EB"/>
    <w:rsid w:val="00DE3550"/>
    <w:rsid w:val="00DE3592"/>
    <w:rsid w:val="00DE37D2"/>
    <w:rsid w:val="00DE3B76"/>
    <w:rsid w:val="00DE3C5C"/>
    <w:rsid w:val="00DE3CC1"/>
    <w:rsid w:val="00DE3D00"/>
    <w:rsid w:val="00DE3E2D"/>
    <w:rsid w:val="00DE3E78"/>
    <w:rsid w:val="00DE41F8"/>
    <w:rsid w:val="00DE42C0"/>
    <w:rsid w:val="00DE4319"/>
    <w:rsid w:val="00DE4B9D"/>
    <w:rsid w:val="00DE4BED"/>
    <w:rsid w:val="00DE4C78"/>
    <w:rsid w:val="00DE5085"/>
    <w:rsid w:val="00DE50EA"/>
    <w:rsid w:val="00DE529E"/>
    <w:rsid w:val="00DE545C"/>
    <w:rsid w:val="00DE5A1F"/>
    <w:rsid w:val="00DE5A28"/>
    <w:rsid w:val="00DE5AD6"/>
    <w:rsid w:val="00DE5C88"/>
    <w:rsid w:val="00DE5C9F"/>
    <w:rsid w:val="00DE5F58"/>
    <w:rsid w:val="00DE6137"/>
    <w:rsid w:val="00DE61AB"/>
    <w:rsid w:val="00DE63DA"/>
    <w:rsid w:val="00DE65DF"/>
    <w:rsid w:val="00DE67EE"/>
    <w:rsid w:val="00DE6CFD"/>
    <w:rsid w:val="00DE7166"/>
    <w:rsid w:val="00DE71FC"/>
    <w:rsid w:val="00DE734E"/>
    <w:rsid w:val="00DE7887"/>
    <w:rsid w:val="00DE7A4E"/>
    <w:rsid w:val="00DE7B39"/>
    <w:rsid w:val="00DE7BF8"/>
    <w:rsid w:val="00DE7DCE"/>
    <w:rsid w:val="00DE7F11"/>
    <w:rsid w:val="00DE7FE4"/>
    <w:rsid w:val="00DF0262"/>
    <w:rsid w:val="00DF0CA3"/>
    <w:rsid w:val="00DF0D3C"/>
    <w:rsid w:val="00DF0D77"/>
    <w:rsid w:val="00DF0DC3"/>
    <w:rsid w:val="00DF0E1B"/>
    <w:rsid w:val="00DF1402"/>
    <w:rsid w:val="00DF14A4"/>
    <w:rsid w:val="00DF14F9"/>
    <w:rsid w:val="00DF15C8"/>
    <w:rsid w:val="00DF163D"/>
    <w:rsid w:val="00DF16BB"/>
    <w:rsid w:val="00DF16EF"/>
    <w:rsid w:val="00DF1938"/>
    <w:rsid w:val="00DF1951"/>
    <w:rsid w:val="00DF1C2D"/>
    <w:rsid w:val="00DF1F97"/>
    <w:rsid w:val="00DF1FAE"/>
    <w:rsid w:val="00DF2AD9"/>
    <w:rsid w:val="00DF2E82"/>
    <w:rsid w:val="00DF2FC6"/>
    <w:rsid w:val="00DF3026"/>
    <w:rsid w:val="00DF3091"/>
    <w:rsid w:val="00DF30D5"/>
    <w:rsid w:val="00DF3245"/>
    <w:rsid w:val="00DF345D"/>
    <w:rsid w:val="00DF357B"/>
    <w:rsid w:val="00DF37D4"/>
    <w:rsid w:val="00DF38A2"/>
    <w:rsid w:val="00DF3A04"/>
    <w:rsid w:val="00DF3B40"/>
    <w:rsid w:val="00DF3E68"/>
    <w:rsid w:val="00DF4685"/>
    <w:rsid w:val="00DF4809"/>
    <w:rsid w:val="00DF49ED"/>
    <w:rsid w:val="00DF4B5B"/>
    <w:rsid w:val="00DF4DF9"/>
    <w:rsid w:val="00DF5099"/>
    <w:rsid w:val="00DF53AA"/>
    <w:rsid w:val="00DF54D0"/>
    <w:rsid w:val="00DF55E2"/>
    <w:rsid w:val="00DF580C"/>
    <w:rsid w:val="00DF5AD6"/>
    <w:rsid w:val="00DF5C1A"/>
    <w:rsid w:val="00DF5C38"/>
    <w:rsid w:val="00DF5E37"/>
    <w:rsid w:val="00DF5E7A"/>
    <w:rsid w:val="00DF6334"/>
    <w:rsid w:val="00DF65DF"/>
    <w:rsid w:val="00DF68A7"/>
    <w:rsid w:val="00DF6A86"/>
    <w:rsid w:val="00DF6BCB"/>
    <w:rsid w:val="00DF6D45"/>
    <w:rsid w:val="00DF6D65"/>
    <w:rsid w:val="00DF7042"/>
    <w:rsid w:val="00DF7205"/>
    <w:rsid w:val="00DF72BD"/>
    <w:rsid w:val="00DF72C7"/>
    <w:rsid w:val="00DF7511"/>
    <w:rsid w:val="00DF78FD"/>
    <w:rsid w:val="00DF7D04"/>
    <w:rsid w:val="00DF7EFE"/>
    <w:rsid w:val="00E004F0"/>
    <w:rsid w:val="00E004FF"/>
    <w:rsid w:val="00E006C4"/>
    <w:rsid w:val="00E008FC"/>
    <w:rsid w:val="00E00DF8"/>
    <w:rsid w:val="00E00E11"/>
    <w:rsid w:val="00E00E15"/>
    <w:rsid w:val="00E00F63"/>
    <w:rsid w:val="00E01210"/>
    <w:rsid w:val="00E015FD"/>
    <w:rsid w:val="00E01BC9"/>
    <w:rsid w:val="00E01D50"/>
    <w:rsid w:val="00E0256D"/>
    <w:rsid w:val="00E02664"/>
    <w:rsid w:val="00E02748"/>
    <w:rsid w:val="00E0280F"/>
    <w:rsid w:val="00E02B5D"/>
    <w:rsid w:val="00E02C4D"/>
    <w:rsid w:val="00E02CE6"/>
    <w:rsid w:val="00E02E7B"/>
    <w:rsid w:val="00E030D5"/>
    <w:rsid w:val="00E031A5"/>
    <w:rsid w:val="00E033B1"/>
    <w:rsid w:val="00E0341B"/>
    <w:rsid w:val="00E0348F"/>
    <w:rsid w:val="00E035A6"/>
    <w:rsid w:val="00E038F5"/>
    <w:rsid w:val="00E03D67"/>
    <w:rsid w:val="00E03DCC"/>
    <w:rsid w:val="00E040F5"/>
    <w:rsid w:val="00E0413A"/>
    <w:rsid w:val="00E04226"/>
    <w:rsid w:val="00E0423B"/>
    <w:rsid w:val="00E04510"/>
    <w:rsid w:val="00E04784"/>
    <w:rsid w:val="00E04888"/>
    <w:rsid w:val="00E04FE1"/>
    <w:rsid w:val="00E05569"/>
    <w:rsid w:val="00E0565C"/>
    <w:rsid w:val="00E056CA"/>
    <w:rsid w:val="00E05905"/>
    <w:rsid w:val="00E05938"/>
    <w:rsid w:val="00E05A6C"/>
    <w:rsid w:val="00E05CE8"/>
    <w:rsid w:val="00E05EB4"/>
    <w:rsid w:val="00E05EEB"/>
    <w:rsid w:val="00E05F4A"/>
    <w:rsid w:val="00E05F59"/>
    <w:rsid w:val="00E064CA"/>
    <w:rsid w:val="00E0655D"/>
    <w:rsid w:val="00E06776"/>
    <w:rsid w:val="00E070DA"/>
    <w:rsid w:val="00E0760E"/>
    <w:rsid w:val="00E07805"/>
    <w:rsid w:val="00E078CD"/>
    <w:rsid w:val="00E079B7"/>
    <w:rsid w:val="00E07DB3"/>
    <w:rsid w:val="00E07E9D"/>
    <w:rsid w:val="00E07FB7"/>
    <w:rsid w:val="00E1024A"/>
    <w:rsid w:val="00E103C2"/>
    <w:rsid w:val="00E104CB"/>
    <w:rsid w:val="00E10769"/>
    <w:rsid w:val="00E10808"/>
    <w:rsid w:val="00E10A14"/>
    <w:rsid w:val="00E10B17"/>
    <w:rsid w:val="00E10B26"/>
    <w:rsid w:val="00E10B67"/>
    <w:rsid w:val="00E11716"/>
    <w:rsid w:val="00E11B6F"/>
    <w:rsid w:val="00E11BF6"/>
    <w:rsid w:val="00E11C2C"/>
    <w:rsid w:val="00E122D5"/>
    <w:rsid w:val="00E1232F"/>
    <w:rsid w:val="00E125A7"/>
    <w:rsid w:val="00E1270D"/>
    <w:rsid w:val="00E12742"/>
    <w:rsid w:val="00E12AB9"/>
    <w:rsid w:val="00E12B67"/>
    <w:rsid w:val="00E12D34"/>
    <w:rsid w:val="00E12E2E"/>
    <w:rsid w:val="00E12E3D"/>
    <w:rsid w:val="00E12F7A"/>
    <w:rsid w:val="00E13059"/>
    <w:rsid w:val="00E13147"/>
    <w:rsid w:val="00E135B0"/>
    <w:rsid w:val="00E135B6"/>
    <w:rsid w:val="00E137D1"/>
    <w:rsid w:val="00E13C06"/>
    <w:rsid w:val="00E13CD7"/>
    <w:rsid w:val="00E13DD5"/>
    <w:rsid w:val="00E14180"/>
    <w:rsid w:val="00E141CC"/>
    <w:rsid w:val="00E141D3"/>
    <w:rsid w:val="00E14342"/>
    <w:rsid w:val="00E145B2"/>
    <w:rsid w:val="00E14941"/>
    <w:rsid w:val="00E14998"/>
    <w:rsid w:val="00E14C1B"/>
    <w:rsid w:val="00E14C88"/>
    <w:rsid w:val="00E14F13"/>
    <w:rsid w:val="00E1526B"/>
    <w:rsid w:val="00E1529D"/>
    <w:rsid w:val="00E1534B"/>
    <w:rsid w:val="00E153CD"/>
    <w:rsid w:val="00E15408"/>
    <w:rsid w:val="00E15703"/>
    <w:rsid w:val="00E15743"/>
    <w:rsid w:val="00E158BF"/>
    <w:rsid w:val="00E15918"/>
    <w:rsid w:val="00E15AB4"/>
    <w:rsid w:val="00E15C52"/>
    <w:rsid w:val="00E15E7B"/>
    <w:rsid w:val="00E15EDA"/>
    <w:rsid w:val="00E15F0B"/>
    <w:rsid w:val="00E15FC2"/>
    <w:rsid w:val="00E160E8"/>
    <w:rsid w:val="00E16199"/>
    <w:rsid w:val="00E161AF"/>
    <w:rsid w:val="00E161E7"/>
    <w:rsid w:val="00E16311"/>
    <w:rsid w:val="00E16B70"/>
    <w:rsid w:val="00E1702C"/>
    <w:rsid w:val="00E1714E"/>
    <w:rsid w:val="00E17319"/>
    <w:rsid w:val="00E17507"/>
    <w:rsid w:val="00E1750F"/>
    <w:rsid w:val="00E17533"/>
    <w:rsid w:val="00E179F3"/>
    <w:rsid w:val="00E17AE6"/>
    <w:rsid w:val="00E17B0E"/>
    <w:rsid w:val="00E203D7"/>
    <w:rsid w:val="00E20666"/>
    <w:rsid w:val="00E206F0"/>
    <w:rsid w:val="00E20736"/>
    <w:rsid w:val="00E20896"/>
    <w:rsid w:val="00E20CC5"/>
    <w:rsid w:val="00E2105B"/>
    <w:rsid w:val="00E21526"/>
    <w:rsid w:val="00E21755"/>
    <w:rsid w:val="00E21A38"/>
    <w:rsid w:val="00E21ACA"/>
    <w:rsid w:val="00E21C3C"/>
    <w:rsid w:val="00E21F8B"/>
    <w:rsid w:val="00E221E1"/>
    <w:rsid w:val="00E22327"/>
    <w:rsid w:val="00E22417"/>
    <w:rsid w:val="00E228A6"/>
    <w:rsid w:val="00E22904"/>
    <w:rsid w:val="00E22A0E"/>
    <w:rsid w:val="00E22A26"/>
    <w:rsid w:val="00E22B80"/>
    <w:rsid w:val="00E22BA7"/>
    <w:rsid w:val="00E22C0E"/>
    <w:rsid w:val="00E22CFF"/>
    <w:rsid w:val="00E231CD"/>
    <w:rsid w:val="00E231E1"/>
    <w:rsid w:val="00E23295"/>
    <w:rsid w:val="00E23651"/>
    <w:rsid w:val="00E23888"/>
    <w:rsid w:val="00E238B5"/>
    <w:rsid w:val="00E23B4C"/>
    <w:rsid w:val="00E23B9C"/>
    <w:rsid w:val="00E23CE3"/>
    <w:rsid w:val="00E23CF7"/>
    <w:rsid w:val="00E23E76"/>
    <w:rsid w:val="00E2410C"/>
    <w:rsid w:val="00E24520"/>
    <w:rsid w:val="00E2459B"/>
    <w:rsid w:val="00E2484E"/>
    <w:rsid w:val="00E249DB"/>
    <w:rsid w:val="00E24D66"/>
    <w:rsid w:val="00E25029"/>
    <w:rsid w:val="00E253A3"/>
    <w:rsid w:val="00E25402"/>
    <w:rsid w:val="00E257AB"/>
    <w:rsid w:val="00E259B0"/>
    <w:rsid w:val="00E25AF8"/>
    <w:rsid w:val="00E25C4E"/>
    <w:rsid w:val="00E261E0"/>
    <w:rsid w:val="00E26368"/>
    <w:rsid w:val="00E263DD"/>
    <w:rsid w:val="00E2660C"/>
    <w:rsid w:val="00E26AEC"/>
    <w:rsid w:val="00E26CFB"/>
    <w:rsid w:val="00E270C9"/>
    <w:rsid w:val="00E2757B"/>
    <w:rsid w:val="00E2792D"/>
    <w:rsid w:val="00E27A32"/>
    <w:rsid w:val="00E27DCD"/>
    <w:rsid w:val="00E30045"/>
    <w:rsid w:val="00E302A5"/>
    <w:rsid w:val="00E3038E"/>
    <w:rsid w:val="00E30828"/>
    <w:rsid w:val="00E30B37"/>
    <w:rsid w:val="00E3109C"/>
    <w:rsid w:val="00E311D1"/>
    <w:rsid w:val="00E31219"/>
    <w:rsid w:val="00E31235"/>
    <w:rsid w:val="00E316B4"/>
    <w:rsid w:val="00E31846"/>
    <w:rsid w:val="00E31C2D"/>
    <w:rsid w:val="00E31D33"/>
    <w:rsid w:val="00E31DE8"/>
    <w:rsid w:val="00E31F04"/>
    <w:rsid w:val="00E3231A"/>
    <w:rsid w:val="00E32330"/>
    <w:rsid w:val="00E32432"/>
    <w:rsid w:val="00E32DF7"/>
    <w:rsid w:val="00E32E89"/>
    <w:rsid w:val="00E332C5"/>
    <w:rsid w:val="00E3356B"/>
    <w:rsid w:val="00E33633"/>
    <w:rsid w:val="00E3370F"/>
    <w:rsid w:val="00E33A7D"/>
    <w:rsid w:val="00E33AE3"/>
    <w:rsid w:val="00E33B1E"/>
    <w:rsid w:val="00E33B69"/>
    <w:rsid w:val="00E34277"/>
    <w:rsid w:val="00E3498E"/>
    <w:rsid w:val="00E35104"/>
    <w:rsid w:val="00E35194"/>
    <w:rsid w:val="00E352A9"/>
    <w:rsid w:val="00E35371"/>
    <w:rsid w:val="00E354CA"/>
    <w:rsid w:val="00E358AA"/>
    <w:rsid w:val="00E35CB3"/>
    <w:rsid w:val="00E35D91"/>
    <w:rsid w:val="00E35E25"/>
    <w:rsid w:val="00E35EF3"/>
    <w:rsid w:val="00E3604C"/>
    <w:rsid w:val="00E360C9"/>
    <w:rsid w:val="00E361AF"/>
    <w:rsid w:val="00E3621B"/>
    <w:rsid w:val="00E362B7"/>
    <w:rsid w:val="00E36718"/>
    <w:rsid w:val="00E36854"/>
    <w:rsid w:val="00E36932"/>
    <w:rsid w:val="00E36A89"/>
    <w:rsid w:val="00E36C7B"/>
    <w:rsid w:val="00E36CA9"/>
    <w:rsid w:val="00E36E3F"/>
    <w:rsid w:val="00E36F43"/>
    <w:rsid w:val="00E37092"/>
    <w:rsid w:val="00E3723F"/>
    <w:rsid w:val="00E3744D"/>
    <w:rsid w:val="00E374AF"/>
    <w:rsid w:val="00E375B2"/>
    <w:rsid w:val="00E376C3"/>
    <w:rsid w:val="00E377C7"/>
    <w:rsid w:val="00E378B1"/>
    <w:rsid w:val="00E37AD3"/>
    <w:rsid w:val="00E37F0C"/>
    <w:rsid w:val="00E40147"/>
    <w:rsid w:val="00E40237"/>
    <w:rsid w:val="00E402A9"/>
    <w:rsid w:val="00E4044E"/>
    <w:rsid w:val="00E40487"/>
    <w:rsid w:val="00E40764"/>
    <w:rsid w:val="00E40771"/>
    <w:rsid w:val="00E40ADF"/>
    <w:rsid w:val="00E4151C"/>
    <w:rsid w:val="00E41611"/>
    <w:rsid w:val="00E416A5"/>
    <w:rsid w:val="00E418E3"/>
    <w:rsid w:val="00E41B81"/>
    <w:rsid w:val="00E41FC9"/>
    <w:rsid w:val="00E421F3"/>
    <w:rsid w:val="00E42279"/>
    <w:rsid w:val="00E423DE"/>
    <w:rsid w:val="00E424AB"/>
    <w:rsid w:val="00E4261E"/>
    <w:rsid w:val="00E42951"/>
    <w:rsid w:val="00E42AD4"/>
    <w:rsid w:val="00E42DF8"/>
    <w:rsid w:val="00E42F07"/>
    <w:rsid w:val="00E42F64"/>
    <w:rsid w:val="00E433ED"/>
    <w:rsid w:val="00E4370F"/>
    <w:rsid w:val="00E43A59"/>
    <w:rsid w:val="00E43D2C"/>
    <w:rsid w:val="00E43F00"/>
    <w:rsid w:val="00E440F6"/>
    <w:rsid w:val="00E44206"/>
    <w:rsid w:val="00E4441D"/>
    <w:rsid w:val="00E44611"/>
    <w:rsid w:val="00E4471B"/>
    <w:rsid w:val="00E44932"/>
    <w:rsid w:val="00E44E24"/>
    <w:rsid w:val="00E45056"/>
    <w:rsid w:val="00E453AB"/>
    <w:rsid w:val="00E456F7"/>
    <w:rsid w:val="00E45B8C"/>
    <w:rsid w:val="00E45D0B"/>
    <w:rsid w:val="00E45E13"/>
    <w:rsid w:val="00E461AC"/>
    <w:rsid w:val="00E462C5"/>
    <w:rsid w:val="00E462E6"/>
    <w:rsid w:val="00E4635C"/>
    <w:rsid w:val="00E463A0"/>
    <w:rsid w:val="00E46519"/>
    <w:rsid w:val="00E467A4"/>
    <w:rsid w:val="00E467BF"/>
    <w:rsid w:val="00E46A0A"/>
    <w:rsid w:val="00E46C08"/>
    <w:rsid w:val="00E46C88"/>
    <w:rsid w:val="00E46DBF"/>
    <w:rsid w:val="00E47049"/>
    <w:rsid w:val="00E47069"/>
    <w:rsid w:val="00E47289"/>
    <w:rsid w:val="00E4778A"/>
    <w:rsid w:val="00E477FF"/>
    <w:rsid w:val="00E47839"/>
    <w:rsid w:val="00E4791A"/>
    <w:rsid w:val="00E47928"/>
    <w:rsid w:val="00E47AF8"/>
    <w:rsid w:val="00E47D79"/>
    <w:rsid w:val="00E47E84"/>
    <w:rsid w:val="00E50234"/>
    <w:rsid w:val="00E5029C"/>
    <w:rsid w:val="00E504C3"/>
    <w:rsid w:val="00E50612"/>
    <w:rsid w:val="00E50651"/>
    <w:rsid w:val="00E506DF"/>
    <w:rsid w:val="00E50B76"/>
    <w:rsid w:val="00E50C11"/>
    <w:rsid w:val="00E511BE"/>
    <w:rsid w:val="00E5149E"/>
    <w:rsid w:val="00E514B8"/>
    <w:rsid w:val="00E515AF"/>
    <w:rsid w:val="00E515FB"/>
    <w:rsid w:val="00E517F9"/>
    <w:rsid w:val="00E51CDE"/>
    <w:rsid w:val="00E5210B"/>
    <w:rsid w:val="00E5235F"/>
    <w:rsid w:val="00E5238C"/>
    <w:rsid w:val="00E52424"/>
    <w:rsid w:val="00E52C1F"/>
    <w:rsid w:val="00E52D86"/>
    <w:rsid w:val="00E5349B"/>
    <w:rsid w:val="00E53631"/>
    <w:rsid w:val="00E5388F"/>
    <w:rsid w:val="00E53A06"/>
    <w:rsid w:val="00E53B65"/>
    <w:rsid w:val="00E53D15"/>
    <w:rsid w:val="00E53FA2"/>
    <w:rsid w:val="00E54239"/>
    <w:rsid w:val="00E54272"/>
    <w:rsid w:val="00E542BC"/>
    <w:rsid w:val="00E54336"/>
    <w:rsid w:val="00E5451D"/>
    <w:rsid w:val="00E54521"/>
    <w:rsid w:val="00E54617"/>
    <w:rsid w:val="00E5484B"/>
    <w:rsid w:val="00E54B54"/>
    <w:rsid w:val="00E54C07"/>
    <w:rsid w:val="00E5562F"/>
    <w:rsid w:val="00E5567B"/>
    <w:rsid w:val="00E55BFA"/>
    <w:rsid w:val="00E55D98"/>
    <w:rsid w:val="00E55E22"/>
    <w:rsid w:val="00E55EA6"/>
    <w:rsid w:val="00E56023"/>
    <w:rsid w:val="00E560C2"/>
    <w:rsid w:val="00E56A4E"/>
    <w:rsid w:val="00E56D6E"/>
    <w:rsid w:val="00E56FEF"/>
    <w:rsid w:val="00E57059"/>
    <w:rsid w:val="00E577F9"/>
    <w:rsid w:val="00E57D63"/>
    <w:rsid w:val="00E57DD8"/>
    <w:rsid w:val="00E57E8A"/>
    <w:rsid w:val="00E57FA3"/>
    <w:rsid w:val="00E57FA4"/>
    <w:rsid w:val="00E57FB5"/>
    <w:rsid w:val="00E603E1"/>
    <w:rsid w:val="00E6044B"/>
    <w:rsid w:val="00E60758"/>
    <w:rsid w:val="00E60829"/>
    <w:rsid w:val="00E60BA4"/>
    <w:rsid w:val="00E60C34"/>
    <w:rsid w:val="00E60F14"/>
    <w:rsid w:val="00E6104A"/>
    <w:rsid w:val="00E61463"/>
    <w:rsid w:val="00E6157A"/>
    <w:rsid w:val="00E61B23"/>
    <w:rsid w:val="00E61BB8"/>
    <w:rsid w:val="00E61EC1"/>
    <w:rsid w:val="00E620AB"/>
    <w:rsid w:val="00E620C7"/>
    <w:rsid w:val="00E623EB"/>
    <w:rsid w:val="00E625BE"/>
    <w:rsid w:val="00E627FC"/>
    <w:rsid w:val="00E6284B"/>
    <w:rsid w:val="00E62931"/>
    <w:rsid w:val="00E62D07"/>
    <w:rsid w:val="00E62DF6"/>
    <w:rsid w:val="00E62E6D"/>
    <w:rsid w:val="00E62FEB"/>
    <w:rsid w:val="00E631BB"/>
    <w:rsid w:val="00E6396C"/>
    <w:rsid w:val="00E63A22"/>
    <w:rsid w:val="00E63B8F"/>
    <w:rsid w:val="00E63E40"/>
    <w:rsid w:val="00E64203"/>
    <w:rsid w:val="00E6423E"/>
    <w:rsid w:val="00E644D1"/>
    <w:rsid w:val="00E645F8"/>
    <w:rsid w:val="00E646B5"/>
    <w:rsid w:val="00E6486E"/>
    <w:rsid w:val="00E648C2"/>
    <w:rsid w:val="00E64BDE"/>
    <w:rsid w:val="00E6501B"/>
    <w:rsid w:val="00E651B0"/>
    <w:rsid w:val="00E65427"/>
    <w:rsid w:val="00E6543F"/>
    <w:rsid w:val="00E65670"/>
    <w:rsid w:val="00E656BD"/>
    <w:rsid w:val="00E656C9"/>
    <w:rsid w:val="00E658BB"/>
    <w:rsid w:val="00E6597C"/>
    <w:rsid w:val="00E65ADF"/>
    <w:rsid w:val="00E65C02"/>
    <w:rsid w:val="00E65ECD"/>
    <w:rsid w:val="00E660D9"/>
    <w:rsid w:val="00E661C0"/>
    <w:rsid w:val="00E663F5"/>
    <w:rsid w:val="00E66428"/>
    <w:rsid w:val="00E667FF"/>
    <w:rsid w:val="00E6699C"/>
    <w:rsid w:val="00E66AA2"/>
    <w:rsid w:val="00E66E97"/>
    <w:rsid w:val="00E6700E"/>
    <w:rsid w:val="00E670E2"/>
    <w:rsid w:val="00E675F8"/>
    <w:rsid w:val="00E6762A"/>
    <w:rsid w:val="00E67AE8"/>
    <w:rsid w:val="00E70453"/>
    <w:rsid w:val="00E7062E"/>
    <w:rsid w:val="00E706AB"/>
    <w:rsid w:val="00E707BB"/>
    <w:rsid w:val="00E707CB"/>
    <w:rsid w:val="00E70826"/>
    <w:rsid w:val="00E70AD6"/>
    <w:rsid w:val="00E70BD6"/>
    <w:rsid w:val="00E70C77"/>
    <w:rsid w:val="00E70D47"/>
    <w:rsid w:val="00E710CE"/>
    <w:rsid w:val="00E711D9"/>
    <w:rsid w:val="00E712C6"/>
    <w:rsid w:val="00E71305"/>
    <w:rsid w:val="00E713F2"/>
    <w:rsid w:val="00E7145D"/>
    <w:rsid w:val="00E715B0"/>
    <w:rsid w:val="00E71772"/>
    <w:rsid w:val="00E71782"/>
    <w:rsid w:val="00E72063"/>
    <w:rsid w:val="00E72383"/>
    <w:rsid w:val="00E724D2"/>
    <w:rsid w:val="00E72D9F"/>
    <w:rsid w:val="00E72DD6"/>
    <w:rsid w:val="00E732A7"/>
    <w:rsid w:val="00E738BA"/>
    <w:rsid w:val="00E739F2"/>
    <w:rsid w:val="00E73C41"/>
    <w:rsid w:val="00E73E16"/>
    <w:rsid w:val="00E74703"/>
    <w:rsid w:val="00E74794"/>
    <w:rsid w:val="00E74933"/>
    <w:rsid w:val="00E74A26"/>
    <w:rsid w:val="00E74EDC"/>
    <w:rsid w:val="00E75004"/>
    <w:rsid w:val="00E75512"/>
    <w:rsid w:val="00E7560A"/>
    <w:rsid w:val="00E75664"/>
    <w:rsid w:val="00E75737"/>
    <w:rsid w:val="00E75875"/>
    <w:rsid w:val="00E75886"/>
    <w:rsid w:val="00E759C9"/>
    <w:rsid w:val="00E75D5A"/>
    <w:rsid w:val="00E75D6E"/>
    <w:rsid w:val="00E76007"/>
    <w:rsid w:val="00E76181"/>
    <w:rsid w:val="00E768E1"/>
    <w:rsid w:val="00E76A51"/>
    <w:rsid w:val="00E76EEB"/>
    <w:rsid w:val="00E770A9"/>
    <w:rsid w:val="00E770E4"/>
    <w:rsid w:val="00E770F2"/>
    <w:rsid w:val="00E77B1F"/>
    <w:rsid w:val="00E77EAC"/>
    <w:rsid w:val="00E8008E"/>
    <w:rsid w:val="00E80319"/>
    <w:rsid w:val="00E803DC"/>
    <w:rsid w:val="00E8050E"/>
    <w:rsid w:val="00E8052F"/>
    <w:rsid w:val="00E80833"/>
    <w:rsid w:val="00E80D1C"/>
    <w:rsid w:val="00E80DB4"/>
    <w:rsid w:val="00E80E1E"/>
    <w:rsid w:val="00E80E5C"/>
    <w:rsid w:val="00E80F2F"/>
    <w:rsid w:val="00E81069"/>
    <w:rsid w:val="00E813CC"/>
    <w:rsid w:val="00E813F5"/>
    <w:rsid w:val="00E817AD"/>
    <w:rsid w:val="00E817EF"/>
    <w:rsid w:val="00E8184F"/>
    <w:rsid w:val="00E81939"/>
    <w:rsid w:val="00E81A16"/>
    <w:rsid w:val="00E81B34"/>
    <w:rsid w:val="00E81CDB"/>
    <w:rsid w:val="00E81D16"/>
    <w:rsid w:val="00E81D44"/>
    <w:rsid w:val="00E828D5"/>
    <w:rsid w:val="00E829B3"/>
    <w:rsid w:val="00E829FA"/>
    <w:rsid w:val="00E82ADB"/>
    <w:rsid w:val="00E82D81"/>
    <w:rsid w:val="00E83259"/>
    <w:rsid w:val="00E835AF"/>
    <w:rsid w:val="00E835BD"/>
    <w:rsid w:val="00E83650"/>
    <w:rsid w:val="00E83743"/>
    <w:rsid w:val="00E8378E"/>
    <w:rsid w:val="00E839BE"/>
    <w:rsid w:val="00E83CAC"/>
    <w:rsid w:val="00E83DD9"/>
    <w:rsid w:val="00E83F33"/>
    <w:rsid w:val="00E83FCB"/>
    <w:rsid w:val="00E84181"/>
    <w:rsid w:val="00E84C89"/>
    <w:rsid w:val="00E84C8F"/>
    <w:rsid w:val="00E84EC4"/>
    <w:rsid w:val="00E8589C"/>
    <w:rsid w:val="00E85E56"/>
    <w:rsid w:val="00E860DD"/>
    <w:rsid w:val="00E862A5"/>
    <w:rsid w:val="00E864A1"/>
    <w:rsid w:val="00E86918"/>
    <w:rsid w:val="00E86CF0"/>
    <w:rsid w:val="00E8713D"/>
    <w:rsid w:val="00E871B8"/>
    <w:rsid w:val="00E87279"/>
    <w:rsid w:val="00E872D8"/>
    <w:rsid w:val="00E87395"/>
    <w:rsid w:val="00E87AC1"/>
    <w:rsid w:val="00E87ACF"/>
    <w:rsid w:val="00E87EC6"/>
    <w:rsid w:val="00E87F22"/>
    <w:rsid w:val="00E87FC8"/>
    <w:rsid w:val="00E9019A"/>
    <w:rsid w:val="00E90329"/>
    <w:rsid w:val="00E90751"/>
    <w:rsid w:val="00E90E9D"/>
    <w:rsid w:val="00E910D5"/>
    <w:rsid w:val="00E9175E"/>
    <w:rsid w:val="00E9178B"/>
    <w:rsid w:val="00E91DAD"/>
    <w:rsid w:val="00E922C4"/>
    <w:rsid w:val="00E9293D"/>
    <w:rsid w:val="00E92995"/>
    <w:rsid w:val="00E92A82"/>
    <w:rsid w:val="00E92C59"/>
    <w:rsid w:val="00E92C6E"/>
    <w:rsid w:val="00E93B57"/>
    <w:rsid w:val="00E93C25"/>
    <w:rsid w:val="00E93C77"/>
    <w:rsid w:val="00E942B6"/>
    <w:rsid w:val="00E943AE"/>
    <w:rsid w:val="00E944CA"/>
    <w:rsid w:val="00E94594"/>
    <w:rsid w:val="00E9473B"/>
    <w:rsid w:val="00E94782"/>
    <w:rsid w:val="00E947B0"/>
    <w:rsid w:val="00E947E2"/>
    <w:rsid w:val="00E949FF"/>
    <w:rsid w:val="00E94A54"/>
    <w:rsid w:val="00E94EB4"/>
    <w:rsid w:val="00E953F4"/>
    <w:rsid w:val="00E9599C"/>
    <w:rsid w:val="00E95D76"/>
    <w:rsid w:val="00E95D82"/>
    <w:rsid w:val="00E95F21"/>
    <w:rsid w:val="00E9625E"/>
    <w:rsid w:val="00E96273"/>
    <w:rsid w:val="00E9635B"/>
    <w:rsid w:val="00E964B5"/>
    <w:rsid w:val="00E965C2"/>
    <w:rsid w:val="00E967C2"/>
    <w:rsid w:val="00E96801"/>
    <w:rsid w:val="00E96A59"/>
    <w:rsid w:val="00E96BD9"/>
    <w:rsid w:val="00E96DAE"/>
    <w:rsid w:val="00E96E97"/>
    <w:rsid w:val="00E96ED3"/>
    <w:rsid w:val="00E971D5"/>
    <w:rsid w:val="00E9758F"/>
    <w:rsid w:val="00E97D2C"/>
    <w:rsid w:val="00E97D49"/>
    <w:rsid w:val="00E97DA9"/>
    <w:rsid w:val="00E97E0D"/>
    <w:rsid w:val="00E97E92"/>
    <w:rsid w:val="00EA0251"/>
    <w:rsid w:val="00EA0363"/>
    <w:rsid w:val="00EA039A"/>
    <w:rsid w:val="00EA0502"/>
    <w:rsid w:val="00EA0A1C"/>
    <w:rsid w:val="00EA1065"/>
    <w:rsid w:val="00EA1434"/>
    <w:rsid w:val="00EA144F"/>
    <w:rsid w:val="00EA1DD9"/>
    <w:rsid w:val="00EA290C"/>
    <w:rsid w:val="00EA31CF"/>
    <w:rsid w:val="00EA3248"/>
    <w:rsid w:val="00EA32DE"/>
    <w:rsid w:val="00EA36B5"/>
    <w:rsid w:val="00EA3B62"/>
    <w:rsid w:val="00EA3C3E"/>
    <w:rsid w:val="00EA3E10"/>
    <w:rsid w:val="00EA3E4C"/>
    <w:rsid w:val="00EA4018"/>
    <w:rsid w:val="00EA42E6"/>
    <w:rsid w:val="00EA4307"/>
    <w:rsid w:val="00EA431F"/>
    <w:rsid w:val="00EA44F3"/>
    <w:rsid w:val="00EA45E5"/>
    <w:rsid w:val="00EA4680"/>
    <w:rsid w:val="00EA4694"/>
    <w:rsid w:val="00EA48D3"/>
    <w:rsid w:val="00EA49C4"/>
    <w:rsid w:val="00EA4BC1"/>
    <w:rsid w:val="00EA4EE7"/>
    <w:rsid w:val="00EA53F5"/>
    <w:rsid w:val="00EA546B"/>
    <w:rsid w:val="00EA56BD"/>
    <w:rsid w:val="00EA57C5"/>
    <w:rsid w:val="00EA594C"/>
    <w:rsid w:val="00EA5CEA"/>
    <w:rsid w:val="00EA5CF2"/>
    <w:rsid w:val="00EA5D7E"/>
    <w:rsid w:val="00EA5F31"/>
    <w:rsid w:val="00EA5F92"/>
    <w:rsid w:val="00EA64B4"/>
    <w:rsid w:val="00EA65B1"/>
    <w:rsid w:val="00EA65F1"/>
    <w:rsid w:val="00EA664B"/>
    <w:rsid w:val="00EA6665"/>
    <w:rsid w:val="00EA667E"/>
    <w:rsid w:val="00EA6699"/>
    <w:rsid w:val="00EA672B"/>
    <w:rsid w:val="00EA6935"/>
    <w:rsid w:val="00EA6967"/>
    <w:rsid w:val="00EA6F44"/>
    <w:rsid w:val="00EA7613"/>
    <w:rsid w:val="00EA793B"/>
    <w:rsid w:val="00EA7A7E"/>
    <w:rsid w:val="00EA7E56"/>
    <w:rsid w:val="00EA7EF4"/>
    <w:rsid w:val="00EB05B1"/>
    <w:rsid w:val="00EB05DA"/>
    <w:rsid w:val="00EB05EC"/>
    <w:rsid w:val="00EB06BA"/>
    <w:rsid w:val="00EB0C7B"/>
    <w:rsid w:val="00EB1575"/>
    <w:rsid w:val="00EB1724"/>
    <w:rsid w:val="00EB178B"/>
    <w:rsid w:val="00EB17C7"/>
    <w:rsid w:val="00EB190F"/>
    <w:rsid w:val="00EB192F"/>
    <w:rsid w:val="00EB1A9D"/>
    <w:rsid w:val="00EB1C21"/>
    <w:rsid w:val="00EB1C23"/>
    <w:rsid w:val="00EB1E0F"/>
    <w:rsid w:val="00EB1F84"/>
    <w:rsid w:val="00EB235B"/>
    <w:rsid w:val="00EB2472"/>
    <w:rsid w:val="00EB24EB"/>
    <w:rsid w:val="00EB2630"/>
    <w:rsid w:val="00EB2A50"/>
    <w:rsid w:val="00EB2C33"/>
    <w:rsid w:val="00EB2F19"/>
    <w:rsid w:val="00EB31A3"/>
    <w:rsid w:val="00EB325B"/>
    <w:rsid w:val="00EB3B07"/>
    <w:rsid w:val="00EB3E22"/>
    <w:rsid w:val="00EB4132"/>
    <w:rsid w:val="00EB4236"/>
    <w:rsid w:val="00EB4389"/>
    <w:rsid w:val="00EB4430"/>
    <w:rsid w:val="00EB4480"/>
    <w:rsid w:val="00EB4538"/>
    <w:rsid w:val="00EB4E37"/>
    <w:rsid w:val="00EB4EFE"/>
    <w:rsid w:val="00EB4FEA"/>
    <w:rsid w:val="00EB5167"/>
    <w:rsid w:val="00EB531A"/>
    <w:rsid w:val="00EB542E"/>
    <w:rsid w:val="00EB55A7"/>
    <w:rsid w:val="00EB564A"/>
    <w:rsid w:val="00EB56B4"/>
    <w:rsid w:val="00EB5A53"/>
    <w:rsid w:val="00EB601E"/>
    <w:rsid w:val="00EB606A"/>
    <w:rsid w:val="00EB6476"/>
    <w:rsid w:val="00EB64B9"/>
    <w:rsid w:val="00EB657F"/>
    <w:rsid w:val="00EB65CA"/>
    <w:rsid w:val="00EB682C"/>
    <w:rsid w:val="00EB693B"/>
    <w:rsid w:val="00EB6BEE"/>
    <w:rsid w:val="00EB6C18"/>
    <w:rsid w:val="00EB6D3D"/>
    <w:rsid w:val="00EB6D3E"/>
    <w:rsid w:val="00EB7153"/>
    <w:rsid w:val="00EB7277"/>
    <w:rsid w:val="00EB736F"/>
    <w:rsid w:val="00EB7BA9"/>
    <w:rsid w:val="00EB7C1E"/>
    <w:rsid w:val="00EB7D75"/>
    <w:rsid w:val="00EB7DBC"/>
    <w:rsid w:val="00EB7E8B"/>
    <w:rsid w:val="00EC06FF"/>
    <w:rsid w:val="00EC0B20"/>
    <w:rsid w:val="00EC0CEC"/>
    <w:rsid w:val="00EC0DAF"/>
    <w:rsid w:val="00EC0EE7"/>
    <w:rsid w:val="00EC0FF5"/>
    <w:rsid w:val="00EC11D6"/>
    <w:rsid w:val="00EC122D"/>
    <w:rsid w:val="00EC1B53"/>
    <w:rsid w:val="00EC1C16"/>
    <w:rsid w:val="00EC1C3A"/>
    <w:rsid w:val="00EC1D35"/>
    <w:rsid w:val="00EC1D56"/>
    <w:rsid w:val="00EC1F51"/>
    <w:rsid w:val="00EC2066"/>
    <w:rsid w:val="00EC20C6"/>
    <w:rsid w:val="00EC2327"/>
    <w:rsid w:val="00EC2459"/>
    <w:rsid w:val="00EC24C5"/>
    <w:rsid w:val="00EC267A"/>
    <w:rsid w:val="00EC2A02"/>
    <w:rsid w:val="00EC2B1D"/>
    <w:rsid w:val="00EC2B85"/>
    <w:rsid w:val="00EC2D38"/>
    <w:rsid w:val="00EC3173"/>
    <w:rsid w:val="00EC3183"/>
    <w:rsid w:val="00EC31A0"/>
    <w:rsid w:val="00EC335A"/>
    <w:rsid w:val="00EC341C"/>
    <w:rsid w:val="00EC3609"/>
    <w:rsid w:val="00EC3940"/>
    <w:rsid w:val="00EC3BDF"/>
    <w:rsid w:val="00EC3D86"/>
    <w:rsid w:val="00EC4127"/>
    <w:rsid w:val="00EC4233"/>
    <w:rsid w:val="00EC4544"/>
    <w:rsid w:val="00EC464E"/>
    <w:rsid w:val="00EC4A85"/>
    <w:rsid w:val="00EC4DB2"/>
    <w:rsid w:val="00EC5384"/>
    <w:rsid w:val="00EC53CB"/>
    <w:rsid w:val="00EC57B2"/>
    <w:rsid w:val="00EC58AC"/>
    <w:rsid w:val="00EC58F4"/>
    <w:rsid w:val="00EC5A82"/>
    <w:rsid w:val="00EC5B60"/>
    <w:rsid w:val="00EC5CAE"/>
    <w:rsid w:val="00EC5E10"/>
    <w:rsid w:val="00EC60E6"/>
    <w:rsid w:val="00EC650B"/>
    <w:rsid w:val="00EC6721"/>
    <w:rsid w:val="00EC672E"/>
    <w:rsid w:val="00EC69E3"/>
    <w:rsid w:val="00EC6BAB"/>
    <w:rsid w:val="00EC6DA7"/>
    <w:rsid w:val="00EC6DED"/>
    <w:rsid w:val="00EC6EA6"/>
    <w:rsid w:val="00EC711D"/>
    <w:rsid w:val="00EC7175"/>
    <w:rsid w:val="00EC7250"/>
    <w:rsid w:val="00EC73FE"/>
    <w:rsid w:val="00EC7458"/>
    <w:rsid w:val="00EC76CE"/>
    <w:rsid w:val="00EC76ED"/>
    <w:rsid w:val="00EC7808"/>
    <w:rsid w:val="00EC7859"/>
    <w:rsid w:val="00EC787B"/>
    <w:rsid w:val="00EC7A3E"/>
    <w:rsid w:val="00EC7A99"/>
    <w:rsid w:val="00EC7BB1"/>
    <w:rsid w:val="00EC7BFA"/>
    <w:rsid w:val="00EC7D27"/>
    <w:rsid w:val="00ED042E"/>
    <w:rsid w:val="00ED046F"/>
    <w:rsid w:val="00ED0B85"/>
    <w:rsid w:val="00ED0E8C"/>
    <w:rsid w:val="00ED1295"/>
    <w:rsid w:val="00ED131B"/>
    <w:rsid w:val="00ED135B"/>
    <w:rsid w:val="00ED13A0"/>
    <w:rsid w:val="00ED187B"/>
    <w:rsid w:val="00ED2310"/>
    <w:rsid w:val="00ED26A1"/>
    <w:rsid w:val="00ED2725"/>
    <w:rsid w:val="00ED2745"/>
    <w:rsid w:val="00ED28A5"/>
    <w:rsid w:val="00ED2B15"/>
    <w:rsid w:val="00ED2EA1"/>
    <w:rsid w:val="00ED31DD"/>
    <w:rsid w:val="00ED32CF"/>
    <w:rsid w:val="00ED34D1"/>
    <w:rsid w:val="00ED367F"/>
    <w:rsid w:val="00ED3B0C"/>
    <w:rsid w:val="00ED3F1A"/>
    <w:rsid w:val="00ED3F75"/>
    <w:rsid w:val="00ED404B"/>
    <w:rsid w:val="00ED4195"/>
    <w:rsid w:val="00ED4206"/>
    <w:rsid w:val="00ED4527"/>
    <w:rsid w:val="00ED45A1"/>
    <w:rsid w:val="00ED4A8E"/>
    <w:rsid w:val="00ED4B8D"/>
    <w:rsid w:val="00ED5300"/>
    <w:rsid w:val="00ED5803"/>
    <w:rsid w:val="00ED58A2"/>
    <w:rsid w:val="00ED58C3"/>
    <w:rsid w:val="00ED5936"/>
    <w:rsid w:val="00ED59A7"/>
    <w:rsid w:val="00ED5C71"/>
    <w:rsid w:val="00ED5CA9"/>
    <w:rsid w:val="00ED5EEE"/>
    <w:rsid w:val="00ED6070"/>
    <w:rsid w:val="00ED6096"/>
    <w:rsid w:val="00ED663C"/>
    <w:rsid w:val="00ED667C"/>
    <w:rsid w:val="00ED6691"/>
    <w:rsid w:val="00ED6955"/>
    <w:rsid w:val="00ED6A19"/>
    <w:rsid w:val="00ED6DB6"/>
    <w:rsid w:val="00ED6FAB"/>
    <w:rsid w:val="00ED70FE"/>
    <w:rsid w:val="00ED783A"/>
    <w:rsid w:val="00ED78E0"/>
    <w:rsid w:val="00ED7966"/>
    <w:rsid w:val="00ED79CE"/>
    <w:rsid w:val="00ED7B22"/>
    <w:rsid w:val="00ED7D72"/>
    <w:rsid w:val="00EE01CC"/>
    <w:rsid w:val="00EE04EE"/>
    <w:rsid w:val="00EE063C"/>
    <w:rsid w:val="00EE0DF2"/>
    <w:rsid w:val="00EE12E2"/>
    <w:rsid w:val="00EE1395"/>
    <w:rsid w:val="00EE1760"/>
    <w:rsid w:val="00EE1B46"/>
    <w:rsid w:val="00EE1BC2"/>
    <w:rsid w:val="00EE23CA"/>
    <w:rsid w:val="00EE23F1"/>
    <w:rsid w:val="00EE2422"/>
    <w:rsid w:val="00EE24CD"/>
    <w:rsid w:val="00EE287D"/>
    <w:rsid w:val="00EE288F"/>
    <w:rsid w:val="00EE2AA0"/>
    <w:rsid w:val="00EE3AFA"/>
    <w:rsid w:val="00EE3B32"/>
    <w:rsid w:val="00EE3C1C"/>
    <w:rsid w:val="00EE3CFF"/>
    <w:rsid w:val="00EE3F39"/>
    <w:rsid w:val="00EE401A"/>
    <w:rsid w:val="00EE4135"/>
    <w:rsid w:val="00EE414C"/>
    <w:rsid w:val="00EE42E9"/>
    <w:rsid w:val="00EE43CB"/>
    <w:rsid w:val="00EE44FE"/>
    <w:rsid w:val="00EE4B46"/>
    <w:rsid w:val="00EE4B97"/>
    <w:rsid w:val="00EE4CE3"/>
    <w:rsid w:val="00EE4D7D"/>
    <w:rsid w:val="00EE5406"/>
    <w:rsid w:val="00EE56F0"/>
    <w:rsid w:val="00EE5C71"/>
    <w:rsid w:val="00EE5ED9"/>
    <w:rsid w:val="00EE5EF8"/>
    <w:rsid w:val="00EE5F77"/>
    <w:rsid w:val="00EE6351"/>
    <w:rsid w:val="00EE6708"/>
    <w:rsid w:val="00EE689B"/>
    <w:rsid w:val="00EE6964"/>
    <w:rsid w:val="00EE6A1D"/>
    <w:rsid w:val="00EE6D09"/>
    <w:rsid w:val="00EE6D18"/>
    <w:rsid w:val="00EE7010"/>
    <w:rsid w:val="00EE71CD"/>
    <w:rsid w:val="00EE75FF"/>
    <w:rsid w:val="00EE7A33"/>
    <w:rsid w:val="00EE7B02"/>
    <w:rsid w:val="00EE7B24"/>
    <w:rsid w:val="00EE7D9A"/>
    <w:rsid w:val="00EE7E7A"/>
    <w:rsid w:val="00EF0070"/>
    <w:rsid w:val="00EF00B1"/>
    <w:rsid w:val="00EF02BF"/>
    <w:rsid w:val="00EF0557"/>
    <w:rsid w:val="00EF08F0"/>
    <w:rsid w:val="00EF0D1A"/>
    <w:rsid w:val="00EF10EE"/>
    <w:rsid w:val="00EF1230"/>
    <w:rsid w:val="00EF12C6"/>
    <w:rsid w:val="00EF138C"/>
    <w:rsid w:val="00EF18ED"/>
    <w:rsid w:val="00EF1B21"/>
    <w:rsid w:val="00EF1F17"/>
    <w:rsid w:val="00EF221F"/>
    <w:rsid w:val="00EF223B"/>
    <w:rsid w:val="00EF224D"/>
    <w:rsid w:val="00EF22FA"/>
    <w:rsid w:val="00EF23E8"/>
    <w:rsid w:val="00EF2453"/>
    <w:rsid w:val="00EF2633"/>
    <w:rsid w:val="00EF285A"/>
    <w:rsid w:val="00EF2882"/>
    <w:rsid w:val="00EF29DE"/>
    <w:rsid w:val="00EF2ABB"/>
    <w:rsid w:val="00EF2C2D"/>
    <w:rsid w:val="00EF2F40"/>
    <w:rsid w:val="00EF35AD"/>
    <w:rsid w:val="00EF3978"/>
    <w:rsid w:val="00EF3A8B"/>
    <w:rsid w:val="00EF3AAC"/>
    <w:rsid w:val="00EF3B5E"/>
    <w:rsid w:val="00EF3C4C"/>
    <w:rsid w:val="00EF3C8B"/>
    <w:rsid w:val="00EF4122"/>
    <w:rsid w:val="00EF4165"/>
    <w:rsid w:val="00EF489C"/>
    <w:rsid w:val="00EF4D42"/>
    <w:rsid w:val="00EF4FD1"/>
    <w:rsid w:val="00EF50D7"/>
    <w:rsid w:val="00EF5318"/>
    <w:rsid w:val="00EF53EC"/>
    <w:rsid w:val="00EF550C"/>
    <w:rsid w:val="00EF5889"/>
    <w:rsid w:val="00EF598E"/>
    <w:rsid w:val="00EF5AD7"/>
    <w:rsid w:val="00EF5D98"/>
    <w:rsid w:val="00EF5E3C"/>
    <w:rsid w:val="00EF6067"/>
    <w:rsid w:val="00EF616E"/>
    <w:rsid w:val="00EF62C2"/>
    <w:rsid w:val="00EF656B"/>
    <w:rsid w:val="00EF656C"/>
    <w:rsid w:val="00EF6581"/>
    <w:rsid w:val="00EF6603"/>
    <w:rsid w:val="00EF708A"/>
    <w:rsid w:val="00EF72C3"/>
    <w:rsid w:val="00EF79CE"/>
    <w:rsid w:val="00EF7A2E"/>
    <w:rsid w:val="00EF7C04"/>
    <w:rsid w:val="00EF7F4B"/>
    <w:rsid w:val="00F00152"/>
    <w:rsid w:val="00F0029C"/>
    <w:rsid w:val="00F00352"/>
    <w:rsid w:val="00F00404"/>
    <w:rsid w:val="00F005B6"/>
    <w:rsid w:val="00F00660"/>
    <w:rsid w:val="00F0086C"/>
    <w:rsid w:val="00F008D0"/>
    <w:rsid w:val="00F00B1B"/>
    <w:rsid w:val="00F00D39"/>
    <w:rsid w:val="00F00E1B"/>
    <w:rsid w:val="00F00E37"/>
    <w:rsid w:val="00F00E87"/>
    <w:rsid w:val="00F0106B"/>
    <w:rsid w:val="00F010EE"/>
    <w:rsid w:val="00F012CC"/>
    <w:rsid w:val="00F01383"/>
    <w:rsid w:val="00F01548"/>
    <w:rsid w:val="00F01599"/>
    <w:rsid w:val="00F0167D"/>
    <w:rsid w:val="00F0177A"/>
    <w:rsid w:val="00F017A6"/>
    <w:rsid w:val="00F0191D"/>
    <w:rsid w:val="00F019D5"/>
    <w:rsid w:val="00F01F4F"/>
    <w:rsid w:val="00F02122"/>
    <w:rsid w:val="00F0242C"/>
    <w:rsid w:val="00F024D7"/>
    <w:rsid w:val="00F02500"/>
    <w:rsid w:val="00F02934"/>
    <w:rsid w:val="00F02B86"/>
    <w:rsid w:val="00F030D1"/>
    <w:rsid w:val="00F032BE"/>
    <w:rsid w:val="00F032E2"/>
    <w:rsid w:val="00F03424"/>
    <w:rsid w:val="00F037E3"/>
    <w:rsid w:val="00F0391C"/>
    <w:rsid w:val="00F03A95"/>
    <w:rsid w:val="00F03ABF"/>
    <w:rsid w:val="00F03FA0"/>
    <w:rsid w:val="00F03FF2"/>
    <w:rsid w:val="00F045C3"/>
    <w:rsid w:val="00F04AF1"/>
    <w:rsid w:val="00F04F9E"/>
    <w:rsid w:val="00F05585"/>
    <w:rsid w:val="00F058D0"/>
    <w:rsid w:val="00F05D33"/>
    <w:rsid w:val="00F060BC"/>
    <w:rsid w:val="00F065D4"/>
    <w:rsid w:val="00F066DD"/>
    <w:rsid w:val="00F066FA"/>
    <w:rsid w:val="00F0679A"/>
    <w:rsid w:val="00F067F3"/>
    <w:rsid w:val="00F06967"/>
    <w:rsid w:val="00F06A47"/>
    <w:rsid w:val="00F06E17"/>
    <w:rsid w:val="00F06EB0"/>
    <w:rsid w:val="00F06F4F"/>
    <w:rsid w:val="00F070D5"/>
    <w:rsid w:val="00F0717F"/>
    <w:rsid w:val="00F0747A"/>
    <w:rsid w:val="00F07715"/>
    <w:rsid w:val="00F07849"/>
    <w:rsid w:val="00F07882"/>
    <w:rsid w:val="00F07883"/>
    <w:rsid w:val="00F07910"/>
    <w:rsid w:val="00F07BA6"/>
    <w:rsid w:val="00F07C99"/>
    <w:rsid w:val="00F07E77"/>
    <w:rsid w:val="00F07ED8"/>
    <w:rsid w:val="00F07FE0"/>
    <w:rsid w:val="00F100BE"/>
    <w:rsid w:val="00F10177"/>
    <w:rsid w:val="00F1030C"/>
    <w:rsid w:val="00F103C2"/>
    <w:rsid w:val="00F10774"/>
    <w:rsid w:val="00F10A2F"/>
    <w:rsid w:val="00F10C3F"/>
    <w:rsid w:val="00F10C52"/>
    <w:rsid w:val="00F10D83"/>
    <w:rsid w:val="00F112EA"/>
    <w:rsid w:val="00F112FB"/>
    <w:rsid w:val="00F11361"/>
    <w:rsid w:val="00F114FB"/>
    <w:rsid w:val="00F1168C"/>
    <w:rsid w:val="00F11960"/>
    <w:rsid w:val="00F1196B"/>
    <w:rsid w:val="00F11A6A"/>
    <w:rsid w:val="00F11ABF"/>
    <w:rsid w:val="00F11B9D"/>
    <w:rsid w:val="00F11FFB"/>
    <w:rsid w:val="00F12228"/>
    <w:rsid w:val="00F126BD"/>
    <w:rsid w:val="00F1279A"/>
    <w:rsid w:val="00F127FD"/>
    <w:rsid w:val="00F12868"/>
    <w:rsid w:val="00F12B7E"/>
    <w:rsid w:val="00F1336A"/>
    <w:rsid w:val="00F13433"/>
    <w:rsid w:val="00F134FC"/>
    <w:rsid w:val="00F1350E"/>
    <w:rsid w:val="00F13BEC"/>
    <w:rsid w:val="00F13FE7"/>
    <w:rsid w:val="00F1401F"/>
    <w:rsid w:val="00F1423F"/>
    <w:rsid w:val="00F14419"/>
    <w:rsid w:val="00F14504"/>
    <w:rsid w:val="00F1450A"/>
    <w:rsid w:val="00F1470E"/>
    <w:rsid w:val="00F14753"/>
    <w:rsid w:val="00F147A5"/>
    <w:rsid w:val="00F148B4"/>
    <w:rsid w:val="00F14952"/>
    <w:rsid w:val="00F14AA7"/>
    <w:rsid w:val="00F14C39"/>
    <w:rsid w:val="00F14E0E"/>
    <w:rsid w:val="00F150CB"/>
    <w:rsid w:val="00F15380"/>
    <w:rsid w:val="00F15823"/>
    <w:rsid w:val="00F1586B"/>
    <w:rsid w:val="00F15884"/>
    <w:rsid w:val="00F15B8E"/>
    <w:rsid w:val="00F15C57"/>
    <w:rsid w:val="00F15F62"/>
    <w:rsid w:val="00F15FEE"/>
    <w:rsid w:val="00F16608"/>
    <w:rsid w:val="00F16665"/>
    <w:rsid w:val="00F168F4"/>
    <w:rsid w:val="00F16AEE"/>
    <w:rsid w:val="00F16DF8"/>
    <w:rsid w:val="00F16FB0"/>
    <w:rsid w:val="00F1733B"/>
    <w:rsid w:val="00F173B1"/>
    <w:rsid w:val="00F173E9"/>
    <w:rsid w:val="00F17474"/>
    <w:rsid w:val="00F179CE"/>
    <w:rsid w:val="00F17CF2"/>
    <w:rsid w:val="00F17F66"/>
    <w:rsid w:val="00F20130"/>
    <w:rsid w:val="00F201CC"/>
    <w:rsid w:val="00F20487"/>
    <w:rsid w:val="00F20545"/>
    <w:rsid w:val="00F20B9D"/>
    <w:rsid w:val="00F20C7A"/>
    <w:rsid w:val="00F20C80"/>
    <w:rsid w:val="00F20F65"/>
    <w:rsid w:val="00F2106D"/>
    <w:rsid w:val="00F21309"/>
    <w:rsid w:val="00F21A2D"/>
    <w:rsid w:val="00F21DC0"/>
    <w:rsid w:val="00F220FD"/>
    <w:rsid w:val="00F221AA"/>
    <w:rsid w:val="00F22210"/>
    <w:rsid w:val="00F22337"/>
    <w:rsid w:val="00F22549"/>
    <w:rsid w:val="00F225C7"/>
    <w:rsid w:val="00F22A6C"/>
    <w:rsid w:val="00F22D65"/>
    <w:rsid w:val="00F22ECB"/>
    <w:rsid w:val="00F230F3"/>
    <w:rsid w:val="00F23175"/>
    <w:rsid w:val="00F23341"/>
    <w:rsid w:val="00F23524"/>
    <w:rsid w:val="00F235CF"/>
    <w:rsid w:val="00F2372D"/>
    <w:rsid w:val="00F2373A"/>
    <w:rsid w:val="00F23927"/>
    <w:rsid w:val="00F23D2B"/>
    <w:rsid w:val="00F23FB0"/>
    <w:rsid w:val="00F24195"/>
    <w:rsid w:val="00F2480A"/>
    <w:rsid w:val="00F24891"/>
    <w:rsid w:val="00F24B9F"/>
    <w:rsid w:val="00F24CA6"/>
    <w:rsid w:val="00F24D14"/>
    <w:rsid w:val="00F24EBC"/>
    <w:rsid w:val="00F253C2"/>
    <w:rsid w:val="00F254A3"/>
    <w:rsid w:val="00F25631"/>
    <w:rsid w:val="00F256AE"/>
    <w:rsid w:val="00F25773"/>
    <w:rsid w:val="00F257FA"/>
    <w:rsid w:val="00F258CC"/>
    <w:rsid w:val="00F25C4D"/>
    <w:rsid w:val="00F26004"/>
    <w:rsid w:val="00F26721"/>
    <w:rsid w:val="00F26947"/>
    <w:rsid w:val="00F26ACA"/>
    <w:rsid w:val="00F26F7A"/>
    <w:rsid w:val="00F270E8"/>
    <w:rsid w:val="00F2725D"/>
    <w:rsid w:val="00F27274"/>
    <w:rsid w:val="00F27658"/>
    <w:rsid w:val="00F27659"/>
    <w:rsid w:val="00F2770C"/>
    <w:rsid w:val="00F27730"/>
    <w:rsid w:val="00F27A38"/>
    <w:rsid w:val="00F27D89"/>
    <w:rsid w:val="00F27EB4"/>
    <w:rsid w:val="00F27EF5"/>
    <w:rsid w:val="00F27FDB"/>
    <w:rsid w:val="00F30127"/>
    <w:rsid w:val="00F30251"/>
    <w:rsid w:val="00F30257"/>
    <w:rsid w:val="00F304BE"/>
    <w:rsid w:val="00F305CC"/>
    <w:rsid w:val="00F307CD"/>
    <w:rsid w:val="00F30AC6"/>
    <w:rsid w:val="00F30AD8"/>
    <w:rsid w:val="00F30E2E"/>
    <w:rsid w:val="00F3109A"/>
    <w:rsid w:val="00F315D8"/>
    <w:rsid w:val="00F31620"/>
    <w:rsid w:val="00F31667"/>
    <w:rsid w:val="00F3179A"/>
    <w:rsid w:val="00F31999"/>
    <w:rsid w:val="00F31A79"/>
    <w:rsid w:val="00F31D54"/>
    <w:rsid w:val="00F31E73"/>
    <w:rsid w:val="00F32124"/>
    <w:rsid w:val="00F32357"/>
    <w:rsid w:val="00F3258B"/>
    <w:rsid w:val="00F32976"/>
    <w:rsid w:val="00F32A59"/>
    <w:rsid w:val="00F32C70"/>
    <w:rsid w:val="00F32CA0"/>
    <w:rsid w:val="00F32CFC"/>
    <w:rsid w:val="00F32F4B"/>
    <w:rsid w:val="00F332A4"/>
    <w:rsid w:val="00F33C05"/>
    <w:rsid w:val="00F33D08"/>
    <w:rsid w:val="00F33DCA"/>
    <w:rsid w:val="00F341D7"/>
    <w:rsid w:val="00F3434B"/>
    <w:rsid w:val="00F34536"/>
    <w:rsid w:val="00F34711"/>
    <w:rsid w:val="00F34C31"/>
    <w:rsid w:val="00F34C8E"/>
    <w:rsid w:val="00F34E02"/>
    <w:rsid w:val="00F35197"/>
    <w:rsid w:val="00F35229"/>
    <w:rsid w:val="00F3549E"/>
    <w:rsid w:val="00F3584B"/>
    <w:rsid w:val="00F35A30"/>
    <w:rsid w:val="00F35C0D"/>
    <w:rsid w:val="00F35DD8"/>
    <w:rsid w:val="00F365A7"/>
    <w:rsid w:val="00F3681C"/>
    <w:rsid w:val="00F36E62"/>
    <w:rsid w:val="00F36F0C"/>
    <w:rsid w:val="00F3704F"/>
    <w:rsid w:val="00F370A8"/>
    <w:rsid w:val="00F3769D"/>
    <w:rsid w:val="00F37B08"/>
    <w:rsid w:val="00F37EE1"/>
    <w:rsid w:val="00F400C9"/>
    <w:rsid w:val="00F4032F"/>
    <w:rsid w:val="00F403A6"/>
    <w:rsid w:val="00F404F4"/>
    <w:rsid w:val="00F40BFD"/>
    <w:rsid w:val="00F40CFE"/>
    <w:rsid w:val="00F40E7E"/>
    <w:rsid w:val="00F4143E"/>
    <w:rsid w:val="00F4155A"/>
    <w:rsid w:val="00F41CC5"/>
    <w:rsid w:val="00F41D25"/>
    <w:rsid w:val="00F41DB8"/>
    <w:rsid w:val="00F41DE1"/>
    <w:rsid w:val="00F423C2"/>
    <w:rsid w:val="00F424ED"/>
    <w:rsid w:val="00F42AFF"/>
    <w:rsid w:val="00F42E3C"/>
    <w:rsid w:val="00F43248"/>
    <w:rsid w:val="00F433F8"/>
    <w:rsid w:val="00F433FE"/>
    <w:rsid w:val="00F434B0"/>
    <w:rsid w:val="00F434F6"/>
    <w:rsid w:val="00F435D9"/>
    <w:rsid w:val="00F43627"/>
    <w:rsid w:val="00F43781"/>
    <w:rsid w:val="00F437BA"/>
    <w:rsid w:val="00F43996"/>
    <w:rsid w:val="00F439B3"/>
    <w:rsid w:val="00F43C0E"/>
    <w:rsid w:val="00F43C44"/>
    <w:rsid w:val="00F43CBF"/>
    <w:rsid w:val="00F442EB"/>
    <w:rsid w:val="00F4463C"/>
    <w:rsid w:val="00F447A4"/>
    <w:rsid w:val="00F44CF6"/>
    <w:rsid w:val="00F45003"/>
    <w:rsid w:val="00F457E2"/>
    <w:rsid w:val="00F45E05"/>
    <w:rsid w:val="00F46139"/>
    <w:rsid w:val="00F46688"/>
    <w:rsid w:val="00F46B64"/>
    <w:rsid w:val="00F46BC0"/>
    <w:rsid w:val="00F46C23"/>
    <w:rsid w:val="00F473A5"/>
    <w:rsid w:val="00F473EB"/>
    <w:rsid w:val="00F473F3"/>
    <w:rsid w:val="00F47473"/>
    <w:rsid w:val="00F474B8"/>
    <w:rsid w:val="00F4752E"/>
    <w:rsid w:val="00F4755F"/>
    <w:rsid w:val="00F478CA"/>
    <w:rsid w:val="00F47BFC"/>
    <w:rsid w:val="00F47CC3"/>
    <w:rsid w:val="00F47CE2"/>
    <w:rsid w:val="00F47D3C"/>
    <w:rsid w:val="00F47EA0"/>
    <w:rsid w:val="00F5018E"/>
    <w:rsid w:val="00F501F3"/>
    <w:rsid w:val="00F5023E"/>
    <w:rsid w:val="00F5075A"/>
    <w:rsid w:val="00F50A98"/>
    <w:rsid w:val="00F50B05"/>
    <w:rsid w:val="00F50E5F"/>
    <w:rsid w:val="00F512ED"/>
    <w:rsid w:val="00F51460"/>
    <w:rsid w:val="00F51667"/>
    <w:rsid w:val="00F51D80"/>
    <w:rsid w:val="00F51EB9"/>
    <w:rsid w:val="00F5211A"/>
    <w:rsid w:val="00F521DC"/>
    <w:rsid w:val="00F523E0"/>
    <w:rsid w:val="00F524D2"/>
    <w:rsid w:val="00F5281A"/>
    <w:rsid w:val="00F52BB8"/>
    <w:rsid w:val="00F53009"/>
    <w:rsid w:val="00F53199"/>
    <w:rsid w:val="00F53389"/>
    <w:rsid w:val="00F53704"/>
    <w:rsid w:val="00F5413A"/>
    <w:rsid w:val="00F541A1"/>
    <w:rsid w:val="00F542B2"/>
    <w:rsid w:val="00F54594"/>
    <w:rsid w:val="00F54865"/>
    <w:rsid w:val="00F54AEA"/>
    <w:rsid w:val="00F54B09"/>
    <w:rsid w:val="00F54BEA"/>
    <w:rsid w:val="00F54D65"/>
    <w:rsid w:val="00F54D82"/>
    <w:rsid w:val="00F54E6A"/>
    <w:rsid w:val="00F54E8A"/>
    <w:rsid w:val="00F54F09"/>
    <w:rsid w:val="00F554FD"/>
    <w:rsid w:val="00F55656"/>
    <w:rsid w:val="00F5568B"/>
    <w:rsid w:val="00F55693"/>
    <w:rsid w:val="00F559A8"/>
    <w:rsid w:val="00F55C21"/>
    <w:rsid w:val="00F55D6C"/>
    <w:rsid w:val="00F55DB1"/>
    <w:rsid w:val="00F55E5F"/>
    <w:rsid w:val="00F55F6D"/>
    <w:rsid w:val="00F561E5"/>
    <w:rsid w:val="00F56770"/>
    <w:rsid w:val="00F568F8"/>
    <w:rsid w:val="00F56975"/>
    <w:rsid w:val="00F569A1"/>
    <w:rsid w:val="00F56A0A"/>
    <w:rsid w:val="00F56BEC"/>
    <w:rsid w:val="00F56CA7"/>
    <w:rsid w:val="00F56E45"/>
    <w:rsid w:val="00F5736B"/>
    <w:rsid w:val="00F573AF"/>
    <w:rsid w:val="00F573C1"/>
    <w:rsid w:val="00F574CC"/>
    <w:rsid w:val="00F576FD"/>
    <w:rsid w:val="00F57880"/>
    <w:rsid w:val="00F57943"/>
    <w:rsid w:val="00F579E9"/>
    <w:rsid w:val="00F579FF"/>
    <w:rsid w:val="00F57B40"/>
    <w:rsid w:val="00F601D8"/>
    <w:rsid w:val="00F608AB"/>
    <w:rsid w:val="00F60990"/>
    <w:rsid w:val="00F60B69"/>
    <w:rsid w:val="00F60BE7"/>
    <w:rsid w:val="00F612CD"/>
    <w:rsid w:val="00F6159C"/>
    <w:rsid w:val="00F616EB"/>
    <w:rsid w:val="00F61714"/>
    <w:rsid w:val="00F619E7"/>
    <w:rsid w:val="00F61B34"/>
    <w:rsid w:val="00F61D51"/>
    <w:rsid w:val="00F61E29"/>
    <w:rsid w:val="00F61E74"/>
    <w:rsid w:val="00F62079"/>
    <w:rsid w:val="00F6238F"/>
    <w:rsid w:val="00F62A22"/>
    <w:rsid w:val="00F62AC3"/>
    <w:rsid w:val="00F62BCD"/>
    <w:rsid w:val="00F62BEF"/>
    <w:rsid w:val="00F62C77"/>
    <w:rsid w:val="00F62CD3"/>
    <w:rsid w:val="00F63105"/>
    <w:rsid w:val="00F6354E"/>
    <w:rsid w:val="00F635CD"/>
    <w:rsid w:val="00F638B4"/>
    <w:rsid w:val="00F638C2"/>
    <w:rsid w:val="00F638C5"/>
    <w:rsid w:val="00F6399C"/>
    <w:rsid w:val="00F63E59"/>
    <w:rsid w:val="00F63F81"/>
    <w:rsid w:val="00F64130"/>
    <w:rsid w:val="00F64449"/>
    <w:rsid w:val="00F64471"/>
    <w:rsid w:val="00F64A44"/>
    <w:rsid w:val="00F64BE0"/>
    <w:rsid w:val="00F64E48"/>
    <w:rsid w:val="00F64F4F"/>
    <w:rsid w:val="00F650C3"/>
    <w:rsid w:val="00F658F6"/>
    <w:rsid w:val="00F65B54"/>
    <w:rsid w:val="00F65B5E"/>
    <w:rsid w:val="00F65B68"/>
    <w:rsid w:val="00F65C70"/>
    <w:rsid w:val="00F65FCE"/>
    <w:rsid w:val="00F66055"/>
    <w:rsid w:val="00F660D2"/>
    <w:rsid w:val="00F6625E"/>
    <w:rsid w:val="00F6648C"/>
    <w:rsid w:val="00F66581"/>
    <w:rsid w:val="00F666D7"/>
    <w:rsid w:val="00F667EA"/>
    <w:rsid w:val="00F66846"/>
    <w:rsid w:val="00F66929"/>
    <w:rsid w:val="00F66A08"/>
    <w:rsid w:val="00F66B9F"/>
    <w:rsid w:val="00F66BC6"/>
    <w:rsid w:val="00F66C92"/>
    <w:rsid w:val="00F66CA0"/>
    <w:rsid w:val="00F671A1"/>
    <w:rsid w:val="00F6744A"/>
    <w:rsid w:val="00F674E3"/>
    <w:rsid w:val="00F6759C"/>
    <w:rsid w:val="00F676B1"/>
    <w:rsid w:val="00F67846"/>
    <w:rsid w:val="00F67ADF"/>
    <w:rsid w:val="00F67B42"/>
    <w:rsid w:val="00F67C42"/>
    <w:rsid w:val="00F67F79"/>
    <w:rsid w:val="00F67F95"/>
    <w:rsid w:val="00F67F9F"/>
    <w:rsid w:val="00F70216"/>
    <w:rsid w:val="00F702D5"/>
    <w:rsid w:val="00F702FD"/>
    <w:rsid w:val="00F7047F"/>
    <w:rsid w:val="00F70937"/>
    <w:rsid w:val="00F70A29"/>
    <w:rsid w:val="00F70B72"/>
    <w:rsid w:val="00F70DEF"/>
    <w:rsid w:val="00F70E9D"/>
    <w:rsid w:val="00F70EA3"/>
    <w:rsid w:val="00F70F87"/>
    <w:rsid w:val="00F710B4"/>
    <w:rsid w:val="00F712BE"/>
    <w:rsid w:val="00F712EB"/>
    <w:rsid w:val="00F71338"/>
    <w:rsid w:val="00F71398"/>
    <w:rsid w:val="00F716C6"/>
    <w:rsid w:val="00F7178D"/>
    <w:rsid w:val="00F71E77"/>
    <w:rsid w:val="00F72005"/>
    <w:rsid w:val="00F72301"/>
    <w:rsid w:val="00F72451"/>
    <w:rsid w:val="00F724EC"/>
    <w:rsid w:val="00F72500"/>
    <w:rsid w:val="00F7278D"/>
    <w:rsid w:val="00F728FB"/>
    <w:rsid w:val="00F7294C"/>
    <w:rsid w:val="00F72C5F"/>
    <w:rsid w:val="00F72DE0"/>
    <w:rsid w:val="00F73549"/>
    <w:rsid w:val="00F73710"/>
    <w:rsid w:val="00F737B8"/>
    <w:rsid w:val="00F737F5"/>
    <w:rsid w:val="00F73846"/>
    <w:rsid w:val="00F73858"/>
    <w:rsid w:val="00F739D9"/>
    <w:rsid w:val="00F73CDB"/>
    <w:rsid w:val="00F73FFA"/>
    <w:rsid w:val="00F745AB"/>
    <w:rsid w:val="00F74AD7"/>
    <w:rsid w:val="00F74F87"/>
    <w:rsid w:val="00F7505C"/>
    <w:rsid w:val="00F75347"/>
    <w:rsid w:val="00F75782"/>
    <w:rsid w:val="00F75BAC"/>
    <w:rsid w:val="00F75DEA"/>
    <w:rsid w:val="00F7680D"/>
    <w:rsid w:val="00F76A04"/>
    <w:rsid w:val="00F76D3C"/>
    <w:rsid w:val="00F76EF8"/>
    <w:rsid w:val="00F76F05"/>
    <w:rsid w:val="00F7715B"/>
    <w:rsid w:val="00F7715D"/>
    <w:rsid w:val="00F77D2F"/>
    <w:rsid w:val="00F77F74"/>
    <w:rsid w:val="00F8038E"/>
    <w:rsid w:val="00F803A5"/>
    <w:rsid w:val="00F807D4"/>
    <w:rsid w:val="00F80C1D"/>
    <w:rsid w:val="00F80DBB"/>
    <w:rsid w:val="00F81130"/>
    <w:rsid w:val="00F81458"/>
    <w:rsid w:val="00F81551"/>
    <w:rsid w:val="00F818CC"/>
    <w:rsid w:val="00F818F7"/>
    <w:rsid w:val="00F81AA1"/>
    <w:rsid w:val="00F81C63"/>
    <w:rsid w:val="00F81F72"/>
    <w:rsid w:val="00F820B1"/>
    <w:rsid w:val="00F82208"/>
    <w:rsid w:val="00F823CF"/>
    <w:rsid w:val="00F824B9"/>
    <w:rsid w:val="00F829FF"/>
    <w:rsid w:val="00F82AA2"/>
    <w:rsid w:val="00F8325D"/>
    <w:rsid w:val="00F832A9"/>
    <w:rsid w:val="00F832B0"/>
    <w:rsid w:val="00F83307"/>
    <w:rsid w:val="00F833A5"/>
    <w:rsid w:val="00F83830"/>
    <w:rsid w:val="00F83DA4"/>
    <w:rsid w:val="00F83DD6"/>
    <w:rsid w:val="00F842ED"/>
    <w:rsid w:val="00F844D3"/>
    <w:rsid w:val="00F84629"/>
    <w:rsid w:val="00F84829"/>
    <w:rsid w:val="00F84B66"/>
    <w:rsid w:val="00F84B71"/>
    <w:rsid w:val="00F84EC8"/>
    <w:rsid w:val="00F84F0E"/>
    <w:rsid w:val="00F84F93"/>
    <w:rsid w:val="00F84FEE"/>
    <w:rsid w:val="00F85105"/>
    <w:rsid w:val="00F8519E"/>
    <w:rsid w:val="00F8526B"/>
    <w:rsid w:val="00F85347"/>
    <w:rsid w:val="00F85C43"/>
    <w:rsid w:val="00F85FF5"/>
    <w:rsid w:val="00F861F5"/>
    <w:rsid w:val="00F8641D"/>
    <w:rsid w:val="00F86935"/>
    <w:rsid w:val="00F86BB4"/>
    <w:rsid w:val="00F86C82"/>
    <w:rsid w:val="00F86CDC"/>
    <w:rsid w:val="00F86D20"/>
    <w:rsid w:val="00F86D39"/>
    <w:rsid w:val="00F86D42"/>
    <w:rsid w:val="00F86E56"/>
    <w:rsid w:val="00F870F5"/>
    <w:rsid w:val="00F87186"/>
    <w:rsid w:val="00F8734B"/>
    <w:rsid w:val="00F874E9"/>
    <w:rsid w:val="00F8791D"/>
    <w:rsid w:val="00F9009D"/>
    <w:rsid w:val="00F902D2"/>
    <w:rsid w:val="00F90787"/>
    <w:rsid w:val="00F908DB"/>
    <w:rsid w:val="00F90A3F"/>
    <w:rsid w:val="00F90B12"/>
    <w:rsid w:val="00F90CBD"/>
    <w:rsid w:val="00F9109E"/>
    <w:rsid w:val="00F911CF"/>
    <w:rsid w:val="00F9177E"/>
    <w:rsid w:val="00F91954"/>
    <w:rsid w:val="00F919E2"/>
    <w:rsid w:val="00F91C0F"/>
    <w:rsid w:val="00F91C75"/>
    <w:rsid w:val="00F91DC5"/>
    <w:rsid w:val="00F91E4F"/>
    <w:rsid w:val="00F91FDF"/>
    <w:rsid w:val="00F921B3"/>
    <w:rsid w:val="00F92211"/>
    <w:rsid w:val="00F92240"/>
    <w:rsid w:val="00F9272F"/>
    <w:rsid w:val="00F92AA1"/>
    <w:rsid w:val="00F92DC6"/>
    <w:rsid w:val="00F92F7A"/>
    <w:rsid w:val="00F92FDC"/>
    <w:rsid w:val="00F931D2"/>
    <w:rsid w:val="00F93431"/>
    <w:rsid w:val="00F9391E"/>
    <w:rsid w:val="00F93A4A"/>
    <w:rsid w:val="00F93A97"/>
    <w:rsid w:val="00F93D27"/>
    <w:rsid w:val="00F93E59"/>
    <w:rsid w:val="00F940ED"/>
    <w:rsid w:val="00F9436E"/>
    <w:rsid w:val="00F944F0"/>
    <w:rsid w:val="00F945DA"/>
    <w:rsid w:val="00F94F43"/>
    <w:rsid w:val="00F94FD5"/>
    <w:rsid w:val="00F95069"/>
    <w:rsid w:val="00F950B0"/>
    <w:rsid w:val="00F951EB"/>
    <w:rsid w:val="00F95278"/>
    <w:rsid w:val="00F9542D"/>
    <w:rsid w:val="00F95436"/>
    <w:rsid w:val="00F95564"/>
    <w:rsid w:val="00F95620"/>
    <w:rsid w:val="00F957A2"/>
    <w:rsid w:val="00F95AEB"/>
    <w:rsid w:val="00F95C0B"/>
    <w:rsid w:val="00F95DD6"/>
    <w:rsid w:val="00F95E3C"/>
    <w:rsid w:val="00F95F2F"/>
    <w:rsid w:val="00F96370"/>
    <w:rsid w:val="00F9659B"/>
    <w:rsid w:val="00F96A27"/>
    <w:rsid w:val="00F96D99"/>
    <w:rsid w:val="00F97027"/>
    <w:rsid w:val="00F9719A"/>
    <w:rsid w:val="00F9728D"/>
    <w:rsid w:val="00F972A5"/>
    <w:rsid w:val="00F977ED"/>
    <w:rsid w:val="00F97940"/>
    <w:rsid w:val="00F97BA3"/>
    <w:rsid w:val="00F97DBC"/>
    <w:rsid w:val="00F97EA2"/>
    <w:rsid w:val="00F97F0D"/>
    <w:rsid w:val="00F97F6E"/>
    <w:rsid w:val="00F97FFE"/>
    <w:rsid w:val="00FA02B0"/>
    <w:rsid w:val="00FA06B4"/>
    <w:rsid w:val="00FA0800"/>
    <w:rsid w:val="00FA09D1"/>
    <w:rsid w:val="00FA0B0A"/>
    <w:rsid w:val="00FA0BAB"/>
    <w:rsid w:val="00FA0C7B"/>
    <w:rsid w:val="00FA107B"/>
    <w:rsid w:val="00FA121C"/>
    <w:rsid w:val="00FA12BD"/>
    <w:rsid w:val="00FA1309"/>
    <w:rsid w:val="00FA1407"/>
    <w:rsid w:val="00FA1A68"/>
    <w:rsid w:val="00FA1B1A"/>
    <w:rsid w:val="00FA1C6C"/>
    <w:rsid w:val="00FA21C9"/>
    <w:rsid w:val="00FA22A6"/>
    <w:rsid w:val="00FA2611"/>
    <w:rsid w:val="00FA2670"/>
    <w:rsid w:val="00FA2747"/>
    <w:rsid w:val="00FA2A33"/>
    <w:rsid w:val="00FA2C8F"/>
    <w:rsid w:val="00FA2CF7"/>
    <w:rsid w:val="00FA2D80"/>
    <w:rsid w:val="00FA32F4"/>
    <w:rsid w:val="00FA3410"/>
    <w:rsid w:val="00FA3431"/>
    <w:rsid w:val="00FA3476"/>
    <w:rsid w:val="00FA3528"/>
    <w:rsid w:val="00FA360B"/>
    <w:rsid w:val="00FA3860"/>
    <w:rsid w:val="00FA3A50"/>
    <w:rsid w:val="00FA3B62"/>
    <w:rsid w:val="00FA3BA3"/>
    <w:rsid w:val="00FA3C98"/>
    <w:rsid w:val="00FA3D0C"/>
    <w:rsid w:val="00FA3FC2"/>
    <w:rsid w:val="00FA41BC"/>
    <w:rsid w:val="00FA41CB"/>
    <w:rsid w:val="00FA45E8"/>
    <w:rsid w:val="00FA45ED"/>
    <w:rsid w:val="00FA4763"/>
    <w:rsid w:val="00FA4830"/>
    <w:rsid w:val="00FA492A"/>
    <w:rsid w:val="00FA4E16"/>
    <w:rsid w:val="00FA4FB6"/>
    <w:rsid w:val="00FA5032"/>
    <w:rsid w:val="00FA519E"/>
    <w:rsid w:val="00FA5382"/>
    <w:rsid w:val="00FA56CD"/>
    <w:rsid w:val="00FA5910"/>
    <w:rsid w:val="00FA5A7A"/>
    <w:rsid w:val="00FA5C3F"/>
    <w:rsid w:val="00FA5CBB"/>
    <w:rsid w:val="00FA5EE7"/>
    <w:rsid w:val="00FA5F60"/>
    <w:rsid w:val="00FA6715"/>
    <w:rsid w:val="00FA6980"/>
    <w:rsid w:val="00FA6CDF"/>
    <w:rsid w:val="00FA71FC"/>
    <w:rsid w:val="00FA7816"/>
    <w:rsid w:val="00FA78CB"/>
    <w:rsid w:val="00FA79FF"/>
    <w:rsid w:val="00FA7BB5"/>
    <w:rsid w:val="00FA7C85"/>
    <w:rsid w:val="00FA7D04"/>
    <w:rsid w:val="00FB003E"/>
    <w:rsid w:val="00FB0086"/>
    <w:rsid w:val="00FB058F"/>
    <w:rsid w:val="00FB07AC"/>
    <w:rsid w:val="00FB08E3"/>
    <w:rsid w:val="00FB0993"/>
    <w:rsid w:val="00FB0C37"/>
    <w:rsid w:val="00FB0DEB"/>
    <w:rsid w:val="00FB0E6A"/>
    <w:rsid w:val="00FB0FFD"/>
    <w:rsid w:val="00FB12D8"/>
    <w:rsid w:val="00FB13E9"/>
    <w:rsid w:val="00FB14D0"/>
    <w:rsid w:val="00FB1596"/>
    <w:rsid w:val="00FB176A"/>
    <w:rsid w:val="00FB17F1"/>
    <w:rsid w:val="00FB1801"/>
    <w:rsid w:val="00FB1827"/>
    <w:rsid w:val="00FB1846"/>
    <w:rsid w:val="00FB1877"/>
    <w:rsid w:val="00FB197E"/>
    <w:rsid w:val="00FB1CDC"/>
    <w:rsid w:val="00FB20DD"/>
    <w:rsid w:val="00FB238A"/>
    <w:rsid w:val="00FB2446"/>
    <w:rsid w:val="00FB2AF6"/>
    <w:rsid w:val="00FB2C81"/>
    <w:rsid w:val="00FB2DC2"/>
    <w:rsid w:val="00FB2E07"/>
    <w:rsid w:val="00FB2E54"/>
    <w:rsid w:val="00FB2E5D"/>
    <w:rsid w:val="00FB3196"/>
    <w:rsid w:val="00FB338C"/>
    <w:rsid w:val="00FB3A5F"/>
    <w:rsid w:val="00FB3B51"/>
    <w:rsid w:val="00FB3BC4"/>
    <w:rsid w:val="00FB3DDE"/>
    <w:rsid w:val="00FB3F9C"/>
    <w:rsid w:val="00FB3FDE"/>
    <w:rsid w:val="00FB44FA"/>
    <w:rsid w:val="00FB4676"/>
    <w:rsid w:val="00FB491C"/>
    <w:rsid w:val="00FB4AD6"/>
    <w:rsid w:val="00FB51DA"/>
    <w:rsid w:val="00FB5314"/>
    <w:rsid w:val="00FB5552"/>
    <w:rsid w:val="00FB561C"/>
    <w:rsid w:val="00FB5739"/>
    <w:rsid w:val="00FB5789"/>
    <w:rsid w:val="00FB58D6"/>
    <w:rsid w:val="00FB5C26"/>
    <w:rsid w:val="00FB5F3A"/>
    <w:rsid w:val="00FB5FC4"/>
    <w:rsid w:val="00FB60AC"/>
    <w:rsid w:val="00FB6265"/>
    <w:rsid w:val="00FB67E0"/>
    <w:rsid w:val="00FB6A29"/>
    <w:rsid w:val="00FB6AA9"/>
    <w:rsid w:val="00FB6AD4"/>
    <w:rsid w:val="00FB6C62"/>
    <w:rsid w:val="00FB6E17"/>
    <w:rsid w:val="00FB6E40"/>
    <w:rsid w:val="00FB6FFC"/>
    <w:rsid w:val="00FB71D7"/>
    <w:rsid w:val="00FB7369"/>
    <w:rsid w:val="00FB73D7"/>
    <w:rsid w:val="00FB7B5D"/>
    <w:rsid w:val="00FB7C25"/>
    <w:rsid w:val="00FB7F22"/>
    <w:rsid w:val="00FC002A"/>
    <w:rsid w:val="00FC00F3"/>
    <w:rsid w:val="00FC04F1"/>
    <w:rsid w:val="00FC0A33"/>
    <w:rsid w:val="00FC0CEB"/>
    <w:rsid w:val="00FC0EC4"/>
    <w:rsid w:val="00FC0F53"/>
    <w:rsid w:val="00FC11C4"/>
    <w:rsid w:val="00FC1416"/>
    <w:rsid w:val="00FC14B2"/>
    <w:rsid w:val="00FC1823"/>
    <w:rsid w:val="00FC1B3D"/>
    <w:rsid w:val="00FC1CAA"/>
    <w:rsid w:val="00FC1E48"/>
    <w:rsid w:val="00FC1E6E"/>
    <w:rsid w:val="00FC20CD"/>
    <w:rsid w:val="00FC2198"/>
    <w:rsid w:val="00FC234A"/>
    <w:rsid w:val="00FC26A4"/>
    <w:rsid w:val="00FC27A6"/>
    <w:rsid w:val="00FC286C"/>
    <w:rsid w:val="00FC287D"/>
    <w:rsid w:val="00FC2A02"/>
    <w:rsid w:val="00FC2A70"/>
    <w:rsid w:val="00FC2C93"/>
    <w:rsid w:val="00FC2CB4"/>
    <w:rsid w:val="00FC2F97"/>
    <w:rsid w:val="00FC2F9B"/>
    <w:rsid w:val="00FC325A"/>
    <w:rsid w:val="00FC32E1"/>
    <w:rsid w:val="00FC334F"/>
    <w:rsid w:val="00FC33ED"/>
    <w:rsid w:val="00FC3428"/>
    <w:rsid w:val="00FC34A6"/>
    <w:rsid w:val="00FC34F7"/>
    <w:rsid w:val="00FC3A8A"/>
    <w:rsid w:val="00FC3E61"/>
    <w:rsid w:val="00FC3FD4"/>
    <w:rsid w:val="00FC4007"/>
    <w:rsid w:val="00FC43AD"/>
    <w:rsid w:val="00FC4705"/>
    <w:rsid w:val="00FC4D58"/>
    <w:rsid w:val="00FC539C"/>
    <w:rsid w:val="00FC5779"/>
    <w:rsid w:val="00FC5876"/>
    <w:rsid w:val="00FC5CF9"/>
    <w:rsid w:val="00FC5E12"/>
    <w:rsid w:val="00FC6224"/>
    <w:rsid w:val="00FC628F"/>
    <w:rsid w:val="00FC62F5"/>
    <w:rsid w:val="00FC6A7D"/>
    <w:rsid w:val="00FC6B16"/>
    <w:rsid w:val="00FC731E"/>
    <w:rsid w:val="00FC7800"/>
    <w:rsid w:val="00FC7CFD"/>
    <w:rsid w:val="00FC7DC7"/>
    <w:rsid w:val="00FC7DEB"/>
    <w:rsid w:val="00FD019A"/>
    <w:rsid w:val="00FD020F"/>
    <w:rsid w:val="00FD035A"/>
    <w:rsid w:val="00FD0393"/>
    <w:rsid w:val="00FD04D1"/>
    <w:rsid w:val="00FD051F"/>
    <w:rsid w:val="00FD06E4"/>
    <w:rsid w:val="00FD0858"/>
    <w:rsid w:val="00FD0890"/>
    <w:rsid w:val="00FD0F28"/>
    <w:rsid w:val="00FD0F67"/>
    <w:rsid w:val="00FD0FEF"/>
    <w:rsid w:val="00FD10E2"/>
    <w:rsid w:val="00FD116D"/>
    <w:rsid w:val="00FD1587"/>
    <w:rsid w:val="00FD19B8"/>
    <w:rsid w:val="00FD19F1"/>
    <w:rsid w:val="00FD1A7E"/>
    <w:rsid w:val="00FD1E30"/>
    <w:rsid w:val="00FD1E7C"/>
    <w:rsid w:val="00FD1F6D"/>
    <w:rsid w:val="00FD24B9"/>
    <w:rsid w:val="00FD28C4"/>
    <w:rsid w:val="00FD29A4"/>
    <w:rsid w:val="00FD2CC3"/>
    <w:rsid w:val="00FD31BF"/>
    <w:rsid w:val="00FD32F5"/>
    <w:rsid w:val="00FD3355"/>
    <w:rsid w:val="00FD364D"/>
    <w:rsid w:val="00FD3894"/>
    <w:rsid w:val="00FD3CC7"/>
    <w:rsid w:val="00FD3F64"/>
    <w:rsid w:val="00FD410B"/>
    <w:rsid w:val="00FD4148"/>
    <w:rsid w:val="00FD4542"/>
    <w:rsid w:val="00FD4D5B"/>
    <w:rsid w:val="00FD51E4"/>
    <w:rsid w:val="00FD55D8"/>
    <w:rsid w:val="00FD58C2"/>
    <w:rsid w:val="00FD5A09"/>
    <w:rsid w:val="00FD5E4D"/>
    <w:rsid w:val="00FD6370"/>
    <w:rsid w:val="00FD6453"/>
    <w:rsid w:val="00FD6696"/>
    <w:rsid w:val="00FD67FD"/>
    <w:rsid w:val="00FD713E"/>
    <w:rsid w:val="00FD772F"/>
    <w:rsid w:val="00FD7898"/>
    <w:rsid w:val="00FD7AC7"/>
    <w:rsid w:val="00FD7CB2"/>
    <w:rsid w:val="00FD7D46"/>
    <w:rsid w:val="00FD7D8B"/>
    <w:rsid w:val="00FD7E6C"/>
    <w:rsid w:val="00FD7FD6"/>
    <w:rsid w:val="00FE0382"/>
    <w:rsid w:val="00FE0448"/>
    <w:rsid w:val="00FE09B9"/>
    <w:rsid w:val="00FE0AF2"/>
    <w:rsid w:val="00FE0EF6"/>
    <w:rsid w:val="00FE0F40"/>
    <w:rsid w:val="00FE0F98"/>
    <w:rsid w:val="00FE1481"/>
    <w:rsid w:val="00FE1C47"/>
    <w:rsid w:val="00FE1D42"/>
    <w:rsid w:val="00FE1E0B"/>
    <w:rsid w:val="00FE1E62"/>
    <w:rsid w:val="00FE20DE"/>
    <w:rsid w:val="00FE21B9"/>
    <w:rsid w:val="00FE22DD"/>
    <w:rsid w:val="00FE2349"/>
    <w:rsid w:val="00FE25C9"/>
    <w:rsid w:val="00FE25CC"/>
    <w:rsid w:val="00FE2A90"/>
    <w:rsid w:val="00FE2AF6"/>
    <w:rsid w:val="00FE2CFB"/>
    <w:rsid w:val="00FE2D37"/>
    <w:rsid w:val="00FE2EDF"/>
    <w:rsid w:val="00FE355D"/>
    <w:rsid w:val="00FE36EC"/>
    <w:rsid w:val="00FE37DB"/>
    <w:rsid w:val="00FE3A4D"/>
    <w:rsid w:val="00FE4795"/>
    <w:rsid w:val="00FE49C9"/>
    <w:rsid w:val="00FE4A60"/>
    <w:rsid w:val="00FE50B6"/>
    <w:rsid w:val="00FE5410"/>
    <w:rsid w:val="00FE54E0"/>
    <w:rsid w:val="00FE55F0"/>
    <w:rsid w:val="00FE56A1"/>
    <w:rsid w:val="00FE5B8E"/>
    <w:rsid w:val="00FE5E41"/>
    <w:rsid w:val="00FE5FC1"/>
    <w:rsid w:val="00FE6014"/>
    <w:rsid w:val="00FE624E"/>
    <w:rsid w:val="00FE6331"/>
    <w:rsid w:val="00FE6560"/>
    <w:rsid w:val="00FE6725"/>
    <w:rsid w:val="00FE672A"/>
    <w:rsid w:val="00FE6751"/>
    <w:rsid w:val="00FE685B"/>
    <w:rsid w:val="00FE6BFE"/>
    <w:rsid w:val="00FE6C12"/>
    <w:rsid w:val="00FE6DDA"/>
    <w:rsid w:val="00FE7049"/>
    <w:rsid w:val="00FE70D5"/>
    <w:rsid w:val="00FE7468"/>
    <w:rsid w:val="00FE77BE"/>
    <w:rsid w:val="00FE785C"/>
    <w:rsid w:val="00FE7894"/>
    <w:rsid w:val="00FE7C4F"/>
    <w:rsid w:val="00FF01FA"/>
    <w:rsid w:val="00FF02C2"/>
    <w:rsid w:val="00FF0409"/>
    <w:rsid w:val="00FF0566"/>
    <w:rsid w:val="00FF087C"/>
    <w:rsid w:val="00FF0945"/>
    <w:rsid w:val="00FF0A2B"/>
    <w:rsid w:val="00FF0A61"/>
    <w:rsid w:val="00FF0B63"/>
    <w:rsid w:val="00FF1037"/>
    <w:rsid w:val="00FF1088"/>
    <w:rsid w:val="00FF14AD"/>
    <w:rsid w:val="00FF164D"/>
    <w:rsid w:val="00FF16B2"/>
    <w:rsid w:val="00FF1B94"/>
    <w:rsid w:val="00FF1BC9"/>
    <w:rsid w:val="00FF2012"/>
    <w:rsid w:val="00FF21B5"/>
    <w:rsid w:val="00FF21C3"/>
    <w:rsid w:val="00FF28D8"/>
    <w:rsid w:val="00FF2A11"/>
    <w:rsid w:val="00FF2AA0"/>
    <w:rsid w:val="00FF2B27"/>
    <w:rsid w:val="00FF31DC"/>
    <w:rsid w:val="00FF3592"/>
    <w:rsid w:val="00FF36F7"/>
    <w:rsid w:val="00FF3E80"/>
    <w:rsid w:val="00FF3F6C"/>
    <w:rsid w:val="00FF4092"/>
    <w:rsid w:val="00FF40BD"/>
    <w:rsid w:val="00FF420A"/>
    <w:rsid w:val="00FF4603"/>
    <w:rsid w:val="00FF46C2"/>
    <w:rsid w:val="00FF470C"/>
    <w:rsid w:val="00FF4B07"/>
    <w:rsid w:val="00FF4BF1"/>
    <w:rsid w:val="00FF4BFC"/>
    <w:rsid w:val="00FF4C11"/>
    <w:rsid w:val="00FF4CC9"/>
    <w:rsid w:val="00FF5284"/>
    <w:rsid w:val="00FF56B9"/>
    <w:rsid w:val="00FF57E8"/>
    <w:rsid w:val="00FF5878"/>
    <w:rsid w:val="00FF58C0"/>
    <w:rsid w:val="00FF5948"/>
    <w:rsid w:val="00FF5A55"/>
    <w:rsid w:val="00FF5E0E"/>
    <w:rsid w:val="00FF5E11"/>
    <w:rsid w:val="00FF5E5D"/>
    <w:rsid w:val="00FF5E6A"/>
    <w:rsid w:val="00FF666F"/>
    <w:rsid w:val="00FF66CA"/>
    <w:rsid w:val="00FF6B71"/>
    <w:rsid w:val="00FF6BA9"/>
    <w:rsid w:val="00FF6DD2"/>
    <w:rsid w:val="00FF6E07"/>
    <w:rsid w:val="00FF6EDF"/>
    <w:rsid w:val="00FF6EEA"/>
    <w:rsid w:val="00FF7563"/>
    <w:rsid w:val="00FF77DF"/>
    <w:rsid w:val="00FF78E6"/>
    <w:rsid w:val="00FF79FF"/>
    <w:rsid w:val="00FF7ABB"/>
    <w:rsid w:val="00FF7B99"/>
    <w:rsid w:val="00FF7CEB"/>
    <w:rsid w:val="00FF7F72"/>
    <w:rsid w:val="01358438"/>
    <w:rsid w:val="016C7A9C"/>
    <w:rsid w:val="023170F6"/>
    <w:rsid w:val="02987A1A"/>
    <w:rsid w:val="02F76EE2"/>
    <w:rsid w:val="0386AB9E"/>
    <w:rsid w:val="03E240F2"/>
    <w:rsid w:val="03ED6BD1"/>
    <w:rsid w:val="03FCF01A"/>
    <w:rsid w:val="041AE340"/>
    <w:rsid w:val="046FCBA5"/>
    <w:rsid w:val="047605E9"/>
    <w:rsid w:val="04EB2BA1"/>
    <w:rsid w:val="04FE7A66"/>
    <w:rsid w:val="05057BB1"/>
    <w:rsid w:val="05098CD6"/>
    <w:rsid w:val="05410B14"/>
    <w:rsid w:val="0546ED0D"/>
    <w:rsid w:val="05518CE0"/>
    <w:rsid w:val="0557C29B"/>
    <w:rsid w:val="056FD8C5"/>
    <w:rsid w:val="0599868A"/>
    <w:rsid w:val="05B1FD10"/>
    <w:rsid w:val="05DFC268"/>
    <w:rsid w:val="05E6B465"/>
    <w:rsid w:val="0630439C"/>
    <w:rsid w:val="064CA2DD"/>
    <w:rsid w:val="0664092F"/>
    <w:rsid w:val="0684B752"/>
    <w:rsid w:val="068DD3A0"/>
    <w:rsid w:val="06990110"/>
    <w:rsid w:val="07026305"/>
    <w:rsid w:val="07467DB9"/>
    <w:rsid w:val="07556133"/>
    <w:rsid w:val="07B984AF"/>
    <w:rsid w:val="07F84FC0"/>
    <w:rsid w:val="07F8C819"/>
    <w:rsid w:val="081C6637"/>
    <w:rsid w:val="08553624"/>
    <w:rsid w:val="08C7CD72"/>
    <w:rsid w:val="08E60599"/>
    <w:rsid w:val="08EA0CD3"/>
    <w:rsid w:val="09042834"/>
    <w:rsid w:val="09472EE4"/>
    <w:rsid w:val="09966319"/>
    <w:rsid w:val="09A5D66B"/>
    <w:rsid w:val="0A37BE76"/>
    <w:rsid w:val="0A60C178"/>
    <w:rsid w:val="0A891D74"/>
    <w:rsid w:val="0AA139A3"/>
    <w:rsid w:val="0AA46053"/>
    <w:rsid w:val="0AB80256"/>
    <w:rsid w:val="0AD9A9EC"/>
    <w:rsid w:val="0ADE8310"/>
    <w:rsid w:val="0AFA8733"/>
    <w:rsid w:val="0B0DE2DA"/>
    <w:rsid w:val="0B732CE8"/>
    <w:rsid w:val="0BE54A6F"/>
    <w:rsid w:val="0C33A2AB"/>
    <w:rsid w:val="0CA79FE7"/>
    <w:rsid w:val="0D3691E9"/>
    <w:rsid w:val="0DBA98A2"/>
    <w:rsid w:val="0E3E7069"/>
    <w:rsid w:val="0E593CE7"/>
    <w:rsid w:val="0E9CF2EA"/>
    <w:rsid w:val="0EDD79BD"/>
    <w:rsid w:val="0F455225"/>
    <w:rsid w:val="104C0436"/>
    <w:rsid w:val="10A25141"/>
    <w:rsid w:val="10CDDFD7"/>
    <w:rsid w:val="11206192"/>
    <w:rsid w:val="1127EA12"/>
    <w:rsid w:val="1181E763"/>
    <w:rsid w:val="12152292"/>
    <w:rsid w:val="1227162A"/>
    <w:rsid w:val="1256075D"/>
    <w:rsid w:val="127A2ADC"/>
    <w:rsid w:val="12944684"/>
    <w:rsid w:val="12FC841E"/>
    <w:rsid w:val="1327F667"/>
    <w:rsid w:val="137584F9"/>
    <w:rsid w:val="139C45AA"/>
    <w:rsid w:val="13ED003D"/>
    <w:rsid w:val="1402A7BB"/>
    <w:rsid w:val="14FAB11F"/>
    <w:rsid w:val="14FE1E6E"/>
    <w:rsid w:val="153E92CE"/>
    <w:rsid w:val="156D19C6"/>
    <w:rsid w:val="157592FD"/>
    <w:rsid w:val="15AA0A7C"/>
    <w:rsid w:val="15E0C8CC"/>
    <w:rsid w:val="16179045"/>
    <w:rsid w:val="16AAF411"/>
    <w:rsid w:val="16AF9C6A"/>
    <w:rsid w:val="16B2481C"/>
    <w:rsid w:val="16E820B0"/>
    <w:rsid w:val="16E86005"/>
    <w:rsid w:val="171FD018"/>
    <w:rsid w:val="173F7FBF"/>
    <w:rsid w:val="174CB619"/>
    <w:rsid w:val="176DDD38"/>
    <w:rsid w:val="177EA5ED"/>
    <w:rsid w:val="17A78AC1"/>
    <w:rsid w:val="18D152EC"/>
    <w:rsid w:val="19145046"/>
    <w:rsid w:val="1926BAA0"/>
    <w:rsid w:val="192F8E2D"/>
    <w:rsid w:val="194CD4E2"/>
    <w:rsid w:val="19697D78"/>
    <w:rsid w:val="19A389C6"/>
    <w:rsid w:val="19F3455E"/>
    <w:rsid w:val="1A8C1FBF"/>
    <w:rsid w:val="1B1EE569"/>
    <w:rsid w:val="1B32EAA2"/>
    <w:rsid w:val="1BA6BC6F"/>
    <w:rsid w:val="1C089E90"/>
    <w:rsid w:val="1C213537"/>
    <w:rsid w:val="1C282AA2"/>
    <w:rsid w:val="1C2B4DCC"/>
    <w:rsid w:val="1C71F49D"/>
    <w:rsid w:val="1CB22AD9"/>
    <w:rsid w:val="1CB70A98"/>
    <w:rsid w:val="1CCE28F7"/>
    <w:rsid w:val="1CDE4307"/>
    <w:rsid w:val="1D6C9B10"/>
    <w:rsid w:val="1D6FA26B"/>
    <w:rsid w:val="1E1AEC74"/>
    <w:rsid w:val="1F40EED0"/>
    <w:rsid w:val="2012DE40"/>
    <w:rsid w:val="203C7778"/>
    <w:rsid w:val="20413501"/>
    <w:rsid w:val="2059EA68"/>
    <w:rsid w:val="2064E0F1"/>
    <w:rsid w:val="20955C00"/>
    <w:rsid w:val="209F1B7C"/>
    <w:rsid w:val="21A5129C"/>
    <w:rsid w:val="21C2A0C1"/>
    <w:rsid w:val="21E8F865"/>
    <w:rsid w:val="220A5669"/>
    <w:rsid w:val="22FF3D4E"/>
    <w:rsid w:val="22FF8CB3"/>
    <w:rsid w:val="23BD2244"/>
    <w:rsid w:val="23D00CC1"/>
    <w:rsid w:val="23D1548C"/>
    <w:rsid w:val="24153C69"/>
    <w:rsid w:val="2478712A"/>
    <w:rsid w:val="247AD579"/>
    <w:rsid w:val="24DED8D6"/>
    <w:rsid w:val="2581B605"/>
    <w:rsid w:val="25860FD8"/>
    <w:rsid w:val="25AA6B9C"/>
    <w:rsid w:val="25B4DAD1"/>
    <w:rsid w:val="25C781A0"/>
    <w:rsid w:val="25E5723B"/>
    <w:rsid w:val="2602932D"/>
    <w:rsid w:val="2641268F"/>
    <w:rsid w:val="267488AE"/>
    <w:rsid w:val="267CC515"/>
    <w:rsid w:val="26E721A0"/>
    <w:rsid w:val="2790B34E"/>
    <w:rsid w:val="28059CFA"/>
    <w:rsid w:val="2836268F"/>
    <w:rsid w:val="2863BEF8"/>
    <w:rsid w:val="287D5694"/>
    <w:rsid w:val="28A01C3F"/>
    <w:rsid w:val="28B860BE"/>
    <w:rsid w:val="290CC6C5"/>
    <w:rsid w:val="296806D0"/>
    <w:rsid w:val="296889BF"/>
    <w:rsid w:val="297C843D"/>
    <w:rsid w:val="298B86AF"/>
    <w:rsid w:val="29CF1065"/>
    <w:rsid w:val="29E11CA5"/>
    <w:rsid w:val="2A67F485"/>
    <w:rsid w:val="2B11BB48"/>
    <w:rsid w:val="2B1E8FDD"/>
    <w:rsid w:val="2BBF6493"/>
    <w:rsid w:val="2BE3EAE0"/>
    <w:rsid w:val="2BFDABF5"/>
    <w:rsid w:val="2C3BE37A"/>
    <w:rsid w:val="2C6424DA"/>
    <w:rsid w:val="2C7587D0"/>
    <w:rsid w:val="2CA96B4F"/>
    <w:rsid w:val="2CEB7A96"/>
    <w:rsid w:val="2CF642E5"/>
    <w:rsid w:val="2D1827D3"/>
    <w:rsid w:val="2D3A35FA"/>
    <w:rsid w:val="2D3BF123"/>
    <w:rsid w:val="2DEE4620"/>
    <w:rsid w:val="2E397589"/>
    <w:rsid w:val="2E90B946"/>
    <w:rsid w:val="2EE44DE9"/>
    <w:rsid w:val="2F739884"/>
    <w:rsid w:val="2FADC81E"/>
    <w:rsid w:val="2FF65792"/>
    <w:rsid w:val="301514BB"/>
    <w:rsid w:val="3032A085"/>
    <w:rsid w:val="315F8D19"/>
    <w:rsid w:val="31C8AA3F"/>
    <w:rsid w:val="31CCB0A6"/>
    <w:rsid w:val="326D6656"/>
    <w:rsid w:val="32802D17"/>
    <w:rsid w:val="32CC5CA5"/>
    <w:rsid w:val="3329B6CC"/>
    <w:rsid w:val="33463603"/>
    <w:rsid w:val="33A34006"/>
    <w:rsid w:val="33AC75DA"/>
    <w:rsid w:val="33BA3FAB"/>
    <w:rsid w:val="3414BBC1"/>
    <w:rsid w:val="3428FDEE"/>
    <w:rsid w:val="34ADDB95"/>
    <w:rsid w:val="34D893E8"/>
    <w:rsid w:val="34E8B979"/>
    <w:rsid w:val="351281F7"/>
    <w:rsid w:val="354497A6"/>
    <w:rsid w:val="354CFB0C"/>
    <w:rsid w:val="35E72DBA"/>
    <w:rsid w:val="361C2184"/>
    <w:rsid w:val="3659F21B"/>
    <w:rsid w:val="365A2930"/>
    <w:rsid w:val="36E8805A"/>
    <w:rsid w:val="3726F5C0"/>
    <w:rsid w:val="37A5B791"/>
    <w:rsid w:val="37B14AC9"/>
    <w:rsid w:val="382FB897"/>
    <w:rsid w:val="3834164E"/>
    <w:rsid w:val="384B8DF0"/>
    <w:rsid w:val="384BBF8A"/>
    <w:rsid w:val="3854EE27"/>
    <w:rsid w:val="388438ED"/>
    <w:rsid w:val="39465237"/>
    <w:rsid w:val="39A241C1"/>
    <w:rsid w:val="39AA67A3"/>
    <w:rsid w:val="3A38FA40"/>
    <w:rsid w:val="3A95BE69"/>
    <w:rsid w:val="3AE147A5"/>
    <w:rsid w:val="3B074BD3"/>
    <w:rsid w:val="3B5755C9"/>
    <w:rsid w:val="3B7DA8C1"/>
    <w:rsid w:val="3B8219DA"/>
    <w:rsid w:val="3BAA0A9D"/>
    <w:rsid w:val="3C1F4D37"/>
    <w:rsid w:val="3C3EF16F"/>
    <w:rsid w:val="3C5E2CFE"/>
    <w:rsid w:val="3C7408E0"/>
    <w:rsid w:val="3CC3E06B"/>
    <w:rsid w:val="3D587077"/>
    <w:rsid w:val="3D5EAA19"/>
    <w:rsid w:val="3D64A43A"/>
    <w:rsid w:val="3DC4903F"/>
    <w:rsid w:val="3DC5E185"/>
    <w:rsid w:val="3DC6762B"/>
    <w:rsid w:val="3DC7A884"/>
    <w:rsid w:val="3DE69A2B"/>
    <w:rsid w:val="3E7D28C0"/>
    <w:rsid w:val="3E7DA354"/>
    <w:rsid w:val="3E9C9FEB"/>
    <w:rsid w:val="3F53946A"/>
    <w:rsid w:val="3F82BEA9"/>
    <w:rsid w:val="4016E227"/>
    <w:rsid w:val="4034BF25"/>
    <w:rsid w:val="40509272"/>
    <w:rsid w:val="413C8217"/>
    <w:rsid w:val="414F2EA6"/>
    <w:rsid w:val="415E617E"/>
    <w:rsid w:val="4163BB63"/>
    <w:rsid w:val="4246B8DE"/>
    <w:rsid w:val="4265790D"/>
    <w:rsid w:val="4359EB1B"/>
    <w:rsid w:val="43944160"/>
    <w:rsid w:val="43B55144"/>
    <w:rsid w:val="43F191CA"/>
    <w:rsid w:val="4417C3BB"/>
    <w:rsid w:val="442BA66F"/>
    <w:rsid w:val="445B6E39"/>
    <w:rsid w:val="44689257"/>
    <w:rsid w:val="453F5DF1"/>
    <w:rsid w:val="46349CBE"/>
    <w:rsid w:val="46A596E1"/>
    <w:rsid w:val="46CA9401"/>
    <w:rsid w:val="46D2C6E1"/>
    <w:rsid w:val="46D4D78B"/>
    <w:rsid w:val="47017826"/>
    <w:rsid w:val="4722C6C9"/>
    <w:rsid w:val="479232FA"/>
    <w:rsid w:val="47BDE829"/>
    <w:rsid w:val="48164B9E"/>
    <w:rsid w:val="481F51B9"/>
    <w:rsid w:val="48317B27"/>
    <w:rsid w:val="4833C833"/>
    <w:rsid w:val="483BDEA9"/>
    <w:rsid w:val="484C2F2D"/>
    <w:rsid w:val="484E0E6F"/>
    <w:rsid w:val="484F1A29"/>
    <w:rsid w:val="48692D62"/>
    <w:rsid w:val="486EB217"/>
    <w:rsid w:val="4889B483"/>
    <w:rsid w:val="48A698EC"/>
    <w:rsid w:val="4A0B392A"/>
    <w:rsid w:val="4A8A08DB"/>
    <w:rsid w:val="4A9C5B12"/>
    <w:rsid w:val="4B74DD67"/>
    <w:rsid w:val="4BE388E5"/>
    <w:rsid w:val="4CBBDB2B"/>
    <w:rsid w:val="4CF350EA"/>
    <w:rsid w:val="4D482DD7"/>
    <w:rsid w:val="4D4B0155"/>
    <w:rsid w:val="4D54534B"/>
    <w:rsid w:val="4D80FE10"/>
    <w:rsid w:val="4D8FF3D4"/>
    <w:rsid w:val="4D96AACA"/>
    <w:rsid w:val="4DFAFC49"/>
    <w:rsid w:val="4DFB0735"/>
    <w:rsid w:val="4E92B7FD"/>
    <w:rsid w:val="4ED8978A"/>
    <w:rsid w:val="4EF13EB2"/>
    <w:rsid w:val="4F15B370"/>
    <w:rsid w:val="4F5F6DC9"/>
    <w:rsid w:val="4F827F3E"/>
    <w:rsid w:val="4F85C78B"/>
    <w:rsid w:val="4FBF015C"/>
    <w:rsid w:val="500BCD09"/>
    <w:rsid w:val="500DFA64"/>
    <w:rsid w:val="501ED89C"/>
    <w:rsid w:val="502AF1AC"/>
    <w:rsid w:val="506D0CC3"/>
    <w:rsid w:val="507D9922"/>
    <w:rsid w:val="517D13DC"/>
    <w:rsid w:val="519D9007"/>
    <w:rsid w:val="537A4F56"/>
    <w:rsid w:val="53EB2E7E"/>
    <w:rsid w:val="540896A8"/>
    <w:rsid w:val="54B46970"/>
    <w:rsid w:val="54EE2417"/>
    <w:rsid w:val="554D9157"/>
    <w:rsid w:val="554EBE27"/>
    <w:rsid w:val="55527087"/>
    <w:rsid w:val="5552D81E"/>
    <w:rsid w:val="5568BD4E"/>
    <w:rsid w:val="563A5FE6"/>
    <w:rsid w:val="56645062"/>
    <w:rsid w:val="566C6266"/>
    <w:rsid w:val="56A3B7B1"/>
    <w:rsid w:val="56B60922"/>
    <w:rsid w:val="577AB967"/>
    <w:rsid w:val="5780E2D3"/>
    <w:rsid w:val="57F7CADF"/>
    <w:rsid w:val="58D274BE"/>
    <w:rsid w:val="58EF20F8"/>
    <w:rsid w:val="594F55CE"/>
    <w:rsid w:val="5976F3BB"/>
    <w:rsid w:val="5ACF96E7"/>
    <w:rsid w:val="5BC2CE0A"/>
    <w:rsid w:val="5BCD76C0"/>
    <w:rsid w:val="5BD3297B"/>
    <w:rsid w:val="5BE404B4"/>
    <w:rsid w:val="5BE99A4F"/>
    <w:rsid w:val="5BF31C21"/>
    <w:rsid w:val="5BF67458"/>
    <w:rsid w:val="5C47D9E9"/>
    <w:rsid w:val="5C69EF55"/>
    <w:rsid w:val="5CA1ADAC"/>
    <w:rsid w:val="5D3A33BA"/>
    <w:rsid w:val="5D4E312F"/>
    <w:rsid w:val="5DB1D87D"/>
    <w:rsid w:val="5DC785A1"/>
    <w:rsid w:val="5DCE31A4"/>
    <w:rsid w:val="5E19FA75"/>
    <w:rsid w:val="5E2ABA93"/>
    <w:rsid w:val="5EE5612D"/>
    <w:rsid w:val="5EEEB881"/>
    <w:rsid w:val="5F0A6AE4"/>
    <w:rsid w:val="5F573B19"/>
    <w:rsid w:val="5F5907C8"/>
    <w:rsid w:val="5F882D0A"/>
    <w:rsid w:val="6171A5ED"/>
    <w:rsid w:val="617C9D11"/>
    <w:rsid w:val="6191D07D"/>
    <w:rsid w:val="619E394D"/>
    <w:rsid w:val="61AD9701"/>
    <w:rsid w:val="621963C4"/>
    <w:rsid w:val="621FA12C"/>
    <w:rsid w:val="6227C1B7"/>
    <w:rsid w:val="62790761"/>
    <w:rsid w:val="62838814"/>
    <w:rsid w:val="62E96D1A"/>
    <w:rsid w:val="63033DEC"/>
    <w:rsid w:val="633D27F8"/>
    <w:rsid w:val="63E67A19"/>
    <w:rsid w:val="64A8A738"/>
    <w:rsid w:val="64A8C6C3"/>
    <w:rsid w:val="656059EC"/>
    <w:rsid w:val="65ECD61A"/>
    <w:rsid w:val="662E9C3F"/>
    <w:rsid w:val="6639AF3D"/>
    <w:rsid w:val="663B980F"/>
    <w:rsid w:val="66491C79"/>
    <w:rsid w:val="668F18E5"/>
    <w:rsid w:val="671E052A"/>
    <w:rsid w:val="67352A90"/>
    <w:rsid w:val="67BE5935"/>
    <w:rsid w:val="67C360D9"/>
    <w:rsid w:val="67DC6CDE"/>
    <w:rsid w:val="681640B0"/>
    <w:rsid w:val="68BD23D8"/>
    <w:rsid w:val="68D75E9E"/>
    <w:rsid w:val="68F4E760"/>
    <w:rsid w:val="69A6E9DD"/>
    <w:rsid w:val="69B5B7DA"/>
    <w:rsid w:val="6A6ACBD2"/>
    <w:rsid w:val="6AA8CFCB"/>
    <w:rsid w:val="6AB6BBB9"/>
    <w:rsid w:val="6AD5ED44"/>
    <w:rsid w:val="6AF054C6"/>
    <w:rsid w:val="6B5D8E6B"/>
    <w:rsid w:val="6BAD1AE9"/>
    <w:rsid w:val="6C408B0B"/>
    <w:rsid w:val="6D0D347F"/>
    <w:rsid w:val="6D236A48"/>
    <w:rsid w:val="6D745DE2"/>
    <w:rsid w:val="6D940A11"/>
    <w:rsid w:val="6D943FD5"/>
    <w:rsid w:val="6DB1436A"/>
    <w:rsid w:val="6DB89585"/>
    <w:rsid w:val="6DD446C1"/>
    <w:rsid w:val="6DE581C3"/>
    <w:rsid w:val="6DEA5195"/>
    <w:rsid w:val="6E2E8D20"/>
    <w:rsid w:val="6E31B0BE"/>
    <w:rsid w:val="6E9B54BE"/>
    <w:rsid w:val="6EB4F180"/>
    <w:rsid w:val="6F381B43"/>
    <w:rsid w:val="6F719FD8"/>
    <w:rsid w:val="6FBF17AC"/>
    <w:rsid w:val="708AB32E"/>
    <w:rsid w:val="7090D7C3"/>
    <w:rsid w:val="70B2DA6E"/>
    <w:rsid w:val="70BE107C"/>
    <w:rsid w:val="70FB8015"/>
    <w:rsid w:val="70FF3FE9"/>
    <w:rsid w:val="711FD305"/>
    <w:rsid w:val="715BE710"/>
    <w:rsid w:val="716CCA82"/>
    <w:rsid w:val="718EB115"/>
    <w:rsid w:val="71A4242E"/>
    <w:rsid w:val="71ACB789"/>
    <w:rsid w:val="71B82E16"/>
    <w:rsid w:val="72D67F2B"/>
    <w:rsid w:val="72E152C0"/>
    <w:rsid w:val="73189787"/>
    <w:rsid w:val="73E17624"/>
    <w:rsid w:val="744A3A79"/>
    <w:rsid w:val="745329C2"/>
    <w:rsid w:val="74813FFE"/>
    <w:rsid w:val="74A5E2BF"/>
    <w:rsid w:val="75448CE6"/>
    <w:rsid w:val="7557CFF4"/>
    <w:rsid w:val="75984FDC"/>
    <w:rsid w:val="75E37DCF"/>
    <w:rsid w:val="75FF3417"/>
    <w:rsid w:val="763406EB"/>
    <w:rsid w:val="769979FA"/>
    <w:rsid w:val="76B8698B"/>
    <w:rsid w:val="76E4C978"/>
    <w:rsid w:val="771D54F0"/>
    <w:rsid w:val="7777B40D"/>
    <w:rsid w:val="78086575"/>
    <w:rsid w:val="782172F0"/>
    <w:rsid w:val="78289539"/>
    <w:rsid w:val="78586A08"/>
    <w:rsid w:val="78D58787"/>
    <w:rsid w:val="791E3207"/>
    <w:rsid w:val="7924316C"/>
    <w:rsid w:val="793BFC44"/>
    <w:rsid w:val="796D2CDD"/>
    <w:rsid w:val="79ABA4AE"/>
    <w:rsid w:val="79B171B8"/>
    <w:rsid w:val="79D51A2F"/>
    <w:rsid w:val="79D99AE3"/>
    <w:rsid w:val="79F0EB8F"/>
    <w:rsid w:val="7A15BFB1"/>
    <w:rsid w:val="7AF95886"/>
    <w:rsid w:val="7B2F1386"/>
    <w:rsid w:val="7B8E405D"/>
    <w:rsid w:val="7B981A98"/>
    <w:rsid w:val="7BBE97CA"/>
    <w:rsid w:val="7BED9083"/>
    <w:rsid w:val="7C4A8862"/>
    <w:rsid w:val="7CD8CC90"/>
    <w:rsid w:val="7CE62E2D"/>
    <w:rsid w:val="7D2EBF0E"/>
    <w:rsid w:val="7D2F0C47"/>
    <w:rsid w:val="7D4F2113"/>
    <w:rsid w:val="7D6EB393"/>
    <w:rsid w:val="7DA0B947"/>
    <w:rsid w:val="7DDF9906"/>
    <w:rsid w:val="7DF65DEF"/>
    <w:rsid w:val="7E0D913A"/>
    <w:rsid w:val="7E702436"/>
    <w:rsid w:val="7E83095F"/>
    <w:rsid w:val="7E8ACCD9"/>
    <w:rsid w:val="7E8B0596"/>
    <w:rsid w:val="7EAE4E47"/>
    <w:rsid w:val="7F1A6F65"/>
    <w:rsid w:val="7F39FC50"/>
    <w:rsid w:val="7FF058E4"/>
    <w:rsid w:val="7FFFB31A"/>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0911DC"/>
  <w15:docId w15:val="{DC1B52D7-57E9-4348-9217-B05964B2F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746A"/>
    <w:pPr>
      <w:spacing w:after="0" w:line="240" w:lineRule="auto"/>
      <w:jc w:val="both"/>
    </w:pPr>
    <w:rPr>
      <w:rFonts w:ascii="Calibri" w:hAnsi="Calibri" w:cs="Times New Roman"/>
      <w:szCs w:val="24"/>
      <w:lang w:val="en-US"/>
    </w:rPr>
  </w:style>
  <w:style w:type="paragraph" w:styleId="Heading1">
    <w:name w:val="heading 1"/>
    <w:basedOn w:val="Normal"/>
    <w:next w:val="BodyText"/>
    <w:link w:val="Heading1Char"/>
    <w:qFormat/>
    <w:rsid w:val="00A4744C"/>
    <w:pPr>
      <w:keepNext/>
      <w:tabs>
        <w:tab w:val="left" w:pos="851"/>
      </w:tabs>
      <w:spacing w:after="360" w:line="600" w:lineRule="atLeast"/>
      <w:jc w:val="left"/>
      <w:outlineLvl w:val="0"/>
    </w:pPr>
    <w:rPr>
      <w:rFonts w:ascii="Georgia" w:eastAsiaTheme="majorEastAsia" w:hAnsi="Georgia" w:cstheme="majorBidi"/>
      <w:b/>
      <w:bCs/>
      <w:color w:val="1B556B"/>
      <w:sz w:val="48"/>
      <w:szCs w:val="28"/>
      <w:lang w:val="en-NZ" w:eastAsia="en-NZ"/>
    </w:rPr>
  </w:style>
  <w:style w:type="paragraph" w:styleId="Heading2">
    <w:name w:val="heading 2"/>
    <w:basedOn w:val="Normal"/>
    <w:next w:val="BodyText"/>
    <w:link w:val="Heading2Char"/>
    <w:qFormat/>
    <w:rsid w:val="008B279A"/>
    <w:pPr>
      <w:keepNext/>
      <w:numPr>
        <w:numId w:val="18"/>
      </w:numPr>
      <w:tabs>
        <w:tab w:val="left" w:pos="964"/>
      </w:tabs>
      <w:spacing w:before="360" w:line="440" w:lineRule="atLeast"/>
      <w:jc w:val="left"/>
      <w:outlineLvl w:val="1"/>
    </w:pPr>
    <w:rPr>
      <w:rFonts w:ascii="Georgia" w:eastAsiaTheme="majorEastAsia" w:hAnsi="Georgia" w:cstheme="majorBidi"/>
      <w:b/>
      <w:bCs/>
      <w:color w:val="1B556B"/>
      <w:sz w:val="36"/>
      <w:szCs w:val="26"/>
      <w:lang w:val="en-NZ" w:eastAsia="en-NZ"/>
    </w:rPr>
  </w:style>
  <w:style w:type="paragraph" w:styleId="Heading3">
    <w:name w:val="heading 3"/>
    <w:basedOn w:val="Normal"/>
    <w:next w:val="BodyText"/>
    <w:link w:val="Heading3Char"/>
    <w:autoRedefine/>
    <w:qFormat/>
    <w:rsid w:val="0068533B"/>
    <w:pPr>
      <w:keepNext/>
      <w:tabs>
        <w:tab w:val="left" w:pos="964"/>
      </w:tabs>
      <w:spacing w:before="360" w:line="360" w:lineRule="atLeast"/>
      <w:ind w:left="964" w:hanging="964"/>
      <w:jc w:val="left"/>
      <w:outlineLvl w:val="2"/>
    </w:pPr>
    <w:rPr>
      <w:rFonts w:ascii="Georgia" w:eastAsiaTheme="majorEastAsia" w:hAnsi="Georgia" w:cstheme="majorBidi"/>
      <w:b/>
      <w:bCs/>
      <w:sz w:val="28"/>
      <w:szCs w:val="22"/>
      <w:lang w:val="en-NZ" w:eastAsia="en-NZ"/>
    </w:rPr>
  </w:style>
  <w:style w:type="paragraph" w:styleId="Heading4">
    <w:name w:val="heading 4"/>
    <w:basedOn w:val="Heading3"/>
    <w:next w:val="BodyText"/>
    <w:link w:val="Heading4Char"/>
    <w:qFormat/>
    <w:rsid w:val="007C791C"/>
    <w:pPr>
      <w:outlineLvl w:val="3"/>
    </w:pPr>
    <w:rPr>
      <w:sz w:val="24"/>
    </w:rPr>
  </w:style>
  <w:style w:type="paragraph" w:styleId="Heading5">
    <w:name w:val="heading 5"/>
    <w:basedOn w:val="Normal"/>
    <w:next w:val="BodyText"/>
    <w:link w:val="Heading5Char"/>
    <w:qFormat/>
    <w:rsid w:val="00FF31DC"/>
    <w:pPr>
      <w:keepNext/>
      <w:spacing w:before="240"/>
      <w:jc w:val="left"/>
      <w:outlineLvl w:val="4"/>
    </w:pPr>
    <w:rPr>
      <w:rFonts w:eastAsiaTheme="majorEastAsia" w:cstheme="majorBidi"/>
      <w:i/>
      <w:sz w:val="24"/>
      <w:szCs w:val="22"/>
      <w:lang w:val="en-NZ" w:eastAsia="en-NZ"/>
    </w:rPr>
  </w:style>
  <w:style w:type="paragraph" w:styleId="Heading6">
    <w:name w:val="heading 6"/>
    <w:basedOn w:val="Normal"/>
    <w:next w:val="Normal"/>
    <w:link w:val="Heading6Char"/>
    <w:semiHidden/>
    <w:rsid w:val="00EA64B4"/>
    <w:pPr>
      <w:numPr>
        <w:ilvl w:val="5"/>
        <w:numId w:val="1"/>
      </w:numPr>
      <w:spacing w:before="240" w:line="288" w:lineRule="auto"/>
      <w:outlineLvl w:val="5"/>
    </w:pPr>
    <w:rPr>
      <w:rFonts w:eastAsia="Times New Roman"/>
      <w:b/>
      <w:szCs w:val="20"/>
      <w:lang w:val="en-AU"/>
    </w:rPr>
  </w:style>
  <w:style w:type="paragraph" w:styleId="Heading7">
    <w:name w:val="heading 7"/>
    <w:basedOn w:val="Normal"/>
    <w:next w:val="Normal"/>
    <w:link w:val="Heading7Char"/>
    <w:semiHidden/>
    <w:qFormat/>
    <w:rsid w:val="00EA64B4"/>
    <w:pPr>
      <w:numPr>
        <w:ilvl w:val="6"/>
        <w:numId w:val="1"/>
      </w:numPr>
      <w:spacing w:before="240" w:line="288" w:lineRule="auto"/>
      <w:outlineLvl w:val="6"/>
    </w:pPr>
    <w:rPr>
      <w:rFonts w:eastAsia="Times New Roman"/>
      <w:szCs w:val="20"/>
      <w:lang w:val="en-AU"/>
    </w:rPr>
  </w:style>
  <w:style w:type="paragraph" w:styleId="Heading8">
    <w:name w:val="heading 8"/>
    <w:basedOn w:val="Normal"/>
    <w:next w:val="Normal"/>
    <w:link w:val="Heading8Char"/>
    <w:semiHidden/>
    <w:qFormat/>
    <w:rsid w:val="00EA64B4"/>
    <w:pPr>
      <w:numPr>
        <w:ilvl w:val="7"/>
        <w:numId w:val="1"/>
      </w:numPr>
      <w:spacing w:before="240" w:line="288" w:lineRule="auto"/>
      <w:outlineLvl w:val="7"/>
    </w:pPr>
    <w:rPr>
      <w:rFonts w:eastAsia="Times New Roman"/>
      <w:i/>
      <w:szCs w:val="20"/>
      <w:lang w:val="en-AU"/>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hAnsi="Arial"/>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4744C"/>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8B279A"/>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68533B"/>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7C791C"/>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FF31DC"/>
    <w:rPr>
      <w:rFonts w:ascii="Calibri" w:eastAsiaTheme="majorEastAsia" w:hAnsi="Calibri" w:cstheme="majorBidi"/>
      <w:i/>
      <w:sz w:val="24"/>
      <w:lang w:eastAsia="en-NZ"/>
    </w:rPr>
  </w:style>
  <w:style w:type="paragraph" w:styleId="BodyText">
    <w:name w:val="Body Text"/>
    <w:basedOn w:val="Normal"/>
    <w:link w:val="BodyTextChar"/>
    <w:qFormat/>
    <w:rsid w:val="000620F0"/>
    <w:pPr>
      <w:spacing w:before="120" w:after="120" w:line="280" w:lineRule="atLeast"/>
      <w:jc w:val="left"/>
    </w:pPr>
    <w:rPr>
      <w:rFonts w:eastAsiaTheme="minorEastAsia" w:cstheme="minorBidi"/>
      <w:szCs w:val="22"/>
      <w:lang w:val="en-NZ" w:eastAsia="en-NZ"/>
    </w:rPr>
  </w:style>
  <w:style w:type="character" w:customStyle="1" w:styleId="BodyTextChar">
    <w:name w:val="Body Text Char"/>
    <w:basedOn w:val="DefaultParagraphFont"/>
    <w:link w:val="BodyText"/>
    <w:rsid w:val="000620F0"/>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spacing w:before="120" w:after="120" w:line="280" w:lineRule="atLeast"/>
      <w:jc w:val="center"/>
    </w:pPr>
    <w:rPr>
      <w:rFonts w:ascii="Arial" w:eastAsiaTheme="minorEastAsia" w:hAnsi="Arial" w:cstheme="minorBidi"/>
      <w:sz w:val="16"/>
      <w:szCs w:val="22"/>
      <w:lang w:val="en-NZ" w:eastAsia="en-NZ"/>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4"/>
    <w:qFormat/>
    <w:rsid w:val="00684D9B"/>
    <w:pPr>
      <w:spacing w:before="60" w:after="60" w:line="280" w:lineRule="atLeast"/>
      <w:ind w:left="567" w:right="567"/>
    </w:pPr>
    <w:rPr>
      <w:rFonts w:eastAsiaTheme="minorEastAsia" w:cstheme="minorBidi"/>
      <w:sz w:val="20"/>
      <w:szCs w:val="22"/>
      <w:lang w:val="en-NZ" w:eastAsia="en-NZ"/>
    </w:rPr>
  </w:style>
  <w:style w:type="character" w:customStyle="1" w:styleId="QuoteChar">
    <w:name w:val="Quote Char"/>
    <w:basedOn w:val="DefaultParagraphFont"/>
    <w:link w:val="Quote"/>
    <w:uiPriority w:val="4"/>
    <w:rsid w:val="00F56A0A"/>
    <w:rPr>
      <w:rFonts w:ascii="Calibri" w:eastAsiaTheme="minorEastAsia" w:hAnsi="Calibri"/>
      <w:sz w:val="20"/>
      <w:lang w:eastAsia="en-NZ"/>
    </w:rPr>
  </w:style>
  <w:style w:type="paragraph" w:customStyle="1" w:styleId="Box">
    <w:name w:val="Box"/>
    <w:basedOn w:val="Normal"/>
    <w:uiPriority w:val="99"/>
    <w:semiHidden/>
    <w:qFormat/>
    <w:rsid w:val="00FF78E6"/>
    <w:pPr>
      <w:pBdr>
        <w:top w:val="single" w:sz="4" w:space="15" w:color="D2DDE2"/>
        <w:left w:val="single" w:sz="4" w:space="7" w:color="D2DDE2"/>
        <w:bottom w:val="single" w:sz="4" w:space="15" w:color="D2DDE2"/>
        <w:right w:val="single" w:sz="4" w:space="10" w:color="D2DDE2"/>
      </w:pBdr>
      <w:shd w:val="clear" w:color="auto" w:fill="D2DDE2"/>
      <w:spacing w:before="120" w:after="120" w:line="280" w:lineRule="atLeast"/>
      <w:ind w:left="284" w:right="284"/>
    </w:pPr>
    <w:rPr>
      <w:rFonts w:eastAsiaTheme="minorEastAsia" w:cstheme="minorBidi"/>
      <w:color w:val="1C556C"/>
      <w:sz w:val="20"/>
      <w:szCs w:val="22"/>
      <w:lang w:val="en-NZ" w:eastAsia="en-NZ"/>
    </w:rPr>
  </w:style>
  <w:style w:type="paragraph" w:customStyle="1" w:styleId="Boxbullet">
    <w:name w:val="Box bullet"/>
    <w:basedOn w:val="Boxtext"/>
    <w:autoRedefine/>
    <w:uiPriority w:val="1"/>
    <w:qFormat/>
    <w:rsid w:val="00D914D8"/>
    <w:pPr>
      <w:numPr>
        <w:numId w:val="40"/>
      </w:numPr>
      <w:tabs>
        <w:tab w:val="left" w:pos="680"/>
      </w:tabs>
      <w:spacing w:before="0"/>
    </w:pPr>
    <w:rPr>
      <w:rFonts w:cs="Times New Roman"/>
      <w:szCs w:val="20"/>
    </w:rPr>
  </w:style>
  <w:style w:type="paragraph" w:customStyle="1" w:styleId="Boxheading">
    <w:name w:val="Box heading"/>
    <w:basedOn w:val="Boxtext"/>
    <w:next w:val="Boxtext"/>
    <w:uiPriority w:val="1"/>
    <w:qFormat/>
    <w:rsid w:val="007C791C"/>
    <w:pPr>
      <w:keepNext/>
      <w:spacing w:before="240" w:after="0"/>
    </w:pPr>
    <w:rPr>
      <w:rFonts w:cs="Times New Roman"/>
      <w:b/>
      <w:sz w:val="22"/>
      <w:szCs w:val="20"/>
    </w:rPr>
  </w:style>
  <w:style w:type="paragraph" w:customStyle="1" w:styleId="Bullet">
    <w:name w:val="Bullet"/>
    <w:basedOn w:val="Normal"/>
    <w:link w:val="BulletChar"/>
    <w:autoRedefine/>
    <w:qFormat/>
    <w:rsid w:val="006B7605"/>
    <w:pPr>
      <w:numPr>
        <w:numId w:val="11"/>
      </w:numPr>
      <w:spacing w:after="60" w:line="240" w:lineRule="atLeast"/>
      <w:jc w:val="left"/>
    </w:pPr>
    <w:rPr>
      <w:rFonts w:eastAsia="Times New Roman"/>
      <w:szCs w:val="20"/>
      <w:lang w:val="en-NZ" w:eastAsia="en-NZ"/>
    </w:rPr>
  </w:style>
  <w:style w:type="paragraph" w:customStyle="1" w:styleId="Heading">
    <w:name w:val="Heading"/>
    <w:basedOn w:val="Heading1"/>
    <w:next w:val="Normal"/>
    <w:uiPriority w:val="3"/>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2"/>
      </w:numPr>
      <w:tabs>
        <w:tab w:val="left" w:pos="794"/>
      </w:tabs>
      <w:spacing w:after="120" w:line="280" w:lineRule="atLeast"/>
    </w:pPr>
    <w:rPr>
      <w:rFonts w:eastAsiaTheme="minorEastAsia" w:cstheme="minorBidi"/>
      <w:szCs w:val="22"/>
      <w:lang w:val="en-NZ" w:eastAsia="en-NZ"/>
    </w:rPr>
  </w:style>
  <w:style w:type="paragraph" w:customStyle="1" w:styleId="Figureheading">
    <w:name w:val="Figure heading"/>
    <w:basedOn w:val="Normal"/>
    <w:next w:val="BodyText"/>
    <w:qFormat/>
    <w:rsid w:val="00EA64B4"/>
    <w:pPr>
      <w:keepNext/>
      <w:spacing w:before="120" w:after="120" w:line="280" w:lineRule="atLeast"/>
      <w:ind w:left="1134" w:hanging="1134"/>
    </w:pPr>
    <w:rPr>
      <w:rFonts w:eastAsiaTheme="minorEastAsia" w:cstheme="minorBidi"/>
      <w:b/>
      <w:sz w:val="20"/>
      <w:szCs w:val="22"/>
      <w:lang w:val="en-NZ" w:eastAsia="en-NZ"/>
    </w:rPr>
  </w:style>
  <w:style w:type="character" w:styleId="FootnoteReference">
    <w:name w:val="footnote reference"/>
    <w:uiPriority w:val="99"/>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4D6C6B"/>
    <w:pPr>
      <w:spacing w:after="60" w:line="240" w:lineRule="atLeast"/>
      <w:ind w:left="284" w:hanging="284"/>
      <w:jc w:val="left"/>
    </w:pPr>
    <w:rPr>
      <w:rFonts w:eastAsiaTheme="minorEastAsia" w:cstheme="minorBidi"/>
      <w:sz w:val="19"/>
      <w:szCs w:val="22"/>
      <w:lang w:val="en-NZ" w:eastAsia="en-NZ"/>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7C791C"/>
    <w:rPr>
      <w:color w:val="32809C"/>
      <w:u w:val="none"/>
    </w:rPr>
  </w:style>
  <w:style w:type="paragraph" w:customStyle="1" w:styleId="Imprint">
    <w:name w:val="Imprint"/>
    <w:basedOn w:val="Normal"/>
    <w:uiPriority w:val="3"/>
    <w:rsid w:val="00953011"/>
    <w:pPr>
      <w:spacing w:before="120" w:after="120" w:line="280" w:lineRule="atLeast"/>
      <w:jc w:val="left"/>
    </w:pPr>
    <w:rPr>
      <w:rFonts w:eastAsiaTheme="minorEastAsia" w:cstheme="minorBidi"/>
      <w:szCs w:val="22"/>
      <w:lang w:val="en-NZ" w:eastAsia="en-NZ"/>
    </w:rPr>
  </w:style>
  <w:style w:type="paragraph" w:customStyle="1" w:styleId="Note">
    <w:name w:val="Note"/>
    <w:basedOn w:val="BodyText"/>
    <w:next w:val="Normal"/>
    <w:uiPriority w:val="1"/>
    <w:qFormat/>
    <w:rsid w:val="00835DEB"/>
    <w:pPr>
      <w:spacing w:line="240" w:lineRule="atLeast"/>
    </w:pPr>
    <w:rPr>
      <w:sz w:val="18"/>
    </w:rPr>
  </w:style>
  <w:style w:type="paragraph" w:customStyle="1" w:styleId="References">
    <w:name w:val="References"/>
    <w:basedOn w:val="Normal"/>
    <w:uiPriority w:val="4"/>
    <w:qFormat/>
    <w:rsid w:val="00554B30"/>
    <w:pPr>
      <w:spacing w:after="120" w:line="260" w:lineRule="atLeast"/>
    </w:pPr>
    <w:rPr>
      <w:rFonts w:eastAsiaTheme="minorEastAsia" w:cstheme="minorBidi"/>
      <w:sz w:val="20"/>
      <w:szCs w:val="22"/>
      <w:lang w:val="en-NZ" w:eastAsia="en-NZ"/>
    </w:rPr>
  </w:style>
  <w:style w:type="paragraph" w:customStyle="1" w:styleId="Source">
    <w:name w:val="Source"/>
    <w:basedOn w:val="Normal"/>
    <w:next w:val="Normal"/>
    <w:uiPriority w:val="4"/>
    <w:qFormat/>
    <w:rsid w:val="00EA64B4"/>
    <w:pPr>
      <w:tabs>
        <w:tab w:val="left" w:pos="680"/>
      </w:tabs>
      <w:spacing w:before="120" w:after="120" w:line="280" w:lineRule="atLeast"/>
    </w:pPr>
    <w:rPr>
      <w:rFonts w:eastAsiaTheme="minorEastAsia" w:cstheme="minorBidi"/>
      <w:sz w:val="18"/>
      <w:szCs w:val="22"/>
      <w:lang w:val="en-NZ" w:eastAsia="en-NZ"/>
    </w:rPr>
  </w:style>
  <w:style w:type="paragraph" w:styleId="Title">
    <w:name w:val="Title"/>
    <w:basedOn w:val="Normal"/>
    <w:link w:val="TitleChar"/>
    <w:uiPriority w:val="2"/>
    <w:semiHidden/>
    <w:rsid w:val="00624018"/>
    <w:pPr>
      <w:spacing w:before="120" w:after="120" w:line="360" w:lineRule="auto"/>
      <w:jc w:val="center"/>
    </w:pPr>
    <w:rPr>
      <w:rFonts w:eastAsiaTheme="minorEastAsia" w:cstheme="minorBidi"/>
      <w:b/>
      <w:color w:val="17556C"/>
      <w:sz w:val="52"/>
      <w:szCs w:val="22"/>
      <w:lang w:val="en-NZ" w:eastAsia="en-NZ"/>
    </w:rPr>
  </w:style>
  <w:style w:type="character" w:customStyle="1" w:styleId="TitleChar">
    <w:name w:val="Title Char"/>
    <w:basedOn w:val="DefaultParagraphFont"/>
    <w:link w:val="Title"/>
    <w:uiPriority w:val="2"/>
    <w:semiHidden/>
    <w:rsid w:val="00F56A0A"/>
    <w:rPr>
      <w:rFonts w:ascii="Calibri" w:eastAsiaTheme="minorEastAsia" w:hAnsi="Calibri"/>
      <w:b/>
      <w:color w:val="17556C"/>
      <w:sz w:val="52"/>
      <w:lang w:eastAsia="en-NZ"/>
    </w:rPr>
  </w:style>
  <w:style w:type="paragraph" w:styleId="Subtitle">
    <w:name w:val="Subtitle"/>
    <w:basedOn w:val="Title"/>
    <w:link w:val="SubtitleChar"/>
    <w:uiPriority w:val="2"/>
    <w:semiHidden/>
    <w:rsid w:val="00D94120"/>
    <w:pPr>
      <w:spacing w:before="600" w:line="240" w:lineRule="auto"/>
    </w:pPr>
    <w:rPr>
      <w:sz w:val="36"/>
      <w:szCs w:val="36"/>
    </w:rPr>
  </w:style>
  <w:style w:type="character" w:customStyle="1" w:styleId="SubtitleChar">
    <w:name w:val="Subtitle Char"/>
    <w:basedOn w:val="DefaultParagraphFont"/>
    <w:link w:val="Subtitle"/>
    <w:uiPriority w:val="2"/>
    <w:semiHidden/>
    <w:rsid w:val="00F56A0A"/>
    <w:rPr>
      <w:rFonts w:ascii="Calibri" w:eastAsiaTheme="minorEastAsia" w:hAnsi="Calibri"/>
      <w:b/>
      <w:color w:val="17556C"/>
      <w:sz w:val="36"/>
      <w:szCs w:val="36"/>
      <w:lang w:eastAsia="en-NZ"/>
    </w:rPr>
  </w:style>
  <w:style w:type="paragraph" w:customStyle="1" w:styleId="Tableheading">
    <w:name w:val="Table heading"/>
    <w:basedOn w:val="TableTextbold"/>
    <w:next w:val="Normal"/>
    <w:qFormat/>
    <w:rsid w:val="009A70B2"/>
    <w:pPr>
      <w:keepNext/>
      <w:spacing w:before="120" w:after="120"/>
      <w:ind w:left="1134" w:hanging="1134"/>
    </w:pPr>
    <w:rPr>
      <w:bCs/>
      <w:color w:val="auto"/>
    </w:rPr>
  </w:style>
  <w:style w:type="paragraph" w:customStyle="1" w:styleId="TableText">
    <w:name w:val="TableText"/>
    <w:basedOn w:val="Normal"/>
    <w:qFormat/>
    <w:rsid w:val="00D77DD7"/>
    <w:pPr>
      <w:spacing w:before="60" w:after="60" w:line="240" w:lineRule="atLeast"/>
      <w:jc w:val="left"/>
    </w:pPr>
    <w:rPr>
      <w:rFonts w:eastAsiaTheme="minorEastAsia" w:cstheme="minorBidi"/>
      <w:sz w:val="18"/>
      <w:szCs w:val="22"/>
      <w:lang w:val="en-NZ" w:eastAsia="en-NZ"/>
    </w:rPr>
  </w:style>
  <w:style w:type="paragraph" w:customStyle="1" w:styleId="TableTextbold">
    <w:name w:val="TableText bold"/>
    <w:basedOn w:val="TableText"/>
    <w:rsid w:val="009B6C1F"/>
    <w:rPr>
      <w:b/>
      <w:color w:val="FFFFFF" w:themeColor="background1"/>
    </w:rPr>
  </w:style>
  <w:style w:type="paragraph" w:styleId="TOC1">
    <w:name w:val="toc 1"/>
    <w:basedOn w:val="Normal"/>
    <w:next w:val="Normal"/>
    <w:uiPriority w:val="39"/>
    <w:rsid w:val="004B5EF9"/>
    <w:pPr>
      <w:tabs>
        <w:tab w:val="left" w:pos="567"/>
        <w:tab w:val="right" w:pos="8505"/>
      </w:tabs>
      <w:spacing w:before="240"/>
      <w:ind w:right="567"/>
      <w:jc w:val="left"/>
    </w:pPr>
    <w:rPr>
      <w:rFonts w:asciiTheme="minorHAnsi" w:eastAsiaTheme="minorEastAsia" w:hAnsiTheme="minorHAnsi" w:cstheme="minorBidi"/>
      <w:noProof/>
      <w:szCs w:val="22"/>
      <w:lang w:val="en-NZ" w:eastAsia="en-NZ"/>
    </w:rPr>
  </w:style>
  <w:style w:type="paragraph" w:styleId="TOC2">
    <w:name w:val="toc 2"/>
    <w:basedOn w:val="Normal"/>
    <w:next w:val="Normal"/>
    <w:uiPriority w:val="39"/>
    <w:rsid w:val="00356C3D"/>
    <w:pPr>
      <w:tabs>
        <w:tab w:val="right" w:pos="8505"/>
      </w:tabs>
      <w:spacing w:before="60" w:after="60"/>
      <w:ind w:left="1134" w:right="567" w:hanging="567"/>
    </w:pPr>
    <w:rPr>
      <w:rFonts w:eastAsiaTheme="minorEastAsia" w:cstheme="minorBidi"/>
      <w:szCs w:val="22"/>
      <w:lang w:val="en-NZ" w:eastAsia="en-NZ"/>
    </w:r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3"/>
    <w:qFormat/>
    <w:rsid w:val="008202A6"/>
    <w:pPr>
      <w:tabs>
        <w:tab w:val="left" w:pos="2835"/>
      </w:tabs>
      <w:spacing w:before="120" w:line="280" w:lineRule="atLeast"/>
      <w:jc w:val="left"/>
    </w:pPr>
    <w:rPr>
      <w:rFonts w:eastAsiaTheme="minorEastAsia" w:cstheme="minorBidi"/>
      <w:szCs w:val="22"/>
      <w:lang w:val="en-NZ" w:eastAsia="en-NZ"/>
    </w:rPr>
  </w:style>
  <w:style w:type="paragraph" w:customStyle="1" w:styleId="Footerodd">
    <w:name w:val="Footer odd"/>
    <w:basedOn w:val="Normal"/>
    <w:uiPriority w:val="2"/>
    <w:rsid w:val="005010FC"/>
    <w:pPr>
      <w:tabs>
        <w:tab w:val="right" w:pos="7938"/>
        <w:tab w:val="right" w:pos="8505"/>
      </w:tabs>
      <w:spacing w:before="120" w:after="120" w:line="280" w:lineRule="atLeast"/>
      <w:jc w:val="left"/>
    </w:pPr>
    <w:rPr>
      <w:rFonts w:eastAsiaTheme="minorEastAsia" w:cstheme="minorBidi"/>
      <w:sz w:val="16"/>
      <w:szCs w:val="22"/>
      <w:lang w:val="en-NZ" w:eastAsia="en-NZ"/>
    </w:rPr>
  </w:style>
  <w:style w:type="paragraph" w:customStyle="1" w:styleId="Footereven">
    <w:name w:val="Footer even"/>
    <w:basedOn w:val="Normal"/>
    <w:uiPriority w:val="2"/>
    <w:rsid w:val="005010FC"/>
    <w:pPr>
      <w:tabs>
        <w:tab w:val="left" w:pos="567"/>
      </w:tabs>
      <w:spacing w:before="120" w:after="120" w:line="280" w:lineRule="atLeast"/>
      <w:jc w:val="left"/>
    </w:pPr>
    <w:rPr>
      <w:rFonts w:eastAsiaTheme="minorEastAsia" w:cstheme="minorBidi"/>
      <w:sz w:val="16"/>
      <w:szCs w:val="22"/>
      <w:lang w:val="en-NZ" w:eastAsia="en-NZ"/>
    </w:rPr>
  </w:style>
  <w:style w:type="paragraph" w:customStyle="1" w:styleId="Numberedparagraph">
    <w:name w:val="Numbered paragraph"/>
    <w:basedOn w:val="Normal"/>
    <w:uiPriority w:val="1"/>
    <w:qFormat/>
    <w:rsid w:val="005130CD"/>
    <w:pPr>
      <w:numPr>
        <w:numId w:val="41"/>
      </w:numPr>
      <w:spacing w:after="120" w:line="280" w:lineRule="atLeast"/>
      <w:jc w:val="left"/>
    </w:pPr>
    <w:rPr>
      <w:rFonts w:eastAsiaTheme="minorEastAsia" w:cstheme="minorBidi"/>
      <w:szCs w:val="22"/>
      <w:lang w:val="en-NZ" w:eastAsia="en-NZ"/>
    </w:rPr>
  </w:style>
  <w:style w:type="paragraph" w:customStyle="1" w:styleId="Sub-lista">
    <w:name w:val="Sub-list a"/>
    <w:aliases w:val="b"/>
    <w:basedOn w:val="Normal"/>
    <w:uiPriority w:val="2"/>
    <w:rsid w:val="00E21ACA"/>
    <w:pPr>
      <w:numPr>
        <w:numId w:val="3"/>
      </w:numPr>
      <w:spacing w:after="120" w:line="280" w:lineRule="atLeast"/>
    </w:pPr>
    <w:rPr>
      <w:rFonts w:eastAsiaTheme="minorEastAsia" w:cstheme="minorBidi"/>
      <w:szCs w:val="22"/>
      <w:lang w:val="en-NZ" w:eastAsia="en-NZ"/>
    </w:r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206E30"/>
    <w:pPr>
      <w:tabs>
        <w:tab w:val="left" w:pos="1320"/>
        <w:tab w:val="right" w:pos="8494"/>
      </w:tabs>
      <w:spacing w:before="120" w:after="120" w:line="280" w:lineRule="atLeast"/>
      <w:ind w:left="440"/>
    </w:pPr>
    <w:rPr>
      <w:rFonts w:eastAsiaTheme="minorEastAsia" w:cstheme="minorBidi"/>
      <w:szCs w:val="22"/>
      <w:lang w:val="en-NZ" w:eastAsia="en-NZ"/>
    </w:rPr>
  </w:style>
  <w:style w:type="paragraph" w:styleId="TableofFigures">
    <w:name w:val="table of figures"/>
    <w:basedOn w:val="Normal"/>
    <w:next w:val="Normal"/>
    <w:uiPriority w:val="99"/>
    <w:rsid w:val="007607CB"/>
    <w:pPr>
      <w:spacing w:after="120" w:line="280" w:lineRule="atLeast"/>
      <w:ind w:left="1134" w:right="567" w:hanging="1134"/>
      <w:jc w:val="left"/>
    </w:pPr>
    <w:rPr>
      <w:rFonts w:eastAsiaTheme="minorEastAsia" w:cstheme="minorBidi"/>
      <w:szCs w:val="22"/>
      <w:lang w:val="en-NZ" w:eastAsia="en-NZ"/>
    </w:rPr>
  </w:style>
  <w:style w:type="paragraph" w:customStyle="1" w:styleId="Sub-listi">
    <w:name w:val="Sub-list i"/>
    <w:aliases w:val="ii"/>
    <w:basedOn w:val="BodyText"/>
    <w:rsid w:val="00A658D8"/>
    <w:pPr>
      <w:numPr>
        <w:numId w:val="4"/>
      </w:numPr>
      <w:spacing w:before="0"/>
    </w:pPr>
  </w:style>
  <w:style w:type="paragraph" w:customStyle="1" w:styleId="TableBullet">
    <w:name w:val="TableBullet"/>
    <w:basedOn w:val="Normal"/>
    <w:qFormat/>
    <w:rsid w:val="00523DFA"/>
    <w:pPr>
      <w:numPr>
        <w:numId w:val="5"/>
      </w:numPr>
      <w:spacing w:after="60" w:line="240" w:lineRule="atLeast"/>
    </w:pPr>
    <w:rPr>
      <w:rFonts w:eastAsiaTheme="minorEastAsia" w:cs="Arial"/>
      <w:sz w:val="18"/>
      <w:szCs w:val="16"/>
      <w:lang w:val="en-NZ" w:eastAsia="en-NZ"/>
    </w:rPr>
  </w:style>
  <w:style w:type="paragraph" w:customStyle="1" w:styleId="TableDash">
    <w:name w:val="TableDash"/>
    <w:basedOn w:val="TableBullet"/>
    <w:qFormat/>
    <w:rsid w:val="005E3BCD"/>
    <w:pPr>
      <w:numPr>
        <w:numId w:val="6"/>
      </w:numPr>
    </w:pPr>
  </w:style>
  <w:style w:type="paragraph" w:styleId="ListParagraph">
    <w:name w:val="List Paragraph"/>
    <w:basedOn w:val="Normal"/>
    <w:uiPriority w:val="34"/>
    <w:semiHidden/>
    <w:qFormat/>
    <w:rsid w:val="00EA64B4"/>
    <w:pPr>
      <w:ind w:left="720"/>
      <w:contextualSpacing/>
    </w:pPr>
    <w:rPr>
      <w:rFonts w:eastAsiaTheme="minorEastAsia" w:cstheme="minorBidi"/>
      <w:szCs w:val="20"/>
      <w:lang w:val="en-NZ" w:eastAsia="en-GB"/>
    </w:rPr>
  </w:style>
  <w:style w:type="paragraph" w:styleId="CommentSubject">
    <w:name w:val="annotation subject"/>
    <w:basedOn w:val="Normal"/>
    <w:link w:val="CommentSubjectChar"/>
    <w:uiPriority w:val="99"/>
    <w:semiHidden/>
    <w:rsid w:val="00E21ACA"/>
    <w:pPr>
      <w:spacing w:before="120" w:after="120" w:line="280" w:lineRule="atLeast"/>
    </w:pPr>
    <w:rPr>
      <w:rFonts w:eastAsiaTheme="minorEastAsia" w:cstheme="minorBidi"/>
      <w:b/>
      <w:bCs/>
      <w:sz w:val="20"/>
      <w:szCs w:val="22"/>
      <w:lang w:val="en-NZ" w:eastAsia="en-NZ"/>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pPr>
      <w:spacing w:before="120" w:after="120" w:line="280" w:lineRule="atLeast"/>
    </w:pPr>
    <w:rPr>
      <w:rFonts w:ascii="Tahoma" w:eastAsiaTheme="minorEastAsia" w:hAnsi="Tahoma" w:cstheme="minorBidi"/>
      <w:sz w:val="16"/>
      <w:szCs w:val="16"/>
      <w:lang w:val="en-NZ" w:eastAsia="en-NZ"/>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A47666"/>
    <w:pPr>
      <w:spacing w:after="0" w:line="240" w:lineRule="auto"/>
    </w:pPr>
    <w:tblPr>
      <w:tblStyleRowBandSize w:val="1"/>
      <w:tblStyleColBandSize w:val="1"/>
      <w:tblBorders>
        <w:top w:val="single" w:sz="8" w:space="0" w:color="1C556C" w:themeColor="accent1"/>
        <w:bottom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38"/>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Calibri" w:eastAsia="Times New Roman" w:hAnsi="Calibri" w:cs="Times New Roman"/>
      <w:b/>
      <w:szCs w:val="20"/>
      <w:lang w:val="en-AU"/>
    </w:rPr>
  </w:style>
  <w:style w:type="character" w:customStyle="1" w:styleId="Heading7Char">
    <w:name w:val="Heading 7 Char"/>
    <w:basedOn w:val="DefaultParagraphFont"/>
    <w:link w:val="Heading7"/>
    <w:semiHidden/>
    <w:rsid w:val="00EA64B4"/>
    <w:rPr>
      <w:rFonts w:ascii="Calibri" w:eastAsia="Times New Roman" w:hAnsi="Calibri" w:cs="Times New Roman"/>
      <w:szCs w:val="20"/>
      <w:lang w:val="en-AU"/>
    </w:rPr>
  </w:style>
  <w:style w:type="character" w:customStyle="1" w:styleId="Heading8Char">
    <w:name w:val="Heading 8 Char"/>
    <w:basedOn w:val="DefaultParagraphFont"/>
    <w:link w:val="Heading8"/>
    <w:semiHidden/>
    <w:rsid w:val="00EA64B4"/>
    <w:rPr>
      <w:rFonts w:ascii="Calibri" w:eastAsia="Times New Roman" w:hAnsi="Calibri" w:cs="Times New Roman"/>
      <w:i/>
      <w:szCs w:val="20"/>
      <w:lang w:val="en-AU"/>
    </w:rPr>
  </w:style>
  <w:style w:type="character" w:customStyle="1" w:styleId="Heading9Char">
    <w:name w:val="Heading 9 Char"/>
    <w:basedOn w:val="DefaultParagraphFont"/>
    <w:link w:val="Heading9"/>
    <w:semiHidden/>
    <w:rsid w:val="00EA64B4"/>
    <w:rPr>
      <w:rFonts w:ascii="Arial" w:eastAsiaTheme="majorEastAsia" w:hAnsi="Arial" w:cstheme="majorBidi"/>
      <w:b/>
      <w:color w:val="FFFFFF"/>
      <w:kern w:val="28"/>
      <w:sz w:val="2"/>
      <w:szCs w:val="20"/>
      <w:lang w:val="en-AU"/>
    </w:rPr>
  </w:style>
  <w:style w:type="paragraph" w:styleId="TOC4">
    <w:name w:val="toc 4"/>
    <w:basedOn w:val="Normal"/>
    <w:next w:val="Normal"/>
    <w:semiHidden/>
    <w:rsid w:val="00EA64B4"/>
    <w:pPr>
      <w:tabs>
        <w:tab w:val="right" w:pos="8505"/>
      </w:tabs>
      <w:spacing w:before="180"/>
      <w:ind w:left="1134" w:right="567" w:hanging="1134"/>
    </w:pPr>
    <w:rPr>
      <w:rFonts w:ascii="Arial" w:eastAsia="Times New Roman" w:hAnsi="Arial"/>
      <w:sz w:val="20"/>
      <w:szCs w:val="20"/>
      <w:lang w:val="en-NZ" w:eastAsia="en-GB"/>
    </w:rPr>
  </w:style>
  <w:style w:type="paragraph" w:styleId="Caption">
    <w:name w:val="caption"/>
    <w:basedOn w:val="Normal"/>
    <w:next w:val="Normal"/>
    <w:uiPriority w:val="35"/>
    <w:semiHidden/>
    <w:qFormat/>
    <w:rsid w:val="00360326"/>
    <w:pPr>
      <w:spacing w:before="120" w:after="120"/>
    </w:pPr>
    <w:rPr>
      <w:rFonts w:eastAsia="Times New Roman"/>
      <w:b/>
      <w:bCs/>
      <w:sz w:val="18"/>
      <w:szCs w:val="18"/>
    </w:rPr>
  </w:style>
  <w:style w:type="character" w:customStyle="1" w:styleId="BulletChar">
    <w:name w:val="Bullet Char"/>
    <w:basedOn w:val="DefaultParagraphFont"/>
    <w:link w:val="Bullet"/>
    <w:locked/>
    <w:rsid w:val="006B7605"/>
    <w:rPr>
      <w:rFonts w:ascii="Calibri" w:eastAsia="Times New Roman" w:hAnsi="Calibri" w:cs="Times New Roman"/>
      <w:szCs w:val="20"/>
      <w:lang w:eastAsia="en-NZ"/>
    </w:rPr>
  </w:style>
  <w:style w:type="paragraph" w:customStyle="1" w:styleId="Casestudyheading">
    <w:name w:val="Case study heading"/>
    <w:basedOn w:val="BodyText"/>
    <w:uiPriority w:val="3"/>
    <w:qFormat/>
    <w:rsid w:val="00953BE9"/>
    <w:pPr>
      <w:keepNext/>
      <w:spacing w:before="80" w:after="80"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7"/>
      </w:numPr>
    </w:pPr>
  </w:style>
  <w:style w:type="numbering" w:customStyle="1" w:styleId="Style2">
    <w:name w:val="Style2"/>
    <w:uiPriority w:val="99"/>
    <w:rsid w:val="008E0688"/>
    <w:pPr>
      <w:numPr>
        <w:numId w:val="8"/>
      </w:numPr>
    </w:pPr>
  </w:style>
  <w:style w:type="paragraph" w:customStyle="1" w:styleId="Greenbullet-casestudytables">
    <w:name w:val="Green bullet - case study tables"/>
    <w:basedOn w:val="Greentext-casestudytables"/>
    <w:uiPriority w:val="3"/>
    <w:semiHidden/>
    <w:rsid w:val="00C15722"/>
    <w:pPr>
      <w:numPr>
        <w:numId w:val="9"/>
      </w:numPr>
      <w:spacing w:before="0"/>
    </w:pPr>
  </w:style>
  <w:style w:type="paragraph" w:customStyle="1" w:styleId="Greentext-casestudytables">
    <w:name w:val="Green text - case study tables"/>
    <w:basedOn w:val="BodyText"/>
    <w:uiPriority w:val="3"/>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3"/>
    <w:semiHidden/>
    <w:rsid w:val="0051754D"/>
    <w:pPr>
      <w:keepNext/>
      <w:spacing w:before="240" w:after="0"/>
    </w:pPr>
    <w:rPr>
      <w:rFonts w:eastAsia="Times New Roman"/>
      <w:b/>
    </w:rPr>
  </w:style>
  <w:style w:type="numbering" w:customStyle="1" w:styleId="Style3">
    <w:name w:val="Style3"/>
    <w:uiPriority w:val="99"/>
    <w:rsid w:val="008B5A2D"/>
    <w:pPr>
      <w:numPr>
        <w:numId w:val="10"/>
      </w:numPr>
    </w:pPr>
  </w:style>
  <w:style w:type="paragraph" w:customStyle="1" w:styleId="Blueboxtext">
    <w:name w:val="Blue box text"/>
    <w:basedOn w:val="Normal"/>
    <w:uiPriority w:val="1"/>
    <w:semiHidden/>
    <w:qFormat/>
    <w:rsid w:val="00A30347"/>
    <w:pPr>
      <w:spacing w:before="120" w:after="120" w:line="260" w:lineRule="atLeast"/>
      <w:ind w:left="284" w:right="284"/>
      <w:jc w:val="left"/>
    </w:pPr>
    <w:rPr>
      <w:rFonts w:eastAsiaTheme="minorEastAsia"/>
      <w:color w:val="1C556C"/>
      <w:sz w:val="20"/>
      <w:szCs w:val="20"/>
      <w:lang w:val="en-NZ" w:eastAsia="en-NZ"/>
    </w:rPr>
  </w:style>
  <w:style w:type="paragraph" w:customStyle="1" w:styleId="Blue-boxbullet">
    <w:name w:val="Blue-box bullet"/>
    <w:basedOn w:val="Blueboxtext"/>
    <w:uiPriority w:val="1"/>
    <w:semiHidden/>
    <w:qFormat/>
    <w:rsid w:val="009E354C"/>
    <w:pPr>
      <w:numPr>
        <w:numId w:val="17"/>
      </w:numPr>
      <w:tabs>
        <w:tab w:val="left" w:pos="680"/>
      </w:tabs>
      <w:spacing w:before="0"/>
    </w:pPr>
  </w:style>
  <w:style w:type="paragraph" w:customStyle="1" w:styleId="Blueboxheading">
    <w:name w:val="Blue box heading"/>
    <w:basedOn w:val="Blueboxtext"/>
    <w:next w:val="Blueboxtext"/>
    <w:uiPriority w:val="1"/>
    <w:semiHidden/>
    <w:qFormat/>
    <w:rsid w:val="007823D6"/>
    <w:pPr>
      <w:keepNext/>
      <w:spacing w:before="240" w:after="0"/>
    </w:pPr>
    <w:rPr>
      <w:b/>
    </w:rPr>
  </w:style>
  <w:style w:type="paragraph" w:customStyle="1" w:styleId="Blue-boxsub-bullet">
    <w:name w:val="Blue-box sub-bullet"/>
    <w:basedOn w:val="Blueboxtext"/>
    <w:uiPriority w:val="1"/>
    <w:semiHidden/>
    <w:qFormat/>
    <w:rsid w:val="00DA6A47"/>
    <w:pPr>
      <w:spacing w:before="0"/>
      <w:ind w:left="0"/>
    </w:pPr>
  </w:style>
  <w:style w:type="paragraph" w:customStyle="1" w:styleId="Greensub-bullet-casestudytables">
    <w:name w:val="Green sub-bullet - case study tables"/>
    <w:basedOn w:val="Greentext-casestudytables"/>
    <w:uiPriority w:val="3"/>
    <w:semiHidden/>
    <w:qFormat/>
    <w:rsid w:val="00C15722"/>
    <w:pPr>
      <w:numPr>
        <w:numId w:val="13"/>
      </w:numPr>
      <w:spacing w:before="0"/>
    </w:pPr>
  </w:style>
  <w:style w:type="paragraph" w:customStyle="1" w:styleId="Default">
    <w:name w:val="Default"/>
    <w:semiHidden/>
    <w:rsid w:val="00C9459C"/>
    <w:pPr>
      <w:autoSpaceDE w:val="0"/>
      <w:autoSpaceDN w:val="0"/>
      <w:adjustRightInd w:val="0"/>
      <w:spacing w:after="0" w:line="240" w:lineRule="auto"/>
    </w:pPr>
    <w:rPr>
      <w:rFonts w:ascii="Arial" w:hAnsi="Arial" w:cs="Arial"/>
      <w:color w:val="000000"/>
      <w:sz w:val="24"/>
      <w:szCs w:val="24"/>
    </w:rPr>
  </w:style>
  <w:style w:type="paragraph" w:styleId="CommentText">
    <w:name w:val="annotation text"/>
    <w:basedOn w:val="Normal"/>
    <w:link w:val="CommentTextChar"/>
    <w:uiPriority w:val="99"/>
    <w:rsid w:val="00732750"/>
    <w:pPr>
      <w:spacing w:before="120" w:after="120"/>
    </w:pPr>
    <w:rPr>
      <w:rFonts w:eastAsiaTheme="minorEastAsia" w:cstheme="minorBidi"/>
      <w:sz w:val="20"/>
      <w:szCs w:val="20"/>
      <w:lang w:val="en-NZ" w:eastAsia="en-NZ"/>
    </w:rPr>
  </w:style>
  <w:style w:type="character" w:customStyle="1" w:styleId="CommentTextChar">
    <w:name w:val="Comment Text Char"/>
    <w:basedOn w:val="DefaultParagraphFont"/>
    <w:link w:val="CommentText"/>
    <w:uiPriority w:val="99"/>
    <w:rsid w:val="00F638C2"/>
    <w:rPr>
      <w:rFonts w:ascii="Calibri" w:eastAsiaTheme="minorEastAsia" w:hAnsi="Calibri"/>
      <w:sz w:val="20"/>
      <w:szCs w:val="20"/>
      <w:lang w:eastAsia="en-NZ"/>
    </w:rPr>
  </w:style>
  <w:style w:type="table" w:styleId="LightList-Accent2">
    <w:name w:val="Light List Accent 2"/>
    <w:basedOn w:val="TableNormal"/>
    <w:uiPriority w:val="61"/>
    <w:rsid w:val="00023637"/>
    <w:pPr>
      <w:spacing w:after="0" w:line="240" w:lineRule="auto"/>
    </w:pPr>
    <w:tblPr>
      <w:tblStyleRowBandSize w:val="1"/>
      <w:tblStyleColBandSize w:val="1"/>
      <w:tblBorders>
        <w:top w:val="single" w:sz="8" w:space="0" w:color="32809C" w:themeColor="accent2"/>
        <w:left w:val="single" w:sz="8" w:space="0" w:color="32809C" w:themeColor="accent2"/>
        <w:bottom w:val="single" w:sz="8" w:space="0" w:color="32809C" w:themeColor="accent2"/>
        <w:right w:val="single" w:sz="8" w:space="0" w:color="32809C" w:themeColor="accent2"/>
      </w:tblBorders>
    </w:tblPr>
    <w:tblStylePr w:type="firstRow">
      <w:pPr>
        <w:spacing w:before="0" w:after="0" w:line="240" w:lineRule="auto"/>
      </w:pPr>
      <w:rPr>
        <w:b/>
        <w:bCs/>
        <w:color w:val="FFFFFF" w:themeColor="background1"/>
      </w:rPr>
      <w:tblPr/>
      <w:tcPr>
        <w:shd w:val="clear" w:color="auto" w:fill="32809C" w:themeFill="accent2"/>
      </w:tcPr>
    </w:tblStylePr>
    <w:tblStylePr w:type="lastRow">
      <w:pPr>
        <w:spacing w:before="0" w:after="0" w:line="240" w:lineRule="auto"/>
      </w:pPr>
      <w:rPr>
        <w:b/>
        <w:bCs/>
      </w:rPr>
      <w:tblPr/>
      <w:tcPr>
        <w:tcBorders>
          <w:top w:val="double" w:sz="6" w:space="0" w:color="32809C" w:themeColor="accent2"/>
          <w:left w:val="single" w:sz="8" w:space="0" w:color="32809C" w:themeColor="accent2"/>
          <w:bottom w:val="single" w:sz="8" w:space="0" w:color="32809C" w:themeColor="accent2"/>
          <w:right w:val="single" w:sz="8" w:space="0" w:color="32809C" w:themeColor="accent2"/>
        </w:tcBorders>
      </w:tcPr>
    </w:tblStylePr>
    <w:tblStylePr w:type="firstCol">
      <w:rPr>
        <w:b/>
        <w:bCs/>
      </w:rPr>
    </w:tblStylePr>
    <w:tblStylePr w:type="lastCol">
      <w:rPr>
        <w:b/>
        <w:bCs/>
      </w:rPr>
    </w:tblStylePr>
    <w:tblStylePr w:type="band1Vert">
      <w:tblPr/>
      <w:tcPr>
        <w:tcBorders>
          <w:top w:val="single" w:sz="8" w:space="0" w:color="32809C" w:themeColor="accent2"/>
          <w:left w:val="single" w:sz="8" w:space="0" w:color="32809C" w:themeColor="accent2"/>
          <w:bottom w:val="single" w:sz="8" w:space="0" w:color="32809C" w:themeColor="accent2"/>
          <w:right w:val="single" w:sz="8" w:space="0" w:color="32809C" w:themeColor="accent2"/>
        </w:tcBorders>
      </w:tcPr>
    </w:tblStylePr>
    <w:tblStylePr w:type="band1Horz">
      <w:tblPr/>
      <w:tcPr>
        <w:tcBorders>
          <w:top w:val="single" w:sz="8" w:space="0" w:color="32809C" w:themeColor="accent2"/>
          <w:left w:val="single" w:sz="8" w:space="0" w:color="32809C" w:themeColor="accent2"/>
          <w:bottom w:val="single" w:sz="8" w:space="0" w:color="32809C" w:themeColor="accent2"/>
          <w:right w:val="single" w:sz="8" w:space="0" w:color="32809C" w:themeColor="accent2"/>
        </w:tcBorders>
      </w:tcPr>
    </w:tblStylePr>
  </w:style>
  <w:style w:type="paragraph" w:styleId="NoSpacing">
    <w:name w:val="No Spacing"/>
    <w:uiPriority w:val="1"/>
    <w:semiHidden/>
    <w:qFormat/>
    <w:rsid w:val="00AF35E9"/>
    <w:pPr>
      <w:spacing w:after="0" w:line="240" w:lineRule="auto"/>
    </w:pPr>
  </w:style>
  <w:style w:type="character" w:styleId="PlaceholderText">
    <w:name w:val="Placeholder Text"/>
    <w:basedOn w:val="DefaultParagraphFont"/>
    <w:uiPriority w:val="99"/>
    <w:semiHidden/>
    <w:rsid w:val="00975A88"/>
    <w:rPr>
      <w:color w:val="808080"/>
    </w:rPr>
  </w:style>
  <w:style w:type="character" w:styleId="UnresolvedMention">
    <w:name w:val="Unresolved Mention"/>
    <w:basedOn w:val="DefaultParagraphFont"/>
    <w:uiPriority w:val="99"/>
    <w:semiHidden/>
    <w:unhideWhenUsed/>
    <w:rsid w:val="00DF3B40"/>
    <w:rPr>
      <w:color w:val="605E5C"/>
      <w:shd w:val="clear" w:color="auto" w:fill="E1DFDD"/>
    </w:rPr>
  </w:style>
  <w:style w:type="table" w:styleId="LightList-Accent1">
    <w:name w:val="Light List Accent 1"/>
    <w:aliases w:val="mfe"/>
    <w:basedOn w:val="TableNormal"/>
    <w:uiPriority w:val="61"/>
    <w:rsid w:val="00E02CE6"/>
    <w:pPr>
      <w:spacing w:after="0" w:line="240" w:lineRule="auto"/>
    </w:pPr>
    <w:tblPr>
      <w:tblStyleRowBandSize w:val="1"/>
      <w:tblStyleColBandSize w:val="1"/>
      <w:tblBorders>
        <w:top w:val="single" w:sz="8" w:space="0" w:color="1C556C" w:themeColor="accent1"/>
        <w:bottom w:val="single" w:sz="8" w:space="0" w:color="1C556C" w:themeColor="accent1"/>
        <w:insideH w:val="single" w:sz="4" w:space="0" w:color="1C556C" w:themeColor="accent1"/>
        <w:insideV w:val="single" w:sz="4"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customStyle="1" w:styleId="UnresolvedMention1">
    <w:name w:val="Unresolved Mention1"/>
    <w:basedOn w:val="DefaultParagraphFont"/>
    <w:uiPriority w:val="99"/>
    <w:semiHidden/>
    <w:unhideWhenUsed/>
    <w:rsid w:val="00F179CE"/>
    <w:rPr>
      <w:color w:val="605E5C"/>
      <w:shd w:val="clear" w:color="auto" w:fill="E1DFDD"/>
    </w:rPr>
  </w:style>
  <w:style w:type="character" w:customStyle="1" w:styleId="UnresolvedMention2">
    <w:name w:val="Unresolved Mention2"/>
    <w:basedOn w:val="DefaultParagraphFont"/>
    <w:uiPriority w:val="99"/>
    <w:semiHidden/>
    <w:unhideWhenUsed/>
    <w:rsid w:val="00AC697B"/>
    <w:rPr>
      <w:color w:val="605E5C"/>
      <w:shd w:val="clear" w:color="auto" w:fill="E1DFDD"/>
    </w:rPr>
  </w:style>
  <w:style w:type="table" w:customStyle="1" w:styleId="mfebox">
    <w:name w:val="mfebox"/>
    <w:basedOn w:val="TableNormal"/>
    <w:uiPriority w:val="99"/>
    <w:rsid w:val="00AC697B"/>
    <w:pPr>
      <w:spacing w:after="0" w:line="240" w:lineRule="auto"/>
    </w:pPr>
    <w:tblPr/>
    <w:tcPr>
      <w:shd w:val="clear" w:color="auto" w:fill="D5EBE8" w:themeFill="accent3"/>
    </w:tcPr>
  </w:style>
  <w:style w:type="character" w:customStyle="1" w:styleId="UnresolvedMention20">
    <w:name w:val="Unresolved Mention20"/>
    <w:basedOn w:val="DefaultParagraphFont"/>
    <w:uiPriority w:val="99"/>
    <w:semiHidden/>
    <w:unhideWhenUsed/>
    <w:rsid w:val="000C3AE5"/>
    <w:rPr>
      <w:color w:val="605E5C"/>
      <w:shd w:val="clear" w:color="auto" w:fill="E1DFDD"/>
    </w:rPr>
  </w:style>
  <w:style w:type="paragraph" w:customStyle="1" w:styleId="Boxtext">
    <w:name w:val="Box text"/>
    <w:basedOn w:val="Normal"/>
    <w:uiPriority w:val="1"/>
    <w:qFormat/>
    <w:rsid w:val="007C791C"/>
    <w:pPr>
      <w:spacing w:before="120" w:after="120" w:line="260" w:lineRule="atLeast"/>
      <w:ind w:left="284" w:right="284"/>
      <w:jc w:val="left"/>
    </w:pPr>
    <w:rPr>
      <w:rFonts w:eastAsiaTheme="minorEastAsia" w:cstheme="minorBidi"/>
      <w:color w:val="1B556B"/>
      <w:sz w:val="20"/>
      <w:szCs w:val="22"/>
      <w:lang w:val="en-NZ" w:eastAsia="en-NZ"/>
    </w:rPr>
  </w:style>
  <w:style w:type="paragraph" w:styleId="NormalWeb">
    <w:name w:val="Normal (Web)"/>
    <w:basedOn w:val="Normal"/>
    <w:uiPriority w:val="99"/>
    <w:semiHidden/>
    <w:unhideWhenUsed/>
    <w:rsid w:val="00CD7CE0"/>
    <w:pPr>
      <w:spacing w:before="100" w:beforeAutospacing="1" w:after="100" w:afterAutospacing="1"/>
    </w:pPr>
    <w:rPr>
      <w:rFonts w:eastAsia="Times New Roman"/>
    </w:rPr>
  </w:style>
  <w:style w:type="character" w:customStyle="1" w:styleId="UnresolvedMention3">
    <w:name w:val="Unresolved Mention3"/>
    <w:basedOn w:val="DefaultParagraphFont"/>
    <w:uiPriority w:val="99"/>
    <w:semiHidden/>
    <w:unhideWhenUsed/>
    <w:rsid w:val="002E377E"/>
    <w:rPr>
      <w:color w:val="605E5C"/>
      <w:shd w:val="clear" w:color="auto" w:fill="E1DFDD"/>
    </w:rPr>
  </w:style>
  <w:style w:type="character" w:customStyle="1" w:styleId="UnresolvedMention4">
    <w:name w:val="Unresolved Mention4"/>
    <w:basedOn w:val="DefaultParagraphFont"/>
    <w:uiPriority w:val="99"/>
    <w:semiHidden/>
    <w:unhideWhenUsed/>
    <w:rsid w:val="0061415B"/>
    <w:rPr>
      <w:color w:val="605E5C"/>
      <w:shd w:val="clear" w:color="auto" w:fill="E1DFDD"/>
    </w:rPr>
  </w:style>
  <w:style w:type="table" w:customStyle="1" w:styleId="PlainTable21">
    <w:name w:val="Plain Table 21"/>
    <w:basedOn w:val="TableNormal"/>
    <w:uiPriority w:val="42"/>
    <w:rsid w:val="00BC556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
    <w:name w:val="Table Grid Light1"/>
    <w:basedOn w:val="TableNormal"/>
    <w:uiPriority w:val="40"/>
    <w:rsid w:val="00BC556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40">
    <w:name w:val="Unresolved Mention40"/>
    <w:basedOn w:val="DefaultParagraphFont"/>
    <w:uiPriority w:val="99"/>
    <w:semiHidden/>
    <w:unhideWhenUsed/>
    <w:rsid w:val="00D76975"/>
    <w:rPr>
      <w:color w:val="605E5C"/>
      <w:shd w:val="clear" w:color="auto" w:fill="E1DFDD"/>
    </w:rPr>
  </w:style>
  <w:style w:type="character" w:customStyle="1" w:styleId="Mention1">
    <w:name w:val="Mention1"/>
    <w:basedOn w:val="DefaultParagraphFont"/>
    <w:uiPriority w:val="99"/>
    <w:semiHidden/>
    <w:unhideWhenUsed/>
    <w:rsid w:val="00D65515"/>
    <w:rPr>
      <w:color w:val="2B579A"/>
      <w:shd w:val="clear" w:color="auto" w:fill="E6E6E6"/>
    </w:rPr>
  </w:style>
  <w:style w:type="character" w:customStyle="1" w:styleId="UnresolvedMention21">
    <w:name w:val="Unresolved Mention21"/>
    <w:basedOn w:val="DefaultParagraphFont"/>
    <w:uiPriority w:val="99"/>
    <w:semiHidden/>
    <w:unhideWhenUsed/>
    <w:rsid w:val="005C0D7A"/>
    <w:rPr>
      <w:color w:val="605E5C"/>
      <w:shd w:val="clear" w:color="auto" w:fill="E1DFDD"/>
    </w:rPr>
  </w:style>
  <w:style w:type="character" w:customStyle="1" w:styleId="UnresolvedMention41">
    <w:name w:val="Unresolved Mention41"/>
    <w:basedOn w:val="DefaultParagraphFont"/>
    <w:uiPriority w:val="99"/>
    <w:semiHidden/>
    <w:unhideWhenUsed/>
    <w:rsid w:val="005C0D7A"/>
    <w:rPr>
      <w:color w:val="605E5C"/>
      <w:shd w:val="clear" w:color="auto" w:fill="E1DFDD"/>
    </w:rPr>
  </w:style>
  <w:style w:type="table" w:customStyle="1" w:styleId="LightList-Accent21">
    <w:name w:val="Light List - Accent 21"/>
    <w:basedOn w:val="TableNormal"/>
    <w:uiPriority w:val="61"/>
    <w:rsid w:val="002C7317"/>
    <w:pPr>
      <w:spacing w:after="0" w:line="240" w:lineRule="auto"/>
    </w:pPr>
    <w:tblPr>
      <w:tblStyleRowBandSize w:val="1"/>
      <w:tblStyleColBandSize w:val="1"/>
      <w:tblBorders>
        <w:top w:val="single" w:sz="8" w:space="0" w:color="0F7B7D"/>
        <w:left w:val="single" w:sz="8" w:space="0" w:color="0F7B7D"/>
        <w:bottom w:val="single" w:sz="8" w:space="0" w:color="0F7B7D"/>
        <w:right w:val="single" w:sz="8" w:space="0" w:color="0F7B7D"/>
      </w:tblBorders>
    </w:tblPr>
    <w:tblStylePr w:type="firstRow">
      <w:pPr>
        <w:spacing w:beforeLines="0" w:before="0" w:beforeAutospacing="0" w:afterLines="0" w:after="0" w:afterAutospacing="0" w:line="240" w:lineRule="auto"/>
      </w:pPr>
      <w:rPr>
        <w:b/>
        <w:bCs/>
        <w:color w:val="FFFFFF"/>
      </w:rPr>
      <w:tblPr/>
      <w:tcPr>
        <w:shd w:val="clear" w:color="auto" w:fill="0F7B7D"/>
      </w:tcPr>
    </w:tblStylePr>
    <w:tblStylePr w:type="lastRow">
      <w:pPr>
        <w:spacing w:beforeLines="0" w:before="0" w:beforeAutospacing="0" w:afterLines="0" w:after="0" w:afterAutospacing="0" w:line="240" w:lineRule="auto"/>
      </w:pPr>
      <w:rPr>
        <w:b/>
        <w:bCs/>
      </w:rPr>
      <w:tblPr/>
      <w:tcPr>
        <w:tcBorders>
          <w:top w:val="double" w:sz="6" w:space="0" w:color="0F7B7D"/>
          <w:left w:val="single" w:sz="8" w:space="0" w:color="0F7B7D"/>
          <w:bottom w:val="single" w:sz="8" w:space="0" w:color="0F7B7D"/>
          <w:right w:val="single" w:sz="8" w:space="0" w:color="0F7B7D"/>
        </w:tcBorders>
      </w:tcPr>
    </w:tblStylePr>
    <w:tblStylePr w:type="firstCol">
      <w:rPr>
        <w:b/>
        <w:bCs/>
      </w:rPr>
    </w:tblStylePr>
    <w:tblStylePr w:type="lastCol">
      <w:rPr>
        <w:b/>
        <w:bCs/>
      </w:rPr>
    </w:tblStylePr>
    <w:tblStylePr w:type="band1Vert">
      <w:tblPr/>
      <w:tcPr>
        <w:tcBorders>
          <w:top w:val="single" w:sz="8" w:space="0" w:color="0F7B7D"/>
          <w:left w:val="single" w:sz="8" w:space="0" w:color="0F7B7D"/>
          <w:bottom w:val="single" w:sz="8" w:space="0" w:color="0F7B7D"/>
          <w:right w:val="single" w:sz="8" w:space="0" w:color="0F7B7D"/>
        </w:tcBorders>
      </w:tcPr>
    </w:tblStylePr>
    <w:tblStylePr w:type="band1Horz">
      <w:tblPr/>
      <w:tcPr>
        <w:tcBorders>
          <w:top w:val="single" w:sz="8" w:space="0" w:color="0F7B7D"/>
          <w:left w:val="single" w:sz="8" w:space="0" w:color="0F7B7D"/>
          <w:bottom w:val="single" w:sz="8" w:space="0" w:color="0F7B7D"/>
          <w:right w:val="single" w:sz="8" w:space="0" w:color="0F7B7D"/>
        </w:tcBorders>
      </w:tcPr>
    </w:tblStylePr>
  </w:style>
  <w:style w:type="character" w:customStyle="1" w:styleId="UnresolvedMention5">
    <w:name w:val="Unresolved Mention5"/>
    <w:basedOn w:val="DefaultParagraphFont"/>
    <w:uiPriority w:val="99"/>
    <w:semiHidden/>
    <w:unhideWhenUsed/>
    <w:rsid w:val="00A522B1"/>
    <w:rPr>
      <w:color w:val="605E5C"/>
      <w:shd w:val="clear" w:color="auto" w:fill="E1DFDD"/>
    </w:rPr>
  </w:style>
  <w:style w:type="character" w:customStyle="1" w:styleId="Mention2">
    <w:name w:val="Mention2"/>
    <w:basedOn w:val="DefaultParagraphFont"/>
    <w:uiPriority w:val="99"/>
    <w:semiHidden/>
    <w:unhideWhenUsed/>
    <w:rsid w:val="00952102"/>
    <w:rPr>
      <w:color w:val="2B579A"/>
      <w:shd w:val="clear" w:color="auto" w:fill="E6E6E6"/>
    </w:rPr>
  </w:style>
  <w:style w:type="character" w:customStyle="1" w:styleId="UnresolvedMention6">
    <w:name w:val="Unresolved Mention6"/>
    <w:basedOn w:val="DefaultParagraphFont"/>
    <w:uiPriority w:val="99"/>
    <w:semiHidden/>
    <w:unhideWhenUsed/>
    <w:rsid w:val="002D4506"/>
    <w:rPr>
      <w:color w:val="605E5C"/>
      <w:shd w:val="clear" w:color="auto" w:fill="E1DFDD"/>
    </w:rPr>
  </w:style>
  <w:style w:type="character" w:customStyle="1" w:styleId="UnresolvedMention7">
    <w:name w:val="Unresolved Mention7"/>
    <w:basedOn w:val="DefaultParagraphFont"/>
    <w:uiPriority w:val="99"/>
    <w:semiHidden/>
    <w:unhideWhenUsed/>
    <w:rsid w:val="00956387"/>
    <w:rPr>
      <w:color w:val="605E5C"/>
      <w:shd w:val="clear" w:color="auto" w:fill="E1DFDD"/>
    </w:rPr>
  </w:style>
  <w:style w:type="paragraph" w:customStyle="1" w:styleId="Appendixheading2">
    <w:name w:val="Appendix heading 2"/>
    <w:basedOn w:val="Heading2"/>
    <w:next w:val="BodyText"/>
    <w:link w:val="Appendixheading2Char"/>
    <w:uiPriority w:val="99"/>
    <w:qFormat/>
    <w:rsid w:val="0032100B"/>
    <w:pPr>
      <w:numPr>
        <w:numId w:val="0"/>
      </w:numPr>
    </w:pPr>
  </w:style>
  <w:style w:type="paragraph" w:customStyle="1" w:styleId="Appendixheading3">
    <w:name w:val="Appendix heading 3"/>
    <w:basedOn w:val="Heading3"/>
    <w:link w:val="Appendixheading3Char"/>
    <w:uiPriority w:val="99"/>
    <w:qFormat/>
    <w:rsid w:val="0032100B"/>
    <w:pPr>
      <w:numPr>
        <w:ilvl w:val="2"/>
        <w:numId w:val="14"/>
      </w:numPr>
    </w:pPr>
  </w:style>
  <w:style w:type="character" w:customStyle="1" w:styleId="Appendixheading2Char">
    <w:name w:val="Appendix heading 2 Char"/>
    <w:basedOn w:val="Heading2Char"/>
    <w:link w:val="Appendixheading2"/>
    <w:uiPriority w:val="99"/>
    <w:rsid w:val="00F56A0A"/>
    <w:rPr>
      <w:rFonts w:ascii="Calibri" w:eastAsiaTheme="majorEastAsia" w:hAnsi="Calibri" w:cstheme="majorBidi"/>
      <w:b/>
      <w:bCs/>
      <w:color w:val="0F7B7D"/>
      <w:sz w:val="36"/>
      <w:szCs w:val="26"/>
      <w:lang w:eastAsia="en-NZ"/>
    </w:rPr>
  </w:style>
  <w:style w:type="character" w:customStyle="1" w:styleId="Appendixheading3Char">
    <w:name w:val="Appendix heading 3 Char"/>
    <w:basedOn w:val="Heading3Char"/>
    <w:link w:val="Appendixheading3"/>
    <w:uiPriority w:val="99"/>
    <w:rsid w:val="00F56A0A"/>
    <w:rPr>
      <w:rFonts w:ascii="Georgia" w:eastAsiaTheme="majorEastAsia" w:hAnsi="Georgia" w:cstheme="majorBidi"/>
      <w:b/>
      <w:bCs/>
      <w:sz w:val="28"/>
      <w:lang w:eastAsia="en-NZ"/>
    </w:rPr>
  </w:style>
  <w:style w:type="character" w:customStyle="1" w:styleId="UnresolvedMention8">
    <w:name w:val="Unresolved Mention8"/>
    <w:basedOn w:val="DefaultParagraphFont"/>
    <w:uiPriority w:val="99"/>
    <w:semiHidden/>
    <w:unhideWhenUsed/>
    <w:rsid w:val="00E97E92"/>
    <w:rPr>
      <w:color w:val="605E5C"/>
      <w:shd w:val="clear" w:color="auto" w:fill="E1DFDD"/>
    </w:rPr>
  </w:style>
  <w:style w:type="paragraph" w:styleId="TOC5">
    <w:name w:val="toc 5"/>
    <w:basedOn w:val="Normal"/>
    <w:next w:val="Normal"/>
    <w:autoRedefine/>
    <w:uiPriority w:val="39"/>
    <w:semiHidden/>
    <w:rsid w:val="004F4F86"/>
    <w:pPr>
      <w:spacing w:after="100" w:line="259" w:lineRule="auto"/>
      <w:ind w:left="880"/>
    </w:pPr>
    <w:rPr>
      <w:rFonts w:asciiTheme="minorHAnsi" w:eastAsiaTheme="minorEastAsia" w:hAnsiTheme="minorHAnsi" w:cstheme="minorBidi"/>
      <w:szCs w:val="22"/>
      <w:lang w:val="en-NZ" w:eastAsia="en-NZ"/>
    </w:rPr>
  </w:style>
  <w:style w:type="paragraph" w:styleId="TOC6">
    <w:name w:val="toc 6"/>
    <w:basedOn w:val="Normal"/>
    <w:next w:val="Normal"/>
    <w:autoRedefine/>
    <w:uiPriority w:val="39"/>
    <w:semiHidden/>
    <w:rsid w:val="004F4F86"/>
    <w:pPr>
      <w:spacing w:after="100" w:line="259" w:lineRule="auto"/>
      <w:ind w:left="1100"/>
    </w:pPr>
    <w:rPr>
      <w:rFonts w:asciiTheme="minorHAnsi" w:eastAsiaTheme="minorEastAsia" w:hAnsiTheme="minorHAnsi" w:cstheme="minorBidi"/>
      <w:szCs w:val="22"/>
      <w:lang w:val="en-NZ" w:eastAsia="en-NZ"/>
    </w:rPr>
  </w:style>
  <w:style w:type="paragraph" w:styleId="TOC7">
    <w:name w:val="toc 7"/>
    <w:basedOn w:val="Normal"/>
    <w:next w:val="Normal"/>
    <w:autoRedefine/>
    <w:uiPriority w:val="39"/>
    <w:semiHidden/>
    <w:rsid w:val="004F4F86"/>
    <w:pPr>
      <w:spacing w:after="100" w:line="259" w:lineRule="auto"/>
      <w:ind w:left="1320"/>
    </w:pPr>
    <w:rPr>
      <w:rFonts w:asciiTheme="minorHAnsi" w:eastAsiaTheme="minorEastAsia" w:hAnsiTheme="minorHAnsi" w:cstheme="minorBidi"/>
      <w:szCs w:val="22"/>
      <w:lang w:val="en-NZ" w:eastAsia="en-NZ"/>
    </w:rPr>
  </w:style>
  <w:style w:type="paragraph" w:styleId="TOC8">
    <w:name w:val="toc 8"/>
    <w:basedOn w:val="Normal"/>
    <w:next w:val="Normal"/>
    <w:autoRedefine/>
    <w:uiPriority w:val="39"/>
    <w:semiHidden/>
    <w:rsid w:val="004F4F86"/>
    <w:pPr>
      <w:spacing w:after="100" w:line="259" w:lineRule="auto"/>
      <w:ind w:left="1540"/>
    </w:pPr>
    <w:rPr>
      <w:rFonts w:asciiTheme="minorHAnsi" w:eastAsiaTheme="minorEastAsia" w:hAnsiTheme="minorHAnsi" w:cstheme="minorBidi"/>
      <w:szCs w:val="22"/>
      <w:lang w:val="en-NZ" w:eastAsia="en-NZ"/>
    </w:rPr>
  </w:style>
  <w:style w:type="paragraph" w:styleId="TOC9">
    <w:name w:val="toc 9"/>
    <w:basedOn w:val="Normal"/>
    <w:next w:val="Normal"/>
    <w:autoRedefine/>
    <w:uiPriority w:val="39"/>
    <w:semiHidden/>
    <w:rsid w:val="004F4F86"/>
    <w:pPr>
      <w:spacing w:after="100" w:line="259" w:lineRule="auto"/>
      <w:ind w:left="1760"/>
    </w:pPr>
    <w:rPr>
      <w:rFonts w:asciiTheme="minorHAnsi" w:eastAsiaTheme="minorEastAsia" w:hAnsiTheme="minorHAnsi" w:cstheme="minorBidi"/>
      <w:szCs w:val="22"/>
      <w:lang w:val="en-NZ" w:eastAsia="en-NZ"/>
    </w:rPr>
  </w:style>
  <w:style w:type="character" w:customStyle="1" w:styleId="Mention3">
    <w:name w:val="Mention3"/>
    <w:basedOn w:val="DefaultParagraphFont"/>
    <w:uiPriority w:val="99"/>
    <w:semiHidden/>
    <w:unhideWhenUsed/>
    <w:rsid w:val="00EB65CA"/>
    <w:rPr>
      <w:color w:val="2B579A"/>
      <w:shd w:val="clear" w:color="auto" w:fill="E6E6E6"/>
    </w:rPr>
  </w:style>
  <w:style w:type="character" w:customStyle="1" w:styleId="UnresolvedMention9">
    <w:name w:val="Unresolved Mention9"/>
    <w:basedOn w:val="DefaultParagraphFont"/>
    <w:uiPriority w:val="99"/>
    <w:semiHidden/>
    <w:unhideWhenUsed/>
    <w:rsid w:val="00EB65CA"/>
    <w:rPr>
      <w:color w:val="605E5C"/>
      <w:shd w:val="clear" w:color="auto" w:fill="E1DFDD"/>
    </w:rPr>
  </w:style>
  <w:style w:type="paragraph" w:styleId="TOCHeading">
    <w:name w:val="TOC Heading"/>
    <w:basedOn w:val="Heading1"/>
    <w:next w:val="Normal"/>
    <w:uiPriority w:val="39"/>
    <w:semiHidden/>
    <w:qFormat/>
    <w:rsid w:val="00206E30"/>
    <w:pPr>
      <w:keepLines/>
      <w:tabs>
        <w:tab w:val="clear" w:pos="851"/>
      </w:tabs>
      <w:spacing w:before="240" w:after="0" w:line="259" w:lineRule="auto"/>
      <w:outlineLvl w:val="9"/>
    </w:pPr>
    <w:rPr>
      <w:rFonts w:asciiTheme="majorHAnsi" w:hAnsiTheme="majorHAnsi"/>
      <w:b w:val="0"/>
      <w:bCs w:val="0"/>
      <w:color w:val="153F50" w:themeColor="accent1" w:themeShade="BF"/>
      <w:sz w:val="32"/>
      <w:szCs w:val="32"/>
      <w:lang w:val="en-US" w:eastAsia="en-US"/>
    </w:rPr>
  </w:style>
  <w:style w:type="character" w:customStyle="1" w:styleId="UnresolvedMention10">
    <w:name w:val="Unresolved Mention10"/>
    <w:basedOn w:val="DefaultParagraphFont"/>
    <w:uiPriority w:val="99"/>
    <w:semiHidden/>
    <w:unhideWhenUsed/>
    <w:rsid w:val="00206E30"/>
    <w:rPr>
      <w:color w:val="605E5C"/>
      <w:shd w:val="clear" w:color="auto" w:fill="E1DFDD"/>
    </w:rPr>
  </w:style>
  <w:style w:type="character" w:customStyle="1" w:styleId="Mention4">
    <w:name w:val="Mention4"/>
    <w:basedOn w:val="DefaultParagraphFont"/>
    <w:uiPriority w:val="99"/>
    <w:semiHidden/>
    <w:unhideWhenUsed/>
    <w:rsid w:val="00BF2495"/>
    <w:rPr>
      <w:color w:val="2B579A"/>
      <w:shd w:val="clear" w:color="auto" w:fill="E6E6E6"/>
    </w:rPr>
  </w:style>
  <w:style w:type="character" w:customStyle="1" w:styleId="UnresolvedMention11">
    <w:name w:val="Unresolved Mention11"/>
    <w:basedOn w:val="DefaultParagraphFont"/>
    <w:uiPriority w:val="99"/>
    <w:semiHidden/>
    <w:unhideWhenUsed/>
    <w:rsid w:val="00684A51"/>
    <w:rPr>
      <w:color w:val="605E5C"/>
      <w:shd w:val="clear" w:color="auto" w:fill="E1DFDD"/>
    </w:rPr>
  </w:style>
  <w:style w:type="character" w:customStyle="1" w:styleId="UnresolvedMention12">
    <w:name w:val="Unresolved Mention12"/>
    <w:basedOn w:val="DefaultParagraphFont"/>
    <w:uiPriority w:val="99"/>
    <w:semiHidden/>
    <w:unhideWhenUsed/>
    <w:rsid w:val="00A80417"/>
    <w:rPr>
      <w:color w:val="605E5C"/>
      <w:shd w:val="clear" w:color="auto" w:fill="E1DFDD"/>
    </w:rPr>
  </w:style>
  <w:style w:type="character" w:customStyle="1" w:styleId="UnresolvedMention13">
    <w:name w:val="Unresolved Mention13"/>
    <w:basedOn w:val="DefaultParagraphFont"/>
    <w:uiPriority w:val="99"/>
    <w:semiHidden/>
    <w:unhideWhenUsed/>
    <w:rsid w:val="00140F9B"/>
    <w:rPr>
      <w:color w:val="605E5C"/>
      <w:shd w:val="clear" w:color="auto" w:fill="E1DFDD"/>
    </w:rPr>
  </w:style>
  <w:style w:type="character" w:customStyle="1" w:styleId="UnresolvedMention14">
    <w:name w:val="Unresolved Mention14"/>
    <w:basedOn w:val="DefaultParagraphFont"/>
    <w:uiPriority w:val="99"/>
    <w:semiHidden/>
    <w:unhideWhenUsed/>
    <w:rsid w:val="001E049B"/>
    <w:rPr>
      <w:color w:val="605E5C"/>
      <w:shd w:val="clear" w:color="auto" w:fill="E1DFDD"/>
    </w:rPr>
  </w:style>
  <w:style w:type="paragraph" w:styleId="ListBullet">
    <w:name w:val="List Bullet"/>
    <w:basedOn w:val="Normal"/>
    <w:uiPriority w:val="99"/>
    <w:semiHidden/>
    <w:rsid w:val="00A01167"/>
    <w:pPr>
      <w:numPr>
        <w:numId w:val="16"/>
      </w:numPr>
      <w:contextualSpacing/>
    </w:pPr>
  </w:style>
  <w:style w:type="character" w:styleId="Emphasis">
    <w:name w:val="Emphasis"/>
    <w:basedOn w:val="DefaultParagraphFont"/>
    <w:uiPriority w:val="20"/>
    <w:semiHidden/>
    <w:qFormat/>
    <w:rsid w:val="00070FD4"/>
    <w:rPr>
      <w:i/>
      <w:iCs/>
    </w:rPr>
  </w:style>
  <w:style w:type="character" w:customStyle="1" w:styleId="UnresolvedMention16">
    <w:name w:val="Unresolved Mention16"/>
    <w:basedOn w:val="DefaultParagraphFont"/>
    <w:uiPriority w:val="99"/>
    <w:unhideWhenUsed/>
    <w:rsid w:val="007A6979"/>
    <w:rPr>
      <w:color w:val="605E5C"/>
      <w:shd w:val="clear" w:color="auto" w:fill="E1DFDD"/>
    </w:rPr>
  </w:style>
  <w:style w:type="character" w:customStyle="1" w:styleId="UnresolvedMention17">
    <w:name w:val="Unresolved Mention17"/>
    <w:basedOn w:val="DefaultParagraphFont"/>
    <w:uiPriority w:val="99"/>
    <w:semiHidden/>
    <w:unhideWhenUsed/>
    <w:rsid w:val="00806A62"/>
    <w:rPr>
      <w:color w:val="605E5C"/>
      <w:shd w:val="clear" w:color="auto" w:fill="E1DFDD"/>
    </w:rPr>
  </w:style>
  <w:style w:type="paragraph" w:customStyle="1" w:styleId="Boxsub-bullet">
    <w:name w:val="Box sub-bullet"/>
    <w:basedOn w:val="Boxtext"/>
    <w:uiPriority w:val="1"/>
    <w:qFormat/>
    <w:rsid w:val="007C791C"/>
    <w:pPr>
      <w:numPr>
        <w:numId w:val="12"/>
      </w:numPr>
      <w:spacing w:before="0"/>
    </w:pPr>
    <w:rPr>
      <w:rFonts w:cs="Times New Roman"/>
      <w:szCs w:val="20"/>
    </w:rPr>
  </w:style>
  <w:style w:type="character" w:customStyle="1" w:styleId="normaltextrun">
    <w:name w:val="normaltextrun"/>
    <w:basedOn w:val="DefaultParagraphFont"/>
    <w:rsid w:val="00990177"/>
  </w:style>
  <w:style w:type="character" w:styleId="Mention">
    <w:name w:val="Mention"/>
    <w:basedOn w:val="DefaultParagraphFont"/>
    <w:uiPriority w:val="99"/>
    <w:unhideWhenUsed/>
    <w:rsid w:val="0057651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2719">
      <w:bodyDiv w:val="1"/>
      <w:marLeft w:val="0"/>
      <w:marRight w:val="0"/>
      <w:marTop w:val="0"/>
      <w:marBottom w:val="0"/>
      <w:divBdr>
        <w:top w:val="none" w:sz="0" w:space="0" w:color="auto"/>
        <w:left w:val="none" w:sz="0" w:space="0" w:color="auto"/>
        <w:bottom w:val="none" w:sz="0" w:space="0" w:color="auto"/>
        <w:right w:val="none" w:sz="0" w:space="0" w:color="auto"/>
      </w:divBdr>
    </w:div>
    <w:div w:id="10107624">
      <w:bodyDiv w:val="1"/>
      <w:marLeft w:val="0"/>
      <w:marRight w:val="0"/>
      <w:marTop w:val="0"/>
      <w:marBottom w:val="0"/>
      <w:divBdr>
        <w:top w:val="none" w:sz="0" w:space="0" w:color="auto"/>
        <w:left w:val="none" w:sz="0" w:space="0" w:color="auto"/>
        <w:bottom w:val="none" w:sz="0" w:space="0" w:color="auto"/>
        <w:right w:val="none" w:sz="0" w:space="0" w:color="auto"/>
      </w:divBdr>
    </w:div>
    <w:div w:id="29956816">
      <w:bodyDiv w:val="1"/>
      <w:marLeft w:val="0"/>
      <w:marRight w:val="0"/>
      <w:marTop w:val="0"/>
      <w:marBottom w:val="0"/>
      <w:divBdr>
        <w:top w:val="none" w:sz="0" w:space="0" w:color="auto"/>
        <w:left w:val="none" w:sz="0" w:space="0" w:color="auto"/>
        <w:bottom w:val="none" w:sz="0" w:space="0" w:color="auto"/>
        <w:right w:val="none" w:sz="0" w:space="0" w:color="auto"/>
      </w:divBdr>
    </w:div>
    <w:div w:id="56710766">
      <w:bodyDiv w:val="1"/>
      <w:marLeft w:val="0"/>
      <w:marRight w:val="0"/>
      <w:marTop w:val="0"/>
      <w:marBottom w:val="0"/>
      <w:divBdr>
        <w:top w:val="none" w:sz="0" w:space="0" w:color="auto"/>
        <w:left w:val="none" w:sz="0" w:space="0" w:color="auto"/>
        <w:bottom w:val="none" w:sz="0" w:space="0" w:color="auto"/>
        <w:right w:val="none" w:sz="0" w:space="0" w:color="auto"/>
      </w:divBdr>
    </w:div>
    <w:div w:id="57825728">
      <w:bodyDiv w:val="1"/>
      <w:marLeft w:val="0"/>
      <w:marRight w:val="0"/>
      <w:marTop w:val="0"/>
      <w:marBottom w:val="0"/>
      <w:divBdr>
        <w:top w:val="none" w:sz="0" w:space="0" w:color="auto"/>
        <w:left w:val="none" w:sz="0" w:space="0" w:color="auto"/>
        <w:bottom w:val="none" w:sz="0" w:space="0" w:color="auto"/>
        <w:right w:val="none" w:sz="0" w:space="0" w:color="auto"/>
      </w:divBdr>
    </w:div>
    <w:div w:id="58679526">
      <w:bodyDiv w:val="1"/>
      <w:marLeft w:val="0"/>
      <w:marRight w:val="0"/>
      <w:marTop w:val="0"/>
      <w:marBottom w:val="0"/>
      <w:divBdr>
        <w:top w:val="none" w:sz="0" w:space="0" w:color="auto"/>
        <w:left w:val="none" w:sz="0" w:space="0" w:color="auto"/>
        <w:bottom w:val="none" w:sz="0" w:space="0" w:color="auto"/>
        <w:right w:val="none" w:sz="0" w:space="0" w:color="auto"/>
      </w:divBdr>
    </w:div>
    <w:div w:id="60637323">
      <w:bodyDiv w:val="1"/>
      <w:marLeft w:val="0"/>
      <w:marRight w:val="0"/>
      <w:marTop w:val="0"/>
      <w:marBottom w:val="0"/>
      <w:divBdr>
        <w:top w:val="none" w:sz="0" w:space="0" w:color="auto"/>
        <w:left w:val="none" w:sz="0" w:space="0" w:color="auto"/>
        <w:bottom w:val="none" w:sz="0" w:space="0" w:color="auto"/>
        <w:right w:val="none" w:sz="0" w:space="0" w:color="auto"/>
      </w:divBdr>
      <w:divsChild>
        <w:div w:id="1894807807">
          <w:marLeft w:val="0"/>
          <w:marRight w:val="0"/>
          <w:marTop w:val="0"/>
          <w:marBottom w:val="0"/>
          <w:divBdr>
            <w:top w:val="none" w:sz="0" w:space="0" w:color="auto"/>
            <w:left w:val="none" w:sz="0" w:space="0" w:color="auto"/>
            <w:bottom w:val="none" w:sz="0" w:space="0" w:color="auto"/>
            <w:right w:val="none" w:sz="0" w:space="0" w:color="auto"/>
          </w:divBdr>
          <w:divsChild>
            <w:div w:id="646475707">
              <w:marLeft w:val="0"/>
              <w:marRight w:val="0"/>
              <w:marTop w:val="0"/>
              <w:marBottom w:val="0"/>
              <w:divBdr>
                <w:top w:val="none" w:sz="0" w:space="0" w:color="auto"/>
                <w:left w:val="none" w:sz="0" w:space="0" w:color="auto"/>
                <w:bottom w:val="none" w:sz="0" w:space="0" w:color="auto"/>
                <w:right w:val="none" w:sz="0" w:space="0" w:color="auto"/>
              </w:divBdr>
              <w:divsChild>
                <w:div w:id="396169812">
                  <w:marLeft w:val="-75"/>
                  <w:marRight w:val="-75"/>
                  <w:marTop w:val="0"/>
                  <w:marBottom w:val="0"/>
                  <w:divBdr>
                    <w:top w:val="none" w:sz="0" w:space="0" w:color="auto"/>
                    <w:left w:val="none" w:sz="0" w:space="0" w:color="auto"/>
                    <w:bottom w:val="none" w:sz="0" w:space="0" w:color="auto"/>
                    <w:right w:val="none" w:sz="0" w:space="0" w:color="auto"/>
                  </w:divBdr>
                  <w:divsChild>
                    <w:div w:id="201670594">
                      <w:marLeft w:val="0"/>
                      <w:marRight w:val="0"/>
                      <w:marTop w:val="0"/>
                      <w:marBottom w:val="0"/>
                      <w:divBdr>
                        <w:top w:val="none" w:sz="0" w:space="0" w:color="auto"/>
                        <w:left w:val="none" w:sz="0" w:space="0" w:color="auto"/>
                        <w:bottom w:val="none" w:sz="0" w:space="0" w:color="auto"/>
                        <w:right w:val="none" w:sz="0" w:space="0" w:color="auto"/>
                      </w:divBdr>
                      <w:divsChild>
                        <w:div w:id="128884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606196">
      <w:bodyDiv w:val="1"/>
      <w:marLeft w:val="0"/>
      <w:marRight w:val="0"/>
      <w:marTop w:val="0"/>
      <w:marBottom w:val="0"/>
      <w:divBdr>
        <w:top w:val="none" w:sz="0" w:space="0" w:color="auto"/>
        <w:left w:val="none" w:sz="0" w:space="0" w:color="auto"/>
        <w:bottom w:val="none" w:sz="0" w:space="0" w:color="auto"/>
        <w:right w:val="none" w:sz="0" w:space="0" w:color="auto"/>
      </w:divBdr>
      <w:divsChild>
        <w:div w:id="237712146">
          <w:marLeft w:val="0"/>
          <w:marRight w:val="0"/>
          <w:marTop w:val="0"/>
          <w:marBottom w:val="0"/>
          <w:divBdr>
            <w:top w:val="none" w:sz="0" w:space="0" w:color="auto"/>
            <w:left w:val="none" w:sz="0" w:space="0" w:color="auto"/>
            <w:bottom w:val="none" w:sz="0" w:space="0" w:color="auto"/>
            <w:right w:val="none" w:sz="0" w:space="0" w:color="auto"/>
          </w:divBdr>
        </w:div>
        <w:div w:id="268854416">
          <w:marLeft w:val="0"/>
          <w:marRight w:val="0"/>
          <w:marTop w:val="0"/>
          <w:marBottom w:val="0"/>
          <w:divBdr>
            <w:top w:val="none" w:sz="0" w:space="0" w:color="auto"/>
            <w:left w:val="none" w:sz="0" w:space="0" w:color="auto"/>
            <w:bottom w:val="none" w:sz="0" w:space="0" w:color="auto"/>
            <w:right w:val="none" w:sz="0" w:space="0" w:color="auto"/>
          </w:divBdr>
        </w:div>
        <w:div w:id="416755509">
          <w:marLeft w:val="0"/>
          <w:marRight w:val="0"/>
          <w:marTop w:val="0"/>
          <w:marBottom w:val="0"/>
          <w:divBdr>
            <w:top w:val="none" w:sz="0" w:space="0" w:color="auto"/>
            <w:left w:val="none" w:sz="0" w:space="0" w:color="auto"/>
            <w:bottom w:val="none" w:sz="0" w:space="0" w:color="auto"/>
            <w:right w:val="none" w:sz="0" w:space="0" w:color="auto"/>
          </w:divBdr>
        </w:div>
        <w:div w:id="445973106">
          <w:marLeft w:val="0"/>
          <w:marRight w:val="0"/>
          <w:marTop w:val="0"/>
          <w:marBottom w:val="0"/>
          <w:divBdr>
            <w:top w:val="none" w:sz="0" w:space="0" w:color="auto"/>
            <w:left w:val="none" w:sz="0" w:space="0" w:color="auto"/>
            <w:bottom w:val="none" w:sz="0" w:space="0" w:color="auto"/>
            <w:right w:val="none" w:sz="0" w:space="0" w:color="auto"/>
          </w:divBdr>
        </w:div>
        <w:div w:id="665325849">
          <w:marLeft w:val="0"/>
          <w:marRight w:val="0"/>
          <w:marTop w:val="0"/>
          <w:marBottom w:val="0"/>
          <w:divBdr>
            <w:top w:val="none" w:sz="0" w:space="0" w:color="auto"/>
            <w:left w:val="none" w:sz="0" w:space="0" w:color="auto"/>
            <w:bottom w:val="none" w:sz="0" w:space="0" w:color="auto"/>
            <w:right w:val="none" w:sz="0" w:space="0" w:color="auto"/>
          </w:divBdr>
        </w:div>
        <w:div w:id="666833851">
          <w:marLeft w:val="0"/>
          <w:marRight w:val="0"/>
          <w:marTop w:val="0"/>
          <w:marBottom w:val="0"/>
          <w:divBdr>
            <w:top w:val="none" w:sz="0" w:space="0" w:color="auto"/>
            <w:left w:val="none" w:sz="0" w:space="0" w:color="auto"/>
            <w:bottom w:val="none" w:sz="0" w:space="0" w:color="auto"/>
            <w:right w:val="none" w:sz="0" w:space="0" w:color="auto"/>
          </w:divBdr>
        </w:div>
        <w:div w:id="796263419">
          <w:marLeft w:val="0"/>
          <w:marRight w:val="0"/>
          <w:marTop w:val="0"/>
          <w:marBottom w:val="0"/>
          <w:divBdr>
            <w:top w:val="none" w:sz="0" w:space="0" w:color="auto"/>
            <w:left w:val="none" w:sz="0" w:space="0" w:color="auto"/>
            <w:bottom w:val="none" w:sz="0" w:space="0" w:color="auto"/>
            <w:right w:val="none" w:sz="0" w:space="0" w:color="auto"/>
          </w:divBdr>
        </w:div>
        <w:div w:id="1263760351">
          <w:marLeft w:val="0"/>
          <w:marRight w:val="0"/>
          <w:marTop w:val="0"/>
          <w:marBottom w:val="0"/>
          <w:divBdr>
            <w:top w:val="none" w:sz="0" w:space="0" w:color="auto"/>
            <w:left w:val="none" w:sz="0" w:space="0" w:color="auto"/>
            <w:bottom w:val="none" w:sz="0" w:space="0" w:color="auto"/>
            <w:right w:val="none" w:sz="0" w:space="0" w:color="auto"/>
          </w:divBdr>
        </w:div>
        <w:div w:id="1290629413">
          <w:marLeft w:val="0"/>
          <w:marRight w:val="0"/>
          <w:marTop w:val="0"/>
          <w:marBottom w:val="0"/>
          <w:divBdr>
            <w:top w:val="none" w:sz="0" w:space="0" w:color="auto"/>
            <w:left w:val="none" w:sz="0" w:space="0" w:color="auto"/>
            <w:bottom w:val="none" w:sz="0" w:space="0" w:color="auto"/>
            <w:right w:val="none" w:sz="0" w:space="0" w:color="auto"/>
          </w:divBdr>
        </w:div>
        <w:div w:id="1312754731">
          <w:marLeft w:val="0"/>
          <w:marRight w:val="0"/>
          <w:marTop w:val="0"/>
          <w:marBottom w:val="0"/>
          <w:divBdr>
            <w:top w:val="none" w:sz="0" w:space="0" w:color="auto"/>
            <w:left w:val="none" w:sz="0" w:space="0" w:color="auto"/>
            <w:bottom w:val="none" w:sz="0" w:space="0" w:color="auto"/>
            <w:right w:val="none" w:sz="0" w:space="0" w:color="auto"/>
          </w:divBdr>
        </w:div>
        <w:div w:id="1407608258">
          <w:marLeft w:val="0"/>
          <w:marRight w:val="0"/>
          <w:marTop w:val="0"/>
          <w:marBottom w:val="0"/>
          <w:divBdr>
            <w:top w:val="none" w:sz="0" w:space="0" w:color="auto"/>
            <w:left w:val="none" w:sz="0" w:space="0" w:color="auto"/>
            <w:bottom w:val="none" w:sz="0" w:space="0" w:color="auto"/>
            <w:right w:val="none" w:sz="0" w:space="0" w:color="auto"/>
          </w:divBdr>
        </w:div>
        <w:div w:id="1427188918">
          <w:marLeft w:val="0"/>
          <w:marRight w:val="0"/>
          <w:marTop w:val="0"/>
          <w:marBottom w:val="0"/>
          <w:divBdr>
            <w:top w:val="none" w:sz="0" w:space="0" w:color="auto"/>
            <w:left w:val="none" w:sz="0" w:space="0" w:color="auto"/>
            <w:bottom w:val="none" w:sz="0" w:space="0" w:color="auto"/>
            <w:right w:val="none" w:sz="0" w:space="0" w:color="auto"/>
          </w:divBdr>
        </w:div>
        <w:div w:id="1478524811">
          <w:marLeft w:val="0"/>
          <w:marRight w:val="0"/>
          <w:marTop w:val="0"/>
          <w:marBottom w:val="0"/>
          <w:divBdr>
            <w:top w:val="none" w:sz="0" w:space="0" w:color="auto"/>
            <w:left w:val="none" w:sz="0" w:space="0" w:color="auto"/>
            <w:bottom w:val="none" w:sz="0" w:space="0" w:color="auto"/>
            <w:right w:val="none" w:sz="0" w:space="0" w:color="auto"/>
          </w:divBdr>
        </w:div>
        <w:div w:id="1613122964">
          <w:marLeft w:val="0"/>
          <w:marRight w:val="0"/>
          <w:marTop w:val="0"/>
          <w:marBottom w:val="0"/>
          <w:divBdr>
            <w:top w:val="none" w:sz="0" w:space="0" w:color="auto"/>
            <w:left w:val="none" w:sz="0" w:space="0" w:color="auto"/>
            <w:bottom w:val="none" w:sz="0" w:space="0" w:color="auto"/>
            <w:right w:val="none" w:sz="0" w:space="0" w:color="auto"/>
          </w:divBdr>
        </w:div>
        <w:div w:id="1761021764">
          <w:marLeft w:val="0"/>
          <w:marRight w:val="0"/>
          <w:marTop w:val="0"/>
          <w:marBottom w:val="0"/>
          <w:divBdr>
            <w:top w:val="none" w:sz="0" w:space="0" w:color="auto"/>
            <w:left w:val="none" w:sz="0" w:space="0" w:color="auto"/>
            <w:bottom w:val="none" w:sz="0" w:space="0" w:color="auto"/>
            <w:right w:val="none" w:sz="0" w:space="0" w:color="auto"/>
          </w:divBdr>
        </w:div>
        <w:div w:id="1876771286">
          <w:marLeft w:val="0"/>
          <w:marRight w:val="0"/>
          <w:marTop w:val="0"/>
          <w:marBottom w:val="0"/>
          <w:divBdr>
            <w:top w:val="none" w:sz="0" w:space="0" w:color="auto"/>
            <w:left w:val="none" w:sz="0" w:space="0" w:color="auto"/>
            <w:bottom w:val="none" w:sz="0" w:space="0" w:color="auto"/>
            <w:right w:val="none" w:sz="0" w:space="0" w:color="auto"/>
          </w:divBdr>
        </w:div>
        <w:div w:id="1884824209">
          <w:marLeft w:val="0"/>
          <w:marRight w:val="0"/>
          <w:marTop w:val="0"/>
          <w:marBottom w:val="0"/>
          <w:divBdr>
            <w:top w:val="none" w:sz="0" w:space="0" w:color="auto"/>
            <w:left w:val="none" w:sz="0" w:space="0" w:color="auto"/>
            <w:bottom w:val="none" w:sz="0" w:space="0" w:color="auto"/>
            <w:right w:val="none" w:sz="0" w:space="0" w:color="auto"/>
          </w:divBdr>
        </w:div>
        <w:div w:id="1941791608">
          <w:marLeft w:val="0"/>
          <w:marRight w:val="0"/>
          <w:marTop w:val="0"/>
          <w:marBottom w:val="0"/>
          <w:divBdr>
            <w:top w:val="none" w:sz="0" w:space="0" w:color="auto"/>
            <w:left w:val="none" w:sz="0" w:space="0" w:color="auto"/>
            <w:bottom w:val="none" w:sz="0" w:space="0" w:color="auto"/>
            <w:right w:val="none" w:sz="0" w:space="0" w:color="auto"/>
          </w:divBdr>
        </w:div>
        <w:div w:id="1981879484">
          <w:marLeft w:val="0"/>
          <w:marRight w:val="0"/>
          <w:marTop w:val="0"/>
          <w:marBottom w:val="0"/>
          <w:divBdr>
            <w:top w:val="none" w:sz="0" w:space="0" w:color="auto"/>
            <w:left w:val="none" w:sz="0" w:space="0" w:color="auto"/>
            <w:bottom w:val="none" w:sz="0" w:space="0" w:color="auto"/>
            <w:right w:val="none" w:sz="0" w:space="0" w:color="auto"/>
          </w:divBdr>
        </w:div>
        <w:div w:id="2011709724">
          <w:marLeft w:val="0"/>
          <w:marRight w:val="0"/>
          <w:marTop w:val="0"/>
          <w:marBottom w:val="0"/>
          <w:divBdr>
            <w:top w:val="none" w:sz="0" w:space="0" w:color="auto"/>
            <w:left w:val="none" w:sz="0" w:space="0" w:color="auto"/>
            <w:bottom w:val="none" w:sz="0" w:space="0" w:color="auto"/>
            <w:right w:val="none" w:sz="0" w:space="0" w:color="auto"/>
          </w:divBdr>
        </w:div>
      </w:divsChild>
    </w:div>
    <w:div w:id="83041212">
      <w:bodyDiv w:val="1"/>
      <w:marLeft w:val="0"/>
      <w:marRight w:val="0"/>
      <w:marTop w:val="0"/>
      <w:marBottom w:val="0"/>
      <w:divBdr>
        <w:top w:val="none" w:sz="0" w:space="0" w:color="auto"/>
        <w:left w:val="none" w:sz="0" w:space="0" w:color="auto"/>
        <w:bottom w:val="none" w:sz="0" w:space="0" w:color="auto"/>
        <w:right w:val="none" w:sz="0" w:space="0" w:color="auto"/>
      </w:divBdr>
    </w:div>
    <w:div w:id="86124487">
      <w:bodyDiv w:val="1"/>
      <w:marLeft w:val="0"/>
      <w:marRight w:val="0"/>
      <w:marTop w:val="0"/>
      <w:marBottom w:val="0"/>
      <w:divBdr>
        <w:top w:val="none" w:sz="0" w:space="0" w:color="auto"/>
        <w:left w:val="none" w:sz="0" w:space="0" w:color="auto"/>
        <w:bottom w:val="none" w:sz="0" w:space="0" w:color="auto"/>
        <w:right w:val="none" w:sz="0" w:space="0" w:color="auto"/>
      </w:divBdr>
    </w:div>
    <w:div w:id="98263401">
      <w:bodyDiv w:val="1"/>
      <w:marLeft w:val="0"/>
      <w:marRight w:val="0"/>
      <w:marTop w:val="0"/>
      <w:marBottom w:val="0"/>
      <w:divBdr>
        <w:top w:val="none" w:sz="0" w:space="0" w:color="auto"/>
        <w:left w:val="none" w:sz="0" w:space="0" w:color="auto"/>
        <w:bottom w:val="none" w:sz="0" w:space="0" w:color="auto"/>
        <w:right w:val="none" w:sz="0" w:space="0" w:color="auto"/>
      </w:divBdr>
    </w:div>
    <w:div w:id="140194114">
      <w:bodyDiv w:val="1"/>
      <w:marLeft w:val="0"/>
      <w:marRight w:val="0"/>
      <w:marTop w:val="0"/>
      <w:marBottom w:val="0"/>
      <w:divBdr>
        <w:top w:val="none" w:sz="0" w:space="0" w:color="auto"/>
        <w:left w:val="none" w:sz="0" w:space="0" w:color="auto"/>
        <w:bottom w:val="none" w:sz="0" w:space="0" w:color="auto"/>
        <w:right w:val="none" w:sz="0" w:space="0" w:color="auto"/>
      </w:divBdr>
    </w:div>
    <w:div w:id="144664680">
      <w:bodyDiv w:val="1"/>
      <w:marLeft w:val="0"/>
      <w:marRight w:val="0"/>
      <w:marTop w:val="0"/>
      <w:marBottom w:val="0"/>
      <w:divBdr>
        <w:top w:val="none" w:sz="0" w:space="0" w:color="auto"/>
        <w:left w:val="none" w:sz="0" w:space="0" w:color="auto"/>
        <w:bottom w:val="none" w:sz="0" w:space="0" w:color="auto"/>
        <w:right w:val="none" w:sz="0" w:space="0" w:color="auto"/>
      </w:divBdr>
      <w:divsChild>
        <w:div w:id="1785151224">
          <w:marLeft w:val="0"/>
          <w:marRight w:val="0"/>
          <w:marTop w:val="0"/>
          <w:marBottom w:val="0"/>
          <w:divBdr>
            <w:top w:val="none" w:sz="0" w:space="0" w:color="auto"/>
            <w:left w:val="none" w:sz="0" w:space="0" w:color="auto"/>
            <w:bottom w:val="none" w:sz="0" w:space="0" w:color="auto"/>
            <w:right w:val="none" w:sz="0" w:space="0" w:color="auto"/>
          </w:divBdr>
        </w:div>
        <w:div w:id="2101757200">
          <w:marLeft w:val="0"/>
          <w:marRight w:val="0"/>
          <w:marTop w:val="0"/>
          <w:marBottom w:val="0"/>
          <w:divBdr>
            <w:top w:val="none" w:sz="0" w:space="0" w:color="auto"/>
            <w:left w:val="none" w:sz="0" w:space="0" w:color="auto"/>
            <w:bottom w:val="none" w:sz="0" w:space="0" w:color="auto"/>
            <w:right w:val="none" w:sz="0" w:space="0" w:color="auto"/>
          </w:divBdr>
        </w:div>
      </w:divsChild>
    </w:div>
    <w:div w:id="150871205">
      <w:bodyDiv w:val="1"/>
      <w:marLeft w:val="0"/>
      <w:marRight w:val="0"/>
      <w:marTop w:val="0"/>
      <w:marBottom w:val="0"/>
      <w:divBdr>
        <w:top w:val="none" w:sz="0" w:space="0" w:color="auto"/>
        <w:left w:val="none" w:sz="0" w:space="0" w:color="auto"/>
        <w:bottom w:val="none" w:sz="0" w:space="0" w:color="auto"/>
        <w:right w:val="none" w:sz="0" w:space="0" w:color="auto"/>
      </w:divBdr>
    </w:div>
    <w:div w:id="199517846">
      <w:bodyDiv w:val="1"/>
      <w:marLeft w:val="0"/>
      <w:marRight w:val="0"/>
      <w:marTop w:val="0"/>
      <w:marBottom w:val="0"/>
      <w:divBdr>
        <w:top w:val="none" w:sz="0" w:space="0" w:color="auto"/>
        <w:left w:val="none" w:sz="0" w:space="0" w:color="auto"/>
        <w:bottom w:val="none" w:sz="0" w:space="0" w:color="auto"/>
        <w:right w:val="none" w:sz="0" w:space="0" w:color="auto"/>
      </w:divBdr>
    </w:div>
    <w:div w:id="208803368">
      <w:bodyDiv w:val="1"/>
      <w:marLeft w:val="0"/>
      <w:marRight w:val="0"/>
      <w:marTop w:val="0"/>
      <w:marBottom w:val="0"/>
      <w:divBdr>
        <w:top w:val="none" w:sz="0" w:space="0" w:color="auto"/>
        <w:left w:val="none" w:sz="0" w:space="0" w:color="auto"/>
        <w:bottom w:val="none" w:sz="0" w:space="0" w:color="auto"/>
        <w:right w:val="none" w:sz="0" w:space="0" w:color="auto"/>
      </w:divBdr>
    </w:div>
    <w:div w:id="215044658">
      <w:bodyDiv w:val="1"/>
      <w:marLeft w:val="0"/>
      <w:marRight w:val="0"/>
      <w:marTop w:val="0"/>
      <w:marBottom w:val="0"/>
      <w:divBdr>
        <w:top w:val="none" w:sz="0" w:space="0" w:color="auto"/>
        <w:left w:val="none" w:sz="0" w:space="0" w:color="auto"/>
        <w:bottom w:val="none" w:sz="0" w:space="0" w:color="auto"/>
        <w:right w:val="none" w:sz="0" w:space="0" w:color="auto"/>
      </w:divBdr>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222102124">
      <w:bodyDiv w:val="1"/>
      <w:marLeft w:val="0"/>
      <w:marRight w:val="0"/>
      <w:marTop w:val="0"/>
      <w:marBottom w:val="0"/>
      <w:divBdr>
        <w:top w:val="none" w:sz="0" w:space="0" w:color="auto"/>
        <w:left w:val="none" w:sz="0" w:space="0" w:color="auto"/>
        <w:bottom w:val="none" w:sz="0" w:space="0" w:color="auto"/>
        <w:right w:val="none" w:sz="0" w:space="0" w:color="auto"/>
      </w:divBdr>
    </w:div>
    <w:div w:id="225378325">
      <w:bodyDiv w:val="1"/>
      <w:marLeft w:val="0"/>
      <w:marRight w:val="0"/>
      <w:marTop w:val="0"/>
      <w:marBottom w:val="0"/>
      <w:divBdr>
        <w:top w:val="none" w:sz="0" w:space="0" w:color="auto"/>
        <w:left w:val="none" w:sz="0" w:space="0" w:color="auto"/>
        <w:bottom w:val="none" w:sz="0" w:space="0" w:color="auto"/>
        <w:right w:val="none" w:sz="0" w:space="0" w:color="auto"/>
      </w:divBdr>
      <w:divsChild>
        <w:div w:id="1448967814">
          <w:marLeft w:val="0"/>
          <w:marRight w:val="0"/>
          <w:marTop w:val="0"/>
          <w:marBottom w:val="0"/>
          <w:divBdr>
            <w:top w:val="none" w:sz="0" w:space="0" w:color="auto"/>
            <w:left w:val="none" w:sz="0" w:space="0" w:color="auto"/>
            <w:bottom w:val="none" w:sz="0" w:space="0" w:color="auto"/>
            <w:right w:val="none" w:sz="0" w:space="0" w:color="auto"/>
          </w:divBdr>
          <w:divsChild>
            <w:div w:id="534585495">
              <w:marLeft w:val="0"/>
              <w:marRight w:val="0"/>
              <w:marTop w:val="30"/>
              <w:marBottom w:val="30"/>
              <w:divBdr>
                <w:top w:val="none" w:sz="0" w:space="0" w:color="auto"/>
                <w:left w:val="none" w:sz="0" w:space="0" w:color="auto"/>
                <w:bottom w:val="none" w:sz="0" w:space="0" w:color="auto"/>
                <w:right w:val="none" w:sz="0" w:space="0" w:color="auto"/>
              </w:divBdr>
              <w:divsChild>
                <w:div w:id="88497">
                  <w:marLeft w:val="0"/>
                  <w:marRight w:val="0"/>
                  <w:marTop w:val="0"/>
                  <w:marBottom w:val="0"/>
                  <w:divBdr>
                    <w:top w:val="none" w:sz="0" w:space="0" w:color="auto"/>
                    <w:left w:val="none" w:sz="0" w:space="0" w:color="auto"/>
                    <w:bottom w:val="none" w:sz="0" w:space="0" w:color="auto"/>
                    <w:right w:val="none" w:sz="0" w:space="0" w:color="auto"/>
                  </w:divBdr>
                  <w:divsChild>
                    <w:div w:id="2134251788">
                      <w:marLeft w:val="0"/>
                      <w:marRight w:val="0"/>
                      <w:marTop w:val="0"/>
                      <w:marBottom w:val="0"/>
                      <w:divBdr>
                        <w:top w:val="none" w:sz="0" w:space="0" w:color="auto"/>
                        <w:left w:val="none" w:sz="0" w:space="0" w:color="auto"/>
                        <w:bottom w:val="none" w:sz="0" w:space="0" w:color="auto"/>
                        <w:right w:val="none" w:sz="0" w:space="0" w:color="auto"/>
                      </w:divBdr>
                    </w:div>
                  </w:divsChild>
                </w:div>
                <w:div w:id="1590307">
                  <w:marLeft w:val="0"/>
                  <w:marRight w:val="0"/>
                  <w:marTop w:val="0"/>
                  <w:marBottom w:val="0"/>
                  <w:divBdr>
                    <w:top w:val="none" w:sz="0" w:space="0" w:color="auto"/>
                    <w:left w:val="none" w:sz="0" w:space="0" w:color="auto"/>
                    <w:bottom w:val="none" w:sz="0" w:space="0" w:color="auto"/>
                    <w:right w:val="none" w:sz="0" w:space="0" w:color="auto"/>
                  </w:divBdr>
                  <w:divsChild>
                    <w:div w:id="1594581129">
                      <w:marLeft w:val="0"/>
                      <w:marRight w:val="0"/>
                      <w:marTop w:val="0"/>
                      <w:marBottom w:val="0"/>
                      <w:divBdr>
                        <w:top w:val="none" w:sz="0" w:space="0" w:color="auto"/>
                        <w:left w:val="none" w:sz="0" w:space="0" w:color="auto"/>
                        <w:bottom w:val="none" w:sz="0" w:space="0" w:color="auto"/>
                        <w:right w:val="none" w:sz="0" w:space="0" w:color="auto"/>
                      </w:divBdr>
                    </w:div>
                  </w:divsChild>
                </w:div>
                <w:div w:id="3553453">
                  <w:marLeft w:val="0"/>
                  <w:marRight w:val="0"/>
                  <w:marTop w:val="0"/>
                  <w:marBottom w:val="0"/>
                  <w:divBdr>
                    <w:top w:val="none" w:sz="0" w:space="0" w:color="auto"/>
                    <w:left w:val="none" w:sz="0" w:space="0" w:color="auto"/>
                    <w:bottom w:val="none" w:sz="0" w:space="0" w:color="auto"/>
                    <w:right w:val="none" w:sz="0" w:space="0" w:color="auto"/>
                  </w:divBdr>
                  <w:divsChild>
                    <w:div w:id="2134446715">
                      <w:marLeft w:val="0"/>
                      <w:marRight w:val="0"/>
                      <w:marTop w:val="0"/>
                      <w:marBottom w:val="0"/>
                      <w:divBdr>
                        <w:top w:val="none" w:sz="0" w:space="0" w:color="auto"/>
                        <w:left w:val="none" w:sz="0" w:space="0" w:color="auto"/>
                        <w:bottom w:val="none" w:sz="0" w:space="0" w:color="auto"/>
                        <w:right w:val="none" w:sz="0" w:space="0" w:color="auto"/>
                      </w:divBdr>
                    </w:div>
                  </w:divsChild>
                </w:div>
                <w:div w:id="5402693">
                  <w:marLeft w:val="0"/>
                  <w:marRight w:val="0"/>
                  <w:marTop w:val="0"/>
                  <w:marBottom w:val="0"/>
                  <w:divBdr>
                    <w:top w:val="none" w:sz="0" w:space="0" w:color="auto"/>
                    <w:left w:val="none" w:sz="0" w:space="0" w:color="auto"/>
                    <w:bottom w:val="none" w:sz="0" w:space="0" w:color="auto"/>
                    <w:right w:val="none" w:sz="0" w:space="0" w:color="auto"/>
                  </w:divBdr>
                  <w:divsChild>
                    <w:div w:id="1063677092">
                      <w:marLeft w:val="0"/>
                      <w:marRight w:val="0"/>
                      <w:marTop w:val="0"/>
                      <w:marBottom w:val="0"/>
                      <w:divBdr>
                        <w:top w:val="none" w:sz="0" w:space="0" w:color="auto"/>
                        <w:left w:val="none" w:sz="0" w:space="0" w:color="auto"/>
                        <w:bottom w:val="none" w:sz="0" w:space="0" w:color="auto"/>
                        <w:right w:val="none" w:sz="0" w:space="0" w:color="auto"/>
                      </w:divBdr>
                    </w:div>
                  </w:divsChild>
                </w:div>
                <w:div w:id="6297747">
                  <w:marLeft w:val="0"/>
                  <w:marRight w:val="0"/>
                  <w:marTop w:val="0"/>
                  <w:marBottom w:val="0"/>
                  <w:divBdr>
                    <w:top w:val="none" w:sz="0" w:space="0" w:color="auto"/>
                    <w:left w:val="none" w:sz="0" w:space="0" w:color="auto"/>
                    <w:bottom w:val="none" w:sz="0" w:space="0" w:color="auto"/>
                    <w:right w:val="none" w:sz="0" w:space="0" w:color="auto"/>
                  </w:divBdr>
                  <w:divsChild>
                    <w:div w:id="204755550">
                      <w:marLeft w:val="0"/>
                      <w:marRight w:val="0"/>
                      <w:marTop w:val="0"/>
                      <w:marBottom w:val="0"/>
                      <w:divBdr>
                        <w:top w:val="none" w:sz="0" w:space="0" w:color="auto"/>
                        <w:left w:val="none" w:sz="0" w:space="0" w:color="auto"/>
                        <w:bottom w:val="none" w:sz="0" w:space="0" w:color="auto"/>
                        <w:right w:val="none" w:sz="0" w:space="0" w:color="auto"/>
                      </w:divBdr>
                    </w:div>
                  </w:divsChild>
                </w:div>
                <w:div w:id="10223702">
                  <w:marLeft w:val="0"/>
                  <w:marRight w:val="0"/>
                  <w:marTop w:val="0"/>
                  <w:marBottom w:val="0"/>
                  <w:divBdr>
                    <w:top w:val="none" w:sz="0" w:space="0" w:color="auto"/>
                    <w:left w:val="none" w:sz="0" w:space="0" w:color="auto"/>
                    <w:bottom w:val="none" w:sz="0" w:space="0" w:color="auto"/>
                    <w:right w:val="none" w:sz="0" w:space="0" w:color="auto"/>
                  </w:divBdr>
                  <w:divsChild>
                    <w:div w:id="596645406">
                      <w:marLeft w:val="0"/>
                      <w:marRight w:val="0"/>
                      <w:marTop w:val="0"/>
                      <w:marBottom w:val="0"/>
                      <w:divBdr>
                        <w:top w:val="none" w:sz="0" w:space="0" w:color="auto"/>
                        <w:left w:val="none" w:sz="0" w:space="0" w:color="auto"/>
                        <w:bottom w:val="none" w:sz="0" w:space="0" w:color="auto"/>
                        <w:right w:val="none" w:sz="0" w:space="0" w:color="auto"/>
                      </w:divBdr>
                    </w:div>
                  </w:divsChild>
                </w:div>
                <w:div w:id="17004707">
                  <w:marLeft w:val="0"/>
                  <w:marRight w:val="0"/>
                  <w:marTop w:val="0"/>
                  <w:marBottom w:val="0"/>
                  <w:divBdr>
                    <w:top w:val="none" w:sz="0" w:space="0" w:color="auto"/>
                    <w:left w:val="none" w:sz="0" w:space="0" w:color="auto"/>
                    <w:bottom w:val="none" w:sz="0" w:space="0" w:color="auto"/>
                    <w:right w:val="none" w:sz="0" w:space="0" w:color="auto"/>
                  </w:divBdr>
                  <w:divsChild>
                    <w:div w:id="2017341427">
                      <w:marLeft w:val="0"/>
                      <w:marRight w:val="0"/>
                      <w:marTop w:val="0"/>
                      <w:marBottom w:val="0"/>
                      <w:divBdr>
                        <w:top w:val="none" w:sz="0" w:space="0" w:color="auto"/>
                        <w:left w:val="none" w:sz="0" w:space="0" w:color="auto"/>
                        <w:bottom w:val="none" w:sz="0" w:space="0" w:color="auto"/>
                        <w:right w:val="none" w:sz="0" w:space="0" w:color="auto"/>
                      </w:divBdr>
                    </w:div>
                  </w:divsChild>
                </w:div>
                <w:div w:id="21562464">
                  <w:marLeft w:val="0"/>
                  <w:marRight w:val="0"/>
                  <w:marTop w:val="0"/>
                  <w:marBottom w:val="0"/>
                  <w:divBdr>
                    <w:top w:val="none" w:sz="0" w:space="0" w:color="auto"/>
                    <w:left w:val="none" w:sz="0" w:space="0" w:color="auto"/>
                    <w:bottom w:val="none" w:sz="0" w:space="0" w:color="auto"/>
                    <w:right w:val="none" w:sz="0" w:space="0" w:color="auto"/>
                  </w:divBdr>
                  <w:divsChild>
                    <w:div w:id="52431382">
                      <w:marLeft w:val="0"/>
                      <w:marRight w:val="0"/>
                      <w:marTop w:val="0"/>
                      <w:marBottom w:val="0"/>
                      <w:divBdr>
                        <w:top w:val="none" w:sz="0" w:space="0" w:color="auto"/>
                        <w:left w:val="none" w:sz="0" w:space="0" w:color="auto"/>
                        <w:bottom w:val="none" w:sz="0" w:space="0" w:color="auto"/>
                        <w:right w:val="none" w:sz="0" w:space="0" w:color="auto"/>
                      </w:divBdr>
                    </w:div>
                  </w:divsChild>
                </w:div>
                <w:div w:id="22753128">
                  <w:marLeft w:val="0"/>
                  <w:marRight w:val="0"/>
                  <w:marTop w:val="0"/>
                  <w:marBottom w:val="0"/>
                  <w:divBdr>
                    <w:top w:val="none" w:sz="0" w:space="0" w:color="auto"/>
                    <w:left w:val="none" w:sz="0" w:space="0" w:color="auto"/>
                    <w:bottom w:val="none" w:sz="0" w:space="0" w:color="auto"/>
                    <w:right w:val="none" w:sz="0" w:space="0" w:color="auto"/>
                  </w:divBdr>
                  <w:divsChild>
                    <w:div w:id="269581968">
                      <w:marLeft w:val="0"/>
                      <w:marRight w:val="0"/>
                      <w:marTop w:val="0"/>
                      <w:marBottom w:val="0"/>
                      <w:divBdr>
                        <w:top w:val="none" w:sz="0" w:space="0" w:color="auto"/>
                        <w:left w:val="none" w:sz="0" w:space="0" w:color="auto"/>
                        <w:bottom w:val="none" w:sz="0" w:space="0" w:color="auto"/>
                        <w:right w:val="none" w:sz="0" w:space="0" w:color="auto"/>
                      </w:divBdr>
                    </w:div>
                  </w:divsChild>
                </w:div>
                <w:div w:id="26301829">
                  <w:marLeft w:val="0"/>
                  <w:marRight w:val="0"/>
                  <w:marTop w:val="0"/>
                  <w:marBottom w:val="0"/>
                  <w:divBdr>
                    <w:top w:val="none" w:sz="0" w:space="0" w:color="auto"/>
                    <w:left w:val="none" w:sz="0" w:space="0" w:color="auto"/>
                    <w:bottom w:val="none" w:sz="0" w:space="0" w:color="auto"/>
                    <w:right w:val="none" w:sz="0" w:space="0" w:color="auto"/>
                  </w:divBdr>
                  <w:divsChild>
                    <w:div w:id="577599723">
                      <w:marLeft w:val="0"/>
                      <w:marRight w:val="0"/>
                      <w:marTop w:val="0"/>
                      <w:marBottom w:val="0"/>
                      <w:divBdr>
                        <w:top w:val="none" w:sz="0" w:space="0" w:color="auto"/>
                        <w:left w:val="none" w:sz="0" w:space="0" w:color="auto"/>
                        <w:bottom w:val="none" w:sz="0" w:space="0" w:color="auto"/>
                        <w:right w:val="none" w:sz="0" w:space="0" w:color="auto"/>
                      </w:divBdr>
                    </w:div>
                  </w:divsChild>
                </w:div>
                <w:div w:id="56364392">
                  <w:marLeft w:val="0"/>
                  <w:marRight w:val="0"/>
                  <w:marTop w:val="0"/>
                  <w:marBottom w:val="0"/>
                  <w:divBdr>
                    <w:top w:val="none" w:sz="0" w:space="0" w:color="auto"/>
                    <w:left w:val="none" w:sz="0" w:space="0" w:color="auto"/>
                    <w:bottom w:val="none" w:sz="0" w:space="0" w:color="auto"/>
                    <w:right w:val="none" w:sz="0" w:space="0" w:color="auto"/>
                  </w:divBdr>
                  <w:divsChild>
                    <w:div w:id="558638413">
                      <w:marLeft w:val="0"/>
                      <w:marRight w:val="0"/>
                      <w:marTop w:val="0"/>
                      <w:marBottom w:val="0"/>
                      <w:divBdr>
                        <w:top w:val="none" w:sz="0" w:space="0" w:color="auto"/>
                        <w:left w:val="none" w:sz="0" w:space="0" w:color="auto"/>
                        <w:bottom w:val="none" w:sz="0" w:space="0" w:color="auto"/>
                        <w:right w:val="none" w:sz="0" w:space="0" w:color="auto"/>
                      </w:divBdr>
                    </w:div>
                  </w:divsChild>
                </w:div>
                <w:div w:id="60950130">
                  <w:marLeft w:val="0"/>
                  <w:marRight w:val="0"/>
                  <w:marTop w:val="0"/>
                  <w:marBottom w:val="0"/>
                  <w:divBdr>
                    <w:top w:val="none" w:sz="0" w:space="0" w:color="auto"/>
                    <w:left w:val="none" w:sz="0" w:space="0" w:color="auto"/>
                    <w:bottom w:val="none" w:sz="0" w:space="0" w:color="auto"/>
                    <w:right w:val="none" w:sz="0" w:space="0" w:color="auto"/>
                  </w:divBdr>
                  <w:divsChild>
                    <w:div w:id="2135563219">
                      <w:marLeft w:val="0"/>
                      <w:marRight w:val="0"/>
                      <w:marTop w:val="0"/>
                      <w:marBottom w:val="0"/>
                      <w:divBdr>
                        <w:top w:val="none" w:sz="0" w:space="0" w:color="auto"/>
                        <w:left w:val="none" w:sz="0" w:space="0" w:color="auto"/>
                        <w:bottom w:val="none" w:sz="0" w:space="0" w:color="auto"/>
                        <w:right w:val="none" w:sz="0" w:space="0" w:color="auto"/>
                      </w:divBdr>
                    </w:div>
                  </w:divsChild>
                </w:div>
                <w:div w:id="63378753">
                  <w:marLeft w:val="0"/>
                  <w:marRight w:val="0"/>
                  <w:marTop w:val="0"/>
                  <w:marBottom w:val="0"/>
                  <w:divBdr>
                    <w:top w:val="none" w:sz="0" w:space="0" w:color="auto"/>
                    <w:left w:val="none" w:sz="0" w:space="0" w:color="auto"/>
                    <w:bottom w:val="none" w:sz="0" w:space="0" w:color="auto"/>
                    <w:right w:val="none" w:sz="0" w:space="0" w:color="auto"/>
                  </w:divBdr>
                  <w:divsChild>
                    <w:div w:id="1917781946">
                      <w:marLeft w:val="0"/>
                      <w:marRight w:val="0"/>
                      <w:marTop w:val="0"/>
                      <w:marBottom w:val="0"/>
                      <w:divBdr>
                        <w:top w:val="none" w:sz="0" w:space="0" w:color="auto"/>
                        <w:left w:val="none" w:sz="0" w:space="0" w:color="auto"/>
                        <w:bottom w:val="none" w:sz="0" w:space="0" w:color="auto"/>
                        <w:right w:val="none" w:sz="0" w:space="0" w:color="auto"/>
                      </w:divBdr>
                    </w:div>
                  </w:divsChild>
                </w:div>
                <w:div w:id="67193082">
                  <w:marLeft w:val="0"/>
                  <w:marRight w:val="0"/>
                  <w:marTop w:val="0"/>
                  <w:marBottom w:val="0"/>
                  <w:divBdr>
                    <w:top w:val="none" w:sz="0" w:space="0" w:color="auto"/>
                    <w:left w:val="none" w:sz="0" w:space="0" w:color="auto"/>
                    <w:bottom w:val="none" w:sz="0" w:space="0" w:color="auto"/>
                    <w:right w:val="none" w:sz="0" w:space="0" w:color="auto"/>
                  </w:divBdr>
                  <w:divsChild>
                    <w:div w:id="2096046232">
                      <w:marLeft w:val="0"/>
                      <w:marRight w:val="0"/>
                      <w:marTop w:val="0"/>
                      <w:marBottom w:val="0"/>
                      <w:divBdr>
                        <w:top w:val="none" w:sz="0" w:space="0" w:color="auto"/>
                        <w:left w:val="none" w:sz="0" w:space="0" w:color="auto"/>
                        <w:bottom w:val="none" w:sz="0" w:space="0" w:color="auto"/>
                        <w:right w:val="none" w:sz="0" w:space="0" w:color="auto"/>
                      </w:divBdr>
                    </w:div>
                  </w:divsChild>
                </w:div>
                <w:div w:id="74784721">
                  <w:marLeft w:val="0"/>
                  <w:marRight w:val="0"/>
                  <w:marTop w:val="0"/>
                  <w:marBottom w:val="0"/>
                  <w:divBdr>
                    <w:top w:val="none" w:sz="0" w:space="0" w:color="auto"/>
                    <w:left w:val="none" w:sz="0" w:space="0" w:color="auto"/>
                    <w:bottom w:val="none" w:sz="0" w:space="0" w:color="auto"/>
                    <w:right w:val="none" w:sz="0" w:space="0" w:color="auto"/>
                  </w:divBdr>
                  <w:divsChild>
                    <w:div w:id="1434863654">
                      <w:marLeft w:val="0"/>
                      <w:marRight w:val="0"/>
                      <w:marTop w:val="0"/>
                      <w:marBottom w:val="0"/>
                      <w:divBdr>
                        <w:top w:val="none" w:sz="0" w:space="0" w:color="auto"/>
                        <w:left w:val="none" w:sz="0" w:space="0" w:color="auto"/>
                        <w:bottom w:val="none" w:sz="0" w:space="0" w:color="auto"/>
                        <w:right w:val="none" w:sz="0" w:space="0" w:color="auto"/>
                      </w:divBdr>
                    </w:div>
                  </w:divsChild>
                </w:div>
                <w:div w:id="80761584">
                  <w:marLeft w:val="0"/>
                  <w:marRight w:val="0"/>
                  <w:marTop w:val="0"/>
                  <w:marBottom w:val="0"/>
                  <w:divBdr>
                    <w:top w:val="none" w:sz="0" w:space="0" w:color="auto"/>
                    <w:left w:val="none" w:sz="0" w:space="0" w:color="auto"/>
                    <w:bottom w:val="none" w:sz="0" w:space="0" w:color="auto"/>
                    <w:right w:val="none" w:sz="0" w:space="0" w:color="auto"/>
                  </w:divBdr>
                  <w:divsChild>
                    <w:div w:id="1688822387">
                      <w:marLeft w:val="0"/>
                      <w:marRight w:val="0"/>
                      <w:marTop w:val="0"/>
                      <w:marBottom w:val="0"/>
                      <w:divBdr>
                        <w:top w:val="none" w:sz="0" w:space="0" w:color="auto"/>
                        <w:left w:val="none" w:sz="0" w:space="0" w:color="auto"/>
                        <w:bottom w:val="none" w:sz="0" w:space="0" w:color="auto"/>
                        <w:right w:val="none" w:sz="0" w:space="0" w:color="auto"/>
                      </w:divBdr>
                    </w:div>
                  </w:divsChild>
                </w:div>
                <w:div w:id="81534681">
                  <w:marLeft w:val="0"/>
                  <w:marRight w:val="0"/>
                  <w:marTop w:val="0"/>
                  <w:marBottom w:val="0"/>
                  <w:divBdr>
                    <w:top w:val="none" w:sz="0" w:space="0" w:color="auto"/>
                    <w:left w:val="none" w:sz="0" w:space="0" w:color="auto"/>
                    <w:bottom w:val="none" w:sz="0" w:space="0" w:color="auto"/>
                    <w:right w:val="none" w:sz="0" w:space="0" w:color="auto"/>
                  </w:divBdr>
                  <w:divsChild>
                    <w:div w:id="1852182112">
                      <w:marLeft w:val="0"/>
                      <w:marRight w:val="0"/>
                      <w:marTop w:val="0"/>
                      <w:marBottom w:val="0"/>
                      <w:divBdr>
                        <w:top w:val="none" w:sz="0" w:space="0" w:color="auto"/>
                        <w:left w:val="none" w:sz="0" w:space="0" w:color="auto"/>
                        <w:bottom w:val="none" w:sz="0" w:space="0" w:color="auto"/>
                        <w:right w:val="none" w:sz="0" w:space="0" w:color="auto"/>
                      </w:divBdr>
                    </w:div>
                  </w:divsChild>
                </w:div>
                <w:div w:id="84494793">
                  <w:marLeft w:val="0"/>
                  <w:marRight w:val="0"/>
                  <w:marTop w:val="0"/>
                  <w:marBottom w:val="0"/>
                  <w:divBdr>
                    <w:top w:val="none" w:sz="0" w:space="0" w:color="auto"/>
                    <w:left w:val="none" w:sz="0" w:space="0" w:color="auto"/>
                    <w:bottom w:val="none" w:sz="0" w:space="0" w:color="auto"/>
                    <w:right w:val="none" w:sz="0" w:space="0" w:color="auto"/>
                  </w:divBdr>
                  <w:divsChild>
                    <w:div w:id="1036926226">
                      <w:marLeft w:val="0"/>
                      <w:marRight w:val="0"/>
                      <w:marTop w:val="0"/>
                      <w:marBottom w:val="0"/>
                      <w:divBdr>
                        <w:top w:val="none" w:sz="0" w:space="0" w:color="auto"/>
                        <w:left w:val="none" w:sz="0" w:space="0" w:color="auto"/>
                        <w:bottom w:val="none" w:sz="0" w:space="0" w:color="auto"/>
                        <w:right w:val="none" w:sz="0" w:space="0" w:color="auto"/>
                      </w:divBdr>
                    </w:div>
                  </w:divsChild>
                </w:div>
                <w:div w:id="86512216">
                  <w:marLeft w:val="0"/>
                  <w:marRight w:val="0"/>
                  <w:marTop w:val="0"/>
                  <w:marBottom w:val="0"/>
                  <w:divBdr>
                    <w:top w:val="none" w:sz="0" w:space="0" w:color="auto"/>
                    <w:left w:val="none" w:sz="0" w:space="0" w:color="auto"/>
                    <w:bottom w:val="none" w:sz="0" w:space="0" w:color="auto"/>
                    <w:right w:val="none" w:sz="0" w:space="0" w:color="auto"/>
                  </w:divBdr>
                  <w:divsChild>
                    <w:div w:id="2105297588">
                      <w:marLeft w:val="0"/>
                      <w:marRight w:val="0"/>
                      <w:marTop w:val="0"/>
                      <w:marBottom w:val="0"/>
                      <w:divBdr>
                        <w:top w:val="none" w:sz="0" w:space="0" w:color="auto"/>
                        <w:left w:val="none" w:sz="0" w:space="0" w:color="auto"/>
                        <w:bottom w:val="none" w:sz="0" w:space="0" w:color="auto"/>
                        <w:right w:val="none" w:sz="0" w:space="0" w:color="auto"/>
                      </w:divBdr>
                    </w:div>
                  </w:divsChild>
                </w:div>
                <w:div w:id="90666301">
                  <w:marLeft w:val="0"/>
                  <w:marRight w:val="0"/>
                  <w:marTop w:val="0"/>
                  <w:marBottom w:val="0"/>
                  <w:divBdr>
                    <w:top w:val="none" w:sz="0" w:space="0" w:color="auto"/>
                    <w:left w:val="none" w:sz="0" w:space="0" w:color="auto"/>
                    <w:bottom w:val="none" w:sz="0" w:space="0" w:color="auto"/>
                    <w:right w:val="none" w:sz="0" w:space="0" w:color="auto"/>
                  </w:divBdr>
                  <w:divsChild>
                    <w:div w:id="1206408154">
                      <w:marLeft w:val="0"/>
                      <w:marRight w:val="0"/>
                      <w:marTop w:val="0"/>
                      <w:marBottom w:val="0"/>
                      <w:divBdr>
                        <w:top w:val="none" w:sz="0" w:space="0" w:color="auto"/>
                        <w:left w:val="none" w:sz="0" w:space="0" w:color="auto"/>
                        <w:bottom w:val="none" w:sz="0" w:space="0" w:color="auto"/>
                        <w:right w:val="none" w:sz="0" w:space="0" w:color="auto"/>
                      </w:divBdr>
                    </w:div>
                  </w:divsChild>
                </w:div>
                <w:div w:id="91825121">
                  <w:marLeft w:val="0"/>
                  <w:marRight w:val="0"/>
                  <w:marTop w:val="0"/>
                  <w:marBottom w:val="0"/>
                  <w:divBdr>
                    <w:top w:val="none" w:sz="0" w:space="0" w:color="auto"/>
                    <w:left w:val="none" w:sz="0" w:space="0" w:color="auto"/>
                    <w:bottom w:val="none" w:sz="0" w:space="0" w:color="auto"/>
                    <w:right w:val="none" w:sz="0" w:space="0" w:color="auto"/>
                  </w:divBdr>
                  <w:divsChild>
                    <w:div w:id="2088841593">
                      <w:marLeft w:val="0"/>
                      <w:marRight w:val="0"/>
                      <w:marTop w:val="0"/>
                      <w:marBottom w:val="0"/>
                      <w:divBdr>
                        <w:top w:val="none" w:sz="0" w:space="0" w:color="auto"/>
                        <w:left w:val="none" w:sz="0" w:space="0" w:color="auto"/>
                        <w:bottom w:val="none" w:sz="0" w:space="0" w:color="auto"/>
                        <w:right w:val="none" w:sz="0" w:space="0" w:color="auto"/>
                      </w:divBdr>
                    </w:div>
                  </w:divsChild>
                </w:div>
                <w:div w:id="94329227">
                  <w:marLeft w:val="0"/>
                  <w:marRight w:val="0"/>
                  <w:marTop w:val="0"/>
                  <w:marBottom w:val="0"/>
                  <w:divBdr>
                    <w:top w:val="none" w:sz="0" w:space="0" w:color="auto"/>
                    <w:left w:val="none" w:sz="0" w:space="0" w:color="auto"/>
                    <w:bottom w:val="none" w:sz="0" w:space="0" w:color="auto"/>
                    <w:right w:val="none" w:sz="0" w:space="0" w:color="auto"/>
                  </w:divBdr>
                  <w:divsChild>
                    <w:div w:id="2096047987">
                      <w:marLeft w:val="0"/>
                      <w:marRight w:val="0"/>
                      <w:marTop w:val="0"/>
                      <w:marBottom w:val="0"/>
                      <w:divBdr>
                        <w:top w:val="none" w:sz="0" w:space="0" w:color="auto"/>
                        <w:left w:val="none" w:sz="0" w:space="0" w:color="auto"/>
                        <w:bottom w:val="none" w:sz="0" w:space="0" w:color="auto"/>
                        <w:right w:val="none" w:sz="0" w:space="0" w:color="auto"/>
                      </w:divBdr>
                    </w:div>
                  </w:divsChild>
                </w:div>
                <w:div w:id="103809106">
                  <w:marLeft w:val="0"/>
                  <w:marRight w:val="0"/>
                  <w:marTop w:val="0"/>
                  <w:marBottom w:val="0"/>
                  <w:divBdr>
                    <w:top w:val="none" w:sz="0" w:space="0" w:color="auto"/>
                    <w:left w:val="none" w:sz="0" w:space="0" w:color="auto"/>
                    <w:bottom w:val="none" w:sz="0" w:space="0" w:color="auto"/>
                    <w:right w:val="none" w:sz="0" w:space="0" w:color="auto"/>
                  </w:divBdr>
                  <w:divsChild>
                    <w:div w:id="1118988062">
                      <w:marLeft w:val="0"/>
                      <w:marRight w:val="0"/>
                      <w:marTop w:val="0"/>
                      <w:marBottom w:val="0"/>
                      <w:divBdr>
                        <w:top w:val="none" w:sz="0" w:space="0" w:color="auto"/>
                        <w:left w:val="none" w:sz="0" w:space="0" w:color="auto"/>
                        <w:bottom w:val="none" w:sz="0" w:space="0" w:color="auto"/>
                        <w:right w:val="none" w:sz="0" w:space="0" w:color="auto"/>
                      </w:divBdr>
                    </w:div>
                  </w:divsChild>
                </w:div>
                <w:div w:id="107700104">
                  <w:marLeft w:val="0"/>
                  <w:marRight w:val="0"/>
                  <w:marTop w:val="0"/>
                  <w:marBottom w:val="0"/>
                  <w:divBdr>
                    <w:top w:val="none" w:sz="0" w:space="0" w:color="auto"/>
                    <w:left w:val="none" w:sz="0" w:space="0" w:color="auto"/>
                    <w:bottom w:val="none" w:sz="0" w:space="0" w:color="auto"/>
                    <w:right w:val="none" w:sz="0" w:space="0" w:color="auto"/>
                  </w:divBdr>
                  <w:divsChild>
                    <w:div w:id="1093934516">
                      <w:marLeft w:val="0"/>
                      <w:marRight w:val="0"/>
                      <w:marTop w:val="0"/>
                      <w:marBottom w:val="0"/>
                      <w:divBdr>
                        <w:top w:val="none" w:sz="0" w:space="0" w:color="auto"/>
                        <w:left w:val="none" w:sz="0" w:space="0" w:color="auto"/>
                        <w:bottom w:val="none" w:sz="0" w:space="0" w:color="auto"/>
                        <w:right w:val="none" w:sz="0" w:space="0" w:color="auto"/>
                      </w:divBdr>
                    </w:div>
                  </w:divsChild>
                </w:div>
                <w:div w:id="115757832">
                  <w:marLeft w:val="0"/>
                  <w:marRight w:val="0"/>
                  <w:marTop w:val="0"/>
                  <w:marBottom w:val="0"/>
                  <w:divBdr>
                    <w:top w:val="none" w:sz="0" w:space="0" w:color="auto"/>
                    <w:left w:val="none" w:sz="0" w:space="0" w:color="auto"/>
                    <w:bottom w:val="none" w:sz="0" w:space="0" w:color="auto"/>
                    <w:right w:val="none" w:sz="0" w:space="0" w:color="auto"/>
                  </w:divBdr>
                  <w:divsChild>
                    <w:div w:id="554852369">
                      <w:marLeft w:val="0"/>
                      <w:marRight w:val="0"/>
                      <w:marTop w:val="0"/>
                      <w:marBottom w:val="0"/>
                      <w:divBdr>
                        <w:top w:val="none" w:sz="0" w:space="0" w:color="auto"/>
                        <w:left w:val="none" w:sz="0" w:space="0" w:color="auto"/>
                        <w:bottom w:val="none" w:sz="0" w:space="0" w:color="auto"/>
                        <w:right w:val="none" w:sz="0" w:space="0" w:color="auto"/>
                      </w:divBdr>
                    </w:div>
                  </w:divsChild>
                </w:div>
                <w:div w:id="124008766">
                  <w:marLeft w:val="0"/>
                  <w:marRight w:val="0"/>
                  <w:marTop w:val="0"/>
                  <w:marBottom w:val="0"/>
                  <w:divBdr>
                    <w:top w:val="none" w:sz="0" w:space="0" w:color="auto"/>
                    <w:left w:val="none" w:sz="0" w:space="0" w:color="auto"/>
                    <w:bottom w:val="none" w:sz="0" w:space="0" w:color="auto"/>
                    <w:right w:val="none" w:sz="0" w:space="0" w:color="auto"/>
                  </w:divBdr>
                  <w:divsChild>
                    <w:div w:id="1064526405">
                      <w:marLeft w:val="0"/>
                      <w:marRight w:val="0"/>
                      <w:marTop w:val="0"/>
                      <w:marBottom w:val="0"/>
                      <w:divBdr>
                        <w:top w:val="none" w:sz="0" w:space="0" w:color="auto"/>
                        <w:left w:val="none" w:sz="0" w:space="0" w:color="auto"/>
                        <w:bottom w:val="none" w:sz="0" w:space="0" w:color="auto"/>
                        <w:right w:val="none" w:sz="0" w:space="0" w:color="auto"/>
                      </w:divBdr>
                    </w:div>
                  </w:divsChild>
                </w:div>
                <w:div w:id="127405075">
                  <w:marLeft w:val="0"/>
                  <w:marRight w:val="0"/>
                  <w:marTop w:val="0"/>
                  <w:marBottom w:val="0"/>
                  <w:divBdr>
                    <w:top w:val="none" w:sz="0" w:space="0" w:color="auto"/>
                    <w:left w:val="none" w:sz="0" w:space="0" w:color="auto"/>
                    <w:bottom w:val="none" w:sz="0" w:space="0" w:color="auto"/>
                    <w:right w:val="none" w:sz="0" w:space="0" w:color="auto"/>
                  </w:divBdr>
                  <w:divsChild>
                    <w:div w:id="1871525381">
                      <w:marLeft w:val="0"/>
                      <w:marRight w:val="0"/>
                      <w:marTop w:val="0"/>
                      <w:marBottom w:val="0"/>
                      <w:divBdr>
                        <w:top w:val="none" w:sz="0" w:space="0" w:color="auto"/>
                        <w:left w:val="none" w:sz="0" w:space="0" w:color="auto"/>
                        <w:bottom w:val="none" w:sz="0" w:space="0" w:color="auto"/>
                        <w:right w:val="none" w:sz="0" w:space="0" w:color="auto"/>
                      </w:divBdr>
                    </w:div>
                  </w:divsChild>
                </w:div>
                <w:div w:id="128283368">
                  <w:marLeft w:val="0"/>
                  <w:marRight w:val="0"/>
                  <w:marTop w:val="0"/>
                  <w:marBottom w:val="0"/>
                  <w:divBdr>
                    <w:top w:val="none" w:sz="0" w:space="0" w:color="auto"/>
                    <w:left w:val="none" w:sz="0" w:space="0" w:color="auto"/>
                    <w:bottom w:val="none" w:sz="0" w:space="0" w:color="auto"/>
                    <w:right w:val="none" w:sz="0" w:space="0" w:color="auto"/>
                  </w:divBdr>
                  <w:divsChild>
                    <w:div w:id="498885502">
                      <w:marLeft w:val="0"/>
                      <w:marRight w:val="0"/>
                      <w:marTop w:val="0"/>
                      <w:marBottom w:val="0"/>
                      <w:divBdr>
                        <w:top w:val="none" w:sz="0" w:space="0" w:color="auto"/>
                        <w:left w:val="none" w:sz="0" w:space="0" w:color="auto"/>
                        <w:bottom w:val="none" w:sz="0" w:space="0" w:color="auto"/>
                        <w:right w:val="none" w:sz="0" w:space="0" w:color="auto"/>
                      </w:divBdr>
                    </w:div>
                  </w:divsChild>
                </w:div>
                <w:div w:id="130707805">
                  <w:marLeft w:val="0"/>
                  <w:marRight w:val="0"/>
                  <w:marTop w:val="0"/>
                  <w:marBottom w:val="0"/>
                  <w:divBdr>
                    <w:top w:val="none" w:sz="0" w:space="0" w:color="auto"/>
                    <w:left w:val="none" w:sz="0" w:space="0" w:color="auto"/>
                    <w:bottom w:val="none" w:sz="0" w:space="0" w:color="auto"/>
                    <w:right w:val="none" w:sz="0" w:space="0" w:color="auto"/>
                  </w:divBdr>
                  <w:divsChild>
                    <w:div w:id="1963265022">
                      <w:marLeft w:val="0"/>
                      <w:marRight w:val="0"/>
                      <w:marTop w:val="0"/>
                      <w:marBottom w:val="0"/>
                      <w:divBdr>
                        <w:top w:val="none" w:sz="0" w:space="0" w:color="auto"/>
                        <w:left w:val="none" w:sz="0" w:space="0" w:color="auto"/>
                        <w:bottom w:val="none" w:sz="0" w:space="0" w:color="auto"/>
                        <w:right w:val="none" w:sz="0" w:space="0" w:color="auto"/>
                      </w:divBdr>
                    </w:div>
                  </w:divsChild>
                </w:div>
                <w:div w:id="139465308">
                  <w:marLeft w:val="0"/>
                  <w:marRight w:val="0"/>
                  <w:marTop w:val="0"/>
                  <w:marBottom w:val="0"/>
                  <w:divBdr>
                    <w:top w:val="none" w:sz="0" w:space="0" w:color="auto"/>
                    <w:left w:val="none" w:sz="0" w:space="0" w:color="auto"/>
                    <w:bottom w:val="none" w:sz="0" w:space="0" w:color="auto"/>
                    <w:right w:val="none" w:sz="0" w:space="0" w:color="auto"/>
                  </w:divBdr>
                  <w:divsChild>
                    <w:div w:id="320892432">
                      <w:marLeft w:val="0"/>
                      <w:marRight w:val="0"/>
                      <w:marTop w:val="0"/>
                      <w:marBottom w:val="0"/>
                      <w:divBdr>
                        <w:top w:val="none" w:sz="0" w:space="0" w:color="auto"/>
                        <w:left w:val="none" w:sz="0" w:space="0" w:color="auto"/>
                        <w:bottom w:val="none" w:sz="0" w:space="0" w:color="auto"/>
                        <w:right w:val="none" w:sz="0" w:space="0" w:color="auto"/>
                      </w:divBdr>
                    </w:div>
                  </w:divsChild>
                </w:div>
                <w:div w:id="142548453">
                  <w:marLeft w:val="0"/>
                  <w:marRight w:val="0"/>
                  <w:marTop w:val="0"/>
                  <w:marBottom w:val="0"/>
                  <w:divBdr>
                    <w:top w:val="none" w:sz="0" w:space="0" w:color="auto"/>
                    <w:left w:val="none" w:sz="0" w:space="0" w:color="auto"/>
                    <w:bottom w:val="none" w:sz="0" w:space="0" w:color="auto"/>
                    <w:right w:val="none" w:sz="0" w:space="0" w:color="auto"/>
                  </w:divBdr>
                  <w:divsChild>
                    <w:div w:id="2144958162">
                      <w:marLeft w:val="0"/>
                      <w:marRight w:val="0"/>
                      <w:marTop w:val="0"/>
                      <w:marBottom w:val="0"/>
                      <w:divBdr>
                        <w:top w:val="none" w:sz="0" w:space="0" w:color="auto"/>
                        <w:left w:val="none" w:sz="0" w:space="0" w:color="auto"/>
                        <w:bottom w:val="none" w:sz="0" w:space="0" w:color="auto"/>
                        <w:right w:val="none" w:sz="0" w:space="0" w:color="auto"/>
                      </w:divBdr>
                    </w:div>
                  </w:divsChild>
                </w:div>
                <w:div w:id="147211097">
                  <w:marLeft w:val="0"/>
                  <w:marRight w:val="0"/>
                  <w:marTop w:val="0"/>
                  <w:marBottom w:val="0"/>
                  <w:divBdr>
                    <w:top w:val="none" w:sz="0" w:space="0" w:color="auto"/>
                    <w:left w:val="none" w:sz="0" w:space="0" w:color="auto"/>
                    <w:bottom w:val="none" w:sz="0" w:space="0" w:color="auto"/>
                    <w:right w:val="none" w:sz="0" w:space="0" w:color="auto"/>
                  </w:divBdr>
                  <w:divsChild>
                    <w:div w:id="1480612123">
                      <w:marLeft w:val="0"/>
                      <w:marRight w:val="0"/>
                      <w:marTop w:val="0"/>
                      <w:marBottom w:val="0"/>
                      <w:divBdr>
                        <w:top w:val="none" w:sz="0" w:space="0" w:color="auto"/>
                        <w:left w:val="none" w:sz="0" w:space="0" w:color="auto"/>
                        <w:bottom w:val="none" w:sz="0" w:space="0" w:color="auto"/>
                        <w:right w:val="none" w:sz="0" w:space="0" w:color="auto"/>
                      </w:divBdr>
                    </w:div>
                  </w:divsChild>
                </w:div>
                <w:div w:id="154957132">
                  <w:marLeft w:val="0"/>
                  <w:marRight w:val="0"/>
                  <w:marTop w:val="0"/>
                  <w:marBottom w:val="0"/>
                  <w:divBdr>
                    <w:top w:val="none" w:sz="0" w:space="0" w:color="auto"/>
                    <w:left w:val="none" w:sz="0" w:space="0" w:color="auto"/>
                    <w:bottom w:val="none" w:sz="0" w:space="0" w:color="auto"/>
                    <w:right w:val="none" w:sz="0" w:space="0" w:color="auto"/>
                  </w:divBdr>
                  <w:divsChild>
                    <w:div w:id="229314241">
                      <w:marLeft w:val="0"/>
                      <w:marRight w:val="0"/>
                      <w:marTop w:val="0"/>
                      <w:marBottom w:val="0"/>
                      <w:divBdr>
                        <w:top w:val="none" w:sz="0" w:space="0" w:color="auto"/>
                        <w:left w:val="none" w:sz="0" w:space="0" w:color="auto"/>
                        <w:bottom w:val="none" w:sz="0" w:space="0" w:color="auto"/>
                        <w:right w:val="none" w:sz="0" w:space="0" w:color="auto"/>
                      </w:divBdr>
                    </w:div>
                  </w:divsChild>
                </w:div>
                <w:div w:id="159472219">
                  <w:marLeft w:val="0"/>
                  <w:marRight w:val="0"/>
                  <w:marTop w:val="0"/>
                  <w:marBottom w:val="0"/>
                  <w:divBdr>
                    <w:top w:val="none" w:sz="0" w:space="0" w:color="auto"/>
                    <w:left w:val="none" w:sz="0" w:space="0" w:color="auto"/>
                    <w:bottom w:val="none" w:sz="0" w:space="0" w:color="auto"/>
                    <w:right w:val="none" w:sz="0" w:space="0" w:color="auto"/>
                  </w:divBdr>
                  <w:divsChild>
                    <w:div w:id="888567997">
                      <w:marLeft w:val="0"/>
                      <w:marRight w:val="0"/>
                      <w:marTop w:val="0"/>
                      <w:marBottom w:val="0"/>
                      <w:divBdr>
                        <w:top w:val="none" w:sz="0" w:space="0" w:color="auto"/>
                        <w:left w:val="none" w:sz="0" w:space="0" w:color="auto"/>
                        <w:bottom w:val="none" w:sz="0" w:space="0" w:color="auto"/>
                        <w:right w:val="none" w:sz="0" w:space="0" w:color="auto"/>
                      </w:divBdr>
                    </w:div>
                  </w:divsChild>
                </w:div>
                <w:div w:id="175583789">
                  <w:marLeft w:val="0"/>
                  <w:marRight w:val="0"/>
                  <w:marTop w:val="0"/>
                  <w:marBottom w:val="0"/>
                  <w:divBdr>
                    <w:top w:val="none" w:sz="0" w:space="0" w:color="auto"/>
                    <w:left w:val="none" w:sz="0" w:space="0" w:color="auto"/>
                    <w:bottom w:val="none" w:sz="0" w:space="0" w:color="auto"/>
                    <w:right w:val="none" w:sz="0" w:space="0" w:color="auto"/>
                  </w:divBdr>
                  <w:divsChild>
                    <w:div w:id="984816532">
                      <w:marLeft w:val="0"/>
                      <w:marRight w:val="0"/>
                      <w:marTop w:val="0"/>
                      <w:marBottom w:val="0"/>
                      <w:divBdr>
                        <w:top w:val="none" w:sz="0" w:space="0" w:color="auto"/>
                        <w:left w:val="none" w:sz="0" w:space="0" w:color="auto"/>
                        <w:bottom w:val="none" w:sz="0" w:space="0" w:color="auto"/>
                        <w:right w:val="none" w:sz="0" w:space="0" w:color="auto"/>
                      </w:divBdr>
                    </w:div>
                  </w:divsChild>
                </w:div>
                <w:div w:id="180583474">
                  <w:marLeft w:val="0"/>
                  <w:marRight w:val="0"/>
                  <w:marTop w:val="0"/>
                  <w:marBottom w:val="0"/>
                  <w:divBdr>
                    <w:top w:val="none" w:sz="0" w:space="0" w:color="auto"/>
                    <w:left w:val="none" w:sz="0" w:space="0" w:color="auto"/>
                    <w:bottom w:val="none" w:sz="0" w:space="0" w:color="auto"/>
                    <w:right w:val="none" w:sz="0" w:space="0" w:color="auto"/>
                  </w:divBdr>
                  <w:divsChild>
                    <w:div w:id="1104692272">
                      <w:marLeft w:val="0"/>
                      <w:marRight w:val="0"/>
                      <w:marTop w:val="0"/>
                      <w:marBottom w:val="0"/>
                      <w:divBdr>
                        <w:top w:val="none" w:sz="0" w:space="0" w:color="auto"/>
                        <w:left w:val="none" w:sz="0" w:space="0" w:color="auto"/>
                        <w:bottom w:val="none" w:sz="0" w:space="0" w:color="auto"/>
                        <w:right w:val="none" w:sz="0" w:space="0" w:color="auto"/>
                      </w:divBdr>
                    </w:div>
                  </w:divsChild>
                </w:div>
                <w:div w:id="188296603">
                  <w:marLeft w:val="0"/>
                  <w:marRight w:val="0"/>
                  <w:marTop w:val="0"/>
                  <w:marBottom w:val="0"/>
                  <w:divBdr>
                    <w:top w:val="none" w:sz="0" w:space="0" w:color="auto"/>
                    <w:left w:val="none" w:sz="0" w:space="0" w:color="auto"/>
                    <w:bottom w:val="none" w:sz="0" w:space="0" w:color="auto"/>
                    <w:right w:val="none" w:sz="0" w:space="0" w:color="auto"/>
                  </w:divBdr>
                  <w:divsChild>
                    <w:div w:id="1103497070">
                      <w:marLeft w:val="0"/>
                      <w:marRight w:val="0"/>
                      <w:marTop w:val="0"/>
                      <w:marBottom w:val="0"/>
                      <w:divBdr>
                        <w:top w:val="none" w:sz="0" w:space="0" w:color="auto"/>
                        <w:left w:val="none" w:sz="0" w:space="0" w:color="auto"/>
                        <w:bottom w:val="none" w:sz="0" w:space="0" w:color="auto"/>
                        <w:right w:val="none" w:sz="0" w:space="0" w:color="auto"/>
                      </w:divBdr>
                    </w:div>
                  </w:divsChild>
                </w:div>
                <w:div w:id="195504619">
                  <w:marLeft w:val="0"/>
                  <w:marRight w:val="0"/>
                  <w:marTop w:val="0"/>
                  <w:marBottom w:val="0"/>
                  <w:divBdr>
                    <w:top w:val="none" w:sz="0" w:space="0" w:color="auto"/>
                    <w:left w:val="none" w:sz="0" w:space="0" w:color="auto"/>
                    <w:bottom w:val="none" w:sz="0" w:space="0" w:color="auto"/>
                    <w:right w:val="none" w:sz="0" w:space="0" w:color="auto"/>
                  </w:divBdr>
                  <w:divsChild>
                    <w:div w:id="1721660851">
                      <w:marLeft w:val="0"/>
                      <w:marRight w:val="0"/>
                      <w:marTop w:val="0"/>
                      <w:marBottom w:val="0"/>
                      <w:divBdr>
                        <w:top w:val="none" w:sz="0" w:space="0" w:color="auto"/>
                        <w:left w:val="none" w:sz="0" w:space="0" w:color="auto"/>
                        <w:bottom w:val="none" w:sz="0" w:space="0" w:color="auto"/>
                        <w:right w:val="none" w:sz="0" w:space="0" w:color="auto"/>
                      </w:divBdr>
                    </w:div>
                  </w:divsChild>
                </w:div>
                <w:div w:id="202905117">
                  <w:marLeft w:val="0"/>
                  <w:marRight w:val="0"/>
                  <w:marTop w:val="0"/>
                  <w:marBottom w:val="0"/>
                  <w:divBdr>
                    <w:top w:val="none" w:sz="0" w:space="0" w:color="auto"/>
                    <w:left w:val="none" w:sz="0" w:space="0" w:color="auto"/>
                    <w:bottom w:val="none" w:sz="0" w:space="0" w:color="auto"/>
                    <w:right w:val="none" w:sz="0" w:space="0" w:color="auto"/>
                  </w:divBdr>
                  <w:divsChild>
                    <w:div w:id="21563556">
                      <w:marLeft w:val="0"/>
                      <w:marRight w:val="0"/>
                      <w:marTop w:val="0"/>
                      <w:marBottom w:val="0"/>
                      <w:divBdr>
                        <w:top w:val="none" w:sz="0" w:space="0" w:color="auto"/>
                        <w:left w:val="none" w:sz="0" w:space="0" w:color="auto"/>
                        <w:bottom w:val="none" w:sz="0" w:space="0" w:color="auto"/>
                        <w:right w:val="none" w:sz="0" w:space="0" w:color="auto"/>
                      </w:divBdr>
                    </w:div>
                  </w:divsChild>
                </w:div>
                <w:div w:id="204564349">
                  <w:marLeft w:val="0"/>
                  <w:marRight w:val="0"/>
                  <w:marTop w:val="0"/>
                  <w:marBottom w:val="0"/>
                  <w:divBdr>
                    <w:top w:val="none" w:sz="0" w:space="0" w:color="auto"/>
                    <w:left w:val="none" w:sz="0" w:space="0" w:color="auto"/>
                    <w:bottom w:val="none" w:sz="0" w:space="0" w:color="auto"/>
                    <w:right w:val="none" w:sz="0" w:space="0" w:color="auto"/>
                  </w:divBdr>
                  <w:divsChild>
                    <w:div w:id="1963883622">
                      <w:marLeft w:val="0"/>
                      <w:marRight w:val="0"/>
                      <w:marTop w:val="0"/>
                      <w:marBottom w:val="0"/>
                      <w:divBdr>
                        <w:top w:val="none" w:sz="0" w:space="0" w:color="auto"/>
                        <w:left w:val="none" w:sz="0" w:space="0" w:color="auto"/>
                        <w:bottom w:val="none" w:sz="0" w:space="0" w:color="auto"/>
                        <w:right w:val="none" w:sz="0" w:space="0" w:color="auto"/>
                      </w:divBdr>
                    </w:div>
                  </w:divsChild>
                </w:div>
                <w:div w:id="207884554">
                  <w:marLeft w:val="0"/>
                  <w:marRight w:val="0"/>
                  <w:marTop w:val="0"/>
                  <w:marBottom w:val="0"/>
                  <w:divBdr>
                    <w:top w:val="none" w:sz="0" w:space="0" w:color="auto"/>
                    <w:left w:val="none" w:sz="0" w:space="0" w:color="auto"/>
                    <w:bottom w:val="none" w:sz="0" w:space="0" w:color="auto"/>
                    <w:right w:val="none" w:sz="0" w:space="0" w:color="auto"/>
                  </w:divBdr>
                  <w:divsChild>
                    <w:div w:id="752049886">
                      <w:marLeft w:val="0"/>
                      <w:marRight w:val="0"/>
                      <w:marTop w:val="0"/>
                      <w:marBottom w:val="0"/>
                      <w:divBdr>
                        <w:top w:val="none" w:sz="0" w:space="0" w:color="auto"/>
                        <w:left w:val="none" w:sz="0" w:space="0" w:color="auto"/>
                        <w:bottom w:val="none" w:sz="0" w:space="0" w:color="auto"/>
                        <w:right w:val="none" w:sz="0" w:space="0" w:color="auto"/>
                      </w:divBdr>
                    </w:div>
                  </w:divsChild>
                </w:div>
                <w:div w:id="219707397">
                  <w:marLeft w:val="0"/>
                  <w:marRight w:val="0"/>
                  <w:marTop w:val="0"/>
                  <w:marBottom w:val="0"/>
                  <w:divBdr>
                    <w:top w:val="none" w:sz="0" w:space="0" w:color="auto"/>
                    <w:left w:val="none" w:sz="0" w:space="0" w:color="auto"/>
                    <w:bottom w:val="none" w:sz="0" w:space="0" w:color="auto"/>
                    <w:right w:val="none" w:sz="0" w:space="0" w:color="auto"/>
                  </w:divBdr>
                  <w:divsChild>
                    <w:div w:id="1000691301">
                      <w:marLeft w:val="0"/>
                      <w:marRight w:val="0"/>
                      <w:marTop w:val="0"/>
                      <w:marBottom w:val="0"/>
                      <w:divBdr>
                        <w:top w:val="none" w:sz="0" w:space="0" w:color="auto"/>
                        <w:left w:val="none" w:sz="0" w:space="0" w:color="auto"/>
                        <w:bottom w:val="none" w:sz="0" w:space="0" w:color="auto"/>
                        <w:right w:val="none" w:sz="0" w:space="0" w:color="auto"/>
                      </w:divBdr>
                    </w:div>
                  </w:divsChild>
                </w:div>
                <w:div w:id="230239326">
                  <w:marLeft w:val="0"/>
                  <w:marRight w:val="0"/>
                  <w:marTop w:val="0"/>
                  <w:marBottom w:val="0"/>
                  <w:divBdr>
                    <w:top w:val="none" w:sz="0" w:space="0" w:color="auto"/>
                    <w:left w:val="none" w:sz="0" w:space="0" w:color="auto"/>
                    <w:bottom w:val="none" w:sz="0" w:space="0" w:color="auto"/>
                    <w:right w:val="none" w:sz="0" w:space="0" w:color="auto"/>
                  </w:divBdr>
                  <w:divsChild>
                    <w:div w:id="1252471512">
                      <w:marLeft w:val="0"/>
                      <w:marRight w:val="0"/>
                      <w:marTop w:val="0"/>
                      <w:marBottom w:val="0"/>
                      <w:divBdr>
                        <w:top w:val="none" w:sz="0" w:space="0" w:color="auto"/>
                        <w:left w:val="none" w:sz="0" w:space="0" w:color="auto"/>
                        <w:bottom w:val="none" w:sz="0" w:space="0" w:color="auto"/>
                        <w:right w:val="none" w:sz="0" w:space="0" w:color="auto"/>
                      </w:divBdr>
                    </w:div>
                  </w:divsChild>
                </w:div>
                <w:div w:id="231043281">
                  <w:marLeft w:val="0"/>
                  <w:marRight w:val="0"/>
                  <w:marTop w:val="0"/>
                  <w:marBottom w:val="0"/>
                  <w:divBdr>
                    <w:top w:val="none" w:sz="0" w:space="0" w:color="auto"/>
                    <w:left w:val="none" w:sz="0" w:space="0" w:color="auto"/>
                    <w:bottom w:val="none" w:sz="0" w:space="0" w:color="auto"/>
                    <w:right w:val="none" w:sz="0" w:space="0" w:color="auto"/>
                  </w:divBdr>
                  <w:divsChild>
                    <w:div w:id="1330672348">
                      <w:marLeft w:val="0"/>
                      <w:marRight w:val="0"/>
                      <w:marTop w:val="0"/>
                      <w:marBottom w:val="0"/>
                      <w:divBdr>
                        <w:top w:val="none" w:sz="0" w:space="0" w:color="auto"/>
                        <w:left w:val="none" w:sz="0" w:space="0" w:color="auto"/>
                        <w:bottom w:val="none" w:sz="0" w:space="0" w:color="auto"/>
                        <w:right w:val="none" w:sz="0" w:space="0" w:color="auto"/>
                      </w:divBdr>
                    </w:div>
                  </w:divsChild>
                </w:div>
                <w:div w:id="232009909">
                  <w:marLeft w:val="0"/>
                  <w:marRight w:val="0"/>
                  <w:marTop w:val="0"/>
                  <w:marBottom w:val="0"/>
                  <w:divBdr>
                    <w:top w:val="none" w:sz="0" w:space="0" w:color="auto"/>
                    <w:left w:val="none" w:sz="0" w:space="0" w:color="auto"/>
                    <w:bottom w:val="none" w:sz="0" w:space="0" w:color="auto"/>
                    <w:right w:val="none" w:sz="0" w:space="0" w:color="auto"/>
                  </w:divBdr>
                  <w:divsChild>
                    <w:div w:id="451824168">
                      <w:marLeft w:val="0"/>
                      <w:marRight w:val="0"/>
                      <w:marTop w:val="0"/>
                      <w:marBottom w:val="0"/>
                      <w:divBdr>
                        <w:top w:val="none" w:sz="0" w:space="0" w:color="auto"/>
                        <w:left w:val="none" w:sz="0" w:space="0" w:color="auto"/>
                        <w:bottom w:val="none" w:sz="0" w:space="0" w:color="auto"/>
                        <w:right w:val="none" w:sz="0" w:space="0" w:color="auto"/>
                      </w:divBdr>
                    </w:div>
                  </w:divsChild>
                </w:div>
                <w:div w:id="234360991">
                  <w:marLeft w:val="0"/>
                  <w:marRight w:val="0"/>
                  <w:marTop w:val="0"/>
                  <w:marBottom w:val="0"/>
                  <w:divBdr>
                    <w:top w:val="none" w:sz="0" w:space="0" w:color="auto"/>
                    <w:left w:val="none" w:sz="0" w:space="0" w:color="auto"/>
                    <w:bottom w:val="none" w:sz="0" w:space="0" w:color="auto"/>
                    <w:right w:val="none" w:sz="0" w:space="0" w:color="auto"/>
                  </w:divBdr>
                  <w:divsChild>
                    <w:div w:id="1024792768">
                      <w:marLeft w:val="0"/>
                      <w:marRight w:val="0"/>
                      <w:marTop w:val="0"/>
                      <w:marBottom w:val="0"/>
                      <w:divBdr>
                        <w:top w:val="none" w:sz="0" w:space="0" w:color="auto"/>
                        <w:left w:val="none" w:sz="0" w:space="0" w:color="auto"/>
                        <w:bottom w:val="none" w:sz="0" w:space="0" w:color="auto"/>
                        <w:right w:val="none" w:sz="0" w:space="0" w:color="auto"/>
                      </w:divBdr>
                    </w:div>
                  </w:divsChild>
                </w:div>
                <w:div w:id="237138394">
                  <w:marLeft w:val="0"/>
                  <w:marRight w:val="0"/>
                  <w:marTop w:val="0"/>
                  <w:marBottom w:val="0"/>
                  <w:divBdr>
                    <w:top w:val="none" w:sz="0" w:space="0" w:color="auto"/>
                    <w:left w:val="none" w:sz="0" w:space="0" w:color="auto"/>
                    <w:bottom w:val="none" w:sz="0" w:space="0" w:color="auto"/>
                    <w:right w:val="none" w:sz="0" w:space="0" w:color="auto"/>
                  </w:divBdr>
                  <w:divsChild>
                    <w:div w:id="309098284">
                      <w:marLeft w:val="0"/>
                      <w:marRight w:val="0"/>
                      <w:marTop w:val="0"/>
                      <w:marBottom w:val="0"/>
                      <w:divBdr>
                        <w:top w:val="none" w:sz="0" w:space="0" w:color="auto"/>
                        <w:left w:val="none" w:sz="0" w:space="0" w:color="auto"/>
                        <w:bottom w:val="none" w:sz="0" w:space="0" w:color="auto"/>
                        <w:right w:val="none" w:sz="0" w:space="0" w:color="auto"/>
                      </w:divBdr>
                    </w:div>
                  </w:divsChild>
                </w:div>
                <w:div w:id="243957271">
                  <w:marLeft w:val="0"/>
                  <w:marRight w:val="0"/>
                  <w:marTop w:val="0"/>
                  <w:marBottom w:val="0"/>
                  <w:divBdr>
                    <w:top w:val="none" w:sz="0" w:space="0" w:color="auto"/>
                    <w:left w:val="none" w:sz="0" w:space="0" w:color="auto"/>
                    <w:bottom w:val="none" w:sz="0" w:space="0" w:color="auto"/>
                    <w:right w:val="none" w:sz="0" w:space="0" w:color="auto"/>
                  </w:divBdr>
                  <w:divsChild>
                    <w:div w:id="71510349">
                      <w:marLeft w:val="0"/>
                      <w:marRight w:val="0"/>
                      <w:marTop w:val="0"/>
                      <w:marBottom w:val="0"/>
                      <w:divBdr>
                        <w:top w:val="none" w:sz="0" w:space="0" w:color="auto"/>
                        <w:left w:val="none" w:sz="0" w:space="0" w:color="auto"/>
                        <w:bottom w:val="none" w:sz="0" w:space="0" w:color="auto"/>
                        <w:right w:val="none" w:sz="0" w:space="0" w:color="auto"/>
                      </w:divBdr>
                    </w:div>
                  </w:divsChild>
                </w:div>
                <w:div w:id="244074949">
                  <w:marLeft w:val="0"/>
                  <w:marRight w:val="0"/>
                  <w:marTop w:val="0"/>
                  <w:marBottom w:val="0"/>
                  <w:divBdr>
                    <w:top w:val="none" w:sz="0" w:space="0" w:color="auto"/>
                    <w:left w:val="none" w:sz="0" w:space="0" w:color="auto"/>
                    <w:bottom w:val="none" w:sz="0" w:space="0" w:color="auto"/>
                    <w:right w:val="none" w:sz="0" w:space="0" w:color="auto"/>
                  </w:divBdr>
                  <w:divsChild>
                    <w:div w:id="1343126093">
                      <w:marLeft w:val="0"/>
                      <w:marRight w:val="0"/>
                      <w:marTop w:val="0"/>
                      <w:marBottom w:val="0"/>
                      <w:divBdr>
                        <w:top w:val="none" w:sz="0" w:space="0" w:color="auto"/>
                        <w:left w:val="none" w:sz="0" w:space="0" w:color="auto"/>
                        <w:bottom w:val="none" w:sz="0" w:space="0" w:color="auto"/>
                        <w:right w:val="none" w:sz="0" w:space="0" w:color="auto"/>
                      </w:divBdr>
                    </w:div>
                  </w:divsChild>
                </w:div>
                <w:div w:id="252662886">
                  <w:marLeft w:val="0"/>
                  <w:marRight w:val="0"/>
                  <w:marTop w:val="0"/>
                  <w:marBottom w:val="0"/>
                  <w:divBdr>
                    <w:top w:val="none" w:sz="0" w:space="0" w:color="auto"/>
                    <w:left w:val="none" w:sz="0" w:space="0" w:color="auto"/>
                    <w:bottom w:val="none" w:sz="0" w:space="0" w:color="auto"/>
                    <w:right w:val="none" w:sz="0" w:space="0" w:color="auto"/>
                  </w:divBdr>
                  <w:divsChild>
                    <w:div w:id="639846345">
                      <w:marLeft w:val="0"/>
                      <w:marRight w:val="0"/>
                      <w:marTop w:val="0"/>
                      <w:marBottom w:val="0"/>
                      <w:divBdr>
                        <w:top w:val="none" w:sz="0" w:space="0" w:color="auto"/>
                        <w:left w:val="none" w:sz="0" w:space="0" w:color="auto"/>
                        <w:bottom w:val="none" w:sz="0" w:space="0" w:color="auto"/>
                        <w:right w:val="none" w:sz="0" w:space="0" w:color="auto"/>
                      </w:divBdr>
                    </w:div>
                  </w:divsChild>
                </w:div>
                <w:div w:id="256909746">
                  <w:marLeft w:val="0"/>
                  <w:marRight w:val="0"/>
                  <w:marTop w:val="0"/>
                  <w:marBottom w:val="0"/>
                  <w:divBdr>
                    <w:top w:val="none" w:sz="0" w:space="0" w:color="auto"/>
                    <w:left w:val="none" w:sz="0" w:space="0" w:color="auto"/>
                    <w:bottom w:val="none" w:sz="0" w:space="0" w:color="auto"/>
                    <w:right w:val="none" w:sz="0" w:space="0" w:color="auto"/>
                  </w:divBdr>
                  <w:divsChild>
                    <w:div w:id="933174061">
                      <w:marLeft w:val="0"/>
                      <w:marRight w:val="0"/>
                      <w:marTop w:val="0"/>
                      <w:marBottom w:val="0"/>
                      <w:divBdr>
                        <w:top w:val="none" w:sz="0" w:space="0" w:color="auto"/>
                        <w:left w:val="none" w:sz="0" w:space="0" w:color="auto"/>
                        <w:bottom w:val="none" w:sz="0" w:space="0" w:color="auto"/>
                        <w:right w:val="none" w:sz="0" w:space="0" w:color="auto"/>
                      </w:divBdr>
                    </w:div>
                  </w:divsChild>
                </w:div>
                <w:div w:id="266498744">
                  <w:marLeft w:val="0"/>
                  <w:marRight w:val="0"/>
                  <w:marTop w:val="0"/>
                  <w:marBottom w:val="0"/>
                  <w:divBdr>
                    <w:top w:val="none" w:sz="0" w:space="0" w:color="auto"/>
                    <w:left w:val="none" w:sz="0" w:space="0" w:color="auto"/>
                    <w:bottom w:val="none" w:sz="0" w:space="0" w:color="auto"/>
                    <w:right w:val="none" w:sz="0" w:space="0" w:color="auto"/>
                  </w:divBdr>
                  <w:divsChild>
                    <w:div w:id="1022702656">
                      <w:marLeft w:val="0"/>
                      <w:marRight w:val="0"/>
                      <w:marTop w:val="0"/>
                      <w:marBottom w:val="0"/>
                      <w:divBdr>
                        <w:top w:val="none" w:sz="0" w:space="0" w:color="auto"/>
                        <w:left w:val="none" w:sz="0" w:space="0" w:color="auto"/>
                        <w:bottom w:val="none" w:sz="0" w:space="0" w:color="auto"/>
                        <w:right w:val="none" w:sz="0" w:space="0" w:color="auto"/>
                      </w:divBdr>
                    </w:div>
                  </w:divsChild>
                </w:div>
                <w:div w:id="267784322">
                  <w:marLeft w:val="0"/>
                  <w:marRight w:val="0"/>
                  <w:marTop w:val="0"/>
                  <w:marBottom w:val="0"/>
                  <w:divBdr>
                    <w:top w:val="none" w:sz="0" w:space="0" w:color="auto"/>
                    <w:left w:val="none" w:sz="0" w:space="0" w:color="auto"/>
                    <w:bottom w:val="none" w:sz="0" w:space="0" w:color="auto"/>
                    <w:right w:val="none" w:sz="0" w:space="0" w:color="auto"/>
                  </w:divBdr>
                  <w:divsChild>
                    <w:div w:id="1316766345">
                      <w:marLeft w:val="0"/>
                      <w:marRight w:val="0"/>
                      <w:marTop w:val="0"/>
                      <w:marBottom w:val="0"/>
                      <w:divBdr>
                        <w:top w:val="none" w:sz="0" w:space="0" w:color="auto"/>
                        <w:left w:val="none" w:sz="0" w:space="0" w:color="auto"/>
                        <w:bottom w:val="none" w:sz="0" w:space="0" w:color="auto"/>
                        <w:right w:val="none" w:sz="0" w:space="0" w:color="auto"/>
                      </w:divBdr>
                    </w:div>
                  </w:divsChild>
                </w:div>
                <w:div w:id="269168873">
                  <w:marLeft w:val="0"/>
                  <w:marRight w:val="0"/>
                  <w:marTop w:val="0"/>
                  <w:marBottom w:val="0"/>
                  <w:divBdr>
                    <w:top w:val="none" w:sz="0" w:space="0" w:color="auto"/>
                    <w:left w:val="none" w:sz="0" w:space="0" w:color="auto"/>
                    <w:bottom w:val="none" w:sz="0" w:space="0" w:color="auto"/>
                    <w:right w:val="none" w:sz="0" w:space="0" w:color="auto"/>
                  </w:divBdr>
                  <w:divsChild>
                    <w:div w:id="224605798">
                      <w:marLeft w:val="0"/>
                      <w:marRight w:val="0"/>
                      <w:marTop w:val="0"/>
                      <w:marBottom w:val="0"/>
                      <w:divBdr>
                        <w:top w:val="none" w:sz="0" w:space="0" w:color="auto"/>
                        <w:left w:val="none" w:sz="0" w:space="0" w:color="auto"/>
                        <w:bottom w:val="none" w:sz="0" w:space="0" w:color="auto"/>
                        <w:right w:val="none" w:sz="0" w:space="0" w:color="auto"/>
                      </w:divBdr>
                    </w:div>
                  </w:divsChild>
                </w:div>
                <w:div w:id="269512341">
                  <w:marLeft w:val="0"/>
                  <w:marRight w:val="0"/>
                  <w:marTop w:val="0"/>
                  <w:marBottom w:val="0"/>
                  <w:divBdr>
                    <w:top w:val="none" w:sz="0" w:space="0" w:color="auto"/>
                    <w:left w:val="none" w:sz="0" w:space="0" w:color="auto"/>
                    <w:bottom w:val="none" w:sz="0" w:space="0" w:color="auto"/>
                    <w:right w:val="none" w:sz="0" w:space="0" w:color="auto"/>
                  </w:divBdr>
                  <w:divsChild>
                    <w:div w:id="1763990198">
                      <w:marLeft w:val="0"/>
                      <w:marRight w:val="0"/>
                      <w:marTop w:val="0"/>
                      <w:marBottom w:val="0"/>
                      <w:divBdr>
                        <w:top w:val="none" w:sz="0" w:space="0" w:color="auto"/>
                        <w:left w:val="none" w:sz="0" w:space="0" w:color="auto"/>
                        <w:bottom w:val="none" w:sz="0" w:space="0" w:color="auto"/>
                        <w:right w:val="none" w:sz="0" w:space="0" w:color="auto"/>
                      </w:divBdr>
                    </w:div>
                  </w:divsChild>
                </w:div>
                <w:div w:id="277641573">
                  <w:marLeft w:val="0"/>
                  <w:marRight w:val="0"/>
                  <w:marTop w:val="0"/>
                  <w:marBottom w:val="0"/>
                  <w:divBdr>
                    <w:top w:val="none" w:sz="0" w:space="0" w:color="auto"/>
                    <w:left w:val="none" w:sz="0" w:space="0" w:color="auto"/>
                    <w:bottom w:val="none" w:sz="0" w:space="0" w:color="auto"/>
                    <w:right w:val="none" w:sz="0" w:space="0" w:color="auto"/>
                  </w:divBdr>
                  <w:divsChild>
                    <w:div w:id="1594824359">
                      <w:marLeft w:val="0"/>
                      <w:marRight w:val="0"/>
                      <w:marTop w:val="0"/>
                      <w:marBottom w:val="0"/>
                      <w:divBdr>
                        <w:top w:val="none" w:sz="0" w:space="0" w:color="auto"/>
                        <w:left w:val="none" w:sz="0" w:space="0" w:color="auto"/>
                        <w:bottom w:val="none" w:sz="0" w:space="0" w:color="auto"/>
                        <w:right w:val="none" w:sz="0" w:space="0" w:color="auto"/>
                      </w:divBdr>
                    </w:div>
                  </w:divsChild>
                </w:div>
                <w:div w:id="286930334">
                  <w:marLeft w:val="0"/>
                  <w:marRight w:val="0"/>
                  <w:marTop w:val="0"/>
                  <w:marBottom w:val="0"/>
                  <w:divBdr>
                    <w:top w:val="none" w:sz="0" w:space="0" w:color="auto"/>
                    <w:left w:val="none" w:sz="0" w:space="0" w:color="auto"/>
                    <w:bottom w:val="none" w:sz="0" w:space="0" w:color="auto"/>
                    <w:right w:val="none" w:sz="0" w:space="0" w:color="auto"/>
                  </w:divBdr>
                  <w:divsChild>
                    <w:div w:id="1586307822">
                      <w:marLeft w:val="0"/>
                      <w:marRight w:val="0"/>
                      <w:marTop w:val="0"/>
                      <w:marBottom w:val="0"/>
                      <w:divBdr>
                        <w:top w:val="none" w:sz="0" w:space="0" w:color="auto"/>
                        <w:left w:val="none" w:sz="0" w:space="0" w:color="auto"/>
                        <w:bottom w:val="none" w:sz="0" w:space="0" w:color="auto"/>
                        <w:right w:val="none" w:sz="0" w:space="0" w:color="auto"/>
                      </w:divBdr>
                    </w:div>
                  </w:divsChild>
                </w:div>
                <w:div w:id="289826998">
                  <w:marLeft w:val="0"/>
                  <w:marRight w:val="0"/>
                  <w:marTop w:val="0"/>
                  <w:marBottom w:val="0"/>
                  <w:divBdr>
                    <w:top w:val="none" w:sz="0" w:space="0" w:color="auto"/>
                    <w:left w:val="none" w:sz="0" w:space="0" w:color="auto"/>
                    <w:bottom w:val="none" w:sz="0" w:space="0" w:color="auto"/>
                    <w:right w:val="none" w:sz="0" w:space="0" w:color="auto"/>
                  </w:divBdr>
                  <w:divsChild>
                    <w:div w:id="297540904">
                      <w:marLeft w:val="0"/>
                      <w:marRight w:val="0"/>
                      <w:marTop w:val="0"/>
                      <w:marBottom w:val="0"/>
                      <w:divBdr>
                        <w:top w:val="none" w:sz="0" w:space="0" w:color="auto"/>
                        <w:left w:val="none" w:sz="0" w:space="0" w:color="auto"/>
                        <w:bottom w:val="none" w:sz="0" w:space="0" w:color="auto"/>
                        <w:right w:val="none" w:sz="0" w:space="0" w:color="auto"/>
                      </w:divBdr>
                    </w:div>
                  </w:divsChild>
                </w:div>
                <w:div w:id="302924751">
                  <w:marLeft w:val="0"/>
                  <w:marRight w:val="0"/>
                  <w:marTop w:val="0"/>
                  <w:marBottom w:val="0"/>
                  <w:divBdr>
                    <w:top w:val="none" w:sz="0" w:space="0" w:color="auto"/>
                    <w:left w:val="none" w:sz="0" w:space="0" w:color="auto"/>
                    <w:bottom w:val="none" w:sz="0" w:space="0" w:color="auto"/>
                    <w:right w:val="none" w:sz="0" w:space="0" w:color="auto"/>
                  </w:divBdr>
                  <w:divsChild>
                    <w:div w:id="432820086">
                      <w:marLeft w:val="0"/>
                      <w:marRight w:val="0"/>
                      <w:marTop w:val="0"/>
                      <w:marBottom w:val="0"/>
                      <w:divBdr>
                        <w:top w:val="none" w:sz="0" w:space="0" w:color="auto"/>
                        <w:left w:val="none" w:sz="0" w:space="0" w:color="auto"/>
                        <w:bottom w:val="none" w:sz="0" w:space="0" w:color="auto"/>
                        <w:right w:val="none" w:sz="0" w:space="0" w:color="auto"/>
                      </w:divBdr>
                    </w:div>
                  </w:divsChild>
                </w:div>
                <w:div w:id="318970608">
                  <w:marLeft w:val="0"/>
                  <w:marRight w:val="0"/>
                  <w:marTop w:val="0"/>
                  <w:marBottom w:val="0"/>
                  <w:divBdr>
                    <w:top w:val="none" w:sz="0" w:space="0" w:color="auto"/>
                    <w:left w:val="none" w:sz="0" w:space="0" w:color="auto"/>
                    <w:bottom w:val="none" w:sz="0" w:space="0" w:color="auto"/>
                    <w:right w:val="none" w:sz="0" w:space="0" w:color="auto"/>
                  </w:divBdr>
                  <w:divsChild>
                    <w:div w:id="1134366491">
                      <w:marLeft w:val="0"/>
                      <w:marRight w:val="0"/>
                      <w:marTop w:val="0"/>
                      <w:marBottom w:val="0"/>
                      <w:divBdr>
                        <w:top w:val="none" w:sz="0" w:space="0" w:color="auto"/>
                        <w:left w:val="none" w:sz="0" w:space="0" w:color="auto"/>
                        <w:bottom w:val="none" w:sz="0" w:space="0" w:color="auto"/>
                        <w:right w:val="none" w:sz="0" w:space="0" w:color="auto"/>
                      </w:divBdr>
                    </w:div>
                  </w:divsChild>
                </w:div>
                <w:div w:id="320893140">
                  <w:marLeft w:val="0"/>
                  <w:marRight w:val="0"/>
                  <w:marTop w:val="0"/>
                  <w:marBottom w:val="0"/>
                  <w:divBdr>
                    <w:top w:val="none" w:sz="0" w:space="0" w:color="auto"/>
                    <w:left w:val="none" w:sz="0" w:space="0" w:color="auto"/>
                    <w:bottom w:val="none" w:sz="0" w:space="0" w:color="auto"/>
                    <w:right w:val="none" w:sz="0" w:space="0" w:color="auto"/>
                  </w:divBdr>
                  <w:divsChild>
                    <w:div w:id="1951744088">
                      <w:marLeft w:val="0"/>
                      <w:marRight w:val="0"/>
                      <w:marTop w:val="0"/>
                      <w:marBottom w:val="0"/>
                      <w:divBdr>
                        <w:top w:val="none" w:sz="0" w:space="0" w:color="auto"/>
                        <w:left w:val="none" w:sz="0" w:space="0" w:color="auto"/>
                        <w:bottom w:val="none" w:sz="0" w:space="0" w:color="auto"/>
                        <w:right w:val="none" w:sz="0" w:space="0" w:color="auto"/>
                      </w:divBdr>
                    </w:div>
                  </w:divsChild>
                </w:div>
                <w:div w:id="322316432">
                  <w:marLeft w:val="0"/>
                  <w:marRight w:val="0"/>
                  <w:marTop w:val="0"/>
                  <w:marBottom w:val="0"/>
                  <w:divBdr>
                    <w:top w:val="none" w:sz="0" w:space="0" w:color="auto"/>
                    <w:left w:val="none" w:sz="0" w:space="0" w:color="auto"/>
                    <w:bottom w:val="none" w:sz="0" w:space="0" w:color="auto"/>
                    <w:right w:val="none" w:sz="0" w:space="0" w:color="auto"/>
                  </w:divBdr>
                  <w:divsChild>
                    <w:div w:id="480972731">
                      <w:marLeft w:val="0"/>
                      <w:marRight w:val="0"/>
                      <w:marTop w:val="0"/>
                      <w:marBottom w:val="0"/>
                      <w:divBdr>
                        <w:top w:val="none" w:sz="0" w:space="0" w:color="auto"/>
                        <w:left w:val="none" w:sz="0" w:space="0" w:color="auto"/>
                        <w:bottom w:val="none" w:sz="0" w:space="0" w:color="auto"/>
                        <w:right w:val="none" w:sz="0" w:space="0" w:color="auto"/>
                      </w:divBdr>
                    </w:div>
                  </w:divsChild>
                </w:div>
                <w:div w:id="325327418">
                  <w:marLeft w:val="0"/>
                  <w:marRight w:val="0"/>
                  <w:marTop w:val="0"/>
                  <w:marBottom w:val="0"/>
                  <w:divBdr>
                    <w:top w:val="none" w:sz="0" w:space="0" w:color="auto"/>
                    <w:left w:val="none" w:sz="0" w:space="0" w:color="auto"/>
                    <w:bottom w:val="none" w:sz="0" w:space="0" w:color="auto"/>
                    <w:right w:val="none" w:sz="0" w:space="0" w:color="auto"/>
                  </w:divBdr>
                  <w:divsChild>
                    <w:div w:id="1039015335">
                      <w:marLeft w:val="0"/>
                      <w:marRight w:val="0"/>
                      <w:marTop w:val="0"/>
                      <w:marBottom w:val="0"/>
                      <w:divBdr>
                        <w:top w:val="none" w:sz="0" w:space="0" w:color="auto"/>
                        <w:left w:val="none" w:sz="0" w:space="0" w:color="auto"/>
                        <w:bottom w:val="none" w:sz="0" w:space="0" w:color="auto"/>
                        <w:right w:val="none" w:sz="0" w:space="0" w:color="auto"/>
                      </w:divBdr>
                    </w:div>
                  </w:divsChild>
                </w:div>
                <w:div w:id="327707342">
                  <w:marLeft w:val="0"/>
                  <w:marRight w:val="0"/>
                  <w:marTop w:val="0"/>
                  <w:marBottom w:val="0"/>
                  <w:divBdr>
                    <w:top w:val="none" w:sz="0" w:space="0" w:color="auto"/>
                    <w:left w:val="none" w:sz="0" w:space="0" w:color="auto"/>
                    <w:bottom w:val="none" w:sz="0" w:space="0" w:color="auto"/>
                    <w:right w:val="none" w:sz="0" w:space="0" w:color="auto"/>
                  </w:divBdr>
                  <w:divsChild>
                    <w:div w:id="700320889">
                      <w:marLeft w:val="0"/>
                      <w:marRight w:val="0"/>
                      <w:marTop w:val="0"/>
                      <w:marBottom w:val="0"/>
                      <w:divBdr>
                        <w:top w:val="none" w:sz="0" w:space="0" w:color="auto"/>
                        <w:left w:val="none" w:sz="0" w:space="0" w:color="auto"/>
                        <w:bottom w:val="none" w:sz="0" w:space="0" w:color="auto"/>
                        <w:right w:val="none" w:sz="0" w:space="0" w:color="auto"/>
                      </w:divBdr>
                    </w:div>
                  </w:divsChild>
                </w:div>
                <w:div w:id="334496363">
                  <w:marLeft w:val="0"/>
                  <w:marRight w:val="0"/>
                  <w:marTop w:val="0"/>
                  <w:marBottom w:val="0"/>
                  <w:divBdr>
                    <w:top w:val="none" w:sz="0" w:space="0" w:color="auto"/>
                    <w:left w:val="none" w:sz="0" w:space="0" w:color="auto"/>
                    <w:bottom w:val="none" w:sz="0" w:space="0" w:color="auto"/>
                    <w:right w:val="none" w:sz="0" w:space="0" w:color="auto"/>
                  </w:divBdr>
                  <w:divsChild>
                    <w:div w:id="735056160">
                      <w:marLeft w:val="0"/>
                      <w:marRight w:val="0"/>
                      <w:marTop w:val="0"/>
                      <w:marBottom w:val="0"/>
                      <w:divBdr>
                        <w:top w:val="none" w:sz="0" w:space="0" w:color="auto"/>
                        <w:left w:val="none" w:sz="0" w:space="0" w:color="auto"/>
                        <w:bottom w:val="none" w:sz="0" w:space="0" w:color="auto"/>
                        <w:right w:val="none" w:sz="0" w:space="0" w:color="auto"/>
                      </w:divBdr>
                    </w:div>
                  </w:divsChild>
                </w:div>
                <w:div w:id="335574732">
                  <w:marLeft w:val="0"/>
                  <w:marRight w:val="0"/>
                  <w:marTop w:val="0"/>
                  <w:marBottom w:val="0"/>
                  <w:divBdr>
                    <w:top w:val="none" w:sz="0" w:space="0" w:color="auto"/>
                    <w:left w:val="none" w:sz="0" w:space="0" w:color="auto"/>
                    <w:bottom w:val="none" w:sz="0" w:space="0" w:color="auto"/>
                    <w:right w:val="none" w:sz="0" w:space="0" w:color="auto"/>
                  </w:divBdr>
                  <w:divsChild>
                    <w:div w:id="655844910">
                      <w:marLeft w:val="0"/>
                      <w:marRight w:val="0"/>
                      <w:marTop w:val="0"/>
                      <w:marBottom w:val="0"/>
                      <w:divBdr>
                        <w:top w:val="none" w:sz="0" w:space="0" w:color="auto"/>
                        <w:left w:val="none" w:sz="0" w:space="0" w:color="auto"/>
                        <w:bottom w:val="none" w:sz="0" w:space="0" w:color="auto"/>
                        <w:right w:val="none" w:sz="0" w:space="0" w:color="auto"/>
                      </w:divBdr>
                    </w:div>
                  </w:divsChild>
                </w:div>
                <w:div w:id="340591156">
                  <w:marLeft w:val="0"/>
                  <w:marRight w:val="0"/>
                  <w:marTop w:val="0"/>
                  <w:marBottom w:val="0"/>
                  <w:divBdr>
                    <w:top w:val="none" w:sz="0" w:space="0" w:color="auto"/>
                    <w:left w:val="none" w:sz="0" w:space="0" w:color="auto"/>
                    <w:bottom w:val="none" w:sz="0" w:space="0" w:color="auto"/>
                    <w:right w:val="none" w:sz="0" w:space="0" w:color="auto"/>
                  </w:divBdr>
                  <w:divsChild>
                    <w:div w:id="774980203">
                      <w:marLeft w:val="0"/>
                      <w:marRight w:val="0"/>
                      <w:marTop w:val="0"/>
                      <w:marBottom w:val="0"/>
                      <w:divBdr>
                        <w:top w:val="none" w:sz="0" w:space="0" w:color="auto"/>
                        <w:left w:val="none" w:sz="0" w:space="0" w:color="auto"/>
                        <w:bottom w:val="none" w:sz="0" w:space="0" w:color="auto"/>
                        <w:right w:val="none" w:sz="0" w:space="0" w:color="auto"/>
                      </w:divBdr>
                    </w:div>
                  </w:divsChild>
                </w:div>
                <w:div w:id="341859271">
                  <w:marLeft w:val="0"/>
                  <w:marRight w:val="0"/>
                  <w:marTop w:val="0"/>
                  <w:marBottom w:val="0"/>
                  <w:divBdr>
                    <w:top w:val="none" w:sz="0" w:space="0" w:color="auto"/>
                    <w:left w:val="none" w:sz="0" w:space="0" w:color="auto"/>
                    <w:bottom w:val="none" w:sz="0" w:space="0" w:color="auto"/>
                    <w:right w:val="none" w:sz="0" w:space="0" w:color="auto"/>
                  </w:divBdr>
                  <w:divsChild>
                    <w:div w:id="1160384774">
                      <w:marLeft w:val="0"/>
                      <w:marRight w:val="0"/>
                      <w:marTop w:val="0"/>
                      <w:marBottom w:val="0"/>
                      <w:divBdr>
                        <w:top w:val="none" w:sz="0" w:space="0" w:color="auto"/>
                        <w:left w:val="none" w:sz="0" w:space="0" w:color="auto"/>
                        <w:bottom w:val="none" w:sz="0" w:space="0" w:color="auto"/>
                        <w:right w:val="none" w:sz="0" w:space="0" w:color="auto"/>
                      </w:divBdr>
                    </w:div>
                  </w:divsChild>
                </w:div>
                <w:div w:id="343173412">
                  <w:marLeft w:val="0"/>
                  <w:marRight w:val="0"/>
                  <w:marTop w:val="0"/>
                  <w:marBottom w:val="0"/>
                  <w:divBdr>
                    <w:top w:val="none" w:sz="0" w:space="0" w:color="auto"/>
                    <w:left w:val="none" w:sz="0" w:space="0" w:color="auto"/>
                    <w:bottom w:val="none" w:sz="0" w:space="0" w:color="auto"/>
                    <w:right w:val="none" w:sz="0" w:space="0" w:color="auto"/>
                  </w:divBdr>
                  <w:divsChild>
                    <w:div w:id="1067991102">
                      <w:marLeft w:val="0"/>
                      <w:marRight w:val="0"/>
                      <w:marTop w:val="0"/>
                      <w:marBottom w:val="0"/>
                      <w:divBdr>
                        <w:top w:val="none" w:sz="0" w:space="0" w:color="auto"/>
                        <w:left w:val="none" w:sz="0" w:space="0" w:color="auto"/>
                        <w:bottom w:val="none" w:sz="0" w:space="0" w:color="auto"/>
                        <w:right w:val="none" w:sz="0" w:space="0" w:color="auto"/>
                      </w:divBdr>
                    </w:div>
                  </w:divsChild>
                </w:div>
                <w:div w:id="359861786">
                  <w:marLeft w:val="0"/>
                  <w:marRight w:val="0"/>
                  <w:marTop w:val="0"/>
                  <w:marBottom w:val="0"/>
                  <w:divBdr>
                    <w:top w:val="none" w:sz="0" w:space="0" w:color="auto"/>
                    <w:left w:val="none" w:sz="0" w:space="0" w:color="auto"/>
                    <w:bottom w:val="none" w:sz="0" w:space="0" w:color="auto"/>
                    <w:right w:val="none" w:sz="0" w:space="0" w:color="auto"/>
                  </w:divBdr>
                  <w:divsChild>
                    <w:div w:id="1005474188">
                      <w:marLeft w:val="0"/>
                      <w:marRight w:val="0"/>
                      <w:marTop w:val="0"/>
                      <w:marBottom w:val="0"/>
                      <w:divBdr>
                        <w:top w:val="none" w:sz="0" w:space="0" w:color="auto"/>
                        <w:left w:val="none" w:sz="0" w:space="0" w:color="auto"/>
                        <w:bottom w:val="none" w:sz="0" w:space="0" w:color="auto"/>
                        <w:right w:val="none" w:sz="0" w:space="0" w:color="auto"/>
                      </w:divBdr>
                    </w:div>
                  </w:divsChild>
                </w:div>
                <w:div w:id="366150082">
                  <w:marLeft w:val="0"/>
                  <w:marRight w:val="0"/>
                  <w:marTop w:val="0"/>
                  <w:marBottom w:val="0"/>
                  <w:divBdr>
                    <w:top w:val="none" w:sz="0" w:space="0" w:color="auto"/>
                    <w:left w:val="none" w:sz="0" w:space="0" w:color="auto"/>
                    <w:bottom w:val="none" w:sz="0" w:space="0" w:color="auto"/>
                    <w:right w:val="none" w:sz="0" w:space="0" w:color="auto"/>
                  </w:divBdr>
                  <w:divsChild>
                    <w:div w:id="383144860">
                      <w:marLeft w:val="0"/>
                      <w:marRight w:val="0"/>
                      <w:marTop w:val="0"/>
                      <w:marBottom w:val="0"/>
                      <w:divBdr>
                        <w:top w:val="none" w:sz="0" w:space="0" w:color="auto"/>
                        <w:left w:val="none" w:sz="0" w:space="0" w:color="auto"/>
                        <w:bottom w:val="none" w:sz="0" w:space="0" w:color="auto"/>
                        <w:right w:val="none" w:sz="0" w:space="0" w:color="auto"/>
                      </w:divBdr>
                    </w:div>
                  </w:divsChild>
                </w:div>
                <w:div w:id="375086051">
                  <w:marLeft w:val="0"/>
                  <w:marRight w:val="0"/>
                  <w:marTop w:val="0"/>
                  <w:marBottom w:val="0"/>
                  <w:divBdr>
                    <w:top w:val="none" w:sz="0" w:space="0" w:color="auto"/>
                    <w:left w:val="none" w:sz="0" w:space="0" w:color="auto"/>
                    <w:bottom w:val="none" w:sz="0" w:space="0" w:color="auto"/>
                    <w:right w:val="none" w:sz="0" w:space="0" w:color="auto"/>
                  </w:divBdr>
                  <w:divsChild>
                    <w:div w:id="1662734038">
                      <w:marLeft w:val="0"/>
                      <w:marRight w:val="0"/>
                      <w:marTop w:val="0"/>
                      <w:marBottom w:val="0"/>
                      <w:divBdr>
                        <w:top w:val="none" w:sz="0" w:space="0" w:color="auto"/>
                        <w:left w:val="none" w:sz="0" w:space="0" w:color="auto"/>
                        <w:bottom w:val="none" w:sz="0" w:space="0" w:color="auto"/>
                        <w:right w:val="none" w:sz="0" w:space="0" w:color="auto"/>
                      </w:divBdr>
                    </w:div>
                  </w:divsChild>
                </w:div>
                <w:div w:id="379475951">
                  <w:marLeft w:val="0"/>
                  <w:marRight w:val="0"/>
                  <w:marTop w:val="0"/>
                  <w:marBottom w:val="0"/>
                  <w:divBdr>
                    <w:top w:val="none" w:sz="0" w:space="0" w:color="auto"/>
                    <w:left w:val="none" w:sz="0" w:space="0" w:color="auto"/>
                    <w:bottom w:val="none" w:sz="0" w:space="0" w:color="auto"/>
                    <w:right w:val="none" w:sz="0" w:space="0" w:color="auto"/>
                  </w:divBdr>
                  <w:divsChild>
                    <w:div w:id="1028989298">
                      <w:marLeft w:val="0"/>
                      <w:marRight w:val="0"/>
                      <w:marTop w:val="0"/>
                      <w:marBottom w:val="0"/>
                      <w:divBdr>
                        <w:top w:val="none" w:sz="0" w:space="0" w:color="auto"/>
                        <w:left w:val="none" w:sz="0" w:space="0" w:color="auto"/>
                        <w:bottom w:val="none" w:sz="0" w:space="0" w:color="auto"/>
                        <w:right w:val="none" w:sz="0" w:space="0" w:color="auto"/>
                      </w:divBdr>
                    </w:div>
                  </w:divsChild>
                </w:div>
                <w:div w:id="381444939">
                  <w:marLeft w:val="0"/>
                  <w:marRight w:val="0"/>
                  <w:marTop w:val="0"/>
                  <w:marBottom w:val="0"/>
                  <w:divBdr>
                    <w:top w:val="none" w:sz="0" w:space="0" w:color="auto"/>
                    <w:left w:val="none" w:sz="0" w:space="0" w:color="auto"/>
                    <w:bottom w:val="none" w:sz="0" w:space="0" w:color="auto"/>
                    <w:right w:val="none" w:sz="0" w:space="0" w:color="auto"/>
                  </w:divBdr>
                  <w:divsChild>
                    <w:div w:id="1210647132">
                      <w:marLeft w:val="0"/>
                      <w:marRight w:val="0"/>
                      <w:marTop w:val="0"/>
                      <w:marBottom w:val="0"/>
                      <w:divBdr>
                        <w:top w:val="none" w:sz="0" w:space="0" w:color="auto"/>
                        <w:left w:val="none" w:sz="0" w:space="0" w:color="auto"/>
                        <w:bottom w:val="none" w:sz="0" w:space="0" w:color="auto"/>
                        <w:right w:val="none" w:sz="0" w:space="0" w:color="auto"/>
                      </w:divBdr>
                    </w:div>
                  </w:divsChild>
                </w:div>
                <w:div w:id="386877187">
                  <w:marLeft w:val="0"/>
                  <w:marRight w:val="0"/>
                  <w:marTop w:val="0"/>
                  <w:marBottom w:val="0"/>
                  <w:divBdr>
                    <w:top w:val="none" w:sz="0" w:space="0" w:color="auto"/>
                    <w:left w:val="none" w:sz="0" w:space="0" w:color="auto"/>
                    <w:bottom w:val="none" w:sz="0" w:space="0" w:color="auto"/>
                    <w:right w:val="none" w:sz="0" w:space="0" w:color="auto"/>
                  </w:divBdr>
                  <w:divsChild>
                    <w:div w:id="964045614">
                      <w:marLeft w:val="0"/>
                      <w:marRight w:val="0"/>
                      <w:marTop w:val="0"/>
                      <w:marBottom w:val="0"/>
                      <w:divBdr>
                        <w:top w:val="none" w:sz="0" w:space="0" w:color="auto"/>
                        <w:left w:val="none" w:sz="0" w:space="0" w:color="auto"/>
                        <w:bottom w:val="none" w:sz="0" w:space="0" w:color="auto"/>
                        <w:right w:val="none" w:sz="0" w:space="0" w:color="auto"/>
                      </w:divBdr>
                    </w:div>
                  </w:divsChild>
                </w:div>
                <w:div w:id="387069275">
                  <w:marLeft w:val="0"/>
                  <w:marRight w:val="0"/>
                  <w:marTop w:val="0"/>
                  <w:marBottom w:val="0"/>
                  <w:divBdr>
                    <w:top w:val="none" w:sz="0" w:space="0" w:color="auto"/>
                    <w:left w:val="none" w:sz="0" w:space="0" w:color="auto"/>
                    <w:bottom w:val="none" w:sz="0" w:space="0" w:color="auto"/>
                    <w:right w:val="none" w:sz="0" w:space="0" w:color="auto"/>
                  </w:divBdr>
                  <w:divsChild>
                    <w:div w:id="854658046">
                      <w:marLeft w:val="0"/>
                      <w:marRight w:val="0"/>
                      <w:marTop w:val="0"/>
                      <w:marBottom w:val="0"/>
                      <w:divBdr>
                        <w:top w:val="none" w:sz="0" w:space="0" w:color="auto"/>
                        <w:left w:val="none" w:sz="0" w:space="0" w:color="auto"/>
                        <w:bottom w:val="none" w:sz="0" w:space="0" w:color="auto"/>
                        <w:right w:val="none" w:sz="0" w:space="0" w:color="auto"/>
                      </w:divBdr>
                    </w:div>
                  </w:divsChild>
                </w:div>
                <w:div w:id="397484112">
                  <w:marLeft w:val="0"/>
                  <w:marRight w:val="0"/>
                  <w:marTop w:val="0"/>
                  <w:marBottom w:val="0"/>
                  <w:divBdr>
                    <w:top w:val="none" w:sz="0" w:space="0" w:color="auto"/>
                    <w:left w:val="none" w:sz="0" w:space="0" w:color="auto"/>
                    <w:bottom w:val="none" w:sz="0" w:space="0" w:color="auto"/>
                    <w:right w:val="none" w:sz="0" w:space="0" w:color="auto"/>
                  </w:divBdr>
                  <w:divsChild>
                    <w:div w:id="1134253663">
                      <w:marLeft w:val="0"/>
                      <w:marRight w:val="0"/>
                      <w:marTop w:val="0"/>
                      <w:marBottom w:val="0"/>
                      <w:divBdr>
                        <w:top w:val="none" w:sz="0" w:space="0" w:color="auto"/>
                        <w:left w:val="none" w:sz="0" w:space="0" w:color="auto"/>
                        <w:bottom w:val="none" w:sz="0" w:space="0" w:color="auto"/>
                        <w:right w:val="none" w:sz="0" w:space="0" w:color="auto"/>
                      </w:divBdr>
                    </w:div>
                  </w:divsChild>
                </w:div>
                <w:div w:id="403143843">
                  <w:marLeft w:val="0"/>
                  <w:marRight w:val="0"/>
                  <w:marTop w:val="0"/>
                  <w:marBottom w:val="0"/>
                  <w:divBdr>
                    <w:top w:val="none" w:sz="0" w:space="0" w:color="auto"/>
                    <w:left w:val="none" w:sz="0" w:space="0" w:color="auto"/>
                    <w:bottom w:val="none" w:sz="0" w:space="0" w:color="auto"/>
                    <w:right w:val="none" w:sz="0" w:space="0" w:color="auto"/>
                  </w:divBdr>
                  <w:divsChild>
                    <w:div w:id="1112285914">
                      <w:marLeft w:val="0"/>
                      <w:marRight w:val="0"/>
                      <w:marTop w:val="0"/>
                      <w:marBottom w:val="0"/>
                      <w:divBdr>
                        <w:top w:val="none" w:sz="0" w:space="0" w:color="auto"/>
                        <w:left w:val="none" w:sz="0" w:space="0" w:color="auto"/>
                        <w:bottom w:val="none" w:sz="0" w:space="0" w:color="auto"/>
                        <w:right w:val="none" w:sz="0" w:space="0" w:color="auto"/>
                      </w:divBdr>
                    </w:div>
                  </w:divsChild>
                </w:div>
                <w:div w:id="405803633">
                  <w:marLeft w:val="0"/>
                  <w:marRight w:val="0"/>
                  <w:marTop w:val="0"/>
                  <w:marBottom w:val="0"/>
                  <w:divBdr>
                    <w:top w:val="none" w:sz="0" w:space="0" w:color="auto"/>
                    <w:left w:val="none" w:sz="0" w:space="0" w:color="auto"/>
                    <w:bottom w:val="none" w:sz="0" w:space="0" w:color="auto"/>
                    <w:right w:val="none" w:sz="0" w:space="0" w:color="auto"/>
                  </w:divBdr>
                  <w:divsChild>
                    <w:div w:id="26295040">
                      <w:marLeft w:val="0"/>
                      <w:marRight w:val="0"/>
                      <w:marTop w:val="0"/>
                      <w:marBottom w:val="0"/>
                      <w:divBdr>
                        <w:top w:val="none" w:sz="0" w:space="0" w:color="auto"/>
                        <w:left w:val="none" w:sz="0" w:space="0" w:color="auto"/>
                        <w:bottom w:val="none" w:sz="0" w:space="0" w:color="auto"/>
                        <w:right w:val="none" w:sz="0" w:space="0" w:color="auto"/>
                      </w:divBdr>
                    </w:div>
                  </w:divsChild>
                </w:div>
                <w:div w:id="418411037">
                  <w:marLeft w:val="0"/>
                  <w:marRight w:val="0"/>
                  <w:marTop w:val="0"/>
                  <w:marBottom w:val="0"/>
                  <w:divBdr>
                    <w:top w:val="none" w:sz="0" w:space="0" w:color="auto"/>
                    <w:left w:val="none" w:sz="0" w:space="0" w:color="auto"/>
                    <w:bottom w:val="none" w:sz="0" w:space="0" w:color="auto"/>
                    <w:right w:val="none" w:sz="0" w:space="0" w:color="auto"/>
                  </w:divBdr>
                  <w:divsChild>
                    <w:div w:id="1783452762">
                      <w:marLeft w:val="0"/>
                      <w:marRight w:val="0"/>
                      <w:marTop w:val="0"/>
                      <w:marBottom w:val="0"/>
                      <w:divBdr>
                        <w:top w:val="none" w:sz="0" w:space="0" w:color="auto"/>
                        <w:left w:val="none" w:sz="0" w:space="0" w:color="auto"/>
                        <w:bottom w:val="none" w:sz="0" w:space="0" w:color="auto"/>
                        <w:right w:val="none" w:sz="0" w:space="0" w:color="auto"/>
                      </w:divBdr>
                    </w:div>
                  </w:divsChild>
                </w:div>
                <w:div w:id="419985164">
                  <w:marLeft w:val="0"/>
                  <w:marRight w:val="0"/>
                  <w:marTop w:val="0"/>
                  <w:marBottom w:val="0"/>
                  <w:divBdr>
                    <w:top w:val="none" w:sz="0" w:space="0" w:color="auto"/>
                    <w:left w:val="none" w:sz="0" w:space="0" w:color="auto"/>
                    <w:bottom w:val="none" w:sz="0" w:space="0" w:color="auto"/>
                    <w:right w:val="none" w:sz="0" w:space="0" w:color="auto"/>
                  </w:divBdr>
                  <w:divsChild>
                    <w:div w:id="540946262">
                      <w:marLeft w:val="0"/>
                      <w:marRight w:val="0"/>
                      <w:marTop w:val="0"/>
                      <w:marBottom w:val="0"/>
                      <w:divBdr>
                        <w:top w:val="none" w:sz="0" w:space="0" w:color="auto"/>
                        <w:left w:val="none" w:sz="0" w:space="0" w:color="auto"/>
                        <w:bottom w:val="none" w:sz="0" w:space="0" w:color="auto"/>
                        <w:right w:val="none" w:sz="0" w:space="0" w:color="auto"/>
                      </w:divBdr>
                    </w:div>
                  </w:divsChild>
                </w:div>
                <w:div w:id="420221312">
                  <w:marLeft w:val="0"/>
                  <w:marRight w:val="0"/>
                  <w:marTop w:val="0"/>
                  <w:marBottom w:val="0"/>
                  <w:divBdr>
                    <w:top w:val="none" w:sz="0" w:space="0" w:color="auto"/>
                    <w:left w:val="none" w:sz="0" w:space="0" w:color="auto"/>
                    <w:bottom w:val="none" w:sz="0" w:space="0" w:color="auto"/>
                    <w:right w:val="none" w:sz="0" w:space="0" w:color="auto"/>
                  </w:divBdr>
                  <w:divsChild>
                    <w:div w:id="2087220900">
                      <w:marLeft w:val="0"/>
                      <w:marRight w:val="0"/>
                      <w:marTop w:val="0"/>
                      <w:marBottom w:val="0"/>
                      <w:divBdr>
                        <w:top w:val="none" w:sz="0" w:space="0" w:color="auto"/>
                        <w:left w:val="none" w:sz="0" w:space="0" w:color="auto"/>
                        <w:bottom w:val="none" w:sz="0" w:space="0" w:color="auto"/>
                        <w:right w:val="none" w:sz="0" w:space="0" w:color="auto"/>
                      </w:divBdr>
                    </w:div>
                  </w:divsChild>
                </w:div>
                <w:div w:id="420689221">
                  <w:marLeft w:val="0"/>
                  <w:marRight w:val="0"/>
                  <w:marTop w:val="0"/>
                  <w:marBottom w:val="0"/>
                  <w:divBdr>
                    <w:top w:val="none" w:sz="0" w:space="0" w:color="auto"/>
                    <w:left w:val="none" w:sz="0" w:space="0" w:color="auto"/>
                    <w:bottom w:val="none" w:sz="0" w:space="0" w:color="auto"/>
                    <w:right w:val="none" w:sz="0" w:space="0" w:color="auto"/>
                  </w:divBdr>
                  <w:divsChild>
                    <w:div w:id="1739476384">
                      <w:marLeft w:val="0"/>
                      <w:marRight w:val="0"/>
                      <w:marTop w:val="0"/>
                      <w:marBottom w:val="0"/>
                      <w:divBdr>
                        <w:top w:val="none" w:sz="0" w:space="0" w:color="auto"/>
                        <w:left w:val="none" w:sz="0" w:space="0" w:color="auto"/>
                        <w:bottom w:val="none" w:sz="0" w:space="0" w:color="auto"/>
                        <w:right w:val="none" w:sz="0" w:space="0" w:color="auto"/>
                      </w:divBdr>
                    </w:div>
                  </w:divsChild>
                </w:div>
                <w:div w:id="432480447">
                  <w:marLeft w:val="0"/>
                  <w:marRight w:val="0"/>
                  <w:marTop w:val="0"/>
                  <w:marBottom w:val="0"/>
                  <w:divBdr>
                    <w:top w:val="none" w:sz="0" w:space="0" w:color="auto"/>
                    <w:left w:val="none" w:sz="0" w:space="0" w:color="auto"/>
                    <w:bottom w:val="none" w:sz="0" w:space="0" w:color="auto"/>
                    <w:right w:val="none" w:sz="0" w:space="0" w:color="auto"/>
                  </w:divBdr>
                  <w:divsChild>
                    <w:div w:id="1924219225">
                      <w:marLeft w:val="0"/>
                      <w:marRight w:val="0"/>
                      <w:marTop w:val="0"/>
                      <w:marBottom w:val="0"/>
                      <w:divBdr>
                        <w:top w:val="none" w:sz="0" w:space="0" w:color="auto"/>
                        <w:left w:val="none" w:sz="0" w:space="0" w:color="auto"/>
                        <w:bottom w:val="none" w:sz="0" w:space="0" w:color="auto"/>
                        <w:right w:val="none" w:sz="0" w:space="0" w:color="auto"/>
                      </w:divBdr>
                    </w:div>
                  </w:divsChild>
                </w:div>
                <w:div w:id="433132007">
                  <w:marLeft w:val="0"/>
                  <w:marRight w:val="0"/>
                  <w:marTop w:val="0"/>
                  <w:marBottom w:val="0"/>
                  <w:divBdr>
                    <w:top w:val="none" w:sz="0" w:space="0" w:color="auto"/>
                    <w:left w:val="none" w:sz="0" w:space="0" w:color="auto"/>
                    <w:bottom w:val="none" w:sz="0" w:space="0" w:color="auto"/>
                    <w:right w:val="none" w:sz="0" w:space="0" w:color="auto"/>
                  </w:divBdr>
                  <w:divsChild>
                    <w:div w:id="1350595075">
                      <w:marLeft w:val="0"/>
                      <w:marRight w:val="0"/>
                      <w:marTop w:val="0"/>
                      <w:marBottom w:val="0"/>
                      <w:divBdr>
                        <w:top w:val="none" w:sz="0" w:space="0" w:color="auto"/>
                        <w:left w:val="none" w:sz="0" w:space="0" w:color="auto"/>
                        <w:bottom w:val="none" w:sz="0" w:space="0" w:color="auto"/>
                        <w:right w:val="none" w:sz="0" w:space="0" w:color="auto"/>
                      </w:divBdr>
                    </w:div>
                  </w:divsChild>
                </w:div>
                <w:div w:id="435558319">
                  <w:marLeft w:val="0"/>
                  <w:marRight w:val="0"/>
                  <w:marTop w:val="0"/>
                  <w:marBottom w:val="0"/>
                  <w:divBdr>
                    <w:top w:val="none" w:sz="0" w:space="0" w:color="auto"/>
                    <w:left w:val="none" w:sz="0" w:space="0" w:color="auto"/>
                    <w:bottom w:val="none" w:sz="0" w:space="0" w:color="auto"/>
                    <w:right w:val="none" w:sz="0" w:space="0" w:color="auto"/>
                  </w:divBdr>
                  <w:divsChild>
                    <w:div w:id="1645235713">
                      <w:marLeft w:val="0"/>
                      <w:marRight w:val="0"/>
                      <w:marTop w:val="0"/>
                      <w:marBottom w:val="0"/>
                      <w:divBdr>
                        <w:top w:val="none" w:sz="0" w:space="0" w:color="auto"/>
                        <w:left w:val="none" w:sz="0" w:space="0" w:color="auto"/>
                        <w:bottom w:val="none" w:sz="0" w:space="0" w:color="auto"/>
                        <w:right w:val="none" w:sz="0" w:space="0" w:color="auto"/>
                      </w:divBdr>
                    </w:div>
                  </w:divsChild>
                </w:div>
                <w:div w:id="438718960">
                  <w:marLeft w:val="0"/>
                  <w:marRight w:val="0"/>
                  <w:marTop w:val="0"/>
                  <w:marBottom w:val="0"/>
                  <w:divBdr>
                    <w:top w:val="none" w:sz="0" w:space="0" w:color="auto"/>
                    <w:left w:val="none" w:sz="0" w:space="0" w:color="auto"/>
                    <w:bottom w:val="none" w:sz="0" w:space="0" w:color="auto"/>
                    <w:right w:val="none" w:sz="0" w:space="0" w:color="auto"/>
                  </w:divBdr>
                  <w:divsChild>
                    <w:div w:id="1826585829">
                      <w:marLeft w:val="0"/>
                      <w:marRight w:val="0"/>
                      <w:marTop w:val="0"/>
                      <w:marBottom w:val="0"/>
                      <w:divBdr>
                        <w:top w:val="none" w:sz="0" w:space="0" w:color="auto"/>
                        <w:left w:val="none" w:sz="0" w:space="0" w:color="auto"/>
                        <w:bottom w:val="none" w:sz="0" w:space="0" w:color="auto"/>
                        <w:right w:val="none" w:sz="0" w:space="0" w:color="auto"/>
                      </w:divBdr>
                    </w:div>
                  </w:divsChild>
                </w:div>
                <w:div w:id="441388074">
                  <w:marLeft w:val="0"/>
                  <w:marRight w:val="0"/>
                  <w:marTop w:val="0"/>
                  <w:marBottom w:val="0"/>
                  <w:divBdr>
                    <w:top w:val="none" w:sz="0" w:space="0" w:color="auto"/>
                    <w:left w:val="none" w:sz="0" w:space="0" w:color="auto"/>
                    <w:bottom w:val="none" w:sz="0" w:space="0" w:color="auto"/>
                    <w:right w:val="none" w:sz="0" w:space="0" w:color="auto"/>
                  </w:divBdr>
                  <w:divsChild>
                    <w:div w:id="2091268654">
                      <w:marLeft w:val="0"/>
                      <w:marRight w:val="0"/>
                      <w:marTop w:val="0"/>
                      <w:marBottom w:val="0"/>
                      <w:divBdr>
                        <w:top w:val="none" w:sz="0" w:space="0" w:color="auto"/>
                        <w:left w:val="none" w:sz="0" w:space="0" w:color="auto"/>
                        <w:bottom w:val="none" w:sz="0" w:space="0" w:color="auto"/>
                        <w:right w:val="none" w:sz="0" w:space="0" w:color="auto"/>
                      </w:divBdr>
                    </w:div>
                  </w:divsChild>
                </w:div>
                <w:div w:id="454296867">
                  <w:marLeft w:val="0"/>
                  <w:marRight w:val="0"/>
                  <w:marTop w:val="0"/>
                  <w:marBottom w:val="0"/>
                  <w:divBdr>
                    <w:top w:val="none" w:sz="0" w:space="0" w:color="auto"/>
                    <w:left w:val="none" w:sz="0" w:space="0" w:color="auto"/>
                    <w:bottom w:val="none" w:sz="0" w:space="0" w:color="auto"/>
                    <w:right w:val="none" w:sz="0" w:space="0" w:color="auto"/>
                  </w:divBdr>
                  <w:divsChild>
                    <w:div w:id="840854509">
                      <w:marLeft w:val="0"/>
                      <w:marRight w:val="0"/>
                      <w:marTop w:val="0"/>
                      <w:marBottom w:val="0"/>
                      <w:divBdr>
                        <w:top w:val="none" w:sz="0" w:space="0" w:color="auto"/>
                        <w:left w:val="none" w:sz="0" w:space="0" w:color="auto"/>
                        <w:bottom w:val="none" w:sz="0" w:space="0" w:color="auto"/>
                        <w:right w:val="none" w:sz="0" w:space="0" w:color="auto"/>
                      </w:divBdr>
                    </w:div>
                  </w:divsChild>
                </w:div>
                <w:div w:id="455871131">
                  <w:marLeft w:val="0"/>
                  <w:marRight w:val="0"/>
                  <w:marTop w:val="0"/>
                  <w:marBottom w:val="0"/>
                  <w:divBdr>
                    <w:top w:val="none" w:sz="0" w:space="0" w:color="auto"/>
                    <w:left w:val="none" w:sz="0" w:space="0" w:color="auto"/>
                    <w:bottom w:val="none" w:sz="0" w:space="0" w:color="auto"/>
                    <w:right w:val="none" w:sz="0" w:space="0" w:color="auto"/>
                  </w:divBdr>
                  <w:divsChild>
                    <w:div w:id="2115977882">
                      <w:marLeft w:val="0"/>
                      <w:marRight w:val="0"/>
                      <w:marTop w:val="0"/>
                      <w:marBottom w:val="0"/>
                      <w:divBdr>
                        <w:top w:val="none" w:sz="0" w:space="0" w:color="auto"/>
                        <w:left w:val="none" w:sz="0" w:space="0" w:color="auto"/>
                        <w:bottom w:val="none" w:sz="0" w:space="0" w:color="auto"/>
                        <w:right w:val="none" w:sz="0" w:space="0" w:color="auto"/>
                      </w:divBdr>
                    </w:div>
                  </w:divsChild>
                </w:div>
                <w:div w:id="468207602">
                  <w:marLeft w:val="0"/>
                  <w:marRight w:val="0"/>
                  <w:marTop w:val="0"/>
                  <w:marBottom w:val="0"/>
                  <w:divBdr>
                    <w:top w:val="none" w:sz="0" w:space="0" w:color="auto"/>
                    <w:left w:val="none" w:sz="0" w:space="0" w:color="auto"/>
                    <w:bottom w:val="none" w:sz="0" w:space="0" w:color="auto"/>
                    <w:right w:val="none" w:sz="0" w:space="0" w:color="auto"/>
                  </w:divBdr>
                  <w:divsChild>
                    <w:div w:id="795681882">
                      <w:marLeft w:val="0"/>
                      <w:marRight w:val="0"/>
                      <w:marTop w:val="0"/>
                      <w:marBottom w:val="0"/>
                      <w:divBdr>
                        <w:top w:val="none" w:sz="0" w:space="0" w:color="auto"/>
                        <w:left w:val="none" w:sz="0" w:space="0" w:color="auto"/>
                        <w:bottom w:val="none" w:sz="0" w:space="0" w:color="auto"/>
                        <w:right w:val="none" w:sz="0" w:space="0" w:color="auto"/>
                      </w:divBdr>
                    </w:div>
                  </w:divsChild>
                </w:div>
                <w:div w:id="468397558">
                  <w:marLeft w:val="0"/>
                  <w:marRight w:val="0"/>
                  <w:marTop w:val="0"/>
                  <w:marBottom w:val="0"/>
                  <w:divBdr>
                    <w:top w:val="none" w:sz="0" w:space="0" w:color="auto"/>
                    <w:left w:val="none" w:sz="0" w:space="0" w:color="auto"/>
                    <w:bottom w:val="none" w:sz="0" w:space="0" w:color="auto"/>
                    <w:right w:val="none" w:sz="0" w:space="0" w:color="auto"/>
                  </w:divBdr>
                  <w:divsChild>
                    <w:div w:id="1366558010">
                      <w:marLeft w:val="0"/>
                      <w:marRight w:val="0"/>
                      <w:marTop w:val="0"/>
                      <w:marBottom w:val="0"/>
                      <w:divBdr>
                        <w:top w:val="none" w:sz="0" w:space="0" w:color="auto"/>
                        <w:left w:val="none" w:sz="0" w:space="0" w:color="auto"/>
                        <w:bottom w:val="none" w:sz="0" w:space="0" w:color="auto"/>
                        <w:right w:val="none" w:sz="0" w:space="0" w:color="auto"/>
                      </w:divBdr>
                    </w:div>
                  </w:divsChild>
                </w:div>
                <w:div w:id="485167291">
                  <w:marLeft w:val="0"/>
                  <w:marRight w:val="0"/>
                  <w:marTop w:val="0"/>
                  <w:marBottom w:val="0"/>
                  <w:divBdr>
                    <w:top w:val="none" w:sz="0" w:space="0" w:color="auto"/>
                    <w:left w:val="none" w:sz="0" w:space="0" w:color="auto"/>
                    <w:bottom w:val="none" w:sz="0" w:space="0" w:color="auto"/>
                    <w:right w:val="none" w:sz="0" w:space="0" w:color="auto"/>
                  </w:divBdr>
                  <w:divsChild>
                    <w:div w:id="698504606">
                      <w:marLeft w:val="0"/>
                      <w:marRight w:val="0"/>
                      <w:marTop w:val="0"/>
                      <w:marBottom w:val="0"/>
                      <w:divBdr>
                        <w:top w:val="none" w:sz="0" w:space="0" w:color="auto"/>
                        <w:left w:val="none" w:sz="0" w:space="0" w:color="auto"/>
                        <w:bottom w:val="none" w:sz="0" w:space="0" w:color="auto"/>
                        <w:right w:val="none" w:sz="0" w:space="0" w:color="auto"/>
                      </w:divBdr>
                    </w:div>
                  </w:divsChild>
                </w:div>
                <w:div w:id="498421511">
                  <w:marLeft w:val="0"/>
                  <w:marRight w:val="0"/>
                  <w:marTop w:val="0"/>
                  <w:marBottom w:val="0"/>
                  <w:divBdr>
                    <w:top w:val="none" w:sz="0" w:space="0" w:color="auto"/>
                    <w:left w:val="none" w:sz="0" w:space="0" w:color="auto"/>
                    <w:bottom w:val="none" w:sz="0" w:space="0" w:color="auto"/>
                    <w:right w:val="none" w:sz="0" w:space="0" w:color="auto"/>
                  </w:divBdr>
                  <w:divsChild>
                    <w:div w:id="594561030">
                      <w:marLeft w:val="0"/>
                      <w:marRight w:val="0"/>
                      <w:marTop w:val="0"/>
                      <w:marBottom w:val="0"/>
                      <w:divBdr>
                        <w:top w:val="none" w:sz="0" w:space="0" w:color="auto"/>
                        <w:left w:val="none" w:sz="0" w:space="0" w:color="auto"/>
                        <w:bottom w:val="none" w:sz="0" w:space="0" w:color="auto"/>
                        <w:right w:val="none" w:sz="0" w:space="0" w:color="auto"/>
                      </w:divBdr>
                    </w:div>
                  </w:divsChild>
                </w:div>
                <w:div w:id="502866579">
                  <w:marLeft w:val="0"/>
                  <w:marRight w:val="0"/>
                  <w:marTop w:val="0"/>
                  <w:marBottom w:val="0"/>
                  <w:divBdr>
                    <w:top w:val="none" w:sz="0" w:space="0" w:color="auto"/>
                    <w:left w:val="none" w:sz="0" w:space="0" w:color="auto"/>
                    <w:bottom w:val="none" w:sz="0" w:space="0" w:color="auto"/>
                    <w:right w:val="none" w:sz="0" w:space="0" w:color="auto"/>
                  </w:divBdr>
                  <w:divsChild>
                    <w:div w:id="613485249">
                      <w:marLeft w:val="0"/>
                      <w:marRight w:val="0"/>
                      <w:marTop w:val="0"/>
                      <w:marBottom w:val="0"/>
                      <w:divBdr>
                        <w:top w:val="none" w:sz="0" w:space="0" w:color="auto"/>
                        <w:left w:val="none" w:sz="0" w:space="0" w:color="auto"/>
                        <w:bottom w:val="none" w:sz="0" w:space="0" w:color="auto"/>
                        <w:right w:val="none" w:sz="0" w:space="0" w:color="auto"/>
                      </w:divBdr>
                    </w:div>
                  </w:divsChild>
                </w:div>
                <w:div w:id="503670236">
                  <w:marLeft w:val="0"/>
                  <w:marRight w:val="0"/>
                  <w:marTop w:val="0"/>
                  <w:marBottom w:val="0"/>
                  <w:divBdr>
                    <w:top w:val="none" w:sz="0" w:space="0" w:color="auto"/>
                    <w:left w:val="none" w:sz="0" w:space="0" w:color="auto"/>
                    <w:bottom w:val="none" w:sz="0" w:space="0" w:color="auto"/>
                    <w:right w:val="none" w:sz="0" w:space="0" w:color="auto"/>
                  </w:divBdr>
                  <w:divsChild>
                    <w:div w:id="143086001">
                      <w:marLeft w:val="0"/>
                      <w:marRight w:val="0"/>
                      <w:marTop w:val="0"/>
                      <w:marBottom w:val="0"/>
                      <w:divBdr>
                        <w:top w:val="none" w:sz="0" w:space="0" w:color="auto"/>
                        <w:left w:val="none" w:sz="0" w:space="0" w:color="auto"/>
                        <w:bottom w:val="none" w:sz="0" w:space="0" w:color="auto"/>
                        <w:right w:val="none" w:sz="0" w:space="0" w:color="auto"/>
                      </w:divBdr>
                    </w:div>
                  </w:divsChild>
                </w:div>
                <w:div w:id="503785451">
                  <w:marLeft w:val="0"/>
                  <w:marRight w:val="0"/>
                  <w:marTop w:val="0"/>
                  <w:marBottom w:val="0"/>
                  <w:divBdr>
                    <w:top w:val="none" w:sz="0" w:space="0" w:color="auto"/>
                    <w:left w:val="none" w:sz="0" w:space="0" w:color="auto"/>
                    <w:bottom w:val="none" w:sz="0" w:space="0" w:color="auto"/>
                    <w:right w:val="none" w:sz="0" w:space="0" w:color="auto"/>
                  </w:divBdr>
                  <w:divsChild>
                    <w:div w:id="1686445542">
                      <w:marLeft w:val="0"/>
                      <w:marRight w:val="0"/>
                      <w:marTop w:val="0"/>
                      <w:marBottom w:val="0"/>
                      <w:divBdr>
                        <w:top w:val="none" w:sz="0" w:space="0" w:color="auto"/>
                        <w:left w:val="none" w:sz="0" w:space="0" w:color="auto"/>
                        <w:bottom w:val="none" w:sz="0" w:space="0" w:color="auto"/>
                        <w:right w:val="none" w:sz="0" w:space="0" w:color="auto"/>
                      </w:divBdr>
                    </w:div>
                  </w:divsChild>
                </w:div>
                <w:div w:id="507910154">
                  <w:marLeft w:val="0"/>
                  <w:marRight w:val="0"/>
                  <w:marTop w:val="0"/>
                  <w:marBottom w:val="0"/>
                  <w:divBdr>
                    <w:top w:val="none" w:sz="0" w:space="0" w:color="auto"/>
                    <w:left w:val="none" w:sz="0" w:space="0" w:color="auto"/>
                    <w:bottom w:val="none" w:sz="0" w:space="0" w:color="auto"/>
                    <w:right w:val="none" w:sz="0" w:space="0" w:color="auto"/>
                  </w:divBdr>
                  <w:divsChild>
                    <w:div w:id="1210846403">
                      <w:marLeft w:val="0"/>
                      <w:marRight w:val="0"/>
                      <w:marTop w:val="0"/>
                      <w:marBottom w:val="0"/>
                      <w:divBdr>
                        <w:top w:val="none" w:sz="0" w:space="0" w:color="auto"/>
                        <w:left w:val="none" w:sz="0" w:space="0" w:color="auto"/>
                        <w:bottom w:val="none" w:sz="0" w:space="0" w:color="auto"/>
                        <w:right w:val="none" w:sz="0" w:space="0" w:color="auto"/>
                      </w:divBdr>
                    </w:div>
                  </w:divsChild>
                </w:div>
                <w:div w:id="512649589">
                  <w:marLeft w:val="0"/>
                  <w:marRight w:val="0"/>
                  <w:marTop w:val="0"/>
                  <w:marBottom w:val="0"/>
                  <w:divBdr>
                    <w:top w:val="none" w:sz="0" w:space="0" w:color="auto"/>
                    <w:left w:val="none" w:sz="0" w:space="0" w:color="auto"/>
                    <w:bottom w:val="none" w:sz="0" w:space="0" w:color="auto"/>
                    <w:right w:val="none" w:sz="0" w:space="0" w:color="auto"/>
                  </w:divBdr>
                  <w:divsChild>
                    <w:div w:id="1929389536">
                      <w:marLeft w:val="0"/>
                      <w:marRight w:val="0"/>
                      <w:marTop w:val="0"/>
                      <w:marBottom w:val="0"/>
                      <w:divBdr>
                        <w:top w:val="none" w:sz="0" w:space="0" w:color="auto"/>
                        <w:left w:val="none" w:sz="0" w:space="0" w:color="auto"/>
                        <w:bottom w:val="none" w:sz="0" w:space="0" w:color="auto"/>
                        <w:right w:val="none" w:sz="0" w:space="0" w:color="auto"/>
                      </w:divBdr>
                    </w:div>
                  </w:divsChild>
                </w:div>
                <w:div w:id="512768411">
                  <w:marLeft w:val="0"/>
                  <w:marRight w:val="0"/>
                  <w:marTop w:val="0"/>
                  <w:marBottom w:val="0"/>
                  <w:divBdr>
                    <w:top w:val="none" w:sz="0" w:space="0" w:color="auto"/>
                    <w:left w:val="none" w:sz="0" w:space="0" w:color="auto"/>
                    <w:bottom w:val="none" w:sz="0" w:space="0" w:color="auto"/>
                    <w:right w:val="none" w:sz="0" w:space="0" w:color="auto"/>
                  </w:divBdr>
                  <w:divsChild>
                    <w:div w:id="302392366">
                      <w:marLeft w:val="0"/>
                      <w:marRight w:val="0"/>
                      <w:marTop w:val="0"/>
                      <w:marBottom w:val="0"/>
                      <w:divBdr>
                        <w:top w:val="none" w:sz="0" w:space="0" w:color="auto"/>
                        <w:left w:val="none" w:sz="0" w:space="0" w:color="auto"/>
                        <w:bottom w:val="none" w:sz="0" w:space="0" w:color="auto"/>
                        <w:right w:val="none" w:sz="0" w:space="0" w:color="auto"/>
                      </w:divBdr>
                    </w:div>
                  </w:divsChild>
                </w:div>
                <w:div w:id="525220733">
                  <w:marLeft w:val="0"/>
                  <w:marRight w:val="0"/>
                  <w:marTop w:val="0"/>
                  <w:marBottom w:val="0"/>
                  <w:divBdr>
                    <w:top w:val="none" w:sz="0" w:space="0" w:color="auto"/>
                    <w:left w:val="none" w:sz="0" w:space="0" w:color="auto"/>
                    <w:bottom w:val="none" w:sz="0" w:space="0" w:color="auto"/>
                    <w:right w:val="none" w:sz="0" w:space="0" w:color="auto"/>
                  </w:divBdr>
                  <w:divsChild>
                    <w:div w:id="405304459">
                      <w:marLeft w:val="0"/>
                      <w:marRight w:val="0"/>
                      <w:marTop w:val="0"/>
                      <w:marBottom w:val="0"/>
                      <w:divBdr>
                        <w:top w:val="none" w:sz="0" w:space="0" w:color="auto"/>
                        <w:left w:val="none" w:sz="0" w:space="0" w:color="auto"/>
                        <w:bottom w:val="none" w:sz="0" w:space="0" w:color="auto"/>
                        <w:right w:val="none" w:sz="0" w:space="0" w:color="auto"/>
                      </w:divBdr>
                    </w:div>
                  </w:divsChild>
                </w:div>
                <w:div w:id="529493458">
                  <w:marLeft w:val="0"/>
                  <w:marRight w:val="0"/>
                  <w:marTop w:val="0"/>
                  <w:marBottom w:val="0"/>
                  <w:divBdr>
                    <w:top w:val="none" w:sz="0" w:space="0" w:color="auto"/>
                    <w:left w:val="none" w:sz="0" w:space="0" w:color="auto"/>
                    <w:bottom w:val="none" w:sz="0" w:space="0" w:color="auto"/>
                    <w:right w:val="none" w:sz="0" w:space="0" w:color="auto"/>
                  </w:divBdr>
                  <w:divsChild>
                    <w:div w:id="2060859073">
                      <w:marLeft w:val="0"/>
                      <w:marRight w:val="0"/>
                      <w:marTop w:val="0"/>
                      <w:marBottom w:val="0"/>
                      <w:divBdr>
                        <w:top w:val="none" w:sz="0" w:space="0" w:color="auto"/>
                        <w:left w:val="none" w:sz="0" w:space="0" w:color="auto"/>
                        <w:bottom w:val="none" w:sz="0" w:space="0" w:color="auto"/>
                        <w:right w:val="none" w:sz="0" w:space="0" w:color="auto"/>
                      </w:divBdr>
                    </w:div>
                  </w:divsChild>
                </w:div>
                <w:div w:id="529614056">
                  <w:marLeft w:val="0"/>
                  <w:marRight w:val="0"/>
                  <w:marTop w:val="0"/>
                  <w:marBottom w:val="0"/>
                  <w:divBdr>
                    <w:top w:val="none" w:sz="0" w:space="0" w:color="auto"/>
                    <w:left w:val="none" w:sz="0" w:space="0" w:color="auto"/>
                    <w:bottom w:val="none" w:sz="0" w:space="0" w:color="auto"/>
                    <w:right w:val="none" w:sz="0" w:space="0" w:color="auto"/>
                  </w:divBdr>
                  <w:divsChild>
                    <w:div w:id="390346983">
                      <w:marLeft w:val="0"/>
                      <w:marRight w:val="0"/>
                      <w:marTop w:val="0"/>
                      <w:marBottom w:val="0"/>
                      <w:divBdr>
                        <w:top w:val="none" w:sz="0" w:space="0" w:color="auto"/>
                        <w:left w:val="none" w:sz="0" w:space="0" w:color="auto"/>
                        <w:bottom w:val="none" w:sz="0" w:space="0" w:color="auto"/>
                        <w:right w:val="none" w:sz="0" w:space="0" w:color="auto"/>
                      </w:divBdr>
                    </w:div>
                  </w:divsChild>
                </w:div>
                <w:div w:id="546995572">
                  <w:marLeft w:val="0"/>
                  <w:marRight w:val="0"/>
                  <w:marTop w:val="0"/>
                  <w:marBottom w:val="0"/>
                  <w:divBdr>
                    <w:top w:val="none" w:sz="0" w:space="0" w:color="auto"/>
                    <w:left w:val="none" w:sz="0" w:space="0" w:color="auto"/>
                    <w:bottom w:val="none" w:sz="0" w:space="0" w:color="auto"/>
                    <w:right w:val="none" w:sz="0" w:space="0" w:color="auto"/>
                  </w:divBdr>
                  <w:divsChild>
                    <w:div w:id="204568612">
                      <w:marLeft w:val="0"/>
                      <w:marRight w:val="0"/>
                      <w:marTop w:val="0"/>
                      <w:marBottom w:val="0"/>
                      <w:divBdr>
                        <w:top w:val="none" w:sz="0" w:space="0" w:color="auto"/>
                        <w:left w:val="none" w:sz="0" w:space="0" w:color="auto"/>
                        <w:bottom w:val="none" w:sz="0" w:space="0" w:color="auto"/>
                        <w:right w:val="none" w:sz="0" w:space="0" w:color="auto"/>
                      </w:divBdr>
                    </w:div>
                  </w:divsChild>
                </w:div>
                <w:div w:id="547449756">
                  <w:marLeft w:val="0"/>
                  <w:marRight w:val="0"/>
                  <w:marTop w:val="0"/>
                  <w:marBottom w:val="0"/>
                  <w:divBdr>
                    <w:top w:val="none" w:sz="0" w:space="0" w:color="auto"/>
                    <w:left w:val="none" w:sz="0" w:space="0" w:color="auto"/>
                    <w:bottom w:val="none" w:sz="0" w:space="0" w:color="auto"/>
                    <w:right w:val="none" w:sz="0" w:space="0" w:color="auto"/>
                  </w:divBdr>
                  <w:divsChild>
                    <w:div w:id="350255790">
                      <w:marLeft w:val="0"/>
                      <w:marRight w:val="0"/>
                      <w:marTop w:val="0"/>
                      <w:marBottom w:val="0"/>
                      <w:divBdr>
                        <w:top w:val="none" w:sz="0" w:space="0" w:color="auto"/>
                        <w:left w:val="none" w:sz="0" w:space="0" w:color="auto"/>
                        <w:bottom w:val="none" w:sz="0" w:space="0" w:color="auto"/>
                        <w:right w:val="none" w:sz="0" w:space="0" w:color="auto"/>
                      </w:divBdr>
                    </w:div>
                  </w:divsChild>
                </w:div>
                <w:div w:id="551036427">
                  <w:marLeft w:val="0"/>
                  <w:marRight w:val="0"/>
                  <w:marTop w:val="0"/>
                  <w:marBottom w:val="0"/>
                  <w:divBdr>
                    <w:top w:val="none" w:sz="0" w:space="0" w:color="auto"/>
                    <w:left w:val="none" w:sz="0" w:space="0" w:color="auto"/>
                    <w:bottom w:val="none" w:sz="0" w:space="0" w:color="auto"/>
                    <w:right w:val="none" w:sz="0" w:space="0" w:color="auto"/>
                  </w:divBdr>
                  <w:divsChild>
                    <w:div w:id="375476043">
                      <w:marLeft w:val="0"/>
                      <w:marRight w:val="0"/>
                      <w:marTop w:val="0"/>
                      <w:marBottom w:val="0"/>
                      <w:divBdr>
                        <w:top w:val="none" w:sz="0" w:space="0" w:color="auto"/>
                        <w:left w:val="none" w:sz="0" w:space="0" w:color="auto"/>
                        <w:bottom w:val="none" w:sz="0" w:space="0" w:color="auto"/>
                        <w:right w:val="none" w:sz="0" w:space="0" w:color="auto"/>
                      </w:divBdr>
                    </w:div>
                  </w:divsChild>
                </w:div>
                <w:div w:id="551697694">
                  <w:marLeft w:val="0"/>
                  <w:marRight w:val="0"/>
                  <w:marTop w:val="0"/>
                  <w:marBottom w:val="0"/>
                  <w:divBdr>
                    <w:top w:val="none" w:sz="0" w:space="0" w:color="auto"/>
                    <w:left w:val="none" w:sz="0" w:space="0" w:color="auto"/>
                    <w:bottom w:val="none" w:sz="0" w:space="0" w:color="auto"/>
                    <w:right w:val="none" w:sz="0" w:space="0" w:color="auto"/>
                  </w:divBdr>
                  <w:divsChild>
                    <w:div w:id="1916165527">
                      <w:marLeft w:val="0"/>
                      <w:marRight w:val="0"/>
                      <w:marTop w:val="0"/>
                      <w:marBottom w:val="0"/>
                      <w:divBdr>
                        <w:top w:val="none" w:sz="0" w:space="0" w:color="auto"/>
                        <w:left w:val="none" w:sz="0" w:space="0" w:color="auto"/>
                        <w:bottom w:val="none" w:sz="0" w:space="0" w:color="auto"/>
                        <w:right w:val="none" w:sz="0" w:space="0" w:color="auto"/>
                      </w:divBdr>
                    </w:div>
                  </w:divsChild>
                </w:div>
                <w:div w:id="553810936">
                  <w:marLeft w:val="0"/>
                  <w:marRight w:val="0"/>
                  <w:marTop w:val="0"/>
                  <w:marBottom w:val="0"/>
                  <w:divBdr>
                    <w:top w:val="none" w:sz="0" w:space="0" w:color="auto"/>
                    <w:left w:val="none" w:sz="0" w:space="0" w:color="auto"/>
                    <w:bottom w:val="none" w:sz="0" w:space="0" w:color="auto"/>
                    <w:right w:val="none" w:sz="0" w:space="0" w:color="auto"/>
                  </w:divBdr>
                  <w:divsChild>
                    <w:div w:id="100419676">
                      <w:marLeft w:val="0"/>
                      <w:marRight w:val="0"/>
                      <w:marTop w:val="0"/>
                      <w:marBottom w:val="0"/>
                      <w:divBdr>
                        <w:top w:val="none" w:sz="0" w:space="0" w:color="auto"/>
                        <w:left w:val="none" w:sz="0" w:space="0" w:color="auto"/>
                        <w:bottom w:val="none" w:sz="0" w:space="0" w:color="auto"/>
                        <w:right w:val="none" w:sz="0" w:space="0" w:color="auto"/>
                      </w:divBdr>
                    </w:div>
                  </w:divsChild>
                </w:div>
                <w:div w:id="553926239">
                  <w:marLeft w:val="0"/>
                  <w:marRight w:val="0"/>
                  <w:marTop w:val="0"/>
                  <w:marBottom w:val="0"/>
                  <w:divBdr>
                    <w:top w:val="none" w:sz="0" w:space="0" w:color="auto"/>
                    <w:left w:val="none" w:sz="0" w:space="0" w:color="auto"/>
                    <w:bottom w:val="none" w:sz="0" w:space="0" w:color="auto"/>
                    <w:right w:val="none" w:sz="0" w:space="0" w:color="auto"/>
                  </w:divBdr>
                  <w:divsChild>
                    <w:div w:id="1962881972">
                      <w:marLeft w:val="0"/>
                      <w:marRight w:val="0"/>
                      <w:marTop w:val="0"/>
                      <w:marBottom w:val="0"/>
                      <w:divBdr>
                        <w:top w:val="none" w:sz="0" w:space="0" w:color="auto"/>
                        <w:left w:val="none" w:sz="0" w:space="0" w:color="auto"/>
                        <w:bottom w:val="none" w:sz="0" w:space="0" w:color="auto"/>
                        <w:right w:val="none" w:sz="0" w:space="0" w:color="auto"/>
                      </w:divBdr>
                    </w:div>
                  </w:divsChild>
                </w:div>
                <w:div w:id="555363614">
                  <w:marLeft w:val="0"/>
                  <w:marRight w:val="0"/>
                  <w:marTop w:val="0"/>
                  <w:marBottom w:val="0"/>
                  <w:divBdr>
                    <w:top w:val="none" w:sz="0" w:space="0" w:color="auto"/>
                    <w:left w:val="none" w:sz="0" w:space="0" w:color="auto"/>
                    <w:bottom w:val="none" w:sz="0" w:space="0" w:color="auto"/>
                    <w:right w:val="none" w:sz="0" w:space="0" w:color="auto"/>
                  </w:divBdr>
                  <w:divsChild>
                    <w:div w:id="1596817031">
                      <w:marLeft w:val="0"/>
                      <w:marRight w:val="0"/>
                      <w:marTop w:val="0"/>
                      <w:marBottom w:val="0"/>
                      <w:divBdr>
                        <w:top w:val="none" w:sz="0" w:space="0" w:color="auto"/>
                        <w:left w:val="none" w:sz="0" w:space="0" w:color="auto"/>
                        <w:bottom w:val="none" w:sz="0" w:space="0" w:color="auto"/>
                        <w:right w:val="none" w:sz="0" w:space="0" w:color="auto"/>
                      </w:divBdr>
                    </w:div>
                  </w:divsChild>
                </w:div>
                <w:div w:id="564728430">
                  <w:marLeft w:val="0"/>
                  <w:marRight w:val="0"/>
                  <w:marTop w:val="0"/>
                  <w:marBottom w:val="0"/>
                  <w:divBdr>
                    <w:top w:val="none" w:sz="0" w:space="0" w:color="auto"/>
                    <w:left w:val="none" w:sz="0" w:space="0" w:color="auto"/>
                    <w:bottom w:val="none" w:sz="0" w:space="0" w:color="auto"/>
                    <w:right w:val="none" w:sz="0" w:space="0" w:color="auto"/>
                  </w:divBdr>
                  <w:divsChild>
                    <w:div w:id="388454323">
                      <w:marLeft w:val="0"/>
                      <w:marRight w:val="0"/>
                      <w:marTop w:val="0"/>
                      <w:marBottom w:val="0"/>
                      <w:divBdr>
                        <w:top w:val="none" w:sz="0" w:space="0" w:color="auto"/>
                        <w:left w:val="none" w:sz="0" w:space="0" w:color="auto"/>
                        <w:bottom w:val="none" w:sz="0" w:space="0" w:color="auto"/>
                        <w:right w:val="none" w:sz="0" w:space="0" w:color="auto"/>
                      </w:divBdr>
                    </w:div>
                  </w:divsChild>
                </w:div>
                <w:div w:id="569655628">
                  <w:marLeft w:val="0"/>
                  <w:marRight w:val="0"/>
                  <w:marTop w:val="0"/>
                  <w:marBottom w:val="0"/>
                  <w:divBdr>
                    <w:top w:val="none" w:sz="0" w:space="0" w:color="auto"/>
                    <w:left w:val="none" w:sz="0" w:space="0" w:color="auto"/>
                    <w:bottom w:val="none" w:sz="0" w:space="0" w:color="auto"/>
                    <w:right w:val="none" w:sz="0" w:space="0" w:color="auto"/>
                  </w:divBdr>
                  <w:divsChild>
                    <w:div w:id="1862892794">
                      <w:marLeft w:val="0"/>
                      <w:marRight w:val="0"/>
                      <w:marTop w:val="0"/>
                      <w:marBottom w:val="0"/>
                      <w:divBdr>
                        <w:top w:val="none" w:sz="0" w:space="0" w:color="auto"/>
                        <w:left w:val="none" w:sz="0" w:space="0" w:color="auto"/>
                        <w:bottom w:val="none" w:sz="0" w:space="0" w:color="auto"/>
                        <w:right w:val="none" w:sz="0" w:space="0" w:color="auto"/>
                      </w:divBdr>
                    </w:div>
                  </w:divsChild>
                </w:div>
                <w:div w:id="570890277">
                  <w:marLeft w:val="0"/>
                  <w:marRight w:val="0"/>
                  <w:marTop w:val="0"/>
                  <w:marBottom w:val="0"/>
                  <w:divBdr>
                    <w:top w:val="none" w:sz="0" w:space="0" w:color="auto"/>
                    <w:left w:val="none" w:sz="0" w:space="0" w:color="auto"/>
                    <w:bottom w:val="none" w:sz="0" w:space="0" w:color="auto"/>
                    <w:right w:val="none" w:sz="0" w:space="0" w:color="auto"/>
                  </w:divBdr>
                  <w:divsChild>
                    <w:div w:id="1312295901">
                      <w:marLeft w:val="0"/>
                      <w:marRight w:val="0"/>
                      <w:marTop w:val="0"/>
                      <w:marBottom w:val="0"/>
                      <w:divBdr>
                        <w:top w:val="none" w:sz="0" w:space="0" w:color="auto"/>
                        <w:left w:val="none" w:sz="0" w:space="0" w:color="auto"/>
                        <w:bottom w:val="none" w:sz="0" w:space="0" w:color="auto"/>
                        <w:right w:val="none" w:sz="0" w:space="0" w:color="auto"/>
                      </w:divBdr>
                    </w:div>
                  </w:divsChild>
                </w:div>
                <w:div w:id="572085282">
                  <w:marLeft w:val="0"/>
                  <w:marRight w:val="0"/>
                  <w:marTop w:val="0"/>
                  <w:marBottom w:val="0"/>
                  <w:divBdr>
                    <w:top w:val="none" w:sz="0" w:space="0" w:color="auto"/>
                    <w:left w:val="none" w:sz="0" w:space="0" w:color="auto"/>
                    <w:bottom w:val="none" w:sz="0" w:space="0" w:color="auto"/>
                    <w:right w:val="none" w:sz="0" w:space="0" w:color="auto"/>
                  </w:divBdr>
                  <w:divsChild>
                    <w:div w:id="636036103">
                      <w:marLeft w:val="0"/>
                      <w:marRight w:val="0"/>
                      <w:marTop w:val="0"/>
                      <w:marBottom w:val="0"/>
                      <w:divBdr>
                        <w:top w:val="none" w:sz="0" w:space="0" w:color="auto"/>
                        <w:left w:val="none" w:sz="0" w:space="0" w:color="auto"/>
                        <w:bottom w:val="none" w:sz="0" w:space="0" w:color="auto"/>
                        <w:right w:val="none" w:sz="0" w:space="0" w:color="auto"/>
                      </w:divBdr>
                    </w:div>
                  </w:divsChild>
                </w:div>
                <w:div w:id="581109660">
                  <w:marLeft w:val="0"/>
                  <w:marRight w:val="0"/>
                  <w:marTop w:val="0"/>
                  <w:marBottom w:val="0"/>
                  <w:divBdr>
                    <w:top w:val="none" w:sz="0" w:space="0" w:color="auto"/>
                    <w:left w:val="none" w:sz="0" w:space="0" w:color="auto"/>
                    <w:bottom w:val="none" w:sz="0" w:space="0" w:color="auto"/>
                    <w:right w:val="none" w:sz="0" w:space="0" w:color="auto"/>
                  </w:divBdr>
                  <w:divsChild>
                    <w:div w:id="1398015087">
                      <w:marLeft w:val="0"/>
                      <w:marRight w:val="0"/>
                      <w:marTop w:val="0"/>
                      <w:marBottom w:val="0"/>
                      <w:divBdr>
                        <w:top w:val="none" w:sz="0" w:space="0" w:color="auto"/>
                        <w:left w:val="none" w:sz="0" w:space="0" w:color="auto"/>
                        <w:bottom w:val="none" w:sz="0" w:space="0" w:color="auto"/>
                        <w:right w:val="none" w:sz="0" w:space="0" w:color="auto"/>
                      </w:divBdr>
                    </w:div>
                  </w:divsChild>
                </w:div>
                <w:div w:id="582490260">
                  <w:marLeft w:val="0"/>
                  <w:marRight w:val="0"/>
                  <w:marTop w:val="0"/>
                  <w:marBottom w:val="0"/>
                  <w:divBdr>
                    <w:top w:val="none" w:sz="0" w:space="0" w:color="auto"/>
                    <w:left w:val="none" w:sz="0" w:space="0" w:color="auto"/>
                    <w:bottom w:val="none" w:sz="0" w:space="0" w:color="auto"/>
                    <w:right w:val="none" w:sz="0" w:space="0" w:color="auto"/>
                  </w:divBdr>
                  <w:divsChild>
                    <w:div w:id="2022929110">
                      <w:marLeft w:val="0"/>
                      <w:marRight w:val="0"/>
                      <w:marTop w:val="0"/>
                      <w:marBottom w:val="0"/>
                      <w:divBdr>
                        <w:top w:val="none" w:sz="0" w:space="0" w:color="auto"/>
                        <w:left w:val="none" w:sz="0" w:space="0" w:color="auto"/>
                        <w:bottom w:val="none" w:sz="0" w:space="0" w:color="auto"/>
                        <w:right w:val="none" w:sz="0" w:space="0" w:color="auto"/>
                      </w:divBdr>
                    </w:div>
                  </w:divsChild>
                </w:div>
                <w:div w:id="594635393">
                  <w:marLeft w:val="0"/>
                  <w:marRight w:val="0"/>
                  <w:marTop w:val="0"/>
                  <w:marBottom w:val="0"/>
                  <w:divBdr>
                    <w:top w:val="none" w:sz="0" w:space="0" w:color="auto"/>
                    <w:left w:val="none" w:sz="0" w:space="0" w:color="auto"/>
                    <w:bottom w:val="none" w:sz="0" w:space="0" w:color="auto"/>
                    <w:right w:val="none" w:sz="0" w:space="0" w:color="auto"/>
                  </w:divBdr>
                  <w:divsChild>
                    <w:div w:id="1121806060">
                      <w:marLeft w:val="0"/>
                      <w:marRight w:val="0"/>
                      <w:marTop w:val="0"/>
                      <w:marBottom w:val="0"/>
                      <w:divBdr>
                        <w:top w:val="none" w:sz="0" w:space="0" w:color="auto"/>
                        <w:left w:val="none" w:sz="0" w:space="0" w:color="auto"/>
                        <w:bottom w:val="none" w:sz="0" w:space="0" w:color="auto"/>
                        <w:right w:val="none" w:sz="0" w:space="0" w:color="auto"/>
                      </w:divBdr>
                    </w:div>
                  </w:divsChild>
                </w:div>
                <w:div w:id="617418743">
                  <w:marLeft w:val="0"/>
                  <w:marRight w:val="0"/>
                  <w:marTop w:val="0"/>
                  <w:marBottom w:val="0"/>
                  <w:divBdr>
                    <w:top w:val="none" w:sz="0" w:space="0" w:color="auto"/>
                    <w:left w:val="none" w:sz="0" w:space="0" w:color="auto"/>
                    <w:bottom w:val="none" w:sz="0" w:space="0" w:color="auto"/>
                    <w:right w:val="none" w:sz="0" w:space="0" w:color="auto"/>
                  </w:divBdr>
                  <w:divsChild>
                    <w:div w:id="258107237">
                      <w:marLeft w:val="0"/>
                      <w:marRight w:val="0"/>
                      <w:marTop w:val="0"/>
                      <w:marBottom w:val="0"/>
                      <w:divBdr>
                        <w:top w:val="none" w:sz="0" w:space="0" w:color="auto"/>
                        <w:left w:val="none" w:sz="0" w:space="0" w:color="auto"/>
                        <w:bottom w:val="none" w:sz="0" w:space="0" w:color="auto"/>
                        <w:right w:val="none" w:sz="0" w:space="0" w:color="auto"/>
                      </w:divBdr>
                    </w:div>
                  </w:divsChild>
                </w:div>
                <w:div w:id="617487483">
                  <w:marLeft w:val="0"/>
                  <w:marRight w:val="0"/>
                  <w:marTop w:val="0"/>
                  <w:marBottom w:val="0"/>
                  <w:divBdr>
                    <w:top w:val="none" w:sz="0" w:space="0" w:color="auto"/>
                    <w:left w:val="none" w:sz="0" w:space="0" w:color="auto"/>
                    <w:bottom w:val="none" w:sz="0" w:space="0" w:color="auto"/>
                    <w:right w:val="none" w:sz="0" w:space="0" w:color="auto"/>
                  </w:divBdr>
                  <w:divsChild>
                    <w:div w:id="2079131639">
                      <w:marLeft w:val="0"/>
                      <w:marRight w:val="0"/>
                      <w:marTop w:val="0"/>
                      <w:marBottom w:val="0"/>
                      <w:divBdr>
                        <w:top w:val="none" w:sz="0" w:space="0" w:color="auto"/>
                        <w:left w:val="none" w:sz="0" w:space="0" w:color="auto"/>
                        <w:bottom w:val="none" w:sz="0" w:space="0" w:color="auto"/>
                        <w:right w:val="none" w:sz="0" w:space="0" w:color="auto"/>
                      </w:divBdr>
                    </w:div>
                  </w:divsChild>
                </w:div>
                <w:div w:id="621689992">
                  <w:marLeft w:val="0"/>
                  <w:marRight w:val="0"/>
                  <w:marTop w:val="0"/>
                  <w:marBottom w:val="0"/>
                  <w:divBdr>
                    <w:top w:val="none" w:sz="0" w:space="0" w:color="auto"/>
                    <w:left w:val="none" w:sz="0" w:space="0" w:color="auto"/>
                    <w:bottom w:val="none" w:sz="0" w:space="0" w:color="auto"/>
                    <w:right w:val="none" w:sz="0" w:space="0" w:color="auto"/>
                  </w:divBdr>
                  <w:divsChild>
                    <w:div w:id="1374765208">
                      <w:marLeft w:val="0"/>
                      <w:marRight w:val="0"/>
                      <w:marTop w:val="0"/>
                      <w:marBottom w:val="0"/>
                      <w:divBdr>
                        <w:top w:val="none" w:sz="0" w:space="0" w:color="auto"/>
                        <w:left w:val="none" w:sz="0" w:space="0" w:color="auto"/>
                        <w:bottom w:val="none" w:sz="0" w:space="0" w:color="auto"/>
                        <w:right w:val="none" w:sz="0" w:space="0" w:color="auto"/>
                      </w:divBdr>
                    </w:div>
                  </w:divsChild>
                </w:div>
                <w:div w:id="636029367">
                  <w:marLeft w:val="0"/>
                  <w:marRight w:val="0"/>
                  <w:marTop w:val="0"/>
                  <w:marBottom w:val="0"/>
                  <w:divBdr>
                    <w:top w:val="none" w:sz="0" w:space="0" w:color="auto"/>
                    <w:left w:val="none" w:sz="0" w:space="0" w:color="auto"/>
                    <w:bottom w:val="none" w:sz="0" w:space="0" w:color="auto"/>
                    <w:right w:val="none" w:sz="0" w:space="0" w:color="auto"/>
                  </w:divBdr>
                  <w:divsChild>
                    <w:div w:id="1797874265">
                      <w:marLeft w:val="0"/>
                      <w:marRight w:val="0"/>
                      <w:marTop w:val="0"/>
                      <w:marBottom w:val="0"/>
                      <w:divBdr>
                        <w:top w:val="none" w:sz="0" w:space="0" w:color="auto"/>
                        <w:left w:val="none" w:sz="0" w:space="0" w:color="auto"/>
                        <w:bottom w:val="none" w:sz="0" w:space="0" w:color="auto"/>
                        <w:right w:val="none" w:sz="0" w:space="0" w:color="auto"/>
                      </w:divBdr>
                    </w:div>
                  </w:divsChild>
                </w:div>
                <w:div w:id="657656268">
                  <w:marLeft w:val="0"/>
                  <w:marRight w:val="0"/>
                  <w:marTop w:val="0"/>
                  <w:marBottom w:val="0"/>
                  <w:divBdr>
                    <w:top w:val="none" w:sz="0" w:space="0" w:color="auto"/>
                    <w:left w:val="none" w:sz="0" w:space="0" w:color="auto"/>
                    <w:bottom w:val="none" w:sz="0" w:space="0" w:color="auto"/>
                    <w:right w:val="none" w:sz="0" w:space="0" w:color="auto"/>
                  </w:divBdr>
                  <w:divsChild>
                    <w:div w:id="264577841">
                      <w:marLeft w:val="0"/>
                      <w:marRight w:val="0"/>
                      <w:marTop w:val="0"/>
                      <w:marBottom w:val="0"/>
                      <w:divBdr>
                        <w:top w:val="none" w:sz="0" w:space="0" w:color="auto"/>
                        <w:left w:val="none" w:sz="0" w:space="0" w:color="auto"/>
                        <w:bottom w:val="none" w:sz="0" w:space="0" w:color="auto"/>
                        <w:right w:val="none" w:sz="0" w:space="0" w:color="auto"/>
                      </w:divBdr>
                    </w:div>
                  </w:divsChild>
                </w:div>
                <w:div w:id="660238162">
                  <w:marLeft w:val="0"/>
                  <w:marRight w:val="0"/>
                  <w:marTop w:val="0"/>
                  <w:marBottom w:val="0"/>
                  <w:divBdr>
                    <w:top w:val="none" w:sz="0" w:space="0" w:color="auto"/>
                    <w:left w:val="none" w:sz="0" w:space="0" w:color="auto"/>
                    <w:bottom w:val="none" w:sz="0" w:space="0" w:color="auto"/>
                    <w:right w:val="none" w:sz="0" w:space="0" w:color="auto"/>
                  </w:divBdr>
                  <w:divsChild>
                    <w:div w:id="1070036891">
                      <w:marLeft w:val="0"/>
                      <w:marRight w:val="0"/>
                      <w:marTop w:val="0"/>
                      <w:marBottom w:val="0"/>
                      <w:divBdr>
                        <w:top w:val="none" w:sz="0" w:space="0" w:color="auto"/>
                        <w:left w:val="none" w:sz="0" w:space="0" w:color="auto"/>
                        <w:bottom w:val="none" w:sz="0" w:space="0" w:color="auto"/>
                        <w:right w:val="none" w:sz="0" w:space="0" w:color="auto"/>
                      </w:divBdr>
                    </w:div>
                  </w:divsChild>
                </w:div>
                <w:div w:id="661204990">
                  <w:marLeft w:val="0"/>
                  <w:marRight w:val="0"/>
                  <w:marTop w:val="0"/>
                  <w:marBottom w:val="0"/>
                  <w:divBdr>
                    <w:top w:val="none" w:sz="0" w:space="0" w:color="auto"/>
                    <w:left w:val="none" w:sz="0" w:space="0" w:color="auto"/>
                    <w:bottom w:val="none" w:sz="0" w:space="0" w:color="auto"/>
                    <w:right w:val="none" w:sz="0" w:space="0" w:color="auto"/>
                  </w:divBdr>
                  <w:divsChild>
                    <w:div w:id="968583189">
                      <w:marLeft w:val="0"/>
                      <w:marRight w:val="0"/>
                      <w:marTop w:val="0"/>
                      <w:marBottom w:val="0"/>
                      <w:divBdr>
                        <w:top w:val="none" w:sz="0" w:space="0" w:color="auto"/>
                        <w:left w:val="none" w:sz="0" w:space="0" w:color="auto"/>
                        <w:bottom w:val="none" w:sz="0" w:space="0" w:color="auto"/>
                        <w:right w:val="none" w:sz="0" w:space="0" w:color="auto"/>
                      </w:divBdr>
                    </w:div>
                  </w:divsChild>
                </w:div>
                <w:div w:id="662777618">
                  <w:marLeft w:val="0"/>
                  <w:marRight w:val="0"/>
                  <w:marTop w:val="0"/>
                  <w:marBottom w:val="0"/>
                  <w:divBdr>
                    <w:top w:val="none" w:sz="0" w:space="0" w:color="auto"/>
                    <w:left w:val="none" w:sz="0" w:space="0" w:color="auto"/>
                    <w:bottom w:val="none" w:sz="0" w:space="0" w:color="auto"/>
                    <w:right w:val="none" w:sz="0" w:space="0" w:color="auto"/>
                  </w:divBdr>
                  <w:divsChild>
                    <w:div w:id="955213732">
                      <w:marLeft w:val="0"/>
                      <w:marRight w:val="0"/>
                      <w:marTop w:val="0"/>
                      <w:marBottom w:val="0"/>
                      <w:divBdr>
                        <w:top w:val="none" w:sz="0" w:space="0" w:color="auto"/>
                        <w:left w:val="none" w:sz="0" w:space="0" w:color="auto"/>
                        <w:bottom w:val="none" w:sz="0" w:space="0" w:color="auto"/>
                        <w:right w:val="none" w:sz="0" w:space="0" w:color="auto"/>
                      </w:divBdr>
                    </w:div>
                  </w:divsChild>
                </w:div>
                <w:div w:id="669144598">
                  <w:marLeft w:val="0"/>
                  <w:marRight w:val="0"/>
                  <w:marTop w:val="0"/>
                  <w:marBottom w:val="0"/>
                  <w:divBdr>
                    <w:top w:val="none" w:sz="0" w:space="0" w:color="auto"/>
                    <w:left w:val="none" w:sz="0" w:space="0" w:color="auto"/>
                    <w:bottom w:val="none" w:sz="0" w:space="0" w:color="auto"/>
                    <w:right w:val="none" w:sz="0" w:space="0" w:color="auto"/>
                  </w:divBdr>
                  <w:divsChild>
                    <w:div w:id="870916920">
                      <w:marLeft w:val="0"/>
                      <w:marRight w:val="0"/>
                      <w:marTop w:val="0"/>
                      <w:marBottom w:val="0"/>
                      <w:divBdr>
                        <w:top w:val="none" w:sz="0" w:space="0" w:color="auto"/>
                        <w:left w:val="none" w:sz="0" w:space="0" w:color="auto"/>
                        <w:bottom w:val="none" w:sz="0" w:space="0" w:color="auto"/>
                        <w:right w:val="none" w:sz="0" w:space="0" w:color="auto"/>
                      </w:divBdr>
                    </w:div>
                  </w:divsChild>
                </w:div>
                <w:div w:id="669866356">
                  <w:marLeft w:val="0"/>
                  <w:marRight w:val="0"/>
                  <w:marTop w:val="0"/>
                  <w:marBottom w:val="0"/>
                  <w:divBdr>
                    <w:top w:val="none" w:sz="0" w:space="0" w:color="auto"/>
                    <w:left w:val="none" w:sz="0" w:space="0" w:color="auto"/>
                    <w:bottom w:val="none" w:sz="0" w:space="0" w:color="auto"/>
                    <w:right w:val="none" w:sz="0" w:space="0" w:color="auto"/>
                  </w:divBdr>
                  <w:divsChild>
                    <w:div w:id="1096946817">
                      <w:marLeft w:val="0"/>
                      <w:marRight w:val="0"/>
                      <w:marTop w:val="0"/>
                      <w:marBottom w:val="0"/>
                      <w:divBdr>
                        <w:top w:val="none" w:sz="0" w:space="0" w:color="auto"/>
                        <w:left w:val="none" w:sz="0" w:space="0" w:color="auto"/>
                        <w:bottom w:val="none" w:sz="0" w:space="0" w:color="auto"/>
                        <w:right w:val="none" w:sz="0" w:space="0" w:color="auto"/>
                      </w:divBdr>
                    </w:div>
                  </w:divsChild>
                </w:div>
                <w:div w:id="674693205">
                  <w:marLeft w:val="0"/>
                  <w:marRight w:val="0"/>
                  <w:marTop w:val="0"/>
                  <w:marBottom w:val="0"/>
                  <w:divBdr>
                    <w:top w:val="none" w:sz="0" w:space="0" w:color="auto"/>
                    <w:left w:val="none" w:sz="0" w:space="0" w:color="auto"/>
                    <w:bottom w:val="none" w:sz="0" w:space="0" w:color="auto"/>
                    <w:right w:val="none" w:sz="0" w:space="0" w:color="auto"/>
                  </w:divBdr>
                  <w:divsChild>
                    <w:div w:id="1812088775">
                      <w:marLeft w:val="0"/>
                      <w:marRight w:val="0"/>
                      <w:marTop w:val="0"/>
                      <w:marBottom w:val="0"/>
                      <w:divBdr>
                        <w:top w:val="none" w:sz="0" w:space="0" w:color="auto"/>
                        <w:left w:val="none" w:sz="0" w:space="0" w:color="auto"/>
                        <w:bottom w:val="none" w:sz="0" w:space="0" w:color="auto"/>
                        <w:right w:val="none" w:sz="0" w:space="0" w:color="auto"/>
                      </w:divBdr>
                    </w:div>
                  </w:divsChild>
                </w:div>
                <w:div w:id="684018015">
                  <w:marLeft w:val="0"/>
                  <w:marRight w:val="0"/>
                  <w:marTop w:val="0"/>
                  <w:marBottom w:val="0"/>
                  <w:divBdr>
                    <w:top w:val="none" w:sz="0" w:space="0" w:color="auto"/>
                    <w:left w:val="none" w:sz="0" w:space="0" w:color="auto"/>
                    <w:bottom w:val="none" w:sz="0" w:space="0" w:color="auto"/>
                    <w:right w:val="none" w:sz="0" w:space="0" w:color="auto"/>
                  </w:divBdr>
                  <w:divsChild>
                    <w:div w:id="1436561272">
                      <w:marLeft w:val="0"/>
                      <w:marRight w:val="0"/>
                      <w:marTop w:val="0"/>
                      <w:marBottom w:val="0"/>
                      <w:divBdr>
                        <w:top w:val="none" w:sz="0" w:space="0" w:color="auto"/>
                        <w:left w:val="none" w:sz="0" w:space="0" w:color="auto"/>
                        <w:bottom w:val="none" w:sz="0" w:space="0" w:color="auto"/>
                        <w:right w:val="none" w:sz="0" w:space="0" w:color="auto"/>
                      </w:divBdr>
                    </w:div>
                  </w:divsChild>
                </w:div>
                <w:div w:id="687219552">
                  <w:marLeft w:val="0"/>
                  <w:marRight w:val="0"/>
                  <w:marTop w:val="0"/>
                  <w:marBottom w:val="0"/>
                  <w:divBdr>
                    <w:top w:val="none" w:sz="0" w:space="0" w:color="auto"/>
                    <w:left w:val="none" w:sz="0" w:space="0" w:color="auto"/>
                    <w:bottom w:val="none" w:sz="0" w:space="0" w:color="auto"/>
                    <w:right w:val="none" w:sz="0" w:space="0" w:color="auto"/>
                  </w:divBdr>
                  <w:divsChild>
                    <w:div w:id="1348826885">
                      <w:marLeft w:val="0"/>
                      <w:marRight w:val="0"/>
                      <w:marTop w:val="0"/>
                      <w:marBottom w:val="0"/>
                      <w:divBdr>
                        <w:top w:val="none" w:sz="0" w:space="0" w:color="auto"/>
                        <w:left w:val="none" w:sz="0" w:space="0" w:color="auto"/>
                        <w:bottom w:val="none" w:sz="0" w:space="0" w:color="auto"/>
                        <w:right w:val="none" w:sz="0" w:space="0" w:color="auto"/>
                      </w:divBdr>
                    </w:div>
                  </w:divsChild>
                </w:div>
                <w:div w:id="691615164">
                  <w:marLeft w:val="0"/>
                  <w:marRight w:val="0"/>
                  <w:marTop w:val="0"/>
                  <w:marBottom w:val="0"/>
                  <w:divBdr>
                    <w:top w:val="none" w:sz="0" w:space="0" w:color="auto"/>
                    <w:left w:val="none" w:sz="0" w:space="0" w:color="auto"/>
                    <w:bottom w:val="none" w:sz="0" w:space="0" w:color="auto"/>
                    <w:right w:val="none" w:sz="0" w:space="0" w:color="auto"/>
                  </w:divBdr>
                  <w:divsChild>
                    <w:div w:id="2132699474">
                      <w:marLeft w:val="0"/>
                      <w:marRight w:val="0"/>
                      <w:marTop w:val="0"/>
                      <w:marBottom w:val="0"/>
                      <w:divBdr>
                        <w:top w:val="none" w:sz="0" w:space="0" w:color="auto"/>
                        <w:left w:val="none" w:sz="0" w:space="0" w:color="auto"/>
                        <w:bottom w:val="none" w:sz="0" w:space="0" w:color="auto"/>
                        <w:right w:val="none" w:sz="0" w:space="0" w:color="auto"/>
                      </w:divBdr>
                    </w:div>
                  </w:divsChild>
                </w:div>
                <w:div w:id="700130821">
                  <w:marLeft w:val="0"/>
                  <w:marRight w:val="0"/>
                  <w:marTop w:val="0"/>
                  <w:marBottom w:val="0"/>
                  <w:divBdr>
                    <w:top w:val="none" w:sz="0" w:space="0" w:color="auto"/>
                    <w:left w:val="none" w:sz="0" w:space="0" w:color="auto"/>
                    <w:bottom w:val="none" w:sz="0" w:space="0" w:color="auto"/>
                    <w:right w:val="none" w:sz="0" w:space="0" w:color="auto"/>
                  </w:divBdr>
                  <w:divsChild>
                    <w:div w:id="1577671050">
                      <w:marLeft w:val="0"/>
                      <w:marRight w:val="0"/>
                      <w:marTop w:val="0"/>
                      <w:marBottom w:val="0"/>
                      <w:divBdr>
                        <w:top w:val="none" w:sz="0" w:space="0" w:color="auto"/>
                        <w:left w:val="none" w:sz="0" w:space="0" w:color="auto"/>
                        <w:bottom w:val="none" w:sz="0" w:space="0" w:color="auto"/>
                        <w:right w:val="none" w:sz="0" w:space="0" w:color="auto"/>
                      </w:divBdr>
                    </w:div>
                  </w:divsChild>
                </w:div>
                <w:div w:id="703939991">
                  <w:marLeft w:val="0"/>
                  <w:marRight w:val="0"/>
                  <w:marTop w:val="0"/>
                  <w:marBottom w:val="0"/>
                  <w:divBdr>
                    <w:top w:val="none" w:sz="0" w:space="0" w:color="auto"/>
                    <w:left w:val="none" w:sz="0" w:space="0" w:color="auto"/>
                    <w:bottom w:val="none" w:sz="0" w:space="0" w:color="auto"/>
                    <w:right w:val="none" w:sz="0" w:space="0" w:color="auto"/>
                  </w:divBdr>
                  <w:divsChild>
                    <w:div w:id="257830199">
                      <w:marLeft w:val="0"/>
                      <w:marRight w:val="0"/>
                      <w:marTop w:val="0"/>
                      <w:marBottom w:val="0"/>
                      <w:divBdr>
                        <w:top w:val="none" w:sz="0" w:space="0" w:color="auto"/>
                        <w:left w:val="none" w:sz="0" w:space="0" w:color="auto"/>
                        <w:bottom w:val="none" w:sz="0" w:space="0" w:color="auto"/>
                        <w:right w:val="none" w:sz="0" w:space="0" w:color="auto"/>
                      </w:divBdr>
                    </w:div>
                  </w:divsChild>
                </w:div>
                <w:div w:id="707680631">
                  <w:marLeft w:val="0"/>
                  <w:marRight w:val="0"/>
                  <w:marTop w:val="0"/>
                  <w:marBottom w:val="0"/>
                  <w:divBdr>
                    <w:top w:val="none" w:sz="0" w:space="0" w:color="auto"/>
                    <w:left w:val="none" w:sz="0" w:space="0" w:color="auto"/>
                    <w:bottom w:val="none" w:sz="0" w:space="0" w:color="auto"/>
                    <w:right w:val="none" w:sz="0" w:space="0" w:color="auto"/>
                  </w:divBdr>
                  <w:divsChild>
                    <w:div w:id="127551741">
                      <w:marLeft w:val="0"/>
                      <w:marRight w:val="0"/>
                      <w:marTop w:val="0"/>
                      <w:marBottom w:val="0"/>
                      <w:divBdr>
                        <w:top w:val="none" w:sz="0" w:space="0" w:color="auto"/>
                        <w:left w:val="none" w:sz="0" w:space="0" w:color="auto"/>
                        <w:bottom w:val="none" w:sz="0" w:space="0" w:color="auto"/>
                        <w:right w:val="none" w:sz="0" w:space="0" w:color="auto"/>
                      </w:divBdr>
                    </w:div>
                  </w:divsChild>
                </w:div>
                <w:div w:id="713892805">
                  <w:marLeft w:val="0"/>
                  <w:marRight w:val="0"/>
                  <w:marTop w:val="0"/>
                  <w:marBottom w:val="0"/>
                  <w:divBdr>
                    <w:top w:val="none" w:sz="0" w:space="0" w:color="auto"/>
                    <w:left w:val="none" w:sz="0" w:space="0" w:color="auto"/>
                    <w:bottom w:val="none" w:sz="0" w:space="0" w:color="auto"/>
                    <w:right w:val="none" w:sz="0" w:space="0" w:color="auto"/>
                  </w:divBdr>
                  <w:divsChild>
                    <w:div w:id="589116901">
                      <w:marLeft w:val="0"/>
                      <w:marRight w:val="0"/>
                      <w:marTop w:val="0"/>
                      <w:marBottom w:val="0"/>
                      <w:divBdr>
                        <w:top w:val="none" w:sz="0" w:space="0" w:color="auto"/>
                        <w:left w:val="none" w:sz="0" w:space="0" w:color="auto"/>
                        <w:bottom w:val="none" w:sz="0" w:space="0" w:color="auto"/>
                        <w:right w:val="none" w:sz="0" w:space="0" w:color="auto"/>
                      </w:divBdr>
                    </w:div>
                  </w:divsChild>
                </w:div>
                <w:div w:id="726687218">
                  <w:marLeft w:val="0"/>
                  <w:marRight w:val="0"/>
                  <w:marTop w:val="0"/>
                  <w:marBottom w:val="0"/>
                  <w:divBdr>
                    <w:top w:val="none" w:sz="0" w:space="0" w:color="auto"/>
                    <w:left w:val="none" w:sz="0" w:space="0" w:color="auto"/>
                    <w:bottom w:val="none" w:sz="0" w:space="0" w:color="auto"/>
                    <w:right w:val="none" w:sz="0" w:space="0" w:color="auto"/>
                  </w:divBdr>
                  <w:divsChild>
                    <w:div w:id="1250388487">
                      <w:marLeft w:val="0"/>
                      <w:marRight w:val="0"/>
                      <w:marTop w:val="0"/>
                      <w:marBottom w:val="0"/>
                      <w:divBdr>
                        <w:top w:val="none" w:sz="0" w:space="0" w:color="auto"/>
                        <w:left w:val="none" w:sz="0" w:space="0" w:color="auto"/>
                        <w:bottom w:val="none" w:sz="0" w:space="0" w:color="auto"/>
                        <w:right w:val="none" w:sz="0" w:space="0" w:color="auto"/>
                      </w:divBdr>
                    </w:div>
                  </w:divsChild>
                </w:div>
                <w:div w:id="727459640">
                  <w:marLeft w:val="0"/>
                  <w:marRight w:val="0"/>
                  <w:marTop w:val="0"/>
                  <w:marBottom w:val="0"/>
                  <w:divBdr>
                    <w:top w:val="none" w:sz="0" w:space="0" w:color="auto"/>
                    <w:left w:val="none" w:sz="0" w:space="0" w:color="auto"/>
                    <w:bottom w:val="none" w:sz="0" w:space="0" w:color="auto"/>
                    <w:right w:val="none" w:sz="0" w:space="0" w:color="auto"/>
                  </w:divBdr>
                  <w:divsChild>
                    <w:div w:id="1082218089">
                      <w:marLeft w:val="0"/>
                      <w:marRight w:val="0"/>
                      <w:marTop w:val="0"/>
                      <w:marBottom w:val="0"/>
                      <w:divBdr>
                        <w:top w:val="none" w:sz="0" w:space="0" w:color="auto"/>
                        <w:left w:val="none" w:sz="0" w:space="0" w:color="auto"/>
                        <w:bottom w:val="none" w:sz="0" w:space="0" w:color="auto"/>
                        <w:right w:val="none" w:sz="0" w:space="0" w:color="auto"/>
                      </w:divBdr>
                    </w:div>
                  </w:divsChild>
                </w:div>
                <w:div w:id="728958007">
                  <w:marLeft w:val="0"/>
                  <w:marRight w:val="0"/>
                  <w:marTop w:val="0"/>
                  <w:marBottom w:val="0"/>
                  <w:divBdr>
                    <w:top w:val="none" w:sz="0" w:space="0" w:color="auto"/>
                    <w:left w:val="none" w:sz="0" w:space="0" w:color="auto"/>
                    <w:bottom w:val="none" w:sz="0" w:space="0" w:color="auto"/>
                    <w:right w:val="none" w:sz="0" w:space="0" w:color="auto"/>
                  </w:divBdr>
                  <w:divsChild>
                    <w:div w:id="227418302">
                      <w:marLeft w:val="0"/>
                      <w:marRight w:val="0"/>
                      <w:marTop w:val="0"/>
                      <w:marBottom w:val="0"/>
                      <w:divBdr>
                        <w:top w:val="none" w:sz="0" w:space="0" w:color="auto"/>
                        <w:left w:val="none" w:sz="0" w:space="0" w:color="auto"/>
                        <w:bottom w:val="none" w:sz="0" w:space="0" w:color="auto"/>
                        <w:right w:val="none" w:sz="0" w:space="0" w:color="auto"/>
                      </w:divBdr>
                    </w:div>
                  </w:divsChild>
                </w:div>
                <w:div w:id="733433546">
                  <w:marLeft w:val="0"/>
                  <w:marRight w:val="0"/>
                  <w:marTop w:val="0"/>
                  <w:marBottom w:val="0"/>
                  <w:divBdr>
                    <w:top w:val="none" w:sz="0" w:space="0" w:color="auto"/>
                    <w:left w:val="none" w:sz="0" w:space="0" w:color="auto"/>
                    <w:bottom w:val="none" w:sz="0" w:space="0" w:color="auto"/>
                    <w:right w:val="none" w:sz="0" w:space="0" w:color="auto"/>
                  </w:divBdr>
                  <w:divsChild>
                    <w:div w:id="21784010">
                      <w:marLeft w:val="0"/>
                      <w:marRight w:val="0"/>
                      <w:marTop w:val="0"/>
                      <w:marBottom w:val="0"/>
                      <w:divBdr>
                        <w:top w:val="none" w:sz="0" w:space="0" w:color="auto"/>
                        <w:left w:val="none" w:sz="0" w:space="0" w:color="auto"/>
                        <w:bottom w:val="none" w:sz="0" w:space="0" w:color="auto"/>
                        <w:right w:val="none" w:sz="0" w:space="0" w:color="auto"/>
                      </w:divBdr>
                    </w:div>
                  </w:divsChild>
                </w:div>
                <w:div w:id="736830054">
                  <w:marLeft w:val="0"/>
                  <w:marRight w:val="0"/>
                  <w:marTop w:val="0"/>
                  <w:marBottom w:val="0"/>
                  <w:divBdr>
                    <w:top w:val="none" w:sz="0" w:space="0" w:color="auto"/>
                    <w:left w:val="none" w:sz="0" w:space="0" w:color="auto"/>
                    <w:bottom w:val="none" w:sz="0" w:space="0" w:color="auto"/>
                    <w:right w:val="none" w:sz="0" w:space="0" w:color="auto"/>
                  </w:divBdr>
                  <w:divsChild>
                    <w:div w:id="723023898">
                      <w:marLeft w:val="0"/>
                      <w:marRight w:val="0"/>
                      <w:marTop w:val="0"/>
                      <w:marBottom w:val="0"/>
                      <w:divBdr>
                        <w:top w:val="none" w:sz="0" w:space="0" w:color="auto"/>
                        <w:left w:val="none" w:sz="0" w:space="0" w:color="auto"/>
                        <w:bottom w:val="none" w:sz="0" w:space="0" w:color="auto"/>
                        <w:right w:val="none" w:sz="0" w:space="0" w:color="auto"/>
                      </w:divBdr>
                    </w:div>
                  </w:divsChild>
                </w:div>
                <w:div w:id="739209843">
                  <w:marLeft w:val="0"/>
                  <w:marRight w:val="0"/>
                  <w:marTop w:val="0"/>
                  <w:marBottom w:val="0"/>
                  <w:divBdr>
                    <w:top w:val="none" w:sz="0" w:space="0" w:color="auto"/>
                    <w:left w:val="none" w:sz="0" w:space="0" w:color="auto"/>
                    <w:bottom w:val="none" w:sz="0" w:space="0" w:color="auto"/>
                    <w:right w:val="none" w:sz="0" w:space="0" w:color="auto"/>
                  </w:divBdr>
                  <w:divsChild>
                    <w:div w:id="1675690919">
                      <w:marLeft w:val="0"/>
                      <w:marRight w:val="0"/>
                      <w:marTop w:val="0"/>
                      <w:marBottom w:val="0"/>
                      <w:divBdr>
                        <w:top w:val="none" w:sz="0" w:space="0" w:color="auto"/>
                        <w:left w:val="none" w:sz="0" w:space="0" w:color="auto"/>
                        <w:bottom w:val="none" w:sz="0" w:space="0" w:color="auto"/>
                        <w:right w:val="none" w:sz="0" w:space="0" w:color="auto"/>
                      </w:divBdr>
                    </w:div>
                  </w:divsChild>
                </w:div>
                <w:div w:id="744032812">
                  <w:marLeft w:val="0"/>
                  <w:marRight w:val="0"/>
                  <w:marTop w:val="0"/>
                  <w:marBottom w:val="0"/>
                  <w:divBdr>
                    <w:top w:val="none" w:sz="0" w:space="0" w:color="auto"/>
                    <w:left w:val="none" w:sz="0" w:space="0" w:color="auto"/>
                    <w:bottom w:val="none" w:sz="0" w:space="0" w:color="auto"/>
                    <w:right w:val="none" w:sz="0" w:space="0" w:color="auto"/>
                  </w:divBdr>
                  <w:divsChild>
                    <w:div w:id="1161576577">
                      <w:marLeft w:val="0"/>
                      <w:marRight w:val="0"/>
                      <w:marTop w:val="0"/>
                      <w:marBottom w:val="0"/>
                      <w:divBdr>
                        <w:top w:val="none" w:sz="0" w:space="0" w:color="auto"/>
                        <w:left w:val="none" w:sz="0" w:space="0" w:color="auto"/>
                        <w:bottom w:val="none" w:sz="0" w:space="0" w:color="auto"/>
                        <w:right w:val="none" w:sz="0" w:space="0" w:color="auto"/>
                      </w:divBdr>
                    </w:div>
                  </w:divsChild>
                </w:div>
                <w:div w:id="748310739">
                  <w:marLeft w:val="0"/>
                  <w:marRight w:val="0"/>
                  <w:marTop w:val="0"/>
                  <w:marBottom w:val="0"/>
                  <w:divBdr>
                    <w:top w:val="none" w:sz="0" w:space="0" w:color="auto"/>
                    <w:left w:val="none" w:sz="0" w:space="0" w:color="auto"/>
                    <w:bottom w:val="none" w:sz="0" w:space="0" w:color="auto"/>
                    <w:right w:val="none" w:sz="0" w:space="0" w:color="auto"/>
                  </w:divBdr>
                  <w:divsChild>
                    <w:div w:id="2055158986">
                      <w:marLeft w:val="0"/>
                      <w:marRight w:val="0"/>
                      <w:marTop w:val="0"/>
                      <w:marBottom w:val="0"/>
                      <w:divBdr>
                        <w:top w:val="none" w:sz="0" w:space="0" w:color="auto"/>
                        <w:left w:val="none" w:sz="0" w:space="0" w:color="auto"/>
                        <w:bottom w:val="none" w:sz="0" w:space="0" w:color="auto"/>
                        <w:right w:val="none" w:sz="0" w:space="0" w:color="auto"/>
                      </w:divBdr>
                    </w:div>
                  </w:divsChild>
                </w:div>
                <w:div w:id="752313504">
                  <w:marLeft w:val="0"/>
                  <w:marRight w:val="0"/>
                  <w:marTop w:val="0"/>
                  <w:marBottom w:val="0"/>
                  <w:divBdr>
                    <w:top w:val="none" w:sz="0" w:space="0" w:color="auto"/>
                    <w:left w:val="none" w:sz="0" w:space="0" w:color="auto"/>
                    <w:bottom w:val="none" w:sz="0" w:space="0" w:color="auto"/>
                    <w:right w:val="none" w:sz="0" w:space="0" w:color="auto"/>
                  </w:divBdr>
                  <w:divsChild>
                    <w:div w:id="1852065334">
                      <w:marLeft w:val="0"/>
                      <w:marRight w:val="0"/>
                      <w:marTop w:val="0"/>
                      <w:marBottom w:val="0"/>
                      <w:divBdr>
                        <w:top w:val="none" w:sz="0" w:space="0" w:color="auto"/>
                        <w:left w:val="none" w:sz="0" w:space="0" w:color="auto"/>
                        <w:bottom w:val="none" w:sz="0" w:space="0" w:color="auto"/>
                        <w:right w:val="none" w:sz="0" w:space="0" w:color="auto"/>
                      </w:divBdr>
                    </w:div>
                  </w:divsChild>
                </w:div>
                <w:div w:id="753473893">
                  <w:marLeft w:val="0"/>
                  <w:marRight w:val="0"/>
                  <w:marTop w:val="0"/>
                  <w:marBottom w:val="0"/>
                  <w:divBdr>
                    <w:top w:val="none" w:sz="0" w:space="0" w:color="auto"/>
                    <w:left w:val="none" w:sz="0" w:space="0" w:color="auto"/>
                    <w:bottom w:val="none" w:sz="0" w:space="0" w:color="auto"/>
                    <w:right w:val="none" w:sz="0" w:space="0" w:color="auto"/>
                  </w:divBdr>
                  <w:divsChild>
                    <w:div w:id="1353219385">
                      <w:marLeft w:val="0"/>
                      <w:marRight w:val="0"/>
                      <w:marTop w:val="0"/>
                      <w:marBottom w:val="0"/>
                      <w:divBdr>
                        <w:top w:val="none" w:sz="0" w:space="0" w:color="auto"/>
                        <w:left w:val="none" w:sz="0" w:space="0" w:color="auto"/>
                        <w:bottom w:val="none" w:sz="0" w:space="0" w:color="auto"/>
                        <w:right w:val="none" w:sz="0" w:space="0" w:color="auto"/>
                      </w:divBdr>
                    </w:div>
                  </w:divsChild>
                </w:div>
                <w:div w:id="759133026">
                  <w:marLeft w:val="0"/>
                  <w:marRight w:val="0"/>
                  <w:marTop w:val="0"/>
                  <w:marBottom w:val="0"/>
                  <w:divBdr>
                    <w:top w:val="none" w:sz="0" w:space="0" w:color="auto"/>
                    <w:left w:val="none" w:sz="0" w:space="0" w:color="auto"/>
                    <w:bottom w:val="none" w:sz="0" w:space="0" w:color="auto"/>
                    <w:right w:val="none" w:sz="0" w:space="0" w:color="auto"/>
                  </w:divBdr>
                  <w:divsChild>
                    <w:div w:id="675570793">
                      <w:marLeft w:val="0"/>
                      <w:marRight w:val="0"/>
                      <w:marTop w:val="0"/>
                      <w:marBottom w:val="0"/>
                      <w:divBdr>
                        <w:top w:val="none" w:sz="0" w:space="0" w:color="auto"/>
                        <w:left w:val="none" w:sz="0" w:space="0" w:color="auto"/>
                        <w:bottom w:val="none" w:sz="0" w:space="0" w:color="auto"/>
                        <w:right w:val="none" w:sz="0" w:space="0" w:color="auto"/>
                      </w:divBdr>
                    </w:div>
                  </w:divsChild>
                </w:div>
                <w:div w:id="759839749">
                  <w:marLeft w:val="0"/>
                  <w:marRight w:val="0"/>
                  <w:marTop w:val="0"/>
                  <w:marBottom w:val="0"/>
                  <w:divBdr>
                    <w:top w:val="none" w:sz="0" w:space="0" w:color="auto"/>
                    <w:left w:val="none" w:sz="0" w:space="0" w:color="auto"/>
                    <w:bottom w:val="none" w:sz="0" w:space="0" w:color="auto"/>
                    <w:right w:val="none" w:sz="0" w:space="0" w:color="auto"/>
                  </w:divBdr>
                  <w:divsChild>
                    <w:div w:id="308483395">
                      <w:marLeft w:val="0"/>
                      <w:marRight w:val="0"/>
                      <w:marTop w:val="0"/>
                      <w:marBottom w:val="0"/>
                      <w:divBdr>
                        <w:top w:val="none" w:sz="0" w:space="0" w:color="auto"/>
                        <w:left w:val="none" w:sz="0" w:space="0" w:color="auto"/>
                        <w:bottom w:val="none" w:sz="0" w:space="0" w:color="auto"/>
                        <w:right w:val="none" w:sz="0" w:space="0" w:color="auto"/>
                      </w:divBdr>
                    </w:div>
                  </w:divsChild>
                </w:div>
                <w:div w:id="761952770">
                  <w:marLeft w:val="0"/>
                  <w:marRight w:val="0"/>
                  <w:marTop w:val="0"/>
                  <w:marBottom w:val="0"/>
                  <w:divBdr>
                    <w:top w:val="none" w:sz="0" w:space="0" w:color="auto"/>
                    <w:left w:val="none" w:sz="0" w:space="0" w:color="auto"/>
                    <w:bottom w:val="none" w:sz="0" w:space="0" w:color="auto"/>
                    <w:right w:val="none" w:sz="0" w:space="0" w:color="auto"/>
                  </w:divBdr>
                  <w:divsChild>
                    <w:div w:id="980503728">
                      <w:marLeft w:val="0"/>
                      <w:marRight w:val="0"/>
                      <w:marTop w:val="0"/>
                      <w:marBottom w:val="0"/>
                      <w:divBdr>
                        <w:top w:val="none" w:sz="0" w:space="0" w:color="auto"/>
                        <w:left w:val="none" w:sz="0" w:space="0" w:color="auto"/>
                        <w:bottom w:val="none" w:sz="0" w:space="0" w:color="auto"/>
                        <w:right w:val="none" w:sz="0" w:space="0" w:color="auto"/>
                      </w:divBdr>
                    </w:div>
                  </w:divsChild>
                </w:div>
                <w:div w:id="774405736">
                  <w:marLeft w:val="0"/>
                  <w:marRight w:val="0"/>
                  <w:marTop w:val="0"/>
                  <w:marBottom w:val="0"/>
                  <w:divBdr>
                    <w:top w:val="none" w:sz="0" w:space="0" w:color="auto"/>
                    <w:left w:val="none" w:sz="0" w:space="0" w:color="auto"/>
                    <w:bottom w:val="none" w:sz="0" w:space="0" w:color="auto"/>
                    <w:right w:val="none" w:sz="0" w:space="0" w:color="auto"/>
                  </w:divBdr>
                  <w:divsChild>
                    <w:div w:id="1532693653">
                      <w:marLeft w:val="0"/>
                      <w:marRight w:val="0"/>
                      <w:marTop w:val="0"/>
                      <w:marBottom w:val="0"/>
                      <w:divBdr>
                        <w:top w:val="none" w:sz="0" w:space="0" w:color="auto"/>
                        <w:left w:val="none" w:sz="0" w:space="0" w:color="auto"/>
                        <w:bottom w:val="none" w:sz="0" w:space="0" w:color="auto"/>
                        <w:right w:val="none" w:sz="0" w:space="0" w:color="auto"/>
                      </w:divBdr>
                    </w:div>
                  </w:divsChild>
                </w:div>
                <w:div w:id="777800522">
                  <w:marLeft w:val="0"/>
                  <w:marRight w:val="0"/>
                  <w:marTop w:val="0"/>
                  <w:marBottom w:val="0"/>
                  <w:divBdr>
                    <w:top w:val="none" w:sz="0" w:space="0" w:color="auto"/>
                    <w:left w:val="none" w:sz="0" w:space="0" w:color="auto"/>
                    <w:bottom w:val="none" w:sz="0" w:space="0" w:color="auto"/>
                    <w:right w:val="none" w:sz="0" w:space="0" w:color="auto"/>
                  </w:divBdr>
                  <w:divsChild>
                    <w:div w:id="876042794">
                      <w:marLeft w:val="0"/>
                      <w:marRight w:val="0"/>
                      <w:marTop w:val="0"/>
                      <w:marBottom w:val="0"/>
                      <w:divBdr>
                        <w:top w:val="none" w:sz="0" w:space="0" w:color="auto"/>
                        <w:left w:val="none" w:sz="0" w:space="0" w:color="auto"/>
                        <w:bottom w:val="none" w:sz="0" w:space="0" w:color="auto"/>
                        <w:right w:val="none" w:sz="0" w:space="0" w:color="auto"/>
                      </w:divBdr>
                    </w:div>
                  </w:divsChild>
                </w:div>
                <w:div w:id="784036820">
                  <w:marLeft w:val="0"/>
                  <w:marRight w:val="0"/>
                  <w:marTop w:val="0"/>
                  <w:marBottom w:val="0"/>
                  <w:divBdr>
                    <w:top w:val="none" w:sz="0" w:space="0" w:color="auto"/>
                    <w:left w:val="none" w:sz="0" w:space="0" w:color="auto"/>
                    <w:bottom w:val="none" w:sz="0" w:space="0" w:color="auto"/>
                    <w:right w:val="none" w:sz="0" w:space="0" w:color="auto"/>
                  </w:divBdr>
                  <w:divsChild>
                    <w:div w:id="1022825124">
                      <w:marLeft w:val="0"/>
                      <w:marRight w:val="0"/>
                      <w:marTop w:val="0"/>
                      <w:marBottom w:val="0"/>
                      <w:divBdr>
                        <w:top w:val="none" w:sz="0" w:space="0" w:color="auto"/>
                        <w:left w:val="none" w:sz="0" w:space="0" w:color="auto"/>
                        <w:bottom w:val="none" w:sz="0" w:space="0" w:color="auto"/>
                        <w:right w:val="none" w:sz="0" w:space="0" w:color="auto"/>
                      </w:divBdr>
                    </w:div>
                  </w:divsChild>
                </w:div>
                <w:div w:id="797797080">
                  <w:marLeft w:val="0"/>
                  <w:marRight w:val="0"/>
                  <w:marTop w:val="0"/>
                  <w:marBottom w:val="0"/>
                  <w:divBdr>
                    <w:top w:val="none" w:sz="0" w:space="0" w:color="auto"/>
                    <w:left w:val="none" w:sz="0" w:space="0" w:color="auto"/>
                    <w:bottom w:val="none" w:sz="0" w:space="0" w:color="auto"/>
                    <w:right w:val="none" w:sz="0" w:space="0" w:color="auto"/>
                  </w:divBdr>
                  <w:divsChild>
                    <w:div w:id="2051880334">
                      <w:marLeft w:val="0"/>
                      <w:marRight w:val="0"/>
                      <w:marTop w:val="0"/>
                      <w:marBottom w:val="0"/>
                      <w:divBdr>
                        <w:top w:val="none" w:sz="0" w:space="0" w:color="auto"/>
                        <w:left w:val="none" w:sz="0" w:space="0" w:color="auto"/>
                        <w:bottom w:val="none" w:sz="0" w:space="0" w:color="auto"/>
                        <w:right w:val="none" w:sz="0" w:space="0" w:color="auto"/>
                      </w:divBdr>
                    </w:div>
                  </w:divsChild>
                </w:div>
                <w:div w:id="799038665">
                  <w:marLeft w:val="0"/>
                  <w:marRight w:val="0"/>
                  <w:marTop w:val="0"/>
                  <w:marBottom w:val="0"/>
                  <w:divBdr>
                    <w:top w:val="none" w:sz="0" w:space="0" w:color="auto"/>
                    <w:left w:val="none" w:sz="0" w:space="0" w:color="auto"/>
                    <w:bottom w:val="none" w:sz="0" w:space="0" w:color="auto"/>
                    <w:right w:val="none" w:sz="0" w:space="0" w:color="auto"/>
                  </w:divBdr>
                  <w:divsChild>
                    <w:div w:id="872230039">
                      <w:marLeft w:val="0"/>
                      <w:marRight w:val="0"/>
                      <w:marTop w:val="0"/>
                      <w:marBottom w:val="0"/>
                      <w:divBdr>
                        <w:top w:val="none" w:sz="0" w:space="0" w:color="auto"/>
                        <w:left w:val="none" w:sz="0" w:space="0" w:color="auto"/>
                        <w:bottom w:val="none" w:sz="0" w:space="0" w:color="auto"/>
                        <w:right w:val="none" w:sz="0" w:space="0" w:color="auto"/>
                      </w:divBdr>
                    </w:div>
                  </w:divsChild>
                </w:div>
                <w:div w:id="805317020">
                  <w:marLeft w:val="0"/>
                  <w:marRight w:val="0"/>
                  <w:marTop w:val="0"/>
                  <w:marBottom w:val="0"/>
                  <w:divBdr>
                    <w:top w:val="none" w:sz="0" w:space="0" w:color="auto"/>
                    <w:left w:val="none" w:sz="0" w:space="0" w:color="auto"/>
                    <w:bottom w:val="none" w:sz="0" w:space="0" w:color="auto"/>
                    <w:right w:val="none" w:sz="0" w:space="0" w:color="auto"/>
                  </w:divBdr>
                  <w:divsChild>
                    <w:div w:id="970552022">
                      <w:marLeft w:val="0"/>
                      <w:marRight w:val="0"/>
                      <w:marTop w:val="0"/>
                      <w:marBottom w:val="0"/>
                      <w:divBdr>
                        <w:top w:val="none" w:sz="0" w:space="0" w:color="auto"/>
                        <w:left w:val="none" w:sz="0" w:space="0" w:color="auto"/>
                        <w:bottom w:val="none" w:sz="0" w:space="0" w:color="auto"/>
                        <w:right w:val="none" w:sz="0" w:space="0" w:color="auto"/>
                      </w:divBdr>
                    </w:div>
                  </w:divsChild>
                </w:div>
                <w:div w:id="807019704">
                  <w:marLeft w:val="0"/>
                  <w:marRight w:val="0"/>
                  <w:marTop w:val="0"/>
                  <w:marBottom w:val="0"/>
                  <w:divBdr>
                    <w:top w:val="none" w:sz="0" w:space="0" w:color="auto"/>
                    <w:left w:val="none" w:sz="0" w:space="0" w:color="auto"/>
                    <w:bottom w:val="none" w:sz="0" w:space="0" w:color="auto"/>
                    <w:right w:val="none" w:sz="0" w:space="0" w:color="auto"/>
                  </w:divBdr>
                  <w:divsChild>
                    <w:div w:id="1585535113">
                      <w:marLeft w:val="0"/>
                      <w:marRight w:val="0"/>
                      <w:marTop w:val="0"/>
                      <w:marBottom w:val="0"/>
                      <w:divBdr>
                        <w:top w:val="none" w:sz="0" w:space="0" w:color="auto"/>
                        <w:left w:val="none" w:sz="0" w:space="0" w:color="auto"/>
                        <w:bottom w:val="none" w:sz="0" w:space="0" w:color="auto"/>
                        <w:right w:val="none" w:sz="0" w:space="0" w:color="auto"/>
                      </w:divBdr>
                    </w:div>
                  </w:divsChild>
                </w:div>
                <w:div w:id="814224430">
                  <w:marLeft w:val="0"/>
                  <w:marRight w:val="0"/>
                  <w:marTop w:val="0"/>
                  <w:marBottom w:val="0"/>
                  <w:divBdr>
                    <w:top w:val="none" w:sz="0" w:space="0" w:color="auto"/>
                    <w:left w:val="none" w:sz="0" w:space="0" w:color="auto"/>
                    <w:bottom w:val="none" w:sz="0" w:space="0" w:color="auto"/>
                    <w:right w:val="none" w:sz="0" w:space="0" w:color="auto"/>
                  </w:divBdr>
                  <w:divsChild>
                    <w:div w:id="2107575371">
                      <w:marLeft w:val="0"/>
                      <w:marRight w:val="0"/>
                      <w:marTop w:val="0"/>
                      <w:marBottom w:val="0"/>
                      <w:divBdr>
                        <w:top w:val="none" w:sz="0" w:space="0" w:color="auto"/>
                        <w:left w:val="none" w:sz="0" w:space="0" w:color="auto"/>
                        <w:bottom w:val="none" w:sz="0" w:space="0" w:color="auto"/>
                        <w:right w:val="none" w:sz="0" w:space="0" w:color="auto"/>
                      </w:divBdr>
                    </w:div>
                  </w:divsChild>
                </w:div>
                <w:div w:id="814685705">
                  <w:marLeft w:val="0"/>
                  <w:marRight w:val="0"/>
                  <w:marTop w:val="0"/>
                  <w:marBottom w:val="0"/>
                  <w:divBdr>
                    <w:top w:val="none" w:sz="0" w:space="0" w:color="auto"/>
                    <w:left w:val="none" w:sz="0" w:space="0" w:color="auto"/>
                    <w:bottom w:val="none" w:sz="0" w:space="0" w:color="auto"/>
                    <w:right w:val="none" w:sz="0" w:space="0" w:color="auto"/>
                  </w:divBdr>
                  <w:divsChild>
                    <w:div w:id="660889041">
                      <w:marLeft w:val="0"/>
                      <w:marRight w:val="0"/>
                      <w:marTop w:val="0"/>
                      <w:marBottom w:val="0"/>
                      <w:divBdr>
                        <w:top w:val="none" w:sz="0" w:space="0" w:color="auto"/>
                        <w:left w:val="none" w:sz="0" w:space="0" w:color="auto"/>
                        <w:bottom w:val="none" w:sz="0" w:space="0" w:color="auto"/>
                        <w:right w:val="none" w:sz="0" w:space="0" w:color="auto"/>
                      </w:divBdr>
                    </w:div>
                  </w:divsChild>
                </w:div>
                <w:div w:id="819813862">
                  <w:marLeft w:val="0"/>
                  <w:marRight w:val="0"/>
                  <w:marTop w:val="0"/>
                  <w:marBottom w:val="0"/>
                  <w:divBdr>
                    <w:top w:val="none" w:sz="0" w:space="0" w:color="auto"/>
                    <w:left w:val="none" w:sz="0" w:space="0" w:color="auto"/>
                    <w:bottom w:val="none" w:sz="0" w:space="0" w:color="auto"/>
                    <w:right w:val="none" w:sz="0" w:space="0" w:color="auto"/>
                  </w:divBdr>
                  <w:divsChild>
                    <w:div w:id="1706100591">
                      <w:marLeft w:val="0"/>
                      <w:marRight w:val="0"/>
                      <w:marTop w:val="0"/>
                      <w:marBottom w:val="0"/>
                      <w:divBdr>
                        <w:top w:val="none" w:sz="0" w:space="0" w:color="auto"/>
                        <w:left w:val="none" w:sz="0" w:space="0" w:color="auto"/>
                        <w:bottom w:val="none" w:sz="0" w:space="0" w:color="auto"/>
                        <w:right w:val="none" w:sz="0" w:space="0" w:color="auto"/>
                      </w:divBdr>
                    </w:div>
                  </w:divsChild>
                </w:div>
                <w:div w:id="824080069">
                  <w:marLeft w:val="0"/>
                  <w:marRight w:val="0"/>
                  <w:marTop w:val="0"/>
                  <w:marBottom w:val="0"/>
                  <w:divBdr>
                    <w:top w:val="none" w:sz="0" w:space="0" w:color="auto"/>
                    <w:left w:val="none" w:sz="0" w:space="0" w:color="auto"/>
                    <w:bottom w:val="none" w:sz="0" w:space="0" w:color="auto"/>
                    <w:right w:val="none" w:sz="0" w:space="0" w:color="auto"/>
                  </w:divBdr>
                  <w:divsChild>
                    <w:div w:id="2007895349">
                      <w:marLeft w:val="0"/>
                      <w:marRight w:val="0"/>
                      <w:marTop w:val="0"/>
                      <w:marBottom w:val="0"/>
                      <w:divBdr>
                        <w:top w:val="none" w:sz="0" w:space="0" w:color="auto"/>
                        <w:left w:val="none" w:sz="0" w:space="0" w:color="auto"/>
                        <w:bottom w:val="none" w:sz="0" w:space="0" w:color="auto"/>
                        <w:right w:val="none" w:sz="0" w:space="0" w:color="auto"/>
                      </w:divBdr>
                    </w:div>
                  </w:divsChild>
                </w:div>
                <w:div w:id="832187365">
                  <w:marLeft w:val="0"/>
                  <w:marRight w:val="0"/>
                  <w:marTop w:val="0"/>
                  <w:marBottom w:val="0"/>
                  <w:divBdr>
                    <w:top w:val="none" w:sz="0" w:space="0" w:color="auto"/>
                    <w:left w:val="none" w:sz="0" w:space="0" w:color="auto"/>
                    <w:bottom w:val="none" w:sz="0" w:space="0" w:color="auto"/>
                    <w:right w:val="none" w:sz="0" w:space="0" w:color="auto"/>
                  </w:divBdr>
                  <w:divsChild>
                    <w:div w:id="997735156">
                      <w:marLeft w:val="0"/>
                      <w:marRight w:val="0"/>
                      <w:marTop w:val="0"/>
                      <w:marBottom w:val="0"/>
                      <w:divBdr>
                        <w:top w:val="none" w:sz="0" w:space="0" w:color="auto"/>
                        <w:left w:val="none" w:sz="0" w:space="0" w:color="auto"/>
                        <w:bottom w:val="none" w:sz="0" w:space="0" w:color="auto"/>
                        <w:right w:val="none" w:sz="0" w:space="0" w:color="auto"/>
                      </w:divBdr>
                    </w:div>
                  </w:divsChild>
                </w:div>
                <w:div w:id="837380521">
                  <w:marLeft w:val="0"/>
                  <w:marRight w:val="0"/>
                  <w:marTop w:val="0"/>
                  <w:marBottom w:val="0"/>
                  <w:divBdr>
                    <w:top w:val="none" w:sz="0" w:space="0" w:color="auto"/>
                    <w:left w:val="none" w:sz="0" w:space="0" w:color="auto"/>
                    <w:bottom w:val="none" w:sz="0" w:space="0" w:color="auto"/>
                    <w:right w:val="none" w:sz="0" w:space="0" w:color="auto"/>
                  </w:divBdr>
                  <w:divsChild>
                    <w:div w:id="1156996517">
                      <w:marLeft w:val="0"/>
                      <w:marRight w:val="0"/>
                      <w:marTop w:val="0"/>
                      <w:marBottom w:val="0"/>
                      <w:divBdr>
                        <w:top w:val="none" w:sz="0" w:space="0" w:color="auto"/>
                        <w:left w:val="none" w:sz="0" w:space="0" w:color="auto"/>
                        <w:bottom w:val="none" w:sz="0" w:space="0" w:color="auto"/>
                        <w:right w:val="none" w:sz="0" w:space="0" w:color="auto"/>
                      </w:divBdr>
                    </w:div>
                  </w:divsChild>
                </w:div>
                <w:div w:id="838040945">
                  <w:marLeft w:val="0"/>
                  <w:marRight w:val="0"/>
                  <w:marTop w:val="0"/>
                  <w:marBottom w:val="0"/>
                  <w:divBdr>
                    <w:top w:val="none" w:sz="0" w:space="0" w:color="auto"/>
                    <w:left w:val="none" w:sz="0" w:space="0" w:color="auto"/>
                    <w:bottom w:val="none" w:sz="0" w:space="0" w:color="auto"/>
                    <w:right w:val="none" w:sz="0" w:space="0" w:color="auto"/>
                  </w:divBdr>
                  <w:divsChild>
                    <w:div w:id="240801843">
                      <w:marLeft w:val="0"/>
                      <w:marRight w:val="0"/>
                      <w:marTop w:val="0"/>
                      <w:marBottom w:val="0"/>
                      <w:divBdr>
                        <w:top w:val="none" w:sz="0" w:space="0" w:color="auto"/>
                        <w:left w:val="none" w:sz="0" w:space="0" w:color="auto"/>
                        <w:bottom w:val="none" w:sz="0" w:space="0" w:color="auto"/>
                        <w:right w:val="none" w:sz="0" w:space="0" w:color="auto"/>
                      </w:divBdr>
                    </w:div>
                  </w:divsChild>
                </w:div>
                <w:div w:id="839810125">
                  <w:marLeft w:val="0"/>
                  <w:marRight w:val="0"/>
                  <w:marTop w:val="0"/>
                  <w:marBottom w:val="0"/>
                  <w:divBdr>
                    <w:top w:val="none" w:sz="0" w:space="0" w:color="auto"/>
                    <w:left w:val="none" w:sz="0" w:space="0" w:color="auto"/>
                    <w:bottom w:val="none" w:sz="0" w:space="0" w:color="auto"/>
                    <w:right w:val="none" w:sz="0" w:space="0" w:color="auto"/>
                  </w:divBdr>
                  <w:divsChild>
                    <w:div w:id="2026440846">
                      <w:marLeft w:val="0"/>
                      <w:marRight w:val="0"/>
                      <w:marTop w:val="0"/>
                      <w:marBottom w:val="0"/>
                      <w:divBdr>
                        <w:top w:val="none" w:sz="0" w:space="0" w:color="auto"/>
                        <w:left w:val="none" w:sz="0" w:space="0" w:color="auto"/>
                        <w:bottom w:val="none" w:sz="0" w:space="0" w:color="auto"/>
                        <w:right w:val="none" w:sz="0" w:space="0" w:color="auto"/>
                      </w:divBdr>
                    </w:div>
                  </w:divsChild>
                </w:div>
                <w:div w:id="849955723">
                  <w:marLeft w:val="0"/>
                  <w:marRight w:val="0"/>
                  <w:marTop w:val="0"/>
                  <w:marBottom w:val="0"/>
                  <w:divBdr>
                    <w:top w:val="none" w:sz="0" w:space="0" w:color="auto"/>
                    <w:left w:val="none" w:sz="0" w:space="0" w:color="auto"/>
                    <w:bottom w:val="none" w:sz="0" w:space="0" w:color="auto"/>
                    <w:right w:val="none" w:sz="0" w:space="0" w:color="auto"/>
                  </w:divBdr>
                  <w:divsChild>
                    <w:div w:id="329674648">
                      <w:marLeft w:val="0"/>
                      <w:marRight w:val="0"/>
                      <w:marTop w:val="0"/>
                      <w:marBottom w:val="0"/>
                      <w:divBdr>
                        <w:top w:val="none" w:sz="0" w:space="0" w:color="auto"/>
                        <w:left w:val="none" w:sz="0" w:space="0" w:color="auto"/>
                        <w:bottom w:val="none" w:sz="0" w:space="0" w:color="auto"/>
                        <w:right w:val="none" w:sz="0" w:space="0" w:color="auto"/>
                      </w:divBdr>
                    </w:div>
                  </w:divsChild>
                </w:div>
                <w:div w:id="851066540">
                  <w:marLeft w:val="0"/>
                  <w:marRight w:val="0"/>
                  <w:marTop w:val="0"/>
                  <w:marBottom w:val="0"/>
                  <w:divBdr>
                    <w:top w:val="none" w:sz="0" w:space="0" w:color="auto"/>
                    <w:left w:val="none" w:sz="0" w:space="0" w:color="auto"/>
                    <w:bottom w:val="none" w:sz="0" w:space="0" w:color="auto"/>
                    <w:right w:val="none" w:sz="0" w:space="0" w:color="auto"/>
                  </w:divBdr>
                  <w:divsChild>
                    <w:div w:id="750390227">
                      <w:marLeft w:val="0"/>
                      <w:marRight w:val="0"/>
                      <w:marTop w:val="0"/>
                      <w:marBottom w:val="0"/>
                      <w:divBdr>
                        <w:top w:val="none" w:sz="0" w:space="0" w:color="auto"/>
                        <w:left w:val="none" w:sz="0" w:space="0" w:color="auto"/>
                        <w:bottom w:val="none" w:sz="0" w:space="0" w:color="auto"/>
                        <w:right w:val="none" w:sz="0" w:space="0" w:color="auto"/>
                      </w:divBdr>
                    </w:div>
                  </w:divsChild>
                </w:div>
                <w:div w:id="851844644">
                  <w:marLeft w:val="0"/>
                  <w:marRight w:val="0"/>
                  <w:marTop w:val="0"/>
                  <w:marBottom w:val="0"/>
                  <w:divBdr>
                    <w:top w:val="none" w:sz="0" w:space="0" w:color="auto"/>
                    <w:left w:val="none" w:sz="0" w:space="0" w:color="auto"/>
                    <w:bottom w:val="none" w:sz="0" w:space="0" w:color="auto"/>
                    <w:right w:val="none" w:sz="0" w:space="0" w:color="auto"/>
                  </w:divBdr>
                  <w:divsChild>
                    <w:div w:id="1702894365">
                      <w:marLeft w:val="0"/>
                      <w:marRight w:val="0"/>
                      <w:marTop w:val="0"/>
                      <w:marBottom w:val="0"/>
                      <w:divBdr>
                        <w:top w:val="none" w:sz="0" w:space="0" w:color="auto"/>
                        <w:left w:val="none" w:sz="0" w:space="0" w:color="auto"/>
                        <w:bottom w:val="none" w:sz="0" w:space="0" w:color="auto"/>
                        <w:right w:val="none" w:sz="0" w:space="0" w:color="auto"/>
                      </w:divBdr>
                    </w:div>
                  </w:divsChild>
                </w:div>
                <w:div w:id="854805349">
                  <w:marLeft w:val="0"/>
                  <w:marRight w:val="0"/>
                  <w:marTop w:val="0"/>
                  <w:marBottom w:val="0"/>
                  <w:divBdr>
                    <w:top w:val="none" w:sz="0" w:space="0" w:color="auto"/>
                    <w:left w:val="none" w:sz="0" w:space="0" w:color="auto"/>
                    <w:bottom w:val="none" w:sz="0" w:space="0" w:color="auto"/>
                    <w:right w:val="none" w:sz="0" w:space="0" w:color="auto"/>
                  </w:divBdr>
                  <w:divsChild>
                    <w:div w:id="24062196">
                      <w:marLeft w:val="0"/>
                      <w:marRight w:val="0"/>
                      <w:marTop w:val="0"/>
                      <w:marBottom w:val="0"/>
                      <w:divBdr>
                        <w:top w:val="none" w:sz="0" w:space="0" w:color="auto"/>
                        <w:left w:val="none" w:sz="0" w:space="0" w:color="auto"/>
                        <w:bottom w:val="none" w:sz="0" w:space="0" w:color="auto"/>
                        <w:right w:val="none" w:sz="0" w:space="0" w:color="auto"/>
                      </w:divBdr>
                    </w:div>
                  </w:divsChild>
                </w:div>
                <w:div w:id="858859777">
                  <w:marLeft w:val="0"/>
                  <w:marRight w:val="0"/>
                  <w:marTop w:val="0"/>
                  <w:marBottom w:val="0"/>
                  <w:divBdr>
                    <w:top w:val="none" w:sz="0" w:space="0" w:color="auto"/>
                    <w:left w:val="none" w:sz="0" w:space="0" w:color="auto"/>
                    <w:bottom w:val="none" w:sz="0" w:space="0" w:color="auto"/>
                    <w:right w:val="none" w:sz="0" w:space="0" w:color="auto"/>
                  </w:divBdr>
                  <w:divsChild>
                    <w:div w:id="1215892262">
                      <w:marLeft w:val="0"/>
                      <w:marRight w:val="0"/>
                      <w:marTop w:val="0"/>
                      <w:marBottom w:val="0"/>
                      <w:divBdr>
                        <w:top w:val="none" w:sz="0" w:space="0" w:color="auto"/>
                        <w:left w:val="none" w:sz="0" w:space="0" w:color="auto"/>
                        <w:bottom w:val="none" w:sz="0" w:space="0" w:color="auto"/>
                        <w:right w:val="none" w:sz="0" w:space="0" w:color="auto"/>
                      </w:divBdr>
                    </w:div>
                  </w:divsChild>
                </w:div>
                <w:div w:id="861433007">
                  <w:marLeft w:val="0"/>
                  <w:marRight w:val="0"/>
                  <w:marTop w:val="0"/>
                  <w:marBottom w:val="0"/>
                  <w:divBdr>
                    <w:top w:val="none" w:sz="0" w:space="0" w:color="auto"/>
                    <w:left w:val="none" w:sz="0" w:space="0" w:color="auto"/>
                    <w:bottom w:val="none" w:sz="0" w:space="0" w:color="auto"/>
                    <w:right w:val="none" w:sz="0" w:space="0" w:color="auto"/>
                  </w:divBdr>
                  <w:divsChild>
                    <w:div w:id="850031499">
                      <w:marLeft w:val="0"/>
                      <w:marRight w:val="0"/>
                      <w:marTop w:val="0"/>
                      <w:marBottom w:val="0"/>
                      <w:divBdr>
                        <w:top w:val="none" w:sz="0" w:space="0" w:color="auto"/>
                        <w:left w:val="none" w:sz="0" w:space="0" w:color="auto"/>
                        <w:bottom w:val="none" w:sz="0" w:space="0" w:color="auto"/>
                        <w:right w:val="none" w:sz="0" w:space="0" w:color="auto"/>
                      </w:divBdr>
                    </w:div>
                  </w:divsChild>
                </w:div>
                <w:div w:id="864824453">
                  <w:marLeft w:val="0"/>
                  <w:marRight w:val="0"/>
                  <w:marTop w:val="0"/>
                  <w:marBottom w:val="0"/>
                  <w:divBdr>
                    <w:top w:val="none" w:sz="0" w:space="0" w:color="auto"/>
                    <w:left w:val="none" w:sz="0" w:space="0" w:color="auto"/>
                    <w:bottom w:val="none" w:sz="0" w:space="0" w:color="auto"/>
                    <w:right w:val="none" w:sz="0" w:space="0" w:color="auto"/>
                  </w:divBdr>
                  <w:divsChild>
                    <w:div w:id="1043410201">
                      <w:marLeft w:val="0"/>
                      <w:marRight w:val="0"/>
                      <w:marTop w:val="0"/>
                      <w:marBottom w:val="0"/>
                      <w:divBdr>
                        <w:top w:val="none" w:sz="0" w:space="0" w:color="auto"/>
                        <w:left w:val="none" w:sz="0" w:space="0" w:color="auto"/>
                        <w:bottom w:val="none" w:sz="0" w:space="0" w:color="auto"/>
                        <w:right w:val="none" w:sz="0" w:space="0" w:color="auto"/>
                      </w:divBdr>
                    </w:div>
                  </w:divsChild>
                </w:div>
                <w:div w:id="883905437">
                  <w:marLeft w:val="0"/>
                  <w:marRight w:val="0"/>
                  <w:marTop w:val="0"/>
                  <w:marBottom w:val="0"/>
                  <w:divBdr>
                    <w:top w:val="none" w:sz="0" w:space="0" w:color="auto"/>
                    <w:left w:val="none" w:sz="0" w:space="0" w:color="auto"/>
                    <w:bottom w:val="none" w:sz="0" w:space="0" w:color="auto"/>
                    <w:right w:val="none" w:sz="0" w:space="0" w:color="auto"/>
                  </w:divBdr>
                  <w:divsChild>
                    <w:div w:id="939608758">
                      <w:marLeft w:val="0"/>
                      <w:marRight w:val="0"/>
                      <w:marTop w:val="0"/>
                      <w:marBottom w:val="0"/>
                      <w:divBdr>
                        <w:top w:val="none" w:sz="0" w:space="0" w:color="auto"/>
                        <w:left w:val="none" w:sz="0" w:space="0" w:color="auto"/>
                        <w:bottom w:val="none" w:sz="0" w:space="0" w:color="auto"/>
                        <w:right w:val="none" w:sz="0" w:space="0" w:color="auto"/>
                      </w:divBdr>
                    </w:div>
                  </w:divsChild>
                </w:div>
                <w:div w:id="891309908">
                  <w:marLeft w:val="0"/>
                  <w:marRight w:val="0"/>
                  <w:marTop w:val="0"/>
                  <w:marBottom w:val="0"/>
                  <w:divBdr>
                    <w:top w:val="none" w:sz="0" w:space="0" w:color="auto"/>
                    <w:left w:val="none" w:sz="0" w:space="0" w:color="auto"/>
                    <w:bottom w:val="none" w:sz="0" w:space="0" w:color="auto"/>
                    <w:right w:val="none" w:sz="0" w:space="0" w:color="auto"/>
                  </w:divBdr>
                  <w:divsChild>
                    <w:div w:id="1138718870">
                      <w:marLeft w:val="0"/>
                      <w:marRight w:val="0"/>
                      <w:marTop w:val="0"/>
                      <w:marBottom w:val="0"/>
                      <w:divBdr>
                        <w:top w:val="none" w:sz="0" w:space="0" w:color="auto"/>
                        <w:left w:val="none" w:sz="0" w:space="0" w:color="auto"/>
                        <w:bottom w:val="none" w:sz="0" w:space="0" w:color="auto"/>
                        <w:right w:val="none" w:sz="0" w:space="0" w:color="auto"/>
                      </w:divBdr>
                    </w:div>
                  </w:divsChild>
                </w:div>
                <w:div w:id="906650202">
                  <w:marLeft w:val="0"/>
                  <w:marRight w:val="0"/>
                  <w:marTop w:val="0"/>
                  <w:marBottom w:val="0"/>
                  <w:divBdr>
                    <w:top w:val="none" w:sz="0" w:space="0" w:color="auto"/>
                    <w:left w:val="none" w:sz="0" w:space="0" w:color="auto"/>
                    <w:bottom w:val="none" w:sz="0" w:space="0" w:color="auto"/>
                    <w:right w:val="none" w:sz="0" w:space="0" w:color="auto"/>
                  </w:divBdr>
                  <w:divsChild>
                    <w:div w:id="774593654">
                      <w:marLeft w:val="0"/>
                      <w:marRight w:val="0"/>
                      <w:marTop w:val="0"/>
                      <w:marBottom w:val="0"/>
                      <w:divBdr>
                        <w:top w:val="none" w:sz="0" w:space="0" w:color="auto"/>
                        <w:left w:val="none" w:sz="0" w:space="0" w:color="auto"/>
                        <w:bottom w:val="none" w:sz="0" w:space="0" w:color="auto"/>
                        <w:right w:val="none" w:sz="0" w:space="0" w:color="auto"/>
                      </w:divBdr>
                    </w:div>
                  </w:divsChild>
                </w:div>
                <w:div w:id="911622993">
                  <w:marLeft w:val="0"/>
                  <w:marRight w:val="0"/>
                  <w:marTop w:val="0"/>
                  <w:marBottom w:val="0"/>
                  <w:divBdr>
                    <w:top w:val="none" w:sz="0" w:space="0" w:color="auto"/>
                    <w:left w:val="none" w:sz="0" w:space="0" w:color="auto"/>
                    <w:bottom w:val="none" w:sz="0" w:space="0" w:color="auto"/>
                    <w:right w:val="none" w:sz="0" w:space="0" w:color="auto"/>
                  </w:divBdr>
                  <w:divsChild>
                    <w:div w:id="531193343">
                      <w:marLeft w:val="0"/>
                      <w:marRight w:val="0"/>
                      <w:marTop w:val="0"/>
                      <w:marBottom w:val="0"/>
                      <w:divBdr>
                        <w:top w:val="none" w:sz="0" w:space="0" w:color="auto"/>
                        <w:left w:val="none" w:sz="0" w:space="0" w:color="auto"/>
                        <w:bottom w:val="none" w:sz="0" w:space="0" w:color="auto"/>
                        <w:right w:val="none" w:sz="0" w:space="0" w:color="auto"/>
                      </w:divBdr>
                    </w:div>
                  </w:divsChild>
                </w:div>
                <w:div w:id="911891244">
                  <w:marLeft w:val="0"/>
                  <w:marRight w:val="0"/>
                  <w:marTop w:val="0"/>
                  <w:marBottom w:val="0"/>
                  <w:divBdr>
                    <w:top w:val="none" w:sz="0" w:space="0" w:color="auto"/>
                    <w:left w:val="none" w:sz="0" w:space="0" w:color="auto"/>
                    <w:bottom w:val="none" w:sz="0" w:space="0" w:color="auto"/>
                    <w:right w:val="none" w:sz="0" w:space="0" w:color="auto"/>
                  </w:divBdr>
                  <w:divsChild>
                    <w:div w:id="1386561158">
                      <w:marLeft w:val="0"/>
                      <w:marRight w:val="0"/>
                      <w:marTop w:val="0"/>
                      <w:marBottom w:val="0"/>
                      <w:divBdr>
                        <w:top w:val="none" w:sz="0" w:space="0" w:color="auto"/>
                        <w:left w:val="none" w:sz="0" w:space="0" w:color="auto"/>
                        <w:bottom w:val="none" w:sz="0" w:space="0" w:color="auto"/>
                        <w:right w:val="none" w:sz="0" w:space="0" w:color="auto"/>
                      </w:divBdr>
                    </w:div>
                  </w:divsChild>
                </w:div>
                <w:div w:id="912392452">
                  <w:marLeft w:val="0"/>
                  <w:marRight w:val="0"/>
                  <w:marTop w:val="0"/>
                  <w:marBottom w:val="0"/>
                  <w:divBdr>
                    <w:top w:val="none" w:sz="0" w:space="0" w:color="auto"/>
                    <w:left w:val="none" w:sz="0" w:space="0" w:color="auto"/>
                    <w:bottom w:val="none" w:sz="0" w:space="0" w:color="auto"/>
                    <w:right w:val="none" w:sz="0" w:space="0" w:color="auto"/>
                  </w:divBdr>
                  <w:divsChild>
                    <w:div w:id="1870024044">
                      <w:marLeft w:val="0"/>
                      <w:marRight w:val="0"/>
                      <w:marTop w:val="0"/>
                      <w:marBottom w:val="0"/>
                      <w:divBdr>
                        <w:top w:val="none" w:sz="0" w:space="0" w:color="auto"/>
                        <w:left w:val="none" w:sz="0" w:space="0" w:color="auto"/>
                        <w:bottom w:val="none" w:sz="0" w:space="0" w:color="auto"/>
                        <w:right w:val="none" w:sz="0" w:space="0" w:color="auto"/>
                      </w:divBdr>
                    </w:div>
                  </w:divsChild>
                </w:div>
                <w:div w:id="914783796">
                  <w:marLeft w:val="0"/>
                  <w:marRight w:val="0"/>
                  <w:marTop w:val="0"/>
                  <w:marBottom w:val="0"/>
                  <w:divBdr>
                    <w:top w:val="none" w:sz="0" w:space="0" w:color="auto"/>
                    <w:left w:val="none" w:sz="0" w:space="0" w:color="auto"/>
                    <w:bottom w:val="none" w:sz="0" w:space="0" w:color="auto"/>
                    <w:right w:val="none" w:sz="0" w:space="0" w:color="auto"/>
                  </w:divBdr>
                  <w:divsChild>
                    <w:div w:id="1445883429">
                      <w:marLeft w:val="0"/>
                      <w:marRight w:val="0"/>
                      <w:marTop w:val="0"/>
                      <w:marBottom w:val="0"/>
                      <w:divBdr>
                        <w:top w:val="none" w:sz="0" w:space="0" w:color="auto"/>
                        <w:left w:val="none" w:sz="0" w:space="0" w:color="auto"/>
                        <w:bottom w:val="none" w:sz="0" w:space="0" w:color="auto"/>
                        <w:right w:val="none" w:sz="0" w:space="0" w:color="auto"/>
                      </w:divBdr>
                    </w:div>
                  </w:divsChild>
                </w:div>
                <w:div w:id="928927987">
                  <w:marLeft w:val="0"/>
                  <w:marRight w:val="0"/>
                  <w:marTop w:val="0"/>
                  <w:marBottom w:val="0"/>
                  <w:divBdr>
                    <w:top w:val="none" w:sz="0" w:space="0" w:color="auto"/>
                    <w:left w:val="none" w:sz="0" w:space="0" w:color="auto"/>
                    <w:bottom w:val="none" w:sz="0" w:space="0" w:color="auto"/>
                    <w:right w:val="none" w:sz="0" w:space="0" w:color="auto"/>
                  </w:divBdr>
                  <w:divsChild>
                    <w:div w:id="567498663">
                      <w:marLeft w:val="0"/>
                      <w:marRight w:val="0"/>
                      <w:marTop w:val="0"/>
                      <w:marBottom w:val="0"/>
                      <w:divBdr>
                        <w:top w:val="none" w:sz="0" w:space="0" w:color="auto"/>
                        <w:left w:val="none" w:sz="0" w:space="0" w:color="auto"/>
                        <w:bottom w:val="none" w:sz="0" w:space="0" w:color="auto"/>
                        <w:right w:val="none" w:sz="0" w:space="0" w:color="auto"/>
                      </w:divBdr>
                    </w:div>
                  </w:divsChild>
                </w:div>
                <w:div w:id="937172792">
                  <w:marLeft w:val="0"/>
                  <w:marRight w:val="0"/>
                  <w:marTop w:val="0"/>
                  <w:marBottom w:val="0"/>
                  <w:divBdr>
                    <w:top w:val="none" w:sz="0" w:space="0" w:color="auto"/>
                    <w:left w:val="none" w:sz="0" w:space="0" w:color="auto"/>
                    <w:bottom w:val="none" w:sz="0" w:space="0" w:color="auto"/>
                    <w:right w:val="none" w:sz="0" w:space="0" w:color="auto"/>
                  </w:divBdr>
                  <w:divsChild>
                    <w:div w:id="1167096175">
                      <w:marLeft w:val="0"/>
                      <w:marRight w:val="0"/>
                      <w:marTop w:val="0"/>
                      <w:marBottom w:val="0"/>
                      <w:divBdr>
                        <w:top w:val="none" w:sz="0" w:space="0" w:color="auto"/>
                        <w:left w:val="none" w:sz="0" w:space="0" w:color="auto"/>
                        <w:bottom w:val="none" w:sz="0" w:space="0" w:color="auto"/>
                        <w:right w:val="none" w:sz="0" w:space="0" w:color="auto"/>
                      </w:divBdr>
                    </w:div>
                  </w:divsChild>
                </w:div>
                <w:div w:id="946305961">
                  <w:marLeft w:val="0"/>
                  <w:marRight w:val="0"/>
                  <w:marTop w:val="0"/>
                  <w:marBottom w:val="0"/>
                  <w:divBdr>
                    <w:top w:val="none" w:sz="0" w:space="0" w:color="auto"/>
                    <w:left w:val="none" w:sz="0" w:space="0" w:color="auto"/>
                    <w:bottom w:val="none" w:sz="0" w:space="0" w:color="auto"/>
                    <w:right w:val="none" w:sz="0" w:space="0" w:color="auto"/>
                  </w:divBdr>
                  <w:divsChild>
                    <w:div w:id="1509130150">
                      <w:marLeft w:val="0"/>
                      <w:marRight w:val="0"/>
                      <w:marTop w:val="0"/>
                      <w:marBottom w:val="0"/>
                      <w:divBdr>
                        <w:top w:val="none" w:sz="0" w:space="0" w:color="auto"/>
                        <w:left w:val="none" w:sz="0" w:space="0" w:color="auto"/>
                        <w:bottom w:val="none" w:sz="0" w:space="0" w:color="auto"/>
                        <w:right w:val="none" w:sz="0" w:space="0" w:color="auto"/>
                      </w:divBdr>
                    </w:div>
                  </w:divsChild>
                </w:div>
                <w:div w:id="952133097">
                  <w:marLeft w:val="0"/>
                  <w:marRight w:val="0"/>
                  <w:marTop w:val="0"/>
                  <w:marBottom w:val="0"/>
                  <w:divBdr>
                    <w:top w:val="none" w:sz="0" w:space="0" w:color="auto"/>
                    <w:left w:val="none" w:sz="0" w:space="0" w:color="auto"/>
                    <w:bottom w:val="none" w:sz="0" w:space="0" w:color="auto"/>
                    <w:right w:val="none" w:sz="0" w:space="0" w:color="auto"/>
                  </w:divBdr>
                  <w:divsChild>
                    <w:div w:id="1268274093">
                      <w:marLeft w:val="0"/>
                      <w:marRight w:val="0"/>
                      <w:marTop w:val="0"/>
                      <w:marBottom w:val="0"/>
                      <w:divBdr>
                        <w:top w:val="none" w:sz="0" w:space="0" w:color="auto"/>
                        <w:left w:val="none" w:sz="0" w:space="0" w:color="auto"/>
                        <w:bottom w:val="none" w:sz="0" w:space="0" w:color="auto"/>
                        <w:right w:val="none" w:sz="0" w:space="0" w:color="auto"/>
                      </w:divBdr>
                    </w:div>
                  </w:divsChild>
                </w:div>
                <w:div w:id="961496655">
                  <w:marLeft w:val="0"/>
                  <w:marRight w:val="0"/>
                  <w:marTop w:val="0"/>
                  <w:marBottom w:val="0"/>
                  <w:divBdr>
                    <w:top w:val="none" w:sz="0" w:space="0" w:color="auto"/>
                    <w:left w:val="none" w:sz="0" w:space="0" w:color="auto"/>
                    <w:bottom w:val="none" w:sz="0" w:space="0" w:color="auto"/>
                    <w:right w:val="none" w:sz="0" w:space="0" w:color="auto"/>
                  </w:divBdr>
                  <w:divsChild>
                    <w:div w:id="1041322585">
                      <w:marLeft w:val="0"/>
                      <w:marRight w:val="0"/>
                      <w:marTop w:val="0"/>
                      <w:marBottom w:val="0"/>
                      <w:divBdr>
                        <w:top w:val="none" w:sz="0" w:space="0" w:color="auto"/>
                        <w:left w:val="none" w:sz="0" w:space="0" w:color="auto"/>
                        <w:bottom w:val="none" w:sz="0" w:space="0" w:color="auto"/>
                        <w:right w:val="none" w:sz="0" w:space="0" w:color="auto"/>
                      </w:divBdr>
                    </w:div>
                  </w:divsChild>
                </w:div>
                <w:div w:id="964778424">
                  <w:marLeft w:val="0"/>
                  <w:marRight w:val="0"/>
                  <w:marTop w:val="0"/>
                  <w:marBottom w:val="0"/>
                  <w:divBdr>
                    <w:top w:val="none" w:sz="0" w:space="0" w:color="auto"/>
                    <w:left w:val="none" w:sz="0" w:space="0" w:color="auto"/>
                    <w:bottom w:val="none" w:sz="0" w:space="0" w:color="auto"/>
                    <w:right w:val="none" w:sz="0" w:space="0" w:color="auto"/>
                  </w:divBdr>
                  <w:divsChild>
                    <w:div w:id="1206285965">
                      <w:marLeft w:val="0"/>
                      <w:marRight w:val="0"/>
                      <w:marTop w:val="0"/>
                      <w:marBottom w:val="0"/>
                      <w:divBdr>
                        <w:top w:val="none" w:sz="0" w:space="0" w:color="auto"/>
                        <w:left w:val="none" w:sz="0" w:space="0" w:color="auto"/>
                        <w:bottom w:val="none" w:sz="0" w:space="0" w:color="auto"/>
                        <w:right w:val="none" w:sz="0" w:space="0" w:color="auto"/>
                      </w:divBdr>
                    </w:div>
                  </w:divsChild>
                </w:div>
                <w:div w:id="965693852">
                  <w:marLeft w:val="0"/>
                  <w:marRight w:val="0"/>
                  <w:marTop w:val="0"/>
                  <w:marBottom w:val="0"/>
                  <w:divBdr>
                    <w:top w:val="none" w:sz="0" w:space="0" w:color="auto"/>
                    <w:left w:val="none" w:sz="0" w:space="0" w:color="auto"/>
                    <w:bottom w:val="none" w:sz="0" w:space="0" w:color="auto"/>
                    <w:right w:val="none" w:sz="0" w:space="0" w:color="auto"/>
                  </w:divBdr>
                  <w:divsChild>
                    <w:div w:id="414715222">
                      <w:marLeft w:val="0"/>
                      <w:marRight w:val="0"/>
                      <w:marTop w:val="0"/>
                      <w:marBottom w:val="0"/>
                      <w:divBdr>
                        <w:top w:val="none" w:sz="0" w:space="0" w:color="auto"/>
                        <w:left w:val="none" w:sz="0" w:space="0" w:color="auto"/>
                        <w:bottom w:val="none" w:sz="0" w:space="0" w:color="auto"/>
                        <w:right w:val="none" w:sz="0" w:space="0" w:color="auto"/>
                      </w:divBdr>
                    </w:div>
                  </w:divsChild>
                </w:div>
                <w:div w:id="970674700">
                  <w:marLeft w:val="0"/>
                  <w:marRight w:val="0"/>
                  <w:marTop w:val="0"/>
                  <w:marBottom w:val="0"/>
                  <w:divBdr>
                    <w:top w:val="none" w:sz="0" w:space="0" w:color="auto"/>
                    <w:left w:val="none" w:sz="0" w:space="0" w:color="auto"/>
                    <w:bottom w:val="none" w:sz="0" w:space="0" w:color="auto"/>
                    <w:right w:val="none" w:sz="0" w:space="0" w:color="auto"/>
                  </w:divBdr>
                  <w:divsChild>
                    <w:div w:id="1073314809">
                      <w:marLeft w:val="0"/>
                      <w:marRight w:val="0"/>
                      <w:marTop w:val="0"/>
                      <w:marBottom w:val="0"/>
                      <w:divBdr>
                        <w:top w:val="none" w:sz="0" w:space="0" w:color="auto"/>
                        <w:left w:val="none" w:sz="0" w:space="0" w:color="auto"/>
                        <w:bottom w:val="none" w:sz="0" w:space="0" w:color="auto"/>
                        <w:right w:val="none" w:sz="0" w:space="0" w:color="auto"/>
                      </w:divBdr>
                    </w:div>
                  </w:divsChild>
                </w:div>
                <w:div w:id="982345195">
                  <w:marLeft w:val="0"/>
                  <w:marRight w:val="0"/>
                  <w:marTop w:val="0"/>
                  <w:marBottom w:val="0"/>
                  <w:divBdr>
                    <w:top w:val="none" w:sz="0" w:space="0" w:color="auto"/>
                    <w:left w:val="none" w:sz="0" w:space="0" w:color="auto"/>
                    <w:bottom w:val="none" w:sz="0" w:space="0" w:color="auto"/>
                    <w:right w:val="none" w:sz="0" w:space="0" w:color="auto"/>
                  </w:divBdr>
                  <w:divsChild>
                    <w:div w:id="1429354011">
                      <w:marLeft w:val="0"/>
                      <w:marRight w:val="0"/>
                      <w:marTop w:val="0"/>
                      <w:marBottom w:val="0"/>
                      <w:divBdr>
                        <w:top w:val="none" w:sz="0" w:space="0" w:color="auto"/>
                        <w:left w:val="none" w:sz="0" w:space="0" w:color="auto"/>
                        <w:bottom w:val="none" w:sz="0" w:space="0" w:color="auto"/>
                        <w:right w:val="none" w:sz="0" w:space="0" w:color="auto"/>
                      </w:divBdr>
                    </w:div>
                  </w:divsChild>
                </w:div>
                <w:div w:id="986782854">
                  <w:marLeft w:val="0"/>
                  <w:marRight w:val="0"/>
                  <w:marTop w:val="0"/>
                  <w:marBottom w:val="0"/>
                  <w:divBdr>
                    <w:top w:val="none" w:sz="0" w:space="0" w:color="auto"/>
                    <w:left w:val="none" w:sz="0" w:space="0" w:color="auto"/>
                    <w:bottom w:val="none" w:sz="0" w:space="0" w:color="auto"/>
                    <w:right w:val="none" w:sz="0" w:space="0" w:color="auto"/>
                  </w:divBdr>
                  <w:divsChild>
                    <w:div w:id="1798791156">
                      <w:marLeft w:val="0"/>
                      <w:marRight w:val="0"/>
                      <w:marTop w:val="0"/>
                      <w:marBottom w:val="0"/>
                      <w:divBdr>
                        <w:top w:val="none" w:sz="0" w:space="0" w:color="auto"/>
                        <w:left w:val="none" w:sz="0" w:space="0" w:color="auto"/>
                        <w:bottom w:val="none" w:sz="0" w:space="0" w:color="auto"/>
                        <w:right w:val="none" w:sz="0" w:space="0" w:color="auto"/>
                      </w:divBdr>
                    </w:div>
                  </w:divsChild>
                </w:div>
                <w:div w:id="989941861">
                  <w:marLeft w:val="0"/>
                  <w:marRight w:val="0"/>
                  <w:marTop w:val="0"/>
                  <w:marBottom w:val="0"/>
                  <w:divBdr>
                    <w:top w:val="none" w:sz="0" w:space="0" w:color="auto"/>
                    <w:left w:val="none" w:sz="0" w:space="0" w:color="auto"/>
                    <w:bottom w:val="none" w:sz="0" w:space="0" w:color="auto"/>
                    <w:right w:val="none" w:sz="0" w:space="0" w:color="auto"/>
                  </w:divBdr>
                  <w:divsChild>
                    <w:div w:id="844829362">
                      <w:marLeft w:val="0"/>
                      <w:marRight w:val="0"/>
                      <w:marTop w:val="0"/>
                      <w:marBottom w:val="0"/>
                      <w:divBdr>
                        <w:top w:val="none" w:sz="0" w:space="0" w:color="auto"/>
                        <w:left w:val="none" w:sz="0" w:space="0" w:color="auto"/>
                        <w:bottom w:val="none" w:sz="0" w:space="0" w:color="auto"/>
                        <w:right w:val="none" w:sz="0" w:space="0" w:color="auto"/>
                      </w:divBdr>
                    </w:div>
                  </w:divsChild>
                </w:div>
                <w:div w:id="990864917">
                  <w:marLeft w:val="0"/>
                  <w:marRight w:val="0"/>
                  <w:marTop w:val="0"/>
                  <w:marBottom w:val="0"/>
                  <w:divBdr>
                    <w:top w:val="none" w:sz="0" w:space="0" w:color="auto"/>
                    <w:left w:val="none" w:sz="0" w:space="0" w:color="auto"/>
                    <w:bottom w:val="none" w:sz="0" w:space="0" w:color="auto"/>
                    <w:right w:val="none" w:sz="0" w:space="0" w:color="auto"/>
                  </w:divBdr>
                  <w:divsChild>
                    <w:div w:id="1981228580">
                      <w:marLeft w:val="0"/>
                      <w:marRight w:val="0"/>
                      <w:marTop w:val="0"/>
                      <w:marBottom w:val="0"/>
                      <w:divBdr>
                        <w:top w:val="none" w:sz="0" w:space="0" w:color="auto"/>
                        <w:left w:val="none" w:sz="0" w:space="0" w:color="auto"/>
                        <w:bottom w:val="none" w:sz="0" w:space="0" w:color="auto"/>
                        <w:right w:val="none" w:sz="0" w:space="0" w:color="auto"/>
                      </w:divBdr>
                    </w:div>
                  </w:divsChild>
                </w:div>
                <w:div w:id="997658701">
                  <w:marLeft w:val="0"/>
                  <w:marRight w:val="0"/>
                  <w:marTop w:val="0"/>
                  <w:marBottom w:val="0"/>
                  <w:divBdr>
                    <w:top w:val="none" w:sz="0" w:space="0" w:color="auto"/>
                    <w:left w:val="none" w:sz="0" w:space="0" w:color="auto"/>
                    <w:bottom w:val="none" w:sz="0" w:space="0" w:color="auto"/>
                    <w:right w:val="none" w:sz="0" w:space="0" w:color="auto"/>
                  </w:divBdr>
                  <w:divsChild>
                    <w:div w:id="102845483">
                      <w:marLeft w:val="0"/>
                      <w:marRight w:val="0"/>
                      <w:marTop w:val="0"/>
                      <w:marBottom w:val="0"/>
                      <w:divBdr>
                        <w:top w:val="none" w:sz="0" w:space="0" w:color="auto"/>
                        <w:left w:val="none" w:sz="0" w:space="0" w:color="auto"/>
                        <w:bottom w:val="none" w:sz="0" w:space="0" w:color="auto"/>
                        <w:right w:val="none" w:sz="0" w:space="0" w:color="auto"/>
                      </w:divBdr>
                    </w:div>
                  </w:divsChild>
                </w:div>
                <w:div w:id="998389717">
                  <w:marLeft w:val="0"/>
                  <w:marRight w:val="0"/>
                  <w:marTop w:val="0"/>
                  <w:marBottom w:val="0"/>
                  <w:divBdr>
                    <w:top w:val="none" w:sz="0" w:space="0" w:color="auto"/>
                    <w:left w:val="none" w:sz="0" w:space="0" w:color="auto"/>
                    <w:bottom w:val="none" w:sz="0" w:space="0" w:color="auto"/>
                    <w:right w:val="none" w:sz="0" w:space="0" w:color="auto"/>
                  </w:divBdr>
                  <w:divsChild>
                    <w:div w:id="1640186549">
                      <w:marLeft w:val="0"/>
                      <w:marRight w:val="0"/>
                      <w:marTop w:val="0"/>
                      <w:marBottom w:val="0"/>
                      <w:divBdr>
                        <w:top w:val="none" w:sz="0" w:space="0" w:color="auto"/>
                        <w:left w:val="none" w:sz="0" w:space="0" w:color="auto"/>
                        <w:bottom w:val="none" w:sz="0" w:space="0" w:color="auto"/>
                        <w:right w:val="none" w:sz="0" w:space="0" w:color="auto"/>
                      </w:divBdr>
                    </w:div>
                  </w:divsChild>
                </w:div>
                <w:div w:id="1010258763">
                  <w:marLeft w:val="0"/>
                  <w:marRight w:val="0"/>
                  <w:marTop w:val="0"/>
                  <w:marBottom w:val="0"/>
                  <w:divBdr>
                    <w:top w:val="none" w:sz="0" w:space="0" w:color="auto"/>
                    <w:left w:val="none" w:sz="0" w:space="0" w:color="auto"/>
                    <w:bottom w:val="none" w:sz="0" w:space="0" w:color="auto"/>
                    <w:right w:val="none" w:sz="0" w:space="0" w:color="auto"/>
                  </w:divBdr>
                  <w:divsChild>
                    <w:div w:id="1177304550">
                      <w:marLeft w:val="0"/>
                      <w:marRight w:val="0"/>
                      <w:marTop w:val="0"/>
                      <w:marBottom w:val="0"/>
                      <w:divBdr>
                        <w:top w:val="none" w:sz="0" w:space="0" w:color="auto"/>
                        <w:left w:val="none" w:sz="0" w:space="0" w:color="auto"/>
                        <w:bottom w:val="none" w:sz="0" w:space="0" w:color="auto"/>
                        <w:right w:val="none" w:sz="0" w:space="0" w:color="auto"/>
                      </w:divBdr>
                    </w:div>
                  </w:divsChild>
                </w:div>
                <w:div w:id="1011957065">
                  <w:marLeft w:val="0"/>
                  <w:marRight w:val="0"/>
                  <w:marTop w:val="0"/>
                  <w:marBottom w:val="0"/>
                  <w:divBdr>
                    <w:top w:val="none" w:sz="0" w:space="0" w:color="auto"/>
                    <w:left w:val="none" w:sz="0" w:space="0" w:color="auto"/>
                    <w:bottom w:val="none" w:sz="0" w:space="0" w:color="auto"/>
                    <w:right w:val="none" w:sz="0" w:space="0" w:color="auto"/>
                  </w:divBdr>
                  <w:divsChild>
                    <w:div w:id="202180156">
                      <w:marLeft w:val="0"/>
                      <w:marRight w:val="0"/>
                      <w:marTop w:val="0"/>
                      <w:marBottom w:val="0"/>
                      <w:divBdr>
                        <w:top w:val="none" w:sz="0" w:space="0" w:color="auto"/>
                        <w:left w:val="none" w:sz="0" w:space="0" w:color="auto"/>
                        <w:bottom w:val="none" w:sz="0" w:space="0" w:color="auto"/>
                        <w:right w:val="none" w:sz="0" w:space="0" w:color="auto"/>
                      </w:divBdr>
                    </w:div>
                  </w:divsChild>
                </w:div>
                <w:div w:id="1012880423">
                  <w:marLeft w:val="0"/>
                  <w:marRight w:val="0"/>
                  <w:marTop w:val="0"/>
                  <w:marBottom w:val="0"/>
                  <w:divBdr>
                    <w:top w:val="none" w:sz="0" w:space="0" w:color="auto"/>
                    <w:left w:val="none" w:sz="0" w:space="0" w:color="auto"/>
                    <w:bottom w:val="none" w:sz="0" w:space="0" w:color="auto"/>
                    <w:right w:val="none" w:sz="0" w:space="0" w:color="auto"/>
                  </w:divBdr>
                  <w:divsChild>
                    <w:div w:id="960262570">
                      <w:marLeft w:val="0"/>
                      <w:marRight w:val="0"/>
                      <w:marTop w:val="0"/>
                      <w:marBottom w:val="0"/>
                      <w:divBdr>
                        <w:top w:val="none" w:sz="0" w:space="0" w:color="auto"/>
                        <w:left w:val="none" w:sz="0" w:space="0" w:color="auto"/>
                        <w:bottom w:val="none" w:sz="0" w:space="0" w:color="auto"/>
                        <w:right w:val="none" w:sz="0" w:space="0" w:color="auto"/>
                      </w:divBdr>
                    </w:div>
                  </w:divsChild>
                </w:div>
                <w:div w:id="1014378148">
                  <w:marLeft w:val="0"/>
                  <w:marRight w:val="0"/>
                  <w:marTop w:val="0"/>
                  <w:marBottom w:val="0"/>
                  <w:divBdr>
                    <w:top w:val="none" w:sz="0" w:space="0" w:color="auto"/>
                    <w:left w:val="none" w:sz="0" w:space="0" w:color="auto"/>
                    <w:bottom w:val="none" w:sz="0" w:space="0" w:color="auto"/>
                    <w:right w:val="none" w:sz="0" w:space="0" w:color="auto"/>
                  </w:divBdr>
                  <w:divsChild>
                    <w:div w:id="664018300">
                      <w:marLeft w:val="0"/>
                      <w:marRight w:val="0"/>
                      <w:marTop w:val="0"/>
                      <w:marBottom w:val="0"/>
                      <w:divBdr>
                        <w:top w:val="none" w:sz="0" w:space="0" w:color="auto"/>
                        <w:left w:val="none" w:sz="0" w:space="0" w:color="auto"/>
                        <w:bottom w:val="none" w:sz="0" w:space="0" w:color="auto"/>
                        <w:right w:val="none" w:sz="0" w:space="0" w:color="auto"/>
                      </w:divBdr>
                    </w:div>
                  </w:divsChild>
                </w:div>
                <w:div w:id="1016928987">
                  <w:marLeft w:val="0"/>
                  <w:marRight w:val="0"/>
                  <w:marTop w:val="0"/>
                  <w:marBottom w:val="0"/>
                  <w:divBdr>
                    <w:top w:val="none" w:sz="0" w:space="0" w:color="auto"/>
                    <w:left w:val="none" w:sz="0" w:space="0" w:color="auto"/>
                    <w:bottom w:val="none" w:sz="0" w:space="0" w:color="auto"/>
                    <w:right w:val="none" w:sz="0" w:space="0" w:color="auto"/>
                  </w:divBdr>
                  <w:divsChild>
                    <w:div w:id="2006396152">
                      <w:marLeft w:val="0"/>
                      <w:marRight w:val="0"/>
                      <w:marTop w:val="0"/>
                      <w:marBottom w:val="0"/>
                      <w:divBdr>
                        <w:top w:val="none" w:sz="0" w:space="0" w:color="auto"/>
                        <w:left w:val="none" w:sz="0" w:space="0" w:color="auto"/>
                        <w:bottom w:val="none" w:sz="0" w:space="0" w:color="auto"/>
                        <w:right w:val="none" w:sz="0" w:space="0" w:color="auto"/>
                      </w:divBdr>
                    </w:div>
                  </w:divsChild>
                </w:div>
                <w:div w:id="1024403172">
                  <w:marLeft w:val="0"/>
                  <w:marRight w:val="0"/>
                  <w:marTop w:val="0"/>
                  <w:marBottom w:val="0"/>
                  <w:divBdr>
                    <w:top w:val="none" w:sz="0" w:space="0" w:color="auto"/>
                    <w:left w:val="none" w:sz="0" w:space="0" w:color="auto"/>
                    <w:bottom w:val="none" w:sz="0" w:space="0" w:color="auto"/>
                    <w:right w:val="none" w:sz="0" w:space="0" w:color="auto"/>
                  </w:divBdr>
                  <w:divsChild>
                    <w:div w:id="834955076">
                      <w:marLeft w:val="0"/>
                      <w:marRight w:val="0"/>
                      <w:marTop w:val="0"/>
                      <w:marBottom w:val="0"/>
                      <w:divBdr>
                        <w:top w:val="none" w:sz="0" w:space="0" w:color="auto"/>
                        <w:left w:val="none" w:sz="0" w:space="0" w:color="auto"/>
                        <w:bottom w:val="none" w:sz="0" w:space="0" w:color="auto"/>
                        <w:right w:val="none" w:sz="0" w:space="0" w:color="auto"/>
                      </w:divBdr>
                    </w:div>
                  </w:divsChild>
                </w:div>
                <w:div w:id="1034308095">
                  <w:marLeft w:val="0"/>
                  <w:marRight w:val="0"/>
                  <w:marTop w:val="0"/>
                  <w:marBottom w:val="0"/>
                  <w:divBdr>
                    <w:top w:val="none" w:sz="0" w:space="0" w:color="auto"/>
                    <w:left w:val="none" w:sz="0" w:space="0" w:color="auto"/>
                    <w:bottom w:val="none" w:sz="0" w:space="0" w:color="auto"/>
                    <w:right w:val="none" w:sz="0" w:space="0" w:color="auto"/>
                  </w:divBdr>
                  <w:divsChild>
                    <w:div w:id="567542942">
                      <w:marLeft w:val="0"/>
                      <w:marRight w:val="0"/>
                      <w:marTop w:val="0"/>
                      <w:marBottom w:val="0"/>
                      <w:divBdr>
                        <w:top w:val="none" w:sz="0" w:space="0" w:color="auto"/>
                        <w:left w:val="none" w:sz="0" w:space="0" w:color="auto"/>
                        <w:bottom w:val="none" w:sz="0" w:space="0" w:color="auto"/>
                        <w:right w:val="none" w:sz="0" w:space="0" w:color="auto"/>
                      </w:divBdr>
                    </w:div>
                  </w:divsChild>
                </w:div>
                <w:div w:id="1037899546">
                  <w:marLeft w:val="0"/>
                  <w:marRight w:val="0"/>
                  <w:marTop w:val="0"/>
                  <w:marBottom w:val="0"/>
                  <w:divBdr>
                    <w:top w:val="none" w:sz="0" w:space="0" w:color="auto"/>
                    <w:left w:val="none" w:sz="0" w:space="0" w:color="auto"/>
                    <w:bottom w:val="none" w:sz="0" w:space="0" w:color="auto"/>
                    <w:right w:val="none" w:sz="0" w:space="0" w:color="auto"/>
                  </w:divBdr>
                  <w:divsChild>
                    <w:div w:id="810752530">
                      <w:marLeft w:val="0"/>
                      <w:marRight w:val="0"/>
                      <w:marTop w:val="0"/>
                      <w:marBottom w:val="0"/>
                      <w:divBdr>
                        <w:top w:val="none" w:sz="0" w:space="0" w:color="auto"/>
                        <w:left w:val="none" w:sz="0" w:space="0" w:color="auto"/>
                        <w:bottom w:val="none" w:sz="0" w:space="0" w:color="auto"/>
                        <w:right w:val="none" w:sz="0" w:space="0" w:color="auto"/>
                      </w:divBdr>
                    </w:div>
                  </w:divsChild>
                </w:div>
                <w:div w:id="1039663544">
                  <w:marLeft w:val="0"/>
                  <w:marRight w:val="0"/>
                  <w:marTop w:val="0"/>
                  <w:marBottom w:val="0"/>
                  <w:divBdr>
                    <w:top w:val="none" w:sz="0" w:space="0" w:color="auto"/>
                    <w:left w:val="none" w:sz="0" w:space="0" w:color="auto"/>
                    <w:bottom w:val="none" w:sz="0" w:space="0" w:color="auto"/>
                    <w:right w:val="none" w:sz="0" w:space="0" w:color="auto"/>
                  </w:divBdr>
                  <w:divsChild>
                    <w:div w:id="1367755926">
                      <w:marLeft w:val="0"/>
                      <w:marRight w:val="0"/>
                      <w:marTop w:val="0"/>
                      <w:marBottom w:val="0"/>
                      <w:divBdr>
                        <w:top w:val="none" w:sz="0" w:space="0" w:color="auto"/>
                        <w:left w:val="none" w:sz="0" w:space="0" w:color="auto"/>
                        <w:bottom w:val="none" w:sz="0" w:space="0" w:color="auto"/>
                        <w:right w:val="none" w:sz="0" w:space="0" w:color="auto"/>
                      </w:divBdr>
                    </w:div>
                  </w:divsChild>
                </w:div>
                <w:div w:id="1048264372">
                  <w:marLeft w:val="0"/>
                  <w:marRight w:val="0"/>
                  <w:marTop w:val="0"/>
                  <w:marBottom w:val="0"/>
                  <w:divBdr>
                    <w:top w:val="none" w:sz="0" w:space="0" w:color="auto"/>
                    <w:left w:val="none" w:sz="0" w:space="0" w:color="auto"/>
                    <w:bottom w:val="none" w:sz="0" w:space="0" w:color="auto"/>
                    <w:right w:val="none" w:sz="0" w:space="0" w:color="auto"/>
                  </w:divBdr>
                  <w:divsChild>
                    <w:div w:id="2118284598">
                      <w:marLeft w:val="0"/>
                      <w:marRight w:val="0"/>
                      <w:marTop w:val="0"/>
                      <w:marBottom w:val="0"/>
                      <w:divBdr>
                        <w:top w:val="none" w:sz="0" w:space="0" w:color="auto"/>
                        <w:left w:val="none" w:sz="0" w:space="0" w:color="auto"/>
                        <w:bottom w:val="none" w:sz="0" w:space="0" w:color="auto"/>
                        <w:right w:val="none" w:sz="0" w:space="0" w:color="auto"/>
                      </w:divBdr>
                    </w:div>
                  </w:divsChild>
                </w:div>
                <w:div w:id="1049957582">
                  <w:marLeft w:val="0"/>
                  <w:marRight w:val="0"/>
                  <w:marTop w:val="0"/>
                  <w:marBottom w:val="0"/>
                  <w:divBdr>
                    <w:top w:val="none" w:sz="0" w:space="0" w:color="auto"/>
                    <w:left w:val="none" w:sz="0" w:space="0" w:color="auto"/>
                    <w:bottom w:val="none" w:sz="0" w:space="0" w:color="auto"/>
                    <w:right w:val="none" w:sz="0" w:space="0" w:color="auto"/>
                  </w:divBdr>
                  <w:divsChild>
                    <w:div w:id="520509277">
                      <w:marLeft w:val="0"/>
                      <w:marRight w:val="0"/>
                      <w:marTop w:val="0"/>
                      <w:marBottom w:val="0"/>
                      <w:divBdr>
                        <w:top w:val="none" w:sz="0" w:space="0" w:color="auto"/>
                        <w:left w:val="none" w:sz="0" w:space="0" w:color="auto"/>
                        <w:bottom w:val="none" w:sz="0" w:space="0" w:color="auto"/>
                        <w:right w:val="none" w:sz="0" w:space="0" w:color="auto"/>
                      </w:divBdr>
                    </w:div>
                  </w:divsChild>
                </w:div>
                <w:div w:id="1051072286">
                  <w:marLeft w:val="0"/>
                  <w:marRight w:val="0"/>
                  <w:marTop w:val="0"/>
                  <w:marBottom w:val="0"/>
                  <w:divBdr>
                    <w:top w:val="none" w:sz="0" w:space="0" w:color="auto"/>
                    <w:left w:val="none" w:sz="0" w:space="0" w:color="auto"/>
                    <w:bottom w:val="none" w:sz="0" w:space="0" w:color="auto"/>
                    <w:right w:val="none" w:sz="0" w:space="0" w:color="auto"/>
                  </w:divBdr>
                  <w:divsChild>
                    <w:div w:id="1435830044">
                      <w:marLeft w:val="0"/>
                      <w:marRight w:val="0"/>
                      <w:marTop w:val="0"/>
                      <w:marBottom w:val="0"/>
                      <w:divBdr>
                        <w:top w:val="none" w:sz="0" w:space="0" w:color="auto"/>
                        <w:left w:val="none" w:sz="0" w:space="0" w:color="auto"/>
                        <w:bottom w:val="none" w:sz="0" w:space="0" w:color="auto"/>
                        <w:right w:val="none" w:sz="0" w:space="0" w:color="auto"/>
                      </w:divBdr>
                    </w:div>
                  </w:divsChild>
                </w:div>
                <w:div w:id="1054962586">
                  <w:marLeft w:val="0"/>
                  <w:marRight w:val="0"/>
                  <w:marTop w:val="0"/>
                  <w:marBottom w:val="0"/>
                  <w:divBdr>
                    <w:top w:val="none" w:sz="0" w:space="0" w:color="auto"/>
                    <w:left w:val="none" w:sz="0" w:space="0" w:color="auto"/>
                    <w:bottom w:val="none" w:sz="0" w:space="0" w:color="auto"/>
                    <w:right w:val="none" w:sz="0" w:space="0" w:color="auto"/>
                  </w:divBdr>
                  <w:divsChild>
                    <w:div w:id="1428424883">
                      <w:marLeft w:val="0"/>
                      <w:marRight w:val="0"/>
                      <w:marTop w:val="0"/>
                      <w:marBottom w:val="0"/>
                      <w:divBdr>
                        <w:top w:val="none" w:sz="0" w:space="0" w:color="auto"/>
                        <w:left w:val="none" w:sz="0" w:space="0" w:color="auto"/>
                        <w:bottom w:val="none" w:sz="0" w:space="0" w:color="auto"/>
                        <w:right w:val="none" w:sz="0" w:space="0" w:color="auto"/>
                      </w:divBdr>
                    </w:div>
                  </w:divsChild>
                </w:div>
                <w:div w:id="1056470046">
                  <w:marLeft w:val="0"/>
                  <w:marRight w:val="0"/>
                  <w:marTop w:val="0"/>
                  <w:marBottom w:val="0"/>
                  <w:divBdr>
                    <w:top w:val="none" w:sz="0" w:space="0" w:color="auto"/>
                    <w:left w:val="none" w:sz="0" w:space="0" w:color="auto"/>
                    <w:bottom w:val="none" w:sz="0" w:space="0" w:color="auto"/>
                    <w:right w:val="none" w:sz="0" w:space="0" w:color="auto"/>
                  </w:divBdr>
                  <w:divsChild>
                    <w:div w:id="591821654">
                      <w:marLeft w:val="0"/>
                      <w:marRight w:val="0"/>
                      <w:marTop w:val="0"/>
                      <w:marBottom w:val="0"/>
                      <w:divBdr>
                        <w:top w:val="none" w:sz="0" w:space="0" w:color="auto"/>
                        <w:left w:val="none" w:sz="0" w:space="0" w:color="auto"/>
                        <w:bottom w:val="none" w:sz="0" w:space="0" w:color="auto"/>
                        <w:right w:val="none" w:sz="0" w:space="0" w:color="auto"/>
                      </w:divBdr>
                    </w:div>
                  </w:divsChild>
                </w:div>
                <w:div w:id="1065101583">
                  <w:marLeft w:val="0"/>
                  <w:marRight w:val="0"/>
                  <w:marTop w:val="0"/>
                  <w:marBottom w:val="0"/>
                  <w:divBdr>
                    <w:top w:val="none" w:sz="0" w:space="0" w:color="auto"/>
                    <w:left w:val="none" w:sz="0" w:space="0" w:color="auto"/>
                    <w:bottom w:val="none" w:sz="0" w:space="0" w:color="auto"/>
                    <w:right w:val="none" w:sz="0" w:space="0" w:color="auto"/>
                  </w:divBdr>
                  <w:divsChild>
                    <w:div w:id="2067560358">
                      <w:marLeft w:val="0"/>
                      <w:marRight w:val="0"/>
                      <w:marTop w:val="0"/>
                      <w:marBottom w:val="0"/>
                      <w:divBdr>
                        <w:top w:val="none" w:sz="0" w:space="0" w:color="auto"/>
                        <w:left w:val="none" w:sz="0" w:space="0" w:color="auto"/>
                        <w:bottom w:val="none" w:sz="0" w:space="0" w:color="auto"/>
                        <w:right w:val="none" w:sz="0" w:space="0" w:color="auto"/>
                      </w:divBdr>
                    </w:div>
                  </w:divsChild>
                </w:div>
                <w:div w:id="1069036369">
                  <w:marLeft w:val="0"/>
                  <w:marRight w:val="0"/>
                  <w:marTop w:val="0"/>
                  <w:marBottom w:val="0"/>
                  <w:divBdr>
                    <w:top w:val="none" w:sz="0" w:space="0" w:color="auto"/>
                    <w:left w:val="none" w:sz="0" w:space="0" w:color="auto"/>
                    <w:bottom w:val="none" w:sz="0" w:space="0" w:color="auto"/>
                    <w:right w:val="none" w:sz="0" w:space="0" w:color="auto"/>
                  </w:divBdr>
                  <w:divsChild>
                    <w:div w:id="1404184607">
                      <w:marLeft w:val="0"/>
                      <w:marRight w:val="0"/>
                      <w:marTop w:val="0"/>
                      <w:marBottom w:val="0"/>
                      <w:divBdr>
                        <w:top w:val="none" w:sz="0" w:space="0" w:color="auto"/>
                        <w:left w:val="none" w:sz="0" w:space="0" w:color="auto"/>
                        <w:bottom w:val="none" w:sz="0" w:space="0" w:color="auto"/>
                        <w:right w:val="none" w:sz="0" w:space="0" w:color="auto"/>
                      </w:divBdr>
                    </w:div>
                  </w:divsChild>
                </w:div>
                <w:div w:id="1078282113">
                  <w:marLeft w:val="0"/>
                  <w:marRight w:val="0"/>
                  <w:marTop w:val="0"/>
                  <w:marBottom w:val="0"/>
                  <w:divBdr>
                    <w:top w:val="none" w:sz="0" w:space="0" w:color="auto"/>
                    <w:left w:val="none" w:sz="0" w:space="0" w:color="auto"/>
                    <w:bottom w:val="none" w:sz="0" w:space="0" w:color="auto"/>
                    <w:right w:val="none" w:sz="0" w:space="0" w:color="auto"/>
                  </w:divBdr>
                  <w:divsChild>
                    <w:div w:id="1211189485">
                      <w:marLeft w:val="0"/>
                      <w:marRight w:val="0"/>
                      <w:marTop w:val="0"/>
                      <w:marBottom w:val="0"/>
                      <w:divBdr>
                        <w:top w:val="none" w:sz="0" w:space="0" w:color="auto"/>
                        <w:left w:val="none" w:sz="0" w:space="0" w:color="auto"/>
                        <w:bottom w:val="none" w:sz="0" w:space="0" w:color="auto"/>
                        <w:right w:val="none" w:sz="0" w:space="0" w:color="auto"/>
                      </w:divBdr>
                    </w:div>
                  </w:divsChild>
                </w:div>
                <w:div w:id="1079250419">
                  <w:marLeft w:val="0"/>
                  <w:marRight w:val="0"/>
                  <w:marTop w:val="0"/>
                  <w:marBottom w:val="0"/>
                  <w:divBdr>
                    <w:top w:val="none" w:sz="0" w:space="0" w:color="auto"/>
                    <w:left w:val="none" w:sz="0" w:space="0" w:color="auto"/>
                    <w:bottom w:val="none" w:sz="0" w:space="0" w:color="auto"/>
                    <w:right w:val="none" w:sz="0" w:space="0" w:color="auto"/>
                  </w:divBdr>
                  <w:divsChild>
                    <w:div w:id="1689864923">
                      <w:marLeft w:val="0"/>
                      <w:marRight w:val="0"/>
                      <w:marTop w:val="0"/>
                      <w:marBottom w:val="0"/>
                      <w:divBdr>
                        <w:top w:val="none" w:sz="0" w:space="0" w:color="auto"/>
                        <w:left w:val="none" w:sz="0" w:space="0" w:color="auto"/>
                        <w:bottom w:val="none" w:sz="0" w:space="0" w:color="auto"/>
                        <w:right w:val="none" w:sz="0" w:space="0" w:color="auto"/>
                      </w:divBdr>
                    </w:div>
                  </w:divsChild>
                </w:div>
                <w:div w:id="1093938405">
                  <w:marLeft w:val="0"/>
                  <w:marRight w:val="0"/>
                  <w:marTop w:val="0"/>
                  <w:marBottom w:val="0"/>
                  <w:divBdr>
                    <w:top w:val="none" w:sz="0" w:space="0" w:color="auto"/>
                    <w:left w:val="none" w:sz="0" w:space="0" w:color="auto"/>
                    <w:bottom w:val="none" w:sz="0" w:space="0" w:color="auto"/>
                    <w:right w:val="none" w:sz="0" w:space="0" w:color="auto"/>
                  </w:divBdr>
                  <w:divsChild>
                    <w:div w:id="123541928">
                      <w:marLeft w:val="0"/>
                      <w:marRight w:val="0"/>
                      <w:marTop w:val="0"/>
                      <w:marBottom w:val="0"/>
                      <w:divBdr>
                        <w:top w:val="none" w:sz="0" w:space="0" w:color="auto"/>
                        <w:left w:val="none" w:sz="0" w:space="0" w:color="auto"/>
                        <w:bottom w:val="none" w:sz="0" w:space="0" w:color="auto"/>
                        <w:right w:val="none" w:sz="0" w:space="0" w:color="auto"/>
                      </w:divBdr>
                    </w:div>
                  </w:divsChild>
                </w:div>
                <w:div w:id="1104031614">
                  <w:marLeft w:val="0"/>
                  <w:marRight w:val="0"/>
                  <w:marTop w:val="0"/>
                  <w:marBottom w:val="0"/>
                  <w:divBdr>
                    <w:top w:val="none" w:sz="0" w:space="0" w:color="auto"/>
                    <w:left w:val="none" w:sz="0" w:space="0" w:color="auto"/>
                    <w:bottom w:val="none" w:sz="0" w:space="0" w:color="auto"/>
                    <w:right w:val="none" w:sz="0" w:space="0" w:color="auto"/>
                  </w:divBdr>
                  <w:divsChild>
                    <w:div w:id="804784217">
                      <w:marLeft w:val="0"/>
                      <w:marRight w:val="0"/>
                      <w:marTop w:val="0"/>
                      <w:marBottom w:val="0"/>
                      <w:divBdr>
                        <w:top w:val="none" w:sz="0" w:space="0" w:color="auto"/>
                        <w:left w:val="none" w:sz="0" w:space="0" w:color="auto"/>
                        <w:bottom w:val="none" w:sz="0" w:space="0" w:color="auto"/>
                        <w:right w:val="none" w:sz="0" w:space="0" w:color="auto"/>
                      </w:divBdr>
                    </w:div>
                  </w:divsChild>
                </w:div>
                <w:div w:id="1104690071">
                  <w:marLeft w:val="0"/>
                  <w:marRight w:val="0"/>
                  <w:marTop w:val="0"/>
                  <w:marBottom w:val="0"/>
                  <w:divBdr>
                    <w:top w:val="none" w:sz="0" w:space="0" w:color="auto"/>
                    <w:left w:val="none" w:sz="0" w:space="0" w:color="auto"/>
                    <w:bottom w:val="none" w:sz="0" w:space="0" w:color="auto"/>
                    <w:right w:val="none" w:sz="0" w:space="0" w:color="auto"/>
                  </w:divBdr>
                  <w:divsChild>
                    <w:div w:id="1731615478">
                      <w:marLeft w:val="0"/>
                      <w:marRight w:val="0"/>
                      <w:marTop w:val="0"/>
                      <w:marBottom w:val="0"/>
                      <w:divBdr>
                        <w:top w:val="none" w:sz="0" w:space="0" w:color="auto"/>
                        <w:left w:val="none" w:sz="0" w:space="0" w:color="auto"/>
                        <w:bottom w:val="none" w:sz="0" w:space="0" w:color="auto"/>
                        <w:right w:val="none" w:sz="0" w:space="0" w:color="auto"/>
                      </w:divBdr>
                    </w:div>
                  </w:divsChild>
                </w:div>
                <w:div w:id="1105033235">
                  <w:marLeft w:val="0"/>
                  <w:marRight w:val="0"/>
                  <w:marTop w:val="0"/>
                  <w:marBottom w:val="0"/>
                  <w:divBdr>
                    <w:top w:val="none" w:sz="0" w:space="0" w:color="auto"/>
                    <w:left w:val="none" w:sz="0" w:space="0" w:color="auto"/>
                    <w:bottom w:val="none" w:sz="0" w:space="0" w:color="auto"/>
                    <w:right w:val="none" w:sz="0" w:space="0" w:color="auto"/>
                  </w:divBdr>
                  <w:divsChild>
                    <w:div w:id="1084716532">
                      <w:marLeft w:val="0"/>
                      <w:marRight w:val="0"/>
                      <w:marTop w:val="0"/>
                      <w:marBottom w:val="0"/>
                      <w:divBdr>
                        <w:top w:val="none" w:sz="0" w:space="0" w:color="auto"/>
                        <w:left w:val="none" w:sz="0" w:space="0" w:color="auto"/>
                        <w:bottom w:val="none" w:sz="0" w:space="0" w:color="auto"/>
                        <w:right w:val="none" w:sz="0" w:space="0" w:color="auto"/>
                      </w:divBdr>
                    </w:div>
                  </w:divsChild>
                </w:div>
                <w:div w:id="1114012440">
                  <w:marLeft w:val="0"/>
                  <w:marRight w:val="0"/>
                  <w:marTop w:val="0"/>
                  <w:marBottom w:val="0"/>
                  <w:divBdr>
                    <w:top w:val="none" w:sz="0" w:space="0" w:color="auto"/>
                    <w:left w:val="none" w:sz="0" w:space="0" w:color="auto"/>
                    <w:bottom w:val="none" w:sz="0" w:space="0" w:color="auto"/>
                    <w:right w:val="none" w:sz="0" w:space="0" w:color="auto"/>
                  </w:divBdr>
                  <w:divsChild>
                    <w:div w:id="1220821468">
                      <w:marLeft w:val="0"/>
                      <w:marRight w:val="0"/>
                      <w:marTop w:val="0"/>
                      <w:marBottom w:val="0"/>
                      <w:divBdr>
                        <w:top w:val="none" w:sz="0" w:space="0" w:color="auto"/>
                        <w:left w:val="none" w:sz="0" w:space="0" w:color="auto"/>
                        <w:bottom w:val="none" w:sz="0" w:space="0" w:color="auto"/>
                        <w:right w:val="none" w:sz="0" w:space="0" w:color="auto"/>
                      </w:divBdr>
                    </w:div>
                  </w:divsChild>
                </w:div>
                <w:div w:id="1125001520">
                  <w:marLeft w:val="0"/>
                  <w:marRight w:val="0"/>
                  <w:marTop w:val="0"/>
                  <w:marBottom w:val="0"/>
                  <w:divBdr>
                    <w:top w:val="none" w:sz="0" w:space="0" w:color="auto"/>
                    <w:left w:val="none" w:sz="0" w:space="0" w:color="auto"/>
                    <w:bottom w:val="none" w:sz="0" w:space="0" w:color="auto"/>
                    <w:right w:val="none" w:sz="0" w:space="0" w:color="auto"/>
                  </w:divBdr>
                  <w:divsChild>
                    <w:div w:id="1269237135">
                      <w:marLeft w:val="0"/>
                      <w:marRight w:val="0"/>
                      <w:marTop w:val="0"/>
                      <w:marBottom w:val="0"/>
                      <w:divBdr>
                        <w:top w:val="none" w:sz="0" w:space="0" w:color="auto"/>
                        <w:left w:val="none" w:sz="0" w:space="0" w:color="auto"/>
                        <w:bottom w:val="none" w:sz="0" w:space="0" w:color="auto"/>
                        <w:right w:val="none" w:sz="0" w:space="0" w:color="auto"/>
                      </w:divBdr>
                    </w:div>
                  </w:divsChild>
                </w:div>
                <w:div w:id="1130057239">
                  <w:marLeft w:val="0"/>
                  <w:marRight w:val="0"/>
                  <w:marTop w:val="0"/>
                  <w:marBottom w:val="0"/>
                  <w:divBdr>
                    <w:top w:val="none" w:sz="0" w:space="0" w:color="auto"/>
                    <w:left w:val="none" w:sz="0" w:space="0" w:color="auto"/>
                    <w:bottom w:val="none" w:sz="0" w:space="0" w:color="auto"/>
                    <w:right w:val="none" w:sz="0" w:space="0" w:color="auto"/>
                  </w:divBdr>
                  <w:divsChild>
                    <w:div w:id="20865433">
                      <w:marLeft w:val="0"/>
                      <w:marRight w:val="0"/>
                      <w:marTop w:val="0"/>
                      <w:marBottom w:val="0"/>
                      <w:divBdr>
                        <w:top w:val="none" w:sz="0" w:space="0" w:color="auto"/>
                        <w:left w:val="none" w:sz="0" w:space="0" w:color="auto"/>
                        <w:bottom w:val="none" w:sz="0" w:space="0" w:color="auto"/>
                        <w:right w:val="none" w:sz="0" w:space="0" w:color="auto"/>
                      </w:divBdr>
                    </w:div>
                  </w:divsChild>
                </w:div>
                <w:div w:id="1130199030">
                  <w:marLeft w:val="0"/>
                  <w:marRight w:val="0"/>
                  <w:marTop w:val="0"/>
                  <w:marBottom w:val="0"/>
                  <w:divBdr>
                    <w:top w:val="none" w:sz="0" w:space="0" w:color="auto"/>
                    <w:left w:val="none" w:sz="0" w:space="0" w:color="auto"/>
                    <w:bottom w:val="none" w:sz="0" w:space="0" w:color="auto"/>
                    <w:right w:val="none" w:sz="0" w:space="0" w:color="auto"/>
                  </w:divBdr>
                  <w:divsChild>
                    <w:div w:id="1316566852">
                      <w:marLeft w:val="0"/>
                      <w:marRight w:val="0"/>
                      <w:marTop w:val="0"/>
                      <w:marBottom w:val="0"/>
                      <w:divBdr>
                        <w:top w:val="none" w:sz="0" w:space="0" w:color="auto"/>
                        <w:left w:val="none" w:sz="0" w:space="0" w:color="auto"/>
                        <w:bottom w:val="none" w:sz="0" w:space="0" w:color="auto"/>
                        <w:right w:val="none" w:sz="0" w:space="0" w:color="auto"/>
                      </w:divBdr>
                    </w:div>
                  </w:divsChild>
                </w:div>
                <w:div w:id="1130898038">
                  <w:marLeft w:val="0"/>
                  <w:marRight w:val="0"/>
                  <w:marTop w:val="0"/>
                  <w:marBottom w:val="0"/>
                  <w:divBdr>
                    <w:top w:val="none" w:sz="0" w:space="0" w:color="auto"/>
                    <w:left w:val="none" w:sz="0" w:space="0" w:color="auto"/>
                    <w:bottom w:val="none" w:sz="0" w:space="0" w:color="auto"/>
                    <w:right w:val="none" w:sz="0" w:space="0" w:color="auto"/>
                  </w:divBdr>
                  <w:divsChild>
                    <w:div w:id="229270150">
                      <w:marLeft w:val="0"/>
                      <w:marRight w:val="0"/>
                      <w:marTop w:val="0"/>
                      <w:marBottom w:val="0"/>
                      <w:divBdr>
                        <w:top w:val="none" w:sz="0" w:space="0" w:color="auto"/>
                        <w:left w:val="none" w:sz="0" w:space="0" w:color="auto"/>
                        <w:bottom w:val="none" w:sz="0" w:space="0" w:color="auto"/>
                        <w:right w:val="none" w:sz="0" w:space="0" w:color="auto"/>
                      </w:divBdr>
                    </w:div>
                  </w:divsChild>
                </w:div>
                <w:div w:id="1139616021">
                  <w:marLeft w:val="0"/>
                  <w:marRight w:val="0"/>
                  <w:marTop w:val="0"/>
                  <w:marBottom w:val="0"/>
                  <w:divBdr>
                    <w:top w:val="none" w:sz="0" w:space="0" w:color="auto"/>
                    <w:left w:val="none" w:sz="0" w:space="0" w:color="auto"/>
                    <w:bottom w:val="none" w:sz="0" w:space="0" w:color="auto"/>
                    <w:right w:val="none" w:sz="0" w:space="0" w:color="auto"/>
                  </w:divBdr>
                  <w:divsChild>
                    <w:div w:id="1959530952">
                      <w:marLeft w:val="0"/>
                      <w:marRight w:val="0"/>
                      <w:marTop w:val="0"/>
                      <w:marBottom w:val="0"/>
                      <w:divBdr>
                        <w:top w:val="none" w:sz="0" w:space="0" w:color="auto"/>
                        <w:left w:val="none" w:sz="0" w:space="0" w:color="auto"/>
                        <w:bottom w:val="none" w:sz="0" w:space="0" w:color="auto"/>
                        <w:right w:val="none" w:sz="0" w:space="0" w:color="auto"/>
                      </w:divBdr>
                    </w:div>
                  </w:divsChild>
                </w:div>
                <w:div w:id="1140610928">
                  <w:marLeft w:val="0"/>
                  <w:marRight w:val="0"/>
                  <w:marTop w:val="0"/>
                  <w:marBottom w:val="0"/>
                  <w:divBdr>
                    <w:top w:val="none" w:sz="0" w:space="0" w:color="auto"/>
                    <w:left w:val="none" w:sz="0" w:space="0" w:color="auto"/>
                    <w:bottom w:val="none" w:sz="0" w:space="0" w:color="auto"/>
                    <w:right w:val="none" w:sz="0" w:space="0" w:color="auto"/>
                  </w:divBdr>
                  <w:divsChild>
                    <w:div w:id="1267814724">
                      <w:marLeft w:val="0"/>
                      <w:marRight w:val="0"/>
                      <w:marTop w:val="0"/>
                      <w:marBottom w:val="0"/>
                      <w:divBdr>
                        <w:top w:val="none" w:sz="0" w:space="0" w:color="auto"/>
                        <w:left w:val="none" w:sz="0" w:space="0" w:color="auto"/>
                        <w:bottom w:val="none" w:sz="0" w:space="0" w:color="auto"/>
                        <w:right w:val="none" w:sz="0" w:space="0" w:color="auto"/>
                      </w:divBdr>
                    </w:div>
                  </w:divsChild>
                </w:div>
                <w:div w:id="1145665065">
                  <w:marLeft w:val="0"/>
                  <w:marRight w:val="0"/>
                  <w:marTop w:val="0"/>
                  <w:marBottom w:val="0"/>
                  <w:divBdr>
                    <w:top w:val="none" w:sz="0" w:space="0" w:color="auto"/>
                    <w:left w:val="none" w:sz="0" w:space="0" w:color="auto"/>
                    <w:bottom w:val="none" w:sz="0" w:space="0" w:color="auto"/>
                    <w:right w:val="none" w:sz="0" w:space="0" w:color="auto"/>
                  </w:divBdr>
                  <w:divsChild>
                    <w:div w:id="1718508819">
                      <w:marLeft w:val="0"/>
                      <w:marRight w:val="0"/>
                      <w:marTop w:val="0"/>
                      <w:marBottom w:val="0"/>
                      <w:divBdr>
                        <w:top w:val="none" w:sz="0" w:space="0" w:color="auto"/>
                        <w:left w:val="none" w:sz="0" w:space="0" w:color="auto"/>
                        <w:bottom w:val="none" w:sz="0" w:space="0" w:color="auto"/>
                        <w:right w:val="none" w:sz="0" w:space="0" w:color="auto"/>
                      </w:divBdr>
                    </w:div>
                  </w:divsChild>
                </w:div>
                <w:div w:id="1149636537">
                  <w:marLeft w:val="0"/>
                  <w:marRight w:val="0"/>
                  <w:marTop w:val="0"/>
                  <w:marBottom w:val="0"/>
                  <w:divBdr>
                    <w:top w:val="none" w:sz="0" w:space="0" w:color="auto"/>
                    <w:left w:val="none" w:sz="0" w:space="0" w:color="auto"/>
                    <w:bottom w:val="none" w:sz="0" w:space="0" w:color="auto"/>
                    <w:right w:val="none" w:sz="0" w:space="0" w:color="auto"/>
                  </w:divBdr>
                  <w:divsChild>
                    <w:div w:id="575750374">
                      <w:marLeft w:val="0"/>
                      <w:marRight w:val="0"/>
                      <w:marTop w:val="0"/>
                      <w:marBottom w:val="0"/>
                      <w:divBdr>
                        <w:top w:val="none" w:sz="0" w:space="0" w:color="auto"/>
                        <w:left w:val="none" w:sz="0" w:space="0" w:color="auto"/>
                        <w:bottom w:val="none" w:sz="0" w:space="0" w:color="auto"/>
                        <w:right w:val="none" w:sz="0" w:space="0" w:color="auto"/>
                      </w:divBdr>
                    </w:div>
                  </w:divsChild>
                </w:div>
                <w:div w:id="1152990491">
                  <w:marLeft w:val="0"/>
                  <w:marRight w:val="0"/>
                  <w:marTop w:val="0"/>
                  <w:marBottom w:val="0"/>
                  <w:divBdr>
                    <w:top w:val="none" w:sz="0" w:space="0" w:color="auto"/>
                    <w:left w:val="none" w:sz="0" w:space="0" w:color="auto"/>
                    <w:bottom w:val="none" w:sz="0" w:space="0" w:color="auto"/>
                    <w:right w:val="none" w:sz="0" w:space="0" w:color="auto"/>
                  </w:divBdr>
                  <w:divsChild>
                    <w:div w:id="1465343691">
                      <w:marLeft w:val="0"/>
                      <w:marRight w:val="0"/>
                      <w:marTop w:val="0"/>
                      <w:marBottom w:val="0"/>
                      <w:divBdr>
                        <w:top w:val="none" w:sz="0" w:space="0" w:color="auto"/>
                        <w:left w:val="none" w:sz="0" w:space="0" w:color="auto"/>
                        <w:bottom w:val="none" w:sz="0" w:space="0" w:color="auto"/>
                        <w:right w:val="none" w:sz="0" w:space="0" w:color="auto"/>
                      </w:divBdr>
                    </w:div>
                  </w:divsChild>
                </w:div>
                <w:div w:id="1162156197">
                  <w:marLeft w:val="0"/>
                  <w:marRight w:val="0"/>
                  <w:marTop w:val="0"/>
                  <w:marBottom w:val="0"/>
                  <w:divBdr>
                    <w:top w:val="none" w:sz="0" w:space="0" w:color="auto"/>
                    <w:left w:val="none" w:sz="0" w:space="0" w:color="auto"/>
                    <w:bottom w:val="none" w:sz="0" w:space="0" w:color="auto"/>
                    <w:right w:val="none" w:sz="0" w:space="0" w:color="auto"/>
                  </w:divBdr>
                  <w:divsChild>
                    <w:div w:id="211045453">
                      <w:marLeft w:val="0"/>
                      <w:marRight w:val="0"/>
                      <w:marTop w:val="0"/>
                      <w:marBottom w:val="0"/>
                      <w:divBdr>
                        <w:top w:val="none" w:sz="0" w:space="0" w:color="auto"/>
                        <w:left w:val="none" w:sz="0" w:space="0" w:color="auto"/>
                        <w:bottom w:val="none" w:sz="0" w:space="0" w:color="auto"/>
                        <w:right w:val="none" w:sz="0" w:space="0" w:color="auto"/>
                      </w:divBdr>
                    </w:div>
                  </w:divsChild>
                </w:div>
                <w:div w:id="1168403084">
                  <w:marLeft w:val="0"/>
                  <w:marRight w:val="0"/>
                  <w:marTop w:val="0"/>
                  <w:marBottom w:val="0"/>
                  <w:divBdr>
                    <w:top w:val="none" w:sz="0" w:space="0" w:color="auto"/>
                    <w:left w:val="none" w:sz="0" w:space="0" w:color="auto"/>
                    <w:bottom w:val="none" w:sz="0" w:space="0" w:color="auto"/>
                    <w:right w:val="none" w:sz="0" w:space="0" w:color="auto"/>
                  </w:divBdr>
                  <w:divsChild>
                    <w:div w:id="924607176">
                      <w:marLeft w:val="0"/>
                      <w:marRight w:val="0"/>
                      <w:marTop w:val="0"/>
                      <w:marBottom w:val="0"/>
                      <w:divBdr>
                        <w:top w:val="none" w:sz="0" w:space="0" w:color="auto"/>
                        <w:left w:val="none" w:sz="0" w:space="0" w:color="auto"/>
                        <w:bottom w:val="none" w:sz="0" w:space="0" w:color="auto"/>
                        <w:right w:val="none" w:sz="0" w:space="0" w:color="auto"/>
                      </w:divBdr>
                    </w:div>
                  </w:divsChild>
                </w:div>
                <w:div w:id="1172528966">
                  <w:marLeft w:val="0"/>
                  <w:marRight w:val="0"/>
                  <w:marTop w:val="0"/>
                  <w:marBottom w:val="0"/>
                  <w:divBdr>
                    <w:top w:val="none" w:sz="0" w:space="0" w:color="auto"/>
                    <w:left w:val="none" w:sz="0" w:space="0" w:color="auto"/>
                    <w:bottom w:val="none" w:sz="0" w:space="0" w:color="auto"/>
                    <w:right w:val="none" w:sz="0" w:space="0" w:color="auto"/>
                  </w:divBdr>
                  <w:divsChild>
                    <w:div w:id="147870067">
                      <w:marLeft w:val="0"/>
                      <w:marRight w:val="0"/>
                      <w:marTop w:val="0"/>
                      <w:marBottom w:val="0"/>
                      <w:divBdr>
                        <w:top w:val="none" w:sz="0" w:space="0" w:color="auto"/>
                        <w:left w:val="none" w:sz="0" w:space="0" w:color="auto"/>
                        <w:bottom w:val="none" w:sz="0" w:space="0" w:color="auto"/>
                        <w:right w:val="none" w:sz="0" w:space="0" w:color="auto"/>
                      </w:divBdr>
                    </w:div>
                  </w:divsChild>
                </w:div>
                <w:div w:id="1187258310">
                  <w:marLeft w:val="0"/>
                  <w:marRight w:val="0"/>
                  <w:marTop w:val="0"/>
                  <w:marBottom w:val="0"/>
                  <w:divBdr>
                    <w:top w:val="none" w:sz="0" w:space="0" w:color="auto"/>
                    <w:left w:val="none" w:sz="0" w:space="0" w:color="auto"/>
                    <w:bottom w:val="none" w:sz="0" w:space="0" w:color="auto"/>
                    <w:right w:val="none" w:sz="0" w:space="0" w:color="auto"/>
                  </w:divBdr>
                  <w:divsChild>
                    <w:div w:id="19406011">
                      <w:marLeft w:val="0"/>
                      <w:marRight w:val="0"/>
                      <w:marTop w:val="0"/>
                      <w:marBottom w:val="0"/>
                      <w:divBdr>
                        <w:top w:val="none" w:sz="0" w:space="0" w:color="auto"/>
                        <w:left w:val="none" w:sz="0" w:space="0" w:color="auto"/>
                        <w:bottom w:val="none" w:sz="0" w:space="0" w:color="auto"/>
                        <w:right w:val="none" w:sz="0" w:space="0" w:color="auto"/>
                      </w:divBdr>
                    </w:div>
                  </w:divsChild>
                </w:div>
                <w:div w:id="1192646927">
                  <w:marLeft w:val="0"/>
                  <w:marRight w:val="0"/>
                  <w:marTop w:val="0"/>
                  <w:marBottom w:val="0"/>
                  <w:divBdr>
                    <w:top w:val="none" w:sz="0" w:space="0" w:color="auto"/>
                    <w:left w:val="none" w:sz="0" w:space="0" w:color="auto"/>
                    <w:bottom w:val="none" w:sz="0" w:space="0" w:color="auto"/>
                    <w:right w:val="none" w:sz="0" w:space="0" w:color="auto"/>
                  </w:divBdr>
                  <w:divsChild>
                    <w:div w:id="828594010">
                      <w:marLeft w:val="0"/>
                      <w:marRight w:val="0"/>
                      <w:marTop w:val="0"/>
                      <w:marBottom w:val="0"/>
                      <w:divBdr>
                        <w:top w:val="none" w:sz="0" w:space="0" w:color="auto"/>
                        <w:left w:val="none" w:sz="0" w:space="0" w:color="auto"/>
                        <w:bottom w:val="none" w:sz="0" w:space="0" w:color="auto"/>
                        <w:right w:val="none" w:sz="0" w:space="0" w:color="auto"/>
                      </w:divBdr>
                    </w:div>
                  </w:divsChild>
                </w:div>
                <w:div w:id="1194264556">
                  <w:marLeft w:val="0"/>
                  <w:marRight w:val="0"/>
                  <w:marTop w:val="0"/>
                  <w:marBottom w:val="0"/>
                  <w:divBdr>
                    <w:top w:val="none" w:sz="0" w:space="0" w:color="auto"/>
                    <w:left w:val="none" w:sz="0" w:space="0" w:color="auto"/>
                    <w:bottom w:val="none" w:sz="0" w:space="0" w:color="auto"/>
                    <w:right w:val="none" w:sz="0" w:space="0" w:color="auto"/>
                  </w:divBdr>
                  <w:divsChild>
                    <w:div w:id="1426075433">
                      <w:marLeft w:val="0"/>
                      <w:marRight w:val="0"/>
                      <w:marTop w:val="0"/>
                      <w:marBottom w:val="0"/>
                      <w:divBdr>
                        <w:top w:val="none" w:sz="0" w:space="0" w:color="auto"/>
                        <w:left w:val="none" w:sz="0" w:space="0" w:color="auto"/>
                        <w:bottom w:val="none" w:sz="0" w:space="0" w:color="auto"/>
                        <w:right w:val="none" w:sz="0" w:space="0" w:color="auto"/>
                      </w:divBdr>
                    </w:div>
                  </w:divsChild>
                </w:div>
                <w:div w:id="1194270801">
                  <w:marLeft w:val="0"/>
                  <w:marRight w:val="0"/>
                  <w:marTop w:val="0"/>
                  <w:marBottom w:val="0"/>
                  <w:divBdr>
                    <w:top w:val="none" w:sz="0" w:space="0" w:color="auto"/>
                    <w:left w:val="none" w:sz="0" w:space="0" w:color="auto"/>
                    <w:bottom w:val="none" w:sz="0" w:space="0" w:color="auto"/>
                    <w:right w:val="none" w:sz="0" w:space="0" w:color="auto"/>
                  </w:divBdr>
                  <w:divsChild>
                    <w:div w:id="614681220">
                      <w:marLeft w:val="0"/>
                      <w:marRight w:val="0"/>
                      <w:marTop w:val="0"/>
                      <w:marBottom w:val="0"/>
                      <w:divBdr>
                        <w:top w:val="none" w:sz="0" w:space="0" w:color="auto"/>
                        <w:left w:val="none" w:sz="0" w:space="0" w:color="auto"/>
                        <w:bottom w:val="none" w:sz="0" w:space="0" w:color="auto"/>
                        <w:right w:val="none" w:sz="0" w:space="0" w:color="auto"/>
                      </w:divBdr>
                    </w:div>
                  </w:divsChild>
                </w:div>
                <w:div w:id="1198156259">
                  <w:marLeft w:val="0"/>
                  <w:marRight w:val="0"/>
                  <w:marTop w:val="0"/>
                  <w:marBottom w:val="0"/>
                  <w:divBdr>
                    <w:top w:val="none" w:sz="0" w:space="0" w:color="auto"/>
                    <w:left w:val="none" w:sz="0" w:space="0" w:color="auto"/>
                    <w:bottom w:val="none" w:sz="0" w:space="0" w:color="auto"/>
                    <w:right w:val="none" w:sz="0" w:space="0" w:color="auto"/>
                  </w:divBdr>
                  <w:divsChild>
                    <w:div w:id="1923291667">
                      <w:marLeft w:val="0"/>
                      <w:marRight w:val="0"/>
                      <w:marTop w:val="0"/>
                      <w:marBottom w:val="0"/>
                      <w:divBdr>
                        <w:top w:val="none" w:sz="0" w:space="0" w:color="auto"/>
                        <w:left w:val="none" w:sz="0" w:space="0" w:color="auto"/>
                        <w:bottom w:val="none" w:sz="0" w:space="0" w:color="auto"/>
                        <w:right w:val="none" w:sz="0" w:space="0" w:color="auto"/>
                      </w:divBdr>
                    </w:div>
                  </w:divsChild>
                </w:div>
                <w:div w:id="1206913834">
                  <w:marLeft w:val="0"/>
                  <w:marRight w:val="0"/>
                  <w:marTop w:val="0"/>
                  <w:marBottom w:val="0"/>
                  <w:divBdr>
                    <w:top w:val="none" w:sz="0" w:space="0" w:color="auto"/>
                    <w:left w:val="none" w:sz="0" w:space="0" w:color="auto"/>
                    <w:bottom w:val="none" w:sz="0" w:space="0" w:color="auto"/>
                    <w:right w:val="none" w:sz="0" w:space="0" w:color="auto"/>
                  </w:divBdr>
                  <w:divsChild>
                    <w:div w:id="1469400084">
                      <w:marLeft w:val="0"/>
                      <w:marRight w:val="0"/>
                      <w:marTop w:val="0"/>
                      <w:marBottom w:val="0"/>
                      <w:divBdr>
                        <w:top w:val="none" w:sz="0" w:space="0" w:color="auto"/>
                        <w:left w:val="none" w:sz="0" w:space="0" w:color="auto"/>
                        <w:bottom w:val="none" w:sz="0" w:space="0" w:color="auto"/>
                        <w:right w:val="none" w:sz="0" w:space="0" w:color="auto"/>
                      </w:divBdr>
                    </w:div>
                  </w:divsChild>
                </w:div>
                <w:div w:id="1207179137">
                  <w:marLeft w:val="0"/>
                  <w:marRight w:val="0"/>
                  <w:marTop w:val="0"/>
                  <w:marBottom w:val="0"/>
                  <w:divBdr>
                    <w:top w:val="none" w:sz="0" w:space="0" w:color="auto"/>
                    <w:left w:val="none" w:sz="0" w:space="0" w:color="auto"/>
                    <w:bottom w:val="none" w:sz="0" w:space="0" w:color="auto"/>
                    <w:right w:val="none" w:sz="0" w:space="0" w:color="auto"/>
                  </w:divBdr>
                  <w:divsChild>
                    <w:div w:id="726880153">
                      <w:marLeft w:val="0"/>
                      <w:marRight w:val="0"/>
                      <w:marTop w:val="0"/>
                      <w:marBottom w:val="0"/>
                      <w:divBdr>
                        <w:top w:val="none" w:sz="0" w:space="0" w:color="auto"/>
                        <w:left w:val="none" w:sz="0" w:space="0" w:color="auto"/>
                        <w:bottom w:val="none" w:sz="0" w:space="0" w:color="auto"/>
                        <w:right w:val="none" w:sz="0" w:space="0" w:color="auto"/>
                      </w:divBdr>
                    </w:div>
                  </w:divsChild>
                </w:div>
                <w:div w:id="1216893782">
                  <w:marLeft w:val="0"/>
                  <w:marRight w:val="0"/>
                  <w:marTop w:val="0"/>
                  <w:marBottom w:val="0"/>
                  <w:divBdr>
                    <w:top w:val="none" w:sz="0" w:space="0" w:color="auto"/>
                    <w:left w:val="none" w:sz="0" w:space="0" w:color="auto"/>
                    <w:bottom w:val="none" w:sz="0" w:space="0" w:color="auto"/>
                    <w:right w:val="none" w:sz="0" w:space="0" w:color="auto"/>
                  </w:divBdr>
                  <w:divsChild>
                    <w:div w:id="625552245">
                      <w:marLeft w:val="0"/>
                      <w:marRight w:val="0"/>
                      <w:marTop w:val="0"/>
                      <w:marBottom w:val="0"/>
                      <w:divBdr>
                        <w:top w:val="none" w:sz="0" w:space="0" w:color="auto"/>
                        <w:left w:val="none" w:sz="0" w:space="0" w:color="auto"/>
                        <w:bottom w:val="none" w:sz="0" w:space="0" w:color="auto"/>
                        <w:right w:val="none" w:sz="0" w:space="0" w:color="auto"/>
                      </w:divBdr>
                    </w:div>
                  </w:divsChild>
                </w:div>
                <w:div w:id="1219979210">
                  <w:marLeft w:val="0"/>
                  <w:marRight w:val="0"/>
                  <w:marTop w:val="0"/>
                  <w:marBottom w:val="0"/>
                  <w:divBdr>
                    <w:top w:val="none" w:sz="0" w:space="0" w:color="auto"/>
                    <w:left w:val="none" w:sz="0" w:space="0" w:color="auto"/>
                    <w:bottom w:val="none" w:sz="0" w:space="0" w:color="auto"/>
                    <w:right w:val="none" w:sz="0" w:space="0" w:color="auto"/>
                  </w:divBdr>
                  <w:divsChild>
                    <w:div w:id="539708036">
                      <w:marLeft w:val="0"/>
                      <w:marRight w:val="0"/>
                      <w:marTop w:val="0"/>
                      <w:marBottom w:val="0"/>
                      <w:divBdr>
                        <w:top w:val="none" w:sz="0" w:space="0" w:color="auto"/>
                        <w:left w:val="none" w:sz="0" w:space="0" w:color="auto"/>
                        <w:bottom w:val="none" w:sz="0" w:space="0" w:color="auto"/>
                        <w:right w:val="none" w:sz="0" w:space="0" w:color="auto"/>
                      </w:divBdr>
                    </w:div>
                  </w:divsChild>
                </w:div>
                <w:div w:id="1223760574">
                  <w:marLeft w:val="0"/>
                  <w:marRight w:val="0"/>
                  <w:marTop w:val="0"/>
                  <w:marBottom w:val="0"/>
                  <w:divBdr>
                    <w:top w:val="none" w:sz="0" w:space="0" w:color="auto"/>
                    <w:left w:val="none" w:sz="0" w:space="0" w:color="auto"/>
                    <w:bottom w:val="none" w:sz="0" w:space="0" w:color="auto"/>
                    <w:right w:val="none" w:sz="0" w:space="0" w:color="auto"/>
                  </w:divBdr>
                  <w:divsChild>
                    <w:div w:id="52896575">
                      <w:marLeft w:val="0"/>
                      <w:marRight w:val="0"/>
                      <w:marTop w:val="0"/>
                      <w:marBottom w:val="0"/>
                      <w:divBdr>
                        <w:top w:val="none" w:sz="0" w:space="0" w:color="auto"/>
                        <w:left w:val="none" w:sz="0" w:space="0" w:color="auto"/>
                        <w:bottom w:val="none" w:sz="0" w:space="0" w:color="auto"/>
                        <w:right w:val="none" w:sz="0" w:space="0" w:color="auto"/>
                      </w:divBdr>
                    </w:div>
                  </w:divsChild>
                </w:div>
                <w:div w:id="1229419092">
                  <w:marLeft w:val="0"/>
                  <w:marRight w:val="0"/>
                  <w:marTop w:val="0"/>
                  <w:marBottom w:val="0"/>
                  <w:divBdr>
                    <w:top w:val="none" w:sz="0" w:space="0" w:color="auto"/>
                    <w:left w:val="none" w:sz="0" w:space="0" w:color="auto"/>
                    <w:bottom w:val="none" w:sz="0" w:space="0" w:color="auto"/>
                    <w:right w:val="none" w:sz="0" w:space="0" w:color="auto"/>
                  </w:divBdr>
                  <w:divsChild>
                    <w:div w:id="1575121453">
                      <w:marLeft w:val="0"/>
                      <w:marRight w:val="0"/>
                      <w:marTop w:val="0"/>
                      <w:marBottom w:val="0"/>
                      <w:divBdr>
                        <w:top w:val="none" w:sz="0" w:space="0" w:color="auto"/>
                        <w:left w:val="none" w:sz="0" w:space="0" w:color="auto"/>
                        <w:bottom w:val="none" w:sz="0" w:space="0" w:color="auto"/>
                        <w:right w:val="none" w:sz="0" w:space="0" w:color="auto"/>
                      </w:divBdr>
                    </w:div>
                  </w:divsChild>
                </w:div>
                <w:div w:id="1230772949">
                  <w:marLeft w:val="0"/>
                  <w:marRight w:val="0"/>
                  <w:marTop w:val="0"/>
                  <w:marBottom w:val="0"/>
                  <w:divBdr>
                    <w:top w:val="none" w:sz="0" w:space="0" w:color="auto"/>
                    <w:left w:val="none" w:sz="0" w:space="0" w:color="auto"/>
                    <w:bottom w:val="none" w:sz="0" w:space="0" w:color="auto"/>
                    <w:right w:val="none" w:sz="0" w:space="0" w:color="auto"/>
                  </w:divBdr>
                  <w:divsChild>
                    <w:div w:id="266475223">
                      <w:marLeft w:val="0"/>
                      <w:marRight w:val="0"/>
                      <w:marTop w:val="0"/>
                      <w:marBottom w:val="0"/>
                      <w:divBdr>
                        <w:top w:val="none" w:sz="0" w:space="0" w:color="auto"/>
                        <w:left w:val="none" w:sz="0" w:space="0" w:color="auto"/>
                        <w:bottom w:val="none" w:sz="0" w:space="0" w:color="auto"/>
                        <w:right w:val="none" w:sz="0" w:space="0" w:color="auto"/>
                      </w:divBdr>
                    </w:div>
                  </w:divsChild>
                </w:div>
                <w:div w:id="1232539367">
                  <w:marLeft w:val="0"/>
                  <w:marRight w:val="0"/>
                  <w:marTop w:val="0"/>
                  <w:marBottom w:val="0"/>
                  <w:divBdr>
                    <w:top w:val="none" w:sz="0" w:space="0" w:color="auto"/>
                    <w:left w:val="none" w:sz="0" w:space="0" w:color="auto"/>
                    <w:bottom w:val="none" w:sz="0" w:space="0" w:color="auto"/>
                    <w:right w:val="none" w:sz="0" w:space="0" w:color="auto"/>
                  </w:divBdr>
                  <w:divsChild>
                    <w:div w:id="1887401524">
                      <w:marLeft w:val="0"/>
                      <w:marRight w:val="0"/>
                      <w:marTop w:val="0"/>
                      <w:marBottom w:val="0"/>
                      <w:divBdr>
                        <w:top w:val="none" w:sz="0" w:space="0" w:color="auto"/>
                        <w:left w:val="none" w:sz="0" w:space="0" w:color="auto"/>
                        <w:bottom w:val="none" w:sz="0" w:space="0" w:color="auto"/>
                        <w:right w:val="none" w:sz="0" w:space="0" w:color="auto"/>
                      </w:divBdr>
                    </w:div>
                  </w:divsChild>
                </w:div>
                <w:div w:id="1235893080">
                  <w:marLeft w:val="0"/>
                  <w:marRight w:val="0"/>
                  <w:marTop w:val="0"/>
                  <w:marBottom w:val="0"/>
                  <w:divBdr>
                    <w:top w:val="none" w:sz="0" w:space="0" w:color="auto"/>
                    <w:left w:val="none" w:sz="0" w:space="0" w:color="auto"/>
                    <w:bottom w:val="none" w:sz="0" w:space="0" w:color="auto"/>
                    <w:right w:val="none" w:sz="0" w:space="0" w:color="auto"/>
                  </w:divBdr>
                  <w:divsChild>
                    <w:div w:id="1683586546">
                      <w:marLeft w:val="0"/>
                      <w:marRight w:val="0"/>
                      <w:marTop w:val="0"/>
                      <w:marBottom w:val="0"/>
                      <w:divBdr>
                        <w:top w:val="none" w:sz="0" w:space="0" w:color="auto"/>
                        <w:left w:val="none" w:sz="0" w:space="0" w:color="auto"/>
                        <w:bottom w:val="none" w:sz="0" w:space="0" w:color="auto"/>
                        <w:right w:val="none" w:sz="0" w:space="0" w:color="auto"/>
                      </w:divBdr>
                    </w:div>
                  </w:divsChild>
                </w:div>
                <w:div w:id="1247154109">
                  <w:marLeft w:val="0"/>
                  <w:marRight w:val="0"/>
                  <w:marTop w:val="0"/>
                  <w:marBottom w:val="0"/>
                  <w:divBdr>
                    <w:top w:val="none" w:sz="0" w:space="0" w:color="auto"/>
                    <w:left w:val="none" w:sz="0" w:space="0" w:color="auto"/>
                    <w:bottom w:val="none" w:sz="0" w:space="0" w:color="auto"/>
                    <w:right w:val="none" w:sz="0" w:space="0" w:color="auto"/>
                  </w:divBdr>
                  <w:divsChild>
                    <w:div w:id="586307625">
                      <w:marLeft w:val="0"/>
                      <w:marRight w:val="0"/>
                      <w:marTop w:val="0"/>
                      <w:marBottom w:val="0"/>
                      <w:divBdr>
                        <w:top w:val="none" w:sz="0" w:space="0" w:color="auto"/>
                        <w:left w:val="none" w:sz="0" w:space="0" w:color="auto"/>
                        <w:bottom w:val="none" w:sz="0" w:space="0" w:color="auto"/>
                        <w:right w:val="none" w:sz="0" w:space="0" w:color="auto"/>
                      </w:divBdr>
                    </w:div>
                  </w:divsChild>
                </w:div>
                <w:div w:id="1248274245">
                  <w:marLeft w:val="0"/>
                  <w:marRight w:val="0"/>
                  <w:marTop w:val="0"/>
                  <w:marBottom w:val="0"/>
                  <w:divBdr>
                    <w:top w:val="none" w:sz="0" w:space="0" w:color="auto"/>
                    <w:left w:val="none" w:sz="0" w:space="0" w:color="auto"/>
                    <w:bottom w:val="none" w:sz="0" w:space="0" w:color="auto"/>
                    <w:right w:val="none" w:sz="0" w:space="0" w:color="auto"/>
                  </w:divBdr>
                  <w:divsChild>
                    <w:div w:id="2072075052">
                      <w:marLeft w:val="0"/>
                      <w:marRight w:val="0"/>
                      <w:marTop w:val="0"/>
                      <w:marBottom w:val="0"/>
                      <w:divBdr>
                        <w:top w:val="none" w:sz="0" w:space="0" w:color="auto"/>
                        <w:left w:val="none" w:sz="0" w:space="0" w:color="auto"/>
                        <w:bottom w:val="none" w:sz="0" w:space="0" w:color="auto"/>
                        <w:right w:val="none" w:sz="0" w:space="0" w:color="auto"/>
                      </w:divBdr>
                    </w:div>
                  </w:divsChild>
                </w:div>
                <w:div w:id="1249080466">
                  <w:marLeft w:val="0"/>
                  <w:marRight w:val="0"/>
                  <w:marTop w:val="0"/>
                  <w:marBottom w:val="0"/>
                  <w:divBdr>
                    <w:top w:val="none" w:sz="0" w:space="0" w:color="auto"/>
                    <w:left w:val="none" w:sz="0" w:space="0" w:color="auto"/>
                    <w:bottom w:val="none" w:sz="0" w:space="0" w:color="auto"/>
                    <w:right w:val="none" w:sz="0" w:space="0" w:color="auto"/>
                  </w:divBdr>
                  <w:divsChild>
                    <w:div w:id="427889924">
                      <w:marLeft w:val="0"/>
                      <w:marRight w:val="0"/>
                      <w:marTop w:val="0"/>
                      <w:marBottom w:val="0"/>
                      <w:divBdr>
                        <w:top w:val="none" w:sz="0" w:space="0" w:color="auto"/>
                        <w:left w:val="none" w:sz="0" w:space="0" w:color="auto"/>
                        <w:bottom w:val="none" w:sz="0" w:space="0" w:color="auto"/>
                        <w:right w:val="none" w:sz="0" w:space="0" w:color="auto"/>
                      </w:divBdr>
                    </w:div>
                  </w:divsChild>
                </w:div>
                <w:div w:id="1256288311">
                  <w:marLeft w:val="0"/>
                  <w:marRight w:val="0"/>
                  <w:marTop w:val="0"/>
                  <w:marBottom w:val="0"/>
                  <w:divBdr>
                    <w:top w:val="none" w:sz="0" w:space="0" w:color="auto"/>
                    <w:left w:val="none" w:sz="0" w:space="0" w:color="auto"/>
                    <w:bottom w:val="none" w:sz="0" w:space="0" w:color="auto"/>
                    <w:right w:val="none" w:sz="0" w:space="0" w:color="auto"/>
                  </w:divBdr>
                  <w:divsChild>
                    <w:div w:id="739720235">
                      <w:marLeft w:val="0"/>
                      <w:marRight w:val="0"/>
                      <w:marTop w:val="0"/>
                      <w:marBottom w:val="0"/>
                      <w:divBdr>
                        <w:top w:val="none" w:sz="0" w:space="0" w:color="auto"/>
                        <w:left w:val="none" w:sz="0" w:space="0" w:color="auto"/>
                        <w:bottom w:val="none" w:sz="0" w:space="0" w:color="auto"/>
                        <w:right w:val="none" w:sz="0" w:space="0" w:color="auto"/>
                      </w:divBdr>
                    </w:div>
                  </w:divsChild>
                </w:div>
                <w:div w:id="1260681214">
                  <w:marLeft w:val="0"/>
                  <w:marRight w:val="0"/>
                  <w:marTop w:val="0"/>
                  <w:marBottom w:val="0"/>
                  <w:divBdr>
                    <w:top w:val="none" w:sz="0" w:space="0" w:color="auto"/>
                    <w:left w:val="none" w:sz="0" w:space="0" w:color="auto"/>
                    <w:bottom w:val="none" w:sz="0" w:space="0" w:color="auto"/>
                    <w:right w:val="none" w:sz="0" w:space="0" w:color="auto"/>
                  </w:divBdr>
                  <w:divsChild>
                    <w:div w:id="85227564">
                      <w:marLeft w:val="0"/>
                      <w:marRight w:val="0"/>
                      <w:marTop w:val="0"/>
                      <w:marBottom w:val="0"/>
                      <w:divBdr>
                        <w:top w:val="none" w:sz="0" w:space="0" w:color="auto"/>
                        <w:left w:val="none" w:sz="0" w:space="0" w:color="auto"/>
                        <w:bottom w:val="none" w:sz="0" w:space="0" w:color="auto"/>
                        <w:right w:val="none" w:sz="0" w:space="0" w:color="auto"/>
                      </w:divBdr>
                    </w:div>
                  </w:divsChild>
                </w:div>
                <w:div w:id="1268973866">
                  <w:marLeft w:val="0"/>
                  <w:marRight w:val="0"/>
                  <w:marTop w:val="0"/>
                  <w:marBottom w:val="0"/>
                  <w:divBdr>
                    <w:top w:val="none" w:sz="0" w:space="0" w:color="auto"/>
                    <w:left w:val="none" w:sz="0" w:space="0" w:color="auto"/>
                    <w:bottom w:val="none" w:sz="0" w:space="0" w:color="auto"/>
                    <w:right w:val="none" w:sz="0" w:space="0" w:color="auto"/>
                  </w:divBdr>
                  <w:divsChild>
                    <w:div w:id="1701319356">
                      <w:marLeft w:val="0"/>
                      <w:marRight w:val="0"/>
                      <w:marTop w:val="0"/>
                      <w:marBottom w:val="0"/>
                      <w:divBdr>
                        <w:top w:val="none" w:sz="0" w:space="0" w:color="auto"/>
                        <w:left w:val="none" w:sz="0" w:space="0" w:color="auto"/>
                        <w:bottom w:val="none" w:sz="0" w:space="0" w:color="auto"/>
                        <w:right w:val="none" w:sz="0" w:space="0" w:color="auto"/>
                      </w:divBdr>
                    </w:div>
                  </w:divsChild>
                </w:div>
                <w:div w:id="1269241307">
                  <w:marLeft w:val="0"/>
                  <w:marRight w:val="0"/>
                  <w:marTop w:val="0"/>
                  <w:marBottom w:val="0"/>
                  <w:divBdr>
                    <w:top w:val="none" w:sz="0" w:space="0" w:color="auto"/>
                    <w:left w:val="none" w:sz="0" w:space="0" w:color="auto"/>
                    <w:bottom w:val="none" w:sz="0" w:space="0" w:color="auto"/>
                    <w:right w:val="none" w:sz="0" w:space="0" w:color="auto"/>
                  </w:divBdr>
                  <w:divsChild>
                    <w:div w:id="2018313328">
                      <w:marLeft w:val="0"/>
                      <w:marRight w:val="0"/>
                      <w:marTop w:val="0"/>
                      <w:marBottom w:val="0"/>
                      <w:divBdr>
                        <w:top w:val="none" w:sz="0" w:space="0" w:color="auto"/>
                        <w:left w:val="none" w:sz="0" w:space="0" w:color="auto"/>
                        <w:bottom w:val="none" w:sz="0" w:space="0" w:color="auto"/>
                        <w:right w:val="none" w:sz="0" w:space="0" w:color="auto"/>
                      </w:divBdr>
                    </w:div>
                  </w:divsChild>
                </w:div>
                <w:div w:id="1276987891">
                  <w:marLeft w:val="0"/>
                  <w:marRight w:val="0"/>
                  <w:marTop w:val="0"/>
                  <w:marBottom w:val="0"/>
                  <w:divBdr>
                    <w:top w:val="none" w:sz="0" w:space="0" w:color="auto"/>
                    <w:left w:val="none" w:sz="0" w:space="0" w:color="auto"/>
                    <w:bottom w:val="none" w:sz="0" w:space="0" w:color="auto"/>
                    <w:right w:val="none" w:sz="0" w:space="0" w:color="auto"/>
                  </w:divBdr>
                  <w:divsChild>
                    <w:div w:id="1952126956">
                      <w:marLeft w:val="0"/>
                      <w:marRight w:val="0"/>
                      <w:marTop w:val="0"/>
                      <w:marBottom w:val="0"/>
                      <w:divBdr>
                        <w:top w:val="none" w:sz="0" w:space="0" w:color="auto"/>
                        <w:left w:val="none" w:sz="0" w:space="0" w:color="auto"/>
                        <w:bottom w:val="none" w:sz="0" w:space="0" w:color="auto"/>
                        <w:right w:val="none" w:sz="0" w:space="0" w:color="auto"/>
                      </w:divBdr>
                    </w:div>
                  </w:divsChild>
                </w:div>
                <w:div w:id="1279141739">
                  <w:marLeft w:val="0"/>
                  <w:marRight w:val="0"/>
                  <w:marTop w:val="0"/>
                  <w:marBottom w:val="0"/>
                  <w:divBdr>
                    <w:top w:val="none" w:sz="0" w:space="0" w:color="auto"/>
                    <w:left w:val="none" w:sz="0" w:space="0" w:color="auto"/>
                    <w:bottom w:val="none" w:sz="0" w:space="0" w:color="auto"/>
                    <w:right w:val="none" w:sz="0" w:space="0" w:color="auto"/>
                  </w:divBdr>
                  <w:divsChild>
                    <w:div w:id="1635865945">
                      <w:marLeft w:val="0"/>
                      <w:marRight w:val="0"/>
                      <w:marTop w:val="0"/>
                      <w:marBottom w:val="0"/>
                      <w:divBdr>
                        <w:top w:val="none" w:sz="0" w:space="0" w:color="auto"/>
                        <w:left w:val="none" w:sz="0" w:space="0" w:color="auto"/>
                        <w:bottom w:val="none" w:sz="0" w:space="0" w:color="auto"/>
                        <w:right w:val="none" w:sz="0" w:space="0" w:color="auto"/>
                      </w:divBdr>
                    </w:div>
                  </w:divsChild>
                </w:div>
                <w:div w:id="1282300771">
                  <w:marLeft w:val="0"/>
                  <w:marRight w:val="0"/>
                  <w:marTop w:val="0"/>
                  <w:marBottom w:val="0"/>
                  <w:divBdr>
                    <w:top w:val="none" w:sz="0" w:space="0" w:color="auto"/>
                    <w:left w:val="none" w:sz="0" w:space="0" w:color="auto"/>
                    <w:bottom w:val="none" w:sz="0" w:space="0" w:color="auto"/>
                    <w:right w:val="none" w:sz="0" w:space="0" w:color="auto"/>
                  </w:divBdr>
                  <w:divsChild>
                    <w:div w:id="1721899345">
                      <w:marLeft w:val="0"/>
                      <w:marRight w:val="0"/>
                      <w:marTop w:val="0"/>
                      <w:marBottom w:val="0"/>
                      <w:divBdr>
                        <w:top w:val="none" w:sz="0" w:space="0" w:color="auto"/>
                        <w:left w:val="none" w:sz="0" w:space="0" w:color="auto"/>
                        <w:bottom w:val="none" w:sz="0" w:space="0" w:color="auto"/>
                        <w:right w:val="none" w:sz="0" w:space="0" w:color="auto"/>
                      </w:divBdr>
                    </w:div>
                  </w:divsChild>
                </w:div>
                <w:div w:id="1282884525">
                  <w:marLeft w:val="0"/>
                  <w:marRight w:val="0"/>
                  <w:marTop w:val="0"/>
                  <w:marBottom w:val="0"/>
                  <w:divBdr>
                    <w:top w:val="none" w:sz="0" w:space="0" w:color="auto"/>
                    <w:left w:val="none" w:sz="0" w:space="0" w:color="auto"/>
                    <w:bottom w:val="none" w:sz="0" w:space="0" w:color="auto"/>
                    <w:right w:val="none" w:sz="0" w:space="0" w:color="auto"/>
                  </w:divBdr>
                  <w:divsChild>
                    <w:div w:id="748430881">
                      <w:marLeft w:val="0"/>
                      <w:marRight w:val="0"/>
                      <w:marTop w:val="0"/>
                      <w:marBottom w:val="0"/>
                      <w:divBdr>
                        <w:top w:val="none" w:sz="0" w:space="0" w:color="auto"/>
                        <w:left w:val="none" w:sz="0" w:space="0" w:color="auto"/>
                        <w:bottom w:val="none" w:sz="0" w:space="0" w:color="auto"/>
                        <w:right w:val="none" w:sz="0" w:space="0" w:color="auto"/>
                      </w:divBdr>
                    </w:div>
                  </w:divsChild>
                </w:div>
                <w:div w:id="1296712742">
                  <w:marLeft w:val="0"/>
                  <w:marRight w:val="0"/>
                  <w:marTop w:val="0"/>
                  <w:marBottom w:val="0"/>
                  <w:divBdr>
                    <w:top w:val="none" w:sz="0" w:space="0" w:color="auto"/>
                    <w:left w:val="none" w:sz="0" w:space="0" w:color="auto"/>
                    <w:bottom w:val="none" w:sz="0" w:space="0" w:color="auto"/>
                    <w:right w:val="none" w:sz="0" w:space="0" w:color="auto"/>
                  </w:divBdr>
                  <w:divsChild>
                    <w:div w:id="134488252">
                      <w:marLeft w:val="0"/>
                      <w:marRight w:val="0"/>
                      <w:marTop w:val="0"/>
                      <w:marBottom w:val="0"/>
                      <w:divBdr>
                        <w:top w:val="none" w:sz="0" w:space="0" w:color="auto"/>
                        <w:left w:val="none" w:sz="0" w:space="0" w:color="auto"/>
                        <w:bottom w:val="none" w:sz="0" w:space="0" w:color="auto"/>
                        <w:right w:val="none" w:sz="0" w:space="0" w:color="auto"/>
                      </w:divBdr>
                    </w:div>
                  </w:divsChild>
                </w:div>
                <w:div w:id="1297104351">
                  <w:marLeft w:val="0"/>
                  <w:marRight w:val="0"/>
                  <w:marTop w:val="0"/>
                  <w:marBottom w:val="0"/>
                  <w:divBdr>
                    <w:top w:val="none" w:sz="0" w:space="0" w:color="auto"/>
                    <w:left w:val="none" w:sz="0" w:space="0" w:color="auto"/>
                    <w:bottom w:val="none" w:sz="0" w:space="0" w:color="auto"/>
                    <w:right w:val="none" w:sz="0" w:space="0" w:color="auto"/>
                  </w:divBdr>
                  <w:divsChild>
                    <w:div w:id="769280681">
                      <w:marLeft w:val="0"/>
                      <w:marRight w:val="0"/>
                      <w:marTop w:val="0"/>
                      <w:marBottom w:val="0"/>
                      <w:divBdr>
                        <w:top w:val="none" w:sz="0" w:space="0" w:color="auto"/>
                        <w:left w:val="none" w:sz="0" w:space="0" w:color="auto"/>
                        <w:bottom w:val="none" w:sz="0" w:space="0" w:color="auto"/>
                        <w:right w:val="none" w:sz="0" w:space="0" w:color="auto"/>
                      </w:divBdr>
                    </w:div>
                  </w:divsChild>
                </w:div>
                <w:div w:id="1306617519">
                  <w:marLeft w:val="0"/>
                  <w:marRight w:val="0"/>
                  <w:marTop w:val="0"/>
                  <w:marBottom w:val="0"/>
                  <w:divBdr>
                    <w:top w:val="none" w:sz="0" w:space="0" w:color="auto"/>
                    <w:left w:val="none" w:sz="0" w:space="0" w:color="auto"/>
                    <w:bottom w:val="none" w:sz="0" w:space="0" w:color="auto"/>
                    <w:right w:val="none" w:sz="0" w:space="0" w:color="auto"/>
                  </w:divBdr>
                  <w:divsChild>
                    <w:div w:id="761492006">
                      <w:marLeft w:val="0"/>
                      <w:marRight w:val="0"/>
                      <w:marTop w:val="0"/>
                      <w:marBottom w:val="0"/>
                      <w:divBdr>
                        <w:top w:val="none" w:sz="0" w:space="0" w:color="auto"/>
                        <w:left w:val="none" w:sz="0" w:space="0" w:color="auto"/>
                        <w:bottom w:val="none" w:sz="0" w:space="0" w:color="auto"/>
                        <w:right w:val="none" w:sz="0" w:space="0" w:color="auto"/>
                      </w:divBdr>
                    </w:div>
                  </w:divsChild>
                </w:div>
                <w:div w:id="1307777344">
                  <w:marLeft w:val="0"/>
                  <w:marRight w:val="0"/>
                  <w:marTop w:val="0"/>
                  <w:marBottom w:val="0"/>
                  <w:divBdr>
                    <w:top w:val="none" w:sz="0" w:space="0" w:color="auto"/>
                    <w:left w:val="none" w:sz="0" w:space="0" w:color="auto"/>
                    <w:bottom w:val="none" w:sz="0" w:space="0" w:color="auto"/>
                    <w:right w:val="none" w:sz="0" w:space="0" w:color="auto"/>
                  </w:divBdr>
                  <w:divsChild>
                    <w:div w:id="976957986">
                      <w:marLeft w:val="0"/>
                      <w:marRight w:val="0"/>
                      <w:marTop w:val="0"/>
                      <w:marBottom w:val="0"/>
                      <w:divBdr>
                        <w:top w:val="none" w:sz="0" w:space="0" w:color="auto"/>
                        <w:left w:val="none" w:sz="0" w:space="0" w:color="auto"/>
                        <w:bottom w:val="none" w:sz="0" w:space="0" w:color="auto"/>
                        <w:right w:val="none" w:sz="0" w:space="0" w:color="auto"/>
                      </w:divBdr>
                    </w:div>
                  </w:divsChild>
                </w:div>
                <w:div w:id="1313218196">
                  <w:marLeft w:val="0"/>
                  <w:marRight w:val="0"/>
                  <w:marTop w:val="0"/>
                  <w:marBottom w:val="0"/>
                  <w:divBdr>
                    <w:top w:val="none" w:sz="0" w:space="0" w:color="auto"/>
                    <w:left w:val="none" w:sz="0" w:space="0" w:color="auto"/>
                    <w:bottom w:val="none" w:sz="0" w:space="0" w:color="auto"/>
                    <w:right w:val="none" w:sz="0" w:space="0" w:color="auto"/>
                  </w:divBdr>
                  <w:divsChild>
                    <w:div w:id="1054818814">
                      <w:marLeft w:val="0"/>
                      <w:marRight w:val="0"/>
                      <w:marTop w:val="0"/>
                      <w:marBottom w:val="0"/>
                      <w:divBdr>
                        <w:top w:val="none" w:sz="0" w:space="0" w:color="auto"/>
                        <w:left w:val="none" w:sz="0" w:space="0" w:color="auto"/>
                        <w:bottom w:val="none" w:sz="0" w:space="0" w:color="auto"/>
                        <w:right w:val="none" w:sz="0" w:space="0" w:color="auto"/>
                      </w:divBdr>
                    </w:div>
                  </w:divsChild>
                </w:div>
                <w:div w:id="1314213482">
                  <w:marLeft w:val="0"/>
                  <w:marRight w:val="0"/>
                  <w:marTop w:val="0"/>
                  <w:marBottom w:val="0"/>
                  <w:divBdr>
                    <w:top w:val="none" w:sz="0" w:space="0" w:color="auto"/>
                    <w:left w:val="none" w:sz="0" w:space="0" w:color="auto"/>
                    <w:bottom w:val="none" w:sz="0" w:space="0" w:color="auto"/>
                    <w:right w:val="none" w:sz="0" w:space="0" w:color="auto"/>
                  </w:divBdr>
                  <w:divsChild>
                    <w:div w:id="1557083505">
                      <w:marLeft w:val="0"/>
                      <w:marRight w:val="0"/>
                      <w:marTop w:val="0"/>
                      <w:marBottom w:val="0"/>
                      <w:divBdr>
                        <w:top w:val="none" w:sz="0" w:space="0" w:color="auto"/>
                        <w:left w:val="none" w:sz="0" w:space="0" w:color="auto"/>
                        <w:bottom w:val="none" w:sz="0" w:space="0" w:color="auto"/>
                        <w:right w:val="none" w:sz="0" w:space="0" w:color="auto"/>
                      </w:divBdr>
                    </w:div>
                  </w:divsChild>
                </w:div>
                <w:div w:id="1315375585">
                  <w:marLeft w:val="0"/>
                  <w:marRight w:val="0"/>
                  <w:marTop w:val="0"/>
                  <w:marBottom w:val="0"/>
                  <w:divBdr>
                    <w:top w:val="none" w:sz="0" w:space="0" w:color="auto"/>
                    <w:left w:val="none" w:sz="0" w:space="0" w:color="auto"/>
                    <w:bottom w:val="none" w:sz="0" w:space="0" w:color="auto"/>
                    <w:right w:val="none" w:sz="0" w:space="0" w:color="auto"/>
                  </w:divBdr>
                  <w:divsChild>
                    <w:div w:id="612515166">
                      <w:marLeft w:val="0"/>
                      <w:marRight w:val="0"/>
                      <w:marTop w:val="0"/>
                      <w:marBottom w:val="0"/>
                      <w:divBdr>
                        <w:top w:val="none" w:sz="0" w:space="0" w:color="auto"/>
                        <w:left w:val="none" w:sz="0" w:space="0" w:color="auto"/>
                        <w:bottom w:val="none" w:sz="0" w:space="0" w:color="auto"/>
                        <w:right w:val="none" w:sz="0" w:space="0" w:color="auto"/>
                      </w:divBdr>
                    </w:div>
                  </w:divsChild>
                </w:div>
                <w:div w:id="1316571514">
                  <w:marLeft w:val="0"/>
                  <w:marRight w:val="0"/>
                  <w:marTop w:val="0"/>
                  <w:marBottom w:val="0"/>
                  <w:divBdr>
                    <w:top w:val="none" w:sz="0" w:space="0" w:color="auto"/>
                    <w:left w:val="none" w:sz="0" w:space="0" w:color="auto"/>
                    <w:bottom w:val="none" w:sz="0" w:space="0" w:color="auto"/>
                    <w:right w:val="none" w:sz="0" w:space="0" w:color="auto"/>
                  </w:divBdr>
                  <w:divsChild>
                    <w:div w:id="2054768463">
                      <w:marLeft w:val="0"/>
                      <w:marRight w:val="0"/>
                      <w:marTop w:val="0"/>
                      <w:marBottom w:val="0"/>
                      <w:divBdr>
                        <w:top w:val="none" w:sz="0" w:space="0" w:color="auto"/>
                        <w:left w:val="none" w:sz="0" w:space="0" w:color="auto"/>
                        <w:bottom w:val="none" w:sz="0" w:space="0" w:color="auto"/>
                        <w:right w:val="none" w:sz="0" w:space="0" w:color="auto"/>
                      </w:divBdr>
                    </w:div>
                  </w:divsChild>
                </w:div>
                <w:div w:id="1320381083">
                  <w:marLeft w:val="0"/>
                  <w:marRight w:val="0"/>
                  <w:marTop w:val="0"/>
                  <w:marBottom w:val="0"/>
                  <w:divBdr>
                    <w:top w:val="none" w:sz="0" w:space="0" w:color="auto"/>
                    <w:left w:val="none" w:sz="0" w:space="0" w:color="auto"/>
                    <w:bottom w:val="none" w:sz="0" w:space="0" w:color="auto"/>
                    <w:right w:val="none" w:sz="0" w:space="0" w:color="auto"/>
                  </w:divBdr>
                  <w:divsChild>
                    <w:div w:id="613484543">
                      <w:marLeft w:val="0"/>
                      <w:marRight w:val="0"/>
                      <w:marTop w:val="0"/>
                      <w:marBottom w:val="0"/>
                      <w:divBdr>
                        <w:top w:val="none" w:sz="0" w:space="0" w:color="auto"/>
                        <w:left w:val="none" w:sz="0" w:space="0" w:color="auto"/>
                        <w:bottom w:val="none" w:sz="0" w:space="0" w:color="auto"/>
                        <w:right w:val="none" w:sz="0" w:space="0" w:color="auto"/>
                      </w:divBdr>
                    </w:div>
                  </w:divsChild>
                </w:div>
                <w:div w:id="1320770962">
                  <w:marLeft w:val="0"/>
                  <w:marRight w:val="0"/>
                  <w:marTop w:val="0"/>
                  <w:marBottom w:val="0"/>
                  <w:divBdr>
                    <w:top w:val="none" w:sz="0" w:space="0" w:color="auto"/>
                    <w:left w:val="none" w:sz="0" w:space="0" w:color="auto"/>
                    <w:bottom w:val="none" w:sz="0" w:space="0" w:color="auto"/>
                    <w:right w:val="none" w:sz="0" w:space="0" w:color="auto"/>
                  </w:divBdr>
                  <w:divsChild>
                    <w:div w:id="161242794">
                      <w:marLeft w:val="0"/>
                      <w:marRight w:val="0"/>
                      <w:marTop w:val="0"/>
                      <w:marBottom w:val="0"/>
                      <w:divBdr>
                        <w:top w:val="none" w:sz="0" w:space="0" w:color="auto"/>
                        <w:left w:val="none" w:sz="0" w:space="0" w:color="auto"/>
                        <w:bottom w:val="none" w:sz="0" w:space="0" w:color="auto"/>
                        <w:right w:val="none" w:sz="0" w:space="0" w:color="auto"/>
                      </w:divBdr>
                    </w:div>
                  </w:divsChild>
                </w:div>
                <w:div w:id="1322545204">
                  <w:marLeft w:val="0"/>
                  <w:marRight w:val="0"/>
                  <w:marTop w:val="0"/>
                  <w:marBottom w:val="0"/>
                  <w:divBdr>
                    <w:top w:val="none" w:sz="0" w:space="0" w:color="auto"/>
                    <w:left w:val="none" w:sz="0" w:space="0" w:color="auto"/>
                    <w:bottom w:val="none" w:sz="0" w:space="0" w:color="auto"/>
                    <w:right w:val="none" w:sz="0" w:space="0" w:color="auto"/>
                  </w:divBdr>
                  <w:divsChild>
                    <w:div w:id="1542286215">
                      <w:marLeft w:val="0"/>
                      <w:marRight w:val="0"/>
                      <w:marTop w:val="0"/>
                      <w:marBottom w:val="0"/>
                      <w:divBdr>
                        <w:top w:val="none" w:sz="0" w:space="0" w:color="auto"/>
                        <w:left w:val="none" w:sz="0" w:space="0" w:color="auto"/>
                        <w:bottom w:val="none" w:sz="0" w:space="0" w:color="auto"/>
                        <w:right w:val="none" w:sz="0" w:space="0" w:color="auto"/>
                      </w:divBdr>
                    </w:div>
                  </w:divsChild>
                </w:div>
                <w:div w:id="1325360049">
                  <w:marLeft w:val="0"/>
                  <w:marRight w:val="0"/>
                  <w:marTop w:val="0"/>
                  <w:marBottom w:val="0"/>
                  <w:divBdr>
                    <w:top w:val="none" w:sz="0" w:space="0" w:color="auto"/>
                    <w:left w:val="none" w:sz="0" w:space="0" w:color="auto"/>
                    <w:bottom w:val="none" w:sz="0" w:space="0" w:color="auto"/>
                    <w:right w:val="none" w:sz="0" w:space="0" w:color="auto"/>
                  </w:divBdr>
                  <w:divsChild>
                    <w:div w:id="281501978">
                      <w:marLeft w:val="0"/>
                      <w:marRight w:val="0"/>
                      <w:marTop w:val="0"/>
                      <w:marBottom w:val="0"/>
                      <w:divBdr>
                        <w:top w:val="none" w:sz="0" w:space="0" w:color="auto"/>
                        <w:left w:val="none" w:sz="0" w:space="0" w:color="auto"/>
                        <w:bottom w:val="none" w:sz="0" w:space="0" w:color="auto"/>
                        <w:right w:val="none" w:sz="0" w:space="0" w:color="auto"/>
                      </w:divBdr>
                    </w:div>
                  </w:divsChild>
                </w:div>
                <w:div w:id="1330258164">
                  <w:marLeft w:val="0"/>
                  <w:marRight w:val="0"/>
                  <w:marTop w:val="0"/>
                  <w:marBottom w:val="0"/>
                  <w:divBdr>
                    <w:top w:val="none" w:sz="0" w:space="0" w:color="auto"/>
                    <w:left w:val="none" w:sz="0" w:space="0" w:color="auto"/>
                    <w:bottom w:val="none" w:sz="0" w:space="0" w:color="auto"/>
                    <w:right w:val="none" w:sz="0" w:space="0" w:color="auto"/>
                  </w:divBdr>
                  <w:divsChild>
                    <w:div w:id="1736320668">
                      <w:marLeft w:val="0"/>
                      <w:marRight w:val="0"/>
                      <w:marTop w:val="0"/>
                      <w:marBottom w:val="0"/>
                      <w:divBdr>
                        <w:top w:val="none" w:sz="0" w:space="0" w:color="auto"/>
                        <w:left w:val="none" w:sz="0" w:space="0" w:color="auto"/>
                        <w:bottom w:val="none" w:sz="0" w:space="0" w:color="auto"/>
                        <w:right w:val="none" w:sz="0" w:space="0" w:color="auto"/>
                      </w:divBdr>
                    </w:div>
                  </w:divsChild>
                </w:div>
                <w:div w:id="1330518515">
                  <w:marLeft w:val="0"/>
                  <w:marRight w:val="0"/>
                  <w:marTop w:val="0"/>
                  <w:marBottom w:val="0"/>
                  <w:divBdr>
                    <w:top w:val="none" w:sz="0" w:space="0" w:color="auto"/>
                    <w:left w:val="none" w:sz="0" w:space="0" w:color="auto"/>
                    <w:bottom w:val="none" w:sz="0" w:space="0" w:color="auto"/>
                    <w:right w:val="none" w:sz="0" w:space="0" w:color="auto"/>
                  </w:divBdr>
                  <w:divsChild>
                    <w:div w:id="638998199">
                      <w:marLeft w:val="0"/>
                      <w:marRight w:val="0"/>
                      <w:marTop w:val="0"/>
                      <w:marBottom w:val="0"/>
                      <w:divBdr>
                        <w:top w:val="none" w:sz="0" w:space="0" w:color="auto"/>
                        <w:left w:val="none" w:sz="0" w:space="0" w:color="auto"/>
                        <w:bottom w:val="none" w:sz="0" w:space="0" w:color="auto"/>
                        <w:right w:val="none" w:sz="0" w:space="0" w:color="auto"/>
                      </w:divBdr>
                    </w:div>
                  </w:divsChild>
                </w:div>
                <w:div w:id="1335911760">
                  <w:marLeft w:val="0"/>
                  <w:marRight w:val="0"/>
                  <w:marTop w:val="0"/>
                  <w:marBottom w:val="0"/>
                  <w:divBdr>
                    <w:top w:val="none" w:sz="0" w:space="0" w:color="auto"/>
                    <w:left w:val="none" w:sz="0" w:space="0" w:color="auto"/>
                    <w:bottom w:val="none" w:sz="0" w:space="0" w:color="auto"/>
                    <w:right w:val="none" w:sz="0" w:space="0" w:color="auto"/>
                  </w:divBdr>
                  <w:divsChild>
                    <w:div w:id="308944613">
                      <w:marLeft w:val="0"/>
                      <w:marRight w:val="0"/>
                      <w:marTop w:val="0"/>
                      <w:marBottom w:val="0"/>
                      <w:divBdr>
                        <w:top w:val="none" w:sz="0" w:space="0" w:color="auto"/>
                        <w:left w:val="none" w:sz="0" w:space="0" w:color="auto"/>
                        <w:bottom w:val="none" w:sz="0" w:space="0" w:color="auto"/>
                        <w:right w:val="none" w:sz="0" w:space="0" w:color="auto"/>
                      </w:divBdr>
                    </w:div>
                  </w:divsChild>
                </w:div>
                <w:div w:id="1335955539">
                  <w:marLeft w:val="0"/>
                  <w:marRight w:val="0"/>
                  <w:marTop w:val="0"/>
                  <w:marBottom w:val="0"/>
                  <w:divBdr>
                    <w:top w:val="none" w:sz="0" w:space="0" w:color="auto"/>
                    <w:left w:val="none" w:sz="0" w:space="0" w:color="auto"/>
                    <w:bottom w:val="none" w:sz="0" w:space="0" w:color="auto"/>
                    <w:right w:val="none" w:sz="0" w:space="0" w:color="auto"/>
                  </w:divBdr>
                  <w:divsChild>
                    <w:div w:id="1767459600">
                      <w:marLeft w:val="0"/>
                      <w:marRight w:val="0"/>
                      <w:marTop w:val="0"/>
                      <w:marBottom w:val="0"/>
                      <w:divBdr>
                        <w:top w:val="none" w:sz="0" w:space="0" w:color="auto"/>
                        <w:left w:val="none" w:sz="0" w:space="0" w:color="auto"/>
                        <w:bottom w:val="none" w:sz="0" w:space="0" w:color="auto"/>
                        <w:right w:val="none" w:sz="0" w:space="0" w:color="auto"/>
                      </w:divBdr>
                    </w:div>
                  </w:divsChild>
                </w:div>
                <w:div w:id="1341816239">
                  <w:marLeft w:val="0"/>
                  <w:marRight w:val="0"/>
                  <w:marTop w:val="0"/>
                  <w:marBottom w:val="0"/>
                  <w:divBdr>
                    <w:top w:val="none" w:sz="0" w:space="0" w:color="auto"/>
                    <w:left w:val="none" w:sz="0" w:space="0" w:color="auto"/>
                    <w:bottom w:val="none" w:sz="0" w:space="0" w:color="auto"/>
                    <w:right w:val="none" w:sz="0" w:space="0" w:color="auto"/>
                  </w:divBdr>
                  <w:divsChild>
                    <w:div w:id="507520869">
                      <w:marLeft w:val="0"/>
                      <w:marRight w:val="0"/>
                      <w:marTop w:val="0"/>
                      <w:marBottom w:val="0"/>
                      <w:divBdr>
                        <w:top w:val="none" w:sz="0" w:space="0" w:color="auto"/>
                        <w:left w:val="none" w:sz="0" w:space="0" w:color="auto"/>
                        <w:bottom w:val="none" w:sz="0" w:space="0" w:color="auto"/>
                        <w:right w:val="none" w:sz="0" w:space="0" w:color="auto"/>
                      </w:divBdr>
                    </w:div>
                  </w:divsChild>
                </w:div>
                <w:div w:id="1343901372">
                  <w:marLeft w:val="0"/>
                  <w:marRight w:val="0"/>
                  <w:marTop w:val="0"/>
                  <w:marBottom w:val="0"/>
                  <w:divBdr>
                    <w:top w:val="none" w:sz="0" w:space="0" w:color="auto"/>
                    <w:left w:val="none" w:sz="0" w:space="0" w:color="auto"/>
                    <w:bottom w:val="none" w:sz="0" w:space="0" w:color="auto"/>
                    <w:right w:val="none" w:sz="0" w:space="0" w:color="auto"/>
                  </w:divBdr>
                  <w:divsChild>
                    <w:div w:id="959913971">
                      <w:marLeft w:val="0"/>
                      <w:marRight w:val="0"/>
                      <w:marTop w:val="0"/>
                      <w:marBottom w:val="0"/>
                      <w:divBdr>
                        <w:top w:val="none" w:sz="0" w:space="0" w:color="auto"/>
                        <w:left w:val="none" w:sz="0" w:space="0" w:color="auto"/>
                        <w:bottom w:val="none" w:sz="0" w:space="0" w:color="auto"/>
                        <w:right w:val="none" w:sz="0" w:space="0" w:color="auto"/>
                      </w:divBdr>
                    </w:div>
                  </w:divsChild>
                </w:div>
                <w:div w:id="1347825333">
                  <w:marLeft w:val="0"/>
                  <w:marRight w:val="0"/>
                  <w:marTop w:val="0"/>
                  <w:marBottom w:val="0"/>
                  <w:divBdr>
                    <w:top w:val="none" w:sz="0" w:space="0" w:color="auto"/>
                    <w:left w:val="none" w:sz="0" w:space="0" w:color="auto"/>
                    <w:bottom w:val="none" w:sz="0" w:space="0" w:color="auto"/>
                    <w:right w:val="none" w:sz="0" w:space="0" w:color="auto"/>
                  </w:divBdr>
                  <w:divsChild>
                    <w:div w:id="1729457986">
                      <w:marLeft w:val="0"/>
                      <w:marRight w:val="0"/>
                      <w:marTop w:val="0"/>
                      <w:marBottom w:val="0"/>
                      <w:divBdr>
                        <w:top w:val="none" w:sz="0" w:space="0" w:color="auto"/>
                        <w:left w:val="none" w:sz="0" w:space="0" w:color="auto"/>
                        <w:bottom w:val="none" w:sz="0" w:space="0" w:color="auto"/>
                        <w:right w:val="none" w:sz="0" w:space="0" w:color="auto"/>
                      </w:divBdr>
                    </w:div>
                  </w:divsChild>
                </w:div>
                <w:div w:id="1348017713">
                  <w:marLeft w:val="0"/>
                  <w:marRight w:val="0"/>
                  <w:marTop w:val="0"/>
                  <w:marBottom w:val="0"/>
                  <w:divBdr>
                    <w:top w:val="none" w:sz="0" w:space="0" w:color="auto"/>
                    <w:left w:val="none" w:sz="0" w:space="0" w:color="auto"/>
                    <w:bottom w:val="none" w:sz="0" w:space="0" w:color="auto"/>
                    <w:right w:val="none" w:sz="0" w:space="0" w:color="auto"/>
                  </w:divBdr>
                  <w:divsChild>
                    <w:div w:id="1069377892">
                      <w:marLeft w:val="0"/>
                      <w:marRight w:val="0"/>
                      <w:marTop w:val="0"/>
                      <w:marBottom w:val="0"/>
                      <w:divBdr>
                        <w:top w:val="none" w:sz="0" w:space="0" w:color="auto"/>
                        <w:left w:val="none" w:sz="0" w:space="0" w:color="auto"/>
                        <w:bottom w:val="none" w:sz="0" w:space="0" w:color="auto"/>
                        <w:right w:val="none" w:sz="0" w:space="0" w:color="auto"/>
                      </w:divBdr>
                    </w:div>
                  </w:divsChild>
                </w:div>
                <w:div w:id="1352756552">
                  <w:marLeft w:val="0"/>
                  <w:marRight w:val="0"/>
                  <w:marTop w:val="0"/>
                  <w:marBottom w:val="0"/>
                  <w:divBdr>
                    <w:top w:val="none" w:sz="0" w:space="0" w:color="auto"/>
                    <w:left w:val="none" w:sz="0" w:space="0" w:color="auto"/>
                    <w:bottom w:val="none" w:sz="0" w:space="0" w:color="auto"/>
                    <w:right w:val="none" w:sz="0" w:space="0" w:color="auto"/>
                  </w:divBdr>
                  <w:divsChild>
                    <w:div w:id="999700336">
                      <w:marLeft w:val="0"/>
                      <w:marRight w:val="0"/>
                      <w:marTop w:val="0"/>
                      <w:marBottom w:val="0"/>
                      <w:divBdr>
                        <w:top w:val="none" w:sz="0" w:space="0" w:color="auto"/>
                        <w:left w:val="none" w:sz="0" w:space="0" w:color="auto"/>
                        <w:bottom w:val="none" w:sz="0" w:space="0" w:color="auto"/>
                        <w:right w:val="none" w:sz="0" w:space="0" w:color="auto"/>
                      </w:divBdr>
                    </w:div>
                  </w:divsChild>
                </w:div>
                <w:div w:id="1354959294">
                  <w:marLeft w:val="0"/>
                  <w:marRight w:val="0"/>
                  <w:marTop w:val="0"/>
                  <w:marBottom w:val="0"/>
                  <w:divBdr>
                    <w:top w:val="none" w:sz="0" w:space="0" w:color="auto"/>
                    <w:left w:val="none" w:sz="0" w:space="0" w:color="auto"/>
                    <w:bottom w:val="none" w:sz="0" w:space="0" w:color="auto"/>
                    <w:right w:val="none" w:sz="0" w:space="0" w:color="auto"/>
                  </w:divBdr>
                  <w:divsChild>
                    <w:div w:id="1516194246">
                      <w:marLeft w:val="0"/>
                      <w:marRight w:val="0"/>
                      <w:marTop w:val="0"/>
                      <w:marBottom w:val="0"/>
                      <w:divBdr>
                        <w:top w:val="none" w:sz="0" w:space="0" w:color="auto"/>
                        <w:left w:val="none" w:sz="0" w:space="0" w:color="auto"/>
                        <w:bottom w:val="none" w:sz="0" w:space="0" w:color="auto"/>
                        <w:right w:val="none" w:sz="0" w:space="0" w:color="auto"/>
                      </w:divBdr>
                    </w:div>
                  </w:divsChild>
                </w:div>
                <w:div w:id="1364554284">
                  <w:marLeft w:val="0"/>
                  <w:marRight w:val="0"/>
                  <w:marTop w:val="0"/>
                  <w:marBottom w:val="0"/>
                  <w:divBdr>
                    <w:top w:val="none" w:sz="0" w:space="0" w:color="auto"/>
                    <w:left w:val="none" w:sz="0" w:space="0" w:color="auto"/>
                    <w:bottom w:val="none" w:sz="0" w:space="0" w:color="auto"/>
                    <w:right w:val="none" w:sz="0" w:space="0" w:color="auto"/>
                  </w:divBdr>
                  <w:divsChild>
                    <w:div w:id="727069895">
                      <w:marLeft w:val="0"/>
                      <w:marRight w:val="0"/>
                      <w:marTop w:val="0"/>
                      <w:marBottom w:val="0"/>
                      <w:divBdr>
                        <w:top w:val="none" w:sz="0" w:space="0" w:color="auto"/>
                        <w:left w:val="none" w:sz="0" w:space="0" w:color="auto"/>
                        <w:bottom w:val="none" w:sz="0" w:space="0" w:color="auto"/>
                        <w:right w:val="none" w:sz="0" w:space="0" w:color="auto"/>
                      </w:divBdr>
                    </w:div>
                  </w:divsChild>
                </w:div>
                <w:div w:id="1366297453">
                  <w:marLeft w:val="0"/>
                  <w:marRight w:val="0"/>
                  <w:marTop w:val="0"/>
                  <w:marBottom w:val="0"/>
                  <w:divBdr>
                    <w:top w:val="none" w:sz="0" w:space="0" w:color="auto"/>
                    <w:left w:val="none" w:sz="0" w:space="0" w:color="auto"/>
                    <w:bottom w:val="none" w:sz="0" w:space="0" w:color="auto"/>
                    <w:right w:val="none" w:sz="0" w:space="0" w:color="auto"/>
                  </w:divBdr>
                  <w:divsChild>
                    <w:div w:id="84614628">
                      <w:marLeft w:val="0"/>
                      <w:marRight w:val="0"/>
                      <w:marTop w:val="0"/>
                      <w:marBottom w:val="0"/>
                      <w:divBdr>
                        <w:top w:val="none" w:sz="0" w:space="0" w:color="auto"/>
                        <w:left w:val="none" w:sz="0" w:space="0" w:color="auto"/>
                        <w:bottom w:val="none" w:sz="0" w:space="0" w:color="auto"/>
                        <w:right w:val="none" w:sz="0" w:space="0" w:color="auto"/>
                      </w:divBdr>
                    </w:div>
                  </w:divsChild>
                </w:div>
                <w:div w:id="1367951649">
                  <w:marLeft w:val="0"/>
                  <w:marRight w:val="0"/>
                  <w:marTop w:val="0"/>
                  <w:marBottom w:val="0"/>
                  <w:divBdr>
                    <w:top w:val="none" w:sz="0" w:space="0" w:color="auto"/>
                    <w:left w:val="none" w:sz="0" w:space="0" w:color="auto"/>
                    <w:bottom w:val="none" w:sz="0" w:space="0" w:color="auto"/>
                    <w:right w:val="none" w:sz="0" w:space="0" w:color="auto"/>
                  </w:divBdr>
                  <w:divsChild>
                    <w:div w:id="1113477701">
                      <w:marLeft w:val="0"/>
                      <w:marRight w:val="0"/>
                      <w:marTop w:val="0"/>
                      <w:marBottom w:val="0"/>
                      <w:divBdr>
                        <w:top w:val="none" w:sz="0" w:space="0" w:color="auto"/>
                        <w:left w:val="none" w:sz="0" w:space="0" w:color="auto"/>
                        <w:bottom w:val="none" w:sz="0" w:space="0" w:color="auto"/>
                        <w:right w:val="none" w:sz="0" w:space="0" w:color="auto"/>
                      </w:divBdr>
                    </w:div>
                  </w:divsChild>
                </w:div>
                <w:div w:id="1374884363">
                  <w:marLeft w:val="0"/>
                  <w:marRight w:val="0"/>
                  <w:marTop w:val="0"/>
                  <w:marBottom w:val="0"/>
                  <w:divBdr>
                    <w:top w:val="none" w:sz="0" w:space="0" w:color="auto"/>
                    <w:left w:val="none" w:sz="0" w:space="0" w:color="auto"/>
                    <w:bottom w:val="none" w:sz="0" w:space="0" w:color="auto"/>
                    <w:right w:val="none" w:sz="0" w:space="0" w:color="auto"/>
                  </w:divBdr>
                  <w:divsChild>
                    <w:div w:id="892738521">
                      <w:marLeft w:val="0"/>
                      <w:marRight w:val="0"/>
                      <w:marTop w:val="0"/>
                      <w:marBottom w:val="0"/>
                      <w:divBdr>
                        <w:top w:val="none" w:sz="0" w:space="0" w:color="auto"/>
                        <w:left w:val="none" w:sz="0" w:space="0" w:color="auto"/>
                        <w:bottom w:val="none" w:sz="0" w:space="0" w:color="auto"/>
                        <w:right w:val="none" w:sz="0" w:space="0" w:color="auto"/>
                      </w:divBdr>
                    </w:div>
                  </w:divsChild>
                </w:div>
                <w:div w:id="1379739044">
                  <w:marLeft w:val="0"/>
                  <w:marRight w:val="0"/>
                  <w:marTop w:val="0"/>
                  <w:marBottom w:val="0"/>
                  <w:divBdr>
                    <w:top w:val="none" w:sz="0" w:space="0" w:color="auto"/>
                    <w:left w:val="none" w:sz="0" w:space="0" w:color="auto"/>
                    <w:bottom w:val="none" w:sz="0" w:space="0" w:color="auto"/>
                    <w:right w:val="none" w:sz="0" w:space="0" w:color="auto"/>
                  </w:divBdr>
                  <w:divsChild>
                    <w:div w:id="1407535301">
                      <w:marLeft w:val="0"/>
                      <w:marRight w:val="0"/>
                      <w:marTop w:val="0"/>
                      <w:marBottom w:val="0"/>
                      <w:divBdr>
                        <w:top w:val="none" w:sz="0" w:space="0" w:color="auto"/>
                        <w:left w:val="none" w:sz="0" w:space="0" w:color="auto"/>
                        <w:bottom w:val="none" w:sz="0" w:space="0" w:color="auto"/>
                        <w:right w:val="none" w:sz="0" w:space="0" w:color="auto"/>
                      </w:divBdr>
                    </w:div>
                  </w:divsChild>
                </w:div>
                <w:div w:id="1382172461">
                  <w:marLeft w:val="0"/>
                  <w:marRight w:val="0"/>
                  <w:marTop w:val="0"/>
                  <w:marBottom w:val="0"/>
                  <w:divBdr>
                    <w:top w:val="none" w:sz="0" w:space="0" w:color="auto"/>
                    <w:left w:val="none" w:sz="0" w:space="0" w:color="auto"/>
                    <w:bottom w:val="none" w:sz="0" w:space="0" w:color="auto"/>
                    <w:right w:val="none" w:sz="0" w:space="0" w:color="auto"/>
                  </w:divBdr>
                  <w:divsChild>
                    <w:div w:id="781265998">
                      <w:marLeft w:val="0"/>
                      <w:marRight w:val="0"/>
                      <w:marTop w:val="0"/>
                      <w:marBottom w:val="0"/>
                      <w:divBdr>
                        <w:top w:val="none" w:sz="0" w:space="0" w:color="auto"/>
                        <w:left w:val="none" w:sz="0" w:space="0" w:color="auto"/>
                        <w:bottom w:val="none" w:sz="0" w:space="0" w:color="auto"/>
                        <w:right w:val="none" w:sz="0" w:space="0" w:color="auto"/>
                      </w:divBdr>
                    </w:div>
                  </w:divsChild>
                </w:div>
                <w:div w:id="1397555370">
                  <w:marLeft w:val="0"/>
                  <w:marRight w:val="0"/>
                  <w:marTop w:val="0"/>
                  <w:marBottom w:val="0"/>
                  <w:divBdr>
                    <w:top w:val="none" w:sz="0" w:space="0" w:color="auto"/>
                    <w:left w:val="none" w:sz="0" w:space="0" w:color="auto"/>
                    <w:bottom w:val="none" w:sz="0" w:space="0" w:color="auto"/>
                    <w:right w:val="none" w:sz="0" w:space="0" w:color="auto"/>
                  </w:divBdr>
                  <w:divsChild>
                    <w:div w:id="54477767">
                      <w:marLeft w:val="0"/>
                      <w:marRight w:val="0"/>
                      <w:marTop w:val="0"/>
                      <w:marBottom w:val="0"/>
                      <w:divBdr>
                        <w:top w:val="none" w:sz="0" w:space="0" w:color="auto"/>
                        <w:left w:val="none" w:sz="0" w:space="0" w:color="auto"/>
                        <w:bottom w:val="none" w:sz="0" w:space="0" w:color="auto"/>
                        <w:right w:val="none" w:sz="0" w:space="0" w:color="auto"/>
                      </w:divBdr>
                    </w:div>
                  </w:divsChild>
                </w:div>
                <w:div w:id="1398669321">
                  <w:marLeft w:val="0"/>
                  <w:marRight w:val="0"/>
                  <w:marTop w:val="0"/>
                  <w:marBottom w:val="0"/>
                  <w:divBdr>
                    <w:top w:val="none" w:sz="0" w:space="0" w:color="auto"/>
                    <w:left w:val="none" w:sz="0" w:space="0" w:color="auto"/>
                    <w:bottom w:val="none" w:sz="0" w:space="0" w:color="auto"/>
                    <w:right w:val="none" w:sz="0" w:space="0" w:color="auto"/>
                  </w:divBdr>
                  <w:divsChild>
                    <w:div w:id="1912543566">
                      <w:marLeft w:val="0"/>
                      <w:marRight w:val="0"/>
                      <w:marTop w:val="0"/>
                      <w:marBottom w:val="0"/>
                      <w:divBdr>
                        <w:top w:val="none" w:sz="0" w:space="0" w:color="auto"/>
                        <w:left w:val="none" w:sz="0" w:space="0" w:color="auto"/>
                        <w:bottom w:val="none" w:sz="0" w:space="0" w:color="auto"/>
                        <w:right w:val="none" w:sz="0" w:space="0" w:color="auto"/>
                      </w:divBdr>
                    </w:div>
                  </w:divsChild>
                </w:div>
                <w:div w:id="1401630621">
                  <w:marLeft w:val="0"/>
                  <w:marRight w:val="0"/>
                  <w:marTop w:val="0"/>
                  <w:marBottom w:val="0"/>
                  <w:divBdr>
                    <w:top w:val="none" w:sz="0" w:space="0" w:color="auto"/>
                    <w:left w:val="none" w:sz="0" w:space="0" w:color="auto"/>
                    <w:bottom w:val="none" w:sz="0" w:space="0" w:color="auto"/>
                    <w:right w:val="none" w:sz="0" w:space="0" w:color="auto"/>
                  </w:divBdr>
                  <w:divsChild>
                    <w:div w:id="549222714">
                      <w:marLeft w:val="0"/>
                      <w:marRight w:val="0"/>
                      <w:marTop w:val="0"/>
                      <w:marBottom w:val="0"/>
                      <w:divBdr>
                        <w:top w:val="none" w:sz="0" w:space="0" w:color="auto"/>
                        <w:left w:val="none" w:sz="0" w:space="0" w:color="auto"/>
                        <w:bottom w:val="none" w:sz="0" w:space="0" w:color="auto"/>
                        <w:right w:val="none" w:sz="0" w:space="0" w:color="auto"/>
                      </w:divBdr>
                    </w:div>
                  </w:divsChild>
                </w:div>
                <w:div w:id="1404134313">
                  <w:marLeft w:val="0"/>
                  <w:marRight w:val="0"/>
                  <w:marTop w:val="0"/>
                  <w:marBottom w:val="0"/>
                  <w:divBdr>
                    <w:top w:val="none" w:sz="0" w:space="0" w:color="auto"/>
                    <w:left w:val="none" w:sz="0" w:space="0" w:color="auto"/>
                    <w:bottom w:val="none" w:sz="0" w:space="0" w:color="auto"/>
                    <w:right w:val="none" w:sz="0" w:space="0" w:color="auto"/>
                  </w:divBdr>
                  <w:divsChild>
                    <w:div w:id="726537219">
                      <w:marLeft w:val="0"/>
                      <w:marRight w:val="0"/>
                      <w:marTop w:val="0"/>
                      <w:marBottom w:val="0"/>
                      <w:divBdr>
                        <w:top w:val="none" w:sz="0" w:space="0" w:color="auto"/>
                        <w:left w:val="none" w:sz="0" w:space="0" w:color="auto"/>
                        <w:bottom w:val="none" w:sz="0" w:space="0" w:color="auto"/>
                        <w:right w:val="none" w:sz="0" w:space="0" w:color="auto"/>
                      </w:divBdr>
                    </w:div>
                  </w:divsChild>
                </w:div>
                <w:div w:id="1404179678">
                  <w:marLeft w:val="0"/>
                  <w:marRight w:val="0"/>
                  <w:marTop w:val="0"/>
                  <w:marBottom w:val="0"/>
                  <w:divBdr>
                    <w:top w:val="none" w:sz="0" w:space="0" w:color="auto"/>
                    <w:left w:val="none" w:sz="0" w:space="0" w:color="auto"/>
                    <w:bottom w:val="none" w:sz="0" w:space="0" w:color="auto"/>
                    <w:right w:val="none" w:sz="0" w:space="0" w:color="auto"/>
                  </w:divBdr>
                  <w:divsChild>
                    <w:div w:id="1450121073">
                      <w:marLeft w:val="0"/>
                      <w:marRight w:val="0"/>
                      <w:marTop w:val="0"/>
                      <w:marBottom w:val="0"/>
                      <w:divBdr>
                        <w:top w:val="none" w:sz="0" w:space="0" w:color="auto"/>
                        <w:left w:val="none" w:sz="0" w:space="0" w:color="auto"/>
                        <w:bottom w:val="none" w:sz="0" w:space="0" w:color="auto"/>
                        <w:right w:val="none" w:sz="0" w:space="0" w:color="auto"/>
                      </w:divBdr>
                    </w:div>
                  </w:divsChild>
                </w:div>
                <w:div w:id="1404527754">
                  <w:marLeft w:val="0"/>
                  <w:marRight w:val="0"/>
                  <w:marTop w:val="0"/>
                  <w:marBottom w:val="0"/>
                  <w:divBdr>
                    <w:top w:val="none" w:sz="0" w:space="0" w:color="auto"/>
                    <w:left w:val="none" w:sz="0" w:space="0" w:color="auto"/>
                    <w:bottom w:val="none" w:sz="0" w:space="0" w:color="auto"/>
                    <w:right w:val="none" w:sz="0" w:space="0" w:color="auto"/>
                  </w:divBdr>
                  <w:divsChild>
                    <w:div w:id="611134909">
                      <w:marLeft w:val="0"/>
                      <w:marRight w:val="0"/>
                      <w:marTop w:val="0"/>
                      <w:marBottom w:val="0"/>
                      <w:divBdr>
                        <w:top w:val="none" w:sz="0" w:space="0" w:color="auto"/>
                        <w:left w:val="none" w:sz="0" w:space="0" w:color="auto"/>
                        <w:bottom w:val="none" w:sz="0" w:space="0" w:color="auto"/>
                        <w:right w:val="none" w:sz="0" w:space="0" w:color="auto"/>
                      </w:divBdr>
                    </w:div>
                  </w:divsChild>
                </w:div>
                <w:div w:id="1404597483">
                  <w:marLeft w:val="0"/>
                  <w:marRight w:val="0"/>
                  <w:marTop w:val="0"/>
                  <w:marBottom w:val="0"/>
                  <w:divBdr>
                    <w:top w:val="none" w:sz="0" w:space="0" w:color="auto"/>
                    <w:left w:val="none" w:sz="0" w:space="0" w:color="auto"/>
                    <w:bottom w:val="none" w:sz="0" w:space="0" w:color="auto"/>
                    <w:right w:val="none" w:sz="0" w:space="0" w:color="auto"/>
                  </w:divBdr>
                  <w:divsChild>
                    <w:div w:id="846363639">
                      <w:marLeft w:val="0"/>
                      <w:marRight w:val="0"/>
                      <w:marTop w:val="0"/>
                      <w:marBottom w:val="0"/>
                      <w:divBdr>
                        <w:top w:val="none" w:sz="0" w:space="0" w:color="auto"/>
                        <w:left w:val="none" w:sz="0" w:space="0" w:color="auto"/>
                        <w:bottom w:val="none" w:sz="0" w:space="0" w:color="auto"/>
                        <w:right w:val="none" w:sz="0" w:space="0" w:color="auto"/>
                      </w:divBdr>
                    </w:div>
                  </w:divsChild>
                </w:div>
                <w:div w:id="1411389258">
                  <w:marLeft w:val="0"/>
                  <w:marRight w:val="0"/>
                  <w:marTop w:val="0"/>
                  <w:marBottom w:val="0"/>
                  <w:divBdr>
                    <w:top w:val="none" w:sz="0" w:space="0" w:color="auto"/>
                    <w:left w:val="none" w:sz="0" w:space="0" w:color="auto"/>
                    <w:bottom w:val="none" w:sz="0" w:space="0" w:color="auto"/>
                    <w:right w:val="none" w:sz="0" w:space="0" w:color="auto"/>
                  </w:divBdr>
                  <w:divsChild>
                    <w:div w:id="1675305928">
                      <w:marLeft w:val="0"/>
                      <w:marRight w:val="0"/>
                      <w:marTop w:val="0"/>
                      <w:marBottom w:val="0"/>
                      <w:divBdr>
                        <w:top w:val="none" w:sz="0" w:space="0" w:color="auto"/>
                        <w:left w:val="none" w:sz="0" w:space="0" w:color="auto"/>
                        <w:bottom w:val="none" w:sz="0" w:space="0" w:color="auto"/>
                        <w:right w:val="none" w:sz="0" w:space="0" w:color="auto"/>
                      </w:divBdr>
                    </w:div>
                  </w:divsChild>
                </w:div>
                <w:div w:id="1413550658">
                  <w:marLeft w:val="0"/>
                  <w:marRight w:val="0"/>
                  <w:marTop w:val="0"/>
                  <w:marBottom w:val="0"/>
                  <w:divBdr>
                    <w:top w:val="none" w:sz="0" w:space="0" w:color="auto"/>
                    <w:left w:val="none" w:sz="0" w:space="0" w:color="auto"/>
                    <w:bottom w:val="none" w:sz="0" w:space="0" w:color="auto"/>
                    <w:right w:val="none" w:sz="0" w:space="0" w:color="auto"/>
                  </w:divBdr>
                  <w:divsChild>
                    <w:div w:id="4594121">
                      <w:marLeft w:val="0"/>
                      <w:marRight w:val="0"/>
                      <w:marTop w:val="0"/>
                      <w:marBottom w:val="0"/>
                      <w:divBdr>
                        <w:top w:val="none" w:sz="0" w:space="0" w:color="auto"/>
                        <w:left w:val="none" w:sz="0" w:space="0" w:color="auto"/>
                        <w:bottom w:val="none" w:sz="0" w:space="0" w:color="auto"/>
                        <w:right w:val="none" w:sz="0" w:space="0" w:color="auto"/>
                      </w:divBdr>
                    </w:div>
                  </w:divsChild>
                </w:div>
                <w:div w:id="1417095640">
                  <w:marLeft w:val="0"/>
                  <w:marRight w:val="0"/>
                  <w:marTop w:val="0"/>
                  <w:marBottom w:val="0"/>
                  <w:divBdr>
                    <w:top w:val="none" w:sz="0" w:space="0" w:color="auto"/>
                    <w:left w:val="none" w:sz="0" w:space="0" w:color="auto"/>
                    <w:bottom w:val="none" w:sz="0" w:space="0" w:color="auto"/>
                    <w:right w:val="none" w:sz="0" w:space="0" w:color="auto"/>
                  </w:divBdr>
                  <w:divsChild>
                    <w:div w:id="1371806187">
                      <w:marLeft w:val="0"/>
                      <w:marRight w:val="0"/>
                      <w:marTop w:val="0"/>
                      <w:marBottom w:val="0"/>
                      <w:divBdr>
                        <w:top w:val="none" w:sz="0" w:space="0" w:color="auto"/>
                        <w:left w:val="none" w:sz="0" w:space="0" w:color="auto"/>
                        <w:bottom w:val="none" w:sz="0" w:space="0" w:color="auto"/>
                        <w:right w:val="none" w:sz="0" w:space="0" w:color="auto"/>
                      </w:divBdr>
                    </w:div>
                  </w:divsChild>
                </w:div>
                <w:div w:id="1422874722">
                  <w:marLeft w:val="0"/>
                  <w:marRight w:val="0"/>
                  <w:marTop w:val="0"/>
                  <w:marBottom w:val="0"/>
                  <w:divBdr>
                    <w:top w:val="none" w:sz="0" w:space="0" w:color="auto"/>
                    <w:left w:val="none" w:sz="0" w:space="0" w:color="auto"/>
                    <w:bottom w:val="none" w:sz="0" w:space="0" w:color="auto"/>
                    <w:right w:val="none" w:sz="0" w:space="0" w:color="auto"/>
                  </w:divBdr>
                  <w:divsChild>
                    <w:div w:id="621378728">
                      <w:marLeft w:val="0"/>
                      <w:marRight w:val="0"/>
                      <w:marTop w:val="0"/>
                      <w:marBottom w:val="0"/>
                      <w:divBdr>
                        <w:top w:val="none" w:sz="0" w:space="0" w:color="auto"/>
                        <w:left w:val="none" w:sz="0" w:space="0" w:color="auto"/>
                        <w:bottom w:val="none" w:sz="0" w:space="0" w:color="auto"/>
                        <w:right w:val="none" w:sz="0" w:space="0" w:color="auto"/>
                      </w:divBdr>
                    </w:div>
                  </w:divsChild>
                </w:div>
                <w:div w:id="1428304597">
                  <w:marLeft w:val="0"/>
                  <w:marRight w:val="0"/>
                  <w:marTop w:val="0"/>
                  <w:marBottom w:val="0"/>
                  <w:divBdr>
                    <w:top w:val="none" w:sz="0" w:space="0" w:color="auto"/>
                    <w:left w:val="none" w:sz="0" w:space="0" w:color="auto"/>
                    <w:bottom w:val="none" w:sz="0" w:space="0" w:color="auto"/>
                    <w:right w:val="none" w:sz="0" w:space="0" w:color="auto"/>
                  </w:divBdr>
                  <w:divsChild>
                    <w:div w:id="368259281">
                      <w:marLeft w:val="0"/>
                      <w:marRight w:val="0"/>
                      <w:marTop w:val="0"/>
                      <w:marBottom w:val="0"/>
                      <w:divBdr>
                        <w:top w:val="none" w:sz="0" w:space="0" w:color="auto"/>
                        <w:left w:val="none" w:sz="0" w:space="0" w:color="auto"/>
                        <w:bottom w:val="none" w:sz="0" w:space="0" w:color="auto"/>
                        <w:right w:val="none" w:sz="0" w:space="0" w:color="auto"/>
                      </w:divBdr>
                    </w:div>
                  </w:divsChild>
                </w:div>
                <w:div w:id="1429615319">
                  <w:marLeft w:val="0"/>
                  <w:marRight w:val="0"/>
                  <w:marTop w:val="0"/>
                  <w:marBottom w:val="0"/>
                  <w:divBdr>
                    <w:top w:val="none" w:sz="0" w:space="0" w:color="auto"/>
                    <w:left w:val="none" w:sz="0" w:space="0" w:color="auto"/>
                    <w:bottom w:val="none" w:sz="0" w:space="0" w:color="auto"/>
                    <w:right w:val="none" w:sz="0" w:space="0" w:color="auto"/>
                  </w:divBdr>
                  <w:divsChild>
                    <w:div w:id="1471555642">
                      <w:marLeft w:val="0"/>
                      <w:marRight w:val="0"/>
                      <w:marTop w:val="0"/>
                      <w:marBottom w:val="0"/>
                      <w:divBdr>
                        <w:top w:val="none" w:sz="0" w:space="0" w:color="auto"/>
                        <w:left w:val="none" w:sz="0" w:space="0" w:color="auto"/>
                        <w:bottom w:val="none" w:sz="0" w:space="0" w:color="auto"/>
                        <w:right w:val="none" w:sz="0" w:space="0" w:color="auto"/>
                      </w:divBdr>
                    </w:div>
                  </w:divsChild>
                </w:div>
                <w:div w:id="1447653399">
                  <w:marLeft w:val="0"/>
                  <w:marRight w:val="0"/>
                  <w:marTop w:val="0"/>
                  <w:marBottom w:val="0"/>
                  <w:divBdr>
                    <w:top w:val="none" w:sz="0" w:space="0" w:color="auto"/>
                    <w:left w:val="none" w:sz="0" w:space="0" w:color="auto"/>
                    <w:bottom w:val="none" w:sz="0" w:space="0" w:color="auto"/>
                    <w:right w:val="none" w:sz="0" w:space="0" w:color="auto"/>
                  </w:divBdr>
                  <w:divsChild>
                    <w:div w:id="1803496577">
                      <w:marLeft w:val="0"/>
                      <w:marRight w:val="0"/>
                      <w:marTop w:val="0"/>
                      <w:marBottom w:val="0"/>
                      <w:divBdr>
                        <w:top w:val="none" w:sz="0" w:space="0" w:color="auto"/>
                        <w:left w:val="none" w:sz="0" w:space="0" w:color="auto"/>
                        <w:bottom w:val="none" w:sz="0" w:space="0" w:color="auto"/>
                        <w:right w:val="none" w:sz="0" w:space="0" w:color="auto"/>
                      </w:divBdr>
                    </w:div>
                  </w:divsChild>
                </w:div>
                <w:div w:id="1451631498">
                  <w:marLeft w:val="0"/>
                  <w:marRight w:val="0"/>
                  <w:marTop w:val="0"/>
                  <w:marBottom w:val="0"/>
                  <w:divBdr>
                    <w:top w:val="none" w:sz="0" w:space="0" w:color="auto"/>
                    <w:left w:val="none" w:sz="0" w:space="0" w:color="auto"/>
                    <w:bottom w:val="none" w:sz="0" w:space="0" w:color="auto"/>
                    <w:right w:val="none" w:sz="0" w:space="0" w:color="auto"/>
                  </w:divBdr>
                  <w:divsChild>
                    <w:div w:id="908343475">
                      <w:marLeft w:val="0"/>
                      <w:marRight w:val="0"/>
                      <w:marTop w:val="0"/>
                      <w:marBottom w:val="0"/>
                      <w:divBdr>
                        <w:top w:val="none" w:sz="0" w:space="0" w:color="auto"/>
                        <w:left w:val="none" w:sz="0" w:space="0" w:color="auto"/>
                        <w:bottom w:val="none" w:sz="0" w:space="0" w:color="auto"/>
                        <w:right w:val="none" w:sz="0" w:space="0" w:color="auto"/>
                      </w:divBdr>
                    </w:div>
                  </w:divsChild>
                </w:div>
                <w:div w:id="1453130893">
                  <w:marLeft w:val="0"/>
                  <w:marRight w:val="0"/>
                  <w:marTop w:val="0"/>
                  <w:marBottom w:val="0"/>
                  <w:divBdr>
                    <w:top w:val="none" w:sz="0" w:space="0" w:color="auto"/>
                    <w:left w:val="none" w:sz="0" w:space="0" w:color="auto"/>
                    <w:bottom w:val="none" w:sz="0" w:space="0" w:color="auto"/>
                    <w:right w:val="none" w:sz="0" w:space="0" w:color="auto"/>
                  </w:divBdr>
                  <w:divsChild>
                    <w:div w:id="1861237566">
                      <w:marLeft w:val="0"/>
                      <w:marRight w:val="0"/>
                      <w:marTop w:val="0"/>
                      <w:marBottom w:val="0"/>
                      <w:divBdr>
                        <w:top w:val="none" w:sz="0" w:space="0" w:color="auto"/>
                        <w:left w:val="none" w:sz="0" w:space="0" w:color="auto"/>
                        <w:bottom w:val="none" w:sz="0" w:space="0" w:color="auto"/>
                        <w:right w:val="none" w:sz="0" w:space="0" w:color="auto"/>
                      </w:divBdr>
                    </w:div>
                  </w:divsChild>
                </w:div>
                <w:div w:id="1455707174">
                  <w:marLeft w:val="0"/>
                  <w:marRight w:val="0"/>
                  <w:marTop w:val="0"/>
                  <w:marBottom w:val="0"/>
                  <w:divBdr>
                    <w:top w:val="none" w:sz="0" w:space="0" w:color="auto"/>
                    <w:left w:val="none" w:sz="0" w:space="0" w:color="auto"/>
                    <w:bottom w:val="none" w:sz="0" w:space="0" w:color="auto"/>
                    <w:right w:val="none" w:sz="0" w:space="0" w:color="auto"/>
                  </w:divBdr>
                  <w:divsChild>
                    <w:div w:id="1842890619">
                      <w:marLeft w:val="0"/>
                      <w:marRight w:val="0"/>
                      <w:marTop w:val="0"/>
                      <w:marBottom w:val="0"/>
                      <w:divBdr>
                        <w:top w:val="none" w:sz="0" w:space="0" w:color="auto"/>
                        <w:left w:val="none" w:sz="0" w:space="0" w:color="auto"/>
                        <w:bottom w:val="none" w:sz="0" w:space="0" w:color="auto"/>
                        <w:right w:val="none" w:sz="0" w:space="0" w:color="auto"/>
                      </w:divBdr>
                    </w:div>
                  </w:divsChild>
                </w:div>
                <w:div w:id="1455979356">
                  <w:marLeft w:val="0"/>
                  <w:marRight w:val="0"/>
                  <w:marTop w:val="0"/>
                  <w:marBottom w:val="0"/>
                  <w:divBdr>
                    <w:top w:val="none" w:sz="0" w:space="0" w:color="auto"/>
                    <w:left w:val="none" w:sz="0" w:space="0" w:color="auto"/>
                    <w:bottom w:val="none" w:sz="0" w:space="0" w:color="auto"/>
                    <w:right w:val="none" w:sz="0" w:space="0" w:color="auto"/>
                  </w:divBdr>
                  <w:divsChild>
                    <w:div w:id="1299263974">
                      <w:marLeft w:val="0"/>
                      <w:marRight w:val="0"/>
                      <w:marTop w:val="0"/>
                      <w:marBottom w:val="0"/>
                      <w:divBdr>
                        <w:top w:val="none" w:sz="0" w:space="0" w:color="auto"/>
                        <w:left w:val="none" w:sz="0" w:space="0" w:color="auto"/>
                        <w:bottom w:val="none" w:sz="0" w:space="0" w:color="auto"/>
                        <w:right w:val="none" w:sz="0" w:space="0" w:color="auto"/>
                      </w:divBdr>
                    </w:div>
                  </w:divsChild>
                </w:div>
                <w:div w:id="1462117491">
                  <w:marLeft w:val="0"/>
                  <w:marRight w:val="0"/>
                  <w:marTop w:val="0"/>
                  <w:marBottom w:val="0"/>
                  <w:divBdr>
                    <w:top w:val="none" w:sz="0" w:space="0" w:color="auto"/>
                    <w:left w:val="none" w:sz="0" w:space="0" w:color="auto"/>
                    <w:bottom w:val="none" w:sz="0" w:space="0" w:color="auto"/>
                    <w:right w:val="none" w:sz="0" w:space="0" w:color="auto"/>
                  </w:divBdr>
                  <w:divsChild>
                    <w:div w:id="557932983">
                      <w:marLeft w:val="0"/>
                      <w:marRight w:val="0"/>
                      <w:marTop w:val="0"/>
                      <w:marBottom w:val="0"/>
                      <w:divBdr>
                        <w:top w:val="none" w:sz="0" w:space="0" w:color="auto"/>
                        <w:left w:val="none" w:sz="0" w:space="0" w:color="auto"/>
                        <w:bottom w:val="none" w:sz="0" w:space="0" w:color="auto"/>
                        <w:right w:val="none" w:sz="0" w:space="0" w:color="auto"/>
                      </w:divBdr>
                    </w:div>
                  </w:divsChild>
                </w:div>
                <w:div w:id="1467702958">
                  <w:marLeft w:val="0"/>
                  <w:marRight w:val="0"/>
                  <w:marTop w:val="0"/>
                  <w:marBottom w:val="0"/>
                  <w:divBdr>
                    <w:top w:val="none" w:sz="0" w:space="0" w:color="auto"/>
                    <w:left w:val="none" w:sz="0" w:space="0" w:color="auto"/>
                    <w:bottom w:val="none" w:sz="0" w:space="0" w:color="auto"/>
                    <w:right w:val="none" w:sz="0" w:space="0" w:color="auto"/>
                  </w:divBdr>
                  <w:divsChild>
                    <w:div w:id="1181970609">
                      <w:marLeft w:val="0"/>
                      <w:marRight w:val="0"/>
                      <w:marTop w:val="0"/>
                      <w:marBottom w:val="0"/>
                      <w:divBdr>
                        <w:top w:val="none" w:sz="0" w:space="0" w:color="auto"/>
                        <w:left w:val="none" w:sz="0" w:space="0" w:color="auto"/>
                        <w:bottom w:val="none" w:sz="0" w:space="0" w:color="auto"/>
                        <w:right w:val="none" w:sz="0" w:space="0" w:color="auto"/>
                      </w:divBdr>
                    </w:div>
                  </w:divsChild>
                </w:div>
                <w:div w:id="1469082285">
                  <w:marLeft w:val="0"/>
                  <w:marRight w:val="0"/>
                  <w:marTop w:val="0"/>
                  <w:marBottom w:val="0"/>
                  <w:divBdr>
                    <w:top w:val="none" w:sz="0" w:space="0" w:color="auto"/>
                    <w:left w:val="none" w:sz="0" w:space="0" w:color="auto"/>
                    <w:bottom w:val="none" w:sz="0" w:space="0" w:color="auto"/>
                    <w:right w:val="none" w:sz="0" w:space="0" w:color="auto"/>
                  </w:divBdr>
                  <w:divsChild>
                    <w:div w:id="716006579">
                      <w:marLeft w:val="0"/>
                      <w:marRight w:val="0"/>
                      <w:marTop w:val="0"/>
                      <w:marBottom w:val="0"/>
                      <w:divBdr>
                        <w:top w:val="none" w:sz="0" w:space="0" w:color="auto"/>
                        <w:left w:val="none" w:sz="0" w:space="0" w:color="auto"/>
                        <w:bottom w:val="none" w:sz="0" w:space="0" w:color="auto"/>
                        <w:right w:val="none" w:sz="0" w:space="0" w:color="auto"/>
                      </w:divBdr>
                    </w:div>
                  </w:divsChild>
                </w:div>
                <w:div w:id="1471902339">
                  <w:marLeft w:val="0"/>
                  <w:marRight w:val="0"/>
                  <w:marTop w:val="0"/>
                  <w:marBottom w:val="0"/>
                  <w:divBdr>
                    <w:top w:val="none" w:sz="0" w:space="0" w:color="auto"/>
                    <w:left w:val="none" w:sz="0" w:space="0" w:color="auto"/>
                    <w:bottom w:val="none" w:sz="0" w:space="0" w:color="auto"/>
                    <w:right w:val="none" w:sz="0" w:space="0" w:color="auto"/>
                  </w:divBdr>
                  <w:divsChild>
                    <w:div w:id="1164126443">
                      <w:marLeft w:val="0"/>
                      <w:marRight w:val="0"/>
                      <w:marTop w:val="0"/>
                      <w:marBottom w:val="0"/>
                      <w:divBdr>
                        <w:top w:val="none" w:sz="0" w:space="0" w:color="auto"/>
                        <w:left w:val="none" w:sz="0" w:space="0" w:color="auto"/>
                        <w:bottom w:val="none" w:sz="0" w:space="0" w:color="auto"/>
                        <w:right w:val="none" w:sz="0" w:space="0" w:color="auto"/>
                      </w:divBdr>
                    </w:div>
                  </w:divsChild>
                </w:div>
                <w:div w:id="1476069775">
                  <w:marLeft w:val="0"/>
                  <w:marRight w:val="0"/>
                  <w:marTop w:val="0"/>
                  <w:marBottom w:val="0"/>
                  <w:divBdr>
                    <w:top w:val="none" w:sz="0" w:space="0" w:color="auto"/>
                    <w:left w:val="none" w:sz="0" w:space="0" w:color="auto"/>
                    <w:bottom w:val="none" w:sz="0" w:space="0" w:color="auto"/>
                    <w:right w:val="none" w:sz="0" w:space="0" w:color="auto"/>
                  </w:divBdr>
                  <w:divsChild>
                    <w:div w:id="753168304">
                      <w:marLeft w:val="0"/>
                      <w:marRight w:val="0"/>
                      <w:marTop w:val="0"/>
                      <w:marBottom w:val="0"/>
                      <w:divBdr>
                        <w:top w:val="none" w:sz="0" w:space="0" w:color="auto"/>
                        <w:left w:val="none" w:sz="0" w:space="0" w:color="auto"/>
                        <w:bottom w:val="none" w:sz="0" w:space="0" w:color="auto"/>
                        <w:right w:val="none" w:sz="0" w:space="0" w:color="auto"/>
                      </w:divBdr>
                    </w:div>
                  </w:divsChild>
                </w:div>
                <w:div w:id="1479608248">
                  <w:marLeft w:val="0"/>
                  <w:marRight w:val="0"/>
                  <w:marTop w:val="0"/>
                  <w:marBottom w:val="0"/>
                  <w:divBdr>
                    <w:top w:val="none" w:sz="0" w:space="0" w:color="auto"/>
                    <w:left w:val="none" w:sz="0" w:space="0" w:color="auto"/>
                    <w:bottom w:val="none" w:sz="0" w:space="0" w:color="auto"/>
                    <w:right w:val="none" w:sz="0" w:space="0" w:color="auto"/>
                  </w:divBdr>
                  <w:divsChild>
                    <w:div w:id="416560180">
                      <w:marLeft w:val="0"/>
                      <w:marRight w:val="0"/>
                      <w:marTop w:val="0"/>
                      <w:marBottom w:val="0"/>
                      <w:divBdr>
                        <w:top w:val="none" w:sz="0" w:space="0" w:color="auto"/>
                        <w:left w:val="none" w:sz="0" w:space="0" w:color="auto"/>
                        <w:bottom w:val="none" w:sz="0" w:space="0" w:color="auto"/>
                        <w:right w:val="none" w:sz="0" w:space="0" w:color="auto"/>
                      </w:divBdr>
                    </w:div>
                  </w:divsChild>
                </w:div>
                <w:div w:id="1498762148">
                  <w:marLeft w:val="0"/>
                  <w:marRight w:val="0"/>
                  <w:marTop w:val="0"/>
                  <w:marBottom w:val="0"/>
                  <w:divBdr>
                    <w:top w:val="none" w:sz="0" w:space="0" w:color="auto"/>
                    <w:left w:val="none" w:sz="0" w:space="0" w:color="auto"/>
                    <w:bottom w:val="none" w:sz="0" w:space="0" w:color="auto"/>
                    <w:right w:val="none" w:sz="0" w:space="0" w:color="auto"/>
                  </w:divBdr>
                  <w:divsChild>
                    <w:div w:id="1637175147">
                      <w:marLeft w:val="0"/>
                      <w:marRight w:val="0"/>
                      <w:marTop w:val="0"/>
                      <w:marBottom w:val="0"/>
                      <w:divBdr>
                        <w:top w:val="none" w:sz="0" w:space="0" w:color="auto"/>
                        <w:left w:val="none" w:sz="0" w:space="0" w:color="auto"/>
                        <w:bottom w:val="none" w:sz="0" w:space="0" w:color="auto"/>
                        <w:right w:val="none" w:sz="0" w:space="0" w:color="auto"/>
                      </w:divBdr>
                    </w:div>
                  </w:divsChild>
                </w:div>
                <w:div w:id="1503083584">
                  <w:marLeft w:val="0"/>
                  <w:marRight w:val="0"/>
                  <w:marTop w:val="0"/>
                  <w:marBottom w:val="0"/>
                  <w:divBdr>
                    <w:top w:val="none" w:sz="0" w:space="0" w:color="auto"/>
                    <w:left w:val="none" w:sz="0" w:space="0" w:color="auto"/>
                    <w:bottom w:val="none" w:sz="0" w:space="0" w:color="auto"/>
                    <w:right w:val="none" w:sz="0" w:space="0" w:color="auto"/>
                  </w:divBdr>
                  <w:divsChild>
                    <w:div w:id="1503886130">
                      <w:marLeft w:val="0"/>
                      <w:marRight w:val="0"/>
                      <w:marTop w:val="0"/>
                      <w:marBottom w:val="0"/>
                      <w:divBdr>
                        <w:top w:val="none" w:sz="0" w:space="0" w:color="auto"/>
                        <w:left w:val="none" w:sz="0" w:space="0" w:color="auto"/>
                        <w:bottom w:val="none" w:sz="0" w:space="0" w:color="auto"/>
                        <w:right w:val="none" w:sz="0" w:space="0" w:color="auto"/>
                      </w:divBdr>
                    </w:div>
                  </w:divsChild>
                </w:div>
                <w:div w:id="1508136573">
                  <w:marLeft w:val="0"/>
                  <w:marRight w:val="0"/>
                  <w:marTop w:val="0"/>
                  <w:marBottom w:val="0"/>
                  <w:divBdr>
                    <w:top w:val="none" w:sz="0" w:space="0" w:color="auto"/>
                    <w:left w:val="none" w:sz="0" w:space="0" w:color="auto"/>
                    <w:bottom w:val="none" w:sz="0" w:space="0" w:color="auto"/>
                    <w:right w:val="none" w:sz="0" w:space="0" w:color="auto"/>
                  </w:divBdr>
                  <w:divsChild>
                    <w:div w:id="1550726834">
                      <w:marLeft w:val="0"/>
                      <w:marRight w:val="0"/>
                      <w:marTop w:val="0"/>
                      <w:marBottom w:val="0"/>
                      <w:divBdr>
                        <w:top w:val="none" w:sz="0" w:space="0" w:color="auto"/>
                        <w:left w:val="none" w:sz="0" w:space="0" w:color="auto"/>
                        <w:bottom w:val="none" w:sz="0" w:space="0" w:color="auto"/>
                        <w:right w:val="none" w:sz="0" w:space="0" w:color="auto"/>
                      </w:divBdr>
                    </w:div>
                  </w:divsChild>
                </w:div>
                <w:div w:id="1513571672">
                  <w:marLeft w:val="0"/>
                  <w:marRight w:val="0"/>
                  <w:marTop w:val="0"/>
                  <w:marBottom w:val="0"/>
                  <w:divBdr>
                    <w:top w:val="none" w:sz="0" w:space="0" w:color="auto"/>
                    <w:left w:val="none" w:sz="0" w:space="0" w:color="auto"/>
                    <w:bottom w:val="none" w:sz="0" w:space="0" w:color="auto"/>
                    <w:right w:val="none" w:sz="0" w:space="0" w:color="auto"/>
                  </w:divBdr>
                  <w:divsChild>
                    <w:div w:id="1745300669">
                      <w:marLeft w:val="0"/>
                      <w:marRight w:val="0"/>
                      <w:marTop w:val="0"/>
                      <w:marBottom w:val="0"/>
                      <w:divBdr>
                        <w:top w:val="none" w:sz="0" w:space="0" w:color="auto"/>
                        <w:left w:val="none" w:sz="0" w:space="0" w:color="auto"/>
                        <w:bottom w:val="none" w:sz="0" w:space="0" w:color="auto"/>
                        <w:right w:val="none" w:sz="0" w:space="0" w:color="auto"/>
                      </w:divBdr>
                    </w:div>
                  </w:divsChild>
                </w:div>
                <w:div w:id="1514303476">
                  <w:marLeft w:val="0"/>
                  <w:marRight w:val="0"/>
                  <w:marTop w:val="0"/>
                  <w:marBottom w:val="0"/>
                  <w:divBdr>
                    <w:top w:val="none" w:sz="0" w:space="0" w:color="auto"/>
                    <w:left w:val="none" w:sz="0" w:space="0" w:color="auto"/>
                    <w:bottom w:val="none" w:sz="0" w:space="0" w:color="auto"/>
                    <w:right w:val="none" w:sz="0" w:space="0" w:color="auto"/>
                  </w:divBdr>
                  <w:divsChild>
                    <w:div w:id="1588224399">
                      <w:marLeft w:val="0"/>
                      <w:marRight w:val="0"/>
                      <w:marTop w:val="0"/>
                      <w:marBottom w:val="0"/>
                      <w:divBdr>
                        <w:top w:val="none" w:sz="0" w:space="0" w:color="auto"/>
                        <w:left w:val="none" w:sz="0" w:space="0" w:color="auto"/>
                        <w:bottom w:val="none" w:sz="0" w:space="0" w:color="auto"/>
                        <w:right w:val="none" w:sz="0" w:space="0" w:color="auto"/>
                      </w:divBdr>
                    </w:div>
                  </w:divsChild>
                </w:div>
                <w:div w:id="1523088070">
                  <w:marLeft w:val="0"/>
                  <w:marRight w:val="0"/>
                  <w:marTop w:val="0"/>
                  <w:marBottom w:val="0"/>
                  <w:divBdr>
                    <w:top w:val="none" w:sz="0" w:space="0" w:color="auto"/>
                    <w:left w:val="none" w:sz="0" w:space="0" w:color="auto"/>
                    <w:bottom w:val="none" w:sz="0" w:space="0" w:color="auto"/>
                    <w:right w:val="none" w:sz="0" w:space="0" w:color="auto"/>
                  </w:divBdr>
                  <w:divsChild>
                    <w:div w:id="1703506938">
                      <w:marLeft w:val="0"/>
                      <w:marRight w:val="0"/>
                      <w:marTop w:val="0"/>
                      <w:marBottom w:val="0"/>
                      <w:divBdr>
                        <w:top w:val="none" w:sz="0" w:space="0" w:color="auto"/>
                        <w:left w:val="none" w:sz="0" w:space="0" w:color="auto"/>
                        <w:bottom w:val="none" w:sz="0" w:space="0" w:color="auto"/>
                        <w:right w:val="none" w:sz="0" w:space="0" w:color="auto"/>
                      </w:divBdr>
                    </w:div>
                  </w:divsChild>
                </w:div>
                <w:div w:id="1525287302">
                  <w:marLeft w:val="0"/>
                  <w:marRight w:val="0"/>
                  <w:marTop w:val="0"/>
                  <w:marBottom w:val="0"/>
                  <w:divBdr>
                    <w:top w:val="none" w:sz="0" w:space="0" w:color="auto"/>
                    <w:left w:val="none" w:sz="0" w:space="0" w:color="auto"/>
                    <w:bottom w:val="none" w:sz="0" w:space="0" w:color="auto"/>
                    <w:right w:val="none" w:sz="0" w:space="0" w:color="auto"/>
                  </w:divBdr>
                  <w:divsChild>
                    <w:div w:id="1525945591">
                      <w:marLeft w:val="0"/>
                      <w:marRight w:val="0"/>
                      <w:marTop w:val="0"/>
                      <w:marBottom w:val="0"/>
                      <w:divBdr>
                        <w:top w:val="none" w:sz="0" w:space="0" w:color="auto"/>
                        <w:left w:val="none" w:sz="0" w:space="0" w:color="auto"/>
                        <w:bottom w:val="none" w:sz="0" w:space="0" w:color="auto"/>
                        <w:right w:val="none" w:sz="0" w:space="0" w:color="auto"/>
                      </w:divBdr>
                    </w:div>
                  </w:divsChild>
                </w:div>
                <w:div w:id="1530027880">
                  <w:marLeft w:val="0"/>
                  <w:marRight w:val="0"/>
                  <w:marTop w:val="0"/>
                  <w:marBottom w:val="0"/>
                  <w:divBdr>
                    <w:top w:val="none" w:sz="0" w:space="0" w:color="auto"/>
                    <w:left w:val="none" w:sz="0" w:space="0" w:color="auto"/>
                    <w:bottom w:val="none" w:sz="0" w:space="0" w:color="auto"/>
                    <w:right w:val="none" w:sz="0" w:space="0" w:color="auto"/>
                  </w:divBdr>
                  <w:divsChild>
                    <w:div w:id="237903549">
                      <w:marLeft w:val="0"/>
                      <w:marRight w:val="0"/>
                      <w:marTop w:val="0"/>
                      <w:marBottom w:val="0"/>
                      <w:divBdr>
                        <w:top w:val="none" w:sz="0" w:space="0" w:color="auto"/>
                        <w:left w:val="none" w:sz="0" w:space="0" w:color="auto"/>
                        <w:bottom w:val="none" w:sz="0" w:space="0" w:color="auto"/>
                        <w:right w:val="none" w:sz="0" w:space="0" w:color="auto"/>
                      </w:divBdr>
                    </w:div>
                  </w:divsChild>
                </w:div>
                <w:div w:id="1531451720">
                  <w:marLeft w:val="0"/>
                  <w:marRight w:val="0"/>
                  <w:marTop w:val="0"/>
                  <w:marBottom w:val="0"/>
                  <w:divBdr>
                    <w:top w:val="none" w:sz="0" w:space="0" w:color="auto"/>
                    <w:left w:val="none" w:sz="0" w:space="0" w:color="auto"/>
                    <w:bottom w:val="none" w:sz="0" w:space="0" w:color="auto"/>
                    <w:right w:val="none" w:sz="0" w:space="0" w:color="auto"/>
                  </w:divBdr>
                  <w:divsChild>
                    <w:div w:id="329021994">
                      <w:marLeft w:val="0"/>
                      <w:marRight w:val="0"/>
                      <w:marTop w:val="0"/>
                      <w:marBottom w:val="0"/>
                      <w:divBdr>
                        <w:top w:val="none" w:sz="0" w:space="0" w:color="auto"/>
                        <w:left w:val="none" w:sz="0" w:space="0" w:color="auto"/>
                        <w:bottom w:val="none" w:sz="0" w:space="0" w:color="auto"/>
                        <w:right w:val="none" w:sz="0" w:space="0" w:color="auto"/>
                      </w:divBdr>
                    </w:div>
                  </w:divsChild>
                </w:div>
                <w:div w:id="1533571876">
                  <w:marLeft w:val="0"/>
                  <w:marRight w:val="0"/>
                  <w:marTop w:val="0"/>
                  <w:marBottom w:val="0"/>
                  <w:divBdr>
                    <w:top w:val="none" w:sz="0" w:space="0" w:color="auto"/>
                    <w:left w:val="none" w:sz="0" w:space="0" w:color="auto"/>
                    <w:bottom w:val="none" w:sz="0" w:space="0" w:color="auto"/>
                    <w:right w:val="none" w:sz="0" w:space="0" w:color="auto"/>
                  </w:divBdr>
                  <w:divsChild>
                    <w:div w:id="1565489286">
                      <w:marLeft w:val="0"/>
                      <w:marRight w:val="0"/>
                      <w:marTop w:val="0"/>
                      <w:marBottom w:val="0"/>
                      <w:divBdr>
                        <w:top w:val="none" w:sz="0" w:space="0" w:color="auto"/>
                        <w:left w:val="none" w:sz="0" w:space="0" w:color="auto"/>
                        <w:bottom w:val="none" w:sz="0" w:space="0" w:color="auto"/>
                        <w:right w:val="none" w:sz="0" w:space="0" w:color="auto"/>
                      </w:divBdr>
                    </w:div>
                  </w:divsChild>
                </w:div>
                <w:div w:id="1560552913">
                  <w:marLeft w:val="0"/>
                  <w:marRight w:val="0"/>
                  <w:marTop w:val="0"/>
                  <w:marBottom w:val="0"/>
                  <w:divBdr>
                    <w:top w:val="none" w:sz="0" w:space="0" w:color="auto"/>
                    <w:left w:val="none" w:sz="0" w:space="0" w:color="auto"/>
                    <w:bottom w:val="none" w:sz="0" w:space="0" w:color="auto"/>
                    <w:right w:val="none" w:sz="0" w:space="0" w:color="auto"/>
                  </w:divBdr>
                  <w:divsChild>
                    <w:div w:id="1032997308">
                      <w:marLeft w:val="0"/>
                      <w:marRight w:val="0"/>
                      <w:marTop w:val="0"/>
                      <w:marBottom w:val="0"/>
                      <w:divBdr>
                        <w:top w:val="none" w:sz="0" w:space="0" w:color="auto"/>
                        <w:left w:val="none" w:sz="0" w:space="0" w:color="auto"/>
                        <w:bottom w:val="none" w:sz="0" w:space="0" w:color="auto"/>
                        <w:right w:val="none" w:sz="0" w:space="0" w:color="auto"/>
                      </w:divBdr>
                    </w:div>
                  </w:divsChild>
                </w:div>
                <w:div w:id="1568111382">
                  <w:marLeft w:val="0"/>
                  <w:marRight w:val="0"/>
                  <w:marTop w:val="0"/>
                  <w:marBottom w:val="0"/>
                  <w:divBdr>
                    <w:top w:val="none" w:sz="0" w:space="0" w:color="auto"/>
                    <w:left w:val="none" w:sz="0" w:space="0" w:color="auto"/>
                    <w:bottom w:val="none" w:sz="0" w:space="0" w:color="auto"/>
                    <w:right w:val="none" w:sz="0" w:space="0" w:color="auto"/>
                  </w:divBdr>
                  <w:divsChild>
                    <w:div w:id="1999727436">
                      <w:marLeft w:val="0"/>
                      <w:marRight w:val="0"/>
                      <w:marTop w:val="0"/>
                      <w:marBottom w:val="0"/>
                      <w:divBdr>
                        <w:top w:val="none" w:sz="0" w:space="0" w:color="auto"/>
                        <w:left w:val="none" w:sz="0" w:space="0" w:color="auto"/>
                        <w:bottom w:val="none" w:sz="0" w:space="0" w:color="auto"/>
                        <w:right w:val="none" w:sz="0" w:space="0" w:color="auto"/>
                      </w:divBdr>
                    </w:div>
                  </w:divsChild>
                </w:div>
                <w:div w:id="1571771660">
                  <w:marLeft w:val="0"/>
                  <w:marRight w:val="0"/>
                  <w:marTop w:val="0"/>
                  <w:marBottom w:val="0"/>
                  <w:divBdr>
                    <w:top w:val="none" w:sz="0" w:space="0" w:color="auto"/>
                    <w:left w:val="none" w:sz="0" w:space="0" w:color="auto"/>
                    <w:bottom w:val="none" w:sz="0" w:space="0" w:color="auto"/>
                    <w:right w:val="none" w:sz="0" w:space="0" w:color="auto"/>
                  </w:divBdr>
                  <w:divsChild>
                    <w:div w:id="463041673">
                      <w:marLeft w:val="0"/>
                      <w:marRight w:val="0"/>
                      <w:marTop w:val="0"/>
                      <w:marBottom w:val="0"/>
                      <w:divBdr>
                        <w:top w:val="none" w:sz="0" w:space="0" w:color="auto"/>
                        <w:left w:val="none" w:sz="0" w:space="0" w:color="auto"/>
                        <w:bottom w:val="none" w:sz="0" w:space="0" w:color="auto"/>
                        <w:right w:val="none" w:sz="0" w:space="0" w:color="auto"/>
                      </w:divBdr>
                    </w:div>
                  </w:divsChild>
                </w:div>
                <w:div w:id="1573661890">
                  <w:marLeft w:val="0"/>
                  <w:marRight w:val="0"/>
                  <w:marTop w:val="0"/>
                  <w:marBottom w:val="0"/>
                  <w:divBdr>
                    <w:top w:val="none" w:sz="0" w:space="0" w:color="auto"/>
                    <w:left w:val="none" w:sz="0" w:space="0" w:color="auto"/>
                    <w:bottom w:val="none" w:sz="0" w:space="0" w:color="auto"/>
                    <w:right w:val="none" w:sz="0" w:space="0" w:color="auto"/>
                  </w:divBdr>
                  <w:divsChild>
                    <w:div w:id="1215385464">
                      <w:marLeft w:val="0"/>
                      <w:marRight w:val="0"/>
                      <w:marTop w:val="0"/>
                      <w:marBottom w:val="0"/>
                      <w:divBdr>
                        <w:top w:val="none" w:sz="0" w:space="0" w:color="auto"/>
                        <w:left w:val="none" w:sz="0" w:space="0" w:color="auto"/>
                        <w:bottom w:val="none" w:sz="0" w:space="0" w:color="auto"/>
                        <w:right w:val="none" w:sz="0" w:space="0" w:color="auto"/>
                      </w:divBdr>
                    </w:div>
                  </w:divsChild>
                </w:div>
                <w:div w:id="1574662051">
                  <w:marLeft w:val="0"/>
                  <w:marRight w:val="0"/>
                  <w:marTop w:val="0"/>
                  <w:marBottom w:val="0"/>
                  <w:divBdr>
                    <w:top w:val="none" w:sz="0" w:space="0" w:color="auto"/>
                    <w:left w:val="none" w:sz="0" w:space="0" w:color="auto"/>
                    <w:bottom w:val="none" w:sz="0" w:space="0" w:color="auto"/>
                    <w:right w:val="none" w:sz="0" w:space="0" w:color="auto"/>
                  </w:divBdr>
                  <w:divsChild>
                    <w:div w:id="283537008">
                      <w:marLeft w:val="0"/>
                      <w:marRight w:val="0"/>
                      <w:marTop w:val="0"/>
                      <w:marBottom w:val="0"/>
                      <w:divBdr>
                        <w:top w:val="none" w:sz="0" w:space="0" w:color="auto"/>
                        <w:left w:val="none" w:sz="0" w:space="0" w:color="auto"/>
                        <w:bottom w:val="none" w:sz="0" w:space="0" w:color="auto"/>
                        <w:right w:val="none" w:sz="0" w:space="0" w:color="auto"/>
                      </w:divBdr>
                    </w:div>
                  </w:divsChild>
                </w:div>
                <w:div w:id="1580286194">
                  <w:marLeft w:val="0"/>
                  <w:marRight w:val="0"/>
                  <w:marTop w:val="0"/>
                  <w:marBottom w:val="0"/>
                  <w:divBdr>
                    <w:top w:val="none" w:sz="0" w:space="0" w:color="auto"/>
                    <w:left w:val="none" w:sz="0" w:space="0" w:color="auto"/>
                    <w:bottom w:val="none" w:sz="0" w:space="0" w:color="auto"/>
                    <w:right w:val="none" w:sz="0" w:space="0" w:color="auto"/>
                  </w:divBdr>
                  <w:divsChild>
                    <w:div w:id="888108566">
                      <w:marLeft w:val="0"/>
                      <w:marRight w:val="0"/>
                      <w:marTop w:val="0"/>
                      <w:marBottom w:val="0"/>
                      <w:divBdr>
                        <w:top w:val="none" w:sz="0" w:space="0" w:color="auto"/>
                        <w:left w:val="none" w:sz="0" w:space="0" w:color="auto"/>
                        <w:bottom w:val="none" w:sz="0" w:space="0" w:color="auto"/>
                        <w:right w:val="none" w:sz="0" w:space="0" w:color="auto"/>
                      </w:divBdr>
                    </w:div>
                  </w:divsChild>
                </w:div>
                <w:div w:id="1583417127">
                  <w:marLeft w:val="0"/>
                  <w:marRight w:val="0"/>
                  <w:marTop w:val="0"/>
                  <w:marBottom w:val="0"/>
                  <w:divBdr>
                    <w:top w:val="none" w:sz="0" w:space="0" w:color="auto"/>
                    <w:left w:val="none" w:sz="0" w:space="0" w:color="auto"/>
                    <w:bottom w:val="none" w:sz="0" w:space="0" w:color="auto"/>
                    <w:right w:val="none" w:sz="0" w:space="0" w:color="auto"/>
                  </w:divBdr>
                  <w:divsChild>
                    <w:div w:id="237372896">
                      <w:marLeft w:val="0"/>
                      <w:marRight w:val="0"/>
                      <w:marTop w:val="0"/>
                      <w:marBottom w:val="0"/>
                      <w:divBdr>
                        <w:top w:val="none" w:sz="0" w:space="0" w:color="auto"/>
                        <w:left w:val="none" w:sz="0" w:space="0" w:color="auto"/>
                        <w:bottom w:val="none" w:sz="0" w:space="0" w:color="auto"/>
                        <w:right w:val="none" w:sz="0" w:space="0" w:color="auto"/>
                      </w:divBdr>
                    </w:div>
                  </w:divsChild>
                </w:div>
                <w:div w:id="1586300820">
                  <w:marLeft w:val="0"/>
                  <w:marRight w:val="0"/>
                  <w:marTop w:val="0"/>
                  <w:marBottom w:val="0"/>
                  <w:divBdr>
                    <w:top w:val="none" w:sz="0" w:space="0" w:color="auto"/>
                    <w:left w:val="none" w:sz="0" w:space="0" w:color="auto"/>
                    <w:bottom w:val="none" w:sz="0" w:space="0" w:color="auto"/>
                    <w:right w:val="none" w:sz="0" w:space="0" w:color="auto"/>
                  </w:divBdr>
                  <w:divsChild>
                    <w:div w:id="817765514">
                      <w:marLeft w:val="0"/>
                      <w:marRight w:val="0"/>
                      <w:marTop w:val="0"/>
                      <w:marBottom w:val="0"/>
                      <w:divBdr>
                        <w:top w:val="none" w:sz="0" w:space="0" w:color="auto"/>
                        <w:left w:val="none" w:sz="0" w:space="0" w:color="auto"/>
                        <w:bottom w:val="none" w:sz="0" w:space="0" w:color="auto"/>
                        <w:right w:val="none" w:sz="0" w:space="0" w:color="auto"/>
                      </w:divBdr>
                    </w:div>
                  </w:divsChild>
                </w:div>
                <w:div w:id="1595626858">
                  <w:marLeft w:val="0"/>
                  <w:marRight w:val="0"/>
                  <w:marTop w:val="0"/>
                  <w:marBottom w:val="0"/>
                  <w:divBdr>
                    <w:top w:val="none" w:sz="0" w:space="0" w:color="auto"/>
                    <w:left w:val="none" w:sz="0" w:space="0" w:color="auto"/>
                    <w:bottom w:val="none" w:sz="0" w:space="0" w:color="auto"/>
                    <w:right w:val="none" w:sz="0" w:space="0" w:color="auto"/>
                  </w:divBdr>
                  <w:divsChild>
                    <w:div w:id="1188253704">
                      <w:marLeft w:val="0"/>
                      <w:marRight w:val="0"/>
                      <w:marTop w:val="0"/>
                      <w:marBottom w:val="0"/>
                      <w:divBdr>
                        <w:top w:val="none" w:sz="0" w:space="0" w:color="auto"/>
                        <w:left w:val="none" w:sz="0" w:space="0" w:color="auto"/>
                        <w:bottom w:val="none" w:sz="0" w:space="0" w:color="auto"/>
                        <w:right w:val="none" w:sz="0" w:space="0" w:color="auto"/>
                      </w:divBdr>
                    </w:div>
                  </w:divsChild>
                </w:div>
                <w:div w:id="1595938751">
                  <w:marLeft w:val="0"/>
                  <w:marRight w:val="0"/>
                  <w:marTop w:val="0"/>
                  <w:marBottom w:val="0"/>
                  <w:divBdr>
                    <w:top w:val="none" w:sz="0" w:space="0" w:color="auto"/>
                    <w:left w:val="none" w:sz="0" w:space="0" w:color="auto"/>
                    <w:bottom w:val="none" w:sz="0" w:space="0" w:color="auto"/>
                    <w:right w:val="none" w:sz="0" w:space="0" w:color="auto"/>
                  </w:divBdr>
                  <w:divsChild>
                    <w:div w:id="396710320">
                      <w:marLeft w:val="0"/>
                      <w:marRight w:val="0"/>
                      <w:marTop w:val="0"/>
                      <w:marBottom w:val="0"/>
                      <w:divBdr>
                        <w:top w:val="none" w:sz="0" w:space="0" w:color="auto"/>
                        <w:left w:val="none" w:sz="0" w:space="0" w:color="auto"/>
                        <w:bottom w:val="none" w:sz="0" w:space="0" w:color="auto"/>
                        <w:right w:val="none" w:sz="0" w:space="0" w:color="auto"/>
                      </w:divBdr>
                    </w:div>
                  </w:divsChild>
                </w:div>
                <w:div w:id="1604148220">
                  <w:marLeft w:val="0"/>
                  <w:marRight w:val="0"/>
                  <w:marTop w:val="0"/>
                  <w:marBottom w:val="0"/>
                  <w:divBdr>
                    <w:top w:val="none" w:sz="0" w:space="0" w:color="auto"/>
                    <w:left w:val="none" w:sz="0" w:space="0" w:color="auto"/>
                    <w:bottom w:val="none" w:sz="0" w:space="0" w:color="auto"/>
                    <w:right w:val="none" w:sz="0" w:space="0" w:color="auto"/>
                  </w:divBdr>
                  <w:divsChild>
                    <w:div w:id="761727549">
                      <w:marLeft w:val="0"/>
                      <w:marRight w:val="0"/>
                      <w:marTop w:val="0"/>
                      <w:marBottom w:val="0"/>
                      <w:divBdr>
                        <w:top w:val="none" w:sz="0" w:space="0" w:color="auto"/>
                        <w:left w:val="none" w:sz="0" w:space="0" w:color="auto"/>
                        <w:bottom w:val="none" w:sz="0" w:space="0" w:color="auto"/>
                        <w:right w:val="none" w:sz="0" w:space="0" w:color="auto"/>
                      </w:divBdr>
                    </w:div>
                  </w:divsChild>
                </w:div>
                <w:div w:id="1641837430">
                  <w:marLeft w:val="0"/>
                  <w:marRight w:val="0"/>
                  <w:marTop w:val="0"/>
                  <w:marBottom w:val="0"/>
                  <w:divBdr>
                    <w:top w:val="none" w:sz="0" w:space="0" w:color="auto"/>
                    <w:left w:val="none" w:sz="0" w:space="0" w:color="auto"/>
                    <w:bottom w:val="none" w:sz="0" w:space="0" w:color="auto"/>
                    <w:right w:val="none" w:sz="0" w:space="0" w:color="auto"/>
                  </w:divBdr>
                  <w:divsChild>
                    <w:div w:id="688485593">
                      <w:marLeft w:val="0"/>
                      <w:marRight w:val="0"/>
                      <w:marTop w:val="0"/>
                      <w:marBottom w:val="0"/>
                      <w:divBdr>
                        <w:top w:val="none" w:sz="0" w:space="0" w:color="auto"/>
                        <w:left w:val="none" w:sz="0" w:space="0" w:color="auto"/>
                        <w:bottom w:val="none" w:sz="0" w:space="0" w:color="auto"/>
                        <w:right w:val="none" w:sz="0" w:space="0" w:color="auto"/>
                      </w:divBdr>
                    </w:div>
                  </w:divsChild>
                </w:div>
                <w:div w:id="1643192011">
                  <w:marLeft w:val="0"/>
                  <w:marRight w:val="0"/>
                  <w:marTop w:val="0"/>
                  <w:marBottom w:val="0"/>
                  <w:divBdr>
                    <w:top w:val="none" w:sz="0" w:space="0" w:color="auto"/>
                    <w:left w:val="none" w:sz="0" w:space="0" w:color="auto"/>
                    <w:bottom w:val="none" w:sz="0" w:space="0" w:color="auto"/>
                    <w:right w:val="none" w:sz="0" w:space="0" w:color="auto"/>
                  </w:divBdr>
                  <w:divsChild>
                    <w:div w:id="480118990">
                      <w:marLeft w:val="0"/>
                      <w:marRight w:val="0"/>
                      <w:marTop w:val="0"/>
                      <w:marBottom w:val="0"/>
                      <w:divBdr>
                        <w:top w:val="none" w:sz="0" w:space="0" w:color="auto"/>
                        <w:left w:val="none" w:sz="0" w:space="0" w:color="auto"/>
                        <w:bottom w:val="none" w:sz="0" w:space="0" w:color="auto"/>
                        <w:right w:val="none" w:sz="0" w:space="0" w:color="auto"/>
                      </w:divBdr>
                    </w:div>
                  </w:divsChild>
                </w:div>
                <w:div w:id="1644196597">
                  <w:marLeft w:val="0"/>
                  <w:marRight w:val="0"/>
                  <w:marTop w:val="0"/>
                  <w:marBottom w:val="0"/>
                  <w:divBdr>
                    <w:top w:val="none" w:sz="0" w:space="0" w:color="auto"/>
                    <w:left w:val="none" w:sz="0" w:space="0" w:color="auto"/>
                    <w:bottom w:val="none" w:sz="0" w:space="0" w:color="auto"/>
                    <w:right w:val="none" w:sz="0" w:space="0" w:color="auto"/>
                  </w:divBdr>
                  <w:divsChild>
                    <w:div w:id="1266034613">
                      <w:marLeft w:val="0"/>
                      <w:marRight w:val="0"/>
                      <w:marTop w:val="0"/>
                      <w:marBottom w:val="0"/>
                      <w:divBdr>
                        <w:top w:val="none" w:sz="0" w:space="0" w:color="auto"/>
                        <w:left w:val="none" w:sz="0" w:space="0" w:color="auto"/>
                        <w:bottom w:val="none" w:sz="0" w:space="0" w:color="auto"/>
                        <w:right w:val="none" w:sz="0" w:space="0" w:color="auto"/>
                      </w:divBdr>
                    </w:div>
                  </w:divsChild>
                </w:div>
                <w:div w:id="1647126978">
                  <w:marLeft w:val="0"/>
                  <w:marRight w:val="0"/>
                  <w:marTop w:val="0"/>
                  <w:marBottom w:val="0"/>
                  <w:divBdr>
                    <w:top w:val="none" w:sz="0" w:space="0" w:color="auto"/>
                    <w:left w:val="none" w:sz="0" w:space="0" w:color="auto"/>
                    <w:bottom w:val="none" w:sz="0" w:space="0" w:color="auto"/>
                    <w:right w:val="none" w:sz="0" w:space="0" w:color="auto"/>
                  </w:divBdr>
                  <w:divsChild>
                    <w:div w:id="421296706">
                      <w:marLeft w:val="0"/>
                      <w:marRight w:val="0"/>
                      <w:marTop w:val="0"/>
                      <w:marBottom w:val="0"/>
                      <w:divBdr>
                        <w:top w:val="none" w:sz="0" w:space="0" w:color="auto"/>
                        <w:left w:val="none" w:sz="0" w:space="0" w:color="auto"/>
                        <w:bottom w:val="none" w:sz="0" w:space="0" w:color="auto"/>
                        <w:right w:val="none" w:sz="0" w:space="0" w:color="auto"/>
                      </w:divBdr>
                    </w:div>
                  </w:divsChild>
                </w:div>
                <w:div w:id="1650405570">
                  <w:marLeft w:val="0"/>
                  <w:marRight w:val="0"/>
                  <w:marTop w:val="0"/>
                  <w:marBottom w:val="0"/>
                  <w:divBdr>
                    <w:top w:val="none" w:sz="0" w:space="0" w:color="auto"/>
                    <w:left w:val="none" w:sz="0" w:space="0" w:color="auto"/>
                    <w:bottom w:val="none" w:sz="0" w:space="0" w:color="auto"/>
                    <w:right w:val="none" w:sz="0" w:space="0" w:color="auto"/>
                  </w:divBdr>
                  <w:divsChild>
                    <w:div w:id="1995985558">
                      <w:marLeft w:val="0"/>
                      <w:marRight w:val="0"/>
                      <w:marTop w:val="0"/>
                      <w:marBottom w:val="0"/>
                      <w:divBdr>
                        <w:top w:val="none" w:sz="0" w:space="0" w:color="auto"/>
                        <w:left w:val="none" w:sz="0" w:space="0" w:color="auto"/>
                        <w:bottom w:val="none" w:sz="0" w:space="0" w:color="auto"/>
                        <w:right w:val="none" w:sz="0" w:space="0" w:color="auto"/>
                      </w:divBdr>
                    </w:div>
                  </w:divsChild>
                </w:div>
                <w:div w:id="1653749086">
                  <w:marLeft w:val="0"/>
                  <w:marRight w:val="0"/>
                  <w:marTop w:val="0"/>
                  <w:marBottom w:val="0"/>
                  <w:divBdr>
                    <w:top w:val="none" w:sz="0" w:space="0" w:color="auto"/>
                    <w:left w:val="none" w:sz="0" w:space="0" w:color="auto"/>
                    <w:bottom w:val="none" w:sz="0" w:space="0" w:color="auto"/>
                    <w:right w:val="none" w:sz="0" w:space="0" w:color="auto"/>
                  </w:divBdr>
                  <w:divsChild>
                    <w:div w:id="1356155778">
                      <w:marLeft w:val="0"/>
                      <w:marRight w:val="0"/>
                      <w:marTop w:val="0"/>
                      <w:marBottom w:val="0"/>
                      <w:divBdr>
                        <w:top w:val="none" w:sz="0" w:space="0" w:color="auto"/>
                        <w:left w:val="none" w:sz="0" w:space="0" w:color="auto"/>
                        <w:bottom w:val="none" w:sz="0" w:space="0" w:color="auto"/>
                        <w:right w:val="none" w:sz="0" w:space="0" w:color="auto"/>
                      </w:divBdr>
                    </w:div>
                  </w:divsChild>
                </w:div>
                <w:div w:id="1654601351">
                  <w:marLeft w:val="0"/>
                  <w:marRight w:val="0"/>
                  <w:marTop w:val="0"/>
                  <w:marBottom w:val="0"/>
                  <w:divBdr>
                    <w:top w:val="none" w:sz="0" w:space="0" w:color="auto"/>
                    <w:left w:val="none" w:sz="0" w:space="0" w:color="auto"/>
                    <w:bottom w:val="none" w:sz="0" w:space="0" w:color="auto"/>
                    <w:right w:val="none" w:sz="0" w:space="0" w:color="auto"/>
                  </w:divBdr>
                  <w:divsChild>
                    <w:div w:id="945775746">
                      <w:marLeft w:val="0"/>
                      <w:marRight w:val="0"/>
                      <w:marTop w:val="0"/>
                      <w:marBottom w:val="0"/>
                      <w:divBdr>
                        <w:top w:val="none" w:sz="0" w:space="0" w:color="auto"/>
                        <w:left w:val="none" w:sz="0" w:space="0" w:color="auto"/>
                        <w:bottom w:val="none" w:sz="0" w:space="0" w:color="auto"/>
                        <w:right w:val="none" w:sz="0" w:space="0" w:color="auto"/>
                      </w:divBdr>
                    </w:div>
                  </w:divsChild>
                </w:div>
                <w:div w:id="1664432371">
                  <w:marLeft w:val="0"/>
                  <w:marRight w:val="0"/>
                  <w:marTop w:val="0"/>
                  <w:marBottom w:val="0"/>
                  <w:divBdr>
                    <w:top w:val="none" w:sz="0" w:space="0" w:color="auto"/>
                    <w:left w:val="none" w:sz="0" w:space="0" w:color="auto"/>
                    <w:bottom w:val="none" w:sz="0" w:space="0" w:color="auto"/>
                    <w:right w:val="none" w:sz="0" w:space="0" w:color="auto"/>
                  </w:divBdr>
                  <w:divsChild>
                    <w:div w:id="1954900825">
                      <w:marLeft w:val="0"/>
                      <w:marRight w:val="0"/>
                      <w:marTop w:val="0"/>
                      <w:marBottom w:val="0"/>
                      <w:divBdr>
                        <w:top w:val="none" w:sz="0" w:space="0" w:color="auto"/>
                        <w:left w:val="none" w:sz="0" w:space="0" w:color="auto"/>
                        <w:bottom w:val="none" w:sz="0" w:space="0" w:color="auto"/>
                        <w:right w:val="none" w:sz="0" w:space="0" w:color="auto"/>
                      </w:divBdr>
                    </w:div>
                  </w:divsChild>
                </w:div>
                <w:div w:id="1668244420">
                  <w:marLeft w:val="0"/>
                  <w:marRight w:val="0"/>
                  <w:marTop w:val="0"/>
                  <w:marBottom w:val="0"/>
                  <w:divBdr>
                    <w:top w:val="none" w:sz="0" w:space="0" w:color="auto"/>
                    <w:left w:val="none" w:sz="0" w:space="0" w:color="auto"/>
                    <w:bottom w:val="none" w:sz="0" w:space="0" w:color="auto"/>
                    <w:right w:val="none" w:sz="0" w:space="0" w:color="auto"/>
                  </w:divBdr>
                  <w:divsChild>
                    <w:div w:id="906956283">
                      <w:marLeft w:val="0"/>
                      <w:marRight w:val="0"/>
                      <w:marTop w:val="0"/>
                      <w:marBottom w:val="0"/>
                      <w:divBdr>
                        <w:top w:val="none" w:sz="0" w:space="0" w:color="auto"/>
                        <w:left w:val="none" w:sz="0" w:space="0" w:color="auto"/>
                        <w:bottom w:val="none" w:sz="0" w:space="0" w:color="auto"/>
                        <w:right w:val="none" w:sz="0" w:space="0" w:color="auto"/>
                      </w:divBdr>
                    </w:div>
                  </w:divsChild>
                </w:div>
                <w:div w:id="1668943058">
                  <w:marLeft w:val="0"/>
                  <w:marRight w:val="0"/>
                  <w:marTop w:val="0"/>
                  <w:marBottom w:val="0"/>
                  <w:divBdr>
                    <w:top w:val="none" w:sz="0" w:space="0" w:color="auto"/>
                    <w:left w:val="none" w:sz="0" w:space="0" w:color="auto"/>
                    <w:bottom w:val="none" w:sz="0" w:space="0" w:color="auto"/>
                    <w:right w:val="none" w:sz="0" w:space="0" w:color="auto"/>
                  </w:divBdr>
                  <w:divsChild>
                    <w:div w:id="1806508744">
                      <w:marLeft w:val="0"/>
                      <w:marRight w:val="0"/>
                      <w:marTop w:val="0"/>
                      <w:marBottom w:val="0"/>
                      <w:divBdr>
                        <w:top w:val="none" w:sz="0" w:space="0" w:color="auto"/>
                        <w:left w:val="none" w:sz="0" w:space="0" w:color="auto"/>
                        <w:bottom w:val="none" w:sz="0" w:space="0" w:color="auto"/>
                        <w:right w:val="none" w:sz="0" w:space="0" w:color="auto"/>
                      </w:divBdr>
                    </w:div>
                  </w:divsChild>
                </w:div>
                <w:div w:id="1669360309">
                  <w:marLeft w:val="0"/>
                  <w:marRight w:val="0"/>
                  <w:marTop w:val="0"/>
                  <w:marBottom w:val="0"/>
                  <w:divBdr>
                    <w:top w:val="none" w:sz="0" w:space="0" w:color="auto"/>
                    <w:left w:val="none" w:sz="0" w:space="0" w:color="auto"/>
                    <w:bottom w:val="none" w:sz="0" w:space="0" w:color="auto"/>
                    <w:right w:val="none" w:sz="0" w:space="0" w:color="auto"/>
                  </w:divBdr>
                  <w:divsChild>
                    <w:div w:id="563762231">
                      <w:marLeft w:val="0"/>
                      <w:marRight w:val="0"/>
                      <w:marTop w:val="0"/>
                      <w:marBottom w:val="0"/>
                      <w:divBdr>
                        <w:top w:val="none" w:sz="0" w:space="0" w:color="auto"/>
                        <w:left w:val="none" w:sz="0" w:space="0" w:color="auto"/>
                        <w:bottom w:val="none" w:sz="0" w:space="0" w:color="auto"/>
                        <w:right w:val="none" w:sz="0" w:space="0" w:color="auto"/>
                      </w:divBdr>
                    </w:div>
                  </w:divsChild>
                </w:div>
                <w:div w:id="1674528277">
                  <w:marLeft w:val="0"/>
                  <w:marRight w:val="0"/>
                  <w:marTop w:val="0"/>
                  <w:marBottom w:val="0"/>
                  <w:divBdr>
                    <w:top w:val="none" w:sz="0" w:space="0" w:color="auto"/>
                    <w:left w:val="none" w:sz="0" w:space="0" w:color="auto"/>
                    <w:bottom w:val="none" w:sz="0" w:space="0" w:color="auto"/>
                    <w:right w:val="none" w:sz="0" w:space="0" w:color="auto"/>
                  </w:divBdr>
                  <w:divsChild>
                    <w:div w:id="1159732345">
                      <w:marLeft w:val="0"/>
                      <w:marRight w:val="0"/>
                      <w:marTop w:val="0"/>
                      <w:marBottom w:val="0"/>
                      <w:divBdr>
                        <w:top w:val="none" w:sz="0" w:space="0" w:color="auto"/>
                        <w:left w:val="none" w:sz="0" w:space="0" w:color="auto"/>
                        <w:bottom w:val="none" w:sz="0" w:space="0" w:color="auto"/>
                        <w:right w:val="none" w:sz="0" w:space="0" w:color="auto"/>
                      </w:divBdr>
                    </w:div>
                  </w:divsChild>
                </w:div>
                <w:div w:id="1674599794">
                  <w:marLeft w:val="0"/>
                  <w:marRight w:val="0"/>
                  <w:marTop w:val="0"/>
                  <w:marBottom w:val="0"/>
                  <w:divBdr>
                    <w:top w:val="none" w:sz="0" w:space="0" w:color="auto"/>
                    <w:left w:val="none" w:sz="0" w:space="0" w:color="auto"/>
                    <w:bottom w:val="none" w:sz="0" w:space="0" w:color="auto"/>
                    <w:right w:val="none" w:sz="0" w:space="0" w:color="auto"/>
                  </w:divBdr>
                  <w:divsChild>
                    <w:div w:id="569654162">
                      <w:marLeft w:val="0"/>
                      <w:marRight w:val="0"/>
                      <w:marTop w:val="0"/>
                      <w:marBottom w:val="0"/>
                      <w:divBdr>
                        <w:top w:val="none" w:sz="0" w:space="0" w:color="auto"/>
                        <w:left w:val="none" w:sz="0" w:space="0" w:color="auto"/>
                        <w:bottom w:val="none" w:sz="0" w:space="0" w:color="auto"/>
                        <w:right w:val="none" w:sz="0" w:space="0" w:color="auto"/>
                      </w:divBdr>
                    </w:div>
                  </w:divsChild>
                </w:div>
                <w:div w:id="1676541974">
                  <w:marLeft w:val="0"/>
                  <w:marRight w:val="0"/>
                  <w:marTop w:val="0"/>
                  <w:marBottom w:val="0"/>
                  <w:divBdr>
                    <w:top w:val="none" w:sz="0" w:space="0" w:color="auto"/>
                    <w:left w:val="none" w:sz="0" w:space="0" w:color="auto"/>
                    <w:bottom w:val="none" w:sz="0" w:space="0" w:color="auto"/>
                    <w:right w:val="none" w:sz="0" w:space="0" w:color="auto"/>
                  </w:divBdr>
                  <w:divsChild>
                    <w:div w:id="232278631">
                      <w:marLeft w:val="0"/>
                      <w:marRight w:val="0"/>
                      <w:marTop w:val="0"/>
                      <w:marBottom w:val="0"/>
                      <w:divBdr>
                        <w:top w:val="none" w:sz="0" w:space="0" w:color="auto"/>
                        <w:left w:val="none" w:sz="0" w:space="0" w:color="auto"/>
                        <w:bottom w:val="none" w:sz="0" w:space="0" w:color="auto"/>
                        <w:right w:val="none" w:sz="0" w:space="0" w:color="auto"/>
                      </w:divBdr>
                    </w:div>
                  </w:divsChild>
                </w:div>
                <w:div w:id="1678969428">
                  <w:marLeft w:val="0"/>
                  <w:marRight w:val="0"/>
                  <w:marTop w:val="0"/>
                  <w:marBottom w:val="0"/>
                  <w:divBdr>
                    <w:top w:val="none" w:sz="0" w:space="0" w:color="auto"/>
                    <w:left w:val="none" w:sz="0" w:space="0" w:color="auto"/>
                    <w:bottom w:val="none" w:sz="0" w:space="0" w:color="auto"/>
                    <w:right w:val="none" w:sz="0" w:space="0" w:color="auto"/>
                  </w:divBdr>
                  <w:divsChild>
                    <w:div w:id="1392385672">
                      <w:marLeft w:val="0"/>
                      <w:marRight w:val="0"/>
                      <w:marTop w:val="0"/>
                      <w:marBottom w:val="0"/>
                      <w:divBdr>
                        <w:top w:val="none" w:sz="0" w:space="0" w:color="auto"/>
                        <w:left w:val="none" w:sz="0" w:space="0" w:color="auto"/>
                        <w:bottom w:val="none" w:sz="0" w:space="0" w:color="auto"/>
                        <w:right w:val="none" w:sz="0" w:space="0" w:color="auto"/>
                      </w:divBdr>
                    </w:div>
                  </w:divsChild>
                </w:div>
                <w:div w:id="1681856579">
                  <w:marLeft w:val="0"/>
                  <w:marRight w:val="0"/>
                  <w:marTop w:val="0"/>
                  <w:marBottom w:val="0"/>
                  <w:divBdr>
                    <w:top w:val="none" w:sz="0" w:space="0" w:color="auto"/>
                    <w:left w:val="none" w:sz="0" w:space="0" w:color="auto"/>
                    <w:bottom w:val="none" w:sz="0" w:space="0" w:color="auto"/>
                    <w:right w:val="none" w:sz="0" w:space="0" w:color="auto"/>
                  </w:divBdr>
                  <w:divsChild>
                    <w:div w:id="2129272450">
                      <w:marLeft w:val="0"/>
                      <w:marRight w:val="0"/>
                      <w:marTop w:val="0"/>
                      <w:marBottom w:val="0"/>
                      <w:divBdr>
                        <w:top w:val="none" w:sz="0" w:space="0" w:color="auto"/>
                        <w:left w:val="none" w:sz="0" w:space="0" w:color="auto"/>
                        <w:bottom w:val="none" w:sz="0" w:space="0" w:color="auto"/>
                        <w:right w:val="none" w:sz="0" w:space="0" w:color="auto"/>
                      </w:divBdr>
                    </w:div>
                  </w:divsChild>
                </w:div>
                <w:div w:id="1682857076">
                  <w:marLeft w:val="0"/>
                  <w:marRight w:val="0"/>
                  <w:marTop w:val="0"/>
                  <w:marBottom w:val="0"/>
                  <w:divBdr>
                    <w:top w:val="none" w:sz="0" w:space="0" w:color="auto"/>
                    <w:left w:val="none" w:sz="0" w:space="0" w:color="auto"/>
                    <w:bottom w:val="none" w:sz="0" w:space="0" w:color="auto"/>
                    <w:right w:val="none" w:sz="0" w:space="0" w:color="auto"/>
                  </w:divBdr>
                  <w:divsChild>
                    <w:div w:id="1487165682">
                      <w:marLeft w:val="0"/>
                      <w:marRight w:val="0"/>
                      <w:marTop w:val="0"/>
                      <w:marBottom w:val="0"/>
                      <w:divBdr>
                        <w:top w:val="none" w:sz="0" w:space="0" w:color="auto"/>
                        <w:left w:val="none" w:sz="0" w:space="0" w:color="auto"/>
                        <w:bottom w:val="none" w:sz="0" w:space="0" w:color="auto"/>
                        <w:right w:val="none" w:sz="0" w:space="0" w:color="auto"/>
                      </w:divBdr>
                    </w:div>
                  </w:divsChild>
                </w:div>
                <w:div w:id="1688873815">
                  <w:marLeft w:val="0"/>
                  <w:marRight w:val="0"/>
                  <w:marTop w:val="0"/>
                  <w:marBottom w:val="0"/>
                  <w:divBdr>
                    <w:top w:val="none" w:sz="0" w:space="0" w:color="auto"/>
                    <w:left w:val="none" w:sz="0" w:space="0" w:color="auto"/>
                    <w:bottom w:val="none" w:sz="0" w:space="0" w:color="auto"/>
                    <w:right w:val="none" w:sz="0" w:space="0" w:color="auto"/>
                  </w:divBdr>
                  <w:divsChild>
                    <w:div w:id="1328170742">
                      <w:marLeft w:val="0"/>
                      <w:marRight w:val="0"/>
                      <w:marTop w:val="0"/>
                      <w:marBottom w:val="0"/>
                      <w:divBdr>
                        <w:top w:val="none" w:sz="0" w:space="0" w:color="auto"/>
                        <w:left w:val="none" w:sz="0" w:space="0" w:color="auto"/>
                        <w:bottom w:val="none" w:sz="0" w:space="0" w:color="auto"/>
                        <w:right w:val="none" w:sz="0" w:space="0" w:color="auto"/>
                      </w:divBdr>
                    </w:div>
                  </w:divsChild>
                </w:div>
                <w:div w:id="1710645316">
                  <w:marLeft w:val="0"/>
                  <w:marRight w:val="0"/>
                  <w:marTop w:val="0"/>
                  <w:marBottom w:val="0"/>
                  <w:divBdr>
                    <w:top w:val="none" w:sz="0" w:space="0" w:color="auto"/>
                    <w:left w:val="none" w:sz="0" w:space="0" w:color="auto"/>
                    <w:bottom w:val="none" w:sz="0" w:space="0" w:color="auto"/>
                    <w:right w:val="none" w:sz="0" w:space="0" w:color="auto"/>
                  </w:divBdr>
                  <w:divsChild>
                    <w:div w:id="1871452618">
                      <w:marLeft w:val="0"/>
                      <w:marRight w:val="0"/>
                      <w:marTop w:val="0"/>
                      <w:marBottom w:val="0"/>
                      <w:divBdr>
                        <w:top w:val="none" w:sz="0" w:space="0" w:color="auto"/>
                        <w:left w:val="none" w:sz="0" w:space="0" w:color="auto"/>
                        <w:bottom w:val="none" w:sz="0" w:space="0" w:color="auto"/>
                        <w:right w:val="none" w:sz="0" w:space="0" w:color="auto"/>
                      </w:divBdr>
                    </w:div>
                  </w:divsChild>
                </w:div>
                <w:div w:id="1722244895">
                  <w:marLeft w:val="0"/>
                  <w:marRight w:val="0"/>
                  <w:marTop w:val="0"/>
                  <w:marBottom w:val="0"/>
                  <w:divBdr>
                    <w:top w:val="none" w:sz="0" w:space="0" w:color="auto"/>
                    <w:left w:val="none" w:sz="0" w:space="0" w:color="auto"/>
                    <w:bottom w:val="none" w:sz="0" w:space="0" w:color="auto"/>
                    <w:right w:val="none" w:sz="0" w:space="0" w:color="auto"/>
                  </w:divBdr>
                  <w:divsChild>
                    <w:div w:id="1824198213">
                      <w:marLeft w:val="0"/>
                      <w:marRight w:val="0"/>
                      <w:marTop w:val="0"/>
                      <w:marBottom w:val="0"/>
                      <w:divBdr>
                        <w:top w:val="none" w:sz="0" w:space="0" w:color="auto"/>
                        <w:left w:val="none" w:sz="0" w:space="0" w:color="auto"/>
                        <w:bottom w:val="none" w:sz="0" w:space="0" w:color="auto"/>
                        <w:right w:val="none" w:sz="0" w:space="0" w:color="auto"/>
                      </w:divBdr>
                    </w:div>
                  </w:divsChild>
                </w:div>
                <w:div w:id="1729762508">
                  <w:marLeft w:val="0"/>
                  <w:marRight w:val="0"/>
                  <w:marTop w:val="0"/>
                  <w:marBottom w:val="0"/>
                  <w:divBdr>
                    <w:top w:val="none" w:sz="0" w:space="0" w:color="auto"/>
                    <w:left w:val="none" w:sz="0" w:space="0" w:color="auto"/>
                    <w:bottom w:val="none" w:sz="0" w:space="0" w:color="auto"/>
                    <w:right w:val="none" w:sz="0" w:space="0" w:color="auto"/>
                  </w:divBdr>
                  <w:divsChild>
                    <w:div w:id="2126463817">
                      <w:marLeft w:val="0"/>
                      <w:marRight w:val="0"/>
                      <w:marTop w:val="0"/>
                      <w:marBottom w:val="0"/>
                      <w:divBdr>
                        <w:top w:val="none" w:sz="0" w:space="0" w:color="auto"/>
                        <w:left w:val="none" w:sz="0" w:space="0" w:color="auto"/>
                        <w:bottom w:val="none" w:sz="0" w:space="0" w:color="auto"/>
                        <w:right w:val="none" w:sz="0" w:space="0" w:color="auto"/>
                      </w:divBdr>
                    </w:div>
                  </w:divsChild>
                </w:div>
                <w:div w:id="1731921255">
                  <w:marLeft w:val="0"/>
                  <w:marRight w:val="0"/>
                  <w:marTop w:val="0"/>
                  <w:marBottom w:val="0"/>
                  <w:divBdr>
                    <w:top w:val="none" w:sz="0" w:space="0" w:color="auto"/>
                    <w:left w:val="none" w:sz="0" w:space="0" w:color="auto"/>
                    <w:bottom w:val="none" w:sz="0" w:space="0" w:color="auto"/>
                    <w:right w:val="none" w:sz="0" w:space="0" w:color="auto"/>
                  </w:divBdr>
                  <w:divsChild>
                    <w:div w:id="1976400624">
                      <w:marLeft w:val="0"/>
                      <w:marRight w:val="0"/>
                      <w:marTop w:val="0"/>
                      <w:marBottom w:val="0"/>
                      <w:divBdr>
                        <w:top w:val="none" w:sz="0" w:space="0" w:color="auto"/>
                        <w:left w:val="none" w:sz="0" w:space="0" w:color="auto"/>
                        <w:bottom w:val="none" w:sz="0" w:space="0" w:color="auto"/>
                        <w:right w:val="none" w:sz="0" w:space="0" w:color="auto"/>
                      </w:divBdr>
                    </w:div>
                  </w:divsChild>
                </w:div>
                <w:div w:id="1734354852">
                  <w:marLeft w:val="0"/>
                  <w:marRight w:val="0"/>
                  <w:marTop w:val="0"/>
                  <w:marBottom w:val="0"/>
                  <w:divBdr>
                    <w:top w:val="none" w:sz="0" w:space="0" w:color="auto"/>
                    <w:left w:val="none" w:sz="0" w:space="0" w:color="auto"/>
                    <w:bottom w:val="none" w:sz="0" w:space="0" w:color="auto"/>
                    <w:right w:val="none" w:sz="0" w:space="0" w:color="auto"/>
                  </w:divBdr>
                  <w:divsChild>
                    <w:div w:id="1837108658">
                      <w:marLeft w:val="0"/>
                      <w:marRight w:val="0"/>
                      <w:marTop w:val="0"/>
                      <w:marBottom w:val="0"/>
                      <w:divBdr>
                        <w:top w:val="none" w:sz="0" w:space="0" w:color="auto"/>
                        <w:left w:val="none" w:sz="0" w:space="0" w:color="auto"/>
                        <w:bottom w:val="none" w:sz="0" w:space="0" w:color="auto"/>
                        <w:right w:val="none" w:sz="0" w:space="0" w:color="auto"/>
                      </w:divBdr>
                    </w:div>
                  </w:divsChild>
                </w:div>
                <w:div w:id="1736977386">
                  <w:marLeft w:val="0"/>
                  <w:marRight w:val="0"/>
                  <w:marTop w:val="0"/>
                  <w:marBottom w:val="0"/>
                  <w:divBdr>
                    <w:top w:val="none" w:sz="0" w:space="0" w:color="auto"/>
                    <w:left w:val="none" w:sz="0" w:space="0" w:color="auto"/>
                    <w:bottom w:val="none" w:sz="0" w:space="0" w:color="auto"/>
                    <w:right w:val="none" w:sz="0" w:space="0" w:color="auto"/>
                  </w:divBdr>
                  <w:divsChild>
                    <w:div w:id="1855605367">
                      <w:marLeft w:val="0"/>
                      <w:marRight w:val="0"/>
                      <w:marTop w:val="0"/>
                      <w:marBottom w:val="0"/>
                      <w:divBdr>
                        <w:top w:val="none" w:sz="0" w:space="0" w:color="auto"/>
                        <w:left w:val="none" w:sz="0" w:space="0" w:color="auto"/>
                        <w:bottom w:val="none" w:sz="0" w:space="0" w:color="auto"/>
                        <w:right w:val="none" w:sz="0" w:space="0" w:color="auto"/>
                      </w:divBdr>
                    </w:div>
                  </w:divsChild>
                </w:div>
                <w:div w:id="1737051394">
                  <w:marLeft w:val="0"/>
                  <w:marRight w:val="0"/>
                  <w:marTop w:val="0"/>
                  <w:marBottom w:val="0"/>
                  <w:divBdr>
                    <w:top w:val="none" w:sz="0" w:space="0" w:color="auto"/>
                    <w:left w:val="none" w:sz="0" w:space="0" w:color="auto"/>
                    <w:bottom w:val="none" w:sz="0" w:space="0" w:color="auto"/>
                    <w:right w:val="none" w:sz="0" w:space="0" w:color="auto"/>
                  </w:divBdr>
                  <w:divsChild>
                    <w:div w:id="1856798084">
                      <w:marLeft w:val="0"/>
                      <w:marRight w:val="0"/>
                      <w:marTop w:val="0"/>
                      <w:marBottom w:val="0"/>
                      <w:divBdr>
                        <w:top w:val="none" w:sz="0" w:space="0" w:color="auto"/>
                        <w:left w:val="none" w:sz="0" w:space="0" w:color="auto"/>
                        <w:bottom w:val="none" w:sz="0" w:space="0" w:color="auto"/>
                        <w:right w:val="none" w:sz="0" w:space="0" w:color="auto"/>
                      </w:divBdr>
                    </w:div>
                  </w:divsChild>
                </w:div>
                <w:div w:id="1743065161">
                  <w:marLeft w:val="0"/>
                  <w:marRight w:val="0"/>
                  <w:marTop w:val="0"/>
                  <w:marBottom w:val="0"/>
                  <w:divBdr>
                    <w:top w:val="none" w:sz="0" w:space="0" w:color="auto"/>
                    <w:left w:val="none" w:sz="0" w:space="0" w:color="auto"/>
                    <w:bottom w:val="none" w:sz="0" w:space="0" w:color="auto"/>
                    <w:right w:val="none" w:sz="0" w:space="0" w:color="auto"/>
                  </w:divBdr>
                  <w:divsChild>
                    <w:div w:id="1845126481">
                      <w:marLeft w:val="0"/>
                      <w:marRight w:val="0"/>
                      <w:marTop w:val="0"/>
                      <w:marBottom w:val="0"/>
                      <w:divBdr>
                        <w:top w:val="none" w:sz="0" w:space="0" w:color="auto"/>
                        <w:left w:val="none" w:sz="0" w:space="0" w:color="auto"/>
                        <w:bottom w:val="none" w:sz="0" w:space="0" w:color="auto"/>
                        <w:right w:val="none" w:sz="0" w:space="0" w:color="auto"/>
                      </w:divBdr>
                    </w:div>
                  </w:divsChild>
                </w:div>
                <w:div w:id="1750156260">
                  <w:marLeft w:val="0"/>
                  <w:marRight w:val="0"/>
                  <w:marTop w:val="0"/>
                  <w:marBottom w:val="0"/>
                  <w:divBdr>
                    <w:top w:val="none" w:sz="0" w:space="0" w:color="auto"/>
                    <w:left w:val="none" w:sz="0" w:space="0" w:color="auto"/>
                    <w:bottom w:val="none" w:sz="0" w:space="0" w:color="auto"/>
                    <w:right w:val="none" w:sz="0" w:space="0" w:color="auto"/>
                  </w:divBdr>
                  <w:divsChild>
                    <w:div w:id="2098817858">
                      <w:marLeft w:val="0"/>
                      <w:marRight w:val="0"/>
                      <w:marTop w:val="0"/>
                      <w:marBottom w:val="0"/>
                      <w:divBdr>
                        <w:top w:val="none" w:sz="0" w:space="0" w:color="auto"/>
                        <w:left w:val="none" w:sz="0" w:space="0" w:color="auto"/>
                        <w:bottom w:val="none" w:sz="0" w:space="0" w:color="auto"/>
                        <w:right w:val="none" w:sz="0" w:space="0" w:color="auto"/>
                      </w:divBdr>
                    </w:div>
                  </w:divsChild>
                </w:div>
                <w:div w:id="1750424412">
                  <w:marLeft w:val="0"/>
                  <w:marRight w:val="0"/>
                  <w:marTop w:val="0"/>
                  <w:marBottom w:val="0"/>
                  <w:divBdr>
                    <w:top w:val="none" w:sz="0" w:space="0" w:color="auto"/>
                    <w:left w:val="none" w:sz="0" w:space="0" w:color="auto"/>
                    <w:bottom w:val="none" w:sz="0" w:space="0" w:color="auto"/>
                    <w:right w:val="none" w:sz="0" w:space="0" w:color="auto"/>
                  </w:divBdr>
                  <w:divsChild>
                    <w:div w:id="351273046">
                      <w:marLeft w:val="0"/>
                      <w:marRight w:val="0"/>
                      <w:marTop w:val="0"/>
                      <w:marBottom w:val="0"/>
                      <w:divBdr>
                        <w:top w:val="none" w:sz="0" w:space="0" w:color="auto"/>
                        <w:left w:val="none" w:sz="0" w:space="0" w:color="auto"/>
                        <w:bottom w:val="none" w:sz="0" w:space="0" w:color="auto"/>
                        <w:right w:val="none" w:sz="0" w:space="0" w:color="auto"/>
                      </w:divBdr>
                    </w:div>
                  </w:divsChild>
                </w:div>
                <w:div w:id="1752579201">
                  <w:marLeft w:val="0"/>
                  <w:marRight w:val="0"/>
                  <w:marTop w:val="0"/>
                  <w:marBottom w:val="0"/>
                  <w:divBdr>
                    <w:top w:val="none" w:sz="0" w:space="0" w:color="auto"/>
                    <w:left w:val="none" w:sz="0" w:space="0" w:color="auto"/>
                    <w:bottom w:val="none" w:sz="0" w:space="0" w:color="auto"/>
                    <w:right w:val="none" w:sz="0" w:space="0" w:color="auto"/>
                  </w:divBdr>
                  <w:divsChild>
                    <w:div w:id="435905185">
                      <w:marLeft w:val="0"/>
                      <w:marRight w:val="0"/>
                      <w:marTop w:val="0"/>
                      <w:marBottom w:val="0"/>
                      <w:divBdr>
                        <w:top w:val="none" w:sz="0" w:space="0" w:color="auto"/>
                        <w:left w:val="none" w:sz="0" w:space="0" w:color="auto"/>
                        <w:bottom w:val="none" w:sz="0" w:space="0" w:color="auto"/>
                        <w:right w:val="none" w:sz="0" w:space="0" w:color="auto"/>
                      </w:divBdr>
                    </w:div>
                  </w:divsChild>
                </w:div>
                <w:div w:id="1752851798">
                  <w:marLeft w:val="0"/>
                  <w:marRight w:val="0"/>
                  <w:marTop w:val="0"/>
                  <w:marBottom w:val="0"/>
                  <w:divBdr>
                    <w:top w:val="none" w:sz="0" w:space="0" w:color="auto"/>
                    <w:left w:val="none" w:sz="0" w:space="0" w:color="auto"/>
                    <w:bottom w:val="none" w:sz="0" w:space="0" w:color="auto"/>
                    <w:right w:val="none" w:sz="0" w:space="0" w:color="auto"/>
                  </w:divBdr>
                  <w:divsChild>
                    <w:div w:id="1653559107">
                      <w:marLeft w:val="0"/>
                      <w:marRight w:val="0"/>
                      <w:marTop w:val="0"/>
                      <w:marBottom w:val="0"/>
                      <w:divBdr>
                        <w:top w:val="none" w:sz="0" w:space="0" w:color="auto"/>
                        <w:left w:val="none" w:sz="0" w:space="0" w:color="auto"/>
                        <w:bottom w:val="none" w:sz="0" w:space="0" w:color="auto"/>
                        <w:right w:val="none" w:sz="0" w:space="0" w:color="auto"/>
                      </w:divBdr>
                    </w:div>
                  </w:divsChild>
                </w:div>
                <w:div w:id="1754741481">
                  <w:marLeft w:val="0"/>
                  <w:marRight w:val="0"/>
                  <w:marTop w:val="0"/>
                  <w:marBottom w:val="0"/>
                  <w:divBdr>
                    <w:top w:val="none" w:sz="0" w:space="0" w:color="auto"/>
                    <w:left w:val="none" w:sz="0" w:space="0" w:color="auto"/>
                    <w:bottom w:val="none" w:sz="0" w:space="0" w:color="auto"/>
                    <w:right w:val="none" w:sz="0" w:space="0" w:color="auto"/>
                  </w:divBdr>
                  <w:divsChild>
                    <w:div w:id="1078138017">
                      <w:marLeft w:val="0"/>
                      <w:marRight w:val="0"/>
                      <w:marTop w:val="0"/>
                      <w:marBottom w:val="0"/>
                      <w:divBdr>
                        <w:top w:val="none" w:sz="0" w:space="0" w:color="auto"/>
                        <w:left w:val="none" w:sz="0" w:space="0" w:color="auto"/>
                        <w:bottom w:val="none" w:sz="0" w:space="0" w:color="auto"/>
                        <w:right w:val="none" w:sz="0" w:space="0" w:color="auto"/>
                      </w:divBdr>
                    </w:div>
                  </w:divsChild>
                </w:div>
                <w:div w:id="1755587827">
                  <w:marLeft w:val="0"/>
                  <w:marRight w:val="0"/>
                  <w:marTop w:val="0"/>
                  <w:marBottom w:val="0"/>
                  <w:divBdr>
                    <w:top w:val="none" w:sz="0" w:space="0" w:color="auto"/>
                    <w:left w:val="none" w:sz="0" w:space="0" w:color="auto"/>
                    <w:bottom w:val="none" w:sz="0" w:space="0" w:color="auto"/>
                    <w:right w:val="none" w:sz="0" w:space="0" w:color="auto"/>
                  </w:divBdr>
                  <w:divsChild>
                    <w:div w:id="615671628">
                      <w:marLeft w:val="0"/>
                      <w:marRight w:val="0"/>
                      <w:marTop w:val="0"/>
                      <w:marBottom w:val="0"/>
                      <w:divBdr>
                        <w:top w:val="none" w:sz="0" w:space="0" w:color="auto"/>
                        <w:left w:val="none" w:sz="0" w:space="0" w:color="auto"/>
                        <w:bottom w:val="none" w:sz="0" w:space="0" w:color="auto"/>
                        <w:right w:val="none" w:sz="0" w:space="0" w:color="auto"/>
                      </w:divBdr>
                    </w:div>
                  </w:divsChild>
                </w:div>
                <w:div w:id="1757484159">
                  <w:marLeft w:val="0"/>
                  <w:marRight w:val="0"/>
                  <w:marTop w:val="0"/>
                  <w:marBottom w:val="0"/>
                  <w:divBdr>
                    <w:top w:val="none" w:sz="0" w:space="0" w:color="auto"/>
                    <w:left w:val="none" w:sz="0" w:space="0" w:color="auto"/>
                    <w:bottom w:val="none" w:sz="0" w:space="0" w:color="auto"/>
                    <w:right w:val="none" w:sz="0" w:space="0" w:color="auto"/>
                  </w:divBdr>
                  <w:divsChild>
                    <w:div w:id="1997997513">
                      <w:marLeft w:val="0"/>
                      <w:marRight w:val="0"/>
                      <w:marTop w:val="0"/>
                      <w:marBottom w:val="0"/>
                      <w:divBdr>
                        <w:top w:val="none" w:sz="0" w:space="0" w:color="auto"/>
                        <w:left w:val="none" w:sz="0" w:space="0" w:color="auto"/>
                        <w:bottom w:val="none" w:sz="0" w:space="0" w:color="auto"/>
                        <w:right w:val="none" w:sz="0" w:space="0" w:color="auto"/>
                      </w:divBdr>
                    </w:div>
                  </w:divsChild>
                </w:div>
                <w:div w:id="1769738407">
                  <w:marLeft w:val="0"/>
                  <w:marRight w:val="0"/>
                  <w:marTop w:val="0"/>
                  <w:marBottom w:val="0"/>
                  <w:divBdr>
                    <w:top w:val="none" w:sz="0" w:space="0" w:color="auto"/>
                    <w:left w:val="none" w:sz="0" w:space="0" w:color="auto"/>
                    <w:bottom w:val="none" w:sz="0" w:space="0" w:color="auto"/>
                    <w:right w:val="none" w:sz="0" w:space="0" w:color="auto"/>
                  </w:divBdr>
                  <w:divsChild>
                    <w:div w:id="2030063327">
                      <w:marLeft w:val="0"/>
                      <w:marRight w:val="0"/>
                      <w:marTop w:val="0"/>
                      <w:marBottom w:val="0"/>
                      <w:divBdr>
                        <w:top w:val="none" w:sz="0" w:space="0" w:color="auto"/>
                        <w:left w:val="none" w:sz="0" w:space="0" w:color="auto"/>
                        <w:bottom w:val="none" w:sz="0" w:space="0" w:color="auto"/>
                        <w:right w:val="none" w:sz="0" w:space="0" w:color="auto"/>
                      </w:divBdr>
                    </w:div>
                  </w:divsChild>
                </w:div>
                <w:div w:id="1772582180">
                  <w:marLeft w:val="0"/>
                  <w:marRight w:val="0"/>
                  <w:marTop w:val="0"/>
                  <w:marBottom w:val="0"/>
                  <w:divBdr>
                    <w:top w:val="none" w:sz="0" w:space="0" w:color="auto"/>
                    <w:left w:val="none" w:sz="0" w:space="0" w:color="auto"/>
                    <w:bottom w:val="none" w:sz="0" w:space="0" w:color="auto"/>
                    <w:right w:val="none" w:sz="0" w:space="0" w:color="auto"/>
                  </w:divBdr>
                  <w:divsChild>
                    <w:div w:id="1793329372">
                      <w:marLeft w:val="0"/>
                      <w:marRight w:val="0"/>
                      <w:marTop w:val="0"/>
                      <w:marBottom w:val="0"/>
                      <w:divBdr>
                        <w:top w:val="none" w:sz="0" w:space="0" w:color="auto"/>
                        <w:left w:val="none" w:sz="0" w:space="0" w:color="auto"/>
                        <w:bottom w:val="none" w:sz="0" w:space="0" w:color="auto"/>
                        <w:right w:val="none" w:sz="0" w:space="0" w:color="auto"/>
                      </w:divBdr>
                    </w:div>
                  </w:divsChild>
                </w:div>
                <w:div w:id="1777407577">
                  <w:marLeft w:val="0"/>
                  <w:marRight w:val="0"/>
                  <w:marTop w:val="0"/>
                  <w:marBottom w:val="0"/>
                  <w:divBdr>
                    <w:top w:val="none" w:sz="0" w:space="0" w:color="auto"/>
                    <w:left w:val="none" w:sz="0" w:space="0" w:color="auto"/>
                    <w:bottom w:val="none" w:sz="0" w:space="0" w:color="auto"/>
                    <w:right w:val="none" w:sz="0" w:space="0" w:color="auto"/>
                  </w:divBdr>
                  <w:divsChild>
                    <w:div w:id="1636174378">
                      <w:marLeft w:val="0"/>
                      <w:marRight w:val="0"/>
                      <w:marTop w:val="0"/>
                      <w:marBottom w:val="0"/>
                      <w:divBdr>
                        <w:top w:val="none" w:sz="0" w:space="0" w:color="auto"/>
                        <w:left w:val="none" w:sz="0" w:space="0" w:color="auto"/>
                        <w:bottom w:val="none" w:sz="0" w:space="0" w:color="auto"/>
                        <w:right w:val="none" w:sz="0" w:space="0" w:color="auto"/>
                      </w:divBdr>
                    </w:div>
                  </w:divsChild>
                </w:div>
                <w:div w:id="1777795645">
                  <w:marLeft w:val="0"/>
                  <w:marRight w:val="0"/>
                  <w:marTop w:val="0"/>
                  <w:marBottom w:val="0"/>
                  <w:divBdr>
                    <w:top w:val="none" w:sz="0" w:space="0" w:color="auto"/>
                    <w:left w:val="none" w:sz="0" w:space="0" w:color="auto"/>
                    <w:bottom w:val="none" w:sz="0" w:space="0" w:color="auto"/>
                    <w:right w:val="none" w:sz="0" w:space="0" w:color="auto"/>
                  </w:divBdr>
                  <w:divsChild>
                    <w:div w:id="2106026351">
                      <w:marLeft w:val="0"/>
                      <w:marRight w:val="0"/>
                      <w:marTop w:val="0"/>
                      <w:marBottom w:val="0"/>
                      <w:divBdr>
                        <w:top w:val="none" w:sz="0" w:space="0" w:color="auto"/>
                        <w:left w:val="none" w:sz="0" w:space="0" w:color="auto"/>
                        <w:bottom w:val="none" w:sz="0" w:space="0" w:color="auto"/>
                        <w:right w:val="none" w:sz="0" w:space="0" w:color="auto"/>
                      </w:divBdr>
                    </w:div>
                  </w:divsChild>
                </w:div>
                <w:div w:id="1778941389">
                  <w:marLeft w:val="0"/>
                  <w:marRight w:val="0"/>
                  <w:marTop w:val="0"/>
                  <w:marBottom w:val="0"/>
                  <w:divBdr>
                    <w:top w:val="none" w:sz="0" w:space="0" w:color="auto"/>
                    <w:left w:val="none" w:sz="0" w:space="0" w:color="auto"/>
                    <w:bottom w:val="none" w:sz="0" w:space="0" w:color="auto"/>
                    <w:right w:val="none" w:sz="0" w:space="0" w:color="auto"/>
                  </w:divBdr>
                  <w:divsChild>
                    <w:div w:id="2120758462">
                      <w:marLeft w:val="0"/>
                      <w:marRight w:val="0"/>
                      <w:marTop w:val="0"/>
                      <w:marBottom w:val="0"/>
                      <w:divBdr>
                        <w:top w:val="none" w:sz="0" w:space="0" w:color="auto"/>
                        <w:left w:val="none" w:sz="0" w:space="0" w:color="auto"/>
                        <w:bottom w:val="none" w:sz="0" w:space="0" w:color="auto"/>
                        <w:right w:val="none" w:sz="0" w:space="0" w:color="auto"/>
                      </w:divBdr>
                    </w:div>
                  </w:divsChild>
                </w:div>
                <w:div w:id="1779524171">
                  <w:marLeft w:val="0"/>
                  <w:marRight w:val="0"/>
                  <w:marTop w:val="0"/>
                  <w:marBottom w:val="0"/>
                  <w:divBdr>
                    <w:top w:val="none" w:sz="0" w:space="0" w:color="auto"/>
                    <w:left w:val="none" w:sz="0" w:space="0" w:color="auto"/>
                    <w:bottom w:val="none" w:sz="0" w:space="0" w:color="auto"/>
                    <w:right w:val="none" w:sz="0" w:space="0" w:color="auto"/>
                  </w:divBdr>
                  <w:divsChild>
                    <w:div w:id="1269266893">
                      <w:marLeft w:val="0"/>
                      <w:marRight w:val="0"/>
                      <w:marTop w:val="0"/>
                      <w:marBottom w:val="0"/>
                      <w:divBdr>
                        <w:top w:val="none" w:sz="0" w:space="0" w:color="auto"/>
                        <w:left w:val="none" w:sz="0" w:space="0" w:color="auto"/>
                        <w:bottom w:val="none" w:sz="0" w:space="0" w:color="auto"/>
                        <w:right w:val="none" w:sz="0" w:space="0" w:color="auto"/>
                      </w:divBdr>
                    </w:div>
                  </w:divsChild>
                </w:div>
                <w:div w:id="1781409859">
                  <w:marLeft w:val="0"/>
                  <w:marRight w:val="0"/>
                  <w:marTop w:val="0"/>
                  <w:marBottom w:val="0"/>
                  <w:divBdr>
                    <w:top w:val="none" w:sz="0" w:space="0" w:color="auto"/>
                    <w:left w:val="none" w:sz="0" w:space="0" w:color="auto"/>
                    <w:bottom w:val="none" w:sz="0" w:space="0" w:color="auto"/>
                    <w:right w:val="none" w:sz="0" w:space="0" w:color="auto"/>
                  </w:divBdr>
                  <w:divsChild>
                    <w:div w:id="1253202346">
                      <w:marLeft w:val="0"/>
                      <w:marRight w:val="0"/>
                      <w:marTop w:val="0"/>
                      <w:marBottom w:val="0"/>
                      <w:divBdr>
                        <w:top w:val="none" w:sz="0" w:space="0" w:color="auto"/>
                        <w:left w:val="none" w:sz="0" w:space="0" w:color="auto"/>
                        <w:bottom w:val="none" w:sz="0" w:space="0" w:color="auto"/>
                        <w:right w:val="none" w:sz="0" w:space="0" w:color="auto"/>
                      </w:divBdr>
                    </w:div>
                  </w:divsChild>
                </w:div>
                <w:div w:id="1781605202">
                  <w:marLeft w:val="0"/>
                  <w:marRight w:val="0"/>
                  <w:marTop w:val="0"/>
                  <w:marBottom w:val="0"/>
                  <w:divBdr>
                    <w:top w:val="none" w:sz="0" w:space="0" w:color="auto"/>
                    <w:left w:val="none" w:sz="0" w:space="0" w:color="auto"/>
                    <w:bottom w:val="none" w:sz="0" w:space="0" w:color="auto"/>
                    <w:right w:val="none" w:sz="0" w:space="0" w:color="auto"/>
                  </w:divBdr>
                  <w:divsChild>
                    <w:div w:id="1238203730">
                      <w:marLeft w:val="0"/>
                      <w:marRight w:val="0"/>
                      <w:marTop w:val="0"/>
                      <w:marBottom w:val="0"/>
                      <w:divBdr>
                        <w:top w:val="none" w:sz="0" w:space="0" w:color="auto"/>
                        <w:left w:val="none" w:sz="0" w:space="0" w:color="auto"/>
                        <w:bottom w:val="none" w:sz="0" w:space="0" w:color="auto"/>
                        <w:right w:val="none" w:sz="0" w:space="0" w:color="auto"/>
                      </w:divBdr>
                    </w:div>
                  </w:divsChild>
                </w:div>
                <w:div w:id="1787116269">
                  <w:marLeft w:val="0"/>
                  <w:marRight w:val="0"/>
                  <w:marTop w:val="0"/>
                  <w:marBottom w:val="0"/>
                  <w:divBdr>
                    <w:top w:val="none" w:sz="0" w:space="0" w:color="auto"/>
                    <w:left w:val="none" w:sz="0" w:space="0" w:color="auto"/>
                    <w:bottom w:val="none" w:sz="0" w:space="0" w:color="auto"/>
                    <w:right w:val="none" w:sz="0" w:space="0" w:color="auto"/>
                  </w:divBdr>
                  <w:divsChild>
                    <w:div w:id="101537707">
                      <w:marLeft w:val="0"/>
                      <w:marRight w:val="0"/>
                      <w:marTop w:val="0"/>
                      <w:marBottom w:val="0"/>
                      <w:divBdr>
                        <w:top w:val="none" w:sz="0" w:space="0" w:color="auto"/>
                        <w:left w:val="none" w:sz="0" w:space="0" w:color="auto"/>
                        <w:bottom w:val="none" w:sz="0" w:space="0" w:color="auto"/>
                        <w:right w:val="none" w:sz="0" w:space="0" w:color="auto"/>
                      </w:divBdr>
                    </w:div>
                  </w:divsChild>
                </w:div>
                <w:div w:id="1794908002">
                  <w:marLeft w:val="0"/>
                  <w:marRight w:val="0"/>
                  <w:marTop w:val="0"/>
                  <w:marBottom w:val="0"/>
                  <w:divBdr>
                    <w:top w:val="none" w:sz="0" w:space="0" w:color="auto"/>
                    <w:left w:val="none" w:sz="0" w:space="0" w:color="auto"/>
                    <w:bottom w:val="none" w:sz="0" w:space="0" w:color="auto"/>
                    <w:right w:val="none" w:sz="0" w:space="0" w:color="auto"/>
                  </w:divBdr>
                  <w:divsChild>
                    <w:div w:id="1981643187">
                      <w:marLeft w:val="0"/>
                      <w:marRight w:val="0"/>
                      <w:marTop w:val="0"/>
                      <w:marBottom w:val="0"/>
                      <w:divBdr>
                        <w:top w:val="none" w:sz="0" w:space="0" w:color="auto"/>
                        <w:left w:val="none" w:sz="0" w:space="0" w:color="auto"/>
                        <w:bottom w:val="none" w:sz="0" w:space="0" w:color="auto"/>
                        <w:right w:val="none" w:sz="0" w:space="0" w:color="auto"/>
                      </w:divBdr>
                    </w:div>
                  </w:divsChild>
                </w:div>
                <w:div w:id="1797983657">
                  <w:marLeft w:val="0"/>
                  <w:marRight w:val="0"/>
                  <w:marTop w:val="0"/>
                  <w:marBottom w:val="0"/>
                  <w:divBdr>
                    <w:top w:val="none" w:sz="0" w:space="0" w:color="auto"/>
                    <w:left w:val="none" w:sz="0" w:space="0" w:color="auto"/>
                    <w:bottom w:val="none" w:sz="0" w:space="0" w:color="auto"/>
                    <w:right w:val="none" w:sz="0" w:space="0" w:color="auto"/>
                  </w:divBdr>
                  <w:divsChild>
                    <w:div w:id="1337420223">
                      <w:marLeft w:val="0"/>
                      <w:marRight w:val="0"/>
                      <w:marTop w:val="0"/>
                      <w:marBottom w:val="0"/>
                      <w:divBdr>
                        <w:top w:val="none" w:sz="0" w:space="0" w:color="auto"/>
                        <w:left w:val="none" w:sz="0" w:space="0" w:color="auto"/>
                        <w:bottom w:val="none" w:sz="0" w:space="0" w:color="auto"/>
                        <w:right w:val="none" w:sz="0" w:space="0" w:color="auto"/>
                      </w:divBdr>
                    </w:div>
                  </w:divsChild>
                </w:div>
                <w:div w:id="1799301029">
                  <w:marLeft w:val="0"/>
                  <w:marRight w:val="0"/>
                  <w:marTop w:val="0"/>
                  <w:marBottom w:val="0"/>
                  <w:divBdr>
                    <w:top w:val="none" w:sz="0" w:space="0" w:color="auto"/>
                    <w:left w:val="none" w:sz="0" w:space="0" w:color="auto"/>
                    <w:bottom w:val="none" w:sz="0" w:space="0" w:color="auto"/>
                    <w:right w:val="none" w:sz="0" w:space="0" w:color="auto"/>
                  </w:divBdr>
                  <w:divsChild>
                    <w:div w:id="301467755">
                      <w:marLeft w:val="0"/>
                      <w:marRight w:val="0"/>
                      <w:marTop w:val="0"/>
                      <w:marBottom w:val="0"/>
                      <w:divBdr>
                        <w:top w:val="none" w:sz="0" w:space="0" w:color="auto"/>
                        <w:left w:val="none" w:sz="0" w:space="0" w:color="auto"/>
                        <w:bottom w:val="none" w:sz="0" w:space="0" w:color="auto"/>
                        <w:right w:val="none" w:sz="0" w:space="0" w:color="auto"/>
                      </w:divBdr>
                    </w:div>
                  </w:divsChild>
                </w:div>
                <w:div w:id="1799446847">
                  <w:marLeft w:val="0"/>
                  <w:marRight w:val="0"/>
                  <w:marTop w:val="0"/>
                  <w:marBottom w:val="0"/>
                  <w:divBdr>
                    <w:top w:val="none" w:sz="0" w:space="0" w:color="auto"/>
                    <w:left w:val="none" w:sz="0" w:space="0" w:color="auto"/>
                    <w:bottom w:val="none" w:sz="0" w:space="0" w:color="auto"/>
                    <w:right w:val="none" w:sz="0" w:space="0" w:color="auto"/>
                  </w:divBdr>
                  <w:divsChild>
                    <w:div w:id="1967269576">
                      <w:marLeft w:val="0"/>
                      <w:marRight w:val="0"/>
                      <w:marTop w:val="0"/>
                      <w:marBottom w:val="0"/>
                      <w:divBdr>
                        <w:top w:val="none" w:sz="0" w:space="0" w:color="auto"/>
                        <w:left w:val="none" w:sz="0" w:space="0" w:color="auto"/>
                        <w:bottom w:val="none" w:sz="0" w:space="0" w:color="auto"/>
                        <w:right w:val="none" w:sz="0" w:space="0" w:color="auto"/>
                      </w:divBdr>
                    </w:div>
                  </w:divsChild>
                </w:div>
                <w:div w:id="1800801300">
                  <w:marLeft w:val="0"/>
                  <w:marRight w:val="0"/>
                  <w:marTop w:val="0"/>
                  <w:marBottom w:val="0"/>
                  <w:divBdr>
                    <w:top w:val="none" w:sz="0" w:space="0" w:color="auto"/>
                    <w:left w:val="none" w:sz="0" w:space="0" w:color="auto"/>
                    <w:bottom w:val="none" w:sz="0" w:space="0" w:color="auto"/>
                    <w:right w:val="none" w:sz="0" w:space="0" w:color="auto"/>
                  </w:divBdr>
                  <w:divsChild>
                    <w:div w:id="1335451821">
                      <w:marLeft w:val="0"/>
                      <w:marRight w:val="0"/>
                      <w:marTop w:val="0"/>
                      <w:marBottom w:val="0"/>
                      <w:divBdr>
                        <w:top w:val="none" w:sz="0" w:space="0" w:color="auto"/>
                        <w:left w:val="none" w:sz="0" w:space="0" w:color="auto"/>
                        <w:bottom w:val="none" w:sz="0" w:space="0" w:color="auto"/>
                        <w:right w:val="none" w:sz="0" w:space="0" w:color="auto"/>
                      </w:divBdr>
                    </w:div>
                  </w:divsChild>
                </w:div>
                <w:div w:id="1802306233">
                  <w:marLeft w:val="0"/>
                  <w:marRight w:val="0"/>
                  <w:marTop w:val="0"/>
                  <w:marBottom w:val="0"/>
                  <w:divBdr>
                    <w:top w:val="none" w:sz="0" w:space="0" w:color="auto"/>
                    <w:left w:val="none" w:sz="0" w:space="0" w:color="auto"/>
                    <w:bottom w:val="none" w:sz="0" w:space="0" w:color="auto"/>
                    <w:right w:val="none" w:sz="0" w:space="0" w:color="auto"/>
                  </w:divBdr>
                  <w:divsChild>
                    <w:div w:id="180895668">
                      <w:marLeft w:val="0"/>
                      <w:marRight w:val="0"/>
                      <w:marTop w:val="0"/>
                      <w:marBottom w:val="0"/>
                      <w:divBdr>
                        <w:top w:val="none" w:sz="0" w:space="0" w:color="auto"/>
                        <w:left w:val="none" w:sz="0" w:space="0" w:color="auto"/>
                        <w:bottom w:val="none" w:sz="0" w:space="0" w:color="auto"/>
                        <w:right w:val="none" w:sz="0" w:space="0" w:color="auto"/>
                      </w:divBdr>
                    </w:div>
                  </w:divsChild>
                </w:div>
                <w:div w:id="1804040244">
                  <w:marLeft w:val="0"/>
                  <w:marRight w:val="0"/>
                  <w:marTop w:val="0"/>
                  <w:marBottom w:val="0"/>
                  <w:divBdr>
                    <w:top w:val="none" w:sz="0" w:space="0" w:color="auto"/>
                    <w:left w:val="none" w:sz="0" w:space="0" w:color="auto"/>
                    <w:bottom w:val="none" w:sz="0" w:space="0" w:color="auto"/>
                    <w:right w:val="none" w:sz="0" w:space="0" w:color="auto"/>
                  </w:divBdr>
                  <w:divsChild>
                    <w:div w:id="1834762834">
                      <w:marLeft w:val="0"/>
                      <w:marRight w:val="0"/>
                      <w:marTop w:val="0"/>
                      <w:marBottom w:val="0"/>
                      <w:divBdr>
                        <w:top w:val="none" w:sz="0" w:space="0" w:color="auto"/>
                        <w:left w:val="none" w:sz="0" w:space="0" w:color="auto"/>
                        <w:bottom w:val="none" w:sz="0" w:space="0" w:color="auto"/>
                        <w:right w:val="none" w:sz="0" w:space="0" w:color="auto"/>
                      </w:divBdr>
                    </w:div>
                  </w:divsChild>
                </w:div>
                <w:div w:id="1809122890">
                  <w:marLeft w:val="0"/>
                  <w:marRight w:val="0"/>
                  <w:marTop w:val="0"/>
                  <w:marBottom w:val="0"/>
                  <w:divBdr>
                    <w:top w:val="none" w:sz="0" w:space="0" w:color="auto"/>
                    <w:left w:val="none" w:sz="0" w:space="0" w:color="auto"/>
                    <w:bottom w:val="none" w:sz="0" w:space="0" w:color="auto"/>
                    <w:right w:val="none" w:sz="0" w:space="0" w:color="auto"/>
                  </w:divBdr>
                  <w:divsChild>
                    <w:div w:id="1492867785">
                      <w:marLeft w:val="0"/>
                      <w:marRight w:val="0"/>
                      <w:marTop w:val="0"/>
                      <w:marBottom w:val="0"/>
                      <w:divBdr>
                        <w:top w:val="none" w:sz="0" w:space="0" w:color="auto"/>
                        <w:left w:val="none" w:sz="0" w:space="0" w:color="auto"/>
                        <w:bottom w:val="none" w:sz="0" w:space="0" w:color="auto"/>
                        <w:right w:val="none" w:sz="0" w:space="0" w:color="auto"/>
                      </w:divBdr>
                    </w:div>
                  </w:divsChild>
                </w:div>
                <w:div w:id="1809585972">
                  <w:marLeft w:val="0"/>
                  <w:marRight w:val="0"/>
                  <w:marTop w:val="0"/>
                  <w:marBottom w:val="0"/>
                  <w:divBdr>
                    <w:top w:val="none" w:sz="0" w:space="0" w:color="auto"/>
                    <w:left w:val="none" w:sz="0" w:space="0" w:color="auto"/>
                    <w:bottom w:val="none" w:sz="0" w:space="0" w:color="auto"/>
                    <w:right w:val="none" w:sz="0" w:space="0" w:color="auto"/>
                  </w:divBdr>
                  <w:divsChild>
                    <w:div w:id="1764179061">
                      <w:marLeft w:val="0"/>
                      <w:marRight w:val="0"/>
                      <w:marTop w:val="0"/>
                      <w:marBottom w:val="0"/>
                      <w:divBdr>
                        <w:top w:val="none" w:sz="0" w:space="0" w:color="auto"/>
                        <w:left w:val="none" w:sz="0" w:space="0" w:color="auto"/>
                        <w:bottom w:val="none" w:sz="0" w:space="0" w:color="auto"/>
                        <w:right w:val="none" w:sz="0" w:space="0" w:color="auto"/>
                      </w:divBdr>
                    </w:div>
                  </w:divsChild>
                </w:div>
                <w:div w:id="1817259461">
                  <w:marLeft w:val="0"/>
                  <w:marRight w:val="0"/>
                  <w:marTop w:val="0"/>
                  <w:marBottom w:val="0"/>
                  <w:divBdr>
                    <w:top w:val="none" w:sz="0" w:space="0" w:color="auto"/>
                    <w:left w:val="none" w:sz="0" w:space="0" w:color="auto"/>
                    <w:bottom w:val="none" w:sz="0" w:space="0" w:color="auto"/>
                    <w:right w:val="none" w:sz="0" w:space="0" w:color="auto"/>
                  </w:divBdr>
                  <w:divsChild>
                    <w:div w:id="1808474187">
                      <w:marLeft w:val="0"/>
                      <w:marRight w:val="0"/>
                      <w:marTop w:val="0"/>
                      <w:marBottom w:val="0"/>
                      <w:divBdr>
                        <w:top w:val="none" w:sz="0" w:space="0" w:color="auto"/>
                        <w:left w:val="none" w:sz="0" w:space="0" w:color="auto"/>
                        <w:bottom w:val="none" w:sz="0" w:space="0" w:color="auto"/>
                        <w:right w:val="none" w:sz="0" w:space="0" w:color="auto"/>
                      </w:divBdr>
                    </w:div>
                  </w:divsChild>
                </w:div>
                <w:div w:id="1817917482">
                  <w:marLeft w:val="0"/>
                  <w:marRight w:val="0"/>
                  <w:marTop w:val="0"/>
                  <w:marBottom w:val="0"/>
                  <w:divBdr>
                    <w:top w:val="none" w:sz="0" w:space="0" w:color="auto"/>
                    <w:left w:val="none" w:sz="0" w:space="0" w:color="auto"/>
                    <w:bottom w:val="none" w:sz="0" w:space="0" w:color="auto"/>
                    <w:right w:val="none" w:sz="0" w:space="0" w:color="auto"/>
                  </w:divBdr>
                  <w:divsChild>
                    <w:div w:id="252012891">
                      <w:marLeft w:val="0"/>
                      <w:marRight w:val="0"/>
                      <w:marTop w:val="0"/>
                      <w:marBottom w:val="0"/>
                      <w:divBdr>
                        <w:top w:val="none" w:sz="0" w:space="0" w:color="auto"/>
                        <w:left w:val="none" w:sz="0" w:space="0" w:color="auto"/>
                        <w:bottom w:val="none" w:sz="0" w:space="0" w:color="auto"/>
                        <w:right w:val="none" w:sz="0" w:space="0" w:color="auto"/>
                      </w:divBdr>
                    </w:div>
                  </w:divsChild>
                </w:div>
                <w:div w:id="1819420829">
                  <w:marLeft w:val="0"/>
                  <w:marRight w:val="0"/>
                  <w:marTop w:val="0"/>
                  <w:marBottom w:val="0"/>
                  <w:divBdr>
                    <w:top w:val="none" w:sz="0" w:space="0" w:color="auto"/>
                    <w:left w:val="none" w:sz="0" w:space="0" w:color="auto"/>
                    <w:bottom w:val="none" w:sz="0" w:space="0" w:color="auto"/>
                    <w:right w:val="none" w:sz="0" w:space="0" w:color="auto"/>
                  </w:divBdr>
                  <w:divsChild>
                    <w:div w:id="1212226882">
                      <w:marLeft w:val="0"/>
                      <w:marRight w:val="0"/>
                      <w:marTop w:val="0"/>
                      <w:marBottom w:val="0"/>
                      <w:divBdr>
                        <w:top w:val="none" w:sz="0" w:space="0" w:color="auto"/>
                        <w:left w:val="none" w:sz="0" w:space="0" w:color="auto"/>
                        <w:bottom w:val="none" w:sz="0" w:space="0" w:color="auto"/>
                        <w:right w:val="none" w:sz="0" w:space="0" w:color="auto"/>
                      </w:divBdr>
                    </w:div>
                  </w:divsChild>
                </w:div>
                <w:div w:id="1833254656">
                  <w:marLeft w:val="0"/>
                  <w:marRight w:val="0"/>
                  <w:marTop w:val="0"/>
                  <w:marBottom w:val="0"/>
                  <w:divBdr>
                    <w:top w:val="none" w:sz="0" w:space="0" w:color="auto"/>
                    <w:left w:val="none" w:sz="0" w:space="0" w:color="auto"/>
                    <w:bottom w:val="none" w:sz="0" w:space="0" w:color="auto"/>
                    <w:right w:val="none" w:sz="0" w:space="0" w:color="auto"/>
                  </w:divBdr>
                  <w:divsChild>
                    <w:div w:id="1530214347">
                      <w:marLeft w:val="0"/>
                      <w:marRight w:val="0"/>
                      <w:marTop w:val="0"/>
                      <w:marBottom w:val="0"/>
                      <w:divBdr>
                        <w:top w:val="none" w:sz="0" w:space="0" w:color="auto"/>
                        <w:left w:val="none" w:sz="0" w:space="0" w:color="auto"/>
                        <w:bottom w:val="none" w:sz="0" w:space="0" w:color="auto"/>
                        <w:right w:val="none" w:sz="0" w:space="0" w:color="auto"/>
                      </w:divBdr>
                    </w:div>
                  </w:divsChild>
                </w:div>
                <w:div w:id="1840803147">
                  <w:marLeft w:val="0"/>
                  <w:marRight w:val="0"/>
                  <w:marTop w:val="0"/>
                  <w:marBottom w:val="0"/>
                  <w:divBdr>
                    <w:top w:val="none" w:sz="0" w:space="0" w:color="auto"/>
                    <w:left w:val="none" w:sz="0" w:space="0" w:color="auto"/>
                    <w:bottom w:val="none" w:sz="0" w:space="0" w:color="auto"/>
                    <w:right w:val="none" w:sz="0" w:space="0" w:color="auto"/>
                  </w:divBdr>
                  <w:divsChild>
                    <w:div w:id="186338933">
                      <w:marLeft w:val="0"/>
                      <w:marRight w:val="0"/>
                      <w:marTop w:val="0"/>
                      <w:marBottom w:val="0"/>
                      <w:divBdr>
                        <w:top w:val="none" w:sz="0" w:space="0" w:color="auto"/>
                        <w:left w:val="none" w:sz="0" w:space="0" w:color="auto"/>
                        <w:bottom w:val="none" w:sz="0" w:space="0" w:color="auto"/>
                        <w:right w:val="none" w:sz="0" w:space="0" w:color="auto"/>
                      </w:divBdr>
                    </w:div>
                  </w:divsChild>
                </w:div>
                <w:div w:id="1843736653">
                  <w:marLeft w:val="0"/>
                  <w:marRight w:val="0"/>
                  <w:marTop w:val="0"/>
                  <w:marBottom w:val="0"/>
                  <w:divBdr>
                    <w:top w:val="none" w:sz="0" w:space="0" w:color="auto"/>
                    <w:left w:val="none" w:sz="0" w:space="0" w:color="auto"/>
                    <w:bottom w:val="none" w:sz="0" w:space="0" w:color="auto"/>
                    <w:right w:val="none" w:sz="0" w:space="0" w:color="auto"/>
                  </w:divBdr>
                  <w:divsChild>
                    <w:div w:id="161087974">
                      <w:marLeft w:val="0"/>
                      <w:marRight w:val="0"/>
                      <w:marTop w:val="0"/>
                      <w:marBottom w:val="0"/>
                      <w:divBdr>
                        <w:top w:val="none" w:sz="0" w:space="0" w:color="auto"/>
                        <w:left w:val="none" w:sz="0" w:space="0" w:color="auto"/>
                        <w:bottom w:val="none" w:sz="0" w:space="0" w:color="auto"/>
                        <w:right w:val="none" w:sz="0" w:space="0" w:color="auto"/>
                      </w:divBdr>
                    </w:div>
                  </w:divsChild>
                </w:div>
                <w:div w:id="1859463027">
                  <w:marLeft w:val="0"/>
                  <w:marRight w:val="0"/>
                  <w:marTop w:val="0"/>
                  <w:marBottom w:val="0"/>
                  <w:divBdr>
                    <w:top w:val="none" w:sz="0" w:space="0" w:color="auto"/>
                    <w:left w:val="none" w:sz="0" w:space="0" w:color="auto"/>
                    <w:bottom w:val="none" w:sz="0" w:space="0" w:color="auto"/>
                    <w:right w:val="none" w:sz="0" w:space="0" w:color="auto"/>
                  </w:divBdr>
                  <w:divsChild>
                    <w:div w:id="521670039">
                      <w:marLeft w:val="0"/>
                      <w:marRight w:val="0"/>
                      <w:marTop w:val="0"/>
                      <w:marBottom w:val="0"/>
                      <w:divBdr>
                        <w:top w:val="none" w:sz="0" w:space="0" w:color="auto"/>
                        <w:left w:val="none" w:sz="0" w:space="0" w:color="auto"/>
                        <w:bottom w:val="none" w:sz="0" w:space="0" w:color="auto"/>
                        <w:right w:val="none" w:sz="0" w:space="0" w:color="auto"/>
                      </w:divBdr>
                    </w:div>
                  </w:divsChild>
                </w:div>
                <w:div w:id="1862862798">
                  <w:marLeft w:val="0"/>
                  <w:marRight w:val="0"/>
                  <w:marTop w:val="0"/>
                  <w:marBottom w:val="0"/>
                  <w:divBdr>
                    <w:top w:val="none" w:sz="0" w:space="0" w:color="auto"/>
                    <w:left w:val="none" w:sz="0" w:space="0" w:color="auto"/>
                    <w:bottom w:val="none" w:sz="0" w:space="0" w:color="auto"/>
                    <w:right w:val="none" w:sz="0" w:space="0" w:color="auto"/>
                  </w:divBdr>
                  <w:divsChild>
                    <w:div w:id="886641762">
                      <w:marLeft w:val="0"/>
                      <w:marRight w:val="0"/>
                      <w:marTop w:val="0"/>
                      <w:marBottom w:val="0"/>
                      <w:divBdr>
                        <w:top w:val="none" w:sz="0" w:space="0" w:color="auto"/>
                        <w:left w:val="none" w:sz="0" w:space="0" w:color="auto"/>
                        <w:bottom w:val="none" w:sz="0" w:space="0" w:color="auto"/>
                        <w:right w:val="none" w:sz="0" w:space="0" w:color="auto"/>
                      </w:divBdr>
                    </w:div>
                  </w:divsChild>
                </w:div>
                <w:div w:id="1866210015">
                  <w:marLeft w:val="0"/>
                  <w:marRight w:val="0"/>
                  <w:marTop w:val="0"/>
                  <w:marBottom w:val="0"/>
                  <w:divBdr>
                    <w:top w:val="none" w:sz="0" w:space="0" w:color="auto"/>
                    <w:left w:val="none" w:sz="0" w:space="0" w:color="auto"/>
                    <w:bottom w:val="none" w:sz="0" w:space="0" w:color="auto"/>
                    <w:right w:val="none" w:sz="0" w:space="0" w:color="auto"/>
                  </w:divBdr>
                  <w:divsChild>
                    <w:div w:id="1720350614">
                      <w:marLeft w:val="0"/>
                      <w:marRight w:val="0"/>
                      <w:marTop w:val="0"/>
                      <w:marBottom w:val="0"/>
                      <w:divBdr>
                        <w:top w:val="none" w:sz="0" w:space="0" w:color="auto"/>
                        <w:left w:val="none" w:sz="0" w:space="0" w:color="auto"/>
                        <w:bottom w:val="none" w:sz="0" w:space="0" w:color="auto"/>
                        <w:right w:val="none" w:sz="0" w:space="0" w:color="auto"/>
                      </w:divBdr>
                    </w:div>
                  </w:divsChild>
                </w:div>
                <w:div w:id="1871071458">
                  <w:marLeft w:val="0"/>
                  <w:marRight w:val="0"/>
                  <w:marTop w:val="0"/>
                  <w:marBottom w:val="0"/>
                  <w:divBdr>
                    <w:top w:val="none" w:sz="0" w:space="0" w:color="auto"/>
                    <w:left w:val="none" w:sz="0" w:space="0" w:color="auto"/>
                    <w:bottom w:val="none" w:sz="0" w:space="0" w:color="auto"/>
                    <w:right w:val="none" w:sz="0" w:space="0" w:color="auto"/>
                  </w:divBdr>
                  <w:divsChild>
                    <w:div w:id="933443681">
                      <w:marLeft w:val="0"/>
                      <w:marRight w:val="0"/>
                      <w:marTop w:val="0"/>
                      <w:marBottom w:val="0"/>
                      <w:divBdr>
                        <w:top w:val="none" w:sz="0" w:space="0" w:color="auto"/>
                        <w:left w:val="none" w:sz="0" w:space="0" w:color="auto"/>
                        <w:bottom w:val="none" w:sz="0" w:space="0" w:color="auto"/>
                        <w:right w:val="none" w:sz="0" w:space="0" w:color="auto"/>
                      </w:divBdr>
                    </w:div>
                  </w:divsChild>
                </w:div>
                <w:div w:id="1872064124">
                  <w:marLeft w:val="0"/>
                  <w:marRight w:val="0"/>
                  <w:marTop w:val="0"/>
                  <w:marBottom w:val="0"/>
                  <w:divBdr>
                    <w:top w:val="none" w:sz="0" w:space="0" w:color="auto"/>
                    <w:left w:val="none" w:sz="0" w:space="0" w:color="auto"/>
                    <w:bottom w:val="none" w:sz="0" w:space="0" w:color="auto"/>
                    <w:right w:val="none" w:sz="0" w:space="0" w:color="auto"/>
                  </w:divBdr>
                  <w:divsChild>
                    <w:div w:id="361782658">
                      <w:marLeft w:val="0"/>
                      <w:marRight w:val="0"/>
                      <w:marTop w:val="0"/>
                      <w:marBottom w:val="0"/>
                      <w:divBdr>
                        <w:top w:val="none" w:sz="0" w:space="0" w:color="auto"/>
                        <w:left w:val="none" w:sz="0" w:space="0" w:color="auto"/>
                        <w:bottom w:val="none" w:sz="0" w:space="0" w:color="auto"/>
                        <w:right w:val="none" w:sz="0" w:space="0" w:color="auto"/>
                      </w:divBdr>
                    </w:div>
                  </w:divsChild>
                </w:div>
                <w:div w:id="1876573180">
                  <w:marLeft w:val="0"/>
                  <w:marRight w:val="0"/>
                  <w:marTop w:val="0"/>
                  <w:marBottom w:val="0"/>
                  <w:divBdr>
                    <w:top w:val="none" w:sz="0" w:space="0" w:color="auto"/>
                    <w:left w:val="none" w:sz="0" w:space="0" w:color="auto"/>
                    <w:bottom w:val="none" w:sz="0" w:space="0" w:color="auto"/>
                    <w:right w:val="none" w:sz="0" w:space="0" w:color="auto"/>
                  </w:divBdr>
                  <w:divsChild>
                    <w:div w:id="782960727">
                      <w:marLeft w:val="0"/>
                      <w:marRight w:val="0"/>
                      <w:marTop w:val="0"/>
                      <w:marBottom w:val="0"/>
                      <w:divBdr>
                        <w:top w:val="none" w:sz="0" w:space="0" w:color="auto"/>
                        <w:left w:val="none" w:sz="0" w:space="0" w:color="auto"/>
                        <w:bottom w:val="none" w:sz="0" w:space="0" w:color="auto"/>
                        <w:right w:val="none" w:sz="0" w:space="0" w:color="auto"/>
                      </w:divBdr>
                    </w:div>
                  </w:divsChild>
                </w:div>
                <w:div w:id="1890412661">
                  <w:marLeft w:val="0"/>
                  <w:marRight w:val="0"/>
                  <w:marTop w:val="0"/>
                  <w:marBottom w:val="0"/>
                  <w:divBdr>
                    <w:top w:val="none" w:sz="0" w:space="0" w:color="auto"/>
                    <w:left w:val="none" w:sz="0" w:space="0" w:color="auto"/>
                    <w:bottom w:val="none" w:sz="0" w:space="0" w:color="auto"/>
                    <w:right w:val="none" w:sz="0" w:space="0" w:color="auto"/>
                  </w:divBdr>
                  <w:divsChild>
                    <w:div w:id="2143690667">
                      <w:marLeft w:val="0"/>
                      <w:marRight w:val="0"/>
                      <w:marTop w:val="0"/>
                      <w:marBottom w:val="0"/>
                      <w:divBdr>
                        <w:top w:val="none" w:sz="0" w:space="0" w:color="auto"/>
                        <w:left w:val="none" w:sz="0" w:space="0" w:color="auto"/>
                        <w:bottom w:val="none" w:sz="0" w:space="0" w:color="auto"/>
                        <w:right w:val="none" w:sz="0" w:space="0" w:color="auto"/>
                      </w:divBdr>
                    </w:div>
                  </w:divsChild>
                </w:div>
                <w:div w:id="1891066114">
                  <w:marLeft w:val="0"/>
                  <w:marRight w:val="0"/>
                  <w:marTop w:val="0"/>
                  <w:marBottom w:val="0"/>
                  <w:divBdr>
                    <w:top w:val="none" w:sz="0" w:space="0" w:color="auto"/>
                    <w:left w:val="none" w:sz="0" w:space="0" w:color="auto"/>
                    <w:bottom w:val="none" w:sz="0" w:space="0" w:color="auto"/>
                    <w:right w:val="none" w:sz="0" w:space="0" w:color="auto"/>
                  </w:divBdr>
                  <w:divsChild>
                    <w:div w:id="1114446162">
                      <w:marLeft w:val="0"/>
                      <w:marRight w:val="0"/>
                      <w:marTop w:val="0"/>
                      <w:marBottom w:val="0"/>
                      <w:divBdr>
                        <w:top w:val="none" w:sz="0" w:space="0" w:color="auto"/>
                        <w:left w:val="none" w:sz="0" w:space="0" w:color="auto"/>
                        <w:bottom w:val="none" w:sz="0" w:space="0" w:color="auto"/>
                        <w:right w:val="none" w:sz="0" w:space="0" w:color="auto"/>
                      </w:divBdr>
                    </w:div>
                  </w:divsChild>
                </w:div>
                <w:div w:id="1891304057">
                  <w:marLeft w:val="0"/>
                  <w:marRight w:val="0"/>
                  <w:marTop w:val="0"/>
                  <w:marBottom w:val="0"/>
                  <w:divBdr>
                    <w:top w:val="none" w:sz="0" w:space="0" w:color="auto"/>
                    <w:left w:val="none" w:sz="0" w:space="0" w:color="auto"/>
                    <w:bottom w:val="none" w:sz="0" w:space="0" w:color="auto"/>
                    <w:right w:val="none" w:sz="0" w:space="0" w:color="auto"/>
                  </w:divBdr>
                  <w:divsChild>
                    <w:div w:id="368839093">
                      <w:marLeft w:val="0"/>
                      <w:marRight w:val="0"/>
                      <w:marTop w:val="0"/>
                      <w:marBottom w:val="0"/>
                      <w:divBdr>
                        <w:top w:val="none" w:sz="0" w:space="0" w:color="auto"/>
                        <w:left w:val="none" w:sz="0" w:space="0" w:color="auto"/>
                        <w:bottom w:val="none" w:sz="0" w:space="0" w:color="auto"/>
                        <w:right w:val="none" w:sz="0" w:space="0" w:color="auto"/>
                      </w:divBdr>
                    </w:div>
                  </w:divsChild>
                </w:div>
                <w:div w:id="1901789723">
                  <w:marLeft w:val="0"/>
                  <w:marRight w:val="0"/>
                  <w:marTop w:val="0"/>
                  <w:marBottom w:val="0"/>
                  <w:divBdr>
                    <w:top w:val="none" w:sz="0" w:space="0" w:color="auto"/>
                    <w:left w:val="none" w:sz="0" w:space="0" w:color="auto"/>
                    <w:bottom w:val="none" w:sz="0" w:space="0" w:color="auto"/>
                    <w:right w:val="none" w:sz="0" w:space="0" w:color="auto"/>
                  </w:divBdr>
                  <w:divsChild>
                    <w:div w:id="1113940868">
                      <w:marLeft w:val="0"/>
                      <w:marRight w:val="0"/>
                      <w:marTop w:val="0"/>
                      <w:marBottom w:val="0"/>
                      <w:divBdr>
                        <w:top w:val="none" w:sz="0" w:space="0" w:color="auto"/>
                        <w:left w:val="none" w:sz="0" w:space="0" w:color="auto"/>
                        <w:bottom w:val="none" w:sz="0" w:space="0" w:color="auto"/>
                        <w:right w:val="none" w:sz="0" w:space="0" w:color="auto"/>
                      </w:divBdr>
                    </w:div>
                  </w:divsChild>
                </w:div>
                <w:div w:id="1916931644">
                  <w:marLeft w:val="0"/>
                  <w:marRight w:val="0"/>
                  <w:marTop w:val="0"/>
                  <w:marBottom w:val="0"/>
                  <w:divBdr>
                    <w:top w:val="none" w:sz="0" w:space="0" w:color="auto"/>
                    <w:left w:val="none" w:sz="0" w:space="0" w:color="auto"/>
                    <w:bottom w:val="none" w:sz="0" w:space="0" w:color="auto"/>
                    <w:right w:val="none" w:sz="0" w:space="0" w:color="auto"/>
                  </w:divBdr>
                  <w:divsChild>
                    <w:div w:id="213585797">
                      <w:marLeft w:val="0"/>
                      <w:marRight w:val="0"/>
                      <w:marTop w:val="0"/>
                      <w:marBottom w:val="0"/>
                      <w:divBdr>
                        <w:top w:val="none" w:sz="0" w:space="0" w:color="auto"/>
                        <w:left w:val="none" w:sz="0" w:space="0" w:color="auto"/>
                        <w:bottom w:val="none" w:sz="0" w:space="0" w:color="auto"/>
                        <w:right w:val="none" w:sz="0" w:space="0" w:color="auto"/>
                      </w:divBdr>
                    </w:div>
                  </w:divsChild>
                </w:div>
                <w:div w:id="1921256290">
                  <w:marLeft w:val="0"/>
                  <w:marRight w:val="0"/>
                  <w:marTop w:val="0"/>
                  <w:marBottom w:val="0"/>
                  <w:divBdr>
                    <w:top w:val="none" w:sz="0" w:space="0" w:color="auto"/>
                    <w:left w:val="none" w:sz="0" w:space="0" w:color="auto"/>
                    <w:bottom w:val="none" w:sz="0" w:space="0" w:color="auto"/>
                    <w:right w:val="none" w:sz="0" w:space="0" w:color="auto"/>
                  </w:divBdr>
                  <w:divsChild>
                    <w:div w:id="1648243038">
                      <w:marLeft w:val="0"/>
                      <w:marRight w:val="0"/>
                      <w:marTop w:val="0"/>
                      <w:marBottom w:val="0"/>
                      <w:divBdr>
                        <w:top w:val="none" w:sz="0" w:space="0" w:color="auto"/>
                        <w:left w:val="none" w:sz="0" w:space="0" w:color="auto"/>
                        <w:bottom w:val="none" w:sz="0" w:space="0" w:color="auto"/>
                        <w:right w:val="none" w:sz="0" w:space="0" w:color="auto"/>
                      </w:divBdr>
                    </w:div>
                  </w:divsChild>
                </w:div>
                <w:div w:id="1927181810">
                  <w:marLeft w:val="0"/>
                  <w:marRight w:val="0"/>
                  <w:marTop w:val="0"/>
                  <w:marBottom w:val="0"/>
                  <w:divBdr>
                    <w:top w:val="none" w:sz="0" w:space="0" w:color="auto"/>
                    <w:left w:val="none" w:sz="0" w:space="0" w:color="auto"/>
                    <w:bottom w:val="none" w:sz="0" w:space="0" w:color="auto"/>
                    <w:right w:val="none" w:sz="0" w:space="0" w:color="auto"/>
                  </w:divBdr>
                  <w:divsChild>
                    <w:div w:id="2066055020">
                      <w:marLeft w:val="0"/>
                      <w:marRight w:val="0"/>
                      <w:marTop w:val="0"/>
                      <w:marBottom w:val="0"/>
                      <w:divBdr>
                        <w:top w:val="none" w:sz="0" w:space="0" w:color="auto"/>
                        <w:left w:val="none" w:sz="0" w:space="0" w:color="auto"/>
                        <w:bottom w:val="none" w:sz="0" w:space="0" w:color="auto"/>
                        <w:right w:val="none" w:sz="0" w:space="0" w:color="auto"/>
                      </w:divBdr>
                    </w:div>
                  </w:divsChild>
                </w:div>
                <w:div w:id="1927613456">
                  <w:marLeft w:val="0"/>
                  <w:marRight w:val="0"/>
                  <w:marTop w:val="0"/>
                  <w:marBottom w:val="0"/>
                  <w:divBdr>
                    <w:top w:val="none" w:sz="0" w:space="0" w:color="auto"/>
                    <w:left w:val="none" w:sz="0" w:space="0" w:color="auto"/>
                    <w:bottom w:val="none" w:sz="0" w:space="0" w:color="auto"/>
                    <w:right w:val="none" w:sz="0" w:space="0" w:color="auto"/>
                  </w:divBdr>
                  <w:divsChild>
                    <w:div w:id="1023629768">
                      <w:marLeft w:val="0"/>
                      <w:marRight w:val="0"/>
                      <w:marTop w:val="0"/>
                      <w:marBottom w:val="0"/>
                      <w:divBdr>
                        <w:top w:val="none" w:sz="0" w:space="0" w:color="auto"/>
                        <w:left w:val="none" w:sz="0" w:space="0" w:color="auto"/>
                        <w:bottom w:val="none" w:sz="0" w:space="0" w:color="auto"/>
                        <w:right w:val="none" w:sz="0" w:space="0" w:color="auto"/>
                      </w:divBdr>
                    </w:div>
                  </w:divsChild>
                </w:div>
                <w:div w:id="1934393095">
                  <w:marLeft w:val="0"/>
                  <w:marRight w:val="0"/>
                  <w:marTop w:val="0"/>
                  <w:marBottom w:val="0"/>
                  <w:divBdr>
                    <w:top w:val="none" w:sz="0" w:space="0" w:color="auto"/>
                    <w:left w:val="none" w:sz="0" w:space="0" w:color="auto"/>
                    <w:bottom w:val="none" w:sz="0" w:space="0" w:color="auto"/>
                    <w:right w:val="none" w:sz="0" w:space="0" w:color="auto"/>
                  </w:divBdr>
                  <w:divsChild>
                    <w:div w:id="1861821642">
                      <w:marLeft w:val="0"/>
                      <w:marRight w:val="0"/>
                      <w:marTop w:val="0"/>
                      <w:marBottom w:val="0"/>
                      <w:divBdr>
                        <w:top w:val="none" w:sz="0" w:space="0" w:color="auto"/>
                        <w:left w:val="none" w:sz="0" w:space="0" w:color="auto"/>
                        <w:bottom w:val="none" w:sz="0" w:space="0" w:color="auto"/>
                        <w:right w:val="none" w:sz="0" w:space="0" w:color="auto"/>
                      </w:divBdr>
                    </w:div>
                  </w:divsChild>
                </w:div>
                <w:div w:id="1937713475">
                  <w:marLeft w:val="0"/>
                  <w:marRight w:val="0"/>
                  <w:marTop w:val="0"/>
                  <w:marBottom w:val="0"/>
                  <w:divBdr>
                    <w:top w:val="none" w:sz="0" w:space="0" w:color="auto"/>
                    <w:left w:val="none" w:sz="0" w:space="0" w:color="auto"/>
                    <w:bottom w:val="none" w:sz="0" w:space="0" w:color="auto"/>
                    <w:right w:val="none" w:sz="0" w:space="0" w:color="auto"/>
                  </w:divBdr>
                  <w:divsChild>
                    <w:div w:id="1491360417">
                      <w:marLeft w:val="0"/>
                      <w:marRight w:val="0"/>
                      <w:marTop w:val="0"/>
                      <w:marBottom w:val="0"/>
                      <w:divBdr>
                        <w:top w:val="none" w:sz="0" w:space="0" w:color="auto"/>
                        <w:left w:val="none" w:sz="0" w:space="0" w:color="auto"/>
                        <w:bottom w:val="none" w:sz="0" w:space="0" w:color="auto"/>
                        <w:right w:val="none" w:sz="0" w:space="0" w:color="auto"/>
                      </w:divBdr>
                    </w:div>
                  </w:divsChild>
                </w:div>
                <w:div w:id="1938556068">
                  <w:marLeft w:val="0"/>
                  <w:marRight w:val="0"/>
                  <w:marTop w:val="0"/>
                  <w:marBottom w:val="0"/>
                  <w:divBdr>
                    <w:top w:val="none" w:sz="0" w:space="0" w:color="auto"/>
                    <w:left w:val="none" w:sz="0" w:space="0" w:color="auto"/>
                    <w:bottom w:val="none" w:sz="0" w:space="0" w:color="auto"/>
                    <w:right w:val="none" w:sz="0" w:space="0" w:color="auto"/>
                  </w:divBdr>
                  <w:divsChild>
                    <w:div w:id="247278311">
                      <w:marLeft w:val="0"/>
                      <w:marRight w:val="0"/>
                      <w:marTop w:val="0"/>
                      <w:marBottom w:val="0"/>
                      <w:divBdr>
                        <w:top w:val="none" w:sz="0" w:space="0" w:color="auto"/>
                        <w:left w:val="none" w:sz="0" w:space="0" w:color="auto"/>
                        <w:bottom w:val="none" w:sz="0" w:space="0" w:color="auto"/>
                        <w:right w:val="none" w:sz="0" w:space="0" w:color="auto"/>
                      </w:divBdr>
                    </w:div>
                  </w:divsChild>
                </w:div>
                <w:div w:id="1943493274">
                  <w:marLeft w:val="0"/>
                  <w:marRight w:val="0"/>
                  <w:marTop w:val="0"/>
                  <w:marBottom w:val="0"/>
                  <w:divBdr>
                    <w:top w:val="none" w:sz="0" w:space="0" w:color="auto"/>
                    <w:left w:val="none" w:sz="0" w:space="0" w:color="auto"/>
                    <w:bottom w:val="none" w:sz="0" w:space="0" w:color="auto"/>
                    <w:right w:val="none" w:sz="0" w:space="0" w:color="auto"/>
                  </w:divBdr>
                  <w:divsChild>
                    <w:div w:id="1596013949">
                      <w:marLeft w:val="0"/>
                      <w:marRight w:val="0"/>
                      <w:marTop w:val="0"/>
                      <w:marBottom w:val="0"/>
                      <w:divBdr>
                        <w:top w:val="none" w:sz="0" w:space="0" w:color="auto"/>
                        <w:left w:val="none" w:sz="0" w:space="0" w:color="auto"/>
                        <w:bottom w:val="none" w:sz="0" w:space="0" w:color="auto"/>
                        <w:right w:val="none" w:sz="0" w:space="0" w:color="auto"/>
                      </w:divBdr>
                    </w:div>
                  </w:divsChild>
                </w:div>
                <w:div w:id="1946889677">
                  <w:marLeft w:val="0"/>
                  <w:marRight w:val="0"/>
                  <w:marTop w:val="0"/>
                  <w:marBottom w:val="0"/>
                  <w:divBdr>
                    <w:top w:val="none" w:sz="0" w:space="0" w:color="auto"/>
                    <w:left w:val="none" w:sz="0" w:space="0" w:color="auto"/>
                    <w:bottom w:val="none" w:sz="0" w:space="0" w:color="auto"/>
                    <w:right w:val="none" w:sz="0" w:space="0" w:color="auto"/>
                  </w:divBdr>
                  <w:divsChild>
                    <w:div w:id="799302262">
                      <w:marLeft w:val="0"/>
                      <w:marRight w:val="0"/>
                      <w:marTop w:val="0"/>
                      <w:marBottom w:val="0"/>
                      <w:divBdr>
                        <w:top w:val="none" w:sz="0" w:space="0" w:color="auto"/>
                        <w:left w:val="none" w:sz="0" w:space="0" w:color="auto"/>
                        <w:bottom w:val="none" w:sz="0" w:space="0" w:color="auto"/>
                        <w:right w:val="none" w:sz="0" w:space="0" w:color="auto"/>
                      </w:divBdr>
                    </w:div>
                  </w:divsChild>
                </w:div>
                <w:div w:id="1948845902">
                  <w:marLeft w:val="0"/>
                  <w:marRight w:val="0"/>
                  <w:marTop w:val="0"/>
                  <w:marBottom w:val="0"/>
                  <w:divBdr>
                    <w:top w:val="none" w:sz="0" w:space="0" w:color="auto"/>
                    <w:left w:val="none" w:sz="0" w:space="0" w:color="auto"/>
                    <w:bottom w:val="none" w:sz="0" w:space="0" w:color="auto"/>
                    <w:right w:val="none" w:sz="0" w:space="0" w:color="auto"/>
                  </w:divBdr>
                  <w:divsChild>
                    <w:div w:id="2044473891">
                      <w:marLeft w:val="0"/>
                      <w:marRight w:val="0"/>
                      <w:marTop w:val="0"/>
                      <w:marBottom w:val="0"/>
                      <w:divBdr>
                        <w:top w:val="none" w:sz="0" w:space="0" w:color="auto"/>
                        <w:left w:val="none" w:sz="0" w:space="0" w:color="auto"/>
                        <w:bottom w:val="none" w:sz="0" w:space="0" w:color="auto"/>
                        <w:right w:val="none" w:sz="0" w:space="0" w:color="auto"/>
                      </w:divBdr>
                    </w:div>
                  </w:divsChild>
                </w:div>
                <w:div w:id="1950551781">
                  <w:marLeft w:val="0"/>
                  <w:marRight w:val="0"/>
                  <w:marTop w:val="0"/>
                  <w:marBottom w:val="0"/>
                  <w:divBdr>
                    <w:top w:val="none" w:sz="0" w:space="0" w:color="auto"/>
                    <w:left w:val="none" w:sz="0" w:space="0" w:color="auto"/>
                    <w:bottom w:val="none" w:sz="0" w:space="0" w:color="auto"/>
                    <w:right w:val="none" w:sz="0" w:space="0" w:color="auto"/>
                  </w:divBdr>
                  <w:divsChild>
                    <w:div w:id="59910673">
                      <w:marLeft w:val="0"/>
                      <w:marRight w:val="0"/>
                      <w:marTop w:val="0"/>
                      <w:marBottom w:val="0"/>
                      <w:divBdr>
                        <w:top w:val="none" w:sz="0" w:space="0" w:color="auto"/>
                        <w:left w:val="none" w:sz="0" w:space="0" w:color="auto"/>
                        <w:bottom w:val="none" w:sz="0" w:space="0" w:color="auto"/>
                        <w:right w:val="none" w:sz="0" w:space="0" w:color="auto"/>
                      </w:divBdr>
                    </w:div>
                  </w:divsChild>
                </w:div>
                <w:div w:id="1953441491">
                  <w:marLeft w:val="0"/>
                  <w:marRight w:val="0"/>
                  <w:marTop w:val="0"/>
                  <w:marBottom w:val="0"/>
                  <w:divBdr>
                    <w:top w:val="none" w:sz="0" w:space="0" w:color="auto"/>
                    <w:left w:val="none" w:sz="0" w:space="0" w:color="auto"/>
                    <w:bottom w:val="none" w:sz="0" w:space="0" w:color="auto"/>
                    <w:right w:val="none" w:sz="0" w:space="0" w:color="auto"/>
                  </w:divBdr>
                  <w:divsChild>
                    <w:div w:id="82261649">
                      <w:marLeft w:val="0"/>
                      <w:marRight w:val="0"/>
                      <w:marTop w:val="0"/>
                      <w:marBottom w:val="0"/>
                      <w:divBdr>
                        <w:top w:val="none" w:sz="0" w:space="0" w:color="auto"/>
                        <w:left w:val="none" w:sz="0" w:space="0" w:color="auto"/>
                        <w:bottom w:val="none" w:sz="0" w:space="0" w:color="auto"/>
                        <w:right w:val="none" w:sz="0" w:space="0" w:color="auto"/>
                      </w:divBdr>
                    </w:div>
                  </w:divsChild>
                </w:div>
                <w:div w:id="1957445156">
                  <w:marLeft w:val="0"/>
                  <w:marRight w:val="0"/>
                  <w:marTop w:val="0"/>
                  <w:marBottom w:val="0"/>
                  <w:divBdr>
                    <w:top w:val="none" w:sz="0" w:space="0" w:color="auto"/>
                    <w:left w:val="none" w:sz="0" w:space="0" w:color="auto"/>
                    <w:bottom w:val="none" w:sz="0" w:space="0" w:color="auto"/>
                    <w:right w:val="none" w:sz="0" w:space="0" w:color="auto"/>
                  </w:divBdr>
                  <w:divsChild>
                    <w:div w:id="1202673026">
                      <w:marLeft w:val="0"/>
                      <w:marRight w:val="0"/>
                      <w:marTop w:val="0"/>
                      <w:marBottom w:val="0"/>
                      <w:divBdr>
                        <w:top w:val="none" w:sz="0" w:space="0" w:color="auto"/>
                        <w:left w:val="none" w:sz="0" w:space="0" w:color="auto"/>
                        <w:bottom w:val="none" w:sz="0" w:space="0" w:color="auto"/>
                        <w:right w:val="none" w:sz="0" w:space="0" w:color="auto"/>
                      </w:divBdr>
                    </w:div>
                  </w:divsChild>
                </w:div>
                <w:div w:id="1977762403">
                  <w:marLeft w:val="0"/>
                  <w:marRight w:val="0"/>
                  <w:marTop w:val="0"/>
                  <w:marBottom w:val="0"/>
                  <w:divBdr>
                    <w:top w:val="none" w:sz="0" w:space="0" w:color="auto"/>
                    <w:left w:val="none" w:sz="0" w:space="0" w:color="auto"/>
                    <w:bottom w:val="none" w:sz="0" w:space="0" w:color="auto"/>
                    <w:right w:val="none" w:sz="0" w:space="0" w:color="auto"/>
                  </w:divBdr>
                  <w:divsChild>
                    <w:div w:id="1670253362">
                      <w:marLeft w:val="0"/>
                      <w:marRight w:val="0"/>
                      <w:marTop w:val="0"/>
                      <w:marBottom w:val="0"/>
                      <w:divBdr>
                        <w:top w:val="none" w:sz="0" w:space="0" w:color="auto"/>
                        <w:left w:val="none" w:sz="0" w:space="0" w:color="auto"/>
                        <w:bottom w:val="none" w:sz="0" w:space="0" w:color="auto"/>
                        <w:right w:val="none" w:sz="0" w:space="0" w:color="auto"/>
                      </w:divBdr>
                    </w:div>
                  </w:divsChild>
                </w:div>
                <w:div w:id="1978339355">
                  <w:marLeft w:val="0"/>
                  <w:marRight w:val="0"/>
                  <w:marTop w:val="0"/>
                  <w:marBottom w:val="0"/>
                  <w:divBdr>
                    <w:top w:val="none" w:sz="0" w:space="0" w:color="auto"/>
                    <w:left w:val="none" w:sz="0" w:space="0" w:color="auto"/>
                    <w:bottom w:val="none" w:sz="0" w:space="0" w:color="auto"/>
                    <w:right w:val="none" w:sz="0" w:space="0" w:color="auto"/>
                  </w:divBdr>
                  <w:divsChild>
                    <w:div w:id="2062363430">
                      <w:marLeft w:val="0"/>
                      <w:marRight w:val="0"/>
                      <w:marTop w:val="0"/>
                      <w:marBottom w:val="0"/>
                      <w:divBdr>
                        <w:top w:val="none" w:sz="0" w:space="0" w:color="auto"/>
                        <w:left w:val="none" w:sz="0" w:space="0" w:color="auto"/>
                        <w:bottom w:val="none" w:sz="0" w:space="0" w:color="auto"/>
                        <w:right w:val="none" w:sz="0" w:space="0" w:color="auto"/>
                      </w:divBdr>
                    </w:div>
                  </w:divsChild>
                </w:div>
                <w:div w:id="1979454441">
                  <w:marLeft w:val="0"/>
                  <w:marRight w:val="0"/>
                  <w:marTop w:val="0"/>
                  <w:marBottom w:val="0"/>
                  <w:divBdr>
                    <w:top w:val="none" w:sz="0" w:space="0" w:color="auto"/>
                    <w:left w:val="none" w:sz="0" w:space="0" w:color="auto"/>
                    <w:bottom w:val="none" w:sz="0" w:space="0" w:color="auto"/>
                    <w:right w:val="none" w:sz="0" w:space="0" w:color="auto"/>
                  </w:divBdr>
                  <w:divsChild>
                    <w:div w:id="1407217348">
                      <w:marLeft w:val="0"/>
                      <w:marRight w:val="0"/>
                      <w:marTop w:val="0"/>
                      <w:marBottom w:val="0"/>
                      <w:divBdr>
                        <w:top w:val="none" w:sz="0" w:space="0" w:color="auto"/>
                        <w:left w:val="none" w:sz="0" w:space="0" w:color="auto"/>
                        <w:bottom w:val="none" w:sz="0" w:space="0" w:color="auto"/>
                        <w:right w:val="none" w:sz="0" w:space="0" w:color="auto"/>
                      </w:divBdr>
                    </w:div>
                  </w:divsChild>
                </w:div>
                <w:div w:id="1983846446">
                  <w:marLeft w:val="0"/>
                  <w:marRight w:val="0"/>
                  <w:marTop w:val="0"/>
                  <w:marBottom w:val="0"/>
                  <w:divBdr>
                    <w:top w:val="none" w:sz="0" w:space="0" w:color="auto"/>
                    <w:left w:val="none" w:sz="0" w:space="0" w:color="auto"/>
                    <w:bottom w:val="none" w:sz="0" w:space="0" w:color="auto"/>
                    <w:right w:val="none" w:sz="0" w:space="0" w:color="auto"/>
                  </w:divBdr>
                  <w:divsChild>
                    <w:div w:id="897669363">
                      <w:marLeft w:val="0"/>
                      <w:marRight w:val="0"/>
                      <w:marTop w:val="0"/>
                      <w:marBottom w:val="0"/>
                      <w:divBdr>
                        <w:top w:val="none" w:sz="0" w:space="0" w:color="auto"/>
                        <w:left w:val="none" w:sz="0" w:space="0" w:color="auto"/>
                        <w:bottom w:val="none" w:sz="0" w:space="0" w:color="auto"/>
                        <w:right w:val="none" w:sz="0" w:space="0" w:color="auto"/>
                      </w:divBdr>
                    </w:div>
                  </w:divsChild>
                </w:div>
                <w:div w:id="1991328373">
                  <w:marLeft w:val="0"/>
                  <w:marRight w:val="0"/>
                  <w:marTop w:val="0"/>
                  <w:marBottom w:val="0"/>
                  <w:divBdr>
                    <w:top w:val="none" w:sz="0" w:space="0" w:color="auto"/>
                    <w:left w:val="none" w:sz="0" w:space="0" w:color="auto"/>
                    <w:bottom w:val="none" w:sz="0" w:space="0" w:color="auto"/>
                    <w:right w:val="none" w:sz="0" w:space="0" w:color="auto"/>
                  </w:divBdr>
                  <w:divsChild>
                    <w:div w:id="24645336">
                      <w:marLeft w:val="0"/>
                      <w:marRight w:val="0"/>
                      <w:marTop w:val="0"/>
                      <w:marBottom w:val="0"/>
                      <w:divBdr>
                        <w:top w:val="none" w:sz="0" w:space="0" w:color="auto"/>
                        <w:left w:val="none" w:sz="0" w:space="0" w:color="auto"/>
                        <w:bottom w:val="none" w:sz="0" w:space="0" w:color="auto"/>
                        <w:right w:val="none" w:sz="0" w:space="0" w:color="auto"/>
                      </w:divBdr>
                    </w:div>
                  </w:divsChild>
                </w:div>
                <w:div w:id="1993634458">
                  <w:marLeft w:val="0"/>
                  <w:marRight w:val="0"/>
                  <w:marTop w:val="0"/>
                  <w:marBottom w:val="0"/>
                  <w:divBdr>
                    <w:top w:val="none" w:sz="0" w:space="0" w:color="auto"/>
                    <w:left w:val="none" w:sz="0" w:space="0" w:color="auto"/>
                    <w:bottom w:val="none" w:sz="0" w:space="0" w:color="auto"/>
                    <w:right w:val="none" w:sz="0" w:space="0" w:color="auto"/>
                  </w:divBdr>
                  <w:divsChild>
                    <w:div w:id="2061318775">
                      <w:marLeft w:val="0"/>
                      <w:marRight w:val="0"/>
                      <w:marTop w:val="0"/>
                      <w:marBottom w:val="0"/>
                      <w:divBdr>
                        <w:top w:val="none" w:sz="0" w:space="0" w:color="auto"/>
                        <w:left w:val="none" w:sz="0" w:space="0" w:color="auto"/>
                        <w:bottom w:val="none" w:sz="0" w:space="0" w:color="auto"/>
                        <w:right w:val="none" w:sz="0" w:space="0" w:color="auto"/>
                      </w:divBdr>
                    </w:div>
                  </w:divsChild>
                </w:div>
                <w:div w:id="2000309483">
                  <w:marLeft w:val="0"/>
                  <w:marRight w:val="0"/>
                  <w:marTop w:val="0"/>
                  <w:marBottom w:val="0"/>
                  <w:divBdr>
                    <w:top w:val="none" w:sz="0" w:space="0" w:color="auto"/>
                    <w:left w:val="none" w:sz="0" w:space="0" w:color="auto"/>
                    <w:bottom w:val="none" w:sz="0" w:space="0" w:color="auto"/>
                    <w:right w:val="none" w:sz="0" w:space="0" w:color="auto"/>
                  </w:divBdr>
                  <w:divsChild>
                    <w:div w:id="1520702235">
                      <w:marLeft w:val="0"/>
                      <w:marRight w:val="0"/>
                      <w:marTop w:val="0"/>
                      <w:marBottom w:val="0"/>
                      <w:divBdr>
                        <w:top w:val="none" w:sz="0" w:space="0" w:color="auto"/>
                        <w:left w:val="none" w:sz="0" w:space="0" w:color="auto"/>
                        <w:bottom w:val="none" w:sz="0" w:space="0" w:color="auto"/>
                        <w:right w:val="none" w:sz="0" w:space="0" w:color="auto"/>
                      </w:divBdr>
                    </w:div>
                  </w:divsChild>
                </w:div>
                <w:div w:id="2007853331">
                  <w:marLeft w:val="0"/>
                  <w:marRight w:val="0"/>
                  <w:marTop w:val="0"/>
                  <w:marBottom w:val="0"/>
                  <w:divBdr>
                    <w:top w:val="none" w:sz="0" w:space="0" w:color="auto"/>
                    <w:left w:val="none" w:sz="0" w:space="0" w:color="auto"/>
                    <w:bottom w:val="none" w:sz="0" w:space="0" w:color="auto"/>
                    <w:right w:val="none" w:sz="0" w:space="0" w:color="auto"/>
                  </w:divBdr>
                  <w:divsChild>
                    <w:div w:id="1409041226">
                      <w:marLeft w:val="0"/>
                      <w:marRight w:val="0"/>
                      <w:marTop w:val="0"/>
                      <w:marBottom w:val="0"/>
                      <w:divBdr>
                        <w:top w:val="none" w:sz="0" w:space="0" w:color="auto"/>
                        <w:left w:val="none" w:sz="0" w:space="0" w:color="auto"/>
                        <w:bottom w:val="none" w:sz="0" w:space="0" w:color="auto"/>
                        <w:right w:val="none" w:sz="0" w:space="0" w:color="auto"/>
                      </w:divBdr>
                    </w:div>
                  </w:divsChild>
                </w:div>
                <w:div w:id="2015261340">
                  <w:marLeft w:val="0"/>
                  <w:marRight w:val="0"/>
                  <w:marTop w:val="0"/>
                  <w:marBottom w:val="0"/>
                  <w:divBdr>
                    <w:top w:val="none" w:sz="0" w:space="0" w:color="auto"/>
                    <w:left w:val="none" w:sz="0" w:space="0" w:color="auto"/>
                    <w:bottom w:val="none" w:sz="0" w:space="0" w:color="auto"/>
                    <w:right w:val="none" w:sz="0" w:space="0" w:color="auto"/>
                  </w:divBdr>
                  <w:divsChild>
                    <w:div w:id="1206528656">
                      <w:marLeft w:val="0"/>
                      <w:marRight w:val="0"/>
                      <w:marTop w:val="0"/>
                      <w:marBottom w:val="0"/>
                      <w:divBdr>
                        <w:top w:val="none" w:sz="0" w:space="0" w:color="auto"/>
                        <w:left w:val="none" w:sz="0" w:space="0" w:color="auto"/>
                        <w:bottom w:val="none" w:sz="0" w:space="0" w:color="auto"/>
                        <w:right w:val="none" w:sz="0" w:space="0" w:color="auto"/>
                      </w:divBdr>
                    </w:div>
                  </w:divsChild>
                </w:div>
                <w:div w:id="2016689208">
                  <w:marLeft w:val="0"/>
                  <w:marRight w:val="0"/>
                  <w:marTop w:val="0"/>
                  <w:marBottom w:val="0"/>
                  <w:divBdr>
                    <w:top w:val="none" w:sz="0" w:space="0" w:color="auto"/>
                    <w:left w:val="none" w:sz="0" w:space="0" w:color="auto"/>
                    <w:bottom w:val="none" w:sz="0" w:space="0" w:color="auto"/>
                    <w:right w:val="none" w:sz="0" w:space="0" w:color="auto"/>
                  </w:divBdr>
                  <w:divsChild>
                    <w:div w:id="2001224882">
                      <w:marLeft w:val="0"/>
                      <w:marRight w:val="0"/>
                      <w:marTop w:val="0"/>
                      <w:marBottom w:val="0"/>
                      <w:divBdr>
                        <w:top w:val="none" w:sz="0" w:space="0" w:color="auto"/>
                        <w:left w:val="none" w:sz="0" w:space="0" w:color="auto"/>
                        <w:bottom w:val="none" w:sz="0" w:space="0" w:color="auto"/>
                        <w:right w:val="none" w:sz="0" w:space="0" w:color="auto"/>
                      </w:divBdr>
                    </w:div>
                  </w:divsChild>
                </w:div>
                <w:div w:id="2027435780">
                  <w:marLeft w:val="0"/>
                  <w:marRight w:val="0"/>
                  <w:marTop w:val="0"/>
                  <w:marBottom w:val="0"/>
                  <w:divBdr>
                    <w:top w:val="none" w:sz="0" w:space="0" w:color="auto"/>
                    <w:left w:val="none" w:sz="0" w:space="0" w:color="auto"/>
                    <w:bottom w:val="none" w:sz="0" w:space="0" w:color="auto"/>
                    <w:right w:val="none" w:sz="0" w:space="0" w:color="auto"/>
                  </w:divBdr>
                  <w:divsChild>
                    <w:div w:id="795950444">
                      <w:marLeft w:val="0"/>
                      <w:marRight w:val="0"/>
                      <w:marTop w:val="0"/>
                      <w:marBottom w:val="0"/>
                      <w:divBdr>
                        <w:top w:val="none" w:sz="0" w:space="0" w:color="auto"/>
                        <w:left w:val="none" w:sz="0" w:space="0" w:color="auto"/>
                        <w:bottom w:val="none" w:sz="0" w:space="0" w:color="auto"/>
                        <w:right w:val="none" w:sz="0" w:space="0" w:color="auto"/>
                      </w:divBdr>
                    </w:div>
                  </w:divsChild>
                </w:div>
                <w:div w:id="2027752174">
                  <w:marLeft w:val="0"/>
                  <w:marRight w:val="0"/>
                  <w:marTop w:val="0"/>
                  <w:marBottom w:val="0"/>
                  <w:divBdr>
                    <w:top w:val="none" w:sz="0" w:space="0" w:color="auto"/>
                    <w:left w:val="none" w:sz="0" w:space="0" w:color="auto"/>
                    <w:bottom w:val="none" w:sz="0" w:space="0" w:color="auto"/>
                    <w:right w:val="none" w:sz="0" w:space="0" w:color="auto"/>
                  </w:divBdr>
                  <w:divsChild>
                    <w:div w:id="706879386">
                      <w:marLeft w:val="0"/>
                      <w:marRight w:val="0"/>
                      <w:marTop w:val="0"/>
                      <w:marBottom w:val="0"/>
                      <w:divBdr>
                        <w:top w:val="none" w:sz="0" w:space="0" w:color="auto"/>
                        <w:left w:val="none" w:sz="0" w:space="0" w:color="auto"/>
                        <w:bottom w:val="none" w:sz="0" w:space="0" w:color="auto"/>
                        <w:right w:val="none" w:sz="0" w:space="0" w:color="auto"/>
                      </w:divBdr>
                    </w:div>
                  </w:divsChild>
                </w:div>
                <w:div w:id="2030643981">
                  <w:marLeft w:val="0"/>
                  <w:marRight w:val="0"/>
                  <w:marTop w:val="0"/>
                  <w:marBottom w:val="0"/>
                  <w:divBdr>
                    <w:top w:val="none" w:sz="0" w:space="0" w:color="auto"/>
                    <w:left w:val="none" w:sz="0" w:space="0" w:color="auto"/>
                    <w:bottom w:val="none" w:sz="0" w:space="0" w:color="auto"/>
                    <w:right w:val="none" w:sz="0" w:space="0" w:color="auto"/>
                  </w:divBdr>
                  <w:divsChild>
                    <w:div w:id="1163592340">
                      <w:marLeft w:val="0"/>
                      <w:marRight w:val="0"/>
                      <w:marTop w:val="0"/>
                      <w:marBottom w:val="0"/>
                      <w:divBdr>
                        <w:top w:val="none" w:sz="0" w:space="0" w:color="auto"/>
                        <w:left w:val="none" w:sz="0" w:space="0" w:color="auto"/>
                        <w:bottom w:val="none" w:sz="0" w:space="0" w:color="auto"/>
                        <w:right w:val="none" w:sz="0" w:space="0" w:color="auto"/>
                      </w:divBdr>
                    </w:div>
                  </w:divsChild>
                </w:div>
                <w:div w:id="2032603201">
                  <w:marLeft w:val="0"/>
                  <w:marRight w:val="0"/>
                  <w:marTop w:val="0"/>
                  <w:marBottom w:val="0"/>
                  <w:divBdr>
                    <w:top w:val="none" w:sz="0" w:space="0" w:color="auto"/>
                    <w:left w:val="none" w:sz="0" w:space="0" w:color="auto"/>
                    <w:bottom w:val="none" w:sz="0" w:space="0" w:color="auto"/>
                    <w:right w:val="none" w:sz="0" w:space="0" w:color="auto"/>
                  </w:divBdr>
                  <w:divsChild>
                    <w:div w:id="204413934">
                      <w:marLeft w:val="0"/>
                      <w:marRight w:val="0"/>
                      <w:marTop w:val="0"/>
                      <w:marBottom w:val="0"/>
                      <w:divBdr>
                        <w:top w:val="none" w:sz="0" w:space="0" w:color="auto"/>
                        <w:left w:val="none" w:sz="0" w:space="0" w:color="auto"/>
                        <w:bottom w:val="none" w:sz="0" w:space="0" w:color="auto"/>
                        <w:right w:val="none" w:sz="0" w:space="0" w:color="auto"/>
                      </w:divBdr>
                    </w:div>
                  </w:divsChild>
                </w:div>
                <w:div w:id="2033221523">
                  <w:marLeft w:val="0"/>
                  <w:marRight w:val="0"/>
                  <w:marTop w:val="0"/>
                  <w:marBottom w:val="0"/>
                  <w:divBdr>
                    <w:top w:val="none" w:sz="0" w:space="0" w:color="auto"/>
                    <w:left w:val="none" w:sz="0" w:space="0" w:color="auto"/>
                    <w:bottom w:val="none" w:sz="0" w:space="0" w:color="auto"/>
                    <w:right w:val="none" w:sz="0" w:space="0" w:color="auto"/>
                  </w:divBdr>
                  <w:divsChild>
                    <w:div w:id="478959248">
                      <w:marLeft w:val="0"/>
                      <w:marRight w:val="0"/>
                      <w:marTop w:val="0"/>
                      <w:marBottom w:val="0"/>
                      <w:divBdr>
                        <w:top w:val="none" w:sz="0" w:space="0" w:color="auto"/>
                        <w:left w:val="none" w:sz="0" w:space="0" w:color="auto"/>
                        <w:bottom w:val="none" w:sz="0" w:space="0" w:color="auto"/>
                        <w:right w:val="none" w:sz="0" w:space="0" w:color="auto"/>
                      </w:divBdr>
                    </w:div>
                  </w:divsChild>
                </w:div>
                <w:div w:id="2035492632">
                  <w:marLeft w:val="0"/>
                  <w:marRight w:val="0"/>
                  <w:marTop w:val="0"/>
                  <w:marBottom w:val="0"/>
                  <w:divBdr>
                    <w:top w:val="none" w:sz="0" w:space="0" w:color="auto"/>
                    <w:left w:val="none" w:sz="0" w:space="0" w:color="auto"/>
                    <w:bottom w:val="none" w:sz="0" w:space="0" w:color="auto"/>
                    <w:right w:val="none" w:sz="0" w:space="0" w:color="auto"/>
                  </w:divBdr>
                  <w:divsChild>
                    <w:div w:id="1314331646">
                      <w:marLeft w:val="0"/>
                      <w:marRight w:val="0"/>
                      <w:marTop w:val="0"/>
                      <w:marBottom w:val="0"/>
                      <w:divBdr>
                        <w:top w:val="none" w:sz="0" w:space="0" w:color="auto"/>
                        <w:left w:val="none" w:sz="0" w:space="0" w:color="auto"/>
                        <w:bottom w:val="none" w:sz="0" w:space="0" w:color="auto"/>
                        <w:right w:val="none" w:sz="0" w:space="0" w:color="auto"/>
                      </w:divBdr>
                    </w:div>
                  </w:divsChild>
                </w:div>
                <w:div w:id="2042129459">
                  <w:marLeft w:val="0"/>
                  <w:marRight w:val="0"/>
                  <w:marTop w:val="0"/>
                  <w:marBottom w:val="0"/>
                  <w:divBdr>
                    <w:top w:val="none" w:sz="0" w:space="0" w:color="auto"/>
                    <w:left w:val="none" w:sz="0" w:space="0" w:color="auto"/>
                    <w:bottom w:val="none" w:sz="0" w:space="0" w:color="auto"/>
                    <w:right w:val="none" w:sz="0" w:space="0" w:color="auto"/>
                  </w:divBdr>
                  <w:divsChild>
                    <w:div w:id="672414557">
                      <w:marLeft w:val="0"/>
                      <w:marRight w:val="0"/>
                      <w:marTop w:val="0"/>
                      <w:marBottom w:val="0"/>
                      <w:divBdr>
                        <w:top w:val="none" w:sz="0" w:space="0" w:color="auto"/>
                        <w:left w:val="none" w:sz="0" w:space="0" w:color="auto"/>
                        <w:bottom w:val="none" w:sz="0" w:space="0" w:color="auto"/>
                        <w:right w:val="none" w:sz="0" w:space="0" w:color="auto"/>
                      </w:divBdr>
                    </w:div>
                  </w:divsChild>
                </w:div>
                <w:div w:id="2046826238">
                  <w:marLeft w:val="0"/>
                  <w:marRight w:val="0"/>
                  <w:marTop w:val="0"/>
                  <w:marBottom w:val="0"/>
                  <w:divBdr>
                    <w:top w:val="none" w:sz="0" w:space="0" w:color="auto"/>
                    <w:left w:val="none" w:sz="0" w:space="0" w:color="auto"/>
                    <w:bottom w:val="none" w:sz="0" w:space="0" w:color="auto"/>
                    <w:right w:val="none" w:sz="0" w:space="0" w:color="auto"/>
                  </w:divBdr>
                  <w:divsChild>
                    <w:div w:id="1840343421">
                      <w:marLeft w:val="0"/>
                      <w:marRight w:val="0"/>
                      <w:marTop w:val="0"/>
                      <w:marBottom w:val="0"/>
                      <w:divBdr>
                        <w:top w:val="none" w:sz="0" w:space="0" w:color="auto"/>
                        <w:left w:val="none" w:sz="0" w:space="0" w:color="auto"/>
                        <w:bottom w:val="none" w:sz="0" w:space="0" w:color="auto"/>
                        <w:right w:val="none" w:sz="0" w:space="0" w:color="auto"/>
                      </w:divBdr>
                    </w:div>
                  </w:divsChild>
                </w:div>
                <w:div w:id="2051416494">
                  <w:marLeft w:val="0"/>
                  <w:marRight w:val="0"/>
                  <w:marTop w:val="0"/>
                  <w:marBottom w:val="0"/>
                  <w:divBdr>
                    <w:top w:val="none" w:sz="0" w:space="0" w:color="auto"/>
                    <w:left w:val="none" w:sz="0" w:space="0" w:color="auto"/>
                    <w:bottom w:val="none" w:sz="0" w:space="0" w:color="auto"/>
                    <w:right w:val="none" w:sz="0" w:space="0" w:color="auto"/>
                  </w:divBdr>
                  <w:divsChild>
                    <w:div w:id="343285742">
                      <w:marLeft w:val="0"/>
                      <w:marRight w:val="0"/>
                      <w:marTop w:val="0"/>
                      <w:marBottom w:val="0"/>
                      <w:divBdr>
                        <w:top w:val="none" w:sz="0" w:space="0" w:color="auto"/>
                        <w:left w:val="none" w:sz="0" w:space="0" w:color="auto"/>
                        <w:bottom w:val="none" w:sz="0" w:space="0" w:color="auto"/>
                        <w:right w:val="none" w:sz="0" w:space="0" w:color="auto"/>
                      </w:divBdr>
                    </w:div>
                  </w:divsChild>
                </w:div>
                <w:div w:id="2069692693">
                  <w:marLeft w:val="0"/>
                  <w:marRight w:val="0"/>
                  <w:marTop w:val="0"/>
                  <w:marBottom w:val="0"/>
                  <w:divBdr>
                    <w:top w:val="none" w:sz="0" w:space="0" w:color="auto"/>
                    <w:left w:val="none" w:sz="0" w:space="0" w:color="auto"/>
                    <w:bottom w:val="none" w:sz="0" w:space="0" w:color="auto"/>
                    <w:right w:val="none" w:sz="0" w:space="0" w:color="auto"/>
                  </w:divBdr>
                  <w:divsChild>
                    <w:div w:id="1574008069">
                      <w:marLeft w:val="0"/>
                      <w:marRight w:val="0"/>
                      <w:marTop w:val="0"/>
                      <w:marBottom w:val="0"/>
                      <w:divBdr>
                        <w:top w:val="none" w:sz="0" w:space="0" w:color="auto"/>
                        <w:left w:val="none" w:sz="0" w:space="0" w:color="auto"/>
                        <w:bottom w:val="none" w:sz="0" w:space="0" w:color="auto"/>
                        <w:right w:val="none" w:sz="0" w:space="0" w:color="auto"/>
                      </w:divBdr>
                    </w:div>
                  </w:divsChild>
                </w:div>
                <w:div w:id="2074624181">
                  <w:marLeft w:val="0"/>
                  <w:marRight w:val="0"/>
                  <w:marTop w:val="0"/>
                  <w:marBottom w:val="0"/>
                  <w:divBdr>
                    <w:top w:val="none" w:sz="0" w:space="0" w:color="auto"/>
                    <w:left w:val="none" w:sz="0" w:space="0" w:color="auto"/>
                    <w:bottom w:val="none" w:sz="0" w:space="0" w:color="auto"/>
                    <w:right w:val="none" w:sz="0" w:space="0" w:color="auto"/>
                  </w:divBdr>
                  <w:divsChild>
                    <w:div w:id="1262420889">
                      <w:marLeft w:val="0"/>
                      <w:marRight w:val="0"/>
                      <w:marTop w:val="0"/>
                      <w:marBottom w:val="0"/>
                      <w:divBdr>
                        <w:top w:val="none" w:sz="0" w:space="0" w:color="auto"/>
                        <w:left w:val="none" w:sz="0" w:space="0" w:color="auto"/>
                        <w:bottom w:val="none" w:sz="0" w:space="0" w:color="auto"/>
                        <w:right w:val="none" w:sz="0" w:space="0" w:color="auto"/>
                      </w:divBdr>
                    </w:div>
                  </w:divsChild>
                </w:div>
                <w:div w:id="2077971729">
                  <w:marLeft w:val="0"/>
                  <w:marRight w:val="0"/>
                  <w:marTop w:val="0"/>
                  <w:marBottom w:val="0"/>
                  <w:divBdr>
                    <w:top w:val="none" w:sz="0" w:space="0" w:color="auto"/>
                    <w:left w:val="none" w:sz="0" w:space="0" w:color="auto"/>
                    <w:bottom w:val="none" w:sz="0" w:space="0" w:color="auto"/>
                    <w:right w:val="none" w:sz="0" w:space="0" w:color="auto"/>
                  </w:divBdr>
                  <w:divsChild>
                    <w:div w:id="90400171">
                      <w:marLeft w:val="0"/>
                      <w:marRight w:val="0"/>
                      <w:marTop w:val="0"/>
                      <w:marBottom w:val="0"/>
                      <w:divBdr>
                        <w:top w:val="none" w:sz="0" w:space="0" w:color="auto"/>
                        <w:left w:val="none" w:sz="0" w:space="0" w:color="auto"/>
                        <w:bottom w:val="none" w:sz="0" w:space="0" w:color="auto"/>
                        <w:right w:val="none" w:sz="0" w:space="0" w:color="auto"/>
                      </w:divBdr>
                    </w:div>
                  </w:divsChild>
                </w:div>
                <w:div w:id="2082020318">
                  <w:marLeft w:val="0"/>
                  <w:marRight w:val="0"/>
                  <w:marTop w:val="0"/>
                  <w:marBottom w:val="0"/>
                  <w:divBdr>
                    <w:top w:val="none" w:sz="0" w:space="0" w:color="auto"/>
                    <w:left w:val="none" w:sz="0" w:space="0" w:color="auto"/>
                    <w:bottom w:val="none" w:sz="0" w:space="0" w:color="auto"/>
                    <w:right w:val="none" w:sz="0" w:space="0" w:color="auto"/>
                  </w:divBdr>
                  <w:divsChild>
                    <w:div w:id="213201733">
                      <w:marLeft w:val="0"/>
                      <w:marRight w:val="0"/>
                      <w:marTop w:val="0"/>
                      <w:marBottom w:val="0"/>
                      <w:divBdr>
                        <w:top w:val="none" w:sz="0" w:space="0" w:color="auto"/>
                        <w:left w:val="none" w:sz="0" w:space="0" w:color="auto"/>
                        <w:bottom w:val="none" w:sz="0" w:space="0" w:color="auto"/>
                        <w:right w:val="none" w:sz="0" w:space="0" w:color="auto"/>
                      </w:divBdr>
                    </w:div>
                  </w:divsChild>
                </w:div>
                <w:div w:id="2083795754">
                  <w:marLeft w:val="0"/>
                  <w:marRight w:val="0"/>
                  <w:marTop w:val="0"/>
                  <w:marBottom w:val="0"/>
                  <w:divBdr>
                    <w:top w:val="none" w:sz="0" w:space="0" w:color="auto"/>
                    <w:left w:val="none" w:sz="0" w:space="0" w:color="auto"/>
                    <w:bottom w:val="none" w:sz="0" w:space="0" w:color="auto"/>
                    <w:right w:val="none" w:sz="0" w:space="0" w:color="auto"/>
                  </w:divBdr>
                  <w:divsChild>
                    <w:div w:id="1284577568">
                      <w:marLeft w:val="0"/>
                      <w:marRight w:val="0"/>
                      <w:marTop w:val="0"/>
                      <w:marBottom w:val="0"/>
                      <w:divBdr>
                        <w:top w:val="none" w:sz="0" w:space="0" w:color="auto"/>
                        <w:left w:val="none" w:sz="0" w:space="0" w:color="auto"/>
                        <w:bottom w:val="none" w:sz="0" w:space="0" w:color="auto"/>
                        <w:right w:val="none" w:sz="0" w:space="0" w:color="auto"/>
                      </w:divBdr>
                    </w:div>
                  </w:divsChild>
                </w:div>
                <w:div w:id="2086875850">
                  <w:marLeft w:val="0"/>
                  <w:marRight w:val="0"/>
                  <w:marTop w:val="0"/>
                  <w:marBottom w:val="0"/>
                  <w:divBdr>
                    <w:top w:val="none" w:sz="0" w:space="0" w:color="auto"/>
                    <w:left w:val="none" w:sz="0" w:space="0" w:color="auto"/>
                    <w:bottom w:val="none" w:sz="0" w:space="0" w:color="auto"/>
                    <w:right w:val="none" w:sz="0" w:space="0" w:color="auto"/>
                  </w:divBdr>
                  <w:divsChild>
                    <w:div w:id="1851752320">
                      <w:marLeft w:val="0"/>
                      <w:marRight w:val="0"/>
                      <w:marTop w:val="0"/>
                      <w:marBottom w:val="0"/>
                      <w:divBdr>
                        <w:top w:val="none" w:sz="0" w:space="0" w:color="auto"/>
                        <w:left w:val="none" w:sz="0" w:space="0" w:color="auto"/>
                        <w:bottom w:val="none" w:sz="0" w:space="0" w:color="auto"/>
                        <w:right w:val="none" w:sz="0" w:space="0" w:color="auto"/>
                      </w:divBdr>
                    </w:div>
                  </w:divsChild>
                </w:div>
                <w:div w:id="2096130452">
                  <w:marLeft w:val="0"/>
                  <w:marRight w:val="0"/>
                  <w:marTop w:val="0"/>
                  <w:marBottom w:val="0"/>
                  <w:divBdr>
                    <w:top w:val="none" w:sz="0" w:space="0" w:color="auto"/>
                    <w:left w:val="none" w:sz="0" w:space="0" w:color="auto"/>
                    <w:bottom w:val="none" w:sz="0" w:space="0" w:color="auto"/>
                    <w:right w:val="none" w:sz="0" w:space="0" w:color="auto"/>
                  </w:divBdr>
                  <w:divsChild>
                    <w:div w:id="1426458681">
                      <w:marLeft w:val="0"/>
                      <w:marRight w:val="0"/>
                      <w:marTop w:val="0"/>
                      <w:marBottom w:val="0"/>
                      <w:divBdr>
                        <w:top w:val="none" w:sz="0" w:space="0" w:color="auto"/>
                        <w:left w:val="none" w:sz="0" w:space="0" w:color="auto"/>
                        <w:bottom w:val="none" w:sz="0" w:space="0" w:color="auto"/>
                        <w:right w:val="none" w:sz="0" w:space="0" w:color="auto"/>
                      </w:divBdr>
                    </w:div>
                  </w:divsChild>
                </w:div>
                <w:div w:id="2097702115">
                  <w:marLeft w:val="0"/>
                  <w:marRight w:val="0"/>
                  <w:marTop w:val="0"/>
                  <w:marBottom w:val="0"/>
                  <w:divBdr>
                    <w:top w:val="none" w:sz="0" w:space="0" w:color="auto"/>
                    <w:left w:val="none" w:sz="0" w:space="0" w:color="auto"/>
                    <w:bottom w:val="none" w:sz="0" w:space="0" w:color="auto"/>
                    <w:right w:val="none" w:sz="0" w:space="0" w:color="auto"/>
                  </w:divBdr>
                  <w:divsChild>
                    <w:div w:id="871453572">
                      <w:marLeft w:val="0"/>
                      <w:marRight w:val="0"/>
                      <w:marTop w:val="0"/>
                      <w:marBottom w:val="0"/>
                      <w:divBdr>
                        <w:top w:val="none" w:sz="0" w:space="0" w:color="auto"/>
                        <w:left w:val="none" w:sz="0" w:space="0" w:color="auto"/>
                        <w:bottom w:val="none" w:sz="0" w:space="0" w:color="auto"/>
                        <w:right w:val="none" w:sz="0" w:space="0" w:color="auto"/>
                      </w:divBdr>
                    </w:div>
                  </w:divsChild>
                </w:div>
                <w:div w:id="2098944345">
                  <w:marLeft w:val="0"/>
                  <w:marRight w:val="0"/>
                  <w:marTop w:val="0"/>
                  <w:marBottom w:val="0"/>
                  <w:divBdr>
                    <w:top w:val="none" w:sz="0" w:space="0" w:color="auto"/>
                    <w:left w:val="none" w:sz="0" w:space="0" w:color="auto"/>
                    <w:bottom w:val="none" w:sz="0" w:space="0" w:color="auto"/>
                    <w:right w:val="none" w:sz="0" w:space="0" w:color="auto"/>
                  </w:divBdr>
                  <w:divsChild>
                    <w:div w:id="1662350748">
                      <w:marLeft w:val="0"/>
                      <w:marRight w:val="0"/>
                      <w:marTop w:val="0"/>
                      <w:marBottom w:val="0"/>
                      <w:divBdr>
                        <w:top w:val="none" w:sz="0" w:space="0" w:color="auto"/>
                        <w:left w:val="none" w:sz="0" w:space="0" w:color="auto"/>
                        <w:bottom w:val="none" w:sz="0" w:space="0" w:color="auto"/>
                        <w:right w:val="none" w:sz="0" w:space="0" w:color="auto"/>
                      </w:divBdr>
                    </w:div>
                  </w:divsChild>
                </w:div>
                <w:div w:id="2099789289">
                  <w:marLeft w:val="0"/>
                  <w:marRight w:val="0"/>
                  <w:marTop w:val="0"/>
                  <w:marBottom w:val="0"/>
                  <w:divBdr>
                    <w:top w:val="none" w:sz="0" w:space="0" w:color="auto"/>
                    <w:left w:val="none" w:sz="0" w:space="0" w:color="auto"/>
                    <w:bottom w:val="none" w:sz="0" w:space="0" w:color="auto"/>
                    <w:right w:val="none" w:sz="0" w:space="0" w:color="auto"/>
                  </w:divBdr>
                  <w:divsChild>
                    <w:div w:id="968900128">
                      <w:marLeft w:val="0"/>
                      <w:marRight w:val="0"/>
                      <w:marTop w:val="0"/>
                      <w:marBottom w:val="0"/>
                      <w:divBdr>
                        <w:top w:val="none" w:sz="0" w:space="0" w:color="auto"/>
                        <w:left w:val="none" w:sz="0" w:space="0" w:color="auto"/>
                        <w:bottom w:val="none" w:sz="0" w:space="0" w:color="auto"/>
                        <w:right w:val="none" w:sz="0" w:space="0" w:color="auto"/>
                      </w:divBdr>
                    </w:div>
                  </w:divsChild>
                </w:div>
                <w:div w:id="2101483258">
                  <w:marLeft w:val="0"/>
                  <w:marRight w:val="0"/>
                  <w:marTop w:val="0"/>
                  <w:marBottom w:val="0"/>
                  <w:divBdr>
                    <w:top w:val="none" w:sz="0" w:space="0" w:color="auto"/>
                    <w:left w:val="none" w:sz="0" w:space="0" w:color="auto"/>
                    <w:bottom w:val="none" w:sz="0" w:space="0" w:color="auto"/>
                    <w:right w:val="none" w:sz="0" w:space="0" w:color="auto"/>
                  </w:divBdr>
                  <w:divsChild>
                    <w:div w:id="833689621">
                      <w:marLeft w:val="0"/>
                      <w:marRight w:val="0"/>
                      <w:marTop w:val="0"/>
                      <w:marBottom w:val="0"/>
                      <w:divBdr>
                        <w:top w:val="none" w:sz="0" w:space="0" w:color="auto"/>
                        <w:left w:val="none" w:sz="0" w:space="0" w:color="auto"/>
                        <w:bottom w:val="none" w:sz="0" w:space="0" w:color="auto"/>
                        <w:right w:val="none" w:sz="0" w:space="0" w:color="auto"/>
                      </w:divBdr>
                    </w:div>
                  </w:divsChild>
                </w:div>
                <w:div w:id="2105496403">
                  <w:marLeft w:val="0"/>
                  <w:marRight w:val="0"/>
                  <w:marTop w:val="0"/>
                  <w:marBottom w:val="0"/>
                  <w:divBdr>
                    <w:top w:val="none" w:sz="0" w:space="0" w:color="auto"/>
                    <w:left w:val="none" w:sz="0" w:space="0" w:color="auto"/>
                    <w:bottom w:val="none" w:sz="0" w:space="0" w:color="auto"/>
                    <w:right w:val="none" w:sz="0" w:space="0" w:color="auto"/>
                  </w:divBdr>
                  <w:divsChild>
                    <w:div w:id="1490900548">
                      <w:marLeft w:val="0"/>
                      <w:marRight w:val="0"/>
                      <w:marTop w:val="0"/>
                      <w:marBottom w:val="0"/>
                      <w:divBdr>
                        <w:top w:val="none" w:sz="0" w:space="0" w:color="auto"/>
                        <w:left w:val="none" w:sz="0" w:space="0" w:color="auto"/>
                        <w:bottom w:val="none" w:sz="0" w:space="0" w:color="auto"/>
                        <w:right w:val="none" w:sz="0" w:space="0" w:color="auto"/>
                      </w:divBdr>
                    </w:div>
                  </w:divsChild>
                </w:div>
                <w:div w:id="2112700535">
                  <w:marLeft w:val="0"/>
                  <w:marRight w:val="0"/>
                  <w:marTop w:val="0"/>
                  <w:marBottom w:val="0"/>
                  <w:divBdr>
                    <w:top w:val="none" w:sz="0" w:space="0" w:color="auto"/>
                    <w:left w:val="none" w:sz="0" w:space="0" w:color="auto"/>
                    <w:bottom w:val="none" w:sz="0" w:space="0" w:color="auto"/>
                    <w:right w:val="none" w:sz="0" w:space="0" w:color="auto"/>
                  </w:divBdr>
                  <w:divsChild>
                    <w:div w:id="1269966794">
                      <w:marLeft w:val="0"/>
                      <w:marRight w:val="0"/>
                      <w:marTop w:val="0"/>
                      <w:marBottom w:val="0"/>
                      <w:divBdr>
                        <w:top w:val="none" w:sz="0" w:space="0" w:color="auto"/>
                        <w:left w:val="none" w:sz="0" w:space="0" w:color="auto"/>
                        <w:bottom w:val="none" w:sz="0" w:space="0" w:color="auto"/>
                        <w:right w:val="none" w:sz="0" w:space="0" w:color="auto"/>
                      </w:divBdr>
                    </w:div>
                  </w:divsChild>
                </w:div>
                <w:div w:id="2123380954">
                  <w:marLeft w:val="0"/>
                  <w:marRight w:val="0"/>
                  <w:marTop w:val="0"/>
                  <w:marBottom w:val="0"/>
                  <w:divBdr>
                    <w:top w:val="none" w:sz="0" w:space="0" w:color="auto"/>
                    <w:left w:val="none" w:sz="0" w:space="0" w:color="auto"/>
                    <w:bottom w:val="none" w:sz="0" w:space="0" w:color="auto"/>
                    <w:right w:val="none" w:sz="0" w:space="0" w:color="auto"/>
                  </w:divBdr>
                  <w:divsChild>
                    <w:div w:id="476147583">
                      <w:marLeft w:val="0"/>
                      <w:marRight w:val="0"/>
                      <w:marTop w:val="0"/>
                      <w:marBottom w:val="0"/>
                      <w:divBdr>
                        <w:top w:val="none" w:sz="0" w:space="0" w:color="auto"/>
                        <w:left w:val="none" w:sz="0" w:space="0" w:color="auto"/>
                        <w:bottom w:val="none" w:sz="0" w:space="0" w:color="auto"/>
                        <w:right w:val="none" w:sz="0" w:space="0" w:color="auto"/>
                      </w:divBdr>
                    </w:div>
                  </w:divsChild>
                </w:div>
                <w:div w:id="2128161860">
                  <w:marLeft w:val="0"/>
                  <w:marRight w:val="0"/>
                  <w:marTop w:val="0"/>
                  <w:marBottom w:val="0"/>
                  <w:divBdr>
                    <w:top w:val="none" w:sz="0" w:space="0" w:color="auto"/>
                    <w:left w:val="none" w:sz="0" w:space="0" w:color="auto"/>
                    <w:bottom w:val="none" w:sz="0" w:space="0" w:color="auto"/>
                    <w:right w:val="none" w:sz="0" w:space="0" w:color="auto"/>
                  </w:divBdr>
                  <w:divsChild>
                    <w:div w:id="1758362653">
                      <w:marLeft w:val="0"/>
                      <w:marRight w:val="0"/>
                      <w:marTop w:val="0"/>
                      <w:marBottom w:val="0"/>
                      <w:divBdr>
                        <w:top w:val="none" w:sz="0" w:space="0" w:color="auto"/>
                        <w:left w:val="none" w:sz="0" w:space="0" w:color="auto"/>
                        <w:bottom w:val="none" w:sz="0" w:space="0" w:color="auto"/>
                        <w:right w:val="none" w:sz="0" w:space="0" w:color="auto"/>
                      </w:divBdr>
                    </w:div>
                  </w:divsChild>
                </w:div>
                <w:div w:id="2128886648">
                  <w:marLeft w:val="0"/>
                  <w:marRight w:val="0"/>
                  <w:marTop w:val="0"/>
                  <w:marBottom w:val="0"/>
                  <w:divBdr>
                    <w:top w:val="none" w:sz="0" w:space="0" w:color="auto"/>
                    <w:left w:val="none" w:sz="0" w:space="0" w:color="auto"/>
                    <w:bottom w:val="none" w:sz="0" w:space="0" w:color="auto"/>
                    <w:right w:val="none" w:sz="0" w:space="0" w:color="auto"/>
                  </w:divBdr>
                  <w:divsChild>
                    <w:div w:id="1178469446">
                      <w:marLeft w:val="0"/>
                      <w:marRight w:val="0"/>
                      <w:marTop w:val="0"/>
                      <w:marBottom w:val="0"/>
                      <w:divBdr>
                        <w:top w:val="none" w:sz="0" w:space="0" w:color="auto"/>
                        <w:left w:val="none" w:sz="0" w:space="0" w:color="auto"/>
                        <w:bottom w:val="none" w:sz="0" w:space="0" w:color="auto"/>
                        <w:right w:val="none" w:sz="0" w:space="0" w:color="auto"/>
                      </w:divBdr>
                    </w:div>
                  </w:divsChild>
                </w:div>
                <w:div w:id="2131782719">
                  <w:marLeft w:val="0"/>
                  <w:marRight w:val="0"/>
                  <w:marTop w:val="0"/>
                  <w:marBottom w:val="0"/>
                  <w:divBdr>
                    <w:top w:val="none" w:sz="0" w:space="0" w:color="auto"/>
                    <w:left w:val="none" w:sz="0" w:space="0" w:color="auto"/>
                    <w:bottom w:val="none" w:sz="0" w:space="0" w:color="auto"/>
                    <w:right w:val="none" w:sz="0" w:space="0" w:color="auto"/>
                  </w:divBdr>
                  <w:divsChild>
                    <w:div w:id="852260956">
                      <w:marLeft w:val="0"/>
                      <w:marRight w:val="0"/>
                      <w:marTop w:val="0"/>
                      <w:marBottom w:val="0"/>
                      <w:divBdr>
                        <w:top w:val="none" w:sz="0" w:space="0" w:color="auto"/>
                        <w:left w:val="none" w:sz="0" w:space="0" w:color="auto"/>
                        <w:bottom w:val="none" w:sz="0" w:space="0" w:color="auto"/>
                        <w:right w:val="none" w:sz="0" w:space="0" w:color="auto"/>
                      </w:divBdr>
                    </w:div>
                  </w:divsChild>
                </w:div>
                <w:div w:id="2137066347">
                  <w:marLeft w:val="0"/>
                  <w:marRight w:val="0"/>
                  <w:marTop w:val="0"/>
                  <w:marBottom w:val="0"/>
                  <w:divBdr>
                    <w:top w:val="none" w:sz="0" w:space="0" w:color="auto"/>
                    <w:left w:val="none" w:sz="0" w:space="0" w:color="auto"/>
                    <w:bottom w:val="none" w:sz="0" w:space="0" w:color="auto"/>
                    <w:right w:val="none" w:sz="0" w:space="0" w:color="auto"/>
                  </w:divBdr>
                  <w:divsChild>
                    <w:div w:id="770902190">
                      <w:marLeft w:val="0"/>
                      <w:marRight w:val="0"/>
                      <w:marTop w:val="0"/>
                      <w:marBottom w:val="0"/>
                      <w:divBdr>
                        <w:top w:val="none" w:sz="0" w:space="0" w:color="auto"/>
                        <w:left w:val="none" w:sz="0" w:space="0" w:color="auto"/>
                        <w:bottom w:val="none" w:sz="0" w:space="0" w:color="auto"/>
                        <w:right w:val="none" w:sz="0" w:space="0" w:color="auto"/>
                      </w:divBdr>
                    </w:div>
                  </w:divsChild>
                </w:div>
                <w:div w:id="2137287672">
                  <w:marLeft w:val="0"/>
                  <w:marRight w:val="0"/>
                  <w:marTop w:val="0"/>
                  <w:marBottom w:val="0"/>
                  <w:divBdr>
                    <w:top w:val="none" w:sz="0" w:space="0" w:color="auto"/>
                    <w:left w:val="none" w:sz="0" w:space="0" w:color="auto"/>
                    <w:bottom w:val="none" w:sz="0" w:space="0" w:color="auto"/>
                    <w:right w:val="none" w:sz="0" w:space="0" w:color="auto"/>
                  </w:divBdr>
                  <w:divsChild>
                    <w:div w:id="78199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725322">
      <w:bodyDiv w:val="1"/>
      <w:marLeft w:val="0"/>
      <w:marRight w:val="0"/>
      <w:marTop w:val="0"/>
      <w:marBottom w:val="0"/>
      <w:divBdr>
        <w:top w:val="none" w:sz="0" w:space="0" w:color="auto"/>
        <w:left w:val="none" w:sz="0" w:space="0" w:color="auto"/>
        <w:bottom w:val="none" w:sz="0" w:space="0" w:color="auto"/>
        <w:right w:val="none" w:sz="0" w:space="0" w:color="auto"/>
      </w:divBdr>
    </w:div>
    <w:div w:id="260921923">
      <w:bodyDiv w:val="1"/>
      <w:marLeft w:val="0"/>
      <w:marRight w:val="0"/>
      <w:marTop w:val="0"/>
      <w:marBottom w:val="0"/>
      <w:divBdr>
        <w:top w:val="none" w:sz="0" w:space="0" w:color="auto"/>
        <w:left w:val="none" w:sz="0" w:space="0" w:color="auto"/>
        <w:bottom w:val="none" w:sz="0" w:space="0" w:color="auto"/>
        <w:right w:val="none" w:sz="0" w:space="0" w:color="auto"/>
      </w:divBdr>
    </w:div>
    <w:div w:id="270283310">
      <w:bodyDiv w:val="1"/>
      <w:marLeft w:val="0"/>
      <w:marRight w:val="0"/>
      <w:marTop w:val="0"/>
      <w:marBottom w:val="0"/>
      <w:divBdr>
        <w:top w:val="none" w:sz="0" w:space="0" w:color="auto"/>
        <w:left w:val="none" w:sz="0" w:space="0" w:color="auto"/>
        <w:bottom w:val="none" w:sz="0" w:space="0" w:color="auto"/>
        <w:right w:val="none" w:sz="0" w:space="0" w:color="auto"/>
      </w:divBdr>
    </w:div>
    <w:div w:id="274290868">
      <w:bodyDiv w:val="1"/>
      <w:marLeft w:val="0"/>
      <w:marRight w:val="0"/>
      <w:marTop w:val="0"/>
      <w:marBottom w:val="0"/>
      <w:divBdr>
        <w:top w:val="none" w:sz="0" w:space="0" w:color="auto"/>
        <w:left w:val="none" w:sz="0" w:space="0" w:color="auto"/>
        <w:bottom w:val="none" w:sz="0" w:space="0" w:color="auto"/>
        <w:right w:val="none" w:sz="0" w:space="0" w:color="auto"/>
      </w:divBdr>
    </w:div>
    <w:div w:id="326716210">
      <w:bodyDiv w:val="1"/>
      <w:marLeft w:val="0"/>
      <w:marRight w:val="0"/>
      <w:marTop w:val="0"/>
      <w:marBottom w:val="0"/>
      <w:divBdr>
        <w:top w:val="none" w:sz="0" w:space="0" w:color="auto"/>
        <w:left w:val="none" w:sz="0" w:space="0" w:color="auto"/>
        <w:bottom w:val="none" w:sz="0" w:space="0" w:color="auto"/>
        <w:right w:val="none" w:sz="0" w:space="0" w:color="auto"/>
      </w:divBdr>
    </w:div>
    <w:div w:id="372734185">
      <w:bodyDiv w:val="1"/>
      <w:marLeft w:val="0"/>
      <w:marRight w:val="0"/>
      <w:marTop w:val="0"/>
      <w:marBottom w:val="0"/>
      <w:divBdr>
        <w:top w:val="none" w:sz="0" w:space="0" w:color="auto"/>
        <w:left w:val="none" w:sz="0" w:space="0" w:color="auto"/>
        <w:bottom w:val="none" w:sz="0" w:space="0" w:color="auto"/>
        <w:right w:val="none" w:sz="0" w:space="0" w:color="auto"/>
      </w:divBdr>
    </w:div>
    <w:div w:id="380327765">
      <w:bodyDiv w:val="1"/>
      <w:marLeft w:val="0"/>
      <w:marRight w:val="0"/>
      <w:marTop w:val="0"/>
      <w:marBottom w:val="0"/>
      <w:divBdr>
        <w:top w:val="none" w:sz="0" w:space="0" w:color="auto"/>
        <w:left w:val="none" w:sz="0" w:space="0" w:color="auto"/>
        <w:bottom w:val="none" w:sz="0" w:space="0" w:color="auto"/>
        <w:right w:val="none" w:sz="0" w:space="0" w:color="auto"/>
      </w:divBdr>
    </w:div>
    <w:div w:id="393507871">
      <w:bodyDiv w:val="1"/>
      <w:marLeft w:val="0"/>
      <w:marRight w:val="0"/>
      <w:marTop w:val="0"/>
      <w:marBottom w:val="0"/>
      <w:divBdr>
        <w:top w:val="none" w:sz="0" w:space="0" w:color="auto"/>
        <w:left w:val="none" w:sz="0" w:space="0" w:color="auto"/>
        <w:bottom w:val="none" w:sz="0" w:space="0" w:color="auto"/>
        <w:right w:val="none" w:sz="0" w:space="0" w:color="auto"/>
      </w:divBdr>
    </w:div>
    <w:div w:id="393550636">
      <w:bodyDiv w:val="1"/>
      <w:marLeft w:val="0"/>
      <w:marRight w:val="0"/>
      <w:marTop w:val="0"/>
      <w:marBottom w:val="0"/>
      <w:divBdr>
        <w:top w:val="none" w:sz="0" w:space="0" w:color="auto"/>
        <w:left w:val="none" w:sz="0" w:space="0" w:color="auto"/>
        <w:bottom w:val="none" w:sz="0" w:space="0" w:color="auto"/>
        <w:right w:val="none" w:sz="0" w:space="0" w:color="auto"/>
      </w:divBdr>
    </w:div>
    <w:div w:id="397097088">
      <w:bodyDiv w:val="1"/>
      <w:marLeft w:val="0"/>
      <w:marRight w:val="0"/>
      <w:marTop w:val="0"/>
      <w:marBottom w:val="0"/>
      <w:divBdr>
        <w:top w:val="none" w:sz="0" w:space="0" w:color="auto"/>
        <w:left w:val="none" w:sz="0" w:space="0" w:color="auto"/>
        <w:bottom w:val="none" w:sz="0" w:space="0" w:color="auto"/>
        <w:right w:val="none" w:sz="0" w:space="0" w:color="auto"/>
      </w:divBdr>
    </w:div>
    <w:div w:id="429202623">
      <w:bodyDiv w:val="1"/>
      <w:marLeft w:val="0"/>
      <w:marRight w:val="0"/>
      <w:marTop w:val="0"/>
      <w:marBottom w:val="0"/>
      <w:divBdr>
        <w:top w:val="none" w:sz="0" w:space="0" w:color="auto"/>
        <w:left w:val="none" w:sz="0" w:space="0" w:color="auto"/>
        <w:bottom w:val="none" w:sz="0" w:space="0" w:color="auto"/>
        <w:right w:val="none" w:sz="0" w:space="0" w:color="auto"/>
      </w:divBdr>
    </w:div>
    <w:div w:id="488180121">
      <w:bodyDiv w:val="1"/>
      <w:marLeft w:val="0"/>
      <w:marRight w:val="0"/>
      <w:marTop w:val="0"/>
      <w:marBottom w:val="0"/>
      <w:divBdr>
        <w:top w:val="none" w:sz="0" w:space="0" w:color="auto"/>
        <w:left w:val="none" w:sz="0" w:space="0" w:color="auto"/>
        <w:bottom w:val="none" w:sz="0" w:space="0" w:color="auto"/>
        <w:right w:val="none" w:sz="0" w:space="0" w:color="auto"/>
      </w:divBdr>
    </w:div>
    <w:div w:id="513232917">
      <w:bodyDiv w:val="1"/>
      <w:marLeft w:val="0"/>
      <w:marRight w:val="0"/>
      <w:marTop w:val="0"/>
      <w:marBottom w:val="0"/>
      <w:divBdr>
        <w:top w:val="none" w:sz="0" w:space="0" w:color="auto"/>
        <w:left w:val="none" w:sz="0" w:space="0" w:color="auto"/>
        <w:bottom w:val="none" w:sz="0" w:space="0" w:color="auto"/>
        <w:right w:val="none" w:sz="0" w:space="0" w:color="auto"/>
      </w:divBdr>
    </w:div>
    <w:div w:id="519708232">
      <w:bodyDiv w:val="1"/>
      <w:marLeft w:val="0"/>
      <w:marRight w:val="0"/>
      <w:marTop w:val="0"/>
      <w:marBottom w:val="0"/>
      <w:divBdr>
        <w:top w:val="none" w:sz="0" w:space="0" w:color="auto"/>
        <w:left w:val="none" w:sz="0" w:space="0" w:color="auto"/>
        <w:bottom w:val="none" w:sz="0" w:space="0" w:color="auto"/>
        <w:right w:val="none" w:sz="0" w:space="0" w:color="auto"/>
      </w:divBdr>
    </w:div>
    <w:div w:id="533202436">
      <w:bodyDiv w:val="1"/>
      <w:marLeft w:val="0"/>
      <w:marRight w:val="0"/>
      <w:marTop w:val="0"/>
      <w:marBottom w:val="0"/>
      <w:divBdr>
        <w:top w:val="none" w:sz="0" w:space="0" w:color="auto"/>
        <w:left w:val="none" w:sz="0" w:space="0" w:color="auto"/>
        <w:bottom w:val="none" w:sz="0" w:space="0" w:color="auto"/>
        <w:right w:val="none" w:sz="0" w:space="0" w:color="auto"/>
      </w:divBdr>
    </w:div>
    <w:div w:id="558323363">
      <w:bodyDiv w:val="1"/>
      <w:marLeft w:val="0"/>
      <w:marRight w:val="0"/>
      <w:marTop w:val="0"/>
      <w:marBottom w:val="0"/>
      <w:divBdr>
        <w:top w:val="none" w:sz="0" w:space="0" w:color="auto"/>
        <w:left w:val="none" w:sz="0" w:space="0" w:color="auto"/>
        <w:bottom w:val="none" w:sz="0" w:space="0" w:color="auto"/>
        <w:right w:val="none" w:sz="0" w:space="0" w:color="auto"/>
      </w:divBdr>
    </w:div>
    <w:div w:id="559944121">
      <w:bodyDiv w:val="1"/>
      <w:marLeft w:val="0"/>
      <w:marRight w:val="0"/>
      <w:marTop w:val="0"/>
      <w:marBottom w:val="0"/>
      <w:divBdr>
        <w:top w:val="none" w:sz="0" w:space="0" w:color="auto"/>
        <w:left w:val="none" w:sz="0" w:space="0" w:color="auto"/>
        <w:bottom w:val="none" w:sz="0" w:space="0" w:color="auto"/>
        <w:right w:val="none" w:sz="0" w:space="0" w:color="auto"/>
      </w:divBdr>
    </w:div>
    <w:div w:id="573785724">
      <w:bodyDiv w:val="1"/>
      <w:marLeft w:val="0"/>
      <w:marRight w:val="0"/>
      <w:marTop w:val="0"/>
      <w:marBottom w:val="0"/>
      <w:divBdr>
        <w:top w:val="none" w:sz="0" w:space="0" w:color="auto"/>
        <w:left w:val="none" w:sz="0" w:space="0" w:color="auto"/>
        <w:bottom w:val="none" w:sz="0" w:space="0" w:color="auto"/>
        <w:right w:val="none" w:sz="0" w:space="0" w:color="auto"/>
      </w:divBdr>
      <w:divsChild>
        <w:div w:id="659650457">
          <w:marLeft w:val="0"/>
          <w:marRight w:val="0"/>
          <w:marTop w:val="0"/>
          <w:marBottom w:val="0"/>
          <w:divBdr>
            <w:top w:val="none" w:sz="0" w:space="0" w:color="auto"/>
            <w:left w:val="none" w:sz="0" w:space="0" w:color="auto"/>
            <w:bottom w:val="none" w:sz="0" w:space="0" w:color="auto"/>
            <w:right w:val="none" w:sz="0" w:space="0" w:color="auto"/>
          </w:divBdr>
          <w:divsChild>
            <w:div w:id="1632514249">
              <w:marLeft w:val="0"/>
              <w:marRight w:val="0"/>
              <w:marTop w:val="30"/>
              <w:marBottom w:val="30"/>
              <w:divBdr>
                <w:top w:val="none" w:sz="0" w:space="0" w:color="auto"/>
                <w:left w:val="none" w:sz="0" w:space="0" w:color="auto"/>
                <w:bottom w:val="none" w:sz="0" w:space="0" w:color="auto"/>
                <w:right w:val="none" w:sz="0" w:space="0" w:color="auto"/>
              </w:divBdr>
              <w:divsChild>
                <w:div w:id="8530041">
                  <w:marLeft w:val="0"/>
                  <w:marRight w:val="0"/>
                  <w:marTop w:val="0"/>
                  <w:marBottom w:val="0"/>
                  <w:divBdr>
                    <w:top w:val="none" w:sz="0" w:space="0" w:color="auto"/>
                    <w:left w:val="none" w:sz="0" w:space="0" w:color="auto"/>
                    <w:bottom w:val="none" w:sz="0" w:space="0" w:color="auto"/>
                    <w:right w:val="none" w:sz="0" w:space="0" w:color="auto"/>
                  </w:divBdr>
                  <w:divsChild>
                    <w:div w:id="819271498">
                      <w:marLeft w:val="0"/>
                      <w:marRight w:val="0"/>
                      <w:marTop w:val="0"/>
                      <w:marBottom w:val="0"/>
                      <w:divBdr>
                        <w:top w:val="none" w:sz="0" w:space="0" w:color="auto"/>
                        <w:left w:val="none" w:sz="0" w:space="0" w:color="auto"/>
                        <w:bottom w:val="none" w:sz="0" w:space="0" w:color="auto"/>
                        <w:right w:val="none" w:sz="0" w:space="0" w:color="auto"/>
                      </w:divBdr>
                    </w:div>
                  </w:divsChild>
                </w:div>
                <w:div w:id="8678438">
                  <w:marLeft w:val="0"/>
                  <w:marRight w:val="0"/>
                  <w:marTop w:val="0"/>
                  <w:marBottom w:val="0"/>
                  <w:divBdr>
                    <w:top w:val="none" w:sz="0" w:space="0" w:color="auto"/>
                    <w:left w:val="none" w:sz="0" w:space="0" w:color="auto"/>
                    <w:bottom w:val="none" w:sz="0" w:space="0" w:color="auto"/>
                    <w:right w:val="none" w:sz="0" w:space="0" w:color="auto"/>
                  </w:divBdr>
                  <w:divsChild>
                    <w:div w:id="897397783">
                      <w:marLeft w:val="0"/>
                      <w:marRight w:val="0"/>
                      <w:marTop w:val="0"/>
                      <w:marBottom w:val="0"/>
                      <w:divBdr>
                        <w:top w:val="none" w:sz="0" w:space="0" w:color="auto"/>
                        <w:left w:val="none" w:sz="0" w:space="0" w:color="auto"/>
                        <w:bottom w:val="none" w:sz="0" w:space="0" w:color="auto"/>
                        <w:right w:val="none" w:sz="0" w:space="0" w:color="auto"/>
                      </w:divBdr>
                    </w:div>
                  </w:divsChild>
                </w:div>
                <w:div w:id="12610990">
                  <w:marLeft w:val="0"/>
                  <w:marRight w:val="0"/>
                  <w:marTop w:val="0"/>
                  <w:marBottom w:val="0"/>
                  <w:divBdr>
                    <w:top w:val="none" w:sz="0" w:space="0" w:color="auto"/>
                    <w:left w:val="none" w:sz="0" w:space="0" w:color="auto"/>
                    <w:bottom w:val="none" w:sz="0" w:space="0" w:color="auto"/>
                    <w:right w:val="none" w:sz="0" w:space="0" w:color="auto"/>
                  </w:divBdr>
                  <w:divsChild>
                    <w:div w:id="44136083">
                      <w:marLeft w:val="0"/>
                      <w:marRight w:val="0"/>
                      <w:marTop w:val="0"/>
                      <w:marBottom w:val="0"/>
                      <w:divBdr>
                        <w:top w:val="none" w:sz="0" w:space="0" w:color="auto"/>
                        <w:left w:val="none" w:sz="0" w:space="0" w:color="auto"/>
                        <w:bottom w:val="none" w:sz="0" w:space="0" w:color="auto"/>
                        <w:right w:val="none" w:sz="0" w:space="0" w:color="auto"/>
                      </w:divBdr>
                    </w:div>
                  </w:divsChild>
                </w:div>
                <w:div w:id="15499263">
                  <w:marLeft w:val="0"/>
                  <w:marRight w:val="0"/>
                  <w:marTop w:val="0"/>
                  <w:marBottom w:val="0"/>
                  <w:divBdr>
                    <w:top w:val="none" w:sz="0" w:space="0" w:color="auto"/>
                    <w:left w:val="none" w:sz="0" w:space="0" w:color="auto"/>
                    <w:bottom w:val="none" w:sz="0" w:space="0" w:color="auto"/>
                    <w:right w:val="none" w:sz="0" w:space="0" w:color="auto"/>
                  </w:divBdr>
                  <w:divsChild>
                    <w:div w:id="1558005538">
                      <w:marLeft w:val="0"/>
                      <w:marRight w:val="0"/>
                      <w:marTop w:val="0"/>
                      <w:marBottom w:val="0"/>
                      <w:divBdr>
                        <w:top w:val="none" w:sz="0" w:space="0" w:color="auto"/>
                        <w:left w:val="none" w:sz="0" w:space="0" w:color="auto"/>
                        <w:bottom w:val="none" w:sz="0" w:space="0" w:color="auto"/>
                        <w:right w:val="none" w:sz="0" w:space="0" w:color="auto"/>
                      </w:divBdr>
                    </w:div>
                  </w:divsChild>
                </w:div>
                <w:div w:id="20132940">
                  <w:marLeft w:val="0"/>
                  <w:marRight w:val="0"/>
                  <w:marTop w:val="0"/>
                  <w:marBottom w:val="0"/>
                  <w:divBdr>
                    <w:top w:val="none" w:sz="0" w:space="0" w:color="auto"/>
                    <w:left w:val="none" w:sz="0" w:space="0" w:color="auto"/>
                    <w:bottom w:val="none" w:sz="0" w:space="0" w:color="auto"/>
                    <w:right w:val="none" w:sz="0" w:space="0" w:color="auto"/>
                  </w:divBdr>
                  <w:divsChild>
                    <w:div w:id="2087603075">
                      <w:marLeft w:val="0"/>
                      <w:marRight w:val="0"/>
                      <w:marTop w:val="0"/>
                      <w:marBottom w:val="0"/>
                      <w:divBdr>
                        <w:top w:val="none" w:sz="0" w:space="0" w:color="auto"/>
                        <w:left w:val="none" w:sz="0" w:space="0" w:color="auto"/>
                        <w:bottom w:val="none" w:sz="0" w:space="0" w:color="auto"/>
                        <w:right w:val="none" w:sz="0" w:space="0" w:color="auto"/>
                      </w:divBdr>
                    </w:div>
                  </w:divsChild>
                </w:div>
                <w:div w:id="25370597">
                  <w:marLeft w:val="0"/>
                  <w:marRight w:val="0"/>
                  <w:marTop w:val="0"/>
                  <w:marBottom w:val="0"/>
                  <w:divBdr>
                    <w:top w:val="none" w:sz="0" w:space="0" w:color="auto"/>
                    <w:left w:val="none" w:sz="0" w:space="0" w:color="auto"/>
                    <w:bottom w:val="none" w:sz="0" w:space="0" w:color="auto"/>
                    <w:right w:val="none" w:sz="0" w:space="0" w:color="auto"/>
                  </w:divBdr>
                  <w:divsChild>
                    <w:div w:id="1453089715">
                      <w:marLeft w:val="0"/>
                      <w:marRight w:val="0"/>
                      <w:marTop w:val="0"/>
                      <w:marBottom w:val="0"/>
                      <w:divBdr>
                        <w:top w:val="none" w:sz="0" w:space="0" w:color="auto"/>
                        <w:left w:val="none" w:sz="0" w:space="0" w:color="auto"/>
                        <w:bottom w:val="none" w:sz="0" w:space="0" w:color="auto"/>
                        <w:right w:val="none" w:sz="0" w:space="0" w:color="auto"/>
                      </w:divBdr>
                    </w:div>
                  </w:divsChild>
                </w:div>
                <w:div w:id="30225868">
                  <w:marLeft w:val="0"/>
                  <w:marRight w:val="0"/>
                  <w:marTop w:val="0"/>
                  <w:marBottom w:val="0"/>
                  <w:divBdr>
                    <w:top w:val="none" w:sz="0" w:space="0" w:color="auto"/>
                    <w:left w:val="none" w:sz="0" w:space="0" w:color="auto"/>
                    <w:bottom w:val="none" w:sz="0" w:space="0" w:color="auto"/>
                    <w:right w:val="none" w:sz="0" w:space="0" w:color="auto"/>
                  </w:divBdr>
                  <w:divsChild>
                    <w:div w:id="157038436">
                      <w:marLeft w:val="0"/>
                      <w:marRight w:val="0"/>
                      <w:marTop w:val="0"/>
                      <w:marBottom w:val="0"/>
                      <w:divBdr>
                        <w:top w:val="none" w:sz="0" w:space="0" w:color="auto"/>
                        <w:left w:val="none" w:sz="0" w:space="0" w:color="auto"/>
                        <w:bottom w:val="none" w:sz="0" w:space="0" w:color="auto"/>
                        <w:right w:val="none" w:sz="0" w:space="0" w:color="auto"/>
                      </w:divBdr>
                    </w:div>
                  </w:divsChild>
                </w:div>
                <w:div w:id="34472418">
                  <w:marLeft w:val="0"/>
                  <w:marRight w:val="0"/>
                  <w:marTop w:val="0"/>
                  <w:marBottom w:val="0"/>
                  <w:divBdr>
                    <w:top w:val="none" w:sz="0" w:space="0" w:color="auto"/>
                    <w:left w:val="none" w:sz="0" w:space="0" w:color="auto"/>
                    <w:bottom w:val="none" w:sz="0" w:space="0" w:color="auto"/>
                    <w:right w:val="none" w:sz="0" w:space="0" w:color="auto"/>
                  </w:divBdr>
                  <w:divsChild>
                    <w:div w:id="1419331382">
                      <w:marLeft w:val="0"/>
                      <w:marRight w:val="0"/>
                      <w:marTop w:val="0"/>
                      <w:marBottom w:val="0"/>
                      <w:divBdr>
                        <w:top w:val="none" w:sz="0" w:space="0" w:color="auto"/>
                        <w:left w:val="none" w:sz="0" w:space="0" w:color="auto"/>
                        <w:bottom w:val="none" w:sz="0" w:space="0" w:color="auto"/>
                        <w:right w:val="none" w:sz="0" w:space="0" w:color="auto"/>
                      </w:divBdr>
                    </w:div>
                  </w:divsChild>
                </w:div>
                <w:div w:id="35281519">
                  <w:marLeft w:val="0"/>
                  <w:marRight w:val="0"/>
                  <w:marTop w:val="0"/>
                  <w:marBottom w:val="0"/>
                  <w:divBdr>
                    <w:top w:val="none" w:sz="0" w:space="0" w:color="auto"/>
                    <w:left w:val="none" w:sz="0" w:space="0" w:color="auto"/>
                    <w:bottom w:val="none" w:sz="0" w:space="0" w:color="auto"/>
                    <w:right w:val="none" w:sz="0" w:space="0" w:color="auto"/>
                  </w:divBdr>
                  <w:divsChild>
                    <w:div w:id="1642226515">
                      <w:marLeft w:val="0"/>
                      <w:marRight w:val="0"/>
                      <w:marTop w:val="0"/>
                      <w:marBottom w:val="0"/>
                      <w:divBdr>
                        <w:top w:val="none" w:sz="0" w:space="0" w:color="auto"/>
                        <w:left w:val="none" w:sz="0" w:space="0" w:color="auto"/>
                        <w:bottom w:val="none" w:sz="0" w:space="0" w:color="auto"/>
                        <w:right w:val="none" w:sz="0" w:space="0" w:color="auto"/>
                      </w:divBdr>
                    </w:div>
                  </w:divsChild>
                </w:div>
                <w:div w:id="36587395">
                  <w:marLeft w:val="0"/>
                  <w:marRight w:val="0"/>
                  <w:marTop w:val="0"/>
                  <w:marBottom w:val="0"/>
                  <w:divBdr>
                    <w:top w:val="none" w:sz="0" w:space="0" w:color="auto"/>
                    <w:left w:val="none" w:sz="0" w:space="0" w:color="auto"/>
                    <w:bottom w:val="none" w:sz="0" w:space="0" w:color="auto"/>
                    <w:right w:val="none" w:sz="0" w:space="0" w:color="auto"/>
                  </w:divBdr>
                  <w:divsChild>
                    <w:div w:id="904221261">
                      <w:marLeft w:val="0"/>
                      <w:marRight w:val="0"/>
                      <w:marTop w:val="0"/>
                      <w:marBottom w:val="0"/>
                      <w:divBdr>
                        <w:top w:val="none" w:sz="0" w:space="0" w:color="auto"/>
                        <w:left w:val="none" w:sz="0" w:space="0" w:color="auto"/>
                        <w:bottom w:val="none" w:sz="0" w:space="0" w:color="auto"/>
                        <w:right w:val="none" w:sz="0" w:space="0" w:color="auto"/>
                      </w:divBdr>
                    </w:div>
                  </w:divsChild>
                </w:div>
                <w:div w:id="36663998">
                  <w:marLeft w:val="0"/>
                  <w:marRight w:val="0"/>
                  <w:marTop w:val="0"/>
                  <w:marBottom w:val="0"/>
                  <w:divBdr>
                    <w:top w:val="none" w:sz="0" w:space="0" w:color="auto"/>
                    <w:left w:val="none" w:sz="0" w:space="0" w:color="auto"/>
                    <w:bottom w:val="none" w:sz="0" w:space="0" w:color="auto"/>
                    <w:right w:val="none" w:sz="0" w:space="0" w:color="auto"/>
                  </w:divBdr>
                  <w:divsChild>
                    <w:div w:id="1666543757">
                      <w:marLeft w:val="0"/>
                      <w:marRight w:val="0"/>
                      <w:marTop w:val="0"/>
                      <w:marBottom w:val="0"/>
                      <w:divBdr>
                        <w:top w:val="none" w:sz="0" w:space="0" w:color="auto"/>
                        <w:left w:val="none" w:sz="0" w:space="0" w:color="auto"/>
                        <w:bottom w:val="none" w:sz="0" w:space="0" w:color="auto"/>
                        <w:right w:val="none" w:sz="0" w:space="0" w:color="auto"/>
                      </w:divBdr>
                    </w:div>
                  </w:divsChild>
                </w:div>
                <w:div w:id="37777280">
                  <w:marLeft w:val="0"/>
                  <w:marRight w:val="0"/>
                  <w:marTop w:val="0"/>
                  <w:marBottom w:val="0"/>
                  <w:divBdr>
                    <w:top w:val="none" w:sz="0" w:space="0" w:color="auto"/>
                    <w:left w:val="none" w:sz="0" w:space="0" w:color="auto"/>
                    <w:bottom w:val="none" w:sz="0" w:space="0" w:color="auto"/>
                    <w:right w:val="none" w:sz="0" w:space="0" w:color="auto"/>
                  </w:divBdr>
                  <w:divsChild>
                    <w:div w:id="156654762">
                      <w:marLeft w:val="0"/>
                      <w:marRight w:val="0"/>
                      <w:marTop w:val="0"/>
                      <w:marBottom w:val="0"/>
                      <w:divBdr>
                        <w:top w:val="none" w:sz="0" w:space="0" w:color="auto"/>
                        <w:left w:val="none" w:sz="0" w:space="0" w:color="auto"/>
                        <w:bottom w:val="none" w:sz="0" w:space="0" w:color="auto"/>
                        <w:right w:val="none" w:sz="0" w:space="0" w:color="auto"/>
                      </w:divBdr>
                    </w:div>
                  </w:divsChild>
                </w:div>
                <w:div w:id="39328367">
                  <w:marLeft w:val="0"/>
                  <w:marRight w:val="0"/>
                  <w:marTop w:val="0"/>
                  <w:marBottom w:val="0"/>
                  <w:divBdr>
                    <w:top w:val="none" w:sz="0" w:space="0" w:color="auto"/>
                    <w:left w:val="none" w:sz="0" w:space="0" w:color="auto"/>
                    <w:bottom w:val="none" w:sz="0" w:space="0" w:color="auto"/>
                    <w:right w:val="none" w:sz="0" w:space="0" w:color="auto"/>
                  </w:divBdr>
                  <w:divsChild>
                    <w:div w:id="2120905022">
                      <w:marLeft w:val="0"/>
                      <w:marRight w:val="0"/>
                      <w:marTop w:val="0"/>
                      <w:marBottom w:val="0"/>
                      <w:divBdr>
                        <w:top w:val="none" w:sz="0" w:space="0" w:color="auto"/>
                        <w:left w:val="none" w:sz="0" w:space="0" w:color="auto"/>
                        <w:bottom w:val="none" w:sz="0" w:space="0" w:color="auto"/>
                        <w:right w:val="none" w:sz="0" w:space="0" w:color="auto"/>
                      </w:divBdr>
                    </w:div>
                  </w:divsChild>
                </w:div>
                <w:div w:id="41171567">
                  <w:marLeft w:val="0"/>
                  <w:marRight w:val="0"/>
                  <w:marTop w:val="0"/>
                  <w:marBottom w:val="0"/>
                  <w:divBdr>
                    <w:top w:val="none" w:sz="0" w:space="0" w:color="auto"/>
                    <w:left w:val="none" w:sz="0" w:space="0" w:color="auto"/>
                    <w:bottom w:val="none" w:sz="0" w:space="0" w:color="auto"/>
                    <w:right w:val="none" w:sz="0" w:space="0" w:color="auto"/>
                  </w:divBdr>
                  <w:divsChild>
                    <w:div w:id="1141774678">
                      <w:marLeft w:val="0"/>
                      <w:marRight w:val="0"/>
                      <w:marTop w:val="0"/>
                      <w:marBottom w:val="0"/>
                      <w:divBdr>
                        <w:top w:val="none" w:sz="0" w:space="0" w:color="auto"/>
                        <w:left w:val="none" w:sz="0" w:space="0" w:color="auto"/>
                        <w:bottom w:val="none" w:sz="0" w:space="0" w:color="auto"/>
                        <w:right w:val="none" w:sz="0" w:space="0" w:color="auto"/>
                      </w:divBdr>
                    </w:div>
                  </w:divsChild>
                </w:div>
                <w:div w:id="45379690">
                  <w:marLeft w:val="0"/>
                  <w:marRight w:val="0"/>
                  <w:marTop w:val="0"/>
                  <w:marBottom w:val="0"/>
                  <w:divBdr>
                    <w:top w:val="none" w:sz="0" w:space="0" w:color="auto"/>
                    <w:left w:val="none" w:sz="0" w:space="0" w:color="auto"/>
                    <w:bottom w:val="none" w:sz="0" w:space="0" w:color="auto"/>
                    <w:right w:val="none" w:sz="0" w:space="0" w:color="auto"/>
                  </w:divBdr>
                  <w:divsChild>
                    <w:div w:id="1285186086">
                      <w:marLeft w:val="0"/>
                      <w:marRight w:val="0"/>
                      <w:marTop w:val="0"/>
                      <w:marBottom w:val="0"/>
                      <w:divBdr>
                        <w:top w:val="none" w:sz="0" w:space="0" w:color="auto"/>
                        <w:left w:val="none" w:sz="0" w:space="0" w:color="auto"/>
                        <w:bottom w:val="none" w:sz="0" w:space="0" w:color="auto"/>
                        <w:right w:val="none" w:sz="0" w:space="0" w:color="auto"/>
                      </w:divBdr>
                    </w:div>
                  </w:divsChild>
                </w:div>
                <w:div w:id="47533122">
                  <w:marLeft w:val="0"/>
                  <w:marRight w:val="0"/>
                  <w:marTop w:val="0"/>
                  <w:marBottom w:val="0"/>
                  <w:divBdr>
                    <w:top w:val="none" w:sz="0" w:space="0" w:color="auto"/>
                    <w:left w:val="none" w:sz="0" w:space="0" w:color="auto"/>
                    <w:bottom w:val="none" w:sz="0" w:space="0" w:color="auto"/>
                    <w:right w:val="none" w:sz="0" w:space="0" w:color="auto"/>
                  </w:divBdr>
                  <w:divsChild>
                    <w:div w:id="890311848">
                      <w:marLeft w:val="0"/>
                      <w:marRight w:val="0"/>
                      <w:marTop w:val="0"/>
                      <w:marBottom w:val="0"/>
                      <w:divBdr>
                        <w:top w:val="none" w:sz="0" w:space="0" w:color="auto"/>
                        <w:left w:val="none" w:sz="0" w:space="0" w:color="auto"/>
                        <w:bottom w:val="none" w:sz="0" w:space="0" w:color="auto"/>
                        <w:right w:val="none" w:sz="0" w:space="0" w:color="auto"/>
                      </w:divBdr>
                    </w:div>
                  </w:divsChild>
                </w:div>
                <w:div w:id="65347751">
                  <w:marLeft w:val="0"/>
                  <w:marRight w:val="0"/>
                  <w:marTop w:val="0"/>
                  <w:marBottom w:val="0"/>
                  <w:divBdr>
                    <w:top w:val="none" w:sz="0" w:space="0" w:color="auto"/>
                    <w:left w:val="none" w:sz="0" w:space="0" w:color="auto"/>
                    <w:bottom w:val="none" w:sz="0" w:space="0" w:color="auto"/>
                    <w:right w:val="none" w:sz="0" w:space="0" w:color="auto"/>
                  </w:divBdr>
                  <w:divsChild>
                    <w:div w:id="280499922">
                      <w:marLeft w:val="0"/>
                      <w:marRight w:val="0"/>
                      <w:marTop w:val="0"/>
                      <w:marBottom w:val="0"/>
                      <w:divBdr>
                        <w:top w:val="none" w:sz="0" w:space="0" w:color="auto"/>
                        <w:left w:val="none" w:sz="0" w:space="0" w:color="auto"/>
                        <w:bottom w:val="none" w:sz="0" w:space="0" w:color="auto"/>
                        <w:right w:val="none" w:sz="0" w:space="0" w:color="auto"/>
                      </w:divBdr>
                    </w:div>
                  </w:divsChild>
                </w:div>
                <w:div w:id="66147121">
                  <w:marLeft w:val="0"/>
                  <w:marRight w:val="0"/>
                  <w:marTop w:val="0"/>
                  <w:marBottom w:val="0"/>
                  <w:divBdr>
                    <w:top w:val="none" w:sz="0" w:space="0" w:color="auto"/>
                    <w:left w:val="none" w:sz="0" w:space="0" w:color="auto"/>
                    <w:bottom w:val="none" w:sz="0" w:space="0" w:color="auto"/>
                    <w:right w:val="none" w:sz="0" w:space="0" w:color="auto"/>
                  </w:divBdr>
                  <w:divsChild>
                    <w:div w:id="171534467">
                      <w:marLeft w:val="0"/>
                      <w:marRight w:val="0"/>
                      <w:marTop w:val="0"/>
                      <w:marBottom w:val="0"/>
                      <w:divBdr>
                        <w:top w:val="none" w:sz="0" w:space="0" w:color="auto"/>
                        <w:left w:val="none" w:sz="0" w:space="0" w:color="auto"/>
                        <w:bottom w:val="none" w:sz="0" w:space="0" w:color="auto"/>
                        <w:right w:val="none" w:sz="0" w:space="0" w:color="auto"/>
                      </w:divBdr>
                    </w:div>
                  </w:divsChild>
                </w:div>
                <w:div w:id="69472059">
                  <w:marLeft w:val="0"/>
                  <w:marRight w:val="0"/>
                  <w:marTop w:val="0"/>
                  <w:marBottom w:val="0"/>
                  <w:divBdr>
                    <w:top w:val="none" w:sz="0" w:space="0" w:color="auto"/>
                    <w:left w:val="none" w:sz="0" w:space="0" w:color="auto"/>
                    <w:bottom w:val="none" w:sz="0" w:space="0" w:color="auto"/>
                    <w:right w:val="none" w:sz="0" w:space="0" w:color="auto"/>
                  </w:divBdr>
                  <w:divsChild>
                    <w:div w:id="1801026705">
                      <w:marLeft w:val="0"/>
                      <w:marRight w:val="0"/>
                      <w:marTop w:val="0"/>
                      <w:marBottom w:val="0"/>
                      <w:divBdr>
                        <w:top w:val="none" w:sz="0" w:space="0" w:color="auto"/>
                        <w:left w:val="none" w:sz="0" w:space="0" w:color="auto"/>
                        <w:bottom w:val="none" w:sz="0" w:space="0" w:color="auto"/>
                        <w:right w:val="none" w:sz="0" w:space="0" w:color="auto"/>
                      </w:divBdr>
                    </w:div>
                  </w:divsChild>
                </w:div>
                <w:div w:id="80414356">
                  <w:marLeft w:val="0"/>
                  <w:marRight w:val="0"/>
                  <w:marTop w:val="0"/>
                  <w:marBottom w:val="0"/>
                  <w:divBdr>
                    <w:top w:val="none" w:sz="0" w:space="0" w:color="auto"/>
                    <w:left w:val="none" w:sz="0" w:space="0" w:color="auto"/>
                    <w:bottom w:val="none" w:sz="0" w:space="0" w:color="auto"/>
                    <w:right w:val="none" w:sz="0" w:space="0" w:color="auto"/>
                  </w:divBdr>
                  <w:divsChild>
                    <w:div w:id="1077165207">
                      <w:marLeft w:val="0"/>
                      <w:marRight w:val="0"/>
                      <w:marTop w:val="0"/>
                      <w:marBottom w:val="0"/>
                      <w:divBdr>
                        <w:top w:val="none" w:sz="0" w:space="0" w:color="auto"/>
                        <w:left w:val="none" w:sz="0" w:space="0" w:color="auto"/>
                        <w:bottom w:val="none" w:sz="0" w:space="0" w:color="auto"/>
                        <w:right w:val="none" w:sz="0" w:space="0" w:color="auto"/>
                      </w:divBdr>
                    </w:div>
                  </w:divsChild>
                </w:div>
                <w:div w:id="83114858">
                  <w:marLeft w:val="0"/>
                  <w:marRight w:val="0"/>
                  <w:marTop w:val="0"/>
                  <w:marBottom w:val="0"/>
                  <w:divBdr>
                    <w:top w:val="none" w:sz="0" w:space="0" w:color="auto"/>
                    <w:left w:val="none" w:sz="0" w:space="0" w:color="auto"/>
                    <w:bottom w:val="none" w:sz="0" w:space="0" w:color="auto"/>
                    <w:right w:val="none" w:sz="0" w:space="0" w:color="auto"/>
                  </w:divBdr>
                  <w:divsChild>
                    <w:div w:id="485710361">
                      <w:marLeft w:val="0"/>
                      <w:marRight w:val="0"/>
                      <w:marTop w:val="0"/>
                      <w:marBottom w:val="0"/>
                      <w:divBdr>
                        <w:top w:val="none" w:sz="0" w:space="0" w:color="auto"/>
                        <w:left w:val="none" w:sz="0" w:space="0" w:color="auto"/>
                        <w:bottom w:val="none" w:sz="0" w:space="0" w:color="auto"/>
                        <w:right w:val="none" w:sz="0" w:space="0" w:color="auto"/>
                      </w:divBdr>
                    </w:div>
                  </w:divsChild>
                </w:div>
                <w:div w:id="84300924">
                  <w:marLeft w:val="0"/>
                  <w:marRight w:val="0"/>
                  <w:marTop w:val="0"/>
                  <w:marBottom w:val="0"/>
                  <w:divBdr>
                    <w:top w:val="none" w:sz="0" w:space="0" w:color="auto"/>
                    <w:left w:val="none" w:sz="0" w:space="0" w:color="auto"/>
                    <w:bottom w:val="none" w:sz="0" w:space="0" w:color="auto"/>
                    <w:right w:val="none" w:sz="0" w:space="0" w:color="auto"/>
                  </w:divBdr>
                  <w:divsChild>
                    <w:div w:id="653873665">
                      <w:marLeft w:val="0"/>
                      <w:marRight w:val="0"/>
                      <w:marTop w:val="0"/>
                      <w:marBottom w:val="0"/>
                      <w:divBdr>
                        <w:top w:val="none" w:sz="0" w:space="0" w:color="auto"/>
                        <w:left w:val="none" w:sz="0" w:space="0" w:color="auto"/>
                        <w:bottom w:val="none" w:sz="0" w:space="0" w:color="auto"/>
                        <w:right w:val="none" w:sz="0" w:space="0" w:color="auto"/>
                      </w:divBdr>
                    </w:div>
                  </w:divsChild>
                </w:div>
                <w:div w:id="90130720">
                  <w:marLeft w:val="0"/>
                  <w:marRight w:val="0"/>
                  <w:marTop w:val="0"/>
                  <w:marBottom w:val="0"/>
                  <w:divBdr>
                    <w:top w:val="none" w:sz="0" w:space="0" w:color="auto"/>
                    <w:left w:val="none" w:sz="0" w:space="0" w:color="auto"/>
                    <w:bottom w:val="none" w:sz="0" w:space="0" w:color="auto"/>
                    <w:right w:val="none" w:sz="0" w:space="0" w:color="auto"/>
                  </w:divBdr>
                  <w:divsChild>
                    <w:div w:id="2134782679">
                      <w:marLeft w:val="0"/>
                      <w:marRight w:val="0"/>
                      <w:marTop w:val="0"/>
                      <w:marBottom w:val="0"/>
                      <w:divBdr>
                        <w:top w:val="none" w:sz="0" w:space="0" w:color="auto"/>
                        <w:left w:val="none" w:sz="0" w:space="0" w:color="auto"/>
                        <w:bottom w:val="none" w:sz="0" w:space="0" w:color="auto"/>
                        <w:right w:val="none" w:sz="0" w:space="0" w:color="auto"/>
                      </w:divBdr>
                    </w:div>
                  </w:divsChild>
                </w:div>
                <w:div w:id="95248285">
                  <w:marLeft w:val="0"/>
                  <w:marRight w:val="0"/>
                  <w:marTop w:val="0"/>
                  <w:marBottom w:val="0"/>
                  <w:divBdr>
                    <w:top w:val="none" w:sz="0" w:space="0" w:color="auto"/>
                    <w:left w:val="none" w:sz="0" w:space="0" w:color="auto"/>
                    <w:bottom w:val="none" w:sz="0" w:space="0" w:color="auto"/>
                    <w:right w:val="none" w:sz="0" w:space="0" w:color="auto"/>
                  </w:divBdr>
                  <w:divsChild>
                    <w:div w:id="1061100749">
                      <w:marLeft w:val="0"/>
                      <w:marRight w:val="0"/>
                      <w:marTop w:val="0"/>
                      <w:marBottom w:val="0"/>
                      <w:divBdr>
                        <w:top w:val="none" w:sz="0" w:space="0" w:color="auto"/>
                        <w:left w:val="none" w:sz="0" w:space="0" w:color="auto"/>
                        <w:bottom w:val="none" w:sz="0" w:space="0" w:color="auto"/>
                        <w:right w:val="none" w:sz="0" w:space="0" w:color="auto"/>
                      </w:divBdr>
                    </w:div>
                  </w:divsChild>
                </w:div>
                <w:div w:id="97914755">
                  <w:marLeft w:val="0"/>
                  <w:marRight w:val="0"/>
                  <w:marTop w:val="0"/>
                  <w:marBottom w:val="0"/>
                  <w:divBdr>
                    <w:top w:val="none" w:sz="0" w:space="0" w:color="auto"/>
                    <w:left w:val="none" w:sz="0" w:space="0" w:color="auto"/>
                    <w:bottom w:val="none" w:sz="0" w:space="0" w:color="auto"/>
                    <w:right w:val="none" w:sz="0" w:space="0" w:color="auto"/>
                  </w:divBdr>
                  <w:divsChild>
                    <w:div w:id="49421164">
                      <w:marLeft w:val="0"/>
                      <w:marRight w:val="0"/>
                      <w:marTop w:val="0"/>
                      <w:marBottom w:val="0"/>
                      <w:divBdr>
                        <w:top w:val="none" w:sz="0" w:space="0" w:color="auto"/>
                        <w:left w:val="none" w:sz="0" w:space="0" w:color="auto"/>
                        <w:bottom w:val="none" w:sz="0" w:space="0" w:color="auto"/>
                        <w:right w:val="none" w:sz="0" w:space="0" w:color="auto"/>
                      </w:divBdr>
                    </w:div>
                  </w:divsChild>
                </w:div>
                <w:div w:id="99183231">
                  <w:marLeft w:val="0"/>
                  <w:marRight w:val="0"/>
                  <w:marTop w:val="0"/>
                  <w:marBottom w:val="0"/>
                  <w:divBdr>
                    <w:top w:val="none" w:sz="0" w:space="0" w:color="auto"/>
                    <w:left w:val="none" w:sz="0" w:space="0" w:color="auto"/>
                    <w:bottom w:val="none" w:sz="0" w:space="0" w:color="auto"/>
                    <w:right w:val="none" w:sz="0" w:space="0" w:color="auto"/>
                  </w:divBdr>
                  <w:divsChild>
                    <w:div w:id="726881072">
                      <w:marLeft w:val="0"/>
                      <w:marRight w:val="0"/>
                      <w:marTop w:val="0"/>
                      <w:marBottom w:val="0"/>
                      <w:divBdr>
                        <w:top w:val="none" w:sz="0" w:space="0" w:color="auto"/>
                        <w:left w:val="none" w:sz="0" w:space="0" w:color="auto"/>
                        <w:bottom w:val="none" w:sz="0" w:space="0" w:color="auto"/>
                        <w:right w:val="none" w:sz="0" w:space="0" w:color="auto"/>
                      </w:divBdr>
                    </w:div>
                  </w:divsChild>
                </w:div>
                <w:div w:id="108548773">
                  <w:marLeft w:val="0"/>
                  <w:marRight w:val="0"/>
                  <w:marTop w:val="0"/>
                  <w:marBottom w:val="0"/>
                  <w:divBdr>
                    <w:top w:val="none" w:sz="0" w:space="0" w:color="auto"/>
                    <w:left w:val="none" w:sz="0" w:space="0" w:color="auto"/>
                    <w:bottom w:val="none" w:sz="0" w:space="0" w:color="auto"/>
                    <w:right w:val="none" w:sz="0" w:space="0" w:color="auto"/>
                  </w:divBdr>
                  <w:divsChild>
                    <w:div w:id="1249535984">
                      <w:marLeft w:val="0"/>
                      <w:marRight w:val="0"/>
                      <w:marTop w:val="0"/>
                      <w:marBottom w:val="0"/>
                      <w:divBdr>
                        <w:top w:val="none" w:sz="0" w:space="0" w:color="auto"/>
                        <w:left w:val="none" w:sz="0" w:space="0" w:color="auto"/>
                        <w:bottom w:val="none" w:sz="0" w:space="0" w:color="auto"/>
                        <w:right w:val="none" w:sz="0" w:space="0" w:color="auto"/>
                      </w:divBdr>
                    </w:div>
                  </w:divsChild>
                </w:div>
                <w:div w:id="111094957">
                  <w:marLeft w:val="0"/>
                  <w:marRight w:val="0"/>
                  <w:marTop w:val="0"/>
                  <w:marBottom w:val="0"/>
                  <w:divBdr>
                    <w:top w:val="none" w:sz="0" w:space="0" w:color="auto"/>
                    <w:left w:val="none" w:sz="0" w:space="0" w:color="auto"/>
                    <w:bottom w:val="none" w:sz="0" w:space="0" w:color="auto"/>
                    <w:right w:val="none" w:sz="0" w:space="0" w:color="auto"/>
                  </w:divBdr>
                  <w:divsChild>
                    <w:div w:id="1983775267">
                      <w:marLeft w:val="0"/>
                      <w:marRight w:val="0"/>
                      <w:marTop w:val="0"/>
                      <w:marBottom w:val="0"/>
                      <w:divBdr>
                        <w:top w:val="none" w:sz="0" w:space="0" w:color="auto"/>
                        <w:left w:val="none" w:sz="0" w:space="0" w:color="auto"/>
                        <w:bottom w:val="none" w:sz="0" w:space="0" w:color="auto"/>
                        <w:right w:val="none" w:sz="0" w:space="0" w:color="auto"/>
                      </w:divBdr>
                    </w:div>
                  </w:divsChild>
                </w:div>
                <w:div w:id="122888701">
                  <w:marLeft w:val="0"/>
                  <w:marRight w:val="0"/>
                  <w:marTop w:val="0"/>
                  <w:marBottom w:val="0"/>
                  <w:divBdr>
                    <w:top w:val="none" w:sz="0" w:space="0" w:color="auto"/>
                    <w:left w:val="none" w:sz="0" w:space="0" w:color="auto"/>
                    <w:bottom w:val="none" w:sz="0" w:space="0" w:color="auto"/>
                    <w:right w:val="none" w:sz="0" w:space="0" w:color="auto"/>
                  </w:divBdr>
                  <w:divsChild>
                    <w:div w:id="203955202">
                      <w:marLeft w:val="0"/>
                      <w:marRight w:val="0"/>
                      <w:marTop w:val="0"/>
                      <w:marBottom w:val="0"/>
                      <w:divBdr>
                        <w:top w:val="none" w:sz="0" w:space="0" w:color="auto"/>
                        <w:left w:val="none" w:sz="0" w:space="0" w:color="auto"/>
                        <w:bottom w:val="none" w:sz="0" w:space="0" w:color="auto"/>
                        <w:right w:val="none" w:sz="0" w:space="0" w:color="auto"/>
                      </w:divBdr>
                    </w:div>
                  </w:divsChild>
                </w:div>
                <w:div w:id="123667013">
                  <w:marLeft w:val="0"/>
                  <w:marRight w:val="0"/>
                  <w:marTop w:val="0"/>
                  <w:marBottom w:val="0"/>
                  <w:divBdr>
                    <w:top w:val="none" w:sz="0" w:space="0" w:color="auto"/>
                    <w:left w:val="none" w:sz="0" w:space="0" w:color="auto"/>
                    <w:bottom w:val="none" w:sz="0" w:space="0" w:color="auto"/>
                    <w:right w:val="none" w:sz="0" w:space="0" w:color="auto"/>
                  </w:divBdr>
                  <w:divsChild>
                    <w:div w:id="1220442160">
                      <w:marLeft w:val="0"/>
                      <w:marRight w:val="0"/>
                      <w:marTop w:val="0"/>
                      <w:marBottom w:val="0"/>
                      <w:divBdr>
                        <w:top w:val="none" w:sz="0" w:space="0" w:color="auto"/>
                        <w:left w:val="none" w:sz="0" w:space="0" w:color="auto"/>
                        <w:bottom w:val="none" w:sz="0" w:space="0" w:color="auto"/>
                        <w:right w:val="none" w:sz="0" w:space="0" w:color="auto"/>
                      </w:divBdr>
                    </w:div>
                  </w:divsChild>
                </w:div>
                <w:div w:id="123692229">
                  <w:marLeft w:val="0"/>
                  <w:marRight w:val="0"/>
                  <w:marTop w:val="0"/>
                  <w:marBottom w:val="0"/>
                  <w:divBdr>
                    <w:top w:val="none" w:sz="0" w:space="0" w:color="auto"/>
                    <w:left w:val="none" w:sz="0" w:space="0" w:color="auto"/>
                    <w:bottom w:val="none" w:sz="0" w:space="0" w:color="auto"/>
                    <w:right w:val="none" w:sz="0" w:space="0" w:color="auto"/>
                  </w:divBdr>
                  <w:divsChild>
                    <w:div w:id="1108156749">
                      <w:marLeft w:val="0"/>
                      <w:marRight w:val="0"/>
                      <w:marTop w:val="0"/>
                      <w:marBottom w:val="0"/>
                      <w:divBdr>
                        <w:top w:val="none" w:sz="0" w:space="0" w:color="auto"/>
                        <w:left w:val="none" w:sz="0" w:space="0" w:color="auto"/>
                        <w:bottom w:val="none" w:sz="0" w:space="0" w:color="auto"/>
                        <w:right w:val="none" w:sz="0" w:space="0" w:color="auto"/>
                      </w:divBdr>
                    </w:div>
                  </w:divsChild>
                </w:div>
                <w:div w:id="129595991">
                  <w:marLeft w:val="0"/>
                  <w:marRight w:val="0"/>
                  <w:marTop w:val="0"/>
                  <w:marBottom w:val="0"/>
                  <w:divBdr>
                    <w:top w:val="none" w:sz="0" w:space="0" w:color="auto"/>
                    <w:left w:val="none" w:sz="0" w:space="0" w:color="auto"/>
                    <w:bottom w:val="none" w:sz="0" w:space="0" w:color="auto"/>
                    <w:right w:val="none" w:sz="0" w:space="0" w:color="auto"/>
                  </w:divBdr>
                  <w:divsChild>
                    <w:div w:id="2138335246">
                      <w:marLeft w:val="0"/>
                      <w:marRight w:val="0"/>
                      <w:marTop w:val="0"/>
                      <w:marBottom w:val="0"/>
                      <w:divBdr>
                        <w:top w:val="none" w:sz="0" w:space="0" w:color="auto"/>
                        <w:left w:val="none" w:sz="0" w:space="0" w:color="auto"/>
                        <w:bottom w:val="none" w:sz="0" w:space="0" w:color="auto"/>
                        <w:right w:val="none" w:sz="0" w:space="0" w:color="auto"/>
                      </w:divBdr>
                    </w:div>
                  </w:divsChild>
                </w:div>
                <w:div w:id="134419772">
                  <w:marLeft w:val="0"/>
                  <w:marRight w:val="0"/>
                  <w:marTop w:val="0"/>
                  <w:marBottom w:val="0"/>
                  <w:divBdr>
                    <w:top w:val="none" w:sz="0" w:space="0" w:color="auto"/>
                    <w:left w:val="none" w:sz="0" w:space="0" w:color="auto"/>
                    <w:bottom w:val="none" w:sz="0" w:space="0" w:color="auto"/>
                    <w:right w:val="none" w:sz="0" w:space="0" w:color="auto"/>
                  </w:divBdr>
                  <w:divsChild>
                    <w:div w:id="983656542">
                      <w:marLeft w:val="0"/>
                      <w:marRight w:val="0"/>
                      <w:marTop w:val="0"/>
                      <w:marBottom w:val="0"/>
                      <w:divBdr>
                        <w:top w:val="none" w:sz="0" w:space="0" w:color="auto"/>
                        <w:left w:val="none" w:sz="0" w:space="0" w:color="auto"/>
                        <w:bottom w:val="none" w:sz="0" w:space="0" w:color="auto"/>
                        <w:right w:val="none" w:sz="0" w:space="0" w:color="auto"/>
                      </w:divBdr>
                    </w:div>
                  </w:divsChild>
                </w:div>
                <w:div w:id="140654584">
                  <w:marLeft w:val="0"/>
                  <w:marRight w:val="0"/>
                  <w:marTop w:val="0"/>
                  <w:marBottom w:val="0"/>
                  <w:divBdr>
                    <w:top w:val="none" w:sz="0" w:space="0" w:color="auto"/>
                    <w:left w:val="none" w:sz="0" w:space="0" w:color="auto"/>
                    <w:bottom w:val="none" w:sz="0" w:space="0" w:color="auto"/>
                    <w:right w:val="none" w:sz="0" w:space="0" w:color="auto"/>
                  </w:divBdr>
                  <w:divsChild>
                    <w:div w:id="1240557819">
                      <w:marLeft w:val="0"/>
                      <w:marRight w:val="0"/>
                      <w:marTop w:val="0"/>
                      <w:marBottom w:val="0"/>
                      <w:divBdr>
                        <w:top w:val="none" w:sz="0" w:space="0" w:color="auto"/>
                        <w:left w:val="none" w:sz="0" w:space="0" w:color="auto"/>
                        <w:bottom w:val="none" w:sz="0" w:space="0" w:color="auto"/>
                        <w:right w:val="none" w:sz="0" w:space="0" w:color="auto"/>
                      </w:divBdr>
                    </w:div>
                  </w:divsChild>
                </w:div>
                <w:div w:id="163518370">
                  <w:marLeft w:val="0"/>
                  <w:marRight w:val="0"/>
                  <w:marTop w:val="0"/>
                  <w:marBottom w:val="0"/>
                  <w:divBdr>
                    <w:top w:val="none" w:sz="0" w:space="0" w:color="auto"/>
                    <w:left w:val="none" w:sz="0" w:space="0" w:color="auto"/>
                    <w:bottom w:val="none" w:sz="0" w:space="0" w:color="auto"/>
                    <w:right w:val="none" w:sz="0" w:space="0" w:color="auto"/>
                  </w:divBdr>
                  <w:divsChild>
                    <w:div w:id="1553496453">
                      <w:marLeft w:val="0"/>
                      <w:marRight w:val="0"/>
                      <w:marTop w:val="0"/>
                      <w:marBottom w:val="0"/>
                      <w:divBdr>
                        <w:top w:val="none" w:sz="0" w:space="0" w:color="auto"/>
                        <w:left w:val="none" w:sz="0" w:space="0" w:color="auto"/>
                        <w:bottom w:val="none" w:sz="0" w:space="0" w:color="auto"/>
                        <w:right w:val="none" w:sz="0" w:space="0" w:color="auto"/>
                      </w:divBdr>
                    </w:div>
                  </w:divsChild>
                </w:div>
                <w:div w:id="167911402">
                  <w:marLeft w:val="0"/>
                  <w:marRight w:val="0"/>
                  <w:marTop w:val="0"/>
                  <w:marBottom w:val="0"/>
                  <w:divBdr>
                    <w:top w:val="none" w:sz="0" w:space="0" w:color="auto"/>
                    <w:left w:val="none" w:sz="0" w:space="0" w:color="auto"/>
                    <w:bottom w:val="none" w:sz="0" w:space="0" w:color="auto"/>
                    <w:right w:val="none" w:sz="0" w:space="0" w:color="auto"/>
                  </w:divBdr>
                  <w:divsChild>
                    <w:div w:id="90779665">
                      <w:marLeft w:val="0"/>
                      <w:marRight w:val="0"/>
                      <w:marTop w:val="0"/>
                      <w:marBottom w:val="0"/>
                      <w:divBdr>
                        <w:top w:val="none" w:sz="0" w:space="0" w:color="auto"/>
                        <w:left w:val="none" w:sz="0" w:space="0" w:color="auto"/>
                        <w:bottom w:val="none" w:sz="0" w:space="0" w:color="auto"/>
                        <w:right w:val="none" w:sz="0" w:space="0" w:color="auto"/>
                      </w:divBdr>
                    </w:div>
                  </w:divsChild>
                </w:div>
                <w:div w:id="184254401">
                  <w:marLeft w:val="0"/>
                  <w:marRight w:val="0"/>
                  <w:marTop w:val="0"/>
                  <w:marBottom w:val="0"/>
                  <w:divBdr>
                    <w:top w:val="none" w:sz="0" w:space="0" w:color="auto"/>
                    <w:left w:val="none" w:sz="0" w:space="0" w:color="auto"/>
                    <w:bottom w:val="none" w:sz="0" w:space="0" w:color="auto"/>
                    <w:right w:val="none" w:sz="0" w:space="0" w:color="auto"/>
                  </w:divBdr>
                  <w:divsChild>
                    <w:div w:id="923759768">
                      <w:marLeft w:val="0"/>
                      <w:marRight w:val="0"/>
                      <w:marTop w:val="0"/>
                      <w:marBottom w:val="0"/>
                      <w:divBdr>
                        <w:top w:val="none" w:sz="0" w:space="0" w:color="auto"/>
                        <w:left w:val="none" w:sz="0" w:space="0" w:color="auto"/>
                        <w:bottom w:val="none" w:sz="0" w:space="0" w:color="auto"/>
                        <w:right w:val="none" w:sz="0" w:space="0" w:color="auto"/>
                      </w:divBdr>
                    </w:div>
                  </w:divsChild>
                </w:div>
                <w:div w:id="186675800">
                  <w:marLeft w:val="0"/>
                  <w:marRight w:val="0"/>
                  <w:marTop w:val="0"/>
                  <w:marBottom w:val="0"/>
                  <w:divBdr>
                    <w:top w:val="none" w:sz="0" w:space="0" w:color="auto"/>
                    <w:left w:val="none" w:sz="0" w:space="0" w:color="auto"/>
                    <w:bottom w:val="none" w:sz="0" w:space="0" w:color="auto"/>
                    <w:right w:val="none" w:sz="0" w:space="0" w:color="auto"/>
                  </w:divBdr>
                  <w:divsChild>
                    <w:div w:id="161967065">
                      <w:marLeft w:val="0"/>
                      <w:marRight w:val="0"/>
                      <w:marTop w:val="0"/>
                      <w:marBottom w:val="0"/>
                      <w:divBdr>
                        <w:top w:val="none" w:sz="0" w:space="0" w:color="auto"/>
                        <w:left w:val="none" w:sz="0" w:space="0" w:color="auto"/>
                        <w:bottom w:val="none" w:sz="0" w:space="0" w:color="auto"/>
                        <w:right w:val="none" w:sz="0" w:space="0" w:color="auto"/>
                      </w:divBdr>
                    </w:div>
                  </w:divsChild>
                </w:div>
                <w:div w:id="196896611">
                  <w:marLeft w:val="0"/>
                  <w:marRight w:val="0"/>
                  <w:marTop w:val="0"/>
                  <w:marBottom w:val="0"/>
                  <w:divBdr>
                    <w:top w:val="none" w:sz="0" w:space="0" w:color="auto"/>
                    <w:left w:val="none" w:sz="0" w:space="0" w:color="auto"/>
                    <w:bottom w:val="none" w:sz="0" w:space="0" w:color="auto"/>
                    <w:right w:val="none" w:sz="0" w:space="0" w:color="auto"/>
                  </w:divBdr>
                  <w:divsChild>
                    <w:div w:id="937250215">
                      <w:marLeft w:val="0"/>
                      <w:marRight w:val="0"/>
                      <w:marTop w:val="0"/>
                      <w:marBottom w:val="0"/>
                      <w:divBdr>
                        <w:top w:val="none" w:sz="0" w:space="0" w:color="auto"/>
                        <w:left w:val="none" w:sz="0" w:space="0" w:color="auto"/>
                        <w:bottom w:val="none" w:sz="0" w:space="0" w:color="auto"/>
                        <w:right w:val="none" w:sz="0" w:space="0" w:color="auto"/>
                      </w:divBdr>
                    </w:div>
                  </w:divsChild>
                </w:div>
                <w:div w:id="196898201">
                  <w:marLeft w:val="0"/>
                  <w:marRight w:val="0"/>
                  <w:marTop w:val="0"/>
                  <w:marBottom w:val="0"/>
                  <w:divBdr>
                    <w:top w:val="none" w:sz="0" w:space="0" w:color="auto"/>
                    <w:left w:val="none" w:sz="0" w:space="0" w:color="auto"/>
                    <w:bottom w:val="none" w:sz="0" w:space="0" w:color="auto"/>
                    <w:right w:val="none" w:sz="0" w:space="0" w:color="auto"/>
                  </w:divBdr>
                  <w:divsChild>
                    <w:div w:id="120340755">
                      <w:marLeft w:val="0"/>
                      <w:marRight w:val="0"/>
                      <w:marTop w:val="0"/>
                      <w:marBottom w:val="0"/>
                      <w:divBdr>
                        <w:top w:val="none" w:sz="0" w:space="0" w:color="auto"/>
                        <w:left w:val="none" w:sz="0" w:space="0" w:color="auto"/>
                        <w:bottom w:val="none" w:sz="0" w:space="0" w:color="auto"/>
                        <w:right w:val="none" w:sz="0" w:space="0" w:color="auto"/>
                      </w:divBdr>
                    </w:div>
                  </w:divsChild>
                </w:div>
                <w:div w:id="198199813">
                  <w:marLeft w:val="0"/>
                  <w:marRight w:val="0"/>
                  <w:marTop w:val="0"/>
                  <w:marBottom w:val="0"/>
                  <w:divBdr>
                    <w:top w:val="none" w:sz="0" w:space="0" w:color="auto"/>
                    <w:left w:val="none" w:sz="0" w:space="0" w:color="auto"/>
                    <w:bottom w:val="none" w:sz="0" w:space="0" w:color="auto"/>
                    <w:right w:val="none" w:sz="0" w:space="0" w:color="auto"/>
                  </w:divBdr>
                  <w:divsChild>
                    <w:div w:id="1691956248">
                      <w:marLeft w:val="0"/>
                      <w:marRight w:val="0"/>
                      <w:marTop w:val="0"/>
                      <w:marBottom w:val="0"/>
                      <w:divBdr>
                        <w:top w:val="none" w:sz="0" w:space="0" w:color="auto"/>
                        <w:left w:val="none" w:sz="0" w:space="0" w:color="auto"/>
                        <w:bottom w:val="none" w:sz="0" w:space="0" w:color="auto"/>
                        <w:right w:val="none" w:sz="0" w:space="0" w:color="auto"/>
                      </w:divBdr>
                    </w:div>
                  </w:divsChild>
                </w:div>
                <w:div w:id="200635771">
                  <w:marLeft w:val="0"/>
                  <w:marRight w:val="0"/>
                  <w:marTop w:val="0"/>
                  <w:marBottom w:val="0"/>
                  <w:divBdr>
                    <w:top w:val="none" w:sz="0" w:space="0" w:color="auto"/>
                    <w:left w:val="none" w:sz="0" w:space="0" w:color="auto"/>
                    <w:bottom w:val="none" w:sz="0" w:space="0" w:color="auto"/>
                    <w:right w:val="none" w:sz="0" w:space="0" w:color="auto"/>
                  </w:divBdr>
                  <w:divsChild>
                    <w:div w:id="349571096">
                      <w:marLeft w:val="0"/>
                      <w:marRight w:val="0"/>
                      <w:marTop w:val="0"/>
                      <w:marBottom w:val="0"/>
                      <w:divBdr>
                        <w:top w:val="none" w:sz="0" w:space="0" w:color="auto"/>
                        <w:left w:val="none" w:sz="0" w:space="0" w:color="auto"/>
                        <w:bottom w:val="none" w:sz="0" w:space="0" w:color="auto"/>
                        <w:right w:val="none" w:sz="0" w:space="0" w:color="auto"/>
                      </w:divBdr>
                    </w:div>
                  </w:divsChild>
                </w:div>
                <w:div w:id="206063954">
                  <w:marLeft w:val="0"/>
                  <w:marRight w:val="0"/>
                  <w:marTop w:val="0"/>
                  <w:marBottom w:val="0"/>
                  <w:divBdr>
                    <w:top w:val="none" w:sz="0" w:space="0" w:color="auto"/>
                    <w:left w:val="none" w:sz="0" w:space="0" w:color="auto"/>
                    <w:bottom w:val="none" w:sz="0" w:space="0" w:color="auto"/>
                    <w:right w:val="none" w:sz="0" w:space="0" w:color="auto"/>
                  </w:divBdr>
                  <w:divsChild>
                    <w:div w:id="488063181">
                      <w:marLeft w:val="0"/>
                      <w:marRight w:val="0"/>
                      <w:marTop w:val="0"/>
                      <w:marBottom w:val="0"/>
                      <w:divBdr>
                        <w:top w:val="none" w:sz="0" w:space="0" w:color="auto"/>
                        <w:left w:val="none" w:sz="0" w:space="0" w:color="auto"/>
                        <w:bottom w:val="none" w:sz="0" w:space="0" w:color="auto"/>
                        <w:right w:val="none" w:sz="0" w:space="0" w:color="auto"/>
                      </w:divBdr>
                    </w:div>
                  </w:divsChild>
                </w:div>
                <w:div w:id="213083488">
                  <w:marLeft w:val="0"/>
                  <w:marRight w:val="0"/>
                  <w:marTop w:val="0"/>
                  <w:marBottom w:val="0"/>
                  <w:divBdr>
                    <w:top w:val="none" w:sz="0" w:space="0" w:color="auto"/>
                    <w:left w:val="none" w:sz="0" w:space="0" w:color="auto"/>
                    <w:bottom w:val="none" w:sz="0" w:space="0" w:color="auto"/>
                    <w:right w:val="none" w:sz="0" w:space="0" w:color="auto"/>
                  </w:divBdr>
                  <w:divsChild>
                    <w:div w:id="1996295593">
                      <w:marLeft w:val="0"/>
                      <w:marRight w:val="0"/>
                      <w:marTop w:val="0"/>
                      <w:marBottom w:val="0"/>
                      <w:divBdr>
                        <w:top w:val="none" w:sz="0" w:space="0" w:color="auto"/>
                        <w:left w:val="none" w:sz="0" w:space="0" w:color="auto"/>
                        <w:bottom w:val="none" w:sz="0" w:space="0" w:color="auto"/>
                        <w:right w:val="none" w:sz="0" w:space="0" w:color="auto"/>
                      </w:divBdr>
                    </w:div>
                  </w:divsChild>
                </w:div>
                <w:div w:id="215241612">
                  <w:marLeft w:val="0"/>
                  <w:marRight w:val="0"/>
                  <w:marTop w:val="0"/>
                  <w:marBottom w:val="0"/>
                  <w:divBdr>
                    <w:top w:val="none" w:sz="0" w:space="0" w:color="auto"/>
                    <w:left w:val="none" w:sz="0" w:space="0" w:color="auto"/>
                    <w:bottom w:val="none" w:sz="0" w:space="0" w:color="auto"/>
                    <w:right w:val="none" w:sz="0" w:space="0" w:color="auto"/>
                  </w:divBdr>
                  <w:divsChild>
                    <w:div w:id="1917474258">
                      <w:marLeft w:val="0"/>
                      <w:marRight w:val="0"/>
                      <w:marTop w:val="0"/>
                      <w:marBottom w:val="0"/>
                      <w:divBdr>
                        <w:top w:val="none" w:sz="0" w:space="0" w:color="auto"/>
                        <w:left w:val="none" w:sz="0" w:space="0" w:color="auto"/>
                        <w:bottom w:val="none" w:sz="0" w:space="0" w:color="auto"/>
                        <w:right w:val="none" w:sz="0" w:space="0" w:color="auto"/>
                      </w:divBdr>
                    </w:div>
                  </w:divsChild>
                </w:div>
                <w:div w:id="226041885">
                  <w:marLeft w:val="0"/>
                  <w:marRight w:val="0"/>
                  <w:marTop w:val="0"/>
                  <w:marBottom w:val="0"/>
                  <w:divBdr>
                    <w:top w:val="none" w:sz="0" w:space="0" w:color="auto"/>
                    <w:left w:val="none" w:sz="0" w:space="0" w:color="auto"/>
                    <w:bottom w:val="none" w:sz="0" w:space="0" w:color="auto"/>
                    <w:right w:val="none" w:sz="0" w:space="0" w:color="auto"/>
                  </w:divBdr>
                  <w:divsChild>
                    <w:div w:id="1124888914">
                      <w:marLeft w:val="0"/>
                      <w:marRight w:val="0"/>
                      <w:marTop w:val="0"/>
                      <w:marBottom w:val="0"/>
                      <w:divBdr>
                        <w:top w:val="none" w:sz="0" w:space="0" w:color="auto"/>
                        <w:left w:val="none" w:sz="0" w:space="0" w:color="auto"/>
                        <w:bottom w:val="none" w:sz="0" w:space="0" w:color="auto"/>
                        <w:right w:val="none" w:sz="0" w:space="0" w:color="auto"/>
                      </w:divBdr>
                    </w:div>
                  </w:divsChild>
                </w:div>
                <w:div w:id="229269496">
                  <w:marLeft w:val="0"/>
                  <w:marRight w:val="0"/>
                  <w:marTop w:val="0"/>
                  <w:marBottom w:val="0"/>
                  <w:divBdr>
                    <w:top w:val="none" w:sz="0" w:space="0" w:color="auto"/>
                    <w:left w:val="none" w:sz="0" w:space="0" w:color="auto"/>
                    <w:bottom w:val="none" w:sz="0" w:space="0" w:color="auto"/>
                    <w:right w:val="none" w:sz="0" w:space="0" w:color="auto"/>
                  </w:divBdr>
                  <w:divsChild>
                    <w:div w:id="2102791810">
                      <w:marLeft w:val="0"/>
                      <w:marRight w:val="0"/>
                      <w:marTop w:val="0"/>
                      <w:marBottom w:val="0"/>
                      <w:divBdr>
                        <w:top w:val="none" w:sz="0" w:space="0" w:color="auto"/>
                        <w:left w:val="none" w:sz="0" w:space="0" w:color="auto"/>
                        <w:bottom w:val="none" w:sz="0" w:space="0" w:color="auto"/>
                        <w:right w:val="none" w:sz="0" w:space="0" w:color="auto"/>
                      </w:divBdr>
                    </w:div>
                  </w:divsChild>
                </w:div>
                <w:div w:id="232089167">
                  <w:marLeft w:val="0"/>
                  <w:marRight w:val="0"/>
                  <w:marTop w:val="0"/>
                  <w:marBottom w:val="0"/>
                  <w:divBdr>
                    <w:top w:val="none" w:sz="0" w:space="0" w:color="auto"/>
                    <w:left w:val="none" w:sz="0" w:space="0" w:color="auto"/>
                    <w:bottom w:val="none" w:sz="0" w:space="0" w:color="auto"/>
                    <w:right w:val="none" w:sz="0" w:space="0" w:color="auto"/>
                  </w:divBdr>
                  <w:divsChild>
                    <w:div w:id="2000032222">
                      <w:marLeft w:val="0"/>
                      <w:marRight w:val="0"/>
                      <w:marTop w:val="0"/>
                      <w:marBottom w:val="0"/>
                      <w:divBdr>
                        <w:top w:val="none" w:sz="0" w:space="0" w:color="auto"/>
                        <w:left w:val="none" w:sz="0" w:space="0" w:color="auto"/>
                        <w:bottom w:val="none" w:sz="0" w:space="0" w:color="auto"/>
                        <w:right w:val="none" w:sz="0" w:space="0" w:color="auto"/>
                      </w:divBdr>
                    </w:div>
                  </w:divsChild>
                </w:div>
                <w:div w:id="233247790">
                  <w:marLeft w:val="0"/>
                  <w:marRight w:val="0"/>
                  <w:marTop w:val="0"/>
                  <w:marBottom w:val="0"/>
                  <w:divBdr>
                    <w:top w:val="none" w:sz="0" w:space="0" w:color="auto"/>
                    <w:left w:val="none" w:sz="0" w:space="0" w:color="auto"/>
                    <w:bottom w:val="none" w:sz="0" w:space="0" w:color="auto"/>
                    <w:right w:val="none" w:sz="0" w:space="0" w:color="auto"/>
                  </w:divBdr>
                  <w:divsChild>
                    <w:div w:id="678389787">
                      <w:marLeft w:val="0"/>
                      <w:marRight w:val="0"/>
                      <w:marTop w:val="0"/>
                      <w:marBottom w:val="0"/>
                      <w:divBdr>
                        <w:top w:val="none" w:sz="0" w:space="0" w:color="auto"/>
                        <w:left w:val="none" w:sz="0" w:space="0" w:color="auto"/>
                        <w:bottom w:val="none" w:sz="0" w:space="0" w:color="auto"/>
                        <w:right w:val="none" w:sz="0" w:space="0" w:color="auto"/>
                      </w:divBdr>
                    </w:div>
                  </w:divsChild>
                </w:div>
                <w:div w:id="235213111">
                  <w:marLeft w:val="0"/>
                  <w:marRight w:val="0"/>
                  <w:marTop w:val="0"/>
                  <w:marBottom w:val="0"/>
                  <w:divBdr>
                    <w:top w:val="none" w:sz="0" w:space="0" w:color="auto"/>
                    <w:left w:val="none" w:sz="0" w:space="0" w:color="auto"/>
                    <w:bottom w:val="none" w:sz="0" w:space="0" w:color="auto"/>
                    <w:right w:val="none" w:sz="0" w:space="0" w:color="auto"/>
                  </w:divBdr>
                  <w:divsChild>
                    <w:div w:id="1281957463">
                      <w:marLeft w:val="0"/>
                      <w:marRight w:val="0"/>
                      <w:marTop w:val="0"/>
                      <w:marBottom w:val="0"/>
                      <w:divBdr>
                        <w:top w:val="none" w:sz="0" w:space="0" w:color="auto"/>
                        <w:left w:val="none" w:sz="0" w:space="0" w:color="auto"/>
                        <w:bottom w:val="none" w:sz="0" w:space="0" w:color="auto"/>
                        <w:right w:val="none" w:sz="0" w:space="0" w:color="auto"/>
                      </w:divBdr>
                    </w:div>
                  </w:divsChild>
                </w:div>
                <w:div w:id="235558498">
                  <w:marLeft w:val="0"/>
                  <w:marRight w:val="0"/>
                  <w:marTop w:val="0"/>
                  <w:marBottom w:val="0"/>
                  <w:divBdr>
                    <w:top w:val="none" w:sz="0" w:space="0" w:color="auto"/>
                    <w:left w:val="none" w:sz="0" w:space="0" w:color="auto"/>
                    <w:bottom w:val="none" w:sz="0" w:space="0" w:color="auto"/>
                    <w:right w:val="none" w:sz="0" w:space="0" w:color="auto"/>
                  </w:divBdr>
                  <w:divsChild>
                    <w:div w:id="1162114637">
                      <w:marLeft w:val="0"/>
                      <w:marRight w:val="0"/>
                      <w:marTop w:val="0"/>
                      <w:marBottom w:val="0"/>
                      <w:divBdr>
                        <w:top w:val="none" w:sz="0" w:space="0" w:color="auto"/>
                        <w:left w:val="none" w:sz="0" w:space="0" w:color="auto"/>
                        <w:bottom w:val="none" w:sz="0" w:space="0" w:color="auto"/>
                        <w:right w:val="none" w:sz="0" w:space="0" w:color="auto"/>
                      </w:divBdr>
                    </w:div>
                  </w:divsChild>
                </w:div>
                <w:div w:id="239759706">
                  <w:marLeft w:val="0"/>
                  <w:marRight w:val="0"/>
                  <w:marTop w:val="0"/>
                  <w:marBottom w:val="0"/>
                  <w:divBdr>
                    <w:top w:val="none" w:sz="0" w:space="0" w:color="auto"/>
                    <w:left w:val="none" w:sz="0" w:space="0" w:color="auto"/>
                    <w:bottom w:val="none" w:sz="0" w:space="0" w:color="auto"/>
                    <w:right w:val="none" w:sz="0" w:space="0" w:color="auto"/>
                  </w:divBdr>
                  <w:divsChild>
                    <w:div w:id="992755947">
                      <w:marLeft w:val="0"/>
                      <w:marRight w:val="0"/>
                      <w:marTop w:val="0"/>
                      <w:marBottom w:val="0"/>
                      <w:divBdr>
                        <w:top w:val="none" w:sz="0" w:space="0" w:color="auto"/>
                        <w:left w:val="none" w:sz="0" w:space="0" w:color="auto"/>
                        <w:bottom w:val="none" w:sz="0" w:space="0" w:color="auto"/>
                        <w:right w:val="none" w:sz="0" w:space="0" w:color="auto"/>
                      </w:divBdr>
                    </w:div>
                  </w:divsChild>
                </w:div>
                <w:div w:id="241522907">
                  <w:marLeft w:val="0"/>
                  <w:marRight w:val="0"/>
                  <w:marTop w:val="0"/>
                  <w:marBottom w:val="0"/>
                  <w:divBdr>
                    <w:top w:val="none" w:sz="0" w:space="0" w:color="auto"/>
                    <w:left w:val="none" w:sz="0" w:space="0" w:color="auto"/>
                    <w:bottom w:val="none" w:sz="0" w:space="0" w:color="auto"/>
                    <w:right w:val="none" w:sz="0" w:space="0" w:color="auto"/>
                  </w:divBdr>
                  <w:divsChild>
                    <w:div w:id="301425201">
                      <w:marLeft w:val="0"/>
                      <w:marRight w:val="0"/>
                      <w:marTop w:val="0"/>
                      <w:marBottom w:val="0"/>
                      <w:divBdr>
                        <w:top w:val="none" w:sz="0" w:space="0" w:color="auto"/>
                        <w:left w:val="none" w:sz="0" w:space="0" w:color="auto"/>
                        <w:bottom w:val="none" w:sz="0" w:space="0" w:color="auto"/>
                        <w:right w:val="none" w:sz="0" w:space="0" w:color="auto"/>
                      </w:divBdr>
                    </w:div>
                  </w:divsChild>
                </w:div>
                <w:div w:id="244338263">
                  <w:marLeft w:val="0"/>
                  <w:marRight w:val="0"/>
                  <w:marTop w:val="0"/>
                  <w:marBottom w:val="0"/>
                  <w:divBdr>
                    <w:top w:val="none" w:sz="0" w:space="0" w:color="auto"/>
                    <w:left w:val="none" w:sz="0" w:space="0" w:color="auto"/>
                    <w:bottom w:val="none" w:sz="0" w:space="0" w:color="auto"/>
                    <w:right w:val="none" w:sz="0" w:space="0" w:color="auto"/>
                  </w:divBdr>
                  <w:divsChild>
                    <w:div w:id="39674397">
                      <w:marLeft w:val="0"/>
                      <w:marRight w:val="0"/>
                      <w:marTop w:val="0"/>
                      <w:marBottom w:val="0"/>
                      <w:divBdr>
                        <w:top w:val="none" w:sz="0" w:space="0" w:color="auto"/>
                        <w:left w:val="none" w:sz="0" w:space="0" w:color="auto"/>
                        <w:bottom w:val="none" w:sz="0" w:space="0" w:color="auto"/>
                        <w:right w:val="none" w:sz="0" w:space="0" w:color="auto"/>
                      </w:divBdr>
                    </w:div>
                  </w:divsChild>
                </w:div>
                <w:div w:id="252471506">
                  <w:marLeft w:val="0"/>
                  <w:marRight w:val="0"/>
                  <w:marTop w:val="0"/>
                  <w:marBottom w:val="0"/>
                  <w:divBdr>
                    <w:top w:val="none" w:sz="0" w:space="0" w:color="auto"/>
                    <w:left w:val="none" w:sz="0" w:space="0" w:color="auto"/>
                    <w:bottom w:val="none" w:sz="0" w:space="0" w:color="auto"/>
                    <w:right w:val="none" w:sz="0" w:space="0" w:color="auto"/>
                  </w:divBdr>
                  <w:divsChild>
                    <w:div w:id="1072654207">
                      <w:marLeft w:val="0"/>
                      <w:marRight w:val="0"/>
                      <w:marTop w:val="0"/>
                      <w:marBottom w:val="0"/>
                      <w:divBdr>
                        <w:top w:val="none" w:sz="0" w:space="0" w:color="auto"/>
                        <w:left w:val="none" w:sz="0" w:space="0" w:color="auto"/>
                        <w:bottom w:val="none" w:sz="0" w:space="0" w:color="auto"/>
                        <w:right w:val="none" w:sz="0" w:space="0" w:color="auto"/>
                      </w:divBdr>
                    </w:div>
                  </w:divsChild>
                </w:div>
                <w:div w:id="256451316">
                  <w:marLeft w:val="0"/>
                  <w:marRight w:val="0"/>
                  <w:marTop w:val="0"/>
                  <w:marBottom w:val="0"/>
                  <w:divBdr>
                    <w:top w:val="none" w:sz="0" w:space="0" w:color="auto"/>
                    <w:left w:val="none" w:sz="0" w:space="0" w:color="auto"/>
                    <w:bottom w:val="none" w:sz="0" w:space="0" w:color="auto"/>
                    <w:right w:val="none" w:sz="0" w:space="0" w:color="auto"/>
                  </w:divBdr>
                  <w:divsChild>
                    <w:div w:id="1290623026">
                      <w:marLeft w:val="0"/>
                      <w:marRight w:val="0"/>
                      <w:marTop w:val="0"/>
                      <w:marBottom w:val="0"/>
                      <w:divBdr>
                        <w:top w:val="none" w:sz="0" w:space="0" w:color="auto"/>
                        <w:left w:val="none" w:sz="0" w:space="0" w:color="auto"/>
                        <w:bottom w:val="none" w:sz="0" w:space="0" w:color="auto"/>
                        <w:right w:val="none" w:sz="0" w:space="0" w:color="auto"/>
                      </w:divBdr>
                    </w:div>
                  </w:divsChild>
                </w:div>
                <w:div w:id="261306203">
                  <w:marLeft w:val="0"/>
                  <w:marRight w:val="0"/>
                  <w:marTop w:val="0"/>
                  <w:marBottom w:val="0"/>
                  <w:divBdr>
                    <w:top w:val="none" w:sz="0" w:space="0" w:color="auto"/>
                    <w:left w:val="none" w:sz="0" w:space="0" w:color="auto"/>
                    <w:bottom w:val="none" w:sz="0" w:space="0" w:color="auto"/>
                    <w:right w:val="none" w:sz="0" w:space="0" w:color="auto"/>
                  </w:divBdr>
                  <w:divsChild>
                    <w:div w:id="2012561479">
                      <w:marLeft w:val="0"/>
                      <w:marRight w:val="0"/>
                      <w:marTop w:val="0"/>
                      <w:marBottom w:val="0"/>
                      <w:divBdr>
                        <w:top w:val="none" w:sz="0" w:space="0" w:color="auto"/>
                        <w:left w:val="none" w:sz="0" w:space="0" w:color="auto"/>
                        <w:bottom w:val="none" w:sz="0" w:space="0" w:color="auto"/>
                        <w:right w:val="none" w:sz="0" w:space="0" w:color="auto"/>
                      </w:divBdr>
                    </w:div>
                  </w:divsChild>
                </w:div>
                <w:div w:id="263198926">
                  <w:marLeft w:val="0"/>
                  <w:marRight w:val="0"/>
                  <w:marTop w:val="0"/>
                  <w:marBottom w:val="0"/>
                  <w:divBdr>
                    <w:top w:val="none" w:sz="0" w:space="0" w:color="auto"/>
                    <w:left w:val="none" w:sz="0" w:space="0" w:color="auto"/>
                    <w:bottom w:val="none" w:sz="0" w:space="0" w:color="auto"/>
                    <w:right w:val="none" w:sz="0" w:space="0" w:color="auto"/>
                  </w:divBdr>
                  <w:divsChild>
                    <w:div w:id="815804256">
                      <w:marLeft w:val="0"/>
                      <w:marRight w:val="0"/>
                      <w:marTop w:val="0"/>
                      <w:marBottom w:val="0"/>
                      <w:divBdr>
                        <w:top w:val="none" w:sz="0" w:space="0" w:color="auto"/>
                        <w:left w:val="none" w:sz="0" w:space="0" w:color="auto"/>
                        <w:bottom w:val="none" w:sz="0" w:space="0" w:color="auto"/>
                        <w:right w:val="none" w:sz="0" w:space="0" w:color="auto"/>
                      </w:divBdr>
                    </w:div>
                  </w:divsChild>
                </w:div>
                <w:div w:id="268397481">
                  <w:marLeft w:val="0"/>
                  <w:marRight w:val="0"/>
                  <w:marTop w:val="0"/>
                  <w:marBottom w:val="0"/>
                  <w:divBdr>
                    <w:top w:val="none" w:sz="0" w:space="0" w:color="auto"/>
                    <w:left w:val="none" w:sz="0" w:space="0" w:color="auto"/>
                    <w:bottom w:val="none" w:sz="0" w:space="0" w:color="auto"/>
                    <w:right w:val="none" w:sz="0" w:space="0" w:color="auto"/>
                  </w:divBdr>
                  <w:divsChild>
                    <w:div w:id="441457660">
                      <w:marLeft w:val="0"/>
                      <w:marRight w:val="0"/>
                      <w:marTop w:val="0"/>
                      <w:marBottom w:val="0"/>
                      <w:divBdr>
                        <w:top w:val="none" w:sz="0" w:space="0" w:color="auto"/>
                        <w:left w:val="none" w:sz="0" w:space="0" w:color="auto"/>
                        <w:bottom w:val="none" w:sz="0" w:space="0" w:color="auto"/>
                        <w:right w:val="none" w:sz="0" w:space="0" w:color="auto"/>
                      </w:divBdr>
                    </w:div>
                  </w:divsChild>
                </w:div>
                <w:div w:id="279454911">
                  <w:marLeft w:val="0"/>
                  <w:marRight w:val="0"/>
                  <w:marTop w:val="0"/>
                  <w:marBottom w:val="0"/>
                  <w:divBdr>
                    <w:top w:val="none" w:sz="0" w:space="0" w:color="auto"/>
                    <w:left w:val="none" w:sz="0" w:space="0" w:color="auto"/>
                    <w:bottom w:val="none" w:sz="0" w:space="0" w:color="auto"/>
                    <w:right w:val="none" w:sz="0" w:space="0" w:color="auto"/>
                  </w:divBdr>
                  <w:divsChild>
                    <w:div w:id="1072384506">
                      <w:marLeft w:val="0"/>
                      <w:marRight w:val="0"/>
                      <w:marTop w:val="0"/>
                      <w:marBottom w:val="0"/>
                      <w:divBdr>
                        <w:top w:val="none" w:sz="0" w:space="0" w:color="auto"/>
                        <w:left w:val="none" w:sz="0" w:space="0" w:color="auto"/>
                        <w:bottom w:val="none" w:sz="0" w:space="0" w:color="auto"/>
                        <w:right w:val="none" w:sz="0" w:space="0" w:color="auto"/>
                      </w:divBdr>
                    </w:div>
                  </w:divsChild>
                </w:div>
                <w:div w:id="283705481">
                  <w:marLeft w:val="0"/>
                  <w:marRight w:val="0"/>
                  <w:marTop w:val="0"/>
                  <w:marBottom w:val="0"/>
                  <w:divBdr>
                    <w:top w:val="none" w:sz="0" w:space="0" w:color="auto"/>
                    <w:left w:val="none" w:sz="0" w:space="0" w:color="auto"/>
                    <w:bottom w:val="none" w:sz="0" w:space="0" w:color="auto"/>
                    <w:right w:val="none" w:sz="0" w:space="0" w:color="auto"/>
                  </w:divBdr>
                  <w:divsChild>
                    <w:div w:id="2070036528">
                      <w:marLeft w:val="0"/>
                      <w:marRight w:val="0"/>
                      <w:marTop w:val="0"/>
                      <w:marBottom w:val="0"/>
                      <w:divBdr>
                        <w:top w:val="none" w:sz="0" w:space="0" w:color="auto"/>
                        <w:left w:val="none" w:sz="0" w:space="0" w:color="auto"/>
                        <w:bottom w:val="none" w:sz="0" w:space="0" w:color="auto"/>
                        <w:right w:val="none" w:sz="0" w:space="0" w:color="auto"/>
                      </w:divBdr>
                    </w:div>
                  </w:divsChild>
                </w:div>
                <w:div w:id="289166691">
                  <w:marLeft w:val="0"/>
                  <w:marRight w:val="0"/>
                  <w:marTop w:val="0"/>
                  <w:marBottom w:val="0"/>
                  <w:divBdr>
                    <w:top w:val="none" w:sz="0" w:space="0" w:color="auto"/>
                    <w:left w:val="none" w:sz="0" w:space="0" w:color="auto"/>
                    <w:bottom w:val="none" w:sz="0" w:space="0" w:color="auto"/>
                    <w:right w:val="none" w:sz="0" w:space="0" w:color="auto"/>
                  </w:divBdr>
                  <w:divsChild>
                    <w:div w:id="1194154604">
                      <w:marLeft w:val="0"/>
                      <w:marRight w:val="0"/>
                      <w:marTop w:val="0"/>
                      <w:marBottom w:val="0"/>
                      <w:divBdr>
                        <w:top w:val="none" w:sz="0" w:space="0" w:color="auto"/>
                        <w:left w:val="none" w:sz="0" w:space="0" w:color="auto"/>
                        <w:bottom w:val="none" w:sz="0" w:space="0" w:color="auto"/>
                        <w:right w:val="none" w:sz="0" w:space="0" w:color="auto"/>
                      </w:divBdr>
                    </w:div>
                  </w:divsChild>
                </w:div>
                <w:div w:id="301273997">
                  <w:marLeft w:val="0"/>
                  <w:marRight w:val="0"/>
                  <w:marTop w:val="0"/>
                  <w:marBottom w:val="0"/>
                  <w:divBdr>
                    <w:top w:val="none" w:sz="0" w:space="0" w:color="auto"/>
                    <w:left w:val="none" w:sz="0" w:space="0" w:color="auto"/>
                    <w:bottom w:val="none" w:sz="0" w:space="0" w:color="auto"/>
                    <w:right w:val="none" w:sz="0" w:space="0" w:color="auto"/>
                  </w:divBdr>
                  <w:divsChild>
                    <w:div w:id="536241726">
                      <w:marLeft w:val="0"/>
                      <w:marRight w:val="0"/>
                      <w:marTop w:val="0"/>
                      <w:marBottom w:val="0"/>
                      <w:divBdr>
                        <w:top w:val="none" w:sz="0" w:space="0" w:color="auto"/>
                        <w:left w:val="none" w:sz="0" w:space="0" w:color="auto"/>
                        <w:bottom w:val="none" w:sz="0" w:space="0" w:color="auto"/>
                        <w:right w:val="none" w:sz="0" w:space="0" w:color="auto"/>
                      </w:divBdr>
                    </w:div>
                  </w:divsChild>
                </w:div>
                <w:div w:id="321782017">
                  <w:marLeft w:val="0"/>
                  <w:marRight w:val="0"/>
                  <w:marTop w:val="0"/>
                  <w:marBottom w:val="0"/>
                  <w:divBdr>
                    <w:top w:val="none" w:sz="0" w:space="0" w:color="auto"/>
                    <w:left w:val="none" w:sz="0" w:space="0" w:color="auto"/>
                    <w:bottom w:val="none" w:sz="0" w:space="0" w:color="auto"/>
                    <w:right w:val="none" w:sz="0" w:space="0" w:color="auto"/>
                  </w:divBdr>
                  <w:divsChild>
                    <w:div w:id="144854439">
                      <w:marLeft w:val="0"/>
                      <w:marRight w:val="0"/>
                      <w:marTop w:val="0"/>
                      <w:marBottom w:val="0"/>
                      <w:divBdr>
                        <w:top w:val="none" w:sz="0" w:space="0" w:color="auto"/>
                        <w:left w:val="none" w:sz="0" w:space="0" w:color="auto"/>
                        <w:bottom w:val="none" w:sz="0" w:space="0" w:color="auto"/>
                        <w:right w:val="none" w:sz="0" w:space="0" w:color="auto"/>
                      </w:divBdr>
                    </w:div>
                  </w:divsChild>
                </w:div>
                <w:div w:id="323708942">
                  <w:marLeft w:val="0"/>
                  <w:marRight w:val="0"/>
                  <w:marTop w:val="0"/>
                  <w:marBottom w:val="0"/>
                  <w:divBdr>
                    <w:top w:val="none" w:sz="0" w:space="0" w:color="auto"/>
                    <w:left w:val="none" w:sz="0" w:space="0" w:color="auto"/>
                    <w:bottom w:val="none" w:sz="0" w:space="0" w:color="auto"/>
                    <w:right w:val="none" w:sz="0" w:space="0" w:color="auto"/>
                  </w:divBdr>
                  <w:divsChild>
                    <w:div w:id="798377419">
                      <w:marLeft w:val="0"/>
                      <w:marRight w:val="0"/>
                      <w:marTop w:val="0"/>
                      <w:marBottom w:val="0"/>
                      <w:divBdr>
                        <w:top w:val="none" w:sz="0" w:space="0" w:color="auto"/>
                        <w:left w:val="none" w:sz="0" w:space="0" w:color="auto"/>
                        <w:bottom w:val="none" w:sz="0" w:space="0" w:color="auto"/>
                        <w:right w:val="none" w:sz="0" w:space="0" w:color="auto"/>
                      </w:divBdr>
                    </w:div>
                  </w:divsChild>
                </w:div>
                <w:div w:id="331421450">
                  <w:marLeft w:val="0"/>
                  <w:marRight w:val="0"/>
                  <w:marTop w:val="0"/>
                  <w:marBottom w:val="0"/>
                  <w:divBdr>
                    <w:top w:val="none" w:sz="0" w:space="0" w:color="auto"/>
                    <w:left w:val="none" w:sz="0" w:space="0" w:color="auto"/>
                    <w:bottom w:val="none" w:sz="0" w:space="0" w:color="auto"/>
                    <w:right w:val="none" w:sz="0" w:space="0" w:color="auto"/>
                  </w:divBdr>
                  <w:divsChild>
                    <w:div w:id="466628772">
                      <w:marLeft w:val="0"/>
                      <w:marRight w:val="0"/>
                      <w:marTop w:val="0"/>
                      <w:marBottom w:val="0"/>
                      <w:divBdr>
                        <w:top w:val="none" w:sz="0" w:space="0" w:color="auto"/>
                        <w:left w:val="none" w:sz="0" w:space="0" w:color="auto"/>
                        <w:bottom w:val="none" w:sz="0" w:space="0" w:color="auto"/>
                        <w:right w:val="none" w:sz="0" w:space="0" w:color="auto"/>
                      </w:divBdr>
                    </w:div>
                  </w:divsChild>
                </w:div>
                <w:div w:id="334312058">
                  <w:marLeft w:val="0"/>
                  <w:marRight w:val="0"/>
                  <w:marTop w:val="0"/>
                  <w:marBottom w:val="0"/>
                  <w:divBdr>
                    <w:top w:val="none" w:sz="0" w:space="0" w:color="auto"/>
                    <w:left w:val="none" w:sz="0" w:space="0" w:color="auto"/>
                    <w:bottom w:val="none" w:sz="0" w:space="0" w:color="auto"/>
                    <w:right w:val="none" w:sz="0" w:space="0" w:color="auto"/>
                  </w:divBdr>
                  <w:divsChild>
                    <w:div w:id="81948694">
                      <w:marLeft w:val="0"/>
                      <w:marRight w:val="0"/>
                      <w:marTop w:val="0"/>
                      <w:marBottom w:val="0"/>
                      <w:divBdr>
                        <w:top w:val="none" w:sz="0" w:space="0" w:color="auto"/>
                        <w:left w:val="none" w:sz="0" w:space="0" w:color="auto"/>
                        <w:bottom w:val="none" w:sz="0" w:space="0" w:color="auto"/>
                        <w:right w:val="none" w:sz="0" w:space="0" w:color="auto"/>
                      </w:divBdr>
                    </w:div>
                  </w:divsChild>
                </w:div>
                <w:div w:id="336270700">
                  <w:marLeft w:val="0"/>
                  <w:marRight w:val="0"/>
                  <w:marTop w:val="0"/>
                  <w:marBottom w:val="0"/>
                  <w:divBdr>
                    <w:top w:val="none" w:sz="0" w:space="0" w:color="auto"/>
                    <w:left w:val="none" w:sz="0" w:space="0" w:color="auto"/>
                    <w:bottom w:val="none" w:sz="0" w:space="0" w:color="auto"/>
                    <w:right w:val="none" w:sz="0" w:space="0" w:color="auto"/>
                  </w:divBdr>
                  <w:divsChild>
                    <w:div w:id="1446803572">
                      <w:marLeft w:val="0"/>
                      <w:marRight w:val="0"/>
                      <w:marTop w:val="0"/>
                      <w:marBottom w:val="0"/>
                      <w:divBdr>
                        <w:top w:val="none" w:sz="0" w:space="0" w:color="auto"/>
                        <w:left w:val="none" w:sz="0" w:space="0" w:color="auto"/>
                        <w:bottom w:val="none" w:sz="0" w:space="0" w:color="auto"/>
                        <w:right w:val="none" w:sz="0" w:space="0" w:color="auto"/>
                      </w:divBdr>
                    </w:div>
                  </w:divsChild>
                </w:div>
                <w:div w:id="341011861">
                  <w:marLeft w:val="0"/>
                  <w:marRight w:val="0"/>
                  <w:marTop w:val="0"/>
                  <w:marBottom w:val="0"/>
                  <w:divBdr>
                    <w:top w:val="none" w:sz="0" w:space="0" w:color="auto"/>
                    <w:left w:val="none" w:sz="0" w:space="0" w:color="auto"/>
                    <w:bottom w:val="none" w:sz="0" w:space="0" w:color="auto"/>
                    <w:right w:val="none" w:sz="0" w:space="0" w:color="auto"/>
                  </w:divBdr>
                  <w:divsChild>
                    <w:div w:id="1939870665">
                      <w:marLeft w:val="0"/>
                      <w:marRight w:val="0"/>
                      <w:marTop w:val="0"/>
                      <w:marBottom w:val="0"/>
                      <w:divBdr>
                        <w:top w:val="none" w:sz="0" w:space="0" w:color="auto"/>
                        <w:left w:val="none" w:sz="0" w:space="0" w:color="auto"/>
                        <w:bottom w:val="none" w:sz="0" w:space="0" w:color="auto"/>
                        <w:right w:val="none" w:sz="0" w:space="0" w:color="auto"/>
                      </w:divBdr>
                    </w:div>
                  </w:divsChild>
                </w:div>
                <w:div w:id="347217844">
                  <w:marLeft w:val="0"/>
                  <w:marRight w:val="0"/>
                  <w:marTop w:val="0"/>
                  <w:marBottom w:val="0"/>
                  <w:divBdr>
                    <w:top w:val="none" w:sz="0" w:space="0" w:color="auto"/>
                    <w:left w:val="none" w:sz="0" w:space="0" w:color="auto"/>
                    <w:bottom w:val="none" w:sz="0" w:space="0" w:color="auto"/>
                    <w:right w:val="none" w:sz="0" w:space="0" w:color="auto"/>
                  </w:divBdr>
                  <w:divsChild>
                    <w:div w:id="321589930">
                      <w:marLeft w:val="0"/>
                      <w:marRight w:val="0"/>
                      <w:marTop w:val="0"/>
                      <w:marBottom w:val="0"/>
                      <w:divBdr>
                        <w:top w:val="none" w:sz="0" w:space="0" w:color="auto"/>
                        <w:left w:val="none" w:sz="0" w:space="0" w:color="auto"/>
                        <w:bottom w:val="none" w:sz="0" w:space="0" w:color="auto"/>
                        <w:right w:val="none" w:sz="0" w:space="0" w:color="auto"/>
                      </w:divBdr>
                    </w:div>
                  </w:divsChild>
                </w:div>
                <w:div w:id="348070277">
                  <w:marLeft w:val="0"/>
                  <w:marRight w:val="0"/>
                  <w:marTop w:val="0"/>
                  <w:marBottom w:val="0"/>
                  <w:divBdr>
                    <w:top w:val="none" w:sz="0" w:space="0" w:color="auto"/>
                    <w:left w:val="none" w:sz="0" w:space="0" w:color="auto"/>
                    <w:bottom w:val="none" w:sz="0" w:space="0" w:color="auto"/>
                    <w:right w:val="none" w:sz="0" w:space="0" w:color="auto"/>
                  </w:divBdr>
                  <w:divsChild>
                    <w:div w:id="849181728">
                      <w:marLeft w:val="0"/>
                      <w:marRight w:val="0"/>
                      <w:marTop w:val="0"/>
                      <w:marBottom w:val="0"/>
                      <w:divBdr>
                        <w:top w:val="none" w:sz="0" w:space="0" w:color="auto"/>
                        <w:left w:val="none" w:sz="0" w:space="0" w:color="auto"/>
                        <w:bottom w:val="none" w:sz="0" w:space="0" w:color="auto"/>
                        <w:right w:val="none" w:sz="0" w:space="0" w:color="auto"/>
                      </w:divBdr>
                    </w:div>
                  </w:divsChild>
                </w:div>
                <w:div w:id="349643122">
                  <w:marLeft w:val="0"/>
                  <w:marRight w:val="0"/>
                  <w:marTop w:val="0"/>
                  <w:marBottom w:val="0"/>
                  <w:divBdr>
                    <w:top w:val="none" w:sz="0" w:space="0" w:color="auto"/>
                    <w:left w:val="none" w:sz="0" w:space="0" w:color="auto"/>
                    <w:bottom w:val="none" w:sz="0" w:space="0" w:color="auto"/>
                    <w:right w:val="none" w:sz="0" w:space="0" w:color="auto"/>
                  </w:divBdr>
                  <w:divsChild>
                    <w:div w:id="859464535">
                      <w:marLeft w:val="0"/>
                      <w:marRight w:val="0"/>
                      <w:marTop w:val="0"/>
                      <w:marBottom w:val="0"/>
                      <w:divBdr>
                        <w:top w:val="none" w:sz="0" w:space="0" w:color="auto"/>
                        <w:left w:val="none" w:sz="0" w:space="0" w:color="auto"/>
                        <w:bottom w:val="none" w:sz="0" w:space="0" w:color="auto"/>
                        <w:right w:val="none" w:sz="0" w:space="0" w:color="auto"/>
                      </w:divBdr>
                    </w:div>
                  </w:divsChild>
                </w:div>
                <w:div w:id="360862881">
                  <w:marLeft w:val="0"/>
                  <w:marRight w:val="0"/>
                  <w:marTop w:val="0"/>
                  <w:marBottom w:val="0"/>
                  <w:divBdr>
                    <w:top w:val="none" w:sz="0" w:space="0" w:color="auto"/>
                    <w:left w:val="none" w:sz="0" w:space="0" w:color="auto"/>
                    <w:bottom w:val="none" w:sz="0" w:space="0" w:color="auto"/>
                    <w:right w:val="none" w:sz="0" w:space="0" w:color="auto"/>
                  </w:divBdr>
                  <w:divsChild>
                    <w:div w:id="1017317163">
                      <w:marLeft w:val="0"/>
                      <w:marRight w:val="0"/>
                      <w:marTop w:val="0"/>
                      <w:marBottom w:val="0"/>
                      <w:divBdr>
                        <w:top w:val="none" w:sz="0" w:space="0" w:color="auto"/>
                        <w:left w:val="none" w:sz="0" w:space="0" w:color="auto"/>
                        <w:bottom w:val="none" w:sz="0" w:space="0" w:color="auto"/>
                        <w:right w:val="none" w:sz="0" w:space="0" w:color="auto"/>
                      </w:divBdr>
                    </w:div>
                  </w:divsChild>
                </w:div>
                <w:div w:id="365833646">
                  <w:marLeft w:val="0"/>
                  <w:marRight w:val="0"/>
                  <w:marTop w:val="0"/>
                  <w:marBottom w:val="0"/>
                  <w:divBdr>
                    <w:top w:val="none" w:sz="0" w:space="0" w:color="auto"/>
                    <w:left w:val="none" w:sz="0" w:space="0" w:color="auto"/>
                    <w:bottom w:val="none" w:sz="0" w:space="0" w:color="auto"/>
                    <w:right w:val="none" w:sz="0" w:space="0" w:color="auto"/>
                  </w:divBdr>
                  <w:divsChild>
                    <w:div w:id="1819803725">
                      <w:marLeft w:val="0"/>
                      <w:marRight w:val="0"/>
                      <w:marTop w:val="0"/>
                      <w:marBottom w:val="0"/>
                      <w:divBdr>
                        <w:top w:val="none" w:sz="0" w:space="0" w:color="auto"/>
                        <w:left w:val="none" w:sz="0" w:space="0" w:color="auto"/>
                        <w:bottom w:val="none" w:sz="0" w:space="0" w:color="auto"/>
                        <w:right w:val="none" w:sz="0" w:space="0" w:color="auto"/>
                      </w:divBdr>
                    </w:div>
                  </w:divsChild>
                </w:div>
                <w:div w:id="370228792">
                  <w:marLeft w:val="0"/>
                  <w:marRight w:val="0"/>
                  <w:marTop w:val="0"/>
                  <w:marBottom w:val="0"/>
                  <w:divBdr>
                    <w:top w:val="none" w:sz="0" w:space="0" w:color="auto"/>
                    <w:left w:val="none" w:sz="0" w:space="0" w:color="auto"/>
                    <w:bottom w:val="none" w:sz="0" w:space="0" w:color="auto"/>
                    <w:right w:val="none" w:sz="0" w:space="0" w:color="auto"/>
                  </w:divBdr>
                  <w:divsChild>
                    <w:div w:id="1191183007">
                      <w:marLeft w:val="0"/>
                      <w:marRight w:val="0"/>
                      <w:marTop w:val="0"/>
                      <w:marBottom w:val="0"/>
                      <w:divBdr>
                        <w:top w:val="none" w:sz="0" w:space="0" w:color="auto"/>
                        <w:left w:val="none" w:sz="0" w:space="0" w:color="auto"/>
                        <w:bottom w:val="none" w:sz="0" w:space="0" w:color="auto"/>
                        <w:right w:val="none" w:sz="0" w:space="0" w:color="auto"/>
                      </w:divBdr>
                    </w:div>
                  </w:divsChild>
                </w:div>
                <w:div w:id="372195321">
                  <w:marLeft w:val="0"/>
                  <w:marRight w:val="0"/>
                  <w:marTop w:val="0"/>
                  <w:marBottom w:val="0"/>
                  <w:divBdr>
                    <w:top w:val="none" w:sz="0" w:space="0" w:color="auto"/>
                    <w:left w:val="none" w:sz="0" w:space="0" w:color="auto"/>
                    <w:bottom w:val="none" w:sz="0" w:space="0" w:color="auto"/>
                    <w:right w:val="none" w:sz="0" w:space="0" w:color="auto"/>
                  </w:divBdr>
                  <w:divsChild>
                    <w:div w:id="403912218">
                      <w:marLeft w:val="0"/>
                      <w:marRight w:val="0"/>
                      <w:marTop w:val="0"/>
                      <w:marBottom w:val="0"/>
                      <w:divBdr>
                        <w:top w:val="none" w:sz="0" w:space="0" w:color="auto"/>
                        <w:left w:val="none" w:sz="0" w:space="0" w:color="auto"/>
                        <w:bottom w:val="none" w:sz="0" w:space="0" w:color="auto"/>
                        <w:right w:val="none" w:sz="0" w:space="0" w:color="auto"/>
                      </w:divBdr>
                    </w:div>
                  </w:divsChild>
                </w:div>
                <w:div w:id="373116664">
                  <w:marLeft w:val="0"/>
                  <w:marRight w:val="0"/>
                  <w:marTop w:val="0"/>
                  <w:marBottom w:val="0"/>
                  <w:divBdr>
                    <w:top w:val="none" w:sz="0" w:space="0" w:color="auto"/>
                    <w:left w:val="none" w:sz="0" w:space="0" w:color="auto"/>
                    <w:bottom w:val="none" w:sz="0" w:space="0" w:color="auto"/>
                    <w:right w:val="none" w:sz="0" w:space="0" w:color="auto"/>
                  </w:divBdr>
                  <w:divsChild>
                    <w:div w:id="390227766">
                      <w:marLeft w:val="0"/>
                      <w:marRight w:val="0"/>
                      <w:marTop w:val="0"/>
                      <w:marBottom w:val="0"/>
                      <w:divBdr>
                        <w:top w:val="none" w:sz="0" w:space="0" w:color="auto"/>
                        <w:left w:val="none" w:sz="0" w:space="0" w:color="auto"/>
                        <w:bottom w:val="none" w:sz="0" w:space="0" w:color="auto"/>
                        <w:right w:val="none" w:sz="0" w:space="0" w:color="auto"/>
                      </w:divBdr>
                    </w:div>
                  </w:divsChild>
                </w:div>
                <w:div w:id="373240656">
                  <w:marLeft w:val="0"/>
                  <w:marRight w:val="0"/>
                  <w:marTop w:val="0"/>
                  <w:marBottom w:val="0"/>
                  <w:divBdr>
                    <w:top w:val="none" w:sz="0" w:space="0" w:color="auto"/>
                    <w:left w:val="none" w:sz="0" w:space="0" w:color="auto"/>
                    <w:bottom w:val="none" w:sz="0" w:space="0" w:color="auto"/>
                    <w:right w:val="none" w:sz="0" w:space="0" w:color="auto"/>
                  </w:divBdr>
                  <w:divsChild>
                    <w:div w:id="479924579">
                      <w:marLeft w:val="0"/>
                      <w:marRight w:val="0"/>
                      <w:marTop w:val="0"/>
                      <w:marBottom w:val="0"/>
                      <w:divBdr>
                        <w:top w:val="none" w:sz="0" w:space="0" w:color="auto"/>
                        <w:left w:val="none" w:sz="0" w:space="0" w:color="auto"/>
                        <w:bottom w:val="none" w:sz="0" w:space="0" w:color="auto"/>
                        <w:right w:val="none" w:sz="0" w:space="0" w:color="auto"/>
                      </w:divBdr>
                    </w:div>
                  </w:divsChild>
                </w:div>
                <w:div w:id="381708928">
                  <w:marLeft w:val="0"/>
                  <w:marRight w:val="0"/>
                  <w:marTop w:val="0"/>
                  <w:marBottom w:val="0"/>
                  <w:divBdr>
                    <w:top w:val="none" w:sz="0" w:space="0" w:color="auto"/>
                    <w:left w:val="none" w:sz="0" w:space="0" w:color="auto"/>
                    <w:bottom w:val="none" w:sz="0" w:space="0" w:color="auto"/>
                    <w:right w:val="none" w:sz="0" w:space="0" w:color="auto"/>
                  </w:divBdr>
                  <w:divsChild>
                    <w:div w:id="308435828">
                      <w:marLeft w:val="0"/>
                      <w:marRight w:val="0"/>
                      <w:marTop w:val="0"/>
                      <w:marBottom w:val="0"/>
                      <w:divBdr>
                        <w:top w:val="none" w:sz="0" w:space="0" w:color="auto"/>
                        <w:left w:val="none" w:sz="0" w:space="0" w:color="auto"/>
                        <w:bottom w:val="none" w:sz="0" w:space="0" w:color="auto"/>
                        <w:right w:val="none" w:sz="0" w:space="0" w:color="auto"/>
                      </w:divBdr>
                    </w:div>
                  </w:divsChild>
                </w:div>
                <w:div w:id="390274836">
                  <w:marLeft w:val="0"/>
                  <w:marRight w:val="0"/>
                  <w:marTop w:val="0"/>
                  <w:marBottom w:val="0"/>
                  <w:divBdr>
                    <w:top w:val="none" w:sz="0" w:space="0" w:color="auto"/>
                    <w:left w:val="none" w:sz="0" w:space="0" w:color="auto"/>
                    <w:bottom w:val="none" w:sz="0" w:space="0" w:color="auto"/>
                    <w:right w:val="none" w:sz="0" w:space="0" w:color="auto"/>
                  </w:divBdr>
                  <w:divsChild>
                    <w:div w:id="1670254176">
                      <w:marLeft w:val="0"/>
                      <w:marRight w:val="0"/>
                      <w:marTop w:val="0"/>
                      <w:marBottom w:val="0"/>
                      <w:divBdr>
                        <w:top w:val="none" w:sz="0" w:space="0" w:color="auto"/>
                        <w:left w:val="none" w:sz="0" w:space="0" w:color="auto"/>
                        <w:bottom w:val="none" w:sz="0" w:space="0" w:color="auto"/>
                        <w:right w:val="none" w:sz="0" w:space="0" w:color="auto"/>
                      </w:divBdr>
                    </w:div>
                  </w:divsChild>
                </w:div>
                <w:div w:id="392243664">
                  <w:marLeft w:val="0"/>
                  <w:marRight w:val="0"/>
                  <w:marTop w:val="0"/>
                  <w:marBottom w:val="0"/>
                  <w:divBdr>
                    <w:top w:val="none" w:sz="0" w:space="0" w:color="auto"/>
                    <w:left w:val="none" w:sz="0" w:space="0" w:color="auto"/>
                    <w:bottom w:val="none" w:sz="0" w:space="0" w:color="auto"/>
                    <w:right w:val="none" w:sz="0" w:space="0" w:color="auto"/>
                  </w:divBdr>
                  <w:divsChild>
                    <w:div w:id="342629916">
                      <w:marLeft w:val="0"/>
                      <w:marRight w:val="0"/>
                      <w:marTop w:val="0"/>
                      <w:marBottom w:val="0"/>
                      <w:divBdr>
                        <w:top w:val="none" w:sz="0" w:space="0" w:color="auto"/>
                        <w:left w:val="none" w:sz="0" w:space="0" w:color="auto"/>
                        <w:bottom w:val="none" w:sz="0" w:space="0" w:color="auto"/>
                        <w:right w:val="none" w:sz="0" w:space="0" w:color="auto"/>
                      </w:divBdr>
                    </w:div>
                  </w:divsChild>
                </w:div>
                <w:div w:id="392972147">
                  <w:marLeft w:val="0"/>
                  <w:marRight w:val="0"/>
                  <w:marTop w:val="0"/>
                  <w:marBottom w:val="0"/>
                  <w:divBdr>
                    <w:top w:val="none" w:sz="0" w:space="0" w:color="auto"/>
                    <w:left w:val="none" w:sz="0" w:space="0" w:color="auto"/>
                    <w:bottom w:val="none" w:sz="0" w:space="0" w:color="auto"/>
                    <w:right w:val="none" w:sz="0" w:space="0" w:color="auto"/>
                  </w:divBdr>
                  <w:divsChild>
                    <w:div w:id="466818894">
                      <w:marLeft w:val="0"/>
                      <w:marRight w:val="0"/>
                      <w:marTop w:val="0"/>
                      <w:marBottom w:val="0"/>
                      <w:divBdr>
                        <w:top w:val="none" w:sz="0" w:space="0" w:color="auto"/>
                        <w:left w:val="none" w:sz="0" w:space="0" w:color="auto"/>
                        <w:bottom w:val="none" w:sz="0" w:space="0" w:color="auto"/>
                        <w:right w:val="none" w:sz="0" w:space="0" w:color="auto"/>
                      </w:divBdr>
                    </w:div>
                  </w:divsChild>
                </w:div>
                <w:div w:id="396513634">
                  <w:marLeft w:val="0"/>
                  <w:marRight w:val="0"/>
                  <w:marTop w:val="0"/>
                  <w:marBottom w:val="0"/>
                  <w:divBdr>
                    <w:top w:val="none" w:sz="0" w:space="0" w:color="auto"/>
                    <w:left w:val="none" w:sz="0" w:space="0" w:color="auto"/>
                    <w:bottom w:val="none" w:sz="0" w:space="0" w:color="auto"/>
                    <w:right w:val="none" w:sz="0" w:space="0" w:color="auto"/>
                  </w:divBdr>
                  <w:divsChild>
                    <w:div w:id="1767848481">
                      <w:marLeft w:val="0"/>
                      <w:marRight w:val="0"/>
                      <w:marTop w:val="0"/>
                      <w:marBottom w:val="0"/>
                      <w:divBdr>
                        <w:top w:val="none" w:sz="0" w:space="0" w:color="auto"/>
                        <w:left w:val="none" w:sz="0" w:space="0" w:color="auto"/>
                        <w:bottom w:val="none" w:sz="0" w:space="0" w:color="auto"/>
                        <w:right w:val="none" w:sz="0" w:space="0" w:color="auto"/>
                      </w:divBdr>
                    </w:div>
                  </w:divsChild>
                </w:div>
                <w:div w:id="399670793">
                  <w:marLeft w:val="0"/>
                  <w:marRight w:val="0"/>
                  <w:marTop w:val="0"/>
                  <w:marBottom w:val="0"/>
                  <w:divBdr>
                    <w:top w:val="none" w:sz="0" w:space="0" w:color="auto"/>
                    <w:left w:val="none" w:sz="0" w:space="0" w:color="auto"/>
                    <w:bottom w:val="none" w:sz="0" w:space="0" w:color="auto"/>
                    <w:right w:val="none" w:sz="0" w:space="0" w:color="auto"/>
                  </w:divBdr>
                  <w:divsChild>
                    <w:div w:id="1103300762">
                      <w:marLeft w:val="0"/>
                      <w:marRight w:val="0"/>
                      <w:marTop w:val="0"/>
                      <w:marBottom w:val="0"/>
                      <w:divBdr>
                        <w:top w:val="none" w:sz="0" w:space="0" w:color="auto"/>
                        <w:left w:val="none" w:sz="0" w:space="0" w:color="auto"/>
                        <w:bottom w:val="none" w:sz="0" w:space="0" w:color="auto"/>
                        <w:right w:val="none" w:sz="0" w:space="0" w:color="auto"/>
                      </w:divBdr>
                    </w:div>
                  </w:divsChild>
                </w:div>
                <w:div w:id="402725361">
                  <w:marLeft w:val="0"/>
                  <w:marRight w:val="0"/>
                  <w:marTop w:val="0"/>
                  <w:marBottom w:val="0"/>
                  <w:divBdr>
                    <w:top w:val="none" w:sz="0" w:space="0" w:color="auto"/>
                    <w:left w:val="none" w:sz="0" w:space="0" w:color="auto"/>
                    <w:bottom w:val="none" w:sz="0" w:space="0" w:color="auto"/>
                    <w:right w:val="none" w:sz="0" w:space="0" w:color="auto"/>
                  </w:divBdr>
                  <w:divsChild>
                    <w:div w:id="1246841381">
                      <w:marLeft w:val="0"/>
                      <w:marRight w:val="0"/>
                      <w:marTop w:val="0"/>
                      <w:marBottom w:val="0"/>
                      <w:divBdr>
                        <w:top w:val="none" w:sz="0" w:space="0" w:color="auto"/>
                        <w:left w:val="none" w:sz="0" w:space="0" w:color="auto"/>
                        <w:bottom w:val="none" w:sz="0" w:space="0" w:color="auto"/>
                        <w:right w:val="none" w:sz="0" w:space="0" w:color="auto"/>
                      </w:divBdr>
                    </w:div>
                  </w:divsChild>
                </w:div>
                <w:div w:id="402920308">
                  <w:marLeft w:val="0"/>
                  <w:marRight w:val="0"/>
                  <w:marTop w:val="0"/>
                  <w:marBottom w:val="0"/>
                  <w:divBdr>
                    <w:top w:val="none" w:sz="0" w:space="0" w:color="auto"/>
                    <w:left w:val="none" w:sz="0" w:space="0" w:color="auto"/>
                    <w:bottom w:val="none" w:sz="0" w:space="0" w:color="auto"/>
                    <w:right w:val="none" w:sz="0" w:space="0" w:color="auto"/>
                  </w:divBdr>
                  <w:divsChild>
                    <w:div w:id="2056201729">
                      <w:marLeft w:val="0"/>
                      <w:marRight w:val="0"/>
                      <w:marTop w:val="0"/>
                      <w:marBottom w:val="0"/>
                      <w:divBdr>
                        <w:top w:val="none" w:sz="0" w:space="0" w:color="auto"/>
                        <w:left w:val="none" w:sz="0" w:space="0" w:color="auto"/>
                        <w:bottom w:val="none" w:sz="0" w:space="0" w:color="auto"/>
                        <w:right w:val="none" w:sz="0" w:space="0" w:color="auto"/>
                      </w:divBdr>
                    </w:div>
                  </w:divsChild>
                </w:div>
                <w:div w:id="403185833">
                  <w:marLeft w:val="0"/>
                  <w:marRight w:val="0"/>
                  <w:marTop w:val="0"/>
                  <w:marBottom w:val="0"/>
                  <w:divBdr>
                    <w:top w:val="none" w:sz="0" w:space="0" w:color="auto"/>
                    <w:left w:val="none" w:sz="0" w:space="0" w:color="auto"/>
                    <w:bottom w:val="none" w:sz="0" w:space="0" w:color="auto"/>
                    <w:right w:val="none" w:sz="0" w:space="0" w:color="auto"/>
                  </w:divBdr>
                  <w:divsChild>
                    <w:div w:id="874082456">
                      <w:marLeft w:val="0"/>
                      <w:marRight w:val="0"/>
                      <w:marTop w:val="0"/>
                      <w:marBottom w:val="0"/>
                      <w:divBdr>
                        <w:top w:val="none" w:sz="0" w:space="0" w:color="auto"/>
                        <w:left w:val="none" w:sz="0" w:space="0" w:color="auto"/>
                        <w:bottom w:val="none" w:sz="0" w:space="0" w:color="auto"/>
                        <w:right w:val="none" w:sz="0" w:space="0" w:color="auto"/>
                      </w:divBdr>
                    </w:div>
                  </w:divsChild>
                </w:div>
                <w:div w:id="406802317">
                  <w:marLeft w:val="0"/>
                  <w:marRight w:val="0"/>
                  <w:marTop w:val="0"/>
                  <w:marBottom w:val="0"/>
                  <w:divBdr>
                    <w:top w:val="none" w:sz="0" w:space="0" w:color="auto"/>
                    <w:left w:val="none" w:sz="0" w:space="0" w:color="auto"/>
                    <w:bottom w:val="none" w:sz="0" w:space="0" w:color="auto"/>
                    <w:right w:val="none" w:sz="0" w:space="0" w:color="auto"/>
                  </w:divBdr>
                  <w:divsChild>
                    <w:div w:id="1132553243">
                      <w:marLeft w:val="0"/>
                      <w:marRight w:val="0"/>
                      <w:marTop w:val="0"/>
                      <w:marBottom w:val="0"/>
                      <w:divBdr>
                        <w:top w:val="none" w:sz="0" w:space="0" w:color="auto"/>
                        <w:left w:val="none" w:sz="0" w:space="0" w:color="auto"/>
                        <w:bottom w:val="none" w:sz="0" w:space="0" w:color="auto"/>
                        <w:right w:val="none" w:sz="0" w:space="0" w:color="auto"/>
                      </w:divBdr>
                    </w:div>
                  </w:divsChild>
                </w:div>
                <w:div w:id="408504160">
                  <w:marLeft w:val="0"/>
                  <w:marRight w:val="0"/>
                  <w:marTop w:val="0"/>
                  <w:marBottom w:val="0"/>
                  <w:divBdr>
                    <w:top w:val="none" w:sz="0" w:space="0" w:color="auto"/>
                    <w:left w:val="none" w:sz="0" w:space="0" w:color="auto"/>
                    <w:bottom w:val="none" w:sz="0" w:space="0" w:color="auto"/>
                    <w:right w:val="none" w:sz="0" w:space="0" w:color="auto"/>
                  </w:divBdr>
                  <w:divsChild>
                    <w:div w:id="183834429">
                      <w:marLeft w:val="0"/>
                      <w:marRight w:val="0"/>
                      <w:marTop w:val="0"/>
                      <w:marBottom w:val="0"/>
                      <w:divBdr>
                        <w:top w:val="none" w:sz="0" w:space="0" w:color="auto"/>
                        <w:left w:val="none" w:sz="0" w:space="0" w:color="auto"/>
                        <w:bottom w:val="none" w:sz="0" w:space="0" w:color="auto"/>
                        <w:right w:val="none" w:sz="0" w:space="0" w:color="auto"/>
                      </w:divBdr>
                    </w:div>
                  </w:divsChild>
                </w:div>
                <w:div w:id="424115751">
                  <w:marLeft w:val="0"/>
                  <w:marRight w:val="0"/>
                  <w:marTop w:val="0"/>
                  <w:marBottom w:val="0"/>
                  <w:divBdr>
                    <w:top w:val="none" w:sz="0" w:space="0" w:color="auto"/>
                    <w:left w:val="none" w:sz="0" w:space="0" w:color="auto"/>
                    <w:bottom w:val="none" w:sz="0" w:space="0" w:color="auto"/>
                    <w:right w:val="none" w:sz="0" w:space="0" w:color="auto"/>
                  </w:divBdr>
                  <w:divsChild>
                    <w:div w:id="1498494640">
                      <w:marLeft w:val="0"/>
                      <w:marRight w:val="0"/>
                      <w:marTop w:val="0"/>
                      <w:marBottom w:val="0"/>
                      <w:divBdr>
                        <w:top w:val="none" w:sz="0" w:space="0" w:color="auto"/>
                        <w:left w:val="none" w:sz="0" w:space="0" w:color="auto"/>
                        <w:bottom w:val="none" w:sz="0" w:space="0" w:color="auto"/>
                        <w:right w:val="none" w:sz="0" w:space="0" w:color="auto"/>
                      </w:divBdr>
                    </w:div>
                  </w:divsChild>
                </w:div>
                <w:div w:id="427966571">
                  <w:marLeft w:val="0"/>
                  <w:marRight w:val="0"/>
                  <w:marTop w:val="0"/>
                  <w:marBottom w:val="0"/>
                  <w:divBdr>
                    <w:top w:val="none" w:sz="0" w:space="0" w:color="auto"/>
                    <w:left w:val="none" w:sz="0" w:space="0" w:color="auto"/>
                    <w:bottom w:val="none" w:sz="0" w:space="0" w:color="auto"/>
                    <w:right w:val="none" w:sz="0" w:space="0" w:color="auto"/>
                  </w:divBdr>
                  <w:divsChild>
                    <w:div w:id="1760561490">
                      <w:marLeft w:val="0"/>
                      <w:marRight w:val="0"/>
                      <w:marTop w:val="0"/>
                      <w:marBottom w:val="0"/>
                      <w:divBdr>
                        <w:top w:val="none" w:sz="0" w:space="0" w:color="auto"/>
                        <w:left w:val="none" w:sz="0" w:space="0" w:color="auto"/>
                        <w:bottom w:val="none" w:sz="0" w:space="0" w:color="auto"/>
                        <w:right w:val="none" w:sz="0" w:space="0" w:color="auto"/>
                      </w:divBdr>
                    </w:div>
                  </w:divsChild>
                </w:div>
                <w:div w:id="428358270">
                  <w:marLeft w:val="0"/>
                  <w:marRight w:val="0"/>
                  <w:marTop w:val="0"/>
                  <w:marBottom w:val="0"/>
                  <w:divBdr>
                    <w:top w:val="none" w:sz="0" w:space="0" w:color="auto"/>
                    <w:left w:val="none" w:sz="0" w:space="0" w:color="auto"/>
                    <w:bottom w:val="none" w:sz="0" w:space="0" w:color="auto"/>
                    <w:right w:val="none" w:sz="0" w:space="0" w:color="auto"/>
                  </w:divBdr>
                  <w:divsChild>
                    <w:div w:id="1741898761">
                      <w:marLeft w:val="0"/>
                      <w:marRight w:val="0"/>
                      <w:marTop w:val="0"/>
                      <w:marBottom w:val="0"/>
                      <w:divBdr>
                        <w:top w:val="none" w:sz="0" w:space="0" w:color="auto"/>
                        <w:left w:val="none" w:sz="0" w:space="0" w:color="auto"/>
                        <w:bottom w:val="none" w:sz="0" w:space="0" w:color="auto"/>
                        <w:right w:val="none" w:sz="0" w:space="0" w:color="auto"/>
                      </w:divBdr>
                    </w:div>
                  </w:divsChild>
                </w:div>
                <w:div w:id="430049860">
                  <w:marLeft w:val="0"/>
                  <w:marRight w:val="0"/>
                  <w:marTop w:val="0"/>
                  <w:marBottom w:val="0"/>
                  <w:divBdr>
                    <w:top w:val="none" w:sz="0" w:space="0" w:color="auto"/>
                    <w:left w:val="none" w:sz="0" w:space="0" w:color="auto"/>
                    <w:bottom w:val="none" w:sz="0" w:space="0" w:color="auto"/>
                    <w:right w:val="none" w:sz="0" w:space="0" w:color="auto"/>
                  </w:divBdr>
                  <w:divsChild>
                    <w:div w:id="1580750911">
                      <w:marLeft w:val="0"/>
                      <w:marRight w:val="0"/>
                      <w:marTop w:val="0"/>
                      <w:marBottom w:val="0"/>
                      <w:divBdr>
                        <w:top w:val="none" w:sz="0" w:space="0" w:color="auto"/>
                        <w:left w:val="none" w:sz="0" w:space="0" w:color="auto"/>
                        <w:bottom w:val="none" w:sz="0" w:space="0" w:color="auto"/>
                        <w:right w:val="none" w:sz="0" w:space="0" w:color="auto"/>
                      </w:divBdr>
                    </w:div>
                  </w:divsChild>
                </w:div>
                <w:div w:id="432286255">
                  <w:marLeft w:val="0"/>
                  <w:marRight w:val="0"/>
                  <w:marTop w:val="0"/>
                  <w:marBottom w:val="0"/>
                  <w:divBdr>
                    <w:top w:val="none" w:sz="0" w:space="0" w:color="auto"/>
                    <w:left w:val="none" w:sz="0" w:space="0" w:color="auto"/>
                    <w:bottom w:val="none" w:sz="0" w:space="0" w:color="auto"/>
                    <w:right w:val="none" w:sz="0" w:space="0" w:color="auto"/>
                  </w:divBdr>
                  <w:divsChild>
                    <w:div w:id="316767441">
                      <w:marLeft w:val="0"/>
                      <w:marRight w:val="0"/>
                      <w:marTop w:val="0"/>
                      <w:marBottom w:val="0"/>
                      <w:divBdr>
                        <w:top w:val="none" w:sz="0" w:space="0" w:color="auto"/>
                        <w:left w:val="none" w:sz="0" w:space="0" w:color="auto"/>
                        <w:bottom w:val="none" w:sz="0" w:space="0" w:color="auto"/>
                        <w:right w:val="none" w:sz="0" w:space="0" w:color="auto"/>
                      </w:divBdr>
                    </w:div>
                  </w:divsChild>
                </w:div>
                <w:div w:id="434597422">
                  <w:marLeft w:val="0"/>
                  <w:marRight w:val="0"/>
                  <w:marTop w:val="0"/>
                  <w:marBottom w:val="0"/>
                  <w:divBdr>
                    <w:top w:val="none" w:sz="0" w:space="0" w:color="auto"/>
                    <w:left w:val="none" w:sz="0" w:space="0" w:color="auto"/>
                    <w:bottom w:val="none" w:sz="0" w:space="0" w:color="auto"/>
                    <w:right w:val="none" w:sz="0" w:space="0" w:color="auto"/>
                  </w:divBdr>
                  <w:divsChild>
                    <w:div w:id="149450617">
                      <w:marLeft w:val="0"/>
                      <w:marRight w:val="0"/>
                      <w:marTop w:val="0"/>
                      <w:marBottom w:val="0"/>
                      <w:divBdr>
                        <w:top w:val="none" w:sz="0" w:space="0" w:color="auto"/>
                        <w:left w:val="none" w:sz="0" w:space="0" w:color="auto"/>
                        <w:bottom w:val="none" w:sz="0" w:space="0" w:color="auto"/>
                        <w:right w:val="none" w:sz="0" w:space="0" w:color="auto"/>
                      </w:divBdr>
                    </w:div>
                  </w:divsChild>
                </w:div>
                <w:div w:id="434979233">
                  <w:marLeft w:val="0"/>
                  <w:marRight w:val="0"/>
                  <w:marTop w:val="0"/>
                  <w:marBottom w:val="0"/>
                  <w:divBdr>
                    <w:top w:val="none" w:sz="0" w:space="0" w:color="auto"/>
                    <w:left w:val="none" w:sz="0" w:space="0" w:color="auto"/>
                    <w:bottom w:val="none" w:sz="0" w:space="0" w:color="auto"/>
                    <w:right w:val="none" w:sz="0" w:space="0" w:color="auto"/>
                  </w:divBdr>
                  <w:divsChild>
                    <w:div w:id="1956785436">
                      <w:marLeft w:val="0"/>
                      <w:marRight w:val="0"/>
                      <w:marTop w:val="0"/>
                      <w:marBottom w:val="0"/>
                      <w:divBdr>
                        <w:top w:val="none" w:sz="0" w:space="0" w:color="auto"/>
                        <w:left w:val="none" w:sz="0" w:space="0" w:color="auto"/>
                        <w:bottom w:val="none" w:sz="0" w:space="0" w:color="auto"/>
                        <w:right w:val="none" w:sz="0" w:space="0" w:color="auto"/>
                      </w:divBdr>
                    </w:div>
                  </w:divsChild>
                </w:div>
                <w:div w:id="437992448">
                  <w:marLeft w:val="0"/>
                  <w:marRight w:val="0"/>
                  <w:marTop w:val="0"/>
                  <w:marBottom w:val="0"/>
                  <w:divBdr>
                    <w:top w:val="none" w:sz="0" w:space="0" w:color="auto"/>
                    <w:left w:val="none" w:sz="0" w:space="0" w:color="auto"/>
                    <w:bottom w:val="none" w:sz="0" w:space="0" w:color="auto"/>
                    <w:right w:val="none" w:sz="0" w:space="0" w:color="auto"/>
                  </w:divBdr>
                  <w:divsChild>
                    <w:div w:id="347760311">
                      <w:marLeft w:val="0"/>
                      <w:marRight w:val="0"/>
                      <w:marTop w:val="0"/>
                      <w:marBottom w:val="0"/>
                      <w:divBdr>
                        <w:top w:val="none" w:sz="0" w:space="0" w:color="auto"/>
                        <w:left w:val="none" w:sz="0" w:space="0" w:color="auto"/>
                        <w:bottom w:val="none" w:sz="0" w:space="0" w:color="auto"/>
                        <w:right w:val="none" w:sz="0" w:space="0" w:color="auto"/>
                      </w:divBdr>
                    </w:div>
                  </w:divsChild>
                </w:div>
                <w:div w:id="443885735">
                  <w:marLeft w:val="0"/>
                  <w:marRight w:val="0"/>
                  <w:marTop w:val="0"/>
                  <w:marBottom w:val="0"/>
                  <w:divBdr>
                    <w:top w:val="none" w:sz="0" w:space="0" w:color="auto"/>
                    <w:left w:val="none" w:sz="0" w:space="0" w:color="auto"/>
                    <w:bottom w:val="none" w:sz="0" w:space="0" w:color="auto"/>
                    <w:right w:val="none" w:sz="0" w:space="0" w:color="auto"/>
                  </w:divBdr>
                  <w:divsChild>
                    <w:div w:id="428502721">
                      <w:marLeft w:val="0"/>
                      <w:marRight w:val="0"/>
                      <w:marTop w:val="0"/>
                      <w:marBottom w:val="0"/>
                      <w:divBdr>
                        <w:top w:val="none" w:sz="0" w:space="0" w:color="auto"/>
                        <w:left w:val="none" w:sz="0" w:space="0" w:color="auto"/>
                        <w:bottom w:val="none" w:sz="0" w:space="0" w:color="auto"/>
                        <w:right w:val="none" w:sz="0" w:space="0" w:color="auto"/>
                      </w:divBdr>
                    </w:div>
                  </w:divsChild>
                </w:div>
                <w:div w:id="447510963">
                  <w:marLeft w:val="0"/>
                  <w:marRight w:val="0"/>
                  <w:marTop w:val="0"/>
                  <w:marBottom w:val="0"/>
                  <w:divBdr>
                    <w:top w:val="none" w:sz="0" w:space="0" w:color="auto"/>
                    <w:left w:val="none" w:sz="0" w:space="0" w:color="auto"/>
                    <w:bottom w:val="none" w:sz="0" w:space="0" w:color="auto"/>
                    <w:right w:val="none" w:sz="0" w:space="0" w:color="auto"/>
                  </w:divBdr>
                  <w:divsChild>
                    <w:div w:id="1442337832">
                      <w:marLeft w:val="0"/>
                      <w:marRight w:val="0"/>
                      <w:marTop w:val="0"/>
                      <w:marBottom w:val="0"/>
                      <w:divBdr>
                        <w:top w:val="none" w:sz="0" w:space="0" w:color="auto"/>
                        <w:left w:val="none" w:sz="0" w:space="0" w:color="auto"/>
                        <w:bottom w:val="none" w:sz="0" w:space="0" w:color="auto"/>
                        <w:right w:val="none" w:sz="0" w:space="0" w:color="auto"/>
                      </w:divBdr>
                    </w:div>
                  </w:divsChild>
                </w:div>
                <w:div w:id="453518698">
                  <w:marLeft w:val="0"/>
                  <w:marRight w:val="0"/>
                  <w:marTop w:val="0"/>
                  <w:marBottom w:val="0"/>
                  <w:divBdr>
                    <w:top w:val="none" w:sz="0" w:space="0" w:color="auto"/>
                    <w:left w:val="none" w:sz="0" w:space="0" w:color="auto"/>
                    <w:bottom w:val="none" w:sz="0" w:space="0" w:color="auto"/>
                    <w:right w:val="none" w:sz="0" w:space="0" w:color="auto"/>
                  </w:divBdr>
                  <w:divsChild>
                    <w:div w:id="1622221527">
                      <w:marLeft w:val="0"/>
                      <w:marRight w:val="0"/>
                      <w:marTop w:val="0"/>
                      <w:marBottom w:val="0"/>
                      <w:divBdr>
                        <w:top w:val="none" w:sz="0" w:space="0" w:color="auto"/>
                        <w:left w:val="none" w:sz="0" w:space="0" w:color="auto"/>
                        <w:bottom w:val="none" w:sz="0" w:space="0" w:color="auto"/>
                        <w:right w:val="none" w:sz="0" w:space="0" w:color="auto"/>
                      </w:divBdr>
                    </w:div>
                  </w:divsChild>
                </w:div>
                <w:div w:id="453837312">
                  <w:marLeft w:val="0"/>
                  <w:marRight w:val="0"/>
                  <w:marTop w:val="0"/>
                  <w:marBottom w:val="0"/>
                  <w:divBdr>
                    <w:top w:val="none" w:sz="0" w:space="0" w:color="auto"/>
                    <w:left w:val="none" w:sz="0" w:space="0" w:color="auto"/>
                    <w:bottom w:val="none" w:sz="0" w:space="0" w:color="auto"/>
                    <w:right w:val="none" w:sz="0" w:space="0" w:color="auto"/>
                  </w:divBdr>
                  <w:divsChild>
                    <w:div w:id="214701268">
                      <w:marLeft w:val="0"/>
                      <w:marRight w:val="0"/>
                      <w:marTop w:val="0"/>
                      <w:marBottom w:val="0"/>
                      <w:divBdr>
                        <w:top w:val="none" w:sz="0" w:space="0" w:color="auto"/>
                        <w:left w:val="none" w:sz="0" w:space="0" w:color="auto"/>
                        <w:bottom w:val="none" w:sz="0" w:space="0" w:color="auto"/>
                        <w:right w:val="none" w:sz="0" w:space="0" w:color="auto"/>
                      </w:divBdr>
                    </w:div>
                  </w:divsChild>
                </w:div>
                <w:div w:id="455149026">
                  <w:marLeft w:val="0"/>
                  <w:marRight w:val="0"/>
                  <w:marTop w:val="0"/>
                  <w:marBottom w:val="0"/>
                  <w:divBdr>
                    <w:top w:val="none" w:sz="0" w:space="0" w:color="auto"/>
                    <w:left w:val="none" w:sz="0" w:space="0" w:color="auto"/>
                    <w:bottom w:val="none" w:sz="0" w:space="0" w:color="auto"/>
                    <w:right w:val="none" w:sz="0" w:space="0" w:color="auto"/>
                  </w:divBdr>
                  <w:divsChild>
                    <w:div w:id="588081353">
                      <w:marLeft w:val="0"/>
                      <w:marRight w:val="0"/>
                      <w:marTop w:val="0"/>
                      <w:marBottom w:val="0"/>
                      <w:divBdr>
                        <w:top w:val="none" w:sz="0" w:space="0" w:color="auto"/>
                        <w:left w:val="none" w:sz="0" w:space="0" w:color="auto"/>
                        <w:bottom w:val="none" w:sz="0" w:space="0" w:color="auto"/>
                        <w:right w:val="none" w:sz="0" w:space="0" w:color="auto"/>
                      </w:divBdr>
                    </w:div>
                  </w:divsChild>
                </w:div>
                <w:div w:id="457646111">
                  <w:marLeft w:val="0"/>
                  <w:marRight w:val="0"/>
                  <w:marTop w:val="0"/>
                  <w:marBottom w:val="0"/>
                  <w:divBdr>
                    <w:top w:val="none" w:sz="0" w:space="0" w:color="auto"/>
                    <w:left w:val="none" w:sz="0" w:space="0" w:color="auto"/>
                    <w:bottom w:val="none" w:sz="0" w:space="0" w:color="auto"/>
                    <w:right w:val="none" w:sz="0" w:space="0" w:color="auto"/>
                  </w:divBdr>
                  <w:divsChild>
                    <w:div w:id="1606571071">
                      <w:marLeft w:val="0"/>
                      <w:marRight w:val="0"/>
                      <w:marTop w:val="0"/>
                      <w:marBottom w:val="0"/>
                      <w:divBdr>
                        <w:top w:val="none" w:sz="0" w:space="0" w:color="auto"/>
                        <w:left w:val="none" w:sz="0" w:space="0" w:color="auto"/>
                        <w:bottom w:val="none" w:sz="0" w:space="0" w:color="auto"/>
                        <w:right w:val="none" w:sz="0" w:space="0" w:color="auto"/>
                      </w:divBdr>
                    </w:div>
                  </w:divsChild>
                </w:div>
                <w:div w:id="459107086">
                  <w:marLeft w:val="0"/>
                  <w:marRight w:val="0"/>
                  <w:marTop w:val="0"/>
                  <w:marBottom w:val="0"/>
                  <w:divBdr>
                    <w:top w:val="none" w:sz="0" w:space="0" w:color="auto"/>
                    <w:left w:val="none" w:sz="0" w:space="0" w:color="auto"/>
                    <w:bottom w:val="none" w:sz="0" w:space="0" w:color="auto"/>
                    <w:right w:val="none" w:sz="0" w:space="0" w:color="auto"/>
                  </w:divBdr>
                  <w:divsChild>
                    <w:div w:id="175047417">
                      <w:marLeft w:val="0"/>
                      <w:marRight w:val="0"/>
                      <w:marTop w:val="0"/>
                      <w:marBottom w:val="0"/>
                      <w:divBdr>
                        <w:top w:val="none" w:sz="0" w:space="0" w:color="auto"/>
                        <w:left w:val="none" w:sz="0" w:space="0" w:color="auto"/>
                        <w:bottom w:val="none" w:sz="0" w:space="0" w:color="auto"/>
                        <w:right w:val="none" w:sz="0" w:space="0" w:color="auto"/>
                      </w:divBdr>
                    </w:div>
                  </w:divsChild>
                </w:div>
                <w:div w:id="464081466">
                  <w:marLeft w:val="0"/>
                  <w:marRight w:val="0"/>
                  <w:marTop w:val="0"/>
                  <w:marBottom w:val="0"/>
                  <w:divBdr>
                    <w:top w:val="none" w:sz="0" w:space="0" w:color="auto"/>
                    <w:left w:val="none" w:sz="0" w:space="0" w:color="auto"/>
                    <w:bottom w:val="none" w:sz="0" w:space="0" w:color="auto"/>
                    <w:right w:val="none" w:sz="0" w:space="0" w:color="auto"/>
                  </w:divBdr>
                  <w:divsChild>
                    <w:div w:id="1456215019">
                      <w:marLeft w:val="0"/>
                      <w:marRight w:val="0"/>
                      <w:marTop w:val="0"/>
                      <w:marBottom w:val="0"/>
                      <w:divBdr>
                        <w:top w:val="none" w:sz="0" w:space="0" w:color="auto"/>
                        <w:left w:val="none" w:sz="0" w:space="0" w:color="auto"/>
                        <w:bottom w:val="none" w:sz="0" w:space="0" w:color="auto"/>
                        <w:right w:val="none" w:sz="0" w:space="0" w:color="auto"/>
                      </w:divBdr>
                    </w:div>
                  </w:divsChild>
                </w:div>
                <w:div w:id="468132244">
                  <w:marLeft w:val="0"/>
                  <w:marRight w:val="0"/>
                  <w:marTop w:val="0"/>
                  <w:marBottom w:val="0"/>
                  <w:divBdr>
                    <w:top w:val="none" w:sz="0" w:space="0" w:color="auto"/>
                    <w:left w:val="none" w:sz="0" w:space="0" w:color="auto"/>
                    <w:bottom w:val="none" w:sz="0" w:space="0" w:color="auto"/>
                    <w:right w:val="none" w:sz="0" w:space="0" w:color="auto"/>
                  </w:divBdr>
                  <w:divsChild>
                    <w:div w:id="1060597021">
                      <w:marLeft w:val="0"/>
                      <w:marRight w:val="0"/>
                      <w:marTop w:val="0"/>
                      <w:marBottom w:val="0"/>
                      <w:divBdr>
                        <w:top w:val="none" w:sz="0" w:space="0" w:color="auto"/>
                        <w:left w:val="none" w:sz="0" w:space="0" w:color="auto"/>
                        <w:bottom w:val="none" w:sz="0" w:space="0" w:color="auto"/>
                        <w:right w:val="none" w:sz="0" w:space="0" w:color="auto"/>
                      </w:divBdr>
                    </w:div>
                  </w:divsChild>
                </w:div>
                <w:div w:id="469321958">
                  <w:marLeft w:val="0"/>
                  <w:marRight w:val="0"/>
                  <w:marTop w:val="0"/>
                  <w:marBottom w:val="0"/>
                  <w:divBdr>
                    <w:top w:val="none" w:sz="0" w:space="0" w:color="auto"/>
                    <w:left w:val="none" w:sz="0" w:space="0" w:color="auto"/>
                    <w:bottom w:val="none" w:sz="0" w:space="0" w:color="auto"/>
                    <w:right w:val="none" w:sz="0" w:space="0" w:color="auto"/>
                  </w:divBdr>
                  <w:divsChild>
                    <w:div w:id="1009677060">
                      <w:marLeft w:val="0"/>
                      <w:marRight w:val="0"/>
                      <w:marTop w:val="0"/>
                      <w:marBottom w:val="0"/>
                      <w:divBdr>
                        <w:top w:val="none" w:sz="0" w:space="0" w:color="auto"/>
                        <w:left w:val="none" w:sz="0" w:space="0" w:color="auto"/>
                        <w:bottom w:val="none" w:sz="0" w:space="0" w:color="auto"/>
                        <w:right w:val="none" w:sz="0" w:space="0" w:color="auto"/>
                      </w:divBdr>
                    </w:div>
                  </w:divsChild>
                </w:div>
                <w:div w:id="473983843">
                  <w:marLeft w:val="0"/>
                  <w:marRight w:val="0"/>
                  <w:marTop w:val="0"/>
                  <w:marBottom w:val="0"/>
                  <w:divBdr>
                    <w:top w:val="none" w:sz="0" w:space="0" w:color="auto"/>
                    <w:left w:val="none" w:sz="0" w:space="0" w:color="auto"/>
                    <w:bottom w:val="none" w:sz="0" w:space="0" w:color="auto"/>
                    <w:right w:val="none" w:sz="0" w:space="0" w:color="auto"/>
                  </w:divBdr>
                  <w:divsChild>
                    <w:div w:id="1386293001">
                      <w:marLeft w:val="0"/>
                      <w:marRight w:val="0"/>
                      <w:marTop w:val="0"/>
                      <w:marBottom w:val="0"/>
                      <w:divBdr>
                        <w:top w:val="none" w:sz="0" w:space="0" w:color="auto"/>
                        <w:left w:val="none" w:sz="0" w:space="0" w:color="auto"/>
                        <w:bottom w:val="none" w:sz="0" w:space="0" w:color="auto"/>
                        <w:right w:val="none" w:sz="0" w:space="0" w:color="auto"/>
                      </w:divBdr>
                    </w:div>
                  </w:divsChild>
                </w:div>
                <w:div w:id="474834201">
                  <w:marLeft w:val="0"/>
                  <w:marRight w:val="0"/>
                  <w:marTop w:val="0"/>
                  <w:marBottom w:val="0"/>
                  <w:divBdr>
                    <w:top w:val="none" w:sz="0" w:space="0" w:color="auto"/>
                    <w:left w:val="none" w:sz="0" w:space="0" w:color="auto"/>
                    <w:bottom w:val="none" w:sz="0" w:space="0" w:color="auto"/>
                    <w:right w:val="none" w:sz="0" w:space="0" w:color="auto"/>
                  </w:divBdr>
                  <w:divsChild>
                    <w:div w:id="734858562">
                      <w:marLeft w:val="0"/>
                      <w:marRight w:val="0"/>
                      <w:marTop w:val="0"/>
                      <w:marBottom w:val="0"/>
                      <w:divBdr>
                        <w:top w:val="none" w:sz="0" w:space="0" w:color="auto"/>
                        <w:left w:val="none" w:sz="0" w:space="0" w:color="auto"/>
                        <w:bottom w:val="none" w:sz="0" w:space="0" w:color="auto"/>
                        <w:right w:val="none" w:sz="0" w:space="0" w:color="auto"/>
                      </w:divBdr>
                    </w:div>
                  </w:divsChild>
                </w:div>
                <w:div w:id="479420721">
                  <w:marLeft w:val="0"/>
                  <w:marRight w:val="0"/>
                  <w:marTop w:val="0"/>
                  <w:marBottom w:val="0"/>
                  <w:divBdr>
                    <w:top w:val="none" w:sz="0" w:space="0" w:color="auto"/>
                    <w:left w:val="none" w:sz="0" w:space="0" w:color="auto"/>
                    <w:bottom w:val="none" w:sz="0" w:space="0" w:color="auto"/>
                    <w:right w:val="none" w:sz="0" w:space="0" w:color="auto"/>
                  </w:divBdr>
                  <w:divsChild>
                    <w:div w:id="1377926560">
                      <w:marLeft w:val="0"/>
                      <w:marRight w:val="0"/>
                      <w:marTop w:val="0"/>
                      <w:marBottom w:val="0"/>
                      <w:divBdr>
                        <w:top w:val="none" w:sz="0" w:space="0" w:color="auto"/>
                        <w:left w:val="none" w:sz="0" w:space="0" w:color="auto"/>
                        <w:bottom w:val="none" w:sz="0" w:space="0" w:color="auto"/>
                        <w:right w:val="none" w:sz="0" w:space="0" w:color="auto"/>
                      </w:divBdr>
                    </w:div>
                  </w:divsChild>
                </w:div>
                <w:div w:id="490027408">
                  <w:marLeft w:val="0"/>
                  <w:marRight w:val="0"/>
                  <w:marTop w:val="0"/>
                  <w:marBottom w:val="0"/>
                  <w:divBdr>
                    <w:top w:val="none" w:sz="0" w:space="0" w:color="auto"/>
                    <w:left w:val="none" w:sz="0" w:space="0" w:color="auto"/>
                    <w:bottom w:val="none" w:sz="0" w:space="0" w:color="auto"/>
                    <w:right w:val="none" w:sz="0" w:space="0" w:color="auto"/>
                  </w:divBdr>
                  <w:divsChild>
                    <w:div w:id="1512186509">
                      <w:marLeft w:val="0"/>
                      <w:marRight w:val="0"/>
                      <w:marTop w:val="0"/>
                      <w:marBottom w:val="0"/>
                      <w:divBdr>
                        <w:top w:val="none" w:sz="0" w:space="0" w:color="auto"/>
                        <w:left w:val="none" w:sz="0" w:space="0" w:color="auto"/>
                        <w:bottom w:val="none" w:sz="0" w:space="0" w:color="auto"/>
                        <w:right w:val="none" w:sz="0" w:space="0" w:color="auto"/>
                      </w:divBdr>
                    </w:div>
                  </w:divsChild>
                </w:div>
                <w:div w:id="491220780">
                  <w:marLeft w:val="0"/>
                  <w:marRight w:val="0"/>
                  <w:marTop w:val="0"/>
                  <w:marBottom w:val="0"/>
                  <w:divBdr>
                    <w:top w:val="none" w:sz="0" w:space="0" w:color="auto"/>
                    <w:left w:val="none" w:sz="0" w:space="0" w:color="auto"/>
                    <w:bottom w:val="none" w:sz="0" w:space="0" w:color="auto"/>
                    <w:right w:val="none" w:sz="0" w:space="0" w:color="auto"/>
                  </w:divBdr>
                  <w:divsChild>
                    <w:div w:id="1592204057">
                      <w:marLeft w:val="0"/>
                      <w:marRight w:val="0"/>
                      <w:marTop w:val="0"/>
                      <w:marBottom w:val="0"/>
                      <w:divBdr>
                        <w:top w:val="none" w:sz="0" w:space="0" w:color="auto"/>
                        <w:left w:val="none" w:sz="0" w:space="0" w:color="auto"/>
                        <w:bottom w:val="none" w:sz="0" w:space="0" w:color="auto"/>
                        <w:right w:val="none" w:sz="0" w:space="0" w:color="auto"/>
                      </w:divBdr>
                    </w:div>
                  </w:divsChild>
                </w:div>
                <w:div w:id="492338097">
                  <w:marLeft w:val="0"/>
                  <w:marRight w:val="0"/>
                  <w:marTop w:val="0"/>
                  <w:marBottom w:val="0"/>
                  <w:divBdr>
                    <w:top w:val="none" w:sz="0" w:space="0" w:color="auto"/>
                    <w:left w:val="none" w:sz="0" w:space="0" w:color="auto"/>
                    <w:bottom w:val="none" w:sz="0" w:space="0" w:color="auto"/>
                    <w:right w:val="none" w:sz="0" w:space="0" w:color="auto"/>
                  </w:divBdr>
                  <w:divsChild>
                    <w:div w:id="1641154821">
                      <w:marLeft w:val="0"/>
                      <w:marRight w:val="0"/>
                      <w:marTop w:val="0"/>
                      <w:marBottom w:val="0"/>
                      <w:divBdr>
                        <w:top w:val="none" w:sz="0" w:space="0" w:color="auto"/>
                        <w:left w:val="none" w:sz="0" w:space="0" w:color="auto"/>
                        <w:bottom w:val="none" w:sz="0" w:space="0" w:color="auto"/>
                        <w:right w:val="none" w:sz="0" w:space="0" w:color="auto"/>
                      </w:divBdr>
                    </w:div>
                  </w:divsChild>
                </w:div>
                <w:div w:id="493377592">
                  <w:marLeft w:val="0"/>
                  <w:marRight w:val="0"/>
                  <w:marTop w:val="0"/>
                  <w:marBottom w:val="0"/>
                  <w:divBdr>
                    <w:top w:val="none" w:sz="0" w:space="0" w:color="auto"/>
                    <w:left w:val="none" w:sz="0" w:space="0" w:color="auto"/>
                    <w:bottom w:val="none" w:sz="0" w:space="0" w:color="auto"/>
                    <w:right w:val="none" w:sz="0" w:space="0" w:color="auto"/>
                  </w:divBdr>
                  <w:divsChild>
                    <w:div w:id="1079910827">
                      <w:marLeft w:val="0"/>
                      <w:marRight w:val="0"/>
                      <w:marTop w:val="0"/>
                      <w:marBottom w:val="0"/>
                      <w:divBdr>
                        <w:top w:val="none" w:sz="0" w:space="0" w:color="auto"/>
                        <w:left w:val="none" w:sz="0" w:space="0" w:color="auto"/>
                        <w:bottom w:val="none" w:sz="0" w:space="0" w:color="auto"/>
                        <w:right w:val="none" w:sz="0" w:space="0" w:color="auto"/>
                      </w:divBdr>
                    </w:div>
                  </w:divsChild>
                </w:div>
                <w:div w:id="512233779">
                  <w:marLeft w:val="0"/>
                  <w:marRight w:val="0"/>
                  <w:marTop w:val="0"/>
                  <w:marBottom w:val="0"/>
                  <w:divBdr>
                    <w:top w:val="none" w:sz="0" w:space="0" w:color="auto"/>
                    <w:left w:val="none" w:sz="0" w:space="0" w:color="auto"/>
                    <w:bottom w:val="none" w:sz="0" w:space="0" w:color="auto"/>
                    <w:right w:val="none" w:sz="0" w:space="0" w:color="auto"/>
                  </w:divBdr>
                  <w:divsChild>
                    <w:div w:id="1200970155">
                      <w:marLeft w:val="0"/>
                      <w:marRight w:val="0"/>
                      <w:marTop w:val="0"/>
                      <w:marBottom w:val="0"/>
                      <w:divBdr>
                        <w:top w:val="none" w:sz="0" w:space="0" w:color="auto"/>
                        <w:left w:val="none" w:sz="0" w:space="0" w:color="auto"/>
                        <w:bottom w:val="none" w:sz="0" w:space="0" w:color="auto"/>
                        <w:right w:val="none" w:sz="0" w:space="0" w:color="auto"/>
                      </w:divBdr>
                    </w:div>
                  </w:divsChild>
                </w:div>
                <w:div w:id="528303958">
                  <w:marLeft w:val="0"/>
                  <w:marRight w:val="0"/>
                  <w:marTop w:val="0"/>
                  <w:marBottom w:val="0"/>
                  <w:divBdr>
                    <w:top w:val="none" w:sz="0" w:space="0" w:color="auto"/>
                    <w:left w:val="none" w:sz="0" w:space="0" w:color="auto"/>
                    <w:bottom w:val="none" w:sz="0" w:space="0" w:color="auto"/>
                    <w:right w:val="none" w:sz="0" w:space="0" w:color="auto"/>
                  </w:divBdr>
                  <w:divsChild>
                    <w:div w:id="597443669">
                      <w:marLeft w:val="0"/>
                      <w:marRight w:val="0"/>
                      <w:marTop w:val="0"/>
                      <w:marBottom w:val="0"/>
                      <w:divBdr>
                        <w:top w:val="none" w:sz="0" w:space="0" w:color="auto"/>
                        <w:left w:val="none" w:sz="0" w:space="0" w:color="auto"/>
                        <w:bottom w:val="none" w:sz="0" w:space="0" w:color="auto"/>
                        <w:right w:val="none" w:sz="0" w:space="0" w:color="auto"/>
                      </w:divBdr>
                    </w:div>
                  </w:divsChild>
                </w:div>
                <w:div w:id="541603104">
                  <w:marLeft w:val="0"/>
                  <w:marRight w:val="0"/>
                  <w:marTop w:val="0"/>
                  <w:marBottom w:val="0"/>
                  <w:divBdr>
                    <w:top w:val="none" w:sz="0" w:space="0" w:color="auto"/>
                    <w:left w:val="none" w:sz="0" w:space="0" w:color="auto"/>
                    <w:bottom w:val="none" w:sz="0" w:space="0" w:color="auto"/>
                    <w:right w:val="none" w:sz="0" w:space="0" w:color="auto"/>
                  </w:divBdr>
                  <w:divsChild>
                    <w:div w:id="126897395">
                      <w:marLeft w:val="0"/>
                      <w:marRight w:val="0"/>
                      <w:marTop w:val="0"/>
                      <w:marBottom w:val="0"/>
                      <w:divBdr>
                        <w:top w:val="none" w:sz="0" w:space="0" w:color="auto"/>
                        <w:left w:val="none" w:sz="0" w:space="0" w:color="auto"/>
                        <w:bottom w:val="none" w:sz="0" w:space="0" w:color="auto"/>
                        <w:right w:val="none" w:sz="0" w:space="0" w:color="auto"/>
                      </w:divBdr>
                    </w:div>
                  </w:divsChild>
                </w:div>
                <w:div w:id="560140236">
                  <w:marLeft w:val="0"/>
                  <w:marRight w:val="0"/>
                  <w:marTop w:val="0"/>
                  <w:marBottom w:val="0"/>
                  <w:divBdr>
                    <w:top w:val="none" w:sz="0" w:space="0" w:color="auto"/>
                    <w:left w:val="none" w:sz="0" w:space="0" w:color="auto"/>
                    <w:bottom w:val="none" w:sz="0" w:space="0" w:color="auto"/>
                    <w:right w:val="none" w:sz="0" w:space="0" w:color="auto"/>
                  </w:divBdr>
                  <w:divsChild>
                    <w:div w:id="257326139">
                      <w:marLeft w:val="0"/>
                      <w:marRight w:val="0"/>
                      <w:marTop w:val="0"/>
                      <w:marBottom w:val="0"/>
                      <w:divBdr>
                        <w:top w:val="none" w:sz="0" w:space="0" w:color="auto"/>
                        <w:left w:val="none" w:sz="0" w:space="0" w:color="auto"/>
                        <w:bottom w:val="none" w:sz="0" w:space="0" w:color="auto"/>
                        <w:right w:val="none" w:sz="0" w:space="0" w:color="auto"/>
                      </w:divBdr>
                    </w:div>
                  </w:divsChild>
                </w:div>
                <w:div w:id="564726295">
                  <w:marLeft w:val="0"/>
                  <w:marRight w:val="0"/>
                  <w:marTop w:val="0"/>
                  <w:marBottom w:val="0"/>
                  <w:divBdr>
                    <w:top w:val="none" w:sz="0" w:space="0" w:color="auto"/>
                    <w:left w:val="none" w:sz="0" w:space="0" w:color="auto"/>
                    <w:bottom w:val="none" w:sz="0" w:space="0" w:color="auto"/>
                    <w:right w:val="none" w:sz="0" w:space="0" w:color="auto"/>
                  </w:divBdr>
                  <w:divsChild>
                    <w:div w:id="1897666245">
                      <w:marLeft w:val="0"/>
                      <w:marRight w:val="0"/>
                      <w:marTop w:val="0"/>
                      <w:marBottom w:val="0"/>
                      <w:divBdr>
                        <w:top w:val="none" w:sz="0" w:space="0" w:color="auto"/>
                        <w:left w:val="none" w:sz="0" w:space="0" w:color="auto"/>
                        <w:bottom w:val="none" w:sz="0" w:space="0" w:color="auto"/>
                        <w:right w:val="none" w:sz="0" w:space="0" w:color="auto"/>
                      </w:divBdr>
                    </w:div>
                  </w:divsChild>
                </w:div>
                <w:div w:id="576134362">
                  <w:marLeft w:val="0"/>
                  <w:marRight w:val="0"/>
                  <w:marTop w:val="0"/>
                  <w:marBottom w:val="0"/>
                  <w:divBdr>
                    <w:top w:val="none" w:sz="0" w:space="0" w:color="auto"/>
                    <w:left w:val="none" w:sz="0" w:space="0" w:color="auto"/>
                    <w:bottom w:val="none" w:sz="0" w:space="0" w:color="auto"/>
                    <w:right w:val="none" w:sz="0" w:space="0" w:color="auto"/>
                  </w:divBdr>
                  <w:divsChild>
                    <w:div w:id="416094184">
                      <w:marLeft w:val="0"/>
                      <w:marRight w:val="0"/>
                      <w:marTop w:val="0"/>
                      <w:marBottom w:val="0"/>
                      <w:divBdr>
                        <w:top w:val="none" w:sz="0" w:space="0" w:color="auto"/>
                        <w:left w:val="none" w:sz="0" w:space="0" w:color="auto"/>
                        <w:bottom w:val="none" w:sz="0" w:space="0" w:color="auto"/>
                        <w:right w:val="none" w:sz="0" w:space="0" w:color="auto"/>
                      </w:divBdr>
                    </w:div>
                  </w:divsChild>
                </w:div>
                <w:div w:id="578174693">
                  <w:marLeft w:val="0"/>
                  <w:marRight w:val="0"/>
                  <w:marTop w:val="0"/>
                  <w:marBottom w:val="0"/>
                  <w:divBdr>
                    <w:top w:val="none" w:sz="0" w:space="0" w:color="auto"/>
                    <w:left w:val="none" w:sz="0" w:space="0" w:color="auto"/>
                    <w:bottom w:val="none" w:sz="0" w:space="0" w:color="auto"/>
                    <w:right w:val="none" w:sz="0" w:space="0" w:color="auto"/>
                  </w:divBdr>
                  <w:divsChild>
                    <w:div w:id="719985096">
                      <w:marLeft w:val="0"/>
                      <w:marRight w:val="0"/>
                      <w:marTop w:val="0"/>
                      <w:marBottom w:val="0"/>
                      <w:divBdr>
                        <w:top w:val="none" w:sz="0" w:space="0" w:color="auto"/>
                        <w:left w:val="none" w:sz="0" w:space="0" w:color="auto"/>
                        <w:bottom w:val="none" w:sz="0" w:space="0" w:color="auto"/>
                        <w:right w:val="none" w:sz="0" w:space="0" w:color="auto"/>
                      </w:divBdr>
                    </w:div>
                  </w:divsChild>
                </w:div>
                <w:div w:id="582418778">
                  <w:marLeft w:val="0"/>
                  <w:marRight w:val="0"/>
                  <w:marTop w:val="0"/>
                  <w:marBottom w:val="0"/>
                  <w:divBdr>
                    <w:top w:val="none" w:sz="0" w:space="0" w:color="auto"/>
                    <w:left w:val="none" w:sz="0" w:space="0" w:color="auto"/>
                    <w:bottom w:val="none" w:sz="0" w:space="0" w:color="auto"/>
                    <w:right w:val="none" w:sz="0" w:space="0" w:color="auto"/>
                  </w:divBdr>
                  <w:divsChild>
                    <w:div w:id="252593538">
                      <w:marLeft w:val="0"/>
                      <w:marRight w:val="0"/>
                      <w:marTop w:val="0"/>
                      <w:marBottom w:val="0"/>
                      <w:divBdr>
                        <w:top w:val="none" w:sz="0" w:space="0" w:color="auto"/>
                        <w:left w:val="none" w:sz="0" w:space="0" w:color="auto"/>
                        <w:bottom w:val="none" w:sz="0" w:space="0" w:color="auto"/>
                        <w:right w:val="none" w:sz="0" w:space="0" w:color="auto"/>
                      </w:divBdr>
                    </w:div>
                  </w:divsChild>
                </w:div>
                <w:div w:id="582489160">
                  <w:marLeft w:val="0"/>
                  <w:marRight w:val="0"/>
                  <w:marTop w:val="0"/>
                  <w:marBottom w:val="0"/>
                  <w:divBdr>
                    <w:top w:val="none" w:sz="0" w:space="0" w:color="auto"/>
                    <w:left w:val="none" w:sz="0" w:space="0" w:color="auto"/>
                    <w:bottom w:val="none" w:sz="0" w:space="0" w:color="auto"/>
                    <w:right w:val="none" w:sz="0" w:space="0" w:color="auto"/>
                  </w:divBdr>
                  <w:divsChild>
                    <w:div w:id="1783108093">
                      <w:marLeft w:val="0"/>
                      <w:marRight w:val="0"/>
                      <w:marTop w:val="0"/>
                      <w:marBottom w:val="0"/>
                      <w:divBdr>
                        <w:top w:val="none" w:sz="0" w:space="0" w:color="auto"/>
                        <w:left w:val="none" w:sz="0" w:space="0" w:color="auto"/>
                        <w:bottom w:val="none" w:sz="0" w:space="0" w:color="auto"/>
                        <w:right w:val="none" w:sz="0" w:space="0" w:color="auto"/>
                      </w:divBdr>
                    </w:div>
                  </w:divsChild>
                </w:div>
                <w:div w:id="582494876">
                  <w:marLeft w:val="0"/>
                  <w:marRight w:val="0"/>
                  <w:marTop w:val="0"/>
                  <w:marBottom w:val="0"/>
                  <w:divBdr>
                    <w:top w:val="none" w:sz="0" w:space="0" w:color="auto"/>
                    <w:left w:val="none" w:sz="0" w:space="0" w:color="auto"/>
                    <w:bottom w:val="none" w:sz="0" w:space="0" w:color="auto"/>
                    <w:right w:val="none" w:sz="0" w:space="0" w:color="auto"/>
                  </w:divBdr>
                  <w:divsChild>
                    <w:div w:id="218640001">
                      <w:marLeft w:val="0"/>
                      <w:marRight w:val="0"/>
                      <w:marTop w:val="0"/>
                      <w:marBottom w:val="0"/>
                      <w:divBdr>
                        <w:top w:val="none" w:sz="0" w:space="0" w:color="auto"/>
                        <w:left w:val="none" w:sz="0" w:space="0" w:color="auto"/>
                        <w:bottom w:val="none" w:sz="0" w:space="0" w:color="auto"/>
                        <w:right w:val="none" w:sz="0" w:space="0" w:color="auto"/>
                      </w:divBdr>
                    </w:div>
                  </w:divsChild>
                </w:div>
                <w:div w:id="593707020">
                  <w:marLeft w:val="0"/>
                  <w:marRight w:val="0"/>
                  <w:marTop w:val="0"/>
                  <w:marBottom w:val="0"/>
                  <w:divBdr>
                    <w:top w:val="none" w:sz="0" w:space="0" w:color="auto"/>
                    <w:left w:val="none" w:sz="0" w:space="0" w:color="auto"/>
                    <w:bottom w:val="none" w:sz="0" w:space="0" w:color="auto"/>
                    <w:right w:val="none" w:sz="0" w:space="0" w:color="auto"/>
                  </w:divBdr>
                  <w:divsChild>
                    <w:div w:id="837035565">
                      <w:marLeft w:val="0"/>
                      <w:marRight w:val="0"/>
                      <w:marTop w:val="0"/>
                      <w:marBottom w:val="0"/>
                      <w:divBdr>
                        <w:top w:val="none" w:sz="0" w:space="0" w:color="auto"/>
                        <w:left w:val="none" w:sz="0" w:space="0" w:color="auto"/>
                        <w:bottom w:val="none" w:sz="0" w:space="0" w:color="auto"/>
                        <w:right w:val="none" w:sz="0" w:space="0" w:color="auto"/>
                      </w:divBdr>
                    </w:div>
                  </w:divsChild>
                </w:div>
                <w:div w:id="597326049">
                  <w:marLeft w:val="0"/>
                  <w:marRight w:val="0"/>
                  <w:marTop w:val="0"/>
                  <w:marBottom w:val="0"/>
                  <w:divBdr>
                    <w:top w:val="none" w:sz="0" w:space="0" w:color="auto"/>
                    <w:left w:val="none" w:sz="0" w:space="0" w:color="auto"/>
                    <w:bottom w:val="none" w:sz="0" w:space="0" w:color="auto"/>
                    <w:right w:val="none" w:sz="0" w:space="0" w:color="auto"/>
                  </w:divBdr>
                  <w:divsChild>
                    <w:div w:id="883443181">
                      <w:marLeft w:val="0"/>
                      <w:marRight w:val="0"/>
                      <w:marTop w:val="0"/>
                      <w:marBottom w:val="0"/>
                      <w:divBdr>
                        <w:top w:val="none" w:sz="0" w:space="0" w:color="auto"/>
                        <w:left w:val="none" w:sz="0" w:space="0" w:color="auto"/>
                        <w:bottom w:val="none" w:sz="0" w:space="0" w:color="auto"/>
                        <w:right w:val="none" w:sz="0" w:space="0" w:color="auto"/>
                      </w:divBdr>
                    </w:div>
                  </w:divsChild>
                </w:div>
                <w:div w:id="599023040">
                  <w:marLeft w:val="0"/>
                  <w:marRight w:val="0"/>
                  <w:marTop w:val="0"/>
                  <w:marBottom w:val="0"/>
                  <w:divBdr>
                    <w:top w:val="none" w:sz="0" w:space="0" w:color="auto"/>
                    <w:left w:val="none" w:sz="0" w:space="0" w:color="auto"/>
                    <w:bottom w:val="none" w:sz="0" w:space="0" w:color="auto"/>
                    <w:right w:val="none" w:sz="0" w:space="0" w:color="auto"/>
                  </w:divBdr>
                  <w:divsChild>
                    <w:div w:id="1171916194">
                      <w:marLeft w:val="0"/>
                      <w:marRight w:val="0"/>
                      <w:marTop w:val="0"/>
                      <w:marBottom w:val="0"/>
                      <w:divBdr>
                        <w:top w:val="none" w:sz="0" w:space="0" w:color="auto"/>
                        <w:left w:val="none" w:sz="0" w:space="0" w:color="auto"/>
                        <w:bottom w:val="none" w:sz="0" w:space="0" w:color="auto"/>
                        <w:right w:val="none" w:sz="0" w:space="0" w:color="auto"/>
                      </w:divBdr>
                    </w:div>
                  </w:divsChild>
                </w:div>
                <w:div w:id="603849714">
                  <w:marLeft w:val="0"/>
                  <w:marRight w:val="0"/>
                  <w:marTop w:val="0"/>
                  <w:marBottom w:val="0"/>
                  <w:divBdr>
                    <w:top w:val="none" w:sz="0" w:space="0" w:color="auto"/>
                    <w:left w:val="none" w:sz="0" w:space="0" w:color="auto"/>
                    <w:bottom w:val="none" w:sz="0" w:space="0" w:color="auto"/>
                    <w:right w:val="none" w:sz="0" w:space="0" w:color="auto"/>
                  </w:divBdr>
                  <w:divsChild>
                    <w:div w:id="609165438">
                      <w:marLeft w:val="0"/>
                      <w:marRight w:val="0"/>
                      <w:marTop w:val="0"/>
                      <w:marBottom w:val="0"/>
                      <w:divBdr>
                        <w:top w:val="none" w:sz="0" w:space="0" w:color="auto"/>
                        <w:left w:val="none" w:sz="0" w:space="0" w:color="auto"/>
                        <w:bottom w:val="none" w:sz="0" w:space="0" w:color="auto"/>
                        <w:right w:val="none" w:sz="0" w:space="0" w:color="auto"/>
                      </w:divBdr>
                    </w:div>
                  </w:divsChild>
                </w:div>
                <w:div w:id="606698442">
                  <w:marLeft w:val="0"/>
                  <w:marRight w:val="0"/>
                  <w:marTop w:val="0"/>
                  <w:marBottom w:val="0"/>
                  <w:divBdr>
                    <w:top w:val="none" w:sz="0" w:space="0" w:color="auto"/>
                    <w:left w:val="none" w:sz="0" w:space="0" w:color="auto"/>
                    <w:bottom w:val="none" w:sz="0" w:space="0" w:color="auto"/>
                    <w:right w:val="none" w:sz="0" w:space="0" w:color="auto"/>
                  </w:divBdr>
                  <w:divsChild>
                    <w:div w:id="1106923980">
                      <w:marLeft w:val="0"/>
                      <w:marRight w:val="0"/>
                      <w:marTop w:val="0"/>
                      <w:marBottom w:val="0"/>
                      <w:divBdr>
                        <w:top w:val="none" w:sz="0" w:space="0" w:color="auto"/>
                        <w:left w:val="none" w:sz="0" w:space="0" w:color="auto"/>
                        <w:bottom w:val="none" w:sz="0" w:space="0" w:color="auto"/>
                        <w:right w:val="none" w:sz="0" w:space="0" w:color="auto"/>
                      </w:divBdr>
                    </w:div>
                  </w:divsChild>
                </w:div>
                <w:div w:id="608706804">
                  <w:marLeft w:val="0"/>
                  <w:marRight w:val="0"/>
                  <w:marTop w:val="0"/>
                  <w:marBottom w:val="0"/>
                  <w:divBdr>
                    <w:top w:val="none" w:sz="0" w:space="0" w:color="auto"/>
                    <w:left w:val="none" w:sz="0" w:space="0" w:color="auto"/>
                    <w:bottom w:val="none" w:sz="0" w:space="0" w:color="auto"/>
                    <w:right w:val="none" w:sz="0" w:space="0" w:color="auto"/>
                  </w:divBdr>
                  <w:divsChild>
                    <w:div w:id="301274511">
                      <w:marLeft w:val="0"/>
                      <w:marRight w:val="0"/>
                      <w:marTop w:val="0"/>
                      <w:marBottom w:val="0"/>
                      <w:divBdr>
                        <w:top w:val="none" w:sz="0" w:space="0" w:color="auto"/>
                        <w:left w:val="none" w:sz="0" w:space="0" w:color="auto"/>
                        <w:bottom w:val="none" w:sz="0" w:space="0" w:color="auto"/>
                        <w:right w:val="none" w:sz="0" w:space="0" w:color="auto"/>
                      </w:divBdr>
                    </w:div>
                  </w:divsChild>
                </w:div>
                <w:div w:id="610237928">
                  <w:marLeft w:val="0"/>
                  <w:marRight w:val="0"/>
                  <w:marTop w:val="0"/>
                  <w:marBottom w:val="0"/>
                  <w:divBdr>
                    <w:top w:val="none" w:sz="0" w:space="0" w:color="auto"/>
                    <w:left w:val="none" w:sz="0" w:space="0" w:color="auto"/>
                    <w:bottom w:val="none" w:sz="0" w:space="0" w:color="auto"/>
                    <w:right w:val="none" w:sz="0" w:space="0" w:color="auto"/>
                  </w:divBdr>
                  <w:divsChild>
                    <w:div w:id="1606618431">
                      <w:marLeft w:val="0"/>
                      <w:marRight w:val="0"/>
                      <w:marTop w:val="0"/>
                      <w:marBottom w:val="0"/>
                      <w:divBdr>
                        <w:top w:val="none" w:sz="0" w:space="0" w:color="auto"/>
                        <w:left w:val="none" w:sz="0" w:space="0" w:color="auto"/>
                        <w:bottom w:val="none" w:sz="0" w:space="0" w:color="auto"/>
                        <w:right w:val="none" w:sz="0" w:space="0" w:color="auto"/>
                      </w:divBdr>
                    </w:div>
                  </w:divsChild>
                </w:div>
                <w:div w:id="618026478">
                  <w:marLeft w:val="0"/>
                  <w:marRight w:val="0"/>
                  <w:marTop w:val="0"/>
                  <w:marBottom w:val="0"/>
                  <w:divBdr>
                    <w:top w:val="none" w:sz="0" w:space="0" w:color="auto"/>
                    <w:left w:val="none" w:sz="0" w:space="0" w:color="auto"/>
                    <w:bottom w:val="none" w:sz="0" w:space="0" w:color="auto"/>
                    <w:right w:val="none" w:sz="0" w:space="0" w:color="auto"/>
                  </w:divBdr>
                  <w:divsChild>
                    <w:div w:id="1545171203">
                      <w:marLeft w:val="0"/>
                      <w:marRight w:val="0"/>
                      <w:marTop w:val="0"/>
                      <w:marBottom w:val="0"/>
                      <w:divBdr>
                        <w:top w:val="none" w:sz="0" w:space="0" w:color="auto"/>
                        <w:left w:val="none" w:sz="0" w:space="0" w:color="auto"/>
                        <w:bottom w:val="none" w:sz="0" w:space="0" w:color="auto"/>
                        <w:right w:val="none" w:sz="0" w:space="0" w:color="auto"/>
                      </w:divBdr>
                    </w:div>
                  </w:divsChild>
                </w:div>
                <w:div w:id="623148269">
                  <w:marLeft w:val="0"/>
                  <w:marRight w:val="0"/>
                  <w:marTop w:val="0"/>
                  <w:marBottom w:val="0"/>
                  <w:divBdr>
                    <w:top w:val="none" w:sz="0" w:space="0" w:color="auto"/>
                    <w:left w:val="none" w:sz="0" w:space="0" w:color="auto"/>
                    <w:bottom w:val="none" w:sz="0" w:space="0" w:color="auto"/>
                    <w:right w:val="none" w:sz="0" w:space="0" w:color="auto"/>
                  </w:divBdr>
                  <w:divsChild>
                    <w:div w:id="2012875417">
                      <w:marLeft w:val="0"/>
                      <w:marRight w:val="0"/>
                      <w:marTop w:val="0"/>
                      <w:marBottom w:val="0"/>
                      <w:divBdr>
                        <w:top w:val="none" w:sz="0" w:space="0" w:color="auto"/>
                        <w:left w:val="none" w:sz="0" w:space="0" w:color="auto"/>
                        <w:bottom w:val="none" w:sz="0" w:space="0" w:color="auto"/>
                        <w:right w:val="none" w:sz="0" w:space="0" w:color="auto"/>
                      </w:divBdr>
                    </w:div>
                  </w:divsChild>
                </w:div>
                <w:div w:id="629357834">
                  <w:marLeft w:val="0"/>
                  <w:marRight w:val="0"/>
                  <w:marTop w:val="0"/>
                  <w:marBottom w:val="0"/>
                  <w:divBdr>
                    <w:top w:val="none" w:sz="0" w:space="0" w:color="auto"/>
                    <w:left w:val="none" w:sz="0" w:space="0" w:color="auto"/>
                    <w:bottom w:val="none" w:sz="0" w:space="0" w:color="auto"/>
                    <w:right w:val="none" w:sz="0" w:space="0" w:color="auto"/>
                  </w:divBdr>
                  <w:divsChild>
                    <w:div w:id="277957281">
                      <w:marLeft w:val="0"/>
                      <w:marRight w:val="0"/>
                      <w:marTop w:val="0"/>
                      <w:marBottom w:val="0"/>
                      <w:divBdr>
                        <w:top w:val="none" w:sz="0" w:space="0" w:color="auto"/>
                        <w:left w:val="none" w:sz="0" w:space="0" w:color="auto"/>
                        <w:bottom w:val="none" w:sz="0" w:space="0" w:color="auto"/>
                        <w:right w:val="none" w:sz="0" w:space="0" w:color="auto"/>
                      </w:divBdr>
                    </w:div>
                  </w:divsChild>
                </w:div>
                <w:div w:id="632637073">
                  <w:marLeft w:val="0"/>
                  <w:marRight w:val="0"/>
                  <w:marTop w:val="0"/>
                  <w:marBottom w:val="0"/>
                  <w:divBdr>
                    <w:top w:val="none" w:sz="0" w:space="0" w:color="auto"/>
                    <w:left w:val="none" w:sz="0" w:space="0" w:color="auto"/>
                    <w:bottom w:val="none" w:sz="0" w:space="0" w:color="auto"/>
                    <w:right w:val="none" w:sz="0" w:space="0" w:color="auto"/>
                  </w:divBdr>
                  <w:divsChild>
                    <w:div w:id="863906209">
                      <w:marLeft w:val="0"/>
                      <w:marRight w:val="0"/>
                      <w:marTop w:val="0"/>
                      <w:marBottom w:val="0"/>
                      <w:divBdr>
                        <w:top w:val="none" w:sz="0" w:space="0" w:color="auto"/>
                        <w:left w:val="none" w:sz="0" w:space="0" w:color="auto"/>
                        <w:bottom w:val="none" w:sz="0" w:space="0" w:color="auto"/>
                        <w:right w:val="none" w:sz="0" w:space="0" w:color="auto"/>
                      </w:divBdr>
                    </w:div>
                  </w:divsChild>
                </w:div>
                <w:div w:id="636959357">
                  <w:marLeft w:val="0"/>
                  <w:marRight w:val="0"/>
                  <w:marTop w:val="0"/>
                  <w:marBottom w:val="0"/>
                  <w:divBdr>
                    <w:top w:val="none" w:sz="0" w:space="0" w:color="auto"/>
                    <w:left w:val="none" w:sz="0" w:space="0" w:color="auto"/>
                    <w:bottom w:val="none" w:sz="0" w:space="0" w:color="auto"/>
                    <w:right w:val="none" w:sz="0" w:space="0" w:color="auto"/>
                  </w:divBdr>
                  <w:divsChild>
                    <w:div w:id="689912583">
                      <w:marLeft w:val="0"/>
                      <w:marRight w:val="0"/>
                      <w:marTop w:val="0"/>
                      <w:marBottom w:val="0"/>
                      <w:divBdr>
                        <w:top w:val="none" w:sz="0" w:space="0" w:color="auto"/>
                        <w:left w:val="none" w:sz="0" w:space="0" w:color="auto"/>
                        <w:bottom w:val="none" w:sz="0" w:space="0" w:color="auto"/>
                        <w:right w:val="none" w:sz="0" w:space="0" w:color="auto"/>
                      </w:divBdr>
                    </w:div>
                  </w:divsChild>
                </w:div>
                <w:div w:id="649291290">
                  <w:marLeft w:val="0"/>
                  <w:marRight w:val="0"/>
                  <w:marTop w:val="0"/>
                  <w:marBottom w:val="0"/>
                  <w:divBdr>
                    <w:top w:val="none" w:sz="0" w:space="0" w:color="auto"/>
                    <w:left w:val="none" w:sz="0" w:space="0" w:color="auto"/>
                    <w:bottom w:val="none" w:sz="0" w:space="0" w:color="auto"/>
                    <w:right w:val="none" w:sz="0" w:space="0" w:color="auto"/>
                  </w:divBdr>
                  <w:divsChild>
                    <w:div w:id="789396989">
                      <w:marLeft w:val="0"/>
                      <w:marRight w:val="0"/>
                      <w:marTop w:val="0"/>
                      <w:marBottom w:val="0"/>
                      <w:divBdr>
                        <w:top w:val="none" w:sz="0" w:space="0" w:color="auto"/>
                        <w:left w:val="none" w:sz="0" w:space="0" w:color="auto"/>
                        <w:bottom w:val="none" w:sz="0" w:space="0" w:color="auto"/>
                        <w:right w:val="none" w:sz="0" w:space="0" w:color="auto"/>
                      </w:divBdr>
                    </w:div>
                  </w:divsChild>
                </w:div>
                <w:div w:id="655960593">
                  <w:marLeft w:val="0"/>
                  <w:marRight w:val="0"/>
                  <w:marTop w:val="0"/>
                  <w:marBottom w:val="0"/>
                  <w:divBdr>
                    <w:top w:val="none" w:sz="0" w:space="0" w:color="auto"/>
                    <w:left w:val="none" w:sz="0" w:space="0" w:color="auto"/>
                    <w:bottom w:val="none" w:sz="0" w:space="0" w:color="auto"/>
                    <w:right w:val="none" w:sz="0" w:space="0" w:color="auto"/>
                  </w:divBdr>
                  <w:divsChild>
                    <w:div w:id="856576534">
                      <w:marLeft w:val="0"/>
                      <w:marRight w:val="0"/>
                      <w:marTop w:val="0"/>
                      <w:marBottom w:val="0"/>
                      <w:divBdr>
                        <w:top w:val="none" w:sz="0" w:space="0" w:color="auto"/>
                        <w:left w:val="none" w:sz="0" w:space="0" w:color="auto"/>
                        <w:bottom w:val="none" w:sz="0" w:space="0" w:color="auto"/>
                        <w:right w:val="none" w:sz="0" w:space="0" w:color="auto"/>
                      </w:divBdr>
                    </w:div>
                  </w:divsChild>
                </w:div>
                <w:div w:id="661471922">
                  <w:marLeft w:val="0"/>
                  <w:marRight w:val="0"/>
                  <w:marTop w:val="0"/>
                  <w:marBottom w:val="0"/>
                  <w:divBdr>
                    <w:top w:val="none" w:sz="0" w:space="0" w:color="auto"/>
                    <w:left w:val="none" w:sz="0" w:space="0" w:color="auto"/>
                    <w:bottom w:val="none" w:sz="0" w:space="0" w:color="auto"/>
                    <w:right w:val="none" w:sz="0" w:space="0" w:color="auto"/>
                  </w:divBdr>
                  <w:divsChild>
                    <w:div w:id="1599022524">
                      <w:marLeft w:val="0"/>
                      <w:marRight w:val="0"/>
                      <w:marTop w:val="0"/>
                      <w:marBottom w:val="0"/>
                      <w:divBdr>
                        <w:top w:val="none" w:sz="0" w:space="0" w:color="auto"/>
                        <w:left w:val="none" w:sz="0" w:space="0" w:color="auto"/>
                        <w:bottom w:val="none" w:sz="0" w:space="0" w:color="auto"/>
                        <w:right w:val="none" w:sz="0" w:space="0" w:color="auto"/>
                      </w:divBdr>
                    </w:div>
                  </w:divsChild>
                </w:div>
                <w:div w:id="665475839">
                  <w:marLeft w:val="0"/>
                  <w:marRight w:val="0"/>
                  <w:marTop w:val="0"/>
                  <w:marBottom w:val="0"/>
                  <w:divBdr>
                    <w:top w:val="none" w:sz="0" w:space="0" w:color="auto"/>
                    <w:left w:val="none" w:sz="0" w:space="0" w:color="auto"/>
                    <w:bottom w:val="none" w:sz="0" w:space="0" w:color="auto"/>
                    <w:right w:val="none" w:sz="0" w:space="0" w:color="auto"/>
                  </w:divBdr>
                  <w:divsChild>
                    <w:div w:id="941886976">
                      <w:marLeft w:val="0"/>
                      <w:marRight w:val="0"/>
                      <w:marTop w:val="0"/>
                      <w:marBottom w:val="0"/>
                      <w:divBdr>
                        <w:top w:val="none" w:sz="0" w:space="0" w:color="auto"/>
                        <w:left w:val="none" w:sz="0" w:space="0" w:color="auto"/>
                        <w:bottom w:val="none" w:sz="0" w:space="0" w:color="auto"/>
                        <w:right w:val="none" w:sz="0" w:space="0" w:color="auto"/>
                      </w:divBdr>
                    </w:div>
                  </w:divsChild>
                </w:div>
                <w:div w:id="667363493">
                  <w:marLeft w:val="0"/>
                  <w:marRight w:val="0"/>
                  <w:marTop w:val="0"/>
                  <w:marBottom w:val="0"/>
                  <w:divBdr>
                    <w:top w:val="none" w:sz="0" w:space="0" w:color="auto"/>
                    <w:left w:val="none" w:sz="0" w:space="0" w:color="auto"/>
                    <w:bottom w:val="none" w:sz="0" w:space="0" w:color="auto"/>
                    <w:right w:val="none" w:sz="0" w:space="0" w:color="auto"/>
                  </w:divBdr>
                  <w:divsChild>
                    <w:div w:id="1149398788">
                      <w:marLeft w:val="0"/>
                      <w:marRight w:val="0"/>
                      <w:marTop w:val="0"/>
                      <w:marBottom w:val="0"/>
                      <w:divBdr>
                        <w:top w:val="none" w:sz="0" w:space="0" w:color="auto"/>
                        <w:left w:val="none" w:sz="0" w:space="0" w:color="auto"/>
                        <w:bottom w:val="none" w:sz="0" w:space="0" w:color="auto"/>
                        <w:right w:val="none" w:sz="0" w:space="0" w:color="auto"/>
                      </w:divBdr>
                    </w:div>
                  </w:divsChild>
                </w:div>
                <w:div w:id="671686892">
                  <w:marLeft w:val="0"/>
                  <w:marRight w:val="0"/>
                  <w:marTop w:val="0"/>
                  <w:marBottom w:val="0"/>
                  <w:divBdr>
                    <w:top w:val="none" w:sz="0" w:space="0" w:color="auto"/>
                    <w:left w:val="none" w:sz="0" w:space="0" w:color="auto"/>
                    <w:bottom w:val="none" w:sz="0" w:space="0" w:color="auto"/>
                    <w:right w:val="none" w:sz="0" w:space="0" w:color="auto"/>
                  </w:divBdr>
                  <w:divsChild>
                    <w:div w:id="992217877">
                      <w:marLeft w:val="0"/>
                      <w:marRight w:val="0"/>
                      <w:marTop w:val="0"/>
                      <w:marBottom w:val="0"/>
                      <w:divBdr>
                        <w:top w:val="none" w:sz="0" w:space="0" w:color="auto"/>
                        <w:left w:val="none" w:sz="0" w:space="0" w:color="auto"/>
                        <w:bottom w:val="none" w:sz="0" w:space="0" w:color="auto"/>
                        <w:right w:val="none" w:sz="0" w:space="0" w:color="auto"/>
                      </w:divBdr>
                    </w:div>
                  </w:divsChild>
                </w:div>
                <w:div w:id="678505733">
                  <w:marLeft w:val="0"/>
                  <w:marRight w:val="0"/>
                  <w:marTop w:val="0"/>
                  <w:marBottom w:val="0"/>
                  <w:divBdr>
                    <w:top w:val="none" w:sz="0" w:space="0" w:color="auto"/>
                    <w:left w:val="none" w:sz="0" w:space="0" w:color="auto"/>
                    <w:bottom w:val="none" w:sz="0" w:space="0" w:color="auto"/>
                    <w:right w:val="none" w:sz="0" w:space="0" w:color="auto"/>
                  </w:divBdr>
                  <w:divsChild>
                    <w:div w:id="2117669477">
                      <w:marLeft w:val="0"/>
                      <w:marRight w:val="0"/>
                      <w:marTop w:val="0"/>
                      <w:marBottom w:val="0"/>
                      <w:divBdr>
                        <w:top w:val="none" w:sz="0" w:space="0" w:color="auto"/>
                        <w:left w:val="none" w:sz="0" w:space="0" w:color="auto"/>
                        <w:bottom w:val="none" w:sz="0" w:space="0" w:color="auto"/>
                        <w:right w:val="none" w:sz="0" w:space="0" w:color="auto"/>
                      </w:divBdr>
                    </w:div>
                  </w:divsChild>
                </w:div>
                <w:div w:id="682585476">
                  <w:marLeft w:val="0"/>
                  <w:marRight w:val="0"/>
                  <w:marTop w:val="0"/>
                  <w:marBottom w:val="0"/>
                  <w:divBdr>
                    <w:top w:val="none" w:sz="0" w:space="0" w:color="auto"/>
                    <w:left w:val="none" w:sz="0" w:space="0" w:color="auto"/>
                    <w:bottom w:val="none" w:sz="0" w:space="0" w:color="auto"/>
                    <w:right w:val="none" w:sz="0" w:space="0" w:color="auto"/>
                  </w:divBdr>
                  <w:divsChild>
                    <w:div w:id="226192229">
                      <w:marLeft w:val="0"/>
                      <w:marRight w:val="0"/>
                      <w:marTop w:val="0"/>
                      <w:marBottom w:val="0"/>
                      <w:divBdr>
                        <w:top w:val="none" w:sz="0" w:space="0" w:color="auto"/>
                        <w:left w:val="none" w:sz="0" w:space="0" w:color="auto"/>
                        <w:bottom w:val="none" w:sz="0" w:space="0" w:color="auto"/>
                        <w:right w:val="none" w:sz="0" w:space="0" w:color="auto"/>
                      </w:divBdr>
                    </w:div>
                  </w:divsChild>
                </w:div>
                <w:div w:id="684212299">
                  <w:marLeft w:val="0"/>
                  <w:marRight w:val="0"/>
                  <w:marTop w:val="0"/>
                  <w:marBottom w:val="0"/>
                  <w:divBdr>
                    <w:top w:val="none" w:sz="0" w:space="0" w:color="auto"/>
                    <w:left w:val="none" w:sz="0" w:space="0" w:color="auto"/>
                    <w:bottom w:val="none" w:sz="0" w:space="0" w:color="auto"/>
                    <w:right w:val="none" w:sz="0" w:space="0" w:color="auto"/>
                  </w:divBdr>
                  <w:divsChild>
                    <w:div w:id="1670525166">
                      <w:marLeft w:val="0"/>
                      <w:marRight w:val="0"/>
                      <w:marTop w:val="0"/>
                      <w:marBottom w:val="0"/>
                      <w:divBdr>
                        <w:top w:val="none" w:sz="0" w:space="0" w:color="auto"/>
                        <w:left w:val="none" w:sz="0" w:space="0" w:color="auto"/>
                        <w:bottom w:val="none" w:sz="0" w:space="0" w:color="auto"/>
                        <w:right w:val="none" w:sz="0" w:space="0" w:color="auto"/>
                      </w:divBdr>
                    </w:div>
                  </w:divsChild>
                </w:div>
                <w:div w:id="686491681">
                  <w:marLeft w:val="0"/>
                  <w:marRight w:val="0"/>
                  <w:marTop w:val="0"/>
                  <w:marBottom w:val="0"/>
                  <w:divBdr>
                    <w:top w:val="none" w:sz="0" w:space="0" w:color="auto"/>
                    <w:left w:val="none" w:sz="0" w:space="0" w:color="auto"/>
                    <w:bottom w:val="none" w:sz="0" w:space="0" w:color="auto"/>
                    <w:right w:val="none" w:sz="0" w:space="0" w:color="auto"/>
                  </w:divBdr>
                  <w:divsChild>
                    <w:div w:id="1112093691">
                      <w:marLeft w:val="0"/>
                      <w:marRight w:val="0"/>
                      <w:marTop w:val="0"/>
                      <w:marBottom w:val="0"/>
                      <w:divBdr>
                        <w:top w:val="none" w:sz="0" w:space="0" w:color="auto"/>
                        <w:left w:val="none" w:sz="0" w:space="0" w:color="auto"/>
                        <w:bottom w:val="none" w:sz="0" w:space="0" w:color="auto"/>
                        <w:right w:val="none" w:sz="0" w:space="0" w:color="auto"/>
                      </w:divBdr>
                    </w:div>
                  </w:divsChild>
                </w:div>
                <w:div w:id="693457337">
                  <w:marLeft w:val="0"/>
                  <w:marRight w:val="0"/>
                  <w:marTop w:val="0"/>
                  <w:marBottom w:val="0"/>
                  <w:divBdr>
                    <w:top w:val="none" w:sz="0" w:space="0" w:color="auto"/>
                    <w:left w:val="none" w:sz="0" w:space="0" w:color="auto"/>
                    <w:bottom w:val="none" w:sz="0" w:space="0" w:color="auto"/>
                    <w:right w:val="none" w:sz="0" w:space="0" w:color="auto"/>
                  </w:divBdr>
                  <w:divsChild>
                    <w:div w:id="520247096">
                      <w:marLeft w:val="0"/>
                      <w:marRight w:val="0"/>
                      <w:marTop w:val="0"/>
                      <w:marBottom w:val="0"/>
                      <w:divBdr>
                        <w:top w:val="none" w:sz="0" w:space="0" w:color="auto"/>
                        <w:left w:val="none" w:sz="0" w:space="0" w:color="auto"/>
                        <w:bottom w:val="none" w:sz="0" w:space="0" w:color="auto"/>
                        <w:right w:val="none" w:sz="0" w:space="0" w:color="auto"/>
                      </w:divBdr>
                    </w:div>
                  </w:divsChild>
                </w:div>
                <w:div w:id="693967898">
                  <w:marLeft w:val="0"/>
                  <w:marRight w:val="0"/>
                  <w:marTop w:val="0"/>
                  <w:marBottom w:val="0"/>
                  <w:divBdr>
                    <w:top w:val="none" w:sz="0" w:space="0" w:color="auto"/>
                    <w:left w:val="none" w:sz="0" w:space="0" w:color="auto"/>
                    <w:bottom w:val="none" w:sz="0" w:space="0" w:color="auto"/>
                    <w:right w:val="none" w:sz="0" w:space="0" w:color="auto"/>
                  </w:divBdr>
                  <w:divsChild>
                    <w:div w:id="983778160">
                      <w:marLeft w:val="0"/>
                      <w:marRight w:val="0"/>
                      <w:marTop w:val="0"/>
                      <w:marBottom w:val="0"/>
                      <w:divBdr>
                        <w:top w:val="none" w:sz="0" w:space="0" w:color="auto"/>
                        <w:left w:val="none" w:sz="0" w:space="0" w:color="auto"/>
                        <w:bottom w:val="none" w:sz="0" w:space="0" w:color="auto"/>
                        <w:right w:val="none" w:sz="0" w:space="0" w:color="auto"/>
                      </w:divBdr>
                    </w:div>
                  </w:divsChild>
                </w:div>
                <w:div w:id="695545964">
                  <w:marLeft w:val="0"/>
                  <w:marRight w:val="0"/>
                  <w:marTop w:val="0"/>
                  <w:marBottom w:val="0"/>
                  <w:divBdr>
                    <w:top w:val="none" w:sz="0" w:space="0" w:color="auto"/>
                    <w:left w:val="none" w:sz="0" w:space="0" w:color="auto"/>
                    <w:bottom w:val="none" w:sz="0" w:space="0" w:color="auto"/>
                    <w:right w:val="none" w:sz="0" w:space="0" w:color="auto"/>
                  </w:divBdr>
                  <w:divsChild>
                    <w:div w:id="1278759859">
                      <w:marLeft w:val="0"/>
                      <w:marRight w:val="0"/>
                      <w:marTop w:val="0"/>
                      <w:marBottom w:val="0"/>
                      <w:divBdr>
                        <w:top w:val="none" w:sz="0" w:space="0" w:color="auto"/>
                        <w:left w:val="none" w:sz="0" w:space="0" w:color="auto"/>
                        <w:bottom w:val="none" w:sz="0" w:space="0" w:color="auto"/>
                        <w:right w:val="none" w:sz="0" w:space="0" w:color="auto"/>
                      </w:divBdr>
                    </w:div>
                  </w:divsChild>
                </w:div>
                <w:div w:id="700327777">
                  <w:marLeft w:val="0"/>
                  <w:marRight w:val="0"/>
                  <w:marTop w:val="0"/>
                  <w:marBottom w:val="0"/>
                  <w:divBdr>
                    <w:top w:val="none" w:sz="0" w:space="0" w:color="auto"/>
                    <w:left w:val="none" w:sz="0" w:space="0" w:color="auto"/>
                    <w:bottom w:val="none" w:sz="0" w:space="0" w:color="auto"/>
                    <w:right w:val="none" w:sz="0" w:space="0" w:color="auto"/>
                  </w:divBdr>
                  <w:divsChild>
                    <w:div w:id="689718868">
                      <w:marLeft w:val="0"/>
                      <w:marRight w:val="0"/>
                      <w:marTop w:val="0"/>
                      <w:marBottom w:val="0"/>
                      <w:divBdr>
                        <w:top w:val="none" w:sz="0" w:space="0" w:color="auto"/>
                        <w:left w:val="none" w:sz="0" w:space="0" w:color="auto"/>
                        <w:bottom w:val="none" w:sz="0" w:space="0" w:color="auto"/>
                        <w:right w:val="none" w:sz="0" w:space="0" w:color="auto"/>
                      </w:divBdr>
                    </w:div>
                  </w:divsChild>
                </w:div>
                <w:div w:id="701245957">
                  <w:marLeft w:val="0"/>
                  <w:marRight w:val="0"/>
                  <w:marTop w:val="0"/>
                  <w:marBottom w:val="0"/>
                  <w:divBdr>
                    <w:top w:val="none" w:sz="0" w:space="0" w:color="auto"/>
                    <w:left w:val="none" w:sz="0" w:space="0" w:color="auto"/>
                    <w:bottom w:val="none" w:sz="0" w:space="0" w:color="auto"/>
                    <w:right w:val="none" w:sz="0" w:space="0" w:color="auto"/>
                  </w:divBdr>
                  <w:divsChild>
                    <w:div w:id="1407262987">
                      <w:marLeft w:val="0"/>
                      <w:marRight w:val="0"/>
                      <w:marTop w:val="0"/>
                      <w:marBottom w:val="0"/>
                      <w:divBdr>
                        <w:top w:val="none" w:sz="0" w:space="0" w:color="auto"/>
                        <w:left w:val="none" w:sz="0" w:space="0" w:color="auto"/>
                        <w:bottom w:val="none" w:sz="0" w:space="0" w:color="auto"/>
                        <w:right w:val="none" w:sz="0" w:space="0" w:color="auto"/>
                      </w:divBdr>
                    </w:div>
                  </w:divsChild>
                </w:div>
                <w:div w:id="701438463">
                  <w:marLeft w:val="0"/>
                  <w:marRight w:val="0"/>
                  <w:marTop w:val="0"/>
                  <w:marBottom w:val="0"/>
                  <w:divBdr>
                    <w:top w:val="none" w:sz="0" w:space="0" w:color="auto"/>
                    <w:left w:val="none" w:sz="0" w:space="0" w:color="auto"/>
                    <w:bottom w:val="none" w:sz="0" w:space="0" w:color="auto"/>
                    <w:right w:val="none" w:sz="0" w:space="0" w:color="auto"/>
                  </w:divBdr>
                  <w:divsChild>
                    <w:div w:id="1524395550">
                      <w:marLeft w:val="0"/>
                      <w:marRight w:val="0"/>
                      <w:marTop w:val="0"/>
                      <w:marBottom w:val="0"/>
                      <w:divBdr>
                        <w:top w:val="none" w:sz="0" w:space="0" w:color="auto"/>
                        <w:left w:val="none" w:sz="0" w:space="0" w:color="auto"/>
                        <w:bottom w:val="none" w:sz="0" w:space="0" w:color="auto"/>
                        <w:right w:val="none" w:sz="0" w:space="0" w:color="auto"/>
                      </w:divBdr>
                    </w:div>
                  </w:divsChild>
                </w:div>
                <w:div w:id="704908048">
                  <w:marLeft w:val="0"/>
                  <w:marRight w:val="0"/>
                  <w:marTop w:val="0"/>
                  <w:marBottom w:val="0"/>
                  <w:divBdr>
                    <w:top w:val="none" w:sz="0" w:space="0" w:color="auto"/>
                    <w:left w:val="none" w:sz="0" w:space="0" w:color="auto"/>
                    <w:bottom w:val="none" w:sz="0" w:space="0" w:color="auto"/>
                    <w:right w:val="none" w:sz="0" w:space="0" w:color="auto"/>
                  </w:divBdr>
                  <w:divsChild>
                    <w:div w:id="2067609054">
                      <w:marLeft w:val="0"/>
                      <w:marRight w:val="0"/>
                      <w:marTop w:val="0"/>
                      <w:marBottom w:val="0"/>
                      <w:divBdr>
                        <w:top w:val="none" w:sz="0" w:space="0" w:color="auto"/>
                        <w:left w:val="none" w:sz="0" w:space="0" w:color="auto"/>
                        <w:bottom w:val="none" w:sz="0" w:space="0" w:color="auto"/>
                        <w:right w:val="none" w:sz="0" w:space="0" w:color="auto"/>
                      </w:divBdr>
                    </w:div>
                  </w:divsChild>
                </w:div>
                <w:div w:id="711542622">
                  <w:marLeft w:val="0"/>
                  <w:marRight w:val="0"/>
                  <w:marTop w:val="0"/>
                  <w:marBottom w:val="0"/>
                  <w:divBdr>
                    <w:top w:val="none" w:sz="0" w:space="0" w:color="auto"/>
                    <w:left w:val="none" w:sz="0" w:space="0" w:color="auto"/>
                    <w:bottom w:val="none" w:sz="0" w:space="0" w:color="auto"/>
                    <w:right w:val="none" w:sz="0" w:space="0" w:color="auto"/>
                  </w:divBdr>
                  <w:divsChild>
                    <w:div w:id="1585190995">
                      <w:marLeft w:val="0"/>
                      <w:marRight w:val="0"/>
                      <w:marTop w:val="0"/>
                      <w:marBottom w:val="0"/>
                      <w:divBdr>
                        <w:top w:val="none" w:sz="0" w:space="0" w:color="auto"/>
                        <w:left w:val="none" w:sz="0" w:space="0" w:color="auto"/>
                        <w:bottom w:val="none" w:sz="0" w:space="0" w:color="auto"/>
                        <w:right w:val="none" w:sz="0" w:space="0" w:color="auto"/>
                      </w:divBdr>
                    </w:div>
                  </w:divsChild>
                </w:div>
                <w:div w:id="719288611">
                  <w:marLeft w:val="0"/>
                  <w:marRight w:val="0"/>
                  <w:marTop w:val="0"/>
                  <w:marBottom w:val="0"/>
                  <w:divBdr>
                    <w:top w:val="none" w:sz="0" w:space="0" w:color="auto"/>
                    <w:left w:val="none" w:sz="0" w:space="0" w:color="auto"/>
                    <w:bottom w:val="none" w:sz="0" w:space="0" w:color="auto"/>
                    <w:right w:val="none" w:sz="0" w:space="0" w:color="auto"/>
                  </w:divBdr>
                  <w:divsChild>
                    <w:div w:id="572620143">
                      <w:marLeft w:val="0"/>
                      <w:marRight w:val="0"/>
                      <w:marTop w:val="0"/>
                      <w:marBottom w:val="0"/>
                      <w:divBdr>
                        <w:top w:val="none" w:sz="0" w:space="0" w:color="auto"/>
                        <w:left w:val="none" w:sz="0" w:space="0" w:color="auto"/>
                        <w:bottom w:val="none" w:sz="0" w:space="0" w:color="auto"/>
                        <w:right w:val="none" w:sz="0" w:space="0" w:color="auto"/>
                      </w:divBdr>
                    </w:div>
                  </w:divsChild>
                </w:div>
                <w:div w:id="722143506">
                  <w:marLeft w:val="0"/>
                  <w:marRight w:val="0"/>
                  <w:marTop w:val="0"/>
                  <w:marBottom w:val="0"/>
                  <w:divBdr>
                    <w:top w:val="none" w:sz="0" w:space="0" w:color="auto"/>
                    <w:left w:val="none" w:sz="0" w:space="0" w:color="auto"/>
                    <w:bottom w:val="none" w:sz="0" w:space="0" w:color="auto"/>
                    <w:right w:val="none" w:sz="0" w:space="0" w:color="auto"/>
                  </w:divBdr>
                  <w:divsChild>
                    <w:div w:id="396709411">
                      <w:marLeft w:val="0"/>
                      <w:marRight w:val="0"/>
                      <w:marTop w:val="0"/>
                      <w:marBottom w:val="0"/>
                      <w:divBdr>
                        <w:top w:val="none" w:sz="0" w:space="0" w:color="auto"/>
                        <w:left w:val="none" w:sz="0" w:space="0" w:color="auto"/>
                        <w:bottom w:val="none" w:sz="0" w:space="0" w:color="auto"/>
                        <w:right w:val="none" w:sz="0" w:space="0" w:color="auto"/>
                      </w:divBdr>
                    </w:div>
                  </w:divsChild>
                </w:div>
                <w:div w:id="723063974">
                  <w:marLeft w:val="0"/>
                  <w:marRight w:val="0"/>
                  <w:marTop w:val="0"/>
                  <w:marBottom w:val="0"/>
                  <w:divBdr>
                    <w:top w:val="none" w:sz="0" w:space="0" w:color="auto"/>
                    <w:left w:val="none" w:sz="0" w:space="0" w:color="auto"/>
                    <w:bottom w:val="none" w:sz="0" w:space="0" w:color="auto"/>
                    <w:right w:val="none" w:sz="0" w:space="0" w:color="auto"/>
                  </w:divBdr>
                  <w:divsChild>
                    <w:div w:id="1750611356">
                      <w:marLeft w:val="0"/>
                      <w:marRight w:val="0"/>
                      <w:marTop w:val="0"/>
                      <w:marBottom w:val="0"/>
                      <w:divBdr>
                        <w:top w:val="none" w:sz="0" w:space="0" w:color="auto"/>
                        <w:left w:val="none" w:sz="0" w:space="0" w:color="auto"/>
                        <w:bottom w:val="none" w:sz="0" w:space="0" w:color="auto"/>
                        <w:right w:val="none" w:sz="0" w:space="0" w:color="auto"/>
                      </w:divBdr>
                    </w:div>
                  </w:divsChild>
                </w:div>
                <w:div w:id="749541159">
                  <w:marLeft w:val="0"/>
                  <w:marRight w:val="0"/>
                  <w:marTop w:val="0"/>
                  <w:marBottom w:val="0"/>
                  <w:divBdr>
                    <w:top w:val="none" w:sz="0" w:space="0" w:color="auto"/>
                    <w:left w:val="none" w:sz="0" w:space="0" w:color="auto"/>
                    <w:bottom w:val="none" w:sz="0" w:space="0" w:color="auto"/>
                    <w:right w:val="none" w:sz="0" w:space="0" w:color="auto"/>
                  </w:divBdr>
                  <w:divsChild>
                    <w:div w:id="1678924417">
                      <w:marLeft w:val="0"/>
                      <w:marRight w:val="0"/>
                      <w:marTop w:val="0"/>
                      <w:marBottom w:val="0"/>
                      <w:divBdr>
                        <w:top w:val="none" w:sz="0" w:space="0" w:color="auto"/>
                        <w:left w:val="none" w:sz="0" w:space="0" w:color="auto"/>
                        <w:bottom w:val="none" w:sz="0" w:space="0" w:color="auto"/>
                        <w:right w:val="none" w:sz="0" w:space="0" w:color="auto"/>
                      </w:divBdr>
                    </w:div>
                  </w:divsChild>
                </w:div>
                <w:div w:id="757604777">
                  <w:marLeft w:val="0"/>
                  <w:marRight w:val="0"/>
                  <w:marTop w:val="0"/>
                  <w:marBottom w:val="0"/>
                  <w:divBdr>
                    <w:top w:val="none" w:sz="0" w:space="0" w:color="auto"/>
                    <w:left w:val="none" w:sz="0" w:space="0" w:color="auto"/>
                    <w:bottom w:val="none" w:sz="0" w:space="0" w:color="auto"/>
                    <w:right w:val="none" w:sz="0" w:space="0" w:color="auto"/>
                  </w:divBdr>
                  <w:divsChild>
                    <w:div w:id="723455475">
                      <w:marLeft w:val="0"/>
                      <w:marRight w:val="0"/>
                      <w:marTop w:val="0"/>
                      <w:marBottom w:val="0"/>
                      <w:divBdr>
                        <w:top w:val="none" w:sz="0" w:space="0" w:color="auto"/>
                        <w:left w:val="none" w:sz="0" w:space="0" w:color="auto"/>
                        <w:bottom w:val="none" w:sz="0" w:space="0" w:color="auto"/>
                        <w:right w:val="none" w:sz="0" w:space="0" w:color="auto"/>
                      </w:divBdr>
                    </w:div>
                  </w:divsChild>
                </w:div>
                <w:div w:id="770010135">
                  <w:marLeft w:val="0"/>
                  <w:marRight w:val="0"/>
                  <w:marTop w:val="0"/>
                  <w:marBottom w:val="0"/>
                  <w:divBdr>
                    <w:top w:val="none" w:sz="0" w:space="0" w:color="auto"/>
                    <w:left w:val="none" w:sz="0" w:space="0" w:color="auto"/>
                    <w:bottom w:val="none" w:sz="0" w:space="0" w:color="auto"/>
                    <w:right w:val="none" w:sz="0" w:space="0" w:color="auto"/>
                  </w:divBdr>
                  <w:divsChild>
                    <w:div w:id="1965576329">
                      <w:marLeft w:val="0"/>
                      <w:marRight w:val="0"/>
                      <w:marTop w:val="0"/>
                      <w:marBottom w:val="0"/>
                      <w:divBdr>
                        <w:top w:val="none" w:sz="0" w:space="0" w:color="auto"/>
                        <w:left w:val="none" w:sz="0" w:space="0" w:color="auto"/>
                        <w:bottom w:val="none" w:sz="0" w:space="0" w:color="auto"/>
                        <w:right w:val="none" w:sz="0" w:space="0" w:color="auto"/>
                      </w:divBdr>
                    </w:div>
                  </w:divsChild>
                </w:div>
                <w:div w:id="770321861">
                  <w:marLeft w:val="0"/>
                  <w:marRight w:val="0"/>
                  <w:marTop w:val="0"/>
                  <w:marBottom w:val="0"/>
                  <w:divBdr>
                    <w:top w:val="none" w:sz="0" w:space="0" w:color="auto"/>
                    <w:left w:val="none" w:sz="0" w:space="0" w:color="auto"/>
                    <w:bottom w:val="none" w:sz="0" w:space="0" w:color="auto"/>
                    <w:right w:val="none" w:sz="0" w:space="0" w:color="auto"/>
                  </w:divBdr>
                  <w:divsChild>
                    <w:div w:id="1241283470">
                      <w:marLeft w:val="0"/>
                      <w:marRight w:val="0"/>
                      <w:marTop w:val="0"/>
                      <w:marBottom w:val="0"/>
                      <w:divBdr>
                        <w:top w:val="none" w:sz="0" w:space="0" w:color="auto"/>
                        <w:left w:val="none" w:sz="0" w:space="0" w:color="auto"/>
                        <w:bottom w:val="none" w:sz="0" w:space="0" w:color="auto"/>
                        <w:right w:val="none" w:sz="0" w:space="0" w:color="auto"/>
                      </w:divBdr>
                    </w:div>
                  </w:divsChild>
                </w:div>
                <w:div w:id="772433559">
                  <w:marLeft w:val="0"/>
                  <w:marRight w:val="0"/>
                  <w:marTop w:val="0"/>
                  <w:marBottom w:val="0"/>
                  <w:divBdr>
                    <w:top w:val="none" w:sz="0" w:space="0" w:color="auto"/>
                    <w:left w:val="none" w:sz="0" w:space="0" w:color="auto"/>
                    <w:bottom w:val="none" w:sz="0" w:space="0" w:color="auto"/>
                    <w:right w:val="none" w:sz="0" w:space="0" w:color="auto"/>
                  </w:divBdr>
                  <w:divsChild>
                    <w:div w:id="364989266">
                      <w:marLeft w:val="0"/>
                      <w:marRight w:val="0"/>
                      <w:marTop w:val="0"/>
                      <w:marBottom w:val="0"/>
                      <w:divBdr>
                        <w:top w:val="none" w:sz="0" w:space="0" w:color="auto"/>
                        <w:left w:val="none" w:sz="0" w:space="0" w:color="auto"/>
                        <w:bottom w:val="none" w:sz="0" w:space="0" w:color="auto"/>
                        <w:right w:val="none" w:sz="0" w:space="0" w:color="auto"/>
                      </w:divBdr>
                    </w:div>
                  </w:divsChild>
                </w:div>
                <w:div w:id="773600260">
                  <w:marLeft w:val="0"/>
                  <w:marRight w:val="0"/>
                  <w:marTop w:val="0"/>
                  <w:marBottom w:val="0"/>
                  <w:divBdr>
                    <w:top w:val="none" w:sz="0" w:space="0" w:color="auto"/>
                    <w:left w:val="none" w:sz="0" w:space="0" w:color="auto"/>
                    <w:bottom w:val="none" w:sz="0" w:space="0" w:color="auto"/>
                    <w:right w:val="none" w:sz="0" w:space="0" w:color="auto"/>
                  </w:divBdr>
                  <w:divsChild>
                    <w:div w:id="1390684708">
                      <w:marLeft w:val="0"/>
                      <w:marRight w:val="0"/>
                      <w:marTop w:val="0"/>
                      <w:marBottom w:val="0"/>
                      <w:divBdr>
                        <w:top w:val="none" w:sz="0" w:space="0" w:color="auto"/>
                        <w:left w:val="none" w:sz="0" w:space="0" w:color="auto"/>
                        <w:bottom w:val="none" w:sz="0" w:space="0" w:color="auto"/>
                        <w:right w:val="none" w:sz="0" w:space="0" w:color="auto"/>
                      </w:divBdr>
                    </w:div>
                  </w:divsChild>
                </w:div>
                <w:div w:id="774597990">
                  <w:marLeft w:val="0"/>
                  <w:marRight w:val="0"/>
                  <w:marTop w:val="0"/>
                  <w:marBottom w:val="0"/>
                  <w:divBdr>
                    <w:top w:val="none" w:sz="0" w:space="0" w:color="auto"/>
                    <w:left w:val="none" w:sz="0" w:space="0" w:color="auto"/>
                    <w:bottom w:val="none" w:sz="0" w:space="0" w:color="auto"/>
                    <w:right w:val="none" w:sz="0" w:space="0" w:color="auto"/>
                  </w:divBdr>
                  <w:divsChild>
                    <w:div w:id="200635251">
                      <w:marLeft w:val="0"/>
                      <w:marRight w:val="0"/>
                      <w:marTop w:val="0"/>
                      <w:marBottom w:val="0"/>
                      <w:divBdr>
                        <w:top w:val="none" w:sz="0" w:space="0" w:color="auto"/>
                        <w:left w:val="none" w:sz="0" w:space="0" w:color="auto"/>
                        <w:bottom w:val="none" w:sz="0" w:space="0" w:color="auto"/>
                        <w:right w:val="none" w:sz="0" w:space="0" w:color="auto"/>
                      </w:divBdr>
                    </w:div>
                  </w:divsChild>
                </w:div>
                <w:div w:id="781994636">
                  <w:marLeft w:val="0"/>
                  <w:marRight w:val="0"/>
                  <w:marTop w:val="0"/>
                  <w:marBottom w:val="0"/>
                  <w:divBdr>
                    <w:top w:val="none" w:sz="0" w:space="0" w:color="auto"/>
                    <w:left w:val="none" w:sz="0" w:space="0" w:color="auto"/>
                    <w:bottom w:val="none" w:sz="0" w:space="0" w:color="auto"/>
                    <w:right w:val="none" w:sz="0" w:space="0" w:color="auto"/>
                  </w:divBdr>
                  <w:divsChild>
                    <w:div w:id="1435130717">
                      <w:marLeft w:val="0"/>
                      <w:marRight w:val="0"/>
                      <w:marTop w:val="0"/>
                      <w:marBottom w:val="0"/>
                      <w:divBdr>
                        <w:top w:val="none" w:sz="0" w:space="0" w:color="auto"/>
                        <w:left w:val="none" w:sz="0" w:space="0" w:color="auto"/>
                        <w:bottom w:val="none" w:sz="0" w:space="0" w:color="auto"/>
                        <w:right w:val="none" w:sz="0" w:space="0" w:color="auto"/>
                      </w:divBdr>
                    </w:div>
                  </w:divsChild>
                </w:div>
                <w:div w:id="783694839">
                  <w:marLeft w:val="0"/>
                  <w:marRight w:val="0"/>
                  <w:marTop w:val="0"/>
                  <w:marBottom w:val="0"/>
                  <w:divBdr>
                    <w:top w:val="none" w:sz="0" w:space="0" w:color="auto"/>
                    <w:left w:val="none" w:sz="0" w:space="0" w:color="auto"/>
                    <w:bottom w:val="none" w:sz="0" w:space="0" w:color="auto"/>
                    <w:right w:val="none" w:sz="0" w:space="0" w:color="auto"/>
                  </w:divBdr>
                  <w:divsChild>
                    <w:div w:id="638732137">
                      <w:marLeft w:val="0"/>
                      <w:marRight w:val="0"/>
                      <w:marTop w:val="0"/>
                      <w:marBottom w:val="0"/>
                      <w:divBdr>
                        <w:top w:val="none" w:sz="0" w:space="0" w:color="auto"/>
                        <w:left w:val="none" w:sz="0" w:space="0" w:color="auto"/>
                        <w:bottom w:val="none" w:sz="0" w:space="0" w:color="auto"/>
                        <w:right w:val="none" w:sz="0" w:space="0" w:color="auto"/>
                      </w:divBdr>
                    </w:div>
                  </w:divsChild>
                </w:div>
                <w:div w:id="785276873">
                  <w:marLeft w:val="0"/>
                  <w:marRight w:val="0"/>
                  <w:marTop w:val="0"/>
                  <w:marBottom w:val="0"/>
                  <w:divBdr>
                    <w:top w:val="none" w:sz="0" w:space="0" w:color="auto"/>
                    <w:left w:val="none" w:sz="0" w:space="0" w:color="auto"/>
                    <w:bottom w:val="none" w:sz="0" w:space="0" w:color="auto"/>
                    <w:right w:val="none" w:sz="0" w:space="0" w:color="auto"/>
                  </w:divBdr>
                  <w:divsChild>
                    <w:div w:id="103037907">
                      <w:marLeft w:val="0"/>
                      <w:marRight w:val="0"/>
                      <w:marTop w:val="0"/>
                      <w:marBottom w:val="0"/>
                      <w:divBdr>
                        <w:top w:val="none" w:sz="0" w:space="0" w:color="auto"/>
                        <w:left w:val="none" w:sz="0" w:space="0" w:color="auto"/>
                        <w:bottom w:val="none" w:sz="0" w:space="0" w:color="auto"/>
                        <w:right w:val="none" w:sz="0" w:space="0" w:color="auto"/>
                      </w:divBdr>
                    </w:div>
                  </w:divsChild>
                </w:div>
                <w:div w:id="787817377">
                  <w:marLeft w:val="0"/>
                  <w:marRight w:val="0"/>
                  <w:marTop w:val="0"/>
                  <w:marBottom w:val="0"/>
                  <w:divBdr>
                    <w:top w:val="none" w:sz="0" w:space="0" w:color="auto"/>
                    <w:left w:val="none" w:sz="0" w:space="0" w:color="auto"/>
                    <w:bottom w:val="none" w:sz="0" w:space="0" w:color="auto"/>
                    <w:right w:val="none" w:sz="0" w:space="0" w:color="auto"/>
                  </w:divBdr>
                  <w:divsChild>
                    <w:div w:id="780957372">
                      <w:marLeft w:val="0"/>
                      <w:marRight w:val="0"/>
                      <w:marTop w:val="0"/>
                      <w:marBottom w:val="0"/>
                      <w:divBdr>
                        <w:top w:val="none" w:sz="0" w:space="0" w:color="auto"/>
                        <w:left w:val="none" w:sz="0" w:space="0" w:color="auto"/>
                        <w:bottom w:val="none" w:sz="0" w:space="0" w:color="auto"/>
                        <w:right w:val="none" w:sz="0" w:space="0" w:color="auto"/>
                      </w:divBdr>
                    </w:div>
                  </w:divsChild>
                </w:div>
                <w:div w:id="795761827">
                  <w:marLeft w:val="0"/>
                  <w:marRight w:val="0"/>
                  <w:marTop w:val="0"/>
                  <w:marBottom w:val="0"/>
                  <w:divBdr>
                    <w:top w:val="none" w:sz="0" w:space="0" w:color="auto"/>
                    <w:left w:val="none" w:sz="0" w:space="0" w:color="auto"/>
                    <w:bottom w:val="none" w:sz="0" w:space="0" w:color="auto"/>
                    <w:right w:val="none" w:sz="0" w:space="0" w:color="auto"/>
                  </w:divBdr>
                  <w:divsChild>
                    <w:div w:id="1134832828">
                      <w:marLeft w:val="0"/>
                      <w:marRight w:val="0"/>
                      <w:marTop w:val="0"/>
                      <w:marBottom w:val="0"/>
                      <w:divBdr>
                        <w:top w:val="none" w:sz="0" w:space="0" w:color="auto"/>
                        <w:left w:val="none" w:sz="0" w:space="0" w:color="auto"/>
                        <w:bottom w:val="none" w:sz="0" w:space="0" w:color="auto"/>
                        <w:right w:val="none" w:sz="0" w:space="0" w:color="auto"/>
                      </w:divBdr>
                    </w:div>
                  </w:divsChild>
                </w:div>
                <w:div w:id="796606595">
                  <w:marLeft w:val="0"/>
                  <w:marRight w:val="0"/>
                  <w:marTop w:val="0"/>
                  <w:marBottom w:val="0"/>
                  <w:divBdr>
                    <w:top w:val="none" w:sz="0" w:space="0" w:color="auto"/>
                    <w:left w:val="none" w:sz="0" w:space="0" w:color="auto"/>
                    <w:bottom w:val="none" w:sz="0" w:space="0" w:color="auto"/>
                    <w:right w:val="none" w:sz="0" w:space="0" w:color="auto"/>
                  </w:divBdr>
                  <w:divsChild>
                    <w:div w:id="1165045985">
                      <w:marLeft w:val="0"/>
                      <w:marRight w:val="0"/>
                      <w:marTop w:val="0"/>
                      <w:marBottom w:val="0"/>
                      <w:divBdr>
                        <w:top w:val="none" w:sz="0" w:space="0" w:color="auto"/>
                        <w:left w:val="none" w:sz="0" w:space="0" w:color="auto"/>
                        <w:bottom w:val="none" w:sz="0" w:space="0" w:color="auto"/>
                        <w:right w:val="none" w:sz="0" w:space="0" w:color="auto"/>
                      </w:divBdr>
                    </w:div>
                  </w:divsChild>
                </w:div>
                <w:div w:id="798376795">
                  <w:marLeft w:val="0"/>
                  <w:marRight w:val="0"/>
                  <w:marTop w:val="0"/>
                  <w:marBottom w:val="0"/>
                  <w:divBdr>
                    <w:top w:val="none" w:sz="0" w:space="0" w:color="auto"/>
                    <w:left w:val="none" w:sz="0" w:space="0" w:color="auto"/>
                    <w:bottom w:val="none" w:sz="0" w:space="0" w:color="auto"/>
                    <w:right w:val="none" w:sz="0" w:space="0" w:color="auto"/>
                  </w:divBdr>
                  <w:divsChild>
                    <w:div w:id="163740668">
                      <w:marLeft w:val="0"/>
                      <w:marRight w:val="0"/>
                      <w:marTop w:val="0"/>
                      <w:marBottom w:val="0"/>
                      <w:divBdr>
                        <w:top w:val="none" w:sz="0" w:space="0" w:color="auto"/>
                        <w:left w:val="none" w:sz="0" w:space="0" w:color="auto"/>
                        <w:bottom w:val="none" w:sz="0" w:space="0" w:color="auto"/>
                        <w:right w:val="none" w:sz="0" w:space="0" w:color="auto"/>
                      </w:divBdr>
                    </w:div>
                  </w:divsChild>
                </w:div>
                <w:div w:id="800343233">
                  <w:marLeft w:val="0"/>
                  <w:marRight w:val="0"/>
                  <w:marTop w:val="0"/>
                  <w:marBottom w:val="0"/>
                  <w:divBdr>
                    <w:top w:val="none" w:sz="0" w:space="0" w:color="auto"/>
                    <w:left w:val="none" w:sz="0" w:space="0" w:color="auto"/>
                    <w:bottom w:val="none" w:sz="0" w:space="0" w:color="auto"/>
                    <w:right w:val="none" w:sz="0" w:space="0" w:color="auto"/>
                  </w:divBdr>
                  <w:divsChild>
                    <w:div w:id="1316764984">
                      <w:marLeft w:val="0"/>
                      <w:marRight w:val="0"/>
                      <w:marTop w:val="0"/>
                      <w:marBottom w:val="0"/>
                      <w:divBdr>
                        <w:top w:val="none" w:sz="0" w:space="0" w:color="auto"/>
                        <w:left w:val="none" w:sz="0" w:space="0" w:color="auto"/>
                        <w:bottom w:val="none" w:sz="0" w:space="0" w:color="auto"/>
                        <w:right w:val="none" w:sz="0" w:space="0" w:color="auto"/>
                      </w:divBdr>
                    </w:div>
                  </w:divsChild>
                </w:div>
                <w:div w:id="801651347">
                  <w:marLeft w:val="0"/>
                  <w:marRight w:val="0"/>
                  <w:marTop w:val="0"/>
                  <w:marBottom w:val="0"/>
                  <w:divBdr>
                    <w:top w:val="none" w:sz="0" w:space="0" w:color="auto"/>
                    <w:left w:val="none" w:sz="0" w:space="0" w:color="auto"/>
                    <w:bottom w:val="none" w:sz="0" w:space="0" w:color="auto"/>
                    <w:right w:val="none" w:sz="0" w:space="0" w:color="auto"/>
                  </w:divBdr>
                  <w:divsChild>
                    <w:div w:id="121310100">
                      <w:marLeft w:val="0"/>
                      <w:marRight w:val="0"/>
                      <w:marTop w:val="0"/>
                      <w:marBottom w:val="0"/>
                      <w:divBdr>
                        <w:top w:val="none" w:sz="0" w:space="0" w:color="auto"/>
                        <w:left w:val="none" w:sz="0" w:space="0" w:color="auto"/>
                        <w:bottom w:val="none" w:sz="0" w:space="0" w:color="auto"/>
                        <w:right w:val="none" w:sz="0" w:space="0" w:color="auto"/>
                      </w:divBdr>
                    </w:div>
                  </w:divsChild>
                </w:div>
                <w:div w:id="802623731">
                  <w:marLeft w:val="0"/>
                  <w:marRight w:val="0"/>
                  <w:marTop w:val="0"/>
                  <w:marBottom w:val="0"/>
                  <w:divBdr>
                    <w:top w:val="none" w:sz="0" w:space="0" w:color="auto"/>
                    <w:left w:val="none" w:sz="0" w:space="0" w:color="auto"/>
                    <w:bottom w:val="none" w:sz="0" w:space="0" w:color="auto"/>
                    <w:right w:val="none" w:sz="0" w:space="0" w:color="auto"/>
                  </w:divBdr>
                  <w:divsChild>
                    <w:div w:id="670372296">
                      <w:marLeft w:val="0"/>
                      <w:marRight w:val="0"/>
                      <w:marTop w:val="0"/>
                      <w:marBottom w:val="0"/>
                      <w:divBdr>
                        <w:top w:val="none" w:sz="0" w:space="0" w:color="auto"/>
                        <w:left w:val="none" w:sz="0" w:space="0" w:color="auto"/>
                        <w:bottom w:val="none" w:sz="0" w:space="0" w:color="auto"/>
                        <w:right w:val="none" w:sz="0" w:space="0" w:color="auto"/>
                      </w:divBdr>
                    </w:div>
                  </w:divsChild>
                </w:div>
                <w:div w:id="803084574">
                  <w:marLeft w:val="0"/>
                  <w:marRight w:val="0"/>
                  <w:marTop w:val="0"/>
                  <w:marBottom w:val="0"/>
                  <w:divBdr>
                    <w:top w:val="none" w:sz="0" w:space="0" w:color="auto"/>
                    <w:left w:val="none" w:sz="0" w:space="0" w:color="auto"/>
                    <w:bottom w:val="none" w:sz="0" w:space="0" w:color="auto"/>
                    <w:right w:val="none" w:sz="0" w:space="0" w:color="auto"/>
                  </w:divBdr>
                  <w:divsChild>
                    <w:div w:id="1849129296">
                      <w:marLeft w:val="0"/>
                      <w:marRight w:val="0"/>
                      <w:marTop w:val="0"/>
                      <w:marBottom w:val="0"/>
                      <w:divBdr>
                        <w:top w:val="none" w:sz="0" w:space="0" w:color="auto"/>
                        <w:left w:val="none" w:sz="0" w:space="0" w:color="auto"/>
                        <w:bottom w:val="none" w:sz="0" w:space="0" w:color="auto"/>
                        <w:right w:val="none" w:sz="0" w:space="0" w:color="auto"/>
                      </w:divBdr>
                    </w:div>
                  </w:divsChild>
                </w:div>
                <w:div w:id="805121600">
                  <w:marLeft w:val="0"/>
                  <w:marRight w:val="0"/>
                  <w:marTop w:val="0"/>
                  <w:marBottom w:val="0"/>
                  <w:divBdr>
                    <w:top w:val="none" w:sz="0" w:space="0" w:color="auto"/>
                    <w:left w:val="none" w:sz="0" w:space="0" w:color="auto"/>
                    <w:bottom w:val="none" w:sz="0" w:space="0" w:color="auto"/>
                    <w:right w:val="none" w:sz="0" w:space="0" w:color="auto"/>
                  </w:divBdr>
                  <w:divsChild>
                    <w:div w:id="1324702070">
                      <w:marLeft w:val="0"/>
                      <w:marRight w:val="0"/>
                      <w:marTop w:val="0"/>
                      <w:marBottom w:val="0"/>
                      <w:divBdr>
                        <w:top w:val="none" w:sz="0" w:space="0" w:color="auto"/>
                        <w:left w:val="none" w:sz="0" w:space="0" w:color="auto"/>
                        <w:bottom w:val="none" w:sz="0" w:space="0" w:color="auto"/>
                        <w:right w:val="none" w:sz="0" w:space="0" w:color="auto"/>
                      </w:divBdr>
                    </w:div>
                  </w:divsChild>
                </w:div>
                <w:div w:id="814562021">
                  <w:marLeft w:val="0"/>
                  <w:marRight w:val="0"/>
                  <w:marTop w:val="0"/>
                  <w:marBottom w:val="0"/>
                  <w:divBdr>
                    <w:top w:val="none" w:sz="0" w:space="0" w:color="auto"/>
                    <w:left w:val="none" w:sz="0" w:space="0" w:color="auto"/>
                    <w:bottom w:val="none" w:sz="0" w:space="0" w:color="auto"/>
                    <w:right w:val="none" w:sz="0" w:space="0" w:color="auto"/>
                  </w:divBdr>
                  <w:divsChild>
                    <w:div w:id="1569683309">
                      <w:marLeft w:val="0"/>
                      <w:marRight w:val="0"/>
                      <w:marTop w:val="0"/>
                      <w:marBottom w:val="0"/>
                      <w:divBdr>
                        <w:top w:val="none" w:sz="0" w:space="0" w:color="auto"/>
                        <w:left w:val="none" w:sz="0" w:space="0" w:color="auto"/>
                        <w:bottom w:val="none" w:sz="0" w:space="0" w:color="auto"/>
                        <w:right w:val="none" w:sz="0" w:space="0" w:color="auto"/>
                      </w:divBdr>
                    </w:div>
                  </w:divsChild>
                </w:div>
                <w:div w:id="817264395">
                  <w:marLeft w:val="0"/>
                  <w:marRight w:val="0"/>
                  <w:marTop w:val="0"/>
                  <w:marBottom w:val="0"/>
                  <w:divBdr>
                    <w:top w:val="none" w:sz="0" w:space="0" w:color="auto"/>
                    <w:left w:val="none" w:sz="0" w:space="0" w:color="auto"/>
                    <w:bottom w:val="none" w:sz="0" w:space="0" w:color="auto"/>
                    <w:right w:val="none" w:sz="0" w:space="0" w:color="auto"/>
                  </w:divBdr>
                  <w:divsChild>
                    <w:div w:id="1238712446">
                      <w:marLeft w:val="0"/>
                      <w:marRight w:val="0"/>
                      <w:marTop w:val="0"/>
                      <w:marBottom w:val="0"/>
                      <w:divBdr>
                        <w:top w:val="none" w:sz="0" w:space="0" w:color="auto"/>
                        <w:left w:val="none" w:sz="0" w:space="0" w:color="auto"/>
                        <w:bottom w:val="none" w:sz="0" w:space="0" w:color="auto"/>
                        <w:right w:val="none" w:sz="0" w:space="0" w:color="auto"/>
                      </w:divBdr>
                    </w:div>
                  </w:divsChild>
                </w:div>
                <w:div w:id="819151237">
                  <w:marLeft w:val="0"/>
                  <w:marRight w:val="0"/>
                  <w:marTop w:val="0"/>
                  <w:marBottom w:val="0"/>
                  <w:divBdr>
                    <w:top w:val="none" w:sz="0" w:space="0" w:color="auto"/>
                    <w:left w:val="none" w:sz="0" w:space="0" w:color="auto"/>
                    <w:bottom w:val="none" w:sz="0" w:space="0" w:color="auto"/>
                    <w:right w:val="none" w:sz="0" w:space="0" w:color="auto"/>
                  </w:divBdr>
                  <w:divsChild>
                    <w:div w:id="1495993680">
                      <w:marLeft w:val="0"/>
                      <w:marRight w:val="0"/>
                      <w:marTop w:val="0"/>
                      <w:marBottom w:val="0"/>
                      <w:divBdr>
                        <w:top w:val="none" w:sz="0" w:space="0" w:color="auto"/>
                        <w:left w:val="none" w:sz="0" w:space="0" w:color="auto"/>
                        <w:bottom w:val="none" w:sz="0" w:space="0" w:color="auto"/>
                        <w:right w:val="none" w:sz="0" w:space="0" w:color="auto"/>
                      </w:divBdr>
                    </w:div>
                  </w:divsChild>
                </w:div>
                <w:div w:id="820199237">
                  <w:marLeft w:val="0"/>
                  <w:marRight w:val="0"/>
                  <w:marTop w:val="0"/>
                  <w:marBottom w:val="0"/>
                  <w:divBdr>
                    <w:top w:val="none" w:sz="0" w:space="0" w:color="auto"/>
                    <w:left w:val="none" w:sz="0" w:space="0" w:color="auto"/>
                    <w:bottom w:val="none" w:sz="0" w:space="0" w:color="auto"/>
                    <w:right w:val="none" w:sz="0" w:space="0" w:color="auto"/>
                  </w:divBdr>
                  <w:divsChild>
                    <w:div w:id="807212488">
                      <w:marLeft w:val="0"/>
                      <w:marRight w:val="0"/>
                      <w:marTop w:val="0"/>
                      <w:marBottom w:val="0"/>
                      <w:divBdr>
                        <w:top w:val="none" w:sz="0" w:space="0" w:color="auto"/>
                        <w:left w:val="none" w:sz="0" w:space="0" w:color="auto"/>
                        <w:bottom w:val="none" w:sz="0" w:space="0" w:color="auto"/>
                        <w:right w:val="none" w:sz="0" w:space="0" w:color="auto"/>
                      </w:divBdr>
                    </w:div>
                  </w:divsChild>
                </w:div>
                <w:div w:id="824278481">
                  <w:marLeft w:val="0"/>
                  <w:marRight w:val="0"/>
                  <w:marTop w:val="0"/>
                  <w:marBottom w:val="0"/>
                  <w:divBdr>
                    <w:top w:val="none" w:sz="0" w:space="0" w:color="auto"/>
                    <w:left w:val="none" w:sz="0" w:space="0" w:color="auto"/>
                    <w:bottom w:val="none" w:sz="0" w:space="0" w:color="auto"/>
                    <w:right w:val="none" w:sz="0" w:space="0" w:color="auto"/>
                  </w:divBdr>
                  <w:divsChild>
                    <w:div w:id="870457140">
                      <w:marLeft w:val="0"/>
                      <w:marRight w:val="0"/>
                      <w:marTop w:val="0"/>
                      <w:marBottom w:val="0"/>
                      <w:divBdr>
                        <w:top w:val="none" w:sz="0" w:space="0" w:color="auto"/>
                        <w:left w:val="none" w:sz="0" w:space="0" w:color="auto"/>
                        <w:bottom w:val="none" w:sz="0" w:space="0" w:color="auto"/>
                        <w:right w:val="none" w:sz="0" w:space="0" w:color="auto"/>
                      </w:divBdr>
                    </w:div>
                  </w:divsChild>
                </w:div>
                <w:div w:id="824469629">
                  <w:marLeft w:val="0"/>
                  <w:marRight w:val="0"/>
                  <w:marTop w:val="0"/>
                  <w:marBottom w:val="0"/>
                  <w:divBdr>
                    <w:top w:val="none" w:sz="0" w:space="0" w:color="auto"/>
                    <w:left w:val="none" w:sz="0" w:space="0" w:color="auto"/>
                    <w:bottom w:val="none" w:sz="0" w:space="0" w:color="auto"/>
                    <w:right w:val="none" w:sz="0" w:space="0" w:color="auto"/>
                  </w:divBdr>
                  <w:divsChild>
                    <w:div w:id="120272007">
                      <w:marLeft w:val="0"/>
                      <w:marRight w:val="0"/>
                      <w:marTop w:val="0"/>
                      <w:marBottom w:val="0"/>
                      <w:divBdr>
                        <w:top w:val="none" w:sz="0" w:space="0" w:color="auto"/>
                        <w:left w:val="none" w:sz="0" w:space="0" w:color="auto"/>
                        <w:bottom w:val="none" w:sz="0" w:space="0" w:color="auto"/>
                        <w:right w:val="none" w:sz="0" w:space="0" w:color="auto"/>
                      </w:divBdr>
                    </w:div>
                  </w:divsChild>
                </w:div>
                <w:div w:id="836071221">
                  <w:marLeft w:val="0"/>
                  <w:marRight w:val="0"/>
                  <w:marTop w:val="0"/>
                  <w:marBottom w:val="0"/>
                  <w:divBdr>
                    <w:top w:val="none" w:sz="0" w:space="0" w:color="auto"/>
                    <w:left w:val="none" w:sz="0" w:space="0" w:color="auto"/>
                    <w:bottom w:val="none" w:sz="0" w:space="0" w:color="auto"/>
                    <w:right w:val="none" w:sz="0" w:space="0" w:color="auto"/>
                  </w:divBdr>
                  <w:divsChild>
                    <w:div w:id="1062605503">
                      <w:marLeft w:val="0"/>
                      <w:marRight w:val="0"/>
                      <w:marTop w:val="0"/>
                      <w:marBottom w:val="0"/>
                      <w:divBdr>
                        <w:top w:val="none" w:sz="0" w:space="0" w:color="auto"/>
                        <w:left w:val="none" w:sz="0" w:space="0" w:color="auto"/>
                        <w:bottom w:val="none" w:sz="0" w:space="0" w:color="auto"/>
                        <w:right w:val="none" w:sz="0" w:space="0" w:color="auto"/>
                      </w:divBdr>
                    </w:div>
                  </w:divsChild>
                </w:div>
                <w:div w:id="843132422">
                  <w:marLeft w:val="0"/>
                  <w:marRight w:val="0"/>
                  <w:marTop w:val="0"/>
                  <w:marBottom w:val="0"/>
                  <w:divBdr>
                    <w:top w:val="none" w:sz="0" w:space="0" w:color="auto"/>
                    <w:left w:val="none" w:sz="0" w:space="0" w:color="auto"/>
                    <w:bottom w:val="none" w:sz="0" w:space="0" w:color="auto"/>
                    <w:right w:val="none" w:sz="0" w:space="0" w:color="auto"/>
                  </w:divBdr>
                  <w:divsChild>
                    <w:div w:id="2105223973">
                      <w:marLeft w:val="0"/>
                      <w:marRight w:val="0"/>
                      <w:marTop w:val="0"/>
                      <w:marBottom w:val="0"/>
                      <w:divBdr>
                        <w:top w:val="none" w:sz="0" w:space="0" w:color="auto"/>
                        <w:left w:val="none" w:sz="0" w:space="0" w:color="auto"/>
                        <w:bottom w:val="none" w:sz="0" w:space="0" w:color="auto"/>
                        <w:right w:val="none" w:sz="0" w:space="0" w:color="auto"/>
                      </w:divBdr>
                    </w:div>
                  </w:divsChild>
                </w:div>
                <w:div w:id="845677618">
                  <w:marLeft w:val="0"/>
                  <w:marRight w:val="0"/>
                  <w:marTop w:val="0"/>
                  <w:marBottom w:val="0"/>
                  <w:divBdr>
                    <w:top w:val="none" w:sz="0" w:space="0" w:color="auto"/>
                    <w:left w:val="none" w:sz="0" w:space="0" w:color="auto"/>
                    <w:bottom w:val="none" w:sz="0" w:space="0" w:color="auto"/>
                    <w:right w:val="none" w:sz="0" w:space="0" w:color="auto"/>
                  </w:divBdr>
                  <w:divsChild>
                    <w:div w:id="202375593">
                      <w:marLeft w:val="0"/>
                      <w:marRight w:val="0"/>
                      <w:marTop w:val="0"/>
                      <w:marBottom w:val="0"/>
                      <w:divBdr>
                        <w:top w:val="none" w:sz="0" w:space="0" w:color="auto"/>
                        <w:left w:val="none" w:sz="0" w:space="0" w:color="auto"/>
                        <w:bottom w:val="none" w:sz="0" w:space="0" w:color="auto"/>
                        <w:right w:val="none" w:sz="0" w:space="0" w:color="auto"/>
                      </w:divBdr>
                    </w:div>
                  </w:divsChild>
                </w:div>
                <w:div w:id="854881166">
                  <w:marLeft w:val="0"/>
                  <w:marRight w:val="0"/>
                  <w:marTop w:val="0"/>
                  <w:marBottom w:val="0"/>
                  <w:divBdr>
                    <w:top w:val="none" w:sz="0" w:space="0" w:color="auto"/>
                    <w:left w:val="none" w:sz="0" w:space="0" w:color="auto"/>
                    <w:bottom w:val="none" w:sz="0" w:space="0" w:color="auto"/>
                    <w:right w:val="none" w:sz="0" w:space="0" w:color="auto"/>
                  </w:divBdr>
                  <w:divsChild>
                    <w:div w:id="245848452">
                      <w:marLeft w:val="0"/>
                      <w:marRight w:val="0"/>
                      <w:marTop w:val="0"/>
                      <w:marBottom w:val="0"/>
                      <w:divBdr>
                        <w:top w:val="none" w:sz="0" w:space="0" w:color="auto"/>
                        <w:left w:val="none" w:sz="0" w:space="0" w:color="auto"/>
                        <w:bottom w:val="none" w:sz="0" w:space="0" w:color="auto"/>
                        <w:right w:val="none" w:sz="0" w:space="0" w:color="auto"/>
                      </w:divBdr>
                    </w:div>
                  </w:divsChild>
                </w:div>
                <w:div w:id="856122106">
                  <w:marLeft w:val="0"/>
                  <w:marRight w:val="0"/>
                  <w:marTop w:val="0"/>
                  <w:marBottom w:val="0"/>
                  <w:divBdr>
                    <w:top w:val="none" w:sz="0" w:space="0" w:color="auto"/>
                    <w:left w:val="none" w:sz="0" w:space="0" w:color="auto"/>
                    <w:bottom w:val="none" w:sz="0" w:space="0" w:color="auto"/>
                    <w:right w:val="none" w:sz="0" w:space="0" w:color="auto"/>
                  </w:divBdr>
                  <w:divsChild>
                    <w:div w:id="822741251">
                      <w:marLeft w:val="0"/>
                      <w:marRight w:val="0"/>
                      <w:marTop w:val="0"/>
                      <w:marBottom w:val="0"/>
                      <w:divBdr>
                        <w:top w:val="none" w:sz="0" w:space="0" w:color="auto"/>
                        <w:left w:val="none" w:sz="0" w:space="0" w:color="auto"/>
                        <w:bottom w:val="none" w:sz="0" w:space="0" w:color="auto"/>
                        <w:right w:val="none" w:sz="0" w:space="0" w:color="auto"/>
                      </w:divBdr>
                    </w:div>
                  </w:divsChild>
                </w:div>
                <w:div w:id="859707472">
                  <w:marLeft w:val="0"/>
                  <w:marRight w:val="0"/>
                  <w:marTop w:val="0"/>
                  <w:marBottom w:val="0"/>
                  <w:divBdr>
                    <w:top w:val="none" w:sz="0" w:space="0" w:color="auto"/>
                    <w:left w:val="none" w:sz="0" w:space="0" w:color="auto"/>
                    <w:bottom w:val="none" w:sz="0" w:space="0" w:color="auto"/>
                    <w:right w:val="none" w:sz="0" w:space="0" w:color="auto"/>
                  </w:divBdr>
                  <w:divsChild>
                    <w:div w:id="481042449">
                      <w:marLeft w:val="0"/>
                      <w:marRight w:val="0"/>
                      <w:marTop w:val="0"/>
                      <w:marBottom w:val="0"/>
                      <w:divBdr>
                        <w:top w:val="none" w:sz="0" w:space="0" w:color="auto"/>
                        <w:left w:val="none" w:sz="0" w:space="0" w:color="auto"/>
                        <w:bottom w:val="none" w:sz="0" w:space="0" w:color="auto"/>
                        <w:right w:val="none" w:sz="0" w:space="0" w:color="auto"/>
                      </w:divBdr>
                    </w:div>
                  </w:divsChild>
                </w:div>
                <w:div w:id="864058589">
                  <w:marLeft w:val="0"/>
                  <w:marRight w:val="0"/>
                  <w:marTop w:val="0"/>
                  <w:marBottom w:val="0"/>
                  <w:divBdr>
                    <w:top w:val="none" w:sz="0" w:space="0" w:color="auto"/>
                    <w:left w:val="none" w:sz="0" w:space="0" w:color="auto"/>
                    <w:bottom w:val="none" w:sz="0" w:space="0" w:color="auto"/>
                    <w:right w:val="none" w:sz="0" w:space="0" w:color="auto"/>
                  </w:divBdr>
                  <w:divsChild>
                    <w:div w:id="104473170">
                      <w:marLeft w:val="0"/>
                      <w:marRight w:val="0"/>
                      <w:marTop w:val="0"/>
                      <w:marBottom w:val="0"/>
                      <w:divBdr>
                        <w:top w:val="none" w:sz="0" w:space="0" w:color="auto"/>
                        <w:left w:val="none" w:sz="0" w:space="0" w:color="auto"/>
                        <w:bottom w:val="none" w:sz="0" w:space="0" w:color="auto"/>
                        <w:right w:val="none" w:sz="0" w:space="0" w:color="auto"/>
                      </w:divBdr>
                    </w:div>
                  </w:divsChild>
                </w:div>
                <w:div w:id="876116811">
                  <w:marLeft w:val="0"/>
                  <w:marRight w:val="0"/>
                  <w:marTop w:val="0"/>
                  <w:marBottom w:val="0"/>
                  <w:divBdr>
                    <w:top w:val="none" w:sz="0" w:space="0" w:color="auto"/>
                    <w:left w:val="none" w:sz="0" w:space="0" w:color="auto"/>
                    <w:bottom w:val="none" w:sz="0" w:space="0" w:color="auto"/>
                    <w:right w:val="none" w:sz="0" w:space="0" w:color="auto"/>
                  </w:divBdr>
                  <w:divsChild>
                    <w:div w:id="339089581">
                      <w:marLeft w:val="0"/>
                      <w:marRight w:val="0"/>
                      <w:marTop w:val="0"/>
                      <w:marBottom w:val="0"/>
                      <w:divBdr>
                        <w:top w:val="none" w:sz="0" w:space="0" w:color="auto"/>
                        <w:left w:val="none" w:sz="0" w:space="0" w:color="auto"/>
                        <w:bottom w:val="none" w:sz="0" w:space="0" w:color="auto"/>
                        <w:right w:val="none" w:sz="0" w:space="0" w:color="auto"/>
                      </w:divBdr>
                    </w:div>
                  </w:divsChild>
                </w:div>
                <w:div w:id="882863796">
                  <w:marLeft w:val="0"/>
                  <w:marRight w:val="0"/>
                  <w:marTop w:val="0"/>
                  <w:marBottom w:val="0"/>
                  <w:divBdr>
                    <w:top w:val="none" w:sz="0" w:space="0" w:color="auto"/>
                    <w:left w:val="none" w:sz="0" w:space="0" w:color="auto"/>
                    <w:bottom w:val="none" w:sz="0" w:space="0" w:color="auto"/>
                    <w:right w:val="none" w:sz="0" w:space="0" w:color="auto"/>
                  </w:divBdr>
                  <w:divsChild>
                    <w:div w:id="850070850">
                      <w:marLeft w:val="0"/>
                      <w:marRight w:val="0"/>
                      <w:marTop w:val="0"/>
                      <w:marBottom w:val="0"/>
                      <w:divBdr>
                        <w:top w:val="none" w:sz="0" w:space="0" w:color="auto"/>
                        <w:left w:val="none" w:sz="0" w:space="0" w:color="auto"/>
                        <w:bottom w:val="none" w:sz="0" w:space="0" w:color="auto"/>
                        <w:right w:val="none" w:sz="0" w:space="0" w:color="auto"/>
                      </w:divBdr>
                    </w:div>
                  </w:divsChild>
                </w:div>
                <w:div w:id="885140025">
                  <w:marLeft w:val="0"/>
                  <w:marRight w:val="0"/>
                  <w:marTop w:val="0"/>
                  <w:marBottom w:val="0"/>
                  <w:divBdr>
                    <w:top w:val="none" w:sz="0" w:space="0" w:color="auto"/>
                    <w:left w:val="none" w:sz="0" w:space="0" w:color="auto"/>
                    <w:bottom w:val="none" w:sz="0" w:space="0" w:color="auto"/>
                    <w:right w:val="none" w:sz="0" w:space="0" w:color="auto"/>
                  </w:divBdr>
                  <w:divsChild>
                    <w:div w:id="1013873677">
                      <w:marLeft w:val="0"/>
                      <w:marRight w:val="0"/>
                      <w:marTop w:val="0"/>
                      <w:marBottom w:val="0"/>
                      <w:divBdr>
                        <w:top w:val="none" w:sz="0" w:space="0" w:color="auto"/>
                        <w:left w:val="none" w:sz="0" w:space="0" w:color="auto"/>
                        <w:bottom w:val="none" w:sz="0" w:space="0" w:color="auto"/>
                        <w:right w:val="none" w:sz="0" w:space="0" w:color="auto"/>
                      </w:divBdr>
                    </w:div>
                  </w:divsChild>
                </w:div>
                <w:div w:id="893271505">
                  <w:marLeft w:val="0"/>
                  <w:marRight w:val="0"/>
                  <w:marTop w:val="0"/>
                  <w:marBottom w:val="0"/>
                  <w:divBdr>
                    <w:top w:val="none" w:sz="0" w:space="0" w:color="auto"/>
                    <w:left w:val="none" w:sz="0" w:space="0" w:color="auto"/>
                    <w:bottom w:val="none" w:sz="0" w:space="0" w:color="auto"/>
                    <w:right w:val="none" w:sz="0" w:space="0" w:color="auto"/>
                  </w:divBdr>
                  <w:divsChild>
                    <w:div w:id="2078742201">
                      <w:marLeft w:val="0"/>
                      <w:marRight w:val="0"/>
                      <w:marTop w:val="0"/>
                      <w:marBottom w:val="0"/>
                      <w:divBdr>
                        <w:top w:val="none" w:sz="0" w:space="0" w:color="auto"/>
                        <w:left w:val="none" w:sz="0" w:space="0" w:color="auto"/>
                        <w:bottom w:val="none" w:sz="0" w:space="0" w:color="auto"/>
                        <w:right w:val="none" w:sz="0" w:space="0" w:color="auto"/>
                      </w:divBdr>
                    </w:div>
                  </w:divsChild>
                </w:div>
                <w:div w:id="899940416">
                  <w:marLeft w:val="0"/>
                  <w:marRight w:val="0"/>
                  <w:marTop w:val="0"/>
                  <w:marBottom w:val="0"/>
                  <w:divBdr>
                    <w:top w:val="none" w:sz="0" w:space="0" w:color="auto"/>
                    <w:left w:val="none" w:sz="0" w:space="0" w:color="auto"/>
                    <w:bottom w:val="none" w:sz="0" w:space="0" w:color="auto"/>
                    <w:right w:val="none" w:sz="0" w:space="0" w:color="auto"/>
                  </w:divBdr>
                  <w:divsChild>
                    <w:div w:id="781849085">
                      <w:marLeft w:val="0"/>
                      <w:marRight w:val="0"/>
                      <w:marTop w:val="0"/>
                      <w:marBottom w:val="0"/>
                      <w:divBdr>
                        <w:top w:val="none" w:sz="0" w:space="0" w:color="auto"/>
                        <w:left w:val="none" w:sz="0" w:space="0" w:color="auto"/>
                        <w:bottom w:val="none" w:sz="0" w:space="0" w:color="auto"/>
                        <w:right w:val="none" w:sz="0" w:space="0" w:color="auto"/>
                      </w:divBdr>
                    </w:div>
                  </w:divsChild>
                </w:div>
                <w:div w:id="900939743">
                  <w:marLeft w:val="0"/>
                  <w:marRight w:val="0"/>
                  <w:marTop w:val="0"/>
                  <w:marBottom w:val="0"/>
                  <w:divBdr>
                    <w:top w:val="none" w:sz="0" w:space="0" w:color="auto"/>
                    <w:left w:val="none" w:sz="0" w:space="0" w:color="auto"/>
                    <w:bottom w:val="none" w:sz="0" w:space="0" w:color="auto"/>
                    <w:right w:val="none" w:sz="0" w:space="0" w:color="auto"/>
                  </w:divBdr>
                  <w:divsChild>
                    <w:div w:id="1761364408">
                      <w:marLeft w:val="0"/>
                      <w:marRight w:val="0"/>
                      <w:marTop w:val="0"/>
                      <w:marBottom w:val="0"/>
                      <w:divBdr>
                        <w:top w:val="none" w:sz="0" w:space="0" w:color="auto"/>
                        <w:left w:val="none" w:sz="0" w:space="0" w:color="auto"/>
                        <w:bottom w:val="none" w:sz="0" w:space="0" w:color="auto"/>
                        <w:right w:val="none" w:sz="0" w:space="0" w:color="auto"/>
                      </w:divBdr>
                    </w:div>
                  </w:divsChild>
                </w:div>
                <w:div w:id="912011406">
                  <w:marLeft w:val="0"/>
                  <w:marRight w:val="0"/>
                  <w:marTop w:val="0"/>
                  <w:marBottom w:val="0"/>
                  <w:divBdr>
                    <w:top w:val="none" w:sz="0" w:space="0" w:color="auto"/>
                    <w:left w:val="none" w:sz="0" w:space="0" w:color="auto"/>
                    <w:bottom w:val="none" w:sz="0" w:space="0" w:color="auto"/>
                    <w:right w:val="none" w:sz="0" w:space="0" w:color="auto"/>
                  </w:divBdr>
                  <w:divsChild>
                    <w:div w:id="1185628526">
                      <w:marLeft w:val="0"/>
                      <w:marRight w:val="0"/>
                      <w:marTop w:val="0"/>
                      <w:marBottom w:val="0"/>
                      <w:divBdr>
                        <w:top w:val="none" w:sz="0" w:space="0" w:color="auto"/>
                        <w:left w:val="none" w:sz="0" w:space="0" w:color="auto"/>
                        <w:bottom w:val="none" w:sz="0" w:space="0" w:color="auto"/>
                        <w:right w:val="none" w:sz="0" w:space="0" w:color="auto"/>
                      </w:divBdr>
                    </w:div>
                  </w:divsChild>
                </w:div>
                <w:div w:id="913973460">
                  <w:marLeft w:val="0"/>
                  <w:marRight w:val="0"/>
                  <w:marTop w:val="0"/>
                  <w:marBottom w:val="0"/>
                  <w:divBdr>
                    <w:top w:val="none" w:sz="0" w:space="0" w:color="auto"/>
                    <w:left w:val="none" w:sz="0" w:space="0" w:color="auto"/>
                    <w:bottom w:val="none" w:sz="0" w:space="0" w:color="auto"/>
                    <w:right w:val="none" w:sz="0" w:space="0" w:color="auto"/>
                  </w:divBdr>
                  <w:divsChild>
                    <w:div w:id="1986665205">
                      <w:marLeft w:val="0"/>
                      <w:marRight w:val="0"/>
                      <w:marTop w:val="0"/>
                      <w:marBottom w:val="0"/>
                      <w:divBdr>
                        <w:top w:val="none" w:sz="0" w:space="0" w:color="auto"/>
                        <w:left w:val="none" w:sz="0" w:space="0" w:color="auto"/>
                        <w:bottom w:val="none" w:sz="0" w:space="0" w:color="auto"/>
                        <w:right w:val="none" w:sz="0" w:space="0" w:color="auto"/>
                      </w:divBdr>
                    </w:div>
                  </w:divsChild>
                </w:div>
                <w:div w:id="916673854">
                  <w:marLeft w:val="0"/>
                  <w:marRight w:val="0"/>
                  <w:marTop w:val="0"/>
                  <w:marBottom w:val="0"/>
                  <w:divBdr>
                    <w:top w:val="none" w:sz="0" w:space="0" w:color="auto"/>
                    <w:left w:val="none" w:sz="0" w:space="0" w:color="auto"/>
                    <w:bottom w:val="none" w:sz="0" w:space="0" w:color="auto"/>
                    <w:right w:val="none" w:sz="0" w:space="0" w:color="auto"/>
                  </w:divBdr>
                  <w:divsChild>
                    <w:div w:id="251672014">
                      <w:marLeft w:val="0"/>
                      <w:marRight w:val="0"/>
                      <w:marTop w:val="0"/>
                      <w:marBottom w:val="0"/>
                      <w:divBdr>
                        <w:top w:val="none" w:sz="0" w:space="0" w:color="auto"/>
                        <w:left w:val="none" w:sz="0" w:space="0" w:color="auto"/>
                        <w:bottom w:val="none" w:sz="0" w:space="0" w:color="auto"/>
                        <w:right w:val="none" w:sz="0" w:space="0" w:color="auto"/>
                      </w:divBdr>
                    </w:div>
                  </w:divsChild>
                </w:div>
                <w:div w:id="928076880">
                  <w:marLeft w:val="0"/>
                  <w:marRight w:val="0"/>
                  <w:marTop w:val="0"/>
                  <w:marBottom w:val="0"/>
                  <w:divBdr>
                    <w:top w:val="none" w:sz="0" w:space="0" w:color="auto"/>
                    <w:left w:val="none" w:sz="0" w:space="0" w:color="auto"/>
                    <w:bottom w:val="none" w:sz="0" w:space="0" w:color="auto"/>
                    <w:right w:val="none" w:sz="0" w:space="0" w:color="auto"/>
                  </w:divBdr>
                  <w:divsChild>
                    <w:div w:id="1419642461">
                      <w:marLeft w:val="0"/>
                      <w:marRight w:val="0"/>
                      <w:marTop w:val="0"/>
                      <w:marBottom w:val="0"/>
                      <w:divBdr>
                        <w:top w:val="none" w:sz="0" w:space="0" w:color="auto"/>
                        <w:left w:val="none" w:sz="0" w:space="0" w:color="auto"/>
                        <w:bottom w:val="none" w:sz="0" w:space="0" w:color="auto"/>
                        <w:right w:val="none" w:sz="0" w:space="0" w:color="auto"/>
                      </w:divBdr>
                    </w:div>
                  </w:divsChild>
                </w:div>
                <w:div w:id="935752068">
                  <w:marLeft w:val="0"/>
                  <w:marRight w:val="0"/>
                  <w:marTop w:val="0"/>
                  <w:marBottom w:val="0"/>
                  <w:divBdr>
                    <w:top w:val="none" w:sz="0" w:space="0" w:color="auto"/>
                    <w:left w:val="none" w:sz="0" w:space="0" w:color="auto"/>
                    <w:bottom w:val="none" w:sz="0" w:space="0" w:color="auto"/>
                    <w:right w:val="none" w:sz="0" w:space="0" w:color="auto"/>
                  </w:divBdr>
                  <w:divsChild>
                    <w:div w:id="106122704">
                      <w:marLeft w:val="0"/>
                      <w:marRight w:val="0"/>
                      <w:marTop w:val="0"/>
                      <w:marBottom w:val="0"/>
                      <w:divBdr>
                        <w:top w:val="none" w:sz="0" w:space="0" w:color="auto"/>
                        <w:left w:val="none" w:sz="0" w:space="0" w:color="auto"/>
                        <w:bottom w:val="none" w:sz="0" w:space="0" w:color="auto"/>
                        <w:right w:val="none" w:sz="0" w:space="0" w:color="auto"/>
                      </w:divBdr>
                    </w:div>
                  </w:divsChild>
                </w:div>
                <w:div w:id="943417536">
                  <w:marLeft w:val="0"/>
                  <w:marRight w:val="0"/>
                  <w:marTop w:val="0"/>
                  <w:marBottom w:val="0"/>
                  <w:divBdr>
                    <w:top w:val="none" w:sz="0" w:space="0" w:color="auto"/>
                    <w:left w:val="none" w:sz="0" w:space="0" w:color="auto"/>
                    <w:bottom w:val="none" w:sz="0" w:space="0" w:color="auto"/>
                    <w:right w:val="none" w:sz="0" w:space="0" w:color="auto"/>
                  </w:divBdr>
                  <w:divsChild>
                    <w:div w:id="1677079393">
                      <w:marLeft w:val="0"/>
                      <w:marRight w:val="0"/>
                      <w:marTop w:val="0"/>
                      <w:marBottom w:val="0"/>
                      <w:divBdr>
                        <w:top w:val="none" w:sz="0" w:space="0" w:color="auto"/>
                        <w:left w:val="none" w:sz="0" w:space="0" w:color="auto"/>
                        <w:bottom w:val="none" w:sz="0" w:space="0" w:color="auto"/>
                        <w:right w:val="none" w:sz="0" w:space="0" w:color="auto"/>
                      </w:divBdr>
                    </w:div>
                  </w:divsChild>
                </w:div>
                <w:div w:id="950941241">
                  <w:marLeft w:val="0"/>
                  <w:marRight w:val="0"/>
                  <w:marTop w:val="0"/>
                  <w:marBottom w:val="0"/>
                  <w:divBdr>
                    <w:top w:val="none" w:sz="0" w:space="0" w:color="auto"/>
                    <w:left w:val="none" w:sz="0" w:space="0" w:color="auto"/>
                    <w:bottom w:val="none" w:sz="0" w:space="0" w:color="auto"/>
                    <w:right w:val="none" w:sz="0" w:space="0" w:color="auto"/>
                  </w:divBdr>
                  <w:divsChild>
                    <w:div w:id="609438323">
                      <w:marLeft w:val="0"/>
                      <w:marRight w:val="0"/>
                      <w:marTop w:val="0"/>
                      <w:marBottom w:val="0"/>
                      <w:divBdr>
                        <w:top w:val="none" w:sz="0" w:space="0" w:color="auto"/>
                        <w:left w:val="none" w:sz="0" w:space="0" w:color="auto"/>
                        <w:bottom w:val="none" w:sz="0" w:space="0" w:color="auto"/>
                        <w:right w:val="none" w:sz="0" w:space="0" w:color="auto"/>
                      </w:divBdr>
                    </w:div>
                  </w:divsChild>
                </w:div>
                <w:div w:id="952829595">
                  <w:marLeft w:val="0"/>
                  <w:marRight w:val="0"/>
                  <w:marTop w:val="0"/>
                  <w:marBottom w:val="0"/>
                  <w:divBdr>
                    <w:top w:val="none" w:sz="0" w:space="0" w:color="auto"/>
                    <w:left w:val="none" w:sz="0" w:space="0" w:color="auto"/>
                    <w:bottom w:val="none" w:sz="0" w:space="0" w:color="auto"/>
                    <w:right w:val="none" w:sz="0" w:space="0" w:color="auto"/>
                  </w:divBdr>
                  <w:divsChild>
                    <w:div w:id="205142638">
                      <w:marLeft w:val="0"/>
                      <w:marRight w:val="0"/>
                      <w:marTop w:val="0"/>
                      <w:marBottom w:val="0"/>
                      <w:divBdr>
                        <w:top w:val="none" w:sz="0" w:space="0" w:color="auto"/>
                        <w:left w:val="none" w:sz="0" w:space="0" w:color="auto"/>
                        <w:bottom w:val="none" w:sz="0" w:space="0" w:color="auto"/>
                        <w:right w:val="none" w:sz="0" w:space="0" w:color="auto"/>
                      </w:divBdr>
                    </w:div>
                  </w:divsChild>
                </w:div>
                <w:div w:id="957566686">
                  <w:marLeft w:val="0"/>
                  <w:marRight w:val="0"/>
                  <w:marTop w:val="0"/>
                  <w:marBottom w:val="0"/>
                  <w:divBdr>
                    <w:top w:val="none" w:sz="0" w:space="0" w:color="auto"/>
                    <w:left w:val="none" w:sz="0" w:space="0" w:color="auto"/>
                    <w:bottom w:val="none" w:sz="0" w:space="0" w:color="auto"/>
                    <w:right w:val="none" w:sz="0" w:space="0" w:color="auto"/>
                  </w:divBdr>
                  <w:divsChild>
                    <w:div w:id="198863918">
                      <w:marLeft w:val="0"/>
                      <w:marRight w:val="0"/>
                      <w:marTop w:val="0"/>
                      <w:marBottom w:val="0"/>
                      <w:divBdr>
                        <w:top w:val="none" w:sz="0" w:space="0" w:color="auto"/>
                        <w:left w:val="none" w:sz="0" w:space="0" w:color="auto"/>
                        <w:bottom w:val="none" w:sz="0" w:space="0" w:color="auto"/>
                        <w:right w:val="none" w:sz="0" w:space="0" w:color="auto"/>
                      </w:divBdr>
                    </w:div>
                  </w:divsChild>
                </w:div>
                <w:div w:id="963577491">
                  <w:marLeft w:val="0"/>
                  <w:marRight w:val="0"/>
                  <w:marTop w:val="0"/>
                  <w:marBottom w:val="0"/>
                  <w:divBdr>
                    <w:top w:val="none" w:sz="0" w:space="0" w:color="auto"/>
                    <w:left w:val="none" w:sz="0" w:space="0" w:color="auto"/>
                    <w:bottom w:val="none" w:sz="0" w:space="0" w:color="auto"/>
                    <w:right w:val="none" w:sz="0" w:space="0" w:color="auto"/>
                  </w:divBdr>
                  <w:divsChild>
                    <w:div w:id="878275736">
                      <w:marLeft w:val="0"/>
                      <w:marRight w:val="0"/>
                      <w:marTop w:val="0"/>
                      <w:marBottom w:val="0"/>
                      <w:divBdr>
                        <w:top w:val="none" w:sz="0" w:space="0" w:color="auto"/>
                        <w:left w:val="none" w:sz="0" w:space="0" w:color="auto"/>
                        <w:bottom w:val="none" w:sz="0" w:space="0" w:color="auto"/>
                        <w:right w:val="none" w:sz="0" w:space="0" w:color="auto"/>
                      </w:divBdr>
                    </w:div>
                  </w:divsChild>
                </w:div>
                <w:div w:id="966934931">
                  <w:marLeft w:val="0"/>
                  <w:marRight w:val="0"/>
                  <w:marTop w:val="0"/>
                  <w:marBottom w:val="0"/>
                  <w:divBdr>
                    <w:top w:val="none" w:sz="0" w:space="0" w:color="auto"/>
                    <w:left w:val="none" w:sz="0" w:space="0" w:color="auto"/>
                    <w:bottom w:val="none" w:sz="0" w:space="0" w:color="auto"/>
                    <w:right w:val="none" w:sz="0" w:space="0" w:color="auto"/>
                  </w:divBdr>
                  <w:divsChild>
                    <w:div w:id="893854233">
                      <w:marLeft w:val="0"/>
                      <w:marRight w:val="0"/>
                      <w:marTop w:val="0"/>
                      <w:marBottom w:val="0"/>
                      <w:divBdr>
                        <w:top w:val="none" w:sz="0" w:space="0" w:color="auto"/>
                        <w:left w:val="none" w:sz="0" w:space="0" w:color="auto"/>
                        <w:bottom w:val="none" w:sz="0" w:space="0" w:color="auto"/>
                        <w:right w:val="none" w:sz="0" w:space="0" w:color="auto"/>
                      </w:divBdr>
                    </w:div>
                  </w:divsChild>
                </w:div>
                <w:div w:id="972252474">
                  <w:marLeft w:val="0"/>
                  <w:marRight w:val="0"/>
                  <w:marTop w:val="0"/>
                  <w:marBottom w:val="0"/>
                  <w:divBdr>
                    <w:top w:val="none" w:sz="0" w:space="0" w:color="auto"/>
                    <w:left w:val="none" w:sz="0" w:space="0" w:color="auto"/>
                    <w:bottom w:val="none" w:sz="0" w:space="0" w:color="auto"/>
                    <w:right w:val="none" w:sz="0" w:space="0" w:color="auto"/>
                  </w:divBdr>
                  <w:divsChild>
                    <w:div w:id="726488665">
                      <w:marLeft w:val="0"/>
                      <w:marRight w:val="0"/>
                      <w:marTop w:val="0"/>
                      <w:marBottom w:val="0"/>
                      <w:divBdr>
                        <w:top w:val="none" w:sz="0" w:space="0" w:color="auto"/>
                        <w:left w:val="none" w:sz="0" w:space="0" w:color="auto"/>
                        <w:bottom w:val="none" w:sz="0" w:space="0" w:color="auto"/>
                        <w:right w:val="none" w:sz="0" w:space="0" w:color="auto"/>
                      </w:divBdr>
                    </w:div>
                  </w:divsChild>
                </w:div>
                <w:div w:id="975187983">
                  <w:marLeft w:val="0"/>
                  <w:marRight w:val="0"/>
                  <w:marTop w:val="0"/>
                  <w:marBottom w:val="0"/>
                  <w:divBdr>
                    <w:top w:val="none" w:sz="0" w:space="0" w:color="auto"/>
                    <w:left w:val="none" w:sz="0" w:space="0" w:color="auto"/>
                    <w:bottom w:val="none" w:sz="0" w:space="0" w:color="auto"/>
                    <w:right w:val="none" w:sz="0" w:space="0" w:color="auto"/>
                  </w:divBdr>
                  <w:divsChild>
                    <w:div w:id="610086026">
                      <w:marLeft w:val="0"/>
                      <w:marRight w:val="0"/>
                      <w:marTop w:val="0"/>
                      <w:marBottom w:val="0"/>
                      <w:divBdr>
                        <w:top w:val="none" w:sz="0" w:space="0" w:color="auto"/>
                        <w:left w:val="none" w:sz="0" w:space="0" w:color="auto"/>
                        <w:bottom w:val="none" w:sz="0" w:space="0" w:color="auto"/>
                        <w:right w:val="none" w:sz="0" w:space="0" w:color="auto"/>
                      </w:divBdr>
                    </w:div>
                  </w:divsChild>
                </w:div>
                <w:div w:id="982125571">
                  <w:marLeft w:val="0"/>
                  <w:marRight w:val="0"/>
                  <w:marTop w:val="0"/>
                  <w:marBottom w:val="0"/>
                  <w:divBdr>
                    <w:top w:val="none" w:sz="0" w:space="0" w:color="auto"/>
                    <w:left w:val="none" w:sz="0" w:space="0" w:color="auto"/>
                    <w:bottom w:val="none" w:sz="0" w:space="0" w:color="auto"/>
                    <w:right w:val="none" w:sz="0" w:space="0" w:color="auto"/>
                  </w:divBdr>
                  <w:divsChild>
                    <w:div w:id="1446540374">
                      <w:marLeft w:val="0"/>
                      <w:marRight w:val="0"/>
                      <w:marTop w:val="0"/>
                      <w:marBottom w:val="0"/>
                      <w:divBdr>
                        <w:top w:val="none" w:sz="0" w:space="0" w:color="auto"/>
                        <w:left w:val="none" w:sz="0" w:space="0" w:color="auto"/>
                        <w:bottom w:val="none" w:sz="0" w:space="0" w:color="auto"/>
                        <w:right w:val="none" w:sz="0" w:space="0" w:color="auto"/>
                      </w:divBdr>
                    </w:div>
                  </w:divsChild>
                </w:div>
                <w:div w:id="983778541">
                  <w:marLeft w:val="0"/>
                  <w:marRight w:val="0"/>
                  <w:marTop w:val="0"/>
                  <w:marBottom w:val="0"/>
                  <w:divBdr>
                    <w:top w:val="none" w:sz="0" w:space="0" w:color="auto"/>
                    <w:left w:val="none" w:sz="0" w:space="0" w:color="auto"/>
                    <w:bottom w:val="none" w:sz="0" w:space="0" w:color="auto"/>
                    <w:right w:val="none" w:sz="0" w:space="0" w:color="auto"/>
                  </w:divBdr>
                  <w:divsChild>
                    <w:div w:id="1064061702">
                      <w:marLeft w:val="0"/>
                      <w:marRight w:val="0"/>
                      <w:marTop w:val="0"/>
                      <w:marBottom w:val="0"/>
                      <w:divBdr>
                        <w:top w:val="none" w:sz="0" w:space="0" w:color="auto"/>
                        <w:left w:val="none" w:sz="0" w:space="0" w:color="auto"/>
                        <w:bottom w:val="none" w:sz="0" w:space="0" w:color="auto"/>
                        <w:right w:val="none" w:sz="0" w:space="0" w:color="auto"/>
                      </w:divBdr>
                    </w:div>
                  </w:divsChild>
                </w:div>
                <w:div w:id="989210636">
                  <w:marLeft w:val="0"/>
                  <w:marRight w:val="0"/>
                  <w:marTop w:val="0"/>
                  <w:marBottom w:val="0"/>
                  <w:divBdr>
                    <w:top w:val="none" w:sz="0" w:space="0" w:color="auto"/>
                    <w:left w:val="none" w:sz="0" w:space="0" w:color="auto"/>
                    <w:bottom w:val="none" w:sz="0" w:space="0" w:color="auto"/>
                    <w:right w:val="none" w:sz="0" w:space="0" w:color="auto"/>
                  </w:divBdr>
                  <w:divsChild>
                    <w:div w:id="742948300">
                      <w:marLeft w:val="0"/>
                      <w:marRight w:val="0"/>
                      <w:marTop w:val="0"/>
                      <w:marBottom w:val="0"/>
                      <w:divBdr>
                        <w:top w:val="none" w:sz="0" w:space="0" w:color="auto"/>
                        <w:left w:val="none" w:sz="0" w:space="0" w:color="auto"/>
                        <w:bottom w:val="none" w:sz="0" w:space="0" w:color="auto"/>
                        <w:right w:val="none" w:sz="0" w:space="0" w:color="auto"/>
                      </w:divBdr>
                    </w:div>
                  </w:divsChild>
                </w:div>
                <w:div w:id="990134233">
                  <w:marLeft w:val="0"/>
                  <w:marRight w:val="0"/>
                  <w:marTop w:val="0"/>
                  <w:marBottom w:val="0"/>
                  <w:divBdr>
                    <w:top w:val="none" w:sz="0" w:space="0" w:color="auto"/>
                    <w:left w:val="none" w:sz="0" w:space="0" w:color="auto"/>
                    <w:bottom w:val="none" w:sz="0" w:space="0" w:color="auto"/>
                    <w:right w:val="none" w:sz="0" w:space="0" w:color="auto"/>
                  </w:divBdr>
                  <w:divsChild>
                    <w:div w:id="280502683">
                      <w:marLeft w:val="0"/>
                      <w:marRight w:val="0"/>
                      <w:marTop w:val="0"/>
                      <w:marBottom w:val="0"/>
                      <w:divBdr>
                        <w:top w:val="none" w:sz="0" w:space="0" w:color="auto"/>
                        <w:left w:val="none" w:sz="0" w:space="0" w:color="auto"/>
                        <w:bottom w:val="none" w:sz="0" w:space="0" w:color="auto"/>
                        <w:right w:val="none" w:sz="0" w:space="0" w:color="auto"/>
                      </w:divBdr>
                    </w:div>
                  </w:divsChild>
                </w:div>
                <w:div w:id="993878697">
                  <w:marLeft w:val="0"/>
                  <w:marRight w:val="0"/>
                  <w:marTop w:val="0"/>
                  <w:marBottom w:val="0"/>
                  <w:divBdr>
                    <w:top w:val="none" w:sz="0" w:space="0" w:color="auto"/>
                    <w:left w:val="none" w:sz="0" w:space="0" w:color="auto"/>
                    <w:bottom w:val="none" w:sz="0" w:space="0" w:color="auto"/>
                    <w:right w:val="none" w:sz="0" w:space="0" w:color="auto"/>
                  </w:divBdr>
                  <w:divsChild>
                    <w:div w:id="197089281">
                      <w:marLeft w:val="0"/>
                      <w:marRight w:val="0"/>
                      <w:marTop w:val="0"/>
                      <w:marBottom w:val="0"/>
                      <w:divBdr>
                        <w:top w:val="none" w:sz="0" w:space="0" w:color="auto"/>
                        <w:left w:val="none" w:sz="0" w:space="0" w:color="auto"/>
                        <w:bottom w:val="none" w:sz="0" w:space="0" w:color="auto"/>
                        <w:right w:val="none" w:sz="0" w:space="0" w:color="auto"/>
                      </w:divBdr>
                    </w:div>
                  </w:divsChild>
                </w:div>
                <w:div w:id="999504095">
                  <w:marLeft w:val="0"/>
                  <w:marRight w:val="0"/>
                  <w:marTop w:val="0"/>
                  <w:marBottom w:val="0"/>
                  <w:divBdr>
                    <w:top w:val="none" w:sz="0" w:space="0" w:color="auto"/>
                    <w:left w:val="none" w:sz="0" w:space="0" w:color="auto"/>
                    <w:bottom w:val="none" w:sz="0" w:space="0" w:color="auto"/>
                    <w:right w:val="none" w:sz="0" w:space="0" w:color="auto"/>
                  </w:divBdr>
                  <w:divsChild>
                    <w:div w:id="946083893">
                      <w:marLeft w:val="0"/>
                      <w:marRight w:val="0"/>
                      <w:marTop w:val="0"/>
                      <w:marBottom w:val="0"/>
                      <w:divBdr>
                        <w:top w:val="none" w:sz="0" w:space="0" w:color="auto"/>
                        <w:left w:val="none" w:sz="0" w:space="0" w:color="auto"/>
                        <w:bottom w:val="none" w:sz="0" w:space="0" w:color="auto"/>
                        <w:right w:val="none" w:sz="0" w:space="0" w:color="auto"/>
                      </w:divBdr>
                    </w:div>
                  </w:divsChild>
                </w:div>
                <w:div w:id="999692900">
                  <w:marLeft w:val="0"/>
                  <w:marRight w:val="0"/>
                  <w:marTop w:val="0"/>
                  <w:marBottom w:val="0"/>
                  <w:divBdr>
                    <w:top w:val="none" w:sz="0" w:space="0" w:color="auto"/>
                    <w:left w:val="none" w:sz="0" w:space="0" w:color="auto"/>
                    <w:bottom w:val="none" w:sz="0" w:space="0" w:color="auto"/>
                    <w:right w:val="none" w:sz="0" w:space="0" w:color="auto"/>
                  </w:divBdr>
                  <w:divsChild>
                    <w:div w:id="1593078890">
                      <w:marLeft w:val="0"/>
                      <w:marRight w:val="0"/>
                      <w:marTop w:val="0"/>
                      <w:marBottom w:val="0"/>
                      <w:divBdr>
                        <w:top w:val="none" w:sz="0" w:space="0" w:color="auto"/>
                        <w:left w:val="none" w:sz="0" w:space="0" w:color="auto"/>
                        <w:bottom w:val="none" w:sz="0" w:space="0" w:color="auto"/>
                        <w:right w:val="none" w:sz="0" w:space="0" w:color="auto"/>
                      </w:divBdr>
                    </w:div>
                  </w:divsChild>
                </w:div>
                <w:div w:id="1019084865">
                  <w:marLeft w:val="0"/>
                  <w:marRight w:val="0"/>
                  <w:marTop w:val="0"/>
                  <w:marBottom w:val="0"/>
                  <w:divBdr>
                    <w:top w:val="none" w:sz="0" w:space="0" w:color="auto"/>
                    <w:left w:val="none" w:sz="0" w:space="0" w:color="auto"/>
                    <w:bottom w:val="none" w:sz="0" w:space="0" w:color="auto"/>
                    <w:right w:val="none" w:sz="0" w:space="0" w:color="auto"/>
                  </w:divBdr>
                  <w:divsChild>
                    <w:div w:id="1738747769">
                      <w:marLeft w:val="0"/>
                      <w:marRight w:val="0"/>
                      <w:marTop w:val="0"/>
                      <w:marBottom w:val="0"/>
                      <w:divBdr>
                        <w:top w:val="none" w:sz="0" w:space="0" w:color="auto"/>
                        <w:left w:val="none" w:sz="0" w:space="0" w:color="auto"/>
                        <w:bottom w:val="none" w:sz="0" w:space="0" w:color="auto"/>
                        <w:right w:val="none" w:sz="0" w:space="0" w:color="auto"/>
                      </w:divBdr>
                    </w:div>
                  </w:divsChild>
                </w:div>
                <w:div w:id="1022824456">
                  <w:marLeft w:val="0"/>
                  <w:marRight w:val="0"/>
                  <w:marTop w:val="0"/>
                  <w:marBottom w:val="0"/>
                  <w:divBdr>
                    <w:top w:val="none" w:sz="0" w:space="0" w:color="auto"/>
                    <w:left w:val="none" w:sz="0" w:space="0" w:color="auto"/>
                    <w:bottom w:val="none" w:sz="0" w:space="0" w:color="auto"/>
                    <w:right w:val="none" w:sz="0" w:space="0" w:color="auto"/>
                  </w:divBdr>
                  <w:divsChild>
                    <w:div w:id="1143231829">
                      <w:marLeft w:val="0"/>
                      <w:marRight w:val="0"/>
                      <w:marTop w:val="0"/>
                      <w:marBottom w:val="0"/>
                      <w:divBdr>
                        <w:top w:val="none" w:sz="0" w:space="0" w:color="auto"/>
                        <w:left w:val="none" w:sz="0" w:space="0" w:color="auto"/>
                        <w:bottom w:val="none" w:sz="0" w:space="0" w:color="auto"/>
                        <w:right w:val="none" w:sz="0" w:space="0" w:color="auto"/>
                      </w:divBdr>
                    </w:div>
                  </w:divsChild>
                </w:div>
                <w:div w:id="1027028338">
                  <w:marLeft w:val="0"/>
                  <w:marRight w:val="0"/>
                  <w:marTop w:val="0"/>
                  <w:marBottom w:val="0"/>
                  <w:divBdr>
                    <w:top w:val="none" w:sz="0" w:space="0" w:color="auto"/>
                    <w:left w:val="none" w:sz="0" w:space="0" w:color="auto"/>
                    <w:bottom w:val="none" w:sz="0" w:space="0" w:color="auto"/>
                    <w:right w:val="none" w:sz="0" w:space="0" w:color="auto"/>
                  </w:divBdr>
                  <w:divsChild>
                    <w:div w:id="1625848749">
                      <w:marLeft w:val="0"/>
                      <w:marRight w:val="0"/>
                      <w:marTop w:val="0"/>
                      <w:marBottom w:val="0"/>
                      <w:divBdr>
                        <w:top w:val="none" w:sz="0" w:space="0" w:color="auto"/>
                        <w:left w:val="none" w:sz="0" w:space="0" w:color="auto"/>
                        <w:bottom w:val="none" w:sz="0" w:space="0" w:color="auto"/>
                        <w:right w:val="none" w:sz="0" w:space="0" w:color="auto"/>
                      </w:divBdr>
                    </w:div>
                  </w:divsChild>
                </w:div>
                <w:div w:id="1027489951">
                  <w:marLeft w:val="0"/>
                  <w:marRight w:val="0"/>
                  <w:marTop w:val="0"/>
                  <w:marBottom w:val="0"/>
                  <w:divBdr>
                    <w:top w:val="none" w:sz="0" w:space="0" w:color="auto"/>
                    <w:left w:val="none" w:sz="0" w:space="0" w:color="auto"/>
                    <w:bottom w:val="none" w:sz="0" w:space="0" w:color="auto"/>
                    <w:right w:val="none" w:sz="0" w:space="0" w:color="auto"/>
                  </w:divBdr>
                  <w:divsChild>
                    <w:div w:id="1018119875">
                      <w:marLeft w:val="0"/>
                      <w:marRight w:val="0"/>
                      <w:marTop w:val="0"/>
                      <w:marBottom w:val="0"/>
                      <w:divBdr>
                        <w:top w:val="none" w:sz="0" w:space="0" w:color="auto"/>
                        <w:left w:val="none" w:sz="0" w:space="0" w:color="auto"/>
                        <w:bottom w:val="none" w:sz="0" w:space="0" w:color="auto"/>
                        <w:right w:val="none" w:sz="0" w:space="0" w:color="auto"/>
                      </w:divBdr>
                    </w:div>
                  </w:divsChild>
                </w:div>
                <w:div w:id="1027558516">
                  <w:marLeft w:val="0"/>
                  <w:marRight w:val="0"/>
                  <w:marTop w:val="0"/>
                  <w:marBottom w:val="0"/>
                  <w:divBdr>
                    <w:top w:val="none" w:sz="0" w:space="0" w:color="auto"/>
                    <w:left w:val="none" w:sz="0" w:space="0" w:color="auto"/>
                    <w:bottom w:val="none" w:sz="0" w:space="0" w:color="auto"/>
                    <w:right w:val="none" w:sz="0" w:space="0" w:color="auto"/>
                  </w:divBdr>
                  <w:divsChild>
                    <w:div w:id="1163277701">
                      <w:marLeft w:val="0"/>
                      <w:marRight w:val="0"/>
                      <w:marTop w:val="0"/>
                      <w:marBottom w:val="0"/>
                      <w:divBdr>
                        <w:top w:val="none" w:sz="0" w:space="0" w:color="auto"/>
                        <w:left w:val="none" w:sz="0" w:space="0" w:color="auto"/>
                        <w:bottom w:val="none" w:sz="0" w:space="0" w:color="auto"/>
                        <w:right w:val="none" w:sz="0" w:space="0" w:color="auto"/>
                      </w:divBdr>
                    </w:div>
                  </w:divsChild>
                </w:div>
                <w:div w:id="1031227578">
                  <w:marLeft w:val="0"/>
                  <w:marRight w:val="0"/>
                  <w:marTop w:val="0"/>
                  <w:marBottom w:val="0"/>
                  <w:divBdr>
                    <w:top w:val="none" w:sz="0" w:space="0" w:color="auto"/>
                    <w:left w:val="none" w:sz="0" w:space="0" w:color="auto"/>
                    <w:bottom w:val="none" w:sz="0" w:space="0" w:color="auto"/>
                    <w:right w:val="none" w:sz="0" w:space="0" w:color="auto"/>
                  </w:divBdr>
                  <w:divsChild>
                    <w:div w:id="84347940">
                      <w:marLeft w:val="0"/>
                      <w:marRight w:val="0"/>
                      <w:marTop w:val="0"/>
                      <w:marBottom w:val="0"/>
                      <w:divBdr>
                        <w:top w:val="none" w:sz="0" w:space="0" w:color="auto"/>
                        <w:left w:val="none" w:sz="0" w:space="0" w:color="auto"/>
                        <w:bottom w:val="none" w:sz="0" w:space="0" w:color="auto"/>
                        <w:right w:val="none" w:sz="0" w:space="0" w:color="auto"/>
                      </w:divBdr>
                    </w:div>
                  </w:divsChild>
                </w:div>
                <w:div w:id="1044521113">
                  <w:marLeft w:val="0"/>
                  <w:marRight w:val="0"/>
                  <w:marTop w:val="0"/>
                  <w:marBottom w:val="0"/>
                  <w:divBdr>
                    <w:top w:val="none" w:sz="0" w:space="0" w:color="auto"/>
                    <w:left w:val="none" w:sz="0" w:space="0" w:color="auto"/>
                    <w:bottom w:val="none" w:sz="0" w:space="0" w:color="auto"/>
                    <w:right w:val="none" w:sz="0" w:space="0" w:color="auto"/>
                  </w:divBdr>
                  <w:divsChild>
                    <w:div w:id="435633334">
                      <w:marLeft w:val="0"/>
                      <w:marRight w:val="0"/>
                      <w:marTop w:val="0"/>
                      <w:marBottom w:val="0"/>
                      <w:divBdr>
                        <w:top w:val="none" w:sz="0" w:space="0" w:color="auto"/>
                        <w:left w:val="none" w:sz="0" w:space="0" w:color="auto"/>
                        <w:bottom w:val="none" w:sz="0" w:space="0" w:color="auto"/>
                        <w:right w:val="none" w:sz="0" w:space="0" w:color="auto"/>
                      </w:divBdr>
                    </w:div>
                  </w:divsChild>
                </w:div>
                <w:div w:id="1046486223">
                  <w:marLeft w:val="0"/>
                  <w:marRight w:val="0"/>
                  <w:marTop w:val="0"/>
                  <w:marBottom w:val="0"/>
                  <w:divBdr>
                    <w:top w:val="none" w:sz="0" w:space="0" w:color="auto"/>
                    <w:left w:val="none" w:sz="0" w:space="0" w:color="auto"/>
                    <w:bottom w:val="none" w:sz="0" w:space="0" w:color="auto"/>
                    <w:right w:val="none" w:sz="0" w:space="0" w:color="auto"/>
                  </w:divBdr>
                  <w:divsChild>
                    <w:div w:id="1728921015">
                      <w:marLeft w:val="0"/>
                      <w:marRight w:val="0"/>
                      <w:marTop w:val="0"/>
                      <w:marBottom w:val="0"/>
                      <w:divBdr>
                        <w:top w:val="none" w:sz="0" w:space="0" w:color="auto"/>
                        <w:left w:val="none" w:sz="0" w:space="0" w:color="auto"/>
                        <w:bottom w:val="none" w:sz="0" w:space="0" w:color="auto"/>
                        <w:right w:val="none" w:sz="0" w:space="0" w:color="auto"/>
                      </w:divBdr>
                    </w:div>
                  </w:divsChild>
                </w:div>
                <w:div w:id="1054046147">
                  <w:marLeft w:val="0"/>
                  <w:marRight w:val="0"/>
                  <w:marTop w:val="0"/>
                  <w:marBottom w:val="0"/>
                  <w:divBdr>
                    <w:top w:val="none" w:sz="0" w:space="0" w:color="auto"/>
                    <w:left w:val="none" w:sz="0" w:space="0" w:color="auto"/>
                    <w:bottom w:val="none" w:sz="0" w:space="0" w:color="auto"/>
                    <w:right w:val="none" w:sz="0" w:space="0" w:color="auto"/>
                  </w:divBdr>
                  <w:divsChild>
                    <w:div w:id="199830396">
                      <w:marLeft w:val="0"/>
                      <w:marRight w:val="0"/>
                      <w:marTop w:val="0"/>
                      <w:marBottom w:val="0"/>
                      <w:divBdr>
                        <w:top w:val="none" w:sz="0" w:space="0" w:color="auto"/>
                        <w:left w:val="none" w:sz="0" w:space="0" w:color="auto"/>
                        <w:bottom w:val="none" w:sz="0" w:space="0" w:color="auto"/>
                        <w:right w:val="none" w:sz="0" w:space="0" w:color="auto"/>
                      </w:divBdr>
                    </w:div>
                  </w:divsChild>
                </w:div>
                <w:div w:id="1062486245">
                  <w:marLeft w:val="0"/>
                  <w:marRight w:val="0"/>
                  <w:marTop w:val="0"/>
                  <w:marBottom w:val="0"/>
                  <w:divBdr>
                    <w:top w:val="none" w:sz="0" w:space="0" w:color="auto"/>
                    <w:left w:val="none" w:sz="0" w:space="0" w:color="auto"/>
                    <w:bottom w:val="none" w:sz="0" w:space="0" w:color="auto"/>
                    <w:right w:val="none" w:sz="0" w:space="0" w:color="auto"/>
                  </w:divBdr>
                  <w:divsChild>
                    <w:div w:id="658072187">
                      <w:marLeft w:val="0"/>
                      <w:marRight w:val="0"/>
                      <w:marTop w:val="0"/>
                      <w:marBottom w:val="0"/>
                      <w:divBdr>
                        <w:top w:val="none" w:sz="0" w:space="0" w:color="auto"/>
                        <w:left w:val="none" w:sz="0" w:space="0" w:color="auto"/>
                        <w:bottom w:val="none" w:sz="0" w:space="0" w:color="auto"/>
                        <w:right w:val="none" w:sz="0" w:space="0" w:color="auto"/>
                      </w:divBdr>
                    </w:div>
                  </w:divsChild>
                </w:div>
                <w:div w:id="1067919633">
                  <w:marLeft w:val="0"/>
                  <w:marRight w:val="0"/>
                  <w:marTop w:val="0"/>
                  <w:marBottom w:val="0"/>
                  <w:divBdr>
                    <w:top w:val="none" w:sz="0" w:space="0" w:color="auto"/>
                    <w:left w:val="none" w:sz="0" w:space="0" w:color="auto"/>
                    <w:bottom w:val="none" w:sz="0" w:space="0" w:color="auto"/>
                    <w:right w:val="none" w:sz="0" w:space="0" w:color="auto"/>
                  </w:divBdr>
                  <w:divsChild>
                    <w:div w:id="1869903061">
                      <w:marLeft w:val="0"/>
                      <w:marRight w:val="0"/>
                      <w:marTop w:val="0"/>
                      <w:marBottom w:val="0"/>
                      <w:divBdr>
                        <w:top w:val="none" w:sz="0" w:space="0" w:color="auto"/>
                        <w:left w:val="none" w:sz="0" w:space="0" w:color="auto"/>
                        <w:bottom w:val="none" w:sz="0" w:space="0" w:color="auto"/>
                        <w:right w:val="none" w:sz="0" w:space="0" w:color="auto"/>
                      </w:divBdr>
                    </w:div>
                  </w:divsChild>
                </w:div>
                <w:div w:id="1077675746">
                  <w:marLeft w:val="0"/>
                  <w:marRight w:val="0"/>
                  <w:marTop w:val="0"/>
                  <w:marBottom w:val="0"/>
                  <w:divBdr>
                    <w:top w:val="none" w:sz="0" w:space="0" w:color="auto"/>
                    <w:left w:val="none" w:sz="0" w:space="0" w:color="auto"/>
                    <w:bottom w:val="none" w:sz="0" w:space="0" w:color="auto"/>
                    <w:right w:val="none" w:sz="0" w:space="0" w:color="auto"/>
                  </w:divBdr>
                  <w:divsChild>
                    <w:div w:id="1353651503">
                      <w:marLeft w:val="0"/>
                      <w:marRight w:val="0"/>
                      <w:marTop w:val="0"/>
                      <w:marBottom w:val="0"/>
                      <w:divBdr>
                        <w:top w:val="none" w:sz="0" w:space="0" w:color="auto"/>
                        <w:left w:val="none" w:sz="0" w:space="0" w:color="auto"/>
                        <w:bottom w:val="none" w:sz="0" w:space="0" w:color="auto"/>
                        <w:right w:val="none" w:sz="0" w:space="0" w:color="auto"/>
                      </w:divBdr>
                    </w:div>
                  </w:divsChild>
                </w:div>
                <w:div w:id="1084914465">
                  <w:marLeft w:val="0"/>
                  <w:marRight w:val="0"/>
                  <w:marTop w:val="0"/>
                  <w:marBottom w:val="0"/>
                  <w:divBdr>
                    <w:top w:val="none" w:sz="0" w:space="0" w:color="auto"/>
                    <w:left w:val="none" w:sz="0" w:space="0" w:color="auto"/>
                    <w:bottom w:val="none" w:sz="0" w:space="0" w:color="auto"/>
                    <w:right w:val="none" w:sz="0" w:space="0" w:color="auto"/>
                  </w:divBdr>
                  <w:divsChild>
                    <w:div w:id="599991060">
                      <w:marLeft w:val="0"/>
                      <w:marRight w:val="0"/>
                      <w:marTop w:val="0"/>
                      <w:marBottom w:val="0"/>
                      <w:divBdr>
                        <w:top w:val="none" w:sz="0" w:space="0" w:color="auto"/>
                        <w:left w:val="none" w:sz="0" w:space="0" w:color="auto"/>
                        <w:bottom w:val="none" w:sz="0" w:space="0" w:color="auto"/>
                        <w:right w:val="none" w:sz="0" w:space="0" w:color="auto"/>
                      </w:divBdr>
                    </w:div>
                  </w:divsChild>
                </w:div>
                <w:div w:id="1085539103">
                  <w:marLeft w:val="0"/>
                  <w:marRight w:val="0"/>
                  <w:marTop w:val="0"/>
                  <w:marBottom w:val="0"/>
                  <w:divBdr>
                    <w:top w:val="none" w:sz="0" w:space="0" w:color="auto"/>
                    <w:left w:val="none" w:sz="0" w:space="0" w:color="auto"/>
                    <w:bottom w:val="none" w:sz="0" w:space="0" w:color="auto"/>
                    <w:right w:val="none" w:sz="0" w:space="0" w:color="auto"/>
                  </w:divBdr>
                  <w:divsChild>
                    <w:div w:id="1219442510">
                      <w:marLeft w:val="0"/>
                      <w:marRight w:val="0"/>
                      <w:marTop w:val="0"/>
                      <w:marBottom w:val="0"/>
                      <w:divBdr>
                        <w:top w:val="none" w:sz="0" w:space="0" w:color="auto"/>
                        <w:left w:val="none" w:sz="0" w:space="0" w:color="auto"/>
                        <w:bottom w:val="none" w:sz="0" w:space="0" w:color="auto"/>
                        <w:right w:val="none" w:sz="0" w:space="0" w:color="auto"/>
                      </w:divBdr>
                    </w:div>
                  </w:divsChild>
                </w:div>
                <w:div w:id="1089079713">
                  <w:marLeft w:val="0"/>
                  <w:marRight w:val="0"/>
                  <w:marTop w:val="0"/>
                  <w:marBottom w:val="0"/>
                  <w:divBdr>
                    <w:top w:val="none" w:sz="0" w:space="0" w:color="auto"/>
                    <w:left w:val="none" w:sz="0" w:space="0" w:color="auto"/>
                    <w:bottom w:val="none" w:sz="0" w:space="0" w:color="auto"/>
                    <w:right w:val="none" w:sz="0" w:space="0" w:color="auto"/>
                  </w:divBdr>
                  <w:divsChild>
                    <w:div w:id="962154016">
                      <w:marLeft w:val="0"/>
                      <w:marRight w:val="0"/>
                      <w:marTop w:val="0"/>
                      <w:marBottom w:val="0"/>
                      <w:divBdr>
                        <w:top w:val="none" w:sz="0" w:space="0" w:color="auto"/>
                        <w:left w:val="none" w:sz="0" w:space="0" w:color="auto"/>
                        <w:bottom w:val="none" w:sz="0" w:space="0" w:color="auto"/>
                        <w:right w:val="none" w:sz="0" w:space="0" w:color="auto"/>
                      </w:divBdr>
                    </w:div>
                  </w:divsChild>
                </w:div>
                <w:div w:id="1090585932">
                  <w:marLeft w:val="0"/>
                  <w:marRight w:val="0"/>
                  <w:marTop w:val="0"/>
                  <w:marBottom w:val="0"/>
                  <w:divBdr>
                    <w:top w:val="none" w:sz="0" w:space="0" w:color="auto"/>
                    <w:left w:val="none" w:sz="0" w:space="0" w:color="auto"/>
                    <w:bottom w:val="none" w:sz="0" w:space="0" w:color="auto"/>
                    <w:right w:val="none" w:sz="0" w:space="0" w:color="auto"/>
                  </w:divBdr>
                  <w:divsChild>
                    <w:div w:id="1485512798">
                      <w:marLeft w:val="0"/>
                      <w:marRight w:val="0"/>
                      <w:marTop w:val="0"/>
                      <w:marBottom w:val="0"/>
                      <w:divBdr>
                        <w:top w:val="none" w:sz="0" w:space="0" w:color="auto"/>
                        <w:left w:val="none" w:sz="0" w:space="0" w:color="auto"/>
                        <w:bottom w:val="none" w:sz="0" w:space="0" w:color="auto"/>
                        <w:right w:val="none" w:sz="0" w:space="0" w:color="auto"/>
                      </w:divBdr>
                    </w:div>
                  </w:divsChild>
                </w:div>
                <w:div w:id="1094130836">
                  <w:marLeft w:val="0"/>
                  <w:marRight w:val="0"/>
                  <w:marTop w:val="0"/>
                  <w:marBottom w:val="0"/>
                  <w:divBdr>
                    <w:top w:val="none" w:sz="0" w:space="0" w:color="auto"/>
                    <w:left w:val="none" w:sz="0" w:space="0" w:color="auto"/>
                    <w:bottom w:val="none" w:sz="0" w:space="0" w:color="auto"/>
                    <w:right w:val="none" w:sz="0" w:space="0" w:color="auto"/>
                  </w:divBdr>
                  <w:divsChild>
                    <w:div w:id="1304194224">
                      <w:marLeft w:val="0"/>
                      <w:marRight w:val="0"/>
                      <w:marTop w:val="0"/>
                      <w:marBottom w:val="0"/>
                      <w:divBdr>
                        <w:top w:val="none" w:sz="0" w:space="0" w:color="auto"/>
                        <w:left w:val="none" w:sz="0" w:space="0" w:color="auto"/>
                        <w:bottom w:val="none" w:sz="0" w:space="0" w:color="auto"/>
                        <w:right w:val="none" w:sz="0" w:space="0" w:color="auto"/>
                      </w:divBdr>
                    </w:div>
                  </w:divsChild>
                </w:div>
                <w:div w:id="1094666124">
                  <w:marLeft w:val="0"/>
                  <w:marRight w:val="0"/>
                  <w:marTop w:val="0"/>
                  <w:marBottom w:val="0"/>
                  <w:divBdr>
                    <w:top w:val="none" w:sz="0" w:space="0" w:color="auto"/>
                    <w:left w:val="none" w:sz="0" w:space="0" w:color="auto"/>
                    <w:bottom w:val="none" w:sz="0" w:space="0" w:color="auto"/>
                    <w:right w:val="none" w:sz="0" w:space="0" w:color="auto"/>
                  </w:divBdr>
                  <w:divsChild>
                    <w:div w:id="985204641">
                      <w:marLeft w:val="0"/>
                      <w:marRight w:val="0"/>
                      <w:marTop w:val="0"/>
                      <w:marBottom w:val="0"/>
                      <w:divBdr>
                        <w:top w:val="none" w:sz="0" w:space="0" w:color="auto"/>
                        <w:left w:val="none" w:sz="0" w:space="0" w:color="auto"/>
                        <w:bottom w:val="none" w:sz="0" w:space="0" w:color="auto"/>
                        <w:right w:val="none" w:sz="0" w:space="0" w:color="auto"/>
                      </w:divBdr>
                    </w:div>
                  </w:divsChild>
                </w:div>
                <w:div w:id="1095129046">
                  <w:marLeft w:val="0"/>
                  <w:marRight w:val="0"/>
                  <w:marTop w:val="0"/>
                  <w:marBottom w:val="0"/>
                  <w:divBdr>
                    <w:top w:val="none" w:sz="0" w:space="0" w:color="auto"/>
                    <w:left w:val="none" w:sz="0" w:space="0" w:color="auto"/>
                    <w:bottom w:val="none" w:sz="0" w:space="0" w:color="auto"/>
                    <w:right w:val="none" w:sz="0" w:space="0" w:color="auto"/>
                  </w:divBdr>
                  <w:divsChild>
                    <w:div w:id="1890261432">
                      <w:marLeft w:val="0"/>
                      <w:marRight w:val="0"/>
                      <w:marTop w:val="0"/>
                      <w:marBottom w:val="0"/>
                      <w:divBdr>
                        <w:top w:val="none" w:sz="0" w:space="0" w:color="auto"/>
                        <w:left w:val="none" w:sz="0" w:space="0" w:color="auto"/>
                        <w:bottom w:val="none" w:sz="0" w:space="0" w:color="auto"/>
                        <w:right w:val="none" w:sz="0" w:space="0" w:color="auto"/>
                      </w:divBdr>
                    </w:div>
                  </w:divsChild>
                </w:div>
                <w:div w:id="1099644559">
                  <w:marLeft w:val="0"/>
                  <w:marRight w:val="0"/>
                  <w:marTop w:val="0"/>
                  <w:marBottom w:val="0"/>
                  <w:divBdr>
                    <w:top w:val="none" w:sz="0" w:space="0" w:color="auto"/>
                    <w:left w:val="none" w:sz="0" w:space="0" w:color="auto"/>
                    <w:bottom w:val="none" w:sz="0" w:space="0" w:color="auto"/>
                    <w:right w:val="none" w:sz="0" w:space="0" w:color="auto"/>
                  </w:divBdr>
                  <w:divsChild>
                    <w:div w:id="561602258">
                      <w:marLeft w:val="0"/>
                      <w:marRight w:val="0"/>
                      <w:marTop w:val="0"/>
                      <w:marBottom w:val="0"/>
                      <w:divBdr>
                        <w:top w:val="none" w:sz="0" w:space="0" w:color="auto"/>
                        <w:left w:val="none" w:sz="0" w:space="0" w:color="auto"/>
                        <w:bottom w:val="none" w:sz="0" w:space="0" w:color="auto"/>
                        <w:right w:val="none" w:sz="0" w:space="0" w:color="auto"/>
                      </w:divBdr>
                    </w:div>
                  </w:divsChild>
                </w:div>
                <w:div w:id="1103889035">
                  <w:marLeft w:val="0"/>
                  <w:marRight w:val="0"/>
                  <w:marTop w:val="0"/>
                  <w:marBottom w:val="0"/>
                  <w:divBdr>
                    <w:top w:val="none" w:sz="0" w:space="0" w:color="auto"/>
                    <w:left w:val="none" w:sz="0" w:space="0" w:color="auto"/>
                    <w:bottom w:val="none" w:sz="0" w:space="0" w:color="auto"/>
                    <w:right w:val="none" w:sz="0" w:space="0" w:color="auto"/>
                  </w:divBdr>
                  <w:divsChild>
                    <w:div w:id="372929866">
                      <w:marLeft w:val="0"/>
                      <w:marRight w:val="0"/>
                      <w:marTop w:val="0"/>
                      <w:marBottom w:val="0"/>
                      <w:divBdr>
                        <w:top w:val="none" w:sz="0" w:space="0" w:color="auto"/>
                        <w:left w:val="none" w:sz="0" w:space="0" w:color="auto"/>
                        <w:bottom w:val="none" w:sz="0" w:space="0" w:color="auto"/>
                        <w:right w:val="none" w:sz="0" w:space="0" w:color="auto"/>
                      </w:divBdr>
                    </w:div>
                  </w:divsChild>
                </w:div>
                <w:div w:id="1115294796">
                  <w:marLeft w:val="0"/>
                  <w:marRight w:val="0"/>
                  <w:marTop w:val="0"/>
                  <w:marBottom w:val="0"/>
                  <w:divBdr>
                    <w:top w:val="none" w:sz="0" w:space="0" w:color="auto"/>
                    <w:left w:val="none" w:sz="0" w:space="0" w:color="auto"/>
                    <w:bottom w:val="none" w:sz="0" w:space="0" w:color="auto"/>
                    <w:right w:val="none" w:sz="0" w:space="0" w:color="auto"/>
                  </w:divBdr>
                  <w:divsChild>
                    <w:div w:id="204176027">
                      <w:marLeft w:val="0"/>
                      <w:marRight w:val="0"/>
                      <w:marTop w:val="0"/>
                      <w:marBottom w:val="0"/>
                      <w:divBdr>
                        <w:top w:val="none" w:sz="0" w:space="0" w:color="auto"/>
                        <w:left w:val="none" w:sz="0" w:space="0" w:color="auto"/>
                        <w:bottom w:val="none" w:sz="0" w:space="0" w:color="auto"/>
                        <w:right w:val="none" w:sz="0" w:space="0" w:color="auto"/>
                      </w:divBdr>
                    </w:div>
                  </w:divsChild>
                </w:div>
                <w:div w:id="1117405541">
                  <w:marLeft w:val="0"/>
                  <w:marRight w:val="0"/>
                  <w:marTop w:val="0"/>
                  <w:marBottom w:val="0"/>
                  <w:divBdr>
                    <w:top w:val="none" w:sz="0" w:space="0" w:color="auto"/>
                    <w:left w:val="none" w:sz="0" w:space="0" w:color="auto"/>
                    <w:bottom w:val="none" w:sz="0" w:space="0" w:color="auto"/>
                    <w:right w:val="none" w:sz="0" w:space="0" w:color="auto"/>
                  </w:divBdr>
                  <w:divsChild>
                    <w:div w:id="587924619">
                      <w:marLeft w:val="0"/>
                      <w:marRight w:val="0"/>
                      <w:marTop w:val="0"/>
                      <w:marBottom w:val="0"/>
                      <w:divBdr>
                        <w:top w:val="none" w:sz="0" w:space="0" w:color="auto"/>
                        <w:left w:val="none" w:sz="0" w:space="0" w:color="auto"/>
                        <w:bottom w:val="none" w:sz="0" w:space="0" w:color="auto"/>
                        <w:right w:val="none" w:sz="0" w:space="0" w:color="auto"/>
                      </w:divBdr>
                    </w:div>
                  </w:divsChild>
                </w:div>
                <w:div w:id="1125197037">
                  <w:marLeft w:val="0"/>
                  <w:marRight w:val="0"/>
                  <w:marTop w:val="0"/>
                  <w:marBottom w:val="0"/>
                  <w:divBdr>
                    <w:top w:val="none" w:sz="0" w:space="0" w:color="auto"/>
                    <w:left w:val="none" w:sz="0" w:space="0" w:color="auto"/>
                    <w:bottom w:val="none" w:sz="0" w:space="0" w:color="auto"/>
                    <w:right w:val="none" w:sz="0" w:space="0" w:color="auto"/>
                  </w:divBdr>
                  <w:divsChild>
                    <w:div w:id="1758820576">
                      <w:marLeft w:val="0"/>
                      <w:marRight w:val="0"/>
                      <w:marTop w:val="0"/>
                      <w:marBottom w:val="0"/>
                      <w:divBdr>
                        <w:top w:val="none" w:sz="0" w:space="0" w:color="auto"/>
                        <w:left w:val="none" w:sz="0" w:space="0" w:color="auto"/>
                        <w:bottom w:val="none" w:sz="0" w:space="0" w:color="auto"/>
                        <w:right w:val="none" w:sz="0" w:space="0" w:color="auto"/>
                      </w:divBdr>
                    </w:div>
                  </w:divsChild>
                </w:div>
                <w:div w:id="1141465185">
                  <w:marLeft w:val="0"/>
                  <w:marRight w:val="0"/>
                  <w:marTop w:val="0"/>
                  <w:marBottom w:val="0"/>
                  <w:divBdr>
                    <w:top w:val="none" w:sz="0" w:space="0" w:color="auto"/>
                    <w:left w:val="none" w:sz="0" w:space="0" w:color="auto"/>
                    <w:bottom w:val="none" w:sz="0" w:space="0" w:color="auto"/>
                    <w:right w:val="none" w:sz="0" w:space="0" w:color="auto"/>
                  </w:divBdr>
                  <w:divsChild>
                    <w:div w:id="208807607">
                      <w:marLeft w:val="0"/>
                      <w:marRight w:val="0"/>
                      <w:marTop w:val="0"/>
                      <w:marBottom w:val="0"/>
                      <w:divBdr>
                        <w:top w:val="none" w:sz="0" w:space="0" w:color="auto"/>
                        <w:left w:val="none" w:sz="0" w:space="0" w:color="auto"/>
                        <w:bottom w:val="none" w:sz="0" w:space="0" w:color="auto"/>
                        <w:right w:val="none" w:sz="0" w:space="0" w:color="auto"/>
                      </w:divBdr>
                    </w:div>
                  </w:divsChild>
                </w:div>
                <w:div w:id="1150093531">
                  <w:marLeft w:val="0"/>
                  <w:marRight w:val="0"/>
                  <w:marTop w:val="0"/>
                  <w:marBottom w:val="0"/>
                  <w:divBdr>
                    <w:top w:val="none" w:sz="0" w:space="0" w:color="auto"/>
                    <w:left w:val="none" w:sz="0" w:space="0" w:color="auto"/>
                    <w:bottom w:val="none" w:sz="0" w:space="0" w:color="auto"/>
                    <w:right w:val="none" w:sz="0" w:space="0" w:color="auto"/>
                  </w:divBdr>
                  <w:divsChild>
                    <w:div w:id="228543392">
                      <w:marLeft w:val="0"/>
                      <w:marRight w:val="0"/>
                      <w:marTop w:val="0"/>
                      <w:marBottom w:val="0"/>
                      <w:divBdr>
                        <w:top w:val="none" w:sz="0" w:space="0" w:color="auto"/>
                        <w:left w:val="none" w:sz="0" w:space="0" w:color="auto"/>
                        <w:bottom w:val="none" w:sz="0" w:space="0" w:color="auto"/>
                        <w:right w:val="none" w:sz="0" w:space="0" w:color="auto"/>
                      </w:divBdr>
                    </w:div>
                  </w:divsChild>
                </w:div>
                <w:div w:id="1152525783">
                  <w:marLeft w:val="0"/>
                  <w:marRight w:val="0"/>
                  <w:marTop w:val="0"/>
                  <w:marBottom w:val="0"/>
                  <w:divBdr>
                    <w:top w:val="none" w:sz="0" w:space="0" w:color="auto"/>
                    <w:left w:val="none" w:sz="0" w:space="0" w:color="auto"/>
                    <w:bottom w:val="none" w:sz="0" w:space="0" w:color="auto"/>
                    <w:right w:val="none" w:sz="0" w:space="0" w:color="auto"/>
                  </w:divBdr>
                  <w:divsChild>
                    <w:div w:id="28384423">
                      <w:marLeft w:val="0"/>
                      <w:marRight w:val="0"/>
                      <w:marTop w:val="0"/>
                      <w:marBottom w:val="0"/>
                      <w:divBdr>
                        <w:top w:val="none" w:sz="0" w:space="0" w:color="auto"/>
                        <w:left w:val="none" w:sz="0" w:space="0" w:color="auto"/>
                        <w:bottom w:val="none" w:sz="0" w:space="0" w:color="auto"/>
                        <w:right w:val="none" w:sz="0" w:space="0" w:color="auto"/>
                      </w:divBdr>
                    </w:div>
                  </w:divsChild>
                </w:div>
                <w:div w:id="1155033177">
                  <w:marLeft w:val="0"/>
                  <w:marRight w:val="0"/>
                  <w:marTop w:val="0"/>
                  <w:marBottom w:val="0"/>
                  <w:divBdr>
                    <w:top w:val="none" w:sz="0" w:space="0" w:color="auto"/>
                    <w:left w:val="none" w:sz="0" w:space="0" w:color="auto"/>
                    <w:bottom w:val="none" w:sz="0" w:space="0" w:color="auto"/>
                    <w:right w:val="none" w:sz="0" w:space="0" w:color="auto"/>
                  </w:divBdr>
                  <w:divsChild>
                    <w:div w:id="1473672562">
                      <w:marLeft w:val="0"/>
                      <w:marRight w:val="0"/>
                      <w:marTop w:val="0"/>
                      <w:marBottom w:val="0"/>
                      <w:divBdr>
                        <w:top w:val="none" w:sz="0" w:space="0" w:color="auto"/>
                        <w:left w:val="none" w:sz="0" w:space="0" w:color="auto"/>
                        <w:bottom w:val="none" w:sz="0" w:space="0" w:color="auto"/>
                        <w:right w:val="none" w:sz="0" w:space="0" w:color="auto"/>
                      </w:divBdr>
                    </w:div>
                  </w:divsChild>
                </w:div>
                <w:div w:id="1155684340">
                  <w:marLeft w:val="0"/>
                  <w:marRight w:val="0"/>
                  <w:marTop w:val="0"/>
                  <w:marBottom w:val="0"/>
                  <w:divBdr>
                    <w:top w:val="none" w:sz="0" w:space="0" w:color="auto"/>
                    <w:left w:val="none" w:sz="0" w:space="0" w:color="auto"/>
                    <w:bottom w:val="none" w:sz="0" w:space="0" w:color="auto"/>
                    <w:right w:val="none" w:sz="0" w:space="0" w:color="auto"/>
                  </w:divBdr>
                  <w:divsChild>
                    <w:div w:id="387844705">
                      <w:marLeft w:val="0"/>
                      <w:marRight w:val="0"/>
                      <w:marTop w:val="0"/>
                      <w:marBottom w:val="0"/>
                      <w:divBdr>
                        <w:top w:val="none" w:sz="0" w:space="0" w:color="auto"/>
                        <w:left w:val="none" w:sz="0" w:space="0" w:color="auto"/>
                        <w:bottom w:val="none" w:sz="0" w:space="0" w:color="auto"/>
                        <w:right w:val="none" w:sz="0" w:space="0" w:color="auto"/>
                      </w:divBdr>
                    </w:div>
                  </w:divsChild>
                </w:div>
                <w:div w:id="1161121143">
                  <w:marLeft w:val="0"/>
                  <w:marRight w:val="0"/>
                  <w:marTop w:val="0"/>
                  <w:marBottom w:val="0"/>
                  <w:divBdr>
                    <w:top w:val="none" w:sz="0" w:space="0" w:color="auto"/>
                    <w:left w:val="none" w:sz="0" w:space="0" w:color="auto"/>
                    <w:bottom w:val="none" w:sz="0" w:space="0" w:color="auto"/>
                    <w:right w:val="none" w:sz="0" w:space="0" w:color="auto"/>
                  </w:divBdr>
                  <w:divsChild>
                    <w:div w:id="1464731817">
                      <w:marLeft w:val="0"/>
                      <w:marRight w:val="0"/>
                      <w:marTop w:val="0"/>
                      <w:marBottom w:val="0"/>
                      <w:divBdr>
                        <w:top w:val="none" w:sz="0" w:space="0" w:color="auto"/>
                        <w:left w:val="none" w:sz="0" w:space="0" w:color="auto"/>
                        <w:bottom w:val="none" w:sz="0" w:space="0" w:color="auto"/>
                        <w:right w:val="none" w:sz="0" w:space="0" w:color="auto"/>
                      </w:divBdr>
                    </w:div>
                  </w:divsChild>
                </w:div>
                <w:div w:id="1167019414">
                  <w:marLeft w:val="0"/>
                  <w:marRight w:val="0"/>
                  <w:marTop w:val="0"/>
                  <w:marBottom w:val="0"/>
                  <w:divBdr>
                    <w:top w:val="none" w:sz="0" w:space="0" w:color="auto"/>
                    <w:left w:val="none" w:sz="0" w:space="0" w:color="auto"/>
                    <w:bottom w:val="none" w:sz="0" w:space="0" w:color="auto"/>
                    <w:right w:val="none" w:sz="0" w:space="0" w:color="auto"/>
                  </w:divBdr>
                  <w:divsChild>
                    <w:div w:id="1128663686">
                      <w:marLeft w:val="0"/>
                      <w:marRight w:val="0"/>
                      <w:marTop w:val="0"/>
                      <w:marBottom w:val="0"/>
                      <w:divBdr>
                        <w:top w:val="none" w:sz="0" w:space="0" w:color="auto"/>
                        <w:left w:val="none" w:sz="0" w:space="0" w:color="auto"/>
                        <w:bottom w:val="none" w:sz="0" w:space="0" w:color="auto"/>
                        <w:right w:val="none" w:sz="0" w:space="0" w:color="auto"/>
                      </w:divBdr>
                    </w:div>
                  </w:divsChild>
                </w:div>
                <w:div w:id="1167088824">
                  <w:marLeft w:val="0"/>
                  <w:marRight w:val="0"/>
                  <w:marTop w:val="0"/>
                  <w:marBottom w:val="0"/>
                  <w:divBdr>
                    <w:top w:val="none" w:sz="0" w:space="0" w:color="auto"/>
                    <w:left w:val="none" w:sz="0" w:space="0" w:color="auto"/>
                    <w:bottom w:val="none" w:sz="0" w:space="0" w:color="auto"/>
                    <w:right w:val="none" w:sz="0" w:space="0" w:color="auto"/>
                  </w:divBdr>
                  <w:divsChild>
                    <w:div w:id="1931700109">
                      <w:marLeft w:val="0"/>
                      <w:marRight w:val="0"/>
                      <w:marTop w:val="0"/>
                      <w:marBottom w:val="0"/>
                      <w:divBdr>
                        <w:top w:val="none" w:sz="0" w:space="0" w:color="auto"/>
                        <w:left w:val="none" w:sz="0" w:space="0" w:color="auto"/>
                        <w:bottom w:val="none" w:sz="0" w:space="0" w:color="auto"/>
                        <w:right w:val="none" w:sz="0" w:space="0" w:color="auto"/>
                      </w:divBdr>
                    </w:div>
                  </w:divsChild>
                </w:div>
                <w:div w:id="1190803904">
                  <w:marLeft w:val="0"/>
                  <w:marRight w:val="0"/>
                  <w:marTop w:val="0"/>
                  <w:marBottom w:val="0"/>
                  <w:divBdr>
                    <w:top w:val="none" w:sz="0" w:space="0" w:color="auto"/>
                    <w:left w:val="none" w:sz="0" w:space="0" w:color="auto"/>
                    <w:bottom w:val="none" w:sz="0" w:space="0" w:color="auto"/>
                    <w:right w:val="none" w:sz="0" w:space="0" w:color="auto"/>
                  </w:divBdr>
                  <w:divsChild>
                    <w:div w:id="492988522">
                      <w:marLeft w:val="0"/>
                      <w:marRight w:val="0"/>
                      <w:marTop w:val="0"/>
                      <w:marBottom w:val="0"/>
                      <w:divBdr>
                        <w:top w:val="none" w:sz="0" w:space="0" w:color="auto"/>
                        <w:left w:val="none" w:sz="0" w:space="0" w:color="auto"/>
                        <w:bottom w:val="none" w:sz="0" w:space="0" w:color="auto"/>
                        <w:right w:val="none" w:sz="0" w:space="0" w:color="auto"/>
                      </w:divBdr>
                    </w:div>
                  </w:divsChild>
                </w:div>
                <w:div w:id="1211456692">
                  <w:marLeft w:val="0"/>
                  <w:marRight w:val="0"/>
                  <w:marTop w:val="0"/>
                  <w:marBottom w:val="0"/>
                  <w:divBdr>
                    <w:top w:val="none" w:sz="0" w:space="0" w:color="auto"/>
                    <w:left w:val="none" w:sz="0" w:space="0" w:color="auto"/>
                    <w:bottom w:val="none" w:sz="0" w:space="0" w:color="auto"/>
                    <w:right w:val="none" w:sz="0" w:space="0" w:color="auto"/>
                  </w:divBdr>
                  <w:divsChild>
                    <w:div w:id="694236913">
                      <w:marLeft w:val="0"/>
                      <w:marRight w:val="0"/>
                      <w:marTop w:val="0"/>
                      <w:marBottom w:val="0"/>
                      <w:divBdr>
                        <w:top w:val="none" w:sz="0" w:space="0" w:color="auto"/>
                        <w:left w:val="none" w:sz="0" w:space="0" w:color="auto"/>
                        <w:bottom w:val="none" w:sz="0" w:space="0" w:color="auto"/>
                        <w:right w:val="none" w:sz="0" w:space="0" w:color="auto"/>
                      </w:divBdr>
                    </w:div>
                  </w:divsChild>
                </w:div>
                <w:div w:id="1211501853">
                  <w:marLeft w:val="0"/>
                  <w:marRight w:val="0"/>
                  <w:marTop w:val="0"/>
                  <w:marBottom w:val="0"/>
                  <w:divBdr>
                    <w:top w:val="none" w:sz="0" w:space="0" w:color="auto"/>
                    <w:left w:val="none" w:sz="0" w:space="0" w:color="auto"/>
                    <w:bottom w:val="none" w:sz="0" w:space="0" w:color="auto"/>
                    <w:right w:val="none" w:sz="0" w:space="0" w:color="auto"/>
                  </w:divBdr>
                  <w:divsChild>
                    <w:div w:id="118036460">
                      <w:marLeft w:val="0"/>
                      <w:marRight w:val="0"/>
                      <w:marTop w:val="0"/>
                      <w:marBottom w:val="0"/>
                      <w:divBdr>
                        <w:top w:val="none" w:sz="0" w:space="0" w:color="auto"/>
                        <w:left w:val="none" w:sz="0" w:space="0" w:color="auto"/>
                        <w:bottom w:val="none" w:sz="0" w:space="0" w:color="auto"/>
                        <w:right w:val="none" w:sz="0" w:space="0" w:color="auto"/>
                      </w:divBdr>
                    </w:div>
                  </w:divsChild>
                </w:div>
                <w:div w:id="1214078767">
                  <w:marLeft w:val="0"/>
                  <w:marRight w:val="0"/>
                  <w:marTop w:val="0"/>
                  <w:marBottom w:val="0"/>
                  <w:divBdr>
                    <w:top w:val="none" w:sz="0" w:space="0" w:color="auto"/>
                    <w:left w:val="none" w:sz="0" w:space="0" w:color="auto"/>
                    <w:bottom w:val="none" w:sz="0" w:space="0" w:color="auto"/>
                    <w:right w:val="none" w:sz="0" w:space="0" w:color="auto"/>
                  </w:divBdr>
                  <w:divsChild>
                    <w:div w:id="850099764">
                      <w:marLeft w:val="0"/>
                      <w:marRight w:val="0"/>
                      <w:marTop w:val="0"/>
                      <w:marBottom w:val="0"/>
                      <w:divBdr>
                        <w:top w:val="none" w:sz="0" w:space="0" w:color="auto"/>
                        <w:left w:val="none" w:sz="0" w:space="0" w:color="auto"/>
                        <w:bottom w:val="none" w:sz="0" w:space="0" w:color="auto"/>
                        <w:right w:val="none" w:sz="0" w:space="0" w:color="auto"/>
                      </w:divBdr>
                    </w:div>
                  </w:divsChild>
                </w:div>
                <w:div w:id="1215582889">
                  <w:marLeft w:val="0"/>
                  <w:marRight w:val="0"/>
                  <w:marTop w:val="0"/>
                  <w:marBottom w:val="0"/>
                  <w:divBdr>
                    <w:top w:val="none" w:sz="0" w:space="0" w:color="auto"/>
                    <w:left w:val="none" w:sz="0" w:space="0" w:color="auto"/>
                    <w:bottom w:val="none" w:sz="0" w:space="0" w:color="auto"/>
                    <w:right w:val="none" w:sz="0" w:space="0" w:color="auto"/>
                  </w:divBdr>
                  <w:divsChild>
                    <w:div w:id="1992365012">
                      <w:marLeft w:val="0"/>
                      <w:marRight w:val="0"/>
                      <w:marTop w:val="0"/>
                      <w:marBottom w:val="0"/>
                      <w:divBdr>
                        <w:top w:val="none" w:sz="0" w:space="0" w:color="auto"/>
                        <w:left w:val="none" w:sz="0" w:space="0" w:color="auto"/>
                        <w:bottom w:val="none" w:sz="0" w:space="0" w:color="auto"/>
                        <w:right w:val="none" w:sz="0" w:space="0" w:color="auto"/>
                      </w:divBdr>
                    </w:div>
                  </w:divsChild>
                </w:div>
                <w:div w:id="1224952843">
                  <w:marLeft w:val="0"/>
                  <w:marRight w:val="0"/>
                  <w:marTop w:val="0"/>
                  <w:marBottom w:val="0"/>
                  <w:divBdr>
                    <w:top w:val="none" w:sz="0" w:space="0" w:color="auto"/>
                    <w:left w:val="none" w:sz="0" w:space="0" w:color="auto"/>
                    <w:bottom w:val="none" w:sz="0" w:space="0" w:color="auto"/>
                    <w:right w:val="none" w:sz="0" w:space="0" w:color="auto"/>
                  </w:divBdr>
                  <w:divsChild>
                    <w:div w:id="1248926063">
                      <w:marLeft w:val="0"/>
                      <w:marRight w:val="0"/>
                      <w:marTop w:val="0"/>
                      <w:marBottom w:val="0"/>
                      <w:divBdr>
                        <w:top w:val="none" w:sz="0" w:space="0" w:color="auto"/>
                        <w:left w:val="none" w:sz="0" w:space="0" w:color="auto"/>
                        <w:bottom w:val="none" w:sz="0" w:space="0" w:color="auto"/>
                        <w:right w:val="none" w:sz="0" w:space="0" w:color="auto"/>
                      </w:divBdr>
                    </w:div>
                  </w:divsChild>
                </w:div>
                <w:div w:id="1232543826">
                  <w:marLeft w:val="0"/>
                  <w:marRight w:val="0"/>
                  <w:marTop w:val="0"/>
                  <w:marBottom w:val="0"/>
                  <w:divBdr>
                    <w:top w:val="none" w:sz="0" w:space="0" w:color="auto"/>
                    <w:left w:val="none" w:sz="0" w:space="0" w:color="auto"/>
                    <w:bottom w:val="none" w:sz="0" w:space="0" w:color="auto"/>
                    <w:right w:val="none" w:sz="0" w:space="0" w:color="auto"/>
                  </w:divBdr>
                  <w:divsChild>
                    <w:div w:id="606473375">
                      <w:marLeft w:val="0"/>
                      <w:marRight w:val="0"/>
                      <w:marTop w:val="0"/>
                      <w:marBottom w:val="0"/>
                      <w:divBdr>
                        <w:top w:val="none" w:sz="0" w:space="0" w:color="auto"/>
                        <w:left w:val="none" w:sz="0" w:space="0" w:color="auto"/>
                        <w:bottom w:val="none" w:sz="0" w:space="0" w:color="auto"/>
                        <w:right w:val="none" w:sz="0" w:space="0" w:color="auto"/>
                      </w:divBdr>
                    </w:div>
                  </w:divsChild>
                </w:div>
                <w:div w:id="1236738837">
                  <w:marLeft w:val="0"/>
                  <w:marRight w:val="0"/>
                  <w:marTop w:val="0"/>
                  <w:marBottom w:val="0"/>
                  <w:divBdr>
                    <w:top w:val="none" w:sz="0" w:space="0" w:color="auto"/>
                    <w:left w:val="none" w:sz="0" w:space="0" w:color="auto"/>
                    <w:bottom w:val="none" w:sz="0" w:space="0" w:color="auto"/>
                    <w:right w:val="none" w:sz="0" w:space="0" w:color="auto"/>
                  </w:divBdr>
                  <w:divsChild>
                    <w:div w:id="246113102">
                      <w:marLeft w:val="0"/>
                      <w:marRight w:val="0"/>
                      <w:marTop w:val="0"/>
                      <w:marBottom w:val="0"/>
                      <w:divBdr>
                        <w:top w:val="none" w:sz="0" w:space="0" w:color="auto"/>
                        <w:left w:val="none" w:sz="0" w:space="0" w:color="auto"/>
                        <w:bottom w:val="none" w:sz="0" w:space="0" w:color="auto"/>
                        <w:right w:val="none" w:sz="0" w:space="0" w:color="auto"/>
                      </w:divBdr>
                    </w:div>
                  </w:divsChild>
                </w:div>
                <w:div w:id="1238442896">
                  <w:marLeft w:val="0"/>
                  <w:marRight w:val="0"/>
                  <w:marTop w:val="0"/>
                  <w:marBottom w:val="0"/>
                  <w:divBdr>
                    <w:top w:val="none" w:sz="0" w:space="0" w:color="auto"/>
                    <w:left w:val="none" w:sz="0" w:space="0" w:color="auto"/>
                    <w:bottom w:val="none" w:sz="0" w:space="0" w:color="auto"/>
                    <w:right w:val="none" w:sz="0" w:space="0" w:color="auto"/>
                  </w:divBdr>
                  <w:divsChild>
                    <w:div w:id="106312543">
                      <w:marLeft w:val="0"/>
                      <w:marRight w:val="0"/>
                      <w:marTop w:val="0"/>
                      <w:marBottom w:val="0"/>
                      <w:divBdr>
                        <w:top w:val="none" w:sz="0" w:space="0" w:color="auto"/>
                        <w:left w:val="none" w:sz="0" w:space="0" w:color="auto"/>
                        <w:bottom w:val="none" w:sz="0" w:space="0" w:color="auto"/>
                        <w:right w:val="none" w:sz="0" w:space="0" w:color="auto"/>
                      </w:divBdr>
                    </w:div>
                  </w:divsChild>
                </w:div>
                <w:div w:id="1239245746">
                  <w:marLeft w:val="0"/>
                  <w:marRight w:val="0"/>
                  <w:marTop w:val="0"/>
                  <w:marBottom w:val="0"/>
                  <w:divBdr>
                    <w:top w:val="none" w:sz="0" w:space="0" w:color="auto"/>
                    <w:left w:val="none" w:sz="0" w:space="0" w:color="auto"/>
                    <w:bottom w:val="none" w:sz="0" w:space="0" w:color="auto"/>
                    <w:right w:val="none" w:sz="0" w:space="0" w:color="auto"/>
                  </w:divBdr>
                  <w:divsChild>
                    <w:div w:id="298340393">
                      <w:marLeft w:val="0"/>
                      <w:marRight w:val="0"/>
                      <w:marTop w:val="0"/>
                      <w:marBottom w:val="0"/>
                      <w:divBdr>
                        <w:top w:val="none" w:sz="0" w:space="0" w:color="auto"/>
                        <w:left w:val="none" w:sz="0" w:space="0" w:color="auto"/>
                        <w:bottom w:val="none" w:sz="0" w:space="0" w:color="auto"/>
                        <w:right w:val="none" w:sz="0" w:space="0" w:color="auto"/>
                      </w:divBdr>
                    </w:div>
                  </w:divsChild>
                </w:div>
                <w:div w:id="1240751581">
                  <w:marLeft w:val="0"/>
                  <w:marRight w:val="0"/>
                  <w:marTop w:val="0"/>
                  <w:marBottom w:val="0"/>
                  <w:divBdr>
                    <w:top w:val="none" w:sz="0" w:space="0" w:color="auto"/>
                    <w:left w:val="none" w:sz="0" w:space="0" w:color="auto"/>
                    <w:bottom w:val="none" w:sz="0" w:space="0" w:color="auto"/>
                    <w:right w:val="none" w:sz="0" w:space="0" w:color="auto"/>
                  </w:divBdr>
                  <w:divsChild>
                    <w:div w:id="1003631755">
                      <w:marLeft w:val="0"/>
                      <w:marRight w:val="0"/>
                      <w:marTop w:val="0"/>
                      <w:marBottom w:val="0"/>
                      <w:divBdr>
                        <w:top w:val="none" w:sz="0" w:space="0" w:color="auto"/>
                        <w:left w:val="none" w:sz="0" w:space="0" w:color="auto"/>
                        <w:bottom w:val="none" w:sz="0" w:space="0" w:color="auto"/>
                        <w:right w:val="none" w:sz="0" w:space="0" w:color="auto"/>
                      </w:divBdr>
                    </w:div>
                  </w:divsChild>
                </w:div>
                <w:div w:id="1252011138">
                  <w:marLeft w:val="0"/>
                  <w:marRight w:val="0"/>
                  <w:marTop w:val="0"/>
                  <w:marBottom w:val="0"/>
                  <w:divBdr>
                    <w:top w:val="none" w:sz="0" w:space="0" w:color="auto"/>
                    <w:left w:val="none" w:sz="0" w:space="0" w:color="auto"/>
                    <w:bottom w:val="none" w:sz="0" w:space="0" w:color="auto"/>
                    <w:right w:val="none" w:sz="0" w:space="0" w:color="auto"/>
                  </w:divBdr>
                  <w:divsChild>
                    <w:div w:id="2100060842">
                      <w:marLeft w:val="0"/>
                      <w:marRight w:val="0"/>
                      <w:marTop w:val="0"/>
                      <w:marBottom w:val="0"/>
                      <w:divBdr>
                        <w:top w:val="none" w:sz="0" w:space="0" w:color="auto"/>
                        <w:left w:val="none" w:sz="0" w:space="0" w:color="auto"/>
                        <w:bottom w:val="none" w:sz="0" w:space="0" w:color="auto"/>
                        <w:right w:val="none" w:sz="0" w:space="0" w:color="auto"/>
                      </w:divBdr>
                    </w:div>
                  </w:divsChild>
                </w:div>
                <w:div w:id="1276710664">
                  <w:marLeft w:val="0"/>
                  <w:marRight w:val="0"/>
                  <w:marTop w:val="0"/>
                  <w:marBottom w:val="0"/>
                  <w:divBdr>
                    <w:top w:val="none" w:sz="0" w:space="0" w:color="auto"/>
                    <w:left w:val="none" w:sz="0" w:space="0" w:color="auto"/>
                    <w:bottom w:val="none" w:sz="0" w:space="0" w:color="auto"/>
                    <w:right w:val="none" w:sz="0" w:space="0" w:color="auto"/>
                  </w:divBdr>
                  <w:divsChild>
                    <w:div w:id="626399205">
                      <w:marLeft w:val="0"/>
                      <w:marRight w:val="0"/>
                      <w:marTop w:val="0"/>
                      <w:marBottom w:val="0"/>
                      <w:divBdr>
                        <w:top w:val="none" w:sz="0" w:space="0" w:color="auto"/>
                        <w:left w:val="none" w:sz="0" w:space="0" w:color="auto"/>
                        <w:bottom w:val="none" w:sz="0" w:space="0" w:color="auto"/>
                        <w:right w:val="none" w:sz="0" w:space="0" w:color="auto"/>
                      </w:divBdr>
                    </w:div>
                  </w:divsChild>
                </w:div>
                <w:div w:id="1279602766">
                  <w:marLeft w:val="0"/>
                  <w:marRight w:val="0"/>
                  <w:marTop w:val="0"/>
                  <w:marBottom w:val="0"/>
                  <w:divBdr>
                    <w:top w:val="none" w:sz="0" w:space="0" w:color="auto"/>
                    <w:left w:val="none" w:sz="0" w:space="0" w:color="auto"/>
                    <w:bottom w:val="none" w:sz="0" w:space="0" w:color="auto"/>
                    <w:right w:val="none" w:sz="0" w:space="0" w:color="auto"/>
                  </w:divBdr>
                  <w:divsChild>
                    <w:div w:id="1511791363">
                      <w:marLeft w:val="0"/>
                      <w:marRight w:val="0"/>
                      <w:marTop w:val="0"/>
                      <w:marBottom w:val="0"/>
                      <w:divBdr>
                        <w:top w:val="none" w:sz="0" w:space="0" w:color="auto"/>
                        <w:left w:val="none" w:sz="0" w:space="0" w:color="auto"/>
                        <w:bottom w:val="none" w:sz="0" w:space="0" w:color="auto"/>
                        <w:right w:val="none" w:sz="0" w:space="0" w:color="auto"/>
                      </w:divBdr>
                    </w:div>
                  </w:divsChild>
                </w:div>
                <w:div w:id="1289118773">
                  <w:marLeft w:val="0"/>
                  <w:marRight w:val="0"/>
                  <w:marTop w:val="0"/>
                  <w:marBottom w:val="0"/>
                  <w:divBdr>
                    <w:top w:val="none" w:sz="0" w:space="0" w:color="auto"/>
                    <w:left w:val="none" w:sz="0" w:space="0" w:color="auto"/>
                    <w:bottom w:val="none" w:sz="0" w:space="0" w:color="auto"/>
                    <w:right w:val="none" w:sz="0" w:space="0" w:color="auto"/>
                  </w:divBdr>
                  <w:divsChild>
                    <w:div w:id="610164895">
                      <w:marLeft w:val="0"/>
                      <w:marRight w:val="0"/>
                      <w:marTop w:val="0"/>
                      <w:marBottom w:val="0"/>
                      <w:divBdr>
                        <w:top w:val="none" w:sz="0" w:space="0" w:color="auto"/>
                        <w:left w:val="none" w:sz="0" w:space="0" w:color="auto"/>
                        <w:bottom w:val="none" w:sz="0" w:space="0" w:color="auto"/>
                        <w:right w:val="none" w:sz="0" w:space="0" w:color="auto"/>
                      </w:divBdr>
                    </w:div>
                  </w:divsChild>
                </w:div>
                <w:div w:id="1293632594">
                  <w:marLeft w:val="0"/>
                  <w:marRight w:val="0"/>
                  <w:marTop w:val="0"/>
                  <w:marBottom w:val="0"/>
                  <w:divBdr>
                    <w:top w:val="none" w:sz="0" w:space="0" w:color="auto"/>
                    <w:left w:val="none" w:sz="0" w:space="0" w:color="auto"/>
                    <w:bottom w:val="none" w:sz="0" w:space="0" w:color="auto"/>
                    <w:right w:val="none" w:sz="0" w:space="0" w:color="auto"/>
                  </w:divBdr>
                  <w:divsChild>
                    <w:div w:id="1325205877">
                      <w:marLeft w:val="0"/>
                      <w:marRight w:val="0"/>
                      <w:marTop w:val="0"/>
                      <w:marBottom w:val="0"/>
                      <w:divBdr>
                        <w:top w:val="none" w:sz="0" w:space="0" w:color="auto"/>
                        <w:left w:val="none" w:sz="0" w:space="0" w:color="auto"/>
                        <w:bottom w:val="none" w:sz="0" w:space="0" w:color="auto"/>
                        <w:right w:val="none" w:sz="0" w:space="0" w:color="auto"/>
                      </w:divBdr>
                    </w:div>
                  </w:divsChild>
                </w:div>
                <w:div w:id="1294869629">
                  <w:marLeft w:val="0"/>
                  <w:marRight w:val="0"/>
                  <w:marTop w:val="0"/>
                  <w:marBottom w:val="0"/>
                  <w:divBdr>
                    <w:top w:val="none" w:sz="0" w:space="0" w:color="auto"/>
                    <w:left w:val="none" w:sz="0" w:space="0" w:color="auto"/>
                    <w:bottom w:val="none" w:sz="0" w:space="0" w:color="auto"/>
                    <w:right w:val="none" w:sz="0" w:space="0" w:color="auto"/>
                  </w:divBdr>
                  <w:divsChild>
                    <w:div w:id="1588810313">
                      <w:marLeft w:val="0"/>
                      <w:marRight w:val="0"/>
                      <w:marTop w:val="0"/>
                      <w:marBottom w:val="0"/>
                      <w:divBdr>
                        <w:top w:val="none" w:sz="0" w:space="0" w:color="auto"/>
                        <w:left w:val="none" w:sz="0" w:space="0" w:color="auto"/>
                        <w:bottom w:val="none" w:sz="0" w:space="0" w:color="auto"/>
                        <w:right w:val="none" w:sz="0" w:space="0" w:color="auto"/>
                      </w:divBdr>
                    </w:div>
                  </w:divsChild>
                </w:div>
                <w:div w:id="1297023747">
                  <w:marLeft w:val="0"/>
                  <w:marRight w:val="0"/>
                  <w:marTop w:val="0"/>
                  <w:marBottom w:val="0"/>
                  <w:divBdr>
                    <w:top w:val="none" w:sz="0" w:space="0" w:color="auto"/>
                    <w:left w:val="none" w:sz="0" w:space="0" w:color="auto"/>
                    <w:bottom w:val="none" w:sz="0" w:space="0" w:color="auto"/>
                    <w:right w:val="none" w:sz="0" w:space="0" w:color="auto"/>
                  </w:divBdr>
                  <w:divsChild>
                    <w:div w:id="1451434312">
                      <w:marLeft w:val="0"/>
                      <w:marRight w:val="0"/>
                      <w:marTop w:val="0"/>
                      <w:marBottom w:val="0"/>
                      <w:divBdr>
                        <w:top w:val="none" w:sz="0" w:space="0" w:color="auto"/>
                        <w:left w:val="none" w:sz="0" w:space="0" w:color="auto"/>
                        <w:bottom w:val="none" w:sz="0" w:space="0" w:color="auto"/>
                        <w:right w:val="none" w:sz="0" w:space="0" w:color="auto"/>
                      </w:divBdr>
                    </w:div>
                  </w:divsChild>
                </w:div>
                <w:div w:id="1298802881">
                  <w:marLeft w:val="0"/>
                  <w:marRight w:val="0"/>
                  <w:marTop w:val="0"/>
                  <w:marBottom w:val="0"/>
                  <w:divBdr>
                    <w:top w:val="none" w:sz="0" w:space="0" w:color="auto"/>
                    <w:left w:val="none" w:sz="0" w:space="0" w:color="auto"/>
                    <w:bottom w:val="none" w:sz="0" w:space="0" w:color="auto"/>
                    <w:right w:val="none" w:sz="0" w:space="0" w:color="auto"/>
                  </w:divBdr>
                  <w:divsChild>
                    <w:div w:id="475995587">
                      <w:marLeft w:val="0"/>
                      <w:marRight w:val="0"/>
                      <w:marTop w:val="0"/>
                      <w:marBottom w:val="0"/>
                      <w:divBdr>
                        <w:top w:val="none" w:sz="0" w:space="0" w:color="auto"/>
                        <w:left w:val="none" w:sz="0" w:space="0" w:color="auto"/>
                        <w:bottom w:val="none" w:sz="0" w:space="0" w:color="auto"/>
                        <w:right w:val="none" w:sz="0" w:space="0" w:color="auto"/>
                      </w:divBdr>
                    </w:div>
                  </w:divsChild>
                </w:div>
                <w:div w:id="1303315123">
                  <w:marLeft w:val="0"/>
                  <w:marRight w:val="0"/>
                  <w:marTop w:val="0"/>
                  <w:marBottom w:val="0"/>
                  <w:divBdr>
                    <w:top w:val="none" w:sz="0" w:space="0" w:color="auto"/>
                    <w:left w:val="none" w:sz="0" w:space="0" w:color="auto"/>
                    <w:bottom w:val="none" w:sz="0" w:space="0" w:color="auto"/>
                    <w:right w:val="none" w:sz="0" w:space="0" w:color="auto"/>
                  </w:divBdr>
                  <w:divsChild>
                    <w:div w:id="446628779">
                      <w:marLeft w:val="0"/>
                      <w:marRight w:val="0"/>
                      <w:marTop w:val="0"/>
                      <w:marBottom w:val="0"/>
                      <w:divBdr>
                        <w:top w:val="none" w:sz="0" w:space="0" w:color="auto"/>
                        <w:left w:val="none" w:sz="0" w:space="0" w:color="auto"/>
                        <w:bottom w:val="none" w:sz="0" w:space="0" w:color="auto"/>
                        <w:right w:val="none" w:sz="0" w:space="0" w:color="auto"/>
                      </w:divBdr>
                    </w:div>
                  </w:divsChild>
                </w:div>
                <w:div w:id="1309094253">
                  <w:marLeft w:val="0"/>
                  <w:marRight w:val="0"/>
                  <w:marTop w:val="0"/>
                  <w:marBottom w:val="0"/>
                  <w:divBdr>
                    <w:top w:val="none" w:sz="0" w:space="0" w:color="auto"/>
                    <w:left w:val="none" w:sz="0" w:space="0" w:color="auto"/>
                    <w:bottom w:val="none" w:sz="0" w:space="0" w:color="auto"/>
                    <w:right w:val="none" w:sz="0" w:space="0" w:color="auto"/>
                  </w:divBdr>
                  <w:divsChild>
                    <w:div w:id="751588743">
                      <w:marLeft w:val="0"/>
                      <w:marRight w:val="0"/>
                      <w:marTop w:val="0"/>
                      <w:marBottom w:val="0"/>
                      <w:divBdr>
                        <w:top w:val="none" w:sz="0" w:space="0" w:color="auto"/>
                        <w:left w:val="none" w:sz="0" w:space="0" w:color="auto"/>
                        <w:bottom w:val="none" w:sz="0" w:space="0" w:color="auto"/>
                        <w:right w:val="none" w:sz="0" w:space="0" w:color="auto"/>
                      </w:divBdr>
                    </w:div>
                  </w:divsChild>
                </w:div>
                <w:div w:id="1312520028">
                  <w:marLeft w:val="0"/>
                  <w:marRight w:val="0"/>
                  <w:marTop w:val="0"/>
                  <w:marBottom w:val="0"/>
                  <w:divBdr>
                    <w:top w:val="none" w:sz="0" w:space="0" w:color="auto"/>
                    <w:left w:val="none" w:sz="0" w:space="0" w:color="auto"/>
                    <w:bottom w:val="none" w:sz="0" w:space="0" w:color="auto"/>
                    <w:right w:val="none" w:sz="0" w:space="0" w:color="auto"/>
                  </w:divBdr>
                  <w:divsChild>
                    <w:div w:id="802357370">
                      <w:marLeft w:val="0"/>
                      <w:marRight w:val="0"/>
                      <w:marTop w:val="0"/>
                      <w:marBottom w:val="0"/>
                      <w:divBdr>
                        <w:top w:val="none" w:sz="0" w:space="0" w:color="auto"/>
                        <w:left w:val="none" w:sz="0" w:space="0" w:color="auto"/>
                        <w:bottom w:val="none" w:sz="0" w:space="0" w:color="auto"/>
                        <w:right w:val="none" w:sz="0" w:space="0" w:color="auto"/>
                      </w:divBdr>
                    </w:div>
                  </w:divsChild>
                </w:div>
                <w:div w:id="1317149213">
                  <w:marLeft w:val="0"/>
                  <w:marRight w:val="0"/>
                  <w:marTop w:val="0"/>
                  <w:marBottom w:val="0"/>
                  <w:divBdr>
                    <w:top w:val="none" w:sz="0" w:space="0" w:color="auto"/>
                    <w:left w:val="none" w:sz="0" w:space="0" w:color="auto"/>
                    <w:bottom w:val="none" w:sz="0" w:space="0" w:color="auto"/>
                    <w:right w:val="none" w:sz="0" w:space="0" w:color="auto"/>
                  </w:divBdr>
                  <w:divsChild>
                    <w:div w:id="506138030">
                      <w:marLeft w:val="0"/>
                      <w:marRight w:val="0"/>
                      <w:marTop w:val="0"/>
                      <w:marBottom w:val="0"/>
                      <w:divBdr>
                        <w:top w:val="none" w:sz="0" w:space="0" w:color="auto"/>
                        <w:left w:val="none" w:sz="0" w:space="0" w:color="auto"/>
                        <w:bottom w:val="none" w:sz="0" w:space="0" w:color="auto"/>
                        <w:right w:val="none" w:sz="0" w:space="0" w:color="auto"/>
                      </w:divBdr>
                    </w:div>
                  </w:divsChild>
                </w:div>
                <w:div w:id="1320498851">
                  <w:marLeft w:val="0"/>
                  <w:marRight w:val="0"/>
                  <w:marTop w:val="0"/>
                  <w:marBottom w:val="0"/>
                  <w:divBdr>
                    <w:top w:val="none" w:sz="0" w:space="0" w:color="auto"/>
                    <w:left w:val="none" w:sz="0" w:space="0" w:color="auto"/>
                    <w:bottom w:val="none" w:sz="0" w:space="0" w:color="auto"/>
                    <w:right w:val="none" w:sz="0" w:space="0" w:color="auto"/>
                  </w:divBdr>
                  <w:divsChild>
                    <w:div w:id="246810970">
                      <w:marLeft w:val="0"/>
                      <w:marRight w:val="0"/>
                      <w:marTop w:val="0"/>
                      <w:marBottom w:val="0"/>
                      <w:divBdr>
                        <w:top w:val="none" w:sz="0" w:space="0" w:color="auto"/>
                        <w:left w:val="none" w:sz="0" w:space="0" w:color="auto"/>
                        <w:bottom w:val="none" w:sz="0" w:space="0" w:color="auto"/>
                        <w:right w:val="none" w:sz="0" w:space="0" w:color="auto"/>
                      </w:divBdr>
                    </w:div>
                  </w:divsChild>
                </w:div>
                <w:div w:id="1325694939">
                  <w:marLeft w:val="0"/>
                  <w:marRight w:val="0"/>
                  <w:marTop w:val="0"/>
                  <w:marBottom w:val="0"/>
                  <w:divBdr>
                    <w:top w:val="none" w:sz="0" w:space="0" w:color="auto"/>
                    <w:left w:val="none" w:sz="0" w:space="0" w:color="auto"/>
                    <w:bottom w:val="none" w:sz="0" w:space="0" w:color="auto"/>
                    <w:right w:val="none" w:sz="0" w:space="0" w:color="auto"/>
                  </w:divBdr>
                  <w:divsChild>
                    <w:div w:id="1278441095">
                      <w:marLeft w:val="0"/>
                      <w:marRight w:val="0"/>
                      <w:marTop w:val="0"/>
                      <w:marBottom w:val="0"/>
                      <w:divBdr>
                        <w:top w:val="none" w:sz="0" w:space="0" w:color="auto"/>
                        <w:left w:val="none" w:sz="0" w:space="0" w:color="auto"/>
                        <w:bottom w:val="none" w:sz="0" w:space="0" w:color="auto"/>
                        <w:right w:val="none" w:sz="0" w:space="0" w:color="auto"/>
                      </w:divBdr>
                    </w:div>
                  </w:divsChild>
                </w:div>
                <w:div w:id="1326933082">
                  <w:marLeft w:val="0"/>
                  <w:marRight w:val="0"/>
                  <w:marTop w:val="0"/>
                  <w:marBottom w:val="0"/>
                  <w:divBdr>
                    <w:top w:val="none" w:sz="0" w:space="0" w:color="auto"/>
                    <w:left w:val="none" w:sz="0" w:space="0" w:color="auto"/>
                    <w:bottom w:val="none" w:sz="0" w:space="0" w:color="auto"/>
                    <w:right w:val="none" w:sz="0" w:space="0" w:color="auto"/>
                  </w:divBdr>
                  <w:divsChild>
                    <w:div w:id="1854764593">
                      <w:marLeft w:val="0"/>
                      <w:marRight w:val="0"/>
                      <w:marTop w:val="0"/>
                      <w:marBottom w:val="0"/>
                      <w:divBdr>
                        <w:top w:val="none" w:sz="0" w:space="0" w:color="auto"/>
                        <w:left w:val="none" w:sz="0" w:space="0" w:color="auto"/>
                        <w:bottom w:val="none" w:sz="0" w:space="0" w:color="auto"/>
                        <w:right w:val="none" w:sz="0" w:space="0" w:color="auto"/>
                      </w:divBdr>
                    </w:div>
                  </w:divsChild>
                </w:div>
                <w:div w:id="1330211230">
                  <w:marLeft w:val="0"/>
                  <w:marRight w:val="0"/>
                  <w:marTop w:val="0"/>
                  <w:marBottom w:val="0"/>
                  <w:divBdr>
                    <w:top w:val="none" w:sz="0" w:space="0" w:color="auto"/>
                    <w:left w:val="none" w:sz="0" w:space="0" w:color="auto"/>
                    <w:bottom w:val="none" w:sz="0" w:space="0" w:color="auto"/>
                    <w:right w:val="none" w:sz="0" w:space="0" w:color="auto"/>
                  </w:divBdr>
                  <w:divsChild>
                    <w:div w:id="778643541">
                      <w:marLeft w:val="0"/>
                      <w:marRight w:val="0"/>
                      <w:marTop w:val="0"/>
                      <w:marBottom w:val="0"/>
                      <w:divBdr>
                        <w:top w:val="none" w:sz="0" w:space="0" w:color="auto"/>
                        <w:left w:val="none" w:sz="0" w:space="0" w:color="auto"/>
                        <w:bottom w:val="none" w:sz="0" w:space="0" w:color="auto"/>
                        <w:right w:val="none" w:sz="0" w:space="0" w:color="auto"/>
                      </w:divBdr>
                    </w:div>
                  </w:divsChild>
                </w:div>
                <w:div w:id="1347058839">
                  <w:marLeft w:val="0"/>
                  <w:marRight w:val="0"/>
                  <w:marTop w:val="0"/>
                  <w:marBottom w:val="0"/>
                  <w:divBdr>
                    <w:top w:val="none" w:sz="0" w:space="0" w:color="auto"/>
                    <w:left w:val="none" w:sz="0" w:space="0" w:color="auto"/>
                    <w:bottom w:val="none" w:sz="0" w:space="0" w:color="auto"/>
                    <w:right w:val="none" w:sz="0" w:space="0" w:color="auto"/>
                  </w:divBdr>
                  <w:divsChild>
                    <w:div w:id="702093336">
                      <w:marLeft w:val="0"/>
                      <w:marRight w:val="0"/>
                      <w:marTop w:val="0"/>
                      <w:marBottom w:val="0"/>
                      <w:divBdr>
                        <w:top w:val="none" w:sz="0" w:space="0" w:color="auto"/>
                        <w:left w:val="none" w:sz="0" w:space="0" w:color="auto"/>
                        <w:bottom w:val="none" w:sz="0" w:space="0" w:color="auto"/>
                        <w:right w:val="none" w:sz="0" w:space="0" w:color="auto"/>
                      </w:divBdr>
                    </w:div>
                  </w:divsChild>
                </w:div>
                <w:div w:id="1347369289">
                  <w:marLeft w:val="0"/>
                  <w:marRight w:val="0"/>
                  <w:marTop w:val="0"/>
                  <w:marBottom w:val="0"/>
                  <w:divBdr>
                    <w:top w:val="none" w:sz="0" w:space="0" w:color="auto"/>
                    <w:left w:val="none" w:sz="0" w:space="0" w:color="auto"/>
                    <w:bottom w:val="none" w:sz="0" w:space="0" w:color="auto"/>
                    <w:right w:val="none" w:sz="0" w:space="0" w:color="auto"/>
                  </w:divBdr>
                  <w:divsChild>
                    <w:div w:id="2092192736">
                      <w:marLeft w:val="0"/>
                      <w:marRight w:val="0"/>
                      <w:marTop w:val="0"/>
                      <w:marBottom w:val="0"/>
                      <w:divBdr>
                        <w:top w:val="none" w:sz="0" w:space="0" w:color="auto"/>
                        <w:left w:val="none" w:sz="0" w:space="0" w:color="auto"/>
                        <w:bottom w:val="none" w:sz="0" w:space="0" w:color="auto"/>
                        <w:right w:val="none" w:sz="0" w:space="0" w:color="auto"/>
                      </w:divBdr>
                    </w:div>
                  </w:divsChild>
                </w:div>
                <w:div w:id="1349411741">
                  <w:marLeft w:val="0"/>
                  <w:marRight w:val="0"/>
                  <w:marTop w:val="0"/>
                  <w:marBottom w:val="0"/>
                  <w:divBdr>
                    <w:top w:val="none" w:sz="0" w:space="0" w:color="auto"/>
                    <w:left w:val="none" w:sz="0" w:space="0" w:color="auto"/>
                    <w:bottom w:val="none" w:sz="0" w:space="0" w:color="auto"/>
                    <w:right w:val="none" w:sz="0" w:space="0" w:color="auto"/>
                  </w:divBdr>
                  <w:divsChild>
                    <w:div w:id="680930653">
                      <w:marLeft w:val="0"/>
                      <w:marRight w:val="0"/>
                      <w:marTop w:val="0"/>
                      <w:marBottom w:val="0"/>
                      <w:divBdr>
                        <w:top w:val="none" w:sz="0" w:space="0" w:color="auto"/>
                        <w:left w:val="none" w:sz="0" w:space="0" w:color="auto"/>
                        <w:bottom w:val="none" w:sz="0" w:space="0" w:color="auto"/>
                        <w:right w:val="none" w:sz="0" w:space="0" w:color="auto"/>
                      </w:divBdr>
                    </w:div>
                  </w:divsChild>
                </w:div>
                <w:div w:id="1357660766">
                  <w:marLeft w:val="0"/>
                  <w:marRight w:val="0"/>
                  <w:marTop w:val="0"/>
                  <w:marBottom w:val="0"/>
                  <w:divBdr>
                    <w:top w:val="none" w:sz="0" w:space="0" w:color="auto"/>
                    <w:left w:val="none" w:sz="0" w:space="0" w:color="auto"/>
                    <w:bottom w:val="none" w:sz="0" w:space="0" w:color="auto"/>
                    <w:right w:val="none" w:sz="0" w:space="0" w:color="auto"/>
                  </w:divBdr>
                  <w:divsChild>
                    <w:div w:id="1290864723">
                      <w:marLeft w:val="0"/>
                      <w:marRight w:val="0"/>
                      <w:marTop w:val="0"/>
                      <w:marBottom w:val="0"/>
                      <w:divBdr>
                        <w:top w:val="none" w:sz="0" w:space="0" w:color="auto"/>
                        <w:left w:val="none" w:sz="0" w:space="0" w:color="auto"/>
                        <w:bottom w:val="none" w:sz="0" w:space="0" w:color="auto"/>
                        <w:right w:val="none" w:sz="0" w:space="0" w:color="auto"/>
                      </w:divBdr>
                    </w:div>
                  </w:divsChild>
                </w:div>
                <w:div w:id="1370451933">
                  <w:marLeft w:val="0"/>
                  <w:marRight w:val="0"/>
                  <w:marTop w:val="0"/>
                  <w:marBottom w:val="0"/>
                  <w:divBdr>
                    <w:top w:val="none" w:sz="0" w:space="0" w:color="auto"/>
                    <w:left w:val="none" w:sz="0" w:space="0" w:color="auto"/>
                    <w:bottom w:val="none" w:sz="0" w:space="0" w:color="auto"/>
                    <w:right w:val="none" w:sz="0" w:space="0" w:color="auto"/>
                  </w:divBdr>
                  <w:divsChild>
                    <w:div w:id="1820225933">
                      <w:marLeft w:val="0"/>
                      <w:marRight w:val="0"/>
                      <w:marTop w:val="0"/>
                      <w:marBottom w:val="0"/>
                      <w:divBdr>
                        <w:top w:val="none" w:sz="0" w:space="0" w:color="auto"/>
                        <w:left w:val="none" w:sz="0" w:space="0" w:color="auto"/>
                        <w:bottom w:val="none" w:sz="0" w:space="0" w:color="auto"/>
                        <w:right w:val="none" w:sz="0" w:space="0" w:color="auto"/>
                      </w:divBdr>
                    </w:div>
                  </w:divsChild>
                </w:div>
                <w:div w:id="1375349305">
                  <w:marLeft w:val="0"/>
                  <w:marRight w:val="0"/>
                  <w:marTop w:val="0"/>
                  <w:marBottom w:val="0"/>
                  <w:divBdr>
                    <w:top w:val="none" w:sz="0" w:space="0" w:color="auto"/>
                    <w:left w:val="none" w:sz="0" w:space="0" w:color="auto"/>
                    <w:bottom w:val="none" w:sz="0" w:space="0" w:color="auto"/>
                    <w:right w:val="none" w:sz="0" w:space="0" w:color="auto"/>
                  </w:divBdr>
                  <w:divsChild>
                    <w:div w:id="971054815">
                      <w:marLeft w:val="0"/>
                      <w:marRight w:val="0"/>
                      <w:marTop w:val="0"/>
                      <w:marBottom w:val="0"/>
                      <w:divBdr>
                        <w:top w:val="none" w:sz="0" w:space="0" w:color="auto"/>
                        <w:left w:val="none" w:sz="0" w:space="0" w:color="auto"/>
                        <w:bottom w:val="none" w:sz="0" w:space="0" w:color="auto"/>
                        <w:right w:val="none" w:sz="0" w:space="0" w:color="auto"/>
                      </w:divBdr>
                    </w:div>
                  </w:divsChild>
                </w:div>
                <w:div w:id="1378891150">
                  <w:marLeft w:val="0"/>
                  <w:marRight w:val="0"/>
                  <w:marTop w:val="0"/>
                  <w:marBottom w:val="0"/>
                  <w:divBdr>
                    <w:top w:val="none" w:sz="0" w:space="0" w:color="auto"/>
                    <w:left w:val="none" w:sz="0" w:space="0" w:color="auto"/>
                    <w:bottom w:val="none" w:sz="0" w:space="0" w:color="auto"/>
                    <w:right w:val="none" w:sz="0" w:space="0" w:color="auto"/>
                  </w:divBdr>
                  <w:divsChild>
                    <w:div w:id="349839434">
                      <w:marLeft w:val="0"/>
                      <w:marRight w:val="0"/>
                      <w:marTop w:val="0"/>
                      <w:marBottom w:val="0"/>
                      <w:divBdr>
                        <w:top w:val="none" w:sz="0" w:space="0" w:color="auto"/>
                        <w:left w:val="none" w:sz="0" w:space="0" w:color="auto"/>
                        <w:bottom w:val="none" w:sz="0" w:space="0" w:color="auto"/>
                        <w:right w:val="none" w:sz="0" w:space="0" w:color="auto"/>
                      </w:divBdr>
                    </w:div>
                  </w:divsChild>
                </w:div>
                <w:div w:id="1379934970">
                  <w:marLeft w:val="0"/>
                  <w:marRight w:val="0"/>
                  <w:marTop w:val="0"/>
                  <w:marBottom w:val="0"/>
                  <w:divBdr>
                    <w:top w:val="none" w:sz="0" w:space="0" w:color="auto"/>
                    <w:left w:val="none" w:sz="0" w:space="0" w:color="auto"/>
                    <w:bottom w:val="none" w:sz="0" w:space="0" w:color="auto"/>
                    <w:right w:val="none" w:sz="0" w:space="0" w:color="auto"/>
                  </w:divBdr>
                  <w:divsChild>
                    <w:div w:id="233518119">
                      <w:marLeft w:val="0"/>
                      <w:marRight w:val="0"/>
                      <w:marTop w:val="0"/>
                      <w:marBottom w:val="0"/>
                      <w:divBdr>
                        <w:top w:val="none" w:sz="0" w:space="0" w:color="auto"/>
                        <w:left w:val="none" w:sz="0" w:space="0" w:color="auto"/>
                        <w:bottom w:val="none" w:sz="0" w:space="0" w:color="auto"/>
                        <w:right w:val="none" w:sz="0" w:space="0" w:color="auto"/>
                      </w:divBdr>
                    </w:div>
                  </w:divsChild>
                </w:div>
                <w:div w:id="1380668365">
                  <w:marLeft w:val="0"/>
                  <w:marRight w:val="0"/>
                  <w:marTop w:val="0"/>
                  <w:marBottom w:val="0"/>
                  <w:divBdr>
                    <w:top w:val="none" w:sz="0" w:space="0" w:color="auto"/>
                    <w:left w:val="none" w:sz="0" w:space="0" w:color="auto"/>
                    <w:bottom w:val="none" w:sz="0" w:space="0" w:color="auto"/>
                    <w:right w:val="none" w:sz="0" w:space="0" w:color="auto"/>
                  </w:divBdr>
                  <w:divsChild>
                    <w:div w:id="135683995">
                      <w:marLeft w:val="0"/>
                      <w:marRight w:val="0"/>
                      <w:marTop w:val="0"/>
                      <w:marBottom w:val="0"/>
                      <w:divBdr>
                        <w:top w:val="none" w:sz="0" w:space="0" w:color="auto"/>
                        <w:left w:val="none" w:sz="0" w:space="0" w:color="auto"/>
                        <w:bottom w:val="none" w:sz="0" w:space="0" w:color="auto"/>
                        <w:right w:val="none" w:sz="0" w:space="0" w:color="auto"/>
                      </w:divBdr>
                    </w:div>
                  </w:divsChild>
                </w:div>
                <w:div w:id="1380782367">
                  <w:marLeft w:val="0"/>
                  <w:marRight w:val="0"/>
                  <w:marTop w:val="0"/>
                  <w:marBottom w:val="0"/>
                  <w:divBdr>
                    <w:top w:val="none" w:sz="0" w:space="0" w:color="auto"/>
                    <w:left w:val="none" w:sz="0" w:space="0" w:color="auto"/>
                    <w:bottom w:val="none" w:sz="0" w:space="0" w:color="auto"/>
                    <w:right w:val="none" w:sz="0" w:space="0" w:color="auto"/>
                  </w:divBdr>
                  <w:divsChild>
                    <w:div w:id="1028334790">
                      <w:marLeft w:val="0"/>
                      <w:marRight w:val="0"/>
                      <w:marTop w:val="0"/>
                      <w:marBottom w:val="0"/>
                      <w:divBdr>
                        <w:top w:val="none" w:sz="0" w:space="0" w:color="auto"/>
                        <w:left w:val="none" w:sz="0" w:space="0" w:color="auto"/>
                        <w:bottom w:val="none" w:sz="0" w:space="0" w:color="auto"/>
                        <w:right w:val="none" w:sz="0" w:space="0" w:color="auto"/>
                      </w:divBdr>
                    </w:div>
                  </w:divsChild>
                </w:div>
                <w:div w:id="1387992670">
                  <w:marLeft w:val="0"/>
                  <w:marRight w:val="0"/>
                  <w:marTop w:val="0"/>
                  <w:marBottom w:val="0"/>
                  <w:divBdr>
                    <w:top w:val="none" w:sz="0" w:space="0" w:color="auto"/>
                    <w:left w:val="none" w:sz="0" w:space="0" w:color="auto"/>
                    <w:bottom w:val="none" w:sz="0" w:space="0" w:color="auto"/>
                    <w:right w:val="none" w:sz="0" w:space="0" w:color="auto"/>
                  </w:divBdr>
                  <w:divsChild>
                    <w:div w:id="445080432">
                      <w:marLeft w:val="0"/>
                      <w:marRight w:val="0"/>
                      <w:marTop w:val="0"/>
                      <w:marBottom w:val="0"/>
                      <w:divBdr>
                        <w:top w:val="none" w:sz="0" w:space="0" w:color="auto"/>
                        <w:left w:val="none" w:sz="0" w:space="0" w:color="auto"/>
                        <w:bottom w:val="none" w:sz="0" w:space="0" w:color="auto"/>
                        <w:right w:val="none" w:sz="0" w:space="0" w:color="auto"/>
                      </w:divBdr>
                    </w:div>
                  </w:divsChild>
                </w:div>
                <w:div w:id="1403218523">
                  <w:marLeft w:val="0"/>
                  <w:marRight w:val="0"/>
                  <w:marTop w:val="0"/>
                  <w:marBottom w:val="0"/>
                  <w:divBdr>
                    <w:top w:val="none" w:sz="0" w:space="0" w:color="auto"/>
                    <w:left w:val="none" w:sz="0" w:space="0" w:color="auto"/>
                    <w:bottom w:val="none" w:sz="0" w:space="0" w:color="auto"/>
                    <w:right w:val="none" w:sz="0" w:space="0" w:color="auto"/>
                  </w:divBdr>
                  <w:divsChild>
                    <w:div w:id="1054423963">
                      <w:marLeft w:val="0"/>
                      <w:marRight w:val="0"/>
                      <w:marTop w:val="0"/>
                      <w:marBottom w:val="0"/>
                      <w:divBdr>
                        <w:top w:val="none" w:sz="0" w:space="0" w:color="auto"/>
                        <w:left w:val="none" w:sz="0" w:space="0" w:color="auto"/>
                        <w:bottom w:val="none" w:sz="0" w:space="0" w:color="auto"/>
                        <w:right w:val="none" w:sz="0" w:space="0" w:color="auto"/>
                      </w:divBdr>
                    </w:div>
                  </w:divsChild>
                </w:div>
                <w:div w:id="1403481578">
                  <w:marLeft w:val="0"/>
                  <w:marRight w:val="0"/>
                  <w:marTop w:val="0"/>
                  <w:marBottom w:val="0"/>
                  <w:divBdr>
                    <w:top w:val="none" w:sz="0" w:space="0" w:color="auto"/>
                    <w:left w:val="none" w:sz="0" w:space="0" w:color="auto"/>
                    <w:bottom w:val="none" w:sz="0" w:space="0" w:color="auto"/>
                    <w:right w:val="none" w:sz="0" w:space="0" w:color="auto"/>
                  </w:divBdr>
                  <w:divsChild>
                    <w:div w:id="370737755">
                      <w:marLeft w:val="0"/>
                      <w:marRight w:val="0"/>
                      <w:marTop w:val="0"/>
                      <w:marBottom w:val="0"/>
                      <w:divBdr>
                        <w:top w:val="none" w:sz="0" w:space="0" w:color="auto"/>
                        <w:left w:val="none" w:sz="0" w:space="0" w:color="auto"/>
                        <w:bottom w:val="none" w:sz="0" w:space="0" w:color="auto"/>
                        <w:right w:val="none" w:sz="0" w:space="0" w:color="auto"/>
                      </w:divBdr>
                    </w:div>
                  </w:divsChild>
                </w:div>
                <w:div w:id="1406339727">
                  <w:marLeft w:val="0"/>
                  <w:marRight w:val="0"/>
                  <w:marTop w:val="0"/>
                  <w:marBottom w:val="0"/>
                  <w:divBdr>
                    <w:top w:val="none" w:sz="0" w:space="0" w:color="auto"/>
                    <w:left w:val="none" w:sz="0" w:space="0" w:color="auto"/>
                    <w:bottom w:val="none" w:sz="0" w:space="0" w:color="auto"/>
                    <w:right w:val="none" w:sz="0" w:space="0" w:color="auto"/>
                  </w:divBdr>
                  <w:divsChild>
                    <w:div w:id="887883902">
                      <w:marLeft w:val="0"/>
                      <w:marRight w:val="0"/>
                      <w:marTop w:val="0"/>
                      <w:marBottom w:val="0"/>
                      <w:divBdr>
                        <w:top w:val="none" w:sz="0" w:space="0" w:color="auto"/>
                        <w:left w:val="none" w:sz="0" w:space="0" w:color="auto"/>
                        <w:bottom w:val="none" w:sz="0" w:space="0" w:color="auto"/>
                        <w:right w:val="none" w:sz="0" w:space="0" w:color="auto"/>
                      </w:divBdr>
                    </w:div>
                  </w:divsChild>
                </w:div>
                <w:div w:id="1406995794">
                  <w:marLeft w:val="0"/>
                  <w:marRight w:val="0"/>
                  <w:marTop w:val="0"/>
                  <w:marBottom w:val="0"/>
                  <w:divBdr>
                    <w:top w:val="none" w:sz="0" w:space="0" w:color="auto"/>
                    <w:left w:val="none" w:sz="0" w:space="0" w:color="auto"/>
                    <w:bottom w:val="none" w:sz="0" w:space="0" w:color="auto"/>
                    <w:right w:val="none" w:sz="0" w:space="0" w:color="auto"/>
                  </w:divBdr>
                  <w:divsChild>
                    <w:div w:id="1139541265">
                      <w:marLeft w:val="0"/>
                      <w:marRight w:val="0"/>
                      <w:marTop w:val="0"/>
                      <w:marBottom w:val="0"/>
                      <w:divBdr>
                        <w:top w:val="none" w:sz="0" w:space="0" w:color="auto"/>
                        <w:left w:val="none" w:sz="0" w:space="0" w:color="auto"/>
                        <w:bottom w:val="none" w:sz="0" w:space="0" w:color="auto"/>
                        <w:right w:val="none" w:sz="0" w:space="0" w:color="auto"/>
                      </w:divBdr>
                    </w:div>
                  </w:divsChild>
                </w:div>
                <w:div w:id="1407267495">
                  <w:marLeft w:val="0"/>
                  <w:marRight w:val="0"/>
                  <w:marTop w:val="0"/>
                  <w:marBottom w:val="0"/>
                  <w:divBdr>
                    <w:top w:val="none" w:sz="0" w:space="0" w:color="auto"/>
                    <w:left w:val="none" w:sz="0" w:space="0" w:color="auto"/>
                    <w:bottom w:val="none" w:sz="0" w:space="0" w:color="auto"/>
                    <w:right w:val="none" w:sz="0" w:space="0" w:color="auto"/>
                  </w:divBdr>
                  <w:divsChild>
                    <w:div w:id="2088070747">
                      <w:marLeft w:val="0"/>
                      <w:marRight w:val="0"/>
                      <w:marTop w:val="0"/>
                      <w:marBottom w:val="0"/>
                      <w:divBdr>
                        <w:top w:val="none" w:sz="0" w:space="0" w:color="auto"/>
                        <w:left w:val="none" w:sz="0" w:space="0" w:color="auto"/>
                        <w:bottom w:val="none" w:sz="0" w:space="0" w:color="auto"/>
                        <w:right w:val="none" w:sz="0" w:space="0" w:color="auto"/>
                      </w:divBdr>
                    </w:div>
                  </w:divsChild>
                </w:div>
                <w:div w:id="1407729788">
                  <w:marLeft w:val="0"/>
                  <w:marRight w:val="0"/>
                  <w:marTop w:val="0"/>
                  <w:marBottom w:val="0"/>
                  <w:divBdr>
                    <w:top w:val="none" w:sz="0" w:space="0" w:color="auto"/>
                    <w:left w:val="none" w:sz="0" w:space="0" w:color="auto"/>
                    <w:bottom w:val="none" w:sz="0" w:space="0" w:color="auto"/>
                    <w:right w:val="none" w:sz="0" w:space="0" w:color="auto"/>
                  </w:divBdr>
                  <w:divsChild>
                    <w:div w:id="27685478">
                      <w:marLeft w:val="0"/>
                      <w:marRight w:val="0"/>
                      <w:marTop w:val="0"/>
                      <w:marBottom w:val="0"/>
                      <w:divBdr>
                        <w:top w:val="none" w:sz="0" w:space="0" w:color="auto"/>
                        <w:left w:val="none" w:sz="0" w:space="0" w:color="auto"/>
                        <w:bottom w:val="none" w:sz="0" w:space="0" w:color="auto"/>
                        <w:right w:val="none" w:sz="0" w:space="0" w:color="auto"/>
                      </w:divBdr>
                    </w:div>
                  </w:divsChild>
                </w:div>
                <w:div w:id="1416854982">
                  <w:marLeft w:val="0"/>
                  <w:marRight w:val="0"/>
                  <w:marTop w:val="0"/>
                  <w:marBottom w:val="0"/>
                  <w:divBdr>
                    <w:top w:val="none" w:sz="0" w:space="0" w:color="auto"/>
                    <w:left w:val="none" w:sz="0" w:space="0" w:color="auto"/>
                    <w:bottom w:val="none" w:sz="0" w:space="0" w:color="auto"/>
                    <w:right w:val="none" w:sz="0" w:space="0" w:color="auto"/>
                  </w:divBdr>
                  <w:divsChild>
                    <w:div w:id="1662351487">
                      <w:marLeft w:val="0"/>
                      <w:marRight w:val="0"/>
                      <w:marTop w:val="0"/>
                      <w:marBottom w:val="0"/>
                      <w:divBdr>
                        <w:top w:val="none" w:sz="0" w:space="0" w:color="auto"/>
                        <w:left w:val="none" w:sz="0" w:space="0" w:color="auto"/>
                        <w:bottom w:val="none" w:sz="0" w:space="0" w:color="auto"/>
                        <w:right w:val="none" w:sz="0" w:space="0" w:color="auto"/>
                      </w:divBdr>
                    </w:div>
                  </w:divsChild>
                </w:div>
                <w:div w:id="1427271034">
                  <w:marLeft w:val="0"/>
                  <w:marRight w:val="0"/>
                  <w:marTop w:val="0"/>
                  <w:marBottom w:val="0"/>
                  <w:divBdr>
                    <w:top w:val="none" w:sz="0" w:space="0" w:color="auto"/>
                    <w:left w:val="none" w:sz="0" w:space="0" w:color="auto"/>
                    <w:bottom w:val="none" w:sz="0" w:space="0" w:color="auto"/>
                    <w:right w:val="none" w:sz="0" w:space="0" w:color="auto"/>
                  </w:divBdr>
                  <w:divsChild>
                    <w:div w:id="836992164">
                      <w:marLeft w:val="0"/>
                      <w:marRight w:val="0"/>
                      <w:marTop w:val="0"/>
                      <w:marBottom w:val="0"/>
                      <w:divBdr>
                        <w:top w:val="none" w:sz="0" w:space="0" w:color="auto"/>
                        <w:left w:val="none" w:sz="0" w:space="0" w:color="auto"/>
                        <w:bottom w:val="none" w:sz="0" w:space="0" w:color="auto"/>
                        <w:right w:val="none" w:sz="0" w:space="0" w:color="auto"/>
                      </w:divBdr>
                    </w:div>
                  </w:divsChild>
                </w:div>
                <w:div w:id="1437022164">
                  <w:marLeft w:val="0"/>
                  <w:marRight w:val="0"/>
                  <w:marTop w:val="0"/>
                  <w:marBottom w:val="0"/>
                  <w:divBdr>
                    <w:top w:val="none" w:sz="0" w:space="0" w:color="auto"/>
                    <w:left w:val="none" w:sz="0" w:space="0" w:color="auto"/>
                    <w:bottom w:val="none" w:sz="0" w:space="0" w:color="auto"/>
                    <w:right w:val="none" w:sz="0" w:space="0" w:color="auto"/>
                  </w:divBdr>
                  <w:divsChild>
                    <w:div w:id="801001023">
                      <w:marLeft w:val="0"/>
                      <w:marRight w:val="0"/>
                      <w:marTop w:val="0"/>
                      <w:marBottom w:val="0"/>
                      <w:divBdr>
                        <w:top w:val="none" w:sz="0" w:space="0" w:color="auto"/>
                        <w:left w:val="none" w:sz="0" w:space="0" w:color="auto"/>
                        <w:bottom w:val="none" w:sz="0" w:space="0" w:color="auto"/>
                        <w:right w:val="none" w:sz="0" w:space="0" w:color="auto"/>
                      </w:divBdr>
                    </w:div>
                  </w:divsChild>
                </w:div>
                <w:div w:id="1438520728">
                  <w:marLeft w:val="0"/>
                  <w:marRight w:val="0"/>
                  <w:marTop w:val="0"/>
                  <w:marBottom w:val="0"/>
                  <w:divBdr>
                    <w:top w:val="none" w:sz="0" w:space="0" w:color="auto"/>
                    <w:left w:val="none" w:sz="0" w:space="0" w:color="auto"/>
                    <w:bottom w:val="none" w:sz="0" w:space="0" w:color="auto"/>
                    <w:right w:val="none" w:sz="0" w:space="0" w:color="auto"/>
                  </w:divBdr>
                  <w:divsChild>
                    <w:div w:id="2033609534">
                      <w:marLeft w:val="0"/>
                      <w:marRight w:val="0"/>
                      <w:marTop w:val="0"/>
                      <w:marBottom w:val="0"/>
                      <w:divBdr>
                        <w:top w:val="none" w:sz="0" w:space="0" w:color="auto"/>
                        <w:left w:val="none" w:sz="0" w:space="0" w:color="auto"/>
                        <w:bottom w:val="none" w:sz="0" w:space="0" w:color="auto"/>
                        <w:right w:val="none" w:sz="0" w:space="0" w:color="auto"/>
                      </w:divBdr>
                    </w:div>
                  </w:divsChild>
                </w:div>
                <w:div w:id="1442457757">
                  <w:marLeft w:val="0"/>
                  <w:marRight w:val="0"/>
                  <w:marTop w:val="0"/>
                  <w:marBottom w:val="0"/>
                  <w:divBdr>
                    <w:top w:val="none" w:sz="0" w:space="0" w:color="auto"/>
                    <w:left w:val="none" w:sz="0" w:space="0" w:color="auto"/>
                    <w:bottom w:val="none" w:sz="0" w:space="0" w:color="auto"/>
                    <w:right w:val="none" w:sz="0" w:space="0" w:color="auto"/>
                  </w:divBdr>
                  <w:divsChild>
                    <w:div w:id="292752447">
                      <w:marLeft w:val="0"/>
                      <w:marRight w:val="0"/>
                      <w:marTop w:val="0"/>
                      <w:marBottom w:val="0"/>
                      <w:divBdr>
                        <w:top w:val="none" w:sz="0" w:space="0" w:color="auto"/>
                        <w:left w:val="none" w:sz="0" w:space="0" w:color="auto"/>
                        <w:bottom w:val="none" w:sz="0" w:space="0" w:color="auto"/>
                        <w:right w:val="none" w:sz="0" w:space="0" w:color="auto"/>
                      </w:divBdr>
                    </w:div>
                  </w:divsChild>
                </w:div>
                <w:div w:id="1458065841">
                  <w:marLeft w:val="0"/>
                  <w:marRight w:val="0"/>
                  <w:marTop w:val="0"/>
                  <w:marBottom w:val="0"/>
                  <w:divBdr>
                    <w:top w:val="none" w:sz="0" w:space="0" w:color="auto"/>
                    <w:left w:val="none" w:sz="0" w:space="0" w:color="auto"/>
                    <w:bottom w:val="none" w:sz="0" w:space="0" w:color="auto"/>
                    <w:right w:val="none" w:sz="0" w:space="0" w:color="auto"/>
                  </w:divBdr>
                  <w:divsChild>
                    <w:div w:id="1516187193">
                      <w:marLeft w:val="0"/>
                      <w:marRight w:val="0"/>
                      <w:marTop w:val="0"/>
                      <w:marBottom w:val="0"/>
                      <w:divBdr>
                        <w:top w:val="none" w:sz="0" w:space="0" w:color="auto"/>
                        <w:left w:val="none" w:sz="0" w:space="0" w:color="auto"/>
                        <w:bottom w:val="none" w:sz="0" w:space="0" w:color="auto"/>
                        <w:right w:val="none" w:sz="0" w:space="0" w:color="auto"/>
                      </w:divBdr>
                    </w:div>
                  </w:divsChild>
                </w:div>
                <w:div w:id="1458182947">
                  <w:marLeft w:val="0"/>
                  <w:marRight w:val="0"/>
                  <w:marTop w:val="0"/>
                  <w:marBottom w:val="0"/>
                  <w:divBdr>
                    <w:top w:val="none" w:sz="0" w:space="0" w:color="auto"/>
                    <w:left w:val="none" w:sz="0" w:space="0" w:color="auto"/>
                    <w:bottom w:val="none" w:sz="0" w:space="0" w:color="auto"/>
                    <w:right w:val="none" w:sz="0" w:space="0" w:color="auto"/>
                  </w:divBdr>
                  <w:divsChild>
                    <w:div w:id="552697527">
                      <w:marLeft w:val="0"/>
                      <w:marRight w:val="0"/>
                      <w:marTop w:val="0"/>
                      <w:marBottom w:val="0"/>
                      <w:divBdr>
                        <w:top w:val="none" w:sz="0" w:space="0" w:color="auto"/>
                        <w:left w:val="none" w:sz="0" w:space="0" w:color="auto"/>
                        <w:bottom w:val="none" w:sz="0" w:space="0" w:color="auto"/>
                        <w:right w:val="none" w:sz="0" w:space="0" w:color="auto"/>
                      </w:divBdr>
                    </w:div>
                  </w:divsChild>
                </w:div>
                <w:div w:id="1462459883">
                  <w:marLeft w:val="0"/>
                  <w:marRight w:val="0"/>
                  <w:marTop w:val="0"/>
                  <w:marBottom w:val="0"/>
                  <w:divBdr>
                    <w:top w:val="none" w:sz="0" w:space="0" w:color="auto"/>
                    <w:left w:val="none" w:sz="0" w:space="0" w:color="auto"/>
                    <w:bottom w:val="none" w:sz="0" w:space="0" w:color="auto"/>
                    <w:right w:val="none" w:sz="0" w:space="0" w:color="auto"/>
                  </w:divBdr>
                  <w:divsChild>
                    <w:div w:id="288707325">
                      <w:marLeft w:val="0"/>
                      <w:marRight w:val="0"/>
                      <w:marTop w:val="0"/>
                      <w:marBottom w:val="0"/>
                      <w:divBdr>
                        <w:top w:val="none" w:sz="0" w:space="0" w:color="auto"/>
                        <w:left w:val="none" w:sz="0" w:space="0" w:color="auto"/>
                        <w:bottom w:val="none" w:sz="0" w:space="0" w:color="auto"/>
                        <w:right w:val="none" w:sz="0" w:space="0" w:color="auto"/>
                      </w:divBdr>
                    </w:div>
                  </w:divsChild>
                </w:div>
                <w:div w:id="1476753089">
                  <w:marLeft w:val="0"/>
                  <w:marRight w:val="0"/>
                  <w:marTop w:val="0"/>
                  <w:marBottom w:val="0"/>
                  <w:divBdr>
                    <w:top w:val="none" w:sz="0" w:space="0" w:color="auto"/>
                    <w:left w:val="none" w:sz="0" w:space="0" w:color="auto"/>
                    <w:bottom w:val="none" w:sz="0" w:space="0" w:color="auto"/>
                    <w:right w:val="none" w:sz="0" w:space="0" w:color="auto"/>
                  </w:divBdr>
                  <w:divsChild>
                    <w:div w:id="1029179825">
                      <w:marLeft w:val="0"/>
                      <w:marRight w:val="0"/>
                      <w:marTop w:val="0"/>
                      <w:marBottom w:val="0"/>
                      <w:divBdr>
                        <w:top w:val="none" w:sz="0" w:space="0" w:color="auto"/>
                        <w:left w:val="none" w:sz="0" w:space="0" w:color="auto"/>
                        <w:bottom w:val="none" w:sz="0" w:space="0" w:color="auto"/>
                        <w:right w:val="none" w:sz="0" w:space="0" w:color="auto"/>
                      </w:divBdr>
                    </w:div>
                  </w:divsChild>
                </w:div>
                <w:div w:id="1478305991">
                  <w:marLeft w:val="0"/>
                  <w:marRight w:val="0"/>
                  <w:marTop w:val="0"/>
                  <w:marBottom w:val="0"/>
                  <w:divBdr>
                    <w:top w:val="none" w:sz="0" w:space="0" w:color="auto"/>
                    <w:left w:val="none" w:sz="0" w:space="0" w:color="auto"/>
                    <w:bottom w:val="none" w:sz="0" w:space="0" w:color="auto"/>
                    <w:right w:val="none" w:sz="0" w:space="0" w:color="auto"/>
                  </w:divBdr>
                  <w:divsChild>
                    <w:div w:id="1242367839">
                      <w:marLeft w:val="0"/>
                      <w:marRight w:val="0"/>
                      <w:marTop w:val="0"/>
                      <w:marBottom w:val="0"/>
                      <w:divBdr>
                        <w:top w:val="none" w:sz="0" w:space="0" w:color="auto"/>
                        <w:left w:val="none" w:sz="0" w:space="0" w:color="auto"/>
                        <w:bottom w:val="none" w:sz="0" w:space="0" w:color="auto"/>
                        <w:right w:val="none" w:sz="0" w:space="0" w:color="auto"/>
                      </w:divBdr>
                    </w:div>
                  </w:divsChild>
                </w:div>
                <w:div w:id="1483035908">
                  <w:marLeft w:val="0"/>
                  <w:marRight w:val="0"/>
                  <w:marTop w:val="0"/>
                  <w:marBottom w:val="0"/>
                  <w:divBdr>
                    <w:top w:val="none" w:sz="0" w:space="0" w:color="auto"/>
                    <w:left w:val="none" w:sz="0" w:space="0" w:color="auto"/>
                    <w:bottom w:val="none" w:sz="0" w:space="0" w:color="auto"/>
                    <w:right w:val="none" w:sz="0" w:space="0" w:color="auto"/>
                  </w:divBdr>
                  <w:divsChild>
                    <w:div w:id="1793091236">
                      <w:marLeft w:val="0"/>
                      <w:marRight w:val="0"/>
                      <w:marTop w:val="0"/>
                      <w:marBottom w:val="0"/>
                      <w:divBdr>
                        <w:top w:val="none" w:sz="0" w:space="0" w:color="auto"/>
                        <w:left w:val="none" w:sz="0" w:space="0" w:color="auto"/>
                        <w:bottom w:val="none" w:sz="0" w:space="0" w:color="auto"/>
                        <w:right w:val="none" w:sz="0" w:space="0" w:color="auto"/>
                      </w:divBdr>
                    </w:div>
                  </w:divsChild>
                </w:div>
                <w:div w:id="1494756086">
                  <w:marLeft w:val="0"/>
                  <w:marRight w:val="0"/>
                  <w:marTop w:val="0"/>
                  <w:marBottom w:val="0"/>
                  <w:divBdr>
                    <w:top w:val="none" w:sz="0" w:space="0" w:color="auto"/>
                    <w:left w:val="none" w:sz="0" w:space="0" w:color="auto"/>
                    <w:bottom w:val="none" w:sz="0" w:space="0" w:color="auto"/>
                    <w:right w:val="none" w:sz="0" w:space="0" w:color="auto"/>
                  </w:divBdr>
                  <w:divsChild>
                    <w:div w:id="105318443">
                      <w:marLeft w:val="0"/>
                      <w:marRight w:val="0"/>
                      <w:marTop w:val="0"/>
                      <w:marBottom w:val="0"/>
                      <w:divBdr>
                        <w:top w:val="none" w:sz="0" w:space="0" w:color="auto"/>
                        <w:left w:val="none" w:sz="0" w:space="0" w:color="auto"/>
                        <w:bottom w:val="none" w:sz="0" w:space="0" w:color="auto"/>
                        <w:right w:val="none" w:sz="0" w:space="0" w:color="auto"/>
                      </w:divBdr>
                    </w:div>
                  </w:divsChild>
                </w:div>
                <w:div w:id="1496339502">
                  <w:marLeft w:val="0"/>
                  <w:marRight w:val="0"/>
                  <w:marTop w:val="0"/>
                  <w:marBottom w:val="0"/>
                  <w:divBdr>
                    <w:top w:val="none" w:sz="0" w:space="0" w:color="auto"/>
                    <w:left w:val="none" w:sz="0" w:space="0" w:color="auto"/>
                    <w:bottom w:val="none" w:sz="0" w:space="0" w:color="auto"/>
                    <w:right w:val="none" w:sz="0" w:space="0" w:color="auto"/>
                  </w:divBdr>
                  <w:divsChild>
                    <w:div w:id="242687711">
                      <w:marLeft w:val="0"/>
                      <w:marRight w:val="0"/>
                      <w:marTop w:val="0"/>
                      <w:marBottom w:val="0"/>
                      <w:divBdr>
                        <w:top w:val="none" w:sz="0" w:space="0" w:color="auto"/>
                        <w:left w:val="none" w:sz="0" w:space="0" w:color="auto"/>
                        <w:bottom w:val="none" w:sz="0" w:space="0" w:color="auto"/>
                        <w:right w:val="none" w:sz="0" w:space="0" w:color="auto"/>
                      </w:divBdr>
                    </w:div>
                  </w:divsChild>
                </w:div>
                <w:div w:id="1497501462">
                  <w:marLeft w:val="0"/>
                  <w:marRight w:val="0"/>
                  <w:marTop w:val="0"/>
                  <w:marBottom w:val="0"/>
                  <w:divBdr>
                    <w:top w:val="none" w:sz="0" w:space="0" w:color="auto"/>
                    <w:left w:val="none" w:sz="0" w:space="0" w:color="auto"/>
                    <w:bottom w:val="none" w:sz="0" w:space="0" w:color="auto"/>
                    <w:right w:val="none" w:sz="0" w:space="0" w:color="auto"/>
                  </w:divBdr>
                  <w:divsChild>
                    <w:div w:id="836306506">
                      <w:marLeft w:val="0"/>
                      <w:marRight w:val="0"/>
                      <w:marTop w:val="0"/>
                      <w:marBottom w:val="0"/>
                      <w:divBdr>
                        <w:top w:val="none" w:sz="0" w:space="0" w:color="auto"/>
                        <w:left w:val="none" w:sz="0" w:space="0" w:color="auto"/>
                        <w:bottom w:val="none" w:sz="0" w:space="0" w:color="auto"/>
                        <w:right w:val="none" w:sz="0" w:space="0" w:color="auto"/>
                      </w:divBdr>
                    </w:div>
                  </w:divsChild>
                </w:div>
                <w:div w:id="1511796108">
                  <w:marLeft w:val="0"/>
                  <w:marRight w:val="0"/>
                  <w:marTop w:val="0"/>
                  <w:marBottom w:val="0"/>
                  <w:divBdr>
                    <w:top w:val="none" w:sz="0" w:space="0" w:color="auto"/>
                    <w:left w:val="none" w:sz="0" w:space="0" w:color="auto"/>
                    <w:bottom w:val="none" w:sz="0" w:space="0" w:color="auto"/>
                    <w:right w:val="none" w:sz="0" w:space="0" w:color="auto"/>
                  </w:divBdr>
                  <w:divsChild>
                    <w:div w:id="1499927105">
                      <w:marLeft w:val="0"/>
                      <w:marRight w:val="0"/>
                      <w:marTop w:val="0"/>
                      <w:marBottom w:val="0"/>
                      <w:divBdr>
                        <w:top w:val="none" w:sz="0" w:space="0" w:color="auto"/>
                        <w:left w:val="none" w:sz="0" w:space="0" w:color="auto"/>
                        <w:bottom w:val="none" w:sz="0" w:space="0" w:color="auto"/>
                        <w:right w:val="none" w:sz="0" w:space="0" w:color="auto"/>
                      </w:divBdr>
                    </w:div>
                  </w:divsChild>
                </w:div>
                <w:div w:id="1514613990">
                  <w:marLeft w:val="0"/>
                  <w:marRight w:val="0"/>
                  <w:marTop w:val="0"/>
                  <w:marBottom w:val="0"/>
                  <w:divBdr>
                    <w:top w:val="none" w:sz="0" w:space="0" w:color="auto"/>
                    <w:left w:val="none" w:sz="0" w:space="0" w:color="auto"/>
                    <w:bottom w:val="none" w:sz="0" w:space="0" w:color="auto"/>
                    <w:right w:val="none" w:sz="0" w:space="0" w:color="auto"/>
                  </w:divBdr>
                  <w:divsChild>
                    <w:div w:id="823744851">
                      <w:marLeft w:val="0"/>
                      <w:marRight w:val="0"/>
                      <w:marTop w:val="0"/>
                      <w:marBottom w:val="0"/>
                      <w:divBdr>
                        <w:top w:val="none" w:sz="0" w:space="0" w:color="auto"/>
                        <w:left w:val="none" w:sz="0" w:space="0" w:color="auto"/>
                        <w:bottom w:val="none" w:sz="0" w:space="0" w:color="auto"/>
                        <w:right w:val="none" w:sz="0" w:space="0" w:color="auto"/>
                      </w:divBdr>
                    </w:div>
                  </w:divsChild>
                </w:div>
                <w:div w:id="1521434275">
                  <w:marLeft w:val="0"/>
                  <w:marRight w:val="0"/>
                  <w:marTop w:val="0"/>
                  <w:marBottom w:val="0"/>
                  <w:divBdr>
                    <w:top w:val="none" w:sz="0" w:space="0" w:color="auto"/>
                    <w:left w:val="none" w:sz="0" w:space="0" w:color="auto"/>
                    <w:bottom w:val="none" w:sz="0" w:space="0" w:color="auto"/>
                    <w:right w:val="none" w:sz="0" w:space="0" w:color="auto"/>
                  </w:divBdr>
                  <w:divsChild>
                    <w:div w:id="1322735067">
                      <w:marLeft w:val="0"/>
                      <w:marRight w:val="0"/>
                      <w:marTop w:val="0"/>
                      <w:marBottom w:val="0"/>
                      <w:divBdr>
                        <w:top w:val="none" w:sz="0" w:space="0" w:color="auto"/>
                        <w:left w:val="none" w:sz="0" w:space="0" w:color="auto"/>
                        <w:bottom w:val="none" w:sz="0" w:space="0" w:color="auto"/>
                        <w:right w:val="none" w:sz="0" w:space="0" w:color="auto"/>
                      </w:divBdr>
                    </w:div>
                  </w:divsChild>
                </w:div>
                <w:div w:id="1523595090">
                  <w:marLeft w:val="0"/>
                  <w:marRight w:val="0"/>
                  <w:marTop w:val="0"/>
                  <w:marBottom w:val="0"/>
                  <w:divBdr>
                    <w:top w:val="none" w:sz="0" w:space="0" w:color="auto"/>
                    <w:left w:val="none" w:sz="0" w:space="0" w:color="auto"/>
                    <w:bottom w:val="none" w:sz="0" w:space="0" w:color="auto"/>
                    <w:right w:val="none" w:sz="0" w:space="0" w:color="auto"/>
                  </w:divBdr>
                  <w:divsChild>
                    <w:div w:id="1552423353">
                      <w:marLeft w:val="0"/>
                      <w:marRight w:val="0"/>
                      <w:marTop w:val="0"/>
                      <w:marBottom w:val="0"/>
                      <w:divBdr>
                        <w:top w:val="none" w:sz="0" w:space="0" w:color="auto"/>
                        <w:left w:val="none" w:sz="0" w:space="0" w:color="auto"/>
                        <w:bottom w:val="none" w:sz="0" w:space="0" w:color="auto"/>
                        <w:right w:val="none" w:sz="0" w:space="0" w:color="auto"/>
                      </w:divBdr>
                    </w:div>
                  </w:divsChild>
                </w:div>
                <w:div w:id="1528248892">
                  <w:marLeft w:val="0"/>
                  <w:marRight w:val="0"/>
                  <w:marTop w:val="0"/>
                  <w:marBottom w:val="0"/>
                  <w:divBdr>
                    <w:top w:val="none" w:sz="0" w:space="0" w:color="auto"/>
                    <w:left w:val="none" w:sz="0" w:space="0" w:color="auto"/>
                    <w:bottom w:val="none" w:sz="0" w:space="0" w:color="auto"/>
                    <w:right w:val="none" w:sz="0" w:space="0" w:color="auto"/>
                  </w:divBdr>
                  <w:divsChild>
                    <w:div w:id="2013137539">
                      <w:marLeft w:val="0"/>
                      <w:marRight w:val="0"/>
                      <w:marTop w:val="0"/>
                      <w:marBottom w:val="0"/>
                      <w:divBdr>
                        <w:top w:val="none" w:sz="0" w:space="0" w:color="auto"/>
                        <w:left w:val="none" w:sz="0" w:space="0" w:color="auto"/>
                        <w:bottom w:val="none" w:sz="0" w:space="0" w:color="auto"/>
                        <w:right w:val="none" w:sz="0" w:space="0" w:color="auto"/>
                      </w:divBdr>
                    </w:div>
                  </w:divsChild>
                </w:div>
                <w:div w:id="1532449667">
                  <w:marLeft w:val="0"/>
                  <w:marRight w:val="0"/>
                  <w:marTop w:val="0"/>
                  <w:marBottom w:val="0"/>
                  <w:divBdr>
                    <w:top w:val="none" w:sz="0" w:space="0" w:color="auto"/>
                    <w:left w:val="none" w:sz="0" w:space="0" w:color="auto"/>
                    <w:bottom w:val="none" w:sz="0" w:space="0" w:color="auto"/>
                    <w:right w:val="none" w:sz="0" w:space="0" w:color="auto"/>
                  </w:divBdr>
                  <w:divsChild>
                    <w:div w:id="307396219">
                      <w:marLeft w:val="0"/>
                      <w:marRight w:val="0"/>
                      <w:marTop w:val="0"/>
                      <w:marBottom w:val="0"/>
                      <w:divBdr>
                        <w:top w:val="none" w:sz="0" w:space="0" w:color="auto"/>
                        <w:left w:val="none" w:sz="0" w:space="0" w:color="auto"/>
                        <w:bottom w:val="none" w:sz="0" w:space="0" w:color="auto"/>
                        <w:right w:val="none" w:sz="0" w:space="0" w:color="auto"/>
                      </w:divBdr>
                    </w:div>
                  </w:divsChild>
                </w:div>
                <w:div w:id="1533221860">
                  <w:marLeft w:val="0"/>
                  <w:marRight w:val="0"/>
                  <w:marTop w:val="0"/>
                  <w:marBottom w:val="0"/>
                  <w:divBdr>
                    <w:top w:val="none" w:sz="0" w:space="0" w:color="auto"/>
                    <w:left w:val="none" w:sz="0" w:space="0" w:color="auto"/>
                    <w:bottom w:val="none" w:sz="0" w:space="0" w:color="auto"/>
                    <w:right w:val="none" w:sz="0" w:space="0" w:color="auto"/>
                  </w:divBdr>
                  <w:divsChild>
                    <w:div w:id="950556393">
                      <w:marLeft w:val="0"/>
                      <w:marRight w:val="0"/>
                      <w:marTop w:val="0"/>
                      <w:marBottom w:val="0"/>
                      <w:divBdr>
                        <w:top w:val="none" w:sz="0" w:space="0" w:color="auto"/>
                        <w:left w:val="none" w:sz="0" w:space="0" w:color="auto"/>
                        <w:bottom w:val="none" w:sz="0" w:space="0" w:color="auto"/>
                        <w:right w:val="none" w:sz="0" w:space="0" w:color="auto"/>
                      </w:divBdr>
                    </w:div>
                  </w:divsChild>
                </w:div>
                <w:div w:id="1533224799">
                  <w:marLeft w:val="0"/>
                  <w:marRight w:val="0"/>
                  <w:marTop w:val="0"/>
                  <w:marBottom w:val="0"/>
                  <w:divBdr>
                    <w:top w:val="none" w:sz="0" w:space="0" w:color="auto"/>
                    <w:left w:val="none" w:sz="0" w:space="0" w:color="auto"/>
                    <w:bottom w:val="none" w:sz="0" w:space="0" w:color="auto"/>
                    <w:right w:val="none" w:sz="0" w:space="0" w:color="auto"/>
                  </w:divBdr>
                  <w:divsChild>
                    <w:div w:id="577666099">
                      <w:marLeft w:val="0"/>
                      <w:marRight w:val="0"/>
                      <w:marTop w:val="0"/>
                      <w:marBottom w:val="0"/>
                      <w:divBdr>
                        <w:top w:val="none" w:sz="0" w:space="0" w:color="auto"/>
                        <w:left w:val="none" w:sz="0" w:space="0" w:color="auto"/>
                        <w:bottom w:val="none" w:sz="0" w:space="0" w:color="auto"/>
                        <w:right w:val="none" w:sz="0" w:space="0" w:color="auto"/>
                      </w:divBdr>
                    </w:div>
                  </w:divsChild>
                </w:div>
                <w:div w:id="1538860031">
                  <w:marLeft w:val="0"/>
                  <w:marRight w:val="0"/>
                  <w:marTop w:val="0"/>
                  <w:marBottom w:val="0"/>
                  <w:divBdr>
                    <w:top w:val="none" w:sz="0" w:space="0" w:color="auto"/>
                    <w:left w:val="none" w:sz="0" w:space="0" w:color="auto"/>
                    <w:bottom w:val="none" w:sz="0" w:space="0" w:color="auto"/>
                    <w:right w:val="none" w:sz="0" w:space="0" w:color="auto"/>
                  </w:divBdr>
                  <w:divsChild>
                    <w:div w:id="1719665099">
                      <w:marLeft w:val="0"/>
                      <w:marRight w:val="0"/>
                      <w:marTop w:val="0"/>
                      <w:marBottom w:val="0"/>
                      <w:divBdr>
                        <w:top w:val="none" w:sz="0" w:space="0" w:color="auto"/>
                        <w:left w:val="none" w:sz="0" w:space="0" w:color="auto"/>
                        <w:bottom w:val="none" w:sz="0" w:space="0" w:color="auto"/>
                        <w:right w:val="none" w:sz="0" w:space="0" w:color="auto"/>
                      </w:divBdr>
                    </w:div>
                  </w:divsChild>
                </w:div>
                <w:div w:id="1542981114">
                  <w:marLeft w:val="0"/>
                  <w:marRight w:val="0"/>
                  <w:marTop w:val="0"/>
                  <w:marBottom w:val="0"/>
                  <w:divBdr>
                    <w:top w:val="none" w:sz="0" w:space="0" w:color="auto"/>
                    <w:left w:val="none" w:sz="0" w:space="0" w:color="auto"/>
                    <w:bottom w:val="none" w:sz="0" w:space="0" w:color="auto"/>
                    <w:right w:val="none" w:sz="0" w:space="0" w:color="auto"/>
                  </w:divBdr>
                  <w:divsChild>
                    <w:div w:id="1569729975">
                      <w:marLeft w:val="0"/>
                      <w:marRight w:val="0"/>
                      <w:marTop w:val="0"/>
                      <w:marBottom w:val="0"/>
                      <w:divBdr>
                        <w:top w:val="none" w:sz="0" w:space="0" w:color="auto"/>
                        <w:left w:val="none" w:sz="0" w:space="0" w:color="auto"/>
                        <w:bottom w:val="none" w:sz="0" w:space="0" w:color="auto"/>
                        <w:right w:val="none" w:sz="0" w:space="0" w:color="auto"/>
                      </w:divBdr>
                    </w:div>
                  </w:divsChild>
                </w:div>
                <w:div w:id="1543595962">
                  <w:marLeft w:val="0"/>
                  <w:marRight w:val="0"/>
                  <w:marTop w:val="0"/>
                  <w:marBottom w:val="0"/>
                  <w:divBdr>
                    <w:top w:val="none" w:sz="0" w:space="0" w:color="auto"/>
                    <w:left w:val="none" w:sz="0" w:space="0" w:color="auto"/>
                    <w:bottom w:val="none" w:sz="0" w:space="0" w:color="auto"/>
                    <w:right w:val="none" w:sz="0" w:space="0" w:color="auto"/>
                  </w:divBdr>
                  <w:divsChild>
                    <w:div w:id="101731653">
                      <w:marLeft w:val="0"/>
                      <w:marRight w:val="0"/>
                      <w:marTop w:val="0"/>
                      <w:marBottom w:val="0"/>
                      <w:divBdr>
                        <w:top w:val="none" w:sz="0" w:space="0" w:color="auto"/>
                        <w:left w:val="none" w:sz="0" w:space="0" w:color="auto"/>
                        <w:bottom w:val="none" w:sz="0" w:space="0" w:color="auto"/>
                        <w:right w:val="none" w:sz="0" w:space="0" w:color="auto"/>
                      </w:divBdr>
                    </w:div>
                  </w:divsChild>
                </w:div>
                <w:div w:id="1544365768">
                  <w:marLeft w:val="0"/>
                  <w:marRight w:val="0"/>
                  <w:marTop w:val="0"/>
                  <w:marBottom w:val="0"/>
                  <w:divBdr>
                    <w:top w:val="none" w:sz="0" w:space="0" w:color="auto"/>
                    <w:left w:val="none" w:sz="0" w:space="0" w:color="auto"/>
                    <w:bottom w:val="none" w:sz="0" w:space="0" w:color="auto"/>
                    <w:right w:val="none" w:sz="0" w:space="0" w:color="auto"/>
                  </w:divBdr>
                  <w:divsChild>
                    <w:div w:id="547229946">
                      <w:marLeft w:val="0"/>
                      <w:marRight w:val="0"/>
                      <w:marTop w:val="0"/>
                      <w:marBottom w:val="0"/>
                      <w:divBdr>
                        <w:top w:val="none" w:sz="0" w:space="0" w:color="auto"/>
                        <w:left w:val="none" w:sz="0" w:space="0" w:color="auto"/>
                        <w:bottom w:val="none" w:sz="0" w:space="0" w:color="auto"/>
                        <w:right w:val="none" w:sz="0" w:space="0" w:color="auto"/>
                      </w:divBdr>
                    </w:div>
                  </w:divsChild>
                </w:div>
                <w:div w:id="1556892191">
                  <w:marLeft w:val="0"/>
                  <w:marRight w:val="0"/>
                  <w:marTop w:val="0"/>
                  <w:marBottom w:val="0"/>
                  <w:divBdr>
                    <w:top w:val="none" w:sz="0" w:space="0" w:color="auto"/>
                    <w:left w:val="none" w:sz="0" w:space="0" w:color="auto"/>
                    <w:bottom w:val="none" w:sz="0" w:space="0" w:color="auto"/>
                    <w:right w:val="none" w:sz="0" w:space="0" w:color="auto"/>
                  </w:divBdr>
                  <w:divsChild>
                    <w:div w:id="1813667792">
                      <w:marLeft w:val="0"/>
                      <w:marRight w:val="0"/>
                      <w:marTop w:val="0"/>
                      <w:marBottom w:val="0"/>
                      <w:divBdr>
                        <w:top w:val="none" w:sz="0" w:space="0" w:color="auto"/>
                        <w:left w:val="none" w:sz="0" w:space="0" w:color="auto"/>
                        <w:bottom w:val="none" w:sz="0" w:space="0" w:color="auto"/>
                        <w:right w:val="none" w:sz="0" w:space="0" w:color="auto"/>
                      </w:divBdr>
                    </w:div>
                  </w:divsChild>
                </w:div>
                <w:div w:id="1565599390">
                  <w:marLeft w:val="0"/>
                  <w:marRight w:val="0"/>
                  <w:marTop w:val="0"/>
                  <w:marBottom w:val="0"/>
                  <w:divBdr>
                    <w:top w:val="none" w:sz="0" w:space="0" w:color="auto"/>
                    <w:left w:val="none" w:sz="0" w:space="0" w:color="auto"/>
                    <w:bottom w:val="none" w:sz="0" w:space="0" w:color="auto"/>
                    <w:right w:val="none" w:sz="0" w:space="0" w:color="auto"/>
                  </w:divBdr>
                  <w:divsChild>
                    <w:div w:id="1209027822">
                      <w:marLeft w:val="0"/>
                      <w:marRight w:val="0"/>
                      <w:marTop w:val="0"/>
                      <w:marBottom w:val="0"/>
                      <w:divBdr>
                        <w:top w:val="none" w:sz="0" w:space="0" w:color="auto"/>
                        <w:left w:val="none" w:sz="0" w:space="0" w:color="auto"/>
                        <w:bottom w:val="none" w:sz="0" w:space="0" w:color="auto"/>
                        <w:right w:val="none" w:sz="0" w:space="0" w:color="auto"/>
                      </w:divBdr>
                    </w:div>
                  </w:divsChild>
                </w:div>
                <w:div w:id="1575044253">
                  <w:marLeft w:val="0"/>
                  <w:marRight w:val="0"/>
                  <w:marTop w:val="0"/>
                  <w:marBottom w:val="0"/>
                  <w:divBdr>
                    <w:top w:val="none" w:sz="0" w:space="0" w:color="auto"/>
                    <w:left w:val="none" w:sz="0" w:space="0" w:color="auto"/>
                    <w:bottom w:val="none" w:sz="0" w:space="0" w:color="auto"/>
                    <w:right w:val="none" w:sz="0" w:space="0" w:color="auto"/>
                  </w:divBdr>
                  <w:divsChild>
                    <w:div w:id="1131900144">
                      <w:marLeft w:val="0"/>
                      <w:marRight w:val="0"/>
                      <w:marTop w:val="0"/>
                      <w:marBottom w:val="0"/>
                      <w:divBdr>
                        <w:top w:val="none" w:sz="0" w:space="0" w:color="auto"/>
                        <w:left w:val="none" w:sz="0" w:space="0" w:color="auto"/>
                        <w:bottom w:val="none" w:sz="0" w:space="0" w:color="auto"/>
                        <w:right w:val="none" w:sz="0" w:space="0" w:color="auto"/>
                      </w:divBdr>
                    </w:div>
                  </w:divsChild>
                </w:div>
                <w:div w:id="1575122137">
                  <w:marLeft w:val="0"/>
                  <w:marRight w:val="0"/>
                  <w:marTop w:val="0"/>
                  <w:marBottom w:val="0"/>
                  <w:divBdr>
                    <w:top w:val="none" w:sz="0" w:space="0" w:color="auto"/>
                    <w:left w:val="none" w:sz="0" w:space="0" w:color="auto"/>
                    <w:bottom w:val="none" w:sz="0" w:space="0" w:color="auto"/>
                    <w:right w:val="none" w:sz="0" w:space="0" w:color="auto"/>
                  </w:divBdr>
                  <w:divsChild>
                    <w:div w:id="526213913">
                      <w:marLeft w:val="0"/>
                      <w:marRight w:val="0"/>
                      <w:marTop w:val="0"/>
                      <w:marBottom w:val="0"/>
                      <w:divBdr>
                        <w:top w:val="none" w:sz="0" w:space="0" w:color="auto"/>
                        <w:left w:val="none" w:sz="0" w:space="0" w:color="auto"/>
                        <w:bottom w:val="none" w:sz="0" w:space="0" w:color="auto"/>
                        <w:right w:val="none" w:sz="0" w:space="0" w:color="auto"/>
                      </w:divBdr>
                    </w:div>
                  </w:divsChild>
                </w:div>
                <w:div w:id="1581790391">
                  <w:marLeft w:val="0"/>
                  <w:marRight w:val="0"/>
                  <w:marTop w:val="0"/>
                  <w:marBottom w:val="0"/>
                  <w:divBdr>
                    <w:top w:val="none" w:sz="0" w:space="0" w:color="auto"/>
                    <w:left w:val="none" w:sz="0" w:space="0" w:color="auto"/>
                    <w:bottom w:val="none" w:sz="0" w:space="0" w:color="auto"/>
                    <w:right w:val="none" w:sz="0" w:space="0" w:color="auto"/>
                  </w:divBdr>
                  <w:divsChild>
                    <w:div w:id="1723749988">
                      <w:marLeft w:val="0"/>
                      <w:marRight w:val="0"/>
                      <w:marTop w:val="0"/>
                      <w:marBottom w:val="0"/>
                      <w:divBdr>
                        <w:top w:val="none" w:sz="0" w:space="0" w:color="auto"/>
                        <w:left w:val="none" w:sz="0" w:space="0" w:color="auto"/>
                        <w:bottom w:val="none" w:sz="0" w:space="0" w:color="auto"/>
                        <w:right w:val="none" w:sz="0" w:space="0" w:color="auto"/>
                      </w:divBdr>
                    </w:div>
                  </w:divsChild>
                </w:div>
                <w:div w:id="1595478161">
                  <w:marLeft w:val="0"/>
                  <w:marRight w:val="0"/>
                  <w:marTop w:val="0"/>
                  <w:marBottom w:val="0"/>
                  <w:divBdr>
                    <w:top w:val="none" w:sz="0" w:space="0" w:color="auto"/>
                    <w:left w:val="none" w:sz="0" w:space="0" w:color="auto"/>
                    <w:bottom w:val="none" w:sz="0" w:space="0" w:color="auto"/>
                    <w:right w:val="none" w:sz="0" w:space="0" w:color="auto"/>
                  </w:divBdr>
                  <w:divsChild>
                    <w:div w:id="1272781675">
                      <w:marLeft w:val="0"/>
                      <w:marRight w:val="0"/>
                      <w:marTop w:val="0"/>
                      <w:marBottom w:val="0"/>
                      <w:divBdr>
                        <w:top w:val="none" w:sz="0" w:space="0" w:color="auto"/>
                        <w:left w:val="none" w:sz="0" w:space="0" w:color="auto"/>
                        <w:bottom w:val="none" w:sz="0" w:space="0" w:color="auto"/>
                        <w:right w:val="none" w:sz="0" w:space="0" w:color="auto"/>
                      </w:divBdr>
                    </w:div>
                  </w:divsChild>
                </w:div>
                <w:div w:id="1595628458">
                  <w:marLeft w:val="0"/>
                  <w:marRight w:val="0"/>
                  <w:marTop w:val="0"/>
                  <w:marBottom w:val="0"/>
                  <w:divBdr>
                    <w:top w:val="none" w:sz="0" w:space="0" w:color="auto"/>
                    <w:left w:val="none" w:sz="0" w:space="0" w:color="auto"/>
                    <w:bottom w:val="none" w:sz="0" w:space="0" w:color="auto"/>
                    <w:right w:val="none" w:sz="0" w:space="0" w:color="auto"/>
                  </w:divBdr>
                  <w:divsChild>
                    <w:div w:id="1761172552">
                      <w:marLeft w:val="0"/>
                      <w:marRight w:val="0"/>
                      <w:marTop w:val="0"/>
                      <w:marBottom w:val="0"/>
                      <w:divBdr>
                        <w:top w:val="none" w:sz="0" w:space="0" w:color="auto"/>
                        <w:left w:val="none" w:sz="0" w:space="0" w:color="auto"/>
                        <w:bottom w:val="none" w:sz="0" w:space="0" w:color="auto"/>
                        <w:right w:val="none" w:sz="0" w:space="0" w:color="auto"/>
                      </w:divBdr>
                    </w:div>
                  </w:divsChild>
                </w:div>
                <w:div w:id="1595820895">
                  <w:marLeft w:val="0"/>
                  <w:marRight w:val="0"/>
                  <w:marTop w:val="0"/>
                  <w:marBottom w:val="0"/>
                  <w:divBdr>
                    <w:top w:val="none" w:sz="0" w:space="0" w:color="auto"/>
                    <w:left w:val="none" w:sz="0" w:space="0" w:color="auto"/>
                    <w:bottom w:val="none" w:sz="0" w:space="0" w:color="auto"/>
                    <w:right w:val="none" w:sz="0" w:space="0" w:color="auto"/>
                  </w:divBdr>
                  <w:divsChild>
                    <w:div w:id="144511934">
                      <w:marLeft w:val="0"/>
                      <w:marRight w:val="0"/>
                      <w:marTop w:val="0"/>
                      <w:marBottom w:val="0"/>
                      <w:divBdr>
                        <w:top w:val="none" w:sz="0" w:space="0" w:color="auto"/>
                        <w:left w:val="none" w:sz="0" w:space="0" w:color="auto"/>
                        <w:bottom w:val="none" w:sz="0" w:space="0" w:color="auto"/>
                        <w:right w:val="none" w:sz="0" w:space="0" w:color="auto"/>
                      </w:divBdr>
                    </w:div>
                  </w:divsChild>
                </w:div>
                <w:div w:id="1597790057">
                  <w:marLeft w:val="0"/>
                  <w:marRight w:val="0"/>
                  <w:marTop w:val="0"/>
                  <w:marBottom w:val="0"/>
                  <w:divBdr>
                    <w:top w:val="none" w:sz="0" w:space="0" w:color="auto"/>
                    <w:left w:val="none" w:sz="0" w:space="0" w:color="auto"/>
                    <w:bottom w:val="none" w:sz="0" w:space="0" w:color="auto"/>
                    <w:right w:val="none" w:sz="0" w:space="0" w:color="auto"/>
                  </w:divBdr>
                  <w:divsChild>
                    <w:div w:id="1387097028">
                      <w:marLeft w:val="0"/>
                      <w:marRight w:val="0"/>
                      <w:marTop w:val="0"/>
                      <w:marBottom w:val="0"/>
                      <w:divBdr>
                        <w:top w:val="none" w:sz="0" w:space="0" w:color="auto"/>
                        <w:left w:val="none" w:sz="0" w:space="0" w:color="auto"/>
                        <w:bottom w:val="none" w:sz="0" w:space="0" w:color="auto"/>
                        <w:right w:val="none" w:sz="0" w:space="0" w:color="auto"/>
                      </w:divBdr>
                    </w:div>
                  </w:divsChild>
                </w:div>
                <w:div w:id="1599211636">
                  <w:marLeft w:val="0"/>
                  <w:marRight w:val="0"/>
                  <w:marTop w:val="0"/>
                  <w:marBottom w:val="0"/>
                  <w:divBdr>
                    <w:top w:val="none" w:sz="0" w:space="0" w:color="auto"/>
                    <w:left w:val="none" w:sz="0" w:space="0" w:color="auto"/>
                    <w:bottom w:val="none" w:sz="0" w:space="0" w:color="auto"/>
                    <w:right w:val="none" w:sz="0" w:space="0" w:color="auto"/>
                  </w:divBdr>
                  <w:divsChild>
                    <w:div w:id="1578050418">
                      <w:marLeft w:val="0"/>
                      <w:marRight w:val="0"/>
                      <w:marTop w:val="0"/>
                      <w:marBottom w:val="0"/>
                      <w:divBdr>
                        <w:top w:val="none" w:sz="0" w:space="0" w:color="auto"/>
                        <w:left w:val="none" w:sz="0" w:space="0" w:color="auto"/>
                        <w:bottom w:val="none" w:sz="0" w:space="0" w:color="auto"/>
                        <w:right w:val="none" w:sz="0" w:space="0" w:color="auto"/>
                      </w:divBdr>
                    </w:div>
                  </w:divsChild>
                </w:div>
                <w:div w:id="1603223594">
                  <w:marLeft w:val="0"/>
                  <w:marRight w:val="0"/>
                  <w:marTop w:val="0"/>
                  <w:marBottom w:val="0"/>
                  <w:divBdr>
                    <w:top w:val="none" w:sz="0" w:space="0" w:color="auto"/>
                    <w:left w:val="none" w:sz="0" w:space="0" w:color="auto"/>
                    <w:bottom w:val="none" w:sz="0" w:space="0" w:color="auto"/>
                    <w:right w:val="none" w:sz="0" w:space="0" w:color="auto"/>
                  </w:divBdr>
                  <w:divsChild>
                    <w:div w:id="650325605">
                      <w:marLeft w:val="0"/>
                      <w:marRight w:val="0"/>
                      <w:marTop w:val="0"/>
                      <w:marBottom w:val="0"/>
                      <w:divBdr>
                        <w:top w:val="none" w:sz="0" w:space="0" w:color="auto"/>
                        <w:left w:val="none" w:sz="0" w:space="0" w:color="auto"/>
                        <w:bottom w:val="none" w:sz="0" w:space="0" w:color="auto"/>
                        <w:right w:val="none" w:sz="0" w:space="0" w:color="auto"/>
                      </w:divBdr>
                    </w:div>
                  </w:divsChild>
                </w:div>
                <w:div w:id="1613515181">
                  <w:marLeft w:val="0"/>
                  <w:marRight w:val="0"/>
                  <w:marTop w:val="0"/>
                  <w:marBottom w:val="0"/>
                  <w:divBdr>
                    <w:top w:val="none" w:sz="0" w:space="0" w:color="auto"/>
                    <w:left w:val="none" w:sz="0" w:space="0" w:color="auto"/>
                    <w:bottom w:val="none" w:sz="0" w:space="0" w:color="auto"/>
                    <w:right w:val="none" w:sz="0" w:space="0" w:color="auto"/>
                  </w:divBdr>
                  <w:divsChild>
                    <w:div w:id="737092563">
                      <w:marLeft w:val="0"/>
                      <w:marRight w:val="0"/>
                      <w:marTop w:val="0"/>
                      <w:marBottom w:val="0"/>
                      <w:divBdr>
                        <w:top w:val="none" w:sz="0" w:space="0" w:color="auto"/>
                        <w:left w:val="none" w:sz="0" w:space="0" w:color="auto"/>
                        <w:bottom w:val="none" w:sz="0" w:space="0" w:color="auto"/>
                        <w:right w:val="none" w:sz="0" w:space="0" w:color="auto"/>
                      </w:divBdr>
                    </w:div>
                  </w:divsChild>
                </w:div>
                <w:div w:id="1615360132">
                  <w:marLeft w:val="0"/>
                  <w:marRight w:val="0"/>
                  <w:marTop w:val="0"/>
                  <w:marBottom w:val="0"/>
                  <w:divBdr>
                    <w:top w:val="none" w:sz="0" w:space="0" w:color="auto"/>
                    <w:left w:val="none" w:sz="0" w:space="0" w:color="auto"/>
                    <w:bottom w:val="none" w:sz="0" w:space="0" w:color="auto"/>
                    <w:right w:val="none" w:sz="0" w:space="0" w:color="auto"/>
                  </w:divBdr>
                  <w:divsChild>
                    <w:div w:id="205914174">
                      <w:marLeft w:val="0"/>
                      <w:marRight w:val="0"/>
                      <w:marTop w:val="0"/>
                      <w:marBottom w:val="0"/>
                      <w:divBdr>
                        <w:top w:val="none" w:sz="0" w:space="0" w:color="auto"/>
                        <w:left w:val="none" w:sz="0" w:space="0" w:color="auto"/>
                        <w:bottom w:val="none" w:sz="0" w:space="0" w:color="auto"/>
                        <w:right w:val="none" w:sz="0" w:space="0" w:color="auto"/>
                      </w:divBdr>
                    </w:div>
                  </w:divsChild>
                </w:div>
                <w:div w:id="1618947156">
                  <w:marLeft w:val="0"/>
                  <w:marRight w:val="0"/>
                  <w:marTop w:val="0"/>
                  <w:marBottom w:val="0"/>
                  <w:divBdr>
                    <w:top w:val="none" w:sz="0" w:space="0" w:color="auto"/>
                    <w:left w:val="none" w:sz="0" w:space="0" w:color="auto"/>
                    <w:bottom w:val="none" w:sz="0" w:space="0" w:color="auto"/>
                    <w:right w:val="none" w:sz="0" w:space="0" w:color="auto"/>
                  </w:divBdr>
                  <w:divsChild>
                    <w:div w:id="1058943182">
                      <w:marLeft w:val="0"/>
                      <w:marRight w:val="0"/>
                      <w:marTop w:val="0"/>
                      <w:marBottom w:val="0"/>
                      <w:divBdr>
                        <w:top w:val="none" w:sz="0" w:space="0" w:color="auto"/>
                        <w:left w:val="none" w:sz="0" w:space="0" w:color="auto"/>
                        <w:bottom w:val="none" w:sz="0" w:space="0" w:color="auto"/>
                        <w:right w:val="none" w:sz="0" w:space="0" w:color="auto"/>
                      </w:divBdr>
                    </w:div>
                  </w:divsChild>
                </w:div>
                <w:div w:id="1639720581">
                  <w:marLeft w:val="0"/>
                  <w:marRight w:val="0"/>
                  <w:marTop w:val="0"/>
                  <w:marBottom w:val="0"/>
                  <w:divBdr>
                    <w:top w:val="none" w:sz="0" w:space="0" w:color="auto"/>
                    <w:left w:val="none" w:sz="0" w:space="0" w:color="auto"/>
                    <w:bottom w:val="none" w:sz="0" w:space="0" w:color="auto"/>
                    <w:right w:val="none" w:sz="0" w:space="0" w:color="auto"/>
                  </w:divBdr>
                  <w:divsChild>
                    <w:div w:id="1437559151">
                      <w:marLeft w:val="0"/>
                      <w:marRight w:val="0"/>
                      <w:marTop w:val="0"/>
                      <w:marBottom w:val="0"/>
                      <w:divBdr>
                        <w:top w:val="none" w:sz="0" w:space="0" w:color="auto"/>
                        <w:left w:val="none" w:sz="0" w:space="0" w:color="auto"/>
                        <w:bottom w:val="none" w:sz="0" w:space="0" w:color="auto"/>
                        <w:right w:val="none" w:sz="0" w:space="0" w:color="auto"/>
                      </w:divBdr>
                    </w:div>
                  </w:divsChild>
                </w:div>
                <w:div w:id="1642076511">
                  <w:marLeft w:val="0"/>
                  <w:marRight w:val="0"/>
                  <w:marTop w:val="0"/>
                  <w:marBottom w:val="0"/>
                  <w:divBdr>
                    <w:top w:val="none" w:sz="0" w:space="0" w:color="auto"/>
                    <w:left w:val="none" w:sz="0" w:space="0" w:color="auto"/>
                    <w:bottom w:val="none" w:sz="0" w:space="0" w:color="auto"/>
                    <w:right w:val="none" w:sz="0" w:space="0" w:color="auto"/>
                  </w:divBdr>
                  <w:divsChild>
                    <w:div w:id="404301699">
                      <w:marLeft w:val="0"/>
                      <w:marRight w:val="0"/>
                      <w:marTop w:val="0"/>
                      <w:marBottom w:val="0"/>
                      <w:divBdr>
                        <w:top w:val="none" w:sz="0" w:space="0" w:color="auto"/>
                        <w:left w:val="none" w:sz="0" w:space="0" w:color="auto"/>
                        <w:bottom w:val="none" w:sz="0" w:space="0" w:color="auto"/>
                        <w:right w:val="none" w:sz="0" w:space="0" w:color="auto"/>
                      </w:divBdr>
                    </w:div>
                  </w:divsChild>
                </w:div>
                <w:div w:id="1646004769">
                  <w:marLeft w:val="0"/>
                  <w:marRight w:val="0"/>
                  <w:marTop w:val="0"/>
                  <w:marBottom w:val="0"/>
                  <w:divBdr>
                    <w:top w:val="none" w:sz="0" w:space="0" w:color="auto"/>
                    <w:left w:val="none" w:sz="0" w:space="0" w:color="auto"/>
                    <w:bottom w:val="none" w:sz="0" w:space="0" w:color="auto"/>
                    <w:right w:val="none" w:sz="0" w:space="0" w:color="auto"/>
                  </w:divBdr>
                  <w:divsChild>
                    <w:div w:id="1234704331">
                      <w:marLeft w:val="0"/>
                      <w:marRight w:val="0"/>
                      <w:marTop w:val="0"/>
                      <w:marBottom w:val="0"/>
                      <w:divBdr>
                        <w:top w:val="none" w:sz="0" w:space="0" w:color="auto"/>
                        <w:left w:val="none" w:sz="0" w:space="0" w:color="auto"/>
                        <w:bottom w:val="none" w:sz="0" w:space="0" w:color="auto"/>
                        <w:right w:val="none" w:sz="0" w:space="0" w:color="auto"/>
                      </w:divBdr>
                    </w:div>
                  </w:divsChild>
                </w:div>
                <w:div w:id="1651640079">
                  <w:marLeft w:val="0"/>
                  <w:marRight w:val="0"/>
                  <w:marTop w:val="0"/>
                  <w:marBottom w:val="0"/>
                  <w:divBdr>
                    <w:top w:val="none" w:sz="0" w:space="0" w:color="auto"/>
                    <w:left w:val="none" w:sz="0" w:space="0" w:color="auto"/>
                    <w:bottom w:val="none" w:sz="0" w:space="0" w:color="auto"/>
                    <w:right w:val="none" w:sz="0" w:space="0" w:color="auto"/>
                  </w:divBdr>
                  <w:divsChild>
                    <w:div w:id="1317614588">
                      <w:marLeft w:val="0"/>
                      <w:marRight w:val="0"/>
                      <w:marTop w:val="0"/>
                      <w:marBottom w:val="0"/>
                      <w:divBdr>
                        <w:top w:val="none" w:sz="0" w:space="0" w:color="auto"/>
                        <w:left w:val="none" w:sz="0" w:space="0" w:color="auto"/>
                        <w:bottom w:val="none" w:sz="0" w:space="0" w:color="auto"/>
                        <w:right w:val="none" w:sz="0" w:space="0" w:color="auto"/>
                      </w:divBdr>
                    </w:div>
                  </w:divsChild>
                </w:div>
                <w:div w:id="1654869534">
                  <w:marLeft w:val="0"/>
                  <w:marRight w:val="0"/>
                  <w:marTop w:val="0"/>
                  <w:marBottom w:val="0"/>
                  <w:divBdr>
                    <w:top w:val="none" w:sz="0" w:space="0" w:color="auto"/>
                    <w:left w:val="none" w:sz="0" w:space="0" w:color="auto"/>
                    <w:bottom w:val="none" w:sz="0" w:space="0" w:color="auto"/>
                    <w:right w:val="none" w:sz="0" w:space="0" w:color="auto"/>
                  </w:divBdr>
                  <w:divsChild>
                    <w:div w:id="1069962959">
                      <w:marLeft w:val="0"/>
                      <w:marRight w:val="0"/>
                      <w:marTop w:val="0"/>
                      <w:marBottom w:val="0"/>
                      <w:divBdr>
                        <w:top w:val="none" w:sz="0" w:space="0" w:color="auto"/>
                        <w:left w:val="none" w:sz="0" w:space="0" w:color="auto"/>
                        <w:bottom w:val="none" w:sz="0" w:space="0" w:color="auto"/>
                        <w:right w:val="none" w:sz="0" w:space="0" w:color="auto"/>
                      </w:divBdr>
                    </w:div>
                  </w:divsChild>
                </w:div>
                <w:div w:id="1688024382">
                  <w:marLeft w:val="0"/>
                  <w:marRight w:val="0"/>
                  <w:marTop w:val="0"/>
                  <w:marBottom w:val="0"/>
                  <w:divBdr>
                    <w:top w:val="none" w:sz="0" w:space="0" w:color="auto"/>
                    <w:left w:val="none" w:sz="0" w:space="0" w:color="auto"/>
                    <w:bottom w:val="none" w:sz="0" w:space="0" w:color="auto"/>
                    <w:right w:val="none" w:sz="0" w:space="0" w:color="auto"/>
                  </w:divBdr>
                  <w:divsChild>
                    <w:div w:id="1454061221">
                      <w:marLeft w:val="0"/>
                      <w:marRight w:val="0"/>
                      <w:marTop w:val="0"/>
                      <w:marBottom w:val="0"/>
                      <w:divBdr>
                        <w:top w:val="none" w:sz="0" w:space="0" w:color="auto"/>
                        <w:left w:val="none" w:sz="0" w:space="0" w:color="auto"/>
                        <w:bottom w:val="none" w:sz="0" w:space="0" w:color="auto"/>
                        <w:right w:val="none" w:sz="0" w:space="0" w:color="auto"/>
                      </w:divBdr>
                    </w:div>
                  </w:divsChild>
                </w:div>
                <w:div w:id="1688755819">
                  <w:marLeft w:val="0"/>
                  <w:marRight w:val="0"/>
                  <w:marTop w:val="0"/>
                  <w:marBottom w:val="0"/>
                  <w:divBdr>
                    <w:top w:val="none" w:sz="0" w:space="0" w:color="auto"/>
                    <w:left w:val="none" w:sz="0" w:space="0" w:color="auto"/>
                    <w:bottom w:val="none" w:sz="0" w:space="0" w:color="auto"/>
                    <w:right w:val="none" w:sz="0" w:space="0" w:color="auto"/>
                  </w:divBdr>
                  <w:divsChild>
                    <w:div w:id="1818573884">
                      <w:marLeft w:val="0"/>
                      <w:marRight w:val="0"/>
                      <w:marTop w:val="0"/>
                      <w:marBottom w:val="0"/>
                      <w:divBdr>
                        <w:top w:val="none" w:sz="0" w:space="0" w:color="auto"/>
                        <w:left w:val="none" w:sz="0" w:space="0" w:color="auto"/>
                        <w:bottom w:val="none" w:sz="0" w:space="0" w:color="auto"/>
                        <w:right w:val="none" w:sz="0" w:space="0" w:color="auto"/>
                      </w:divBdr>
                    </w:div>
                  </w:divsChild>
                </w:div>
                <w:div w:id="1696805792">
                  <w:marLeft w:val="0"/>
                  <w:marRight w:val="0"/>
                  <w:marTop w:val="0"/>
                  <w:marBottom w:val="0"/>
                  <w:divBdr>
                    <w:top w:val="none" w:sz="0" w:space="0" w:color="auto"/>
                    <w:left w:val="none" w:sz="0" w:space="0" w:color="auto"/>
                    <w:bottom w:val="none" w:sz="0" w:space="0" w:color="auto"/>
                    <w:right w:val="none" w:sz="0" w:space="0" w:color="auto"/>
                  </w:divBdr>
                  <w:divsChild>
                    <w:div w:id="700980065">
                      <w:marLeft w:val="0"/>
                      <w:marRight w:val="0"/>
                      <w:marTop w:val="0"/>
                      <w:marBottom w:val="0"/>
                      <w:divBdr>
                        <w:top w:val="none" w:sz="0" w:space="0" w:color="auto"/>
                        <w:left w:val="none" w:sz="0" w:space="0" w:color="auto"/>
                        <w:bottom w:val="none" w:sz="0" w:space="0" w:color="auto"/>
                        <w:right w:val="none" w:sz="0" w:space="0" w:color="auto"/>
                      </w:divBdr>
                    </w:div>
                  </w:divsChild>
                </w:div>
                <w:div w:id="1703432391">
                  <w:marLeft w:val="0"/>
                  <w:marRight w:val="0"/>
                  <w:marTop w:val="0"/>
                  <w:marBottom w:val="0"/>
                  <w:divBdr>
                    <w:top w:val="none" w:sz="0" w:space="0" w:color="auto"/>
                    <w:left w:val="none" w:sz="0" w:space="0" w:color="auto"/>
                    <w:bottom w:val="none" w:sz="0" w:space="0" w:color="auto"/>
                    <w:right w:val="none" w:sz="0" w:space="0" w:color="auto"/>
                  </w:divBdr>
                  <w:divsChild>
                    <w:div w:id="493882638">
                      <w:marLeft w:val="0"/>
                      <w:marRight w:val="0"/>
                      <w:marTop w:val="0"/>
                      <w:marBottom w:val="0"/>
                      <w:divBdr>
                        <w:top w:val="none" w:sz="0" w:space="0" w:color="auto"/>
                        <w:left w:val="none" w:sz="0" w:space="0" w:color="auto"/>
                        <w:bottom w:val="none" w:sz="0" w:space="0" w:color="auto"/>
                        <w:right w:val="none" w:sz="0" w:space="0" w:color="auto"/>
                      </w:divBdr>
                    </w:div>
                  </w:divsChild>
                </w:div>
                <w:div w:id="1704405876">
                  <w:marLeft w:val="0"/>
                  <w:marRight w:val="0"/>
                  <w:marTop w:val="0"/>
                  <w:marBottom w:val="0"/>
                  <w:divBdr>
                    <w:top w:val="none" w:sz="0" w:space="0" w:color="auto"/>
                    <w:left w:val="none" w:sz="0" w:space="0" w:color="auto"/>
                    <w:bottom w:val="none" w:sz="0" w:space="0" w:color="auto"/>
                    <w:right w:val="none" w:sz="0" w:space="0" w:color="auto"/>
                  </w:divBdr>
                  <w:divsChild>
                    <w:div w:id="1533610568">
                      <w:marLeft w:val="0"/>
                      <w:marRight w:val="0"/>
                      <w:marTop w:val="0"/>
                      <w:marBottom w:val="0"/>
                      <w:divBdr>
                        <w:top w:val="none" w:sz="0" w:space="0" w:color="auto"/>
                        <w:left w:val="none" w:sz="0" w:space="0" w:color="auto"/>
                        <w:bottom w:val="none" w:sz="0" w:space="0" w:color="auto"/>
                        <w:right w:val="none" w:sz="0" w:space="0" w:color="auto"/>
                      </w:divBdr>
                    </w:div>
                  </w:divsChild>
                </w:div>
                <w:div w:id="1707682331">
                  <w:marLeft w:val="0"/>
                  <w:marRight w:val="0"/>
                  <w:marTop w:val="0"/>
                  <w:marBottom w:val="0"/>
                  <w:divBdr>
                    <w:top w:val="none" w:sz="0" w:space="0" w:color="auto"/>
                    <w:left w:val="none" w:sz="0" w:space="0" w:color="auto"/>
                    <w:bottom w:val="none" w:sz="0" w:space="0" w:color="auto"/>
                    <w:right w:val="none" w:sz="0" w:space="0" w:color="auto"/>
                  </w:divBdr>
                  <w:divsChild>
                    <w:div w:id="111949580">
                      <w:marLeft w:val="0"/>
                      <w:marRight w:val="0"/>
                      <w:marTop w:val="0"/>
                      <w:marBottom w:val="0"/>
                      <w:divBdr>
                        <w:top w:val="none" w:sz="0" w:space="0" w:color="auto"/>
                        <w:left w:val="none" w:sz="0" w:space="0" w:color="auto"/>
                        <w:bottom w:val="none" w:sz="0" w:space="0" w:color="auto"/>
                        <w:right w:val="none" w:sz="0" w:space="0" w:color="auto"/>
                      </w:divBdr>
                    </w:div>
                  </w:divsChild>
                </w:div>
                <w:div w:id="1708217862">
                  <w:marLeft w:val="0"/>
                  <w:marRight w:val="0"/>
                  <w:marTop w:val="0"/>
                  <w:marBottom w:val="0"/>
                  <w:divBdr>
                    <w:top w:val="none" w:sz="0" w:space="0" w:color="auto"/>
                    <w:left w:val="none" w:sz="0" w:space="0" w:color="auto"/>
                    <w:bottom w:val="none" w:sz="0" w:space="0" w:color="auto"/>
                    <w:right w:val="none" w:sz="0" w:space="0" w:color="auto"/>
                  </w:divBdr>
                  <w:divsChild>
                    <w:div w:id="2059354029">
                      <w:marLeft w:val="0"/>
                      <w:marRight w:val="0"/>
                      <w:marTop w:val="0"/>
                      <w:marBottom w:val="0"/>
                      <w:divBdr>
                        <w:top w:val="none" w:sz="0" w:space="0" w:color="auto"/>
                        <w:left w:val="none" w:sz="0" w:space="0" w:color="auto"/>
                        <w:bottom w:val="none" w:sz="0" w:space="0" w:color="auto"/>
                        <w:right w:val="none" w:sz="0" w:space="0" w:color="auto"/>
                      </w:divBdr>
                    </w:div>
                  </w:divsChild>
                </w:div>
                <w:div w:id="1708992814">
                  <w:marLeft w:val="0"/>
                  <w:marRight w:val="0"/>
                  <w:marTop w:val="0"/>
                  <w:marBottom w:val="0"/>
                  <w:divBdr>
                    <w:top w:val="none" w:sz="0" w:space="0" w:color="auto"/>
                    <w:left w:val="none" w:sz="0" w:space="0" w:color="auto"/>
                    <w:bottom w:val="none" w:sz="0" w:space="0" w:color="auto"/>
                    <w:right w:val="none" w:sz="0" w:space="0" w:color="auto"/>
                  </w:divBdr>
                  <w:divsChild>
                    <w:div w:id="1519663975">
                      <w:marLeft w:val="0"/>
                      <w:marRight w:val="0"/>
                      <w:marTop w:val="0"/>
                      <w:marBottom w:val="0"/>
                      <w:divBdr>
                        <w:top w:val="none" w:sz="0" w:space="0" w:color="auto"/>
                        <w:left w:val="none" w:sz="0" w:space="0" w:color="auto"/>
                        <w:bottom w:val="none" w:sz="0" w:space="0" w:color="auto"/>
                        <w:right w:val="none" w:sz="0" w:space="0" w:color="auto"/>
                      </w:divBdr>
                    </w:div>
                  </w:divsChild>
                </w:div>
                <w:div w:id="1718508562">
                  <w:marLeft w:val="0"/>
                  <w:marRight w:val="0"/>
                  <w:marTop w:val="0"/>
                  <w:marBottom w:val="0"/>
                  <w:divBdr>
                    <w:top w:val="none" w:sz="0" w:space="0" w:color="auto"/>
                    <w:left w:val="none" w:sz="0" w:space="0" w:color="auto"/>
                    <w:bottom w:val="none" w:sz="0" w:space="0" w:color="auto"/>
                    <w:right w:val="none" w:sz="0" w:space="0" w:color="auto"/>
                  </w:divBdr>
                  <w:divsChild>
                    <w:div w:id="1235775308">
                      <w:marLeft w:val="0"/>
                      <w:marRight w:val="0"/>
                      <w:marTop w:val="0"/>
                      <w:marBottom w:val="0"/>
                      <w:divBdr>
                        <w:top w:val="none" w:sz="0" w:space="0" w:color="auto"/>
                        <w:left w:val="none" w:sz="0" w:space="0" w:color="auto"/>
                        <w:bottom w:val="none" w:sz="0" w:space="0" w:color="auto"/>
                        <w:right w:val="none" w:sz="0" w:space="0" w:color="auto"/>
                      </w:divBdr>
                    </w:div>
                  </w:divsChild>
                </w:div>
                <w:div w:id="1726833031">
                  <w:marLeft w:val="0"/>
                  <w:marRight w:val="0"/>
                  <w:marTop w:val="0"/>
                  <w:marBottom w:val="0"/>
                  <w:divBdr>
                    <w:top w:val="none" w:sz="0" w:space="0" w:color="auto"/>
                    <w:left w:val="none" w:sz="0" w:space="0" w:color="auto"/>
                    <w:bottom w:val="none" w:sz="0" w:space="0" w:color="auto"/>
                    <w:right w:val="none" w:sz="0" w:space="0" w:color="auto"/>
                  </w:divBdr>
                  <w:divsChild>
                    <w:div w:id="278533060">
                      <w:marLeft w:val="0"/>
                      <w:marRight w:val="0"/>
                      <w:marTop w:val="0"/>
                      <w:marBottom w:val="0"/>
                      <w:divBdr>
                        <w:top w:val="none" w:sz="0" w:space="0" w:color="auto"/>
                        <w:left w:val="none" w:sz="0" w:space="0" w:color="auto"/>
                        <w:bottom w:val="none" w:sz="0" w:space="0" w:color="auto"/>
                        <w:right w:val="none" w:sz="0" w:space="0" w:color="auto"/>
                      </w:divBdr>
                    </w:div>
                  </w:divsChild>
                </w:div>
                <w:div w:id="1727025765">
                  <w:marLeft w:val="0"/>
                  <w:marRight w:val="0"/>
                  <w:marTop w:val="0"/>
                  <w:marBottom w:val="0"/>
                  <w:divBdr>
                    <w:top w:val="none" w:sz="0" w:space="0" w:color="auto"/>
                    <w:left w:val="none" w:sz="0" w:space="0" w:color="auto"/>
                    <w:bottom w:val="none" w:sz="0" w:space="0" w:color="auto"/>
                    <w:right w:val="none" w:sz="0" w:space="0" w:color="auto"/>
                  </w:divBdr>
                  <w:divsChild>
                    <w:div w:id="565575936">
                      <w:marLeft w:val="0"/>
                      <w:marRight w:val="0"/>
                      <w:marTop w:val="0"/>
                      <w:marBottom w:val="0"/>
                      <w:divBdr>
                        <w:top w:val="none" w:sz="0" w:space="0" w:color="auto"/>
                        <w:left w:val="none" w:sz="0" w:space="0" w:color="auto"/>
                        <w:bottom w:val="none" w:sz="0" w:space="0" w:color="auto"/>
                        <w:right w:val="none" w:sz="0" w:space="0" w:color="auto"/>
                      </w:divBdr>
                    </w:div>
                  </w:divsChild>
                </w:div>
                <w:div w:id="1732381325">
                  <w:marLeft w:val="0"/>
                  <w:marRight w:val="0"/>
                  <w:marTop w:val="0"/>
                  <w:marBottom w:val="0"/>
                  <w:divBdr>
                    <w:top w:val="none" w:sz="0" w:space="0" w:color="auto"/>
                    <w:left w:val="none" w:sz="0" w:space="0" w:color="auto"/>
                    <w:bottom w:val="none" w:sz="0" w:space="0" w:color="auto"/>
                    <w:right w:val="none" w:sz="0" w:space="0" w:color="auto"/>
                  </w:divBdr>
                  <w:divsChild>
                    <w:div w:id="824659699">
                      <w:marLeft w:val="0"/>
                      <w:marRight w:val="0"/>
                      <w:marTop w:val="0"/>
                      <w:marBottom w:val="0"/>
                      <w:divBdr>
                        <w:top w:val="none" w:sz="0" w:space="0" w:color="auto"/>
                        <w:left w:val="none" w:sz="0" w:space="0" w:color="auto"/>
                        <w:bottom w:val="none" w:sz="0" w:space="0" w:color="auto"/>
                        <w:right w:val="none" w:sz="0" w:space="0" w:color="auto"/>
                      </w:divBdr>
                    </w:div>
                  </w:divsChild>
                </w:div>
                <w:div w:id="1738823589">
                  <w:marLeft w:val="0"/>
                  <w:marRight w:val="0"/>
                  <w:marTop w:val="0"/>
                  <w:marBottom w:val="0"/>
                  <w:divBdr>
                    <w:top w:val="none" w:sz="0" w:space="0" w:color="auto"/>
                    <w:left w:val="none" w:sz="0" w:space="0" w:color="auto"/>
                    <w:bottom w:val="none" w:sz="0" w:space="0" w:color="auto"/>
                    <w:right w:val="none" w:sz="0" w:space="0" w:color="auto"/>
                  </w:divBdr>
                  <w:divsChild>
                    <w:div w:id="387192486">
                      <w:marLeft w:val="0"/>
                      <w:marRight w:val="0"/>
                      <w:marTop w:val="0"/>
                      <w:marBottom w:val="0"/>
                      <w:divBdr>
                        <w:top w:val="none" w:sz="0" w:space="0" w:color="auto"/>
                        <w:left w:val="none" w:sz="0" w:space="0" w:color="auto"/>
                        <w:bottom w:val="none" w:sz="0" w:space="0" w:color="auto"/>
                        <w:right w:val="none" w:sz="0" w:space="0" w:color="auto"/>
                      </w:divBdr>
                    </w:div>
                  </w:divsChild>
                </w:div>
                <w:div w:id="1741323931">
                  <w:marLeft w:val="0"/>
                  <w:marRight w:val="0"/>
                  <w:marTop w:val="0"/>
                  <w:marBottom w:val="0"/>
                  <w:divBdr>
                    <w:top w:val="none" w:sz="0" w:space="0" w:color="auto"/>
                    <w:left w:val="none" w:sz="0" w:space="0" w:color="auto"/>
                    <w:bottom w:val="none" w:sz="0" w:space="0" w:color="auto"/>
                    <w:right w:val="none" w:sz="0" w:space="0" w:color="auto"/>
                  </w:divBdr>
                  <w:divsChild>
                    <w:div w:id="952712159">
                      <w:marLeft w:val="0"/>
                      <w:marRight w:val="0"/>
                      <w:marTop w:val="0"/>
                      <w:marBottom w:val="0"/>
                      <w:divBdr>
                        <w:top w:val="none" w:sz="0" w:space="0" w:color="auto"/>
                        <w:left w:val="none" w:sz="0" w:space="0" w:color="auto"/>
                        <w:bottom w:val="none" w:sz="0" w:space="0" w:color="auto"/>
                        <w:right w:val="none" w:sz="0" w:space="0" w:color="auto"/>
                      </w:divBdr>
                    </w:div>
                  </w:divsChild>
                </w:div>
                <w:div w:id="1747220121">
                  <w:marLeft w:val="0"/>
                  <w:marRight w:val="0"/>
                  <w:marTop w:val="0"/>
                  <w:marBottom w:val="0"/>
                  <w:divBdr>
                    <w:top w:val="none" w:sz="0" w:space="0" w:color="auto"/>
                    <w:left w:val="none" w:sz="0" w:space="0" w:color="auto"/>
                    <w:bottom w:val="none" w:sz="0" w:space="0" w:color="auto"/>
                    <w:right w:val="none" w:sz="0" w:space="0" w:color="auto"/>
                  </w:divBdr>
                  <w:divsChild>
                    <w:div w:id="604312787">
                      <w:marLeft w:val="0"/>
                      <w:marRight w:val="0"/>
                      <w:marTop w:val="0"/>
                      <w:marBottom w:val="0"/>
                      <w:divBdr>
                        <w:top w:val="none" w:sz="0" w:space="0" w:color="auto"/>
                        <w:left w:val="none" w:sz="0" w:space="0" w:color="auto"/>
                        <w:bottom w:val="none" w:sz="0" w:space="0" w:color="auto"/>
                        <w:right w:val="none" w:sz="0" w:space="0" w:color="auto"/>
                      </w:divBdr>
                    </w:div>
                  </w:divsChild>
                </w:div>
                <w:div w:id="1753352195">
                  <w:marLeft w:val="0"/>
                  <w:marRight w:val="0"/>
                  <w:marTop w:val="0"/>
                  <w:marBottom w:val="0"/>
                  <w:divBdr>
                    <w:top w:val="none" w:sz="0" w:space="0" w:color="auto"/>
                    <w:left w:val="none" w:sz="0" w:space="0" w:color="auto"/>
                    <w:bottom w:val="none" w:sz="0" w:space="0" w:color="auto"/>
                    <w:right w:val="none" w:sz="0" w:space="0" w:color="auto"/>
                  </w:divBdr>
                  <w:divsChild>
                    <w:div w:id="2021154025">
                      <w:marLeft w:val="0"/>
                      <w:marRight w:val="0"/>
                      <w:marTop w:val="0"/>
                      <w:marBottom w:val="0"/>
                      <w:divBdr>
                        <w:top w:val="none" w:sz="0" w:space="0" w:color="auto"/>
                        <w:left w:val="none" w:sz="0" w:space="0" w:color="auto"/>
                        <w:bottom w:val="none" w:sz="0" w:space="0" w:color="auto"/>
                        <w:right w:val="none" w:sz="0" w:space="0" w:color="auto"/>
                      </w:divBdr>
                    </w:div>
                  </w:divsChild>
                </w:div>
                <w:div w:id="1755324272">
                  <w:marLeft w:val="0"/>
                  <w:marRight w:val="0"/>
                  <w:marTop w:val="0"/>
                  <w:marBottom w:val="0"/>
                  <w:divBdr>
                    <w:top w:val="none" w:sz="0" w:space="0" w:color="auto"/>
                    <w:left w:val="none" w:sz="0" w:space="0" w:color="auto"/>
                    <w:bottom w:val="none" w:sz="0" w:space="0" w:color="auto"/>
                    <w:right w:val="none" w:sz="0" w:space="0" w:color="auto"/>
                  </w:divBdr>
                  <w:divsChild>
                    <w:div w:id="283386578">
                      <w:marLeft w:val="0"/>
                      <w:marRight w:val="0"/>
                      <w:marTop w:val="0"/>
                      <w:marBottom w:val="0"/>
                      <w:divBdr>
                        <w:top w:val="none" w:sz="0" w:space="0" w:color="auto"/>
                        <w:left w:val="none" w:sz="0" w:space="0" w:color="auto"/>
                        <w:bottom w:val="none" w:sz="0" w:space="0" w:color="auto"/>
                        <w:right w:val="none" w:sz="0" w:space="0" w:color="auto"/>
                      </w:divBdr>
                    </w:div>
                  </w:divsChild>
                </w:div>
                <w:div w:id="1755975167">
                  <w:marLeft w:val="0"/>
                  <w:marRight w:val="0"/>
                  <w:marTop w:val="0"/>
                  <w:marBottom w:val="0"/>
                  <w:divBdr>
                    <w:top w:val="none" w:sz="0" w:space="0" w:color="auto"/>
                    <w:left w:val="none" w:sz="0" w:space="0" w:color="auto"/>
                    <w:bottom w:val="none" w:sz="0" w:space="0" w:color="auto"/>
                    <w:right w:val="none" w:sz="0" w:space="0" w:color="auto"/>
                  </w:divBdr>
                  <w:divsChild>
                    <w:div w:id="2124300749">
                      <w:marLeft w:val="0"/>
                      <w:marRight w:val="0"/>
                      <w:marTop w:val="0"/>
                      <w:marBottom w:val="0"/>
                      <w:divBdr>
                        <w:top w:val="none" w:sz="0" w:space="0" w:color="auto"/>
                        <w:left w:val="none" w:sz="0" w:space="0" w:color="auto"/>
                        <w:bottom w:val="none" w:sz="0" w:space="0" w:color="auto"/>
                        <w:right w:val="none" w:sz="0" w:space="0" w:color="auto"/>
                      </w:divBdr>
                    </w:div>
                  </w:divsChild>
                </w:div>
                <w:div w:id="1767383121">
                  <w:marLeft w:val="0"/>
                  <w:marRight w:val="0"/>
                  <w:marTop w:val="0"/>
                  <w:marBottom w:val="0"/>
                  <w:divBdr>
                    <w:top w:val="none" w:sz="0" w:space="0" w:color="auto"/>
                    <w:left w:val="none" w:sz="0" w:space="0" w:color="auto"/>
                    <w:bottom w:val="none" w:sz="0" w:space="0" w:color="auto"/>
                    <w:right w:val="none" w:sz="0" w:space="0" w:color="auto"/>
                  </w:divBdr>
                  <w:divsChild>
                    <w:div w:id="1433016308">
                      <w:marLeft w:val="0"/>
                      <w:marRight w:val="0"/>
                      <w:marTop w:val="0"/>
                      <w:marBottom w:val="0"/>
                      <w:divBdr>
                        <w:top w:val="none" w:sz="0" w:space="0" w:color="auto"/>
                        <w:left w:val="none" w:sz="0" w:space="0" w:color="auto"/>
                        <w:bottom w:val="none" w:sz="0" w:space="0" w:color="auto"/>
                        <w:right w:val="none" w:sz="0" w:space="0" w:color="auto"/>
                      </w:divBdr>
                    </w:div>
                  </w:divsChild>
                </w:div>
                <w:div w:id="1767799838">
                  <w:marLeft w:val="0"/>
                  <w:marRight w:val="0"/>
                  <w:marTop w:val="0"/>
                  <w:marBottom w:val="0"/>
                  <w:divBdr>
                    <w:top w:val="none" w:sz="0" w:space="0" w:color="auto"/>
                    <w:left w:val="none" w:sz="0" w:space="0" w:color="auto"/>
                    <w:bottom w:val="none" w:sz="0" w:space="0" w:color="auto"/>
                    <w:right w:val="none" w:sz="0" w:space="0" w:color="auto"/>
                  </w:divBdr>
                  <w:divsChild>
                    <w:div w:id="339744092">
                      <w:marLeft w:val="0"/>
                      <w:marRight w:val="0"/>
                      <w:marTop w:val="0"/>
                      <w:marBottom w:val="0"/>
                      <w:divBdr>
                        <w:top w:val="none" w:sz="0" w:space="0" w:color="auto"/>
                        <w:left w:val="none" w:sz="0" w:space="0" w:color="auto"/>
                        <w:bottom w:val="none" w:sz="0" w:space="0" w:color="auto"/>
                        <w:right w:val="none" w:sz="0" w:space="0" w:color="auto"/>
                      </w:divBdr>
                    </w:div>
                  </w:divsChild>
                </w:div>
                <w:div w:id="1768042616">
                  <w:marLeft w:val="0"/>
                  <w:marRight w:val="0"/>
                  <w:marTop w:val="0"/>
                  <w:marBottom w:val="0"/>
                  <w:divBdr>
                    <w:top w:val="none" w:sz="0" w:space="0" w:color="auto"/>
                    <w:left w:val="none" w:sz="0" w:space="0" w:color="auto"/>
                    <w:bottom w:val="none" w:sz="0" w:space="0" w:color="auto"/>
                    <w:right w:val="none" w:sz="0" w:space="0" w:color="auto"/>
                  </w:divBdr>
                  <w:divsChild>
                    <w:div w:id="210583706">
                      <w:marLeft w:val="0"/>
                      <w:marRight w:val="0"/>
                      <w:marTop w:val="0"/>
                      <w:marBottom w:val="0"/>
                      <w:divBdr>
                        <w:top w:val="none" w:sz="0" w:space="0" w:color="auto"/>
                        <w:left w:val="none" w:sz="0" w:space="0" w:color="auto"/>
                        <w:bottom w:val="none" w:sz="0" w:space="0" w:color="auto"/>
                        <w:right w:val="none" w:sz="0" w:space="0" w:color="auto"/>
                      </w:divBdr>
                    </w:div>
                  </w:divsChild>
                </w:div>
                <w:div w:id="1768963949">
                  <w:marLeft w:val="0"/>
                  <w:marRight w:val="0"/>
                  <w:marTop w:val="0"/>
                  <w:marBottom w:val="0"/>
                  <w:divBdr>
                    <w:top w:val="none" w:sz="0" w:space="0" w:color="auto"/>
                    <w:left w:val="none" w:sz="0" w:space="0" w:color="auto"/>
                    <w:bottom w:val="none" w:sz="0" w:space="0" w:color="auto"/>
                    <w:right w:val="none" w:sz="0" w:space="0" w:color="auto"/>
                  </w:divBdr>
                  <w:divsChild>
                    <w:div w:id="1822114513">
                      <w:marLeft w:val="0"/>
                      <w:marRight w:val="0"/>
                      <w:marTop w:val="0"/>
                      <w:marBottom w:val="0"/>
                      <w:divBdr>
                        <w:top w:val="none" w:sz="0" w:space="0" w:color="auto"/>
                        <w:left w:val="none" w:sz="0" w:space="0" w:color="auto"/>
                        <w:bottom w:val="none" w:sz="0" w:space="0" w:color="auto"/>
                        <w:right w:val="none" w:sz="0" w:space="0" w:color="auto"/>
                      </w:divBdr>
                    </w:div>
                  </w:divsChild>
                </w:div>
                <w:div w:id="1772772798">
                  <w:marLeft w:val="0"/>
                  <w:marRight w:val="0"/>
                  <w:marTop w:val="0"/>
                  <w:marBottom w:val="0"/>
                  <w:divBdr>
                    <w:top w:val="none" w:sz="0" w:space="0" w:color="auto"/>
                    <w:left w:val="none" w:sz="0" w:space="0" w:color="auto"/>
                    <w:bottom w:val="none" w:sz="0" w:space="0" w:color="auto"/>
                    <w:right w:val="none" w:sz="0" w:space="0" w:color="auto"/>
                  </w:divBdr>
                  <w:divsChild>
                    <w:div w:id="379021032">
                      <w:marLeft w:val="0"/>
                      <w:marRight w:val="0"/>
                      <w:marTop w:val="0"/>
                      <w:marBottom w:val="0"/>
                      <w:divBdr>
                        <w:top w:val="none" w:sz="0" w:space="0" w:color="auto"/>
                        <w:left w:val="none" w:sz="0" w:space="0" w:color="auto"/>
                        <w:bottom w:val="none" w:sz="0" w:space="0" w:color="auto"/>
                        <w:right w:val="none" w:sz="0" w:space="0" w:color="auto"/>
                      </w:divBdr>
                    </w:div>
                  </w:divsChild>
                </w:div>
                <w:div w:id="1776905089">
                  <w:marLeft w:val="0"/>
                  <w:marRight w:val="0"/>
                  <w:marTop w:val="0"/>
                  <w:marBottom w:val="0"/>
                  <w:divBdr>
                    <w:top w:val="none" w:sz="0" w:space="0" w:color="auto"/>
                    <w:left w:val="none" w:sz="0" w:space="0" w:color="auto"/>
                    <w:bottom w:val="none" w:sz="0" w:space="0" w:color="auto"/>
                    <w:right w:val="none" w:sz="0" w:space="0" w:color="auto"/>
                  </w:divBdr>
                  <w:divsChild>
                    <w:div w:id="358358741">
                      <w:marLeft w:val="0"/>
                      <w:marRight w:val="0"/>
                      <w:marTop w:val="0"/>
                      <w:marBottom w:val="0"/>
                      <w:divBdr>
                        <w:top w:val="none" w:sz="0" w:space="0" w:color="auto"/>
                        <w:left w:val="none" w:sz="0" w:space="0" w:color="auto"/>
                        <w:bottom w:val="none" w:sz="0" w:space="0" w:color="auto"/>
                        <w:right w:val="none" w:sz="0" w:space="0" w:color="auto"/>
                      </w:divBdr>
                    </w:div>
                  </w:divsChild>
                </w:div>
                <w:div w:id="1782073067">
                  <w:marLeft w:val="0"/>
                  <w:marRight w:val="0"/>
                  <w:marTop w:val="0"/>
                  <w:marBottom w:val="0"/>
                  <w:divBdr>
                    <w:top w:val="none" w:sz="0" w:space="0" w:color="auto"/>
                    <w:left w:val="none" w:sz="0" w:space="0" w:color="auto"/>
                    <w:bottom w:val="none" w:sz="0" w:space="0" w:color="auto"/>
                    <w:right w:val="none" w:sz="0" w:space="0" w:color="auto"/>
                  </w:divBdr>
                  <w:divsChild>
                    <w:div w:id="176769102">
                      <w:marLeft w:val="0"/>
                      <w:marRight w:val="0"/>
                      <w:marTop w:val="0"/>
                      <w:marBottom w:val="0"/>
                      <w:divBdr>
                        <w:top w:val="none" w:sz="0" w:space="0" w:color="auto"/>
                        <w:left w:val="none" w:sz="0" w:space="0" w:color="auto"/>
                        <w:bottom w:val="none" w:sz="0" w:space="0" w:color="auto"/>
                        <w:right w:val="none" w:sz="0" w:space="0" w:color="auto"/>
                      </w:divBdr>
                    </w:div>
                  </w:divsChild>
                </w:div>
                <w:div w:id="1790007563">
                  <w:marLeft w:val="0"/>
                  <w:marRight w:val="0"/>
                  <w:marTop w:val="0"/>
                  <w:marBottom w:val="0"/>
                  <w:divBdr>
                    <w:top w:val="none" w:sz="0" w:space="0" w:color="auto"/>
                    <w:left w:val="none" w:sz="0" w:space="0" w:color="auto"/>
                    <w:bottom w:val="none" w:sz="0" w:space="0" w:color="auto"/>
                    <w:right w:val="none" w:sz="0" w:space="0" w:color="auto"/>
                  </w:divBdr>
                  <w:divsChild>
                    <w:div w:id="515076096">
                      <w:marLeft w:val="0"/>
                      <w:marRight w:val="0"/>
                      <w:marTop w:val="0"/>
                      <w:marBottom w:val="0"/>
                      <w:divBdr>
                        <w:top w:val="none" w:sz="0" w:space="0" w:color="auto"/>
                        <w:left w:val="none" w:sz="0" w:space="0" w:color="auto"/>
                        <w:bottom w:val="none" w:sz="0" w:space="0" w:color="auto"/>
                        <w:right w:val="none" w:sz="0" w:space="0" w:color="auto"/>
                      </w:divBdr>
                    </w:div>
                  </w:divsChild>
                </w:div>
                <w:div w:id="1797991626">
                  <w:marLeft w:val="0"/>
                  <w:marRight w:val="0"/>
                  <w:marTop w:val="0"/>
                  <w:marBottom w:val="0"/>
                  <w:divBdr>
                    <w:top w:val="none" w:sz="0" w:space="0" w:color="auto"/>
                    <w:left w:val="none" w:sz="0" w:space="0" w:color="auto"/>
                    <w:bottom w:val="none" w:sz="0" w:space="0" w:color="auto"/>
                    <w:right w:val="none" w:sz="0" w:space="0" w:color="auto"/>
                  </w:divBdr>
                  <w:divsChild>
                    <w:div w:id="1615361585">
                      <w:marLeft w:val="0"/>
                      <w:marRight w:val="0"/>
                      <w:marTop w:val="0"/>
                      <w:marBottom w:val="0"/>
                      <w:divBdr>
                        <w:top w:val="none" w:sz="0" w:space="0" w:color="auto"/>
                        <w:left w:val="none" w:sz="0" w:space="0" w:color="auto"/>
                        <w:bottom w:val="none" w:sz="0" w:space="0" w:color="auto"/>
                        <w:right w:val="none" w:sz="0" w:space="0" w:color="auto"/>
                      </w:divBdr>
                    </w:div>
                  </w:divsChild>
                </w:div>
                <w:div w:id="1798647014">
                  <w:marLeft w:val="0"/>
                  <w:marRight w:val="0"/>
                  <w:marTop w:val="0"/>
                  <w:marBottom w:val="0"/>
                  <w:divBdr>
                    <w:top w:val="none" w:sz="0" w:space="0" w:color="auto"/>
                    <w:left w:val="none" w:sz="0" w:space="0" w:color="auto"/>
                    <w:bottom w:val="none" w:sz="0" w:space="0" w:color="auto"/>
                    <w:right w:val="none" w:sz="0" w:space="0" w:color="auto"/>
                  </w:divBdr>
                  <w:divsChild>
                    <w:div w:id="1950745039">
                      <w:marLeft w:val="0"/>
                      <w:marRight w:val="0"/>
                      <w:marTop w:val="0"/>
                      <w:marBottom w:val="0"/>
                      <w:divBdr>
                        <w:top w:val="none" w:sz="0" w:space="0" w:color="auto"/>
                        <w:left w:val="none" w:sz="0" w:space="0" w:color="auto"/>
                        <w:bottom w:val="none" w:sz="0" w:space="0" w:color="auto"/>
                        <w:right w:val="none" w:sz="0" w:space="0" w:color="auto"/>
                      </w:divBdr>
                    </w:div>
                  </w:divsChild>
                </w:div>
                <w:div w:id="1800802068">
                  <w:marLeft w:val="0"/>
                  <w:marRight w:val="0"/>
                  <w:marTop w:val="0"/>
                  <w:marBottom w:val="0"/>
                  <w:divBdr>
                    <w:top w:val="none" w:sz="0" w:space="0" w:color="auto"/>
                    <w:left w:val="none" w:sz="0" w:space="0" w:color="auto"/>
                    <w:bottom w:val="none" w:sz="0" w:space="0" w:color="auto"/>
                    <w:right w:val="none" w:sz="0" w:space="0" w:color="auto"/>
                  </w:divBdr>
                  <w:divsChild>
                    <w:div w:id="1218317179">
                      <w:marLeft w:val="0"/>
                      <w:marRight w:val="0"/>
                      <w:marTop w:val="0"/>
                      <w:marBottom w:val="0"/>
                      <w:divBdr>
                        <w:top w:val="none" w:sz="0" w:space="0" w:color="auto"/>
                        <w:left w:val="none" w:sz="0" w:space="0" w:color="auto"/>
                        <w:bottom w:val="none" w:sz="0" w:space="0" w:color="auto"/>
                        <w:right w:val="none" w:sz="0" w:space="0" w:color="auto"/>
                      </w:divBdr>
                    </w:div>
                  </w:divsChild>
                </w:div>
                <w:div w:id="1801150042">
                  <w:marLeft w:val="0"/>
                  <w:marRight w:val="0"/>
                  <w:marTop w:val="0"/>
                  <w:marBottom w:val="0"/>
                  <w:divBdr>
                    <w:top w:val="none" w:sz="0" w:space="0" w:color="auto"/>
                    <w:left w:val="none" w:sz="0" w:space="0" w:color="auto"/>
                    <w:bottom w:val="none" w:sz="0" w:space="0" w:color="auto"/>
                    <w:right w:val="none" w:sz="0" w:space="0" w:color="auto"/>
                  </w:divBdr>
                  <w:divsChild>
                    <w:div w:id="1410422202">
                      <w:marLeft w:val="0"/>
                      <w:marRight w:val="0"/>
                      <w:marTop w:val="0"/>
                      <w:marBottom w:val="0"/>
                      <w:divBdr>
                        <w:top w:val="none" w:sz="0" w:space="0" w:color="auto"/>
                        <w:left w:val="none" w:sz="0" w:space="0" w:color="auto"/>
                        <w:bottom w:val="none" w:sz="0" w:space="0" w:color="auto"/>
                        <w:right w:val="none" w:sz="0" w:space="0" w:color="auto"/>
                      </w:divBdr>
                    </w:div>
                  </w:divsChild>
                </w:div>
                <w:div w:id="1802259818">
                  <w:marLeft w:val="0"/>
                  <w:marRight w:val="0"/>
                  <w:marTop w:val="0"/>
                  <w:marBottom w:val="0"/>
                  <w:divBdr>
                    <w:top w:val="none" w:sz="0" w:space="0" w:color="auto"/>
                    <w:left w:val="none" w:sz="0" w:space="0" w:color="auto"/>
                    <w:bottom w:val="none" w:sz="0" w:space="0" w:color="auto"/>
                    <w:right w:val="none" w:sz="0" w:space="0" w:color="auto"/>
                  </w:divBdr>
                  <w:divsChild>
                    <w:div w:id="1320578679">
                      <w:marLeft w:val="0"/>
                      <w:marRight w:val="0"/>
                      <w:marTop w:val="0"/>
                      <w:marBottom w:val="0"/>
                      <w:divBdr>
                        <w:top w:val="none" w:sz="0" w:space="0" w:color="auto"/>
                        <w:left w:val="none" w:sz="0" w:space="0" w:color="auto"/>
                        <w:bottom w:val="none" w:sz="0" w:space="0" w:color="auto"/>
                        <w:right w:val="none" w:sz="0" w:space="0" w:color="auto"/>
                      </w:divBdr>
                    </w:div>
                  </w:divsChild>
                </w:div>
                <w:div w:id="1804080224">
                  <w:marLeft w:val="0"/>
                  <w:marRight w:val="0"/>
                  <w:marTop w:val="0"/>
                  <w:marBottom w:val="0"/>
                  <w:divBdr>
                    <w:top w:val="none" w:sz="0" w:space="0" w:color="auto"/>
                    <w:left w:val="none" w:sz="0" w:space="0" w:color="auto"/>
                    <w:bottom w:val="none" w:sz="0" w:space="0" w:color="auto"/>
                    <w:right w:val="none" w:sz="0" w:space="0" w:color="auto"/>
                  </w:divBdr>
                  <w:divsChild>
                    <w:div w:id="1958486918">
                      <w:marLeft w:val="0"/>
                      <w:marRight w:val="0"/>
                      <w:marTop w:val="0"/>
                      <w:marBottom w:val="0"/>
                      <w:divBdr>
                        <w:top w:val="none" w:sz="0" w:space="0" w:color="auto"/>
                        <w:left w:val="none" w:sz="0" w:space="0" w:color="auto"/>
                        <w:bottom w:val="none" w:sz="0" w:space="0" w:color="auto"/>
                        <w:right w:val="none" w:sz="0" w:space="0" w:color="auto"/>
                      </w:divBdr>
                    </w:div>
                  </w:divsChild>
                </w:div>
                <w:div w:id="1804303538">
                  <w:marLeft w:val="0"/>
                  <w:marRight w:val="0"/>
                  <w:marTop w:val="0"/>
                  <w:marBottom w:val="0"/>
                  <w:divBdr>
                    <w:top w:val="none" w:sz="0" w:space="0" w:color="auto"/>
                    <w:left w:val="none" w:sz="0" w:space="0" w:color="auto"/>
                    <w:bottom w:val="none" w:sz="0" w:space="0" w:color="auto"/>
                    <w:right w:val="none" w:sz="0" w:space="0" w:color="auto"/>
                  </w:divBdr>
                  <w:divsChild>
                    <w:div w:id="1518421170">
                      <w:marLeft w:val="0"/>
                      <w:marRight w:val="0"/>
                      <w:marTop w:val="0"/>
                      <w:marBottom w:val="0"/>
                      <w:divBdr>
                        <w:top w:val="none" w:sz="0" w:space="0" w:color="auto"/>
                        <w:left w:val="none" w:sz="0" w:space="0" w:color="auto"/>
                        <w:bottom w:val="none" w:sz="0" w:space="0" w:color="auto"/>
                        <w:right w:val="none" w:sz="0" w:space="0" w:color="auto"/>
                      </w:divBdr>
                    </w:div>
                  </w:divsChild>
                </w:div>
                <w:div w:id="1812748279">
                  <w:marLeft w:val="0"/>
                  <w:marRight w:val="0"/>
                  <w:marTop w:val="0"/>
                  <w:marBottom w:val="0"/>
                  <w:divBdr>
                    <w:top w:val="none" w:sz="0" w:space="0" w:color="auto"/>
                    <w:left w:val="none" w:sz="0" w:space="0" w:color="auto"/>
                    <w:bottom w:val="none" w:sz="0" w:space="0" w:color="auto"/>
                    <w:right w:val="none" w:sz="0" w:space="0" w:color="auto"/>
                  </w:divBdr>
                  <w:divsChild>
                    <w:div w:id="1430001395">
                      <w:marLeft w:val="0"/>
                      <w:marRight w:val="0"/>
                      <w:marTop w:val="0"/>
                      <w:marBottom w:val="0"/>
                      <w:divBdr>
                        <w:top w:val="none" w:sz="0" w:space="0" w:color="auto"/>
                        <w:left w:val="none" w:sz="0" w:space="0" w:color="auto"/>
                        <w:bottom w:val="none" w:sz="0" w:space="0" w:color="auto"/>
                        <w:right w:val="none" w:sz="0" w:space="0" w:color="auto"/>
                      </w:divBdr>
                    </w:div>
                  </w:divsChild>
                </w:div>
                <w:div w:id="1820003476">
                  <w:marLeft w:val="0"/>
                  <w:marRight w:val="0"/>
                  <w:marTop w:val="0"/>
                  <w:marBottom w:val="0"/>
                  <w:divBdr>
                    <w:top w:val="none" w:sz="0" w:space="0" w:color="auto"/>
                    <w:left w:val="none" w:sz="0" w:space="0" w:color="auto"/>
                    <w:bottom w:val="none" w:sz="0" w:space="0" w:color="auto"/>
                    <w:right w:val="none" w:sz="0" w:space="0" w:color="auto"/>
                  </w:divBdr>
                  <w:divsChild>
                    <w:div w:id="2135714489">
                      <w:marLeft w:val="0"/>
                      <w:marRight w:val="0"/>
                      <w:marTop w:val="0"/>
                      <w:marBottom w:val="0"/>
                      <w:divBdr>
                        <w:top w:val="none" w:sz="0" w:space="0" w:color="auto"/>
                        <w:left w:val="none" w:sz="0" w:space="0" w:color="auto"/>
                        <w:bottom w:val="none" w:sz="0" w:space="0" w:color="auto"/>
                        <w:right w:val="none" w:sz="0" w:space="0" w:color="auto"/>
                      </w:divBdr>
                    </w:div>
                  </w:divsChild>
                </w:div>
                <w:div w:id="1820806326">
                  <w:marLeft w:val="0"/>
                  <w:marRight w:val="0"/>
                  <w:marTop w:val="0"/>
                  <w:marBottom w:val="0"/>
                  <w:divBdr>
                    <w:top w:val="none" w:sz="0" w:space="0" w:color="auto"/>
                    <w:left w:val="none" w:sz="0" w:space="0" w:color="auto"/>
                    <w:bottom w:val="none" w:sz="0" w:space="0" w:color="auto"/>
                    <w:right w:val="none" w:sz="0" w:space="0" w:color="auto"/>
                  </w:divBdr>
                  <w:divsChild>
                    <w:div w:id="342633368">
                      <w:marLeft w:val="0"/>
                      <w:marRight w:val="0"/>
                      <w:marTop w:val="0"/>
                      <w:marBottom w:val="0"/>
                      <w:divBdr>
                        <w:top w:val="none" w:sz="0" w:space="0" w:color="auto"/>
                        <w:left w:val="none" w:sz="0" w:space="0" w:color="auto"/>
                        <w:bottom w:val="none" w:sz="0" w:space="0" w:color="auto"/>
                        <w:right w:val="none" w:sz="0" w:space="0" w:color="auto"/>
                      </w:divBdr>
                    </w:div>
                  </w:divsChild>
                </w:div>
                <w:div w:id="1829132388">
                  <w:marLeft w:val="0"/>
                  <w:marRight w:val="0"/>
                  <w:marTop w:val="0"/>
                  <w:marBottom w:val="0"/>
                  <w:divBdr>
                    <w:top w:val="none" w:sz="0" w:space="0" w:color="auto"/>
                    <w:left w:val="none" w:sz="0" w:space="0" w:color="auto"/>
                    <w:bottom w:val="none" w:sz="0" w:space="0" w:color="auto"/>
                    <w:right w:val="none" w:sz="0" w:space="0" w:color="auto"/>
                  </w:divBdr>
                  <w:divsChild>
                    <w:div w:id="1945069334">
                      <w:marLeft w:val="0"/>
                      <w:marRight w:val="0"/>
                      <w:marTop w:val="0"/>
                      <w:marBottom w:val="0"/>
                      <w:divBdr>
                        <w:top w:val="none" w:sz="0" w:space="0" w:color="auto"/>
                        <w:left w:val="none" w:sz="0" w:space="0" w:color="auto"/>
                        <w:bottom w:val="none" w:sz="0" w:space="0" w:color="auto"/>
                        <w:right w:val="none" w:sz="0" w:space="0" w:color="auto"/>
                      </w:divBdr>
                    </w:div>
                  </w:divsChild>
                </w:div>
                <w:div w:id="1836533106">
                  <w:marLeft w:val="0"/>
                  <w:marRight w:val="0"/>
                  <w:marTop w:val="0"/>
                  <w:marBottom w:val="0"/>
                  <w:divBdr>
                    <w:top w:val="none" w:sz="0" w:space="0" w:color="auto"/>
                    <w:left w:val="none" w:sz="0" w:space="0" w:color="auto"/>
                    <w:bottom w:val="none" w:sz="0" w:space="0" w:color="auto"/>
                    <w:right w:val="none" w:sz="0" w:space="0" w:color="auto"/>
                  </w:divBdr>
                  <w:divsChild>
                    <w:div w:id="1847281568">
                      <w:marLeft w:val="0"/>
                      <w:marRight w:val="0"/>
                      <w:marTop w:val="0"/>
                      <w:marBottom w:val="0"/>
                      <w:divBdr>
                        <w:top w:val="none" w:sz="0" w:space="0" w:color="auto"/>
                        <w:left w:val="none" w:sz="0" w:space="0" w:color="auto"/>
                        <w:bottom w:val="none" w:sz="0" w:space="0" w:color="auto"/>
                        <w:right w:val="none" w:sz="0" w:space="0" w:color="auto"/>
                      </w:divBdr>
                    </w:div>
                  </w:divsChild>
                </w:div>
                <w:div w:id="1836603200">
                  <w:marLeft w:val="0"/>
                  <w:marRight w:val="0"/>
                  <w:marTop w:val="0"/>
                  <w:marBottom w:val="0"/>
                  <w:divBdr>
                    <w:top w:val="none" w:sz="0" w:space="0" w:color="auto"/>
                    <w:left w:val="none" w:sz="0" w:space="0" w:color="auto"/>
                    <w:bottom w:val="none" w:sz="0" w:space="0" w:color="auto"/>
                    <w:right w:val="none" w:sz="0" w:space="0" w:color="auto"/>
                  </w:divBdr>
                  <w:divsChild>
                    <w:div w:id="583880926">
                      <w:marLeft w:val="0"/>
                      <w:marRight w:val="0"/>
                      <w:marTop w:val="0"/>
                      <w:marBottom w:val="0"/>
                      <w:divBdr>
                        <w:top w:val="none" w:sz="0" w:space="0" w:color="auto"/>
                        <w:left w:val="none" w:sz="0" w:space="0" w:color="auto"/>
                        <w:bottom w:val="none" w:sz="0" w:space="0" w:color="auto"/>
                        <w:right w:val="none" w:sz="0" w:space="0" w:color="auto"/>
                      </w:divBdr>
                    </w:div>
                  </w:divsChild>
                </w:div>
                <w:div w:id="1836799431">
                  <w:marLeft w:val="0"/>
                  <w:marRight w:val="0"/>
                  <w:marTop w:val="0"/>
                  <w:marBottom w:val="0"/>
                  <w:divBdr>
                    <w:top w:val="none" w:sz="0" w:space="0" w:color="auto"/>
                    <w:left w:val="none" w:sz="0" w:space="0" w:color="auto"/>
                    <w:bottom w:val="none" w:sz="0" w:space="0" w:color="auto"/>
                    <w:right w:val="none" w:sz="0" w:space="0" w:color="auto"/>
                  </w:divBdr>
                  <w:divsChild>
                    <w:div w:id="1797334345">
                      <w:marLeft w:val="0"/>
                      <w:marRight w:val="0"/>
                      <w:marTop w:val="0"/>
                      <w:marBottom w:val="0"/>
                      <w:divBdr>
                        <w:top w:val="none" w:sz="0" w:space="0" w:color="auto"/>
                        <w:left w:val="none" w:sz="0" w:space="0" w:color="auto"/>
                        <w:bottom w:val="none" w:sz="0" w:space="0" w:color="auto"/>
                        <w:right w:val="none" w:sz="0" w:space="0" w:color="auto"/>
                      </w:divBdr>
                    </w:div>
                  </w:divsChild>
                </w:div>
                <w:div w:id="1853378561">
                  <w:marLeft w:val="0"/>
                  <w:marRight w:val="0"/>
                  <w:marTop w:val="0"/>
                  <w:marBottom w:val="0"/>
                  <w:divBdr>
                    <w:top w:val="none" w:sz="0" w:space="0" w:color="auto"/>
                    <w:left w:val="none" w:sz="0" w:space="0" w:color="auto"/>
                    <w:bottom w:val="none" w:sz="0" w:space="0" w:color="auto"/>
                    <w:right w:val="none" w:sz="0" w:space="0" w:color="auto"/>
                  </w:divBdr>
                  <w:divsChild>
                    <w:div w:id="1740982450">
                      <w:marLeft w:val="0"/>
                      <w:marRight w:val="0"/>
                      <w:marTop w:val="0"/>
                      <w:marBottom w:val="0"/>
                      <w:divBdr>
                        <w:top w:val="none" w:sz="0" w:space="0" w:color="auto"/>
                        <w:left w:val="none" w:sz="0" w:space="0" w:color="auto"/>
                        <w:bottom w:val="none" w:sz="0" w:space="0" w:color="auto"/>
                        <w:right w:val="none" w:sz="0" w:space="0" w:color="auto"/>
                      </w:divBdr>
                    </w:div>
                  </w:divsChild>
                </w:div>
                <w:div w:id="1868905523">
                  <w:marLeft w:val="0"/>
                  <w:marRight w:val="0"/>
                  <w:marTop w:val="0"/>
                  <w:marBottom w:val="0"/>
                  <w:divBdr>
                    <w:top w:val="none" w:sz="0" w:space="0" w:color="auto"/>
                    <w:left w:val="none" w:sz="0" w:space="0" w:color="auto"/>
                    <w:bottom w:val="none" w:sz="0" w:space="0" w:color="auto"/>
                    <w:right w:val="none" w:sz="0" w:space="0" w:color="auto"/>
                  </w:divBdr>
                  <w:divsChild>
                    <w:div w:id="874275509">
                      <w:marLeft w:val="0"/>
                      <w:marRight w:val="0"/>
                      <w:marTop w:val="0"/>
                      <w:marBottom w:val="0"/>
                      <w:divBdr>
                        <w:top w:val="none" w:sz="0" w:space="0" w:color="auto"/>
                        <w:left w:val="none" w:sz="0" w:space="0" w:color="auto"/>
                        <w:bottom w:val="none" w:sz="0" w:space="0" w:color="auto"/>
                        <w:right w:val="none" w:sz="0" w:space="0" w:color="auto"/>
                      </w:divBdr>
                    </w:div>
                  </w:divsChild>
                </w:div>
                <w:div w:id="1877740265">
                  <w:marLeft w:val="0"/>
                  <w:marRight w:val="0"/>
                  <w:marTop w:val="0"/>
                  <w:marBottom w:val="0"/>
                  <w:divBdr>
                    <w:top w:val="none" w:sz="0" w:space="0" w:color="auto"/>
                    <w:left w:val="none" w:sz="0" w:space="0" w:color="auto"/>
                    <w:bottom w:val="none" w:sz="0" w:space="0" w:color="auto"/>
                    <w:right w:val="none" w:sz="0" w:space="0" w:color="auto"/>
                  </w:divBdr>
                  <w:divsChild>
                    <w:div w:id="2077781192">
                      <w:marLeft w:val="0"/>
                      <w:marRight w:val="0"/>
                      <w:marTop w:val="0"/>
                      <w:marBottom w:val="0"/>
                      <w:divBdr>
                        <w:top w:val="none" w:sz="0" w:space="0" w:color="auto"/>
                        <w:left w:val="none" w:sz="0" w:space="0" w:color="auto"/>
                        <w:bottom w:val="none" w:sz="0" w:space="0" w:color="auto"/>
                        <w:right w:val="none" w:sz="0" w:space="0" w:color="auto"/>
                      </w:divBdr>
                    </w:div>
                  </w:divsChild>
                </w:div>
                <w:div w:id="1881278968">
                  <w:marLeft w:val="0"/>
                  <w:marRight w:val="0"/>
                  <w:marTop w:val="0"/>
                  <w:marBottom w:val="0"/>
                  <w:divBdr>
                    <w:top w:val="none" w:sz="0" w:space="0" w:color="auto"/>
                    <w:left w:val="none" w:sz="0" w:space="0" w:color="auto"/>
                    <w:bottom w:val="none" w:sz="0" w:space="0" w:color="auto"/>
                    <w:right w:val="none" w:sz="0" w:space="0" w:color="auto"/>
                  </w:divBdr>
                  <w:divsChild>
                    <w:div w:id="1546483029">
                      <w:marLeft w:val="0"/>
                      <w:marRight w:val="0"/>
                      <w:marTop w:val="0"/>
                      <w:marBottom w:val="0"/>
                      <w:divBdr>
                        <w:top w:val="none" w:sz="0" w:space="0" w:color="auto"/>
                        <w:left w:val="none" w:sz="0" w:space="0" w:color="auto"/>
                        <w:bottom w:val="none" w:sz="0" w:space="0" w:color="auto"/>
                        <w:right w:val="none" w:sz="0" w:space="0" w:color="auto"/>
                      </w:divBdr>
                    </w:div>
                  </w:divsChild>
                </w:div>
                <w:div w:id="1881891909">
                  <w:marLeft w:val="0"/>
                  <w:marRight w:val="0"/>
                  <w:marTop w:val="0"/>
                  <w:marBottom w:val="0"/>
                  <w:divBdr>
                    <w:top w:val="none" w:sz="0" w:space="0" w:color="auto"/>
                    <w:left w:val="none" w:sz="0" w:space="0" w:color="auto"/>
                    <w:bottom w:val="none" w:sz="0" w:space="0" w:color="auto"/>
                    <w:right w:val="none" w:sz="0" w:space="0" w:color="auto"/>
                  </w:divBdr>
                  <w:divsChild>
                    <w:div w:id="2056998854">
                      <w:marLeft w:val="0"/>
                      <w:marRight w:val="0"/>
                      <w:marTop w:val="0"/>
                      <w:marBottom w:val="0"/>
                      <w:divBdr>
                        <w:top w:val="none" w:sz="0" w:space="0" w:color="auto"/>
                        <w:left w:val="none" w:sz="0" w:space="0" w:color="auto"/>
                        <w:bottom w:val="none" w:sz="0" w:space="0" w:color="auto"/>
                        <w:right w:val="none" w:sz="0" w:space="0" w:color="auto"/>
                      </w:divBdr>
                    </w:div>
                  </w:divsChild>
                </w:div>
                <w:div w:id="1889488798">
                  <w:marLeft w:val="0"/>
                  <w:marRight w:val="0"/>
                  <w:marTop w:val="0"/>
                  <w:marBottom w:val="0"/>
                  <w:divBdr>
                    <w:top w:val="none" w:sz="0" w:space="0" w:color="auto"/>
                    <w:left w:val="none" w:sz="0" w:space="0" w:color="auto"/>
                    <w:bottom w:val="none" w:sz="0" w:space="0" w:color="auto"/>
                    <w:right w:val="none" w:sz="0" w:space="0" w:color="auto"/>
                  </w:divBdr>
                  <w:divsChild>
                    <w:div w:id="1002314713">
                      <w:marLeft w:val="0"/>
                      <w:marRight w:val="0"/>
                      <w:marTop w:val="0"/>
                      <w:marBottom w:val="0"/>
                      <w:divBdr>
                        <w:top w:val="none" w:sz="0" w:space="0" w:color="auto"/>
                        <w:left w:val="none" w:sz="0" w:space="0" w:color="auto"/>
                        <w:bottom w:val="none" w:sz="0" w:space="0" w:color="auto"/>
                        <w:right w:val="none" w:sz="0" w:space="0" w:color="auto"/>
                      </w:divBdr>
                    </w:div>
                  </w:divsChild>
                </w:div>
                <w:div w:id="1901017924">
                  <w:marLeft w:val="0"/>
                  <w:marRight w:val="0"/>
                  <w:marTop w:val="0"/>
                  <w:marBottom w:val="0"/>
                  <w:divBdr>
                    <w:top w:val="none" w:sz="0" w:space="0" w:color="auto"/>
                    <w:left w:val="none" w:sz="0" w:space="0" w:color="auto"/>
                    <w:bottom w:val="none" w:sz="0" w:space="0" w:color="auto"/>
                    <w:right w:val="none" w:sz="0" w:space="0" w:color="auto"/>
                  </w:divBdr>
                  <w:divsChild>
                    <w:div w:id="1596091429">
                      <w:marLeft w:val="0"/>
                      <w:marRight w:val="0"/>
                      <w:marTop w:val="0"/>
                      <w:marBottom w:val="0"/>
                      <w:divBdr>
                        <w:top w:val="none" w:sz="0" w:space="0" w:color="auto"/>
                        <w:left w:val="none" w:sz="0" w:space="0" w:color="auto"/>
                        <w:bottom w:val="none" w:sz="0" w:space="0" w:color="auto"/>
                        <w:right w:val="none" w:sz="0" w:space="0" w:color="auto"/>
                      </w:divBdr>
                    </w:div>
                  </w:divsChild>
                </w:div>
                <w:div w:id="1906379660">
                  <w:marLeft w:val="0"/>
                  <w:marRight w:val="0"/>
                  <w:marTop w:val="0"/>
                  <w:marBottom w:val="0"/>
                  <w:divBdr>
                    <w:top w:val="none" w:sz="0" w:space="0" w:color="auto"/>
                    <w:left w:val="none" w:sz="0" w:space="0" w:color="auto"/>
                    <w:bottom w:val="none" w:sz="0" w:space="0" w:color="auto"/>
                    <w:right w:val="none" w:sz="0" w:space="0" w:color="auto"/>
                  </w:divBdr>
                  <w:divsChild>
                    <w:div w:id="1922593743">
                      <w:marLeft w:val="0"/>
                      <w:marRight w:val="0"/>
                      <w:marTop w:val="0"/>
                      <w:marBottom w:val="0"/>
                      <w:divBdr>
                        <w:top w:val="none" w:sz="0" w:space="0" w:color="auto"/>
                        <w:left w:val="none" w:sz="0" w:space="0" w:color="auto"/>
                        <w:bottom w:val="none" w:sz="0" w:space="0" w:color="auto"/>
                        <w:right w:val="none" w:sz="0" w:space="0" w:color="auto"/>
                      </w:divBdr>
                    </w:div>
                  </w:divsChild>
                </w:div>
                <w:div w:id="1913851137">
                  <w:marLeft w:val="0"/>
                  <w:marRight w:val="0"/>
                  <w:marTop w:val="0"/>
                  <w:marBottom w:val="0"/>
                  <w:divBdr>
                    <w:top w:val="none" w:sz="0" w:space="0" w:color="auto"/>
                    <w:left w:val="none" w:sz="0" w:space="0" w:color="auto"/>
                    <w:bottom w:val="none" w:sz="0" w:space="0" w:color="auto"/>
                    <w:right w:val="none" w:sz="0" w:space="0" w:color="auto"/>
                  </w:divBdr>
                  <w:divsChild>
                    <w:div w:id="6258016">
                      <w:marLeft w:val="0"/>
                      <w:marRight w:val="0"/>
                      <w:marTop w:val="0"/>
                      <w:marBottom w:val="0"/>
                      <w:divBdr>
                        <w:top w:val="none" w:sz="0" w:space="0" w:color="auto"/>
                        <w:left w:val="none" w:sz="0" w:space="0" w:color="auto"/>
                        <w:bottom w:val="none" w:sz="0" w:space="0" w:color="auto"/>
                        <w:right w:val="none" w:sz="0" w:space="0" w:color="auto"/>
                      </w:divBdr>
                    </w:div>
                  </w:divsChild>
                </w:div>
                <w:div w:id="1915312589">
                  <w:marLeft w:val="0"/>
                  <w:marRight w:val="0"/>
                  <w:marTop w:val="0"/>
                  <w:marBottom w:val="0"/>
                  <w:divBdr>
                    <w:top w:val="none" w:sz="0" w:space="0" w:color="auto"/>
                    <w:left w:val="none" w:sz="0" w:space="0" w:color="auto"/>
                    <w:bottom w:val="none" w:sz="0" w:space="0" w:color="auto"/>
                    <w:right w:val="none" w:sz="0" w:space="0" w:color="auto"/>
                  </w:divBdr>
                  <w:divsChild>
                    <w:div w:id="1178813157">
                      <w:marLeft w:val="0"/>
                      <w:marRight w:val="0"/>
                      <w:marTop w:val="0"/>
                      <w:marBottom w:val="0"/>
                      <w:divBdr>
                        <w:top w:val="none" w:sz="0" w:space="0" w:color="auto"/>
                        <w:left w:val="none" w:sz="0" w:space="0" w:color="auto"/>
                        <w:bottom w:val="none" w:sz="0" w:space="0" w:color="auto"/>
                        <w:right w:val="none" w:sz="0" w:space="0" w:color="auto"/>
                      </w:divBdr>
                    </w:div>
                  </w:divsChild>
                </w:div>
                <w:div w:id="1915971559">
                  <w:marLeft w:val="0"/>
                  <w:marRight w:val="0"/>
                  <w:marTop w:val="0"/>
                  <w:marBottom w:val="0"/>
                  <w:divBdr>
                    <w:top w:val="none" w:sz="0" w:space="0" w:color="auto"/>
                    <w:left w:val="none" w:sz="0" w:space="0" w:color="auto"/>
                    <w:bottom w:val="none" w:sz="0" w:space="0" w:color="auto"/>
                    <w:right w:val="none" w:sz="0" w:space="0" w:color="auto"/>
                  </w:divBdr>
                  <w:divsChild>
                    <w:div w:id="1930962569">
                      <w:marLeft w:val="0"/>
                      <w:marRight w:val="0"/>
                      <w:marTop w:val="0"/>
                      <w:marBottom w:val="0"/>
                      <w:divBdr>
                        <w:top w:val="none" w:sz="0" w:space="0" w:color="auto"/>
                        <w:left w:val="none" w:sz="0" w:space="0" w:color="auto"/>
                        <w:bottom w:val="none" w:sz="0" w:space="0" w:color="auto"/>
                        <w:right w:val="none" w:sz="0" w:space="0" w:color="auto"/>
                      </w:divBdr>
                    </w:div>
                  </w:divsChild>
                </w:div>
                <w:div w:id="1916937989">
                  <w:marLeft w:val="0"/>
                  <w:marRight w:val="0"/>
                  <w:marTop w:val="0"/>
                  <w:marBottom w:val="0"/>
                  <w:divBdr>
                    <w:top w:val="none" w:sz="0" w:space="0" w:color="auto"/>
                    <w:left w:val="none" w:sz="0" w:space="0" w:color="auto"/>
                    <w:bottom w:val="none" w:sz="0" w:space="0" w:color="auto"/>
                    <w:right w:val="none" w:sz="0" w:space="0" w:color="auto"/>
                  </w:divBdr>
                  <w:divsChild>
                    <w:div w:id="185680567">
                      <w:marLeft w:val="0"/>
                      <w:marRight w:val="0"/>
                      <w:marTop w:val="0"/>
                      <w:marBottom w:val="0"/>
                      <w:divBdr>
                        <w:top w:val="none" w:sz="0" w:space="0" w:color="auto"/>
                        <w:left w:val="none" w:sz="0" w:space="0" w:color="auto"/>
                        <w:bottom w:val="none" w:sz="0" w:space="0" w:color="auto"/>
                        <w:right w:val="none" w:sz="0" w:space="0" w:color="auto"/>
                      </w:divBdr>
                    </w:div>
                  </w:divsChild>
                </w:div>
                <w:div w:id="1922986630">
                  <w:marLeft w:val="0"/>
                  <w:marRight w:val="0"/>
                  <w:marTop w:val="0"/>
                  <w:marBottom w:val="0"/>
                  <w:divBdr>
                    <w:top w:val="none" w:sz="0" w:space="0" w:color="auto"/>
                    <w:left w:val="none" w:sz="0" w:space="0" w:color="auto"/>
                    <w:bottom w:val="none" w:sz="0" w:space="0" w:color="auto"/>
                    <w:right w:val="none" w:sz="0" w:space="0" w:color="auto"/>
                  </w:divBdr>
                  <w:divsChild>
                    <w:div w:id="897860028">
                      <w:marLeft w:val="0"/>
                      <w:marRight w:val="0"/>
                      <w:marTop w:val="0"/>
                      <w:marBottom w:val="0"/>
                      <w:divBdr>
                        <w:top w:val="none" w:sz="0" w:space="0" w:color="auto"/>
                        <w:left w:val="none" w:sz="0" w:space="0" w:color="auto"/>
                        <w:bottom w:val="none" w:sz="0" w:space="0" w:color="auto"/>
                        <w:right w:val="none" w:sz="0" w:space="0" w:color="auto"/>
                      </w:divBdr>
                    </w:div>
                  </w:divsChild>
                </w:div>
                <w:div w:id="1924490074">
                  <w:marLeft w:val="0"/>
                  <w:marRight w:val="0"/>
                  <w:marTop w:val="0"/>
                  <w:marBottom w:val="0"/>
                  <w:divBdr>
                    <w:top w:val="none" w:sz="0" w:space="0" w:color="auto"/>
                    <w:left w:val="none" w:sz="0" w:space="0" w:color="auto"/>
                    <w:bottom w:val="none" w:sz="0" w:space="0" w:color="auto"/>
                    <w:right w:val="none" w:sz="0" w:space="0" w:color="auto"/>
                  </w:divBdr>
                  <w:divsChild>
                    <w:div w:id="955253006">
                      <w:marLeft w:val="0"/>
                      <w:marRight w:val="0"/>
                      <w:marTop w:val="0"/>
                      <w:marBottom w:val="0"/>
                      <w:divBdr>
                        <w:top w:val="none" w:sz="0" w:space="0" w:color="auto"/>
                        <w:left w:val="none" w:sz="0" w:space="0" w:color="auto"/>
                        <w:bottom w:val="none" w:sz="0" w:space="0" w:color="auto"/>
                        <w:right w:val="none" w:sz="0" w:space="0" w:color="auto"/>
                      </w:divBdr>
                    </w:div>
                  </w:divsChild>
                </w:div>
                <w:div w:id="1929532819">
                  <w:marLeft w:val="0"/>
                  <w:marRight w:val="0"/>
                  <w:marTop w:val="0"/>
                  <w:marBottom w:val="0"/>
                  <w:divBdr>
                    <w:top w:val="none" w:sz="0" w:space="0" w:color="auto"/>
                    <w:left w:val="none" w:sz="0" w:space="0" w:color="auto"/>
                    <w:bottom w:val="none" w:sz="0" w:space="0" w:color="auto"/>
                    <w:right w:val="none" w:sz="0" w:space="0" w:color="auto"/>
                  </w:divBdr>
                  <w:divsChild>
                    <w:div w:id="255096393">
                      <w:marLeft w:val="0"/>
                      <w:marRight w:val="0"/>
                      <w:marTop w:val="0"/>
                      <w:marBottom w:val="0"/>
                      <w:divBdr>
                        <w:top w:val="none" w:sz="0" w:space="0" w:color="auto"/>
                        <w:left w:val="none" w:sz="0" w:space="0" w:color="auto"/>
                        <w:bottom w:val="none" w:sz="0" w:space="0" w:color="auto"/>
                        <w:right w:val="none" w:sz="0" w:space="0" w:color="auto"/>
                      </w:divBdr>
                    </w:div>
                  </w:divsChild>
                </w:div>
                <w:div w:id="1933779618">
                  <w:marLeft w:val="0"/>
                  <w:marRight w:val="0"/>
                  <w:marTop w:val="0"/>
                  <w:marBottom w:val="0"/>
                  <w:divBdr>
                    <w:top w:val="none" w:sz="0" w:space="0" w:color="auto"/>
                    <w:left w:val="none" w:sz="0" w:space="0" w:color="auto"/>
                    <w:bottom w:val="none" w:sz="0" w:space="0" w:color="auto"/>
                    <w:right w:val="none" w:sz="0" w:space="0" w:color="auto"/>
                  </w:divBdr>
                  <w:divsChild>
                    <w:div w:id="1698582990">
                      <w:marLeft w:val="0"/>
                      <w:marRight w:val="0"/>
                      <w:marTop w:val="0"/>
                      <w:marBottom w:val="0"/>
                      <w:divBdr>
                        <w:top w:val="none" w:sz="0" w:space="0" w:color="auto"/>
                        <w:left w:val="none" w:sz="0" w:space="0" w:color="auto"/>
                        <w:bottom w:val="none" w:sz="0" w:space="0" w:color="auto"/>
                        <w:right w:val="none" w:sz="0" w:space="0" w:color="auto"/>
                      </w:divBdr>
                    </w:div>
                  </w:divsChild>
                </w:div>
                <w:div w:id="1938363925">
                  <w:marLeft w:val="0"/>
                  <w:marRight w:val="0"/>
                  <w:marTop w:val="0"/>
                  <w:marBottom w:val="0"/>
                  <w:divBdr>
                    <w:top w:val="none" w:sz="0" w:space="0" w:color="auto"/>
                    <w:left w:val="none" w:sz="0" w:space="0" w:color="auto"/>
                    <w:bottom w:val="none" w:sz="0" w:space="0" w:color="auto"/>
                    <w:right w:val="none" w:sz="0" w:space="0" w:color="auto"/>
                  </w:divBdr>
                  <w:divsChild>
                    <w:div w:id="503470343">
                      <w:marLeft w:val="0"/>
                      <w:marRight w:val="0"/>
                      <w:marTop w:val="0"/>
                      <w:marBottom w:val="0"/>
                      <w:divBdr>
                        <w:top w:val="none" w:sz="0" w:space="0" w:color="auto"/>
                        <w:left w:val="none" w:sz="0" w:space="0" w:color="auto"/>
                        <w:bottom w:val="none" w:sz="0" w:space="0" w:color="auto"/>
                        <w:right w:val="none" w:sz="0" w:space="0" w:color="auto"/>
                      </w:divBdr>
                    </w:div>
                  </w:divsChild>
                </w:div>
                <w:div w:id="1941066710">
                  <w:marLeft w:val="0"/>
                  <w:marRight w:val="0"/>
                  <w:marTop w:val="0"/>
                  <w:marBottom w:val="0"/>
                  <w:divBdr>
                    <w:top w:val="none" w:sz="0" w:space="0" w:color="auto"/>
                    <w:left w:val="none" w:sz="0" w:space="0" w:color="auto"/>
                    <w:bottom w:val="none" w:sz="0" w:space="0" w:color="auto"/>
                    <w:right w:val="none" w:sz="0" w:space="0" w:color="auto"/>
                  </w:divBdr>
                  <w:divsChild>
                    <w:div w:id="1646009773">
                      <w:marLeft w:val="0"/>
                      <w:marRight w:val="0"/>
                      <w:marTop w:val="0"/>
                      <w:marBottom w:val="0"/>
                      <w:divBdr>
                        <w:top w:val="none" w:sz="0" w:space="0" w:color="auto"/>
                        <w:left w:val="none" w:sz="0" w:space="0" w:color="auto"/>
                        <w:bottom w:val="none" w:sz="0" w:space="0" w:color="auto"/>
                        <w:right w:val="none" w:sz="0" w:space="0" w:color="auto"/>
                      </w:divBdr>
                    </w:div>
                  </w:divsChild>
                </w:div>
                <w:div w:id="1949851451">
                  <w:marLeft w:val="0"/>
                  <w:marRight w:val="0"/>
                  <w:marTop w:val="0"/>
                  <w:marBottom w:val="0"/>
                  <w:divBdr>
                    <w:top w:val="none" w:sz="0" w:space="0" w:color="auto"/>
                    <w:left w:val="none" w:sz="0" w:space="0" w:color="auto"/>
                    <w:bottom w:val="none" w:sz="0" w:space="0" w:color="auto"/>
                    <w:right w:val="none" w:sz="0" w:space="0" w:color="auto"/>
                  </w:divBdr>
                  <w:divsChild>
                    <w:div w:id="155732673">
                      <w:marLeft w:val="0"/>
                      <w:marRight w:val="0"/>
                      <w:marTop w:val="0"/>
                      <w:marBottom w:val="0"/>
                      <w:divBdr>
                        <w:top w:val="none" w:sz="0" w:space="0" w:color="auto"/>
                        <w:left w:val="none" w:sz="0" w:space="0" w:color="auto"/>
                        <w:bottom w:val="none" w:sz="0" w:space="0" w:color="auto"/>
                        <w:right w:val="none" w:sz="0" w:space="0" w:color="auto"/>
                      </w:divBdr>
                    </w:div>
                  </w:divsChild>
                </w:div>
                <w:div w:id="1963414620">
                  <w:marLeft w:val="0"/>
                  <w:marRight w:val="0"/>
                  <w:marTop w:val="0"/>
                  <w:marBottom w:val="0"/>
                  <w:divBdr>
                    <w:top w:val="none" w:sz="0" w:space="0" w:color="auto"/>
                    <w:left w:val="none" w:sz="0" w:space="0" w:color="auto"/>
                    <w:bottom w:val="none" w:sz="0" w:space="0" w:color="auto"/>
                    <w:right w:val="none" w:sz="0" w:space="0" w:color="auto"/>
                  </w:divBdr>
                  <w:divsChild>
                    <w:div w:id="63530751">
                      <w:marLeft w:val="0"/>
                      <w:marRight w:val="0"/>
                      <w:marTop w:val="0"/>
                      <w:marBottom w:val="0"/>
                      <w:divBdr>
                        <w:top w:val="none" w:sz="0" w:space="0" w:color="auto"/>
                        <w:left w:val="none" w:sz="0" w:space="0" w:color="auto"/>
                        <w:bottom w:val="none" w:sz="0" w:space="0" w:color="auto"/>
                        <w:right w:val="none" w:sz="0" w:space="0" w:color="auto"/>
                      </w:divBdr>
                    </w:div>
                  </w:divsChild>
                </w:div>
                <w:div w:id="1966495600">
                  <w:marLeft w:val="0"/>
                  <w:marRight w:val="0"/>
                  <w:marTop w:val="0"/>
                  <w:marBottom w:val="0"/>
                  <w:divBdr>
                    <w:top w:val="none" w:sz="0" w:space="0" w:color="auto"/>
                    <w:left w:val="none" w:sz="0" w:space="0" w:color="auto"/>
                    <w:bottom w:val="none" w:sz="0" w:space="0" w:color="auto"/>
                    <w:right w:val="none" w:sz="0" w:space="0" w:color="auto"/>
                  </w:divBdr>
                  <w:divsChild>
                    <w:div w:id="164787852">
                      <w:marLeft w:val="0"/>
                      <w:marRight w:val="0"/>
                      <w:marTop w:val="0"/>
                      <w:marBottom w:val="0"/>
                      <w:divBdr>
                        <w:top w:val="none" w:sz="0" w:space="0" w:color="auto"/>
                        <w:left w:val="none" w:sz="0" w:space="0" w:color="auto"/>
                        <w:bottom w:val="none" w:sz="0" w:space="0" w:color="auto"/>
                        <w:right w:val="none" w:sz="0" w:space="0" w:color="auto"/>
                      </w:divBdr>
                    </w:div>
                  </w:divsChild>
                </w:div>
                <w:div w:id="1967004160">
                  <w:marLeft w:val="0"/>
                  <w:marRight w:val="0"/>
                  <w:marTop w:val="0"/>
                  <w:marBottom w:val="0"/>
                  <w:divBdr>
                    <w:top w:val="none" w:sz="0" w:space="0" w:color="auto"/>
                    <w:left w:val="none" w:sz="0" w:space="0" w:color="auto"/>
                    <w:bottom w:val="none" w:sz="0" w:space="0" w:color="auto"/>
                    <w:right w:val="none" w:sz="0" w:space="0" w:color="auto"/>
                  </w:divBdr>
                  <w:divsChild>
                    <w:div w:id="2054427929">
                      <w:marLeft w:val="0"/>
                      <w:marRight w:val="0"/>
                      <w:marTop w:val="0"/>
                      <w:marBottom w:val="0"/>
                      <w:divBdr>
                        <w:top w:val="none" w:sz="0" w:space="0" w:color="auto"/>
                        <w:left w:val="none" w:sz="0" w:space="0" w:color="auto"/>
                        <w:bottom w:val="none" w:sz="0" w:space="0" w:color="auto"/>
                        <w:right w:val="none" w:sz="0" w:space="0" w:color="auto"/>
                      </w:divBdr>
                    </w:div>
                  </w:divsChild>
                </w:div>
                <w:div w:id="1967931684">
                  <w:marLeft w:val="0"/>
                  <w:marRight w:val="0"/>
                  <w:marTop w:val="0"/>
                  <w:marBottom w:val="0"/>
                  <w:divBdr>
                    <w:top w:val="none" w:sz="0" w:space="0" w:color="auto"/>
                    <w:left w:val="none" w:sz="0" w:space="0" w:color="auto"/>
                    <w:bottom w:val="none" w:sz="0" w:space="0" w:color="auto"/>
                    <w:right w:val="none" w:sz="0" w:space="0" w:color="auto"/>
                  </w:divBdr>
                  <w:divsChild>
                    <w:div w:id="2050763652">
                      <w:marLeft w:val="0"/>
                      <w:marRight w:val="0"/>
                      <w:marTop w:val="0"/>
                      <w:marBottom w:val="0"/>
                      <w:divBdr>
                        <w:top w:val="none" w:sz="0" w:space="0" w:color="auto"/>
                        <w:left w:val="none" w:sz="0" w:space="0" w:color="auto"/>
                        <w:bottom w:val="none" w:sz="0" w:space="0" w:color="auto"/>
                        <w:right w:val="none" w:sz="0" w:space="0" w:color="auto"/>
                      </w:divBdr>
                    </w:div>
                  </w:divsChild>
                </w:div>
                <w:div w:id="1968271793">
                  <w:marLeft w:val="0"/>
                  <w:marRight w:val="0"/>
                  <w:marTop w:val="0"/>
                  <w:marBottom w:val="0"/>
                  <w:divBdr>
                    <w:top w:val="none" w:sz="0" w:space="0" w:color="auto"/>
                    <w:left w:val="none" w:sz="0" w:space="0" w:color="auto"/>
                    <w:bottom w:val="none" w:sz="0" w:space="0" w:color="auto"/>
                    <w:right w:val="none" w:sz="0" w:space="0" w:color="auto"/>
                  </w:divBdr>
                  <w:divsChild>
                    <w:div w:id="1950039968">
                      <w:marLeft w:val="0"/>
                      <w:marRight w:val="0"/>
                      <w:marTop w:val="0"/>
                      <w:marBottom w:val="0"/>
                      <w:divBdr>
                        <w:top w:val="none" w:sz="0" w:space="0" w:color="auto"/>
                        <w:left w:val="none" w:sz="0" w:space="0" w:color="auto"/>
                        <w:bottom w:val="none" w:sz="0" w:space="0" w:color="auto"/>
                        <w:right w:val="none" w:sz="0" w:space="0" w:color="auto"/>
                      </w:divBdr>
                    </w:div>
                  </w:divsChild>
                </w:div>
                <w:div w:id="1972204277">
                  <w:marLeft w:val="0"/>
                  <w:marRight w:val="0"/>
                  <w:marTop w:val="0"/>
                  <w:marBottom w:val="0"/>
                  <w:divBdr>
                    <w:top w:val="none" w:sz="0" w:space="0" w:color="auto"/>
                    <w:left w:val="none" w:sz="0" w:space="0" w:color="auto"/>
                    <w:bottom w:val="none" w:sz="0" w:space="0" w:color="auto"/>
                    <w:right w:val="none" w:sz="0" w:space="0" w:color="auto"/>
                  </w:divBdr>
                  <w:divsChild>
                    <w:div w:id="508983467">
                      <w:marLeft w:val="0"/>
                      <w:marRight w:val="0"/>
                      <w:marTop w:val="0"/>
                      <w:marBottom w:val="0"/>
                      <w:divBdr>
                        <w:top w:val="none" w:sz="0" w:space="0" w:color="auto"/>
                        <w:left w:val="none" w:sz="0" w:space="0" w:color="auto"/>
                        <w:bottom w:val="none" w:sz="0" w:space="0" w:color="auto"/>
                        <w:right w:val="none" w:sz="0" w:space="0" w:color="auto"/>
                      </w:divBdr>
                    </w:div>
                  </w:divsChild>
                </w:div>
                <w:div w:id="1985810306">
                  <w:marLeft w:val="0"/>
                  <w:marRight w:val="0"/>
                  <w:marTop w:val="0"/>
                  <w:marBottom w:val="0"/>
                  <w:divBdr>
                    <w:top w:val="none" w:sz="0" w:space="0" w:color="auto"/>
                    <w:left w:val="none" w:sz="0" w:space="0" w:color="auto"/>
                    <w:bottom w:val="none" w:sz="0" w:space="0" w:color="auto"/>
                    <w:right w:val="none" w:sz="0" w:space="0" w:color="auto"/>
                  </w:divBdr>
                  <w:divsChild>
                    <w:div w:id="1893230192">
                      <w:marLeft w:val="0"/>
                      <w:marRight w:val="0"/>
                      <w:marTop w:val="0"/>
                      <w:marBottom w:val="0"/>
                      <w:divBdr>
                        <w:top w:val="none" w:sz="0" w:space="0" w:color="auto"/>
                        <w:left w:val="none" w:sz="0" w:space="0" w:color="auto"/>
                        <w:bottom w:val="none" w:sz="0" w:space="0" w:color="auto"/>
                        <w:right w:val="none" w:sz="0" w:space="0" w:color="auto"/>
                      </w:divBdr>
                    </w:div>
                  </w:divsChild>
                </w:div>
                <w:div w:id="1987320869">
                  <w:marLeft w:val="0"/>
                  <w:marRight w:val="0"/>
                  <w:marTop w:val="0"/>
                  <w:marBottom w:val="0"/>
                  <w:divBdr>
                    <w:top w:val="none" w:sz="0" w:space="0" w:color="auto"/>
                    <w:left w:val="none" w:sz="0" w:space="0" w:color="auto"/>
                    <w:bottom w:val="none" w:sz="0" w:space="0" w:color="auto"/>
                    <w:right w:val="none" w:sz="0" w:space="0" w:color="auto"/>
                  </w:divBdr>
                  <w:divsChild>
                    <w:div w:id="1461651116">
                      <w:marLeft w:val="0"/>
                      <w:marRight w:val="0"/>
                      <w:marTop w:val="0"/>
                      <w:marBottom w:val="0"/>
                      <w:divBdr>
                        <w:top w:val="none" w:sz="0" w:space="0" w:color="auto"/>
                        <w:left w:val="none" w:sz="0" w:space="0" w:color="auto"/>
                        <w:bottom w:val="none" w:sz="0" w:space="0" w:color="auto"/>
                        <w:right w:val="none" w:sz="0" w:space="0" w:color="auto"/>
                      </w:divBdr>
                    </w:div>
                  </w:divsChild>
                </w:div>
                <w:div w:id="1988584337">
                  <w:marLeft w:val="0"/>
                  <w:marRight w:val="0"/>
                  <w:marTop w:val="0"/>
                  <w:marBottom w:val="0"/>
                  <w:divBdr>
                    <w:top w:val="none" w:sz="0" w:space="0" w:color="auto"/>
                    <w:left w:val="none" w:sz="0" w:space="0" w:color="auto"/>
                    <w:bottom w:val="none" w:sz="0" w:space="0" w:color="auto"/>
                    <w:right w:val="none" w:sz="0" w:space="0" w:color="auto"/>
                  </w:divBdr>
                  <w:divsChild>
                    <w:div w:id="11803910">
                      <w:marLeft w:val="0"/>
                      <w:marRight w:val="0"/>
                      <w:marTop w:val="0"/>
                      <w:marBottom w:val="0"/>
                      <w:divBdr>
                        <w:top w:val="none" w:sz="0" w:space="0" w:color="auto"/>
                        <w:left w:val="none" w:sz="0" w:space="0" w:color="auto"/>
                        <w:bottom w:val="none" w:sz="0" w:space="0" w:color="auto"/>
                        <w:right w:val="none" w:sz="0" w:space="0" w:color="auto"/>
                      </w:divBdr>
                    </w:div>
                  </w:divsChild>
                </w:div>
                <w:div w:id="1995910234">
                  <w:marLeft w:val="0"/>
                  <w:marRight w:val="0"/>
                  <w:marTop w:val="0"/>
                  <w:marBottom w:val="0"/>
                  <w:divBdr>
                    <w:top w:val="none" w:sz="0" w:space="0" w:color="auto"/>
                    <w:left w:val="none" w:sz="0" w:space="0" w:color="auto"/>
                    <w:bottom w:val="none" w:sz="0" w:space="0" w:color="auto"/>
                    <w:right w:val="none" w:sz="0" w:space="0" w:color="auto"/>
                  </w:divBdr>
                  <w:divsChild>
                    <w:div w:id="1666855953">
                      <w:marLeft w:val="0"/>
                      <w:marRight w:val="0"/>
                      <w:marTop w:val="0"/>
                      <w:marBottom w:val="0"/>
                      <w:divBdr>
                        <w:top w:val="none" w:sz="0" w:space="0" w:color="auto"/>
                        <w:left w:val="none" w:sz="0" w:space="0" w:color="auto"/>
                        <w:bottom w:val="none" w:sz="0" w:space="0" w:color="auto"/>
                        <w:right w:val="none" w:sz="0" w:space="0" w:color="auto"/>
                      </w:divBdr>
                    </w:div>
                  </w:divsChild>
                </w:div>
                <w:div w:id="1997416396">
                  <w:marLeft w:val="0"/>
                  <w:marRight w:val="0"/>
                  <w:marTop w:val="0"/>
                  <w:marBottom w:val="0"/>
                  <w:divBdr>
                    <w:top w:val="none" w:sz="0" w:space="0" w:color="auto"/>
                    <w:left w:val="none" w:sz="0" w:space="0" w:color="auto"/>
                    <w:bottom w:val="none" w:sz="0" w:space="0" w:color="auto"/>
                    <w:right w:val="none" w:sz="0" w:space="0" w:color="auto"/>
                  </w:divBdr>
                  <w:divsChild>
                    <w:div w:id="15622367">
                      <w:marLeft w:val="0"/>
                      <w:marRight w:val="0"/>
                      <w:marTop w:val="0"/>
                      <w:marBottom w:val="0"/>
                      <w:divBdr>
                        <w:top w:val="none" w:sz="0" w:space="0" w:color="auto"/>
                        <w:left w:val="none" w:sz="0" w:space="0" w:color="auto"/>
                        <w:bottom w:val="none" w:sz="0" w:space="0" w:color="auto"/>
                        <w:right w:val="none" w:sz="0" w:space="0" w:color="auto"/>
                      </w:divBdr>
                    </w:div>
                  </w:divsChild>
                </w:div>
                <w:div w:id="2006548051">
                  <w:marLeft w:val="0"/>
                  <w:marRight w:val="0"/>
                  <w:marTop w:val="0"/>
                  <w:marBottom w:val="0"/>
                  <w:divBdr>
                    <w:top w:val="none" w:sz="0" w:space="0" w:color="auto"/>
                    <w:left w:val="none" w:sz="0" w:space="0" w:color="auto"/>
                    <w:bottom w:val="none" w:sz="0" w:space="0" w:color="auto"/>
                    <w:right w:val="none" w:sz="0" w:space="0" w:color="auto"/>
                  </w:divBdr>
                  <w:divsChild>
                    <w:div w:id="2075548541">
                      <w:marLeft w:val="0"/>
                      <w:marRight w:val="0"/>
                      <w:marTop w:val="0"/>
                      <w:marBottom w:val="0"/>
                      <w:divBdr>
                        <w:top w:val="none" w:sz="0" w:space="0" w:color="auto"/>
                        <w:left w:val="none" w:sz="0" w:space="0" w:color="auto"/>
                        <w:bottom w:val="none" w:sz="0" w:space="0" w:color="auto"/>
                        <w:right w:val="none" w:sz="0" w:space="0" w:color="auto"/>
                      </w:divBdr>
                    </w:div>
                  </w:divsChild>
                </w:div>
                <w:div w:id="2011449925">
                  <w:marLeft w:val="0"/>
                  <w:marRight w:val="0"/>
                  <w:marTop w:val="0"/>
                  <w:marBottom w:val="0"/>
                  <w:divBdr>
                    <w:top w:val="none" w:sz="0" w:space="0" w:color="auto"/>
                    <w:left w:val="none" w:sz="0" w:space="0" w:color="auto"/>
                    <w:bottom w:val="none" w:sz="0" w:space="0" w:color="auto"/>
                    <w:right w:val="none" w:sz="0" w:space="0" w:color="auto"/>
                  </w:divBdr>
                  <w:divsChild>
                    <w:div w:id="33848652">
                      <w:marLeft w:val="0"/>
                      <w:marRight w:val="0"/>
                      <w:marTop w:val="0"/>
                      <w:marBottom w:val="0"/>
                      <w:divBdr>
                        <w:top w:val="none" w:sz="0" w:space="0" w:color="auto"/>
                        <w:left w:val="none" w:sz="0" w:space="0" w:color="auto"/>
                        <w:bottom w:val="none" w:sz="0" w:space="0" w:color="auto"/>
                        <w:right w:val="none" w:sz="0" w:space="0" w:color="auto"/>
                      </w:divBdr>
                    </w:div>
                  </w:divsChild>
                </w:div>
                <w:div w:id="2016496725">
                  <w:marLeft w:val="0"/>
                  <w:marRight w:val="0"/>
                  <w:marTop w:val="0"/>
                  <w:marBottom w:val="0"/>
                  <w:divBdr>
                    <w:top w:val="none" w:sz="0" w:space="0" w:color="auto"/>
                    <w:left w:val="none" w:sz="0" w:space="0" w:color="auto"/>
                    <w:bottom w:val="none" w:sz="0" w:space="0" w:color="auto"/>
                    <w:right w:val="none" w:sz="0" w:space="0" w:color="auto"/>
                  </w:divBdr>
                  <w:divsChild>
                    <w:div w:id="64649861">
                      <w:marLeft w:val="0"/>
                      <w:marRight w:val="0"/>
                      <w:marTop w:val="0"/>
                      <w:marBottom w:val="0"/>
                      <w:divBdr>
                        <w:top w:val="none" w:sz="0" w:space="0" w:color="auto"/>
                        <w:left w:val="none" w:sz="0" w:space="0" w:color="auto"/>
                        <w:bottom w:val="none" w:sz="0" w:space="0" w:color="auto"/>
                        <w:right w:val="none" w:sz="0" w:space="0" w:color="auto"/>
                      </w:divBdr>
                    </w:div>
                  </w:divsChild>
                </w:div>
                <w:div w:id="2017151169">
                  <w:marLeft w:val="0"/>
                  <w:marRight w:val="0"/>
                  <w:marTop w:val="0"/>
                  <w:marBottom w:val="0"/>
                  <w:divBdr>
                    <w:top w:val="none" w:sz="0" w:space="0" w:color="auto"/>
                    <w:left w:val="none" w:sz="0" w:space="0" w:color="auto"/>
                    <w:bottom w:val="none" w:sz="0" w:space="0" w:color="auto"/>
                    <w:right w:val="none" w:sz="0" w:space="0" w:color="auto"/>
                  </w:divBdr>
                  <w:divsChild>
                    <w:div w:id="50420288">
                      <w:marLeft w:val="0"/>
                      <w:marRight w:val="0"/>
                      <w:marTop w:val="0"/>
                      <w:marBottom w:val="0"/>
                      <w:divBdr>
                        <w:top w:val="none" w:sz="0" w:space="0" w:color="auto"/>
                        <w:left w:val="none" w:sz="0" w:space="0" w:color="auto"/>
                        <w:bottom w:val="none" w:sz="0" w:space="0" w:color="auto"/>
                        <w:right w:val="none" w:sz="0" w:space="0" w:color="auto"/>
                      </w:divBdr>
                    </w:div>
                  </w:divsChild>
                </w:div>
                <w:div w:id="2022200461">
                  <w:marLeft w:val="0"/>
                  <w:marRight w:val="0"/>
                  <w:marTop w:val="0"/>
                  <w:marBottom w:val="0"/>
                  <w:divBdr>
                    <w:top w:val="none" w:sz="0" w:space="0" w:color="auto"/>
                    <w:left w:val="none" w:sz="0" w:space="0" w:color="auto"/>
                    <w:bottom w:val="none" w:sz="0" w:space="0" w:color="auto"/>
                    <w:right w:val="none" w:sz="0" w:space="0" w:color="auto"/>
                  </w:divBdr>
                  <w:divsChild>
                    <w:div w:id="617949560">
                      <w:marLeft w:val="0"/>
                      <w:marRight w:val="0"/>
                      <w:marTop w:val="0"/>
                      <w:marBottom w:val="0"/>
                      <w:divBdr>
                        <w:top w:val="none" w:sz="0" w:space="0" w:color="auto"/>
                        <w:left w:val="none" w:sz="0" w:space="0" w:color="auto"/>
                        <w:bottom w:val="none" w:sz="0" w:space="0" w:color="auto"/>
                        <w:right w:val="none" w:sz="0" w:space="0" w:color="auto"/>
                      </w:divBdr>
                    </w:div>
                  </w:divsChild>
                </w:div>
                <w:div w:id="2026786068">
                  <w:marLeft w:val="0"/>
                  <w:marRight w:val="0"/>
                  <w:marTop w:val="0"/>
                  <w:marBottom w:val="0"/>
                  <w:divBdr>
                    <w:top w:val="none" w:sz="0" w:space="0" w:color="auto"/>
                    <w:left w:val="none" w:sz="0" w:space="0" w:color="auto"/>
                    <w:bottom w:val="none" w:sz="0" w:space="0" w:color="auto"/>
                    <w:right w:val="none" w:sz="0" w:space="0" w:color="auto"/>
                  </w:divBdr>
                  <w:divsChild>
                    <w:div w:id="663633627">
                      <w:marLeft w:val="0"/>
                      <w:marRight w:val="0"/>
                      <w:marTop w:val="0"/>
                      <w:marBottom w:val="0"/>
                      <w:divBdr>
                        <w:top w:val="none" w:sz="0" w:space="0" w:color="auto"/>
                        <w:left w:val="none" w:sz="0" w:space="0" w:color="auto"/>
                        <w:bottom w:val="none" w:sz="0" w:space="0" w:color="auto"/>
                        <w:right w:val="none" w:sz="0" w:space="0" w:color="auto"/>
                      </w:divBdr>
                    </w:div>
                  </w:divsChild>
                </w:div>
                <w:div w:id="2027755215">
                  <w:marLeft w:val="0"/>
                  <w:marRight w:val="0"/>
                  <w:marTop w:val="0"/>
                  <w:marBottom w:val="0"/>
                  <w:divBdr>
                    <w:top w:val="none" w:sz="0" w:space="0" w:color="auto"/>
                    <w:left w:val="none" w:sz="0" w:space="0" w:color="auto"/>
                    <w:bottom w:val="none" w:sz="0" w:space="0" w:color="auto"/>
                    <w:right w:val="none" w:sz="0" w:space="0" w:color="auto"/>
                  </w:divBdr>
                  <w:divsChild>
                    <w:div w:id="1580746390">
                      <w:marLeft w:val="0"/>
                      <w:marRight w:val="0"/>
                      <w:marTop w:val="0"/>
                      <w:marBottom w:val="0"/>
                      <w:divBdr>
                        <w:top w:val="none" w:sz="0" w:space="0" w:color="auto"/>
                        <w:left w:val="none" w:sz="0" w:space="0" w:color="auto"/>
                        <w:bottom w:val="none" w:sz="0" w:space="0" w:color="auto"/>
                        <w:right w:val="none" w:sz="0" w:space="0" w:color="auto"/>
                      </w:divBdr>
                    </w:div>
                  </w:divsChild>
                </w:div>
                <w:div w:id="2029603742">
                  <w:marLeft w:val="0"/>
                  <w:marRight w:val="0"/>
                  <w:marTop w:val="0"/>
                  <w:marBottom w:val="0"/>
                  <w:divBdr>
                    <w:top w:val="none" w:sz="0" w:space="0" w:color="auto"/>
                    <w:left w:val="none" w:sz="0" w:space="0" w:color="auto"/>
                    <w:bottom w:val="none" w:sz="0" w:space="0" w:color="auto"/>
                    <w:right w:val="none" w:sz="0" w:space="0" w:color="auto"/>
                  </w:divBdr>
                  <w:divsChild>
                    <w:div w:id="1282685889">
                      <w:marLeft w:val="0"/>
                      <w:marRight w:val="0"/>
                      <w:marTop w:val="0"/>
                      <w:marBottom w:val="0"/>
                      <w:divBdr>
                        <w:top w:val="none" w:sz="0" w:space="0" w:color="auto"/>
                        <w:left w:val="none" w:sz="0" w:space="0" w:color="auto"/>
                        <w:bottom w:val="none" w:sz="0" w:space="0" w:color="auto"/>
                        <w:right w:val="none" w:sz="0" w:space="0" w:color="auto"/>
                      </w:divBdr>
                    </w:div>
                  </w:divsChild>
                </w:div>
                <w:div w:id="2030795978">
                  <w:marLeft w:val="0"/>
                  <w:marRight w:val="0"/>
                  <w:marTop w:val="0"/>
                  <w:marBottom w:val="0"/>
                  <w:divBdr>
                    <w:top w:val="none" w:sz="0" w:space="0" w:color="auto"/>
                    <w:left w:val="none" w:sz="0" w:space="0" w:color="auto"/>
                    <w:bottom w:val="none" w:sz="0" w:space="0" w:color="auto"/>
                    <w:right w:val="none" w:sz="0" w:space="0" w:color="auto"/>
                  </w:divBdr>
                  <w:divsChild>
                    <w:div w:id="1464084142">
                      <w:marLeft w:val="0"/>
                      <w:marRight w:val="0"/>
                      <w:marTop w:val="0"/>
                      <w:marBottom w:val="0"/>
                      <w:divBdr>
                        <w:top w:val="none" w:sz="0" w:space="0" w:color="auto"/>
                        <w:left w:val="none" w:sz="0" w:space="0" w:color="auto"/>
                        <w:bottom w:val="none" w:sz="0" w:space="0" w:color="auto"/>
                        <w:right w:val="none" w:sz="0" w:space="0" w:color="auto"/>
                      </w:divBdr>
                    </w:div>
                  </w:divsChild>
                </w:div>
                <w:div w:id="2032107201">
                  <w:marLeft w:val="0"/>
                  <w:marRight w:val="0"/>
                  <w:marTop w:val="0"/>
                  <w:marBottom w:val="0"/>
                  <w:divBdr>
                    <w:top w:val="none" w:sz="0" w:space="0" w:color="auto"/>
                    <w:left w:val="none" w:sz="0" w:space="0" w:color="auto"/>
                    <w:bottom w:val="none" w:sz="0" w:space="0" w:color="auto"/>
                    <w:right w:val="none" w:sz="0" w:space="0" w:color="auto"/>
                  </w:divBdr>
                  <w:divsChild>
                    <w:div w:id="1033576737">
                      <w:marLeft w:val="0"/>
                      <w:marRight w:val="0"/>
                      <w:marTop w:val="0"/>
                      <w:marBottom w:val="0"/>
                      <w:divBdr>
                        <w:top w:val="none" w:sz="0" w:space="0" w:color="auto"/>
                        <w:left w:val="none" w:sz="0" w:space="0" w:color="auto"/>
                        <w:bottom w:val="none" w:sz="0" w:space="0" w:color="auto"/>
                        <w:right w:val="none" w:sz="0" w:space="0" w:color="auto"/>
                      </w:divBdr>
                    </w:div>
                  </w:divsChild>
                </w:div>
                <w:div w:id="2044212616">
                  <w:marLeft w:val="0"/>
                  <w:marRight w:val="0"/>
                  <w:marTop w:val="0"/>
                  <w:marBottom w:val="0"/>
                  <w:divBdr>
                    <w:top w:val="none" w:sz="0" w:space="0" w:color="auto"/>
                    <w:left w:val="none" w:sz="0" w:space="0" w:color="auto"/>
                    <w:bottom w:val="none" w:sz="0" w:space="0" w:color="auto"/>
                    <w:right w:val="none" w:sz="0" w:space="0" w:color="auto"/>
                  </w:divBdr>
                  <w:divsChild>
                    <w:div w:id="1942495047">
                      <w:marLeft w:val="0"/>
                      <w:marRight w:val="0"/>
                      <w:marTop w:val="0"/>
                      <w:marBottom w:val="0"/>
                      <w:divBdr>
                        <w:top w:val="none" w:sz="0" w:space="0" w:color="auto"/>
                        <w:left w:val="none" w:sz="0" w:space="0" w:color="auto"/>
                        <w:bottom w:val="none" w:sz="0" w:space="0" w:color="auto"/>
                        <w:right w:val="none" w:sz="0" w:space="0" w:color="auto"/>
                      </w:divBdr>
                    </w:div>
                  </w:divsChild>
                </w:div>
                <w:div w:id="2045212454">
                  <w:marLeft w:val="0"/>
                  <w:marRight w:val="0"/>
                  <w:marTop w:val="0"/>
                  <w:marBottom w:val="0"/>
                  <w:divBdr>
                    <w:top w:val="none" w:sz="0" w:space="0" w:color="auto"/>
                    <w:left w:val="none" w:sz="0" w:space="0" w:color="auto"/>
                    <w:bottom w:val="none" w:sz="0" w:space="0" w:color="auto"/>
                    <w:right w:val="none" w:sz="0" w:space="0" w:color="auto"/>
                  </w:divBdr>
                  <w:divsChild>
                    <w:div w:id="666714777">
                      <w:marLeft w:val="0"/>
                      <w:marRight w:val="0"/>
                      <w:marTop w:val="0"/>
                      <w:marBottom w:val="0"/>
                      <w:divBdr>
                        <w:top w:val="none" w:sz="0" w:space="0" w:color="auto"/>
                        <w:left w:val="none" w:sz="0" w:space="0" w:color="auto"/>
                        <w:bottom w:val="none" w:sz="0" w:space="0" w:color="auto"/>
                        <w:right w:val="none" w:sz="0" w:space="0" w:color="auto"/>
                      </w:divBdr>
                    </w:div>
                  </w:divsChild>
                </w:div>
                <w:div w:id="2046782928">
                  <w:marLeft w:val="0"/>
                  <w:marRight w:val="0"/>
                  <w:marTop w:val="0"/>
                  <w:marBottom w:val="0"/>
                  <w:divBdr>
                    <w:top w:val="none" w:sz="0" w:space="0" w:color="auto"/>
                    <w:left w:val="none" w:sz="0" w:space="0" w:color="auto"/>
                    <w:bottom w:val="none" w:sz="0" w:space="0" w:color="auto"/>
                    <w:right w:val="none" w:sz="0" w:space="0" w:color="auto"/>
                  </w:divBdr>
                  <w:divsChild>
                    <w:div w:id="551843278">
                      <w:marLeft w:val="0"/>
                      <w:marRight w:val="0"/>
                      <w:marTop w:val="0"/>
                      <w:marBottom w:val="0"/>
                      <w:divBdr>
                        <w:top w:val="none" w:sz="0" w:space="0" w:color="auto"/>
                        <w:left w:val="none" w:sz="0" w:space="0" w:color="auto"/>
                        <w:bottom w:val="none" w:sz="0" w:space="0" w:color="auto"/>
                        <w:right w:val="none" w:sz="0" w:space="0" w:color="auto"/>
                      </w:divBdr>
                    </w:div>
                  </w:divsChild>
                </w:div>
                <w:div w:id="2053070887">
                  <w:marLeft w:val="0"/>
                  <w:marRight w:val="0"/>
                  <w:marTop w:val="0"/>
                  <w:marBottom w:val="0"/>
                  <w:divBdr>
                    <w:top w:val="none" w:sz="0" w:space="0" w:color="auto"/>
                    <w:left w:val="none" w:sz="0" w:space="0" w:color="auto"/>
                    <w:bottom w:val="none" w:sz="0" w:space="0" w:color="auto"/>
                    <w:right w:val="none" w:sz="0" w:space="0" w:color="auto"/>
                  </w:divBdr>
                  <w:divsChild>
                    <w:div w:id="1169709699">
                      <w:marLeft w:val="0"/>
                      <w:marRight w:val="0"/>
                      <w:marTop w:val="0"/>
                      <w:marBottom w:val="0"/>
                      <w:divBdr>
                        <w:top w:val="none" w:sz="0" w:space="0" w:color="auto"/>
                        <w:left w:val="none" w:sz="0" w:space="0" w:color="auto"/>
                        <w:bottom w:val="none" w:sz="0" w:space="0" w:color="auto"/>
                        <w:right w:val="none" w:sz="0" w:space="0" w:color="auto"/>
                      </w:divBdr>
                    </w:div>
                  </w:divsChild>
                </w:div>
                <w:div w:id="2057267557">
                  <w:marLeft w:val="0"/>
                  <w:marRight w:val="0"/>
                  <w:marTop w:val="0"/>
                  <w:marBottom w:val="0"/>
                  <w:divBdr>
                    <w:top w:val="none" w:sz="0" w:space="0" w:color="auto"/>
                    <w:left w:val="none" w:sz="0" w:space="0" w:color="auto"/>
                    <w:bottom w:val="none" w:sz="0" w:space="0" w:color="auto"/>
                    <w:right w:val="none" w:sz="0" w:space="0" w:color="auto"/>
                  </w:divBdr>
                  <w:divsChild>
                    <w:div w:id="430974051">
                      <w:marLeft w:val="0"/>
                      <w:marRight w:val="0"/>
                      <w:marTop w:val="0"/>
                      <w:marBottom w:val="0"/>
                      <w:divBdr>
                        <w:top w:val="none" w:sz="0" w:space="0" w:color="auto"/>
                        <w:left w:val="none" w:sz="0" w:space="0" w:color="auto"/>
                        <w:bottom w:val="none" w:sz="0" w:space="0" w:color="auto"/>
                        <w:right w:val="none" w:sz="0" w:space="0" w:color="auto"/>
                      </w:divBdr>
                    </w:div>
                  </w:divsChild>
                </w:div>
                <w:div w:id="2062167507">
                  <w:marLeft w:val="0"/>
                  <w:marRight w:val="0"/>
                  <w:marTop w:val="0"/>
                  <w:marBottom w:val="0"/>
                  <w:divBdr>
                    <w:top w:val="none" w:sz="0" w:space="0" w:color="auto"/>
                    <w:left w:val="none" w:sz="0" w:space="0" w:color="auto"/>
                    <w:bottom w:val="none" w:sz="0" w:space="0" w:color="auto"/>
                    <w:right w:val="none" w:sz="0" w:space="0" w:color="auto"/>
                  </w:divBdr>
                  <w:divsChild>
                    <w:div w:id="1832407933">
                      <w:marLeft w:val="0"/>
                      <w:marRight w:val="0"/>
                      <w:marTop w:val="0"/>
                      <w:marBottom w:val="0"/>
                      <w:divBdr>
                        <w:top w:val="none" w:sz="0" w:space="0" w:color="auto"/>
                        <w:left w:val="none" w:sz="0" w:space="0" w:color="auto"/>
                        <w:bottom w:val="none" w:sz="0" w:space="0" w:color="auto"/>
                        <w:right w:val="none" w:sz="0" w:space="0" w:color="auto"/>
                      </w:divBdr>
                    </w:div>
                  </w:divsChild>
                </w:div>
                <w:div w:id="2064519119">
                  <w:marLeft w:val="0"/>
                  <w:marRight w:val="0"/>
                  <w:marTop w:val="0"/>
                  <w:marBottom w:val="0"/>
                  <w:divBdr>
                    <w:top w:val="none" w:sz="0" w:space="0" w:color="auto"/>
                    <w:left w:val="none" w:sz="0" w:space="0" w:color="auto"/>
                    <w:bottom w:val="none" w:sz="0" w:space="0" w:color="auto"/>
                    <w:right w:val="none" w:sz="0" w:space="0" w:color="auto"/>
                  </w:divBdr>
                  <w:divsChild>
                    <w:div w:id="1045371715">
                      <w:marLeft w:val="0"/>
                      <w:marRight w:val="0"/>
                      <w:marTop w:val="0"/>
                      <w:marBottom w:val="0"/>
                      <w:divBdr>
                        <w:top w:val="none" w:sz="0" w:space="0" w:color="auto"/>
                        <w:left w:val="none" w:sz="0" w:space="0" w:color="auto"/>
                        <w:bottom w:val="none" w:sz="0" w:space="0" w:color="auto"/>
                        <w:right w:val="none" w:sz="0" w:space="0" w:color="auto"/>
                      </w:divBdr>
                    </w:div>
                  </w:divsChild>
                </w:div>
                <w:div w:id="2065257479">
                  <w:marLeft w:val="0"/>
                  <w:marRight w:val="0"/>
                  <w:marTop w:val="0"/>
                  <w:marBottom w:val="0"/>
                  <w:divBdr>
                    <w:top w:val="none" w:sz="0" w:space="0" w:color="auto"/>
                    <w:left w:val="none" w:sz="0" w:space="0" w:color="auto"/>
                    <w:bottom w:val="none" w:sz="0" w:space="0" w:color="auto"/>
                    <w:right w:val="none" w:sz="0" w:space="0" w:color="auto"/>
                  </w:divBdr>
                  <w:divsChild>
                    <w:div w:id="1560554692">
                      <w:marLeft w:val="0"/>
                      <w:marRight w:val="0"/>
                      <w:marTop w:val="0"/>
                      <w:marBottom w:val="0"/>
                      <w:divBdr>
                        <w:top w:val="none" w:sz="0" w:space="0" w:color="auto"/>
                        <w:left w:val="none" w:sz="0" w:space="0" w:color="auto"/>
                        <w:bottom w:val="none" w:sz="0" w:space="0" w:color="auto"/>
                        <w:right w:val="none" w:sz="0" w:space="0" w:color="auto"/>
                      </w:divBdr>
                    </w:div>
                  </w:divsChild>
                </w:div>
                <w:div w:id="2067291356">
                  <w:marLeft w:val="0"/>
                  <w:marRight w:val="0"/>
                  <w:marTop w:val="0"/>
                  <w:marBottom w:val="0"/>
                  <w:divBdr>
                    <w:top w:val="none" w:sz="0" w:space="0" w:color="auto"/>
                    <w:left w:val="none" w:sz="0" w:space="0" w:color="auto"/>
                    <w:bottom w:val="none" w:sz="0" w:space="0" w:color="auto"/>
                    <w:right w:val="none" w:sz="0" w:space="0" w:color="auto"/>
                  </w:divBdr>
                  <w:divsChild>
                    <w:div w:id="2078941062">
                      <w:marLeft w:val="0"/>
                      <w:marRight w:val="0"/>
                      <w:marTop w:val="0"/>
                      <w:marBottom w:val="0"/>
                      <w:divBdr>
                        <w:top w:val="none" w:sz="0" w:space="0" w:color="auto"/>
                        <w:left w:val="none" w:sz="0" w:space="0" w:color="auto"/>
                        <w:bottom w:val="none" w:sz="0" w:space="0" w:color="auto"/>
                        <w:right w:val="none" w:sz="0" w:space="0" w:color="auto"/>
                      </w:divBdr>
                    </w:div>
                  </w:divsChild>
                </w:div>
                <w:div w:id="2079477972">
                  <w:marLeft w:val="0"/>
                  <w:marRight w:val="0"/>
                  <w:marTop w:val="0"/>
                  <w:marBottom w:val="0"/>
                  <w:divBdr>
                    <w:top w:val="none" w:sz="0" w:space="0" w:color="auto"/>
                    <w:left w:val="none" w:sz="0" w:space="0" w:color="auto"/>
                    <w:bottom w:val="none" w:sz="0" w:space="0" w:color="auto"/>
                    <w:right w:val="none" w:sz="0" w:space="0" w:color="auto"/>
                  </w:divBdr>
                  <w:divsChild>
                    <w:div w:id="205684441">
                      <w:marLeft w:val="0"/>
                      <w:marRight w:val="0"/>
                      <w:marTop w:val="0"/>
                      <w:marBottom w:val="0"/>
                      <w:divBdr>
                        <w:top w:val="none" w:sz="0" w:space="0" w:color="auto"/>
                        <w:left w:val="none" w:sz="0" w:space="0" w:color="auto"/>
                        <w:bottom w:val="none" w:sz="0" w:space="0" w:color="auto"/>
                        <w:right w:val="none" w:sz="0" w:space="0" w:color="auto"/>
                      </w:divBdr>
                    </w:div>
                  </w:divsChild>
                </w:div>
                <w:div w:id="2089693914">
                  <w:marLeft w:val="0"/>
                  <w:marRight w:val="0"/>
                  <w:marTop w:val="0"/>
                  <w:marBottom w:val="0"/>
                  <w:divBdr>
                    <w:top w:val="none" w:sz="0" w:space="0" w:color="auto"/>
                    <w:left w:val="none" w:sz="0" w:space="0" w:color="auto"/>
                    <w:bottom w:val="none" w:sz="0" w:space="0" w:color="auto"/>
                    <w:right w:val="none" w:sz="0" w:space="0" w:color="auto"/>
                  </w:divBdr>
                  <w:divsChild>
                    <w:div w:id="395587293">
                      <w:marLeft w:val="0"/>
                      <w:marRight w:val="0"/>
                      <w:marTop w:val="0"/>
                      <w:marBottom w:val="0"/>
                      <w:divBdr>
                        <w:top w:val="none" w:sz="0" w:space="0" w:color="auto"/>
                        <w:left w:val="none" w:sz="0" w:space="0" w:color="auto"/>
                        <w:bottom w:val="none" w:sz="0" w:space="0" w:color="auto"/>
                        <w:right w:val="none" w:sz="0" w:space="0" w:color="auto"/>
                      </w:divBdr>
                    </w:div>
                  </w:divsChild>
                </w:div>
                <w:div w:id="2090351083">
                  <w:marLeft w:val="0"/>
                  <w:marRight w:val="0"/>
                  <w:marTop w:val="0"/>
                  <w:marBottom w:val="0"/>
                  <w:divBdr>
                    <w:top w:val="none" w:sz="0" w:space="0" w:color="auto"/>
                    <w:left w:val="none" w:sz="0" w:space="0" w:color="auto"/>
                    <w:bottom w:val="none" w:sz="0" w:space="0" w:color="auto"/>
                    <w:right w:val="none" w:sz="0" w:space="0" w:color="auto"/>
                  </w:divBdr>
                  <w:divsChild>
                    <w:div w:id="41634461">
                      <w:marLeft w:val="0"/>
                      <w:marRight w:val="0"/>
                      <w:marTop w:val="0"/>
                      <w:marBottom w:val="0"/>
                      <w:divBdr>
                        <w:top w:val="none" w:sz="0" w:space="0" w:color="auto"/>
                        <w:left w:val="none" w:sz="0" w:space="0" w:color="auto"/>
                        <w:bottom w:val="none" w:sz="0" w:space="0" w:color="auto"/>
                        <w:right w:val="none" w:sz="0" w:space="0" w:color="auto"/>
                      </w:divBdr>
                    </w:div>
                  </w:divsChild>
                </w:div>
                <w:div w:id="2096432124">
                  <w:marLeft w:val="0"/>
                  <w:marRight w:val="0"/>
                  <w:marTop w:val="0"/>
                  <w:marBottom w:val="0"/>
                  <w:divBdr>
                    <w:top w:val="none" w:sz="0" w:space="0" w:color="auto"/>
                    <w:left w:val="none" w:sz="0" w:space="0" w:color="auto"/>
                    <w:bottom w:val="none" w:sz="0" w:space="0" w:color="auto"/>
                    <w:right w:val="none" w:sz="0" w:space="0" w:color="auto"/>
                  </w:divBdr>
                  <w:divsChild>
                    <w:div w:id="1433360000">
                      <w:marLeft w:val="0"/>
                      <w:marRight w:val="0"/>
                      <w:marTop w:val="0"/>
                      <w:marBottom w:val="0"/>
                      <w:divBdr>
                        <w:top w:val="none" w:sz="0" w:space="0" w:color="auto"/>
                        <w:left w:val="none" w:sz="0" w:space="0" w:color="auto"/>
                        <w:bottom w:val="none" w:sz="0" w:space="0" w:color="auto"/>
                        <w:right w:val="none" w:sz="0" w:space="0" w:color="auto"/>
                      </w:divBdr>
                    </w:div>
                  </w:divsChild>
                </w:div>
                <w:div w:id="2098094767">
                  <w:marLeft w:val="0"/>
                  <w:marRight w:val="0"/>
                  <w:marTop w:val="0"/>
                  <w:marBottom w:val="0"/>
                  <w:divBdr>
                    <w:top w:val="none" w:sz="0" w:space="0" w:color="auto"/>
                    <w:left w:val="none" w:sz="0" w:space="0" w:color="auto"/>
                    <w:bottom w:val="none" w:sz="0" w:space="0" w:color="auto"/>
                    <w:right w:val="none" w:sz="0" w:space="0" w:color="auto"/>
                  </w:divBdr>
                  <w:divsChild>
                    <w:div w:id="478041334">
                      <w:marLeft w:val="0"/>
                      <w:marRight w:val="0"/>
                      <w:marTop w:val="0"/>
                      <w:marBottom w:val="0"/>
                      <w:divBdr>
                        <w:top w:val="none" w:sz="0" w:space="0" w:color="auto"/>
                        <w:left w:val="none" w:sz="0" w:space="0" w:color="auto"/>
                        <w:bottom w:val="none" w:sz="0" w:space="0" w:color="auto"/>
                        <w:right w:val="none" w:sz="0" w:space="0" w:color="auto"/>
                      </w:divBdr>
                    </w:div>
                  </w:divsChild>
                </w:div>
                <w:div w:id="2099137677">
                  <w:marLeft w:val="0"/>
                  <w:marRight w:val="0"/>
                  <w:marTop w:val="0"/>
                  <w:marBottom w:val="0"/>
                  <w:divBdr>
                    <w:top w:val="none" w:sz="0" w:space="0" w:color="auto"/>
                    <w:left w:val="none" w:sz="0" w:space="0" w:color="auto"/>
                    <w:bottom w:val="none" w:sz="0" w:space="0" w:color="auto"/>
                    <w:right w:val="none" w:sz="0" w:space="0" w:color="auto"/>
                  </w:divBdr>
                  <w:divsChild>
                    <w:div w:id="1208252387">
                      <w:marLeft w:val="0"/>
                      <w:marRight w:val="0"/>
                      <w:marTop w:val="0"/>
                      <w:marBottom w:val="0"/>
                      <w:divBdr>
                        <w:top w:val="none" w:sz="0" w:space="0" w:color="auto"/>
                        <w:left w:val="none" w:sz="0" w:space="0" w:color="auto"/>
                        <w:bottom w:val="none" w:sz="0" w:space="0" w:color="auto"/>
                        <w:right w:val="none" w:sz="0" w:space="0" w:color="auto"/>
                      </w:divBdr>
                    </w:div>
                  </w:divsChild>
                </w:div>
                <w:div w:id="2101292310">
                  <w:marLeft w:val="0"/>
                  <w:marRight w:val="0"/>
                  <w:marTop w:val="0"/>
                  <w:marBottom w:val="0"/>
                  <w:divBdr>
                    <w:top w:val="none" w:sz="0" w:space="0" w:color="auto"/>
                    <w:left w:val="none" w:sz="0" w:space="0" w:color="auto"/>
                    <w:bottom w:val="none" w:sz="0" w:space="0" w:color="auto"/>
                    <w:right w:val="none" w:sz="0" w:space="0" w:color="auto"/>
                  </w:divBdr>
                  <w:divsChild>
                    <w:div w:id="1337922945">
                      <w:marLeft w:val="0"/>
                      <w:marRight w:val="0"/>
                      <w:marTop w:val="0"/>
                      <w:marBottom w:val="0"/>
                      <w:divBdr>
                        <w:top w:val="none" w:sz="0" w:space="0" w:color="auto"/>
                        <w:left w:val="none" w:sz="0" w:space="0" w:color="auto"/>
                        <w:bottom w:val="none" w:sz="0" w:space="0" w:color="auto"/>
                        <w:right w:val="none" w:sz="0" w:space="0" w:color="auto"/>
                      </w:divBdr>
                    </w:div>
                  </w:divsChild>
                </w:div>
                <w:div w:id="2105491165">
                  <w:marLeft w:val="0"/>
                  <w:marRight w:val="0"/>
                  <w:marTop w:val="0"/>
                  <w:marBottom w:val="0"/>
                  <w:divBdr>
                    <w:top w:val="none" w:sz="0" w:space="0" w:color="auto"/>
                    <w:left w:val="none" w:sz="0" w:space="0" w:color="auto"/>
                    <w:bottom w:val="none" w:sz="0" w:space="0" w:color="auto"/>
                    <w:right w:val="none" w:sz="0" w:space="0" w:color="auto"/>
                  </w:divBdr>
                  <w:divsChild>
                    <w:div w:id="604313328">
                      <w:marLeft w:val="0"/>
                      <w:marRight w:val="0"/>
                      <w:marTop w:val="0"/>
                      <w:marBottom w:val="0"/>
                      <w:divBdr>
                        <w:top w:val="none" w:sz="0" w:space="0" w:color="auto"/>
                        <w:left w:val="none" w:sz="0" w:space="0" w:color="auto"/>
                        <w:bottom w:val="none" w:sz="0" w:space="0" w:color="auto"/>
                        <w:right w:val="none" w:sz="0" w:space="0" w:color="auto"/>
                      </w:divBdr>
                    </w:div>
                  </w:divsChild>
                </w:div>
                <w:div w:id="2106143878">
                  <w:marLeft w:val="0"/>
                  <w:marRight w:val="0"/>
                  <w:marTop w:val="0"/>
                  <w:marBottom w:val="0"/>
                  <w:divBdr>
                    <w:top w:val="none" w:sz="0" w:space="0" w:color="auto"/>
                    <w:left w:val="none" w:sz="0" w:space="0" w:color="auto"/>
                    <w:bottom w:val="none" w:sz="0" w:space="0" w:color="auto"/>
                    <w:right w:val="none" w:sz="0" w:space="0" w:color="auto"/>
                  </w:divBdr>
                  <w:divsChild>
                    <w:div w:id="1043018488">
                      <w:marLeft w:val="0"/>
                      <w:marRight w:val="0"/>
                      <w:marTop w:val="0"/>
                      <w:marBottom w:val="0"/>
                      <w:divBdr>
                        <w:top w:val="none" w:sz="0" w:space="0" w:color="auto"/>
                        <w:left w:val="none" w:sz="0" w:space="0" w:color="auto"/>
                        <w:bottom w:val="none" w:sz="0" w:space="0" w:color="auto"/>
                        <w:right w:val="none" w:sz="0" w:space="0" w:color="auto"/>
                      </w:divBdr>
                    </w:div>
                  </w:divsChild>
                </w:div>
                <w:div w:id="2110202214">
                  <w:marLeft w:val="0"/>
                  <w:marRight w:val="0"/>
                  <w:marTop w:val="0"/>
                  <w:marBottom w:val="0"/>
                  <w:divBdr>
                    <w:top w:val="none" w:sz="0" w:space="0" w:color="auto"/>
                    <w:left w:val="none" w:sz="0" w:space="0" w:color="auto"/>
                    <w:bottom w:val="none" w:sz="0" w:space="0" w:color="auto"/>
                    <w:right w:val="none" w:sz="0" w:space="0" w:color="auto"/>
                  </w:divBdr>
                  <w:divsChild>
                    <w:div w:id="505244085">
                      <w:marLeft w:val="0"/>
                      <w:marRight w:val="0"/>
                      <w:marTop w:val="0"/>
                      <w:marBottom w:val="0"/>
                      <w:divBdr>
                        <w:top w:val="none" w:sz="0" w:space="0" w:color="auto"/>
                        <w:left w:val="none" w:sz="0" w:space="0" w:color="auto"/>
                        <w:bottom w:val="none" w:sz="0" w:space="0" w:color="auto"/>
                        <w:right w:val="none" w:sz="0" w:space="0" w:color="auto"/>
                      </w:divBdr>
                    </w:div>
                  </w:divsChild>
                </w:div>
                <w:div w:id="2121561858">
                  <w:marLeft w:val="0"/>
                  <w:marRight w:val="0"/>
                  <w:marTop w:val="0"/>
                  <w:marBottom w:val="0"/>
                  <w:divBdr>
                    <w:top w:val="none" w:sz="0" w:space="0" w:color="auto"/>
                    <w:left w:val="none" w:sz="0" w:space="0" w:color="auto"/>
                    <w:bottom w:val="none" w:sz="0" w:space="0" w:color="auto"/>
                    <w:right w:val="none" w:sz="0" w:space="0" w:color="auto"/>
                  </w:divBdr>
                  <w:divsChild>
                    <w:div w:id="734740317">
                      <w:marLeft w:val="0"/>
                      <w:marRight w:val="0"/>
                      <w:marTop w:val="0"/>
                      <w:marBottom w:val="0"/>
                      <w:divBdr>
                        <w:top w:val="none" w:sz="0" w:space="0" w:color="auto"/>
                        <w:left w:val="none" w:sz="0" w:space="0" w:color="auto"/>
                        <w:bottom w:val="none" w:sz="0" w:space="0" w:color="auto"/>
                        <w:right w:val="none" w:sz="0" w:space="0" w:color="auto"/>
                      </w:divBdr>
                    </w:div>
                  </w:divsChild>
                </w:div>
                <w:div w:id="2123963115">
                  <w:marLeft w:val="0"/>
                  <w:marRight w:val="0"/>
                  <w:marTop w:val="0"/>
                  <w:marBottom w:val="0"/>
                  <w:divBdr>
                    <w:top w:val="none" w:sz="0" w:space="0" w:color="auto"/>
                    <w:left w:val="none" w:sz="0" w:space="0" w:color="auto"/>
                    <w:bottom w:val="none" w:sz="0" w:space="0" w:color="auto"/>
                    <w:right w:val="none" w:sz="0" w:space="0" w:color="auto"/>
                  </w:divBdr>
                  <w:divsChild>
                    <w:div w:id="962612222">
                      <w:marLeft w:val="0"/>
                      <w:marRight w:val="0"/>
                      <w:marTop w:val="0"/>
                      <w:marBottom w:val="0"/>
                      <w:divBdr>
                        <w:top w:val="none" w:sz="0" w:space="0" w:color="auto"/>
                        <w:left w:val="none" w:sz="0" w:space="0" w:color="auto"/>
                        <w:bottom w:val="none" w:sz="0" w:space="0" w:color="auto"/>
                        <w:right w:val="none" w:sz="0" w:space="0" w:color="auto"/>
                      </w:divBdr>
                    </w:div>
                  </w:divsChild>
                </w:div>
                <w:div w:id="2126147408">
                  <w:marLeft w:val="0"/>
                  <w:marRight w:val="0"/>
                  <w:marTop w:val="0"/>
                  <w:marBottom w:val="0"/>
                  <w:divBdr>
                    <w:top w:val="none" w:sz="0" w:space="0" w:color="auto"/>
                    <w:left w:val="none" w:sz="0" w:space="0" w:color="auto"/>
                    <w:bottom w:val="none" w:sz="0" w:space="0" w:color="auto"/>
                    <w:right w:val="none" w:sz="0" w:space="0" w:color="auto"/>
                  </w:divBdr>
                  <w:divsChild>
                    <w:div w:id="537857248">
                      <w:marLeft w:val="0"/>
                      <w:marRight w:val="0"/>
                      <w:marTop w:val="0"/>
                      <w:marBottom w:val="0"/>
                      <w:divBdr>
                        <w:top w:val="none" w:sz="0" w:space="0" w:color="auto"/>
                        <w:left w:val="none" w:sz="0" w:space="0" w:color="auto"/>
                        <w:bottom w:val="none" w:sz="0" w:space="0" w:color="auto"/>
                        <w:right w:val="none" w:sz="0" w:space="0" w:color="auto"/>
                      </w:divBdr>
                    </w:div>
                  </w:divsChild>
                </w:div>
                <w:div w:id="2129156783">
                  <w:marLeft w:val="0"/>
                  <w:marRight w:val="0"/>
                  <w:marTop w:val="0"/>
                  <w:marBottom w:val="0"/>
                  <w:divBdr>
                    <w:top w:val="none" w:sz="0" w:space="0" w:color="auto"/>
                    <w:left w:val="none" w:sz="0" w:space="0" w:color="auto"/>
                    <w:bottom w:val="none" w:sz="0" w:space="0" w:color="auto"/>
                    <w:right w:val="none" w:sz="0" w:space="0" w:color="auto"/>
                  </w:divBdr>
                  <w:divsChild>
                    <w:div w:id="1863855424">
                      <w:marLeft w:val="0"/>
                      <w:marRight w:val="0"/>
                      <w:marTop w:val="0"/>
                      <w:marBottom w:val="0"/>
                      <w:divBdr>
                        <w:top w:val="none" w:sz="0" w:space="0" w:color="auto"/>
                        <w:left w:val="none" w:sz="0" w:space="0" w:color="auto"/>
                        <w:bottom w:val="none" w:sz="0" w:space="0" w:color="auto"/>
                        <w:right w:val="none" w:sz="0" w:space="0" w:color="auto"/>
                      </w:divBdr>
                    </w:div>
                  </w:divsChild>
                </w:div>
                <w:div w:id="2135364578">
                  <w:marLeft w:val="0"/>
                  <w:marRight w:val="0"/>
                  <w:marTop w:val="0"/>
                  <w:marBottom w:val="0"/>
                  <w:divBdr>
                    <w:top w:val="none" w:sz="0" w:space="0" w:color="auto"/>
                    <w:left w:val="none" w:sz="0" w:space="0" w:color="auto"/>
                    <w:bottom w:val="none" w:sz="0" w:space="0" w:color="auto"/>
                    <w:right w:val="none" w:sz="0" w:space="0" w:color="auto"/>
                  </w:divBdr>
                  <w:divsChild>
                    <w:div w:id="1578589511">
                      <w:marLeft w:val="0"/>
                      <w:marRight w:val="0"/>
                      <w:marTop w:val="0"/>
                      <w:marBottom w:val="0"/>
                      <w:divBdr>
                        <w:top w:val="none" w:sz="0" w:space="0" w:color="auto"/>
                        <w:left w:val="none" w:sz="0" w:space="0" w:color="auto"/>
                        <w:bottom w:val="none" w:sz="0" w:space="0" w:color="auto"/>
                        <w:right w:val="none" w:sz="0" w:space="0" w:color="auto"/>
                      </w:divBdr>
                    </w:div>
                  </w:divsChild>
                </w:div>
                <w:div w:id="2140681229">
                  <w:marLeft w:val="0"/>
                  <w:marRight w:val="0"/>
                  <w:marTop w:val="0"/>
                  <w:marBottom w:val="0"/>
                  <w:divBdr>
                    <w:top w:val="none" w:sz="0" w:space="0" w:color="auto"/>
                    <w:left w:val="none" w:sz="0" w:space="0" w:color="auto"/>
                    <w:bottom w:val="none" w:sz="0" w:space="0" w:color="auto"/>
                    <w:right w:val="none" w:sz="0" w:space="0" w:color="auto"/>
                  </w:divBdr>
                  <w:divsChild>
                    <w:div w:id="2055890060">
                      <w:marLeft w:val="0"/>
                      <w:marRight w:val="0"/>
                      <w:marTop w:val="0"/>
                      <w:marBottom w:val="0"/>
                      <w:divBdr>
                        <w:top w:val="none" w:sz="0" w:space="0" w:color="auto"/>
                        <w:left w:val="none" w:sz="0" w:space="0" w:color="auto"/>
                        <w:bottom w:val="none" w:sz="0" w:space="0" w:color="auto"/>
                        <w:right w:val="none" w:sz="0" w:space="0" w:color="auto"/>
                      </w:divBdr>
                    </w:div>
                  </w:divsChild>
                </w:div>
                <w:div w:id="2145468996">
                  <w:marLeft w:val="0"/>
                  <w:marRight w:val="0"/>
                  <w:marTop w:val="0"/>
                  <w:marBottom w:val="0"/>
                  <w:divBdr>
                    <w:top w:val="none" w:sz="0" w:space="0" w:color="auto"/>
                    <w:left w:val="none" w:sz="0" w:space="0" w:color="auto"/>
                    <w:bottom w:val="none" w:sz="0" w:space="0" w:color="auto"/>
                    <w:right w:val="none" w:sz="0" w:space="0" w:color="auto"/>
                  </w:divBdr>
                  <w:divsChild>
                    <w:div w:id="18222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757673">
          <w:marLeft w:val="0"/>
          <w:marRight w:val="0"/>
          <w:marTop w:val="0"/>
          <w:marBottom w:val="0"/>
          <w:divBdr>
            <w:top w:val="none" w:sz="0" w:space="0" w:color="auto"/>
            <w:left w:val="none" w:sz="0" w:space="0" w:color="auto"/>
            <w:bottom w:val="none" w:sz="0" w:space="0" w:color="auto"/>
            <w:right w:val="none" w:sz="0" w:space="0" w:color="auto"/>
          </w:divBdr>
          <w:divsChild>
            <w:div w:id="69523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471320">
      <w:bodyDiv w:val="1"/>
      <w:marLeft w:val="0"/>
      <w:marRight w:val="0"/>
      <w:marTop w:val="0"/>
      <w:marBottom w:val="0"/>
      <w:divBdr>
        <w:top w:val="none" w:sz="0" w:space="0" w:color="auto"/>
        <w:left w:val="none" w:sz="0" w:space="0" w:color="auto"/>
        <w:bottom w:val="none" w:sz="0" w:space="0" w:color="auto"/>
        <w:right w:val="none" w:sz="0" w:space="0" w:color="auto"/>
      </w:divBdr>
      <w:divsChild>
        <w:div w:id="234708239">
          <w:marLeft w:val="0"/>
          <w:marRight w:val="0"/>
          <w:marTop w:val="0"/>
          <w:marBottom w:val="0"/>
          <w:divBdr>
            <w:top w:val="none" w:sz="0" w:space="0" w:color="auto"/>
            <w:left w:val="none" w:sz="0" w:space="0" w:color="auto"/>
            <w:bottom w:val="none" w:sz="0" w:space="0" w:color="auto"/>
            <w:right w:val="none" w:sz="0" w:space="0" w:color="auto"/>
          </w:divBdr>
        </w:div>
        <w:div w:id="1874808037">
          <w:marLeft w:val="0"/>
          <w:marRight w:val="0"/>
          <w:marTop w:val="0"/>
          <w:marBottom w:val="0"/>
          <w:divBdr>
            <w:top w:val="none" w:sz="0" w:space="0" w:color="auto"/>
            <w:left w:val="none" w:sz="0" w:space="0" w:color="auto"/>
            <w:bottom w:val="none" w:sz="0" w:space="0" w:color="auto"/>
            <w:right w:val="none" w:sz="0" w:space="0" w:color="auto"/>
          </w:divBdr>
        </w:div>
      </w:divsChild>
    </w:div>
    <w:div w:id="616647677">
      <w:bodyDiv w:val="1"/>
      <w:marLeft w:val="0"/>
      <w:marRight w:val="0"/>
      <w:marTop w:val="0"/>
      <w:marBottom w:val="0"/>
      <w:divBdr>
        <w:top w:val="none" w:sz="0" w:space="0" w:color="auto"/>
        <w:left w:val="none" w:sz="0" w:space="0" w:color="auto"/>
        <w:bottom w:val="none" w:sz="0" w:space="0" w:color="auto"/>
        <w:right w:val="none" w:sz="0" w:space="0" w:color="auto"/>
      </w:divBdr>
    </w:div>
    <w:div w:id="642079268">
      <w:bodyDiv w:val="1"/>
      <w:marLeft w:val="0"/>
      <w:marRight w:val="0"/>
      <w:marTop w:val="0"/>
      <w:marBottom w:val="0"/>
      <w:divBdr>
        <w:top w:val="none" w:sz="0" w:space="0" w:color="auto"/>
        <w:left w:val="none" w:sz="0" w:space="0" w:color="auto"/>
        <w:bottom w:val="none" w:sz="0" w:space="0" w:color="auto"/>
        <w:right w:val="none" w:sz="0" w:space="0" w:color="auto"/>
      </w:divBdr>
    </w:div>
    <w:div w:id="644772195">
      <w:bodyDiv w:val="1"/>
      <w:marLeft w:val="0"/>
      <w:marRight w:val="0"/>
      <w:marTop w:val="0"/>
      <w:marBottom w:val="0"/>
      <w:divBdr>
        <w:top w:val="none" w:sz="0" w:space="0" w:color="auto"/>
        <w:left w:val="none" w:sz="0" w:space="0" w:color="auto"/>
        <w:bottom w:val="none" w:sz="0" w:space="0" w:color="auto"/>
        <w:right w:val="none" w:sz="0" w:space="0" w:color="auto"/>
      </w:divBdr>
    </w:div>
    <w:div w:id="647437777">
      <w:bodyDiv w:val="1"/>
      <w:marLeft w:val="0"/>
      <w:marRight w:val="0"/>
      <w:marTop w:val="0"/>
      <w:marBottom w:val="0"/>
      <w:divBdr>
        <w:top w:val="none" w:sz="0" w:space="0" w:color="auto"/>
        <w:left w:val="none" w:sz="0" w:space="0" w:color="auto"/>
        <w:bottom w:val="none" w:sz="0" w:space="0" w:color="auto"/>
        <w:right w:val="none" w:sz="0" w:space="0" w:color="auto"/>
      </w:divBdr>
      <w:divsChild>
        <w:div w:id="1214195190">
          <w:marLeft w:val="0"/>
          <w:marRight w:val="0"/>
          <w:marTop w:val="0"/>
          <w:marBottom w:val="0"/>
          <w:divBdr>
            <w:top w:val="none" w:sz="0" w:space="0" w:color="auto"/>
            <w:left w:val="none" w:sz="0" w:space="0" w:color="auto"/>
            <w:bottom w:val="none" w:sz="0" w:space="0" w:color="auto"/>
            <w:right w:val="none" w:sz="0" w:space="0" w:color="auto"/>
          </w:divBdr>
        </w:div>
        <w:div w:id="1488203892">
          <w:marLeft w:val="0"/>
          <w:marRight w:val="0"/>
          <w:marTop w:val="0"/>
          <w:marBottom w:val="0"/>
          <w:divBdr>
            <w:top w:val="none" w:sz="0" w:space="0" w:color="auto"/>
            <w:left w:val="none" w:sz="0" w:space="0" w:color="auto"/>
            <w:bottom w:val="none" w:sz="0" w:space="0" w:color="auto"/>
            <w:right w:val="none" w:sz="0" w:space="0" w:color="auto"/>
          </w:divBdr>
          <w:divsChild>
            <w:div w:id="1410158693">
              <w:marLeft w:val="-75"/>
              <w:marRight w:val="0"/>
              <w:marTop w:val="30"/>
              <w:marBottom w:val="30"/>
              <w:divBdr>
                <w:top w:val="none" w:sz="0" w:space="0" w:color="auto"/>
                <w:left w:val="none" w:sz="0" w:space="0" w:color="auto"/>
                <w:bottom w:val="none" w:sz="0" w:space="0" w:color="auto"/>
                <w:right w:val="none" w:sz="0" w:space="0" w:color="auto"/>
              </w:divBdr>
              <w:divsChild>
                <w:div w:id="51999971">
                  <w:marLeft w:val="0"/>
                  <w:marRight w:val="0"/>
                  <w:marTop w:val="0"/>
                  <w:marBottom w:val="0"/>
                  <w:divBdr>
                    <w:top w:val="none" w:sz="0" w:space="0" w:color="auto"/>
                    <w:left w:val="none" w:sz="0" w:space="0" w:color="auto"/>
                    <w:bottom w:val="none" w:sz="0" w:space="0" w:color="auto"/>
                    <w:right w:val="none" w:sz="0" w:space="0" w:color="auto"/>
                  </w:divBdr>
                  <w:divsChild>
                    <w:div w:id="759371911">
                      <w:marLeft w:val="0"/>
                      <w:marRight w:val="0"/>
                      <w:marTop w:val="0"/>
                      <w:marBottom w:val="0"/>
                      <w:divBdr>
                        <w:top w:val="none" w:sz="0" w:space="0" w:color="auto"/>
                        <w:left w:val="none" w:sz="0" w:space="0" w:color="auto"/>
                        <w:bottom w:val="none" w:sz="0" w:space="0" w:color="auto"/>
                        <w:right w:val="none" w:sz="0" w:space="0" w:color="auto"/>
                      </w:divBdr>
                    </w:div>
                  </w:divsChild>
                </w:div>
                <w:div w:id="93980562">
                  <w:marLeft w:val="0"/>
                  <w:marRight w:val="0"/>
                  <w:marTop w:val="0"/>
                  <w:marBottom w:val="0"/>
                  <w:divBdr>
                    <w:top w:val="none" w:sz="0" w:space="0" w:color="auto"/>
                    <w:left w:val="none" w:sz="0" w:space="0" w:color="auto"/>
                    <w:bottom w:val="none" w:sz="0" w:space="0" w:color="auto"/>
                    <w:right w:val="none" w:sz="0" w:space="0" w:color="auto"/>
                  </w:divBdr>
                  <w:divsChild>
                    <w:div w:id="1026638458">
                      <w:marLeft w:val="0"/>
                      <w:marRight w:val="0"/>
                      <w:marTop w:val="0"/>
                      <w:marBottom w:val="0"/>
                      <w:divBdr>
                        <w:top w:val="none" w:sz="0" w:space="0" w:color="auto"/>
                        <w:left w:val="none" w:sz="0" w:space="0" w:color="auto"/>
                        <w:bottom w:val="none" w:sz="0" w:space="0" w:color="auto"/>
                        <w:right w:val="none" w:sz="0" w:space="0" w:color="auto"/>
                      </w:divBdr>
                    </w:div>
                    <w:div w:id="1394350082">
                      <w:marLeft w:val="0"/>
                      <w:marRight w:val="0"/>
                      <w:marTop w:val="0"/>
                      <w:marBottom w:val="0"/>
                      <w:divBdr>
                        <w:top w:val="none" w:sz="0" w:space="0" w:color="auto"/>
                        <w:left w:val="none" w:sz="0" w:space="0" w:color="auto"/>
                        <w:bottom w:val="none" w:sz="0" w:space="0" w:color="auto"/>
                        <w:right w:val="none" w:sz="0" w:space="0" w:color="auto"/>
                      </w:divBdr>
                    </w:div>
                  </w:divsChild>
                </w:div>
                <w:div w:id="103501368">
                  <w:marLeft w:val="0"/>
                  <w:marRight w:val="0"/>
                  <w:marTop w:val="0"/>
                  <w:marBottom w:val="0"/>
                  <w:divBdr>
                    <w:top w:val="none" w:sz="0" w:space="0" w:color="auto"/>
                    <w:left w:val="none" w:sz="0" w:space="0" w:color="auto"/>
                    <w:bottom w:val="none" w:sz="0" w:space="0" w:color="auto"/>
                    <w:right w:val="none" w:sz="0" w:space="0" w:color="auto"/>
                  </w:divBdr>
                  <w:divsChild>
                    <w:div w:id="978342911">
                      <w:marLeft w:val="0"/>
                      <w:marRight w:val="0"/>
                      <w:marTop w:val="0"/>
                      <w:marBottom w:val="0"/>
                      <w:divBdr>
                        <w:top w:val="none" w:sz="0" w:space="0" w:color="auto"/>
                        <w:left w:val="none" w:sz="0" w:space="0" w:color="auto"/>
                        <w:bottom w:val="none" w:sz="0" w:space="0" w:color="auto"/>
                        <w:right w:val="none" w:sz="0" w:space="0" w:color="auto"/>
                      </w:divBdr>
                    </w:div>
                  </w:divsChild>
                </w:div>
                <w:div w:id="156923876">
                  <w:marLeft w:val="0"/>
                  <w:marRight w:val="0"/>
                  <w:marTop w:val="0"/>
                  <w:marBottom w:val="0"/>
                  <w:divBdr>
                    <w:top w:val="none" w:sz="0" w:space="0" w:color="auto"/>
                    <w:left w:val="none" w:sz="0" w:space="0" w:color="auto"/>
                    <w:bottom w:val="none" w:sz="0" w:space="0" w:color="auto"/>
                    <w:right w:val="none" w:sz="0" w:space="0" w:color="auto"/>
                  </w:divBdr>
                  <w:divsChild>
                    <w:div w:id="2132939033">
                      <w:marLeft w:val="0"/>
                      <w:marRight w:val="0"/>
                      <w:marTop w:val="0"/>
                      <w:marBottom w:val="0"/>
                      <w:divBdr>
                        <w:top w:val="none" w:sz="0" w:space="0" w:color="auto"/>
                        <w:left w:val="none" w:sz="0" w:space="0" w:color="auto"/>
                        <w:bottom w:val="none" w:sz="0" w:space="0" w:color="auto"/>
                        <w:right w:val="none" w:sz="0" w:space="0" w:color="auto"/>
                      </w:divBdr>
                    </w:div>
                  </w:divsChild>
                </w:div>
                <w:div w:id="166480893">
                  <w:marLeft w:val="0"/>
                  <w:marRight w:val="0"/>
                  <w:marTop w:val="0"/>
                  <w:marBottom w:val="0"/>
                  <w:divBdr>
                    <w:top w:val="none" w:sz="0" w:space="0" w:color="auto"/>
                    <w:left w:val="none" w:sz="0" w:space="0" w:color="auto"/>
                    <w:bottom w:val="none" w:sz="0" w:space="0" w:color="auto"/>
                    <w:right w:val="none" w:sz="0" w:space="0" w:color="auto"/>
                  </w:divBdr>
                  <w:divsChild>
                    <w:div w:id="740903531">
                      <w:marLeft w:val="0"/>
                      <w:marRight w:val="0"/>
                      <w:marTop w:val="0"/>
                      <w:marBottom w:val="0"/>
                      <w:divBdr>
                        <w:top w:val="none" w:sz="0" w:space="0" w:color="auto"/>
                        <w:left w:val="none" w:sz="0" w:space="0" w:color="auto"/>
                        <w:bottom w:val="none" w:sz="0" w:space="0" w:color="auto"/>
                        <w:right w:val="none" w:sz="0" w:space="0" w:color="auto"/>
                      </w:divBdr>
                    </w:div>
                  </w:divsChild>
                </w:div>
                <w:div w:id="196087905">
                  <w:marLeft w:val="0"/>
                  <w:marRight w:val="0"/>
                  <w:marTop w:val="0"/>
                  <w:marBottom w:val="0"/>
                  <w:divBdr>
                    <w:top w:val="none" w:sz="0" w:space="0" w:color="auto"/>
                    <w:left w:val="none" w:sz="0" w:space="0" w:color="auto"/>
                    <w:bottom w:val="none" w:sz="0" w:space="0" w:color="auto"/>
                    <w:right w:val="none" w:sz="0" w:space="0" w:color="auto"/>
                  </w:divBdr>
                  <w:divsChild>
                    <w:div w:id="937640718">
                      <w:marLeft w:val="0"/>
                      <w:marRight w:val="0"/>
                      <w:marTop w:val="0"/>
                      <w:marBottom w:val="0"/>
                      <w:divBdr>
                        <w:top w:val="none" w:sz="0" w:space="0" w:color="auto"/>
                        <w:left w:val="none" w:sz="0" w:space="0" w:color="auto"/>
                        <w:bottom w:val="none" w:sz="0" w:space="0" w:color="auto"/>
                        <w:right w:val="none" w:sz="0" w:space="0" w:color="auto"/>
                      </w:divBdr>
                    </w:div>
                  </w:divsChild>
                </w:div>
                <w:div w:id="248930051">
                  <w:marLeft w:val="0"/>
                  <w:marRight w:val="0"/>
                  <w:marTop w:val="0"/>
                  <w:marBottom w:val="0"/>
                  <w:divBdr>
                    <w:top w:val="none" w:sz="0" w:space="0" w:color="auto"/>
                    <w:left w:val="none" w:sz="0" w:space="0" w:color="auto"/>
                    <w:bottom w:val="none" w:sz="0" w:space="0" w:color="auto"/>
                    <w:right w:val="none" w:sz="0" w:space="0" w:color="auto"/>
                  </w:divBdr>
                  <w:divsChild>
                    <w:div w:id="472796366">
                      <w:marLeft w:val="0"/>
                      <w:marRight w:val="0"/>
                      <w:marTop w:val="0"/>
                      <w:marBottom w:val="0"/>
                      <w:divBdr>
                        <w:top w:val="none" w:sz="0" w:space="0" w:color="auto"/>
                        <w:left w:val="none" w:sz="0" w:space="0" w:color="auto"/>
                        <w:bottom w:val="none" w:sz="0" w:space="0" w:color="auto"/>
                        <w:right w:val="none" w:sz="0" w:space="0" w:color="auto"/>
                      </w:divBdr>
                    </w:div>
                  </w:divsChild>
                </w:div>
                <w:div w:id="274486531">
                  <w:marLeft w:val="0"/>
                  <w:marRight w:val="0"/>
                  <w:marTop w:val="0"/>
                  <w:marBottom w:val="0"/>
                  <w:divBdr>
                    <w:top w:val="none" w:sz="0" w:space="0" w:color="auto"/>
                    <w:left w:val="none" w:sz="0" w:space="0" w:color="auto"/>
                    <w:bottom w:val="none" w:sz="0" w:space="0" w:color="auto"/>
                    <w:right w:val="none" w:sz="0" w:space="0" w:color="auto"/>
                  </w:divBdr>
                  <w:divsChild>
                    <w:div w:id="1471359496">
                      <w:marLeft w:val="0"/>
                      <w:marRight w:val="0"/>
                      <w:marTop w:val="0"/>
                      <w:marBottom w:val="0"/>
                      <w:divBdr>
                        <w:top w:val="none" w:sz="0" w:space="0" w:color="auto"/>
                        <w:left w:val="none" w:sz="0" w:space="0" w:color="auto"/>
                        <w:bottom w:val="none" w:sz="0" w:space="0" w:color="auto"/>
                        <w:right w:val="none" w:sz="0" w:space="0" w:color="auto"/>
                      </w:divBdr>
                    </w:div>
                  </w:divsChild>
                </w:div>
                <w:div w:id="297685205">
                  <w:marLeft w:val="0"/>
                  <w:marRight w:val="0"/>
                  <w:marTop w:val="0"/>
                  <w:marBottom w:val="0"/>
                  <w:divBdr>
                    <w:top w:val="none" w:sz="0" w:space="0" w:color="auto"/>
                    <w:left w:val="none" w:sz="0" w:space="0" w:color="auto"/>
                    <w:bottom w:val="none" w:sz="0" w:space="0" w:color="auto"/>
                    <w:right w:val="none" w:sz="0" w:space="0" w:color="auto"/>
                  </w:divBdr>
                  <w:divsChild>
                    <w:div w:id="196042886">
                      <w:marLeft w:val="0"/>
                      <w:marRight w:val="0"/>
                      <w:marTop w:val="0"/>
                      <w:marBottom w:val="0"/>
                      <w:divBdr>
                        <w:top w:val="none" w:sz="0" w:space="0" w:color="auto"/>
                        <w:left w:val="none" w:sz="0" w:space="0" w:color="auto"/>
                        <w:bottom w:val="none" w:sz="0" w:space="0" w:color="auto"/>
                        <w:right w:val="none" w:sz="0" w:space="0" w:color="auto"/>
                      </w:divBdr>
                    </w:div>
                  </w:divsChild>
                </w:div>
                <w:div w:id="308022741">
                  <w:marLeft w:val="0"/>
                  <w:marRight w:val="0"/>
                  <w:marTop w:val="0"/>
                  <w:marBottom w:val="0"/>
                  <w:divBdr>
                    <w:top w:val="none" w:sz="0" w:space="0" w:color="auto"/>
                    <w:left w:val="none" w:sz="0" w:space="0" w:color="auto"/>
                    <w:bottom w:val="none" w:sz="0" w:space="0" w:color="auto"/>
                    <w:right w:val="none" w:sz="0" w:space="0" w:color="auto"/>
                  </w:divBdr>
                  <w:divsChild>
                    <w:div w:id="208805764">
                      <w:marLeft w:val="0"/>
                      <w:marRight w:val="0"/>
                      <w:marTop w:val="0"/>
                      <w:marBottom w:val="0"/>
                      <w:divBdr>
                        <w:top w:val="none" w:sz="0" w:space="0" w:color="auto"/>
                        <w:left w:val="none" w:sz="0" w:space="0" w:color="auto"/>
                        <w:bottom w:val="none" w:sz="0" w:space="0" w:color="auto"/>
                        <w:right w:val="none" w:sz="0" w:space="0" w:color="auto"/>
                      </w:divBdr>
                    </w:div>
                  </w:divsChild>
                </w:div>
                <w:div w:id="342171251">
                  <w:marLeft w:val="0"/>
                  <w:marRight w:val="0"/>
                  <w:marTop w:val="0"/>
                  <w:marBottom w:val="0"/>
                  <w:divBdr>
                    <w:top w:val="none" w:sz="0" w:space="0" w:color="auto"/>
                    <w:left w:val="none" w:sz="0" w:space="0" w:color="auto"/>
                    <w:bottom w:val="none" w:sz="0" w:space="0" w:color="auto"/>
                    <w:right w:val="none" w:sz="0" w:space="0" w:color="auto"/>
                  </w:divBdr>
                  <w:divsChild>
                    <w:div w:id="1466047911">
                      <w:marLeft w:val="0"/>
                      <w:marRight w:val="0"/>
                      <w:marTop w:val="0"/>
                      <w:marBottom w:val="0"/>
                      <w:divBdr>
                        <w:top w:val="none" w:sz="0" w:space="0" w:color="auto"/>
                        <w:left w:val="none" w:sz="0" w:space="0" w:color="auto"/>
                        <w:bottom w:val="none" w:sz="0" w:space="0" w:color="auto"/>
                        <w:right w:val="none" w:sz="0" w:space="0" w:color="auto"/>
                      </w:divBdr>
                    </w:div>
                  </w:divsChild>
                </w:div>
                <w:div w:id="429356342">
                  <w:marLeft w:val="0"/>
                  <w:marRight w:val="0"/>
                  <w:marTop w:val="0"/>
                  <w:marBottom w:val="0"/>
                  <w:divBdr>
                    <w:top w:val="none" w:sz="0" w:space="0" w:color="auto"/>
                    <w:left w:val="none" w:sz="0" w:space="0" w:color="auto"/>
                    <w:bottom w:val="none" w:sz="0" w:space="0" w:color="auto"/>
                    <w:right w:val="none" w:sz="0" w:space="0" w:color="auto"/>
                  </w:divBdr>
                  <w:divsChild>
                    <w:div w:id="348988152">
                      <w:marLeft w:val="0"/>
                      <w:marRight w:val="0"/>
                      <w:marTop w:val="0"/>
                      <w:marBottom w:val="0"/>
                      <w:divBdr>
                        <w:top w:val="none" w:sz="0" w:space="0" w:color="auto"/>
                        <w:left w:val="none" w:sz="0" w:space="0" w:color="auto"/>
                        <w:bottom w:val="none" w:sz="0" w:space="0" w:color="auto"/>
                        <w:right w:val="none" w:sz="0" w:space="0" w:color="auto"/>
                      </w:divBdr>
                    </w:div>
                  </w:divsChild>
                </w:div>
                <w:div w:id="436951417">
                  <w:marLeft w:val="0"/>
                  <w:marRight w:val="0"/>
                  <w:marTop w:val="0"/>
                  <w:marBottom w:val="0"/>
                  <w:divBdr>
                    <w:top w:val="none" w:sz="0" w:space="0" w:color="auto"/>
                    <w:left w:val="none" w:sz="0" w:space="0" w:color="auto"/>
                    <w:bottom w:val="none" w:sz="0" w:space="0" w:color="auto"/>
                    <w:right w:val="none" w:sz="0" w:space="0" w:color="auto"/>
                  </w:divBdr>
                  <w:divsChild>
                    <w:div w:id="554511374">
                      <w:marLeft w:val="0"/>
                      <w:marRight w:val="0"/>
                      <w:marTop w:val="0"/>
                      <w:marBottom w:val="0"/>
                      <w:divBdr>
                        <w:top w:val="none" w:sz="0" w:space="0" w:color="auto"/>
                        <w:left w:val="none" w:sz="0" w:space="0" w:color="auto"/>
                        <w:bottom w:val="none" w:sz="0" w:space="0" w:color="auto"/>
                        <w:right w:val="none" w:sz="0" w:space="0" w:color="auto"/>
                      </w:divBdr>
                    </w:div>
                  </w:divsChild>
                </w:div>
                <w:div w:id="450173181">
                  <w:marLeft w:val="0"/>
                  <w:marRight w:val="0"/>
                  <w:marTop w:val="0"/>
                  <w:marBottom w:val="0"/>
                  <w:divBdr>
                    <w:top w:val="none" w:sz="0" w:space="0" w:color="auto"/>
                    <w:left w:val="none" w:sz="0" w:space="0" w:color="auto"/>
                    <w:bottom w:val="none" w:sz="0" w:space="0" w:color="auto"/>
                    <w:right w:val="none" w:sz="0" w:space="0" w:color="auto"/>
                  </w:divBdr>
                  <w:divsChild>
                    <w:div w:id="1693064932">
                      <w:marLeft w:val="0"/>
                      <w:marRight w:val="0"/>
                      <w:marTop w:val="0"/>
                      <w:marBottom w:val="0"/>
                      <w:divBdr>
                        <w:top w:val="none" w:sz="0" w:space="0" w:color="auto"/>
                        <w:left w:val="none" w:sz="0" w:space="0" w:color="auto"/>
                        <w:bottom w:val="none" w:sz="0" w:space="0" w:color="auto"/>
                        <w:right w:val="none" w:sz="0" w:space="0" w:color="auto"/>
                      </w:divBdr>
                    </w:div>
                  </w:divsChild>
                </w:div>
                <w:div w:id="464008908">
                  <w:marLeft w:val="0"/>
                  <w:marRight w:val="0"/>
                  <w:marTop w:val="0"/>
                  <w:marBottom w:val="0"/>
                  <w:divBdr>
                    <w:top w:val="none" w:sz="0" w:space="0" w:color="auto"/>
                    <w:left w:val="none" w:sz="0" w:space="0" w:color="auto"/>
                    <w:bottom w:val="none" w:sz="0" w:space="0" w:color="auto"/>
                    <w:right w:val="none" w:sz="0" w:space="0" w:color="auto"/>
                  </w:divBdr>
                  <w:divsChild>
                    <w:div w:id="1197230139">
                      <w:marLeft w:val="0"/>
                      <w:marRight w:val="0"/>
                      <w:marTop w:val="0"/>
                      <w:marBottom w:val="0"/>
                      <w:divBdr>
                        <w:top w:val="none" w:sz="0" w:space="0" w:color="auto"/>
                        <w:left w:val="none" w:sz="0" w:space="0" w:color="auto"/>
                        <w:bottom w:val="none" w:sz="0" w:space="0" w:color="auto"/>
                        <w:right w:val="none" w:sz="0" w:space="0" w:color="auto"/>
                      </w:divBdr>
                    </w:div>
                  </w:divsChild>
                </w:div>
                <w:div w:id="483157091">
                  <w:marLeft w:val="0"/>
                  <w:marRight w:val="0"/>
                  <w:marTop w:val="0"/>
                  <w:marBottom w:val="0"/>
                  <w:divBdr>
                    <w:top w:val="none" w:sz="0" w:space="0" w:color="auto"/>
                    <w:left w:val="none" w:sz="0" w:space="0" w:color="auto"/>
                    <w:bottom w:val="none" w:sz="0" w:space="0" w:color="auto"/>
                    <w:right w:val="none" w:sz="0" w:space="0" w:color="auto"/>
                  </w:divBdr>
                  <w:divsChild>
                    <w:div w:id="272059728">
                      <w:marLeft w:val="0"/>
                      <w:marRight w:val="0"/>
                      <w:marTop w:val="0"/>
                      <w:marBottom w:val="0"/>
                      <w:divBdr>
                        <w:top w:val="none" w:sz="0" w:space="0" w:color="auto"/>
                        <w:left w:val="none" w:sz="0" w:space="0" w:color="auto"/>
                        <w:bottom w:val="none" w:sz="0" w:space="0" w:color="auto"/>
                        <w:right w:val="none" w:sz="0" w:space="0" w:color="auto"/>
                      </w:divBdr>
                    </w:div>
                  </w:divsChild>
                </w:div>
                <w:div w:id="512958324">
                  <w:marLeft w:val="0"/>
                  <w:marRight w:val="0"/>
                  <w:marTop w:val="0"/>
                  <w:marBottom w:val="0"/>
                  <w:divBdr>
                    <w:top w:val="none" w:sz="0" w:space="0" w:color="auto"/>
                    <w:left w:val="none" w:sz="0" w:space="0" w:color="auto"/>
                    <w:bottom w:val="none" w:sz="0" w:space="0" w:color="auto"/>
                    <w:right w:val="none" w:sz="0" w:space="0" w:color="auto"/>
                  </w:divBdr>
                  <w:divsChild>
                    <w:div w:id="175120404">
                      <w:marLeft w:val="0"/>
                      <w:marRight w:val="0"/>
                      <w:marTop w:val="0"/>
                      <w:marBottom w:val="0"/>
                      <w:divBdr>
                        <w:top w:val="none" w:sz="0" w:space="0" w:color="auto"/>
                        <w:left w:val="none" w:sz="0" w:space="0" w:color="auto"/>
                        <w:bottom w:val="none" w:sz="0" w:space="0" w:color="auto"/>
                        <w:right w:val="none" w:sz="0" w:space="0" w:color="auto"/>
                      </w:divBdr>
                    </w:div>
                  </w:divsChild>
                </w:div>
                <w:div w:id="514030396">
                  <w:marLeft w:val="0"/>
                  <w:marRight w:val="0"/>
                  <w:marTop w:val="0"/>
                  <w:marBottom w:val="0"/>
                  <w:divBdr>
                    <w:top w:val="none" w:sz="0" w:space="0" w:color="auto"/>
                    <w:left w:val="none" w:sz="0" w:space="0" w:color="auto"/>
                    <w:bottom w:val="none" w:sz="0" w:space="0" w:color="auto"/>
                    <w:right w:val="none" w:sz="0" w:space="0" w:color="auto"/>
                  </w:divBdr>
                  <w:divsChild>
                    <w:div w:id="1576352856">
                      <w:marLeft w:val="0"/>
                      <w:marRight w:val="0"/>
                      <w:marTop w:val="0"/>
                      <w:marBottom w:val="0"/>
                      <w:divBdr>
                        <w:top w:val="none" w:sz="0" w:space="0" w:color="auto"/>
                        <w:left w:val="none" w:sz="0" w:space="0" w:color="auto"/>
                        <w:bottom w:val="none" w:sz="0" w:space="0" w:color="auto"/>
                        <w:right w:val="none" w:sz="0" w:space="0" w:color="auto"/>
                      </w:divBdr>
                    </w:div>
                  </w:divsChild>
                </w:div>
                <w:div w:id="569851553">
                  <w:marLeft w:val="0"/>
                  <w:marRight w:val="0"/>
                  <w:marTop w:val="0"/>
                  <w:marBottom w:val="0"/>
                  <w:divBdr>
                    <w:top w:val="none" w:sz="0" w:space="0" w:color="auto"/>
                    <w:left w:val="none" w:sz="0" w:space="0" w:color="auto"/>
                    <w:bottom w:val="none" w:sz="0" w:space="0" w:color="auto"/>
                    <w:right w:val="none" w:sz="0" w:space="0" w:color="auto"/>
                  </w:divBdr>
                  <w:divsChild>
                    <w:div w:id="715156218">
                      <w:marLeft w:val="0"/>
                      <w:marRight w:val="0"/>
                      <w:marTop w:val="0"/>
                      <w:marBottom w:val="0"/>
                      <w:divBdr>
                        <w:top w:val="none" w:sz="0" w:space="0" w:color="auto"/>
                        <w:left w:val="none" w:sz="0" w:space="0" w:color="auto"/>
                        <w:bottom w:val="none" w:sz="0" w:space="0" w:color="auto"/>
                        <w:right w:val="none" w:sz="0" w:space="0" w:color="auto"/>
                      </w:divBdr>
                    </w:div>
                  </w:divsChild>
                </w:div>
                <w:div w:id="655185213">
                  <w:marLeft w:val="0"/>
                  <w:marRight w:val="0"/>
                  <w:marTop w:val="0"/>
                  <w:marBottom w:val="0"/>
                  <w:divBdr>
                    <w:top w:val="none" w:sz="0" w:space="0" w:color="auto"/>
                    <w:left w:val="none" w:sz="0" w:space="0" w:color="auto"/>
                    <w:bottom w:val="none" w:sz="0" w:space="0" w:color="auto"/>
                    <w:right w:val="none" w:sz="0" w:space="0" w:color="auto"/>
                  </w:divBdr>
                  <w:divsChild>
                    <w:div w:id="1499421203">
                      <w:marLeft w:val="0"/>
                      <w:marRight w:val="0"/>
                      <w:marTop w:val="0"/>
                      <w:marBottom w:val="0"/>
                      <w:divBdr>
                        <w:top w:val="none" w:sz="0" w:space="0" w:color="auto"/>
                        <w:left w:val="none" w:sz="0" w:space="0" w:color="auto"/>
                        <w:bottom w:val="none" w:sz="0" w:space="0" w:color="auto"/>
                        <w:right w:val="none" w:sz="0" w:space="0" w:color="auto"/>
                      </w:divBdr>
                    </w:div>
                  </w:divsChild>
                </w:div>
                <w:div w:id="687878347">
                  <w:marLeft w:val="0"/>
                  <w:marRight w:val="0"/>
                  <w:marTop w:val="0"/>
                  <w:marBottom w:val="0"/>
                  <w:divBdr>
                    <w:top w:val="none" w:sz="0" w:space="0" w:color="auto"/>
                    <w:left w:val="none" w:sz="0" w:space="0" w:color="auto"/>
                    <w:bottom w:val="none" w:sz="0" w:space="0" w:color="auto"/>
                    <w:right w:val="none" w:sz="0" w:space="0" w:color="auto"/>
                  </w:divBdr>
                  <w:divsChild>
                    <w:div w:id="1181895036">
                      <w:marLeft w:val="0"/>
                      <w:marRight w:val="0"/>
                      <w:marTop w:val="0"/>
                      <w:marBottom w:val="0"/>
                      <w:divBdr>
                        <w:top w:val="none" w:sz="0" w:space="0" w:color="auto"/>
                        <w:left w:val="none" w:sz="0" w:space="0" w:color="auto"/>
                        <w:bottom w:val="none" w:sz="0" w:space="0" w:color="auto"/>
                        <w:right w:val="none" w:sz="0" w:space="0" w:color="auto"/>
                      </w:divBdr>
                    </w:div>
                  </w:divsChild>
                </w:div>
                <w:div w:id="721902162">
                  <w:marLeft w:val="0"/>
                  <w:marRight w:val="0"/>
                  <w:marTop w:val="0"/>
                  <w:marBottom w:val="0"/>
                  <w:divBdr>
                    <w:top w:val="none" w:sz="0" w:space="0" w:color="auto"/>
                    <w:left w:val="none" w:sz="0" w:space="0" w:color="auto"/>
                    <w:bottom w:val="none" w:sz="0" w:space="0" w:color="auto"/>
                    <w:right w:val="none" w:sz="0" w:space="0" w:color="auto"/>
                  </w:divBdr>
                  <w:divsChild>
                    <w:div w:id="602306252">
                      <w:marLeft w:val="0"/>
                      <w:marRight w:val="0"/>
                      <w:marTop w:val="0"/>
                      <w:marBottom w:val="0"/>
                      <w:divBdr>
                        <w:top w:val="none" w:sz="0" w:space="0" w:color="auto"/>
                        <w:left w:val="none" w:sz="0" w:space="0" w:color="auto"/>
                        <w:bottom w:val="none" w:sz="0" w:space="0" w:color="auto"/>
                        <w:right w:val="none" w:sz="0" w:space="0" w:color="auto"/>
                      </w:divBdr>
                    </w:div>
                    <w:div w:id="669061372">
                      <w:marLeft w:val="0"/>
                      <w:marRight w:val="0"/>
                      <w:marTop w:val="0"/>
                      <w:marBottom w:val="0"/>
                      <w:divBdr>
                        <w:top w:val="none" w:sz="0" w:space="0" w:color="auto"/>
                        <w:left w:val="none" w:sz="0" w:space="0" w:color="auto"/>
                        <w:bottom w:val="none" w:sz="0" w:space="0" w:color="auto"/>
                        <w:right w:val="none" w:sz="0" w:space="0" w:color="auto"/>
                      </w:divBdr>
                    </w:div>
                  </w:divsChild>
                </w:div>
                <w:div w:id="740715839">
                  <w:marLeft w:val="0"/>
                  <w:marRight w:val="0"/>
                  <w:marTop w:val="0"/>
                  <w:marBottom w:val="0"/>
                  <w:divBdr>
                    <w:top w:val="none" w:sz="0" w:space="0" w:color="auto"/>
                    <w:left w:val="none" w:sz="0" w:space="0" w:color="auto"/>
                    <w:bottom w:val="none" w:sz="0" w:space="0" w:color="auto"/>
                    <w:right w:val="none" w:sz="0" w:space="0" w:color="auto"/>
                  </w:divBdr>
                  <w:divsChild>
                    <w:div w:id="2108848094">
                      <w:marLeft w:val="0"/>
                      <w:marRight w:val="0"/>
                      <w:marTop w:val="0"/>
                      <w:marBottom w:val="0"/>
                      <w:divBdr>
                        <w:top w:val="none" w:sz="0" w:space="0" w:color="auto"/>
                        <w:left w:val="none" w:sz="0" w:space="0" w:color="auto"/>
                        <w:bottom w:val="none" w:sz="0" w:space="0" w:color="auto"/>
                        <w:right w:val="none" w:sz="0" w:space="0" w:color="auto"/>
                      </w:divBdr>
                    </w:div>
                  </w:divsChild>
                </w:div>
                <w:div w:id="818232682">
                  <w:marLeft w:val="0"/>
                  <w:marRight w:val="0"/>
                  <w:marTop w:val="0"/>
                  <w:marBottom w:val="0"/>
                  <w:divBdr>
                    <w:top w:val="none" w:sz="0" w:space="0" w:color="auto"/>
                    <w:left w:val="none" w:sz="0" w:space="0" w:color="auto"/>
                    <w:bottom w:val="none" w:sz="0" w:space="0" w:color="auto"/>
                    <w:right w:val="none" w:sz="0" w:space="0" w:color="auto"/>
                  </w:divBdr>
                  <w:divsChild>
                    <w:div w:id="1067924375">
                      <w:marLeft w:val="0"/>
                      <w:marRight w:val="0"/>
                      <w:marTop w:val="0"/>
                      <w:marBottom w:val="0"/>
                      <w:divBdr>
                        <w:top w:val="none" w:sz="0" w:space="0" w:color="auto"/>
                        <w:left w:val="none" w:sz="0" w:space="0" w:color="auto"/>
                        <w:bottom w:val="none" w:sz="0" w:space="0" w:color="auto"/>
                        <w:right w:val="none" w:sz="0" w:space="0" w:color="auto"/>
                      </w:divBdr>
                    </w:div>
                  </w:divsChild>
                </w:div>
                <w:div w:id="827089695">
                  <w:marLeft w:val="0"/>
                  <w:marRight w:val="0"/>
                  <w:marTop w:val="0"/>
                  <w:marBottom w:val="0"/>
                  <w:divBdr>
                    <w:top w:val="none" w:sz="0" w:space="0" w:color="auto"/>
                    <w:left w:val="none" w:sz="0" w:space="0" w:color="auto"/>
                    <w:bottom w:val="none" w:sz="0" w:space="0" w:color="auto"/>
                    <w:right w:val="none" w:sz="0" w:space="0" w:color="auto"/>
                  </w:divBdr>
                  <w:divsChild>
                    <w:div w:id="214895398">
                      <w:marLeft w:val="0"/>
                      <w:marRight w:val="0"/>
                      <w:marTop w:val="0"/>
                      <w:marBottom w:val="0"/>
                      <w:divBdr>
                        <w:top w:val="none" w:sz="0" w:space="0" w:color="auto"/>
                        <w:left w:val="none" w:sz="0" w:space="0" w:color="auto"/>
                        <w:bottom w:val="none" w:sz="0" w:space="0" w:color="auto"/>
                        <w:right w:val="none" w:sz="0" w:space="0" w:color="auto"/>
                      </w:divBdr>
                    </w:div>
                  </w:divsChild>
                </w:div>
                <w:div w:id="859785106">
                  <w:marLeft w:val="0"/>
                  <w:marRight w:val="0"/>
                  <w:marTop w:val="0"/>
                  <w:marBottom w:val="0"/>
                  <w:divBdr>
                    <w:top w:val="none" w:sz="0" w:space="0" w:color="auto"/>
                    <w:left w:val="none" w:sz="0" w:space="0" w:color="auto"/>
                    <w:bottom w:val="none" w:sz="0" w:space="0" w:color="auto"/>
                    <w:right w:val="none" w:sz="0" w:space="0" w:color="auto"/>
                  </w:divBdr>
                  <w:divsChild>
                    <w:div w:id="1730375536">
                      <w:marLeft w:val="0"/>
                      <w:marRight w:val="0"/>
                      <w:marTop w:val="0"/>
                      <w:marBottom w:val="0"/>
                      <w:divBdr>
                        <w:top w:val="none" w:sz="0" w:space="0" w:color="auto"/>
                        <w:left w:val="none" w:sz="0" w:space="0" w:color="auto"/>
                        <w:bottom w:val="none" w:sz="0" w:space="0" w:color="auto"/>
                        <w:right w:val="none" w:sz="0" w:space="0" w:color="auto"/>
                      </w:divBdr>
                    </w:div>
                  </w:divsChild>
                </w:div>
                <w:div w:id="885065252">
                  <w:marLeft w:val="0"/>
                  <w:marRight w:val="0"/>
                  <w:marTop w:val="0"/>
                  <w:marBottom w:val="0"/>
                  <w:divBdr>
                    <w:top w:val="none" w:sz="0" w:space="0" w:color="auto"/>
                    <w:left w:val="none" w:sz="0" w:space="0" w:color="auto"/>
                    <w:bottom w:val="none" w:sz="0" w:space="0" w:color="auto"/>
                    <w:right w:val="none" w:sz="0" w:space="0" w:color="auto"/>
                  </w:divBdr>
                  <w:divsChild>
                    <w:div w:id="823358347">
                      <w:marLeft w:val="0"/>
                      <w:marRight w:val="0"/>
                      <w:marTop w:val="0"/>
                      <w:marBottom w:val="0"/>
                      <w:divBdr>
                        <w:top w:val="none" w:sz="0" w:space="0" w:color="auto"/>
                        <w:left w:val="none" w:sz="0" w:space="0" w:color="auto"/>
                        <w:bottom w:val="none" w:sz="0" w:space="0" w:color="auto"/>
                        <w:right w:val="none" w:sz="0" w:space="0" w:color="auto"/>
                      </w:divBdr>
                    </w:div>
                  </w:divsChild>
                </w:div>
                <w:div w:id="910579141">
                  <w:marLeft w:val="0"/>
                  <w:marRight w:val="0"/>
                  <w:marTop w:val="0"/>
                  <w:marBottom w:val="0"/>
                  <w:divBdr>
                    <w:top w:val="none" w:sz="0" w:space="0" w:color="auto"/>
                    <w:left w:val="none" w:sz="0" w:space="0" w:color="auto"/>
                    <w:bottom w:val="none" w:sz="0" w:space="0" w:color="auto"/>
                    <w:right w:val="none" w:sz="0" w:space="0" w:color="auto"/>
                  </w:divBdr>
                  <w:divsChild>
                    <w:div w:id="1450591138">
                      <w:marLeft w:val="0"/>
                      <w:marRight w:val="0"/>
                      <w:marTop w:val="0"/>
                      <w:marBottom w:val="0"/>
                      <w:divBdr>
                        <w:top w:val="none" w:sz="0" w:space="0" w:color="auto"/>
                        <w:left w:val="none" w:sz="0" w:space="0" w:color="auto"/>
                        <w:bottom w:val="none" w:sz="0" w:space="0" w:color="auto"/>
                        <w:right w:val="none" w:sz="0" w:space="0" w:color="auto"/>
                      </w:divBdr>
                    </w:div>
                  </w:divsChild>
                </w:div>
                <w:div w:id="919481009">
                  <w:marLeft w:val="0"/>
                  <w:marRight w:val="0"/>
                  <w:marTop w:val="0"/>
                  <w:marBottom w:val="0"/>
                  <w:divBdr>
                    <w:top w:val="none" w:sz="0" w:space="0" w:color="auto"/>
                    <w:left w:val="none" w:sz="0" w:space="0" w:color="auto"/>
                    <w:bottom w:val="none" w:sz="0" w:space="0" w:color="auto"/>
                    <w:right w:val="none" w:sz="0" w:space="0" w:color="auto"/>
                  </w:divBdr>
                  <w:divsChild>
                    <w:div w:id="972372387">
                      <w:marLeft w:val="0"/>
                      <w:marRight w:val="0"/>
                      <w:marTop w:val="0"/>
                      <w:marBottom w:val="0"/>
                      <w:divBdr>
                        <w:top w:val="none" w:sz="0" w:space="0" w:color="auto"/>
                        <w:left w:val="none" w:sz="0" w:space="0" w:color="auto"/>
                        <w:bottom w:val="none" w:sz="0" w:space="0" w:color="auto"/>
                        <w:right w:val="none" w:sz="0" w:space="0" w:color="auto"/>
                      </w:divBdr>
                    </w:div>
                  </w:divsChild>
                </w:div>
                <w:div w:id="965156413">
                  <w:marLeft w:val="0"/>
                  <w:marRight w:val="0"/>
                  <w:marTop w:val="0"/>
                  <w:marBottom w:val="0"/>
                  <w:divBdr>
                    <w:top w:val="none" w:sz="0" w:space="0" w:color="auto"/>
                    <w:left w:val="none" w:sz="0" w:space="0" w:color="auto"/>
                    <w:bottom w:val="none" w:sz="0" w:space="0" w:color="auto"/>
                    <w:right w:val="none" w:sz="0" w:space="0" w:color="auto"/>
                  </w:divBdr>
                  <w:divsChild>
                    <w:div w:id="819149199">
                      <w:marLeft w:val="0"/>
                      <w:marRight w:val="0"/>
                      <w:marTop w:val="0"/>
                      <w:marBottom w:val="0"/>
                      <w:divBdr>
                        <w:top w:val="none" w:sz="0" w:space="0" w:color="auto"/>
                        <w:left w:val="none" w:sz="0" w:space="0" w:color="auto"/>
                        <w:bottom w:val="none" w:sz="0" w:space="0" w:color="auto"/>
                        <w:right w:val="none" w:sz="0" w:space="0" w:color="auto"/>
                      </w:divBdr>
                    </w:div>
                  </w:divsChild>
                </w:div>
                <w:div w:id="973561294">
                  <w:marLeft w:val="0"/>
                  <w:marRight w:val="0"/>
                  <w:marTop w:val="0"/>
                  <w:marBottom w:val="0"/>
                  <w:divBdr>
                    <w:top w:val="none" w:sz="0" w:space="0" w:color="auto"/>
                    <w:left w:val="none" w:sz="0" w:space="0" w:color="auto"/>
                    <w:bottom w:val="none" w:sz="0" w:space="0" w:color="auto"/>
                    <w:right w:val="none" w:sz="0" w:space="0" w:color="auto"/>
                  </w:divBdr>
                  <w:divsChild>
                    <w:div w:id="1349334568">
                      <w:marLeft w:val="0"/>
                      <w:marRight w:val="0"/>
                      <w:marTop w:val="0"/>
                      <w:marBottom w:val="0"/>
                      <w:divBdr>
                        <w:top w:val="none" w:sz="0" w:space="0" w:color="auto"/>
                        <w:left w:val="none" w:sz="0" w:space="0" w:color="auto"/>
                        <w:bottom w:val="none" w:sz="0" w:space="0" w:color="auto"/>
                        <w:right w:val="none" w:sz="0" w:space="0" w:color="auto"/>
                      </w:divBdr>
                    </w:div>
                  </w:divsChild>
                </w:div>
                <w:div w:id="1127695625">
                  <w:marLeft w:val="0"/>
                  <w:marRight w:val="0"/>
                  <w:marTop w:val="0"/>
                  <w:marBottom w:val="0"/>
                  <w:divBdr>
                    <w:top w:val="none" w:sz="0" w:space="0" w:color="auto"/>
                    <w:left w:val="none" w:sz="0" w:space="0" w:color="auto"/>
                    <w:bottom w:val="none" w:sz="0" w:space="0" w:color="auto"/>
                    <w:right w:val="none" w:sz="0" w:space="0" w:color="auto"/>
                  </w:divBdr>
                  <w:divsChild>
                    <w:div w:id="55512817">
                      <w:marLeft w:val="0"/>
                      <w:marRight w:val="0"/>
                      <w:marTop w:val="0"/>
                      <w:marBottom w:val="0"/>
                      <w:divBdr>
                        <w:top w:val="none" w:sz="0" w:space="0" w:color="auto"/>
                        <w:left w:val="none" w:sz="0" w:space="0" w:color="auto"/>
                        <w:bottom w:val="none" w:sz="0" w:space="0" w:color="auto"/>
                        <w:right w:val="none" w:sz="0" w:space="0" w:color="auto"/>
                      </w:divBdr>
                    </w:div>
                  </w:divsChild>
                </w:div>
                <w:div w:id="1158690537">
                  <w:marLeft w:val="0"/>
                  <w:marRight w:val="0"/>
                  <w:marTop w:val="0"/>
                  <w:marBottom w:val="0"/>
                  <w:divBdr>
                    <w:top w:val="none" w:sz="0" w:space="0" w:color="auto"/>
                    <w:left w:val="none" w:sz="0" w:space="0" w:color="auto"/>
                    <w:bottom w:val="none" w:sz="0" w:space="0" w:color="auto"/>
                    <w:right w:val="none" w:sz="0" w:space="0" w:color="auto"/>
                  </w:divBdr>
                  <w:divsChild>
                    <w:div w:id="363100557">
                      <w:marLeft w:val="0"/>
                      <w:marRight w:val="0"/>
                      <w:marTop w:val="0"/>
                      <w:marBottom w:val="0"/>
                      <w:divBdr>
                        <w:top w:val="none" w:sz="0" w:space="0" w:color="auto"/>
                        <w:left w:val="none" w:sz="0" w:space="0" w:color="auto"/>
                        <w:bottom w:val="none" w:sz="0" w:space="0" w:color="auto"/>
                        <w:right w:val="none" w:sz="0" w:space="0" w:color="auto"/>
                      </w:divBdr>
                    </w:div>
                  </w:divsChild>
                </w:div>
                <w:div w:id="1179126596">
                  <w:marLeft w:val="0"/>
                  <w:marRight w:val="0"/>
                  <w:marTop w:val="0"/>
                  <w:marBottom w:val="0"/>
                  <w:divBdr>
                    <w:top w:val="none" w:sz="0" w:space="0" w:color="auto"/>
                    <w:left w:val="none" w:sz="0" w:space="0" w:color="auto"/>
                    <w:bottom w:val="none" w:sz="0" w:space="0" w:color="auto"/>
                    <w:right w:val="none" w:sz="0" w:space="0" w:color="auto"/>
                  </w:divBdr>
                  <w:divsChild>
                    <w:div w:id="547685101">
                      <w:marLeft w:val="0"/>
                      <w:marRight w:val="0"/>
                      <w:marTop w:val="0"/>
                      <w:marBottom w:val="0"/>
                      <w:divBdr>
                        <w:top w:val="none" w:sz="0" w:space="0" w:color="auto"/>
                        <w:left w:val="none" w:sz="0" w:space="0" w:color="auto"/>
                        <w:bottom w:val="none" w:sz="0" w:space="0" w:color="auto"/>
                        <w:right w:val="none" w:sz="0" w:space="0" w:color="auto"/>
                      </w:divBdr>
                    </w:div>
                  </w:divsChild>
                </w:div>
                <w:div w:id="1254900088">
                  <w:marLeft w:val="0"/>
                  <w:marRight w:val="0"/>
                  <w:marTop w:val="0"/>
                  <w:marBottom w:val="0"/>
                  <w:divBdr>
                    <w:top w:val="none" w:sz="0" w:space="0" w:color="auto"/>
                    <w:left w:val="none" w:sz="0" w:space="0" w:color="auto"/>
                    <w:bottom w:val="none" w:sz="0" w:space="0" w:color="auto"/>
                    <w:right w:val="none" w:sz="0" w:space="0" w:color="auto"/>
                  </w:divBdr>
                  <w:divsChild>
                    <w:div w:id="705183797">
                      <w:marLeft w:val="0"/>
                      <w:marRight w:val="0"/>
                      <w:marTop w:val="0"/>
                      <w:marBottom w:val="0"/>
                      <w:divBdr>
                        <w:top w:val="none" w:sz="0" w:space="0" w:color="auto"/>
                        <w:left w:val="none" w:sz="0" w:space="0" w:color="auto"/>
                        <w:bottom w:val="none" w:sz="0" w:space="0" w:color="auto"/>
                        <w:right w:val="none" w:sz="0" w:space="0" w:color="auto"/>
                      </w:divBdr>
                    </w:div>
                  </w:divsChild>
                </w:div>
                <w:div w:id="1282616227">
                  <w:marLeft w:val="0"/>
                  <w:marRight w:val="0"/>
                  <w:marTop w:val="0"/>
                  <w:marBottom w:val="0"/>
                  <w:divBdr>
                    <w:top w:val="none" w:sz="0" w:space="0" w:color="auto"/>
                    <w:left w:val="none" w:sz="0" w:space="0" w:color="auto"/>
                    <w:bottom w:val="none" w:sz="0" w:space="0" w:color="auto"/>
                    <w:right w:val="none" w:sz="0" w:space="0" w:color="auto"/>
                  </w:divBdr>
                  <w:divsChild>
                    <w:div w:id="568657248">
                      <w:marLeft w:val="0"/>
                      <w:marRight w:val="0"/>
                      <w:marTop w:val="0"/>
                      <w:marBottom w:val="0"/>
                      <w:divBdr>
                        <w:top w:val="none" w:sz="0" w:space="0" w:color="auto"/>
                        <w:left w:val="none" w:sz="0" w:space="0" w:color="auto"/>
                        <w:bottom w:val="none" w:sz="0" w:space="0" w:color="auto"/>
                        <w:right w:val="none" w:sz="0" w:space="0" w:color="auto"/>
                      </w:divBdr>
                    </w:div>
                  </w:divsChild>
                </w:div>
                <w:div w:id="1348479945">
                  <w:marLeft w:val="0"/>
                  <w:marRight w:val="0"/>
                  <w:marTop w:val="0"/>
                  <w:marBottom w:val="0"/>
                  <w:divBdr>
                    <w:top w:val="none" w:sz="0" w:space="0" w:color="auto"/>
                    <w:left w:val="none" w:sz="0" w:space="0" w:color="auto"/>
                    <w:bottom w:val="none" w:sz="0" w:space="0" w:color="auto"/>
                    <w:right w:val="none" w:sz="0" w:space="0" w:color="auto"/>
                  </w:divBdr>
                  <w:divsChild>
                    <w:div w:id="1336305630">
                      <w:marLeft w:val="0"/>
                      <w:marRight w:val="0"/>
                      <w:marTop w:val="0"/>
                      <w:marBottom w:val="0"/>
                      <w:divBdr>
                        <w:top w:val="none" w:sz="0" w:space="0" w:color="auto"/>
                        <w:left w:val="none" w:sz="0" w:space="0" w:color="auto"/>
                        <w:bottom w:val="none" w:sz="0" w:space="0" w:color="auto"/>
                        <w:right w:val="none" w:sz="0" w:space="0" w:color="auto"/>
                      </w:divBdr>
                    </w:div>
                  </w:divsChild>
                </w:div>
                <w:div w:id="1375499139">
                  <w:marLeft w:val="0"/>
                  <w:marRight w:val="0"/>
                  <w:marTop w:val="0"/>
                  <w:marBottom w:val="0"/>
                  <w:divBdr>
                    <w:top w:val="none" w:sz="0" w:space="0" w:color="auto"/>
                    <w:left w:val="none" w:sz="0" w:space="0" w:color="auto"/>
                    <w:bottom w:val="none" w:sz="0" w:space="0" w:color="auto"/>
                    <w:right w:val="none" w:sz="0" w:space="0" w:color="auto"/>
                  </w:divBdr>
                  <w:divsChild>
                    <w:div w:id="322858898">
                      <w:marLeft w:val="0"/>
                      <w:marRight w:val="0"/>
                      <w:marTop w:val="0"/>
                      <w:marBottom w:val="0"/>
                      <w:divBdr>
                        <w:top w:val="none" w:sz="0" w:space="0" w:color="auto"/>
                        <w:left w:val="none" w:sz="0" w:space="0" w:color="auto"/>
                        <w:bottom w:val="none" w:sz="0" w:space="0" w:color="auto"/>
                        <w:right w:val="none" w:sz="0" w:space="0" w:color="auto"/>
                      </w:divBdr>
                    </w:div>
                  </w:divsChild>
                </w:div>
                <w:div w:id="1396511646">
                  <w:marLeft w:val="0"/>
                  <w:marRight w:val="0"/>
                  <w:marTop w:val="0"/>
                  <w:marBottom w:val="0"/>
                  <w:divBdr>
                    <w:top w:val="none" w:sz="0" w:space="0" w:color="auto"/>
                    <w:left w:val="none" w:sz="0" w:space="0" w:color="auto"/>
                    <w:bottom w:val="none" w:sz="0" w:space="0" w:color="auto"/>
                    <w:right w:val="none" w:sz="0" w:space="0" w:color="auto"/>
                  </w:divBdr>
                  <w:divsChild>
                    <w:div w:id="1452939525">
                      <w:marLeft w:val="0"/>
                      <w:marRight w:val="0"/>
                      <w:marTop w:val="0"/>
                      <w:marBottom w:val="0"/>
                      <w:divBdr>
                        <w:top w:val="none" w:sz="0" w:space="0" w:color="auto"/>
                        <w:left w:val="none" w:sz="0" w:space="0" w:color="auto"/>
                        <w:bottom w:val="none" w:sz="0" w:space="0" w:color="auto"/>
                        <w:right w:val="none" w:sz="0" w:space="0" w:color="auto"/>
                      </w:divBdr>
                    </w:div>
                  </w:divsChild>
                </w:div>
                <w:div w:id="1400864079">
                  <w:marLeft w:val="0"/>
                  <w:marRight w:val="0"/>
                  <w:marTop w:val="0"/>
                  <w:marBottom w:val="0"/>
                  <w:divBdr>
                    <w:top w:val="none" w:sz="0" w:space="0" w:color="auto"/>
                    <w:left w:val="none" w:sz="0" w:space="0" w:color="auto"/>
                    <w:bottom w:val="none" w:sz="0" w:space="0" w:color="auto"/>
                    <w:right w:val="none" w:sz="0" w:space="0" w:color="auto"/>
                  </w:divBdr>
                  <w:divsChild>
                    <w:div w:id="1670138767">
                      <w:marLeft w:val="0"/>
                      <w:marRight w:val="0"/>
                      <w:marTop w:val="0"/>
                      <w:marBottom w:val="0"/>
                      <w:divBdr>
                        <w:top w:val="none" w:sz="0" w:space="0" w:color="auto"/>
                        <w:left w:val="none" w:sz="0" w:space="0" w:color="auto"/>
                        <w:bottom w:val="none" w:sz="0" w:space="0" w:color="auto"/>
                        <w:right w:val="none" w:sz="0" w:space="0" w:color="auto"/>
                      </w:divBdr>
                    </w:div>
                  </w:divsChild>
                </w:div>
                <w:div w:id="1441879364">
                  <w:marLeft w:val="0"/>
                  <w:marRight w:val="0"/>
                  <w:marTop w:val="0"/>
                  <w:marBottom w:val="0"/>
                  <w:divBdr>
                    <w:top w:val="none" w:sz="0" w:space="0" w:color="auto"/>
                    <w:left w:val="none" w:sz="0" w:space="0" w:color="auto"/>
                    <w:bottom w:val="none" w:sz="0" w:space="0" w:color="auto"/>
                    <w:right w:val="none" w:sz="0" w:space="0" w:color="auto"/>
                  </w:divBdr>
                  <w:divsChild>
                    <w:div w:id="839274387">
                      <w:marLeft w:val="0"/>
                      <w:marRight w:val="0"/>
                      <w:marTop w:val="0"/>
                      <w:marBottom w:val="0"/>
                      <w:divBdr>
                        <w:top w:val="none" w:sz="0" w:space="0" w:color="auto"/>
                        <w:left w:val="none" w:sz="0" w:space="0" w:color="auto"/>
                        <w:bottom w:val="none" w:sz="0" w:space="0" w:color="auto"/>
                        <w:right w:val="none" w:sz="0" w:space="0" w:color="auto"/>
                      </w:divBdr>
                    </w:div>
                  </w:divsChild>
                </w:div>
                <w:div w:id="1449281199">
                  <w:marLeft w:val="0"/>
                  <w:marRight w:val="0"/>
                  <w:marTop w:val="0"/>
                  <w:marBottom w:val="0"/>
                  <w:divBdr>
                    <w:top w:val="none" w:sz="0" w:space="0" w:color="auto"/>
                    <w:left w:val="none" w:sz="0" w:space="0" w:color="auto"/>
                    <w:bottom w:val="none" w:sz="0" w:space="0" w:color="auto"/>
                    <w:right w:val="none" w:sz="0" w:space="0" w:color="auto"/>
                  </w:divBdr>
                  <w:divsChild>
                    <w:div w:id="911545788">
                      <w:marLeft w:val="0"/>
                      <w:marRight w:val="0"/>
                      <w:marTop w:val="0"/>
                      <w:marBottom w:val="0"/>
                      <w:divBdr>
                        <w:top w:val="none" w:sz="0" w:space="0" w:color="auto"/>
                        <w:left w:val="none" w:sz="0" w:space="0" w:color="auto"/>
                        <w:bottom w:val="none" w:sz="0" w:space="0" w:color="auto"/>
                        <w:right w:val="none" w:sz="0" w:space="0" w:color="auto"/>
                      </w:divBdr>
                    </w:div>
                  </w:divsChild>
                </w:div>
                <w:div w:id="1472863146">
                  <w:marLeft w:val="0"/>
                  <w:marRight w:val="0"/>
                  <w:marTop w:val="0"/>
                  <w:marBottom w:val="0"/>
                  <w:divBdr>
                    <w:top w:val="none" w:sz="0" w:space="0" w:color="auto"/>
                    <w:left w:val="none" w:sz="0" w:space="0" w:color="auto"/>
                    <w:bottom w:val="none" w:sz="0" w:space="0" w:color="auto"/>
                    <w:right w:val="none" w:sz="0" w:space="0" w:color="auto"/>
                  </w:divBdr>
                  <w:divsChild>
                    <w:div w:id="1279410790">
                      <w:marLeft w:val="0"/>
                      <w:marRight w:val="0"/>
                      <w:marTop w:val="0"/>
                      <w:marBottom w:val="0"/>
                      <w:divBdr>
                        <w:top w:val="none" w:sz="0" w:space="0" w:color="auto"/>
                        <w:left w:val="none" w:sz="0" w:space="0" w:color="auto"/>
                        <w:bottom w:val="none" w:sz="0" w:space="0" w:color="auto"/>
                        <w:right w:val="none" w:sz="0" w:space="0" w:color="auto"/>
                      </w:divBdr>
                    </w:div>
                  </w:divsChild>
                </w:div>
                <w:div w:id="1530606624">
                  <w:marLeft w:val="0"/>
                  <w:marRight w:val="0"/>
                  <w:marTop w:val="0"/>
                  <w:marBottom w:val="0"/>
                  <w:divBdr>
                    <w:top w:val="none" w:sz="0" w:space="0" w:color="auto"/>
                    <w:left w:val="none" w:sz="0" w:space="0" w:color="auto"/>
                    <w:bottom w:val="none" w:sz="0" w:space="0" w:color="auto"/>
                    <w:right w:val="none" w:sz="0" w:space="0" w:color="auto"/>
                  </w:divBdr>
                  <w:divsChild>
                    <w:div w:id="1962413713">
                      <w:marLeft w:val="0"/>
                      <w:marRight w:val="0"/>
                      <w:marTop w:val="0"/>
                      <w:marBottom w:val="0"/>
                      <w:divBdr>
                        <w:top w:val="none" w:sz="0" w:space="0" w:color="auto"/>
                        <w:left w:val="none" w:sz="0" w:space="0" w:color="auto"/>
                        <w:bottom w:val="none" w:sz="0" w:space="0" w:color="auto"/>
                        <w:right w:val="none" w:sz="0" w:space="0" w:color="auto"/>
                      </w:divBdr>
                    </w:div>
                  </w:divsChild>
                </w:div>
                <w:div w:id="1539970897">
                  <w:marLeft w:val="0"/>
                  <w:marRight w:val="0"/>
                  <w:marTop w:val="0"/>
                  <w:marBottom w:val="0"/>
                  <w:divBdr>
                    <w:top w:val="none" w:sz="0" w:space="0" w:color="auto"/>
                    <w:left w:val="none" w:sz="0" w:space="0" w:color="auto"/>
                    <w:bottom w:val="none" w:sz="0" w:space="0" w:color="auto"/>
                    <w:right w:val="none" w:sz="0" w:space="0" w:color="auto"/>
                  </w:divBdr>
                  <w:divsChild>
                    <w:div w:id="220143510">
                      <w:marLeft w:val="0"/>
                      <w:marRight w:val="0"/>
                      <w:marTop w:val="0"/>
                      <w:marBottom w:val="0"/>
                      <w:divBdr>
                        <w:top w:val="none" w:sz="0" w:space="0" w:color="auto"/>
                        <w:left w:val="none" w:sz="0" w:space="0" w:color="auto"/>
                        <w:bottom w:val="none" w:sz="0" w:space="0" w:color="auto"/>
                        <w:right w:val="none" w:sz="0" w:space="0" w:color="auto"/>
                      </w:divBdr>
                    </w:div>
                  </w:divsChild>
                </w:div>
                <w:div w:id="1605306821">
                  <w:marLeft w:val="0"/>
                  <w:marRight w:val="0"/>
                  <w:marTop w:val="0"/>
                  <w:marBottom w:val="0"/>
                  <w:divBdr>
                    <w:top w:val="none" w:sz="0" w:space="0" w:color="auto"/>
                    <w:left w:val="none" w:sz="0" w:space="0" w:color="auto"/>
                    <w:bottom w:val="none" w:sz="0" w:space="0" w:color="auto"/>
                    <w:right w:val="none" w:sz="0" w:space="0" w:color="auto"/>
                  </w:divBdr>
                  <w:divsChild>
                    <w:div w:id="1054309520">
                      <w:marLeft w:val="0"/>
                      <w:marRight w:val="0"/>
                      <w:marTop w:val="0"/>
                      <w:marBottom w:val="0"/>
                      <w:divBdr>
                        <w:top w:val="none" w:sz="0" w:space="0" w:color="auto"/>
                        <w:left w:val="none" w:sz="0" w:space="0" w:color="auto"/>
                        <w:bottom w:val="none" w:sz="0" w:space="0" w:color="auto"/>
                        <w:right w:val="none" w:sz="0" w:space="0" w:color="auto"/>
                      </w:divBdr>
                    </w:div>
                  </w:divsChild>
                </w:div>
                <w:div w:id="1676154135">
                  <w:marLeft w:val="0"/>
                  <w:marRight w:val="0"/>
                  <w:marTop w:val="0"/>
                  <w:marBottom w:val="0"/>
                  <w:divBdr>
                    <w:top w:val="none" w:sz="0" w:space="0" w:color="auto"/>
                    <w:left w:val="none" w:sz="0" w:space="0" w:color="auto"/>
                    <w:bottom w:val="none" w:sz="0" w:space="0" w:color="auto"/>
                    <w:right w:val="none" w:sz="0" w:space="0" w:color="auto"/>
                  </w:divBdr>
                  <w:divsChild>
                    <w:div w:id="590625879">
                      <w:marLeft w:val="0"/>
                      <w:marRight w:val="0"/>
                      <w:marTop w:val="0"/>
                      <w:marBottom w:val="0"/>
                      <w:divBdr>
                        <w:top w:val="none" w:sz="0" w:space="0" w:color="auto"/>
                        <w:left w:val="none" w:sz="0" w:space="0" w:color="auto"/>
                        <w:bottom w:val="none" w:sz="0" w:space="0" w:color="auto"/>
                        <w:right w:val="none" w:sz="0" w:space="0" w:color="auto"/>
                      </w:divBdr>
                    </w:div>
                  </w:divsChild>
                </w:div>
                <w:div w:id="1695308135">
                  <w:marLeft w:val="0"/>
                  <w:marRight w:val="0"/>
                  <w:marTop w:val="0"/>
                  <w:marBottom w:val="0"/>
                  <w:divBdr>
                    <w:top w:val="none" w:sz="0" w:space="0" w:color="auto"/>
                    <w:left w:val="none" w:sz="0" w:space="0" w:color="auto"/>
                    <w:bottom w:val="none" w:sz="0" w:space="0" w:color="auto"/>
                    <w:right w:val="none" w:sz="0" w:space="0" w:color="auto"/>
                  </w:divBdr>
                  <w:divsChild>
                    <w:div w:id="538400667">
                      <w:marLeft w:val="0"/>
                      <w:marRight w:val="0"/>
                      <w:marTop w:val="0"/>
                      <w:marBottom w:val="0"/>
                      <w:divBdr>
                        <w:top w:val="none" w:sz="0" w:space="0" w:color="auto"/>
                        <w:left w:val="none" w:sz="0" w:space="0" w:color="auto"/>
                        <w:bottom w:val="none" w:sz="0" w:space="0" w:color="auto"/>
                        <w:right w:val="none" w:sz="0" w:space="0" w:color="auto"/>
                      </w:divBdr>
                    </w:div>
                  </w:divsChild>
                </w:div>
                <w:div w:id="1762217521">
                  <w:marLeft w:val="0"/>
                  <w:marRight w:val="0"/>
                  <w:marTop w:val="0"/>
                  <w:marBottom w:val="0"/>
                  <w:divBdr>
                    <w:top w:val="none" w:sz="0" w:space="0" w:color="auto"/>
                    <w:left w:val="none" w:sz="0" w:space="0" w:color="auto"/>
                    <w:bottom w:val="none" w:sz="0" w:space="0" w:color="auto"/>
                    <w:right w:val="none" w:sz="0" w:space="0" w:color="auto"/>
                  </w:divBdr>
                  <w:divsChild>
                    <w:div w:id="23484582">
                      <w:marLeft w:val="0"/>
                      <w:marRight w:val="0"/>
                      <w:marTop w:val="0"/>
                      <w:marBottom w:val="0"/>
                      <w:divBdr>
                        <w:top w:val="none" w:sz="0" w:space="0" w:color="auto"/>
                        <w:left w:val="none" w:sz="0" w:space="0" w:color="auto"/>
                        <w:bottom w:val="none" w:sz="0" w:space="0" w:color="auto"/>
                        <w:right w:val="none" w:sz="0" w:space="0" w:color="auto"/>
                      </w:divBdr>
                    </w:div>
                  </w:divsChild>
                </w:div>
                <w:div w:id="1798375745">
                  <w:marLeft w:val="0"/>
                  <w:marRight w:val="0"/>
                  <w:marTop w:val="0"/>
                  <w:marBottom w:val="0"/>
                  <w:divBdr>
                    <w:top w:val="none" w:sz="0" w:space="0" w:color="auto"/>
                    <w:left w:val="none" w:sz="0" w:space="0" w:color="auto"/>
                    <w:bottom w:val="none" w:sz="0" w:space="0" w:color="auto"/>
                    <w:right w:val="none" w:sz="0" w:space="0" w:color="auto"/>
                  </w:divBdr>
                  <w:divsChild>
                    <w:div w:id="1094932008">
                      <w:marLeft w:val="0"/>
                      <w:marRight w:val="0"/>
                      <w:marTop w:val="0"/>
                      <w:marBottom w:val="0"/>
                      <w:divBdr>
                        <w:top w:val="none" w:sz="0" w:space="0" w:color="auto"/>
                        <w:left w:val="none" w:sz="0" w:space="0" w:color="auto"/>
                        <w:bottom w:val="none" w:sz="0" w:space="0" w:color="auto"/>
                        <w:right w:val="none" w:sz="0" w:space="0" w:color="auto"/>
                      </w:divBdr>
                    </w:div>
                  </w:divsChild>
                </w:div>
                <w:div w:id="1815947366">
                  <w:marLeft w:val="0"/>
                  <w:marRight w:val="0"/>
                  <w:marTop w:val="0"/>
                  <w:marBottom w:val="0"/>
                  <w:divBdr>
                    <w:top w:val="none" w:sz="0" w:space="0" w:color="auto"/>
                    <w:left w:val="none" w:sz="0" w:space="0" w:color="auto"/>
                    <w:bottom w:val="none" w:sz="0" w:space="0" w:color="auto"/>
                    <w:right w:val="none" w:sz="0" w:space="0" w:color="auto"/>
                  </w:divBdr>
                  <w:divsChild>
                    <w:div w:id="145752847">
                      <w:marLeft w:val="0"/>
                      <w:marRight w:val="0"/>
                      <w:marTop w:val="0"/>
                      <w:marBottom w:val="0"/>
                      <w:divBdr>
                        <w:top w:val="none" w:sz="0" w:space="0" w:color="auto"/>
                        <w:left w:val="none" w:sz="0" w:space="0" w:color="auto"/>
                        <w:bottom w:val="none" w:sz="0" w:space="0" w:color="auto"/>
                        <w:right w:val="none" w:sz="0" w:space="0" w:color="auto"/>
                      </w:divBdr>
                    </w:div>
                  </w:divsChild>
                </w:div>
                <w:div w:id="1837841120">
                  <w:marLeft w:val="0"/>
                  <w:marRight w:val="0"/>
                  <w:marTop w:val="0"/>
                  <w:marBottom w:val="0"/>
                  <w:divBdr>
                    <w:top w:val="none" w:sz="0" w:space="0" w:color="auto"/>
                    <w:left w:val="none" w:sz="0" w:space="0" w:color="auto"/>
                    <w:bottom w:val="none" w:sz="0" w:space="0" w:color="auto"/>
                    <w:right w:val="none" w:sz="0" w:space="0" w:color="auto"/>
                  </w:divBdr>
                  <w:divsChild>
                    <w:div w:id="353387504">
                      <w:marLeft w:val="0"/>
                      <w:marRight w:val="0"/>
                      <w:marTop w:val="0"/>
                      <w:marBottom w:val="0"/>
                      <w:divBdr>
                        <w:top w:val="none" w:sz="0" w:space="0" w:color="auto"/>
                        <w:left w:val="none" w:sz="0" w:space="0" w:color="auto"/>
                        <w:bottom w:val="none" w:sz="0" w:space="0" w:color="auto"/>
                        <w:right w:val="none" w:sz="0" w:space="0" w:color="auto"/>
                      </w:divBdr>
                    </w:div>
                  </w:divsChild>
                </w:div>
                <w:div w:id="1854563149">
                  <w:marLeft w:val="0"/>
                  <w:marRight w:val="0"/>
                  <w:marTop w:val="0"/>
                  <w:marBottom w:val="0"/>
                  <w:divBdr>
                    <w:top w:val="none" w:sz="0" w:space="0" w:color="auto"/>
                    <w:left w:val="none" w:sz="0" w:space="0" w:color="auto"/>
                    <w:bottom w:val="none" w:sz="0" w:space="0" w:color="auto"/>
                    <w:right w:val="none" w:sz="0" w:space="0" w:color="auto"/>
                  </w:divBdr>
                  <w:divsChild>
                    <w:div w:id="968125670">
                      <w:marLeft w:val="0"/>
                      <w:marRight w:val="0"/>
                      <w:marTop w:val="0"/>
                      <w:marBottom w:val="0"/>
                      <w:divBdr>
                        <w:top w:val="none" w:sz="0" w:space="0" w:color="auto"/>
                        <w:left w:val="none" w:sz="0" w:space="0" w:color="auto"/>
                        <w:bottom w:val="none" w:sz="0" w:space="0" w:color="auto"/>
                        <w:right w:val="none" w:sz="0" w:space="0" w:color="auto"/>
                      </w:divBdr>
                    </w:div>
                  </w:divsChild>
                </w:div>
                <w:div w:id="1868985405">
                  <w:marLeft w:val="0"/>
                  <w:marRight w:val="0"/>
                  <w:marTop w:val="0"/>
                  <w:marBottom w:val="0"/>
                  <w:divBdr>
                    <w:top w:val="none" w:sz="0" w:space="0" w:color="auto"/>
                    <w:left w:val="none" w:sz="0" w:space="0" w:color="auto"/>
                    <w:bottom w:val="none" w:sz="0" w:space="0" w:color="auto"/>
                    <w:right w:val="none" w:sz="0" w:space="0" w:color="auto"/>
                  </w:divBdr>
                  <w:divsChild>
                    <w:div w:id="866799588">
                      <w:marLeft w:val="0"/>
                      <w:marRight w:val="0"/>
                      <w:marTop w:val="0"/>
                      <w:marBottom w:val="0"/>
                      <w:divBdr>
                        <w:top w:val="none" w:sz="0" w:space="0" w:color="auto"/>
                        <w:left w:val="none" w:sz="0" w:space="0" w:color="auto"/>
                        <w:bottom w:val="none" w:sz="0" w:space="0" w:color="auto"/>
                        <w:right w:val="none" w:sz="0" w:space="0" w:color="auto"/>
                      </w:divBdr>
                    </w:div>
                  </w:divsChild>
                </w:div>
                <w:div w:id="1878079372">
                  <w:marLeft w:val="0"/>
                  <w:marRight w:val="0"/>
                  <w:marTop w:val="0"/>
                  <w:marBottom w:val="0"/>
                  <w:divBdr>
                    <w:top w:val="none" w:sz="0" w:space="0" w:color="auto"/>
                    <w:left w:val="none" w:sz="0" w:space="0" w:color="auto"/>
                    <w:bottom w:val="none" w:sz="0" w:space="0" w:color="auto"/>
                    <w:right w:val="none" w:sz="0" w:space="0" w:color="auto"/>
                  </w:divBdr>
                  <w:divsChild>
                    <w:div w:id="1480029859">
                      <w:marLeft w:val="0"/>
                      <w:marRight w:val="0"/>
                      <w:marTop w:val="0"/>
                      <w:marBottom w:val="0"/>
                      <w:divBdr>
                        <w:top w:val="none" w:sz="0" w:space="0" w:color="auto"/>
                        <w:left w:val="none" w:sz="0" w:space="0" w:color="auto"/>
                        <w:bottom w:val="none" w:sz="0" w:space="0" w:color="auto"/>
                        <w:right w:val="none" w:sz="0" w:space="0" w:color="auto"/>
                      </w:divBdr>
                    </w:div>
                  </w:divsChild>
                </w:div>
                <w:div w:id="1885947786">
                  <w:marLeft w:val="0"/>
                  <w:marRight w:val="0"/>
                  <w:marTop w:val="0"/>
                  <w:marBottom w:val="0"/>
                  <w:divBdr>
                    <w:top w:val="none" w:sz="0" w:space="0" w:color="auto"/>
                    <w:left w:val="none" w:sz="0" w:space="0" w:color="auto"/>
                    <w:bottom w:val="none" w:sz="0" w:space="0" w:color="auto"/>
                    <w:right w:val="none" w:sz="0" w:space="0" w:color="auto"/>
                  </w:divBdr>
                  <w:divsChild>
                    <w:div w:id="116221562">
                      <w:marLeft w:val="0"/>
                      <w:marRight w:val="0"/>
                      <w:marTop w:val="0"/>
                      <w:marBottom w:val="0"/>
                      <w:divBdr>
                        <w:top w:val="none" w:sz="0" w:space="0" w:color="auto"/>
                        <w:left w:val="none" w:sz="0" w:space="0" w:color="auto"/>
                        <w:bottom w:val="none" w:sz="0" w:space="0" w:color="auto"/>
                        <w:right w:val="none" w:sz="0" w:space="0" w:color="auto"/>
                      </w:divBdr>
                    </w:div>
                  </w:divsChild>
                </w:div>
                <w:div w:id="1887983713">
                  <w:marLeft w:val="0"/>
                  <w:marRight w:val="0"/>
                  <w:marTop w:val="0"/>
                  <w:marBottom w:val="0"/>
                  <w:divBdr>
                    <w:top w:val="none" w:sz="0" w:space="0" w:color="auto"/>
                    <w:left w:val="none" w:sz="0" w:space="0" w:color="auto"/>
                    <w:bottom w:val="none" w:sz="0" w:space="0" w:color="auto"/>
                    <w:right w:val="none" w:sz="0" w:space="0" w:color="auto"/>
                  </w:divBdr>
                  <w:divsChild>
                    <w:div w:id="1656569917">
                      <w:marLeft w:val="0"/>
                      <w:marRight w:val="0"/>
                      <w:marTop w:val="0"/>
                      <w:marBottom w:val="0"/>
                      <w:divBdr>
                        <w:top w:val="none" w:sz="0" w:space="0" w:color="auto"/>
                        <w:left w:val="none" w:sz="0" w:space="0" w:color="auto"/>
                        <w:bottom w:val="none" w:sz="0" w:space="0" w:color="auto"/>
                        <w:right w:val="none" w:sz="0" w:space="0" w:color="auto"/>
                      </w:divBdr>
                    </w:div>
                  </w:divsChild>
                </w:div>
                <w:div w:id="1944075372">
                  <w:marLeft w:val="0"/>
                  <w:marRight w:val="0"/>
                  <w:marTop w:val="0"/>
                  <w:marBottom w:val="0"/>
                  <w:divBdr>
                    <w:top w:val="none" w:sz="0" w:space="0" w:color="auto"/>
                    <w:left w:val="none" w:sz="0" w:space="0" w:color="auto"/>
                    <w:bottom w:val="none" w:sz="0" w:space="0" w:color="auto"/>
                    <w:right w:val="none" w:sz="0" w:space="0" w:color="auto"/>
                  </w:divBdr>
                  <w:divsChild>
                    <w:div w:id="375200045">
                      <w:marLeft w:val="0"/>
                      <w:marRight w:val="0"/>
                      <w:marTop w:val="0"/>
                      <w:marBottom w:val="0"/>
                      <w:divBdr>
                        <w:top w:val="none" w:sz="0" w:space="0" w:color="auto"/>
                        <w:left w:val="none" w:sz="0" w:space="0" w:color="auto"/>
                        <w:bottom w:val="none" w:sz="0" w:space="0" w:color="auto"/>
                        <w:right w:val="none" w:sz="0" w:space="0" w:color="auto"/>
                      </w:divBdr>
                    </w:div>
                  </w:divsChild>
                </w:div>
                <w:div w:id="1959794406">
                  <w:marLeft w:val="0"/>
                  <w:marRight w:val="0"/>
                  <w:marTop w:val="0"/>
                  <w:marBottom w:val="0"/>
                  <w:divBdr>
                    <w:top w:val="none" w:sz="0" w:space="0" w:color="auto"/>
                    <w:left w:val="none" w:sz="0" w:space="0" w:color="auto"/>
                    <w:bottom w:val="none" w:sz="0" w:space="0" w:color="auto"/>
                    <w:right w:val="none" w:sz="0" w:space="0" w:color="auto"/>
                  </w:divBdr>
                  <w:divsChild>
                    <w:div w:id="872503552">
                      <w:marLeft w:val="0"/>
                      <w:marRight w:val="0"/>
                      <w:marTop w:val="0"/>
                      <w:marBottom w:val="0"/>
                      <w:divBdr>
                        <w:top w:val="none" w:sz="0" w:space="0" w:color="auto"/>
                        <w:left w:val="none" w:sz="0" w:space="0" w:color="auto"/>
                        <w:bottom w:val="none" w:sz="0" w:space="0" w:color="auto"/>
                        <w:right w:val="none" w:sz="0" w:space="0" w:color="auto"/>
                      </w:divBdr>
                    </w:div>
                  </w:divsChild>
                </w:div>
                <w:div w:id="2007508754">
                  <w:marLeft w:val="0"/>
                  <w:marRight w:val="0"/>
                  <w:marTop w:val="0"/>
                  <w:marBottom w:val="0"/>
                  <w:divBdr>
                    <w:top w:val="none" w:sz="0" w:space="0" w:color="auto"/>
                    <w:left w:val="none" w:sz="0" w:space="0" w:color="auto"/>
                    <w:bottom w:val="none" w:sz="0" w:space="0" w:color="auto"/>
                    <w:right w:val="none" w:sz="0" w:space="0" w:color="auto"/>
                  </w:divBdr>
                  <w:divsChild>
                    <w:div w:id="1783694543">
                      <w:marLeft w:val="0"/>
                      <w:marRight w:val="0"/>
                      <w:marTop w:val="0"/>
                      <w:marBottom w:val="0"/>
                      <w:divBdr>
                        <w:top w:val="none" w:sz="0" w:space="0" w:color="auto"/>
                        <w:left w:val="none" w:sz="0" w:space="0" w:color="auto"/>
                        <w:bottom w:val="none" w:sz="0" w:space="0" w:color="auto"/>
                        <w:right w:val="none" w:sz="0" w:space="0" w:color="auto"/>
                      </w:divBdr>
                    </w:div>
                  </w:divsChild>
                </w:div>
                <w:div w:id="2055035402">
                  <w:marLeft w:val="0"/>
                  <w:marRight w:val="0"/>
                  <w:marTop w:val="0"/>
                  <w:marBottom w:val="0"/>
                  <w:divBdr>
                    <w:top w:val="none" w:sz="0" w:space="0" w:color="auto"/>
                    <w:left w:val="none" w:sz="0" w:space="0" w:color="auto"/>
                    <w:bottom w:val="none" w:sz="0" w:space="0" w:color="auto"/>
                    <w:right w:val="none" w:sz="0" w:space="0" w:color="auto"/>
                  </w:divBdr>
                  <w:divsChild>
                    <w:div w:id="1792283059">
                      <w:marLeft w:val="0"/>
                      <w:marRight w:val="0"/>
                      <w:marTop w:val="0"/>
                      <w:marBottom w:val="0"/>
                      <w:divBdr>
                        <w:top w:val="none" w:sz="0" w:space="0" w:color="auto"/>
                        <w:left w:val="none" w:sz="0" w:space="0" w:color="auto"/>
                        <w:bottom w:val="none" w:sz="0" w:space="0" w:color="auto"/>
                        <w:right w:val="none" w:sz="0" w:space="0" w:color="auto"/>
                      </w:divBdr>
                    </w:div>
                  </w:divsChild>
                </w:div>
                <w:div w:id="2068335128">
                  <w:marLeft w:val="0"/>
                  <w:marRight w:val="0"/>
                  <w:marTop w:val="0"/>
                  <w:marBottom w:val="0"/>
                  <w:divBdr>
                    <w:top w:val="none" w:sz="0" w:space="0" w:color="auto"/>
                    <w:left w:val="none" w:sz="0" w:space="0" w:color="auto"/>
                    <w:bottom w:val="none" w:sz="0" w:space="0" w:color="auto"/>
                    <w:right w:val="none" w:sz="0" w:space="0" w:color="auto"/>
                  </w:divBdr>
                  <w:divsChild>
                    <w:div w:id="218172497">
                      <w:marLeft w:val="0"/>
                      <w:marRight w:val="0"/>
                      <w:marTop w:val="0"/>
                      <w:marBottom w:val="0"/>
                      <w:divBdr>
                        <w:top w:val="none" w:sz="0" w:space="0" w:color="auto"/>
                        <w:left w:val="none" w:sz="0" w:space="0" w:color="auto"/>
                        <w:bottom w:val="none" w:sz="0" w:space="0" w:color="auto"/>
                        <w:right w:val="none" w:sz="0" w:space="0" w:color="auto"/>
                      </w:divBdr>
                    </w:div>
                  </w:divsChild>
                </w:div>
                <w:div w:id="2136484394">
                  <w:marLeft w:val="0"/>
                  <w:marRight w:val="0"/>
                  <w:marTop w:val="0"/>
                  <w:marBottom w:val="0"/>
                  <w:divBdr>
                    <w:top w:val="none" w:sz="0" w:space="0" w:color="auto"/>
                    <w:left w:val="none" w:sz="0" w:space="0" w:color="auto"/>
                    <w:bottom w:val="none" w:sz="0" w:space="0" w:color="auto"/>
                    <w:right w:val="none" w:sz="0" w:space="0" w:color="auto"/>
                  </w:divBdr>
                  <w:divsChild>
                    <w:div w:id="100828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794117">
          <w:marLeft w:val="0"/>
          <w:marRight w:val="0"/>
          <w:marTop w:val="0"/>
          <w:marBottom w:val="0"/>
          <w:divBdr>
            <w:top w:val="none" w:sz="0" w:space="0" w:color="auto"/>
            <w:left w:val="none" w:sz="0" w:space="0" w:color="auto"/>
            <w:bottom w:val="none" w:sz="0" w:space="0" w:color="auto"/>
            <w:right w:val="none" w:sz="0" w:space="0" w:color="auto"/>
          </w:divBdr>
        </w:div>
      </w:divsChild>
    </w:div>
    <w:div w:id="648831205">
      <w:bodyDiv w:val="1"/>
      <w:marLeft w:val="0"/>
      <w:marRight w:val="0"/>
      <w:marTop w:val="0"/>
      <w:marBottom w:val="0"/>
      <w:divBdr>
        <w:top w:val="none" w:sz="0" w:space="0" w:color="auto"/>
        <w:left w:val="none" w:sz="0" w:space="0" w:color="auto"/>
        <w:bottom w:val="none" w:sz="0" w:space="0" w:color="auto"/>
        <w:right w:val="none" w:sz="0" w:space="0" w:color="auto"/>
      </w:divBdr>
    </w:div>
    <w:div w:id="654914206">
      <w:bodyDiv w:val="1"/>
      <w:marLeft w:val="0"/>
      <w:marRight w:val="0"/>
      <w:marTop w:val="0"/>
      <w:marBottom w:val="0"/>
      <w:divBdr>
        <w:top w:val="none" w:sz="0" w:space="0" w:color="auto"/>
        <w:left w:val="none" w:sz="0" w:space="0" w:color="auto"/>
        <w:bottom w:val="none" w:sz="0" w:space="0" w:color="auto"/>
        <w:right w:val="none" w:sz="0" w:space="0" w:color="auto"/>
      </w:divBdr>
    </w:div>
    <w:div w:id="661926996">
      <w:bodyDiv w:val="1"/>
      <w:marLeft w:val="0"/>
      <w:marRight w:val="0"/>
      <w:marTop w:val="0"/>
      <w:marBottom w:val="0"/>
      <w:divBdr>
        <w:top w:val="none" w:sz="0" w:space="0" w:color="auto"/>
        <w:left w:val="none" w:sz="0" w:space="0" w:color="auto"/>
        <w:bottom w:val="none" w:sz="0" w:space="0" w:color="auto"/>
        <w:right w:val="none" w:sz="0" w:space="0" w:color="auto"/>
      </w:divBdr>
    </w:div>
    <w:div w:id="679359324">
      <w:bodyDiv w:val="1"/>
      <w:marLeft w:val="0"/>
      <w:marRight w:val="0"/>
      <w:marTop w:val="0"/>
      <w:marBottom w:val="0"/>
      <w:divBdr>
        <w:top w:val="none" w:sz="0" w:space="0" w:color="auto"/>
        <w:left w:val="none" w:sz="0" w:space="0" w:color="auto"/>
        <w:bottom w:val="none" w:sz="0" w:space="0" w:color="auto"/>
        <w:right w:val="none" w:sz="0" w:space="0" w:color="auto"/>
      </w:divBdr>
    </w:div>
    <w:div w:id="680279096">
      <w:bodyDiv w:val="1"/>
      <w:marLeft w:val="0"/>
      <w:marRight w:val="0"/>
      <w:marTop w:val="0"/>
      <w:marBottom w:val="0"/>
      <w:divBdr>
        <w:top w:val="none" w:sz="0" w:space="0" w:color="auto"/>
        <w:left w:val="none" w:sz="0" w:space="0" w:color="auto"/>
        <w:bottom w:val="none" w:sz="0" w:space="0" w:color="auto"/>
        <w:right w:val="none" w:sz="0" w:space="0" w:color="auto"/>
      </w:divBdr>
    </w:div>
    <w:div w:id="685522337">
      <w:bodyDiv w:val="1"/>
      <w:marLeft w:val="0"/>
      <w:marRight w:val="0"/>
      <w:marTop w:val="0"/>
      <w:marBottom w:val="0"/>
      <w:divBdr>
        <w:top w:val="none" w:sz="0" w:space="0" w:color="auto"/>
        <w:left w:val="none" w:sz="0" w:space="0" w:color="auto"/>
        <w:bottom w:val="none" w:sz="0" w:space="0" w:color="auto"/>
        <w:right w:val="none" w:sz="0" w:space="0" w:color="auto"/>
      </w:divBdr>
    </w:div>
    <w:div w:id="687558087">
      <w:bodyDiv w:val="1"/>
      <w:marLeft w:val="0"/>
      <w:marRight w:val="0"/>
      <w:marTop w:val="0"/>
      <w:marBottom w:val="0"/>
      <w:divBdr>
        <w:top w:val="none" w:sz="0" w:space="0" w:color="auto"/>
        <w:left w:val="none" w:sz="0" w:space="0" w:color="auto"/>
        <w:bottom w:val="none" w:sz="0" w:space="0" w:color="auto"/>
        <w:right w:val="none" w:sz="0" w:space="0" w:color="auto"/>
      </w:divBdr>
    </w:div>
    <w:div w:id="688027656">
      <w:bodyDiv w:val="1"/>
      <w:marLeft w:val="0"/>
      <w:marRight w:val="0"/>
      <w:marTop w:val="0"/>
      <w:marBottom w:val="0"/>
      <w:divBdr>
        <w:top w:val="none" w:sz="0" w:space="0" w:color="auto"/>
        <w:left w:val="none" w:sz="0" w:space="0" w:color="auto"/>
        <w:bottom w:val="none" w:sz="0" w:space="0" w:color="auto"/>
        <w:right w:val="none" w:sz="0" w:space="0" w:color="auto"/>
      </w:divBdr>
    </w:div>
    <w:div w:id="713239319">
      <w:bodyDiv w:val="1"/>
      <w:marLeft w:val="0"/>
      <w:marRight w:val="0"/>
      <w:marTop w:val="0"/>
      <w:marBottom w:val="0"/>
      <w:divBdr>
        <w:top w:val="none" w:sz="0" w:space="0" w:color="auto"/>
        <w:left w:val="none" w:sz="0" w:space="0" w:color="auto"/>
        <w:bottom w:val="none" w:sz="0" w:space="0" w:color="auto"/>
        <w:right w:val="none" w:sz="0" w:space="0" w:color="auto"/>
      </w:divBdr>
      <w:divsChild>
        <w:div w:id="51388302">
          <w:marLeft w:val="0"/>
          <w:marRight w:val="0"/>
          <w:marTop w:val="0"/>
          <w:marBottom w:val="0"/>
          <w:divBdr>
            <w:top w:val="none" w:sz="0" w:space="0" w:color="auto"/>
            <w:left w:val="none" w:sz="0" w:space="0" w:color="auto"/>
            <w:bottom w:val="none" w:sz="0" w:space="0" w:color="auto"/>
            <w:right w:val="none" w:sz="0" w:space="0" w:color="auto"/>
          </w:divBdr>
          <w:divsChild>
            <w:div w:id="479470154">
              <w:marLeft w:val="0"/>
              <w:marRight w:val="0"/>
              <w:marTop w:val="0"/>
              <w:marBottom w:val="0"/>
              <w:divBdr>
                <w:top w:val="none" w:sz="0" w:space="0" w:color="auto"/>
                <w:left w:val="none" w:sz="0" w:space="0" w:color="auto"/>
                <w:bottom w:val="none" w:sz="0" w:space="0" w:color="auto"/>
                <w:right w:val="none" w:sz="0" w:space="0" w:color="auto"/>
              </w:divBdr>
              <w:divsChild>
                <w:div w:id="757366303">
                  <w:marLeft w:val="-300"/>
                  <w:marRight w:val="-300"/>
                  <w:marTop w:val="0"/>
                  <w:marBottom w:val="0"/>
                  <w:divBdr>
                    <w:top w:val="none" w:sz="0" w:space="0" w:color="auto"/>
                    <w:left w:val="none" w:sz="0" w:space="0" w:color="auto"/>
                    <w:bottom w:val="none" w:sz="0" w:space="0" w:color="auto"/>
                    <w:right w:val="none" w:sz="0" w:space="0" w:color="auto"/>
                  </w:divBdr>
                  <w:divsChild>
                    <w:div w:id="1973320380">
                      <w:marLeft w:val="0"/>
                      <w:marRight w:val="0"/>
                      <w:marTop w:val="0"/>
                      <w:marBottom w:val="0"/>
                      <w:divBdr>
                        <w:top w:val="none" w:sz="0" w:space="0" w:color="auto"/>
                        <w:left w:val="none" w:sz="0" w:space="0" w:color="auto"/>
                        <w:bottom w:val="none" w:sz="0" w:space="0" w:color="auto"/>
                        <w:right w:val="none" w:sz="0" w:space="0" w:color="auto"/>
                      </w:divBdr>
                      <w:divsChild>
                        <w:div w:id="312880765">
                          <w:marLeft w:val="0"/>
                          <w:marRight w:val="0"/>
                          <w:marTop w:val="0"/>
                          <w:marBottom w:val="0"/>
                          <w:divBdr>
                            <w:top w:val="none" w:sz="0" w:space="0" w:color="auto"/>
                            <w:left w:val="none" w:sz="0" w:space="0" w:color="auto"/>
                            <w:bottom w:val="none" w:sz="0" w:space="0" w:color="auto"/>
                            <w:right w:val="none" w:sz="0" w:space="0" w:color="auto"/>
                          </w:divBdr>
                          <w:divsChild>
                            <w:div w:id="794374349">
                              <w:marLeft w:val="0"/>
                              <w:marRight w:val="0"/>
                              <w:marTop w:val="0"/>
                              <w:marBottom w:val="200"/>
                              <w:divBdr>
                                <w:top w:val="none" w:sz="0" w:space="0" w:color="auto"/>
                                <w:left w:val="none" w:sz="0" w:space="0" w:color="auto"/>
                                <w:bottom w:val="none" w:sz="0" w:space="0" w:color="auto"/>
                                <w:right w:val="none" w:sz="0" w:space="0" w:color="auto"/>
                              </w:divBdr>
                            </w:div>
                            <w:div w:id="851575732">
                              <w:marLeft w:val="0"/>
                              <w:marRight w:val="0"/>
                              <w:marTop w:val="0"/>
                              <w:marBottom w:val="200"/>
                              <w:divBdr>
                                <w:top w:val="none" w:sz="0" w:space="0" w:color="auto"/>
                                <w:left w:val="none" w:sz="0" w:space="0" w:color="auto"/>
                                <w:bottom w:val="none" w:sz="0" w:space="0" w:color="auto"/>
                                <w:right w:val="none" w:sz="0" w:space="0" w:color="auto"/>
                              </w:divBdr>
                            </w:div>
                            <w:div w:id="1034692021">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1348436">
      <w:bodyDiv w:val="1"/>
      <w:marLeft w:val="0"/>
      <w:marRight w:val="0"/>
      <w:marTop w:val="0"/>
      <w:marBottom w:val="0"/>
      <w:divBdr>
        <w:top w:val="none" w:sz="0" w:space="0" w:color="auto"/>
        <w:left w:val="none" w:sz="0" w:space="0" w:color="auto"/>
        <w:bottom w:val="none" w:sz="0" w:space="0" w:color="auto"/>
        <w:right w:val="none" w:sz="0" w:space="0" w:color="auto"/>
      </w:divBdr>
      <w:divsChild>
        <w:div w:id="1100371318">
          <w:marLeft w:val="0"/>
          <w:marRight w:val="0"/>
          <w:marTop w:val="0"/>
          <w:marBottom w:val="0"/>
          <w:divBdr>
            <w:top w:val="none" w:sz="0" w:space="0" w:color="auto"/>
            <w:left w:val="none" w:sz="0" w:space="0" w:color="auto"/>
            <w:bottom w:val="none" w:sz="0" w:space="0" w:color="auto"/>
            <w:right w:val="none" w:sz="0" w:space="0" w:color="auto"/>
          </w:divBdr>
          <w:divsChild>
            <w:div w:id="286471267">
              <w:marLeft w:val="0"/>
              <w:marRight w:val="0"/>
              <w:marTop w:val="0"/>
              <w:marBottom w:val="0"/>
              <w:divBdr>
                <w:top w:val="none" w:sz="0" w:space="0" w:color="auto"/>
                <w:left w:val="none" w:sz="0" w:space="0" w:color="auto"/>
                <w:bottom w:val="none" w:sz="0" w:space="0" w:color="auto"/>
                <w:right w:val="none" w:sz="0" w:space="0" w:color="auto"/>
              </w:divBdr>
            </w:div>
          </w:divsChild>
        </w:div>
        <w:div w:id="1365910715">
          <w:marLeft w:val="0"/>
          <w:marRight w:val="0"/>
          <w:marTop w:val="0"/>
          <w:marBottom w:val="0"/>
          <w:divBdr>
            <w:top w:val="none" w:sz="0" w:space="0" w:color="auto"/>
            <w:left w:val="none" w:sz="0" w:space="0" w:color="auto"/>
            <w:bottom w:val="none" w:sz="0" w:space="0" w:color="auto"/>
            <w:right w:val="none" w:sz="0" w:space="0" w:color="auto"/>
          </w:divBdr>
        </w:div>
        <w:div w:id="1670523613">
          <w:marLeft w:val="0"/>
          <w:marRight w:val="0"/>
          <w:marTop w:val="0"/>
          <w:marBottom w:val="0"/>
          <w:divBdr>
            <w:top w:val="none" w:sz="0" w:space="0" w:color="auto"/>
            <w:left w:val="none" w:sz="0" w:space="0" w:color="auto"/>
            <w:bottom w:val="none" w:sz="0" w:space="0" w:color="auto"/>
            <w:right w:val="none" w:sz="0" w:space="0" w:color="auto"/>
          </w:divBdr>
          <w:divsChild>
            <w:div w:id="286392329">
              <w:marLeft w:val="0"/>
              <w:marRight w:val="0"/>
              <w:marTop w:val="0"/>
              <w:marBottom w:val="0"/>
              <w:divBdr>
                <w:top w:val="none" w:sz="0" w:space="0" w:color="auto"/>
                <w:left w:val="none" w:sz="0" w:space="0" w:color="auto"/>
                <w:bottom w:val="none" w:sz="0" w:space="0" w:color="auto"/>
                <w:right w:val="none" w:sz="0" w:space="0" w:color="auto"/>
              </w:divBdr>
            </w:div>
            <w:div w:id="446240888">
              <w:marLeft w:val="0"/>
              <w:marRight w:val="0"/>
              <w:marTop w:val="0"/>
              <w:marBottom w:val="0"/>
              <w:divBdr>
                <w:top w:val="none" w:sz="0" w:space="0" w:color="auto"/>
                <w:left w:val="none" w:sz="0" w:space="0" w:color="auto"/>
                <w:bottom w:val="none" w:sz="0" w:space="0" w:color="auto"/>
                <w:right w:val="none" w:sz="0" w:space="0" w:color="auto"/>
              </w:divBdr>
            </w:div>
            <w:div w:id="99375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038441">
      <w:bodyDiv w:val="1"/>
      <w:marLeft w:val="0"/>
      <w:marRight w:val="0"/>
      <w:marTop w:val="0"/>
      <w:marBottom w:val="0"/>
      <w:divBdr>
        <w:top w:val="none" w:sz="0" w:space="0" w:color="auto"/>
        <w:left w:val="none" w:sz="0" w:space="0" w:color="auto"/>
        <w:bottom w:val="none" w:sz="0" w:space="0" w:color="auto"/>
        <w:right w:val="none" w:sz="0" w:space="0" w:color="auto"/>
      </w:divBdr>
    </w:div>
    <w:div w:id="754210265">
      <w:bodyDiv w:val="1"/>
      <w:marLeft w:val="0"/>
      <w:marRight w:val="0"/>
      <w:marTop w:val="0"/>
      <w:marBottom w:val="0"/>
      <w:divBdr>
        <w:top w:val="none" w:sz="0" w:space="0" w:color="auto"/>
        <w:left w:val="none" w:sz="0" w:space="0" w:color="auto"/>
        <w:bottom w:val="none" w:sz="0" w:space="0" w:color="auto"/>
        <w:right w:val="none" w:sz="0" w:space="0" w:color="auto"/>
      </w:divBdr>
    </w:div>
    <w:div w:id="758060740">
      <w:bodyDiv w:val="1"/>
      <w:marLeft w:val="0"/>
      <w:marRight w:val="0"/>
      <w:marTop w:val="0"/>
      <w:marBottom w:val="0"/>
      <w:divBdr>
        <w:top w:val="none" w:sz="0" w:space="0" w:color="auto"/>
        <w:left w:val="none" w:sz="0" w:space="0" w:color="auto"/>
        <w:bottom w:val="none" w:sz="0" w:space="0" w:color="auto"/>
        <w:right w:val="none" w:sz="0" w:space="0" w:color="auto"/>
      </w:divBdr>
    </w:div>
    <w:div w:id="760024530">
      <w:bodyDiv w:val="1"/>
      <w:marLeft w:val="0"/>
      <w:marRight w:val="0"/>
      <w:marTop w:val="0"/>
      <w:marBottom w:val="0"/>
      <w:divBdr>
        <w:top w:val="none" w:sz="0" w:space="0" w:color="auto"/>
        <w:left w:val="none" w:sz="0" w:space="0" w:color="auto"/>
        <w:bottom w:val="none" w:sz="0" w:space="0" w:color="auto"/>
        <w:right w:val="none" w:sz="0" w:space="0" w:color="auto"/>
      </w:divBdr>
    </w:div>
    <w:div w:id="762578619">
      <w:bodyDiv w:val="1"/>
      <w:marLeft w:val="0"/>
      <w:marRight w:val="0"/>
      <w:marTop w:val="0"/>
      <w:marBottom w:val="0"/>
      <w:divBdr>
        <w:top w:val="none" w:sz="0" w:space="0" w:color="auto"/>
        <w:left w:val="none" w:sz="0" w:space="0" w:color="auto"/>
        <w:bottom w:val="none" w:sz="0" w:space="0" w:color="auto"/>
        <w:right w:val="none" w:sz="0" w:space="0" w:color="auto"/>
      </w:divBdr>
    </w:div>
    <w:div w:id="777873057">
      <w:bodyDiv w:val="1"/>
      <w:marLeft w:val="0"/>
      <w:marRight w:val="0"/>
      <w:marTop w:val="0"/>
      <w:marBottom w:val="0"/>
      <w:divBdr>
        <w:top w:val="none" w:sz="0" w:space="0" w:color="auto"/>
        <w:left w:val="none" w:sz="0" w:space="0" w:color="auto"/>
        <w:bottom w:val="none" w:sz="0" w:space="0" w:color="auto"/>
        <w:right w:val="none" w:sz="0" w:space="0" w:color="auto"/>
      </w:divBdr>
      <w:divsChild>
        <w:div w:id="702054023">
          <w:marLeft w:val="0"/>
          <w:marRight w:val="0"/>
          <w:marTop w:val="0"/>
          <w:marBottom w:val="0"/>
          <w:divBdr>
            <w:top w:val="none" w:sz="0" w:space="0" w:color="auto"/>
            <w:left w:val="none" w:sz="0" w:space="0" w:color="auto"/>
            <w:bottom w:val="none" w:sz="0" w:space="0" w:color="auto"/>
            <w:right w:val="none" w:sz="0" w:space="0" w:color="auto"/>
          </w:divBdr>
        </w:div>
        <w:div w:id="1178228780">
          <w:marLeft w:val="0"/>
          <w:marRight w:val="0"/>
          <w:marTop w:val="0"/>
          <w:marBottom w:val="0"/>
          <w:divBdr>
            <w:top w:val="none" w:sz="0" w:space="0" w:color="auto"/>
            <w:left w:val="none" w:sz="0" w:space="0" w:color="auto"/>
            <w:bottom w:val="none" w:sz="0" w:space="0" w:color="auto"/>
            <w:right w:val="none" w:sz="0" w:space="0" w:color="auto"/>
          </w:divBdr>
        </w:div>
        <w:div w:id="1187139324">
          <w:marLeft w:val="0"/>
          <w:marRight w:val="0"/>
          <w:marTop w:val="0"/>
          <w:marBottom w:val="0"/>
          <w:divBdr>
            <w:top w:val="none" w:sz="0" w:space="0" w:color="auto"/>
            <w:left w:val="none" w:sz="0" w:space="0" w:color="auto"/>
            <w:bottom w:val="none" w:sz="0" w:space="0" w:color="auto"/>
            <w:right w:val="none" w:sz="0" w:space="0" w:color="auto"/>
          </w:divBdr>
        </w:div>
      </w:divsChild>
    </w:div>
    <w:div w:id="781614927">
      <w:bodyDiv w:val="1"/>
      <w:marLeft w:val="0"/>
      <w:marRight w:val="0"/>
      <w:marTop w:val="0"/>
      <w:marBottom w:val="0"/>
      <w:divBdr>
        <w:top w:val="none" w:sz="0" w:space="0" w:color="auto"/>
        <w:left w:val="none" w:sz="0" w:space="0" w:color="auto"/>
        <w:bottom w:val="none" w:sz="0" w:space="0" w:color="auto"/>
        <w:right w:val="none" w:sz="0" w:space="0" w:color="auto"/>
      </w:divBdr>
    </w:div>
    <w:div w:id="817838748">
      <w:bodyDiv w:val="1"/>
      <w:marLeft w:val="0"/>
      <w:marRight w:val="0"/>
      <w:marTop w:val="0"/>
      <w:marBottom w:val="0"/>
      <w:divBdr>
        <w:top w:val="none" w:sz="0" w:space="0" w:color="auto"/>
        <w:left w:val="none" w:sz="0" w:space="0" w:color="auto"/>
        <w:bottom w:val="none" w:sz="0" w:space="0" w:color="auto"/>
        <w:right w:val="none" w:sz="0" w:space="0" w:color="auto"/>
      </w:divBdr>
    </w:div>
    <w:div w:id="834036365">
      <w:bodyDiv w:val="1"/>
      <w:marLeft w:val="0"/>
      <w:marRight w:val="0"/>
      <w:marTop w:val="0"/>
      <w:marBottom w:val="0"/>
      <w:divBdr>
        <w:top w:val="none" w:sz="0" w:space="0" w:color="auto"/>
        <w:left w:val="none" w:sz="0" w:space="0" w:color="auto"/>
        <w:bottom w:val="none" w:sz="0" w:space="0" w:color="auto"/>
        <w:right w:val="none" w:sz="0" w:space="0" w:color="auto"/>
      </w:divBdr>
    </w:div>
    <w:div w:id="840699147">
      <w:bodyDiv w:val="1"/>
      <w:marLeft w:val="0"/>
      <w:marRight w:val="0"/>
      <w:marTop w:val="0"/>
      <w:marBottom w:val="0"/>
      <w:divBdr>
        <w:top w:val="none" w:sz="0" w:space="0" w:color="auto"/>
        <w:left w:val="none" w:sz="0" w:space="0" w:color="auto"/>
        <w:bottom w:val="none" w:sz="0" w:space="0" w:color="auto"/>
        <w:right w:val="none" w:sz="0" w:space="0" w:color="auto"/>
      </w:divBdr>
    </w:div>
    <w:div w:id="840775186">
      <w:bodyDiv w:val="1"/>
      <w:marLeft w:val="0"/>
      <w:marRight w:val="0"/>
      <w:marTop w:val="0"/>
      <w:marBottom w:val="0"/>
      <w:divBdr>
        <w:top w:val="none" w:sz="0" w:space="0" w:color="auto"/>
        <w:left w:val="none" w:sz="0" w:space="0" w:color="auto"/>
        <w:bottom w:val="none" w:sz="0" w:space="0" w:color="auto"/>
        <w:right w:val="none" w:sz="0" w:space="0" w:color="auto"/>
      </w:divBdr>
    </w:div>
    <w:div w:id="853811439">
      <w:bodyDiv w:val="1"/>
      <w:marLeft w:val="0"/>
      <w:marRight w:val="0"/>
      <w:marTop w:val="0"/>
      <w:marBottom w:val="0"/>
      <w:divBdr>
        <w:top w:val="none" w:sz="0" w:space="0" w:color="auto"/>
        <w:left w:val="none" w:sz="0" w:space="0" w:color="auto"/>
        <w:bottom w:val="none" w:sz="0" w:space="0" w:color="auto"/>
        <w:right w:val="none" w:sz="0" w:space="0" w:color="auto"/>
      </w:divBdr>
    </w:div>
    <w:div w:id="867723725">
      <w:bodyDiv w:val="1"/>
      <w:marLeft w:val="0"/>
      <w:marRight w:val="0"/>
      <w:marTop w:val="0"/>
      <w:marBottom w:val="0"/>
      <w:divBdr>
        <w:top w:val="none" w:sz="0" w:space="0" w:color="auto"/>
        <w:left w:val="none" w:sz="0" w:space="0" w:color="auto"/>
        <w:bottom w:val="none" w:sz="0" w:space="0" w:color="auto"/>
        <w:right w:val="none" w:sz="0" w:space="0" w:color="auto"/>
      </w:divBdr>
    </w:div>
    <w:div w:id="891622906">
      <w:bodyDiv w:val="1"/>
      <w:marLeft w:val="0"/>
      <w:marRight w:val="0"/>
      <w:marTop w:val="0"/>
      <w:marBottom w:val="0"/>
      <w:divBdr>
        <w:top w:val="none" w:sz="0" w:space="0" w:color="auto"/>
        <w:left w:val="none" w:sz="0" w:space="0" w:color="auto"/>
        <w:bottom w:val="none" w:sz="0" w:space="0" w:color="auto"/>
        <w:right w:val="none" w:sz="0" w:space="0" w:color="auto"/>
      </w:divBdr>
    </w:div>
    <w:div w:id="906303002">
      <w:bodyDiv w:val="1"/>
      <w:marLeft w:val="0"/>
      <w:marRight w:val="0"/>
      <w:marTop w:val="0"/>
      <w:marBottom w:val="0"/>
      <w:divBdr>
        <w:top w:val="none" w:sz="0" w:space="0" w:color="auto"/>
        <w:left w:val="none" w:sz="0" w:space="0" w:color="auto"/>
        <w:bottom w:val="none" w:sz="0" w:space="0" w:color="auto"/>
        <w:right w:val="none" w:sz="0" w:space="0" w:color="auto"/>
      </w:divBdr>
      <w:divsChild>
        <w:div w:id="110125935">
          <w:marLeft w:val="0"/>
          <w:marRight w:val="0"/>
          <w:marTop w:val="0"/>
          <w:marBottom w:val="0"/>
          <w:divBdr>
            <w:top w:val="none" w:sz="0" w:space="0" w:color="auto"/>
            <w:left w:val="none" w:sz="0" w:space="0" w:color="auto"/>
            <w:bottom w:val="none" w:sz="0" w:space="0" w:color="auto"/>
            <w:right w:val="none" w:sz="0" w:space="0" w:color="auto"/>
          </w:divBdr>
        </w:div>
        <w:div w:id="1665204521">
          <w:marLeft w:val="0"/>
          <w:marRight w:val="0"/>
          <w:marTop w:val="0"/>
          <w:marBottom w:val="0"/>
          <w:divBdr>
            <w:top w:val="none" w:sz="0" w:space="0" w:color="auto"/>
            <w:left w:val="none" w:sz="0" w:space="0" w:color="auto"/>
            <w:bottom w:val="none" w:sz="0" w:space="0" w:color="auto"/>
            <w:right w:val="none" w:sz="0" w:space="0" w:color="auto"/>
          </w:divBdr>
        </w:div>
      </w:divsChild>
    </w:div>
    <w:div w:id="925655200">
      <w:bodyDiv w:val="1"/>
      <w:marLeft w:val="0"/>
      <w:marRight w:val="0"/>
      <w:marTop w:val="0"/>
      <w:marBottom w:val="0"/>
      <w:divBdr>
        <w:top w:val="none" w:sz="0" w:space="0" w:color="auto"/>
        <w:left w:val="none" w:sz="0" w:space="0" w:color="auto"/>
        <w:bottom w:val="none" w:sz="0" w:space="0" w:color="auto"/>
        <w:right w:val="none" w:sz="0" w:space="0" w:color="auto"/>
      </w:divBdr>
    </w:div>
    <w:div w:id="936182806">
      <w:bodyDiv w:val="1"/>
      <w:marLeft w:val="0"/>
      <w:marRight w:val="0"/>
      <w:marTop w:val="0"/>
      <w:marBottom w:val="0"/>
      <w:divBdr>
        <w:top w:val="none" w:sz="0" w:space="0" w:color="auto"/>
        <w:left w:val="none" w:sz="0" w:space="0" w:color="auto"/>
        <w:bottom w:val="none" w:sz="0" w:space="0" w:color="auto"/>
        <w:right w:val="none" w:sz="0" w:space="0" w:color="auto"/>
      </w:divBdr>
    </w:div>
    <w:div w:id="944534443">
      <w:bodyDiv w:val="1"/>
      <w:marLeft w:val="0"/>
      <w:marRight w:val="0"/>
      <w:marTop w:val="0"/>
      <w:marBottom w:val="0"/>
      <w:divBdr>
        <w:top w:val="none" w:sz="0" w:space="0" w:color="auto"/>
        <w:left w:val="none" w:sz="0" w:space="0" w:color="auto"/>
        <w:bottom w:val="none" w:sz="0" w:space="0" w:color="auto"/>
        <w:right w:val="none" w:sz="0" w:space="0" w:color="auto"/>
      </w:divBdr>
    </w:div>
    <w:div w:id="956448598">
      <w:bodyDiv w:val="1"/>
      <w:marLeft w:val="0"/>
      <w:marRight w:val="0"/>
      <w:marTop w:val="0"/>
      <w:marBottom w:val="0"/>
      <w:divBdr>
        <w:top w:val="none" w:sz="0" w:space="0" w:color="auto"/>
        <w:left w:val="none" w:sz="0" w:space="0" w:color="auto"/>
        <w:bottom w:val="none" w:sz="0" w:space="0" w:color="auto"/>
        <w:right w:val="none" w:sz="0" w:space="0" w:color="auto"/>
      </w:divBdr>
    </w:div>
    <w:div w:id="968777348">
      <w:bodyDiv w:val="1"/>
      <w:marLeft w:val="0"/>
      <w:marRight w:val="0"/>
      <w:marTop w:val="0"/>
      <w:marBottom w:val="0"/>
      <w:divBdr>
        <w:top w:val="none" w:sz="0" w:space="0" w:color="auto"/>
        <w:left w:val="none" w:sz="0" w:space="0" w:color="auto"/>
        <w:bottom w:val="none" w:sz="0" w:space="0" w:color="auto"/>
        <w:right w:val="none" w:sz="0" w:space="0" w:color="auto"/>
      </w:divBdr>
    </w:div>
    <w:div w:id="979455796">
      <w:bodyDiv w:val="1"/>
      <w:marLeft w:val="0"/>
      <w:marRight w:val="0"/>
      <w:marTop w:val="0"/>
      <w:marBottom w:val="0"/>
      <w:divBdr>
        <w:top w:val="none" w:sz="0" w:space="0" w:color="auto"/>
        <w:left w:val="none" w:sz="0" w:space="0" w:color="auto"/>
        <w:bottom w:val="none" w:sz="0" w:space="0" w:color="auto"/>
        <w:right w:val="none" w:sz="0" w:space="0" w:color="auto"/>
      </w:divBdr>
      <w:divsChild>
        <w:div w:id="9838771">
          <w:marLeft w:val="0"/>
          <w:marRight w:val="0"/>
          <w:marTop w:val="0"/>
          <w:marBottom w:val="0"/>
          <w:divBdr>
            <w:top w:val="none" w:sz="0" w:space="0" w:color="auto"/>
            <w:left w:val="none" w:sz="0" w:space="0" w:color="auto"/>
            <w:bottom w:val="none" w:sz="0" w:space="0" w:color="auto"/>
            <w:right w:val="none" w:sz="0" w:space="0" w:color="auto"/>
          </w:divBdr>
        </w:div>
        <w:div w:id="57017233">
          <w:marLeft w:val="0"/>
          <w:marRight w:val="0"/>
          <w:marTop w:val="0"/>
          <w:marBottom w:val="0"/>
          <w:divBdr>
            <w:top w:val="none" w:sz="0" w:space="0" w:color="auto"/>
            <w:left w:val="none" w:sz="0" w:space="0" w:color="auto"/>
            <w:bottom w:val="none" w:sz="0" w:space="0" w:color="auto"/>
            <w:right w:val="none" w:sz="0" w:space="0" w:color="auto"/>
          </w:divBdr>
        </w:div>
        <w:div w:id="181940444">
          <w:marLeft w:val="0"/>
          <w:marRight w:val="0"/>
          <w:marTop w:val="0"/>
          <w:marBottom w:val="0"/>
          <w:divBdr>
            <w:top w:val="none" w:sz="0" w:space="0" w:color="auto"/>
            <w:left w:val="none" w:sz="0" w:space="0" w:color="auto"/>
            <w:bottom w:val="none" w:sz="0" w:space="0" w:color="auto"/>
            <w:right w:val="none" w:sz="0" w:space="0" w:color="auto"/>
          </w:divBdr>
        </w:div>
        <w:div w:id="329219914">
          <w:marLeft w:val="0"/>
          <w:marRight w:val="0"/>
          <w:marTop w:val="0"/>
          <w:marBottom w:val="0"/>
          <w:divBdr>
            <w:top w:val="none" w:sz="0" w:space="0" w:color="auto"/>
            <w:left w:val="none" w:sz="0" w:space="0" w:color="auto"/>
            <w:bottom w:val="none" w:sz="0" w:space="0" w:color="auto"/>
            <w:right w:val="none" w:sz="0" w:space="0" w:color="auto"/>
          </w:divBdr>
        </w:div>
        <w:div w:id="360907212">
          <w:marLeft w:val="0"/>
          <w:marRight w:val="0"/>
          <w:marTop w:val="0"/>
          <w:marBottom w:val="0"/>
          <w:divBdr>
            <w:top w:val="none" w:sz="0" w:space="0" w:color="auto"/>
            <w:left w:val="none" w:sz="0" w:space="0" w:color="auto"/>
            <w:bottom w:val="none" w:sz="0" w:space="0" w:color="auto"/>
            <w:right w:val="none" w:sz="0" w:space="0" w:color="auto"/>
          </w:divBdr>
        </w:div>
        <w:div w:id="854422074">
          <w:marLeft w:val="0"/>
          <w:marRight w:val="0"/>
          <w:marTop w:val="0"/>
          <w:marBottom w:val="0"/>
          <w:divBdr>
            <w:top w:val="none" w:sz="0" w:space="0" w:color="auto"/>
            <w:left w:val="none" w:sz="0" w:space="0" w:color="auto"/>
            <w:bottom w:val="none" w:sz="0" w:space="0" w:color="auto"/>
            <w:right w:val="none" w:sz="0" w:space="0" w:color="auto"/>
          </w:divBdr>
        </w:div>
        <w:div w:id="1035693624">
          <w:marLeft w:val="0"/>
          <w:marRight w:val="0"/>
          <w:marTop w:val="0"/>
          <w:marBottom w:val="0"/>
          <w:divBdr>
            <w:top w:val="none" w:sz="0" w:space="0" w:color="auto"/>
            <w:left w:val="none" w:sz="0" w:space="0" w:color="auto"/>
            <w:bottom w:val="none" w:sz="0" w:space="0" w:color="auto"/>
            <w:right w:val="none" w:sz="0" w:space="0" w:color="auto"/>
          </w:divBdr>
        </w:div>
        <w:div w:id="1112750200">
          <w:marLeft w:val="0"/>
          <w:marRight w:val="0"/>
          <w:marTop w:val="0"/>
          <w:marBottom w:val="0"/>
          <w:divBdr>
            <w:top w:val="none" w:sz="0" w:space="0" w:color="auto"/>
            <w:left w:val="none" w:sz="0" w:space="0" w:color="auto"/>
            <w:bottom w:val="none" w:sz="0" w:space="0" w:color="auto"/>
            <w:right w:val="none" w:sz="0" w:space="0" w:color="auto"/>
          </w:divBdr>
        </w:div>
        <w:div w:id="1176118745">
          <w:marLeft w:val="0"/>
          <w:marRight w:val="0"/>
          <w:marTop w:val="0"/>
          <w:marBottom w:val="0"/>
          <w:divBdr>
            <w:top w:val="none" w:sz="0" w:space="0" w:color="auto"/>
            <w:left w:val="none" w:sz="0" w:space="0" w:color="auto"/>
            <w:bottom w:val="none" w:sz="0" w:space="0" w:color="auto"/>
            <w:right w:val="none" w:sz="0" w:space="0" w:color="auto"/>
          </w:divBdr>
        </w:div>
        <w:div w:id="1230843938">
          <w:marLeft w:val="0"/>
          <w:marRight w:val="0"/>
          <w:marTop w:val="0"/>
          <w:marBottom w:val="0"/>
          <w:divBdr>
            <w:top w:val="none" w:sz="0" w:space="0" w:color="auto"/>
            <w:left w:val="none" w:sz="0" w:space="0" w:color="auto"/>
            <w:bottom w:val="none" w:sz="0" w:space="0" w:color="auto"/>
            <w:right w:val="none" w:sz="0" w:space="0" w:color="auto"/>
          </w:divBdr>
        </w:div>
        <w:div w:id="1455054142">
          <w:marLeft w:val="0"/>
          <w:marRight w:val="0"/>
          <w:marTop w:val="0"/>
          <w:marBottom w:val="0"/>
          <w:divBdr>
            <w:top w:val="none" w:sz="0" w:space="0" w:color="auto"/>
            <w:left w:val="none" w:sz="0" w:space="0" w:color="auto"/>
            <w:bottom w:val="none" w:sz="0" w:space="0" w:color="auto"/>
            <w:right w:val="none" w:sz="0" w:space="0" w:color="auto"/>
          </w:divBdr>
        </w:div>
        <w:div w:id="1458640567">
          <w:marLeft w:val="0"/>
          <w:marRight w:val="0"/>
          <w:marTop w:val="0"/>
          <w:marBottom w:val="0"/>
          <w:divBdr>
            <w:top w:val="none" w:sz="0" w:space="0" w:color="auto"/>
            <w:left w:val="none" w:sz="0" w:space="0" w:color="auto"/>
            <w:bottom w:val="none" w:sz="0" w:space="0" w:color="auto"/>
            <w:right w:val="none" w:sz="0" w:space="0" w:color="auto"/>
          </w:divBdr>
        </w:div>
        <w:div w:id="1461345125">
          <w:marLeft w:val="0"/>
          <w:marRight w:val="0"/>
          <w:marTop w:val="0"/>
          <w:marBottom w:val="0"/>
          <w:divBdr>
            <w:top w:val="none" w:sz="0" w:space="0" w:color="auto"/>
            <w:left w:val="none" w:sz="0" w:space="0" w:color="auto"/>
            <w:bottom w:val="none" w:sz="0" w:space="0" w:color="auto"/>
            <w:right w:val="none" w:sz="0" w:space="0" w:color="auto"/>
          </w:divBdr>
        </w:div>
        <w:div w:id="1652128871">
          <w:marLeft w:val="0"/>
          <w:marRight w:val="0"/>
          <w:marTop w:val="0"/>
          <w:marBottom w:val="0"/>
          <w:divBdr>
            <w:top w:val="none" w:sz="0" w:space="0" w:color="auto"/>
            <w:left w:val="none" w:sz="0" w:space="0" w:color="auto"/>
            <w:bottom w:val="none" w:sz="0" w:space="0" w:color="auto"/>
            <w:right w:val="none" w:sz="0" w:space="0" w:color="auto"/>
          </w:divBdr>
        </w:div>
        <w:div w:id="1723479210">
          <w:marLeft w:val="0"/>
          <w:marRight w:val="0"/>
          <w:marTop w:val="0"/>
          <w:marBottom w:val="0"/>
          <w:divBdr>
            <w:top w:val="none" w:sz="0" w:space="0" w:color="auto"/>
            <w:left w:val="none" w:sz="0" w:space="0" w:color="auto"/>
            <w:bottom w:val="none" w:sz="0" w:space="0" w:color="auto"/>
            <w:right w:val="none" w:sz="0" w:space="0" w:color="auto"/>
          </w:divBdr>
        </w:div>
        <w:div w:id="1751388499">
          <w:marLeft w:val="0"/>
          <w:marRight w:val="0"/>
          <w:marTop w:val="0"/>
          <w:marBottom w:val="0"/>
          <w:divBdr>
            <w:top w:val="none" w:sz="0" w:space="0" w:color="auto"/>
            <w:left w:val="none" w:sz="0" w:space="0" w:color="auto"/>
            <w:bottom w:val="none" w:sz="0" w:space="0" w:color="auto"/>
            <w:right w:val="none" w:sz="0" w:space="0" w:color="auto"/>
          </w:divBdr>
        </w:div>
        <w:div w:id="1794401978">
          <w:marLeft w:val="0"/>
          <w:marRight w:val="0"/>
          <w:marTop w:val="0"/>
          <w:marBottom w:val="0"/>
          <w:divBdr>
            <w:top w:val="none" w:sz="0" w:space="0" w:color="auto"/>
            <w:left w:val="none" w:sz="0" w:space="0" w:color="auto"/>
            <w:bottom w:val="none" w:sz="0" w:space="0" w:color="auto"/>
            <w:right w:val="none" w:sz="0" w:space="0" w:color="auto"/>
          </w:divBdr>
        </w:div>
        <w:div w:id="2022009466">
          <w:marLeft w:val="0"/>
          <w:marRight w:val="0"/>
          <w:marTop w:val="0"/>
          <w:marBottom w:val="0"/>
          <w:divBdr>
            <w:top w:val="none" w:sz="0" w:space="0" w:color="auto"/>
            <w:left w:val="none" w:sz="0" w:space="0" w:color="auto"/>
            <w:bottom w:val="none" w:sz="0" w:space="0" w:color="auto"/>
            <w:right w:val="none" w:sz="0" w:space="0" w:color="auto"/>
          </w:divBdr>
        </w:div>
        <w:div w:id="2046175165">
          <w:marLeft w:val="0"/>
          <w:marRight w:val="0"/>
          <w:marTop w:val="0"/>
          <w:marBottom w:val="0"/>
          <w:divBdr>
            <w:top w:val="none" w:sz="0" w:space="0" w:color="auto"/>
            <w:left w:val="none" w:sz="0" w:space="0" w:color="auto"/>
            <w:bottom w:val="none" w:sz="0" w:space="0" w:color="auto"/>
            <w:right w:val="none" w:sz="0" w:space="0" w:color="auto"/>
          </w:divBdr>
        </w:div>
        <w:div w:id="2081319648">
          <w:marLeft w:val="0"/>
          <w:marRight w:val="0"/>
          <w:marTop w:val="0"/>
          <w:marBottom w:val="0"/>
          <w:divBdr>
            <w:top w:val="none" w:sz="0" w:space="0" w:color="auto"/>
            <w:left w:val="none" w:sz="0" w:space="0" w:color="auto"/>
            <w:bottom w:val="none" w:sz="0" w:space="0" w:color="auto"/>
            <w:right w:val="none" w:sz="0" w:space="0" w:color="auto"/>
          </w:divBdr>
        </w:div>
      </w:divsChild>
    </w:div>
    <w:div w:id="983239044">
      <w:bodyDiv w:val="1"/>
      <w:marLeft w:val="0"/>
      <w:marRight w:val="0"/>
      <w:marTop w:val="0"/>
      <w:marBottom w:val="0"/>
      <w:divBdr>
        <w:top w:val="none" w:sz="0" w:space="0" w:color="auto"/>
        <w:left w:val="none" w:sz="0" w:space="0" w:color="auto"/>
        <w:bottom w:val="none" w:sz="0" w:space="0" w:color="auto"/>
        <w:right w:val="none" w:sz="0" w:space="0" w:color="auto"/>
      </w:divBdr>
    </w:div>
    <w:div w:id="983655801">
      <w:bodyDiv w:val="1"/>
      <w:marLeft w:val="0"/>
      <w:marRight w:val="0"/>
      <w:marTop w:val="0"/>
      <w:marBottom w:val="0"/>
      <w:divBdr>
        <w:top w:val="none" w:sz="0" w:space="0" w:color="auto"/>
        <w:left w:val="none" w:sz="0" w:space="0" w:color="auto"/>
        <w:bottom w:val="none" w:sz="0" w:space="0" w:color="auto"/>
        <w:right w:val="none" w:sz="0" w:space="0" w:color="auto"/>
      </w:divBdr>
    </w:div>
    <w:div w:id="996037897">
      <w:bodyDiv w:val="1"/>
      <w:marLeft w:val="0"/>
      <w:marRight w:val="0"/>
      <w:marTop w:val="0"/>
      <w:marBottom w:val="0"/>
      <w:divBdr>
        <w:top w:val="none" w:sz="0" w:space="0" w:color="auto"/>
        <w:left w:val="none" w:sz="0" w:space="0" w:color="auto"/>
        <w:bottom w:val="none" w:sz="0" w:space="0" w:color="auto"/>
        <w:right w:val="none" w:sz="0" w:space="0" w:color="auto"/>
      </w:divBdr>
    </w:div>
    <w:div w:id="999119683">
      <w:bodyDiv w:val="1"/>
      <w:marLeft w:val="0"/>
      <w:marRight w:val="0"/>
      <w:marTop w:val="0"/>
      <w:marBottom w:val="0"/>
      <w:divBdr>
        <w:top w:val="none" w:sz="0" w:space="0" w:color="auto"/>
        <w:left w:val="none" w:sz="0" w:space="0" w:color="auto"/>
        <w:bottom w:val="none" w:sz="0" w:space="0" w:color="auto"/>
        <w:right w:val="none" w:sz="0" w:space="0" w:color="auto"/>
      </w:divBdr>
    </w:div>
    <w:div w:id="1005206101">
      <w:bodyDiv w:val="1"/>
      <w:marLeft w:val="0"/>
      <w:marRight w:val="0"/>
      <w:marTop w:val="0"/>
      <w:marBottom w:val="0"/>
      <w:divBdr>
        <w:top w:val="none" w:sz="0" w:space="0" w:color="auto"/>
        <w:left w:val="none" w:sz="0" w:space="0" w:color="auto"/>
        <w:bottom w:val="none" w:sz="0" w:space="0" w:color="auto"/>
        <w:right w:val="none" w:sz="0" w:space="0" w:color="auto"/>
      </w:divBdr>
    </w:div>
    <w:div w:id="1019696373">
      <w:bodyDiv w:val="1"/>
      <w:marLeft w:val="0"/>
      <w:marRight w:val="0"/>
      <w:marTop w:val="0"/>
      <w:marBottom w:val="0"/>
      <w:divBdr>
        <w:top w:val="none" w:sz="0" w:space="0" w:color="auto"/>
        <w:left w:val="none" w:sz="0" w:space="0" w:color="auto"/>
        <w:bottom w:val="none" w:sz="0" w:space="0" w:color="auto"/>
        <w:right w:val="none" w:sz="0" w:space="0" w:color="auto"/>
      </w:divBdr>
    </w:div>
    <w:div w:id="1028678343">
      <w:bodyDiv w:val="1"/>
      <w:marLeft w:val="0"/>
      <w:marRight w:val="0"/>
      <w:marTop w:val="0"/>
      <w:marBottom w:val="0"/>
      <w:divBdr>
        <w:top w:val="none" w:sz="0" w:space="0" w:color="auto"/>
        <w:left w:val="none" w:sz="0" w:space="0" w:color="auto"/>
        <w:bottom w:val="none" w:sz="0" w:space="0" w:color="auto"/>
        <w:right w:val="none" w:sz="0" w:space="0" w:color="auto"/>
      </w:divBdr>
    </w:div>
    <w:div w:id="1049374855">
      <w:bodyDiv w:val="1"/>
      <w:marLeft w:val="0"/>
      <w:marRight w:val="0"/>
      <w:marTop w:val="0"/>
      <w:marBottom w:val="0"/>
      <w:divBdr>
        <w:top w:val="none" w:sz="0" w:space="0" w:color="auto"/>
        <w:left w:val="none" w:sz="0" w:space="0" w:color="auto"/>
        <w:bottom w:val="none" w:sz="0" w:space="0" w:color="auto"/>
        <w:right w:val="none" w:sz="0" w:space="0" w:color="auto"/>
      </w:divBdr>
    </w:div>
    <w:div w:id="1081416172">
      <w:bodyDiv w:val="1"/>
      <w:marLeft w:val="0"/>
      <w:marRight w:val="0"/>
      <w:marTop w:val="0"/>
      <w:marBottom w:val="0"/>
      <w:divBdr>
        <w:top w:val="none" w:sz="0" w:space="0" w:color="auto"/>
        <w:left w:val="none" w:sz="0" w:space="0" w:color="auto"/>
        <w:bottom w:val="none" w:sz="0" w:space="0" w:color="auto"/>
        <w:right w:val="none" w:sz="0" w:space="0" w:color="auto"/>
      </w:divBdr>
    </w:div>
    <w:div w:id="1082218958">
      <w:bodyDiv w:val="1"/>
      <w:marLeft w:val="0"/>
      <w:marRight w:val="0"/>
      <w:marTop w:val="0"/>
      <w:marBottom w:val="0"/>
      <w:divBdr>
        <w:top w:val="none" w:sz="0" w:space="0" w:color="auto"/>
        <w:left w:val="none" w:sz="0" w:space="0" w:color="auto"/>
        <w:bottom w:val="none" w:sz="0" w:space="0" w:color="auto"/>
        <w:right w:val="none" w:sz="0" w:space="0" w:color="auto"/>
      </w:divBdr>
    </w:div>
    <w:div w:id="1083455514">
      <w:bodyDiv w:val="1"/>
      <w:marLeft w:val="0"/>
      <w:marRight w:val="0"/>
      <w:marTop w:val="0"/>
      <w:marBottom w:val="0"/>
      <w:divBdr>
        <w:top w:val="none" w:sz="0" w:space="0" w:color="auto"/>
        <w:left w:val="none" w:sz="0" w:space="0" w:color="auto"/>
        <w:bottom w:val="none" w:sz="0" w:space="0" w:color="auto"/>
        <w:right w:val="none" w:sz="0" w:space="0" w:color="auto"/>
      </w:divBdr>
    </w:div>
    <w:div w:id="1133140442">
      <w:bodyDiv w:val="1"/>
      <w:marLeft w:val="0"/>
      <w:marRight w:val="0"/>
      <w:marTop w:val="0"/>
      <w:marBottom w:val="0"/>
      <w:divBdr>
        <w:top w:val="none" w:sz="0" w:space="0" w:color="auto"/>
        <w:left w:val="none" w:sz="0" w:space="0" w:color="auto"/>
        <w:bottom w:val="none" w:sz="0" w:space="0" w:color="auto"/>
        <w:right w:val="none" w:sz="0" w:space="0" w:color="auto"/>
      </w:divBdr>
    </w:div>
    <w:div w:id="1149446973">
      <w:bodyDiv w:val="1"/>
      <w:marLeft w:val="0"/>
      <w:marRight w:val="0"/>
      <w:marTop w:val="0"/>
      <w:marBottom w:val="0"/>
      <w:divBdr>
        <w:top w:val="none" w:sz="0" w:space="0" w:color="auto"/>
        <w:left w:val="none" w:sz="0" w:space="0" w:color="auto"/>
        <w:bottom w:val="none" w:sz="0" w:space="0" w:color="auto"/>
        <w:right w:val="none" w:sz="0" w:space="0" w:color="auto"/>
      </w:divBdr>
    </w:div>
    <w:div w:id="1154831858">
      <w:bodyDiv w:val="1"/>
      <w:marLeft w:val="0"/>
      <w:marRight w:val="0"/>
      <w:marTop w:val="0"/>
      <w:marBottom w:val="0"/>
      <w:divBdr>
        <w:top w:val="none" w:sz="0" w:space="0" w:color="auto"/>
        <w:left w:val="none" w:sz="0" w:space="0" w:color="auto"/>
        <w:bottom w:val="none" w:sz="0" w:space="0" w:color="auto"/>
        <w:right w:val="none" w:sz="0" w:space="0" w:color="auto"/>
      </w:divBdr>
    </w:div>
    <w:div w:id="1177423542">
      <w:bodyDiv w:val="1"/>
      <w:marLeft w:val="0"/>
      <w:marRight w:val="0"/>
      <w:marTop w:val="0"/>
      <w:marBottom w:val="0"/>
      <w:divBdr>
        <w:top w:val="none" w:sz="0" w:space="0" w:color="auto"/>
        <w:left w:val="none" w:sz="0" w:space="0" w:color="auto"/>
        <w:bottom w:val="none" w:sz="0" w:space="0" w:color="auto"/>
        <w:right w:val="none" w:sz="0" w:space="0" w:color="auto"/>
      </w:divBdr>
    </w:div>
    <w:div w:id="1180508503">
      <w:bodyDiv w:val="1"/>
      <w:marLeft w:val="0"/>
      <w:marRight w:val="0"/>
      <w:marTop w:val="0"/>
      <w:marBottom w:val="0"/>
      <w:divBdr>
        <w:top w:val="none" w:sz="0" w:space="0" w:color="auto"/>
        <w:left w:val="none" w:sz="0" w:space="0" w:color="auto"/>
        <w:bottom w:val="none" w:sz="0" w:space="0" w:color="auto"/>
        <w:right w:val="none" w:sz="0" w:space="0" w:color="auto"/>
      </w:divBdr>
      <w:divsChild>
        <w:div w:id="1884946547">
          <w:marLeft w:val="0"/>
          <w:marRight w:val="0"/>
          <w:marTop w:val="0"/>
          <w:marBottom w:val="0"/>
          <w:divBdr>
            <w:top w:val="none" w:sz="0" w:space="0" w:color="auto"/>
            <w:left w:val="none" w:sz="0" w:space="0" w:color="auto"/>
            <w:bottom w:val="none" w:sz="0" w:space="0" w:color="auto"/>
            <w:right w:val="none" w:sz="0" w:space="0" w:color="auto"/>
          </w:divBdr>
        </w:div>
      </w:divsChild>
    </w:div>
    <w:div w:id="1184395057">
      <w:bodyDiv w:val="1"/>
      <w:marLeft w:val="0"/>
      <w:marRight w:val="0"/>
      <w:marTop w:val="0"/>
      <w:marBottom w:val="0"/>
      <w:divBdr>
        <w:top w:val="none" w:sz="0" w:space="0" w:color="auto"/>
        <w:left w:val="none" w:sz="0" w:space="0" w:color="auto"/>
        <w:bottom w:val="none" w:sz="0" w:space="0" w:color="auto"/>
        <w:right w:val="none" w:sz="0" w:space="0" w:color="auto"/>
      </w:divBdr>
    </w:div>
    <w:div w:id="1193375177">
      <w:bodyDiv w:val="1"/>
      <w:marLeft w:val="0"/>
      <w:marRight w:val="0"/>
      <w:marTop w:val="0"/>
      <w:marBottom w:val="0"/>
      <w:divBdr>
        <w:top w:val="none" w:sz="0" w:space="0" w:color="auto"/>
        <w:left w:val="none" w:sz="0" w:space="0" w:color="auto"/>
        <w:bottom w:val="none" w:sz="0" w:space="0" w:color="auto"/>
        <w:right w:val="none" w:sz="0" w:space="0" w:color="auto"/>
      </w:divBdr>
    </w:div>
    <w:div w:id="1197161601">
      <w:bodyDiv w:val="1"/>
      <w:marLeft w:val="0"/>
      <w:marRight w:val="0"/>
      <w:marTop w:val="0"/>
      <w:marBottom w:val="0"/>
      <w:divBdr>
        <w:top w:val="none" w:sz="0" w:space="0" w:color="auto"/>
        <w:left w:val="none" w:sz="0" w:space="0" w:color="auto"/>
        <w:bottom w:val="none" w:sz="0" w:space="0" w:color="auto"/>
        <w:right w:val="none" w:sz="0" w:space="0" w:color="auto"/>
      </w:divBdr>
      <w:divsChild>
        <w:div w:id="144200025">
          <w:marLeft w:val="0"/>
          <w:marRight w:val="0"/>
          <w:marTop w:val="0"/>
          <w:marBottom w:val="0"/>
          <w:divBdr>
            <w:top w:val="none" w:sz="0" w:space="0" w:color="auto"/>
            <w:left w:val="none" w:sz="0" w:space="0" w:color="auto"/>
            <w:bottom w:val="none" w:sz="0" w:space="0" w:color="auto"/>
            <w:right w:val="none" w:sz="0" w:space="0" w:color="auto"/>
          </w:divBdr>
          <w:divsChild>
            <w:div w:id="174537866">
              <w:marLeft w:val="0"/>
              <w:marRight w:val="0"/>
              <w:marTop w:val="0"/>
              <w:marBottom w:val="0"/>
              <w:divBdr>
                <w:top w:val="none" w:sz="0" w:space="0" w:color="auto"/>
                <w:left w:val="none" w:sz="0" w:space="0" w:color="auto"/>
                <w:bottom w:val="none" w:sz="0" w:space="0" w:color="auto"/>
                <w:right w:val="none" w:sz="0" w:space="0" w:color="auto"/>
              </w:divBdr>
            </w:div>
            <w:div w:id="670916325">
              <w:marLeft w:val="0"/>
              <w:marRight w:val="0"/>
              <w:marTop w:val="0"/>
              <w:marBottom w:val="0"/>
              <w:divBdr>
                <w:top w:val="none" w:sz="0" w:space="0" w:color="auto"/>
                <w:left w:val="none" w:sz="0" w:space="0" w:color="auto"/>
                <w:bottom w:val="none" w:sz="0" w:space="0" w:color="auto"/>
                <w:right w:val="none" w:sz="0" w:space="0" w:color="auto"/>
              </w:divBdr>
            </w:div>
            <w:div w:id="1845316461">
              <w:marLeft w:val="0"/>
              <w:marRight w:val="0"/>
              <w:marTop w:val="0"/>
              <w:marBottom w:val="0"/>
              <w:divBdr>
                <w:top w:val="none" w:sz="0" w:space="0" w:color="auto"/>
                <w:left w:val="none" w:sz="0" w:space="0" w:color="auto"/>
                <w:bottom w:val="none" w:sz="0" w:space="0" w:color="auto"/>
                <w:right w:val="none" w:sz="0" w:space="0" w:color="auto"/>
              </w:divBdr>
            </w:div>
          </w:divsChild>
        </w:div>
        <w:div w:id="1120294773">
          <w:marLeft w:val="0"/>
          <w:marRight w:val="0"/>
          <w:marTop w:val="0"/>
          <w:marBottom w:val="0"/>
          <w:divBdr>
            <w:top w:val="none" w:sz="0" w:space="0" w:color="auto"/>
            <w:left w:val="none" w:sz="0" w:space="0" w:color="auto"/>
            <w:bottom w:val="none" w:sz="0" w:space="0" w:color="auto"/>
            <w:right w:val="none" w:sz="0" w:space="0" w:color="auto"/>
          </w:divBdr>
          <w:divsChild>
            <w:div w:id="145518128">
              <w:marLeft w:val="0"/>
              <w:marRight w:val="0"/>
              <w:marTop w:val="0"/>
              <w:marBottom w:val="0"/>
              <w:divBdr>
                <w:top w:val="none" w:sz="0" w:space="0" w:color="auto"/>
                <w:left w:val="none" w:sz="0" w:space="0" w:color="auto"/>
                <w:bottom w:val="none" w:sz="0" w:space="0" w:color="auto"/>
                <w:right w:val="none" w:sz="0" w:space="0" w:color="auto"/>
              </w:divBdr>
            </w:div>
          </w:divsChild>
        </w:div>
        <w:div w:id="2117947350">
          <w:marLeft w:val="0"/>
          <w:marRight w:val="0"/>
          <w:marTop w:val="0"/>
          <w:marBottom w:val="0"/>
          <w:divBdr>
            <w:top w:val="none" w:sz="0" w:space="0" w:color="auto"/>
            <w:left w:val="none" w:sz="0" w:space="0" w:color="auto"/>
            <w:bottom w:val="none" w:sz="0" w:space="0" w:color="auto"/>
            <w:right w:val="none" w:sz="0" w:space="0" w:color="auto"/>
          </w:divBdr>
        </w:div>
      </w:divsChild>
    </w:div>
    <w:div w:id="1224296364">
      <w:bodyDiv w:val="1"/>
      <w:marLeft w:val="0"/>
      <w:marRight w:val="0"/>
      <w:marTop w:val="0"/>
      <w:marBottom w:val="0"/>
      <w:divBdr>
        <w:top w:val="none" w:sz="0" w:space="0" w:color="auto"/>
        <w:left w:val="none" w:sz="0" w:space="0" w:color="auto"/>
        <w:bottom w:val="none" w:sz="0" w:space="0" w:color="auto"/>
        <w:right w:val="none" w:sz="0" w:space="0" w:color="auto"/>
      </w:divBdr>
    </w:div>
    <w:div w:id="1255362200">
      <w:bodyDiv w:val="1"/>
      <w:marLeft w:val="0"/>
      <w:marRight w:val="0"/>
      <w:marTop w:val="0"/>
      <w:marBottom w:val="0"/>
      <w:divBdr>
        <w:top w:val="none" w:sz="0" w:space="0" w:color="auto"/>
        <w:left w:val="none" w:sz="0" w:space="0" w:color="auto"/>
        <w:bottom w:val="none" w:sz="0" w:space="0" w:color="auto"/>
        <w:right w:val="none" w:sz="0" w:space="0" w:color="auto"/>
      </w:divBdr>
    </w:div>
    <w:div w:id="1263298481">
      <w:bodyDiv w:val="1"/>
      <w:marLeft w:val="0"/>
      <w:marRight w:val="0"/>
      <w:marTop w:val="0"/>
      <w:marBottom w:val="0"/>
      <w:divBdr>
        <w:top w:val="none" w:sz="0" w:space="0" w:color="auto"/>
        <w:left w:val="none" w:sz="0" w:space="0" w:color="auto"/>
        <w:bottom w:val="none" w:sz="0" w:space="0" w:color="auto"/>
        <w:right w:val="none" w:sz="0" w:space="0" w:color="auto"/>
      </w:divBdr>
    </w:div>
    <w:div w:id="1269198772">
      <w:bodyDiv w:val="1"/>
      <w:marLeft w:val="0"/>
      <w:marRight w:val="0"/>
      <w:marTop w:val="0"/>
      <w:marBottom w:val="0"/>
      <w:divBdr>
        <w:top w:val="none" w:sz="0" w:space="0" w:color="auto"/>
        <w:left w:val="none" w:sz="0" w:space="0" w:color="auto"/>
        <w:bottom w:val="none" w:sz="0" w:space="0" w:color="auto"/>
        <w:right w:val="none" w:sz="0" w:space="0" w:color="auto"/>
      </w:divBdr>
    </w:div>
    <w:div w:id="1271207509">
      <w:bodyDiv w:val="1"/>
      <w:marLeft w:val="0"/>
      <w:marRight w:val="0"/>
      <w:marTop w:val="0"/>
      <w:marBottom w:val="0"/>
      <w:divBdr>
        <w:top w:val="none" w:sz="0" w:space="0" w:color="auto"/>
        <w:left w:val="none" w:sz="0" w:space="0" w:color="auto"/>
        <w:bottom w:val="none" w:sz="0" w:space="0" w:color="auto"/>
        <w:right w:val="none" w:sz="0" w:space="0" w:color="auto"/>
      </w:divBdr>
    </w:div>
    <w:div w:id="1280067179">
      <w:bodyDiv w:val="1"/>
      <w:marLeft w:val="0"/>
      <w:marRight w:val="0"/>
      <w:marTop w:val="0"/>
      <w:marBottom w:val="0"/>
      <w:divBdr>
        <w:top w:val="none" w:sz="0" w:space="0" w:color="auto"/>
        <w:left w:val="none" w:sz="0" w:space="0" w:color="auto"/>
        <w:bottom w:val="none" w:sz="0" w:space="0" w:color="auto"/>
        <w:right w:val="none" w:sz="0" w:space="0" w:color="auto"/>
      </w:divBdr>
    </w:div>
    <w:div w:id="1285187505">
      <w:bodyDiv w:val="1"/>
      <w:marLeft w:val="0"/>
      <w:marRight w:val="0"/>
      <w:marTop w:val="0"/>
      <w:marBottom w:val="0"/>
      <w:divBdr>
        <w:top w:val="none" w:sz="0" w:space="0" w:color="auto"/>
        <w:left w:val="none" w:sz="0" w:space="0" w:color="auto"/>
        <w:bottom w:val="none" w:sz="0" w:space="0" w:color="auto"/>
        <w:right w:val="none" w:sz="0" w:space="0" w:color="auto"/>
      </w:divBdr>
    </w:div>
    <w:div w:id="1316186340">
      <w:bodyDiv w:val="1"/>
      <w:marLeft w:val="0"/>
      <w:marRight w:val="0"/>
      <w:marTop w:val="0"/>
      <w:marBottom w:val="0"/>
      <w:divBdr>
        <w:top w:val="none" w:sz="0" w:space="0" w:color="auto"/>
        <w:left w:val="none" w:sz="0" w:space="0" w:color="auto"/>
        <w:bottom w:val="none" w:sz="0" w:space="0" w:color="auto"/>
        <w:right w:val="none" w:sz="0" w:space="0" w:color="auto"/>
      </w:divBdr>
    </w:div>
    <w:div w:id="1319072837">
      <w:bodyDiv w:val="1"/>
      <w:marLeft w:val="0"/>
      <w:marRight w:val="0"/>
      <w:marTop w:val="0"/>
      <w:marBottom w:val="0"/>
      <w:divBdr>
        <w:top w:val="none" w:sz="0" w:space="0" w:color="auto"/>
        <w:left w:val="none" w:sz="0" w:space="0" w:color="auto"/>
        <w:bottom w:val="none" w:sz="0" w:space="0" w:color="auto"/>
        <w:right w:val="none" w:sz="0" w:space="0" w:color="auto"/>
      </w:divBdr>
      <w:divsChild>
        <w:div w:id="728110279">
          <w:marLeft w:val="0"/>
          <w:marRight w:val="0"/>
          <w:marTop w:val="0"/>
          <w:marBottom w:val="0"/>
          <w:divBdr>
            <w:top w:val="none" w:sz="0" w:space="0" w:color="auto"/>
            <w:left w:val="none" w:sz="0" w:space="0" w:color="auto"/>
            <w:bottom w:val="none" w:sz="0" w:space="0" w:color="auto"/>
            <w:right w:val="none" w:sz="0" w:space="0" w:color="auto"/>
          </w:divBdr>
          <w:divsChild>
            <w:div w:id="1542282584">
              <w:marLeft w:val="0"/>
              <w:marRight w:val="0"/>
              <w:marTop w:val="30"/>
              <w:marBottom w:val="30"/>
              <w:divBdr>
                <w:top w:val="none" w:sz="0" w:space="0" w:color="auto"/>
                <w:left w:val="none" w:sz="0" w:space="0" w:color="auto"/>
                <w:bottom w:val="none" w:sz="0" w:space="0" w:color="auto"/>
                <w:right w:val="none" w:sz="0" w:space="0" w:color="auto"/>
              </w:divBdr>
              <w:divsChild>
                <w:div w:id="1201993">
                  <w:marLeft w:val="0"/>
                  <w:marRight w:val="0"/>
                  <w:marTop w:val="0"/>
                  <w:marBottom w:val="0"/>
                  <w:divBdr>
                    <w:top w:val="none" w:sz="0" w:space="0" w:color="auto"/>
                    <w:left w:val="none" w:sz="0" w:space="0" w:color="auto"/>
                    <w:bottom w:val="none" w:sz="0" w:space="0" w:color="auto"/>
                    <w:right w:val="none" w:sz="0" w:space="0" w:color="auto"/>
                  </w:divBdr>
                  <w:divsChild>
                    <w:div w:id="1751653721">
                      <w:marLeft w:val="0"/>
                      <w:marRight w:val="0"/>
                      <w:marTop w:val="0"/>
                      <w:marBottom w:val="0"/>
                      <w:divBdr>
                        <w:top w:val="none" w:sz="0" w:space="0" w:color="auto"/>
                        <w:left w:val="none" w:sz="0" w:space="0" w:color="auto"/>
                        <w:bottom w:val="none" w:sz="0" w:space="0" w:color="auto"/>
                        <w:right w:val="none" w:sz="0" w:space="0" w:color="auto"/>
                      </w:divBdr>
                    </w:div>
                  </w:divsChild>
                </w:div>
                <w:div w:id="12150610">
                  <w:marLeft w:val="0"/>
                  <w:marRight w:val="0"/>
                  <w:marTop w:val="0"/>
                  <w:marBottom w:val="0"/>
                  <w:divBdr>
                    <w:top w:val="none" w:sz="0" w:space="0" w:color="auto"/>
                    <w:left w:val="none" w:sz="0" w:space="0" w:color="auto"/>
                    <w:bottom w:val="none" w:sz="0" w:space="0" w:color="auto"/>
                    <w:right w:val="none" w:sz="0" w:space="0" w:color="auto"/>
                  </w:divBdr>
                  <w:divsChild>
                    <w:div w:id="632904573">
                      <w:marLeft w:val="0"/>
                      <w:marRight w:val="0"/>
                      <w:marTop w:val="0"/>
                      <w:marBottom w:val="0"/>
                      <w:divBdr>
                        <w:top w:val="none" w:sz="0" w:space="0" w:color="auto"/>
                        <w:left w:val="none" w:sz="0" w:space="0" w:color="auto"/>
                        <w:bottom w:val="none" w:sz="0" w:space="0" w:color="auto"/>
                        <w:right w:val="none" w:sz="0" w:space="0" w:color="auto"/>
                      </w:divBdr>
                    </w:div>
                  </w:divsChild>
                </w:div>
                <w:div w:id="19091779">
                  <w:marLeft w:val="0"/>
                  <w:marRight w:val="0"/>
                  <w:marTop w:val="0"/>
                  <w:marBottom w:val="0"/>
                  <w:divBdr>
                    <w:top w:val="none" w:sz="0" w:space="0" w:color="auto"/>
                    <w:left w:val="none" w:sz="0" w:space="0" w:color="auto"/>
                    <w:bottom w:val="none" w:sz="0" w:space="0" w:color="auto"/>
                    <w:right w:val="none" w:sz="0" w:space="0" w:color="auto"/>
                  </w:divBdr>
                  <w:divsChild>
                    <w:div w:id="1692098390">
                      <w:marLeft w:val="0"/>
                      <w:marRight w:val="0"/>
                      <w:marTop w:val="0"/>
                      <w:marBottom w:val="0"/>
                      <w:divBdr>
                        <w:top w:val="none" w:sz="0" w:space="0" w:color="auto"/>
                        <w:left w:val="none" w:sz="0" w:space="0" w:color="auto"/>
                        <w:bottom w:val="none" w:sz="0" w:space="0" w:color="auto"/>
                        <w:right w:val="none" w:sz="0" w:space="0" w:color="auto"/>
                      </w:divBdr>
                    </w:div>
                  </w:divsChild>
                </w:div>
                <w:div w:id="40250121">
                  <w:marLeft w:val="0"/>
                  <w:marRight w:val="0"/>
                  <w:marTop w:val="0"/>
                  <w:marBottom w:val="0"/>
                  <w:divBdr>
                    <w:top w:val="none" w:sz="0" w:space="0" w:color="auto"/>
                    <w:left w:val="none" w:sz="0" w:space="0" w:color="auto"/>
                    <w:bottom w:val="none" w:sz="0" w:space="0" w:color="auto"/>
                    <w:right w:val="none" w:sz="0" w:space="0" w:color="auto"/>
                  </w:divBdr>
                  <w:divsChild>
                    <w:div w:id="824396735">
                      <w:marLeft w:val="0"/>
                      <w:marRight w:val="0"/>
                      <w:marTop w:val="0"/>
                      <w:marBottom w:val="0"/>
                      <w:divBdr>
                        <w:top w:val="none" w:sz="0" w:space="0" w:color="auto"/>
                        <w:left w:val="none" w:sz="0" w:space="0" w:color="auto"/>
                        <w:bottom w:val="none" w:sz="0" w:space="0" w:color="auto"/>
                        <w:right w:val="none" w:sz="0" w:space="0" w:color="auto"/>
                      </w:divBdr>
                    </w:div>
                  </w:divsChild>
                </w:div>
                <w:div w:id="52705664">
                  <w:marLeft w:val="0"/>
                  <w:marRight w:val="0"/>
                  <w:marTop w:val="0"/>
                  <w:marBottom w:val="0"/>
                  <w:divBdr>
                    <w:top w:val="none" w:sz="0" w:space="0" w:color="auto"/>
                    <w:left w:val="none" w:sz="0" w:space="0" w:color="auto"/>
                    <w:bottom w:val="none" w:sz="0" w:space="0" w:color="auto"/>
                    <w:right w:val="none" w:sz="0" w:space="0" w:color="auto"/>
                  </w:divBdr>
                  <w:divsChild>
                    <w:div w:id="429393410">
                      <w:marLeft w:val="0"/>
                      <w:marRight w:val="0"/>
                      <w:marTop w:val="0"/>
                      <w:marBottom w:val="0"/>
                      <w:divBdr>
                        <w:top w:val="none" w:sz="0" w:space="0" w:color="auto"/>
                        <w:left w:val="none" w:sz="0" w:space="0" w:color="auto"/>
                        <w:bottom w:val="none" w:sz="0" w:space="0" w:color="auto"/>
                        <w:right w:val="none" w:sz="0" w:space="0" w:color="auto"/>
                      </w:divBdr>
                    </w:div>
                  </w:divsChild>
                </w:div>
                <w:div w:id="53436028">
                  <w:marLeft w:val="0"/>
                  <w:marRight w:val="0"/>
                  <w:marTop w:val="0"/>
                  <w:marBottom w:val="0"/>
                  <w:divBdr>
                    <w:top w:val="none" w:sz="0" w:space="0" w:color="auto"/>
                    <w:left w:val="none" w:sz="0" w:space="0" w:color="auto"/>
                    <w:bottom w:val="none" w:sz="0" w:space="0" w:color="auto"/>
                    <w:right w:val="none" w:sz="0" w:space="0" w:color="auto"/>
                  </w:divBdr>
                  <w:divsChild>
                    <w:div w:id="474881073">
                      <w:marLeft w:val="0"/>
                      <w:marRight w:val="0"/>
                      <w:marTop w:val="0"/>
                      <w:marBottom w:val="0"/>
                      <w:divBdr>
                        <w:top w:val="none" w:sz="0" w:space="0" w:color="auto"/>
                        <w:left w:val="none" w:sz="0" w:space="0" w:color="auto"/>
                        <w:bottom w:val="none" w:sz="0" w:space="0" w:color="auto"/>
                        <w:right w:val="none" w:sz="0" w:space="0" w:color="auto"/>
                      </w:divBdr>
                    </w:div>
                  </w:divsChild>
                </w:div>
                <w:div w:id="60254515">
                  <w:marLeft w:val="0"/>
                  <w:marRight w:val="0"/>
                  <w:marTop w:val="0"/>
                  <w:marBottom w:val="0"/>
                  <w:divBdr>
                    <w:top w:val="none" w:sz="0" w:space="0" w:color="auto"/>
                    <w:left w:val="none" w:sz="0" w:space="0" w:color="auto"/>
                    <w:bottom w:val="none" w:sz="0" w:space="0" w:color="auto"/>
                    <w:right w:val="none" w:sz="0" w:space="0" w:color="auto"/>
                  </w:divBdr>
                  <w:divsChild>
                    <w:div w:id="1623656529">
                      <w:marLeft w:val="0"/>
                      <w:marRight w:val="0"/>
                      <w:marTop w:val="0"/>
                      <w:marBottom w:val="0"/>
                      <w:divBdr>
                        <w:top w:val="none" w:sz="0" w:space="0" w:color="auto"/>
                        <w:left w:val="none" w:sz="0" w:space="0" w:color="auto"/>
                        <w:bottom w:val="none" w:sz="0" w:space="0" w:color="auto"/>
                        <w:right w:val="none" w:sz="0" w:space="0" w:color="auto"/>
                      </w:divBdr>
                    </w:div>
                  </w:divsChild>
                </w:div>
                <w:div w:id="67925334">
                  <w:marLeft w:val="0"/>
                  <w:marRight w:val="0"/>
                  <w:marTop w:val="0"/>
                  <w:marBottom w:val="0"/>
                  <w:divBdr>
                    <w:top w:val="none" w:sz="0" w:space="0" w:color="auto"/>
                    <w:left w:val="none" w:sz="0" w:space="0" w:color="auto"/>
                    <w:bottom w:val="none" w:sz="0" w:space="0" w:color="auto"/>
                    <w:right w:val="none" w:sz="0" w:space="0" w:color="auto"/>
                  </w:divBdr>
                  <w:divsChild>
                    <w:div w:id="1591505474">
                      <w:marLeft w:val="0"/>
                      <w:marRight w:val="0"/>
                      <w:marTop w:val="0"/>
                      <w:marBottom w:val="0"/>
                      <w:divBdr>
                        <w:top w:val="none" w:sz="0" w:space="0" w:color="auto"/>
                        <w:left w:val="none" w:sz="0" w:space="0" w:color="auto"/>
                        <w:bottom w:val="none" w:sz="0" w:space="0" w:color="auto"/>
                        <w:right w:val="none" w:sz="0" w:space="0" w:color="auto"/>
                      </w:divBdr>
                    </w:div>
                  </w:divsChild>
                </w:div>
                <w:div w:id="78714730">
                  <w:marLeft w:val="0"/>
                  <w:marRight w:val="0"/>
                  <w:marTop w:val="0"/>
                  <w:marBottom w:val="0"/>
                  <w:divBdr>
                    <w:top w:val="none" w:sz="0" w:space="0" w:color="auto"/>
                    <w:left w:val="none" w:sz="0" w:space="0" w:color="auto"/>
                    <w:bottom w:val="none" w:sz="0" w:space="0" w:color="auto"/>
                    <w:right w:val="none" w:sz="0" w:space="0" w:color="auto"/>
                  </w:divBdr>
                  <w:divsChild>
                    <w:div w:id="1703819775">
                      <w:marLeft w:val="0"/>
                      <w:marRight w:val="0"/>
                      <w:marTop w:val="0"/>
                      <w:marBottom w:val="0"/>
                      <w:divBdr>
                        <w:top w:val="none" w:sz="0" w:space="0" w:color="auto"/>
                        <w:left w:val="none" w:sz="0" w:space="0" w:color="auto"/>
                        <w:bottom w:val="none" w:sz="0" w:space="0" w:color="auto"/>
                        <w:right w:val="none" w:sz="0" w:space="0" w:color="auto"/>
                      </w:divBdr>
                    </w:div>
                  </w:divsChild>
                </w:div>
                <w:div w:id="79910937">
                  <w:marLeft w:val="0"/>
                  <w:marRight w:val="0"/>
                  <w:marTop w:val="0"/>
                  <w:marBottom w:val="0"/>
                  <w:divBdr>
                    <w:top w:val="none" w:sz="0" w:space="0" w:color="auto"/>
                    <w:left w:val="none" w:sz="0" w:space="0" w:color="auto"/>
                    <w:bottom w:val="none" w:sz="0" w:space="0" w:color="auto"/>
                    <w:right w:val="none" w:sz="0" w:space="0" w:color="auto"/>
                  </w:divBdr>
                  <w:divsChild>
                    <w:div w:id="601227701">
                      <w:marLeft w:val="0"/>
                      <w:marRight w:val="0"/>
                      <w:marTop w:val="0"/>
                      <w:marBottom w:val="0"/>
                      <w:divBdr>
                        <w:top w:val="none" w:sz="0" w:space="0" w:color="auto"/>
                        <w:left w:val="none" w:sz="0" w:space="0" w:color="auto"/>
                        <w:bottom w:val="none" w:sz="0" w:space="0" w:color="auto"/>
                        <w:right w:val="none" w:sz="0" w:space="0" w:color="auto"/>
                      </w:divBdr>
                    </w:div>
                  </w:divsChild>
                </w:div>
                <w:div w:id="99765383">
                  <w:marLeft w:val="0"/>
                  <w:marRight w:val="0"/>
                  <w:marTop w:val="0"/>
                  <w:marBottom w:val="0"/>
                  <w:divBdr>
                    <w:top w:val="none" w:sz="0" w:space="0" w:color="auto"/>
                    <w:left w:val="none" w:sz="0" w:space="0" w:color="auto"/>
                    <w:bottom w:val="none" w:sz="0" w:space="0" w:color="auto"/>
                    <w:right w:val="none" w:sz="0" w:space="0" w:color="auto"/>
                  </w:divBdr>
                  <w:divsChild>
                    <w:div w:id="468478620">
                      <w:marLeft w:val="0"/>
                      <w:marRight w:val="0"/>
                      <w:marTop w:val="0"/>
                      <w:marBottom w:val="0"/>
                      <w:divBdr>
                        <w:top w:val="none" w:sz="0" w:space="0" w:color="auto"/>
                        <w:left w:val="none" w:sz="0" w:space="0" w:color="auto"/>
                        <w:bottom w:val="none" w:sz="0" w:space="0" w:color="auto"/>
                        <w:right w:val="none" w:sz="0" w:space="0" w:color="auto"/>
                      </w:divBdr>
                    </w:div>
                  </w:divsChild>
                </w:div>
                <w:div w:id="106435269">
                  <w:marLeft w:val="0"/>
                  <w:marRight w:val="0"/>
                  <w:marTop w:val="0"/>
                  <w:marBottom w:val="0"/>
                  <w:divBdr>
                    <w:top w:val="none" w:sz="0" w:space="0" w:color="auto"/>
                    <w:left w:val="none" w:sz="0" w:space="0" w:color="auto"/>
                    <w:bottom w:val="none" w:sz="0" w:space="0" w:color="auto"/>
                    <w:right w:val="none" w:sz="0" w:space="0" w:color="auto"/>
                  </w:divBdr>
                  <w:divsChild>
                    <w:div w:id="606473173">
                      <w:marLeft w:val="0"/>
                      <w:marRight w:val="0"/>
                      <w:marTop w:val="0"/>
                      <w:marBottom w:val="0"/>
                      <w:divBdr>
                        <w:top w:val="none" w:sz="0" w:space="0" w:color="auto"/>
                        <w:left w:val="none" w:sz="0" w:space="0" w:color="auto"/>
                        <w:bottom w:val="none" w:sz="0" w:space="0" w:color="auto"/>
                        <w:right w:val="none" w:sz="0" w:space="0" w:color="auto"/>
                      </w:divBdr>
                    </w:div>
                  </w:divsChild>
                </w:div>
                <w:div w:id="115373120">
                  <w:marLeft w:val="0"/>
                  <w:marRight w:val="0"/>
                  <w:marTop w:val="0"/>
                  <w:marBottom w:val="0"/>
                  <w:divBdr>
                    <w:top w:val="none" w:sz="0" w:space="0" w:color="auto"/>
                    <w:left w:val="none" w:sz="0" w:space="0" w:color="auto"/>
                    <w:bottom w:val="none" w:sz="0" w:space="0" w:color="auto"/>
                    <w:right w:val="none" w:sz="0" w:space="0" w:color="auto"/>
                  </w:divBdr>
                  <w:divsChild>
                    <w:div w:id="438527323">
                      <w:marLeft w:val="0"/>
                      <w:marRight w:val="0"/>
                      <w:marTop w:val="0"/>
                      <w:marBottom w:val="0"/>
                      <w:divBdr>
                        <w:top w:val="none" w:sz="0" w:space="0" w:color="auto"/>
                        <w:left w:val="none" w:sz="0" w:space="0" w:color="auto"/>
                        <w:bottom w:val="none" w:sz="0" w:space="0" w:color="auto"/>
                        <w:right w:val="none" w:sz="0" w:space="0" w:color="auto"/>
                      </w:divBdr>
                    </w:div>
                  </w:divsChild>
                </w:div>
                <w:div w:id="119032677">
                  <w:marLeft w:val="0"/>
                  <w:marRight w:val="0"/>
                  <w:marTop w:val="0"/>
                  <w:marBottom w:val="0"/>
                  <w:divBdr>
                    <w:top w:val="none" w:sz="0" w:space="0" w:color="auto"/>
                    <w:left w:val="none" w:sz="0" w:space="0" w:color="auto"/>
                    <w:bottom w:val="none" w:sz="0" w:space="0" w:color="auto"/>
                    <w:right w:val="none" w:sz="0" w:space="0" w:color="auto"/>
                  </w:divBdr>
                  <w:divsChild>
                    <w:div w:id="1422021708">
                      <w:marLeft w:val="0"/>
                      <w:marRight w:val="0"/>
                      <w:marTop w:val="0"/>
                      <w:marBottom w:val="0"/>
                      <w:divBdr>
                        <w:top w:val="none" w:sz="0" w:space="0" w:color="auto"/>
                        <w:left w:val="none" w:sz="0" w:space="0" w:color="auto"/>
                        <w:bottom w:val="none" w:sz="0" w:space="0" w:color="auto"/>
                        <w:right w:val="none" w:sz="0" w:space="0" w:color="auto"/>
                      </w:divBdr>
                    </w:div>
                  </w:divsChild>
                </w:div>
                <w:div w:id="120730586">
                  <w:marLeft w:val="0"/>
                  <w:marRight w:val="0"/>
                  <w:marTop w:val="0"/>
                  <w:marBottom w:val="0"/>
                  <w:divBdr>
                    <w:top w:val="none" w:sz="0" w:space="0" w:color="auto"/>
                    <w:left w:val="none" w:sz="0" w:space="0" w:color="auto"/>
                    <w:bottom w:val="none" w:sz="0" w:space="0" w:color="auto"/>
                    <w:right w:val="none" w:sz="0" w:space="0" w:color="auto"/>
                  </w:divBdr>
                  <w:divsChild>
                    <w:div w:id="758670927">
                      <w:marLeft w:val="0"/>
                      <w:marRight w:val="0"/>
                      <w:marTop w:val="0"/>
                      <w:marBottom w:val="0"/>
                      <w:divBdr>
                        <w:top w:val="none" w:sz="0" w:space="0" w:color="auto"/>
                        <w:left w:val="none" w:sz="0" w:space="0" w:color="auto"/>
                        <w:bottom w:val="none" w:sz="0" w:space="0" w:color="auto"/>
                        <w:right w:val="none" w:sz="0" w:space="0" w:color="auto"/>
                      </w:divBdr>
                    </w:div>
                  </w:divsChild>
                </w:div>
                <w:div w:id="122820022">
                  <w:marLeft w:val="0"/>
                  <w:marRight w:val="0"/>
                  <w:marTop w:val="0"/>
                  <w:marBottom w:val="0"/>
                  <w:divBdr>
                    <w:top w:val="none" w:sz="0" w:space="0" w:color="auto"/>
                    <w:left w:val="none" w:sz="0" w:space="0" w:color="auto"/>
                    <w:bottom w:val="none" w:sz="0" w:space="0" w:color="auto"/>
                    <w:right w:val="none" w:sz="0" w:space="0" w:color="auto"/>
                  </w:divBdr>
                  <w:divsChild>
                    <w:div w:id="2007434567">
                      <w:marLeft w:val="0"/>
                      <w:marRight w:val="0"/>
                      <w:marTop w:val="0"/>
                      <w:marBottom w:val="0"/>
                      <w:divBdr>
                        <w:top w:val="none" w:sz="0" w:space="0" w:color="auto"/>
                        <w:left w:val="none" w:sz="0" w:space="0" w:color="auto"/>
                        <w:bottom w:val="none" w:sz="0" w:space="0" w:color="auto"/>
                        <w:right w:val="none" w:sz="0" w:space="0" w:color="auto"/>
                      </w:divBdr>
                    </w:div>
                  </w:divsChild>
                </w:div>
                <w:div w:id="124084399">
                  <w:marLeft w:val="0"/>
                  <w:marRight w:val="0"/>
                  <w:marTop w:val="0"/>
                  <w:marBottom w:val="0"/>
                  <w:divBdr>
                    <w:top w:val="none" w:sz="0" w:space="0" w:color="auto"/>
                    <w:left w:val="none" w:sz="0" w:space="0" w:color="auto"/>
                    <w:bottom w:val="none" w:sz="0" w:space="0" w:color="auto"/>
                    <w:right w:val="none" w:sz="0" w:space="0" w:color="auto"/>
                  </w:divBdr>
                  <w:divsChild>
                    <w:div w:id="564872861">
                      <w:marLeft w:val="0"/>
                      <w:marRight w:val="0"/>
                      <w:marTop w:val="0"/>
                      <w:marBottom w:val="0"/>
                      <w:divBdr>
                        <w:top w:val="none" w:sz="0" w:space="0" w:color="auto"/>
                        <w:left w:val="none" w:sz="0" w:space="0" w:color="auto"/>
                        <w:bottom w:val="none" w:sz="0" w:space="0" w:color="auto"/>
                        <w:right w:val="none" w:sz="0" w:space="0" w:color="auto"/>
                      </w:divBdr>
                    </w:div>
                  </w:divsChild>
                </w:div>
                <w:div w:id="155800787">
                  <w:marLeft w:val="0"/>
                  <w:marRight w:val="0"/>
                  <w:marTop w:val="0"/>
                  <w:marBottom w:val="0"/>
                  <w:divBdr>
                    <w:top w:val="none" w:sz="0" w:space="0" w:color="auto"/>
                    <w:left w:val="none" w:sz="0" w:space="0" w:color="auto"/>
                    <w:bottom w:val="none" w:sz="0" w:space="0" w:color="auto"/>
                    <w:right w:val="none" w:sz="0" w:space="0" w:color="auto"/>
                  </w:divBdr>
                  <w:divsChild>
                    <w:div w:id="488715655">
                      <w:marLeft w:val="0"/>
                      <w:marRight w:val="0"/>
                      <w:marTop w:val="0"/>
                      <w:marBottom w:val="0"/>
                      <w:divBdr>
                        <w:top w:val="none" w:sz="0" w:space="0" w:color="auto"/>
                        <w:left w:val="none" w:sz="0" w:space="0" w:color="auto"/>
                        <w:bottom w:val="none" w:sz="0" w:space="0" w:color="auto"/>
                        <w:right w:val="none" w:sz="0" w:space="0" w:color="auto"/>
                      </w:divBdr>
                    </w:div>
                  </w:divsChild>
                </w:div>
                <w:div w:id="156044618">
                  <w:marLeft w:val="0"/>
                  <w:marRight w:val="0"/>
                  <w:marTop w:val="0"/>
                  <w:marBottom w:val="0"/>
                  <w:divBdr>
                    <w:top w:val="none" w:sz="0" w:space="0" w:color="auto"/>
                    <w:left w:val="none" w:sz="0" w:space="0" w:color="auto"/>
                    <w:bottom w:val="none" w:sz="0" w:space="0" w:color="auto"/>
                    <w:right w:val="none" w:sz="0" w:space="0" w:color="auto"/>
                  </w:divBdr>
                  <w:divsChild>
                    <w:div w:id="1827820700">
                      <w:marLeft w:val="0"/>
                      <w:marRight w:val="0"/>
                      <w:marTop w:val="0"/>
                      <w:marBottom w:val="0"/>
                      <w:divBdr>
                        <w:top w:val="none" w:sz="0" w:space="0" w:color="auto"/>
                        <w:left w:val="none" w:sz="0" w:space="0" w:color="auto"/>
                        <w:bottom w:val="none" w:sz="0" w:space="0" w:color="auto"/>
                        <w:right w:val="none" w:sz="0" w:space="0" w:color="auto"/>
                      </w:divBdr>
                    </w:div>
                  </w:divsChild>
                </w:div>
                <w:div w:id="158273821">
                  <w:marLeft w:val="0"/>
                  <w:marRight w:val="0"/>
                  <w:marTop w:val="0"/>
                  <w:marBottom w:val="0"/>
                  <w:divBdr>
                    <w:top w:val="none" w:sz="0" w:space="0" w:color="auto"/>
                    <w:left w:val="none" w:sz="0" w:space="0" w:color="auto"/>
                    <w:bottom w:val="none" w:sz="0" w:space="0" w:color="auto"/>
                    <w:right w:val="none" w:sz="0" w:space="0" w:color="auto"/>
                  </w:divBdr>
                  <w:divsChild>
                    <w:div w:id="1228148867">
                      <w:marLeft w:val="0"/>
                      <w:marRight w:val="0"/>
                      <w:marTop w:val="0"/>
                      <w:marBottom w:val="0"/>
                      <w:divBdr>
                        <w:top w:val="none" w:sz="0" w:space="0" w:color="auto"/>
                        <w:left w:val="none" w:sz="0" w:space="0" w:color="auto"/>
                        <w:bottom w:val="none" w:sz="0" w:space="0" w:color="auto"/>
                        <w:right w:val="none" w:sz="0" w:space="0" w:color="auto"/>
                      </w:divBdr>
                    </w:div>
                  </w:divsChild>
                </w:div>
                <w:div w:id="158427487">
                  <w:marLeft w:val="0"/>
                  <w:marRight w:val="0"/>
                  <w:marTop w:val="0"/>
                  <w:marBottom w:val="0"/>
                  <w:divBdr>
                    <w:top w:val="none" w:sz="0" w:space="0" w:color="auto"/>
                    <w:left w:val="none" w:sz="0" w:space="0" w:color="auto"/>
                    <w:bottom w:val="none" w:sz="0" w:space="0" w:color="auto"/>
                    <w:right w:val="none" w:sz="0" w:space="0" w:color="auto"/>
                  </w:divBdr>
                  <w:divsChild>
                    <w:div w:id="870411575">
                      <w:marLeft w:val="0"/>
                      <w:marRight w:val="0"/>
                      <w:marTop w:val="0"/>
                      <w:marBottom w:val="0"/>
                      <w:divBdr>
                        <w:top w:val="none" w:sz="0" w:space="0" w:color="auto"/>
                        <w:left w:val="none" w:sz="0" w:space="0" w:color="auto"/>
                        <w:bottom w:val="none" w:sz="0" w:space="0" w:color="auto"/>
                        <w:right w:val="none" w:sz="0" w:space="0" w:color="auto"/>
                      </w:divBdr>
                    </w:div>
                  </w:divsChild>
                </w:div>
                <w:div w:id="161049428">
                  <w:marLeft w:val="0"/>
                  <w:marRight w:val="0"/>
                  <w:marTop w:val="0"/>
                  <w:marBottom w:val="0"/>
                  <w:divBdr>
                    <w:top w:val="none" w:sz="0" w:space="0" w:color="auto"/>
                    <w:left w:val="none" w:sz="0" w:space="0" w:color="auto"/>
                    <w:bottom w:val="none" w:sz="0" w:space="0" w:color="auto"/>
                    <w:right w:val="none" w:sz="0" w:space="0" w:color="auto"/>
                  </w:divBdr>
                  <w:divsChild>
                    <w:div w:id="113447497">
                      <w:marLeft w:val="0"/>
                      <w:marRight w:val="0"/>
                      <w:marTop w:val="0"/>
                      <w:marBottom w:val="0"/>
                      <w:divBdr>
                        <w:top w:val="none" w:sz="0" w:space="0" w:color="auto"/>
                        <w:left w:val="none" w:sz="0" w:space="0" w:color="auto"/>
                        <w:bottom w:val="none" w:sz="0" w:space="0" w:color="auto"/>
                        <w:right w:val="none" w:sz="0" w:space="0" w:color="auto"/>
                      </w:divBdr>
                    </w:div>
                  </w:divsChild>
                </w:div>
                <w:div w:id="164174544">
                  <w:marLeft w:val="0"/>
                  <w:marRight w:val="0"/>
                  <w:marTop w:val="0"/>
                  <w:marBottom w:val="0"/>
                  <w:divBdr>
                    <w:top w:val="none" w:sz="0" w:space="0" w:color="auto"/>
                    <w:left w:val="none" w:sz="0" w:space="0" w:color="auto"/>
                    <w:bottom w:val="none" w:sz="0" w:space="0" w:color="auto"/>
                    <w:right w:val="none" w:sz="0" w:space="0" w:color="auto"/>
                  </w:divBdr>
                  <w:divsChild>
                    <w:div w:id="1419866867">
                      <w:marLeft w:val="0"/>
                      <w:marRight w:val="0"/>
                      <w:marTop w:val="0"/>
                      <w:marBottom w:val="0"/>
                      <w:divBdr>
                        <w:top w:val="none" w:sz="0" w:space="0" w:color="auto"/>
                        <w:left w:val="none" w:sz="0" w:space="0" w:color="auto"/>
                        <w:bottom w:val="none" w:sz="0" w:space="0" w:color="auto"/>
                        <w:right w:val="none" w:sz="0" w:space="0" w:color="auto"/>
                      </w:divBdr>
                    </w:div>
                  </w:divsChild>
                </w:div>
                <w:div w:id="168057289">
                  <w:marLeft w:val="0"/>
                  <w:marRight w:val="0"/>
                  <w:marTop w:val="0"/>
                  <w:marBottom w:val="0"/>
                  <w:divBdr>
                    <w:top w:val="none" w:sz="0" w:space="0" w:color="auto"/>
                    <w:left w:val="none" w:sz="0" w:space="0" w:color="auto"/>
                    <w:bottom w:val="none" w:sz="0" w:space="0" w:color="auto"/>
                    <w:right w:val="none" w:sz="0" w:space="0" w:color="auto"/>
                  </w:divBdr>
                  <w:divsChild>
                    <w:div w:id="1387025554">
                      <w:marLeft w:val="0"/>
                      <w:marRight w:val="0"/>
                      <w:marTop w:val="0"/>
                      <w:marBottom w:val="0"/>
                      <w:divBdr>
                        <w:top w:val="none" w:sz="0" w:space="0" w:color="auto"/>
                        <w:left w:val="none" w:sz="0" w:space="0" w:color="auto"/>
                        <w:bottom w:val="none" w:sz="0" w:space="0" w:color="auto"/>
                        <w:right w:val="none" w:sz="0" w:space="0" w:color="auto"/>
                      </w:divBdr>
                    </w:div>
                  </w:divsChild>
                </w:div>
                <w:div w:id="170222711">
                  <w:marLeft w:val="0"/>
                  <w:marRight w:val="0"/>
                  <w:marTop w:val="0"/>
                  <w:marBottom w:val="0"/>
                  <w:divBdr>
                    <w:top w:val="none" w:sz="0" w:space="0" w:color="auto"/>
                    <w:left w:val="none" w:sz="0" w:space="0" w:color="auto"/>
                    <w:bottom w:val="none" w:sz="0" w:space="0" w:color="auto"/>
                    <w:right w:val="none" w:sz="0" w:space="0" w:color="auto"/>
                  </w:divBdr>
                  <w:divsChild>
                    <w:div w:id="599752139">
                      <w:marLeft w:val="0"/>
                      <w:marRight w:val="0"/>
                      <w:marTop w:val="0"/>
                      <w:marBottom w:val="0"/>
                      <w:divBdr>
                        <w:top w:val="none" w:sz="0" w:space="0" w:color="auto"/>
                        <w:left w:val="none" w:sz="0" w:space="0" w:color="auto"/>
                        <w:bottom w:val="none" w:sz="0" w:space="0" w:color="auto"/>
                        <w:right w:val="none" w:sz="0" w:space="0" w:color="auto"/>
                      </w:divBdr>
                    </w:div>
                  </w:divsChild>
                </w:div>
                <w:div w:id="176508240">
                  <w:marLeft w:val="0"/>
                  <w:marRight w:val="0"/>
                  <w:marTop w:val="0"/>
                  <w:marBottom w:val="0"/>
                  <w:divBdr>
                    <w:top w:val="none" w:sz="0" w:space="0" w:color="auto"/>
                    <w:left w:val="none" w:sz="0" w:space="0" w:color="auto"/>
                    <w:bottom w:val="none" w:sz="0" w:space="0" w:color="auto"/>
                    <w:right w:val="none" w:sz="0" w:space="0" w:color="auto"/>
                  </w:divBdr>
                  <w:divsChild>
                    <w:div w:id="219286235">
                      <w:marLeft w:val="0"/>
                      <w:marRight w:val="0"/>
                      <w:marTop w:val="0"/>
                      <w:marBottom w:val="0"/>
                      <w:divBdr>
                        <w:top w:val="none" w:sz="0" w:space="0" w:color="auto"/>
                        <w:left w:val="none" w:sz="0" w:space="0" w:color="auto"/>
                        <w:bottom w:val="none" w:sz="0" w:space="0" w:color="auto"/>
                        <w:right w:val="none" w:sz="0" w:space="0" w:color="auto"/>
                      </w:divBdr>
                    </w:div>
                  </w:divsChild>
                </w:div>
                <w:div w:id="185676197">
                  <w:marLeft w:val="0"/>
                  <w:marRight w:val="0"/>
                  <w:marTop w:val="0"/>
                  <w:marBottom w:val="0"/>
                  <w:divBdr>
                    <w:top w:val="none" w:sz="0" w:space="0" w:color="auto"/>
                    <w:left w:val="none" w:sz="0" w:space="0" w:color="auto"/>
                    <w:bottom w:val="none" w:sz="0" w:space="0" w:color="auto"/>
                    <w:right w:val="none" w:sz="0" w:space="0" w:color="auto"/>
                  </w:divBdr>
                  <w:divsChild>
                    <w:div w:id="167451250">
                      <w:marLeft w:val="0"/>
                      <w:marRight w:val="0"/>
                      <w:marTop w:val="0"/>
                      <w:marBottom w:val="0"/>
                      <w:divBdr>
                        <w:top w:val="none" w:sz="0" w:space="0" w:color="auto"/>
                        <w:left w:val="none" w:sz="0" w:space="0" w:color="auto"/>
                        <w:bottom w:val="none" w:sz="0" w:space="0" w:color="auto"/>
                        <w:right w:val="none" w:sz="0" w:space="0" w:color="auto"/>
                      </w:divBdr>
                    </w:div>
                  </w:divsChild>
                </w:div>
                <w:div w:id="194735943">
                  <w:marLeft w:val="0"/>
                  <w:marRight w:val="0"/>
                  <w:marTop w:val="0"/>
                  <w:marBottom w:val="0"/>
                  <w:divBdr>
                    <w:top w:val="none" w:sz="0" w:space="0" w:color="auto"/>
                    <w:left w:val="none" w:sz="0" w:space="0" w:color="auto"/>
                    <w:bottom w:val="none" w:sz="0" w:space="0" w:color="auto"/>
                    <w:right w:val="none" w:sz="0" w:space="0" w:color="auto"/>
                  </w:divBdr>
                  <w:divsChild>
                    <w:div w:id="1478958686">
                      <w:marLeft w:val="0"/>
                      <w:marRight w:val="0"/>
                      <w:marTop w:val="0"/>
                      <w:marBottom w:val="0"/>
                      <w:divBdr>
                        <w:top w:val="none" w:sz="0" w:space="0" w:color="auto"/>
                        <w:left w:val="none" w:sz="0" w:space="0" w:color="auto"/>
                        <w:bottom w:val="none" w:sz="0" w:space="0" w:color="auto"/>
                        <w:right w:val="none" w:sz="0" w:space="0" w:color="auto"/>
                      </w:divBdr>
                    </w:div>
                  </w:divsChild>
                </w:div>
                <w:div w:id="198200491">
                  <w:marLeft w:val="0"/>
                  <w:marRight w:val="0"/>
                  <w:marTop w:val="0"/>
                  <w:marBottom w:val="0"/>
                  <w:divBdr>
                    <w:top w:val="none" w:sz="0" w:space="0" w:color="auto"/>
                    <w:left w:val="none" w:sz="0" w:space="0" w:color="auto"/>
                    <w:bottom w:val="none" w:sz="0" w:space="0" w:color="auto"/>
                    <w:right w:val="none" w:sz="0" w:space="0" w:color="auto"/>
                  </w:divBdr>
                  <w:divsChild>
                    <w:div w:id="1020861499">
                      <w:marLeft w:val="0"/>
                      <w:marRight w:val="0"/>
                      <w:marTop w:val="0"/>
                      <w:marBottom w:val="0"/>
                      <w:divBdr>
                        <w:top w:val="none" w:sz="0" w:space="0" w:color="auto"/>
                        <w:left w:val="none" w:sz="0" w:space="0" w:color="auto"/>
                        <w:bottom w:val="none" w:sz="0" w:space="0" w:color="auto"/>
                        <w:right w:val="none" w:sz="0" w:space="0" w:color="auto"/>
                      </w:divBdr>
                    </w:div>
                  </w:divsChild>
                </w:div>
                <w:div w:id="203492576">
                  <w:marLeft w:val="0"/>
                  <w:marRight w:val="0"/>
                  <w:marTop w:val="0"/>
                  <w:marBottom w:val="0"/>
                  <w:divBdr>
                    <w:top w:val="none" w:sz="0" w:space="0" w:color="auto"/>
                    <w:left w:val="none" w:sz="0" w:space="0" w:color="auto"/>
                    <w:bottom w:val="none" w:sz="0" w:space="0" w:color="auto"/>
                    <w:right w:val="none" w:sz="0" w:space="0" w:color="auto"/>
                  </w:divBdr>
                  <w:divsChild>
                    <w:div w:id="1437824702">
                      <w:marLeft w:val="0"/>
                      <w:marRight w:val="0"/>
                      <w:marTop w:val="0"/>
                      <w:marBottom w:val="0"/>
                      <w:divBdr>
                        <w:top w:val="none" w:sz="0" w:space="0" w:color="auto"/>
                        <w:left w:val="none" w:sz="0" w:space="0" w:color="auto"/>
                        <w:bottom w:val="none" w:sz="0" w:space="0" w:color="auto"/>
                        <w:right w:val="none" w:sz="0" w:space="0" w:color="auto"/>
                      </w:divBdr>
                    </w:div>
                  </w:divsChild>
                </w:div>
                <w:div w:id="210070106">
                  <w:marLeft w:val="0"/>
                  <w:marRight w:val="0"/>
                  <w:marTop w:val="0"/>
                  <w:marBottom w:val="0"/>
                  <w:divBdr>
                    <w:top w:val="none" w:sz="0" w:space="0" w:color="auto"/>
                    <w:left w:val="none" w:sz="0" w:space="0" w:color="auto"/>
                    <w:bottom w:val="none" w:sz="0" w:space="0" w:color="auto"/>
                    <w:right w:val="none" w:sz="0" w:space="0" w:color="auto"/>
                  </w:divBdr>
                  <w:divsChild>
                    <w:div w:id="1866019437">
                      <w:marLeft w:val="0"/>
                      <w:marRight w:val="0"/>
                      <w:marTop w:val="0"/>
                      <w:marBottom w:val="0"/>
                      <w:divBdr>
                        <w:top w:val="none" w:sz="0" w:space="0" w:color="auto"/>
                        <w:left w:val="none" w:sz="0" w:space="0" w:color="auto"/>
                        <w:bottom w:val="none" w:sz="0" w:space="0" w:color="auto"/>
                        <w:right w:val="none" w:sz="0" w:space="0" w:color="auto"/>
                      </w:divBdr>
                    </w:div>
                  </w:divsChild>
                </w:div>
                <w:div w:id="215625531">
                  <w:marLeft w:val="0"/>
                  <w:marRight w:val="0"/>
                  <w:marTop w:val="0"/>
                  <w:marBottom w:val="0"/>
                  <w:divBdr>
                    <w:top w:val="none" w:sz="0" w:space="0" w:color="auto"/>
                    <w:left w:val="none" w:sz="0" w:space="0" w:color="auto"/>
                    <w:bottom w:val="none" w:sz="0" w:space="0" w:color="auto"/>
                    <w:right w:val="none" w:sz="0" w:space="0" w:color="auto"/>
                  </w:divBdr>
                  <w:divsChild>
                    <w:div w:id="975257728">
                      <w:marLeft w:val="0"/>
                      <w:marRight w:val="0"/>
                      <w:marTop w:val="0"/>
                      <w:marBottom w:val="0"/>
                      <w:divBdr>
                        <w:top w:val="none" w:sz="0" w:space="0" w:color="auto"/>
                        <w:left w:val="none" w:sz="0" w:space="0" w:color="auto"/>
                        <w:bottom w:val="none" w:sz="0" w:space="0" w:color="auto"/>
                        <w:right w:val="none" w:sz="0" w:space="0" w:color="auto"/>
                      </w:divBdr>
                    </w:div>
                  </w:divsChild>
                </w:div>
                <w:div w:id="231239873">
                  <w:marLeft w:val="0"/>
                  <w:marRight w:val="0"/>
                  <w:marTop w:val="0"/>
                  <w:marBottom w:val="0"/>
                  <w:divBdr>
                    <w:top w:val="none" w:sz="0" w:space="0" w:color="auto"/>
                    <w:left w:val="none" w:sz="0" w:space="0" w:color="auto"/>
                    <w:bottom w:val="none" w:sz="0" w:space="0" w:color="auto"/>
                    <w:right w:val="none" w:sz="0" w:space="0" w:color="auto"/>
                  </w:divBdr>
                  <w:divsChild>
                    <w:div w:id="472212908">
                      <w:marLeft w:val="0"/>
                      <w:marRight w:val="0"/>
                      <w:marTop w:val="0"/>
                      <w:marBottom w:val="0"/>
                      <w:divBdr>
                        <w:top w:val="none" w:sz="0" w:space="0" w:color="auto"/>
                        <w:left w:val="none" w:sz="0" w:space="0" w:color="auto"/>
                        <w:bottom w:val="none" w:sz="0" w:space="0" w:color="auto"/>
                        <w:right w:val="none" w:sz="0" w:space="0" w:color="auto"/>
                      </w:divBdr>
                    </w:div>
                  </w:divsChild>
                </w:div>
                <w:div w:id="232087484">
                  <w:marLeft w:val="0"/>
                  <w:marRight w:val="0"/>
                  <w:marTop w:val="0"/>
                  <w:marBottom w:val="0"/>
                  <w:divBdr>
                    <w:top w:val="none" w:sz="0" w:space="0" w:color="auto"/>
                    <w:left w:val="none" w:sz="0" w:space="0" w:color="auto"/>
                    <w:bottom w:val="none" w:sz="0" w:space="0" w:color="auto"/>
                    <w:right w:val="none" w:sz="0" w:space="0" w:color="auto"/>
                  </w:divBdr>
                  <w:divsChild>
                    <w:div w:id="901019293">
                      <w:marLeft w:val="0"/>
                      <w:marRight w:val="0"/>
                      <w:marTop w:val="0"/>
                      <w:marBottom w:val="0"/>
                      <w:divBdr>
                        <w:top w:val="none" w:sz="0" w:space="0" w:color="auto"/>
                        <w:left w:val="none" w:sz="0" w:space="0" w:color="auto"/>
                        <w:bottom w:val="none" w:sz="0" w:space="0" w:color="auto"/>
                        <w:right w:val="none" w:sz="0" w:space="0" w:color="auto"/>
                      </w:divBdr>
                    </w:div>
                  </w:divsChild>
                </w:div>
                <w:div w:id="232396639">
                  <w:marLeft w:val="0"/>
                  <w:marRight w:val="0"/>
                  <w:marTop w:val="0"/>
                  <w:marBottom w:val="0"/>
                  <w:divBdr>
                    <w:top w:val="none" w:sz="0" w:space="0" w:color="auto"/>
                    <w:left w:val="none" w:sz="0" w:space="0" w:color="auto"/>
                    <w:bottom w:val="none" w:sz="0" w:space="0" w:color="auto"/>
                    <w:right w:val="none" w:sz="0" w:space="0" w:color="auto"/>
                  </w:divBdr>
                  <w:divsChild>
                    <w:div w:id="1409576257">
                      <w:marLeft w:val="0"/>
                      <w:marRight w:val="0"/>
                      <w:marTop w:val="0"/>
                      <w:marBottom w:val="0"/>
                      <w:divBdr>
                        <w:top w:val="none" w:sz="0" w:space="0" w:color="auto"/>
                        <w:left w:val="none" w:sz="0" w:space="0" w:color="auto"/>
                        <w:bottom w:val="none" w:sz="0" w:space="0" w:color="auto"/>
                        <w:right w:val="none" w:sz="0" w:space="0" w:color="auto"/>
                      </w:divBdr>
                    </w:div>
                  </w:divsChild>
                </w:div>
                <w:div w:id="235629583">
                  <w:marLeft w:val="0"/>
                  <w:marRight w:val="0"/>
                  <w:marTop w:val="0"/>
                  <w:marBottom w:val="0"/>
                  <w:divBdr>
                    <w:top w:val="none" w:sz="0" w:space="0" w:color="auto"/>
                    <w:left w:val="none" w:sz="0" w:space="0" w:color="auto"/>
                    <w:bottom w:val="none" w:sz="0" w:space="0" w:color="auto"/>
                    <w:right w:val="none" w:sz="0" w:space="0" w:color="auto"/>
                  </w:divBdr>
                  <w:divsChild>
                    <w:div w:id="792869602">
                      <w:marLeft w:val="0"/>
                      <w:marRight w:val="0"/>
                      <w:marTop w:val="0"/>
                      <w:marBottom w:val="0"/>
                      <w:divBdr>
                        <w:top w:val="none" w:sz="0" w:space="0" w:color="auto"/>
                        <w:left w:val="none" w:sz="0" w:space="0" w:color="auto"/>
                        <w:bottom w:val="none" w:sz="0" w:space="0" w:color="auto"/>
                        <w:right w:val="none" w:sz="0" w:space="0" w:color="auto"/>
                      </w:divBdr>
                    </w:div>
                  </w:divsChild>
                </w:div>
                <w:div w:id="248469037">
                  <w:marLeft w:val="0"/>
                  <w:marRight w:val="0"/>
                  <w:marTop w:val="0"/>
                  <w:marBottom w:val="0"/>
                  <w:divBdr>
                    <w:top w:val="none" w:sz="0" w:space="0" w:color="auto"/>
                    <w:left w:val="none" w:sz="0" w:space="0" w:color="auto"/>
                    <w:bottom w:val="none" w:sz="0" w:space="0" w:color="auto"/>
                    <w:right w:val="none" w:sz="0" w:space="0" w:color="auto"/>
                  </w:divBdr>
                  <w:divsChild>
                    <w:div w:id="925915650">
                      <w:marLeft w:val="0"/>
                      <w:marRight w:val="0"/>
                      <w:marTop w:val="0"/>
                      <w:marBottom w:val="0"/>
                      <w:divBdr>
                        <w:top w:val="none" w:sz="0" w:space="0" w:color="auto"/>
                        <w:left w:val="none" w:sz="0" w:space="0" w:color="auto"/>
                        <w:bottom w:val="none" w:sz="0" w:space="0" w:color="auto"/>
                        <w:right w:val="none" w:sz="0" w:space="0" w:color="auto"/>
                      </w:divBdr>
                    </w:div>
                  </w:divsChild>
                </w:div>
                <w:div w:id="252209210">
                  <w:marLeft w:val="0"/>
                  <w:marRight w:val="0"/>
                  <w:marTop w:val="0"/>
                  <w:marBottom w:val="0"/>
                  <w:divBdr>
                    <w:top w:val="none" w:sz="0" w:space="0" w:color="auto"/>
                    <w:left w:val="none" w:sz="0" w:space="0" w:color="auto"/>
                    <w:bottom w:val="none" w:sz="0" w:space="0" w:color="auto"/>
                    <w:right w:val="none" w:sz="0" w:space="0" w:color="auto"/>
                  </w:divBdr>
                  <w:divsChild>
                    <w:div w:id="460656421">
                      <w:marLeft w:val="0"/>
                      <w:marRight w:val="0"/>
                      <w:marTop w:val="0"/>
                      <w:marBottom w:val="0"/>
                      <w:divBdr>
                        <w:top w:val="none" w:sz="0" w:space="0" w:color="auto"/>
                        <w:left w:val="none" w:sz="0" w:space="0" w:color="auto"/>
                        <w:bottom w:val="none" w:sz="0" w:space="0" w:color="auto"/>
                        <w:right w:val="none" w:sz="0" w:space="0" w:color="auto"/>
                      </w:divBdr>
                    </w:div>
                  </w:divsChild>
                </w:div>
                <w:div w:id="253980514">
                  <w:marLeft w:val="0"/>
                  <w:marRight w:val="0"/>
                  <w:marTop w:val="0"/>
                  <w:marBottom w:val="0"/>
                  <w:divBdr>
                    <w:top w:val="none" w:sz="0" w:space="0" w:color="auto"/>
                    <w:left w:val="none" w:sz="0" w:space="0" w:color="auto"/>
                    <w:bottom w:val="none" w:sz="0" w:space="0" w:color="auto"/>
                    <w:right w:val="none" w:sz="0" w:space="0" w:color="auto"/>
                  </w:divBdr>
                  <w:divsChild>
                    <w:div w:id="1642230379">
                      <w:marLeft w:val="0"/>
                      <w:marRight w:val="0"/>
                      <w:marTop w:val="0"/>
                      <w:marBottom w:val="0"/>
                      <w:divBdr>
                        <w:top w:val="none" w:sz="0" w:space="0" w:color="auto"/>
                        <w:left w:val="none" w:sz="0" w:space="0" w:color="auto"/>
                        <w:bottom w:val="none" w:sz="0" w:space="0" w:color="auto"/>
                        <w:right w:val="none" w:sz="0" w:space="0" w:color="auto"/>
                      </w:divBdr>
                    </w:div>
                  </w:divsChild>
                </w:div>
                <w:div w:id="257982165">
                  <w:marLeft w:val="0"/>
                  <w:marRight w:val="0"/>
                  <w:marTop w:val="0"/>
                  <w:marBottom w:val="0"/>
                  <w:divBdr>
                    <w:top w:val="none" w:sz="0" w:space="0" w:color="auto"/>
                    <w:left w:val="none" w:sz="0" w:space="0" w:color="auto"/>
                    <w:bottom w:val="none" w:sz="0" w:space="0" w:color="auto"/>
                    <w:right w:val="none" w:sz="0" w:space="0" w:color="auto"/>
                  </w:divBdr>
                  <w:divsChild>
                    <w:div w:id="198904059">
                      <w:marLeft w:val="0"/>
                      <w:marRight w:val="0"/>
                      <w:marTop w:val="0"/>
                      <w:marBottom w:val="0"/>
                      <w:divBdr>
                        <w:top w:val="none" w:sz="0" w:space="0" w:color="auto"/>
                        <w:left w:val="none" w:sz="0" w:space="0" w:color="auto"/>
                        <w:bottom w:val="none" w:sz="0" w:space="0" w:color="auto"/>
                        <w:right w:val="none" w:sz="0" w:space="0" w:color="auto"/>
                      </w:divBdr>
                    </w:div>
                  </w:divsChild>
                </w:div>
                <w:div w:id="264651738">
                  <w:marLeft w:val="0"/>
                  <w:marRight w:val="0"/>
                  <w:marTop w:val="0"/>
                  <w:marBottom w:val="0"/>
                  <w:divBdr>
                    <w:top w:val="none" w:sz="0" w:space="0" w:color="auto"/>
                    <w:left w:val="none" w:sz="0" w:space="0" w:color="auto"/>
                    <w:bottom w:val="none" w:sz="0" w:space="0" w:color="auto"/>
                    <w:right w:val="none" w:sz="0" w:space="0" w:color="auto"/>
                  </w:divBdr>
                  <w:divsChild>
                    <w:div w:id="1661499811">
                      <w:marLeft w:val="0"/>
                      <w:marRight w:val="0"/>
                      <w:marTop w:val="0"/>
                      <w:marBottom w:val="0"/>
                      <w:divBdr>
                        <w:top w:val="none" w:sz="0" w:space="0" w:color="auto"/>
                        <w:left w:val="none" w:sz="0" w:space="0" w:color="auto"/>
                        <w:bottom w:val="none" w:sz="0" w:space="0" w:color="auto"/>
                        <w:right w:val="none" w:sz="0" w:space="0" w:color="auto"/>
                      </w:divBdr>
                    </w:div>
                  </w:divsChild>
                </w:div>
                <w:div w:id="265239298">
                  <w:marLeft w:val="0"/>
                  <w:marRight w:val="0"/>
                  <w:marTop w:val="0"/>
                  <w:marBottom w:val="0"/>
                  <w:divBdr>
                    <w:top w:val="none" w:sz="0" w:space="0" w:color="auto"/>
                    <w:left w:val="none" w:sz="0" w:space="0" w:color="auto"/>
                    <w:bottom w:val="none" w:sz="0" w:space="0" w:color="auto"/>
                    <w:right w:val="none" w:sz="0" w:space="0" w:color="auto"/>
                  </w:divBdr>
                  <w:divsChild>
                    <w:div w:id="428083551">
                      <w:marLeft w:val="0"/>
                      <w:marRight w:val="0"/>
                      <w:marTop w:val="0"/>
                      <w:marBottom w:val="0"/>
                      <w:divBdr>
                        <w:top w:val="none" w:sz="0" w:space="0" w:color="auto"/>
                        <w:left w:val="none" w:sz="0" w:space="0" w:color="auto"/>
                        <w:bottom w:val="none" w:sz="0" w:space="0" w:color="auto"/>
                        <w:right w:val="none" w:sz="0" w:space="0" w:color="auto"/>
                      </w:divBdr>
                    </w:div>
                  </w:divsChild>
                </w:div>
                <w:div w:id="267545958">
                  <w:marLeft w:val="0"/>
                  <w:marRight w:val="0"/>
                  <w:marTop w:val="0"/>
                  <w:marBottom w:val="0"/>
                  <w:divBdr>
                    <w:top w:val="none" w:sz="0" w:space="0" w:color="auto"/>
                    <w:left w:val="none" w:sz="0" w:space="0" w:color="auto"/>
                    <w:bottom w:val="none" w:sz="0" w:space="0" w:color="auto"/>
                    <w:right w:val="none" w:sz="0" w:space="0" w:color="auto"/>
                  </w:divBdr>
                  <w:divsChild>
                    <w:div w:id="809589787">
                      <w:marLeft w:val="0"/>
                      <w:marRight w:val="0"/>
                      <w:marTop w:val="0"/>
                      <w:marBottom w:val="0"/>
                      <w:divBdr>
                        <w:top w:val="none" w:sz="0" w:space="0" w:color="auto"/>
                        <w:left w:val="none" w:sz="0" w:space="0" w:color="auto"/>
                        <w:bottom w:val="none" w:sz="0" w:space="0" w:color="auto"/>
                        <w:right w:val="none" w:sz="0" w:space="0" w:color="auto"/>
                      </w:divBdr>
                    </w:div>
                  </w:divsChild>
                </w:div>
                <w:div w:id="275915520">
                  <w:marLeft w:val="0"/>
                  <w:marRight w:val="0"/>
                  <w:marTop w:val="0"/>
                  <w:marBottom w:val="0"/>
                  <w:divBdr>
                    <w:top w:val="none" w:sz="0" w:space="0" w:color="auto"/>
                    <w:left w:val="none" w:sz="0" w:space="0" w:color="auto"/>
                    <w:bottom w:val="none" w:sz="0" w:space="0" w:color="auto"/>
                    <w:right w:val="none" w:sz="0" w:space="0" w:color="auto"/>
                  </w:divBdr>
                  <w:divsChild>
                    <w:div w:id="371341997">
                      <w:marLeft w:val="0"/>
                      <w:marRight w:val="0"/>
                      <w:marTop w:val="0"/>
                      <w:marBottom w:val="0"/>
                      <w:divBdr>
                        <w:top w:val="none" w:sz="0" w:space="0" w:color="auto"/>
                        <w:left w:val="none" w:sz="0" w:space="0" w:color="auto"/>
                        <w:bottom w:val="none" w:sz="0" w:space="0" w:color="auto"/>
                        <w:right w:val="none" w:sz="0" w:space="0" w:color="auto"/>
                      </w:divBdr>
                    </w:div>
                  </w:divsChild>
                </w:div>
                <w:div w:id="277374628">
                  <w:marLeft w:val="0"/>
                  <w:marRight w:val="0"/>
                  <w:marTop w:val="0"/>
                  <w:marBottom w:val="0"/>
                  <w:divBdr>
                    <w:top w:val="none" w:sz="0" w:space="0" w:color="auto"/>
                    <w:left w:val="none" w:sz="0" w:space="0" w:color="auto"/>
                    <w:bottom w:val="none" w:sz="0" w:space="0" w:color="auto"/>
                    <w:right w:val="none" w:sz="0" w:space="0" w:color="auto"/>
                  </w:divBdr>
                  <w:divsChild>
                    <w:div w:id="2089227129">
                      <w:marLeft w:val="0"/>
                      <w:marRight w:val="0"/>
                      <w:marTop w:val="0"/>
                      <w:marBottom w:val="0"/>
                      <w:divBdr>
                        <w:top w:val="none" w:sz="0" w:space="0" w:color="auto"/>
                        <w:left w:val="none" w:sz="0" w:space="0" w:color="auto"/>
                        <w:bottom w:val="none" w:sz="0" w:space="0" w:color="auto"/>
                        <w:right w:val="none" w:sz="0" w:space="0" w:color="auto"/>
                      </w:divBdr>
                    </w:div>
                  </w:divsChild>
                </w:div>
                <w:div w:id="285739445">
                  <w:marLeft w:val="0"/>
                  <w:marRight w:val="0"/>
                  <w:marTop w:val="0"/>
                  <w:marBottom w:val="0"/>
                  <w:divBdr>
                    <w:top w:val="none" w:sz="0" w:space="0" w:color="auto"/>
                    <w:left w:val="none" w:sz="0" w:space="0" w:color="auto"/>
                    <w:bottom w:val="none" w:sz="0" w:space="0" w:color="auto"/>
                    <w:right w:val="none" w:sz="0" w:space="0" w:color="auto"/>
                  </w:divBdr>
                  <w:divsChild>
                    <w:div w:id="1157306800">
                      <w:marLeft w:val="0"/>
                      <w:marRight w:val="0"/>
                      <w:marTop w:val="0"/>
                      <w:marBottom w:val="0"/>
                      <w:divBdr>
                        <w:top w:val="none" w:sz="0" w:space="0" w:color="auto"/>
                        <w:left w:val="none" w:sz="0" w:space="0" w:color="auto"/>
                        <w:bottom w:val="none" w:sz="0" w:space="0" w:color="auto"/>
                        <w:right w:val="none" w:sz="0" w:space="0" w:color="auto"/>
                      </w:divBdr>
                    </w:div>
                  </w:divsChild>
                </w:div>
                <w:div w:id="288172837">
                  <w:marLeft w:val="0"/>
                  <w:marRight w:val="0"/>
                  <w:marTop w:val="0"/>
                  <w:marBottom w:val="0"/>
                  <w:divBdr>
                    <w:top w:val="none" w:sz="0" w:space="0" w:color="auto"/>
                    <w:left w:val="none" w:sz="0" w:space="0" w:color="auto"/>
                    <w:bottom w:val="none" w:sz="0" w:space="0" w:color="auto"/>
                    <w:right w:val="none" w:sz="0" w:space="0" w:color="auto"/>
                  </w:divBdr>
                  <w:divsChild>
                    <w:div w:id="1556434149">
                      <w:marLeft w:val="0"/>
                      <w:marRight w:val="0"/>
                      <w:marTop w:val="0"/>
                      <w:marBottom w:val="0"/>
                      <w:divBdr>
                        <w:top w:val="none" w:sz="0" w:space="0" w:color="auto"/>
                        <w:left w:val="none" w:sz="0" w:space="0" w:color="auto"/>
                        <w:bottom w:val="none" w:sz="0" w:space="0" w:color="auto"/>
                        <w:right w:val="none" w:sz="0" w:space="0" w:color="auto"/>
                      </w:divBdr>
                    </w:div>
                  </w:divsChild>
                </w:div>
                <w:div w:id="291641954">
                  <w:marLeft w:val="0"/>
                  <w:marRight w:val="0"/>
                  <w:marTop w:val="0"/>
                  <w:marBottom w:val="0"/>
                  <w:divBdr>
                    <w:top w:val="none" w:sz="0" w:space="0" w:color="auto"/>
                    <w:left w:val="none" w:sz="0" w:space="0" w:color="auto"/>
                    <w:bottom w:val="none" w:sz="0" w:space="0" w:color="auto"/>
                    <w:right w:val="none" w:sz="0" w:space="0" w:color="auto"/>
                  </w:divBdr>
                  <w:divsChild>
                    <w:div w:id="1712418711">
                      <w:marLeft w:val="0"/>
                      <w:marRight w:val="0"/>
                      <w:marTop w:val="0"/>
                      <w:marBottom w:val="0"/>
                      <w:divBdr>
                        <w:top w:val="none" w:sz="0" w:space="0" w:color="auto"/>
                        <w:left w:val="none" w:sz="0" w:space="0" w:color="auto"/>
                        <w:bottom w:val="none" w:sz="0" w:space="0" w:color="auto"/>
                        <w:right w:val="none" w:sz="0" w:space="0" w:color="auto"/>
                      </w:divBdr>
                    </w:div>
                  </w:divsChild>
                </w:div>
                <w:div w:id="293294614">
                  <w:marLeft w:val="0"/>
                  <w:marRight w:val="0"/>
                  <w:marTop w:val="0"/>
                  <w:marBottom w:val="0"/>
                  <w:divBdr>
                    <w:top w:val="none" w:sz="0" w:space="0" w:color="auto"/>
                    <w:left w:val="none" w:sz="0" w:space="0" w:color="auto"/>
                    <w:bottom w:val="none" w:sz="0" w:space="0" w:color="auto"/>
                    <w:right w:val="none" w:sz="0" w:space="0" w:color="auto"/>
                  </w:divBdr>
                  <w:divsChild>
                    <w:div w:id="1238126231">
                      <w:marLeft w:val="0"/>
                      <w:marRight w:val="0"/>
                      <w:marTop w:val="0"/>
                      <w:marBottom w:val="0"/>
                      <w:divBdr>
                        <w:top w:val="none" w:sz="0" w:space="0" w:color="auto"/>
                        <w:left w:val="none" w:sz="0" w:space="0" w:color="auto"/>
                        <w:bottom w:val="none" w:sz="0" w:space="0" w:color="auto"/>
                        <w:right w:val="none" w:sz="0" w:space="0" w:color="auto"/>
                      </w:divBdr>
                    </w:div>
                  </w:divsChild>
                </w:div>
                <w:div w:id="294407267">
                  <w:marLeft w:val="0"/>
                  <w:marRight w:val="0"/>
                  <w:marTop w:val="0"/>
                  <w:marBottom w:val="0"/>
                  <w:divBdr>
                    <w:top w:val="none" w:sz="0" w:space="0" w:color="auto"/>
                    <w:left w:val="none" w:sz="0" w:space="0" w:color="auto"/>
                    <w:bottom w:val="none" w:sz="0" w:space="0" w:color="auto"/>
                    <w:right w:val="none" w:sz="0" w:space="0" w:color="auto"/>
                  </w:divBdr>
                  <w:divsChild>
                    <w:div w:id="747847848">
                      <w:marLeft w:val="0"/>
                      <w:marRight w:val="0"/>
                      <w:marTop w:val="0"/>
                      <w:marBottom w:val="0"/>
                      <w:divBdr>
                        <w:top w:val="none" w:sz="0" w:space="0" w:color="auto"/>
                        <w:left w:val="none" w:sz="0" w:space="0" w:color="auto"/>
                        <w:bottom w:val="none" w:sz="0" w:space="0" w:color="auto"/>
                        <w:right w:val="none" w:sz="0" w:space="0" w:color="auto"/>
                      </w:divBdr>
                    </w:div>
                  </w:divsChild>
                </w:div>
                <w:div w:id="294454541">
                  <w:marLeft w:val="0"/>
                  <w:marRight w:val="0"/>
                  <w:marTop w:val="0"/>
                  <w:marBottom w:val="0"/>
                  <w:divBdr>
                    <w:top w:val="none" w:sz="0" w:space="0" w:color="auto"/>
                    <w:left w:val="none" w:sz="0" w:space="0" w:color="auto"/>
                    <w:bottom w:val="none" w:sz="0" w:space="0" w:color="auto"/>
                    <w:right w:val="none" w:sz="0" w:space="0" w:color="auto"/>
                  </w:divBdr>
                  <w:divsChild>
                    <w:div w:id="1427113831">
                      <w:marLeft w:val="0"/>
                      <w:marRight w:val="0"/>
                      <w:marTop w:val="0"/>
                      <w:marBottom w:val="0"/>
                      <w:divBdr>
                        <w:top w:val="none" w:sz="0" w:space="0" w:color="auto"/>
                        <w:left w:val="none" w:sz="0" w:space="0" w:color="auto"/>
                        <w:bottom w:val="none" w:sz="0" w:space="0" w:color="auto"/>
                        <w:right w:val="none" w:sz="0" w:space="0" w:color="auto"/>
                      </w:divBdr>
                    </w:div>
                  </w:divsChild>
                </w:div>
                <w:div w:id="297951512">
                  <w:marLeft w:val="0"/>
                  <w:marRight w:val="0"/>
                  <w:marTop w:val="0"/>
                  <w:marBottom w:val="0"/>
                  <w:divBdr>
                    <w:top w:val="none" w:sz="0" w:space="0" w:color="auto"/>
                    <w:left w:val="none" w:sz="0" w:space="0" w:color="auto"/>
                    <w:bottom w:val="none" w:sz="0" w:space="0" w:color="auto"/>
                    <w:right w:val="none" w:sz="0" w:space="0" w:color="auto"/>
                  </w:divBdr>
                  <w:divsChild>
                    <w:div w:id="154928516">
                      <w:marLeft w:val="0"/>
                      <w:marRight w:val="0"/>
                      <w:marTop w:val="0"/>
                      <w:marBottom w:val="0"/>
                      <w:divBdr>
                        <w:top w:val="none" w:sz="0" w:space="0" w:color="auto"/>
                        <w:left w:val="none" w:sz="0" w:space="0" w:color="auto"/>
                        <w:bottom w:val="none" w:sz="0" w:space="0" w:color="auto"/>
                        <w:right w:val="none" w:sz="0" w:space="0" w:color="auto"/>
                      </w:divBdr>
                    </w:div>
                  </w:divsChild>
                </w:div>
                <w:div w:id="297998709">
                  <w:marLeft w:val="0"/>
                  <w:marRight w:val="0"/>
                  <w:marTop w:val="0"/>
                  <w:marBottom w:val="0"/>
                  <w:divBdr>
                    <w:top w:val="none" w:sz="0" w:space="0" w:color="auto"/>
                    <w:left w:val="none" w:sz="0" w:space="0" w:color="auto"/>
                    <w:bottom w:val="none" w:sz="0" w:space="0" w:color="auto"/>
                    <w:right w:val="none" w:sz="0" w:space="0" w:color="auto"/>
                  </w:divBdr>
                  <w:divsChild>
                    <w:div w:id="1868980605">
                      <w:marLeft w:val="0"/>
                      <w:marRight w:val="0"/>
                      <w:marTop w:val="0"/>
                      <w:marBottom w:val="0"/>
                      <w:divBdr>
                        <w:top w:val="none" w:sz="0" w:space="0" w:color="auto"/>
                        <w:left w:val="none" w:sz="0" w:space="0" w:color="auto"/>
                        <w:bottom w:val="none" w:sz="0" w:space="0" w:color="auto"/>
                        <w:right w:val="none" w:sz="0" w:space="0" w:color="auto"/>
                      </w:divBdr>
                    </w:div>
                  </w:divsChild>
                </w:div>
                <w:div w:id="314797793">
                  <w:marLeft w:val="0"/>
                  <w:marRight w:val="0"/>
                  <w:marTop w:val="0"/>
                  <w:marBottom w:val="0"/>
                  <w:divBdr>
                    <w:top w:val="none" w:sz="0" w:space="0" w:color="auto"/>
                    <w:left w:val="none" w:sz="0" w:space="0" w:color="auto"/>
                    <w:bottom w:val="none" w:sz="0" w:space="0" w:color="auto"/>
                    <w:right w:val="none" w:sz="0" w:space="0" w:color="auto"/>
                  </w:divBdr>
                  <w:divsChild>
                    <w:div w:id="695547027">
                      <w:marLeft w:val="0"/>
                      <w:marRight w:val="0"/>
                      <w:marTop w:val="0"/>
                      <w:marBottom w:val="0"/>
                      <w:divBdr>
                        <w:top w:val="none" w:sz="0" w:space="0" w:color="auto"/>
                        <w:left w:val="none" w:sz="0" w:space="0" w:color="auto"/>
                        <w:bottom w:val="none" w:sz="0" w:space="0" w:color="auto"/>
                        <w:right w:val="none" w:sz="0" w:space="0" w:color="auto"/>
                      </w:divBdr>
                    </w:div>
                  </w:divsChild>
                </w:div>
                <w:div w:id="316958922">
                  <w:marLeft w:val="0"/>
                  <w:marRight w:val="0"/>
                  <w:marTop w:val="0"/>
                  <w:marBottom w:val="0"/>
                  <w:divBdr>
                    <w:top w:val="none" w:sz="0" w:space="0" w:color="auto"/>
                    <w:left w:val="none" w:sz="0" w:space="0" w:color="auto"/>
                    <w:bottom w:val="none" w:sz="0" w:space="0" w:color="auto"/>
                    <w:right w:val="none" w:sz="0" w:space="0" w:color="auto"/>
                  </w:divBdr>
                  <w:divsChild>
                    <w:div w:id="779225639">
                      <w:marLeft w:val="0"/>
                      <w:marRight w:val="0"/>
                      <w:marTop w:val="0"/>
                      <w:marBottom w:val="0"/>
                      <w:divBdr>
                        <w:top w:val="none" w:sz="0" w:space="0" w:color="auto"/>
                        <w:left w:val="none" w:sz="0" w:space="0" w:color="auto"/>
                        <w:bottom w:val="none" w:sz="0" w:space="0" w:color="auto"/>
                        <w:right w:val="none" w:sz="0" w:space="0" w:color="auto"/>
                      </w:divBdr>
                    </w:div>
                  </w:divsChild>
                </w:div>
                <w:div w:id="335235623">
                  <w:marLeft w:val="0"/>
                  <w:marRight w:val="0"/>
                  <w:marTop w:val="0"/>
                  <w:marBottom w:val="0"/>
                  <w:divBdr>
                    <w:top w:val="none" w:sz="0" w:space="0" w:color="auto"/>
                    <w:left w:val="none" w:sz="0" w:space="0" w:color="auto"/>
                    <w:bottom w:val="none" w:sz="0" w:space="0" w:color="auto"/>
                    <w:right w:val="none" w:sz="0" w:space="0" w:color="auto"/>
                  </w:divBdr>
                  <w:divsChild>
                    <w:div w:id="804473328">
                      <w:marLeft w:val="0"/>
                      <w:marRight w:val="0"/>
                      <w:marTop w:val="0"/>
                      <w:marBottom w:val="0"/>
                      <w:divBdr>
                        <w:top w:val="none" w:sz="0" w:space="0" w:color="auto"/>
                        <w:left w:val="none" w:sz="0" w:space="0" w:color="auto"/>
                        <w:bottom w:val="none" w:sz="0" w:space="0" w:color="auto"/>
                        <w:right w:val="none" w:sz="0" w:space="0" w:color="auto"/>
                      </w:divBdr>
                    </w:div>
                  </w:divsChild>
                </w:div>
                <w:div w:id="342051007">
                  <w:marLeft w:val="0"/>
                  <w:marRight w:val="0"/>
                  <w:marTop w:val="0"/>
                  <w:marBottom w:val="0"/>
                  <w:divBdr>
                    <w:top w:val="none" w:sz="0" w:space="0" w:color="auto"/>
                    <w:left w:val="none" w:sz="0" w:space="0" w:color="auto"/>
                    <w:bottom w:val="none" w:sz="0" w:space="0" w:color="auto"/>
                    <w:right w:val="none" w:sz="0" w:space="0" w:color="auto"/>
                  </w:divBdr>
                  <w:divsChild>
                    <w:div w:id="890962865">
                      <w:marLeft w:val="0"/>
                      <w:marRight w:val="0"/>
                      <w:marTop w:val="0"/>
                      <w:marBottom w:val="0"/>
                      <w:divBdr>
                        <w:top w:val="none" w:sz="0" w:space="0" w:color="auto"/>
                        <w:left w:val="none" w:sz="0" w:space="0" w:color="auto"/>
                        <w:bottom w:val="none" w:sz="0" w:space="0" w:color="auto"/>
                        <w:right w:val="none" w:sz="0" w:space="0" w:color="auto"/>
                      </w:divBdr>
                    </w:div>
                  </w:divsChild>
                </w:div>
                <w:div w:id="345406539">
                  <w:marLeft w:val="0"/>
                  <w:marRight w:val="0"/>
                  <w:marTop w:val="0"/>
                  <w:marBottom w:val="0"/>
                  <w:divBdr>
                    <w:top w:val="none" w:sz="0" w:space="0" w:color="auto"/>
                    <w:left w:val="none" w:sz="0" w:space="0" w:color="auto"/>
                    <w:bottom w:val="none" w:sz="0" w:space="0" w:color="auto"/>
                    <w:right w:val="none" w:sz="0" w:space="0" w:color="auto"/>
                  </w:divBdr>
                  <w:divsChild>
                    <w:div w:id="959607736">
                      <w:marLeft w:val="0"/>
                      <w:marRight w:val="0"/>
                      <w:marTop w:val="0"/>
                      <w:marBottom w:val="0"/>
                      <w:divBdr>
                        <w:top w:val="none" w:sz="0" w:space="0" w:color="auto"/>
                        <w:left w:val="none" w:sz="0" w:space="0" w:color="auto"/>
                        <w:bottom w:val="none" w:sz="0" w:space="0" w:color="auto"/>
                        <w:right w:val="none" w:sz="0" w:space="0" w:color="auto"/>
                      </w:divBdr>
                    </w:div>
                  </w:divsChild>
                </w:div>
                <w:div w:id="351762771">
                  <w:marLeft w:val="0"/>
                  <w:marRight w:val="0"/>
                  <w:marTop w:val="0"/>
                  <w:marBottom w:val="0"/>
                  <w:divBdr>
                    <w:top w:val="none" w:sz="0" w:space="0" w:color="auto"/>
                    <w:left w:val="none" w:sz="0" w:space="0" w:color="auto"/>
                    <w:bottom w:val="none" w:sz="0" w:space="0" w:color="auto"/>
                    <w:right w:val="none" w:sz="0" w:space="0" w:color="auto"/>
                  </w:divBdr>
                  <w:divsChild>
                    <w:div w:id="12733796">
                      <w:marLeft w:val="0"/>
                      <w:marRight w:val="0"/>
                      <w:marTop w:val="0"/>
                      <w:marBottom w:val="0"/>
                      <w:divBdr>
                        <w:top w:val="none" w:sz="0" w:space="0" w:color="auto"/>
                        <w:left w:val="none" w:sz="0" w:space="0" w:color="auto"/>
                        <w:bottom w:val="none" w:sz="0" w:space="0" w:color="auto"/>
                        <w:right w:val="none" w:sz="0" w:space="0" w:color="auto"/>
                      </w:divBdr>
                    </w:div>
                  </w:divsChild>
                </w:div>
                <w:div w:id="352653057">
                  <w:marLeft w:val="0"/>
                  <w:marRight w:val="0"/>
                  <w:marTop w:val="0"/>
                  <w:marBottom w:val="0"/>
                  <w:divBdr>
                    <w:top w:val="none" w:sz="0" w:space="0" w:color="auto"/>
                    <w:left w:val="none" w:sz="0" w:space="0" w:color="auto"/>
                    <w:bottom w:val="none" w:sz="0" w:space="0" w:color="auto"/>
                    <w:right w:val="none" w:sz="0" w:space="0" w:color="auto"/>
                  </w:divBdr>
                  <w:divsChild>
                    <w:div w:id="595089658">
                      <w:marLeft w:val="0"/>
                      <w:marRight w:val="0"/>
                      <w:marTop w:val="0"/>
                      <w:marBottom w:val="0"/>
                      <w:divBdr>
                        <w:top w:val="none" w:sz="0" w:space="0" w:color="auto"/>
                        <w:left w:val="none" w:sz="0" w:space="0" w:color="auto"/>
                        <w:bottom w:val="none" w:sz="0" w:space="0" w:color="auto"/>
                        <w:right w:val="none" w:sz="0" w:space="0" w:color="auto"/>
                      </w:divBdr>
                    </w:div>
                  </w:divsChild>
                </w:div>
                <w:div w:id="358942608">
                  <w:marLeft w:val="0"/>
                  <w:marRight w:val="0"/>
                  <w:marTop w:val="0"/>
                  <w:marBottom w:val="0"/>
                  <w:divBdr>
                    <w:top w:val="none" w:sz="0" w:space="0" w:color="auto"/>
                    <w:left w:val="none" w:sz="0" w:space="0" w:color="auto"/>
                    <w:bottom w:val="none" w:sz="0" w:space="0" w:color="auto"/>
                    <w:right w:val="none" w:sz="0" w:space="0" w:color="auto"/>
                  </w:divBdr>
                  <w:divsChild>
                    <w:div w:id="457576977">
                      <w:marLeft w:val="0"/>
                      <w:marRight w:val="0"/>
                      <w:marTop w:val="0"/>
                      <w:marBottom w:val="0"/>
                      <w:divBdr>
                        <w:top w:val="none" w:sz="0" w:space="0" w:color="auto"/>
                        <w:left w:val="none" w:sz="0" w:space="0" w:color="auto"/>
                        <w:bottom w:val="none" w:sz="0" w:space="0" w:color="auto"/>
                        <w:right w:val="none" w:sz="0" w:space="0" w:color="auto"/>
                      </w:divBdr>
                    </w:div>
                  </w:divsChild>
                </w:div>
                <w:div w:id="360937874">
                  <w:marLeft w:val="0"/>
                  <w:marRight w:val="0"/>
                  <w:marTop w:val="0"/>
                  <w:marBottom w:val="0"/>
                  <w:divBdr>
                    <w:top w:val="none" w:sz="0" w:space="0" w:color="auto"/>
                    <w:left w:val="none" w:sz="0" w:space="0" w:color="auto"/>
                    <w:bottom w:val="none" w:sz="0" w:space="0" w:color="auto"/>
                    <w:right w:val="none" w:sz="0" w:space="0" w:color="auto"/>
                  </w:divBdr>
                  <w:divsChild>
                    <w:div w:id="1362784268">
                      <w:marLeft w:val="0"/>
                      <w:marRight w:val="0"/>
                      <w:marTop w:val="0"/>
                      <w:marBottom w:val="0"/>
                      <w:divBdr>
                        <w:top w:val="none" w:sz="0" w:space="0" w:color="auto"/>
                        <w:left w:val="none" w:sz="0" w:space="0" w:color="auto"/>
                        <w:bottom w:val="none" w:sz="0" w:space="0" w:color="auto"/>
                        <w:right w:val="none" w:sz="0" w:space="0" w:color="auto"/>
                      </w:divBdr>
                    </w:div>
                  </w:divsChild>
                </w:div>
                <w:div w:id="364016517">
                  <w:marLeft w:val="0"/>
                  <w:marRight w:val="0"/>
                  <w:marTop w:val="0"/>
                  <w:marBottom w:val="0"/>
                  <w:divBdr>
                    <w:top w:val="none" w:sz="0" w:space="0" w:color="auto"/>
                    <w:left w:val="none" w:sz="0" w:space="0" w:color="auto"/>
                    <w:bottom w:val="none" w:sz="0" w:space="0" w:color="auto"/>
                    <w:right w:val="none" w:sz="0" w:space="0" w:color="auto"/>
                  </w:divBdr>
                  <w:divsChild>
                    <w:div w:id="287858672">
                      <w:marLeft w:val="0"/>
                      <w:marRight w:val="0"/>
                      <w:marTop w:val="0"/>
                      <w:marBottom w:val="0"/>
                      <w:divBdr>
                        <w:top w:val="none" w:sz="0" w:space="0" w:color="auto"/>
                        <w:left w:val="none" w:sz="0" w:space="0" w:color="auto"/>
                        <w:bottom w:val="none" w:sz="0" w:space="0" w:color="auto"/>
                        <w:right w:val="none" w:sz="0" w:space="0" w:color="auto"/>
                      </w:divBdr>
                    </w:div>
                  </w:divsChild>
                </w:div>
                <w:div w:id="364990286">
                  <w:marLeft w:val="0"/>
                  <w:marRight w:val="0"/>
                  <w:marTop w:val="0"/>
                  <w:marBottom w:val="0"/>
                  <w:divBdr>
                    <w:top w:val="none" w:sz="0" w:space="0" w:color="auto"/>
                    <w:left w:val="none" w:sz="0" w:space="0" w:color="auto"/>
                    <w:bottom w:val="none" w:sz="0" w:space="0" w:color="auto"/>
                    <w:right w:val="none" w:sz="0" w:space="0" w:color="auto"/>
                  </w:divBdr>
                  <w:divsChild>
                    <w:div w:id="1945963708">
                      <w:marLeft w:val="0"/>
                      <w:marRight w:val="0"/>
                      <w:marTop w:val="0"/>
                      <w:marBottom w:val="0"/>
                      <w:divBdr>
                        <w:top w:val="none" w:sz="0" w:space="0" w:color="auto"/>
                        <w:left w:val="none" w:sz="0" w:space="0" w:color="auto"/>
                        <w:bottom w:val="none" w:sz="0" w:space="0" w:color="auto"/>
                        <w:right w:val="none" w:sz="0" w:space="0" w:color="auto"/>
                      </w:divBdr>
                    </w:div>
                  </w:divsChild>
                </w:div>
                <w:div w:id="378936392">
                  <w:marLeft w:val="0"/>
                  <w:marRight w:val="0"/>
                  <w:marTop w:val="0"/>
                  <w:marBottom w:val="0"/>
                  <w:divBdr>
                    <w:top w:val="none" w:sz="0" w:space="0" w:color="auto"/>
                    <w:left w:val="none" w:sz="0" w:space="0" w:color="auto"/>
                    <w:bottom w:val="none" w:sz="0" w:space="0" w:color="auto"/>
                    <w:right w:val="none" w:sz="0" w:space="0" w:color="auto"/>
                  </w:divBdr>
                  <w:divsChild>
                    <w:div w:id="785272084">
                      <w:marLeft w:val="0"/>
                      <w:marRight w:val="0"/>
                      <w:marTop w:val="0"/>
                      <w:marBottom w:val="0"/>
                      <w:divBdr>
                        <w:top w:val="none" w:sz="0" w:space="0" w:color="auto"/>
                        <w:left w:val="none" w:sz="0" w:space="0" w:color="auto"/>
                        <w:bottom w:val="none" w:sz="0" w:space="0" w:color="auto"/>
                        <w:right w:val="none" w:sz="0" w:space="0" w:color="auto"/>
                      </w:divBdr>
                    </w:div>
                  </w:divsChild>
                </w:div>
                <w:div w:id="379403008">
                  <w:marLeft w:val="0"/>
                  <w:marRight w:val="0"/>
                  <w:marTop w:val="0"/>
                  <w:marBottom w:val="0"/>
                  <w:divBdr>
                    <w:top w:val="none" w:sz="0" w:space="0" w:color="auto"/>
                    <w:left w:val="none" w:sz="0" w:space="0" w:color="auto"/>
                    <w:bottom w:val="none" w:sz="0" w:space="0" w:color="auto"/>
                    <w:right w:val="none" w:sz="0" w:space="0" w:color="auto"/>
                  </w:divBdr>
                  <w:divsChild>
                    <w:div w:id="417561969">
                      <w:marLeft w:val="0"/>
                      <w:marRight w:val="0"/>
                      <w:marTop w:val="0"/>
                      <w:marBottom w:val="0"/>
                      <w:divBdr>
                        <w:top w:val="none" w:sz="0" w:space="0" w:color="auto"/>
                        <w:left w:val="none" w:sz="0" w:space="0" w:color="auto"/>
                        <w:bottom w:val="none" w:sz="0" w:space="0" w:color="auto"/>
                        <w:right w:val="none" w:sz="0" w:space="0" w:color="auto"/>
                      </w:divBdr>
                    </w:div>
                  </w:divsChild>
                </w:div>
                <w:div w:id="380403496">
                  <w:marLeft w:val="0"/>
                  <w:marRight w:val="0"/>
                  <w:marTop w:val="0"/>
                  <w:marBottom w:val="0"/>
                  <w:divBdr>
                    <w:top w:val="none" w:sz="0" w:space="0" w:color="auto"/>
                    <w:left w:val="none" w:sz="0" w:space="0" w:color="auto"/>
                    <w:bottom w:val="none" w:sz="0" w:space="0" w:color="auto"/>
                    <w:right w:val="none" w:sz="0" w:space="0" w:color="auto"/>
                  </w:divBdr>
                  <w:divsChild>
                    <w:div w:id="659968119">
                      <w:marLeft w:val="0"/>
                      <w:marRight w:val="0"/>
                      <w:marTop w:val="0"/>
                      <w:marBottom w:val="0"/>
                      <w:divBdr>
                        <w:top w:val="none" w:sz="0" w:space="0" w:color="auto"/>
                        <w:left w:val="none" w:sz="0" w:space="0" w:color="auto"/>
                        <w:bottom w:val="none" w:sz="0" w:space="0" w:color="auto"/>
                        <w:right w:val="none" w:sz="0" w:space="0" w:color="auto"/>
                      </w:divBdr>
                    </w:div>
                  </w:divsChild>
                </w:div>
                <w:div w:id="392316694">
                  <w:marLeft w:val="0"/>
                  <w:marRight w:val="0"/>
                  <w:marTop w:val="0"/>
                  <w:marBottom w:val="0"/>
                  <w:divBdr>
                    <w:top w:val="none" w:sz="0" w:space="0" w:color="auto"/>
                    <w:left w:val="none" w:sz="0" w:space="0" w:color="auto"/>
                    <w:bottom w:val="none" w:sz="0" w:space="0" w:color="auto"/>
                    <w:right w:val="none" w:sz="0" w:space="0" w:color="auto"/>
                  </w:divBdr>
                  <w:divsChild>
                    <w:div w:id="552933084">
                      <w:marLeft w:val="0"/>
                      <w:marRight w:val="0"/>
                      <w:marTop w:val="0"/>
                      <w:marBottom w:val="0"/>
                      <w:divBdr>
                        <w:top w:val="none" w:sz="0" w:space="0" w:color="auto"/>
                        <w:left w:val="none" w:sz="0" w:space="0" w:color="auto"/>
                        <w:bottom w:val="none" w:sz="0" w:space="0" w:color="auto"/>
                        <w:right w:val="none" w:sz="0" w:space="0" w:color="auto"/>
                      </w:divBdr>
                    </w:div>
                  </w:divsChild>
                </w:div>
                <w:div w:id="397215482">
                  <w:marLeft w:val="0"/>
                  <w:marRight w:val="0"/>
                  <w:marTop w:val="0"/>
                  <w:marBottom w:val="0"/>
                  <w:divBdr>
                    <w:top w:val="none" w:sz="0" w:space="0" w:color="auto"/>
                    <w:left w:val="none" w:sz="0" w:space="0" w:color="auto"/>
                    <w:bottom w:val="none" w:sz="0" w:space="0" w:color="auto"/>
                    <w:right w:val="none" w:sz="0" w:space="0" w:color="auto"/>
                  </w:divBdr>
                  <w:divsChild>
                    <w:div w:id="1668702309">
                      <w:marLeft w:val="0"/>
                      <w:marRight w:val="0"/>
                      <w:marTop w:val="0"/>
                      <w:marBottom w:val="0"/>
                      <w:divBdr>
                        <w:top w:val="none" w:sz="0" w:space="0" w:color="auto"/>
                        <w:left w:val="none" w:sz="0" w:space="0" w:color="auto"/>
                        <w:bottom w:val="none" w:sz="0" w:space="0" w:color="auto"/>
                        <w:right w:val="none" w:sz="0" w:space="0" w:color="auto"/>
                      </w:divBdr>
                    </w:div>
                  </w:divsChild>
                </w:div>
                <w:div w:id="397821847">
                  <w:marLeft w:val="0"/>
                  <w:marRight w:val="0"/>
                  <w:marTop w:val="0"/>
                  <w:marBottom w:val="0"/>
                  <w:divBdr>
                    <w:top w:val="none" w:sz="0" w:space="0" w:color="auto"/>
                    <w:left w:val="none" w:sz="0" w:space="0" w:color="auto"/>
                    <w:bottom w:val="none" w:sz="0" w:space="0" w:color="auto"/>
                    <w:right w:val="none" w:sz="0" w:space="0" w:color="auto"/>
                  </w:divBdr>
                  <w:divsChild>
                    <w:div w:id="183246404">
                      <w:marLeft w:val="0"/>
                      <w:marRight w:val="0"/>
                      <w:marTop w:val="0"/>
                      <w:marBottom w:val="0"/>
                      <w:divBdr>
                        <w:top w:val="none" w:sz="0" w:space="0" w:color="auto"/>
                        <w:left w:val="none" w:sz="0" w:space="0" w:color="auto"/>
                        <w:bottom w:val="none" w:sz="0" w:space="0" w:color="auto"/>
                        <w:right w:val="none" w:sz="0" w:space="0" w:color="auto"/>
                      </w:divBdr>
                    </w:div>
                  </w:divsChild>
                </w:div>
                <w:div w:id="407927286">
                  <w:marLeft w:val="0"/>
                  <w:marRight w:val="0"/>
                  <w:marTop w:val="0"/>
                  <w:marBottom w:val="0"/>
                  <w:divBdr>
                    <w:top w:val="none" w:sz="0" w:space="0" w:color="auto"/>
                    <w:left w:val="none" w:sz="0" w:space="0" w:color="auto"/>
                    <w:bottom w:val="none" w:sz="0" w:space="0" w:color="auto"/>
                    <w:right w:val="none" w:sz="0" w:space="0" w:color="auto"/>
                  </w:divBdr>
                  <w:divsChild>
                    <w:div w:id="374698459">
                      <w:marLeft w:val="0"/>
                      <w:marRight w:val="0"/>
                      <w:marTop w:val="0"/>
                      <w:marBottom w:val="0"/>
                      <w:divBdr>
                        <w:top w:val="none" w:sz="0" w:space="0" w:color="auto"/>
                        <w:left w:val="none" w:sz="0" w:space="0" w:color="auto"/>
                        <w:bottom w:val="none" w:sz="0" w:space="0" w:color="auto"/>
                        <w:right w:val="none" w:sz="0" w:space="0" w:color="auto"/>
                      </w:divBdr>
                    </w:div>
                  </w:divsChild>
                </w:div>
                <w:div w:id="409087848">
                  <w:marLeft w:val="0"/>
                  <w:marRight w:val="0"/>
                  <w:marTop w:val="0"/>
                  <w:marBottom w:val="0"/>
                  <w:divBdr>
                    <w:top w:val="none" w:sz="0" w:space="0" w:color="auto"/>
                    <w:left w:val="none" w:sz="0" w:space="0" w:color="auto"/>
                    <w:bottom w:val="none" w:sz="0" w:space="0" w:color="auto"/>
                    <w:right w:val="none" w:sz="0" w:space="0" w:color="auto"/>
                  </w:divBdr>
                  <w:divsChild>
                    <w:div w:id="770975660">
                      <w:marLeft w:val="0"/>
                      <w:marRight w:val="0"/>
                      <w:marTop w:val="0"/>
                      <w:marBottom w:val="0"/>
                      <w:divBdr>
                        <w:top w:val="none" w:sz="0" w:space="0" w:color="auto"/>
                        <w:left w:val="none" w:sz="0" w:space="0" w:color="auto"/>
                        <w:bottom w:val="none" w:sz="0" w:space="0" w:color="auto"/>
                        <w:right w:val="none" w:sz="0" w:space="0" w:color="auto"/>
                      </w:divBdr>
                    </w:div>
                  </w:divsChild>
                </w:div>
                <w:div w:id="410544439">
                  <w:marLeft w:val="0"/>
                  <w:marRight w:val="0"/>
                  <w:marTop w:val="0"/>
                  <w:marBottom w:val="0"/>
                  <w:divBdr>
                    <w:top w:val="none" w:sz="0" w:space="0" w:color="auto"/>
                    <w:left w:val="none" w:sz="0" w:space="0" w:color="auto"/>
                    <w:bottom w:val="none" w:sz="0" w:space="0" w:color="auto"/>
                    <w:right w:val="none" w:sz="0" w:space="0" w:color="auto"/>
                  </w:divBdr>
                  <w:divsChild>
                    <w:div w:id="613244121">
                      <w:marLeft w:val="0"/>
                      <w:marRight w:val="0"/>
                      <w:marTop w:val="0"/>
                      <w:marBottom w:val="0"/>
                      <w:divBdr>
                        <w:top w:val="none" w:sz="0" w:space="0" w:color="auto"/>
                        <w:left w:val="none" w:sz="0" w:space="0" w:color="auto"/>
                        <w:bottom w:val="none" w:sz="0" w:space="0" w:color="auto"/>
                        <w:right w:val="none" w:sz="0" w:space="0" w:color="auto"/>
                      </w:divBdr>
                    </w:div>
                  </w:divsChild>
                </w:div>
                <w:div w:id="427847085">
                  <w:marLeft w:val="0"/>
                  <w:marRight w:val="0"/>
                  <w:marTop w:val="0"/>
                  <w:marBottom w:val="0"/>
                  <w:divBdr>
                    <w:top w:val="none" w:sz="0" w:space="0" w:color="auto"/>
                    <w:left w:val="none" w:sz="0" w:space="0" w:color="auto"/>
                    <w:bottom w:val="none" w:sz="0" w:space="0" w:color="auto"/>
                    <w:right w:val="none" w:sz="0" w:space="0" w:color="auto"/>
                  </w:divBdr>
                  <w:divsChild>
                    <w:div w:id="1223517178">
                      <w:marLeft w:val="0"/>
                      <w:marRight w:val="0"/>
                      <w:marTop w:val="0"/>
                      <w:marBottom w:val="0"/>
                      <w:divBdr>
                        <w:top w:val="none" w:sz="0" w:space="0" w:color="auto"/>
                        <w:left w:val="none" w:sz="0" w:space="0" w:color="auto"/>
                        <w:bottom w:val="none" w:sz="0" w:space="0" w:color="auto"/>
                        <w:right w:val="none" w:sz="0" w:space="0" w:color="auto"/>
                      </w:divBdr>
                    </w:div>
                  </w:divsChild>
                </w:div>
                <w:div w:id="437412520">
                  <w:marLeft w:val="0"/>
                  <w:marRight w:val="0"/>
                  <w:marTop w:val="0"/>
                  <w:marBottom w:val="0"/>
                  <w:divBdr>
                    <w:top w:val="none" w:sz="0" w:space="0" w:color="auto"/>
                    <w:left w:val="none" w:sz="0" w:space="0" w:color="auto"/>
                    <w:bottom w:val="none" w:sz="0" w:space="0" w:color="auto"/>
                    <w:right w:val="none" w:sz="0" w:space="0" w:color="auto"/>
                  </w:divBdr>
                  <w:divsChild>
                    <w:div w:id="1587298749">
                      <w:marLeft w:val="0"/>
                      <w:marRight w:val="0"/>
                      <w:marTop w:val="0"/>
                      <w:marBottom w:val="0"/>
                      <w:divBdr>
                        <w:top w:val="none" w:sz="0" w:space="0" w:color="auto"/>
                        <w:left w:val="none" w:sz="0" w:space="0" w:color="auto"/>
                        <w:bottom w:val="none" w:sz="0" w:space="0" w:color="auto"/>
                        <w:right w:val="none" w:sz="0" w:space="0" w:color="auto"/>
                      </w:divBdr>
                    </w:div>
                  </w:divsChild>
                </w:div>
                <w:div w:id="446773142">
                  <w:marLeft w:val="0"/>
                  <w:marRight w:val="0"/>
                  <w:marTop w:val="0"/>
                  <w:marBottom w:val="0"/>
                  <w:divBdr>
                    <w:top w:val="none" w:sz="0" w:space="0" w:color="auto"/>
                    <w:left w:val="none" w:sz="0" w:space="0" w:color="auto"/>
                    <w:bottom w:val="none" w:sz="0" w:space="0" w:color="auto"/>
                    <w:right w:val="none" w:sz="0" w:space="0" w:color="auto"/>
                  </w:divBdr>
                  <w:divsChild>
                    <w:div w:id="1447503138">
                      <w:marLeft w:val="0"/>
                      <w:marRight w:val="0"/>
                      <w:marTop w:val="0"/>
                      <w:marBottom w:val="0"/>
                      <w:divBdr>
                        <w:top w:val="none" w:sz="0" w:space="0" w:color="auto"/>
                        <w:left w:val="none" w:sz="0" w:space="0" w:color="auto"/>
                        <w:bottom w:val="none" w:sz="0" w:space="0" w:color="auto"/>
                        <w:right w:val="none" w:sz="0" w:space="0" w:color="auto"/>
                      </w:divBdr>
                    </w:div>
                  </w:divsChild>
                </w:div>
                <w:div w:id="449206385">
                  <w:marLeft w:val="0"/>
                  <w:marRight w:val="0"/>
                  <w:marTop w:val="0"/>
                  <w:marBottom w:val="0"/>
                  <w:divBdr>
                    <w:top w:val="none" w:sz="0" w:space="0" w:color="auto"/>
                    <w:left w:val="none" w:sz="0" w:space="0" w:color="auto"/>
                    <w:bottom w:val="none" w:sz="0" w:space="0" w:color="auto"/>
                    <w:right w:val="none" w:sz="0" w:space="0" w:color="auto"/>
                  </w:divBdr>
                  <w:divsChild>
                    <w:div w:id="599261515">
                      <w:marLeft w:val="0"/>
                      <w:marRight w:val="0"/>
                      <w:marTop w:val="0"/>
                      <w:marBottom w:val="0"/>
                      <w:divBdr>
                        <w:top w:val="none" w:sz="0" w:space="0" w:color="auto"/>
                        <w:left w:val="none" w:sz="0" w:space="0" w:color="auto"/>
                        <w:bottom w:val="none" w:sz="0" w:space="0" w:color="auto"/>
                        <w:right w:val="none" w:sz="0" w:space="0" w:color="auto"/>
                      </w:divBdr>
                    </w:div>
                  </w:divsChild>
                </w:div>
                <w:div w:id="453208472">
                  <w:marLeft w:val="0"/>
                  <w:marRight w:val="0"/>
                  <w:marTop w:val="0"/>
                  <w:marBottom w:val="0"/>
                  <w:divBdr>
                    <w:top w:val="none" w:sz="0" w:space="0" w:color="auto"/>
                    <w:left w:val="none" w:sz="0" w:space="0" w:color="auto"/>
                    <w:bottom w:val="none" w:sz="0" w:space="0" w:color="auto"/>
                    <w:right w:val="none" w:sz="0" w:space="0" w:color="auto"/>
                  </w:divBdr>
                  <w:divsChild>
                    <w:div w:id="1094474032">
                      <w:marLeft w:val="0"/>
                      <w:marRight w:val="0"/>
                      <w:marTop w:val="0"/>
                      <w:marBottom w:val="0"/>
                      <w:divBdr>
                        <w:top w:val="none" w:sz="0" w:space="0" w:color="auto"/>
                        <w:left w:val="none" w:sz="0" w:space="0" w:color="auto"/>
                        <w:bottom w:val="none" w:sz="0" w:space="0" w:color="auto"/>
                        <w:right w:val="none" w:sz="0" w:space="0" w:color="auto"/>
                      </w:divBdr>
                    </w:div>
                  </w:divsChild>
                </w:div>
                <w:div w:id="455834717">
                  <w:marLeft w:val="0"/>
                  <w:marRight w:val="0"/>
                  <w:marTop w:val="0"/>
                  <w:marBottom w:val="0"/>
                  <w:divBdr>
                    <w:top w:val="none" w:sz="0" w:space="0" w:color="auto"/>
                    <w:left w:val="none" w:sz="0" w:space="0" w:color="auto"/>
                    <w:bottom w:val="none" w:sz="0" w:space="0" w:color="auto"/>
                    <w:right w:val="none" w:sz="0" w:space="0" w:color="auto"/>
                  </w:divBdr>
                  <w:divsChild>
                    <w:div w:id="1700660245">
                      <w:marLeft w:val="0"/>
                      <w:marRight w:val="0"/>
                      <w:marTop w:val="0"/>
                      <w:marBottom w:val="0"/>
                      <w:divBdr>
                        <w:top w:val="none" w:sz="0" w:space="0" w:color="auto"/>
                        <w:left w:val="none" w:sz="0" w:space="0" w:color="auto"/>
                        <w:bottom w:val="none" w:sz="0" w:space="0" w:color="auto"/>
                        <w:right w:val="none" w:sz="0" w:space="0" w:color="auto"/>
                      </w:divBdr>
                    </w:div>
                  </w:divsChild>
                </w:div>
                <w:div w:id="464935288">
                  <w:marLeft w:val="0"/>
                  <w:marRight w:val="0"/>
                  <w:marTop w:val="0"/>
                  <w:marBottom w:val="0"/>
                  <w:divBdr>
                    <w:top w:val="none" w:sz="0" w:space="0" w:color="auto"/>
                    <w:left w:val="none" w:sz="0" w:space="0" w:color="auto"/>
                    <w:bottom w:val="none" w:sz="0" w:space="0" w:color="auto"/>
                    <w:right w:val="none" w:sz="0" w:space="0" w:color="auto"/>
                  </w:divBdr>
                  <w:divsChild>
                    <w:div w:id="1105076177">
                      <w:marLeft w:val="0"/>
                      <w:marRight w:val="0"/>
                      <w:marTop w:val="0"/>
                      <w:marBottom w:val="0"/>
                      <w:divBdr>
                        <w:top w:val="none" w:sz="0" w:space="0" w:color="auto"/>
                        <w:left w:val="none" w:sz="0" w:space="0" w:color="auto"/>
                        <w:bottom w:val="none" w:sz="0" w:space="0" w:color="auto"/>
                        <w:right w:val="none" w:sz="0" w:space="0" w:color="auto"/>
                      </w:divBdr>
                    </w:div>
                  </w:divsChild>
                </w:div>
                <w:div w:id="465053093">
                  <w:marLeft w:val="0"/>
                  <w:marRight w:val="0"/>
                  <w:marTop w:val="0"/>
                  <w:marBottom w:val="0"/>
                  <w:divBdr>
                    <w:top w:val="none" w:sz="0" w:space="0" w:color="auto"/>
                    <w:left w:val="none" w:sz="0" w:space="0" w:color="auto"/>
                    <w:bottom w:val="none" w:sz="0" w:space="0" w:color="auto"/>
                    <w:right w:val="none" w:sz="0" w:space="0" w:color="auto"/>
                  </w:divBdr>
                  <w:divsChild>
                    <w:div w:id="488863730">
                      <w:marLeft w:val="0"/>
                      <w:marRight w:val="0"/>
                      <w:marTop w:val="0"/>
                      <w:marBottom w:val="0"/>
                      <w:divBdr>
                        <w:top w:val="none" w:sz="0" w:space="0" w:color="auto"/>
                        <w:left w:val="none" w:sz="0" w:space="0" w:color="auto"/>
                        <w:bottom w:val="none" w:sz="0" w:space="0" w:color="auto"/>
                        <w:right w:val="none" w:sz="0" w:space="0" w:color="auto"/>
                      </w:divBdr>
                    </w:div>
                  </w:divsChild>
                </w:div>
                <w:div w:id="476922814">
                  <w:marLeft w:val="0"/>
                  <w:marRight w:val="0"/>
                  <w:marTop w:val="0"/>
                  <w:marBottom w:val="0"/>
                  <w:divBdr>
                    <w:top w:val="none" w:sz="0" w:space="0" w:color="auto"/>
                    <w:left w:val="none" w:sz="0" w:space="0" w:color="auto"/>
                    <w:bottom w:val="none" w:sz="0" w:space="0" w:color="auto"/>
                    <w:right w:val="none" w:sz="0" w:space="0" w:color="auto"/>
                  </w:divBdr>
                  <w:divsChild>
                    <w:div w:id="345716510">
                      <w:marLeft w:val="0"/>
                      <w:marRight w:val="0"/>
                      <w:marTop w:val="0"/>
                      <w:marBottom w:val="0"/>
                      <w:divBdr>
                        <w:top w:val="none" w:sz="0" w:space="0" w:color="auto"/>
                        <w:left w:val="none" w:sz="0" w:space="0" w:color="auto"/>
                        <w:bottom w:val="none" w:sz="0" w:space="0" w:color="auto"/>
                        <w:right w:val="none" w:sz="0" w:space="0" w:color="auto"/>
                      </w:divBdr>
                    </w:div>
                  </w:divsChild>
                </w:div>
                <w:div w:id="484203600">
                  <w:marLeft w:val="0"/>
                  <w:marRight w:val="0"/>
                  <w:marTop w:val="0"/>
                  <w:marBottom w:val="0"/>
                  <w:divBdr>
                    <w:top w:val="none" w:sz="0" w:space="0" w:color="auto"/>
                    <w:left w:val="none" w:sz="0" w:space="0" w:color="auto"/>
                    <w:bottom w:val="none" w:sz="0" w:space="0" w:color="auto"/>
                    <w:right w:val="none" w:sz="0" w:space="0" w:color="auto"/>
                  </w:divBdr>
                  <w:divsChild>
                    <w:div w:id="1213031985">
                      <w:marLeft w:val="0"/>
                      <w:marRight w:val="0"/>
                      <w:marTop w:val="0"/>
                      <w:marBottom w:val="0"/>
                      <w:divBdr>
                        <w:top w:val="none" w:sz="0" w:space="0" w:color="auto"/>
                        <w:left w:val="none" w:sz="0" w:space="0" w:color="auto"/>
                        <w:bottom w:val="none" w:sz="0" w:space="0" w:color="auto"/>
                        <w:right w:val="none" w:sz="0" w:space="0" w:color="auto"/>
                      </w:divBdr>
                    </w:div>
                  </w:divsChild>
                </w:div>
                <w:div w:id="486484782">
                  <w:marLeft w:val="0"/>
                  <w:marRight w:val="0"/>
                  <w:marTop w:val="0"/>
                  <w:marBottom w:val="0"/>
                  <w:divBdr>
                    <w:top w:val="none" w:sz="0" w:space="0" w:color="auto"/>
                    <w:left w:val="none" w:sz="0" w:space="0" w:color="auto"/>
                    <w:bottom w:val="none" w:sz="0" w:space="0" w:color="auto"/>
                    <w:right w:val="none" w:sz="0" w:space="0" w:color="auto"/>
                  </w:divBdr>
                  <w:divsChild>
                    <w:div w:id="248005491">
                      <w:marLeft w:val="0"/>
                      <w:marRight w:val="0"/>
                      <w:marTop w:val="0"/>
                      <w:marBottom w:val="0"/>
                      <w:divBdr>
                        <w:top w:val="none" w:sz="0" w:space="0" w:color="auto"/>
                        <w:left w:val="none" w:sz="0" w:space="0" w:color="auto"/>
                        <w:bottom w:val="none" w:sz="0" w:space="0" w:color="auto"/>
                        <w:right w:val="none" w:sz="0" w:space="0" w:color="auto"/>
                      </w:divBdr>
                    </w:div>
                  </w:divsChild>
                </w:div>
                <w:div w:id="491137878">
                  <w:marLeft w:val="0"/>
                  <w:marRight w:val="0"/>
                  <w:marTop w:val="0"/>
                  <w:marBottom w:val="0"/>
                  <w:divBdr>
                    <w:top w:val="none" w:sz="0" w:space="0" w:color="auto"/>
                    <w:left w:val="none" w:sz="0" w:space="0" w:color="auto"/>
                    <w:bottom w:val="none" w:sz="0" w:space="0" w:color="auto"/>
                    <w:right w:val="none" w:sz="0" w:space="0" w:color="auto"/>
                  </w:divBdr>
                  <w:divsChild>
                    <w:div w:id="686835341">
                      <w:marLeft w:val="0"/>
                      <w:marRight w:val="0"/>
                      <w:marTop w:val="0"/>
                      <w:marBottom w:val="0"/>
                      <w:divBdr>
                        <w:top w:val="none" w:sz="0" w:space="0" w:color="auto"/>
                        <w:left w:val="none" w:sz="0" w:space="0" w:color="auto"/>
                        <w:bottom w:val="none" w:sz="0" w:space="0" w:color="auto"/>
                        <w:right w:val="none" w:sz="0" w:space="0" w:color="auto"/>
                      </w:divBdr>
                    </w:div>
                  </w:divsChild>
                </w:div>
                <w:div w:id="491873243">
                  <w:marLeft w:val="0"/>
                  <w:marRight w:val="0"/>
                  <w:marTop w:val="0"/>
                  <w:marBottom w:val="0"/>
                  <w:divBdr>
                    <w:top w:val="none" w:sz="0" w:space="0" w:color="auto"/>
                    <w:left w:val="none" w:sz="0" w:space="0" w:color="auto"/>
                    <w:bottom w:val="none" w:sz="0" w:space="0" w:color="auto"/>
                    <w:right w:val="none" w:sz="0" w:space="0" w:color="auto"/>
                  </w:divBdr>
                  <w:divsChild>
                    <w:div w:id="2133134020">
                      <w:marLeft w:val="0"/>
                      <w:marRight w:val="0"/>
                      <w:marTop w:val="0"/>
                      <w:marBottom w:val="0"/>
                      <w:divBdr>
                        <w:top w:val="none" w:sz="0" w:space="0" w:color="auto"/>
                        <w:left w:val="none" w:sz="0" w:space="0" w:color="auto"/>
                        <w:bottom w:val="none" w:sz="0" w:space="0" w:color="auto"/>
                        <w:right w:val="none" w:sz="0" w:space="0" w:color="auto"/>
                      </w:divBdr>
                    </w:div>
                  </w:divsChild>
                </w:div>
                <w:div w:id="494612554">
                  <w:marLeft w:val="0"/>
                  <w:marRight w:val="0"/>
                  <w:marTop w:val="0"/>
                  <w:marBottom w:val="0"/>
                  <w:divBdr>
                    <w:top w:val="none" w:sz="0" w:space="0" w:color="auto"/>
                    <w:left w:val="none" w:sz="0" w:space="0" w:color="auto"/>
                    <w:bottom w:val="none" w:sz="0" w:space="0" w:color="auto"/>
                    <w:right w:val="none" w:sz="0" w:space="0" w:color="auto"/>
                  </w:divBdr>
                  <w:divsChild>
                    <w:div w:id="1822428955">
                      <w:marLeft w:val="0"/>
                      <w:marRight w:val="0"/>
                      <w:marTop w:val="0"/>
                      <w:marBottom w:val="0"/>
                      <w:divBdr>
                        <w:top w:val="none" w:sz="0" w:space="0" w:color="auto"/>
                        <w:left w:val="none" w:sz="0" w:space="0" w:color="auto"/>
                        <w:bottom w:val="none" w:sz="0" w:space="0" w:color="auto"/>
                        <w:right w:val="none" w:sz="0" w:space="0" w:color="auto"/>
                      </w:divBdr>
                    </w:div>
                  </w:divsChild>
                </w:div>
                <w:div w:id="495726747">
                  <w:marLeft w:val="0"/>
                  <w:marRight w:val="0"/>
                  <w:marTop w:val="0"/>
                  <w:marBottom w:val="0"/>
                  <w:divBdr>
                    <w:top w:val="none" w:sz="0" w:space="0" w:color="auto"/>
                    <w:left w:val="none" w:sz="0" w:space="0" w:color="auto"/>
                    <w:bottom w:val="none" w:sz="0" w:space="0" w:color="auto"/>
                    <w:right w:val="none" w:sz="0" w:space="0" w:color="auto"/>
                  </w:divBdr>
                  <w:divsChild>
                    <w:div w:id="181746439">
                      <w:marLeft w:val="0"/>
                      <w:marRight w:val="0"/>
                      <w:marTop w:val="0"/>
                      <w:marBottom w:val="0"/>
                      <w:divBdr>
                        <w:top w:val="none" w:sz="0" w:space="0" w:color="auto"/>
                        <w:left w:val="none" w:sz="0" w:space="0" w:color="auto"/>
                        <w:bottom w:val="none" w:sz="0" w:space="0" w:color="auto"/>
                        <w:right w:val="none" w:sz="0" w:space="0" w:color="auto"/>
                      </w:divBdr>
                    </w:div>
                  </w:divsChild>
                </w:div>
                <w:div w:id="497354100">
                  <w:marLeft w:val="0"/>
                  <w:marRight w:val="0"/>
                  <w:marTop w:val="0"/>
                  <w:marBottom w:val="0"/>
                  <w:divBdr>
                    <w:top w:val="none" w:sz="0" w:space="0" w:color="auto"/>
                    <w:left w:val="none" w:sz="0" w:space="0" w:color="auto"/>
                    <w:bottom w:val="none" w:sz="0" w:space="0" w:color="auto"/>
                    <w:right w:val="none" w:sz="0" w:space="0" w:color="auto"/>
                  </w:divBdr>
                  <w:divsChild>
                    <w:div w:id="1310944328">
                      <w:marLeft w:val="0"/>
                      <w:marRight w:val="0"/>
                      <w:marTop w:val="0"/>
                      <w:marBottom w:val="0"/>
                      <w:divBdr>
                        <w:top w:val="none" w:sz="0" w:space="0" w:color="auto"/>
                        <w:left w:val="none" w:sz="0" w:space="0" w:color="auto"/>
                        <w:bottom w:val="none" w:sz="0" w:space="0" w:color="auto"/>
                        <w:right w:val="none" w:sz="0" w:space="0" w:color="auto"/>
                      </w:divBdr>
                    </w:div>
                  </w:divsChild>
                </w:div>
                <w:div w:id="499542145">
                  <w:marLeft w:val="0"/>
                  <w:marRight w:val="0"/>
                  <w:marTop w:val="0"/>
                  <w:marBottom w:val="0"/>
                  <w:divBdr>
                    <w:top w:val="none" w:sz="0" w:space="0" w:color="auto"/>
                    <w:left w:val="none" w:sz="0" w:space="0" w:color="auto"/>
                    <w:bottom w:val="none" w:sz="0" w:space="0" w:color="auto"/>
                    <w:right w:val="none" w:sz="0" w:space="0" w:color="auto"/>
                  </w:divBdr>
                  <w:divsChild>
                    <w:div w:id="1769959816">
                      <w:marLeft w:val="0"/>
                      <w:marRight w:val="0"/>
                      <w:marTop w:val="0"/>
                      <w:marBottom w:val="0"/>
                      <w:divBdr>
                        <w:top w:val="none" w:sz="0" w:space="0" w:color="auto"/>
                        <w:left w:val="none" w:sz="0" w:space="0" w:color="auto"/>
                        <w:bottom w:val="none" w:sz="0" w:space="0" w:color="auto"/>
                        <w:right w:val="none" w:sz="0" w:space="0" w:color="auto"/>
                      </w:divBdr>
                    </w:div>
                  </w:divsChild>
                </w:div>
                <w:div w:id="508955943">
                  <w:marLeft w:val="0"/>
                  <w:marRight w:val="0"/>
                  <w:marTop w:val="0"/>
                  <w:marBottom w:val="0"/>
                  <w:divBdr>
                    <w:top w:val="none" w:sz="0" w:space="0" w:color="auto"/>
                    <w:left w:val="none" w:sz="0" w:space="0" w:color="auto"/>
                    <w:bottom w:val="none" w:sz="0" w:space="0" w:color="auto"/>
                    <w:right w:val="none" w:sz="0" w:space="0" w:color="auto"/>
                  </w:divBdr>
                  <w:divsChild>
                    <w:div w:id="601717993">
                      <w:marLeft w:val="0"/>
                      <w:marRight w:val="0"/>
                      <w:marTop w:val="0"/>
                      <w:marBottom w:val="0"/>
                      <w:divBdr>
                        <w:top w:val="none" w:sz="0" w:space="0" w:color="auto"/>
                        <w:left w:val="none" w:sz="0" w:space="0" w:color="auto"/>
                        <w:bottom w:val="none" w:sz="0" w:space="0" w:color="auto"/>
                        <w:right w:val="none" w:sz="0" w:space="0" w:color="auto"/>
                      </w:divBdr>
                    </w:div>
                  </w:divsChild>
                </w:div>
                <w:div w:id="512575979">
                  <w:marLeft w:val="0"/>
                  <w:marRight w:val="0"/>
                  <w:marTop w:val="0"/>
                  <w:marBottom w:val="0"/>
                  <w:divBdr>
                    <w:top w:val="none" w:sz="0" w:space="0" w:color="auto"/>
                    <w:left w:val="none" w:sz="0" w:space="0" w:color="auto"/>
                    <w:bottom w:val="none" w:sz="0" w:space="0" w:color="auto"/>
                    <w:right w:val="none" w:sz="0" w:space="0" w:color="auto"/>
                  </w:divBdr>
                  <w:divsChild>
                    <w:div w:id="1328245485">
                      <w:marLeft w:val="0"/>
                      <w:marRight w:val="0"/>
                      <w:marTop w:val="0"/>
                      <w:marBottom w:val="0"/>
                      <w:divBdr>
                        <w:top w:val="none" w:sz="0" w:space="0" w:color="auto"/>
                        <w:left w:val="none" w:sz="0" w:space="0" w:color="auto"/>
                        <w:bottom w:val="none" w:sz="0" w:space="0" w:color="auto"/>
                        <w:right w:val="none" w:sz="0" w:space="0" w:color="auto"/>
                      </w:divBdr>
                    </w:div>
                  </w:divsChild>
                </w:div>
                <w:div w:id="515385584">
                  <w:marLeft w:val="0"/>
                  <w:marRight w:val="0"/>
                  <w:marTop w:val="0"/>
                  <w:marBottom w:val="0"/>
                  <w:divBdr>
                    <w:top w:val="none" w:sz="0" w:space="0" w:color="auto"/>
                    <w:left w:val="none" w:sz="0" w:space="0" w:color="auto"/>
                    <w:bottom w:val="none" w:sz="0" w:space="0" w:color="auto"/>
                    <w:right w:val="none" w:sz="0" w:space="0" w:color="auto"/>
                  </w:divBdr>
                  <w:divsChild>
                    <w:div w:id="824318728">
                      <w:marLeft w:val="0"/>
                      <w:marRight w:val="0"/>
                      <w:marTop w:val="0"/>
                      <w:marBottom w:val="0"/>
                      <w:divBdr>
                        <w:top w:val="none" w:sz="0" w:space="0" w:color="auto"/>
                        <w:left w:val="none" w:sz="0" w:space="0" w:color="auto"/>
                        <w:bottom w:val="none" w:sz="0" w:space="0" w:color="auto"/>
                        <w:right w:val="none" w:sz="0" w:space="0" w:color="auto"/>
                      </w:divBdr>
                    </w:div>
                  </w:divsChild>
                </w:div>
                <w:div w:id="515465604">
                  <w:marLeft w:val="0"/>
                  <w:marRight w:val="0"/>
                  <w:marTop w:val="0"/>
                  <w:marBottom w:val="0"/>
                  <w:divBdr>
                    <w:top w:val="none" w:sz="0" w:space="0" w:color="auto"/>
                    <w:left w:val="none" w:sz="0" w:space="0" w:color="auto"/>
                    <w:bottom w:val="none" w:sz="0" w:space="0" w:color="auto"/>
                    <w:right w:val="none" w:sz="0" w:space="0" w:color="auto"/>
                  </w:divBdr>
                  <w:divsChild>
                    <w:div w:id="1641418727">
                      <w:marLeft w:val="0"/>
                      <w:marRight w:val="0"/>
                      <w:marTop w:val="0"/>
                      <w:marBottom w:val="0"/>
                      <w:divBdr>
                        <w:top w:val="none" w:sz="0" w:space="0" w:color="auto"/>
                        <w:left w:val="none" w:sz="0" w:space="0" w:color="auto"/>
                        <w:bottom w:val="none" w:sz="0" w:space="0" w:color="auto"/>
                        <w:right w:val="none" w:sz="0" w:space="0" w:color="auto"/>
                      </w:divBdr>
                    </w:div>
                  </w:divsChild>
                </w:div>
                <w:div w:id="520124973">
                  <w:marLeft w:val="0"/>
                  <w:marRight w:val="0"/>
                  <w:marTop w:val="0"/>
                  <w:marBottom w:val="0"/>
                  <w:divBdr>
                    <w:top w:val="none" w:sz="0" w:space="0" w:color="auto"/>
                    <w:left w:val="none" w:sz="0" w:space="0" w:color="auto"/>
                    <w:bottom w:val="none" w:sz="0" w:space="0" w:color="auto"/>
                    <w:right w:val="none" w:sz="0" w:space="0" w:color="auto"/>
                  </w:divBdr>
                  <w:divsChild>
                    <w:div w:id="200820808">
                      <w:marLeft w:val="0"/>
                      <w:marRight w:val="0"/>
                      <w:marTop w:val="0"/>
                      <w:marBottom w:val="0"/>
                      <w:divBdr>
                        <w:top w:val="none" w:sz="0" w:space="0" w:color="auto"/>
                        <w:left w:val="none" w:sz="0" w:space="0" w:color="auto"/>
                        <w:bottom w:val="none" w:sz="0" w:space="0" w:color="auto"/>
                        <w:right w:val="none" w:sz="0" w:space="0" w:color="auto"/>
                      </w:divBdr>
                    </w:div>
                  </w:divsChild>
                </w:div>
                <w:div w:id="528567503">
                  <w:marLeft w:val="0"/>
                  <w:marRight w:val="0"/>
                  <w:marTop w:val="0"/>
                  <w:marBottom w:val="0"/>
                  <w:divBdr>
                    <w:top w:val="none" w:sz="0" w:space="0" w:color="auto"/>
                    <w:left w:val="none" w:sz="0" w:space="0" w:color="auto"/>
                    <w:bottom w:val="none" w:sz="0" w:space="0" w:color="auto"/>
                    <w:right w:val="none" w:sz="0" w:space="0" w:color="auto"/>
                  </w:divBdr>
                  <w:divsChild>
                    <w:div w:id="220101411">
                      <w:marLeft w:val="0"/>
                      <w:marRight w:val="0"/>
                      <w:marTop w:val="0"/>
                      <w:marBottom w:val="0"/>
                      <w:divBdr>
                        <w:top w:val="none" w:sz="0" w:space="0" w:color="auto"/>
                        <w:left w:val="none" w:sz="0" w:space="0" w:color="auto"/>
                        <w:bottom w:val="none" w:sz="0" w:space="0" w:color="auto"/>
                        <w:right w:val="none" w:sz="0" w:space="0" w:color="auto"/>
                      </w:divBdr>
                    </w:div>
                  </w:divsChild>
                </w:div>
                <w:div w:id="539898325">
                  <w:marLeft w:val="0"/>
                  <w:marRight w:val="0"/>
                  <w:marTop w:val="0"/>
                  <w:marBottom w:val="0"/>
                  <w:divBdr>
                    <w:top w:val="none" w:sz="0" w:space="0" w:color="auto"/>
                    <w:left w:val="none" w:sz="0" w:space="0" w:color="auto"/>
                    <w:bottom w:val="none" w:sz="0" w:space="0" w:color="auto"/>
                    <w:right w:val="none" w:sz="0" w:space="0" w:color="auto"/>
                  </w:divBdr>
                  <w:divsChild>
                    <w:div w:id="1483037219">
                      <w:marLeft w:val="0"/>
                      <w:marRight w:val="0"/>
                      <w:marTop w:val="0"/>
                      <w:marBottom w:val="0"/>
                      <w:divBdr>
                        <w:top w:val="none" w:sz="0" w:space="0" w:color="auto"/>
                        <w:left w:val="none" w:sz="0" w:space="0" w:color="auto"/>
                        <w:bottom w:val="none" w:sz="0" w:space="0" w:color="auto"/>
                        <w:right w:val="none" w:sz="0" w:space="0" w:color="auto"/>
                      </w:divBdr>
                    </w:div>
                  </w:divsChild>
                </w:div>
                <w:div w:id="557204022">
                  <w:marLeft w:val="0"/>
                  <w:marRight w:val="0"/>
                  <w:marTop w:val="0"/>
                  <w:marBottom w:val="0"/>
                  <w:divBdr>
                    <w:top w:val="none" w:sz="0" w:space="0" w:color="auto"/>
                    <w:left w:val="none" w:sz="0" w:space="0" w:color="auto"/>
                    <w:bottom w:val="none" w:sz="0" w:space="0" w:color="auto"/>
                    <w:right w:val="none" w:sz="0" w:space="0" w:color="auto"/>
                  </w:divBdr>
                  <w:divsChild>
                    <w:div w:id="1361707903">
                      <w:marLeft w:val="0"/>
                      <w:marRight w:val="0"/>
                      <w:marTop w:val="0"/>
                      <w:marBottom w:val="0"/>
                      <w:divBdr>
                        <w:top w:val="none" w:sz="0" w:space="0" w:color="auto"/>
                        <w:left w:val="none" w:sz="0" w:space="0" w:color="auto"/>
                        <w:bottom w:val="none" w:sz="0" w:space="0" w:color="auto"/>
                        <w:right w:val="none" w:sz="0" w:space="0" w:color="auto"/>
                      </w:divBdr>
                    </w:div>
                  </w:divsChild>
                </w:div>
                <w:div w:id="558247252">
                  <w:marLeft w:val="0"/>
                  <w:marRight w:val="0"/>
                  <w:marTop w:val="0"/>
                  <w:marBottom w:val="0"/>
                  <w:divBdr>
                    <w:top w:val="none" w:sz="0" w:space="0" w:color="auto"/>
                    <w:left w:val="none" w:sz="0" w:space="0" w:color="auto"/>
                    <w:bottom w:val="none" w:sz="0" w:space="0" w:color="auto"/>
                    <w:right w:val="none" w:sz="0" w:space="0" w:color="auto"/>
                  </w:divBdr>
                  <w:divsChild>
                    <w:div w:id="15157344">
                      <w:marLeft w:val="0"/>
                      <w:marRight w:val="0"/>
                      <w:marTop w:val="0"/>
                      <w:marBottom w:val="0"/>
                      <w:divBdr>
                        <w:top w:val="none" w:sz="0" w:space="0" w:color="auto"/>
                        <w:left w:val="none" w:sz="0" w:space="0" w:color="auto"/>
                        <w:bottom w:val="none" w:sz="0" w:space="0" w:color="auto"/>
                        <w:right w:val="none" w:sz="0" w:space="0" w:color="auto"/>
                      </w:divBdr>
                    </w:div>
                  </w:divsChild>
                </w:div>
                <w:div w:id="569845915">
                  <w:marLeft w:val="0"/>
                  <w:marRight w:val="0"/>
                  <w:marTop w:val="0"/>
                  <w:marBottom w:val="0"/>
                  <w:divBdr>
                    <w:top w:val="none" w:sz="0" w:space="0" w:color="auto"/>
                    <w:left w:val="none" w:sz="0" w:space="0" w:color="auto"/>
                    <w:bottom w:val="none" w:sz="0" w:space="0" w:color="auto"/>
                    <w:right w:val="none" w:sz="0" w:space="0" w:color="auto"/>
                  </w:divBdr>
                  <w:divsChild>
                    <w:div w:id="1076973638">
                      <w:marLeft w:val="0"/>
                      <w:marRight w:val="0"/>
                      <w:marTop w:val="0"/>
                      <w:marBottom w:val="0"/>
                      <w:divBdr>
                        <w:top w:val="none" w:sz="0" w:space="0" w:color="auto"/>
                        <w:left w:val="none" w:sz="0" w:space="0" w:color="auto"/>
                        <w:bottom w:val="none" w:sz="0" w:space="0" w:color="auto"/>
                        <w:right w:val="none" w:sz="0" w:space="0" w:color="auto"/>
                      </w:divBdr>
                    </w:div>
                  </w:divsChild>
                </w:div>
                <w:div w:id="570392177">
                  <w:marLeft w:val="0"/>
                  <w:marRight w:val="0"/>
                  <w:marTop w:val="0"/>
                  <w:marBottom w:val="0"/>
                  <w:divBdr>
                    <w:top w:val="none" w:sz="0" w:space="0" w:color="auto"/>
                    <w:left w:val="none" w:sz="0" w:space="0" w:color="auto"/>
                    <w:bottom w:val="none" w:sz="0" w:space="0" w:color="auto"/>
                    <w:right w:val="none" w:sz="0" w:space="0" w:color="auto"/>
                  </w:divBdr>
                  <w:divsChild>
                    <w:div w:id="1005476087">
                      <w:marLeft w:val="0"/>
                      <w:marRight w:val="0"/>
                      <w:marTop w:val="0"/>
                      <w:marBottom w:val="0"/>
                      <w:divBdr>
                        <w:top w:val="none" w:sz="0" w:space="0" w:color="auto"/>
                        <w:left w:val="none" w:sz="0" w:space="0" w:color="auto"/>
                        <w:bottom w:val="none" w:sz="0" w:space="0" w:color="auto"/>
                        <w:right w:val="none" w:sz="0" w:space="0" w:color="auto"/>
                      </w:divBdr>
                    </w:div>
                  </w:divsChild>
                </w:div>
                <w:div w:id="570425358">
                  <w:marLeft w:val="0"/>
                  <w:marRight w:val="0"/>
                  <w:marTop w:val="0"/>
                  <w:marBottom w:val="0"/>
                  <w:divBdr>
                    <w:top w:val="none" w:sz="0" w:space="0" w:color="auto"/>
                    <w:left w:val="none" w:sz="0" w:space="0" w:color="auto"/>
                    <w:bottom w:val="none" w:sz="0" w:space="0" w:color="auto"/>
                    <w:right w:val="none" w:sz="0" w:space="0" w:color="auto"/>
                  </w:divBdr>
                  <w:divsChild>
                    <w:div w:id="1237279638">
                      <w:marLeft w:val="0"/>
                      <w:marRight w:val="0"/>
                      <w:marTop w:val="0"/>
                      <w:marBottom w:val="0"/>
                      <w:divBdr>
                        <w:top w:val="none" w:sz="0" w:space="0" w:color="auto"/>
                        <w:left w:val="none" w:sz="0" w:space="0" w:color="auto"/>
                        <w:bottom w:val="none" w:sz="0" w:space="0" w:color="auto"/>
                        <w:right w:val="none" w:sz="0" w:space="0" w:color="auto"/>
                      </w:divBdr>
                    </w:div>
                  </w:divsChild>
                </w:div>
                <w:div w:id="572593316">
                  <w:marLeft w:val="0"/>
                  <w:marRight w:val="0"/>
                  <w:marTop w:val="0"/>
                  <w:marBottom w:val="0"/>
                  <w:divBdr>
                    <w:top w:val="none" w:sz="0" w:space="0" w:color="auto"/>
                    <w:left w:val="none" w:sz="0" w:space="0" w:color="auto"/>
                    <w:bottom w:val="none" w:sz="0" w:space="0" w:color="auto"/>
                    <w:right w:val="none" w:sz="0" w:space="0" w:color="auto"/>
                  </w:divBdr>
                  <w:divsChild>
                    <w:div w:id="480732888">
                      <w:marLeft w:val="0"/>
                      <w:marRight w:val="0"/>
                      <w:marTop w:val="0"/>
                      <w:marBottom w:val="0"/>
                      <w:divBdr>
                        <w:top w:val="none" w:sz="0" w:space="0" w:color="auto"/>
                        <w:left w:val="none" w:sz="0" w:space="0" w:color="auto"/>
                        <w:bottom w:val="none" w:sz="0" w:space="0" w:color="auto"/>
                        <w:right w:val="none" w:sz="0" w:space="0" w:color="auto"/>
                      </w:divBdr>
                    </w:div>
                  </w:divsChild>
                </w:div>
                <w:div w:id="581259298">
                  <w:marLeft w:val="0"/>
                  <w:marRight w:val="0"/>
                  <w:marTop w:val="0"/>
                  <w:marBottom w:val="0"/>
                  <w:divBdr>
                    <w:top w:val="none" w:sz="0" w:space="0" w:color="auto"/>
                    <w:left w:val="none" w:sz="0" w:space="0" w:color="auto"/>
                    <w:bottom w:val="none" w:sz="0" w:space="0" w:color="auto"/>
                    <w:right w:val="none" w:sz="0" w:space="0" w:color="auto"/>
                  </w:divBdr>
                  <w:divsChild>
                    <w:div w:id="704448390">
                      <w:marLeft w:val="0"/>
                      <w:marRight w:val="0"/>
                      <w:marTop w:val="0"/>
                      <w:marBottom w:val="0"/>
                      <w:divBdr>
                        <w:top w:val="none" w:sz="0" w:space="0" w:color="auto"/>
                        <w:left w:val="none" w:sz="0" w:space="0" w:color="auto"/>
                        <w:bottom w:val="none" w:sz="0" w:space="0" w:color="auto"/>
                        <w:right w:val="none" w:sz="0" w:space="0" w:color="auto"/>
                      </w:divBdr>
                    </w:div>
                  </w:divsChild>
                </w:div>
                <w:div w:id="584919808">
                  <w:marLeft w:val="0"/>
                  <w:marRight w:val="0"/>
                  <w:marTop w:val="0"/>
                  <w:marBottom w:val="0"/>
                  <w:divBdr>
                    <w:top w:val="none" w:sz="0" w:space="0" w:color="auto"/>
                    <w:left w:val="none" w:sz="0" w:space="0" w:color="auto"/>
                    <w:bottom w:val="none" w:sz="0" w:space="0" w:color="auto"/>
                    <w:right w:val="none" w:sz="0" w:space="0" w:color="auto"/>
                  </w:divBdr>
                  <w:divsChild>
                    <w:div w:id="1818691308">
                      <w:marLeft w:val="0"/>
                      <w:marRight w:val="0"/>
                      <w:marTop w:val="0"/>
                      <w:marBottom w:val="0"/>
                      <w:divBdr>
                        <w:top w:val="none" w:sz="0" w:space="0" w:color="auto"/>
                        <w:left w:val="none" w:sz="0" w:space="0" w:color="auto"/>
                        <w:bottom w:val="none" w:sz="0" w:space="0" w:color="auto"/>
                        <w:right w:val="none" w:sz="0" w:space="0" w:color="auto"/>
                      </w:divBdr>
                    </w:div>
                  </w:divsChild>
                </w:div>
                <w:div w:id="589658908">
                  <w:marLeft w:val="0"/>
                  <w:marRight w:val="0"/>
                  <w:marTop w:val="0"/>
                  <w:marBottom w:val="0"/>
                  <w:divBdr>
                    <w:top w:val="none" w:sz="0" w:space="0" w:color="auto"/>
                    <w:left w:val="none" w:sz="0" w:space="0" w:color="auto"/>
                    <w:bottom w:val="none" w:sz="0" w:space="0" w:color="auto"/>
                    <w:right w:val="none" w:sz="0" w:space="0" w:color="auto"/>
                  </w:divBdr>
                  <w:divsChild>
                    <w:div w:id="341905683">
                      <w:marLeft w:val="0"/>
                      <w:marRight w:val="0"/>
                      <w:marTop w:val="0"/>
                      <w:marBottom w:val="0"/>
                      <w:divBdr>
                        <w:top w:val="none" w:sz="0" w:space="0" w:color="auto"/>
                        <w:left w:val="none" w:sz="0" w:space="0" w:color="auto"/>
                        <w:bottom w:val="none" w:sz="0" w:space="0" w:color="auto"/>
                        <w:right w:val="none" w:sz="0" w:space="0" w:color="auto"/>
                      </w:divBdr>
                    </w:div>
                  </w:divsChild>
                </w:div>
                <w:div w:id="605502860">
                  <w:marLeft w:val="0"/>
                  <w:marRight w:val="0"/>
                  <w:marTop w:val="0"/>
                  <w:marBottom w:val="0"/>
                  <w:divBdr>
                    <w:top w:val="none" w:sz="0" w:space="0" w:color="auto"/>
                    <w:left w:val="none" w:sz="0" w:space="0" w:color="auto"/>
                    <w:bottom w:val="none" w:sz="0" w:space="0" w:color="auto"/>
                    <w:right w:val="none" w:sz="0" w:space="0" w:color="auto"/>
                  </w:divBdr>
                  <w:divsChild>
                    <w:div w:id="1375545548">
                      <w:marLeft w:val="0"/>
                      <w:marRight w:val="0"/>
                      <w:marTop w:val="0"/>
                      <w:marBottom w:val="0"/>
                      <w:divBdr>
                        <w:top w:val="none" w:sz="0" w:space="0" w:color="auto"/>
                        <w:left w:val="none" w:sz="0" w:space="0" w:color="auto"/>
                        <w:bottom w:val="none" w:sz="0" w:space="0" w:color="auto"/>
                        <w:right w:val="none" w:sz="0" w:space="0" w:color="auto"/>
                      </w:divBdr>
                    </w:div>
                  </w:divsChild>
                </w:div>
                <w:div w:id="606424838">
                  <w:marLeft w:val="0"/>
                  <w:marRight w:val="0"/>
                  <w:marTop w:val="0"/>
                  <w:marBottom w:val="0"/>
                  <w:divBdr>
                    <w:top w:val="none" w:sz="0" w:space="0" w:color="auto"/>
                    <w:left w:val="none" w:sz="0" w:space="0" w:color="auto"/>
                    <w:bottom w:val="none" w:sz="0" w:space="0" w:color="auto"/>
                    <w:right w:val="none" w:sz="0" w:space="0" w:color="auto"/>
                  </w:divBdr>
                  <w:divsChild>
                    <w:div w:id="262879050">
                      <w:marLeft w:val="0"/>
                      <w:marRight w:val="0"/>
                      <w:marTop w:val="0"/>
                      <w:marBottom w:val="0"/>
                      <w:divBdr>
                        <w:top w:val="none" w:sz="0" w:space="0" w:color="auto"/>
                        <w:left w:val="none" w:sz="0" w:space="0" w:color="auto"/>
                        <w:bottom w:val="none" w:sz="0" w:space="0" w:color="auto"/>
                        <w:right w:val="none" w:sz="0" w:space="0" w:color="auto"/>
                      </w:divBdr>
                    </w:div>
                  </w:divsChild>
                </w:div>
                <w:div w:id="625083232">
                  <w:marLeft w:val="0"/>
                  <w:marRight w:val="0"/>
                  <w:marTop w:val="0"/>
                  <w:marBottom w:val="0"/>
                  <w:divBdr>
                    <w:top w:val="none" w:sz="0" w:space="0" w:color="auto"/>
                    <w:left w:val="none" w:sz="0" w:space="0" w:color="auto"/>
                    <w:bottom w:val="none" w:sz="0" w:space="0" w:color="auto"/>
                    <w:right w:val="none" w:sz="0" w:space="0" w:color="auto"/>
                  </w:divBdr>
                  <w:divsChild>
                    <w:div w:id="1971354837">
                      <w:marLeft w:val="0"/>
                      <w:marRight w:val="0"/>
                      <w:marTop w:val="0"/>
                      <w:marBottom w:val="0"/>
                      <w:divBdr>
                        <w:top w:val="none" w:sz="0" w:space="0" w:color="auto"/>
                        <w:left w:val="none" w:sz="0" w:space="0" w:color="auto"/>
                        <w:bottom w:val="none" w:sz="0" w:space="0" w:color="auto"/>
                        <w:right w:val="none" w:sz="0" w:space="0" w:color="auto"/>
                      </w:divBdr>
                    </w:div>
                  </w:divsChild>
                </w:div>
                <w:div w:id="626938468">
                  <w:marLeft w:val="0"/>
                  <w:marRight w:val="0"/>
                  <w:marTop w:val="0"/>
                  <w:marBottom w:val="0"/>
                  <w:divBdr>
                    <w:top w:val="none" w:sz="0" w:space="0" w:color="auto"/>
                    <w:left w:val="none" w:sz="0" w:space="0" w:color="auto"/>
                    <w:bottom w:val="none" w:sz="0" w:space="0" w:color="auto"/>
                    <w:right w:val="none" w:sz="0" w:space="0" w:color="auto"/>
                  </w:divBdr>
                  <w:divsChild>
                    <w:div w:id="666053346">
                      <w:marLeft w:val="0"/>
                      <w:marRight w:val="0"/>
                      <w:marTop w:val="0"/>
                      <w:marBottom w:val="0"/>
                      <w:divBdr>
                        <w:top w:val="none" w:sz="0" w:space="0" w:color="auto"/>
                        <w:left w:val="none" w:sz="0" w:space="0" w:color="auto"/>
                        <w:bottom w:val="none" w:sz="0" w:space="0" w:color="auto"/>
                        <w:right w:val="none" w:sz="0" w:space="0" w:color="auto"/>
                      </w:divBdr>
                    </w:div>
                  </w:divsChild>
                </w:div>
                <w:div w:id="629097771">
                  <w:marLeft w:val="0"/>
                  <w:marRight w:val="0"/>
                  <w:marTop w:val="0"/>
                  <w:marBottom w:val="0"/>
                  <w:divBdr>
                    <w:top w:val="none" w:sz="0" w:space="0" w:color="auto"/>
                    <w:left w:val="none" w:sz="0" w:space="0" w:color="auto"/>
                    <w:bottom w:val="none" w:sz="0" w:space="0" w:color="auto"/>
                    <w:right w:val="none" w:sz="0" w:space="0" w:color="auto"/>
                  </w:divBdr>
                  <w:divsChild>
                    <w:div w:id="597713180">
                      <w:marLeft w:val="0"/>
                      <w:marRight w:val="0"/>
                      <w:marTop w:val="0"/>
                      <w:marBottom w:val="0"/>
                      <w:divBdr>
                        <w:top w:val="none" w:sz="0" w:space="0" w:color="auto"/>
                        <w:left w:val="none" w:sz="0" w:space="0" w:color="auto"/>
                        <w:bottom w:val="none" w:sz="0" w:space="0" w:color="auto"/>
                        <w:right w:val="none" w:sz="0" w:space="0" w:color="auto"/>
                      </w:divBdr>
                    </w:div>
                  </w:divsChild>
                </w:div>
                <w:div w:id="630134336">
                  <w:marLeft w:val="0"/>
                  <w:marRight w:val="0"/>
                  <w:marTop w:val="0"/>
                  <w:marBottom w:val="0"/>
                  <w:divBdr>
                    <w:top w:val="none" w:sz="0" w:space="0" w:color="auto"/>
                    <w:left w:val="none" w:sz="0" w:space="0" w:color="auto"/>
                    <w:bottom w:val="none" w:sz="0" w:space="0" w:color="auto"/>
                    <w:right w:val="none" w:sz="0" w:space="0" w:color="auto"/>
                  </w:divBdr>
                  <w:divsChild>
                    <w:div w:id="1283532510">
                      <w:marLeft w:val="0"/>
                      <w:marRight w:val="0"/>
                      <w:marTop w:val="0"/>
                      <w:marBottom w:val="0"/>
                      <w:divBdr>
                        <w:top w:val="none" w:sz="0" w:space="0" w:color="auto"/>
                        <w:left w:val="none" w:sz="0" w:space="0" w:color="auto"/>
                        <w:bottom w:val="none" w:sz="0" w:space="0" w:color="auto"/>
                        <w:right w:val="none" w:sz="0" w:space="0" w:color="auto"/>
                      </w:divBdr>
                    </w:div>
                  </w:divsChild>
                </w:div>
                <w:div w:id="643852885">
                  <w:marLeft w:val="0"/>
                  <w:marRight w:val="0"/>
                  <w:marTop w:val="0"/>
                  <w:marBottom w:val="0"/>
                  <w:divBdr>
                    <w:top w:val="none" w:sz="0" w:space="0" w:color="auto"/>
                    <w:left w:val="none" w:sz="0" w:space="0" w:color="auto"/>
                    <w:bottom w:val="none" w:sz="0" w:space="0" w:color="auto"/>
                    <w:right w:val="none" w:sz="0" w:space="0" w:color="auto"/>
                  </w:divBdr>
                  <w:divsChild>
                    <w:div w:id="1591890944">
                      <w:marLeft w:val="0"/>
                      <w:marRight w:val="0"/>
                      <w:marTop w:val="0"/>
                      <w:marBottom w:val="0"/>
                      <w:divBdr>
                        <w:top w:val="none" w:sz="0" w:space="0" w:color="auto"/>
                        <w:left w:val="none" w:sz="0" w:space="0" w:color="auto"/>
                        <w:bottom w:val="none" w:sz="0" w:space="0" w:color="auto"/>
                        <w:right w:val="none" w:sz="0" w:space="0" w:color="auto"/>
                      </w:divBdr>
                    </w:div>
                  </w:divsChild>
                </w:div>
                <w:div w:id="650207507">
                  <w:marLeft w:val="0"/>
                  <w:marRight w:val="0"/>
                  <w:marTop w:val="0"/>
                  <w:marBottom w:val="0"/>
                  <w:divBdr>
                    <w:top w:val="none" w:sz="0" w:space="0" w:color="auto"/>
                    <w:left w:val="none" w:sz="0" w:space="0" w:color="auto"/>
                    <w:bottom w:val="none" w:sz="0" w:space="0" w:color="auto"/>
                    <w:right w:val="none" w:sz="0" w:space="0" w:color="auto"/>
                  </w:divBdr>
                  <w:divsChild>
                    <w:div w:id="1113744502">
                      <w:marLeft w:val="0"/>
                      <w:marRight w:val="0"/>
                      <w:marTop w:val="0"/>
                      <w:marBottom w:val="0"/>
                      <w:divBdr>
                        <w:top w:val="none" w:sz="0" w:space="0" w:color="auto"/>
                        <w:left w:val="none" w:sz="0" w:space="0" w:color="auto"/>
                        <w:bottom w:val="none" w:sz="0" w:space="0" w:color="auto"/>
                        <w:right w:val="none" w:sz="0" w:space="0" w:color="auto"/>
                      </w:divBdr>
                    </w:div>
                  </w:divsChild>
                </w:div>
                <w:div w:id="658316361">
                  <w:marLeft w:val="0"/>
                  <w:marRight w:val="0"/>
                  <w:marTop w:val="0"/>
                  <w:marBottom w:val="0"/>
                  <w:divBdr>
                    <w:top w:val="none" w:sz="0" w:space="0" w:color="auto"/>
                    <w:left w:val="none" w:sz="0" w:space="0" w:color="auto"/>
                    <w:bottom w:val="none" w:sz="0" w:space="0" w:color="auto"/>
                    <w:right w:val="none" w:sz="0" w:space="0" w:color="auto"/>
                  </w:divBdr>
                  <w:divsChild>
                    <w:div w:id="641034298">
                      <w:marLeft w:val="0"/>
                      <w:marRight w:val="0"/>
                      <w:marTop w:val="0"/>
                      <w:marBottom w:val="0"/>
                      <w:divBdr>
                        <w:top w:val="none" w:sz="0" w:space="0" w:color="auto"/>
                        <w:left w:val="none" w:sz="0" w:space="0" w:color="auto"/>
                        <w:bottom w:val="none" w:sz="0" w:space="0" w:color="auto"/>
                        <w:right w:val="none" w:sz="0" w:space="0" w:color="auto"/>
                      </w:divBdr>
                    </w:div>
                  </w:divsChild>
                </w:div>
                <w:div w:id="662316810">
                  <w:marLeft w:val="0"/>
                  <w:marRight w:val="0"/>
                  <w:marTop w:val="0"/>
                  <w:marBottom w:val="0"/>
                  <w:divBdr>
                    <w:top w:val="none" w:sz="0" w:space="0" w:color="auto"/>
                    <w:left w:val="none" w:sz="0" w:space="0" w:color="auto"/>
                    <w:bottom w:val="none" w:sz="0" w:space="0" w:color="auto"/>
                    <w:right w:val="none" w:sz="0" w:space="0" w:color="auto"/>
                  </w:divBdr>
                  <w:divsChild>
                    <w:div w:id="421462247">
                      <w:marLeft w:val="0"/>
                      <w:marRight w:val="0"/>
                      <w:marTop w:val="0"/>
                      <w:marBottom w:val="0"/>
                      <w:divBdr>
                        <w:top w:val="none" w:sz="0" w:space="0" w:color="auto"/>
                        <w:left w:val="none" w:sz="0" w:space="0" w:color="auto"/>
                        <w:bottom w:val="none" w:sz="0" w:space="0" w:color="auto"/>
                        <w:right w:val="none" w:sz="0" w:space="0" w:color="auto"/>
                      </w:divBdr>
                    </w:div>
                  </w:divsChild>
                </w:div>
                <w:div w:id="663049545">
                  <w:marLeft w:val="0"/>
                  <w:marRight w:val="0"/>
                  <w:marTop w:val="0"/>
                  <w:marBottom w:val="0"/>
                  <w:divBdr>
                    <w:top w:val="none" w:sz="0" w:space="0" w:color="auto"/>
                    <w:left w:val="none" w:sz="0" w:space="0" w:color="auto"/>
                    <w:bottom w:val="none" w:sz="0" w:space="0" w:color="auto"/>
                    <w:right w:val="none" w:sz="0" w:space="0" w:color="auto"/>
                  </w:divBdr>
                  <w:divsChild>
                    <w:div w:id="50270223">
                      <w:marLeft w:val="0"/>
                      <w:marRight w:val="0"/>
                      <w:marTop w:val="0"/>
                      <w:marBottom w:val="0"/>
                      <w:divBdr>
                        <w:top w:val="none" w:sz="0" w:space="0" w:color="auto"/>
                        <w:left w:val="none" w:sz="0" w:space="0" w:color="auto"/>
                        <w:bottom w:val="none" w:sz="0" w:space="0" w:color="auto"/>
                        <w:right w:val="none" w:sz="0" w:space="0" w:color="auto"/>
                      </w:divBdr>
                    </w:div>
                  </w:divsChild>
                </w:div>
                <w:div w:id="665786055">
                  <w:marLeft w:val="0"/>
                  <w:marRight w:val="0"/>
                  <w:marTop w:val="0"/>
                  <w:marBottom w:val="0"/>
                  <w:divBdr>
                    <w:top w:val="none" w:sz="0" w:space="0" w:color="auto"/>
                    <w:left w:val="none" w:sz="0" w:space="0" w:color="auto"/>
                    <w:bottom w:val="none" w:sz="0" w:space="0" w:color="auto"/>
                    <w:right w:val="none" w:sz="0" w:space="0" w:color="auto"/>
                  </w:divBdr>
                  <w:divsChild>
                    <w:div w:id="431315915">
                      <w:marLeft w:val="0"/>
                      <w:marRight w:val="0"/>
                      <w:marTop w:val="0"/>
                      <w:marBottom w:val="0"/>
                      <w:divBdr>
                        <w:top w:val="none" w:sz="0" w:space="0" w:color="auto"/>
                        <w:left w:val="none" w:sz="0" w:space="0" w:color="auto"/>
                        <w:bottom w:val="none" w:sz="0" w:space="0" w:color="auto"/>
                        <w:right w:val="none" w:sz="0" w:space="0" w:color="auto"/>
                      </w:divBdr>
                    </w:div>
                  </w:divsChild>
                </w:div>
                <w:div w:id="667447258">
                  <w:marLeft w:val="0"/>
                  <w:marRight w:val="0"/>
                  <w:marTop w:val="0"/>
                  <w:marBottom w:val="0"/>
                  <w:divBdr>
                    <w:top w:val="none" w:sz="0" w:space="0" w:color="auto"/>
                    <w:left w:val="none" w:sz="0" w:space="0" w:color="auto"/>
                    <w:bottom w:val="none" w:sz="0" w:space="0" w:color="auto"/>
                    <w:right w:val="none" w:sz="0" w:space="0" w:color="auto"/>
                  </w:divBdr>
                  <w:divsChild>
                    <w:div w:id="2032222233">
                      <w:marLeft w:val="0"/>
                      <w:marRight w:val="0"/>
                      <w:marTop w:val="0"/>
                      <w:marBottom w:val="0"/>
                      <w:divBdr>
                        <w:top w:val="none" w:sz="0" w:space="0" w:color="auto"/>
                        <w:left w:val="none" w:sz="0" w:space="0" w:color="auto"/>
                        <w:bottom w:val="none" w:sz="0" w:space="0" w:color="auto"/>
                        <w:right w:val="none" w:sz="0" w:space="0" w:color="auto"/>
                      </w:divBdr>
                    </w:div>
                  </w:divsChild>
                </w:div>
                <w:div w:id="674920504">
                  <w:marLeft w:val="0"/>
                  <w:marRight w:val="0"/>
                  <w:marTop w:val="0"/>
                  <w:marBottom w:val="0"/>
                  <w:divBdr>
                    <w:top w:val="none" w:sz="0" w:space="0" w:color="auto"/>
                    <w:left w:val="none" w:sz="0" w:space="0" w:color="auto"/>
                    <w:bottom w:val="none" w:sz="0" w:space="0" w:color="auto"/>
                    <w:right w:val="none" w:sz="0" w:space="0" w:color="auto"/>
                  </w:divBdr>
                  <w:divsChild>
                    <w:div w:id="438574123">
                      <w:marLeft w:val="0"/>
                      <w:marRight w:val="0"/>
                      <w:marTop w:val="0"/>
                      <w:marBottom w:val="0"/>
                      <w:divBdr>
                        <w:top w:val="none" w:sz="0" w:space="0" w:color="auto"/>
                        <w:left w:val="none" w:sz="0" w:space="0" w:color="auto"/>
                        <w:bottom w:val="none" w:sz="0" w:space="0" w:color="auto"/>
                        <w:right w:val="none" w:sz="0" w:space="0" w:color="auto"/>
                      </w:divBdr>
                    </w:div>
                  </w:divsChild>
                </w:div>
                <w:div w:id="675767567">
                  <w:marLeft w:val="0"/>
                  <w:marRight w:val="0"/>
                  <w:marTop w:val="0"/>
                  <w:marBottom w:val="0"/>
                  <w:divBdr>
                    <w:top w:val="none" w:sz="0" w:space="0" w:color="auto"/>
                    <w:left w:val="none" w:sz="0" w:space="0" w:color="auto"/>
                    <w:bottom w:val="none" w:sz="0" w:space="0" w:color="auto"/>
                    <w:right w:val="none" w:sz="0" w:space="0" w:color="auto"/>
                  </w:divBdr>
                  <w:divsChild>
                    <w:div w:id="1006515675">
                      <w:marLeft w:val="0"/>
                      <w:marRight w:val="0"/>
                      <w:marTop w:val="0"/>
                      <w:marBottom w:val="0"/>
                      <w:divBdr>
                        <w:top w:val="none" w:sz="0" w:space="0" w:color="auto"/>
                        <w:left w:val="none" w:sz="0" w:space="0" w:color="auto"/>
                        <w:bottom w:val="none" w:sz="0" w:space="0" w:color="auto"/>
                        <w:right w:val="none" w:sz="0" w:space="0" w:color="auto"/>
                      </w:divBdr>
                    </w:div>
                  </w:divsChild>
                </w:div>
                <w:div w:id="676927522">
                  <w:marLeft w:val="0"/>
                  <w:marRight w:val="0"/>
                  <w:marTop w:val="0"/>
                  <w:marBottom w:val="0"/>
                  <w:divBdr>
                    <w:top w:val="none" w:sz="0" w:space="0" w:color="auto"/>
                    <w:left w:val="none" w:sz="0" w:space="0" w:color="auto"/>
                    <w:bottom w:val="none" w:sz="0" w:space="0" w:color="auto"/>
                    <w:right w:val="none" w:sz="0" w:space="0" w:color="auto"/>
                  </w:divBdr>
                  <w:divsChild>
                    <w:div w:id="636759318">
                      <w:marLeft w:val="0"/>
                      <w:marRight w:val="0"/>
                      <w:marTop w:val="0"/>
                      <w:marBottom w:val="0"/>
                      <w:divBdr>
                        <w:top w:val="none" w:sz="0" w:space="0" w:color="auto"/>
                        <w:left w:val="none" w:sz="0" w:space="0" w:color="auto"/>
                        <w:bottom w:val="none" w:sz="0" w:space="0" w:color="auto"/>
                        <w:right w:val="none" w:sz="0" w:space="0" w:color="auto"/>
                      </w:divBdr>
                    </w:div>
                  </w:divsChild>
                </w:div>
                <w:div w:id="681515549">
                  <w:marLeft w:val="0"/>
                  <w:marRight w:val="0"/>
                  <w:marTop w:val="0"/>
                  <w:marBottom w:val="0"/>
                  <w:divBdr>
                    <w:top w:val="none" w:sz="0" w:space="0" w:color="auto"/>
                    <w:left w:val="none" w:sz="0" w:space="0" w:color="auto"/>
                    <w:bottom w:val="none" w:sz="0" w:space="0" w:color="auto"/>
                    <w:right w:val="none" w:sz="0" w:space="0" w:color="auto"/>
                  </w:divBdr>
                  <w:divsChild>
                    <w:div w:id="408233931">
                      <w:marLeft w:val="0"/>
                      <w:marRight w:val="0"/>
                      <w:marTop w:val="0"/>
                      <w:marBottom w:val="0"/>
                      <w:divBdr>
                        <w:top w:val="none" w:sz="0" w:space="0" w:color="auto"/>
                        <w:left w:val="none" w:sz="0" w:space="0" w:color="auto"/>
                        <w:bottom w:val="none" w:sz="0" w:space="0" w:color="auto"/>
                        <w:right w:val="none" w:sz="0" w:space="0" w:color="auto"/>
                      </w:divBdr>
                    </w:div>
                  </w:divsChild>
                </w:div>
                <w:div w:id="692221483">
                  <w:marLeft w:val="0"/>
                  <w:marRight w:val="0"/>
                  <w:marTop w:val="0"/>
                  <w:marBottom w:val="0"/>
                  <w:divBdr>
                    <w:top w:val="none" w:sz="0" w:space="0" w:color="auto"/>
                    <w:left w:val="none" w:sz="0" w:space="0" w:color="auto"/>
                    <w:bottom w:val="none" w:sz="0" w:space="0" w:color="auto"/>
                    <w:right w:val="none" w:sz="0" w:space="0" w:color="auto"/>
                  </w:divBdr>
                  <w:divsChild>
                    <w:div w:id="1046641634">
                      <w:marLeft w:val="0"/>
                      <w:marRight w:val="0"/>
                      <w:marTop w:val="0"/>
                      <w:marBottom w:val="0"/>
                      <w:divBdr>
                        <w:top w:val="none" w:sz="0" w:space="0" w:color="auto"/>
                        <w:left w:val="none" w:sz="0" w:space="0" w:color="auto"/>
                        <w:bottom w:val="none" w:sz="0" w:space="0" w:color="auto"/>
                        <w:right w:val="none" w:sz="0" w:space="0" w:color="auto"/>
                      </w:divBdr>
                    </w:div>
                  </w:divsChild>
                </w:div>
                <w:div w:id="693844714">
                  <w:marLeft w:val="0"/>
                  <w:marRight w:val="0"/>
                  <w:marTop w:val="0"/>
                  <w:marBottom w:val="0"/>
                  <w:divBdr>
                    <w:top w:val="none" w:sz="0" w:space="0" w:color="auto"/>
                    <w:left w:val="none" w:sz="0" w:space="0" w:color="auto"/>
                    <w:bottom w:val="none" w:sz="0" w:space="0" w:color="auto"/>
                    <w:right w:val="none" w:sz="0" w:space="0" w:color="auto"/>
                  </w:divBdr>
                  <w:divsChild>
                    <w:div w:id="1810199384">
                      <w:marLeft w:val="0"/>
                      <w:marRight w:val="0"/>
                      <w:marTop w:val="0"/>
                      <w:marBottom w:val="0"/>
                      <w:divBdr>
                        <w:top w:val="none" w:sz="0" w:space="0" w:color="auto"/>
                        <w:left w:val="none" w:sz="0" w:space="0" w:color="auto"/>
                        <w:bottom w:val="none" w:sz="0" w:space="0" w:color="auto"/>
                        <w:right w:val="none" w:sz="0" w:space="0" w:color="auto"/>
                      </w:divBdr>
                    </w:div>
                  </w:divsChild>
                </w:div>
                <w:div w:id="723333038">
                  <w:marLeft w:val="0"/>
                  <w:marRight w:val="0"/>
                  <w:marTop w:val="0"/>
                  <w:marBottom w:val="0"/>
                  <w:divBdr>
                    <w:top w:val="none" w:sz="0" w:space="0" w:color="auto"/>
                    <w:left w:val="none" w:sz="0" w:space="0" w:color="auto"/>
                    <w:bottom w:val="none" w:sz="0" w:space="0" w:color="auto"/>
                    <w:right w:val="none" w:sz="0" w:space="0" w:color="auto"/>
                  </w:divBdr>
                  <w:divsChild>
                    <w:div w:id="181630872">
                      <w:marLeft w:val="0"/>
                      <w:marRight w:val="0"/>
                      <w:marTop w:val="0"/>
                      <w:marBottom w:val="0"/>
                      <w:divBdr>
                        <w:top w:val="none" w:sz="0" w:space="0" w:color="auto"/>
                        <w:left w:val="none" w:sz="0" w:space="0" w:color="auto"/>
                        <w:bottom w:val="none" w:sz="0" w:space="0" w:color="auto"/>
                        <w:right w:val="none" w:sz="0" w:space="0" w:color="auto"/>
                      </w:divBdr>
                    </w:div>
                  </w:divsChild>
                </w:div>
                <w:div w:id="724063792">
                  <w:marLeft w:val="0"/>
                  <w:marRight w:val="0"/>
                  <w:marTop w:val="0"/>
                  <w:marBottom w:val="0"/>
                  <w:divBdr>
                    <w:top w:val="none" w:sz="0" w:space="0" w:color="auto"/>
                    <w:left w:val="none" w:sz="0" w:space="0" w:color="auto"/>
                    <w:bottom w:val="none" w:sz="0" w:space="0" w:color="auto"/>
                    <w:right w:val="none" w:sz="0" w:space="0" w:color="auto"/>
                  </w:divBdr>
                  <w:divsChild>
                    <w:div w:id="107705306">
                      <w:marLeft w:val="0"/>
                      <w:marRight w:val="0"/>
                      <w:marTop w:val="0"/>
                      <w:marBottom w:val="0"/>
                      <w:divBdr>
                        <w:top w:val="none" w:sz="0" w:space="0" w:color="auto"/>
                        <w:left w:val="none" w:sz="0" w:space="0" w:color="auto"/>
                        <w:bottom w:val="none" w:sz="0" w:space="0" w:color="auto"/>
                        <w:right w:val="none" w:sz="0" w:space="0" w:color="auto"/>
                      </w:divBdr>
                    </w:div>
                  </w:divsChild>
                </w:div>
                <w:div w:id="731269318">
                  <w:marLeft w:val="0"/>
                  <w:marRight w:val="0"/>
                  <w:marTop w:val="0"/>
                  <w:marBottom w:val="0"/>
                  <w:divBdr>
                    <w:top w:val="none" w:sz="0" w:space="0" w:color="auto"/>
                    <w:left w:val="none" w:sz="0" w:space="0" w:color="auto"/>
                    <w:bottom w:val="none" w:sz="0" w:space="0" w:color="auto"/>
                    <w:right w:val="none" w:sz="0" w:space="0" w:color="auto"/>
                  </w:divBdr>
                  <w:divsChild>
                    <w:div w:id="669523754">
                      <w:marLeft w:val="0"/>
                      <w:marRight w:val="0"/>
                      <w:marTop w:val="0"/>
                      <w:marBottom w:val="0"/>
                      <w:divBdr>
                        <w:top w:val="none" w:sz="0" w:space="0" w:color="auto"/>
                        <w:left w:val="none" w:sz="0" w:space="0" w:color="auto"/>
                        <w:bottom w:val="none" w:sz="0" w:space="0" w:color="auto"/>
                        <w:right w:val="none" w:sz="0" w:space="0" w:color="auto"/>
                      </w:divBdr>
                    </w:div>
                  </w:divsChild>
                </w:div>
                <w:div w:id="736050052">
                  <w:marLeft w:val="0"/>
                  <w:marRight w:val="0"/>
                  <w:marTop w:val="0"/>
                  <w:marBottom w:val="0"/>
                  <w:divBdr>
                    <w:top w:val="none" w:sz="0" w:space="0" w:color="auto"/>
                    <w:left w:val="none" w:sz="0" w:space="0" w:color="auto"/>
                    <w:bottom w:val="none" w:sz="0" w:space="0" w:color="auto"/>
                    <w:right w:val="none" w:sz="0" w:space="0" w:color="auto"/>
                  </w:divBdr>
                  <w:divsChild>
                    <w:div w:id="773940402">
                      <w:marLeft w:val="0"/>
                      <w:marRight w:val="0"/>
                      <w:marTop w:val="0"/>
                      <w:marBottom w:val="0"/>
                      <w:divBdr>
                        <w:top w:val="none" w:sz="0" w:space="0" w:color="auto"/>
                        <w:left w:val="none" w:sz="0" w:space="0" w:color="auto"/>
                        <w:bottom w:val="none" w:sz="0" w:space="0" w:color="auto"/>
                        <w:right w:val="none" w:sz="0" w:space="0" w:color="auto"/>
                      </w:divBdr>
                    </w:div>
                  </w:divsChild>
                </w:div>
                <w:div w:id="737169269">
                  <w:marLeft w:val="0"/>
                  <w:marRight w:val="0"/>
                  <w:marTop w:val="0"/>
                  <w:marBottom w:val="0"/>
                  <w:divBdr>
                    <w:top w:val="none" w:sz="0" w:space="0" w:color="auto"/>
                    <w:left w:val="none" w:sz="0" w:space="0" w:color="auto"/>
                    <w:bottom w:val="none" w:sz="0" w:space="0" w:color="auto"/>
                    <w:right w:val="none" w:sz="0" w:space="0" w:color="auto"/>
                  </w:divBdr>
                  <w:divsChild>
                    <w:div w:id="519661953">
                      <w:marLeft w:val="0"/>
                      <w:marRight w:val="0"/>
                      <w:marTop w:val="0"/>
                      <w:marBottom w:val="0"/>
                      <w:divBdr>
                        <w:top w:val="none" w:sz="0" w:space="0" w:color="auto"/>
                        <w:left w:val="none" w:sz="0" w:space="0" w:color="auto"/>
                        <w:bottom w:val="none" w:sz="0" w:space="0" w:color="auto"/>
                        <w:right w:val="none" w:sz="0" w:space="0" w:color="auto"/>
                      </w:divBdr>
                    </w:div>
                  </w:divsChild>
                </w:div>
                <w:div w:id="738747028">
                  <w:marLeft w:val="0"/>
                  <w:marRight w:val="0"/>
                  <w:marTop w:val="0"/>
                  <w:marBottom w:val="0"/>
                  <w:divBdr>
                    <w:top w:val="none" w:sz="0" w:space="0" w:color="auto"/>
                    <w:left w:val="none" w:sz="0" w:space="0" w:color="auto"/>
                    <w:bottom w:val="none" w:sz="0" w:space="0" w:color="auto"/>
                    <w:right w:val="none" w:sz="0" w:space="0" w:color="auto"/>
                  </w:divBdr>
                  <w:divsChild>
                    <w:div w:id="1590233847">
                      <w:marLeft w:val="0"/>
                      <w:marRight w:val="0"/>
                      <w:marTop w:val="0"/>
                      <w:marBottom w:val="0"/>
                      <w:divBdr>
                        <w:top w:val="none" w:sz="0" w:space="0" w:color="auto"/>
                        <w:left w:val="none" w:sz="0" w:space="0" w:color="auto"/>
                        <w:bottom w:val="none" w:sz="0" w:space="0" w:color="auto"/>
                        <w:right w:val="none" w:sz="0" w:space="0" w:color="auto"/>
                      </w:divBdr>
                    </w:div>
                  </w:divsChild>
                </w:div>
                <w:div w:id="741177263">
                  <w:marLeft w:val="0"/>
                  <w:marRight w:val="0"/>
                  <w:marTop w:val="0"/>
                  <w:marBottom w:val="0"/>
                  <w:divBdr>
                    <w:top w:val="none" w:sz="0" w:space="0" w:color="auto"/>
                    <w:left w:val="none" w:sz="0" w:space="0" w:color="auto"/>
                    <w:bottom w:val="none" w:sz="0" w:space="0" w:color="auto"/>
                    <w:right w:val="none" w:sz="0" w:space="0" w:color="auto"/>
                  </w:divBdr>
                  <w:divsChild>
                    <w:div w:id="651059415">
                      <w:marLeft w:val="0"/>
                      <w:marRight w:val="0"/>
                      <w:marTop w:val="0"/>
                      <w:marBottom w:val="0"/>
                      <w:divBdr>
                        <w:top w:val="none" w:sz="0" w:space="0" w:color="auto"/>
                        <w:left w:val="none" w:sz="0" w:space="0" w:color="auto"/>
                        <w:bottom w:val="none" w:sz="0" w:space="0" w:color="auto"/>
                        <w:right w:val="none" w:sz="0" w:space="0" w:color="auto"/>
                      </w:divBdr>
                    </w:div>
                  </w:divsChild>
                </w:div>
                <w:div w:id="741831072">
                  <w:marLeft w:val="0"/>
                  <w:marRight w:val="0"/>
                  <w:marTop w:val="0"/>
                  <w:marBottom w:val="0"/>
                  <w:divBdr>
                    <w:top w:val="none" w:sz="0" w:space="0" w:color="auto"/>
                    <w:left w:val="none" w:sz="0" w:space="0" w:color="auto"/>
                    <w:bottom w:val="none" w:sz="0" w:space="0" w:color="auto"/>
                    <w:right w:val="none" w:sz="0" w:space="0" w:color="auto"/>
                  </w:divBdr>
                  <w:divsChild>
                    <w:div w:id="1377508799">
                      <w:marLeft w:val="0"/>
                      <w:marRight w:val="0"/>
                      <w:marTop w:val="0"/>
                      <w:marBottom w:val="0"/>
                      <w:divBdr>
                        <w:top w:val="none" w:sz="0" w:space="0" w:color="auto"/>
                        <w:left w:val="none" w:sz="0" w:space="0" w:color="auto"/>
                        <w:bottom w:val="none" w:sz="0" w:space="0" w:color="auto"/>
                        <w:right w:val="none" w:sz="0" w:space="0" w:color="auto"/>
                      </w:divBdr>
                    </w:div>
                  </w:divsChild>
                </w:div>
                <w:div w:id="745735785">
                  <w:marLeft w:val="0"/>
                  <w:marRight w:val="0"/>
                  <w:marTop w:val="0"/>
                  <w:marBottom w:val="0"/>
                  <w:divBdr>
                    <w:top w:val="none" w:sz="0" w:space="0" w:color="auto"/>
                    <w:left w:val="none" w:sz="0" w:space="0" w:color="auto"/>
                    <w:bottom w:val="none" w:sz="0" w:space="0" w:color="auto"/>
                    <w:right w:val="none" w:sz="0" w:space="0" w:color="auto"/>
                  </w:divBdr>
                  <w:divsChild>
                    <w:div w:id="1098987742">
                      <w:marLeft w:val="0"/>
                      <w:marRight w:val="0"/>
                      <w:marTop w:val="0"/>
                      <w:marBottom w:val="0"/>
                      <w:divBdr>
                        <w:top w:val="none" w:sz="0" w:space="0" w:color="auto"/>
                        <w:left w:val="none" w:sz="0" w:space="0" w:color="auto"/>
                        <w:bottom w:val="none" w:sz="0" w:space="0" w:color="auto"/>
                        <w:right w:val="none" w:sz="0" w:space="0" w:color="auto"/>
                      </w:divBdr>
                    </w:div>
                  </w:divsChild>
                </w:div>
                <w:div w:id="749234150">
                  <w:marLeft w:val="0"/>
                  <w:marRight w:val="0"/>
                  <w:marTop w:val="0"/>
                  <w:marBottom w:val="0"/>
                  <w:divBdr>
                    <w:top w:val="none" w:sz="0" w:space="0" w:color="auto"/>
                    <w:left w:val="none" w:sz="0" w:space="0" w:color="auto"/>
                    <w:bottom w:val="none" w:sz="0" w:space="0" w:color="auto"/>
                    <w:right w:val="none" w:sz="0" w:space="0" w:color="auto"/>
                  </w:divBdr>
                  <w:divsChild>
                    <w:div w:id="1743407837">
                      <w:marLeft w:val="0"/>
                      <w:marRight w:val="0"/>
                      <w:marTop w:val="0"/>
                      <w:marBottom w:val="0"/>
                      <w:divBdr>
                        <w:top w:val="none" w:sz="0" w:space="0" w:color="auto"/>
                        <w:left w:val="none" w:sz="0" w:space="0" w:color="auto"/>
                        <w:bottom w:val="none" w:sz="0" w:space="0" w:color="auto"/>
                        <w:right w:val="none" w:sz="0" w:space="0" w:color="auto"/>
                      </w:divBdr>
                    </w:div>
                  </w:divsChild>
                </w:div>
                <w:div w:id="754013931">
                  <w:marLeft w:val="0"/>
                  <w:marRight w:val="0"/>
                  <w:marTop w:val="0"/>
                  <w:marBottom w:val="0"/>
                  <w:divBdr>
                    <w:top w:val="none" w:sz="0" w:space="0" w:color="auto"/>
                    <w:left w:val="none" w:sz="0" w:space="0" w:color="auto"/>
                    <w:bottom w:val="none" w:sz="0" w:space="0" w:color="auto"/>
                    <w:right w:val="none" w:sz="0" w:space="0" w:color="auto"/>
                  </w:divBdr>
                  <w:divsChild>
                    <w:div w:id="909076048">
                      <w:marLeft w:val="0"/>
                      <w:marRight w:val="0"/>
                      <w:marTop w:val="0"/>
                      <w:marBottom w:val="0"/>
                      <w:divBdr>
                        <w:top w:val="none" w:sz="0" w:space="0" w:color="auto"/>
                        <w:left w:val="none" w:sz="0" w:space="0" w:color="auto"/>
                        <w:bottom w:val="none" w:sz="0" w:space="0" w:color="auto"/>
                        <w:right w:val="none" w:sz="0" w:space="0" w:color="auto"/>
                      </w:divBdr>
                    </w:div>
                  </w:divsChild>
                </w:div>
                <w:div w:id="757483836">
                  <w:marLeft w:val="0"/>
                  <w:marRight w:val="0"/>
                  <w:marTop w:val="0"/>
                  <w:marBottom w:val="0"/>
                  <w:divBdr>
                    <w:top w:val="none" w:sz="0" w:space="0" w:color="auto"/>
                    <w:left w:val="none" w:sz="0" w:space="0" w:color="auto"/>
                    <w:bottom w:val="none" w:sz="0" w:space="0" w:color="auto"/>
                    <w:right w:val="none" w:sz="0" w:space="0" w:color="auto"/>
                  </w:divBdr>
                  <w:divsChild>
                    <w:div w:id="976111939">
                      <w:marLeft w:val="0"/>
                      <w:marRight w:val="0"/>
                      <w:marTop w:val="0"/>
                      <w:marBottom w:val="0"/>
                      <w:divBdr>
                        <w:top w:val="none" w:sz="0" w:space="0" w:color="auto"/>
                        <w:left w:val="none" w:sz="0" w:space="0" w:color="auto"/>
                        <w:bottom w:val="none" w:sz="0" w:space="0" w:color="auto"/>
                        <w:right w:val="none" w:sz="0" w:space="0" w:color="auto"/>
                      </w:divBdr>
                    </w:div>
                  </w:divsChild>
                </w:div>
                <w:div w:id="769660257">
                  <w:marLeft w:val="0"/>
                  <w:marRight w:val="0"/>
                  <w:marTop w:val="0"/>
                  <w:marBottom w:val="0"/>
                  <w:divBdr>
                    <w:top w:val="none" w:sz="0" w:space="0" w:color="auto"/>
                    <w:left w:val="none" w:sz="0" w:space="0" w:color="auto"/>
                    <w:bottom w:val="none" w:sz="0" w:space="0" w:color="auto"/>
                    <w:right w:val="none" w:sz="0" w:space="0" w:color="auto"/>
                  </w:divBdr>
                  <w:divsChild>
                    <w:div w:id="416825897">
                      <w:marLeft w:val="0"/>
                      <w:marRight w:val="0"/>
                      <w:marTop w:val="0"/>
                      <w:marBottom w:val="0"/>
                      <w:divBdr>
                        <w:top w:val="none" w:sz="0" w:space="0" w:color="auto"/>
                        <w:left w:val="none" w:sz="0" w:space="0" w:color="auto"/>
                        <w:bottom w:val="none" w:sz="0" w:space="0" w:color="auto"/>
                        <w:right w:val="none" w:sz="0" w:space="0" w:color="auto"/>
                      </w:divBdr>
                    </w:div>
                  </w:divsChild>
                </w:div>
                <w:div w:id="777334020">
                  <w:marLeft w:val="0"/>
                  <w:marRight w:val="0"/>
                  <w:marTop w:val="0"/>
                  <w:marBottom w:val="0"/>
                  <w:divBdr>
                    <w:top w:val="none" w:sz="0" w:space="0" w:color="auto"/>
                    <w:left w:val="none" w:sz="0" w:space="0" w:color="auto"/>
                    <w:bottom w:val="none" w:sz="0" w:space="0" w:color="auto"/>
                    <w:right w:val="none" w:sz="0" w:space="0" w:color="auto"/>
                  </w:divBdr>
                  <w:divsChild>
                    <w:div w:id="1407844583">
                      <w:marLeft w:val="0"/>
                      <w:marRight w:val="0"/>
                      <w:marTop w:val="0"/>
                      <w:marBottom w:val="0"/>
                      <w:divBdr>
                        <w:top w:val="none" w:sz="0" w:space="0" w:color="auto"/>
                        <w:left w:val="none" w:sz="0" w:space="0" w:color="auto"/>
                        <w:bottom w:val="none" w:sz="0" w:space="0" w:color="auto"/>
                        <w:right w:val="none" w:sz="0" w:space="0" w:color="auto"/>
                      </w:divBdr>
                    </w:div>
                  </w:divsChild>
                </w:div>
                <w:div w:id="782070024">
                  <w:marLeft w:val="0"/>
                  <w:marRight w:val="0"/>
                  <w:marTop w:val="0"/>
                  <w:marBottom w:val="0"/>
                  <w:divBdr>
                    <w:top w:val="none" w:sz="0" w:space="0" w:color="auto"/>
                    <w:left w:val="none" w:sz="0" w:space="0" w:color="auto"/>
                    <w:bottom w:val="none" w:sz="0" w:space="0" w:color="auto"/>
                    <w:right w:val="none" w:sz="0" w:space="0" w:color="auto"/>
                  </w:divBdr>
                  <w:divsChild>
                    <w:div w:id="1854033673">
                      <w:marLeft w:val="0"/>
                      <w:marRight w:val="0"/>
                      <w:marTop w:val="0"/>
                      <w:marBottom w:val="0"/>
                      <w:divBdr>
                        <w:top w:val="none" w:sz="0" w:space="0" w:color="auto"/>
                        <w:left w:val="none" w:sz="0" w:space="0" w:color="auto"/>
                        <w:bottom w:val="none" w:sz="0" w:space="0" w:color="auto"/>
                        <w:right w:val="none" w:sz="0" w:space="0" w:color="auto"/>
                      </w:divBdr>
                    </w:div>
                  </w:divsChild>
                </w:div>
                <w:div w:id="782456283">
                  <w:marLeft w:val="0"/>
                  <w:marRight w:val="0"/>
                  <w:marTop w:val="0"/>
                  <w:marBottom w:val="0"/>
                  <w:divBdr>
                    <w:top w:val="none" w:sz="0" w:space="0" w:color="auto"/>
                    <w:left w:val="none" w:sz="0" w:space="0" w:color="auto"/>
                    <w:bottom w:val="none" w:sz="0" w:space="0" w:color="auto"/>
                    <w:right w:val="none" w:sz="0" w:space="0" w:color="auto"/>
                  </w:divBdr>
                  <w:divsChild>
                    <w:div w:id="2121146401">
                      <w:marLeft w:val="0"/>
                      <w:marRight w:val="0"/>
                      <w:marTop w:val="0"/>
                      <w:marBottom w:val="0"/>
                      <w:divBdr>
                        <w:top w:val="none" w:sz="0" w:space="0" w:color="auto"/>
                        <w:left w:val="none" w:sz="0" w:space="0" w:color="auto"/>
                        <w:bottom w:val="none" w:sz="0" w:space="0" w:color="auto"/>
                        <w:right w:val="none" w:sz="0" w:space="0" w:color="auto"/>
                      </w:divBdr>
                    </w:div>
                  </w:divsChild>
                </w:div>
                <w:div w:id="783575473">
                  <w:marLeft w:val="0"/>
                  <w:marRight w:val="0"/>
                  <w:marTop w:val="0"/>
                  <w:marBottom w:val="0"/>
                  <w:divBdr>
                    <w:top w:val="none" w:sz="0" w:space="0" w:color="auto"/>
                    <w:left w:val="none" w:sz="0" w:space="0" w:color="auto"/>
                    <w:bottom w:val="none" w:sz="0" w:space="0" w:color="auto"/>
                    <w:right w:val="none" w:sz="0" w:space="0" w:color="auto"/>
                  </w:divBdr>
                  <w:divsChild>
                    <w:div w:id="614672955">
                      <w:marLeft w:val="0"/>
                      <w:marRight w:val="0"/>
                      <w:marTop w:val="0"/>
                      <w:marBottom w:val="0"/>
                      <w:divBdr>
                        <w:top w:val="none" w:sz="0" w:space="0" w:color="auto"/>
                        <w:left w:val="none" w:sz="0" w:space="0" w:color="auto"/>
                        <w:bottom w:val="none" w:sz="0" w:space="0" w:color="auto"/>
                        <w:right w:val="none" w:sz="0" w:space="0" w:color="auto"/>
                      </w:divBdr>
                    </w:div>
                  </w:divsChild>
                </w:div>
                <w:div w:id="783958541">
                  <w:marLeft w:val="0"/>
                  <w:marRight w:val="0"/>
                  <w:marTop w:val="0"/>
                  <w:marBottom w:val="0"/>
                  <w:divBdr>
                    <w:top w:val="none" w:sz="0" w:space="0" w:color="auto"/>
                    <w:left w:val="none" w:sz="0" w:space="0" w:color="auto"/>
                    <w:bottom w:val="none" w:sz="0" w:space="0" w:color="auto"/>
                    <w:right w:val="none" w:sz="0" w:space="0" w:color="auto"/>
                  </w:divBdr>
                  <w:divsChild>
                    <w:div w:id="371275501">
                      <w:marLeft w:val="0"/>
                      <w:marRight w:val="0"/>
                      <w:marTop w:val="0"/>
                      <w:marBottom w:val="0"/>
                      <w:divBdr>
                        <w:top w:val="none" w:sz="0" w:space="0" w:color="auto"/>
                        <w:left w:val="none" w:sz="0" w:space="0" w:color="auto"/>
                        <w:bottom w:val="none" w:sz="0" w:space="0" w:color="auto"/>
                        <w:right w:val="none" w:sz="0" w:space="0" w:color="auto"/>
                      </w:divBdr>
                    </w:div>
                  </w:divsChild>
                </w:div>
                <w:div w:id="784927680">
                  <w:marLeft w:val="0"/>
                  <w:marRight w:val="0"/>
                  <w:marTop w:val="0"/>
                  <w:marBottom w:val="0"/>
                  <w:divBdr>
                    <w:top w:val="none" w:sz="0" w:space="0" w:color="auto"/>
                    <w:left w:val="none" w:sz="0" w:space="0" w:color="auto"/>
                    <w:bottom w:val="none" w:sz="0" w:space="0" w:color="auto"/>
                    <w:right w:val="none" w:sz="0" w:space="0" w:color="auto"/>
                  </w:divBdr>
                  <w:divsChild>
                    <w:div w:id="716196443">
                      <w:marLeft w:val="0"/>
                      <w:marRight w:val="0"/>
                      <w:marTop w:val="0"/>
                      <w:marBottom w:val="0"/>
                      <w:divBdr>
                        <w:top w:val="none" w:sz="0" w:space="0" w:color="auto"/>
                        <w:left w:val="none" w:sz="0" w:space="0" w:color="auto"/>
                        <w:bottom w:val="none" w:sz="0" w:space="0" w:color="auto"/>
                        <w:right w:val="none" w:sz="0" w:space="0" w:color="auto"/>
                      </w:divBdr>
                    </w:div>
                  </w:divsChild>
                </w:div>
                <w:div w:id="794567543">
                  <w:marLeft w:val="0"/>
                  <w:marRight w:val="0"/>
                  <w:marTop w:val="0"/>
                  <w:marBottom w:val="0"/>
                  <w:divBdr>
                    <w:top w:val="none" w:sz="0" w:space="0" w:color="auto"/>
                    <w:left w:val="none" w:sz="0" w:space="0" w:color="auto"/>
                    <w:bottom w:val="none" w:sz="0" w:space="0" w:color="auto"/>
                    <w:right w:val="none" w:sz="0" w:space="0" w:color="auto"/>
                  </w:divBdr>
                  <w:divsChild>
                    <w:div w:id="1834761768">
                      <w:marLeft w:val="0"/>
                      <w:marRight w:val="0"/>
                      <w:marTop w:val="0"/>
                      <w:marBottom w:val="0"/>
                      <w:divBdr>
                        <w:top w:val="none" w:sz="0" w:space="0" w:color="auto"/>
                        <w:left w:val="none" w:sz="0" w:space="0" w:color="auto"/>
                        <w:bottom w:val="none" w:sz="0" w:space="0" w:color="auto"/>
                        <w:right w:val="none" w:sz="0" w:space="0" w:color="auto"/>
                      </w:divBdr>
                    </w:div>
                  </w:divsChild>
                </w:div>
                <w:div w:id="796610397">
                  <w:marLeft w:val="0"/>
                  <w:marRight w:val="0"/>
                  <w:marTop w:val="0"/>
                  <w:marBottom w:val="0"/>
                  <w:divBdr>
                    <w:top w:val="none" w:sz="0" w:space="0" w:color="auto"/>
                    <w:left w:val="none" w:sz="0" w:space="0" w:color="auto"/>
                    <w:bottom w:val="none" w:sz="0" w:space="0" w:color="auto"/>
                    <w:right w:val="none" w:sz="0" w:space="0" w:color="auto"/>
                  </w:divBdr>
                  <w:divsChild>
                    <w:div w:id="1646545249">
                      <w:marLeft w:val="0"/>
                      <w:marRight w:val="0"/>
                      <w:marTop w:val="0"/>
                      <w:marBottom w:val="0"/>
                      <w:divBdr>
                        <w:top w:val="none" w:sz="0" w:space="0" w:color="auto"/>
                        <w:left w:val="none" w:sz="0" w:space="0" w:color="auto"/>
                        <w:bottom w:val="none" w:sz="0" w:space="0" w:color="auto"/>
                        <w:right w:val="none" w:sz="0" w:space="0" w:color="auto"/>
                      </w:divBdr>
                    </w:div>
                  </w:divsChild>
                </w:div>
                <w:div w:id="809788986">
                  <w:marLeft w:val="0"/>
                  <w:marRight w:val="0"/>
                  <w:marTop w:val="0"/>
                  <w:marBottom w:val="0"/>
                  <w:divBdr>
                    <w:top w:val="none" w:sz="0" w:space="0" w:color="auto"/>
                    <w:left w:val="none" w:sz="0" w:space="0" w:color="auto"/>
                    <w:bottom w:val="none" w:sz="0" w:space="0" w:color="auto"/>
                    <w:right w:val="none" w:sz="0" w:space="0" w:color="auto"/>
                  </w:divBdr>
                  <w:divsChild>
                    <w:div w:id="2093042151">
                      <w:marLeft w:val="0"/>
                      <w:marRight w:val="0"/>
                      <w:marTop w:val="0"/>
                      <w:marBottom w:val="0"/>
                      <w:divBdr>
                        <w:top w:val="none" w:sz="0" w:space="0" w:color="auto"/>
                        <w:left w:val="none" w:sz="0" w:space="0" w:color="auto"/>
                        <w:bottom w:val="none" w:sz="0" w:space="0" w:color="auto"/>
                        <w:right w:val="none" w:sz="0" w:space="0" w:color="auto"/>
                      </w:divBdr>
                    </w:div>
                  </w:divsChild>
                </w:div>
                <w:div w:id="812869644">
                  <w:marLeft w:val="0"/>
                  <w:marRight w:val="0"/>
                  <w:marTop w:val="0"/>
                  <w:marBottom w:val="0"/>
                  <w:divBdr>
                    <w:top w:val="none" w:sz="0" w:space="0" w:color="auto"/>
                    <w:left w:val="none" w:sz="0" w:space="0" w:color="auto"/>
                    <w:bottom w:val="none" w:sz="0" w:space="0" w:color="auto"/>
                    <w:right w:val="none" w:sz="0" w:space="0" w:color="auto"/>
                  </w:divBdr>
                  <w:divsChild>
                    <w:div w:id="998729076">
                      <w:marLeft w:val="0"/>
                      <w:marRight w:val="0"/>
                      <w:marTop w:val="0"/>
                      <w:marBottom w:val="0"/>
                      <w:divBdr>
                        <w:top w:val="none" w:sz="0" w:space="0" w:color="auto"/>
                        <w:left w:val="none" w:sz="0" w:space="0" w:color="auto"/>
                        <w:bottom w:val="none" w:sz="0" w:space="0" w:color="auto"/>
                        <w:right w:val="none" w:sz="0" w:space="0" w:color="auto"/>
                      </w:divBdr>
                    </w:div>
                  </w:divsChild>
                </w:div>
                <w:div w:id="813253610">
                  <w:marLeft w:val="0"/>
                  <w:marRight w:val="0"/>
                  <w:marTop w:val="0"/>
                  <w:marBottom w:val="0"/>
                  <w:divBdr>
                    <w:top w:val="none" w:sz="0" w:space="0" w:color="auto"/>
                    <w:left w:val="none" w:sz="0" w:space="0" w:color="auto"/>
                    <w:bottom w:val="none" w:sz="0" w:space="0" w:color="auto"/>
                    <w:right w:val="none" w:sz="0" w:space="0" w:color="auto"/>
                  </w:divBdr>
                  <w:divsChild>
                    <w:div w:id="1818181918">
                      <w:marLeft w:val="0"/>
                      <w:marRight w:val="0"/>
                      <w:marTop w:val="0"/>
                      <w:marBottom w:val="0"/>
                      <w:divBdr>
                        <w:top w:val="none" w:sz="0" w:space="0" w:color="auto"/>
                        <w:left w:val="none" w:sz="0" w:space="0" w:color="auto"/>
                        <w:bottom w:val="none" w:sz="0" w:space="0" w:color="auto"/>
                        <w:right w:val="none" w:sz="0" w:space="0" w:color="auto"/>
                      </w:divBdr>
                    </w:div>
                  </w:divsChild>
                </w:div>
                <w:div w:id="816259269">
                  <w:marLeft w:val="0"/>
                  <w:marRight w:val="0"/>
                  <w:marTop w:val="0"/>
                  <w:marBottom w:val="0"/>
                  <w:divBdr>
                    <w:top w:val="none" w:sz="0" w:space="0" w:color="auto"/>
                    <w:left w:val="none" w:sz="0" w:space="0" w:color="auto"/>
                    <w:bottom w:val="none" w:sz="0" w:space="0" w:color="auto"/>
                    <w:right w:val="none" w:sz="0" w:space="0" w:color="auto"/>
                  </w:divBdr>
                  <w:divsChild>
                    <w:div w:id="1336417924">
                      <w:marLeft w:val="0"/>
                      <w:marRight w:val="0"/>
                      <w:marTop w:val="0"/>
                      <w:marBottom w:val="0"/>
                      <w:divBdr>
                        <w:top w:val="none" w:sz="0" w:space="0" w:color="auto"/>
                        <w:left w:val="none" w:sz="0" w:space="0" w:color="auto"/>
                        <w:bottom w:val="none" w:sz="0" w:space="0" w:color="auto"/>
                        <w:right w:val="none" w:sz="0" w:space="0" w:color="auto"/>
                      </w:divBdr>
                    </w:div>
                  </w:divsChild>
                </w:div>
                <w:div w:id="838615171">
                  <w:marLeft w:val="0"/>
                  <w:marRight w:val="0"/>
                  <w:marTop w:val="0"/>
                  <w:marBottom w:val="0"/>
                  <w:divBdr>
                    <w:top w:val="none" w:sz="0" w:space="0" w:color="auto"/>
                    <w:left w:val="none" w:sz="0" w:space="0" w:color="auto"/>
                    <w:bottom w:val="none" w:sz="0" w:space="0" w:color="auto"/>
                    <w:right w:val="none" w:sz="0" w:space="0" w:color="auto"/>
                  </w:divBdr>
                  <w:divsChild>
                    <w:div w:id="1650934837">
                      <w:marLeft w:val="0"/>
                      <w:marRight w:val="0"/>
                      <w:marTop w:val="0"/>
                      <w:marBottom w:val="0"/>
                      <w:divBdr>
                        <w:top w:val="none" w:sz="0" w:space="0" w:color="auto"/>
                        <w:left w:val="none" w:sz="0" w:space="0" w:color="auto"/>
                        <w:bottom w:val="none" w:sz="0" w:space="0" w:color="auto"/>
                        <w:right w:val="none" w:sz="0" w:space="0" w:color="auto"/>
                      </w:divBdr>
                    </w:div>
                  </w:divsChild>
                </w:div>
                <w:div w:id="843667610">
                  <w:marLeft w:val="0"/>
                  <w:marRight w:val="0"/>
                  <w:marTop w:val="0"/>
                  <w:marBottom w:val="0"/>
                  <w:divBdr>
                    <w:top w:val="none" w:sz="0" w:space="0" w:color="auto"/>
                    <w:left w:val="none" w:sz="0" w:space="0" w:color="auto"/>
                    <w:bottom w:val="none" w:sz="0" w:space="0" w:color="auto"/>
                    <w:right w:val="none" w:sz="0" w:space="0" w:color="auto"/>
                  </w:divBdr>
                  <w:divsChild>
                    <w:div w:id="1479686409">
                      <w:marLeft w:val="0"/>
                      <w:marRight w:val="0"/>
                      <w:marTop w:val="0"/>
                      <w:marBottom w:val="0"/>
                      <w:divBdr>
                        <w:top w:val="none" w:sz="0" w:space="0" w:color="auto"/>
                        <w:left w:val="none" w:sz="0" w:space="0" w:color="auto"/>
                        <w:bottom w:val="none" w:sz="0" w:space="0" w:color="auto"/>
                        <w:right w:val="none" w:sz="0" w:space="0" w:color="auto"/>
                      </w:divBdr>
                    </w:div>
                  </w:divsChild>
                </w:div>
                <w:div w:id="843783050">
                  <w:marLeft w:val="0"/>
                  <w:marRight w:val="0"/>
                  <w:marTop w:val="0"/>
                  <w:marBottom w:val="0"/>
                  <w:divBdr>
                    <w:top w:val="none" w:sz="0" w:space="0" w:color="auto"/>
                    <w:left w:val="none" w:sz="0" w:space="0" w:color="auto"/>
                    <w:bottom w:val="none" w:sz="0" w:space="0" w:color="auto"/>
                    <w:right w:val="none" w:sz="0" w:space="0" w:color="auto"/>
                  </w:divBdr>
                  <w:divsChild>
                    <w:div w:id="555091182">
                      <w:marLeft w:val="0"/>
                      <w:marRight w:val="0"/>
                      <w:marTop w:val="0"/>
                      <w:marBottom w:val="0"/>
                      <w:divBdr>
                        <w:top w:val="none" w:sz="0" w:space="0" w:color="auto"/>
                        <w:left w:val="none" w:sz="0" w:space="0" w:color="auto"/>
                        <w:bottom w:val="none" w:sz="0" w:space="0" w:color="auto"/>
                        <w:right w:val="none" w:sz="0" w:space="0" w:color="auto"/>
                      </w:divBdr>
                    </w:div>
                  </w:divsChild>
                </w:div>
                <w:div w:id="847064213">
                  <w:marLeft w:val="0"/>
                  <w:marRight w:val="0"/>
                  <w:marTop w:val="0"/>
                  <w:marBottom w:val="0"/>
                  <w:divBdr>
                    <w:top w:val="none" w:sz="0" w:space="0" w:color="auto"/>
                    <w:left w:val="none" w:sz="0" w:space="0" w:color="auto"/>
                    <w:bottom w:val="none" w:sz="0" w:space="0" w:color="auto"/>
                    <w:right w:val="none" w:sz="0" w:space="0" w:color="auto"/>
                  </w:divBdr>
                  <w:divsChild>
                    <w:div w:id="51858235">
                      <w:marLeft w:val="0"/>
                      <w:marRight w:val="0"/>
                      <w:marTop w:val="0"/>
                      <w:marBottom w:val="0"/>
                      <w:divBdr>
                        <w:top w:val="none" w:sz="0" w:space="0" w:color="auto"/>
                        <w:left w:val="none" w:sz="0" w:space="0" w:color="auto"/>
                        <w:bottom w:val="none" w:sz="0" w:space="0" w:color="auto"/>
                        <w:right w:val="none" w:sz="0" w:space="0" w:color="auto"/>
                      </w:divBdr>
                    </w:div>
                  </w:divsChild>
                </w:div>
                <w:div w:id="861473481">
                  <w:marLeft w:val="0"/>
                  <w:marRight w:val="0"/>
                  <w:marTop w:val="0"/>
                  <w:marBottom w:val="0"/>
                  <w:divBdr>
                    <w:top w:val="none" w:sz="0" w:space="0" w:color="auto"/>
                    <w:left w:val="none" w:sz="0" w:space="0" w:color="auto"/>
                    <w:bottom w:val="none" w:sz="0" w:space="0" w:color="auto"/>
                    <w:right w:val="none" w:sz="0" w:space="0" w:color="auto"/>
                  </w:divBdr>
                  <w:divsChild>
                    <w:div w:id="810055936">
                      <w:marLeft w:val="0"/>
                      <w:marRight w:val="0"/>
                      <w:marTop w:val="0"/>
                      <w:marBottom w:val="0"/>
                      <w:divBdr>
                        <w:top w:val="none" w:sz="0" w:space="0" w:color="auto"/>
                        <w:left w:val="none" w:sz="0" w:space="0" w:color="auto"/>
                        <w:bottom w:val="none" w:sz="0" w:space="0" w:color="auto"/>
                        <w:right w:val="none" w:sz="0" w:space="0" w:color="auto"/>
                      </w:divBdr>
                    </w:div>
                  </w:divsChild>
                </w:div>
                <w:div w:id="871188355">
                  <w:marLeft w:val="0"/>
                  <w:marRight w:val="0"/>
                  <w:marTop w:val="0"/>
                  <w:marBottom w:val="0"/>
                  <w:divBdr>
                    <w:top w:val="none" w:sz="0" w:space="0" w:color="auto"/>
                    <w:left w:val="none" w:sz="0" w:space="0" w:color="auto"/>
                    <w:bottom w:val="none" w:sz="0" w:space="0" w:color="auto"/>
                    <w:right w:val="none" w:sz="0" w:space="0" w:color="auto"/>
                  </w:divBdr>
                  <w:divsChild>
                    <w:div w:id="2107535896">
                      <w:marLeft w:val="0"/>
                      <w:marRight w:val="0"/>
                      <w:marTop w:val="0"/>
                      <w:marBottom w:val="0"/>
                      <w:divBdr>
                        <w:top w:val="none" w:sz="0" w:space="0" w:color="auto"/>
                        <w:left w:val="none" w:sz="0" w:space="0" w:color="auto"/>
                        <w:bottom w:val="none" w:sz="0" w:space="0" w:color="auto"/>
                        <w:right w:val="none" w:sz="0" w:space="0" w:color="auto"/>
                      </w:divBdr>
                    </w:div>
                  </w:divsChild>
                </w:div>
                <w:div w:id="871921878">
                  <w:marLeft w:val="0"/>
                  <w:marRight w:val="0"/>
                  <w:marTop w:val="0"/>
                  <w:marBottom w:val="0"/>
                  <w:divBdr>
                    <w:top w:val="none" w:sz="0" w:space="0" w:color="auto"/>
                    <w:left w:val="none" w:sz="0" w:space="0" w:color="auto"/>
                    <w:bottom w:val="none" w:sz="0" w:space="0" w:color="auto"/>
                    <w:right w:val="none" w:sz="0" w:space="0" w:color="auto"/>
                  </w:divBdr>
                  <w:divsChild>
                    <w:div w:id="1120880600">
                      <w:marLeft w:val="0"/>
                      <w:marRight w:val="0"/>
                      <w:marTop w:val="0"/>
                      <w:marBottom w:val="0"/>
                      <w:divBdr>
                        <w:top w:val="none" w:sz="0" w:space="0" w:color="auto"/>
                        <w:left w:val="none" w:sz="0" w:space="0" w:color="auto"/>
                        <w:bottom w:val="none" w:sz="0" w:space="0" w:color="auto"/>
                        <w:right w:val="none" w:sz="0" w:space="0" w:color="auto"/>
                      </w:divBdr>
                    </w:div>
                  </w:divsChild>
                </w:div>
                <w:div w:id="882329421">
                  <w:marLeft w:val="0"/>
                  <w:marRight w:val="0"/>
                  <w:marTop w:val="0"/>
                  <w:marBottom w:val="0"/>
                  <w:divBdr>
                    <w:top w:val="none" w:sz="0" w:space="0" w:color="auto"/>
                    <w:left w:val="none" w:sz="0" w:space="0" w:color="auto"/>
                    <w:bottom w:val="none" w:sz="0" w:space="0" w:color="auto"/>
                    <w:right w:val="none" w:sz="0" w:space="0" w:color="auto"/>
                  </w:divBdr>
                  <w:divsChild>
                    <w:div w:id="632716918">
                      <w:marLeft w:val="0"/>
                      <w:marRight w:val="0"/>
                      <w:marTop w:val="0"/>
                      <w:marBottom w:val="0"/>
                      <w:divBdr>
                        <w:top w:val="none" w:sz="0" w:space="0" w:color="auto"/>
                        <w:left w:val="none" w:sz="0" w:space="0" w:color="auto"/>
                        <w:bottom w:val="none" w:sz="0" w:space="0" w:color="auto"/>
                        <w:right w:val="none" w:sz="0" w:space="0" w:color="auto"/>
                      </w:divBdr>
                    </w:div>
                  </w:divsChild>
                </w:div>
                <w:div w:id="893008794">
                  <w:marLeft w:val="0"/>
                  <w:marRight w:val="0"/>
                  <w:marTop w:val="0"/>
                  <w:marBottom w:val="0"/>
                  <w:divBdr>
                    <w:top w:val="none" w:sz="0" w:space="0" w:color="auto"/>
                    <w:left w:val="none" w:sz="0" w:space="0" w:color="auto"/>
                    <w:bottom w:val="none" w:sz="0" w:space="0" w:color="auto"/>
                    <w:right w:val="none" w:sz="0" w:space="0" w:color="auto"/>
                  </w:divBdr>
                  <w:divsChild>
                    <w:div w:id="1190874749">
                      <w:marLeft w:val="0"/>
                      <w:marRight w:val="0"/>
                      <w:marTop w:val="0"/>
                      <w:marBottom w:val="0"/>
                      <w:divBdr>
                        <w:top w:val="none" w:sz="0" w:space="0" w:color="auto"/>
                        <w:left w:val="none" w:sz="0" w:space="0" w:color="auto"/>
                        <w:bottom w:val="none" w:sz="0" w:space="0" w:color="auto"/>
                        <w:right w:val="none" w:sz="0" w:space="0" w:color="auto"/>
                      </w:divBdr>
                    </w:div>
                  </w:divsChild>
                </w:div>
                <w:div w:id="899444416">
                  <w:marLeft w:val="0"/>
                  <w:marRight w:val="0"/>
                  <w:marTop w:val="0"/>
                  <w:marBottom w:val="0"/>
                  <w:divBdr>
                    <w:top w:val="none" w:sz="0" w:space="0" w:color="auto"/>
                    <w:left w:val="none" w:sz="0" w:space="0" w:color="auto"/>
                    <w:bottom w:val="none" w:sz="0" w:space="0" w:color="auto"/>
                    <w:right w:val="none" w:sz="0" w:space="0" w:color="auto"/>
                  </w:divBdr>
                  <w:divsChild>
                    <w:div w:id="1881891818">
                      <w:marLeft w:val="0"/>
                      <w:marRight w:val="0"/>
                      <w:marTop w:val="0"/>
                      <w:marBottom w:val="0"/>
                      <w:divBdr>
                        <w:top w:val="none" w:sz="0" w:space="0" w:color="auto"/>
                        <w:left w:val="none" w:sz="0" w:space="0" w:color="auto"/>
                        <w:bottom w:val="none" w:sz="0" w:space="0" w:color="auto"/>
                        <w:right w:val="none" w:sz="0" w:space="0" w:color="auto"/>
                      </w:divBdr>
                    </w:div>
                  </w:divsChild>
                </w:div>
                <w:div w:id="900478374">
                  <w:marLeft w:val="0"/>
                  <w:marRight w:val="0"/>
                  <w:marTop w:val="0"/>
                  <w:marBottom w:val="0"/>
                  <w:divBdr>
                    <w:top w:val="none" w:sz="0" w:space="0" w:color="auto"/>
                    <w:left w:val="none" w:sz="0" w:space="0" w:color="auto"/>
                    <w:bottom w:val="none" w:sz="0" w:space="0" w:color="auto"/>
                    <w:right w:val="none" w:sz="0" w:space="0" w:color="auto"/>
                  </w:divBdr>
                  <w:divsChild>
                    <w:div w:id="335886882">
                      <w:marLeft w:val="0"/>
                      <w:marRight w:val="0"/>
                      <w:marTop w:val="0"/>
                      <w:marBottom w:val="0"/>
                      <w:divBdr>
                        <w:top w:val="none" w:sz="0" w:space="0" w:color="auto"/>
                        <w:left w:val="none" w:sz="0" w:space="0" w:color="auto"/>
                        <w:bottom w:val="none" w:sz="0" w:space="0" w:color="auto"/>
                        <w:right w:val="none" w:sz="0" w:space="0" w:color="auto"/>
                      </w:divBdr>
                    </w:div>
                  </w:divsChild>
                </w:div>
                <w:div w:id="901213869">
                  <w:marLeft w:val="0"/>
                  <w:marRight w:val="0"/>
                  <w:marTop w:val="0"/>
                  <w:marBottom w:val="0"/>
                  <w:divBdr>
                    <w:top w:val="none" w:sz="0" w:space="0" w:color="auto"/>
                    <w:left w:val="none" w:sz="0" w:space="0" w:color="auto"/>
                    <w:bottom w:val="none" w:sz="0" w:space="0" w:color="auto"/>
                    <w:right w:val="none" w:sz="0" w:space="0" w:color="auto"/>
                  </w:divBdr>
                  <w:divsChild>
                    <w:div w:id="66651581">
                      <w:marLeft w:val="0"/>
                      <w:marRight w:val="0"/>
                      <w:marTop w:val="0"/>
                      <w:marBottom w:val="0"/>
                      <w:divBdr>
                        <w:top w:val="none" w:sz="0" w:space="0" w:color="auto"/>
                        <w:left w:val="none" w:sz="0" w:space="0" w:color="auto"/>
                        <w:bottom w:val="none" w:sz="0" w:space="0" w:color="auto"/>
                        <w:right w:val="none" w:sz="0" w:space="0" w:color="auto"/>
                      </w:divBdr>
                    </w:div>
                  </w:divsChild>
                </w:div>
                <w:div w:id="901795598">
                  <w:marLeft w:val="0"/>
                  <w:marRight w:val="0"/>
                  <w:marTop w:val="0"/>
                  <w:marBottom w:val="0"/>
                  <w:divBdr>
                    <w:top w:val="none" w:sz="0" w:space="0" w:color="auto"/>
                    <w:left w:val="none" w:sz="0" w:space="0" w:color="auto"/>
                    <w:bottom w:val="none" w:sz="0" w:space="0" w:color="auto"/>
                    <w:right w:val="none" w:sz="0" w:space="0" w:color="auto"/>
                  </w:divBdr>
                  <w:divsChild>
                    <w:div w:id="1805806364">
                      <w:marLeft w:val="0"/>
                      <w:marRight w:val="0"/>
                      <w:marTop w:val="0"/>
                      <w:marBottom w:val="0"/>
                      <w:divBdr>
                        <w:top w:val="none" w:sz="0" w:space="0" w:color="auto"/>
                        <w:left w:val="none" w:sz="0" w:space="0" w:color="auto"/>
                        <w:bottom w:val="none" w:sz="0" w:space="0" w:color="auto"/>
                        <w:right w:val="none" w:sz="0" w:space="0" w:color="auto"/>
                      </w:divBdr>
                    </w:div>
                  </w:divsChild>
                </w:div>
                <w:div w:id="907811659">
                  <w:marLeft w:val="0"/>
                  <w:marRight w:val="0"/>
                  <w:marTop w:val="0"/>
                  <w:marBottom w:val="0"/>
                  <w:divBdr>
                    <w:top w:val="none" w:sz="0" w:space="0" w:color="auto"/>
                    <w:left w:val="none" w:sz="0" w:space="0" w:color="auto"/>
                    <w:bottom w:val="none" w:sz="0" w:space="0" w:color="auto"/>
                    <w:right w:val="none" w:sz="0" w:space="0" w:color="auto"/>
                  </w:divBdr>
                  <w:divsChild>
                    <w:div w:id="1676960579">
                      <w:marLeft w:val="0"/>
                      <w:marRight w:val="0"/>
                      <w:marTop w:val="0"/>
                      <w:marBottom w:val="0"/>
                      <w:divBdr>
                        <w:top w:val="none" w:sz="0" w:space="0" w:color="auto"/>
                        <w:left w:val="none" w:sz="0" w:space="0" w:color="auto"/>
                        <w:bottom w:val="none" w:sz="0" w:space="0" w:color="auto"/>
                        <w:right w:val="none" w:sz="0" w:space="0" w:color="auto"/>
                      </w:divBdr>
                    </w:div>
                  </w:divsChild>
                </w:div>
                <w:div w:id="908727686">
                  <w:marLeft w:val="0"/>
                  <w:marRight w:val="0"/>
                  <w:marTop w:val="0"/>
                  <w:marBottom w:val="0"/>
                  <w:divBdr>
                    <w:top w:val="none" w:sz="0" w:space="0" w:color="auto"/>
                    <w:left w:val="none" w:sz="0" w:space="0" w:color="auto"/>
                    <w:bottom w:val="none" w:sz="0" w:space="0" w:color="auto"/>
                    <w:right w:val="none" w:sz="0" w:space="0" w:color="auto"/>
                  </w:divBdr>
                  <w:divsChild>
                    <w:div w:id="1205679092">
                      <w:marLeft w:val="0"/>
                      <w:marRight w:val="0"/>
                      <w:marTop w:val="0"/>
                      <w:marBottom w:val="0"/>
                      <w:divBdr>
                        <w:top w:val="none" w:sz="0" w:space="0" w:color="auto"/>
                        <w:left w:val="none" w:sz="0" w:space="0" w:color="auto"/>
                        <w:bottom w:val="none" w:sz="0" w:space="0" w:color="auto"/>
                        <w:right w:val="none" w:sz="0" w:space="0" w:color="auto"/>
                      </w:divBdr>
                    </w:div>
                  </w:divsChild>
                </w:div>
                <w:div w:id="919410287">
                  <w:marLeft w:val="0"/>
                  <w:marRight w:val="0"/>
                  <w:marTop w:val="0"/>
                  <w:marBottom w:val="0"/>
                  <w:divBdr>
                    <w:top w:val="none" w:sz="0" w:space="0" w:color="auto"/>
                    <w:left w:val="none" w:sz="0" w:space="0" w:color="auto"/>
                    <w:bottom w:val="none" w:sz="0" w:space="0" w:color="auto"/>
                    <w:right w:val="none" w:sz="0" w:space="0" w:color="auto"/>
                  </w:divBdr>
                  <w:divsChild>
                    <w:div w:id="830103847">
                      <w:marLeft w:val="0"/>
                      <w:marRight w:val="0"/>
                      <w:marTop w:val="0"/>
                      <w:marBottom w:val="0"/>
                      <w:divBdr>
                        <w:top w:val="none" w:sz="0" w:space="0" w:color="auto"/>
                        <w:left w:val="none" w:sz="0" w:space="0" w:color="auto"/>
                        <w:bottom w:val="none" w:sz="0" w:space="0" w:color="auto"/>
                        <w:right w:val="none" w:sz="0" w:space="0" w:color="auto"/>
                      </w:divBdr>
                    </w:div>
                  </w:divsChild>
                </w:div>
                <w:div w:id="921838157">
                  <w:marLeft w:val="0"/>
                  <w:marRight w:val="0"/>
                  <w:marTop w:val="0"/>
                  <w:marBottom w:val="0"/>
                  <w:divBdr>
                    <w:top w:val="none" w:sz="0" w:space="0" w:color="auto"/>
                    <w:left w:val="none" w:sz="0" w:space="0" w:color="auto"/>
                    <w:bottom w:val="none" w:sz="0" w:space="0" w:color="auto"/>
                    <w:right w:val="none" w:sz="0" w:space="0" w:color="auto"/>
                  </w:divBdr>
                  <w:divsChild>
                    <w:div w:id="1827167850">
                      <w:marLeft w:val="0"/>
                      <w:marRight w:val="0"/>
                      <w:marTop w:val="0"/>
                      <w:marBottom w:val="0"/>
                      <w:divBdr>
                        <w:top w:val="none" w:sz="0" w:space="0" w:color="auto"/>
                        <w:left w:val="none" w:sz="0" w:space="0" w:color="auto"/>
                        <w:bottom w:val="none" w:sz="0" w:space="0" w:color="auto"/>
                        <w:right w:val="none" w:sz="0" w:space="0" w:color="auto"/>
                      </w:divBdr>
                    </w:div>
                  </w:divsChild>
                </w:div>
                <w:div w:id="928931222">
                  <w:marLeft w:val="0"/>
                  <w:marRight w:val="0"/>
                  <w:marTop w:val="0"/>
                  <w:marBottom w:val="0"/>
                  <w:divBdr>
                    <w:top w:val="none" w:sz="0" w:space="0" w:color="auto"/>
                    <w:left w:val="none" w:sz="0" w:space="0" w:color="auto"/>
                    <w:bottom w:val="none" w:sz="0" w:space="0" w:color="auto"/>
                    <w:right w:val="none" w:sz="0" w:space="0" w:color="auto"/>
                  </w:divBdr>
                  <w:divsChild>
                    <w:div w:id="117072270">
                      <w:marLeft w:val="0"/>
                      <w:marRight w:val="0"/>
                      <w:marTop w:val="0"/>
                      <w:marBottom w:val="0"/>
                      <w:divBdr>
                        <w:top w:val="none" w:sz="0" w:space="0" w:color="auto"/>
                        <w:left w:val="none" w:sz="0" w:space="0" w:color="auto"/>
                        <w:bottom w:val="none" w:sz="0" w:space="0" w:color="auto"/>
                        <w:right w:val="none" w:sz="0" w:space="0" w:color="auto"/>
                      </w:divBdr>
                    </w:div>
                  </w:divsChild>
                </w:div>
                <w:div w:id="936982593">
                  <w:marLeft w:val="0"/>
                  <w:marRight w:val="0"/>
                  <w:marTop w:val="0"/>
                  <w:marBottom w:val="0"/>
                  <w:divBdr>
                    <w:top w:val="none" w:sz="0" w:space="0" w:color="auto"/>
                    <w:left w:val="none" w:sz="0" w:space="0" w:color="auto"/>
                    <w:bottom w:val="none" w:sz="0" w:space="0" w:color="auto"/>
                    <w:right w:val="none" w:sz="0" w:space="0" w:color="auto"/>
                  </w:divBdr>
                  <w:divsChild>
                    <w:div w:id="2006547259">
                      <w:marLeft w:val="0"/>
                      <w:marRight w:val="0"/>
                      <w:marTop w:val="0"/>
                      <w:marBottom w:val="0"/>
                      <w:divBdr>
                        <w:top w:val="none" w:sz="0" w:space="0" w:color="auto"/>
                        <w:left w:val="none" w:sz="0" w:space="0" w:color="auto"/>
                        <w:bottom w:val="none" w:sz="0" w:space="0" w:color="auto"/>
                        <w:right w:val="none" w:sz="0" w:space="0" w:color="auto"/>
                      </w:divBdr>
                    </w:div>
                  </w:divsChild>
                </w:div>
                <w:div w:id="941112392">
                  <w:marLeft w:val="0"/>
                  <w:marRight w:val="0"/>
                  <w:marTop w:val="0"/>
                  <w:marBottom w:val="0"/>
                  <w:divBdr>
                    <w:top w:val="none" w:sz="0" w:space="0" w:color="auto"/>
                    <w:left w:val="none" w:sz="0" w:space="0" w:color="auto"/>
                    <w:bottom w:val="none" w:sz="0" w:space="0" w:color="auto"/>
                    <w:right w:val="none" w:sz="0" w:space="0" w:color="auto"/>
                  </w:divBdr>
                  <w:divsChild>
                    <w:div w:id="2101754482">
                      <w:marLeft w:val="0"/>
                      <w:marRight w:val="0"/>
                      <w:marTop w:val="0"/>
                      <w:marBottom w:val="0"/>
                      <w:divBdr>
                        <w:top w:val="none" w:sz="0" w:space="0" w:color="auto"/>
                        <w:left w:val="none" w:sz="0" w:space="0" w:color="auto"/>
                        <w:bottom w:val="none" w:sz="0" w:space="0" w:color="auto"/>
                        <w:right w:val="none" w:sz="0" w:space="0" w:color="auto"/>
                      </w:divBdr>
                    </w:div>
                  </w:divsChild>
                </w:div>
                <w:div w:id="941570347">
                  <w:marLeft w:val="0"/>
                  <w:marRight w:val="0"/>
                  <w:marTop w:val="0"/>
                  <w:marBottom w:val="0"/>
                  <w:divBdr>
                    <w:top w:val="none" w:sz="0" w:space="0" w:color="auto"/>
                    <w:left w:val="none" w:sz="0" w:space="0" w:color="auto"/>
                    <w:bottom w:val="none" w:sz="0" w:space="0" w:color="auto"/>
                    <w:right w:val="none" w:sz="0" w:space="0" w:color="auto"/>
                  </w:divBdr>
                  <w:divsChild>
                    <w:div w:id="1015613008">
                      <w:marLeft w:val="0"/>
                      <w:marRight w:val="0"/>
                      <w:marTop w:val="0"/>
                      <w:marBottom w:val="0"/>
                      <w:divBdr>
                        <w:top w:val="none" w:sz="0" w:space="0" w:color="auto"/>
                        <w:left w:val="none" w:sz="0" w:space="0" w:color="auto"/>
                        <w:bottom w:val="none" w:sz="0" w:space="0" w:color="auto"/>
                        <w:right w:val="none" w:sz="0" w:space="0" w:color="auto"/>
                      </w:divBdr>
                    </w:div>
                  </w:divsChild>
                </w:div>
                <w:div w:id="941644312">
                  <w:marLeft w:val="0"/>
                  <w:marRight w:val="0"/>
                  <w:marTop w:val="0"/>
                  <w:marBottom w:val="0"/>
                  <w:divBdr>
                    <w:top w:val="none" w:sz="0" w:space="0" w:color="auto"/>
                    <w:left w:val="none" w:sz="0" w:space="0" w:color="auto"/>
                    <w:bottom w:val="none" w:sz="0" w:space="0" w:color="auto"/>
                    <w:right w:val="none" w:sz="0" w:space="0" w:color="auto"/>
                  </w:divBdr>
                  <w:divsChild>
                    <w:div w:id="1623075117">
                      <w:marLeft w:val="0"/>
                      <w:marRight w:val="0"/>
                      <w:marTop w:val="0"/>
                      <w:marBottom w:val="0"/>
                      <w:divBdr>
                        <w:top w:val="none" w:sz="0" w:space="0" w:color="auto"/>
                        <w:left w:val="none" w:sz="0" w:space="0" w:color="auto"/>
                        <w:bottom w:val="none" w:sz="0" w:space="0" w:color="auto"/>
                        <w:right w:val="none" w:sz="0" w:space="0" w:color="auto"/>
                      </w:divBdr>
                    </w:div>
                  </w:divsChild>
                </w:div>
                <w:div w:id="943464286">
                  <w:marLeft w:val="0"/>
                  <w:marRight w:val="0"/>
                  <w:marTop w:val="0"/>
                  <w:marBottom w:val="0"/>
                  <w:divBdr>
                    <w:top w:val="none" w:sz="0" w:space="0" w:color="auto"/>
                    <w:left w:val="none" w:sz="0" w:space="0" w:color="auto"/>
                    <w:bottom w:val="none" w:sz="0" w:space="0" w:color="auto"/>
                    <w:right w:val="none" w:sz="0" w:space="0" w:color="auto"/>
                  </w:divBdr>
                  <w:divsChild>
                    <w:div w:id="921721994">
                      <w:marLeft w:val="0"/>
                      <w:marRight w:val="0"/>
                      <w:marTop w:val="0"/>
                      <w:marBottom w:val="0"/>
                      <w:divBdr>
                        <w:top w:val="none" w:sz="0" w:space="0" w:color="auto"/>
                        <w:left w:val="none" w:sz="0" w:space="0" w:color="auto"/>
                        <w:bottom w:val="none" w:sz="0" w:space="0" w:color="auto"/>
                        <w:right w:val="none" w:sz="0" w:space="0" w:color="auto"/>
                      </w:divBdr>
                    </w:div>
                  </w:divsChild>
                </w:div>
                <w:div w:id="947204545">
                  <w:marLeft w:val="0"/>
                  <w:marRight w:val="0"/>
                  <w:marTop w:val="0"/>
                  <w:marBottom w:val="0"/>
                  <w:divBdr>
                    <w:top w:val="none" w:sz="0" w:space="0" w:color="auto"/>
                    <w:left w:val="none" w:sz="0" w:space="0" w:color="auto"/>
                    <w:bottom w:val="none" w:sz="0" w:space="0" w:color="auto"/>
                    <w:right w:val="none" w:sz="0" w:space="0" w:color="auto"/>
                  </w:divBdr>
                  <w:divsChild>
                    <w:div w:id="396172885">
                      <w:marLeft w:val="0"/>
                      <w:marRight w:val="0"/>
                      <w:marTop w:val="0"/>
                      <w:marBottom w:val="0"/>
                      <w:divBdr>
                        <w:top w:val="none" w:sz="0" w:space="0" w:color="auto"/>
                        <w:left w:val="none" w:sz="0" w:space="0" w:color="auto"/>
                        <w:bottom w:val="none" w:sz="0" w:space="0" w:color="auto"/>
                        <w:right w:val="none" w:sz="0" w:space="0" w:color="auto"/>
                      </w:divBdr>
                    </w:div>
                  </w:divsChild>
                </w:div>
                <w:div w:id="950237481">
                  <w:marLeft w:val="0"/>
                  <w:marRight w:val="0"/>
                  <w:marTop w:val="0"/>
                  <w:marBottom w:val="0"/>
                  <w:divBdr>
                    <w:top w:val="none" w:sz="0" w:space="0" w:color="auto"/>
                    <w:left w:val="none" w:sz="0" w:space="0" w:color="auto"/>
                    <w:bottom w:val="none" w:sz="0" w:space="0" w:color="auto"/>
                    <w:right w:val="none" w:sz="0" w:space="0" w:color="auto"/>
                  </w:divBdr>
                  <w:divsChild>
                    <w:div w:id="980233951">
                      <w:marLeft w:val="0"/>
                      <w:marRight w:val="0"/>
                      <w:marTop w:val="0"/>
                      <w:marBottom w:val="0"/>
                      <w:divBdr>
                        <w:top w:val="none" w:sz="0" w:space="0" w:color="auto"/>
                        <w:left w:val="none" w:sz="0" w:space="0" w:color="auto"/>
                        <w:bottom w:val="none" w:sz="0" w:space="0" w:color="auto"/>
                        <w:right w:val="none" w:sz="0" w:space="0" w:color="auto"/>
                      </w:divBdr>
                    </w:div>
                  </w:divsChild>
                </w:div>
                <w:div w:id="966164457">
                  <w:marLeft w:val="0"/>
                  <w:marRight w:val="0"/>
                  <w:marTop w:val="0"/>
                  <w:marBottom w:val="0"/>
                  <w:divBdr>
                    <w:top w:val="none" w:sz="0" w:space="0" w:color="auto"/>
                    <w:left w:val="none" w:sz="0" w:space="0" w:color="auto"/>
                    <w:bottom w:val="none" w:sz="0" w:space="0" w:color="auto"/>
                    <w:right w:val="none" w:sz="0" w:space="0" w:color="auto"/>
                  </w:divBdr>
                  <w:divsChild>
                    <w:div w:id="1653559476">
                      <w:marLeft w:val="0"/>
                      <w:marRight w:val="0"/>
                      <w:marTop w:val="0"/>
                      <w:marBottom w:val="0"/>
                      <w:divBdr>
                        <w:top w:val="none" w:sz="0" w:space="0" w:color="auto"/>
                        <w:left w:val="none" w:sz="0" w:space="0" w:color="auto"/>
                        <w:bottom w:val="none" w:sz="0" w:space="0" w:color="auto"/>
                        <w:right w:val="none" w:sz="0" w:space="0" w:color="auto"/>
                      </w:divBdr>
                    </w:div>
                  </w:divsChild>
                </w:div>
                <w:div w:id="966544940">
                  <w:marLeft w:val="0"/>
                  <w:marRight w:val="0"/>
                  <w:marTop w:val="0"/>
                  <w:marBottom w:val="0"/>
                  <w:divBdr>
                    <w:top w:val="none" w:sz="0" w:space="0" w:color="auto"/>
                    <w:left w:val="none" w:sz="0" w:space="0" w:color="auto"/>
                    <w:bottom w:val="none" w:sz="0" w:space="0" w:color="auto"/>
                    <w:right w:val="none" w:sz="0" w:space="0" w:color="auto"/>
                  </w:divBdr>
                  <w:divsChild>
                    <w:div w:id="1770004210">
                      <w:marLeft w:val="0"/>
                      <w:marRight w:val="0"/>
                      <w:marTop w:val="0"/>
                      <w:marBottom w:val="0"/>
                      <w:divBdr>
                        <w:top w:val="none" w:sz="0" w:space="0" w:color="auto"/>
                        <w:left w:val="none" w:sz="0" w:space="0" w:color="auto"/>
                        <w:bottom w:val="none" w:sz="0" w:space="0" w:color="auto"/>
                        <w:right w:val="none" w:sz="0" w:space="0" w:color="auto"/>
                      </w:divBdr>
                    </w:div>
                  </w:divsChild>
                </w:div>
                <w:div w:id="967273202">
                  <w:marLeft w:val="0"/>
                  <w:marRight w:val="0"/>
                  <w:marTop w:val="0"/>
                  <w:marBottom w:val="0"/>
                  <w:divBdr>
                    <w:top w:val="none" w:sz="0" w:space="0" w:color="auto"/>
                    <w:left w:val="none" w:sz="0" w:space="0" w:color="auto"/>
                    <w:bottom w:val="none" w:sz="0" w:space="0" w:color="auto"/>
                    <w:right w:val="none" w:sz="0" w:space="0" w:color="auto"/>
                  </w:divBdr>
                  <w:divsChild>
                    <w:div w:id="625041089">
                      <w:marLeft w:val="0"/>
                      <w:marRight w:val="0"/>
                      <w:marTop w:val="0"/>
                      <w:marBottom w:val="0"/>
                      <w:divBdr>
                        <w:top w:val="none" w:sz="0" w:space="0" w:color="auto"/>
                        <w:left w:val="none" w:sz="0" w:space="0" w:color="auto"/>
                        <w:bottom w:val="none" w:sz="0" w:space="0" w:color="auto"/>
                        <w:right w:val="none" w:sz="0" w:space="0" w:color="auto"/>
                      </w:divBdr>
                    </w:div>
                  </w:divsChild>
                </w:div>
                <w:div w:id="979963081">
                  <w:marLeft w:val="0"/>
                  <w:marRight w:val="0"/>
                  <w:marTop w:val="0"/>
                  <w:marBottom w:val="0"/>
                  <w:divBdr>
                    <w:top w:val="none" w:sz="0" w:space="0" w:color="auto"/>
                    <w:left w:val="none" w:sz="0" w:space="0" w:color="auto"/>
                    <w:bottom w:val="none" w:sz="0" w:space="0" w:color="auto"/>
                    <w:right w:val="none" w:sz="0" w:space="0" w:color="auto"/>
                  </w:divBdr>
                  <w:divsChild>
                    <w:div w:id="171341153">
                      <w:marLeft w:val="0"/>
                      <w:marRight w:val="0"/>
                      <w:marTop w:val="0"/>
                      <w:marBottom w:val="0"/>
                      <w:divBdr>
                        <w:top w:val="none" w:sz="0" w:space="0" w:color="auto"/>
                        <w:left w:val="none" w:sz="0" w:space="0" w:color="auto"/>
                        <w:bottom w:val="none" w:sz="0" w:space="0" w:color="auto"/>
                        <w:right w:val="none" w:sz="0" w:space="0" w:color="auto"/>
                      </w:divBdr>
                    </w:div>
                  </w:divsChild>
                </w:div>
                <w:div w:id="985166655">
                  <w:marLeft w:val="0"/>
                  <w:marRight w:val="0"/>
                  <w:marTop w:val="0"/>
                  <w:marBottom w:val="0"/>
                  <w:divBdr>
                    <w:top w:val="none" w:sz="0" w:space="0" w:color="auto"/>
                    <w:left w:val="none" w:sz="0" w:space="0" w:color="auto"/>
                    <w:bottom w:val="none" w:sz="0" w:space="0" w:color="auto"/>
                    <w:right w:val="none" w:sz="0" w:space="0" w:color="auto"/>
                  </w:divBdr>
                  <w:divsChild>
                    <w:div w:id="647561618">
                      <w:marLeft w:val="0"/>
                      <w:marRight w:val="0"/>
                      <w:marTop w:val="0"/>
                      <w:marBottom w:val="0"/>
                      <w:divBdr>
                        <w:top w:val="none" w:sz="0" w:space="0" w:color="auto"/>
                        <w:left w:val="none" w:sz="0" w:space="0" w:color="auto"/>
                        <w:bottom w:val="none" w:sz="0" w:space="0" w:color="auto"/>
                        <w:right w:val="none" w:sz="0" w:space="0" w:color="auto"/>
                      </w:divBdr>
                    </w:div>
                  </w:divsChild>
                </w:div>
                <w:div w:id="986859527">
                  <w:marLeft w:val="0"/>
                  <w:marRight w:val="0"/>
                  <w:marTop w:val="0"/>
                  <w:marBottom w:val="0"/>
                  <w:divBdr>
                    <w:top w:val="none" w:sz="0" w:space="0" w:color="auto"/>
                    <w:left w:val="none" w:sz="0" w:space="0" w:color="auto"/>
                    <w:bottom w:val="none" w:sz="0" w:space="0" w:color="auto"/>
                    <w:right w:val="none" w:sz="0" w:space="0" w:color="auto"/>
                  </w:divBdr>
                  <w:divsChild>
                    <w:div w:id="354116413">
                      <w:marLeft w:val="0"/>
                      <w:marRight w:val="0"/>
                      <w:marTop w:val="0"/>
                      <w:marBottom w:val="0"/>
                      <w:divBdr>
                        <w:top w:val="none" w:sz="0" w:space="0" w:color="auto"/>
                        <w:left w:val="none" w:sz="0" w:space="0" w:color="auto"/>
                        <w:bottom w:val="none" w:sz="0" w:space="0" w:color="auto"/>
                        <w:right w:val="none" w:sz="0" w:space="0" w:color="auto"/>
                      </w:divBdr>
                    </w:div>
                  </w:divsChild>
                </w:div>
                <w:div w:id="990409866">
                  <w:marLeft w:val="0"/>
                  <w:marRight w:val="0"/>
                  <w:marTop w:val="0"/>
                  <w:marBottom w:val="0"/>
                  <w:divBdr>
                    <w:top w:val="none" w:sz="0" w:space="0" w:color="auto"/>
                    <w:left w:val="none" w:sz="0" w:space="0" w:color="auto"/>
                    <w:bottom w:val="none" w:sz="0" w:space="0" w:color="auto"/>
                    <w:right w:val="none" w:sz="0" w:space="0" w:color="auto"/>
                  </w:divBdr>
                  <w:divsChild>
                    <w:div w:id="147402226">
                      <w:marLeft w:val="0"/>
                      <w:marRight w:val="0"/>
                      <w:marTop w:val="0"/>
                      <w:marBottom w:val="0"/>
                      <w:divBdr>
                        <w:top w:val="none" w:sz="0" w:space="0" w:color="auto"/>
                        <w:left w:val="none" w:sz="0" w:space="0" w:color="auto"/>
                        <w:bottom w:val="none" w:sz="0" w:space="0" w:color="auto"/>
                        <w:right w:val="none" w:sz="0" w:space="0" w:color="auto"/>
                      </w:divBdr>
                    </w:div>
                  </w:divsChild>
                </w:div>
                <w:div w:id="990594818">
                  <w:marLeft w:val="0"/>
                  <w:marRight w:val="0"/>
                  <w:marTop w:val="0"/>
                  <w:marBottom w:val="0"/>
                  <w:divBdr>
                    <w:top w:val="none" w:sz="0" w:space="0" w:color="auto"/>
                    <w:left w:val="none" w:sz="0" w:space="0" w:color="auto"/>
                    <w:bottom w:val="none" w:sz="0" w:space="0" w:color="auto"/>
                    <w:right w:val="none" w:sz="0" w:space="0" w:color="auto"/>
                  </w:divBdr>
                  <w:divsChild>
                    <w:div w:id="808668394">
                      <w:marLeft w:val="0"/>
                      <w:marRight w:val="0"/>
                      <w:marTop w:val="0"/>
                      <w:marBottom w:val="0"/>
                      <w:divBdr>
                        <w:top w:val="none" w:sz="0" w:space="0" w:color="auto"/>
                        <w:left w:val="none" w:sz="0" w:space="0" w:color="auto"/>
                        <w:bottom w:val="none" w:sz="0" w:space="0" w:color="auto"/>
                        <w:right w:val="none" w:sz="0" w:space="0" w:color="auto"/>
                      </w:divBdr>
                    </w:div>
                  </w:divsChild>
                </w:div>
                <w:div w:id="994139186">
                  <w:marLeft w:val="0"/>
                  <w:marRight w:val="0"/>
                  <w:marTop w:val="0"/>
                  <w:marBottom w:val="0"/>
                  <w:divBdr>
                    <w:top w:val="none" w:sz="0" w:space="0" w:color="auto"/>
                    <w:left w:val="none" w:sz="0" w:space="0" w:color="auto"/>
                    <w:bottom w:val="none" w:sz="0" w:space="0" w:color="auto"/>
                    <w:right w:val="none" w:sz="0" w:space="0" w:color="auto"/>
                  </w:divBdr>
                  <w:divsChild>
                    <w:div w:id="939605968">
                      <w:marLeft w:val="0"/>
                      <w:marRight w:val="0"/>
                      <w:marTop w:val="0"/>
                      <w:marBottom w:val="0"/>
                      <w:divBdr>
                        <w:top w:val="none" w:sz="0" w:space="0" w:color="auto"/>
                        <w:left w:val="none" w:sz="0" w:space="0" w:color="auto"/>
                        <w:bottom w:val="none" w:sz="0" w:space="0" w:color="auto"/>
                        <w:right w:val="none" w:sz="0" w:space="0" w:color="auto"/>
                      </w:divBdr>
                    </w:div>
                  </w:divsChild>
                </w:div>
                <w:div w:id="994844161">
                  <w:marLeft w:val="0"/>
                  <w:marRight w:val="0"/>
                  <w:marTop w:val="0"/>
                  <w:marBottom w:val="0"/>
                  <w:divBdr>
                    <w:top w:val="none" w:sz="0" w:space="0" w:color="auto"/>
                    <w:left w:val="none" w:sz="0" w:space="0" w:color="auto"/>
                    <w:bottom w:val="none" w:sz="0" w:space="0" w:color="auto"/>
                    <w:right w:val="none" w:sz="0" w:space="0" w:color="auto"/>
                  </w:divBdr>
                  <w:divsChild>
                    <w:div w:id="917716888">
                      <w:marLeft w:val="0"/>
                      <w:marRight w:val="0"/>
                      <w:marTop w:val="0"/>
                      <w:marBottom w:val="0"/>
                      <w:divBdr>
                        <w:top w:val="none" w:sz="0" w:space="0" w:color="auto"/>
                        <w:left w:val="none" w:sz="0" w:space="0" w:color="auto"/>
                        <w:bottom w:val="none" w:sz="0" w:space="0" w:color="auto"/>
                        <w:right w:val="none" w:sz="0" w:space="0" w:color="auto"/>
                      </w:divBdr>
                    </w:div>
                  </w:divsChild>
                </w:div>
                <w:div w:id="996230794">
                  <w:marLeft w:val="0"/>
                  <w:marRight w:val="0"/>
                  <w:marTop w:val="0"/>
                  <w:marBottom w:val="0"/>
                  <w:divBdr>
                    <w:top w:val="none" w:sz="0" w:space="0" w:color="auto"/>
                    <w:left w:val="none" w:sz="0" w:space="0" w:color="auto"/>
                    <w:bottom w:val="none" w:sz="0" w:space="0" w:color="auto"/>
                    <w:right w:val="none" w:sz="0" w:space="0" w:color="auto"/>
                  </w:divBdr>
                  <w:divsChild>
                    <w:div w:id="90666718">
                      <w:marLeft w:val="0"/>
                      <w:marRight w:val="0"/>
                      <w:marTop w:val="0"/>
                      <w:marBottom w:val="0"/>
                      <w:divBdr>
                        <w:top w:val="none" w:sz="0" w:space="0" w:color="auto"/>
                        <w:left w:val="none" w:sz="0" w:space="0" w:color="auto"/>
                        <w:bottom w:val="none" w:sz="0" w:space="0" w:color="auto"/>
                        <w:right w:val="none" w:sz="0" w:space="0" w:color="auto"/>
                      </w:divBdr>
                    </w:div>
                  </w:divsChild>
                </w:div>
                <w:div w:id="1005664686">
                  <w:marLeft w:val="0"/>
                  <w:marRight w:val="0"/>
                  <w:marTop w:val="0"/>
                  <w:marBottom w:val="0"/>
                  <w:divBdr>
                    <w:top w:val="none" w:sz="0" w:space="0" w:color="auto"/>
                    <w:left w:val="none" w:sz="0" w:space="0" w:color="auto"/>
                    <w:bottom w:val="none" w:sz="0" w:space="0" w:color="auto"/>
                    <w:right w:val="none" w:sz="0" w:space="0" w:color="auto"/>
                  </w:divBdr>
                  <w:divsChild>
                    <w:div w:id="1458452118">
                      <w:marLeft w:val="0"/>
                      <w:marRight w:val="0"/>
                      <w:marTop w:val="0"/>
                      <w:marBottom w:val="0"/>
                      <w:divBdr>
                        <w:top w:val="none" w:sz="0" w:space="0" w:color="auto"/>
                        <w:left w:val="none" w:sz="0" w:space="0" w:color="auto"/>
                        <w:bottom w:val="none" w:sz="0" w:space="0" w:color="auto"/>
                        <w:right w:val="none" w:sz="0" w:space="0" w:color="auto"/>
                      </w:divBdr>
                    </w:div>
                  </w:divsChild>
                </w:div>
                <w:div w:id="1007558165">
                  <w:marLeft w:val="0"/>
                  <w:marRight w:val="0"/>
                  <w:marTop w:val="0"/>
                  <w:marBottom w:val="0"/>
                  <w:divBdr>
                    <w:top w:val="none" w:sz="0" w:space="0" w:color="auto"/>
                    <w:left w:val="none" w:sz="0" w:space="0" w:color="auto"/>
                    <w:bottom w:val="none" w:sz="0" w:space="0" w:color="auto"/>
                    <w:right w:val="none" w:sz="0" w:space="0" w:color="auto"/>
                  </w:divBdr>
                  <w:divsChild>
                    <w:div w:id="923033401">
                      <w:marLeft w:val="0"/>
                      <w:marRight w:val="0"/>
                      <w:marTop w:val="0"/>
                      <w:marBottom w:val="0"/>
                      <w:divBdr>
                        <w:top w:val="none" w:sz="0" w:space="0" w:color="auto"/>
                        <w:left w:val="none" w:sz="0" w:space="0" w:color="auto"/>
                        <w:bottom w:val="none" w:sz="0" w:space="0" w:color="auto"/>
                        <w:right w:val="none" w:sz="0" w:space="0" w:color="auto"/>
                      </w:divBdr>
                    </w:div>
                  </w:divsChild>
                </w:div>
                <w:div w:id="1008482593">
                  <w:marLeft w:val="0"/>
                  <w:marRight w:val="0"/>
                  <w:marTop w:val="0"/>
                  <w:marBottom w:val="0"/>
                  <w:divBdr>
                    <w:top w:val="none" w:sz="0" w:space="0" w:color="auto"/>
                    <w:left w:val="none" w:sz="0" w:space="0" w:color="auto"/>
                    <w:bottom w:val="none" w:sz="0" w:space="0" w:color="auto"/>
                    <w:right w:val="none" w:sz="0" w:space="0" w:color="auto"/>
                  </w:divBdr>
                  <w:divsChild>
                    <w:div w:id="1804038500">
                      <w:marLeft w:val="0"/>
                      <w:marRight w:val="0"/>
                      <w:marTop w:val="0"/>
                      <w:marBottom w:val="0"/>
                      <w:divBdr>
                        <w:top w:val="none" w:sz="0" w:space="0" w:color="auto"/>
                        <w:left w:val="none" w:sz="0" w:space="0" w:color="auto"/>
                        <w:bottom w:val="none" w:sz="0" w:space="0" w:color="auto"/>
                        <w:right w:val="none" w:sz="0" w:space="0" w:color="auto"/>
                      </w:divBdr>
                    </w:div>
                  </w:divsChild>
                </w:div>
                <w:div w:id="1008992508">
                  <w:marLeft w:val="0"/>
                  <w:marRight w:val="0"/>
                  <w:marTop w:val="0"/>
                  <w:marBottom w:val="0"/>
                  <w:divBdr>
                    <w:top w:val="none" w:sz="0" w:space="0" w:color="auto"/>
                    <w:left w:val="none" w:sz="0" w:space="0" w:color="auto"/>
                    <w:bottom w:val="none" w:sz="0" w:space="0" w:color="auto"/>
                    <w:right w:val="none" w:sz="0" w:space="0" w:color="auto"/>
                  </w:divBdr>
                  <w:divsChild>
                    <w:div w:id="1814255630">
                      <w:marLeft w:val="0"/>
                      <w:marRight w:val="0"/>
                      <w:marTop w:val="0"/>
                      <w:marBottom w:val="0"/>
                      <w:divBdr>
                        <w:top w:val="none" w:sz="0" w:space="0" w:color="auto"/>
                        <w:left w:val="none" w:sz="0" w:space="0" w:color="auto"/>
                        <w:bottom w:val="none" w:sz="0" w:space="0" w:color="auto"/>
                        <w:right w:val="none" w:sz="0" w:space="0" w:color="auto"/>
                      </w:divBdr>
                    </w:div>
                  </w:divsChild>
                </w:div>
                <w:div w:id="1011419550">
                  <w:marLeft w:val="0"/>
                  <w:marRight w:val="0"/>
                  <w:marTop w:val="0"/>
                  <w:marBottom w:val="0"/>
                  <w:divBdr>
                    <w:top w:val="none" w:sz="0" w:space="0" w:color="auto"/>
                    <w:left w:val="none" w:sz="0" w:space="0" w:color="auto"/>
                    <w:bottom w:val="none" w:sz="0" w:space="0" w:color="auto"/>
                    <w:right w:val="none" w:sz="0" w:space="0" w:color="auto"/>
                  </w:divBdr>
                  <w:divsChild>
                    <w:div w:id="1113280029">
                      <w:marLeft w:val="0"/>
                      <w:marRight w:val="0"/>
                      <w:marTop w:val="0"/>
                      <w:marBottom w:val="0"/>
                      <w:divBdr>
                        <w:top w:val="none" w:sz="0" w:space="0" w:color="auto"/>
                        <w:left w:val="none" w:sz="0" w:space="0" w:color="auto"/>
                        <w:bottom w:val="none" w:sz="0" w:space="0" w:color="auto"/>
                        <w:right w:val="none" w:sz="0" w:space="0" w:color="auto"/>
                      </w:divBdr>
                    </w:div>
                  </w:divsChild>
                </w:div>
                <w:div w:id="1011840244">
                  <w:marLeft w:val="0"/>
                  <w:marRight w:val="0"/>
                  <w:marTop w:val="0"/>
                  <w:marBottom w:val="0"/>
                  <w:divBdr>
                    <w:top w:val="none" w:sz="0" w:space="0" w:color="auto"/>
                    <w:left w:val="none" w:sz="0" w:space="0" w:color="auto"/>
                    <w:bottom w:val="none" w:sz="0" w:space="0" w:color="auto"/>
                    <w:right w:val="none" w:sz="0" w:space="0" w:color="auto"/>
                  </w:divBdr>
                  <w:divsChild>
                    <w:div w:id="1844054809">
                      <w:marLeft w:val="0"/>
                      <w:marRight w:val="0"/>
                      <w:marTop w:val="0"/>
                      <w:marBottom w:val="0"/>
                      <w:divBdr>
                        <w:top w:val="none" w:sz="0" w:space="0" w:color="auto"/>
                        <w:left w:val="none" w:sz="0" w:space="0" w:color="auto"/>
                        <w:bottom w:val="none" w:sz="0" w:space="0" w:color="auto"/>
                        <w:right w:val="none" w:sz="0" w:space="0" w:color="auto"/>
                      </w:divBdr>
                    </w:div>
                  </w:divsChild>
                </w:div>
                <w:div w:id="1020742780">
                  <w:marLeft w:val="0"/>
                  <w:marRight w:val="0"/>
                  <w:marTop w:val="0"/>
                  <w:marBottom w:val="0"/>
                  <w:divBdr>
                    <w:top w:val="none" w:sz="0" w:space="0" w:color="auto"/>
                    <w:left w:val="none" w:sz="0" w:space="0" w:color="auto"/>
                    <w:bottom w:val="none" w:sz="0" w:space="0" w:color="auto"/>
                    <w:right w:val="none" w:sz="0" w:space="0" w:color="auto"/>
                  </w:divBdr>
                  <w:divsChild>
                    <w:div w:id="1493911999">
                      <w:marLeft w:val="0"/>
                      <w:marRight w:val="0"/>
                      <w:marTop w:val="0"/>
                      <w:marBottom w:val="0"/>
                      <w:divBdr>
                        <w:top w:val="none" w:sz="0" w:space="0" w:color="auto"/>
                        <w:left w:val="none" w:sz="0" w:space="0" w:color="auto"/>
                        <w:bottom w:val="none" w:sz="0" w:space="0" w:color="auto"/>
                        <w:right w:val="none" w:sz="0" w:space="0" w:color="auto"/>
                      </w:divBdr>
                    </w:div>
                  </w:divsChild>
                </w:div>
                <w:div w:id="1024406089">
                  <w:marLeft w:val="0"/>
                  <w:marRight w:val="0"/>
                  <w:marTop w:val="0"/>
                  <w:marBottom w:val="0"/>
                  <w:divBdr>
                    <w:top w:val="none" w:sz="0" w:space="0" w:color="auto"/>
                    <w:left w:val="none" w:sz="0" w:space="0" w:color="auto"/>
                    <w:bottom w:val="none" w:sz="0" w:space="0" w:color="auto"/>
                    <w:right w:val="none" w:sz="0" w:space="0" w:color="auto"/>
                  </w:divBdr>
                  <w:divsChild>
                    <w:div w:id="1237744306">
                      <w:marLeft w:val="0"/>
                      <w:marRight w:val="0"/>
                      <w:marTop w:val="0"/>
                      <w:marBottom w:val="0"/>
                      <w:divBdr>
                        <w:top w:val="none" w:sz="0" w:space="0" w:color="auto"/>
                        <w:left w:val="none" w:sz="0" w:space="0" w:color="auto"/>
                        <w:bottom w:val="none" w:sz="0" w:space="0" w:color="auto"/>
                        <w:right w:val="none" w:sz="0" w:space="0" w:color="auto"/>
                      </w:divBdr>
                    </w:div>
                  </w:divsChild>
                </w:div>
                <w:div w:id="1025249820">
                  <w:marLeft w:val="0"/>
                  <w:marRight w:val="0"/>
                  <w:marTop w:val="0"/>
                  <w:marBottom w:val="0"/>
                  <w:divBdr>
                    <w:top w:val="none" w:sz="0" w:space="0" w:color="auto"/>
                    <w:left w:val="none" w:sz="0" w:space="0" w:color="auto"/>
                    <w:bottom w:val="none" w:sz="0" w:space="0" w:color="auto"/>
                    <w:right w:val="none" w:sz="0" w:space="0" w:color="auto"/>
                  </w:divBdr>
                  <w:divsChild>
                    <w:div w:id="703947191">
                      <w:marLeft w:val="0"/>
                      <w:marRight w:val="0"/>
                      <w:marTop w:val="0"/>
                      <w:marBottom w:val="0"/>
                      <w:divBdr>
                        <w:top w:val="none" w:sz="0" w:space="0" w:color="auto"/>
                        <w:left w:val="none" w:sz="0" w:space="0" w:color="auto"/>
                        <w:bottom w:val="none" w:sz="0" w:space="0" w:color="auto"/>
                        <w:right w:val="none" w:sz="0" w:space="0" w:color="auto"/>
                      </w:divBdr>
                    </w:div>
                  </w:divsChild>
                </w:div>
                <w:div w:id="1027489632">
                  <w:marLeft w:val="0"/>
                  <w:marRight w:val="0"/>
                  <w:marTop w:val="0"/>
                  <w:marBottom w:val="0"/>
                  <w:divBdr>
                    <w:top w:val="none" w:sz="0" w:space="0" w:color="auto"/>
                    <w:left w:val="none" w:sz="0" w:space="0" w:color="auto"/>
                    <w:bottom w:val="none" w:sz="0" w:space="0" w:color="auto"/>
                    <w:right w:val="none" w:sz="0" w:space="0" w:color="auto"/>
                  </w:divBdr>
                  <w:divsChild>
                    <w:div w:id="929317254">
                      <w:marLeft w:val="0"/>
                      <w:marRight w:val="0"/>
                      <w:marTop w:val="0"/>
                      <w:marBottom w:val="0"/>
                      <w:divBdr>
                        <w:top w:val="none" w:sz="0" w:space="0" w:color="auto"/>
                        <w:left w:val="none" w:sz="0" w:space="0" w:color="auto"/>
                        <w:bottom w:val="none" w:sz="0" w:space="0" w:color="auto"/>
                        <w:right w:val="none" w:sz="0" w:space="0" w:color="auto"/>
                      </w:divBdr>
                    </w:div>
                  </w:divsChild>
                </w:div>
                <w:div w:id="1030493295">
                  <w:marLeft w:val="0"/>
                  <w:marRight w:val="0"/>
                  <w:marTop w:val="0"/>
                  <w:marBottom w:val="0"/>
                  <w:divBdr>
                    <w:top w:val="none" w:sz="0" w:space="0" w:color="auto"/>
                    <w:left w:val="none" w:sz="0" w:space="0" w:color="auto"/>
                    <w:bottom w:val="none" w:sz="0" w:space="0" w:color="auto"/>
                    <w:right w:val="none" w:sz="0" w:space="0" w:color="auto"/>
                  </w:divBdr>
                  <w:divsChild>
                    <w:div w:id="466553057">
                      <w:marLeft w:val="0"/>
                      <w:marRight w:val="0"/>
                      <w:marTop w:val="0"/>
                      <w:marBottom w:val="0"/>
                      <w:divBdr>
                        <w:top w:val="none" w:sz="0" w:space="0" w:color="auto"/>
                        <w:left w:val="none" w:sz="0" w:space="0" w:color="auto"/>
                        <w:bottom w:val="none" w:sz="0" w:space="0" w:color="auto"/>
                        <w:right w:val="none" w:sz="0" w:space="0" w:color="auto"/>
                      </w:divBdr>
                    </w:div>
                  </w:divsChild>
                </w:div>
                <w:div w:id="1037122056">
                  <w:marLeft w:val="0"/>
                  <w:marRight w:val="0"/>
                  <w:marTop w:val="0"/>
                  <w:marBottom w:val="0"/>
                  <w:divBdr>
                    <w:top w:val="none" w:sz="0" w:space="0" w:color="auto"/>
                    <w:left w:val="none" w:sz="0" w:space="0" w:color="auto"/>
                    <w:bottom w:val="none" w:sz="0" w:space="0" w:color="auto"/>
                    <w:right w:val="none" w:sz="0" w:space="0" w:color="auto"/>
                  </w:divBdr>
                  <w:divsChild>
                    <w:div w:id="1672951466">
                      <w:marLeft w:val="0"/>
                      <w:marRight w:val="0"/>
                      <w:marTop w:val="0"/>
                      <w:marBottom w:val="0"/>
                      <w:divBdr>
                        <w:top w:val="none" w:sz="0" w:space="0" w:color="auto"/>
                        <w:left w:val="none" w:sz="0" w:space="0" w:color="auto"/>
                        <w:bottom w:val="none" w:sz="0" w:space="0" w:color="auto"/>
                        <w:right w:val="none" w:sz="0" w:space="0" w:color="auto"/>
                      </w:divBdr>
                    </w:div>
                  </w:divsChild>
                </w:div>
                <w:div w:id="1049382165">
                  <w:marLeft w:val="0"/>
                  <w:marRight w:val="0"/>
                  <w:marTop w:val="0"/>
                  <w:marBottom w:val="0"/>
                  <w:divBdr>
                    <w:top w:val="none" w:sz="0" w:space="0" w:color="auto"/>
                    <w:left w:val="none" w:sz="0" w:space="0" w:color="auto"/>
                    <w:bottom w:val="none" w:sz="0" w:space="0" w:color="auto"/>
                    <w:right w:val="none" w:sz="0" w:space="0" w:color="auto"/>
                  </w:divBdr>
                  <w:divsChild>
                    <w:div w:id="1709866708">
                      <w:marLeft w:val="0"/>
                      <w:marRight w:val="0"/>
                      <w:marTop w:val="0"/>
                      <w:marBottom w:val="0"/>
                      <w:divBdr>
                        <w:top w:val="none" w:sz="0" w:space="0" w:color="auto"/>
                        <w:left w:val="none" w:sz="0" w:space="0" w:color="auto"/>
                        <w:bottom w:val="none" w:sz="0" w:space="0" w:color="auto"/>
                        <w:right w:val="none" w:sz="0" w:space="0" w:color="auto"/>
                      </w:divBdr>
                    </w:div>
                  </w:divsChild>
                </w:div>
                <w:div w:id="1055158281">
                  <w:marLeft w:val="0"/>
                  <w:marRight w:val="0"/>
                  <w:marTop w:val="0"/>
                  <w:marBottom w:val="0"/>
                  <w:divBdr>
                    <w:top w:val="none" w:sz="0" w:space="0" w:color="auto"/>
                    <w:left w:val="none" w:sz="0" w:space="0" w:color="auto"/>
                    <w:bottom w:val="none" w:sz="0" w:space="0" w:color="auto"/>
                    <w:right w:val="none" w:sz="0" w:space="0" w:color="auto"/>
                  </w:divBdr>
                  <w:divsChild>
                    <w:div w:id="1063136688">
                      <w:marLeft w:val="0"/>
                      <w:marRight w:val="0"/>
                      <w:marTop w:val="0"/>
                      <w:marBottom w:val="0"/>
                      <w:divBdr>
                        <w:top w:val="none" w:sz="0" w:space="0" w:color="auto"/>
                        <w:left w:val="none" w:sz="0" w:space="0" w:color="auto"/>
                        <w:bottom w:val="none" w:sz="0" w:space="0" w:color="auto"/>
                        <w:right w:val="none" w:sz="0" w:space="0" w:color="auto"/>
                      </w:divBdr>
                    </w:div>
                  </w:divsChild>
                </w:div>
                <w:div w:id="1056008290">
                  <w:marLeft w:val="0"/>
                  <w:marRight w:val="0"/>
                  <w:marTop w:val="0"/>
                  <w:marBottom w:val="0"/>
                  <w:divBdr>
                    <w:top w:val="none" w:sz="0" w:space="0" w:color="auto"/>
                    <w:left w:val="none" w:sz="0" w:space="0" w:color="auto"/>
                    <w:bottom w:val="none" w:sz="0" w:space="0" w:color="auto"/>
                    <w:right w:val="none" w:sz="0" w:space="0" w:color="auto"/>
                  </w:divBdr>
                  <w:divsChild>
                    <w:div w:id="1879585937">
                      <w:marLeft w:val="0"/>
                      <w:marRight w:val="0"/>
                      <w:marTop w:val="0"/>
                      <w:marBottom w:val="0"/>
                      <w:divBdr>
                        <w:top w:val="none" w:sz="0" w:space="0" w:color="auto"/>
                        <w:left w:val="none" w:sz="0" w:space="0" w:color="auto"/>
                        <w:bottom w:val="none" w:sz="0" w:space="0" w:color="auto"/>
                        <w:right w:val="none" w:sz="0" w:space="0" w:color="auto"/>
                      </w:divBdr>
                    </w:div>
                  </w:divsChild>
                </w:div>
                <w:div w:id="1058551544">
                  <w:marLeft w:val="0"/>
                  <w:marRight w:val="0"/>
                  <w:marTop w:val="0"/>
                  <w:marBottom w:val="0"/>
                  <w:divBdr>
                    <w:top w:val="none" w:sz="0" w:space="0" w:color="auto"/>
                    <w:left w:val="none" w:sz="0" w:space="0" w:color="auto"/>
                    <w:bottom w:val="none" w:sz="0" w:space="0" w:color="auto"/>
                    <w:right w:val="none" w:sz="0" w:space="0" w:color="auto"/>
                  </w:divBdr>
                  <w:divsChild>
                    <w:div w:id="1884560845">
                      <w:marLeft w:val="0"/>
                      <w:marRight w:val="0"/>
                      <w:marTop w:val="0"/>
                      <w:marBottom w:val="0"/>
                      <w:divBdr>
                        <w:top w:val="none" w:sz="0" w:space="0" w:color="auto"/>
                        <w:left w:val="none" w:sz="0" w:space="0" w:color="auto"/>
                        <w:bottom w:val="none" w:sz="0" w:space="0" w:color="auto"/>
                        <w:right w:val="none" w:sz="0" w:space="0" w:color="auto"/>
                      </w:divBdr>
                    </w:div>
                  </w:divsChild>
                </w:div>
                <w:div w:id="1064330905">
                  <w:marLeft w:val="0"/>
                  <w:marRight w:val="0"/>
                  <w:marTop w:val="0"/>
                  <w:marBottom w:val="0"/>
                  <w:divBdr>
                    <w:top w:val="none" w:sz="0" w:space="0" w:color="auto"/>
                    <w:left w:val="none" w:sz="0" w:space="0" w:color="auto"/>
                    <w:bottom w:val="none" w:sz="0" w:space="0" w:color="auto"/>
                    <w:right w:val="none" w:sz="0" w:space="0" w:color="auto"/>
                  </w:divBdr>
                  <w:divsChild>
                    <w:div w:id="1160193345">
                      <w:marLeft w:val="0"/>
                      <w:marRight w:val="0"/>
                      <w:marTop w:val="0"/>
                      <w:marBottom w:val="0"/>
                      <w:divBdr>
                        <w:top w:val="none" w:sz="0" w:space="0" w:color="auto"/>
                        <w:left w:val="none" w:sz="0" w:space="0" w:color="auto"/>
                        <w:bottom w:val="none" w:sz="0" w:space="0" w:color="auto"/>
                        <w:right w:val="none" w:sz="0" w:space="0" w:color="auto"/>
                      </w:divBdr>
                    </w:div>
                  </w:divsChild>
                </w:div>
                <w:div w:id="1065447520">
                  <w:marLeft w:val="0"/>
                  <w:marRight w:val="0"/>
                  <w:marTop w:val="0"/>
                  <w:marBottom w:val="0"/>
                  <w:divBdr>
                    <w:top w:val="none" w:sz="0" w:space="0" w:color="auto"/>
                    <w:left w:val="none" w:sz="0" w:space="0" w:color="auto"/>
                    <w:bottom w:val="none" w:sz="0" w:space="0" w:color="auto"/>
                    <w:right w:val="none" w:sz="0" w:space="0" w:color="auto"/>
                  </w:divBdr>
                  <w:divsChild>
                    <w:div w:id="1251743971">
                      <w:marLeft w:val="0"/>
                      <w:marRight w:val="0"/>
                      <w:marTop w:val="0"/>
                      <w:marBottom w:val="0"/>
                      <w:divBdr>
                        <w:top w:val="none" w:sz="0" w:space="0" w:color="auto"/>
                        <w:left w:val="none" w:sz="0" w:space="0" w:color="auto"/>
                        <w:bottom w:val="none" w:sz="0" w:space="0" w:color="auto"/>
                        <w:right w:val="none" w:sz="0" w:space="0" w:color="auto"/>
                      </w:divBdr>
                    </w:div>
                  </w:divsChild>
                </w:div>
                <w:div w:id="1075589321">
                  <w:marLeft w:val="0"/>
                  <w:marRight w:val="0"/>
                  <w:marTop w:val="0"/>
                  <w:marBottom w:val="0"/>
                  <w:divBdr>
                    <w:top w:val="none" w:sz="0" w:space="0" w:color="auto"/>
                    <w:left w:val="none" w:sz="0" w:space="0" w:color="auto"/>
                    <w:bottom w:val="none" w:sz="0" w:space="0" w:color="auto"/>
                    <w:right w:val="none" w:sz="0" w:space="0" w:color="auto"/>
                  </w:divBdr>
                  <w:divsChild>
                    <w:div w:id="310329487">
                      <w:marLeft w:val="0"/>
                      <w:marRight w:val="0"/>
                      <w:marTop w:val="0"/>
                      <w:marBottom w:val="0"/>
                      <w:divBdr>
                        <w:top w:val="none" w:sz="0" w:space="0" w:color="auto"/>
                        <w:left w:val="none" w:sz="0" w:space="0" w:color="auto"/>
                        <w:bottom w:val="none" w:sz="0" w:space="0" w:color="auto"/>
                        <w:right w:val="none" w:sz="0" w:space="0" w:color="auto"/>
                      </w:divBdr>
                    </w:div>
                  </w:divsChild>
                </w:div>
                <w:div w:id="1081875100">
                  <w:marLeft w:val="0"/>
                  <w:marRight w:val="0"/>
                  <w:marTop w:val="0"/>
                  <w:marBottom w:val="0"/>
                  <w:divBdr>
                    <w:top w:val="none" w:sz="0" w:space="0" w:color="auto"/>
                    <w:left w:val="none" w:sz="0" w:space="0" w:color="auto"/>
                    <w:bottom w:val="none" w:sz="0" w:space="0" w:color="auto"/>
                    <w:right w:val="none" w:sz="0" w:space="0" w:color="auto"/>
                  </w:divBdr>
                  <w:divsChild>
                    <w:div w:id="17394157">
                      <w:marLeft w:val="0"/>
                      <w:marRight w:val="0"/>
                      <w:marTop w:val="0"/>
                      <w:marBottom w:val="0"/>
                      <w:divBdr>
                        <w:top w:val="none" w:sz="0" w:space="0" w:color="auto"/>
                        <w:left w:val="none" w:sz="0" w:space="0" w:color="auto"/>
                        <w:bottom w:val="none" w:sz="0" w:space="0" w:color="auto"/>
                        <w:right w:val="none" w:sz="0" w:space="0" w:color="auto"/>
                      </w:divBdr>
                    </w:div>
                  </w:divsChild>
                </w:div>
                <w:div w:id="1082409683">
                  <w:marLeft w:val="0"/>
                  <w:marRight w:val="0"/>
                  <w:marTop w:val="0"/>
                  <w:marBottom w:val="0"/>
                  <w:divBdr>
                    <w:top w:val="none" w:sz="0" w:space="0" w:color="auto"/>
                    <w:left w:val="none" w:sz="0" w:space="0" w:color="auto"/>
                    <w:bottom w:val="none" w:sz="0" w:space="0" w:color="auto"/>
                    <w:right w:val="none" w:sz="0" w:space="0" w:color="auto"/>
                  </w:divBdr>
                  <w:divsChild>
                    <w:div w:id="1299217502">
                      <w:marLeft w:val="0"/>
                      <w:marRight w:val="0"/>
                      <w:marTop w:val="0"/>
                      <w:marBottom w:val="0"/>
                      <w:divBdr>
                        <w:top w:val="none" w:sz="0" w:space="0" w:color="auto"/>
                        <w:left w:val="none" w:sz="0" w:space="0" w:color="auto"/>
                        <w:bottom w:val="none" w:sz="0" w:space="0" w:color="auto"/>
                        <w:right w:val="none" w:sz="0" w:space="0" w:color="auto"/>
                      </w:divBdr>
                    </w:div>
                  </w:divsChild>
                </w:div>
                <w:div w:id="1089696240">
                  <w:marLeft w:val="0"/>
                  <w:marRight w:val="0"/>
                  <w:marTop w:val="0"/>
                  <w:marBottom w:val="0"/>
                  <w:divBdr>
                    <w:top w:val="none" w:sz="0" w:space="0" w:color="auto"/>
                    <w:left w:val="none" w:sz="0" w:space="0" w:color="auto"/>
                    <w:bottom w:val="none" w:sz="0" w:space="0" w:color="auto"/>
                    <w:right w:val="none" w:sz="0" w:space="0" w:color="auto"/>
                  </w:divBdr>
                  <w:divsChild>
                    <w:div w:id="282617918">
                      <w:marLeft w:val="0"/>
                      <w:marRight w:val="0"/>
                      <w:marTop w:val="0"/>
                      <w:marBottom w:val="0"/>
                      <w:divBdr>
                        <w:top w:val="none" w:sz="0" w:space="0" w:color="auto"/>
                        <w:left w:val="none" w:sz="0" w:space="0" w:color="auto"/>
                        <w:bottom w:val="none" w:sz="0" w:space="0" w:color="auto"/>
                        <w:right w:val="none" w:sz="0" w:space="0" w:color="auto"/>
                      </w:divBdr>
                    </w:div>
                  </w:divsChild>
                </w:div>
                <w:div w:id="1091389337">
                  <w:marLeft w:val="0"/>
                  <w:marRight w:val="0"/>
                  <w:marTop w:val="0"/>
                  <w:marBottom w:val="0"/>
                  <w:divBdr>
                    <w:top w:val="none" w:sz="0" w:space="0" w:color="auto"/>
                    <w:left w:val="none" w:sz="0" w:space="0" w:color="auto"/>
                    <w:bottom w:val="none" w:sz="0" w:space="0" w:color="auto"/>
                    <w:right w:val="none" w:sz="0" w:space="0" w:color="auto"/>
                  </w:divBdr>
                  <w:divsChild>
                    <w:div w:id="1465925688">
                      <w:marLeft w:val="0"/>
                      <w:marRight w:val="0"/>
                      <w:marTop w:val="0"/>
                      <w:marBottom w:val="0"/>
                      <w:divBdr>
                        <w:top w:val="none" w:sz="0" w:space="0" w:color="auto"/>
                        <w:left w:val="none" w:sz="0" w:space="0" w:color="auto"/>
                        <w:bottom w:val="none" w:sz="0" w:space="0" w:color="auto"/>
                        <w:right w:val="none" w:sz="0" w:space="0" w:color="auto"/>
                      </w:divBdr>
                    </w:div>
                  </w:divsChild>
                </w:div>
                <w:div w:id="1091392733">
                  <w:marLeft w:val="0"/>
                  <w:marRight w:val="0"/>
                  <w:marTop w:val="0"/>
                  <w:marBottom w:val="0"/>
                  <w:divBdr>
                    <w:top w:val="none" w:sz="0" w:space="0" w:color="auto"/>
                    <w:left w:val="none" w:sz="0" w:space="0" w:color="auto"/>
                    <w:bottom w:val="none" w:sz="0" w:space="0" w:color="auto"/>
                    <w:right w:val="none" w:sz="0" w:space="0" w:color="auto"/>
                  </w:divBdr>
                  <w:divsChild>
                    <w:div w:id="531575636">
                      <w:marLeft w:val="0"/>
                      <w:marRight w:val="0"/>
                      <w:marTop w:val="0"/>
                      <w:marBottom w:val="0"/>
                      <w:divBdr>
                        <w:top w:val="none" w:sz="0" w:space="0" w:color="auto"/>
                        <w:left w:val="none" w:sz="0" w:space="0" w:color="auto"/>
                        <w:bottom w:val="none" w:sz="0" w:space="0" w:color="auto"/>
                        <w:right w:val="none" w:sz="0" w:space="0" w:color="auto"/>
                      </w:divBdr>
                    </w:div>
                  </w:divsChild>
                </w:div>
                <w:div w:id="1092044939">
                  <w:marLeft w:val="0"/>
                  <w:marRight w:val="0"/>
                  <w:marTop w:val="0"/>
                  <w:marBottom w:val="0"/>
                  <w:divBdr>
                    <w:top w:val="none" w:sz="0" w:space="0" w:color="auto"/>
                    <w:left w:val="none" w:sz="0" w:space="0" w:color="auto"/>
                    <w:bottom w:val="none" w:sz="0" w:space="0" w:color="auto"/>
                    <w:right w:val="none" w:sz="0" w:space="0" w:color="auto"/>
                  </w:divBdr>
                  <w:divsChild>
                    <w:div w:id="2140874890">
                      <w:marLeft w:val="0"/>
                      <w:marRight w:val="0"/>
                      <w:marTop w:val="0"/>
                      <w:marBottom w:val="0"/>
                      <w:divBdr>
                        <w:top w:val="none" w:sz="0" w:space="0" w:color="auto"/>
                        <w:left w:val="none" w:sz="0" w:space="0" w:color="auto"/>
                        <w:bottom w:val="none" w:sz="0" w:space="0" w:color="auto"/>
                        <w:right w:val="none" w:sz="0" w:space="0" w:color="auto"/>
                      </w:divBdr>
                    </w:div>
                  </w:divsChild>
                </w:div>
                <w:div w:id="1097868142">
                  <w:marLeft w:val="0"/>
                  <w:marRight w:val="0"/>
                  <w:marTop w:val="0"/>
                  <w:marBottom w:val="0"/>
                  <w:divBdr>
                    <w:top w:val="none" w:sz="0" w:space="0" w:color="auto"/>
                    <w:left w:val="none" w:sz="0" w:space="0" w:color="auto"/>
                    <w:bottom w:val="none" w:sz="0" w:space="0" w:color="auto"/>
                    <w:right w:val="none" w:sz="0" w:space="0" w:color="auto"/>
                  </w:divBdr>
                  <w:divsChild>
                    <w:div w:id="655844314">
                      <w:marLeft w:val="0"/>
                      <w:marRight w:val="0"/>
                      <w:marTop w:val="0"/>
                      <w:marBottom w:val="0"/>
                      <w:divBdr>
                        <w:top w:val="none" w:sz="0" w:space="0" w:color="auto"/>
                        <w:left w:val="none" w:sz="0" w:space="0" w:color="auto"/>
                        <w:bottom w:val="none" w:sz="0" w:space="0" w:color="auto"/>
                        <w:right w:val="none" w:sz="0" w:space="0" w:color="auto"/>
                      </w:divBdr>
                    </w:div>
                  </w:divsChild>
                </w:div>
                <w:div w:id="1103570698">
                  <w:marLeft w:val="0"/>
                  <w:marRight w:val="0"/>
                  <w:marTop w:val="0"/>
                  <w:marBottom w:val="0"/>
                  <w:divBdr>
                    <w:top w:val="none" w:sz="0" w:space="0" w:color="auto"/>
                    <w:left w:val="none" w:sz="0" w:space="0" w:color="auto"/>
                    <w:bottom w:val="none" w:sz="0" w:space="0" w:color="auto"/>
                    <w:right w:val="none" w:sz="0" w:space="0" w:color="auto"/>
                  </w:divBdr>
                  <w:divsChild>
                    <w:div w:id="67700821">
                      <w:marLeft w:val="0"/>
                      <w:marRight w:val="0"/>
                      <w:marTop w:val="0"/>
                      <w:marBottom w:val="0"/>
                      <w:divBdr>
                        <w:top w:val="none" w:sz="0" w:space="0" w:color="auto"/>
                        <w:left w:val="none" w:sz="0" w:space="0" w:color="auto"/>
                        <w:bottom w:val="none" w:sz="0" w:space="0" w:color="auto"/>
                        <w:right w:val="none" w:sz="0" w:space="0" w:color="auto"/>
                      </w:divBdr>
                    </w:div>
                  </w:divsChild>
                </w:div>
                <w:div w:id="1104810041">
                  <w:marLeft w:val="0"/>
                  <w:marRight w:val="0"/>
                  <w:marTop w:val="0"/>
                  <w:marBottom w:val="0"/>
                  <w:divBdr>
                    <w:top w:val="none" w:sz="0" w:space="0" w:color="auto"/>
                    <w:left w:val="none" w:sz="0" w:space="0" w:color="auto"/>
                    <w:bottom w:val="none" w:sz="0" w:space="0" w:color="auto"/>
                    <w:right w:val="none" w:sz="0" w:space="0" w:color="auto"/>
                  </w:divBdr>
                  <w:divsChild>
                    <w:div w:id="1955552728">
                      <w:marLeft w:val="0"/>
                      <w:marRight w:val="0"/>
                      <w:marTop w:val="0"/>
                      <w:marBottom w:val="0"/>
                      <w:divBdr>
                        <w:top w:val="none" w:sz="0" w:space="0" w:color="auto"/>
                        <w:left w:val="none" w:sz="0" w:space="0" w:color="auto"/>
                        <w:bottom w:val="none" w:sz="0" w:space="0" w:color="auto"/>
                        <w:right w:val="none" w:sz="0" w:space="0" w:color="auto"/>
                      </w:divBdr>
                    </w:div>
                  </w:divsChild>
                </w:div>
                <w:div w:id="1104811358">
                  <w:marLeft w:val="0"/>
                  <w:marRight w:val="0"/>
                  <w:marTop w:val="0"/>
                  <w:marBottom w:val="0"/>
                  <w:divBdr>
                    <w:top w:val="none" w:sz="0" w:space="0" w:color="auto"/>
                    <w:left w:val="none" w:sz="0" w:space="0" w:color="auto"/>
                    <w:bottom w:val="none" w:sz="0" w:space="0" w:color="auto"/>
                    <w:right w:val="none" w:sz="0" w:space="0" w:color="auto"/>
                  </w:divBdr>
                  <w:divsChild>
                    <w:div w:id="1262908960">
                      <w:marLeft w:val="0"/>
                      <w:marRight w:val="0"/>
                      <w:marTop w:val="0"/>
                      <w:marBottom w:val="0"/>
                      <w:divBdr>
                        <w:top w:val="none" w:sz="0" w:space="0" w:color="auto"/>
                        <w:left w:val="none" w:sz="0" w:space="0" w:color="auto"/>
                        <w:bottom w:val="none" w:sz="0" w:space="0" w:color="auto"/>
                        <w:right w:val="none" w:sz="0" w:space="0" w:color="auto"/>
                      </w:divBdr>
                    </w:div>
                  </w:divsChild>
                </w:div>
                <w:div w:id="1110197516">
                  <w:marLeft w:val="0"/>
                  <w:marRight w:val="0"/>
                  <w:marTop w:val="0"/>
                  <w:marBottom w:val="0"/>
                  <w:divBdr>
                    <w:top w:val="none" w:sz="0" w:space="0" w:color="auto"/>
                    <w:left w:val="none" w:sz="0" w:space="0" w:color="auto"/>
                    <w:bottom w:val="none" w:sz="0" w:space="0" w:color="auto"/>
                    <w:right w:val="none" w:sz="0" w:space="0" w:color="auto"/>
                  </w:divBdr>
                  <w:divsChild>
                    <w:div w:id="118887597">
                      <w:marLeft w:val="0"/>
                      <w:marRight w:val="0"/>
                      <w:marTop w:val="0"/>
                      <w:marBottom w:val="0"/>
                      <w:divBdr>
                        <w:top w:val="none" w:sz="0" w:space="0" w:color="auto"/>
                        <w:left w:val="none" w:sz="0" w:space="0" w:color="auto"/>
                        <w:bottom w:val="none" w:sz="0" w:space="0" w:color="auto"/>
                        <w:right w:val="none" w:sz="0" w:space="0" w:color="auto"/>
                      </w:divBdr>
                    </w:div>
                  </w:divsChild>
                </w:div>
                <w:div w:id="1115443111">
                  <w:marLeft w:val="0"/>
                  <w:marRight w:val="0"/>
                  <w:marTop w:val="0"/>
                  <w:marBottom w:val="0"/>
                  <w:divBdr>
                    <w:top w:val="none" w:sz="0" w:space="0" w:color="auto"/>
                    <w:left w:val="none" w:sz="0" w:space="0" w:color="auto"/>
                    <w:bottom w:val="none" w:sz="0" w:space="0" w:color="auto"/>
                    <w:right w:val="none" w:sz="0" w:space="0" w:color="auto"/>
                  </w:divBdr>
                  <w:divsChild>
                    <w:div w:id="1499155730">
                      <w:marLeft w:val="0"/>
                      <w:marRight w:val="0"/>
                      <w:marTop w:val="0"/>
                      <w:marBottom w:val="0"/>
                      <w:divBdr>
                        <w:top w:val="none" w:sz="0" w:space="0" w:color="auto"/>
                        <w:left w:val="none" w:sz="0" w:space="0" w:color="auto"/>
                        <w:bottom w:val="none" w:sz="0" w:space="0" w:color="auto"/>
                        <w:right w:val="none" w:sz="0" w:space="0" w:color="auto"/>
                      </w:divBdr>
                    </w:div>
                  </w:divsChild>
                </w:div>
                <w:div w:id="1118142347">
                  <w:marLeft w:val="0"/>
                  <w:marRight w:val="0"/>
                  <w:marTop w:val="0"/>
                  <w:marBottom w:val="0"/>
                  <w:divBdr>
                    <w:top w:val="none" w:sz="0" w:space="0" w:color="auto"/>
                    <w:left w:val="none" w:sz="0" w:space="0" w:color="auto"/>
                    <w:bottom w:val="none" w:sz="0" w:space="0" w:color="auto"/>
                    <w:right w:val="none" w:sz="0" w:space="0" w:color="auto"/>
                  </w:divBdr>
                  <w:divsChild>
                    <w:div w:id="461074979">
                      <w:marLeft w:val="0"/>
                      <w:marRight w:val="0"/>
                      <w:marTop w:val="0"/>
                      <w:marBottom w:val="0"/>
                      <w:divBdr>
                        <w:top w:val="none" w:sz="0" w:space="0" w:color="auto"/>
                        <w:left w:val="none" w:sz="0" w:space="0" w:color="auto"/>
                        <w:bottom w:val="none" w:sz="0" w:space="0" w:color="auto"/>
                        <w:right w:val="none" w:sz="0" w:space="0" w:color="auto"/>
                      </w:divBdr>
                    </w:div>
                  </w:divsChild>
                </w:div>
                <w:div w:id="1126897056">
                  <w:marLeft w:val="0"/>
                  <w:marRight w:val="0"/>
                  <w:marTop w:val="0"/>
                  <w:marBottom w:val="0"/>
                  <w:divBdr>
                    <w:top w:val="none" w:sz="0" w:space="0" w:color="auto"/>
                    <w:left w:val="none" w:sz="0" w:space="0" w:color="auto"/>
                    <w:bottom w:val="none" w:sz="0" w:space="0" w:color="auto"/>
                    <w:right w:val="none" w:sz="0" w:space="0" w:color="auto"/>
                  </w:divBdr>
                  <w:divsChild>
                    <w:div w:id="531114816">
                      <w:marLeft w:val="0"/>
                      <w:marRight w:val="0"/>
                      <w:marTop w:val="0"/>
                      <w:marBottom w:val="0"/>
                      <w:divBdr>
                        <w:top w:val="none" w:sz="0" w:space="0" w:color="auto"/>
                        <w:left w:val="none" w:sz="0" w:space="0" w:color="auto"/>
                        <w:bottom w:val="none" w:sz="0" w:space="0" w:color="auto"/>
                        <w:right w:val="none" w:sz="0" w:space="0" w:color="auto"/>
                      </w:divBdr>
                    </w:div>
                  </w:divsChild>
                </w:div>
                <w:div w:id="1128933223">
                  <w:marLeft w:val="0"/>
                  <w:marRight w:val="0"/>
                  <w:marTop w:val="0"/>
                  <w:marBottom w:val="0"/>
                  <w:divBdr>
                    <w:top w:val="none" w:sz="0" w:space="0" w:color="auto"/>
                    <w:left w:val="none" w:sz="0" w:space="0" w:color="auto"/>
                    <w:bottom w:val="none" w:sz="0" w:space="0" w:color="auto"/>
                    <w:right w:val="none" w:sz="0" w:space="0" w:color="auto"/>
                  </w:divBdr>
                  <w:divsChild>
                    <w:div w:id="2133983257">
                      <w:marLeft w:val="0"/>
                      <w:marRight w:val="0"/>
                      <w:marTop w:val="0"/>
                      <w:marBottom w:val="0"/>
                      <w:divBdr>
                        <w:top w:val="none" w:sz="0" w:space="0" w:color="auto"/>
                        <w:left w:val="none" w:sz="0" w:space="0" w:color="auto"/>
                        <w:bottom w:val="none" w:sz="0" w:space="0" w:color="auto"/>
                        <w:right w:val="none" w:sz="0" w:space="0" w:color="auto"/>
                      </w:divBdr>
                    </w:div>
                  </w:divsChild>
                </w:div>
                <w:div w:id="1130129724">
                  <w:marLeft w:val="0"/>
                  <w:marRight w:val="0"/>
                  <w:marTop w:val="0"/>
                  <w:marBottom w:val="0"/>
                  <w:divBdr>
                    <w:top w:val="none" w:sz="0" w:space="0" w:color="auto"/>
                    <w:left w:val="none" w:sz="0" w:space="0" w:color="auto"/>
                    <w:bottom w:val="none" w:sz="0" w:space="0" w:color="auto"/>
                    <w:right w:val="none" w:sz="0" w:space="0" w:color="auto"/>
                  </w:divBdr>
                  <w:divsChild>
                    <w:div w:id="1394506809">
                      <w:marLeft w:val="0"/>
                      <w:marRight w:val="0"/>
                      <w:marTop w:val="0"/>
                      <w:marBottom w:val="0"/>
                      <w:divBdr>
                        <w:top w:val="none" w:sz="0" w:space="0" w:color="auto"/>
                        <w:left w:val="none" w:sz="0" w:space="0" w:color="auto"/>
                        <w:bottom w:val="none" w:sz="0" w:space="0" w:color="auto"/>
                        <w:right w:val="none" w:sz="0" w:space="0" w:color="auto"/>
                      </w:divBdr>
                    </w:div>
                  </w:divsChild>
                </w:div>
                <w:div w:id="1131246031">
                  <w:marLeft w:val="0"/>
                  <w:marRight w:val="0"/>
                  <w:marTop w:val="0"/>
                  <w:marBottom w:val="0"/>
                  <w:divBdr>
                    <w:top w:val="none" w:sz="0" w:space="0" w:color="auto"/>
                    <w:left w:val="none" w:sz="0" w:space="0" w:color="auto"/>
                    <w:bottom w:val="none" w:sz="0" w:space="0" w:color="auto"/>
                    <w:right w:val="none" w:sz="0" w:space="0" w:color="auto"/>
                  </w:divBdr>
                  <w:divsChild>
                    <w:div w:id="1958559850">
                      <w:marLeft w:val="0"/>
                      <w:marRight w:val="0"/>
                      <w:marTop w:val="0"/>
                      <w:marBottom w:val="0"/>
                      <w:divBdr>
                        <w:top w:val="none" w:sz="0" w:space="0" w:color="auto"/>
                        <w:left w:val="none" w:sz="0" w:space="0" w:color="auto"/>
                        <w:bottom w:val="none" w:sz="0" w:space="0" w:color="auto"/>
                        <w:right w:val="none" w:sz="0" w:space="0" w:color="auto"/>
                      </w:divBdr>
                    </w:div>
                  </w:divsChild>
                </w:div>
                <w:div w:id="1140806779">
                  <w:marLeft w:val="0"/>
                  <w:marRight w:val="0"/>
                  <w:marTop w:val="0"/>
                  <w:marBottom w:val="0"/>
                  <w:divBdr>
                    <w:top w:val="none" w:sz="0" w:space="0" w:color="auto"/>
                    <w:left w:val="none" w:sz="0" w:space="0" w:color="auto"/>
                    <w:bottom w:val="none" w:sz="0" w:space="0" w:color="auto"/>
                    <w:right w:val="none" w:sz="0" w:space="0" w:color="auto"/>
                  </w:divBdr>
                  <w:divsChild>
                    <w:div w:id="1559437833">
                      <w:marLeft w:val="0"/>
                      <w:marRight w:val="0"/>
                      <w:marTop w:val="0"/>
                      <w:marBottom w:val="0"/>
                      <w:divBdr>
                        <w:top w:val="none" w:sz="0" w:space="0" w:color="auto"/>
                        <w:left w:val="none" w:sz="0" w:space="0" w:color="auto"/>
                        <w:bottom w:val="none" w:sz="0" w:space="0" w:color="auto"/>
                        <w:right w:val="none" w:sz="0" w:space="0" w:color="auto"/>
                      </w:divBdr>
                    </w:div>
                  </w:divsChild>
                </w:div>
                <w:div w:id="1144539349">
                  <w:marLeft w:val="0"/>
                  <w:marRight w:val="0"/>
                  <w:marTop w:val="0"/>
                  <w:marBottom w:val="0"/>
                  <w:divBdr>
                    <w:top w:val="none" w:sz="0" w:space="0" w:color="auto"/>
                    <w:left w:val="none" w:sz="0" w:space="0" w:color="auto"/>
                    <w:bottom w:val="none" w:sz="0" w:space="0" w:color="auto"/>
                    <w:right w:val="none" w:sz="0" w:space="0" w:color="auto"/>
                  </w:divBdr>
                  <w:divsChild>
                    <w:div w:id="78992131">
                      <w:marLeft w:val="0"/>
                      <w:marRight w:val="0"/>
                      <w:marTop w:val="0"/>
                      <w:marBottom w:val="0"/>
                      <w:divBdr>
                        <w:top w:val="none" w:sz="0" w:space="0" w:color="auto"/>
                        <w:left w:val="none" w:sz="0" w:space="0" w:color="auto"/>
                        <w:bottom w:val="none" w:sz="0" w:space="0" w:color="auto"/>
                        <w:right w:val="none" w:sz="0" w:space="0" w:color="auto"/>
                      </w:divBdr>
                    </w:div>
                  </w:divsChild>
                </w:div>
                <w:div w:id="1145005327">
                  <w:marLeft w:val="0"/>
                  <w:marRight w:val="0"/>
                  <w:marTop w:val="0"/>
                  <w:marBottom w:val="0"/>
                  <w:divBdr>
                    <w:top w:val="none" w:sz="0" w:space="0" w:color="auto"/>
                    <w:left w:val="none" w:sz="0" w:space="0" w:color="auto"/>
                    <w:bottom w:val="none" w:sz="0" w:space="0" w:color="auto"/>
                    <w:right w:val="none" w:sz="0" w:space="0" w:color="auto"/>
                  </w:divBdr>
                  <w:divsChild>
                    <w:div w:id="1559589147">
                      <w:marLeft w:val="0"/>
                      <w:marRight w:val="0"/>
                      <w:marTop w:val="0"/>
                      <w:marBottom w:val="0"/>
                      <w:divBdr>
                        <w:top w:val="none" w:sz="0" w:space="0" w:color="auto"/>
                        <w:left w:val="none" w:sz="0" w:space="0" w:color="auto"/>
                        <w:bottom w:val="none" w:sz="0" w:space="0" w:color="auto"/>
                        <w:right w:val="none" w:sz="0" w:space="0" w:color="auto"/>
                      </w:divBdr>
                    </w:div>
                  </w:divsChild>
                </w:div>
                <w:div w:id="1145009002">
                  <w:marLeft w:val="0"/>
                  <w:marRight w:val="0"/>
                  <w:marTop w:val="0"/>
                  <w:marBottom w:val="0"/>
                  <w:divBdr>
                    <w:top w:val="none" w:sz="0" w:space="0" w:color="auto"/>
                    <w:left w:val="none" w:sz="0" w:space="0" w:color="auto"/>
                    <w:bottom w:val="none" w:sz="0" w:space="0" w:color="auto"/>
                    <w:right w:val="none" w:sz="0" w:space="0" w:color="auto"/>
                  </w:divBdr>
                  <w:divsChild>
                    <w:div w:id="745882707">
                      <w:marLeft w:val="0"/>
                      <w:marRight w:val="0"/>
                      <w:marTop w:val="0"/>
                      <w:marBottom w:val="0"/>
                      <w:divBdr>
                        <w:top w:val="none" w:sz="0" w:space="0" w:color="auto"/>
                        <w:left w:val="none" w:sz="0" w:space="0" w:color="auto"/>
                        <w:bottom w:val="none" w:sz="0" w:space="0" w:color="auto"/>
                        <w:right w:val="none" w:sz="0" w:space="0" w:color="auto"/>
                      </w:divBdr>
                    </w:div>
                  </w:divsChild>
                </w:div>
                <w:div w:id="1148787356">
                  <w:marLeft w:val="0"/>
                  <w:marRight w:val="0"/>
                  <w:marTop w:val="0"/>
                  <w:marBottom w:val="0"/>
                  <w:divBdr>
                    <w:top w:val="none" w:sz="0" w:space="0" w:color="auto"/>
                    <w:left w:val="none" w:sz="0" w:space="0" w:color="auto"/>
                    <w:bottom w:val="none" w:sz="0" w:space="0" w:color="auto"/>
                    <w:right w:val="none" w:sz="0" w:space="0" w:color="auto"/>
                  </w:divBdr>
                  <w:divsChild>
                    <w:div w:id="1154683220">
                      <w:marLeft w:val="0"/>
                      <w:marRight w:val="0"/>
                      <w:marTop w:val="0"/>
                      <w:marBottom w:val="0"/>
                      <w:divBdr>
                        <w:top w:val="none" w:sz="0" w:space="0" w:color="auto"/>
                        <w:left w:val="none" w:sz="0" w:space="0" w:color="auto"/>
                        <w:bottom w:val="none" w:sz="0" w:space="0" w:color="auto"/>
                        <w:right w:val="none" w:sz="0" w:space="0" w:color="auto"/>
                      </w:divBdr>
                    </w:div>
                  </w:divsChild>
                </w:div>
                <w:div w:id="1150515426">
                  <w:marLeft w:val="0"/>
                  <w:marRight w:val="0"/>
                  <w:marTop w:val="0"/>
                  <w:marBottom w:val="0"/>
                  <w:divBdr>
                    <w:top w:val="none" w:sz="0" w:space="0" w:color="auto"/>
                    <w:left w:val="none" w:sz="0" w:space="0" w:color="auto"/>
                    <w:bottom w:val="none" w:sz="0" w:space="0" w:color="auto"/>
                    <w:right w:val="none" w:sz="0" w:space="0" w:color="auto"/>
                  </w:divBdr>
                  <w:divsChild>
                    <w:div w:id="218981178">
                      <w:marLeft w:val="0"/>
                      <w:marRight w:val="0"/>
                      <w:marTop w:val="0"/>
                      <w:marBottom w:val="0"/>
                      <w:divBdr>
                        <w:top w:val="none" w:sz="0" w:space="0" w:color="auto"/>
                        <w:left w:val="none" w:sz="0" w:space="0" w:color="auto"/>
                        <w:bottom w:val="none" w:sz="0" w:space="0" w:color="auto"/>
                        <w:right w:val="none" w:sz="0" w:space="0" w:color="auto"/>
                      </w:divBdr>
                    </w:div>
                  </w:divsChild>
                </w:div>
                <w:div w:id="1150753449">
                  <w:marLeft w:val="0"/>
                  <w:marRight w:val="0"/>
                  <w:marTop w:val="0"/>
                  <w:marBottom w:val="0"/>
                  <w:divBdr>
                    <w:top w:val="none" w:sz="0" w:space="0" w:color="auto"/>
                    <w:left w:val="none" w:sz="0" w:space="0" w:color="auto"/>
                    <w:bottom w:val="none" w:sz="0" w:space="0" w:color="auto"/>
                    <w:right w:val="none" w:sz="0" w:space="0" w:color="auto"/>
                  </w:divBdr>
                  <w:divsChild>
                    <w:div w:id="19405370">
                      <w:marLeft w:val="0"/>
                      <w:marRight w:val="0"/>
                      <w:marTop w:val="0"/>
                      <w:marBottom w:val="0"/>
                      <w:divBdr>
                        <w:top w:val="none" w:sz="0" w:space="0" w:color="auto"/>
                        <w:left w:val="none" w:sz="0" w:space="0" w:color="auto"/>
                        <w:bottom w:val="none" w:sz="0" w:space="0" w:color="auto"/>
                        <w:right w:val="none" w:sz="0" w:space="0" w:color="auto"/>
                      </w:divBdr>
                    </w:div>
                  </w:divsChild>
                </w:div>
                <w:div w:id="1154839441">
                  <w:marLeft w:val="0"/>
                  <w:marRight w:val="0"/>
                  <w:marTop w:val="0"/>
                  <w:marBottom w:val="0"/>
                  <w:divBdr>
                    <w:top w:val="none" w:sz="0" w:space="0" w:color="auto"/>
                    <w:left w:val="none" w:sz="0" w:space="0" w:color="auto"/>
                    <w:bottom w:val="none" w:sz="0" w:space="0" w:color="auto"/>
                    <w:right w:val="none" w:sz="0" w:space="0" w:color="auto"/>
                  </w:divBdr>
                  <w:divsChild>
                    <w:div w:id="533419339">
                      <w:marLeft w:val="0"/>
                      <w:marRight w:val="0"/>
                      <w:marTop w:val="0"/>
                      <w:marBottom w:val="0"/>
                      <w:divBdr>
                        <w:top w:val="none" w:sz="0" w:space="0" w:color="auto"/>
                        <w:left w:val="none" w:sz="0" w:space="0" w:color="auto"/>
                        <w:bottom w:val="none" w:sz="0" w:space="0" w:color="auto"/>
                        <w:right w:val="none" w:sz="0" w:space="0" w:color="auto"/>
                      </w:divBdr>
                    </w:div>
                  </w:divsChild>
                </w:div>
                <w:div w:id="1162038085">
                  <w:marLeft w:val="0"/>
                  <w:marRight w:val="0"/>
                  <w:marTop w:val="0"/>
                  <w:marBottom w:val="0"/>
                  <w:divBdr>
                    <w:top w:val="none" w:sz="0" w:space="0" w:color="auto"/>
                    <w:left w:val="none" w:sz="0" w:space="0" w:color="auto"/>
                    <w:bottom w:val="none" w:sz="0" w:space="0" w:color="auto"/>
                    <w:right w:val="none" w:sz="0" w:space="0" w:color="auto"/>
                  </w:divBdr>
                  <w:divsChild>
                    <w:div w:id="484904422">
                      <w:marLeft w:val="0"/>
                      <w:marRight w:val="0"/>
                      <w:marTop w:val="0"/>
                      <w:marBottom w:val="0"/>
                      <w:divBdr>
                        <w:top w:val="none" w:sz="0" w:space="0" w:color="auto"/>
                        <w:left w:val="none" w:sz="0" w:space="0" w:color="auto"/>
                        <w:bottom w:val="none" w:sz="0" w:space="0" w:color="auto"/>
                        <w:right w:val="none" w:sz="0" w:space="0" w:color="auto"/>
                      </w:divBdr>
                    </w:div>
                  </w:divsChild>
                </w:div>
                <w:div w:id="1162281463">
                  <w:marLeft w:val="0"/>
                  <w:marRight w:val="0"/>
                  <w:marTop w:val="0"/>
                  <w:marBottom w:val="0"/>
                  <w:divBdr>
                    <w:top w:val="none" w:sz="0" w:space="0" w:color="auto"/>
                    <w:left w:val="none" w:sz="0" w:space="0" w:color="auto"/>
                    <w:bottom w:val="none" w:sz="0" w:space="0" w:color="auto"/>
                    <w:right w:val="none" w:sz="0" w:space="0" w:color="auto"/>
                  </w:divBdr>
                  <w:divsChild>
                    <w:div w:id="806161774">
                      <w:marLeft w:val="0"/>
                      <w:marRight w:val="0"/>
                      <w:marTop w:val="0"/>
                      <w:marBottom w:val="0"/>
                      <w:divBdr>
                        <w:top w:val="none" w:sz="0" w:space="0" w:color="auto"/>
                        <w:left w:val="none" w:sz="0" w:space="0" w:color="auto"/>
                        <w:bottom w:val="none" w:sz="0" w:space="0" w:color="auto"/>
                        <w:right w:val="none" w:sz="0" w:space="0" w:color="auto"/>
                      </w:divBdr>
                    </w:div>
                  </w:divsChild>
                </w:div>
                <w:div w:id="1165631480">
                  <w:marLeft w:val="0"/>
                  <w:marRight w:val="0"/>
                  <w:marTop w:val="0"/>
                  <w:marBottom w:val="0"/>
                  <w:divBdr>
                    <w:top w:val="none" w:sz="0" w:space="0" w:color="auto"/>
                    <w:left w:val="none" w:sz="0" w:space="0" w:color="auto"/>
                    <w:bottom w:val="none" w:sz="0" w:space="0" w:color="auto"/>
                    <w:right w:val="none" w:sz="0" w:space="0" w:color="auto"/>
                  </w:divBdr>
                  <w:divsChild>
                    <w:div w:id="1558584484">
                      <w:marLeft w:val="0"/>
                      <w:marRight w:val="0"/>
                      <w:marTop w:val="0"/>
                      <w:marBottom w:val="0"/>
                      <w:divBdr>
                        <w:top w:val="none" w:sz="0" w:space="0" w:color="auto"/>
                        <w:left w:val="none" w:sz="0" w:space="0" w:color="auto"/>
                        <w:bottom w:val="none" w:sz="0" w:space="0" w:color="auto"/>
                        <w:right w:val="none" w:sz="0" w:space="0" w:color="auto"/>
                      </w:divBdr>
                    </w:div>
                  </w:divsChild>
                </w:div>
                <w:div w:id="1170289717">
                  <w:marLeft w:val="0"/>
                  <w:marRight w:val="0"/>
                  <w:marTop w:val="0"/>
                  <w:marBottom w:val="0"/>
                  <w:divBdr>
                    <w:top w:val="none" w:sz="0" w:space="0" w:color="auto"/>
                    <w:left w:val="none" w:sz="0" w:space="0" w:color="auto"/>
                    <w:bottom w:val="none" w:sz="0" w:space="0" w:color="auto"/>
                    <w:right w:val="none" w:sz="0" w:space="0" w:color="auto"/>
                  </w:divBdr>
                  <w:divsChild>
                    <w:div w:id="455100413">
                      <w:marLeft w:val="0"/>
                      <w:marRight w:val="0"/>
                      <w:marTop w:val="0"/>
                      <w:marBottom w:val="0"/>
                      <w:divBdr>
                        <w:top w:val="none" w:sz="0" w:space="0" w:color="auto"/>
                        <w:left w:val="none" w:sz="0" w:space="0" w:color="auto"/>
                        <w:bottom w:val="none" w:sz="0" w:space="0" w:color="auto"/>
                        <w:right w:val="none" w:sz="0" w:space="0" w:color="auto"/>
                      </w:divBdr>
                    </w:div>
                  </w:divsChild>
                </w:div>
                <w:div w:id="1184320189">
                  <w:marLeft w:val="0"/>
                  <w:marRight w:val="0"/>
                  <w:marTop w:val="0"/>
                  <w:marBottom w:val="0"/>
                  <w:divBdr>
                    <w:top w:val="none" w:sz="0" w:space="0" w:color="auto"/>
                    <w:left w:val="none" w:sz="0" w:space="0" w:color="auto"/>
                    <w:bottom w:val="none" w:sz="0" w:space="0" w:color="auto"/>
                    <w:right w:val="none" w:sz="0" w:space="0" w:color="auto"/>
                  </w:divBdr>
                  <w:divsChild>
                    <w:div w:id="1606882908">
                      <w:marLeft w:val="0"/>
                      <w:marRight w:val="0"/>
                      <w:marTop w:val="0"/>
                      <w:marBottom w:val="0"/>
                      <w:divBdr>
                        <w:top w:val="none" w:sz="0" w:space="0" w:color="auto"/>
                        <w:left w:val="none" w:sz="0" w:space="0" w:color="auto"/>
                        <w:bottom w:val="none" w:sz="0" w:space="0" w:color="auto"/>
                        <w:right w:val="none" w:sz="0" w:space="0" w:color="auto"/>
                      </w:divBdr>
                    </w:div>
                  </w:divsChild>
                </w:div>
                <w:div w:id="1184781627">
                  <w:marLeft w:val="0"/>
                  <w:marRight w:val="0"/>
                  <w:marTop w:val="0"/>
                  <w:marBottom w:val="0"/>
                  <w:divBdr>
                    <w:top w:val="none" w:sz="0" w:space="0" w:color="auto"/>
                    <w:left w:val="none" w:sz="0" w:space="0" w:color="auto"/>
                    <w:bottom w:val="none" w:sz="0" w:space="0" w:color="auto"/>
                    <w:right w:val="none" w:sz="0" w:space="0" w:color="auto"/>
                  </w:divBdr>
                  <w:divsChild>
                    <w:div w:id="1782651274">
                      <w:marLeft w:val="0"/>
                      <w:marRight w:val="0"/>
                      <w:marTop w:val="0"/>
                      <w:marBottom w:val="0"/>
                      <w:divBdr>
                        <w:top w:val="none" w:sz="0" w:space="0" w:color="auto"/>
                        <w:left w:val="none" w:sz="0" w:space="0" w:color="auto"/>
                        <w:bottom w:val="none" w:sz="0" w:space="0" w:color="auto"/>
                        <w:right w:val="none" w:sz="0" w:space="0" w:color="auto"/>
                      </w:divBdr>
                    </w:div>
                  </w:divsChild>
                </w:div>
                <w:div w:id="1198546639">
                  <w:marLeft w:val="0"/>
                  <w:marRight w:val="0"/>
                  <w:marTop w:val="0"/>
                  <w:marBottom w:val="0"/>
                  <w:divBdr>
                    <w:top w:val="none" w:sz="0" w:space="0" w:color="auto"/>
                    <w:left w:val="none" w:sz="0" w:space="0" w:color="auto"/>
                    <w:bottom w:val="none" w:sz="0" w:space="0" w:color="auto"/>
                    <w:right w:val="none" w:sz="0" w:space="0" w:color="auto"/>
                  </w:divBdr>
                  <w:divsChild>
                    <w:div w:id="654453688">
                      <w:marLeft w:val="0"/>
                      <w:marRight w:val="0"/>
                      <w:marTop w:val="0"/>
                      <w:marBottom w:val="0"/>
                      <w:divBdr>
                        <w:top w:val="none" w:sz="0" w:space="0" w:color="auto"/>
                        <w:left w:val="none" w:sz="0" w:space="0" w:color="auto"/>
                        <w:bottom w:val="none" w:sz="0" w:space="0" w:color="auto"/>
                        <w:right w:val="none" w:sz="0" w:space="0" w:color="auto"/>
                      </w:divBdr>
                    </w:div>
                  </w:divsChild>
                </w:div>
                <w:div w:id="1201282381">
                  <w:marLeft w:val="0"/>
                  <w:marRight w:val="0"/>
                  <w:marTop w:val="0"/>
                  <w:marBottom w:val="0"/>
                  <w:divBdr>
                    <w:top w:val="none" w:sz="0" w:space="0" w:color="auto"/>
                    <w:left w:val="none" w:sz="0" w:space="0" w:color="auto"/>
                    <w:bottom w:val="none" w:sz="0" w:space="0" w:color="auto"/>
                    <w:right w:val="none" w:sz="0" w:space="0" w:color="auto"/>
                  </w:divBdr>
                  <w:divsChild>
                    <w:div w:id="1779877">
                      <w:marLeft w:val="0"/>
                      <w:marRight w:val="0"/>
                      <w:marTop w:val="0"/>
                      <w:marBottom w:val="0"/>
                      <w:divBdr>
                        <w:top w:val="none" w:sz="0" w:space="0" w:color="auto"/>
                        <w:left w:val="none" w:sz="0" w:space="0" w:color="auto"/>
                        <w:bottom w:val="none" w:sz="0" w:space="0" w:color="auto"/>
                        <w:right w:val="none" w:sz="0" w:space="0" w:color="auto"/>
                      </w:divBdr>
                    </w:div>
                  </w:divsChild>
                </w:div>
                <w:div w:id="1206020640">
                  <w:marLeft w:val="0"/>
                  <w:marRight w:val="0"/>
                  <w:marTop w:val="0"/>
                  <w:marBottom w:val="0"/>
                  <w:divBdr>
                    <w:top w:val="none" w:sz="0" w:space="0" w:color="auto"/>
                    <w:left w:val="none" w:sz="0" w:space="0" w:color="auto"/>
                    <w:bottom w:val="none" w:sz="0" w:space="0" w:color="auto"/>
                    <w:right w:val="none" w:sz="0" w:space="0" w:color="auto"/>
                  </w:divBdr>
                  <w:divsChild>
                    <w:div w:id="221336674">
                      <w:marLeft w:val="0"/>
                      <w:marRight w:val="0"/>
                      <w:marTop w:val="0"/>
                      <w:marBottom w:val="0"/>
                      <w:divBdr>
                        <w:top w:val="none" w:sz="0" w:space="0" w:color="auto"/>
                        <w:left w:val="none" w:sz="0" w:space="0" w:color="auto"/>
                        <w:bottom w:val="none" w:sz="0" w:space="0" w:color="auto"/>
                        <w:right w:val="none" w:sz="0" w:space="0" w:color="auto"/>
                      </w:divBdr>
                    </w:div>
                  </w:divsChild>
                </w:div>
                <w:div w:id="1209302175">
                  <w:marLeft w:val="0"/>
                  <w:marRight w:val="0"/>
                  <w:marTop w:val="0"/>
                  <w:marBottom w:val="0"/>
                  <w:divBdr>
                    <w:top w:val="none" w:sz="0" w:space="0" w:color="auto"/>
                    <w:left w:val="none" w:sz="0" w:space="0" w:color="auto"/>
                    <w:bottom w:val="none" w:sz="0" w:space="0" w:color="auto"/>
                    <w:right w:val="none" w:sz="0" w:space="0" w:color="auto"/>
                  </w:divBdr>
                  <w:divsChild>
                    <w:div w:id="1117793005">
                      <w:marLeft w:val="0"/>
                      <w:marRight w:val="0"/>
                      <w:marTop w:val="0"/>
                      <w:marBottom w:val="0"/>
                      <w:divBdr>
                        <w:top w:val="none" w:sz="0" w:space="0" w:color="auto"/>
                        <w:left w:val="none" w:sz="0" w:space="0" w:color="auto"/>
                        <w:bottom w:val="none" w:sz="0" w:space="0" w:color="auto"/>
                        <w:right w:val="none" w:sz="0" w:space="0" w:color="auto"/>
                      </w:divBdr>
                    </w:div>
                  </w:divsChild>
                </w:div>
                <w:div w:id="1211259122">
                  <w:marLeft w:val="0"/>
                  <w:marRight w:val="0"/>
                  <w:marTop w:val="0"/>
                  <w:marBottom w:val="0"/>
                  <w:divBdr>
                    <w:top w:val="none" w:sz="0" w:space="0" w:color="auto"/>
                    <w:left w:val="none" w:sz="0" w:space="0" w:color="auto"/>
                    <w:bottom w:val="none" w:sz="0" w:space="0" w:color="auto"/>
                    <w:right w:val="none" w:sz="0" w:space="0" w:color="auto"/>
                  </w:divBdr>
                  <w:divsChild>
                    <w:div w:id="495920309">
                      <w:marLeft w:val="0"/>
                      <w:marRight w:val="0"/>
                      <w:marTop w:val="0"/>
                      <w:marBottom w:val="0"/>
                      <w:divBdr>
                        <w:top w:val="none" w:sz="0" w:space="0" w:color="auto"/>
                        <w:left w:val="none" w:sz="0" w:space="0" w:color="auto"/>
                        <w:bottom w:val="none" w:sz="0" w:space="0" w:color="auto"/>
                        <w:right w:val="none" w:sz="0" w:space="0" w:color="auto"/>
                      </w:divBdr>
                    </w:div>
                  </w:divsChild>
                </w:div>
                <w:div w:id="1215459788">
                  <w:marLeft w:val="0"/>
                  <w:marRight w:val="0"/>
                  <w:marTop w:val="0"/>
                  <w:marBottom w:val="0"/>
                  <w:divBdr>
                    <w:top w:val="none" w:sz="0" w:space="0" w:color="auto"/>
                    <w:left w:val="none" w:sz="0" w:space="0" w:color="auto"/>
                    <w:bottom w:val="none" w:sz="0" w:space="0" w:color="auto"/>
                    <w:right w:val="none" w:sz="0" w:space="0" w:color="auto"/>
                  </w:divBdr>
                  <w:divsChild>
                    <w:div w:id="707921372">
                      <w:marLeft w:val="0"/>
                      <w:marRight w:val="0"/>
                      <w:marTop w:val="0"/>
                      <w:marBottom w:val="0"/>
                      <w:divBdr>
                        <w:top w:val="none" w:sz="0" w:space="0" w:color="auto"/>
                        <w:left w:val="none" w:sz="0" w:space="0" w:color="auto"/>
                        <w:bottom w:val="none" w:sz="0" w:space="0" w:color="auto"/>
                        <w:right w:val="none" w:sz="0" w:space="0" w:color="auto"/>
                      </w:divBdr>
                    </w:div>
                  </w:divsChild>
                </w:div>
                <w:div w:id="1215968799">
                  <w:marLeft w:val="0"/>
                  <w:marRight w:val="0"/>
                  <w:marTop w:val="0"/>
                  <w:marBottom w:val="0"/>
                  <w:divBdr>
                    <w:top w:val="none" w:sz="0" w:space="0" w:color="auto"/>
                    <w:left w:val="none" w:sz="0" w:space="0" w:color="auto"/>
                    <w:bottom w:val="none" w:sz="0" w:space="0" w:color="auto"/>
                    <w:right w:val="none" w:sz="0" w:space="0" w:color="auto"/>
                  </w:divBdr>
                  <w:divsChild>
                    <w:div w:id="165247123">
                      <w:marLeft w:val="0"/>
                      <w:marRight w:val="0"/>
                      <w:marTop w:val="0"/>
                      <w:marBottom w:val="0"/>
                      <w:divBdr>
                        <w:top w:val="none" w:sz="0" w:space="0" w:color="auto"/>
                        <w:left w:val="none" w:sz="0" w:space="0" w:color="auto"/>
                        <w:bottom w:val="none" w:sz="0" w:space="0" w:color="auto"/>
                        <w:right w:val="none" w:sz="0" w:space="0" w:color="auto"/>
                      </w:divBdr>
                    </w:div>
                  </w:divsChild>
                </w:div>
                <w:div w:id="1222866460">
                  <w:marLeft w:val="0"/>
                  <w:marRight w:val="0"/>
                  <w:marTop w:val="0"/>
                  <w:marBottom w:val="0"/>
                  <w:divBdr>
                    <w:top w:val="none" w:sz="0" w:space="0" w:color="auto"/>
                    <w:left w:val="none" w:sz="0" w:space="0" w:color="auto"/>
                    <w:bottom w:val="none" w:sz="0" w:space="0" w:color="auto"/>
                    <w:right w:val="none" w:sz="0" w:space="0" w:color="auto"/>
                  </w:divBdr>
                  <w:divsChild>
                    <w:div w:id="639572729">
                      <w:marLeft w:val="0"/>
                      <w:marRight w:val="0"/>
                      <w:marTop w:val="0"/>
                      <w:marBottom w:val="0"/>
                      <w:divBdr>
                        <w:top w:val="none" w:sz="0" w:space="0" w:color="auto"/>
                        <w:left w:val="none" w:sz="0" w:space="0" w:color="auto"/>
                        <w:bottom w:val="none" w:sz="0" w:space="0" w:color="auto"/>
                        <w:right w:val="none" w:sz="0" w:space="0" w:color="auto"/>
                      </w:divBdr>
                    </w:div>
                  </w:divsChild>
                </w:div>
                <w:div w:id="1253245156">
                  <w:marLeft w:val="0"/>
                  <w:marRight w:val="0"/>
                  <w:marTop w:val="0"/>
                  <w:marBottom w:val="0"/>
                  <w:divBdr>
                    <w:top w:val="none" w:sz="0" w:space="0" w:color="auto"/>
                    <w:left w:val="none" w:sz="0" w:space="0" w:color="auto"/>
                    <w:bottom w:val="none" w:sz="0" w:space="0" w:color="auto"/>
                    <w:right w:val="none" w:sz="0" w:space="0" w:color="auto"/>
                  </w:divBdr>
                  <w:divsChild>
                    <w:div w:id="270599200">
                      <w:marLeft w:val="0"/>
                      <w:marRight w:val="0"/>
                      <w:marTop w:val="0"/>
                      <w:marBottom w:val="0"/>
                      <w:divBdr>
                        <w:top w:val="none" w:sz="0" w:space="0" w:color="auto"/>
                        <w:left w:val="none" w:sz="0" w:space="0" w:color="auto"/>
                        <w:bottom w:val="none" w:sz="0" w:space="0" w:color="auto"/>
                        <w:right w:val="none" w:sz="0" w:space="0" w:color="auto"/>
                      </w:divBdr>
                    </w:div>
                  </w:divsChild>
                </w:div>
                <w:div w:id="1253391248">
                  <w:marLeft w:val="0"/>
                  <w:marRight w:val="0"/>
                  <w:marTop w:val="0"/>
                  <w:marBottom w:val="0"/>
                  <w:divBdr>
                    <w:top w:val="none" w:sz="0" w:space="0" w:color="auto"/>
                    <w:left w:val="none" w:sz="0" w:space="0" w:color="auto"/>
                    <w:bottom w:val="none" w:sz="0" w:space="0" w:color="auto"/>
                    <w:right w:val="none" w:sz="0" w:space="0" w:color="auto"/>
                  </w:divBdr>
                  <w:divsChild>
                    <w:div w:id="924336338">
                      <w:marLeft w:val="0"/>
                      <w:marRight w:val="0"/>
                      <w:marTop w:val="0"/>
                      <w:marBottom w:val="0"/>
                      <w:divBdr>
                        <w:top w:val="none" w:sz="0" w:space="0" w:color="auto"/>
                        <w:left w:val="none" w:sz="0" w:space="0" w:color="auto"/>
                        <w:bottom w:val="none" w:sz="0" w:space="0" w:color="auto"/>
                        <w:right w:val="none" w:sz="0" w:space="0" w:color="auto"/>
                      </w:divBdr>
                    </w:div>
                  </w:divsChild>
                </w:div>
                <w:div w:id="1258829253">
                  <w:marLeft w:val="0"/>
                  <w:marRight w:val="0"/>
                  <w:marTop w:val="0"/>
                  <w:marBottom w:val="0"/>
                  <w:divBdr>
                    <w:top w:val="none" w:sz="0" w:space="0" w:color="auto"/>
                    <w:left w:val="none" w:sz="0" w:space="0" w:color="auto"/>
                    <w:bottom w:val="none" w:sz="0" w:space="0" w:color="auto"/>
                    <w:right w:val="none" w:sz="0" w:space="0" w:color="auto"/>
                  </w:divBdr>
                  <w:divsChild>
                    <w:div w:id="1157191438">
                      <w:marLeft w:val="0"/>
                      <w:marRight w:val="0"/>
                      <w:marTop w:val="0"/>
                      <w:marBottom w:val="0"/>
                      <w:divBdr>
                        <w:top w:val="none" w:sz="0" w:space="0" w:color="auto"/>
                        <w:left w:val="none" w:sz="0" w:space="0" w:color="auto"/>
                        <w:bottom w:val="none" w:sz="0" w:space="0" w:color="auto"/>
                        <w:right w:val="none" w:sz="0" w:space="0" w:color="auto"/>
                      </w:divBdr>
                    </w:div>
                  </w:divsChild>
                </w:div>
                <w:div w:id="1261258738">
                  <w:marLeft w:val="0"/>
                  <w:marRight w:val="0"/>
                  <w:marTop w:val="0"/>
                  <w:marBottom w:val="0"/>
                  <w:divBdr>
                    <w:top w:val="none" w:sz="0" w:space="0" w:color="auto"/>
                    <w:left w:val="none" w:sz="0" w:space="0" w:color="auto"/>
                    <w:bottom w:val="none" w:sz="0" w:space="0" w:color="auto"/>
                    <w:right w:val="none" w:sz="0" w:space="0" w:color="auto"/>
                  </w:divBdr>
                  <w:divsChild>
                    <w:div w:id="411004461">
                      <w:marLeft w:val="0"/>
                      <w:marRight w:val="0"/>
                      <w:marTop w:val="0"/>
                      <w:marBottom w:val="0"/>
                      <w:divBdr>
                        <w:top w:val="none" w:sz="0" w:space="0" w:color="auto"/>
                        <w:left w:val="none" w:sz="0" w:space="0" w:color="auto"/>
                        <w:bottom w:val="none" w:sz="0" w:space="0" w:color="auto"/>
                        <w:right w:val="none" w:sz="0" w:space="0" w:color="auto"/>
                      </w:divBdr>
                    </w:div>
                  </w:divsChild>
                </w:div>
                <w:div w:id="1261450691">
                  <w:marLeft w:val="0"/>
                  <w:marRight w:val="0"/>
                  <w:marTop w:val="0"/>
                  <w:marBottom w:val="0"/>
                  <w:divBdr>
                    <w:top w:val="none" w:sz="0" w:space="0" w:color="auto"/>
                    <w:left w:val="none" w:sz="0" w:space="0" w:color="auto"/>
                    <w:bottom w:val="none" w:sz="0" w:space="0" w:color="auto"/>
                    <w:right w:val="none" w:sz="0" w:space="0" w:color="auto"/>
                  </w:divBdr>
                  <w:divsChild>
                    <w:div w:id="653533969">
                      <w:marLeft w:val="0"/>
                      <w:marRight w:val="0"/>
                      <w:marTop w:val="0"/>
                      <w:marBottom w:val="0"/>
                      <w:divBdr>
                        <w:top w:val="none" w:sz="0" w:space="0" w:color="auto"/>
                        <w:left w:val="none" w:sz="0" w:space="0" w:color="auto"/>
                        <w:bottom w:val="none" w:sz="0" w:space="0" w:color="auto"/>
                        <w:right w:val="none" w:sz="0" w:space="0" w:color="auto"/>
                      </w:divBdr>
                    </w:div>
                  </w:divsChild>
                </w:div>
                <w:div w:id="1267811316">
                  <w:marLeft w:val="0"/>
                  <w:marRight w:val="0"/>
                  <w:marTop w:val="0"/>
                  <w:marBottom w:val="0"/>
                  <w:divBdr>
                    <w:top w:val="none" w:sz="0" w:space="0" w:color="auto"/>
                    <w:left w:val="none" w:sz="0" w:space="0" w:color="auto"/>
                    <w:bottom w:val="none" w:sz="0" w:space="0" w:color="auto"/>
                    <w:right w:val="none" w:sz="0" w:space="0" w:color="auto"/>
                  </w:divBdr>
                  <w:divsChild>
                    <w:div w:id="1532962887">
                      <w:marLeft w:val="0"/>
                      <w:marRight w:val="0"/>
                      <w:marTop w:val="0"/>
                      <w:marBottom w:val="0"/>
                      <w:divBdr>
                        <w:top w:val="none" w:sz="0" w:space="0" w:color="auto"/>
                        <w:left w:val="none" w:sz="0" w:space="0" w:color="auto"/>
                        <w:bottom w:val="none" w:sz="0" w:space="0" w:color="auto"/>
                        <w:right w:val="none" w:sz="0" w:space="0" w:color="auto"/>
                      </w:divBdr>
                    </w:div>
                  </w:divsChild>
                </w:div>
                <w:div w:id="1270047421">
                  <w:marLeft w:val="0"/>
                  <w:marRight w:val="0"/>
                  <w:marTop w:val="0"/>
                  <w:marBottom w:val="0"/>
                  <w:divBdr>
                    <w:top w:val="none" w:sz="0" w:space="0" w:color="auto"/>
                    <w:left w:val="none" w:sz="0" w:space="0" w:color="auto"/>
                    <w:bottom w:val="none" w:sz="0" w:space="0" w:color="auto"/>
                    <w:right w:val="none" w:sz="0" w:space="0" w:color="auto"/>
                  </w:divBdr>
                  <w:divsChild>
                    <w:div w:id="1444761784">
                      <w:marLeft w:val="0"/>
                      <w:marRight w:val="0"/>
                      <w:marTop w:val="0"/>
                      <w:marBottom w:val="0"/>
                      <w:divBdr>
                        <w:top w:val="none" w:sz="0" w:space="0" w:color="auto"/>
                        <w:left w:val="none" w:sz="0" w:space="0" w:color="auto"/>
                        <w:bottom w:val="none" w:sz="0" w:space="0" w:color="auto"/>
                        <w:right w:val="none" w:sz="0" w:space="0" w:color="auto"/>
                      </w:divBdr>
                    </w:div>
                  </w:divsChild>
                </w:div>
                <w:div w:id="1280649301">
                  <w:marLeft w:val="0"/>
                  <w:marRight w:val="0"/>
                  <w:marTop w:val="0"/>
                  <w:marBottom w:val="0"/>
                  <w:divBdr>
                    <w:top w:val="none" w:sz="0" w:space="0" w:color="auto"/>
                    <w:left w:val="none" w:sz="0" w:space="0" w:color="auto"/>
                    <w:bottom w:val="none" w:sz="0" w:space="0" w:color="auto"/>
                    <w:right w:val="none" w:sz="0" w:space="0" w:color="auto"/>
                  </w:divBdr>
                  <w:divsChild>
                    <w:div w:id="332487752">
                      <w:marLeft w:val="0"/>
                      <w:marRight w:val="0"/>
                      <w:marTop w:val="0"/>
                      <w:marBottom w:val="0"/>
                      <w:divBdr>
                        <w:top w:val="none" w:sz="0" w:space="0" w:color="auto"/>
                        <w:left w:val="none" w:sz="0" w:space="0" w:color="auto"/>
                        <w:bottom w:val="none" w:sz="0" w:space="0" w:color="auto"/>
                        <w:right w:val="none" w:sz="0" w:space="0" w:color="auto"/>
                      </w:divBdr>
                    </w:div>
                  </w:divsChild>
                </w:div>
                <w:div w:id="1285231257">
                  <w:marLeft w:val="0"/>
                  <w:marRight w:val="0"/>
                  <w:marTop w:val="0"/>
                  <w:marBottom w:val="0"/>
                  <w:divBdr>
                    <w:top w:val="none" w:sz="0" w:space="0" w:color="auto"/>
                    <w:left w:val="none" w:sz="0" w:space="0" w:color="auto"/>
                    <w:bottom w:val="none" w:sz="0" w:space="0" w:color="auto"/>
                    <w:right w:val="none" w:sz="0" w:space="0" w:color="auto"/>
                  </w:divBdr>
                  <w:divsChild>
                    <w:div w:id="1435175702">
                      <w:marLeft w:val="0"/>
                      <w:marRight w:val="0"/>
                      <w:marTop w:val="0"/>
                      <w:marBottom w:val="0"/>
                      <w:divBdr>
                        <w:top w:val="none" w:sz="0" w:space="0" w:color="auto"/>
                        <w:left w:val="none" w:sz="0" w:space="0" w:color="auto"/>
                        <w:bottom w:val="none" w:sz="0" w:space="0" w:color="auto"/>
                        <w:right w:val="none" w:sz="0" w:space="0" w:color="auto"/>
                      </w:divBdr>
                    </w:div>
                  </w:divsChild>
                </w:div>
                <w:div w:id="1307541015">
                  <w:marLeft w:val="0"/>
                  <w:marRight w:val="0"/>
                  <w:marTop w:val="0"/>
                  <w:marBottom w:val="0"/>
                  <w:divBdr>
                    <w:top w:val="none" w:sz="0" w:space="0" w:color="auto"/>
                    <w:left w:val="none" w:sz="0" w:space="0" w:color="auto"/>
                    <w:bottom w:val="none" w:sz="0" w:space="0" w:color="auto"/>
                    <w:right w:val="none" w:sz="0" w:space="0" w:color="auto"/>
                  </w:divBdr>
                  <w:divsChild>
                    <w:div w:id="163329103">
                      <w:marLeft w:val="0"/>
                      <w:marRight w:val="0"/>
                      <w:marTop w:val="0"/>
                      <w:marBottom w:val="0"/>
                      <w:divBdr>
                        <w:top w:val="none" w:sz="0" w:space="0" w:color="auto"/>
                        <w:left w:val="none" w:sz="0" w:space="0" w:color="auto"/>
                        <w:bottom w:val="none" w:sz="0" w:space="0" w:color="auto"/>
                        <w:right w:val="none" w:sz="0" w:space="0" w:color="auto"/>
                      </w:divBdr>
                    </w:div>
                  </w:divsChild>
                </w:div>
                <w:div w:id="1310595551">
                  <w:marLeft w:val="0"/>
                  <w:marRight w:val="0"/>
                  <w:marTop w:val="0"/>
                  <w:marBottom w:val="0"/>
                  <w:divBdr>
                    <w:top w:val="none" w:sz="0" w:space="0" w:color="auto"/>
                    <w:left w:val="none" w:sz="0" w:space="0" w:color="auto"/>
                    <w:bottom w:val="none" w:sz="0" w:space="0" w:color="auto"/>
                    <w:right w:val="none" w:sz="0" w:space="0" w:color="auto"/>
                  </w:divBdr>
                  <w:divsChild>
                    <w:div w:id="845437260">
                      <w:marLeft w:val="0"/>
                      <w:marRight w:val="0"/>
                      <w:marTop w:val="0"/>
                      <w:marBottom w:val="0"/>
                      <w:divBdr>
                        <w:top w:val="none" w:sz="0" w:space="0" w:color="auto"/>
                        <w:left w:val="none" w:sz="0" w:space="0" w:color="auto"/>
                        <w:bottom w:val="none" w:sz="0" w:space="0" w:color="auto"/>
                        <w:right w:val="none" w:sz="0" w:space="0" w:color="auto"/>
                      </w:divBdr>
                    </w:div>
                  </w:divsChild>
                </w:div>
                <w:div w:id="1313101567">
                  <w:marLeft w:val="0"/>
                  <w:marRight w:val="0"/>
                  <w:marTop w:val="0"/>
                  <w:marBottom w:val="0"/>
                  <w:divBdr>
                    <w:top w:val="none" w:sz="0" w:space="0" w:color="auto"/>
                    <w:left w:val="none" w:sz="0" w:space="0" w:color="auto"/>
                    <w:bottom w:val="none" w:sz="0" w:space="0" w:color="auto"/>
                    <w:right w:val="none" w:sz="0" w:space="0" w:color="auto"/>
                  </w:divBdr>
                  <w:divsChild>
                    <w:div w:id="1563367708">
                      <w:marLeft w:val="0"/>
                      <w:marRight w:val="0"/>
                      <w:marTop w:val="0"/>
                      <w:marBottom w:val="0"/>
                      <w:divBdr>
                        <w:top w:val="none" w:sz="0" w:space="0" w:color="auto"/>
                        <w:left w:val="none" w:sz="0" w:space="0" w:color="auto"/>
                        <w:bottom w:val="none" w:sz="0" w:space="0" w:color="auto"/>
                        <w:right w:val="none" w:sz="0" w:space="0" w:color="auto"/>
                      </w:divBdr>
                    </w:div>
                  </w:divsChild>
                </w:div>
                <w:div w:id="1324435391">
                  <w:marLeft w:val="0"/>
                  <w:marRight w:val="0"/>
                  <w:marTop w:val="0"/>
                  <w:marBottom w:val="0"/>
                  <w:divBdr>
                    <w:top w:val="none" w:sz="0" w:space="0" w:color="auto"/>
                    <w:left w:val="none" w:sz="0" w:space="0" w:color="auto"/>
                    <w:bottom w:val="none" w:sz="0" w:space="0" w:color="auto"/>
                    <w:right w:val="none" w:sz="0" w:space="0" w:color="auto"/>
                  </w:divBdr>
                  <w:divsChild>
                    <w:div w:id="178275398">
                      <w:marLeft w:val="0"/>
                      <w:marRight w:val="0"/>
                      <w:marTop w:val="0"/>
                      <w:marBottom w:val="0"/>
                      <w:divBdr>
                        <w:top w:val="none" w:sz="0" w:space="0" w:color="auto"/>
                        <w:left w:val="none" w:sz="0" w:space="0" w:color="auto"/>
                        <w:bottom w:val="none" w:sz="0" w:space="0" w:color="auto"/>
                        <w:right w:val="none" w:sz="0" w:space="0" w:color="auto"/>
                      </w:divBdr>
                    </w:div>
                  </w:divsChild>
                </w:div>
                <w:div w:id="1327244290">
                  <w:marLeft w:val="0"/>
                  <w:marRight w:val="0"/>
                  <w:marTop w:val="0"/>
                  <w:marBottom w:val="0"/>
                  <w:divBdr>
                    <w:top w:val="none" w:sz="0" w:space="0" w:color="auto"/>
                    <w:left w:val="none" w:sz="0" w:space="0" w:color="auto"/>
                    <w:bottom w:val="none" w:sz="0" w:space="0" w:color="auto"/>
                    <w:right w:val="none" w:sz="0" w:space="0" w:color="auto"/>
                  </w:divBdr>
                  <w:divsChild>
                    <w:div w:id="1227914664">
                      <w:marLeft w:val="0"/>
                      <w:marRight w:val="0"/>
                      <w:marTop w:val="0"/>
                      <w:marBottom w:val="0"/>
                      <w:divBdr>
                        <w:top w:val="none" w:sz="0" w:space="0" w:color="auto"/>
                        <w:left w:val="none" w:sz="0" w:space="0" w:color="auto"/>
                        <w:bottom w:val="none" w:sz="0" w:space="0" w:color="auto"/>
                        <w:right w:val="none" w:sz="0" w:space="0" w:color="auto"/>
                      </w:divBdr>
                    </w:div>
                  </w:divsChild>
                </w:div>
                <w:div w:id="1327857360">
                  <w:marLeft w:val="0"/>
                  <w:marRight w:val="0"/>
                  <w:marTop w:val="0"/>
                  <w:marBottom w:val="0"/>
                  <w:divBdr>
                    <w:top w:val="none" w:sz="0" w:space="0" w:color="auto"/>
                    <w:left w:val="none" w:sz="0" w:space="0" w:color="auto"/>
                    <w:bottom w:val="none" w:sz="0" w:space="0" w:color="auto"/>
                    <w:right w:val="none" w:sz="0" w:space="0" w:color="auto"/>
                  </w:divBdr>
                  <w:divsChild>
                    <w:div w:id="488181566">
                      <w:marLeft w:val="0"/>
                      <w:marRight w:val="0"/>
                      <w:marTop w:val="0"/>
                      <w:marBottom w:val="0"/>
                      <w:divBdr>
                        <w:top w:val="none" w:sz="0" w:space="0" w:color="auto"/>
                        <w:left w:val="none" w:sz="0" w:space="0" w:color="auto"/>
                        <w:bottom w:val="none" w:sz="0" w:space="0" w:color="auto"/>
                        <w:right w:val="none" w:sz="0" w:space="0" w:color="auto"/>
                      </w:divBdr>
                    </w:div>
                  </w:divsChild>
                </w:div>
                <w:div w:id="1329602651">
                  <w:marLeft w:val="0"/>
                  <w:marRight w:val="0"/>
                  <w:marTop w:val="0"/>
                  <w:marBottom w:val="0"/>
                  <w:divBdr>
                    <w:top w:val="none" w:sz="0" w:space="0" w:color="auto"/>
                    <w:left w:val="none" w:sz="0" w:space="0" w:color="auto"/>
                    <w:bottom w:val="none" w:sz="0" w:space="0" w:color="auto"/>
                    <w:right w:val="none" w:sz="0" w:space="0" w:color="auto"/>
                  </w:divBdr>
                  <w:divsChild>
                    <w:div w:id="1584487129">
                      <w:marLeft w:val="0"/>
                      <w:marRight w:val="0"/>
                      <w:marTop w:val="0"/>
                      <w:marBottom w:val="0"/>
                      <w:divBdr>
                        <w:top w:val="none" w:sz="0" w:space="0" w:color="auto"/>
                        <w:left w:val="none" w:sz="0" w:space="0" w:color="auto"/>
                        <w:bottom w:val="none" w:sz="0" w:space="0" w:color="auto"/>
                        <w:right w:val="none" w:sz="0" w:space="0" w:color="auto"/>
                      </w:divBdr>
                    </w:div>
                  </w:divsChild>
                </w:div>
                <w:div w:id="1332947618">
                  <w:marLeft w:val="0"/>
                  <w:marRight w:val="0"/>
                  <w:marTop w:val="0"/>
                  <w:marBottom w:val="0"/>
                  <w:divBdr>
                    <w:top w:val="none" w:sz="0" w:space="0" w:color="auto"/>
                    <w:left w:val="none" w:sz="0" w:space="0" w:color="auto"/>
                    <w:bottom w:val="none" w:sz="0" w:space="0" w:color="auto"/>
                    <w:right w:val="none" w:sz="0" w:space="0" w:color="auto"/>
                  </w:divBdr>
                  <w:divsChild>
                    <w:div w:id="1927573257">
                      <w:marLeft w:val="0"/>
                      <w:marRight w:val="0"/>
                      <w:marTop w:val="0"/>
                      <w:marBottom w:val="0"/>
                      <w:divBdr>
                        <w:top w:val="none" w:sz="0" w:space="0" w:color="auto"/>
                        <w:left w:val="none" w:sz="0" w:space="0" w:color="auto"/>
                        <w:bottom w:val="none" w:sz="0" w:space="0" w:color="auto"/>
                        <w:right w:val="none" w:sz="0" w:space="0" w:color="auto"/>
                      </w:divBdr>
                    </w:div>
                  </w:divsChild>
                </w:div>
                <w:div w:id="1341735929">
                  <w:marLeft w:val="0"/>
                  <w:marRight w:val="0"/>
                  <w:marTop w:val="0"/>
                  <w:marBottom w:val="0"/>
                  <w:divBdr>
                    <w:top w:val="none" w:sz="0" w:space="0" w:color="auto"/>
                    <w:left w:val="none" w:sz="0" w:space="0" w:color="auto"/>
                    <w:bottom w:val="none" w:sz="0" w:space="0" w:color="auto"/>
                    <w:right w:val="none" w:sz="0" w:space="0" w:color="auto"/>
                  </w:divBdr>
                  <w:divsChild>
                    <w:div w:id="1602570197">
                      <w:marLeft w:val="0"/>
                      <w:marRight w:val="0"/>
                      <w:marTop w:val="0"/>
                      <w:marBottom w:val="0"/>
                      <w:divBdr>
                        <w:top w:val="none" w:sz="0" w:space="0" w:color="auto"/>
                        <w:left w:val="none" w:sz="0" w:space="0" w:color="auto"/>
                        <w:bottom w:val="none" w:sz="0" w:space="0" w:color="auto"/>
                        <w:right w:val="none" w:sz="0" w:space="0" w:color="auto"/>
                      </w:divBdr>
                    </w:div>
                  </w:divsChild>
                </w:div>
                <w:div w:id="1343165369">
                  <w:marLeft w:val="0"/>
                  <w:marRight w:val="0"/>
                  <w:marTop w:val="0"/>
                  <w:marBottom w:val="0"/>
                  <w:divBdr>
                    <w:top w:val="none" w:sz="0" w:space="0" w:color="auto"/>
                    <w:left w:val="none" w:sz="0" w:space="0" w:color="auto"/>
                    <w:bottom w:val="none" w:sz="0" w:space="0" w:color="auto"/>
                    <w:right w:val="none" w:sz="0" w:space="0" w:color="auto"/>
                  </w:divBdr>
                  <w:divsChild>
                    <w:div w:id="2002418342">
                      <w:marLeft w:val="0"/>
                      <w:marRight w:val="0"/>
                      <w:marTop w:val="0"/>
                      <w:marBottom w:val="0"/>
                      <w:divBdr>
                        <w:top w:val="none" w:sz="0" w:space="0" w:color="auto"/>
                        <w:left w:val="none" w:sz="0" w:space="0" w:color="auto"/>
                        <w:bottom w:val="none" w:sz="0" w:space="0" w:color="auto"/>
                        <w:right w:val="none" w:sz="0" w:space="0" w:color="auto"/>
                      </w:divBdr>
                    </w:div>
                  </w:divsChild>
                </w:div>
                <w:div w:id="1345472465">
                  <w:marLeft w:val="0"/>
                  <w:marRight w:val="0"/>
                  <w:marTop w:val="0"/>
                  <w:marBottom w:val="0"/>
                  <w:divBdr>
                    <w:top w:val="none" w:sz="0" w:space="0" w:color="auto"/>
                    <w:left w:val="none" w:sz="0" w:space="0" w:color="auto"/>
                    <w:bottom w:val="none" w:sz="0" w:space="0" w:color="auto"/>
                    <w:right w:val="none" w:sz="0" w:space="0" w:color="auto"/>
                  </w:divBdr>
                  <w:divsChild>
                    <w:div w:id="1067991030">
                      <w:marLeft w:val="0"/>
                      <w:marRight w:val="0"/>
                      <w:marTop w:val="0"/>
                      <w:marBottom w:val="0"/>
                      <w:divBdr>
                        <w:top w:val="none" w:sz="0" w:space="0" w:color="auto"/>
                        <w:left w:val="none" w:sz="0" w:space="0" w:color="auto"/>
                        <w:bottom w:val="none" w:sz="0" w:space="0" w:color="auto"/>
                        <w:right w:val="none" w:sz="0" w:space="0" w:color="auto"/>
                      </w:divBdr>
                    </w:div>
                  </w:divsChild>
                </w:div>
                <w:div w:id="1350370209">
                  <w:marLeft w:val="0"/>
                  <w:marRight w:val="0"/>
                  <w:marTop w:val="0"/>
                  <w:marBottom w:val="0"/>
                  <w:divBdr>
                    <w:top w:val="none" w:sz="0" w:space="0" w:color="auto"/>
                    <w:left w:val="none" w:sz="0" w:space="0" w:color="auto"/>
                    <w:bottom w:val="none" w:sz="0" w:space="0" w:color="auto"/>
                    <w:right w:val="none" w:sz="0" w:space="0" w:color="auto"/>
                  </w:divBdr>
                  <w:divsChild>
                    <w:div w:id="411581806">
                      <w:marLeft w:val="0"/>
                      <w:marRight w:val="0"/>
                      <w:marTop w:val="0"/>
                      <w:marBottom w:val="0"/>
                      <w:divBdr>
                        <w:top w:val="none" w:sz="0" w:space="0" w:color="auto"/>
                        <w:left w:val="none" w:sz="0" w:space="0" w:color="auto"/>
                        <w:bottom w:val="none" w:sz="0" w:space="0" w:color="auto"/>
                        <w:right w:val="none" w:sz="0" w:space="0" w:color="auto"/>
                      </w:divBdr>
                    </w:div>
                  </w:divsChild>
                </w:div>
                <w:div w:id="1355809402">
                  <w:marLeft w:val="0"/>
                  <w:marRight w:val="0"/>
                  <w:marTop w:val="0"/>
                  <w:marBottom w:val="0"/>
                  <w:divBdr>
                    <w:top w:val="none" w:sz="0" w:space="0" w:color="auto"/>
                    <w:left w:val="none" w:sz="0" w:space="0" w:color="auto"/>
                    <w:bottom w:val="none" w:sz="0" w:space="0" w:color="auto"/>
                    <w:right w:val="none" w:sz="0" w:space="0" w:color="auto"/>
                  </w:divBdr>
                  <w:divsChild>
                    <w:div w:id="1143503339">
                      <w:marLeft w:val="0"/>
                      <w:marRight w:val="0"/>
                      <w:marTop w:val="0"/>
                      <w:marBottom w:val="0"/>
                      <w:divBdr>
                        <w:top w:val="none" w:sz="0" w:space="0" w:color="auto"/>
                        <w:left w:val="none" w:sz="0" w:space="0" w:color="auto"/>
                        <w:bottom w:val="none" w:sz="0" w:space="0" w:color="auto"/>
                        <w:right w:val="none" w:sz="0" w:space="0" w:color="auto"/>
                      </w:divBdr>
                    </w:div>
                  </w:divsChild>
                </w:div>
                <w:div w:id="1361711615">
                  <w:marLeft w:val="0"/>
                  <w:marRight w:val="0"/>
                  <w:marTop w:val="0"/>
                  <w:marBottom w:val="0"/>
                  <w:divBdr>
                    <w:top w:val="none" w:sz="0" w:space="0" w:color="auto"/>
                    <w:left w:val="none" w:sz="0" w:space="0" w:color="auto"/>
                    <w:bottom w:val="none" w:sz="0" w:space="0" w:color="auto"/>
                    <w:right w:val="none" w:sz="0" w:space="0" w:color="auto"/>
                  </w:divBdr>
                  <w:divsChild>
                    <w:div w:id="479226683">
                      <w:marLeft w:val="0"/>
                      <w:marRight w:val="0"/>
                      <w:marTop w:val="0"/>
                      <w:marBottom w:val="0"/>
                      <w:divBdr>
                        <w:top w:val="none" w:sz="0" w:space="0" w:color="auto"/>
                        <w:left w:val="none" w:sz="0" w:space="0" w:color="auto"/>
                        <w:bottom w:val="none" w:sz="0" w:space="0" w:color="auto"/>
                        <w:right w:val="none" w:sz="0" w:space="0" w:color="auto"/>
                      </w:divBdr>
                    </w:div>
                  </w:divsChild>
                </w:div>
                <w:div w:id="1376464738">
                  <w:marLeft w:val="0"/>
                  <w:marRight w:val="0"/>
                  <w:marTop w:val="0"/>
                  <w:marBottom w:val="0"/>
                  <w:divBdr>
                    <w:top w:val="none" w:sz="0" w:space="0" w:color="auto"/>
                    <w:left w:val="none" w:sz="0" w:space="0" w:color="auto"/>
                    <w:bottom w:val="none" w:sz="0" w:space="0" w:color="auto"/>
                    <w:right w:val="none" w:sz="0" w:space="0" w:color="auto"/>
                  </w:divBdr>
                  <w:divsChild>
                    <w:div w:id="1268662068">
                      <w:marLeft w:val="0"/>
                      <w:marRight w:val="0"/>
                      <w:marTop w:val="0"/>
                      <w:marBottom w:val="0"/>
                      <w:divBdr>
                        <w:top w:val="none" w:sz="0" w:space="0" w:color="auto"/>
                        <w:left w:val="none" w:sz="0" w:space="0" w:color="auto"/>
                        <w:bottom w:val="none" w:sz="0" w:space="0" w:color="auto"/>
                        <w:right w:val="none" w:sz="0" w:space="0" w:color="auto"/>
                      </w:divBdr>
                    </w:div>
                  </w:divsChild>
                </w:div>
                <w:div w:id="1376659087">
                  <w:marLeft w:val="0"/>
                  <w:marRight w:val="0"/>
                  <w:marTop w:val="0"/>
                  <w:marBottom w:val="0"/>
                  <w:divBdr>
                    <w:top w:val="none" w:sz="0" w:space="0" w:color="auto"/>
                    <w:left w:val="none" w:sz="0" w:space="0" w:color="auto"/>
                    <w:bottom w:val="none" w:sz="0" w:space="0" w:color="auto"/>
                    <w:right w:val="none" w:sz="0" w:space="0" w:color="auto"/>
                  </w:divBdr>
                  <w:divsChild>
                    <w:div w:id="226231342">
                      <w:marLeft w:val="0"/>
                      <w:marRight w:val="0"/>
                      <w:marTop w:val="0"/>
                      <w:marBottom w:val="0"/>
                      <w:divBdr>
                        <w:top w:val="none" w:sz="0" w:space="0" w:color="auto"/>
                        <w:left w:val="none" w:sz="0" w:space="0" w:color="auto"/>
                        <w:bottom w:val="none" w:sz="0" w:space="0" w:color="auto"/>
                        <w:right w:val="none" w:sz="0" w:space="0" w:color="auto"/>
                      </w:divBdr>
                    </w:div>
                  </w:divsChild>
                </w:div>
                <w:div w:id="1396969910">
                  <w:marLeft w:val="0"/>
                  <w:marRight w:val="0"/>
                  <w:marTop w:val="0"/>
                  <w:marBottom w:val="0"/>
                  <w:divBdr>
                    <w:top w:val="none" w:sz="0" w:space="0" w:color="auto"/>
                    <w:left w:val="none" w:sz="0" w:space="0" w:color="auto"/>
                    <w:bottom w:val="none" w:sz="0" w:space="0" w:color="auto"/>
                    <w:right w:val="none" w:sz="0" w:space="0" w:color="auto"/>
                  </w:divBdr>
                  <w:divsChild>
                    <w:div w:id="21981063">
                      <w:marLeft w:val="0"/>
                      <w:marRight w:val="0"/>
                      <w:marTop w:val="0"/>
                      <w:marBottom w:val="0"/>
                      <w:divBdr>
                        <w:top w:val="none" w:sz="0" w:space="0" w:color="auto"/>
                        <w:left w:val="none" w:sz="0" w:space="0" w:color="auto"/>
                        <w:bottom w:val="none" w:sz="0" w:space="0" w:color="auto"/>
                        <w:right w:val="none" w:sz="0" w:space="0" w:color="auto"/>
                      </w:divBdr>
                    </w:div>
                  </w:divsChild>
                </w:div>
                <w:div w:id="1410349620">
                  <w:marLeft w:val="0"/>
                  <w:marRight w:val="0"/>
                  <w:marTop w:val="0"/>
                  <w:marBottom w:val="0"/>
                  <w:divBdr>
                    <w:top w:val="none" w:sz="0" w:space="0" w:color="auto"/>
                    <w:left w:val="none" w:sz="0" w:space="0" w:color="auto"/>
                    <w:bottom w:val="none" w:sz="0" w:space="0" w:color="auto"/>
                    <w:right w:val="none" w:sz="0" w:space="0" w:color="auto"/>
                  </w:divBdr>
                  <w:divsChild>
                    <w:div w:id="430856000">
                      <w:marLeft w:val="0"/>
                      <w:marRight w:val="0"/>
                      <w:marTop w:val="0"/>
                      <w:marBottom w:val="0"/>
                      <w:divBdr>
                        <w:top w:val="none" w:sz="0" w:space="0" w:color="auto"/>
                        <w:left w:val="none" w:sz="0" w:space="0" w:color="auto"/>
                        <w:bottom w:val="none" w:sz="0" w:space="0" w:color="auto"/>
                        <w:right w:val="none" w:sz="0" w:space="0" w:color="auto"/>
                      </w:divBdr>
                    </w:div>
                  </w:divsChild>
                </w:div>
                <w:div w:id="1413435121">
                  <w:marLeft w:val="0"/>
                  <w:marRight w:val="0"/>
                  <w:marTop w:val="0"/>
                  <w:marBottom w:val="0"/>
                  <w:divBdr>
                    <w:top w:val="none" w:sz="0" w:space="0" w:color="auto"/>
                    <w:left w:val="none" w:sz="0" w:space="0" w:color="auto"/>
                    <w:bottom w:val="none" w:sz="0" w:space="0" w:color="auto"/>
                    <w:right w:val="none" w:sz="0" w:space="0" w:color="auto"/>
                  </w:divBdr>
                  <w:divsChild>
                    <w:div w:id="27606466">
                      <w:marLeft w:val="0"/>
                      <w:marRight w:val="0"/>
                      <w:marTop w:val="0"/>
                      <w:marBottom w:val="0"/>
                      <w:divBdr>
                        <w:top w:val="none" w:sz="0" w:space="0" w:color="auto"/>
                        <w:left w:val="none" w:sz="0" w:space="0" w:color="auto"/>
                        <w:bottom w:val="none" w:sz="0" w:space="0" w:color="auto"/>
                        <w:right w:val="none" w:sz="0" w:space="0" w:color="auto"/>
                      </w:divBdr>
                    </w:div>
                  </w:divsChild>
                </w:div>
                <w:div w:id="1427965277">
                  <w:marLeft w:val="0"/>
                  <w:marRight w:val="0"/>
                  <w:marTop w:val="0"/>
                  <w:marBottom w:val="0"/>
                  <w:divBdr>
                    <w:top w:val="none" w:sz="0" w:space="0" w:color="auto"/>
                    <w:left w:val="none" w:sz="0" w:space="0" w:color="auto"/>
                    <w:bottom w:val="none" w:sz="0" w:space="0" w:color="auto"/>
                    <w:right w:val="none" w:sz="0" w:space="0" w:color="auto"/>
                  </w:divBdr>
                  <w:divsChild>
                    <w:div w:id="1775860396">
                      <w:marLeft w:val="0"/>
                      <w:marRight w:val="0"/>
                      <w:marTop w:val="0"/>
                      <w:marBottom w:val="0"/>
                      <w:divBdr>
                        <w:top w:val="none" w:sz="0" w:space="0" w:color="auto"/>
                        <w:left w:val="none" w:sz="0" w:space="0" w:color="auto"/>
                        <w:bottom w:val="none" w:sz="0" w:space="0" w:color="auto"/>
                        <w:right w:val="none" w:sz="0" w:space="0" w:color="auto"/>
                      </w:divBdr>
                    </w:div>
                  </w:divsChild>
                </w:div>
                <w:div w:id="1429277315">
                  <w:marLeft w:val="0"/>
                  <w:marRight w:val="0"/>
                  <w:marTop w:val="0"/>
                  <w:marBottom w:val="0"/>
                  <w:divBdr>
                    <w:top w:val="none" w:sz="0" w:space="0" w:color="auto"/>
                    <w:left w:val="none" w:sz="0" w:space="0" w:color="auto"/>
                    <w:bottom w:val="none" w:sz="0" w:space="0" w:color="auto"/>
                    <w:right w:val="none" w:sz="0" w:space="0" w:color="auto"/>
                  </w:divBdr>
                  <w:divsChild>
                    <w:div w:id="749888795">
                      <w:marLeft w:val="0"/>
                      <w:marRight w:val="0"/>
                      <w:marTop w:val="0"/>
                      <w:marBottom w:val="0"/>
                      <w:divBdr>
                        <w:top w:val="none" w:sz="0" w:space="0" w:color="auto"/>
                        <w:left w:val="none" w:sz="0" w:space="0" w:color="auto"/>
                        <w:bottom w:val="none" w:sz="0" w:space="0" w:color="auto"/>
                        <w:right w:val="none" w:sz="0" w:space="0" w:color="auto"/>
                      </w:divBdr>
                    </w:div>
                  </w:divsChild>
                </w:div>
                <w:div w:id="1435784181">
                  <w:marLeft w:val="0"/>
                  <w:marRight w:val="0"/>
                  <w:marTop w:val="0"/>
                  <w:marBottom w:val="0"/>
                  <w:divBdr>
                    <w:top w:val="none" w:sz="0" w:space="0" w:color="auto"/>
                    <w:left w:val="none" w:sz="0" w:space="0" w:color="auto"/>
                    <w:bottom w:val="none" w:sz="0" w:space="0" w:color="auto"/>
                    <w:right w:val="none" w:sz="0" w:space="0" w:color="auto"/>
                  </w:divBdr>
                  <w:divsChild>
                    <w:div w:id="1339965730">
                      <w:marLeft w:val="0"/>
                      <w:marRight w:val="0"/>
                      <w:marTop w:val="0"/>
                      <w:marBottom w:val="0"/>
                      <w:divBdr>
                        <w:top w:val="none" w:sz="0" w:space="0" w:color="auto"/>
                        <w:left w:val="none" w:sz="0" w:space="0" w:color="auto"/>
                        <w:bottom w:val="none" w:sz="0" w:space="0" w:color="auto"/>
                        <w:right w:val="none" w:sz="0" w:space="0" w:color="auto"/>
                      </w:divBdr>
                    </w:div>
                  </w:divsChild>
                </w:div>
                <w:div w:id="1443181591">
                  <w:marLeft w:val="0"/>
                  <w:marRight w:val="0"/>
                  <w:marTop w:val="0"/>
                  <w:marBottom w:val="0"/>
                  <w:divBdr>
                    <w:top w:val="none" w:sz="0" w:space="0" w:color="auto"/>
                    <w:left w:val="none" w:sz="0" w:space="0" w:color="auto"/>
                    <w:bottom w:val="none" w:sz="0" w:space="0" w:color="auto"/>
                    <w:right w:val="none" w:sz="0" w:space="0" w:color="auto"/>
                  </w:divBdr>
                  <w:divsChild>
                    <w:div w:id="986664834">
                      <w:marLeft w:val="0"/>
                      <w:marRight w:val="0"/>
                      <w:marTop w:val="0"/>
                      <w:marBottom w:val="0"/>
                      <w:divBdr>
                        <w:top w:val="none" w:sz="0" w:space="0" w:color="auto"/>
                        <w:left w:val="none" w:sz="0" w:space="0" w:color="auto"/>
                        <w:bottom w:val="none" w:sz="0" w:space="0" w:color="auto"/>
                        <w:right w:val="none" w:sz="0" w:space="0" w:color="auto"/>
                      </w:divBdr>
                    </w:div>
                  </w:divsChild>
                </w:div>
                <w:div w:id="1443959559">
                  <w:marLeft w:val="0"/>
                  <w:marRight w:val="0"/>
                  <w:marTop w:val="0"/>
                  <w:marBottom w:val="0"/>
                  <w:divBdr>
                    <w:top w:val="none" w:sz="0" w:space="0" w:color="auto"/>
                    <w:left w:val="none" w:sz="0" w:space="0" w:color="auto"/>
                    <w:bottom w:val="none" w:sz="0" w:space="0" w:color="auto"/>
                    <w:right w:val="none" w:sz="0" w:space="0" w:color="auto"/>
                  </w:divBdr>
                  <w:divsChild>
                    <w:div w:id="49306639">
                      <w:marLeft w:val="0"/>
                      <w:marRight w:val="0"/>
                      <w:marTop w:val="0"/>
                      <w:marBottom w:val="0"/>
                      <w:divBdr>
                        <w:top w:val="none" w:sz="0" w:space="0" w:color="auto"/>
                        <w:left w:val="none" w:sz="0" w:space="0" w:color="auto"/>
                        <w:bottom w:val="none" w:sz="0" w:space="0" w:color="auto"/>
                        <w:right w:val="none" w:sz="0" w:space="0" w:color="auto"/>
                      </w:divBdr>
                    </w:div>
                  </w:divsChild>
                </w:div>
                <w:div w:id="1445616178">
                  <w:marLeft w:val="0"/>
                  <w:marRight w:val="0"/>
                  <w:marTop w:val="0"/>
                  <w:marBottom w:val="0"/>
                  <w:divBdr>
                    <w:top w:val="none" w:sz="0" w:space="0" w:color="auto"/>
                    <w:left w:val="none" w:sz="0" w:space="0" w:color="auto"/>
                    <w:bottom w:val="none" w:sz="0" w:space="0" w:color="auto"/>
                    <w:right w:val="none" w:sz="0" w:space="0" w:color="auto"/>
                  </w:divBdr>
                  <w:divsChild>
                    <w:div w:id="1779521394">
                      <w:marLeft w:val="0"/>
                      <w:marRight w:val="0"/>
                      <w:marTop w:val="0"/>
                      <w:marBottom w:val="0"/>
                      <w:divBdr>
                        <w:top w:val="none" w:sz="0" w:space="0" w:color="auto"/>
                        <w:left w:val="none" w:sz="0" w:space="0" w:color="auto"/>
                        <w:bottom w:val="none" w:sz="0" w:space="0" w:color="auto"/>
                        <w:right w:val="none" w:sz="0" w:space="0" w:color="auto"/>
                      </w:divBdr>
                    </w:div>
                  </w:divsChild>
                </w:div>
                <w:div w:id="1448348355">
                  <w:marLeft w:val="0"/>
                  <w:marRight w:val="0"/>
                  <w:marTop w:val="0"/>
                  <w:marBottom w:val="0"/>
                  <w:divBdr>
                    <w:top w:val="none" w:sz="0" w:space="0" w:color="auto"/>
                    <w:left w:val="none" w:sz="0" w:space="0" w:color="auto"/>
                    <w:bottom w:val="none" w:sz="0" w:space="0" w:color="auto"/>
                    <w:right w:val="none" w:sz="0" w:space="0" w:color="auto"/>
                  </w:divBdr>
                  <w:divsChild>
                    <w:div w:id="45840715">
                      <w:marLeft w:val="0"/>
                      <w:marRight w:val="0"/>
                      <w:marTop w:val="0"/>
                      <w:marBottom w:val="0"/>
                      <w:divBdr>
                        <w:top w:val="none" w:sz="0" w:space="0" w:color="auto"/>
                        <w:left w:val="none" w:sz="0" w:space="0" w:color="auto"/>
                        <w:bottom w:val="none" w:sz="0" w:space="0" w:color="auto"/>
                        <w:right w:val="none" w:sz="0" w:space="0" w:color="auto"/>
                      </w:divBdr>
                    </w:div>
                  </w:divsChild>
                </w:div>
                <w:div w:id="1453747595">
                  <w:marLeft w:val="0"/>
                  <w:marRight w:val="0"/>
                  <w:marTop w:val="0"/>
                  <w:marBottom w:val="0"/>
                  <w:divBdr>
                    <w:top w:val="none" w:sz="0" w:space="0" w:color="auto"/>
                    <w:left w:val="none" w:sz="0" w:space="0" w:color="auto"/>
                    <w:bottom w:val="none" w:sz="0" w:space="0" w:color="auto"/>
                    <w:right w:val="none" w:sz="0" w:space="0" w:color="auto"/>
                  </w:divBdr>
                  <w:divsChild>
                    <w:div w:id="1026560837">
                      <w:marLeft w:val="0"/>
                      <w:marRight w:val="0"/>
                      <w:marTop w:val="0"/>
                      <w:marBottom w:val="0"/>
                      <w:divBdr>
                        <w:top w:val="none" w:sz="0" w:space="0" w:color="auto"/>
                        <w:left w:val="none" w:sz="0" w:space="0" w:color="auto"/>
                        <w:bottom w:val="none" w:sz="0" w:space="0" w:color="auto"/>
                        <w:right w:val="none" w:sz="0" w:space="0" w:color="auto"/>
                      </w:divBdr>
                    </w:div>
                  </w:divsChild>
                </w:div>
                <w:div w:id="1465467230">
                  <w:marLeft w:val="0"/>
                  <w:marRight w:val="0"/>
                  <w:marTop w:val="0"/>
                  <w:marBottom w:val="0"/>
                  <w:divBdr>
                    <w:top w:val="none" w:sz="0" w:space="0" w:color="auto"/>
                    <w:left w:val="none" w:sz="0" w:space="0" w:color="auto"/>
                    <w:bottom w:val="none" w:sz="0" w:space="0" w:color="auto"/>
                    <w:right w:val="none" w:sz="0" w:space="0" w:color="auto"/>
                  </w:divBdr>
                  <w:divsChild>
                    <w:div w:id="1302424259">
                      <w:marLeft w:val="0"/>
                      <w:marRight w:val="0"/>
                      <w:marTop w:val="0"/>
                      <w:marBottom w:val="0"/>
                      <w:divBdr>
                        <w:top w:val="none" w:sz="0" w:space="0" w:color="auto"/>
                        <w:left w:val="none" w:sz="0" w:space="0" w:color="auto"/>
                        <w:bottom w:val="none" w:sz="0" w:space="0" w:color="auto"/>
                        <w:right w:val="none" w:sz="0" w:space="0" w:color="auto"/>
                      </w:divBdr>
                    </w:div>
                  </w:divsChild>
                </w:div>
                <w:div w:id="1473132634">
                  <w:marLeft w:val="0"/>
                  <w:marRight w:val="0"/>
                  <w:marTop w:val="0"/>
                  <w:marBottom w:val="0"/>
                  <w:divBdr>
                    <w:top w:val="none" w:sz="0" w:space="0" w:color="auto"/>
                    <w:left w:val="none" w:sz="0" w:space="0" w:color="auto"/>
                    <w:bottom w:val="none" w:sz="0" w:space="0" w:color="auto"/>
                    <w:right w:val="none" w:sz="0" w:space="0" w:color="auto"/>
                  </w:divBdr>
                  <w:divsChild>
                    <w:div w:id="458689986">
                      <w:marLeft w:val="0"/>
                      <w:marRight w:val="0"/>
                      <w:marTop w:val="0"/>
                      <w:marBottom w:val="0"/>
                      <w:divBdr>
                        <w:top w:val="none" w:sz="0" w:space="0" w:color="auto"/>
                        <w:left w:val="none" w:sz="0" w:space="0" w:color="auto"/>
                        <w:bottom w:val="none" w:sz="0" w:space="0" w:color="auto"/>
                        <w:right w:val="none" w:sz="0" w:space="0" w:color="auto"/>
                      </w:divBdr>
                    </w:div>
                  </w:divsChild>
                </w:div>
                <w:div w:id="1476797215">
                  <w:marLeft w:val="0"/>
                  <w:marRight w:val="0"/>
                  <w:marTop w:val="0"/>
                  <w:marBottom w:val="0"/>
                  <w:divBdr>
                    <w:top w:val="none" w:sz="0" w:space="0" w:color="auto"/>
                    <w:left w:val="none" w:sz="0" w:space="0" w:color="auto"/>
                    <w:bottom w:val="none" w:sz="0" w:space="0" w:color="auto"/>
                    <w:right w:val="none" w:sz="0" w:space="0" w:color="auto"/>
                  </w:divBdr>
                  <w:divsChild>
                    <w:div w:id="876772269">
                      <w:marLeft w:val="0"/>
                      <w:marRight w:val="0"/>
                      <w:marTop w:val="0"/>
                      <w:marBottom w:val="0"/>
                      <w:divBdr>
                        <w:top w:val="none" w:sz="0" w:space="0" w:color="auto"/>
                        <w:left w:val="none" w:sz="0" w:space="0" w:color="auto"/>
                        <w:bottom w:val="none" w:sz="0" w:space="0" w:color="auto"/>
                        <w:right w:val="none" w:sz="0" w:space="0" w:color="auto"/>
                      </w:divBdr>
                    </w:div>
                  </w:divsChild>
                </w:div>
                <w:div w:id="1479036448">
                  <w:marLeft w:val="0"/>
                  <w:marRight w:val="0"/>
                  <w:marTop w:val="0"/>
                  <w:marBottom w:val="0"/>
                  <w:divBdr>
                    <w:top w:val="none" w:sz="0" w:space="0" w:color="auto"/>
                    <w:left w:val="none" w:sz="0" w:space="0" w:color="auto"/>
                    <w:bottom w:val="none" w:sz="0" w:space="0" w:color="auto"/>
                    <w:right w:val="none" w:sz="0" w:space="0" w:color="auto"/>
                  </w:divBdr>
                  <w:divsChild>
                    <w:div w:id="43335737">
                      <w:marLeft w:val="0"/>
                      <w:marRight w:val="0"/>
                      <w:marTop w:val="0"/>
                      <w:marBottom w:val="0"/>
                      <w:divBdr>
                        <w:top w:val="none" w:sz="0" w:space="0" w:color="auto"/>
                        <w:left w:val="none" w:sz="0" w:space="0" w:color="auto"/>
                        <w:bottom w:val="none" w:sz="0" w:space="0" w:color="auto"/>
                        <w:right w:val="none" w:sz="0" w:space="0" w:color="auto"/>
                      </w:divBdr>
                    </w:div>
                  </w:divsChild>
                </w:div>
                <w:div w:id="1482623766">
                  <w:marLeft w:val="0"/>
                  <w:marRight w:val="0"/>
                  <w:marTop w:val="0"/>
                  <w:marBottom w:val="0"/>
                  <w:divBdr>
                    <w:top w:val="none" w:sz="0" w:space="0" w:color="auto"/>
                    <w:left w:val="none" w:sz="0" w:space="0" w:color="auto"/>
                    <w:bottom w:val="none" w:sz="0" w:space="0" w:color="auto"/>
                    <w:right w:val="none" w:sz="0" w:space="0" w:color="auto"/>
                  </w:divBdr>
                  <w:divsChild>
                    <w:div w:id="1666977345">
                      <w:marLeft w:val="0"/>
                      <w:marRight w:val="0"/>
                      <w:marTop w:val="0"/>
                      <w:marBottom w:val="0"/>
                      <w:divBdr>
                        <w:top w:val="none" w:sz="0" w:space="0" w:color="auto"/>
                        <w:left w:val="none" w:sz="0" w:space="0" w:color="auto"/>
                        <w:bottom w:val="none" w:sz="0" w:space="0" w:color="auto"/>
                        <w:right w:val="none" w:sz="0" w:space="0" w:color="auto"/>
                      </w:divBdr>
                    </w:div>
                  </w:divsChild>
                </w:div>
                <w:div w:id="1484352398">
                  <w:marLeft w:val="0"/>
                  <w:marRight w:val="0"/>
                  <w:marTop w:val="0"/>
                  <w:marBottom w:val="0"/>
                  <w:divBdr>
                    <w:top w:val="none" w:sz="0" w:space="0" w:color="auto"/>
                    <w:left w:val="none" w:sz="0" w:space="0" w:color="auto"/>
                    <w:bottom w:val="none" w:sz="0" w:space="0" w:color="auto"/>
                    <w:right w:val="none" w:sz="0" w:space="0" w:color="auto"/>
                  </w:divBdr>
                  <w:divsChild>
                    <w:div w:id="1417896769">
                      <w:marLeft w:val="0"/>
                      <w:marRight w:val="0"/>
                      <w:marTop w:val="0"/>
                      <w:marBottom w:val="0"/>
                      <w:divBdr>
                        <w:top w:val="none" w:sz="0" w:space="0" w:color="auto"/>
                        <w:left w:val="none" w:sz="0" w:space="0" w:color="auto"/>
                        <w:bottom w:val="none" w:sz="0" w:space="0" w:color="auto"/>
                        <w:right w:val="none" w:sz="0" w:space="0" w:color="auto"/>
                      </w:divBdr>
                    </w:div>
                  </w:divsChild>
                </w:div>
                <w:div w:id="1490974882">
                  <w:marLeft w:val="0"/>
                  <w:marRight w:val="0"/>
                  <w:marTop w:val="0"/>
                  <w:marBottom w:val="0"/>
                  <w:divBdr>
                    <w:top w:val="none" w:sz="0" w:space="0" w:color="auto"/>
                    <w:left w:val="none" w:sz="0" w:space="0" w:color="auto"/>
                    <w:bottom w:val="none" w:sz="0" w:space="0" w:color="auto"/>
                    <w:right w:val="none" w:sz="0" w:space="0" w:color="auto"/>
                  </w:divBdr>
                  <w:divsChild>
                    <w:div w:id="1105466989">
                      <w:marLeft w:val="0"/>
                      <w:marRight w:val="0"/>
                      <w:marTop w:val="0"/>
                      <w:marBottom w:val="0"/>
                      <w:divBdr>
                        <w:top w:val="none" w:sz="0" w:space="0" w:color="auto"/>
                        <w:left w:val="none" w:sz="0" w:space="0" w:color="auto"/>
                        <w:bottom w:val="none" w:sz="0" w:space="0" w:color="auto"/>
                        <w:right w:val="none" w:sz="0" w:space="0" w:color="auto"/>
                      </w:divBdr>
                    </w:div>
                  </w:divsChild>
                </w:div>
                <w:div w:id="1504006799">
                  <w:marLeft w:val="0"/>
                  <w:marRight w:val="0"/>
                  <w:marTop w:val="0"/>
                  <w:marBottom w:val="0"/>
                  <w:divBdr>
                    <w:top w:val="none" w:sz="0" w:space="0" w:color="auto"/>
                    <w:left w:val="none" w:sz="0" w:space="0" w:color="auto"/>
                    <w:bottom w:val="none" w:sz="0" w:space="0" w:color="auto"/>
                    <w:right w:val="none" w:sz="0" w:space="0" w:color="auto"/>
                  </w:divBdr>
                  <w:divsChild>
                    <w:div w:id="374084788">
                      <w:marLeft w:val="0"/>
                      <w:marRight w:val="0"/>
                      <w:marTop w:val="0"/>
                      <w:marBottom w:val="0"/>
                      <w:divBdr>
                        <w:top w:val="none" w:sz="0" w:space="0" w:color="auto"/>
                        <w:left w:val="none" w:sz="0" w:space="0" w:color="auto"/>
                        <w:bottom w:val="none" w:sz="0" w:space="0" w:color="auto"/>
                        <w:right w:val="none" w:sz="0" w:space="0" w:color="auto"/>
                      </w:divBdr>
                    </w:div>
                  </w:divsChild>
                </w:div>
                <w:div w:id="1507481648">
                  <w:marLeft w:val="0"/>
                  <w:marRight w:val="0"/>
                  <w:marTop w:val="0"/>
                  <w:marBottom w:val="0"/>
                  <w:divBdr>
                    <w:top w:val="none" w:sz="0" w:space="0" w:color="auto"/>
                    <w:left w:val="none" w:sz="0" w:space="0" w:color="auto"/>
                    <w:bottom w:val="none" w:sz="0" w:space="0" w:color="auto"/>
                    <w:right w:val="none" w:sz="0" w:space="0" w:color="auto"/>
                  </w:divBdr>
                  <w:divsChild>
                    <w:div w:id="1549024686">
                      <w:marLeft w:val="0"/>
                      <w:marRight w:val="0"/>
                      <w:marTop w:val="0"/>
                      <w:marBottom w:val="0"/>
                      <w:divBdr>
                        <w:top w:val="none" w:sz="0" w:space="0" w:color="auto"/>
                        <w:left w:val="none" w:sz="0" w:space="0" w:color="auto"/>
                        <w:bottom w:val="none" w:sz="0" w:space="0" w:color="auto"/>
                        <w:right w:val="none" w:sz="0" w:space="0" w:color="auto"/>
                      </w:divBdr>
                    </w:div>
                  </w:divsChild>
                </w:div>
                <w:div w:id="1514881998">
                  <w:marLeft w:val="0"/>
                  <w:marRight w:val="0"/>
                  <w:marTop w:val="0"/>
                  <w:marBottom w:val="0"/>
                  <w:divBdr>
                    <w:top w:val="none" w:sz="0" w:space="0" w:color="auto"/>
                    <w:left w:val="none" w:sz="0" w:space="0" w:color="auto"/>
                    <w:bottom w:val="none" w:sz="0" w:space="0" w:color="auto"/>
                    <w:right w:val="none" w:sz="0" w:space="0" w:color="auto"/>
                  </w:divBdr>
                  <w:divsChild>
                    <w:div w:id="296424178">
                      <w:marLeft w:val="0"/>
                      <w:marRight w:val="0"/>
                      <w:marTop w:val="0"/>
                      <w:marBottom w:val="0"/>
                      <w:divBdr>
                        <w:top w:val="none" w:sz="0" w:space="0" w:color="auto"/>
                        <w:left w:val="none" w:sz="0" w:space="0" w:color="auto"/>
                        <w:bottom w:val="none" w:sz="0" w:space="0" w:color="auto"/>
                        <w:right w:val="none" w:sz="0" w:space="0" w:color="auto"/>
                      </w:divBdr>
                    </w:div>
                  </w:divsChild>
                </w:div>
                <w:div w:id="1521622797">
                  <w:marLeft w:val="0"/>
                  <w:marRight w:val="0"/>
                  <w:marTop w:val="0"/>
                  <w:marBottom w:val="0"/>
                  <w:divBdr>
                    <w:top w:val="none" w:sz="0" w:space="0" w:color="auto"/>
                    <w:left w:val="none" w:sz="0" w:space="0" w:color="auto"/>
                    <w:bottom w:val="none" w:sz="0" w:space="0" w:color="auto"/>
                    <w:right w:val="none" w:sz="0" w:space="0" w:color="auto"/>
                  </w:divBdr>
                  <w:divsChild>
                    <w:div w:id="909923746">
                      <w:marLeft w:val="0"/>
                      <w:marRight w:val="0"/>
                      <w:marTop w:val="0"/>
                      <w:marBottom w:val="0"/>
                      <w:divBdr>
                        <w:top w:val="none" w:sz="0" w:space="0" w:color="auto"/>
                        <w:left w:val="none" w:sz="0" w:space="0" w:color="auto"/>
                        <w:bottom w:val="none" w:sz="0" w:space="0" w:color="auto"/>
                        <w:right w:val="none" w:sz="0" w:space="0" w:color="auto"/>
                      </w:divBdr>
                    </w:div>
                  </w:divsChild>
                </w:div>
                <w:div w:id="1522359185">
                  <w:marLeft w:val="0"/>
                  <w:marRight w:val="0"/>
                  <w:marTop w:val="0"/>
                  <w:marBottom w:val="0"/>
                  <w:divBdr>
                    <w:top w:val="none" w:sz="0" w:space="0" w:color="auto"/>
                    <w:left w:val="none" w:sz="0" w:space="0" w:color="auto"/>
                    <w:bottom w:val="none" w:sz="0" w:space="0" w:color="auto"/>
                    <w:right w:val="none" w:sz="0" w:space="0" w:color="auto"/>
                  </w:divBdr>
                  <w:divsChild>
                    <w:div w:id="1421291125">
                      <w:marLeft w:val="0"/>
                      <w:marRight w:val="0"/>
                      <w:marTop w:val="0"/>
                      <w:marBottom w:val="0"/>
                      <w:divBdr>
                        <w:top w:val="none" w:sz="0" w:space="0" w:color="auto"/>
                        <w:left w:val="none" w:sz="0" w:space="0" w:color="auto"/>
                        <w:bottom w:val="none" w:sz="0" w:space="0" w:color="auto"/>
                        <w:right w:val="none" w:sz="0" w:space="0" w:color="auto"/>
                      </w:divBdr>
                    </w:div>
                  </w:divsChild>
                </w:div>
                <w:div w:id="1523325548">
                  <w:marLeft w:val="0"/>
                  <w:marRight w:val="0"/>
                  <w:marTop w:val="0"/>
                  <w:marBottom w:val="0"/>
                  <w:divBdr>
                    <w:top w:val="none" w:sz="0" w:space="0" w:color="auto"/>
                    <w:left w:val="none" w:sz="0" w:space="0" w:color="auto"/>
                    <w:bottom w:val="none" w:sz="0" w:space="0" w:color="auto"/>
                    <w:right w:val="none" w:sz="0" w:space="0" w:color="auto"/>
                  </w:divBdr>
                  <w:divsChild>
                    <w:div w:id="755438125">
                      <w:marLeft w:val="0"/>
                      <w:marRight w:val="0"/>
                      <w:marTop w:val="0"/>
                      <w:marBottom w:val="0"/>
                      <w:divBdr>
                        <w:top w:val="none" w:sz="0" w:space="0" w:color="auto"/>
                        <w:left w:val="none" w:sz="0" w:space="0" w:color="auto"/>
                        <w:bottom w:val="none" w:sz="0" w:space="0" w:color="auto"/>
                        <w:right w:val="none" w:sz="0" w:space="0" w:color="auto"/>
                      </w:divBdr>
                    </w:div>
                  </w:divsChild>
                </w:div>
                <w:div w:id="1523470497">
                  <w:marLeft w:val="0"/>
                  <w:marRight w:val="0"/>
                  <w:marTop w:val="0"/>
                  <w:marBottom w:val="0"/>
                  <w:divBdr>
                    <w:top w:val="none" w:sz="0" w:space="0" w:color="auto"/>
                    <w:left w:val="none" w:sz="0" w:space="0" w:color="auto"/>
                    <w:bottom w:val="none" w:sz="0" w:space="0" w:color="auto"/>
                    <w:right w:val="none" w:sz="0" w:space="0" w:color="auto"/>
                  </w:divBdr>
                  <w:divsChild>
                    <w:div w:id="876433596">
                      <w:marLeft w:val="0"/>
                      <w:marRight w:val="0"/>
                      <w:marTop w:val="0"/>
                      <w:marBottom w:val="0"/>
                      <w:divBdr>
                        <w:top w:val="none" w:sz="0" w:space="0" w:color="auto"/>
                        <w:left w:val="none" w:sz="0" w:space="0" w:color="auto"/>
                        <w:bottom w:val="none" w:sz="0" w:space="0" w:color="auto"/>
                        <w:right w:val="none" w:sz="0" w:space="0" w:color="auto"/>
                      </w:divBdr>
                    </w:div>
                  </w:divsChild>
                </w:div>
                <w:div w:id="1529610317">
                  <w:marLeft w:val="0"/>
                  <w:marRight w:val="0"/>
                  <w:marTop w:val="0"/>
                  <w:marBottom w:val="0"/>
                  <w:divBdr>
                    <w:top w:val="none" w:sz="0" w:space="0" w:color="auto"/>
                    <w:left w:val="none" w:sz="0" w:space="0" w:color="auto"/>
                    <w:bottom w:val="none" w:sz="0" w:space="0" w:color="auto"/>
                    <w:right w:val="none" w:sz="0" w:space="0" w:color="auto"/>
                  </w:divBdr>
                  <w:divsChild>
                    <w:div w:id="1316841461">
                      <w:marLeft w:val="0"/>
                      <w:marRight w:val="0"/>
                      <w:marTop w:val="0"/>
                      <w:marBottom w:val="0"/>
                      <w:divBdr>
                        <w:top w:val="none" w:sz="0" w:space="0" w:color="auto"/>
                        <w:left w:val="none" w:sz="0" w:space="0" w:color="auto"/>
                        <w:bottom w:val="none" w:sz="0" w:space="0" w:color="auto"/>
                        <w:right w:val="none" w:sz="0" w:space="0" w:color="auto"/>
                      </w:divBdr>
                    </w:div>
                  </w:divsChild>
                </w:div>
                <w:div w:id="1533835569">
                  <w:marLeft w:val="0"/>
                  <w:marRight w:val="0"/>
                  <w:marTop w:val="0"/>
                  <w:marBottom w:val="0"/>
                  <w:divBdr>
                    <w:top w:val="none" w:sz="0" w:space="0" w:color="auto"/>
                    <w:left w:val="none" w:sz="0" w:space="0" w:color="auto"/>
                    <w:bottom w:val="none" w:sz="0" w:space="0" w:color="auto"/>
                    <w:right w:val="none" w:sz="0" w:space="0" w:color="auto"/>
                  </w:divBdr>
                  <w:divsChild>
                    <w:div w:id="2000771958">
                      <w:marLeft w:val="0"/>
                      <w:marRight w:val="0"/>
                      <w:marTop w:val="0"/>
                      <w:marBottom w:val="0"/>
                      <w:divBdr>
                        <w:top w:val="none" w:sz="0" w:space="0" w:color="auto"/>
                        <w:left w:val="none" w:sz="0" w:space="0" w:color="auto"/>
                        <w:bottom w:val="none" w:sz="0" w:space="0" w:color="auto"/>
                        <w:right w:val="none" w:sz="0" w:space="0" w:color="auto"/>
                      </w:divBdr>
                    </w:div>
                  </w:divsChild>
                </w:div>
                <w:div w:id="1537890762">
                  <w:marLeft w:val="0"/>
                  <w:marRight w:val="0"/>
                  <w:marTop w:val="0"/>
                  <w:marBottom w:val="0"/>
                  <w:divBdr>
                    <w:top w:val="none" w:sz="0" w:space="0" w:color="auto"/>
                    <w:left w:val="none" w:sz="0" w:space="0" w:color="auto"/>
                    <w:bottom w:val="none" w:sz="0" w:space="0" w:color="auto"/>
                    <w:right w:val="none" w:sz="0" w:space="0" w:color="auto"/>
                  </w:divBdr>
                  <w:divsChild>
                    <w:div w:id="1252159184">
                      <w:marLeft w:val="0"/>
                      <w:marRight w:val="0"/>
                      <w:marTop w:val="0"/>
                      <w:marBottom w:val="0"/>
                      <w:divBdr>
                        <w:top w:val="none" w:sz="0" w:space="0" w:color="auto"/>
                        <w:left w:val="none" w:sz="0" w:space="0" w:color="auto"/>
                        <w:bottom w:val="none" w:sz="0" w:space="0" w:color="auto"/>
                        <w:right w:val="none" w:sz="0" w:space="0" w:color="auto"/>
                      </w:divBdr>
                    </w:div>
                  </w:divsChild>
                </w:div>
                <w:div w:id="1539464222">
                  <w:marLeft w:val="0"/>
                  <w:marRight w:val="0"/>
                  <w:marTop w:val="0"/>
                  <w:marBottom w:val="0"/>
                  <w:divBdr>
                    <w:top w:val="none" w:sz="0" w:space="0" w:color="auto"/>
                    <w:left w:val="none" w:sz="0" w:space="0" w:color="auto"/>
                    <w:bottom w:val="none" w:sz="0" w:space="0" w:color="auto"/>
                    <w:right w:val="none" w:sz="0" w:space="0" w:color="auto"/>
                  </w:divBdr>
                  <w:divsChild>
                    <w:div w:id="596711538">
                      <w:marLeft w:val="0"/>
                      <w:marRight w:val="0"/>
                      <w:marTop w:val="0"/>
                      <w:marBottom w:val="0"/>
                      <w:divBdr>
                        <w:top w:val="none" w:sz="0" w:space="0" w:color="auto"/>
                        <w:left w:val="none" w:sz="0" w:space="0" w:color="auto"/>
                        <w:bottom w:val="none" w:sz="0" w:space="0" w:color="auto"/>
                        <w:right w:val="none" w:sz="0" w:space="0" w:color="auto"/>
                      </w:divBdr>
                    </w:div>
                  </w:divsChild>
                </w:div>
                <w:div w:id="1540970276">
                  <w:marLeft w:val="0"/>
                  <w:marRight w:val="0"/>
                  <w:marTop w:val="0"/>
                  <w:marBottom w:val="0"/>
                  <w:divBdr>
                    <w:top w:val="none" w:sz="0" w:space="0" w:color="auto"/>
                    <w:left w:val="none" w:sz="0" w:space="0" w:color="auto"/>
                    <w:bottom w:val="none" w:sz="0" w:space="0" w:color="auto"/>
                    <w:right w:val="none" w:sz="0" w:space="0" w:color="auto"/>
                  </w:divBdr>
                  <w:divsChild>
                    <w:div w:id="1074666013">
                      <w:marLeft w:val="0"/>
                      <w:marRight w:val="0"/>
                      <w:marTop w:val="0"/>
                      <w:marBottom w:val="0"/>
                      <w:divBdr>
                        <w:top w:val="none" w:sz="0" w:space="0" w:color="auto"/>
                        <w:left w:val="none" w:sz="0" w:space="0" w:color="auto"/>
                        <w:bottom w:val="none" w:sz="0" w:space="0" w:color="auto"/>
                        <w:right w:val="none" w:sz="0" w:space="0" w:color="auto"/>
                      </w:divBdr>
                    </w:div>
                  </w:divsChild>
                </w:div>
                <w:div w:id="1547525864">
                  <w:marLeft w:val="0"/>
                  <w:marRight w:val="0"/>
                  <w:marTop w:val="0"/>
                  <w:marBottom w:val="0"/>
                  <w:divBdr>
                    <w:top w:val="none" w:sz="0" w:space="0" w:color="auto"/>
                    <w:left w:val="none" w:sz="0" w:space="0" w:color="auto"/>
                    <w:bottom w:val="none" w:sz="0" w:space="0" w:color="auto"/>
                    <w:right w:val="none" w:sz="0" w:space="0" w:color="auto"/>
                  </w:divBdr>
                  <w:divsChild>
                    <w:div w:id="511337425">
                      <w:marLeft w:val="0"/>
                      <w:marRight w:val="0"/>
                      <w:marTop w:val="0"/>
                      <w:marBottom w:val="0"/>
                      <w:divBdr>
                        <w:top w:val="none" w:sz="0" w:space="0" w:color="auto"/>
                        <w:left w:val="none" w:sz="0" w:space="0" w:color="auto"/>
                        <w:bottom w:val="none" w:sz="0" w:space="0" w:color="auto"/>
                        <w:right w:val="none" w:sz="0" w:space="0" w:color="auto"/>
                      </w:divBdr>
                    </w:div>
                  </w:divsChild>
                </w:div>
                <w:div w:id="1560826322">
                  <w:marLeft w:val="0"/>
                  <w:marRight w:val="0"/>
                  <w:marTop w:val="0"/>
                  <w:marBottom w:val="0"/>
                  <w:divBdr>
                    <w:top w:val="none" w:sz="0" w:space="0" w:color="auto"/>
                    <w:left w:val="none" w:sz="0" w:space="0" w:color="auto"/>
                    <w:bottom w:val="none" w:sz="0" w:space="0" w:color="auto"/>
                    <w:right w:val="none" w:sz="0" w:space="0" w:color="auto"/>
                  </w:divBdr>
                  <w:divsChild>
                    <w:div w:id="1353528196">
                      <w:marLeft w:val="0"/>
                      <w:marRight w:val="0"/>
                      <w:marTop w:val="0"/>
                      <w:marBottom w:val="0"/>
                      <w:divBdr>
                        <w:top w:val="none" w:sz="0" w:space="0" w:color="auto"/>
                        <w:left w:val="none" w:sz="0" w:space="0" w:color="auto"/>
                        <w:bottom w:val="none" w:sz="0" w:space="0" w:color="auto"/>
                        <w:right w:val="none" w:sz="0" w:space="0" w:color="auto"/>
                      </w:divBdr>
                    </w:div>
                  </w:divsChild>
                </w:div>
                <w:div w:id="1572471957">
                  <w:marLeft w:val="0"/>
                  <w:marRight w:val="0"/>
                  <w:marTop w:val="0"/>
                  <w:marBottom w:val="0"/>
                  <w:divBdr>
                    <w:top w:val="none" w:sz="0" w:space="0" w:color="auto"/>
                    <w:left w:val="none" w:sz="0" w:space="0" w:color="auto"/>
                    <w:bottom w:val="none" w:sz="0" w:space="0" w:color="auto"/>
                    <w:right w:val="none" w:sz="0" w:space="0" w:color="auto"/>
                  </w:divBdr>
                  <w:divsChild>
                    <w:div w:id="1344431961">
                      <w:marLeft w:val="0"/>
                      <w:marRight w:val="0"/>
                      <w:marTop w:val="0"/>
                      <w:marBottom w:val="0"/>
                      <w:divBdr>
                        <w:top w:val="none" w:sz="0" w:space="0" w:color="auto"/>
                        <w:left w:val="none" w:sz="0" w:space="0" w:color="auto"/>
                        <w:bottom w:val="none" w:sz="0" w:space="0" w:color="auto"/>
                        <w:right w:val="none" w:sz="0" w:space="0" w:color="auto"/>
                      </w:divBdr>
                    </w:div>
                  </w:divsChild>
                </w:div>
                <w:div w:id="1577278876">
                  <w:marLeft w:val="0"/>
                  <w:marRight w:val="0"/>
                  <w:marTop w:val="0"/>
                  <w:marBottom w:val="0"/>
                  <w:divBdr>
                    <w:top w:val="none" w:sz="0" w:space="0" w:color="auto"/>
                    <w:left w:val="none" w:sz="0" w:space="0" w:color="auto"/>
                    <w:bottom w:val="none" w:sz="0" w:space="0" w:color="auto"/>
                    <w:right w:val="none" w:sz="0" w:space="0" w:color="auto"/>
                  </w:divBdr>
                  <w:divsChild>
                    <w:div w:id="1017925456">
                      <w:marLeft w:val="0"/>
                      <w:marRight w:val="0"/>
                      <w:marTop w:val="0"/>
                      <w:marBottom w:val="0"/>
                      <w:divBdr>
                        <w:top w:val="none" w:sz="0" w:space="0" w:color="auto"/>
                        <w:left w:val="none" w:sz="0" w:space="0" w:color="auto"/>
                        <w:bottom w:val="none" w:sz="0" w:space="0" w:color="auto"/>
                        <w:right w:val="none" w:sz="0" w:space="0" w:color="auto"/>
                      </w:divBdr>
                    </w:div>
                  </w:divsChild>
                </w:div>
                <w:div w:id="1584951894">
                  <w:marLeft w:val="0"/>
                  <w:marRight w:val="0"/>
                  <w:marTop w:val="0"/>
                  <w:marBottom w:val="0"/>
                  <w:divBdr>
                    <w:top w:val="none" w:sz="0" w:space="0" w:color="auto"/>
                    <w:left w:val="none" w:sz="0" w:space="0" w:color="auto"/>
                    <w:bottom w:val="none" w:sz="0" w:space="0" w:color="auto"/>
                    <w:right w:val="none" w:sz="0" w:space="0" w:color="auto"/>
                  </w:divBdr>
                  <w:divsChild>
                    <w:div w:id="1601988424">
                      <w:marLeft w:val="0"/>
                      <w:marRight w:val="0"/>
                      <w:marTop w:val="0"/>
                      <w:marBottom w:val="0"/>
                      <w:divBdr>
                        <w:top w:val="none" w:sz="0" w:space="0" w:color="auto"/>
                        <w:left w:val="none" w:sz="0" w:space="0" w:color="auto"/>
                        <w:bottom w:val="none" w:sz="0" w:space="0" w:color="auto"/>
                        <w:right w:val="none" w:sz="0" w:space="0" w:color="auto"/>
                      </w:divBdr>
                    </w:div>
                  </w:divsChild>
                </w:div>
                <w:div w:id="1587881981">
                  <w:marLeft w:val="0"/>
                  <w:marRight w:val="0"/>
                  <w:marTop w:val="0"/>
                  <w:marBottom w:val="0"/>
                  <w:divBdr>
                    <w:top w:val="none" w:sz="0" w:space="0" w:color="auto"/>
                    <w:left w:val="none" w:sz="0" w:space="0" w:color="auto"/>
                    <w:bottom w:val="none" w:sz="0" w:space="0" w:color="auto"/>
                    <w:right w:val="none" w:sz="0" w:space="0" w:color="auto"/>
                  </w:divBdr>
                  <w:divsChild>
                    <w:div w:id="592131949">
                      <w:marLeft w:val="0"/>
                      <w:marRight w:val="0"/>
                      <w:marTop w:val="0"/>
                      <w:marBottom w:val="0"/>
                      <w:divBdr>
                        <w:top w:val="none" w:sz="0" w:space="0" w:color="auto"/>
                        <w:left w:val="none" w:sz="0" w:space="0" w:color="auto"/>
                        <w:bottom w:val="none" w:sz="0" w:space="0" w:color="auto"/>
                        <w:right w:val="none" w:sz="0" w:space="0" w:color="auto"/>
                      </w:divBdr>
                    </w:div>
                  </w:divsChild>
                </w:div>
                <w:div w:id="1590699197">
                  <w:marLeft w:val="0"/>
                  <w:marRight w:val="0"/>
                  <w:marTop w:val="0"/>
                  <w:marBottom w:val="0"/>
                  <w:divBdr>
                    <w:top w:val="none" w:sz="0" w:space="0" w:color="auto"/>
                    <w:left w:val="none" w:sz="0" w:space="0" w:color="auto"/>
                    <w:bottom w:val="none" w:sz="0" w:space="0" w:color="auto"/>
                    <w:right w:val="none" w:sz="0" w:space="0" w:color="auto"/>
                  </w:divBdr>
                  <w:divsChild>
                    <w:div w:id="1056860333">
                      <w:marLeft w:val="0"/>
                      <w:marRight w:val="0"/>
                      <w:marTop w:val="0"/>
                      <w:marBottom w:val="0"/>
                      <w:divBdr>
                        <w:top w:val="none" w:sz="0" w:space="0" w:color="auto"/>
                        <w:left w:val="none" w:sz="0" w:space="0" w:color="auto"/>
                        <w:bottom w:val="none" w:sz="0" w:space="0" w:color="auto"/>
                        <w:right w:val="none" w:sz="0" w:space="0" w:color="auto"/>
                      </w:divBdr>
                    </w:div>
                  </w:divsChild>
                </w:div>
                <w:div w:id="1610507811">
                  <w:marLeft w:val="0"/>
                  <w:marRight w:val="0"/>
                  <w:marTop w:val="0"/>
                  <w:marBottom w:val="0"/>
                  <w:divBdr>
                    <w:top w:val="none" w:sz="0" w:space="0" w:color="auto"/>
                    <w:left w:val="none" w:sz="0" w:space="0" w:color="auto"/>
                    <w:bottom w:val="none" w:sz="0" w:space="0" w:color="auto"/>
                    <w:right w:val="none" w:sz="0" w:space="0" w:color="auto"/>
                  </w:divBdr>
                  <w:divsChild>
                    <w:div w:id="1717460544">
                      <w:marLeft w:val="0"/>
                      <w:marRight w:val="0"/>
                      <w:marTop w:val="0"/>
                      <w:marBottom w:val="0"/>
                      <w:divBdr>
                        <w:top w:val="none" w:sz="0" w:space="0" w:color="auto"/>
                        <w:left w:val="none" w:sz="0" w:space="0" w:color="auto"/>
                        <w:bottom w:val="none" w:sz="0" w:space="0" w:color="auto"/>
                        <w:right w:val="none" w:sz="0" w:space="0" w:color="auto"/>
                      </w:divBdr>
                    </w:div>
                  </w:divsChild>
                </w:div>
                <w:div w:id="1611861594">
                  <w:marLeft w:val="0"/>
                  <w:marRight w:val="0"/>
                  <w:marTop w:val="0"/>
                  <w:marBottom w:val="0"/>
                  <w:divBdr>
                    <w:top w:val="none" w:sz="0" w:space="0" w:color="auto"/>
                    <w:left w:val="none" w:sz="0" w:space="0" w:color="auto"/>
                    <w:bottom w:val="none" w:sz="0" w:space="0" w:color="auto"/>
                    <w:right w:val="none" w:sz="0" w:space="0" w:color="auto"/>
                  </w:divBdr>
                  <w:divsChild>
                    <w:div w:id="623538934">
                      <w:marLeft w:val="0"/>
                      <w:marRight w:val="0"/>
                      <w:marTop w:val="0"/>
                      <w:marBottom w:val="0"/>
                      <w:divBdr>
                        <w:top w:val="none" w:sz="0" w:space="0" w:color="auto"/>
                        <w:left w:val="none" w:sz="0" w:space="0" w:color="auto"/>
                        <w:bottom w:val="none" w:sz="0" w:space="0" w:color="auto"/>
                        <w:right w:val="none" w:sz="0" w:space="0" w:color="auto"/>
                      </w:divBdr>
                    </w:div>
                  </w:divsChild>
                </w:div>
                <w:div w:id="1615749084">
                  <w:marLeft w:val="0"/>
                  <w:marRight w:val="0"/>
                  <w:marTop w:val="0"/>
                  <w:marBottom w:val="0"/>
                  <w:divBdr>
                    <w:top w:val="none" w:sz="0" w:space="0" w:color="auto"/>
                    <w:left w:val="none" w:sz="0" w:space="0" w:color="auto"/>
                    <w:bottom w:val="none" w:sz="0" w:space="0" w:color="auto"/>
                    <w:right w:val="none" w:sz="0" w:space="0" w:color="auto"/>
                  </w:divBdr>
                  <w:divsChild>
                    <w:div w:id="133573524">
                      <w:marLeft w:val="0"/>
                      <w:marRight w:val="0"/>
                      <w:marTop w:val="0"/>
                      <w:marBottom w:val="0"/>
                      <w:divBdr>
                        <w:top w:val="none" w:sz="0" w:space="0" w:color="auto"/>
                        <w:left w:val="none" w:sz="0" w:space="0" w:color="auto"/>
                        <w:bottom w:val="none" w:sz="0" w:space="0" w:color="auto"/>
                        <w:right w:val="none" w:sz="0" w:space="0" w:color="auto"/>
                      </w:divBdr>
                    </w:div>
                  </w:divsChild>
                </w:div>
                <w:div w:id="1621036133">
                  <w:marLeft w:val="0"/>
                  <w:marRight w:val="0"/>
                  <w:marTop w:val="0"/>
                  <w:marBottom w:val="0"/>
                  <w:divBdr>
                    <w:top w:val="none" w:sz="0" w:space="0" w:color="auto"/>
                    <w:left w:val="none" w:sz="0" w:space="0" w:color="auto"/>
                    <w:bottom w:val="none" w:sz="0" w:space="0" w:color="auto"/>
                    <w:right w:val="none" w:sz="0" w:space="0" w:color="auto"/>
                  </w:divBdr>
                  <w:divsChild>
                    <w:div w:id="396974539">
                      <w:marLeft w:val="0"/>
                      <w:marRight w:val="0"/>
                      <w:marTop w:val="0"/>
                      <w:marBottom w:val="0"/>
                      <w:divBdr>
                        <w:top w:val="none" w:sz="0" w:space="0" w:color="auto"/>
                        <w:left w:val="none" w:sz="0" w:space="0" w:color="auto"/>
                        <w:bottom w:val="none" w:sz="0" w:space="0" w:color="auto"/>
                        <w:right w:val="none" w:sz="0" w:space="0" w:color="auto"/>
                      </w:divBdr>
                    </w:div>
                  </w:divsChild>
                </w:div>
                <w:div w:id="1626427870">
                  <w:marLeft w:val="0"/>
                  <w:marRight w:val="0"/>
                  <w:marTop w:val="0"/>
                  <w:marBottom w:val="0"/>
                  <w:divBdr>
                    <w:top w:val="none" w:sz="0" w:space="0" w:color="auto"/>
                    <w:left w:val="none" w:sz="0" w:space="0" w:color="auto"/>
                    <w:bottom w:val="none" w:sz="0" w:space="0" w:color="auto"/>
                    <w:right w:val="none" w:sz="0" w:space="0" w:color="auto"/>
                  </w:divBdr>
                  <w:divsChild>
                    <w:div w:id="1267271122">
                      <w:marLeft w:val="0"/>
                      <w:marRight w:val="0"/>
                      <w:marTop w:val="0"/>
                      <w:marBottom w:val="0"/>
                      <w:divBdr>
                        <w:top w:val="none" w:sz="0" w:space="0" w:color="auto"/>
                        <w:left w:val="none" w:sz="0" w:space="0" w:color="auto"/>
                        <w:bottom w:val="none" w:sz="0" w:space="0" w:color="auto"/>
                        <w:right w:val="none" w:sz="0" w:space="0" w:color="auto"/>
                      </w:divBdr>
                    </w:div>
                  </w:divsChild>
                </w:div>
                <w:div w:id="1626740312">
                  <w:marLeft w:val="0"/>
                  <w:marRight w:val="0"/>
                  <w:marTop w:val="0"/>
                  <w:marBottom w:val="0"/>
                  <w:divBdr>
                    <w:top w:val="none" w:sz="0" w:space="0" w:color="auto"/>
                    <w:left w:val="none" w:sz="0" w:space="0" w:color="auto"/>
                    <w:bottom w:val="none" w:sz="0" w:space="0" w:color="auto"/>
                    <w:right w:val="none" w:sz="0" w:space="0" w:color="auto"/>
                  </w:divBdr>
                  <w:divsChild>
                    <w:div w:id="1628120342">
                      <w:marLeft w:val="0"/>
                      <w:marRight w:val="0"/>
                      <w:marTop w:val="0"/>
                      <w:marBottom w:val="0"/>
                      <w:divBdr>
                        <w:top w:val="none" w:sz="0" w:space="0" w:color="auto"/>
                        <w:left w:val="none" w:sz="0" w:space="0" w:color="auto"/>
                        <w:bottom w:val="none" w:sz="0" w:space="0" w:color="auto"/>
                        <w:right w:val="none" w:sz="0" w:space="0" w:color="auto"/>
                      </w:divBdr>
                    </w:div>
                  </w:divsChild>
                </w:div>
                <w:div w:id="1626765645">
                  <w:marLeft w:val="0"/>
                  <w:marRight w:val="0"/>
                  <w:marTop w:val="0"/>
                  <w:marBottom w:val="0"/>
                  <w:divBdr>
                    <w:top w:val="none" w:sz="0" w:space="0" w:color="auto"/>
                    <w:left w:val="none" w:sz="0" w:space="0" w:color="auto"/>
                    <w:bottom w:val="none" w:sz="0" w:space="0" w:color="auto"/>
                    <w:right w:val="none" w:sz="0" w:space="0" w:color="auto"/>
                  </w:divBdr>
                  <w:divsChild>
                    <w:div w:id="1848981140">
                      <w:marLeft w:val="0"/>
                      <w:marRight w:val="0"/>
                      <w:marTop w:val="0"/>
                      <w:marBottom w:val="0"/>
                      <w:divBdr>
                        <w:top w:val="none" w:sz="0" w:space="0" w:color="auto"/>
                        <w:left w:val="none" w:sz="0" w:space="0" w:color="auto"/>
                        <w:bottom w:val="none" w:sz="0" w:space="0" w:color="auto"/>
                        <w:right w:val="none" w:sz="0" w:space="0" w:color="auto"/>
                      </w:divBdr>
                    </w:div>
                  </w:divsChild>
                </w:div>
                <w:div w:id="1631471915">
                  <w:marLeft w:val="0"/>
                  <w:marRight w:val="0"/>
                  <w:marTop w:val="0"/>
                  <w:marBottom w:val="0"/>
                  <w:divBdr>
                    <w:top w:val="none" w:sz="0" w:space="0" w:color="auto"/>
                    <w:left w:val="none" w:sz="0" w:space="0" w:color="auto"/>
                    <w:bottom w:val="none" w:sz="0" w:space="0" w:color="auto"/>
                    <w:right w:val="none" w:sz="0" w:space="0" w:color="auto"/>
                  </w:divBdr>
                  <w:divsChild>
                    <w:div w:id="2117018989">
                      <w:marLeft w:val="0"/>
                      <w:marRight w:val="0"/>
                      <w:marTop w:val="0"/>
                      <w:marBottom w:val="0"/>
                      <w:divBdr>
                        <w:top w:val="none" w:sz="0" w:space="0" w:color="auto"/>
                        <w:left w:val="none" w:sz="0" w:space="0" w:color="auto"/>
                        <w:bottom w:val="none" w:sz="0" w:space="0" w:color="auto"/>
                        <w:right w:val="none" w:sz="0" w:space="0" w:color="auto"/>
                      </w:divBdr>
                    </w:div>
                  </w:divsChild>
                </w:div>
                <w:div w:id="1631746746">
                  <w:marLeft w:val="0"/>
                  <w:marRight w:val="0"/>
                  <w:marTop w:val="0"/>
                  <w:marBottom w:val="0"/>
                  <w:divBdr>
                    <w:top w:val="none" w:sz="0" w:space="0" w:color="auto"/>
                    <w:left w:val="none" w:sz="0" w:space="0" w:color="auto"/>
                    <w:bottom w:val="none" w:sz="0" w:space="0" w:color="auto"/>
                    <w:right w:val="none" w:sz="0" w:space="0" w:color="auto"/>
                  </w:divBdr>
                  <w:divsChild>
                    <w:div w:id="625234559">
                      <w:marLeft w:val="0"/>
                      <w:marRight w:val="0"/>
                      <w:marTop w:val="0"/>
                      <w:marBottom w:val="0"/>
                      <w:divBdr>
                        <w:top w:val="none" w:sz="0" w:space="0" w:color="auto"/>
                        <w:left w:val="none" w:sz="0" w:space="0" w:color="auto"/>
                        <w:bottom w:val="none" w:sz="0" w:space="0" w:color="auto"/>
                        <w:right w:val="none" w:sz="0" w:space="0" w:color="auto"/>
                      </w:divBdr>
                    </w:div>
                  </w:divsChild>
                </w:div>
                <w:div w:id="1642465718">
                  <w:marLeft w:val="0"/>
                  <w:marRight w:val="0"/>
                  <w:marTop w:val="0"/>
                  <w:marBottom w:val="0"/>
                  <w:divBdr>
                    <w:top w:val="none" w:sz="0" w:space="0" w:color="auto"/>
                    <w:left w:val="none" w:sz="0" w:space="0" w:color="auto"/>
                    <w:bottom w:val="none" w:sz="0" w:space="0" w:color="auto"/>
                    <w:right w:val="none" w:sz="0" w:space="0" w:color="auto"/>
                  </w:divBdr>
                  <w:divsChild>
                    <w:div w:id="1337079044">
                      <w:marLeft w:val="0"/>
                      <w:marRight w:val="0"/>
                      <w:marTop w:val="0"/>
                      <w:marBottom w:val="0"/>
                      <w:divBdr>
                        <w:top w:val="none" w:sz="0" w:space="0" w:color="auto"/>
                        <w:left w:val="none" w:sz="0" w:space="0" w:color="auto"/>
                        <w:bottom w:val="none" w:sz="0" w:space="0" w:color="auto"/>
                        <w:right w:val="none" w:sz="0" w:space="0" w:color="auto"/>
                      </w:divBdr>
                    </w:div>
                  </w:divsChild>
                </w:div>
                <w:div w:id="1643150646">
                  <w:marLeft w:val="0"/>
                  <w:marRight w:val="0"/>
                  <w:marTop w:val="0"/>
                  <w:marBottom w:val="0"/>
                  <w:divBdr>
                    <w:top w:val="none" w:sz="0" w:space="0" w:color="auto"/>
                    <w:left w:val="none" w:sz="0" w:space="0" w:color="auto"/>
                    <w:bottom w:val="none" w:sz="0" w:space="0" w:color="auto"/>
                    <w:right w:val="none" w:sz="0" w:space="0" w:color="auto"/>
                  </w:divBdr>
                  <w:divsChild>
                    <w:div w:id="909969021">
                      <w:marLeft w:val="0"/>
                      <w:marRight w:val="0"/>
                      <w:marTop w:val="0"/>
                      <w:marBottom w:val="0"/>
                      <w:divBdr>
                        <w:top w:val="none" w:sz="0" w:space="0" w:color="auto"/>
                        <w:left w:val="none" w:sz="0" w:space="0" w:color="auto"/>
                        <w:bottom w:val="none" w:sz="0" w:space="0" w:color="auto"/>
                        <w:right w:val="none" w:sz="0" w:space="0" w:color="auto"/>
                      </w:divBdr>
                    </w:div>
                  </w:divsChild>
                </w:div>
                <w:div w:id="1648969826">
                  <w:marLeft w:val="0"/>
                  <w:marRight w:val="0"/>
                  <w:marTop w:val="0"/>
                  <w:marBottom w:val="0"/>
                  <w:divBdr>
                    <w:top w:val="none" w:sz="0" w:space="0" w:color="auto"/>
                    <w:left w:val="none" w:sz="0" w:space="0" w:color="auto"/>
                    <w:bottom w:val="none" w:sz="0" w:space="0" w:color="auto"/>
                    <w:right w:val="none" w:sz="0" w:space="0" w:color="auto"/>
                  </w:divBdr>
                  <w:divsChild>
                    <w:div w:id="1628395051">
                      <w:marLeft w:val="0"/>
                      <w:marRight w:val="0"/>
                      <w:marTop w:val="0"/>
                      <w:marBottom w:val="0"/>
                      <w:divBdr>
                        <w:top w:val="none" w:sz="0" w:space="0" w:color="auto"/>
                        <w:left w:val="none" w:sz="0" w:space="0" w:color="auto"/>
                        <w:bottom w:val="none" w:sz="0" w:space="0" w:color="auto"/>
                        <w:right w:val="none" w:sz="0" w:space="0" w:color="auto"/>
                      </w:divBdr>
                    </w:div>
                  </w:divsChild>
                </w:div>
                <w:div w:id="1656841208">
                  <w:marLeft w:val="0"/>
                  <w:marRight w:val="0"/>
                  <w:marTop w:val="0"/>
                  <w:marBottom w:val="0"/>
                  <w:divBdr>
                    <w:top w:val="none" w:sz="0" w:space="0" w:color="auto"/>
                    <w:left w:val="none" w:sz="0" w:space="0" w:color="auto"/>
                    <w:bottom w:val="none" w:sz="0" w:space="0" w:color="auto"/>
                    <w:right w:val="none" w:sz="0" w:space="0" w:color="auto"/>
                  </w:divBdr>
                  <w:divsChild>
                    <w:div w:id="1078599888">
                      <w:marLeft w:val="0"/>
                      <w:marRight w:val="0"/>
                      <w:marTop w:val="0"/>
                      <w:marBottom w:val="0"/>
                      <w:divBdr>
                        <w:top w:val="none" w:sz="0" w:space="0" w:color="auto"/>
                        <w:left w:val="none" w:sz="0" w:space="0" w:color="auto"/>
                        <w:bottom w:val="none" w:sz="0" w:space="0" w:color="auto"/>
                        <w:right w:val="none" w:sz="0" w:space="0" w:color="auto"/>
                      </w:divBdr>
                    </w:div>
                  </w:divsChild>
                </w:div>
                <w:div w:id="1662661322">
                  <w:marLeft w:val="0"/>
                  <w:marRight w:val="0"/>
                  <w:marTop w:val="0"/>
                  <w:marBottom w:val="0"/>
                  <w:divBdr>
                    <w:top w:val="none" w:sz="0" w:space="0" w:color="auto"/>
                    <w:left w:val="none" w:sz="0" w:space="0" w:color="auto"/>
                    <w:bottom w:val="none" w:sz="0" w:space="0" w:color="auto"/>
                    <w:right w:val="none" w:sz="0" w:space="0" w:color="auto"/>
                  </w:divBdr>
                  <w:divsChild>
                    <w:div w:id="1285235353">
                      <w:marLeft w:val="0"/>
                      <w:marRight w:val="0"/>
                      <w:marTop w:val="0"/>
                      <w:marBottom w:val="0"/>
                      <w:divBdr>
                        <w:top w:val="none" w:sz="0" w:space="0" w:color="auto"/>
                        <w:left w:val="none" w:sz="0" w:space="0" w:color="auto"/>
                        <w:bottom w:val="none" w:sz="0" w:space="0" w:color="auto"/>
                        <w:right w:val="none" w:sz="0" w:space="0" w:color="auto"/>
                      </w:divBdr>
                    </w:div>
                  </w:divsChild>
                </w:div>
                <w:div w:id="1672638465">
                  <w:marLeft w:val="0"/>
                  <w:marRight w:val="0"/>
                  <w:marTop w:val="0"/>
                  <w:marBottom w:val="0"/>
                  <w:divBdr>
                    <w:top w:val="none" w:sz="0" w:space="0" w:color="auto"/>
                    <w:left w:val="none" w:sz="0" w:space="0" w:color="auto"/>
                    <w:bottom w:val="none" w:sz="0" w:space="0" w:color="auto"/>
                    <w:right w:val="none" w:sz="0" w:space="0" w:color="auto"/>
                  </w:divBdr>
                  <w:divsChild>
                    <w:div w:id="955016822">
                      <w:marLeft w:val="0"/>
                      <w:marRight w:val="0"/>
                      <w:marTop w:val="0"/>
                      <w:marBottom w:val="0"/>
                      <w:divBdr>
                        <w:top w:val="none" w:sz="0" w:space="0" w:color="auto"/>
                        <w:left w:val="none" w:sz="0" w:space="0" w:color="auto"/>
                        <w:bottom w:val="none" w:sz="0" w:space="0" w:color="auto"/>
                        <w:right w:val="none" w:sz="0" w:space="0" w:color="auto"/>
                      </w:divBdr>
                    </w:div>
                  </w:divsChild>
                </w:div>
                <w:div w:id="1673489000">
                  <w:marLeft w:val="0"/>
                  <w:marRight w:val="0"/>
                  <w:marTop w:val="0"/>
                  <w:marBottom w:val="0"/>
                  <w:divBdr>
                    <w:top w:val="none" w:sz="0" w:space="0" w:color="auto"/>
                    <w:left w:val="none" w:sz="0" w:space="0" w:color="auto"/>
                    <w:bottom w:val="none" w:sz="0" w:space="0" w:color="auto"/>
                    <w:right w:val="none" w:sz="0" w:space="0" w:color="auto"/>
                  </w:divBdr>
                  <w:divsChild>
                    <w:div w:id="1415278979">
                      <w:marLeft w:val="0"/>
                      <w:marRight w:val="0"/>
                      <w:marTop w:val="0"/>
                      <w:marBottom w:val="0"/>
                      <w:divBdr>
                        <w:top w:val="none" w:sz="0" w:space="0" w:color="auto"/>
                        <w:left w:val="none" w:sz="0" w:space="0" w:color="auto"/>
                        <w:bottom w:val="none" w:sz="0" w:space="0" w:color="auto"/>
                        <w:right w:val="none" w:sz="0" w:space="0" w:color="auto"/>
                      </w:divBdr>
                    </w:div>
                  </w:divsChild>
                </w:div>
                <w:div w:id="1675179828">
                  <w:marLeft w:val="0"/>
                  <w:marRight w:val="0"/>
                  <w:marTop w:val="0"/>
                  <w:marBottom w:val="0"/>
                  <w:divBdr>
                    <w:top w:val="none" w:sz="0" w:space="0" w:color="auto"/>
                    <w:left w:val="none" w:sz="0" w:space="0" w:color="auto"/>
                    <w:bottom w:val="none" w:sz="0" w:space="0" w:color="auto"/>
                    <w:right w:val="none" w:sz="0" w:space="0" w:color="auto"/>
                  </w:divBdr>
                  <w:divsChild>
                    <w:div w:id="1504859341">
                      <w:marLeft w:val="0"/>
                      <w:marRight w:val="0"/>
                      <w:marTop w:val="0"/>
                      <w:marBottom w:val="0"/>
                      <w:divBdr>
                        <w:top w:val="none" w:sz="0" w:space="0" w:color="auto"/>
                        <w:left w:val="none" w:sz="0" w:space="0" w:color="auto"/>
                        <w:bottom w:val="none" w:sz="0" w:space="0" w:color="auto"/>
                        <w:right w:val="none" w:sz="0" w:space="0" w:color="auto"/>
                      </w:divBdr>
                    </w:div>
                  </w:divsChild>
                </w:div>
                <w:div w:id="1681929899">
                  <w:marLeft w:val="0"/>
                  <w:marRight w:val="0"/>
                  <w:marTop w:val="0"/>
                  <w:marBottom w:val="0"/>
                  <w:divBdr>
                    <w:top w:val="none" w:sz="0" w:space="0" w:color="auto"/>
                    <w:left w:val="none" w:sz="0" w:space="0" w:color="auto"/>
                    <w:bottom w:val="none" w:sz="0" w:space="0" w:color="auto"/>
                    <w:right w:val="none" w:sz="0" w:space="0" w:color="auto"/>
                  </w:divBdr>
                  <w:divsChild>
                    <w:div w:id="1641574664">
                      <w:marLeft w:val="0"/>
                      <w:marRight w:val="0"/>
                      <w:marTop w:val="0"/>
                      <w:marBottom w:val="0"/>
                      <w:divBdr>
                        <w:top w:val="none" w:sz="0" w:space="0" w:color="auto"/>
                        <w:left w:val="none" w:sz="0" w:space="0" w:color="auto"/>
                        <w:bottom w:val="none" w:sz="0" w:space="0" w:color="auto"/>
                        <w:right w:val="none" w:sz="0" w:space="0" w:color="auto"/>
                      </w:divBdr>
                    </w:div>
                  </w:divsChild>
                </w:div>
                <w:div w:id="1684749125">
                  <w:marLeft w:val="0"/>
                  <w:marRight w:val="0"/>
                  <w:marTop w:val="0"/>
                  <w:marBottom w:val="0"/>
                  <w:divBdr>
                    <w:top w:val="none" w:sz="0" w:space="0" w:color="auto"/>
                    <w:left w:val="none" w:sz="0" w:space="0" w:color="auto"/>
                    <w:bottom w:val="none" w:sz="0" w:space="0" w:color="auto"/>
                    <w:right w:val="none" w:sz="0" w:space="0" w:color="auto"/>
                  </w:divBdr>
                  <w:divsChild>
                    <w:div w:id="855315243">
                      <w:marLeft w:val="0"/>
                      <w:marRight w:val="0"/>
                      <w:marTop w:val="0"/>
                      <w:marBottom w:val="0"/>
                      <w:divBdr>
                        <w:top w:val="none" w:sz="0" w:space="0" w:color="auto"/>
                        <w:left w:val="none" w:sz="0" w:space="0" w:color="auto"/>
                        <w:bottom w:val="none" w:sz="0" w:space="0" w:color="auto"/>
                        <w:right w:val="none" w:sz="0" w:space="0" w:color="auto"/>
                      </w:divBdr>
                    </w:div>
                  </w:divsChild>
                </w:div>
                <w:div w:id="1687361253">
                  <w:marLeft w:val="0"/>
                  <w:marRight w:val="0"/>
                  <w:marTop w:val="0"/>
                  <w:marBottom w:val="0"/>
                  <w:divBdr>
                    <w:top w:val="none" w:sz="0" w:space="0" w:color="auto"/>
                    <w:left w:val="none" w:sz="0" w:space="0" w:color="auto"/>
                    <w:bottom w:val="none" w:sz="0" w:space="0" w:color="auto"/>
                    <w:right w:val="none" w:sz="0" w:space="0" w:color="auto"/>
                  </w:divBdr>
                  <w:divsChild>
                    <w:div w:id="1029141678">
                      <w:marLeft w:val="0"/>
                      <w:marRight w:val="0"/>
                      <w:marTop w:val="0"/>
                      <w:marBottom w:val="0"/>
                      <w:divBdr>
                        <w:top w:val="none" w:sz="0" w:space="0" w:color="auto"/>
                        <w:left w:val="none" w:sz="0" w:space="0" w:color="auto"/>
                        <w:bottom w:val="none" w:sz="0" w:space="0" w:color="auto"/>
                        <w:right w:val="none" w:sz="0" w:space="0" w:color="auto"/>
                      </w:divBdr>
                    </w:div>
                  </w:divsChild>
                </w:div>
                <w:div w:id="1694066907">
                  <w:marLeft w:val="0"/>
                  <w:marRight w:val="0"/>
                  <w:marTop w:val="0"/>
                  <w:marBottom w:val="0"/>
                  <w:divBdr>
                    <w:top w:val="none" w:sz="0" w:space="0" w:color="auto"/>
                    <w:left w:val="none" w:sz="0" w:space="0" w:color="auto"/>
                    <w:bottom w:val="none" w:sz="0" w:space="0" w:color="auto"/>
                    <w:right w:val="none" w:sz="0" w:space="0" w:color="auto"/>
                  </w:divBdr>
                  <w:divsChild>
                    <w:div w:id="905844453">
                      <w:marLeft w:val="0"/>
                      <w:marRight w:val="0"/>
                      <w:marTop w:val="0"/>
                      <w:marBottom w:val="0"/>
                      <w:divBdr>
                        <w:top w:val="none" w:sz="0" w:space="0" w:color="auto"/>
                        <w:left w:val="none" w:sz="0" w:space="0" w:color="auto"/>
                        <w:bottom w:val="none" w:sz="0" w:space="0" w:color="auto"/>
                        <w:right w:val="none" w:sz="0" w:space="0" w:color="auto"/>
                      </w:divBdr>
                    </w:div>
                  </w:divsChild>
                </w:div>
                <w:div w:id="1698115585">
                  <w:marLeft w:val="0"/>
                  <w:marRight w:val="0"/>
                  <w:marTop w:val="0"/>
                  <w:marBottom w:val="0"/>
                  <w:divBdr>
                    <w:top w:val="none" w:sz="0" w:space="0" w:color="auto"/>
                    <w:left w:val="none" w:sz="0" w:space="0" w:color="auto"/>
                    <w:bottom w:val="none" w:sz="0" w:space="0" w:color="auto"/>
                    <w:right w:val="none" w:sz="0" w:space="0" w:color="auto"/>
                  </w:divBdr>
                  <w:divsChild>
                    <w:div w:id="136536640">
                      <w:marLeft w:val="0"/>
                      <w:marRight w:val="0"/>
                      <w:marTop w:val="0"/>
                      <w:marBottom w:val="0"/>
                      <w:divBdr>
                        <w:top w:val="none" w:sz="0" w:space="0" w:color="auto"/>
                        <w:left w:val="none" w:sz="0" w:space="0" w:color="auto"/>
                        <w:bottom w:val="none" w:sz="0" w:space="0" w:color="auto"/>
                        <w:right w:val="none" w:sz="0" w:space="0" w:color="auto"/>
                      </w:divBdr>
                    </w:div>
                  </w:divsChild>
                </w:div>
                <w:div w:id="1699620878">
                  <w:marLeft w:val="0"/>
                  <w:marRight w:val="0"/>
                  <w:marTop w:val="0"/>
                  <w:marBottom w:val="0"/>
                  <w:divBdr>
                    <w:top w:val="none" w:sz="0" w:space="0" w:color="auto"/>
                    <w:left w:val="none" w:sz="0" w:space="0" w:color="auto"/>
                    <w:bottom w:val="none" w:sz="0" w:space="0" w:color="auto"/>
                    <w:right w:val="none" w:sz="0" w:space="0" w:color="auto"/>
                  </w:divBdr>
                  <w:divsChild>
                    <w:div w:id="1282959550">
                      <w:marLeft w:val="0"/>
                      <w:marRight w:val="0"/>
                      <w:marTop w:val="0"/>
                      <w:marBottom w:val="0"/>
                      <w:divBdr>
                        <w:top w:val="none" w:sz="0" w:space="0" w:color="auto"/>
                        <w:left w:val="none" w:sz="0" w:space="0" w:color="auto"/>
                        <w:bottom w:val="none" w:sz="0" w:space="0" w:color="auto"/>
                        <w:right w:val="none" w:sz="0" w:space="0" w:color="auto"/>
                      </w:divBdr>
                    </w:div>
                  </w:divsChild>
                </w:div>
                <w:div w:id="1700857286">
                  <w:marLeft w:val="0"/>
                  <w:marRight w:val="0"/>
                  <w:marTop w:val="0"/>
                  <w:marBottom w:val="0"/>
                  <w:divBdr>
                    <w:top w:val="none" w:sz="0" w:space="0" w:color="auto"/>
                    <w:left w:val="none" w:sz="0" w:space="0" w:color="auto"/>
                    <w:bottom w:val="none" w:sz="0" w:space="0" w:color="auto"/>
                    <w:right w:val="none" w:sz="0" w:space="0" w:color="auto"/>
                  </w:divBdr>
                  <w:divsChild>
                    <w:div w:id="1847137658">
                      <w:marLeft w:val="0"/>
                      <w:marRight w:val="0"/>
                      <w:marTop w:val="0"/>
                      <w:marBottom w:val="0"/>
                      <w:divBdr>
                        <w:top w:val="none" w:sz="0" w:space="0" w:color="auto"/>
                        <w:left w:val="none" w:sz="0" w:space="0" w:color="auto"/>
                        <w:bottom w:val="none" w:sz="0" w:space="0" w:color="auto"/>
                        <w:right w:val="none" w:sz="0" w:space="0" w:color="auto"/>
                      </w:divBdr>
                    </w:div>
                  </w:divsChild>
                </w:div>
                <w:div w:id="1701927340">
                  <w:marLeft w:val="0"/>
                  <w:marRight w:val="0"/>
                  <w:marTop w:val="0"/>
                  <w:marBottom w:val="0"/>
                  <w:divBdr>
                    <w:top w:val="none" w:sz="0" w:space="0" w:color="auto"/>
                    <w:left w:val="none" w:sz="0" w:space="0" w:color="auto"/>
                    <w:bottom w:val="none" w:sz="0" w:space="0" w:color="auto"/>
                    <w:right w:val="none" w:sz="0" w:space="0" w:color="auto"/>
                  </w:divBdr>
                  <w:divsChild>
                    <w:div w:id="885215884">
                      <w:marLeft w:val="0"/>
                      <w:marRight w:val="0"/>
                      <w:marTop w:val="0"/>
                      <w:marBottom w:val="0"/>
                      <w:divBdr>
                        <w:top w:val="none" w:sz="0" w:space="0" w:color="auto"/>
                        <w:left w:val="none" w:sz="0" w:space="0" w:color="auto"/>
                        <w:bottom w:val="none" w:sz="0" w:space="0" w:color="auto"/>
                        <w:right w:val="none" w:sz="0" w:space="0" w:color="auto"/>
                      </w:divBdr>
                    </w:div>
                  </w:divsChild>
                </w:div>
                <w:div w:id="1704093449">
                  <w:marLeft w:val="0"/>
                  <w:marRight w:val="0"/>
                  <w:marTop w:val="0"/>
                  <w:marBottom w:val="0"/>
                  <w:divBdr>
                    <w:top w:val="none" w:sz="0" w:space="0" w:color="auto"/>
                    <w:left w:val="none" w:sz="0" w:space="0" w:color="auto"/>
                    <w:bottom w:val="none" w:sz="0" w:space="0" w:color="auto"/>
                    <w:right w:val="none" w:sz="0" w:space="0" w:color="auto"/>
                  </w:divBdr>
                  <w:divsChild>
                    <w:div w:id="1339426535">
                      <w:marLeft w:val="0"/>
                      <w:marRight w:val="0"/>
                      <w:marTop w:val="0"/>
                      <w:marBottom w:val="0"/>
                      <w:divBdr>
                        <w:top w:val="none" w:sz="0" w:space="0" w:color="auto"/>
                        <w:left w:val="none" w:sz="0" w:space="0" w:color="auto"/>
                        <w:bottom w:val="none" w:sz="0" w:space="0" w:color="auto"/>
                        <w:right w:val="none" w:sz="0" w:space="0" w:color="auto"/>
                      </w:divBdr>
                    </w:div>
                  </w:divsChild>
                </w:div>
                <w:div w:id="1704667117">
                  <w:marLeft w:val="0"/>
                  <w:marRight w:val="0"/>
                  <w:marTop w:val="0"/>
                  <w:marBottom w:val="0"/>
                  <w:divBdr>
                    <w:top w:val="none" w:sz="0" w:space="0" w:color="auto"/>
                    <w:left w:val="none" w:sz="0" w:space="0" w:color="auto"/>
                    <w:bottom w:val="none" w:sz="0" w:space="0" w:color="auto"/>
                    <w:right w:val="none" w:sz="0" w:space="0" w:color="auto"/>
                  </w:divBdr>
                  <w:divsChild>
                    <w:div w:id="223834072">
                      <w:marLeft w:val="0"/>
                      <w:marRight w:val="0"/>
                      <w:marTop w:val="0"/>
                      <w:marBottom w:val="0"/>
                      <w:divBdr>
                        <w:top w:val="none" w:sz="0" w:space="0" w:color="auto"/>
                        <w:left w:val="none" w:sz="0" w:space="0" w:color="auto"/>
                        <w:bottom w:val="none" w:sz="0" w:space="0" w:color="auto"/>
                        <w:right w:val="none" w:sz="0" w:space="0" w:color="auto"/>
                      </w:divBdr>
                    </w:div>
                  </w:divsChild>
                </w:div>
                <w:div w:id="1712487217">
                  <w:marLeft w:val="0"/>
                  <w:marRight w:val="0"/>
                  <w:marTop w:val="0"/>
                  <w:marBottom w:val="0"/>
                  <w:divBdr>
                    <w:top w:val="none" w:sz="0" w:space="0" w:color="auto"/>
                    <w:left w:val="none" w:sz="0" w:space="0" w:color="auto"/>
                    <w:bottom w:val="none" w:sz="0" w:space="0" w:color="auto"/>
                    <w:right w:val="none" w:sz="0" w:space="0" w:color="auto"/>
                  </w:divBdr>
                  <w:divsChild>
                    <w:div w:id="1856576717">
                      <w:marLeft w:val="0"/>
                      <w:marRight w:val="0"/>
                      <w:marTop w:val="0"/>
                      <w:marBottom w:val="0"/>
                      <w:divBdr>
                        <w:top w:val="none" w:sz="0" w:space="0" w:color="auto"/>
                        <w:left w:val="none" w:sz="0" w:space="0" w:color="auto"/>
                        <w:bottom w:val="none" w:sz="0" w:space="0" w:color="auto"/>
                        <w:right w:val="none" w:sz="0" w:space="0" w:color="auto"/>
                      </w:divBdr>
                    </w:div>
                  </w:divsChild>
                </w:div>
                <w:div w:id="1713574786">
                  <w:marLeft w:val="0"/>
                  <w:marRight w:val="0"/>
                  <w:marTop w:val="0"/>
                  <w:marBottom w:val="0"/>
                  <w:divBdr>
                    <w:top w:val="none" w:sz="0" w:space="0" w:color="auto"/>
                    <w:left w:val="none" w:sz="0" w:space="0" w:color="auto"/>
                    <w:bottom w:val="none" w:sz="0" w:space="0" w:color="auto"/>
                    <w:right w:val="none" w:sz="0" w:space="0" w:color="auto"/>
                  </w:divBdr>
                  <w:divsChild>
                    <w:div w:id="1589540098">
                      <w:marLeft w:val="0"/>
                      <w:marRight w:val="0"/>
                      <w:marTop w:val="0"/>
                      <w:marBottom w:val="0"/>
                      <w:divBdr>
                        <w:top w:val="none" w:sz="0" w:space="0" w:color="auto"/>
                        <w:left w:val="none" w:sz="0" w:space="0" w:color="auto"/>
                        <w:bottom w:val="none" w:sz="0" w:space="0" w:color="auto"/>
                        <w:right w:val="none" w:sz="0" w:space="0" w:color="auto"/>
                      </w:divBdr>
                    </w:div>
                  </w:divsChild>
                </w:div>
                <w:div w:id="1725641359">
                  <w:marLeft w:val="0"/>
                  <w:marRight w:val="0"/>
                  <w:marTop w:val="0"/>
                  <w:marBottom w:val="0"/>
                  <w:divBdr>
                    <w:top w:val="none" w:sz="0" w:space="0" w:color="auto"/>
                    <w:left w:val="none" w:sz="0" w:space="0" w:color="auto"/>
                    <w:bottom w:val="none" w:sz="0" w:space="0" w:color="auto"/>
                    <w:right w:val="none" w:sz="0" w:space="0" w:color="auto"/>
                  </w:divBdr>
                  <w:divsChild>
                    <w:div w:id="1269503127">
                      <w:marLeft w:val="0"/>
                      <w:marRight w:val="0"/>
                      <w:marTop w:val="0"/>
                      <w:marBottom w:val="0"/>
                      <w:divBdr>
                        <w:top w:val="none" w:sz="0" w:space="0" w:color="auto"/>
                        <w:left w:val="none" w:sz="0" w:space="0" w:color="auto"/>
                        <w:bottom w:val="none" w:sz="0" w:space="0" w:color="auto"/>
                        <w:right w:val="none" w:sz="0" w:space="0" w:color="auto"/>
                      </w:divBdr>
                    </w:div>
                  </w:divsChild>
                </w:div>
                <w:div w:id="1730150992">
                  <w:marLeft w:val="0"/>
                  <w:marRight w:val="0"/>
                  <w:marTop w:val="0"/>
                  <w:marBottom w:val="0"/>
                  <w:divBdr>
                    <w:top w:val="none" w:sz="0" w:space="0" w:color="auto"/>
                    <w:left w:val="none" w:sz="0" w:space="0" w:color="auto"/>
                    <w:bottom w:val="none" w:sz="0" w:space="0" w:color="auto"/>
                    <w:right w:val="none" w:sz="0" w:space="0" w:color="auto"/>
                  </w:divBdr>
                  <w:divsChild>
                    <w:div w:id="1888099369">
                      <w:marLeft w:val="0"/>
                      <w:marRight w:val="0"/>
                      <w:marTop w:val="0"/>
                      <w:marBottom w:val="0"/>
                      <w:divBdr>
                        <w:top w:val="none" w:sz="0" w:space="0" w:color="auto"/>
                        <w:left w:val="none" w:sz="0" w:space="0" w:color="auto"/>
                        <w:bottom w:val="none" w:sz="0" w:space="0" w:color="auto"/>
                        <w:right w:val="none" w:sz="0" w:space="0" w:color="auto"/>
                      </w:divBdr>
                    </w:div>
                  </w:divsChild>
                </w:div>
                <w:div w:id="1732919842">
                  <w:marLeft w:val="0"/>
                  <w:marRight w:val="0"/>
                  <w:marTop w:val="0"/>
                  <w:marBottom w:val="0"/>
                  <w:divBdr>
                    <w:top w:val="none" w:sz="0" w:space="0" w:color="auto"/>
                    <w:left w:val="none" w:sz="0" w:space="0" w:color="auto"/>
                    <w:bottom w:val="none" w:sz="0" w:space="0" w:color="auto"/>
                    <w:right w:val="none" w:sz="0" w:space="0" w:color="auto"/>
                  </w:divBdr>
                  <w:divsChild>
                    <w:div w:id="416052518">
                      <w:marLeft w:val="0"/>
                      <w:marRight w:val="0"/>
                      <w:marTop w:val="0"/>
                      <w:marBottom w:val="0"/>
                      <w:divBdr>
                        <w:top w:val="none" w:sz="0" w:space="0" w:color="auto"/>
                        <w:left w:val="none" w:sz="0" w:space="0" w:color="auto"/>
                        <w:bottom w:val="none" w:sz="0" w:space="0" w:color="auto"/>
                        <w:right w:val="none" w:sz="0" w:space="0" w:color="auto"/>
                      </w:divBdr>
                    </w:div>
                  </w:divsChild>
                </w:div>
                <w:div w:id="1733581330">
                  <w:marLeft w:val="0"/>
                  <w:marRight w:val="0"/>
                  <w:marTop w:val="0"/>
                  <w:marBottom w:val="0"/>
                  <w:divBdr>
                    <w:top w:val="none" w:sz="0" w:space="0" w:color="auto"/>
                    <w:left w:val="none" w:sz="0" w:space="0" w:color="auto"/>
                    <w:bottom w:val="none" w:sz="0" w:space="0" w:color="auto"/>
                    <w:right w:val="none" w:sz="0" w:space="0" w:color="auto"/>
                  </w:divBdr>
                  <w:divsChild>
                    <w:div w:id="1999839794">
                      <w:marLeft w:val="0"/>
                      <w:marRight w:val="0"/>
                      <w:marTop w:val="0"/>
                      <w:marBottom w:val="0"/>
                      <w:divBdr>
                        <w:top w:val="none" w:sz="0" w:space="0" w:color="auto"/>
                        <w:left w:val="none" w:sz="0" w:space="0" w:color="auto"/>
                        <w:bottom w:val="none" w:sz="0" w:space="0" w:color="auto"/>
                        <w:right w:val="none" w:sz="0" w:space="0" w:color="auto"/>
                      </w:divBdr>
                    </w:div>
                  </w:divsChild>
                </w:div>
                <w:div w:id="1736584498">
                  <w:marLeft w:val="0"/>
                  <w:marRight w:val="0"/>
                  <w:marTop w:val="0"/>
                  <w:marBottom w:val="0"/>
                  <w:divBdr>
                    <w:top w:val="none" w:sz="0" w:space="0" w:color="auto"/>
                    <w:left w:val="none" w:sz="0" w:space="0" w:color="auto"/>
                    <w:bottom w:val="none" w:sz="0" w:space="0" w:color="auto"/>
                    <w:right w:val="none" w:sz="0" w:space="0" w:color="auto"/>
                  </w:divBdr>
                  <w:divsChild>
                    <w:div w:id="1584795044">
                      <w:marLeft w:val="0"/>
                      <w:marRight w:val="0"/>
                      <w:marTop w:val="0"/>
                      <w:marBottom w:val="0"/>
                      <w:divBdr>
                        <w:top w:val="none" w:sz="0" w:space="0" w:color="auto"/>
                        <w:left w:val="none" w:sz="0" w:space="0" w:color="auto"/>
                        <w:bottom w:val="none" w:sz="0" w:space="0" w:color="auto"/>
                        <w:right w:val="none" w:sz="0" w:space="0" w:color="auto"/>
                      </w:divBdr>
                    </w:div>
                  </w:divsChild>
                </w:div>
                <w:div w:id="1742287479">
                  <w:marLeft w:val="0"/>
                  <w:marRight w:val="0"/>
                  <w:marTop w:val="0"/>
                  <w:marBottom w:val="0"/>
                  <w:divBdr>
                    <w:top w:val="none" w:sz="0" w:space="0" w:color="auto"/>
                    <w:left w:val="none" w:sz="0" w:space="0" w:color="auto"/>
                    <w:bottom w:val="none" w:sz="0" w:space="0" w:color="auto"/>
                    <w:right w:val="none" w:sz="0" w:space="0" w:color="auto"/>
                  </w:divBdr>
                  <w:divsChild>
                    <w:div w:id="1361510423">
                      <w:marLeft w:val="0"/>
                      <w:marRight w:val="0"/>
                      <w:marTop w:val="0"/>
                      <w:marBottom w:val="0"/>
                      <w:divBdr>
                        <w:top w:val="none" w:sz="0" w:space="0" w:color="auto"/>
                        <w:left w:val="none" w:sz="0" w:space="0" w:color="auto"/>
                        <w:bottom w:val="none" w:sz="0" w:space="0" w:color="auto"/>
                        <w:right w:val="none" w:sz="0" w:space="0" w:color="auto"/>
                      </w:divBdr>
                    </w:div>
                  </w:divsChild>
                </w:div>
                <w:div w:id="1743286187">
                  <w:marLeft w:val="0"/>
                  <w:marRight w:val="0"/>
                  <w:marTop w:val="0"/>
                  <w:marBottom w:val="0"/>
                  <w:divBdr>
                    <w:top w:val="none" w:sz="0" w:space="0" w:color="auto"/>
                    <w:left w:val="none" w:sz="0" w:space="0" w:color="auto"/>
                    <w:bottom w:val="none" w:sz="0" w:space="0" w:color="auto"/>
                    <w:right w:val="none" w:sz="0" w:space="0" w:color="auto"/>
                  </w:divBdr>
                  <w:divsChild>
                    <w:div w:id="678894039">
                      <w:marLeft w:val="0"/>
                      <w:marRight w:val="0"/>
                      <w:marTop w:val="0"/>
                      <w:marBottom w:val="0"/>
                      <w:divBdr>
                        <w:top w:val="none" w:sz="0" w:space="0" w:color="auto"/>
                        <w:left w:val="none" w:sz="0" w:space="0" w:color="auto"/>
                        <w:bottom w:val="none" w:sz="0" w:space="0" w:color="auto"/>
                        <w:right w:val="none" w:sz="0" w:space="0" w:color="auto"/>
                      </w:divBdr>
                    </w:div>
                  </w:divsChild>
                </w:div>
                <w:div w:id="1745956358">
                  <w:marLeft w:val="0"/>
                  <w:marRight w:val="0"/>
                  <w:marTop w:val="0"/>
                  <w:marBottom w:val="0"/>
                  <w:divBdr>
                    <w:top w:val="none" w:sz="0" w:space="0" w:color="auto"/>
                    <w:left w:val="none" w:sz="0" w:space="0" w:color="auto"/>
                    <w:bottom w:val="none" w:sz="0" w:space="0" w:color="auto"/>
                    <w:right w:val="none" w:sz="0" w:space="0" w:color="auto"/>
                  </w:divBdr>
                  <w:divsChild>
                    <w:div w:id="1770615288">
                      <w:marLeft w:val="0"/>
                      <w:marRight w:val="0"/>
                      <w:marTop w:val="0"/>
                      <w:marBottom w:val="0"/>
                      <w:divBdr>
                        <w:top w:val="none" w:sz="0" w:space="0" w:color="auto"/>
                        <w:left w:val="none" w:sz="0" w:space="0" w:color="auto"/>
                        <w:bottom w:val="none" w:sz="0" w:space="0" w:color="auto"/>
                        <w:right w:val="none" w:sz="0" w:space="0" w:color="auto"/>
                      </w:divBdr>
                    </w:div>
                  </w:divsChild>
                </w:div>
                <w:div w:id="1747603780">
                  <w:marLeft w:val="0"/>
                  <w:marRight w:val="0"/>
                  <w:marTop w:val="0"/>
                  <w:marBottom w:val="0"/>
                  <w:divBdr>
                    <w:top w:val="none" w:sz="0" w:space="0" w:color="auto"/>
                    <w:left w:val="none" w:sz="0" w:space="0" w:color="auto"/>
                    <w:bottom w:val="none" w:sz="0" w:space="0" w:color="auto"/>
                    <w:right w:val="none" w:sz="0" w:space="0" w:color="auto"/>
                  </w:divBdr>
                  <w:divsChild>
                    <w:div w:id="1417903596">
                      <w:marLeft w:val="0"/>
                      <w:marRight w:val="0"/>
                      <w:marTop w:val="0"/>
                      <w:marBottom w:val="0"/>
                      <w:divBdr>
                        <w:top w:val="none" w:sz="0" w:space="0" w:color="auto"/>
                        <w:left w:val="none" w:sz="0" w:space="0" w:color="auto"/>
                        <w:bottom w:val="none" w:sz="0" w:space="0" w:color="auto"/>
                        <w:right w:val="none" w:sz="0" w:space="0" w:color="auto"/>
                      </w:divBdr>
                    </w:div>
                  </w:divsChild>
                </w:div>
                <w:div w:id="1755663758">
                  <w:marLeft w:val="0"/>
                  <w:marRight w:val="0"/>
                  <w:marTop w:val="0"/>
                  <w:marBottom w:val="0"/>
                  <w:divBdr>
                    <w:top w:val="none" w:sz="0" w:space="0" w:color="auto"/>
                    <w:left w:val="none" w:sz="0" w:space="0" w:color="auto"/>
                    <w:bottom w:val="none" w:sz="0" w:space="0" w:color="auto"/>
                    <w:right w:val="none" w:sz="0" w:space="0" w:color="auto"/>
                  </w:divBdr>
                  <w:divsChild>
                    <w:div w:id="1190798111">
                      <w:marLeft w:val="0"/>
                      <w:marRight w:val="0"/>
                      <w:marTop w:val="0"/>
                      <w:marBottom w:val="0"/>
                      <w:divBdr>
                        <w:top w:val="none" w:sz="0" w:space="0" w:color="auto"/>
                        <w:left w:val="none" w:sz="0" w:space="0" w:color="auto"/>
                        <w:bottom w:val="none" w:sz="0" w:space="0" w:color="auto"/>
                        <w:right w:val="none" w:sz="0" w:space="0" w:color="auto"/>
                      </w:divBdr>
                    </w:div>
                  </w:divsChild>
                </w:div>
                <w:div w:id="1759208849">
                  <w:marLeft w:val="0"/>
                  <w:marRight w:val="0"/>
                  <w:marTop w:val="0"/>
                  <w:marBottom w:val="0"/>
                  <w:divBdr>
                    <w:top w:val="none" w:sz="0" w:space="0" w:color="auto"/>
                    <w:left w:val="none" w:sz="0" w:space="0" w:color="auto"/>
                    <w:bottom w:val="none" w:sz="0" w:space="0" w:color="auto"/>
                    <w:right w:val="none" w:sz="0" w:space="0" w:color="auto"/>
                  </w:divBdr>
                  <w:divsChild>
                    <w:div w:id="945576982">
                      <w:marLeft w:val="0"/>
                      <w:marRight w:val="0"/>
                      <w:marTop w:val="0"/>
                      <w:marBottom w:val="0"/>
                      <w:divBdr>
                        <w:top w:val="none" w:sz="0" w:space="0" w:color="auto"/>
                        <w:left w:val="none" w:sz="0" w:space="0" w:color="auto"/>
                        <w:bottom w:val="none" w:sz="0" w:space="0" w:color="auto"/>
                        <w:right w:val="none" w:sz="0" w:space="0" w:color="auto"/>
                      </w:divBdr>
                    </w:div>
                  </w:divsChild>
                </w:div>
                <w:div w:id="1760062360">
                  <w:marLeft w:val="0"/>
                  <w:marRight w:val="0"/>
                  <w:marTop w:val="0"/>
                  <w:marBottom w:val="0"/>
                  <w:divBdr>
                    <w:top w:val="none" w:sz="0" w:space="0" w:color="auto"/>
                    <w:left w:val="none" w:sz="0" w:space="0" w:color="auto"/>
                    <w:bottom w:val="none" w:sz="0" w:space="0" w:color="auto"/>
                    <w:right w:val="none" w:sz="0" w:space="0" w:color="auto"/>
                  </w:divBdr>
                  <w:divsChild>
                    <w:div w:id="572203533">
                      <w:marLeft w:val="0"/>
                      <w:marRight w:val="0"/>
                      <w:marTop w:val="0"/>
                      <w:marBottom w:val="0"/>
                      <w:divBdr>
                        <w:top w:val="none" w:sz="0" w:space="0" w:color="auto"/>
                        <w:left w:val="none" w:sz="0" w:space="0" w:color="auto"/>
                        <w:bottom w:val="none" w:sz="0" w:space="0" w:color="auto"/>
                        <w:right w:val="none" w:sz="0" w:space="0" w:color="auto"/>
                      </w:divBdr>
                    </w:div>
                  </w:divsChild>
                </w:div>
                <w:div w:id="1762098047">
                  <w:marLeft w:val="0"/>
                  <w:marRight w:val="0"/>
                  <w:marTop w:val="0"/>
                  <w:marBottom w:val="0"/>
                  <w:divBdr>
                    <w:top w:val="none" w:sz="0" w:space="0" w:color="auto"/>
                    <w:left w:val="none" w:sz="0" w:space="0" w:color="auto"/>
                    <w:bottom w:val="none" w:sz="0" w:space="0" w:color="auto"/>
                    <w:right w:val="none" w:sz="0" w:space="0" w:color="auto"/>
                  </w:divBdr>
                  <w:divsChild>
                    <w:div w:id="1176387614">
                      <w:marLeft w:val="0"/>
                      <w:marRight w:val="0"/>
                      <w:marTop w:val="0"/>
                      <w:marBottom w:val="0"/>
                      <w:divBdr>
                        <w:top w:val="none" w:sz="0" w:space="0" w:color="auto"/>
                        <w:left w:val="none" w:sz="0" w:space="0" w:color="auto"/>
                        <w:bottom w:val="none" w:sz="0" w:space="0" w:color="auto"/>
                        <w:right w:val="none" w:sz="0" w:space="0" w:color="auto"/>
                      </w:divBdr>
                    </w:div>
                  </w:divsChild>
                </w:div>
                <w:div w:id="1762872248">
                  <w:marLeft w:val="0"/>
                  <w:marRight w:val="0"/>
                  <w:marTop w:val="0"/>
                  <w:marBottom w:val="0"/>
                  <w:divBdr>
                    <w:top w:val="none" w:sz="0" w:space="0" w:color="auto"/>
                    <w:left w:val="none" w:sz="0" w:space="0" w:color="auto"/>
                    <w:bottom w:val="none" w:sz="0" w:space="0" w:color="auto"/>
                    <w:right w:val="none" w:sz="0" w:space="0" w:color="auto"/>
                  </w:divBdr>
                  <w:divsChild>
                    <w:div w:id="1877309875">
                      <w:marLeft w:val="0"/>
                      <w:marRight w:val="0"/>
                      <w:marTop w:val="0"/>
                      <w:marBottom w:val="0"/>
                      <w:divBdr>
                        <w:top w:val="none" w:sz="0" w:space="0" w:color="auto"/>
                        <w:left w:val="none" w:sz="0" w:space="0" w:color="auto"/>
                        <w:bottom w:val="none" w:sz="0" w:space="0" w:color="auto"/>
                        <w:right w:val="none" w:sz="0" w:space="0" w:color="auto"/>
                      </w:divBdr>
                    </w:div>
                  </w:divsChild>
                </w:div>
                <w:div w:id="1765610175">
                  <w:marLeft w:val="0"/>
                  <w:marRight w:val="0"/>
                  <w:marTop w:val="0"/>
                  <w:marBottom w:val="0"/>
                  <w:divBdr>
                    <w:top w:val="none" w:sz="0" w:space="0" w:color="auto"/>
                    <w:left w:val="none" w:sz="0" w:space="0" w:color="auto"/>
                    <w:bottom w:val="none" w:sz="0" w:space="0" w:color="auto"/>
                    <w:right w:val="none" w:sz="0" w:space="0" w:color="auto"/>
                  </w:divBdr>
                  <w:divsChild>
                    <w:div w:id="300699279">
                      <w:marLeft w:val="0"/>
                      <w:marRight w:val="0"/>
                      <w:marTop w:val="0"/>
                      <w:marBottom w:val="0"/>
                      <w:divBdr>
                        <w:top w:val="none" w:sz="0" w:space="0" w:color="auto"/>
                        <w:left w:val="none" w:sz="0" w:space="0" w:color="auto"/>
                        <w:bottom w:val="none" w:sz="0" w:space="0" w:color="auto"/>
                        <w:right w:val="none" w:sz="0" w:space="0" w:color="auto"/>
                      </w:divBdr>
                    </w:div>
                  </w:divsChild>
                </w:div>
                <w:div w:id="1766458890">
                  <w:marLeft w:val="0"/>
                  <w:marRight w:val="0"/>
                  <w:marTop w:val="0"/>
                  <w:marBottom w:val="0"/>
                  <w:divBdr>
                    <w:top w:val="none" w:sz="0" w:space="0" w:color="auto"/>
                    <w:left w:val="none" w:sz="0" w:space="0" w:color="auto"/>
                    <w:bottom w:val="none" w:sz="0" w:space="0" w:color="auto"/>
                    <w:right w:val="none" w:sz="0" w:space="0" w:color="auto"/>
                  </w:divBdr>
                  <w:divsChild>
                    <w:div w:id="1747609460">
                      <w:marLeft w:val="0"/>
                      <w:marRight w:val="0"/>
                      <w:marTop w:val="0"/>
                      <w:marBottom w:val="0"/>
                      <w:divBdr>
                        <w:top w:val="none" w:sz="0" w:space="0" w:color="auto"/>
                        <w:left w:val="none" w:sz="0" w:space="0" w:color="auto"/>
                        <w:bottom w:val="none" w:sz="0" w:space="0" w:color="auto"/>
                        <w:right w:val="none" w:sz="0" w:space="0" w:color="auto"/>
                      </w:divBdr>
                    </w:div>
                  </w:divsChild>
                </w:div>
                <w:div w:id="1772437272">
                  <w:marLeft w:val="0"/>
                  <w:marRight w:val="0"/>
                  <w:marTop w:val="0"/>
                  <w:marBottom w:val="0"/>
                  <w:divBdr>
                    <w:top w:val="none" w:sz="0" w:space="0" w:color="auto"/>
                    <w:left w:val="none" w:sz="0" w:space="0" w:color="auto"/>
                    <w:bottom w:val="none" w:sz="0" w:space="0" w:color="auto"/>
                    <w:right w:val="none" w:sz="0" w:space="0" w:color="auto"/>
                  </w:divBdr>
                  <w:divsChild>
                    <w:div w:id="1704011204">
                      <w:marLeft w:val="0"/>
                      <w:marRight w:val="0"/>
                      <w:marTop w:val="0"/>
                      <w:marBottom w:val="0"/>
                      <w:divBdr>
                        <w:top w:val="none" w:sz="0" w:space="0" w:color="auto"/>
                        <w:left w:val="none" w:sz="0" w:space="0" w:color="auto"/>
                        <w:bottom w:val="none" w:sz="0" w:space="0" w:color="auto"/>
                        <w:right w:val="none" w:sz="0" w:space="0" w:color="auto"/>
                      </w:divBdr>
                    </w:div>
                  </w:divsChild>
                </w:div>
                <w:div w:id="1775786581">
                  <w:marLeft w:val="0"/>
                  <w:marRight w:val="0"/>
                  <w:marTop w:val="0"/>
                  <w:marBottom w:val="0"/>
                  <w:divBdr>
                    <w:top w:val="none" w:sz="0" w:space="0" w:color="auto"/>
                    <w:left w:val="none" w:sz="0" w:space="0" w:color="auto"/>
                    <w:bottom w:val="none" w:sz="0" w:space="0" w:color="auto"/>
                    <w:right w:val="none" w:sz="0" w:space="0" w:color="auto"/>
                  </w:divBdr>
                  <w:divsChild>
                    <w:div w:id="1367751807">
                      <w:marLeft w:val="0"/>
                      <w:marRight w:val="0"/>
                      <w:marTop w:val="0"/>
                      <w:marBottom w:val="0"/>
                      <w:divBdr>
                        <w:top w:val="none" w:sz="0" w:space="0" w:color="auto"/>
                        <w:left w:val="none" w:sz="0" w:space="0" w:color="auto"/>
                        <w:bottom w:val="none" w:sz="0" w:space="0" w:color="auto"/>
                        <w:right w:val="none" w:sz="0" w:space="0" w:color="auto"/>
                      </w:divBdr>
                    </w:div>
                  </w:divsChild>
                </w:div>
                <w:div w:id="1776904303">
                  <w:marLeft w:val="0"/>
                  <w:marRight w:val="0"/>
                  <w:marTop w:val="0"/>
                  <w:marBottom w:val="0"/>
                  <w:divBdr>
                    <w:top w:val="none" w:sz="0" w:space="0" w:color="auto"/>
                    <w:left w:val="none" w:sz="0" w:space="0" w:color="auto"/>
                    <w:bottom w:val="none" w:sz="0" w:space="0" w:color="auto"/>
                    <w:right w:val="none" w:sz="0" w:space="0" w:color="auto"/>
                  </w:divBdr>
                  <w:divsChild>
                    <w:div w:id="686449510">
                      <w:marLeft w:val="0"/>
                      <w:marRight w:val="0"/>
                      <w:marTop w:val="0"/>
                      <w:marBottom w:val="0"/>
                      <w:divBdr>
                        <w:top w:val="none" w:sz="0" w:space="0" w:color="auto"/>
                        <w:left w:val="none" w:sz="0" w:space="0" w:color="auto"/>
                        <w:bottom w:val="none" w:sz="0" w:space="0" w:color="auto"/>
                        <w:right w:val="none" w:sz="0" w:space="0" w:color="auto"/>
                      </w:divBdr>
                    </w:div>
                  </w:divsChild>
                </w:div>
                <w:div w:id="1784222971">
                  <w:marLeft w:val="0"/>
                  <w:marRight w:val="0"/>
                  <w:marTop w:val="0"/>
                  <w:marBottom w:val="0"/>
                  <w:divBdr>
                    <w:top w:val="none" w:sz="0" w:space="0" w:color="auto"/>
                    <w:left w:val="none" w:sz="0" w:space="0" w:color="auto"/>
                    <w:bottom w:val="none" w:sz="0" w:space="0" w:color="auto"/>
                    <w:right w:val="none" w:sz="0" w:space="0" w:color="auto"/>
                  </w:divBdr>
                  <w:divsChild>
                    <w:div w:id="1422945530">
                      <w:marLeft w:val="0"/>
                      <w:marRight w:val="0"/>
                      <w:marTop w:val="0"/>
                      <w:marBottom w:val="0"/>
                      <w:divBdr>
                        <w:top w:val="none" w:sz="0" w:space="0" w:color="auto"/>
                        <w:left w:val="none" w:sz="0" w:space="0" w:color="auto"/>
                        <w:bottom w:val="none" w:sz="0" w:space="0" w:color="auto"/>
                        <w:right w:val="none" w:sz="0" w:space="0" w:color="auto"/>
                      </w:divBdr>
                    </w:div>
                  </w:divsChild>
                </w:div>
                <w:div w:id="1788428881">
                  <w:marLeft w:val="0"/>
                  <w:marRight w:val="0"/>
                  <w:marTop w:val="0"/>
                  <w:marBottom w:val="0"/>
                  <w:divBdr>
                    <w:top w:val="none" w:sz="0" w:space="0" w:color="auto"/>
                    <w:left w:val="none" w:sz="0" w:space="0" w:color="auto"/>
                    <w:bottom w:val="none" w:sz="0" w:space="0" w:color="auto"/>
                    <w:right w:val="none" w:sz="0" w:space="0" w:color="auto"/>
                  </w:divBdr>
                  <w:divsChild>
                    <w:div w:id="1987080960">
                      <w:marLeft w:val="0"/>
                      <w:marRight w:val="0"/>
                      <w:marTop w:val="0"/>
                      <w:marBottom w:val="0"/>
                      <w:divBdr>
                        <w:top w:val="none" w:sz="0" w:space="0" w:color="auto"/>
                        <w:left w:val="none" w:sz="0" w:space="0" w:color="auto"/>
                        <w:bottom w:val="none" w:sz="0" w:space="0" w:color="auto"/>
                        <w:right w:val="none" w:sz="0" w:space="0" w:color="auto"/>
                      </w:divBdr>
                    </w:div>
                  </w:divsChild>
                </w:div>
                <w:div w:id="1789082967">
                  <w:marLeft w:val="0"/>
                  <w:marRight w:val="0"/>
                  <w:marTop w:val="0"/>
                  <w:marBottom w:val="0"/>
                  <w:divBdr>
                    <w:top w:val="none" w:sz="0" w:space="0" w:color="auto"/>
                    <w:left w:val="none" w:sz="0" w:space="0" w:color="auto"/>
                    <w:bottom w:val="none" w:sz="0" w:space="0" w:color="auto"/>
                    <w:right w:val="none" w:sz="0" w:space="0" w:color="auto"/>
                  </w:divBdr>
                  <w:divsChild>
                    <w:div w:id="1073744619">
                      <w:marLeft w:val="0"/>
                      <w:marRight w:val="0"/>
                      <w:marTop w:val="0"/>
                      <w:marBottom w:val="0"/>
                      <w:divBdr>
                        <w:top w:val="none" w:sz="0" w:space="0" w:color="auto"/>
                        <w:left w:val="none" w:sz="0" w:space="0" w:color="auto"/>
                        <w:bottom w:val="none" w:sz="0" w:space="0" w:color="auto"/>
                        <w:right w:val="none" w:sz="0" w:space="0" w:color="auto"/>
                      </w:divBdr>
                    </w:div>
                  </w:divsChild>
                </w:div>
                <w:div w:id="1790010559">
                  <w:marLeft w:val="0"/>
                  <w:marRight w:val="0"/>
                  <w:marTop w:val="0"/>
                  <w:marBottom w:val="0"/>
                  <w:divBdr>
                    <w:top w:val="none" w:sz="0" w:space="0" w:color="auto"/>
                    <w:left w:val="none" w:sz="0" w:space="0" w:color="auto"/>
                    <w:bottom w:val="none" w:sz="0" w:space="0" w:color="auto"/>
                    <w:right w:val="none" w:sz="0" w:space="0" w:color="auto"/>
                  </w:divBdr>
                  <w:divsChild>
                    <w:div w:id="2102411418">
                      <w:marLeft w:val="0"/>
                      <w:marRight w:val="0"/>
                      <w:marTop w:val="0"/>
                      <w:marBottom w:val="0"/>
                      <w:divBdr>
                        <w:top w:val="none" w:sz="0" w:space="0" w:color="auto"/>
                        <w:left w:val="none" w:sz="0" w:space="0" w:color="auto"/>
                        <w:bottom w:val="none" w:sz="0" w:space="0" w:color="auto"/>
                        <w:right w:val="none" w:sz="0" w:space="0" w:color="auto"/>
                      </w:divBdr>
                    </w:div>
                  </w:divsChild>
                </w:div>
                <w:div w:id="1790052958">
                  <w:marLeft w:val="0"/>
                  <w:marRight w:val="0"/>
                  <w:marTop w:val="0"/>
                  <w:marBottom w:val="0"/>
                  <w:divBdr>
                    <w:top w:val="none" w:sz="0" w:space="0" w:color="auto"/>
                    <w:left w:val="none" w:sz="0" w:space="0" w:color="auto"/>
                    <w:bottom w:val="none" w:sz="0" w:space="0" w:color="auto"/>
                    <w:right w:val="none" w:sz="0" w:space="0" w:color="auto"/>
                  </w:divBdr>
                  <w:divsChild>
                    <w:div w:id="1939099266">
                      <w:marLeft w:val="0"/>
                      <w:marRight w:val="0"/>
                      <w:marTop w:val="0"/>
                      <w:marBottom w:val="0"/>
                      <w:divBdr>
                        <w:top w:val="none" w:sz="0" w:space="0" w:color="auto"/>
                        <w:left w:val="none" w:sz="0" w:space="0" w:color="auto"/>
                        <w:bottom w:val="none" w:sz="0" w:space="0" w:color="auto"/>
                        <w:right w:val="none" w:sz="0" w:space="0" w:color="auto"/>
                      </w:divBdr>
                    </w:div>
                  </w:divsChild>
                </w:div>
                <w:div w:id="1790471720">
                  <w:marLeft w:val="0"/>
                  <w:marRight w:val="0"/>
                  <w:marTop w:val="0"/>
                  <w:marBottom w:val="0"/>
                  <w:divBdr>
                    <w:top w:val="none" w:sz="0" w:space="0" w:color="auto"/>
                    <w:left w:val="none" w:sz="0" w:space="0" w:color="auto"/>
                    <w:bottom w:val="none" w:sz="0" w:space="0" w:color="auto"/>
                    <w:right w:val="none" w:sz="0" w:space="0" w:color="auto"/>
                  </w:divBdr>
                  <w:divsChild>
                    <w:div w:id="510267149">
                      <w:marLeft w:val="0"/>
                      <w:marRight w:val="0"/>
                      <w:marTop w:val="0"/>
                      <w:marBottom w:val="0"/>
                      <w:divBdr>
                        <w:top w:val="none" w:sz="0" w:space="0" w:color="auto"/>
                        <w:left w:val="none" w:sz="0" w:space="0" w:color="auto"/>
                        <w:bottom w:val="none" w:sz="0" w:space="0" w:color="auto"/>
                        <w:right w:val="none" w:sz="0" w:space="0" w:color="auto"/>
                      </w:divBdr>
                    </w:div>
                  </w:divsChild>
                </w:div>
                <w:div w:id="1790851243">
                  <w:marLeft w:val="0"/>
                  <w:marRight w:val="0"/>
                  <w:marTop w:val="0"/>
                  <w:marBottom w:val="0"/>
                  <w:divBdr>
                    <w:top w:val="none" w:sz="0" w:space="0" w:color="auto"/>
                    <w:left w:val="none" w:sz="0" w:space="0" w:color="auto"/>
                    <w:bottom w:val="none" w:sz="0" w:space="0" w:color="auto"/>
                    <w:right w:val="none" w:sz="0" w:space="0" w:color="auto"/>
                  </w:divBdr>
                  <w:divsChild>
                    <w:div w:id="910316309">
                      <w:marLeft w:val="0"/>
                      <w:marRight w:val="0"/>
                      <w:marTop w:val="0"/>
                      <w:marBottom w:val="0"/>
                      <w:divBdr>
                        <w:top w:val="none" w:sz="0" w:space="0" w:color="auto"/>
                        <w:left w:val="none" w:sz="0" w:space="0" w:color="auto"/>
                        <w:bottom w:val="none" w:sz="0" w:space="0" w:color="auto"/>
                        <w:right w:val="none" w:sz="0" w:space="0" w:color="auto"/>
                      </w:divBdr>
                    </w:div>
                  </w:divsChild>
                </w:div>
                <w:div w:id="1792046442">
                  <w:marLeft w:val="0"/>
                  <w:marRight w:val="0"/>
                  <w:marTop w:val="0"/>
                  <w:marBottom w:val="0"/>
                  <w:divBdr>
                    <w:top w:val="none" w:sz="0" w:space="0" w:color="auto"/>
                    <w:left w:val="none" w:sz="0" w:space="0" w:color="auto"/>
                    <w:bottom w:val="none" w:sz="0" w:space="0" w:color="auto"/>
                    <w:right w:val="none" w:sz="0" w:space="0" w:color="auto"/>
                  </w:divBdr>
                  <w:divsChild>
                    <w:div w:id="1026369551">
                      <w:marLeft w:val="0"/>
                      <w:marRight w:val="0"/>
                      <w:marTop w:val="0"/>
                      <w:marBottom w:val="0"/>
                      <w:divBdr>
                        <w:top w:val="none" w:sz="0" w:space="0" w:color="auto"/>
                        <w:left w:val="none" w:sz="0" w:space="0" w:color="auto"/>
                        <w:bottom w:val="none" w:sz="0" w:space="0" w:color="auto"/>
                        <w:right w:val="none" w:sz="0" w:space="0" w:color="auto"/>
                      </w:divBdr>
                    </w:div>
                  </w:divsChild>
                </w:div>
                <w:div w:id="1795295739">
                  <w:marLeft w:val="0"/>
                  <w:marRight w:val="0"/>
                  <w:marTop w:val="0"/>
                  <w:marBottom w:val="0"/>
                  <w:divBdr>
                    <w:top w:val="none" w:sz="0" w:space="0" w:color="auto"/>
                    <w:left w:val="none" w:sz="0" w:space="0" w:color="auto"/>
                    <w:bottom w:val="none" w:sz="0" w:space="0" w:color="auto"/>
                    <w:right w:val="none" w:sz="0" w:space="0" w:color="auto"/>
                  </w:divBdr>
                  <w:divsChild>
                    <w:div w:id="1250769286">
                      <w:marLeft w:val="0"/>
                      <w:marRight w:val="0"/>
                      <w:marTop w:val="0"/>
                      <w:marBottom w:val="0"/>
                      <w:divBdr>
                        <w:top w:val="none" w:sz="0" w:space="0" w:color="auto"/>
                        <w:left w:val="none" w:sz="0" w:space="0" w:color="auto"/>
                        <w:bottom w:val="none" w:sz="0" w:space="0" w:color="auto"/>
                        <w:right w:val="none" w:sz="0" w:space="0" w:color="auto"/>
                      </w:divBdr>
                    </w:div>
                  </w:divsChild>
                </w:div>
                <w:div w:id="1795520092">
                  <w:marLeft w:val="0"/>
                  <w:marRight w:val="0"/>
                  <w:marTop w:val="0"/>
                  <w:marBottom w:val="0"/>
                  <w:divBdr>
                    <w:top w:val="none" w:sz="0" w:space="0" w:color="auto"/>
                    <w:left w:val="none" w:sz="0" w:space="0" w:color="auto"/>
                    <w:bottom w:val="none" w:sz="0" w:space="0" w:color="auto"/>
                    <w:right w:val="none" w:sz="0" w:space="0" w:color="auto"/>
                  </w:divBdr>
                  <w:divsChild>
                    <w:div w:id="1984965030">
                      <w:marLeft w:val="0"/>
                      <w:marRight w:val="0"/>
                      <w:marTop w:val="0"/>
                      <w:marBottom w:val="0"/>
                      <w:divBdr>
                        <w:top w:val="none" w:sz="0" w:space="0" w:color="auto"/>
                        <w:left w:val="none" w:sz="0" w:space="0" w:color="auto"/>
                        <w:bottom w:val="none" w:sz="0" w:space="0" w:color="auto"/>
                        <w:right w:val="none" w:sz="0" w:space="0" w:color="auto"/>
                      </w:divBdr>
                    </w:div>
                  </w:divsChild>
                </w:div>
                <w:div w:id="1796754306">
                  <w:marLeft w:val="0"/>
                  <w:marRight w:val="0"/>
                  <w:marTop w:val="0"/>
                  <w:marBottom w:val="0"/>
                  <w:divBdr>
                    <w:top w:val="none" w:sz="0" w:space="0" w:color="auto"/>
                    <w:left w:val="none" w:sz="0" w:space="0" w:color="auto"/>
                    <w:bottom w:val="none" w:sz="0" w:space="0" w:color="auto"/>
                    <w:right w:val="none" w:sz="0" w:space="0" w:color="auto"/>
                  </w:divBdr>
                  <w:divsChild>
                    <w:div w:id="1807820695">
                      <w:marLeft w:val="0"/>
                      <w:marRight w:val="0"/>
                      <w:marTop w:val="0"/>
                      <w:marBottom w:val="0"/>
                      <w:divBdr>
                        <w:top w:val="none" w:sz="0" w:space="0" w:color="auto"/>
                        <w:left w:val="none" w:sz="0" w:space="0" w:color="auto"/>
                        <w:bottom w:val="none" w:sz="0" w:space="0" w:color="auto"/>
                        <w:right w:val="none" w:sz="0" w:space="0" w:color="auto"/>
                      </w:divBdr>
                    </w:div>
                  </w:divsChild>
                </w:div>
                <w:div w:id="1805582452">
                  <w:marLeft w:val="0"/>
                  <w:marRight w:val="0"/>
                  <w:marTop w:val="0"/>
                  <w:marBottom w:val="0"/>
                  <w:divBdr>
                    <w:top w:val="none" w:sz="0" w:space="0" w:color="auto"/>
                    <w:left w:val="none" w:sz="0" w:space="0" w:color="auto"/>
                    <w:bottom w:val="none" w:sz="0" w:space="0" w:color="auto"/>
                    <w:right w:val="none" w:sz="0" w:space="0" w:color="auto"/>
                  </w:divBdr>
                  <w:divsChild>
                    <w:div w:id="1968585688">
                      <w:marLeft w:val="0"/>
                      <w:marRight w:val="0"/>
                      <w:marTop w:val="0"/>
                      <w:marBottom w:val="0"/>
                      <w:divBdr>
                        <w:top w:val="none" w:sz="0" w:space="0" w:color="auto"/>
                        <w:left w:val="none" w:sz="0" w:space="0" w:color="auto"/>
                        <w:bottom w:val="none" w:sz="0" w:space="0" w:color="auto"/>
                        <w:right w:val="none" w:sz="0" w:space="0" w:color="auto"/>
                      </w:divBdr>
                    </w:div>
                  </w:divsChild>
                </w:div>
                <w:div w:id="1810053256">
                  <w:marLeft w:val="0"/>
                  <w:marRight w:val="0"/>
                  <w:marTop w:val="0"/>
                  <w:marBottom w:val="0"/>
                  <w:divBdr>
                    <w:top w:val="none" w:sz="0" w:space="0" w:color="auto"/>
                    <w:left w:val="none" w:sz="0" w:space="0" w:color="auto"/>
                    <w:bottom w:val="none" w:sz="0" w:space="0" w:color="auto"/>
                    <w:right w:val="none" w:sz="0" w:space="0" w:color="auto"/>
                  </w:divBdr>
                  <w:divsChild>
                    <w:div w:id="1574468319">
                      <w:marLeft w:val="0"/>
                      <w:marRight w:val="0"/>
                      <w:marTop w:val="0"/>
                      <w:marBottom w:val="0"/>
                      <w:divBdr>
                        <w:top w:val="none" w:sz="0" w:space="0" w:color="auto"/>
                        <w:left w:val="none" w:sz="0" w:space="0" w:color="auto"/>
                        <w:bottom w:val="none" w:sz="0" w:space="0" w:color="auto"/>
                        <w:right w:val="none" w:sz="0" w:space="0" w:color="auto"/>
                      </w:divBdr>
                    </w:div>
                  </w:divsChild>
                </w:div>
                <w:div w:id="1811703893">
                  <w:marLeft w:val="0"/>
                  <w:marRight w:val="0"/>
                  <w:marTop w:val="0"/>
                  <w:marBottom w:val="0"/>
                  <w:divBdr>
                    <w:top w:val="none" w:sz="0" w:space="0" w:color="auto"/>
                    <w:left w:val="none" w:sz="0" w:space="0" w:color="auto"/>
                    <w:bottom w:val="none" w:sz="0" w:space="0" w:color="auto"/>
                    <w:right w:val="none" w:sz="0" w:space="0" w:color="auto"/>
                  </w:divBdr>
                  <w:divsChild>
                    <w:div w:id="900798345">
                      <w:marLeft w:val="0"/>
                      <w:marRight w:val="0"/>
                      <w:marTop w:val="0"/>
                      <w:marBottom w:val="0"/>
                      <w:divBdr>
                        <w:top w:val="none" w:sz="0" w:space="0" w:color="auto"/>
                        <w:left w:val="none" w:sz="0" w:space="0" w:color="auto"/>
                        <w:bottom w:val="none" w:sz="0" w:space="0" w:color="auto"/>
                        <w:right w:val="none" w:sz="0" w:space="0" w:color="auto"/>
                      </w:divBdr>
                    </w:div>
                  </w:divsChild>
                </w:div>
                <w:div w:id="1822193999">
                  <w:marLeft w:val="0"/>
                  <w:marRight w:val="0"/>
                  <w:marTop w:val="0"/>
                  <w:marBottom w:val="0"/>
                  <w:divBdr>
                    <w:top w:val="none" w:sz="0" w:space="0" w:color="auto"/>
                    <w:left w:val="none" w:sz="0" w:space="0" w:color="auto"/>
                    <w:bottom w:val="none" w:sz="0" w:space="0" w:color="auto"/>
                    <w:right w:val="none" w:sz="0" w:space="0" w:color="auto"/>
                  </w:divBdr>
                  <w:divsChild>
                    <w:div w:id="202719720">
                      <w:marLeft w:val="0"/>
                      <w:marRight w:val="0"/>
                      <w:marTop w:val="0"/>
                      <w:marBottom w:val="0"/>
                      <w:divBdr>
                        <w:top w:val="none" w:sz="0" w:space="0" w:color="auto"/>
                        <w:left w:val="none" w:sz="0" w:space="0" w:color="auto"/>
                        <w:bottom w:val="none" w:sz="0" w:space="0" w:color="auto"/>
                        <w:right w:val="none" w:sz="0" w:space="0" w:color="auto"/>
                      </w:divBdr>
                    </w:div>
                  </w:divsChild>
                </w:div>
                <w:div w:id="1827239441">
                  <w:marLeft w:val="0"/>
                  <w:marRight w:val="0"/>
                  <w:marTop w:val="0"/>
                  <w:marBottom w:val="0"/>
                  <w:divBdr>
                    <w:top w:val="none" w:sz="0" w:space="0" w:color="auto"/>
                    <w:left w:val="none" w:sz="0" w:space="0" w:color="auto"/>
                    <w:bottom w:val="none" w:sz="0" w:space="0" w:color="auto"/>
                    <w:right w:val="none" w:sz="0" w:space="0" w:color="auto"/>
                  </w:divBdr>
                  <w:divsChild>
                    <w:div w:id="949896616">
                      <w:marLeft w:val="0"/>
                      <w:marRight w:val="0"/>
                      <w:marTop w:val="0"/>
                      <w:marBottom w:val="0"/>
                      <w:divBdr>
                        <w:top w:val="none" w:sz="0" w:space="0" w:color="auto"/>
                        <w:left w:val="none" w:sz="0" w:space="0" w:color="auto"/>
                        <w:bottom w:val="none" w:sz="0" w:space="0" w:color="auto"/>
                        <w:right w:val="none" w:sz="0" w:space="0" w:color="auto"/>
                      </w:divBdr>
                    </w:div>
                  </w:divsChild>
                </w:div>
                <w:div w:id="1829662649">
                  <w:marLeft w:val="0"/>
                  <w:marRight w:val="0"/>
                  <w:marTop w:val="0"/>
                  <w:marBottom w:val="0"/>
                  <w:divBdr>
                    <w:top w:val="none" w:sz="0" w:space="0" w:color="auto"/>
                    <w:left w:val="none" w:sz="0" w:space="0" w:color="auto"/>
                    <w:bottom w:val="none" w:sz="0" w:space="0" w:color="auto"/>
                    <w:right w:val="none" w:sz="0" w:space="0" w:color="auto"/>
                  </w:divBdr>
                  <w:divsChild>
                    <w:div w:id="1329406651">
                      <w:marLeft w:val="0"/>
                      <w:marRight w:val="0"/>
                      <w:marTop w:val="0"/>
                      <w:marBottom w:val="0"/>
                      <w:divBdr>
                        <w:top w:val="none" w:sz="0" w:space="0" w:color="auto"/>
                        <w:left w:val="none" w:sz="0" w:space="0" w:color="auto"/>
                        <w:bottom w:val="none" w:sz="0" w:space="0" w:color="auto"/>
                        <w:right w:val="none" w:sz="0" w:space="0" w:color="auto"/>
                      </w:divBdr>
                    </w:div>
                  </w:divsChild>
                </w:div>
                <w:div w:id="1836988304">
                  <w:marLeft w:val="0"/>
                  <w:marRight w:val="0"/>
                  <w:marTop w:val="0"/>
                  <w:marBottom w:val="0"/>
                  <w:divBdr>
                    <w:top w:val="none" w:sz="0" w:space="0" w:color="auto"/>
                    <w:left w:val="none" w:sz="0" w:space="0" w:color="auto"/>
                    <w:bottom w:val="none" w:sz="0" w:space="0" w:color="auto"/>
                    <w:right w:val="none" w:sz="0" w:space="0" w:color="auto"/>
                  </w:divBdr>
                  <w:divsChild>
                    <w:div w:id="1213274397">
                      <w:marLeft w:val="0"/>
                      <w:marRight w:val="0"/>
                      <w:marTop w:val="0"/>
                      <w:marBottom w:val="0"/>
                      <w:divBdr>
                        <w:top w:val="none" w:sz="0" w:space="0" w:color="auto"/>
                        <w:left w:val="none" w:sz="0" w:space="0" w:color="auto"/>
                        <w:bottom w:val="none" w:sz="0" w:space="0" w:color="auto"/>
                        <w:right w:val="none" w:sz="0" w:space="0" w:color="auto"/>
                      </w:divBdr>
                    </w:div>
                  </w:divsChild>
                </w:div>
                <w:div w:id="1848400908">
                  <w:marLeft w:val="0"/>
                  <w:marRight w:val="0"/>
                  <w:marTop w:val="0"/>
                  <w:marBottom w:val="0"/>
                  <w:divBdr>
                    <w:top w:val="none" w:sz="0" w:space="0" w:color="auto"/>
                    <w:left w:val="none" w:sz="0" w:space="0" w:color="auto"/>
                    <w:bottom w:val="none" w:sz="0" w:space="0" w:color="auto"/>
                    <w:right w:val="none" w:sz="0" w:space="0" w:color="auto"/>
                  </w:divBdr>
                  <w:divsChild>
                    <w:div w:id="778523480">
                      <w:marLeft w:val="0"/>
                      <w:marRight w:val="0"/>
                      <w:marTop w:val="0"/>
                      <w:marBottom w:val="0"/>
                      <w:divBdr>
                        <w:top w:val="none" w:sz="0" w:space="0" w:color="auto"/>
                        <w:left w:val="none" w:sz="0" w:space="0" w:color="auto"/>
                        <w:bottom w:val="none" w:sz="0" w:space="0" w:color="auto"/>
                        <w:right w:val="none" w:sz="0" w:space="0" w:color="auto"/>
                      </w:divBdr>
                    </w:div>
                  </w:divsChild>
                </w:div>
                <w:div w:id="1848790222">
                  <w:marLeft w:val="0"/>
                  <w:marRight w:val="0"/>
                  <w:marTop w:val="0"/>
                  <w:marBottom w:val="0"/>
                  <w:divBdr>
                    <w:top w:val="none" w:sz="0" w:space="0" w:color="auto"/>
                    <w:left w:val="none" w:sz="0" w:space="0" w:color="auto"/>
                    <w:bottom w:val="none" w:sz="0" w:space="0" w:color="auto"/>
                    <w:right w:val="none" w:sz="0" w:space="0" w:color="auto"/>
                  </w:divBdr>
                  <w:divsChild>
                    <w:div w:id="1959606819">
                      <w:marLeft w:val="0"/>
                      <w:marRight w:val="0"/>
                      <w:marTop w:val="0"/>
                      <w:marBottom w:val="0"/>
                      <w:divBdr>
                        <w:top w:val="none" w:sz="0" w:space="0" w:color="auto"/>
                        <w:left w:val="none" w:sz="0" w:space="0" w:color="auto"/>
                        <w:bottom w:val="none" w:sz="0" w:space="0" w:color="auto"/>
                        <w:right w:val="none" w:sz="0" w:space="0" w:color="auto"/>
                      </w:divBdr>
                    </w:div>
                  </w:divsChild>
                </w:div>
                <w:div w:id="1853566483">
                  <w:marLeft w:val="0"/>
                  <w:marRight w:val="0"/>
                  <w:marTop w:val="0"/>
                  <w:marBottom w:val="0"/>
                  <w:divBdr>
                    <w:top w:val="none" w:sz="0" w:space="0" w:color="auto"/>
                    <w:left w:val="none" w:sz="0" w:space="0" w:color="auto"/>
                    <w:bottom w:val="none" w:sz="0" w:space="0" w:color="auto"/>
                    <w:right w:val="none" w:sz="0" w:space="0" w:color="auto"/>
                  </w:divBdr>
                  <w:divsChild>
                    <w:div w:id="712462952">
                      <w:marLeft w:val="0"/>
                      <w:marRight w:val="0"/>
                      <w:marTop w:val="0"/>
                      <w:marBottom w:val="0"/>
                      <w:divBdr>
                        <w:top w:val="none" w:sz="0" w:space="0" w:color="auto"/>
                        <w:left w:val="none" w:sz="0" w:space="0" w:color="auto"/>
                        <w:bottom w:val="none" w:sz="0" w:space="0" w:color="auto"/>
                        <w:right w:val="none" w:sz="0" w:space="0" w:color="auto"/>
                      </w:divBdr>
                    </w:div>
                  </w:divsChild>
                </w:div>
                <w:div w:id="1854807477">
                  <w:marLeft w:val="0"/>
                  <w:marRight w:val="0"/>
                  <w:marTop w:val="0"/>
                  <w:marBottom w:val="0"/>
                  <w:divBdr>
                    <w:top w:val="none" w:sz="0" w:space="0" w:color="auto"/>
                    <w:left w:val="none" w:sz="0" w:space="0" w:color="auto"/>
                    <w:bottom w:val="none" w:sz="0" w:space="0" w:color="auto"/>
                    <w:right w:val="none" w:sz="0" w:space="0" w:color="auto"/>
                  </w:divBdr>
                  <w:divsChild>
                    <w:div w:id="1572421512">
                      <w:marLeft w:val="0"/>
                      <w:marRight w:val="0"/>
                      <w:marTop w:val="0"/>
                      <w:marBottom w:val="0"/>
                      <w:divBdr>
                        <w:top w:val="none" w:sz="0" w:space="0" w:color="auto"/>
                        <w:left w:val="none" w:sz="0" w:space="0" w:color="auto"/>
                        <w:bottom w:val="none" w:sz="0" w:space="0" w:color="auto"/>
                        <w:right w:val="none" w:sz="0" w:space="0" w:color="auto"/>
                      </w:divBdr>
                    </w:div>
                  </w:divsChild>
                </w:div>
                <w:div w:id="1856768971">
                  <w:marLeft w:val="0"/>
                  <w:marRight w:val="0"/>
                  <w:marTop w:val="0"/>
                  <w:marBottom w:val="0"/>
                  <w:divBdr>
                    <w:top w:val="none" w:sz="0" w:space="0" w:color="auto"/>
                    <w:left w:val="none" w:sz="0" w:space="0" w:color="auto"/>
                    <w:bottom w:val="none" w:sz="0" w:space="0" w:color="auto"/>
                    <w:right w:val="none" w:sz="0" w:space="0" w:color="auto"/>
                  </w:divBdr>
                  <w:divsChild>
                    <w:div w:id="763843005">
                      <w:marLeft w:val="0"/>
                      <w:marRight w:val="0"/>
                      <w:marTop w:val="0"/>
                      <w:marBottom w:val="0"/>
                      <w:divBdr>
                        <w:top w:val="none" w:sz="0" w:space="0" w:color="auto"/>
                        <w:left w:val="none" w:sz="0" w:space="0" w:color="auto"/>
                        <w:bottom w:val="none" w:sz="0" w:space="0" w:color="auto"/>
                        <w:right w:val="none" w:sz="0" w:space="0" w:color="auto"/>
                      </w:divBdr>
                    </w:div>
                  </w:divsChild>
                </w:div>
                <w:div w:id="1857886869">
                  <w:marLeft w:val="0"/>
                  <w:marRight w:val="0"/>
                  <w:marTop w:val="0"/>
                  <w:marBottom w:val="0"/>
                  <w:divBdr>
                    <w:top w:val="none" w:sz="0" w:space="0" w:color="auto"/>
                    <w:left w:val="none" w:sz="0" w:space="0" w:color="auto"/>
                    <w:bottom w:val="none" w:sz="0" w:space="0" w:color="auto"/>
                    <w:right w:val="none" w:sz="0" w:space="0" w:color="auto"/>
                  </w:divBdr>
                  <w:divsChild>
                    <w:div w:id="1107116039">
                      <w:marLeft w:val="0"/>
                      <w:marRight w:val="0"/>
                      <w:marTop w:val="0"/>
                      <w:marBottom w:val="0"/>
                      <w:divBdr>
                        <w:top w:val="none" w:sz="0" w:space="0" w:color="auto"/>
                        <w:left w:val="none" w:sz="0" w:space="0" w:color="auto"/>
                        <w:bottom w:val="none" w:sz="0" w:space="0" w:color="auto"/>
                        <w:right w:val="none" w:sz="0" w:space="0" w:color="auto"/>
                      </w:divBdr>
                    </w:div>
                  </w:divsChild>
                </w:div>
                <w:div w:id="1859272169">
                  <w:marLeft w:val="0"/>
                  <w:marRight w:val="0"/>
                  <w:marTop w:val="0"/>
                  <w:marBottom w:val="0"/>
                  <w:divBdr>
                    <w:top w:val="none" w:sz="0" w:space="0" w:color="auto"/>
                    <w:left w:val="none" w:sz="0" w:space="0" w:color="auto"/>
                    <w:bottom w:val="none" w:sz="0" w:space="0" w:color="auto"/>
                    <w:right w:val="none" w:sz="0" w:space="0" w:color="auto"/>
                  </w:divBdr>
                  <w:divsChild>
                    <w:div w:id="473983994">
                      <w:marLeft w:val="0"/>
                      <w:marRight w:val="0"/>
                      <w:marTop w:val="0"/>
                      <w:marBottom w:val="0"/>
                      <w:divBdr>
                        <w:top w:val="none" w:sz="0" w:space="0" w:color="auto"/>
                        <w:left w:val="none" w:sz="0" w:space="0" w:color="auto"/>
                        <w:bottom w:val="none" w:sz="0" w:space="0" w:color="auto"/>
                        <w:right w:val="none" w:sz="0" w:space="0" w:color="auto"/>
                      </w:divBdr>
                    </w:div>
                  </w:divsChild>
                </w:div>
                <w:div w:id="1863780444">
                  <w:marLeft w:val="0"/>
                  <w:marRight w:val="0"/>
                  <w:marTop w:val="0"/>
                  <w:marBottom w:val="0"/>
                  <w:divBdr>
                    <w:top w:val="none" w:sz="0" w:space="0" w:color="auto"/>
                    <w:left w:val="none" w:sz="0" w:space="0" w:color="auto"/>
                    <w:bottom w:val="none" w:sz="0" w:space="0" w:color="auto"/>
                    <w:right w:val="none" w:sz="0" w:space="0" w:color="auto"/>
                  </w:divBdr>
                  <w:divsChild>
                    <w:div w:id="1050613211">
                      <w:marLeft w:val="0"/>
                      <w:marRight w:val="0"/>
                      <w:marTop w:val="0"/>
                      <w:marBottom w:val="0"/>
                      <w:divBdr>
                        <w:top w:val="none" w:sz="0" w:space="0" w:color="auto"/>
                        <w:left w:val="none" w:sz="0" w:space="0" w:color="auto"/>
                        <w:bottom w:val="none" w:sz="0" w:space="0" w:color="auto"/>
                        <w:right w:val="none" w:sz="0" w:space="0" w:color="auto"/>
                      </w:divBdr>
                    </w:div>
                  </w:divsChild>
                </w:div>
                <w:div w:id="1869567629">
                  <w:marLeft w:val="0"/>
                  <w:marRight w:val="0"/>
                  <w:marTop w:val="0"/>
                  <w:marBottom w:val="0"/>
                  <w:divBdr>
                    <w:top w:val="none" w:sz="0" w:space="0" w:color="auto"/>
                    <w:left w:val="none" w:sz="0" w:space="0" w:color="auto"/>
                    <w:bottom w:val="none" w:sz="0" w:space="0" w:color="auto"/>
                    <w:right w:val="none" w:sz="0" w:space="0" w:color="auto"/>
                  </w:divBdr>
                  <w:divsChild>
                    <w:div w:id="987245440">
                      <w:marLeft w:val="0"/>
                      <w:marRight w:val="0"/>
                      <w:marTop w:val="0"/>
                      <w:marBottom w:val="0"/>
                      <w:divBdr>
                        <w:top w:val="none" w:sz="0" w:space="0" w:color="auto"/>
                        <w:left w:val="none" w:sz="0" w:space="0" w:color="auto"/>
                        <w:bottom w:val="none" w:sz="0" w:space="0" w:color="auto"/>
                        <w:right w:val="none" w:sz="0" w:space="0" w:color="auto"/>
                      </w:divBdr>
                    </w:div>
                  </w:divsChild>
                </w:div>
                <w:div w:id="1875582211">
                  <w:marLeft w:val="0"/>
                  <w:marRight w:val="0"/>
                  <w:marTop w:val="0"/>
                  <w:marBottom w:val="0"/>
                  <w:divBdr>
                    <w:top w:val="none" w:sz="0" w:space="0" w:color="auto"/>
                    <w:left w:val="none" w:sz="0" w:space="0" w:color="auto"/>
                    <w:bottom w:val="none" w:sz="0" w:space="0" w:color="auto"/>
                    <w:right w:val="none" w:sz="0" w:space="0" w:color="auto"/>
                  </w:divBdr>
                  <w:divsChild>
                    <w:div w:id="1111827121">
                      <w:marLeft w:val="0"/>
                      <w:marRight w:val="0"/>
                      <w:marTop w:val="0"/>
                      <w:marBottom w:val="0"/>
                      <w:divBdr>
                        <w:top w:val="none" w:sz="0" w:space="0" w:color="auto"/>
                        <w:left w:val="none" w:sz="0" w:space="0" w:color="auto"/>
                        <w:bottom w:val="none" w:sz="0" w:space="0" w:color="auto"/>
                        <w:right w:val="none" w:sz="0" w:space="0" w:color="auto"/>
                      </w:divBdr>
                    </w:div>
                  </w:divsChild>
                </w:div>
                <w:div w:id="1888713741">
                  <w:marLeft w:val="0"/>
                  <w:marRight w:val="0"/>
                  <w:marTop w:val="0"/>
                  <w:marBottom w:val="0"/>
                  <w:divBdr>
                    <w:top w:val="none" w:sz="0" w:space="0" w:color="auto"/>
                    <w:left w:val="none" w:sz="0" w:space="0" w:color="auto"/>
                    <w:bottom w:val="none" w:sz="0" w:space="0" w:color="auto"/>
                    <w:right w:val="none" w:sz="0" w:space="0" w:color="auto"/>
                  </w:divBdr>
                  <w:divsChild>
                    <w:div w:id="1804958124">
                      <w:marLeft w:val="0"/>
                      <w:marRight w:val="0"/>
                      <w:marTop w:val="0"/>
                      <w:marBottom w:val="0"/>
                      <w:divBdr>
                        <w:top w:val="none" w:sz="0" w:space="0" w:color="auto"/>
                        <w:left w:val="none" w:sz="0" w:space="0" w:color="auto"/>
                        <w:bottom w:val="none" w:sz="0" w:space="0" w:color="auto"/>
                        <w:right w:val="none" w:sz="0" w:space="0" w:color="auto"/>
                      </w:divBdr>
                    </w:div>
                  </w:divsChild>
                </w:div>
                <w:div w:id="1891842935">
                  <w:marLeft w:val="0"/>
                  <w:marRight w:val="0"/>
                  <w:marTop w:val="0"/>
                  <w:marBottom w:val="0"/>
                  <w:divBdr>
                    <w:top w:val="none" w:sz="0" w:space="0" w:color="auto"/>
                    <w:left w:val="none" w:sz="0" w:space="0" w:color="auto"/>
                    <w:bottom w:val="none" w:sz="0" w:space="0" w:color="auto"/>
                    <w:right w:val="none" w:sz="0" w:space="0" w:color="auto"/>
                  </w:divBdr>
                  <w:divsChild>
                    <w:div w:id="524641447">
                      <w:marLeft w:val="0"/>
                      <w:marRight w:val="0"/>
                      <w:marTop w:val="0"/>
                      <w:marBottom w:val="0"/>
                      <w:divBdr>
                        <w:top w:val="none" w:sz="0" w:space="0" w:color="auto"/>
                        <w:left w:val="none" w:sz="0" w:space="0" w:color="auto"/>
                        <w:bottom w:val="none" w:sz="0" w:space="0" w:color="auto"/>
                        <w:right w:val="none" w:sz="0" w:space="0" w:color="auto"/>
                      </w:divBdr>
                    </w:div>
                  </w:divsChild>
                </w:div>
                <w:div w:id="1898934433">
                  <w:marLeft w:val="0"/>
                  <w:marRight w:val="0"/>
                  <w:marTop w:val="0"/>
                  <w:marBottom w:val="0"/>
                  <w:divBdr>
                    <w:top w:val="none" w:sz="0" w:space="0" w:color="auto"/>
                    <w:left w:val="none" w:sz="0" w:space="0" w:color="auto"/>
                    <w:bottom w:val="none" w:sz="0" w:space="0" w:color="auto"/>
                    <w:right w:val="none" w:sz="0" w:space="0" w:color="auto"/>
                  </w:divBdr>
                  <w:divsChild>
                    <w:div w:id="1957590804">
                      <w:marLeft w:val="0"/>
                      <w:marRight w:val="0"/>
                      <w:marTop w:val="0"/>
                      <w:marBottom w:val="0"/>
                      <w:divBdr>
                        <w:top w:val="none" w:sz="0" w:space="0" w:color="auto"/>
                        <w:left w:val="none" w:sz="0" w:space="0" w:color="auto"/>
                        <w:bottom w:val="none" w:sz="0" w:space="0" w:color="auto"/>
                        <w:right w:val="none" w:sz="0" w:space="0" w:color="auto"/>
                      </w:divBdr>
                    </w:div>
                  </w:divsChild>
                </w:div>
                <w:div w:id="1907106279">
                  <w:marLeft w:val="0"/>
                  <w:marRight w:val="0"/>
                  <w:marTop w:val="0"/>
                  <w:marBottom w:val="0"/>
                  <w:divBdr>
                    <w:top w:val="none" w:sz="0" w:space="0" w:color="auto"/>
                    <w:left w:val="none" w:sz="0" w:space="0" w:color="auto"/>
                    <w:bottom w:val="none" w:sz="0" w:space="0" w:color="auto"/>
                    <w:right w:val="none" w:sz="0" w:space="0" w:color="auto"/>
                  </w:divBdr>
                  <w:divsChild>
                    <w:div w:id="745686714">
                      <w:marLeft w:val="0"/>
                      <w:marRight w:val="0"/>
                      <w:marTop w:val="0"/>
                      <w:marBottom w:val="0"/>
                      <w:divBdr>
                        <w:top w:val="none" w:sz="0" w:space="0" w:color="auto"/>
                        <w:left w:val="none" w:sz="0" w:space="0" w:color="auto"/>
                        <w:bottom w:val="none" w:sz="0" w:space="0" w:color="auto"/>
                        <w:right w:val="none" w:sz="0" w:space="0" w:color="auto"/>
                      </w:divBdr>
                    </w:div>
                  </w:divsChild>
                </w:div>
                <w:div w:id="1913080381">
                  <w:marLeft w:val="0"/>
                  <w:marRight w:val="0"/>
                  <w:marTop w:val="0"/>
                  <w:marBottom w:val="0"/>
                  <w:divBdr>
                    <w:top w:val="none" w:sz="0" w:space="0" w:color="auto"/>
                    <w:left w:val="none" w:sz="0" w:space="0" w:color="auto"/>
                    <w:bottom w:val="none" w:sz="0" w:space="0" w:color="auto"/>
                    <w:right w:val="none" w:sz="0" w:space="0" w:color="auto"/>
                  </w:divBdr>
                  <w:divsChild>
                    <w:div w:id="1595431792">
                      <w:marLeft w:val="0"/>
                      <w:marRight w:val="0"/>
                      <w:marTop w:val="0"/>
                      <w:marBottom w:val="0"/>
                      <w:divBdr>
                        <w:top w:val="none" w:sz="0" w:space="0" w:color="auto"/>
                        <w:left w:val="none" w:sz="0" w:space="0" w:color="auto"/>
                        <w:bottom w:val="none" w:sz="0" w:space="0" w:color="auto"/>
                        <w:right w:val="none" w:sz="0" w:space="0" w:color="auto"/>
                      </w:divBdr>
                    </w:div>
                  </w:divsChild>
                </w:div>
                <w:div w:id="1919754308">
                  <w:marLeft w:val="0"/>
                  <w:marRight w:val="0"/>
                  <w:marTop w:val="0"/>
                  <w:marBottom w:val="0"/>
                  <w:divBdr>
                    <w:top w:val="none" w:sz="0" w:space="0" w:color="auto"/>
                    <w:left w:val="none" w:sz="0" w:space="0" w:color="auto"/>
                    <w:bottom w:val="none" w:sz="0" w:space="0" w:color="auto"/>
                    <w:right w:val="none" w:sz="0" w:space="0" w:color="auto"/>
                  </w:divBdr>
                  <w:divsChild>
                    <w:div w:id="72243726">
                      <w:marLeft w:val="0"/>
                      <w:marRight w:val="0"/>
                      <w:marTop w:val="0"/>
                      <w:marBottom w:val="0"/>
                      <w:divBdr>
                        <w:top w:val="none" w:sz="0" w:space="0" w:color="auto"/>
                        <w:left w:val="none" w:sz="0" w:space="0" w:color="auto"/>
                        <w:bottom w:val="none" w:sz="0" w:space="0" w:color="auto"/>
                        <w:right w:val="none" w:sz="0" w:space="0" w:color="auto"/>
                      </w:divBdr>
                    </w:div>
                  </w:divsChild>
                </w:div>
                <w:div w:id="1920941062">
                  <w:marLeft w:val="0"/>
                  <w:marRight w:val="0"/>
                  <w:marTop w:val="0"/>
                  <w:marBottom w:val="0"/>
                  <w:divBdr>
                    <w:top w:val="none" w:sz="0" w:space="0" w:color="auto"/>
                    <w:left w:val="none" w:sz="0" w:space="0" w:color="auto"/>
                    <w:bottom w:val="none" w:sz="0" w:space="0" w:color="auto"/>
                    <w:right w:val="none" w:sz="0" w:space="0" w:color="auto"/>
                  </w:divBdr>
                  <w:divsChild>
                    <w:div w:id="1269434458">
                      <w:marLeft w:val="0"/>
                      <w:marRight w:val="0"/>
                      <w:marTop w:val="0"/>
                      <w:marBottom w:val="0"/>
                      <w:divBdr>
                        <w:top w:val="none" w:sz="0" w:space="0" w:color="auto"/>
                        <w:left w:val="none" w:sz="0" w:space="0" w:color="auto"/>
                        <w:bottom w:val="none" w:sz="0" w:space="0" w:color="auto"/>
                        <w:right w:val="none" w:sz="0" w:space="0" w:color="auto"/>
                      </w:divBdr>
                    </w:div>
                  </w:divsChild>
                </w:div>
                <w:div w:id="1922906112">
                  <w:marLeft w:val="0"/>
                  <w:marRight w:val="0"/>
                  <w:marTop w:val="0"/>
                  <w:marBottom w:val="0"/>
                  <w:divBdr>
                    <w:top w:val="none" w:sz="0" w:space="0" w:color="auto"/>
                    <w:left w:val="none" w:sz="0" w:space="0" w:color="auto"/>
                    <w:bottom w:val="none" w:sz="0" w:space="0" w:color="auto"/>
                    <w:right w:val="none" w:sz="0" w:space="0" w:color="auto"/>
                  </w:divBdr>
                  <w:divsChild>
                    <w:div w:id="921837907">
                      <w:marLeft w:val="0"/>
                      <w:marRight w:val="0"/>
                      <w:marTop w:val="0"/>
                      <w:marBottom w:val="0"/>
                      <w:divBdr>
                        <w:top w:val="none" w:sz="0" w:space="0" w:color="auto"/>
                        <w:left w:val="none" w:sz="0" w:space="0" w:color="auto"/>
                        <w:bottom w:val="none" w:sz="0" w:space="0" w:color="auto"/>
                        <w:right w:val="none" w:sz="0" w:space="0" w:color="auto"/>
                      </w:divBdr>
                    </w:div>
                  </w:divsChild>
                </w:div>
                <w:div w:id="1924871250">
                  <w:marLeft w:val="0"/>
                  <w:marRight w:val="0"/>
                  <w:marTop w:val="0"/>
                  <w:marBottom w:val="0"/>
                  <w:divBdr>
                    <w:top w:val="none" w:sz="0" w:space="0" w:color="auto"/>
                    <w:left w:val="none" w:sz="0" w:space="0" w:color="auto"/>
                    <w:bottom w:val="none" w:sz="0" w:space="0" w:color="auto"/>
                    <w:right w:val="none" w:sz="0" w:space="0" w:color="auto"/>
                  </w:divBdr>
                  <w:divsChild>
                    <w:div w:id="961574806">
                      <w:marLeft w:val="0"/>
                      <w:marRight w:val="0"/>
                      <w:marTop w:val="0"/>
                      <w:marBottom w:val="0"/>
                      <w:divBdr>
                        <w:top w:val="none" w:sz="0" w:space="0" w:color="auto"/>
                        <w:left w:val="none" w:sz="0" w:space="0" w:color="auto"/>
                        <w:bottom w:val="none" w:sz="0" w:space="0" w:color="auto"/>
                        <w:right w:val="none" w:sz="0" w:space="0" w:color="auto"/>
                      </w:divBdr>
                    </w:div>
                  </w:divsChild>
                </w:div>
                <w:div w:id="1933540503">
                  <w:marLeft w:val="0"/>
                  <w:marRight w:val="0"/>
                  <w:marTop w:val="0"/>
                  <w:marBottom w:val="0"/>
                  <w:divBdr>
                    <w:top w:val="none" w:sz="0" w:space="0" w:color="auto"/>
                    <w:left w:val="none" w:sz="0" w:space="0" w:color="auto"/>
                    <w:bottom w:val="none" w:sz="0" w:space="0" w:color="auto"/>
                    <w:right w:val="none" w:sz="0" w:space="0" w:color="auto"/>
                  </w:divBdr>
                  <w:divsChild>
                    <w:div w:id="1202326108">
                      <w:marLeft w:val="0"/>
                      <w:marRight w:val="0"/>
                      <w:marTop w:val="0"/>
                      <w:marBottom w:val="0"/>
                      <w:divBdr>
                        <w:top w:val="none" w:sz="0" w:space="0" w:color="auto"/>
                        <w:left w:val="none" w:sz="0" w:space="0" w:color="auto"/>
                        <w:bottom w:val="none" w:sz="0" w:space="0" w:color="auto"/>
                        <w:right w:val="none" w:sz="0" w:space="0" w:color="auto"/>
                      </w:divBdr>
                    </w:div>
                  </w:divsChild>
                </w:div>
                <w:div w:id="1935507231">
                  <w:marLeft w:val="0"/>
                  <w:marRight w:val="0"/>
                  <w:marTop w:val="0"/>
                  <w:marBottom w:val="0"/>
                  <w:divBdr>
                    <w:top w:val="none" w:sz="0" w:space="0" w:color="auto"/>
                    <w:left w:val="none" w:sz="0" w:space="0" w:color="auto"/>
                    <w:bottom w:val="none" w:sz="0" w:space="0" w:color="auto"/>
                    <w:right w:val="none" w:sz="0" w:space="0" w:color="auto"/>
                  </w:divBdr>
                  <w:divsChild>
                    <w:div w:id="1836342481">
                      <w:marLeft w:val="0"/>
                      <w:marRight w:val="0"/>
                      <w:marTop w:val="0"/>
                      <w:marBottom w:val="0"/>
                      <w:divBdr>
                        <w:top w:val="none" w:sz="0" w:space="0" w:color="auto"/>
                        <w:left w:val="none" w:sz="0" w:space="0" w:color="auto"/>
                        <w:bottom w:val="none" w:sz="0" w:space="0" w:color="auto"/>
                        <w:right w:val="none" w:sz="0" w:space="0" w:color="auto"/>
                      </w:divBdr>
                    </w:div>
                  </w:divsChild>
                </w:div>
                <w:div w:id="1938630736">
                  <w:marLeft w:val="0"/>
                  <w:marRight w:val="0"/>
                  <w:marTop w:val="0"/>
                  <w:marBottom w:val="0"/>
                  <w:divBdr>
                    <w:top w:val="none" w:sz="0" w:space="0" w:color="auto"/>
                    <w:left w:val="none" w:sz="0" w:space="0" w:color="auto"/>
                    <w:bottom w:val="none" w:sz="0" w:space="0" w:color="auto"/>
                    <w:right w:val="none" w:sz="0" w:space="0" w:color="auto"/>
                  </w:divBdr>
                  <w:divsChild>
                    <w:div w:id="2062897698">
                      <w:marLeft w:val="0"/>
                      <w:marRight w:val="0"/>
                      <w:marTop w:val="0"/>
                      <w:marBottom w:val="0"/>
                      <w:divBdr>
                        <w:top w:val="none" w:sz="0" w:space="0" w:color="auto"/>
                        <w:left w:val="none" w:sz="0" w:space="0" w:color="auto"/>
                        <w:bottom w:val="none" w:sz="0" w:space="0" w:color="auto"/>
                        <w:right w:val="none" w:sz="0" w:space="0" w:color="auto"/>
                      </w:divBdr>
                    </w:div>
                  </w:divsChild>
                </w:div>
                <w:div w:id="1939289980">
                  <w:marLeft w:val="0"/>
                  <w:marRight w:val="0"/>
                  <w:marTop w:val="0"/>
                  <w:marBottom w:val="0"/>
                  <w:divBdr>
                    <w:top w:val="none" w:sz="0" w:space="0" w:color="auto"/>
                    <w:left w:val="none" w:sz="0" w:space="0" w:color="auto"/>
                    <w:bottom w:val="none" w:sz="0" w:space="0" w:color="auto"/>
                    <w:right w:val="none" w:sz="0" w:space="0" w:color="auto"/>
                  </w:divBdr>
                  <w:divsChild>
                    <w:div w:id="1614433535">
                      <w:marLeft w:val="0"/>
                      <w:marRight w:val="0"/>
                      <w:marTop w:val="0"/>
                      <w:marBottom w:val="0"/>
                      <w:divBdr>
                        <w:top w:val="none" w:sz="0" w:space="0" w:color="auto"/>
                        <w:left w:val="none" w:sz="0" w:space="0" w:color="auto"/>
                        <w:bottom w:val="none" w:sz="0" w:space="0" w:color="auto"/>
                        <w:right w:val="none" w:sz="0" w:space="0" w:color="auto"/>
                      </w:divBdr>
                    </w:div>
                  </w:divsChild>
                </w:div>
                <w:div w:id="1940870259">
                  <w:marLeft w:val="0"/>
                  <w:marRight w:val="0"/>
                  <w:marTop w:val="0"/>
                  <w:marBottom w:val="0"/>
                  <w:divBdr>
                    <w:top w:val="none" w:sz="0" w:space="0" w:color="auto"/>
                    <w:left w:val="none" w:sz="0" w:space="0" w:color="auto"/>
                    <w:bottom w:val="none" w:sz="0" w:space="0" w:color="auto"/>
                    <w:right w:val="none" w:sz="0" w:space="0" w:color="auto"/>
                  </w:divBdr>
                  <w:divsChild>
                    <w:div w:id="741219843">
                      <w:marLeft w:val="0"/>
                      <w:marRight w:val="0"/>
                      <w:marTop w:val="0"/>
                      <w:marBottom w:val="0"/>
                      <w:divBdr>
                        <w:top w:val="none" w:sz="0" w:space="0" w:color="auto"/>
                        <w:left w:val="none" w:sz="0" w:space="0" w:color="auto"/>
                        <w:bottom w:val="none" w:sz="0" w:space="0" w:color="auto"/>
                        <w:right w:val="none" w:sz="0" w:space="0" w:color="auto"/>
                      </w:divBdr>
                    </w:div>
                  </w:divsChild>
                </w:div>
                <w:div w:id="1941641784">
                  <w:marLeft w:val="0"/>
                  <w:marRight w:val="0"/>
                  <w:marTop w:val="0"/>
                  <w:marBottom w:val="0"/>
                  <w:divBdr>
                    <w:top w:val="none" w:sz="0" w:space="0" w:color="auto"/>
                    <w:left w:val="none" w:sz="0" w:space="0" w:color="auto"/>
                    <w:bottom w:val="none" w:sz="0" w:space="0" w:color="auto"/>
                    <w:right w:val="none" w:sz="0" w:space="0" w:color="auto"/>
                  </w:divBdr>
                  <w:divsChild>
                    <w:div w:id="1363244950">
                      <w:marLeft w:val="0"/>
                      <w:marRight w:val="0"/>
                      <w:marTop w:val="0"/>
                      <w:marBottom w:val="0"/>
                      <w:divBdr>
                        <w:top w:val="none" w:sz="0" w:space="0" w:color="auto"/>
                        <w:left w:val="none" w:sz="0" w:space="0" w:color="auto"/>
                        <w:bottom w:val="none" w:sz="0" w:space="0" w:color="auto"/>
                        <w:right w:val="none" w:sz="0" w:space="0" w:color="auto"/>
                      </w:divBdr>
                    </w:div>
                  </w:divsChild>
                </w:div>
                <w:div w:id="1943755730">
                  <w:marLeft w:val="0"/>
                  <w:marRight w:val="0"/>
                  <w:marTop w:val="0"/>
                  <w:marBottom w:val="0"/>
                  <w:divBdr>
                    <w:top w:val="none" w:sz="0" w:space="0" w:color="auto"/>
                    <w:left w:val="none" w:sz="0" w:space="0" w:color="auto"/>
                    <w:bottom w:val="none" w:sz="0" w:space="0" w:color="auto"/>
                    <w:right w:val="none" w:sz="0" w:space="0" w:color="auto"/>
                  </w:divBdr>
                  <w:divsChild>
                    <w:div w:id="683673874">
                      <w:marLeft w:val="0"/>
                      <w:marRight w:val="0"/>
                      <w:marTop w:val="0"/>
                      <w:marBottom w:val="0"/>
                      <w:divBdr>
                        <w:top w:val="none" w:sz="0" w:space="0" w:color="auto"/>
                        <w:left w:val="none" w:sz="0" w:space="0" w:color="auto"/>
                        <w:bottom w:val="none" w:sz="0" w:space="0" w:color="auto"/>
                        <w:right w:val="none" w:sz="0" w:space="0" w:color="auto"/>
                      </w:divBdr>
                    </w:div>
                  </w:divsChild>
                </w:div>
                <w:div w:id="1944997352">
                  <w:marLeft w:val="0"/>
                  <w:marRight w:val="0"/>
                  <w:marTop w:val="0"/>
                  <w:marBottom w:val="0"/>
                  <w:divBdr>
                    <w:top w:val="none" w:sz="0" w:space="0" w:color="auto"/>
                    <w:left w:val="none" w:sz="0" w:space="0" w:color="auto"/>
                    <w:bottom w:val="none" w:sz="0" w:space="0" w:color="auto"/>
                    <w:right w:val="none" w:sz="0" w:space="0" w:color="auto"/>
                  </w:divBdr>
                  <w:divsChild>
                    <w:div w:id="1400790669">
                      <w:marLeft w:val="0"/>
                      <w:marRight w:val="0"/>
                      <w:marTop w:val="0"/>
                      <w:marBottom w:val="0"/>
                      <w:divBdr>
                        <w:top w:val="none" w:sz="0" w:space="0" w:color="auto"/>
                        <w:left w:val="none" w:sz="0" w:space="0" w:color="auto"/>
                        <w:bottom w:val="none" w:sz="0" w:space="0" w:color="auto"/>
                        <w:right w:val="none" w:sz="0" w:space="0" w:color="auto"/>
                      </w:divBdr>
                    </w:div>
                  </w:divsChild>
                </w:div>
                <w:div w:id="1948391189">
                  <w:marLeft w:val="0"/>
                  <w:marRight w:val="0"/>
                  <w:marTop w:val="0"/>
                  <w:marBottom w:val="0"/>
                  <w:divBdr>
                    <w:top w:val="none" w:sz="0" w:space="0" w:color="auto"/>
                    <w:left w:val="none" w:sz="0" w:space="0" w:color="auto"/>
                    <w:bottom w:val="none" w:sz="0" w:space="0" w:color="auto"/>
                    <w:right w:val="none" w:sz="0" w:space="0" w:color="auto"/>
                  </w:divBdr>
                  <w:divsChild>
                    <w:div w:id="1546912544">
                      <w:marLeft w:val="0"/>
                      <w:marRight w:val="0"/>
                      <w:marTop w:val="0"/>
                      <w:marBottom w:val="0"/>
                      <w:divBdr>
                        <w:top w:val="none" w:sz="0" w:space="0" w:color="auto"/>
                        <w:left w:val="none" w:sz="0" w:space="0" w:color="auto"/>
                        <w:bottom w:val="none" w:sz="0" w:space="0" w:color="auto"/>
                        <w:right w:val="none" w:sz="0" w:space="0" w:color="auto"/>
                      </w:divBdr>
                    </w:div>
                  </w:divsChild>
                </w:div>
                <w:div w:id="1949387462">
                  <w:marLeft w:val="0"/>
                  <w:marRight w:val="0"/>
                  <w:marTop w:val="0"/>
                  <w:marBottom w:val="0"/>
                  <w:divBdr>
                    <w:top w:val="none" w:sz="0" w:space="0" w:color="auto"/>
                    <w:left w:val="none" w:sz="0" w:space="0" w:color="auto"/>
                    <w:bottom w:val="none" w:sz="0" w:space="0" w:color="auto"/>
                    <w:right w:val="none" w:sz="0" w:space="0" w:color="auto"/>
                  </w:divBdr>
                  <w:divsChild>
                    <w:div w:id="1038043437">
                      <w:marLeft w:val="0"/>
                      <w:marRight w:val="0"/>
                      <w:marTop w:val="0"/>
                      <w:marBottom w:val="0"/>
                      <w:divBdr>
                        <w:top w:val="none" w:sz="0" w:space="0" w:color="auto"/>
                        <w:left w:val="none" w:sz="0" w:space="0" w:color="auto"/>
                        <w:bottom w:val="none" w:sz="0" w:space="0" w:color="auto"/>
                        <w:right w:val="none" w:sz="0" w:space="0" w:color="auto"/>
                      </w:divBdr>
                    </w:div>
                  </w:divsChild>
                </w:div>
                <w:div w:id="1950549125">
                  <w:marLeft w:val="0"/>
                  <w:marRight w:val="0"/>
                  <w:marTop w:val="0"/>
                  <w:marBottom w:val="0"/>
                  <w:divBdr>
                    <w:top w:val="none" w:sz="0" w:space="0" w:color="auto"/>
                    <w:left w:val="none" w:sz="0" w:space="0" w:color="auto"/>
                    <w:bottom w:val="none" w:sz="0" w:space="0" w:color="auto"/>
                    <w:right w:val="none" w:sz="0" w:space="0" w:color="auto"/>
                  </w:divBdr>
                  <w:divsChild>
                    <w:div w:id="1644041931">
                      <w:marLeft w:val="0"/>
                      <w:marRight w:val="0"/>
                      <w:marTop w:val="0"/>
                      <w:marBottom w:val="0"/>
                      <w:divBdr>
                        <w:top w:val="none" w:sz="0" w:space="0" w:color="auto"/>
                        <w:left w:val="none" w:sz="0" w:space="0" w:color="auto"/>
                        <w:bottom w:val="none" w:sz="0" w:space="0" w:color="auto"/>
                        <w:right w:val="none" w:sz="0" w:space="0" w:color="auto"/>
                      </w:divBdr>
                    </w:div>
                  </w:divsChild>
                </w:div>
                <w:div w:id="1957062225">
                  <w:marLeft w:val="0"/>
                  <w:marRight w:val="0"/>
                  <w:marTop w:val="0"/>
                  <w:marBottom w:val="0"/>
                  <w:divBdr>
                    <w:top w:val="none" w:sz="0" w:space="0" w:color="auto"/>
                    <w:left w:val="none" w:sz="0" w:space="0" w:color="auto"/>
                    <w:bottom w:val="none" w:sz="0" w:space="0" w:color="auto"/>
                    <w:right w:val="none" w:sz="0" w:space="0" w:color="auto"/>
                  </w:divBdr>
                  <w:divsChild>
                    <w:div w:id="261498609">
                      <w:marLeft w:val="0"/>
                      <w:marRight w:val="0"/>
                      <w:marTop w:val="0"/>
                      <w:marBottom w:val="0"/>
                      <w:divBdr>
                        <w:top w:val="none" w:sz="0" w:space="0" w:color="auto"/>
                        <w:left w:val="none" w:sz="0" w:space="0" w:color="auto"/>
                        <w:bottom w:val="none" w:sz="0" w:space="0" w:color="auto"/>
                        <w:right w:val="none" w:sz="0" w:space="0" w:color="auto"/>
                      </w:divBdr>
                    </w:div>
                  </w:divsChild>
                </w:div>
                <w:div w:id="1970043105">
                  <w:marLeft w:val="0"/>
                  <w:marRight w:val="0"/>
                  <w:marTop w:val="0"/>
                  <w:marBottom w:val="0"/>
                  <w:divBdr>
                    <w:top w:val="none" w:sz="0" w:space="0" w:color="auto"/>
                    <w:left w:val="none" w:sz="0" w:space="0" w:color="auto"/>
                    <w:bottom w:val="none" w:sz="0" w:space="0" w:color="auto"/>
                    <w:right w:val="none" w:sz="0" w:space="0" w:color="auto"/>
                  </w:divBdr>
                  <w:divsChild>
                    <w:div w:id="1098788220">
                      <w:marLeft w:val="0"/>
                      <w:marRight w:val="0"/>
                      <w:marTop w:val="0"/>
                      <w:marBottom w:val="0"/>
                      <w:divBdr>
                        <w:top w:val="none" w:sz="0" w:space="0" w:color="auto"/>
                        <w:left w:val="none" w:sz="0" w:space="0" w:color="auto"/>
                        <w:bottom w:val="none" w:sz="0" w:space="0" w:color="auto"/>
                        <w:right w:val="none" w:sz="0" w:space="0" w:color="auto"/>
                      </w:divBdr>
                    </w:div>
                  </w:divsChild>
                </w:div>
                <w:div w:id="1977248460">
                  <w:marLeft w:val="0"/>
                  <w:marRight w:val="0"/>
                  <w:marTop w:val="0"/>
                  <w:marBottom w:val="0"/>
                  <w:divBdr>
                    <w:top w:val="none" w:sz="0" w:space="0" w:color="auto"/>
                    <w:left w:val="none" w:sz="0" w:space="0" w:color="auto"/>
                    <w:bottom w:val="none" w:sz="0" w:space="0" w:color="auto"/>
                    <w:right w:val="none" w:sz="0" w:space="0" w:color="auto"/>
                  </w:divBdr>
                  <w:divsChild>
                    <w:div w:id="1288392556">
                      <w:marLeft w:val="0"/>
                      <w:marRight w:val="0"/>
                      <w:marTop w:val="0"/>
                      <w:marBottom w:val="0"/>
                      <w:divBdr>
                        <w:top w:val="none" w:sz="0" w:space="0" w:color="auto"/>
                        <w:left w:val="none" w:sz="0" w:space="0" w:color="auto"/>
                        <w:bottom w:val="none" w:sz="0" w:space="0" w:color="auto"/>
                        <w:right w:val="none" w:sz="0" w:space="0" w:color="auto"/>
                      </w:divBdr>
                    </w:div>
                  </w:divsChild>
                </w:div>
                <w:div w:id="1981154988">
                  <w:marLeft w:val="0"/>
                  <w:marRight w:val="0"/>
                  <w:marTop w:val="0"/>
                  <w:marBottom w:val="0"/>
                  <w:divBdr>
                    <w:top w:val="none" w:sz="0" w:space="0" w:color="auto"/>
                    <w:left w:val="none" w:sz="0" w:space="0" w:color="auto"/>
                    <w:bottom w:val="none" w:sz="0" w:space="0" w:color="auto"/>
                    <w:right w:val="none" w:sz="0" w:space="0" w:color="auto"/>
                  </w:divBdr>
                  <w:divsChild>
                    <w:div w:id="77293602">
                      <w:marLeft w:val="0"/>
                      <w:marRight w:val="0"/>
                      <w:marTop w:val="0"/>
                      <w:marBottom w:val="0"/>
                      <w:divBdr>
                        <w:top w:val="none" w:sz="0" w:space="0" w:color="auto"/>
                        <w:left w:val="none" w:sz="0" w:space="0" w:color="auto"/>
                        <w:bottom w:val="none" w:sz="0" w:space="0" w:color="auto"/>
                        <w:right w:val="none" w:sz="0" w:space="0" w:color="auto"/>
                      </w:divBdr>
                    </w:div>
                  </w:divsChild>
                </w:div>
                <w:div w:id="1993636625">
                  <w:marLeft w:val="0"/>
                  <w:marRight w:val="0"/>
                  <w:marTop w:val="0"/>
                  <w:marBottom w:val="0"/>
                  <w:divBdr>
                    <w:top w:val="none" w:sz="0" w:space="0" w:color="auto"/>
                    <w:left w:val="none" w:sz="0" w:space="0" w:color="auto"/>
                    <w:bottom w:val="none" w:sz="0" w:space="0" w:color="auto"/>
                    <w:right w:val="none" w:sz="0" w:space="0" w:color="auto"/>
                  </w:divBdr>
                  <w:divsChild>
                    <w:div w:id="1034040914">
                      <w:marLeft w:val="0"/>
                      <w:marRight w:val="0"/>
                      <w:marTop w:val="0"/>
                      <w:marBottom w:val="0"/>
                      <w:divBdr>
                        <w:top w:val="none" w:sz="0" w:space="0" w:color="auto"/>
                        <w:left w:val="none" w:sz="0" w:space="0" w:color="auto"/>
                        <w:bottom w:val="none" w:sz="0" w:space="0" w:color="auto"/>
                        <w:right w:val="none" w:sz="0" w:space="0" w:color="auto"/>
                      </w:divBdr>
                    </w:div>
                  </w:divsChild>
                </w:div>
                <w:div w:id="1995720083">
                  <w:marLeft w:val="0"/>
                  <w:marRight w:val="0"/>
                  <w:marTop w:val="0"/>
                  <w:marBottom w:val="0"/>
                  <w:divBdr>
                    <w:top w:val="none" w:sz="0" w:space="0" w:color="auto"/>
                    <w:left w:val="none" w:sz="0" w:space="0" w:color="auto"/>
                    <w:bottom w:val="none" w:sz="0" w:space="0" w:color="auto"/>
                    <w:right w:val="none" w:sz="0" w:space="0" w:color="auto"/>
                  </w:divBdr>
                  <w:divsChild>
                    <w:div w:id="325209123">
                      <w:marLeft w:val="0"/>
                      <w:marRight w:val="0"/>
                      <w:marTop w:val="0"/>
                      <w:marBottom w:val="0"/>
                      <w:divBdr>
                        <w:top w:val="none" w:sz="0" w:space="0" w:color="auto"/>
                        <w:left w:val="none" w:sz="0" w:space="0" w:color="auto"/>
                        <w:bottom w:val="none" w:sz="0" w:space="0" w:color="auto"/>
                        <w:right w:val="none" w:sz="0" w:space="0" w:color="auto"/>
                      </w:divBdr>
                    </w:div>
                  </w:divsChild>
                </w:div>
                <w:div w:id="1999535668">
                  <w:marLeft w:val="0"/>
                  <w:marRight w:val="0"/>
                  <w:marTop w:val="0"/>
                  <w:marBottom w:val="0"/>
                  <w:divBdr>
                    <w:top w:val="none" w:sz="0" w:space="0" w:color="auto"/>
                    <w:left w:val="none" w:sz="0" w:space="0" w:color="auto"/>
                    <w:bottom w:val="none" w:sz="0" w:space="0" w:color="auto"/>
                    <w:right w:val="none" w:sz="0" w:space="0" w:color="auto"/>
                  </w:divBdr>
                  <w:divsChild>
                    <w:div w:id="586841700">
                      <w:marLeft w:val="0"/>
                      <w:marRight w:val="0"/>
                      <w:marTop w:val="0"/>
                      <w:marBottom w:val="0"/>
                      <w:divBdr>
                        <w:top w:val="none" w:sz="0" w:space="0" w:color="auto"/>
                        <w:left w:val="none" w:sz="0" w:space="0" w:color="auto"/>
                        <w:bottom w:val="none" w:sz="0" w:space="0" w:color="auto"/>
                        <w:right w:val="none" w:sz="0" w:space="0" w:color="auto"/>
                      </w:divBdr>
                    </w:div>
                  </w:divsChild>
                </w:div>
                <w:div w:id="2001275555">
                  <w:marLeft w:val="0"/>
                  <w:marRight w:val="0"/>
                  <w:marTop w:val="0"/>
                  <w:marBottom w:val="0"/>
                  <w:divBdr>
                    <w:top w:val="none" w:sz="0" w:space="0" w:color="auto"/>
                    <w:left w:val="none" w:sz="0" w:space="0" w:color="auto"/>
                    <w:bottom w:val="none" w:sz="0" w:space="0" w:color="auto"/>
                    <w:right w:val="none" w:sz="0" w:space="0" w:color="auto"/>
                  </w:divBdr>
                  <w:divsChild>
                    <w:div w:id="1315992610">
                      <w:marLeft w:val="0"/>
                      <w:marRight w:val="0"/>
                      <w:marTop w:val="0"/>
                      <w:marBottom w:val="0"/>
                      <w:divBdr>
                        <w:top w:val="none" w:sz="0" w:space="0" w:color="auto"/>
                        <w:left w:val="none" w:sz="0" w:space="0" w:color="auto"/>
                        <w:bottom w:val="none" w:sz="0" w:space="0" w:color="auto"/>
                        <w:right w:val="none" w:sz="0" w:space="0" w:color="auto"/>
                      </w:divBdr>
                    </w:div>
                  </w:divsChild>
                </w:div>
                <w:div w:id="2015256760">
                  <w:marLeft w:val="0"/>
                  <w:marRight w:val="0"/>
                  <w:marTop w:val="0"/>
                  <w:marBottom w:val="0"/>
                  <w:divBdr>
                    <w:top w:val="none" w:sz="0" w:space="0" w:color="auto"/>
                    <w:left w:val="none" w:sz="0" w:space="0" w:color="auto"/>
                    <w:bottom w:val="none" w:sz="0" w:space="0" w:color="auto"/>
                    <w:right w:val="none" w:sz="0" w:space="0" w:color="auto"/>
                  </w:divBdr>
                  <w:divsChild>
                    <w:div w:id="256445771">
                      <w:marLeft w:val="0"/>
                      <w:marRight w:val="0"/>
                      <w:marTop w:val="0"/>
                      <w:marBottom w:val="0"/>
                      <w:divBdr>
                        <w:top w:val="none" w:sz="0" w:space="0" w:color="auto"/>
                        <w:left w:val="none" w:sz="0" w:space="0" w:color="auto"/>
                        <w:bottom w:val="none" w:sz="0" w:space="0" w:color="auto"/>
                        <w:right w:val="none" w:sz="0" w:space="0" w:color="auto"/>
                      </w:divBdr>
                    </w:div>
                  </w:divsChild>
                </w:div>
                <w:div w:id="2017342338">
                  <w:marLeft w:val="0"/>
                  <w:marRight w:val="0"/>
                  <w:marTop w:val="0"/>
                  <w:marBottom w:val="0"/>
                  <w:divBdr>
                    <w:top w:val="none" w:sz="0" w:space="0" w:color="auto"/>
                    <w:left w:val="none" w:sz="0" w:space="0" w:color="auto"/>
                    <w:bottom w:val="none" w:sz="0" w:space="0" w:color="auto"/>
                    <w:right w:val="none" w:sz="0" w:space="0" w:color="auto"/>
                  </w:divBdr>
                  <w:divsChild>
                    <w:div w:id="1030178527">
                      <w:marLeft w:val="0"/>
                      <w:marRight w:val="0"/>
                      <w:marTop w:val="0"/>
                      <w:marBottom w:val="0"/>
                      <w:divBdr>
                        <w:top w:val="none" w:sz="0" w:space="0" w:color="auto"/>
                        <w:left w:val="none" w:sz="0" w:space="0" w:color="auto"/>
                        <w:bottom w:val="none" w:sz="0" w:space="0" w:color="auto"/>
                        <w:right w:val="none" w:sz="0" w:space="0" w:color="auto"/>
                      </w:divBdr>
                    </w:div>
                  </w:divsChild>
                </w:div>
                <w:div w:id="2017804941">
                  <w:marLeft w:val="0"/>
                  <w:marRight w:val="0"/>
                  <w:marTop w:val="0"/>
                  <w:marBottom w:val="0"/>
                  <w:divBdr>
                    <w:top w:val="none" w:sz="0" w:space="0" w:color="auto"/>
                    <w:left w:val="none" w:sz="0" w:space="0" w:color="auto"/>
                    <w:bottom w:val="none" w:sz="0" w:space="0" w:color="auto"/>
                    <w:right w:val="none" w:sz="0" w:space="0" w:color="auto"/>
                  </w:divBdr>
                  <w:divsChild>
                    <w:div w:id="480462242">
                      <w:marLeft w:val="0"/>
                      <w:marRight w:val="0"/>
                      <w:marTop w:val="0"/>
                      <w:marBottom w:val="0"/>
                      <w:divBdr>
                        <w:top w:val="none" w:sz="0" w:space="0" w:color="auto"/>
                        <w:left w:val="none" w:sz="0" w:space="0" w:color="auto"/>
                        <w:bottom w:val="none" w:sz="0" w:space="0" w:color="auto"/>
                        <w:right w:val="none" w:sz="0" w:space="0" w:color="auto"/>
                      </w:divBdr>
                    </w:div>
                  </w:divsChild>
                </w:div>
                <w:div w:id="2027094921">
                  <w:marLeft w:val="0"/>
                  <w:marRight w:val="0"/>
                  <w:marTop w:val="0"/>
                  <w:marBottom w:val="0"/>
                  <w:divBdr>
                    <w:top w:val="none" w:sz="0" w:space="0" w:color="auto"/>
                    <w:left w:val="none" w:sz="0" w:space="0" w:color="auto"/>
                    <w:bottom w:val="none" w:sz="0" w:space="0" w:color="auto"/>
                    <w:right w:val="none" w:sz="0" w:space="0" w:color="auto"/>
                  </w:divBdr>
                  <w:divsChild>
                    <w:div w:id="159003575">
                      <w:marLeft w:val="0"/>
                      <w:marRight w:val="0"/>
                      <w:marTop w:val="0"/>
                      <w:marBottom w:val="0"/>
                      <w:divBdr>
                        <w:top w:val="none" w:sz="0" w:space="0" w:color="auto"/>
                        <w:left w:val="none" w:sz="0" w:space="0" w:color="auto"/>
                        <w:bottom w:val="none" w:sz="0" w:space="0" w:color="auto"/>
                        <w:right w:val="none" w:sz="0" w:space="0" w:color="auto"/>
                      </w:divBdr>
                    </w:div>
                  </w:divsChild>
                </w:div>
                <w:div w:id="2030720507">
                  <w:marLeft w:val="0"/>
                  <w:marRight w:val="0"/>
                  <w:marTop w:val="0"/>
                  <w:marBottom w:val="0"/>
                  <w:divBdr>
                    <w:top w:val="none" w:sz="0" w:space="0" w:color="auto"/>
                    <w:left w:val="none" w:sz="0" w:space="0" w:color="auto"/>
                    <w:bottom w:val="none" w:sz="0" w:space="0" w:color="auto"/>
                    <w:right w:val="none" w:sz="0" w:space="0" w:color="auto"/>
                  </w:divBdr>
                  <w:divsChild>
                    <w:div w:id="131410957">
                      <w:marLeft w:val="0"/>
                      <w:marRight w:val="0"/>
                      <w:marTop w:val="0"/>
                      <w:marBottom w:val="0"/>
                      <w:divBdr>
                        <w:top w:val="none" w:sz="0" w:space="0" w:color="auto"/>
                        <w:left w:val="none" w:sz="0" w:space="0" w:color="auto"/>
                        <w:bottom w:val="none" w:sz="0" w:space="0" w:color="auto"/>
                        <w:right w:val="none" w:sz="0" w:space="0" w:color="auto"/>
                      </w:divBdr>
                    </w:div>
                  </w:divsChild>
                </w:div>
                <w:div w:id="2035884115">
                  <w:marLeft w:val="0"/>
                  <w:marRight w:val="0"/>
                  <w:marTop w:val="0"/>
                  <w:marBottom w:val="0"/>
                  <w:divBdr>
                    <w:top w:val="none" w:sz="0" w:space="0" w:color="auto"/>
                    <w:left w:val="none" w:sz="0" w:space="0" w:color="auto"/>
                    <w:bottom w:val="none" w:sz="0" w:space="0" w:color="auto"/>
                    <w:right w:val="none" w:sz="0" w:space="0" w:color="auto"/>
                  </w:divBdr>
                  <w:divsChild>
                    <w:div w:id="1881353949">
                      <w:marLeft w:val="0"/>
                      <w:marRight w:val="0"/>
                      <w:marTop w:val="0"/>
                      <w:marBottom w:val="0"/>
                      <w:divBdr>
                        <w:top w:val="none" w:sz="0" w:space="0" w:color="auto"/>
                        <w:left w:val="none" w:sz="0" w:space="0" w:color="auto"/>
                        <w:bottom w:val="none" w:sz="0" w:space="0" w:color="auto"/>
                        <w:right w:val="none" w:sz="0" w:space="0" w:color="auto"/>
                      </w:divBdr>
                    </w:div>
                  </w:divsChild>
                </w:div>
                <w:div w:id="2041936253">
                  <w:marLeft w:val="0"/>
                  <w:marRight w:val="0"/>
                  <w:marTop w:val="0"/>
                  <w:marBottom w:val="0"/>
                  <w:divBdr>
                    <w:top w:val="none" w:sz="0" w:space="0" w:color="auto"/>
                    <w:left w:val="none" w:sz="0" w:space="0" w:color="auto"/>
                    <w:bottom w:val="none" w:sz="0" w:space="0" w:color="auto"/>
                    <w:right w:val="none" w:sz="0" w:space="0" w:color="auto"/>
                  </w:divBdr>
                  <w:divsChild>
                    <w:div w:id="1193108056">
                      <w:marLeft w:val="0"/>
                      <w:marRight w:val="0"/>
                      <w:marTop w:val="0"/>
                      <w:marBottom w:val="0"/>
                      <w:divBdr>
                        <w:top w:val="none" w:sz="0" w:space="0" w:color="auto"/>
                        <w:left w:val="none" w:sz="0" w:space="0" w:color="auto"/>
                        <w:bottom w:val="none" w:sz="0" w:space="0" w:color="auto"/>
                        <w:right w:val="none" w:sz="0" w:space="0" w:color="auto"/>
                      </w:divBdr>
                    </w:div>
                  </w:divsChild>
                </w:div>
                <w:div w:id="2049985617">
                  <w:marLeft w:val="0"/>
                  <w:marRight w:val="0"/>
                  <w:marTop w:val="0"/>
                  <w:marBottom w:val="0"/>
                  <w:divBdr>
                    <w:top w:val="none" w:sz="0" w:space="0" w:color="auto"/>
                    <w:left w:val="none" w:sz="0" w:space="0" w:color="auto"/>
                    <w:bottom w:val="none" w:sz="0" w:space="0" w:color="auto"/>
                    <w:right w:val="none" w:sz="0" w:space="0" w:color="auto"/>
                  </w:divBdr>
                  <w:divsChild>
                    <w:div w:id="266353391">
                      <w:marLeft w:val="0"/>
                      <w:marRight w:val="0"/>
                      <w:marTop w:val="0"/>
                      <w:marBottom w:val="0"/>
                      <w:divBdr>
                        <w:top w:val="none" w:sz="0" w:space="0" w:color="auto"/>
                        <w:left w:val="none" w:sz="0" w:space="0" w:color="auto"/>
                        <w:bottom w:val="none" w:sz="0" w:space="0" w:color="auto"/>
                        <w:right w:val="none" w:sz="0" w:space="0" w:color="auto"/>
                      </w:divBdr>
                    </w:div>
                  </w:divsChild>
                </w:div>
                <w:div w:id="2060934238">
                  <w:marLeft w:val="0"/>
                  <w:marRight w:val="0"/>
                  <w:marTop w:val="0"/>
                  <w:marBottom w:val="0"/>
                  <w:divBdr>
                    <w:top w:val="none" w:sz="0" w:space="0" w:color="auto"/>
                    <w:left w:val="none" w:sz="0" w:space="0" w:color="auto"/>
                    <w:bottom w:val="none" w:sz="0" w:space="0" w:color="auto"/>
                    <w:right w:val="none" w:sz="0" w:space="0" w:color="auto"/>
                  </w:divBdr>
                  <w:divsChild>
                    <w:div w:id="635332435">
                      <w:marLeft w:val="0"/>
                      <w:marRight w:val="0"/>
                      <w:marTop w:val="0"/>
                      <w:marBottom w:val="0"/>
                      <w:divBdr>
                        <w:top w:val="none" w:sz="0" w:space="0" w:color="auto"/>
                        <w:left w:val="none" w:sz="0" w:space="0" w:color="auto"/>
                        <w:bottom w:val="none" w:sz="0" w:space="0" w:color="auto"/>
                        <w:right w:val="none" w:sz="0" w:space="0" w:color="auto"/>
                      </w:divBdr>
                    </w:div>
                  </w:divsChild>
                </w:div>
                <w:div w:id="2062634825">
                  <w:marLeft w:val="0"/>
                  <w:marRight w:val="0"/>
                  <w:marTop w:val="0"/>
                  <w:marBottom w:val="0"/>
                  <w:divBdr>
                    <w:top w:val="none" w:sz="0" w:space="0" w:color="auto"/>
                    <w:left w:val="none" w:sz="0" w:space="0" w:color="auto"/>
                    <w:bottom w:val="none" w:sz="0" w:space="0" w:color="auto"/>
                    <w:right w:val="none" w:sz="0" w:space="0" w:color="auto"/>
                  </w:divBdr>
                  <w:divsChild>
                    <w:div w:id="1352294690">
                      <w:marLeft w:val="0"/>
                      <w:marRight w:val="0"/>
                      <w:marTop w:val="0"/>
                      <w:marBottom w:val="0"/>
                      <w:divBdr>
                        <w:top w:val="none" w:sz="0" w:space="0" w:color="auto"/>
                        <w:left w:val="none" w:sz="0" w:space="0" w:color="auto"/>
                        <w:bottom w:val="none" w:sz="0" w:space="0" w:color="auto"/>
                        <w:right w:val="none" w:sz="0" w:space="0" w:color="auto"/>
                      </w:divBdr>
                    </w:div>
                  </w:divsChild>
                </w:div>
                <w:div w:id="2062904764">
                  <w:marLeft w:val="0"/>
                  <w:marRight w:val="0"/>
                  <w:marTop w:val="0"/>
                  <w:marBottom w:val="0"/>
                  <w:divBdr>
                    <w:top w:val="none" w:sz="0" w:space="0" w:color="auto"/>
                    <w:left w:val="none" w:sz="0" w:space="0" w:color="auto"/>
                    <w:bottom w:val="none" w:sz="0" w:space="0" w:color="auto"/>
                    <w:right w:val="none" w:sz="0" w:space="0" w:color="auto"/>
                  </w:divBdr>
                  <w:divsChild>
                    <w:div w:id="2132942553">
                      <w:marLeft w:val="0"/>
                      <w:marRight w:val="0"/>
                      <w:marTop w:val="0"/>
                      <w:marBottom w:val="0"/>
                      <w:divBdr>
                        <w:top w:val="none" w:sz="0" w:space="0" w:color="auto"/>
                        <w:left w:val="none" w:sz="0" w:space="0" w:color="auto"/>
                        <w:bottom w:val="none" w:sz="0" w:space="0" w:color="auto"/>
                        <w:right w:val="none" w:sz="0" w:space="0" w:color="auto"/>
                      </w:divBdr>
                    </w:div>
                  </w:divsChild>
                </w:div>
                <w:div w:id="2075618908">
                  <w:marLeft w:val="0"/>
                  <w:marRight w:val="0"/>
                  <w:marTop w:val="0"/>
                  <w:marBottom w:val="0"/>
                  <w:divBdr>
                    <w:top w:val="none" w:sz="0" w:space="0" w:color="auto"/>
                    <w:left w:val="none" w:sz="0" w:space="0" w:color="auto"/>
                    <w:bottom w:val="none" w:sz="0" w:space="0" w:color="auto"/>
                    <w:right w:val="none" w:sz="0" w:space="0" w:color="auto"/>
                  </w:divBdr>
                  <w:divsChild>
                    <w:div w:id="1886984864">
                      <w:marLeft w:val="0"/>
                      <w:marRight w:val="0"/>
                      <w:marTop w:val="0"/>
                      <w:marBottom w:val="0"/>
                      <w:divBdr>
                        <w:top w:val="none" w:sz="0" w:space="0" w:color="auto"/>
                        <w:left w:val="none" w:sz="0" w:space="0" w:color="auto"/>
                        <w:bottom w:val="none" w:sz="0" w:space="0" w:color="auto"/>
                        <w:right w:val="none" w:sz="0" w:space="0" w:color="auto"/>
                      </w:divBdr>
                    </w:div>
                  </w:divsChild>
                </w:div>
                <w:div w:id="2081705716">
                  <w:marLeft w:val="0"/>
                  <w:marRight w:val="0"/>
                  <w:marTop w:val="0"/>
                  <w:marBottom w:val="0"/>
                  <w:divBdr>
                    <w:top w:val="none" w:sz="0" w:space="0" w:color="auto"/>
                    <w:left w:val="none" w:sz="0" w:space="0" w:color="auto"/>
                    <w:bottom w:val="none" w:sz="0" w:space="0" w:color="auto"/>
                    <w:right w:val="none" w:sz="0" w:space="0" w:color="auto"/>
                  </w:divBdr>
                  <w:divsChild>
                    <w:div w:id="1193422097">
                      <w:marLeft w:val="0"/>
                      <w:marRight w:val="0"/>
                      <w:marTop w:val="0"/>
                      <w:marBottom w:val="0"/>
                      <w:divBdr>
                        <w:top w:val="none" w:sz="0" w:space="0" w:color="auto"/>
                        <w:left w:val="none" w:sz="0" w:space="0" w:color="auto"/>
                        <w:bottom w:val="none" w:sz="0" w:space="0" w:color="auto"/>
                        <w:right w:val="none" w:sz="0" w:space="0" w:color="auto"/>
                      </w:divBdr>
                    </w:div>
                  </w:divsChild>
                </w:div>
                <w:div w:id="2081754827">
                  <w:marLeft w:val="0"/>
                  <w:marRight w:val="0"/>
                  <w:marTop w:val="0"/>
                  <w:marBottom w:val="0"/>
                  <w:divBdr>
                    <w:top w:val="none" w:sz="0" w:space="0" w:color="auto"/>
                    <w:left w:val="none" w:sz="0" w:space="0" w:color="auto"/>
                    <w:bottom w:val="none" w:sz="0" w:space="0" w:color="auto"/>
                    <w:right w:val="none" w:sz="0" w:space="0" w:color="auto"/>
                  </w:divBdr>
                  <w:divsChild>
                    <w:div w:id="1267736007">
                      <w:marLeft w:val="0"/>
                      <w:marRight w:val="0"/>
                      <w:marTop w:val="0"/>
                      <w:marBottom w:val="0"/>
                      <w:divBdr>
                        <w:top w:val="none" w:sz="0" w:space="0" w:color="auto"/>
                        <w:left w:val="none" w:sz="0" w:space="0" w:color="auto"/>
                        <w:bottom w:val="none" w:sz="0" w:space="0" w:color="auto"/>
                        <w:right w:val="none" w:sz="0" w:space="0" w:color="auto"/>
                      </w:divBdr>
                    </w:div>
                  </w:divsChild>
                </w:div>
                <w:div w:id="2084176177">
                  <w:marLeft w:val="0"/>
                  <w:marRight w:val="0"/>
                  <w:marTop w:val="0"/>
                  <w:marBottom w:val="0"/>
                  <w:divBdr>
                    <w:top w:val="none" w:sz="0" w:space="0" w:color="auto"/>
                    <w:left w:val="none" w:sz="0" w:space="0" w:color="auto"/>
                    <w:bottom w:val="none" w:sz="0" w:space="0" w:color="auto"/>
                    <w:right w:val="none" w:sz="0" w:space="0" w:color="auto"/>
                  </w:divBdr>
                  <w:divsChild>
                    <w:div w:id="542717882">
                      <w:marLeft w:val="0"/>
                      <w:marRight w:val="0"/>
                      <w:marTop w:val="0"/>
                      <w:marBottom w:val="0"/>
                      <w:divBdr>
                        <w:top w:val="none" w:sz="0" w:space="0" w:color="auto"/>
                        <w:left w:val="none" w:sz="0" w:space="0" w:color="auto"/>
                        <w:bottom w:val="none" w:sz="0" w:space="0" w:color="auto"/>
                        <w:right w:val="none" w:sz="0" w:space="0" w:color="auto"/>
                      </w:divBdr>
                    </w:div>
                  </w:divsChild>
                </w:div>
                <w:div w:id="2084250768">
                  <w:marLeft w:val="0"/>
                  <w:marRight w:val="0"/>
                  <w:marTop w:val="0"/>
                  <w:marBottom w:val="0"/>
                  <w:divBdr>
                    <w:top w:val="none" w:sz="0" w:space="0" w:color="auto"/>
                    <w:left w:val="none" w:sz="0" w:space="0" w:color="auto"/>
                    <w:bottom w:val="none" w:sz="0" w:space="0" w:color="auto"/>
                    <w:right w:val="none" w:sz="0" w:space="0" w:color="auto"/>
                  </w:divBdr>
                  <w:divsChild>
                    <w:div w:id="1402869037">
                      <w:marLeft w:val="0"/>
                      <w:marRight w:val="0"/>
                      <w:marTop w:val="0"/>
                      <w:marBottom w:val="0"/>
                      <w:divBdr>
                        <w:top w:val="none" w:sz="0" w:space="0" w:color="auto"/>
                        <w:left w:val="none" w:sz="0" w:space="0" w:color="auto"/>
                        <w:bottom w:val="none" w:sz="0" w:space="0" w:color="auto"/>
                        <w:right w:val="none" w:sz="0" w:space="0" w:color="auto"/>
                      </w:divBdr>
                    </w:div>
                  </w:divsChild>
                </w:div>
                <w:div w:id="2089230726">
                  <w:marLeft w:val="0"/>
                  <w:marRight w:val="0"/>
                  <w:marTop w:val="0"/>
                  <w:marBottom w:val="0"/>
                  <w:divBdr>
                    <w:top w:val="none" w:sz="0" w:space="0" w:color="auto"/>
                    <w:left w:val="none" w:sz="0" w:space="0" w:color="auto"/>
                    <w:bottom w:val="none" w:sz="0" w:space="0" w:color="auto"/>
                    <w:right w:val="none" w:sz="0" w:space="0" w:color="auto"/>
                  </w:divBdr>
                  <w:divsChild>
                    <w:div w:id="1296065406">
                      <w:marLeft w:val="0"/>
                      <w:marRight w:val="0"/>
                      <w:marTop w:val="0"/>
                      <w:marBottom w:val="0"/>
                      <w:divBdr>
                        <w:top w:val="none" w:sz="0" w:space="0" w:color="auto"/>
                        <w:left w:val="none" w:sz="0" w:space="0" w:color="auto"/>
                        <w:bottom w:val="none" w:sz="0" w:space="0" w:color="auto"/>
                        <w:right w:val="none" w:sz="0" w:space="0" w:color="auto"/>
                      </w:divBdr>
                    </w:div>
                  </w:divsChild>
                </w:div>
                <w:div w:id="2094541958">
                  <w:marLeft w:val="0"/>
                  <w:marRight w:val="0"/>
                  <w:marTop w:val="0"/>
                  <w:marBottom w:val="0"/>
                  <w:divBdr>
                    <w:top w:val="none" w:sz="0" w:space="0" w:color="auto"/>
                    <w:left w:val="none" w:sz="0" w:space="0" w:color="auto"/>
                    <w:bottom w:val="none" w:sz="0" w:space="0" w:color="auto"/>
                    <w:right w:val="none" w:sz="0" w:space="0" w:color="auto"/>
                  </w:divBdr>
                  <w:divsChild>
                    <w:div w:id="1446198683">
                      <w:marLeft w:val="0"/>
                      <w:marRight w:val="0"/>
                      <w:marTop w:val="0"/>
                      <w:marBottom w:val="0"/>
                      <w:divBdr>
                        <w:top w:val="none" w:sz="0" w:space="0" w:color="auto"/>
                        <w:left w:val="none" w:sz="0" w:space="0" w:color="auto"/>
                        <w:bottom w:val="none" w:sz="0" w:space="0" w:color="auto"/>
                        <w:right w:val="none" w:sz="0" w:space="0" w:color="auto"/>
                      </w:divBdr>
                    </w:div>
                  </w:divsChild>
                </w:div>
                <w:div w:id="2094668228">
                  <w:marLeft w:val="0"/>
                  <w:marRight w:val="0"/>
                  <w:marTop w:val="0"/>
                  <w:marBottom w:val="0"/>
                  <w:divBdr>
                    <w:top w:val="none" w:sz="0" w:space="0" w:color="auto"/>
                    <w:left w:val="none" w:sz="0" w:space="0" w:color="auto"/>
                    <w:bottom w:val="none" w:sz="0" w:space="0" w:color="auto"/>
                    <w:right w:val="none" w:sz="0" w:space="0" w:color="auto"/>
                  </w:divBdr>
                  <w:divsChild>
                    <w:div w:id="483274765">
                      <w:marLeft w:val="0"/>
                      <w:marRight w:val="0"/>
                      <w:marTop w:val="0"/>
                      <w:marBottom w:val="0"/>
                      <w:divBdr>
                        <w:top w:val="none" w:sz="0" w:space="0" w:color="auto"/>
                        <w:left w:val="none" w:sz="0" w:space="0" w:color="auto"/>
                        <w:bottom w:val="none" w:sz="0" w:space="0" w:color="auto"/>
                        <w:right w:val="none" w:sz="0" w:space="0" w:color="auto"/>
                      </w:divBdr>
                    </w:div>
                  </w:divsChild>
                </w:div>
                <w:div w:id="2104300070">
                  <w:marLeft w:val="0"/>
                  <w:marRight w:val="0"/>
                  <w:marTop w:val="0"/>
                  <w:marBottom w:val="0"/>
                  <w:divBdr>
                    <w:top w:val="none" w:sz="0" w:space="0" w:color="auto"/>
                    <w:left w:val="none" w:sz="0" w:space="0" w:color="auto"/>
                    <w:bottom w:val="none" w:sz="0" w:space="0" w:color="auto"/>
                    <w:right w:val="none" w:sz="0" w:space="0" w:color="auto"/>
                  </w:divBdr>
                  <w:divsChild>
                    <w:div w:id="364063563">
                      <w:marLeft w:val="0"/>
                      <w:marRight w:val="0"/>
                      <w:marTop w:val="0"/>
                      <w:marBottom w:val="0"/>
                      <w:divBdr>
                        <w:top w:val="none" w:sz="0" w:space="0" w:color="auto"/>
                        <w:left w:val="none" w:sz="0" w:space="0" w:color="auto"/>
                        <w:bottom w:val="none" w:sz="0" w:space="0" w:color="auto"/>
                        <w:right w:val="none" w:sz="0" w:space="0" w:color="auto"/>
                      </w:divBdr>
                    </w:div>
                  </w:divsChild>
                </w:div>
                <w:div w:id="2105956256">
                  <w:marLeft w:val="0"/>
                  <w:marRight w:val="0"/>
                  <w:marTop w:val="0"/>
                  <w:marBottom w:val="0"/>
                  <w:divBdr>
                    <w:top w:val="none" w:sz="0" w:space="0" w:color="auto"/>
                    <w:left w:val="none" w:sz="0" w:space="0" w:color="auto"/>
                    <w:bottom w:val="none" w:sz="0" w:space="0" w:color="auto"/>
                    <w:right w:val="none" w:sz="0" w:space="0" w:color="auto"/>
                  </w:divBdr>
                  <w:divsChild>
                    <w:div w:id="1655261572">
                      <w:marLeft w:val="0"/>
                      <w:marRight w:val="0"/>
                      <w:marTop w:val="0"/>
                      <w:marBottom w:val="0"/>
                      <w:divBdr>
                        <w:top w:val="none" w:sz="0" w:space="0" w:color="auto"/>
                        <w:left w:val="none" w:sz="0" w:space="0" w:color="auto"/>
                        <w:bottom w:val="none" w:sz="0" w:space="0" w:color="auto"/>
                        <w:right w:val="none" w:sz="0" w:space="0" w:color="auto"/>
                      </w:divBdr>
                    </w:div>
                  </w:divsChild>
                </w:div>
                <w:div w:id="2120907247">
                  <w:marLeft w:val="0"/>
                  <w:marRight w:val="0"/>
                  <w:marTop w:val="0"/>
                  <w:marBottom w:val="0"/>
                  <w:divBdr>
                    <w:top w:val="none" w:sz="0" w:space="0" w:color="auto"/>
                    <w:left w:val="none" w:sz="0" w:space="0" w:color="auto"/>
                    <w:bottom w:val="none" w:sz="0" w:space="0" w:color="auto"/>
                    <w:right w:val="none" w:sz="0" w:space="0" w:color="auto"/>
                  </w:divBdr>
                  <w:divsChild>
                    <w:div w:id="1010988744">
                      <w:marLeft w:val="0"/>
                      <w:marRight w:val="0"/>
                      <w:marTop w:val="0"/>
                      <w:marBottom w:val="0"/>
                      <w:divBdr>
                        <w:top w:val="none" w:sz="0" w:space="0" w:color="auto"/>
                        <w:left w:val="none" w:sz="0" w:space="0" w:color="auto"/>
                        <w:bottom w:val="none" w:sz="0" w:space="0" w:color="auto"/>
                        <w:right w:val="none" w:sz="0" w:space="0" w:color="auto"/>
                      </w:divBdr>
                    </w:div>
                  </w:divsChild>
                </w:div>
                <w:div w:id="2120952925">
                  <w:marLeft w:val="0"/>
                  <w:marRight w:val="0"/>
                  <w:marTop w:val="0"/>
                  <w:marBottom w:val="0"/>
                  <w:divBdr>
                    <w:top w:val="none" w:sz="0" w:space="0" w:color="auto"/>
                    <w:left w:val="none" w:sz="0" w:space="0" w:color="auto"/>
                    <w:bottom w:val="none" w:sz="0" w:space="0" w:color="auto"/>
                    <w:right w:val="none" w:sz="0" w:space="0" w:color="auto"/>
                  </w:divBdr>
                  <w:divsChild>
                    <w:div w:id="794642884">
                      <w:marLeft w:val="0"/>
                      <w:marRight w:val="0"/>
                      <w:marTop w:val="0"/>
                      <w:marBottom w:val="0"/>
                      <w:divBdr>
                        <w:top w:val="none" w:sz="0" w:space="0" w:color="auto"/>
                        <w:left w:val="none" w:sz="0" w:space="0" w:color="auto"/>
                        <w:bottom w:val="none" w:sz="0" w:space="0" w:color="auto"/>
                        <w:right w:val="none" w:sz="0" w:space="0" w:color="auto"/>
                      </w:divBdr>
                    </w:div>
                  </w:divsChild>
                </w:div>
                <w:div w:id="2121803926">
                  <w:marLeft w:val="0"/>
                  <w:marRight w:val="0"/>
                  <w:marTop w:val="0"/>
                  <w:marBottom w:val="0"/>
                  <w:divBdr>
                    <w:top w:val="none" w:sz="0" w:space="0" w:color="auto"/>
                    <w:left w:val="none" w:sz="0" w:space="0" w:color="auto"/>
                    <w:bottom w:val="none" w:sz="0" w:space="0" w:color="auto"/>
                    <w:right w:val="none" w:sz="0" w:space="0" w:color="auto"/>
                  </w:divBdr>
                  <w:divsChild>
                    <w:div w:id="1496609903">
                      <w:marLeft w:val="0"/>
                      <w:marRight w:val="0"/>
                      <w:marTop w:val="0"/>
                      <w:marBottom w:val="0"/>
                      <w:divBdr>
                        <w:top w:val="none" w:sz="0" w:space="0" w:color="auto"/>
                        <w:left w:val="none" w:sz="0" w:space="0" w:color="auto"/>
                        <w:bottom w:val="none" w:sz="0" w:space="0" w:color="auto"/>
                        <w:right w:val="none" w:sz="0" w:space="0" w:color="auto"/>
                      </w:divBdr>
                    </w:div>
                  </w:divsChild>
                </w:div>
                <w:div w:id="2122725706">
                  <w:marLeft w:val="0"/>
                  <w:marRight w:val="0"/>
                  <w:marTop w:val="0"/>
                  <w:marBottom w:val="0"/>
                  <w:divBdr>
                    <w:top w:val="none" w:sz="0" w:space="0" w:color="auto"/>
                    <w:left w:val="none" w:sz="0" w:space="0" w:color="auto"/>
                    <w:bottom w:val="none" w:sz="0" w:space="0" w:color="auto"/>
                    <w:right w:val="none" w:sz="0" w:space="0" w:color="auto"/>
                  </w:divBdr>
                  <w:divsChild>
                    <w:div w:id="1300573107">
                      <w:marLeft w:val="0"/>
                      <w:marRight w:val="0"/>
                      <w:marTop w:val="0"/>
                      <w:marBottom w:val="0"/>
                      <w:divBdr>
                        <w:top w:val="none" w:sz="0" w:space="0" w:color="auto"/>
                        <w:left w:val="none" w:sz="0" w:space="0" w:color="auto"/>
                        <w:bottom w:val="none" w:sz="0" w:space="0" w:color="auto"/>
                        <w:right w:val="none" w:sz="0" w:space="0" w:color="auto"/>
                      </w:divBdr>
                    </w:div>
                  </w:divsChild>
                </w:div>
                <w:div w:id="2123448936">
                  <w:marLeft w:val="0"/>
                  <w:marRight w:val="0"/>
                  <w:marTop w:val="0"/>
                  <w:marBottom w:val="0"/>
                  <w:divBdr>
                    <w:top w:val="none" w:sz="0" w:space="0" w:color="auto"/>
                    <w:left w:val="none" w:sz="0" w:space="0" w:color="auto"/>
                    <w:bottom w:val="none" w:sz="0" w:space="0" w:color="auto"/>
                    <w:right w:val="none" w:sz="0" w:space="0" w:color="auto"/>
                  </w:divBdr>
                  <w:divsChild>
                    <w:div w:id="2101363693">
                      <w:marLeft w:val="0"/>
                      <w:marRight w:val="0"/>
                      <w:marTop w:val="0"/>
                      <w:marBottom w:val="0"/>
                      <w:divBdr>
                        <w:top w:val="none" w:sz="0" w:space="0" w:color="auto"/>
                        <w:left w:val="none" w:sz="0" w:space="0" w:color="auto"/>
                        <w:bottom w:val="none" w:sz="0" w:space="0" w:color="auto"/>
                        <w:right w:val="none" w:sz="0" w:space="0" w:color="auto"/>
                      </w:divBdr>
                    </w:div>
                  </w:divsChild>
                </w:div>
                <w:div w:id="2128964001">
                  <w:marLeft w:val="0"/>
                  <w:marRight w:val="0"/>
                  <w:marTop w:val="0"/>
                  <w:marBottom w:val="0"/>
                  <w:divBdr>
                    <w:top w:val="none" w:sz="0" w:space="0" w:color="auto"/>
                    <w:left w:val="none" w:sz="0" w:space="0" w:color="auto"/>
                    <w:bottom w:val="none" w:sz="0" w:space="0" w:color="auto"/>
                    <w:right w:val="none" w:sz="0" w:space="0" w:color="auto"/>
                  </w:divBdr>
                  <w:divsChild>
                    <w:div w:id="2092651235">
                      <w:marLeft w:val="0"/>
                      <w:marRight w:val="0"/>
                      <w:marTop w:val="0"/>
                      <w:marBottom w:val="0"/>
                      <w:divBdr>
                        <w:top w:val="none" w:sz="0" w:space="0" w:color="auto"/>
                        <w:left w:val="none" w:sz="0" w:space="0" w:color="auto"/>
                        <w:bottom w:val="none" w:sz="0" w:space="0" w:color="auto"/>
                        <w:right w:val="none" w:sz="0" w:space="0" w:color="auto"/>
                      </w:divBdr>
                    </w:div>
                  </w:divsChild>
                </w:div>
                <w:div w:id="2132748909">
                  <w:marLeft w:val="0"/>
                  <w:marRight w:val="0"/>
                  <w:marTop w:val="0"/>
                  <w:marBottom w:val="0"/>
                  <w:divBdr>
                    <w:top w:val="none" w:sz="0" w:space="0" w:color="auto"/>
                    <w:left w:val="none" w:sz="0" w:space="0" w:color="auto"/>
                    <w:bottom w:val="none" w:sz="0" w:space="0" w:color="auto"/>
                    <w:right w:val="none" w:sz="0" w:space="0" w:color="auto"/>
                  </w:divBdr>
                  <w:divsChild>
                    <w:div w:id="862669179">
                      <w:marLeft w:val="0"/>
                      <w:marRight w:val="0"/>
                      <w:marTop w:val="0"/>
                      <w:marBottom w:val="0"/>
                      <w:divBdr>
                        <w:top w:val="none" w:sz="0" w:space="0" w:color="auto"/>
                        <w:left w:val="none" w:sz="0" w:space="0" w:color="auto"/>
                        <w:bottom w:val="none" w:sz="0" w:space="0" w:color="auto"/>
                        <w:right w:val="none" w:sz="0" w:space="0" w:color="auto"/>
                      </w:divBdr>
                    </w:div>
                  </w:divsChild>
                </w:div>
                <w:div w:id="2133206559">
                  <w:marLeft w:val="0"/>
                  <w:marRight w:val="0"/>
                  <w:marTop w:val="0"/>
                  <w:marBottom w:val="0"/>
                  <w:divBdr>
                    <w:top w:val="none" w:sz="0" w:space="0" w:color="auto"/>
                    <w:left w:val="none" w:sz="0" w:space="0" w:color="auto"/>
                    <w:bottom w:val="none" w:sz="0" w:space="0" w:color="auto"/>
                    <w:right w:val="none" w:sz="0" w:space="0" w:color="auto"/>
                  </w:divBdr>
                  <w:divsChild>
                    <w:div w:id="1046027339">
                      <w:marLeft w:val="0"/>
                      <w:marRight w:val="0"/>
                      <w:marTop w:val="0"/>
                      <w:marBottom w:val="0"/>
                      <w:divBdr>
                        <w:top w:val="none" w:sz="0" w:space="0" w:color="auto"/>
                        <w:left w:val="none" w:sz="0" w:space="0" w:color="auto"/>
                        <w:bottom w:val="none" w:sz="0" w:space="0" w:color="auto"/>
                        <w:right w:val="none" w:sz="0" w:space="0" w:color="auto"/>
                      </w:divBdr>
                    </w:div>
                  </w:divsChild>
                </w:div>
                <w:div w:id="2133398376">
                  <w:marLeft w:val="0"/>
                  <w:marRight w:val="0"/>
                  <w:marTop w:val="0"/>
                  <w:marBottom w:val="0"/>
                  <w:divBdr>
                    <w:top w:val="none" w:sz="0" w:space="0" w:color="auto"/>
                    <w:left w:val="none" w:sz="0" w:space="0" w:color="auto"/>
                    <w:bottom w:val="none" w:sz="0" w:space="0" w:color="auto"/>
                    <w:right w:val="none" w:sz="0" w:space="0" w:color="auto"/>
                  </w:divBdr>
                  <w:divsChild>
                    <w:div w:id="574363526">
                      <w:marLeft w:val="0"/>
                      <w:marRight w:val="0"/>
                      <w:marTop w:val="0"/>
                      <w:marBottom w:val="0"/>
                      <w:divBdr>
                        <w:top w:val="none" w:sz="0" w:space="0" w:color="auto"/>
                        <w:left w:val="none" w:sz="0" w:space="0" w:color="auto"/>
                        <w:bottom w:val="none" w:sz="0" w:space="0" w:color="auto"/>
                        <w:right w:val="none" w:sz="0" w:space="0" w:color="auto"/>
                      </w:divBdr>
                    </w:div>
                  </w:divsChild>
                </w:div>
                <w:div w:id="2135129769">
                  <w:marLeft w:val="0"/>
                  <w:marRight w:val="0"/>
                  <w:marTop w:val="0"/>
                  <w:marBottom w:val="0"/>
                  <w:divBdr>
                    <w:top w:val="none" w:sz="0" w:space="0" w:color="auto"/>
                    <w:left w:val="none" w:sz="0" w:space="0" w:color="auto"/>
                    <w:bottom w:val="none" w:sz="0" w:space="0" w:color="auto"/>
                    <w:right w:val="none" w:sz="0" w:space="0" w:color="auto"/>
                  </w:divBdr>
                  <w:divsChild>
                    <w:div w:id="2048555667">
                      <w:marLeft w:val="0"/>
                      <w:marRight w:val="0"/>
                      <w:marTop w:val="0"/>
                      <w:marBottom w:val="0"/>
                      <w:divBdr>
                        <w:top w:val="none" w:sz="0" w:space="0" w:color="auto"/>
                        <w:left w:val="none" w:sz="0" w:space="0" w:color="auto"/>
                        <w:bottom w:val="none" w:sz="0" w:space="0" w:color="auto"/>
                        <w:right w:val="none" w:sz="0" w:space="0" w:color="auto"/>
                      </w:divBdr>
                    </w:div>
                  </w:divsChild>
                </w:div>
                <w:div w:id="2140223727">
                  <w:marLeft w:val="0"/>
                  <w:marRight w:val="0"/>
                  <w:marTop w:val="0"/>
                  <w:marBottom w:val="0"/>
                  <w:divBdr>
                    <w:top w:val="none" w:sz="0" w:space="0" w:color="auto"/>
                    <w:left w:val="none" w:sz="0" w:space="0" w:color="auto"/>
                    <w:bottom w:val="none" w:sz="0" w:space="0" w:color="auto"/>
                    <w:right w:val="none" w:sz="0" w:space="0" w:color="auto"/>
                  </w:divBdr>
                  <w:divsChild>
                    <w:div w:id="3733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176784">
          <w:marLeft w:val="0"/>
          <w:marRight w:val="0"/>
          <w:marTop w:val="0"/>
          <w:marBottom w:val="0"/>
          <w:divBdr>
            <w:top w:val="none" w:sz="0" w:space="0" w:color="auto"/>
            <w:left w:val="none" w:sz="0" w:space="0" w:color="auto"/>
            <w:bottom w:val="none" w:sz="0" w:space="0" w:color="auto"/>
            <w:right w:val="none" w:sz="0" w:space="0" w:color="auto"/>
          </w:divBdr>
          <w:divsChild>
            <w:div w:id="83696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998010">
      <w:bodyDiv w:val="1"/>
      <w:marLeft w:val="0"/>
      <w:marRight w:val="0"/>
      <w:marTop w:val="0"/>
      <w:marBottom w:val="0"/>
      <w:divBdr>
        <w:top w:val="none" w:sz="0" w:space="0" w:color="auto"/>
        <w:left w:val="none" w:sz="0" w:space="0" w:color="auto"/>
        <w:bottom w:val="none" w:sz="0" w:space="0" w:color="auto"/>
        <w:right w:val="none" w:sz="0" w:space="0" w:color="auto"/>
      </w:divBdr>
    </w:div>
    <w:div w:id="1359086352">
      <w:bodyDiv w:val="1"/>
      <w:marLeft w:val="0"/>
      <w:marRight w:val="0"/>
      <w:marTop w:val="0"/>
      <w:marBottom w:val="0"/>
      <w:divBdr>
        <w:top w:val="none" w:sz="0" w:space="0" w:color="auto"/>
        <w:left w:val="none" w:sz="0" w:space="0" w:color="auto"/>
        <w:bottom w:val="none" w:sz="0" w:space="0" w:color="auto"/>
        <w:right w:val="none" w:sz="0" w:space="0" w:color="auto"/>
      </w:divBdr>
    </w:div>
    <w:div w:id="1361593181">
      <w:bodyDiv w:val="1"/>
      <w:marLeft w:val="0"/>
      <w:marRight w:val="0"/>
      <w:marTop w:val="0"/>
      <w:marBottom w:val="0"/>
      <w:divBdr>
        <w:top w:val="none" w:sz="0" w:space="0" w:color="auto"/>
        <w:left w:val="none" w:sz="0" w:space="0" w:color="auto"/>
        <w:bottom w:val="none" w:sz="0" w:space="0" w:color="auto"/>
        <w:right w:val="none" w:sz="0" w:space="0" w:color="auto"/>
      </w:divBdr>
    </w:div>
    <w:div w:id="1369333068">
      <w:bodyDiv w:val="1"/>
      <w:marLeft w:val="0"/>
      <w:marRight w:val="0"/>
      <w:marTop w:val="0"/>
      <w:marBottom w:val="0"/>
      <w:divBdr>
        <w:top w:val="none" w:sz="0" w:space="0" w:color="auto"/>
        <w:left w:val="none" w:sz="0" w:space="0" w:color="auto"/>
        <w:bottom w:val="none" w:sz="0" w:space="0" w:color="auto"/>
        <w:right w:val="none" w:sz="0" w:space="0" w:color="auto"/>
      </w:divBdr>
    </w:div>
    <w:div w:id="1386180424">
      <w:bodyDiv w:val="1"/>
      <w:marLeft w:val="0"/>
      <w:marRight w:val="0"/>
      <w:marTop w:val="0"/>
      <w:marBottom w:val="0"/>
      <w:divBdr>
        <w:top w:val="none" w:sz="0" w:space="0" w:color="auto"/>
        <w:left w:val="none" w:sz="0" w:space="0" w:color="auto"/>
        <w:bottom w:val="none" w:sz="0" w:space="0" w:color="auto"/>
        <w:right w:val="none" w:sz="0" w:space="0" w:color="auto"/>
      </w:divBdr>
    </w:div>
    <w:div w:id="1390374499">
      <w:bodyDiv w:val="1"/>
      <w:marLeft w:val="0"/>
      <w:marRight w:val="0"/>
      <w:marTop w:val="0"/>
      <w:marBottom w:val="0"/>
      <w:divBdr>
        <w:top w:val="none" w:sz="0" w:space="0" w:color="auto"/>
        <w:left w:val="none" w:sz="0" w:space="0" w:color="auto"/>
        <w:bottom w:val="none" w:sz="0" w:space="0" w:color="auto"/>
        <w:right w:val="none" w:sz="0" w:space="0" w:color="auto"/>
      </w:divBdr>
    </w:div>
    <w:div w:id="1393890667">
      <w:bodyDiv w:val="1"/>
      <w:marLeft w:val="0"/>
      <w:marRight w:val="0"/>
      <w:marTop w:val="0"/>
      <w:marBottom w:val="0"/>
      <w:divBdr>
        <w:top w:val="none" w:sz="0" w:space="0" w:color="auto"/>
        <w:left w:val="none" w:sz="0" w:space="0" w:color="auto"/>
        <w:bottom w:val="none" w:sz="0" w:space="0" w:color="auto"/>
        <w:right w:val="none" w:sz="0" w:space="0" w:color="auto"/>
      </w:divBdr>
    </w:div>
    <w:div w:id="1437024562">
      <w:bodyDiv w:val="1"/>
      <w:marLeft w:val="0"/>
      <w:marRight w:val="0"/>
      <w:marTop w:val="0"/>
      <w:marBottom w:val="0"/>
      <w:divBdr>
        <w:top w:val="none" w:sz="0" w:space="0" w:color="auto"/>
        <w:left w:val="none" w:sz="0" w:space="0" w:color="auto"/>
        <w:bottom w:val="none" w:sz="0" w:space="0" w:color="auto"/>
        <w:right w:val="none" w:sz="0" w:space="0" w:color="auto"/>
      </w:divBdr>
    </w:div>
    <w:div w:id="1452476005">
      <w:bodyDiv w:val="1"/>
      <w:marLeft w:val="0"/>
      <w:marRight w:val="0"/>
      <w:marTop w:val="0"/>
      <w:marBottom w:val="0"/>
      <w:divBdr>
        <w:top w:val="none" w:sz="0" w:space="0" w:color="auto"/>
        <w:left w:val="none" w:sz="0" w:space="0" w:color="auto"/>
        <w:bottom w:val="none" w:sz="0" w:space="0" w:color="auto"/>
        <w:right w:val="none" w:sz="0" w:space="0" w:color="auto"/>
      </w:divBdr>
      <w:divsChild>
        <w:div w:id="71321278">
          <w:marLeft w:val="0"/>
          <w:marRight w:val="0"/>
          <w:marTop w:val="0"/>
          <w:marBottom w:val="0"/>
          <w:divBdr>
            <w:top w:val="none" w:sz="0" w:space="0" w:color="auto"/>
            <w:left w:val="none" w:sz="0" w:space="0" w:color="auto"/>
            <w:bottom w:val="none" w:sz="0" w:space="0" w:color="auto"/>
            <w:right w:val="none" w:sz="0" w:space="0" w:color="auto"/>
          </w:divBdr>
          <w:divsChild>
            <w:div w:id="1045637306">
              <w:marLeft w:val="0"/>
              <w:marRight w:val="0"/>
              <w:marTop w:val="0"/>
              <w:marBottom w:val="0"/>
              <w:divBdr>
                <w:top w:val="none" w:sz="0" w:space="0" w:color="auto"/>
                <w:left w:val="none" w:sz="0" w:space="0" w:color="auto"/>
                <w:bottom w:val="none" w:sz="0" w:space="0" w:color="auto"/>
                <w:right w:val="none" w:sz="0" w:space="0" w:color="auto"/>
              </w:divBdr>
            </w:div>
          </w:divsChild>
        </w:div>
        <w:div w:id="114953338">
          <w:marLeft w:val="0"/>
          <w:marRight w:val="0"/>
          <w:marTop w:val="0"/>
          <w:marBottom w:val="0"/>
          <w:divBdr>
            <w:top w:val="none" w:sz="0" w:space="0" w:color="auto"/>
            <w:left w:val="none" w:sz="0" w:space="0" w:color="auto"/>
            <w:bottom w:val="none" w:sz="0" w:space="0" w:color="auto"/>
            <w:right w:val="none" w:sz="0" w:space="0" w:color="auto"/>
          </w:divBdr>
          <w:divsChild>
            <w:div w:id="220291539">
              <w:marLeft w:val="0"/>
              <w:marRight w:val="0"/>
              <w:marTop w:val="0"/>
              <w:marBottom w:val="0"/>
              <w:divBdr>
                <w:top w:val="none" w:sz="0" w:space="0" w:color="auto"/>
                <w:left w:val="none" w:sz="0" w:space="0" w:color="auto"/>
                <w:bottom w:val="none" w:sz="0" w:space="0" w:color="auto"/>
                <w:right w:val="none" w:sz="0" w:space="0" w:color="auto"/>
              </w:divBdr>
            </w:div>
          </w:divsChild>
        </w:div>
        <w:div w:id="185368527">
          <w:marLeft w:val="0"/>
          <w:marRight w:val="0"/>
          <w:marTop w:val="0"/>
          <w:marBottom w:val="0"/>
          <w:divBdr>
            <w:top w:val="none" w:sz="0" w:space="0" w:color="auto"/>
            <w:left w:val="none" w:sz="0" w:space="0" w:color="auto"/>
            <w:bottom w:val="none" w:sz="0" w:space="0" w:color="auto"/>
            <w:right w:val="none" w:sz="0" w:space="0" w:color="auto"/>
          </w:divBdr>
          <w:divsChild>
            <w:div w:id="1837258538">
              <w:marLeft w:val="0"/>
              <w:marRight w:val="0"/>
              <w:marTop w:val="0"/>
              <w:marBottom w:val="0"/>
              <w:divBdr>
                <w:top w:val="none" w:sz="0" w:space="0" w:color="auto"/>
                <w:left w:val="none" w:sz="0" w:space="0" w:color="auto"/>
                <w:bottom w:val="none" w:sz="0" w:space="0" w:color="auto"/>
                <w:right w:val="none" w:sz="0" w:space="0" w:color="auto"/>
              </w:divBdr>
            </w:div>
          </w:divsChild>
        </w:div>
        <w:div w:id="200092756">
          <w:marLeft w:val="0"/>
          <w:marRight w:val="0"/>
          <w:marTop w:val="0"/>
          <w:marBottom w:val="0"/>
          <w:divBdr>
            <w:top w:val="none" w:sz="0" w:space="0" w:color="auto"/>
            <w:left w:val="none" w:sz="0" w:space="0" w:color="auto"/>
            <w:bottom w:val="none" w:sz="0" w:space="0" w:color="auto"/>
            <w:right w:val="none" w:sz="0" w:space="0" w:color="auto"/>
          </w:divBdr>
          <w:divsChild>
            <w:div w:id="311981498">
              <w:marLeft w:val="0"/>
              <w:marRight w:val="0"/>
              <w:marTop w:val="0"/>
              <w:marBottom w:val="0"/>
              <w:divBdr>
                <w:top w:val="none" w:sz="0" w:space="0" w:color="auto"/>
                <w:left w:val="none" w:sz="0" w:space="0" w:color="auto"/>
                <w:bottom w:val="none" w:sz="0" w:space="0" w:color="auto"/>
                <w:right w:val="none" w:sz="0" w:space="0" w:color="auto"/>
              </w:divBdr>
            </w:div>
          </w:divsChild>
        </w:div>
        <w:div w:id="257567494">
          <w:marLeft w:val="0"/>
          <w:marRight w:val="0"/>
          <w:marTop w:val="0"/>
          <w:marBottom w:val="0"/>
          <w:divBdr>
            <w:top w:val="none" w:sz="0" w:space="0" w:color="auto"/>
            <w:left w:val="none" w:sz="0" w:space="0" w:color="auto"/>
            <w:bottom w:val="none" w:sz="0" w:space="0" w:color="auto"/>
            <w:right w:val="none" w:sz="0" w:space="0" w:color="auto"/>
          </w:divBdr>
          <w:divsChild>
            <w:div w:id="1054234844">
              <w:marLeft w:val="0"/>
              <w:marRight w:val="0"/>
              <w:marTop w:val="0"/>
              <w:marBottom w:val="0"/>
              <w:divBdr>
                <w:top w:val="none" w:sz="0" w:space="0" w:color="auto"/>
                <w:left w:val="none" w:sz="0" w:space="0" w:color="auto"/>
                <w:bottom w:val="none" w:sz="0" w:space="0" w:color="auto"/>
                <w:right w:val="none" w:sz="0" w:space="0" w:color="auto"/>
              </w:divBdr>
            </w:div>
          </w:divsChild>
        </w:div>
        <w:div w:id="329410848">
          <w:marLeft w:val="0"/>
          <w:marRight w:val="0"/>
          <w:marTop w:val="0"/>
          <w:marBottom w:val="0"/>
          <w:divBdr>
            <w:top w:val="none" w:sz="0" w:space="0" w:color="auto"/>
            <w:left w:val="none" w:sz="0" w:space="0" w:color="auto"/>
            <w:bottom w:val="none" w:sz="0" w:space="0" w:color="auto"/>
            <w:right w:val="none" w:sz="0" w:space="0" w:color="auto"/>
          </w:divBdr>
          <w:divsChild>
            <w:div w:id="924999143">
              <w:marLeft w:val="0"/>
              <w:marRight w:val="0"/>
              <w:marTop w:val="0"/>
              <w:marBottom w:val="0"/>
              <w:divBdr>
                <w:top w:val="none" w:sz="0" w:space="0" w:color="auto"/>
                <w:left w:val="none" w:sz="0" w:space="0" w:color="auto"/>
                <w:bottom w:val="none" w:sz="0" w:space="0" w:color="auto"/>
                <w:right w:val="none" w:sz="0" w:space="0" w:color="auto"/>
              </w:divBdr>
            </w:div>
          </w:divsChild>
        </w:div>
        <w:div w:id="387385141">
          <w:marLeft w:val="0"/>
          <w:marRight w:val="0"/>
          <w:marTop w:val="0"/>
          <w:marBottom w:val="0"/>
          <w:divBdr>
            <w:top w:val="none" w:sz="0" w:space="0" w:color="auto"/>
            <w:left w:val="none" w:sz="0" w:space="0" w:color="auto"/>
            <w:bottom w:val="none" w:sz="0" w:space="0" w:color="auto"/>
            <w:right w:val="none" w:sz="0" w:space="0" w:color="auto"/>
          </w:divBdr>
          <w:divsChild>
            <w:div w:id="827087589">
              <w:marLeft w:val="0"/>
              <w:marRight w:val="0"/>
              <w:marTop w:val="0"/>
              <w:marBottom w:val="0"/>
              <w:divBdr>
                <w:top w:val="none" w:sz="0" w:space="0" w:color="auto"/>
                <w:left w:val="none" w:sz="0" w:space="0" w:color="auto"/>
                <w:bottom w:val="none" w:sz="0" w:space="0" w:color="auto"/>
                <w:right w:val="none" w:sz="0" w:space="0" w:color="auto"/>
              </w:divBdr>
            </w:div>
          </w:divsChild>
        </w:div>
        <w:div w:id="409811101">
          <w:marLeft w:val="0"/>
          <w:marRight w:val="0"/>
          <w:marTop w:val="0"/>
          <w:marBottom w:val="0"/>
          <w:divBdr>
            <w:top w:val="none" w:sz="0" w:space="0" w:color="auto"/>
            <w:left w:val="none" w:sz="0" w:space="0" w:color="auto"/>
            <w:bottom w:val="none" w:sz="0" w:space="0" w:color="auto"/>
            <w:right w:val="none" w:sz="0" w:space="0" w:color="auto"/>
          </w:divBdr>
          <w:divsChild>
            <w:div w:id="1169295101">
              <w:marLeft w:val="0"/>
              <w:marRight w:val="0"/>
              <w:marTop w:val="0"/>
              <w:marBottom w:val="0"/>
              <w:divBdr>
                <w:top w:val="none" w:sz="0" w:space="0" w:color="auto"/>
                <w:left w:val="none" w:sz="0" w:space="0" w:color="auto"/>
                <w:bottom w:val="none" w:sz="0" w:space="0" w:color="auto"/>
                <w:right w:val="none" w:sz="0" w:space="0" w:color="auto"/>
              </w:divBdr>
            </w:div>
          </w:divsChild>
        </w:div>
        <w:div w:id="703363685">
          <w:marLeft w:val="0"/>
          <w:marRight w:val="0"/>
          <w:marTop w:val="0"/>
          <w:marBottom w:val="0"/>
          <w:divBdr>
            <w:top w:val="none" w:sz="0" w:space="0" w:color="auto"/>
            <w:left w:val="none" w:sz="0" w:space="0" w:color="auto"/>
            <w:bottom w:val="none" w:sz="0" w:space="0" w:color="auto"/>
            <w:right w:val="none" w:sz="0" w:space="0" w:color="auto"/>
          </w:divBdr>
          <w:divsChild>
            <w:div w:id="1323658572">
              <w:marLeft w:val="0"/>
              <w:marRight w:val="0"/>
              <w:marTop w:val="0"/>
              <w:marBottom w:val="0"/>
              <w:divBdr>
                <w:top w:val="none" w:sz="0" w:space="0" w:color="auto"/>
                <w:left w:val="none" w:sz="0" w:space="0" w:color="auto"/>
                <w:bottom w:val="none" w:sz="0" w:space="0" w:color="auto"/>
                <w:right w:val="none" w:sz="0" w:space="0" w:color="auto"/>
              </w:divBdr>
            </w:div>
          </w:divsChild>
        </w:div>
        <w:div w:id="706373628">
          <w:marLeft w:val="0"/>
          <w:marRight w:val="0"/>
          <w:marTop w:val="0"/>
          <w:marBottom w:val="0"/>
          <w:divBdr>
            <w:top w:val="none" w:sz="0" w:space="0" w:color="auto"/>
            <w:left w:val="none" w:sz="0" w:space="0" w:color="auto"/>
            <w:bottom w:val="none" w:sz="0" w:space="0" w:color="auto"/>
            <w:right w:val="none" w:sz="0" w:space="0" w:color="auto"/>
          </w:divBdr>
          <w:divsChild>
            <w:div w:id="1940329231">
              <w:marLeft w:val="0"/>
              <w:marRight w:val="0"/>
              <w:marTop w:val="0"/>
              <w:marBottom w:val="0"/>
              <w:divBdr>
                <w:top w:val="none" w:sz="0" w:space="0" w:color="auto"/>
                <w:left w:val="none" w:sz="0" w:space="0" w:color="auto"/>
                <w:bottom w:val="none" w:sz="0" w:space="0" w:color="auto"/>
                <w:right w:val="none" w:sz="0" w:space="0" w:color="auto"/>
              </w:divBdr>
            </w:div>
          </w:divsChild>
        </w:div>
        <w:div w:id="925260197">
          <w:marLeft w:val="0"/>
          <w:marRight w:val="0"/>
          <w:marTop w:val="0"/>
          <w:marBottom w:val="0"/>
          <w:divBdr>
            <w:top w:val="none" w:sz="0" w:space="0" w:color="auto"/>
            <w:left w:val="none" w:sz="0" w:space="0" w:color="auto"/>
            <w:bottom w:val="none" w:sz="0" w:space="0" w:color="auto"/>
            <w:right w:val="none" w:sz="0" w:space="0" w:color="auto"/>
          </w:divBdr>
          <w:divsChild>
            <w:div w:id="1575972723">
              <w:marLeft w:val="0"/>
              <w:marRight w:val="0"/>
              <w:marTop w:val="0"/>
              <w:marBottom w:val="0"/>
              <w:divBdr>
                <w:top w:val="none" w:sz="0" w:space="0" w:color="auto"/>
                <w:left w:val="none" w:sz="0" w:space="0" w:color="auto"/>
                <w:bottom w:val="none" w:sz="0" w:space="0" w:color="auto"/>
                <w:right w:val="none" w:sz="0" w:space="0" w:color="auto"/>
              </w:divBdr>
            </w:div>
          </w:divsChild>
        </w:div>
        <w:div w:id="1023167493">
          <w:marLeft w:val="0"/>
          <w:marRight w:val="0"/>
          <w:marTop w:val="0"/>
          <w:marBottom w:val="0"/>
          <w:divBdr>
            <w:top w:val="none" w:sz="0" w:space="0" w:color="auto"/>
            <w:left w:val="none" w:sz="0" w:space="0" w:color="auto"/>
            <w:bottom w:val="none" w:sz="0" w:space="0" w:color="auto"/>
            <w:right w:val="none" w:sz="0" w:space="0" w:color="auto"/>
          </w:divBdr>
          <w:divsChild>
            <w:div w:id="493379188">
              <w:marLeft w:val="0"/>
              <w:marRight w:val="0"/>
              <w:marTop w:val="0"/>
              <w:marBottom w:val="0"/>
              <w:divBdr>
                <w:top w:val="none" w:sz="0" w:space="0" w:color="auto"/>
                <w:left w:val="none" w:sz="0" w:space="0" w:color="auto"/>
                <w:bottom w:val="none" w:sz="0" w:space="0" w:color="auto"/>
                <w:right w:val="none" w:sz="0" w:space="0" w:color="auto"/>
              </w:divBdr>
            </w:div>
          </w:divsChild>
        </w:div>
        <w:div w:id="1035159021">
          <w:marLeft w:val="0"/>
          <w:marRight w:val="0"/>
          <w:marTop w:val="0"/>
          <w:marBottom w:val="0"/>
          <w:divBdr>
            <w:top w:val="none" w:sz="0" w:space="0" w:color="auto"/>
            <w:left w:val="none" w:sz="0" w:space="0" w:color="auto"/>
            <w:bottom w:val="none" w:sz="0" w:space="0" w:color="auto"/>
            <w:right w:val="none" w:sz="0" w:space="0" w:color="auto"/>
          </w:divBdr>
          <w:divsChild>
            <w:div w:id="666203206">
              <w:marLeft w:val="0"/>
              <w:marRight w:val="0"/>
              <w:marTop w:val="0"/>
              <w:marBottom w:val="0"/>
              <w:divBdr>
                <w:top w:val="none" w:sz="0" w:space="0" w:color="auto"/>
                <w:left w:val="none" w:sz="0" w:space="0" w:color="auto"/>
                <w:bottom w:val="none" w:sz="0" w:space="0" w:color="auto"/>
                <w:right w:val="none" w:sz="0" w:space="0" w:color="auto"/>
              </w:divBdr>
            </w:div>
          </w:divsChild>
        </w:div>
        <w:div w:id="1075779936">
          <w:marLeft w:val="0"/>
          <w:marRight w:val="0"/>
          <w:marTop w:val="0"/>
          <w:marBottom w:val="0"/>
          <w:divBdr>
            <w:top w:val="none" w:sz="0" w:space="0" w:color="auto"/>
            <w:left w:val="none" w:sz="0" w:space="0" w:color="auto"/>
            <w:bottom w:val="none" w:sz="0" w:space="0" w:color="auto"/>
            <w:right w:val="none" w:sz="0" w:space="0" w:color="auto"/>
          </w:divBdr>
          <w:divsChild>
            <w:div w:id="1913932540">
              <w:marLeft w:val="0"/>
              <w:marRight w:val="0"/>
              <w:marTop w:val="0"/>
              <w:marBottom w:val="0"/>
              <w:divBdr>
                <w:top w:val="none" w:sz="0" w:space="0" w:color="auto"/>
                <w:left w:val="none" w:sz="0" w:space="0" w:color="auto"/>
                <w:bottom w:val="none" w:sz="0" w:space="0" w:color="auto"/>
                <w:right w:val="none" w:sz="0" w:space="0" w:color="auto"/>
              </w:divBdr>
            </w:div>
          </w:divsChild>
        </w:div>
        <w:div w:id="1099912644">
          <w:marLeft w:val="0"/>
          <w:marRight w:val="0"/>
          <w:marTop w:val="0"/>
          <w:marBottom w:val="0"/>
          <w:divBdr>
            <w:top w:val="none" w:sz="0" w:space="0" w:color="auto"/>
            <w:left w:val="none" w:sz="0" w:space="0" w:color="auto"/>
            <w:bottom w:val="none" w:sz="0" w:space="0" w:color="auto"/>
            <w:right w:val="none" w:sz="0" w:space="0" w:color="auto"/>
          </w:divBdr>
          <w:divsChild>
            <w:div w:id="1102607967">
              <w:marLeft w:val="0"/>
              <w:marRight w:val="0"/>
              <w:marTop w:val="0"/>
              <w:marBottom w:val="0"/>
              <w:divBdr>
                <w:top w:val="none" w:sz="0" w:space="0" w:color="auto"/>
                <w:left w:val="none" w:sz="0" w:space="0" w:color="auto"/>
                <w:bottom w:val="none" w:sz="0" w:space="0" w:color="auto"/>
                <w:right w:val="none" w:sz="0" w:space="0" w:color="auto"/>
              </w:divBdr>
            </w:div>
          </w:divsChild>
        </w:div>
        <w:div w:id="1115834956">
          <w:marLeft w:val="0"/>
          <w:marRight w:val="0"/>
          <w:marTop w:val="0"/>
          <w:marBottom w:val="0"/>
          <w:divBdr>
            <w:top w:val="none" w:sz="0" w:space="0" w:color="auto"/>
            <w:left w:val="none" w:sz="0" w:space="0" w:color="auto"/>
            <w:bottom w:val="none" w:sz="0" w:space="0" w:color="auto"/>
            <w:right w:val="none" w:sz="0" w:space="0" w:color="auto"/>
          </w:divBdr>
          <w:divsChild>
            <w:div w:id="968826196">
              <w:marLeft w:val="0"/>
              <w:marRight w:val="0"/>
              <w:marTop w:val="0"/>
              <w:marBottom w:val="0"/>
              <w:divBdr>
                <w:top w:val="none" w:sz="0" w:space="0" w:color="auto"/>
                <w:left w:val="none" w:sz="0" w:space="0" w:color="auto"/>
                <w:bottom w:val="none" w:sz="0" w:space="0" w:color="auto"/>
                <w:right w:val="none" w:sz="0" w:space="0" w:color="auto"/>
              </w:divBdr>
            </w:div>
          </w:divsChild>
        </w:div>
        <w:div w:id="1156339926">
          <w:marLeft w:val="0"/>
          <w:marRight w:val="0"/>
          <w:marTop w:val="0"/>
          <w:marBottom w:val="0"/>
          <w:divBdr>
            <w:top w:val="none" w:sz="0" w:space="0" w:color="auto"/>
            <w:left w:val="none" w:sz="0" w:space="0" w:color="auto"/>
            <w:bottom w:val="none" w:sz="0" w:space="0" w:color="auto"/>
            <w:right w:val="none" w:sz="0" w:space="0" w:color="auto"/>
          </w:divBdr>
          <w:divsChild>
            <w:div w:id="4595516">
              <w:marLeft w:val="0"/>
              <w:marRight w:val="0"/>
              <w:marTop w:val="0"/>
              <w:marBottom w:val="0"/>
              <w:divBdr>
                <w:top w:val="none" w:sz="0" w:space="0" w:color="auto"/>
                <w:left w:val="none" w:sz="0" w:space="0" w:color="auto"/>
                <w:bottom w:val="none" w:sz="0" w:space="0" w:color="auto"/>
                <w:right w:val="none" w:sz="0" w:space="0" w:color="auto"/>
              </w:divBdr>
            </w:div>
          </w:divsChild>
        </w:div>
        <w:div w:id="1339576483">
          <w:marLeft w:val="0"/>
          <w:marRight w:val="0"/>
          <w:marTop w:val="0"/>
          <w:marBottom w:val="0"/>
          <w:divBdr>
            <w:top w:val="none" w:sz="0" w:space="0" w:color="auto"/>
            <w:left w:val="none" w:sz="0" w:space="0" w:color="auto"/>
            <w:bottom w:val="none" w:sz="0" w:space="0" w:color="auto"/>
            <w:right w:val="none" w:sz="0" w:space="0" w:color="auto"/>
          </w:divBdr>
          <w:divsChild>
            <w:div w:id="32270749">
              <w:marLeft w:val="0"/>
              <w:marRight w:val="0"/>
              <w:marTop w:val="0"/>
              <w:marBottom w:val="0"/>
              <w:divBdr>
                <w:top w:val="none" w:sz="0" w:space="0" w:color="auto"/>
                <w:left w:val="none" w:sz="0" w:space="0" w:color="auto"/>
                <w:bottom w:val="none" w:sz="0" w:space="0" w:color="auto"/>
                <w:right w:val="none" w:sz="0" w:space="0" w:color="auto"/>
              </w:divBdr>
            </w:div>
          </w:divsChild>
        </w:div>
        <w:div w:id="1553612993">
          <w:marLeft w:val="0"/>
          <w:marRight w:val="0"/>
          <w:marTop w:val="0"/>
          <w:marBottom w:val="0"/>
          <w:divBdr>
            <w:top w:val="none" w:sz="0" w:space="0" w:color="auto"/>
            <w:left w:val="none" w:sz="0" w:space="0" w:color="auto"/>
            <w:bottom w:val="none" w:sz="0" w:space="0" w:color="auto"/>
            <w:right w:val="none" w:sz="0" w:space="0" w:color="auto"/>
          </w:divBdr>
          <w:divsChild>
            <w:div w:id="2019766568">
              <w:marLeft w:val="0"/>
              <w:marRight w:val="0"/>
              <w:marTop w:val="0"/>
              <w:marBottom w:val="0"/>
              <w:divBdr>
                <w:top w:val="none" w:sz="0" w:space="0" w:color="auto"/>
                <w:left w:val="none" w:sz="0" w:space="0" w:color="auto"/>
                <w:bottom w:val="none" w:sz="0" w:space="0" w:color="auto"/>
                <w:right w:val="none" w:sz="0" w:space="0" w:color="auto"/>
              </w:divBdr>
            </w:div>
          </w:divsChild>
        </w:div>
        <w:div w:id="1697929207">
          <w:marLeft w:val="0"/>
          <w:marRight w:val="0"/>
          <w:marTop w:val="0"/>
          <w:marBottom w:val="0"/>
          <w:divBdr>
            <w:top w:val="none" w:sz="0" w:space="0" w:color="auto"/>
            <w:left w:val="none" w:sz="0" w:space="0" w:color="auto"/>
            <w:bottom w:val="none" w:sz="0" w:space="0" w:color="auto"/>
            <w:right w:val="none" w:sz="0" w:space="0" w:color="auto"/>
          </w:divBdr>
          <w:divsChild>
            <w:div w:id="1568147362">
              <w:marLeft w:val="0"/>
              <w:marRight w:val="0"/>
              <w:marTop w:val="0"/>
              <w:marBottom w:val="0"/>
              <w:divBdr>
                <w:top w:val="none" w:sz="0" w:space="0" w:color="auto"/>
                <w:left w:val="none" w:sz="0" w:space="0" w:color="auto"/>
                <w:bottom w:val="none" w:sz="0" w:space="0" w:color="auto"/>
                <w:right w:val="none" w:sz="0" w:space="0" w:color="auto"/>
              </w:divBdr>
            </w:div>
          </w:divsChild>
        </w:div>
        <w:div w:id="1742026134">
          <w:marLeft w:val="0"/>
          <w:marRight w:val="0"/>
          <w:marTop w:val="0"/>
          <w:marBottom w:val="0"/>
          <w:divBdr>
            <w:top w:val="none" w:sz="0" w:space="0" w:color="auto"/>
            <w:left w:val="none" w:sz="0" w:space="0" w:color="auto"/>
            <w:bottom w:val="none" w:sz="0" w:space="0" w:color="auto"/>
            <w:right w:val="none" w:sz="0" w:space="0" w:color="auto"/>
          </w:divBdr>
          <w:divsChild>
            <w:div w:id="662123343">
              <w:marLeft w:val="0"/>
              <w:marRight w:val="0"/>
              <w:marTop w:val="0"/>
              <w:marBottom w:val="0"/>
              <w:divBdr>
                <w:top w:val="none" w:sz="0" w:space="0" w:color="auto"/>
                <w:left w:val="none" w:sz="0" w:space="0" w:color="auto"/>
                <w:bottom w:val="none" w:sz="0" w:space="0" w:color="auto"/>
                <w:right w:val="none" w:sz="0" w:space="0" w:color="auto"/>
              </w:divBdr>
            </w:div>
          </w:divsChild>
        </w:div>
        <w:div w:id="1871868899">
          <w:marLeft w:val="0"/>
          <w:marRight w:val="0"/>
          <w:marTop w:val="0"/>
          <w:marBottom w:val="0"/>
          <w:divBdr>
            <w:top w:val="none" w:sz="0" w:space="0" w:color="auto"/>
            <w:left w:val="none" w:sz="0" w:space="0" w:color="auto"/>
            <w:bottom w:val="none" w:sz="0" w:space="0" w:color="auto"/>
            <w:right w:val="none" w:sz="0" w:space="0" w:color="auto"/>
          </w:divBdr>
          <w:divsChild>
            <w:div w:id="2066367108">
              <w:marLeft w:val="0"/>
              <w:marRight w:val="0"/>
              <w:marTop w:val="0"/>
              <w:marBottom w:val="0"/>
              <w:divBdr>
                <w:top w:val="none" w:sz="0" w:space="0" w:color="auto"/>
                <w:left w:val="none" w:sz="0" w:space="0" w:color="auto"/>
                <w:bottom w:val="none" w:sz="0" w:space="0" w:color="auto"/>
                <w:right w:val="none" w:sz="0" w:space="0" w:color="auto"/>
              </w:divBdr>
            </w:div>
          </w:divsChild>
        </w:div>
        <w:div w:id="1961834600">
          <w:marLeft w:val="0"/>
          <w:marRight w:val="0"/>
          <w:marTop w:val="0"/>
          <w:marBottom w:val="0"/>
          <w:divBdr>
            <w:top w:val="none" w:sz="0" w:space="0" w:color="auto"/>
            <w:left w:val="none" w:sz="0" w:space="0" w:color="auto"/>
            <w:bottom w:val="none" w:sz="0" w:space="0" w:color="auto"/>
            <w:right w:val="none" w:sz="0" w:space="0" w:color="auto"/>
          </w:divBdr>
          <w:divsChild>
            <w:div w:id="571358122">
              <w:marLeft w:val="0"/>
              <w:marRight w:val="0"/>
              <w:marTop w:val="0"/>
              <w:marBottom w:val="0"/>
              <w:divBdr>
                <w:top w:val="none" w:sz="0" w:space="0" w:color="auto"/>
                <w:left w:val="none" w:sz="0" w:space="0" w:color="auto"/>
                <w:bottom w:val="none" w:sz="0" w:space="0" w:color="auto"/>
                <w:right w:val="none" w:sz="0" w:space="0" w:color="auto"/>
              </w:divBdr>
            </w:div>
          </w:divsChild>
        </w:div>
        <w:div w:id="1997148534">
          <w:marLeft w:val="0"/>
          <w:marRight w:val="0"/>
          <w:marTop w:val="0"/>
          <w:marBottom w:val="0"/>
          <w:divBdr>
            <w:top w:val="none" w:sz="0" w:space="0" w:color="auto"/>
            <w:left w:val="none" w:sz="0" w:space="0" w:color="auto"/>
            <w:bottom w:val="none" w:sz="0" w:space="0" w:color="auto"/>
            <w:right w:val="none" w:sz="0" w:space="0" w:color="auto"/>
          </w:divBdr>
          <w:divsChild>
            <w:div w:id="713432406">
              <w:marLeft w:val="0"/>
              <w:marRight w:val="0"/>
              <w:marTop w:val="0"/>
              <w:marBottom w:val="0"/>
              <w:divBdr>
                <w:top w:val="none" w:sz="0" w:space="0" w:color="auto"/>
                <w:left w:val="none" w:sz="0" w:space="0" w:color="auto"/>
                <w:bottom w:val="none" w:sz="0" w:space="0" w:color="auto"/>
                <w:right w:val="none" w:sz="0" w:space="0" w:color="auto"/>
              </w:divBdr>
            </w:div>
          </w:divsChild>
        </w:div>
        <w:div w:id="2094890067">
          <w:marLeft w:val="0"/>
          <w:marRight w:val="0"/>
          <w:marTop w:val="0"/>
          <w:marBottom w:val="0"/>
          <w:divBdr>
            <w:top w:val="none" w:sz="0" w:space="0" w:color="auto"/>
            <w:left w:val="none" w:sz="0" w:space="0" w:color="auto"/>
            <w:bottom w:val="none" w:sz="0" w:space="0" w:color="auto"/>
            <w:right w:val="none" w:sz="0" w:space="0" w:color="auto"/>
          </w:divBdr>
          <w:divsChild>
            <w:div w:id="4558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778670">
      <w:bodyDiv w:val="1"/>
      <w:marLeft w:val="0"/>
      <w:marRight w:val="0"/>
      <w:marTop w:val="0"/>
      <w:marBottom w:val="0"/>
      <w:divBdr>
        <w:top w:val="none" w:sz="0" w:space="0" w:color="auto"/>
        <w:left w:val="none" w:sz="0" w:space="0" w:color="auto"/>
        <w:bottom w:val="none" w:sz="0" w:space="0" w:color="auto"/>
        <w:right w:val="none" w:sz="0" w:space="0" w:color="auto"/>
      </w:divBdr>
    </w:div>
    <w:div w:id="1524514263">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542983233">
      <w:bodyDiv w:val="1"/>
      <w:marLeft w:val="0"/>
      <w:marRight w:val="0"/>
      <w:marTop w:val="0"/>
      <w:marBottom w:val="0"/>
      <w:divBdr>
        <w:top w:val="none" w:sz="0" w:space="0" w:color="auto"/>
        <w:left w:val="none" w:sz="0" w:space="0" w:color="auto"/>
        <w:bottom w:val="none" w:sz="0" w:space="0" w:color="auto"/>
        <w:right w:val="none" w:sz="0" w:space="0" w:color="auto"/>
      </w:divBdr>
    </w:div>
    <w:div w:id="1545826815">
      <w:bodyDiv w:val="1"/>
      <w:marLeft w:val="0"/>
      <w:marRight w:val="0"/>
      <w:marTop w:val="0"/>
      <w:marBottom w:val="0"/>
      <w:divBdr>
        <w:top w:val="none" w:sz="0" w:space="0" w:color="auto"/>
        <w:left w:val="none" w:sz="0" w:space="0" w:color="auto"/>
        <w:bottom w:val="none" w:sz="0" w:space="0" w:color="auto"/>
        <w:right w:val="none" w:sz="0" w:space="0" w:color="auto"/>
      </w:divBdr>
      <w:divsChild>
        <w:div w:id="307128850">
          <w:marLeft w:val="0"/>
          <w:marRight w:val="0"/>
          <w:marTop w:val="0"/>
          <w:marBottom w:val="0"/>
          <w:divBdr>
            <w:top w:val="none" w:sz="0" w:space="0" w:color="auto"/>
            <w:left w:val="none" w:sz="0" w:space="0" w:color="auto"/>
            <w:bottom w:val="none" w:sz="0" w:space="0" w:color="auto"/>
            <w:right w:val="none" w:sz="0" w:space="0" w:color="auto"/>
          </w:divBdr>
        </w:div>
        <w:div w:id="762996947">
          <w:marLeft w:val="0"/>
          <w:marRight w:val="0"/>
          <w:marTop w:val="0"/>
          <w:marBottom w:val="0"/>
          <w:divBdr>
            <w:top w:val="none" w:sz="0" w:space="0" w:color="auto"/>
            <w:left w:val="none" w:sz="0" w:space="0" w:color="auto"/>
            <w:bottom w:val="none" w:sz="0" w:space="0" w:color="auto"/>
            <w:right w:val="none" w:sz="0" w:space="0" w:color="auto"/>
          </w:divBdr>
        </w:div>
      </w:divsChild>
    </w:div>
    <w:div w:id="1573733586">
      <w:bodyDiv w:val="1"/>
      <w:marLeft w:val="0"/>
      <w:marRight w:val="0"/>
      <w:marTop w:val="0"/>
      <w:marBottom w:val="0"/>
      <w:divBdr>
        <w:top w:val="none" w:sz="0" w:space="0" w:color="auto"/>
        <w:left w:val="none" w:sz="0" w:space="0" w:color="auto"/>
        <w:bottom w:val="none" w:sz="0" w:space="0" w:color="auto"/>
        <w:right w:val="none" w:sz="0" w:space="0" w:color="auto"/>
      </w:divBdr>
    </w:div>
    <w:div w:id="1576862426">
      <w:bodyDiv w:val="1"/>
      <w:marLeft w:val="0"/>
      <w:marRight w:val="0"/>
      <w:marTop w:val="0"/>
      <w:marBottom w:val="0"/>
      <w:divBdr>
        <w:top w:val="none" w:sz="0" w:space="0" w:color="auto"/>
        <w:left w:val="none" w:sz="0" w:space="0" w:color="auto"/>
        <w:bottom w:val="none" w:sz="0" w:space="0" w:color="auto"/>
        <w:right w:val="none" w:sz="0" w:space="0" w:color="auto"/>
      </w:divBdr>
    </w:div>
    <w:div w:id="1612475188">
      <w:bodyDiv w:val="1"/>
      <w:marLeft w:val="0"/>
      <w:marRight w:val="0"/>
      <w:marTop w:val="0"/>
      <w:marBottom w:val="0"/>
      <w:divBdr>
        <w:top w:val="none" w:sz="0" w:space="0" w:color="auto"/>
        <w:left w:val="none" w:sz="0" w:space="0" w:color="auto"/>
        <w:bottom w:val="none" w:sz="0" w:space="0" w:color="auto"/>
        <w:right w:val="none" w:sz="0" w:space="0" w:color="auto"/>
      </w:divBdr>
    </w:div>
    <w:div w:id="1629970289">
      <w:bodyDiv w:val="1"/>
      <w:marLeft w:val="0"/>
      <w:marRight w:val="0"/>
      <w:marTop w:val="0"/>
      <w:marBottom w:val="0"/>
      <w:divBdr>
        <w:top w:val="none" w:sz="0" w:space="0" w:color="auto"/>
        <w:left w:val="none" w:sz="0" w:space="0" w:color="auto"/>
        <w:bottom w:val="none" w:sz="0" w:space="0" w:color="auto"/>
        <w:right w:val="none" w:sz="0" w:space="0" w:color="auto"/>
      </w:divBdr>
      <w:divsChild>
        <w:div w:id="1276862984">
          <w:marLeft w:val="0"/>
          <w:marRight w:val="0"/>
          <w:marTop w:val="0"/>
          <w:marBottom w:val="0"/>
          <w:divBdr>
            <w:top w:val="none" w:sz="0" w:space="0" w:color="auto"/>
            <w:left w:val="none" w:sz="0" w:space="0" w:color="auto"/>
            <w:bottom w:val="none" w:sz="0" w:space="0" w:color="auto"/>
            <w:right w:val="none" w:sz="0" w:space="0" w:color="auto"/>
          </w:divBdr>
        </w:div>
        <w:div w:id="1937127510">
          <w:marLeft w:val="0"/>
          <w:marRight w:val="0"/>
          <w:marTop w:val="0"/>
          <w:marBottom w:val="0"/>
          <w:divBdr>
            <w:top w:val="none" w:sz="0" w:space="0" w:color="auto"/>
            <w:left w:val="none" w:sz="0" w:space="0" w:color="auto"/>
            <w:bottom w:val="none" w:sz="0" w:space="0" w:color="auto"/>
            <w:right w:val="none" w:sz="0" w:space="0" w:color="auto"/>
          </w:divBdr>
        </w:div>
      </w:divsChild>
    </w:div>
    <w:div w:id="1650862279">
      <w:bodyDiv w:val="1"/>
      <w:marLeft w:val="0"/>
      <w:marRight w:val="0"/>
      <w:marTop w:val="0"/>
      <w:marBottom w:val="0"/>
      <w:divBdr>
        <w:top w:val="none" w:sz="0" w:space="0" w:color="auto"/>
        <w:left w:val="none" w:sz="0" w:space="0" w:color="auto"/>
        <w:bottom w:val="none" w:sz="0" w:space="0" w:color="auto"/>
        <w:right w:val="none" w:sz="0" w:space="0" w:color="auto"/>
      </w:divBdr>
    </w:div>
    <w:div w:id="1728455718">
      <w:bodyDiv w:val="1"/>
      <w:marLeft w:val="0"/>
      <w:marRight w:val="0"/>
      <w:marTop w:val="0"/>
      <w:marBottom w:val="0"/>
      <w:divBdr>
        <w:top w:val="none" w:sz="0" w:space="0" w:color="auto"/>
        <w:left w:val="none" w:sz="0" w:space="0" w:color="auto"/>
        <w:bottom w:val="none" w:sz="0" w:space="0" w:color="auto"/>
        <w:right w:val="none" w:sz="0" w:space="0" w:color="auto"/>
      </w:divBdr>
    </w:div>
    <w:div w:id="1756508916">
      <w:bodyDiv w:val="1"/>
      <w:marLeft w:val="0"/>
      <w:marRight w:val="0"/>
      <w:marTop w:val="0"/>
      <w:marBottom w:val="0"/>
      <w:divBdr>
        <w:top w:val="none" w:sz="0" w:space="0" w:color="auto"/>
        <w:left w:val="none" w:sz="0" w:space="0" w:color="auto"/>
        <w:bottom w:val="none" w:sz="0" w:space="0" w:color="auto"/>
        <w:right w:val="none" w:sz="0" w:space="0" w:color="auto"/>
      </w:divBdr>
    </w:div>
    <w:div w:id="1776709855">
      <w:bodyDiv w:val="1"/>
      <w:marLeft w:val="0"/>
      <w:marRight w:val="0"/>
      <w:marTop w:val="0"/>
      <w:marBottom w:val="0"/>
      <w:divBdr>
        <w:top w:val="none" w:sz="0" w:space="0" w:color="auto"/>
        <w:left w:val="none" w:sz="0" w:space="0" w:color="auto"/>
        <w:bottom w:val="none" w:sz="0" w:space="0" w:color="auto"/>
        <w:right w:val="none" w:sz="0" w:space="0" w:color="auto"/>
      </w:divBdr>
    </w:div>
    <w:div w:id="1788543973">
      <w:bodyDiv w:val="1"/>
      <w:marLeft w:val="0"/>
      <w:marRight w:val="0"/>
      <w:marTop w:val="0"/>
      <w:marBottom w:val="0"/>
      <w:divBdr>
        <w:top w:val="none" w:sz="0" w:space="0" w:color="auto"/>
        <w:left w:val="none" w:sz="0" w:space="0" w:color="auto"/>
        <w:bottom w:val="none" w:sz="0" w:space="0" w:color="auto"/>
        <w:right w:val="none" w:sz="0" w:space="0" w:color="auto"/>
      </w:divBdr>
    </w:div>
    <w:div w:id="1814984106">
      <w:bodyDiv w:val="1"/>
      <w:marLeft w:val="0"/>
      <w:marRight w:val="0"/>
      <w:marTop w:val="0"/>
      <w:marBottom w:val="0"/>
      <w:divBdr>
        <w:top w:val="none" w:sz="0" w:space="0" w:color="auto"/>
        <w:left w:val="none" w:sz="0" w:space="0" w:color="auto"/>
        <w:bottom w:val="none" w:sz="0" w:space="0" w:color="auto"/>
        <w:right w:val="none" w:sz="0" w:space="0" w:color="auto"/>
      </w:divBdr>
    </w:div>
    <w:div w:id="1821535281">
      <w:bodyDiv w:val="1"/>
      <w:marLeft w:val="0"/>
      <w:marRight w:val="0"/>
      <w:marTop w:val="0"/>
      <w:marBottom w:val="0"/>
      <w:divBdr>
        <w:top w:val="none" w:sz="0" w:space="0" w:color="auto"/>
        <w:left w:val="none" w:sz="0" w:space="0" w:color="auto"/>
        <w:bottom w:val="none" w:sz="0" w:space="0" w:color="auto"/>
        <w:right w:val="none" w:sz="0" w:space="0" w:color="auto"/>
      </w:divBdr>
    </w:div>
    <w:div w:id="1829899358">
      <w:bodyDiv w:val="1"/>
      <w:marLeft w:val="0"/>
      <w:marRight w:val="0"/>
      <w:marTop w:val="0"/>
      <w:marBottom w:val="0"/>
      <w:divBdr>
        <w:top w:val="none" w:sz="0" w:space="0" w:color="auto"/>
        <w:left w:val="none" w:sz="0" w:space="0" w:color="auto"/>
        <w:bottom w:val="none" w:sz="0" w:space="0" w:color="auto"/>
        <w:right w:val="none" w:sz="0" w:space="0" w:color="auto"/>
      </w:divBdr>
      <w:divsChild>
        <w:div w:id="608468843">
          <w:marLeft w:val="0"/>
          <w:marRight w:val="0"/>
          <w:marTop w:val="0"/>
          <w:marBottom w:val="0"/>
          <w:divBdr>
            <w:top w:val="none" w:sz="0" w:space="0" w:color="auto"/>
            <w:left w:val="none" w:sz="0" w:space="0" w:color="auto"/>
            <w:bottom w:val="none" w:sz="0" w:space="0" w:color="auto"/>
            <w:right w:val="none" w:sz="0" w:space="0" w:color="auto"/>
          </w:divBdr>
          <w:divsChild>
            <w:div w:id="1683166350">
              <w:marLeft w:val="-75"/>
              <w:marRight w:val="0"/>
              <w:marTop w:val="30"/>
              <w:marBottom w:val="30"/>
              <w:divBdr>
                <w:top w:val="none" w:sz="0" w:space="0" w:color="auto"/>
                <w:left w:val="none" w:sz="0" w:space="0" w:color="auto"/>
                <w:bottom w:val="none" w:sz="0" w:space="0" w:color="auto"/>
                <w:right w:val="none" w:sz="0" w:space="0" w:color="auto"/>
              </w:divBdr>
              <w:divsChild>
                <w:div w:id="743456225">
                  <w:marLeft w:val="0"/>
                  <w:marRight w:val="0"/>
                  <w:marTop w:val="0"/>
                  <w:marBottom w:val="0"/>
                  <w:divBdr>
                    <w:top w:val="none" w:sz="0" w:space="0" w:color="auto"/>
                    <w:left w:val="none" w:sz="0" w:space="0" w:color="auto"/>
                    <w:bottom w:val="none" w:sz="0" w:space="0" w:color="auto"/>
                    <w:right w:val="none" w:sz="0" w:space="0" w:color="auto"/>
                  </w:divBdr>
                  <w:divsChild>
                    <w:div w:id="51278227">
                      <w:marLeft w:val="0"/>
                      <w:marRight w:val="0"/>
                      <w:marTop w:val="0"/>
                      <w:marBottom w:val="0"/>
                      <w:divBdr>
                        <w:top w:val="none" w:sz="0" w:space="0" w:color="auto"/>
                        <w:left w:val="none" w:sz="0" w:space="0" w:color="auto"/>
                        <w:bottom w:val="none" w:sz="0" w:space="0" w:color="auto"/>
                        <w:right w:val="none" w:sz="0" w:space="0" w:color="auto"/>
                      </w:divBdr>
                    </w:div>
                    <w:div w:id="759376685">
                      <w:marLeft w:val="0"/>
                      <w:marRight w:val="0"/>
                      <w:marTop w:val="0"/>
                      <w:marBottom w:val="0"/>
                      <w:divBdr>
                        <w:top w:val="none" w:sz="0" w:space="0" w:color="auto"/>
                        <w:left w:val="none" w:sz="0" w:space="0" w:color="auto"/>
                        <w:bottom w:val="none" w:sz="0" w:space="0" w:color="auto"/>
                        <w:right w:val="none" w:sz="0" w:space="0" w:color="auto"/>
                      </w:divBdr>
                    </w:div>
                    <w:div w:id="1921065103">
                      <w:marLeft w:val="0"/>
                      <w:marRight w:val="0"/>
                      <w:marTop w:val="0"/>
                      <w:marBottom w:val="0"/>
                      <w:divBdr>
                        <w:top w:val="none" w:sz="0" w:space="0" w:color="auto"/>
                        <w:left w:val="none" w:sz="0" w:space="0" w:color="auto"/>
                        <w:bottom w:val="none" w:sz="0" w:space="0" w:color="auto"/>
                        <w:right w:val="none" w:sz="0" w:space="0" w:color="auto"/>
                      </w:divBdr>
                    </w:div>
                  </w:divsChild>
                </w:div>
                <w:div w:id="1717270663">
                  <w:marLeft w:val="0"/>
                  <w:marRight w:val="0"/>
                  <w:marTop w:val="0"/>
                  <w:marBottom w:val="0"/>
                  <w:divBdr>
                    <w:top w:val="none" w:sz="0" w:space="0" w:color="auto"/>
                    <w:left w:val="none" w:sz="0" w:space="0" w:color="auto"/>
                    <w:bottom w:val="none" w:sz="0" w:space="0" w:color="auto"/>
                    <w:right w:val="none" w:sz="0" w:space="0" w:color="auto"/>
                  </w:divBdr>
                  <w:divsChild>
                    <w:div w:id="62327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319930">
          <w:marLeft w:val="0"/>
          <w:marRight w:val="0"/>
          <w:marTop w:val="0"/>
          <w:marBottom w:val="0"/>
          <w:divBdr>
            <w:top w:val="none" w:sz="0" w:space="0" w:color="auto"/>
            <w:left w:val="none" w:sz="0" w:space="0" w:color="auto"/>
            <w:bottom w:val="none" w:sz="0" w:space="0" w:color="auto"/>
            <w:right w:val="none" w:sz="0" w:space="0" w:color="auto"/>
          </w:divBdr>
        </w:div>
        <w:div w:id="844785029">
          <w:marLeft w:val="0"/>
          <w:marRight w:val="0"/>
          <w:marTop w:val="0"/>
          <w:marBottom w:val="0"/>
          <w:divBdr>
            <w:top w:val="none" w:sz="0" w:space="0" w:color="auto"/>
            <w:left w:val="none" w:sz="0" w:space="0" w:color="auto"/>
            <w:bottom w:val="none" w:sz="0" w:space="0" w:color="auto"/>
            <w:right w:val="none" w:sz="0" w:space="0" w:color="auto"/>
          </w:divBdr>
        </w:div>
        <w:div w:id="873620891">
          <w:marLeft w:val="0"/>
          <w:marRight w:val="0"/>
          <w:marTop w:val="0"/>
          <w:marBottom w:val="0"/>
          <w:divBdr>
            <w:top w:val="none" w:sz="0" w:space="0" w:color="auto"/>
            <w:left w:val="none" w:sz="0" w:space="0" w:color="auto"/>
            <w:bottom w:val="none" w:sz="0" w:space="0" w:color="auto"/>
            <w:right w:val="none" w:sz="0" w:space="0" w:color="auto"/>
          </w:divBdr>
        </w:div>
        <w:div w:id="1065681952">
          <w:marLeft w:val="0"/>
          <w:marRight w:val="0"/>
          <w:marTop w:val="0"/>
          <w:marBottom w:val="0"/>
          <w:divBdr>
            <w:top w:val="none" w:sz="0" w:space="0" w:color="auto"/>
            <w:left w:val="none" w:sz="0" w:space="0" w:color="auto"/>
            <w:bottom w:val="none" w:sz="0" w:space="0" w:color="auto"/>
            <w:right w:val="none" w:sz="0" w:space="0" w:color="auto"/>
          </w:divBdr>
        </w:div>
        <w:div w:id="1345858863">
          <w:marLeft w:val="0"/>
          <w:marRight w:val="0"/>
          <w:marTop w:val="0"/>
          <w:marBottom w:val="0"/>
          <w:divBdr>
            <w:top w:val="none" w:sz="0" w:space="0" w:color="auto"/>
            <w:left w:val="none" w:sz="0" w:space="0" w:color="auto"/>
            <w:bottom w:val="none" w:sz="0" w:space="0" w:color="auto"/>
            <w:right w:val="none" w:sz="0" w:space="0" w:color="auto"/>
          </w:divBdr>
        </w:div>
        <w:div w:id="1405683176">
          <w:marLeft w:val="0"/>
          <w:marRight w:val="0"/>
          <w:marTop w:val="0"/>
          <w:marBottom w:val="0"/>
          <w:divBdr>
            <w:top w:val="none" w:sz="0" w:space="0" w:color="auto"/>
            <w:left w:val="none" w:sz="0" w:space="0" w:color="auto"/>
            <w:bottom w:val="none" w:sz="0" w:space="0" w:color="auto"/>
            <w:right w:val="none" w:sz="0" w:space="0" w:color="auto"/>
          </w:divBdr>
        </w:div>
        <w:div w:id="1568495357">
          <w:marLeft w:val="0"/>
          <w:marRight w:val="0"/>
          <w:marTop w:val="0"/>
          <w:marBottom w:val="0"/>
          <w:divBdr>
            <w:top w:val="none" w:sz="0" w:space="0" w:color="auto"/>
            <w:left w:val="none" w:sz="0" w:space="0" w:color="auto"/>
            <w:bottom w:val="none" w:sz="0" w:space="0" w:color="auto"/>
            <w:right w:val="none" w:sz="0" w:space="0" w:color="auto"/>
          </w:divBdr>
        </w:div>
        <w:div w:id="1746488409">
          <w:marLeft w:val="0"/>
          <w:marRight w:val="0"/>
          <w:marTop w:val="0"/>
          <w:marBottom w:val="0"/>
          <w:divBdr>
            <w:top w:val="none" w:sz="0" w:space="0" w:color="auto"/>
            <w:left w:val="none" w:sz="0" w:space="0" w:color="auto"/>
            <w:bottom w:val="none" w:sz="0" w:space="0" w:color="auto"/>
            <w:right w:val="none" w:sz="0" w:space="0" w:color="auto"/>
          </w:divBdr>
        </w:div>
        <w:div w:id="1843887536">
          <w:marLeft w:val="0"/>
          <w:marRight w:val="0"/>
          <w:marTop w:val="0"/>
          <w:marBottom w:val="0"/>
          <w:divBdr>
            <w:top w:val="none" w:sz="0" w:space="0" w:color="auto"/>
            <w:left w:val="none" w:sz="0" w:space="0" w:color="auto"/>
            <w:bottom w:val="none" w:sz="0" w:space="0" w:color="auto"/>
            <w:right w:val="none" w:sz="0" w:space="0" w:color="auto"/>
          </w:divBdr>
          <w:divsChild>
            <w:div w:id="76677804">
              <w:marLeft w:val="0"/>
              <w:marRight w:val="0"/>
              <w:marTop w:val="0"/>
              <w:marBottom w:val="0"/>
              <w:divBdr>
                <w:top w:val="none" w:sz="0" w:space="0" w:color="auto"/>
                <w:left w:val="none" w:sz="0" w:space="0" w:color="auto"/>
                <w:bottom w:val="none" w:sz="0" w:space="0" w:color="auto"/>
                <w:right w:val="none" w:sz="0" w:space="0" w:color="auto"/>
              </w:divBdr>
            </w:div>
            <w:div w:id="804199129">
              <w:marLeft w:val="0"/>
              <w:marRight w:val="0"/>
              <w:marTop w:val="0"/>
              <w:marBottom w:val="0"/>
              <w:divBdr>
                <w:top w:val="none" w:sz="0" w:space="0" w:color="auto"/>
                <w:left w:val="none" w:sz="0" w:space="0" w:color="auto"/>
                <w:bottom w:val="none" w:sz="0" w:space="0" w:color="auto"/>
                <w:right w:val="none" w:sz="0" w:space="0" w:color="auto"/>
              </w:divBdr>
            </w:div>
            <w:div w:id="971598093">
              <w:marLeft w:val="0"/>
              <w:marRight w:val="0"/>
              <w:marTop w:val="0"/>
              <w:marBottom w:val="0"/>
              <w:divBdr>
                <w:top w:val="none" w:sz="0" w:space="0" w:color="auto"/>
                <w:left w:val="none" w:sz="0" w:space="0" w:color="auto"/>
                <w:bottom w:val="none" w:sz="0" w:space="0" w:color="auto"/>
                <w:right w:val="none" w:sz="0" w:space="0" w:color="auto"/>
              </w:divBdr>
            </w:div>
            <w:div w:id="2106725900">
              <w:marLeft w:val="0"/>
              <w:marRight w:val="0"/>
              <w:marTop w:val="0"/>
              <w:marBottom w:val="0"/>
              <w:divBdr>
                <w:top w:val="none" w:sz="0" w:space="0" w:color="auto"/>
                <w:left w:val="none" w:sz="0" w:space="0" w:color="auto"/>
                <w:bottom w:val="none" w:sz="0" w:space="0" w:color="auto"/>
                <w:right w:val="none" w:sz="0" w:space="0" w:color="auto"/>
              </w:divBdr>
            </w:div>
            <w:div w:id="2130313302">
              <w:marLeft w:val="0"/>
              <w:marRight w:val="0"/>
              <w:marTop w:val="0"/>
              <w:marBottom w:val="0"/>
              <w:divBdr>
                <w:top w:val="none" w:sz="0" w:space="0" w:color="auto"/>
                <w:left w:val="none" w:sz="0" w:space="0" w:color="auto"/>
                <w:bottom w:val="none" w:sz="0" w:space="0" w:color="auto"/>
                <w:right w:val="none" w:sz="0" w:space="0" w:color="auto"/>
              </w:divBdr>
            </w:div>
          </w:divsChild>
        </w:div>
        <w:div w:id="1949197815">
          <w:marLeft w:val="0"/>
          <w:marRight w:val="0"/>
          <w:marTop w:val="0"/>
          <w:marBottom w:val="0"/>
          <w:divBdr>
            <w:top w:val="none" w:sz="0" w:space="0" w:color="auto"/>
            <w:left w:val="none" w:sz="0" w:space="0" w:color="auto"/>
            <w:bottom w:val="none" w:sz="0" w:space="0" w:color="auto"/>
            <w:right w:val="none" w:sz="0" w:space="0" w:color="auto"/>
          </w:divBdr>
        </w:div>
        <w:div w:id="2097824941">
          <w:marLeft w:val="0"/>
          <w:marRight w:val="0"/>
          <w:marTop w:val="0"/>
          <w:marBottom w:val="0"/>
          <w:divBdr>
            <w:top w:val="none" w:sz="0" w:space="0" w:color="auto"/>
            <w:left w:val="none" w:sz="0" w:space="0" w:color="auto"/>
            <w:bottom w:val="none" w:sz="0" w:space="0" w:color="auto"/>
            <w:right w:val="none" w:sz="0" w:space="0" w:color="auto"/>
          </w:divBdr>
        </w:div>
        <w:div w:id="2142067644">
          <w:marLeft w:val="0"/>
          <w:marRight w:val="0"/>
          <w:marTop w:val="0"/>
          <w:marBottom w:val="0"/>
          <w:divBdr>
            <w:top w:val="none" w:sz="0" w:space="0" w:color="auto"/>
            <w:left w:val="none" w:sz="0" w:space="0" w:color="auto"/>
            <w:bottom w:val="none" w:sz="0" w:space="0" w:color="auto"/>
            <w:right w:val="none" w:sz="0" w:space="0" w:color="auto"/>
          </w:divBdr>
        </w:div>
        <w:div w:id="2142842424">
          <w:marLeft w:val="0"/>
          <w:marRight w:val="0"/>
          <w:marTop w:val="0"/>
          <w:marBottom w:val="0"/>
          <w:divBdr>
            <w:top w:val="none" w:sz="0" w:space="0" w:color="auto"/>
            <w:left w:val="none" w:sz="0" w:space="0" w:color="auto"/>
            <w:bottom w:val="none" w:sz="0" w:space="0" w:color="auto"/>
            <w:right w:val="none" w:sz="0" w:space="0" w:color="auto"/>
          </w:divBdr>
        </w:div>
      </w:divsChild>
    </w:div>
    <w:div w:id="1835680073">
      <w:bodyDiv w:val="1"/>
      <w:marLeft w:val="0"/>
      <w:marRight w:val="0"/>
      <w:marTop w:val="0"/>
      <w:marBottom w:val="0"/>
      <w:divBdr>
        <w:top w:val="none" w:sz="0" w:space="0" w:color="auto"/>
        <w:left w:val="none" w:sz="0" w:space="0" w:color="auto"/>
        <w:bottom w:val="none" w:sz="0" w:space="0" w:color="auto"/>
        <w:right w:val="none" w:sz="0" w:space="0" w:color="auto"/>
      </w:divBdr>
    </w:div>
    <w:div w:id="1848253155">
      <w:bodyDiv w:val="1"/>
      <w:marLeft w:val="0"/>
      <w:marRight w:val="0"/>
      <w:marTop w:val="0"/>
      <w:marBottom w:val="0"/>
      <w:divBdr>
        <w:top w:val="none" w:sz="0" w:space="0" w:color="auto"/>
        <w:left w:val="none" w:sz="0" w:space="0" w:color="auto"/>
        <w:bottom w:val="none" w:sz="0" w:space="0" w:color="auto"/>
        <w:right w:val="none" w:sz="0" w:space="0" w:color="auto"/>
      </w:divBdr>
    </w:div>
    <w:div w:id="1855875708">
      <w:bodyDiv w:val="1"/>
      <w:marLeft w:val="0"/>
      <w:marRight w:val="0"/>
      <w:marTop w:val="0"/>
      <w:marBottom w:val="0"/>
      <w:divBdr>
        <w:top w:val="none" w:sz="0" w:space="0" w:color="auto"/>
        <w:left w:val="none" w:sz="0" w:space="0" w:color="auto"/>
        <w:bottom w:val="none" w:sz="0" w:space="0" w:color="auto"/>
        <w:right w:val="none" w:sz="0" w:space="0" w:color="auto"/>
      </w:divBdr>
    </w:div>
    <w:div w:id="1856729950">
      <w:bodyDiv w:val="1"/>
      <w:marLeft w:val="0"/>
      <w:marRight w:val="0"/>
      <w:marTop w:val="0"/>
      <w:marBottom w:val="0"/>
      <w:divBdr>
        <w:top w:val="none" w:sz="0" w:space="0" w:color="auto"/>
        <w:left w:val="none" w:sz="0" w:space="0" w:color="auto"/>
        <w:bottom w:val="none" w:sz="0" w:space="0" w:color="auto"/>
        <w:right w:val="none" w:sz="0" w:space="0" w:color="auto"/>
      </w:divBdr>
    </w:div>
    <w:div w:id="1860896584">
      <w:bodyDiv w:val="1"/>
      <w:marLeft w:val="0"/>
      <w:marRight w:val="0"/>
      <w:marTop w:val="0"/>
      <w:marBottom w:val="0"/>
      <w:divBdr>
        <w:top w:val="none" w:sz="0" w:space="0" w:color="auto"/>
        <w:left w:val="none" w:sz="0" w:space="0" w:color="auto"/>
        <w:bottom w:val="none" w:sz="0" w:space="0" w:color="auto"/>
        <w:right w:val="none" w:sz="0" w:space="0" w:color="auto"/>
      </w:divBdr>
    </w:div>
    <w:div w:id="1895922158">
      <w:bodyDiv w:val="1"/>
      <w:marLeft w:val="0"/>
      <w:marRight w:val="0"/>
      <w:marTop w:val="0"/>
      <w:marBottom w:val="0"/>
      <w:divBdr>
        <w:top w:val="none" w:sz="0" w:space="0" w:color="auto"/>
        <w:left w:val="none" w:sz="0" w:space="0" w:color="auto"/>
        <w:bottom w:val="none" w:sz="0" w:space="0" w:color="auto"/>
        <w:right w:val="none" w:sz="0" w:space="0" w:color="auto"/>
      </w:divBdr>
    </w:div>
    <w:div w:id="1910187582">
      <w:bodyDiv w:val="1"/>
      <w:marLeft w:val="0"/>
      <w:marRight w:val="0"/>
      <w:marTop w:val="0"/>
      <w:marBottom w:val="0"/>
      <w:divBdr>
        <w:top w:val="none" w:sz="0" w:space="0" w:color="auto"/>
        <w:left w:val="none" w:sz="0" w:space="0" w:color="auto"/>
        <w:bottom w:val="none" w:sz="0" w:space="0" w:color="auto"/>
        <w:right w:val="none" w:sz="0" w:space="0" w:color="auto"/>
      </w:divBdr>
    </w:div>
    <w:div w:id="1929121851">
      <w:bodyDiv w:val="1"/>
      <w:marLeft w:val="0"/>
      <w:marRight w:val="0"/>
      <w:marTop w:val="0"/>
      <w:marBottom w:val="0"/>
      <w:divBdr>
        <w:top w:val="none" w:sz="0" w:space="0" w:color="auto"/>
        <w:left w:val="none" w:sz="0" w:space="0" w:color="auto"/>
        <w:bottom w:val="none" w:sz="0" w:space="0" w:color="auto"/>
        <w:right w:val="none" w:sz="0" w:space="0" w:color="auto"/>
      </w:divBdr>
    </w:div>
    <w:div w:id="1937328484">
      <w:bodyDiv w:val="1"/>
      <w:marLeft w:val="0"/>
      <w:marRight w:val="0"/>
      <w:marTop w:val="0"/>
      <w:marBottom w:val="0"/>
      <w:divBdr>
        <w:top w:val="none" w:sz="0" w:space="0" w:color="auto"/>
        <w:left w:val="none" w:sz="0" w:space="0" w:color="auto"/>
        <w:bottom w:val="none" w:sz="0" w:space="0" w:color="auto"/>
        <w:right w:val="none" w:sz="0" w:space="0" w:color="auto"/>
      </w:divBdr>
    </w:div>
    <w:div w:id="1945838806">
      <w:bodyDiv w:val="1"/>
      <w:marLeft w:val="0"/>
      <w:marRight w:val="0"/>
      <w:marTop w:val="0"/>
      <w:marBottom w:val="0"/>
      <w:divBdr>
        <w:top w:val="none" w:sz="0" w:space="0" w:color="auto"/>
        <w:left w:val="none" w:sz="0" w:space="0" w:color="auto"/>
        <w:bottom w:val="none" w:sz="0" w:space="0" w:color="auto"/>
        <w:right w:val="none" w:sz="0" w:space="0" w:color="auto"/>
      </w:divBdr>
      <w:divsChild>
        <w:div w:id="628824252">
          <w:marLeft w:val="0"/>
          <w:marRight w:val="0"/>
          <w:marTop w:val="0"/>
          <w:marBottom w:val="0"/>
          <w:divBdr>
            <w:top w:val="none" w:sz="0" w:space="0" w:color="auto"/>
            <w:left w:val="none" w:sz="0" w:space="0" w:color="auto"/>
            <w:bottom w:val="none" w:sz="0" w:space="0" w:color="auto"/>
            <w:right w:val="none" w:sz="0" w:space="0" w:color="auto"/>
          </w:divBdr>
          <w:divsChild>
            <w:div w:id="1057124261">
              <w:marLeft w:val="0"/>
              <w:marRight w:val="0"/>
              <w:marTop w:val="0"/>
              <w:marBottom w:val="0"/>
              <w:divBdr>
                <w:top w:val="none" w:sz="0" w:space="0" w:color="auto"/>
                <w:left w:val="none" w:sz="0" w:space="0" w:color="auto"/>
                <w:bottom w:val="none" w:sz="0" w:space="0" w:color="auto"/>
                <w:right w:val="none" w:sz="0" w:space="0" w:color="auto"/>
              </w:divBdr>
              <w:divsChild>
                <w:div w:id="1577788877">
                  <w:marLeft w:val="-75"/>
                  <w:marRight w:val="-75"/>
                  <w:marTop w:val="0"/>
                  <w:marBottom w:val="0"/>
                  <w:divBdr>
                    <w:top w:val="none" w:sz="0" w:space="0" w:color="auto"/>
                    <w:left w:val="none" w:sz="0" w:space="0" w:color="auto"/>
                    <w:bottom w:val="none" w:sz="0" w:space="0" w:color="auto"/>
                    <w:right w:val="none" w:sz="0" w:space="0" w:color="auto"/>
                  </w:divBdr>
                  <w:divsChild>
                    <w:div w:id="1449591387">
                      <w:marLeft w:val="0"/>
                      <w:marRight w:val="0"/>
                      <w:marTop w:val="0"/>
                      <w:marBottom w:val="0"/>
                      <w:divBdr>
                        <w:top w:val="none" w:sz="0" w:space="0" w:color="auto"/>
                        <w:left w:val="none" w:sz="0" w:space="0" w:color="auto"/>
                        <w:bottom w:val="none" w:sz="0" w:space="0" w:color="auto"/>
                        <w:right w:val="none" w:sz="0" w:space="0" w:color="auto"/>
                      </w:divBdr>
                      <w:divsChild>
                        <w:div w:id="145910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073829">
      <w:bodyDiv w:val="1"/>
      <w:marLeft w:val="0"/>
      <w:marRight w:val="0"/>
      <w:marTop w:val="0"/>
      <w:marBottom w:val="0"/>
      <w:divBdr>
        <w:top w:val="none" w:sz="0" w:space="0" w:color="auto"/>
        <w:left w:val="none" w:sz="0" w:space="0" w:color="auto"/>
        <w:bottom w:val="none" w:sz="0" w:space="0" w:color="auto"/>
        <w:right w:val="none" w:sz="0" w:space="0" w:color="auto"/>
      </w:divBdr>
    </w:div>
    <w:div w:id="1950043265">
      <w:bodyDiv w:val="1"/>
      <w:marLeft w:val="0"/>
      <w:marRight w:val="0"/>
      <w:marTop w:val="0"/>
      <w:marBottom w:val="0"/>
      <w:divBdr>
        <w:top w:val="none" w:sz="0" w:space="0" w:color="auto"/>
        <w:left w:val="none" w:sz="0" w:space="0" w:color="auto"/>
        <w:bottom w:val="none" w:sz="0" w:space="0" w:color="auto"/>
        <w:right w:val="none" w:sz="0" w:space="0" w:color="auto"/>
      </w:divBdr>
    </w:div>
    <w:div w:id="1986541298">
      <w:bodyDiv w:val="1"/>
      <w:marLeft w:val="0"/>
      <w:marRight w:val="0"/>
      <w:marTop w:val="0"/>
      <w:marBottom w:val="0"/>
      <w:divBdr>
        <w:top w:val="none" w:sz="0" w:space="0" w:color="auto"/>
        <w:left w:val="none" w:sz="0" w:space="0" w:color="auto"/>
        <w:bottom w:val="none" w:sz="0" w:space="0" w:color="auto"/>
        <w:right w:val="none" w:sz="0" w:space="0" w:color="auto"/>
      </w:divBdr>
    </w:div>
    <w:div w:id="1988166929">
      <w:bodyDiv w:val="1"/>
      <w:marLeft w:val="0"/>
      <w:marRight w:val="0"/>
      <w:marTop w:val="0"/>
      <w:marBottom w:val="0"/>
      <w:divBdr>
        <w:top w:val="none" w:sz="0" w:space="0" w:color="auto"/>
        <w:left w:val="none" w:sz="0" w:space="0" w:color="auto"/>
        <w:bottom w:val="none" w:sz="0" w:space="0" w:color="auto"/>
        <w:right w:val="none" w:sz="0" w:space="0" w:color="auto"/>
      </w:divBdr>
    </w:div>
    <w:div w:id="1992101377">
      <w:bodyDiv w:val="1"/>
      <w:marLeft w:val="0"/>
      <w:marRight w:val="0"/>
      <w:marTop w:val="0"/>
      <w:marBottom w:val="0"/>
      <w:divBdr>
        <w:top w:val="none" w:sz="0" w:space="0" w:color="auto"/>
        <w:left w:val="none" w:sz="0" w:space="0" w:color="auto"/>
        <w:bottom w:val="none" w:sz="0" w:space="0" w:color="auto"/>
        <w:right w:val="none" w:sz="0" w:space="0" w:color="auto"/>
      </w:divBdr>
    </w:div>
    <w:div w:id="1992631992">
      <w:bodyDiv w:val="1"/>
      <w:marLeft w:val="0"/>
      <w:marRight w:val="0"/>
      <w:marTop w:val="0"/>
      <w:marBottom w:val="0"/>
      <w:divBdr>
        <w:top w:val="none" w:sz="0" w:space="0" w:color="auto"/>
        <w:left w:val="none" w:sz="0" w:space="0" w:color="auto"/>
        <w:bottom w:val="none" w:sz="0" w:space="0" w:color="auto"/>
        <w:right w:val="none" w:sz="0" w:space="0" w:color="auto"/>
      </w:divBdr>
    </w:div>
    <w:div w:id="1999186118">
      <w:bodyDiv w:val="1"/>
      <w:marLeft w:val="0"/>
      <w:marRight w:val="0"/>
      <w:marTop w:val="0"/>
      <w:marBottom w:val="0"/>
      <w:divBdr>
        <w:top w:val="none" w:sz="0" w:space="0" w:color="auto"/>
        <w:left w:val="none" w:sz="0" w:space="0" w:color="auto"/>
        <w:bottom w:val="none" w:sz="0" w:space="0" w:color="auto"/>
        <w:right w:val="none" w:sz="0" w:space="0" w:color="auto"/>
      </w:divBdr>
    </w:div>
    <w:div w:id="2002199148">
      <w:bodyDiv w:val="1"/>
      <w:marLeft w:val="0"/>
      <w:marRight w:val="0"/>
      <w:marTop w:val="0"/>
      <w:marBottom w:val="0"/>
      <w:divBdr>
        <w:top w:val="none" w:sz="0" w:space="0" w:color="auto"/>
        <w:left w:val="none" w:sz="0" w:space="0" w:color="auto"/>
        <w:bottom w:val="none" w:sz="0" w:space="0" w:color="auto"/>
        <w:right w:val="none" w:sz="0" w:space="0" w:color="auto"/>
      </w:divBdr>
    </w:div>
    <w:div w:id="2007515711">
      <w:bodyDiv w:val="1"/>
      <w:marLeft w:val="0"/>
      <w:marRight w:val="0"/>
      <w:marTop w:val="0"/>
      <w:marBottom w:val="0"/>
      <w:divBdr>
        <w:top w:val="none" w:sz="0" w:space="0" w:color="auto"/>
        <w:left w:val="none" w:sz="0" w:space="0" w:color="auto"/>
        <w:bottom w:val="none" w:sz="0" w:space="0" w:color="auto"/>
        <w:right w:val="none" w:sz="0" w:space="0" w:color="auto"/>
      </w:divBdr>
    </w:div>
    <w:div w:id="2020229007">
      <w:bodyDiv w:val="1"/>
      <w:marLeft w:val="0"/>
      <w:marRight w:val="0"/>
      <w:marTop w:val="0"/>
      <w:marBottom w:val="0"/>
      <w:divBdr>
        <w:top w:val="none" w:sz="0" w:space="0" w:color="auto"/>
        <w:left w:val="none" w:sz="0" w:space="0" w:color="auto"/>
        <w:bottom w:val="none" w:sz="0" w:space="0" w:color="auto"/>
        <w:right w:val="none" w:sz="0" w:space="0" w:color="auto"/>
      </w:divBdr>
    </w:div>
    <w:div w:id="2021930322">
      <w:bodyDiv w:val="1"/>
      <w:marLeft w:val="0"/>
      <w:marRight w:val="0"/>
      <w:marTop w:val="0"/>
      <w:marBottom w:val="0"/>
      <w:divBdr>
        <w:top w:val="none" w:sz="0" w:space="0" w:color="auto"/>
        <w:left w:val="none" w:sz="0" w:space="0" w:color="auto"/>
        <w:bottom w:val="none" w:sz="0" w:space="0" w:color="auto"/>
        <w:right w:val="none" w:sz="0" w:space="0" w:color="auto"/>
      </w:divBdr>
    </w:div>
    <w:div w:id="2031643928">
      <w:bodyDiv w:val="1"/>
      <w:marLeft w:val="0"/>
      <w:marRight w:val="0"/>
      <w:marTop w:val="0"/>
      <w:marBottom w:val="0"/>
      <w:divBdr>
        <w:top w:val="none" w:sz="0" w:space="0" w:color="auto"/>
        <w:left w:val="none" w:sz="0" w:space="0" w:color="auto"/>
        <w:bottom w:val="none" w:sz="0" w:space="0" w:color="auto"/>
        <w:right w:val="none" w:sz="0" w:space="0" w:color="auto"/>
      </w:divBdr>
    </w:div>
    <w:div w:id="2060857555">
      <w:bodyDiv w:val="1"/>
      <w:marLeft w:val="0"/>
      <w:marRight w:val="0"/>
      <w:marTop w:val="0"/>
      <w:marBottom w:val="0"/>
      <w:divBdr>
        <w:top w:val="none" w:sz="0" w:space="0" w:color="auto"/>
        <w:left w:val="none" w:sz="0" w:space="0" w:color="auto"/>
        <w:bottom w:val="none" w:sz="0" w:space="0" w:color="auto"/>
        <w:right w:val="none" w:sz="0" w:space="0" w:color="auto"/>
      </w:divBdr>
    </w:div>
    <w:div w:id="2061398461">
      <w:bodyDiv w:val="1"/>
      <w:marLeft w:val="0"/>
      <w:marRight w:val="0"/>
      <w:marTop w:val="0"/>
      <w:marBottom w:val="0"/>
      <w:divBdr>
        <w:top w:val="none" w:sz="0" w:space="0" w:color="auto"/>
        <w:left w:val="none" w:sz="0" w:space="0" w:color="auto"/>
        <w:bottom w:val="none" w:sz="0" w:space="0" w:color="auto"/>
        <w:right w:val="none" w:sz="0" w:space="0" w:color="auto"/>
      </w:divBdr>
      <w:divsChild>
        <w:div w:id="439489372">
          <w:marLeft w:val="0"/>
          <w:marRight w:val="0"/>
          <w:marTop w:val="0"/>
          <w:marBottom w:val="0"/>
          <w:divBdr>
            <w:top w:val="none" w:sz="0" w:space="0" w:color="auto"/>
            <w:left w:val="none" w:sz="0" w:space="0" w:color="auto"/>
            <w:bottom w:val="none" w:sz="0" w:space="0" w:color="auto"/>
            <w:right w:val="none" w:sz="0" w:space="0" w:color="auto"/>
          </w:divBdr>
        </w:div>
        <w:div w:id="1134324563">
          <w:marLeft w:val="0"/>
          <w:marRight w:val="0"/>
          <w:marTop w:val="0"/>
          <w:marBottom w:val="0"/>
          <w:divBdr>
            <w:top w:val="none" w:sz="0" w:space="0" w:color="auto"/>
            <w:left w:val="none" w:sz="0" w:space="0" w:color="auto"/>
            <w:bottom w:val="none" w:sz="0" w:space="0" w:color="auto"/>
            <w:right w:val="none" w:sz="0" w:space="0" w:color="auto"/>
          </w:divBdr>
        </w:div>
        <w:div w:id="1551109632">
          <w:marLeft w:val="0"/>
          <w:marRight w:val="0"/>
          <w:marTop w:val="0"/>
          <w:marBottom w:val="0"/>
          <w:divBdr>
            <w:top w:val="none" w:sz="0" w:space="0" w:color="auto"/>
            <w:left w:val="none" w:sz="0" w:space="0" w:color="auto"/>
            <w:bottom w:val="none" w:sz="0" w:space="0" w:color="auto"/>
            <w:right w:val="none" w:sz="0" w:space="0" w:color="auto"/>
          </w:divBdr>
        </w:div>
      </w:divsChild>
    </w:div>
    <w:div w:id="2062560442">
      <w:bodyDiv w:val="1"/>
      <w:marLeft w:val="0"/>
      <w:marRight w:val="0"/>
      <w:marTop w:val="0"/>
      <w:marBottom w:val="0"/>
      <w:divBdr>
        <w:top w:val="none" w:sz="0" w:space="0" w:color="auto"/>
        <w:left w:val="none" w:sz="0" w:space="0" w:color="auto"/>
        <w:bottom w:val="none" w:sz="0" w:space="0" w:color="auto"/>
        <w:right w:val="none" w:sz="0" w:space="0" w:color="auto"/>
      </w:divBdr>
    </w:div>
    <w:div w:id="2066180889">
      <w:bodyDiv w:val="1"/>
      <w:marLeft w:val="0"/>
      <w:marRight w:val="0"/>
      <w:marTop w:val="0"/>
      <w:marBottom w:val="0"/>
      <w:divBdr>
        <w:top w:val="none" w:sz="0" w:space="0" w:color="auto"/>
        <w:left w:val="none" w:sz="0" w:space="0" w:color="auto"/>
        <w:bottom w:val="none" w:sz="0" w:space="0" w:color="auto"/>
        <w:right w:val="none" w:sz="0" w:space="0" w:color="auto"/>
      </w:divBdr>
    </w:div>
    <w:div w:id="2091581971">
      <w:bodyDiv w:val="1"/>
      <w:marLeft w:val="0"/>
      <w:marRight w:val="0"/>
      <w:marTop w:val="0"/>
      <w:marBottom w:val="0"/>
      <w:divBdr>
        <w:top w:val="none" w:sz="0" w:space="0" w:color="auto"/>
        <w:left w:val="none" w:sz="0" w:space="0" w:color="auto"/>
        <w:bottom w:val="none" w:sz="0" w:space="0" w:color="auto"/>
        <w:right w:val="none" w:sz="0" w:space="0" w:color="auto"/>
      </w:divBdr>
      <w:divsChild>
        <w:div w:id="814101297">
          <w:marLeft w:val="0"/>
          <w:marRight w:val="0"/>
          <w:marTop w:val="0"/>
          <w:marBottom w:val="0"/>
          <w:divBdr>
            <w:top w:val="none" w:sz="0" w:space="0" w:color="auto"/>
            <w:left w:val="none" w:sz="0" w:space="0" w:color="auto"/>
            <w:bottom w:val="none" w:sz="0" w:space="0" w:color="auto"/>
            <w:right w:val="none" w:sz="0" w:space="0" w:color="auto"/>
          </w:divBdr>
          <w:divsChild>
            <w:div w:id="474103864">
              <w:marLeft w:val="-75"/>
              <w:marRight w:val="0"/>
              <w:marTop w:val="30"/>
              <w:marBottom w:val="30"/>
              <w:divBdr>
                <w:top w:val="none" w:sz="0" w:space="0" w:color="auto"/>
                <w:left w:val="none" w:sz="0" w:space="0" w:color="auto"/>
                <w:bottom w:val="none" w:sz="0" w:space="0" w:color="auto"/>
                <w:right w:val="none" w:sz="0" w:space="0" w:color="auto"/>
              </w:divBdr>
              <w:divsChild>
                <w:div w:id="1022979923">
                  <w:marLeft w:val="0"/>
                  <w:marRight w:val="0"/>
                  <w:marTop w:val="0"/>
                  <w:marBottom w:val="0"/>
                  <w:divBdr>
                    <w:top w:val="none" w:sz="0" w:space="0" w:color="auto"/>
                    <w:left w:val="none" w:sz="0" w:space="0" w:color="auto"/>
                    <w:bottom w:val="none" w:sz="0" w:space="0" w:color="auto"/>
                    <w:right w:val="none" w:sz="0" w:space="0" w:color="auto"/>
                  </w:divBdr>
                  <w:divsChild>
                    <w:div w:id="529682439">
                      <w:marLeft w:val="0"/>
                      <w:marRight w:val="0"/>
                      <w:marTop w:val="0"/>
                      <w:marBottom w:val="0"/>
                      <w:divBdr>
                        <w:top w:val="none" w:sz="0" w:space="0" w:color="auto"/>
                        <w:left w:val="none" w:sz="0" w:space="0" w:color="auto"/>
                        <w:bottom w:val="none" w:sz="0" w:space="0" w:color="auto"/>
                        <w:right w:val="none" w:sz="0" w:space="0" w:color="auto"/>
                      </w:divBdr>
                    </w:div>
                  </w:divsChild>
                </w:div>
                <w:div w:id="1998066352">
                  <w:marLeft w:val="0"/>
                  <w:marRight w:val="0"/>
                  <w:marTop w:val="0"/>
                  <w:marBottom w:val="0"/>
                  <w:divBdr>
                    <w:top w:val="none" w:sz="0" w:space="0" w:color="auto"/>
                    <w:left w:val="none" w:sz="0" w:space="0" w:color="auto"/>
                    <w:bottom w:val="none" w:sz="0" w:space="0" w:color="auto"/>
                    <w:right w:val="none" w:sz="0" w:space="0" w:color="auto"/>
                  </w:divBdr>
                  <w:divsChild>
                    <w:div w:id="536623281">
                      <w:marLeft w:val="0"/>
                      <w:marRight w:val="0"/>
                      <w:marTop w:val="0"/>
                      <w:marBottom w:val="0"/>
                      <w:divBdr>
                        <w:top w:val="none" w:sz="0" w:space="0" w:color="auto"/>
                        <w:left w:val="none" w:sz="0" w:space="0" w:color="auto"/>
                        <w:bottom w:val="none" w:sz="0" w:space="0" w:color="auto"/>
                        <w:right w:val="none" w:sz="0" w:space="0" w:color="auto"/>
                      </w:divBdr>
                    </w:div>
                    <w:div w:id="1600411214">
                      <w:marLeft w:val="0"/>
                      <w:marRight w:val="0"/>
                      <w:marTop w:val="0"/>
                      <w:marBottom w:val="0"/>
                      <w:divBdr>
                        <w:top w:val="none" w:sz="0" w:space="0" w:color="auto"/>
                        <w:left w:val="none" w:sz="0" w:space="0" w:color="auto"/>
                        <w:bottom w:val="none" w:sz="0" w:space="0" w:color="auto"/>
                        <w:right w:val="none" w:sz="0" w:space="0" w:color="auto"/>
                      </w:divBdr>
                    </w:div>
                    <w:div w:id="191747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275369">
          <w:marLeft w:val="0"/>
          <w:marRight w:val="0"/>
          <w:marTop w:val="0"/>
          <w:marBottom w:val="0"/>
          <w:divBdr>
            <w:top w:val="none" w:sz="0" w:space="0" w:color="auto"/>
            <w:left w:val="none" w:sz="0" w:space="0" w:color="auto"/>
            <w:bottom w:val="none" w:sz="0" w:space="0" w:color="auto"/>
            <w:right w:val="none" w:sz="0" w:space="0" w:color="auto"/>
          </w:divBdr>
          <w:divsChild>
            <w:div w:id="1616985942">
              <w:marLeft w:val="0"/>
              <w:marRight w:val="0"/>
              <w:marTop w:val="0"/>
              <w:marBottom w:val="0"/>
              <w:divBdr>
                <w:top w:val="none" w:sz="0" w:space="0" w:color="auto"/>
                <w:left w:val="none" w:sz="0" w:space="0" w:color="auto"/>
                <w:bottom w:val="none" w:sz="0" w:space="0" w:color="auto"/>
                <w:right w:val="none" w:sz="0" w:space="0" w:color="auto"/>
              </w:divBdr>
            </w:div>
          </w:divsChild>
        </w:div>
        <w:div w:id="2029135544">
          <w:marLeft w:val="0"/>
          <w:marRight w:val="0"/>
          <w:marTop w:val="0"/>
          <w:marBottom w:val="0"/>
          <w:divBdr>
            <w:top w:val="none" w:sz="0" w:space="0" w:color="auto"/>
            <w:left w:val="none" w:sz="0" w:space="0" w:color="auto"/>
            <w:bottom w:val="none" w:sz="0" w:space="0" w:color="auto"/>
            <w:right w:val="none" w:sz="0" w:space="0" w:color="auto"/>
          </w:divBdr>
        </w:div>
      </w:divsChild>
    </w:div>
    <w:div w:id="2108885734">
      <w:bodyDiv w:val="1"/>
      <w:marLeft w:val="0"/>
      <w:marRight w:val="0"/>
      <w:marTop w:val="0"/>
      <w:marBottom w:val="0"/>
      <w:divBdr>
        <w:top w:val="none" w:sz="0" w:space="0" w:color="auto"/>
        <w:left w:val="none" w:sz="0" w:space="0" w:color="auto"/>
        <w:bottom w:val="none" w:sz="0" w:space="0" w:color="auto"/>
        <w:right w:val="none" w:sz="0" w:space="0" w:color="auto"/>
      </w:divBdr>
      <w:divsChild>
        <w:div w:id="1813014395">
          <w:marLeft w:val="0"/>
          <w:marRight w:val="0"/>
          <w:marTop w:val="0"/>
          <w:marBottom w:val="0"/>
          <w:divBdr>
            <w:top w:val="none" w:sz="0" w:space="0" w:color="auto"/>
            <w:left w:val="none" w:sz="0" w:space="0" w:color="auto"/>
            <w:bottom w:val="none" w:sz="0" w:space="0" w:color="auto"/>
            <w:right w:val="none" w:sz="0" w:space="0" w:color="auto"/>
          </w:divBdr>
          <w:divsChild>
            <w:div w:id="638265463">
              <w:marLeft w:val="0"/>
              <w:marRight w:val="0"/>
              <w:marTop w:val="0"/>
              <w:marBottom w:val="0"/>
              <w:divBdr>
                <w:top w:val="none" w:sz="0" w:space="0" w:color="auto"/>
                <w:left w:val="none" w:sz="0" w:space="0" w:color="auto"/>
                <w:bottom w:val="none" w:sz="0" w:space="0" w:color="auto"/>
                <w:right w:val="none" w:sz="0" w:space="0" w:color="auto"/>
              </w:divBdr>
              <w:divsChild>
                <w:div w:id="430861310">
                  <w:marLeft w:val="0"/>
                  <w:marRight w:val="0"/>
                  <w:marTop w:val="0"/>
                  <w:marBottom w:val="0"/>
                  <w:divBdr>
                    <w:top w:val="none" w:sz="0" w:space="0" w:color="auto"/>
                    <w:left w:val="none" w:sz="0" w:space="0" w:color="auto"/>
                    <w:bottom w:val="none" w:sz="0" w:space="0" w:color="auto"/>
                    <w:right w:val="none" w:sz="0" w:space="0" w:color="auto"/>
                  </w:divBdr>
                  <w:divsChild>
                    <w:div w:id="395199683">
                      <w:marLeft w:val="0"/>
                      <w:marRight w:val="0"/>
                      <w:marTop w:val="0"/>
                      <w:marBottom w:val="0"/>
                      <w:divBdr>
                        <w:top w:val="none" w:sz="0" w:space="0" w:color="auto"/>
                        <w:left w:val="none" w:sz="0" w:space="0" w:color="auto"/>
                        <w:bottom w:val="none" w:sz="0" w:space="0" w:color="auto"/>
                        <w:right w:val="none" w:sz="0" w:space="0" w:color="auto"/>
                      </w:divBdr>
                      <w:divsChild>
                        <w:div w:id="24851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4154768">
      <w:bodyDiv w:val="1"/>
      <w:marLeft w:val="0"/>
      <w:marRight w:val="0"/>
      <w:marTop w:val="0"/>
      <w:marBottom w:val="0"/>
      <w:divBdr>
        <w:top w:val="none" w:sz="0" w:space="0" w:color="auto"/>
        <w:left w:val="none" w:sz="0" w:space="0" w:color="auto"/>
        <w:bottom w:val="none" w:sz="0" w:space="0" w:color="auto"/>
        <w:right w:val="none" w:sz="0" w:space="0" w:color="auto"/>
      </w:divBdr>
    </w:div>
    <w:div w:id="2131585150">
      <w:bodyDiv w:val="1"/>
      <w:marLeft w:val="0"/>
      <w:marRight w:val="0"/>
      <w:marTop w:val="0"/>
      <w:marBottom w:val="0"/>
      <w:divBdr>
        <w:top w:val="none" w:sz="0" w:space="0" w:color="auto"/>
        <w:left w:val="none" w:sz="0" w:space="0" w:color="auto"/>
        <w:bottom w:val="none" w:sz="0" w:space="0" w:color="auto"/>
        <w:right w:val="none" w:sz="0" w:space="0" w:color="auto"/>
      </w:divBdr>
    </w:div>
    <w:div w:id="2132358541">
      <w:bodyDiv w:val="1"/>
      <w:marLeft w:val="0"/>
      <w:marRight w:val="0"/>
      <w:marTop w:val="0"/>
      <w:marBottom w:val="0"/>
      <w:divBdr>
        <w:top w:val="none" w:sz="0" w:space="0" w:color="auto"/>
        <w:left w:val="none" w:sz="0" w:space="0" w:color="auto"/>
        <w:bottom w:val="none" w:sz="0" w:space="0" w:color="auto"/>
        <w:right w:val="none" w:sz="0" w:space="0" w:color="auto"/>
      </w:divBdr>
      <w:divsChild>
        <w:div w:id="270864301">
          <w:marLeft w:val="0"/>
          <w:marRight w:val="0"/>
          <w:marTop w:val="0"/>
          <w:marBottom w:val="0"/>
          <w:divBdr>
            <w:top w:val="none" w:sz="0" w:space="0" w:color="auto"/>
            <w:left w:val="none" w:sz="0" w:space="0" w:color="auto"/>
            <w:bottom w:val="none" w:sz="0" w:space="0" w:color="auto"/>
            <w:right w:val="none" w:sz="0" w:space="0" w:color="auto"/>
          </w:divBdr>
        </w:div>
        <w:div w:id="705984779">
          <w:marLeft w:val="0"/>
          <w:marRight w:val="0"/>
          <w:marTop w:val="0"/>
          <w:marBottom w:val="0"/>
          <w:divBdr>
            <w:top w:val="none" w:sz="0" w:space="0" w:color="auto"/>
            <w:left w:val="none" w:sz="0" w:space="0" w:color="auto"/>
            <w:bottom w:val="none" w:sz="0" w:space="0" w:color="auto"/>
            <w:right w:val="none" w:sz="0" w:space="0" w:color="auto"/>
          </w:divBdr>
        </w:div>
        <w:div w:id="1281449220">
          <w:marLeft w:val="0"/>
          <w:marRight w:val="0"/>
          <w:marTop w:val="0"/>
          <w:marBottom w:val="0"/>
          <w:divBdr>
            <w:top w:val="none" w:sz="0" w:space="0" w:color="auto"/>
            <w:left w:val="none" w:sz="0" w:space="0" w:color="auto"/>
            <w:bottom w:val="none" w:sz="0" w:space="0" w:color="auto"/>
            <w:right w:val="none" w:sz="0" w:space="0" w:color="auto"/>
          </w:divBdr>
          <w:divsChild>
            <w:div w:id="1159922804">
              <w:marLeft w:val="-75"/>
              <w:marRight w:val="0"/>
              <w:marTop w:val="30"/>
              <w:marBottom w:val="30"/>
              <w:divBdr>
                <w:top w:val="none" w:sz="0" w:space="0" w:color="auto"/>
                <w:left w:val="none" w:sz="0" w:space="0" w:color="auto"/>
                <w:bottom w:val="none" w:sz="0" w:space="0" w:color="auto"/>
                <w:right w:val="none" w:sz="0" w:space="0" w:color="auto"/>
              </w:divBdr>
              <w:divsChild>
                <w:div w:id="19012543">
                  <w:marLeft w:val="0"/>
                  <w:marRight w:val="0"/>
                  <w:marTop w:val="0"/>
                  <w:marBottom w:val="0"/>
                  <w:divBdr>
                    <w:top w:val="none" w:sz="0" w:space="0" w:color="auto"/>
                    <w:left w:val="none" w:sz="0" w:space="0" w:color="auto"/>
                    <w:bottom w:val="none" w:sz="0" w:space="0" w:color="auto"/>
                    <w:right w:val="none" w:sz="0" w:space="0" w:color="auto"/>
                  </w:divBdr>
                  <w:divsChild>
                    <w:div w:id="1577664760">
                      <w:marLeft w:val="0"/>
                      <w:marRight w:val="0"/>
                      <w:marTop w:val="0"/>
                      <w:marBottom w:val="0"/>
                      <w:divBdr>
                        <w:top w:val="none" w:sz="0" w:space="0" w:color="auto"/>
                        <w:left w:val="none" w:sz="0" w:space="0" w:color="auto"/>
                        <w:bottom w:val="none" w:sz="0" w:space="0" w:color="auto"/>
                        <w:right w:val="none" w:sz="0" w:space="0" w:color="auto"/>
                      </w:divBdr>
                    </w:div>
                  </w:divsChild>
                </w:div>
                <w:div w:id="80686322">
                  <w:marLeft w:val="0"/>
                  <w:marRight w:val="0"/>
                  <w:marTop w:val="0"/>
                  <w:marBottom w:val="0"/>
                  <w:divBdr>
                    <w:top w:val="none" w:sz="0" w:space="0" w:color="auto"/>
                    <w:left w:val="none" w:sz="0" w:space="0" w:color="auto"/>
                    <w:bottom w:val="none" w:sz="0" w:space="0" w:color="auto"/>
                    <w:right w:val="none" w:sz="0" w:space="0" w:color="auto"/>
                  </w:divBdr>
                  <w:divsChild>
                    <w:div w:id="288556736">
                      <w:marLeft w:val="0"/>
                      <w:marRight w:val="0"/>
                      <w:marTop w:val="0"/>
                      <w:marBottom w:val="0"/>
                      <w:divBdr>
                        <w:top w:val="none" w:sz="0" w:space="0" w:color="auto"/>
                        <w:left w:val="none" w:sz="0" w:space="0" w:color="auto"/>
                        <w:bottom w:val="none" w:sz="0" w:space="0" w:color="auto"/>
                        <w:right w:val="none" w:sz="0" w:space="0" w:color="auto"/>
                      </w:divBdr>
                    </w:div>
                  </w:divsChild>
                </w:div>
                <w:div w:id="99186815">
                  <w:marLeft w:val="0"/>
                  <w:marRight w:val="0"/>
                  <w:marTop w:val="0"/>
                  <w:marBottom w:val="0"/>
                  <w:divBdr>
                    <w:top w:val="none" w:sz="0" w:space="0" w:color="auto"/>
                    <w:left w:val="none" w:sz="0" w:space="0" w:color="auto"/>
                    <w:bottom w:val="none" w:sz="0" w:space="0" w:color="auto"/>
                    <w:right w:val="none" w:sz="0" w:space="0" w:color="auto"/>
                  </w:divBdr>
                  <w:divsChild>
                    <w:div w:id="632516009">
                      <w:marLeft w:val="0"/>
                      <w:marRight w:val="0"/>
                      <w:marTop w:val="0"/>
                      <w:marBottom w:val="0"/>
                      <w:divBdr>
                        <w:top w:val="none" w:sz="0" w:space="0" w:color="auto"/>
                        <w:left w:val="none" w:sz="0" w:space="0" w:color="auto"/>
                        <w:bottom w:val="none" w:sz="0" w:space="0" w:color="auto"/>
                        <w:right w:val="none" w:sz="0" w:space="0" w:color="auto"/>
                      </w:divBdr>
                    </w:div>
                  </w:divsChild>
                </w:div>
                <w:div w:id="233860345">
                  <w:marLeft w:val="0"/>
                  <w:marRight w:val="0"/>
                  <w:marTop w:val="0"/>
                  <w:marBottom w:val="0"/>
                  <w:divBdr>
                    <w:top w:val="none" w:sz="0" w:space="0" w:color="auto"/>
                    <w:left w:val="none" w:sz="0" w:space="0" w:color="auto"/>
                    <w:bottom w:val="none" w:sz="0" w:space="0" w:color="auto"/>
                    <w:right w:val="none" w:sz="0" w:space="0" w:color="auto"/>
                  </w:divBdr>
                  <w:divsChild>
                    <w:div w:id="743532518">
                      <w:marLeft w:val="0"/>
                      <w:marRight w:val="0"/>
                      <w:marTop w:val="0"/>
                      <w:marBottom w:val="0"/>
                      <w:divBdr>
                        <w:top w:val="none" w:sz="0" w:space="0" w:color="auto"/>
                        <w:left w:val="none" w:sz="0" w:space="0" w:color="auto"/>
                        <w:bottom w:val="none" w:sz="0" w:space="0" w:color="auto"/>
                        <w:right w:val="none" w:sz="0" w:space="0" w:color="auto"/>
                      </w:divBdr>
                    </w:div>
                  </w:divsChild>
                </w:div>
                <w:div w:id="283774103">
                  <w:marLeft w:val="0"/>
                  <w:marRight w:val="0"/>
                  <w:marTop w:val="0"/>
                  <w:marBottom w:val="0"/>
                  <w:divBdr>
                    <w:top w:val="none" w:sz="0" w:space="0" w:color="auto"/>
                    <w:left w:val="none" w:sz="0" w:space="0" w:color="auto"/>
                    <w:bottom w:val="none" w:sz="0" w:space="0" w:color="auto"/>
                    <w:right w:val="none" w:sz="0" w:space="0" w:color="auto"/>
                  </w:divBdr>
                  <w:divsChild>
                    <w:div w:id="1455755576">
                      <w:marLeft w:val="0"/>
                      <w:marRight w:val="0"/>
                      <w:marTop w:val="0"/>
                      <w:marBottom w:val="0"/>
                      <w:divBdr>
                        <w:top w:val="none" w:sz="0" w:space="0" w:color="auto"/>
                        <w:left w:val="none" w:sz="0" w:space="0" w:color="auto"/>
                        <w:bottom w:val="none" w:sz="0" w:space="0" w:color="auto"/>
                        <w:right w:val="none" w:sz="0" w:space="0" w:color="auto"/>
                      </w:divBdr>
                    </w:div>
                  </w:divsChild>
                </w:div>
                <w:div w:id="391469355">
                  <w:marLeft w:val="0"/>
                  <w:marRight w:val="0"/>
                  <w:marTop w:val="0"/>
                  <w:marBottom w:val="0"/>
                  <w:divBdr>
                    <w:top w:val="none" w:sz="0" w:space="0" w:color="auto"/>
                    <w:left w:val="none" w:sz="0" w:space="0" w:color="auto"/>
                    <w:bottom w:val="none" w:sz="0" w:space="0" w:color="auto"/>
                    <w:right w:val="none" w:sz="0" w:space="0" w:color="auto"/>
                  </w:divBdr>
                  <w:divsChild>
                    <w:div w:id="793063788">
                      <w:marLeft w:val="0"/>
                      <w:marRight w:val="0"/>
                      <w:marTop w:val="0"/>
                      <w:marBottom w:val="0"/>
                      <w:divBdr>
                        <w:top w:val="none" w:sz="0" w:space="0" w:color="auto"/>
                        <w:left w:val="none" w:sz="0" w:space="0" w:color="auto"/>
                        <w:bottom w:val="none" w:sz="0" w:space="0" w:color="auto"/>
                        <w:right w:val="none" w:sz="0" w:space="0" w:color="auto"/>
                      </w:divBdr>
                    </w:div>
                  </w:divsChild>
                </w:div>
                <w:div w:id="418794073">
                  <w:marLeft w:val="0"/>
                  <w:marRight w:val="0"/>
                  <w:marTop w:val="0"/>
                  <w:marBottom w:val="0"/>
                  <w:divBdr>
                    <w:top w:val="none" w:sz="0" w:space="0" w:color="auto"/>
                    <w:left w:val="none" w:sz="0" w:space="0" w:color="auto"/>
                    <w:bottom w:val="none" w:sz="0" w:space="0" w:color="auto"/>
                    <w:right w:val="none" w:sz="0" w:space="0" w:color="auto"/>
                  </w:divBdr>
                  <w:divsChild>
                    <w:div w:id="839930172">
                      <w:marLeft w:val="0"/>
                      <w:marRight w:val="0"/>
                      <w:marTop w:val="0"/>
                      <w:marBottom w:val="0"/>
                      <w:divBdr>
                        <w:top w:val="none" w:sz="0" w:space="0" w:color="auto"/>
                        <w:left w:val="none" w:sz="0" w:space="0" w:color="auto"/>
                        <w:bottom w:val="none" w:sz="0" w:space="0" w:color="auto"/>
                        <w:right w:val="none" w:sz="0" w:space="0" w:color="auto"/>
                      </w:divBdr>
                    </w:div>
                  </w:divsChild>
                </w:div>
                <w:div w:id="444622524">
                  <w:marLeft w:val="0"/>
                  <w:marRight w:val="0"/>
                  <w:marTop w:val="0"/>
                  <w:marBottom w:val="0"/>
                  <w:divBdr>
                    <w:top w:val="none" w:sz="0" w:space="0" w:color="auto"/>
                    <w:left w:val="none" w:sz="0" w:space="0" w:color="auto"/>
                    <w:bottom w:val="none" w:sz="0" w:space="0" w:color="auto"/>
                    <w:right w:val="none" w:sz="0" w:space="0" w:color="auto"/>
                  </w:divBdr>
                  <w:divsChild>
                    <w:div w:id="45497532">
                      <w:marLeft w:val="0"/>
                      <w:marRight w:val="0"/>
                      <w:marTop w:val="0"/>
                      <w:marBottom w:val="0"/>
                      <w:divBdr>
                        <w:top w:val="none" w:sz="0" w:space="0" w:color="auto"/>
                        <w:left w:val="none" w:sz="0" w:space="0" w:color="auto"/>
                        <w:bottom w:val="none" w:sz="0" w:space="0" w:color="auto"/>
                        <w:right w:val="none" w:sz="0" w:space="0" w:color="auto"/>
                      </w:divBdr>
                    </w:div>
                  </w:divsChild>
                </w:div>
                <w:div w:id="665598000">
                  <w:marLeft w:val="0"/>
                  <w:marRight w:val="0"/>
                  <w:marTop w:val="0"/>
                  <w:marBottom w:val="0"/>
                  <w:divBdr>
                    <w:top w:val="none" w:sz="0" w:space="0" w:color="auto"/>
                    <w:left w:val="none" w:sz="0" w:space="0" w:color="auto"/>
                    <w:bottom w:val="none" w:sz="0" w:space="0" w:color="auto"/>
                    <w:right w:val="none" w:sz="0" w:space="0" w:color="auto"/>
                  </w:divBdr>
                  <w:divsChild>
                    <w:div w:id="1593931725">
                      <w:marLeft w:val="0"/>
                      <w:marRight w:val="0"/>
                      <w:marTop w:val="0"/>
                      <w:marBottom w:val="0"/>
                      <w:divBdr>
                        <w:top w:val="none" w:sz="0" w:space="0" w:color="auto"/>
                        <w:left w:val="none" w:sz="0" w:space="0" w:color="auto"/>
                        <w:bottom w:val="none" w:sz="0" w:space="0" w:color="auto"/>
                        <w:right w:val="none" w:sz="0" w:space="0" w:color="auto"/>
                      </w:divBdr>
                    </w:div>
                  </w:divsChild>
                </w:div>
                <w:div w:id="757672399">
                  <w:marLeft w:val="0"/>
                  <w:marRight w:val="0"/>
                  <w:marTop w:val="0"/>
                  <w:marBottom w:val="0"/>
                  <w:divBdr>
                    <w:top w:val="none" w:sz="0" w:space="0" w:color="auto"/>
                    <w:left w:val="none" w:sz="0" w:space="0" w:color="auto"/>
                    <w:bottom w:val="none" w:sz="0" w:space="0" w:color="auto"/>
                    <w:right w:val="none" w:sz="0" w:space="0" w:color="auto"/>
                  </w:divBdr>
                  <w:divsChild>
                    <w:div w:id="574434075">
                      <w:marLeft w:val="0"/>
                      <w:marRight w:val="0"/>
                      <w:marTop w:val="0"/>
                      <w:marBottom w:val="0"/>
                      <w:divBdr>
                        <w:top w:val="none" w:sz="0" w:space="0" w:color="auto"/>
                        <w:left w:val="none" w:sz="0" w:space="0" w:color="auto"/>
                        <w:bottom w:val="none" w:sz="0" w:space="0" w:color="auto"/>
                        <w:right w:val="none" w:sz="0" w:space="0" w:color="auto"/>
                      </w:divBdr>
                    </w:div>
                  </w:divsChild>
                </w:div>
                <w:div w:id="836456142">
                  <w:marLeft w:val="0"/>
                  <w:marRight w:val="0"/>
                  <w:marTop w:val="0"/>
                  <w:marBottom w:val="0"/>
                  <w:divBdr>
                    <w:top w:val="none" w:sz="0" w:space="0" w:color="auto"/>
                    <w:left w:val="none" w:sz="0" w:space="0" w:color="auto"/>
                    <w:bottom w:val="none" w:sz="0" w:space="0" w:color="auto"/>
                    <w:right w:val="none" w:sz="0" w:space="0" w:color="auto"/>
                  </w:divBdr>
                  <w:divsChild>
                    <w:div w:id="2089378904">
                      <w:marLeft w:val="0"/>
                      <w:marRight w:val="0"/>
                      <w:marTop w:val="0"/>
                      <w:marBottom w:val="0"/>
                      <w:divBdr>
                        <w:top w:val="none" w:sz="0" w:space="0" w:color="auto"/>
                        <w:left w:val="none" w:sz="0" w:space="0" w:color="auto"/>
                        <w:bottom w:val="none" w:sz="0" w:space="0" w:color="auto"/>
                        <w:right w:val="none" w:sz="0" w:space="0" w:color="auto"/>
                      </w:divBdr>
                    </w:div>
                  </w:divsChild>
                </w:div>
                <w:div w:id="941641812">
                  <w:marLeft w:val="0"/>
                  <w:marRight w:val="0"/>
                  <w:marTop w:val="0"/>
                  <w:marBottom w:val="0"/>
                  <w:divBdr>
                    <w:top w:val="none" w:sz="0" w:space="0" w:color="auto"/>
                    <w:left w:val="none" w:sz="0" w:space="0" w:color="auto"/>
                    <w:bottom w:val="none" w:sz="0" w:space="0" w:color="auto"/>
                    <w:right w:val="none" w:sz="0" w:space="0" w:color="auto"/>
                  </w:divBdr>
                  <w:divsChild>
                    <w:div w:id="1174419054">
                      <w:marLeft w:val="0"/>
                      <w:marRight w:val="0"/>
                      <w:marTop w:val="0"/>
                      <w:marBottom w:val="0"/>
                      <w:divBdr>
                        <w:top w:val="none" w:sz="0" w:space="0" w:color="auto"/>
                        <w:left w:val="none" w:sz="0" w:space="0" w:color="auto"/>
                        <w:bottom w:val="none" w:sz="0" w:space="0" w:color="auto"/>
                        <w:right w:val="none" w:sz="0" w:space="0" w:color="auto"/>
                      </w:divBdr>
                    </w:div>
                  </w:divsChild>
                </w:div>
                <w:div w:id="954099064">
                  <w:marLeft w:val="0"/>
                  <w:marRight w:val="0"/>
                  <w:marTop w:val="0"/>
                  <w:marBottom w:val="0"/>
                  <w:divBdr>
                    <w:top w:val="none" w:sz="0" w:space="0" w:color="auto"/>
                    <w:left w:val="none" w:sz="0" w:space="0" w:color="auto"/>
                    <w:bottom w:val="none" w:sz="0" w:space="0" w:color="auto"/>
                    <w:right w:val="none" w:sz="0" w:space="0" w:color="auto"/>
                  </w:divBdr>
                  <w:divsChild>
                    <w:div w:id="76833043">
                      <w:marLeft w:val="0"/>
                      <w:marRight w:val="0"/>
                      <w:marTop w:val="0"/>
                      <w:marBottom w:val="0"/>
                      <w:divBdr>
                        <w:top w:val="none" w:sz="0" w:space="0" w:color="auto"/>
                        <w:left w:val="none" w:sz="0" w:space="0" w:color="auto"/>
                        <w:bottom w:val="none" w:sz="0" w:space="0" w:color="auto"/>
                        <w:right w:val="none" w:sz="0" w:space="0" w:color="auto"/>
                      </w:divBdr>
                    </w:div>
                  </w:divsChild>
                </w:div>
                <w:div w:id="963275275">
                  <w:marLeft w:val="0"/>
                  <w:marRight w:val="0"/>
                  <w:marTop w:val="0"/>
                  <w:marBottom w:val="0"/>
                  <w:divBdr>
                    <w:top w:val="none" w:sz="0" w:space="0" w:color="auto"/>
                    <w:left w:val="none" w:sz="0" w:space="0" w:color="auto"/>
                    <w:bottom w:val="none" w:sz="0" w:space="0" w:color="auto"/>
                    <w:right w:val="none" w:sz="0" w:space="0" w:color="auto"/>
                  </w:divBdr>
                  <w:divsChild>
                    <w:div w:id="1483303892">
                      <w:marLeft w:val="0"/>
                      <w:marRight w:val="0"/>
                      <w:marTop w:val="0"/>
                      <w:marBottom w:val="0"/>
                      <w:divBdr>
                        <w:top w:val="none" w:sz="0" w:space="0" w:color="auto"/>
                        <w:left w:val="none" w:sz="0" w:space="0" w:color="auto"/>
                        <w:bottom w:val="none" w:sz="0" w:space="0" w:color="auto"/>
                        <w:right w:val="none" w:sz="0" w:space="0" w:color="auto"/>
                      </w:divBdr>
                    </w:div>
                  </w:divsChild>
                </w:div>
                <w:div w:id="1109469445">
                  <w:marLeft w:val="0"/>
                  <w:marRight w:val="0"/>
                  <w:marTop w:val="0"/>
                  <w:marBottom w:val="0"/>
                  <w:divBdr>
                    <w:top w:val="none" w:sz="0" w:space="0" w:color="auto"/>
                    <w:left w:val="none" w:sz="0" w:space="0" w:color="auto"/>
                    <w:bottom w:val="none" w:sz="0" w:space="0" w:color="auto"/>
                    <w:right w:val="none" w:sz="0" w:space="0" w:color="auto"/>
                  </w:divBdr>
                  <w:divsChild>
                    <w:div w:id="1228956220">
                      <w:marLeft w:val="0"/>
                      <w:marRight w:val="0"/>
                      <w:marTop w:val="0"/>
                      <w:marBottom w:val="0"/>
                      <w:divBdr>
                        <w:top w:val="none" w:sz="0" w:space="0" w:color="auto"/>
                        <w:left w:val="none" w:sz="0" w:space="0" w:color="auto"/>
                        <w:bottom w:val="none" w:sz="0" w:space="0" w:color="auto"/>
                        <w:right w:val="none" w:sz="0" w:space="0" w:color="auto"/>
                      </w:divBdr>
                    </w:div>
                  </w:divsChild>
                </w:div>
                <w:div w:id="1113742583">
                  <w:marLeft w:val="0"/>
                  <w:marRight w:val="0"/>
                  <w:marTop w:val="0"/>
                  <w:marBottom w:val="0"/>
                  <w:divBdr>
                    <w:top w:val="none" w:sz="0" w:space="0" w:color="auto"/>
                    <w:left w:val="none" w:sz="0" w:space="0" w:color="auto"/>
                    <w:bottom w:val="none" w:sz="0" w:space="0" w:color="auto"/>
                    <w:right w:val="none" w:sz="0" w:space="0" w:color="auto"/>
                  </w:divBdr>
                  <w:divsChild>
                    <w:div w:id="1681615474">
                      <w:marLeft w:val="0"/>
                      <w:marRight w:val="0"/>
                      <w:marTop w:val="0"/>
                      <w:marBottom w:val="0"/>
                      <w:divBdr>
                        <w:top w:val="none" w:sz="0" w:space="0" w:color="auto"/>
                        <w:left w:val="none" w:sz="0" w:space="0" w:color="auto"/>
                        <w:bottom w:val="none" w:sz="0" w:space="0" w:color="auto"/>
                        <w:right w:val="none" w:sz="0" w:space="0" w:color="auto"/>
                      </w:divBdr>
                    </w:div>
                  </w:divsChild>
                </w:div>
                <w:div w:id="1152647402">
                  <w:marLeft w:val="0"/>
                  <w:marRight w:val="0"/>
                  <w:marTop w:val="0"/>
                  <w:marBottom w:val="0"/>
                  <w:divBdr>
                    <w:top w:val="none" w:sz="0" w:space="0" w:color="auto"/>
                    <w:left w:val="none" w:sz="0" w:space="0" w:color="auto"/>
                    <w:bottom w:val="none" w:sz="0" w:space="0" w:color="auto"/>
                    <w:right w:val="none" w:sz="0" w:space="0" w:color="auto"/>
                  </w:divBdr>
                  <w:divsChild>
                    <w:div w:id="1130321514">
                      <w:marLeft w:val="0"/>
                      <w:marRight w:val="0"/>
                      <w:marTop w:val="0"/>
                      <w:marBottom w:val="0"/>
                      <w:divBdr>
                        <w:top w:val="none" w:sz="0" w:space="0" w:color="auto"/>
                        <w:left w:val="none" w:sz="0" w:space="0" w:color="auto"/>
                        <w:bottom w:val="none" w:sz="0" w:space="0" w:color="auto"/>
                        <w:right w:val="none" w:sz="0" w:space="0" w:color="auto"/>
                      </w:divBdr>
                    </w:div>
                  </w:divsChild>
                </w:div>
                <w:div w:id="1199243692">
                  <w:marLeft w:val="0"/>
                  <w:marRight w:val="0"/>
                  <w:marTop w:val="0"/>
                  <w:marBottom w:val="0"/>
                  <w:divBdr>
                    <w:top w:val="none" w:sz="0" w:space="0" w:color="auto"/>
                    <w:left w:val="none" w:sz="0" w:space="0" w:color="auto"/>
                    <w:bottom w:val="none" w:sz="0" w:space="0" w:color="auto"/>
                    <w:right w:val="none" w:sz="0" w:space="0" w:color="auto"/>
                  </w:divBdr>
                  <w:divsChild>
                    <w:div w:id="1604023880">
                      <w:marLeft w:val="0"/>
                      <w:marRight w:val="0"/>
                      <w:marTop w:val="0"/>
                      <w:marBottom w:val="0"/>
                      <w:divBdr>
                        <w:top w:val="none" w:sz="0" w:space="0" w:color="auto"/>
                        <w:left w:val="none" w:sz="0" w:space="0" w:color="auto"/>
                        <w:bottom w:val="none" w:sz="0" w:space="0" w:color="auto"/>
                        <w:right w:val="none" w:sz="0" w:space="0" w:color="auto"/>
                      </w:divBdr>
                    </w:div>
                  </w:divsChild>
                </w:div>
                <w:div w:id="1204950935">
                  <w:marLeft w:val="0"/>
                  <w:marRight w:val="0"/>
                  <w:marTop w:val="0"/>
                  <w:marBottom w:val="0"/>
                  <w:divBdr>
                    <w:top w:val="none" w:sz="0" w:space="0" w:color="auto"/>
                    <w:left w:val="none" w:sz="0" w:space="0" w:color="auto"/>
                    <w:bottom w:val="none" w:sz="0" w:space="0" w:color="auto"/>
                    <w:right w:val="none" w:sz="0" w:space="0" w:color="auto"/>
                  </w:divBdr>
                  <w:divsChild>
                    <w:div w:id="1736126592">
                      <w:marLeft w:val="0"/>
                      <w:marRight w:val="0"/>
                      <w:marTop w:val="0"/>
                      <w:marBottom w:val="0"/>
                      <w:divBdr>
                        <w:top w:val="none" w:sz="0" w:space="0" w:color="auto"/>
                        <w:left w:val="none" w:sz="0" w:space="0" w:color="auto"/>
                        <w:bottom w:val="none" w:sz="0" w:space="0" w:color="auto"/>
                        <w:right w:val="none" w:sz="0" w:space="0" w:color="auto"/>
                      </w:divBdr>
                    </w:div>
                  </w:divsChild>
                </w:div>
                <w:div w:id="1230923546">
                  <w:marLeft w:val="0"/>
                  <w:marRight w:val="0"/>
                  <w:marTop w:val="0"/>
                  <w:marBottom w:val="0"/>
                  <w:divBdr>
                    <w:top w:val="none" w:sz="0" w:space="0" w:color="auto"/>
                    <w:left w:val="none" w:sz="0" w:space="0" w:color="auto"/>
                    <w:bottom w:val="none" w:sz="0" w:space="0" w:color="auto"/>
                    <w:right w:val="none" w:sz="0" w:space="0" w:color="auto"/>
                  </w:divBdr>
                  <w:divsChild>
                    <w:div w:id="157186388">
                      <w:marLeft w:val="0"/>
                      <w:marRight w:val="0"/>
                      <w:marTop w:val="0"/>
                      <w:marBottom w:val="0"/>
                      <w:divBdr>
                        <w:top w:val="none" w:sz="0" w:space="0" w:color="auto"/>
                        <w:left w:val="none" w:sz="0" w:space="0" w:color="auto"/>
                        <w:bottom w:val="none" w:sz="0" w:space="0" w:color="auto"/>
                        <w:right w:val="none" w:sz="0" w:space="0" w:color="auto"/>
                      </w:divBdr>
                    </w:div>
                  </w:divsChild>
                </w:div>
                <w:div w:id="1259288757">
                  <w:marLeft w:val="0"/>
                  <w:marRight w:val="0"/>
                  <w:marTop w:val="0"/>
                  <w:marBottom w:val="0"/>
                  <w:divBdr>
                    <w:top w:val="none" w:sz="0" w:space="0" w:color="auto"/>
                    <w:left w:val="none" w:sz="0" w:space="0" w:color="auto"/>
                    <w:bottom w:val="none" w:sz="0" w:space="0" w:color="auto"/>
                    <w:right w:val="none" w:sz="0" w:space="0" w:color="auto"/>
                  </w:divBdr>
                  <w:divsChild>
                    <w:div w:id="1118840730">
                      <w:marLeft w:val="0"/>
                      <w:marRight w:val="0"/>
                      <w:marTop w:val="0"/>
                      <w:marBottom w:val="0"/>
                      <w:divBdr>
                        <w:top w:val="none" w:sz="0" w:space="0" w:color="auto"/>
                        <w:left w:val="none" w:sz="0" w:space="0" w:color="auto"/>
                        <w:bottom w:val="none" w:sz="0" w:space="0" w:color="auto"/>
                        <w:right w:val="none" w:sz="0" w:space="0" w:color="auto"/>
                      </w:divBdr>
                    </w:div>
                  </w:divsChild>
                </w:div>
                <w:div w:id="1326205370">
                  <w:marLeft w:val="0"/>
                  <w:marRight w:val="0"/>
                  <w:marTop w:val="0"/>
                  <w:marBottom w:val="0"/>
                  <w:divBdr>
                    <w:top w:val="none" w:sz="0" w:space="0" w:color="auto"/>
                    <w:left w:val="none" w:sz="0" w:space="0" w:color="auto"/>
                    <w:bottom w:val="none" w:sz="0" w:space="0" w:color="auto"/>
                    <w:right w:val="none" w:sz="0" w:space="0" w:color="auto"/>
                  </w:divBdr>
                  <w:divsChild>
                    <w:div w:id="94715570">
                      <w:marLeft w:val="0"/>
                      <w:marRight w:val="0"/>
                      <w:marTop w:val="0"/>
                      <w:marBottom w:val="0"/>
                      <w:divBdr>
                        <w:top w:val="none" w:sz="0" w:space="0" w:color="auto"/>
                        <w:left w:val="none" w:sz="0" w:space="0" w:color="auto"/>
                        <w:bottom w:val="none" w:sz="0" w:space="0" w:color="auto"/>
                        <w:right w:val="none" w:sz="0" w:space="0" w:color="auto"/>
                      </w:divBdr>
                    </w:div>
                  </w:divsChild>
                </w:div>
                <w:div w:id="1545866277">
                  <w:marLeft w:val="0"/>
                  <w:marRight w:val="0"/>
                  <w:marTop w:val="0"/>
                  <w:marBottom w:val="0"/>
                  <w:divBdr>
                    <w:top w:val="none" w:sz="0" w:space="0" w:color="auto"/>
                    <w:left w:val="none" w:sz="0" w:space="0" w:color="auto"/>
                    <w:bottom w:val="none" w:sz="0" w:space="0" w:color="auto"/>
                    <w:right w:val="none" w:sz="0" w:space="0" w:color="auto"/>
                  </w:divBdr>
                  <w:divsChild>
                    <w:div w:id="1147938177">
                      <w:marLeft w:val="0"/>
                      <w:marRight w:val="0"/>
                      <w:marTop w:val="0"/>
                      <w:marBottom w:val="0"/>
                      <w:divBdr>
                        <w:top w:val="none" w:sz="0" w:space="0" w:color="auto"/>
                        <w:left w:val="none" w:sz="0" w:space="0" w:color="auto"/>
                        <w:bottom w:val="none" w:sz="0" w:space="0" w:color="auto"/>
                        <w:right w:val="none" w:sz="0" w:space="0" w:color="auto"/>
                      </w:divBdr>
                    </w:div>
                  </w:divsChild>
                </w:div>
                <w:div w:id="1570656940">
                  <w:marLeft w:val="0"/>
                  <w:marRight w:val="0"/>
                  <w:marTop w:val="0"/>
                  <w:marBottom w:val="0"/>
                  <w:divBdr>
                    <w:top w:val="none" w:sz="0" w:space="0" w:color="auto"/>
                    <w:left w:val="none" w:sz="0" w:space="0" w:color="auto"/>
                    <w:bottom w:val="none" w:sz="0" w:space="0" w:color="auto"/>
                    <w:right w:val="none" w:sz="0" w:space="0" w:color="auto"/>
                  </w:divBdr>
                  <w:divsChild>
                    <w:div w:id="428426627">
                      <w:marLeft w:val="0"/>
                      <w:marRight w:val="0"/>
                      <w:marTop w:val="0"/>
                      <w:marBottom w:val="0"/>
                      <w:divBdr>
                        <w:top w:val="none" w:sz="0" w:space="0" w:color="auto"/>
                        <w:left w:val="none" w:sz="0" w:space="0" w:color="auto"/>
                        <w:bottom w:val="none" w:sz="0" w:space="0" w:color="auto"/>
                        <w:right w:val="none" w:sz="0" w:space="0" w:color="auto"/>
                      </w:divBdr>
                    </w:div>
                  </w:divsChild>
                </w:div>
                <w:div w:id="1650208529">
                  <w:marLeft w:val="0"/>
                  <w:marRight w:val="0"/>
                  <w:marTop w:val="0"/>
                  <w:marBottom w:val="0"/>
                  <w:divBdr>
                    <w:top w:val="none" w:sz="0" w:space="0" w:color="auto"/>
                    <w:left w:val="none" w:sz="0" w:space="0" w:color="auto"/>
                    <w:bottom w:val="none" w:sz="0" w:space="0" w:color="auto"/>
                    <w:right w:val="none" w:sz="0" w:space="0" w:color="auto"/>
                  </w:divBdr>
                  <w:divsChild>
                    <w:div w:id="1528253298">
                      <w:marLeft w:val="0"/>
                      <w:marRight w:val="0"/>
                      <w:marTop w:val="0"/>
                      <w:marBottom w:val="0"/>
                      <w:divBdr>
                        <w:top w:val="none" w:sz="0" w:space="0" w:color="auto"/>
                        <w:left w:val="none" w:sz="0" w:space="0" w:color="auto"/>
                        <w:bottom w:val="none" w:sz="0" w:space="0" w:color="auto"/>
                        <w:right w:val="none" w:sz="0" w:space="0" w:color="auto"/>
                      </w:divBdr>
                    </w:div>
                  </w:divsChild>
                </w:div>
                <w:div w:id="1735809823">
                  <w:marLeft w:val="0"/>
                  <w:marRight w:val="0"/>
                  <w:marTop w:val="0"/>
                  <w:marBottom w:val="0"/>
                  <w:divBdr>
                    <w:top w:val="none" w:sz="0" w:space="0" w:color="auto"/>
                    <w:left w:val="none" w:sz="0" w:space="0" w:color="auto"/>
                    <w:bottom w:val="none" w:sz="0" w:space="0" w:color="auto"/>
                    <w:right w:val="none" w:sz="0" w:space="0" w:color="auto"/>
                  </w:divBdr>
                  <w:divsChild>
                    <w:div w:id="502017373">
                      <w:marLeft w:val="0"/>
                      <w:marRight w:val="0"/>
                      <w:marTop w:val="0"/>
                      <w:marBottom w:val="0"/>
                      <w:divBdr>
                        <w:top w:val="none" w:sz="0" w:space="0" w:color="auto"/>
                        <w:left w:val="none" w:sz="0" w:space="0" w:color="auto"/>
                        <w:bottom w:val="none" w:sz="0" w:space="0" w:color="auto"/>
                        <w:right w:val="none" w:sz="0" w:space="0" w:color="auto"/>
                      </w:divBdr>
                    </w:div>
                  </w:divsChild>
                </w:div>
                <w:div w:id="1756975698">
                  <w:marLeft w:val="0"/>
                  <w:marRight w:val="0"/>
                  <w:marTop w:val="0"/>
                  <w:marBottom w:val="0"/>
                  <w:divBdr>
                    <w:top w:val="none" w:sz="0" w:space="0" w:color="auto"/>
                    <w:left w:val="none" w:sz="0" w:space="0" w:color="auto"/>
                    <w:bottom w:val="none" w:sz="0" w:space="0" w:color="auto"/>
                    <w:right w:val="none" w:sz="0" w:space="0" w:color="auto"/>
                  </w:divBdr>
                  <w:divsChild>
                    <w:div w:id="18506735">
                      <w:marLeft w:val="0"/>
                      <w:marRight w:val="0"/>
                      <w:marTop w:val="0"/>
                      <w:marBottom w:val="0"/>
                      <w:divBdr>
                        <w:top w:val="none" w:sz="0" w:space="0" w:color="auto"/>
                        <w:left w:val="none" w:sz="0" w:space="0" w:color="auto"/>
                        <w:bottom w:val="none" w:sz="0" w:space="0" w:color="auto"/>
                        <w:right w:val="none" w:sz="0" w:space="0" w:color="auto"/>
                      </w:divBdr>
                    </w:div>
                  </w:divsChild>
                </w:div>
                <w:div w:id="1778139841">
                  <w:marLeft w:val="0"/>
                  <w:marRight w:val="0"/>
                  <w:marTop w:val="0"/>
                  <w:marBottom w:val="0"/>
                  <w:divBdr>
                    <w:top w:val="none" w:sz="0" w:space="0" w:color="auto"/>
                    <w:left w:val="none" w:sz="0" w:space="0" w:color="auto"/>
                    <w:bottom w:val="none" w:sz="0" w:space="0" w:color="auto"/>
                    <w:right w:val="none" w:sz="0" w:space="0" w:color="auto"/>
                  </w:divBdr>
                  <w:divsChild>
                    <w:div w:id="1879975204">
                      <w:marLeft w:val="0"/>
                      <w:marRight w:val="0"/>
                      <w:marTop w:val="0"/>
                      <w:marBottom w:val="0"/>
                      <w:divBdr>
                        <w:top w:val="none" w:sz="0" w:space="0" w:color="auto"/>
                        <w:left w:val="none" w:sz="0" w:space="0" w:color="auto"/>
                        <w:bottom w:val="none" w:sz="0" w:space="0" w:color="auto"/>
                        <w:right w:val="none" w:sz="0" w:space="0" w:color="auto"/>
                      </w:divBdr>
                    </w:div>
                  </w:divsChild>
                </w:div>
                <w:div w:id="1891110388">
                  <w:marLeft w:val="0"/>
                  <w:marRight w:val="0"/>
                  <w:marTop w:val="0"/>
                  <w:marBottom w:val="0"/>
                  <w:divBdr>
                    <w:top w:val="none" w:sz="0" w:space="0" w:color="auto"/>
                    <w:left w:val="none" w:sz="0" w:space="0" w:color="auto"/>
                    <w:bottom w:val="none" w:sz="0" w:space="0" w:color="auto"/>
                    <w:right w:val="none" w:sz="0" w:space="0" w:color="auto"/>
                  </w:divBdr>
                  <w:divsChild>
                    <w:div w:id="1508597196">
                      <w:marLeft w:val="0"/>
                      <w:marRight w:val="0"/>
                      <w:marTop w:val="0"/>
                      <w:marBottom w:val="0"/>
                      <w:divBdr>
                        <w:top w:val="none" w:sz="0" w:space="0" w:color="auto"/>
                        <w:left w:val="none" w:sz="0" w:space="0" w:color="auto"/>
                        <w:bottom w:val="none" w:sz="0" w:space="0" w:color="auto"/>
                        <w:right w:val="none" w:sz="0" w:space="0" w:color="auto"/>
                      </w:divBdr>
                    </w:div>
                  </w:divsChild>
                </w:div>
                <w:div w:id="2095786055">
                  <w:marLeft w:val="0"/>
                  <w:marRight w:val="0"/>
                  <w:marTop w:val="0"/>
                  <w:marBottom w:val="0"/>
                  <w:divBdr>
                    <w:top w:val="none" w:sz="0" w:space="0" w:color="auto"/>
                    <w:left w:val="none" w:sz="0" w:space="0" w:color="auto"/>
                    <w:bottom w:val="none" w:sz="0" w:space="0" w:color="auto"/>
                    <w:right w:val="none" w:sz="0" w:space="0" w:color="auto"/>
                  </w:divBdr>
                  <w:divsChild>
                    <w:div w:id="58492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190327">
          <w:marLeft w:val="0"/>
          <w:marRight w:val="0"/>
          <w:marTop w:val="0"/>
          <w:marBottom w:val="0"/>
          <w:divBdr>
            <w:top w:val="none" w:sz="0" w:space="0" w:color="auto"/>
            <w:left w:val="none" w:sz="0" w:space="0" w:color="auto"/>
            <w:bottom w:val="none" w:sz="0" w:space="0" w:color="auto"/>
            <w:right w:val="none" w:sz="0" w:space="0" w:color="auto"/>
          </w:divBdr>
        </w:div>
        <w:div w:id="2009209217">
          <w:marLeft w:val="0"/>
          <w:marRight w:val="0"/>
          <w:marTop w:val="0"/>
          <w:marBottom w:val="0"/>
          <w:divBdr>
            <w:top w:val="none" w:sz="0" w:space="0" w:color="auto"/>
            <w:left w:val="none" w:sz="0" w:space="0" w:color="auto"/>
            <w:bottom w:val="none" w:sz="0" w:space="0" w:color="auto"/>
            <w:right w:val="none" w:sz="0" w:space="0" w:color="auto"/>
          </w:divBdr>
        </w:div>
        <w:div w:id="2035034706">
          <w:marLeft w:val="0"/>
          <w:marRight w:val="0"/>
          <w:marTop w:val="0"/>
          <w:marBottom w:val="0"/>
          <w:divBdr>
            <w:top w:val="none" w:sz="0" w:space="0" w:color="auto"/>
            <w:left w:val="none" w:sz="0" w:space="0" w:color="auto"/>
            <w:bottom w:val="none" w:sz="0" w:space="0" w:color="auto"/>
            <w:right w:val="none" w:sz="0" w:space="0" w:color="auto"/>
          </w:divBdr>
          <w:divsChild>
            <w:div w:id="1936866505">
              <w:marLeft w:val="-75"/>
              <w:marRight w:val="0"/>
              <w:marTop w:val="30"/>
              <w:marBottom w:val="30"/>
              <w:divBdr>
                <w:top w:val="none" w:sz="0" w:space="0" w:color="auto"/>
                <w:left w:val="none" w:sz="0" w:space="0" w:color="auto"/>
                <w:bottom w:val="none" w:sz="0" w:space="0" w:color="auto"/>
                <w:right w:val="none" w:sz="0" w:space="0" w:color="auto"/>
              </w:divBdr>
              <w:divsChild>
                <w:div w:id="74980637">
                  <w:marLeft w:val="0"/>
                  <w:marRight w:val="0"/>
                  <w:marTop w:val="0"/>
                  <w:marBottom w:val="0"/>
                  <w:divBdr>
                    <w:top w:val="none" w:sz="0" w:space="0" w:color="auto"/>
                    <w:left w:val="none" w:sz="0" w:space="0" w:color="auto"/>
                    <w:bottom w:val="none" w:sz="0" w:space="0" w:color="auto"/>
                    <w:right w:val="none" w:sz="0" w:space="0" w:color="auto"/>
                  </w:divBdr>
                  <w:divsChild>
                    <w:div w:id="1014461141">
                      <w:marLeft w:val="0"/>
                      <w:marRight w:val="0"/>
                      <w:marTop w:val="0"/>
                      <w:marBottom w:val="0"/>
                      <w:divBdr>
                        <w:top w:val="none" w:sz="0" w:space="0" w:color="auto"/>
                        <w:left w:val="none" w:sz="0" w:space="0" w:color="auto"/>
                        <w:bottom w:val="none" w:sz="0" w:space="0" w:color="auto"/>
                        <w:right w:val="none" w:sz="0" w:space="0" w:color="auto"/>
                      </w:divBdr>
                    </w:div>
                  </w:divsChild>
                </w:div>
                <w:div w:id="108398640">
                  <w:marLeft w:val="0"/>
                  <w:marRight w:val="0"/>
                  <w:marTop w:val="0"/>
                  <w:marBottom w:val="0"/>
                  <w:divBdr>
                    <w:top w:val="none" w:sz="0" w:space="0" w:color="auto"/>
                    <w:left w:val="none" w:sz="0" w:space="0" w:color="auto"/>
                    <w:bottom w:val="none" w:sz="0" w:space="0" w:color="auto"/>
                    <w:right w:val="none" w:sz="0" w:space="0" w:color="auto"/>
                  </w:divBdr>
                  <w:divsChild>
                    <w:div w:id="940836878">
                      <w:marLeft w:val="0"/>
                      <w:marRight w:val="0"/>
                      <w:marTop w:val="0"/>
                      <w:marBottom w:val="0"/>
                      <w:divBdr>
                        <w:top w:val="none" w:sz="0" w:space="0" w:color="auto"/>
                        <w:left w:val="none" w:sz="0" w:space="0" w:color="auto"/>
                        <w:bottom w:val="none" w:sz="0" w:space="0" w:color="auto"/>
                        <w:right w:val="none" w:sz="0" w:space="0" w:color="auto"/>
                      </w:divBdr>
                    </w:div>
                  </w:divsChild>
                </w:div>
                <w:div w:id="139075864">
                  <w:marLeft w:val="0"/>
                  <w:marRight w:val="0"/>
                  <w:marTop w:val="0"/>
                  <w:marBottom w:val="0"/>
                  <w:divBdr>
                    <w:top w:val="none" w:sz="0" w:space="0" w:color="auto"/>
                    <w:left w:val="none" w:sz="0" w:space="0" w:color="auto"/>
                    <w:bottom w:val="none" w:sz="0" w:space="0" w:color="auto"/>
                    <w:right w:val="none" w:sz="0" w:space="0" w:color="auto"/>
                  </w:divBdr>
                  <w:divsChild>
                    <w:div w:id="1293242614">
                      <w:marLeft w:val="0"/>
                      <w:marRight w:val="0"/>
                      <w:marTop w:val="0"/>
                      <w:marBottom w:val="0"/>
                      <w:divBdr>
                        <w:top w:val="none" w:sz="0" w:space="0" w:color="auto"/>
                        <w:left w:val="none" w:sz="0" w:space="0" w:color="auto"/>
                        <w:bottom w:val="none" w:sz="0" w:space="0" w:color="auto"/>
                        <w:right w:val="none" w:sz="0" w:space="0" w:color="auto"/>
                      </w:divBdr>
                    </w:div>
                  </w:divsChild>
                </w:div>
                <w:div w:id="532419608">
                  <w:marLeft w:val="0"/>
                  <w:marRight w:val="0"/>
                  <w:marTop w:val="0"/>
                  <w:marBottom w:val="0"/>
                  <w:divBdr>
                    <w:top w:val="none" w:sz="0" w:space="0" w:color="auto"/>
                    <w:left w:val="none" w:sz="0" w:space="0" w:color="auto"/>
                    <w:bottom w:val="none" w:sz="0" w:space="0" w:color="auto"/>
                    <w:right w:val="none" w:sz="0" w:space="0" w:color="auto"/>
                  </w:divBdr>
                  <w:divsChild>
                    <w:div w:id="665280256">
                      <w:marLeft w:val="0"/>
                      <w:marRight w:val="0"/>
                      <w:marTop w:val="0"/>
                      <w:marBottom w:val="0"/>
                      <w:divBdr>
                        <w:top w:val="none" w:sz="0" w:space="0" w:color="auto"/>
                        <w:left w:val="none" w:sz="0" w:space="0" w:color="auto"/>
                        <w:bottom w:val="none" w:sz="0" w:space="0" w:color="auto"/>
                        <w:right w:val="none" w:sz="0" w:space="0" w:color="auto"/>
                      </w:divBdr>
                    </w:div>
                  </w:divsChild>
                </w:div>
                <w:div w:id="597561209">
                  <w:marLeft w:val="0"/>
                  <w:marRight w:val="0"/>
                  <w:marTop w:val="0"/>
                  <w:marBottom w:val="0"/>
                  <w:divBdr>
                    <w:top w:val="none" w:sz="0" w:space="0" w:color="auto"/>
                    <w:left w:val="none" w:sz="0" w:space="0" w:color="auto"/>
                    <w:bottom w:val="none" w:sz="0" w:space="0" w:color="auto"/>
                    <w:right w:val="none" w:sz="0" w:space="0" w:color="auto"/>
                  </w:divBdr>
                  <w:divsChild>
                    <w:div w:id="1649019108">
                      <w:marLeft w:val="0"/>
                      <w:marRight w:val="0"/>
                      <w:marTop w:val="0"/>
                      <w:marBottom w:val="0"/>
                      <w:divBdr>
                        <w:top w:val="none" w:sz="0" w:space="0" w:color="auto"/>
                        <w:left w:val="none" w:sz="0" w:space="0" w:color="auto"/>
                        <w:bottom w:val="none" w:sz="0" w:space="0" w:color="auto"/>
                        <w:right w:val="none" w:sz="0" w:space="0" w:color="auto"/>
                      </w:divBdr>
                    </w:div>
                  </w:divsChild>
                </w:div>
                <w:div w:id="672072048">
                  <w:marLeft w:val="0"/>
                  <w:marRight w:val="0"/>
                  <w:marTop w:val="0"/>
                  <w:marBottom w:val="0"/>
                  <w:divBdr>
                    <w:top w:val="none" w:sz="0" w:space="0" w:color="auto"/>
                    <w:left w:val="none" w:sz="0" w:space="0" w:color="auto"/>
                    <w:bottom w:val="none" w:sz="0" w:space="0" w:color="auto"/>
                    <w:right w:val="none" w:sz="0" w:space="0" w:color="auto"/>
                  </w:divBdr>
                  <w:divsChild>
                    <w:div w:id="1722365253">
                      <w:marLeft w:val="0"/>
                      <w:marRight w:val="0"/>
                      <w:marTop w:val="0"/>
                      <w:marBottom w:val="0"/>
                      <w:divBdr>
                        <w:top w:val="none" w:sz="0" w:space="0" w:color="auto"/>
                        <w:left w:val="none" w:sz="0" w:space="0" w:color="auto"/>
                        <w:bottom w:val="none" w:sz="0" w:space="0" w:color="auto"/>
                        <w:right w:val="none" w:sz="0" w:space="0" w:color="auto"/>
                      </w:divBdr>
                    </w:div>
                  </w:divsChild>
                </w:div>
                <w:div w:id="722486422">
                  <w:marLeft w:val="0"/>
                  <w:marRight w:val="0"/>
                  <w:marTop w:val="0"/>
                  <w:marBottom w:val="0"/>
                  <w:divBdr>
                    <w:top w:val="none" w:sz="0" w:space="0" w:color="auto"/>
                    <w:left w:val="none" w:sz="0" w:space="0" w:color="auto"/>
                    <w:bottom w:val="none" w:sz="0" w:space="0" w:color="auto"/>
                    <w:right w:val="none" w:sz="0" w:space="0" w:color="auto"/>
                  </w:divBdr>
                  <w:divsChild>
                    <w:div w:id="772700947">
                      <w:marLeft w:val="0"/>
                      <w:marRight w:val="0"/>
                      <w:marTop w:val="0"/>
                      <w:marBottom w:val="0"/>
                      <w:divBdr>
                        <w:top w:val="none" w:sz="0" w:space="0" w:color="auto"/>
                        <w:left w:val="none" w:sz="0" w:space="0" w:color="auto"/>
                        <w:bottom w:val="none" w:sz="0" w:space="0" w:color="auto"/>
                        <w:right w:val="none" w:sz="0" w:space="0" w:color="auto"/>
                      </w:divBdr>
                    </w:div>
                  </w:divsChild>
                </w:div>
                <w:div w:id="790131943">
                  <w:marLeft w:val="0"/>
                  <w:marRight w:val="0"/>
                  <w:marTop w:val="0"/>
                  <w:marBottom w:val="0"/>
                  <w:divBdr>
                    <w:top w:val="none" w:sz="0" w:space="0" w:color="auto"/>
                    <w:left w:val="none" w:sz="0" w:space="0" w:color="auto"/>
                    <w:bottom w:val="none" w:sz="0" w:space="0" w:color="auto"/>
                    <w:right w:val="none" w:sz="0" w:space="0" w:color="auto"/>
                  </w:divBdr>
                  <w:divsChild>
                    <w:div w:id="978072027">
                      <w:marLeft w:val="0"/>
                      <w:marRight w:val="0"/>
                      <w:marTop w:val="0"/>
                      <w:marBottom w:val="0"/>
                      <w:divBdr>
                        <w:top w:val="none" w:sz="0" w:space="0" w:color="auto"/>
                        <w:left w:val="none" w:sz="0" w:space="0" w:color="auto"/>
                        <w:bottom w:val="none" w:sz="0" w:space="0" w:color="auto"/>
                        <w:right w:val="none" w:sz="0" w:space="0" w:color="auto"/>
                      </w:divBdr>
                    </w:div>
                  </w:divsChild>
                </w:div>
                <w:div w:id="808790625">
                  <w:marLeft w:val="0"/>
                  <w:marRight w:val="0"/>
                  <w:marTop w:val="0"/>
                  <w:marBottom w:val="0"/>
                  <w:divBdr>
                    <w:top w:val="none" w:sz="0" w:space="0" w:color="auto"/>
                    <w:left w:val="none" w:sz="0" w:space="0" w:color="auto"/>
                    <w:bottom w:val="none" w:sz="0" w:space="0" w:color="auto"/>
                    <w:right w:val="none" w:sz="0" w:space="0" w:color="auto"/>
                  </w:divBdr>
                  <w:divsChild>
                    <w:div w:id="711421324">
                      <w:marLeft w:val="0"/>
                      <w:marRight w:val="0"/>
                      <w:marTop w:val="0"/>
                      <w:marBottom w:val="0"/>
                      <w:divBdr>
                        <w:top w:val="none" w:sz="0" w:space="0" w:color="auto"/>
                        <w:left w:val="none" w:sz="0" w:space="0" w:color="auto"/>
                        <w:bottom w:val="none" w:sz="0" w:space="0" w:color="auto"/>
                        <w:right w:val="none" w:sz="0" w:space="0" w:color="auto"/>
                      </w:divBdr>
                    </w:div>
                  </w:divsChild>
                </w:div>
                <w:div w:id="864830396">
                  <w:marLeft w:val="0"/>
                  <w:marRight w:val="0"/>
                  <w:marTop w:val="0"/>
                  <w:marBottom w:val="0"/>
                  <w:divBdr>
                    <w:top w:val="none" w:sz="0" w:space="0" w:color="auto"/>
                    <w:left w:val="none" w:sz="0" w:space="0" w:color="auto"/>
                    <w:bottom w:val="none" w:sz="0" w:space="0" w:color="auto"/>
                    <w:right w:val="none" w:sz="0" w:space="0" w:color="auto"/>
                  </w:divBdr>
                  <w:divsChild>
                    <w:div w:id="300815870">
                      <w:marLeft w:val="0"/>
                      <w:marRight w:val="0"/>
                      <w:marTop w:val="0"/>
                      <w:marBottom w:val="0"/>
                      <w:divBdr>
                        <w:top w:val="none" w:sz="0" w:space="0" w:color="auto"/>
                        <w:left w:val="none" w:sz="0" w:space="0" w:color="auto"/>
                        <w:bottom w:val="none" w:sz="0" w:space="0" w:color="auto"/>
                        <w:right w:val="none" w:sz="0" w:space="0" w:color="auto"/>
                      </w:divBdr>
                    </w:div>
                  </w:divsChild>
                </w:div>
                <w:div w:id="882401996">
                  <w:marLeft w:val="0"/>
                  <w:marRight w:val="0"/>
                  <w:marTop w:val="0"/>
                  <w:marBottom w:val="0"/>
                  <w:divBdr>
                    <w:top w:val="none" w:sz="0" w:space="0" w:color="auto"/>
                    <w:left w:val="none" w:sz="0" w:space="0" w:color="auto"/>
                    <w:bottom w:val="none" w:sz="0" w:space="0" w:color="auto"/>
                    <w:right w:val="none" w:sz="0" w:space="0" w:color="auto"/>
                  </w:divBdr>
                  <w:divsChild>
                    <w:div w:id="1832870496">
                      <w:marLeft w:val="0"/>
                      <w:marRight w:val="0"/>
                      <w:marTop w:val="0"/>
                      <w:marBottom w:val="0"/>
                      <w:divBdr>
                        <w:top w:val="none" w:sz="0" w:space="0" w:color="auto"/>
                        <w:left w:val="none" w:sz="0" w:space="0" w:color="auto"/>
                        <w:bottom w:val="none" w:sz="0" w:space="0" w:color="auto"/>
                        <w:right w:val="none" w:sz="0" w:space="0" w:color="auto"/>
                      </w:divBdr>
                    </w:div>
                  </w:divsChild>
                </w:div>
                <w:div w:id="892693852">
                  <w:marLeft w:val="0"/>
                  <w:marRight w:val="0"/>
                  <w:marTop w:val="0"/>
                  <w:marBottom w:val="0"/>
                  <w:divBdr>
                    <w:top w:val="none" w:sz="0" w:space="0" w:color="auto"/>
                    <w:left w:val="none" w:sz="0" w:space="0" w:color="auto"/>
                    <w:bottom w:val="none" w:sz="0" w:space="0" w:color="auto"/>
                    <w:right w:val="none" w:sz="0" w:space="0" w:color="auto"/>
                  </w:divBdr>
                  <w:divsChild>
                    <w:div w:id="1687706648">
                      <w:marLeft w:val="0"/>
                      <w:marRight w:val="0"/>
                      <w:marTop w:val="0"/>
                      <w:marBottom w:val="0"/>
                      <w:divBdr>
                        <w:top w:val="none" w:sz="0" w:space="0" w:color="auto"/>
                        <w:left w:val="none" w:sz="0" w:space="0" w:color="auto"/>
                        <w:bottom w:val="none" w:sz="0" w:space="0" w:color="auto"/>
                        <w:right w:val="none" w:sz="0" w:space="0" w:color="auto"/>
                      </w:divBdr>
                    </w:div>
                  </w:divsChild>
                </w:div>
                <w:div w:id="985818965">
                  <w:marLeft w:val="0"/>
                  <w:marRight w:val="0"/>
                  <w:marTop w:val="0"/>
                  <w:marBottom w:val="0"/>
                  <w:divBdr>
                    <w:top w:val="none" w:sz="0" w:space="0" w:color="auto"/>
                    <w:left w:val="none" w:sz="0" w:space="0" w:color="auto"/>
                    <w:bottom w:val="none" w:sz="0" w:space="0" w:color="auto"/>
                    <w:right w:val="none" w:sz="0" w:space="0" w:color="auto"/>
                  </w:divBdr>
                  <w:divsChild>
                    <w:div w:id="1651448158">
                      <w:marLeft w:val="0"/>
                      <w:marRight w:val="0"/>
                      <w:marTop w:val="0"/>
                      <w:marBottom w:val="0"/>
                      <w:divBdr>
                        <w:top w:val="none" w:sz="0" w:space="0" w:color="auto"/>
                        <w:left w:val="none" w:sz="0" w:space="0" w:color="auto"/>
                        <w:bottom w:val="none" w:sz="0" w:space="0" w:color="auto"/>
                        <w:right w:val="none" w:sz="0" w:space="0" w:color="auto"/>
                      </w:divBdr>
                    </w:div>
                  </w:divsChild>
                </w:div>
                <w:div w:id="1033380555">
                  <w:marLeft w:val="0"/>
                  <w:marRight w:val="0"/>
                  <w:marTop w:val="0"/>
                  <w:marBottom w:val="0"/>
                  <w:divBdr>
                    <w:top w:val="none" w:sz="0" w:space="0" w:color="auto"/>
                    <w:left w:val="none" w:sz="0" w:space="0" w:color="auto"/>
                    <w:bottom w:val="none" w:sz="0" w:space="0" w:color="auto"/>
                    <w:right w:val="none" w:sz="0" w:space="0" w:color="auto"/>
                  </w:divBdr>
                  <w:divsChild>
                    <w:div w:id="1988708128">
                      <w:marLeft w:val="0"/>
                      <w:marRight w:val="0"/>
                      <w:marTop w:val="0"/>
                      <w:marBottom w:val="0"/>
                      <w:divBdr>
                        <w:top w:val="none" w:sz="0" w:space="0" w:color="auto"/>
                        <w:left w:val="none" w:sz="0" w:space="0" w:color="auto"/>
                        <w:bottom w:val="none" w:sz="0" w:space="0" w:color="auto"/>
                        <w:right w:val="none" w:sz="0" w:space="0" w:color="auto"/>
                      </w:divBdr>
                    </w:div>
                  </w:divsChild>
                </w:div>
                <w:div w:id="1052774387">
                  <w:marLeft w:val="0"/>
                  <w:marRight w:val="0"/>
                  <w:marTop w:val="0"/>
                  <w:marBottom w:val="0"/>
                  <w:divBdr>
                    <w:top w:val="none" w:sz="0" w:space="0" w:color="auto"/>
                    <w:left w:val="none" w:sz="0" w:space="0" w:color="auto"/>
                    <w:bottom w:val="none" w:sz="0" w:space="0" w:color="auto"/>
                    <w:right w:val="none" w:sz="0" w:space="0" w:color="auto"/>
                  </w:divBdr>
                  <w:divsChild>
                    <w:div w:id="1291666231">
                      <w:marLeft w:val="0"/>
                      <w:marRight w:val="0"/>
                      <w:marTop w:val="0"/>
                      <w:marBottom w:val="0"/>
                      <w:divBdr>
                        <w:top w:val="none" w:sz="0" w:space="0" w:color="auto"/>
                        <w:left w:val="none" w:sz="0" w:space="0" w:color="auto"/>
                        <w:bottom w:val="none" w:sz="0" w:space="0" w:color="auto"/>
                        <w:right w:val="none" w:sz="0" w:space="0" w:color="auto"/>
                      </w:divBdr>
                    </w:div>
                  </w:divsChild>
                </w:div>
                <w:div w:id="1062756027">
                  <w:marLeft w:val="0"/>
                  <w:marRight w:val="0"/>
                  <w:marTop w:val="0"/>
                  <w:marBottom w:val="0"/>
                  <w:divBdr>
                    <w:top w:val="none" w:sz="0" w:space="0" w:color="auto"/>
                    <w:left w:val="none" w:sz="0" w:space="0" w:color="auto"/>
                    <w:bottom w:val="none" w:sz="0" w:space="0" w:color="auto"/>
                    <w:right w:val="none" w:sz="0" w:space="0" w:color="auto"/>
                  </w:divBdr>
                  <w:divsChild>
                    <w:div w:id="1815172777">
                      <w:marLeft w:val="0"/>
                      <w:marRight w:val="0"/>
                      <w:marTop w:val="0"/>
                      <w:marBottom w:val="0"/>
                      <w:divBdr>
                        <w:top w:val="none" w:sz="0" w:space="0" w:color="auto"/>
                        <w:left w:val="none" w:sz="0" w:space="0" w:color="auto"/>
                        <w:bottom w:val="none" w:sz="0" w:space="0" w:color="auto"/>
                        <w:right w:val="none" w:sz="0" w:space="0" w:color="auto"/>
                      </w:divBdr>
                    </w:div>
                  </w:divsChild>
                </w:div>
                <w:div w:id="1077173102">
                  <w:marLeft w:val="0"/>
                  <w:marRight w:val="0"/>
                  <w:marTop w:val="0"/>
                  <w:marBottom w:val="0"/>
                  <w:divBdr>
                    <w:top w:val="none" w:sz="0" w:space="0" w:color="auto"/>
                    <w:left w:val="none" w:sz="0" w:space="0" w:color="auto"/>
                    <w:bottom w:val="none" w:sz="0" w:space="0" w:color="auto"/>
                    <w:right w:val="none" w:sz="0" w:space="0" w:color="auto"/>
                  </w:divBdr>
                  <w:divsChild>
                    <w:div w:id="415126409">
                      <w:marLeft w:val="0"/>
                      <w:marRight w:val="0"/>
                      <w:marTop w:val="0"/>
                      <w:marBottom w:val="0"/>
                      <w:divBdr>
                        <w:top w:val="none" w:sz="0" w:space="0" w:color="auto"/>
                        <w:left w:val="none" w:sz="0" w:space="0" w:color="auto"/>
                        <w:bottom w:val="none" w:sz="0" w:space="0" w:color="auto"/>
                        <w:right w:val="none" w:sz="0" w:space="0" w:color="auto"/>
                      </w:divBdr>
                    </w:div>
                  </w:divsChild>
                </w:div>
                <w:div w:id="1309936871">
                  <w:marLeft w:val="0"/>
                  <w:marRight w:val="0"/>
                  <w:marTop w:val="0"/>
                  <w:marBottom w:val="0"/>
                  <w:divBdr>
                    <w:top w:val="none" w:sz="0" w:space="0" w:color="auto"/>
                    <w:left w:val="none" w:sz="0" w:space="0" w:color="auto"/>
                    <w:bottom w:val="none" w:sz="0" w:space="0" w:color="auto"/>
                    <w:right w:val="none" w:sz="0" w:space="0" w:color="auto"/>
                  </w:divBdr>
                  <w:divsChild>
                    <w:div w:id="1861553198">
                      <w:marLeft w:val="0"/>
                      <w:marRight w:val="0"/>
                      <w:marTop w:val="0"/>
                      <w:marBottom w:val="0"/>
                      <w:divBdr>
                        <w:top w:val="none" w:sz="0" w:space="0" w:color="auto"/>
                        <w:left w:val="none" w:sz="0" w:space="0" w:color="auto"/>
                        <w:bottom w:val="none" w:sz="0" w:space="0" w:color="auto"/>
                        <w:right w:val="none" w:sz="0" w:space="0" w:color="auto"/>
                      </w:divBdr>
                    </w:div>
                  </w:divsChild>
                </w:div>
                <w:div w:id="1491754762">
                  <w:marLeft w:val="0"/>
                  <w:marRight w:val="0"/>
                  <w:marTop w:val="0"/>
                  <w:marBottom w:val="0"/>
                  <w:divBdr>
                    <w:top w:val="none" w:sz="0" w:space="0" w:color="auto"/>
                    <w:left w:val="none" w:sz="0" w:space="0" w:color="auto"/>
                    <w:bottom w:val="none" w:sz="0" w:space="0" w:color="auto"/>
                    <w:right w:val="none" w:sz="0" w:space="0" w:color="auto"/>
                  </w:divBdr>
                  <w:divsChild>
                    <w:div w:id="1287586768">
                      <w:marLeft w:val="0"/>
                      <w:marRight w:val="0"/>
                      <w:marTop w:val="0"/>
                      <w:marBottom w:val="0"/>
                      <w:divBdr>
                        <w:top w:val="none" w:sz="0" w:space="0" w:color="auto"/>
                        <w:left w:val="none" w:sz="0" w:space="0" w:color="auto"/>
                        <w:bottom w:val="none" w:sz="0" w:space="0" w:color="auto"/>
                        <w:right w:val="none" w:sz="0" w:space="0" w:color="auto"/>
                      </w:divBdr>
                    </w:div>
                  </w:divsChild>
                </w:div>
                <w:div w:id="1512337952">
                  <w:marLeft w:val="0"/>
                  <w:marRight w:val="0"/>
                  <w:marTop w:val="0"/>
                  <w:marBottom w:val="0"/>
                  <w:divBdr>
                    <w:top w:val="none" w:sz="0" w:space="0" w:color="auto"/>
                    <w:left w:val="none" w:sz="0" w:space="0" w:color="auto"/>
                    <w:bottom w:val="none" w:sz="0" w:space="0" w:color="auto"/>
                    <w:right w:val="none" w:sz="0" w:space="0" w:color="auto"/>
                  </w:divBdr>
                  <w:divsChild>
                    <w:div w:id="508636789">
                      <w:marLeft w:val="0"/>
                      <w:marRight w:val="0"/>
                      <w:marTop w:val="0"/>
                      <w:marBottom w:val="0"/>
                      <w:divBdr>
                        <w:top w:val="none" w:sz="0" w:space="0" w:color="auto"/>
                        <w:left w:val="none" w:sz="0" w:space="0" w:color="auto"/>
                        <w:bottom w:val="none" w:sz="0" w:space="0" w:color="auto"/>
                        <w:right w:val="none" w:sz="0" w:space="0" w:color="auto"/>
                      </w:divBdr>
                    </w:div>
                  </w:divsChild>
                </w:div>
                <w:div w:id="1541085633">
                  <w:marLeft w:val="0"/>
                  <w:marRight w:val="0"/>
                  <w:marTop w:val="0"/>
                  <w:marBottom w:val="0"/>
                  <w:divBdr>
                    <w:top w:val="none" w:sz="0" w:space="0" w:color="auto"/>
                    <w:left w:val="none" w:sz="0" w:space="0" w:color="auto"/>
                    <w:bottom w:val="none" w:sz="0" w:space="0" w:color="auto"/>
                    <w:right w:val="none" w:sz="0" w:space="0" w:color="auto"/>
                  </w:divBdr>
                  <w:divsChild>
                    <w:div w:id="786895318">
                      <w:marLeft w:val="0"/>
                      <w:marRight w:val="0"/>
                      <w:marTop w:val="0"/>
                      <w:marBottom w:val="0"/>
                      <w:divBdr>
                        <w:top w:val="none" w:sz="0" w:space="0" w:color="auto"/>
                        <w:left w:val="none" w:sz="0" w:space="0" w:color="auto"/>
                        <w:bottom w:val="none" w:sz="0" w:space="0" w:color="auto"/>
                        <w:right w:val="none" w:sz="0" w:space="0" w:color="auto"/>
                      </w:divBdr>
                    </w:div>
                  </w:divsChild>
                </w:div>
                <w:div w:id="1594821805">
                  <w:marLeft w:val="0"/>
                  <w:marRight w:val="0"/>
                  <w:marTop w:val="0"/>
                  <w:marBottom w:val="0"/>
                  <w:divBdr>
                    <w:top w:val="none" w:sz="0" w:space="0" w:color="auto"/>
                    <w:left w:val="none" w:sz="0" w:space="0" w:color="auto"/>
                    <w:bottom w:val="none" w:sz="0" w:space="0" w:color="auto"/>
                    <w:right w:val="none" w:sz="0" w:space="0" w:color="auto"/>
                  </w:divBdr>
                  <w:divsChild>
                    <w:div w:id="251402674">
                      <w:marLeft w:val="0"/>
                      <w:marRight w:val="0"/>
                      <w:marTop w:val="0"/>
                      <w:marBottom w:val="0"/>
                      <w:divBdr>
                        <w:top w:val="none" w:sz="0" w:space="0" w:color="auto"/>
                        <w:left w:val="none" w:sz="0" w:space="0" w:color="auto"/>
                        <w:bottom w:val="none" w:sz="0" w:space="0" w:color="auto"/>
                        <w:right w:val="none" w:sz="0" w:space="0" w:color="auto"/>
                      </w:divBdr>
                    </w:div>
                  </w:divsChild>
                </w:div>
                <w:div w:id="1739084767">
                  <w:marLeft w:val="0"/>
                  <w:marRight w:val="0"/>
                  <w:marTop w:val="0"/>
                  <w:marBottom w:val="0"/>
                  <w:divBdr>
                    <w:top w:val="none" w:sz="0" w:space="0" w:color="auto"/>
                    <w:left w:val="none" w:sz="0" w:space="0" w:color="auto"/>
                    <w:bottom w:val="none" w:sz="0" w:space="0" w:color="auto"/>
                    <w:right w:val="none" w:sz="0" w:space="0" w:color="auto"/>
                  </w:divBdr>
                  <w:divsChild>
                    <w:div w:id="285627854">
                      <w:marLeft w:val="0"/>
                      <w:marRight w:val="0"/>
                      <w:marTop w:val="0"/>
                      <w:marBottom w:val="0"/>
                      <w:divBdr>
                        <w:top w:val="none" w:sz="0" w:space="0" w:color="auto"/>
                        <w:left w:val="none" w:sz="0" w:space="0" w:color="auto"/>
                        <w:bottom w:val="none" w:sz="0" w:space="0" w:color="auto"/>
                        <w:right w:val="none" w:sz="0" w:space="0" w:color="auto"/>
                      </w:divBdr>
                    </w:div>
                  </w:divsChild>
                </w:div>
                <w:div w:id="1839420599">
                  <w:marLeft w:val="0"/>
                  <w:marRight w:val="0"/>
                  <w:marTop w:val="0"/>
                  <w:marBottom w:val="0"/>
                  <w:divBdr>
                    <w:top w:val="none" w:sz="0" w:space="0" w:color="auto"/>
                    <w:left w:val="none" w:sz="0" w:space="0" w:color="auto"/>
                    <w:bottom w:val="none" w:sz="0" w:space="0" w:color="auto"/>
                    <w:right w:val="none" w:sz="0" w:space="0" w:color="auto"/>
                  </w:divBdr>
                  <w:divsChild>
                    <w:div w:id="56167017">
                      <w:marLeft w:val="0"/>
                      <w:marRight w:val="0"/>
                      <w:marTop w:val="0"/>
                      <w:marBottom w:val="0"/>
                      <w:divBdr>
                        <w:top w:val="none" w:sz="0" w:space="0" w:color="auto"/>
                        <w:left w:val="none" w:sz="0" w:space="0" w:color="auto"/>
                        <w:bottom w:val="none" w:sz="0" w:space="0" w:color="auto"/>
                        <w:right w:val="none" w:sz="0" w:space="0" w:color="auto"/>
                      </w:divBdr>
                    </w:div>
                  </w:divsChild>
                </w:div>
                <w:div w:id="1839954699">
                  <w:marLeft w:val="0"/>
                  <w:marRight w:val="0"/>
                  <w:marTop w:val="0"/>
                  <w:marBottom w:val="0"/>
                  <w:divBdr>
                    <w:top w:val="none" w:sz="0" w:space="0" w:color="auto"/>
                    <w:left w:val="none" w:sz="0" w:space="0" w:color="auto"/>
                    <w:bottom w:val="none" w:sz="0" w:space="0" w:color="auto"/>
                    <w:right w:val="none" w:sz="0" w:space="0" w:color="auto"/>
                  </w:divBdr>
                  <w:divsChild>
                    <w:div w:id="1226913695">
                      <w:marLeft w:val="0"/>
                      <w:marRight w:val="0"/>
                      <w:marTop w:val="0"/>
                      <w:marBottom w:val="0"/>
                      <w:divBdr>
                        <w:top w:val="none" w:sz="0" w:space="0" w:color="auto"/>
                        <w:left w:val="none" w:sz="0" w:space="0" w:color="auto"/>
                        <w:bottom w:val="none" w:sz="0" w:space="0" w:color="auto"/>
                        <w:right w:val="none" w:sz="0" w:space="0" w:color="auto"/>
                      </w:divBdr>
                    </w:div>
                  </w:divsChild>
                </w:div>
                <w:div w:id="1863736591">
                  <w:marLeft w:val="0"/>
                  <w:marRight w:val="0"/>
                  <w:marTop w:val="0"/>
                  <w:marBottom w:val="0"/>
                  <w:divBdr>
                    <w:top w:val="none" w:sz="0" w:space="0" w:color="auto"/>
                    <w:left w:val="none" w:sz="0" w:space="0" w:color="auto"/>
                    <w:bottom w:val="none" w:sz="0" w:space="0" w:color="auto"/>
                    <w:right w:val="none" w:sz="0" w:space="0" w:color="auto"/>
                  </w:divBdr>
                  <w:divsChild>
                    <w:div w:id="1354571474">
                      <w:marLeft w:val="0"/>
                      <w:marRight w:val="0"/>
                      <w:marTop w:val="0"/>
                      <w:marBottom w:val="0"/>
                      <w:divBdr>
                        <w:top w:val="none" w:sz="0" w:space="0" w:color="auto"/>
                        <w:left w:val="none" w:sz="0" w:space="0" w:color="auto"/>
                        <w:bottom w:val="none" w:sz="0" w:space="0" w:color="auto"/>
                        <w:right w:val="none" w:sz="0" w:space="0" w:color="auto"/>
                      </w:divBdr>
                    </w:div>
                  </w:divsChild>
                </w:div>
                <w:div w:id="1889954994">
                  <w:marLeft w:val="0"/>
                  <w:marRight w:val="0"/>
                  <w:marTop w:val="0"/>
                  <w:marBottom w:val="0"/>
                  <w:divBdr>
                    <w:top w:val="none" w:sz="0" w:space="0" w:color="auto"/>
                    <w:left w:val="none" w:sz="0" w:space="0" w:color="auto"/>
                    <w:bottom w:val="none" w:sz="0" w:space="0" w:color="auto"/>
                    <w:right w:val="none" w:sz="0" w:space="0" w:color="auto"/>
                  </w:divBdr>
                  <w:divsChild>
                    <w:div w:id="915280843">
                      <w:marLeft w:val="0"/>
                      <w:marRight w:val="0"/>
                      <w:marTop w:val="0"/>
                      <w:marBottom w:val="0"/>
                      <w:divBdr>
                        <w:top w:val="none" w:sz="0" w:space="0" w:color="auto"/>
                        <w:left w:val="none" w:sz="0" w:space="0" w:color="auto"/>
                        <w:bottom w:val="none" w:sz="0" w:space="0" w:color="auto"/>
                        <w:right w:val="none" w:sz="0" w:space="0" w:color="auto"/>
                      </w:divBdr>
                    </w:div>
                  </w:divsChild>
                </w:div>
                <w:div w:id="1939026009">
                  <w:marLeft w:val="0"/>
                  <w:marRight w:val="0"/>
                  <w:marTop w:val="0"/>
                  <w:marBottom w:val="0"/>
                  <w:divBdr>
                    <w:top w:val="none" w:sz="0" w:space="0" w:color="auto"/>
                    <w:left w:val="none" w:sz="0" w:space="0" w:color="auto"/>
                    <w:bottom w:val="none" w:sz="0" w:space="0" w:color="auto"/>
                    <w:right w:val="none" w:sz="0" w:space="0" w:color="auto"/>
                  </w:divBdr>
                  <w:divsChild>
                    <w:div w:id="591011535">
                      <w:marLeft w:val="0"/>
                      <w:marRight w:val="0"/>
                      <w:marTop w:val="0"/>
                      <w:marBottom w:val="0"/>
                      <w:divBdr>
                        <w:top w:val="none" w:sz="0" w:space="0" w:color="auto"/>
                        <w:left w:val="none" w:sz="0" w:space="0" w:color="auto"/>
                        <w:bottom w:val="none" w:sz="0" w:space="0" w:color="auto"/>
                        <w:right w:val="none" w:sz="0" w:space="0" w:color="auto"/>
                      </w:divBdr>
                    </w:div>
                  </w:divsChild>
                </w:div>
                <w:div w:id="2063749238">
                  <w:marLeft w:val="0"/>
                  <w:marRight w:val="0"/>
                  <w:marTop w:val="0"/>
                  <w:marBottom w:val="0"/>
                  <w:divBdr>
                    <w:top w:val="none" w:sz="0" w:space="0" w:color="auto"/>
                    <w:left w:val="none" w:sz="0" w:space="0" w:color="auto"/>
                    <w:bottom w:val="none" w:sz="0" w:space="0" w:color="auto"/>
                    <w:right w:val="none" w:sz="0" w:space="0" w:color="auto"/>
                  </w:divBdr>
                  <w:divsChild>
                    <w:div w:id="495852252">
                      <w:marLeft w:val="0"/>
                      <w:marRight w:val="0"/>
                      <w:marTop w:val="0"/>
                      <w:marBottom w:val="0"/>
                      <w:divBdr>
                        <w:top w:val="none" w:sz="0" w:space="0" w:color="auto"/>
                        <w:left w:val="none" w:sz="0" w:space="0" w:color="auto"/>
                        <w:bottom w:val="none" w:sz="0" w:space="0" w:color="auto"/>
                        <w:right w:val="none" w:sz="0" w:space="0" w:color="auto"/>
                      </w:divBdr>
                    </w:div>
                  </w:divsChild>
                </w:div>
                <w:div w:id="2131313757">
                  <w:marLeft w:val="0"/>
                  <w:marRight w:val="0"/>
                  <w:marTop w:val="0"/>
                  <w:marBottom w:val="0"/>
                  <w:divBdr>
                    <w:top w:val="none" w:sz="0" w:space="0" w:color="auto"/>
                    <w:left w:val="none" w:sz="0" w:space="0" w:color="auto"/>
                    <w:bottom w:val="none" w:sz="0" w:space="0" w:color="auto"/>
                    <w:right w:val="none" w:sz="0" w:space="0" w:color="auto"/>
                  </w:divBdr>
                  <w:divsChild>
                    <w:div w:id="29494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687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ata.mfe.govt.nz/" TargetMode="External"/><Relationship Id="rId21" Type="http://schemas.openxmlformats.org/officeDocument/2006/relationships/footer" Target="footer4.xml"/><Relationship Id="rId42" Type="http://schemas.openxmlformats.org/officeDocument/2006/relationships/hyperlink" Target="https://www.iso.org/standard/66453.html" TargetMode="External"/><Relationship Id="rId63" Type="http://schemas.openxmlformats.org/officeDocument/2006/relationships/hyperlink" Target="https://environment.govt.nz/publications/new-zealands-greenhouse-gas-inventory-1990-2020/" TargetMode="External"/><Relationship Id="rId84" Type="http://schemas.openxmlformats.org/officeDocument/2006/relationships/hyperlink" Target="https://assets.publishing.service.gov.uk/government/uploads/system/uploads/attachment_data/file/1049346/2021-ghg-conversion-factors-methodology.pdf" TargetMode="External"/><Relationship Id="rId16" Type="http://schemas.openxmlformats.org/officeDocument/2006/relationships/footer" Target="footer2.xml"/><Relationship Id="rId107" Type="http://schemas.openxmlformats.org/officeDocument/2006/relationships/hyperlink" Target="https://environment.govt.nz/publications/new-zealands-greenhouse-gas-inventory-1990-2020/" TargetMode="External"/><Relationship Id="rId11" Type="http://schemas.openxmlformats.org/officeDocument/2006/relationships/endnotes" Target="endnotes.xml"/><Relationship Id="rId32" Type="http://schemas.openxmlformats.org/officeDocument/2006/relationships/hyperlink" Target="https://ghgprotocol.org/greenhouse-gas-protocol-accounting-reporting-standard-cities" TargetMode="External"/><Relationship Id="rId37" Type="http://schemas.openxmlformats.org/officeDocument/2006/relationships/hyperlink" Target="https://ghgprotocol.org/corporate-standard" TargetMode="External"/><Relationship Id="rId53" Type="http://schemas.openxmlformats.org/officeDocument/2006/relationships/hyperlink" Target="https://environment.govt.nz/publications/new-zealands-greenhouse-gas-inventory-1990-2020/" TargetMode="External"/><Relationship Id="rId58" Type="http://schemas.openxmlformats.org/officeDocument/2006/relationships/hyperlink" Target="https://www.iso.org/standard/66453.html" TargetMode="External"/><Relationship Id="rId74" Type="http://schemas.openxmlformats.org/officeDocument/2006/relationships/hyperlink" Target="https://ghgprotocol.org/corporate-standard" TargetMode="External"/><Relationship Id="rId79" Type="http://schemas.openxmlformats.org/officeDocument/2006/relationships/hyperlink" Target="https://www.transport.govt.nz/assets/Uploads/Research/Transport-Outlook/Documents/a9189b9da0/Emission-Impossible-Real-World-Energy-Use-Projections-for-VFEM-20160905.pdf" TargetMode="External"/><Relationship Id="rId102" Type="http://schemas.openxmlformats.org/officeDocument/2006/relationships/hyperlink" Target="https://environment.govt.nz/publications/greenhouse-gas-emissions-from-industrial-wastewater-treatment-inventory-basis-review/" TargetMode="External"/><Relationship Id="rId123" Type="http://schemas.openxmlformats.org/officeDocument/2006/relationships/hyperlink" Target="https://www.overseer.org.nz/overseerfm" TargetMode="External"/><Relationship Id="rId128" Type="http://schemas.openxmlformats.org/officeDocument/2006/relationships/hyperlink" Target="https://environment.govt.nz/publications/new-zealands-greenhouse-gas-inventory-1990-2020/" TargetMode="External"/><Relationship Id="rId5" Type="http://schemas.openxmlformats.org/officeDocument/2006/relationships/customXml" Target="../customXml/item5.xml"/><Relationship Id="rId90" Type="http://schemas.openxmlformats.org/officeDocument/2006/relationships/hyperlink" Target="https://assets.publishing.service.gov.uk/government/uploads/system/uploads/attachment_data/file/1049346/2021-ghg-conversion-factors-methodology.pdf" TargetMode="External"/><Relationship Id="rId95" Type="http://schemas.openxmlformats.org/officeDocument/2006/relationships/hyperlink" Target="https://www.cedelft.eu/publicatie/stream_freight_transport_2016/1855" TargetMode="External"/><Relationship Id="rId22" Type="http://schemas.openxmlformats.org/officeDocument/2006/relationships/footer" Target="footer5.xml"/><Relationship Id="rId27" Type="http://schemas.openxmlformats.org/officeDocument/2006/relationships/image" Target="media/image2.png"/><Relationship Id="rId43" Type="http://schemas.openxmlformats.org/officeDocument/2006/relationships/hyperlink" Target="https://ghgprotocol.org/standards/scope-3-standard" TargetMode="External"/><Relationship Id="rId48" Type="http://schemas.openxmlformats.org/officeDocument/2006/relationships/hyperlink" Target="https://ghgprotocol.org/corporate-standard" TargetMode="External"/><Relationship Id="rId64" Type="http://schemas.openxmlformats.org/officeDocument/2006/relationships/hyperlink" Target="https://environment.govt.nz/publications/new-zealands-greenhouse-gas-inventory-1990-2020/" TargetMode="External"/><Relationship Id="rId69" Type="http://schemas.openxmlformats.org/officeDocument/2006/relationships/hyperlink" Target="https://www.ipcc.ch/site/assets/uploads/2018/02/WG1AR5_Chapter08_FINAL.pdf" TargetMode="External"/><Relationship Id="rId113" Type="http://schemas.openxmlformats.org/officeDocument/2006/relationships/hyperlink" Target="https://www.iso.org/standard/66453.html" TargetMode="External"/><Relationship Id="rId118" Type="http://schemas.openxmlformats.org/officeDocument/2006/relationships/hyperlink" Target="https://lris.scinfo.org.nz/layer/48423-lcdb-v41-land-cover-database-version-41-mainland-new-zealand/" TargetMode="External"/><Relationship Id="rId134" Type="http://schemas.openxmlformats.org/officeDocument/2006/relationships/hyperlink" Target="https://environment.govt.nz/publications/new-zealands-greenhouse-gas-inventory-1990-2020/" TargetMode="External"/><Relationship Id="rId80" Type="http://schemas.openxmlformats.org/officeDocument/2006/relationships/hyperlink" Target="https://www.airmilescalculator.com/" TargetMode="External"/><Relationship Id="rId85" Type="http://schemas.openxmlformats.org/officeDocument/2006/relationships/hyperlink" Target="https://www.gov.uk/government/publications/greenhouse-gas-reporting-conversion-factors-2021" TargetMode="External"/><Relationship Id="rId12" Type="http://schemas.openxmlformats.org/officeDocument/2006/relationships/image" Target="media/image1.jpeg"/><Relationship Id="rId17" Type="http://schemas.openxmlformats.org/officeDocument/2006/relationships/header" Target="header3.xml"/><Relationship Id="rId33" Type="http://schemas.openxmlformats.org/officeDocument/2006/relationships/hyperlink" Target="https://www.iso.org/standard/66453.html" TargetMode="External"/><Relationship Id="rId38" Type="http://schemas.openxmlformats.org/officeDocument/2006/relationships/hyperlink" Target="https://www.iso.org/standard/66453.html" TargetMode="External"/><Relationship Id="rId59" Type="http://schemas.openxmlformats.org/officeDocument/2006/relationships/hyperlink" Target="https://www.xrb.govt.nz/standards/assurance-standards/other-assurance-engagement-standards-2/other-assurance-engagement-standards/isae-nz-3410/" TargetMode="External"/><Relationship Id="rId103" Type="http://schemas.openxmlformats.org/officeDocument/2006/relationships/hyperlink" Target="https://environment.govt.nz/publications/greenhouse-gas-emissions-from-industrial-wastewater-treatment-inventory-basis-review/" TargetMode="External"/><Relationship Id="rId108" Type="http://schemas.openxmlformats.org/officeDocument/2006/relationships/hyperlink" Target="https://environment.govt.nz/publications/new-zealands-greenhouse-gas-inventory-1990-2020/" TargetMode="External"/><Relationship Id="rId124" Type="http://schemas.openxmlformats.org/officeDocument/2006/relationships/hyperlink" Target="https://beeflambnz.com/ghg-calculator-info" TargetMode="External"/><Relationship Id="rId129" Type="http://schemas.openxmlformats.org/officeDocument/2006/relationships/hyperlink" Target="https://environment.govt.nz/publications/new-zealands-greenhouse-gas-inventory-1990-2020/" TargetMode="External"/><Relationship Id="rId54" Type="http://schemas.openxmlformats.org/officeDocument/2006/relationships/hyperlink" Target="https://www.iso.org/standard/66453.html" TargetMode="External"/><Relationship Id="rId70" Type="http://schemas.openxmlformats.org/officeDocument/2006/relationships/hyperlink" Target="https://ghgprotocol.org/sites/default/files/hfc-cfc_0.pdf" TargetMode="External"/><Relationship Id="rId75" Type="http://schemas.openxmlformats.org/officeDocument/2006/relationships/hyperlink" Target="https://www.iso.org/standard/66453.html" TargetMode="External"/><Relationship Id="rId91" Type="http://schemas.openxmlformats.org/officeDocument/2006/relationships/hyperlink" Target="https://assets.publishing.service.gov.uk/government/uploads/system/uploads/attachment_data/file/1049346/2021-ghg-conversion-factors-methodology.pdf" TargetMode="External"/><Relationship Id="rId96" Type="http://schemas.openxmlformats.org/officeDocument/2006/relationships/hyperlink" Target="https://assets.publishing.service.gov.uk/government/uploads/system/uploads/attachment_data/file/1049346/2021-ghg-conversion-factors-methodology.pdf"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environment.govt.nz/site-search/?keyword=guidance%20for%20voluntary%20greenhouse%20gas%20reporting" TargetMode="External"/><Relationship Id="rId28" Type="http://schemas.openxmlformats.org/officeDocument/2006/relationships/hyperlink" Target="mailto:emissions-guide@mfe.govt.nz" TargetMode="External"/><Relationship Id="rId49" Type="http://schemas.openxmlformats.org/officeDocument/2006/relationships/hyperlink" Target="http://www.mfe.govt.nz/sites/default/files/media/Climate%20Change/example-ghg-report.pdf" TargetMode="External"/><Relationship Id="rId114" Type="http://schemas.openxmlformats.org/officeDocument/2006/relationships/hyperlink" Target="https://ghgprotocol.org/corporate-standard" TargetMode="External"/><Relationship Id="rId119" Type="http://schemas.openxmlformats.org/officeDocument/2006/relationships/hyperlink" Target="https://www.agmatters.nz/goals/know-your-number/" TargetMode="External"/><Relationship Id="rId44" Type="http://schemas.openxmlformats.org/officeDocument/2006/relationships/hyperlink" Target="https://www.iso.org/standard/66453.html" TargetMode="External"/><Relationship Id="rId60" Type="http://schemas.openxmlformats.org/officeDocument/2006/relationships/hyperlink" Target="https://ghgprotocol.org/corporate-standard" TargetMode="External"/><Relationship Id="rId65" Type="http://schemas.openxmlformats.org/officeDocument/2006/relationships/hyperlink" Target="https://www.mbie.govt.nz/dmsdocument/16820-energy-in-new-zealand-2021" TargetMode="External"/><Relationship Id="rId81" Type="http://schemas.openxmlformats.org/officeDocument/2006/relationships/hyperlink" Target="https://calculator.toitu.co.nz/?calculator=travel" TargetMode="External"/><Relationship Id="rId86" Type="http://schemas.openxmlformats.org/officeDocument/2006/relationships/hyperlink" Target="http://www.ghgprotocol.org/standards/corporate-standard" TargetMode="External"/><Relationship Id="rId130" Type="http://schemas.openxmlformats.org/officeDocument/2006/relationships/hyperlink" Target="https://environment.govt.nz/publications/new-zealands-greenhouse-gas-inventory-1990-2020/" TargetMode="External"/><Relationship Id="rId135" Type="http://schemas.openxmlformats.org/officeDocument/2006/relationships/fontTable" Target="fontTable.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www.ghgprotocol.org/standards/corporate-standard" TargetMode="External"/><Relationship Id="rId109" Type="http://schemas.openxmlformats.org/officeDocument/2006/relationships/hyperlink" Target="https://environment.govt.nz/what-you-can-do/agricultural-emissions-calculator/" TargetMode="External"/><Relationship Id="rId34" Type="http://schemas.openxmlformats.org/officeDocument/2006/relationships/hyperlink" Target="https://environment.govt.nz/publications/new-zealands-greenhouse-gas-inventory-1990-2020/" TargetMode="External"/><Relationship Id="rId50" Type="http://schemas.openxmlformats.org/officeDocument/2006/relationships/hyperlink" Target="https://landcareresearch.sharepoint.com/sites/te00003/projects/MfE%20Voluntary%20Guidance%20Project%20Library/2020%20Update/Draft%20Guides/Update%20to%20https:/www.mfe.govt.nz/publications/climate-change/new-zealands-greenhouse-gas-inventory-1990-2020" TargetMode="External"/><Relationship Id="rId55" Type="http://schemas.openxmlformats.org/officeDocument/2006/relationships/hyperlink" Target="https://ghgprotocol.org/corporate-standard" TargetMode="External"/><Relationship Id="rId76" Type="http://schemas.openxmlformats.org/officeDocument/2006/relationships/hyperlink" Target="https://ghgprotocol.org/corporate-standard" TargetMode="External"/><Relationship Id="rId97" Type="http://schemas.openxmlformats.org/officeDocument/2006/relationships/hyperlink" Target="https://environment.govt.nz/publications/new-zealands-greenhouse-gas-inventory-1990-2020/" TargetMode="External"/><Relationship Id="rId104" Type="http://schemas.openxmlformats.org/officeDocument/2006/relationships/hyperlink" Target="https://www.mbie.govt.nz/building-and-energy/building/building-for-climate-change/" TargetMode="External"/><Relationship Id="rId120" Type="http://schemas.openxmlformats.org/officeDocument/2006/relationships/hyperlink" Target="https://environment.govt.nz/publications/new-zealands-greenhouse-gas-inventory-1990-2020/" TargetMode="External"/><Relationship Id="rId125" Type="http://schemas.openxmlformats.org/officeDocument/2006/relationships/hyperlink" Target="https://environment.govt.nz/publications/new-zealands-greenhouse-gas-inventory-1990-2020/" TargetMode="External"/><Relationship Id="rId7" Type="http://schemas.openxmlformats.org/officeDocument/2006/relationships/styles" Target="styles.xml"/><Relationship Id="rId71" Type="http://schemas.openxmlformats.org/officeDocument/2006/relationships/hyperlink" Target="https://environment.govt.nz/publications/new-zealands-greenhouse-gas-inventory-1990-2020/" TargetMode="External"/><Relationship Id="rId92" Type="http://schemas.openxmlformats.org/officeDocument/2006/relationships/hyperlink" Target="https://www.gov.uk/government/publications/greenhouse-gas-reporting-conversion-factors-2021" TargetMode="External"/><Relationship Id="rId2" Type="http://schemas.openxmlformats.org/officeDocument/2006/relationships/customXml" Target="../customXml/item2.xml"/><Relationship Id="rId29" Type="http://schemas.openxmlformats.org/officeDocument/2006/relationships/hyperlink" Target="mailto:cngp@mfe.govt.nz" TargetMode="External"/><Relationship Id="rId24" Type="http://schemas.openxmlformats.org/officeDocument/2006/relationships/hyperlink" Target="https://environment.govt.nz/publications/new-zealands-greenhouse-gas-inventory-1990-2020/" TargetMode="External"/><Relationship Id="rId40" Type="http://schemas.openxmlformats.org/officeDocument/2006/relationships/hyperlink" Target="https://ghgprotocol.org/corporate-standard" TargetMode="External"/><Relationship Id="rId45" Type="http://schemas.openxmlformats.org/officeDocument/2006/relationships/hyperlink" Target="http://www.mfe.govt.nz/sites/default/files/media/Climate%20Change/example-ghg-report.pdf" TargetMode="External"/><Relationship Id="rId66" Type="http://schemas.openxmlformats.org/officeDocument/2006/relationships/hyperlink" Target="https://ghgprotocol.org/standards/scope-3-standard" TargetMode="External"/><Relationship Id="rId87" Type="http://schemas.openxmlformats.org/officeDocument/2006/relationships/hyperlink" Target="https://www.transport.govt.nz/assets/Uploads/Data/Transport-outlook-updated/Emission-Impossible-Real-World-Energy-Use-Projections-for-VFEM-20160905.pdf" TargetMode="External"/><Relationship Id="rId110" Type="http://schemas.openxmlformats.org/officeDocument/2006/relationships/hyperlink" Target="https://environment.govt.nz/publications/new-zealands-greenhouse-gas-inventory-1990-2020/" TargetMode="External"/><Relationship Id="rId115" Type="http://schemas.openxmlformats.org/officeDocument/2006/relationships/hyperlink" Target="https://data.mfe.govt.nz/" TargetMode="External"/><Relationship Id="rId131" Type="http://schemas.openxmlformats.org/officeDocument/2006/relationships/hyperlink" Target="https://environment.govt.nz/publications/new-zealands-greenhouse-gas-inventory-1990-2020/" TargetMode="External"/><Relationship Id="rId136" Type="http://schemas.openxmlformats.org/officeDocument/2006/relationships/theme" Target="theme/theme1.xml"/><Relationship Id="rId61" Type="http://schemas.openxmlformats.org/officeDocument/2006/relationships/hyperlink" Target="https://www.iso.org/standard/66453.html" TargetMode="External"/><Relationship Id="rId82" Type="http://schemas.openxmlformats.org/officeDocument/2006/relationships/hyperlink" Target="http://www.icao.int/environmental-protection/CarbonOffset/Pages/default.aspx" TargetMode="External"/><Relationship Id="rId19" Type="http://schemas.openxmlformats.org/officeDocument/2006/relationships/hyperlink" Target="https://environment.govt.nz/" TargetMode="External"/><Relationship Id="rId14" Type="http://schemas.openxmlformats.org/officeDocument/2006/relationships/header" Target="header2.xml"/><Relationship Id="rId30" Type="http://schemas.openxmlformats.org/officeDocument/2006/relationships/hyperlink" Target="https://lcanz.org.nz/lca-guidance/lca-resources/" TargetMode="External"/><Relationship Id="rId35" Type="http://schemas.openxmlformats.org/officeDocument/2006/relationships/hyperlink" Target="http://www.ipcc-nggip.iges.or.jp/public/2006gl/" TargetMode="External"/><Relationship Id="rId56" Type="http://schemas.openxmlformats.org/officeDocument/2006/relationships/hyperlink" Target="https://www.iso.org/standard/66453.html" TargetMode="External"/><Relationship Id="rId77" Type="http://schemas.openxmlformats.org/officeDocument/2006/relationships/hyperlink" Target="https://www.transport.govt.nz/assets/Uploads/Research/Transport-Outlook/Documents/a9189b9da0/Emission-Impossible-Real-World-Energy-Use-Projections-for-VFEM-20160905.pdf" TargetMode="External"/><Relationship Id="rId100" Type="http://schemas.openxmlformats.org/officeDocument/2006/relationships/hyperlink" Target="https://environment.govt.nz/publications/greenhouse-gas-emissions-from-industrial-wastewater-treatment-inventory-basis-review/" TargetMode="External"/><Relationship Id="rId105" Type="http://schemas.openxmlformats.org/officeDocument/2006/relationships/hyperlink" Target="http://www.ghgprotocol.org/standards/corporate-standard" TargetMode="External"/><Relationship Id="rId126" Type="http://schemas.openxmlformats.org/officeDocument/2006/relationships/hyperlink" Target="https://environment.govt.nz/publications/new-zealands-greenhouse-gas-inventory-1990-2020/" TargetMode="External"/><Relationship Id="rId8" Type="http://schemas.openxmlformats.org/officeDocument/2006/relationships/settings" Target="settings.xml"/><Relationship Id="rId51" Type="http://schemas.openxmlformats.org/officeDocument/2006/relationships/hyperlink" Target="https://www.iso.org/standard/66453.html" TargetMode="External"/><Relationship Id="rId72" Type="http://schemas.openxmlformats.org/officeDocument/2006/relationships/hyperlink" Target="https://ghgprotocol.org/corporate-standard" TargetMode="External"/><Relationship Id="rId93" Type="http://schemas.openxmlformats.org/officeDocument/2006/relationships/hyperlink" Target="https://www.gov.uk/government/publications/greenhouse-gas-reporting-conversion-factors-2021" TargetMode="External"/><Relationship Id="rId98" Type="http://schemas.openxmlformats.org/officeDocument/2006/relationships/hyperlink" Target="https://environment.govt.nz/publications/new-zealands-greenhouse-gas-inventory-1990-2020/" TargetMode="External"/><Relationship Id="rId121" Type="http://schemas.openxmlformats.org/officeDocument/2006/relationships/hyperlink" Target="https://environment.govt.nz/publications/new-zealands-greenhouse-gas-inventory-1990-2020/" TargetMode="External"/><Relationship Id="rId3" Type="http://schemas.openxmlformats.org/officeDocument/2006/relationships/customXml" Target="../customXml/item3.xml"/><Relationship Id="rId25" Type="http://schemas.openxmlformats.org/officeDocument/2006/relationships/hyperlink" Target="http://www.ghgprotocol.org/standards/corporate-standard" TargetMode="External"/><Relationship Id="rId46" Type="http://schemas.openxmlformats.org/officeDocument/2006/relationships/hyperlink" Target="https://www.mfe.govt.nz/publications/climate-change/measuring-emissions-guide-organisations-%E2%80%93-summary-of-emission-factors" TargetMode="External"/><Relationship Id="rId67" Type="http://schemas.openxmlformats.org/officeDocument/2006/relationships/hyperlink" Target="https://www.ipcc.ch/report/ar4/syr/" TargetMode="External"/><Relationship Id="rId116" Type="http://schemas.openxmlformats.org/officeDocument/2006/relationships/hyperlink" Target="https://lris.scinfo.org.nz/layer/48423-lcdb-v41-land-cover-database-version-41-mainland-new-zealand/" TargetMode="External"/><Relationship Id="rId20" Type="http://schemas.openxmlformats.org/officeDocument/2006/relationships/header" Target="header4.xml"/><Relationship Id="rId41" Type="http://schemas.openxmlformats.org/officeDocument/2006/relationships/hyperlink" Target="https://ghgprotocol.org/corporate-standard" TargetMode="External"/><Relationship Id="rId62" Type="http://schemas.openxmlformats.org/officeDocument/2006/relationships/hyperlink" Target="https://ghgprotocol.org/corporate-standard" TargetMode="External"/><Relationship Id="rId83" Type="http://schemas.openxmlformats.org/officeDocument/2006/relationships/hyperlink" Target="https://www.gov.uk/government/publications/greenhouse-gas-reporting-conversion-factors-2021" TargetMode="External"/><Relationship Id="rId88" Type="http://schemas.openxmlformats.org/officeDocument/2006/relationships/hyperlink" Target="https://www.gov.uk/government/publications/greenhouse-gas-reporting-conversion-factors-2021" TargetMode="External"/><Relationship Id="rId111" Type="http://schemas.openxmlformats.org/officeDocument/2006/relationships/hyperlink" Target="https://environment.govt.nz/publications/new-zealands-greenhouse-gas-inventory-1990-2020/" TargetMode="External"/><Relationship Id="rId132" Type="http://schemas.openxmlformats.org/officeDocument/2006/relationships/hyperlink" Target="https://www.iso.org/standard/66453.html" TargetMode="External"/><Relationship Id="rId15" Type="http://schemas.openxmlformats.org/officeDocument/2006/relationships/footer" Target="footer1.xml"/><Relationship Id="rId36" Type="http://schemas.openxmlformats.org/officeDocument/2006/relationships/hyperlink" Target="https://www.iso.org/standard/66453.html" TargetMode="External"/><Relationship Id="rId57" Type="http://schemas.openxmlformats.org/officeDocument/2006/relationships/hyperlink" Target="https://ghgprotocol.org/corporate-standard" TargetMode="External"/><Relationship Id="rId106" Type="http://schemas.openxmlformats.org/officeDocument/2006/relationships/hyperlink" Target="https://www.gov.uk/government/collections/government-conversion-factors-for-company-reporting" TargetMode="External"/><Relationship Id="rId127" Type="http://schemas.openxmlformats.org/officeDocument/2006/relationships/hyperlink" Target="https://environment.govt.nz/publications/new-zealands-greenhouse-gas-inventory-1990-2020/" TargetMode="External"/><Relationship Id="rId10" Type="http://schemas.openxmlformats.org/officeDocument/2006/relationships/footnotes" Target="footnotes.xml"/><Relationship Id="rId31" Type="http://schemas.openxmlformats.org/officeDocument/2006/relationships/hyperlink" Target="https://environment.govt.nz/publications/interim-guidance-for-voluntary-climate-change-mitigation/" TargetMode="External"/><Relationship Id="rId52" Type="http://schemas.openxmlformats.org/officeDocument/2006/relationships/hyperlink" Target="https://ghgprotocol.org/standards/scope-3-standard" TargetMode="External"/><Relationship Id="rId73" Type="http://schemas.openxmlformats.org/officeDocument/2006/relationships/hyperlink" Target="http://ghgprotocol.org/scope_2_guidance" TargetMode="External"/><Relationship Id="rId78" Type="http://schemas.openxmlformats.org/officeDocument/2006/relationships/hyperlink" Target="https://www.transport.govt.nz/assets/Uploads/Data/Transport-outlook-updated/Emission-Impossible-Real-World-Energy-Use-Projections-for-VFEM-20160905.pdf" TargetMode="External"/><Relationship Id="rId94" Type="http://schemas.openxmlformats.org/officeDocument/2006/relationships/hyperlink" Target="https://www.gov.uk/government/publications/greenhouse-gas-reporting-conversion-factors-2021" TargetMode="External"/><Relationship Id="rId99" Type="http://schemas.openxmlformats.org/officeDocument/2006/relationships/hyperlink" Target="https://environment.govt.nz/publications/greenhouse-gas-emissions-from-industrial-wastewater-treatment-inventory-basis-review/" TargetMode="External"/><Relationship Id="rId101" Type="http://schemas.openxmlformats.org/officeDocument/2006/relationships/hyperlink" Target="https://environment.govt.nz/publications/greenhouse-gas-emissions-from-industrial-wastewater-treatment-inventory-basis-review/" TargetMode="External"/><Relationship Id="rId122" Type="http://schemas.openxmlformats.org/officeDocument/2006/relationships/hyperlink" Target="https://environment.govt.nz/what-you-can-do/agricultural-emissions-calculator/"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www.iso.org/standard/66453.html" TargetMode="External"/><Relationship Id="rId47" Type="http://schemas.openxmlformats.org/officeDocument/2006/relationships/hyperlink" Target="https://www.iso.org/standard/66453.html" TargetMode="External"/><Relationship Id="rId68" Type="http://schemas.openxmlformats.org/officeDocument/2006/relationships/hyperlink" Target="https://www.ipcc.ch/report/ar5/syr/" TargetMode="External"/><Relationship Id="rId89" Type="http://schemas.openxmlformats.org/officeDocument/2006/relationships/hyperlink" Target="https://assets.publishing.service.gov.uk/government/uploads/system/uploads/attachment_data/file/1049346/2021-ghg-conversion-factors-methodology.pdf" TargetMode="External"/><Relationship Id="rId112" Type="http://schemas.openxmlformats.org/officeDocument/2006/relationships/hyperlink" Target="https://environment.govt.nz/publications/new-zealands-greenhouse-gas-inventory-1990-2020/" TargetMode="External"/><Relationship Id="rId133" Type="http://schemas.openxmlformats.org/officeDocument/2006/relationships/hyperlink" Target="https://ghgprotocol.org/corporate-standard"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www.ipcc.ch/site/assets/uploads/2018/02/ar4-wg1-chapter2-1.pdf" TargetMode="External"/><Relationship Id="rId18" Type="http://schemas.openxmlformats.org/officeDocument/2006/relationships/hyperlink" Target="https://www.transport.govt.nz/assets/Uploads/Data/NZVehicleFleet.xlsx" TargetMode="External"/><Relationship Id="rId26" Type="http://schemas.openxmlformats.org/officeDocument/2006/relationships/hyperlink" Target="https://z.co.nz/assets/SDS/Kerosene_2.pdf" TargetMode="External"/><Relationship Id="rId39" Type="http://schemas.openxmlformats.org/officeDocument/2006/relationships/hyperlink" Target="https://www.knowledgehub.transport.govt.nz/assets/TKH-Uploads/TKC-2019/Real-world-fuel-economy-of-heavy-trucks.pdf" TargetMode="External"/><Relationship Id="rId21" Type="http://schemas.openxmlformats.org/officeDocument/2006/relationships/hyperlink" Target="https://www.transport.govt.nz/assets/Uploads/Data/NZVehicleFleet.xlsx" TargetMode="External"/><Relationship Id="rId34" Type="http://schemas.openxmlformats.org/officeDocument/2006/relationships/hyperlink" Target="https://aus01.safelinks.protection.outlook.com/?url=https%3A%2F%2Fwww.transport.govt.nz%2Fassets%2FUploads%2FData%2FNZVehicleFleet.xlsx&amp;data=04%7C01%7CCharissa.Billings%40mfe.govt.nz%7C716d568e554f4ce8d7ea08d9f0038879%7C761dd003d4ff40498a728549b20fcbb1%7C0%7C0%7C637804721191989366%7CUnknown%7CTWFpbGZsb3d8eyJWIjoiMC4wLjAwMDAiLCJQIjoiV2luMzIiLCJBTiI6Ik1haWwiLCJXVCI6Mn0%3D%7C3000&amp;sdata=BZp5pk8xXn6UG%2BUsdp2nhsSIGHtFyJ4UWvBcBZydgHg%3D&amp;reserved=0" TargetMode="External"/><Relationship Id="rId42" Type="http://schemas.openxmlformats.org/officeDocument/2006/relationships/hyperlink" Target="https://www.transport.govt.nz/statistics-and-insights/freight-and-logistics/" TargetMode="External"/><Relationship Id="rId47" Type="http://schemas.openxmlformats.org/officeDocument/2006/relationships/hyperlink" Target="http://www.ipcc-nggip.iges.or.jp/public/2006gl/" TargetMode="External"/><Relationship Id="rId50" Type="http://schemas.openxmlformats.org/officeDocument/2006/relationships/hyperlink" Target="http://www.branz.co.nz/" TargetMode="External"/><Relationship Id="rId55" Type="http://schemas.openxmlformats.org/officeDocument/2006/relationships/hyperlink" Target="https://data.mfe.govt.nz/" TargetMode="External"/><Relationship Id="rId7" Type="http://schemas.openxmlformats.org/officeDocument/2006/relationships/hyperlink" Target="https://unfccc.int/kyoto_protocol" TargetMode="External"/><Relationship Id="rId2" Type="http://schemas.openxmlformats.org/officeDocument/2006/relationships/hyperlink" Target="https://environment.govt.nz/publications/cngp-measuring-and-reporting-ghg-emissions/" TargetMode="External"/><Relationship Id="rId16" Type="http://schemas.openxmlformats.org/officeDocument/2006/relationships/hyperlink" Target="https://ghgprotocol.org/sites/default/files/standards/Scope%202%20Guidance_Final_Sept26.pdf" TargetMode="External"/><Relationship Id="rId29" Type="http://schemas.openxmlformats.org/officeDocument/2006/relationships/hyperlink" Target="http://www.aviation.govt.nz/aircraft/aircraft-registration/aircraft-register-search/" TargetMode="External"/><Relationship Id="rId11" Type="http://schemas.openxmlformats.org/officeDocument/2006/relationships/hyperlink" Target="https://ghgprotocol.org/sites/default/files/Stationary_Combustion_Guidance_final_1.pdf" TargetMode="External"/><Relationship Id="rId24" Type="http://schemas.openxmlformats.org/officeDocument/2006/relationships/hyperlink" Target="http://elib.dlr.de/19906/1/s13.pdf" TargetMode="External"/><Relationship Id="rId32" Type="http://schemas.openxmlformats.org/officeDocument/2006/relationships/hyperlink" Target="https://assets.publishing.service.gov.uk/government/uploads/%20system/uploads/attachment_data/file/1049346/2021-ghg-conversion-factors-methodology.pdf" TargetMode="External"/><Relationship Id="rId37" Type="http://schemas.openxmlformats.org/officeDocument/2006/relationships/hyperlink" Target="http://elib.dlr.de/19906/1/s13.pdf" TargetMode="External"/><Relationship Id="rId40" Type="http://schemas.openxmlformats.org/officeDocument/2006/relationships/hyperlink" Target="https://www.knowledgehub.transport.govt.nz/assets/TKH-Uploads/TKC-2019/Real-world-fuel-economy-of-heavy-trucks.pdf" TargetMode="External"/><Relationship Id="rId45" Type="http://schemas.openxmlformats.org/officeDocument/2006/relationships/hyperlink" Target="http://www.waternz.org.nz/NationalPerformanceReview" TargetMode="External"/><Relationship Id="rId53" Type="http://schemas.openxmlformats.org/officeDocument/2006/relationships/hyperlink" Target="http://www.ipcc-nggip.iges.or.jp/public/2006gl/pdf/5_Volume5/V5_3_Ch3_SWDS.pdf" TargetMode="External"/><Relationship Id="rId58" Type="http://schemas.openxmlformats.org/officeDocument/2006/relationships/hyperlink" Target="http://www.ipcc-nggip.iges.or.jp/public/2006gl/pdf/4_Volume4/V4_10_Ch10_Livestock.pdf" TargetMode="External"/><Relationship Id="rId5" Type="http://schemas.openxmlformats.org/officeDocument/2006/relationships/hyperlink" Target="http://www.ipcc.ch/site/assets/uploads/%202018/05/ar4_wg1_full_report-1.pdf" TargetMode="External"/><Relationship Id="rId19" Type="http://schemas.openxmlformats.org/officeDocument/2006/relationships/hyperlink" Target="https://www.transport.govt.nz/statistics-and-insights/fleet-statistics/sheet/vehicle-age" TargetMode="External"/><Relationship Id="rId4" Type="http://schemas.openxmlformats.org/officeDocument/2006/relationships/hyperlink" Target="https://lcanz.org.nz/lca-guidance/lca-resources/" TargetMode="External"/><Relationship Id="rId9" Type="http://schemas.openxmlformats.org/officeDocument/2006/relationships/hyperlink" Target="https://www.legislation.govt.nz/regulation/public/2008/0356/latest/DLM1635640.html" TargetMode="External"/><Relationship Id="rId14" Type="http://schemas.openxmlformats.org/officeDocument/2006/relationships/hyperlink" Target="http://www.ipcc.ch/site/assets/uploads/2018/02/ar4-wg1-chapter2-1.pdf" TargetMode="External"/><Relationship Id="rId22" Type="http://schemas.openxmlformats.org/officeDocument/2006/relationships/hyperlink" Target="https://ghgprotocol.org/sites/default/files/standards_supporting/Chapter6.pdf" TargetMode="External"/><Relationship Id="rId27" Type="http://schemas.openxmlformats.org/officeDocument/2006/relationships/hyperlink" Target="http://www.icao.int/environmental-protection/CarbonOffset/Pages/default.aspx" TargetMode="External"/><Relationship Id="rId30" Type="http://schemas.openxmlformats.org/officeDocument/2006/relationships/hyperlink" Target="https://www.hotelfootprints.org/" TargetMode="External"/><Relationship Id="rId35" Type="http://schemas.openxmlformats.org/officeDocument/2006/relationships/hyperlink" Target="https://www.transport.govt.nz/statistics-and-insights/fleet-statistics/sheet/vehicle-age" TargetMode="External"/><Relationship Id="rId43" Type="http://schemas.openxmlformats.org/officeDocument/2006/relationships/hyperlink" Target="https://www.gov.uk/government/publications/greenhouse-gas-reporting-conversion-factors-2021" TargetMode="External"/><Relationship Id="rId48" Type="http://schemas.openxmlformats.org/officeDocument/2006/relationships/hyperlink" Target="http://www.ipcc-nggip.iges.or.jp/public/2019rf/index.html" TargetMode="External"/><Relationship Id="rId56" Type="http://schemas.openxmlformats.org/officeDocument/2006/relationships/hyperlink" Target="https://lris.scinfo.org.nz/layer/48423-lcdb-v41-deprecated-land-cover-database-version-41-mainland-new-zealand/" TargetMode="External"/><Relationship Id="rId8" Type="http://schemas.openxmlformats.org/officeDocument/2006/relationships/hyperlink" Target="http://www.undp.org/content/undp/en/home/2030-agenda-for-sustainable-development/planet/environment-and-natural-capital/chemicals-and-waste-management/ozone.html" TargetMode="External"/><Relationship Id="rId51" Type="http://schemas.openxmlformats.org/officeDocument/2006/relationships/hyperlink" Target="http://www.branz.co.nz/co2nstruct\" TargetMode="External"/><Relationship Id="rId3" Type="http://schemas.openxmlformats.org/officeDocument/2006/relationships/hyperlink" Target="https://environment.govt.nz/what-government-is-doing/key-initiatives/carbon-neutral-government-programme/" TargetMode="External"/><Relationship Id="rId12" Type="http://schemas.openxmlformats.org/officeDocument/2006/relationships/hyperlink" Target="https://ghgprotocol.org/sites/default/files/%20Stationary_Combustion_Guidance_final_1.pdf" TargetMode="External"/><Relationship Id="rId17" Type="http://schemas.openxmlformats.org/officeDocument/2006/relationships/hyperlink" Target="https://www.nzta.govt.nz/vehicles/how-the-motor-vehicle-register-affects-you/motor-vehicle-registrations-dashboard-and-open-data/" TargetMode="External"/><Relationship Id="rId25" Type="http://schemas.openxmlformats.org/officeDocument/2006/relationships/hyperlink" Target="http://www.theccc.org.uk/publication/meeting-the-uk-aviation-target-options-for-reducing-emissions-to-2050/" TargetMode="External"/><Relationship Id="rId33" Type="http://schemas.openxmlformats.org/officeDocument/2006/relationships/hyperlink" Target="https://www.transport.govt.nz/assets/Uploads/Data/Transport-outlook-updated/Emission-Impossible-Real-World-Energy-Use-Projections-for-VFEM-20160905.pdf" TargetMode="External"/><Relationship Id="rId38" Type="http://schemas.openxmlformats.org/officeDocument/2006/relationships/hyperlink" Target="http://www.theccc.org.uk/publication/meeting-the-uk-aviation-target-options-for-reducing-emissions-to-2050/" TargetMode="External"/><Relationship Id="rId46" Type="http://schemas.openxmlformats.org/officeDocument/2006/relationships/hyperlink" Target="http://www.waternz.org.nz/Attachment?Action=Download&amp;Attachment_id=3142" TargetMode="External"/><Relationship Id="rId59" Type="http://schemas.openxmlformats.org/officeDocument/2006/relationships/hyperlink" Target="https://unfccc.int/resource/docs/%202013/cop19/eng/10a03.pdf" TargetMode="External"/><Relationship Id="rId20" Type="http://schemas.openxmlformats.org/officeDocument/2006/relationships/hyperlink" Target="https://www.transport.govt.nz/assets/Uploads/Data/NZVehicleFleet.xlsx" TargetMode="External"/><Relationship Id="rId41" Type="http://schemas.openxmlformats.org/officeDocument/2006/relationships/hyperlink" Target="https://www.transport.govt.nz/statistics-and-insights/freight-and-logistics/" TargetMode="External"/><Relationship Id="rId54" Type="http://schemas.openxmlformats.org/officeDocument/2006/relationships/hyperlink" Target="http://www.ipcc-nggip.iges.or.jp/public/2006gl/pdf/5_Volume5/V5_3_Ch3_SWDS.pdf" TargetMode="External"/><Relationship Id="rId1" Type="http://schemas.openxmlformats.org/officeDocument/2006/relationships/hyperlink" Target="http://www.fsb-tcfd.org/" TargetMode="External"/><Relationship Id="rId6" Type="http://schemas.openxmlformats.org/officeDocument/2006/relationships/hyperlink" Target="http://www.ipcc.ch/site/assets/uploads/2018/05/ar4_wg1_full_report-1.pdf" TargetMode="External"/><Relationship Id="rId15" Type="http://schemas.openxmlformats.org/officeDocument/2006/relationships/hyperlink" Target="http://www.ipcc.ch/site/assets/uploads/2018/02/WG1AR5_Chapter08_FINAL.pdf" TargetMode="External"/><Relationship Id="rId23" Type="http://schemas.openxmlformats.org/officeDocument/2006/relationships/hyperlink" Target="http://www.nzta.govt.nz/assets/userfiles/transport-data/PTPerformance.xlsx" TargetMode="External"/><Relationship Id="rId28" Type="http://schemas.openxmlformats.org/officeDocument/2006/relationships/hyperlink" Target="http://www.bazl.admin.ch/bazl/en/home/specialists/regulations-and-guidelines/environment/pollutant-emissions/aircraft-engine-emissions/guidance-on-the-determination-of-helicopter-emissions.html" TargetMode="External"/><Relationship Id="rId36" Type="http://schemas.openxmlformats.org/officeDocument/2006/relationships/hyperlink" Target="https://www.knowledgehub.transport.govt.nz/assets/TKH-Uploads/TKC-2019/Real-world-fuel-economy-of-heavy-trucks.pdf" TargetMode="External"/><Relationship Id="rId49" Type="http://schemas.openxmlformats.org/officeDocument/2006/relationships/hyperlink" Target="https://aus01.safelinks.protection.outlook.com/?url=https%3A%2F%2Fenvironment.govt.nz%2Fpublications%2Fgreenhouse-gas-emissions-from-industrial-wastewater-treatment-inventory-basis-review%2F&amp;data=04%7C01%7CCharissa.Billings%40mfe.govt.nz%7Ca910a688e74c4057425e08da1200c40e%7C761dd003d4ff40498a728549b20fcbb1%7C0%7C0%7C637842091736073494%7CUnknown%7CTWFpbGZsb3d8eyJWIjoiMC4wLjAwMDAiLCJQIjoiV2luMzIiLCJBTiI6Ik1haWwiLCJXVCI6Mn0%3D%7C3000&amp;sdata=wResar0OvjvWgHUzfPoI1tam6zoi50FbjtpSrtyVcDA%3D&amp;reserved=0" TargetMode="External"/><Relationship Id="rId57" Type="http://schemas.openxmlformats.org/officeDocument/2006/relationships/hyperlink" Target="http://www.ipcc-nggip.iges.or.jp/public/2006gl/pdf/4_Volume4/V4_10_Ch10_Livestock.pdf" TargetMode="External"/><Relationship Id="rId10" Type="http://schemas.openxmlformats.org/officeDocument/2006/relationships/hyperlink" Target="http://www.ipcc-nggip.iges.or.jp/public/2006gl/vol2.html" TargetMode="External"/><Relationship Id="rId31" Type="http://schemas.openxmlformats.org/officeDocument/2006/relationships/hyperlink" Target="https://ecommons.cornell.edu/handle/1813/109990" TargetMode="External"/><Relationship Id="rId44" Type="http://schemas.openxmlformats.org/officeDocument/2006/relationships/hyperlink" Target="https://www.waternz.org.nz/Article?Action=View&amp;Article_id=2078" TargetMode="External"/><Relationship Id="rId52" Type="http://schemas.openxmlformats.org/officeDocument/2006/relationships/hyperlink" Target="https://epd-australasia.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hadraz\AppData\Local\Microsoft\Windows\INetCache\Content.Outlook\UY9JKECN\MfE%20report%20template.dotx" TargetMode="External"/></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MfE">
      <a:majorFont>
        <a:latin typeface="Cambria"/>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OpenText_x0020_Path xmlns="4a94300e-a927-4b92-9d3a-682523035cb6">..\Te Puna\14 - Policy Development and Implementation - Climate and Atmosphere\05 - Emission Reduction Measures\03 - Guidance for voluntary corporate greenhouse gas reporting\02 - 2020 Measuring Emissions Guide\02 - Planning and development\03 - Final draft documents\Measuring Emissions Detailed Guide 2020 FINAL.docx</OpenText_x0020_Path>
    <Legacy_x0020_DocID xmlns="4a94300e-a927-4b92-9d3a-682523035cb6" xsi:nil="true"/>
    <Year xmlns="4a94300e-a927-4b92-9d3a-682523035cb6" xsi:nil="true"/>
    <Legacy_x0020_Version xmlns="4a94300e-a927-4b92-9d3a-682523035cb6" xsi:nil="true"/>
    <Nickname xmlns="4a94300e-a927-4b92-9d3a-682523035cb6">21285491</Nickname>
    <Sender_x0020_Date xmlns="4a94300e-a927-4b92-9d3a-682523035cb6" xsi:nil="true"/>
    <Library xmlns="4a94300e-a927-4b92-9d3a-682523035cb6" xsi:nil="true"/>
    <Current_x0020_Security_x0020_Clearance_x0020_Level xmlns="4a94300e-a927-4b92-9d3a-682523035cb6" xsi:nil="true"/>
    <Class xmlns="4a94300e-a927-4b92-9d3a-682523035cb6" xsi:nil="true"/>
    <Sender xmlns="4a94300e-a927-4b92-9d3a-682523035cb6" xsi:nil="true"/>
    <Supplemental_x0020_Markings xmlns="4a94300e-a927-4b92-9d3a-682523035cb6" xsi:nil="true"/>
    <Owned_x0020_By xmlns="4a94300e-a927-4b92-9d3a-682523035cb6">
      <UserInfo>
        <DisplayName/>
        <AccountId xsi:nil="true"/>
        <AccountType/>
      </UserInfo>
    </Owned_x0020_By>
    <Te_x0020_Puna_x0020_Created_x0020_By xmlns="4a94300e-a927-4b92-9d3a-682523035cb6">BaylisM</Te_x0020_Puna_x0020_Created_x0020_By>
    <Te_x0020_Puna_x0020_Owned_x0020_By xmlns="4a94300e-a927-4b92-9d3a-682523035cb6">BaylisM</Te_x0020_Puna_x0020_Owned_x0020_By>
    <_ExtendedDescription xmlns="http://schemas.microsoft.com/sharepoint/v3" xsi:nil="true"/>
    <Other_x0020_Details xmlns="4a94300e-a927-4b92-9d3a-682523035cb6" xsi:nil="true"/>
    <Best_x0020_Bets_x0020_Expiry xmlns="4a94300e-a927-4b92-9d3a-682523035cb6" xsi:nil="true"/>
    <Carbon_x0020_Copy xmlns="4a94300e-a927-4b92-9d3a-682523035cb6" xsi:nil="true"/>
    <Author0 xmlns="4a94300e-a927-4b92-9d3a-682523035cb6" xsi:nil="true"/>
    <Te_x0020_Puna_x0020_Name xmlns="4a94300e-a927-4b92-9d3a-682523035cb6">Measuring Emissions Detailed Guide 2020 FINAL.docx</Te_x0020_Puna_x0020_Name>
    <Audit xmlns="4a94300e-a927-4b92-9d3a-682523035cb6">&lt;div style="width&amp;#58;450px;"&gt;&lt;span style="border&amp;#58;1px solid;width&amp;#58;32%;display&amp;#58;inline-block;overflow&amp;#58;hidden;text-overflow&amp;#58;ellipsis;white-space&amp;#58;nowrap;"&gt;Event&lt;/span&gt;&lt;span style="border&amp;#58;1px solid;width&amp;#58;32%;display&amp;#58;inline-block;overflow&amp;#58;hidden;text-overflow&amp;#58;ellipsis;white-space&amp;#58;nowrap;"&gt;Date&lt;/span&gt;&lt;span style="border&amp;#58;1px solid;width&amp;#58;32%;display&amp;#58;inline-block;overflow&amp;#58;hidden;text-overflow&amp;#58;ellipsis;white-space&amp;#58;nowrap;"&gt;User&lt;/span&gt;&lt;br&gt;&lt;span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solid;width&amp;#58;32%;display&amp;#58;inline-block;overflow&amp;#58;hidden;text-overflow&amp;#58;ellipsis;white-space&amp;#58;nowrap;"&gt;2021-01-18 14&amp;#58;54&amp;#58;51&lt;/span&gt;&lt;span style="border&amp;#58;1px solid;width&amp;#58;32%;display&amp;#58;inline-block;overflow&amp;#58;hidden;text-overflow&amp;#58;ellipsis;white-space&amp;#58;nowrap;"&gt;BillingsC&lt;/span&gt;&lt;br&gt;&lt;span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solid;width&amp;#58;32%;display&amp;#58;inline-block;overflow&amp;#58;hidden;text-overflow&amp;#58;ellipsis;white-space&amp;#58;nowrap;"&gt;2020-12-16 13&amp;#58;42&amp;#58;40&lt;/span&gt;&lt;span style="border&amp;#58;1px solid;width&amp;#58;32%;display&amp;#58;inline-block;overflow&amp;#58;hidden;text-overflow&amp;#58;ellipsis;white-space&amp;#58;nowrap;"&gt;BillingsC&lt;/span&gt;&lt;br&gt;&lt;span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solid;width&amp;#58;32%;display&amp;#58;inline-block;overflow&amp;#58;hidden;text-overflow&amp;#58;ellipsis;white-space&amp;#58;nowrap;"&gt;2020-12-15 15&amp;#58;41&amp;#58;34&lt;/span&gt;&lt;span style="border&amp;#58;1px solid;width&amp;#58;32%;display&amp;#58;inline-block;overflow&amp;#58;hidden;text-overflow&amp;#58;ellipsis;white-space&amp;#58;nowrap;"&gt;McDonnellK&lt;/span&gt;&lt;br&gt;&lt;span style="border&amp;#58;1px solid;width&amp;#58;32%;display&amp;#58;inline-block;overflow&amp;#58;hidden;text-overflow&amp;#58;ellipsis;white-space&amp;#58;nowrap;"&gt;CreateThumb&lt;/span&gt;&lt;span style="border&amp;#58;1px solid;width&amp;#58;32%;display&amp;#58;inline-block;overflow&amp;#58;hidden;text-overflow&amp;#58;ellipsis;white-space&amp;#58;nowrap;"&gt;2020-12-15 15&amp;#58;40&amp;#58;04&lt;/span&gt;&lt;span style="border&amp;#58;1px solid;width&amp;#58;32%;display&amp;#58;inline-block;overflow&amp;#58;hidden;text-overflow&amp;#58;ellipsis;white-space&amp;#58;nowrap;"&gt;Admin&lt;/span&gt;&lt;br&gt;&lt;span style="border&amp;#58;1px solid;width&amp;#58;32%;display&amp;#58;inline-block;overflow&amp;#58;hidden;text-overflow&amp;#58;ellipsis;white-space&amp;#58;nowrap;"&gt;Rename&lt;/span&gt;&lt;span style="border&amp;#58;1px solid;width&amp;#58;32%;display&amp;#58;inline-block;overflow&amp;#58;hidden;text-overflow&amp;#58;ellipsis;white-space&amp;#58;nowrap;"&gt;2020-12-15 15&amp;#58;37&amp;#58;18&lt;/span&gt;&lt;span style="border&amp;#58;1px solid;width&amp;#58;32%;display&amp;#58;inline-block;overflow&amp;#58;hidden;text-overflow&amp;#58;ellipsis;white-space&amp;#58;nowrap;"&gt;BaylisM&lt;/span&gt;&lt;br&gt;&lt;span style="border&amp;#58;1px solid;width&amp;#58;32%;display&amp;#58;inline-block;overflow&amp;#58;hidden;text-overflow&amp;#58;ellipsis;white-space&amp;#58;nowrap;"&gt;Create&lt;/span&gt;&lt;span style="border&amp;#58;1px solid;width&amp;#58;32%;display&amp;#58;inline-block;overflow&amp;#58;hidden;text-overflow&amp;#58;ellipsis;white-space&amp;#58;nowrap;"&gt;2020-12-15 15&amp;#58;37&amp;#58;05&lt;/span&gt;&lt;span style="border&amp;#58;1px solid;width&amp;#58;32%;display&amp;#58;inline-block;overflow&amp;#58;hidden;text-overflow&amp;#58;ellipsis;white-space&amp;#58;nowrap;"&gt;BaylisM&lt;/span&gt;&lt;br&gt;&lt;span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solid;width&amp;#58;32%;display&amp;#58;inline-block;overflow&amp;#58;hidden;text-overflow&amp;#58;ellipsis;white-space&amp;#58;nowrap;"&gt;2020-12-15 15&amp;#58;37&amp;#58;05&lt;/span&gt;&lt;span style="border&amp;#58;1px solid;width&amp;#58;32%;display&amp;#58;inline-block;overflow&amp;#58;hidden;text-overflow&amp;#58;ellipsis;white-space&amp;#58;nowrap;"&gt;BaylisM&lt;/span&gt;&lt;br&gt;&lt;span style="border&amp;#58;1px solid;width&amp;#58;32%;display&amp;#58;inline-block;overflow&amp;#58;hidden;text-overflow&amp;#58;ellipsis;white-space&amp;#58;nowrap;"&gt;RMClassificationAdded&lt;/span&gt;&lt;span style="border&amp;#58;1px solid;width&amp;#58;32%;display&amp;#58;inline-block;overflow&amp;#58;hidden;text-overflow&amp;#58;ellipsis;white-space&amp;#58;nowrap;"&gt;2020-12-15 15&amp;#58;37&amp;#58;05&lt;/span&gt;&lt;span style="border&amp;#58;1px solid;width&amp;#58;32%;display&amp;#58;inline-block;overflow&amp;#58;hidden;text-overflow&amp;#58;ellipsis;white-space&amp;#58;nowrap;"&gt;BaylisM&lt;/span&gt;&lt;br&gt;&lt;/div&gt;</Audit>
    <Email_x0020_Table xmlns="4a94300e-a927-4b92-9d3a-682523035cb6" xsi:nil="true"/>
    <MTS_x0020_ID xmlns="4a94300e-a927-4b92-9d3a-682523035cb6" xsi:nil="true"/>
    <Best_x0020_Bets_x0020_Value xmlns="4a94300e-a927-4b92-9d3a-682523035cb6" xsi:nil="true"/>
    <MTS_x0020_Type xmlns="4a94300e-a927-4b92-9d3a-682523035cb6" xsi:nil="true"/>
    <Receiver xmlns="4a94300e-a927-4b92-9d3a-682523035cb6" xsi:nil="true"/>
    <Other_x0020_Details_2 xmlns="4a94300e-a927-4b92-9d3a-682523035cb6" xsi:nil="true"/>
    <Te_x0020_Puna_x0020_Modified_x0020_By xmlns="4a94300e-a927-4b92-9d3a-682523035cb6">BaylisM</Te_x0020_Puna_x0020_Modified_x0020_By>
    <Receiver_x0020_Date xmlns="4a94300e-a927-4b92-9d3a-682523035cb6" xsi:nil="true"/>
    <Status xmlns="4a94300e-a927-4b92-9d3a-682523035cb6" xsi:nil="true"/>
    <Document_x0020_Type xmlns="4a94300e-a927-4b92-9d3a-682523035cb6" xsi:nil="true"/>
    <From xmlns="4a94300e-a927-4b92-9d3a-682523035cb6" xsi:nil="true"/>
    <Sent_x002f_Received xmlns="4a94300e-a927-4b92-9d3a-682523035cb6" xsi:nil="true"/>
    <To xmlns="4a94300e-a927-4b92-9d3a-682523035cb6" xsi:nil="true"/>
    <Other_x0020_Details_3 xmlns="4a94300e-a927-4b92-9d3a-682523035cb6" xsi:nil="true"/>
    <Contract_x0020_Number xmlns="4a94300e-a927-4b92-9d3a-682523035cb6" xsi:nil="true"/>
    <_dlc_DocId xmlns="58a6f171-52cb-4404-b47d-af1c8daf8fd1">ECM-547756131-137316</_dlc_DocId>
    <_dlc_DocIdUrl xmlns="58a6f171-52cb-4404-b47d-af1c8daf8fd1">
      <Url>https://ministryforenvironment.sharepoint.com/sites/ECM-Pol-CAP/_layouts/15/DocIdRedir.aspx?ID=ECM-547756131-137316</Url>
      <Description>ECM-547756131-137316</Description>
    </_dlc_DocIdUrl>
    <lcf76f155ced4ddcb4097134ff3c332f xmlns="4a94300e-a927-4b92-9d3a-682523035cb6" xsi:nil="true"/>
    <TaxCatchAll xmlns="58a6f171-52cb-4404-b47d-af1c8daf8fd1"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Te Puna Document" ma:contentTypeID="0x010100D50ED7AFFD01F14AA9CDF79350FE43BA00D6EDFF20929DCF4EA8192F86BEA695E0" ma:contentTypeVersion="29" ma:contentTypeDescription="Create a new document." ma:contentTypeScope="" ma:versionID="44dec79cae19180ea1fb0b080bb80afb">
  <xsd:schema xmlns:xsd="http://www.w3.org/2001/XMLSchema" xmlns:xs="http://www.w3.org/2001/XMLSchema" xmlns:p="http://schemas.microsoft.com/office/2006/metadata/properties" xmlns:ns1="http://schemas.microsoft.com/sharepoint/v3" xmlns:ns2="58a6f171-52cb-4404-b47d-af1c8daf8fd1" xmlns:ns3="4a94300e-a927-4b92-9d3a-682523035cb6" targetNamespace="http://schemas.microsoft.com/office/2006/metadata/properties" ma:root="true" ma:fieldsID="a33c085466a80d47655cd0144a2c08b0" ns1:_="" ns2:_="" ns3:_="">
    <xsd:import namespace="http://schemas.microsoft.com/sharepoint/v3"/>
    <xsd:import namespace="58a6f171-52cb-4404-b47d-af1c8daf8fd1"/>
    <xsd:import namespace="4a94300e-a927-4b92-9d3a-682523035cb6"/>
    <xsd:element name="properties">
      <xsd:complexType>
        <xsd:sequence>
          <xsd:element name="documentManagement">
            <xsd:complexType>
              <xsd:all>
                <xsd:element ref="ns2:_dlc_DocId" minOccurs="0"/>
                <xsd:element ref="ns2:_dlc_DocIdUrl" minOccurs="0"/>
                <xsd:element ref="ns2:_dlc_DocIdPersistId" minOccurs="0"/>
                <xsd:element ref="ns1:_ExtendedDescription" minOccurs="0"/>
                <xsd:element ref="ns3:Owned_x0020_By" minOccurs="0"/>
                <xsd:element ref="ns3:Te_x0020_Puna_x0020_Created_x0020_By" minOccurs="0"/>
                <xsd:element ref="ns3:Te_x0020_Puna_x0020_Modified_x0020_By" minOccurs="0"/>
                <xsd:element ref="ns3:Te_x0020_Puna_x0020_Owned_x0020_By" minOccurs="0"/>
                <xsd:element ref="ns3:Te_x0020_Puna_x0020_Name" minOccurs="0"/>
                <xsd:element ref="ns3:Nickname" minOccurs="0"/>
                <xsd:element ref="ns3:Best_x0020_Bets_x0020_Value" minOccurs="0"/>
                <xsd:element ref="ns3:Best_x0020_Bets_x0020_Expiry" minOccurs="0"/>
                <xsd:element ref="ns3:Audit" minOccurs="0"/>
                <xsd:element ref="ns3:Current_x0020_Security_x0020_Clearance_x0020_Level" minOccurs="0"/>
                <xsd:element ref="ns3:OpenText_x0020_Path"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Other_x0020_Details_2" minOccurs="0"/>
                <xsd:element ref="ns3:MTS_x0020_Type" minOccurs="0"/>
                <xsd:element ref="ns3:MTS_x0020_ID" minOccurs="0"/>
                <xsd:element ref="ns3:Supplemental_x0020_Markings" minOccurs="0"/>
                <xsd:element ref="ns3:To" minOccurs="0"/>
                <xsd:element ref="ns3:From" minOccurs="0"/>
                <xsd:element ref="ns3:Sent_x002f_Received" minOccurs="0"/>
                <xsd:element ref="ns3:Contract_x0020_Number" minOccurs="0"/>
                <xsd:element ref="ns3:Other_x0020_Details_3"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ExtendedDescription" ma:index="11" nillable="true" ma:displayName="Description" ma:internalName="_Extended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49" nillable="true" ma:displayName="Taxonomy Catch All Column" ma:hidden="true" ma:list="{ffc8bc6b-b675-45cd-8c52-a10dd19693fc}"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Owned_x0020_By" ma:index="12" nillable="true" ma:displayName="Owned By" ma:description="" ma:list="UserInfo" ma:SharePointGroup="0" ma:internalName="Owned_x0020_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e_x0020_Puna_x0020_Created_x0020_By" ma:index="13" nillable="true" ma:displayName="Te Puna Created By" ma:default="" ma:description="" ma:internalName="Te_x0020_Puna_x0020_Created_x0020_By" ma:readOnly="false">
      <xsd:simpleType>
        <xsd:restriction base="dms:Text">
          <xsd:maxLength value="255"/>
        </xsd:restriction>
      </xsd:simpleType>
    </xsd:element>
    <xsd:element name="Te_x0020_Puna_x0020_Modified_x0020_By" ma:index="14" nillable="true" ma:displayName="Te Puna Modified By" ma:default="" ma:description="" ma:internalName="Te_x0020_Puna_x0020_Modified_x0020_By" ma:readOnly="false">
      <xsd:simpleType>
        <xsd:restriction base="dms:Text">
          <xsd:maxLength value="255"/>
        </xsd:restriction>
      </xsd:simpleType>
    </xsd:element>
    <xsd:element name="Te_x0020_Puna_x0020_Owned_x0020_By" ma:index="15" nillable="true" ma:displayName="Te Puna Owned By" ma:default="" ma:description="" ma:internalName="Te_x0020_Puna_x0020_Owned_x0020_By" ma:readOnly="false">
      <xsd:simpleType>
        <xsd:restriction base="dms:Text">
          <xsd:maxLength value="255"/>
        </xsd:restriction>
      </xsd:simpleType>
    </xsd:element>
    <xsd:element name="Te_x0020_Puna_x0020_Name" ma:index="16" nillable="true" ma:displayName="Te Puna Name" ma:default="" ma:description="" ma:internalName="Te_x0020_Puna_x0020_Name" ma:readOnly="false">
      <xsd:simpleType>
        <xsd:restriction base="dms:Note"/>
      </xsd:simpleType>
    </xsd:element>
    <xsd:element name="Nickname" ma:index="17" nillable="true" ma:displayName="Nickname" ma:default="" ma:description="" ma:internalName="Nickname" ma:readOnly="false">
      <xsd:simpleType>
        <xsd:restriction base="dms:Text">
          <xsd:maxLength value="255"/>
        </xsd:restriction>
      </xsd:simpleType>
    </xsd:element>
    <xsd:element name="Best_x0020_Bets_x0020_Value" ma:index="18" nillable="true" ma:displayName="Best Bets Value" ma:default="" ma:description="" ma:internalName="Best_x0020_Bets_x0020_Value" ma:readOnly="false">
      <xsd:simpleType>
        <xsd:restriction base="dms:Text">
          <xsd:maxLength value="255"/>
        </xsd:restriction>
      </xsd:simpleType>
    </xsd:element>
    <xsd:element name="Best_x0020_Bets_x0020_Expiry" ma:index="19" nillable="true" ma:displayName="Best Bets Expiry" ma:default="" ma:description="" ma:format="DateTime" ma:internalName="Best_x0020_Bets_x0020_Expiry" ma:readOnly="false">
      <xsd:simpleType>
        <xsd:restriction base="dms:DateTime"/>
      </xsd:simpleType>
    </xsd:element>
    <xsd:element name="Audit" ma:index="20" nillable="true" ma:displayName="Audit" ma:default="" ma:description="" ma:internalName="Audit" ma:readOnly="false">
      <xsd:simpleType>
        <xsd:restriction base="dms:Note"/>
      </xsd:simpleType>
    </xsd:element>
    <xsd:element name="Current_x0020_Security_x0020_Clearance_x0020_Level" ma:index="21" nillable="true" ma:displayName="Current Security Clearance Level" ma:default="" ma:description="" ma:internalName="Current_x0020_Security_x0020_Clearance_x0020_Level" ma:readOnly="false">
      <xsd:simpleType>
        <xsd:restriction base="dms:Text">
          <xsd:maxLength value="255"/>
        </xsd:restriction>
      </xsd:simpleType>
    </xsd:element>
    <xsd:element name="OpenText_x0020_Path" ma:index="22" nillable="true" ma:displayName="OpenText Path" ma:default="" ma:description="" ma:internalName="OpenText_x0020_Path" ma:readOnly="false">
      <xsd:simpleType>
        <xsd:restriction base="dms:Note"/>
      </xsd:simpleType>
    </xsd:element>
    <xsd:element name="Document_x0020_Type" ma:index="23" nillable="true" ma:displayName="Document Type" ma:default="" ma:description="" ma:internalName="Document_x0020_Type">
      <xsd:simpleType>
        <xsd:restriction base="dms:Note">
          <xsd:maxLength value="255"/>
        </xsd:restriction>
      </xsd:simpleType>
    </xsd:element>
    <xsd:element name="Sender" ma:index="24" nillable="true" ma:displayName="Sender" ma:description="" ma:internalName="Sender">
      <xsd:simpleType>
        <xsd:restriction base="dms:Text">
          <xsd:maxLength value="255"/>
        </xsd:restriction>
      </xsd:simpleType>
    </xsd:element>
    <xsd:element name="Receiver" ma:index="25" nillable="true" ma:displayName="Receiver" ma:description="" ma:internalName="Receiver">
      <xsd:simpleType>
        <xsd:restriction base="dms:Text">
          <xsd:maxLength value="255"/>
        </xsd:restriction>
      </xsd:simpleType>
    </xsd:element>
    <xsd:element name="Sender_x0020_Date" ma:index="26" nillable="true" ma:displayName="Sender Date" ma:default="" ma:description="" ma:format="DateTime" ma:internalName="Sender_x0020_Date">
      <xsd:simpleType>
        <xsd:restriction base="dms:DateTime"/>
      </xsd:simpleType>
    </xsd:element>
    <xsd:element name="Receiver_x0020_Date" ma:index="27" nillable="true" ma:displayName="Receiver Date" ma:default="" ma:description="" ma:format="DateTime" ma:internalName="Receiver_x0020_Date">
      <xsd:simpleType>
        <xsd:restriction base="dms:DateTime"/>
      </xsd:simpleType>
    </xsd:element>
    <xsd:element name="Carbon_x0020_Copy" ma:index="28" nillable="true" ma:displayName="Carbon Copy" ma:description="" ma:internalName="Carbon_x0020_Copy">
      <xsd:simpleType>
        <xsd:restriction base="dms:Text">
          <xsd:maxLength value="255"/>
        </xsd:restriction>
      </xsd:simpleType>
    </xsd:element>
    <xsd:element name="Email_x0020_Table" ma:index="30" nillable="true" ma:displayName="Email Table" ma:description="" ma:internalName="Email_x0020_Table">
      <xsd:simpleType>
        <xsd:restriction base="dms:Note">
          <xsd:maxLength value="255"/>
        </xsd:restriction>
      </xsd:simpleType>
    </xsd:element>
    <xsd:element name="Library" ma:index="31" nillable="true" ma:displayName="Library" ma:default="" ma:description="" ma:internalName="Library">
      <xsd:simpleType>
        <xsd:restriction base="dms:Text">
          <xsd:maxLength value="255"/>
        </xsd:restriction>
      </xsd:simpleType>
    </xsd:element>
    <xsd:element name="Legacy_x0020_DocID" ma:index="32" nillable="true" ma:displayName="Legacy DocID" ma:decimals="-1" ma:default="" ma:description="" ma:internalName="Legacy_x0020_DocID">
      <xsd:simpleType>
        <xsd:restriction base="dms:Number"/>
      </xsd:simpleType>
    </xsd:element>
    <xsd:element name="Legacy_x0020_Version" ma:index="33" nillable="true" ma:displayName="Legacy Version" ma:default="" ma:description="" ma:internalName="Legacy_x0020_Version">
      <xsd:simpleType>
        <xsd:restriction base="dms:Text">
          <xsd:maxLength value="255"/>
        </xsd:restriction>
      </xsd:simpleType>
    </xsd:element>
    <xsd:element name="Class" ma:index="34" nillable="true" ma:displayName="Class" ma:default="" ma:description="" ma:internalName="Class">
      <xsd:simpleType>
        <xsd:restriction base="dms:Text">
          <xsd:maxLength value="255"/>
        </xsd:restriction>
      </xsd:simpleType>
    </xsd:element>
    <xsd:element name="Author0" ma:index="35" nillable="true" ma:displayName="Author" ma:default="" ma:description="" ma:internalName="Author0">
      <xsd:simpleType>
        <xsd:restriction base="dms:Text">
          <xsd:maxLength value="255"/>
        </xsd:restriction>
      </xsd:simpleType>
    </xsd:element>
    <xsd:element name="Status" ma:index="36" nillable="true" ma:displayName="Status" ma:default="" ma:description="" ma:internalName="Status">
      <xsd:simpleType>
        <xsd:restriction base="dms:Text">
          <xsd:maxLength value="255"/>
        </xsd:restriction>
      </xsd:simpleType>
    </xsd:element>
    <xsd:element name="Year" ma:index="37" nillable="true" ma:displayName="Year" ma:default="" ma:description="" ma:internalName="Year">
      <xsd:simpleType>
        <xsd:restriction base="dms:Text">
          <xsd:maxLength value="255"/>
        </xsd:restriction>
      </xsd:simpleType>
    </xsd:element>
    <xsd:element name="Other_x0020_Details" ma:index="38" nillable="true" ma:displayName="Other Details" ma:default="" ma:description="" ma:internalName="Other_x0020_Details">
      <xsd:simpleType>
        <xsd:restriction base="dms:Text">
          <xsd:maxLength value="255"/>
        </xsd:restriction>
      </xsd:simpleType>
    </xsd:element>
    <xsd:element name="Other_x0020_Details_2" ma:index="39" nillable="true" ma:displayName="Other Details_2" ma:description="" ma:internalName="Other_x0020_Details_2">
      <xsd:simpleType>
        <xsd:restriction base="dms:Text">
          <xsd:maxLength value="255"/>
        </xsd:restriction>
      </xsd:simpleType>
    </xsd:element>
    <xsd:element name="MTS_x0020_Type" ma:index="40" nillable="true" ma:displayName="MTS Type" ma:default="" ma:description="" ma:internalName="MTS_x0020_Type">
      <xsd:simpleType>
        <xsd:restriction base="dms:Note">
          <xsd:maxLength value="255"/>
        </xsd:restriction>
      </xsd:simpleType>
    </xsd:element>
    <xsd:element name="MTS_x0020_ID" ma:index="41" nillable="true" ma:displayName="MTS ID" ma:default="" ma:description="" ma:internalName="MTS_x0020_ID">
      <xsd:simpleType>
        <xsd:restriction base="dms:Text">
          <xsd:maxLength value="255"/>
        </xsd:restriction>
      </xsd:simpleType>
    </xsd:element>
    <xsd:element name="Supplemental_x0020_Markings" ma:index="42" nillable="true" ma:displayName="Supplemental Markings" ma:description="" ma:internalName="Supplemental_x0020_Markings">
      <xsd:simpleType>
        <xsd:restriction base="dms:Note">
          <xsd:maxLength value="255"/>
        </xsd:restriction>
      </xsd:simpleType>
    </xsd:element>
    <xsd:element name="To" ma:index="43" nillable="true" ma:displayName="To" ma:default="" ma:description="" ma:internalName="To">
      <xsd:simpleType>
        <xsd:restriction base="dms:Note">
          <xsd:maxLength value="255"/>
        </xsd:restriction>
      </xsd:simpleType>
    </xsd:element>
    <xsd:element name="From" ma:index="44" nillable="true" ma:displayName="From" ma:default="" ma:description="" ma:internalName="From">
      <xsd:simpleType>
        <xsd:restriction base="dms:Text">
          <xsd:maxLength value="255"/>
        </xsd:restriction>
      </xsd:simpleType>
    </xsd:element>
    <xsd:element name="Sent_x002f_Received" ma:index="45" nillable="true" ma:displayName="Sent/Received" ma:default="" ma:description="" ma:internalName="Sent_x002f_Received">
      <xsd:simpleType>
        <xsd:restriction base="dms:Text">
          <xsd:maxLength value="255"/>
        </xsd:restriction>
      </xsd:simpleType>
    </xsd:element>
    <xsd:element name="Contract_x0020_Number" ma:index="46" nillable="true" ma:displayName="Contract Number" ma:default="" ma:description="" ma:internalName="Contract_x0020_Number">
      <xsd:simpleType>
        <xsd:restriction base="dms:Text">
          <xsd:maxLength value="255"/>
        </xsd:restriction>
      </xsd:simpleType>
    </xsd:element>
    <xsd:element name="Other_x0020_Details_3" ma:index="47" nillable="true" ma:displayName="Other Details_3" ma:description="" ma:internalName="Other_x0020_Details_3">
      <xsd:simpleType>
        <xsd:restriction base="dms:Text">
          <xsd:maxLength value="255"/>
        </xsd:restriction>
      </xsd:simpleType>
    </xsd:element>
    <xsd:element name="lcf76f155ced4ddcb4097134ff3c332f" ma:index="48"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29"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175561-8482-4E2C-84D5-90B04A31A2C3}">
  <ds:schemaRefs>
    <ds:schemaRef ds:uri="http://schemas.openxmlformats.org/officeDocument/2006/bibliography"/>
  </ds:schemaRefs>
</ds:datastoreItem>
</file>

<file path=customXml/itemProps2.xml><?xml version="1.0" encoding="utf-8"?>
<ds:datastoreItem xmlns:ds="http://schemas.openxmlformats.org/officeDocument/2006/customXml" ds:itemID="{B16ABC98-38F9-4D28-AD45-2D090D8DFD59}">
  <ds:schemaRefs>
    <ds:schemaRef ds:uri="http://purl.org/dc/terms/"/>
    <ds:schemaRef ds:uri="http://schemas.microsoft.com/sharepoint/v3"/>
    <ds:schemaRef ds:uri="http://schemas.microsoft.com/office/2006/documentManagement/types"/>
    <ds:schemaRef ds:uri="http://purl.org/dc/dcmitype/"/>
    <ds:schemaRef ds:uri="58a6f171-52cb-4404-b47d-af1c8daf8fd1"/>
    <ds:schemaRef ds:uri="http://purl.org/dc/elements/1.1/"/>
    <ds:schemaRef ds:uri="http://schemas.microsoft.com/office/infopath/2007/PartnerControls"/>
    <ds:schemaRef ds:uri="http://www.w3.org/XML/1998/namespace"/>
    <ds:schemaRef ds:uri="http://schemas.openxmlformats.org/package/2006/metadata/core-properties"/>
    <ds:schemaRef ds:uri="4a94300e-a927-4b92-9d3a-682523035cb6"/>
    <ds:schemaRef ds:uri="http://schemas.microsoft.com/office/2006/metadata/properties"/>
  </ds:schemaRefs>
</ds:datastoreItem>
</file>

<file path=customXml/itemProps3.xml><?xml version="1.0" encoding="utf-8"?>
<ds:datastoreItem xmlns:ds="http://schemas.openxmlformats.org/officeDocument/2006/customXml" ds:itemID="{0E7103AD-6AF7-4EE9-8496-ABA08634A204}">
  <ds:schemaRefs>
    <ds:schemaRef ds:uri="http://schemas.microsoft.com/sharepoint/events"/>
  </ds:schemaRefs>
</ds:datastoreItem>
</file>

<file path=customXml/itemProps4.xml><?xml version="1.0" encoding="utf-8"?>
<ds:datastoreItem xmlns:ds="http://schemas.openxmlformats.org/officeDocument/2006/customXml" ds:itemID="{5E20A8C6-98F2-4B8C-8B41-7D3C9B61007E}">
  <ds:schemaRefs>
    <ds:schemaRef ds:uri="http://schemas.microsoft.com/sharepoint/v3/contenttype/forms"/>
  </ds:schemaRefs>
</ds:datastoreItem>
</file>

<file path=customXml/itemProps5.xml><?xml version="1.0" encoding="utf-8"?>
<ds:datastoreItem xmlns:ds="http://schemas.openxmlformats.org/officeDocument/2006/customXml" ds:itemID="{5EB3F741-F939-4C26-BAD3-26D4B4D538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MfE report template</Template>
  <TotalTime>4</TotalTime>
  <Pages>140</Pages>
  <Words>46324</Words>
  <Characters>264051</Characters>
  <Application>Microsoft Office Word</Application>
  <DocSecurity>0</DocSecurity>
  <Lines>2200</Lines>
  <Paragraphs>619</Paragraphs>
  <ScaleCrop>false</ScaleCrop>
  <HeadingPairs>
    <vt:vector size="2" baseType="variant">
      <vt:variant>
        <vt:lpstr>Title</vt:lpstr>
      </vt:variant>
      <vt:variant>
        <vt:i4>1</vt:i4>
      </vt:variant>
    </vt:vector>
  </HeadingPairs>
  <TitlesOfParts>
    <vt:vector size="1" baseType="lpstr">
      <vt:lpstr>Measuring Emissions Detailed Guide 2020 FINAL.docx</vt:lpstr>
    </vt:vector>
  </TitlesOfParts>
  <Company>Ministry for the Environment</Company>
  <LinksUpToDate>false</LinksUpToDate>
  <CharactersWithSpaces>309756</CharactersWithSpaces>
  <SharedDoc>false</SharedDoc>
  <HLinks>
    <vt:vector size="2682" baseType="variant">
      <vt:variant>
        <vt:i4>3801203</vt:i4>
      </vt:variant>
      <vt:variant>
        <vt:i4>2019</vt:i4>
      </vt:variant>
      <vt:variant>
        <vt:i4>0</vt:i4>
      </vt:variant>
      <vt:variant>
        <vt:i4>5</vt:i4>
      </vt:variant>
      <vt:variant>
        <vt:lpwstr/>
      </vt:variant>
      <vt:variant>
        <vt:lpwstr>table7</vt:lpwstr>
      </vt:variant>
      <vt:variant>
        <vt:i4>3801203</vt:i4>
      </vt:variant>
      <vt:variant>
        <vt:i4>2016</vt:i4>
      </vt:variant>
      <vt:variant>
        <vt:i4>0</vt:i4>
      </vt:variant>
      <vt:variant>
        <vt:i4>5</vt:i4>
      </vt:variant>
      <vt:variant>
        <vt:lpwstr/>
      </vt:variant>
      <vt:variant>
        <vt:lpwstr>table7</vt:lpwstr>
      </vt:variant>
      <vt:variant>
        <vt:i4>4063347</vt:i4>
      </vt:variant>
      <vt:variant>
        <vt:i4>2010</vt:i4>
      </vt:variant>
      <vt:variant>
        <vt:i4>0</vt:i4>
      </vt:variant>
      <vt:variant>
        <vt:i4>5</vt:i4>
      </vt:variant>
      <vt:variant>
        <vt:lpwstr/>
      </vt:variant>
      <vt:variant>
        <vt:lpwstr>table3</vt:lpwstr>
      </vt:variant>
      <vt:variant>
        <vt:i4>983117</vt:i4>
      </vt:variant>
      <vt:variant>
        <vt:i4>2004</vt:i4>
      </vt:variant>
      <vt:variant>
        <vt:i4>0</vt:i4>
      </vt:variant>
      <vt:variant>
        <vt:i4>5</vt:i4>
      </vt:variant>
      <vt:variant>
        <vt:lpwstr>https://environment.govt.nz/publications/new-zealands-greenhouse-gas-inventory-1990-2020/</vt:lpwstr>
      </vt:variant>
      <vt:variant>
        <vt:lpwstr/>
      </vt:variant>
      <vt:variant>
        <vt:i4>4128770</vt:i4>
      </vt:variant>
      <vt:variant>
        <vt:i4>1998</vt:i4>
      </vt:variant>
      <vt:variant>
        <vt:i4>0</vt:i4>
      </vt:variant>
      <vt:variant>
        <vt:i4>5</vt:i4>
      </vt:variant>
      <vt:variant>
        <vt:lpwstr/>
      </vt:variant>
      <vt:variant>
        <vt:lpwstr>_How_to_quantify</vt:lpwstr>
      </vt:variant>
      <vt:variant>
        <vt:i4>4128770</vt:i4>
      </vt:variant>
      <vt:variant>
        <vt:i4>1986</vt:i4>
      </vt:variant>
      <vt:variant>
        <vt:i4>0</vt:i4>
      </vt:variant>
      <vt:variant>
        <vt:i4>5</vt:i4>
      </vt:variant>
      <vt:variant>
        <vt:lpwstr/>
      </vt:variant>
      <vt:variant>
        <vt:lpwstr>_How_to_quantify</vt:lpwstr>
      </vt:variant>
      <vt:variant>
        <vt:i4>4063295</vt:i4>
      </vt:variant>
      <vt:variant>
        <vt:i4>1977</vt:i4>
      </vt:variant>
      <vt:variant>
        <vt:i4>0</vt:i4>
      </vt:variant>
      <vt:variant>
        <vt:i4>5</vt:i4>
      </vt:variant>
      <vt:variant>
        <vt:lpwstr>https://ghgprotocol.org/corporate-standard</vt:lpwstr>
      </vt:variant>
      <vt:variant>
        <vt:lpwstr/>
      </vt:variant>
      <vt:variant>
        <vt:i4>6488124</vt:i4>
      </vt:variant>
      <vt:variant>
        <vt:i4>1974</vt:i4>
      </vt:variant>
      <vt:variant>
        <vt:i4>0</vt:i4>
      </vt:variant>
      <vt:variant>
        <vt:i4>5</vt:i4>
      </vt:variant>
      <vt:variant>
        <vt:lpwstr>https://www.iso.org/standard/66453.html</vt:lpwstr>
      </vt:variant>
      <vt:variant>
        <vt:lpwstr/>
      </vt:variant>
      <vt:variant>
        <vt:i4>983117</vt:i4>
      </vt:variant>
      <vt:variant>
        <vt:i4>1971</vt:i4>
      </vt:variant>
      <vt:variant>
        <vt:i4>0</vt:i4>
      </vt:variant>
      <vt:variant>
        <vt:i4>5</vt:i4>
      </vt:variant>
      <vt:variant>
        <vt:lpwstr>https://environment.govt.nz/publications/new-zealands-greenhouse-gas-inventory-1990-2020/</vt:lpwstr>
      </vt:variant>
      <vt:variant>
        <vt:lpwstr/>
      </vt:variant>
      <vt:variant>
        <vt:i4>983117</vt:i4>
      </vt:variant>
      <vt:variant>
        <vt:i4>1968</vt:i4>
      </vt:variant>
      <vt:variant>
        <vt:i4>0</vt:i4>
      </vt:variant>
      <vt:variant>
        <vt:i4>5</vt:i4>
      </vt:variant>
      <vt:variant>
        <vt:lpwstr>https://environment.govt.nz/publications/new-zealands-greenhouse-gas-inventory-1990-2020/</vt:lpwstr>
      </vt:variant>
      <vt:variant>
        <vt:lpwstr/>
      </vt:variant>
      <vt:variant>
        <vt:i4>4128770</vt:i4>
      </vt:variant>
      <vt:variant>
        <vt:i4>1962</vt:i4>
      </vt:variant>
      <vt:variant>
        <vt:i4>0</vt:i4>
      </vt:variant>
      <vt:variant>
        <vt:i4>5</vt:i4>
      </vt:variant>
      <vt:variant>
        <vt:lpwstr/>
      </vt:variant>
      <vt:variant>
        <vt:lpwstr>_How_to_quantify</vt:lpwstr>
      </vt:variant>
      <vt:variant>
        <vt:i4>655421</vt:i4>
      </vt:variant>
      <vt:variant>
        <vt:i4>1956</vt:i4>
      </vt:variant>
      <vt:variant>
        <vt:i4>0</vt:i4>
      </vt:variant>
      <vt:variant>
        <vt:i4>5</vt:i4>
      </vt:variant>
      <vt:variant>
        <vt:lpwstr/>
      </vt:variant>
      <vt:variant>
        <vt:lpwstr>_Alternative_methods_and</vt:lpwstr>
      </vt:variant>
      <vt:variant>
        <vt:i4>983117</vt:i4>
      </vt:variant>
      <vt:variant>
        <vt:i4>1953</vt:i4>
      </vt:variant>
      <vt:variant>
        <vt:i4>0</vt:i4>
      </vt:variant>
      <vt:variant>
        <vt:i4>5</vt:i4>
      </vt:variant>
      <vt:variant>
        <vt:lpwstr>https://environment.govt.nz/publications/new-zealands-greenhouse-gas-inventory-1990-2020/</vt:lpwstr>
      </vt:variant>
      <vt:variant>
        <vt:lpwstr/>
      </vt:variant>
      <vt:variant>
        <vt:i4>983117</vt:i4>
      </vt:variant>
      <vt:variant>
        <vt:i4>1950</vt:i4>
      </vt:variant>
      <vt:variant>
        <vt:i4>0</vt:i4>
      </vt:variant>
      <vt:variant>
        <vt:i4>5</vt:i4>
      </vt:variant>
      <vt:variant>
        <vt:lpwstr>https://environment.govt.nz/publications/new-zealands-greenhouse-gas-inventory-1990-2020/</vt:lpwstr>
      </vt:variant>
      <vt:variant>
        <vt:lpwstr/>
      </vt:variant>
      <vt:variant>
        <vt:i4>983117</vt:i4>
      </vt:variant>
      <vt:variant>
        <vt:i4>1944</vt:i4>
      </vt:variant>
      <vt:variant>
        <vt:i4>0</vt:i4>
      </vt:variant>
      <vt:variant>
        <vt:i4>5</vt:i4>
      </vt:variant>
      <vt:variant>
        <vt:lpwstr>https://environment.govt.nz/publications/new-zealands-greenhouse-gas-inventory-1990-2020/</vt:lpwstr>
      </vt:variant>
      <vt:variant>
        <vt:lpwstr/>
      </vt:variant>
      <vt:variant>
        <vt:i4>983117</vt:i4>
      </vt:variant>
      <vt:variant>
        <vt:i4>1938</vt:i4>
      </vt:variant>
      <vt:variant>
        <vt:i4>0</vt:i4>
      </vt:variant>
      <vt:variant>
        <vt:i4>5</vt:i4>
      </vt:variant>
      <vt:variant>
        <vt:lpwstr>https://environment.govt.nz/publications/new-zealands-greenhouse-gas-inventory-1990-2020/</vt:lpwstr>
      </vt:variant>
      <vt:variant>
        <vt:lpwstr/>
      </vt:variant>
      <vt:variant>
        <vt:i4>4128770</vt:i4>
      </vt:variant>
      <vt:variant>
        <vt:i4>1935</vt:i4>
      </vt:variant>
      <vt:variant>
        <vt:i4>0</vt:i4>
      </vt:variant>
      <vt:variant>
        <vt:i4>5</vt:i4>
      </vt:variant>
      <vt:variant>
        <vt:lpwstr/>
      </vt:variant>
      <vt:variant>
        <vt:lpwstr>_How_to_quantify</vt:lpwstr>
      </vt:variant>
      <vt:variant>
        <vt:i4>4849761</vt:i4>
      </vt:variant>
      <vt:variant>
        <vt:i4>1932</vt:i4>
      </vt:variant>
      <vt:variant>
        <vt:i4>0</vt:i4>
      </vt:variant>
      <vt:variant>
        <vt:i4>5</vt:i4>
      </vt:variant>
      <vt:variant>
        <vt:lpwstr/>
      </vt:variant>
      <vt:variant>
        <vt:lpwstr>_Manure_management_emission</vt:lpwstr>
      </vt:variant>
      <vt:variant>
        <vt:i4>983117</vt:i4>
      </vt:variant>
      <vt:variant>
        <vt:i4>1926</vt:i4>
      </vt:variant>
      <vt:variant>
        <vt:i4>0</vt:i4>
      </vt:variant>
      <vt:variant>
        <vt:i4>5</vt:i4>
      </vt:variant>
      <vt:variant>
        <vt:lpwstr>https://environment.govt.nz/publications/new-zealands-greenhouse-gas-inventory-1990-2020/</vt:lpwstr>
      </vt:variant>
      <vt:variant>
        <vt:lpwstr/>
      </vt:variant>
      <vt:variant>
        <vt:i4>3997796</vt:i4>
      </vt:variant>
      <vt:variant>
        <vt:i4>1923</vt:i4>
      </vt:variant>
      <vt:variant>
        <vt:i4>0</vt:i4>
      </vt:variant>
      <vt:variant>
        <vt:i4>5</vt:i4>
      </vt:variant>
      <vt:variant>
        <vt:lpwstr>https://beeflambnz.com/ghg-calculator-info</vt:lpwstr>
      </vt:variant>
      <vt:variant>
        <vt:lpwstr/>
      </vt:variant>
      <vt:variant>
        <vt:i4>7077934</vt:i4>
      </vt:variant>
      <vt:variant>
        <vt:i4>1920</vt:i4>
      </vt:variant>
      <vt:variant>
        <vt:i4>0</vt:i4>
      </vt:variant>
      <vt:variant>
        <vt:i4>5</vt:i4>
      </vt:variant>
      <vt:variant>
        <vt:lpwstr>https://www.overseer.org.nz/overseerfm</vt:lpwstr>
      </vt:variant>
      <vt:variant>
        <vt:lpwstr/>
      </vt:variant>
      <vt:variant>
        <vt:i4>7405624</vt:i4>
      </vt:variant>
      <vt:variant>
        <vt:i4>1917</vt:i4>
      </vt:variant>
      <vt:variant>
        <vt:i4>0</vt:i4>
      </vt:variant>
      <vt:variant>
        <vt:i4>5</vt:i4>
      </vt:variant>
      <vt:variant>
        <vt:lpwstr>https://environment.govt.nz/what-you-can-do/agricultural-emissions-calculator/</vt:lpwstr>
      </vt:variant>
      <vt:variant>
        <vt:lpwstr/>
      </vt:variant>
      <vt:variant>
        <vt:i4>983117</vt:i4>
      </vt:variant>
      <vt:variant>
        <vt:i4>1911</vt:i4>
      </vt:variant>
      <vt:variant>
        <vt:i4>0</vt:i4>
      </vt:variant>
      <vt:variant>
        <vt:i4>5</vt:i4>
      </vt:variant>
      <vt:variant>
        <vt:lpwstr>https://environment.govt.nz/publications/new-zealands-greenhouse-gas-inventory-1990-2020/</vt:lpwstr>
      </vt:variant>
      <vt:variant>
        <vt:lpwstr/>
      </vt:variant>
      <vt:variant>
        <vt:i4>983117</vt:i4>
      </vt:variant>
      <vt:variant>
        <vt:i4>1908</vt:i4>
      </vt:variant>
      <vt:variant>
        <vt:i4>0</vt:i4>
      </vt:variant>
      <vt:variant>
        <vt:i4>5</vt:i4>
      </vt:variant>
      <vt:variant>
        <vt:lpwstr>https://environment.govt.nz/publications/new-zealands-greenhouse-gas-inventory-1990-2020/</vt:lpwstr>
      </vt:variant>
      <vt:variant>
        <vt:lpwstr/>
      </vt:variant>
      <vt:variant>
        <vt:i4>4128770</vt:i4>
      </vt:variant>
      <vt:variant>
        <vt:i4>1905</vt:i4>
      </vt:variant>
      <vt:variant>
        <vt:i4>0</vt:i4>
      </vt:variant>
      <vt:variant>
        <vt:i4>5</vt:i4>
      </vt:variant>
      <vt:variant>
        <vt:lpwstr/>
      </vt:variant>
      <vt:variant>
        <vt:lpwstr>_How_to_quantify</vt:lpwstr>
      </vt:variant>
      <vt:variant>
        <vt:i4>1966092</vt:i4>
      </vt:variant>
      <vt:variant>
        <vt:i4>1902</vt:i4>
      </vt:variant>
      <vt:variant>
        <vt:i4>0</vt:i4>
      </vt:variant>
      <vt:variant>
        <vt:i4>5</vt:i4>
      </vt:variant>
      <vt:variant>
        <vt:lpwstr/>
      </vt:variant>
      <vt:variant>
        <vt:lpwstr>_Enteric_fermentation</vt:lpwstr>
      </vt:variant>
      <vt:variant>
        <vt:i4>1310750</vt:i4>
      </vt:variant>
      <vt:variant>
        <vt:i4>1896</vt:i4>
      </vt:variant>
      <vt:variant>
        <vt:i4>0</vt:i4>
      </vt:variant>
      <vt:variant>
        <vt:i4>5</vt:i4>
      </vt:variant>
      <vt:variant>
        <vt:lpwstr>https://www.agmatters.nz/goals/know-your-number/</vt:lpwstr>
      </vt:variant>
      <vt:variant>
        <vt:lpwstr/>
      </vt:variant>
      <vt:variant>
        <vt:i4>4128770</vt:i4>
      </vt:variant>
      <vt:variant>
        <vt:i4>1893</vt:i4>
      </vt:variant>
      <vt:variant>
        <vt:i4>0</vt:i4>
      </vt:variant>
      <vt:variant>
        <vt:i4>5</vt:i4>
      </vt:variant>
      <vt:variant>
        <vt:lpwstr/>
      </vt:variant>
      <vt:variant>
        <vt:lpwstr>_How_to_quantify</vt:lpwstr>
      </vt:variant>
      <vt:variant>
        <vt:i4>786449</vt:i4>
      </vt:variant>
      <vt:variant>
        <vt:i4>1890</vt:i4>
      </vt:variant>
      <vt:variant>
        <vt:i4>0</vt:i4>
      </vt:variant>
      <vt:variant>
        <vt:i4>5</vt:i4>
      </vt:variant>
      <vt:variant>
        <vt:lpwstr>https://lris.scinfo.org.nz/layer/48423-lcdb-v41-land-cover-database-version-41-mainland-new-zealand/</vt:lpwstr>
      </vt:variant>
      <vt:variant>
        <vt:lpwstr/>
      </vt:variant>
      <vt:variant>
        <vt:i4>6029379</vt:i4>
      </vt:variant>
      <vt:variant>
        <vt:i4>1887</vt:i4>
      </vt:variant>
      <vt:variant>
        <vt:i4>0</vt:i4>
      </vt:variant>
      <vt:variant>
        <vt:i4>5</vt:i4>
      </vt:variant>
      <vt:variant>
        <vt:lpwstr>https://data.mfe.govt.nz/</vt:lpwstr>
      </vt:variant>
      <vt:variant>
        <vt:lpwstr/>
      </vt:variant>
      <vt:variant>
        <vt:i4>786449</vt:i4>
      </vt:variant>
      <vt:variant>
        <vt:i4>1884</vt:i4>
      </vt:variant>
      <vt:variant>
        <vt:i4>0</vt:i4>
      </vt:variant>
      <vt:variant>
        <vt:i4>5</vt:i4>
      </vt:variant>
      <vt:variant>
        <vt:lpwstr>https://lris.scinfo.org.nz/layer/48423-lcdb-v41-land-cover-database-version-41-mainland-new-zealand/</vt:lpwstr>
      </vt:variant>
      <vt:variant>
        <vt:lpwstr/>
      </vt:variant>
      <vt:variant>
        <vt:i4>6029379</vt:i4>
      </vt:variant>
      <vt:variant>
        <vt:i4>1881</vt:i4>
      </vt:variant>
      <vt:variant>
        <vt:i4>0</vt:i4>
      </vt:variant>
      <vt:variant>
        <vt:i4>5</vt:i4>
      </vt:variant>
      <vt:variant>
        <vt:lpwstr>https://data.mfe.govt.nz/</vt:lpwstr>
      </vt:variant>
      <vt:variant>
        <vt:lpwstr/>
      </vt:variant>
      <vt:variant>
        <vt:i4>4063295</vt:i4>
      </vt:variant>
      <vt:variant>
        <vt:i4>1872</vt:i4>
      </vt:variant>
      <vt:variant>
        <vt:i4>0</vt:i4>
      </vt:variant>
      <vt:variant>
        <vt:i4>5</vt:i4>
      </vt:variant>
      <vt:variant>
        <vt:lpwstr>https://ghgprotocol.org/corporate-standard</vt:lpwstr>
      </vt:variant>
      <vt:variant>
        <vt:lpwstr/>
      </vt:variant>
      <vt:variant>
        <vt:i4>6488124</vt:i4>
      </vt:variant>
      <vt:variant>
        <vt:i4>1869</vt:i4>
      </vt:variant>
      <vt:variant>
        <vt:i4>0</vt:i4>
      </vt:variant>
      <vt:variant>
        <vt:i4>5</vt:i4>
      </vt:variant>
      <vt:variant>
        <vt:lpwstr>https://www.iso.org/standard/66453.html</vt:lpwstr>
      </vt:variant>
      <vt:variant>
        <vt:lpwstr/>
      </vt:variant>
      <vt:variant>
        <vt:i4>983117</vt:i4>
      </vt:variant>
      <vt:variant>
        <vt:i4>1866</vt:i4>
      </vt:variant>
      <vt:variant>
        <vt:i4>0</vt:i4>
      </vt:variant>
      <vt:variant>
        <vt:i4>5</vt:i4>
      </vt:variant>
      <vt:variant>
        <vt:lpwstr>https://environment.govt.nz/publications/new-zealands-greenhouse-gas-inventory-1990-2020/</vt:lpwstr>
      </vt:variant>
      <vt:variant>
        <vt:lpwstr/>
      </vt:variant>
      <vt:variant>
        <vt:i4>983117</vt:i4>
      </vt:variant>
      <vt:variant>
        <vt:i4>1863</vt:i4>
      </vt:variant>
      <vt:variant>
        <vt:i4>0</vt:i4>
      </vt:variant>
      <vt:variant>
        <vt:i4>5</vt:i4>
      </vt:variant>
      <vt:variant>
        <vt:lpwstr>https://environment.govt.nz/publications/new-zealands-greenhouse-gas-inventory-1990-2020/</vt:lpwstr>
      </vt:variant>
      <vt:variant>
        <vt:lpwstr/>
      </vt:variant>
      <vt:variant>
        <vt:i4>983117</vt:i4>
      </vt:variant>
      <vt:variant>
        <vt:i4>1860</vt:i4>
      </vt:variant>
      <vt:variant>
        <vt:i4>0</vt:i4>
      </vt:variant>
      <vt:variant>
        <vt:i4>5</vt:i4>
      </vt:variant>
      <vt:variant>
        <vt:lpwstr>https://environment.govt.nz/publications/new-zealands-greenhouse-gas-inventory-1990-2020/</vt:lpwstr>
      </vt:variant>
      <vt:variant>
        <vt:lpwstr/>
      </vt:variant>
      <vt:variant>
        <vt:i4>7405624</vt:i4>
      </vt:variant>
      <vt:variant>
        <vt:i4>1857</vt:i4>
      </vt:variant>
      <vt:variant>
        <vt:i4>0</vt:i4>
      </vt:variant>
      <vt:variant>
        <vt:i4>5</vt:i4>
      </vt:variant>
      <vt:variant>
        <vt:lpwstr>https://environment.govt.nz/what-you-can-do/agricultural-emissions-calculator/</vt:lpwstr>
      </vt:variant>
      <vt:variant>
        <vt:lpwstr/>
      </vt:variant>
      <vt:variant>
        <vt:i4>983117</vt:i4>
      </vt:variant>
      <vt:variant>
        <vt:i4>1854</vt:i4>
      </vt:variant>
      <vt:variant>
        <vt:i4>0</vt:i4>
      </vt:variant>
      <vt:variant>
        <vt:i4>5</vt:i4>
      </vt:variant>
      <vt:variant>
        <vt:lpwstr>https://environment.govt.nz/publications/new-zealands-greenhouse-gas-inventory-1990-2020/</vt:lpwstr>
      </vt:variant>
      <vt:variant>
        <vt:lpwstr/>
      </vt:variant>
      <vt:variant>
        <vt:i4>983117</vt:i4>
      </vt:variant>
      <vt:variant>
        <vt:i4>1851</vt:i4>
      </vt:variant>
      <vt:variant>
        <vt:i4>0</vt:i4>
      </vt:variant>
      <vt:variant>
        <vt:i4>5</vt:i4>
      </vt:variant>
      <vt:variant>
        <vt:lpwstr>https://environment.govt.nz/publications/new-zealands-greenhouse-gas-inventory-1990-2020/</vt:lpwstr>
      </vt:variant>
      <vt:variant>
        <vt:lpwstr/>
      </vt:variant>
      <vt:variant>
        <vt:i4>4128770</vt:i4>
      </vt:variant>
      <vt:variant>
        <vt:i4>1833</vt:i4>
      </vt:variant>
      <vt:variant>
        <vt:i4>0</vt:i4>
      </vt:variant>
      <vt:variant>
        <vt:i4>5</vt:i4>
      </vt:variant>
      <vt:variant>
        <vt:lpwstr/>
      </vt:variant>
      <vt:variant>
        <vt:lpwstr>_How_to_quantify</vt:lpwstr>
      </vt:variant>
      <vt:variant>
        <vt:i4>8192069</vt:i4>
      </vt:variant>
      <vt:variant>
        <vt:i4>1818</vt:i4>
      </vt:variant>
      <vt:variant>
        <vt:i4>0</vt:i4>
      </vt:variant>
      <vt:variant>
        <vt:i4>5</vt:i4>
      </vt:variant>
      <vt:variant>
        <vt:lpwstr/>
      </vt:variant>
      <vt:variant>
        <vt:lpwstr>_Freight_transport_emission</vt:lpwstr>
      </vt:variant>
      <vt:variant>
        <vt:i4>524394</vt:i4>
      </vt:variant>
      <vt:variant>
        <vt:i4>1815</vt:i4>
      </vt:variant>
      <vt:variant>
        <vt:i4>0</vt:i4>
      </vt:variant>
      <vt:variant>
        <vt:i4>5</vt:i4>
      </vt:variant>
      <vt:variant>
        <vt:lpwstr/>
      </vt:variant>
      <vt:variant>
        <vt:lpwstr>_Appendix_C:_Landfills</vt:lpwstr>
      </vt:variant>
      <vt:variant>
        <vt:i4>852063</vt:i4>
      </vt:variant>
      <vt:variant>
        <vt:i4>1809</vt:i4>
      </vt:variant>
      <vt:variant>
        <vt:i4>0</vt:i4>
      </vt:variant>
      <vt:variant>
        <vt:i4>5</vt:i4>
      </vt:variant>
      <vt:variant>
        <vt:lpwstr>https://www.gov.uk/government/collections/government-conversion-factors-for-company-reporting</vt:lpwstr>
      </vt:variant>
      <vt:variant>
        <vt:lpwstr/>
      </vt:variant>
      <vt:variant>
        <vt:i4>2293803</vt:i4>
      </vt:variant>
      <vt:variant>
        <vt:i4>1806</vt:i4>
      </vt:variant>
      <vt:variant>
        <vt:i4>0</vt:i4>
      </vt:variant>
      <vt:variant>
        <vt:i4>5</vt:i4>
      </vt:variant>
      <vt:variant>
        <vt:lpwstr>http://www.ghgprotocol.org/standards/corporate-standard</vt:lpwstr>
      </vt:variant>
      <vt:variant>
        <vt:lpwstr/>
      </vt:variant>
      <vt:variant>
        <vt:i4>6881320</vt:i4>
      </vt:variant>
      <vt:variant>
        <vt:i4>1803</vt:i4>
      </vt:variant>
      <vt:variant>
        <vt:i4>0</vt:i4>
      </vt:variant>
      <vt:variant>
        <vt:i4>5</vt:i4>
      </vt:variant>
      <vt:variant>
        <vt:lpwstr>https://www.mbie.govt.nz/building-and-energy/building/building-for-climate-change/</vt:lpwstr>
      </vt:variant>
      <vt:variant>
        <vt:lpwstr/>
      </vt:variant>
      <vt:variant>
        <vt:i4>3997812</vt:i4>
      </vt:variant>
      <vt:variant>
        <vt:i4>1797</vt:i4>
      </vt:variant>
      <vt:variant>
        <vt:i4>0</vt:i4>
      </vt:variant>
      <vt:variant>
        <vt:i4>5</vt:i4>
      </vt:variant>
      <vt:variant>
        <vt:lpwstr>https://environment.govt.nz/publications/greenhouse-gas-emissions-from-industrial-wastewater-treatment-inventory-basis-review/</vt:lpwstr>
      </vt:variant>
      <vt:variant>
        <vt:lpwstr/>
      </vt:variant>
      <vt:variant>
        <vt:i4>3997812</vt:i4>
      </vt:variant>
      <vt:variant>
        <vt:i4>1794</vt:i4>
      </vt:variant>
      <vt:variant>
        <vt:i4>0</vt:i4>
      </vt:variant>
      <vt:variant>
        <vt:i4>5</vt:i4>
      </vt:variant>
      <vt:variant>
        <vt:lpwstr>https://environment.govt.nz/publications/greenhouse-gas-emissions-from-industrial-wastewater-treatment-inventory-basis-review/</vt:lpwstr>
      </vt:variant>
      <vt:variant>
        <vt:lpwstr/>
      </vt:variant>
      <vt:variant>
        <vt:i4>3997812</vt:i4>
      </vt:variant>
      <vt:variant>
        <vt:i4>1791</vt:i4>
      </vt:variant>
      <vt:variant>
        <vt:i4>0</vt:i4>
      </vt:variant>
      <vt:variant>
        <vt:i4>5</vt:i4>
      </vt:variant>
      <vt:variant>
        <vt:lpwstr>https://environment.govt.nz/publications/greenhouse-gas-emissions-from-industrial-wastewater-treatment-inventory-basis-review/</vt:lpwstr>
      </vt:variant>
      <vt:variant>
        <vt:lpwstr/>
      </vt:variant>
      <vt:variant>
        <vt:i4>3997812</vt:i4>
      </vt:variant>
      <vt:variant>
        <vt:i4>1785</vt:i4>
      </vt:variant>
      <vt:variant>
        <vt:i4>0</vt:i4>
      </vt:variant>
      <vt:variant>
        <vt:i4>5</vt:i4>
      </vt:variant>
      <vt:variant>
        <vt:lpwstr>https://environment.govt.nz/publications/greenhouse-gas-emissions-from-industrial-wastewater-treatment-inventory-basis-review/</vt:lpwstr>
      </vt:variant>
      <vt:variant>
        <vt:lpwstr/>
      </vt:variant>
      <vt:variant>
        <vt:i4>3997812</vt:i4>
      </vt:variant>
      <vt:variant>
        <vt:i4>1782</vt:i4>
      </vt:variant>
      <vt:variant>
        <vt:i4>0</vt:i4>
      </vt:variant>
      <vt:variant>
        <vt:i4>5</vt:i4>
      </vt:variant>
      <vt:variant>
        <vt:lpwstr>https://environment.govt.nz/publications/greenhouse-gas-emissions-from-industrial-wastewater-treatment-inventory-basis-review/</vt:lpwstr>
      </vt:variant>
      <vt:variant>
        <vt:lpwstr/>
      </vt:variant>
      <vt:variant>
        <vt:i4>983117</vt:i4>
      </vt:variant>
      <vt:variant>
        <vt:i4>1773</vt:i4>
      </vt:variant>
      <vt:variant>
        <vt:i4>0</vt:i4>
      </vt:variant>
      <vt:variant>
        <vt:i4>5</vt:i4>
      </vt:variant>
      <vt:variant>
        <vt:lpwstr>https://environment.govt.nz/publications/new-zealands-greenhouse-gas-inventory-1990-2020/</vt:lpwstr>
      </vt:variant>
      <vt:variant>
        <vt:lpwstr/>
      </vt:variant>
      <vt:variant>
        <vt:i4>4128770</vt:i4>
      </vt:variant>
      <vt:variant>
        <vt:i4>1770</vt:i4>
      </vt:variant>
      <vt:variant>
        <vt:i4>0</vt:i4>
      </vt:variant>
      <vt:variant>
        <vt:i4>5</vt:i4>
      </vt:variant>
      <vt:variant>
        <vt:lpwstr/>
      </vt:variant>
      <vt:variant>
        <vt:lpwstr>_How_to_quantify</vt:lpwstr>
      </vt:variant>
      <vt:variant>
        <vt:i4>4128770</vt:i4>
      </vt:variant>
      <vt:variant>
        <vt:i4>1761</vt:i4>
      </vt:variant>
      <vt:variant>
        <vt:i4>0</vt:i4>
      </vt:variant>
      <vt:variant>
        <vt:i4>5</vt:i4>
      </vt:variant>
      <vt:variant>
        <vt:lpwstr/>
      </vt:variant>
      <vt:variant>
        <vt:lpwstr>_How_to_quantify</vt:lpwstr>
      </vt:variant>
      <vt:variant>
        <vt:i4>983117</vt:i4>
      </vt:variant>
      <vt:variant>
        <vt:i4>1755</vt:i4>
      </vt:variant>
      <vt:variant>
        <vt:i4>0</vt:i4>
      </vt:variant>
      <vt:variant>
        <vt:i4>5</vt:i4>
      </vt:variant>
      <vt:variant>
        <vt:lpwstr>https://environment.govt.nz/publications/new-zealands-greenhouse-gas-inventory-1990-2020/</vt:lpwstr>
      </vt:variant>
      <vt:variant>
        <vt:lpwstr/>
      </vt:variant>
      <vt:variant>
        <vt:i4>262263</vt:i4>
      </vt:variant>
      <vt:variant>
        <vt:i4>1752</vt:i4>
      </vt:variant>
      <vt:variant>
        <vt:i4>0</vt:i4>
      </vt:variant>
      <vt:variant>
        <vt:i4>5</vt:i4>
      </vt:variant>
      <vt:variant>
        <vt:lpwstr>https://assets.publishing.service.gov.uk/government/uploads/system/uploads/attachment_data/file/1049346/2021-ghg-conversion-factors-methodology.pdf</vt:lpwstr>
      </vt:variant>
      <vt:variant>
        <vt:lpwstr/>
      </vt:variant>
      <vt:variant>
        <vt:i4>1638446</vt:i4>
      </vt:variant>
      <vt:variant>
        <vt:i4>1749</vt:i4>
      </vt:variant>
      <vt:variant>
        <vt:i4>0</vt:i4>
      </vt:variant>
      <vt:variant>
        <vt:i4>5</vt:i4>
      </vt:variant>
      <vt:variant>
        <vt:lpwstr>https://www.cedelft.eu/publicatie/stream_freight_transport_2016/1855</vt:lpwstr>
      </vt:variant>
      <vt:variant>
        <vt:lpwstr/>
      </vt:variant>
      <vt:variant>
        <vt:i4>6684778</vt:i4>
      </vt:variant>
      <vt:variant>
        <vt:i4>1746</vt:i4>
      </vt:variant>
      <vt:variant>
        <vt:i4>0</vt:i4>
      </vt:variant>
      <vt:variant>
        <vt:i4>5</vt:i4>
      </vt:variant>
      <vt:variant>
        <vt:lpwstr>https://www.gov.uk/government/publications/greenhouse-gas-reporting-conversion-factors-2021</vt:lpwstr>
      </vt:variant>
      <vt:variant>
        <vt:lpwstr/>
      </vt:variant>
      <vt:variant>
        <vt:i4>6684778</vt:i4>
      </vt:variant>
      <vt:variant>
        <vt:i4>1743</vt:i4>
      </vt:variant>
      <vt:variant>
        <vt:i4>0</vt:i4>
      </vt:variant>
      <vt:variant>
        <vt:i4>5</vt:i4>
      </vt:variant>
      <vt:variant>
        <vt:lpwstr>https://www.gov.uk/government/publications/greenhouse-gas-reporting-conversion-factors-2021</vt:lpwstr>
      </vt:variant>
      <vt:variant>
        <vt:lpwstr/>
      </vt:variant>
      <vt:variant>
        <vt:i4>4128770</vt:i4>
      </vt:variant>
      <vt:variant>
        <vt:i4>1737</vt:i4>
      </vt:variant>
      <vt:variant>
        <vt:i4>0</vt:i4>
      </vt:variant>
      <vt:variant>
        <vt:i4>5</vt:i4>
      </vt:variant>
      <vt:variant>
        <vt:lpwstr/>
      </vt:variant>
      <vt:variant>
        <vt:lpwstr>_How_to_quantify</vt:lpwstr>
      </vt:variant>
      <vt:variant>
        <vt:i4>6684778</vt:i4>
      </vt:variant>
      <vt:variant>
        <vt:i4>1728</vt:i4>
      </vt:variant>
      <vt:variant>
        <vt:i4>0</vt:i4>
      </vt:variant>
      <vt:variant>
        <vt:i4>5</vt:i4>
      </vt:variant>
      <vt:variant>
        <vt:lpwstr>https://www.gov.uk/government/publications/greenhouse-gas-reporting-conversion-factors-2021</vt:lpwstr>
      </vt:variant>
      <vt:variant>
        <vt:lpwstr/>
      </vt:variant>
      <vt:variant>
        <vt:i4>262263</vt:i4>
      </vt:variant>
      <vt:variant>
        <vt:i4>1725</vt:i4>
      </vt:variant>
      <vt:variant>
        <vt:i4>0</vt:i4>
      </vt:variant>
      <vt:variant>
        <vt:i4>5</vt:i4>
      </vt:variant>
      <vt:variant>
        <vt:lpwstr>https://assets.publishing.service.gov.uk/government/uploads/system/uploads/attachment_data/file/1049346/2021-ghg-conversion-factors-methodology.pdf</vt:lpwstr>
      </vt:variant>
      <vt:variant>
        <vt:lpwstr/>
      </vt:variant>
      <vt:variant>
        <vt:i4>262263</vt:i4>
      </vt:variant>
      <vt:variant>
        <vt:i4>1722</vt:i4>
      </vt:variant>
      <vt:variant>
        <vt:i4>0</vt:i4>
      </vt:variant>
      <vt:variant>
        <vt:i4>5</vt:i4>
      </vt:variant>
      <vt:variant>
        <vt:lpwstr>https://assets.publishing.service.gov.uk/government/uploads/system/uploads/attachment_data/file/1049346/2021-ghg-conversion-factors-methodology.pdf</vt:lpwstr>
      </vt:variant>
      <vt:variant>
        <vt:lpwstr/>
      </vt:variant>
      <vt:variant>
        <vt:i4>4128770</vt:i4>
      </vt:variant>
      <vt:variant>
        <vt:i4>1719</vt:i4>
      </vt:variant>
      <vt:variant>
        <vt:i4>0</vt:i4>
      </vt:variant>
      <vt:variant>
        <vt:i4>5</vt:i4>
      </vt:variant>
      <vt:variant>
        <vt:lpwstr/>
      </vt:variant>
      <vt:variant>
        <vt:lpwstr>_How_to_quantify</vt:lpwstr>
      </vt:variant>
      <vt:variant>
        <vt:i4>262263</vt:i4>
      </vt:variant>
      <vt:variant>
        <vt:i4>1710</vt:i4>
      </vt:variant>
      <vt:variant>
        <vt:i4>0</vt:i4>
      </vt:variant>
      <vt:variant>
        <vt:i4>5</vt:i4>
      </vt:variant>
      <vt:variant>
        <vt:lpwstr>https://assets.publishing.service.gov.uk/government/uploads/system/uploads/attachment_data/file/1049346/2021-ghg-conversion-factors-methodology.pdf</vt:lpwstr>
      </vt:variant>
      <vt:variant>
        <vt:lpwstr/>
      </vt:variant>
      <vt:variant>
        <vt:i4>6684778</vt:i4>
      </vt:variant>
      <vt:variant>
        <vt:i4>1704</vt:i4>
      </vt:variant>
      <vt:variant>
        <vt:i4>0</vt:i4>
      </vt:variant>
      <vt:variant>
        <vt:i4>5</vt:i4>
      </vt:variant>
      <vt:variant>
        <vt:lpwstr>https://www.gov.uk/government/publications/greenhouse-gas-reporting-conversion-factors-2021</vt:lpwstr>
      </vt:variant>
      <vt:variant>
        <vt:lpwstr/>
      </vt:variant>
      <vt:variant>
        <vt:i4>3735667</vt:i4>
      </vt:variant>
      <vt:variant>
        <vt:i4>1701</vt:i4>
      </vt:variant>
      <vt:variant>
        <vt:i4>0</vt:i4>
      </vt:variant>
      <vt:variant>
        <vt:i4>5</vt:i4>
      </vt:variant>
      <vt:variant>
        <vt:lpwstr/>
      </vt:variant>
      <vt:variant>
        <vt:lpwstr>table4</vt:lpwstr>
      </vt:variant>
      <vt:variant>
        <vt:i4>3014683</vt:i4>
      </vt:variant>
      <vt:variant>
        <vt:i4>1695</vt:i4>
      </vt:variant>
      <vt:variant>
        <vt:i4>0</vt:i4>
      </vt:variant>
      <vt:variant>
        <vt:i4>5</vt:i4>
      </vt:variant>
      <vt:variant>
        <vt:lpwstr/>
      </vt:variant>
      <vt:variant>
        <vt:lpwstr>_How_to_calculate</vt:lpwstr>
      </vt:variant>
      <vt:variant>
        <vt:i4>3735667</vt:i4>
      </vt:variant>
      <vt:variant>
        <vt:i4>1683</vt:i4>
      </vt:variant>
      <vt:variant>
        <vt:i4>0</vt:i4>
      </vt:variant>
      <vt:variant>
        <vt:i4>5</vt:i4>
      </vt:variant>
      <vt:variant>
        <vt:lpwstr/>
      </vt:variant>
      <vt:variant>
        <vt:lpwstr>table4</vt:lpwstr>
      </vt:variant>
      <vt:variant>
        <vt:i4>3539050</vt:i4>
      </vt:variant>
      <vt:variant>
        <vt:i4>1674</vt:i4>
      </vt:variant>
      <vt:variant>
        <vt:i4>0</vt:i4>
      </vt:variant>
      <vt:variant>
        <vt:i4>5</vt:i4>
      </vt:variant>
      <vt:variant>
        <vt:lpwstr>https://www.transport.govt.nz/assets/Uploads/Data/Transport-outlook-updated/Emission-Impossible-Real-World-Energy-Use-Projections-for-VFEM-20160905.pdf</vt:lpwstr>
      </vt:variant>
      <vt:variant>
        <vt:lpwstr/>
      </vt:variant>
      <vt:variant>
        <vt:i4>4128770</vt:i4>
      </vt:variant>
      <vt:variant>
        <vt:i4>1671</vt:i4>
      </vt:variant>
      <vt:variant>
        <vt:i4>0</vt:i4>
      </vt:variant>
      <vt:variant>
        <vt:i4>5</vt:i4>
      </vt:variant>
      <vt:variant>
        <vt:lpwstr/>
      </vt:variant>
      <vt:variant>
        <vt:lpwstr>_How_to_quantify</vt:lpwstr>
      </vt:variant>
      <vt:variant>
        <vt:i4>4128770</vt:i4>
      </vt:variant>
      <vt:variant>
        <vt:i4>1668</vt:i4>
      </vt:variant>
      <vt:variant>
        <vt:i4>0</vt:i4>
      </vt:variant>
      <vt:variant>
        <vt:i4>5</vt:i4>
      </vt:variant>
      <vt:variant>
        <vt:lpwstr/>
      </vt:variant>
      <vt:variant>
        <vt:lpwstr>_How_to_quantify</vt:lpwstr>
      </vt:variant>
      <vt:variant>
        <vt:i4>2293803</vt:i4>
      </vt:variant>
      <vt:variant>
        <vt:i4>1638</vt:i4>
      </vt:variant>
      <vt:variant>
        <vt:i4>0</vt:i4>
      </vt:variant>
      <vt:variant>
        <vt:i4>5</vt:i4>
      </vt:variant>
      <vt:variant>
        <vt:lpwstr>http://www.ghgprotocol.org/standards/corporate-standard</vt:lpwstr>
      </vt:variant>
      <vt:variant>
        <vt:lpwstr/>
      </vt:variant>
      <vt:variant>
        <vt:i4>4128770</vt:i4>
      </vt:variant>
      <vt:variant>
        <vt:i4>1635</vt:i4>
      </vt:variant>
      <vt:variant>
        <vt:i4>0</vt:i4>
      </vt:variant>
      <vt:variant>
        <vt:i4>5</vt:i4>
      </vt:variant>
      <vt:variant>
        <vt:lpwstr/>
      </vt:variant>
      <vt:variant>
        <vt:lpwstr>_How_to_quantify</vt:lpwstr>
      </vt:variant>
      <vt:variant>
        <vt:i4>4128770</vt:i4>
      </vt:variant>
      <vt:variant>
        <vt:i4>1629</vt:i4>
      </vt:variant>
      <vt:variant>
        <vt:i4>0</vt:i4>
      </vt:variant>
      <vt:variant>
        <vt:i4>5</vt:i4>
      </vt:variant>
      <vt:variant>
        <vt:lpwstr/>
      </vt:variant>
      <vt:variant>
        <vt:lpwstr>_How_to_quantify</vt:lpwstr>
      </vt:variant>
      <vt:variant>
        <vt:i4>6684778</vt:i4>
      </vt:variant>
      <vt:variant>
        <vt:i4>1623</vt:i4>
      </vt:variant>
      <vt:variant>
        <vt:i4>0</vt:i4>
      </vt:variant>
      <vt:variant>
        <vt:i4>5</vt:i4>
      </vt:variant>
      <vt:variant>
        <vt:lpwstr>https://www.gov.uk/government/publications/greenhouse-gas-reporting-conversion-factors-2021</vt:lpwstr>
      </vt:variant>
      <vt:variant>
        <vt:lpwstr/>
      </vt:variant>
      <vt:variant>
        <vt:i4>4128770</vt:i4>
      </vt:variant>
      <vt:variant>
        <vt:i4>1620</vt:i4>
      </vt:variant>
      <vt:variant>
        <vt:i4>0</vt:i4>
      </vt:variant>
      <vt:variant>
        <vt:i4>5</vt:i4>
      </vt:variant>
      <vt:variant>
        <vt:lpwstr/>
      </vt:variant>
      <vt:variant>
        <vt:lpwstr>_How_to_quantify</vt:lpwstr>
      </vt:variant>
      <vt:variant>
        <vt:i4>262263</vt:i4>
      </vt:variant>
      <vt:variant>
        <vt:i4>1617</vt:i4>
      </vt:variant>
      <vt:variant>
        <vt:i4>0</vt:i4>
      </vt:variant>
      <vt:variant>
        <vt:i4>5</vt:i4>
      </vt:variant>
      <vt:variant>
        <vt:lpwstr>https://assets.publishing.service.gov.uk/government/uploads/system/uploads/attachment_data/file/1049346/2021-ghg-conversion-factors-methodology.pdf</vt:lpwstr>
      </vt:variant>
      <vt:variant>
        <vt:lpwstr/>
      </vt:variant>
      <vt:variant>
        <vt:i4>1179681</vt:i4>
      </vt:variant>
      <vt:variant>
        <vt:i4>1614</vt:i4>
      </vt:variant>
      <vt:variant>
        <vt:i4>0</vt:i4>
      </vt:variant>
      <vt:variant>
        <vt:i4>5</vt:i4>
      </vt:variant>
      <vt:variant>
        <vt:lpwstr/>
      </vt:variant>
      <vt:variant>
        <vt:lpwstr>_Domestic_air_travel</vt:lpwstr>
      </vt:variant>
      <vt:variant>
        <vt:i4>6684778</vt:i4>
      </vt:variant>
      <vt:variant>
        <vt:i4>1605</vt:i4>
      </vt:variant>
      <vt:variant>
        <vt:i4>0</vt:i4>
      </vt:variant>
      <vt:variant>
        <vt:i4>5</vt:i4>
      </vt:variant>
      <vt:variant>
        <vt:lpwstr>https://www.gov.uk/government/publications/greenhouse-gas-reporting-conversion-factors-2021</vt:lpwstr>
      </vt:variant>
      <vt:variant>
        <vt:lpwstr/>
      </vt:variant>
      <vt:variant>
        <vt:i4>2031742</vt:i4>
      </vt:variant>
      <vt:variant>
        <vt:i4>1602</vt:i4>
      </vt:variant>
      <vt:variant>
        <vt:i4>0</vt:i4>
      </vt:variant>
      <vt:variant>
        <vt:i4>5</vt:i4>
      </vt:variant>
      <vt:variant>
        <vt:lpwstr/>
      </vt:variant>
      <vt:variant>
        <vt:lpwstr>_Assumptions,_limitations_and</vt:lpwstr>
      </vt:variant>
      <vt:variant>
        <vt:i4>5373959</vt:i4>
      </vt:variant>
      <vt:variant>
        <vt:i4>1599</vt:i4>
      </vt:variant>
      <vt:variant>
        <vt:i4>0</vt:i4>
      </vt:variant>
      <vt:variant>
        <vt:i4>5</vt:i4>
      </vt:variant>
      <vt:variant>
        <vt:lpwstr>http://www.icao.int/environmental-protection/CarbonOffset/Pages/default.aspx</vt:lpwstr>
      </vt:variant>
      <vt:variant>
        <vt:lpwstr/>
      </vt:variant>
      <vt:variant>
        <vt:i4>3735667</vt:i4>
      </vt:variant>
      <vt:variant>
        <vt:i4>1584</vt:i4>
      </vt:variant>
      <vt:variant>
        <vt:i4>0</vt:i4>
      </vt:variant>
      <vt:variant>
        <vt:i4>5</vt:i4>
      </vt:variant>
      <vt:variant>
        <vt:lpwstr/>
      </vt:variant>
      <vt:variant>
        <vt:lpwstr>table4</vt:lpwstr>
      </vt:variant>
      <vt:variant>
        <vt:i4>65612</vt:i4>
      </vt:variant>
      <vt:variant>
        <vt:i4>1569</vt:i4>
      </vt:variant>
      <vt:variant>
        <vt:i4>0</vt:i4>
      </vt:variant>
      <vt:variant>
        <vt:i4>5</vt:i4>
      </vt:variant>
      <vt:variant>
        <vt:lpwstr>https://calculator.toitu.co.nz/?calculator=travel</vt:lpwstr>
      </vt:variant>
      <vt:variant>
        <vt:lpwstr/>
      </vt:variant>
      <vt:variant>
        <vt:i4>4063347</vt:i4>
      </vt:variant>
      <vt:variant>
        <vt:i4>1566</vt:i4>
      </vt:variant>
      <vt:variant>
        <vt:i4>0</vt:i4>
      </vt:variant>
      <vt:variant>
        <vt:i4>5</vt:i4>
      </vt:variant>
      <vt:variant>
        <vt:lpwstr/>
      </vt:variant>
      <vt:variant>
        <vt:lpwstr>table35</vt:lpwstr>
      </vt:variant>
      <vt:variant>
        <vt:i4>4128770</vt:i4>
      </vt:variant>
      <vt:variant>
        <vt:i4>1563</vt:i4>
      </vt:variant>
      <vt:variant>
        <vt:i4>0</vt:i4>
      </vt:variant>
      <vt:variant>
        <vt:i4>5</vt:i4>
      </vt:variant>
      <vt:variant>
        <vt:lpwstr/>
      </vt:variant>
      <vt:variant>
        <vt:lpwstr>_How_to_quantify</vt:lpwstr>
      </vt:variant>
      <vt:variant>
        <vt:i4>3473514</vt:i4>
      </vt:variant>
      <vt:variant>
        <vt:i4>1560</vt:i4>
      </vt:variant>
      <vt:variant>
        <vt:i4>0</vt:i4>
      </vt:variant>
      <vt:variant>
        <vt:i4>5</vt:i4>
      </vt:variant>
      <vt:variant>
        <vt:lpwstr>https://www.airmilescalculator.com/</vt:lpwstr>
      </vt:variant>
      <vt:variant>
        <vt:lpwstr/>
      </vt:variant>
      <vt:variant>
        <vt:i4>3407987</vt:i4>
      </vt:variant>
      <vt:variant>
        <vt:i4>1545</vt:i4>
      </vt:variant>
      <vt:variant>
        <vt:i4>0</vt:i4>
      </vt:variant>
      <vt:variant>
        <vt:i4>5</vt:i4>
      </vt:variant>
      <vt:variant>
        <vt:lpwstr/>
      </vt:variant>
      <vt:variant>
        <vt:lpwstr>table9</vt:lpwstr>
      </vt:variant>
      <vt:variant>
        <vt:i4>3735667</vt:i4>
      </vt:variant>
      <vt:variant>
        <vt:i4>1542</vt:i4>
      </vt:variant>
      <vt:variant>
        <vt:i4>0</vt:i4>
      </vt:variant>
      <vt:variant>
        <vt:i4>5</vt:i4>
      </vt:variant>
      <vt:variant>
        <vt:lpwstr/>
      </vt:variant>
      <vt:variant>
        <vt:lpwstr>table4</vt:lpwstr>
      </vt:variant>
      <vt:variant>
        <vt:i4>4063347</vt:i4>
      </vt:variant>
      <vt:variant>
        <vt:i4>1539</vt:i4>
      </vt:variant>
      <vt:variant>
        <vt:i4>0</vt:i4>
      </vt:variant>
      <vt:variant>
        <vt:i4>5</vt:i4>
      </vt:variant>
      <vt:variant>
        <vt:lpwstr/>
      </vt:variant>
      <vt:variant>
        <vt:lpwstr>table35</vt:lpwstr>
      </vt:variant>
      <vt:variant>
        <vt:i4>4128770</vt:i4>
      </vt:variant>
      <vt:variant>
        <vt:i4>1533</vt:i4>
      </vt:variant>
      <vt:variant>
        <vt:i4>0</vt:i4>
      </vt:variant>
      <vt:variant>
        <vt:i4>5</vt:i4>
      </vt:variant>
      <vt:variant>
        <vt:lpwstr/>
      </vt:variant>
      <vt:variant>
        <vt:lpwstr>_How_to_quantify</vt:lpwstr>
      </vt:variant>
      <vt:variant>
        <vt:i4>4063347</vt:i4>
      </vt:variant>
      <vt:variant>
        <vt:i4>1527</vt:i4>
      </vt:variant>
      <vt:variant>
        <vt:i4>0</vt:i4>
      </vt:variant>
      <vt:variant>
        <vt:i4>5</vt:i4>
      </vt:variant>
      <vt:variant>
        <vt:lpwstr/>
      </vt:variant>
      <vt:variant>
        <vt:lpwstr>table35</vt:lpwstr>
      </vt:variant>
      <vt:variant>
        <vt:i4>1245186</vt:i4>
      </vt:variant>
      <vt:variant>
        <vt:i4>1524</vt:i4>
      </vt:variant>
      <vt:variant>
        <vt:i4>0</vt:i4>
      </vt:variant>
      <vt:variant>
        <vt:i4>5</vt:i4>
      </vt:variant>
      <vt:variant>
        <vt:lpwstr>https://www.transport.govt.nz/assets/Uploads/Research/Transport-Outlook/Documents/a9189b9da0/Emission-Impossible-Real-World-Energy-Use-Projections-for-VFEM-20160905.pdf</vt:lpwstr>
      </vt:variant>
      <vt:variant>
        <vt:lpwstr/>
      </vt:variant>
      <vt:variant>
        <vt:i4>4063347</vt:i4>
      </vt:variant>
      <vt:variant>
        <vt:i4>1521</vt:i4>
      </vt:variant>
      <vt:variant>
        <vt:i4>0</vt:i4>
      </vt:variant>
      <vt:variant>
        <vt:i4>5</vt:i4>
      </vt:variant>
      <vt:variant>
        <vt:lpwstr/>
      </vt:variant>
      <vt:variant>
        <vt:lpwstr>table34</vt:lpwstr>
      </vt:variant>
      <vt:variant>
        <vt:i4>4128770</vt:i4>
      </vt:variant>
      <vt:variant>
        <vt:i4>1497</vt:i4>
      </vt:variant>
      <vt:variant>
        <vt:i4>0</vt:i4>
      </vt:variant>
      <vt:variant>
        <vt:i4>5</vt:i4>
      </vt:variant>
      <vt:variant>
        <vt:lpwstr/>
      </vt:variant>
      <vt:variant>
        <vt:lpwstr>_How_to_quantify</vt:lpwstr>
      </vt:variant>
      <vt:variant>
        <vt:i4>3932275</vt:i4>
      </vt:variant>
      <vt:variant>
        <vt:i4>1482</vt:i4>
      </vt:variant>
      <vt:variant>
        <vt:i4>0</vt:i4>
      </vt:variant>
      <vt:variant>
        <vt:i4>5</vt:i4>
      </vt:variant>
      <vt:variant>
        <vt:lpwstr/>
      </vt:variant>
      <vt:variant>
        <vt:lpwstr>table17</vt:lpwstr>
      </vt:variant>
      <vt:variant>
        <vt:i4>3932275</vt:i4>
      </vt:variant>
      <vt:variant>
        <vt:i4>1479</vt:i4>
      </vt:variant>
      <vt:variant>
        <vt:i4>0</vt:i4>
      </vt:variant>
      <vt:variant>
        <vt:i4>5</vt:i4>
      </vt:variant>
      <vt:variant>
        <vt:lpwstr/>
      </vt:variant>
      <vt:variant>
        <vt:lpwstr>table17</vt:lpwstr>
      </vt:variant>
      <vt:variant>
        <vt:i4>4128883</vt:i4>
      </vt:variant>
      <vt:variant>
        <vt:i4>1476</vt:i4>
      </vt:variant>
      <vt:variant>
        <vt:i4>0</vt:i4>
      </vt:variant>
      <vt:variant>
        <vt:i4>5</vt:i4>
      </vt:variant>
      <vt:variant>
        <vt:lpwstr/>
      </vt:variant>
      <vt:variant>
        <vt:lpwstr>table24</vt:lpwstr>
      </vt:variant>
      <vt:variant>
        <vt:i4>3735667</vt:i4>
      </vt:variant>
      <vt:variant>
        <vt:i4>1473</vt:i4>
      </vt:variant>
      <vt:variant>
        <vt:i4>0</vt:i4>
      </vt:variant>
      <vt:variant>
        <vt:i4>5</vt:i4>
      </vt:variant>
      <vt:variant>
        <vt:lpwstr/>
      </vt:variant>
      <vt:variant>
        <vt:lpwstr>table4</vt:lpwstr>
      </vt:variant>
      <vt:variant>
        <vt:i4>3539050</vt:i4>
      </vt:variant>
      <vt:variant>
        <vt:i4>1470</vt:i4>
      </vt:variant>
      <vt:variant>
        <vt:i4>0</vt:i4>
      </vt:variant>
      <vt:variant>
        <vt:i4>5</vt:i4>
      </vt:variant>
      <vt:variant>
        <vt:lpwstr>https://www.transport.govt.nz/assets/Uploads/Data/Transport-outlook-updated/Emission-Impossible-Real-World-Energy-Use-Projections-for-VFEM-20160905.pdf</vt:lpwstr>
      </vt:variant>
      <vt:variant>
        <vt:lpwstr/>
      </vt:variant>
      <vt:variant>
        <vt:i4>1245186</vt:i4>
      </vt:variant>
      <vt:variant>
        <vt:i4>1464</vt:i4>
      </vt:variant>
      <vt:variant>
        <vt:i4>0</vt:i4>
      </vt:variant>
      <vt:variant>
        <vt:i4>5</vt:i4>
      </vt:variant>
      <vt:variant>
        <vt:lpwstr>https://www.transport.govt.nz/assets/Uploads/Research/Transport-Outlook/Documents/a9189b9da0/Emission-Impossible-Real-World-Energy-Use-Projections-for-VFEM-20160905.pdf</vt:lpwstr>
      </vt:variant>
      <vt:variant>
        <vt:lpwstr/>
      </vt:variant>
      <vt:variant>
        <vt:i4>4128883</vt:i4>
      </vt:variant>
      <vt:variant>
        <vt:i4>1461</vt:i4>
      </vt:variant>
      <vt:variant>
        <vt:i4>0</vt:i4>
      </vt:variant>
      <vt:variant>
        <vt:i4>5</vt:i4>
      </vt:variant>
      <vt:variant>
        <vt:lpwstr/>
      </vt:variant>
      <vt:variant>
        <vt:lpwstr>table22</vt:lpwstr>
      </vt:variant>
      <vt:variant>
        <vt:i4>3932275</vt:i4>
      </vt:variant>
      <vt:variant>
        <vt:i4>1458</vt:i4>
      </vt:variant>
      <vt:variant>
        <vt:i4>0</vt:i4>
      </vt:variant>
      <vt:variant>
        <vt:i4>5</vt:i4>
      </vt:variant>
      <vt:variant>
        <vt:lpwstr/>
      </vt:variant>
      <vt:variant>
        <vt:lpwstr>table16</vt:lpwstr>
      </vt:variant>
      <vt:variant>
        <vt:i4>3014683</vt:i4>
      </vt:variant>
      <vt:variant>
        <vt:i4>1455</vt:i4>
      </vt:variant>
      <vt:variant>
        <vt:i4>0</vt:i4>
      </vt:variant>
      <vt:variant>
        <vt:i4>5</vt:i4>
      </vt:variant>
      <vt:variant>
        <vt:lpwstr/>
      </vt:variant>
      <vt:variant>
        <vt:lpwstr>_How_to_calculate</vt:lpwstr>
      </vt:variant>
      <vt:variant>
        <vt:i4>4128883</vt:i4>
      </vt:variant>
      <vt:variant>
        <vt:i4>1452</vt:i4>
      </vt:variant>
      <vt:variant>
        <vt:i4>0</vt:i4>
      </vt:variant>
      <vt:variant>
        <vt:i4>5</vt:i4>
      </vt:variant>
      <vt:variant>
        <vt:lpwstr/>
      </vt:variant>
      <vt:variant>
        <vt:lpwstr>table22</vt:lpwstr>
      </vt:variant>
      <vt:variant>
        <vt:i4>3932275</vt:i4>
      </vt:variant>
      <vt:variant>
        <vt:i4>1425</vt:i4>
      </vt:variant>
      <vt:variant>
        <vt:i4>0</vt:i4>
      </vt:variant>
      <vt:variant>
        <vt:i4>5</vt:i4>
      </vt:variant>
      <vt:variant>
        <vt:lpwstr/>
      </vt:variant>
      <vt:variant>
        <vt:lpwstr>table16</vt:lpwstr>
      </vt:variant>
      <vt:variant>
        <vt:i4>4128883</vt:i4>
      </vt:variant>
      <vt:variant>
        <vt:i4>1422</vt:i4>
      </vt:variant>
      <vt:variant>
        <vt:i4>0</vt:i4>
      </vt:variant>
      <vt:variant>
        <vt:i4>5</vt:i4>
      </vt:variant>
      <vt:variant>
        <vt:lpwstr/>
      </vt:variant>
      <vt:variant>
        <vt:lpwstr>table22</vt:lpwstr>
      </vt:variant>
      <vt:variant>
        <vt:i4>4128883</vt:i4>
      </vt:variant>
      <vt:variant>
        <vt:i4>1419</vt:i4>
      </vt:variant>
      <vt:variant>
        <vt:i4>0</vt:i4>
      </vt:variant>
      <vt:variant>
        <vt:i4>5</vt:i4>
      </vt:variant>
      <vt:variant>
        <vt:lpwstr/>
      </vt:variant>
      <vt:variant>
        <vt:lpwstr>table21</vt:lpwstr>
      </vt:variant>
      <vt:variant>
        <vt:i4>4128883</vt:i4>
      </vt:variant>
      <vt:variant>
        <vt:i4>1416</vt:i4>
      </vt:variant>
      <vt:variant>
        <vt:i4>0</vt:i4>
      </vt:variant>
      <vt:variant>
        <vt:i4>5</vt:i4>
      </vt:variant>
      <vt:variant>
        <vt:lpwstr/>
      </vt:variant>
      <vt:variant>
        <vt:lpwstr>table20</vt:lpwstr>
      </vt:variant>
      <vt:variant>
        <vt:i4>3932275</vt:i4>
      </vt:variant>
      <vt:variant>
        <vt:i4>1407</vt:i4>
      </vt:variant>
      <vt:variant>
        <vt:i4>0</vt:i4>
      </vt:variant>
      <vt:variant>
        <vt:i4>5</vt:i4>
      </vt:variant>
      <vt:variant>
        <vt:lpwstr/>
      </vt:variant>
      <vt:variant>
        <vt:lpwstr>table19</vt:lpwstr>
      </vt:variant>
      <vt:variant>
        <vt:i4>3932275</vt:i4>
      </vt:variant>
      <vt:variant>
        <vt:i4>1404</vt:i4>
      </vt:variant>
      <vt:variant>
        <vt:i4>0</vt:i4>
      </vt:variant>
      <vt:variant>
        <vt:i4>5</vt:i4>
      </vt:variant>
      <vt:variant>
        <vt:lpwstr/>
      </vt:variant>
      <vt:variant>
        <vt:lpwstr>table16</vt:lpwstr>
      </vt:variant>
      <vt:variant>
        <vt:i4>6029422</vt:i4>
      </vt:variant>
      <vt:variant>
        <vt:i4>1401</vt:i4>
      </vt:variant>
      <vt:variant>
        <vt:i4>0</vt:i4>
      </vt:variant>
      <vt:variant>
        <vt:i4>5</vt:i4>
      </vt:variant>
      <vt:variant>
        <vt:lpwstr/>
      </vt:variant>
      <vt:variant>
        <vt:lpwstr>_Fuel_emission_factors</vt:lpwstr>
      </vt:variant>
      <vt:variant>
        <vt:i4>4063295</vt:i4>
      </vt:variant>
      <vt:variant>
        <vt:i4>1398</vt:i4>
      </vt:variant>
      <vt:variant>
        <vt:i4>0</vt:i4>
      </vt:variant>
      <vt:variant>
        <vt:i4>5</vt:i4>
      </vt:variant>
      <vt:variant>
        <vt:lpwstr>https://ghgprotocol.org/corporate-standard</vt:lpwstr>
      </vt:variant>
      <vt:variant>
        <vt:lpwstr/>
      </vt:variant>
      <vt:variant>
        <vt:i4>6488124</vt:i4>
      </vt:variant>
      <vt:variant>
        <vt:i4>1395</vt:i4>
      </vt:variant>
      <vt:variant>
        <vt:i4>0</vt:i4>
      </vt:variant>
      <vt:variant>
        <vt:i4>5</vt:i4>
      </vt:variant>
      <vt:variant>
        <vt:lpwstr>https://www.iso.org/standard/66453.html</vt:lpwstr>
      </vt:variant>
      <vt:variant>
        <vt:lpwstr/>
      </vt:variant>
      <vt:variant>
        <vt:i4>7733284</vt:i4>
      </vt:variant>
      <vt:variant>
        <vt:i4>1392</vt:i4>
      </vt:variant>
      <vt:variant>
        <vt:i4>0</vt:i4>
      </vt:variant>
      <vt:variant>
        <vt:i4>5</vt:i4>
      </vt:variant>
      <vt:variant>
        <vt:lpwstr/>
      </vt:variant>
      <vt:variant>
        <vt:lpwstr>_Indirect_business_related_1</vt:lpwstr>
      </vt:variant>
      <vt:variant>
        <vt:i4>8257643</vt:i4>
      </vt:variant>
      <vt:variant>
        <vt:i4>1389</vt:i4>
      </vt:variant>
      <vt:variant>
        <vt:i4>0</vt:i4>
      </vt:variant>
      <vt:variant>
        <vt:i4>5</vt:i4>
      </vt:variant>
      <vt:variant>
        <vt:lpwstr/>
      </vt:variant>
      <vt:variant>
        <vt:lpwstr>_Transport_fuel</vt:lpwstr>
      </vt:variant>
      <vt:variant>
        <vt:i4>3080223</vt:i4>
      </vt:variant>
      <vt:variant>
        <vt:i4>1386</vt:i4>
      </vt:variant>
      <vt:variant>
        <vt:i4>0</vt:i4>
      </vt:variant>
      <vt:variant>
        <vt:i4>5</vt:i4>
      </vt:variant>
      <vt:variant>
        <vt:lpwstr/>
      </vt:variant>
      <vt:variant>
        <vt:lpwstr>_Travel_emission_factors</vt:lpwstr>
      </vt:variant>
      <vt:variant>
        <vt:i4>3080223</vt:i4>
      </vt:variant>
      <vt:variant>
        <vt:i4>1383</vt:i4>
      </vt:variant>
      <vt:variant>
        <vt:i4>0</vt:i4>
      </vt:variant>
      <vt:variant>
        <vt:i4>5</vt:i4>
      </vt:variant>
      <vt:variant>
        <vt:lpwstr/>
      </vt:variant>
      <vt:variant>
        <vt:lpwstr>_Travel_emission_factors</vt:lpwstr>
      </vt:variant>
      <vt:variant>
        <vt:i4>4128770</vt:i4>
      </vt:variant>
      <vt:variant>
        <vt:i4>1377</vt:i4>
      </vt:variant>
      <vt:variant>
        <vt:i4>0</vt:i4>
      </vt:variant>
      <vt:variant>
        <vt:i4>5</vt:i4>
      </vt:variant>
      <vt:variant>
        <vt:lpwstr/>
      </vt:variant>
      <vt:variant>
        <vt:lpwstr>_How_to_quantify</vt:lpwstr>
      </vt:variant>
      <vt:variant>
        <vt:i4>3932275</vt:i4>
      </vt:variant>
      <vt:variant>
        <vt:i4>1371</vt:i4>
      </vt:variant>
      <vt:variant>
        <vt:i4>0</vt:i4>
      </vt:variant>
      <vt:variant>
        <vt:i4>5</vt:i4>
      </vt:variant>
      <vt:variant>
        <vt:lpwstr/>
      </vt:variant>
      <vt:variant>
        <vt:lpwstr>table14</vt:lpwstr>
      </vt:variant>
      <vt:variant>
        <vt:i4>3407987</vt:i4>
      </vt:variant>
      <vt:variant>
        <vt:i4>1365</vt:i4>
      </vt:variant>
      <vt:variant>
        <vt:i4>0</vt:i4>
      </vt:variant>
      <vt:variant>
        <vt:i4>5</vt:i4>
      </vt:variant>
      <vt:variant>
        <vt:lpwstr/>
      </vt:variant>
      <vt:variant>
        <vt:lpwstr>table9</vt:lpwstr>
      </vt:variant>
      <vt:variant>
        <vt:i4>3932275</vt:i4>
      </vt:variant>
      <vt:variant>
        <vt:i4>1362</vt:i4>
      </vt:variant>
      <vt:variant>
        <vt:i4>0</vt:i4>
      </vt:variant>
      <vt:variant>
        <vt:i4>5</vt:i4>
      </vt:variant>
      <vt:variant>
        <vt:lpwstr/>
      </vt:variant>
      <vt:variant>
        <vt:lpwstr>Table12</vt:lpwstr>
      </vt:variant>
      <vt:variant>
        <vt:i4>4128770</vt:i4>
      </vt:variant>
      <vt:variant>
        <vt:i4>1359</vt:i4>
      </vt:variant>
      <vt:variant>
        <vt:i4>0</vt:i4>
      </vt:variant>
      <vt:variant>
        <vt:i4>5</vt:i4>
      </vt:variant>
      <vt:variant>
        <vt:lpwstr/>
      </vt:variant>
      <vt:variant>
        <vt:lpwstr>_How_to_quantify</vt:lpwstr>
      </vt:variant>
      <vt:variant>
        <vt:i4>4063295</vt:i4>
      </vt:variant>
      <vt:variant>
        <vt:i4>1353</vt:i4>
      </vt:variant>
      <vt:variant>
        <vt:i4>0</vt:i4>
      </vt:variant>
      <vt:variant>
        <vt:i4>5</vt:i4>
      </vt:variant>
      <vt:variant>
        <vt:lpwstr>https://ghgprotocol.org/corporate-standard</vt:lpwstr>
      </vt:variant>
      <vt:variant>
        <vt:lpwstr/>
      </vt:variant>
      <vt:variant>
        <vt:i4>3932275</vt:i4>
      </vt:variant>
      <vt:variant>
        <vt:i4>1350</vt:i4>
      </vt:variant>
      <vt:variant>
        <vt:i4>0</vt:i4>
      </vt:variant>
      <vt:variant>
        <vt:i4>5</vt:i4>
      </vt:variant>
      <vt:variant>
        <vt:lpwstr/>
      </vt:variant>
      <vt:variant>
        <vt:lpwstr>Table12</vt:lpwstr>
      </vt:variant>
      <vt:variant>
        <vt:i4>983088</vt:i4>
      </vt:variant>
      <vt:variant>
        <vt:i4>1347</vt:i4>
      </vt:variant>
      <vt:variant>
        <vt:i4>0</vt:i4>
      </vt:variant>
      <vt:variant>
        <vt:i4>5</vt:i4>
      </vt:variant>
      <vt:variant>
        <vt:lpwstr/>
      </vt:variant>
      <vt:variant>
        <vt:lpwstr>_Indirect_Scope_2</vt:lpwstr>
      </vt:variant>
      <vt:variant>
        <vt:i4>3407987</vt:i4>
      </vt:variant>
      <vt:variant>
        <vt:i4>1344</vt:i4>
      </vt:variant>
      <vt:variant>
        <vt:i4>0</vt:i4>
      </vt:variant>
      <vt:variant>
        <vt:i4>5</vt:i4>
      </vt:variant>
      <vt:variant>
        <vt:lpwstr/>
      </vt:variant>
      <vt:variant>
        <vt:lpwstr>table9</vt:lpwstr>
      </vt:variant>
      <vt:variant>
        <vt:i4>3014683</vt:i4>
      </vt:variant>
      <vt:variant>
        <vt:i4>1335</vt:i4>
      </vt:variant>
      <vt:variant>
        <vt:i4>0</vt:i4>
      </vt:variant>
      <vt:variant>
        <vt:i4>5</vt:i4>
      </vt:variant>
      <vt:variant>
        <vt:lpwstr/>
      </vt:variant>
      <vt:variant>
        <vt:lpwstr>_How_to_calculate</vt:lpwstr>
      </vt:variant>
      <vt:variant>
        <vt:i4>7143521</vt:i4>
      </vt:variant>
      <vt:variant>
        <vt:i4>1326</vt:i4>
      </vt:variant>
      <vt:variant>
        <vt:i4>0</vt:i4>
      </vt:variant>
      <vt:variant>
        <vt:i4>5</vt:i4>
      </vt:variant>
      <vt:variant>
        <vt:lpwstr>http://ghgprotocol.org/scope_2_guidance</vt:lpwstr>
      </vt:variant>
      <vt:variant>
        <vt:lpwstr/>
      </vt:variant>
      <vt:variant>
        <vt:i4>8060995</vt:i4>
      </vt:variant>
      <vt:variant>
        <vt:i4>1323</vt:i4>
      </vt:variant>
      <vt:variant>
        <vt:i4>0</vt:i4>
      </vt:variant>
      <vt:variant>
        <vt:i4>5</vt:i4>
      </vt:variant>
      <vt:variant>
        <vt:lpwstr/>
      </vt:variant>
      <vt:variant>
        <vt:lpwstr>_Transmission_and_distribution</vt:lpwstr>
      </vt:variant>
      <vt:variant>
        <vt:i4>3407987</vt:i4>
      </vt:variant>
      <vt:variant>
        <vt:i4>1320</vt:i4>
      </vt:variant>
      <vt:variant>
        <vt:i4>0</vt:i4>
      </vt:variant>
      <vt:variant>
        <vt:i4>5</vt:i4>
      </vt:variant>
      <vt:variant>
        <vt:lpwstr/>
      </vt:variant>
      <vt:variant>
        <vt:lpwstr>table9</vt:lpwstr>
      </vt:variant>
      <vt:variant>
        <vt:i4>8060995</vt:i4>
      </vt:variant>
      <vt:variant>
        <vt:i4>1317</vt:i4>
      </vt:variant>
      <vt:variant>
        <vt:i4>0</vt:i4>
      </vt:variant>
      <vt:variant>
        <vt:i4>5</vt:i4>
      </vt:variant>
      <vt:variant>
        <vt:lpwstr/>
      </vt:variant>
      <vt:variant>
        <vt:lpwstr>_Transmission_and_distribution</vt:lpwstr>
      </vt:variant>
      <vt:variant>
        <vt:i4>4063295</vt:i4>
      </vt:variant>
      <vt:variant>
        <vt:i4>1314</vt:i4>
      </vt:variant>
      <vt:variant>
        <vt:i4>0</vt:i4>
      </vt:variant>
      <vt:variant>
        <vt:i4>5</vt:i4>
      </vt:variant>
      <vt:variant>
        <vt:lpwstr>https://ghgprotocol.org/corporate-standard</vt:lpwstr>
      </vt:variant>
      <vt:variant>
        <vt:lpwstr/>
      </vt:variant>
      <vt:variant>
        <vt:i4>7274611</vt:i4>
      </vt:variant>
      <vt:variant>
        <vt:i4>1308</vt:i4>
      </vt:variant>
      <vt:variant>
        <vt:i4>0</vt:i4>
      </vt:variant>
      <vt:variant>
        <vt:i4>5</vt:i4>
      </vt:variant>
      <vt:variant>
        <vt:lpwstr/>
      </vt:variant>
      <vt:variant>
        <vt:lpwstr>TableB3</vt:lpwstr>
      </vt:variant>
      <vt:variant>
        <vt:i4>983117</vt:i4>
      </vt:variant>
      <vt:variant>
        <vt:i4>1305</vt:i4>
      </vt:variant>
      <vt:variant>
        <vt:i4>0</vt:i4>
      </vt:variant>
      <vt:variant>
        <vt:i4>5</vt:i4>
      </vt:variant>
      <vt:variant>
        <vt:lpwstr>https://environment.govt.nz/publications/new-zealands-greenhouse-gas-inventory-1990-2020/</vt:lpwstr>
      </vt:variant>
      <vt:variant>
        <vt:lpwstr/>
      </vt:variant>
      <vt:variant>
        <vt:i4>6946820</vt:i4>
      </vt:variant>
      <vt:variant>
        <vt:i4>1302</vt:i4>
      </vt:variant>
      <vt:variant>
        <vt:i4>0</vt:i4>
      </vt:variant>
      <vt:variant>
        <vt:i4>5</vt:i4>
      </vt:variant>
      <vt:variant>
        <vt:lpwstr>https://ghgprotocol.org/sites/default/files/hfc-cfc_0.pdf</vt:lpwstr>
      </vt:variant>
      <vt:variant>
        <vt:lpwstr/>
      </vt:variant>
      <vt:variant>
        <vt:i4>7929870</vt:i4>
      </vt:variant>
      <vt:variant>
        <vt:i4>1299</vt:i4>
      </vt:variant>
      <vt:variant>
        <vt:i4>0</vt:i4>
      </vt:variant>
      <vt:variant>
        <vt:i4>5</vt:i4>
      </vt:variant>
      <vt:variant>
        <vt:lpwstr/>
      </vt:variant>
      <vt:variant>
        <vt:lpwstr>_Appendix_B:_Alternative</vt:lpwstr>
      </vt:variant>
      <vt:variant>
        <vt:i4>3801203</vt:i4>
      </vt:variant>
      <vt:variant>
        <vt:i4>1296</vt:i4>
      </vt:variant>
      <vt:variant>
        <vt:i4>0</vt:i4>
      </vt:variant>
      <vt:variant>
        <vt:i4>5</vt:i4>
      </vt:variant>
      <vt:variant>
        <vt:lpwstr/>
      </vt:variant>
      <vt:variant>
        <vt:lpwstr>table7</vt:lpwstr>
      </vt:variant>
      <vt:variant>
        <vt:i4>7077999</vt:i4>
      </vt:variant>
      <vt:variant>
        <vt:i4>1290</vt:i4>
      </vt:variant>
      <vt:variant>
        <vt:i4>0</vt:i4>
      </vt:variant>
      <vt:variant>
        <vt:i4>5</vt:i4>
      </vt:variant>
      <vt:variant>
        <vt:lpwstr>https://www.ipcc.ch/site/assets/uploads/2018/02/WG1AR5_Chapter08_FINAL.pdf</vt:lpwstr>
      </vt:variant>
      <vt:variant>
        <vt:lpwstr/>
      </vt:variant>
      <vt:variant>
        <vt:i4>7929870</vt:i4>
      </vt:variant>
      <vt:variant>
        <vt:i4>1287</vt:i4>
      </vt:variant>
      <vt:variant>
        <vt:i4>0</vt:i4>
      </vt:variant>
      <vt:variant>
        <vt:i4>5</vt:i4>
      </vt:variant>
      <vt:variant>
        <vt:lpwstr/>
      </vt:variant>
      <vt:variant>
        <vt:lpwstr>_Appendix_B:_Alternative</vt:lpwstr>
      </vt:variant>
      <vt:variant>
        <vt:i4>7274611</vt:i4>
      </vt:variant>
      <vt:variant>
        <vt:i4>1284</vt:i4>
      </vt:variant>
      <vt:variant>
        <vt:i4>0</vt:i4>
      </vt:variant>
      <vt:variant>
        <vt:i4>5</vt:i4>
      </vt:variant>
      <vt:variant>
        <vt:lpwstr/>
      </vt:variant>
      <vt:variant>
        <vt:lpwstr>tableb2</vt:lpwstr>
      </vt:variant>
      <vt:variant>
        <vt:i4>3801203</vt:i4>
      </vt:variant>
      <vt:variant>
        <vt:i4>1281</vt:i4>
      </vt:variant>
      <vt:variant>
        <vt:i4>0</vt:i4>
      </vt:variant>
      <vt:variant>
        <vt:i4>5</vt:i4>
      </vt:variant>
      <vt:variant>
        <vt:lpwstr/>
      </vt:variant>
      <vt:variant>
        <vt:lpwstr>table7</vt:lpwstr>
      </vt:variant>
      <vt:variant>
        <vt:i4>1900575</vt:i4>
      </vt:variant>
      <vt:variant>
        <vt:i4>1278</vt:i4>
      </vt:variant>
      <vt:variant>
        <vt:i4>0</vt:i4>
      </vt:variant>
      <vt:variant>
        <vt:i4>5</vt:i4>
      </vt:variant>
      <vt:variant>
        <vt:lpwstr/>
      </vt:variant>
      <vt:variant>
        <vt:lpwstr>_Refrigerant_use</vt:lpwstr>
      </vt:variant>
      <vt:variant>
        <vt:i4>3932279</vt:i4>
      </vt:variant>
      <vt:variant>
        <vt:i4>1275</vt:i4>
      </vt:variant>
      <vt:variant>
        <vt:i4>0</vt:i4>
      </vt:variant>
      <vt:variant>
        <vt:i4>5</vt:i4>
      </vt:variant>
      <vt:variant>
        <vt:lpwstr>https://www.ipcc.ch/report/ar5/syr/</vt:lpwstr>
      </vt:variant>
      <vt:variant>
        <vt:lpwstr/>
      </vt:variant>
      <vt:variant>
        <vt:i4>3997815</vt:i4>
      </vt:variant>
      <vt:variant>
        <vt:i4>1272</vt:i4>
      </vt:variant>
      <vt:variant>
        <vt:i4>0</vt:i4>
      </vt:variant>
      <vt:variant>
        <vt:i4>5</vt:i4>
      </vt:variant>
      <vt:variant>
        <vt:lpwstr>https://www.ipcc.ch/report/ar4/syr/</vt:lpwstr>
      </vt:variant>
      <vt:variant>
        <vt:lpwstr/>
      </vt:variant>
      <vt:variant>
        <vt:i4>4128770</vt:i4>
      </vt:variant>
      <vt:variant>
        <vt:i4>1269</vt:i4>
      </vt:variant>
      <vt:variant>
        <vt:i4>0</vt:i4>
      </vt:variant>
      <vt:variant>
        <vt:i4>5</vt:i4>
      </vt:variant>
      <vt:variant>
        <vt:lpwstr/>
      </vt:variant>
      <vt:variant>
        <vt:lpwstr>_How_to_quantify</vt:lpwstr>
      </vt:variant>
      <vt:variant>
        <vt:i4>2687096</vt:i4>
      </vt:variant>
      <vt:variant>
        <vt:i4>1263</vt:i4>
      </vt:variant>
      <vt:variant>
        <vt:i4>0</vt:i4>
      </vt:variant>
      <vt:variant>
        <vt:i4>5</vt:i4>
      </vt:variant>
      <vt:variant>
        <vt:lpwstr>https://ghgprotocol.org/standards/scope-3-standard</vt:lpwstr>
      </vt:variant>
      <vt:variant>
        <vt:lpwstr/>
      </vt:variant>
      <vt:variant>
        <vt:i4>524396</vt:i4>
      </vt:variant>
      <vt:variant>
        <vt:i4>1260</vt:i4>
      </vt:variant>
      <vt:variant>
        <vt:i4>0</vt:i4>
      </vt:variant>
      <vt:variant>
        <vt:i4>5</vt:i4>
      </vt:variant>
      <vt:variant>
        <vt:lpwstr/>
      </vt:variant>
      <vt:variant>
        <vt:lpwstr>_Appendix_A:_Derivation</vt:lpwstr>
      </vt:variant>
      <vt:variant>
        <vt:i4>3670131</vt:i4>
      </vt:variant>
      <vt:variant>
        <vt:i4>1257</vt:i4>
      </vt:variant>
      <vt:variant>
        <vt:i4>0</vt:i4>
      </vt:variant>
      <vt:variant>
        <vt:i4>5</vt:i4>
      </vt:variant>
      <vt:variant>
        <vt:lpwstr/>
      </vt:variant>
      <vt:variant>
        <vt:lpwstr>Table5</vt:lpwstr>
      </vt:variant>
      <vt:variant>
        <vt:i4>4128770</vt:i4>
      </vt:variant>
      <vt:variant>
        <vt:i4>1254</vt:i4>
      </vt:variant>
      <vt:variant>
        <vt:i4>0</vt:i4>
      </vt:variant>
      <vt:variant>
        <vt:i4>5</vt:i4>
      </vt:variant>
      <vt:variant>
        <vt:lpwstr/>
      </vt:variant>
      <vt:variant>
        <vt:lpwstr>_How_to_quantify</vt:lpwstr>
      </vt:variant>
      <vt:variant>
        <vt:i4>786508</vt:i4>
      </vt:variant>
      <vt:variant>
        <vt:i4>1245</vt:i4>
      </vt:variant>
      <vt:variant>
        <vt:i4>0</vt:i4>
      </vt:variant>
      <vt:variant>
        <vt:i4>5</vt:i4>
      </vt:variant>
      <vt:variant>
        <vt:lpwstr>https://www.mbie.govt.nz/dmsdocument/16820-energy-in-new-zealand-2021</vt:lpwstr>
      </vt:variant>
      <vt:variant>
        <vt:lpwstr/>
      </vt:variant>
      <vt:variant>
        <vt:i4>4063347</vt:i4>
      </vt:variant>
      <vt:variant>
        <vt:i4>1242</vt:i4>
      </vt:variant>
      <vt:variant>
        <vt:i4>0</vt:i4>
      </vt:variant>
      <vt:variant>
        <vt:i4>5</vt:i4>
      </vt:variant>
      <vt:variant>
        <vt:lpwstr/>
      </vt:variant>
      <vt:variant>
        <vt:lpwstr>table3</vt:lpwstr>
      </vt:variant>
      <vt:variant>
        <vt:i4>3735667</vt:i4>
      </vt:variant>
      <vt:variant>
        <vt:i4>1239</vt:i4>
      </vt:variant>
      <vt:variant>
        <vt:i4>0</vt:i4>
      </vt:variant>
      <vt:variant>
        <vt:i4>5</vt:i4>
      </vt:variant>
      <vt:variant>
        <vt:lpwstr/>
      </vt:variant>
      <vt:variant>
        <vt:lpwstr>table4</vt:lpwstr>
      </vt:variant>
      <vt:variant>
        <vt:i4>7012473</vt:i4>
      </vt:variant>
      <vt:variant>
        <vt:i4>1233</vt:i4>
      </vt:variant>
      <vt:variant>
        <vt:i4>0</vt:i4>
      </vt:variant>
      <vt:variant>
        <vt:i4>5</vt:i4>
      </vt:variant>
      <vt:variant>
        <vt:lpwstr/>
      </vt:variant>
      <vt:variant>
        <vt:lpwstr>_Passenger_vehicles</vt:lpwstr>
      </vt:variant>
      <vt:variant>
        <vt:i4>7733284</vt:i4>
      </vt:variant>
      <vt:variant>
        <vt:i4>1227</vt:i4>
      </vt:variant>
      <vt:variant>
        <vt:i4>0</vt:i4>
      </vt:variant>
      <vt:variant>
        <vt:i4>5</vt:i4>
      </vt:variant>
      <vt:variant>
        <vt:lpwstr/>
      </vt:variant>
      <vt:variant>
        <vt:lpwstr>_Indirect_business_related_1</vt:lpwstr>
      </vt:variant>
      <vt:variant>
        <vt:i4>3014683</vt:i4>
      </vt:variant>
      <vt:variant>
        <vt:i4>1224</vt:i4>
      </vt:variant>
      <vt:variant>
        <vt:i4>0</vt:i4>
      </vt:variant>
      <vt:variant>
        <vt:i4>5</vt:i4>
      </vt:variant>
      <vt:variant>
        <vt:lpwstr/>
      </vt:variant>
      <vt:variant>
        <vt:lpwstr>_How_to_calculate</vt:lpwstr>
      </vt:variant>
      <vt:variant>
        <vt:i4>5701634</vt:i4>
      </vt:variant>
      <vt:variant>
        <vt:i4>1218</vt:i4>
      </vt:variant>
      <vt:variant>
        <vt:i4>0</vt:i4>
      </vt:variant>
      <vt:variant>
        <vt:i4>5</vt:i4>
      </vt:variant>
      <vt:variant>
        <vt:lpwstr/>
      </vt:variant>
      <vt:variant>
        <vt:lpwstr>_Appendix_A:_Derivation_1</vt:lpwstr>
      </vt:variant>
      <vt:variant>
        <vt:i4>4063347</vt:i4>
      </vt:variant>
      <vt:variant>
        <vt:i4>1215</vt:i4>
      </vt:variant>
      <vt:variant>
        <vt:i4>0</vt:i4>
      </vt:variant>
      <vt:variant>
        <vt:i4>5</vt:i4>
      </vt:variant>
      <vt:variant>
        <vt:lpwstr/>
      </vt:variant>
      <vt:variant>
        <vt:lpwstr>table3</vt:lpwstr>
      </vt:variant>
      <vt:variant>
        <vt:i4>5701634</vt:i4>
      </vt:variant>
      <vt:variant>
        <vt:i4>1212</vt:i4>
      </vt:variant>
      <vt:variant>
        <vt:i4>0</vt:i4>
      </vt:variant>
      <vt:variant>
        <vt:i4>5</vt:i4>
      </vt:variant>
      <vt:variant>
        <vt:lpwstr/>
      </vt:variant>
      <vt:variant>
        <vt:lpwstr>_Appendix_A:_Derivation_1</vt:lpwstr>
      </vt:variant>
      <vt:variant>
        <vt:i4>4063347</vt:i4>
      </vt:variant>
      <vt:variant>
        <vt:i4>1209</vt:i4>
      </vt:variant>
      <vt:variant>
        <vt:i4>0</vt:i4>
      </vt:variant>
      <vt:variant>
        <vt:i4>5</vt:i4>
      </vt:variant>
      <vt:variant>
        <vt:lpwstr/>
      </vt:variant>
      <vt:variant>
        <vt:lpwstr>table3</vt:lpwstr>
      </vt:variant>
      <vt:variant>
        <vt:i4>4063347</vt:i4>
      </vt:variant>
      <vt:variant>
        <vt:i4>1206</vt:i4>
      </vt:variant>
      <vt:variant>
        <vt:i4>0</vt:i4>
      </vt:variant>
      <vt:variant>
        <vt:i4>5</vt:i4>
      </vt:variant>
      <vt:variant>
        <vt:lpwstr/>
      </vt:variant>
      <vt:variant>
        <vt:lpwstr>table3</vt:lpwstr>
      </vt:variant>
      <vt:variant>
        <vt:i4>4128770</vt:i4>
      </vt:variant>
      <vt:variant>
        <vt:i4>1203</vt:i4>
      </vt:variant>
      <vt:variant>
        <vt:i4>0</vt:i4>
      </vt:variant>
      <vt:variant>
        <vt:i4>5</vt:i4>
      </vt:variant>
      <vt:variant>
        <vt:lpwstr/>
      </vt:variant>
      <vt:variant>
        <vt:lpwstr>_How_to_quantify</vt:lpwstr>
      </vt:variant>
      <vt:variant>
        <vt:i4>983117</vt:i4>
      </vt:variant>
      <vt:variant>
        <vt:i4>1197</vt:i4>
      </vt:variant>
      <vt:variant>
        <vt:i4>0</vt:i4>
      </vt:variant>
      <vt:variant>
        <vt:i4>5</vt:i4>
      </vt:variant>
      <vt:variant>
        <vt:lpwstr>https://environment.govt.nz/publications/new-zealands-greenhouse-gas-inventory-1990-2020/</vt:lpwstr>
      </vt:variant>
      <vt:variant>
        <vt:lpwstr/>
      </vt:variant>
      <vt:variant>
        <vt:i4>2621459</vt:i4>
      </vt:variant>
      <vt:variant>
        <vt:i4>1194</vt:i4>
      </vt:variant>
      <vt:variant>
        <vt:i4>0</vt:i4>
      </vt:variant>
      <vt:variant>
        <vt:i4>5</vt:i4>
      </vt:variant>
      <vt:variant>
        <vt:lpwstr/>
      </vt:variant>
      <vt:variant>
        <vt:lpwstr>_How_emission_sources</vt:lpwstr>
      </vt:variant>
      <vt:variant>
        <vt:i4>983117</vt:i4>
      </vt:variant>
      <vt:variant>
        <vt:i4>1191</vt:i4>
      </vt:variant>
      <vt:variant>
        <vt:i4>0</vt:i4>
      </vt:variant>
      <vt:variant>
        <vt:i4>5</vt:i4>
      </vt:variant>
      <vt:variant>
        <vt:lpwstr>https://environment.govt.nz/publications/new-zealands-greenhouse-gas-inventory-1990-2020/</vt:lpwstr>
      </vt:variant>
      <vt:variant>
        <vt:lpwstr/>
      </vt:variant>
      <vt:variant>
        <vt:i4>4063295</vt:i4>
      </vt:variant>
      <vt:variant>
        <vt:i4>1188</vt:i4>
      </vt:variant>
      <vt:variant>
        <vt:i4>0</vt:i4>
      </vt:variant>
      <vt:variant>
        <vt:i4>5</vt:i4>
      </vt:variant>
      <vt:variant>
        <vt:lpwstr>https://ghgprotocol.org/corporate-standard</vt:lpwstr>
      </vt:variant>
      <vt:variant>
        <vt:lpwstr/>
      </vt:variant>
      <vt:variant>
        <vt:i4>6488124</vt:i4>
      </vt:variant>
      <vt:variant>
        <vt:i4>1185</vt:i4>
      </vt:variant>
      <vt:variant>
        <vt:i4>0</vt:i4>
      </vt:variant>
      <vt:variant>
        <vt:i4>5</vt:i4>
      </vt:variant>
      <vt:variant>
        <vt:lpwstr>https://www.iso.org/standard/66453.html</vt:lpwstr>
      </vt:variant>
      <vt:variant>
        <vt:lpwstr/>
      </vt:variant>
      <vt:variant>
        <vt:i4>7864440</vt:i4>
      </vt:variant>
      <vt:variant>
        <vt:i4>1182</vt:i4>
      </vt:variant>
      <vt:variant>
        <vt:i4>0</vt:i4>
      </vt:variant>
      <vt:variant>
        <vt:i4>5</vt:i4>
      </vt:variant>
      <vt:variant>
        <vt:lpwstr>https://www.xrb.govt.nz/standards/assurance-standards/other-assurance-engagement-standards-2/other-assurance-engagement-standards/isae-nz-3410/</vt:lpwstr>
      </vt:variant>
      <vt:variant>
        <vt:lpwstr/>
      </vt:variant>
      <vt:variant>
        <vt:i4>4063295</vt:i4>
      </vt:variant>
      <vt:variant>
        <vt:i4>1179</vt:i4>
      </vt:variant>
      <vt:variant>
        <vt:i4>0</vt:i4>
      </vt:variant>
      <vt:variant>
        <vt:i4>5</vt:i4>
      </vt:variant>
      <vt:variant>
        <vt:lpwstr>https://ghgprotocol.org/corporate-standard</vt:lpwstr>
      </vt:variant>
      <vt:variant>
        <vt:lpwstr/>
      </vt:variant>
      <vt:variant>
        <vt:i4>7864440</vt:i4>
      </vt:variant>
      <vt:variant>
        <vt:i4>1176</vt:i4>
      </vt:variant>
      <vt:variant>
        <vt:i4>0</vt:i4>
      </vt:variant>
      <vt:variant>
        <vt:i4>5</vt:i4>
      </vt:variant>
      <vt:variant>
        <vt:lpwstr>https://www.xrb.govt.nz/standards/assurance-standards/other-assurance-engagement-standards-2/other-assurance-engagement-standards/isae-nz-3410/</vt:lpwstr>
      </vt:variant>
      <vt:variant>
        <vt:lpwstr/>
      </vt:variant>
      <vt:variant>
        <vt:i4>6488124</vt:i4>
      </vt:variant>
      <vt:variant>
        <vt:i4>1173</vt:i4>
      </vt:variant>
      <vt:variant>
        <vt:i4>0</vt:i4>
      </vt:variant>
      <vt:variant>
        <vt:i4>5</vt:i4>
      </vt:variant>
      <vt:variant>
        <vt:lpwstr>https://www.iso.org/standard/66453.html</vt:lpwstr>
      </vt:variant>
      <vt:variant>
        <vt:lpwstr/>
      </vt:variant>
      <vt:variant>
        <vt:i4>3145839</vt:i4>
      </vt:variant>
      <vt:variant>
        <vt:i4>1170</vt:i4>
      </vt:variant>
      <vt:variant>
        <vt:i4>0</vt:i4>
      </vt:variant>
      <vt:variant>
        <vt:i4>5</vt:i4>
      </vt:variant>
      <vt:variant>
        <vt:lpwstr>https://ghgprotocol.org/corporate-standard</vt:lpwstr>
      </vt:variant>
      <vt:variant>
        <vt:lpwstr>supporting-documents</vt:lpwstr>
      </vt:variant>
      <vt:variant>
        <vt:i4>4063347</vt:i4>
      </vt:variant>
      <vt:variant>
        <vt:i4>1167</vt:i4>
      </vt:variant>
      <vt:variant>
        <vt:i4>0</vt:i4>
      </vt:variant>
      <vt:variant>
        <vt:i4>5</vt:i4>
      </vt:variant>
      <vt:variant>
        <vt:lpwstr/>
      </vt:variant>
      <vt:variant>
        <vt:lpwstr>table3</vt:lpwstr>
      </vt:variant>
      <vt:variant>
        <vt:i4>6488124</vt:i4>
      </vt:variant>
      <vt:variant>
        <vt:i4>1164</vt:i4>
      </vt:variant>
      <vt:variant>
        <vt:i4>0</vt:i4>
      </vt:variant>
      <vt:variant>
        <vt:i4>5</vt:i4>
      </vt:variant>
      <vt:variant>
        <vt:lpwstr>https://www.iso.org/standard/66453.html</vt:lpwstr>
      </vt:variant>
      <vt:variant>
        <vt:lpwstr/>
      </vt:variant>
      <vt:variant>
        <vt:i4>4063295</vt:i4>
      </vt:variant>
      <vt:variant>
        <vt:i4>1161</vt:i4>
      </vt:variant>
      <vt:variant>
        <vt:i4>0</vt:i4>
      </vt:variant>
      <vt:variant>
        <vt:i4>5</vt:i4>
      </vt:variant>
      <vt:variant>
        <vt:lpwstr>https://ghgprotocol.org/corporate-standard</vt:lpwstr>
      </vt:variant>
      <vt:variant>
        <vt:lpwstr/>
      </vt:variant>
      <vt:variant>
        <vt:i4>6488124</vt:i4>
      </vt:variant>
      <vt:variant>
        <vt:i4>1158</vt:i4>
      </vt:variant>
      <vt:variant>
        <vt:i4>0</vt:i4>
      </vt:variant>
      <vt:variant>
        <vt:i4>5</vt:i4>
      </vt:variant>
      <vt:variant>
        <vt:lpwstr>https://www.iso.org/standard/66453.html</vt:lpwstr>
      </vt:variant>
      <vt:variant>
        <vt:lpwstr/>
      </vt:variant>
      <vt:variant>
        <vt:i4>983117</vt:i4>
      </vt:variant>
      <vt:variant>
        <vt:i4>1155</vt:i4>
      </vt:variant>
      <vt:variant>
        <vt:i4>0</vt:i4>
      </vt:variant>
      <vt:variant>
        <vt:i4>5</vt:i4>
      </vt:variant>
      <vt:variant>
        <vt:lpwstr>https://environment.govt.nz/publications/new-zealands-greenhouse-gas-inventory-1990-2020/</vt:lpwstr>
      </vt:variant>
      <vt:variant>
        <vt:lpwstr/>
      </vt:variant>
      <vt:variant>
        <vt:i4>2687096</vt:i4>
      </vt:variant>
      <vt:variant>
        <vt:i4>1152</vt:i4>
      </vt:variant>
      <vt:variant>
        <vt:i4>0</vt:i4>
      </vt:variant>
      <vt:variant>
        <vt:i4>5</vt:i4>
      </vt:variant>
      <vt:variant>
        <vt:lpwstr>https://ghgprotocol.org/standards/scope-3-standard</vt:lpwstr>
      </vt:variant>
      <vt:variant>
        <vt:lpwstr/>
      </vt:variant>
      <vt:variant>
        <vt:i4>6488124</vt:i4>
      </vt:variant>
      <vt:variant>
        <vt:i4>1149</vt:i4>
      </vt:variant>
      <vt:variant>
        <vt:i4>0</vt:i4>
      </vt:variant>
      <vt:variant>
        <vt:i4>5</vt:i4>
      </vt:variant>
      <vt:variant>
        <vt:lpwstr>https://www.iso.org/standard/66453.html</vt:lpwstr>
      </vt:variant>
      <vt:variant>
        <vt:lpwstr/>
      </vt:variant>
      <vt:variant>
        <vt:i4>2687093</vt:i4>
      </vt:variant>
      <vt:variant>
        <vt:i4>1146</vt:i4>
      </vt:variant>
      <vt:variant>
        <vt:i4>0</vt:i4>
      </vt:variant>
      <vt:variant>
        <vt:i4>5</vt:i4>
      </vt:variant>
      <vt:variant>
        <vt:lpwstr>https://landcareresearch.sharepoint.com/sites/te00003/projects/MfE Voluntary Guidance Project Library/2020 Update/Draft Guides/Update to https:/www.mfe.govt.nz/publications/climate-change/new-zealands-greenhouse-gas-inventory-1990-2020</vt:lpwstr>
      </vt:variant>
      <vt:variant>
        <vt:lpwstr/>
      </vt:variant>
      <vt:variant>
        <vt:i4>3997755</vt:i4>
      </vt:variant>
      <vt:variant>
        <vt:i4>1143</vt:i4>
      </vt:variant>
      <vt:variant>
        <vt:i4>0</vt:i4>
      </vt:variant>
      <vt:variant>
        <vt:i4>5</vt:i4>
      </vt:variant>
      <vt:variant>
        <vt:lpwstr>http://www.mfe.govt.nz/sites/default/files/media/Climate Change/example-ghg-report.pdf</vt:lpwstr>
      </vt:variant>
      <vt:variant>
        <vt:lpwstr/>
      </vt:variant>
      <vt:variant>
        <vt:i4>327724</vt:i4>
      </vt:variant>
      <vt:variant>
        <vt:i4>1140</vt:i4>
      </vt:variant>
      <vt:variant>
        <vt:i4>0</vt:i4>
      </vt:variant>
      <vt:variant>
        <vt:i4>5</vt:i4>
      </vt:variant>
      <vt:variant>
        <vt:lpwstr/>
      </vt:variant>
      <vt:variant>
        <vt:lpwstr>_Producing_a_GHG</vt:lpwstr>
      </vt:variant>
      <vt:variant>
        <vt:i4>1703986</vt:i4>
      </vt:variant>
      <vt:variant>
        <vt:i4>1137</vt:i4>
      </vt:variant>
      <vt:variant>
        <vt:i4>0</vt:i4>
      </vt:variant>
      <vt:variant>
        <vt:i4>5</vt:i4>
      </vt:variant>
      <vt:variant>
        <vt:lpwstr/>
      </vt:variant>
      <vt:variant>
        <vt:lpwstr>_Verification</vt:lpwstr>
      </vt:variant>
      <vt:variant>
        <vt:i4>4063295</vt:i4>
      </vt:variant>
      <vt:variant>
        <vt:i4>1134</vt:i4>
      </vt:variant>
      <vt:variant>
        <vt:i4>0</vt:i4>
      </vt:variant>
      <vt:variant>
        <vt:i4>5</vt:i4>
      </vt:variant>
      <vt:variant>
        <vt:lpwstr>https://ghgprotocol.org/corporate-standard</vt:lpwstr>
      </vt:variant>
      <vt:variant>
        <vt:lpwstr/>
      </vt:variant>
      <vt:variant>
        <vt:i4>6488124</vt:i4>
      </vt:variant>
      <vt:variant>
        <vt:i4>1131</vt:i4>
      </vt:variant>
      <vt:variant>
        <vt:i4>0</vt:i4>
      </vt:variant>
      <vt:variant>
        <vt:i4>5</vt:i4>
      </vt:variant>
      <vt:variant>
        <vt:lpwstr>https://www.iso.org/standard/66453.html</vt:lpwstr>
      </vt:variant>
      <vt:variant>
        <vt:lpwstr/>
      </vt:variant>
      <vt:variant>
        <vt:i4>327724</vt:i4>
      </vt:variant>
      <vt:variant>
        <vt:i4>1128</vt:i4>
      </vt:variant>
      <vt:variant>
        <vt:i4>0</vt:i4>
      </vt:variant>
      <vt:variant>
        <vt:i4>5</vt:i4>
      </vt:variant>
      <vt:variant>
        <vt:lpwstr/>
      </vt:variant>
      <vt:variant>
        <vt:lpwstr>_Producing_a_GHG</vt:lpwstr>
      </vt:variant>
      <vt:variant>
        <vt:i4>3276811</vt:i4>
      </vt:variant>
      <vt:variant>
        <vt:i4>1125</vt:i4>
      </vt:variant>
      <vt:variant>
        <vt:i4>0</vt:i4>
      </vt:variant>
      <vt:variant>
        <vt:i4>5</vt:i4>
      </vt:variant>
      <vt:variant>
        <vt:lpwstr/>
      </vt:variant>
      <vt:variant>
        <vt:lpwstr>_Step-by-step_inventory_preparation</vt:lpwstr>
      </vt:variant>
      <vt:variant>
        <vt:i4>851976</vt:i4>
      </vt:variant>
      <vt:variant>
        <vt:i4>1122</vt:i4>
      </vt:variant>
      <vt:variant>
        <vt:i4>0</vt:i4>
      </vt:variant>
      <vt:variant>
        <vt:i4>5</vt:i4>
      </vt:variant>
      <vt:variant>
        <vt:lpwstr>https://www.mfe.govt.nz/publications/climate-change/measuring-emissions-guide-organisations-%E2%80%93-summary-of-emission-factors</vt:lpwstr>
      </vt:variant>
      <vt:variant>
        <vt:lpwstr/>
      </vt:variant>
      <vt:variant>
        <vt:i4>3997755</vt:i4>
      </vt:variant>
      <vt:variant>
        <vt:i4>1119</vt:i4>
      </vt:variant>
      <vt:variant>
        <vt:i4>0</vt:i4>
      </vt:variant>
      <vt:variant>
        <vt:i4>5</vt:i4>
      </vt:variant>
      <vt:variant>
        <vt:lpwstr>http://www.mfe.govt.nz/sites/default/files/media/Climate Change/example-ghg-report.pdf</vt:lpwstr>
      </vt:variant>
      <vt:variant>
        <vt:lpwstr/>
      </vt:variant>
      <vt:variant>
        <vt:i4>6488124</vt:i4>
      </vt:variant>
      <vt:variant>
        <vt:i4>1116</vt:i4>
      </vt:variant>
      <vt:variant>
        <vt:i4>0</vt:i4>
      </vt:variant>
      <vt:variant>
        <vt:i4>5</vt:i4>
      </vt:variant>
      <vt:variant>
        <vt:lpwstr>https://www.iso.org/standard/66453.html</vt:lpwstr>
      </vt:variant>
      <vt:variant>
        <vt:lpwstr/>
      </vt:variant>
      <vt:variant>
        <vt:i4>2687096</vt:i4>
      </vt:variant>
      <vt:variant>
        <vt:i4>1110</vt:i4>
      </vt:variant>
      <vt:variant>
        <vt:i4>0</vt:i4>
      </vt:variant>
      <vt:variant>
        <vt:i4>5</vt:i4>
      </vt:variant>
      <vt:variant>
        <vt:lpwstr>https://ghgprotocol.org/standards/scope-3-standard</vt:lpwstr>
      </vt:variant>
      <vt:variant>
        <vt:lpwstr/>
      </vt:variant>
      <vt:variant>
        <vt:i4>6488124</vt:i4>
      </vt:variant>
      <vt:variant>
        <vt:i4>1107</vt:i4>
      </vt:variant>
      <vt:variant>
        <vt:i4>0</vt:i4>
      </vt:variant>
      <vt:variant>
        <vt:i4>5</vt:i4>
      </vt:variant>
      <vt:variant>
        <vt:lpwstr>https://www.iso.org/standard/66453.html</vt:lpwstr>
      </vt:variant>
      <vt:variant>
        <vt:lpwstr/>
      </vt:variant>
      <vt:variant>
        <vt:i4>4063295</vt:i4>
      </vt:variant>
      <vt:variant>
        <vt:i4>1104</vt:i4>
      </vt:variant>
      <vt:variant>
        <vt:i4>0</vt:i4>
      </vt:variant>
      <vt:variant>
        <vt:i4>5</vt:i4>
      </vt:variant>
      <vt:variant>
        <vt:lpwstr>https://ghgprotocol.org/corporate-standard</vt:lpwstr>
      </vt:variant>
      <vt:variant>
        <vt:lpwstr/>
      </vt:variant>
      <vt:variant>
        <vt:i4>4063295</vt:i4>
      </vt:variant>
      <vt:variant>
        <vt:i4>1101</vt:i4>
      </vt:variant>
      <vt:variant>
        <vt:i4>0</vt:i4>
      </vt:variant>
      <vt:variant>
        <vt:i4>5</vt:i4>
      </vt:variant>
      <vt:variant>
        <vt:lpwstr>https://ghgprotocol.org/corporate-standard</vt:lpwstr>
      </vt:variant>
      <vt:variant>
        <vt:lpwstr/>
      </vt:variant>
      <vt:variant>
        <vt:i4>2293803</vt:i4>
      </vt:variant>
      <vt:variant>
        <vt:i4>1098</vt:i4>
      </vt:variant>
      <vt:variant>
        <vt:i4>0</vt:i4>
      </vt:variant>
      <vt:variant>
        <vt:i4>5</vt:i4>
      </vt:variant>
      <vt:variant>
        <vt:lpwstr>http://www.ghgprotocol.org/standards/corporate-standard</vt:lpwstr>
      </vt:variant>
      <vt:variant>
        <vt:lpwstr/>
      </vt:variant>
      <vt:variant>
        <vt:i4>6488124</vt:i4>
      </vt:variant>
      <vt:variant>
        <vt:i4>1095</vt:i4>
      </vt:variant>
      <vt:variant>
        <vt:i4>0</vt:i4>
      </vt:variant>
      <vt:variant>
        <vt:i4>5</vt:i4>
      </vt:variant>
      <vt:variant>
        <vt:lpwstr>https://www.iso.org/standard/66453.html</vt:lpwstr>
      </vt:variant>
      <vt:variant>
        <vt:lpwstr/>
      </vt:variant>
      <vt:variant>
        <vt:i4>4063295</vt:i4>
      </vt:variant>
      <vt:variant>
        <vt:i4>1092</vt:i4>
      </vt:variant>
      <vt:variant>
        <vt:i4>0</vt:i4>
      </vt:variant>
      <vt:variant>
        <vt:i4>5</vt:i4>
      </vt:variant>
      <vt:variant>
        <vt:lpwstr>https://ghgprotocol.org/corporate-standard</vt:lpwstr>
      </vt:variant>
      <vt:variant>
        <vt:lpwstr/>
      </vt:variant>
      <vt:variant>
        <vt:i4>6488124</vt:i4>
      </vt:variant>
      <vt:variant>
        <vt:i4>1089</vt:i4>
      </vt:variant>
      <vt:variant>
        <vt:i4>0</vt:i4>
      </vt:variant>
      <vt:variant>
        <vt:i4>5</vt:i4>
      </vt:variant>
      <vt:variant>
        <vt:lpwstr>https://www.iso.org/standard/66453.html</vt:lpwstr>
      </vt:variant>
      <vt:variant>
        <vt:lpwstr/>
      </vt:variant>
      <vt:variant>
        <vt:i4>3604528</vt:i4>
      </vt:variant>
      <vt:variant>
        <vt:i4>1086</vt:i4>
      </vt:variant>
      <vt:variant>
        <vt:i4>0</vt:i4>
      </vt:variant>
      <vt:variant>
        <vt:i4>5</vt:i4>
      </vt:variant>
      <vt:variant>
        <vt:lpwstr>http://www.ipcc-nggip.iges.or.jp/public/2006gl/</vt:lpwstr>
      </vt:variant>
      <vt:variant>
        <vt:lpwstr/>
      </vt:variant>
      <vt:variant>
        <vt:i4>983117</vt:i4>
      </vt:variant>
      <vt:variant>
        <vt:i4>1080</vt:i4>
      </vt:variant>
      <vt:variant>
        <vt:i4>0</vt:i4>
      </vt:variant>
      <vt:variant>
        <vt:i4>5</vt:i4>
      </vt:variant>
      <vt:variant>
        <vt:lpwstr>https://environment.govt.nz/publications/new-zealands-greenhouse-gas-inventory-1990-2020/</vt:lpwstr>
      </vt:variant>
      <vt:variant>
        <vt:lpwstr/>
      </vt:variant>
      <vt:variant>
        <vt:i4>6488124</vt:i4>
      </vt:variant>
      <vt:variant>
        <vt:i4>1077</vt:i4>
      </vt:variant>
      <vt:variant>
        <vt:i4>0</vt:i4>
      </vt:variant>
      <vt:variant>
        <vt:i4>5</vt:i4>
      </vt:variant>
      <vt:variant>
        <vt:lpwstr>https://www.iso.org/standard/66453.html</vt:lpwstr>
      </vt:variant>
      <vt:variant>
        <vt:lpwstr/>
      </vt:variant>
      <vt:variant>
        <vt:i4>1310793</vt:i4>
      </vt:variant>
      <vt:variant>
        <vt:i4>1071</vt:i4>
      </vt:variant>
      <vt:variant>
        <vt:i4>0</vt:i4>
      </vt:variant>
      <vt:variant>
        <vt:i4>5</vt:i4>
      </vt:variant>
      <vt:variant>
        <vt:lpwstr>https://ghgprotocol.org/greenhouse-gas-protocol-accounting-reporting-standard-cities</vt:lpwstr>
      </vt:variant>
      <vt:variant>
        <vt:lpwstr/>
      </vt:variant>
      <vt:variant>
        <vt:i4>3997732</vt:i4>
      </vt:variant>
      <vt:variant>
        <vt:i4>1068</vt:i4>
      </vt:variant>
      <vt:variant>
        <vt:i4>0</vt:i4>
      </vt:variant>
      <vt:variant>
        <vt:i4>5</vt:i4>
      </vt:variant>
      <vt:variant>
        <vt:lpwstr>https://environment.govt.nz/publications/interim-guidance-for-voluntary-climate-change-mitigation/</vt:lpwstr>
      </vt:variant>
      <vt:variant>
        <vt:lpwstr/>
      </vt:variant>
      <vt:variant>
        <vt:i4>2424879</vt:i4>
      </vt:variant>
      <vt:variant>
        <vt:i4>1065</vt:i4>
      </vt:variant>
      <vt:variant>
        <vt:i4>0</vt:i4>
      </vt:variant>
      <vt:variant>
        <vt:i4>5</vt:i4>
      </vt:variant>
      <vt:variant>
        <vt:lpwstr>https://lcanz.org.nz/lca-guidance/lca-resources/</vt:lpwstr>
      </vt:variant>
      <vt:variant>
        <vt:lpwstr>LCI</vt:lpwstr>
      </vt:variant>
      <vt:variant>
        <vt:i4>1769571</vt:i4>
      </vt:variant>
      <vt:variant>
        <vt:i4>1062</vt:i4>
      </vt:variant>
      <vt:variant>
        <vt:i4>0</vt:i4>
      </vt:variant>
      <vt:variant>
        <vt:i4>5</vt:i4>
      </vt:variant>
      <vt:variant>
        <vt:lpwstr>mailto:cngp@mfe.govt.nz</vt:lpwstr>
      </vt:variant>
      <vt:variant>
        <vt:lpwstr/>
      </vt:variant>
      <vt:variant>
        <vt:i4>2555922</vt:i4>
      </vt:variant>
      <vt:variant>
        <vt:i4>1059</vt:i4>
      </vt:variant>
      <vt:variant>
        <vt:i4>0</vt:i4>
      </vt:variant>
      <vt:variant>
        <vt:i4>5</vt:i4>
      </vt:variant>
      <vt:variant>
        <vt:lpwstr>mailto:emissions-guide@mfe.govt.nz</vt:lpwstr>
      </vt:variant>
      <vt:variant>
        <vt:lpwstr/>
      </vt:variant>
      <vt:variant>
        <vt:i4>4128770</vt:i4>
      </vt:variant>
      <vt:variant>
        <vt:i4>1053</vt:i4>
      </vt:variant>
      <vt:variant>
        <vt:i4>0</vt:i4>
      </vt:variant>
      <vt:variant>
        <vt:i4>5</vt:i4>
      </vt:variant>
      <vt:variant>
        <vt:lpwstr/>
      </vt:variant>
      <vt:variant>
        <vt:lpwstr>_How_to_quantify</vt:lpwstr>
      </vt:variant>
      <vt:variant>
        <vt:i4>2621461</vt:i4>
      </vt:variant>
      <vt:variant>
        <vt:i4>1050</vt:i4>
      </vt:variant>
      <vt:variant>
        <vt:i4>0</vt:i4>
      </vt:variant>
      <vt:variant>
        <vt:i4>5</vt:i4>
      </vt:variant>
      <vt:variant>
        <vt:lpwstr/>
      </vt:variant>
      <vt:variant>
        <vt:lpwstr>_Standards_to_follow</vt:lpwstr>
      </vt:variant>
      <vt:variant>
        <vt:i4>6488124</vt:i4>
      </vt:variant>
      <vt:variant>
        <vt:i4>1047</vt:i4>
      </vt:variant>
      <vt:variant>
        <vt:i4>0</vt:i4>
      </vt:variant>
      <vt:variant>
        <vt:i4>5</vt:i4>
      </vt:variant>
      <vt:variant>
        <vt:lpwstr>https://www.iso.org/standard/66453.html</vt:lpwstr>
      </vt:variant>
      <vt:variant>
        <vt:lpwstr/>
      </vt:variant>
      <vt:variant>
        <vt:i4>2293803</vt:i4>
      </vt:variant>
      <vt:variant>
        <vt:i4>1044</vt:i4>
      </vt:variant>
      <vt:variant>
        <vt:i4>0</vt:i4>
      </vt:variant>
      <vt:variant>
        <vt:i4>5</vt:i4>
      </vt:variant>
      <vt:variant>
        <vt:lpwstr>http://www.ghgprotocol.org/standards/corporate-standard</vt:lpwstr>
      </vt:variant>
      <vt:variant>
        <vt:lpwstr/>
      </vt:variant>
      <vt:variant>
        <vt:i4>983117</vt:i4>
      </vt:variant>
      <vt:variant>
        <vt:i4>1041</vt:i4>
      </vt:variant>
      <vt:variant>
        <vt:i4>0</vt:i4>
      </vt:variant>
      <vt:variant>
        <vt:i4>5</vt:i4>
      </vt:variant>
      <vt:variant>
        <vt:lpwstr>https://environment.govt.nz/publications/new-zealands-greenhouse-gas-inventory-1990-2020/</vt:lpwstr>
      </vt:variant>
      <vt:variant>
        <vt:lpwstr/>
      </vt:variant>
      <vt:variant>
        <vt:i4>2752637</vt:i4>
      </vt:variant>
      <vt:variant>
        <vt:i4>1038</vt:i4>
      </vt:variant>
      <vt:variant>
        <vt:i4>0</vt:i4>
      </vt:variant>
      <vt:variant>
        <vt:i4>5</vt:i4>
      </vt:variant>
      <vt:variant>
        <vt:lpwstr>https://environment.govt.nz/site-search/?keyword=guidance%20for%20voluntary%20greenhouse%20gas%20reporting</vt:lpwstr>
      </vt:variant>
      <vt:variant>
        <vt:lpwstr/>
      </vt:variant>
      <vt:variant>
        <vt:i4>1703986</vt:i4>
      </vt:variant>
      <vt:variant>
        <vt:i4>1031</vt:i4>
      </vt:variant>
      <vt:variant>
        <vt:i4>0</vt:i4>
      </vt:variant>
      <vt:variant>
        <vt:i4>5</vt:i4>
      </vt:variant>
      <vt:variant>
        <vt:lpwstr/>
      </vt:variant>
      <vt:variant>
        <vt:lpwstr>_Toc99806753</vt:lpwstr>
      </vt:variant>
      <vt:variant>
        <vt:i4>1310770</vt:i4>
      </vt:variant>
      <vt:variant>
        <vt:i4>1022</vt:i4>
      </vt:variant>
      <vt:variant>
        <vt:i4>0</vt:i4>
      </vt:variant>
      <vt:variant>
        <vt:i4>5</vt:i4>
      </vt:variant>
      <vt:variant>
        <vt:lpwstr/>
      </vt:variant>
      <vt:variant>
        <vt:lpwstr>_Toc100151633</vt:lpwstr>
      </vt:variant>
      <vt:variant>
        <vt:i4>1310770</vt:i4>
      </vt:variant>
      <vt:variant>
        <vt:i4>1016</vt:i4>
      </vt:variant>
      <vt:variant>
        <vt:i4>0</vt:i4>
      </vt:variant>
      <vt:variant>
        <vt:i4>5</vt:i4>
      </vt:variant>
      <vt:variant>
        <vt:lpwstr/>
      </vt:variant>
      <vt:variant>
        <vt:lpwstr>_Toc100151632</vt:lpwstr>
      </vt:variant>
      <vt:variant>
        <vt:i4>1310770</vt:i4>
      </vt:variant>
      <vt:variant>
        <vt:i4>1010</vt:i4>
      </vt:variant>
      <vt:variant>
        <vt:i4>0</vt:i4>
      </vt:variant>
      <vt:variant>
        <vt:i4>5</vt:i4>
      </vt:variant>
      <vt:variant>
        <vt:lpwstr/>
      </vt:variant>
      <vt:variant>
        <vt:lpwstr>_Toc100151631</vt:lpwstr>
      </vt:variant>
      <vt:variant>
        <vt:i4>1310770</vt:i4>
      </vt:variant>
      <vt:variant>
        <vt:i4>1004</vt:i4>
      </vt:variant>
      <vt:variant>
        <vt:i4>0</vt:i4>
      </vt:variant>
      <vt:variant>
        <vt:i4>5</vt:i4>
      </vt:variant>
      <vt:variant>
        <vt:lpwstr/>
      </vt:variant>
      <vt:variant>
        <vt:lpwstr>_Toc100151630</vt:lpwstr>
      </vt:variant>
      <vt:variant>
        <vt:i4>1376306</vt:i4>
      </vt:variant>
      <vt:variant>
        <vt:i4>998</vt:i4>
      </vt:variant>
      <vt:variant>
        <vt:i4>0</vt:i4>
      </vt:variant>
      <vt:variant>
        <vt:i4>5</vt:i4>
      </vt:variant>
      <vt:variant>
        <vt:lpwstr/>
      </vt:variant>
      <vt:variant>
        <vt:lpwstr>_Toc100151629</vt:lpwstr>
      </vt:variant>
      <vt:variant>
        <vt:i4>1376306</vt:i4>
      </vt:variant>
      <vt:variant>
        <vt:i4>992</vt:i4>
      </vt:variant>
      <vt:variant>
        <vt:i4>0</vt:i4>
      </vt:variant>
      <vt:variant>
        <vt:i4>5</vt:i4>
      </vt:variant>
      <vt:variant>
        <vt:lpwstr/>
      </vt:variant>
      <vt:variant>
        <vt:lpwstr>_Toc100151628</vt:lpwstr>
      </vt:variant>
      <vt:variant>
        <vt:i4>1376306</vt:i4>
      </vt:variant>
      <vt:variant>
        <vt:i4>986</vt:i4>
      </vt:variant>
      <vt:variant>
        <vt:i4>0</vt:i4>
      </vt:variant>
      <vt:variant>
        <vt:i4>5</vt:i4>
      </vt:variant>
      <vt:variant>
        <vt:lpwstr/>
      </vt:variant>
      <vt:variant>
        <vt:lpwstr>_Toc100151627</vt:lpwstr>
      </vt:variant>
      <vt:variant>
        <vt:i4>1376306</vt:i4>
      </vt:variant>
      <vt:variant>
        <vt:i4>980</vt:i4>
      </vt:variant>
      <vt:variant>
        <vt:i4>0</vt:i4>
      </vt:variant>
      <vt:variant>
        <vt:i4>5</vt:i4>
      </vt:variant>
      <vt:variant>
        <vt:lpwstr/>
      </vt:variant>
      <vt:variant>
        <vt:lpwstr>_Toc100151626</vt:lpwstr>
      </vt:variant>
      <vt:variant>
        <vt:i4>1376306</vt:i4>
      </vt:variant>
      <vt:variant>
        <vt:i4>974</vt:i4>
      </vt:variant>
      <vt:variant>
        <vt:i4>0</vt:i4>
      </vt:variant>
      <vt:variant>
        <vt:i4>5</vt:i4>
      </vt:variant>
      <vt:variant>
        <vt:lpwstr/>
      </vt:variant>
      <vt:variant>
        <vt:lpwstr>_Toc100151625</vt:lpwstr>
      </vt:variant>
      <vt:variant>
        <vt:i4>1376306</vt:i4>
      </vt:variant>
      <vt:variant>
        <vt:i4>968</vt:i4>
      </vt:variant>
      <vt:variant>
        <vt:i4>0</vt:i4>
      </vt:variant>
      <vt:variant>
        <vt:i4>5</vt:i4>
      </vt:variant>
      <vt:variant>
        <vt:lpwstr/>
      </vt:variant>
      <vt:variant>
        <vt:lpwstr>_Toc100151624</vt:lpwstr>
      </vt:variant>
      <vt:variant>
        <vt:i4>1376306</vt:i4>
      </vt:variant>
      <vt:variant>
        <vt:i4>962</vt:i4>
      </vt:variant>
      <vt:variant>
        <vt:i4>0</vt:i4>
      </vt:variant>
      <vt:variant>
        <vt:i4>5</vt:i4>
      </vt:variant>
      <vt:variant>
        <vt:lpwstr/>
      </vt:variant>
      <vt:variant>
        <vt:lpwstr>_Toc100151623</vt:lpwstr>
      </vt:variant>
      <vt:variant>
        <vt:i4>1376306</vt:i4>
      </vt:variant>
      <vt:variant>
        <vt:i4>956</vt:i4>
      </vt:variant>
      <vt:variant>
        <vt:i4>0</vt:i4>
      </vt:variant>
      <vt:variant>
        <vt:i4>5</vt:i4>
      </vt:variant>
      <vt:variant>
        <vt:lpwstr/>
      </vt:variant>
      <vt:variant>
        <vt:lpwstr>_Toc100151622</vt:lpwstr>
      </vt:variant>
      <vt:variant>
        <vt:i4>1376306</vt:i4>
      </vt:variant>
      <vt:variant>
        <vt:i4>950</vt:i4>
      </vt:variant>
      <vt:variant>
        <vt:i4>0</vt:i4>
      </vt:variant>
      <vt:variant>
        <vt:i4>5</vt:i4>
      </vt:variant>
      <vt:variant>
        <vt:lpwstr/>
      </vt:variant>
      <vt:variant>
        <vt:lpwstr>_Toc100151621</vt:lpwstr>
      </vt:variant>
      <vt:variant>
        <vt:i4>1376306</vt:i4>
      </vt:variant>
      <vt:variant>
        <vt:i4>944</vt:i4>
      </vt:variant>
      <vt:variant>
        <vt:i4>0</vt:i4>
      </vt:variant>
      <vt:variant>
        <vt:i4>5</vt:i4>
      </vt:variant>
      <vt:variant>
        <vt:lpwstr/>
      </vt:variant>
      <vt:variant>
        <vt:lpwstr>_Toc100151620</vt:lpwstr>
      </vt:variant>
      <vt:variant>
        <vt:i4>1441842</vt:i4>
      </vt:variant>
      <vt:variant>
        <vt:i4>938</vt:i4>
      </vt:variant>
      <vt:variant>
        <vt:i4>0</vt:i4>
      </vt:variant>
      <vt:variant>
        <vt:i4>5</vt:i4>
      </vt:variant>
      <vt:variant>
        <vt:lpwstr/>
      </vt:variant>
      <vt:variant>
        <vt:lpwstr>_Toc100151619</vt:lpwstr>
      </vt:variant>
      <vt:variant>
        <vt:i4>1441842</vt:i4>
      </vt:variant>
      <vt:variant>
        <vt:i4>932</vt:i4>
      </vt:variant>
      <vt:variant>
        <vt:i4>0</vt:i4>
      </vt:variant>
      <vt:variant>
        <vt:i4>5</vt:i4>
      </vt:variant>
      <vt:variant>
        <vt:lpwstr/>
      </vt:variant>
      <vt:variant>
        <vt:lpwstr>_Toc100151618</vt:lpwstr>
      </vt:variant>
      <vt:variant>
        <vt:i4>1441842</vt:i4>
      </vt:variant>
      <vt:variant>
        <vt:i4>926</vt:i4>
      </vt:variant>
      <vt:variant>
        <vt:i4>0</vt:i4>
      </vt:variant>
      <vt:variant>
        <vt:i4>5</vt:i4>
      </vt:variant>
      <vt:variant>
        <vt:lpwstr/>
      </vt:variant>
      <vt:variant>
        <vt:lpwstr>_Toc100151617</vt:lpwstr>
      </vt:variant>
      <vt:variant>
        <vt:i4>1441842</vt:i4>
      </vt:variant>
      <vt:variant>
        <vt:i4>920</vt:i4>
      </vt:variant>
      <vt:variant>
        <vt:i4>0</vt:i4>
      </vt:variant>
      <vt:variant>
        <vt:i4>5</vt:i4>
      </vt:variant>
      <vt:variant>
        <vt:lpwstr/>
      </vt:variant>
      <vt:variant>
        <vt:lpwstr>_Toc100151616</vt:lpwstr>
      </vt:variant>
      <vt:variant>
        <vt:i4>1441842</vt:i4>
      </vt:variant>
      <vt:variant>
        <vt:i4>914</vt:i4>
      </vt:variant>
      <vt:variant>
        <vt:i4>0</vt:i4>
      </vt:variant>
      <vt:variant>
        <vt:i4>5</vt:i4>
      </vt:variant>
      <vt:variant>
        <vt:lpwstr/>
      </vt:variant>
      <vt:variant>
        <vt:lpwstr>_Toc100151615</vt:lpwstr>
      </vt:variant>
      <vt:variant>
        <vt:i4>1441842</vt:i4>
      </vt:variant>
      <vt:variant>
        <vt:i4>908</vt:i4>
      </vt:variant>
      <vt:variant>
        <vt:i4>0</vt:i4>
      </vt:variant>
      <vt:variant>
        <vt:i4>5</vt:i4>
      </vt:variant>
      <vt:variant>
        <vt:lpwstr/>
      </vt:variant>
      <vt:variant>
        <vt:lpwstr>_Toc100151614</vt:lpwstr>
      </vt:variant>
      <vt:variant>
        <vt:i4>1441842</vt:i4>
      </vt:variant>
      <vt:variant>
        <vt:i4>902</vt:i4>
      </vt:variant>
      <vt:variant>
        <vt:i4>0</vt:i4>
      </vt:variant>
      <vt:variant>
        <vt:i4>5</vt:i4>
      </vt:variant>
      <vt:variant>
        <vt:lpwstr/>
      </vt:variant>
      <vt:variant>
        <vt:lpwstr>_Toc100151613</vt:lpwstr>
      </vt:variant>
      <vt:variant>
        <vt:i4>1441842</vt:i4>
      </vt:variant>
      <vt:variant>
        <vt:i4>896</vt:i4>
      </vt:variant>
      <vt:variant>
        <vt:i4>0</vt:i4>
      </vt:variant>
      <vt:variant>
        <vt:i4>5</vt:i4>
      </vt:variant>
      <vt:variant>
        <vt:lpwstr/>
      </vt:variant>
      <vt:variant>
        <vt:lpwstr>_Toc100151612</vt:lpwstr>
      </vt:variant>
      <vt:variant>
        <vt:i4>1441842</vt:i4>
      </vt:variant>
      <vt:variant>
        <vt:i4>890</vt:i4>
      </vt:variant>
      <vt:variant>
        <vt:i4>0</vt:i4>
      </vt:variant>
      <vt:variant>
        <vt:i4>5</vt:i4>
      </vt:variant>
      <vt:variant>
        <vt:lpwstr/>
      </vt:variant>
      <vt:variant>
        <vt:lpwstr>_Toc100151611</vt:lpwstr>
      </vt:variant>
      <vt:variant>
        <vt:i4>1441842</vt:i4>
      </vt:variant>
      <vt:variant>
        <vt:i4>884</vt:i4>
      </vt:variant>
      <vt:variant>
        <vt:i4>0</vt:i4>
      </vt:variant>
      <vt:variant>
        <vt:i4>5</vt:i4>
      </vt:variant>
      <vt:variant>
        <vt:lpwstr/>
      </vt:variant>
      <vt:variant>
        <vt:lpwstr>_Toc100151610</vt:lpwstr>
      </vt:variant>
      <vt:variant>
        <vt:i4>1507378</vt:i4>
      </vt:variant>
      <vt:variant>
        <vt:i4>878</vt:i4>
      </vt:variant>
      <vt:variant>
        <vt:i4>0</vt:i4>
      </vt:variant>
      <vt:variant>
        <vt:i4>5</vt:i4>
      </vt:variant>
      <vt:variant>
        <vt:lpwstr/>
      </vt:variant>
      <vt:variant>
        <vt:lpwstr>_Toc100151609</vt:lpwstr>
      </vt:variant>
      <vt:variant>
        <vt:i4>1507378</vt:i4>
      </vt:variant>
      <vt:variant>
        <vt:i4>872</vt:i4>
      </vt:variant>
      <vt:variant>
        <vt:i4>0</vt:i4>
      </vt:variant>
      <vt:variant>
        <vt:i4>5</vt:i4>
      </vt:variant>
      <vt:variant>
        <vt:lpwstr/>
      </vt:variant>
      <vt:variant>
        <vt:lpwstr>_Toc100151608</vt:lpwstr>
      </vt:variant>
      <vt:variant>
        <vt:i4>1507378</vt:i4>
      </vt:variant>
      <vt:variant>
        <vt:i4>866</vt:i4>
      </vt:variant>
      <vt:variant>
        <vt:i4>0</vt:i4>
      </vt:variant>
      <vt:variant>
        <vt:i4>5</vt:i4>
      </vt:variant>
      <vt:variant>
        <vt:lpwstr/>
      </vt:variant>
      <vt:variant>
        <vt:lpwstr>_Toc100151607</vt:lpwstr>
      </vt:variant>
      <vt:variant>
        <vt:i4>1507378</vt:i4>
      </vt:variant>
      <vt:variant>
        <vt:i4>860</vt:i4>
      </vt:variant>
      <vt:variant>
        <vt:i4>0</vt:i4>
      </vt:variant>
      <vt:variant>
        <vt:i4>5</vt:i4>
      </vt:variant>
      <vt:variant>
        <vt:lpwstr/>
      </vt:variant>
      <vt:variant>
        <vt:lpwstr>_Toc100151606</vt:lpwstr>
      </vt:variant>
      <vt:variant>
        <vt:i4>1507378</vt:i4>
      </vt:variant>
      <vt:variant>
        <vt:i4>854</vt:i4>
      </vt:variant>
      <vt:variant>
        <vt:i4>0</vt:i4>
      </vt:variant>
      <vt:variant>
        <vt:i4>5</vt:i4>
      </vt:variant>
      <vt:variant>
        <vt:lpwstr/>
      </vt:variant>
      <vt:variant>
        <vt:lpwstr>_Toc100151605</vt:lpwstr>
      </vt:variant>
      <vt:variant>
        <vt:i4>1507378</vt:i4>
      </vt:variant>
      <vt:variant>
        <vt:i4>848</vt:i4>
      </vt:variant>
      <vt:variant>
        <vt:i4>0</vt:i4>
      </vt:variant>
      <vt:variant>
        <vt:i4>5</vt:i4>
      </vt:variant>
      <vt:variant>
        <vt:lpwstr/>
      </vt:variant>
      <vt:variant>
        <vt:lpwstr>_Toc100151604</vt:lpwstr>
      </vt:variant>
      <vt:variant>
        <vt:i4>1507378</vt:i4>
      </vt:variant>
      <vt:variant>
        <vt:i4>842</vt:i4>
      </vt:variant>
      <vt:variant>
        <vt:i4>0</vt:i4>
      </vt:variant>
      <vt:variant>
        <vt:i4>5</vt:i4>
      </vt:variant>
      <vt:variant>
        <vt:lpwstr/>
      </vt:variant>
      <vt:variant>
        <vt:lpwstr>_Toc100151603</vt:lpwstr>
      </vt:variant>
      <vt:variant>
        <vt:i4>1507378</vt:i4>
      </vt:variant>
      <vt:variant>
        <vt:i4>836</vt:i4>
      </vt:variant>
      <vt:variant>
        <vt:i4>0</vt:i4>
      </vt:variant>
      <vt:variant>
        <vt:i4>5</vt:i4>
      </vt:variant>
      <vt:variant>
        <vt:lpwstr/>
      </vt:variant>
      <vt:variant>
        <vt:lpwstr>_Toc100151602</vt:lpwstr>
      </vt:variant>
      <vt:variant>
        <vt:i4>1507378</vt:i4>
      </vt:variant>
      <vt:variant>
        <vt:i4>830</vt:i4>
      </vt:variant>
      <vt:variant>
        <vt:i4>0</vt:i4>
      </vt:variant>
      <vt:variant>
        <vt:i4>5</vt:i4>
      </vt:variant>
      <vt:variant>
        <vt:lpwstr/>
      </vt:variant>
      <vt:variant>
        <vt:lpwstr>_Toc100151601</vt:lpwstr>
      </vt:variant>
      <vt:variant>
        <vt:i4>1507378</vt:i4>
      </vt:variant>
      <vt:variant>
        <vt:i4>824</vt:i4>
      </vt:variant>
      <vt:variant>
        <vt:i4>0</vt:i4>
      </vt:variant>
      <vt:variant>
        <vt:i4>5</vt:i4>
      </vt:variant>
      <vt:variant>
        <vt:lpwstr/>
      </vt:variant>
      <vt:variant>
        <vt:lpwstr>_Toc100151600</vt:lpwstr>
      </vt:variant>
      <vt:variant>
        <vt:i4>1966129</vt:i4>
      </vt:variant>
      <vt:variant>
        <vt:i4>818</vt:i4>
      </vt:variant>
      <vt:variant>
        <vt:i4>0</vt:i4>
      </vt:variant>
      <vt:variant>
        <vt:i4>5</vt:i4>
      </vt:variant>
      <vt:variant>
        <vt:lpwstr/>
      </vt:variant>
      <vt:variant>
        <vt:lpwstr>_Toc100151599</vt:lpwstr>
      </vt:variant>
      <vt:variant>
        <vt:i4>1966129</vt:i4>
      </vt:variant>
      <vt:variant>
        <vt:i4>812</vt:i4>
      </vt:variant>
      <vt:variant>
        <vt:i4>0</vt:i4>
      </vt:variant>
      <vt:variant>
        <vt:i4>5</vt:i4>
      </vt:variant>
      <vt:variant>
        <vt:lpwstr/>
      </vt:variant>
      <vt:variant>
        <vt:lpwstr>_Toc100151598</vt:lpwstr>
      </vt:variant>
      <vt:variant>
        <vt:i4>1966129</vt:i4>
      </vt:variant>
      <vt:variant>
        <vt:i4>806</vt:i4>
      </vt:variant>
      <vt:variant>
        <vt:i4>0</vt:i4>
      </vt:variant>
      <vt:variant>
        <vt:i4>5</vt:i4>
      </vt:variant>
      <vt:variant>
        <vt:lpwstr/>
      </vt:variant>
      <vt:variant>
        <vt:lpwstr>_Toc100151597</vt:lpwstr>
      </vt:variant>
      <vt:variant>
        <vt:i4>1966129</vt:i4>
      </vt:variant>
      <vt:variant>
        <vt:i4>800</vt:i4>
      </vt:variant>
      <vt:variant>
        <vt:i4>0</vt:i4>
      </vt:variant>
      <vt:variant>
        <vt:i4>5</vt:i4>
      </vt:variant>
      <vt:variant>
        <vt:lpwstr/>
      </vt:variant>
      <vt:variant>
        <vt:lpwstr>_Toc100151596</vt:lpwstr>
      </vt:variant>
      <vt:variant>
        <vt:i4>1966129</vt:i4>
      </vt:variant>
      <vt:variant>
        <vt:i4>794</vt:i4>
      </vt:variant>
      <vt:variant>
        <vt:i4>0</vt:i4>
      </vt:variant>
      <vt:variant>
        <vt:i4>5</vt:i4>
      </vt:variant>
      <vt:variant>
        <vt:lpwstr/>
      </vt:variant>
      <vt:variant>
        <vt:lpwstr>_Toc100151595</vt:lpwstr>
      </vt:variant>
      <vt:variant>
        <vt:i4>1966129</vt:i4>
      </vt:variant>
      <vt:variant>
        <vt:i4>788</vt:i4>
      </vt:variant>
      <vt:variant>
        <vt:i4>0</vt:i4>
      </vt:variant>
      <vt:variant>
        <vt:i4>5</vt:i4>
      </vt:variant>
      <vt:variant>
        <vt:lpwstr/>
      </vt:variant>
      <vt:variant>
        <vt:lpwstr>_Toc100151594</vt:lpwstr>
      </vt:variant>
      <vt:variant>
        <vt:i4>1966129</vt:i4>
      </vt:variant>
      <vt:variant>
        <vt:i4>782</vt:i4>
      </vt:variant>
      <vt:variant>
        <vt:i4>0</vt:i4>
      </vt:variant>
      <vt:variant>
        <vt:i4>5</vt:i4>
      </vt:variant>
      <vt:variant>
        <vt:lpwstr/>
      </vt:variant>
      <vt:variant>
        <vt:lpwstr>_Toc100151593</vt:lpwstr>
      </vt:variant>
      <vt:variant>
        <vt:i4>1966129</vt:i4>
      </vt:variant>
      <vt:variant>
        <vt:i4>776</vt:i4>
      </vt:variant>
      <vt:variant>
        <vt:i4>0</vt:i4>
      </vt:variant>
      <vt:variant>
        <vt:i4>5</vt:i4>
      </vt:variant>
      <vt:variant>
        <vt:lpwstr/>
      </vt:variant>
      <vt:variant>
        <vt:lpwstr>_Toc100151592</vt:lpwstr>
      </vt:variant>
      <vt:variant>
        <vt:i4>1966129</vt:i4>
      </vt:variant>
      <vt:variant>
        <vt:i4>770</vt:i4>
      </vt:variant>
      <vt:variant>
        <vt:i4>0</vt:i4>
      </vt:variant>
      <vt:variant>
        <vt:i4>5</vt:i4>
      </vt:variant>
      <vt:variant>
        <vt:lpwstr/>
      </vt:variant>
      <vt:variant>
        <vt:lpwstr>_Toc100151591</vt:lpwstr>
      </vt:variant>
      <vt:variant>
        <vt:i4>1966129</vt:i4>
      </vt:variant>
      <vt:variant>
        <vt:i4>764</vt:i4>
      </vt:variant>
      <vt:variant>
        <vt:i4>0</vt:i4>
      </vt:variant>
      <vt:variant>
        <vt:i4>5</vt:i4>
      </vt:variant>
      <vt:variant>
        <vt:lpwstr/>
      </vt:variant>
      <vt:variant>
        <vt:lpwstr>_Toc100151590</vt:lpwstr>
      </vt:variant>
      <vt:variant>
        <vt:i4>2031665</vt:i4>
      </vt:variant>
      <vt:variant>
        <vt:i4>758</vt:i4>
      </vt:variant>
      <vt:variant>
        <vt:i4>0</vt:i4>
      </vt:variant>
      <vt:variant>
        <vt:i4>5</vt:i4>
      </vt:variant>
      <vt:variant>
        <vt:lpwstr/>
      </vt:variant>
      <vt:variant>
        <vt:lpwstr>_Toc100151589</vt:lpwstr>
      </vt:variant>
      <vt:variant>
        <vt:i4>2031665</vt:i4>
      </vt:variant>
      <vt:variant>
        <vt:i4>752</vt:i4>
      </vt:variant>
      <vt:variant>
        <vt:i4>0</vt:i4>
      </vt:variant>
      <vt:variant>
        <vt:i4>5</vt:i4>
      </vt:variant>
      <vt:variant>
        <vt:lpwstr/>
      </vt:variant>
      <vt:variant>
        <vt:lpwstr>_Toc100151588</vt:lpwstr>
      </vt:variant>
      <vt:variant>
        <vt:i4>2031665</vt:i4>
      </vt:variant>
      <vt:variant>
        <vt:i4>746</vt:i4>
      </vt:variant>
      <vt:variant>
        <vt:i4>0</vt:i4>
      </vt:variant>
      <vt:variant>
        <vt:i4>5</vt:i4>
      </vt:variant>
      <vt:variant>
        <vt:lpwstr/>
      </vt:variant>
      <vt:variant>
        <vt:lpwstr>_Toc100151587</vt:lpwstr>
      </vt:variant>
      <vt:variant>
        <vt:i4>2031665</vt:i4>
      </vt:variant>
      <vt:variant>
        <vt:i4>740</vt:i4>
      </vt:variant>
      <vt:variant>
        <vt:i4>0</vt:i4>
      </vt:variant>
      <vt:variant>
        <vt:i4>5</vt:i4>
      </vt:variant>
      <vt:variant>
        <vt:lpwstr/>
      </vt:variant>
      <vt:variant>
        <vt:lpwstr>_Toc100151586</vt:lpwstr>
      </vt:variant>
      <vt:variant>
        <vt:i4>2031665</vt:i4>
      </vt:variant>
      <vt:variant>
        <vt:i4>734</vt:i4>
      </vt:variant>
      <vt:variant>
        <vt:i4>0</vt:i4>
      </vt:variant>
      <vt:variant>
        <vt:i4>5</vt:i4>
      </vt:variant>
      <vt:variant>
        <vt:lpwstr/>
      </vt:variant>
      <vt:variant>
        <vt:lpwstr>_Toc100151585</vt:lpwstr>
      </vt:variant>
      <vt:variant>
        <vt:i4>2031665</vt:i4>
      </vt:variant>
      <vt:variant>
        <vt:i4>728</vt:i4>
      </vt:variant>
      <vt:variant>
        <vt:i4>0</vt:i4>
      </vt:variant>
      <vt:variant>
        <vt:i4>5</vt:i4>
      </vt:variant>
      <vt:variant>
        <vt:lpwstr/>
      </vt:variant>
      <vt:variant>
        <vt:lpwstr>_Toc100151584</vt:lpwstr>
      </vt:variant>
      <vt:variant>
        <vt:i4>2031665</vt:i4>
      </vt:variant>
      <vt:variant>
        <vt:i4>722</vt:i4>
      </vt:variant>
      <vt:variant>
        <vt:i4>0</vt:i4>
      </vt:variant>
      <vt:variant>
        <vt:i4>5</vt:i4>
      </vt:variant>
      <vt:variant>
        <vt:lpwstr/>
      </vt:variant>
      <vt:variant>
        <vt:lpwstr>_Toc100151583</vt:lpwstr>
      </vt:variant>
      <vt:variant>
        <vt:i4>2031665</vt:i4>
      </vt:variant>
      <vt:variant>
        <vt:i4>716</vt:i4>
      </vt:variant>
      <vt:variant>
        <vt:i4>0</vt:i4>
      </vt:variant>
      <vt:variant>
        <vt:i4>5</vt:i4>
      </vt:variant>
      <vt:variant>
        <vt:lpwstr/>
      </vt:variant>
      <vt:variant>
        <vt:lpwstr>_Toc100151582</vt:lpwstr>
      </vt:variant>
      <vt:variant>
        <vt:i4>2031665</vt:i4>
      </vt:variant>
      <vt:variant>
        <vt:i4>710</vt:i4>
      </vt:variant>
      <vt:variant>
        <vt:i4>0</vt:i4>
      </vt:variant>
      <vt:variant>
        <vt:i4>5</vt:i4>
      </vt:variant>
      <vt:variant>
        <vt:lpwstr/>
      </vt:variant>
      <vt:variant>
        <vt:lpwstr>_Toc100151581</vt:lpwstr>
      </vt:variant>
      <vt:variant>
        <vt:i4>2031665</vt:i4>
      </vt:variant>
      <vt:variant>
        <vt:i4>704</vt:i4>
      </vt:variant>
      <vt:variant>
        <vt:i4>0</vt:i4>
      </vt:variant>
      <vt:variant>
        <vt:i4>5</vt:i4>
      </vt:variant>
      <vt:variant>
        <vt:lpwstr/>
      </vt:variant>
      <vt:variant>
        <vt:lpwstr>_Toc100151580</vt:lpwstr>
      </vt:variant>
      <vt:variant>
        <vt:i4>1048625</vt:i4>
      </vt:variant>
      <vt:variant>
        <vt:i4>698</vt:i4>
      </vt:variant>
      <vt:variant>
        <vt:i4>0</vt:i4>
      </vt:variant>
      <vt:variant>
        <vt:i4>5</vt:i4>
      </vt:variant>
      <vt:variant>
        <vt:lpwstr/>
      </vt:variant>
      <vt:variant>
        <vt:lpwstr>_Toc100151579</vt:lpwstr>
      </vt:variant>
      <vt:variant>
        <vt:i4>1048625</vt:i4>
      </vt:variant>
      <vt:variant>
        <vt:i4>692</vt:i4>
      </vt:variant>
      <vt:variant>
        <vt:i4>0</vt:i4>
      </vt:variant>
      <vt:variant>
        <vt:i4>5</vt:i4>
      </vt:variant>
      <vt:variant>
        <vt:lpwstr/>
      </vt:variant>
      <vt:variant>
        <vt:lpwstr>_Toc100151578</vt:lpwstr>
      </vt:variant>
      <vt:variant>
        <vt:i4>1048625</vt:i4>
      </vt:variant>
      <vt:variant>
        <vt:i4>686</vt:i4>
      </vt:variant>
      <vt:variant>
        <vt:i4>0</vt:i4>
      </vt:variant>
      <vt:variant>
        <vt:i4>5</vt:i4>
      </vt:variant>
      <vt:variant>
        <vt:lpwstr/>
      </vt:variant>
      <vt:variant>
        <vt:lpwstr>_Toc100151577</vt:lpwstr>
      </vt:variant>
      <vt:variant>
        <vt:i4>1048625</vt:i4>
      </vt:variant>
      <vt:variant>
        <vt:i4>680</vt:i4>
      </vt:variant>
      <vt:variant>
        <vt:i4>0</vt:i4>
      </vt:variant>
      <vt:variant>
        <vt:i4>5</vt:i4>
      </vt:variant>
      <vt:variant>
        <vt:lpwstr/>
      </vt:variant>
      <vt:variant>
        <vt:lpwstr>_Toc100151576</vt:lpwstr>
      </vt:variant>
      <vt:variant>
        <vt:i4>1048625</vt:i4>
      </vt:variant>
      <vt:variant>
        <vt:i4>674</vt:i4>
      </vt:variant>
      <vt:variant>
        <vt:i4>0</vt:i4>
      </vt:variant>
      <vt:variant>
        <vt:i4>5</vt:i4>
      </vt:variant>
      <vt:variant>
        <vt:lpwstr/>
      </vt:variant>
      <vt:variant>
        <vt:lpwstr>_Toc100151575</vt:lpwstr>
      </vt:variant>
      <vt:variant>
        <vt:i4>1048625</vt:i4>
      </vt:variant>
      <vt:variant>
        <vt:i4>668</vt:i4>
      </vt:variant>
      <vt:variant>
        <vt:i4>0</vt:i4>
      </vt:variant>
      <vt:variant>
        <vt:i4>5</vt:i4>
      </vt:variant>
      <vt:variant>
        <vt:lpwstr/>
      </vt:variant>
      <vt:variant>
        <vt:lpwstr>_Toc100151574</vt:lpwstr>
      </vt:variant>
      <vt:variant>
        <vt:i4>1048625</vt:i4>
      </vt:variant>
      <vt:variant>
        <vt:i4>662</vt:i4>
      </vt:variant>
      <vt:variant>
        <vt:i4>0</vt:i4>
      </vt:variant>
      <vt:variant>
        <vt:i4>5</vt:i4>
      </vt:variant>
      <vt:variant>
        <vt:lpwstr/>
      </vt:variant>
      <vt:variant>
        <vt:lpwstr>_Toc100151573</vt:lpwstr>
      </vt:variant>
      <vt:variant>
        <vt:i4>1048625</vt:i4>
      </vt:variant>
      <vt:variant>
        <vt:i4>656</vt:i4>
      </vt:variant>
      <vt:variant>
        <vt:i4>0</vt:i4>
      </vt:variant>
      <vt:variant>
        <vt:i4>5</vt:i4>
      </vt:variant>
      <vt:variant>
        <vt:lpwstr/>
      </vt:variant>
      <vt:variant>
        <vt:lpwstr>_Toc100151572</vt:lpwstr>
      </vt:variant>
      <vt:variant>
        <vt:i4>1048625</vt:i4>
      </vt:variant>
      <vt:variant>
        <vt:i4>650</vt:i4>
      </vt:variant>
      <vt:variant>
        <vt:i4>0</vt:i4>
      </vt:variant>
      <vt:variant>
        <vt:i4>5</vt:i4>
      </vt:variant>
      <vt:variant>
        <vt:lpwstr/>
      </vt:variant>
      <vt:variant>
        <vt:lpwstr>_Toc100151571</vt:lpwstr>
      </vt:variant>
      <vt:variant>
        <vt:i4>1048625</vt:i4>
      </vt:variant>
      <vt:variant>
        <vt:i4>644</vt:i4>
      </vt:variant>
      <vt:variant>
        <vt:i4>0</vt:i4>
      </vt:variant>
      <vt:variant>
        <vt:i4>5</vt:i4>
      </vt:variant>
      <vt:variant>
        <vt:lpwstr/>
      </vt:variant>
      <vt:variant>
        <vt:lpwstr>_Toc100151570</vt:lpwstr>
      </vt:variant>
      <vt:variant>
        <vt:i4>1114161</vt:i4>
      </vt:variant>
      <vt:variant>
        <vt:i4>638</vt:i4>
      </vt:variant>
      <vt:variant>
        <vt:i4>0</vt:i4>
      </vt:variant>
      <vt:variant>
        <vt:i4>5</vt:i4>
      </vt:variant>
      <vt:variant>
        <vt:lpwstr/>
      </vt:variant>
      <vt:variant>
        <vt:lpwstr>_Toc100151569</vt:lpwstr>
      </vt:variant>
      <vt:variant>
        <vt:i4>1114161</vt:i4>
      </vt:variant>
      <vt:variant>
        <vt:i4>632</vt:i4>
      </vt:variant>
      <vt:variant>
        <vt:i4>0</vt:i4>
      </vt:variant>
      <vt:variant>
        <vt:i4>5</vt:i4>
      </vt:variant>
      <vt:variant>
        <vt:lpwstr/>
      </vt:variant>
      <vt:variant>
        <vt:lpwstr>_Toc100151568</vt:lpwstr>
      </vt:variant>
      <vt:variant>
        <vt:i4>1114161</vt:i4>
      </vt:variant>
      <vt:variant>
        <vt:i4>626</vt:i4>
      </vt:variant>
      <vt:variant>
        <vt:i4>0</vt:i4>
      </vt:variant>
      <vt:variant>
        <vt:i4>5</vt:i4>
      </vt:variant>
      <vt:variant>
        <vt:lpwstr/>
      </vt:variant>
      <vt:variant>
        <vt:lpwstr>_Toc100151567</vt:lpwstr>
      </vt:variant>
      <vt:variant>
        <vt:i4>1114161</vt:i4>
      </vt:variant>
      <vt:variant>
        <vt:i4>620</vt:i4>
      </vt:variant>
      <vt:variant>
        <vt:i4>0</vt:i4>
      </vt:variant>
      <vt:variant>
        <vt:i4>5</vt:i4>
      </vt:variant>
      <vt:variant>
        <vt:lpwstr/>
      </vt:variant>
      <vt:variant>
        <vt:lpwstr>_Toc100151566</vt:lpwstr>
      </vt:variant>
      <vt:variant>
        <vt:i4>1114161</vt:i4>
      </vt:variant>
      <vt:variant>
        <vt:i4>614</vt:i4>
      </vt:variant>
      <vt:variant>
        <vt:i4>0</vt:i4>
      </vt:variant>
      <vt:variant>
        <vt:i4>5</vt:i4>
      </vt:variant>
      <vt:variant>
        <vt:lpwstr/>
      </vt:variant>
      <vt:variant>
        <vt:lpwstr>_Toc100151565</vt:lpwstr>
      </vt:variant>
      <vt:variant>
        <vt:i4>1114161</vt:i4>
      </vt:variant>
      <vt:variant>
        <vt:i4>608</vt:i4>
      </vt:variant>
      <vt:variant>
        <vt:i4>0</vt:i4>
      </vt:variant>
      <vt:variant>
        <vt:i4>5</vt:i4>
      </vt:variant>
      <vt:variant>
        <vt:lpwstr/>
      </vt:variant>
      <vt:variant>
        <vt:lpwstr>_Toc100151564</vt:lpwstr>
      </vt:variant>
      <vt:variant>
        <vt:i4>1114161</vt:i4>
      </vt:variant>
      <vt:variant>
        <vt:i4>602</vt:i4>
      </vt:variant>
      <vt:variant>
        <vt:i4>0</vt:i4>
      </vt:variant>
      <vt:variant>
        <vt:i4>5</vt:i4>
      </vt:variant>
      <vt:variant>
        <vt:lpwstr/>
      </vt:variant>
      <vt:variant>
        <vt:lpwstr>_Toc100151563</vt:lpwstr>
      </vt:variant>
      <vt:variant>
        <vt:i4>1114161</vt:i4>
      </vt:variant>
      <vt:variant>
        <vt:i4>596</vt:i4>
      </vt:variant>
      <vt:variant>
        <vt:i4>0</vt:i4>
      </vt:variant>
      <vt:variant>
        <vt:i4>5</vt:i4>
      </vt:variant>
      <vt:variant>
        <vt:lpwstr/>
      </vt:variant>
      <vt:variant>
        <vt:lpwstr>_Toc100151562</vt:lpwstr>
      </vt:variant>
      <vt:variant>
        <vt:i4>1114161</vt:i4>
      </vt:variant>
      <vt:variant>
        <vt:i4>590</vt:i4>
      </vt:variant>
      <vt:variant>
        <vt:i4>0</vt:i4>
      </vt:variant>
      <vt:variant>
        <vt:i4>5</vt:i4>
      </vt:variant>
      <vt:variant>
        <vt:lpwstr/>
      </vt:variant>
      <vt:variant>
        <vt:lpwstr>_Toc100151561</vt:lpwstr>
      </vt:variant>
      <vt:variant>
        <vt:i4>1114161</vt:i4>
      </vt:variant>
      <vt:variant>
        <vt:i4>584</vt:i4>
      </vt:variant>
      <vt:variant>
        <vt:i4>0</vt:i4>
      </vt:variant>
      <vt:variant>
        <vt:i4>5</vt:i4>
      </vt:variant>
      <vt:variant>
        <vt:lpwstr/>
      </vt:variant>
      <vt:variant>
        <vt:lpwstr>_Toc100151560</vt:lpwstr>
      </vt:variant>
      <vt:variant>
        <vt:i4>1179697</vt:i4>
      </vt:variant>
      <vt:variant>
        <vt:i4>578</vt:i4>
      </vt:variant>
      <vt:variant>
        <vt:i4>0</vt:i4>
      </vt:variant>
      <vt:variant>
        <vt:i4>5</vt:i4>
      </vt:variant>
      <vt:variant>
        <vt:lpwstr/>
      </vt:variant>
      <vt:variant>
        <vt:lpwstr>_Toc100151559</vt:lpwstr>
      </vt:variant>
      <vt:variant>
        <vt:i4>1179697</vt:i4>
      </vt:variant>
      <vt:variant>
        <vt:i4>572</vt:i4>
      </vt:variant>
      <vt:variant>
        <vt:i4>0</vt:i4>
      </vt:variant>
      <vt:variant>
        <vt:i4>5</vt:i4>
      </vt:variant>
      <vt:variant>
        <vt:lpwstr/>
      </vt:variant>
      <vt:variant>
        <vt:lpwstr>_Toc100151558</vt:lpwstr>
      </vt:variant>
      <vt:variant>
        <vt:i4>1179697</vt:i4>
      </vt:variant>
      <vt:variant>
        <vt:i4>566</vt:i4>
      </vt:variant>
      <vt:variant>
        <vt:i4>0</vt:i4>
      </vt:variant>
      <vt:variant>
        <vt:i4>5</vt:i4>
      </vt:variant>
      <vt:variant>
        <vt:lpwstr/>
      </vt:variant>
      <vt:variant>
        <vt:lpwstr>_Toc100151557</vt:lpwstr>
      </vt:variant>
      <vt:variant>
        <vt:i4>1179697</vt:i4>
      </vt:variant>
      <vt:variant>
        <vt:i4>560</vt:i4>
      </vt:variant>
      <vt:variant>
        <vt:i4>0</vt:i4>
      </vt:variant>
      <vt:variant>
        <vt:i4>5</vt:i4>
      </vt:variant>
      <vt:variant>
        <vt:lpwstr/>
      </vt:variant>
      <vt:variant>
        <vt:lpwstr>_Toc100151556</vt:lpwstr>
      </vt:variant>
      <vt:variant>
        <vt:i4>1179697</vt:i4>
      </vt:variant>
      <vt:variant>
        <vt:i4>554</vt:i4>
      </vt:variant>
      <vt:variant>
        <vt:i4>0</vt:i4>
      </vt:variant>
      <vt:variant>
        <vt:i4>5</vt:i4>
      </vt:variant>
      <vt:variant>
        <vt:lpwstr/>
      </vt:variant>
      <vt:variant>
        <vt:lpwstr>_Toc100151555</vt:lpwstr>
      </vt:variant>
      <vt:variant>
        <vt:i4>1179697</vt:i4>
      </vt:variant>
      <vt:variant>
        <vt:i4>548</vt:i4>
      </vt:variant>
      <vt:variant>
        <vt:i4>0</vt:i4>
      </vt:variant>
      <vt:variant>
        <vt:i4>5</vt:i4>
      </vt:variant>
      <vt:variant>
        <vt:lpwstr/>
      </vt:variant>
      <vt:variant>
        <vt:lpwstr>_Toc100151554</vt:lpwstr>
      </vt:variant>
      <vt:variant>
        <vt:i4>1179697</vt:i4>
      </vt:variant>
      <vt:variant>
        <vt:i4>542</vt:i4>
      </vt:variant>
      <vt:variant>
        <vt:i4>0</vt:i4>
      </vt:variant>
      <vt:variant>
        <vt:i4>5</vt:i4>
      </vt:variant>
      <vt:variant>
        <vt:lpwstr/>
      </vt:variant>
      <vt:variant>
        <vt:lpwstr>_Toc100151553</vt:lpwstr>
      </vt:variant>
      <vt:variant>
        <vt:i4>1179697</vt:i4>
      </vt:variant>
      <vt:variant>
        <vt:i4>536</vt:i4>
      </vt:variant>
      <vt:variant>
        <vt:i4>0</vt:i4>
      </vt:variant>
      <vt:variant>
        <vt:i4>5</vt:i4>
      </vt:variant>
      <vt:variant>
        <vt:lpwstr/>
      </vt:variant>
      <vt:variant>
        <vt:lpwstr>_Toc100151552</vt:lpwstr>
      </vt:variant>
      <vt:variant>
        <vt:i4>1179697</vt:i4>
      </vt:variant>
      <vt:variant>
        <vt:i4>530</vt:i4>
      </vt:variant>
      <vt:variant>
        <vt:i4>0</vt:i4>
      </vt:variant>
      <vt:variant>
        <vt:i4>5</vt:i4>
      </vt:variant>
      <vt:variant>
        <vt:lpwstr/>
      </vt:variant>
      <vt:variant>
        <vt:lpwstr>_Toc100151551</vt:lpwstr>
      </vt:variant>
      <vt:variant>
        <vt:i4>1179697</vt:i4>
      </vt:variant>
      <vt:variant>
        <vt:i4>524</vt:i4>
      </vt:variant>
      <vt:variant>
        <vt:i4>0</vt:i4>
      </vt:variant>
      <vt:variant>
        <vt:i4>5</vt:i4>
      </vt:variant>
      <vt:variant>
        <vt:lpwstr/>
      </vt:variant>
      <vt:variant>
        <vt:lpwstr>_Toc100151550</vt:lpwstr>
      </vt:variant>
      <vt:variant>
        <vt:i4>1245233</vt:i4>
      </vt:variant>
      <vt:variant>
        <vt:i4>518</vt:i4>
      </vt:variant>
      <vt:variant>
        <vt:i4>0</vt:i4>
      </vt:variant>
      <vt:variant>
        <vt:i4>5</vt:i4>
      </vt:variant>
      <vt:variant>
        <vt:lpwstr/>
      </vt:variant>
      <vt:variant>
        <vt:lpwstr>_Toc100151549</vt:lpwstr>
      </vt:variant>
      <vt:variant>
        <vt:i4>1245233</vt:i4>
      </vt:variant>
      <vt:variant>
        <vt:i4>512</vt:i4>
      </vt:variant>
      <vt:variant>
        <vt:i4>0</vt:i4>
      </vt:variant>
      <vt:variant>
        <vt:i4>5</vt:i4>
      </vt:variant>
      <vt:variant>
        <vt:lpwstr/>
      </vt:variant>
      <vt:variant>
        <vt:lpwstr>_Toc100151548</vt:lpwstr>
      </vt:variant>
      <vt:variant>
        <vt:i4>1245233</vt:i4>
      </vt:variant>
      <vt:variant>
        <vt:i4>506</vt:i4>
      </vt:variant>
      <vt:variant>
        <vt:i4>0</vt:i4>
      </vt:variant>
      <vt:variant>
        <vt:i4>5</vt:i4>
      </vt:variant>
      <vt:variant>
        <vt:lpwstr/>
      </vt:variant>
      <vt:variant>
        <vt:lpwstr>_Toc100151547</vt:lpwstr>
      </vt:variant>
      <vt:variant>
        <vt:i4>1245233</vt:i4>
      </vt:variant>
      <vt:variant>
        <vt:i4>500</vt:i4>
      </vt:variant>
      <vt:variant>
        <vt:i4>0</vt:i4>
      </vt:variant>
      <vt:variant>
        <vt:i4>5</vt:i4>
      </vt:variant>
      <vt:variant>
        <vt:lpwstr/>
      </vt:variant>
      <vt:variant>
        <vt:lpwstr>_Toc100151546</vt:lpwstr>
      </vt:variant>
      <vt:variant>
        <vt:i4>1245233</vt:i4>
      </vt:variant>
      <vt:variant>
        <vt:i4>494</vt:i4>
      </vt:variant>
      <vt:variant>
        <vt:i4>0</vt:i4>
      </vt:variant>
      <vt:variant>
        <vt:i4>5</vt:i4>
      </vt:variant>
      <vt:variant>
        <vt:lpwstr/>
      </vt:variant>
      <vt:variant>
        <vt:lpwstr>_Toc100151545</vt:lpwstr>
      </vt:variant>
      <vt:variant>
        <vt:i4>1245233</vt:i4>
      </vt:variant>
      <vt:variant>
        <vt:i4>488</vt:i4>
      </vt:variant>
      <vt:variant>
        <vt:i4>0</vt:i4>
      </vt:variant>
      <vt:variant>
        <vt:i4>5</vt:i4>
      </vt:variant>
      <vt:variant>
        <vt:lpwstr/>
      </vt:variant>
      <vt:variant>
        <vt:lpwstr>_Toc100151544</vt:lpwstr>
      </vt:variant>
      <vt:variant>
        <vt:i4>1245233</vt:i4>
      </vt:variant>
      <vt:variant>
        <vt:i4>482</vt:i4>
      </vt:variant>
      <vt:variant>
        <vt:i4>0</vt:i4>
      </vt:variant>
      <vt:variant>
        <vt:i4>5</vt:i4>
      </vt:variant>
      <vt:variant>
        <vt:lpwstr/>
      </vt:variant>
      <vt:variant>
        <vt:lpwstr>_Toc100151543</vt:lpwstr>
      </vt:variant>
      <vt:variant>
        <vt:i4>1245233</vt:i4>
      </vt:variant>
      <vt:variant>
        <vt:i4>476</vt:i4>
      </vt:variant>
      <vt:variant>
        <vt:i4>0</vt:i4>
      </vt:variant>
      <vt:variant>
        <vt:i4>5</vt:i4>
      </vt:variant>
      <vt:variant>
        <vt:lpwstr/>
      </vt:variant>
      <vt:variant>
        <vt:lpwstr>_Toc100151542</vt:lpwstr>
      </vt:variant>
      <vt:variant>
        <vt:i4>1245233</vt:i4>
      </vt:variant>
      <vt:variant>
        <vt:i4>470</vt:i4>
      </vt:variant>
      <vt:variant>
        <vt:i4>0</vt:i4>
      </vt:variant>
      <vt:variant>
        <vt:i4>5</vt:i4>
      </vt:variant>
      <vt:variant>
        <vt:lpwstr/>
      </vt:variant>
      <vt:variant>
        <vt:lpwstr>_Toc100151541</vt:lpwstr>
      </vt:variant>
      <vt:variant>
        <vt:i4>1245233</vt:i4>
      </vt:variant>
      <vt:variant>
        <vt:i4>464</vt:i4>
      </vt:variant>
      <vt:variant>
        <vt:i4>0</vt:i4>
      </vt:variant>
      <vt:variant>
        <vt:i4>5</vt:i4>
      </vt:variant>
      <vt:variant>
        <vt:lpwstr/>
      </vt:variant>
      <vt:variant>
        <vt:lpwstr>_Toc100151540</vt:lpwstr>
      </vt:variant>
      <vt:variant>
        <vt:i4>1310769</vt:i4>
      </vt:variant>
      <vt:variant>
        <vt:i4>458</vt:i4>
      </vt:variant>
      <vt:variant>
        <vt:i4>0</vt:i4>
      </vt:variant>
      <vt:variant>
        <vt:i4>5</vt:i4>
      </vt:variant>
      <vt:variant>
        <vt:lpwstr/>
      </vt:variant>
      <vt:variant>
        <vt:lpwstr>_Toc100151539</vt:lpwstr>
      </vt:variant>
      <vt:variant>
        <vt:i4>1310769</vt:i4>
      </vt:variant>
      <vt:variant>
        <vt:i4>452</vt:i4>
      </vt:variant>
      <vt:variant>
        <vt:i4>0</vt:i4>
      </vt:variant>
      <vt:variant>
        <vt:i4>5</vt:i4>
      </vt:variant>
      <vt:variant>
        <vt:lpwstr/>
      </vt:variant>
      <vt:variant>
        <vt:lpwstr>_Toc100151538</vt:lpwstr>
      </vt:variant>
      <vt:variant>
        <vt:i4>1310769</vt:i4>
      </vt:variant>
      <vt:variant>
        <vt:i4>446</vt:i4>
      </vt:variant>
      <vt:variant>
        <vt:i4>0</vt:i4>
      </vt:variant>
      <vt:variant>
        <vt:i4>5</vt:i4>
      </vt:variant>
      <vt:variant>
        <vt:lpwstr/>
      </vt:variant>
      <vt:variant>
        <vt:lpwstr>_Toc100151537</vt:lpwstr>
      </vt:variant>
      <vt:variant>
        <vt:i4>1310769</vt:i4>
      </vt:variant>
      <vt:variant>
        <vt:i4>440</vt:i4>
      </vt:variant>
      <vt:variant>
        <vt:i4>0</vt:i4>
      </vt:variant>
      <vt:variant>
        <vt:i4>5</vt:i4>
      </vt:variant>
      <vt:variant>
        <vt:lpwstr/>
      </vt:variant>
      <vt:variant>
        <vt:lpwstr>_Toc100151536</vt:lpwstr>
      </vt:variant>
      <vt:variant>
        <vt:i4>1310769</vt:i4>
      </vt:variant>
      <vt:variant>
        <vt:i4>434</vt:i4>
      </vt:variant>
      <vt:variant>
        <vt:i4>0</vt:i4>
      </vt:variant>
      <vt:variant>
        <vt:i4>5</vt:i4>
      </vt:variant>
      <vt:variant>
        <vt:lpwstr/>
      </vt:variant>
      <vt:variant>
        <vt:lpwstr>_Toc100151535</vt:lpwstr>
      </vt:variant>
      <vt:variant>
        <vt:i4>1310769</vt:i4>
      </vt:variant>
      <vt:variant>
        <vt:i4>428</vt:i4>
      </vt:variant>
      <vt:variant>
        <vt:i4>0</vt:i4>
      </vt:variant>
      <vt:variant>
        <vt:i4>5</vt:i4>
      </vt:variant>
      <vt:variant>
        <vt:lpwstr/>
      </vt:variant>
      <vt:variant>
        <vt:lpwstr>_Toc100151534</vt:lpwstr>
      </vt:variant>
      <vt:variant>
        <vt:i4>1310769</vt:i4>
      </vt:variant>
      <vt:variant>
        <vt:i4>422</vt:i4>
      </vt:variant>
      <vt:variant>
        <vt:i4>0</vt:i4>
      </vt:variant>
      <vt:variant>
        <vt:i4>5</vt:i4>
      </vt:variant>
      <vt:variant>
        <vt:lpwstr/>
      </vt:variant>
      <vt:variant>
        <vt:lpwstr>_Toc100151533</vt:lpwstr>
      </vt:variant>
      <vt:variant>
        <vt:i4>1310769</vt:i4>
      </vt:variant>
      <vt:variant>
        <vt:i4>416</vt:i4>
      </vt:variant>
      <vt:variant>
        <vt:i4>0</vt:i4>
      </vt:variant>
      <vt:variant>
        <vt:i4>5</vt:i4>
      </vt:variant>
      <vt:variant>
        <vt:lpwstr/>
      </vt:variant>
      <vt:variant>
        <vt:lpwstr>_Toc100151532</vt:lpwstr>
      </vt:variant>
      <vt:variant>
        <vt:i4>1310769</vt:i4>
      </vt:variant>
      <vt:variant>
        <vt:i4>410</vt:i4>
      </vt:variant>
      <vt:variant>
        <vt:i4>0</vt:i4>
      </vt:variant>
      <vt:variant>
        <vt:i4>5</vt:i4>
      </vt:variant>
      <vt:variant>
        <vt:lpwstr/>
      </vt:variant>
      <vt:variant>
        <vt:lpwstr>_Toc100151531</vt:lpwstr>
      </vt:variant>
      <vt:variant>
        <vt:i4>1310769</vt:i4>
      </vt:variant>
      <vt:variant>
        <vt:i4>404</vt:i4>
      </vt:variant>
      <vt:variant>
        <vt:i4>0</vt:i4>
      </vt:variant>
      <vt:variant>
        <vt:i4>5</vt:i4>
      </vt:variant>
      <vt:variant>
        <vt:lpwstr/>
      </vt:variant>
      <vt:variant>
        <vt:lpwstr>_Toc100151530</vt:lpwstr>
      </vt:variant>
      <vt:variant>
        <vt:i4>1376305</vt:i4>
      </vt:variant>
      <vt:variant>
        <vt:i4>398</vt:i4>
      </vt:variant>
      <vt:variant>
        <vt:i4>0</vt:i4>
      </vt:variant>
      <vt:variant>
        <vt:i4>5</vt:i4>
      </vt:variant>
      <vt:variant>
        <vt:lpwstr/>
      </vt:variant>
      <vt:variant>
        <vt:lpwstr>_Toc100151529</vt:lpwstr>
      </vt:variant>
      <vt:variant>
        <vt:i4>1376305</vt:i4>
      </vt:variant>
      <vt:variant>
        <vt:i4>392</vt:i4>
      </vt:variant>
      <vt:variant>
        <vt:i4>0</vt:i4>
      </vt:variant>
      <vt:variant>
        <vt:i4>5</vt:i4>
      </vt:variant>
      <vt:variant>
        <vt:lpwstr/>
      </vt:variant>
      <vt:variant>
        <vt:lpwstr>_Toc100151528</vt:lpwstr>
      </vt:variant>
      <vt:variant>
        <vt:i4>1376305</vt:i4>
      </vt:variant>
      <vt:variant>
        <vt:i4>386</vt:i4>
      </vt:variant>
      <vt:variant>
        <vt:i4>0</vt:i4>
      </vt:variant>
      <vt:variant>
        <vt:i4>5</vt:i4>
      </vt:variant>
      <vt:variant>
        <vt:lpwstr/>
      </vt:variant>
      <vt:variant>
        <vt:lpwstr>_Toc100151527</vt:lpwstr>
      </vt:variant>
      <vt:variant>
        <vt:i4>1376305</vt:i4>
      </vt:variant>
      <vt:variant>
        <vt:i4>380</vt:i4>
      </vt:variant>
      <vt:variant>
        <vt:i4>0</vt:i4>
      </vt:variant>
      <vt:variant>
        <vt:i4>5</vt:i4>
      </vt:variant>
      <vt:variant>
        <vt:lpwstr/>
      </vt:variant>
      <vt:variant>
        <vt:lpwstr>_Toc100151526</vt:lpwstr>
      </vt:variant>
      <vt:variant>
        <vt:i4>1703984</vt:i4>
      </vt:variant>
      <vt:variant>
        <vt:i4>371</vt:i4>
      </vt:variant>
      <vt:variant>
        <vt:i4>0</vt:i4>
      </vt:variant>
      <vt:variant>
        <vt:i4>5</vt:i4>
      </vt:variant>
      <vt:variant>
        <vt:lpwstr/>
      </vt:variant>
      <vt:variant>
        <vt:lpwstr>_Toc99806470</vt:lpwstr>
      </vt:variant>
      <vt:variant>
        <vt:i4>1245233</vt:i4>
      </vt:variant>
      <vt:variant>
        <vt:i4>365</vt:i4>
      </vt:variant>
      <vt:variant>
        <vt:i4>0</vt:i4>
      </vt:variant>
      <vt:variant>
        <vt:i4>5</vt:i4>
      </vt:variant>
      <vt:variant>
        <vt:lpwstr/>
      </vt:variant>
      <vt:variant>
        <vt:lpwstr>_Toc99806469</vt:lpwstr>
      </vt:variant>
      <vt:variant>
        <vt:i4>1179697</vt:i4>
      </vt:variant>
      <vt:variant>
        <vt:i4>359</vt:i4>
      </vt:variant>
      <vt:variant>
        <vt:i4>0</vt:i4>
      </vt:variant>
      <vt:variant>
        <vt:i4>5</vt:i4>
      </vt:variant>
      <vt:variant>
        <vt:lpwstr/>
      </vt:variant>
      <vt:variant>
        <vt:lpwstr>_Toc99806468</vt:lpwstr>
      </vt:variant>
      <vt:variant>
        <vt:i4>1900593</vt:i4>
      </vt:variant>
      <vt:variant>
        <vt:i4>353</vt:i4>
      </vt:variant>
      <vt:variant>
        <vt:i4>0</vt:i4>
      </vt:variant>
      <vt:variant>
        <vt:i4>5</vt:i4>
      </vt:variant>
      <vt:variant>
        <vt:lpwstr/>
      </vt:variant>
      <vt:variant>
        <vt:lpwstr>_Toc99806467</vt:lpwstr>
      </vt:variant>
      <vt:variant>
        <vt:i4>1835057</vt:i4>
      </vt:variant>
      <vt:variant>
        <vt:i4>347</vt:i4>
      </vt:variant>
      <vt:variant>
        <vt:i4>0</vt:i4>
      </vt:variant>
      <vt:variant>
        <vt:i4>5</vt:i4>
      </vt:variant>
      <vt:variant>
        <vt:lpwstr/>
      </vt:variant>
      <vt:variant>
        <vt:lpwstr>_Toc99806466</vt:lpwstr>
      </vt:variant>
      <vt:variant>
        <vt:i4>2031665</vt:i4>
      </vt:variant>
      <vt:variant>
        <vt:i4>341</vt:i4>
      </vt:variant>
      <vt:variant>
        <vt:i4>0</vt:i4>
      </vt:variant>
      <vt:variant>
        <vt:i4>5</vt:i4>
      </vt:variant>
      <vt:variant>
        <vt:lpwstr/>
      </vt:variant>
      <vt:variant>
        <vt:lpwstr>_Toc99806465</vt:lpwstr>
      </vt:variant>
      <vt:variant>
        <vt:i4>1966129</vt:i4>
      </vt:variant>
      <vt:variant>
        <vt:i4>335</vt:i4>
      </vt:variant>
      <vt:variant>
        <vt:i4>0</vt:i4>
      </vt:variant>
      <vt:variant>
        <vt:i4>5</vt:i4>
      </vt:variant>
      <vt:variant>
        <vt:lpwstr/>
      </vt:variant>
      <vt:variant>
        <vt:lpwstr>_Toc99806464</vt:lpwstr>
      </vt:variant>
      <vt:variant>
        <vt:i4>1638449</vt:i4>
      </vt:variant>
      <vt:variant>
        <vt:i4>329</vt:i4>
      </vt:variant>
      <vt:variant>
        <vt:i4>0</vt:i4>
      </vt:variant>
      <vt:variant>
        <vt:i4>5</vt:i4>
      </vt:variant>
      <vt:variant>
        <vt:lpwstr/>
      </vt:variant>
      <vt:variant>
        <vt:lpwstr>_Toc99806463</vt:lpwstr>
      </vt:variant>
      <vt:variant>
        <vt:i4>1572913</vt:i4>
      </vt:variant>
      <vt:variant>
        <vt:i4>323</vt:i4>
      </vt:variant>
      <vt:variant>
        <vt:i4>0</vt:i4>
      </vt:variant>
      <vt:variant>
        <vt:i4>5</vt:i4>
      </vt:variant>
      <vt:variant>
        <vt:lpwstr/>
      </vt:variant>
      <vt:variant>
        <vt:lpwstr>_Toc99806462</vt:lpwstr>
      </vt:variant>
      <vt:variant>
        <vt:i4>1769521</vt:i4>
      </vt:variant>
      <vt:variant>
        <vt:i4>317</vt:i4>
      </vt:variant>
      <vt:variant>
        <vt:i4>0</vt:i4>
      </vt:variant>
      <vt:variant>
        <vt:i4>5</vt:i4>
      </vt:variant>
      <vt:variant>
        <vt:lpwstr/>
      </vt:variant>
      <vt:variant>
        <vt:lpwstr>_Toc99806461</vt:lpwstr>
      </vt:variant>
      <vt:variant>
        <vt:i4>1703985</vt:i4>
      </vt:variant>
      <vt:variant>
        <vt:i4>311</vt:i4>
      </vt:variant>
      <vt:variant>
        <vt:i4>0</vt:i4>
      </vt:variant>
      <vt:variant>
        <vt:i4>5</vt:i4>
      </vt:variant>
      <vt:variant>
        <vt:lpwstr/>
      </vt:variant>
      <vt:variant>
        <vt:lpwstr>_Toc99806460</vt:lpwstr>
      </vt:variant>
      <vt:variant>
        <vt:i4>1245234</vt:i4>
      </vt:variant>
      <vt:variant>
        <vt:i4>305</vt:i4>
      </vt:variant>
      <vt:variant>
        <vt:i4>0</vt:i4>
      </vt:variant>
      <vt:variant>
        <vt:i4>5</vt:i4>
      </vt:variant>
      <vt:variant>
        <vt:lpwstr/>
      </vt:variant>
      <vt:variant>
        <vt:lpwstr>_Toc99806459</vt:lpwstr>
      </vt:variant>
      <vt:variant>
        <vt:i4>1179698</vt:i4>
      </vt:variant>
      <vt:variant>
        <vt:i4>299</vt:i4>
      </vt:variant>
      <vt:variant>
        <vt:i4>0</vt:i4>
      </vt:variant>
      <vt:variant>
        <vt:i4>5</vt:i4>
      </vt:variant>
      <vt:variant>
        <vt:lpwstr/>
      </vt:variant>
      <vt:variant>
        <vt:lpwstr>_Toc99806458</vt:lpwstr>
      </vt:variant>
      <vt:variant>
        <vt:i4>1900594</vt:i4>
      </vt:variant>
      <vt:variant>
        <vt:i4>293</vt:i4>
      </vt:variant>
      <vt:variant>
        <vt:i4>0</vt:i4>
      </vt:variant>
      <vt:variant>
        <vt:i4>5</vt:i4>
      </vt:variant>
      <vt:variant>
        <vt:lpwstr/>
      </vt:variant>
      <vt:variant>
        <vt:lpwstr>_Toc99806457</vt:lpwstr>
      </vt:variant>
      <vt:variant>
        <vt:i4>1835058</vt:i4>
      </vt:variant>
      <vt:variant>
        <vt:i4>287</vt:i4>
      </vt:variant>
      <vt:variant>
        <vt:i4>0</vt:i4>
      </vt:variant>
      <vt:variant>
        <vt:i4>5</vt:i4>
      </vt:variant>
      <vt:variant>
        <vt:lpwstr/>
      </vt:variant>
      <vt:variant>
        <vt:lpwstr>_Toc99806456</vt:lpwstr>
      </vt:variant>
      <vt:variant>
        <vt:i4>2031666</vt:i4>
      </vt:variant>
      <vt:variant>
        <vt:i4>281</vt:i4>
      </vt:variant>
      <vt:variant>
        <vt:i4>0</vt:i4>
      </vt:variant>
      <vt:variant>
        <vt:i4>5</vt:i4>
      </vt:variant>
      <vt:variant>
        <vt:lpwstr/>
      </vt:variant>
      <vt:variant>
        <vt:lpwstr>_Toc99806455</vt:lpwstr>
      </vt:variant>
      <vt:variant>
        <vt:i4>1966130</vt:i4>
      </vt:variant>
      <vt:variant>
        <vt:i4>275</vt:i4>
      </vt:variant>
      <vt:variant>
        <vt:i4>0</vt:i4>
      </vt:variant>
      <vt:variant>
        <vt:i4>5</vt:i4>
      </vt:variant>
      <vt:variant>
        <vt:lpwstr/>
      </vt:variant>
      <vt:variant>
        <vt:lpwstr>_Toc99806454</vt:lpwstr>
      </vt:variant>
      <vt:variant>
        <vt:i4>1638450</vt:i4>
      </vt:variant>
      <vt:variant>
        <vt:i4>269</vt:i4>
      </vt:variant>
      <vt:variant>
        <vt:i4>0</vt:i4>
      </vt:variant>
      <vt:variant>
        <vt:i4>5</vt:i4>
      </vt:variant>
      <vt:variant>
        <vt:lpwstr/>
      </vt:variant>
      <vt:variant>
        <vt:lpwstr>_Toc99806453</vt:lpwstr>
      </vt:variant>
      <vt:variant>
        <vt:i4>1572914</vt:i4>
      </vt:variant>
      <vt:variant>
        <vt:i4>263</vt:i4>
      </vt:variant>
      <vt:variant>
        <vt:i4>0</vt:i4>
      </vt:variant>
      <vt:variant>
        <vt:i4>5</vt:i4>
      </vt:variant>
      <vt:variant>
        <vt:lpwstr/>
      </vt:variant>
      <vt:variant>
        <vt:lpwstr>_Toc99806452</vt:lpwstr>
      </vt:variant>
      <vt:variant>
        <vt:i4>1769522</vt:i4>
      </vt:variant>
      <vt:variant>
        <vt:i4>257</vt:i4>
      </vt:variant>
      <vt:variant>
        <vt:i4>0</vt:i4>
      </vt:variant>
      <vt:variant>
        <vt:i4>5</vt:i4>
      </vt:variant>
      <vt:variant>
        <vt:lpwstr/>
      </vt:variant>
      <vt:variant>
        <vt:lpwstr>_Toc99806451</vt:lpwstr>
      </vt:variant>
      <vt:variant>
        <vt:i4>1703986</vt:i4>
      </vt:variant>
      <vt:variant>
        <vt:i4>251</vt:i4>
      </vt:variant>
      <vt:variant>
        <vt:i4>0</vt:i4>
      </vt:variant>
      <vt:variant>
        <vt:i4>5</vt:i4>
      </vt:variant>
      <vt:variant>
        <vt:lpwstr/>
      </vt:variant>
      <vt:variant>
        <vt:lpwstr>_Toc99806450</vt:lpwstr>
      </vt:variant>
      <vt:variant>
        <vt:i4>1245235</vt:i4>
      </vt:variant>
      <vt:variant>
        <vt:i4>245</vt:i4>
      </vt:variant>
      <vt:variant>
        <vt:i4>0</vt:i4>
      </vt:variant>
      <vt:variant>
        <vt:i4>5</vt:i4>
      </vt:variant>
      <vt:variant>
        <vt:lpwstr/>
      </vt:variant>
      <vt:variant>
        <vt:lpwstr>_Toc99806449</vt:lpwstr>
      </vt:variant>
      <vt:variant>
        <vt:i4>1179699</vt:i4>
      </vt:variant>
      <vt:variant>
        <vt:i4>239</vt:i4>
      </vt:variant>
      <vt:variant>
        <vt:i4>0</vt:i4>
      </vt:variant>
      <vt:variant>
        <vt:i4>5</vt:i4>
      </vt:variant>
      <vt:variant>
        <vt:lpwstr/>
      </vt:variant>
      <vt:variant>
        <vt:lpwstr>_Toc99806448</vt:lpwstr>
      </vt:variant>
      <vt:variant>
        <vt:i4>1900595</vt:i4>
      </vt:variant>
      <vt:variant>
        <vt:i4>233</vt:i4>
      </vt:variant>
      <vt:variant>
        <vt:i4>0</vt:i4>
      </vt:variant>
      <vt:variant>
        <vt:i4>5</vt:i4>
      </vt:variant>
      <vt:variant>
        <vt:lpwstr/>
      </vt:variant>
      <vt:variant>
        <vt:lpwstr>_Toc99806447</vt:lpwstr>
      </vt:variant>
      <vt:variant>
        <vt:i4>1835059</vt:i4>
      </vt:variant>
      <vt:variant>
        <vt:i4>227</vt:i4>
      </vt:variant>
      <vt:variant>
        <vt:i4>0</vt:i4>
      </vt:variant>
      <vt:variant>
        <vt:i4>5</vt:i4>
      </vt:variant>
      <vt:variant>
        <vt:lpwstr/>
      </vt:variant>
      <vt:variant>
        <vt:lpwstr>_Toc99806446</vt:lpwstr>
      </vt:variant>
      <vt:variant>
        <vt:i4>2031667</vt:i4>
      </vt:variant>
      <vt:variant>
        <vt:i4>221</vt:i4>
      </vt:variant>
      <vt:variant>
        <vt:i4>0</vt:i4>
      </vt:variant>
      <vt:variant>
        <vt:i4>5</vt:i4>
      </vt:variant>
      <vt:variant>
        <vt:lpwstr/>
      </vt:variant>
      <vt:variant>
        <vt:lpwstr>_Toc99806445</vt:lpwstr>
      </vt:variant>
      <vt:variant>
        <vt:i4>1966131</vt:i4>
      </vt:variant>
      <vt:variant>
        <vt:i4>215</vt:i4>
      </vt:variant>
      <vt:variant>
        <vt:i4>0</vt:i4>
      </vt:variant>
      <vt:variant>
        <vt:i4>5</vt:i4>
      </vt:variant>
      <vt:variant>
        <vt:lpwstr/>
      </vt:variant>
      <vt:variant>
        <vt:lpwstr>_Toc99806444</vt:lpwstr>
      </vt:variant>
      <vt:variant>
        <vt:i4>1638451</vt:i4>
      </vt:variant>
      <vt:variant>
        <vt:i4>209</vt:i4>
      </vt:variant>
      <vt:variant>
        <vt:i4>0</vt:i4>
      </vt:variant>
      <vt:variant>
        <vt:i4>5</vt:i4>
      </vt:variant>
      <vt:variant>
        <vt:lpwstr/>
      </vt:variant>
      <vt:variant>
        <vt:lpwstr>_Toc99806443</vt:lpwstr>
      </vt:variant>
      <vt:variant>
        <vt:i4>1572915</vt:i4>
      </vt:variant>
      <vt:variant>
        <vt:i4>203</vt:i4>
      </vt:variant>
      <vt:variant>
        <vt:i4>0</vt:i4>
      </vt:variant>
      <vt:variant>
        <vt:i4>5</vt:i4>
      </vt:variant>
      <vt:variant>
        <vt:lpwstr/>
      </vt:variant>
      <vt:variant>
        <vt:lpwstr>_Toc99806442</vt:lpwstr>
      </vt:variant>
      <vt:variant>
        <vt:i4>1769523</vt:i4>
      </vt:variant>
      <vt:variant>
        <vt:i4>197</vt:i4>
      </vt:variant>
      <vt:variant>
        <vt:i4>0</vt:i4>
      </vt:variant>
      <vt:variant>
        <vt:i4>5</vt:i4>
      </vt:variant>
      <vt:variant>
        <vt:lpwstr/>
      </vt:variant>
      <vt:variant>
        <vt:lpwstr>_Toc99806441</vt:lpwstr>
      </vt:variant>
      <vt:variant>
        <vt:i4>1703987</vt:i4>
      </vt:variant>
      <vt:variant>
        <vt:i4>191</vt:i4>
      </vt:variant>
      <vt:variant>
        <vt:i4>0</vt:i4>
      </vt:variant>
      <vt:variant>
        <vt:i4>5</vt:i4>
      </vt:variant>
      <vt:variant>
        <vt:lpwstr/>
      </vt:variant>
      <vt:variant>
        <vt:lpwstr>_Toc99806440</vt:lpwstr>
      </vt:variant>
      <vt:variant>
        <vt:i4>1245236</vt:i4>
      </vt:variant>
      <vt:variant>
        <vt:i4>185</vt:i4>
      </vt:variant>
      <vt:variant>
        <vt:i4>0</vt:i4>
      </vt:variant>
      <vt:variant>
        <vt:i4>5</vt:i4>
      </vt:variant>
      <vt:variant>
        <vt:lpwstr/>
      </vt:variant>
      <vt:variant>
        <vt:lpwstr>_Toc99806439</vt:lpwstr>
      </vt:variant>
      <vt:variant>
        <vt:i4>1179700</vt:i4>
      </vt:variant>
      <vt:variant>
        <vt:i4>179</vt:i4>
      </vt:variant>
      <vt:variant>
        <vt:i4>0</vt:i4>
      </vt:variant>
      <vt:variant>
        <vt:i4>5</vt:i4>
      </vt:variant>
      <vt:variant>
        <vt:lpwstr/>
      </vt:variant>
      <vt:variant>
        <vt:lpwstr>_Toc99806438</vt:lpwstr>
      </vt:variant>
      <vt:variant>
        <vt:i4>1900596</vt:i4>
      </vt:variant>
      <vt:variant>
        <vt:i4>173</vt:i4>
      </vt:variant>
      <vt:variant>
        <vt:i4>0</vt:i4>
      </vt:variant>
      <vt:variant>
        <vt:i4>5</vt:i4>
      </vt:variant>
      <vt:variant>
        <vt:lpwstr/>
      </vt:variant>
      <vt:variant>
        <vt:lpwstr>_Toc99806437</vt:lpwstr>
      </vt:variant>
      <vt:variant>
        <vt:i4>1835060</vt:i4>
      </vt:variant>
      <vt:variant>
        <vt:i4>167</vt:i4>
      </vt:variant>
      <vt:variant>
        <vt:i4>0</vt:i4>
      </vt:variant>
      <vt:variant>
        <vt:i4>5</vt:i4>
      </vt:variant>
      <vt:variant>
        <vt:lpwstr/>
      </vt:variant>
      <vt:variant>
        <vt:lpwstr>_Toc99806436</vt:lpwstr>
      </vt:variant>
      <vt:variant>
        <vt:i4>2031668</vt:i4>
      </vt:variant>
      <vt:variant>
        <vt:i4>161</vt:i4>
      </vt:variant>
      <vt:variant>
        <vt:i4>0</vt:i4>
      </vt:variant>
      <vt:variant>
        <vt:i4>5</vt:i4>
      </vt:variant>
      <vt:variant>
        <vt:lpwstr/>
      </vt:variant>
      <vt:variant>
        <vt:lpwstr>_Toc99806435</vt:lpwstr>
      </vt:variant>
      <vt:variant>
        <vt:i4>1966132</vt:i4>
      </vt:variant>
      <vt:variant>
        <vt:i4>155</vt:i4>
      </vt:variant>
      <vt:variant>
        <vt:i4>0</vt:i4>
      </vt:variant>
      <vt:variant>
        <vt:i4>5</vt:i4>
      </vt:variant>
      <vt:variant>
        <vt:lpwstr/>
      </vt:variant>
      <vt:variant>
        <vt:lpwstr>_Toc99806434</vt:lpwstr>
      </vt:variant>
      <vt:variant>
        <vt:i4>1638452</vt:i4>
      </vt:variant>
      <vt:variant>
        <vt:i4>149</vt:i4>
      </vt:variant>
      <vt:variant>
        <vt:i4>0</vt:i4>
      </vt:variant>
      <vt:variant>
        <vt:i4>5</vt:i4>
      </vt:variant>
      <vt:variant>
        <vt:lpwstr/>
      </vt:variant>
      <vt:variant>
        <vt:lpwstr>_Toc99806433</vt:lpwstr>
      </vt:variant>
      <vt:variant>
        <vt:i4>1572916</vt:i4>
      </vt:variant>
      <vt:variant>
        <vt:i4>143</vt:i4>
      </vt:variant>
      <vt:variant>
        <vt:i4>0</vt:i4>
      </vt:variant>
      <vt:variant>
        <vt:i4>5</vt:i4>
      </vt:variant>
      <vt:variant>
        <vt:lpwstr/>
      </vt:variant>
      <vt:variant>
        <vt:lpwstr>_Toc99806432</vt:lpwstr>
      </vt:variant>
      <vt:variant>
        <vt:i4>1769524</vt:i4>
      </vt:variant>
      <vt:variant>
        <vt:i4>137</vt:i4>
      </vt:variant>
      <vt:variant>
        <vt:i4>0</vt:i4>
      </vt:variant>
      <vt:variant>
        <vt:i4>5</vt:i4>
      </vt:variant>
      <vt:variant>
        <vt:lpwstr/>
      </vt:variant>
      <vt:variant>
        <vt:lpwstr>_Toc99806431</vt:lpwstr>
      </vt:variant>
      <vt:variant>
        <vt:i4>1703988</vt:i4>
      </vt:variant>
      <vt:variant>
        <vt:i4>131</vt:i4>
      </vt:variant>
      <vt:variant>
        <vt:i4>0</vt:i4>
      </vt:variant>
      <vt:variant>
        <vt:i4>5</vt:i4>
      </vt:variant>
      <vt:variant>
        <vt:lpwstr/>
      </vt:variant>
      <vt:variant>
        <vt:lpwstr>_Toc99806430</vt:lpwstr>
      </vt:variant>
      <vt:variant>
        <vt:i4>1245237</vt:i4>
      </vt:variant>
      <vt:variant>
        <vt:i4>125</vt:i4>
      </vt:variant>
      <vt:variant>
        <vt:i4>0</vt:i4>
      </vt:variant>
      <vt:variant>
        <vt:i4>5</vt:i4>
      </vt:variant>
      <vt:variant>
        <vt:lpwstr/>
      </vt:variant>
      <vt:variant>
        <vt:lpwstr>_Toc99806429</vt:lpwstr>
      </vt:variant>
      <vt:variant>
        <vt:i4>1179701</vt:i4>
      </vt:variant>
      <vt:variant>
        <vt:i4>119</vt:i4>
      </vt:variant>
      <vt:variant>
        <vt:i4>0</vt:i4>
      </vt:variant>
      <vt:variant>
        <vt:i4>5</vt:i4>
      </vt:variant>
      <vt:variant>
        <vt:lpwstr/>
      </vt:variant>
      <vt:variant>
        <vt:lpwstr>_Toc99806428</vt:lpwstr>
      </vt:variant>
      <vt:variant>
        <vt:i4>1900597</vt:i4>
      </vt:variant>
      <vt:variant>
        <vt:i4>113</vt:i4>
      </vt:variant>
      <vt:variant>
        <vt:i4>0</vt:i4>
      </vt:variant>
      <vt:variant>
        <vt:i4>5</vt:i4>
      </vt:variant>
      <vt:variant>
        <vt:lpwstr/>
      </vt:variant>
      <vt:variant>
        <vt:lpwstr>_Toc99806427</vt:lpwstr>
      </vt:variant>
      <vt:variant>
        <vt:i4>1835061</vt:i4>
      </vt:variant>
      <vt:variant>
        <vt:i4>107</vt:i4>
      </vt:variant>
      <vt:variant>
        <vt:i4>0</vt:i4>
      </vt:variant>
      <vt:variant>
        <vt:i4>5</vt:i4>
      </vt:variant>
      <vt:variant>
        <vt:lpwstr/>
      </vt:variant>
      <vt:variant>
        <vt:lpwstr>_Toc99806426</vt:lpwstr>
      </vt:variant>
      <vt:variant>
        <vt:i4>2031669</vt:i4>
      </vt:variant>
      <vt:variant>
        <vt:i4>101</vt:i4>
      </vt:variant>
      <vt:variant>
        <vt:i4>0</vt:i4>
      </vt:variant>
      <vt:variant>
        <vt:i4>5</vt:i4>
      </vt:variant>
      <vt:variant>
        <vt:lpwstr/>
      </vt:variant>
      <vt:variant>
        <vt:lpwstr>_Toc99806425</vt:lpwstr>
      </vt:variant>
      <vt:variant>
        <vt:i4>1966133</vt:i4>
      </vt:variant>
      <vt:variant>
        <vt:i4>95</vt:i4>
      </vt:variant>
      <vt:variant>
        <vt:i4>0</vt:i4>
      </vt:variant>
      <vt:variant>
        <vt:i4>5</vt:i4>
      </vt:variant>
      <vt:variant>
        <vt:lpwstr/>
      </vt:variant>
      <vt:variant>
        <vt:lpwstr>_Toc99806424</vt:lpwstr>
      </vt:variant>
      <vt:variant>
        <vt:i4>1638453</vt:i4>
      </vt:variant>
      <vt:variant>
        <vt:i4>89</vt:i4>
      </vt:variant>
      <vt:variant>
        <vt:i4>0</vt:i4>
      </vt:variant>
      <vt:variant>
        <vt:i4>5</vt:i4>
      </vt:variant>
      <vt:variant>
        <vt:lpwstr/>
      </vt:variant>
      <vt:variant>
        <vt:lpwstr>_Toc99806423</vt:lpwstr>
      </vt:variant>
      <vt:variant>
        <vt:i4>1572917</vt:i4>
      </vt:variant>
      <vt:variant>
        <vt:i4>83</vt:i4>
      </vt:variant>
      <vt:variant>
        <vt:i4>0</vt:i4>
      </vt:variant>
      <vt:variant>
        <vt:i4>5</vt:i4>
      </vt:variant>
      <vt:variant>
        <vt:lpwstr/>
      </vt:variant>
      <vt:variant>
        <vt:lpwstr>_Toc99806422</vt:lpwstr>
      </vt:variant>
      <vt:variant>
        <vt:i4>1769525</vt:i4>
      </vt:variant>
      <vt:variant>
        <vt:i4>77</vt:i4>
      </vt:variant>
      <vt:variant>
        <vt:i4>0</vt:i4>
      </vt:variant>
      <vt:variant>
        <vt:i4>5</vt:i4>
      </vt:variant>
      <vt:variant>
        <vt:lpwstr/>
      </vt:variant>
      <vt:variant>
        <vt:lpwstr>_Toc99806421</vt:lpwstr>
      </vt:variant>
      <vt:variant>
        <vt:i4>1703989</vt:i4>
      </vt:variant>
      <vt:variant>
        <vt:i4>71</vt:i4>
      </vt:variant>
      <vt:variant>
        <vt:i4>0</vt:i4>
      </vt:variant>
      <vt:variant>
        <vt:i4>5</vt:i4>
      </vt:variant>
      <vt:variant>
        <vt:lpwstr/>
      </vt:variant>
      <vt:variant>
        <vt:lpwstr>_Toc99806420</vt:lpwstr>
      </vt:variant>
      <vt:variant>
        <vt:i4>1245238</vt:i4>
      </vt:variant>
      <vt:variant>
        <vt:i4>65</vt:i4>
      </vt:variant>
      <vt:variant>
        <vt:i4>0</vt:i4>
      </vt:variant>
      <vt:variant>
        <vt:i4>5</vt:i4>
      </vt:variant>
      <vt:variant>
        <vt:lpwstr/>
      </vt:variant>
      <vt:variant>
        <vt:lpwstr>_Toc99806419</vt:lpwstr>
      </vt:variant>
      <vt:variant>
        <vt:i4>1179702</vt:i4>
      </vt:variant>
      <vt:variant>
        <vt:i4>59</vt:i4>
      </vt:variant>
      <vt:variant>
        <vt:i4>0</vt:i4>
      </vt:variant>
      <vt:variant>
        <vt:i4>5</vt:i4>
      </vt:variant>
      <vt:variant>
        <vt:lpwstr/>
      </vt:variant>
      <vt:variant>
        <vt:lpwstr>_Toc99806418</vt:lpwstr>
      </vt:variant>
      <vt:variant>
        <vt:i4>1900598</vt:i4>
      </vt:variant>
      <vt:variant>
        <vt:i4>53</vt:i4>
      </vt:variant>
      <vt:variant>
        <vt:i4>0</vt:i4>
      </vt:variant>
      <vt:variant>
        <vt:i4>5</vt:i4>
      </vt:variant>
      <vt:variant>
        <vt:lpwstr/>
      </vt:variant>
      <vt:variant>
        <vt:lpwstr>_Toc99806417</vt:lpwstr>
      </vt:variant>
      <vt:variant>
        <vt:i4>1835062</vt:i4>
      </vt:variant>
      <vt:variant>
        <vt:i4>47</vt:i4>
      </vt:variant>
      <vt:variant>
        <vt:i4>0</vt:i4>
      </vt:variant>
      <vt:variant>
        <vt:i4>5</vt:i4>
      </vt:variant>
      <vt:variant>
        <vt:lpwstr/>
      </vt:variant>
      <vt:variant>
        <vt:lpwstr>_Toc99806416</vt:lpwstr>
      </vt:variant>
      <vt:variant>
        <vt:i4>2031670</vt:i4>
      </vt:variant>
      <vt:variant>
        <vt:i4>41</vt:i4>
      </vt:variant>
      <vt:variant>
        <vt:i4>0</vt:i4>
      </vt:variant>
      <vt:variant>
        <vt:i4>5</vt:i4>
      </vt:variant>
      <vt:variant>
        <vt:lpwstr/>
      </vt:variant>
      <vt:variant>
        <vt:lpwstr>_Toc99806415</vt:lpwstr>
      </vt:variant>
      <vt:variant>
        <vt:i4>1966134</vt:i4>
      </vt:variant>
      <vt:variant>
        <vt:i4>35</vt:i4>
      </vt:variant>
      <vt:variant>
        <vt:i4>0</vt:i4>
      </vt:variant>
      <vt:variant>
        <vt:i4>5</vt:i4>
      </vt:variant>
      <vt:variant>
        <vt:lpwstr/>
      </vt:variant>
      <vt:variant>
        <vt:lpwstr>_Toc99806414</vt:lpwstr>
      </vt:variant>
      <vt:variant>
        <vt:i4>1638454</vt:i4>
      </vt:variant>
      <vt:variant>
        <vt:i4>29</vt:i4>
      </vt:variant>
      <vt:variant>
        <vt:i4>0</vt:i4>
      </vt:variant>
      <vt:variant>
        <vt:i4>5</vt:i4>
      </vt:variant>
      <vt:variant>
        <vt:lpwstr/>
      </vt:variant>
      <vt:variant>
        <vt:lpwstr>_Toc99806413</vt:lpwstr>
      </vt:variant>
      <vt:variant>
        <vt:i4>1572918</vt:i4>
      </vt:variant>
      <vt:variant>
        <vt:i4>23</vt:i4>
      </vt:variant>
      <vt:variant>
        <vt:i4>0</vt:i4>
      </vt:variant>
      <vt:variant>
        <vt:i4>5</vt:i4>
      </vt:variant>
      <vt:variant>
        <vt:lpwstr/>
      </vt:variant>
      <vt:variant>
        <vt:lpwstr>_Toc99806412</vt:lpwstr>
      </vt:variant>
      <vt:variant>
        <vt:i4>1769526</vt:i4>
      </vt:variant>
      <vt:variant>
        <vt:i4>17</vt:i4>
      </vt:variant>
      <vt:variant>
        <vt:i4>0</vt:i4>
      </vt:variant>
      <vt:variant>
        <vt:i4>5</vt:i4>
      </vt:variant>
      <vt:variant>
        <vt:lpwstr/>
      </vt:variant>
      <vt:variant>
        <vt:lpwstr>_Toc99806411</vt:lpwstr>
      </vt:variant>
      <vt:variant>
        <vt:i4>1703990</vt:i4>
      </vt:variant>
      <vt:variant>
        <vt:i4>11</vt:i4>
      </vt:variant>
      <vt:variant>
        <vt:i4>0</vt:i4>
      </vt:variant>
      <vt:variant>
        <vt:i4>5</vt:i4>
      </vt:variant>
      <vt:variant>
        <vt:lpwstr/>
      </vt:variant>
      <vt:variant>
        <vt:lpwstr>_Toc99806410</vt:lpwstr>
      </vt:variant>
      <vt:variant>
        <vt:i4>1245239</vt:i4>
      </vt:variant>
      <vt:variant>
        <vt:i4>5</vt:i4>
      </vt:variant>
      <vt:variant>
        <vt:i4>0</vt:i4>
      </vt:variant>
      <vt:variant>
        <vt:i4>5</vt:i4>
      </vt:variant>
      <vt:variant>
        <vt:lpwstr/>
      </vt:variant>
      <vt:variant>
        <vt:lpwstr>_Toc99806409</vt:lpwstr>
      </vt:variant>
      <vt:variant>
        <vt:i4>917531</vt:i4>
      </vt:variant>
      <vt:variant>
        <vt:i4>0</vt:i4>
      </vt:variant>
      <vt:variant>
        <vt:i4>0</vt:i4>
      </vt:variant>
      <vt:variant>
        <vt:i4>5</vt:i4>
      </vt:variant>
      <vt:variant>
        <vt:lpwstr>https://environment.govt.nz/</vt:lpwstr>
      </vt:variant>
      <vt:variant>
        <vt:lpwstr/>
      </vt:variant>
      <vt:variant>
        <vt:i4>3670076</vt:i4>
      </vt:variant>
      <vt:variant>
        <vt:i4>192</vt:i4>
      </vt:variant>
      <vt:variant>
        <vt:i4>0</vt:i4>
      </vt:variant>
      <vt:variant>
        <vt:i4>5</vt:i4>
      </vt:variant>
      <vt:variant>
        <vt:lpwstr>https://unfccc.int/resource/docs/ 2013/cop19/eng/10a03.pdf</vt:lpwstr>
      </vt:variant>
      <vt:variant>
        <vt:lpwstr/>
      </vt:variant>
      <vt:variant>
        <vt:i4>1245252</vt:i4>
      </vt:variant>
      <vt:variant>
        <vt:i4>189</vt:i4>
      </vt:variant>
      <vt:variant>
        <vt:i4>0</vt:i4>
      </vt:variant>
      <vt:variant>
        <vt:i4>5</vt:i4>
      </vt:variant>
      <vt:variant>
        <vt:lpwstr>http://www.ipcc-nggip.iges.or.jp/public/2006gl/pdf/4_Volume4/V4_10_Ch10_Livestock.pdf</vt:lpwstr>
      </vt:variant>
      <vt:variant>
        <vt:lpwstr/>
      </vt:variant>
      <vt:variant>
        <vt:i4>1245252</vt:i4>
      </vt:variant>
      <vt:variant>
        <vt:i4>186</vt:i4>
      </vt:variant>
      <vt:variant>
        <vt:i4>0</vt:i4>
      </vt:variant>
      <vt:variant>
        <vt:i4>5</vt:i4>
      </vt:variant>
      <vt:variant>
        <vt:lpwstr>http://www.ipcc-nggip.iges.or.jp/public/2006gl/pdf/4_Volume4/V4_10_Ch10_Livestock.pdf</vt:lpwstr>
      </vt:variant>
      <vt:variant>
        <vt:lpwstr/>
      </vt:variant>
      <vt:variant>
        <vt:i4>7536765</vt:i4>
      </vt:variant>
      <vt:variant>
        <vt:i4>183</vt:i4>
      </vt:variant>
      <vt:variant>
        <vt:i4>0</vt:i4>
      </vt:variant>
      <vt:variant>
        <vt:i4>5</vt:i4>
      </vt:variant>
      <vt:variant>
        <vt:lpwstr>https://lris.scinfo.org.nz/layer/48423-lcdb-v41-deprecated-land-cover-database-version-41-mainland-new-zealand/</vt:lpwstr>
      </vt:variant>
      <vt:variant>
        <vt:lpwstr/>
      </vt:variant>
      <vt:variant>
        <vt:i4>6029379</vt:i4>
      </vt:variant>
      <vt:variant>
        <vt:i4>180</vt:i4>
      </vt:variant>
      <vt:variant>
        <vt:i4>0</vt:i4>
      </vt:variant>
      <vt:variant>
        <vt:i4>5</vt:i4>
      </vt:variant>
      <vt:variant>
        <vt:lpwstr>https://data.mfe.govt.nz/</vt:lpwstr>
      </vt:variant>
      <vt:variant>
        <vt:lpwstr/>
      </vt:variant>
      <vt:variant>
        <vt:i4>327760</vt:i4>
      </vt:variant>
      <vt:variant>
        <vt:i4>177</vt:i4>
      </vt:variant>
      <vt:variant>
        <vt:i4>0</vt:i4>
      </vt:variant>
      <vt:variant>
        <vt:i4>5</vt:i4>
      </vt:variant>
      <vt:variant>
        <vt:lpwstr>http://www.ipcc-nggip.iges.or.jp/public/2006gl/pdf/5_Volume5/V5_3_Ch3_SWDS.pdf</vt:lpwstr>
      </vt:variant>
      <vt:variant>
        <vt:lpwstr/>
      </vt:variant>
      <vt:variant>
        <vt:i4>327760</vt:i4>
      </vt:variant>
      <vt:variant>
        <vt:i4>174</vt:i4>
      </vt:variant>
      <vt:variant>
        <vt:i4>0</vt:i4>
      </vt:variant>
      <vt:variant>
        <vt:i4>5</vt:i4>
      </vt:variant>
      <vt:variant>
        <vt:lpwstr>http://www.ipcc-nggip.iges.or.jp/public/2006gl/pdf/5_Volume5/V5_3_Ch3_SWDS.pdf</vt:lpwstr>
      </vt:variant>
      <vt:variant>
        <vt:lpwstr/>
      </vt:variant>
      <vt:variant>
        <vt:i4>4849745</vt:i4>
      </vt:variant>
      <vt:variant>
        <vt:i4>171</vt:i4>
      </vt:variant>
      <vt:variant>
        <vt:i4>0</vt:i4>
      </vt:variant>
      <vt:variant>
        <vt:i4>5</vt:i4>
      </vt:variant>
      <vt:variant>
        <vt:lpwstr>https://epd-australasia.com/</vt:lpwstr>
      </vt:variant>
      <vt:variant>
        <vt:lpwstr/>
      </vt:variant>
      <vt:variant>
        <vt:i4>7929912</vt:i4>
      </vt:variant>
      <vt:variant>
        <vt:i4>168</vt:i4>
      </vt:variant>
      <vt:variant>
        <vt:i4>0</vt:i4>
      </vt:variant>
      <vt:variant>
        <vt:i4>5</vt:i4>
      </vt:variant>
      <vt:variant>
        <vt:lpwstr>http://www.branz.co.nz/co2nstruct/</vt:lpwstr>
      </vt:variant>
      <vt:variant>
        <vt:lpwstr/>
      </vt:variant>
      <vt:variant>
        <vt:i4>6619235</vt:i4>
      </vt:variant>
      <vt:variant>
        <vt:i4>165</vt:i4>
      </vt:variant>
      <vt:variant>
        <vt:i4>0</vt:i4>
      </vt:variant>
      <vt:variant>
        <vt:i4>5</vt:i4>
      </vt:variant>
      <vt:variant>
        <vt:lpwstr>http://www.branz.co.nz/</vt:lpwstr>
      </vt:variant>
      <vt:variant>
        <vt:lpwstr/>
      </vt:variant>
      <vt:variant>
        <vt:i4>2293862</vt:i4>
      </vt:variant>
      <vt:variant>
        <vt:i4>162</vt:i4>
      </vt:variant>
      <vt:variant>
        <vt:i4>0</vt:i4>
      </vt:variant>
      <vt:variant>
        <vt:i4>5</vt:i4>
      </vt:variant>
      <vt:variant>
        <vt:lpwstr>https://aus01.safelinks.protection.outlook.com/?url=https%3A%2F%2Fenvironment.govt.nz%2Fpublications%2Fgreenhouse-gas-emissions-from-industrial-wastewater-treatment-inventory-basis-review%2F&amp;data=04%7C01%7CCharissa.Billings%40mfe.govt.nz%7Ca910a688e74c4057425e08da1200c40e%7C761dd003d4ff40498a728549b20fcbb1%7C0%7C0%7C637842091736073494%7CUnknown%7CTWFpbGZsb3d8eyJWIjoiMC4wLjAwMDAiLCJQIjoiV2luMzIiLCJBTiI6Ik1haWwiLCJXVCI6Mn0%3D%7C3000&amp;sdata=wResar0OvjvWgHUzfPoI1tam6zoi50FbjtpSrtyVcDA%3D&amp;reserved=0</vt:lpwstr>
      </vt:variant>
      <vt:variant>
        <vt:lpwstr/>
      </vt:variant>
      <vt:variant>
        <vt:i4>4325466</vt:i4>
      </vt:variant>
      <vt:variant>
        <vt:i4>159</vt:i4>
      </vt:variant>
      <vt:variant>
        <vt:i4>0</vt:i4>
      </vt:variant>
      <vt:variant>
        <vt:i4>5</vt:i4>
      </vt:variant>
      <vt:variant>
        <vt:lpwstr>http://www.ipcc-nggip.iges.or.jp/public/2019rf/index.html</vt:lpwstr>
      </vt:variant>
      <vt:variant>
        <vt:lpwstr/>
      </vt:variant>
      <vt:variant>
        <vt:i4>3604528</vt:i4>
      </vt:variant>
      <vt:variant>
        <vt:i4>156</vt:i4>
      </vt:variant>
      <vt:variant>
        <vt:i4>0</vt:i4>
      </vt:variant>
      <vt:variant>
        <vt:i4>5</vt:i4>
      </vt:variant>
      <vt:variant>
        <vt:lpwstr>http://www.ipcc-nggip.iges.or.jp/public/2006gl/</vt:lpwstr>
      </vt:variant>
      <vt:variant>
        <vt:lpwstr/>
      </vt:variant>
      <vt:variant>
        <vt:i4>65581</vt:i4>
      </vt:variant>
      <vt:variant>
        <vt:i4>153</vt:i4>
      </vt:variant>
      <vt:variant>
        <vt:i4>0</vt:i4>
      </vt:variant>
      <vt:variant>
        <vt:i4>5</vt:i4>
      </vt:variant>
      <vt:variant>
        <vt:lpwstr>http://www.waternz.org.nz/Attachment?Action=Download&amp;Attachment_id=3142</vt:lpwstr>
      </vt:variant>
      <vt:variant>
        <vt:lpwstr/>
      </vt:variant>
      <vt:variant>
        <vt:i4>7405601</vt:i4>
      </vt:variant>
      <vt:variant>
        <vt:i4>150</vt:i4>
      </vt:variant>
      <vt:variant>
        <vt:i4>0</vt:i4>
      </vt:variant>
      <vt:variant>
        <vt:i4>5</vt:i4>
      </vt:variant>
      <vt:variant>
        <vt:lpwstr>http://www.waternz.org.nz/NationalPerformanceReview</vt:lpwstr>
      </vt:variant>
      <vt:variant>
        <vt:lpwstr/>
      </vt:variant>
      <vt:variant>
        <vt:i4>3080274</vt:i4>
      </vt:variant>
      <vt:variant>
        <vt:i4>147</vt:i4>
      </vt:variant>
      <vt:variant>
        <vt:i4>0</vt:i4>
      </vt:variant>
      <vt:variant>
        <vt:i4>5</vt:i4>
      </vt:variant>
      <vt:variant>
        <vt:lpwstr>https://www.waternz.org.nz/Article?Action=View&amp;Article_id=2078</vt:lpwstr>
      </vt:variant>
      <vt:variant>
        <vt:lpwstr/>
      </vt:variant>
      <vt:variant>
        <vt:i4>6684778</vt:i4>
      </vt:variant>
      <vt:variant>
        <vt:i4>144</vt:i4>
      </vt:variant>
      <vt:variant>
        <vt:i4>0</vt:i4>
      </vt:variant>
      <vt:variant>
        <vt:i4>5</vt:i4>
      </vt:variant>
      <vt:variant>
        <vt:lpwstr>https://www.gov.uk/government/publications/greenhouse-gas-reporting-conversion-factors-2021</vt:lpwstr>
      </vt:variant>
      <vt:variant>
        <vt:lpwstr/>
      </vt:variant>
      <vt:variant>
        <vt:i4>4915217</vt:i4>
      </vt:variant>
      <vt:variant>
        <vt:i4>141</vt:i4>
      </vt:variant>
      <vt:variant>
        <vt:i4>0</vt:i4>
      </vt:variant>
      <vt:variant>
        <vt:i4>5</vt:i4>
      </vt:variant>
      <vt:variant>
        <vt:lpwstr>https://www.transport.govt.nz/statistics-and-insights/freight-and-logistics/</vt:lpwstr>
      </vt:variant>
      <vt:variant>
        <vt:lpwstr/>
      </vt:variant>
      <vt:variant>
        <vt:i4>4915217</vt:i4>
      </vt:variant>
      <vt:variant>
        <vt:i4>138</vt:i4>
      </vt:variant>
      <vt:variant>
        <vt:i4>0</vt:i4>
      </vt:variant>
      <vt:variant>
        <vt:i4>5</vt:i4>
      </vt:variant>
      <vt:variant>
        <vt:lpwstr>https://www.transport.govt.nz/statistics-and-insights/freight-and-logistics/</vt:lpwstr>
      </vt:variant>
      <vt:variant>
        <vt:lpwstr/>
      </vt:variant>
      <vt:variant>
        <vt:i4>6815852</vt:i4>
      </vt:variant>
      <vt:variant>
        <vt:i4>135</vt:i4>
      </vt:variant>
      <vt:variant>
        <vt:i4>0</vt:i4>
      </vt:variant>
      <vt:variant>
        <vt:i4>5</vt:i4>
      </vt:variant>
      <vt:variant>
        <vt:lpwstr>https://www.knowledgehub.transport.govt.nz/assets/TKH-Uploads/TKC-2019/Real-world-fuel-economy-of-heavy-trucks.pdf</vt:lpwstr>
      </vt:variant>
      <vt:variant>
        <vt:lpwstr/>
      </vt:variant>
      <vt:variant>
        <vt:i4>6815852</vt:i4>
      </vt:variant>
      <vt:variant>
        <vt:i4>132</vt:i4>
      </vt:variant>
      <vt:variant>
        <vt:i4>0</vt:i4>
      </vt:variant>
      <vt:variant>
        <vt:i4>5</vt:i4>
      </vt:variant>
      <vt:variant>
        <vt:lpwstr>https://www.knowledgehub.transport.govt.nz/assets/TKH-Uploads/TKC-2019/Real-world-fuel-economy-of-heavy-trucks.pdf</vt:lpwstr>
      </vt:variant>
      <vt:variant>
        <vt:lpwstr/>
      </vt:variant>
      <vt:variant>
        <vt:i4>7340141</vt:i4>
      </vt:variant>
      <vt:variant>
        <vt:i4>129</vt:i4>
      </vt:variant>
      <vt:variant>
        <vt:i4>0</vt:i4>
      </vt:variant>
      <vt:variant>
        <vt:i4>5</vt:i4>
      </vt:variant>
      <vt:variant>
        <vt:lpwstr>http://www.theccc.org.uk/publication/meeting-the-uk-aviation-target-options-for-reducing-emissions-to-2050/</vt:lpwstr>
      </vt:variant>
      <vt:variant>
        <vt:lpwstr/>
      </vt:variant>
      <vt:variant>
        <vt:i4>7798824</vt:i4>
      </vt:variant>
      <vt:variant>
        <vt:i4>126</vt:i4>
      </vt:variant>
      <vt:variant>
        <vt:i4>0</vt:i4>
      </vt:variant>
      <vt:variant>
        <vt:i4>5</vt:i4>
      </vt:variant>
      <vt:variant>
        <vt:lpwstr>http://elib.dlr.de/19906/1/s13.pdf</vt:lpwstr>
      </vt:variant>
      <vt:variant>
        <vt:lpwstr/>
      </vt:variant>
      <vt:variant>
        <vt:i4>6815852</vt:i4>
      </vt:variant>
      <vt:variant>
        <vt:i4>123</vt:i4>
      </vt:variant>
      <vt:variant>
        <vt:i4>0</vt:i4>
      </vt:variant>
      <vt:variant>
        <vt:i4>5</vt:i4>
      </vt:variant>
      <vt:variant>
        <vt:lpwstr>https://www.knowledgehub.transport.govt.nz/assets/TKH-Uploads/TKC-2019/Real-world-fuel-economy-of-heavy-trucks.pdf</vt:lpwstr>
      </vt:variant>
      <vt:variant>
        <vt:lpwstr/>
      </vt:variant>
      <vt:variant>
        <vt:i4>2621567</vt:i4>
      </vt:variant>
      <vt:variant>
        <vt:i4>120</vt:i4>
      </vt:variant>
      <vt:variant>
        <vt:i4>0</vt:i4>
      </vt:variant>
      <vt:variant>
        <vt:i4>5</vt:i4>
      </vt:variant>
      <vt:variant>
        <vt:lpwstr>https://www.transport.govt.nz/statistics-and-insights/fleet-statistics/sheet/vehicle-age</vt:lpwstr>
      </vt:variant>
      <vt:variant>
        <vt:lpwstr>element-413</vt:lpwstr>
      </vt:variant>
      <vt:variant>
        <vt:i4>2162803</vt:i4>
      </vt:variant>
      <vt:variant>
        <vt:i4>117</vt:i4>
      </vt:variant>
      <vt:variant>
        <vt:i4>0</vt:i4>
      </vt:variant>
      <vt:variant>
        <vt:i4>5</vt:i4>
      </vt:variant>
      <vt:variant>
        <vt:lpwstr>https://aus01.safelinks.protection.outlook.com/?url=https%3A%2F%2Fwww.transport.govt.nz%2Fassets%2FUploads%2FData%2FNZVehicleFleet.xlsx&amp;data=04%7C01%7CCharissa.Billings%40mfe.govt.nz%7C716d568e554f4ce8d7ea08d9f0038879%7C761dd003d4ff40498a728549b20fcbb1%7C0%7C0%7C637804721191989366%7CUnknown%7CTWFpbGZsb3d8eyJWIjoiMC4wLjAwMDAiLCJQIjoiV2luMzIiLCJBTiI6Ik1haWwiLCJXVCI6Mn0%3D%7C3000&amp;sdata=BZp5pk8xXn6UG%2BUsdp2nhsSIGHtFyJ4UWvBcBZydgHg%3D&amp;reserved=0</vt:lpwstr>
      </vt:variant>
      <vt:variant>
        <vt:lpwstr/>
      </vt:variant>
      <vt:variant>
        <vt:i4>3539050</vt:i4>
      </vt:variant>
      <vt:variant>
        <vt:i4>114</vt:i4>
      </vt:variant>
      <vt:variant>
        <vt:i4>0</vt:i4>
      </vt:variant>
      <vt:variant>
        <vt:i4>5</vt:i4>
      </vt:variant>
      <vt:variant>
        <vt:lpwstr>https://www.transport.govt.nz/assets/Uploads/Data/Transport-outlook-updated/Emission-Impossible-Real-World-Energy-Use-Projections-for-VFEM-20160905.pdf</vt:lpwstr>
      </vt:variant>
      <vt:variant>
        <vt:lpwstr/>
      </vt:variant>
      <vt:variant>
        <vt:i4>852024</vt:i4>
      </vt:variant>
      <vt:variant>
        <vt:i4>111</vt:i4>
      </vt:variant>
      <vt:variant>
        <vt:i4>0</vt:i4>
      </vt:variant>
      <vt:variant>
        <vt:i4>5</vt:i4>
      </vt:variant>
      <vt:variant>
        <vt:lpwstr>https://assets.publishing.service.gov.uk/government/uploads/ system/uploads/attachment_data/file/1049346/2021-ghg-conversion-factors-methodology.pdf</vt:lpwstr>
      </vt:variant>
      <vt:variant>
        <vt:lpwstr/>
      </vt:variant>
      <vt:variant>
        <vt:i4>7602217</vt:i4>
      </vt:variant>
      <vt:variant>
        <vt:i4>108</vt:i4>
      </vt:variant>
      <vt:variant>
        <vt:i4>0</vt:i4>
      </vt:variant>
      <vt:variant>
        <vt:i4>5</vt:i4>
      </vt:variant>
      <vt:variant>
        <vt:lpwstr>https://ecommons.cornell.edu/handle/1813/109990</vt:lpwstr>
      </vt:variant>
      <vt:variant>
        <vt:lpwstr/>
      </vt:variant>
      <vt:variant>
        <vt:i4>5570636</vt:i4>
      </vt:variant>
      <vt:variant>
        <vt:i4>105</vt:i4>
      </vt:variant>
      <vt:variant>
        <vt:i4>0</vt:i4>
      </vt:variant>
      <vt:variant>
        <vt:i4>5</vt:i4>
      </vt:variant>
      <vt:variant>
        <vt:lpwstr>https://www.hotelfootprints.org/</vt:lpwstr>
      </vt:variant>
      <vt:variant>
        <vt:lpwstr/>
      </vt:variant>
      <vt:variant>
        <vt:i4>1638492</vt:i4>
      </vt:variant>
      <vt:variant>
        <vt:i4>102</vt:i4>
      </vt:variant>
      <vt:variant>
        <vt:i4>0</vt:i4>
      </vt:variant>
      <vt:variant>
        <vt:i4>5</vt:i4>
      </vt:variant>
      <vt:variant>
        <vt:lpwstr>http://www.aviation.govt.nz/aircraft/aircraft-registration/aircraft-register-search/</vt:lpwstr>
      </vt:variant>
      <vt:variant>
        <vt:lpwstr/>
      </vt:variant>
      <vt:variant>
        <vt:i4>4521997</vt:i4>
      </vt:variant>
      <vt:variant>
        <vt:i4>99</vt:i4>
      </vt:variant>
      <vt:variant>
        <vt:i4>0</vt:i4>
      </vt:variant>
      <vt:variant>
        <vt:i4>5</vt:i4>
      </vt:variant>
      <vt:variant>
        <vt:lpwstr>http://www.bazl.admin.ch/bazl/en/home/specialists/regulations-and-guidelines/environment/pollutant-emissions/aircraft-engine-emissions/guidance-on-the-determination-of-helicopter-emissions.html</vt:lpwstr>
      </vt:variant>
      <vt:variant>
        <vt:lpwstr/>
      </vt:variant>
      <vt:variant>
        <vt:i4>5373959</vt:i4>
      </vt:variant>
      <vt:variant>
        <vt:i4>96</vt:i4>
      </vt:variant>
      <vt:variant>
        <vt:i4>0</vt:i4>
      </vt:variant>
      <vt:variant>
        <vt:i4>5</vt:i4>
      </vt:variant>
      <vt:variant>
        <vt:lpwstr>http://www.icao.int/environmental-protection/CarbonOffset/Pages/default.aspx</vt:lpwstr>
      </vt:variant>
      <vt:variant>
        <vt:lpwstr/>
      </vt:variant>
      <vt:variant>
        <vt:i4>6619207</vt:i4>
      </vt:variant>
      <vt:variant>
        <vt:i4>93</vt:i4>
      </vt:variant>
      <vt:variant>
        <vt:i4>0</vt:i4>
      </vt:variant>
      <vt:variant>
        <vt:i4>5</vt:i4>
      </vt:variant>
      <vt:variant>
        <vt:lpwstr>https://z.co.nz/assets/SDS/Kerosene_2.pdf</vt:lpwstr>
      </vt:variant>
      <vt:variant>
        <vt:lpwstr/>
      </vt:variant>
      <vt:variant>
        <vt:i4>7340141</vt:i4>
      </vt:variant>
      <vt:variant>
        <vt:i4>90</vt:i4>
      </vt:variant>
      <vt:variant>
        <vt:i4>0</vt:i4>
      </vt:variant>
      <vt:variant>
        <vt:i4>5</vt:i4>
      </vt:variant>
      <vt:variant>
        <vt:lpwstr>http://www.theccc.org.uk/publication/meeting-the-uk-aviation-target-options-for-reducing-emissions-to-2050/</vt:lpwstr>
      </vt:variant>
      <vt:variant>
        <vt:lpwstr/>
      </vt:variant>
      <vt:variant>
        <vt:i4>7798824</vt:i4>
      </vt:variant>
      <vt:variant>
        <vt:i4>87</vt:i4>
      </vt:variant>
      <vt:variant>
        <vt:i4>0</vt:i4>
      </vt:variant>
      <vt:variant>
        <vt:i4>5</vt:i4>
      </vt:variant>
      <vt:variant>
        <vt:lpwstr>http://elib.dlr.de/19906/1/s13.pdf</vt:lpwstr>
      </vt:variant>
      <vt:variant>
        <vt:lpwstr/>
      </vt:variant>
      <vt:variant>
        <vt:i4>3538982</vt:i4>
      </vt:variant>
      <vt:variant>
        <vt:i4>84</vt:i4>
      </vt:variant>
      <vt:variant>
        <vt:i4>0</vt:i4>
      </vt:variant>
      <vt:variant>
        <vt:i4>5</vt:i4>
      </vt:variant>
      <vt:variant>
        <vt:lpwstr>http://www.nzta.govt.nz/assets/userfiles/transport-data/PTPerformance.xlsx</vt:lpwstr>
      </vt:variant>
      <vt:variant>
        <vt:lpwstr/>
      </vt:variant>
      <vt:variant>
        <vt:i4>2424922</vt:i4>
      </vt:variant>
      <vt:variant>
        <vt:i4>81</vt:i4>
      </vt:variant>
      <vt:variant>
        <vt:i4>0</vt:i4>
      </vt:variant>
      <vt:variant>
        <vt:i4>5</vt:i4>
      </vt:variant>
      <vt:variant>
        <vt:lpwstr>https://ghgprotocol.org/sites/default/files/standards_supporting/Chapter6.pdf</vt:lpwstr>
      </vt:variant>
      <vt:variant>
        <vt:lpwstr/>
      </vt:variant>
      <vt:variant>
        <vt:i4>1376344</vt:i4>
      </vt:variant>
      <vt:variant>
        <vt:i4>78</vt:i4>
      </vt:variant>
      <vt:variant>
        <vt:i4>0</vt:i4>
      </vt:variant>
      <vt:variant>
        <vt:i4>5</vt:i4>
      </vt:variant>
      <vt:variant>
        <vt:lpwstr>https://www.transport.govt.nz/assets/Uploads/Data/NZVehicleFleet.xlsx</vt:lpwstr>
      </vt:variant>
      <vt:variant>
        <vt:lpwstr/>
      </vt:variant>
      <vt:variant>
        <vt:i4>1376344</vt:i4>
      </vt:variant>
      <vt:variant>
        <vt:i4>75</vt:i4>
      </vt:variant>
      <vt:variant>
        <vt:i4>0</vt:i4>
      </vt:variant>
      <vt:variant>
        <vt:i4>5</vt:i4>
      </vt:variant>
      <vt:variant>
        <vt:lpwstr>https://www.transport.govt.nz/assets/Uploads/Data/NZVehicleFleet.xlsx</vt:lpwstr>
      </vt:variant>
      <vt:variant>
        <vt:lpwstr/>
      </vt:variant>
      <vt:variant>
        <vt:i4>2621567</vt:i4>
      </vt:variant>
      <vt:variant>
        <vt:i4>72</vt:i4>
      </vt:variant>
      <vt:variant>
        <vt:i4>0</vt:i4>
      </vt:variant>
      <vt:variant>
        <vt:i4>5</vt:i4>
      </vt:variant>
      <vt:variant>
        <vt:lpwstr>https://www.transport.govt.nz/statistics-and-insights/fleet-statistics/sheet/vehicle-age</vt:lpwstr>
      </vt:variant>
      <vt:variant>
        <vt:lpwstr>element-413</vt:lpwstr>
      </vt:variant>
      <vt:variant>
        <vt:i4>1376344</vt:i4>
      </vt:variant>
      <vt:variant>
        <vt:i4>69</vt:i4>
      </vt:variant>
      <vt:variant>
        <vt:i4>0</vt:i4>
      </vt:variant>
      <vt:variant>
        <vt:i4>5</vt:i4>
      </vt:variant>
      <vt:variant>
        <vt:lpwstr>https://www.transport.govt.nz/assets/Uploads/Data/NZVehicleFleet.xlsx</vt:lpwstr>
      </vt:variant>
      <vt:variant>
        <vt:lpwstr/>
      </vt:variant>
      <vt:variant>
        <vt:i4>655443</vt:i4>
      </vt:variant>
      <vt:variant>
        <vt:i4>66</vt:i4>
      </vt:variant>
      <vt:variant>
        <vt:i4>0</vt:i4>
      </vt:variant>
      <vt:variant>
        <vt:i4>5</vt:i4>
      </vt:variant>
      <vt:variant>
        <vt:lpwstr>https://www.nzta.govt.nz/vehicles/how-the-motor-vehicle-register-affects-you/motor-vehicle-registrations-dashboard-and-open-data/</vt:lpwstr>
      </vt:variant>
      <vt:variant>
        <vt:lpwstr/>
      </vt:variant>
      <vt:variant>
        <vt:i4>7602208</vt:i4>
      </vt:variant>
      <vt:variant>
        <vt:i4>63</vt:i4>
      </vt:variant>
      <vt:variant>
        <vt:i4>0</vt:i4>
      </vt:variant>
      <vt:variant>
        <vt:i4>5</vt:i4>
      </vt:variant>
      <vt:variant>
        <vt:lpwstr>https://ghgprotocol.org/sites/default/files/standards/Scope 2 Guidance_Final_Sept26.pdf</vt:lpwstr>
      </vt:variant>
      <vt:variant>
        <vt:lpwstr/>
      </vt:variant>
      <vt:variant>
        <vt:i4>262162</vt:i4>
      </vt:variant>
      <vt:variant>
        <vt:i4>60</vt:i4>
      </vt:variant>
      <vt:variant>
        <vt:i4>0</vt:i4>
      </vt:variant>
      <vt:variant>
        <vt:i4>5</vt:i4>
      </vt:variant>
      <vt:variant>
        <vt:lpwstr>http://www.ipcc.ch/site/assets/uploads/2018/02/WG1AR5_Chapter08_FINAL.pdf</vt:lpwstr>
      </vt:variant>
      <vt:variant>
        <vt:lpwstr/>
      </vt:variant>
      <vt:variant>
        <vt:i4>5177362</vt:i4>
      </vt:variant>
      <vt:variant>
        <vt:i4>57</vt:i4>
      </vt:variant>
      <vt:variant>
        <vt:i4>0</vt:i4>
      </vt:variant>
      <vt:variant>
        <vt:i4>5</vt:i4>
      </vt:variant>
      <vt:variant>
        <vt:lpwstr>http://www.ipcc.ch/site/assets/uploads/2018/02/ar4-wg1-chapter2-1.pdf</vt:lpwstr>
      </vt:variant>
      <vt:variant>
        <vt:lpwstr/>
      </vt:variant>
      <vt:variant>
        <vt:i4>5177362</vt:i4>
      </vt:variant>
      <vt:variant>
        <vt:i4>54</vt:i4>
      </vt:variant>
      <vt:variant>
        <vt:i4>0</vt:i4>
      </vt:variant>
      <vt:variant>
        <vt:i4>5</vt:i4>
      </vt:variant>
      <vt:variant>
        <vt:lpwstr>http://www.ipcc.ch/site/assets/uploads/2018/02/ar4-wg1-chapter2-1.pdf</vt:lpwstr>
      </vt:variant>
      <vt:variant>
        <vt:lpwstr/>
      </vt:variant>
      <vt:variant>
        <vt:i4>6094872</vt:i4>
      </vt:variant>
      <vt:variant>
        <vt:i4>51</vt:i4>
      </vt:variant>
      <vt:variant>
        <vt:i4>0</vt:i4>
      </vt:variant>
      <vt:variant>
        <vt:i4>5</vt:i4>
      </vt:variant>
      <vt:variant>
        <vt:lpwstr>https://ghgprotocol.org/sites/default/files/ Stationary_Combustion_Guidance_final_1.pdf</vt:lpwstr>
      </vt:variant>
      <vt:variant>
        <vt:lpwstr/>
      </vt:variant>
      <vt:variant>
        <vt:i4>4390976</vt:i4>
      </vt:variant>
      <vt:variant>
        <vt:i4>48</vt:i4>
      </vt:variant>
      <vt:variant>
        <vt:i4>0</vt:i4>
      </vt:variant>
      <vt:variant>
        <vt:i4>5</vt:i4>
      </vt:variant>
      <vt:variant>
        <vt:lpwstr>https://ghgprotocol.org/sites/default/files/Stationary_Combustion_Guidance_final_1.pdf</vt:lpwstr>
      </vt:variant>
      <vt:variant>
        <vt:lpwstr/>
      </vt:variant>
      <vt:variant>
        <vt:i4>1769543</vt:i4>
      </vt:variant>
      <vt:variant>
        <vt:i4>45</vt:i4>
      </vt:variant>
      <vt:variant>
        <vt:i4>0</vt:i4>
      </vt:variant>
      <vt:variant>
        <vt:i4>5</vt:i4>
      </vt:variant>
      <vt:variant>
        <vt:lpwstr>http://www.ipcc-nggip.iges.or.jp/public/2006gl/vol2.html</vt:lpwstr>
      </vt:variant>
      <vt:variant>
        <vt:lpwstr/>
      </vt:variant>
      <vt:variant>
        <vt:i4>4128813</vt:i4>
      </vt:variant>
      <vt:variant>
        <vt:i4>42</vt:i4>
      </vt:variant>
      <vt:variant>
        <vt:i4>0</vt:i4>
      </vt:variant>
      <vt:variant>
        <vt:i4>5</vt:i4>
      </vt:variant>
      <vt:variant>
        <vt:lpwstr>https://www.legislation.govt.nz/regulation/public/2008/0356/latest/DLM1635640.html</vt:lpwstr>
      </vt:variant>
      <vt:variant>
        <vt:lpwstr/>
      </vt:variant>
      <vt:variant>
        <vt:i4>5701634</vt:i4>
      </vt:variant>
      <vt:variant>
        <vt:i4>39</vt:i4>
      </vt:variant>
      <vt:variant>
        <vt:i4>0</vt:i4>
      </vt:variant>
      <vt:variant>
        <vt:i4>5</vt:i4>
      </vt:variant>
      <vt:variant>
        <vt:lpwstr/>
      </vt:variant>
      <vt:variant>
        <vt:lpwstr>_Appendix_A:_Derivation_1</vt:lpwstr>
      </vt:variant>
      <vt:variant>
        <vt:i4>589857</vt:i4>
      </vt:variant>
      <vt:variant>
        <vt:i4>30</vt:i4>
      </vt:variant>
      <vt:variant>
        <vt:i4>0</vt:i4>
      </vt:variant>
      <vt:variant>
        <vt:i4>5</vt:i4>
      </vt:variant>
      <vt:variant>
        <vt:lpwstr/>
      </vt:variant>
      <vt:variant>
        <vt:lpwstr>_Glossary</vt:lpwstr>
      </vt:variant>
      <vt:variant>
        <vt:i4>589857</vt:i4>
      </vt:variant>
      <vt:variant>
        <vt:i4>24</vt:i4>
      </vt:variant>
      <vt:variant>
        <vt:i4>0</vt:i4>
      </vt:variant>
      <vt:variant>
        <vt:i4>5</vt:i4>
      </vt:variant>
      <vt:variant>
        <vt:lpwstr/>
      </vt:variant>
      <vt:variant>
        <vt:lpwstr>_Glossary</vt:lpwstr>
      </vt:variant>
      <vt:variant>
        <vt:i4>131161</vt:i4>
      </vt:variant>
      <vt:variant>
        <vt:i4>21</vt:i4>
      </vt:variant>
      <vt:variant>
        <vt:i4>0</vt:i4>
      </vt:variant>
      <vt:variant>
        <vt:i4>5</vt:i4>
      </vt:variant>
      <vt:variant>
        <vt:lpwstr>http://www.undp.org/content/undp/en/home/2030-agenda-for-sustainable-development/planet/environment-and-natural-capital/chemicals-and-waste-management/ozone.html</vt:lpwstr>
      </vt:variant>
      <vt:variant>
        <vt:lpwstr/>
      </vt:variant>
      <vt:variant>
        <vt:i4>1441896</vt:i4>
      </vt:variant>
      <vt:variant>
        <vt:i4>18</vt:i4>
      </vt:variant>
      <vt:variant>
        <vt:i4>0</vt:i4>
      </vt:variant>
      <vt:variant>
        <vt:i4>5</vt:i4>
      </vt:variant>
      <vt:variant>
        <vt:lpwstr>https://unfccc.int/kyoto_protocol</vt:lpwstr>
      </vt:variant>
      <vt:variant>
        <vt:lpwstr/>
      </vt:variant>
      <vt:variant>
        <vt:i4>2555922</vt:i4>
      </vt:variant>
      <vt:variant>
        <vt:i4>15</vt:i4>
      </vt:variant>
      <vt:variant>
        <vt:i4>0</vt:i4>
      </vt:variant>
      <vt:variant>
        <vt:i4>5</vt:i4>
      </vt:variant>
      <vt:variant>
        <vt:lpwstr>http://www.ipcc.ch/site/assets/uploads/2018/05/ar4_wg1_full_report-1.pdf</vt:lpwstr>
      </vt:variant>
      <vt:variant>
        <vt:lpwstr/>
      </vt:variant>
      <vt:variant>
        <vt:i4>852094</vt:i4>
      </vt:variant>
      <vt:variant>
        <vt:i4>12</vt:i4>
      </vt:variant>
      <vt:variant>
        <vt:i4>0</vt:i4>
      </vt:variant>
      <vt:variant>
        <vt:i4>5</vt:i4>
      </vt:variant>
      <vt:variant>
        <vt:lpwstr>http://www.ipcc.ch/site/assets/uploads/ 2018/05/ar4_wg1_full_report-1.pdf</vt:lpwstr>
      </vt:variant>
      <vt:variant>
        <vt:lpwstr/>
      </vt:variant>
      <vt:variant>
        <vt:i4>2424879</vt:i4>
      </vt:variant>
      <vt:variant>
        <vt:i4>9</vt:i4>
      </vt:variant>
      <vt:variant>
        <vt:i4>0</vt:i4>
      </vt:variant>
      <vt:variant>
        <vt:i4>5</vt:i4>
      </vt:variant>
      <vt:variant>
        <vt:lpwstr>https://lcanz.org.nz/lca-guidance/lca-resources/</vt:lpwstr>
      </vt:variant>
      <vt:variant>
        <vt:lpwstr>LCI</vt:lpwstr>
      </vt:variant>
      <vt:variant>
        <vt:i4>5373971</vt:i4>
      </vt:variant>
      <vt:variant>
        <vt:i4>6</vt:i4>
      </vt:variant>
      <vt:variant>
        <vt:i4>0</vt:i4>
      </vt:variant>
      <vt:variant>
        <vt:i4>5</vt:i4>
      </vt:variant>
      <vt:variant>
        <vt:lpwstr>https://environment.govt.nz/what-government-is-doing/key-initiatives/carbon-neutral-government-programme/</vt:lpwstr>
      </vt:variant>
      <vt:variant>
        <vt:lpwstr/>
      </vt:variant>
      <vt:variant>
        <vt:i4>2031704</vt:i4>
      </vt:variant>
      <vt:variant>
        <vt:i4>3</vt:i4>
      </vt:variant>
      <vt:variant>
        <vt:i4>0</vt:i4>
      </vt:variant>
      <vt:variant>
        <vt:i4>5</vt:i4>
      </vt:variant>
      <vt:variant>
        <vt:lpwstr>https://environment.govt.nz/publications/cngp-measuring-and-reporting-ghg-emissions/</vt:lpwstr>
      </vt:variant>
      <vt:variant>
        <vt:lpwstr/>
      </vt:variant>
      <vt:variant>
        <vt:i4>5111809</vt:i4>
      </vt:variant>
      <vt:variant>
        <vt:i4>0</vt:i4>
      </vt:variant>
      <vt:variant>
        <vt:i4>0</vt:i4>
      </vt:variant>
      <vt:variant>
        <vt:i4>5</vt:i4>
      </vt:variant>
      <vt:variant>
        <vt:lpwstr>http://www.fsb-tcfd.org/</vt:lpwstr>
      </vt:variant>
      <vt:variant>
        <vt:lpwstr/>
      </vt:variant>
      <vt:variant>
        <vt:i4>65599</vt:i4>
      </vt:variant>
      <vt:variant>
        <vt:i4>0</vt:i4>
      </vt:variant>
      <vt:variant>
        <vt:i4>0</vt:i4>
      </vt:variant>
      <vt:variant>
        <vt:i4>5</vt:i4>
      </vt:variant>
      <vt:variant>
        <vt:lpwstr>mailto:Charissa.Billings@mfe.govt.nz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Measuring Emissions Detailed Guide 2020 FINAL.docx</dc:title>
  <dc:subject/>
  <dc:creator>Enviro-Mark Solutions Limited</dc:creator>
  <cp:keywords/>
  <cp:lastModifiedBy>Daisy Smith</cp:lastModifiedBy>
  <cp:revision>3</cp:revision>
  <dcterms:created xsi:type="dcterms:W3CDTF">2022-08-15T21:52:00Z</dcterms:created>
  <dcterms:modified xsi:type="dcterms:W3CDTF">2022-08-15T22:05:00Z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0x010100D50ED7AFFD01F14AA9CDF79350FE43BA00D6EDFF20929DCF4EA8192F86BEA695E0</vt:lpwstr>
  </property>
  <property fmtid="{D5CDD505-2E9C-101B-9397-08002B2CF9AE}" pid="3" name="_dlc_DocIdItemGuid">
    <vt:lpwstr>3c6bbf95-582a-42ce-a073-e862d8764cd8</vt:lpwstr>
  </property>
  <property fmtid="{D5CDD505-2E9C-101B-9397-08002B2CF9AE}" pid="4" name="TaxKeyword">
    <vt:lpwstr/>
  </property>
  <property fmtid="{D5CDD505-2E9C-101B-9397-08002B2CF9AE}" pid="5" name="File Number">
    <vt:lpwstr>MfE\1.1.1</vt:lpwstr>
  </property>
  <property fmtid="{D5CDD505-2E9C-101B-9397-08002B2CF9AE}" pid="6" name="Order">
    <vt:r8>497600</vt:r8>
  </property>
  <property fmtid="{D5CDD505-2E9C-101B-9397-08002B2CF9AE}" pid="7" name="LivelinkID">
    <vt:lpwstr>21285491</vt:lpwstr>
  </property>
  <property fmtid="{D5CDD505-2E9C-101B-9397-08002B2CF9AE}" pid="8" name="RSI">
    <vt:lpwstr>ARCHIVE 10 YEARS</vt:lpwstr>
  </property>
  <property fmtid="{D5CDD505-2E9C-101B-9397-08002B2CF9AE}" pid="9" name="RM Classification">
    <vt:lpwstr>Policy Development and Advice Records&gt;Policy Development Records&gt;Policy Development MfE Lead</vt:lpwstr>
  </property>
  <property fmtid="{D5CDD505-2E9C-101B-9397-08002B2CF9AE}" pid="10" name="MSIP_Label_52dda6cc-d61d-4fd2-bf18-9b3017d931cc_Enabled">
    <vt:lpwstr>true</vt:lpwstr>
  </property>
  <property fmtid="{D5CDD505-2E9C-101B-9397-08002B2CF9AE}" pid="11" name="MSIP_Label_52dda6cc-d61d-4fd2-bf18-9b3017d931cc_SetDate">
    <vt:lpwstr>2021-11-23T22:09:41Z</vt:lpwstr>
  </property>
  <property fmtid="{D5CDD505-2E9C-101B-9397-08002B2CF9AE}" pid="12" name="MSIP_Label_52dda6cc-d61d-4fd2-bf18-9b3017d931cc_Method">
    <vt:lpwstr>Privileged</vt:lpwstr>
  </property>
  <property fmtid="{D5CDD505-2E9C-101B-9397-08002B2CF9AE}" pid="13" name="MSIP_Label_52dda6cc-d61d-4fd2-bf18-9b3017d931cc_Name">
    <vt:lpwstr>[UNCLASSIFIED]</vt:lpwstr>
  </property>
  <property fmtid="{D5CDD505-2E9C-101B-9397-08002B2CF9AE}" pid="14" name="MSIP_Label_52dda6cc-d61d-4fd2-bf18-9b3017d931cc_SiteId">
    <vt:lpwstr>761dd003-d4ff-4049-8a72-8549b20fcbb1</vt:lpwstr>
  </property>
  <property fmtid="{D5CDD505-2E9C-101B-9397-08002B2CF9AE}" pid="15" name="MSIP_Label_52dda6cc-d61d-4fd2-bf18-9b3017d931cc_ActionId">
    <vt:lpwstr>32525df9-6651-48fb-a565-6c8797cbe5a2</vt:lpwstr>
  </property>
  <property fmtid="{D5CDD505-2E9C-101B-9397-08002B2CF9AE}" pid="16" name="MSIP_Label_52dda6cc-d61d-4fd2-bf18-9b3017d931cc_ContentBits">
    <vt:lpwstr>0</vt:lpwstr>
  </property>
  <property fmtid="{D5CDD505-2E9C-101B-9397-08002B2CF9AE}" pid="17" name="MediaServiceImageTags">
    <vt:lpwstr/>
  </property>
</Properties>
</file>